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0756" w14:textId="450CAAF6" w:rsidR="00D72E5E" w:rsidRPr="0013463A" w:rsidRDefault="00D72E5E">
      <w:pPr>
        <w:rPr>
          <w:lang w:val="en-CA"/>
        </w:rPr>
      </w:pPr>
      <w:r w:rsidRPr="0013463A">
        <w:rPr>
          <w:lang w:val="en-CA"/>
        </w:rPr>
        <w:t>Translated from the original French</w:t>
      </w:r>
    </w:p>
    <w:tbl>
      <w:tblPr>
        <w:tblW w:w="9511" w:type="dxa"/>
        <w:tblLayout w:type="fixed"/>
        <w:tblCellMar>
          <w:left w:w="70" w:type="dxa"/>
          <w:right w:w="70" w:type="dxa"/>
        </w:tblCellMar>
        <w:tblLook w:val="0000" w:firstRow="0" w:lastRow="0" w:firstColumn="0" w:lastColumn="0" w:noHBand="0" w:noVBand="0"/>
      </w:tblPr>
      <w:tblGrid>
        <w:gridCol w:w="1063"/>
        <w:gridCol w:w="497"/>
        <w:gridCol w:w="65"/>
        <w:gridCol w:w="2344"/>
        <w:gridCol w:w="1063"/>
        <w:gridCol w:w="2053"/>
        <w:gridCol w:w="2420"/>
        <w:gridCol w:w="6"/>
      </w:tblGrid>
      <w:tr w:rsidR="00067A54" w:rsidRPr="0013463A" w14:paraId="4A572D5A" w14:textId="77777777" w:rsidTr="00441107">
        <w:trPr>
          <w:gridAfter w:val="1"/>
          <w:wAfter w:w="6" w:type="dxa"/>
          <w:trHeight w:val="360"/>
        </w:trPr>
        <w:tc>
          <w:tcPr>
            <w:tcW w:w="7085" w:type="dxa"/>
            <w:gridSpan w:val="6"/>
          </w:tcPr>
          <w:p w14:paraId="729F4CB8" w14:textId="110F5FDF" w:rsidR="00067A54" w:rsidRPr="0013463A" w:rsidRDefault="00067A54" w:rsidP="00067A54">
            <w:pPr>
              <w:pStyle w:val="zSoquijdatRepertorie"/>
              <w:rPr>
                <w:lang w:val="en-CA"/>
              </w:rPr>
            </w:pPr>
            <w:r>
              <w:rPr>
                <w:rFonts w:cs="Arial"/>
              </w:rPr>
              <w:t>Commission des droits de la personne et des droits de la jeunesse (Toussaint) c. Procureur général du Québec (Ministère de la Sécurité publique)</w:t>
            </w:r>
          </w:p>
        </w:tc>
        <w:tc>
          <w:tcPr>
            <w:tcW w:w="2420" w:type="dxa"/>
          </w:tcPr>
          <w:p w14:paraId="644F1EA3" w14:textId="15DD9F05" w:rsidR="00067A54" w:rsidRPr="0013463A" w:rsidRDefault="00067A54" w:rsidP="00067A54">
            <w:pPr>
              <w:pStyle w:val="zSoquijdatRefNeutre"/>
              <w:jc w:val="right"/>
              <w:rPr>
                <w:lang w:val="en-CA"/>
              </w:rPr>
            </w:pPr>
            <w:r w:rsidRPr="00BD77C3">
              <w:rPr>
                <w:rFonts w:cs="Arial"/>
              </w:rPr>
              <w:t>2023 QCTDP 21</w:t>
            </w:r>
          </w:p>
        </w:tc>
      </w:tr>
      <w:tr w:rsidR="00A02E1C" w:rsidRPr="0013463A" w14:paraId="2D15EA6E" w14:textId="77777777" w:rsidTr="00441107">
        <w:trPr>
          <w:gridAfter w:val="1"/>
          <w:wAfter w:w="6" w:type="dxa"/>
          <w:trHeight w:val="900"/>
        </w:trPr>
        <w:tc>
          <w:tcPr>
            <w:tcW w:w="9505" w:type="dxa"/>
            <w:gridSpan w:val="7"/>
            <w:vAlign w:val="bottom"/>
          </w:tcPr>
          <w:p w14:paraId="0D73C33E" w14:textId="36A0527A" w:rsidR="00D025F2" w:rsidRPr="0013463A" w:rsidRDefault="00D75EF0">
            <w:pPr>
              <w:pStyle w:val="zSoquijlblCour"/>
              <w:rPr>
                <w:lang w:val="en-CA"/>
              </w:rPr>
            </w:pPr>
            <w:r w:rsidRPr="0013463A">
              <w:rPr>
                <w:lang w:val="en-CA"/>
              </w:rPr>
              <w:t>HUMAN RIGHTS TRIBUNAL</w:t>
            </w:r>
          </w:p>
        </w:tc>
      </w:tr>
      <w:tr w:rsidR="00A02E1C" w:rsidRPr="0013463A" w14:paraId="77E4169A" w14:textId="77777777" w:rsidTr="00441107">
        <w:trPr>
          <w:gridAfter w:val="1"/>
          <w:wAfter w:w="6" w:type="dxa"/>
          <w:trHeight w:val="540"/>
        </w:trPr>
        <w:tc>
          <w:tcPr>
            <w:tcW w:w="9505" w:type="dxa"/>
            <w:gridSpan w:val="7"/>
          </w:tcPr>
          <w:p w14:paraId="3CCF4DAF" w14:textId="77777777" w:rsidR="00D025F2" w:rsidRPr="0013463A" w:rsidRDefault="00D025F2">
            <w:pPr>
              <w:pStyle w:val="zSoquijdatDivision"/>
              <w:rPr>
                <w:lang w:val="en-CA"/>
              </w:rPr>
            </w:pPr>
          </w:p>
        </w:tc>
      </w:tr>
      <w:tr w:rsidR="00A02E1C" w:rsidRPr="0013463A" w14:paraId="3F8ACF61" w14:textId="77777777" w:rsidTr="00441107">
        <w:trPr>
          <w:gridAfter w:val="1"/>
          <w:wAfter w:w="6" w:type="dxa"/>
        </w:trPr>
        <w:tc>
          <w:tcPr>
            <w:tcW w:w="9505" w:type="dxa"/>
            <w:gridSpan w:val="7"/>
          </w:tcPr>
          <w:p w14:paraId="0443FE98" w14:textId="77777777" w:rsidR="00D025F2" w:rsidRPr="0013463A" w:rsidRDefault="001834C5">
            <w:pPr>
              <w:pStyle w:val="zSoquijlblPays"/>
              <w:rPr>
                <w:lang w:val="en-CA"/>
              </w:rPr>
            </w:pPr>
            <w:r w:rsidRPr="0013463A">
              <w:rPr>
                <w:lang w:val="en-CA"/>
              </w:rPr>
              <w:t>CANADA</w:t>
            </w:r>
          </w:p>
        </w:tc>
      </w:tr>
      <w:tr w:rsidR="00A02E1C" w:rsidRPr="0013463A" w14:paraId="56C05533" w14:textId="77777777" w:rsidTr="00441107">
        <w:trPr>
          <w:gridAfter w:val="1"/>
          <w:wAfter w:w="6" w:type="dxa"/>
        </w:trPr>
        <w:tc>
          <w:tcPr>
            <w:tcW w:w="9505" w:type="dxa"/>
            <w:gridSpan w:val="7"/>
          </w:tcPr>
          <w:p w14:paraId="4B42A4FD" w14:textId="674AB272" w:rsidR="00D025F2" w:rsidRPr="0013463A" w:rsidRDefault="001834C5">
            <w:pPr>
              <w:pStyle w:val="zSoquijlblProvince"/>
              <w:rPr>
                <w:lang w:val="en-CA"/>
              </w:rPr>
            </w:pPr>
            <w:r w:rsidRPr="0013463A">
              <w:rPr>
                <w:lang w:val="en-CA"/>
              </w:rPr>
              <w:t xml:space="preserve">PROVINCE </w:t>
            </w:r>
            <w:r w:rsidR="00D75EF0" w:rsidRPr="0013463A">
              <w:rPr>
                <w:lang w:val="en-CA"/>
              </w:rPr>
              <w:t>OF</w:t>
            </w:r>
            <w:r w:rsidRPr="0013463A">
              <w:rPr>
                <w:lang w:val="en-CA"/>
              </w:rPr>
              <w:t xml:space="preserve"> QU</w:t>
            </w:r>
            <w:r w:rsidR="00D75EF0" w:rsidRPr="0013463A">
              <w:rPr>
                <w:lang w:val="en-CA"/>
              </w:rPr>
              <w:t>E</w:t>
            </w:r>
            <w:r w:rsidRPr="0013463A">
              <w:rPr>
                <w:lang w:val="en-CA"/>
              </w:rPr>
              <w:t>BEC</w:t>
            </w:r>
          </w:p>
        </w:tc>
      </w:tr>
      <w:tr w:rsidR="00A02E1C" w:rsidRPr="0013463A" w14:paraId="2F9A4B75" w14:textId="77777777" w:rsidTr="00441107">
        <w:tblPrEx>
          <w:tblCellMar>
            <w:left w:w="0" w:type="dxa"/>
            <w:right w:w="0" w:type="dxa"/>
          </w:tblCellMar>
        </w:tblPrEx>
        <w:trPr>
          <w:gridAfter w:val="1"/>
          <w:wAfter w:w="6" w:type="dxa"/>
          <w:cantSplit/>
        </w:trPr>
        <w:tc>
          <w:tcPr>
            <w:tcW w:w="1625" w:type="dxa"/>
            <w:gridSpan w:val="3"/>
          </w:tcPr>
          <w:p w14:paraId="2B9176D2" w14:textId="7F7C96D0" w:rsidR="00D025F2" w:rsidRPr="0013463A" w:rsidRDefault="001834C5">
            <w:pPr>
              <w:pStyle w:val="zSoquijlblGreffe"/>
              <w:rPr>
                <w:lang w:val="en-CA"/>
              </w:rPr>
            </w:pPr>
            <w:r w:rsidRPr="0013463A">
              <w:rPr>
                <w:lang w:val="en-CA"/>
              </w:rPr>
              <w:t xml:space="preserve">DISTRICT </w:t>
            </w:r>
            <w:r w:rsidR="00D75EF0" w:rsidRPr="0013463A">
              <w:rPr>
                <w:lang w:val="en-CA"/>
              </w:rPr>
              <w:t>OF</w:t>
            </w:r>
          </w:p>
        </w:tc>
        <w:tc>
          <w:tcPr>
            <w:tcW w:w="7880" w:type="dxa"/>
            <w:gridSpan w:val="4"/>
          </w:tcPr>
          <w:p w14:paraId="06882258" w14:textId="77777777" w:rsidR="00D025F2" w:rsidRPr="0013463A" w:rsidRDefault="001834C5">
            <w:pPr>
              <w:pStyle w:val="zSoquijdatGreffe"/>
              <w:rPr>
                <w:caps/>
                <w:lang w:val="en-CA"/>
              </w:rPr>
            </w:pPr>
            <w:r w:rsidRPr="0013463A">
              <w:rPr>
                <w:caps/>
                <w:lang w:val="en-CA"/>
              </w:rPr>
              <w:t>QUÉBEC</w:t>
            </w:r>
          </w:p>
        </w:tc>
      </w:tr>
      <w:tr w:rsidR="00A02E1C" w:rsidRPr="0013463A" w14:paraId="34C94EF0" w14:textId="77777777" w:rsidTr="00441107">
        <w:trPr>
          <w:gridAfter w:val="1"/>
          <w:wAfter w:w="6" w:type="dxa"/>
          <w:cantSplit/>
          <w:trHeight w:val="235"/>
        </w:trPr>
        <w:tc>
          <w:tcPr>
            <w:tcW w:w="9505" w:type="dxa"/>
            <w:gridSpan w:val="7"/>
          </w:tcPr>
          <w:p w14:paraId="4D4D97E7" w14:textId="77777777" w:rsidR="00C2246D" w:rsidRPr="0013463A" w:rsidRDefault="00C2246D" w:rsidP="000A31BB">
            <w:pPr>
              <w:rPr>
                <w:lang w:val="en-CA"/>
              </w:rPr>
            </w:pPr>
          </w:p>
        </w:tc>
      </w:tr>
      <w:tr w:rsidR="00A02E1C" w:rsidRPr="0013463A" w14:paraId="4C756F0C" w14:textId="77777777" w:rsidTr="00441107">
        <w:trPr>
          <w:gridAfter w:val="1"/>
          <w:wAfter w:w="6" w:type="dxa"/>
        </w:trPr>
        <w:tc>
          <w:tcPr>
            <w:tcW w:w="1063" w:type="dxa"/>
          </w:tcPr>
          <w:p w14:paraId="29E614BF" w14:textId="173BDF3E" w:rsidR="00027FB0" w:rsidRPr="0013463A" w:rsidRDefault="001834C5" w:rsidP="000A31BB">
            <w:pPr>
              <w:pStyle w:val="zSoquijlblNoDossier"/>
              <w:rPr>
                <w:lang w:val="en-CA"/>
              </w:rPr>
            </w:pPr>
            <w:r w:rsidRPr="0013463A">
              <w:rPr>
                <w:lang w:val="en-CA"/>
              </w:rPr>
              <w:t>N</w:t>
            </w:r>
            <w:r w:rsidR="00D75EF0" w:rsidRPr="0013463A">
              <w:rPr>
                <w:lang w:val="en-CA"/>
              </w:rPr>
              <w:t>o.</w:t>
            </w:r>
            <w:r w:rsidRPr="0013463A">
              <w:rPr>
                <w:lang w:val="en-CA"/>
              </w:rPr>
              <w:t>:</w:t>
            </w:r>
          </w:p>
        </w:tc>
        <w:tc>
          <w:tcPr>
            <w:tcW w:w="8442" w:type="dxa"/>
            <w:gridSpan w:val="6"/>
          </w:tcPr>
          <w:p w14:paraId="7AB6A8C4" w14:textId="77777777" w:rsidR="00027FB0" w:rsidRPr="0013463A" w:rsidRDefault="001834C5" w:rsidP="000A31BB">
            <w:pPr>
              <w:pStyle w:val="zSoquijdatNoDossier"/>
              <w:rPr>
                <w:lang w:val="en-CA"/>
              </w:rPr>
            </w:pPr>
            <w:r w:rsidRPr="0013463A">
              <w:rPr>
                <w:lang w:val="en-CA"/>
              </w:rPr>
              <w:t>200-53-000094-214</w:t>
            </w:r>
          </w:p>
        </w:tc>
      </w:tr>
      <w:tr w:rsidR="00A02E1C" w:rsidRPr="0013463A" w14:paraId="2A039640" w14:textId="77777777" w:rsidTr="00441107">
        <w:trPr>
          <w:gridAfter w:val="1"/>
          <w:wAfter w:w="6" w:type="dxa"/>
          <w:cantSplit/>
          <w:trHeight w:val="235"/>
        </w:trPr>
        <w:tc>
          <w:tcPr>
            <w:tcW w:w="9505" w:type="dxa"/>
            <w:gridSpan w:val="7"/>
          </w:tcPr>
          <w:p w14:paraId="50320556" w14:textId="77777777" w:rsidR="00C2246D" w:rsidRPr="0013463A" w:rsidRDefault="00C2246D" w:rsidP="000A31BB">
            <w:pPr>
              <w:rPr>
                <w:lang w:val="en-CA"/>
              </w:rPr>
            </w:pPr>
          </w:p>
        </w:tc>
      </w:tr>
      <w:tr w:rsidR="00A02E1C" w:rsidRPr="0013463A" w14:paraId="6E0C901C" w14:textId="77777777" w:rsidTr="00441107">
        <w:trPr>
          <w:gridAfter w:val="1"/>
          <w:wAfter w:w="6" w:type="dxa"/>
        </w:trPr>
        <w:tc>
          <w:tcPr>
            <w:tcW w:w="1063" w:type="dxa"/>
          </w:tcPr>
          <w:p w14:paraId="66A7DF34" w14:textId="71070E49" w:rsidR="00027FB0" w:rsidRPr="0013463A" w:rsidRDefault="001834C5" w:rsidP="000A31BB">
            <w:pPr>
              <w:pStyle w:val="zSoquijlblDateJugement"/>
              <w:rPr>
                <w:lang w:val="en-CA"/>
              </w:rPr>
            </w:pPr>
            <w:r w:rsidRPr="0013463A">
              <w:rPr>
                <w:lang w:val="en-CA"/>
              </w:rPr>
              <w:t>DATE:</w:t>
            </w:r>
          </w:p>
        </w:tc>
        <w:tc>
          <w:tcPr>
            <w:tcW w:w="8442" w:type="dxa"/>
            <w:gridSpan w:val="6"/>
          </w:tcPr>
          <w:p w14:paraId="512AB272" w14:textId="1D3E1061" w:rsidR="00027FB0" w:rsidRPr="0013463A" w:rsidRDefault="00D75EF0" w:rsidP="000A31BB">
            <w:pPr>
              <w:pStyle w:val="zSoquijdatDateJugement"/>
              <w:rPr>
                <w:lang w:val="en-CA"/>
              </w:rPr>
            </w:pPr>
            <w:r w:rsidRPr="0013463A">
              <w:rPr>
                <w:lang w:val="en-CA"/>
              </w:rPr>
              <w:t>November 3,</w:t>
            </w:r>
            <w:r w:rsidR="002E5CA6" w:rsidRPr="0013463A">
              <w:rPr>
                <w:lang w:val="en-CA"/>
              </w:rPr>
              <w:t xml:space="preserve"> 2023</w:t>
            </w:r>
          </w:p>
        </w:tc>
      </w:tr>
      <w:tr w:rsidR="00A02E1C" w:rsidRPr="0013463A" w14:paraId="19CE6740" w14:textId="77777777" w:rsidTr="00441107">
        <w:trPr>
          <w:gridAfter w:val="1"/>
          <w:wAfter w:w="6" w:type="dxa"/>
        </w:trPr>
        <w:tc>
          <w:tcPr>
            <w:tcW w:w="9505" w:type="dxa"/>
            <w:gridSpan w:val="7"/>
          </w:tcPr>
          <w:p w14:paraId="7301740F" w14:textId="77777777" w:rsidR="00D025F2" w:rsidRPr="0013463A" w:rsidRDefault="001834C5">
            <w:pPr>
              <w:ind w:left="14" w:right="-67"/>
              <w:rPr>
                <w:lang w:val="en-CA"/>
              </w:rPr>
            </w:pPr>
            <w:r w:rsidRPr="0013463A">
              <w:rPr>
                <w:lang w:val="en-CA"/>
              </w:rPr>
              <w:t>______________________________________________________________________</w:t>
            </w:r>
          </w:p>
        </w:tc>
      </w:tr>
      <w:tr w:rsidR="00A02E1C" w:rsidRPr="0013463A" w14:paraId="4242D09E" w14:textId="77777777" w:rsidTr="00441107">
        <w:trPr>
          <w:gridAfter w:val="1"/>
          <w:wAfter w:w="6" w:type="dxa"/>
        </w:trPr>
        <w:tc>
          <w:tcPr>
            <w:tcW w:w="9505" w:type="dxa"/>
            <w:gridSpan w:val="7"/>
          </w:tcPr>
          <w:p w14:paraId="1E5BC936" w14:textId="77777777" w:rsidR="00D025F2" w:rsidRPr="0013463A" w:rsidRDefault="00D025F2">
            <w:pPr>
              <w:rPr>
                <w:lang w:val="en-CA"/>
              </w:rPr>
            </w:pPr>
          </w:p>
        </w:tc>
      </w:tr>
      <w:tr w:rsidR="00A02E1C" w:rsidRPr="0013463A" w14:paraId="17FFBDF4" w14:textId="77777777" w:rsidTr="009C29BF">
        <w:tblPrEx>
          <w:tblCellMar>
            <w:left w:w="0" w:type="dxa"/>
            <w:right w:w="0" w:type="dxa"/>
          </w:tblCellMar>
        </w:tblPrEx>
        <w:tc>
          <w:tcPr>
            <w:tcW w:w="1560" w:type="dxa"/>
            <w:gridSpan w:val="2"/>
          </w:tcPr>
          <w:p w14:paraId="184A197D" w14:textId="3CB15DD3" w:rsidR="00027FB0" w:rsidRPr="0013463A" w:rsidRDefault="00D75EF0" w:rsidP="000A31BB">
            <w:pPr>
              <w:pStyle w:val="zSoquijlblJuge"/>
              <w:rPr>
                <w:lang w:val="en-CA"/>
              </w:rPr>
            </w:pPr>
            <w:r w:rsidRPr="0013463A">
              <w:rPr>
                <w:lang w:val="en-CA"/>
              </w:rPr>
              <w:t>PRESIDING</w:t>
            </w:r>
            <w:r w:rsidR="008A2D84">
              <w:rPr>
                <w:lang w:val="en-CA"/>
              </w:rPr>
              <w:t>:</w:t>
            </w:r>
          </w:p>
        </w:tc>
        <w:tc>
          <w:tcPr>
            <w:tcW w:w="2409" w:type="dxa"/>
            <w:gridSpan w:val="2"/>
          </w:tcPr>
          <w:p w14:paraId="6DC08CF3" w14:textId="156F0E88" w:rsidR="00027FB0" w:rsidRPr="0013463A" w:rsidRDefault="00D72E5E" w:rsidP="000A31BB">
            <w:pPr>
              <w:pStyle w:val="zSoquijdatQteJuge"/>
              <w:rPr>
                <w:lang w:val="en-CA"/>
              </w:rPr>
            </w:pPr>
            <w:r w:rsidRPr="0013463A">
              <w:rPr>
                <w:lang w:val="en-CA"/>
              </w:rPr>
              <w:t xml:space="preserve">THE </w:t>
            </w:r>
            <w:r w:rsidR="001834C5" w:rsidRPr="0013463A">
              <w:rPr>
                <w:lang w:val="en-CA"/>
              </w:rPr>
              <w:t>HONO</w:t>
            </w:r>
            <w:r w:rsidRPr="0013463A">
              <w:rPr>
                <w:lang w:val="en-CA"/>
              </w:rPr>
              <w:t>UR</w:t>
            </w:r>
            <w:r w:rsidR="001834C5" w:rsidRPr="0013463A">
              <w:rPr>
                <w:lang w:val="en-CA"/>
              </w:rPr>
              <w:t>ABLE</w:t>
            </w:r>
          </w:p>
        </w:tc>
        <w:tc>
          <w:tcPr>
            <w:tcW w:w="5542" w:type="dxa"/>
            <w:gridSpan w:val="4"/>
          </w:tcPr>
          <w:p w14:paraId="0EEC3D7E" w14:textId="493B2D90" w:rsidR="00027FB0" w:rsidRPr="0013463A" w:rsidRDefault="00110E24" w:rsidP="000A31BB">
            <w:pPr>
              <w:pStyle w:val="zSoquijdatJuge"/>
              <w:rPr>
                <w:lang w:val="en-CA"/>
              </w:rPr>
            </w:pPr>
            <w:r w:rsidRPr="0013463A">
              <w:rPr>
                <w:caps/>
                <w:lang w:val="en-CA"/>
              </w:rPr>
              <w:t>CHRISTIAN BRUNELLE</w:t>
            </w:r>
          </w:p>
        </w:tc>
      </w:tr>
      <w:tr w:rsidR="00A02E1C" w:rsidRPr="0013463A" w14:paraId="6B270378" w14:textId="77777777" w:rsidTr="00441107">
        <w:trPr>
          <w:gridAfter w:val="1"/>
          <w:wAfter w:w="6" w:type="dxa"/>
        </w:trPr>
        <w:tc>
          <w:tcPr>
            <w:tcW w:w="5032" w:type="dxa"/>
            <w:gridSpan w:val="5"/>
            <w:vAlign w:val="center"/>
          </w:tcPr>
          <w:p w14:paraId="4926EF70" w14:textId="74616541" w:rsidR="00D025F2" w:rsidRPr="0013463A" w:rsidRDefault="00D75EF0" w:rsidP="00154479">
            <w:pPr>
              <w:pStyle w:val="zSoquijlblAssesseurs"/>
              <w:rPr>
                <w:sz w:val="23"/>
                <w:szCs w:val="23"/>
                <w:lang w:val="en-CA"/>
              </w:rPr>
            </w:pPr>
            <w:r w:rsidRPr="0013463A">
              <w:rPr>
                <w:sz w:val="23"/>
                <w:szCs w:val="23"/>
                <w:lang w:val="en-CA"/>
              </w:rPr>
              <w:t>WITH THE ASSISTANCE OF ASSESSORS</w:t>
            </w:r>
            <w:r w:rsidR="00441107" w:rsidRPr="0013463A">
              <w:rPr>
                <w:sz w:val="23"/>
                <w:szCs w:val="23"/>
                <w:lang w:val="en-CA"/>
              </w:rPr>
              <w:t>:</w:t>
            </w:r>
          </w:p>
        </w:tc>
        <w:tc>
          <w:tcPr>
            <w:tcW w:w="4473" w:type="dxa"/>
            <w:gridSpan w:val="2"/>
            <w:vAlign w:val="center"/>
          </w:tcPr>
          <w:p w14:paraId="75BC858F" w14:textId="72B49A0E" w:rsidR="00E728B8" w:rsidRPr="009C29BF" w:rsidRDefault="001834C5" w:rsidP="00E728B8">
            <w:pPr>
              <w:pStyle w:val="zSoquijdatAssesseurs"/>
            </w:pPr>
            <w:r w:rsidRPr="009C29BF">
              <w:t>M</w:t>
            </w:r>
            <w:r w:rsidR="00D75EF0" w:rsidRPr="009C29BF">
              <w:t>tr</w:t>
            </w:r>
            <w:r w:rsidRPr="009C29BF">
              <w:t>e Pierre Deschamps</w:t>
            </w:r>
          </w:p>
          <w:p w14:paraId="5C5CB20A" w14:textId="78810AEF" w:rsidR="00E728B8" w:rsidRPr="009C29BF" w:rsidRDefault="001834C5" w:rsidP="00F5373E">
            <w:pPr>
              <w:pStyle w:val="zSoquijdatAssesseurs"/>
            </w:pPr>
            <w:r w:rsidRPr="009C29BF">
              <w:t>M</w:t>
            </w:r>
            <w:r w:rsidR="00D75EF0" w:rsidRPr="009C29BF">
              <w:t>tr</w:t>
            </w:r>
            <w:r w:rsidRPr="009C29BF">
              <w:t>e Monique Rousseau</w:t>
            </w:r>
          </w:p>
        </w:tc>
      </w:tr>
      <w:tr w:rsidR="00A02E1C" w:rsidRPr="0013463A" w14:paraId="394D9C07" w14:textId="77777777" w:rsidTr="00441107">
        <w:trPr>
          <w:gridAfter w:val="1"/>
          <w:wAfter w:w="6" w:type="dxa"/>
        </w:trPr>
        <w:tc>
          <w:tcPr>
            <w:tcW w:w="9505" w:type="dxa"/>
            <w:gridSpan w:val="7"/>
          </w:tcPr>
          <w:p w14:paraId="52BD0AA1" w14:textId="77777777" w:rsidR="00D025F2" w:rsidRPr="0013463A" w:rsidRDefault="001834C5">
            <w:pPr>
              <w:ind w:left="14" w:right="-67"/>
              <w:rPr>
                <w:lang w:val="en-CA"/>
              </w:rPr>
            </w:pPr>
            <w:r w:rsidRPr="0013463A">
              <w:rPr>
                <w:lang w:val="en-CA"/>
              </w:rPr>
              <w:t>______________________________________________________________________</w:t>
            </w:r>
          </w:p>
        </w:tc>
      </w:tr>
      <w:tr w:rsidR="00A02E1C" w:rsidRPr="0013463A" w14:paraId="2DC0A744" w14:textId="77777777" w:rsidTr="00441107">
        <w:trPr>
          <w:gridAfter w:val="1"/>
          <w:wAfter w:w="6" w:type="dxa"/>
        </w:trPr>
        <w:tc>
          <w:tcPr>
            <w:tcW w:w="9505" w:type="dxa"/>
            <w:gridSpan w:val="7"/>
          </w:tcPr>
          <w:p w14:paraId="716794B4" w14:textId="77777777" w:rsidR="00D025F2" w:rsidRPr="0013463A" w:rsidRDefault="00D025F2">
            <w:pPr>
              <w:pStyle w:val="zSoquijlblTitrePartie"/>
              <w:rPr>
                <w:lang w:val="en-CA"/>
              </w:rPr>
            </w:pPr>
          </w:p>
        </w:tc>
      </w:tr>
      <w:tr w:rsidR="00A02E1C" w:rsidRPr="0013463A" w14:paraId="1C963DAC" w14:textId="77777777" w:rsidTr="00441107">
        <w:trPr>
          <w:gridAfter w:val="1"/>
          <w:wAfter w:w="6" w:type="dxa"/>
        </w:trPr>
        <w:tc>
          <w:tcPr>
            <w:tcW w:w="9505" w:type="dxa"/>
            <w:gridSpan w:val="7"/>
          </w:tcPr>
          <w:p w14:paraId="52DDA881" w14:textId="77777777" w:rsidR="00D025F2" w:rsidRPr="0013463A" w:rsidRDefault="00D025F2">
            <w:pPr>
              <w:rPr>
                <w:lang w:val="en-CA"/>
              </w:rPr>
            </w:pPr>
          </w:p>
        </w:tc>
      </w:tr>
      <w:tr w:rsidR="00A02E1C" w:rsidRPr="0013463A" w14:paraId="1208DC09" w14:textId="77777777" w:rsidTr="00441107">
        <w:trPr>
          <w:gridAfter w:val="1"/>
          <w:wAfter w:w="6" w:type="dxa"/>
        </w:trPr>
        <w:tc>
          <w:tcPr>
            <w:tcW w:w="9505" w:type="dxa"/>
            <w:gridSpan w:val="7"/>
          </w:tcPr>
          <w:p w14:paraId="4AC8BD09" w14:textId="18CAC3FE" w:rsidR="00D025F2" w:rsidRPr="009C29BF" w:rsidRDefault="001834C5" w:rsidP="00F16DAF">
            <w:pPr>
              <w:pStyle w:val="zSoquijdatNomPartieDem"/>
              <w:jc w:val="both"/>
              <w:rPr>
                <w:b w:val="0"/>
              </w:rPr>
            </w:pPr>
            <w:r w:rsidRPr="009C29BF">
              <w:t>COMMISSION DES DROITS DE LA PERSONNE ET DES DROITS DE LA JEUNESSE</w:t>
            </w:r>
            <w:r w:rsidR="002E5CA6" w:rsidRPr="009C29BF">
              <w:rPr>
                <w:b w:val="0"/>
              </w:rPr>
              <w:t xml:space="preserve">, </w:t>
            </w:r>
            <w:r w:rsidR="00D75EF0" w:rsidRPr="009C29BF">
              <w:rPr>
                <w:b w:val="0"/>
              </w:rPr>
              <w:t xml:space="preserve">acting in the public interest and on behalf of </w:t>
            </w:r>
            <w:r w:rsidR="002E5CA6" w:rsidRPr="009C29BF">
              <w:rPr>
                <w:b w:val="0"/>
              </w:rPr>
              <w:t>SAMUEL TOUSSAINT</w:t>
            </w:r>
          </w:p>
        </w:tc>
      </w:tr>
      <w:tr w:rsidR="00A02E1C" w:rsidRPr="0013463A" w14:paraId="5FE7A0F7" w14:textId="77777777" w:rsidTr="00441107">
        <w:trPr>
          <w:gridAfter w:val="1"/>
          <w:wAfter w:w="6" w:type="dxa"/>
        </w:trPr>
        <w:tc>
          <w:tcPr>
            <w:tcW w:w="9505" w:type="dxa"/>
            <w:gridSpan w:val="7"/>
          </w:tcPr>
          <w:p w14:paraId="78EE0FF8" w14:textId="3125CE21" w:rsidR="00D025F2" w:rsidRPr="0013463A" w:rsidRDefault="00D75EF0">
            <w:pPr>
              <w:pStyle w:val="zSoquijdatQtePartieDem"/>
              <w:rPr>
                <w:lang w:val="en-CA"/>
              </w:rPr>
            </w:pPr>
            <w:r w:rsidRPr="0013463A">
              <w:rPr>
                <w:lang w:val="en-CA"/>
              </w:rPr>
              <w:t>Plaintiff</w:t>
            </w:r>
          </w:p>
        </w:tc>
      </w:tr>
      <w:tr w:rsidR="00A02E1C" w:rsidRPr="0013463A" w14:paraId="14FE6E31" w14:textId="77777777" w:rsidTr="00441107">
        <w:trPr>
          <w:gridAfter w:val="1"/>
          <w:wAfter w:w="6" w:type="dxa"/>
        </w:trPr>
        <w:tc>
          <w:tcPr>
            <w:tcW w:w="9505" w:type="dxa"/>
            <w:gridSpan w:val="7"/>
          </w:tcPr>
          <w:p w14:paraId="541717F1" w14:textId="222AE412" w:rsidR="00D025F2" w:rsidRPr="0013463A" w:rsidRDefault="00D75EF0">
            <w:pPr>
              <w:pStyle w:val="zSoquijlblLienParties"/>
              <w:rPr>
                <w:lang w:val="en-CA"/>
              </w:rPr>
            </w:pPr>
            <w:r w:rsidRPr="0013463A">
              <w:rPr>
                <w:lang w:val="en-CA"/>
              </w:rPr>
              <w:t>v</w:t>
            </w:r>
            <w:r w:rsidR="001834C5" w:rsidRPr="0013463A">
              <w:rPr>
                <w:lang w:val="en-CA"/>
              </w:rPr>
              <w:t>.</w:t>
            </w:r>
          </w:p>
        </w:tc>
      </w:tr>
      <w:tr w:rsidR="00A02E1C" w:rsidRPr="00B22AE6" w14:paraId="50FE86D3" w14:textId="77777777" w:rsidTr="00441107">
        <w:trPr>
          <w:gridAfter w:val="1"/>
          <w:wAfter w:w="6" w:type="dxa"/>
        </w:trPr>
        <w:tc>
          <w:tcPr>
            <w:tcW w:w="9505" w:type="dxa"/>
            <w:gridSpan w:val="7"/>
          </w:tcPr>
          <w:p w14:paraId="7FD60804" w14:textId="428052E9" w:rsidR="00D025F2" w:rsidRPr="0013463A" w:rsidRDefault="00D75EF0" w:rsidP="006B6A2A">
            <w:pPr>
              <w:pStyle w:val="zSoquijdatNomPartieDef"/>
              <w:jc w:val="both"/>
              <w:rPr>
                <w:caps/>
                <w:lang w:val="en-CA"/>
              </w:rPr>
            </w:pPr>
            <w:r w:rsidRPr="0013463A">
              <w:rPr>
                <w:caps/>
                <w:lang w:val="en-CA"/>
              </w:rPr>
              <w:t>ATTORNEY GENERAL OF QUEBEC</w:t>
            </w:r>
            <w:r w:rsidR="001834C5" w:rsidRPr="0013463A">
              <w:rPr>
                <w:caps/>
                <w:lang w:val="en-CA"/>
              </w:rPr>
              <w:t xml:space="preserve"> (</w:t>
            </w:r>
            <w:r w:rsidRPr="0013463A">
              <w:rPr>
                <w:caps/>
                <w:lang w:val="en-CA"/>
              </w:rPr>
              <w:t xml:space="preserve">IN RIGHT OF THE </w:t>
            </w:r>
            <w:r w:rsidR="001834C5" w:rsidRPr="0013463A">
              <w:rPr>
                <w:caps/>
                <w:lang w:val="en-CA"/>
              </w:rPr>
              <w:t>MINISTÈRE DE LA SÉCURITÉ PUBLIQUE)</w:t>
            </w:r>
          </w:p>
        </w:tc>
      </w:tr>
      <w:tr w:rsidR="00A02E1C" w:rsidRPr="0013463A" w14:paraId="10B3EC3D" w14:textId="77777777" w:rsidTr="00441107">
        <w:trPr>
          <w:gridAfter w:val="1"/>
          <w:wAfter w:w="6" w:type="dxa"/>
        </w:trPr>
        <w:tc>
          <w:tcPr>
            <w:tcW w:w="9505" w:type="dxa"/>
            <w:gridSpan w:val="7"/>
          </w:tcPr>
          <w:p w14:paraId="4F8732C7" w14:textId="59B0348E" w:rsidR="006B6A2A" w:rsidRPr="0013463A" w:rsidRDefault="00D75EF0">
            <w:pPr>
              <w:pStyle w:val="zSoquijdatNomPartieDef"/>
              <w:rPr>
                <w:b w:val="0"/>
                <w:lang w:val="en-CA"/>
              </w:rPr>
            </w:pPr>
            <w:r w:rsidRPr="0013463A">
              <w:rPr>
                <w:b w:val="0"/>
                <w:lang w:val="en-CA"/>
              </w:rPr>
              <w:t>and</w:t>
            </w:r>
          </w:p>
        </w:tc>
      </w:tr>
      <w:tr w:rsidR="00A02E1C" w:rsidRPr="0013463A" w14:paraId="38A0CD51" w14:textId="77777777" w:rsidTr="00441107">
        <w:trPr>
          <w:gridAfter w:val="1"/>
          <w:wAfter w:w="6" w:type="dxa"/>
        </w:trPr>
        <w:tc>
          <w:tcPr>
            <w:tcW w:w="9505" w:type="dxa"/>
            <w:gridSpan w:val="7"/>
          </w:tcPr>
          <w:p w14:paraId="617AA1DF" w14:textId="77777777" w:rsidR="006B6A2A" w:rsidRPr="0013463A" w:rsidRDefault="001834C5">
            <w:pPr>
              <w:pStyle w:val="zSoquijdatNomPartieDef"/>
              <w:rPr>
                <w:lang w:val="en-CA"/>
              </w:rPr>
            </w:pPr>
            <w:r w:rsidRPr="0013463A">
              <w:rPr>
                <w:lang w:val="en-CA"/>
              </w:rPr>
              <w:t>KEVIN LECLERC</w:t>
            </w:r>
          </w:p>
        </w:tc>
      </w:tr>
      <w:tr w:rsidR="00A02E1C" w:rsidRPr="0013463A" w14:paraId="46E5FC4F" w14:textId="77777777" w:rsidTr="00441107">
        <w:trPr>
          <w:gridAfter w:val="1"/>
          <w:wAfter w:w="6" w:type="dxa"/>
        </w:trPr>
        <w:tc>
          <w:tcPr>
            <w:tcW w:w="9505" w:type="dxa"/>
            <w:gridSpan w:val="7"/>
          </w:tcPr>
          <w:p w14:paraId="0BF16615" w14:textId="4C5467D1" w:rsidR="002E5CA6" w:rsidRPr="0013463A" w:rsidRDefault="00D75EF0">
            <w:pPr>
              <w:pStyle w:val="zSoquijdatNomPartieDef"/>
              <w:rPr>
                <w:b w:val="0"/>
                <w:bCs w:val="0"/>
                <w:lang w:val="en-CA"/>
              </w:rPr>
            </w:pPr>
            <w:r w:rsidRPr="0013463A">
              <w:rPr>
                <w:b w:val="0"/>
                <w:bCs w:val="0"/>
                <w:lang w:val="en-CA"/>
              </w:rPr>
              <w:t>and</w:t>
            </w:r>
          </w:p>
        </w:tc>
      </w:tr>
      <w:tr w:rsidR="00A02E1C" w:rsidRPr="0013463A" w14:paraId="17F1FF22" w14:textId="77777777" w:rsidTr="00441107">
        <w:trPr>
          <w:gridAfter w:val="1"/>
          <w:wAfter w:w="6" w:type="dxa"/>
        </w:trPr>
        <w:tc>
          <w:tcPr>
            <w:tcW w:w="9505" w:type="dxa"/>
            <w:gridSpan w:val="7"/>
          </w:tcPr>
          <w:p w14:paraId="000D43E3" w14:textId="77777777" w:rsidR="002E5CA6" w:rsidRPr="0013463A" w:rsidRDefault="001834C5">
            <w:pPr>
              <w:pStyle w:val="zSoquijdatNomPartieDef"/>
              <w:rPr>
                <w:lang w:val="en-CA"/>
              </w:rPr>
            </w:pPr>
            <w:r w:rsidRPr="0013463A">
              <w:rPr>
                <w:lang w:val="en-CA"/>
              </w:rPr>
              <w:t>JONATHAN BELCOURT</w:t>
            </w:r>
          </w:p>
        </w:tc>
      </w:tr>
      <w:tr w:rsidR="00A02E1C" w:rsidRPr="0013463A" w14:paraId="4EAFFBD2" w14:textId="77777777" w:rsidTr="00441107">
        <w:trPr>
          <w:gridAfter w:val="1"/>
          <w:wAfter w:w="6" w:type="dxa"/>
        </w:trPr>
        <w:tc>
          <w:tcPr>
            <w:tcW w:w="9505" w:type="dxa"/>
            <w:gridSpan w:val="7"/>
          </w:tcPr>
          <w:p w14:paraId="39D58083" w14:textId="3906F1BB" w:rsidR="002E5CA6" w:rsidRPr="0013463A" w:rsidRDefault="00D75EF0">
            <w:pPr>
              <w:pStyle w:val="zSoquijdatNomPartieDef"/>
              <w:rPr>
                <w:b w:val="0"/>
                <w:bCs w:val="0"/>
                <w:lang w:val="en-CA"/>
              </w:rPr>
            </w:pPr>
            <w:r w:rsidRPr="0013463A">
              <w:rPr>
                <w:b w:val="0"/>
                <w:bCs w:val="0"/>
                <w:lang w:val="en-CA"/>
              </w:rPr>
              <w:t>and</w:t>
            </w:r>
          </w:p>
        </w:tc>
      </w:tr>
      <w:tr w:rsidR="00A02E1C" w:rsidRPr="0013463A" w14:paraId="0AA42034" w14:textId="77777777" w:rsidTr="00441107">
        <w:trPr>
          <w:gridAfter w:val="1"/>
          <w:wAfter w:w="6" w:type="dxa"/>
        </w:trPr>
        <w:tc>
          <w:tcPr>
            <w:tcW w:w="9505" w:type="dxa"/>
            <w:gridSpan w:val="7"/>
          </w:tcPr>
          <w:p w14:paraId="505C93EF" w14:textId="77777777" w:rsidR="002E5CA6" w:rsidRPr="0013463A" w:rsidRDefault="001834C5">
            <w:pPr>
              <w:pStyle w:val="zSoquijdatNomPartieDef"/>
              <w:rPr>
                <w:lang w:val="en-CA"/>
              </w:rPr>
            </w:pPr>
            <w:r w:rsidRPr="0013463A">
              <w:rPr>
                <w:lang w:val="en-CA"/>
              </w:rPr>
              <w:t>JEAN-RENÉ BROUSSEAU</w:t>
            </w:r>
          </w:p>
        </w:tc>
      </w:tr>
      <w:tr w:rsidR="00A02E1C" w:rsidRPr="0013463A" w14:paraId="62E32C23" w14:textId="77777777" w:rsidTr="00441107">
        <w:trPr>
          <w:gridAfter w:val="1"/>
          <w:wAfter w:w="6" w:type="dxa"/>
        </w:trPr>
        <w:tc>
          <w:tcPr>
            <w:tcW w:w="9505" w:type="dxa"/>
            <w:gridSpan w:val="7"/>
          </w:tcPr>
          <w:p w14:paraId="55741F57" w14:textId="4437F910" w:rsidR="002E5CA6" w:rsidRPr="0013463A" w:rsidRDefault="00D75EF0">
            <w:pPr>
              <w:pStyle w:val="zSoquijdatNomPartieDef"/>
              <w:rPr>
                <w:b w:val="0"/>
                <w:bCs w:val="0"/>
                <w:lang w:val="en-CA"/>
              </w:rPr>
            </w:pPr>
            <w:r w:rsidRPr="0013463A">
              <w:rPr>
                <w:b w:val="0"/>
                <w:bCs w:val="0"/>
                <w:lang w:val="en-CA"/>
              </w:rPr>
              <w:t>and</w:t>
            </w:r>
          </w:p>
        </w:tc>
      </w:tr>
      <w:tr w:rsidR="00A02E1C" w:rsidRPr="0013463A" w14:paraId="53855612" w14:textId="77777777" w:rsidTr="00441107">
        <w:trPr>
          <w:gridAfter w:val="1"/>
          <w:wAfter w:w="6" w:type="dxa"/>
        </w:trPr>
        <w:tc>
          <w:tcPr>
            <w:tcW w:w="9505" w:type="dxa"/>
            <w:gridSpan w:val="7"/>
          </w:tcPr>
          <w:p w14:paraId="40212B42" w14:textId="77777777" w:rsidR="002E5CA6" w:rsidRPr="0013463A" w:rsidRDefault="001834C5">
            <w:pPr>
              <w:pStyle w:val="zSoquijdatNomPartieDef"/>
              <w:rPr>
                <w:lang w:val="en-CA"/>
              </w:rPr>
            </w:pPr>
            <w:r w:rsidRPr="0013463A">
              <w:rPr>
                <w:lang w:val="en-CA"/>
              </w:rPr>
              <w:t>HUGUES COMEAU-BASTIEN</w:t>
            </w:r>
          </w:p>
        </w:tc>
      </w:tr>
      <w:tr w:rsidR="00A02E1C" w:rsidRPr="0013463A" w14:paraId="6F3E7FCF" w14:textId="77777777" w:rsidTr="00441107">
        <w:trPr>
          <w:gridAfter w:val="1"/>
          <w:wAfter w:w="6" w:type="dxa"/>
        </w:trPr>
        <w:tc>
          <w:tcPr>
            <w:tcW w:w="9505" w:type="dxa"/>
            <w:gridSpan w:val="7"/>
          </w:tcPr>
          <w:p w14:paraId="3D43DB3D" w14:textId="5BA649CA" w:rsidR="002E5CA6" w:rsidRPr="0013463A" w:rsidRDefault="00D75EF0">
            <w:pPr>
              <w:pStyle w:val="zSoquijdatNomPartieDef"/>
              <w:rPr>
                <w:b w:val="0"/>
                <w:bCs w:val="0"/>
                <w:lang w:val="en-CA"/>
              </w:rPr>
            </w:pPr>
            <w:r w:rsidRPr="0013463A">
              <w:rPr>
                <w:b w:val="0"/>
                <w:bCs w:val="0"/>
                <w:lang w:val="en-CA"/>
              </w:rPr>
              <w:t>and</w:t>
            </w:r>
          </w:p>
        </w:tc>
      </w:tr>
      <w:tr w:rsidR="00A02E1C" w:rsidRPr="0013463A" w14:paraId="3EA17544" w14:textId="77777777" w:rsidTr="00441107">
        <w:trPr>
          <w:gridAfter w:val="1"/>
          <w:wAfter w:w="6" w:type="dxa"/>
        </w:trPr>
        <w:tc>
          <w:tcPr>
            <w:tcW w:w="9505" w:type="dxa"/>
            <w:gridSpan w:val="7"/>
          </w:tcPr>
          <w:p w14:paraId="4BBA216F" w14:textId="77777777" w:rsidR="002E5CA6" w:rsidRPr="0013463A" w:rsidRDefault="001834C5">
            <w:pPr>
              <w:pStyle w:val="zSoquijdatNomPartieDef"/>
              <w:rPr>
                <w:lang w:val="en-CA"/>
              </w:rPr>
            </w:pPr>
            <w:r w:rsidRPr="0013463A">
              <w:rPr>
                <w:lang w:val="en-CA"/>
              </w:rPr>
              <w:t>JEAN-BRUNO GAGNON</w:t>
            </w:r>
          </w:p>
        </w:tc>
      </w:tr>
      <w:tr w:rsidR="00A02E1C" w:rsidRPr="0013463A" w14:paraId="0B192E8A" w14:textId="77777777" w:rsidTr="00441107">
        <w:trPr>
          <w:gridAfter w:val="1"/>
          <w:wAfter w:w="6" w:type="dxa"/>
        </w:trPr>
        <w:tc>
          <w:tcPr>
            <w:tcW w:w="9505" w:type="dxa"/>
            <w:gridSpan w:val="7"/>
          </w:tcPr>
          <w:p w14:paraId="531C98A7" w14:textId="11B9A5C7" w:rsidR="002E5CA6" w:rsidRPr="0013463A" w:rsidRDefault="00D75EF0">
            <w:pPr>
              <w:pStyle w:val="zSoquijdatNomPartieDef"/>
              <w:rPr>
                <w:b w:val="0"/>
                <w:bCs w:val="0"/>
                <w:lang w:val="en-CA"/>
              </w:rPr>
            </w:pPr>
            <w:r w:rsidRPr="0013463A">
              <w:rPr>
                <w:b w:val="0"/>
                <w:bCs w:val="0"/>
                <w:lang w:val="en-CA"/>
              </w:rPr>
              <w:t>and</w:t>
            </w:r>
          </w:p>
        </w:tc>
      </w:tr>
      <w:tr w:rsidR="00A02E1C" w:rsidRPr="0013463A" w14:paraId="0B7C60CD" w14:textId="77777777" w:rsidTr="00441107">
        <w:trPr>
          <w:gridAfter w:val="1"/>
          <w:wAfter w:w="6" w:type="dxa"/>
        </w:trPr>
        <w:tc>
          <w:tcPr>
            <w:tcW w:w="9505" w:type="dxa"/>
            <w:gridSpan w:val="7"/>
          </w:tcPr>
          <w:p w14:paraId="601B1EE0" w14:textId="77777777" w:rsidR="002E5CA6" w:rsidRPr="0013463A" w:rsidRDefault="001834C5">
            <w:pPr>
              <w:pStyle w:val="zSoquijdatNomPartieDef"/>
              <w:rPr>
                <w:lang w:val="en-CA"/>
              </w:rPr>
            </w:pPr>
            <w:r w:rsidRPr="0013463A">
              <w:rPr>
                <w:lang w:val="en-CA"/>
              </w:rPr>
              <w:t>FRÉDÉRIC BOUCHARD</w:t>
            </w:r>
          </w:p>
        </w:tc>
      </w:tr>
      <w:tr w:rsidR="00A02E1C" w:rsidRPr="0013463A" w14:paraId="66A4F550" w14:textId="77777777" w:rsidTr="00441107">
        <w:trPr>
          <w:gridAfter w:val="1"/>
          <w:wAfter w:w="6" w:type="dxa"/>
        </w:trPr>
        <w:tc>
          <w:tcPr>
            <w:tcW w:w="9505" w:type="dxa"/>
            <w:gridSpan w:val="7"/>
          </w:tcPr>
          <w:p w14:paraId="3D9A61C1" w14:textId="6F71DF4E" w:rsidR="002E5CA6" w:rsidRPr="0013463A" w:rsidRDefault="00D72E5E">
            <w:pPr>
              <w:pStyle w:val="zSoquijdatNomPartieDef"/>
              <w:rPr>
                <w:b w:val="0"/>
                <w:bCs w:val="0"/>
                <w:lang w:val="en-CA"/>
              </w:rPr>
            </w:pPr>
            <w:r w:rsidRPr="0013463A">
              <w:rPr>
                <w:b w:val="0"/>
                <w:bCs w:val="0"/>
                <w:lang w:val="en-CA"/>
              </w:rPr>
              <w:t>a</w:t>
            </w:r>
            <w:r w:rsidR="00D75EF0" w:rsidRPr="0013463A">
              <w:rPr>
                <w:b w:val="0"/>
                <w:bCs w:val="0"/>
                <w:lang w:val="en-CA"/>
              </w:rPr>
              <w:t>nd</w:t>
            </w:r>
          </w:p>
        </w:tc>
      </w:tr>
      <w:tr w:rsidR="00A02E1C" w:rsidRPr="0013463A" w14:paraId="528EBA5A" w14:textId="77777777" w:rsidTr="00441107">
        <w:trPr>
          <w:gridAfter w:val="1"/>
          <w:wAfter w:w="6" w:type="dxa"/>
        </w:trPr>
        <w:tc>
          <w:tcPr>
            <w:tcW w:w="9505" w:type="dxa"/>
            <w:gridSpan w:val="7"/>
          </w:tcPr>
          <w:p w14:paraId="6163F3D9" w14:textId="77777777" w:rsidR="002E5CA6" w:rsidRPr="0013463A" w:rsidRDefault="001834C5">
            <w:pPr>
              <w:pStyle w:val="zSoquijdatNomPartieDef"/>
              <w:rPr>
                <w:lang w:val="en-CA"/>
              </w:rPr>
            </w:pPr>
            <w:r w:rsidRPr="0013463A">
              <w:rPr>
                <w:lang w:val="en-CA"/>
              </w:rPr>
              <w:t>MICHAEL DUBÉ-BLOUIN</w:t>
            </w:r>
          </w:p>
        </w:tc>
      </w:tr>
      <w:tr w:rsidR="00A02E1C" w:rsidRPr="0013463A" w14:paraId="5362C6BE" w14:textId="77777777" w:rsidTr="00441107">
        <w:trPr>
          <w:gridAfter w:val="1"/>
          <w:wAfter w:w="6" w:type="dxa"/>
        </w:trPr>
        <w:tc>
          <w:tcPr>
            <w:tcW w:w="9505" w:type="dxa"/>
            <w:gridSpan w:val="7"/>
          </w:tcPr>
          <w:p w14:paraId="488FE576" w14:textId="0E983A3A" w:rsidR="002E5CA6" w:rsidRPr="0013463A" w:rsidRDefault="00D72E5E">
            <w:pPr>
              <w:pStyle w:val="zSoquijdatNomPartieDef"/>
              <w:rPr>
                <w:b w:val="0"/>
                <w:bCs w:val="0"/>
                <w:lang w:val="en-CA"/>
              </w:rPr>
            </w:pPr>
            <w:r w:rsidRPr="0013463A">
              <w:rPr>
                <w:b w:val="0"/>
                <w:bCs w:val="0"/>
                <w:lang w:val="en-CA"/>
              </w:rPr>
              <w:t>a</w:t>
            </w:r>
            <w:r w:rsidR="00D75EF0" w:rsidRPr="0013463A">
              <w:rPr>
                <w:b w:val="0"/>
                <w:bCs w:val="0"/>
                <w:lang w:val="en-CA"/>
              </w:rPr>
              <w:t>nd</w:t>
            </w:r>
          </w:p>
        </w:tc>
      </w:tr>
      <w:tr w:rsidR="00A02E1C" w:rsidRPr="0013463A" w14:paraId="3C59F5F7" w14:textId="77777777" w:rsidTr="00441107">
        <w:trPr>
          <w:gridAfter w:val="1"/>
          <w:wAfter w:w="6" w:type="dxa"/>
        </w:trPr>
        <w:tc>
          <w:tcPr>
            <w:tcW w:w="9505" w:type="dxa"/>
            <w:gridSpan w:val="7"/>
          </w:tcPr>
          <w:p w14:paraId="0F6F4FED" w14:textId="77777777" w:rsidR="002E5CA6" w:rsidRPr="0013463A" w:rsidRDefault="001834C5">
            <w:pPr>
              <w:pStyle w:val="zSoquijdatNomPartieDef"/>
              <w:rPr>
                <w:lang w:val="en-CA"/>
              </w:rPr>
            </w:pPr>
            <w:r w:rsidRPr="0013463A">
              <w:rPr>
                <w:lang w:val="en-CA"/>
              </w:rPr>
              <w:lastRenderedPageBreak/>
              <w:t>MYKEL BROUSSEAU</w:t>
            </w:r>
          </w:p>
        </w:tc>
      </w:tr>
      <w:tr w:rsidR="00A02E1C" w:rsidRPr="0013463A" w14:paraId="771820AB" w14:textId="77777777" w:rsidTr="00441107">
        <w:trPr>
          <w:gridAfter w:val="1"/>
          <w:wAfter w:w="6" w:type="dxa"/>
        </w:trPr>
        <w:tc>
          <w:tcPr>
            <w:tcW w:w="9505" w:type="dxa"/>
            <w:gridSpan w:val="7"/>
          </w:tcPr>
          <w:p w14:paraId="623DC76A" w14:textId="08CC59DE" w:rsidR="002E5CA6" w:rsidRPr="0013463A" w:rsidRDefault="00D75EF0">
            <w:pPr>
              <w:pStyle w:val="zSoquijdatNomPartieDef"/>
              <w:rPr>
                <w:b w:val="0"/>
                <w:bCs w:val="0"/>
                <w:lang w:val="en-CA"/>
              </w:rPr>
            </w:pPr>
            <w:r w:rsidRPr="0013463A">
              <w:rPr>
                <w:b w:val="0"/>
                <w:bCs w:val="0"/>
                <w:lang w:val="en-CA"/>
              </w:rPr>
              <w:t>and</w:t>
            </w:r>
          </w:p>
        </w:tc>
      </w:tr>
      <w:tr w:rsidR="00A02E1C" w:rsidRPr="0013463A" w14:paraId="667DD5CB" w14:textId="77777777" w:rsidTr="00441107">
        <w:trPr>
          <w:gridAfter w:val="1"/>
          <w:wAfter w:w="6" w:type="dxa"/>
        </w:trPr>
        <w:tc>
          <w:tcPr>
            <w:tcW w:w="9505" w:type="dxa"/>
            <w:gridSpan w:val="7"/>
          </w:tcPr>
          <w:p w14:paraId="73AA474A" w14:textId="77777777" w:rsidR="002E5CA6" w:rsidRPr="0013463A" w:rsidRDefault="001834C5">
            <w:pPr>
              <w:pStyle w:val="zSoquijdatNomPartieDef"/>
              <w:rPr>
                <w:lang w:val="en-CA"/>
              </w:rPr>
            </w:pPr>
            <w:r w:rsidRPr="0013463A">
              <w:rPr>
                <w:lang w:val="en-CA"/>
              </w:rPr>
              <w:t>SÉBASTIEN ROBITAILLE</w:t>
            </w:r>
          </w:p>
        </w:tc>
      </w:tr>
      <w:tr w:rsidR="00A02E1C" w:rsidRPr="0013463A" w14:paraId="35E657F3" w14:textId="77777777" w:rsidTr="00441107">
        <w:trPr>
          <w:gridAfter w:val="1"/>
          <w:wAfter w:w="6" w:type="dxa"/>
        </w:trPr>
        <w:tc>
          <w:tcPr>
            <w:tcW w:w="9505" w:type="dxa"/>
            <w:gridSpan w:val="7"/>
          </w:tcPr>
          <w:p w14:paraId="047FCCF4" w14:textId="3419D3D1" w:rsidR="00D025F2" w:rsidRPr="0013463A" w:rsidRDefault="00D75EF0">
            <w:pPr>
              <w:pStyle w:val="zSoquijdatQtePartieDef"/>
              <w:rPr>
                <w:lang w:val="en-CA"/>
              </w:rPr>
            </w:pPr>
            <w:r w:rsidRPr="0013463A">
              <w:rPr>
                <w:lang w:val="en-CA"/>
              </w:rPr>
              <w:t>Defendants</w:t>
            </w:r>
          </w:p>
        </w:tc>
      </w:tr>
      <w:tr w:rsidR="00A02E1C" w:rsidRPr="0013463A" w14:paraId="15131459" w14:textId="77777777" w:rsidTr="00441107">
        <w:trPr>
          <w:gridAfter w:val="1"/>
          <w:wAfter w:w="6" w:type="dxa"/>
        </w:trPr>
        <w:tc>
          <w:tcPr>
            <w:tcW w:w="9505" w:type="dxa"/>
            <w:gridSpan w:val="7"/>
          </w:tcPr>
          <w:p w14:paraId="60C8DEAA" w14:textId="6E18A136" w:rsidR="006B6A2A" w:rsidRPr="0013463A" w:rsidRDefault="00D75EF0" w:rsidP="006B6A2A">
            <w:pPr>
              <w:pStyle w:val="zSoquijdatQtePartieDef"/>
              <w:ind w:left="0"/>
              <w:rPr>
                <w:lang w:val="en-CA"/>
              </w:rPr>
            </w:pPr>
            <w:r w:rsidRPr="0013463A">
              <w:rPr>
                <w:lang w:val="en-CA"/>
              </w:rPr>
              <w:t>and</w:t>
            </w:r>
          </w:p>
        </w:tc>
      </w:tr>
      <w:tr w:rsidR="00A02E1C" w:rsidRPr="0013463A" w14:paraId="625925F8" w14:textId="77777777" w:rsidTr="00441107">
        <w:trPr>
          <w:gridAfter w:val="1"/>
          <w:wAfter w:w="6" w:type="dxa"/>
        </w:trPr>
        <w:tc>
          <w:tcPr>
            <w:tcW w:w="9505" w:type="dxa"/>
            <w:gridSpan w:val="7"/>
          </w:tcPr>
          <w:p w14:paraId="18006616" w14:textId="77777777" w:rsidR="006B6A2A" w:rsidRPr="0013463A" w:rsidRDefault="001834C5" w:rsidP="006B6A2A">
            <w:pPr>
              <w:pStyle w:val="zSoquijdatQtePartieDef"/>
              <w:ind w:left="0"/>
              <w:rPr>
                <w:b/>
                <w:lang w:val="en-CA"/>
              </w:rPr>
            </w:pPr>
            <w:r w:rsidRPr="0013463A">
              <w:rPr>
                <w:b/>
                <w:lang w:val="en-CA"/>
              </w:rPr>
              <w:t>SAMUEL TOUSSAINT</w:t>
            </w:r>
          </w:p>
        </w:tc>
      </w:tr>
      <w:tr w:rsidR="00A02E1C" w:rsidRPr="0013463A" w14:paraId="0D2AFA58" w14:textId="77777777" w:rsidTr="00441107">
        <w:trPr>
          <w:gridAfter w:val="1"/>
          <w:wAfter w:w="6" w:type="dxa"/>
        </w:trPr>
        <w:tc>
          <w:tcPr>
            <w:tcW w:w="9505" w:type="dxa"/>
            <w:gridSpan w:val="7"/>
          </w:tcPr>
          <w:p w14:paraId="11127BFB" w14:textId="27C20708" w:rsidR="006B6A2A" w:rsidRPr="0013463A" w:rsidRDefault="00D75EF0" w:rsidP="006B6A2A">
            <w:pPr>
              <w:pStyle w:val="zSoquijdatQtePartieDef"/>
              <w:ind w:left="734"/>
              <w:rPr>
                <w:lang w:val="en-CA"/>
              </w:rPr>
            </w:pPr>
            <w:r w:rsidRPr="0013463A">
              <w:rPr>
                <w:lang w:val="en-CA"/>
              </w:rPr>
              <w:t>Victim and complainant</w:t>
            </w:r>
          </w:p>
        </w:tc>
      </w:tr>
      <w:tr w:rsidR="00A02E1C" w:rsidRPr="0013463A" w14:paraId="61E6AF54" w14:textId="77777777" w:rsidTr="00441107">
        <w:trPr>
          <w:gridAfter w:val="1"/>
          <w:wAfter w:w="6" w:type="dxa"/>
        </w:trPr>
        <w:tc>
          <w:tcPr>
            <w:tcW w:w="9505" w:type="dxa"/>
            <w:gridSpan w:val="7"/>
          </w:tcPr>
          <w:p w14:paraId="44D2B140" w14:textId="77777777" w:rsidR="00CD02C5" w:rsidRPr="0013463A" w:rsidRDefault="00CD02C5" w:rsidP="00CD02C5">
            <w:pPr>
              <w:pStyle w:val="zSoquijdatQtePartieDef"/>
              <w:ind w:left="734"/>
              <w:rPr>
                <w:lang w:val="en-CA"/>
              </w:rPr>
            </w:pPr>
          </w:p>
        </w:tc>
      </w:tr>
      <w:tr w:rsidR="00A02E1C" w:rsidRPr="0013463A" w14:paraId="78504B78" w14:textId="77777777" w:rsidTr="00441107">
        <w:trPr>
          <w:gridAfter w:val="1"/>
          <w:wAfter w:w="6" w:type="dxa"/>
        </w:trPr>
        <w:tc>
          <w:tcPr>
            <w:tcW w:w="9505" w:type="dxa"/>
            <w:gridSpan w:val="7"/>
          </w:tcPr>
          <w:p w14:paraId="69E10381" w14:textId="77777777" w:rsidR="00CD02C5" w:rsidRPr="0013463A" w:rsidRDefault="001834C5" w:rsidP="00CD02C5">
            <w:pPr>
              <w:ind w:left="14" w:right="-95"/>
              <w:rPr>
                <w:lang w:val="en-CA"/>
              </w:rPr>
            </w:pPr>
            <w:r w:rsidRPr="0013463A">
              <w:rPr>
                <w:lang w:val="en-CA"/>
              </w:rPr>
              <w:t>______________________________________________________________________</w:t>
            </w:r>
          </w:p>
        </w:tc>
      </w:tr>
      <w:tr w:rsidR="00A02E1C" w:rsidRPr="0013463A" w14:paraId="40CB04DC" w14:textId="77777777" w:rsidTr="00441107">
        <w:trPr>
          <w:gridAfter w:val="1"/>
          <w:wAfter w:w="6" w:type="dxa"/>
        </w:trPr>
        <w:tc>
          <w:tcPr>
            <w:tcW w:w="9505" w:type="dxa"/>
            <w:gridSpan w:val="7"/>
          </w:tcPr>
          <w:p w14:paraId="3B6C321B" w14:textId="77777777" w:rsidR="00CD02C5" w:rsidRPr="0013463A" w:rsidRDefault="00CD02C5" w:rsidP="00CD02C5">
            <w:pPr>
              <w:jc w:val="center"/>
              <w:rPr>
                <w:lang w:val="en-CA"/>
              </w:rPr>
            </w:pPr>
          </w:p>
        </w:tc>
      </w:tr>
      <w:tr w:rsidR="00A02E1C" w:rsidRPr="0013463A" w14:paraId="030FD3F5" w14:textId="77777777" w:rsidTr="00441107">
        <w:trPr>
          <w:gridAfter w:val="1"/>
          <w:wAfter w:w="6" w:type="dxa"/>
        </w:trPr>
        <w:tc>
          <w:tcPr>
            <w:tcW w:w="9505" w:type="dxa"/>
            <w:gridSpan w:val="7"/>
          </w:tcPr>
          <w:p w14:paraId="47863799" w14:textId="79C680E9" w:rsidR="00CD02C5" w:rsidRPr="0013463A" w:rsidRDefault="00D75EF0" w:rsidP="00CD02C5">
            <w:pPr>
              <w:pStyle w:val="zSoquijlblTypeDocument"/>
              <w:rPr>
                <w:lang w:val="en-CA"/>
              </w:rPr>
            </w:pPr>
            <w:r w:rsidRPr="0013463A">
              <w:rPr>
                <w:lang w:val="en-CA"/>
              </w:rPr>
              <w:t>JUDGMENT</w:t>
            </w:r>
          </w:p>
        </w:tc>
      </w:tr>
      <w:tr w:rsidR="00A02E1C" w:rsidRPr="0013463A" w14:paraId="56AEBA16" w14:textId="77777777" w:rsidTr="00441107">
        <w:trPr>
          <w:gridAfter w:val="1"/>
          <w:wAfter w:w="6" w:type="dxa"/>
        </w:trPr>
        <w:tc>
          <w:tcPr>
            <w:tcW w:w="9505" w:type="dxa"/>
            <w:gridSpan w:val="7"/>
          </w:tcPr>
          <w:p w14:paraId="11431CA6" w14:textId="77777777" w:rsidR="00CD02C5" w:rsidRPr="0013463A" w:rsidRDefault="001834C5" w:rsidP="00CD02C5">
            <w:pPr>
              <w:ind w:left="14" w:right="-70"/>
              <w:rPr>
                <w:lang w:val="en-CA"/>
              </w:rPr>
            </w:pPr>
            <w:r w:rsidRPr="0013463A">
              <w:rPr>
                <w:lang w:val="en-CA"/>
              </w:rPr>
              <w:t>______________________________________________________________________</w:t>
            </w:r>
          </w:p>
        </w:tc>
      </w:tr>
      <w:tr w:rsidR="00A02E1C" w:rsidRPr="0013463A" w14:paraId="2D62D183" w14:textId="77777777" w:rsidTr="00441107">
        <w:trPr>
          <w:gridAfter w:val="1"/>
          <w:wAfter w:w="6" w:type="dxa"/>
        </w:trPr>
        <w:tc>
          <w:tcPr>
            <w:tcW w:w="9505" w:type="dxa"/>
            <w:gridSpan w:val="7"/>
          </w:tcPr>
          <w:p w14:paraId="0825CE2A" w14:textId="77777777" w:rsidR="00CD02C5" w:rsidRPr="0013463A" w:rsidRDefault="00CD02C5" w:rsidP="00CD02C5">
            <w:pPr>
              <w:rPr>
                <w:lang w:val="en-CA"/>
              </w:rPr>
            </w:pPr>
          </w:p>
        </w:tc>
      </w:tr>
    </w:tbl>
    <w:p w14:paraId="430C6788" w14:textId="32BDDE0A" w:rsidR="002E5CA6" w:rsidRPr="0013463A" w:rsidRDefault="00D75EF0">
      <w:pPr>
        <w:pStyle w:val="Paragraphe"/>
        <w:tabs>
          <w:tab w:val="clear" w:pos="360"/>
        </w:tabs>
      </w:pPr>
      <w:r w:rsidRPr="0013463A">
        <w:t>The</w:t>
      </w:r>
      <w:r w:rsidR="001834C5" w:rsidRPr="0013463A">
        <w:t xml:space="preserve"> Commission des droits de la personne et des droits de la jeunesse (CDPDJ), </w:t>
      </w:r>
      <w:r w:rsidRPr="0013463A">
        <w:t xml:space="preserve">acting in the public interest and on behalf of </w:t>
      </w:r>
      <w:r w:rsidR="001834C5" w:rsidRPr="0013463A">
        <w:t xml:space="preserve">Samuel Toussaint, </w:t>
      </w:r>
      <w:r w:rsidRPr="0013463A">
        <w:t>submits that the M</w:t>
      </w:r>
      <w:r w:rsidR="001834C5" w:rsidRPr="0013463A">
        <w:t xml:space="preserve">inistère de la Sécurité publique (MSP) </w:t>
      </w:r>
      <w:r w:rsidRPr="0013463A">
        <w:t>and correctional officers (CO</w:t>
      </w:r>
      <w:r w:rsidR="00D72E5E" w:rsidRPr="0013463A">
        <w:t>s</w:t>
      </w:r>
      <w:r w:rsidRPr="0013463A">
        <w:t>)</w:t>
      </w:r>
      <w:r w:rsidR="001834C5" w:rsidRPr="0013463A">
        <w:t xml:space="preserve"> Kevin Leclerc, Jonathan Belcourt, Jean-René Brousseau, Hugues Comeau-Bastien, Jean-Bruno Gagnon, Frédéric Bouchard, Michael Dubé-Blouin, Mykel Brousseau</w:t>
      </w:r>
      <w:r w:rsidRPr="0013463A">
        <w:t>,</w:t>
      </w:r>
      <w:r w:rsidR="001834C5" w:rsidRPr="0013463A">
        <w:t xml:space="preserve"> </w:t>
      </w:r>
      <w:r w:rsidRPr="0013463A">
        <w:t>and</w:t>
      </w:r>
      <w:r w:rsidR="001834C5" w:rsidRPr="0013463A">
        <w:t xml:space="preserve"> Sébastien Robitaille </w:t>
      </w:r>
      <w:r w:rsidR="00037D95" w:rsidRPr="0013463A">
        <w:t xml:space="preserve">practised discrimination against Mr. Toussaint on the basis of race, colour, and handicap, while he was serving an intermittent sentence of imprisonment, thereby </w:t>
      </w:r>
      <w:r w:rsidR="00D72E5E" w:rsidRPr="0013463A">
        <w:t>interfer</w:t>
      </w:r>
      <w:r w:rsidR="00EC1684" w:rsidRPr="0013463A">
        <w:t xml:space="preserve">ing in a discriminatory manner </w:t>
      </w:r>
      <w:r w:rsidR="00D72E5E" w:rsidRPr="0013463A">
        <w:t>with</w:t>
      </w:r>
      <w:r w:rsidR="00037D95" w:rsidRPr="0013463A">
        <w:t xml:space="preserve"> his rights under the </w:t>
      </w:r>
      <w:r w:rsidR="00037D95" w:rsidRPr="0013463A">
        <w:rPr>
          <w:i/>
          <w:iCs/>
        </w:rPr>
        <w:t>Charter of human rights and freedoms</w:t>
      </w:r>
      <w:r w:rsidR="001834C5" w:rsidRPr="0013463A">
        <w:rPr>
          <w:rStyle w:val="Appelnotedebasdep"/>
        </w:rPr>
        <w:footnoteReference w:id="2"/>
      </w:r>
      <w:r w:rsidR="001834C5" w:rsidRPr="0013463A">
        <w:t xml:space="preserve"> (</w:t>
      </w:r>
      <w:r w:rsidR="00037D95" w:rsidRPr="0013463A">
        <w:t xml:space="preserve">the </w:t>
      </w:r>
      <w:r w:rsidR="00037D95" w:rsidRPr="0013463A">
        <w:rPr>
          <w:i/>
          <w:iCs/>
        </w:rPr>
        <w:t>Charter</w:t>
      </w:r>
      <w:r w:rsidR="001834C5" w:rsidRPr="0013463A">
        <w:t>).</w:t>
      </w:r>
    </w:p>
    <w:p w14:paraId="4DEC972F" w14:textId="65B79527" w:rsidR="002E5CA6" w:rsidRPr="0013463A" w:rsidRDefault="00D72E5E">
      <w:pPr>
        <w:pStyle w:val="Paragraphe"/>
        <w:tabs>
          <w:tab w:val="clear" w:pos="360"/>
        </w:tabs>
      </w:pPr>
      <w:r w:rsidRPr="0013463A">
        <w:t>The CDPDJ, o</w:t>
      </w:r>
      <w:r w:rsidR="00037D95" w:rsidRPr="0013463A">
        <w:t xml:space="preserve">n behalf of Mr. Toussaint, asks that the Attorney General of Quebec (AGQ) and the defendant </w:t>
      </w:r>
      <w:r w:rsidR="00110E24" w:rsidRPr="0013463A">
        <w:t>CO</w:t>
      </w:r>
      <w:r w:rsidR="00037D95" w:rsidRPr="0013463A">
        <w:t>s be solidarily condemned to pay $50,000 in moral damages.</w:t>
      </w:r>
    </w:p>
    <w:p w14:paraId="0870CA8F" w14:textId="13A2B692" w:rsidR="002E5CA6" w:rsidRPr="0013463A" w:rsidRDefault="00037D95">
      <w:pPr>
        <w:pStyle w:val="Paragraphe"/>
        <w:tabs>
          <w:tab w:val="clear" w:pos="360"/>
        </w:tabs>
      </w:pPr>
      <w:r w:rsidRPr="0013463A">
        <w:t xml:space="preserve">The CDPDJ also asks that each </w:t>
      </w:r>
      <w:r w:rsidR="00C41D7B" w:rsidRPr="0013463A">
        <w:t>of</w:t>
      </w:r>
      <w:r w:rsidRPr="0013463A">
        <w:t xml:space="preserve"> the </w:t>
      </w:r>
      <w:r w:rsidR="00110E24" w:rsidRPr="0013463A">
        <w:t>CO</w:t>
      </w:r>
      <w:r w:rsidRPr="0013463A">
        <w:t>s be personally condemned to pay $2,000 in punitive damages for unlawful and intentional interference with Mr. Toussaint’s rights.</w:t>
      </w:r>
    </w:p>
    <w:p w14:paraId="6A177350" w14:textId="21716F88" w:rsidR="002E5CA6" w:rsidRPr="0013463A" w:rsidRDefault="00D72E5E">
      <w:pPr>
        <w:pStyle w:val="Paragraphe"/>
        <w:tabs>
          <w:tab w:val="clear" w:pos="360"/>
        </w:tabs>
      </w:pPr>
      <w:r w:rsidRPr="0013463A">
        <w:t>In addition</w:t>
      </w:r>
      <w:r w:rsidR="00037D95" w:rsidRPr="0013463A">
        <w:t>, the CDPDJ ask</w:t>
      </w:r>
      <w:r w:rsidR="008A6C9B">
        <w:t>s</w:t>
      </w:r>
      <w:r w:rsidR="00037D95" w:rsidRPr="0013463A">
        <w:t xml:space="preserve"> the Tribunal to issue several orders against the AGQ in the public interest to ensure </w:t>
      </w:r>
      <w:r w:rsidRPr="0013463A">
        <w:t xml:space="preserve">that </w:t>
      </w:r>
      <w:r w:rsidR="00037D95" w:rsidRPr="0013463A">
        <w:t xml:space="preserve">all racial profiling practices in </w:t>
      </w:r>
      <w:r w:rsidR="008A6C9B">
        <w:t>correctional</w:t>
      </w:r>
      <w:r w:rsidR="00037D95" w:rsidRPr="0013463A">
        <w:t xml:space="preserve"> facilities cease.</w:t>
      </w:r>
    </w:p>
    <w:p w14:paraId="20AFBA14" w14:textId="5BDAC389" w:rsidR="002E5CA6" w:rsidRPr="0013463A" w:rsidRDefault="00037D95">
      <w:pPr>
        <w:pStyle w:val="Paragraphe"/>
        <w:tabs>
          <w:tab w:val="clear" w:pos="360"/>
        </w:tabs>
      </w:pPr>
      <w:r w:rsidRPr="0013463A">
        <w:t xml:space="preserve">The AGQ denies that the </w:t>
      </w:r>
      <w:r w:rsidR="00110E24" w:rsidRPr="0013463A">
        <w:t>C</w:t>
      </w:r>
      <w:r w:rsidR="00433F46" w:rsidRPr="0013463A">
        <w:t>O</w:t>
      </w:r>
      <w:r w:rsidRPr="0013463A">
        <w:t xml:space="preserve">s of the MSP acted in a discriminatory manner in the circumstances and </w:t>
      </w:r>
      <w:r w:rsidR="00EA0E0D" w:rsidRPr="0013463A">
        <w:t>submits</w:t>
      </w:r>
      <w:r w:rsidRPr="0013463A">
        <w:t xml:space="preserve"> </w:t>
      </w:r>
      <w:r w:rsidR="00C41D7B" w:rsidRPr="0013463A">
        <w:t>that</w:t>
      </w:r>
      <w:r w:rsidRPr="0013463A">
        <w:t xml:space="preserve"> the intervention with Mr. Toussaint w</w:t>
      </w:r>
      <w:r w:rsidR="00221200">
        <w:t>as</w:t>
      </w:r>
      <w:r w:rsidRPr="0013463A">
        <w:t xml:space="preserve"> reasonable and proportionate</w:t>
      </w:r>
      <w:r w:rsidR="00EA0E0D" w:rsidRPr="0013463A">
        <w:t xml:space="preserve">, </w:t>
      </w:r>
      <w:r w:rsidR="00BD2D28">
        <w:t>under</w:t>
      </w:r>
      <w:r w:rsidR="00EA0E0D" w:rsidRPr="0013463A">
        <w:t xml:space="preserve"> </w:t>
      </w:r>
      <w:r w:rsidRPr="0013463A">
        <w:t>the circumstances.</w:t>
      </w:r>
      <w:r w:rsidR="001834C5" w:rsidRPr="0013463A">
        <w:t xml:space="preserve"> </w:t>
      </w:r>
    </w:p>
    <w:p w14:paraId="108247F7" w14:textId="19FAD7A7" w:rsidR="002E5CA6" w:rsidRPr="0013463A" w:rsidRDefault="00037D95">
      <w:pPr>
        <w:pStyle w:val="Paragraphe"/>
        <w:tabs>
          <w:tab w:val="clear" w:pos="360"/>
        </w:tabs>
      </w:pPr>
      <w:r w:rsidRPr="0013463A">
        <w:t>It should be noted that</w:t>
      </w:r>
      <w:r w:rsidR="000D71B6">
        <w:t>,</w:t>
      </w:r>
      <w:r w:rsidR="00DB6137" w:rsidRPr="0013463A">
        <w:t xml:space="preserve"> </w:t>
      </w:r>
      <w:r w:rsidR="00A132A1" w:rsidRPr="0013463A">
        <w:t>at the outset of the trial</w:t>
      </w:r>
      <w:r w:rsidR="00A132A1">
        <w:t>,</w:t>
      </w:r>
      <w:r w:rsidR="00A132A1" w:rsidRPr="0013463A">
        <w:t xml:space="preserve"> </w:t>
      </w:r>
      <w:r w:rsidRPr="0013463A">
        <w:t xml:space="preserve">the Tribunal visited the premises where the facts </w:t>
      </w:r>
      <w:r w:rsidR="00217249" w:rsidRPr="0013463A">
        <w:t>in question</w:t>
      </w:r>
      <w:r w:rsidRPr="0013463A">
        <w:t xml:space="preserve"> took place</w:t>
      </w:r>
      <w:r w:rsidR="000D06F6" w:rsidRPr="0013463A">
        <w:t xml:space="preserve"> </w:t>
      </w:r>
      <w:r w:rsidRPr="0013463A">
        <w:t>and that</w:t>
      </w:r>
      <w:r w:rsidR="000D06F6" w:rsidRPr="0013463A">
        <w:t xml:space="preserve"> </w:t>
      </w:r>
      <w:r w:rsidRPr="0013463A">
        <w:t xml:space="preserve">the various pieces of evidence presented </w:t>
      </w:r>
      <w:r w:rsidRPr="0013463A">
        <w:lastRenderedPageBreak/>
        <w:t>at the hearing included silent video recordings by static cameras at the Centre de détention de Québec (CDQ).</w:t>
      </w:r>
      <w:r w:rsidR="001834C5" w:rsidRPr="0013463A">
        <w:t xml:space="preserve"> </w:t>
      </w:r>
      <w:r w:rsidRPr="0013463A">
        <w:t xml:space="preserve">The images recorded </w:t>
      </w:r>
      <w:r w:rsidR="000D06F6" w:rsidRPr="0013463A">
        <w:t xml:space="preserve">– </w:t>
      </w:r>
      <w:r w:rsidRPr="0013463A">
        <w:t xml:space="preserve">some of them a little blurry </w:t>
      </w:r>
      <w:r w:rsidR="000D06F6" w:rsidRPr="0013463A">
        <w:t>–</w:t>
      </w:r>
      <w:r w:rsidRPr="0013463A">
        <w:t xml:space="preserve"> make it possible to view some of the sequences of events</w:t>
      </w:r>
      <w:r w:rsidR="00281175" w:rsidRPr="0013463A">
        <w:t xml:space="preserve"> that are</w:t>
      </w:r>
      <w:r w:rsidRPr="0013463A">
        <w:t xml:space="preserve"> at issue.</w:t>
      </w:r>
    </w:p>
    <w:p w14:paraId="710F9922" w14:textId="04C3E951" w:rsidR="00154479" w:rsidRPr="00A132A1" w:rsidRDefault="00037D95">
      <w:pPr>
        <w:pStyle w:val="Titre1"/>
        <w:rPr>
          <w:lang w:val="en-CA"/>
        </w:rPr>
      </w:pPr>
      <w:r w:rsidRPr="000D71B6">
        <w:rPr>
          <w:lang w:val="en-CA"/>
        </w:rPr>
        <w:t xml:space="preserve">ISSUES </w:t>
      </w:r>
    </w:p>
    <w:p w14:paraId="7E729559" w14:textId="5CFDC580" w:rsidR="002E5CA6" w:rsidRPr="0013463A" w:rsidRDefault="00037D95">
      <w:pPr>
        <w:pStyle w:val="Paragraphe"/>
        <w:tabs>
          <w:tab w:val="clear" w:pos="360"/>
        </w:tabs>
      </w:pPr>
      <w:r w:rsidRPr="0013463A">
        <w:t>The Tribunal is asked to answer the following questions:</w:t>
      </w:r>
    </w:p>
    <w:p w14:paraId="0CD87C09" w14:textId="3434AE18" w:rsidR="002E5CA6" w:rsidRPr="0013463A" w:rsidRDefault="00037D95">
      <w:pPr>
        <w:pStyle w:val="Paragraphe"/>
        <w:numPr>
          <w:ilvl w:val="0"/>
          <w:numId w:val="5"/>
        </w:numPr>
      </w:pPr>
      <w:r w:rsidRPr="0013463A">
        <w:t xml:space="preserve">Has the CDPDJ successfully </w:t>
      </w:r>
      <w:r w:rsidR="00217249" w:rsidRPr="0013463A">
        <w:t>established</w:t>
      </w:r>
      <w:r w:rsidRPr="0013463A">
        <w:t xml:space="preserve">, on a balance of </w:t>
      </w:r>
      <w:r w:rsidR="00281175" w:rsidRPr="0013463A">
        <w:t>probabilities</w:t>
      </w:r>
      <w:r w:rsidRPr="0013463A">
        <w:t>, that Mr.</w:t>
      </w:r>
      <w:r w:rsidR="00C95E2A" w:rsidRPr="0013463A">
        <w:t> </w:t>
      </w:r>
      <w:r w:rsidRPr="0013463A">
        <w:t xml:space="preserve">Toussaint </w:t>
      </w:r>
      <w:r w:rsidR="00C95E2A" w:rsidRPr="0013463A">
        <w:t xml:space="preserve">was subjected to </w:t>
      </w:r>
      <w:r w:rsidRPr="0013463A">
        <w:t xml:space="preserve">discriminatory treatment based on handicap, race, and colour, thereby </w:t>
      </w:r>
      <w:r w:rsidR="00281175" w:rsidRPr="0013463A">
        <w:t>interfering</w:t>
      </w:r>
      <w:r w:rsidRPr="0013463A">
        <w:t xml:space="preserve"> with his right to full and equal recognition and exercise of his rights under sections 1, 4, 10, 24, 24.1, 25, and 26 of the </w:t>
      </w:r>
      <w:r w:rsidRPr="0013463A">
        <w:rPr>
          <w:i/>
          <w:iCs/>
        </w:rPr>
        <w:t>Charter</w:t>
      </w:r>
      <w:r w:rsidRPr="0013463A">
        <w:t>?</w:t>
      </w:r>
    </w:p>
    <w:p w14:paraId="681B0CC1" w14:textId="1670AB58" w:rsidR="002E5CA6" w:rsidRPr="0013463A" w:rsidRDefault="00037D95">
      <w:pPr>
        <w:pStyle w:val="Paragraphe"/>
        <w:numPr>
          <w:ilvl w:val="0"/>
          <w:numId w:val="5"/>
        </w:numPr>
      </w:pPr>
      <w:r w:rsidRPr="0013463A">
        <w:t xml:space="preserve">If so, has the AGQ shown that no accommodation measures were possible without exposing the </w:t>
      </w:r>
      <w:r w:rsidR="00110E24" w:rsidRPr="0013463A">
        <w:t>CO</w:t>
      </w:r>
      <w:r w:rsidRPr="0013463A">
        <w:t>s to “undue hardship” or that their intervention was otherwise justified?</w:t>
      </w:r>
    </w:p>
    <w:p w14:paraId="70C53DBF" w14:textId="7EADDDAC" w:rsidR="002E5CA6" w:rsidRPr="0013463A" w:rsidRDefault="00037D95">
      <w:pPr>
        <w:pStyle w:val="Paragraphe"/>
        <w:numPr>
          <w:ilvl w:val="0"/>
          <w:numId w:val="5"/>
        </w:numPr>
      </w:pPr>
      <w:r w:rsidRPr="0013463A">
        <w:t>If not, what remedies should be awarded in</w:t>
      </w:r>
      <w:r w:rsidR="006740CD" w:rsidRPr="0013463A">
        <w:t xml:space="preserve"> favour of</w:t>
      </w:r>
      <w:r w:rsidRPr="0013463A">
        <w:t xml:space="preserve"> Mr. Toussaint</w:t>
      </w:r>
      <w:r w:rsidR="00BA773A" w:rsidRPr="0013463A">
        <w:t>,</w:t>
      </w:r>
      <w:r w:rsidRPr="0013463A">
        <w:t xml:space="preserve"> on the one hand, and in the public interest</w:t>
      </w:r>
      <w:r w:rsidR="00BA773A" w:rsidRPr="0013463A">
        <w:t>,</w:t>
      </w:r>
      <w:r w:rsidRPr="0013463A">
        <w:t xml:space="preserve"> on the other</w:t>
      </w:r>
      <w:r w:rsidR="006740CD" w:rsidRPr="0013463A">
        <w:t>?</w:t>
      </w:r>
    </w:p>
    <w:p w14:paraId="59DECF55" w14:textId="17AC4788" w:rsidR="00154479" w:rsidRPr="0013463A" w:rsidRDefault="00037D95">
      <w:pPr>
        <w:pStyle w:val="Titre1"/>
        <w:rPr>
          <w:lang w:val="en-CA"/>
        </w:rPr>
      </w:pPr>
      <w:r w:rsidRPr="0013463A">
        <w:rPr>
          <w:lang w:val="en-CA"/>
        </w:rPr>
        <w:t>BACKGROUND</w:t>
      </w:r>
    </w:p>
    <w:p w14:paraId="53C4CEF6" w14:textId="5FE66A17" w:rsidR="005B46F4" w:rsidRPr="0013463A" w:rsidRDefault="00037D95">
      <w:pPr>
        <w:pStyle w:val="Paragraphe"/>
        <w:tabs>
          <w:tab w:val="clear" w:pos="360"/>
        </w:tabs>
      </w:pPr>
      <w:r w:rsidRPr="0013463A">
        <w:t xml:space="preserve">The facts </w:t>
      </w:r>
      <w:r w:rsidR="006740CD" w:rsidRPr="0013463A">
        <w:t>at the heart of this dispute</w:t>
      </w:r>
      <w:r w:rsidRPr="0013463A">
        <w:t xml:space="preserve"> took place at the CDQ on </w:t>
      </w:r>
      <w:r w:rsidR="00281175" w:rsidRPr="0013463A">
        <w:t>December</w:t>
      </w:r>
      <w:r w:rsidRPr="0013463A">
        <w:t xml:space="preserve"> 4, 201</w:t>
      </w:r>
      <w:r w:rsidR="00D102BC">
        <w:t>6</w:t>
      </w:r>
      <w:r w:rsidRPr="0013463A">
        <w:t>.</w:t>
      </w:r>
    </w:p>
    <w:p w14:paraId="4044A077" w14:textId="179A480F" w:rsidR="005B46F4" w:rsidRPr="0013463A" w:rsidRDefault="00037D95">
      <w:pPr>
        <w:pStyle w:val="Paragraphe"/>
        <w:tabs>
          <w:tab w:val="clear" w:pos="360"/>
        </w:tabs>
      </w:pPr>
      <w:r w:rsidRPr="0013463A">
        <w:t>Before</w:t>
      </w:r>
      <w:r w:rsidR="006740CD" w:rsidRPr="0013463A">
        <w:t xml:space="preserve"> providing as thorough an account as possible</w:t>
      </w:r>
      <w:r w:rsidRPr="0013463A">
        <w:t xml:space="preserve">, the Tribunal </w:t>
      </w:r>
      <w:r w:rsidR="000D71B6">
        <w:t>finds</w:t>
      </w:r>
      <w:r w:rsidR="006740CD" w:rsidRPr="0013463A">
        <w:t xml:space="preserve"> it important to note </w:t>
      </w:r>
      <w:r w:rsidR="00281175" w:rsidRPr="0013463A">
        <w:t>that</w:t>
      </w:r>
      <w:r w:rsidRPr="0013463A">
        <w:t xml:space="preserve"> the parties’ versions overlap in several respects.</w:t>
      </w:r>
      <w:r w:rsidR="001834C5" w:rsidRPr="0013463A">
        <w:t xml:space="preserve"> </w:t>
      </w:r>
      <w:r w:rsidR="00BA773A" w:rsidRPr="0013463A">
        <w:t xml:space="preserve">Above all, it </w:t>
      </w:r>
      <w:r w:rsidRPr="0013463A">
        <w:t>is their perceptions and interpretations of the events, as well as their evaluation of whether</w:t>
      </w:r>
      <w:r w:rsidR="006740CD" w:rsidRPr="0013463A">
        <w:t xml:space="preserve"> or not </w:t>
      </w:r>
      <w:r w:rsidRPr="0013463A">
        <w:t>those events were discriminatory, that differ.</w:t>
      </w:r>
    </w:p>
    <w:p w14:paraId="23CCBAB1" w14:textId="5665F2D1" w:rsidR="005B46F4" w:rsidRPr="0013463A" w:rsidRDefault="00037D95" w:rsidP="006A28AF">
      <w:pPr>
        <w:pStyle w:val="Paragraphe"/>
      </w:pPr>
      <w:r w:rsidRPr="0013463A">
        <w:t xml:space="preserve">While some of the </w:t>
      </w:r>
      <w:r w:rsidR="00110E24" w:rsidRPr="0013463A">
        <w:t>CO</w:t>
      </w:r>
      <w:r w:rsidRPr="0013463A">
        <w:t>s testif</w:t>
      </w:r>
      <w:r w:rsidR="006740CD" w:rsidRPr="0013463A">
        <w:t xml:space="preserve">ied that </w:t>
      </w:r>
      <w:r w:rsidRPr="0013463A">
        <w:t xml:space="preserve">they </w:t>
      </w:r>
      <w:r w:rsidR="006740CD" w:rsidRPr="0013463A">
        <w:t xml:space="preserve">have </w:t>
      </w:r>
      <w:r w:rsidRPr="0013463A">
        <w:t xml:space="preserve">little or no memory of the events, their </w:t>
      </w:r>
      <w:r w:rsidR="006740CD" w:rsidRPr="0013463A">
        <w:t>[</w:t>
      </w:r>
      <w:r w:rsidR="006740CD" w:rsidRPr="0013463A">
        <w:rPr>
          <w:smallCaps/>
        </w:rPr>
        <w:t>translation</w:t>
      </w:r>
      <w:r w:rsidR="006740CD" w:rsidRPr="0013463A">
        <w:t xml:space="preserve">] </w:t>
      </w:r>
      <w:r w:rsidRPr="0013463A">
        <w:t>“</w:t>
      </w:r>
      <w:r w:rsidR="00B86D59">
        <w:t>intervention</w:t>
      </w:r>
      <w:r w:rsidR="006740CD" w:rsidRPr="0013463A">
        <w:t xml:space="preserve"> </w:t>
      </w:r>
      <w:r w:rsidRPr="0013463A">
        <w:t xml:space="preserve">reports” and their </w:t>
      </w:r>
      <w:r w:rsidR="006740CD" w:rsidRPr="0013463A">
        <w:t>testimony all state essentially the same thing</w:t>
      </w:r>
      <w:r w:rsidRPr="0013463A">
        <w:t>, with only a few small exceptions.</w:t>
      </w:r>
    </w:p>
    <w:p w14:paraId="0022DA64" w14:textId="24A2CFEB" w:rsidR="00D87714" w:rsidRPr="0013463A" w:rsidRDefault="00037D95" w:rsidP="006A28AF">
      <w:pPr>
        <w:pStyle w:val="Paragraphe"/>
      </w:pPr>
      <w:r w:rsidRPr="0013463A">
        <w:t>Mr. Toussaint is a Black man who</w:t>
      </w:r>
      <w:r w:rsidR="006740CD" w:rsidRPr="0013463A">
        <w:t>, at the time of the events,</w:t>
      </w:r>
      <w:r w:rsidRPr="0013463A">
        <w:t xml:space="preserve"> was 21 years old </w:t>
      </w:r>
      <w:r w:rsidR="006740CD" w:rsidRPr="0013463A">
        <w:t xml:space="preserve">and </w:t>
      </w:r>
      <w:r w:rsidR="00BA773A" w:rsidRPr="0013463A">
        <w:t xml:space="preserve">a student in </w:t>
      </w:r>
      <w:r w:rsidRPr="0013463A">
        <w:t xml:space="preserve">an industrial electronics technical program at </w:t>
      </w:r>
      <w:r w:rsidR="006740CD" w:rsidRPr="0013463A">
        <w:t xml:space="preserve">CEGEP </w:t>
      </w:r>
      <w:r w:rsidRPr="0013463A">
        <w:t>de Limoilou.</w:t>
      </w:r>
      <w:r w:rsidR="001834C5" w:rsidRPr="0013463A">
        <w:t xml:space="preserve"> </w:t>
      </w:r>
    </w:p>
    <w:p w14:paraId="5420E9BF" w14:textId="17BB5771" w:rsidR="005B46F4" w:rsidRPr="0013463A" w:rsidRDefault="00037D95" w:rsidP="006A28AF">
      <w:pPr>
        <w:pStyle w:val="Paragraphe"/>
      </w:pPr>
      <w:r w:rsidRPr="0013463A">
        <w:t xml:space="preserve">On weekends, he was serving an intermittent </w:t>
      </w:r>
      <w:r w:rsidR="00A640DF" w:rsidRPr="00A640DF">
        <w:t>sentence of imprisonment</w:t>
      </w:r>
      <w:r w:rsidR="00A640DF" w:rsidRPr="00A640DF" w:rsidDel="00A640DF">
        <w:t xml:space="preserve"> </w:t>
      </w:r>
      <w:r w:rsidRPr="0013463A">
        <w:t>of 82 days for an assault conviction.</w:t>
      </w:r>
      <w:r w:rsidR="00806C81" w:rsidRPr="0013463A">
        <w:rPr>
          <w:rStyle w:val="Appelnotedebasdep"/>
        </w:rPr>
        <w:footnoteReference w:id="3"/>
      </w:r>
    </w:p>
    <w:p w14:paraId="1627D917" w14:textId="2174259D" w:rsidR="006740CD" w:rsidRPr="0013463A" w:rsidRDefault="00037D95" w:rsidP="006A28AF">
      <w:pPr>
        <w:pStyle w:val="Paragraphe"/>
      </w:pPr>
      <w:r w:rsidRPr="0013463A">
        <w:lastRenderedPageBreak/>
        <w:t xml:space="preserve">According to his </w:t>
      </w:r>
      <w:r w:rsidR="006740CD" w:rsidRPr="0013463A">
        <w:t>i</w:t>
      </w:r>
      <w:r w:rsidRPr="0013463A">
        <w:t xml:space="preserve">ntermittent </w:t>
      </w:r>
      <w:r w:rsidR="006740CD" w:rsidRPr="0013463A">
        <w:t>se</w:t>
      </w:r>
      <w:r w:rsidRPr="0013463A">
        <w:t xml:space="preserve">ntence </w:t>
      </w:r>
      <w:r w:rsidR="006740CD" w:rsidRPr="0013463A">
        <w:t>s</w:t>
      </w:r>
      <w:r w:rsidRPr="0013463A">
        <w:t>chedule,</w:t>
      </w:r>
      <w:r w:rsidRPr="0013463A">
        <w:rPr>
          <w:rStyle w:val="Appelnotedebasdep"/>
        </w:rPr>
        <w:footnoteReference w:id="4"/>
      </w:r>
      <w:r w:rsidRPr="0013463A">
        <w:t xml:space="preserve"> the sentence began on April 23, 2016, and was </w:t>
      </w:r>
      <w:r w:rsidR="006740CD" w:rsidRPr="0013463A">
        <w:t xml:space="preserve">supposed </w:t>
      </w:r>
      <w:r w:rsidRPr="0013463A">
        <w:t>to end on January 29, 2017.</w:t>
      </w:r>
    </w:p>
    <w:p w14:paraId="5234D469" w14:textId="4370D7DA" w:rsidR="000D2B6C" w:rsidRPr="0013463A" w:rsidRDefault="006740CD" w:rsidP="006A28AF">
      <w:pPr>
        <w:pStyle w:val="Paragraphe"/>
      </w:pPr>
      <w:r w:rsidRPr="0013463A">
        <w:t xml:space="preserve">On Sunday, December 4, 2016, around 9 a.m., he went to the CDQ to serve his </w:t>
      </w:r>
      <w:r w:rsidR="00037D95" w:rsidRPr="0013463A">
        <w:t>33rd weekend in</w:t>
      </w:r>
      <w:r w:rsidRPr="0013463A">
        <w:t xml:space="preserve"> confinement</w:t>
      </w:r>
      <w:r w:rsidR="00037D95" w:rsidRPr="0013463A">
        <w:t>.</w:t>
      </w:r>
    </w:p>
    <w:p w14:paraId="4FC5B149" w14:textId="41F9874C" w:rsidR="000D2B6C" w:rsidRPr="0013463A" w:rsidRDefault="00037D95" w:rsidP="000D2B6C">
      <w:pPr>
        <w:pStyle w:val="Paragraphe"/>
        <w:numPr>
          <w:ilvl w:val="0"/>
          <w:numId w:val="0"/>
        </w:numPr>
        <w:rPr>
          <w:b/>
          <w:bCs/>
          <w:i/>
          <w:iCs/>
          <w:u w:val="single"/>
        </w:rPr>
      </w:pPr>
      <w:r w:rsidRPr="0013463A">
        <w:rPr>
          <w:b/>
          <w:bCs/>
          <w:i/>
          <w:iCs/>
          <w:u w:val="single"/>
        </w:rPr>
        <w:t>Arrival at the facility</w:t>
      </w:r>
    </w:p>
    <w:p w14:paraId="6E2F21FF" w14:textId="38A87C80" w:rsidR="000D2B6C" w:rsidRPr="0013463A" w:rsidRDefault="00C55313" w:rsidP="006A28AF">
      <w:pPr>
        <w:pStyle w:val="Paragraphe"/>
      </w:pPr>
      <w:r>
        <w:t>Once</w:t>
      </w:r>
      <w:r w:rsidR="0006366B" w:rsidRPr="0013463A">
        <w:t xml:space="preserve"> n</w:t>
      </w:r>
      <w:r w:rsidR="00037D95" w:rsidRPr="0013463A">
        <w:t xml:space="preserve">ear the </w:t>
      </w:r>
      <w:r w:rsidR="00F85EF9" w:rsidRPr="0013463A">
        <w:t>admissions</w:t>
      </w:r>
      <w:r w:rsidR="00037D95" w:rsidRPr="0013463A">
        <w:t xml:space="preserve"> </w:t>
      </w:r>
      <w:r w:rsidR="00806C81" w:rsidRPr="0013463A">
        <w:t>[</w:t>
      </w:r>
      <w:r w:rsidR="00806C81" w:rsidRPr="0013463A">
        <w:rPr>
          <w:smallCaps/>
        </w:rPr>
        <w:t>translation</w:t>
      </w:r>
      <w:r w:rsidR="00806C81" w:rsidRPr="0013463A">
        <w:t xml:space="preserve">] </w:t>
      </w:r>
      <w:r w:rsidR="00037D95" w:rsidRPr="0013463A">
        <w:t>“garage”</w:t>
      </w:r>
      <w:r w:rsidR="00037D95" w:rsidRPr="0013463A">
        <w:rPr>
          <w:rStyle w:val="Appelnotedebasdep"/>
        </w:rPr>
        <w:footnoteReference w:id="5"/>
      </w:r>
      <w:r w:rsidR="00037D95" w:rsidRPr="0013463A">
        <w:t xml:space="preserve"> where inmates arrive to serve </w:t>
      </w:r>
      <w:r w:rsidR="0006366B" w:rsidRPr="0013463A">
        <w:t xml:space="preserve">their </w:t>
      </w:r>
      <w:r w:rsidR="00E4682E" w:rsidRPr="0013463A">
        <w:t xml:space="preserve">intermittent </w:t>
      </w:r>
      <w:r w:rsidR="00037D95" w:rsidRPr="0013463A">
        <w:t>sentences, Mr. Toussaint smoked a cigarette near a wall.</w:t>
      </w:r>
    </w:p>
    <w:p w14:paraId="213823BB" w14:textId="0A844280" w:rsidR="000D2B6C" w:rsidRPr="0013463A" w:rsidRDefault="0006366B" w:rsidP="006A28AF">
      <w:pPr>
        <w:pStyle w:val="Paragraphe"/>
      </w:pPr>
      <w:r w:rsidRPr="0013463A">
        <w:t xml:space="preserve">At the time, </w:t>
      </w:r>
      <w:r w:rsidR="00110E24" w:rsidRPr="0013463A">
        <w:t>CO</w:t>
      </w:r>
      <w:r w:rsidR="00037D95" w:rsidRPr="0013463A">
        <w:t xml:space="preserve"> Jonathan Belcourt was </w:t>
      </w:r>
      <w:r w:rsidR="006740CD" w:rsidRPr="0013463A">
        <w:t>in a car</w:t>
      </w:r>
      <w:r w:rsidR="00514392">
        <w:t>,</w:t>
      </w:r>
      <w:r w:rsidR="006740CD" w:rsidRPr="0013463A">
        <w:t xml:space="preserve"> </w:t>
      </w:r>
      <w:r w:rsidR="00037D95" w:rsidRPr="0013463A">
        <w:t xml:space="preserve">patrolling the CDQ parking lot, </w:t>
      </w:r>
      <w:r w:rsidR="00433F46">
        <w:t>conduct</w:t>
      </w:r>
      <w:r w:rsidR="00433F46" w:rsidRPr="0013463A">
        <w:t xml:space="preserve">ing </w:t>
      </w:r>
      <w:r w:rsidR="00037D95" w:rsidRPr="0013463A">
        <w:t>surveillance</w:t>
      </w:r>
      <w:r w:rsidR="00514392">
        <w:t>,</w:t>
      </w:r>
      <w:r w:rsidR="00037D95" w:rsidRPr="0013463A">
        <w:t xml:space="preserve"> and ensuring compliance with the rules and respect for the premises, property</w:t>
      </w:r>
      <w:r w:rsidR="006740CD" w:rsidRPr="0013463A">
        <w:t>,</w:t>
      </w:r>
      <w:r w:rsidR="00037D95" w:rsidRPr="0013463A">
        <w:t xml:space="preserve"> and persons. </w:t>
      </w:r>
      <w:r w:rsidR="001834C5" w:rsidRPr="0013463A">
        <w:t xml:space="preserve"> </w:t>
      </w:r>
    </w:p>
    <w:p w14:paraId="01BF8C96" w14:textId="2CC15D49" w:rsidR="000D2B6C" w:rsidRPr="0013463A" w:rsidRDefault="00037D95" w:rsidP="006A28AF">
      <w:pPr>
        <w:pStyle w:val="Paragraphe"/>
      </w:pPr>
      <w:r w:rsidRPr="0013463A">
        <w:t xml:space="preserve">He </w:t>
      </w:r>
      <w:r w:rsidR="006740CD" w:rsidRPr="0013463A">
        <w:t>observed</w:t>
      </w:r>
      <w:r w:rsidRPr="0013463A">
        <w:t xml:space="preserve"> Mr. Toussaint smoking near the building, which is prohibited by law.</w:t>
      </w:r>
      <w:r w:rsidRPr="0013463A">
        <w:rPr>
          <w:rStyle w:val="Appelnotedebasdep"/>
        </w:rPr>
        <w:footnoteReference w:id="6"/>
      </w:r>
      <w:r w:rsidR="001834C5" w:rsidRPr="0013463A">
        <w:t xml:space="preserve"> </w:t>
      </w:r>
      <w:r w:rsidRPr="0013463A">
        <w:t xml:space="preserve">He </w:t>
      </w:r>
      <w:r w:rsidR="00806C81" w:rsidRPr="0013463A">
        <w:t>approached</w:t>
      </w:r>
      <w:r w:rsidRPr="0013463A">
        <w:t xml:space="preserve">, rolled down the side window of his vehicle, and told him that he was not </w:t>
      </w:r>
      <w:r w:rsidR="006740CD" w:rsidRPr="0013463A">
        <w:t xml:space="preserve">authorized </w:t>
      </w:r>
      <w:r w:rsidRPr="0013463A">
        <w:t>to smoke at that location.</w:t>
      </w:r>
      <w:r w:rsidR="001834C5" w:rsidRPr="0013463A">
        <w:t xml:space="preserve"> </w:t>
      </w:r>
      <w:r w:rsidR="00110E24" w:rsidRPr="0013463A">
        <w:t>CO</w:t>
      </w:r>
      <w:r w:rsidRPr="0013463A">
        <w:t xml:space="preserve"> Belcourt </w:t>
      </w:r>
      <w:r w:rsidR="006740CD" w:rsidRPr="0013463A">
        <w:t>said</w:t>
      </w:r>
      <w:r w:rsidRPr="0013463A">
        <w:t xml:space="preserve">, </w:t>
      </w:r>
      <w:r w:rsidR="00806C81" w:rsidRPr="0013463A">
        <w:t>[</w:t>
      </w:r>
      <w:r w:rsidR="00806C81" w:rsidRPr="0013463A">
        <w:rPr>
          <w:smallCaps/>
        </w:rPr>
        <w:t>translation</w:t>
      </w:r>
      <w:r w:rsidR="00806C81" w:rsidRPr="0013463A">
        <w:t xml:space="preserve">] </w:t>
      </w:r>
      <w:r w:rsidRPr="0013463A">
        <w:t xml:space="preserve">“He never answered me”. He said that he found him </w:t>
      </w:r>
      <w:r w:rsidR="00806C81" w:rsidRPr="0013463A">
        <w:t>[</w:t>
      </w:r>
      <w:r w:rsidR="00806C81" w:rsidRPr="0013463A">
        <w:rPr>
          <w:smallCaps/>
        </w:rPr>
        <w:t>translation</w:t>
      </w:r>
      <w:r w:rsidR="00806C81" w:rsidRPr="0013463A">
        <w:t xml:space="preserve">] </w:t>
      </w:r>
      <w:r w:rsidRPr="0013463A">
        <w:t>“a little haughty, a little arrogant”.</w:t>
      </w:r>
      <w:r w:rsidRPr="0013463A">
        <w:rPr>
          <w:rStyle w:val="Appelnotedebasdep"/>
        </w:rPr>
        <w:footnoteReference w:id="7"/>
      </w:r>
    </w:p>
    <w:p w14:paraId="2C810D31" w14:textId="34EAC0A4" w:rsidR="000D2B6C" w:rsidRPr="0013463A" w:rsidRDefault="00037D95" w:rsidP="006A28AF">
      <w:pPr>
        <w:pStyle w:val="Paragraphe"/>
      </w:pPr>
      <w:r w:rsidRPr="0013463A">
        <w:t xml:space="preserve">Mr. Toussaint </w:t>
      </w:r>
      <w:r w:rsidR="006740CD" w:rsidRPr="0013463A">
        <w:t xml:space="preserve">claims </w:t>
      </w:r>
      <w:r w:rsidR="00806C81" w:rsidRPr="0013463A">
        <w:t>that</w:t>
      </w:r>
      <w:r w:rsidRPr="0013463A">
        <w:t xml:space="preserve"> he did not hear the instruction.</w:t>
      </w:r>
      <w:r w:rsidR="001834C5" w:rsidRPr="0013463A">
        <w:t xml:space="preserve"> </w:t>
      </w:r>
      <w:r w:rsidRPr="0013463A">
        <w:t xml:space="preserve">He did not look at </w:t>
      </w:r>
      <w:r w:rsidR="00110E24" w:rsidRPr="0013463A">
        <w:t>CO</w:t>
      </w:r>
      <w:r w:rsidR="006740CD" w:rsidRPr="0013463A">
        <w:t> </w:t>
      </w:r>
      <w:r w:rsidRPr="0013463A">
        <w:t xml:space="preserve">Belcourt and </w:t>
      </w:r>
      <w:r w:rsidR="006C7B55">
        <w:t>head</w:t>
      </w:r>
      <w:r w:rsidR="00412ADF">
        <w:t>ed</w:t>
      </w:r>
      <w:r w:rsidRPr="0013463A">
        <w:t xml:space="preserve"> towards the door while smoking, eyes on the ground.</w:t>
      </w:r>
    </w:p>
    <w:p w14:paraId="6DE3DB34" w14:textId="3A95A5F0" w:rsidR="00012593" w:rsidRPr="0013463A" w:rsidRDefault="00110E24" w:rsidP="006A28AF">
      <w:pPr>
        <w:pStyle w:val="Paragraphe"/>
      </w:pPr>
      <w:r w:rsidRPr="0013463A">
        <w:t>CO</w:t>
      </w:r>
      <w:r w:rsidR="00037D95" w:rsidRPr="0013463A">
        <w:t xml:space="preserve"> Belcourt did a U-turn and drove towards Mr. Toussaint, who </w:t>
      </w:r>
      <w:r w:rsidR="006740CD" w:rsidRPr="0013463A">
        <w:t>was still smoking</w:t>
      </w:r>
      <w:r w:rsidR="00037D95" w:rsidRPr="0013463A">
        <w:t>.</w:t>
      </w:r>
      <w:r w:rsidR="001834C5" w:rsidRPr="0013463A">
        <w:t xml:space="preserve"> </w:t>
      </w:r>
      <w:r w:rsidR="00037D95" w:rsidRPr="0013463A">
        <w:t xml:space="preserve">He </w:t>
      </w:r>
      <w:r w:rsidR="006740CD" w:rsidRPr="0013463A">
        <w:t xml:space="preserve">said </w:t>
      </w:r>
      <w:r w:rsidR="00037D95" w:rsidRPr="0013463A">
        <w:t>that Mr. Toussaint blew smoke</w:t>
      </w:r>
      <w:r w:rsidR="006740CD" w:rsidRPr="0013463A">
        <w:t xml:space="preserve"> </w:t>
      </w:r>
      <w:r w:rsidR="00BA0664">
        <w:t>in his direction</w:t>
      </w:r>
      <w:r w:rsidR="006740CD" w:rsidRPr="0013463A">
        <w:t>,</w:t>
      </w:r>
      <w:r w:rsidR="00037D95" w:rsidRPr="0013463A">
        <w:t xml:space="preserve"> </w:t>
      </w:r>
      <w:r w:rsidR="00806C81" w:rsidRPr="0013463A">
        <w:t>[</w:t>
      </w:r>
      <w:r w:rsidR="00806C81" w:rsidRPr="0013463A">
        <w:rPr>
          <w:smallCaps/>
        </w:rPr>
        <w:t>translation</w:t>
      </w:r>
      <w:r w:rsidR="00806C81" w:rsidRPr="0013463A">
        <w:t xml:space="preserve">] </w:t>
      </w:r>
      <w:r w:rsidR="00037D95" w:rsidRPr="0013463A">
        <w:t>“very arrogantly”.</w:t>
      </w:r>
      <w:r w:rsidR="00037D95" w:rsidRPr="0013463A">
        <w:rPr>
          <w:rStyle w:val="Appelnotedebasdep"/>
        </w:rPr>
        <w:footnoteReference w:id="8"/>
      </w:r>
    </w:p>
    <w:p w14:paraId="595D58E5" w14:textId="42E3C770" w:rsidR="000D2B6C" w:rsidRPr="0013463A" w:rsidRDefault="00037D95" w:rsidP="006A28AF">
      <w:pPr>
        <w:pStyle w:val="Paragraphe"/>
      </w:pPr>
      <w:r w:rsidRPr="0013463A">
        <w:t xml:space="preserve">He exited the </w:t>
      </w:r>
      <w:r w:rsidR="00806C81" w:rsidRPr="0013463A">
        <w:t>vehicle</w:t>
      </w:r>
      <w:r w:rsidRPr="0013463A">
        <w:t xml:space="preserve"> to </w:t>
      </w:r>
      <w:r w:rsidR="00E4682E" w:rsidRPr="0013463A">
        <w:t>repeat</w:t>
      </w:r>
      <w:r w:rsidR="006740CD" w:rsidRPr="0013463A">
        <w:t xml:space="preserve"> that smoking was prohibited</w:t>
      </w:r>
      <w:r w:rsidRPr="0013463A">
        <w:t xml:space="preserve">. </w:t>
      </w:r>
      <w:r w:rsidR="006740CD" w:rsidRPr="0013463A">
        <w:t xml:space="preserve">At that point, </w:t>
      </w:r>
      <w:r w:rsidRPr="0013463A">
        <w:t>Mr.</w:t>
      </w:r>
      <w:r w:rsidR="00E4682E" w:rsidRPr="0013463A">
        <w:t> </w:t>
      </w:r>
      <w:r w:rsidRPr="0013463A">
        <w:t xml:space="preserve">Toussaint was 10 feet away from </w:t>
      </w:r>
      <w:r w:rsidR="00110E24" w:rsidRPr="0013463A">
        <w:t>CO</w:t>
      </w:r>
      <w:r w:rsidRPr="0013463A">
        <w:t xml:space="preserve"> Belcourt.</w:t>
      </w:r>
      <w:r w:rsidRPr="0013463A">
        <w:rPr>
          <w:rStyle w:val="Appelnotedebasdep"/>
        </w:rPr>
        <w:footnoteReference w:id="9"/>
      </w:r>
      <w:r w:rsidR="001834C5" w:rsidRPr="0013463A">
        <w:t xml:space="preserve"> </w:t>
      </w:r>
      <w:r w:rsidRPr="0013463A">
        <w:t xml:space="preserve">He turned </w:t>
      </w:r>
      <w:r w:rsidR="006740CD" w:rsidRPr="0013463A">
        <w:t xml:space="preserve">to face </w:t>
      </w:r>
      <w:r w:rsidRPr="0013463A">
        <w:t xml:space="preserve">him and </w:t>
      </w:r>
      <w:r w:rsidR="006740CD" w:rsidRPr="0013463A">
        <w:t xml:space="preserve">threw </w:t>
      </w:r>
      <w:r w:rsidRPr="0013463A">
        <w:t>his cigarette</w:t>
      </w:r>
      <w:r w:rsidR="0006366B" w:rsidRPr="0013463A">
        <w:t xml:space="preserve"> at him</w:t>
      </w:r>
      <w:r w:rsidRPr="0013463A">
        <w:t>.</w:t>
      </w:r>
      <w:r w:rsidR="001834C5" w:rsidRPr="0013463A">
        <w:t xml:space="preserve"> </w:t>
      </w:r>
    </w:p>
    <w:p w14:paraId="6D281E88" w14:textId="2CB37D95" w:rsidR="000D2B6C" w:rsidRPr="0013463A" w:rsidRDefault="00037D95" w:rsidP="006A28AF">
      <w:pPr>
        <w:pStyle w:val="Paragraphe"/>
      </w:pPr>
      <w:r w:rsidRPr="0013463A">
        <w:t xml:space="preserve">Mr. Toussaint </w:t>
      </w:r>
      <w:r w:rsidR="006740CD" w:rsidRPr="0013463A">
        <w:t xml:space="preserve">says </w:t>
      </w:r>
      <w:r w:rsidRPr="0013463A">
        <w:t xml:space="preserve">that, </w:t>
      </w:r>
      <w:r w:rsidR="0006366B" w:rsidRPr="0013463A">
        <w:t xml:space="preserve">by </w:t>
      </w:r>
      <w:r w:rsidR="006740CD" w:rsidRPr="0013463A">
        <w:t>doing so</w:t>
      </w:r>
      <w:r w:rsidRPr="0013463A">
        <w:t xml:space="preserve">, he intended to show </w:t>
      </w:r>
      <w:r w:rsidR="00110E24" w:rsidRPr="0013463A">
        <w:t>CO</w:t>
      </w:r>
      <w:r w:rsidRPr="0013463A">
        <w:t xml:space="preserve"> Belcourt that he was complying with his instruction.</w:t>
      </w:r>
    </w:p>
    <w:p w14:paraId="37284357" w14:textId="6D770917" w:rsidR="000D2B6C" w:rsidRPr="0013463A" w:rsidRDefault="00037D95" w:rsidP="006A28AF">
      <w:pPr>
        <w:pStyle w:val="Paragraphe"/>
      </w:pPr>
      <w:r w:rsidRPr="0013463A">
        <w:lastRenderedPageBreak/>
        <w:t xml:space="preserve">The evidence is contradictory as to the trajectory of the cigarette butt. Mr. Toussaint testified that it did not reach the patrol car or </w:t>
      </w:r>
      <w:r w:rsidR="00110E24" w:rsidRPr="0013463A">
        <w:t>CO</w:t>
      </w:r>
      <w:r w:rsidRPr="0013463A">
        <w:t xml:space="preserve"> Belcourt.</w:t>
      </w:r>
    </w:p>
    <w:p w14:paraId="1EAC24DE" w14:textId="0FDBEC29" w:rsidR="000D2B6C" w:rsidRPr="0013463A" w:rsidRDefault="00110E24" w:rsidP="006A28AF">
      <w:pPr>
        <w:pStyle w:val="Paragraphe"/>
      </w:pPr>
      <w:r w:rsidRPr="0013463A">
        <w:t>CO</w:t>
      </w:r>
      <w:r w:rsidR="00037D95" w:rsidRPr="0013463A">
        <w:t xml:space="preserve"> Belcourt, on the contrary, claims that it</w:t>
      </w:r>
      <w:r w:rsidR="00E4682E" w:rsidRPr="0013463A">
        <w:t xml:space="preserve"> hit</w:t>
      </w:r>
      <w:r w:rsidR="00037D95" w:rsidRPr="0013463A">
        <w:t xml:space="preserve"> his bullet-proof vest at sternum level, </w:t>
      </w:r>
      <w:r w:rsidR="00E4682E" w:rsidRPr="0013463A">
        <w:t>and in his view</w:t>
      </w:r>
      <w:r w:rsidR="0006366B" w:rsidRPr="0013463A">
        <w:t>,</w:t>
      </w:r>
      <w:r w:rsidR="00E4682E" w:rsidRPr="0013463A">
        <w:t xml:space="preserve"> this was </w:t>
      </w:r>
      <w:r w:rsidR="00806C81" w:rsidRPr="0013463A">
        <w:t>[</w:t>
      </w:r>
      <w:r w:rsidR="00806C81" w:rsidRPr="0013463A">
        <w:rPr>
          <w:smallCaps/>
        </w:rPr>
        <w:t>translation</w:t>
      </w:r>
      <w:r w:rsidR="00806C81" w:rsidRPr="0013463A">
        <w:t xml:space="preserve">] </w:t>
      </w:r>
      <w:r w:rsidR="00037D95" w:rsidRPr="0013463A">
        <w:t>“</w:t>
      </w:r>
      <w:r w:rsidR="00806C81" w:rsidRPr="0013463A">
        <w:t xml:space="preserve">almost </w:t>
      </w:r>
      <w:r w:rsidR="00037D95" w:rsidRPr="0013463A">
        <w:t xml:space="preserve">assault”: </w:t>
      </w:r>
      <w:r w:rsidR="00806C81" w:rsidRPr="0013463A">
        <w:t>[</w:t>
      </w:r>
      <w:r w:rsidR="00806C81" w:rsidRPr="0013463A">
        <w:rPr>
          <w:smallCaps/>
        </w:rPr>
        <w:t>translation</w:t>
      </w:r>
      <w:r w:rsidR="00806C81" w:rsidRPr="0013463A">
        <w:t xml:space="preserve">] </w:t>
      </w:r>
      <w:r w:rsidR="00037D95" w:rsidRPr="0013463A">
        <w:t xml:space="preserve">“It’s that it’s </w:t>
      </w:r>
      <w:r w:rsidR="0079066C">
        <w:t xml:space="preserve">bordering on </w:t>
      </w:r>
      <w:r w:rsidR="00037D95" w:rsidRPr="0013463A">
        <w:t>assault, you know.</w:t>
      </w:r>
      <w:r w:rsidR="001834C5" w:rsidRPr="0013463A">
        <w:t xml:space="preserve"> </w:t>
      </w:r>
      <w:r w:rsidR="00037D95" w:rsidRPr="0013463A">
        <w:t>He threw something at me</w:t>
      </w:r>
      <w:r w:rsidR="007F3436">
        <w:t>;</w:t>
      </w:r>
      <w:r w:rsidR="00037D95" w:rsidRPr="0013463A">
        <w:t xml:space="preserve"> it was an assault. </w:t>
      </w:r>
      <w:r w:rsidR="001834C5" w:rsidRPr="0013463A">
        <w:t xml:space="preserve"> </w:t>
      </w:r>
      <w:r w:rsidR="00037D95" w:rsidRPr="0013463A">
        <w:t>For sure he was going to a cell alone.”</w:t>
      </w:r>
      <w:r w:rsidR="00037D95" w:rsidRPr="0013463A">
        <w:rPr>
          <w:rStyle w:val="Appelnotedebasdep"/>
        </w:rPr>
        <w:footnoteReference w:id="10"/>
      </w:r>
    </w:p>
    <w:p w14:paraId="4D0F1E55" w14:textId="409A0C8F" w:rsidR="00F16DAF" w:rsidRPr="0013463A" w:rsidRDefault="00037D95">
      <w:pPr>
        <w:pStyle w:val="Paragraphe"/>
        <w:tabs>
          <w:tab w:val="clear" w:pos="360"/>
        </w:tabs>
      </w:pPr>
      <w:r w:rsidRPr="0013463A">
        <w:t xml:space="preserve">He </w:t>
      </w:r>
      <w:r w:rsidR="009C65FE" w:rsidRPr="0013463A">
        <w:t xml:space="preserve">told </w:t>
      </w:r>
      <w:r w:rsidRPr="0013463A">
        <w:t>Mr. Toussaint that his action would have consequences.</w:t>
      </w:r>
      <w:r w:rsidR="001834C5" w:rsidRPr="0013463A">
        <w:t xml:space="preserve"> </w:t>
      </w:r>
      <w:r w:rsidRPr="0013463A">
        <w:t xml:space="preserve">He went to </w:t>
      </w:r>
      <w:r w:rsidR="009C65FE" w:rsidRPr="0013463A">
        <w:t>c</w:t>
      </w:r>
      <w:r w:rsidRPr="0013463A">
        <w:t>onsole</w:t>
      </w:r>
      <w:r w:rsidR="007F3436">
        <w:t> </w:t>
      </w:r>
      <w:r w:rsidRPr="0013463A">
        <w:t xml:space="preserve">1 of the admissions station, where individuals serving intermittent sentences are received, to report the situation to the interim admissions </w:t>
      </w:r>
      <w:r w:rsidR="009C65FE" w:rsidRPr="0013463A">
        <w:t>u</w:t>
      </w:r>
      <w:r w:rsidRPr="0013463A">
        <w:t xml:space="preserve">nit </w:t>
      </w:r>
      <w:r w:rsidR="009C65FE" w:rsidRPr="0013463A">
        <w:t>manager</w:t>
      </w:r>
      <w:r w:rsidRPr="0013463A">
        <w:t>, Kevin Leclerc:</w:t>
      </w:r>
    </w:p>
    <w:p w14:paraId="34B8ECB4" w14:textId="355D73CF" w:rsidR="00806C81" w:rsidRPr="0013463A" w:rsidRDefault="00806C81" w:rsidP="000D2B6C">
      <w:pPr>
        <w:pStyle w:val="Citationenretrait"/>
        <w:rPr>
          <w:lang w:val="en-CA"/>
        </w:rPr>
      </w:pPr>
      <w:r w:rsidRPr="0013463A">
        <w:rPr>
          <w:lang w:val="en-CA"/>
        </w:rPr>
        <w:t>[</w:t>
      </w:r>
      <w:r w:rsidRPr="0013463A">
        <w:rPr>
          <w:smallCaps/>
          <w:lang w:val="en-CA"/>
        </w:rPr>
        <w:t>translation</w:t>
      </w:r>
      <w:r w:rsidRPr="0013463A">
        <w:rPr>
          <w:lang w:val="en-CA"/>
        </w:rPr>
        <w:t>]</w:t>
      </w:r>
    </w:p>
    <w:p w14:paraId="580B79DF" w14:textId="65FD6B5F" w:rsidR="000D2B6C" w:rsidRPr="0013463A" w:rsidRDefault="00037D95" w:rsidP="000D2B6C">
      <w:pPr>
        <w:pStyle w:val="Citationenretrait"/>
        <w:rPr>
          <w:lang w:val="en-CA"/>
        </w:rPr>
      </w:pPr>
      <w:r w:rsidRPr="0013463A">
        <w:rPr>
          <w:lang w:val="en-CA"/>
        </w:rPr>
        <w:t>It was very brief.</w:t>
      </w:r>
      <w:r w:rsidR="001834C5" w:rsidRPr="0013463A">
        <w:rPr>
          <w:lang w:val="en-CA"/>
        </w:rPr>
        <w:t xml:space="preserve"> </w:t>
      </w:r>
      <w:r w:rsidRPr="0013463A">
        <w:rPr>
          <w:lang w:val="en-CA"/>
        </w:rPr>
        <w:t>I went in, I told him that he</w:t>
      </w:r>
      <w:r w:rsidR="009826E3" w:rsidRPr="0013463A">
        <w:rPr>
          <w:lang w:val="en-CA"/>
        </w:rPr>
        <w:t>.</w:t>
      </w:r>
      <w:r w:rsidRPr="0013463A">
        <w:rPr>
          <w:lang w:val="en-CA"/>
        </w:rPr>
        <w:t xml:space="preserve">.. that he was </w:t>
      </w:r>
      <w:r w:rsidR="00806C81" w:rsidRPr="0013463A">
        <w:rPr>
          <w:lang w:val="en-CA"/>
        </w:rPr>
        <w:t>probably</w:t>
      </w:r>
      <w:r w:rsidRPr="0013463A">
        <w:rPr>
          <w:lang w:val="en-CA"/>
        </w:rPr>
        <w:t xml:space="preserve"> intoxicated, he</w:t>
      </w:r>
      <w:r w:rsidR="009826E3" w:rsidRPr="0013463A">
        <w:rPr>
          <w:lang w:val="en-CA"/>
        </w:rPr>
        <w:t>’d</w:t>
      </w:r>
      <w:r w:rsidRPr="0013463A">
        <w:rPr>
          <w:lang w:val="en-CA"/>
        </w:rPr>
        <w:t xml:space="preserve"> just thrown his cigarette butt at me, et cetera.</w:t>
      </w:r>
      <w:r w:rsidR="001834C5" w:rsidRPr="0013463A">
        <w:rPr>
          <w:lang w:val="en-CA"/>
        </w:rPr>
        <w:t xml:space="preserve"> </w:t>
      </w:r>
      <w:r w:rsidR="00124FED">
        <w:rPr>
          <w:lang w:val="en-CA"/>
        </w:rPr>
        <w:t>So</w:t>
      </w:r>
      <w:r w:rsidR="009826E3" w:rsidRPr="0013463A">
        <w:rPr>
          <w:lang w:val="en-CA"/>
        </w:rPr>
        <w:t xml:space="preserve"> </w:t>
      </w:r>
      <w:r w:rsidRPr="0013463A">
        <w:rPr>
          <w:lang w:val="en-CA"/>
        </w:rPr>
        <w:t xml:space="preserve">they made him come in right away, and they put him through as a priority, so that he wouldn’t stay outside, </w:t>
      </w:r>
      <w:r w:rsidR="009C65FE" w:rsidRPr="0013463A">
        <w:rPr>
          <w:lang w:val="en-CA"/>
        </w:rPr>
        <w:t xml:space="preserve">precisely </w:t>
      </w:r>
      <w:r w:rsidRPr="0013463A">
        <w:rPr>
          <w:lang w:val="en-CA"/>
        </w:rPr>
        <w:t>so that it wouldn’t escalate outside.</w:t>
      </w:r>
      <w:r w:rsidR="001834C5" w:rsidRPr="0013463A">
        <w:rPr>
          <w:rStyle w:val="Appelnotedebasdep"/>
          <w:lang w:val="en-CA"/>
        </w:rPr>
        <w:footnoteReference w:id="11"/>
      </w:r>
    </w:p>
    <w:p w14:paraId="4B4F356E" w14:textId="5D9B65B3" w:rsidR="000D2B6C" w:rsidRPr="0013463A" w:rsidRDefault="00037D95" w:rsidP="006A28AF">
      <w:pPr>
        <w:pStyle w:val="Paragraphe"/>
      </w:pPr>
      <w:r w:rsidRPr="0013463A">
        <w:t xml:space="preserve">When asked to explain why </w:t>
      </w:r>
      <w:r w:rsidR="009C65FE" w:rsidRPr="0013463A">
        <w:t>in his view</w:t>
      </w:r>
      <w:r w:rsidRPr="0013463A">
        <w:t xml:space="preserve"> Mr. Toussaint was apparently </w:t>
      </w:r>
      <w:r w:rsidR="00806C81" w:rsidRPr="0013463A">
        <w:t>[</w:t>
      </w:r>
      <w:r w:rsidR="00806C81" w:rsidRPr="0013463A">
        <w:rPr>
          <w:smallCaps/>
        </w:rPr>
        <w:t>translation</w:t>
      </w:r>
      <w:r w:rsidR="00806C81" w:rsidRPr="0013463A">
        <w:t xml:space="preserve">] </w:t>
      </w:r>
      <w:r w:rsidRPr="0013463A">
        <w:t>“not behaving normally”</w:t>
      </w:r>
      <w:r w:rsidRPr="0013463A">
        <w:rPr>
          <w:rStyle w:val="Appelnotedebasdep"/>
        </w:rPr>
        <w:footnoteReference w:id="12"/>
      </w:r>
      <w:r w:rsidR="009C65FE" w:rsidRPr="0013463A">
        <w:t xml:space="preserve"> and </w:t>
      </w:r>
      <w:r w:rsidR="00806C81" w:rsidRPr="0013463A">
        <w:t>[</w:t>
      </w:r>
      <w:r w:rsidR="00806C81" w:rsidRPr="0013463A">
        <w:rPr>
          <w:smallCaps/>
        </w:rPr>
        <w:t>translation</w:t>
      </w:r>
      <w:r w:rsidR="00806C81" w:rsidRPr="0013463A">
        <w:t xml:space="preserve">] </w:t>
      </w:r>
      <w:r w:rsidRPr="0013463A">
        <w:t xml:space="preserve">“that he </w:t>
      </w:r>
      <w:r w:rsidR="009C65FE" w:rsidRPr="0013463A">
        <w:t>was oppositional</w:t>
      </w:r>
      <w:r w:rsidRPr="0013463A">
        <w:t>”,</w:t>
      </w:r>
      <w:r w:rsidRPr="0013463A">
        <w:rPr>
          <w:rStyle w:val="Appelnotedebasdep"/>
        </w:rPr>
        <w:footnoteReference w:id="13"/>
      </w:r>
      <w:r w:rsidRPr="0013463A">
        <w:t xml:space="preserve"> </w:t>
      </w:r>
      <w:r w:rsidR="00110E24" w:rsidRPr="0013463A">
        <w:t>CO</w:t>
      </w:r>
      <w:r w:rsidRPr="0013463A">
        <w:t xml:space="preserve"> Belcourt stated, </w:t>
      </w:r>
      <w:r w:rsidR="00806C81" w:rsidRPr="0013463A">
        <w:t>[</w:t>
      </w:r>
      <w:r w:rsidR="00806C81" w:rsidRPr="0013463A">
        <w:rPr>
          <w:smallCaps/>
        </w:rPr>
        <w:t>translation</w:t>
      </w:r>
      <w:r w:rsidR="00806C81" w:rsidRPr="0013463A">
        <w:t xml:space="preserve">] </w:t>
      </w:r>
      <w:r w:rsidRPr="0013463A">
        <w:t>“Well, it was really his non-verbal state.</w:t>
      </w:r>
      <w:r w:rsidR="009C65FE" w:rsidRPr="0013463A">
        <w:t xml:space="preserve"> There were</w:t>
      </w:r>
      <w:r w:rsidRPr="0013463A">
        <w:t xml:space="preserve"> non-verbal signs.</w:t>
      </w:r>
      <w:r w:rsidR="001834C5" w:rsidRPr="0013463A">
        <w:t xml:space="preserve"> </w:t>
      </w:r>
      <w:r w:rsidRPr="0013463A">
        <w:t xml:space="preserve">It was the way he </w:t>
      </w:r>
      <w:r w:rsidR="0079066C">
        <w:t>nodded</w:t>
      </w:r>
      <w:r w:rsidRPr="0013463A">
        <w:t xml:space="preserve"> his head, the way he was looking at me.</w:t>
      </w:r>
      <w:r w:rsidR="001834C5" w:rsidRPr="0013463A">
        <w:t xml:space="preserve"> </w:t>
      </w:r>
      <w:r w:rsidRPr="0013463A">
        <w:t>You know, you could really see he... like he was disengaging”.</w:t>
      </w:r>
      <w:r w:rsidRPr="0013463A">
        <w:rPr>
          <w:rStyle w:val="Appelnotedebasdep"/>
        </w:rPr>
        <w:footnoteReference w:id="14"/>
      </w:r>
      <w:r w:rsidR="001834C5" w:rsidRPr="0013463A">
        <w:t xml:space="preserve"> </w:t>
      </w:r>
    </w:p>
    <w:p w14:paraId="38C19980" w14:textId="1EF6EB9D" w:rsidR="000D2B6C" w:rsidRPr="0013463A" w:rsidRDefault="00EA4F7C" w:rsidP="006A28AF">
      <w:pPr>
        <w:pStyle w:val="Paragraphe"/>
      </w:pPr>
      <w:r>
        <w:t>When e</w:t>
      </w:r>
      <w:r w:rsidR="00037D95" w:rsidRPr="0013463A">
        <w:t xml:space="preserve">xamined at the hearing about whether he had taken drugs on the morning of December 4, 2016, Mr. Toussaint provided the following equivocal answer: </w:t>
      </w:r>
      <w:r w:rsidR="009622EE" w:rsidRPr="0013463A">
        <w:t>[</w:t>
      </w:r>
      <w:r w:rsidR="009622EE" w:rsidRPr="0013463A">
        <w:rPr>
          <w:smallCaps/>
        </w:rPr>
        <w:t>translation</w:t>
      </w:r>
      <w:r w:rsidR="009622EE" w:rsidRPr="0013463A">
        <w:t xml:space="preserve">] </w:t>
      </w:r>
      <w:r w:rsidR="00037D95" w:rsidRPr="0013463A">
        <w:t>“No, not especially”.</w:t>
      </w:r>
      <w:r w:rsidR="001834C5" w:rsidRPr="0013463A">
        <w:t xml:space="preserve"> </w:t>
      </w:r>
    </w:p>
    <w:p w14:paraId="580330E5" w14:textId="32461780" w:rsidR="000D2B6C" w:rsidRPr="0013463A" w:rsidRDefault="00037D95" w:rsidP="000D2B6C">
      <w:pPr>
        <w:pStyle w:val="Paragraphe"/>
        <w:numPr>
          <w:ilvl w:val="0"/>
          <w:numId w:val="0"/>
        </w:numPr>
        <w:rPr>
          <w:b/>
          <w:bCs/>
          <w:i/>
          <w:iCs/>
          <w:u w:val="single"/>
        </w:rPr>
      </w:pPr>
      <w:r w:rsidRPr="0013463A">
        <w:rPr>
          <w:b/>
          <w:bCs/>
          <w:i/>
          <w:iCs/>
          <w:u w:val="single"/>
        </w:rPr>
        <w:t>At the admissions station</w:t>
      </w:r>
    </w:p>
    <w:p w14:paraId="0D779CFB" w14:textId="5D9B513A" w:rsidR="000D2B6C" w:rsidRPr="0013463A" w:rsidRDefault="002B064C" w:rsidP="006A28AF">
      <w:pPr>
        <w:pStyle w:val="Paragraphe"/>
      </w:pPr>
      <w:r w:rsidRPr="0013463A">
        <w:t>Unit Manager</w:t>
      </w:r>
      <w:r w:rsidR="00037D95" w:rsidRPr="0013463A">
        <w:t xml:space="preserve"> Leclerc was working admissions.</w:t>
      </w:r>
      <w:r w:rsidR="001834C5" w:rsidRPr="0013463A">
        <w:t xml:space="preserve"> </w:t>
      </w:r>
      <w:r w:rsidR="00037D95" w:rsidRPr="0013463A">
        <w:t>About a hundred people were to be admitted that morning.</w:t>
      </w:r>
    </w:p>
    <w:p w14:paraId="40CE1037" w14:textId="62B72C4C" w:rsidR="000D2B6C" w:rsidRPr="0013463A" w:rsidRDefault="00037D95" w:rsidP="006A28AF">
      <w:pPr>
        <w:pStyle w:val="Paragraphe"/>
      </w:pPr>
      <w:r w:rsidRPr="0013463A">
        <w:t xml:space="preserve">He was standing </w:t>
      </w:r>
      <w:r w:rsidR="009C65FE" w:rsidRPr="0013463A">
        <w:t>slight</w:t>
      </w:r>
      <w:r w:rsidR="009230A6" w:rsidRPr="0013463A">
        <w:t>ly back</w:t>
      </w:r>
      <w:r w:rsidR="009C65FE" w:rsidRPr="0013463A">
        <w:t>,</w:t>
      </w:r>
      <w:r w:rsidR="00F300E1">
        <w:t xml:space="preserve"> while</w:t>
      </w:r>
      <w:r w:rsidR="009C65FE" w:rsidRPr="0013463A">
        <w:t xml:space="preserve"> </w:t>
      </w:r>
      <w:r w:rsidR="00110E24" w:rsidRPr="0013463A">
        <w:t>CO</w:t>
      </w:r>
      <w:r w:rsidRPr="0013463A">
        <w:t xml:space="preserve">s Maude Bérubé and Michael Dubé-Blouin </w:t>
      </w:r>
      <w:r w:rsidR="009230A6" w:rsidRPr="0013463A">
        <w:t>were</w:t>
      </w:r>
      <w:r w:rsidRPr="0013463A">
        <w:t xml:space="preserve"> assigned to perform pat-down searches.</w:t>
      </w:r>
      <w:r w:rsidR="001834C5" w:rsidRPr="0013463A">
        <w:t xml:space="preserve"> </w:t>
      </w:r>
    </w:p>
    <w:p w14:paraId="3C50EF50" w14:textId="38C70386" w:rsidR="000D2B6C" w:rsidRPr="0013463A" w:rsidRDefault="00037D95" w:rsidP="006A28AF">
      <w:pPr>
        <w:pStyle w:val="Paragraphe"/>
      </w:pPr>
      <w:r w:rsidRPr="0013463A">
        <w:lastRenderedPageBreak/>
        <w:t xml:space="preserve">After being </w:t>
      </w:r>
      <w:r w:rsidR="00E8657B">
        <w:t>informed</w:t>
      </w:r>
      <w:r w:rsidRPr="0013463A">
        <w:t xml:space="preserve"> by </w:t>
      </w:r>
      <w:r w:rsidR="00110E24" w:rsidRPr="0013463A">
        <w:t>CO</w:t>
      </w:r>
      <w:r w:rsidRPr="0013463A">
        <w:t xml:space="preserve"> Belcourt about the incident that took place outside the building, Mr. Leclerc </w:t>
      </w:r>
      <w:r w:rsidR="00B424A3">
        <w:t>noticed</w:t>
      </w:r>
      <w:r w:rsidR="00B424A3" w:rsidRPr="0013463A">
        <w:t xml:space="preserve"> </w:t>
      </w:r>
      <w:r w:rsidRPr="0013463A">
        <w:t xml:space="preserve">that Mr. Toussaint looked angry, that he was gesticulating, that he had shifty eyes, and that he was muttering and making insulting remarks like </w:t>
      </w:r>
      <w:r w:rsidR="009622EE" w:rsidRPr="0013463A">
        <w:t>[</w:t>
      </w:r>
      <w:r w:rsidR="009622EE" w:rsidRPr="0013463A">
        <w:rPr>
          <w:smallCaps/>
        </w:rPr>
        <w:t>translation</w:t>
      </w:r>
      <w:r w:rsidR="009622EE" w:rsidRPr="0013463A">
        <w:t xml:space="preserve">] </w:t>
      </w:r>
      <w:r w:rsidRPr="0013463A">
        <w:t>“</w:t>
      </w:r>
      <w:r w:rsidR="00163C7A">
        <w:t xml:space="preserve">you </w:t>
      </w:r>
      <w:r w:rsidR="008D0604">
        <w:t>fuckers</w:t>
      </w:r>
      <w:r w:rsidRPr="0013463A">
        <w:t xml:space="preserve">”, </w:t>
      </w:r>
      <w:r w:rsidR="009622EE" w:rsidRPr="0013463A">
        <w:t>[</w:t>
      </w:r>
      <w:r w:rsidR="009622EE" w:rsidRPr="0013463A">
        <w:rPr>
          <w:smallCaps/>
        </w:rPr>
        <w:t>translation</w:t>
      </w:r>
      <w:r w:rsidR="009622EE" w:rsidRPr="0013463A">
        <w:t xml:space="preserve">] </w:t>
      </w:r>
      <w:r w:rsidRPr="0013463A">
        <w:t xml:space="preserve">“bunch of </w:t>
      </w:r>
      <w:r w:rsidR="008D0604">
        <w:t>pigs</w:t>
      </w:r>
      <w:r w:rsidRPr="0013463A">
        <w:t xml:space="preserve">”, </w:t>
      </w:r>
      <w:r w:rsidR="009622EE" w:rsidRPr="0013463A">
        <w:t>[</w:t>
      </w:r>
      <w:r w:rsidR="009622EE" w:rsidRPr="0013463A">
        <w:rPr>
          <w:smallCaps/>
        </w:rPr>
        <w:t>translation</w:t>
      </w:r>
      <w:r w:rsidR="009622EE" w:rsidRPr="0013463A">
        <w:t xml:space="preserve">] </w:t>
      </w:r>
      <w:r w:rsidRPr="0013463A">
        <w:t>“I’m going to make you lose your jobs”</w:t>
      </w:r>
      <w:r w:rsidR="009622EE" w:rsidRPr="0013463A">
        <w:t>,</w:t>
      </w:r>
      <w:r w:rsidRPr="0013463A">
        <w:t xml:space="preserve"> etc.</w:t>
      </w:r>
    </w:p>
    <w:p w14:paraId="07F9A808" w14:textId="17480D82" w:rsidR="00105E88" w:rsidRPr="0013463A" w:rsidRDefault="00110E24" w:rsidP="006A28AF">
      <w:pPr>
        <w:pStyle w:val="Paragraphe"/>
      </w:pPr>
      <w:r w:rsidRPr="0013463A">
        <w:t>CO</w:t>
      </w:r>
      <w:r w:rsidR="00037D95" w:rsidRPr="0013463A">
        <w:t xml:space="preserve"> Dubé-Blouin states that Mr. Toussaint was </w:t>
      </w:r>
      <w:r w:rsidR="009622EE" w:rsidRPr="0013463A">
        <w:t>[</w:t>
      </w:r>
      <w:r w:rsidR="009622EE" w:rsidRPr="0013463A">
        <w:rPr>
          <w:smallCaps/>
        </w:rPr>
        <w:t>translation</w:t>
      </w:r>
      <w:r w:rsidR="009622EE" w:rsidRPr="0013463A">
        <w:t xml:space="preserve">] </w:t>
      </w:r>
      <w:r w:rsidR="00037D95" w:rsidRPr="0013463A">
        <w:t>“</w:t>
      </w:r>
      <w:r w:rsidR="002F578C">
        <w:t>irritated</w:t>
      </w:r>
      <w:r w:rsidR="00037D95" w:rsidRPr="0013463A">
        <w:t xml:space="preserve">”, that his attitude was provocative and arrogant, that he </w:t>
      </w:r>
      <w:r w:rsidR="00FB621F">
        <w:t>uttered</w:t>
      </w:r>
      <w:r w:rsidR="00037D95" w:rsidRPr="0013463A">
        <w:t xml:space="preserve"> insult</w:t>
      </w:r>
      <w:r w:rsidR="00FB621F">
        <w:t>s</w:t>
      </w:r>
      <w:r w:rsidR="00037D95" w:rsidRPr="0013463A">
        <w:t>, and that he refused to follow orders</w:t>
      </w:r>
      <w:r w:rsidR="009826E3" w:rsidRPr="0013463A">
        <w:t xml:space="preserve"> on a few occasions</w:t>
      </w:r>
      <w:r w:rsidR="00037D95" w:rsidRPr="0013463A">
        <w:t>.</w:t>
      </w:r>
      <w:r w:rsidR="001834C5" w:rsidRPr="0013463A">
        <w:t xml:space="preserve"> </w:t>
      </w:r>
      <w:r w:rsidR="00037D95" w:rsidRPr="0013463A">
        <w:t xml:space="preserve">His agitated </w:t>
      </w:r>
      <w:r w:rsidR="00FB621F">
        <w:t>behavio</w:t>
      </w:r>
      <w:r w:rsidR="00163C7A">
        <w:t>u</w:t>
      </w:r>
      <w:r w:rsidR="00FB621F">
        <w:t>r</w:t>
      </w:r>
      <w:r w:rsidR="00FB621F" w:rsidRPr="0013463A">
        <w:t xml:space="preserve"> </w:t>
      </w:r>
      <w:r w:rsidR="00037D95" w:rsidRPr="0013463A">
        <w:t>and the fact that he was talking to himself and making</w:t>
      </w:r>
      <w:r w:rsidR="00A73548" w:rsidRPr="0013463A">
        <w:t xml:space="preserve"> religious-themed comments </w:t>
      </w:r>
      <w:r w:rsidR="00037D95" w:rsidRPr="0013463A">
        <w:t>gave the impression that he was intoxicated.</w:t>
      </w:r>
      <w:r w:rsidR="001834C5" w:rsidRPr="0013463A">
        <w:t xml:space="preserve"> </w:t>
      </w:r>
    </w:p>
    <w:p w14:paraId="0FAFF7D4" w14:textId="59DB796E" w:rsidR="00105E88" w:rsidRPr="0013463A" w:rsidRDefault="002B064C" w:rsidP="006A28AF">
      <w:pPr>
        <w:pStyle w:val="Paragraphe"/>
      </w:pPr>
      <w:r w:rsidRPr="0013463A">
        <w:t>Unit Manager</w:t>
      </w:r>
      <w:r w:rsidR="00037D95" w:rsidRPr="0013463A">
        <w:t xml:space="preserve"> Leclerc asked Mr. Toussaint to place his things in the locker, telling him, </w:t>
      </w:r>
      <w:r w:rsidR="009622EE" w:rsidRPr="0013463A">
        <w:t>[</w:t>
      </w:r>
      <w:r w:rsidR="009622EE" w:rsidRPr="0013463A">
        <w:rPr>
          <w:smallCaps/>
        </w:rPr>
        <w:t>translation</w:t>
      </w:r>
      <w:r w:rsidR="009622EE" w:rsidRPr="0013463A">
        <w:t xml:space="preserve">] </w:t>
      </w:r>
      <w:r w:rsidR="00037D95" w:rsidRPr="0013463A">
        <w:t>“Now, I just want things to go well.”</w:t>
      </w:r>
      <w:r w:rsidR="00037D95" w:rsidRPr="0013463A">
        <w:rPr>
          <w:rStyle w:val="Appelnotedebasdep"/>
        </w:rPr>
        <w:footnoteReference w:id="15"/>
      </w:r>
      <w:r w:rsidR="001834C5" w:rsidRPr="0013463A">
        <w:t xml:space="preserve"> </w:t>
      </w:r>
      <w:r w:rsidR="00037D95" w:rsidRPr="0013463A">
        <w:t xml:space="preserve">He also asked him to remove his belt </w:t>
      </w:r>
      <w:r w:rsidR="00383427">
        <w:t>from</w:t>
      </w:r>
      <w:r w:rsidR="00037D95" w:rsidRPr="0013463A">
        <w:t xml:space="preserve"> his </w:t>
      </w:r>
      <w:r w:rsidR="00AE5AA8">
        <w:t>pants</w:t>
      </w:r>
      <w:r w:rsidR="00037D95" w:rsidRPr="0013463A">
        <w:t>.</w:t>
      </w:r>
      <w:r w:rsidR="001834C5" w:rsidRPr="0013463A">
        <w:t xml:space="preserve"> </w:t>
      </w:r>
    </w:p>
    <w:p w14:paraId="6CC326FA" w14:textId="12504AE7" w:rsidR="00105E88" w:rsidRPr="0013463A" w:rsidRDefault="00037D95" w:rsidP="006A28AF">
      <w:pPr>
        <w:pStyle w:val="Paragraphe"/>
      </w:pPr>
      <w:r w:rsidRPr="0013463A">
        <w:t xml:space="preserve">According to </w:t>
      </w:r>
      <w:r w:rsidR="002B064C" w:rsidRPr="0013463A">
        <w:t>Unit Manager</w:t>
      </w:r>
      <w:r w:rsidRPr="0013463A">
        <w:t xml:space="preserve"> Leclerc, Mr. Toussaint threw his things in the locker but refused to remove his belt.</w:t>
      </w:r>
    </w:p>
    <w:p w14:paraId="15BB300C" w14:textId="2ABB1981" w:rsidR="00105E88" w:rsidRPr="0013463A" w:rsidRDefault="00037D95" w:rsidP="006A28AF">
      <w:pPr>
        <w:pStyle w:val="Paragraphe"/>
      </w:pPr>
      <w:r w:rsidRPr="0013463A">
        <w:t xml:space="preserve">Mr. </w:t>
      </w:r>
      <w:r w:rsidR="009622EE" w:rsidRPr="0013463A">
        <w:t>Toussaint</w:t>
      </w:r>
      <w:r w:rsidRPr="0013463A">
        <w:t xml:space="preserve"> testified that on his previous</w:t>
      </w:r>
      <w:r w:rsidR="009826E3" w:rsidRPr="0013463A">
        <w:t xml:space="preserve"> days in</w:t>
      </w:r>
      <w:r w:rsidRPr="0013463A">
        <w:t xml:space="preserve"> detention, the </w:t>
      </w:r>
      <w:r w:rsidR="00110E24" w:rsidRPr="0013463A">
        <w:t>CO</w:t>
      </w:r>
      <w:r w:rsidRPr="0013463A">
        <w:t xml:space="preserve">s </w:t>
      </w:r>
      <w:r w:rsidR="009826E3" w:rsidRPr="0013463A">
        <w:t>allowed</w:t>
      </w:r>
      <w:r w:rsidRPr="0013463A">
        <w:t xml:space="preserve"> him to keep his belt because it did not contain any metal </w:t>
      </w:r>
      <w:r w:rsidR="009826E3" w:rsidRPr="0013463A">
        <w:t>pieces</w:t>
      </w:r>
      <w:r w:rsidRPr="0013463A">
        <w:t>.</w:t>
      </w:r>
    </w:p>
    <w:p w14:paraId="492EED23" w14:textId="1BA229C4" w:rsidR="00105E88" w:rsidRPr="0013463A" w:rsidRDefault="00037D95" w:rsidP="006A28AF">
      <w:pPr>
        <w:pStyle w:val="Paragraphe"/>
      </w:pPr>
      <w:r w:rsidRPr="0013463A">
        <w:t xml:space="preserve">This explanation is somewhat supported by the following remarks </w:t>
      </w:r>
      <w:r w:rsidR="00C44299">
        <w:t xml:space="preserve">made </w:t>
      </w:r>
      <w:r w:rsidRPr="0013463A">
        <w:t xml:space="preserve">by </w:t>
      </w:r>
      <w:r w:rsidR="002B064C" w:rsidRPr="0013463A">
        <w:t>Unit Manager</w:t>
      </w:r>
      <w:r w:rsidRPr="0013463A">
        <w:t xml:space="preserve"> Leclerc:</w:t>
      </w:r>
    </w:p>
    <w:p w14:paraId="79FD1229" w14:textId="7CAE9E89" w:rsidR="009622EE" w:rsidRPr="0013463A" w:rsidRDefault="009622EE" w:rsidP="00105E88">
      <w:pPr>
        <w:pStyle w:val="Citationenretrait"/>
        <w:rPr>
          <w:lang w:val="en-CA"/>
        </w:rPr>
      </w:pPr>
      <w:r w:rsidRPr="0013463A">
        <w:rPr>
          <w:lang w:val="en-CA"/>
        </w:rPr>
        <w:t>[</w:t>
      </w:r>
      <w:r w:rsidRPr="0013463A">
        <w:rPr>
          <w:smallCaps/>
          <w:lang w:val="en-CA"/>
        </w:rPr>
        <w:t>translation</w:t>
      </w:r>
      <w:r w:rsidRPr="0013463A">
        <w:rPr>
          <w:lang w:val="en-CA"/>
        </w:rPr>
        <w:t>]</w:t>
      </w:r>
    </w:p>
    <w:p w14:paraId="284C3B12" w14:textId="46066E28" w:rsidR="00105E88" w:rsidRPr="0013463A" w:rsidRDefault="00A73548" w:rsidP="00105E88">
      <w:pPr>
        <w:pStyle w:val="Citationenretrait"/>
        <w:rPr>
          <w:lang w:val="en-CA"/>
        </w:rPr>
      </w:pPr>
      <w:r w:rsidRPr="0013463A">
        <w:rPr>
          <w:lang w:val="en-CA"/>
        </w:rPr>
        <w:t>...</w:t>
      </w:r>
      <w:r w:rsidR="004A18BC">
        <w:rPr>
          <w:lang w:val="en-CA"/>
        </w:rPr>
        <w:t xml:space="preserve"> </w:t>
      </w:r>
      <w:r w:rsidR="00037D95" w:rsidRPr="0013463A">
        <w:rPr>
          <w:lang w:val="en-CA"/>
        </w:rPr>
        <w:t xml:space="preserve">inside the </w:t>
      </w:r>
      <w:r w:rsidR="00C44299">
        <w:rPr>
          <w:lang w:val="en-CA"/>
        </w:rPr>
        <w:t>facility</w:t>
      </w:r>
      <w:r w:rsidR="00037D95" w:rsidRPr="0013463A">
        <w:rPr>
          <w:lang w:val="en-CA"/>
        </w:rPr>
        <w:t xml:space="preserve">, </w:t>
      </w:r>
      <w:r w:rsidR="009622EE" w:rsidRPr="0013463A">
        <w:rPr>
          <w:lang w:val="en-CA"/>
        </w:rPr>
        <w:t xml:space="preserve">the </w:t>
      </w:r>
      <w:r w:rsidR="00037D95" w:rsidRPr="0013463A">
        <w:rPr>
          <w:lang w:val="en-CA"/>
        </w:rPr>
        <w:t xml:space="preserve">intermittent </w:t>
      </w:r>
      <w:r w:rsidR="007B3253" w:rsidRPr="0013463A">
        <w:rPr>
          <w:lang w:val="en-CA"/>
        </w:rPr>
        <w:t>inmates</w:t>
      </w:r>
      <w:r w:rsidR="00037D95" w:rsidRPr="0013463A">
        <w:rPr>
          <w:lang w:val="en-CA"/>
        </w:rPr>
        <w:t>, and even regular</w:t>
      </w:r>
      <w:r w:rsidR="007B3253" w:rsidRPr="0013463A">
        <w:rPr>
          <w:lang w:val="en-CA"/>
        </w:rPr>
        <w:t xml:space="preserve"> inmates</w:t>
      </w:r>
      <w:r w:rsidR="00037D95" w:rsidRPr="0013463A">
        <w:rPr>
          <w:lang w:val="en-CA"/>
        </w:rPr>
        <w:t xml:space="preserve">, don’t have the right to have belts, for example, </w:t>
      </w:r>
      <w:r w:rsidR="00037D95" w:rsidRPr="0013463A">
        <w:rPr>
          <w:u w:val="single"/>
          <w:lang w:val="en-CA"/>
        </w:rPr>
        <w:t xml:space="preserve">with </w:t>
      </w:r>
      <w:r w:rsidR="009622EE" w:rsidRPr="0013463A">
        <w:rPr>
          <w:u w:val="single"/>
          <w:lang w:val="en-CA"/>
        </w:rPr>
        <w:t>metallic</w:t>
      </w:r>
      <w:r w:rsidR="00037D95" w:rsidRPr="0013463A">
        <w:rPr>
          <w:u w:val="single"/>
          <w:lang w:val="en-CA"/>
        </w:rPr>
        <w:t xml:space="preserve"> ends</w:t>
      </w:r>
      <w:r w:rsidRPr="0013463A">
        <w:rPr>
          <w:lang w:val="en-CA"/>
        </w:rPr>
        <w:t>.</w:t>
      </w:r>
      <w:r w:rsidR="001834C5" w:rsidRPr="0013463A">
        <w:rPr>
          <w:lang w:val="en-CA"/>
        </w:rPr>
        <w:t xml:space="preserve"> </w:t>
      </w:r>
      <w:r w:rsidR="00037D95" w:rsidRPr="0013463A">
        <w:rPr>
          <w:lang w:val="en-CA"/>
        </w:rPr>
        <w:t xml:space="preserve">Because you roll </w:t>
      </w:r>
      <w:r w:rsidRPr="0013463A">
        <w:rPr>
          <w:lang w:val="en-CA"/>
        </w:rPr>
        <w:t>it</w:t>
      </w:r>
      <w:r w:rsidR="00037D95" w:rsidRPr="0013463A">
        <w:rPr>
          <w:lang w:val="en-CA"/>
        </w:rPr>
        <w:t xml:space="preserve"> around the... the fist, and you can </w:t>
      </w:r>
      <w:r w:rsidRPr="0013463A">
        <w:rPr>
          <w:lang w:val="en-CA"/>
        </w:rPr>
        <w:t>hit</w:t>
      </w:r>
      <w:r w:rsidR="00037D95" w:rsidRPr="0013463A">
        <w:rPr>
          <w:lang w:val="en-CA"/>
        </w:rPr>
        <w:t xml:space="preserve"> someone, you can break a window.</w:t>
      </w:r>
      <w:r w:rsidR="001834C5" w:rsidRPr="0013463A">
        <w:rPr>
          <w:rStyle w:val="Appelnotedebasdep"/>
          <w:lang w:val="en-CA"/>
        </w:rPr>
        <w:footnoteReference w:id="16"/>
      </w:r>
    </w:p>
    <w:p w14:paraId="0F82F5D6" w14:textId="2069F448" w:rsidR="00105E88" w:rsidRPr="0013463A" w:rsidRDefault="00037D95" w:rsidP="00105E88">
      <w:pPr>
        <w:pStyle w:val="Citationenretrait"/>
        <w:jc w:val="right"/>
        <w:rPr>
          <w:sz w:val="20"/>
          <w:lang w:val="en-CA"/>
        </w:rPr>
      </w:pPr>
      <w:r w:rsidRPr="0013463A">
        <w:rPr>
          <w:sz w:val="20"/>
          <w:lang w:val="en-CA"/>
        </w:rPr>
        <w:t>(Emphasis added)</w:t>
      </w:r>
    </w:p>
    <w:p w14:paraId="2E1DD37B" w14:textId="6815AA4E" w:rsidR="00105E88" w:rsidRPr="0013463A" w:rsidRDefault="00E535B1" w:rsidP="006A28AF">
      <w:pPr>
        <w:pStyle w:val="Paragraphe"/>
      </w:pPr>
      <w:r w:rsidRPr="0013463A">
        <w:t>The possibility of a</w:t>
      </w:r>
      <w:r w:rsidR="00F20FD0">
        <w:t xml:space="preserve">n inmate </w:t>
      </w:r>
      <w:r w:rsidRPr="0013463A">
        <w:t>using a belt to commit suicide by hanging also cannot be ruled out.</w:t>
      </w:r>
    </w:p>
    <w:p w14:paraId="4946ED20" w14:textId="48C9A888" w:rsidR="00105E88" w:rsidRPr="0013463A" w:rsidRDefault="002B064C" w:rsidP="006A28AF">
      <w:pPr>
        <w:pStyle w:val="Paragraphe"/>
      </w:pPr>
      <w:r w:rsidRPr="0013463A">
        <w:t>Unit Manager</w:t>
      </w:r>
      <w:r w:rsidR="00037D95" w:rsidRPr="0013463A">
        <w:t xml:space="preserve"> Leclerc and </w:t>
      </w:r>
      <w:r w:rsidR="00110E24" w:rsidRPr="0013463A">
        <w:t>CO</w:t>
      </w:r>
      <w:r w:rsidR="00037D95" w:rsidRPr="0013463A">
        <w:t xml:space="preserve"> Dubé-Blouin insisted that Mr. Toussaint remove his belt, but in vain.</w:t>
      </w:r>
      <w:r w:rsidR="001834C5" w:rsidRPr="0013463A">
        <w:t xml:space="preserve"> </w:t>
      </w:r>
      <w:r w:rsidR="00AC15C1">
        <w:t>However, h</w:t>
      </w:r>
      <w:r w:rsidR="00037D95" w:rsidRPr="0013463A">
        <w:t xml:space="preserve">e was willing to allow </w:t>
      </w:r>
      <w:r w:rsidR="00110E24" w:rsidRPr="0013463A">
        <w:t>CO</w:t>
      </w:r>
      <w:r w:rsidR="00037D95" w:rsidRPr="0013463A">
        <w:t xml:space="preserve"> Bérubé to remove it from him: </w:t>
      </w:r>
      <w:r w:rsidR="009622EE" w:rsidRPr="0013463A">
        <w:lastRenderedPageBreak/>
        <w:t>[</w:t>
      </w:r>
      <w:r w:rsidR="009622EE" w:rsidRPr="0013463A">
        <w:rPr>
          <w:smallCaps/>
        </w:rPr>
        <w:t>translation</w:t>
      </w:r>
      <w:r w:rsidR="009622EE" w:rsidRPr="0013463A">
        <w:t xml:space="preserve">] </w:t>
      </w:r>
      <w:r w:rsidR="00037D95" w:rsidRPr="0013463A">
        <w:t>“You .. you can take it off me.</w:t>
      </w:r>
      <w:r w:rsidR="001834C5" w:rsidRPr="0013463A">
        <w:t xml:space="preserve"> </w:t>
      </w:r>
      <w:r w:rsidR="00037D95" w:rsidRPr="0013463A">
        <w:t>You’re “tight”, it wouldn’t bother me if you took it off me.”</w:t>
      </w:r>
      <w:r w:rsidR="00037D95" w:rsidRPr="0013463A">
        <w:rPr>
          <w:rStyle w:val="Appelnotedebasdep"/>
        </w:rPr>
        <w:footnoteReference w:id="17"/>
      </w:r>
      <w:r w:rsidR="001834C5" w:rsidRPr="0013463A">
        <w:t xml:space="preserve"> </w:t>
      </w:r>
    </w:p>
    <w:p w14:paraId="4103BD7D" w14:textId="627ACAF5" w:rsidR="00105E88" w:rsidRPr="0013463A" w:rsidRDefault="002B064C" w:rsidP="006A28AF">
      <w:pPr>
        <w:pStyle w:val="Paragraphe"/>
      </w:pPr>
      <w:r w:rsidRPr="0013463A">
        <w:t>Unit Manager</w:t>
      </w:r>
      <w:r w:rsidR="00037D95" w:rsidRPr="0013463A">
        <w:t xml:space="preserve"> Leclerc ordered Mr. Toussaint to </w:t>
      </w:r>
      <w:r w:rsidR="00D7133D" w:rsidRPr="0013463A">
        <w:t>place</w:t>
      </w:r>
      <w:r w:rsidR="00037D95" w:rsidRPr="0013463A">
        <w:t xml:space="preserve"> his hands against the wall. He pulled firmly on the belt, b</w:t>
      </w:r>
      <w:r w:rsidR="00D7133D" w:rsidRPr="0013463A">
        <w:t xml:space="preserve">reaking </w:t>
      </w:r>
      <w:r w:rsidR="00037D95" w:rsidRPr="0013463A">
        <w:t xml:space="preserve">one of the vertical loops on his </w:t>
      </w:r>
      <w:r w:rsidR="002D43EB">
        <w:t>pants</w:t>
      </w:r>
      <w:r w:rsidR="00037D95" w:rsidRPr="0013463A">
        <w:t>.</w:t>
      </w:r>
      <w:r w:rsidR="00037D95" w:rsidRPr="0013463A">
        <w:rPr>
          <w:rStyle w:val="Appelnotedebasdep"/>
        </w:rPr>
        <w:footnoteReference w:id="18"/>
      </w:r>
      <w:r w:rsidR="001834C5" w:rsidRPr="0013463A">
        <w:t xml:space="preserve">  </w:t>
      </w:r>
    </w:p>
    <w:p w14:paraId="47894E95" w14:textId="2B998EEE" w:rsidR="00105E88" w:rsidRPr="0013463A" w:rsidRDefault="00037D95" w:rsidP="006A28AF">
      <w:pPr>
        <w:pStyle w:val="Paragraphe"/>
      </w:pPr>
      <w:r w:rsidRPr="0013463A">
        <w:t xml:space="preserve">Given how Mr. Toussaint was behaving, he suspected there was a mental health </w:t>
      </w:r>
      <w:r w:rsidR="00D7133D" w:rsidRPr="0013463A">
        <w:t xml:space="preserve">issue </w:t>
      </w:r>
      <w:r w:rsidRPr="0013463A">
        <w:t>or possible intoxication.</w:t>
      </w:r>
      <w:r w:rsidR="001834C5" w:rsidRPr="0013463A">
        <w:t xml:space="preserve"> </w:t>
      </w:r>
      <w:r w:rsidRPr="0013463A">
        <w:t xml:space="preserve">He wondered </w:t>
      </w:r>
      <w:r w:rsidR="00D7133D" w:rsidRPr="0013463A">
        <w:t xml:space="preserve">whether </w:t>
      </w:r>
      <w:r w:rsidRPr="0013463A">
        <w:t xml:space="preserve">it was appropriate to direct him somewhere other than the gymnasium with the other </w:t>
      </w:r>
      <w:r w:rsidR="009622EE" w:rsidRPr="0013463A">
        <w:t>intermittent</w:t>
      </w:r>
      <w:r w:rsidRPr="0013463A">
        <w:t xml:space="preserve"> </w:t>
      </w:r>
      <w:r w:rsidR="005165C7">
        <w:t>inma</w:t>
      </w:r>
      <w:r w:rsidR="00EB2683">
        <w:t>tes</w:t>
      </w:r>
      <w:r w:rsidRPr="0013463A">
        <w:t>.</w:t>
      </w:r>
      <w:r w:rsidR="001834C5" w:rsidRPr="0013463A">
        <w:t xml:space="preserve"> </w:t>
      </w:r>
    </w:p>
    <w:p w14:paraId="799892BA" w14:textId="53F1287E" w:rsidR="00105E88" w:rsidRPr="0013463A" w:rsidRDefault="009622EE" w:rsidP="006A28AF">
      <w:pPr>
        <w:pStyle w:val="Paragraphe"/>
      </w:pPr>
      <w:r w:rsidRPr="0013463A">
        <w:t>[</w:t>
      </w:r>
      <w:r w:rsidRPr="0013463A">
        <w:rPr>
          <w:smallCaps/>
        </w:rPr>
        <w:t>translation</w:t>
      </w:r>
      <w:r w:rsidRPr="0013463A">
        <w:t xml:space="preserve">] </w:t>
      </w:r>
      <w:r w:rsidR="00037D95" w:rsidRPr="0013463A">
        <w:t>“Take him aside”, he decided.</w:t>
      </w:r>
      <w:r w:rsidR="001834C5" w:rsidRPr="0013463A">
        <w:t xml:space="preserve"> </w:t>
      </w:r>
      <w:r w:rsidR="00037D95" w:rsidRPr="0013463A">
        <w:t xml:space="preserve">He </w:t>
      </w:r>
      <w:r w:rsidRPr="0013463A">
        <w:t>chose</w:t>
      </w:r>
      <w:r w:rsidR="00037D95" w:rsidRPr="0013463A">
        <w:t xml:space="preserve"> to make him wait in </w:t>
      </w:r>
      <w:r w:rsidR="006E4A08" w:rsidRPr="0013463A">
        <w:t>c</w:t>
      </w:r>
      <w:r w:rsidR="00037D95" w:rsidRPr="0013463A">
        <w:t xml:space="preserve">ell 36 </w:t>
      </w:r>
      <w:r w:rsidR="00FB22D1" w:rsidRPr="0013463A">
        <w:t>until he calmed down</w:t>
      </w:r>
      <w:r w:rsidR="00037D95" w:rsidRPr="0013463A">
        <w:t>.</w:t>
      </w:r>
      <w:r w:rsidR="001834C5" w:rsidRPr="0013463A">
        <w:t xml:space="preserve"> </w:t>
      </w:r>
      <w:r w:rsidR="00037D95" w:rsidRPr="0013463A">
        <w:t xml:space="preserve">In his opinion, his state </w:t>
      </w:r>
      <w:r w:rsidR="003445BF">
        <w:t>should</w:t>
      </w:r>
      <w:r w:rsidR="00037D95" w:rsidRPr="0013463A">
        <w:t xml:space="preserve"> be reassessed</w:t>
      </w:r>
      <w:r w:rsidR="00195549">
        <w:t>,</w:t>
      </w:r>
      <w:r w:rsidR="00037D95" w:rsidRPr="0013463A">
        <w:t xml:space="preserve"> and he planned to transfer him after that to </w:t>
      </w:r>
      <w:r w:rsidRPr="0013463A">
        <w:t>[</w:t>
      </w:r>
      <w:r w:rsidRPr="0013463A">
        <w:rPr>
          <w:smallCaps/>
        </w:rPr>
        <w:t>translation</w:t>
      </w:r>
      <w:r w:rsidRPr="0013463A">
        <w:t xml:space="preserve">] </w:t>
      </w:r>
      <w:r w:rsidR="00037D95" w:rsidRPr="0013463A">
        <w:t xml:space="preserve">“temporary solitary” in </w:t>
      </w:r>
      <w:r w:rsidR="006E4A08" w:rsidRPr="0013463A">
        <w:t>c</w:t>
      </w:r>
      <w:r w:rsidR="00037D95" w:rsidRPr="0013463A">
        <w:t xml:space="preserve">ell 1 in </w:t>
      </w:r>
      <w:r w:rsidR="006E4A08" w:rsidRPr="0013463A">
        <w:t>d</w:t>
      </w:r>
      <w:r w:rsidR="00037D95" w:rsidRPr="0013463A">
        <w:t xml:space="preserve">epartment 5, where there is more </w:t>
      </w:r>
      <w:r w:rsidR="00025BB7" w:rsidRPr="0013463A">
        <w:t>su</w:t>
      </w:r>
      <w:r w:rsidR="00025BB7">
        <w:t>rveillance</w:t>
      </w:r>
      <w:r w:rsidR="00025BB7" w:rsidRPr="0013463A">
        <w:t xml:space="preserve"> </w:t>
      </w:r>
      <w:r w:rsidR="00037D95" w:rsidRPr="0013463A">
        <w:t xml:space="preserve">and </w:t>
      </w:r>
      <w:r w:rsidR="006E4A08" w:rsidRPr="0013463A">
        <w:t xml:space="preserve">more </w:t>
      </w:r>
      <w:r w:rsidR="00037D95" w:rsidRPr="0013463A">
        <w:t>coming and going, which would make it easier to observe him.</w:t>
      </w:r>
    </w:p>
    <w:p w14:paraId="6D41D949" w14:textId="3F7BF34C" w:rsidR="00105E88" w:rsidRPr="0013463A" w:rsidRDefault="00037D95" w:rsidP="006A28AF">
      <w:pPr>
        <w:pStyle w:val="Paragraphe"/>
      </w:pPr>
      <w:r w:rsidRPr="0013463A">
        <w:t xml:space="preserve">Mr. Toussaint had to transit through an outdoor space to be led to </w:t>
      </w:r>
      <w:r w:rsidR="006E4A08" w:rsidRPr="0013463A">
        <w:t>c</w:t>
      </w:r>
      <w:r w:rsidRPr="0013463A">
        <w:t>ell 36.</w:t>
      </w:r>
      <w:r w:rsidR="001834C5" w:rsidRPr="0013463A">
        <w:t xml:space="preserve"> </w:t>
      </w:r>
      <w:r w:rsidRPr="0013463A">
        <w:t xml:space="preserve">He testified that he </w:t>
      </w:r>
      <w:r w:rsidR="000E699D" w:rsidRPr="0013463A">
        <w:t>was left</w:t>
      </w:r>
      <w:r w:rsidRPr="0013463A">
        <w:t xml:space="preserve"> alone in the cold for </w:t>
      </w:r>
      <w:r w:rsidR="00314142">
        <w:t xml:space="preserve">around </w:t>
      </w:r>
      <w:r w:rsidRPr="0013463A">
        <w:t>five minutes before the door of the building was opened to let him in.</w:t>
      </w:r>
      <w:r w:rsidR="001834C5" w:rsidRPr="0013463A">
        <w:t xml:space="preserve"> </w:t>
      </w:r>
    </w:p>
    <w:p w14:paraId="1239BF22" w14:textId="6163667E" w:rsidR="00105E88" w:rsidRPr="0013463A" w:rsidRDefault="00037D95" w:rsidP="00105E88">
      <w:pPr>
        <w:pStyle w:val="Paragraphe"/>
        <w:numPr>
          <w:ilvl w:val="0"/>
          <w:numId w:val="0"/>
        </w:numPr>
        <w:rPr>
          <w:b/>
          <w:bCs/>
          <w:i/>
          <w:iCs/>
          <w:u w:val="single"/>
        </w:rPr>
      </w:pPr>
      <w:r w:rsidRPr="0013463A">
        <w:rPr>
          <w:b/>
          <w:bCs/>
          <w:i/>
          <w:iCs/>
          <w:u w:val="single"/>
        </w:rPr>
        <w:t>Cell 36</w:t>
      </w:r>
    </w:p>
    <w:p w14:paraId="4C662756" w14:textId="5EA76A41" w:rsidR="00105E88" w:rsidRPr="0013463A" w:rsidRDefault="00037D95" w:rsidP="006A28AF">
      <w:pPr>
        <w:pStyle w:val="Paragraphe"/>
      </w:pPr>
      <w:r w:rsidRPr="0013463A">
        <w:t xml:space="preserve">This </w:t>
      </w:r>
      <w:r w:rsidR="000E699D" w:rsidRPr="0013463A">
        <w:t>c</w:t>
      </w:r>
      <w:r w:rsidRPr="0013463A">
        <w:t xml:space="preserve">ell, described as a </w:t>
      </w:r>
      <w:r w:rsidR="009622EE" w:rsidRPr="0013463A">
        <w:t>[</w:t>
      </w:r>
      <w:r w:rsidR="009622EE" w:rsidRPr="0013463A">
        <w:rPr>
          <w:smallCaps/>
        </w:rPr>
        <w:t>translation</w:t>
      </w:r>
      <w:r w:rsidR="009622EE" w:rsidRPr="0013463A">
        <w:t xml:space="preserve">] </w:t>
      </w:r>
      <w:r w:rsidRPr="0013463A">
        <w:t>“waiting room”,</w:t>
      </w:r>
      <w:r w:rsidRPr="0013463A">
        <w:rPr>
          <w:rStyle w:val="Appelnotedebasdep"/>
        </w:rPr>
        <w:footnoteReference w:id="19"/>
      </w:r>
      <w:r w:rsidRPr="0013463A">
        <w:t xml:space="preserve"> is furnished with essentially a table and metal </w:t>
      </w:r>
      <w:r w:rsidR="007B3253" w:rsidRPr="0013463A">
        <w:t>benches</w:t>
      </w:r>
      <w:r w:rsidRPr="0013463A">
        <w:t xml:space="preserve"> </w:t>
      </w:r>
      <w:r w:rsidR="007B3253" w:rsidRPr="0013463A">
        <w:t>fastened</w:t>
      </w:r>
      <w:r w:rsidRPr="0013463A">
        <w:t xml:space="preserve"> to the </w:t>
      </w:r>
      <w:r w:rsidR="00F47AAB">
        <w:t>ground</w:t>
      </w:r>
      <w:r w:rsidRPr="0013463A">
        <w:t>. There is no bed, sink, or toilet.</w:t>
      </w:r>
      <w:r w:rsidRPr="0013463A">
        <w:rPr>
          <w:rStyle w:val="Appelnotedebasdep"/>
        </w:rPr>
        <w:footnoteReference w:id="20"/>
      </w:r>
    </w:p>
    <w:p w14:paraId="05FFD9A0" w14:textId="6C5D64AF" w:rsidR="00105E88" w:rsidRPr="0013463A" w:rsidRDefault="00037D95" w:rsidP="006A28AF">
      <w:pPr>
        <w:pStyle w:val="Paragraphe"/>
      </w:pPr>
      <w:r w:rsidRPr="0013463A">
        <w:t xml:space="preserve">While Mr. Toussaint was waiting in </w:t>
      </w:r>
      <w:r w:rsidR="006E4A08" w:rsidRPr="0013463A">
        <w:t>c</w:t>
      </w:r>
      <w:r w:rsidRPr="0013463A">
        <w:t>ell 36, the usual admissions proce</w:t>
      </w:r>
      <w:r w:rsidR="00850650" w:rsidRPr="0013463A">
        <w:t>dure was applied to the other intermittent inmates</w:t>
      </w:r>
      <w:r w:rsidRPr="0013463A">
        <w:t>.</w:t>
      </w:r>
    </w:p>
    <w:p w14:paraId="434C7843" w14:textId="4310D22C" w:rsidR="00105E88" w:rsidRPr="0013463A" w:rsidRDefault="002B064C" w:rsidP="006A28AF">
      <w:pPr>
        <w:pStyle w:val="Paragraphe"/>
      </w:pPr>
      <w:r w:rsidRPr="0013463A">
        <w:t>Unit Manager</w:t>
      </w:r>
      <w:r w:rsidR="00037D95" w:rsidRPr="0013463A">
        <w:t xml:space="preserve"> Leclerc described </w:t>
      </w:r>
      <w:r w:rsidR="007B3253" w:rsidRPr="0013463A">
        <w:t xml:space="preserve">this </w:t>
      </w:r>
      <w:r w:rsidR="00037D95" w:rsidRPr="0013463A">
        <w:t xml:space="preserve">procedure. When they arrive, </w:t>
      </w:r>
      <w:r w:rsidR="00E37D89">
        <w:t>they</w:t>
      </w:r>
      <w:r w:rsidR="00E37D89" w:rsidRPr="0013463A">
        <w:t xml:space="preserve"> </w:t>
      </w:r>
      <w:r w:rsidR="00037D95" w:rsidRPr="0013463A">
        <w:t>sign their attendance card, place their personal effects (wallet, cellphone, keys</w:t>
      </w:r>
      <w:r w:rsidR="007B3253" w:rsidRPr="0013463A">
        <w:t>, etc.)</w:t>
      </w:r>
      <w:r w:rsidR="00037D95" w:rsidRPr="0013463A">
        <w:t xml:space="preserve"> in a locker, and submit to a pat-down search, during which they </w:t>
      </w:r>
      <w:r w:rsidR="00F528F7">
        <w:t>must</w:t>
      </w:r>
      <w:r w:rsidR="00037D95" w:rsidRPr="0013463A">
        <w:t xml:space="preserve"> empty their pockets and remove their belt.</w:t>
      </w:r>
    </w:p>
    <w:p w14:paraId="67AE7176" w14:textId="19EE21C6" w:rsidR="00105E88" w:rsidRPr="0013463A" w:rsidRDefault="00037D95" w:rsidP="006A28AF">
      <w:pPr>
        <w:pStyle w:val="Paragraphe"/>
      </w:pPr>
      <w:r w:rsidRPr="0013463A">
        <w:t>They then enter an adjoining room called the “bull pen” and wait to undergo a strip search in one of the three dedicated cubicles</w:t>
      </w:r>
      <w:r w:rsidR="007B3253" w:rsidRPr="0013463A">
        <w:t>.</w:t>
      </w:r>
      <w:r w:rsidRPr="0013463A">
        <w:rPr>
          <w:rStyle w:val="Appelnotedebasdep"/>
        </w:rPr>
        <w:footnoteReference w:id="21"/>
      </w:r>
    </w:p>
    <w:p w14:paraId="2A43B4E1" w14:textId="2B7C583A" w:rsidR="00105E88" w:rsidRPr="0013463A" w:rsidRDefault="005306D8" w:rsidP="006A28AF">
      <w:pPr>
        <w:pStyle w:val="Paragraphe"/>
      </w:pPr>
      <w:r w:rsidRPr="0013463A">
        <w:lastRenderedPageBreak/>
        <w:t xml:space="preserve">The strip search is performed to verify that the </w:t>
      </w:r>
      <w:r w:rsidR="007B3253" w:rsidRPr="0013463A">
        <w:t>inmate</w:t>
      </w:r>
      <w:r w:rsidRPr="0013463A">
        <w:t xml:space="preserve"> is not bringing any weapons, drugs</w:t>
      </w:r>
      <w:r w:rsidR="004104F7">
        <w:t>,</w:t>
      </w:r>
      <w:r w:rsidRPr="0013463A">
        <w:t xml:space="preserve"> or other prohibited objects with them, </w:t>
      </w:r>
      <w:r w:rsidR="00611534" w:rsidRPr="0013463A">
        <w:t xml:space="preserve">while also </w:t>
      </w:r>
      <w:r w:rsidRPr="0013463A">
        <w:t>check</w:t>
      </w:r>
      <w:r w:rsidR="00611534" w:rsidRPr="0013463A">
        <w:t>ing</w:t>
      </w:r>
      <w:r w:rsidRPr="0013463A">
        <w:t xml:space="preserve"> that they have no bodily injuries.</w:t>
      </w:r>
    </w:p>
    <w:p w14:paraId="027EDCA1" w14:textId="189A4950" w:rsidR="00105E88" w:rsidRPr="0013463A" w:rsidRDefault="005306D8" w:rsidP="006A28AF">
      <w:pPr>
        <w:pStyle w:val="Paragraphe"/>
      </w:pPr>
      <w:r w:rsidRPr="0013463A">
        <w:t xml:space="preserve">The </w:t>
      </w:r>
      <w:r w:rsidR="00611534" w:rsidRPr="0013463A">
        <w:t>man</w:t>
      </w:r>
      <w:r w:rsidRPr="0013463A">
        <w:t xml:space="preserve"> being searched must remove all </w:t>
      </w:r>
      <w:r w:rsidR="00611534" w:rsidRPr="0013463A">
        <w:t>his</w:t>
      </w:r>
      <w:r w:rsidRPr="0013463A">
        <w:t xml:space="preserve"> clothing, face the wall, spread </w:t>
      </w:r>
      <w:r w:rsidR="00611534" w:rsidRPr="0013463A">
        <w:t>his</w:t>
      </w:r>
      <w:r w:rsidRPr="0013463A">
        <w:t xml:space="preserve"> buttocks, turn around, lift </w:t>
      </w:r>
      <w:r w:rsidR="00611534" w:rsidRPr="0013463A">
        <w:t>his</w:t>
      </w:r>
      <w:r w:rsidRPr="0013463A">
        <w:t xml:space="preserve"> testicles, raise </w:t>
      </w:r>
      <w:r w:rsidR="00611534" w:rsidRPr="0013463A">
        <w:t>his</w:t>
      </w:r>
      <w:r w:rsidRPr="0013463A">
        <w:t xml:space="preserve"> arms, open </w:t>
      </w:r>
      <w:r w:rsidR="00611534" w:rsidRPr="0013463A">
        <w:t>his</w:t>
      </w:r>
      <w:r w:rsidRPr="0013463A">
        <w:t xml:space="preserve"> mouth, move </w:t>
      </w:r>
      <w:r w:rsidR="00611534" w:rsidRPr="0013463A">
        <w:t>his</w:t>
      </w:r>
      <w:r w:rsidRPr="0013463A">
        <w:t xml:space="preserve"> hair from </w:t>
      </w:r>
      <w:r w:rsidR="00F537CB">
        <w:t>his</w:t>
      </w:r>
      <w:r w:rsidRPr="0013463A">
        <w:t xml:space="preserve"> </w:t>
      </w:r>
      <w:r w:rsidR="009622EE" w:rsidRPr="0013463A">
        <w:t>ears</w:t>
      </w:r>
      <w:r w:rsidRPr="0013463A">
        <w:t xml:space="preserve">, and shake out </w:t>
      </w:r>
      <w:r w:rsidR="00611534" w:rsidRPr="0013463A">
        <w:t>his</w:t>
      </w:r>
      <w:r w:rsidRPr="0013463A">
        <w:t xml:space="preserve"> hair.</w:t>
      </w:r>
      <w:r w:rsidR="001834C5" w:rsidRPr="0013463A">
        <w:t xml:space="preserve"> </w:t>
      </w:r>
    </w:p>
    <w:p w14:paraId="57E2CB80" w14:textId="3731AA1A" w:rsidR="00105E88" w:rsidRPr="0013463A" w:rsidRDefault="005306D8" w:rsidP="006A28AF">
      <w:pPr>
        <w:pStyle w:val="Paragraphe"/>
      </w:pPr>
      <w:r w:rsidRPr="0013463A">
        <w:t xml:space="preserve">Mr. Toussaint testified that he waited alone in </w:t>
      </w:r>
      <w:r w:rsidR="00CD0DC2" w:rsidRPr="0013463A">
        <w:t>c</w:t>
      </w:r>
      <w:r w:rsidRPr="0013463A">
        <w:t xml:space="preserve">ell 36 for more than an hour without being told why the usual procedure of </w:t>
      </w:r>
      <w:r w:rsidR="00CD0DC2" w:rsidRPr="0013463A">
        <w:t xml:space="preserve">being </w:t>
      </w:r>
      <w:r w:rsidRPr="0013463A">
        <w:t>strip search</w:t>
      </w:r>
      <w:r w:rsidR="00CD0DC2" w:rsidRPr="0013463A">
        <w:t>ed</w:t>
      </w:r>
      <w:r w:rsidRPr="0013463A">
        <w:t xml:space="preserve"> and escorted to the </w:t>
      </w:r>
      <w:r w:rsidR="009622EE" w:rsidRPr="0013463A">
        <w:t>gymnasium</w:t>
      </w:r>
      <w:r w:rsidRPr="0013463A">
        <w:t xml:space="preserve"> was not being followed.</w:t>
      </w:r>
      <w:r w:rsidR="001834C5" w:rsidRPr="0013463A">
        <w:t xml:space="preserve"> </w:t>
      </w:r>
    </w:p>
    <w:p w14:paraId="32A5E47D" w14:textId="7B258C5F" w:rsidR="00105E88" w:rsidRPr="0013463A" w:rsidRDefault="005306D8" w:rsidP="006A28AF">
      <w:pPr>
        <w:pStyle w:val="Paragraphe"/>
      </w:pPr>
      <w:r w:rsidRPr="0013463A">
        <w:t xml:space="preserve">The Tribunal has </w:t>
      </w:r>
      <w:r w:rsidR="00611534" w:rsidRPr="0013463A">
        <w:t>watched</w:t>
      </w:r>
      <w:r w:rsidRPr="0013463A">
        <w:t xml:space="preserve"> a silent video recording from a static camera in cell 36 between 10:29 a.m. and 10:31 a.m.</w:t>
      </w:r>
      <w:r w:rsidRPr="0013463A">
        <w:rPr>
          <w:rStyle w:val="Appelnotedebasdep"/>
        </w:rPr>
        <w:footnoteReference w:id="22"/>
      </w:r>
      <w:r w:rsidR="001834C5" w:rsidRPr="0013463A">
        <w:t xml:space="preserve"> </w:t>
      </w:r>
      <w:r w:rsidRPr="0013463A">
        <w:t xml:space="preserve">It appears that these images were relayed in real time to a console attended by a </w:t>
      </w:r>
      <w:r w:rsidR="00110E24" w:rsidRPr="0013463A">
        <w:t>CO</w:t>
      </w:r>
      <w:r w:rsidRPr="0013463A">
        <w:t xml:space="preserve"> who could intervene if needed.</w:t>
      </w:r>
    </w:p>
    <w:p w14:paraId="213B6AFA" w14:textId="031419F9" w:rsidR="00105E88" w:rsidRPr="0013463A" w:rsidRDefault="005306D8" w:rsidP="006A28AF">
      <w:pPr>
        <w:pStyle w:val="Paragraphe"/>
      </w:pPr>
      <w:r w:rsidRPr="0013463A">
        <w:t>It shows Mr. Toussaint alone, seated at a table, his arms and hands alongside his body.</w:t>
      </w:r>
      <w:r w:rsidR="001834C5" w:rsidRPr="0013463A">
        <w:t xml:space="preserve"> </w:t>
      </w:r>
      <w:r w:rsidRPr="0013463A">
        <w:t xml:space="preserve">He is calm and </w:t>
      </w:r>
      <w:r w:rsidR="00611534" w:rsidRPr="0013463A">
        <w:t>s</w:t>
      </w:r>
      <w:r w:rsidRPr="0013463A">
        <w:t>lightly swaying his shoulders from left to right.</w:t>
      </w:r>
      <w:r w:rsidR="001834C5" w:rsidRPr="0013463A">
        <w:t xml:space="preserve"> </w:t>
      </w:r>
      <w:r w:rsidRPr="0013463A">
        <w:t>He testified that he remained calm and tried to relax.</w:t>
      </w:r>
    </w:p>
    <w:p w14:paraId="7F83AAF2" w14:textId="0BBABFE7" w:rsidR="00105E88" w:rsidRPr="0013463A" w:rsidRDefault="005306D8" w:rsidP="006A28AF">
      <w:pPr>
        <w:pStyle w:val="Paragraphe"/>
      </w:pPr>
      <w:r w:rsidRPr="0013463A">
        <w:t xml:space="preserve">According to </w:t>
      </w:r>
      <w:r w:rsidR="002B064C" w:rsidRPr="0013463A">
        <w:t>Unit Manager</w:t>
      </w:r>
      <w:r w:rsidRPr="0013463A">
        <w:t xml:space="preserve"> Leclerc,</w:t>
      </w:r>
      <w:r w:rsidR="009622EE" w:rsidRPr="0013463A">
        <w:t xml:space="preserve"> [</w:t>
      </w:r>
      <w:r w:rsidR="009622EE" w:rsidRPr="0013463A">
        <w:rPr>
          <w:smallCaps/>
        </w:rPr>
        <w:t>translation</w:t>
      </w:r>
      <w:r w:rsidR="009622EE" w:rsidRPr="0013463A">
        <w:t xml:space="preserve">] </w:t>
      </w:r>
      <w:r w:rsidRPr="0013463A">
        <w:t>“it didn’t look too bad”</w:t>
      </w:r>
      <w:r w:rsidR="009622EE" w:rsidRPr="0013463A">
        <w:t xml:space="preserve"> and [</w:t>
      </w:r>
      <w:r w:rsidR="009622EE" w:rsidRPr="0013463A">
        <w:rPr>
          <w:smallCaps/>
        </w:rPr>
        <w:t>translation</w:t>
      </w:r>
      <w:r w:rsidR="009622EE" w:rsidRPr="0013463A">
        <w:t xml:space="preserve">] </w:t>
      </w:r>
      <w:r w:rsidRPr="0013463A">
        <w:t>“he actually looked fine”.</w:t>
      </w:r>
      <w:r w:rsidRPr="0013463A">
        <w:rPr>
          <w:rStyle w:val="Appelnotedebasdep"/>
        </w:rPr>
        <w:footnoteReference w:id="23"/>
      </w:r>
      <w:r w:rsidR="001834C5" w:rsidRPr="0013463A">
        <w:t xml:space="preserve"> </w:t>
      </w:r>
    </w:p>
    <w:p w14:paraId="7941F39B" w14:textId="40BACFBF" w:rsidR="00105E88" w:rsidRPr="0013463A" w:rsidRDefault="00C41D7B" w:rsidP="006A28AF">
      <w:pPr>
        <w:pStyle w:val="Paragraphe"/>
      </w:pPr>
      <w:r w:rsidRPr="0013463A">
        <w:t xml:space="preserve">Then </w:t>
      </w:r>
      <w:r w:rsidR="002B064C" w:rsidRPr="0013463A">
        <w:t>Unit Manager</w:t>
      </w:r>
      <w:r w:rsidRPr="0013463A">
        <w:t xml:space="preserve"> Lecler and four other </w:t>
      </w:r>
      <w:r w:rsidR="00110E24" w:rsidRPr="0013463A">
        <w:t>CO</w:t>
      </w:r>
      <w:r w:rsidRPr="0013463A">
        <w:t xml:space="preserve">s </w:t>
      </w:r>
      <w:r w:rsidR="009622EE" w:rsidRPr="0013463A">
        <w:t>–</w:t>
      </w:r>
      <w:r w:rsidRPr="0013463A">
        <w:t xml:space="preserve"> Frédéric Bouchard, Jean-René Brousseau, Michael Dubé-Blouin, and Mykel Brousseau </w:t>
      </w:r>
      <w:r w:rsidR="009622EE" w:rsidRPr="0013463A">
        <w:t>–</w:t>
      </w:r>
      <w:r w:rsidRPr="0013463A">
        <w:t xml:space="preserve"> entered cell 36.</w:t>
      </w:r>
    </w:p>
    <w:p w14:paraId="722B7E83" w14:textId="13486748" w:rsidR="00105E88" w:rsidRPr="0013463A" w:rsidRDefault="00C41D7B" w:rsidP="006A28AF">
      <w:pPr>
        <w:pStyle w:val="Paragraphe"/>
      </w:pPr>
      <w:r w:rsidRPr="0013463A">
        <w:t xml:space="preserve">According to the evidence, </w:t>
      </w:r>
      <w:r w:rsidR="00CD0DC2" w:rsidRPr="0013463A">
        <w:t xml:space="preserve">these types of interventions generally involve </w:t>
      </w:r>
      <w:r w:rsidRPr="0013463A">
        <w:t xml:space="preserve">several </w:t>
      </w:r>
      <w:r w:rsidR="00110E24" w:rsidRPr="0013463A">
        <w:t>CO</w:t>
      </w:r>
      <w:r w:rsidRPr="0013463A">
        <w:t xml:space="preserve">s </w:t>
      </w:r>
      <w:r w:rsidR="00B3453C" w:rsidRPr="0013463A">
        <w:t xml:space="preserve">in order to </w:t>
      </w:r>
      <w:r w:rsidRPr="0013463A">
        <w:t xml:space="preserve">outnumber the </w:t>
      </w:r>
      <w:r w:rsidR="00225321">
        <w:t>inmate</w:t>
      </w:r>
      <w:r w:rsidRPr="0013463A">
        <w:t xml:space="preserve">, especially one who appears to be intoxicated: </w:t>
      </w:r>
      <w:r w:rsidR="009622EE" w:rsidRPr="0013463A">
        <w:t>[</w:t>
      </w:r>
      <w:r w:rsidR="009622EE" w:rsidRPr="0013463A">
        <w:rPr>
          <w:smallCaps/>
        </w:rPr>
        <w:t>translation</w:t>
      </w:r>
      <w:r w:rsidR="009622EE" w:rsidRPr="0013463A">
        <w:t xml:space="preserve">] </w:t>
      </w:r>
      <w:r w:rsidRPr="0013463A">
        <w:t xml:space="preserve">“Better </w:t>
      </w:r>
      <w:r w:rsidR="00CD0DC2" w:rsidRPr="0013463A">
        <w:t xml:space="preserve">to be </w:t>
      </w:r>
      <w:r w:rsidRPr="0013463A">
        <w:t xml:space="preserve">many than few”, says </w:t>
      </w:r>
      <w:r w:rsidR="002B064C" w:rsidRPr="0013463A">
        <w:t>Unit Manager</w:t>
      </w:r>
      <w:r w:rsidRPr="0013463A">
        <w:t xml:space="preserve"> Leclerc.</w:t>
      </w:r>
      <w:r w:rsidR="001834C5" w:rsidRPr="0013463A">
        <w:t xml:space="preserve"> </w:t>
      </w:r>
      <w:r w:rsidR="009622EE" w:rsidRPr="0013463A">
        <w:t>[</w:t>
      </w:r>
      <w:r w:rsidR="009622EE" w:rsidRPr="0013463A">
        <w:rPr>
          <w:smallCaps/>
        </w:rPr>
        <w:t>translation</w:t>
      </w:r>
      <w:r w:rsidR="009622EE" w:rsidRPr="0013463A">
        <w:t xml:space="preserve">] </w:t>
      </w:r>
      <w:r w:rsidRPr="0013463A">
        <w:t xml:space="preserve">“We’re happy to be as many people as possible”, </w:t>
      </w:r>
      <w:r w:rsidR="00945181">
        <w:t>adds</w:t>
      </w:r>
      <w:r w:rsidR="00945181" w:rsidRPr="0013463A">
        <w:t xml:space="preserve"> </w:t>
      </w:r>
      <w:r w:rsidR="00110E24" w:rsidRPr="0013463A">
        <w:t>CO</w:t>
      </w:r>
      <w:r w:rsidRPr="0013463A">
        <w:t xml:space="preserve"> Dubé-Blouin.</w:t>
      </w:r>
      <w:r w:rsidR="001834C5" w:rsidRPr="0013463A">
        <w:t xml:space="preserve"> </w:t>
      </w:r>
    </w:p>
    <w:p w14:paraId="09A15583" w14:textId="685BB03D" w:rsidR="00105E88" w:rsidRPr="0013463A" w:rsidRDefault="002B064C" w:rsidP="006A28AF">
      <w:pPr>
        <w:pStyle w:val="Paragraphe"/>
      </w:pPr>
      <w:r w:rsidRPr="0013463A">
        <w:t>Unit Manager</w:t>
      </w:r>
      <w:r w:rsidR="00C41D7B" w:rsidRPr="0013463A">
        <w:t xml:space="preserve"> Leclerc spoke to Mr. Toussaint briefly.</w:t>
      </w:r>
      <w:r w:rsidR="001834C5" w:rsidRPr="0013463A">
        <w:t xml:space="preserve"> </w:t>
      </w:r>
      <w:r w:rsidR="00C41D7B" w:rsidRPr="0013463A">
        <w:t xml:space="preserve">According to the testimony of the </w:t>
      </w:r>
      <w:r w:rsidR="00110E24" w:rsidRPr="0013463A">
        <w:t>CO</w:t>
      </w:r>
      <w:r w:rsidR="00C41D7B" w:rsidRPr="0013463A">
        <w:t xml:space="preserve">s, he </w:t>
      </w:r>
      <w:r w:rsidR="00B3453C" w:rsidRPr="0013463A">
        <w:t xml:space="preserve">told him </w:t>
      </w:r>
      <w:r w:rsidR="008F154E">
        <w:t xml:space="preserve">that </w:t>
      </w:r>
      <w:r w:rsidR="00B3453C" w:rsidRPr="0013463A">
        <w:t xml:space="preserve">he </w:t>
      </w:r>
      <w:r w:rsidR="00C41D7B" w:rsidRPr="0013463A">
        <w:t xml:space="preserve">would be placed in solitary </w:t>
      </w:r>
      <w:r w:rsidR="00F9260D">
        <w:t xml:space="preserve">confinement </w:t>
      </w:r>
      <w:r w:rsidR="00C41D7B" w:rsidRPr="0013463A">
        <w:t xml:space="preserve">for the entire day as a temporary measure and asked him to </w:t>
      </w:r>
      <w:r w:rsidR="001D592B">
        <w:t>face</w:t>
      </w:r>
      <w:r w:rsidR="00C41D7B" w:rsidRPr="0013463A">
        <w:t xml:space="preserve"> the wall</w:t>
      </w:r>
      <w:r w:rsidR="00945181">
        <w:t xml:space="preserve"> so that he c</w:t>
      </w:r>
      <w:r w:rsidR="005626A8">
        <w:t>ould</w:t>
      </w:r>
      <w:r w:rsidR="00B3453C" w:rsidRPr="0013463A">
        <w:t xml:space="preserve"> be </w:t>
      </w:r>
      <w:r w:rsidR="00C41D7B" w:rsidRPr="0013463A">
        <w:t>handcuffed.</w:t>
      </w:r>
      <w:r w:rsidR="001834C5" w:rsidRPr="0013463A">
        <w:t xml:space="preserve"> </w:t>
      </w:r>
    </w:p>
    <w:p w14:paraId="0D5A480D" w14:textId="24B4FA7F" w:rsidR="00105E88" w:rsidRPr="0013463A" w:rsidRDefault="00C41D7B" w:rsidP="006A28AF">
      <w:pPr>
        <w:pStyle w:val="Paragraphe"/>
      </w:pPr>
      <w:r w:rsidRPr="0013463A">
        <w:t xml:space="preserve">It appears </w:t>
      </w:r>
      <w:r w:rsidR="009622EE" w:rsidRPr="0013463A">
        <w:t>that</w:t>
      </w:r>
      <w:r w:rsidRPr="0013463A">
        <w:t xml:space="preserve"> </w:t>
      </w:r>
      <w:r w:rsidR="002B064C" w:rsidRPr="0013463A">
        <w:t>inmates</w:t>
      </w:r>
      <w:r w:rsidRPr="0013463A">
        <w:t xml:space="preserve"> </w:t>
      </w:r>
      <w:r w:rsidR="002B064C" w:rsidRPr="0013463A">
        <w:t xml:space="preserve">brought </w:t>
      </w:r>
      <w:r w:rsidRPr="0013463A">
        <w:t xml:space="preserve">to solitary </w:t>
      </w:r>
      <w:r w:rsidR="00F9260D">
        <w:t xml:space="preserve">confinement </w:t>
      </w:r>
      <w:r w:rsidRPr="0013463A">
        <w:t xml:space="preserve">in another part of </w:t>
      </w:r>
      <w:r w:rsidR="002B064C" w:rsidRPr="0013463A">
        <w:t xml:space="preserve">the facility </w:t>
      </w:r>
      <w:r w:rsidRPr="0013463A">
        <w:t xml:space="preserve">are always handcuffed before being moved to avoid any risk of the </w:t>
      </w:r>
      <w:r w:rsidR="00110E24" w:rsidRPr="0013463A">
        <w:t>CO</w:t>
      </w:r>
      <w:r w:rsidRPr="0013463A">
        <w:t xml:space="preserve">s </w:t>
      </w:r>
      <w:r w:rsidR="009622EE" w:rsidRPr="0013463A">
        <w:t>[</w:t>
      </w:r>
      <w:r w:rsidR="009622EE" w:rsidRPr="0013463A">
        <w:rPr>
          <w:smallCaps/>
        </w:rPr>
        <w:t>translation</w:t>
      </w:r>
      <w:r w:rsidR="009622EE" w:rsidRPr="0013463A">
        <w:t xml:space="preserve">] </w:t>
      </w:r>
      <w:r w:rsidRPr="0013463A">
        <w:lastRenderedPageBreak/>
        <w:t>“being injured”</w:t>
      </w:r>
      <w:r w:rsidR="00611534" w:rsidRPr="0013463A">
        <w:t>.</w:t>
      </w:r>
      <w:r w:rsidRPr="0013463A">
        <w:rPr>
          <w:rStyle w:val="Appelnotedebasdep"/>
        </w:rPr>
        <w:footnoteReference w:id="24"/>
      </w:r>
      <w:r w:rsidR="001834C5" w:rsidRPr="0013463A">
        <w:t xml:space="preserve"> </w:t>
      </w:r>
      <w:r w:rsidRPr="0013463A">
        <w:t xml:space="preserve">Handcuffing them with their hands behind their back limits any </w:t>
      </w:r>
      <w:r w:rsidR="00F9260D">
        <w:t>sudden</w:t>
      </w:r>
      <w:r w:rsidRPr="0013463A">
        <w:t xml:space="preserve"> movements.</w:t>
      </w:r>
      <w:r w:rsidR="001834C5" w:rsidRPr="0013463A">
        <w:t xml:space="preserve"> </w:t>
      </w:r>
    </w:p>
    <w:p w14:paraId="5B8ADCCF" w14:textId="17B8DDB8" w:rsidR="00105E88" w:rsidRPr="0013463A" w:rsidRDefault="00C41D7B" w:rsidP="006A28AF">
      <w:pPr>
        <w:pStyle w:val="Paragraphe"/>
      </w:pPr>
      <w:r w:rsidRPr="0013463A">
        <w:t xml:space="preserve">Mr. Toussaint </w:t>
      </w:r>
      <w:r w:rsidR="006A1029">
        <w:t>says</w:t>
      </w:r>
      <w:r w:rsidRPr="0013463A">
        <w:t xml:space="preserve"> he asked why he was being handcuffed, and </w:t>
      </w:r>
      <w:r w:rsidR="002B064C" w:rsidRPr="0013463A">
        <w:t>Unit Manager</w:t>
      </w:r>
      <w:r w:rsidRPr="0013463A">
        <w:t xml:space="preserve"> Leclerc merely instructed him not to resist.</w:t>
      </w:r>
    </w:p>
    <w:p w14:paraId="7945D2FA" w14:textId="18ABE74F" w:rsidR="00105E88" w:rsidRPr="0013463A" w:rsidRDefault="00147A04" w:rsidP="006A28AF">
      <w:pPr>
        <w:pStyle w:val="Paragraphe"/>
      </w:pPr>
      <w:r w:rsidRPr="0013463A">
        <w:t xml:space="preserve">To the </w:t>
      </w:r>
      <w:r w:rsidR="00110E24" w:rsidRPr="0013463A">
        <w:t>CO</w:t>
      </w:r>
      <w:r w:rsidRPr="0013463A">
        <w:t>s who were there, Mr. Toussaint appeared to be intoxicated.</w:t>
      </w:r>
      <w:r w:rsidR="001834C5" w:rsidRPr="0013463A">
        <w:t xml:space="preserve"> </w:t>
      </w:r>
      <w:r w:rsidRPr="0013463A">
        <w:t xml:space="preserve">He insulted them, his speech was incomprehensible and disjointed, he spoke to God, and he warned them against the divine punishment awaiting them. </w:t>
      </w:r>
      <w:r w:rsidR="001834C5" w:rsidRPr="0013463A">
        <w:t xml:space="preserve">    </w:t>
      </w:r>
    </w:p>
    <w:p w14:paraId="06BBC29A" w14:textId="06F67BD2" w:rsidR="00105E88" w:rsidRPr="0013463A" w:rsidRDefault="00147A04" w:rsidP="006A28AF">
      <w:pPr>
        <w:pStyle w:val="Paragraphe"/>
      </w:pPr>
      <w:r w:rsidRPr="0013463A">
        <w:t xml:space="preserve">According to the </w:t>
      </w:r>
      <w:r w:rsidR="00110E24" w:rsidRPr="0013463A">
        <w:t>CO</w:t>
      </w:r>
      <w:r w:rsidRPr="0013463A">
        <w:t>s, Mr. Toussaint was not cooperating</w:t>
      </w:r>
      <w:r w:rsidR="00B3453C" w:rsidRPr="0013463A">
        <w:t>,</w:t>
      </w:r>
      <w:r w:rsidRPr="0013463A">
        <w:t xml:space="preserve"> and this was displayed verbally, not through hetero-aggressive actions.</w:t>
      </w:r>
      <w:r w:rsidR="001834C5" w:rsidRPr="0013463A">
        <w:t xml:space="preserve"> </w:t>
      </w:r>
      <w:r w:rsidR="00110E24" w:rsidRPr="0013463A">
        <w:t>CO</w:t>
      </w:r>
      <w:r w:rsidRPr="0013463A">
        <w:t xml:space="preserve"> Jean-René Brousseau refers to </w:t>
      </w:r>
      <w:r w:rsidR="00611534" w:rsidRPr="0013463A">
        <w:t>[</w:t>
      </w:r>
      <w:r w:rsidR="00611534" w:rsidRPr="0013463A">
        <w:rPr>
          <w:smallCaps/>
        </w:rPr>
        <w:t>translation</w:t>
      </w:r>
      <w:r w:rsidR="00611534" w:rsidRPr="0013463A">
        <w:t xml:space="preserve">] </w:t>
      </w:r>
      <w:r w:rsidRPr="0013463A">
        <w:t xml:space="preserve">“mild” resistance, and his colleagues Dubé-Blouin and Bouchard describe it as </w:t>
      </w:r>
      <w:r w:rsidR="00611534" w:rsidRPr="0013463A">
        <w:t>[</w:t>
      </w:r>
      <w:r w:rsidR="00611534" w:rsidRPr="0013463A">
        <w:rPr>
          <w:smallCaps/>
        </w:rPr>
        <w:t>translation</w:t>
      </w:r>
      <w:r w:rsidR="00611534" w:rsidRPr="0013463A">
        <w:t xml:space="preserve">] </w:t>
      </w:r>
      <w:r w:rsidRPr="0013463A">
        <w:t>“passive”.</w:t>
      </w:r>
    </w:p>
    <w:p w14:paraId="6C253222" w14:textId="50BF577A" w:rsidR="00105E88" w:rsidRPr="0013463A" w:rsidRDefault="00147A04" w:rsidP="006A28AF">
      <w:pPr>
        <w:pStyle w:val="Paragraphe"/>
      </w:pPr>
      <w:r w:rsidRPr="0013463A">
        <w:t xml:space="preserve">The images of the scene </w:t>
      </w:r>
      <w:r w:rsidR="00E00239">
        <w:t xml:space="preserve">appeared to </w:t>
      </w:r>
      <w:r w:rsidRPr="0013463A">
        <w:t>show</w:t>
      </w:r>
      <w:r w:rsidR="00E00239">
        <w:t xml:space="preserve"> </w:t>
      </w:r>
      <w:r w:rsidRPr="0013463A">
        <w:t xml:space="preserve">Mr. Toussaint </w:t>
      </w:r>
      <w:r w:rsidR="00E00239">
        <w:t xml:space="preserve">responding </w:t>
      </w:r>
      <w:r w:rsidRPr="0013463A">
        <w:t>verbally</w:t>
      </w:r>
      <w:r w:rsidR="00E00239">
        <w:t xml:space="preserve"> </w:t>
      </w:r>
      <w:r w:rsidRPr="0013463A">
        <w:t xml:space="preserve">to </w:t>
      </w:r>
      <w:r w:rsidR="002B064C" w:rsidRPr="0013463A">
        <w:t>Unit Manager</w:t>
      </w:r>
      <w:r w:rsidRPr="0013463A">
        <w:t xml:space="preserve"> Leclerc.</w:t>
      </w:r>
      <w:r w:rsidR="001834C5" w:rsidRPr="0013463A">
        <w:t xml:space="preserve"> </w:t>
      </w:r>
      <w:r w:rsidRPr="0013463A">
        <w:t>The Tribunal sees no sign of physical aggression on his part</w:t>
      </w:r>
      <w:r w:rsidR="00B3453C" w:rsidRPr="0013463A">
        <w:t>.</w:t>
      </w:r>
    </w:p>
    <w:p w14:paraId="6A013849" w14:textId="3EFE7CBF" w:rsidR="00105E88" w:rsidRPr="0013463A" w:rsidRDefault="00147A04" w:rsidP="006A28AF">
      <w:pPr>
        <w:pStyle w:val="Paragraphe"/>
      </w:pPr>
      <w:r w:rsidRPr="0013463A">
        <w:t xml:space="preserve">About 25 seconds after the </w:t>
      </w:r>
      <w:r w:rsidR="00110E24" w:rsidRPr="0013463A">
        <w:t>CO</w:t>
      </w:r>
      <w:r w:rsidRPr="0013463A">
        <w:t xml:space="preserve">s entered cell 36, he stood up and faced the wall with his hands behind his back, from which it can be concluded that he </w:t>
      </w:r>
      <w:r w:rsidR="00B3453C" w:rsidRPr="0013463A">
        <w:t>obeyed</w:t>
      </w:r>
      <w:r w:rsidRPr="0013463A">
        <w:t xml:space="preserve"> the instructions of </w:t>
      </w:r>
      <w:r w:rsidR="002B064C" w:rsidRPr="0013463A">
        <w:t>Unit Manager</w:t>
      </w:r>
      <w:r w:rsidRPr="0013463A">
        <w:t xml:space="preserve"> Leclerc.</w:t>
      </w:r>
    </w:p>
    <w:p w14:paraId="4BD94520" w14:textId="5EAD1E86" w:rsidR="00105E88" w:rsidRPr="0013463A" w:rsidRDefault="00147A04" w:rsidP="006A28AF">
      <w:pPr>
        <w:pStyle w:val="Paragraphe"/>
      </w:pPr>
      <w:r w:rsidRPr="0013463A">
        <w:t xml:space="preserve">The </w:t>
      </w:r>
      <w:r w:rsidR="00110E24" w:rsidRPr="0013463A">
        <w:t>CO</w:t>
      </w:r>
      <w:r w:rsidRPr="0013463A">
        <w:t>s then handcuffed him</w:t>
      </w:r>
      <w:r w:rsidR="00B3453C" w:rsidRPr="0013463A">
        <w:t>,</w:t>
      </w:r>
      <w:r w:rsidRPr="0013463A">
        <w:t xml:space="preserve"> and there was no apparent resistance on the part of Mr. Toussaint. </w:t>
      </w:r>
      <w:r w:rsidR="00B3453C" w:rsidRPr="0013463A">
        <w:t>[</w:t>
      </w:r>
      <w:r w:rsidR="00B3453C" w:rsidRPr="0013463A">
        <w:rPr>
          <w:smallCaps/>
        </w:rPr>
        <w:t>translation</w:t>
      </w:r>
      <w:r w:rsidR="00B3453C" w:rsidRPr="0013463A">
        <w:t xml:space="preserve">] </w:t>
      </w:r>
      <w:r w:rsidRPr="0013463A">
        <w:t xml:space="preserve">“I </w:t>
      </w:r>
      <w:r w:rsidR="002B1E9A" w:rsidRPr="0013463A">
        <w:t>did</w:t>
      </w:r>
      <w:r w:rsidRPr="0013463A">
        <w:t xml:space="preserve"> what they </w:t>
      </w:r>
      <w:r w:rsidR="002B1E9A" w:rsidRPr="0013463A">
        <w:t>told</w:t>
      </w:r>
      <w:r w:rsidRPr="0013463A">
        <w:t xml:space="preserve"> me,” he says.</w:t>
      </w:r>
      <w:r w:rsidR="001834C5" w:rsidRPr="0013463A">
        <w:t xml:space="preserve"> </w:t>
      </w:r>
    </w:p>
    <w:p w14:paraId="693DB916" w14:textId="3B542238" w:rsidR="00105E88" w:rsidRPr="0013463A" w:rsidRDefault="00147A04" w:rsidP="006A28AF">
      <w:pPr>
        <w:pStyle w:val="Paragraphe"/>
      </w:pPr>
      <w:r w:rsidRPr="0013463A">
        <w:t xml:space="preserve">Mr. Toussaint testified that his arms hurt </w:t>
      </w:r>
      <w:r w:rsidR="00851238">
        <w:t>from</w:t>
      </w:r>
      <w:r w:rsidRPr="0013463A">
        <w:t xml:space="preserve"> the </w:t>
      </w:r>
      <w:r w:rsidR="008113AD">
        <w:t xml:space="preserve">upward </w:t>
      </w:r>
      <w:r w:rsidRPr="0013463A">
        <w:t xml:space="preserve">pressure and the joint lock on his wrists </w:t>
      </w:r>
      <w:r w:rsidR="008113AD">
        <w:t xml:space="preserve">exerted by </w:t>
      </w:r>
      <w:r w:rsidRPr="0013463A">
        <w:t xml:space="preserve">the two </w:t>
      </w:r>
      <w:r w:rsidR="00110E24" w:rsidRPr="0013463A">
        <w:t>CO</w:t>
      </w:r>
      <w:r w:rsidRPr="0013463A">
        <w:t xml:space="preserve">s </w:t>
      </w:r>
      <w:r w:rsidR="00C032A2">
        <w:t>escorting him</w:t>
      </w:r>
      <w:r w:rsidRPr="0013463A">
        <w:t>.</w:t>
      </w:r>
    </w:p>
    <w:p w14:paraId="7FF2605F" w14:textId="64AA7195" w:rsidR="00105E88" w:rsidRPr="0013463A" w:rsidRDefault="00147A04" w:rsidP="006A28AF">
      <w:pPr>
        <w:pStyle w:val="Paragraphe"/>
      </w:pPr>
      <w:r w:rsidRPr="0013463A">
        <w:t xml:space="preserve">The </w:t>
      </w:r>
      <w:r w:rsidR="00110E24" w:rsidRPr="0013463A">
        <w:t>CO</w:t>
      </w:r>
      <w:r w:rsidRPr="0013463A">
        <w:t>s were making him walk backwards, without telling him where he was going. He had never seen a</w:t>
      </w:r>
      <w:r w:rsidR="00225321">
        <w:t>n inmate</w:t>
      </w:r>
      <w:r w:rsidRPr="0013463A">
        <w:t xml:space="preserve"> being </w:t>
      </w:r>
      <w:r w:rsidR="008113AD">
        <w:t xml:space="preserve">escorted </w:t>
      </w:r>
      <w:r w:rsidRPr="0013463A">
        <w:t>backwards</w:t>
      </w:r>
      <w:r w:rsidR="00C032A2">
        <w:t>,</w:t>
      </w:r>
      <w:r w:rsidRPr="0013463A">
        <w:t xml:space="preserve"> and he did not understand why the </w:t>
      </w:r>
      <w:r w:rsidR="00110E24" w:rsidRPr="0013463A">
        <w:t>CO</w:t>
      </w:r>
      <w:r w:rsidRPr="0013463A">
        <w:t>s were making him walk that way.</w:t>
      </w:r>
      <w:r w:rsidR="001834C5" w:rsidRPr="0013463A">
        <w:t xml:space="preserve"> </w:t>
      </w:r>
      <w:r w:rsidRPr="0013463A">
        <w:t xml:space="preserve">He thought they were making fun of him, and he decided to respond in kind by lifting his feet from the ground: </w:t>
      </w:r>
      <w:r w:rsidR="009064B4" w:rsidRPr="0013463A">
        <w:t>[</w:t>
      </w:r>
      <w:r w:rsidR="009064B4" w:rsidRPr="0013463A">
        <w:rPr>
          <w:smallCaps/>
        </w:rPr>
        <w:t>translation</w:t>
      </w:r>
      <w:r w:rsidR="009064B4" w:rsidRPr="0013463A">
        <w:t xml:space="preserve">] </w:t>
      </w:r>
      <w:r w:rsidRPr="0013463A">
        <w:t xml:space="preserve">“I wanted to </w:t>
      </w:r>
      <w:r w:rsidR="008113AD">
        <w:t>fool</w:t>
      </w:r>
      <w:r w:rsidR="008113AD" w:rsidRPr="0013463A">
        <w:t xml:space="preserve"> </w:t>
      </w:r>
      <w:r w:rsidRPr="0013463A">
        <w:t>them,” he admits.</w:t>
      </w:r>
    </w:p>
    <w:p w14:paraId="1068257C" w14:textId="7ECCBE3E" w:rsidR="00105E88" w:rsidRPr="0013463A" w:rsidRDefault="00147A04" w:rsidP="006A28AF">
      <w:pPr>
        <w:pStyle w:val="Paragraphe"/>
      </w:pPr>
      <w:r w:rsidRPr="0013463A">
        <w:t xml:space="preserve">Several of the </w:t>
      </w:r>
      <w:r w:rsidR="00110E24" w:rsidRPr="0013463A">
        <w:t>CO</w:t>
      </w:r>
      <w:r w:rsidRPr="0013463A">
        <w:t xml:space="preserve"> acknowledge</w:t>
      </w:r>
      <w:r w:rsidR="005626A8">
        <w:t>d</w:t>
      </w:r>
      <w:r w:rsidRPr="0013463A">
        <w:t xml:space="preserve"> that </w:t>
      </w:r>
      <w:r w:rsidR="00EB29E9">
        <w:t>it is not common</w:t>
      </w:r>
      <w:r w:rsidR="000B76AD">
        <w:t xml:space="preserve"> for inmates to be escorted backwards</w:t>
      </w:r>
      <w:r w:rsidRPr="0013463A">
        <w:t>.</w:t>
      </w:r>
      <w:r w:rsidRPr="0013463A">
        <w:rPr>
          <w:rStyle w:val="Appelnotedebasdep"/>
        </w:rPr>
        <w:footnoteReference w:id="25"/>
      </w:r>
      <w:r w:rsidR="001834C5" w:rsidRPr="0013463A">
        <w:t xml:space="preserve"> </w:t>
      </w:r>
      <w:r w:rsidRPr="0013463A">
        <w:t xml:space="preserve">This technique </w:t>
      </w:r>
      <w:r w:rsidR="009064B4" w:rsidRPr="0013463A">
        <w:t>limits</w:t>
      </w:r>
      <w:r w:rsidRPr="0013463A">
        <w:t xml:space="preserve"> the physical strength of the person being moved by throwing them off balance.</w:t>
      </w:r>
      <w:r w:rsidR="001834C5" w:rsidRPr="0013463A">
        <w:t xml:space="preserve"> </w:t>
      </w:r>
    </w:p>
    <w:p w14:paraId="0672BB06" w14:textId="1F84F37A" w:rsidR="00105E88" w:rsidRPr="0013463A" w:rsidRDefault="00147A04" w:rsidP="006A28AF">
      <w:pPr>
        <w:pStyle w:val="Paragraphe"/>
      </w:pPr>
      <w:r w:rsidRPr="0013463A">
        <w:lastRenderedPageBreak/>
        <w:t xml:space="preserve">It was apparently used because Mr. Toussaint was insulting </w:t>
      </w:r>
      <w:r w:rsidR="00D03D5A">
        <w:t>them</w:t>
      </w:r>
      <w:r w:rsidR="008A67D3">
        <w:t>,</w:t>
      </w:r>
      <w:r w:rsidR="00D03D5A">
        <w:t xml:space="preserve"> making </w:t>
      </w:r>
      <w:r w:rsidRPr="0013463A">
        <w:t xml:space="preserve">threats and, according to </w:t>
      </w:r>
      <w:r w:rsidR="002B064C" w:rsidRPr="0013463A">
        <w:t>Unit Manager</w:t>
      </w:r>
      <w:r w:rsidRPr="0013463A">
        <w:t xml:space="preserve"> Leclerc, tried to [</w:t>
      </w:r>
      <w:r w:rsidRPr="0013463A">
        <w:rPr>
          <w:smallCaps/>
        </w:rPr>
        <w:t>translation</w:t>
      </w:r>
      <w:r w:rsidRPr="0013463A">
        <w:t>] “kick him twice”.</w:t>
      </w:r>
      <w:r w:rsidRPr="0013463A">
        <w:rPr>
          <w:rStyle w:val="Appelnotedebasdep"/>
        </w:rPr>
        <w:footnoteReference w:id="26"/>
      </w:r>
    </w:p>
    <w:p w14:paraId="41D2774F" w14:textId="0B9571A0" w:rsidR="009064B4" w:rsidRPr="0013463A" w:rsidRDefault="009064B4" w:rsidP="00105E88">
      <w:pPr>
        <w:pStyle w:val="Citationenretrait"/>
        <w:rPr>
          <w:lang w:val="en-CA"/>
        </w:rPr>
      </w:pPr>
      <w:r w:rsidRPr="0013463A">
        <w:rPr>
          <w:lang w:val="en-CA"/>
        </w:rPr>
        <w:t>[</w:t>
      </w:r>
      <w:r w:rsidRPr="0013463A">
        <w:rPr>
          <w:smallCaps/>
          <w:lang w:val="en-CA"/>
        </w:rPr>
        <w:t>translation</w:t>
      </w:r>
      <w:r w:rsidRPr="0013463A">
        <w:rPr>
          <w:lang w:val="en-CA"/>
        </w:rPr>
        <w:t>]</w:t>
      </w:r>
    </w:p>
    <w:p w14:paraId="7A7D98C3" w14:textId="76B6F80E" w:rsidR="00105E88" w:rsidRPr="0013463A" w:rsidRDefault="00147A04" w:rsidP="00105E88">
      <w:pPr>
        <w:pStyle w:val="Citationenretrait"/>
        <w:rPr>
          <w:lang w:val="en-CA"/>
        </w:rPr>
      </w:pPr>
      <w:r w:rsidRPr="0013463A">
        <w:rPr>
          <w:lang w:val="en-CA"/>
        </w:rPr>
        <w:t xml:space="preserve">When he wanted to, you know, gesticulate more, </w:t>
      </w:r>
      <w:r w:rsidR="00C032A2">
        <w:rPr>
          <w:lang w:val="en-CA"/>
        </w:rPr>
        <w:t xml:space="preserve">and </w:t>
      </w:r>
      <w:r w:rsidRPr="0013463A">
        <w:rPr>
          <w:lang w:val="en-CA"/>
        </w:rPr>
        <w:t>then wanted to kick, then tried to get to us, well, we changed our escort method to ensure our safety.</w:t>
      </w:r>
      <w:r w:rsidR="001834C5" w:rsidRPr="0013463A">
        <w:rPr>
          <w:lang w:val="en-CA"/>
        </w:rPr>
        <w:t xml:space="preserve"> </w:t>
      </w:r>
      <w:r w:rsidR="00C032A2">
        <w:rPr>
          <w:lang w:val="en-CA"/>
        </w:rPr>
        <w:t>So</w:t>
      </w:r>
      <w:r w:rsidRPr="0013463A">
        <w:rPr>
          <w:lang w:val="en-CA"/>
        </w:rPr>
        <w:t xml:space="preserve"> we led him backwards...</w:t>
      </w:r>
    </w:p>
    <w:p w14:paraId="3F5A6AE6" w14:textId="0BF96454" w:rsidR="00105E88" w:rsidRPr="0013463A" w:rsidRDefault="00147A04" w:rsidP="00105E88">
      <w:pPr>
        <w:pStyle w:val="Citationenretrait"/>
        <w:rPr>
          <w:lang w:val="en-CA"/>
        </w:rPr>
      </w:pPr>
      <w:r w:rsidRPr="0013463A">
        <w:rPr>
          <w:lang w:val="en-CA"/>
        </w:rPr>
        <w:t>...</w:t>
      </w:r>
    </w:p>
    <w:p w14:paraId="0AC3CF5A" w14:textId="36C16AE9" w:rsidR="00105E88" w:rsidRPr="0013463A" w:rsidRDefault="00147A04" w:rsidP="00105E88">
      <w:pPr>
        <w:pStyle w:val="Citationenretrait"/>
        <w:rPr>
          <w:lang w:val="en-CA"/>
        </w:rPr>
      </w:pPr>
      <w:r w:rsidRPr="0013463A">
        <w:rPr>
          <w:lang w:val="en-CA"/>
        </w:rPr>
        <w:t>Because also, he was totally off balance going backwards.</w:t>
      </w:r>
      <w:r w:rsidR="001834C5" w:rsidRPr="0013463A">
        <w:rPr>
          <w:lang w:val="en-CA"/>
        </w:rPr>
        <w:t xml:space="preserve"> </w:t>
      </w:r>
      <w:r w:rsidR="00C032A2">
        <w:rPr>
          <w:lang w:val="en-CA"/>
        </w:rPr>
        <w:t>So</w:t>
      </w:r>
      <w:r w:rsidRPr="0013463A">
        <w:rPr>
          <w:lang w:val="en-CA"/>
        </w:rPr>
        <w:t xml:space="preserve"> he was...</w:t>
      </w:r>
      <w:r w:rsidR="001834C5" w:rsidRPr="0013463A">
        <w:rPr>
          <w:lang w:val="en-CA"/>
        </w:rPr>
        <w:t xml:space="preserve"> </w:t>
      </w:r>
      <w:r w:rsidRPr="0013463A">
        <w:rPr>
          <w:lang w:val="en-CA"/>
        </w:rPr>
        <w:t>You know, he couldn’t kick us</w:t>
      </w:r>
      <w:r w:rsidR="005922E3">
        <w:rPr>
          <w:lang w:val="en-CA"/>
        </w:rPr>
        <w:t xml:space="preserve"> again</w:t>
      </w:r>
      <w:r w:rsidRPr="0013463A">
        <w:rPr>
          <w:lang w:val="en-CA"/>
        </w:rPr>
        <w:t>, he couldn’t...</w:t>
      </w:r>
      <w:r w:rsidR="001834C5" w:rsidRPr="0013463A">
        <w:rPr>
          <w:lang w:val="en-CA"/>
        </w:rPr>
        <w:t xml:space="preserve"> </w:t>
      </w:r>
      <w:r w:rsidRPr="0013463A">
        <w:rPr>
          <w:lang w:val="en-CA"/>
        </w:rPr>
        <w:t>You know, it’s a lot better that way.</w:t>
      </w:r>
      <w:r w:rsidR="001834C5" w:rsidRPr="0013463A">
        <w:rPr>
          <w:lang w:val="en-CA"/>
        </w:rPr>
        <w:t xml:space="preserve"> </w:t>
      </w:r>
      <w:r w:rsidRPr="0013463A">
        <w:rPr>
          <w:lang w:val="en-CA"/>
        </w:rPr>
        <w:t>So this method, that’s why we moved him that way.</w:t>
      </w:r>
      <w:r w:rsidR="001834C5" w:rsidRPr="0013463A">
        <w:rPr>
          <w:lang w:val="en-CA"/>
        </w:rPr>
        <w:t xml:space="preserve"> </w:t>
      </w:r>
      <w:r w:rsidRPr="0013463A">
        <w:rPr>
          <w:lang w:val="en-CA"/>
        </w:rPr>
        <w:t>The officers decided to move him like that to bring him... to the cell.</w:t>
      </w:r>
      <w:r w:rsidR="001834C5" w:rsidRPr="0013463A">
        <w:rPr>
          <w:rStyle w:val="Appelnotedebasdep"/>
          <w:lang w:val="en-CA"/>
        </w:rPr>
        <w:footnoteReference w:id="27"/>
      </w:r>
    </w:p>
    <w:p w14:paraId="14F6625A" w14:textId="5973938C" w:rsidR="00105E88" w:rsidRPr="0013463A" w:rsidRDefault="00147A04" w:rsidP="006A28AF">
      <w:pPr>
        <w:pStyle w:val="Paragraphe"/>
      </w:pPr>
      <w:r w:rsidRPr="0013463A">
        <w:t xml:space="preserve">A viewing of the images captured by the camera </w:t>
      </w:r>
      <w:r w:rsidR="005922E3">
        <w:t xml:space="preserve">does not reveal the slightest </w:t>
      </w:r>
      <w:r w:rsidRPr="0013463A">
        <w:t xml:space="preserve">attempt </w:t>
      </w:r>
      <w:r w:rsidR="005922E3">
        <w:t xml:space="preserve">by </w:t>
      </w:r>
      <w:r w:rsidRPr="0013463A">
        <w:t>Mr. Toussaint to kick</w:t>
      </w:r>
      <w:r w:rsidR="00D03D5A">
        <w:t xml:space="preserve"> the</w:t>
      </w:r>
      <w:r w:rsidR="005922E3">
        <w:t>m</w:t>
      </w:r>
      <w:r w:rsidRPr="0013463A">
        <w:t>.</w:t>
      </w:r>
    </w:p>
    <w:p w14:paraId="4B27C214" w14:textId="2EF7278F" w:rsidR="00F16DAF" w:rsidRPr="0013463A" w:rsidRDefault="00147A04" w:rsidP="008D01FF">
      <w:pPr>
        <w:pStyle w:val="Paragraphe"/>
        <w:numPr>
          <w:ilvl w:val="0"/>
          <w:numId w:val="0"/>
        </w:numPr>
        <w:rPr>
          <w:b/>
          <w:bCs/>
          <w:i/>
          <w:iCs/>
          <w:u w:val="single"/>
        </w:rPr>
      </w:pPr>
      <w:r w:rsidRPr="0013463A">
        <w:rPr>
          <w:b/>
          <w:bCs/>
          <w:i/>
          <w:iCs/>
          <w:u w:val="single"/>
        </w:rPr>
        <w:t xml:space="preserve">Escort </w:t>
      </w:r>
      <w:r w:rsidR="00854B68" w:rsidRPr="0013463A">
        <w:rPr>
          <w:b/>
          <w:bCs/>
          <w:i/>
          <w:iCs/>
          <w:u w:val="single"/>
        </w:rPr>
        <w:t>towards</w:t>
      </w:r>
      <w:r w:rsidRPr="0013463A">
        <w:rPr>
          <w:b/>
          <w:bCs/>
          <w:i/>
          <w:iCs/>
          <w:u w:val="single"/>
        </w:rPr>
        <w:t xml:space="preserve"> cell 1 of department 5</w:t>
      </w:r>
    </w:p>
    <w:p w14:paraId="4F4D599F" w14:textId="170E90BB" w:rsidR="008D01FF" w:rsidRPr="0013463A" w:rsidRDefault="00147A04" w:rsidP="006A28AF">
      <w:pPr>
        <w:pStyle w:val="Paragraphe"/>
      </w:pPr>
      <w:r w:rsidRPr="0013463A">
        <w:t>A second video recording is from a fixed camera located in the corridor leading to department 5.</w:t>
      </w:r>
      <w:r w:rsidRPr="0013463A">
        <w:rPr>
          <w:rStyle w:val="Appelnotedebasdep"/>
        </w:rPr>
        <w:footnoteReference w:id="28"/>
      </w:r>
    </w:p>
    <w:p w14:paraId="6574193A" w14:textId="140EA072" w:rsidR="008D01FF" w:rsidRPr="0013463A" w:rsidRDefault="00147A04" w:rsidP="006A28AF">
      <w:pPr>
        <w:pStyle w:val="Paragraphe"/>
      </w:pPr>
      <w:r w:rsidRPr="0013463A">
        <w:t xml:space="preserve">Mr. Toussaint was led backwards down the corridor, where a </w:t>
      </w:r>
      <w:r w:rsidR="00854B68" w:rsidRPr="0013463A">
        <w:t>low</w:t>
      </w:r>
      <w:r w:rsidRPr="0013463A">
        <w:t xml:space="preserve"> wall about 6 inches thi</w:t>
      </w:r>
      <w:r w:rsidR="00854B68" w:rsidRPr="0013463A">
        <w:t>c</w:t>
      </w:r>
      <w:r w:rsidRPr="0013463A">
        <w:t xml:space="preserve">k </w:t>
      </w:r>
      <w:r w:rsidR="00123A44" w:rsidRPr="0013463A">
        <w:t>is</w:t>
      </w:r>
      <w:r w:rsidRPr="0013463A">
        <w:t xml:space="preserve"> located about 20 </w:t>
      </w:r>
      <w:r w:rsidR="00123A44" w:rsidRPr="0013463A">
        <w:t>feet</w:t>
      </w:r>
      <w:r w:rsidRPr="0013463A">
        <w:t xml:space="preserve"> from the door to cell 36.</w:t>
      </w:r>
      <w:r w:rsidR="001834C5" w:rsidRPr="0013463A">
        <w:t xml:space="preserve"> </w:t>
      </w:r>
      <w:r w:rsidRPr="0013463A">
        <w:t xml:space="preserve">This low wall, approximately 3 feet high, </w:t>
      </w:r>
      <w:r w:rsidR="00854B68" w:rsidRPr="0013463A">
        <w:t>splits</w:t>
      </w:r>
      <w:r w:rsidRPr="0013463A">
        <w:t xml:space="preserve"> the width of the corridor into two: </w:t>
      </w:r>
      <w:r w:rsidR="00854B68" w:rsidRPr="0013463A">
        <w:t xml:space="preserve">on one side are </w:t>
      </w:r>
      <w:r w:rsidRPr="0013463A">
        <w:t>four steps</w:t>
      </w:r>
      <w:r w:rsidR="00854B68" w:rsidRPr="0013463A">
        <w:t>,</w:t>
      </w:r>
      <w:r w:rsidRPr="0013463A">
        <w:t xml:space="preserve"> and </w:t>
      </w:r>
      <w:r w:rsidR="00854B68" w:rsidRPr="0013463A">
        <w:t xml:space="preserve">on the other, </w:t>
      </w:r>
      <w:r w:rsidRPr="0013463A">
        <w:t>an access ramp.</w:t>
      </w:r>
      <w:r w:rsidR="001834C5" w:rsidRPr="0013463A">
        <w:t xml:space="preserve"> </w:t>
      </w:r>
      <w:r w:rsidRPr="0013463A">
        <w:t>[</w:t>
      </w:r>
      <w:r w:rsidRPr="0013463A">
        <w:rPr>
          <w:smallCaps/>
        </w:rPr>
        <w:t>translation</w:t>
      </w:r>
      <w:r w:rsidRPr="0013463A">
        <w:t xml:space="preserve">] “It’s not wide,” says </w:t>
      </w:r>
      <w:r w:rsidR="002B064C" w:rsidRPr="0013463A">
        <w:t>Unit Manager</w:t>
      </w:r>
      <w:r w:rsidRPr="0013463A">
        <w:t xml:space="preserve"> Leclerc.</w:t>
      </w:r>
    </w:p>
    <w:p w14:paraId="31F8B890" w14:textId="2F698C79" w:rsidR="008D01FF" w:rsidRPr="0013463A" w:rsidRDefault="00147A04" w:rsidP="006A28AF">
      <w:pPr>
        <w:pStyle w:val="Paragraphe"/>
      </w:pPr>
      <w:r w:rsidRPr="0013463A">
        <w:t xml:space="preserve">When Mr. Toussaint and the </w:t>
      </w:r>
      <w:r w:rsidR="00110E24" w:rsidRPr="0013463A">
        <w:t>CO</w:t>
      </w:r>
      <w:r w:rsidRPr="0013463A">
        <w:t>s leading him arrived</w:t>
      </w:r>
      <w:r w:rsidR="00854B68" w:rsidRPr="0013463A">
        <w:t xml:space="preserve"> where the</w:t>
      </w:r>
      <w:r w:rsidRPr="0013463A">
        <w:t xml:space="preserve"> low wall</w:t>
      </w:r>
      <w:r w:rsidR="00854B68" w:rsidRPr="0013463A">
        <w:t xml:space="preserve"> beg</w:t>
      </w:r>
      <w:r w:rsidR="00076F57">
        <w:t>ins</w:t>
      </w:r>
      <w:r w:rsidRPr="0013463A">
        <w:t xml:space="preserve">, the two </w:t>
      </w:r>
      <w:r w:rsidR="00110E24" w:rsidRPr="0013463A">
        <w:t>CO</w:t>
      </w:r>
      <w:r w:rsidRPr="0013463A">
        <w:t xml:space="preserve">s holding his right arm took the ramp, while the </w:t>
      </w:r>
      <w:r w:rsidR="00110E24" w:rsidRPr="0013463A">
        <w:t>CO</w:t>
      </w:r>
      <w:r w:rsidRPr="0013463A">
        <w:t xml:space="preserve"> holding his left arm took the stairs.</w:t>
      </w:r>
      <w:r w:rsidR="001834C5" w:rsidRPr="0013463A">
        <w:t xml:space="preserve"> </w:t>
      </w:r>
      <w:r w:rsidR="00110E24" w:rsidRPr="0013463A">
        <w:t>CO</w:t>
      </w:r>
      <w:r w:rsidRPr="0013463A">
        <w:t xml:space="preserve"> Mykel Brousseau walked a few steps in front of them, and </w:t>
      </w:r>
      <w:r w:rsidR="002B064C" w:rsidRPr="0013463A">
        <w:t>Unit Manager</w:t>
      </w:r>
      <w:r w:rsidRPr="0013463A">
        <w:t xml:space="preserve"> Leclerc followed close behind.</w:t>
      </w:r>
    </w:p>
    <w:p w14:paraId="2DCD34C5" w14:textId="0C61F893" w:rsidR="008D01FF" w:rsidRPr="0013463A" w:rsidRDefault="00147A04" w:rsidP="006A28AF">
      <w:pPr>
        <w:pStyle w:val="Paragraphe"/>
      </w:pPr>
      <w:r w:rsidRPr="0013463A">
        <w:t>Because Mr. Toussaint was being forced to walk backwards, he obviously did not see the low wall.</w:t>
      </w:r>
      <w:r w:rsidR="001834C5" w:rsidRPr="0013463A">
        <w:t xml:space="preserve"> </w:t>
      </w:r>
      <w:r w:rsidRPr="0013463A">
        <w:t xml:space="preserve">Thrown off balance, he had to lift </w:t>
      </w:r>
      <w:r w:rsidR="00854B68" w:rsidRPr="0013463A">
        <w:t xml:space="preserve">first </w:t>
      </w:r>
      <w:r w:rsidRPr="0013463A">
        <w:t xml:space="preserve">his right leg </w:t>
      </w:r>
      <w:r w:rsidR="00854B68" w:rsidRPr="0013463A">
        <w:t>off</w:t>
      </w:r>
      <w:r w:rsidRPr="0013463A">
        <w:t xml:space="preserve"> the ground then his left leg over the low wall, until he found himself </w:t>
      </w:r>
      <w:r w:rsidR="00854B68" w:rsidRPr="0013463A">
        <w:t xml:space="preserve">in a </w:t>
      </w:r>
      <w:r w:rsidRPr="0013463A">
        <w:t>semi-horizonal</w:t>
      </w:r>
      <w:r w:rsidR="00854B68" w:rsidRPr="0013463A">
        <w:t xml:space="preserve"> position</w:t>
      </w:r>
      <w:r w:rsidRPr="0013463A">
        <w:t>,</w:t>
      </w:r>
      <w:r w:rsidR="009A08FC" w:rsidRPr="0013463A">
        <w:t xml:space="preserve"> but</w:t>
      </w:r>
      <w:r w:rsidRPr="0013463A">
        <w:t xml:space="preserve"> still being escorted by the </w:t>
      </w:r>
      <w:r w:rsidR="00110E24" w:rsidRPr="0013463A">
        <w:t>CO</w:t>
      </w:r>
      <w:r w:rsidRPr="0013463A">
        <w:t xml:space="preserve">s, who kept </w:t>
      </w:r>
      <w:r w:rsidR="009A08FC" w:rsidRPr="0013463A">
        <w:t xml:space="preserve">going at </w:t>
      </w:r>
      <w:r w:rsidRPr="0013463A">
        <w:t xml:space="preserve">the </w:t>
      </w:r>
      <w:r w:rsidR="00123A44" w:rsidRPr="0013463A">
        <w:t xml:space="preserve">same </w:t>
      </w:r>
      <w:r w:rsidRPr="0013463A">
        <w:t>pace.</w:t>
      </w:r>
      <w:r w:rsidR="001834C5" w:rsidRPr="0013463A">
        <w:t xml:space="preserve"> </w:t>
      </w:r>
      <w:r w:rsidRPr="0013463A">
        <w:t>Once they were past the wall, he put his feet back on the ground and continued to be led backwards.</w:t>
      </w:r>
    </w:p>
    <w:p w14:paraId="346E35D8" w14:textId="0E931950" w:rsidR="008D01FF" w:rsidRPr="0013463A" w:rsidRDefault="00147A04" w:rsidP="006A28AF">
      <w:pPr>
        <w:pStyle w:val="Paragraphe"/>
      </w:pPr>
      <w:r w:rsidRPr="0013463A">
        <w:lastRenderedPageBreak/>
        <w:t xml:space="preserve">When he lifted his feet in the air to avoid the low wall, some of the </w:t>
      </w:r>
      <w:r w:rsidR="00110E24" w:rsidRPr="0013463A">
        <w:t>CO</w:t>
      </w:r>
      <w:r w:rsidR="00EC0C8B">
        <w:t>s</w:t>
      </w:r>
      <w:r w:rsidRPr="0013463A">
        <w:t xml:space="preserve"> interpreted this </w:t>
      </w:r>
      <w:r w:rsidR="009E282C" w:rsidRPr="0013463A">
        <w:t>movement</w:t>
      </w:r>
      <w:r w:rsidRPr="0013463A">
        <w:t xml:space="preserve"> as an attempt to kick them.</w:t>
      </w:r>
      <w:r w:rsidR="001834C5" w:rsidRPr="0013463A">
        <w:t xml:space="preserve"> </w:t>
      </w:r>
    </w:p>
    <w:p w14:paraId="031475DD" w14:textId="07BE4177" w:rsidR="008D01FF" w:rsidRPr="0013463A" w:rsidRDefault="00147A04" w:rsidP="006A28AF">
      <w:pPr>
        <w:pStyle w:val="Paragraphe"/>
      </w:pPr>
      <w:r w:rsidRPr="0013463A">
        <w:t>A third video</w:t>
      </w:r>
      <w:r w:rsidR="009A08FC" w:rsidRPr="0013463A">
        <w:t xml:space="preserve"> recording</w:t>
      </w:r>
      <w:r w:rsidRPr="0013463A">
        <w:rPr>
          <w:rStyle w:val="Appelnotedebasdep"/>
        </w:rPr>
        <w:footnoteReference w:id="29"/>
      </w:r>
      <w:r w:rsidRPr="0013463A">
        <w:t xml:space="preserve"> shows another segment of the</w:t>
      </w:r>
      <w:r w:rsidR="009A08FC" w:rsidRPr="0013463A">
        <w:t xml:space="preserve"> route</w:t>
      </w:r>
      <w:r w:rsidRPr="0013463A">
        <w:t xml:space="preserve"> </w:t>
      </w:r>
      <w:r w:rsidR="009A08FC" w:rsidRPr="0013463A">
        <w:t xml:space="preserve">taken </w:t>
      </w:r>
      <w:r w:rsidRPr="0013463A">
        <w:t>while he was being escorted to department 5.</w:t>
      </w:r>
      <w:r w:rsidR="001834C5" w:rsidRPr="0013463A">
        <w:t xml:space="preserve"> </w:t>
      </w:r>
    </w:p>
    <w:p w14:paraId="42FA6352" w14:textId="0659B7F1" w:rsidR="008D01FF" w:rsidRPr="0013463A" w:rsidRDefault="002B064C" w:rsidP="006A28AF">
      <w:pPr>
        <w:pStyle w:val="Paragraphe"/>
      </w:pPr>
      <w:r w:rsidRPr="0013463A">
        <w:t>Unit Manager</w:t>
      </w:r>
      <w:r w:rsidR="00147A04" w:rsidRPr="0013463A">
        <w:t xml:space="preserve"> </w:t>
      </w:r>
      <w:r w:rsidR="009E282C" w:rsidRPr="0013463A">
        <w:t>Leclerc</w:t>
      </w:r>
      <w:r w:rsidR="00147A04" w:rsidRPr="0013463A">
        <w:t xml:space="preserve"> and the four other </w:t>
      </w:r>
      <w:r w:rsidR="00110E24" w:rsidRPr="0013463A">
        <w:t>CO</w:t>
      </w:r>
      <w:r w:rsidR="00147A04" w:rsidRPr="0013463A">
        <w:t xml:space="preserve">s </w:t>
      </w:r>
      <w:r w:rsidR="009A08FC" w:rsidRPr="0013463A">
        <w:t>have their</w:t>
      </w:r>
      <w:r w:rsidR="00147A04" w:rsidRPr="0013463A">
        <w:t xml:space="preserve"> back</w:t>
      </w:r>
      <w:r w:rsidR="009A08FC" w:rsidRPr="0013463A">
        <w:t>s</w:t>
      </w:r>
      <w:r w:rsidR="00147A04" w:rsidRPr="0013463A">
        <w:t xml:space="preserve"> to the camera</w:t>
      </w:r>
      <w:r w:rsidR="009A08FC" w:rsidRPr="0013463A">
        <w:t xml:space="preserve"> and are</w:t>
      </w:r>
      <w:r w:rsidR="00123A44" w:rsidRPr="0013463A">
        <w:t xml:space="preserve"> </w:t>
      </w:r>
      <w:r w:rsidR="00147A04" w:rsidRPr="0013463A">
        <w:t xml:space="preserve">leading Mr. Toussaint, still walking backwards, down a corridor. At the hearing, </w:t>
      </w:r>
      <w:r w:rsidR="00123A44" w:rsidRPr="0013463A">
        <w:t>Mr. Toussaint said</w:t>
      </w:r>
      <w:r w:rsidR="00147A04" w:rsidRPr="0013463A">
        <w:t>, [</w:t>
      </w:r>
      <w:r w:rsidR="00147A04" w:rsidRPr="0013463A">
        <w:rPr>
          <w:smallCaps/>
        </w:rPr>
        <w:t>translation</w:t>
      </w:r>
      <w:r w:rsidR="00147A04" w:rsidRPr="0013463A">
        <w:t xml:space="preserve">] “I was losing </w:t>
      </w:r>
      <w:r w:rsidR="009A08FC" w:rsidRPr="0013463A">
        <w:t>my pants.</w:t>
      </w:r>
      <w:r w:rsidR="00147A04" w:rsidRPr="0013463A">
        <w:t xml:space="preserve">” </w:t>
      </w:r>
      <w:r w:rsidR="009A08FC" w:rsidRPr="0013463A">
        <w:t>H</w:t>
      </w:r>
      <w:r w:rsidR="00147A04" w:rsidRPr="0013463A">
        <w:t xml:space="preserve">e was </w:t>
      </w:r>
      <w:r w:rsidR="00123A44" w:rsidRPr="0013463A">
        <w:t xml:space="preserve">also </w:t>
      </w:r>
      <w:r w:rsidR="0089393A">
        <w:t>wondering</w:t>
      </w:r>
      <w:r w:rsidR="00147A04" w:rsidRPr="0013463A">
        <w:t xml:space="preserve">, </w:t>
      </w:r>
      <w:r w:rsidR="00123A44" w:rsidRPr="0013463A">
        <w:t>[</w:t>
      </w:r>
      <w:r w:rsidR="00123A44" w:rsidRPr="0013463A">
        <w:rPr>
          <w:smallCaps/>
        </w:rPr>
        <w:t>translation</w:t>
      </w:r>
      <w:r w:rsidR="00123A44" w:rsidRPr="0013463A">
        <w:t xml:space="preserve">] </w:t>
      </w:r>
      <w:r w:rsidR="00147A04" w:rsidRPr="0013463A">
        <w:t>“Where are we going?”</w:t>
      </w:r>
      <w:r w:rsidR="00123A44" w:rsidRPr="0013463A">
        <w:t>.</w:t>
      </w:r>
    </w:p>
    <w:p w14:paraId="1AC117F0" w14:textId="1FD96B88" w:rsidR="008D01FF" w:rsidRPr="0013463A" w:rsidRDefault="00147A04" w:rsidP="006A28AF">
      <w:pPr>
        <w:pStyle w:val="Paragraphe"/>
      </w:pPr>
      <w:r w:rsidRPr="0013463A">
        <w:t xml:space="preserve">These images reveal </w:t>
      </w:r>
      <w:r w:rsidR="00123A44" w:rsidRPr="0013463A">
        <w:t xml:space="preserve">no </w:t>
      </w:r>
      <w:r w:rsidRPr="0013463A">
        <w:t xml:space="preserve">aggressive actions </w:t>
      </w:r>
      <w:r w:rsidR="00123A44" w:rsidRPr="0013463A">
        <w:t xml:space="preserve">on </w:t>
      </w:r>
      <w:r w:rsidRPr="0013463A">
        <w:t>Mr. Toussaint</w:t>
      </w:r>
      <w:r w:rsidR="00123A44" w:rsidRPr="0013463A">
        <w:t>’s part</w:t>
      </w:r>
      <w:r w:rsidRPr="0013463A">
        <w:t xml:space="preserve"> whatsoever.</w:t>
      </w:r>
      <w:r w:rsidR="001834C5" w:rsidRPr="0013463A">
        <w:t xml:space="preserve"> </w:t>
      </w:r>
    </w:p>
    <w:p w14:paraId="7CBFFFD1" w14:textId="18052E51" w:rsidR="008D01FF" w:rsidRPr="0013463A" w:rsidRDefault="00147A04" w:rsidP="006A28AF">
      <w:pPr>
        <w:pStyle w:val="Paragraphe"/>
      </w:pPr>
      <w:r w:rsidRPr="0013463A">
        <w:t>A fourth video recording</w:t>
      </w:r>
      <w:r w:rsidR="00123A44" w:rsidRPr="0013463A">
        <w:rPr>
          <w:rStyle w:val="Appelnotedebasdep"/>
        </w:rPr>
        <w:footnoteReference w:id="30"/>
      </w:r>
      <w:r w:rsidRPr="0013463A">
        <w:t xml:space="preserve"> is from a fixed camera installed in an office with a large window at the end of the corridor leading to the department 5 cells.</w:t>
      </w:r>
      <w:r w:rsidR="001834C5" w:rsidRPr="0013463A">
        <w:t xml:space="preserve"> </w:t>
      </w:r>
      <w:r w:rsidRPr="0013463A">
        <w:t xml:space="preserve">These images show the reflection in the office window of a female </w:t>
      </w:r>
      <w:r w:rsidR="00110E24" w:rsidRPr="0013463A">
        <w:t>CO</w:t>
      </w:r>
      <w:r w:rsidRPr="0013463A">
        <w:t xml:space="preserve"> sitting behind the screens of a surveillance console.</w:t>
      </w:r>
    </w:p>
    <w:p w14:paraId="6CC5E684" w14:textId="6C27A23B" w:rsidR="008D01FF" w:rsidRPr="0013463A" w:rsidRDefault="00147A04" w:rsidP="006A28AF">
      <w:pPr>
        <w:pStyle w:val="Paragraphe"/>
      </w:pPr>
      <w:r w:rsidRPr="0013463A">
        <w:t xml:space="preserve">This was the very first time Mr. Toussaint had been in this part of the prison, which </w:t>
      </w:r>
      <w:r w:rsidR="005E4DF7" w:rsidRPr="0013463A">
        <w:t xml:space="preserve">is used for </w:t>
      </w:r>
      <w:r w:rsidRPr="0013463A">
        <w:t xml:space="preserve">specific </w:t>
      </w:r>
      <w:r w:rsidR="005E4DF7" w:rsidRPr="0013463A">
        <w:t>purposes</w:t>
      </w:r>
      <w:r w:rsidRPr="0013463A">
        <w:t xml:space="preserve">. Some cells are </w:t>
      </w:r>
      <w:r w:rsidR="0025677D">
        <w:t xml:space="preserve">used </w:t>
      </w:r>
      <w:r w:rsidRPr="0013463A">
        <w:t>for solitary confinement for disciplinary breaches, and others, including cells 10 and 12, are for preventive isolation.</w:t>
      </w:r>
    </w:p>
    <w:p w14:paraId="7F293DE0" w14:textId="228B9A97" w:rsidR="008D01FF" w:rsidRPr="0013463A" w:rsidRDefault="00110E24" w:rsidP="006A28AF">
      <w:pPr>
        <w:pStyle w:val="Paragraphe"/>
      </w:pPr>
      <w:r w:rsidRPr="0013463A">
        <w:t>CO</w:t>
      </w:r>
      <w:r w:rsidR="00147A04" w:rsidRPr="0013463A">
        <w:t xml:space="preserve"> Jean-Bruno Gagnon had just finished his night shift in department 5.</w:t>
      </w:r>
      <w:r w:rsidR="001834C5" w:rsidRPr="0013463A">
        <w:t xml:space="preserve"> </w:t>
      </w:r>
      <w:r w:rsidR="00147A04" w:rsidRPr="0013463A">
        <w:t>When he saw his colleagues leading Mr. Toussaint backwards down the corridor towards cell 1, he joined them.</w:t>
      </w:r>
    </w:p>
    <w:p w14:paraId="6C37B82D" w14:textId="4FD3A245" w:rsidR="008D01FF" w:rsidRPr="0013463A" w:rsidRDefault="00147A04" w:rsidP="006A28AF">
      <w:pPr>
        <w:pStyle w:val="Paragraphe"/>
      </w:pPr>
      <w:r w:rsidRPr="0013463A">
        <w:t xml:space="preserve">According to the </w:t>
      </w:r>
      <w:r w:rsidR="00110E24" w:rsidRPr="0013463A">
        <w:t>CO</w:t>
      </w:r>
      <w:r w:rsidRPr="0013463A">
        <w:t xml:space="preserve">s escorting Mr. Toussaint, </w:t>
      </w:r>
      <w:r w:rsidR="000646E6" w:rsidRPr="0013463A">
        <w:t xml:space="preserve">he was not physically threatening </w:t>
      </w:r>
      <w:r w:rsidRPr="0013463A">
        <w:t xml:space="preserve">during the trip to department 5, </w:t>
      </w:r>
      <w:r w:rsidR="000646E6" w:rsidRPr="0013463A">
        <w:t xml:space="preserve">but </w:t>
      </w:r>
      <w:r w:rsidRPr="0013463A">
        <w:t xml:space="preserve">he </w:t>
      </w:r>
      <w:r w:rsidR="009A08FC" w:rsidRPr="0013463A">
        <w:t>was uncooperative</w:t>
      </w:r>
      <w:r w:rsidRPr="0013463A">
        <w:t xml:space="preserve">, put up passive resistance, and </w:t>
      </w:r>
      <w:r w:rsidR="003E3C13">
        <w:t xml:space="preserve">at times allowed himself to be </w:t>
      </w:r>
      <w:r w:rsidRPr="0013463A">
        <w:t>dragged.</w:t>
      </w:r>
      <w:r w:rsidR="001834C5" w:rsidRPr="0013463A">
        <w:t xml:space="preserve"> </w:t>
      </w:r>
    </w:p>
    <w:p w14:paraId="30A195A7" w14:textId="4B960ABC" w:rsidR="008D01FF" w:rsidRPr="0013463A" w:rsidRDefault="00752829" w:rsidP="006A28AF">
      <w:pPr>
        <w:pStyle w:val="Paragraphe"/>
      </w:pPr>
      <w:r>
        <w:t>However, a</w:t>
      </w:r>
      <w:r w:rsidR="00147A04" w:rsidRPr="0013463A">
        <w:t xml:space="preserve">s stated above, </w:t>
      </w:r>
      <w:r w:rsidR="00CD471D">
        <w:t xml:space="preserve">in the absence of any explanation as to why he was forced to move backwards </w:t>
      </w:r>
      <w:r w:rsidR="00B85B02">
        <w:t>–</w:t>
      </w:r>
      <w:r w:rsidR="00CD471D">
        <w:t xml:space="preserve"> even</w:t>
      </w:r>
      <w:r w:rsidR="00B85B02">
        <w:t xml:space="preserve"> though he was already handcuffed – and because he believed that he was being </w:t>
      </w:r>
      <w:r w:rsidR="000C3F74">
        <w:t>mocked, he lifted his feet</w:t>
      </w:r>
      <w:r w:rsidR="00A07238">
        <w:t xml:space="preserve"> </w:t>
      </w:r>
      <w:r w:rsidR="000646E6" w:rsidRPr="0013463A">
        <w:t>from the ground</w:t>
      </w:r>
      <w:r w:rsidR="00F47AAB">
        <w:t xml:space="preserve"> </w:t>
      </w:r>
      <w:r w:rsidR="003E3C13">
        <w:t xml:space="preserve">for the first time </w:t>
      </w:r>
      <w:r w:rsidR="000646E6" w:rsidRPr="0013463A">
        <w:t>in cell 36</w:t>
      </w:r>
      <w:r w:rsidR="000A4448" w:rsidRPr="0013463A">
        <w:t xml:space="preserve">, </w:t>
      </w:r>
      <w:r w:rsidR="00563E55" w:rsidRPr="0013463A">
        <w:t>causing his weight to be momentarily supported entirely by the COs escorting him</w:t>
      </w:r>
      <w:r w:rsidR="00A07238">
        <w:t>.</w:t>
      </w:r>
    </w:p>
    <w:p w14:paraId="41F6F286" w14:textId="307BB3D5" w:rsidR="008D01FF" w:rsidRPr="0013463A" w:rsidRDefault="003E3C13" w:rsidP="006A28AF">
      <w:pPr>
        <w:pStyle w:val="Paragraphe"/>
      </w:pPr>
      <w:r>
        <w:lastRenderedPageBreak/>
        <w:t>When he lifted his</w:t>
      </w:r>
      <w:r w:rsidR="00147A04" w:rsidRPr="0013463A">
        <w:t xml:space="preserve"> feet from the ground</w:t>
      </w:r>
      <w:r>
        <w:t xml:space="preserve"> for the second time</w:t>
      </w:r>
      <w:r w:rsidR="00147A04" w:rsidRPr="0013463A">
        <w:t xml:space="preserve">, </w:t>
      </w:r>
      <w:r w:rsidR="006B1616">
        <w:t>he</w:t>
      </w:r>
      <w:r w:rsidR="00147A04" w:rsidRPr="0013463A">
        <w:t xml:space="preserve"> was t</w:t>
      </w:r>
      <w:r w:rsidR="006B1616">
        <w:t>rying</w:t>
      </w:r>
      <w:r w:rsidR="00147A04" w:rsidRPr="0013463A">
        <w:t xml:space="preserve"> to avoid the low wall in the middle of the corridor.</w:t>
      </w:r>
      <w:r w:rsidR="001834C5" w:rsidRPr="0013463A">
        <w:t xml:space="preserve"> </w:t>
      </w:r>
      <w:r w:rsidR="00606606" w:rsidRPr="0013463A">
        <w:t>At that point, h</w:t>
      </w:r>
      <w:r w:rsidR="00147A04" w:rsidRPr="0013463A">
        <w:t xml:space="preserve">e was </w:t>
      </w:r>
      <w:r w:rsidR="00D057BD" w:rsidRPr="0013463A">
        <w:t>stretched out</w:t>
      </w:r>
      <w:r w:rsidR="00147A04" w:rsidRPr="0013463A">
        <w:t xml:space="preserve"> between the </w:t>
      </w:r>
      <w:r w:rsidR="00110E24" w:rsidRPr="0013463A">
        <w:t>CO</w:t>
      </w:r>
      <w:r w:rsidR="00147A04" w:rsidRPr="0013463A">
        <w:t xml:space="preserve">s on either side </w:t>
      </w:r>
      <w:r w:rsidR="00D057BD" w:rsidRPr="0013463A">
        <w:t xml:space="preserve">of him, who were </w:t>
      </w:r>
      <w:r w:rsidR="00147A04" w:rsidRPr="0013463A">
        <w:t>taking two different paths.</w:t>
      </w:r>
      <w:r w:rsidR="001834C5" w:rsidRPr="0013463A">
        <w:t xml:space="preserve"> </w:t>
      </w:r>
    </w:p>
    <w:p w14:paraId="39C2C3C4" w14:textId="55B57785" w:rsidR="008D01FF" w:rsidRPr="0013463A" w:rsidRDefault="00147A04" w:rsidP="006A28AF">
      <w:pPr>
        <w:pStyle w:val="Paragraphe"/>
      </w:pPr>
      <w:r w:rsidRPr="0013463A">
        <w:t>That said, the images in evidence show no sign of physical aggression from Mr.</w:t>
      </w:r>
      <w:r w:rsidR="004B42A3" w:rsidRPr="0013463A">
        <w:t> </w:t>
      </w:r>
      <w:r w:rsidRPr="0013463A">
        <w:t xml:space="preserve">Toussaint against the </w:t>
      </w:r>
      <w:r w:rsidR="00110E24" w:rsidRPr="0013463A">
        <w:t>CO</w:t>
      </w:r>
      <w:r w:rsidRPr="0013463A">
        <w:t xml:space="preserve">s, despite the perceptions of </w:t>
      </w:r>
      <w:r w:rsidR="002B064C" w:rsidRPr="0013463A">
        <w:t>Unit Manager</w:t>
      </w:r>
      <w:r w:rsidRPr="0013463A">
        <w:t xml:space="preserve"> Leclerc and </w:t>
      </w:r>
      <w:r w:rsidR="00110E24" w:rsidRPr="0013463A">
        <w:t>CO</w:t>
      </w:r>
      <w:r w:rsidRPr="0013463A">
        <w:t xml:space="preserve"> Jean-René Brousseau</w:t>
      </w:r>
      <w:r w:rsidR="00563E55" w:rsidRPr="0013463A">
        <w:t xml:space="preserve"> to the contrary</w:t>
      </w:r>
      <w:r w:rsidRPr="0013463A">
        <w:t>.</w:t>
      </w:r>
      <w:r w:rsidR="001834C5" w:rsidRPr="0013463A">
        <w:t xml:space="preserve"> </w:t>
      </w:r>
    </w:p>
    <w:p w14:paraId="7FDCFBCF" w14:textId="398FDD7D" w:rsidR="008D01FF" w:rsidRPr="0013463A" w:rsidRDefault="000A4448" w:rsidP="006A28AF">
      <w:pPr>
        <w:pStyle w:val="Paragraphe"/>
      </w:pPr>
      <w:r w:rsidRPr="0013463A">
        <w:t xml:space="preserve">What is more, the </w:t>
      </w:r>
      <w:r w:rsidR="00147A04" w:rsidRPr="0013463A">
        <w:t xml:space="preserve">few seconds between the three recordings make it highly unlikely that there was any sudden display of </w:t>
      </w:r>
      <w:r w:rsidR="00563E55" w:rsidRPr="0013463A">
        <w:t xml:space="preserve">physically </w:t>
      </w:r>
      <w:r w:rsidR="00147A04" w:rsidRPr="0013463A">
        <w:t>aggressive behaviour by Mr. Toussaint, who appears quite calm in the videos.</w:t>
      </w:r>
      <w:r w:rsidR="001834C5" w:rsidRPr="0013463A">
        <w:t xml:space="preserve">  </w:t>
      </w:r>
    </w:p>
    <w:p w14:paraId="5BB52A96" w14:textId="04B017DC" w:rsidR="008D01FF" w:rsidRPr="0013463A" w:rsidRDefault="00147A04" w:rsidP="008D01FF">
      <w:pPr>
        <w:pStyle w:val="Paragraphe"/>
        <w:numPr>
          <w:ilvl w:val="0"/>
          <w:numId w:val="0"/>
        </w:numPr>
        <w:rPr>
          <w:b/>
          <w:bCs/>
          <w:i/>
          <w:iCs/>
          <w:u w:val="single"/>
        </w:rPr>
      </w:pPr>
      <w:r w:rsidRPr="0013463A">
        <w:rPr>
          <w:b/>
          <w:bCs/>
          <w:i/>
          <w:iCs/>
          <w:u w:val="single"/>
        </w:rPr>
        <w:t>Cell 1</w:t>
      </w:r>
      <w:r w:rsidR="001834C5" w:rsidRPr="0013463A">
        <w:rPr>
          <w:b/>
          <w:bCs/>
          <w:i/>
          <w:iCs/>
          <w:u w:val="single"/>
        </w:rPr>
        <w:t xml:space="preserve"> </w:t>
      </w:r>
    </w:p>
    <w:p w14:paraId="502F9608" w14:textId="70AF6855" w:rsidR="008D01FF" w:rsidRPr="0013463A" w:rsidRDefault="00147A04" w:rsidP="006A28AF">
      <w:pPr>
        <w:pStyle w:val="Paragraphe"/>
      </w:pPr>
      <w:r w:rsidRPr="0013463A">
        <w:t xml:space="preserve">The Tribunal </w:t>
      </w:r>
      <w:r w:rsidR="001E78F3">
        <w:t>did not have</w:t>
      </w:r>
      <w:r w:rsidRPr="0013463A">
        <w:t xml:space="preserve"> the benefit of viewing the images of the </w:t>
      </w:r>
      <w:r w:rsidR="00110E24" w:rsidRPr="0013463A">
        <w:t>CO</w:t>
      </w:r>
      <w:r w:rsidRPr="0013463A">
        <w:t xml:space="preserve">s’ intervention inside cell 1 because the camera </w:t>
      </w:r>
      <w:r w:rsidR="00F44383" w:rsidRPr="0013463A">
        <w:t xml:space="preserve">in that cell </w:t>
      </w:r>
      <w:r w:rsidRPr="0013463A">
        <w:t>was defective.</w:t>
      </w:r>
    </w:p>
    <w:p w14:paraId="4C9B8D11" w14:textId="58EFC603" w:rsidR="008D01FF" w:rsidRPr="0013463A" w:rsidRDefault="00147A04" w:rsidP="006A28AF">
      <w:pPr>
        <w:pStyle w:val="Paragraphe"/>
      </w:pPr>
      <w:r w:rsidRPr="0013463A">
        <w:t xml:space="preserve">This is </w:t>
      </w:r>
      <w:r w:rsidR="00A21887">
        <w:t>particularly</w:t>
      </w:r>
      <w:r w:rsidR="00A21887" w:rsidRPr="0013463A">
        <w:t xml:space="preserve"> </w:t>
      </w:r>
      <w:r w:rsidRPr="0013463A">
        <w:t xml:space="preserve">unfortunate because of </w:t>
      </w:r>
      <w:r w:rsidR="002B064C" w:rsidRPr="0013463A">
        <w:t>Unit Manager</w:t>
      </w:r>
      <w:r w:rsidRPr="0013463A">
        <w:t xml:space="preserve"> Leclerc’s </w:t>
      </w:r>
      <w:r w:rsidR="00F44383" w:rsidRPr="0013463A">
        <w:t xml:space="preserve">justification for </w:t>
      </w:r>
      <w:r w:rsidRPr="0013463A">
        <w:t>his decision not to bring Mr. Toussaint to the infirmary, despite his</w:t>
      </w:r>
      <w:r w:rsidR="00F44383" w:rsidRPr="0013463A">
        <w:t xml:space="preserve"> [</w:t>
      </w:r>
      <w:r w:rsidR="00F44383" w:rsidRPr="0013463A">
        <w:rPr>
          <w:smallCaps/>
        </w:rPr>
        <w:t>translation</w:t>
      </w:r>
      <w:r w:rsidR="00F44383" w:rsidRPr="0013463A">
        <w:t>]</w:t>
      </w:r>
      <w:r w:rsidRPr="0013463A">
        <w:t xml:space="preserve"> “state”</w:t>
      </w:r>
      <w:r w:rsidR="00F44383" w:rsidRPr="0013463A">
        <w:t>,</w:t>
      </w:r>
      <w:r w:rsidRPr="0013463A">
        <w:t xml:space="preserve"> which is described as </w:t>
      </w:r>
      <w:r w:rsidR="00F44383" w:rsidRPr="0013463A">
        <w:t>[</w:t>
      </w:r>
      <w:r w:rsidR="00F44383" w:rsidRPr="0013463A">
        <w:rPr>
          <w:smallCaps/>
        </w:rPr>
        <w:t>translation</w:t>
      </w:r>
      <w:r w:rsidR="00F44383" w:rsidRPr="0013463A">
        <w:t xml:space="preserve">] </w:t>
      </w:r>
      <w:r w:rsidRPr="0013463A">
        <w:t>“</w:t>
      </w:r>
      <w:r w:rsidR="00563E55" w:rsidRPr="0013463A">
        <w:t xml:space="preserve">like </w:t>
      </w:r>
      <w:r w:rsidR="00A21887">
        <w:t xml:space="preserve">being </w:t>
      </w:r>
      <w:r w:rsidRPr="0013463A">
        <w:t>in a daze”:</w:t>
      </w:r>
    </w:p>
    <w:p w14:paraId="382232C1" w14:textId="03C3B0D7" w:rsidR="000818EF" w:rsidRPr="0013463A" w:rsidRDefault="000818EF" w:rsidP="008D01FF">
      <w:pPr>
        <w:pStyle w:val="Citationenretrait"/>
        <w:rPr>
          <w:lang w:val="en-CA"/>
        </w:rPr>
      </w:pPr>
      <w:r w:rsidRPr="0013463A">
        <w:rPr>
          <w:lang w:val="en-CA"/>
        </w:rPr>
        <w:t>[</w:t>
      </w:r>
      <w:r w:rsidRPr="0013463A">
        <w:rPr>
          <w:smallCaps/>
          <w:lang w:val="en-CA"/>
        </w:rPr>
        <w:t>translation</w:t>
      </w:r>
      <w:r w:rsidRPr="0013463A">
        <w:rPr>
          <w:lang w:val="en-CA"/>
        </w:rPr>
        <w:t>]</w:t>
      </w:r>
    </w:p>
    <w:p w14:paraId="067FAF0E" w14:textId="297993A7" w:rsidR="008D01FF" w:rsidRPr="0013463A" w:rsidRDefault="00147A04" w:rsidP="008D01FF">
      <w:pPr>
        <w:pStyle w:val="Citationenretrait"/>
        <w:rPr>
          <w:lang w:val="en-CA"/>
        </w:rPr>
      </w:pPr>
      <w:r w:rsidRPr="0013463A">
        <w:rPr>
          <w:lang w:val="en-CA"/>
        </w:rPr>
        <w:t>I couldn’t send him there, but I had to keep an eye on him.</w:t>
      </w:r>
      <w:r w:rsidR="001834C5" w:rsidRPr="0013463A">
        <w:rPr>
          <w:lang w:val="en-CA"/>
        </w:rPr>
        <w:t xml:space="preserve"> </w:t>
      </w:r>
      <w:r w:rsidRPr="0013463A">
        <w:rPr>
          <w:lang w:val="en-CA"/>
        </w:rPr>
        <w:t xml:space="preserve">Also, </w:t>
      </w:r>
      <w:r w:rsidRPr="0013463A">
        <w:rPr>
          <w:u w:val="single"/>
          <w:lang w:val="en-CA"/>
        </w:rPr>
        <w:t>we’re limited in terms of cameras</w:t>
      </w:r>
      <w:r w:rsidRPr="0013463A">
        <w:rPr>
          <w:lang w:val="en-CA"/>
        </w:rPr>
        <w:t xml:space="preserve"> there [in the infirmary], so...</w:t>
      </w:r>
    </w:p>
    <w:p w14:paraId="6B6B5272" w14:textId="56BF00BA" w:rsidR="008D01FF" w:rsidRPr="0013463A" w:rsidRDefault="00147A04" w:rsidP="008D01FF">
      <w:pPr>
        <w:pStyle w:val="Citationenretrait"/>
        <w:rPr>
          <w:lang w:val="en-CA"/>
        </w:rPr>
      </w:pPr>
      <w:r w:rsidRPr="0013463A">
        <w:rPr>
          <w:lang w:val="en-CA"/>
        </w:rPr>
        <w:t>...</w:t>
      </w:r>
    </w:p>
    <w:p w14:paraId="0F46DF9F" w14:textId="0CE53688" w:rsidR="008D01FF" w:rsidRPr="0013463A" w:rsidRDefault="00147A04" w:rsidP="008D01FF">
      <w:pPr>
        <w:pStyle w:val="Citationenretrait"/>
        <w:rPr>
          <w:lang w:val="en-CA"/>
        </w:rPr>
      </w:pPr>
      <w:r w:rsidRPr="0013463A">
        <w:rPr>
          <w:u w:val="single"/>
          <w:lang w:val="en-CA"/>
        </w:rPr>
        <w:t>Cell 1 has a camera</w:t>
      </w:r>
      <w:r w:rsidRPr="0013463A">
        <w:rPr>
          <w:lang w:val="en-CA"/>
        </w:rPr>
        <w:t>.</w:t>
      </w:r>
      <w:r w:rsidR="001834C5" w:rsidRPr="0013463A">
        <w:rPr>
          <w:lang w:val="en-CA"/>
        </w:rPr>
        <w:t xml:space="preserve"> </w:t>
      </w:r>
      <w:r w:rsidRPr="0013463A">
        <w:rPr>
          <w:lang w:val="en-CA"/>
        </w:rPr>
        <w:t>We’d be able to keep an eye on him.</w:t>
      </w:r>
      <w:r w:rsidRPr="0013463A">
        <w:rPr>
          <w:rStyle w:val="Appelnotedebasdep"/>
          <w:lang w:val="en-CA"/>
        </w:rPr>
        <w:t xml:space="preserve"> </w:t>
      </w:r>
      <w:r w:rsidRPr="0013463A">
        <w:rPr>
          <w:rStyle w:val="Appelnotedebasdep"/>
          <w:lang w:val="en-CA"/>
        </w:rPr>
        <w:footnoteReference w:id="31"/>
      </w:r>
    </w:p>
    <w:p w14:paraId="2CFD8226" w14:textId="37D56E58" w:rsidR="008D01FF" w:rsidRPr="0013463A" w:rsidRDefault="00147A04" w:rsidP="008D01FF">
      <w:pPr>
        <w:pStyle w:val="Citationenretrait"/>
        <w:jc w:val="right"/>
        <w:rPr>
          <w:sz w:val="20"/>
          <w:lang w:val="en-CA"/>
        </w:rPr>
      </w:pPr>
      <w:r w:rsidRPr="0013463A">
        <w:rPr>
          <w:sz w:val="20"/>
          <w:lang w:val="en-CA"/>
        </w:rPr>
        <w:t>(Emphasis added)</w:t>
      </w:r>
    </w:p>
    <w:p w14:paraId="1476A5CD" w14:textId="5F8B4147" w:rsidR="008D01FF" w:rsidRPr="0013463A" w:rsidRDefault="007117F4" w:rsidP="006A28AF">
      <w:pPr>
        <w:pStyle w:val="Paragraphe"/>
      </w:pPr>
      <w:r w:rsidRPr="0013463A">
        <w:t xml:space="preserve">Mr. </w:t>
      </w:r>
      <w:r w:rsidR="009E282C" w:rsidRPr="0013463A">
        <w:t>Toussaint</w:t>
      </w:r>
      <w:r w:rsidRPr="0013463A">
        <w:t xml:space="preserve"> was made to face the </w:t>
      </w:r>
      <w:r w:rsidR="000818EF" w:rsidRPr="0013463A">
        <w:t xml:space="preserve">back </w:t>
      </w:r>
      <w:r w:rsidRPr="0013463A">
        <w:t>wall of cell 1, not knowing what to expect.</w:t>
      </w:r>
      <w:r w:rsidR="001834C5" w:rsidRPr="0013463A">
        <w:t xml:space="preserve"> </w:t>
      </w:r>
      <w:r w:rsidRPr="0013463A">
        <w:t xml:space="preserve">He was </w:t>
      </w:r>
      <w:r w:rsidR="00A51ED8" w:rsidRPr="0013463A">
        <w:t>told</w:t>
      </w:r>
      <w:r w:rsidRPr="0013463A">
        <w:t xml:space="preserve"> to kneel, but he objected.</w:t>
      </w:r>
      <w:r w:rsidR="001834C5" w:rsidRPr="0013463A">
        <w:t xml:space="preserve"> </w:t>
      </w:r>
    </w:p>
    <w:p w14:paraId="26C37394" w14:textId="76A423FA" w:rsidR="008D01FF" w:rsidRPr="0013463A" w:rsidRDefault="007117F4" w:rsidP="006A28AF">
      <w:pPr>
        <w:pStyle w:val="Paragraphe"/>
      </w:pPr>
      <w:r w:rsidRPr="0013463A">
        <w:t xml:space="preserve">The </w:t>
      </w:r>
      <w:r w:rsidR="00110E24" w:rsidRPr="0013463A">
        <w:t>CO</w:t>
      </w:r>
      <w:r w:rsidRPr="0013463A">
        <w:t>s planned to remove his handcuffs, perform a strip search, then leave him alone in the cell, without authoriz</w:t>
      </w:r>
      <w:r w:rsidR="00A51ED8" w:rsidRPr="0013463A">
        <w:t xml:space="preserve">ation to </w:t>
      </w:r>
      <w:r w:rsidRPr="0013463A">
        <w:t xml:space="preserve">join the other </w:t>
      </w:r>
      <w:r w:rsidR="002B064C" w:rsidRPr="0013463A">
        <w:t>inmates</w:t>
      </w:r>
      <w:r w:rsidRPr="0013463A">
        <w:t xml:space="preserve"> in the </w:t>
      </w:r>
      <w:r w:rsidR="002B064C" w:rsidRPr="0013463A">
        <w:t xml:space="preserve">gymnasium </w:t>
      </w:r>
      <w:r w:rsidRPr="0013463A">
        <w:t>for the rest of the day.</w:t>
      </w:r>
      <w:r w:rsidR="001834C5" w:rsidRPr="0013463A">
        <w:t xml:space="preserve"> </w:t>
      </w:r>
    </w:p>
    <w:p w14:paraId="3335C0E5" w14:textId="03214F48" w:rsidR="008D01FF" w:rsidRPr="0013463A" w:rsidRDefault="000818EF" w:rsidP="006A28AF">
      <w:pPr>
        <w:pStyle w:val="Paragraphe"/>
      </w:pPr>
      <w:r w:rsidRPr="0013463A">
        <w:t>[</w:t>
      </w:r>
      <w:r w:rsidRPr="0013463A">
        <w:rPr>
          <w:smallCaps/>
        </w:rPr>
        <w:t>translation</w:t>
      </w:r>
      <w:r w:rsidRPr="0013463A">
        <w:t xml:space="preserve">] </w:t>
      </w:r>
      <w:r w:rsidR="007117F4" w:rsidRPr="0013463A">
        <w:t>“So that did not please him at all,”</w:t>
      </w:r>
      <w:r w:rsidR="007117F4" w:rsidRPr="0013463A">
        <w:rPr>
          <w:rStyle w:val="Appelnotedebasdep"/>
        </w:rPr>
        <w:footnoteReference w:id="32"/>
      </w:r>
      <w:r w:rsidR="007117F4" w:rsidRPr="0013463A">
        <w:t xml:space="preserve"> says </w:t>
      </w:r>
      <w:r w:rsidR="002B064C" w:rsidRPr="0013463A">
        <w:t>Unit Manager</w:t>
      </w:r>
      <w:r w:rsidR="007117F4" w:rsidRPr="0013463A">
        <w:t xml:space="preserve"> Leclerc. </w:t>
      </w:r>
      <w:r w:rsidRPr="0013463A">
        <w:t>[</w:t>
      </w:r>
      <w:r w:rsidRPr="0013463A">
        <w:rPr>
          <w:smallCaps/>
        </w:rPr>
        <w:t>translation</w:t>
      </w:r>
      <w:r w:rsidRPr="0013463A">
        <w:t xml:space="preserve">] </w:t>
      </w:r>
      <w:r w:rsidR="007117F4" w:rsidRPr="0013463A">
        <w:t>“He wasn’t happy, and that’s when he became disorganized as well”.</w:t>
      </w:r>
      <w:r w:rsidR="007117F4" w:rsidRPr="0013463A">
        <w:rPr>
          <w:rStyle w:val="Appelnotedebasdep"/>
        </w:rPr>
        <w:footnoteReference w:id="33"/>
      </w:r>
    </w:p>
    <w:p w14:paraId="3035D9A6" w14:textId="3AC1E21E" w:rsidR="008D01FF" w:rsidRPr="0013463A" w:rsidRDefault="007117F4" w:rsidP="006A28AF">
      <w:pPr>
        <w:pStyle w:val="Paragraphe"/>
      </w:pPr>
      <w:r w:rsidRPr="0013463A">
        <w:lastRenderedPageBreak/>
        <w:t xml:space="preserve">He shouted and kept insulting the </w:t>
      </w:r>
      <w:r w:rsidR="00110E24" w:rsidRPr="0013463A">
        <w:t>CO</w:t>
      </w:r>
      <w:r w:rsidRPr="0013463A">
        <w:t>s, while also begging for help and strength from God.</w:t>
      </w:r>
      <w:r w:rsidR="001834C5" w:rsidRPr="0013463A">
        <w:t xml:space="preserve"> </w:t>
      </w:r>
      <w:r w:rsidRPr="0013463A">
        <w:t>According to the incantation recited by Mr. Toussaint, [</w:t>
      </w:r>
      <w:r w:rsidRPr="0013463A">
        <w:rPr>
          <w:smallCaps/>
        </w:rPr>
        <w:t>translation</w:t>
      </w:r>
      <w:r w:rsidRPr="0013463A">
        <w:t xml:space="preserve">] “God’s anger would come lashing down upon us”, summarized </w:t>
      </w:r>
      <w:r w:rsidR="00110E24" w:rsidRPr="0013463A">
        <w:t>CO</w:t>
      </w:r>
      <w:r w:rsidRPr="0013463A">
        <w:t xml:space="preserve"> Gagnon.</w:t>
      </w:r>
      <w:r w:rsidR="001834C5" w:rsidRPr="0013463A">
        <w:t xml:space="preserve"> </w:t>
      </w:r>
    </w:p>
    <w:p w14:paraId="1CEB8196" w14:textId="1F24FB4B" w:rsidR="008D01FF" w:rsidRPr="0013463A" w:rsidRDefault="007117F4" w:rsidP="006A28AF">
      <w:pPr>
        <w:pStyle w:val="Paragraphe"/>
      </w:pPr>
      <w:r w:rsidRPr="0013463A">
        <w:t xml:space="preserve">The </w:t>
      </w:r>
      <w:r w:rsidR="00110E24" w:rsidRPr="0013463A">
        <w:t>CO</w:t>
      </w:r>
      <w:r w:rsidRPr="0013463A">
        <w:t xml:space="preserve">s </w:t>
      </w:r>
      <w:r w:rsidR="00B75271">
        <w:t>struggle</w:t>
      </w:r>
      <w:r w:rsidR="00290914">
        <w:t>d</w:t>
      </w:r>
      <w:r w:rsidR="00B75271" w:rsidRPr="0013463A">
        <w:t xml:space="preserve"> </w:t>
      </w:r>
      <w:r w:rsidRPr="0013463A">
        <w:t xml:space="preserve">to establish contact with Mr. </w:t>
      </w:r>
      <w:r w:rsidR="000818EF" w:rsidRPr="0013463A">
        <w:t>Toussaint</w:t>
      </w:r>
      <w:r w:rsidRPr="0013463A">
        <w:t xml:space="preserve">, whom </w:t>
      </w:r>
      <w:r w:rsidR="002B064C" w:rsidRPr="0013463A">
        <w:t>Unit Manager</w:t>
      </w:r>
      <w:r w:rsidRPr="0013463A">
        <w:t xml:space="preserve"> Leclerc describes as </w:t>
      </w:r>
      <w:r w:rsidR="000818EF" w:rsidRPr="0013463A">
        <w:t>[</w:t>
      </w:r>
      <w:r w:rsidR="000818EF" w:rsidRPr="0013463A">
        <w:rPr>
          <w:smallCaps/>
        </w:rPr>
        <w:t>translation</w:t>
      </w:r>
      <w:r w:rsidR="000818EF" w:rsidRPr="0013463A">
        <w:t xml:space="preserve">] </w:t>
      </w:r>
      <w:r w:rsidRPr="0013463A">
        <w:t>“</w:t>
      </w:r>
      <w:r w:rsidR="006A4B67">
        <w:t>out of touch</w:t>
      </w:r>
      <w:r w:rsidRPr="0013463A">
        <w:t>”.</w:t>
      </w:r>
      <w:r w:rsidRPr="0013463A">
        <w:rPr>
          <w:rStyle w:val="Appelnotedebasdep"/>
        </w:rPr>
        <w:footnoteReference w:id="34"/>
      </w:r>
    </w:p>
    <w:p w14:paraId="11D70786" w14:textId="364948FF" w:rsidR="008D01FF" w:rsidRPr="0013463A" w:rsidRDefault="007117F4" w:rsidP="006A28AF">
      <w:pPr>
        <w:pStyle w:val="Paragraphe"/>
      </w:pPr>
      <w:r w:rsidRPr="0013463A">
        <w:t xml:space="preserve">Once </w:t>
      </w:r>
      <w:r w:rsidR="00110E24" w:rsidRPr="0013463A">
        <w:t xml:space="preserve">CO </w:t>
      </w:r>
      <w:r w:rsidRPr="0013463A">
        <w:t>Jean-René Brousseau removed</w:t>
      </w:r>
      <w:r w:rsidR="00E34CDB">
        <w:t xml:space="preserve"> the</w:t>
      </w:r>
      <w:r w:rsidRPr="0013463A">
        <w:t xml:space="preserve"> handcuffs, </w:t>
      </w:r>
      <w:r w:rsidR="00E34CDB">
        <w:t xml:space="preserve">Mr. Toussaint </w:t>
      </w:r>
      <w:r w:rsidR="00290914">
        <w:t>turned</w:t>
      </w:r>
      <w:r w:rsidR="00290914" w:rsidRPr="0013463A">
        <w:t xml:space="preserve"> </w:t>
      </w:r>
      <w:r w:rsidRPr="0013463A">
        <w:t xml:space="preserve">his shoulders and lifted an arm in the air, which the </w:t>
      </w:r>
      <w:r w:rsidR="00110E24" w:rsidRPr="0013463A">
        <w:t>CO</w:t>
      </w:r>
      <w:r w:rsidRPr="0013463A">
        <w:t>s perceived as an attempt to commit assault.</w:t>
      </w:r>
      <w:r w:rsidR="001834C5" w:rsidRPr="0013463A">
        <w:t xml:space="preserve"> </w:t>
      </w:r>
      <w:r w:rsidR="000818EF" w:rsidRPr="0013463A">
        <w:t>According to CO Bouchard,</w:t>
      </w:r>
      <w:r w:rsidRPr="0013463A">
        <w:t xml:space="preserve"> </w:t>
      </w:r>
      <w:r w:rsidR="000818EF" w:rsidRPr="0013463A">
        <w:t>[</w:t>
      </w:r>
      <w:r w:rsidR="000818EF" w:rsidRPr="0013463A">
        <w:rPr>
          <w:smallCaps/>
        </w:rPr>
        <w:t>translation</w:t>
      </w:r>
      <w:r w:rsidR="000818EF" w:rsidRPr="0013463A">
        <w:t xml:space="preserve">] </w:t>
      </w:r>
      <w:r w:rsidRPr="0013463A">
        <w:t xml:space="preserve">“any movement other than what </w:t>
      </w:r>
      <w:r w:rsidR="000818EF" w:rsidRPr="0013463A">
        <w:t xml:space="preserve">is </w:t>
      </w:r>
      <w:r w:rsidRPr="0013463A">
        <w:t xml:space="preserve">requested” </w:t>
      </w:r>
      <w:r w:rsidR="000818EF" w:rsidRPr="0013463A">
        <w:t xml:space="preserve">is seen as </w:t>
      </w:r>
      <w:r w:rsidR="0025668E">
        <w:t xml:space="preserve">an attempted </w:t>
      </w:r>
      <w:r w:rsidR="000818EF" w:rsidRPr="0013463A">
        <w:t>assault.</w:t>
      </w:r>
    </w:p>
    <w:p w14:paraId="014863B8" w14:textId="74D73871" w:rsidR="008D01FF" w:rsidRPr="0013463A" w:rsidRDefault="007117F4" w:rsidP="006A28AF">
      <w:pPr>
        <w:pStyle w:val="Paragraphe"/>
      </w:pPr>
      <w:r w:rsidRPr="0013463A">
        <w:t xml:space="preserve">Mr. Toussaint was immediately pushed towards the wall and held in an </w:t>
      </w:r>
      <w:r w:rsidR="00375106">
        <w:t>“</w:t>
      </w:r>
      <w:r w:rsidRPr="0013463A">
        <w:t>arm</w:t>
      </w:r>
      <w:r w:rsidR="00AF538D">
        <w:t xml:space="preserve"> </w:t>
      </w:r>
      <w:r w:rsidRPr="0013463A">
        <w:t>lock</w:t>
      </w:r>
      <w:r w:rsidR="00375106">
        <w:t>”</w:t>
      </w:r>
      <w:r w:rsidR="002141EB">
        <w:t>,</w:t>
      </w:r>
      <w:r w:rsidRPr="0013463A">
        <w:t xml:space="preserve"> caus</w:t>
      </w:r>
      <w:r w:rsidR="000818EF" w:rsidRPr="0013463A">
        <w:t>ing</w:t>
      </w:r>
      <w:r w:rsidRPr="0013463A">
        <w:t xml:space="preserve"> </w:t>
      </w:r>
      <w:r w:rsidR="00A87842" w:rsidRPr="0013463A">
        <w:t xml:space="preserve">him </w:t>
      </w:r>
      <w:r w:rsidRPr="0013463A">
        <w:t xml:space="preserve">pain </w:t>
      </w:r>
      <w:r w:rsidR="000818EF" w:rsidRPr="0013463A">
        <w:t xml:space="preserve">and </w:t>
      </w:r>
      <w:r w:rsidR="00A87842" w:rsidRPr="0013463A">
        <w:t xml:space="preserve">allowing </w:t>
      </w:r>
      <w:r w:rsidRPr="0013463A">
        <w:t>them to re</w:t>
      </w:r>
      <w:r w:rsidR="00A87842" w:rsidRPr="0013463A">
        <w:t>assert</w:t>
      </w:r>
      <w:r w:rsidRPr="0013463A">
        <w:t xml:space="preserve"> control over him.</w:t>
      </w:r>
    </w:p>
    <w:p w14:paraId="51263A9F" w14:textId="76585C45" w:rsidR="008D01FF" w:rsidRPr="0013463A" w:rsidRDefault="007117F4" w:rsidP="006A28AF">
      <w:pPr>
        <w:pStyle w:val="Paragraphe"/>
      </w:pPr>
      <w:r w:rsidRPr="0013463A">
        <w:t xml:space="preserve">He was brought to the ground, </w:t>
      </w:r>
      <w:r w:rsidR="00A87842" w:rsidRPr="0013463A">
        <w:t>face down</w:t>
      </w:r>
      <w:r w:rsidRPr="0013463A">
        <w:t xml:space="preserve">, by </w:t>
      </w:r>
      <w:r w:rsidR="002D2B6C" w:rsidRPr="0013463A">
        <w:t xml:space="preserve">one of the COs striking his fists twice </w:t>
      </w:r>
      <w:r w:rsidRPr="0013463A">
        <w:t xml:space="preserve">on </w:t>
      </w:r>
      <w:r w:rsidR="002D2B6C" w:rsidRPr="0013463A">
        <w:t xml:space="preserve">his </w:t>
      </w:r>
      <w:r w:rsidRPr="0013463A">
        <w:t>sciatic nerve</w:t>
      </w:r>
      <w:r w:rsidR="002D2B6C" w:rsidRPr="0013463A">
        <w:t xml:space="preserve">, another applying </w:t>
      </w:r>
      <w:r w:rsidRPr="0013463A">
        <w:t>a wrist lock</w:t>
      </w:r>
      <w:r w:rsidR="002D2B6C" w:rsidRPr="0013463A">
        <w:t>, and a third applying a</w:t>
      </w:r>
      <w:r w:rsidRPr="0013463A">
        <w:t xml:space="preserve"> joint lock.</w:t>
      </w:r>
      <w:r w:rsidR="001834C5" w:rsidRPr="0013463A">
        <w:t xml:space="preserve"> </w:t>
      </w:r>
      <w:r w:rsidRPr="0013463A">
        <w:t>According to them, Mr. Toussaint was sweat</w:t>
      </w:r>
      <w:r w:rsidR="00761884">
        <w:t>ing</w:t>
      </w:r>
      <w:r w:rsidRPr="0013463A">
        <w:t xml:space="preserve"> and very agitated, </w:t>
      </w:r>
      <w:r w:rsidR="00761884">
        <w:t xml:space="preserve">refusing </w:t>
      </w:r>
      <w:r w:rsidRPr="0013463A">
        <w:t>to obey instructions</w:t>
      </w:r>
      <w:r w:rsidR="00A56C36">
        <w:t>,</w:t>
      </w:r>
      <w:r w:rsidRPr="0013463A">
        <w:t xml:space="preserve"> </w:t>
      </w:r>
      <w:r w:rsidR="002D2B6C" w:rsidRPr="0013463A">
        <w:t xml:space="preserve">and </w:t>
      </w:r>
      <w:r w:rsidR="00761884">
        <w:t xml:space="preserve">putting </w:t>
      </w:r>
      <w:r w:rsidRPr="0013463A">
        <w:t xml:space="preserve">up </w:t>
      </w:r>
      <w:r w:rsidR="002D2B6C" w:rsidRPr="0013463A">
        <w:t xml:space="preserve">strong </w:t>
      </w:r>
      <w:r w:rsidRPr="0013463A">
        <w:t>resistance.</w:t>
      </w:r>
    </w:p>
    <w:p w14:paraId="42A3C91E" w14:textId="3DA6076B" w:rsidR="008D01FF" w:rsidRPr="0013463A" w:rsidRDefault="007117F4" w:rsidP="006A28AF">
      <w:pPr>
        <w:pStyle w:val="Paragraphe"/>
      </w:pPr>
      <w:r w:rsidRPr="0013463A">
        <w:t xml:space="preserve">Mr. Toussaint admits that he stiffened his arms and struggled to avoid being </w:t>
      </w:r>
      <w:r w:rsidR="002D2B6C" w:rsidRPr="0013463A">
        <w:t xml:space="preserve">taken down </w:t>
      </w:r>
      <w:r w:rsidRPr="0013463A">
        <w:t>to the dirty and [</w:t>
      </w:r>
      <w:r w:rsidRPr="0013463A">
        <w:rPr>
          <w:smallCaps/>
        </w:rPr>
        <w:t>translation</w:t>
      </w:r>
      <w:r w:rsidRPr="0013463A">
        <w:t xml:space="preserve">] “disgusting” </w:t>
      </w:r>
      <w:r w:rsidR="002D2B6C" w:rsidRPr="0013463A">
        <w:t xml:space="preserve">floor of </w:t>
      </w:r>
      <w:r w:rsidRPr="0013463A">
        <w:t>the cell.</w:t>
      </w:r>
      <w:r w:rsidRPr="0013463A">
        <w:rPr>
          <w:rStyle w:val="Appelnotedebasdep"/>
        </w:rPr>
        <w:footnoteReference w:id="35"/>
      </w:r>
      <w:r w:rsidR="001834C5" w:rsidRPr="0013463A">
        <w:t xml:space="preserve"> </w:t>
      </w:r>
      <w:r w:rsidRPr="0013463A">
        <w:t xml:space="preserve">He testified that the </w:t>
      </w:r>
      <w:r w:rsidR="00110E24" w:rsidRPr="0013463A">
        <w:t>CO</w:t>
      </w:r>
      <w:r w:rsidRPr="0013463A">
        <w:t xml:space="preserve">s lay him on the ground in front of the toilet, </w:t>
      </w:r>
      <w:r w:rsidR="00232ABC" w:rsidRPr="0013463A">
        <w:t>hit</w:t>
      </w:r>
      <w:r w:rsidR="002D2B6C" w:rsidRPr="0013463A">
        <w:t xml:space="preserve"> </w:t>
      </w:r>
      <w:r w:rsidRPr="0013463A">
        <w:t>him</w:t>
      </w:r>
      <w:r w:rsidR="00232ABC" w:rsidRPr="0013463A">
        <w:t>,</w:t>
      </w:r>
      <w:r w:rsidRPr="0013463A">
        <w:t xml:space="preserve"> and </w:t>
      </w:r>
      <w:r w:rsidR="00A87842" w:rsidRPr="0013463A">
        <w:t>told him to</w:t>
      </w:r>
      <w:r w:rsidR="002D2B6C" w:rsidRPr="0013463A">
        <w:t xml:space="preserve"> </w:t>
      </w:r>
      <w:r w:rsidRPr="0013463A">
        <w:t>[</w:t>
      </w:r>
      <w:r w:rsidRPr="0013463A">
        <w:rPr>
          <w:smallCaps/>
        </w:rPr>
        <w:t>translation</w:t>
      </w:r>
      <w:r w:rsidRPr="0013463A">
        <w:t>] “shut his trap” and follow orders.</w:t>
      </w:r>
    </w:p>
    <w:p w14:paraId="206763A9" w14:textId="08629BBF" w:rsidR="008D01FF" w:rsidRPr="0013463A" w:rsidRDefault="007117F4" w:rsidP="006A28AF">
      <w:pPr>
        <w:pStyle w:val="Paragraphe"/>
      </w:pPr>
      <w:r w:rsidRPr="0013463A">
        <w:t xml:space="preserve">He was handcuffed again </w:t>
      </w:r>
      <w:r w:rsidR="00A56C36">
        <w:t xml:space="preserve">and </w:t>
      </w:r>
      <w:r w:rsidRPr="0013463A">
        <w:t>then turned onto his left side to avoid obstructing his breathing and possibly causing positional asphyxia.</w:t>
      </w:r>
    </w:p>
    <w:p w14:paraId="3967031E" w14:textId="68C609FA" w:rsidR="008D01FF" w:rsidRPr="0013463A" w:rsidRDefault="007117F4" w:rsidP="006A28AF">
      <w:pPr>
        <w:pStyle w:val="Paragraphe"/>
      </w:pPr>
      <w:r w:rsidRPr="0013463A">
        <w:t xml:space="preserve">Some </w:t>
      </w:r>
      <w:r w:rsidR="00110E24" w:rsidRPr="0013463A">
        <w:t>CO</w:t>
      </w:r>
      <w:r w:rsidRPr="0013463A">
        <w:t xml:space="preserve">s held his wrists and ankles as he continued to yell. </w:t>
      </w:r>
      <w:r w:rsidR="002B064C" w:rsidRPr="0013463A">
        <w:t>Unit Manager</w:t>
      </w:r>
      <w:r w:rsidRPr="0013463A">
        <w:t xml:space="preserve"> </w:t>
      </w:r>
      <w:r w:rsidR="00232ABC" w:rsidRPr="0013463A">
        <w:t>Leclerc</w:t>
      </w:r>
      <w:r w:rsidRPr="0013463A">
        <w:t xml:space="preserve"> even states that </w:t>
      </w:r>
      <w:r w:rsidR="00232ABC" w:rsidRPr="0013463A">
        <w:t>[</w:t>
      </w:r>
      <w:r w:rsidR="00232ABC" w:rsidRPr="0013463A">
        <w:rPr>
          <w:smallCaps/>
        </w:rPr>
        <w:t>translation</w:t>
      </w:r>
      <w:r w:rsidR="00232ABC" w:rsidRPr="0013463A">
        <w:t xml:space="preserve">] </w:t>
      </w:r>
      <w:r w:rsidRPr="0013463A">
        <w:t>“he was growling”.</w:t>
      </w:r>
      <w:r w:rsidRPr="0013463A">
        <w:rPr>
          <w:rStyle w:val="Appelnotedebasdep"/>
        </w:rPr>
        <w:footnoteReference w:id="36"/>
      </w:r>
    </w:p>
    <w:p w14:paraId="3FEF5CA2" w14:textId="486077F1" w:rsidR="008D01FF" w:rsidRPr="0013463A" w:rsidRDefault="007117F4" w:rsidP="006A28AF">
      <w:pPr>
        <w:pStyle w:val="Paragraphe"/>
      </w:pPr>
      <w:r w:rsidRPr="0013463A">
        <w:t>The situation in cell 1 was chaotic. [</w:t>
      </w:r>
      <w:r w:rsidRPr="0013463A">
        <w:rPr>
          <w:smallCaps/>
        </w:rPr>
        <w:t>translation</w:t>
      </w:r>
      <w:r w:rsidRPr="0013463A">
        <w:t xml:space="preserve">] “We had no idea how to get out of there without getting hurt”, </w:t>
      </w:r>
      <w:r w:rsidR="00232ABC" w:rsidRPr="0013463A">
        <w:t>says</w:t>
      </w:r>
      <w:r w:rsidRPr="0013463A">
        <w:t xml:space="preserve"> </w:t>
      </w:r>
      <w:r w:rsidR="00110E24" w:rsidRPr="0013463A">
        <w:t>CO</w:t>
      </w:r>
      <w:r w:rsidRPr="0013463A">
        <w:t xml:space="preserve"> Jean-René Brousseau</w:t>
      </w:r>
      <w:r w:rsidR="0038417D">
        <w:t>.</w:t>
      </w:r>
      <w:r w:rsidR="001834C5" w:rsidRPr="0013463A">
        <w:t xml:space="preserve"> </w:t>
      </w:r>
    </w:p>
    <w:p w14:paraId="5CC1784F" w14:textId="27989101" w:rsidR="008D01FF" w:rsidRPr="0013463A" w:rsidRDefault="00A87842" w:rsidP="006A28AF">
      <w:pPr>
        <w:pStyle w:val="Paragraphe"/>
      </w:pPr>
      <w:r w:rsidRPr="0013463A">
        <w:t xml:space="preserve">At this point, </w:t>
      </w:r>
      <w:r w:rsidR="00110E24" w:rsidRPr="0013463A">
        <w:t>CO</w:t>
      </w:r>
      <w:r w:rsidR="007117F4" w:rsidRPr="0013463A">
        <w:t xml:space="preserve"> Hugues Comeau-Bastien, who was familiar with use of force techniques, </w:t>
      </w:r>
      <w:r w:rsidRPr="0013463A">
        <w:t>was beginning</w:t>
      </w:r>
      <w:r w:rsidR="007117F4" w:rsidRPr="0013463A">
        <w:t xml:space="preserve"> his shift.</w:t>
      </w:r>
      <w:r w:rsidR="001834C5" w:rsidRPr="0013463A">
        <w:t xml:space="preserve"> </w:t>
      </w:r>
      <w:r w:rsidR="007117F4" w:rsidRPr="0013463A">
        <w:t>He heard the yelling from the cell and went to help.</w:t>
      </w:r>
    </w:p>
    <w:p w14:paraId="05315727" w14:textId="0FE59539" w:rsidR="008D01FF" w:rsidRPr="0013463A" w:rsidRDefault="007117F4" w:rsidP="006A28AF">
      <w:pPr>
        <w:pStyle w:val="Paragraphe"/>
      </w:pPr>
      <w:r w:rsidRPr="0013463A">
        <w:lastRenderedPageBreak/>
        <w:t>[</w:t>
      </w:r>
      <w:r w:rsidRPr="0013463A">
        <w:rPr>
          <w:smallCaps/>
        </w:rPr>
        <w:t>translation</w:t>
      </w:r>
      <w:r w:rsidRPr="0013463A">
        <w:t>] “I was happy”</w:t>
      </w:r>
      <w:r w:rsidR="00DC6194">
        <w:t>,</w:t>
      </w:r>
      <w:r w:rsidRPr="0013463A">
        <w:t xml:space="preserve"> admit</w:t>
      </w:r>
      <w:r w:rsidR="00A56C36">
        <w:t>s</w:t>
      </w:r>
      <w:r w:rsidRPr="0013463A">
        <w:t xml:space="preserve"> </w:t>
      </w:r>
      <w:r w:rsidR="002B064C" w:rsidRPr="0013463A">
        <w:t>Unit Manager</w:t>
      </w:r>
      <w:r w:rsidRPr="0013463A">
        <w:t xml:space="preserve"> Leclerc, who saw </w:t>
      </w:r>
      <w:r w:rsidR="00110E24" w:rsidRPr="0013463A">
        <w:t>CO</w:t>
      </w:r>
      <w:r w:rsidRPr="0013463A">
        <w:t xml:space="preserve"> Comeau-Bastien [</w:t>
      </w:r>
      <w:r w:rsidRPr="0013463A">
        <w:rPr>
          <w:smallCaps/>
        </w:rPr>
        <w:t>translation</w:t>
      </w:r>
      <w:r w:rsidRPr="0013463A">
        <w:t>] “as [his] saviour”: [</w:t>
      </w:r>
      <w:r w:rsidRPr="0013463A">
        <w:rPr>
          <w:smallCaps/>
        </w:rPr>
        <w:t>translation</w:t>
      </w:r>
      <w:r w:rsidRPr="0013463A">
        <w:t>] “I needed help”.</w:t>
      </w:r>
    </w:p>
    <w:p w14:paraId="50E92E96" w14:textId="209D32A3" w:rsidR="008D01FF" w:rsidRPr="0013463A" w:rsidRDefault="00A56C36" w:rsidP="006A28AF">
      <w:pPr>
        <w:pStyle w:val="Paragraphe"/>
        <w:tabs>
          <w:tab w:val="clear" w:pos="567"/>
        </w:tabs>
      </w:pPr>
      <w:r>
        <w:t xml:space="preserve">With the Unit Manager’s agreement, </w:t>
      </w:r>
      <w:r w:rsidR="00110E24" w:rsidRPr="0013463A">
        <w:t>CO</w:t>
      </w:r>
      <w:r w:rsidR="007117F4" w:rsidRPr="0013463A">
        <w:t xml:space="preserve"> Comeau-Bastien took charge of the intervention. He tried to establish contact with Mr.</w:t>
      </w:r>
      <w:r>
        <w:t> </w:t>
      </w:r>
      <w:r w:rsidR="007117F4" w:rsidRPr="0013463A">
        <w:t xml:space="preserve">Toussaint to convince him to cooperate with </w:t>
      </w:r>
      <w:r w:rsidR="00232ABC" w:rsidRPr="0013463A">
        <w:t>the</w:t>
      </w:r>
      <w:r w:rsidR="007117F4" w:rsidRPr="0013463A">
        <w:t xml:space="preserve"> strip search:</w:t>
      </w:r>
    </w:p>
    <w:p w14:paraId="387C34A4" w14:textId="1B89D8A1" w:rsidR="00232ABC" w:rsidRPr="0013463A" w:rsidRDefault="00232ABC" w:rsidP="008D01FF">
      <w:pPr>
        <w:pStyle w:val="Citationenretrait"/>
        <w:rPr>
          <w:lang w:val="en-CA"/>
        </w:rPr>
      </w:pPr>
      <w:r w:rsidRPr="0013463A">
        <w:rPr>
          <w:lang w:val="en-CA"/>
        </w:rPr>
        <w:t>[</w:t>
      </w:r>
      <w:r w:rsidRPr="0013463A">
        <w:rPr>
          <w:smallCaps/>
          <w:lang w:val="en-CA"/>
        </w:rPr>
        <w:t>translation</w:t>
      </w:r>
      <w:r w:rsidRPr="0013463A">
        <w:rPr>
          <w:lang w:val="en-CA"/>
        </w:rPr>
        <w:t>]</w:t>
      </w:r>
    </w:p>
    <w:p w14:paraId="1CAD0BE8" w14:textId="005C0B82" w:rsidR="008D01FF" w:rsidRPr="0013463A" w:rsidRDefault="007117F4" w:rsidP="008D01FF">
      <w:pPr>
        <w:pStyle w:val="Citationenretrait"/>
        <w:rPr>
          <w:lang w:val="en-CA"/>
        </w:rPr>
      </w:pPr>
      <w:r w:rsidRPr="0013463A">
        <w:rPr>
          <w:lang w:val="en-CA"/>
        </w:rPr>
        <w:t xml:space="preserve">... the </w:t>
      </w:r>
      <w:r w:rsidR="00690C2F">
        <w:rPr>
          <w:lang w:val="en-CA"/>
        </w:rPr>
        <w:t xml:space="preserve">most </w:t>
      </w:r>
      <w:r w:rsidRPr="0013463A">
        <w:rPr>
          <w:lang w:val="en-CA"/>
        </w:rPr>
        <w:t xml:space="preserve">vivid memory I have is the </w:t>
      </w:r>
      <w:r w:rsidR="00232ABC" w:rsidRPr="0013463A">
        <w:rPr>
          <w:lang w:val="en-CA"/>
        </w:rPr>
        <w:t xml:space="preserve">inmate’s </w:t>
      </w:r>
      <w:r w:rsidRPr="0013463A">
        <w:rPr>
          <w:lang w:val="en-CA"/>
        </w:rPr>
        <w:t xml:space="preserve">physical </w:t>
      </w:r>
      <w:r w:rsidR="00232ABC" w:rsidRPr="0013463A">
        <w:rPr>
          <w:lang w:val="en-CA"/>
        </w:rPr>
        <w:t>resistance</w:t>
      </w:r>
      <w:r w:rsidRPr="0013463A">
        <w:rPr>
          <w:lang w:val="en-CA"/>
        </w:rPr>
        <w:t xml:space="preserve"> during the intervention.</w:t>
      </w:r>
    </w:p>
    <w:p w14:paraId="35AE8DD6" w14:textId="364A267C" w:rsidR="008D01FF" w:rsidRPr="0013463A" w:rsidRDefault="007117F4" w:rsidP="008D01FF">
      <w:pPr>
        <w:pStyle w:val="Citationenretrait"/>
        <w:rPr>
          <w:lang w:val="en-CA"/>
        </w:rPr>
      </w:pPr>
      <w:r w:rsidRPr="0013463A">
        <w:rPr>
          <w:lang w:val="en-CA"/>
        </w:rPr>
        <w:t>But, in terms of his mental state, I have no specific memory that he was at that level.</w:t>
      </w:r>
      <w:r w:rsidRPr="0013463A">
        <w:rPr>
          <w:rStyle w:val="Appelnotedebasdep"/>
          <w:lang w:val="en-CA"/>
        </w:rPr>
        <w:footnoteReference w:id="37"/>
      </w:r>
    </w:p>
    <w:p w14:paraId="04841A52" w14:textId="5D0CFF8B" w:rsidR="008D01FF" w:rsidRPr="0013463A" w:rsidRDefault="007117F4" w:rsidP="006A28AF">
      <w:pPr>
        <w:pStyle w:val="Paragraphe"/>
        <w:tabs>
          <w:tab w:val="clear" w:pos="567"/>
        </w:tabs>
      </w:pPr>
      <w:r w:rsidRPr="0013463A">
        <w:t>He testified that he repeatedly asked Mr. Toussaint, who was lying on his side, to turn his face to the ground to be disrobed for his strip search, failing which his clothes would be cut off.</w:t>
      </w:r>
    </w:p>
    <w:p w14:paraId="5AF26B84" w14:textId="11DA5C90" w:rsidR="008D01FF" w:rsidRPr="0013463A" w:rsidRDefault="007117F4" w:rsidP="006A28AF">
      <w:pPr>
        <w:pStyle w:val="Paragraphe"/>
        <w:tabs>
          <w:tab w:val="clear" w:pos="567"/>
        </w:tabs>
      </w:pPr>
      <w:r w:rsidRPr="0013463A">
        <w:t>Unable to count on his cooperation, he asked for a “Hoffman”</w:t>
      </w:r>
      <w:r w:rsidRPr="0013463A">
        <w:rPr>
          <w:rStyle w:val="Appelnotedebasdep"/>
        </w:rPr>
        <w:footnoteReference w:id="38"/>
      </w:r>
      <w:r w:rsidRPr="0013463A">
        <w:t xml:space="preserve"> knife to cut the clothing.</w:t>
      </w:r>
    </w:p>
    <w:p w14:paraId="21139BD8" w14:textId="585BDDE0" w:rsidR="008D01FF" w:rsidRPr="0013463A" w:rsidRDefault="00110E24" w:rsidP="006A28AF">
      <w:pPr>
        <w:pStyle w:val="Paragraphe"/>
        <w:tabs>
          <w:tab w:val="clear" w:pos="567"/>
        </w:tabs>
      </w:pPr>
      <w:r w:rsidRPr="0013463A">
        <w:t>CO</w:t>
      </w:r>
      <w:r w:rsidR="007117F4" w:rsidRPr="0013463A">
        <w:t xml:space="preserve"> Gagnon went to the console to get the curved-blade knife, </w:t>
      </w:r>
      <w:r w:rsidR="00232ABC" w:rsidRPr="0013463A">
        <w:t xml:space="preserve">which is </w:t>
      </w:r>
      <w:r w:rsidR="007117F4" w:rsidRPr="0013463A">
        <w:t xml:space="preserve">used </w:t>
      </w:r>
      <w:r w:rsidR="00A87842" w:rsidRPr="0013463A">
        <w:t xml:space="preserve">sometimes </w:t>
      </w:r>
      <w:r w:rsidR="007117F4" w:rsidRPr="0013463A">
        <w:t xml:space="preserve">to cut the rope around a hanged person’s neck, sometimes to </w:t>
      </w:r>
      <w:r w:rsidR="00232ABC" w:rsidRPr="0013463A">
        <w:t>[</w:t>
      </w:r>
      <w:r w:rsidR="00232ABC" w:rsidRPr="0013463A">
        <w:rPr>
          <w:smallCaps/>
        </w:rPr>
        <w:t>translation</w:t>
      </w:r>
      <w:r w:rsidR="00232ABC" w:rsidRPr="0013463A">
        <w:t xml:space="preserve">] </w:t>
      </w:r>
      <w:r w:rsidR="007117F4" w:rsidRPr="0013463A">
        <w:t>“cut clothes”.</w:t>
      </w:r>
      <w:r w:rsidR="007117F4" w:rsidRPr="0013463A">
        <w:rPr>
          <w:rStyle w:val="Appelnotedebasdep"/>
        </w:rPr>
        <w:footnoteReference w:id="39"/>
      </w:r>
      <w:r w:rsidR="001834C5" w:rsidRPr="0013463A">
        <w:t xml:space="preserve">  </w:t>
      </w:r>
    </w:p>
    <w:p w14:paraId="084E6EBC" w14:textId="02D8E014" w:rsidR="008D01FF" w:rsidRPr="0013463A" w:rsidRDefault="007117F4" w:rsidP="006A28AF">
      <w:pPr>
        <w:pStyle w:val="Paragraphe"/>
        <w:tabs>
          <w:tab w:val="clear" w:pos="567"/>
        </w:tabs>
      </w:pPr>
      <w:r w:rsidRPr="0013463A">
        <w:t xml:space="preserve">The </w:t>
      </w:r>
      <w:r w:rsidR="00474FF6">
        <w:t>mention of</w:t>
      </w:r>
      <w:r w:rsidRPr="0013463A">
        <w:t xml:space="preserve"> a knife made a strong impression on Mr. Toussaint, who at the time was lying on the ground, handcuffed</w:t>
      </w:r>
      <w:r w:rsidR="00A87842" w:rsidRPr="0013463A">
        <w:t>,</w:t>
      </w:r>
      <w:r w:rsidRPr="0013463A">
        <w:t xml:space="preserve"> and </w:t>
      </w:r>
      <w:r w:rsidR="00232ABC" w:rsidRPr="0013463A">
        <w:t xml:space="preserve">utterly </w:t>
      </w:r>
      <w:r w:rsidRPr="0013463A">
        <w:t>frightened.</w:t>
      </w:r>
      <w:r w:rsidR="001834C5" w:rsidRPr="0013463A">
        <w:t xml:space="preserve"> </w:t>
      </w:r>
    </w:p>
    <w:p w14:paraId="43FADDCA" w14:textId="6D074562" w:rsidR="008D01FF" w:rsidRPr="0013463A" w:rsidRDefault="00232ABC" w:rsidP="006A28AF">
      <w:pPr>
        <w:pStyle w:val="Paragraphe"/>
        <w:tabs>
          <w:tab w:val="clear" w:pos="567"/>
        </w:tabs>
      </w:pPr>
      <w:r w:rsidRPr="0013463A">
        <w:t>[</w:t>
      </w:r>
      <w:r w:rsidRPr="0013463A">
        <w:rPr>
          <w:smallCaps/>
        </w:rPr>
        <w:t>translation</w:t>
      </w:r>
      <w:r w:rsidRPr="0013463A">
        <w:t xml:space="preserve">] </w:t>
      </w:r>
      <w:r w:rsidR="007117F4" w:rsidRPr="0013463A">
        <w:t xml:space="preserve">“The insults </w:t>
      </w:r>
      <w:r w:rsidRPr="0013463A">
        <w:t>were flying</w:t>
      </w:r>
      <w:r w:rsidR="007117F4" w:rsidRPr="0013463A">
        <w:t>”, he says.</w:t>
      </w:r>
      <w:r w:rsidR="001834C5" w:rsidRPr="0013463A">
        <w:t xml:space="preserve"> </w:t>
      </w:r>
      <w:r w:rsidR="007117F4" w:rsidRPr="0013463A">
        <w:t xml:space="preserve">Some of the </w:t>
      </w:r>
      <w:r w:rsidR="00110E24" w:rsidRPr="0013463A">
        <w:t>CO</w:t>
      </w:r>
      <w:r w:rsidR="007117F4" w:rsidRPr="0013463A">
        <w:t>s ridiculed his situation: [</w:t>
      </w:r>
      <w:r w:rsidR="007117F4" w:rsidRPr="0013463A">
        <w:rPr>
          <w:smallCaps/>
        </w:rPr>
        <w:t>translation</w:t>
      </w:r>
      <w:r w:rsidR="007117F4" w:rsidRPr="0013463A">
        <w:t>] “Look where you are now.”</w:t>
      </w:r>
      <w:r w:rsidR="001834C5" w:rsidRPr="0013463A">
        <w:t> </w:t>
      </w:r>
      <w:r w:rsidR="007117F4" w:rsidRPr="0013463A">
        <w:t>He claims he heard the</w:t>
      </w:r>
      <w:r w:rsidR="00EB4383" w:rsidRPr="0013463A">
        <w:t xml:space="preserve"> following</w:t>
      </w:r>
      <w:r w:rsidR="007117F4" w:rsidRPr="0013463A">
        <w:t xml:space="preserve"> insults: [</w:t>
      </w:r>
      <w:r w:rsidR="007117F4" w:rsidRPr="0013463A">
        <w:rPr>
          <w:smallCaps/>
        </w:rPr>
        <w:t>translation</w:t>
      </w:r>
      <w:r w:rsidR="007117F4" w:rsidRPr="0013463A">
        <w:t xml:space="preserve">] “Shut your mouth with your God”, </w:t>
      </w:r>
      <w:r w:rsidR="00EB4383" w:rsidRPr="0013463A">
        <w:t>[</w:t>
      </w:r>
      <w:r w:rsidR="00EB4383" w:rsidRPr="0013463A">
        <w:rPr>
          <w:smallCaps/>
        </w:rPr>
        <w:t>translation</w:t>
      </w:r>
      <w:r w:rsidR="00EB4383" w:rsidRPr="0013463A">
        <w:t xml:space="preserve">] </w:t>
      </w:r>
      <w:r w:rsidR="007117F4" w:rsidRPr="0013463A">
        <w:t>“Fucking nigger”...</w:t>
      </w:r>
      <w:r w:rsidR="001834C5" w:rsidRPr="0013463A">
        <w:t xml:space="preserve"> </w:t>
      </w:r>
    </w:p>
    <w:p w14:paraId="0A1B70C4" w14:textId="1B0BF124" w:rsidR="008D01FF" w:rsidRPr="0013463A" w:rsidRDefault="00110E24" w:rsidP="006A28AF">
      <w:pPr>
        <w:pStyle w:val="Paragraphe"/>
        <w:tabs>
          <w:tab w:val="clear" w:pos="567"/>
        </w:tabs>
      </w:pPr>
      <w:r w:rsidRPr="0013463A">
        <w:t>CO</w:t>
      </w:r>
      <w:r w:rsidR="007117F4" w:rsidRPr="0013463A">
        <w:t xml:space="preserve"> Comeau-Bastien attacked the clothing with the knife.</w:t>
      </w:r>
      <w:r w:rsidR="001834C5" w:rsidRPr="0013463A">
        <w:t xml:space="preserve"> </w:t>
      </w:r>
    </w:p>
    <w:p w14:paraId="59C1D5A2" w14:textId="0AE7C197" w:rsidR="008D01FF" w:rsidRPr="0013463A" w:rsidRDefault="007117F4" w:rsidP="006A28AF">
      <w:pPr>
        <w:pStyle w:val="Paragraphe"/>
        <w:tabs>
          <w:tab w:val="clear" w:pos="567"/>
        </w:tabs>
      </w:pPr>
      <w:r w:rsidRPr="0013463A">
        <w:t xml:space="preserve">Mr. Toussaint felt the knife against the back of his neck. He says he heard some of the </w:t>
      </w:r>
      <w:r w:rsidR="00110E24" w:rsidRPr="0013463A">
        <w:t>CO</w:t>
      </w:r>
      <w:r w:rsidRPr="0013463A">
        <w:t>s laughing.</w:t>
      </w:r>
      <w:r w:rsidR="001834C5" w:rsidRPr="0013463A">
        <w:t xml:space="preserve"> </w:t>
      </w:r>
      <w:r w:rsidR="00EB4383" w:rsidRPr="0013463A">
        <w:t>[</w:t>
      </w:r>
      <w:r w:rsidR="00EB4383" w:rsidRPr="0013463A">
        <w:rPr>
          <w:smallCaps/>
        </w:rPr>
        <w:t>translation</w:t>
      </w:r>
      <w:r w:rsidR="00EB4383" w:rsidRPr="0013463A">
        <w:t xml:space="preserve">] </w:t>
      </w:r>
      <w:r w:rsidRPr="0013463A">
        <w:t>“Why are you doing this to me?</w:t>
      </w:r>
      <w:r w:rsidR="003503C3">
        <w:t>”</w:t>
      </w:r>
      <w:r w:rsidR="001834C5" w:rsidRPr="0013463A">
        <w:t> </w:t>
      </w:r>
      <w:r w:rsidRPr="0013463A">
        <w:t>he asked.</w:t>
      </w:r>
    </w:p>
    <w:p w14:paraId="7C2D9E29" w14:textId="5C9E9577" w:rsidR="008D01FF" w:rsidRPr="0013463A" w:rsidRDefault="007117F4" w:rsidP="006A28AF">
      <w:pPr>
        <w:pStyle w:val="Paragraphe"/>
        <w:tabs>
          <w:tab w:val="clear" w:pos="567"/>
        </w:tabs>
      </w:pPr>
      <w:r w:rsidRPr="0013463A">
        <w:t xml:space="preserve">The first knife did not work properly, so a second, sharper </w:t>
      </w:r>
      <w:r w:rsidR="00EB4383" w:rsidRPr="0013463A">
        <w:t>one</w:t>
      </w:r>
      <w:r w:rsidRPr="0013463A">
        <w:t xml:space="preserve"> was needed.</w:t>
      </w:r>
      <w:r w:rsidR="001834C5" w:rsidRPr="0013463A">
        <w:t xml:space="preserve"> </w:t>
      </w:r>
      <w:r w:rsidRPr="0013463A">
        <w:t>[</w:t>
      </w:r>
      <w:r w:rsidRPr="0013463A">
        <w:rPr>
          <w:smallCaps/>
        </w:rPr>
        <w:t>translation</w:t>
      </w:r>
      <w:r w:rsidRPr="0013463A">
        <w:t xml:space="preserve">] “The knife fell into my hands”, explained </w:t>
      </w:r>
      <w:r w:rsidR="00110E24" w:rsidRPr="0013463A">
        <w:t>CO</w:t>
      </w:r>
      <w:r w:rsidRPr="0013463A">
        <w:t xml:space="preserve"> Dubé-Blouin, who took over: </w:t>
      </w:r>
      <w:r w:rsidRPr="0013463A">
        <w:lastRenderedPageBreak/>
        <w:t>[</w:t>
      </w:r>
      <w:r w:rsidRPr="0013463A">
        <w:rPr>
          <w:smallCaps/>
        </w:rPr>
        <w:t>translation</w:t>
      </w:r>
      <w:r w:rsidRPr="0013463A">
        <w:t>] “I was new,” he says. [</w:t>
      </w:r>
      <w:r w:rsidRPr="0013463A">
        <w:rPr>
          <w:smallCaps/>
        </w:rPr>
        <w:t>translation</w:t>
      </w:r>
      <w:r w:rsidRPr="0013463A">
        <w:t>] “I was just starting”. [</w:t>
      </w:r>
      <w:r w:rsidRPr="0013463A">
        <w:rPr>
          <w:smallCaps/>
        </w:rPr>
        <w:t>translation</w:t>
      </w:r>
      <w:r w:rsidRPr="0013463A">
        <w:t>] “It really marked me”.</w:t>
      </w:r>
    </w:p>
    <w:p w14:paraId="7D1983D3" w14:textId="5C69A8A0" w:rsidR="008D01FF" w:rsidRPr="0013463A" w:rsidRDefault="007117F4" w:rsidP="006A28AF">
      <w:pPr>
        <w:pStyle w:val="Paragraphe"/>
        <w:tabs>
          <w:tab w:val="clear" w:pos="567"/>
        </w:tabs>
      </w:pPr>
      <w:r w:rsidRPr="0013463A">
        <w:t xml:space="preserve">Mr. Toussaint struggled and resisted. As a result, several </w:t>
      </w:r>
      <w:r w:rsidR="00110E24" w:rsidRPr="0013463A">
        <w:t>CO</w:t>
      </w:r>
      <w:r w:rsidRPr="0013463A">
        <w:t>s intervened to keep him on the ground.</w:t>
      </w:r>
      <w:r w:rsidR="001834C5" w:rsidRPr="0013463A">
        <w:t xml:space="preserve"> </w:t>
      </w:r>
      <w:r w:rsidRPr="0013463A">
        <w:t>[</w:t>
      </w:r>
      <w:r w:rsidRPr="0013463A">
        <w:rPr>
          <w:smallCaps/>
        </w:rPr>
        <w:t>translation</w:t>
      </w:r>
      <w:r w:rsidRPr="0013463A">
        <w:t>] “I</w:t>
      </w:r>
      <w:r w:rsidR="00285336" w:rsidRPr="0013463A">
        <w:t xml:space="preserve"> reacted defensively</w:t>
      </w:r>
      <w:r w:rsidRPr="0013463A">
        <w:t>”, he admits. [</w:t>
      </w:r>
      <w:r w:rsidRPr="0013463A">
        <w:rPr>
          <w:smallCaps/>
        </w:rPr>
        <w:t>translation</w:t>
      </w:r>
      <w:r w:rsidRPr="0013463A">
        <w:t>] “I got tense”.</w:t>
      </w:r>
      <w:r w:rsidR="001834C5" w:rsidRPr="0013463A">
        <w:t xml:space="preserve"> </w:t>
      </w:r>
      <w:r w:rsidRPr="0013463A">
        <w:t xml:space="preserve">The </w:t>
      </w:r>
      <w:r w:rsidR="00110E24" w:rsidRPr="0013463A">
        <w:t>CO</w:t>
      </w:r>
      <w:r w:rsidRPr="0013463A">
        <w:t>s performed ankle locks.</w:t>
      </w:r>
      <w:r w:rsidR="001834C5" w:rsidRPr="0013463A">
        <w:t xml:space="preserve"> </w:t>
      </w:r>
      <w:r w:rsidRPr="0013463A">
        <w:t xml:space="preserve">Another </w:t>
      </w:r>
      <w:r w:rsidR="00110E24" w:rsidRPr="0013463A">
        <w:t>CO</w:t>
      </w:r>
      <w:r w:rsidRPr="0013463A">
        <w:t xml:space="preserve"> </w:t>
      </w:r>
      <w:r w:rsidR="00285336" w:rsidRPr="0013463A">
        <w:t xml:space="preserve">held </w:t>
      </w:r>
      <w:r w:rsidR="00AF538D">
        <w:t xml:space="preserve">his </w:t>
      </w:r>
      <w:r w:rsidRPr="0013463A">
        <w:t>left</w:t>
      </w:r>
      <w:r w:rsidR="00285336" w:rsidRPr="0013463A">
        <w:t xml:space="preserve"> </w:t>
      </w:r>
      <w:r w:rsidRPr="0013463A">
        <w:t xml:space="preserve">elbow and </w:t>
      </w:r>
      <w:r w:rsidR="00285336" w:rsidRPr="0013463A">
        <w:t xml:space="preserve">pressed </w:t>
      </w:r>
      <w:r w:rsidRPr="0013463A">
        <w:t>on the ulnar nerve, causing him pain.</w:t>
      </w:r>
      <w:r w:rsidR="001834C5" w:rsidRPr="0013463A">
        <w:t xml:space="preserve"> </w:t>
      </w:r>
      <w:r w:rsidRPr="0013463A">
        <w:t>A third had him in an arm</w:t>
      </w:r>
      <w:r w:rsidR="00AF538D">
        <w:t xml:space="preserve"> </w:t>
      </w:r>
      <w:r w:rsidRPr="0013463A">
        <w:t xml:space="preserve">lock, while </w:t>
      </w:r>
      <w:r w:rsidR="00110E24" w:rsidRPr="0013463A">
        <w:t>CO</w:t>
      </w:r>
      <w:r w:rsidRPr="0013463A">
        <w:t xml:space="preserve"> Comeau-Bastien struck him three times on the tibial nerve to reduce his resistance.</w:t>
      </w:r>
    </w:p>
    <w:p w14:paraId="56E33C73" w14:textId="39544F09" w:rsidR="008D01FF" w:rsidRPr="0013463A" w:rsidRDefault="007117F4" w:rsidP="006A28AF">
      <w:pPr>
        <w:pStyle w:val="Paragraphe"/>
        <w:tabs>
          <w:tab w:val="clear" w:pos="567"/>
        </w:tabs>
      </w:pPr>
      <w:r w:rsidRPr="0013463A">
        <w:t>[</w:t>
      </w:r>
      <w:r w:rsidRPr="0013463A">
        <w:rPr>
          <w:smallCaps/>
        </w:rPr>
        <w:t>translation</w:t>
      </w:r>
      <w:r w:rsidRPr="0013463A">
        <w:t>] “They cut all my clothes” says Mr. Toussaint.</w:t>
      </w:r>
    </w:p>
    <w:p w14:paraId="6692D8EC" w14:textId="7727C55D" w:rsidR="008D01FF" w:rsidRPr="0013463A" w:rsidRDefault="007117F4" w:rsidP="006A28AF">
      <w:pPr>
        <w:pStyle w:val="Paragraphe"/>
        <w:tabs>
          <w:tab w:val="clear" w:pos="567"/>
        </w:tabs>
      </w:pPr>
      <w:r w:rsidRPr="0013463A">
        <w:t xml:space="preserve">Once completely stripped, he was kept face down on the ground, near the toilet bowl, with his hands </w:t>
      </w:r>
      <w:r w:rsidR="00615633">
        <w:t>handcuff</w:t>
      </w:r>
      <w:r w:rsidR="00C079BD">
        <w:t>ed</w:t>
      </w:r>
      <w:r w:rsidR="00615633">
        <w:t xml:space="preserve"> </w:t>
      </w:r>
      <w:r w:rsidRPr="0013463A">
        <w:t>behind him, while several people</w:t>
      </w:r>
      <w:r w:rsidR="00EB4383" w:rsidRPr="0013463A">
        <w:t xml:space="preserve"> came and went</w:t>
      </w:r>
      <w:r w:rsidRPr="0013463A">
        <w:t xml:space="preserve"> in cell</w:t>
      </w:r>
      <w:r w:rsidR="00EB4383" w:rsidRPr="0013463A">
        <w:t> </w:t>
      </w:r>
      <w:r w:rsidRPr="0013463A">
        <w:t>1.</w:t>
      </w:r>
    </w:p>
    <w:p w14:paraId="2A98CB13" w14:textId="0E3BECF4" w:rsidR="008D01FF" w:rsidRPr="0013463A" w:rsidRDefault="007117F4" w:rsidP="006A28AF">
      <w:pPr>
        <w:pStyle w:val="Paragraphe"/>
        <w:tabs>
          <w:tab w:val="clear" w:pos="567"/>
        </w:tabs>
      </w:pPr>
      <w:r w:rsidRPr="0013463A">
        <w:t xml:space="preserve">Ten </w:t>
      </w:r>
      <w:r w:rsidR="00110E24" w:rsidRPr="0013463A">
        <w:t>CO</w:t>
      </w:r>
      <w:r w:rsidRPr="0013463A">
        <w:t xml:space="preserve">s took part </w:t>
      </w:r>
      <w:r w:rsidR="00CE54AF" w:rsidRPr="0013463A">
        <w:t xml:space="preserve">in </w:t>
      </w:r>
      <w:r w:rsidRPr="0013463A">
        <w:t xml:space="preserve">or </w:t>
      </w:r>
      <w:r w:rsidR="00CE54AF" w:rsidRPr="0013463A">
        <w:t>were present for</w:t>
      </w:r>
      <w:r w:rsidRPr="0013463A">
        <w:t xml:space="preserve"> the intervention.</w:t>
      </w:r>
      <w:r w:rsidR="001834C5" w:rsidRPr="0013463A">
        <w:t xml:space="preserve"> </w:t>
      </w:r>
      <w:r w:rsidRPr="0013463A">
        <w:t xml:space="preserve">In addition to </w:t>
      </w:r>
      <w:r w:rsidR="002B064C" w:rsidRPr="0013463A">
        <w:t>Unit Manager</w:t>
      </w:r>
      <w:r w:rsidRPr="0013463A">
        <w:t xml:space="preserve"> Leclerc, </w:t>
      </w:r>
      <w:r w:rsidR="00110E24" w:rsidRPr="0013463A">
        <w:t>CO</w:t>
      </w:r>
      <w:r w:rsidRPr="0013463A">
        <w:t xml:space="preserve">s Michael Dubé-Blouin, Jean-René Brousseau, Frédérick Bouchard, Mykel Brousseau, Jean-Bruno Gagnon, and Hugues Comeau-Bastien were </w:t>
      </w:r>
      <w:r w:rsidR="00AE4B7D">
        <w:t>present</w:t>
      </w:r>
      <w:r w:rsidRPr="0013463A">
        <w:t>.</w:t>
      </w:r>
      <w:r w:rsidR="001834C5" w:rsidRPr="0013463A">
        <w:t xml:space="preserve"> </w:t>
      </w:r>
      <w:r w:rsidR="00110E24" w:rsidRPr="0013463A">
        <w:t>CO</w:t>
      </w:r>
      <w:r w:rsidRPr="0013463A">
        <w:t xml:space="preserve"> Sébastien Robitaille, who was starting his shift, and two female </w:t>
      </w:r>
      <w:r w:rsidR="00110E24" w:rsidRPr="0013463A">
        <w:t>CO</w:t>
      </w:r>
      <w:r w:rsidRPr="0013463A">
        <w:t xml:space="preserve">s were also </w:t>
      </w:r>
      <w:r w:rsidR="007C69F8">
        <w:t>present in front of</w:t>
      </w:r>
      <w:r w:rsidR="00285336" w:rsidRPr="0013463A">
        <w:t xml:space="preserve"> </w:t>
      </w:r>
      <w:r w:rsidRPr="0013463A">
        <w:t xml:space="preserve">the open </w:t>
      </w:r>
      <w:r w:rsidR="00272F05">
        <w:t xml:space="preserve">cell </w:t>
      </w:r>
      <w:r w:rsidRPr="0013463A">
        <w:t xml:space="preserve">door </w:t>
      </w:r>
      <w:r w:rsidR="00285336" w:rsidRPr="0013463A">
        <w:t>at some point</w:t>
      </w:r>
      <w:r w:rsidRPr="0013463A">
        <w:t xml:space="preserve">. One of the female </w:t>
      </w:r>
      <w:r w:rsidR="00110E24" w:rsidRPr="0013463A">
        <w:t>CO</w:t>
      </w:r>
      <w:r w:rsidRPr="0013463A">
        <w:t>s stayed in the doorway for about 5 minutes.</w:t>
      </w:r>
    </w:p>
    <w:p w14:paraId="42B35C9D" w14:textId="10391BF3" w:rsidR="008D01FF" w:rsidRPr="0013463A" w:rsidRDefault="00110E24" w:rsidP="006A28AF">
      <w:pPr>
        <w:pStyle w:val="Paragraphe"/>
        <w:tabs>
          <w:tab w:val="clear" w:pos="567"/>
        </w:tabs>
      </w:pPr>
      <w:r w:rsidRPr="0013463A">
        <w:t>CO</w:t>
      </w:r>
      <w:r w:rsidR="007117F4" w:rsidRPr="0013463A">
        <w:t xml:space="preserve"> Comeau-Bastien decided to place Mr. Toussaint in a cell containing less furniture so that </w:t>
      </w:r>
      <w:r w:rsidRPr="0013463A">
        <w:t>CO</w:t>
      </w:r>
      <w:r w:rsidR="007117F4" w:rsidRPr="0013463A">
        <w:t xml:space="preserve">s with helmets and shields could be deployed to perform the strip search and </w:t>
      </w:r>
      <w:r w:rsidR="00A03601">
        <w:t>safely conclude</w:t>
      </w:r>
      <w:r w:rsidR="007117F4" w:rsidRPr="0013463A">
        <w:t xml:space="preserve"> the intervention</w:t>
      </w:r>
      <w:r w:rsidR="005356ED" w:rsidRPr="0013463A">
        <w:t>.</w:t>
      </w:r>
    </w:p>
    <w:p w14:paraId="75F4BC2A" w14:textId="64642B27" w:rsidR="008D01FF" w:rsidRPr="0013463A" w:rsidRDefault="00110E24" w:rsidP="006A28AF">
      <w:pPr>
        <w:pStyle w:val="Paragraphe"/>
        <w:tabs>
          <w:tab w:val="clear" w:pos="567"/>
        </w:tabs>
      </w:pPr>
      <w:r w:rsidRPr="0013463A">
        <w:t>CO</w:t>
      </w:r>
      <w:r w:rsidR="00B60A45" w:rsidRPr="0013463A">
        <w:t xml:space="preserve"> Mykel Brousseau </w:t>
      </w:r>
      <w:r w:rsidR="005356ED" w:rsidRPr="0013463A">
        <w:t>checked</w:t>
      </w:r>
      <w:r w:rsidR="00B60A45" w:rsidRPr="0013463A">
        <w:t xml:space="preserve"> whether another cell </w:t>
      </w:r>
      <w:r w:rsidR="00597013">
        <w:t>compatible</w:t>
      </w:r>
      <w:r w:rsidR="000B0C93">
        <w:t xml:space="preserve"> with</w:t>
      </w:r>
      <w:r w:rsidR="00B60A45" w:rsidRPr="0013463A">
        <w:t xml:space="preserve"> these requirements was available.</w:t>
      </w:r>
    </w:p>
    <w:p w14:paraId="48E37BE3" w14:textId="461D7D40" w:rsidR="006B3499" w:rsidRPr="0013463A" w:rsidRDefault="00B60A45" w:rsidP="006B3499">
      <w:pPr>
        <w:pStyle w:val="Paragraphe"/>
        <w:numPr>
          <w:ilvl w:val="0"/>
          <w:numId w:val="0"/>
        </w:numPr>
        <w:rPr>
          <w:b/>
          <w:bCs/>
          <w:i/>
          <w:iCs/>
          <w:u w:val="single"/>
        </w:rPr>
      </w:pPr>
      <w:r w:rsidRPr="0013463A">
        <w:rPr>
          <w:b/>
          <w:bCs/>
          <w:i/>
          <w:iCs/>
          <w:u w:val="single"/>
        </w:rPr>
        <w:t>Cell 12</w:t>
      </w:r>
    </w:p>
    <w:p w14:paraId="5A148B34" w14:textId="53FADB3A" w:rsidR="006B3499" w:rsidRPr="0013463A" w:rsidRDefault="00B60A45" w:rsidP="006A28AF">
      <w:pPr>
        <w:pStyle w:val="Paragraphe"/>
        <w:tabs>
          <w:tab w:val="clear" w:pos="567"/>
        </w:tabs>
      </w:pPr>
      <w:r w:rsidRPr="0013463A">
        <w:t xml:space="preserve">After </w:t>
      </w:r>
      <w:r w:rsidR="002B064C" w:rsidRPr="0013463A">
        <w:t>Unit Manager</w:t>
      </w:r>
      <w:r w:rsidRPr="0013463A">
        <w:t xml:space="preserve"> Leclerc made sure </w:t>
      </w:r>
      <w:r w:rsidR="005356ED" w:rsidRPr="0013463A">
        <w:t xml:space="preserve">that </w:t>
      </w:r>
      <w:r w:rsidRPr="0013463A">
        <w:t xml:space="preserve">another cell was free and </w:t>
      </w:r>
      <w:r w:rsidR="00DC6194">
        <w:t xml:space="preserve">that </w:t>
      </w:r>
      <w:r w:rsidR="00110E24" w:rsidRPr="0013463A">
        <w:t>CO</w:t>
      </w:r>
      <w:r w:rsidRPr="0013463A">
        <w:t xml:space="preserve">s with helmets and shields were ready to mobilize, </w:t>
      </w:r>
      <w:r w:rsidR="00E37BB8" w:rsidRPr="0013463A">
        <w:t xml:space="preserve">some of the </w:t>
      </w:r>
      <w:r w:rsidR="00110E24" w:rsidRPr="0013463A">
        <w:t>CO</w:t>
      </w:r>
      <w:r w:rsidRPr="0013463A">
        <w:t>s lifted Mr. Toussaint to a standing position and started moving him towards cell 12.</w:t>
      </w:r>
      <w:r w:rsidR="001834C5" w:rsidRPr="0013463A">
        <w:t xml:space="preserve"> </w:t>
      </w:r>
    </w:p>
    <w:p w14:paraId="612D3EA1" w14:textId="41D1FEC5" w:rsidR="006B3499" w:rsidRPr="0013463A" w:rsidRDefault="00B60A45" w:rsidP="006A28AF">
      <w:pPr>
        <w:pStyle w:val="Paragraphe"/>
        <w:tabs>
          <w:tab w:val="clear" w:pos="567"/>
        </w:tabs>
      </w:pPr>
      <w:r w:rsidRPr="0013463A">
        <w:t>A reinforced escort led him</w:t>
      </w:r>
      <w:r w:rsidR="00E37BB8" w:rsidRPr="0013463A">
        <w:t xml:space="preserve"> towards the cell</w:t>
      </w:r>
      <w:r w:rsidRPr="0013463A">
        <w:t xml:space="preserve">, </w:t>
      </w:r>
      <w:r w:rsidR="00E37BB8" w:rsidRPr="0013463A">
        <w:t>handcuffed</w:t>
      </w:r>
      <w:r w:rsidRPr="0013463A">
        <w:t xml:space="preserve"> and completely naked.</w:t>
      </w:r>
      <w:r w:rsidR="001834C5" w:rsidRPr="0013463A">
        <w:t xml:space="preserve"> </w:t>
      </w:r>
    </w:p>
    <w:p w14:paraId="1FC8802E" w14:textId="0C97E6CC" w:rsidR="006B3499" w:rsidRPr="0013463A" w:rsidRDefault="00B60A45" w:rsidP="006A28AF">
      <w:pPr>
        <w:pStyle w:val="Paragraphe"/>
        <w:tabs>
          <w:tab w:val="clear" w:pos="567"/>
        </w:tabs>
      </w:pPr>
      <w:r w:rsidRPr="0013463A">
        <w:t>According to Mr. Leclerc, at that point, Mr. Toussaint [</w:t>
      </w:r>
      <w:r w:rsidRPr="0013463A">
        <w:rPr>
          <w:smallCaps/>
        </w:rPr>
        <w:t>translation</w:t>
      </w:r>
      <w:r w:rsidRPr="0013463A">
        <w:t>] “was no longer in touch with reality”</w:t>
      </w:r>
      <w:r w:rsidRPr="0013463A">
        <w:rPr>
          <w:rStyle w:val="Appelnotedebasdep"/>
        </w:rPr>
        <w:footnoteReference w:id="40"/>
      </w:r>
      <w:r w:rsidRPr="0013463A">
        <w:t xml:space="preserve"> and was totally </w:t>
      </w:r>
      <w:r w:rsidR="005075D3">
        <w:t>shaken</w:t>
      </w:r>
      <w:r w:rsidRPr="0013463A">
        <w:t>.</w:t>
      </w:r>
      <w:r w:rsidRPr="0013463A">
        <w:rPr>
          <w:rStyle w:val="Appelnotedebasdep"/>
        </w:rPr>
        <w:footnoteReference w:id="41"/>
      </w:r>
    </w:p>
    <w:p w14:paraId="69EA2872" w14:textId="7FF0EE11" w:rsidR="006B3499" w:rsidRPr="0013463A" w:rsidRDefault="00B60A45" w:rsidP="006A28AF">
      <w:pPr>
        <w:pStyle w:val="Paragraphe"/>
        <w:tabs>
          <w:tab w:val="clear" w:pos="567"/>
        </w:tabs>
      </w:pPr>
      <w:r w:rsidRPr="0013463A">
        <w:lastRenderedPageBreak/>
        <w:t>Once they were in cell 12, the video recorded by the static camera</w:t>
      </w:r>
      <w:r w:rsidRPr="0013463A">
        <w:rPr>
          <w:rStyle w:val="Appelnotedebasdep"/>
        </w:rPr>
        <w:footnoteReference w:id="42"/>
      </w:r>
      <w:r w:rsidRPr="0013463A">
        <w:t xml:space="preserve"> shows that Mr. Toussaint was led to the back of the room and </w:t>
      </w:r>
      <w:r w:rsidR="000B57D5" w:rsidRPr="0013463A">
        <w:t>positioned</w:t>
      </w:r>
      <w:r w:rsidRPr="0013463A">
        <w:t xml:space="preserve"> with his face to the wall.</w:t>
      </w:r>
    </w:p>
    <w:p w14:paraId="571E7F0B" w14:textId="660A4AD3" w:rsidR="006B3499" w:rsidRPr="0013463A" w:rsidRDefault="00B60A45" w:rsidP="006A28AF">
      <w:pPr>
        <w:pStyle w:val="Paragraphe"/>
        <w:tabs>
          <w:tab w:val="clear" w:pos="567"/>
        </w:tabs>
      </w:pPr>
      <w:r w:rsidRPr="0013463A">
        <w:t xml:space="preserve">Up to nine </w:t>
      </w:r>
      <w:r w:rsidR="00110E24" w:rsidRPr="0013463A">
        <w:t>CO</w:t>
      </w:r>
      <w:r w:rsidRPr="0013463A">
        <w:t xml:space="preserve">s can be counted in </w:t>
      </w:r>
      <w:r w:rsidR="005356ED" w:rsidRPr="0013463A">
        <w:t>the</w:t>
      </w:r>
      <w:r w:rsidRPr="0013463A">
        <w:t xml:space="preserve"> cramped cell.</w:t>
      </w:r>
      <w:r w:rsidR="001834C5" w:rsidRPr="0013463A">
        <w:t xml:space="preserve"> </w:t>
      </w:r>
      <w:r w:rsidRPr="0013463A">
        <w:t>[</w:t>
      </w:r>
      <w:r w:rsidRPr="0013463A">
        <w:rPr>
          <w:smallCaps/>
        </w:rPr>
        <w:t>translation</w:t>
      </w:r>
      <w:r w:rsidRPr="0013463A">
        <w:t>] “There were a lot of people”</w:t>
      </w:r>
      <w:r w:rsidR="00DC6194">
        <w:t>,</w:t>
      </w:r>
      <w:r w:rsidRPr="0013463A">
        <w:t xml:space="preserve"> </w:t>
      </w:r>
      <w:r w:rsidR="0039523F">
        <w:t xml:space="preserve">admitted </w:t>
      </w:r>
      <w:r w:rsidR="002B064C" w:rsidRPr="0013463A">
        <w:t>Unit Manager</w:t>
      </w:r>
      <w:r w:rsidRPr="0013463A">
        <w:t xml:space="preserve"> Leclerc under cross-examination. [</w:t>
      </w:r>
      <w:r w:rsidRPr="0013463A">
        <w:rPr>
          <w:smallCaps/>
        </w:rPr>
        <w:t>translation</w:t>
      </w:r>
      <w:r w:rsidRPr="0013463A">
        <w:t xml:space="preserve">] “I saw </w:t>
      </w:r>
      <w:r w:rsidR="000B57D5" w:rsidRPr="0013463A">
        <w:t>that</w:t>
      </w:r>
      <w:r w:rsidRPr="0013463A">
        <w:t xml:space="preserve"> there were too many people”. [</w:t>
      </w:r>
      <w:r w:rsidRPr="0013463A">
        <w:rPr>
          <w:smallCaps/>
        </w:rPr>
        <w:t>translation</w:t>
      </w:r>
      <w:r w:rsidRPr="0013463A">
        <w:t xml:space="preserve">] “Some had left their stations to come </w:t>
      </w:r>
      <w:r w:rsidR="00FE681E">
        <w:t xml:space="preserve">and </w:t>
      </w:r>
      <w:r w:rsidRPr="0013463A">
        <w:t xml:space="preserve">see” and </w:t>
      </w:r>
      <w:r w:rsidR="000B57D5" w:rsidRPr="0013463A">
        <w:t>[</w:t>
      </w:r>
      <w:r w:rsidR="000B57D5" w:rsidRPr="0013463A">
        <w:rPr>
          <w:smallCaps/>
        </w:rPr>
        <w:t>translation</w:t>
      </w:r>
      <w:r w:rsidR="000B57D5" w:rsidRPr="0013463A">
        <w:t xml:space="preserve">] </w:t>
      </w:r>
      <w:r w:rsidRPr="0013463A">
        <w:t xml:space="preserve">“some were not under my jurisdiction, </w:t>
      </w:r>
      <w:r w:rsidR="000B57D5" w:rsidRPr="0013463A">
        <w:t>so to speak</w:t>
      </w:r>
      <w:r w:rsidRPr="0013463A">
        <w:t>”.</w:t>
      </w:r>
      <w:r w:rsidRPr="0013463A">
        <w:rPr>
          <w:rStyle w:val="Appelnotedebasdep"/>
        </w:rPr>
        <w:footnoteReference w:id="43"/>
      </w:r>
    </w:p>
    <w:p w14:paraId="47FCBCD6" w14:textId="20DB53FB" w:rsidR="006B3499" w:rsidRPr="0013463A" w:rsidRDefault="000B57D5" w:rsidP="006A28AF">
      <w:pPr>
        <w:pStyle w:val="Paragraphe"/>
        <w:tabs>
          <w:tab w:val="clear" w:pos="567"/>
        </w:tabs>
      </w:pPr>
      <w:r w:rsidRPr="0013463A">
        <w:t>[</w:t>
      </w:r>
      <w:r w:rsidRPr="0013463A">
        <w:rPr>
          <w:smallCaps/>
        </w:rPr>
        <w:t>translation</w:t>
      </w:r>
      <w:r w:rsidRPr="0013463A">
        <w:t xml:space="preserve">] </w:t>
      </w:r>
      <w:r w:rsidR="00B60A45" w:rsidRPr="0013463A">
        <w:t>“People were laughing”</w:t>
      </w:r>
      <w:r w:rsidR="003546ED" w:rsidRPr="0013463A">
        <w:t>,</w:t>
      </w:r>
      <w:r w:rsidR="00B60A45" w:rsidRPr="0013463A">
        <w:t xml:space="preserve"> Mr. Toussaint laments. He describes a</w:t>
      </w:r>
      <w:r w:rsidR="00D51BB3">
        <w:t>n</w:t>
      </w:r>
      <w:r w:rsidR="00B60A45" w:rsidRPr="0013463A">
        <w:t xml:space="preserve"> </w:t>
      </w:r>
      <w:r w:rsidRPr="0013463A">
        <w:t>[</w:t>
      </w:r>
      <w:r w:rsidRPr="0013463A">
        <w:rPr>
          <w:smallCaps/>
        </w:rPr>
        <w:t>translation</w:t>
      </w:r>
      <w:r w:rsidRPr="0013463A">
        <w:t xml:space="preserve">] </w:t>
      </w:r>
      <w:r w:rsidR="00B60A45" w:rsidRPr="0013463A">
        <w:t>“</w:t>
      </w:r>
      <w:r w:rsidR="00D51BB3">
        <w:t xml:space="preserve">uproar </w:t>
      </w:r>
      <w:r w:rsidR="00B60A45" w:rsidRPr="0013463A">
        <w:t>in the cell”.</w:t>
      </w:r>
      <w:r w:rsidR="001834C5" w:rsidRPr="0013463A">
        <w:t xml:space="preserve"> </w:t>
      </w:r>
    </w:p>
    <w:p w14:paraId="45E5308A" w14:textId="2AB7F9A1" w:rsidR="006B3499" w:rsidRPr="0013463A" w:rsidRDefault="00110E24" w:rsidP="006A28AF">
      <w:pPr>
        <w:pStyle w:val="Paragraphe"/>
        <w:tabs>
          <w:tab w:val="clear" w:pos="567"/>
        </w:tabs>
      </w:pPr>
      <w:r w:rsidRPr="0013463A">
        <w:t>CO</w:t>
      </w:r>
      <w:r w:rsidR="00B60A45" w:rsidRPr="0013463A">
        <w:t xml:space="preserve"> Comeau-Bastien told him to kneel.</w:t>
      </w:r>
      <w:r w:rsidR="001834C5" w:rsidRPr="0013463A">
        <w:t xml:space="preserve"> </w:t>
      </w:r>
      <w:r w:rsidR="00B60A45" w:rsidRPr="0013463A">
        <w:t xml:space="preserve">He </w:t>
      </w:r>
      <w:r w:rsidR="000B57D5" w:rsidRPr="0013463A">
        <w:t>explains the</w:t>
      </w:r>
      <w:r w:rsidR="00B60A45" w:rsidRPr="0013463A">
        <w:t xml:space="preserve"> order by </w:t>
      </w:r>
      <w:r w:rsidR="000B57D5" w:rsidRPr="0013463A">
        <w:t>saying</w:t>
      </w:r>
      <w:r w:rsidR="00B60A45" w:rsidRPr="0013463A">
        <w:t xml:space="preserve"> that he was not dealing with a </w:t>
      </w:r>
      <w:r w:rsidR="000B57D5" w:rsidRPr="0013463A">
        <w:t>[</w:t>
      </w:r>
      <w:r w:rsidR="000B57D5" w:rsidRPr="0013463A">
        <w:rPr>
          <w:smallCaps/>
        </w:rPr>
        <w:t>translation</w:t>
      </w:r>
      <w:r w:rsidR="000B57D5" w:rsidRPr="0013463A">
        <w:t xml:space="preserve">] </w:t>
      </w:r>
      <w:r w:rsidR="00B60A45" w:rsidRPr="0013463A">
        <w:t>“perfectly cooperati</w:t>
      </w:r>
      <w:r w:rsidR="003546ED" w:rsidRPr="0013463A">
        <w:t>ve</w:t>
      </w:r>
      <w:r w:rsidR="00B60A45" w:rsidRPr="0013463A">
        <w:t xml:space="preserve">” person and that he would have </w:t>
      </w:r>
      <w:r w:rsidR="000B57D5" w:rsidRPr="0013463A">
        <w:t>[</w:t>
      </w:r>
      <w:r w:rsidR="000B57D5" w:rsidRPr="0013463A">
        <w:rPr>
          <w:smallCaps/>
        </w:rPr>
        <w:t>translation</w:t>
      </w:r>
      <w:r w:rsidR="000B57D5" w:rsidRPr="0013463A">
        <w:t xml:space="preserve">] </w:t>
      </w:r>
      <w:r w:rsidR="00B60A45" w:rsidRPr="0013463A">
        <w:t>“worked standing up”</w:t>
      </w:r>
      <w:r w:rsidR="00467DC5" w:rsidRPr="0013463A">
        <w:t xml:space="preserve"> if he had been</w:t>
      </w:r>
      <w:r w:rsidR="00B60A45" w:rsidRPr="0013463A">
        <w:t>.</w:t>
      </w:r>
      <w:r w:rsidR="00B60A45" w:rsidRPr="0013463A">
        <w:rPr>
          <w:rStyle w:val="Appelnotedebasdep"/>
        </w:rPr>
        <w:footnoteReference w:id="44"/>
      </w:r>
      <w:r w:rsidR="00B60A45" w:rsidRPr="0013463A">
        <w:t xml:space="preserve"> He was also not dealing with a </w:t>
      </w:r>
      <w:r w:rsidR="000B57D5" w:rsidRPr="0013463A">
        <w:t>[</w:t>
      </w:r>
      <w:r w:rsidR="000B57D5" w:rsidRPr="0013463A">
        <w:rPr>
          <w:smallCaps/>
        </w:rPr>
        <w:t>translation</w:t>
      </w:r>
      <w:r w:rsidR="000B57D5" w:rsidRPr="0013463A">
        <w:t xml:space="preserve">] </w:t>
      </w:r>
      <w:r w:rsidR="00B60A45" w:rsidRPr="0013463A">
        <w:t xml:space="preserve">“hugely disorganized” person, which would have justified </w:t>
      </w:r>
      <w:r w:rsidR="000B57D5" w:rsidRPr="0013463A">
        <w:t>[</w:t>
      </w:r>
      <w:r w:rsidR="000B57D5" w:rsidRPr="0013463A">
        <w:rPr>
          <w:smallCaps/>
        </w:rPr>
        <w:t>translation</w:t>
      </w:r>
      <w:r w:rsidR="000B57D5" w:rsidRPr="0013463A">
        <w:t xml:space="preserve">] </w:t>
      </w:r>
      <w:r w:rsidR="00B60A45" w:rsidRPr="0013463A">
        <w:t>“working lying on the ground”:</w:t>
      </w:r>
      <w:r w:rsidR="00B60A45" w:rsidRPr="0013463A">
        <w:rPr>
          <w:rStyle w:val="Appelnotedebasdep"/>
        </w:rPr>
        <w:footnoteReference w:id="45"/>
      </w:r>
    </w:p>
    <w:p w14:paraId="4E9FCCF6" w14:textId="20B64D4A" w:rsidR="000B57D5" w:rsidRPr="0013463A" w:rsidRDefault="000B57D5" w:rsidP="006B3499">
      <w:pPr>
        <w:pStyle w:val="Citationenretrait"/>
        <w:rPr>
          <w:lang w:val="en-CA"/>
        </w:rPr>
      </w:pPr>
      <w:r w:rsidRPr="0013463A">
        <w:rPr>
          <w:lang w:val="en-CA"/>
        </w:rPr>
        <w:t>[</w:t>
      </w:r>
      <w:r w:rsidRPr="0013463A">
        <w:rPr>
          <w:smallCaps/>
          <w:lang w:val="en-CA"/>
        </w:rPr>
        <w:t>translation</w:t>
      </w:r>
      <w:r w:rsidRPr="0013463A">
        <w:rPr>
          <w:lang w:val="en-CA"/>
        </w:rPr>
        <w:t>]</w:t>
      </w:r>
    </w:p>
    <w:p w14:paraId="0483ECF6" w14:textId="48465E63" w:rsidR="006B3499" w:rsidRPr="0013463A" w:rsidRDefault="00B60A45" w:rsidP="006B3499">
      <w:pPr>
        <w:pStyle w:val="Citationenretrait"/>
        <w:rPr>
          <w:lang w:val="en-CA"/>
        </w:rPr>
      </w:pPr>
      <w:r w:rsidRPr="0013463A">
        <w:rPr>
          <w:lang w:val="en-CA"/>
        </w:rPr>
        <w:t>I decided to work with Mr. Toussaint in a kneeling position.</w:t>
      </w:r>
    </w:p>
    <w:p w14:paraId="54265024" w14:textId="646F78D0" w:rsidR="006B3499" w:rsidRPr="0013463A" w:rsidRDefault="00B60A45" w:rsidP="006B3499">
      <w:pPr>
        <w:pStyle w:val="Citationenretrait"/>
        <w:rPr>
          <w:lang w:val="en-CA"/>
        </w:rPr>
      </w:pPr>
      <w:r w:rsidRPr="0013463A">
        <w:rPr>
          <w:lang w:val="en-CA"/>
        </w:rPr>
        <w:t xml:space="preserve">So, </w:t>
      </w:r>
      <w:r w:rsidR="000B57D5" w:rsidRPr="0013463A">
        <w:rPr>
          <w:lang w:val="en-CA"/>
        </w:rPr>
        <w:t>it was</w:t>
      </w:r>
      <w:r w:rsidRPr="0013463A">
        <w:rPr>
          <w:lang w:val="en-CA"/>
        </w:rPr>
        <w:t xml:space="preserve"> really his degree of resistance since the beginning of the intervention that </w:t>
      </w:r>
      <w:r w:rsidR="000B57D5" w:rsidRPr="0013463A">
        <w:rPr>
          <w:lang w:val="en-CA"/>
        </w:rPr>
        <w:t>led</w:t>
      </w:r>
      <w:r w:rsidRPr="0013463A">
        <w:rPr>
          <w:lang w:val="en-CA"/>
        </w:rPr>
        <w:t xml:space="preserve"> me to believe that I should work in a kneeling position to ensure the security of </w:t>
      </w:r>
      <w:r w:rsidR="0005676D" w:rsidRPr="0013463A">
        <w:rPr>
          <w:lang w:val="en-CA"/>
        </w:rPr>
        <w:t xml:space="preserve">the </w:t>
      </w:r>
      <w:r w:rsidR="008E7CE3" w:rsidRPr="0013463A">
        <w:rPr>
          <w:lang w:val="en-CA"/>
        </w:rPr>
        <w:t>staff</w:t>
      </w:r>
      <w:r w:rsidRPr="0013463A">
        <w:rPr>
          <w:lang w:val="en-CA"/>
        </w:rPr>
        <w:t xml:space="preserve"> and of</w:t>
      </w:r>
      <w:r w:rsidR="0005676D" w:rsidRPr="0013463A">
        <w:rPr>
          <w:lang w:val="en-CA"/>
        </w:rPr>
        <w:t xml:space="preserve"> the inmate</w:t>
      </w:r>
      <w:r w:rsidRPr="0013463A">
        <w:rPr>
          <w:lang w:val="en-CA"/>
        </w:rPr>
        <w:t>.</w:t>
      </w:r>
      <w:r w:rsidRPr="0013463A">
        <w:rPr>
          <w:rStyle w:val="Appelnotedebasdep"/>
          <w:lang w:val="en-CA"/>
        </w:rPr>
        <w:footnoteReference w:id="46"/>
      </w:r>
    </w:p>
    <w:p w14:paraId="5CDD4673" w14:textId="316BF5A2" w:rsidR="006B3499" w:rsidRPr="0013463A" w:rsidRDefault="00B60A45" w:rsidP="006A28AF">
      <w:pPr>
        <w:pStyle w:val="Paragraphe"/>
        <w:tabs>
          <w:tab w:val="clear" w:pos="567"/>
        </w:tabs>
      </w:pPr>
      <w:r w:rsidRPr="0013463A">
        <w:t xml:space="preserve">Because Mr. Toussaint resisted </w:t>
      </w:r>
      <w:r w:rsidR="0005676D" w:rsidRPr="0013463A">
        <w:t>dropping to</w:t>
      </w:r>
      <w:r w:rsidRPr="0013463A">
        <w:t xml:space="preserve"> a kneeling position, </w:t>
      </w:r>
      <w:r w:rsidR="00110E24" w:rsidRPr="0013463A">
        <w:t>COs</w:t>
      </w:r>
      <w:r w:rsidRPr="0013463A">
        <w:t xml:space="preserve"> Jean-René Brousseau and Robitaille, the latter the huskiest of all the </w:t>
      </w:r>
      <w:r w:rsidR="00110E24" w:rsidRPr="0013463A">
        <w:t>CO</w:t>
      </w:r>
      <w:r w:rsidRPr="0013463A">
        <w:t xml:space="preserve">s, </w:t>
      </w:r>
      <w:r w:rsidR="00467DC5" w:rsidRPr="0013463A">
        <w:t>struck</w:t>
      </w:r>
      <w:r w:rsidR="0005676D" w:rsidRPr="0013463A">
        <w:t xml:space="preserve"> </w:t>
      </w:r>
      <w:r w:rsidRPr="0013463A">
        <w:t xml:space="preserve">him in the </w:t>
      </w:r>
      <w:r w:rsidR="003F2D5E">
        <w:t>sciatic nerve region</w:t>
      </w:r>
      <w:r w:rsidRPr="0013463A">
        <w:t>, provok</w:t>
      </w:r>
      <w:r w:rsidR="0005676D" w:rsidRPr="0013463A">
        <w:t xml:space="preserve">ing </w:t>
      </w:r>
      <w:r w:rsidRPr="0013463A">
        <w:t>a [</w:t>
      </w:r>
      <w:r w:rsidRPr="0013463A">
        <w:rPr>
          <w:smallCaps/>
        </w:rPr>
        <w:t>translation</w:t>
      </w:r>
      <w:r w:rsidRPr="0013463A">
        <w:t xml:space="preserve">] “biomechanical </w:t>
      </w:r>
      <w:r w:rsidR="0005676D" w:rsidRPr="0013463A">
        <w:t>dysfunction</w:t>
      </w:r>
      <w:r w:rsidRPr="0013463A">
        <w:t>”</w:t>
      </w:r>
      <w:r w:rsidRPr="0013463A">
        <w:rPr>
          <w:rStyle w:val="Appelnotedebasdep"/>
        </w:rPr>
        <w:footnoteReference w:id="47"/>
      </w:r>
      <w:r w:rsidRPr="0013463A">
        <w:t xml:space="preserve"> that caused him to kneel.</w:t>
      </w:r>
    </w:p>
    <w:p w14:paraId="2FE48DA8" w14:textId="4917CFBB" w:rsidR="006B3499" w:rsidRPr="0013463A" w:rsidRDefault="00B60A45" w:rsidP="006A28AF">
      <w:pPr>
        <w:pStyle w:val="Paragraphe"/>
        <w:tabs>
          <w:tab w:val="clear" w:pos="567"/>
        </w:tabs>
      </w:pPr>
      <w:r w:rsidRPr="0013463A">
        <w:t>Mr. Toussaint wanted to stand up</w:t>
      </w:r>
      <w:r w:rsidR="0005676D" w:rsidRPr="0013463A">
        <w:t>, while</w:t>
      </w:r>
      <w:r w:rsidRPr="0013463A">
        <w:t xml:space="preserve"> the </w:t>
      </w:r>
      <w:r w:rsidR="00110E24" w:rsidRPr="0013463A">
        <w:t>CO</w:t>
      </w:r>
      <w:r w:rsidRPr="0013463A">
        <w:t xml:space="preserve">s </w:t>
      </w:r>
      <w:r w:rsidR="00467DC5" w:rsidRPr="0013463A">
        <w:t xml:space="preserve">who were in physical control of </w:t>
      </w:r>
      <w:r w:rsidRPr="0013463A">
        <w:t>him sought to keep him in a kneeling position.</w:t>
      </w:r>
      <w:r w:rsidR="001834C5" w:rsidRPr="0013463A">
        <w:t xml:space="preserve"> </w:t>
      </w:r>
      <w:r w:rsidRPr="0013463A">
        <w:t xml:space="preserve">He ended up collapsing </w:t>
      </w:r>
      <w:r w:rsidR="00467DC5" w:rsidRPr="0013463A">
        <w:t xml:space="preserve">to </w:t>
      </w:r>
      <w:r w:rsidRPr="0013463A">
        <w:t xml:space="preserve">the ground </w:t>
      </w:r>
      <w:r w:rsidR="00B524A4">
        <w:t>in a lateral position</w:t>
      </w:r>
      <w:r w:rsidRPr="0013463A">
        <w:t>.</w:t>
      </w:r>
    </w:p>
    <w:p w14:paraId="6E1B44BD" w14:textId="05C16529" w:rsidR="006B3499" w:rsidRPr="0013463A" w:rsidRDefault="00B60A45" w:rsidP="006A28AF">
      <w:pPr>
        <w:pStyle w:val="Paragraphe"/>
        <w:tabs>
          <w:tab w:val="clear" w:pos="567"/>
        </w:tabs>
      </w:pPr>
      <w:r w:rsidRPr="0013463A">
        <w:t>[</w:t>
      </w:r>
      <w:r w:rsidRPr="0013463A">
        <w:rPr>
          <w:smallCaps/>
        </w:rPr>
        <w:t>translation</w:t>
      </w:r>
      <w:r w:rsidRPr="0013463A">
        <w:t>] “I was totally panicked”, Mr. Toussaint testified. He said he was afraid he was going to die.</w:t>
      </w:r>
      <w:r w:rsidR="001834C5" w:rsidRPr="0013463A">
        <w:t xml:space="preserve"> </w:t>
      </w:r>
    </w:p>
    <w:p w14:paraId="2728F747" w14:textId="38FF61B1" w:rsidR="006B3499" w:rsidRPr="0013463A" w:rsidRDefault="00110E24" w:rsidP="006A28AF">
      <w:pPr>
        <w:pStyle w:val="Paragraphe"/>
        <w:tabs>
          <w:tab w:val="clear" w:pos="567"/>
        </w:tabs>
      </w:pPr>
      <w:r w:rsidRPr="0013463A">
        <w:lastRenderedPageBreak/>
        <w:t>CO</w:t>
      </w:r>
      <w:r w:rsidR="00B60A45" w:rsidRPr="0013463A">
        <w:t xml:space="preserve"> Gagnon </w:t>
      </w:r>
      <w:r w:rsidR="00467DC5" w:rsidRPr="0013463A">
        <w:t xml:space="preserve">went </w:t>
      </w:r>
      <w:r w:rsidR="00B60A45" w:rsidRPr="0013463A">
        <w:t>to get gas masks, in anticipation of using an inflammatory agent with an oleoresin capsicum base (OC).</w:t>
      </w:r>
      <w:r w:rsidR="00B60A45" w:rsidRPr="0013463A">
        <w:rPr>
          <w:rStyle w:val="Appelnotedebasdep"/>
        </w:rPr>
        <w:footnoteReference w:id="48"/>
      </w:r>
    </w:p>
    <w:p w14:paraId="69A338EE" w14:textId="3873AD46" w:rsidR="006B3499" w:rsidRPr="0013463A" w:rsidRDefault="00B60A45" w:rsidP="006A28AF">
      <w:pPr>
        <w:pStyle w:val="Paragraphe"/>
        <w:tabs>
          <w:tab w:val="clear" w:pos="567"/>
        </w:tabs>
      </w:pPr>
      <w:r w:rsidRPr="0013463A">
        <w:t xml:space="preserve">Then </w:t>
      </w:r>
      <w:r w:rsidR="00110E24" w:rsidRPr="0013463A">
        <w:t>CO</w:t>
      </w:r>
      <w:r w:rsidRPr="0013463A">
        <w:t xml:space="preserve"> Comeau-Bastien performed </w:t>
      </w:r>
      <w:r w:rsidR="00637F0D">
        <w:t xml:space="preserve">a </w:t>
      </w:r>
      <w:r w:rsidR="0005676D" w:rsidRPr="0013463A">
        <w:t>[</w:t>
      </w:r>
      <w:r w:rsidR="0005676D" w:rsidRPr="0013463A">
        <w:rPr>
          <w:smallCaps/>
        </w:rPr>
        <w:t>translation</w:t>
      </w:r>
      <w:r w:rsidR="0005676D" w:rsidRPr="0013463A">
        <w:t xml:space="preserve">] </w:t>
      </w:r>
      <w:r w:rsidRPr="0013463A">
        <w:t>“</w:t>
      </w:r>
      <w:r w:rsidR="0005676D" w:rsidRPr="0013463A">
        <w:t xml:space="preserve">tactical </w:t>
      </w:r>
      <w:r w:rsidRPr="0013463A">
        <w:t>contamination”</w:t>
      </w:r>
      <w:r w:rsidRPr="0013463A">
        <w:rPr>
          <w:rStyle w:val="Appelnotedebasdep"/>
        </w:rPr>
        <w:footnoteReference w:id="49"/>
      </w:r>
      <w:r w:rsidRPr="0013463A">
        <w:t xml:space="preserve"> </w:t>
      </w:r>
      <w:r w:rsidR="00FF2611">
        <w:t>using</w:t>
      </w:r>
      <w:r w:rsidRPr="0013463A">
        <w:t xml:space="preserve"> a glove coated with the inflammatory agent </w:t>
      </w:r>
      <w:r w:rsidR="00906D97">
        <w:t>–</w:t>
      </w:r>
      <w:r w:rsidRPr="0013463A">
        <w:t xml:space="preserve"> MK9 or cayenne pepper </w:t>
      </w:r>
      <w:r w:rsidR="00906D97">
        <w:t>–</w:t>
      </w:r>
      <w:r w:rsidRPr="0013463A">
        <w:t xml:space="preserve"> that he swiped over Mr. Toussaint’s face, provoking an immediate burning sensation.</w:t>
      </w:r>
    </w:p>
    <w:p w14:paraId="35CBF002" w14:textId="69BB5CDE" w:rsidR="006B3499" w:rsidRPr="0013463A" w:rsidRDefault="00B60A45" w:rsidP="006A28AF">
      <w:pPr>
        <w:pStyle w:val="Paragraphe"/>
        <w:tabs>
          <w:tab w:val="clear" w:pos="567"/>
        </w:tabs>
      </w:pPr>
      <w:r w:rsidRPr="0013463A">
        <w:t xml:space="preserve">The effects were felt </w:t>
      </w:r>
      <w:r w:rsidR="009C1A8C" w:rsidRPr="0013463A">
        <w:t>for a moment</w:t>
      </w:r>
      <w:r w:rsidRPr="0013463A">
        <w:t xml:space="preserve">, and then the </w:t>
      </w:r>
      <w:r w:rsidR="00110E24" w:rsidRPr="0013463A">
        <w:t>CO</w:t>
      </w:r>
      <w:r w:rsidRPr="0013463A">
        <w:t>s h</w:t>
      </w:r>
      <w:r w:rsidR="00C27B93">
        <w:t>o</w:t>
      </w:r>
      <w:r w:rsidRPr="0013463A">
        <w:t>ld</w:t>
      </w:r>
      <w:r w:rsidR="00C27B93">
        <w:t>ing</w:t>
      </w:r>
      <w:r w:rsidRPr="0013463A">
        <w:t xml:space="preserve"> Mr. Toussaint</w:t>
      </w:r>
      <w:r w:rsidR="009C1A8C" w:rsidRPr="0013463A">
        <w:t xml:space="preserve"> down</w:t>
      </w:r>
      <w:r w:rsidR="00C27B93">
        <w:t xml:space="preserve"> by</w:t>
      </w:r>
      <w:r w:rsidRPr="0013463A">
        <w:t xml:space="preserve"> </w:t>
      </w:r>
      <w:r w:rsidR="00C27B93">
        <w:t>means of</w:t>
      </w:r>
      <w:r w:rsidR="00C27B93" w:rsidRPr="0013463A">
        <w:t xml:space="preserve"> </w:t>
      </w:r>
      <w:r w:rsidRPr="0013463A">
        <w:t>joint locks</w:t>
      </w:r>
      <w:r w:rsidR="00C27B93">
        <w:t>,</w:t>
      </w:r>
      <w:r w:rsidRPr="0013463A">
        <w:t xml:space="preserve"> </w:t>
      </w:r>
      <w:r w:rsidR="009C1A8C" w:rsidRPr="0013463A">
        <w:t>shout</w:t>
      </w:r>
      <w:r w:rsidR="00C27B93">
        <w:t>ed</w:t>
      </w:r>
      <w:r w:rsidR="009C1A8C" w:rsidRPr="0013463A">
        <w:t xml:space="preserve"> </w:t>
      </w:r>
      <w:r w:rsidRPr="0013463A">
        <w:t>at him</w:t>
      </w:r>
      <w:r w:rsidR="00C27B93">
        <w:t xml:space="preserve"> </w:t>
      </w:r>
      <w:r w:rsidRPr="0013463A">
        <w:t>to stop resisting.</w:t>
      </w:r>
    </w:p>
    <w:p w14:paraId="6BC345A1" w14:textId="75F1CF61" w:rsidR="006B3499" w:rsidRPr="0013463A" w:rsidRDefault="00110E24" w:rsidP="006A28AF">
      <w:pPr>
        <w:pStyle w:val="Paragraphe"/>
        <w:tabs>
          <w:tab w:val="clear" w:pos="567"/>
        </w:tabs>
      </w:pPr>
      <w:r w:rsidRPr="0013463A">
        <w:t>CO</w:t>
      </w:r>
      <w:r w:rsidR="00B60A45" w:rsidRPr="0013463A">
        <w:t xml:space="preserve"> Comeau-Bastien then </w:t>
      </w:r>
      <w:r w:rsidR="001D0C53" w:rsidRPr="0013463A">
        <w:t>sprayed</w:t>
      </w:r>
      <w:r w:rsidR="00B60A45" w:rsidRPr="0013463A">
        <w:t xml:space="preserve"> the </w:t>
      </w:r>
      <w:r w:rsidR="00AC1370">
        <w:t>irrita</w:t>
      </w:r>
      <w:r w:rsidR="007F2C43">
        <w:t>ting agent</w:t>
      </w:r>
      <w:r w:rsidR="00AC1370">
        <w:t xml:space="preserve"> </w:t>
      </w:r>
      <w:r w:rsidR="00B60A45" w:rsidRPr="0013463A">
        <w:t>directly into Mr. Toussaint’s face.</w:t>
      </w:r>
    </w:p>
    <w:p w14:paraId="3D532793" w14:textId="4BA61B48" w:rsidR="006B3499" w:rsidRPr="0013463A" w:rsidRDefault="00B60A45" w:rsidP="006A28AF">
      <w:pPr>
        <w:pStyle w:val="Paragraphe"/>
        <w:tabs>
          <w:tab w:val="clear" w:pos="567"/>
        </w:tabs>
      </w:pPr>
      <w:r w:rsidRPr="0013463A">
        <w:t xml:space="preserve">In </w:t>
      </w:r>
      <w:r w:rsidR="002B064C" w:rsidRPr="0013463A">
        <w:t>Unit Manager</w:t>
      </w:r>
      <w:r w:rsidRPr="0013463A">
        <w:t xml:space="preserve"> Leclerc’s view, it was the right thing to do: [</w:t>
      </w:r>
      <w:r w:rsidRPr="0013463A">
        <w:rPr>
          <w:smallCaps/>
        </w:rPr>
        <w:t>translation</w:t>
      </w:r>
      <w:r w:rsidRPr="0013463A">
        <w:t>] “We pepper</w:t>
      </w:r>
      <w:r w:rsidR="001D0C53" w:rsidRPr="0013463A">
        <w:t xml:space="preserve"> spray</w:t>
      </w:r>
      <w:r w:rsidRPr="0013463A">
        <w:t>ed him because, you know, we’d reached that point.</w:t>
      </w:r>
      <w:r w:rsidR="001834C5" w:rsidRPr="0013463A">
        <w:t xml:space="preserve"> </w:t>
      </w:r>
      <w:r w:rsidRPr="0013463A">
        <w:t>We couldn’t get out</w:t>
      </w:r>
      <w:r w:rsidR="00DF0B4A" w:rsidRPr="0013463A">
        <w:t xml:space="preserve"> of</w:t>
      </w:r>
      <w:r w:rsidRPr="0013463A">
        <w:t xml:space="preserve"> the situation without us... without our safety being endangered.</w:t>
      </w:r>
      <w:r w:rsidR="001834C5" w:rsidRPr="0013463A">
        <w:t xml:space="preserve"> </w:t>
      </w:r>
      <w:r w:rsidR="00946120">
        <w:t>So</w:t>
      </w:r>
      <w:r w:rsidRPr="0013463A">
        <w:t xml:space="preserve"> it was the only way, you know, to do it.</w:t>
      </w:r>
      <w:r w:rsidR="001834C5" w:rsidRPr="0013463A">
        <w:t xml:space="preserve"> </w:t>
      </w:r>
      <w:r w:rsidR="00DF0B4A" w:rsidRPr="0013463A">
        <w:t xml:space="preserve">That </w:t>
      </w:r>
      <w:r w:rsidRPr="0013463A">
        <w:t>was</w:t>
      </w:r>
      <w:r w:rsidR="00DF0B4A" w:rsidRPr="0013463A">
        <w:t xml:space="preserve"> it</w:t>
      </w:r>
      <w:r w:rsidRPr="0013463A">
        <w:t>”.</w:t>
      </w:r>
      <w:r w:rsidRPr="0013463A">
        <w:rPr>
          <w:rStyle w:val="Appelnotedebasdep"/>
        </w:rPr>
        <w:footnoteReference w:id="50"/>
      </w:r>
    </w:p>
    <w:p w14:paraId="3A22166F" w14:textId="72E6EB4B" w:rsidR="006B3499" w:rsidRPr="0013463A" w:rsidRDefault="00B60A45" w:rsidP="006A28AF">
      <w:pPr>
        <w:pStyle w:val="Paragraphe"/>
        <w:tabs>
          <w:tab w:val="clear" w:pos="567"/>
        </w:tabs>
      </w:pPr>
      <w:r w:rsidRPr="0013463A">
        <w:t>Mr. Toussaint describes [</w:t>
      </w:r>
      <w:r w:rsidRPr="0013463A">
        <w:rPr>
          <w:smallCaps/>
        </w:rPr>
        <w:t>translation</w:t>
      </w:r>
      <w:r w:rsidRPr="0013463A">
        <w:t xml:space="preserve">] “a liquid that burned the skin” and that dripped down his face, torso, and </w:t>
      </w:r>
      <w:r w:rsidR="001D0C53" w:rsidRPr="0013463A">
        <w:t xml:space="preserve">onto his </w:t>
      </w:r>
      <w:r w:rsidRPr="0013463A">
        <w:t>[</w:t>
      </w:r>
      <w:r w:rsidRPr="0013463A">
        <w:rPr>
          <w:smallCaps/>
        </w:rPr>
        <w:t>translation</w:t>
      </w:r>
      <w:r w:rsidRPr="0013463A">
        <w:t>] “</w:t>
      </w:r>
      <w:r w:rsidR="00A44FC2">
        <w:t xml:space="preserve">private </w:t>
      </w:r>
      <w:r w:rsidRPr="0013463A">
        <w:t>parts”.</w:t>
      </w:r>
    </w:p>
    <w:p w14:paraId="48C3669B" w14:textId="237A7979" w:rsidR="006B3499" w:rsidRPr="0013463A" w:rsidRDefault="00B60A45" w:rsidP="006A28AF">
      <w:pPr>
        <w:pStyle w:val="Paragraphe"/>
        <w:tabs>
          <w:tab w:val="clear" w:pos="567"/>
        </w:tabs>
      </w:pPr>
      <w:r w:rsidRPr="0013463A">
        <w:t xml:space="preserve">According to </w:t>
      </w:r>
      <w:r w:rsidR="002B064C" w:rsidRPr="0013463A">
        <w:t>Unit Manager</w:t>
      </w:r>
      <w:r w:rsidRPr="0013463A">
        <w:t xml:space="preserve"> Leclerc, Mr. Toussa</w:t>
      </w:r>
      <w:r w:rsidR="00DF0B4A" w:rsidRPr="0013463A">
        <w:t>i</w:t>
      </w:r>
      <w:r w:rsidRPr="0013463A">
        <w:t xml:space="preserve">nt, naked and handcuffed, </w:t>
      </w:r>
      <w:r w:rsidR="00DF0B4A" w:rsidRPr="0013463A">
        <w:t xml:space="preserve">said at </w:t>
      </w:r>
      <w:r w:rsidRPr="0013463A">
        <w:t>that point, [</w:t>
      </w:r>
      <w:r w:rsidRPr="0013463A">
        <w:rPr>
          <w:smallCaps/>
        </w:rPr>
        <w:t>translation</w:t>
      </w:r>
      <w:r w:rsidRPr="0013463A">
        <w:t>] “O</w:t>
      </w:r>
      <w:r w:rsidR="00946120">
        <w:t>kay</w:t>
      </w:r>
      <w:r w:rsidRPr="0013463A">
        <w:t xml:space="preserve">, it’s fine, do what you have to do”, which </w:t>
      </w:r>
      <w:r w:rsidR="00110E24" w:rsidRPr="0013463A">
        <w:t>CO</w:t>
      </w:r>
      <w:r w:rsidRPr="0013463A">
        <w:t xml:space="preserve"> Jean-René Brousseau </w:t>
      </w:r>
      <w:r w:rsidR="009B6F0A">
        <w:t>echoed</w:t>
      </w:r>
      <w:r w:rsidRPr="0013463A">
        <w:t xml:space="preserve"> in similar terms: </w:t>
      </w:r>
      <w:r w:rsidR="00DF0B4A" w:rsidRPr="0013463A">
        <w:t>[</w:t>
      </w:r>
      <w:r w:rsidR="00DF0B4A" w:rsidRPr="0013463A">
        <w:rPr>
          <w:smallCaps/>
        </w:rPr>
        <w:t>translation</w:t>
      </w:r>
      <w:r w:rsidR="00DF0B4A" w:rsidRPr="0013463A">
        <w:t xml:space="preserve">] </w:t>
      </w:r>
      <w:r w:rsidRPr="0013463A">
        <w:t>“O</w:t>
      </w:r>
      <w:r w:rsidR="00946120">
        <w:t>kay</w:t>
      </w:r>
      <w:r w:rsidRPr="0013463A">
        <w:t>, it’s fine, it’s all right, I’ve had enough”.</w:t>
      </w:r>
    </w:p>
    <w:p w14:paraId="0B4430B0" w14:textId="303C3F79" w:rsidR="00D87714" w:rsidRPr="0013463A" w:rsidRDefault="00B60A45" w:rsidP="006A28AF">
      <w:pPr>
        <w:pStyle w:val="Paragraphe"/>
        <w:tabs>
          <w:tab w:val="clear" w:pos="567"/>
        </w:tabs>
      </w:pPr>
      <w:r w:rsidRPr="0013463A">
        <w:t>[</w:t>
      </w:r>
      <w:r w:rsidRPr="0013463A">
        <w:rPr>
          <w:smallCaps/>
        </w:rPr>
        <w:t>translation</w:t>
      </w:r>
      <w:r w:rsidRPr="0013463A">
        <w:t xml:space="preserve">] “We obtained the subject’s cooperation”, summarizes </w:t>
      </w:r>
      <w:r w:rsidR="00110E24" w:rsidRPr="0013463A">
        <w:t>CO</w:t>
      </w:r>
      <w:r w:rsidRPr="0013463A">
        <w:t xml:space="preserve"> Comeau-Bastien</w:t>
      </w:r>
      <w:r w:rsidR="001834C5" w:rsidRPr="0013463A">
        <w:t xml:space="preserve"> </w:t>
      </w:r>
    </w:p>
    <w:p w14:paraId="520C8463" w14:textId="77777777" w:rsidR="00D87714" w:rsidRPr="0013463A" w:rsidRDefault="00D87714" w:rsidP="00012593">
      <w:pPr>
        <w:pStyle w:val="Paragraphe"/>
        <w:numPr>
          <w:ilvl w:val="0"/>
          <w:numId w:val="0"/>
        </w:numPr>
        <w:tabs>
          <w:tab w:val="clear" w:pos="567"/>
        </w:tabs>
        <w:spacing w:before="0" w:after="0"/>
        <w:rPr>
          <w:b/>
          <w:bCs/>
          <w:i/>
          <w:iCs/>
          <w:u w:val="single"/>
        </w:rPr>
      </w:pPr>
    </w:p>
    <w:p w14:paraId="453FA980" w14:textId="4B0EE5D3" w:rsidR="006B3499" w:rsidRPr="0013463A" w:rsidRDefault="00B60A45" w:rsidP="002D7866">
      <w:pPr>
        <w:pStyle w:val="Paragraphe"/>
        <w:keepNext/>
        <w:numPr>
          <w:ilvl w:val="0"/>
          <w:numId w:val="0"/>
        </w:numPr>
        <w:tabs>
          <w:tab w:val="clear" w:pos="567"/>
        </w:tabs>
        <w:spacing w:before="0" w:after="0"/>
        <w:rPr>
          <w:b/>
          <w:bCs/>
          <w:i/>
          <w:iCs/>
          <w:u w:val="single"/>
        </w:rPr>
      </w:pPr>
      <w:r w:rsidRPr="0013463A">
        <w:rPr>
          <w:b/>
          <w:bCs/>
          <w:i/>
          <w:iCs/>
          <w:u w:val="single"/>
        </w:rPr>
        <w:t>The decontamination room</w:t>
      </w:r>
    </w:p>
    <w:p w14:paraId="36565DAE" w14:textId="1115083C" w:rsidR="006B3499" w:rsidRPr="0013463A" w:rsidRDefault="00B60A45" w:rsidP="002D7866">
      <w:pPr>
        <w:pStyle w:val="Paragraphe"/>
        <w:keepNext/>
        <w:tabs>
          <w:tab w:val="clear" w:pos="567"/>
        </w:tabs>
      </w:pPr>
      <w:r w:rsidRPr="0013463A">
        <w:t xml:space="preserve">Mr. Toussaint was then led naked to the decontamination room, referred to as the </w:t>
      </w:r>
      <w:r w:rsidR="00DF0B4A" w:rsidRPr="0013463A">
        <w:t>[</w:t>
      </w:r>
      <w:r w:rsidR="00DF0B4A" w:rsidRPr="0013463A">
        <w:rPr>
          <w:smallCaps/>
        </w:rPr>
        <w:t>translation</w:t>
      </w:r>
      <w:r w:rsidR="00DF0B4A" w:rsidRPr="0013463A">
        <w:t xml:space="preserve">] </w:t>
      </w:r>
      <w:r w:rsidRPr="0013463A">
        <w:t>“vacuum”.</w:t>
      </w:r>
    </w:p>
    <w:p w14:paraId="2A54AF4F" w14:textId="668C50C8" w:rsidR="006B3499" w:rsidRPr="0013463A" w:rsidRDefault="00110E24" w:rsidP="006A28AF">
      <w:pPr>
        <w:pStyle w:val="Paragraphe"/>
        <w:tabs>
          <w:tab w:val="clear" w:pos="567"/>
        </w:tabs>
      </w:pPr>
      <w:r w:rsidRPr="0013463A">
        <w:t>CO</w:t>
      </w:r>
      <w:r w:rsidR="00B60A45" w:rsidRPr="0013463A">
        <w:t xml:space="preserve"> Bouchard went to get the hose for the [</w:t>
      </w:r>
      <w:r w:rsidR="00B60A45" w:rsidRPr="0013463A">
        <w:rPr>
          <w:smallCaps/>
        </w:rPr>
        <w:t>translation</w:t>
      </w:r>
      <w:r w:rsidR="00B60A45" w:rsidRPr="0013463A">
        <w:t>] “handheld show</w:t>
      </w:r>
      <w:r w:rsidR="00DF0B4A" w:rsidRPr="0013463A">
        <w:t>er</w:t>
      </w:r>
      <w:r w:rsidR="00B60A45" w:rsidRPr="0013463A">
        <w:t>”</w:t>
      </w:r>
      <w:r w:rsidR="00DF0B4A" w:rsidRPr="0013463A">
        <w:t>.</w:t>
      </w:r>
      <w:r w:rsidR="001834C5" w:rsidRPr="0013463A">
        <w:t xml:space="preserve"> </w:t>
      </w:r>
    </w:p>
    <w:p w14:paraId="0DD62E0A" w14:textId="4E88D63C" w:rsidR="006B3499" w:rsidRPr="0013463A" w:rsidRDefault="00B60A45" w:rsidP="006A28AF">
      <w:pPr>
        <w:pStyle w:val="Paragraphe"/>
        <w:tabs>
          <w:tab w:val="clear" w:pos="567"/>
        </w:tabs>
      </w:pPr>
      <w:r w:rsidRPr="0013463A">
        <w:t xml:space="preserve">Then Mr. Toussaint </w:t>
      </w:r>
      <w:r w:rsidR="00DF0B4A" w:rsidRPr="0013463A">
        <w:t xml:space="preserve">was given </w:t>
      </w:r>
      <w:r w:rsidRPr="0013463A">
        <w:t>a</w:t>
      </w:r>
      <w:r w:rsidR="00DF0B4A" w:rsidRPr="0013463A">
        <w:t xml:space="preserve"> brief</w:t>
      </w:r>
      <w:r w:rsidRPr="0013463A">
        <w:t>, lukewarm shower. [</w:t>
      </w:r>
      <w:r w:rsidRPr="0013463A">
        <w:rPr>
          <w:smallCaps/>
        </w:rPr>
        <w:t>translation</w:t>
      </w:r>
      <w:r w:rsidRPr="0013463A">
        <w:t>] “It was quick”, he says.</w:t>
      </w:r>
      <w:r w:rsidR="001834C5" w:rsidRPr="0013463A">
        <w:t xml:space="preserve"> </w:t>
      </w:r>
    </w:p>
    <w:p w14:paraId="6CB0DBEB" w14:textId="2995A6C2" w:rsidR="006B3499" w:rsidRPr="0013463A" w:rsidRDefault="00B60A45" w:rsidP="006A28AF">
      <w:pPr>
        <w:pStyle w:val="Paragraphe"/>
        <w:tabs>
          <w:tab w:val="clear" w:pos="567"/>
        </w:tabs>
      </w:pPr>
      <w:r w:rsidRPr="0013463A">
        <w:lastRenderedPageBreak/>
        <w:t xml:space="preserve">He testified that the </w:t>
      </w:r>
      <w:r w:rsidR="00110E24" w:rsidRPr="0013463A">
        <w:t>CO</w:t>
      </w:r>
      <w:r w:rsidRPr="0013463A">
        <w:t xml:space="preserve"> </w:t>
      </w:r>
      <w:r w:rsidR="00DF0B4A" w:rsidRPr="0013463A">
        <w:t>who was maneuvering</w:t>
      </w:r>
      <w:r w:rsidRPr="0013463A">
        <w:t xml:space="preserve"> the shower head rubbed </w:t>
      </w:r>
      <w:r w:rsidR="00914493">
        <w:t xml:space="preserve">it on </w:t>
      </w:r>
      <w:r w:rsidRPr="0013463A">
        <w:t xml:space="preserve">his face and </w:t>
      </w:r>
      <w:r w:rsidR="00DF0B4A" w:rsidRPr="0013463A">
        <w:t>hi</w:t>
      </w:r>
      <w:r w:rsidR="001D0C53" w:rsidRPr="0013463A">
        <w:t>s</w:t>
      </w:r>
      <w:r w:rsidR="00DF0B4A" w:rsidRPr="0013463A">
        <w:t xml:space="preserve"> </w:t>
      </w:r>
      <w:r w:rsidRPr="0013463A">
        <w:t>mouth.</w:t>
      </w:r>
      <w:r w:rsidR="001834C5" w:rsidRPr="0013463A">
        <w:t xml:space="preserve"> </w:t>
      </w:r>
    </w:p>
    <w:p w14:paraId="57F1BF9B" w14:textId="6392218B" w:rsidR="006B3499" w:rsidRPr="0013463A" w:rsidRDefault="00B60A45" w:rsidP="006A28AF">
      <w:pPr>
        <w:pStyle w:val="Paragraphe"/>
        <w:tabs>
          <w:tab w:val="clear" w:pos="567"/>
        </w:tabs>
      </w:pPr>
      <w:r w:rsidRPr="0013463A">
        <w:t xml:space="preserve">No one </w:t>
      </w:r>
      <w:r w:rsidR="001D0C53" w:rsidRPr="0013463A">
        <w:t xml:space="preserve">has </w:t>
      </w:r>
      <w:r w:rsidRPr="0013463A">
        <w:t>contradicted this last statement before the Tribunal.</w:t>
      </w:r>
    </w:p>
    <w:p w14:paraId="70507340" w14:textId="1094861B" w:rsidR="006B3499" w:rsidRPr="0013463A" w:rsidRDefault="00B60A45" w:rsidP="006B3499">
      <w:pPr>
        <w:pStyle w:val="Paragraphe"/>
        <w:numPr>
          <w:ilvl w:val="0"/>
          <w:numId w:val="0"/>
        </w:numPr>
        <w:tabs>
          <w:tab w:val="clear" w:pos="567"/>
        </w:tabs>
        <w:rPr>
          <w:b/>
          <w:bCs/>
          <w:i/>
          <w:iCs/>
          <w:u w:val="single"/>
        </w:rPr>
      </w:pPr>
      <w:r w:rsidRPr="0013463A">
        <w:rPr>
          <w:b/>
          <w:bCs/>
          <w:i/>
          <w:iCs/>
          <w:u w:val="single"/>
        </w:rPr>
        <w:t>Cell 10</w:t>
      </w:r>
    </w:p>
    <w:p w14:paraId="59624533" w14:textId="157D5300" w:rsidR="006B3499" w:rsidRPr="0013463A" w:rsidRDefault="00B60A45" w:rsidP="006A28AF">
      <w:pPr>
        <w:pStyle w:val="Paragraphe"/>
        <w:tabs>
          <w:tab w:val="clear" w:pos="567"/>
        </w:tabs>
      </w:pPr>
      <w:r w:rsidRPr="0013463A">
        <w:t>Mr. Toussaint, still completely nake</w:t>
      </w:r>
      <w:r w:rsidR="00DF0B4A" w:rsidRPr="0013463A">
        <w:t>d</w:t>
      </w:r>
      <w:r w:rsidRPr="0013463A">
        <w:t xml:space="preserve"> and handcuffed, was then led </w:t>
      </w:r>
      <w:r w:rsidR="00DF0B4A" w:rsidRPr="0013463A">
        <w:t xml:space="preserve">to </w:t>
      </w:r>
      <w:r w:rsidRPr="0013463A">
        <w:t>cell 10, because cell 12 was now contaminated by the inflammatory agent.</w:t>
      </w:r>
      <w:r w:rsidR="001834C5" w:rsidRPr="0013463A">
        <w:t xml:space="preserve"> </w:t>
      </w:r>
    </w:p>
    <w:p w14:paraId="2A05A58C" w14:textId="235151E2" w:rsidR="006B3499" w:rsidRPr="0013463A" w:rsidRDefault="00B60A45" w:rsidP="006A28AF">
      <w:pPr>
        <w:pStyle w:val="Paragraphe"/>
        <w:tabs>
          <w:tab w:val="clear" w:pos="567"/>
        </w:tabs>
      </w:pPr>
      <w:r w:rsidRPr="0013463A">
        <w:t xml:space="preserve">He displayed no signs of aggression. </w:t>
      </w:r>
      <w:r w:rsidR="00DF0B4A" w:rsidRPr="0013463A">
        <w:t>H</w:t>
      </w:r>
      <w:r w:rsidRPr="0013463A">
        <w:t xml:space="preserve">is physical appearance was that of a person who was </w:t>
      </w:r>
      <w:r w:rsidR="006B20EB" w:rsidRPr="0013463A">
        <w:t>frightened</w:t>
      </w:r>
      <w:r w:rsidRPr="0013463A">
        <w:t xml:space="preserve"> and weakened.</w:t>
      </w:r>
    </w:p>
    <w:p w14:paraId="35ACB48A" w14:textId="49E2454E" w:rsidR="006B3499" w:rsidRPr="0013463A" w:rsidRDefault="00B60A45" w:rsidP="006A28AF">
      <w:pPr>
        <w:pStyle w:val="Paragraphe"/>
        <w:tabs>
          <w:tab w:val="clear" w:pos="567"/>
        </w:tabs>
      </w:pPr>
      <w:r w:rsidRPr="0013463A">
        <w:t>The images recorded by the static camera</w:t>
      </w:r>
      <w:r w:rsidR="00692A70">
        <w:t>,</w:t>
      </w:r>
      <w:r w:rsidRPr="0013463A">
        <w:rPr>
          <w:rStyle w:val="Appelnotedebasdep"/>
        </w:rPr>
        <w:footnoteReference w:id="51"/>
      </w:r>
      <w:r w:rsidR="00692A70">
        <w:t xml:space="preserve"> which was </w:t>
      </w:r>
      <w:r w:rsidR="002D7866">
        <w:t>functioning</w:t>
      </w:r>
      <w:r w:rsidRPr="0013463A">
        <w:t xml:space="preserve"> in cell 10</w:t>
      </w:r>
      <w:r w:rsidR="00692A70">
        <w:t>,</w:t>
      </w:r>
      <w:r w:rsidRPr="0013463A">
        <w:t xml:space="preserve"> show </w:t>
      </w:r>
      <w:r w:rsidR="00110E24" w:rsidRPr="0013463A">
        <w:t>CO</w:t>
      </w:r>
      <w:r w:rsidRPr="0013463A">
        <w:t xml:space="preserve">s Comeau-Bastien and Robitaille </w:t>
      </w:r>
      <w:r w:rsidR="006B20EB" w:rsidRPr="0013463A">
        <w:t xml:space="preserve">leading </w:t>
      </w:r>
      <w:r w:rsidRPr="0013463A">
        <w:t xml:space="preserve">Mr. Toussaint to the corner of the room and </w:t>
      </w:r>
      <w:r w:rsidR="006B20EB" w:rsidRPr="0013463A">
        <w:t xml:space="preserve">forcing </w:t>
      </w:r>
      <w:r w:rsidRPr="0013463A">
        <w:t>him to kneel, fac</w:t>
      </w:r>
      <w:r w:rsidR="00692A70">
        <w:t>ing</w:t>
      </w:r>
      <w:r w:rsidR="006B20EB" w:rsidRPr="0013463A">
        <w:t xml:space="preserve"> </w:t>
      </w:r>
      <w:r w:rsidRPr="0013463A">
        <w:t>the wall.</w:t>
      </w:r>
      <w:r w:rsidR="001834C5" w:rsidRPr="0013463A">
        <w:t xml:space="preserve"> </w:t>
      </w:r>
      <w:r w:rsidRPr="0013463A">
        <w:t xml:space="preserve">They </w:t>
      </w:r>
      <w:r w:rsidR="00DF0B4A" w:rsidRPr="0013463A">
        <w:t>held</w:t>
      </w:r>
      <w:r w:rsidRPr="0013463A">
        <w:t xml:space="preserve"> him in an arm lock.</w:t>
      </w:r>
      <w:r w:rsidR="001834C5" w:rsidRPr="0013463A">
        <w:t xml:space="preserve"> </w:t>
      </w:r>
      <w:r w:rsidR="006B20EB" w:rsidRPr="0013463A">
        <w:t xml:space="preserve">Another colleague was with them, </w:t>
      </w:r>
      <w:r w:rsidRPr="0013463A">
        <w:t>wearing gloves and a helmet and carrying a rectangular</w:t>
      </w:r>
      <w:r w:rsidR="00DF0B4A" w:rsidRPr="0013463A">
        <w:t xml:space="preserve"> synthetic glass</w:t>
      </w:r>
      <w:r w:rsidRPr="0013463A">
        <w:t xml:space="preserve"> shield, </w:t>
      </w:r>
      <w:r w:rsidR="006B20EB" w:rsidRPr="0013463A">
        <w:t xml:space="preserve">as well as </w:t>
      </w:r>
      <w:r w:rsidRPr="0013463A">
        <w:t>another who</w:t>
      </w:r>
      <w:r w:rsidR="00DF0B4A" w:rsidRPr="0013463A">
        <w:t xml:space="preserve"> </w:t>
      </w:r>
      <w:r w:rsidRPr="0013463A">
        <w:t xml:space="preserve">was gloved and holding a canister of the </w:t>
      </w:r>
      <w:r w:rsidR="007F2C43">
        <w:t>irritating</w:t>
      </w:r>
      <w:r w:rsidRPr="0013463A">
        <w:t xml:space="preserve"> agent.</w:t>
      </w:r>
      <w:r w:rsidR="001834C5" w:rsidRPr="0013463A">
        <w:t xml:space="preserve"> </w:t>
      </w:r>
      <w:r w:rsidRPr="0013463A">
        <w:t xml:space="preserve">Other </w:t>
      </w:r>
      <w:r w:rsidR="00110E24" w:rsidRPr="0013463A">
        <w:t>CO</w:t>
      </w:r>
      <w:r w:rsidRPr="0013463A">
        <w:t>s remained in the background.</w:t>
      </w:r>
    </w:p>
    <w:p w14:paraId="3D96F351" w14:textId="3DE4C1CA" w:rsidR="006B3499" w:rsidRPr="0013463A" w:rsidRDefault="00DF0B4A" w:rsidP="006A28AF">
      <w:pPr>
        <w:pStyle w:val="Paragraphe"/>
        <w:tabs>
          <w:tab w:val="clear" w:pos="567"/>
        </w:tabs>
      </w:pPr>
      <w:r w:rsidRPr="0013463A">
        <w:t>A</w:t>
      </w:r>
      <w:r w:rsidR="00B60A45" w:rsidRPr="0013463A">
        <w:t xml:space="preserve"> nurse appeared in the room and asked about Mr. Toussaint’s condition </w:t>
      </w:r>
      <w:r w:rsidR="006B20EB" w:rsidRPr="0013463A">
        <w:t xml:space="preserve">after being exposed to the </w:t>
      </w:r>
      <w:r w:rsidR="00B60A45" w:rsidRPr="0013463A">
        <w:t>OC.</w:t>
      </w:r>
    </w:p>
    <w:p w14:paraId="63013474" w14:textId="2E3ED9EE" w:rsidR="006B3499" w:rsidRPr="0013463A" w:rsidRDefault="00B60A45" w:rsidP="006A28AF">
      <w:pPr>
        <w:pStyle w:val="Paragraphe"/>
        <w:tabs>
          <w:tab w:val="clear" w:pos="567"/>
        </w:tabs>
      </w:pPr>
      <w:r w:rsidRPr="0013463A">
        <w:t>[</w:t>
      </w:r>
      <w:r w:rsidRPr="0013463A">
        <w:rPr>
          <w:smallCaps/>
        </w:rPr>
        <w:t>translation</w:t>
      </w:r>
      <w:r w:rsidRPr="0013463A">
        <w:t xml:space="preserve">] “My brain hurts, and </w:t>
      </w:r>
      <w:r w:rsidR="0083434D">
        <w:t xml:space="preserve">I feel </w:t>
      </w:r>
      <w:r w:rsidR="005D4DE3">
        <w:t>nauseous</w:t>
      </w:r>
      <w:r w:rsidRPr="0013463A">
        <w:t>” he said, but the nurse merely checked his vital signs and blood pressure.</w:t>
      </w:r>
      <w:r w:rsidR="001834C5" w:rsidRPr="0013463A">
        <w:t xml:space="preserve"> </w:t>
      </w:r>
      <w:r w:rsidRPr="0013463A">
        <w:t>[</w:t>
      </w:r>
      <w:r w:rsidRPr="0013463A">
        <w:rPr>
          <w:smallCaps/>
        </w:rPr>
        <w:t>translation</w:t>
      </w:r>
      <w:r w:rsidRPr="0013463A">
        <w:t>] “It was</w:t>
      </w:r>
      <w:r w:rsidR="006B20EB" w:rsidRPr="0013463A">
        <w:t>n’t</w:t>
      </w:r>
      <w:r w:rsidRPr="0013463A">
        <w:t xml:space="preserve"> </w:t>
      </w:r>
      <w:r w:rsidR="002C3586">
        <w:t>his</w:t>
      </w:r>
      <w:r w:rsidRPr="0013463A">
        <w:t xml:space="preserve"> business” to </w:t>
      </w:r>
      <w:r w:rsidR="00936EFB" w:rsidRPr="0013463A">
        <w:t>look into it any further</w:t>
      </w:r>
      <w:r w:rsidRPr="0013463A">
        <w:t>, laments Mr. Toussaint.</w:t>
      </w:r>
    </w:p>
    <w:p w14:paraId="404631AA" w14:textId="3B82C5D2" w:rsidR="006B3499" w:rsidRPr="0013463A" w:rsidRDefault="00936EFB" w:rsidP="006A28AF">
      <w:pPr>
        <w:pStyle w:val="Paragraphe"/>
        <w:tabs>
          <w:tab w:val="clear" w:pos="567"/>
        </w:tabs>
      </w:pPr>
      <w:r w:rsidRPr="0013463A">
        <w:t>His handcuffs were removed a</w:t>
      </w:r>
      <w:r w:rsidR="00B60A45" w:rsidRPr="0013463A">
        <w:t>round 11:09 a.m</w:t>
      </w:r>
      <w:r w:rsidRPr="0013463A">
        <w:t xml:space="preserve">. </w:t>
      </w:r>
      <w:r w:rsidR="00B60A45" w:rsidRPr="0013463A">
        <w:t>He remained kneeling, facing the corner of the room.</w:t>
      </w:r>
    </w:p>
    <w:p w14:paraId="5FEC1355" w14:textId="3A768880" w:rsidR="006B3499" w:rsidRPr="0013463A" w:rsidRDefault="00B60A45" w:rsidP="006A28AF">
      <w:pPr>
        <w:pStyle w:val="Paragraphe"/>
        <w:tabs>
          <w:tab w:val="clear" w:pos="567"/>
        </w:tabs>
      </w:pPr>
      <w:r w:rsidRPr="0013463A">
        <w:t>The strip search was performed.</w:t>
      </w:r>
      <w:r w:rsidR="001834C5" w:rsidRPr="0013463A">
        <w:t xml:space="preserve"> </w:t>
      </w:r>
      <w:r w:rsidRPr="0013463A">
        <w:t xml:space="preserve">Three </w:t>
      </w:r>
      <w:r w:rsidR="00110E24" w:rsidRPr="0013463A">
        <w:t>CO</w:t>
      </w:r>
      <w:r w:rsidRPr="0013463A">
        <w:t xml:space="preserve">s visually confirmed that he was </w:t>
      </w:r>
      <w:r w:rsidR="00A60F91">
        <w:t xml:space="preserve">not </w:t>
      </w:r>
      <w:r w:rsidRPr="0013463A">
        <w:t xml:space="preserve">hiding </w:t>
      </w:r>
      <w:r w:rsidR="00A60F91">
        <w:t>anything</w:t>
      </w:r>
      <w:r w:rsidR="00A60F91" w:rsidRPr="0013463A">
        <w:t xml:space="preserve"> </w:t>
      </w:r>
      <w:r w:rsidRPr="0013463A">
        <w:t>in his mouth, between his buttocks, under his arms, under his feet, in his hair, or under his scrotum.</w:t>
      </w:r>
    </w:p>
    <w:p w14:paraId="7EAE9624" w14:textId="46DA2E85" w:rsidR="006B3499" w:rsidRPr="0013463A" w:rsidRDefault="00B60A45" w:rsidP="006A28AF">
      <w:pPr>
        <w:pStyle w:val="Paragraphe"/>
        <w:tabs>
          <w:tab w:val="clear" w:pos="567"/>
        </w:tabs>
      </w:pPr>
      <w:r w:rsidRPr="0013463A">
        <w:t xml:space="preserve">Then the </w:t>
      </w:r>
      <w:r w:rsidR="00110E24" w:rsidRPr="0013463A">
        <w:t>CO</w:t>
      </w:r>
      <w:r w:rsidRPr="0013463A">
        <w:t>s all retreated one by one, walking backwards out of the cell</w:t>
      </w:r>
      <w:r w:rsidR="00936EFB" w:rsidRPr="0013463A">
        <w:t xml:space="preserve">. The </w:t>
      </w:r>
      <w:r w:rsidRPr="0013463A">
        <w:t xml:space="preserve">one holding the shield </w:t>
      </w:r>
      <w:r w:rsidR="00936EFB" w:rsidRPr="0013463A">
        <w:t xml:space="preserve">was </w:t>
      </w:r>
      <w:r w:rsidRPr="0013463A">
        <w:t>the last to leave</w:t>
      </w:r>
      <w:r w:rsidR="00936EFB" w:rsidRPr="0013463A">
        <w:t xml:space="preserve">; he </w:t>
      </w:r>
      <w:r w:rsidRPr="0013463A">
        <w:t xml:space="preserve">never </w:t>
      </w:r>
      <w:r w:rsidR="00936EFB" w:rsidRPr="0013463A">
        <w:t xml:space="preserve">took </w:t>
      </w:r>
      <w:r w:rsidRPr="0013463A">
        <w:t xml:space="preserve">his eyes off Mr. Toussaint, still naked and kneeling on the ground in a corner of the cell, with his back turned. </w:t>
      </w:r>
      <w:r w:rsidR="001834C5" w:rsidRPr="0013463A">
        <w:t xml:space="preserve"> </w:t>
      </w:r>
    </w:p>
    <w:p w14:paraId="0AC2E35C" w14:textId="3B376D5F" w:rsidR="006B3499" w:rsidRPr="0013463A" w:rsidRDefault="00B60A45" w:rsidP="006A28AF">
      <w:pPr>
        <w:pStyle w:val="Paragraphe"/>
        <w:tabs>
          <w:tab w:val="clear" w:pos="567"/>
        </w:tabs>
      </w:pPr>
      <w:r w:rsidRPr="0013463A">
        <w:lastRenderedPageBreak/>
        <w:t xml:space="preserve">Mr. Toussaint was left alone, completely naked in this concrete room, </w:t>
      </w:r>
      <w:r w:rsidR="00936EFB" w:rsidRPr="0013463A">
        <w:t xml:space="preserve">furnished only with </w:t>
      </w:r>
      <w:r w:rsidRPr="0013463A">
        <w:t xml:space="preserve">a basin and </w:t>
      </w:r>
      <w:r w:rsidR="00936EFB" w:rsidRPr="0013463A">
        <w:t xml:space="preserve">a </w:t>
      </w:r>
      <w:r w:rsidRPr="0013463A">
        <w:t>steel toilet.</w:t>
      </w:r>
      <w:r w:rsidR="001834C5" w:rsidRPr="0013463A">
        <w:t xml:space="preserve"> </w:t>
      </w:r>
    </w:p>
    <w:p w14:paraId="7198F2B2" w14:textId="4438DFB1" w:rsidR="006B3499" w:rsidRPr="0013463A" w:rsidRDefault="00B60A45" w:rsidP="006A28AF">
      <w:pPr>
        <w:pStyle w:val="Paragraphe"/>
        <w:tabs>
          <w:tab w:val="clear" w:pos="567"/>
        </w:tabs>
      </w:pPr>
      <w:r w:rsidRPr="0013463A">
        <w:t>He spen</w:t>
      </w:r>
      <w:r w:rsidR="00936EFB" w:rsidRPr="0013463A">
        <w:t>t</w:t>
      </w:r>
      <w:r w:rsidRPr="0013463A">
        <w:t xml:space="preserve"> the rest of the day there, without clothing, food</w:t>
      </w:r>
      <w:r w:rsidR="00936EFB" w:rsidRPr="0013463A">
        <w:t>,</w:t>
      </w:r>
      <w:r w:rsidRPr="0013463A">
        <w:t xml:space="preserve"> or </w:t>
      </w:r>
      <w:r w:rsidR="00085973">
        <w:t xml:space="preserve">a </w:t>
      </w:r>
      <w:r w:rsidRPr="0013463A">
        <w:t xml:space="preserve">mattress, suffering from a headache and the fear of being disfigured by the burns from the inflammatory agent. </w:t>
      </w:r>
      <w:r w:rsidR="001834C5" w:rsidRPr="0013463A">
        <w:t xml:space="preserve"> </w:t>
      </w:r>
    </w:p>
    <w:p w14:paraId="13A3924C" w14:textId="0CBB853F" w:rsidR="006B3499" w:rsidRPr="0013463A" w:rsidRDefault="00B60A45" w:rsidP="006B3499">
      <w:pPr>
        <w:pStyle w:val="Paragraphe"/>
        <w:numPr>
          <w:ilvl w:val="0"/>
          <w:numId w:val="0"/>
        </w:numPr>
        <w:tabs>
          <w:tab w:val="clear" w:pos="567"/>
        </w:tabs>
        <w:rPr>
          <w:b/>
          <w:bCs/>
          <w:i/>
          <w:iCs/>
          <w:u w:val="single"/>
        </w:rPr>
      </w:pPr>
      <w:r w:rsidRPr="0013463A">
        <w:rPr>
          <w:b/>
          <w:bCs/>
          <w:i/>
          <w:iCs/>
          <w:u w:val="single"/>
        </w:rPr>
        <w:t>Leaving the facility</w:t>
      </w:r>
    </w:p>
    <w:p w14:paraId="05303C5D" w14:textId="4EF312BE" w:rsidR="006B3499" w:rsidRPr="0013463A" w:rsidRDefault="00B60A45" w:rsidP="006A28AF">
      <w:pPr>
        <w:pStyle w:val="Paragraphe"/>
        <w:tabs>
          <w:tab w:val="clear" w:pos="567"/>
        </w:tabs>
      </w:pPr>
      <w:r w:rsidRPr="0013463A">
        <w:t xml:space="preserve">In the late afternoon, Mr. Toussaint, still naked, was handcuffed </w:t>
      </w:r>
      <w:r w:rsidR="005E378A" w:rsidRPr="0013463A">
        <w:t xml:space="preserve">again </w:t>
      </w:r>
      <w:r w:rsidRPr="0013463A">
        <w:t xml:space="preserve">and </w:t>
      </w:r>
      <w:r w:rsidR="002B1E9A" w:rsidRPr="0013463A">
        <w:t>escorted</w:t>
      </w:r>
      <w:r w:rsidRPr="0013463A">
        <w:t xml:space="preserve"> by four </w:t>
      </w:r>
      <w:r w:rsidR="00110E24" w:rsidRPr="0013463A">
        <w:t>CO</w:t>
      </w:r>
      <w:r w:rsidRPr="0013463A">
        <w:t xml:space="preserve">s towards cell 34 to undergo another strip search, </w:t>
      </w:r>
      <w:r w:rsidR="00B46103" w:rsidRPr="0013463A">
        <w:t xml:space="preserve">on his knees </w:t>
      </w:r>
      <w:r w:rsidRPr="0013463A">
        <w:t>and facing the wall.</w:t>
      </w:r>
    </w:p>
    <w:p w14:paraId="26886B97" w14:textId="45D928EF" w:rsidR="006B3499" w:rsidRPr="0013463A" w:rsidRDefault="00B60A45" w:rsidP="006A28AF">
      <w:pPr>
        <w:pStyle w:val="Paragraphe"/>
        <w:tabs>
          <w:tab w:val="clear" w:pos="567"/>
        </w:tabs>
      </w:pPr>
      <w:r w:rsidRPr="0013463A">
        <w:t xml:space="preserve">He was told that a disciplinary report would be made. He says that one of the </w:t>
      </w:r>
      <w:r w:rsidR="00110E24" w:rsidRPr="0013463A">
        <w:t>CO</w:t>
      </w:r>
      <w:r w:rsidRPr="0013463A">
        <w:t xml:space="preserve">s even told him the following: </w:t>
      </w:r>
      <w:r w:rsidR="005E378A" w:rsidRPr="0013463A">
        <w:t>[</w:t>
      </w:r>
      <w:r w:rsidR="005E378A" w:rsidRPr="0013463A">
        <w:rPr>
          <w:smallCaps/>
        </w:rPr>
        <w:t>translation</w:t>
      </w:r>
      <w:r w:rsidR="005E378A" w:rsidRPr="0013463A">
        <w:t xml:space="preserve">] </w:t>
      </w:r>
      <w:r w:rsidRPr="0013463A">
        <w:t>“You’re lucky because we’d keep you here”.</w:t>
      </w:r>
    </w:p>
    <w:p w14:paraId="5A945559" w14:textId="3A81D678" w:rsidR="006B3499" w:rsidRPr="0013463A" w:rsidRDefault="00B60A45" w:rsidP="006A28AF">
      <w:pPr>
        <w:pStyle w:val="Paragraphe"/>
        <w:tabs>
          <w:tab w:val="clear" w:pos="567"/>
        </w:tabs>
      </w:pPr>
      <w:r w:rsidRPr="0013463A">
        <w:t xml:space="preserve">Since his clothes had been cut up and could no longer be used, Mr. Toussaint </w:t>
      </w:r>
      <w:r w:rsidR="00085973">
        <w:t>was given</w:t>
      </w:r>
      <w:r w:rsidRPr="0013463A">
        <w:t xml:space="preserve"> used clothing to wear home.</w:t>
      </w:r>
    </w:p>
    <w:p w14:paraId="079B1AD7" w14:textId="1A9BAF60" w:rsidR="006B3499" w:rsidRPr="0013463A" w:rsidRDefault="00B60A45" w:rsidP="006A28AF">
      <w:pPr>
        <w:pStyle w:val="Paragraphe"/>
        <w:tabs>
          <w:tab w:val="clear" w:pos="567"/>
        </w:tabs>
      </w:pPr>
      <w:r w:rsidRPr="0013463A">
        <w:t xml:space="preserve">He had to wear a </w:t>
      </w:r>
      <w:r w:rsidR="00085973">
        <w:t>T</w:t>
      </w:r>
      <w:r w:rsidR="002B1E9A" w:rsidRPr="0013463A">
        <w:t>-shirt</w:t>
      </w:r>
      <w:r w:rsidRPr="0013463A">
        <w:t xml:space="preserve"> </w:t>
      </w:r>
      <w:r w:rsidR="00CB5DFE" w:rsidRPr="0013463A">
        <w:t>featuring</w:t>
      </w:r>
      <w:r w:rsidRPr="0013463A">
        <w:t xml:space="preserve"> the acronym “CDQ” </w:t>
      </w:r>
      <w:r w:rsidR="00943743" w:rsidRPr="0013463A">
        <w:t xml:space="preserve">written in black felt </w:t>
      </w:r>
      <w:r w:rsidR="00A8701E">
        <w:t>marker</w:t>
      </w:r>
      <w:r w:rsidR="00943743" w:rsidRPr="0013463A">
        <w:t xml:space="preserve">, </w:t>
      </w:r>
      <w:r w:rsidRPr="0013463A">
        <w:t>followed by “(prison)” in smaller letters.</w:t>
      </w:r>
    </w:p>
    <w:p w14:paraId="646165F9" w14:textId="17B0D735" w:rsidR="006B3499" w:rsidRPr="0013463A" w:rsidRDefault="00B60A45" w:rsidP="006A28AF">
      <w:pPr>
        <w:pStyle w:val="Paragraphe"/>
        <w:tabs>
          <w:tab w:val="clear" w:pos="567"/>
        </w:tabs>
      </w:pPr>
      <w:r w:rsidRPr="0013463A">
        <w:t>He recovered a bag containing his cut</w:t>
      </w:r>
      <w:r w:rsidR="004C2161">
        <w:t>-</w:t>
      </w:r>
      <w:r w:rsidRPr="0013463A">
        <w:t xml:space="preserve">up clothing and </w:t>
      </w:r>
      <w:r w:rsidR="00CB5DFE" w:rsidRPr="0013463A">
        <w:t>the</w:t>
      </w:r>
      <w:r w:rsidRPr="0013463A">
        <w:t xml:space="preserve"> personal effects</w:t>
      </w:r>
      <w:r w:rsidR="00CB5DFE" w:rsidRPr="0013463A">
        <w:t xml:space="preserve"> </w:t>
      </w:r>
      <w:r w:rsidRPr="0013463A">
        <w:t xml:space="preserve">he had deposited that morning in a locker at the </w:t>
      </w:r>
      <w:r w:rsidR="00CB5DFE" w:rsidRPr="0013463A">
        <w:t xml:space="preserve">admissions </w:t>
      </w:r>
      <w:r w:rsidRPr="0013463A">
        <w:t>station. Then he went to his car and phoned his father. [</w:t>
      </w:r>
      <w:r w:rsidRPr="0013463A">
        <w:rPr>
          <w:smallCaps/>
        </w:rPr>
        <w:t>translation</w:t>
      </w:r>
      <w:r w:rsidRPr="0013463A">
        <w:t>] “I needed him”.</w:t>
      </w:r>
    </w:p>
    <w:p w14:paraId="0791E052" w14:textId="36A9BA09" w:rsidR="006B3499" w:rsidRPr="0013463A" w:rsidRDefault="00B60A45" w:rsidP="006A28AF">
      <w:pPr>
        <w:pStyle w:val="Paragraphe"/>
        <w:tabs>
          <w:tab w:val="clear" w:pos="567"/>
        </w:tabs>
      </w:pPr>
      <w:r w:rsidRPr="0013463A">
        <w:t>Then he went home, [</w:t>
      </w:r>
      <w:r w:rsidRPr="0013463A">
        <w:rPr>
          <w:smallCaps/>
        </w:rPr>
        <w:t>translation</w:t>
      </w:r>
      <w:r w:rsidRPr="0013463A">
        <w:t>] “in shock”.</w:t>
      </w:r>
      <w:r w:rsidR="001834C5" w:rsidRPr="0013463A">
        <w:t xml:space="preserve"> </w:t>
      </w:r>
    </w:p>
    <w:p w14:paraId="02575B9F" w14:textId="47125059" w:rsidR="006B3499" w:rsidRPr="0013463A" w:rsidRDefault="00BD639B" w:rsidP="006B3499">
      <w:pPr>
        <w:pStyle w:val="Paragraphe"/>
        <w:numPr>
          <w:ilvl w:val="0"/>
          <w:numId w:val="0"/>
        </w:numPr>
        <w:jc w:val="center"/>
      </w:pPr>
      <w:r w:rsidRPr="0013463A">
        <w:t>* * *</w:t>
      </w:r>
    </w:p>
    <w:p w14:paraId="6C628E38" w14:textId="4EE6BB2D" w:rsidR="006B3499" w:rsidRPr="0013463A" w:rsidRDefault="002B1E9A" w:rsidP="006A28AF">
      <w:pPr>
        <w:pStyle w:val="Paragraphe"/>
        <w:tabs>
          <w:tab w:val="clear" w:pos="567"/>
        </w:tabs>
      </w:pPr>
      <w:r w:rsidRPr="0013463A">
        <w:t>After its investigation</w:t>
      </w:r>
      <w:r w:rsidR="00943743" w:rsidRPr="0013463A">
        <w:t>, which</w:t>
      </w:r>
      <w:r w:rsidRPr="0013463A">
        <w:t xml:space="preserve"> </w:t>
      </w:r>
      <w:r w:rsidR="00CB5DFE" w:rsidRPr="0013463A">
        <w:t>took</w:t>
      </w:r>
      <w:r w:rsidRPr="0013463A">
        <w:t xml:space="preserve"> several years, the CDPDJ filed its judicial application on April 19, 2021. The </w:t>
      </w:r>
      <w:r w:rsidR="00943743" w:rsidRPr="0013463A">
        <w:t>application</w:t>
      </w:r>
      <w:r w:rsidRPr="0013463A">
        <w:t xml:space="preserve"> was served on each of the </w:t>
      </w:r>
      <w:r w:rsidR="00110E24" w:rsidRPr="0013463A">
        <w:t>CO</w:t>
      </w:r>
      <w:r w:rsidRPr="0013463A">
        <w:t xml:space="preserve"> defendants on April 20, 2021, and then on the AGQ on April 30, 2021.</w:t>
      </w:r>
    </w:p>
    <w:p w14:paraId="1BF6E1AD" w14:textId="706084B6" w:rsidR="006B3499" w:rsidRPr="0013463A" w:rsidRDefault="002B1E9A">
      <w:pPr>
        <w:pStyle w:val="Titre1"/>
        <w:rPr>
          <w:lang w:val="en-CA"/>
        </w:rPr>
      </w:pPr>
      <w:r w:rsidRPr="0013463A">
        <w:rPr>
          <w:lang w:val="en-CA"/>
        </w:rPr>
        <w:t>ANALYSIS</w:t>
      </w:r>
      <w:r w:rsidR="001834C5" w:rsidRPr="0013463A">
        <w:rPr>
          <w:lang w:val="en-CA"/>
        </w:rPr>
        <w:t xml:space="preserve"> </w:t>
      </w:r>
    </w:p>
    <w:p w14:paraId="693C6078" w14:textId="23527EFF" w:rsidR="006B3499" w:rsidRPr="0013463A" w:rsidRDefault="002B1E9A" w:rsidP="006A28AF">
      <w:pPr>
        <w:pStyle w:val="Paragraphe"/>
        <w:tabs>
          <w:tab w:val="clear" w:pos="567"/>
        </w:tabs>
      </w:pPr>
      <w:r w:rsidRPr="0013463A">
        <w:t>Before discussing the merits</w:t>
      </w:r>
      <w:r w:rsidR="002A7DFE">
        <w:t xml:space="preserve"> of the dispute</w:t>
      </w:r>
      <w:r w:rsidRPr="0013463A">
        <w:t>, the Tribunal must rule on an objection to the evidence raised at the hearing by the CDPDJ.</w:t>
      </w:r>
    </w:p>
    <w:p w14:paraId="4C4DC564" w14:textId="75C1A2F9" w:rsidR="006B3499" w:rsidRPr="0013463A" w:rsidRDefault="002B1E9A" w:rsidP="006A28AF">
      <w:pPr>
        <w:pStyle w:val="Paragraphe"/>
        <w:tabs>
          <w:tab w:val="clear" w:pos="567"/>
        </w:tabs>
      </w:pPr>
      <w:r w:rsidRPr="0013463A">
        <w:lastRenderedPageBreak/>
        <w:t>In support of their defence, the defendants filed computer summaries from the court ledger</w:t>
      </w:r>
      <w:r w:rsidR="00943743" w:rsidRPr="0013463A">
        <w:rPr>
          <w:rStyle w:val="Appelnotedebasdep"/>
        </w:rPr>
        <w:footnoteReference w:id="52"/>
      </w:r>
      <w:r w:rsidRPr="0013463A">
        <w:t xml:space="preserve"> to establish that Mr. Toussaint </w:t>
      </w:r>
      <w:r w:rsidR="00EF2307">
        <w:t>apparently</w:t>
      </w:r>
      <w:r w:rsidRPr="0013463A">
        <w:t xml:space="preserve"> committed criminal offences other than those for which he was serving his intermittent sentence</w:t>
      </w:r>
      <w:r w:rsidR="004C2161">
        <w:t xml:space="preserve"> of imprisonment</w:t>
      </w:r>
      <w:r w:rsidRPr="0013463A">
        <w:t>.</w:t>
      </w:r>
    </w:p>
    <w:p w14:paraId="5E9A7973" w14:textId="7FCCFE88" w:rsidR="006B3499" w:rsidRPr="0013463A" w:rsidRDefault="002B1E9A" w:rsidP="006A28AF">
      <w:pPr>
        <w:pStyle w:val="Paragraphe"/>
        <w:tabs>
          <w:tab w:val="clear" w:pos="567"/>
        </w:tabs>
      </w:pPr>
      <w:r w:rsidRPr="0013463A">
        <w:t xml:space="preserve">It appears from these exhibits (D-8 and D-15) that those </w:t>
      </w:r>
      <w:r w:rsidR="00993175" w:rsidRPr="0013463A">
        <w:t>offences</w:t>
      </w:r>
      <w:r w:rsidRPr="0013463A">
        <w:t xml:space="preserve"> all took place </w:t>
      </w:r>
      <w:r w:rsidR="00993175" w:rsidRPr="0013463A">
        <w:rPr>
          <w:i/>
        </w:rPr>
        <w:t>after</w:t>
      </w:r>
      <w:r w:rsidRPr="0013463A">
        <w:t xml:space="preserve"> December 4, 2016.</w:t>
      </w:r>
    </w:p>
    <w:p w14:paraId="67320EBC" w14:textId="1C0CDE75" w:rsidR="006B3499" w:rsidRPr="0013463A" w:rsidRDefault="002B1E9A" w:rsidP="006A28AF">
      <w:pPr>
        <w:pStyle w:val="Paragraphe"/>
        <w:tabs>
          <w:tab w:val="clear" w:pos="567"/>
        </w:tabs>
      </w:pPr>
      <w:r w:rsidRPr="0013463A">
        <w:t>In principle, whether a given act is discriminatory is assessed on the facts known by the perpetrator at the time he committed them.</w:t>
      </w:r>
      <w:r w:rsidRPr="0013463A">
        <w:rPr>
          <w:rStyle w:val="Appelnotedebasdep"/>
        </w:rPr>
        <w:footnoteReference w:id="53"/>
      </w:r>
      <w:r w:rsidR="001834C5" w:rsidRPr="0013463A">
        <w:t xml:space="preserve">  </w:t>
      </w:r>
    </w:p>
    <w:p w14:paraId="066C39F6" w14:textId="294C621E" w:rsidR="006B3499" w:rsidRPr="0013463A" w:rsidRDefault="002B1E9A" w:rsidP="006A28AF">
      <w:pPr>
        <w:pStyle w:val="Paragraphe"/>
        <w:tabs>
          <w:tab w:val="clear" w:pos="567"/>
        </w:tabs>
      </w:pPr>
      <w:r w:rsidRPr="0013463A">
        <w:t>Certainly, evidence from a time after the facts in dispute is not automatically inadmissible.</w:t>
      </w:r>
      <w:r w:rsidR="001834C5" w:rsidRPr="0013463A">
        <w:t xml:space="preserve"> </w:t>
      </w:r>
      <w:r w:rsidRPr="0013463A">
        <w:t>However, it must [</w:t>
      </w:r>
      <w:r w:rsidRPr="0013463A">
        <w:rPr>
          <w:smallCaps/>
        </w:rPr>
        <w:t>translation</w:t>
      </w:r>
      <w:r w:rsidRPr="0013463A">
        <w:t xml:space="preserve">] “help clarify” whether the discriminatory conduct alleged against a party was justified when it </w:t>
      </w:r>
      <w:r w:rsidR="00B03318">
        <w:t>occurred</w:t>
      </w:r>
      <w:r w:rsidRPr="0013463A">
        <w:t>.</w:t>
      </w:r>
      <w:r w:rsidRPr="0013463A">
        <w:rPr>
          <w:rStyle w:val="Appelnotedebasdep"/>
        </w:rPr>
        <w:footnoteReference w:id="54"/>
      </w:r>
      <w:r w:rsidR="001834C5" w:rsidRPr="0013463A">
        <w:t xml:space="preserve"> </w:t>
      </w:r>
    </w:p>
    <w:p w14:paraId="00F848EB" w14:textId="1EF96797" w:rsidR="006B3499" w:rsidRPr="00B03318" w:rsidRDefault="002B1E9A" w:rsidP="006A28AF">
      <w:pPr>
        <w:pStyle w:val="Paragraphe"/>
        <w:tabs>
          <w:tab w:val="clear" w:pos="567"/>
        </w:tabs>
        <w:rPr>
          <w:lang w:val="fr-CA"/>
        </w:rPr>
      </w:pPr>
      <w:r w:rsidRPr="00146E14">
        <w:rPr>
          <w:lang w:val="fr-CA"/>
        </w:rPr>
        <w:t xml:space="preserve">In </w:t>
      </w:r>
      <w:r w:rsidR="00993175" w:rsidRPr="00146E14">
        <w:rPr>
          <w:i/>
          <w:iCs/>
          <w:lang w:val="fr-CA"/>
        </w:rPr>
        <w:t>Commission des droits</w:t>
      </w:r>
      <w:r w:rsidR="00993175" w:rsidRPr="00146E14">
        <w:rPr>
          <w:lang w:val="fr-CA"/>
        </w:rPr>
        <w:t xml:space="preserve"> </w:t>
      </w:r>
      <w:r w:rsidRPr="00146E14">
        <w:rPr>
          <w:i/>
          <w:lang w:val="fr-CA"/>
        </w:rPr>
        <w:t>de la personne et des droits de la jeunesse (Lecavalier et autres) c. Ville de Montréal (SPVM)</w:t>
      </w:r>
      <w:r w:rsidRPr="00146E14">
        <w:rPr>
          <w:lang w:val="fr-CA"/>
        </w:rPr>
        <w:t>,</w:t>
      </w:r>
      <w:r w:rsidRPr="0013463A">
        <w:rPr>
          <w:rStyle w:val="Appelnotedebasdep"/>
        </w:rPr>
        <w:footnoteReference w:id="55"/>
      </w:r>
      <w:r w:rsidR="00993175" w:rsidRPr="00B03318">
        <w:rPr>
          <w:lang w:val="fr-CA"/>
        </w:rPr>
        <w:t xml:space="preserve"> </w:t>
      </w:r>
      <w:r w:rsidR="002C5B76" w:rsidRPr="00B03318">
        <w:rPr>
          <w:lang w:val="fr-CA"/>
        </w:rPr>
        <w:t>the</w:t>
      </w:r>
      <w:r w:rsidRPr="00B03318">
        <w:rPr>
          <w:lang w:val="fr-CA"/>
        </w:rPr>
        <w:t xml:space="preserve"> Tribunal wrote:</w:t>
      </w:r>
    </w:p>
    <w:p w14:paraId="3B5AEC51" w14:textId="77777777" w:rsidR="00993175" w:rsidRPr="0013463A" w:rsidRDefault="002B1E9A" w:rsidP="006B3499">
      <w:pPr>
        <w:pStyle w:val="Citationenretrait"/>
        <w:rPr>
          <w:lang w:val="en-CA"/>
        </w:rPr>
      </w:pPr>
      <w:r w:rsidRPr="0013463A">
        <w:rPr>
          <w:lang w:val="en-CA"/>
        </w:rPr>
        <w:t>[</w:t>
      </w:r>
      <w:r w:rsidRPr="0013463A">
        <w:rPr>
          <w:smallCaps/>
          <w:lang w:val="en-CA"/>
        </w:rPr>
        <w:t>translation</w:t>
      </w:r>
      <w:r w:rsidRPr="0013463A">
        <w:rPr>
          <w:lang w:val="en-CA"/>
        </w:rPr>
        <w:t>]</w:t>
      </w:r>
    </w:p>
    <w:p w14:paraId="50121BD6" w14:textId="7277AA03" w:rsidR="006B3499" w:rsidRPr="0013463A" w:rsidRDefault="002B1E9A" w:rsidP="006B3499">
      <w:pPr>
        <w:pStyle w:val="Citationenretrait"/>
        <w:rPr>
          <w:lang w:val="en-CA"/>
        </w:rPr>
      </w:pPr>
      <w:r w:rsidRPr="0013463A">
        <w:rPr>
          <w:lang w:val="en-CA"/>
        </w:rPr>
        <w:t xml:space="preserve">[64] </w:t>
      </w:r>
      <w:r w:rsidRPr="0013463A">
        <w:rPr>
          <w:u w:val="single"/>
          <w:lang w:val="en-CA"/>
        </w:rPr>
        <w:t>There is no rule prohibiting a party from establishing a fact subsequent to the facts underlying an action</w:t>
      </w:r>
      <w:r w:rsidRPr="0013463A">
        <w:rPr>
          <w:lang w:val="en-CA"/>
        </w:rPr>
        <w:t>.</w:t>
      </w:r>
      <w:r w:rsidR="001834C5" w:rsidRPr="0013463A">
        <w:rPr>
          <w:lang w:val="en-CA"/>
        </w:rPr>
        <w:t xml:space="preserve"> </w:t>
      </w:r>
      <w:r w:rsidRPr="0013463A">
        <w:rPr>
          <w:lang w:val="en-CA"/>
        </w:rPr>
        <w:t xml:space="preserve">Indeed, article 170 [of the </w:t>
      </w:r>
      <w:r w:rsidRPr="0013463A">
        <w:rPr>
          <w:i/>
          <w:iCs/>
          <w:lang w:val="en-CA"/>
        </w:rPr>
        <w:t>Code of Civil Procedure</w:t>
      </w:r>
      <w:r w:rsidRPr="0013463A">
        <w:rPr>
          <w:lang w:val="en-CA"/>
        </w:rPr>
        <w:t xml:space="preserve">] allows a party to allege </w:t>
      </w:r>
      <w:r w:rsidR="004C2161">
        <w:rPr>
          <w:lang w:val="en-CA"/>
        </w:rPr>
        <w:t xml:space="preserve">in his defense </w:t>
      </w:r>
      <w:r w:rsidRPr="0013463A">
        <w:rPr>
          <w:lang w:val="en-CA"/>
        </w:rPr>
        <w:t>any material facts, even material facts that have arisen since the application was instituted.</w:t>
      </w:r>
      <w:r w:rsidR="001834C5" w:rsidRPr="0013463A">
        <w:rPr>
          <w:lang w:val="en-CA"/>
        </w:rPr>
        <w:t xml:space="preserve"> </w:t>
      </w:r>
      <w:r w:rsidRPr="0013463A">
        <w:rPr>
          <w:lang w:val="en-CA"/>
        </w:rPr>
        <w:t xml:space="preserve">According to the general rule established in article 2857 [of the </w:t>
      </w:r>
      <w:r w:rsidRPr="0013463A">
        <w:rPr>
          <w:i/>
          <w:iCs/>
          <w:lang w:val="en-CA"/>
        </w:rPr>
        <w:t>Civil Code of Québec</w:t>
      </w:r>
      <w:r w:rsidRPr="0013463A">
        <w:rPr>
          <w:lang w:val="en-CA"/>
        </w:rPr>
        <w:t xml:space="preserve">], restated in section 123 of the </w:t>
      </w:r>
      <w:r w:rsidRPr="0013463A">
        <w:rPr>
          <w:i/>
          <w:iCs/>
          <w:lang w:val="en-CA"/>
        </w:rPr>
        <w:t>Charter</w:t>
      </w:r>
      <w:r w:rsidRPr="0013463A">
        <w:rPr>
          <w:lang w:val="en-CA"/>
        </w:rPr>
        <w:t xml:space="preserve"> and confirmed by the Supreme Court, </w:t>
      </w:r>
      <w:r w:rsidRPr="0013463A">
        <w:rPr>
          <w:u w:val="single"/>
          <w:lang w:val="en-CA"/>
        </w:rPr>
        <w:t>subsequent evidence is admissible only if relevant to the case.</w:t>
      </w:r>
    </w:p>
    <w:p w14:paraId="61C2D0FC" w14:textId="6BF6B54F" w:rsidR="006B3499" w:rsidRPr="0013463A" w:rsidRDefault="002B1E9A" w:rsidP="006B3499">
      <w:pPr>
        <w:pStyle w:val="Citationenretrait"/>
        <w:rPr>
          <w:u w:val="single"/>
          <w:lang w:val="en-CA"/>
        </w:rPr>
      </w:pPr>
      <w:r w:rsidRPr="0013463A">
        <w:rPr>
          <w:u w:val="single"/>
          <w:lang w:val="en-CA"/>
        </w:rPr>
        <w:t xml:space="preserve">[65] </w:t>
      </w:r>
      <w:r w:rsidR="00993175" w:rsidRPr="0013463A">
        <w:rPr>
          <w:u w:val="single"/>
          <w:lang w:val="en-CA"/>
        </w:rPr>
        <w:t>Subsequent</w:t>
      </w:r>
      <w:r w:rsidRPr="0013463A">
        <w:rPr>
          <w:u w:val="single"/>
          <w:lang w:val="en-CA"/>
        </w:rPr>
        <w:t xml:space="preserve"> fact evidence is thus admissible exceptional</w:t>
      </w:r>
      <w:r w:rsidR="00993175" w:rsidRPr="0013463A">
        <w:rPr>
          <w:u w:val="single"/>
          <w:lang w:val="en-CA"/>
        </w:rPr>
        <w:t>ly</w:t>
      </w:r>
      <w:r w:rsidRPr="0013463A">
        <w:rPr>
          <w:u w:val="single"/>
          <w:lang w:val="en-CA"/>
        </w:rPr>
        <w:t>, only if it sheds light on the events in dispute</w:t>
      </w:r>
      <w:r w:rsidR="00993175" w:rsidRPr="0013463A">
        <w:rPr>
          <w:u w:val="single"/>
          <w:lang w:val="en-CA"/>
        </w:rPr>
        <w:t xml:space="preserve">. </w:t>
      </w:r>
    </w:p>
    <w:p w14:paraId="09D83C9A" w14:textId="554C769A" w:rsidR="006B3499" w:rsidRPr="0013463A" w:rsidRDefault="00147A04" w:rsidP="006B3499">
      <w:pPr>
        <w:pStyle w:val="Citationenretrait"/>
        <w:jc w:val="right"/>
        <w:rPr>
          <w:sz w:val="20"/>
          <w:lang w:val="en-CA"/>
        </w:rPr>
      </w:pPr>
      <w:r w:rsidRPr="0013463A">
        <w:rPr>
          <w:sz w:val="20"/>
          <w:lang w:val="en-CA"/>
        </w:rPr>
        <w:t>(Emphasis added)</w:t>
      </w:r>
    </w:p>
    <w:p w14:paraId="47998662" w14:textId="3C03DCA2" w:rsidR="006B3499" w:rsidRPr="0013463A" w:rsidRDefault="002B1E9A" w:rsidP="006B3499">
      <w:pPr>
        <w:pStyle w:val="Citationenretrait"/>
        <w:jc w:val="right"/>
        <w:rPr>
          <w:sz w:val="20"/>
          <w:lang w:val="en-CA"/>
        </w:rPr>
      </w:pPr>
      <w:r w:rsidRPr="0013463A">
        <w:rPr>
          <w:sz w:val="20"/>
          <w:lang w:val="en-CA"/>
        </w:rPr>
        <w:t>(</w:t>
      </w:r>
      <w:r w:rsidR="00993175" w:rsidRPr="0013463A">
        <w:rPr>
          <w:sz w:val="20"/>
          <w:lang w:val="en-CA"/>
        </w:rPr>
        <w:t>References</w:t>
      </w:r>
      <w:r w:rsidRPr="0013463A">
        <w:rPr>
          <w:sz w:val="20"/>
          <w:lang w:val="en-CA"/>
        </w:rPr>
        <w:t xml:space="preserve"> omitted)</w:t>
      </w:r>
    </w:p>
    <w:p w14:paraId="67C53E68" w14:textId="75C4332B" w:rsidR="006B3499" w:rsidRPr="0013463A" w:rsidRDefault="002B1E9A" w:rsidP="006A28AF">
      <w:pPr>
        <w:pStyle w:val="Paragraphe"/>
        <w:tabs>
          <w:tab w:val="clear" w:pos="567"/>
        </w:tabs>
      </w:pPr>
      <w:r w:rsidRPr="0013463A">
        <w:t>In this case, the Tribunal must</w:t>
      </w:r>
      <w:r w:rsidR="00B03318">
        <w:t xml:space="preserve"> </w:t>
      </w:r>
      <w:r w:rsidR="002B6F68">
        <w:t xml:space="preserve">essentially </w:t>
      </w:r>
      <w:r w:rsidR="00993175" w:rsidRPr="0013463A">
        <w:t xml:space="preserve">determine </w:t>
      </w:r>
      <w:r w:rsidRPr="0013463A">
        <w:t xml:space="preserve">whether or not the </w:t>
      </w:r>
      <w:r w:rsidR="00FC49F4" w:rsidRPr="0013463A">
        <w:t xml:space="preserve">conduct of the </w:t>
      </w:r>
      <w:r w:rsidR="00110E24" w:rsidRPr="0013463A">
        <w:t>CO</w:t>
      </w:r>
      <w:r w:rsidRPr="0013463A">
        <w:t xml:space="preserve">s </w:t>
      </w:r>
      <w:r w:rsidR="00FC49F4" w:rsidRPr="0013463A">
        <w:t xml:space="preserve">was </w:t>
      </w:r>
      <w:r w:rsidR="00993175" w:rsidRPr="0013463A">
        <w:t>unlawful</w:t>
      </w:r>
      <w:r w:rsidR="00FC49F4" w:rsidRPr="0013463A">
        <w:t>ly</w:t>
      </w:r>
      <w:r w:rsidR="00993175" w:rsidRPr="0013463A">
        <w:t xml:space="preserve"> discrimina</w:t>
      </w:r>
      <w:r w:rsidR="00FC49F4" w:rsidRPr="0013463A">
        <w:t xml:space="preserve">tory </w:t>
      </w:r>
      <w:r w:rsidR="00993175" w:rsidRPr="0013463A">
        <w:t xml:space="preserve">against Mr. Toussaint </w:t>
      </w:r>
      <w:r w:rsidRPr="0013463A">
        <w:t>on December 4, 2016.</w:t>
      </w:r>
    </w:p>
    <w:p w14:paraId="14F80FB3" w14:textId="0FAFAAA3" w:rsidR="006B3499" w:rsidRPr="0013463A" w:rsidRDefault="002B1E9A" w:rsidP="006A28AF">
      <w:pPr>
        <w:pStyle w:val="Paragraphe"/>
        <w:tabs>
          <w:tab w:val="clear" w:pos="567"/>
        </w:tabs>
      </w:pPr>
      <w:r w:rsidRPr="0013463A">
        <w:lastRenderedPageBreak/>
        <w:t xml:space="preserve">The fact that Mr. Toussaint was subsequently charged with offences under the </w:t>
      </w:r>
      <w:r w:rsidRPr="0013463A">
        <w:rPr>
          <w:i/>
          <w:iCs/>
        </w:rPr>
        <w:t>Criminal Code</w:t>
      </w:r>
      <w:r w:rsidRPr="0013463A">
        <w:t xml:space="preserve"> is therefore not relevant to </w:t>
      </w:r>
      <w:r w:rsidR="006A7D7F" w:rsidRPr="0013463A">
        <w:t>making such a demonstration</w:t>
      </w:r>
      <w:r w:rsidRPr="0013463A">
        <w:t>.</w:t>
      </w:r>
      <w:r w:rsidR="001834C5" w:rsidRPr="0013463A">
        <w:t xml:space="preserve"> </w:t>
      </w:r>
    </w:p>
    <w:p w14:paraId="0B7EF96F" w14:textId="2BE31961" w:rsidR="006B3499" w:rsidRPr="0013463A" w:rsidRDefault="002B1E9A" w:rsidP="006A28AF">
      <w:pPr>
        <w:pStyle w:val="Paragraphe"/>
        <w:tabs>
          <w:tab w:val="clear" w:pos="567"/>
        </w:tabs>
      </w:pPr>
      <w:r w:rsidRPr="0013463A">
        <w:t>Because “</w:t>
      </w:r>
      <w:r w:rsidRPr="0013463A">
        <w:rPr>
          <w:i/>
          <w:iCs/>
        </w:rPr>
        <w:t>ex post facto</w:t>
      </w:r>
      <w:r w:rsidRPr="0013463A">
        <w:t xml:space="preserve"> evidence is admissible only if relevant to the case”,</w:t>
      </w:r>
      <w:r w:rsidRPr="0013463A">
        <w:rPr>
          <w:rStyle w:val="Appelnotedebasdep"/>
        </w:rPr>
        <w:footnoteReference w:id="56"/>
      </w:r>
      <w:r w:rsidRPr="0013463A">
        <w:t xml:space="preserve"> the CDPDJ’s objection should be upheld</w:t>
      </w:r>
      <w:r w:rsidR="00CD3F5E" w:rsidRPr="0013463A">
        <w:t>,</w:t>
      </w:r>
      <w:r w:rsidRPr="0013463A">
        <w:t xml:space="preserve"> and exhibits D-8 and D-15 should not be taken into consideration.</w:t>
      </w:r>
    </w:p>
    <w:p w14:paraId="2133BBAB" w14:textId="4C1FA2F1" w:rsidR="006B3499" w:rsidRPr="0013463A" w:rsidRDefault="0082224D" w:rsidP="006A28AF">
      <w:pPr>
        <w:pStyle w:val="Paragraphe"/>
        <w:tabs>
          <w:tab w:val="clear" w:pos="567"/>
        </w:tabs>
      </w:pPr>
      <w:r w:rsidRPr="0013463A">
        <w:t xml:space="preserve">The matter must now be </w:t>
      </w:r>
      <w:r w:rsidR="002B1E9A" w:rsidRPr="0013463A">
        <w:t>decide</w:t>
      </w:r>
      <w:r w:rsidRPr="0013463A">
        <w:t xml:space="preserve">d </w:t>
      </w:r>
      <w:r w:rsidR="002B1E9A" w:rsidRPr="0013463A">
        <w:t>on the merits.</w:t>
      </w:r>
    </w:p>
    <w:p w14:paraId="58B34644" w14:textId="68372E42" w:rsidR="006B3499" w:rsidRPr="0013463A" w:rsidRDefault="002B1E9A">
      <w:pPr>
        <w:pStyle w:val="Titre2"/>
        <w:rPr>
          <w:lang w:val="en-CA"/>
        </w:rPr>
      </w:pPr>
      <w:r w:rsidRPr="0013463A">
        <w:rPr>
          <w:lang w:val="en-CA"/>
        </w:rPr>
        <w:t>Discrimination</w:t>
      </w:r>
    </w:p>
    <w:p w14:paraId="709B92EA" w14:textId="377AAB6E" w:rsidR="006B3499" w:rsidRPr="0013463A" w:rsidRDefault="002B1E9A" w:rsidP="006A28AF">
      <w:pPr>
        <w:pStyle w:val="Paragraphe"/>
        <w:tabs>
          <w:tab w:val="clear" w:pos="567"/>
        </w:tabs>
      </w:pPr>
      <w:r w:rsidRPr="0013463A">
        <w:t>In paragraph 62 of its factum, the CDPDJ argues:</w:t>
      </w:r>
    </w:p>
    <w:p w14:paraId="6D9C9A94" w14:textId="77777777" w:rsidR="00CD3F5E" w:rsidRPr="0013463A" w:rsidRDefault="002B1E9A" w:rsidP="00FC10F8">
      <w:pPr>
        <w:pStyle w:val="Citationenretrait"/>
        <w:rPr>
          <w:lang w:val="en-CA"/>
        </w:rPr>
      </w:pPr>
      <w:r w:rsidRPr="0013463A">
        <w:rPr>
          <w:lang w:val="en-CA"/>
        </w:rPr>
        <w:t>[</w:t>
      </w:r>
      <w:r w:rsidRPr="0013463A">
        <w:rPr>
          <w:smallCaps/>
          <w:lang w:val="en-CA"/>
        </w:rPr>
        <w:t>translation</w:t>
      </w:r>
      <w:r w:rsidRPr="0013463A">
        <w:rPr>
          <w:lang w:val="en-CA"/>
        </w:rPr>
        <w:t>]</w:t>
      </w:r>
    </w:p>
    <w:p w14:paraId="1B6010A6" w14:textId="214B3996" w:rsidR="006B3499" w:rsidRPr="0013463A" w:rsidRDefault="002B1E9A" w:rsidP="00FC10F8">
      <w:pPr>
        <w:pStyle w:val="Citationenretrait"/>
        <w:rPr>
          <w:lang w:val="en-CA"/>
        </w:rPr>
      </w:pPr>
      <w:r w:rsidRPr="0013463A">
        <w:rPr>
          <w:lang w:val="en-CA"/>
        </w:rPr>
        <w:t xml:space="preserve"> ... in the performance of their duties and while they were in a position of authority, the defendants violated the complainant’s right to the full and equal recognition and exercise of </w:t>
      </w:r>
      <w:r w:rsidR="00650476">
        <w:rPr>
          <w:lang w:val="en-CA"/>
        </w:rPr>
        <w:t xml:space="preserve">the right to personal security and inviolability, </w:t>
      </w:r>
      <w:r w:rsidRPr="0013463A">
        <w:rPr>
          <w:lang w:val="en-CA"/>
        </w:rPr>
        <w:t xml:space="preserve">the right to the safeguard of his dignity, </w:t>
      </w:r>
      <w:r w:rsidR="00650476">
        <w:rPr>
          <w:lang w:val="en-CA"/>
        </w:rPr>
        <w:t xml:space="preserve">the right </w:t>
      </w:r>
      <w:r w:rsidR="00A8598F">
        <w:rPr>
          <w:lang w:val="en-CA"/>
        </w:rPr>
        <w:t xml:space="preserve">not </w:t>
      </w:r>
      <w:r w:rsidR="00650476">
        <w:rPr>
          <w:lang w:val="en-CA"/>
        </w:rPr>
        <w:t>to be</w:t>
      </w:r>
      <w:r w:rsidR="00A8598F">
        <w:rPr>
          <w:lang w:val="en-CA"/>
        </w:rPr>
        <w:t xml:space="preserve"> subjected to </w:t>
      </w:r>
      <w:r w:rsidR="00650476">
        <w:rPr>
          <w:lang w:val="en-CA"/>
        </w:rPr>
        <w:t xml:space="preserve">unreasonable searches, as well </w:t>
      </w:r>
      <w:r w:rsidR="00D81B96">
        <w:rPr>
          <w:lang w:val="en-CA"/>
        </w:rPr>
        <w:t>as his rights, as a detaine</w:t>
      </w:r>
      <w:r w:rsidR="009928FF">
        <w:rPr>
          <w:lang w:val="en-CA"/>
        </w:rPr>
        <w:t>d person</w:t>
      </w:r>
      <w:r w:rsidR="00D81B96">
        <w:rPr>
          <w:lang w:val="en-CA"/>
        </w:rPr>
        <w:t xml:space="preserve">, </w:t>
      </w:r>
      <w:r w:rsidRPr="0013463A">
        <w:rPr>
          <w:lang w:val="en-CA"/>
        </w:rPr>
        <w:t xml:space="preserve">to be treated with humanity and respect, and to receive separate treatment appropriate to his mental condition, the whole without distinction </w:t>
      </w:r>
      <w:r w:rsidR="00D81B96">
        <w:rPr>
          <w:lang w:val="en-CA"/>
        </w:rPr>
        <w:t xml:space="preserve">or exclusion </w:t>
      </w:r>
      <w:r w:rsidRPr="0013463A">
        <w:rPr>
          <w:lang w:val="en-CA"/>
        </w:rPr>
        <w:t xml:space="preserve">based on race, colour, or handicap, contrary to sections 1, 4, 10, 12, 24.1, 25 and 26 of the </w:t>
      </w:r>
      <w:r w:rsidRPr="0013463A">
        <w:rPr>
          <w:i/>
          <w:iCs/>
          <w:lang w:val="en-CA"/>
        </w:rPr>
        <w:t>Charter of human rights and freedoms</w:t>
      </w:r>
      <w:r w:rsidRPr="0013463A">
        <w:rPr>
          <w:lang w:val="en-CA"/>
        </w:rPr>
        <w:t>, CQLR c.</w:t>
      </w:r>
      <w:r w:rsidR="00CF4F36" w:rsidRPr="0013463A">
        <w:rPr>
          <w:lang w:val="en-CA"/>
        </w:rPr>
        <w:t> </w:t>
      </w:r>
      <w:r w:rsidRPr="0013463A">
        <w:rPr>
          <w:lang w:val="en-CA"/>
        </w:rPr>
        <w:t>C</w:t>
      </w:r>
      <w:r w:rsidR="00CF4F36" w:rsidRPr="0013463A">
        <w:rPr>
          <w:lang w:val="en-CA"/>
        </w:rPr>
        <w:noBreakHyphen/>
      </w:r>
      <w:r w:rsidRPr="0013463A">
        <w:rPr>
          <w:lang w:val="en-CA"/>
        </w:rPr>
        <w:t>12</w:t>
      </w:r>
      <w:r w:rsidR="006C1C0B">
        <w:rPr>
          <w:lang w:val="en-CA"/>
        </w:rPr>
        <w:t>…</w:t>
      </w:r>
      <w:r w:rsidRPr="0013463A">
        <w:rPr>
          <w:rStyle w:val="Appelnotedebasdep"/>
          <w:lang w:val="en-CA"/>
        </w:rPr>
        <w:footnoteReference w:id="57"/>
      </w:r>
    </w:p>
    <w:p w14:paraId="4F6B6AAC" w14:textId="6FD05A9F" w:rsidR="006B3499" w:rsidRPr="0013463A" w:rsidRDefault="002B1E9A" w:rsidP="006A28AF">
      <w:pPr>
        <w:pStyle w:val="Paragraphe"/>
        <w:tabs>
          <w:tab w:val="clear" w:pos="567"/>
        </w:tabs>
      </w:pPr>
      <w:r w:rsidRPr="0013463A">
        <w:t xml:space="preserve">Whatever form the discrimination alleged by the plaintiff took, the method of analysis </w:t>
      </w:r>
      <w:r w:rsidR="00CD3F5E" w:rsidRPr="0013463A">
        <w:t>–</w:t>
      </w:r>
      <w:r w:rsidRPr="0013463A">
        <w:t xml:space="preserve"> governed by the wording of section 10 of the </w:t>
      </w:r>
      <w:r w:rsidRPr="0013463A">
        <w:rPr>
          <w:i/>
          <w:iCs/>
        </w:rPr>
        <w:t>Charter</w:t>
      </w:r>
      <w:r w:rsidRPr="0013463A">
        <w:t xml:space="preserve"> – is the same: </w:t>
      </w:r>
    </w:p>
    <w:p w14:paraId="66E8356E" w14:textId="14F794D8" w:rsidR="006B3499" w:rsidRPr="00A832A8" w:rsidRDefault="001834C5" w:rsidP="27C54DD6">
      <w:pPr>
        <w:pStyle w:val="Citationenretrait"/>
        <w:rPr>
          <w:lang w:val="en-CA"/>
        </w:rPr>
      </w:pPr>
      <w:r w:rsidRPr="00A832A8">
        <w:rPr>
          <w:lang w:val="en-CA"/>
        </w:rPr>
        <w:t>[35]  …</w:t>
      </w:r>
      <w:r w:rsidR="002B1E9A" w:rsidRPr="00A832A8">
        <w:rPr>
          <w:lang w:val="en-CA"/>
        </w:rPr>
        <w:t xml:space="preserve"> s. 10 requires that the plaintiff prove three elements: “(1) a ‘distinction, exclusion or preference’, (2) based on one of the grounds listed in the first paragraph, and (3) which ‘has the effect of nullifying or impairing’ the right to full and equal recognition and exercise of a human right or freedom”…</w:t>
      </w:r>
      <w:r w:rsidRPr="27C54DD6">
        <w:rPr>
          <w:rStyle w:val="Appelnotedebasdep"/>
        </w:rPr>
        <w:footnoteReference w:id="58"/>
      </w:r>
    </w:p>
    <w:p w14:paraId="75569AD8" w14:textId="3BDC170E" w:rsidR="006B3499" w:rsidRPr="0013463A" w:rsidRDefault="002B1E9A" w:rsidP="00FC10F8">
      <w:pPr>
        <w:pStyle w:val="Citationenretrait"/>
        <w:jc w:val="right"/>
        <w:rPr>
          <w:sz w:val="20"/>
          <w:lang w:val="en-CA"/>
        </w:rPr>
      </w:pPr>
      <w:r w:rsidRPr="0013463A">
        <w:rPr>
          <w:sz w:val="20"/>
          <w:lang w:val="en-CA"/>
        </w:rPr>
        <w:t>(</w:t>
      </w:r>
      <w:r w:rsidR="00342DFE" w:rsidRPr="0013463A">
        <w:rPr>
          <w:sz w:val="20"/>
          <w:lang w:val="en-CA"/>
        </w:rPr>
        <w:t>References</w:t>
      </w:r>
      <w:r w:rsidRPr="0013463A">
        <w:rPr>
          <w:sz w:val="20"/>
          <w:lang w:val="en-CA"/>
        </w:rPr>
        <w:t xml:space="preserve"> omitted)</w:t>
      </w:r>
    </w:p>
    <w:p w14:paraId="167F412A" w14:textId="6D7CE1AA" w:rsidR="006B3499" w:rsidRPr="0013463A" w:rsidRDefault="002B064C" w:rsidP="006A28AF">
      <w:pPr>
        <w:pStyle w:val="Paragraphe"/>
        <w:tabs>
          <w:tab w:val="clear" w:pos="567"/>
        </w:tabs>
      </w:pPr>
      <w:r w:rsidRPr="0013463A">
        <w:t>The CDPDJ raises three personal characteristics that allegedly played a role in the treatment Mr. Toussaint was subjected to: “race”, “colour”</w:t>
      </w:r>
      <w:r w:rsidR="0075397B">
        <w:t>,</w:t>
      </w:r>
      <w:r w:rsidRPr="0013463A">
        <w:t xml:space="preserve"> and “handicap”.</w:t>
      </w:r>
    </w:p>
    <w:p w14:paraId="2AF3A2EE" w14:textId="1B077DC8" w:rsidR="006B3499" w:rsidRPr="0013463A" w:rsidRDefault="002B064C" w:rsidP="006A28AF">
      <w:pPr>
        <w:pStyle w:val="Paragraphe"/>
        <w:tabs>
          <w:tab w:val="clear" w:pos="567"/>
        </w:tabs>
      </w:pPr>
      <w:r w:rsidRPr="0013463A">
        <w:lastRenderedPageBreak/>
        <w:t>Although a person’s “race”</w:t>
      </w:r>
      <w:r w:rsidRPr="0013463A">
        <w:rPr>
          <w:rStyle w:val="Appelnotedebasdep"/>
        </w:rPr>
        <w:footnoteReference w:id="59"/>
      </w:r>
      <w:r w:rsidRPr="0013463A">
        <w:t xml:space="preserve"> and </w:t>
      </w:r>
      <w:r w:rsidR="00110E24" w:rsidRPr="0013463A">
        <w:t>their skin</w:t>
      </w:r>
      <w:r w:rsidRPr="0013463A">
        <w:t xml:space="preserve"> “colour”</w:t>
      </w:r>
      <w:r w:rsidRPr="0013463A">
        <w:rPr>
          <w:rStyle w:val="Appelnotedebasdep"/>
        </w:rPr>
        <w:footnoteReference w:id="60"/>
      </w:r>
      <w:r w:rsidR="0075397B" w:rsidRPr="0075397B">
        <w:t xml:space="preserve"> </w:t>
      </w:r>
      <w:r w:rsidR="0075397B" w:rsidRPr="0013463A">
        <w:t>can be distinguished,</w:t>
      </w:r>
      <w:r w:rsidRPr="0013463A">
        <w:t xml:space="preserve"> th</w:t>
      </w:r>
      <w:r w:rsidR="002B4F52" w:rsidRPr="0013463A">
        <w:t xml:space="preserve">e analysis of this dispute does not require this </w:t>
      </w:r>
      <w:r w:rsidR="00342DFE" w:rsidRPr="0013463A">
        <w:t xml:space="preserve">distinction </w:t>
      </w:r>
      <w:r w:rsidR="002B4F52" w:rsidRPr="0013463A">
        <w:t xml:space="preserve">to be </w:t>
      </w:r>
      <w:r w:rsidR="00342DFE" w:rsidRPr="0013463A">
        <w:t>made</w:t>
      </w:r>
      <w:r w:rsidRPr="0013463A">
        <w:t>.</w:t>
      </w:r>
      <w:r w:rsidRPr="0013463A">
        <w:rPr>
          <w:rStyle w:val="Appelnotedebasdep"/>
        </w:rPr>
        <w:footnoteReference w:id="61"/>
      </w:r>
    </w:p>
    <w:p w14:paraId="5FBE408D" w14:textId="4A58CEA6" w:rsidR="006B3499" w:rsidRPr="0013463A" w:rsidRDefault="002B064C" w:rsidP="006A28AF">
      <w:pPr>
        <w:pStyle w:val="Paragraphe"/>
        <w:tabs>
          <w:tab w:val="clear" w:pos="567"/>
        </w:tabs>
      </w:pPr>
      <w:r w:rsidRPr="0013463A">
        <w:t xml:space="preserve">That said, the Tribunal intends to </w:t>
      </w:r>
      <w:r w:rsidR="00110E24" w:rsidRPr="0013463A">
        <w:t>analyze</w:t>
      </w:r>
      <w:r w:rsidRPr="0013463A">
        <w:t xml:space="preserve"> the issue of discriminatory treatment based on handicap and that based on race/colour in two separate sections.</w:t>
      </w:r>
    </w:p>
    <w:p w14:paraId="20BF54FD" w14:textId="66587BBD" w:rsidR="006B3499" w:rsidRPr="0013463A" w:rsidRDefault="0075397B">
      <w:pPr>
        <w:pStyle w:val="Titre3"/>
        <w:ind w:left="567" w:hanging="567"/>
        <w:rPr>
          <w:b/>
          <w:bCs/>
          <w:lang w:val="en-CA"/>
        </w:rPr>
      </w:pPr>
      <w:r>
        <w:rPr>
          <w:b/>
          <w:bCs/>
          <w:lang w:val="en-CA"/>
        </w:rPr>
        <w:t>The d</w:t>
      </w:r>
      <w:r w:rsidR="002B064C" w:rsidRPr="0013463A">
        <w:rPr>
          <w:b/>
          <w:bCs/>
          <w:lang w:val="en-CA"/>
        </w:rPr>
        <w:t>istinction/exclusion</w:t>
      </w:r>
    </w:p>
    <w:p w14:paraId="672C39BC" w14:textId="4245D9B5" w:rsidR="006B3499" w:rsidRPr="0013463A" w:rsidRDefault="002B064C" w:rsidP="006A28AF">
      <w:pPr>
        <w:pStyle w:val="Paragraphe"/>
        <w:tabs>
          <w:tab w:val="clear" w:pos="567"/>
        </w:tabs>
      </w:pPr>
      <w:r w:rsidRPr="0013463A">
        <w:t xml:space="preserve">In </w:t>
      </w:r>
      <w:r w:rsidRPr="0013463A">
        <w:rPr>
          <w:i/>
          <w:iCs/>
        </w:rPr>
        <w:t>Bombardier</w:t>
      </w:r>
      <w:r w:rsidRPr="0013463A">
        <w:t>, the Supreme Court of Canada described the first stage of the analysis as follows:</w:t>
      </w:r>
      <w:r w:rsidR="001834C5" w:rsidRPr="0013463A">
        <w:t xml:space="preserve"> </w:t>
      </w:r>
    </w:p>
    <w:p w14:paraId="26AFDA9C" w14:textId="59EB8571" w:rsidR="006B3499" w:rsidRPr="0013463A" w:rsidRDefault="002B064C" w:rsidP="00FC10F8">
      <w:pPr>
        <w:pStyle w:val="Citationenretrait"/>
        <w:rPr>
          <w:lang w:val="en-CA"/>
        </w:rPr>
      </w:pPr>
      <w:r w:rsidRPr="0013463A">
        <w:rPr>
          <w:lang w:val="en-CA"/>
        </w:rPr>
        <w:t>[42] The first element of discrimination is not problematic.</w:t>
      </w:r>
      <w:r w:rsidR="001834C5" w:rsidRPr="0013463A">
        <w:rPr>
          <w:lang w:val="en-CA"/>
        </w:rPr>
        <w:t xml:space="preserve"> </w:t>
      </w:r>
      <w:r w:rsidRPr="0013463A">
        <w:rPr>
          <w:lang w:val="en-CA"/>
        </w:rPr>
        <w:t>The plaintiff must prove the existence of differential treatment, that is, that a decision, a measure or conduct “affects [him or her] differently from others to whom it may apply”...</w:t>
      </w:r>
      <w:r w:rsidR="001834C5" w:rsidRPr="0013463A">
        <w:rPr>
          <w:lang w:val="en-CA"/>
        </w:rPr>
        <w:t xml:space="preserve"> </w:t>
      </w:r>
      <w:r w:rsidRPr="0013463A">
        <w:rPr>
          <w:lang w:val="en-CA"/>
        </w:rPr>
        <w:t>This might be the case, for example, of obligations, penalties or restrictive conditions that are not imposed on others”.</w:t>
      </w:r>
      <w:r w:rsidRPr="0013463A">
        <w:rPr>
          <w:rStyle w:val="Appelnotedebasdep"/>
          <w:lang w:val="en-CA"/>
        </w:rPr>
        <w:footnoteReference w:id="62"/>
      </w:r>
    </w:p>
    <w:p w14:paraId="43624912" w14:textId="79E7283C" w:rsidR="006B3499" w:rsidRPr="0013463A" w:rsidRDefault="002B064C" w:rsidP="006A28AF">
      <w:pPr>
        <w:pStyle w:val="Paragraphe"/>
        <w:tabs>
          <w:tab w:val="clear" w:pos="567"/>
        </w:tabs>
      </w:pPr>
      <w:r w:rsidRPr="0013463A">
        <w:t xml:space="preserve">After passing through the admissions station on the morning of December 4, 2016, Mr. Toussaint was separated from </w:t>
      </w:r>
      <w:r w:rsidR="002B4F52" w:rsidRPr="0013463A">
        <w:t xml:space="preserve">the </w:t>
      </w:r>
      <w:r w:rsidRPr="0013463A">
        <w:t>other inmates arriving to serve their intermittent sentences.</w:t>
      </w:r>
      <w:r w:rsidR="001834C5" w:rsidRPr="0013463A">
        <w:t xml:space="preserve"> </w:t>
      </w:r>
    </w:p>
    <w:p w14:paraId="2C9A0C6F" w14:textId="7878608E" w:rsidR="006B3499" w:rsidRPr="0013463A" w:rsidRDefault="002B064C" w:rsidP="006A28AF">
      <w:pPr>
        <w:pStyle w:val="Paragraphe"/>
        <w:tabs>
          <w:tab w:val="clear" w:pos="567"/>
        </w:tabs>
      </w:pPr>
      <w:r w:rsidRPr="0013463A">
        <w:t xml:space="preserve">He was </w:t>
      </w:r>
      <w:r w:rsidR="00907982">
        <w:t xml:space="preserve">the only one </w:t>
      </w:r>
      <w:r w:rsidRPr="0013463A">
        <w:t xml:space="preserve">brought to a secure area outside the building, where he was left in the cold </w:t>
      </w:r>
      <w:r w:rsidR="00342DFE" w:rsidRPr="0013463A">
        <w:t>[</w:t>
      </w:r>
      <w:r w:rsidR="00342DFE" w:rsidRPr="0013463A">
        <w:rPr>
          <w:smallCaps/>
        </w:rPr>
        <w:t>translation</w:t>
      </w:r>
      <w:r w:rsidR="00342DFE" w:rsidRPr="0013463A">
        <w:t xml:space="preserve">] </w:t>
      </w:r>
      <w:r w:rsidRPr="0013463A">
        <w:t xml:space="preserve">“without a coat” for three to five minutes before the door was opened for him and he was </w:t>
      </w:r>
      <w:r w:rsidR="002B6F68">
        <w:t>escorted</w:t>
      </w:r>
      <w:r w:rsidRPr="0013463A">
        <w:t xml:space="preserve"> to cell 36.</w:t>
      </w:r>
    </w:p>
    <w:p w14:paraId="2CDBD072" w14:textId="20F4390D" w:rsidR="006B3499" w:rsidRPr="0013463A" w:rsidRDefault="002B064C" w:rsidP="006A28AF">
      <w:pPr>
        <w:pStyle w:val="Paragraphe"/>
        <w:tabs>
          <w:tab w:val="clear" w:pos="567"/>
        </w:tabs>
      </w:pPr>
      <w:r w:rsidRPr="0013463A">
        <w:t>During that time, the other inmates went to the area of the prison containing cubicles, where they can remove their clothing themselves in preparation for the strip search, which they undergo in a standing position,</w:t>
      </w:r>
      <w:r w:rsidRPr="0013463A">
        <w:rPr>
          <w:rStyle w:val="Appelnotedebasdep"/>
        </w:rPr>
        <w:footnoteReference w:id="63"/>
      </w:r>
      <w:r w:rsidRPr="0013463A">
        <w:t xml:space="preserve"> and then retrieve their clothing.</w:t>
      </w:r>
      <w:r w:rsidR="001834C5" w:rsidRPr="0013463A">
        <w:t xml:space="preserve"> </w:t>
      </w:r>
      <w:r w:rsidR="00D03396" w:rsidRPr="0013463A">
        <w:t>[</w:t>
      </w:r>
      <w:r w:rsidR="00D03396" w:rsidRPr="0013463A">
        <w:rPr>
          <w:smallCaps/>
        </w:rPr>
        <w:t>translation</w:t>
      </w:r>
      <w:r w:rsidR="00D03396" w:rsidRPr="0013463A">
        <w:t xml:space="preserve">] </w:t>
      </w:r>
      <w:r w:rsidRPr="0013463A">
        <w:t xml:space="preserve">“Many of us get undressed at the same time”, Mr. Toussaint testified as he described the usual procedure </w:t>
      </w:r>
      <w:r w:rsidR="000E2B5A">
        <w:t>that was</w:t>
      </w:r>
      <w:r w:rsidRPr="0013463A">
        <w:t xml:space="preserve"> followed when he had gone to serve his weekend sentence before.</w:t>
      </w:r>
    </w:p>
    <w:p w14:paraId="07D88241" w14:textId="3EE16A1C" w:rsidR="006B3499" w:rsidRPr="0013463A" w:rsidRDefault="002B064C" w:rsidP="006A28AF">
      <w:pPr>
        <w:pStyle w:val="Paragraphe"/>
        <w:tabs>
          <w:tab w:val="clear" w:pos="567"/>
        </w:tabs>
      </w:pPr>
      <w:r w:rsidRPr="0013463A">
        <w:lastRenderedPageBreak/>
        <w:t xml:space="preserve">In addition, on December 4, 2016, after undergoing a strip search </w:t>
      </w:r>
      <w:r w:rsidR="006D52EB" w:rsidRPr="0013463A">
        <w:t>in</w:t>
      </w:r>
      <w:r w:rsidRPr="0013463A">
        <w:t xml:space="preserve"> a kneeling position and subsequently being decontaminated from the inflammatory agent sprayed in his face, Mr. Toussaint was left alone, naked</w:t>
      </w:r>
      <w:r w:rsidR="000E2B5A">
        <w:t>,</w:t>
      </w:r>
      <w:r w:rsidRPr="0013463A">
        <w:t xml:space="preserve"> and wet in cell 10, without a mattress and without any food</w:t>
      </w:r>
      <w:r w:rsidR="006D52EB" w:rsidRPr="0013463A">
        <w:t>,</w:t>
      </w:r>
      <w:r w:rsidRPr="0013463A">
        <w:t xml:space="preserve"> until he was released from the prison at the end of the day.</w:t>
      </w:r>
      <w:r w:rsidR="001834C5" w:rsidRPr="0013463A">
        <w:t xml:space="preserve"> </w:t>
      </w:r>
    </w:p>
    <w:p w14:paraId="1809AD1D" w14:textId="3D9F6D90" w:rsidR="006B3499" w:rsidRPr="0013463A" w:rsidRDefault="002B064C" w:rsidP="006A28AF">
      <w:pPr>
        <w:pStyle w:val="Paragraphe"/>
        <w:tabs>
          <w:tab w:val="clear" w:pos="567"/>
        </w:tabs>
      </w:pPr>
      <w:r w:rsidRPr="0013463A">
        <w:t>In comparison, the other inmates serving intermittent sentences like him were together in the gymnasium</w:t>
      </w:r>
      <w:r w:rsidR="002C6111">
        <w:t>;</w:t>
      </w:r>
      <w:r w:rsidRPr="0013463A">
        <w:rPr>
          <w:rStyle w:val="Appelnotedebasdep"/>
        </w:rPr>
        <w:footnoteReference w:id="64"/>
      </w:r>
      <w:r w:rsidRPr="0013463A">
        <w:t xml:space="preserve"> </w:t>
      </w:r>
      <w:r w:rsidR="006D52EB" w:rsidRPr="0013463A">
        <w:t>their clothing was not taken away, and they</w:t>
      </w:r>
      <w:r w:rsidRPr="0013463A">
        <w:t xml:space="preserve"> received a meal.</w:t>
      </w:r>
    </w:p>
    <w:p w14:paraId="4642FF89" w14:textId="241BD466" w:rsidR="006B3499" w:rsidRPr="0013463A" w:rsidRDefault="002B064C" w:rsidP="006A28AF">
      <w:pPr>
        <w:pStyle w:val="Paragraphe"/>
        <w:tabs>
          <w:tab w:val="clear" w:pos="567"/>
        </w:tabs>
      </w:pPr>
      <w:r w:rsidRPr="0013463A">
        <w:t xml:space="preserve">At this first stage, the Tribunal need not consider the reasons Mr. Toussaint </w:t>
      </w:r>
      <w:r w:rsidR="002C6111">
        <w:t>was the subject of a distinction or</w:t>
      </w:r>
      <w:r w:rsidRPr="0013463A">
        <w:t xml:space="preserve"> exclusion in </w:t>
      </w:r>
      <w:r w:rsidR="006D52EB" w:rsidRPr="0013463A">
        <w:t>comparison</w:t>
      </w:r>
      <w:r w:rsidRPr="0013463A">
        <w:t xml:space="preserve"> with the other inmates.</w:t>
      </w:r>
    </w:p>
    <w:p w14:paraId="135207FC" w14:textId="49C90B1B" w:rsidR="00D87714" w:rsidRPr="0013463A" w:rsidRDefault="002B064C" w:rsidP="006A28AF">
      <w:pPr>
        <w:pStyle w:val="Paragraphe"/>
        <w:tabs>
          <w:tab w:val="clear" w:pos="567"/>
        </w:tabs>
      </w:pPr>
      <w:r w:rsidRPr="0013463A">
        <w:t xml:space="preserve">It is sufficient to note that he </w:t>
      </w:r>
      <w:r w:rsidR="00E8302D">
        <w:t>was the subject of</w:t>
      </w:r>
      <w:r w:rsidRPr="0013463A">
        <w:t xml:space="preserve"> differential treatment</w:t>
      </w:r>
      <w:r w:rsidR="00660ADC" w:rsidRPr="0013463A">
        <w:t>, and t</w:t>
      </w:r>
      <w:r w:rsidRPr="0013463A">
        <w:t>hat is indeed the case.</w:t>
      </w:r>
      <w:r w:rsidR="001834C5" w:rsidRPr="0013463A">
        <w:t xml:space="preserve"> </w:t>
      </w:r>
    </w:p>
    <w:p w14:paraId="4D090086" w14:textId="7B0685B1" w:rsidR="00B42ED0" w:rsidRPr="0013463A" w:rsidRDefault="002B064C">
      <w:pPr>
        <w:pStyle w:val="Titre3"/>
        <w:ind w:left="567" w:hanging="567"/>
        <w:rPr>
          <w:b/>
          <w:bCs/>
          <w:u w:val="none"/>
          <w:lang w:val="en-CA"/>
        </w:rPr>
      </w:pPr>
      <w:r w:rsidRPr="0013463A">
        <w:rPr>
          <w:b/>
          <w:bCs/>
          <w:u w:val="none"/>
          <w:lang w:val="en-CA"/>
        </w:rPr>
        <w:t>The grounds invoked</w:t>
      </w:r>
    </w:p>
    <w:p w14:paraId="6D65F470" w14:textId="7B13B192" w:rsidR="00B42ED0" w:rsidRPr="0013463A" w:rsidRDefault="002B064C" w:rsidP="002B12FC">
      <w:pPr>
        <w:pStyle w:val="Titre4"/>
        <w:ind w:left="567" w:hanging="567"/>
        <w:rPr>
          <w:b/>
          <w:bCs/>
          <w:i/>
          <w:iCs w:val="0"/>
          <w:lang w:val="en-CA"/>
        </w:rPr>
      </w:pPr>
      <w:r w:rsidRPr="0013463A">
        <w:rPr>
          <w:b/>
          <w:bCs/>
          <w:i/>
          <w:iCs w:val="0"/>
          <w:lang w:val="en-CA"/>
        </w:rPr>
        <w:t>The “handicap”</w:t>
      </w:r>
    </w:p>
    <w:p w14:paraId="7B5F4BC5" w14:textId="0ED30B4A" w:rsidR="00B42ED0" w:rsidRPr="0013463A" w:rsidRDefault="002B064C" w:rsidP="006A28AF">
      <w:pPr>
        <w:pStyle w:val="Paragraphe"/>
        <w:tabs>
          <w:tab w:val="clear" w:pos="567"/>
        </w:tabs>
      </w:pPr>
      <w:r w:rsidRPr="0013463A">
        <w:t xml:space="preserve">On the morning of December 4, 2016, </w:t>
      </w:r>
      <w:r w:rsidR="00110E24" w:rsidRPr="0013463A">
        <w:t>CO</w:t>
      </w:r>
      <w:r w:rsidRPr="0013463A">
        <w:t xml:space="preserve"> Belcourt was the first to intervene with Mr. Toussaint.</w:t>
      </w:r>
    </w:p>
    <w:p w14:paraId="11EAB1BD" w14:textId="19A93CDF" w:rsidR="00B42ED0" w:rsidRPr="0013463A" w:rsidRDefault="002B064C" w:rsidP="006A28AF">
      <w:pPr>
        <w:pStyle w:val="Paragraphe"/>
        <w:tabs>
          <w:tab w:val="clear" w:pos="567"/>
        </w:tabs>
      </w:pPr>
      <w:r w:rsidRPr="0013463A">
        <w:t xml:space="preserve">His intervention sought to ensure compliance with the regulation </w:t>
      </w:r>
      <w:r w:rsidR="00660ADC" w:rsidRPr="0013463A">
        <w:t>that prohibited</w:t>
      </w:r>
      <w:r w:rsidRPr="0013463A">
        <w:t xml:space="preserve"> smoking near the </w:t>
      </w:r>
      <w:r w:rsidR="00D247D1">
        <w:t>correctional</w:t>
      </w:r>
      <w:r w:rsidRPr="0013463A">
        <w:t xml:space="preserve"> facility.</w:t>
      </w:r>
    </w:p>
    <w:p w14:paraId="73B16C29" w14:textId="306FDB59" w:rsidR="00B42ED0" w:rsidRPr="0013463A" w:rsidRDefault="002B064C" w:rsidP="006A28AF">
      <w:pPr>
        <w:pStyle w:val="Paragraphe"/>
        <w:tabs>
          <w:tab w:val="clear" w:pos="567"/>
        </w:tabs>
      </w:pPr>
      <w:r w:rsidRPr="0013463A">
        <w:t>He verbally informed Mr. Toussaint that he could not smoke at that location but did not receive an answer.</w:t>
      </w:r>
      <w:r w:rsidR="001834C5" w:rsidRPr="0013463A">
        <w:t xml:space="preserve"> </w:t>
      </w:r>
    </w:p>
    <w:p w14:paraId="788F4C30" w14:textId="3D545016" w:rsidR="00B42ED0" w:rsidRPr="0013463A" w:rsidRDefault="002B064C" w:rsidP="006A28AF">
      <w:pPr>
        <w:pStyle w:val="Paragraphe"/>
        <w:tabs>
          <w:tab w:val="clear" w:pos="567"/>
        </w:tabs>
      </w:pPr>
      <w:r w:rsidRPr="0013463A">
        <w:t xml:space="preserve">After doing a U-turn in his patrol car, </w:t>
      </w:r>
      <w:r w:rsidR="00110E24" w:rsidRPr="0013463A">
        <w:t>CO</w:t>
      </w:r>
      <w:r w:rsidRPr="0013463A">
        <w:t xml:space="preserve"> Belcourt exited his vehicle and approached Mr. Toussaint, who threw his cigarette </w:t>
      </w:r>
      <w:r w:rsidR="00EA03BE" w:rsidRPr="0013463A">
        <w:t>at</w:t>
      </w:r>
      <w:r w:rsidRPr="0013463A">
        <w:t xml:space="preserve"> him.</w:t>
      </w:r>
    </w:p>
    <w:p w14:paraId="2C6AD1D6" w14:textId="774A6DD8" w:rsidR="00B42ED0" w:rsidRPr="0013463A" w:rsidRDefault="002B064C" w:rsidP="006A28AF">
      <w:pPr>
        <w:pStyle w:val="Paragraphe"/>
        <w:tabs>
          <w:tab w:val="clear" w:pos="567"/>
        </w:tabs>
      </w:pPr>
      <w:r w:rsidRPr="0013463A">
        <w:t>Mr. Toussaint states that</w:t>
      </w:r>
      <w:r w:rsidR="00EA03BE" w:rsidRPr="0013463A">
        <w:t>, by this action</w:t>
      </w:r>
      <w:r w:rsidR="00043EE2" w:rsidRPr="0013463A">
        <w:t>,</w:t>
      </w:r>
      <w:r w:rsidRPr="0013463A">
        <w:t xml:space="preserve"> he </w:t>
      </w:r>
      <w:r w:rsidR="00EA03BE" w:rsidRPr="0013463A">
        <w:t xml:space="preserve">wanted to show </w:t>
      </w:r>
      <w:r w:rsidR="000824FD">
        <w:t xml:space="preserve">that </w:t>
      </w:r>
      <w:r w:rsidRPr="0013463A">
        <w:t>he was obeying the order</w:t>
      </w:r>
      <w:r w:rsidR="00043EE2" w:rsidRPr="0013463A">
        <w:t xml:space="preserve"> </w:t>
      </w:r>
      <w:r w:rsidR="000824FD">
        <w:t>by</w:t>
      </w:r>
      <w:r w:rsidR="00043EE2" w:rsidRPr="0013463A">
        <w:t xml:space="preserve"> throwing the cigarette butt on the ground</w:t>
      </w:r>
      <w:r w:rsidRPr="0013463A">
        <w:t>.</w:t>
      </w:r>
    </w:p>
    <w:p w14:paraId="1900D716" w14:textId="7B8F05E8" w:rsidR="00B42ED0" w:rsidRPr="0013463A" w:rsidRDefault="00110E24" w:rsidP="006A28AF">
      <w:pPr>
        <w:pStyle w:val="Paragraphe"/>
        <w:tabs>
          <w:tab w:val="clear" w:pos="567"/>
        </w:tabs>
      </w:pPr>
      <w:r w:rsidRPr="0013463A">
        <w:t>CO</w:t>
      </w:r>
      <w:r w:rsidR="002B064C" w:rsidRPr="0013463A">
        <w:t xml:space="preserve"> Belcourt states that the butt hit him </w:t>
      </w:r>
      <w:r w:rsidR="00660ADC" w:rsidRPr="0013463A">
        <w:t>on his</w:t>
      </w:r>
      <w:r w:rsidR="002B064C" w:rsidRPr="0013463A">
        <w:t xml:space="preserve"> sternum, which he consider</w:t>
      </w:r>
      <w:r w:rsidR="00EA03BE" w:rsidRPr="0013463A">
        <w:t>s</w:t>
      </w:r>
      <w:r w:rsidR="002B064C" w:rsidRPr="0013463A">
        <w:t xml:space="preserve"> to be an assault: [</w:t>
      </w:r>
      <w:r w:rsidR="002B064C" w:rsidRPr="0013463A">
        <w:rPr>
          <w:smallCaps/>
        </w:rPr>
        <w:t>translation</w:t>
      </w:r>
      <w:r w:rsidR="002B064C" w:rsidRPr="0013463A">
        <w:t>] “It’s unacceptable”, he testified.</w:t>
      </w:r>
      <w:r w:rsidR="002B064C" w:rsidRPr="0013463A">
        <w:rPr>
          <w:rStyle w:val="Appelnotedebasdep"/>
        </w:rPr>
        <w:footnoteReference w:id="65"/>
      </w:r>
    </w:p>
    <w:p w14:paraId="50482063" w14:textId="76BCE8A7" w:rsidR="00B42ED0" w:rsidRPr="0013463A" w:rsidRDefault="002B064C" w:rsidP="006A28AF">
      <w:pPr>
        <w:pStyle w:val="Paragraphe"/>
        <w:tabs>
          <w:tab w:val="clear" w:pos="567"/>
        </w:tabs>
      </w:pPr>
      <w:r w:rsidRPr="0013463A">
        <w:lastRenderedPageBreak/>
        <w:t xml:space="preserve">He recounted that Mr. Toussaint blew smoke </w:t>
      </w:r>
      <w:r w:rsidR="00EA03BE" w:rsidRPr="0013463A">
        <w:t>at</w:t>
      </w:r>
      <w:r w:rsidRPr="0013463A">
        <w:t xml:space="preserve"> him </w:t>
      </w:r>
      <w:r w:rsidR="00660ADC" w:rsidRPr="0013463A">
        <w:t xml:space="preserve">first, </w:t>
      </w:r>
      <w:r w:rsidRPr="0013463A">
        <w:t>and that his attitude was arrogant and oppositional</w:t>
      </w:r>
      <w:r w:rsidR="00EA03BE" w:rsidRPr="0013463A">
        <w:t>. H</w:t>
      </w:r>
      <w:r w:rsidRPr="0013463A">
        <w:t xml:space="preserve">e was not behaving normally, he was keeping to himself, and </w:t>
      </w:r>
      <w:r w:rsidR="00660ADC" w:rsidRPr="0013463A">
        <w:t>he was frowning</w:t>
      </w:r>
      <w:r w:rsidRPr="0013463A">
        <w:t>.</w:t>
      </w:r>
    </w:p>
    <w:p w14:paraId="7A0F550C" w14:textId="2BE0B9A7" w:rsidR="00B42ED0" w:rsidRPr="0013463A" w:rsidRDefault="002B064C" w:rsidP="006A28AF">
      <w:pPr>
        <w:pStyle w:val="Paragraphe"/>
        <w:tabs>
          <w:tab w:val="clear" w:pos="567"/>
        </w:tabs>
      </w:pPr>
      <w:r w:rsidRPr="0013463A">
        <w:t>In his opinion, he was [</w:t>
      </w:r>
      <w:r w:rsidRPr="0013463A">
        <w:rPr>
          <w:smallCaps/>
        </w:rPr>
        <w:t>translation</w:t>
      </w:r>
      <w:r w:rsidRPr="0013463A">
        <w:t>] “probably intoxicated”.</w:t>
      </w:r>
    </w:p>
    <w:p w14:paraId="393E9A75" w14:textId="613CE486" w:rsidR="00B42ED0" w:rsidRPr="0013463A" w:rsidRDefault="00BF6CC4" w:rsidP="006A28AF">
      <w:pPr>
        <w:pStyle w:val="Paragraphe"/>
        <w:tabs>
          <w:tab w:val="clear" w:pos="567"/>
        </w:tabs>
      </w:pPr>
      <w:r w:rsidRPr="0013463A">
        <w:t xml:space="preserve">On the issue of </w:t>
      </w:r>
      <w:r w:rsidR="002B064C" w:rsidRPr="0013463A">
        <w:t xml:space="preserve">his intervention with Mr. Toussaint and the trajectory of the cigarette butt, the Tribunal accepts </w:t>
      </w:r>
      <w:r w:rsidR="00110E24" w:rsidRPr="0013463A">
        <w:t>CO</w:t>
      </w:r>
      <w:r w:rsidR="002B064C" w:rsidRPr="0013463A">
        <w:t xml:space="preserve"> Belcourt</w:t>
      </w:r>
      <w:r w:rsidRPr="0013463A">
        <w:t>’s version</w:t>
      </w:r>
      <w:r w:rsidR="002B064C" w:rsidRPr="0013463A">
        <w:t xml:space="preserve"> because it is more credible.</w:t>
      </w:r>
    </w:p>
    <w:p w14:paraId="31B83FF7" w14:textId="0444A497" w:rsidR="00B42ED0" w:rsidRPr="0013463A" w:rsidRDefault="002B064C" w:rsidP="006A28AF">
      <w:pPr>
        <w:pStyle w:val="Paragraphe"/>
        <w:tabs>
          <w:tab w:val="clear" w:pos="567"/>
        </w:tabs>
      </w:pPr>
      <w:r w:rsidRPr="0013463A">
        <w:t>First, a reasonable person who intends to dispose of a cigarette butt safely does not throw it towards another person.</w:t>
      </w:r>
      <w:r w:rsidR="001834C5" w:rsidRPr="0013463A">
        <w:t xml:space="preserve"> </w:t>
      </w:r>
      <w:r w:rsidRPr="0013463A">
        <w:t xml:space="preserve">Smokers sometimes let the butt fall to the ground </w:t>
      </w:r>
      <w:r w:rsidR="0033124E">
        <w:t xml:space="preserve">and </w:t>
      </w:r>
      <w:r w:rsidRPr="0013463A">
        <w:t xml:space="preserve">then crush it out, although it must be said that this way of doing things is not </w:t>
      </w:r>
      <w:r w:rsidR="00043EE2" w:rsidRPr="0013463A">
        <w:t xml:space="preserve">environmentally </w:t>
      </w:r>
      <w:r w:rsidR="00B44410" w:rsidRPr="0013463A">
        <w:t>ideal</w:t>
      </w:r>
      <w:r w:rsidRPr="0013463A">
        <w:t>.</w:t>
      </w:r>
    </w:p>
    <w:p w14:paraId="047AA8D2" w14:textId="0F4D63E7" w:rsidR="00B42ED0" w:rsidRPr="0013463A" w:rsidRDefault="002B064C" w:rsidP="006A28AF">
      <w:pPr>
        <w:pStyle w:val="Paragraphe"/>
        <w:tabs>
          <w:tab w:val="clear" w:pos="567"/>
        </w:tabs>
      </w:pPr>
      <w:r w:rsidRPr="0013463A">
        <w:t xml:space="preserve">Second, </w:t>
      </w:r>
      <w:r w:rsidR="00110E24" w:rsidRPr="0013463A">
        <w:t>CO</w:t>
      </w:r>
      <w:r w:rsidRPr="0013463A">
        <w:t xml:space="preserve"> Belcourt’s testimony was specific and detailed.</w:t>
      </w:r>
      <w:r w:rsidR="001834C5" w:rsidRPr="0013463A">
        <w:t xml:space="preserve"> </w:t>
      </w:r>
      <w:r w:rsidRPr="0013463A">
        <w:t xml:space="preserve">He explained that in </w:t>
      </w:r>
      <w:r w:rsidR="00B44410" w:rsidRPr="0013463A">
        <w:t xml:space="preserve">the </w:t>
      </w:r>
      <w:r w:rsidRPr="0013463A">
        <w:t xml:space="preserve">weeks before </w:t>
      </w:r>
      <w:r w:rsidR="00B44410" w:rsidRPr="0013463A">
        <w:t>this incident</w:t>
      </w:r>
      <w:r w:rsidRPr="0013463A">
        <w:t xml:space="preserve"> he had intervened in an animated discussion between Mr.</w:t>
      </w:r>
      <w:r w:rsidR="00B44410" w:rsidRPr="0013463A">
        <w:t> </w:t>
      </w:r>
      <w:r w:rsidRPr="0013463A">
        <w:t xml:space="preserve">Toussaint and another </w:t>
      </w:r>
      <w:r w:rsidR="00110E24" w:rsidRPr="0013463A">
        <w:t>CO</w:t>
      </w:r>
      <w:r w:rsidRPr="0013463A">
        <w:t>.</w:t>
      </w:r>
      <w:r w:rsidR="001834C5" w:rsidRPr="0013463A">
        <w:t xml:space="preserve"> </w:t>
      </w:r>
      <w:r w:rsidRPr="0013463A">
        <w:t xml:space="preserve">He apparently helped defuse the </w:t>
      </w:r>
      <w:r w:rsidR="00B44410" w:rsidRPr="0013463A">
        <w:t>situation</w:t>
      </w:r>
      <w:r w:rsidRPr="0013463A">
        <w:t xml:space="preserve">, which concluded with a positive conversation </w:t>
      </w:r>
      <w:r w:rsidR="00F61F6D" w:rsidRPr="0013463A">
        <w:t xml:space="preserve">and </w:t>
      </w:r>
      <w:r w:rsidRPr="0013463A">
        <w:t>some laughter when he said that he had attended the same school as Mr. Toussaint’s older brother.</w:t>
      </w:r>
    </w:p>
    <w:p w14:paraId="70AB3BB4" w14:textId="6C7F3EF1" w:rsidR="00B42ED0" w:rsidRPr="0013463A" w:rsidRDefault="002B064C" w:rsidP="006A28AF">
      <w:pPr>
        <w:pStyle w:val="Paragraphe"/>
        <w:tabs>
          <w:tab w:val="clear" w:pos="567"/>
        </w:tabs>
      </w:pPr>
      <w:r w:rsidRPr="0013463A">
        <w:t xml:space="preserve">Third, </w:t>
      </w:r>
      <w:r w:rsidR="00110E24" w:rsidRPr="0013463A">
        <w:t>CO</w:t>
      </w:r>
      <w:r w:rsidRPr="0013463A">
        <w:t xml:space="preserve"> Belcourt has no interest in testifying to please the management of the </w:t>
      </w:r>
      <w:r w:rsidR="00F33637">
        <w:t>correctional</w:t>
      </w:r>
      <w:r w:rsidRPr="0013463A">
        <w:t xml:space="preserve"> facility or his colleagues, since he has changed careers and has not worked in the prison </w:t>
      </w:r>
      <w:r w:rsidR="00D247D1">
        <w:t>environment</w:t>
      </w:r>
      <w:r w:rsidRPr="0013463A">
        <w:t xml:space="preserve"> for two years. </w:t>
      </w:r>
    </w:p>
    <w:p w14:paraId="741E6A2A" w14:textId="48619F49" w:rsidR="00B42ED0" w:rsidRPr="0013463A" w:rsidRDefault="00BD639B" w:rsidP="00B42ED0">
      <w:pPr>
        <w:pStyle w:val="Paragraphe"/>
        <w:numPr>
          <w:ilvl w:val="0"/>
          <w:numId w:val="0"/>
        </w:numPr>
        <w:tabs>
          <w:tab w:val="clear" w:pos="567"/>
        </w:tabs>
        <w:jc w:val="center"/>
      </w:pPr>
      <w:r w:rsidRPr="0013463A">
        <w:t>* * *</w:t>
      </w:r>
    </w:p>
    <w:p w14:paraId="4DDBBE2D" w14:textId="640BD40D" w:rsidR="00B42ED0" w:rsidRPr="0013463A" w:rsidRDefault="00110E24" w:rsidP="006A28AF">
      <w:pPr>
        <w:pStyle w:val="Paragraphe"/>
        <w:tabs>
          <w:tab w:val="clear" w:pos="567"/>
        </w:tabs>
      </w:pPr>
      <w:r w:rsidRPr="009F0CAE">
        <w:t>CO</w:t>
      </w:r>
      <w:r w:rsidR="002B064C" w:rsidRPr="009F0CAE">
        <w:t xml:space="preserve"> Belcourt’s</w:t>
      </w:r>
      <w:r w:rsidR="002B064C" w:rsidRPr="0013463A">
        <w:t xml:space="preserve"> perception that </w:t>
      </w:r>
      <w:r w:rsidR="00092503" w:rsidRPr="0013463A">
        <w:t>M</w:t>
      </w:r>
      <w:r w:rsidR="002B064C" w:rsidRPr="0013463A">
        <w:t>r. Toussaint might</w:t>
      </w:r>
      <w:r w:rsidR="008F2347" w:rsidRPr="0013463A">
        <w:t xml:space="preserve"> have been</w:t>
      </w:r>
      <w:r w:rsidR="002B064C" w:rsidRPr="0013463A">
        <w:t xml:space="preserve"> intoxicated when he was admitted was reported immediately to Unit Manager Leclerc. </w:t>
      </w:r>
    </w:p>
    <w:p w14:paraId="021B9400" w14:textId="63289443" w:rsidR="00B42ED0" w:rsidRPr="0013463A" w:rsidRDefault="002B064C" w:rsidP="006A28AF">
      <w:pPr>
        <w:pStyle w:val="Paragraphe"/>
        <w:tabs>
          <w:tab w:val="clear" w:pos="567"/>
        </w:tabs>
      </w:pPr>
      <w:r w:rsidRPr="0013463A">
        <w:t xml:space="preserve">Once in the </w:t>
      </w:r>
      <w:r w:rsidR="00F61F6D" w:rsidRPr="0013463A">
        <w:t>admissions</w:t>
      </w:r>
      <w:r w:rsidRPr="0013463A">
        <w:t xml:space="preserve"> garage, Mr. Toussaint underwent a pat-down search like the other inmates.</w:t>
      </w:r>
      <w:r w:rsidR="001834C5" w:rsidRPr="0013463A">
        <w:t xml:space="preserve"> </w:t>
      </w:r>
    </w:p>
    <w:p w14:paraId="77097AB2" w14:textId="5C8A5FAA" w:rsidR="00B42ED0" w:rsidRPr="0013463A" w:rsidRDefault="002B064C" w:rsidP="006A28AF">
      <w:pPr>
        <w:pStyle w:val="Paragraphe"/>
        <w:tabs>
          <w:tab w:val="clear" w:pos="567"/>
        </w:tabs>
      </w:pPr>
      <w:r w:rsidRPr="0013463A">
        <w:t>He appeared angry. He was hurling insults and was agitated</w:t>
      </w:r>
      <w:r w:rsidR="00F61F6D" w:rsidRPr="0013463A">
        <w:t>. H</w:t>
      </w:r>
      <w:r w:rsidRPr="0013463A">
        <w:t xml:space="preserve">e </w:t>
      </w:r>
      <w:r w:rsidR="00F61F6D" w:rsidRPr="0013463A">
        <w:t xml:space="preserve">was dropping </w:t>
      </w:r>
      <w:r w:rsidRPr="0013463A">
        <w:t>things</w:t>
      </w:r>
      <w:r w:rsidR="00F61F6D" w:rsidRPr="0013463A">
        <w:t xml:space="preserve"> </w:t>
      </w:r>
      <w:r w:rsidRPr="0013463A">
        <w:t>and talking to himself. He made comments of a religious nature.</w:t>
      </w:r>
      <w:r w:rsidR="001834C5" w:rsidRPr="0013463A">
        <w:t xml:space="preserve"> </w:t>
      </w:r>
      <w:r w:rsidR="00110E24" w:rsidRPr="0013463A">
        <w:t>CO</w:t>
      </w:r>
      <w:r w:rsidRPr="0013463A">
        <w:t xml:space="preserve"> Dubé-Blouin thought he was intoxicated.</w:t>
      </w:r>
    </w:p>
    <w:p w14:paraId="41B4EF6F" w14:textId="4D0E9350" w:rsidR="00B42ED0" w:rsidRPr="0013463A" w:rsidRDefault="002B064C" w:rsidP="006A28AF">
      <w:pPr>
        <w:pStyle w:val="Paragraphe"/>
        <w:tabs>
          <w:tab w:val="clear" w:pos="567"/>
        </w:tabs>
      </w:pPr>
      <w:r w:rsidRPr="0013463A">
        <w:t xml:space="preserve">Unit Manager Leclerc, who was </w:t>
      </w:r>
      <w:r w:rsidR="008F2347" w:rsidRPr="0013463A">
        <w:t>there at the time</w:t>
      </w:r>
      <w:r w:rsidRPr="0013463A">
        <w:t>, wondered whether Mr. Toussaint was intoxicated or whether he had mental health problems: [</w:t>
      </w:r>
      <w:r w:rsidRPr="0013463A">
        <w:rPr>
          <w:smallCaps/>
        </w:rPr>
        <w:t>translation</w:t>
      </w:r>
      <w:r w:rsidRPr="0013463A">
        <w:t>] “We don’t really know him”, he stated.</w:t>
      </w:r>
    </w:p>
    <w:p w14:paraId="55524DF7" w14:textId="2C7FEB19" w:rsidR="00B42ED0" w:rsidRPr="0013463A" w:rsidRDefault="002B064C" w:rsidP="006A28AF">
      <w:pPr>
        <w:pStyle w:val="Paragraphe"/>
        <w:tabs>
          <w:tab w:val="clear" w:pos="567"/>
        </w:tabs>
      </w:pPr>
      <w:r w:rsidRPr="0013463A">
        <w:lastRenderedPageBreak/>
        <w:t xml:space="preserve">He decided to bring Mr. Toussaint </w:t>
      </w:r>
      <w:r w:rsidR="00D41C01" w:rsidRPr="0013463A">
        <w:t>temporarily</w:t>
      </w:r>
      <w:r w:rsidRPr="0013463A">
        <w:t xml:space="preserve"> to cell 36, described as a </w:t>
      </w:r>
      <w:r w:rsidR="00F61F6D" w:rsidRPr="0013463A">
        <w:t>[</w:t>
      </w:r>
      <w:r w:rsidR="00F61F6D" w:rsidRPr="0013463A">
        <w:rPr>
          <w:smallCaps/>
        </w:rPr>
        <w:t>translation</w:t>
      </w:r>
      <w:r w:rsidR="00F61F6D" w:rsidRPr="0013463A">
        <w:t xml:space="preserve">] </w:t>
      </w:r>
      <w:r w:rsidRPr="0013463A">
        <w:t>“stimulus</w:t>
      </w:r>
      <w:r w:rsidR="00356373">
        <w:t>-free</w:t>
      </w:r>
      <w:r w:rsidRPr="0013463A">
        <w:t>” cell.</w:t>
      </w:r>
    </w:p>
    <w:p w14:paraId="5185D200" w14:textId="2A34FF18" w:rsidR="00B42ED0" w:rsidRPr="0013463A" w:rsidRDefault="002B064C" w:rsidP="006A28AF">
      <w:pPr>
        <w:pStyle w:val="Paragraphe"/>
        <w:tabs>
          <w:tab w:val="clear" w:pos="567"/>
        </w:tabs>
      </w:pPr>
      <w:r w:rsidRPr="0013463A">
        <w:t xml:space="preserve">After more than an hour, Unit Manager Leclerc and four </w:t>
      </w:r>
      <w:r w:rsidR="00110E24" w:rsidRPr="0013463A">
        <w:t>CO</w:t>
      </w:r>
      <w:r w:rsidRPr="0013463A">
        <w:t>s entered this cell to handcuff Mr. Toussaint</w:t>
      </w:r>
      <w:r w:rsidR="00423E08" w:rsidRPr="0013463A">
        <w:t>’s hands</w:t>
      </w:r>
      <w:r w:rsidRPr="0013463A">
        <w:t xml:space="preserve"> behind his back and march him backwards to cell 1.</w:t>
      </w:r>
    </w:p>
    <w:p w14:paraId="15D6189A" w14:textId="73A22A38" w:rsidR="00B42ED0" w:rsidRPr="0013463A" w:rsidRDefault="002B064C" w:rsidP="006A28AF">
      <w:pPr>
        <w:pStyle w:val="Paragraphe"/>
        <w:tabs>
          <w:tab w:val="clear" w:pos="567"/>
        </w:tabs>
      </w:pPr>
      <w:r w:rsidRPr="0013463A">
        <w:t xml:space="preserve">Once in that cell, which contained a bed and a bench </w:t>
      </w:r>
      <w:r w:rsidR="00423E08" w:rsidRPr="0013463A">
        <w:t>for eating</w:t>
      </w:r>
      <w:r w:rsidRPr="0013463A">
        <w:t xml:space="preserve">, Mr. Toussaint was </w:t>
      </w:r>
      <w:r w:rsidR="00423E08" w:rsidRPr="0013463A">
        <w:t xml:space="preserve">positioned with his </w:t>
      </w:r>
      <w:r w:rsidRPr="0013463A">
        <w:t>face to the back wall.</w:t>
      </w:r>
      <w:r w:rsidR="001834C5" w:rsidRPr="0013463A">
        <w:t xml:space="preserve"> </w:t>
      </w:r>
      <w:r w:rsidRPr="0013463A">
        <w:t xml:space="preserve">The </w:t>
      </w:r>
      <w:r w:rsidR="00110E24" w:rsidRPr="0013463A">
        <w:t>CO</w:t>
      </w:r>
      <w:r w:rsidRPr="0013463A">
        <w:t>s removed Mr. Toussaint’s handcuffs</w:t>
      </w:r>
      <w:r w:rsidR="00C42D95">
        <w:t>,</w:t>
      </w:r>
      <w:r w:rsidRPr="0013463A">
        <w:t xml:space="preserve"> and</w:t>
      </w:r>
      <w:r w:rsidR="00423E08" w:rsidRPr="0013463A">
        <w:t xml:space="preserve"> he </w:t>
      </w:r>
      <w:r w:rsidRPr="0013463A">
        <w:t xml:space="preserve">stretched his arms and turned around immediately, which was perceived as an assault: </w:t>
      </w:r>
      <w:r w:rsidR="00423E08" w:rsidRPr="0013463A">
        <w:t>[</w:t>
      </w:r>
      <w:r w:rsidR="00423E08" w:rsidRPr="0013463A">
        <w:rPr>
          <w:smallCaps/>
        </w:rPr>
        <w:t>translation</w:t>
      </w:r>
      <w:r w:rsidR="00423E08" w:rsidRPr="0013463A">
        <w:t xml:space="preserve">] </w:t>
      </w:r>
      <w:r w:rsidRPr="0013463A">
        <w:t xml:space="preserve">“He became disorganized” and </w:t>
      </w:r>
      <w:r w:rsidR="00423E08" w:rsidRPr="0013463A">
        <w:t>[</w:t>
      </w:r>
      <w:r w:rsidR="00423E08" w:rsidRPr="0013463A">
        <w:rPr>
          <w:smallCaps/>
        </w:rPr>
        <w:t>translation</w:t>
      </w:r>
      <w:r w:rsidR="00423E08" w:rsidRPr="0013463A">
        <w:t xml:space="preserve">] </w:t>
      </w:r>
      <w:r w:rsidRPr="0013463A">
        <w:t>“He spun around”, according to Unit Manager Leclerc, who ordered Mr. Toussaint brought to the ground.</w:t>
      </w:r>
    </w:p>
    <w:p w14:paraId="517A942D" w14:textId="3BFC5F79" w:rsidR="00B42ED0" w:rsidRPr="0013463A" w:rsidRDefault="002B064C" w:rsidP="006A28AF">
      <w:pPr>
        <w:pStyle w:val="Paragraphe"/>
        <w:tabs>
          <w:tab w:val="clear" w:pos="567"/>
        </w:tabs>
      </w:pPr>
      <w:r w:rsidRPr="0013463A">
        <w:t xml:space="preserve">The </w:t>
      </w:r>
      <w:r w:rsidR="00110E24" w:rsidRPr="0013463A">
        <w:t>CO</w:t>
      </w:r>
      <w:r w:rsidRPr="0013463A">
        <w:t>s in the room, some of whom were members of the emergency correctional response team (CERT), struggled to control Mr. Toussaint, who was “growling” and calling for divine punishment.</w:t>
      </w:r>
      <w:r w:rsidR="001834C5" w:rsidRPr="0013463A">
        <w:t xml:space="preserve"> </w:t>
      </w:r>
      <w:r w:rsidRPr="0013463A">
        <w:t>[</w:t>
      </w:r>
      <w:r w:rsidRPr="0013463A">
        <w:rPr>
          <w:smallCaps/>
        </w:rPr>
        <w:t>translation</w:t>
      </w:r>
      <w:r w:rsidRPr="0013463A">
        <w:t xml:space="preserve">] “He put up strong resistance”, according to Unit Manager Leclerc, who described his state as </w:t>
      </w:r>
      <w:r w:rsidR="00423E08" w:rsidRPr="0013463A">
        <w:t>[</w:t>
      </w:r>
      <w:r w:rsidR="00423E08" w:rsidRPr="0013463A">
        <w:rPr>
          <w:smallCaps/>
        </w:rPr>
        <w:t>translation</w:t>
      </w:r>
      <w:r w:rsidR="00423E08" w:rsidRPr="0013463A">
        <w:t xml:space="preserve">] </w:t>
      </w:r>
      <w:r w:rsidRPr="0013463A">
        <w:t xml:space="preserve">“like in a daze” and </w:t>
      </w:r>
      <w:r w:rsidR="00423E08" w:rsidRPr="0013463A">
        <w:t>[</w:t>
      </w:r>
      <w:r w:rsidR="00423E08" w:rsidRPr="0013463A">
        <w:rPr>
          <w:smallCaps/>
        </w:rPr>
        <w:t>translation</w:t>
      </w:r>
      <w:r w:rsidR="00423E08" w:rsidRPr="0013463A">
        <w:t xml:space="preserve">] </w:t>
      </w:r>
      <w:r w:rsidRPr="0013463A">
        <w:t>“</w:t>
      </w:r>
      <w:r w:rsidR="00356373">
        <w:t>out of it</w:t>
      </w:r>
      <w:r w:rsidRPr="0013463A">
        <w:t>”.</w:t>
      </w:r>
      <w:r w:rsidR="001834C5" w:rsidRPr="0013463A">
        <w:t xml:space="preserve">  </w:t>
      </w:r>
    </w:p>
    <w:p w14:paraId="66936015" w14:textId="18C5EF44" w:rsidR="00012593" w:rsidRPr="0013463A" w:rsidRDefault="002B064C" w:rsidP="006A28AF">
      <w:pPr>
        <w:pStyle w:val="Paragraphe"/>
        <w:tabs>
          <w:tab w:val="clear" w:pos="567"/>
        </w:tabs>
      </w:pPr>
      <w:r w:rsidRPr="0013463A">
        <w:t xml:space="preserve">The joint </w:t>
      </w:r>
      <w:r w:rsidR="00423E08" w:rsidRPr="0013463A">
        <w:t>locks</w:t>
      </w:r>
      <w:r w:rsidRPr="0013463A">
        <w:t xml:space="preserve"> performed by the </w:t>
      </w:r>
      <w:r w:rsidR="00110E24" w:rsidRPr="0013463A">
        <w:t>CO</w:t>
      </w:r>
      <w:r w:rsidRPr="0013463A">
        <w:t xml:space="preserve">s on Mr. Toussaint and the pain they should have caused him did not seem to </w:t>
      </w:r>
      <w:r w:rsidR="00BC613E" w:rsidRPr="0013463A">
        <w:t xml:space="preserve">be a </w:t>
      </w:r>
      <w:r w:rsidRPr="0013463A">
        <w:t>deter</w:t>
      </w:r>
      <w:r w:rsidR="00BC613E" w:rsidRPr="0013463A">
        <w:t>rent</w:t>
      </w:r>
      <w:r w:rsidRPr="0013463A">
        <w:t>.</w:t>
      </w:r>
    </w:p>
    <w:p w14:paraId="3ED9E863" w14:textId="1A7D8718" w:rsidR="00B42ED0" w:rsidRPr="0013463A" w:rsidRDefault="002B064C" w:rsidP="006A28AF">
      <w:pPr>
        <w:pStyle w:val="Paragraphe"/>
        <w:tabs>
          <w:tab w:val="clear" w:pos="567"/>
        </w:tabs>
      </w:pPr>
      <w:r w:rsidRPr="0013463A">
        <w:t>[</w:t>
      </w:r>
      <w:r w:rsidRPr="0013463A">
        <w:rPr>
          <w:smallCaps/>
        </w:rPr>
        <w:t>translation</w:t>
      </w:r>
      <w:r w:rsidRPr="0013463A">
        <w:t xml:space="preserve">] “It made no sense”, stated Unit Manager Leclerc, who began to think that Mr. Toussaint was intoxicated because he seemed to be insensitive to pain, </w:t>
      </w:r>
      <w:r w:rsidR="00BC613E" w:rsidRPr="0013463A">
        <w:t xml:space="preserve">maybe </w:t>
      </w:r>
      <w:r w:rsidRPr="0013463A">
        <w:t>due to the effect of a drug like PCP.</w:t>
      </w:r>
      <w:r w:rsidRPr="0013463A">
        <w:rPr>
          <w:rStyle w:val="Appelnotedebasdep"/>
        </w:rPr>
        <w:footnoteReference w:id="66"/>
      </w:r>
    </w:p>
    <w:p w14:paraId="48B4E0E0" w14:textId="03ACA99F" w:rsidR="00B42ED0" w:rsidRPr="0013463A" w:rsidRDefault="00BD639B" w:rsidP="00B42ED0">
      <w:pPr>
        <w:pStyle w:val="Paragraphe"/>
        <w:numPr>
          <w:ilvl w:val="0"/>
          <w:numId w:val="0"/>
        </w:numPr>
        <w:tabs>
          <w:tab w:val="clear" w:pos="567"/>
        </w:tabs>
        <w:jc w:val="center"/>
      </w:pPr>
      <w:r w:rsidRPr="0013463A">
        <w:t>* * *</w:t>
      </w:r>
    </w:p>
    <w:p w14:paraId="5E23D314" w14:textId="6677D5E7" w:rsidR="00B42ED0" w:rsidRPr="0013463A" w:rsidRDefault="00110E24" w:rsidP="006A28AF">
      <w:pPr>
        <w:pStyle w:val="Paragraphe"/>
        <w:tabs>
          <w:tab w:val="clear" w:pos="567"/>
        </w:tabs>
      </w:pPr>
      <w:r w:rsidRPr="0013463A">
        <w:t>CO</w:t>
      </w:r>
      <w:r w:rsidR="002B064C" w:rsidRPr="0013463A">
        <w:t xml:space="preserve"> Jean-René Brousseau testified that Mr. Toussaint displayed several signs of intoxication.</w:t>
      </w:r>
      <w:r w:rsidR="001834C5" w:rsidRPr="0013463A">
        <w:t xml:space="preserve"> </w:t>
      </w:r>
    </w:p>
    <w:p w14:paraId="1F65A113" w14:textId="45790A07" w:rsidR="00B42ED0" w:rsidRPr="0013463A" w:rsidRDefault="002B064C" w:rsidP="006A28AF">
      <w:pPr>
        <w:pStyle w:val="Paragraphe"/>
        <w:tabs>
          <w:tab w:val="clear" w:pos="567"/>
        </w:tabs>
      </w:pPr>
      <w:r w:rsidRPr="0013463A">
        <w:t xml:space="preserve">Although he did not smell of alcohol, the </w:t>
      </w:r>
      <w:r w:rsidR="00110E24" w:rsidRPr="0013463A">
        <w:t>CO</w:t>
      </w:r>
      <w:r w:rsidRPr="0013463A">
        <w:t xml:space="preserve"> says that he observed that his pupils were dilated</w:t>
      </w:r>
      <w:r w:rsidR="002C3586">
        <w:t>;</w:t>
      </w:r>
      <w:r w:rsidRPr="0013463A">
        <w:t xml:space="preserve"> </w:t>
      </w:r>
      <w:r w:rsidR="002C3586">
        <w:t>;</w:t>
      </w:r>
      <w:r w:rsidRPr="0013463A">
        <w:t xml:space="preserve"> </w:t>
      </w:r>
      <w:r w:rsidR="005D7F7E">
        <w:t xml:space="preserve">he had a coated mouth; </w:t>
      </w:r>
      <w:r w:rsidRPr="0013463A">
        <w:t>he was drooling heavily</w:t>
      </w:r>
      <w:r w:rsidR="00356373">
        <w:t>;</w:t>
      </w:r>
      <w:r w:rsidRPr="0013463A">
        <w:t xml:space="preserve"> and his saliva was white and stringy. His muscles were constantly contracted</w:t>
      </w:r>
      <w:r w:rsidR="002C3586">
        <w:t>;</w:t>
      </w:r>
      <w:r w:rsidRPr="0013463A">
        <w:t xml:space="preserve"> his statements were [</w:t>
      </w:r>
      <w:r w:rsidRPr="0013463A">
        <w:rPr>
          <w:smallCaps/>
        </w:rPr>
        <w:t>translation</w:t>
      </w:r>
      <w:r w:rsidRPr="0013463A">
        <w:t>] “delirious” and aggressive</w:t>
      </w:r>
      <w:r w:rsidR="00356373">
        <w:t>;</w:t>
      </w:r>
      <w:r w:rsidRPr="0013463A">
        <w:t xml:space="preserve"> and he was [</w:t>
      </w:r>
      <w:r w:rsidRPr="0013463A">
        <w:rPr>
          <w:smallCaps/>
        </w:rPr>
        <w:t>translation</w:t>
      </w:r>
      <w:r w:rsidRPr="0013463A">
        <w:t>] “extremely resistant”.</w:t>
      </w:r>
    </w:p>
    <w:p w14:paraId="18E12494" w14:textId="41E32B7C" w:rsidR="00B42ED0" w:rsidRPr="0013463A" w:rsidRDefault="00787691" w:rsidP="006A28AF">
      <w:pPr>
        <w:pStyle w:val="Paragraphe"/>
        <w:tabs>
          <w:tab w:val="clear" w:pos="567"/>
        </w:tabs>
      </w:pPr>
      <w:r w:rsidRPr="0013463A">
        <w:lastRenderedPageBreak/>
        <w:t>[</w:t>
      </w:r>
      <w:r w:rsidRPr="0013463A">
        <w:rPr>
          <w:smallCaps/>
        </w:rPr>
        <w:t>translation</w:t>
      </w:r>
      <w:r w:rsidRPr="0013463A">
        <w:t xml:space="preserve">] </w:t>
      </w:r>
      <w:r w:rsidR="002B064C" w:rsidRPr="0013463A">
        <w:t xml:space="preserve">“He was not reacting to pain”, the </w:t>
      </w:r>
      <w:r w:rsidR="00110E24" w:rsidRPr="0013463A">
        <w:t>CO</w:t>
      </w:r>
      <w:r w:rsidR="002B064C" w:rsidRPr="0013463A">
        <w:t xml:space="preserve"> observed. This is [</w:t>
      </w:r>
      <w:r w:rsidR="002B064C" w:rsidRPr="0013463A">
        <w:rPr>
          <w:smallCaps/>
        </w:rPr>
        <w:t>translation</w:t>
      </w:r>
      <w:r w:rsidR="002B064C" w:rsidRPr="0013463A">
        <w:t>] “a maximum threat index”</w:t>
      </w:r>
      <w:r w:rsidR="00E738C7" w:rsidRPr="0013463A">
        <w:t xml:space="preserve">, </w:t>
      </w:r>
      <w:r w:rsidR="0011780A" w:rsidRPr="0013463A">
        <w:t>[</w:t>
      </w:r>
      <w:r w:rsidR="0011780A" w:rsidRPr="0013463A">
        <w:rPr>
          <w:smallCaps/>
        </w:rPr>
        <w:t>translation</w:t>
      </w:r>
      <w:r w:rsidR="0011780A" w:rsidRPr="0013463A">
        <w:t xml:space="preserve">] </w:t>
      </w:r>
      <w:r w:rsidR="002B064C" w:rsidRPr="0013463A">
        <w:t>“extreme”.</w:t>
      </w:r>
    </w:p>
    <w:p w14:paraId="104510F8" w14:textId="68EAEF45" w:rsidR="00B42ED0" w:rsidRPr="0013463A" w:rsidRDefault="001834C5" w:rsidP="006A28AF">
      <w:pPr>
        <w:pStyle w:val="Paragraphe"/>
        <w:tabs>
          <w:tab w:val="clear" w:pos="567"/>
        </w:tabs>
      </w:pPr>
      <w:r w:rsidRPr="0013463A">
        <w:t xml:space="preserve"> </w:t>
      </w:r>
      <w:r w:rsidR="00110E24" w:rsidRPr="0013463A">
        <w:t>CO</w:t>
      </w:r>
      <w:r w:rsidR="002B064C" w:rsidRPr="0013463A">
        <w:t xml:space="preserve"> Mykel Brousseau testified that Mr. Toussaint </w:t>
      </w:r>
      <w:r w:rsidR="00612ADF">
        <w:t xml:space="preserve">was </w:t>
      </w:r>
      <w:r w:rsidR="002B064C" w:rsidRPr="0013463A">
        <w:t>conduct</w:t>
      </w:r>
      <w:r w:rsidR="00612ADF">
        <w:t>ing himself</w:t>
      </w:r>
      <w:r w:rsidR="002B064C" w:rsidRPr="0013463A">
        <w:t xml:space="preserve"> </w:t>
      </w:r>
      <w:r w:rsidR="00612ADF">
        <w:t>like</w:t>
      </w:r>
      <w:r w:rsidR="002B064C" w:rsidRPr="0013463A">
        <w:t xml:space="preserve"> an intoxicated person.</w:t>
      </w:r>
      <w:r w:rsidRPr="0013463A">
        <w:t xml:space="preserve"> </w:t>
      </w:r>
      <w:r w:rsidR="002B064C" w:rsidRPr="0013463A">
        <w:t>He describes his state as “strange” and his speech as rambling: [</w:t>
      </w:r>
      <w:r w:rsidR="002B064C" w:rsidRPr="0013463A">
        <w:rPr>
          <w:smallCaps/>
        </w:rPr>
        <w:t>translation</w:t>
      </w:r>
      <w:r w:rsidR="002B064C" w:rsidRPr="0013463A">
        <w:t>] “The words didn’t make sense”</w:t>
      </w:r>
      <w:r w:rsidRPr="0013463A">
        <w:t xml:space="preserve"> </w:t>
      </w:r>
    </w:p>
    <w:p w14:paraId="44A8AD58" w14:textId="06F16B8D" w:rsidR="00B42ED0" w:rsidRPr="0013463A" w:rsidRDefault="002B064C" w:rsidP="006A28AF">
      <w:pPr>
        <w:pStyle w:val="Paragraphe"/>
        <w:tabs>
          <w:tab w:val="clear" w:pos="567"/>
        </w:tabs>
      </w:pPr>
      <w:r w:rsidRPr="0013463A">
        <w:t xml:space="preserve">According to him, Mr. Toussaint was putting up major physical resistance and </w:t>
      </w:r>
      <w:r w:rsidR="003215AD" w:rsidRPr="0013463A">
        <w:t xml:space="preserve">had very little receptivity to </w:t>
      </w:r>
      <w:r w:rsidRPr="0013463A">
        <w:t>pain.</w:t>
      </w:r>
    </w:p>
    <w:p w14:paraId="160EEC1A" w14:textId="1918652B" w:rsidR="00B42ED0" w:rsidRPr="0013463A" w:rsidRDefault="00110E24" w:rsidP="006A28AF">
      <w:pPr>
        <w:pStyle w:val="Paragraphe"/>
        <w:tabs>
          <w:tab w:val="clear" w:pos="567"/>
        </w:tabs>
      </w:pPr>
      <w:r w:rsidRPr="0013463A">
        <w:t>CO</w:t>
      </w:r>
      <w:r w:rsidR="002B064C" w:rsidRPr="0013463A">
        <w:t xml:space="preserve"> Dubé-Blouin was at admissions on the </w:t>
      </w:r>
      <w:r w:rsidR="00092503" w:rsidRPr="0013463A">
        <w:t>morning</w:t>
      </w:r>
      <w:r w:rsidR="002B064C" w:rsidRPr="0013463A">
        <w:t xml:space="preserve"> of December 4, 2016.</w:t>
      </w:r>
      <w:r w:rsidR="001834C5" w:rsidRPr="0013463A">
        <w:t xml:space="preserve"> </w:t>
      </w:r>
      <w:r w:rsidR="002B064C" w:rsidRPr="0013463A">
        <w:t xml:space="preserve">He </w:t>
      </w:r>
      <w:r w:rsidR="0090172C" w:rsidRPr="0013463A">
        <w:t>says</w:t>
      </w:r>
      <w:r w:rsidR="002B064C" w:rsidRPr="0013463A">
        <w:t xml:space="preserve"> that Mr. Toussaint was </w:t>
      </w:r>
      <w:r w:rsidR="003215AD" w:rsidRPr="0013463A">
        <w:t>[</w:t>
      </w:r>
      <w:r w:rsidR="003215AD" w:rsidRPr="0013463A">
        <w:rPr>
          <w:smallCaps/>
        </w:rPr>
        <w:t>translation</w:t>
      </w:r>
      <w:r w:rsidR="003215AD" w:rsidRPr="0013463A">
        <w:t xml:space="preserve">] </w:t>
      </w:r>
      <w:r w:rsidR="002B064C" w:rsidRPr="0013463A">
        <w:t>“</w:t>
      </w:r>
      <w:r w:rsidR="005D4DE3">
        <w:t>weird</w:t>
      </w:r>
      <w:r w:rsidR="002B064C" w:rsidRPr="0013463A">
        <w:t xml:space="preserve">”, </w:t>
      </w:r>
      <w:r w:rsidR="003215AD" w:rsidRPr="0013463A">
        <w:t>[</w:t>
      </w:r>
      <w:r w:rsidR="003215AD" w:rsidRPr="0013463A">
        <w:rPr>
          <w:smallCaps/>
        </w:rPr>
        <w:t>translation</w:t>
      </w:r>
      <w:r w:rsidR="003215AD" w:rsidRPr="0013463A">
        <w:t xml:space="preserve">] </w:t>
      </w:r>
      <w:r w:rsidR="002B064C" w:rsidRPr="0013463A">
        <w:t>“</w:t>
      </w:r>
      <w:r w:rsidR="000B42A5">
        <w:t>annoyed</w:t>
      </w:r>
      <w:r w:rsidR="002B064C" w:rsidRPr="0013463A">
        <w:t xml:space="preserve">”, and </w:t>
      </w:r>
      <w:r w:rsidR="003215AD" w:rsidRPr="0013463A">
        <w:t>[</w:t>
      </w:r>
      <w:r w:rsidR="003215AD" w:rsidRPr="0013463A">
        <w:rPr>
          <w:smallCaps/>
        </w:rPr>
        <w:t>translation</w:t>
      </w:r>
      <w:r w:rsidR="003215AD" w:rsidRPr="0013463A">
        <w:t xml:space="preserve">] </w:t>
      </w:r>
      <w:r w:rsidR="002B064C" w:rsidRPr="0013463A">
        <w:t>“mouthy”, and that he was making “religious statements”.</w:t>
      </w:r>
      <w:r w:rsidR="001834C5" w:rsidRPr="0013463A">
        <w:t xml:space="preserve"> </w:t>
      </w:r>
      <w:r w:rsidR="002B064C" w:rsidRPr="0013463A">
        <w:t>At that point, through his behaviour and his speech, he [</w:t>
      </w:r>
      <w:r w:rsidR="002B064C" w:rsidRPr="0013463A">
        <w:rPr>
          <w:smallCaps/>
        </w:rPr>
        <w:t>translation</w:t>
      </w:r>
      <w:r w:rsidR="002B064C" w:rsidRPr="0013463A">
        <w:t>] “stood out from the rest”.</w:t>
      </w:r>
      <w:r w:rsidR="001834C5" w:rsidRPr="0013463A">
        <w:t xml:space="preserve"> </w:t>
      </w:r>
      <w:r w:rsidR="002B064C" w:rsidRPr="0013463A">
        <w:t>He likens his [</w:t>
      </w:r>
      <w:r w:rsidR="002B064C" w:rsidRPr="0013463A">
        <w:rPr>
          <w:smallCaps/>
        </w:rPr>
        <w:t>translation</w:t>
      </w:r>
      <w:r w:rsidR="002B064C" w:rsidRPr="0013463A">
        <w:t>] “strange state” to that of an intoxicated person: [</w:t>
      </w:r>
      <w:r w:rsidR="002B064C" w:rsidRPr="0013463A">
        <w:rPr>
          <w:smallCaps/>
        </w:rPr>
        <w:t>translation</w:t>
      </w:r>
      <w:r w:rsidR="002B064C" w:rsidRPr="0013463A">
        <w:t>] “He was not behaving normally”.</w:t>
      </w:r>
    </w:p>
    <w:p w14:paraId="558460D5" w14:textId="37A99A29" w:rsidR="00B42ED0" w:rsidRPr="0013463A" w:rsidRDefault="00110E24" w:rsidP="006A28AF">
      <w:pPr>
        <w:pStyle w:val="Paragraphe"/>
        <w:tabs>
          <w:tab w:val="clear" w:pos="567"/>
        </w:tabs>
      </w:pPr>
      <w:r w:rsidRPr="0013463A">
        <w:t>CO</w:t>
      </w:r>
      <w:r w:rsidR="002B064C" w:rsidRPr="0013463A">
        <w:t xml:space="preserve"> Robitaille sa</w:t>
      </w:r>
      <w:r w:rsidR="0090172C" w:rsidRPr="0013463A">
        <w:t>ys</w:t>
      </w:r>
      <w:r w:rsidR="002B064C" w:rsidRPr="0013463A">
        <w:t xml:space="preserve"> that Mr. Toussaint was [</w:t>
      </w:r>
      <w:r w:rsidR="00092503" w:rsidRPr="0013463A">
        <w:rPr>
          <w:smallCaps/>
        </w:rPr>
        <w:t>translation</w:t>
      </w:r>
      <w:r w:rsidR="002B064C" w:rsidRPr="0013463A">
        <w:t xml:space="preserve">] “very agitated” and </w:t>
      </w:r>
      <w:r w:rsidR="003215AD" w:rsidRPr="0013463A">
        <w:t>[</w:t>
      </w:r>
      <w:r w:rsidR="003215AD" w:rsidRPr="0013463A">
        <w:rPr>
          <w:smallCaps/>
        </w:rPr>
        <w:t>translation</w:t>
      </w:r>
      <w:r w:rsidR="003215AD" w:rsidRPr="0013463A">
        <w:t xml:space="preserve">] </w:t>
      </w:r>
      <w:r w:rsidR="002B064C" w:rsidRPr="0013463A">
        <w:t>“on edge”</w:t>
      </w:r>
      <w:r w:rsidR="0090172C" w:rsidRPr="0013463A">
        <w:t>. He</w:t>
      </w:r>
      <w:r w:rsidR="002B064C" w:rsidRPr="0013463A">
        <w:t xml:space="preserve"> </w:t>
      </w:r>
      <w:r w:rsidR="003C38FD">
        <w:t xml:space="preserve">was </w:t>
      </w:r>
      <w:r w:rsidR="003C38FD" w:rsidRPr="0013463A">
        <w:t>[</w:t>
      </w:r>
      <w:r w:rsidR="003C38FD" w:rsidRPr="0013463A">
        <w:rPr>
          <w:smallCaps/>
        </w:rPr>
        <w:t>translation</w:t>
      </w:r>
      <w:r w:rsidR="003C38FD" w:rsidRPr="0013463A">
        <w:t>] “</w:t>
      </w:r>
      <w:r w:rsidR="003C38FD">
        <w:t xml:space="preserve">yelling” and </w:t>
      </w:r>
      <w:r w:rsidR="002B064C" w:rsidRPr="0013463A">
        <w:t xml:space="preserve">seemed </w:t>
      </w:r>
      <w:r w:rsidR="003215AD" w:rsidRPr="0013463A">
        <w:t>[</w:t>
      </w:r>
      <w:r w:rsidR="003215AD" w:rsidRPr="0013463A">
        <w:rPr>
          <w:smallCaps/>
        </w:rPr>
        <w:t>translation</w:t>
      </w:r>
      <w:r w:rsidR="003215AD" w:rsidRPr="0013463A">
        <w:t xml:space="preserve">] </w:t>
      </w:r>
      <w:r w:rsidR="002B064C" w:rsidRPr="0013463A">
        <w:t xml:space="preserve">“to be </w:t>
      </w:r>
      <w:r w:rsidR="00092503" w:rsidRPr="0013463A">
        <w:t>delirious</w:t>
      </w:r>
      <w:r w:rsidR="002B064C" w:rsidRPr="0013463A">
        <w:t>”</w:t>
      </w:r>
      <w:r w:rsidR="003C38FD">
        <w:t>.</w:t>
      </w:r>
      <w:r w:rsidR="003215AD" w:rsidRPr="0013463A">
        <w:t xml:space="preserve"> </w:t>
      </w:r>
      <w:r w:rsidR="003C38FD">
        <w:t xml:space="preserve">He </w:t>
      </w:r>
      <w:r w:rsidR="003215AD" w:rsidRPr="0013463A">
        <w:t>ignored</w:t>
      </w:r>
      <w:r w:rsidR="002B064C" w:rsidRPr="0013463A">
        <w:t xml:space="preserve"> the instructions he was </w:t>
      </w:r>
      <w:r w:rsidR="00092503" w:rsidRPr="0013463A">
        <w:t>given</w:t>
      </w:r>
      <w:r w:rsidR="003215AD" w:rsidRPr="0013463A">
        <w:t>.</w:t>
      </w:r>
    </w:p>
    <w:p w14:paraId="5283BED8" w14:textId="567DDA44" w:rsidR="00B42ED0" w:rsidRPr="0013463A" w:rsidRDefault="00110E24" w:rsidP="006A28AF">
      <w:pPr>
        <w:pStyle w:val="Paragraphe"/>
        <w:tabs>
          <w:tab w:val="clear" w:pos="567"/>
        </w:tabs>
      </w:pPr>
      <w:r w:rsidRPr="0013463A">
        <w:t>CO</w:t>
      </w:r>
      <w:r w:rsidR="002B064C" w:rsidRPr="0013463A">
        <w:t xml:space="preserve"> Gagnon stated that Mr. Toussaint was making threats and acting in a way that was ag</w:t>
      </w:r>
      <w:r w:rsidR="00092503" w:rsidRPr="0013463A">
        <w:t>g</w:t>
      </w:r>
      <w:r w:rsidR="002B064C" w:rsidRPr="0013463A">
        <w:t>ressive and [</w:t>
      </w:r>
      <w:r w:rsidR="002B064C" w:rsidRPr="0013463A">
        <w:rPr>
          <w:smallCaps/>
        </w:rPr>
        <w:t>translation</w:t>
      </w:r>
      <w:r w:rsidR="002B064C" w:rsidRPr="0013463A">
        <w:t xml:space="preserve">] “combative”, expending a lot of energy despite the pressure being put on </w:t>
      </w:r>
      <w:r w:rsidR="001227B1">
        <w:t xml:space="preserve">his left ulnar </w:t>
      </w:r>
      <w:r w:rsidR="003C38FD">
        <w:t xml:space="preserve">nerve </w:t>
      </w:r>
      <w:r w:rsidR="002B064C" w:rsidRPr="0013463A">
        <w:t xml:space="preserve">to </w:t>
      </w:r>
      <w:r w:rsidR="003215AD" w:rsidRPr="0013463A">
        <w:t>cause</w:t>
      </w:r>
      <w:r w:rsidR="002B064C" w:rsidRPr="0013463A">
        <w:t xml:space="preserve"> </w:t>
      </w:r>
      <w:r w:rsidR="003215AD" w:rsidRPr="0013463A">
        <w:t>[</w:t>
      </w:r>
      <w:r w:rsidR="003215AD" w:rsidRPr="0013463A">
        <w:rPr>
          <w:smallCaps/>
        </w:rPr>
        <w:t>translation</w:t>
      </w:r>
      <w:r w:rsidR="003215AD" w:rsidRPr="0013463A">
        <w:t xml:space="preserve">] </w:t>
      </w:r>
      <w:r w:rsidR="002B064C" w:rsidRPr="0013463A">
        <w:t>“temporary pain”.</w:t>
      </w:r>
    </w:p>
    <w:p w14:paraId="233D3ACA" w14:textId="6CD14DAA" w:rsidR="00B42ED0" w:rsidRPr="0013463A" w:rsidRDefault="00110E24" w:rsidP="006A28AF">
      <w:pPr>
        <w:pStyle w:val="Paragraphe"/>
        <w:tabs>
          <w:tab w:val="clear" w:pos="567"/>
        </w:tabs>
      </w:pPr>
      <w:r w:rsidRPr="0013463A">
        <w:t>CO</w:t>
      </w:r>
      <w:r w:rsidR="002B064C" w:rsidRPr="0013463A">
        <w:t xml:space="preserve"> Comeau-Bastien intervened once Mr. Toussaint was lying on the ground in cell 1.</w:t>
      </w:r>
      <w:r w:rsidR="001834C5" w:rsidRPr="0013463A">
        <w:t xml:space="preserve"> </w:t>
      </w:r>
      <w:r w:rsidR="002B064C" w:rsidRPr="0013463A">
        <w:t xml:space="preserve">He described him as </w:t>
      </w:r>
      <w:r w:rsidR="003215AD" w:rsidRPr="0013463A">
        <w:t>[</w:t>
      </w:r>
      <w:r w:rsidR="003215AD" w:rsidRPr="0013463A">
        <w:rPr>
          <w:smallCaps/>
        </w:rPr>
        <w:t>translation</w:t>
      </w:r>
      <w:r w:rsidR="003215AD" w:rsidRPr="0013463A">
        <w:t xml:space="preserve">] </w:t>
      </w:r>
      <w:r w:rsidR="002B064C" w:rsidRPr="0013463A">
        <w:t xml:space="preserve">“disorganized” and </w:t>
      </w:r>
      <w:r w:rsidR="003215AD" w:rsidRPr="0013463A">
        <w:t>[</w:t>
      </w:r>
      <w:r w:rsidR="003215AD" w:rsidRPr="0013463A">
        <w:rPr>
          <w:smallCaps/>
        </w:rPr>
        <w:t>translation</w:t>
      </w:r>
      <w:r w:rsidR="003215AD" w:rsidRPr="0013463A">
        <w:t xml:space="preserve">] </w:t>
      </w:r>
      <w:r w:rsidR="002B064C" w:rsidRPr="0013463A">
        <w:t xml:space="preserve">“excessively resistant” and reports a </w:t>
      </w:r>
      <w:r w:rsidR="003215AD" w:rsidRPr="0013463A">
        <w:t>[</w:t>
      </w:r>
      <w:r w:rsidR="003215AD" w:rsidRPr="0013463A">
        <w:rPr>
          <w:smallCaps/>
        </w:rPr>
        <w:t>translation</w:t>
      </w:r>
      <w:r w:rsidR="003215AD" w:rsidRPr="0013463A">
        <w:t xml:space="preserve">] </w:t>
      </w:r>
      <w:r w:rsidR="002B064C" w:rsidRPr="0013463A">
        <w:t>“chaotic situation”.</w:t>
      </w:r>
    </w:p>
    <w:p w14:paraId="7F051472" w14:textId="16AF205C" w:rsidR="00B42ED0" w:rsidRPr="0013463A" w:rsidRDefault="002B064C" w:rsidP="006A28AF">
      <w:pPr>
        <w:pStyle w:val="Paragraphe"/>
        <w:tabs>
          <w:tab w:val="clear" w:pos="567"/>
        </w:tabs>
      </w:pPr>
      <w:r w:rsidRPr="0013463A">
        <w:t>He specified that even when an inmate is intoxicated, the physical intervention remains [</w:t>
      </w:r>
      <w:r w:rsidR="00092503" w:rsidRPr="0013463A">
        <w:rPr>
          <w:smallCaps/>
        </w:rPr>
        <w:t>translation</w:t>
      </w:r>
      <w:r w:rsidRPr="0013463A">
        <w:t>] “exactly the same”</w:t>
      </w:r>
      <w:r w:rsidR="003215AD" w:rsidRPr="0013463A">
        <w:t>,</w:t>
      </w:r>
      <w:r w:rsidRPr="0013463A">
        <w:t xml:space="preserve"> even </w:t>
      </w:r>
      <w:r w:rsidR="00092503" w:rsidRPr="0013463A">
        <w:t>though</w:t>
      </w:r>
      <w:r w:rsidRPr="0013463A">
        <w:t xml:space="preserve"> the orders given are shorter, more specific</w:t>
      </w:r>
      <w:r w:rsidR="003215AD" w:rsidRPr="0013463A">
        <w:t>,</w:t>
      </w:r>
      <w:r w:rsidRPr="0013463A">
        <w:t xml:space="preserve"> and more concise.</w:t>
      </w:r>
    </w:p>
    <w:p w14:paraId="00EE5B0B" w14:textId="57613ED2" w:rsidR="00B42ED0" w:rsidRPr="0013463A" w:rsidRDefault="00BD639B" w:rsidP="00B91A89">
      <w:pPr>
        <w:pStyle w:val="Paragraphe"/>
        <w:numPr>
          <w:ilvl w:val="0"/>
          <w:numId w:val="0"/>
        </w:numPr>
        <w:tabs>
          <w:tab w:val="clear" w:pos="567"/>
        </w:tabs>
        <w:jc w:val="center"/>
      </w:pPr>
      <w:r w:rsidRPr="0013463A">
        <w:t>* * *</w:t>
      </w:r>
    </w:p>
    <w:p w14:paraId="532771C3" w14:textId="0C3A5DC1" w:rsidR="00B42ED0" w:rsidRPr="0013463A" w:rsidRDefault="002B064C" w:rsidP="006A28AF">
      <w:pPr>
        <w:pStyle w:val="Paragraphe"/>
        <w:tabs>
          <w:tab w:val="clear" w:pos="567"/>
        </w:tabs>
      </w:pPr>
      <w:r w:rsidRPr="0013463A">
        <w:t xml:space="preserve">From the evidence as a whole, it </w:t>
      </w:r>
      <w:r w:rsidR="00092503" w:rsidRPr="0013463A">
        <w:t>appears</w:t>
      </w:r>
      <w:r w:rsidRPr="0013463A">
        <w:t xml:space="preserve"> quite clear that Mr. Toussaint was presenting a [</w:t>
      </w:r>
      <w:r w:rsidRPr="0013463A">
        <w:rPr>
          <w:smallCaps/>
        </w:rPr>
        <w:t>translation</w:t>
      </w:r>
      <w:r w:rsidRPr="0013463A">
        <w:t>] “disturbed mental state”</w:t>
      </w:r>
      <w:r w:rsidR="00586727" w:rsidRPr="0013463A">
        <w:t xml:space="preserve"> –</w:t>
      </w:r>
      <w:r w:rsidRPr="0013463A">
        <w:t xml:space="preserve"> to adopt the term used by the expert in the use of force, Patrick Léveillé</w:t>
      </w:r>
      <w:r w:rsidR="00586727" w:rsidRPr="0013463A">
        <w:t xml:space="preserve"> –</w:t>
      </w:r>
      <w:r w:rsidRPr="0013463A">
        <w:t xml:space="preserve"> on the </w:t>
      </w:r>
      <w:r w:rsidR="00092503" w:rsidRPr="0013463A">
        <w:t>morning</w:t>
      </w:r>
      <w:r w:rsidRPr="0013463A">
        <w:t xml:space="preserve"> of December 4, 2016.</w:t>
      </w:r>
    </w:p>
    <w:p w14:paraId="2B442B98" w14:textId="17E68CDD" w:rsidR="00B42ED0" w:rsidRPr="0013463A" w:rsidRDefault="002B064C" w:rsidP="006A28AF">
      <w:pPr>
        <w:pStyle w:val="Paragraphe"/>
        <w:tabs>
          <w:tab w:val="clear" w:pos="567"/>
        </w:tabs>
      </w:pPr>
      <w:r w:rsidRPr="0013463A">
        <w:t>It is likely that this state was the result of having taken a drug</w:t>
      </w:r>
      <w:r w:rsidR="00EE4419">
        <w:t xml:space="preserve"> of some kind</w:t>
      </w:r>
      <w:r w:rsidRPr="0013463A">
        <w:t>.</w:t>
      </w:r>
      <w:r w:rsidR="001834C5" w:rsidRPr="0013463A">
        <w:t xml:space="preserve"> </w:t>
      </w:r>
    </w:p>
    <w:p w14:paraId="71493EC8" w14:textId="51C00176" w:rsidR="00B42ED0" w:rsidRPr="0013463A" w:rsidRDefault="00DA1095" w:rsidP="006A28AF">
      <w:pPr>
        <w:pStyle w:val="Paragraphe"/>
        <w:tabs>
          <w:tab w:val="clear" w:pos="567"/>
        </w:tabs>
      </w:pPr>
      <w:r w:rsidRPr="0013463A">
        <w:lastRenderedPageBreak/>
        <w:t>A</w:t>
      </w:r>
      <w:r w:rsidR="002B064C" w:rsidRPr="0013463A">
        <w:t xml:space="preserve">t the </w:t>
      </w:r>
      <w:r w:rsidR="00092503" w:rsidRPr="0013463A">
        <w:t>hearing</w:t>
      </w:r>
      <w:r w:rsidR="002B064C" w:rsidRPr="0013463A">
        <w:t>, when counsel for the CDPDJ asked Mr. Toussaint</w:t>
      </w:r>
      <w:r w:rsidRPr="0013463A">
        <w:t>,</w:t>
      </w:r>
      <w:r w:rsidR="002B064C" w:rsidRPr="0013463A">
        <w:t xml:space="preserve"> </w:t>
      </w:r>
      <w:r w:rsidR="00586727" w:rsidRPr="0013463A">
        <w:t>[</w:t>
      </w:r>
      <w:r w:rsidR="00586727" w:rsidRPr="0013463A">
        <w:rPr>
          <w:smallCaps/>
        </w:rPr>
        <w:t>translation</w:t>
      </w:r>
      <w:r w:rsidR="00586727" w:rsidRPr="0013463A">
        <w:t xml:space="preserve">] </w:t>
      </w:r>
      <w:r w:rsidR="002B064C" w:rsidRPr="0013463A">
        <w:t>“Did you take something?</w:t>
      </w:r>
      <w:r w:rsidR="007C2AD0">
        <w:t>”</w:t>
      </w:r>
      <w:r w:rsidR="002B064C" w:rsidRPr="0013463A">
        <w:t xml:space="preserve">, she obtained the following answer, which was equivocal, to say the least: </w:t>
      </w:r>
      <w:r w:rsidR="00586727" w:rsidRPr="0013463A">
        <w:t>[</w:t>
      </w:r>
      <w:r w:rsidR="00586727" w:rsidRPr="0013463A">
        <w:rPr>
          <w:smallCaps/>
        </w:rPr>
        <w:t>translation</w:t>
      </w:r>
      <w:r w:rsidR="00586727" w:rsidRPr="0013463A">
        <w:t xml:space="preserve">] </w:t>
      </w:r>
      <w:r w:rsidR="002B064C" w:rsidRPr="0013463A">
        <w:t>“No, not especially”.</w:t>
      </w:r>
    </w:p>
    <w:p w14:paraId="21FA7352" w14:textId="206B319C" w:rsidR="00B42ED0" w:rsidRPr="0013463A" w:rsidRDefault="002B064C" w:rsidP="006A28AF">
      <w:pPr>
        <w:pStyle w:val="Paragraphe"/>
        <w:tabs>
          <w:tab w:val="clear" w:pos="567"/>
        </w:tabs>
      </w:pPr>
      <w:r w:rsidRPr="0013463A">
        <w:t xml:space="preserve">The use of </w:t>
      </w:r>
      <w:r w:rsidR="00DA1095" w:rsidRPr="0013463A">
        <w:t>the</w:t>
      </w:r>
      <w:r w:rsidRPr="0013463A">
        <w:t xml:space="preserve"> adverbial phrase attenuates the meaning of the “no” that precedes it.</w:t>
      </w:r>
      <w:r w:rsidR="001834C5" w:rsidRPr="0013463A">
        <w:t xml:space="preserve"> </w:t>
      </w:r>
      <w:r w:rsidR="00586727" w:rsidRPr="0013463A">
        <w:t>[</w:t>
      </w:r>
      <w:r w:rsidR="00586727" w:rsidRPr="0013463A">
        <w:rPr>
          <w:smallCaps/>
        </w:rPr>
        <w:t>translation</w:t>
      </w:r>
      <w:r w:rsidR="00586727" w:rsidRPr="0013463A">
        <w:t xml:space="preserve">] </w:t>
      </w:r>
      <w:r w:rsidRPr="0013463A">
        <w:t>“Not especially” can be understood as</w:t>
      </w:r>
      <w:r w:rsidR="00DA1095" w:rsidRPr="0013463A">
        <w:t xml:space="preserve"> </w:t>
      </w:r>
      <w:r w:rsidR="00586727" w:rsidRPr="0013463A">
        <w:t>[</w:t>
      </w:r>
      <w:r w:rsidR="00586727" w:rsidRPr="0013463A">
        <w:rPr>
          <w:smallCaps/>
        </w:rPr>
        <w:t>translation</w:t>
      </w:r>
      <w:r w:rsidR="00586727" w:rsidRPr="0013463A">
        <w:t xml:space="preserve">] </w:t>
      </w:r>
      <w:r w:rsidRPr="0013463A">
        <w:t>“not really”</w:t>
      </w:r>
      <w:r w:rsidR="00DA1095" w:rsidRPr="0013463A">
        <w:t xml:space="preserve">, </w:t>
      </w:r>
      <w:r w:rsidR="00586727" w:rsidRPr="0013463A">
        <w:t>[</w:t>
      </w:r>
      <w:r w:rsidR="00586727" w:rsidRPr="0013463A">
        <w:rPr>
          <w:smallCaps/>
        </w:rPr>
        <w:t>translation</w:t>
      </w:r>
      <w:r w:rsidR="00586727" w:rsidRPr="0013463A">
        <w:t xml:space="preserve">] </w:t>
      </w:r>
      <w:r w:rsidRPr="0013463A">
        <w:t>“not all that much”</w:t>
      </w:r>
      <w:r w:rsidR="00DA1095" w:rsidRPr="0013463A">
        <w:t>,</w:t>
      </w:r>
      <w:r w:rsidRPr="0013463A">
        <w:t xml:space="preserve"> </w:t>
      </w:r>
      <w:r w:rsidR="00586727" w:rsidRPr="0013463A">
        <w:t>[</w:t>
      </w:r>
      <w:r w:rsidR="00586727" w:rsidRPr="0013463A">
        <w:rPr>
          <w:smallCaps/>
        </w:rPr>
        <w:t>translation</w:t>
      </w:r>
      <w:r w:rsidR="00586727" w:rsidRPr="0013463A">
        <w:t xml:space="preserve">] </w:t>
      </w:r>
      <w:r w:rsidRPr="0013463A">
        <w:t>“not excessively”</w:t>
      </w:r>
      <w:r w:rsidR="00DA1095" w:rsidRPr="0013463A">
        <w:t xml:space="preserve">, or </w:t>
      </w:r>
      <w:r w:rsidR="00586727" w:rsidRPr="0013463A">
        <w:t>[</w:t>
      </w:r>
      <w:r w:rsidR="00586727" w:rsidRPr="0013463A">
        <w:rPr>
          <w:smallCaps/>
        </w:rPr>
        <w:t>translation</w:t>
      </w:r>
      <w:r w:rsidR="00586727" w:rsidRPr="0013463A">
        <w:t xml:space="preserve">] </w:t>
      </w:r>
      <w:r w:rsidRPr="0013463A">
        <w:t>“nothing out of the ordinary”.</w:t>
      </w:r>
      <w:r w:rsidR="001834C5" w:rsidRPr="0013463A">
        <w:t xml:space="preserve"> </w:t>
      </w:r>
      <w:r w:rsidRPr="0013463A">
        <w:t xml:space="preserve">Nevertheless, it suggests that a certain amount of drug use </w:t>
      </w:r>
      <w:r w:rsidR="00DA1095" w:rsidRPr="0013463A">
        <w:t>could</w:t>
      </w:r>
      <w:r w:rsidRPr="0013463A">
        <w:t xml:space="preserve"> be at issue.</w:t>
      </w:r>
    </w:p>
    <w:p w14:paraId="2026E396" w14:textId="0BD8E78B" w:rsidR="00B42ED0" w:rsidRPr="0013463A" w:rsidRDefault="002B064C" w:rsidP="006A28AF">
      <w:pPr>
        <w:pStyle w:val="Paragraphe"/>
        <w:tabs>
          <w:tab w:val="clear" w:pos="567"/>
        </w:tabs>
      </w:pPr>
      <w:r w:rsidRPr="0013463A">
        <w:t xml:space="preserve">That said, does the fact that Mr. Toussaint’s mental state might have been affected by a psychoactive substance allow him to argue that, on December 4, 2016, he had a “handicap” within the meaning of the </w:t>
      </w:r>
      <w:r w:rsidRPr="0013463A">
        <w:rPr>
          <w:i/>
          <w:iCs/>
        </w:rPr>
        <w:t>Charter</w:t>
      </w:r>
      <w:r w:rsidRPr="0013463A">
        <w:t>?</w:t>
      </w:r>
      <w:r w:rsidR="001834C5" w:rsidRPr="0013463A">
        <w:t xml:space="preserve"> </w:t>
      </w:r>
    </w:p>
    <w:p w14:paraId="0EF5C052" w14:textId="3B82F1E8" w:rsidR="00B42ED0" w:rsidRPr="007C2AD0" w:rsidRDefault="002B064C" w:rsidP="006A28AF">
      <w:pPr>
        <w:pStyle w:val="Paragraphe"/>
        <w:tabs>
          <w:tab w:val="clear" w:pos="567"/>
        </w:tabs>
        <w:rPr>
          <w:lang w:val="fr-CA"/>
        </w:rPr>
      </w:pPr>
      <w:r w:rsidRPr="007C2AD0">
        <w:rPr>
          <w:lang w:val="fr-CA"/>
        </w:rPr>
        <w:t xml:space="preserve">In </w:t>
      </w:r>
      <w:r w:rsidRPr="007C2AD0">
        <w:rPr>
          <w:i/>
          <w:lang w:val="fr-CA"/>
        </w:rPr>
        <w:t>Qu</w:t>
      </w:r>
      <w:r w:rsidR="007F5D5A">
        <w:rPr>
          <w:i/>
          <w:lang w:val="fr-CA"/>
        </w:rPr>
        <w:t>e</w:t>
      </w:r>
      <w:r w:rsidRPr="007C2AD0">
        <w:rPr>
          <w:i/>
          <w:lang w:val="fr-CA"/>
        </w:rPr>
        <w:t xml:space="preserve">bec (Commission des droits de la personne et des droits de la jeunesse) </w:t>
      </w:r>
      <w:r w:rsidR="007F5D5A">
        <w:rPr>
          <w:i/>
          <w:lang w:val="fr-CA"/>
        </w:rPr>
        <w:t>v</w:t>
      </w:r>
      <w:r w:rsidRPr="007C2AD0">
        <w:rPr>
          <w:i/>
          <w:lang w:val="fr-CA"/>
        </w:rPr>
        <w:t xml:space="preserve"> Montréal (</w:t>
      </w:r>
      <w:r w:rsidR="007F5D5A">
        <w:rPr>
          <w:i/>
          <w:lang w:val="fr-CA"/>
        </w:rPr>
        <w:t>City</w:t>
      </w:r>
      <w:r w:rsidRPr="007C2AD0">
        <w:rPr>
          <w:i/>
          <w:lang w:val="fr-CA"/>
        </w:rPr>
        <w:t>); Qu</w:t>
      </w:r>
      <w:r w:rsidR="007F5D5A">
        <w:rPr>
          <w:i/>
          <w:lang w:val="fr-CA"/>
        </w:rPr>
        <w:t>e</w:t>
      </w:r>
      <w:r w:rsidRPr="007C2AD0">
        <w:rPr>
          <w:i/>
          <w:lang w:val="fr-CA"/>
        </w:rPr>
        <w:t xml:space="preserve">bec (Commission des droits de la personne et des droits de la jeunesse) </w:t>
      </w:r>
      <w:r w:rsidR="007F5D5A">
        <w:rPr>
          <w:i/>
          <w:lang w:val="fr-CA"/>
        </w:rPr>
        <w:t>v</w:t>
      </w:r>
      <w:r w:rsidRPr="007C2AD0">
        <w:rPr>
          <w:i/>
          <w:lang w:val="fr-CA"/>
        </w:rPr>
        <w:t>. Boisbriand (</w:t>
      </w:r>
      <w:r w:rsidR="00751276" w:rsidRPr="007C2AD0">
        <w:rPr>
          <w:i/>
          <w:lang w:val="fr-CA"/>
        </w:rPr>
        <w:t>City</w:t>
      </w:r>
      <w:r w:rsidRPr="007C2AD0">
        <w:rPr>
          <w:i/>
          <w:lang w:val="fr-CA"/>
        </w:rPr>
        <w:t>)</w:t>
      </w:r>
      <w:r w:rsidRPr="007C2AD0">
        <w:rPr>
          <w:lang w:val="fr-CA"/>
        </w:rPr>
        <w:t>,</w:t>
      </w:r>
      <w:r w:rsidRPr="0013463A">
        <w:rPr>
          <w:rStyle w:val="Appelnotedebasdep"/>
        </w:rPr>
        <w:footnoteReference w:id="67"/>
      </w:r>
      <w:r w:rsidRPr="007C2AD0">
        <w:rPr>
          <w:lang w:val="fr-CA"/>
        </w:rPr>
        <w:t xml:space="preserve"> the Supreme Court of Canada </w:t>
      </w:r>
      <w:r w:rsidR="00586727" w:rsidRPr="007C2AD0">
        <w:rPr>
          <w:lang w:val="fr-CA"/>
        </w:rPr>
        <w:t>put forward</w:t>
      </w:r>
      <w:r w:rsidRPr="007C2AD0">
        <w:rPr>
          <w:lang w:val="fr-CA"/>
        </w:rPr>
        <w:t xml:space="preserve"> a “broad </w:t>
      </w:r>
      <w:r w:rsidR="00C9393D" w:rsidRPr="007C2AD0">
        <w:rPr>
          <w:lang w:val="fr-CA"/>
        </w:rPr>
        <w:t>definition</w:t>
      </w:r>
      <w:r w:rsidRPr="007C2AD0">
        <w:rPr>
          <w:lang w:val="fr-CA"/>
        </w:rPr>
        <w:t xml:space="preserve"> of the word “handicap””:</w:t>
      </w:r>
      <w:r w:rsidRPr="0013463A">
        <w:rPr>
          <w:rStyle w:val="Appelnotedebasdep"/>
        </w:rPr>
        <w:footnoteReference w:id="68"/>
      </w:r>
    </w:p>
    <w:p w14:paraId="04DFC091" w14:textId="640A564F" w:rsidR="00B42ED0" w:rsidRPr="0013463A" w:rsidRDefault="001834C5" w:rsidP="00B91A89">
      <w:pPr>
        <w:pStyle w:val="Citationenretrait"/>
        <w:rPr>
          <w:lang w:val="en-CA"/>
        </w:rPr>
      </w:pPr>
      <w:r w:rsidRPr="0013463A">
        <w:rPr>
          <w:lang w:val="en-CA"/>
        </w:rPr>
        <w:t>[81]  </w:t>
      </w:r>
      <w:r w:rsidR="002B064C" w:rsidRPr="0013463A">
        <w:rPr>
          <w:lang w:val="en-CA"/>
        </w:rPr>
        <w:t xml:space="preserve">It is important to note that a “handicap” may exist even without proof of physical limitations or the presence of an ailment. </w:t>
      </w:r>
      <w:r w:rsidR="002B064C" w:rsidRPr="0013463A">
        <w:rPr>
          <w:u w:val="single"/>
          <w:lang w:val="en-CA"/>
        </w:rPr>
        <w:t>The “handicap” may be actual or perceived</w:t>
      </w:r>
      <w:r w:rsidR="002B064C" w:rsidRPr="0013463A">
        <w:rPr>
          <w:lang w:val="en-CA"/>
        </w:rPr>
        <w:t xml:space="preserve"> and, because the emphasis is on the effects of the distinction, exclusion or preference rather than the precise nature of the handicap, </w:t>
      </w:r>
      <w:r w:rsidR="002B064C" w:rsidRPr="0013463A">
        <w:rPr>
          <w:u w:val="single"/>
          <w:lang w:val="en-CA"/>
        </w:rPr>
        <w:t>the cause and origin of the handicap are immaterial</w:t>
      </w:r>
      <w:r w:rsidR="00EE4419">
        <w:rPr>
          <w:lang w:val="en-CA"/>
        </w:rPr>
        <w:t>…</w:t>
      </w:r>
      <w:r w:rsidRPr="0013463A">
        <w:rPr>
          <w:rStyle w:val="Appelnotedebasdep"/>
          <w:lang w:val="en-CA"/>
        </w:rPr>
        <w:footnoteReference w:id="69"/>
      </w:r>
    </w:p>
    <w:p w14:paraId="16EB25B0" w14:textId="4683620A" w:rsidR="00B42ED0" w:rsidRPr="0013463A" w:rsidRDefault="00147A04" w:rsidP="00B91A89">
      <w:pPr>
        <w:pStyle w:val="Citationenretrait"/>
        <w:jc w:val="right"/>
        <w:rPr>
          <w:sz w:val="20"/>
          <w:lang w:val="en-CA"/>
        </w:rPr>
      </w:pPr>
      <w:r w:rsidRPr="0013463A">
        <w:rPr>
          <w:sz w:val="20"/>
          <w:lang w:val="en-CA"/>
        </w:rPr>
        <w:t>(Emphasis added)</w:t>
      </w:r>
    </w:p>
    <w:p w14:paraId="56118E74" w14:textId="13D0F794" w:rsidR="00B42ED0" w:rsidRPr="0013463A" w:rsidRDefault="00C9393D" w:rsidP="006A28AF">
      <w:pPr>
        <w:pStyle w:val="Paragraphe"/>
        <w:tabs>
          <w:tab w:val="clear" w:pos="567"/>
        </w:tabs>
      </w:pPr>
      <w:r w:rsidRPr="0013463A">
        <w:t xml:space="preserve">The Supreme Court subsequently summarized its judgment, saying that “the notion of the subjective perception of a handicap was accepted in a case relating to the application of the </w:t>
      </w:r>
      <w:r w:rsidRPr="0013463A">
        <w:rPr>
          <w:i/>
        </w:rPr>
        <w:t>Quebec Charter</w:t>
      </w:r>
      <w:r w:rsidRPr="0013463A">
        <w:t>”.</w:t>
      </w:r>
      <w:r w:rsidRPr="0013463A">
        <w:rPr>
          <w:rStyle w:val="Appelnotedebasdep"/>
        </w:rPr>
        <w:footnoteReference w:id="70"/>
      </w:r>
    </w:p>
    <w:p w14:paraId="7A92D6D9" w14:textId="3A0FCB7A" w:rsidR="00B42ED0" w:rsidRPr="0013463A" w:rsidRDefault="00C9393D" w:rsidP="006A28AF">
      <w:pPr>
        <w:pStyle w:val="Paragraphe"/>
        <w:tabs>
          <w:tab w:val="clear" w:pos="567"/>
        </w:tabs>
      </w:pPr>
      <w:r w:rsidRPr="0013463A">
        <w:lastRenderedPageBreak/>
        <w:t xml:space="preserve">In another decision, this one concerning the constitutional equality guarantees the State is bound to uphold under section 15 of the </w:t>
      </w:r>
      <w:r w:rsidRPr="0013463A">
        <w:rPr>
          <w:i/>
          <w:iCs/>
        </w:rPr>
        <w:t>Canadian Charter of Rights and Freedoms</w:t>
      </w:r>
      <w:r w:rsidRPr="0013463A">
        <w:t>,</w:t>
      </w:r>
      <w:r w:rsidRPr="0013463A">
        <w:rPr>
          <w:rStyle w:val="Appelnotedebasdep"/>
        </w:rPr>
        <w:footnoteReference w:id="71"/>
      </w:r>
      <w:r w:rsidRPr="0013463A">
        <w:t xml:space="preserve"> the Court stated:</w:t>
      </w:r>
    </w:p>
    <w:p w14:paraId="6E493372" w14:textId="368CB938" w:rsidR="00B42ED0" w:rsidRPr="0013463A" w:rsidRDefault="001834C5" w:rsidP="00C9393D">
      <w:pPr>
        <w:pStyle w:val="Citationenretrait"/>
        <w:rPr>
          <w:lang w:val="en-CA"/>
        </w:rPr>
      </w:pPr>
      <w:r w:rsidRPr="0013463A">
        <w:rPr>
          <w:lang w:val="en-CA"/>
        </w:rPr>
        <w:t xml:space="preserve">[39]  … </w:t>
      </w:r>
      <w:r w:rsidR="00C9393D" w:rsidRPr="0013463A">
        <w:rPr>
          <w:lang w:val="en-CA"/>
        </w:rPr>
        <w:t xml:space="preserve">while the notions of impairment and </w:t>
      </w:r>
      <w:r w:rsidR="00C9393D" w:rsidRPr="005C2C64">
        <w:rPr>
          <w:lang w:val="en-CA"/>
        </w:rPr>
        <w:t>functional limitation</w:t>
      </w:r>
      <w:r w:rsidR="00C9393D" w:rsidRPr="0013463A">
        <w:rPr>
          <w:lang w:val="en-CA"/>
        </w:rPr>
        <w:t xml:space="preserve"> (real or perceived) are important considerations in the disability analysis, </w:t>
      </w:r>
      <w:r w:rsidR="00C9393D" w:rsidRPr="0013463A">
        <w:rPr>
          <w:u w:val="single"/>
          <w:lang w:val="en-CA"/>
        </w:rPr>
        <w:t>the primary focus is on the inappropriate legislative or administrative response (or lack thereof) of the state</w:t>
      </w:r>
      <w:r w:rsidR="00C9393D" w:rsidRPr="0013463A">
        <w:rPr>
          <w:lang w:val="en-CA"/>
        </w:rPr>
        <w:t xml:space="preserve">. Section 15(1) is ultimately concerned with </w:t>
      </w:r>
      <w:r w:rsidR="00C9393D" w:rsidRPr="005C2C64">
        <w:rPr>
          <w:lang w:val="en-CA"/>
        </w:rPr>
        <w:t>human rights</w:t>
      </w:r>
      <w:r w:rsidR="00C9393D" w:rsidRPr="0013463A">
        <w:rPr>
          <w:lang w:val="en-CA"/>
        </w:rPr>
        <w:t xml:space="preserve"> and discriminatory treatment, </w:t>
      </w:r>
      <w:r w:rsidR="00C9393D" w:rsidRPr="0013463A">
        <w:rPr>
          <w:u w:val="single"/>
          <w:lang w:val="en-CA"/>
        </w:rPr>
        <w:t>not with biomedical conditions</w:t>
      </w:r>
      <w:r w:rsidR="00C9393D" w:rsidRPr="0013463A">
        <w:rPr>
          <w:lang w:val="en-CA"/>
        </w:rPr>
        <w:t>.</w:t>
      </w:r>
      <w:r w:rsidRPr="0013463A">
        <w:rPr>
          <w:rStyle w:val="Appelnotedebasdep"/>
          <w:lang w:val="en-CA"/>
        </w:rPr>
        <w:footnoteReference w:id="72"/>
      </w:r>
    </w:p>
    <w:p w14:paraId="09479CEB" w14:textId="0B74B5FA" w:rsidR="00B42ED0" w:rsidRPr="0013463A" w:rsidRDefault="00147A04" w:rsidP="00B91A89">
      <w:pPr>
        <w:pStyle w:val="Citationenretrait"/>
        <w:jc w:val="right"/>
        <w:rPr>
          <w:sz w:val="20"/>
          <w:lang w:val="en-CA"/>
        </w:rPr>
      </w:pPr>
      <w:r w:rsidRPr="0013463A">
        <w:rPr>
          <w:sz w:val="20"/>
          <w:lang w:val="en-CA"/>
        </w:rPr>
        <w:t>(Emphasis added)</w:t>
      </w:r>
    </w:p>
    <w:p w14:paraId="1B5BAAA1" w14:textId="61481F92" w:rsidR="00B42ED0" w:rsidRPr="0013463A" w:rsidRDefault="00C9393D" w:rsidP="006A28AF">
      <w:pPr>
        <w:pStyle w:val="Paragraphe"/>
        <w:tabs>
          <w:tab w:val="clear" w:pos="567"/>
        </w:tabs>
      </w:pPr>
      <w:r w:rsidRPr="0013463A">
        <w:t xml:space="preserve">It is therefore necessary to guard against placing too much importance on an impairment or </w:t>
      </w:r>
      <w:r w:rsidR="009164E7" w:rsidRPr="0013463A">
        <w:t>limitation</w:t>
      </w:r>
      <w:r w:rsidRPr="0013463A">
        <w:t xml:space="preserve"> characterizing </w:t>
      </w:r>
      <w:r w:rsidR="002003C1" w:rsidRPr="0013463A">
        <w:t>a</w:t>
      </w:r>
      <w:r w:rsidRPr="0013463A">
        <w:t xml:space="preserve"> biomedical condition</w:t>
      </w:r>
      <w:r w:rsidR="002003C1" w:rsidRPr="0013463A">
        <w:t xml:space="preserve"> of some sort</w:t>
      </w:r>
      <w:r w:rsidRPr="0013463A">
        <w:t xml:space="preserve"> </w:t>
      </w:r>
      <w:r w:rsidR="00823974" w:rsidRPr="0013463A">
        <w:t>–</w:t>
      </w:r>
      <w:r w:rsidRPr="0013463A">
        <w:t xml:space="preserve"> whether temporary,</w:t>
      </w:r>
      <w:r w:rsidR="005870FD" w:rsidRPr="0013463A">
        <w:rPr>
          <w:rStyle w:val="Appelnotedebasdep"/>
        </w:rPr>
        <w:footnoteReference w:id="73"/>
      </w:r>
      <w:r w:rsidRPr="0013463A">
        <w:t xml:space="preserve"> episodic,</w:t>
      </w:r>
      <w:r w:rsidR="005870FD" w:rsidRPr="0013463A">
        <w:rPr>
          <w:rStyle w:val="Appelnotedebasdep"/>
        </w:rPr>
        <w:footnoteReference w:id="74"/>
      </w:r>
      <w:r w:rsidRPr="0013463A">
        <w:t xml:space="preserve"> or permanent</w:t>
      </w:r>
      <w:r w:rsidR="005870FD" w:rsidRPr="0013463A">
        <w:rPr>
          <w:rStyle w:val="Appelnotedebasdep"/>
        </w:rPr>
        <w:footnoteReference w:id="75"/>
      </w:r>
      <w:r w:rsidRPr="0013463A">
        <w:t xml:space="preserve"> </w:t>
      </w:r>
      <w:r w:rsidR="00823974" w:rsidRPr="0013463A">
        <w:t>–</w:t>
      </w:r>
      <w:r w:rsidRPr="0013463A">
        <w:t xml:space="preserve"> and to focus instead on the reaction (or lack thereof) of the </w:t>
      </w:r>
      <w:r w:rsidR="00110E24" w:rsidRPr="0013463A">
        <w:t>CO</w:t>
      </w:r>
      <w:r w:rsidRPr="0013463A">
        <w:t>s and of its effects on Mr. Toussaint.</w:t>
      </w:r>
    </w:p>
    <w:p w14:paraId="26ADB25D" w14:textId="43212FBD" w:rsidR="00B42ED0" w:rsidRPr="0013463A" w:rsidRDefault="00C9393D" w:rsidP="006A28AF">
      <w:pPr>
        <w:pStyle w:val="Paragraphe"/>
        <w:tabs>
          <w:tab w:val="clear" w:pos="567"/>
        </w:tabs>
      </w:pPr>
      <w:r w:rsidRPr="0013463A">
        <w:t xml:space="preserve">That said, when Unit Manager Leclerc and several </w:t>
      </w:r>
      <w:r w:rsidR="00110E24" w:rsidRPr="0013463A">
        <w:t>CO</w:t>
      </w:r>
      <w:r w:rsidRPr="0013463A">
        <w:t>s observed on December</w:t>
      </w:r>
      <w:r w:rsidR="000B364F">
        <w:t> </w:t>
      </w:r>
      <w:r w:rsidRPr="0013463A">
        <w:t>4, 2016, that Mr. Toussaint was not behaving</w:t>
      </w:r>
      <w:r w:rsidR="005C2C64">
        <w:t xml:space="preserve"> [</w:t>
      </w:r>
      <w:r w:rsidR="005C2C64" w:rsidRPr="005C2C64">
        <w:rPr>
          <w:smallCaps/>
        </w:rPr>
        <w:t>translation</w:t>
      </w:r>
      <w:r w:rsidR="005C2C64">
        <w:t>]</w:t>
      </w:r>
      <w:r w:rsidRPr="0013463A">
        <w:t xml:space="preserve"> “normally” and seem</w:t>
      </w:r>
      <w:r w:rsidR="009164E7" w:rsidRPr="0013463A">
        <w:t>e</w:t>
      </w:r>
      <w:r w:rsidRPr="0013463A">
        <w:t>d both disconnected from reality and insensitive to pain, they nevertheless refused to adapt their interventions accordingly.</w:t>
      </w:r>
    </w:p>
    <w:p w14:paraId="70A06563" w14:textId="2A0C47BB" w:rsidR="00B42ED0" w:rsidRPr="0013463A" w:rsidRDefault="00C9393D" w:rsidP="006A28AF">
      <w:pPr>
        <w:pStyle w:val="Paragraphe"/>
        <w:tabs>
          <w:tab w:val="clear" w:pos="567"/>
        </w:tabs>
      </w:pPr>
      <w:r w:rsidRPr="0013463A">
        <w:t>In so doing, they compromised his right to substantive equality, which [</w:t>
      </w:r>
      <w:r w:rsidRPr="0013463A">
        <w:rPr>
          <w:smallCaps/>
        </w:rPr>
        <w:t>translation</w:t>
      </w:r>
      <w:r w:rsidRPr="0013463A">
        <w:t>] “is not always achieved through strict equality or identical treatment” and [</w:t>
      </w:r>
      <w:r w:rsidRPr="0013463A">
        <w:rPr>
          <w:smallCaps/>
        </w:rPr>
        <w:t>translation</w:t>
      </w:r>
      <w:r w:rsidRPr="0013463A">
        <w:t xml:space="preserve">] “may sometimes require the application of differential treatment adapted to the needs of </w:t>
      </w:r>
      <w:r w:rsidR="009164E7" w:rsidRPr="0013463A">
        <w:t>the</w:t>
      </w:r>
      <w:r w:rsidRPr="0013463A">
        <w:t xml:space="preserve"> persons in question”.</w:t>
      </w:r>
      <w:r w:rsidRPr="0013463A">
        <w:rPr>
          <w:rStyle w:val="Appelnotedebasdep"/>
        </w:rPr>
        <w:footnoteReference w:id="76"/>
      </w:r>
      <w:r w:rsidR="001834C5" w:rsidRPr="0013463A">
        <w:t xml:space="preserve"> </w:t>
      </w:r>
    </w:p>
    <w:p w14:paraId="545E6B5E" w14:textId="3E4D3D78" w:rsidR="00B42ED0" w:rsidRPr="0013463A" w:rsidRDefault="00C9393D" w:rsidP="006A28AF">
      <w:pPr>
        <w:pStyle w:val="Paragraphe"/>
        <w:tabs>
          <w:tab w:val="clear" w:pos="567"/>
        </w:tabs>
      </w:pPr>
      <w:r w:rsidRPr="0013463A">
        <w:t>They failed to reasonably accommodate this inmate’s perceived “handicap” and to perform an “individualized assessment”</w:t>
      </w:r>
      <w:r w:rsidRPr="0013463A">
        <w:rPr>
          <w:rStyle w:val="Appelnotedebasdep"/>
        </w:rPr>
        <w:footnoteReference w:id="77"/>
      </w:r>
      <w:r w:rsidRPr="0013463A">
        <w:t xml:space="preserve"> of the situation, thus breaching the </w:t>
      </w:r>
      <w:r w:rsidR="0005254A" w:rsidRPr="0013463A">
        <w:t>duty of</w:t>
      </w:r>
      <w:r w:rsidRPr="0013463A">
        <w:t xml:space="preserve"> reasonable accommodation inferred from section 10 of the </w:t>
      </w:r>
      <w:r w:rsidRPr="0013463A">
        <w:rPr>
          <w:i/>
          <w:iCs/>
        </w:rPr>
        <w:t>Charter</w:t>
      </w:r>
      <w:r w:rsidRPr="0013463A">
        <w:t>.</w:t>
      </w:r>
      <w:r w:rsidR="001834C5" w:rsidRPr="0013463A">
        <w:t xml:space="preserve">  </w:t>
      </w:r>
    </w:p>
    <w:p w14:paraId="4549DE46" w14:textId="6CDA90B6" w:rsidR="00012593" w:rsidRPr="0013463A" w:rsidRDefault="00C9393D" w:rsidP="006A28AF">
      <w:pPr>
        <w:pStyle w:val="Paragraphe"/>
        <w:tabs>
          <w:tab w:val="clear" w:pos="567"/>
        </w:tabs>
      </w:pPr>
      <w:r w:rsidRPr="0013463A">
        <w:lastRenderedPageBreak/>
        <w:t xml:space="preserve">This </w:t>
      </w:r>
      <w:r w:rsidR="00897C4A" w:rsidRPr="0013463A">
        <w:t>duty</w:t>
      </w:r>
      <w:r w:rsidRPr="0013463A">
        <w:t xml:space="preserve">, it will be recalled, constitutes “a core and </w:t>
      </w:r>
      <w:r w:rsidR="00092503" w:rsidRPr="0013463A">
        <w:t>transcendent</w:t>
      </w:r>
      <w:r w:rsidRPr="0013463A">
        <w:t xml:space="preserve"> human rights principle”</w:t>
      </w:r>
      <w:r w:rsidRPr="0013463A">
        <w:rPr>
          <w:rStyle w:val="Appelnotedebasdep"/>
        </w:rPr>
        <w:footnoteReference w:id="78"/>
      </w:r>
      <w:r w:rsidRPr="0013463A">
        <w:t xml:space="preserve"> and “a core principle of the </w:t>
      </w:r>
      <w:r w:rsidRPr="00FD0408">
        <w:rPr>
          <w:i/>
          <w:iCs/>
        </w:rPr>
        <w:t xml:space="preserve">Quebec </w:t>
      </w:r>
      <w:r w:rsidRPr="0013463A">
        <w:rPr>
          <w:i/>
          <w:iCs/>
        </w:rPr>
        <w:t>Charter</w:t>
      </w:r>
      <w:r w:rsidRPr="0013463A">
        <w:t>”.</w:t>
      </w:r>
      <w:r w:rsidRPr="0013463A">
        <w:rPr>
          <w:rStyle w:val="Appelnotedebasdep"/>
        </w:rPr>
        <w:footnoteReference w:id="79"/>
      </w:r>
      <w:r w:rsidR="001834C5" w:rsidRPr="0013463A">
        <w:t xml:space="preserve"> </w:t>
      </w:r>
      <w:r w:rsidRPr="0013463A">
        <w:t>It</w:t>
      </w:r>
      <w:r w:rsidR="00EF47F3" w:rsidRPr="0013463A">
        <w:t xml:space="preserve">s application does not stop </w:t>
      </w:r>
      <w:r w:rsidRPr="0013463A">
        <w:t>at the prison doors.</w:t>
      </w:r>
      <w:r w:rsidRPr="0013463A">
        <w:rPr>
          <w:rStyle w:val="Appelnotedebasdep"/>
        </w:rPr>
        <w:footnoteReference w:id="80"/>
      </w:r>
    </w:p>
    <w:p w14:paraId="3DE0F733" w14:textId="61EF97CD" w:rsidR="00B42ED0" w:rsidRPr="0013463A" w:rsidRDefault="00C9393D">
      <w:pPr>
        <w:pStyle w:val="Titre4"/>
        <w:ind w:left="567" w:hanging="567"/>
        <w:rPr>
          <w:b/>
          <w:bCs/>
          <w:i/>
          <w:iCs w:val="0"/>
          <w:lang w:val="en-CA"/>
        </w:rPr>
      </w:pPr>
      <w:r w:rsidRPr="0013463A">
        <w:rPr>
          <w:b/>
          <w:bCs/>
          <w:i/>
          <w:iCs w:val="0"/>
          <w:lang w:val="en-CA"/>
        </w:rPr>
        <w:t>“Race” and “colour”</w:t>
      </w:r>
    </w:p>
    <w:p w14:paraId="7A783C36" w14:textId="7E492E1E" w:rsidR="00B42ED0" w:rsidRPr="0013463A" w:rsidRDefault="00823974" w:rsidP="006A28AF">
      <w:pPr>
        <w:pStyle w:val="Paragraphe"/>
        <w:tabs>
          <w:tab w:val="clear" w:pos="567"/>
        </w:tabs>
      </w:pPr>
      <w:r w:rsidRPr="0013463A">
        <w:t>In its resolution of July 2, 2020,</w:t>
      </w:r>
      <w:r w:rsidR="001834C5" w:rsidRPr="0013463A">
        <w:rPr>
          <w:rStyle w:val="Appelnotedebasdep"/>
        </w:rPr>
        <w:footnoteReference w:id="81"/>
      </w:r>
      <w:r w:rsidR="00092503" w:rsidRPr="0013463A">
        <w:t xml:space="preserve"> made following its investigation, the CDPDJ reported an event that allegedly took place while Mr. Toussaint was in cell 10, after being subjected to the OC and the subsequent brief decontamination.</w:t>
      </w:r>
      <w:r w:rsidR="001834C5" w:rsidRPr="0013463A">
        <w:t xml:space="preserve"> </w:t>
      </w:r>
      <w:r w:rsidR="00092503" w:rsidRPr="0013463A">
        <w:t>It wrote, [</w:t>
      </w:r>
      <w:r w:rsidR="00092503" w:rsidRPr="0013463A">
        <w:rPr>
          <w:smallCaps/>
        </w:rPr>
        <w:t>translation</w:t>
      </w:r>
      <w:r w:rsidR="00092503" w:rsidRPr="0013463A">
        <w:t xml:space="preserve">] “[a]ccording to the complainant, in that cell, one of the officers made the following remarks to him: </w:t>
      </w:r>
      <w:r w:rsidRPr="0013463A">
        <w:t>[</w:t>
      </w:r>
      <w:r w:rsidRPr="0013463A">
        <w:rPr>
          <w:smallCaps/>
        </w:rPr>
        <w:t>translation</w:t>
      </w:r>
      <w:r w:rsidRPr="0013463A">
        <w:t xml:space="preserve">] </w:t>
      </w:r>
      <w:r w:rsidR="00092503" w:rsidRPr="0013463A">
        <w:t>“you’re a fucking nigger, you’</w:t>
      </w:r>
      <w:r w:rsidR="009164E7" w:rsidRPr="0013463A">
        <w:t xml:space="preserve">re not going to </w:t>
      </w:r>
      <w:r w:rsidRPr="0013463A">
        <w:t>do</w:t>
      </w:r>
      <w:r w:rsidR="009164E7" w:rsidRPr="0013463A">
        <w:t xml:space="preserve"> anything</w:t>
      </w:r>
      <w:r w:rsidR="00092503" w:rsidRPr="0013463A">
        <w:t xml:space="preserve"> with your life, look at where you are now”</w:t>
      </w:r>
      <w:r w:rsidR="00341565" w:rsidRPr="0013463A">
        <w:t>”</w:t>
      </w:r>
      <w:r w:rsidR="00092503" w:rsidRPr="0013463A">
        <w:t>.</w:t>
      </w:r>
    </w:p>
    <w:p w14:paraId="71AAD7E7" w14:textId="01A56286" w:rsidR="00B42ED0" w:rsidRPr="0013463A" w:rsidRDefault="00092503" w:rsidP="006A28AF">
      <w:pPr>
        <w:pStyle w:val="Paragraphe"/>
        <w:tabs>
          <w:tab w:val="clear" w:pos="567"/>
        </w:tabs>
      </w:pPr>
      <w:r w:rsidRPr="0013463A">
        <w:t>At the hearing, Mr. Toussaint repeated that these racist insults had been directed at him.</w:t>
      </w:r>
      <w:r w:rsidR="001834C5" w:rsidRPr="0013463A">
        <w:t xml:space="preserve"> </w:t>
      </w:r>
      <w:r w:rsidRPr="0013463A">
        <w:t>However, this statement was made in the portion of his testimony describing what he underwent in cell 1.</w:t>
      </w:r>
    </w:p>
    <w:p w14:paraId="4229B586" w14:textId="207F06E5" w:rsidR="00B42ED0" w:rsidRPr="0013463A" w:rsidRDefault="00092503" w:rsidP="006A28AF">
      <w:pPr>
        <w:pStyle w:val="Paragraphe"/>
        <w:tabs>
          <w:tab w:val="clear" w:pos="567"/>
        </w:tabs>
      </w:pPr>
      <w:r w:rsidRPr="0013463A">
        <w:t xml:space="preserve">He was </w:t>
      </w:r>
      <w:r w:rsidR="00592D07">
        <w:t>un</w:t>
      </w:r>
      <w:r w:rsidRPr="0013463A">
        <w:t xml:space="preserve">able to identify the </w:t>
      </w:r>
      <w:r w:rsidR="00110E24" w:rsidRPr="0013463A">
        <w:t>CO</w:t>
      </w:r>
      <w:r w:rsidRPr="0013463A">
        <w:t xml:space="preserve"> who </w:t>
      </w:r>
      <w:r w:rsidR="00592D07">
        <w:t>uttered</w:t>
      </w:r>
      <w:r w:rsidRPr="0013463A">
        <w:t xml:space="preserve"> these insults</w:t>
      </w:r>
    </w:p>
    <w:p w14:paraId="5525B237" w14:textId="44384998" w:rsidR="00B42ED0" w:rsidRPr="0013463A" w:rsidRDefault="00341565" w:rsidP="006A28AF">
      <w:pPr>
        <w:pStyle w:val="Paragraphe"/>
        <w:tabs>
          <w:tab w:val="clear" w:pos="567"/>
        </w:tabs>
      </w:pPr>
      <w:r w:rsidRPr="0013463A">
        <w:t xml:space="preserve">All the </w:t>
      </w:r>
      <w:r w:rsidR="00092503" w:rsidRPr="0013463A">
        <w:t>defendant</w:t>
      </w:r>
      <w:r w:rsidRPr="0013463A">
        <w:t>s</w:t>
      </w:r>
      <w:r w:rsidR="00092503" w:rsidRPr="0013463A">
        <w:t xml:space="preserve"> </w:t>
      </w:r>
      <w:r w:rsidR="00292771" w:rsidRPr="0013463A">
        <w:t>deny</w:t>
      </w:r>
      <w:r w:rsidR="00092503" w:rsidRPr="0013463A">
        <w:t xml:space="preserve"> </w:t>
      </w:r>
      <w:r w:rsidR="008D3238">
        <w:t xml:space="preserve">uttering </w:t>
      </w:r>
      <w:r w:rsidR="00092503" w:rsidRPr="0013463A">
        <w:t>those insults or even hearing them.</w:t>
      </w:r>
      <w:r w:rsidR="001834C5" w:rsidRPr="0013463A">
        <w:t xml:space="preserve"> </w:t>
      </w:r>
    </w:p>
    <w:p w14:paraId="2232CE56" w14:textId="2500266A" w:rsidR="00B42ED0" w:rsidRPr="0013463A" w:rsidRDefault="00110E24" w:rsidP="006A28AF">
      <w:pPr>
        <w:pStyle w:val="Paragraphe"/>
        <w:tabs>
          <w:tab w:val="clear" w:pos="567"/>
        </w:tabs>
      </w:pPr>
      <w:r w:rsidRPr="0013463A">
        <w:t>CO</w:t>
      </w:r>
      <w:r w:rsidR="00092503" w:rsidRPr="0013463A">
        <w:t xml:space="preserve"> Dubé-Blouin </w:t>
      </w:r>
      <w:r w:rsidR="00292771" w:rsidRPr="0013463A">
        <w:t>says</w:t>
      </w:r>
      <w:r w:rsidR="00092503" w:rsidRPr="0013463A">
        <w:t xml:space="preserve"> that he has [</w:t>
      </w:r>
      <w:r w:rsidR="00092503" w:rsidRPr="0013463A">
        <w:rPr>
          <w:smallCaps/>
        </w:rPr>
        <w:t>translation</w:t>
      </w:r>
      <w:r w:rsidR="00092503" w:rsidRPr="0013463A">
        <w:t>] “no memory” of it.</w:t>
      </w:r>
    </w:p>
    <w:p w14:paraId="1222715E" w14:textId="7C68EF74" w:rsidR="00B42ED0" w:rsidRPr="0013463A" w:rsidRDefault="00092503" w:rsidP="006A28AF">
      <w:pPr>
        <w:pStyle w:val="Paragraphe"/>
        <w:tabs>
          <w:tab w:val="clear" w:pos="567"/>
        </w:tabs>
      </w:pPr>
      <w:r w:rsidRPr="0013463A">
        <w:t>[</w:t>
      </w:r>
      <w:r w:rsidRPr="0013463A">
        <w:rPr>
          <w:smallCaps/>
        </w:rPr>
        <w:t>translation</w:t>
      </w:r>
      <w:r w:rsidRPr="0013463A">
        <w:t xml:space="preserve">] “I would remember”, </w:t>
      </w:r>
      <w:r w:rsidR="00292771" w:rsidRPr="0013463A">
        <w:t>says</w:t>
      </w:r>
      <w:r w:rsidRPr="0013463A">
        <w:t xml:space="preserve"> </w:t>
      </w:r>
      <w:r w:rsidR="00110E24" w:rsidRPr="0013463A">
        <w:t>CO</w:t>
      </w:r>
      <w:r w:rsidRPr="0013463A">
        <w:t xml:space="preserve"> Comeau-Bastien. [</w:t>
      </w:r>
      <w:r w:rsidRPr="0013463A">
        <w:rPr>
          <w:smallCaps/>
        </w:rPr>
        <w:t>translation</w:t>
      </w:r>
      <w:r w:rsidRPr="0013463A">
        <w:t>] “Personally, that would have shocked me”.</w:t>
      </w:r>
    </w:p>
    <w:p w14:paraId="4E63D87F" w14:textId="3BE3E01C" w:rsidR="00B42ED0" w:rsidRPr="0013463A" w:rsidRDefault="00110E24" w:rsidP="006A28AF">
      <w:pPr>
        <w:pStyle w:val="Paragraphe"/>
        <w:tabs>
          <w:tab w:val="clear" w:pos="567"/>
        </w:tabs>
      </w:pPr>
      <w:r w:rsidRPr="0013463A">
        <w:t>CO</w:t>
      </w:r>
      <w:r w:rsidR="00092503" w:rsidRPr="0013463A">
        <w:t xml:space="preserve"> Mykel Brousseau </w:t>
      </w:r>
      <w:r w:rsidR="00292771" w:rsidRPr="0013463A">
        <w:t>is</w:t>
      </w:r>
      <w:r w:rsidR="00092503" w:rsidRPr="0013463A">
        <w:t xml:space="preserve"> even more explicit, saying the following about this type of comment: [</w:t>
      </w:r>
      <w:r w:rsidR="00092503" w:rsidRPr="0013463A">
        <w:rPr>
          <w:smallCaps/>
        </w:rPr>
        <w:t>translation</w:t>
      </w:r>
      <w:r w:rsidR="00092503" w:rsidRPr="0013463A">
        <w:t>] “It</w:t>
      </w:r>
      <w:r w:rsidR="005600EE" w:rsidRPr="0013463A">
        <w:t xml:space="preserve"> isn’t</w:t>
      </w:r>
      <w:r w:rsidR="00092503" w:rsidRPr="0013463A">
        <w:t xml:space="preserve"> part of my values”, </w:t>
      </w:r>
      <w:r w:rsidR="00341565" w:rsidRPr="0013463A">
        <w:t>[</w:t>
      </w:r>
      <w:r w:rsidR="00341565" w:rsidRPr="0013463A">
        <w:rPr>
          <w:smallCaps/>
        </w:rPr>
        <w:t>translation</w:t>
      </w:r>
      <w:r w:rsidR="00341565" w:rsidRPr="0013463A">
        <w:t xml:space="preserve">] </w:t>
      </w:r>
      <w:r w:rsidR="00092503" w:rsidRPr="0013463A">
        <w:t>“It upsets me”</w:t>
      </w:r>
      <w:r w:rsidR="0097521B">
        <w:t>,</w:t>
      </w:r>
      <w:r w:rsidR="00092503" w:rsidRPr="0013463A">
        <w:t xml:space="preserve"> and </w:t>
      </w:r>
      <w:r w:rsidR="00341565" w:rsidRPr="0013463A">
        <w:t>[</w:t>
      </w:r>
      <w:r w:rsidR="00341565" w:rsidRPr="0013463A">
        <w:rPr>
          <w:smallCaps/>
        </w:rPr>
        <w:t>translation</w:t>
      </w:r>
      <w:r w:rsidR="00341565" w:rsidRPr="0013463A">
        <w:t xml:space="preserve">] </w:t>
      </w:r>
      <w:r w:rsidR="00092503" w:rsidRPr="0013463A">
        <w:t>“It’s something that affects me”.</w:t>
      </w:r>
    </w:p>
    <w:p w14:paraId="67756690" w14:textId="2A437309" w:rsidR="00B42ED0" w:rsidRPr="0013463A" w:rsidRDefault="00092503" w:rsidP="006A28AF">
      <w:pPr>
        <w:pStyle w:val="Paragraphe"/>
        <w:tabs>
          <w:tab w:val="clear" w:pos="567"/>
        </w:tabs>
      </w:pPr>
      <w:r w:rsidRPr="0013463A">
        <w:t xml:space="preserve"> In addition, </w:t>
      </w:r>
      <w:r w:rsidR="00110E24" w:rsidRPr="0013463A">
        <w:t>CO</w:t>
      </w:r>
      <w:r w:rsidRPr="0013463A">
        <w:t xml:space="preserve"> Dubé-Blouin note</w:t>
      </w:r>
      <w:r w:rsidR="003A4EB9" w:rsidRPr="0013463A">
        <w:t>d</w:t>
      </w:r>
      <w:r w:rsidRPr="0013463A">
        <w:t xml:space="preserve"> the following in his </w:t>
      </w:r>
      <w:r w:rsidR="00B86D59">
        <w:t>intervention</w:t>
      </w:r>
      <w:r w:rsidRPr="0013463A">
        <w:t xml:space="preserve"> report regarding Mr. Toussaint: </w:t>
      </w:r>
      <w:r w:rsidR="00341565" w:rsidRPr="0013463A">
        <w:t>[</w:t>
      </w:r>
      <w:r w:rsidR="00341565" w:rsidRPr="0013463A">
        <w:rPr>
          <w:smallCaps/>
        </w:rPr>
        <w:t>translation</w:t>
      </w:r>
      <w:r w:rsidR="00341565" w:rsidRPr="0013463A">
        <w:t xml:space="preserve">] </w:t>
      </w:r>
      <w:r w:rsidRPr="0013463A">
        <w:t>“He yelled a lot of insults at other inmate</w:t>
      </w:r>
      <w:r w:rsidR="007616E7" w:rsidRPr="0013463A">
        <w:t>s</w:t>
      </w:r>
      <w:r w:rsidRPr="0013463A">
        <w:t xml:space="preserve"> while he was changing cells”.</w:t>
      </w:r>
      <w:r w:rsidRPr="0013463A">
        <w:rPr>
          <w:rStyle w:val="Appelnotedebasdep"/>
        </w:rPr>
        <w:footnoteReference w:id="82"/>
      </w:r>
    </w:p>
    <w:p w14:paraId="1DEC87C5" w14:textId="316F1849" w:rsidR="00B42ED0" w:rsidRPr="0013463A" w:rsidRDefault="00092503" w:rsidP="006A28AF">
      <w:pPr>
        <w:pStyle w:val="Paragraphe"/>
        <w:tabs>
          <w:tab w:val="clear" w:pos="567"/>
        </w:tabs>
      </w:pPr>
      <w:r w:rsidRPr="0013463A">
        <w:lastRenderedPageBreak/>
        <w:t xml:space="preserve">During the visit to the facility on the first day of the trial, the Tribunal </w:t>
      </w:r>
      <w:r w:rsidR="003A4EB9" w:rsidRPr="0013463A">
        <w:t xml:space="preserve">moved around </w:t>
      </w:r>
      <w:r w:rsidRPr="0013463A">
        <w:t xml:space="preserve">a wing where </w:t>
      </w:r>
      <w:r w:rsidR="007616E7" w:rsidRPr="0013463A">
        <w:t xml:space="preserve">inmates </w:t>
      </w:r>
      <w:r w:rsidRPr="0013463A">
        <w:t>were shouting and exchanging insults between cells.</w:t>
      </w:r>
      <w:r w:rsidR="001834C5" w:rsidRPr="0013463A">
        <w:t xml:space="preserve"> </w:t>
      </w:r>
      <w:r w:rsidRPr="0013463A">
        <w:t xml:space="preserve">It is therefore possible that the racist insults Mr. Toussaint said he received were from another </w:t>
      </w:r>
      <w:r w:rsidR="007616E7" w:rsidRPr="0013463A">
        <w:t>inmate</w:t>
      </w:r>
      <w:r w:rsidRPr="0013463A">
        <w:t>.</w:t>
      </w:r>
    </w:p>
    <w:p w14:paraId="162141CC" w14:textId="00C59979" w:rsidR="00B42ED0" w:rsidRPr="0013463A" w:rsidRDefault="00092503" w:rsidP="006A28AF">
      <w:pPr>
        <w:pStyle w:val="Paragraphe"/>
        <w:tabs>
          <w:tab w:val="clear" w:pos="567"/>
        </w:tabs>
      </w:pPr>
      <w:r w:rsidRPr="0013463A">
        <w:t>There is another possibility that should not be played down</w:t>
      </w:r>
      <w:r w:rsidR="007616E7" w:rsidRPr="0013463A">
        <w:t>:</w:t>
      </w:r>
      <w:r w:rsidRPr="0013463A">
        <w:t xml:space="preserve"> </w:t>
      </w:r>
      <w:r w:rsidR="007616E7" w:rsidRPr="0013463A">
        <w:t>[</w:t>
      </w:r>
      <w:r w:rsidR="007616E7" w:rsidRPr="0013463A">
        <w:rPr>
          <w:smallCaps/>
        </w:rPr>
        <w:t>translation</w:t>
      </w:r>
      <w:r w:rsidR="007616E7" w:rsidRPr="0013463A">
        <w:t xml:space="preserve">]  </w:t>
      </w:r>
      <w:r w:rsidRPr="0013463A">
        <w:t>“</w:t>
      </w:r>
      <w:r w:rsidR="007616E7" w:rsidRPr="0013463A">
        <w:t>there</w:t>
      </w:r>
      <w:r w:rsidR="00C20ECA" w:rsidRPr="0013463A">
        <w:t>,</w:t>
      </w:r>
      <w:r w:rsidR="007616E7" w:rsidRPr="0013463A">
        <w:t xml:space="preserve"> </w:t>
      </w:r>
      <w:r w:rsidRPr="0013463A">
        <w:t>the code of silence reigns supreme, that subculture spanning both sides of the prison bars at all times of day or night (no one speaks, no one knows, no one sees or hears).</w:t>
      </w:r>
      <w:r w:rsidR="001834C5" w:rsidRPr="0013463A">
        <w:t xml:space="preserve"> </w:t>
      </w:r>
      <w:r w:rsidRPr="0013463A">
        <w:t>The cost of breaking it is high.</w:t>
      </w:r>
      <w:r w:rsidR="001834C5" w:rsidRPr="0013463A">
        <w:t xml:space="preserve"> </w:t>
      </w:r>
      <w:r w:rsidRPr="0013463A">
        <w:t>Very high.”</w:t>
      </w:r>
      <w:r w:rsidRPr="0013463A">
        <w:rPr>
          <w:rStyle w:val="Appelnotedebasdep"/>
        </w:rPr>
        <w:t xml:space="preserve"> </w:t>
      </w:r>
      <w:r w:rsidRPr="0013463A">
        <w:rPr>
          <w:rStyle w:val="Appelnotedebasdep"/>
        </w:rPr>
        <w:footnoteReference w:id="83"/>
      </w:r>
    </w:p>
    <w:p w14:paraId="14E5EF8D" w14:textId="28EBADA1" w:rsidR="00B42ED0" w:rsidRPr="0013463A" w:rsidRDefault="00092503" w:rsidP="006A28AF">
      <w:pPr>
        <w:pStyle w:val="Paragraphe"/>
        <w:tabs>
          <w:tab w:val="clear" w:pos="567"/>
        </w:tabs>
      </w:pPr>
      <w:r w:rsidRPr="0013463A">
        <w:t>That said, a party alleging to have suffered racial discrimination is not absolutely required to provide direct evidence.</w:t>
      </w:r>
    </w:p>
    <w:p w14:paraId="5423AFCA" w14:textId="0CA8AF02" w:rsidR="00B42ED0" w:rsidRPr="0013463A" w:rsidRDefault="00092503" w:rsidP="006A28AF">
      <w:pPr>
        <w:pStyle w:val="Paragraphe"/>
        <w:tabs>
          <w:tab w:val="clear" w:pos="567"/>
        </w:tabs>
      </w:pPr>
      <w:r w:rsidRPr="0013463A">
        <w:t xml:space="preserve">The following excerpt, drafted as part of an </w:t>
      </w:r>
      <w:r w:rsidRPr="004F1D9F">
        <w:t>application to evaluate</w:t>
      </w:r>
      <w:r w:rsidRPr="0013463A">
        <w:t xml:space="preserve"> work done by police officers, also applies in a prison context:</w:t>
      </w:r>
    </w:p>
    <w:p w14:paraId="7EAA932B" w14:textId="77777777" w:rsidR="00481D6B" w:rsidRPr="0013463A" w:rsidRDefault="00092503" w:rsidP="00B91A89">
      <w:pPr>
        <w:pStyle w:val="Citationenretrait"/>
        <w:rPr>
          <w:lang w:val="en-CA"/>
        </w:rPr>
      </w:pPr>
      <w:r w:rsidRPr="0013463A">
        <w:rPr>
          <w:lang w:val="en-CA"/>
        </w:rPr>
        <w:t>[</w:t>
      </w:r>
      <w:r w:rsidRPr="0013463A">
        <w:rPr>
          <w:smallCaps/>
          <w:lang w:val="en-CA"/>
        </w:rPr>
        <w:t>translation</w:t>
      </w:r>
      <w:r w:rsidRPr="0013463A">
        <w:rPr>
          <w:lang w:val="en-CA"/>
        </w:rPr>
        <w:t xml:space="preserve">] </w:t>
      </w:r>
    </w:p>
    <w:p w14:paraId="781BC1BB" w14:textId="69B2D00F" w:rsidR="00B42ED0" w:rsidRPr="0013463A" w:rsidRDefault="00092503" w:rsidP="00B91A89">
      <w:pPr>
        <w:pStyle w:val="Citationenretrait"/>
        <w:rPr>
          <w:lang w:val="en-CA"/>
        </w:rPr>
      </w:pPr>
      <w:r w:rsidRPr="0013463A">
        <w:rPr>
          <w:lang w:val="en-CA"/>
        </w:rPr>
        <w:t>It is obviously very rare, except in the case of an outright admission, to find direct evidence that actions performed by a police officer against a citizen were motivated by the colour of the citizen’s skin.</w:t>
      </w:r>
      <w:r w:rsidR="001834C5" w:rsidRPr="0013463A">
        <w:rPr>
          <w:lang w:val="en-CA"/>
        </w:rPr>
        <w:t xml:space="preserve"> </w:t>
      </w:r>
      <w:r w:rsidRPr="0013463A">
        <w:rPr>
          <w:lang w:val="en-CA"/>
        </w:rPr>
        <w:t>More often than not, the evidence is circumstantial.</w:t>
      </w:r>
      <w:r w:rsidR="001834C5" w:rsidRPr="0013463A">
        <w:rPr>
          <w:rStyle w:val="Appelnotedebasdep"/>
          <w:lang w:val="en-CA"/>
        </w:rPr>
        <w:footnoteReference w:id="84"/>
      </w:r>
    </w:p>
    <w:p w14:paraId="5BE40B9B" w14:textId="0C79CE4D" w:rsidR="00B42ED0" w:rsidRPr="0013463A" w:rsidRDefault="00481D6B" w:rsidP="006A28AF">
      <w:pPr>
        <w:pStyle w:val="Paragraphe"/>
        <w:tabs>
          <w:tab w:val="clear" w:pos="567"/>
        </w:tabs>
      </w:pPr>
      <w:r w:rsidRPr="0013463A">
        <w:t>In fact, [</w:t>
      </w:r>
      <w:r w:rsidRPr="0013463A">
        <w:rPr>
          <w:smallCaps/>
        </w:rPr>
        <w:t>translation</w:t>
      </w:r>
      <w:r w:rsidRPr="0013463A">
        <w:t xml:space="preserve">] “racial profiling is generally a clandestine practice that can </w:t>
      </w:r>
      <w:r w:rsidR="00C2559F" w:rsidRPr="0013463A">
        <w:t>arise</w:t>
      </w:r>
      <w:r w:rsidRPr="0013463A">
        <w:t xml:space="preserve"> from unconscious stereotypes”,</w:t>
      </w:r>
      <w:r w:rsidRPr="0013463A">
        <w:rPr>
          <w:rStyle w:val="Appelnotedebasdep"/>
        </w:rPr>
        <w:footnoteReference w:id="85"/>
      </w:r>
      <w:r w:rsidRPr="0013463A">
        <w:t xml:space="preserve"> such that [</w:t>
      </w:r>
      <w:r w:rsidRPr="0013463A">
        <w:rPr>
          <w:smallCaps/>
        </w:rPr>
        <w:t>translation</w:t>
      </w:r>
      <w:r w:rsidRPr="0013463A">
        <w:t>] “proof of racial profiling is rarely made through direct evidence”.</w:t>
      </w:r>
      <w:r w:rsidRPr="0013463A">
        <w:rPr>
          <w:rStyle w:val="Appelnotedebasdep"/>
        </w:rPr>
        <w:footnoteReference w:id="86"/>
      </w:r>
    </w:p>
    <w:p w14:paraId="3EAB0760" w14:textId="2A994FB5" w:rsidR="00481D6B" w:rsidRPr="0013463A" w:rsidRDefault="00481D6B" w:rsidP="00B91A89">
      <w:pPr>
        <w:pStyle w:val="Citationenretrait"/>
        <w:rPr>
          <w:lang w:val="en-CA"/>
        </w:rPr>
      </w:pPr>
      <w:r w:rsidRPr="0013463A">
        <w:rPr>
          <w:lang w:val="en-CA"/>
        </w:rPr>
        <w:t>[</w:t>
      </w:r>
      <w:r w:rsidRPr="0013463A">
        <w:rPr>
          <w:smallCaps/>
          <w:lang w:val="en-CA"/>
        </w:rPr>
        <w:t>translation</w:t>
      </w:r>
      <w:r w:rsidRPr="0013463A">
        <w:rPr>
          <w:lang w:val="en-CA"/>
        </w:rPr>
        <w:t>]</w:t>
      </w:r>
    </w:p>
    <w:p w14:paraId="569E3012" w14:textId="7F3F2E29" w:rsidR="00B42ED0" w:rsidRPr="0013463A" w:rsidRDefault="001834C5" w:rsidP="00B91A89">
      <w:pPr>
        <w:pStyle w:val="Citationenretrait"/>
        <w:rPr>
          <w:lang w:val="en-CA"/>
        </w:rPr>
      </w:pPr>
      <w:r w:rsidRPr="0013463A">
        <w:rPr>
          <w:lang w:val="en-CA"/>
        </w:rPr>
        <w:t>[254]  </w:t>
      </w:r>
      <w:r w:rsidR="00481D6B" w:rsidRPr="0013463A">
        <w:rPr>
          <w:lang w:val="en-CA"/>
        </w:rPr>
        <w:t>It would be wrong to [</w:t>
      </w:r>
      <w:r w:rsidR="00481D6B" w:rsidRPr="0013463A">
        <w:rPr>
          <w:smallCaps/>
          <w:lang w:val="en-CA"/>
        </w:rPr>
        <w:t>translation</w:t>
      </w:r>
      <w:r w:rsidR="00481D6B" w:rsidRPr="0013463A">
        <w:rPr>
          <w:lang w:val="en-CA"/>
        </w:rPr>
        <w:t>] “require direct evidence of racial profiling without considering the inferences that may be drawn from the circumstantial evidence or the assessment of that evidence in light of the teachings set out in the literature on racial profiling.</w:t>
      </w:r>
      <w:r w:rsidRPr="0013463A">
        <w:rPr>
          <w:rStyle w:val="Appelnotedebasdep"/>
          <w:lang w:val="en-CA"/>
        </w:rPr>
        <w:footnoteReference w:id="87"/>
      </w:r>
    </w:p>
    <w:p w14:paraId="0DA6F88F" w14:textId="27E06229" w:rsidR="00B42ED0" w:rsidRPr="0013463A" w:rsidRDefault="00D87714" w:rsidP="006A28AF">
      <w:pPr>
        <w:pStyle w:val="Paragraphe"/>
      </w:pPr>
      <w:r w:rsidRPr="0013463A">
        <w:lastRenderedPageBreak/>
        <w:t xml:space="preserve">   </w:t>
      </w:r>
      <w:r w:rsidR="00481D6B" w:rsidRPr="0013463A">
        <w:t>More than 25 years ago, the Supreme Court of Canada urged all judges to take “judicial notice” of the “history of discrimination” affecting Black persons in Canada, citing with approval the following excerpt from the Court of Appeal for Ontario:</w:t>
      </w:r>
    </w:p>
    <w:p w14:paraId="599A4D81" w14:textId="4A5EDBFE" w:rsidR="00B42ED0" w:rsidRPr="0013463A" w:rsidRDefault="00481D6B" w:rsidP="00B91A89">
      <w:pPr>
        <w:pStyle w:val="Citationenretrait"/>
        <w:rPr>
          <w:lang w:val="en-CA"/>
        </w:rPr>
      </w:pPr>
      <w:r w:rsidRPr="0013463A">
        <w:rPr>
          <w:lang w:val="en-CA"/>
        </w:rPr>
        <w:t xml:space="preserve">Racism, and in particular anti-black racism, is </w:t>
      </w:r>
      <w:r w:rsidRPr="00270337">
        <w:rPr>
          <w:lang w:val="en-CA"/>
        </w:rPr>
        <w:t>a part</w:t>
      </w:r>
      <w:r w:rsidRPr="0013463A">
        <w:rPr>
          <w:lang w:val="en-CA"/>
        </w:rPr>
        <w:t xml:space="preserve"> of our community’s psyche. A significant segment of our community holds overtly racist views. </w:t>
      </w:r>
      <w:r w:rsidRPr="0013463A">
        <w:rPr>
          <w:u w:val="single"/>
          <w:lang w:val="en-CA"/>
        </w:rPr>
        <w:t>A much larger segment subconsciously operates on the basis of negative racial stereotypes.</w:t>
      </w:r>
      <w:r w:rsidRPr="0013463A">
        <w:rPr>
          <w:lang w:val="en-CA"/>
        </w:rPr>
        <w:t xml:space="preserve"> Furthermore, </w:t>
      </w:r>
      <w:r w:rsidRPr="0013463A">
        <w:rPr>
          <w:u w:val="single"/>
          <w:lang w:val="en-CA"/>
        </w:rPr>
        <w:t>our institutions, including the criminal justice system, reflect and perpetuate those negative stereotypes.</w:t>
      </w:r>
      <w:r w:rsidR="001834C5" w:rsidRPr="0013463A">
        <w:rPr>
          <w:rStyle w:val="Appelnotedebasdep"/>
          <w:lang w:val="en-CA"/>
        </w:rPr>
        <w:footnoteReference w:id="88"/>
      </w:r>
    </w:p>
    <w:p w14:paraId="0F9C399D" w14:textId="2282CC44" w:rsidR="00B42ED0" w:rsidRPr="0013463A" w:rsidRDefault="00147A04" w:rsidP="00B91A89">
      <w:pPr>
        <w:pStyle w:val="Citationenretrait"/>
        <w:jc w:val="right"/>
        <w:rPr>
          <w:sz w:val="20"/>
          <w:lang w:val="en-CA"/>
        </w:rPr>
      </w:pPr>
      <w:r w:rsidRPr="0013463A">
        <w:rPr>
          <w:sz w:val="20"/>
          <w:lang w:val="en-CA"/>
        </w:rPr>
        <w:t>(Emphasis added)</w:t>
      </w:r>
    </w:p>
    <w:p w14:paraId="775AF727" w14:textId="085A995F" w:rsidR="00B42ED0" w:rsidRPr="0013463A" w:rsidRDefault="00B31717" w:rsidP="006A28AF">
      <w:pPr>
        <w:pStyle w:val="Paragraphe"/>
        <w:tabs>
          <w:tab w:val="clear" w:pos="567"/>
        </w:tabs>
      </w:pPr>
      <w:r w:rsidRPr="0013463A">
        <w:t xml:space="preserve">Hence, in </w:t>
      </w:r>
      <w:r w:rsidRPr="0013463A">
        <w:rPr>
          <w:i/>
          <w:iCs/>
        </w:rPr>
        <w:t>Miller</w:t>
      </w:r>
      <w:r w:rsidRPr="0013463A">
        <w:t>, the Tribunal acknowledged that it [</w:t>
      </w:r>
      <w:r w:rsidRPr="0013463A">
        <w:rPr>
          <w:smallCaps/>
        </w:rPr>
        <w:t>translation</w:t>
      </w:r>
      <w:r w:rsidRPr="0013463A">
        <w:t>] “must take judicial notice of and bear in mind the history of discrimination that certain disadvantaged groups in Canadian society have suffered, including racism and discrimination against persons suffering from mental health problems</w:t>
      </w:r>
      <w:r w:rsidR="00C73295" w:rsidRPr="0013463A">
        <w:t>”.</w:t>
      </w:r>
      <w:r w:rsidRPr="0013463A">
        <w:rPr>
          <w:rStyle w:val="Appelnotedebasdep"/>
        </w:rPr>
        <w:t xml:space="preserve"> </w:t>
      </w:r>
      <w:r w:rsidRPr="0013463A">
        <w:rPr>
          <w:rStyle w:val="Appelnotedebasdep"/>
        </w:rPr>
        <w:footnoteReference w:id="89"/>
      </w:r>
    </w:p>
    <w:p w14:paraId="77C87911" w14:textId="16BA88E3" w:rsidR="00B42ED0" w:rsidRPr="0013463A" w:rsidRDefault="005600EE" w:rsidP="006A28AF">
      <w:pPr>
        <w:pStyle w:val="Paragraphe"/>
        <w:tabs>
          <w:tab w:val="clear" w:pos="567"/>
        </w:tabs>
      </w:pPr>
      <w:r w:rsidRPr="0013463A">
        <w:t xml:space="preserve">Then, in </w:t>
      </w:r>
      <w:r w:rsidRPr="0013463A">
        <w:rPr>
          <w:i/>
        </w:rPr>
        <w:t>Nyembwe</w:t>
      </w:r>
      <w:r w:rsidRPr="0013463A">
        <w:t>,</w:t>
      </w:r>
      <w:r w:rsidRPr="0013463A">
        <w:rPr>
          <w:rStyle w:val="Appelnotedebasdep"/>
        </w:rPr>
        <w:footnoteReference w:id="90"/>
      </w:r>
      <w:r w:rsidRPr="0013463A">
        <w:t xml:space="preserve"> the Tribunal recognized the importance of taking judicial notice of the social context of an allegation of racial profiling, and that no expert evidence is needed to document the phenomenon:</w:t>
      </w:r>
    </w:p>
    <w:p w14:paraId="728642D5" w14:textId="23BEC716" w:rsidR="00C73295" w:rsidRPr="0013463A" w:rsidRDefault="00C73295" w:rsidP="005A6751">
      <w:pPr>
        <w:pStyle w:val="Citationenretrait"/>
        <w:rPr>
          <w:lang w:val="en-CA"/>
        </w:rPr>
      </w:pPr>
      <w:r w:rsidRPr="0013463A">
        <w:rPr>
          <w:lang w:val="en-CA"/>
        </w:rPr>
        <w:t>[</w:t>
      </w:r>
      <w:r w:rsidRPr="0013463A">
        <w:rPr>
          <w:smallCaps/>
          <w:lang w:val="en-CA"/>
        </w:rPr>
        <w:t>translation</w:t>
      </w:r>
      <w:r w:rsidRPr="0013463A">
        <w:rPr>
          <w:lang w:val="en-CA"/>
        </w:rPr>
        <w:t>]</w:t>
      </w:r>
    </w:p>
    <w:p w14:paraId="60D98293" w14:textId="7681986D" w:rsidR="00B42ED0" w:rsidRPr="0013463A" w:rsidRDefault="001834C5" w:rsidP="005A6751">
      <w:pPr>
        <w:pStyle w:val="Citationenretrait"/>
        <w:rPr>
          <w:lang w:val="en-CA"/>
        </w:rPr>
      </w:pPr>
      <w:r w:rsidRPr="0013463A">
        <w:rPr>
          <w:lang w:val="en-CA"/>
        </w:rPr>
        <w:t>[176]  </w:t>
      </w:r>
      <w:r w:rsidR="005600EE" w:rsidRPr="0013463A">
        <w:rPr>
          <w:lang w:val="en-CA"/>
        </w:rPr>
        <w:t xml:space="preserve">When called upon to decide whether actions are motivated by racial profiling, the Tribunal must consider and take </w:t>
      </w:r>
      <w:r w:rsidR="005600EE" w:rsidRPr="006C7746">
        <w:rPr>
          <w:u w:val="single"/>
          <w:lang w:val="en-CA"/>
        </w:rPr>
        <w:t>judicial notice</w:t>
      </w:r>
      <w:r w:rsidR="005600EE" w:rsidRPr="0013463A">
        <w:rPr>
          <w:lang w:val="en-CA"/>
        </w:rPr>
        <w:t xml:space="preserve"> of the past discrimination suffered by certain disadvantaged groups in Canadian society, including racism and anti-black racism, the prevalence of which is directly linked to the history of slavery and the subjugation of persons of African ancestry in Canada</w:t>
      </w:r>
      <w:r w:rsidRPr="0013463A">
        <w:rPr>
          <w:lang w:val="en-CA"/>
        </w:rPr>
        <w:t>.</w:t>
      </w:r>
    </w:p>
    <w:p w14:paraId="137335EB" w14:textId="1D7A3365" w:rsidR="00B42ED0" w:rsidRPr="0013463A" w:rsidRDefault="001834C5" w:rsidP="005A6751">
      <w:pPr>
        <w:pStyle w:val="Citationenretrait"/>
        <w:rPr>
          <w:lang w:val="en-CA"/>
        </w:rPr>
      </w:pPr>
      <w:r w:rsidRPr="0013463A">
        <w:rPr>
          <w:lang w:val="en-CA"/>
        </w:rPr>
        <w:t>[177]  </w:t>
      </w:r>
      <w:r w:rsidR="005600EE" w:rsidRPr="0013463A">
        <w:rPr>
          <w:lang w:val="en-CA"/>
        </w:rPr>
        <w:t xml:space="preserve">Given that that studies on racial profiling are rare, </w:t>
      </w:r>
      <w:r w:rsidR="005600EE" w:rsidRPr="0013463A">
        <w:rPr>
          <w:u w:val="single"/>
          <w:lang w:val="en-CA"/>
        </w:rPr>
        <w:t>it is fortunate that expert evidence is not systematically required to explain to the courts how racism manifests itself or how conscious and unconscious stereotypes about racialized persons play a role in situations submitted to the courts</w:t>
      </w:r>
      <w:r w:rsidR="005600EE" w:rsidRPr="0013463A">
        <w:rPr>
          <w:lang w:val="en-CA"/>
        </w:rPr>
        <w:t>.</w:t>
      </w:r>
      <w:r w:rsidR="002B1E9A" w:rsidRPr="0013463A">
        <w:rPr>
          <w:lang w:val="en-CA"/>
        </w:rPr>
        <w:t>...</w:t>
      </w:r>
    </w:p>
    <w:p w14:paraId="45E83D28" w14:textId="10C6E392" w:rsidR="00B42ED0" w:rsidRPr="0013463A" w:rsidRDefault="001834C5" w:rsidP="005A6751">
      <w:pPr>
        <w:pStyle w:val="Citationenretrait"/>
        <w:rPr>
          <w:lang w:val="en-CA"/>
        </w:rPr>
      </w:pPr>
      <w:r w:rsidRPr="0013463A">
        <w:rPr>
          <w:lang w:val="en-CA"/>
        </w:rPr>
        <w:t>[178]  </w:t>
      </w:r>
      <w:r w:rsidR="005600EE" w:rsidRPr="0013463A">
        <w:rPr>
          <w:lang w:val="en-CA"/>
        </w:rPr>
        <w:t xml:space="preserve">Racial profiling is generally the expression of an unconscious societal bias. Sociological studies provide statistics on the rate at which racialized persons are assaulted. The studies note that this number is inexplicably disproportionate in relation to non-racialized groups and identify the behaviours that have a discriminatory effect on these populations. </w:t>
      </w:r>
    </w:p>
    <w:p w14:paraId="797EF7A0" w14:textId="376DA0A8" w:rsidR="00B42ED0" w:rsidRPr="0013463A" w:rsidRDefault="00147A04" w:rsidP="005A6751">
      <w:pPr>
        <w:pStyle w:val="Citationenretrait"/>
        <w:jc w:val="right"/>
        <w:rPr>
          <w:sz w:val="20"/>
          <w:lang w:val="en-CA"/>
        </w:rPr>
      </w:pPr>
      <w:r w:rsidRPr="0013463A">
        <w:rPr>
          <w:sz w:val="20"/>
          <w:lang w:val="en-CA"/>
        </w:rPr>
        <w:lastRenderedPageBreak/>
        <w:t>(Emphasis added)</w:t>
      </w:r>
    </w:p>
    <w:p w14:paraId="3B1FC714" w14:textId="38151CFE" w:rsidR="0088635E" w:rsidRPr="0013463A" w:rsidRDefault="005600EE" w:rsidP="006A28AF">
      <w:pPr>
        <w:pStyle w:val="Paragraphe"/>
        <w:tabs>
          <w:tab w:val="clear" w:pos="567"/>
        </w:tabs>
      </w:pPr>
      <w:r w:rsidRPr="0013463A">
        <w:t xml:space="preserve">In </w:t>
      </w:r>
      <w:r w:rsidR="001834C5" w:rsidRPr="0013463A">
        <w:rPr>
          <w:i/>
          <w:iCs/>
        </w:rPr>
        <w:t xml:space="preserve">R. </w:t>
      </w:r>
      <w:r w:rsidRPr="0013463A">
        <w:rPr>
          <w:i/>
          <w:iCs/>
        </w:rPr>
        <w:t>v</w:t>
      </w:r>
      <w:r w:rsidR="001834C5" w:rsidRPr="0013463A">
        <w:rPr>
          <w:i/>
          <w:iCs/>
        </w:rPr>
        <w:t>. Le</w:t>
      </w:r>
      <w:r w:rsidRPr="0013463A">
        <w:t>,</w:t>
      </w:r>
      <w:r w:rsidR="001834C5" w:rsidRPr="0013463A">
        <w:rPr>
          <w:rStyle w:val="Appelnotedebasdep"/>
        </w:rPr>
        <w:footnoteReference w:id="91"/>
      </w:r>
      <w:r w:rsidR="001834C5" w:rsidRPr="0013463A">
        <w:t xml:space="preserve"> </w:t>
      </w:r>
      <w:r w:rsidRPr="0013463A">
        <w:t>the Supreme Court of Canada wrote that</w:t>
      </w:r>
      <w:r w:rsidR="0088635E" w:rsidRPr="0013463A">
        <w:t xml:space="preserve"> “[m]embers of racial minorities have disproportionate levels of contact with the police and the criminal justice system in Canada”.</w:t>
      </w:r>
      <w:r w:rsidR="001834C5" w:rsidRPr="0013463A">
        <w:rPr>
          <w:rStyle w:val="Appelnotedebasdep"/>
        </w:rPr>
        <w:footnoteReference w:id="92"/>
      </w:r>
      <w:r w:rsidR="001834C5" w:rsidRPr="0013463A">
        <w:t xml:space="preserve"> </w:t>
      </w:r>
      <w:r w:rsidR="0088635E" w:rsidRPr="0013463A">
        <w:t xml:space="preserve">It </w:t>
      </w:r>
      <w:r w:rsidR="00C73295" w:rsidRPr="0013463A">
        <w:t>based</w:t>
      </w:r>
      <w:r w:rsidR="0088635E" w:rsidRPr="0013463A">
        <w:t xml:space="preserve"> this conclusion </w:t>
      </w:r>
      <w:r w:rsidR="00C73295" w:rsidRPr="0013463A">
        <w:t xml:space="preserve">on </w:t>
      </w:r>
      <w:r w:rsidR="0088635E" w:rsidRPr="0013463A">
        <w:t>reports, studies</w:t>
      </w:r>
      <w:r w:rsidR="00C73295" w:rsidRPr="0013463A">
        <w:t>,</w:t>
      </w:r>
      <w:r w:rsidR="0088635E" w:rsidRPr="0013463A">
        <w:t xml:space="preserve"> and other credible documents of which </w:t>
      </w:r>
      <w:r w:rsidR="00C5016E" w:rsidRPr="0013463A">
        <w:t xml:space="preserve">the </w:t>
      </w:r>
      <w:r w:rsidR="0088635E" w:rsidRPr="0013463A">
        <w:t>courts may take judicial notice.</w:t>
      </w:r>
      <w:r w:rsidR="001834C5" w:rsidRPr="0013463A">
        <w:rPr>
          <w:rStyle w:val="Appelnotedebasdep"/>
        </w:rPr>
        <w:footnoteReference w:id="93"/>
      </w:r>
      <w:r w:rsidR="0088635E" w:rsidRPr="0013463A">
        <w:t xml:space="preserve"> </w:t>
      </w:r>
    </w:p>
    <w:p w14:paraId="5FAEFDAD" w14:textId="0BD852A5" w:rsidR="00B42ED0" w:rsidRPr="0013463A" w:rsidRDefault="0088635E" w:rsidP="006A28AF">
      <w:pPr>
        <w:pStyle w:val="Paragraphe"/>
        <w:tabs>
          <w:tab w:val="clear" w:pos="567"/>
        </w:tabs>
      </w:pPr>
      <w:r w:rsidRPr="0013463A">
        <w:t>That said,</w:t>
      </w:r>
      <w:r w:rsidR="007443F9" w:rsidRPr="0013463A">
        <w:t xml:space="preserve"> there appear to be </w:t>
      </w:r>
      <w:r w:rsidRPr="0013463A">
        <w:t>relatively few empirical studies on the treatment of racialized minorities in the prison environment.</w:t>
      </w:r>
      <w:r w:rsidR="001834C5" w:rsidRPr="0013463A">
        <w:rPr>
          <w:rStyle w:val="Appelnotedebasdep"/>
        </w:rPr>
        <w:footnoteReference w:id="94"/>
      </w:r>
    </w:p>
    <w:p w14:paraId="5746C018" w14:textId="70C0D01E" w:rsidR="00B42ED0" w:rsidRPr="0013463A" w:rsidRDefault="00734456" w:rsidP="006A28AF">
      <w:pPr>
        <w:pStyle w:val="Paragraphe"/>
        <w:tabs>
          <w:tab w:val="clear" w:pos="567"/>
        </w:tabs>
      </w:pPr>
      <w:r w:rsidRPr="0013463A">
        <w:t>Nevertheless, the CDPDJ filed in evidence the Office of the Correctional Investigator Annual Report 2021-2022,</w:t>
      </w:r>
      <w:r w:rsidRPr="0013463A">
        <w:rPr>
          <w:rStyle w:val="Appelnotedebasdep"/>
        </w:rPr>
        <w:t xml:space="preserve"> </w:t>
      </w:r>
      <w:r w:rsidRPr="0013463A">
        <w:rPr>
          <w:rStyle w:val="Appelnotedebasdep"/>
        </w:rPr>
        <w:footnoteReference w:id="95"/>
      </w:r>
      <w:r w:rsidRPr="0013463A">
        <w:t xml:space="preserve"> which includes a chapter entitled “Update on the Experiences of Black Persons in Canadian Federal Penitentiaries”.</w:t>
      </w:r>
    </w:p>
    <w:p w14:paraId="50444849" w14:textId="2BC06DC2" w:rsidR="00B42ED0" w:rsidRPr="0013463A" w:rsidRDefault="002B663F" w:rsidP="006A28AF">
      <w:pPr>
        <w:pStyle w:val="Paragraphe"/>
        <w:tabs>
          <w:tab w:val="clear" w:pos="567"/>
        </w:tabs>
      </w:pPr>
      <w:r w:rsidRPr="0013463A">
        <w:t xml:space="preserve">Although this section of the document describes the situation prevailing in certain federal penitentiaries </w:t>
      </w:r>
      <w:r w:rsidR="00EC11E9" w:rsidRPr="0013463A">
        <w:t>–</w:t>
      </w:r>
      <w:r w:rsidRPr="0013463A">
        <w:t xml:space="preserve"> including the medium-security facility in Cowansville, Quebec </w:t>
      </w:r>
      <w:r w:rsidR="00EC11E9" w:rsidRPr="0013463A">
        <w:t>–</w:t>
      </w:r>
      <w:r w:rsidRPr="0013463A">
        <w:t xml:space="preserve"> it reveals that, in these penitentiaries, Black inmates:</w:t>
      </w:r>
    </w:p>
    <w:p w14:paraId="6696041D" w14:textId="3177F3A0" w:rsidR="00B42ED0" w:rsidRPr="0013463A" w:rsidRDefault="002B663F">
      <w:pPr>
        <w:pStyle w:val="Paragraphe"/>
        <w:numPr>
          <w:ilvl w:val="0"/>
          <w:numId w:val="6"/>
        </w:numPr>
        <w:tabs>
          <w:tab w:val="clear" w:pos="567"/>
        </w:tabs>
      </w:pPr>
      <w:r w:rsidRPr="0013463A">
        <w:t>“represented 9.2% of the overall incarcerated population, despite representing about 3.5% of the Canadian population”;</w:t>
      </w:r>
      <w:r w:rsidR="001834C5" w:rsidRPr="0013463A">
        <w:rPr>
          <w:rStyle w:val="Appelnotedebasdep"/>
        </w:rPr>
        <w:footnoteReference w:id="96"/>
      </w:r>
    </w:p>
    <w:p w14:paraId="2428C672" w14:textId="7E529CCB" w:rsidR="00B42ED0" w:rsidRPr="0013463A" w:rsidRDefault="002B663F">
      <w:pPr>
        <w:pStyle w:val="Paragraphe"/>
        <w:numPr>
          <w:ilvl w:val="0"/>
          <w:numId w:val="6"/>
        </w:numPr>
        <w:tabs>
          <w:tab w:val="clear" w:pos="567"/>
        </w:tabs>
      </w:pPr>
      <w:r w:rsidRPr="0013463A">
        <w:t>are for the majority “young men with the largest proportion of Black individuals falling between the ages of 18 and 30 years”;</w:t>
      </w:r>
      <w:r w:rsidRPr="0013463A">
        <w:rPr>
          <w:rStyle w:val="Appelnotedebasdep"/>
        </w:rPr>
        <w:footnoteReference w:id="97"/>
      </w:r>
    </w:p>
    <w:p w14:paraId="4B51CB32" w14:textId="6002AF9C" w:rsidR="00B42ED0" w:rsidRPr="0013463A" w:rsidRDefault="002B663F">
      <w:pPr>
        <w:pStyle w:val="Paragraphe"/>
        <w:numPr>
          <w:ilvl w:val="0"/>
          <w:numId w:val="6"/>
        </w:numPr>
        <w:tabs>
          <w:tab w:val="clear" w:pos="567"/>
        </w:tabs>
      </w:pPr>
      <w:r w:rsidRPr="0013463A">
        <w:t>“were disproportionately involved in use of force incidents”.</w:t>
      </w:r>
      <w:r w:rsidRPr="0013463A">
        <w:rPr>
          <w:rStyle w:val="Appelnotedebasdep"/>
        </w:rPr>
        <w:footnoteReference w:id="98"/>
      </w:r>
      <w:r w:rsidR="001834C5" w:rsidRPr="0013463A">
        <w:t xml:space="preserve"> </w:t>
      </w:r>
      <w:r w:rsidR="00854E1D" w:rsidRPr="0013463A">
        <w:t>More specifically, Black, Indigenous and people of colour “accounted for 60% of all uses of force, while representing 44% of the federally incarcerated population”,</w:t>
      </w:r>
      <w:r w:rsidR="00854E1D" w:rsidRPr="0013463A">
        <w:rPr>
          <w:rStyle w:val="Appelnotedebasdep"/>
        </w:rPr>
        <w:footnoteReference w:id="99"/>
      </w:r>
      <w:r w:rsidR="00854E1D" w:rsidRPr="0013463A">
        <w:t xml:space="preserve"> which led the correctional investigator to conclude that “race is significantly and uniquely associated with the </w:t>
      </w:r>
      <w:r w:rsidR="0037455A" w:rsidRPr="0013463A">
        <w:t>application</w:t>
      </w:r>
      <w:r w:rsidR="00854E1D" w:rsidRPr="0013463A">
        <w:t xml:space="preserve"> of force in federal prisons”.</w:t>
      </w:r>
      <w:r w:rsidR="00854E1D" w:rsidRPr="0013463A">
        <w:rPr>
          <w:rStyle w:val="Appelnotedebasdep"/>
        </w:rPr>
        <w:footnoteReference w:id="100"/>
      </w:r>
      <w:r w:rsidR="001834C5" w:rsidRPr="0013463A">
        <w:t xml:space="preserve"> </w:t>
      </w:r>
    </w:p>
    <w:p w14:paraId="1BED1775" w14:textId="6EF4FDBA" w:rsidR="00B42ED0" w:rsidRPr="0013463A" w:rsidRDefault="00854E1D">
      <w:pPr>
        <w:pStyle w:val="Paragraphe"/>
        <w:numPr>
          <w:ilvl w:val="0"/>
          <w:numId w:val="6"/>
        </w:numPr>
        <w:tabs>
          <w:tab w:val="clear" w:pos="567"/>
        </w:tabs>
      </w:pPr>
      <w:r w:rsidRPr="0013463A">
        <w:lastRenderedPageBreak/>
        <w:t>“were consistently overrepresented for discretionary charges such as disobeying an order or a rule”</w:t>
      </w:r>
      <w:r w:rsidRPr="0013463A">
        <w:rPr>
          <w:rStyle w:val="Appelnotedebasdep"/>
        </w:rPr>
        <w:footnoteReference w:id="101"/>
      </w:r>
      <w:r w:rsidRPr="0013463A">
        <w:t xml:space="preserve"> between 2016 and 2021</w:t>
      </w:r>
      <w:r w:rsidR="00E52760">
        <w:t>;</w:t>
      </w:r>
      <w:r w:rsidR="000249C8">
        <w:t xml:space="preserve"> and</w:t>
      </w:r>
    </w:p>
    <w:p w14:paraId="71A99242" w14:textId="6E488D6F" w:rsidR="00B42ED0" w:rsidRPr="0013463A" w:rsidRDefault="00854E1D">
      <w:pPr>
        <w:pStyle w:val="Paragraphe"/>
        <w:numPr>
          <w:ilvl w:val="0"/>
          <w:numId w:val="6"/>
        </w:numPr>
        <w:tabs>
          <w:tab w:val="clear" w:pos="567"/>
        </w:tabs>
      </w:pPr>
      <w:r w:rsidRPr="0013463A">
        <w:t>“experience discrimination by correctional officials through the use of racist language, as well as being ignored and disregarded in ways that increase feelings of marginalization, exclusion and isolation”.</w:t>
      </w:r>
      <w:r w:rsidR="001834C5" w:rsidRPr="0013463A">
        <w:rPr>
          <w:rStyle w:val="Appelnotedebasdep"/>
        </w:rPr>
        <w:footnoteReference w:id="102"/>
      </w:r>
      <w:r w:rsidR="001834C5" w:rsidRPr="0013463A">
        <w:t xml:space="preserve"> </w:t>
      </w:r>
    </w:p>
    <w:p w14:paraId="115CD502" w14:textId="2C7AF7CA" w:rsidR="00B42ED0" w:rsidRPr="0013463A" w:rsidRDefault="009C1885" w:rsidP="006A28AF">
      <w:pPr>
        <w:pStyle w:val="Paragraphe"/>
        <w:tabs>
          <w:tab w:val="clear" w:pos="567"/>
        </w:tabs>
      </w:pPr>
      <w:r w:rsidRPr="0013463A">
        <w:t xml:space="preserve">In </w:t>
      </w:r>
      <w:r w:rsidRPr="0013463A">
        <w:rPr>
          <w:i/>
        </w:rPr>
        <w:t>Nyembwe</w:t>
      </w:r>
      <w:r w:rsidRPr="0013463A">
        <w:t xml:space="preserve">, the Tribunal had the benefit of a sociologist’s expert report explaining the stereotypes “associated with </w:t>
      </w:r>
      <w:r w:rsidR="00E52760">
        <w:t>B</w:t>
      </w:r>
      <w:r w:rsidRPr="0013463A">
        <w:t>lack men in general and in Quebec in particular”,</w:t>
      </w:r>
      <w:r w:rsidRPr="0013463A">
        <w:rPr>
          <w:rStyle w:val="Appelnotedebasdep"/>
        </w:rPr>
        <w:footnoteReference w:id="103"/>
      </w:r>
      <w:r w:rsidRPr="0013463A">
        <w:t xml:space="preserve"> which led to the following conclusion:</w:t>
      </w:r>
    </w:p>
    <w:p w14:paraId="316457EA" w14:textId="64ECBD00" w:rsidR="00B42ED0" w:rsidRPr="0013463A" w:rsidRDefault="009C1885" w:rsidP="005A6751">
      <w:pPr>
        <w:pStyle w:val="Citationenretrait"/>
        <w:rPr>
          <w:lang w:val="en-CA"/>
        </w:rPr>
      </w:pPr>
      <w:r w:rsidRPr="0013463A">
        <w:rPr>
          <w:lang w:val="en-CA"/>
        </w:rPr>
        <w:t>Racism against black men is influenced by a set of negative stereotypes imagined and driven by the collective imagination since the 17th century to justify the treatment of slaves, stereotypes that portray them as being more criminal</w:t>
      </w:r>
      <w:r w:rsidRPr="00E52760">
        <w:rPr>
          <w:lang w:val="en-CA"/>
        </w:rPr>
        <w:t xml:space="preserve">, </w:t>
      </w:r>
      <w:r w:rsidRPr="0013463A">
        <w:rPr>
          <w:u w:val="single"/>
          <w:lang w:val="en-CA"/>
        </w:rPr>
        <w:t>physically stronger, more violent, more aggressive, more threatening</w:t>
      </w:r>
      <w:r w:rsidRPr="0013463A">
        <w:rPr>
          <w:lang w:val="en-CA"/>
        </w:rPr>
        <w:t xml:space="preserve">, poorer, and less intelligent than white men. These stereotypes – absorbed by a part of the population, consciously or not – lead police officers to more rapidly and automatically suspect black men of being involved in criminal activity, and to </w:t>
      </w:r>
      <w:r w:rsidRPr="00E52760">
        <w:rPr>
          <w:u w:val="single"/>
          <w:lang w:val="en-CA"/>
        </w:rPr>
        <w:t>treat them more severely and with more force than white men. This situation is well-known to the courts</w:t>
      </w:r>
      <w:r w:rsidRPr="0013463A">
        <w:rPr>
          <w:lang w:val="en-CA"/>
        </w:rPr>
        <w:t>.</w:t>
      </w:r>
      <w:r w:rsidR="001834C5" w:rsidRPr="0013463A">
        <w:rPr>
          <w:rStyle w:val="Appelnotedebasdep"/>
          <w:lang w:val="en-CA"/>
        </w:rPr>
        <w:footnoteReference w:id="104"/>
      </w:r>
    </w:p>
    <w:p w14:paraId="718D6999" w14:textId="70BECE90" w:rsidR="00B42ED0" w:rsidRPr="0013463A" w:rsidRDefault="00147A04" w:rsidP="005A6751">
      <w:pPr>
        <w:pStyle w:val="Citationenretrait"/>
        <w:jc w:val="right"/>
        <w:rPr>
          <w:lang w:val="en-CA"/>
        </w:rPr>
      </w:pPr>
      <w:r w:rsidRPr="0013463A">
        <w:rPr>
          <w:lang w:val="en-CA"/>
        </w:rPr>
        <w:t>(Emphasis added)</w:t>
      </w:r>
    </w:p>
    <w:p w14:paraId="5918F842" w14:textId="06B7D0BA" w:rsidR="00B42ED0" w:rsidRPr="0013463A" w:rsidRDefault="009C1885" w:rsidP="006A28AF">
      <w:pPr>
        <w:pStyle w:val="Paragraphe"/>
        <w:tabs>
          <w:tab w:val="clear" w:pos="567"/>
        </w:tabs>
      </w:pPr>
      <w:r w:rsidRPr="0013463A">
        <w:t xml:space="preserve">Although the Tribunal is not able to find that the racist comments reported were uttered by any specific </w:t>
      </w:r>
      <w:r w:rsidR="00110E24" w:rsidRPr="0013463A">
        <w:t>CO</w:t>
      </w:r>
      <w:r w:rsidRPr="0013463A">
        <w:t xml:space="preserve">, the fact nevertheless remains that the deployment of an abnormally high number of </w:t>
      </w:r>
      <w:r w:rsidR="00110E24" w:rsidRPr="0013463A">
        <w:t>CO</w:t>
      </w:r>
      <w:r w:rsidRPr="0013463A">
        <w:t>s and the disproportionate force they employed to compel Mr. Toussaint to submit to the strip search are fully consistent with these stereotypes</w:t>
      </w:r>
      <w:r w:rsidR="006A36D2" w:rsidRPr="0013463A">
        <w:t>,</w:t>
      </w:r>
      <w:r w:rsidRPr="0013463A">
        <w:rPr>
          <w:rStyle w:val="Appelnotedebasdep"/>
        </w:rPr>
        <w:footnoteReference w:id="105"/>
      </w:r>
      <w:r w:rsidRPr="0013463A">
        <w:t xml:space="preserve"> </w:t>
      </w:r>
      <w:r w:rsidR="006A36D2" w:rsidRPr="0013463A">
        <w:t xml:space="preserve">which </w:t>
      </w:r>
      <w:r w:rsidRPr="0013463A">
        <w:t>fuel racial discrimination</w:t>
      </w:r>
      <w:r w:rsidR="00EC11E9" w:rsidRPr="0013463A">
        <w:t xml:space="preserve"> in a prison </w:t>
      </w:r>
      <w:r w:rsidR="00D247D1">
        <w:t>environment</w:t>
      </w:r>
      <w:r w:rsidRPr="0013463A">
        <w:t>.</w:t>
      </w:r>
    </w:p>
    <w:p w14:paraId="2DF8E88D" w14:textId="51539652" w:rsidR="00B42ED0" w:rsidRPr="0013463A" w:rsidRDefault="009C1885" w:rsidP="006A28AF">
      <w:pPr>
        <w:pStyle w:val="Paragraphe"/>
        <w:tabs>
          <w:tab w:val="clear" w:pos="567"/>
        </w:tabs>
      </w:pPr>
      <w:r w:rsidRPr="0013463A">
        <w:t xml:space="preserve">In </w:t>
      </w:r>
      <w:r w:rsidRPr="0013463A">
        <w:rPr>
          <w:i/>
          <w:iCs/>
        </w:rPr>
        <w:t>Bombardier</w:t>
      </w:r>
      <w:r w:rsidRPr="0013463A">
        <w:t xml:space="preserve">, the Supreme Court of Canada found that it was sufficient for the </w:t>
      </w:r>
      <w:r w:rsidR="00E64FFF">
        <w:t xml:space="preserve">action of the person </w:t>
      </w:r>
      <w:r w:rsidRPr="0013463A">
        <w:t>to whom the contested distinction or exclusion is imputed to be “based</w:t>
      </w:r>
      <w:r w:rsidR="00423777">
        <w:t xml:space="preserve"> </w:t>
      </w:r>
      <w:r w:rsidRPr="0013463A">
        <w:t xml:space="preserve">in part” on the ground of discrimination invoked, or in other words, that this ground </w:t>
      </w:r>
      <w:r w:rsidRPr="0013463A">
        <w:lastRenderedPageBreak/>
        <w:t>“need only have contributed”</w:t>
      </w:r>
      <w:r w:rsidRPr="0013463A">
        <w:rPr>
          <w:rStyle w:val="Appelnotedebasdep"/>
        </w:rPr>
        <w:footnoteReference w:id="106"/>
      </w:r>
      <w:r w:rsidRPr="0013463A">
        <w:t xml:space="preserve"> to the </w:t>
      </w:r>
      <w:r w:rsidR="0037455A" w:rsidRPr="0013463A">
        <w:t>impugned</w:t>
      </w:r>
      <w:r w:rsidRPr="0013463A">
        <w:t xml:space="preserve"> act, even if that </w:t>
      </w:r>
      <w:r w:rsidR="0037455A" w:rsidRPr="0013463A">
        <w:t>contribution</w:t>
      </w:r>
      <w:r w:rsidRPr="0013463A">
        <w:t xml:space="preserve"> was </w:t>
      </w:r>
      <w:r w:rsidR="0037455A" w:rsidRPr="0013463A">
        <w:t>unconscious</w:t>
      </w:r>
      <w:r w:rsidRPr="0013463A">
        <w:t>.</w:t>
      </w:r>
      <w:r w:rsidRPr="0013463A">
        <w:rPr>
          <w:rStyle w:val="Appelnotedebasdep"/>
        </w:rPr>
        <w:footnoteReference w:id="107"/>
      </w:r>
    </w:p>
    <w:p w14:paraId="40FE2444" w14:textId="21BA02BB" w:rsidR="00B42ED0" w:rsidRPr="0013463A" w:rsidRDefault="009C1885" w:rsidP="006A28AF">
      <w:pPr>
        <w:pStyle w:val="Paragraphe"/>
        <w:tabs>
          <w:tab w:val="clear" w:pos="567"/>
        </w:tabs>
      </w:pPr>
      <w:r w:rsidRPr="0013463A">
        <w:t xml:space="preserve">In light of the evidence, it appears </w:t>
      </w:r>
      <w:r w:rsidR="0037455A" w:rsidRPr="0013463A">
        <w:t>inconceivable</w:t>
      </w:r>
      <w:r w:rsidRPr="0013463A">
        <w:t xml:space="preserve"> that the widespread stereotypes relating to race or colour had no </w:t>
      </w:r>
      <w:r w:rsidR="0037455A" w:rsidRPr="0013463A">
        <w:t>influence</w:t>
      </w:r>
      <w:r w:rsidRPr="0013463A">
        <w:t xml:space="preserve"> whatsoever, even unconsciously, on </w:t>
      </w:r>
      <w:r w:rsidR="0037455A" w:rsidRPr="0013463A">
        <w:t>the</w:t>
      </w:r>
      <w:r w:rsidRPr="0013463A">
        <w:t xml:space="preserve"> </w:t>
      </w:r>
      <w:r w:rsidR="00110E24" w:rsidRPr="0013463A">
        <w:t>CO</w:t>
      </w:r>
      <w:r w:rsidRPr="0013463A">
        <w:t>s intervention, given their brutal and indeed inhuman treatment of Mr. Toussaint until he left the facility at the end of the day on December 4, 2016.</w:t>
      </w:r>
    </w:p>
    <w:p w14:paraId="70C223A2" w14:textId="3A08E1C9" w:rsidR="00F16DAF" w:rsidRPr="0013463A" w:rsidRDefault="00914E68">
      <w:pPr>
        <w:pStyle w:val="Titre3"/>
        <w:ind w:left="567" w:hanging="567"/>
        <w:rPr>
          <w:b/>
          <w:bCs/>
          <w:u w:val="none"/>
          <w:lang w:val="en-CA"/>
        </w:rPr>
      </w:pPr>
      <w:r w:rsidRPr="0013463A">
        <w:rPr>
          <w:b/>
          <w:bCs/>
          <w:u w:val="none"/>
          <w:lang w:val="en-CA"/>
        </w:rPr>
        <w:t>The nullification</w:t>
      </w:r>
      <w:r w:rsidR="001834C5" w:rsidRPr="0013463A">
        <w:rPr>
          <w:b/>
          <w:bCs/>
          <w:u w:val="none"/>
          <w:lang w:val="en-CA"/>
        </w:rPr>
        <w:t xml:space="preserve"> / </w:t>
      </w:r>
      <w:r w:rsidRPr="0013463A">
        <w:rPr>
          <w:b/>
          <w:bCs/>
          <w:u w:val="none"/>
          <w:lang w:val="en-CA"/>
        </w:rPr>
        <w:t>impairment of the right to equality</w:t>
      </w:r>
    </w:p>
    <w:p w14:paraId="62DE035F" w14:textId="2B74BFC3" w:rsidR="00836773" w:rsidRPr="0013463A" w:rsidRDefault="00914E68" w:rsidP="006A28AF">
      <w:pPr>
        <w:pStyle w:val="Paragraphe"/>
        <w:tabs>
          <w:tab w:val="clear" w:pos="567"/>
        </w:tabs>
      </w:pPr>
      <w:r w:rsidRPr="0013463A">
        <w:t xml:space="preserve">Section 10 of the </w:t>
      </w:r>
      <w:r w:rsidRPr="0013463A">
        <w:rPr>
          <w:i/>
          <w:iCs/>
        </w:rPr>
        <w:t>Charter</w:t>
      </w:r>
      <w:r w:rsidRPr="0013463A">
        <w:t xml:space="preserve"> requires a finding of discrimination at first sight (or </w:t>
      </w:r>
      <w:r w:rsidRPr="0013463A">
        <w:rPr>
          <w:i/>
          <w:iCs/>
        </w:rPr>
        <w:t>prima</w:t>
      </w:r>
      <w:r w:rsidRPr="0013463A">
        <w:t xml:space="preserve"> </w:t>
      </w:r>
      <w:r w:rsidRPr="0013463A">
        <w:rPr>
          <w:i/>
          <w:iCs/>
        </w:rPr>
        <w:t>facie</w:t>
      </w:r>
      <w:r w:rsidRPr="0013463A">
        <w:t xml:space="preserve"> discrimination) if the contested distinction or exclusion has the effect of nullifying or impairing the full and equal recognition and exercise of any of the rights or freedoms guaranteed by the </w:t>
      </w:r>
      <w:r w:rsidRPr="0013463A">
        <w:rPr>
          <w:i/>
          <w:iCs/>
        </w:rPr>
        <w:t>Charter</w:t>
      </w:r>
      <w:r w:rsidRPr="0013463A">
        <w:t>.</w:t>
      </w:r>
      <w:r w:rsidR="001834C5" w:rsidRPr="0013463A">
        <w:t xml:space="preserve"> </w:t>
      </w:r>
    </w:p>
    <w:p w14:paraId="7A3447B9" w14:textId="48FB7736" w:rsidR="00836773" w:rsidRPr="0013463A" w:rsidRDefault="00F42884" w:rsidP="006A28AF">
      <w:pPr>
        <w:pStyle w:val="Paragraphe"/>
        <w:tabs>
          <w:tab w:val="clear" w:pos="567"/>
        </w:tabs>
      </w:pPr>
      <w:r w:rsidRPr="0013463A">
        <w:t>The CDPDJ submits that the treatment inflicted on Mr. Toussaint had a prejudicial effect on him</w:t>
      </w:r>
      <w:r w:rsidR="006A36D2" w:rsidRPr="0013463A">
        <w:t xml:space="preserve"> that impaired</w:t>
      </w:r>
      <w:r w:rsidRPr="0013463A">
        <w:t xml:space="preserve"> his right to equality by depriving him of the recognitions of his right:</w:t>
      </w:r>
    </w:p>
    <w:p w14:paraId="42B079D8" w14:textId="2EE1F4E5" w:rsidR="00836773" w:rsidRPr="0013463A" w:rsidRDefault="006A36D2">
      <w:pPr>
        <w:pStyle w:val="Paragraphe"/>
        <w:numPr>
          <w:ilvl w:val="0"/>
          <w:numId w:val="7"/>
        </w:numPr>
      </w:pPr>
      <w:r w:rsidRPr="0013463A">
        <w:t xml:space="preserve">to </w:t>
      </w:r>
      <w:r w:rsidR="0075304F">
        <w:t xml:space="preserve">personal </w:t>
      </w:r>
      <w:r w:rsidR="00F42884" w:rsidRPr="0013463A">
        <w:t>security, inviolability</w:t>
      </w:r>
      <w:r w:rsidR="00D05F68">
        <w:t>,</w:t>
      </w:r>
      <w:r w:rsidR="00F42884" w:rsidRPr="0013463A">
        <w:t xml:space="preserve"> and freedom;</w:t>
      </w:r>
      <w:r w:rsidR="00F42884" w:rsidRPr="0013463A">
        <w:rPr>
          <w:rStyle w:val="Appelnotedebasdep"/>
        </w:rPr>
        <w:footnoteReference w:id="108"/>
      </w:r>
    </w:p>
    <w:p w14:paraId="073F3434" w14:textId="5C1D39D0" w:rsidR="00836773" w:rsidRPr="0013463A" w:rsidRDefault="00F42884">
      <w:pPr>
        <w:pStyle w:val="Paragraphe"/>
        <w:numPr>
          <w:ilvl w:val="0"/>
          <w:numId w:val="7"/>
        </w:numPr>
      </w:pPr>
      <w:r w:rsidRPr="0013463A">
        <w:t>to the safeguard of his dignity;</w:t>
      </w:r>
      <w:r w:rsidRPr="0013463A">
        <w:rPr>
          <w:rStyle w:val="Appelnotedebasdep"/>
        </w:rPr>
        <w:footnoteReference w:id="109"/>
      </w:r>
    </w:p>
    <w:p w14:paraId="1EC2757A" w14:textId="2983ED5D" w:rsidR="00836773" w:rsidRPr="0013463A" w:rsidRDefault="00F42884">
      <w:pPr>
        <w:pStyle w:val="Paragraphe"/>
        <w:numPr>
          <w:ilvl w:val="0"/>
          <w:numId w:val="7"/>
        </w:numPr>
      </w:pPr>
      <w:r w:rsidRPr="0013463A">
        <w:t xml:space="preserve">to obtain, </w:t>
      </w:r>
      <w:r w:rsidR="006A36D2" w:rsidRPr="0013463A">
        <w:t>without discrimination</w:t>
      </w:r>
      <w:r w:rsidRPr="0013463A">
        <w:t>, the services ordinarily offered to the prison population;</w:t>
      </w:r>
      <w:r w:rsidRPr="0013463A">
        <w:rPr>
          <w:rStyle w:val="Appelnotedebasdep"/>
        </w:rPr>
        <w:footnoteReference w:id="110"/>
      </w:r>
    </w:p>
    <w:p w14:paraId="252180D8" w14:textId="257FE379" w:rsidR="00836773" w:rsidRPr="0013463A" w:rsidRDefault="00F42884">
      <w:pPr>
        <w:pStyle w:val="Paragraphe"/>
        <w:numPr>
          <w:ilvl w:val="0"/>
          <w:numId w:val="7"/>
        </w:numPr>
      </w:pPr>
      <w:r w:rsidRPr="0013463A">
        <w:t>not to be subjected to unreasonable search;</w:t>
      </w:r>
      <w:r w:rsidRPr="0013463A">
        <w:rPr>
          <w:rStyle w:val="Appelnotedebasdep"/>
        </w:rPr>
        <w:footnoteReference w:id="111"/>
      </w:r>
    </w:p>
    <w:p w14:paraId="1158A8CD" w14:textId="32FE5FD7" w:rsidR="00836773" w:rsidRPr="0013463A" w:rsidRDefault="00F42884">
      <w:pPr>
        <w:pStyle w:val="Paragraphe"/>
        <w:numPr>
          <w:ilvl w:val="0"/>
          <w:numId w:val="7"/>
        </w:numPr>
      </w:pPr>
      <w:r w:rsidRPr="0013463A">
        <w:t xml:space="preserve">to be treated, as a detained person, “with humanity and with </w:t>
      </w:r>
      <w:r w:rsidR="00A733C8" w:rsidRPr="0013463A">
        <w:t>the</w:t>
      </w:r>
      <w:r w:rsidRPr="0013463A">
        <w:t xml:space="preserve"> respect due to the human person”;</w:t>
      </w:r>
      <w:r w:rsidRPr="0013463A">
        <w:rPr>
          <w:rStyle w:val="Appelnotedebasdep"/>
        </w:rPr>
        <w:footnoteReference w:id="112"/>
      </w:r>
      <w:r w:rsidR="009928FF">
        <w:t xml:space="preserve"> and</w:t>
      </w:r>
    </w:p>
    <w:p w14:paraId="11507B25" w14:textId="4AC1A50B" w:rsidR="00836773" w:rsidRPr="0013463A" w:rsidRDefault="00F42884">
      <w:pPr>
        <w:pStyle w:val="Paragraphe"/>
        <w:numPr>
          <w:ilvl w:val="0"/>
          <w:numId w:val="7"/>
        </w:numPr>
      </w:pPr>
      <w:r w:rsidRPr="0013463A">
        <w:lastRenderedPageBreak/>
        <w:t xml:space="preserve">to receive, as a detained person, separate treatment </w:t>
      </w:r>
      <w:r w:rsidR="00954922" w:rsidRPr="0013463A">
        <w:t>appropriate</w:t>
      </w:r>
      <w:r w:rsidRPr="0013463A">
        <w:t xml:space="preserve"> to his age and mental condition.</w:t>
      </w:r>
      <w:r w:rsidRPr="0013463A">
        <w:rPr>
          <w:rStyle w:val="Appelnotedebasdep"/>
        </w:rPr>
        <w:footnoteReference w:id="113"/>
      </w:r>
    </w:p>
    <w:p w14:paraId="5790F688" w14:textId="38F8BE48" w:rsidR="00836773" w:rsidRPr="0013463A" w:rsidRDefault="005111FC" w:rsidP="006A28AF">
      <w:pPr>
        <w:pStyle w:val="Paragraphe"/>
        <w:tabs>
          <w:tab w:val="clear" w:pos="567"/>
        </w:tabs>
      </w:pPr>
      <w:r w:rsidRPr="0013463A">
        <w:t xml:space="preserve">At this third stage of the analysis, the focus must remain </w:t>
      </w:r>
      <w:r w:rsidR="00DD30B2">
        <w:t xml:space="preserve">on </w:t>
      </w:r>
      <w:r w:rsidRPr="0013463A">
        <w:t>the</w:t>
      </w:r>
      <w:r w:rsidR="00D4717B">
        <w:t xml:space="preserve"> anti-discrimination standard</w:t>
      </w:r>
      <w:r w:rsidRPr="0013463A">
        <w:t>.</w:t>
      </w:r>
      <w:r w:rsidR="001834C5" w:rsidRPr="0013463A">
        <w:t xml:space="preserve"> </w:t>
      </w:r>
      <w:r w:rsidR="00954922" w:rsidRPr="0013463A">
        <w:t xml:space="preserve">It is clear that the </w:t>
      </w:r>
      <w:r w:rsidRPr="0013463A">
        <w:t xml:space="preserve">plaintiff </w:t>
      </w:r>
      <w:r w:rsidR="00954922" w:rsidRPr="0013463A">
        <w:t xml:space="preserve">need not </w:t>
      </w:r>
      <w:r w:rsidRPr="0013463A">
        <w:t>establish a violation of any of th</w:t>
      </w:r>
      <w:r w:rsidR="00954922" w:rsidRPr="0013463A">
        <w:t>o</w:t>
      </w:r>
      <w:r w:rsidRPr="0013463A">
        <w:t>se rights or freedoms</w:t>
      </w:r>
      <w:r w:rsidR="00DD30B2">
        <w:t xml:space="preserve"> whose</w:t>
      </w:r>
      <w:r w:rsidRPr="0013463A">
        <w:t xml:space="preserve"> recognition or exercise </w:t>
      </w:r>
      <w:r w:rsidR="00DD30B2">
        <w:t>would have been compromised</w:t>
      </w:r>
      <w:r w:rsidRPr="0013463A">
        <w:t xml:space="preserve"> by discrimination:</w:t>
      </w:r>
    </w:p>
    <w:p w14:paraId="6F4EB32B" w14:textId="57FA5D82" w:rsidR="00836773" w:rsidRPr="0013463A" w:rsidRDefault="001834C5" w:rsidP="001618D5">
      <w:pPr>
        <w:pStyle w:val="Citationenretrait"/>
        <w:rPr>
          <w:lang w:val="en-CA"/>
        </w:rPr>
      </w:pPr>
      <w:r w:rsidRPr="56EB7657">
        <w:rPr>
          <w:lang w:val="en-CA"/>
        </w:rPr>
        <w:t>[53]  …</w:t>
      </w:r>
      <w:r w:rsidR="005111FC" w:rsidRPr="56EB7657">
        <w:rPr>
          <w:lang w:val="en-CA"/>
        </w:rPr>
        <w:t xml:space="preserve"> the plaintiff must show that the distinction, exclusion or preference affects the full and equal exercise of a right or freedom guaranteed to him or her by the </w:t>
      </w:r>
      <w:r w:rsidR="005111FC" w:rsidRPr="56EB7657">
        <w:rPr>
          <w:i/>
          <w:iCs/>
          <w:lang w:val="en-CA"/>
        </w:rPr>
        <w:t>Charter</w:t>
      </w:r>
      <w:r w:rsidR="005111FC" w:rsidRPr="56EB7657">
        <w:rPr>
          <w:lang w:val="en-CA"/>
        </w:rPr>
        <w:t>. The </w:t>
      </w:r>
      <w:r w:rsidR="005111FC" w:rsidRPr="56EB7657">
        <w:rPr>
          <w:i/>
          <w:iCs/>
          <w:lang w:val="en-CA"/>
        </w:rPr>
        <w:t>Charter</w:t>
      </w:r>
      <w:r w:rsidR="005111FC" w:rsidRPr="56EB7657">
        <w:rPr>
          <w:lang w:val="en-CA"/>
        </w:rPr>
        <w:t>… does not protect the right to equality </w:t>
      </w:r>
      <w:r w:rsidR="005111FC" w:rsidRPr="56EB7657">
        <w:rPr>
          <w:i/>
          <w:iCs/>
          <w:lang w:val="en-CA"/>
        </w:rPr>
        <w:t>per se</w:t>
      </w:r>
      <w:r w:rsidR="005111FC" w:rsidRPr="56EB7657">
        <w:rPr>
          <w:lang w:val="en-CA"/>
        </w:rPr>
        <w:t>; this right is protected only in the exercise of the other rights and freedoms guaranteed by the </w:t>
      </w:r>
      <w:r w:rsidR="005111FC" w:rsidRPr="56EB7657">
        <w:rPr>
          <w:i/>
          <w:iCs/>
          <w:lang w:val="en-CA"/>
        </w:rPr>
        <w:t>Charter….</w:t>
      </w:r>
    </w:p>
    <w:p w14:paraId="393C6AD0" w14:textId="7200E8CD" w:rsidR="00836773" w:rsidRPr="0013463A" w:rsidRDefault="001834C5" w:rsidP="001618D5">
      <w:pPr>
        <w:pStyle w:val="Citationenretrait"/>
        <w:rPr>
          <w:lang w:val="en-CA"/>
        </w:rPr>
      </w:pPr>
      <w:r w:rsidRPr="0013463A">
        <w:rPr>
          <w:lang w:val="en-CA"/>
        </w:rPr>
        <w:t>[54]  </w:t>
      </w:r>
      <w:r w:rsidR="00954922" w:rsidRPr="0013463A">
        <w:rPr>
          <w:lang w:val="en-CA"/>
        </w:rPr>
        <w:t>T</w:t>
      </w:r>
      <w:r w:rsidR="005111FC" w:rsidRPr="0013463A">
        <w:rPr>
          <w:lang w:val="en-CA"/>
        </w:rPr>
        <w:t>his means that the right to non</w:t>
      </w:r>
      <w:r w:rsidR="005111FC" w:rsidRPr="0013463A">
        <w:rPr>
          <w:lang w:val="en-CA"/>
        </w:rPr>
        <w:noBreakHyphen/>
        <w:t>discrimination cannot serve as a basis for an application on its own and that it must necessarily be attached to another human right or freedom recognized by law. However, this requirement should not be confused with the independent scope of the right to equality</w:t>
      </w:r>
      <w:r w:rsidRPr="0013463A">
        <w:rPr>
          <w:lang w:val="en-CA"/>
        </w:rPr>
        <w:t>;</w:t>
      </w:r>
      <w:r w:rsidR="005111FC" w:rsidRPr="0013463A">
        <w:rPr>
          <w:lang w:val="en-CA"/>
        </w:rPr>
        <w:t xml:space="preserve"> </w:t>
      </w:r>
      <w:r w:rsidR="005111FC" w:rsidRPr="00D4717B">
        <w:rPr>
          <w:u w:val="single"/>
          <w:lang w:val="en-CA"/>
        </w:rPr>
        <w:t xml:space="preserve">the </w:t>
      </w:r>
      <w:r w:rsidR="005111FC" w:rsidRPr="00D4717B">
        <w:rPr>
          <w:i/>
          <w:iCs/>
          <w:u w:val="single"/>
          <w:lang w:val="en-CA"/>
        </w:rPr>
        <w:t>Charter</w:t>
      </w:r>
      <w:r w:rsidR="005111FC" w:rsidRPr="00D4717B">
        <w:rPr>
          <w:u w:val="single"/>
          <w:lang w:val="en-CA"/>
        </w:rPr>
        <w:t xml:space="preserve"> does not require a “double violation”..., which would make s. 10 redundant</w:t>
      </w:r>
      <w:r w:rsidR="005111FC" w:rsidRPr="0013463A">
        <w:rPr>
          <w:lang w:val="en-CA"/>
        </w:rPr>
        <w:t>….</w:t>
      </w:r>
      <w:r w:rsidRPr="0013463A">
        <w:rPr>
          <w:rStyle w:val="Appelnotedebasdep"/>
          <w:lang w:val="en-CA"/>
        </w:rPr>
        <w:footnoteReference w:id="114"/>
      </w:r>
    </w:p>
    <w:p w14:paraId="5DDA8082" w14:textId="0E57A387" w:rsidR="00836773" w:rsidRPr="0013463A" w:rsidRDefault="00037D95" w:rsidP="001618D5">
      <w:pPr>
        <w:pStyle w:val="Citationenretrait"/>
        <w:jc w:val="right"/>
        <w:rPr>
          <w:sz w:val="20"/>
          <w:lang w:val="en-CA"/>
        </w:rPr>
      </w:pPr>
      <w:r w:rsidRPr="0013463A">
        <w:rPr>
          <w:sz w:val="20"/>
          <w:lang w:val="en-CA"/>
        </w:rPr>
        <w:t>(Emphasis added)</w:t>
      </w:r>
    </w:p>
    <w:p w14:paraId="2280D7FD" w14:textId="7C2F4758" w:rsidR="00836773" w:rsidRPr="0013463A" w:rsidRDefault="002B1E9A" w:rsidP="001618D5">
      <w:pPr>
        <w:pStyle w:val="Citationenretrait"/>
        <w:jc w:val="right"/>
        <w:rPr>
          <w:sz w:val="20"/>
          <w:lang w:val="en-CA"/>
        </w:rPr>
      </w:pPr>
      <w:r w:rsidRPr="0013463A">
        <w:rPr>
          <w:sz w:val="20"/>
          <w:lang w:val="en-CA"/>
        </w:rPr>
        <w:t>(References omitted)</w:t>
      </w:r>
    </w:p>
    <w:p w14:paraId="43EAD9CE" w14:textId="18544A87" w:rsidR="00836773" w:rsidRPr="0013463A" w:rsidRDefault="005111FC" w:rsidP="006A28AF">
      <w:pPr>
        <w:pStyle w:val="Paragraphe"/>
        <w:tabs>
          <w:tab w:val="clear" w:pos="567"/>
        </w:tabs>
      </w:pPr>
      <w:r w:rsidRPr="0013463A">
        <w:t>In other words:</w:t>
      </w:r>
    </w:p>
    <w:p w14:paraId="23B285F6" w14:textId="39949791" w:rsidR="00836773" w:rsidRPr="00A832A8" w:rsidRDefault="001834C5" w:rsidP="27C54DD6">
      <w:pPr>
        <w:pStyle w:val="Citationenretrait"/>
        <w:rPr>
          <w:lang w:val="en-CA"/>
        </w:rPr>
      </w:pPr>
      <w:r w:rsidRPr="00A832A8">
        <w:rPr>
          <w:lang w:val="en-CA"/>
        </w:rPr>
        <w:t xml:space="preserve">[139]  … </w:t>
      </w:r>
      <w:r w:rsidR="00C36231" w:rsidRPr="00A832A8">
        <w:rPr>
          <w:lang w:val="en-CA"/>
        </w:rPr>
        <w:t>for a claim to succeed under s. 10, the equality provision, the complainant must show that the exercise of one of the rights and freedoms guaranteed by the Quebec</w:t>
      </w:r>
      <w:r w:rsidR="00C36231" w:rsidRPr="00A832A8">
        <w:rPr>
          <w:i/>
          <w:iCs/>
          <w:lang w:val="en-CA"/>
        </w:rPr>
        <w:t xml:space="preserve"> </w:t>
      </w:r>
      <w:r w:rsidR="00C36231" w:rsidRPr="00A832A8">
        <w:rPr>
          <w:lang w:val="en-CA"/>
        </w:rPr>
        <w:t xml:space="preserve">Charter other than equality was affected in a discriminatory way but </w:t>
      </w:r>
      <w:r w:rsidR="00C36231" w:rsidRPr="00A832A8">
        <w:rPr>
          <w:u w:val="single"/>
          <w:lang w:val="en-CA"/>
        </w:rPr>
        <w:t>without having to show that that right or freedom was independently violated</w:t>
      </w:r>
      <w:r w:rsidR="00C36231" w:rsidRPr="00A832A8">
        <w:rPr>
          <w:lang w:val="en-CA"/>
        </w:rPr>
        <w:t>.</w:t>
      </w:r>
      <w:r w:rsidRPr="27C54DD6">
        <w:rPr>
          <w:rStyle w:val="Appelnotedebasdep"/>
        </w:rPr>
        <w:footnoteReference w:id="115"/>
      </w:r>
    </w:p>
    <w:p w14:paraId="12C9E4D8" w14:textId="6CDBEBA2" w:rsidR="00836773" w:rsidRPr="0013463A" w:rsidRDefault="00037D95" w:rsidP="001618D5">
      <w:pPr>
        <w:pStyle w:val="Citationenretrait"/>
        <w:jc w:val="right"/>
        <w:rPr>
          <w:sz w:val="20"/>
          <w:lang w:val="en-CA"/>
        </w:rPr>
      </w:pPr>
      <w:r w:rsidRPr="0013463A">
        <w:rPr>
          <w:sz w:val="20"/>
          <w:lang w:val="en-CA"/>
        </w:rPr>
        <w:t>(Emphasis added)</w:t>
      </w:r>
    </w:p>
    <w:p w14:paraId="665CE7F7" w14:textId="451E867C" w:rsidR="00836773" w:rsidRPr="0013463A" w:rsidRDefault="002B1E9A" w:rsidP="001618D5">
      <w:pPr>
        <w:pStyle w:val="Citationenretrait"/>
        <w:jc w:val="right"/>
        <w:rPr>
          <w:sz w:val="20"/>
          <w:lang w:val="en-CA"/>
        </w:rPr>
      </w:pPr>
      <w:r w:rsidRPr="0013463A">
        <w:rPr>
          <w:sz w:val="20"/>
          <w:lang w:val="en-CA"/>
        </w:rPr>
        <w:t>(References omitted)</w:t>
      </w:r>
    </w:p>
    <w:p w14:paraId="153BE319" w14:textId="3D2D4544" w:rsidR="00836773" w:rsidRPr="0013463A" w:rsidRDefault="001569E1" w:rsidP="006A28AF">
      <w:pPr>
        <w:pStyle w:val="Paragraphe"/>
        <w:tabs>
          <w:tab w:val="clear" w:pos="567"/>
        </w:tabs>
      </w:pPr>
      <w:r w:rsidRPr="0013463A">
        <w:t>This means that section 10 guarantees [</w:t>
      </w:r>
      <w:r w:rsidRPr="0013463A">
        <w:rPr>
          <w:smallCaps/>
        </w:rPr>
        <w:t>translation</w:t>
      </w:r>
      <w:r w:rsidRPr="0013463A">
        <w:t xml:space="preserve">] “a broad right to equality in the enjoyment of all rights and freedoms set out in the </w:t>
      </w:r>
      <w:r w:rsidRPr="0013463A">
        <w:rPr>
          <w:i/>
          <w:iCs/>
        </w:rPr>
        <w:t>Charter</w:t>
      </w:r>
      <w:r w:rsidRPr="0013463A">
        <w:t>”.</w:t>
      </w:r>
      <w:r w:rsidRPr="0013463A">
        <w:rPr>
          <w:rStyle w:val="Appelnotedebasdep"/>
        </w:rPr>
        <w:footnoteReference w:id="116"/>
      </w:r>
    </w:p>
    <w:p w14:paraId="3583ECEE" w14:textId="39C26BFF" w:rsidR="00836773" w:rsidRPr="0013463A" w:rsidRDefault="001569E1" w:rsidP="006A28AF">
      <w:pPr>
        <w:pStyle w:val="Paragraphe"/>
        <w:tabs>
          <w:tab w:val="clear" w:pos="567"/>
        </w:tabs>
      </w:pPr>
      <w:r w:rsidRPr="0013463A">
        <w:t xml:space="preserve">In this case, Mr. Toussaint was deprived of the possibility of full and equal enjoyment of some of his most fundamental rights and freedoms because of </w:t>
      </w:r>
      <w:r w:rsidR="00F24407" w:rsidRPr="0013463A">
        <w:t>the treatment</w:t>
      </w:r>
      <w:r w:rsidRPr="0013463A">
        <w:t xml:space="preserve"> </w:t>
      </w:r>
      <w:r w:rsidRPr="0013463A">
        <w:lastRenderedPageBreak/>
        <w:t xml:space="preserve">the </w:t>
      </w:r>
      <w:r w:rsidR="00110E24" w:rsidRPr="0013463A">
        <w:t>CO</w:t>
      </w:r>
      <w:r w:rsidRPr="0013463A">
        <w:t xml:space="preserve">s </w:t>
      </w:r>
      <w:r w:rsidR="0027022E">
        <w:t>subjected him to</w:t>
      </w:r>
      <w:r w:rsidRPr="0013463A">
        <w:t xml:space="preserve"> without regard to his mental state </w:t>
      </w:r>
      <w:r w:rsidR="00F24407" w:rsidRPr="0013463A">
        <w:t xml:space="preserve">or to the fact that he belongs </w:t>
      </w:r>
      <w:r w:rsidRPr="0013463A">
        <w:t>to a group traditionally exposed to stereotyping, particular</w:t>
      </w:r>
      <w:r w:rsidR="00F24407" w:rsidRPr="0013463A">
        <w:t>ly</w:t>
      </w:r>
      <w:r w:rsidRPr="0013463A">
        <w:t xml:space="preserve"> in prison</w:t>
      </w:r>
      <w:r w:rsidR="00F24407" w:rsidRPr="0013463A">
        <w:t xml:space="preserve"> settings</w:t>
      </w:r>
      <w:r w:rsidRPr="0013463A">
        <w:t>.</w:t>
      </w:r>
      <w:r w:rsidR="001834C5" w:rsidRPr="0013463A">
        <w:t xml:space="preserve"> </w:t>
      </w:r>
    </w:p>
    <w:p w14:paraId="21253ECE" w14:textId="62691E6C" w:rsidR="00836773" w:rsidRPr="0013463A" w:rsidRDefault="001569E1" w:rsidP="006A28AF">
      <w:pPr>
        <w:pStyle w:val="Paragraphe"/>
        <w:tabs>
          <w:tab w:val="clear" w:pos="567"/>
        </w:tabs>
      </w:pPr>
      <w:r w:rsidRPr="0013463A">
        <w:t xml:space="preserve">It cannot be denied that this situation had a </w:t>
      </w:r>
      <w:r w:rsidR="00F24407" w:rsidRPr="0013463A">
        <w:t>[</w:t>
      </w:r>
      <w:r w:rsidR="00F24407" w:rsidRPr="0013463A">
        <w:rPr>
          <w:smallCaps/>
        </w:rPr>
        <w:t>translation</w:t>
      </w:r>
      <w:r w:rsidR="00F24407" w:rsidRPr="0013463A">
        <w:t xml:space="preserve">] </w:t>
      </w:r>
      <w:r w:rsidRPr="0013463A">
        <w:t>“negative impact”</w:t>
      </w:r>
      <w:r w:rsidRPr="0013463A">
        <w:rPr>
          <w:rStyle w:val="Appelnotedebasdep"/>
        </w:rPr>
        <w:footnoteReference w:id="117"/>
      </w:r>
      <w:r w:rsidRPr="0013463A">
        <w:t xml:space="preserve"> on him and that it was disadvantageous and prejudicial to him.</w:t>
      </w:r>
      <w:r w:rsidRPr="0013463A">
        <w:rPr>
          <w:rStyle w:val="Appelnotedebasdep"/>
        </w:rPr>
        <w:footnoteReference w:id="118"/>
      </w:r>
    </w:p>
    <w:p w14:paraId="2CE71E3C" w14:textId="53B1CCC3" w:rsidR="00836773" w:rsidRPr="0013463A" w:rsidRDefault="00D704D4" w:rsidP="006A28AF">
      <w:pPr>
        <w:pStyle w:val="Paragraphe"/>
        <w:tabs>
          <w:tab w:val="clear" w:pos="567"/>
        </w:tabs>
      </w:pPr>
      <w:r w:rsidRPr="0013463A">
        <w:t>The Tribunal therefore concludes that the CDPDJ has established</w:t>
      </w:r>
      <w:r w:rsidRPr="0013463A">
        <w:rPr>
          <w:i/>
          <w:iCs/>
        </w:rPr>
        <w:t xml:space="preserve"> prima facie</w:t>
      </w:r>
      <w:r w:rsidRPr="0013463A">
        <w:t xml:space="preserve"> discrimination against Mr. Toussaint.</w:t>
      </w:r>
    </w:p>
    <w:p w14:paraId="397F9C85" w14:textId="655F25BF" w:rsidR="00836773" w:rsidRPr="0013463A" w:rsidRDefault="00D704D4">
      <w:pPr>
        <w:pStyle w:val="Titre2"/>
        <w:rPr>
          <w:lang w:val="en-CA"/>
        </w:rPr>
      </w:pPr>
      <w:r w:rsidRPr="0013463A">
        <w:rPr>
          <w:lang w:val="en-CA"/>
        </w:rPr>
        <w:t>Justification</w:t>
      </w:r>
    </w:p>
    <w:p w14:paraId="6FA4610C" w14:textId="1232C3F8" w:rsidR="00836773" w:rsidRPr="0013463A" w:rsidRDefault="00D704D4" w:rsidP="006A28AF">
      <w:pPr>
        <w:pStyle w:val="Paragraphe"/>
        <w:tabs>
          <w:tab w:val="clear" w:pos="567"/>
        </w:tabs>
      </w:pPr>
      <w:r w:rsidRPr="0013463A">
        <w:t xml:space="preserve">In </w:t>
      </w:r>
      <w:r w:rsidRPr="0013463A">
        <w:rPr>
          <w:i/>
          <w:iCs/>
        </w:rPr>
        <w:t>Bombardier</w:t>
      </w:r>
      <w:r w:rsidRPr="0013463A">
        <w:t>, the Supreme Court of Canada wrote:</w:t>
      </w:r>
    </w:p>
    <w:p w14:paraId="102BF52F" w14:textId="21FA93A5" w:rsidR="00836773" w:rsidRPr="0013463A" w:rsidRDefault="00D704D4" w:rsidP="001618D5">
      <w:pPr>
        <w:pStyle w:val="Citationenretrait"/>
        <w:rPr>
          <w:lang w:val="en-CA"/>
        </w:rPr>
      </w:pPr>
      <w:r w:rsidRPr="0013463A">
        <w:rPr>
          <w:lang w:val="en-CA"/>
        </w:rPr>
        <w:t xml:space="preserve">[64] </w:t>
      </w:r>
      <w:r w:rsidR="00C23F09">
        <w:rPr>
          <w:lang w:val="en-CA"/>
        </w:rPr>
        <w:t xml:space="preserve">… </w:t>
      </w:r>
      <w:r w:rsidRPr="0013463A">
        <w:rPr>
          <w:lang w:val="en-CA"/>
        </w:rPr>
        <w:t>If... the defendant succeeds in justifying his or her decision or conduct, there</w:t>
      </w:r>
      <w:r w:rsidR="00F24407" w:rsidRPr="0013463A">
        <w:rPr>
          <w:lang w:val="en-CA"/>
        </w:rPr>
        <w:t xml:space="preserve"> </w:t>
      </w:r>
      <w:r w:rsidRPr="0013463A">
        <w:rPr>
          <w:lang w:val="en-CA"/>
        </w:rPr>
        <w:t xml:space="preserve">will have been no violation, not even if </w:t>
      </w:r>
      <w:r w:rsidRPr="0013463A">
        <w:rPr>
          <w:i/>
          <w:iCs/>
          <w:lang w:val="en-CA"/>
        </w:rPr>
        <w:t>prima facie</w:t>
      </w:r>
      <w:r w:rsidRPr="0013463A">
        <w:rPr>
          <w:lang w:val="en-CA"/>
        </w:rPr>
        <w:t xml:space="preserve"> discrimination is found to have occurred.</w:t>
      </w:r>
      <w:r w:rsidR="001834C5" w:rsidRPr="0013463A">
        <w:rPr>
          <w:lang w:val="en-CA"/>
        </w:rPr>
        <w:t xml:space="preserve"> </w:t>
      </w:r>
      <w:r w:rsidRPr="0013463A">
        <w:rPr>
          <w:lang w:val="en-CA"/>
        </w:rPr>
        <w:t xml:space="preserve">In practical terms, this means that the defendant can either present evidence </w:t>
      </w:r>
      <w:r w:rsidRPr="006867BE">
        <w:rPr>
          <w:u w:val="single"/>
          <w:lang w:val="en-CA"/>
        </w:rPr>
        <w:t>to refute the allegation of</w:t>
      </w:r>
      <w:r w:rsidRPr="0013463A">
        <w:rPr>
          <w:lang w:val="en-CA"/>
        </w:rPr>
        <w:t xml:space="preserve"> prima facie </w:t>
      </w:r>
      <w:r w:rsidRPr="006867BE">
        <w:rPr>
          <w:u w:val="single"/>
          <w:lang w:val="en-CA"/>
        </w:rPr>
        <w:t>discrimination, put forward a defence justifying the discrimination, or do both</w:t>
      </w:r>
      <w:r w:rsidRPr="0013463A">
        <w:rPr>
          <w:lang w:val="en-CA"/>
        </w:rPr>
        <w:t>.</w:t>
      </w:r>
      <w:r w:rsidR="001834C5" w:rsidRPr="0013463A">
        <w:rPr>
          <w:rStyle w:val="Appelnotedebasdep"/>
          <w:lang w:val="en-CA"/>
        </w:rPr>
        <w:footnoteReference w:id="119"/>
      </w:r>
    </w:p>
    <w:p w14:paraId="0169CE3D" w14:textId="28BBCAF1" w:rsidR="00836773" w:rsidRPr="0013463A" w:rsidRDefault="00037D95" w:rsidP="001618D5">
      <w:pPr>
        <w:pStyle w:val="Citationenretrait"/>
        <w:jc w:val="right"/>
        <w:rPr>
          <w:sz w:val="20"/>
          <w:lang w:val="en-CA"/>
        </w:rPr>
      </w:pPr>
      <w:r w:rsidRPr="0013463A">
        <w:rPr>
          <w:sz w:val="20"/>
          <w:lang w:val="en-CA"/>
        </w:rPr>
        <w:t>(Emphasis added)</w:t>
      </w:r>
    </w:p>
    <w:p w14:paraId="5319BC8C" w14:textId="716A07E6" w:rsidR="00836773" w:rsidRPr="0013463A" w:rsidRDefault="00D704D4" w:rsidP="006A28AF">
      <w:pPr>
        <w:pStyle w:val="Paragraphe"/>
        <w:tabs>
          <w:tab w:val="clear" w:pos="567"/>
        </w:tabs>
      </w:pPr>
      <w:r w:rsidRPr="0013463A">
        <w:t>The defence may differ depending on whether the discrimination was based on a “handicap” or was related to “race/colour”.</w:t>
      </w:r>
      <w:r w:rsidR="001834C5" w:rsidRPr="0013463A">
        <w:t xml:space="preserve"> </w:t>
      </w:r>
      <w:r w:rsidRPr="0013463A">
        <w:t>These grounds should be dealt with in separate sections.</w:t>
      </w:r>
    </w:p>
    <w:p w14:paraId="1D631E28" w14:textId="11D8F11C" w:rsidR="00836773" w:rsidRPr="0013463A" w:rsidRDefault="00D704D4" w:rsidP="007E3864">
      <w:pPr>
        <w:pStyle w:val="Titre3"/>
        <w:ind w:left="709" w:hanging="709"/>
        <w:rPr>
          <w:b/>
          <w:bCs/>
          <w:i/>
          <w:iCs/>
          <w:u w:val="none"/>
          <w:lang w:val="en-CA"/>
        </w:rPr>
      </w:pPr>
      <w:r w:rsidRPr="0013463A">
        <w:rPr>
          <w:b/>
          <w:bCs/>
          <w:i/>
          <w:iCs/>
          <w:u w:val="none"/>
          <w:lang w:val="en-CA"/>
        </w:rPr>
        <w:t>The defence of “undue hardship” in matters involving a “handicap”</w:t>
      </w:r>
    </w:p>
    <w:p w14:paraId="7E88948F" w14:textId="702D9C2A" w:rsidR="00836773" w:rsidRPr="0013463A" w:rsidRDefault="00D704D4" w:rsidP="006A28AF">
      <w:pPr>
        <w:pStyle w:val="Paragraphe"/>
        <w:tabs>
          <w:tab w:val="clear" w:pos="567"/>
        </w:tabs>
      </w:pPr>
      <w:r w:rsidRPr="0013463A">
        <w:t xml:space="preserve">The establishment of </w:t>
      </w:r>
      <w:r w:rsidRPr="0013463A">
        <w:rPr>
          <w:i/>
          <w:iCs/>
        </w:rPr>
        <w:t>prima facie</w:t>
      </w:r>
      <w:r w:rsidRPr="0013463A">
        <w:t xml:space="preserve"> discrimination is the first of two steps in the analysis.</w:t>
      </w:r>
      <w:r w:rsidRPr="0013463A">
        <w:rPr>
          <w:rStyle w:val="Appelnotedebasdep"/>
        </w:rPr>
        <w:footnoteReference w:id="120"/>
      </w:r>
    </w:p>
    <w:p w14:paraId="58B81C59" w14:textId="3BFF4C4F" w:rsidR="00836773" w:rsidRPr="0013463A" w:rsidRDefault="00D704D4" w:rsidP="006A28AF">
      <w:pPr>
        <w:pStyle w:val="Paragraphe"/>
        <w:tabs>
          <w:tab w:val="clear" w:pos="567"/>
        </w:tabs>
      </w:pPr>
      <w:r w:rsidRPr="0013463A">
        <w:t xml:space="preserve">The second step concerns the justifications the defendant </w:t>
      </w:r>
      <w:r w:rsidR="00F24407" w:rsidRPr="0013463A">
        <w:t>may attempt</w:t>
      </w:r>
      <w:r w:rsidRPr="0013463A">
        <w:t xml:space="preserve"> to raise to avoid incurring liability for failure to accommodate a person with a “handicap”: “Second, the defendant can... justify his or her decision or conduct on the basis of the exemptions provided for in the applicable human rights legislation or those developed by the courts”.</w:t>
      </w:r>
      <w:r w:rsidR="001834C5" w:rsidRPr="0013463A">
        <w:rPr>
          <w:rStyle w:val="Appelnotedebasdep"/>
        </w:rPr>
        <w:footnoteReference w:id="121"/>
      </w:r>
    </w:p>
    <w:p w14:paraId="2A24597A" w14:textId="37A087AB" w:rsidR="00836773" w:rsidRPr="0013463A" w:rsidRDefault="00D704D4" w:rsidP="006A28AF">
      <w:pPr>
        <w:pStyle w:val="Paragraphe"/>
        <w:tabs>
          <w:tab w:val="clear" w:pos="567"/>
        </w:tabs>
      </w:pPr>
      <w:r w:rsidRPr="0013463A">
        <w:t xml:space="preserve">The </w:t>
      </w:r>
      <w:r w:rsidRPr="006867BE">
        <w:t>Quebec</w:t>
      </w:r>
      <w:r w:rsidRPr="0013463A">
        <w:t xml:space="preserve"> </w:t>
      </w:r>
      <w:r w:rsidR="009659C7" w:rsidRPr="0013463A">
        <w:rPr>
          <w:i/>
          <w:iCs/>
        </w:rPr>
        <w:t>C</w:t>
      </w:r>
      <w:r w:rsidRPr="0013463A">
        <w:rPr>
          <w:i/>
          <w:iCs/>
        </w:rPr>
        <w:t>harter</w:t>
      </w:r>
      <w:r w:rsidRPr="0013463A">
        <w:t xml:space="preserve"> does not contain specific </w:t>
      </w:r>
      <w:r w:rsidR="009659C7" w:rsidRPr="0013463A">
        <w:t>justificatory</w:t>
      </w:r>
      <w:r w:rsidRPr="0013463A">
        <w:t xml:space="preserve"> provisions </w:t>
      </w:r>
      <w:r w:rsidR="009659C7" w:rsidRPr="0013463A">
        <w:t xml:space="preserve">conferring </w:t>
      </w:r>
      <w:r w:rsidRPr="0013463A">
        <w:t xml:space="preserve">any exemption whatsoever on </w:t>
      </w:r>
      <w:r w:rsidR="00613C88">
        <w:t>correctional</w:t>
      </w:r>
      <w:r w:rsidRPr="0013463A">
        <w:t xml:space="preserve"> </w:t>
      </w:r>
      <w:r w:rsidR="009659C7" w:rsidRPr="0013463A">
        <w:t>facilit</w:t>
      </w:r>
      <w:r w:rsidR="00613C88">
        <w:t>ies</w:t>
      </w:r>
      <w:r w:rsidRPr="0013463A">
        <w:t xml:space="preserve"> or member</w:t>
      </w:r>
      <w:r w:rsidR="00613C88">
        <w:t>s</w:t>
      </w:r>
      <w:r w:rsidRPr="0013463A">
        <w:t xml:space="preserve"> of their </w:t>
      </w:r>
      <w:r w:rsidR="008E7CE3" w:rsidRPr="0013463A">
        <w:t>staff</w:t>
      </w:r>
      <w:r w:rsidRPr="0013463A">
        <w:t xml:space="preserve"> who commit discriminatory acts towards an inmate.</w:t>
      </w:r>
    </w:p>
    <w:p w14:paraId="4F895A50" w14:textId="640AEC53" w:rsidR="00836773" w:rsidRPr="0013463A" w:rsidRDefault="009659C7" w:rsidP="006A28AF">
      <w:pPr>
        <w:pStyle w:val="Paragraphe"/>
        <w:tabs>
          <w:tab w:val="clear" w:pos="567"/>
        </w:tabs>
      </w:pPr>
      <w:r w:rsidRPr="0013463A">
        <w:t>Yet this does not mean t</w:t>
      </w:r>
      <w:r w:rsidR="00D704D4" w:rsidRPr="0013463A">
        <w:t>hey are deprived of a “defence of justification”</w:t>
      </w:r>
      <w:r w:rsidRPr="0013463A">
        <w:t>.</w:t>
      </w:r>
      <w:r w:rsidRPr="0013463A">
        <w:rPr>
          <w:rStyle w:val="Appelnotedebasdep"/>
        </w:rPr>
        <w:footnoteReference w:id="122"/>
      </w:r>
      <w:r w:rsidR="00D704D4" w:rsidRPr="0013463A">
        <w:t xml:space="preserve"> Here, it is based on </w:t>
      </w:r>
      <w:r w:rsidR="008B4AD2" w:rsidRPr="0013463A">
        <w:t>the</w:t>
      </w:r>
      <w:r w:rsidR="00D704D4" w:rsidRPr="0013463A">
        <w:t xml:space="preserve"> </w:t>
      </w:r>
      <w:r w:rsidRPr="0013463A">
        <w:t>notion</w:t>
      </w:r>
      <w:r w:rsidR="00D704D4" w:rsidRPr="0013463A">
        <w:t xml:space="preserve"> of “undue hardship” developed in the ca</w:t>
      </w:r>
      <w:r w:rsidR="008B4AD2" w:rsidRPr="0013463A">
        <w:t>s</w:t>
      </w:r>
      <w:r w:rsidR="00D704D4" w:rsidRPr="0013463A">
        <w:t xml:space="preserve">e law as a limit to the duty of reasonable accommodation inferred from section 10 of the </w:t>
      </w:r>
      <w:r w:rsidR="00D704D4" w:rsidRPr="006867BE">
        <w:t>Quebec</w:t>
      </w:r>
      <w:r w:rsidR="00D704D4" w:rsidRPr="0013463A">
        <w:rPr>
          <w:i/>
          <w:iCs/>
        </w:rPr>
        <w:t xml:space="preserve"> Charter</w:t>
      </w:r>
      <w:r w:rsidR="00D704D4" w:rsidRPr="0013463A">
        <w:t>:</w:t>
      </w:r>
      <w:r w:rsidRPr="0013463A">
        <w:rPr>
          <w:rStyle w:val="Appelnotedebasdep"/>
        </w:rPr>
        <w:footnoteReference w:id="123"/>
      </w:r>
      <w:r w:rsidRPr="0013463A">
        <w:t xml:space="preserve"> </w:t>
      </w:r>
      <w:r w:rsidR="00D704D4" w:rsidRPr="0013463A">
        <w:t>“The duty to accommodate is not unlimited; its scope in any particular case is defined by the symmetrical concepts of “reasonable accommodation” and “undue hardship””.</w:t>
      </w:r>
      <w:r w:rsidR="00D704D4" w:rsidRPr="0013463A">
        <w:rPr>
          <w:rStyle w:val="Appelnotedebasdep"/>
        </w:rPr>
        <w:footnoteReference w:id="124"/>
      </w:r>
    </w:p>
    <w:p w14:paraId="635A835B" w14:textId="3ECFA558" w:rsidR="00836773" w:rsidRPr="0013463A" w:rsidRDefault="00D704D4" w:rsidP="006A28AF">
      <w:pPr>
        <w:pStyle w:val="Paragraphe"/>
        <w:tabs>
          <w:tab w:val="clear" w:pos="567"/>
        </w:tabs>
      </w:pPr>
      <w:r w:rsidRPr="0013463A">
        <w:t xml:space="preserve">These remarks of the Supreme Court of Canada, made in the context of the relationship between an employer and </w:t>
      </w:r>
      <w:r w:rsidR="0005254A" w:rsidRPr="0013463A">
        <w:t xml:space="preserve">the </w:t>
      </w:r>
      <w:r w:rsidRPr="0013463A">
        <w:t>victim of a work-related injury, can also</w:t>
      </w:r>
      <w:r w:rsidR="0005254A" w:rsidRPr="0013463A">
        <w:t xml:space="preserve"> apply</w:t>
      </w:r>
      <w:r w:rsidRPr="0013463A">
        <w:t xml:space="preserve">, with the necessary adaptations, to the relationship between a </w:t>
      </w:r>
      <w:r w:rsidR="00E5669D">
        <w:t>correctional</w:t>
      </w:r>
      <w:r w:rsidRPr="0013463A">
        <w:t xml:space="preserve"> facility and an inmate:</w:t>
      </w:r>
    </w:p>
    <w:p w14:paraId="226E2129" w14:textId="4C1F512F" w:rsidR="00836773" w:rsidRPr="0013463A" w:rsidRDefault="001834C5" w:rsidP="00D961EF">
      <w:pPr>
        <w:pStyle w:val="Citationenretrait"/>
        <w:rPr>
          <w:lang w:val="en-CA"/>
        </w:rPr>
      </w:pPr>
      <w:r w:rsidRPr="0013463A">
        <w:rPr>
          <w:lang w:val="en-CA"/>
        </w:rPr>
        <w:t>[92]  </w:t>
      </w:r>
      <w:r w:rsidR="00D961EF" w:rsidRPr="0013463A">
        <w:rPr>
          <w:u w:val="single"/>
          <w:lang w:val="en-CA"/>
        </w:rPr>
        <w:t>Inflexibility</w:t>
      </w:r>
      <w:r w:rsidR="00D961EF" w:rsidRPr="0013463A">
        <w:rPr>
          <w:lang w:val="en-CA"/>
        </w:rPr>
        <w:t xml:space="preserve">, short of undue hardship, in the application of an employer’s employment standards </w:t>
      </w:r>
      <w:r w:rsidR="00D961EF" w:rsidRPr="0013463A">
        <w:rPr>
          <w:u w:val="single"/>
          <w:lang w:val="en-CA"/>
        </w:rPr>
        <w:t>is a failure to accommodate and, consequently, a discriminatory practice</w:t>
      </w:r>
      <w:r w:rsidR="00D961EF" w:rsidRPr="0013463A">
        <w:rPr>
          <w:lang w:val="en-CA"/>
        </w:rPr>
        <w:t xml:space="preserve">. Unlike the Act, </w:t>
      </w:r>
      <w:r w:rsidR="00D961EF" w:rsidRPr="0013463A">
        <w:rPr>
          <w:u w:val="single"/>
          <w:lang w:val="en-CA"/>
        </w:rPr>
        <w:t xml:space="preserve">the origin of the disability does not matter for the Quebec </w:t>
      </w:r>
      <w:r w:rsidR="00D961EF" w:rsidRPr="0013463A">
        <w:rPr>
          <w:i/>
          <w:iCs/>
          <w:u w:val="single"/>
          <w:lang w:val="en-CA"/>
        </w:rPr>
        <w:t>Charter</w:t>
      </w:r>
      <w:r w:rsidR="00D961EF" w:rsidRPr="0013463A">
        <w:rPr>
          <w:lang w:val="en-CA"/>
        </w:rPr>
        <w:t>; while it need not be a workplace accident, it includes disability arising from such an accident. A failure by the employer to reasonably accommodate its disabled employee is discriminatory as it constitutes a violation of the disabled employee’s right to equality</w:t>
      </w:r>
      <w:r w:rsidR="00924FF7">
        <w:rPr>
          <w:lang w:val="en-CA"/>
        </w:rPr>
        <w:t>…</w:t>
      </w:r>
      <w:r w:rsidRPr="0013463A">
        <w:rPr>
          <w:rStyle w:val="Appelnotedebasdep"/>
          <w:lang w:val="en-CA"/>
        </w:rPr>
        <w:footnoteReference w:id="125"/>
      </w:r>
    </w:p>
    <w:p w14:paraId="75FAF955" w14:textId="2A04CFF3" w:rsidR="00836773" w:rsidRPr="0013463A" w:rsidRDefault="00147A04" w:rsidP="007B2A89">
      <w:pPr>
        <w:pStyle w:val="Citationenretrait"/>
        <w:jc w:val="right"/>
        <w:rPr>
          <w:sz w:val="20"/>
          <w:lang w:val="en-CA"/>
        </w:rPr>
      </w:pPr>
      <w:r w:rsidRPr="0013463A">
        <w:rPr>
          <w:sz w:val="20"/>
          <w:lang w:val="en-CA"/>
        </w:rPr>
        <w:t>(Emphasis added)</w:t>
      </w:r>
    </w:p>
    <w:p w14:paraId="383C311C" w14:textId="0372DD54" w:rsidR="00836773" w:rsidRPr="0013463A" w:rsidRDefault="00316DD4" w:rsidP="006A28AF">
      <w:pPr>
        <w:pStyle w:val="Paragraphe"/>
        <w:tabs>
          <w:tab w:val="clear" w:pos="567"/>
        </w:tabs>
      </w:pPr>
      <w:r w:rsidRPr="0013463A">
        <w:t>Also</w:t>
      </w:r>
      <w:r w:rsidR="00D961EF" w:rsidRPr="0013463A">
        <w:t xml:space="preserve"> in </w:t>
      </w:r>
      <w:r w:rsidRPr="0013463A">
        <w:t xml:space="preserve">a labour law </w:t>
      </w:r>
      <w:r w:rsidR="00D961EF" w:rsidRPr="0013463A">
        <w:t>context, the Court noted:</w:t>
      </w:r>
    </w:p>
    <w:p w14:paraId="7834C321" w14:textId="4DEBEC08" w:rsidR="00836773" w:rsidRPr="0013463A" w:rsidRDefault="00D961EF" w:rsidP="007B2A89">
      <w:pPr>
        <w:pStyle w:val="Citationenretrait"/>
        <w:rPr>
          <w:lang w:val="en-CA"/>
        </w:rPr>
      </w:pPr>
      <w:r w:rsidRPr="0013463A">
        <w:rPr>
          <w:lang w:val="en-CA"/>
        </w:rPr>
        <w:t>[22]  The importance of the individualized nature of the accommodation process cannot be minimized.</w:t>
      </w:r>
      <w:r w:rsidR="001834C5" w:rsidRPr="0013463A">
        <w:rPr>
          <w:lang w:val="en-CA"/>
        </w:rPr>
        <w:t xml:space="preserve"> </w:t>
      </w:r>
      <w:r w:rsidRPr="0013463A">
        <w:rPr>
          <w:lang w:val="en-CA"/>
        </w:rPr>
        <w:t>The scope of the duty to accommodate varies according to the characteristics of each enterprise, the specific needs of each employee and the specific circumstances in which the decision is to be made</w:t>
      </w:r>
      <w:r w:rsidR="00924FF7">
        <w:rPr>
          <w:lang w:val="en-CA"/>
        </w:rPr>
        <w:t>…</w:t>
      </w:r>
      <w:r w:rsidRPr="0013463A">
        <w:rPr>
          <w:rStyle w:val="Appelnotedebasdep"/>
          <w:lang w:val="en-CA"/>
        </w:rPr>
        <w:footnoteReference w:id="126"/>
      </w:r>
    </w:p>
    <w:p w14:paraId="1B2EBF87" w14:textId="3CA3A22B" w:rsidR="00836773" w:rsidRPr="0013463A" w:rsidRDefault="00D961EF" w:rsidP="006A28AF">
      <w:pPr>
        <w:pStyle w:val="Paragraphe"/>
        <w:tabs>
          <w:tab w:val="clear" w:pos="567"/>
        </w:tabs>
      </w:pPr>
      <w:r w:rsidRPr="0013463A">
        <w:t xml:space="preserve">By analogy, the accommodation process in a </w:t>
      </w:r>
      <w:r w:rsidR="00F408AB">
        <w:t>correctional</w:t>
      </w:r>
      <w:r w:rsidR="00D247D1">
        <w:t xml:space="preserve"> environment</w:t>
      </w:r>
      <w:r w:rsidRPr="0013463A">
        <w:t xml:space="preserve"> is adjusted on the basis of the characteristics of the prison facility</w:t>
      </w:r>
      <w:r w:rsidR="00316DD4" w:rsidRPr="0013463A">
        <w:t xml:space="preserve"> –</w:t>
      </w:r>
      <w:r w:rsidRPr="0013463A">
        <w:t xml:space="preserve"> including “its public policy </w:t>
      </w:r>
      <w:r w:rsidR="00282C37" w:rsidRPr="0013463A">
        <w:t>responsibilities</w:t>
      </w:r>
      <w:r w:rsidRPr="0013463A">
        <w:t>”,</w:t>
      </w:r>
      <w:r w:rsidRPr="0013463A">
        <w:rPr>
          <w:rStyle w:val="Appelnotedebasdep"/>
        </w:rPr>
        <w:footnoteReference w:id="127"/>
      </w:r>
      <w:r w:rsidRPr="0013463A">
        <w:t xml:space="preserve"> the special needs of</w:t>
      </w:r>
      <w:r w:rsidR="00316DD4" w:rsidRPr="0013463A">
        <w:t xml:space="preserve"> the inmates there</w:t>
      </w:r>
      <w:r w:rsidRPr="0013463A">
        <w:t xml:space="preserve">, and the specific circumstances in which decisions </w:t>
      </w:r>
      <w:r w:rsidR="00316DD4" w:rsidRPr="0013463A">
        <w:t xml:space="preserve">about them </w:t>
      </w:r>
      <w:r w:rsidRPr="0013463A">
        <w:t>are made.</w:t>
      </w:r>
      <w:r w:rsidR="001834C5" w:rsidRPr="0013463A">
        <w:t xml:space="preserve"> </w:t>
      </w:r>
    </w:p>
    <w:p w14:paraId="6B765F4E" w14:textId="6C912F46" w:rsidR="00836773" w:rsidRPr="0013463A" w:rsidRDefault="00F37064" w:rsidP="006A28AF">
      <w:pPr>
        <w:pStyle w:val="Paragraphe"/>
        <w:tabs>
          <w:tab w:val="clear" w:pos="567"/>
        </w:tabs>
      </w:pPr>
      <w:r>
        <w:t>P</w:t>
      </w:r>
      <w:r w:rsidR="00D961EF" w:rsidRPr="0013463A">
        <w:t>araphras</w:t>
      </w:r>
      <w:r>
        <w:t>ing</w:t>
      </w:r>
      <w:r w:rsidR="00D961EF" w:rsidRPr="0013463A">
        <w:t xml:space="preserve"> the “operative principles” of reasonable accommodation in a workplace environment as defined in the case law, we may transpose them to </w:t>
      </w:r>
      <w:r w:rsidR="00DF42E6">
        <w:t>a</w:t>
      </w:r>
      <w:r w:rsidR="00D961EF" w:rsidRPr="0013463A">
        <w:t xml:space="preserve"> prison </w:t>
      </w:r>
      <w:r w:rsidR="00D247D1">
        <w:t>environment</w:t>
      </w:r>
      <w:r w:rsidR="00D961EF" w:rsidRPr="0013463A">
        <w:t xml:space="preserve"> as follows:</w:t>
      </w:r>
    </w:p>
    <w:p w14:paraId="37331531" w14:textId="3D9E2429" w:rsidR="00836773" w:rsidRPr="0013463A" w:rsidRDefault="00D961EF">
      <w:pPr>
        <w:pStyle w:val="Paragraphe"/>
        <w:numPr>
          <w:ilvl w:val="0"/>
          <w:numId w:val="8"/>
        </w:numPr>
        <w:tabs>
          <w:tab w:val="clear" w:pos="567"/>
        </w:tabs>
      </w:pPr>
      <w:r w:rsidRPr="0013463A">
        <w:t xml:space="preserve">[the </w:t>
      </w:r>
      <w:r w:rsidR="00F37064">
        <w:t>correctional</w:t>
      </w:r>
      <w:r w:rsidRPr="0013463A">
        <w:t xml:space="preserve"> facility] is not required to establish that it is “impossible... to accommodate” the [inmate perceived as having a disturbed mental state], only that nothing else reasonable or practical could be offered”;</w:t>
      </w:r>
    </w:p>
    <w:p w14:paraId="3DC0DB55" w14:textId="64EE4A60" w:rsidR="00836773" w:rsidRPr="0013463A" w:rsidRDefault="00D961EF">
      <w:pPr>
        <w:pStyle w:val="Paragraphe"/>
        <w:numPr>
          <w:ilvl w:val="0"/>
          <w:numId w:val="8"/>
        </w:numPr>
        <w:tabs>
          <w:tab w:val="clear" w:pos="567"/>
        </w:tabs>
      </w:pPr>
      <w:r w:rsidRPr="0013463A">
        <w:t>“an individualized analysis is required”;</w:t>
      </w:r>
    </w:p>
    <w:p w14:paraId="2AAB2040" w14:textId="5B853C22" w:rsidR="00836773" w:rsidRPr="0013463A" w:rsidRDefault="00D961EF">
      <w:pPr>
        <w:pStyle w:val="Paragraphe"/>
        <w:numPr>
          <w:ilvl w:val="0"/>
          <w:numId w:val="8"/>
        </w:numPr>
        <w:tabs>
          <w:tab w:val="clear" w:pos="567"/>
        </w:tabs>
      </w:pPr>
      <w:r w:rsidRPr="0013463A">
        <w:t>“the duty to accommodate includes both procedural and substantive duties”;</w:t>
      </w:r>
      <w:r w:rsidR="00F37064">
        <w:t xml:space="preserve"> and</w:t>
      </w:r>
    </w:p>
    <w:p w14:paraId="0200FEF6" w14:textId="51316785" w:rsidR="00836773" w:rsidRPr="0013463A" w:rsidRDefault="00D961EF">
      <w:pPr>
        <w:pStyle w:val="Paragraphe"/>
        <w:numPr>
          <w:ilvl w:val="0"/>
          <w:numId w:val="8"/>
        </w:numPr>
        <w:tabs>
          <w:tab w:val="clear" w:pos="567"/>
        </w:tabs>
      </w:pPr>
      <w:r w:rsidRPr="0013463A">
        <w:t xml:space="preserve">“the undue hardship threshold means </w:t>
      </w:r>
      <w:r w:rsidR="0078619A">
        <w:t>[a correctional facility]</w:t>
      </w:r>
      <w:r w:rsidRPr="0013463A">
        <w:t xml:space="preserve"> will always bear some sort of hardship”.</w:t>
      </w:r>
      <w:r w:rsidR="001834C5" w:rsidRPr="0013463A">
        <w:rPr>
          <w:rStyle w:val="Appelnotedebasdep"/>
        </w:rPr>
        <w:footnoteReference w:id="128"/>
      </w:r>
    </w:p>
    <w:p w14:paraId="7B41D052" w14:textId="6E5A6BFF" w:rsidR="00836773" w:rsidRPr="0013463A" w:rsidRDefault="00D961EF" w:rsidP="006A28AF">
      <w:pPr>
        <w:pStyle w:val="Paragraphe"/>
        <w:tabs>
          <w:tab w:val="clear" w:pos="567"/>
        </w:tabs>
      </w:pPr>
      <w:r w:rsidRPr="0013463A">
        <w:t>In sum, the determination of whether a hardship caused by the accommodation is “undue” depends largely on a contextual analysis: [</w:t>
      </w:r>
      <w:r w:rsidRPr="0013463A">
        <w:rPr>
          <w:smallCaps/>
        </w:rPr>
        <w:t>translation</w:t>
      </w:r>
      <w:r w:rsidRPr="0013463A">
        <w:t>] “[t]he duty to accommodate must be assessed taking into account all the unique features of the context of the intervention”.</w:t>
      </w:r>
      <w:r w:rsidRPr="0013463A">
        <w:rPr>
          <w:rStyle w:val="Appelnotedebasdep"/>
        </w:rPr>
        <w:footnoteReference w:id="129"/>
      </w:r>
    </w:p>
    <w:p w14:paraId="26E1D965" w14:textId="0FEAE915" w:rsidR="00836773" w:rsidRPr="0013463A" w:rsidRDefault="001F2A91" w:rsidP="006A28AF">
      <w:pPr>
        <w:pStyle w:val="Paragraphe"/>
        <w:tabs>
          <w:tab w:val="clear" w:pos="567"/>
        </w:tabs>
      </w:pPr>
      <w:r w:rsidRPr="0013463A">
        <w:t>What can be said about this context?</w:t>
      </w:r>
    </w:p>
    <w:p w14:paraId="415DCEFC" w14:textId="18CF809A" w:rsidR="00836773" w:rsidRPr="0013463A" w:rsidRDefault="001F2A91" w:rsidP="006A28AF">
      <w:pPr>
        <w:pStyle w:val="Paragraphe"/>
        <w:tabs>
          <w:tab w:val="clear" w:pos="567"/>
        </w:tabs>
      </w:pPr>
      <w:r w:rsidRPr="0013463A">
        <w:rPr>
          <w:b/>
          <w:bCs/>
          <w:i/>
          <w:iCs/>
        </w:rPr>
        <w:t xml:space="preserve">First, </w:t>
      </w:r>
      <w:r w:rsidRPr="0013463A">
        <w:t>Mr. Toussaint was serving an intermittent sentence</w:t>
      </w:r>
      <w:r w:rsidR="00F408AB">
        <w:t xml:space="preserve"> of imprisonment</w:t>
      </w:r>
      <w:r w:rsidRPr="0013463A">
        <w:t>.</w:t>
      </w:r>
      <w:r w:rsidR="00FA1011">
        <w:t xml:space="preserve"> </w:t>
      </w:r>
      <w:r w:rsidR="00FA1011" w:rsidRPr="0013463A">
        <w:t>According to expert Philippe Bensimon, a doctor of criminology (PhD) who worked for Correctional Service Canada for 27 years, this type of sentence is given to people who have committed acts that are [</w:t>
      </w:r>
      <w:r w:rsidR="00FA1011" w:rsidRPr="0013463A">
        <w:rPr>
          <w:smallCaps/>
        </w:rPr>
        <w:t>translation</w:t>
      </w:r>
      <w:r w:rsidR="00FA1011" w:rsidRPr="0013463A">
        <w:t>] “of minor seriousness”</w:t>
      </w:r>
      <w:r w:rsidR="001834C5" w:rsidRPr="0013463A">
        <w:rPr>
          <w:rStyle w:val="Appelnotedebasdep"/>
        </w:rPr>
        <w:footnoteReference w:id="130"/>
      </w:r>
      <w:r w:rsidRPr="0013463A">
        <w:t xml:space="preserve"> and </w:t>
      </w:r>
      <w:r w:rsidR="00FA1011">
        <w:t xml:space="preserve">who </w:t>
      </w:r>
      <w:r w:rsidRPr="0013463A">
        <w:t xml:space="preserve">therefore </w:t>
      </w:r>
      <w:r w:rsidR="00FA1011">
        <w:t xml:space="preserve">represent a </w:t>
      </w:r>
      <w:r w:rsidRPr="0013463A">
        <w:t xml:space="preserve">low </w:t>
      </w:r>
      <w:r w:rsidR="00FA1011">
        <w:t>risk</w:t>
      </w:r>
      <w:r w:rsidRPr="0013463A">
        <w:t xml:space="preserve"> of dangerousness: [</w:t>
      </w:r>
      <w:r w:rsidRPr="0013463A">
        <w:rPr>
          <w:smallCaps/>
        </w:rPr>
        <w:t>translation</w:t>
      </w:r>
      <w:r w:rsidRPr="0013463A">
        <w:t>] “These sentences are for offenders who are not socially or physically dangerous, as established in light of, among other things, a presentence report”.</w:t>
      </w:r>
      <w:r w:rsidRPr="0013463A">
        <w:rPr>
          <w:rStyle w:val="Appelnotedebasdep"/>
        </w:rPr>
        <w:footnoteReference w:id="131"/>
      </w:r>
    </w:p>
    <w:p w14:paraId="46DA647A" w14:textId="709F9878" w:rsidR="00836773" w:rsidRPr="0013463A" w:rsidRDefault="001F2A91" w:rsidP="006A28AF">
      <w:pPr>
        <w:pStyle w:val="Paragraphe"/>
        <w:tabs>
          <w:tab w:val="clear" w:pos="567"/>
        </w:tabs>
      </w:pPr>
      <w:r w:rsidRPr="0013463A">
        <w:t>[</w:t>
      </w:r>
      <w:r w:rsidRPr="0013463A">
        <w:rPr>
          <w:smallCaps/>
        </w:rPr>
        <w:t>translation</w:t>
      </w:r>
      <w:r w:rsidRPr="0013463A">
        <w:t>] “It’s primary school”, testified the expert, offering a metaphor.</w:t>
      </w:r>
      <w:r w:rsidR="001834C5" w:rsidRPr="0013463A">
        <w:t xml:space="preserve"> </w:t>
      </w:r>
      <w:r w:rsidRPr="0013463A">
        <w:t>He insist</w:t>
      </w:r>
      <w:r w:rsidR="00255341" w:rsidRPr="0013463A">
        <w:t>s</w:t>
      </w:r>
      <w:r w:rsidRPr="0013463A">
        <w:t xml:space="preserve"> on the importance of distinguishing this status from that of a convict serving a continuous sentence, who [</w:t>
      </w:r>
      <w:r w:rsidRPr="0013463A">
        <w:rPr>
          <w:smallCaps/>
        </w:rPr>
        <w:t>translation</w:t>
      </w:r>
      <w:r w:rsidRPr="0013463A">
        <w:t>] “remains confined within four walls 24 hours a day” and who must learn [</w:t>
      </w:r>
      <w:r w:rsidRPr="0013463A">
        <w:rPr>
          <w:smallCaps/>
        </w:rPr>
        <w:t>translation</w:t>
      </w:r>
      <w:r w:rsidRPr="0013463A">
        <w:t>] “to deal with his new environment, rub shoulders with staff and fellow inmates</w:t>
      </w:r>
      <w:r w:rsidR="0013463A">
        <w:t>.</w:t>
      </w:r>
      <w:r w:rsidRPr="0013463A">
        <w:t>.. day and night”.</w:t>
      </w:r>
      <w:r w:rsidRPr="0013463A">
        <w:rPr>
          <w:rStyle w:val="Appelnotedebasdep"/>
        </w:rPr>
        <w:footnoteReference w:id="132"/>
      </w:r>
      <w:r w:rsidR="001834C5" w:rsidRPr="0013463A">
        <w:t xml:space="preserve"> </w:t>
      </w:r>
      <w:r w:rsidRPr="0013463A">
        <w:t>As Unit Manager Leclerc states, for example, [</w:t>
      </w:r>
      <w:r w:rsidRPr="0013463A">
        <w:rPr>
          <w:smallCaps/>
        </w:rPr>
        <w:t>translation</w:t>
      </w:r>
      <w:r w:rsidRPr="0013463A">
        <w:t xml:space="preserve">] “the </w:t>
      </w:r>
      <w:r w:rsidR="001D7737" w:rsidRPr="0013463A">
        <w:t>intermittents</w:t>
      </w:r>
      <w:r w:rsidRPr="0013463A">
        <w:t xml:space="preserve"> never walk around alone in the facility”.</w:t>
      </w:r>
      <w:r w:rsidRPr="0013463A">
        <w:rPr>
          <w:rStyle w:val="Appelnotedebasdep"/>
        </w:rPr>
        <w:footnoteReference w:id="133"/>
      </w:r>
      <w:r w:rsidR="001834C5" w:rsidRPr="0013463A">
        <w:t xml:space="preserve"> </w:t>
      </w:r>
      <w:r w:rsidRPr="0013463A">
        <w:t>Safety reasons justify why contact with the regular population is avoided.</w:t>
      </w:r>
      <w:r w:rsidRPr="0013463A">
        <w:rPr>
          <w:rStyle w:val="Appelnotedebasdep"/>
        </w:rPr>
        <w:footnoteReference w:id="134"/>
      </w:r>
    </w:p>
    <w:p w14:paraId="434D685F" w14:textId="235B7DBC" w:rsidR="006A767F" w:rsidRPr="0013463A" w:rsidRDefault="001F2A91" w:rsidP="006A28AF">
      <w:pPr>
        <w:pStyle w:val="Paragraphe"/>
        <w:tabs>
          <w:tab w:val="clear" w:pos="567"/>
        </w:tabs>
      </w:pPr>
      <w:r w:rsidRPr="0013463A">
        <w:rPr>
          <w:b/>
          <w:bCs/>
          <w:i/>
          <w:iCs/>
        </w:rPr>
        <w:t>Second</w:t>
      </w:r>
      <w:r w:rsidRPr="0013463A">
        <w:t>, Mr. Toussaint, who was only 21 years old at the time, was going through the prison admissions</w:t>
      </w:r>
      <w:r w:rsidRPr="0013463A">
        <w:rPr>
          <w:rStyle w:val="Appelnotedebasdep"/>
        </w:rPr>
        <w:footnoteReference w:id="135"/>
      </w:r>
      <w:r w:rsidRPr="0013463A">
        <w:t xml:space="preserve"> for the 33rd week in a row, and his record documented no events suggest</w:t>
      </w:r>
      <w:r w:rsidR="00255341" w:rsidRPr="0013463A">
        <w:t>ing</w:t>
      </w:r>
      <w:r w:rsidRPr="0013463A">
        <w:t xml:space="preserve"> that his behaviour posed a risk to the safety of the </w:t>
      </w:r>
      <w:r w:rsidR="00110E24" w:rsidRPr="0013463A">
        <w:t>CO</w:t>
      </w:r>
      <w:r w:rsidRPr="0013463A">
        <w:t>s.</w:t>
      </w:r>
    </w:p>
    <w:p w14:paraId="0BA9EC5E" w14:textId="0C1CE5DE" w:rsidR="00836773" w:rsidRPr="0013463A" w:rsidRDefault="00711780" w:rsidP="006A28AF">
      <w:pPr>
        <w:pStyle w:val="Paragraphe"/>
        <w:tabs>
          <w:tab w:val="clear" w:pos="567"/>
        </w:tabs>
      </w:pPr>
      <w:r w:rsidRPr="0013463A">
        <w:t>This leads to the following observation from expert Bensimon: [</w:t>
      </w:r>
      <w:r w:rsidRPr="0013463A">
        <w:rPr>
          <w:smallCaps/>
        </w:rPr>
        <w:t>translation</w:t>
      </w:r>
      <w:r w:rsidRPr="0013463A">
        <w:t xml:space="preserve">] “the inmate’s profile and his sentence with less than two months left before its legal expiry were ignored, both clinically and in terms of security, even though this </w:t>
      </w:r>
      <w:r w:rsidR="00255341" w:rsidRPr="0013463A">
        <w:t xml:space="preserve">is </w:t>
      </w:r>
      <w:r w:rsidRPr="0013463A">
        <w:t xml:space="preserve">at the very least basic information </w:t>
      </w:r>
      <w:r w:rsidR="00255341" w:rsidRPr="0013463A">
        <w:t xml:space="preserve">that must </w:t>
      </w:r>
      <w:r w:rsidRPr="0013463A">
        <w:t>be considered before any use of force”.</w:t>
      </w:r>
      <w:r w:rsidRPr="0013463A">
        <w:rPr>
          <w:rStyle w:val="Appelnotedebasdep"/>
        </w:rPr>
        <w:footnoteReference w:id="136"/>
      </w:r>
    </w:p>
    <w:p w14:paraId="10DD7C30" w14:textId="01042372" w:rsidR="00836773" w:rsidRPr="0013463A" w:rsidRDefault="00711780" w:rsidP="006A28AF">
      <w:pPr>
        <w:pStyle w:val="Paragraphe"/>
        <w:tabs>
          <w:tab w:val="clear" w:pos="567"/>
        </w:tabs>
      </w:pPr>
      <w:r w:rsidRPr="0013463A">
        <w:rPr>
          <w:b/>
          <w:bCs/>
          <w:i/>
          <w:iCs/>
        </w:rPr>
        <w:t>Third</w:t>
      </w:r>
      <w:r w:rsidRPr="0013463A">
        <w:t>, from his arrival at the prison on December 4, 2016, Mr. Toussaint’s conduct suggested that he was, so to speak, [</w:t>
      </w:r>
      <w:r w:rsidRPr="0013463A">
        <w:rPr>
          <w:smallCaps/>
        </w:rPr>
        <w:t>translation</w:t>
      </w:r>
      <w:r w:rsidRPr="0013463A">
        <w:t xml:space="preserve">] “spaced out” and </w:t>
      </w:r>
      <w:r w:rsidR="00255341" w:rsidRPr="0013463A">
        <w:t xml:space="preserve">that he </w:t>
      </w:r>
      <w:r w:rsidRPr="0013463A">
        <w:t xml:space="preserve">was not </w:t>
      </w:r>
      <w:r w:rsidR="00255341" w:rsidRPr="0013463A">
        <w:t xml:space="preserve">behaving </w:t>
      </w:r>
      <w:r w:rsidRPr="0013463A">
        <w:t>[</w:t>
      </w:r>
      <w:r w:rsidRPr="0013463A">
        <w:rPr>
          <w:smallCaps/>
        </w:rPr>
        <w:t>translation</w:t>
      </w:r>
      <w:r w:rsidRPr="0013463A">
        <w:t>] “normally”.</w:t>
      </w:r>
      <w:r w:rsidR="001834C5" w:rsidRPr="0013463A">
        <w:t xml:space="preserve"> </w:t>
      </w:r>
      <w:r w:rsidR="00110E24" w:rsidRPr="0013463A">
        <w:t>CO</w:t>
      </w:r>
      <w:r w:rsidRPr="0013463A">
        <w:t xml:space="preserve"> Belcourt told Unit Manager Leclerc, who himself made the same observation during </w:t>
      </w:r>
      <w:r w:rsidR="00C03D4E" w:rsidRPr="0013463A">
        <w:t xml:space="preserve">the </w:t>
      </w:r>
      <w:r w:rsidRPr="0013463A">
        <w:t>admission procedure and throughout the entire intervention that followed:</w:t>
      </w:r>
    </w:p>
    <w:p w14:paraId="797BDCF3" w14:textId="77AAE78D" w:rsidR="00255341" w:rsidRPr="0013463A" w:rsidRDefault="00255341" w:rsidP="00255341">
      <w:pPr>
        <w:pStyle w:val="Paragraphe"/>
        <w:numPr>
          <w:ilvl w:val="0"/>
          <w:numId w:val="0"/>
        </w:numPr>
      </w:pPr>
      <w:r w:rsidRPr="0013463A">
        <w:tab/>
        <w:t>[</w:t>
      </w:r>
      <w:r w:rsidRPr="0013463A">
        <w:rPr>
          <w:smallCaps/>
        </w:rPr>
        <w:t>translation</w:t>
      </w:r>
      <w:r w:rsidRPr="0013463A">
        <w:t>]</w:t>
      </w:r>
    </w:p>
    <w:p w14:paraId="1BF1ED18" w14:textId="04B1EBFD" w:rsidR="00836773" w:rsidRPr="0013463A" w:rsidRDefault="00711780" w:rsidP="00A15FB7">
      <w:pPr>
        <w:pStyle w:val="Paragraphe"/>
        <w:numPr>
          <w:ilvl w:val="0"/>
          <w:numId w:val="9"/>
        </w:numPr>
        <w:tabs>
          <w:tab w:val="clear" w:pos="567"/>
        </w:tabs>
      </w:pPr>
      <w:r w:rsidRPr="0013463A">
        <w:t>“I could see he was like not his usual self</w:t>
      </w:r>
      <w:r w:rsidR="00A15FB7" w:rsidRPr="0013463A">
        <w:t>”</w:t>
      </w:r>
      <w:r w:rsidRPr="0013463A">
        <w:t>;</w:t>
      </w:r>
      <w:r w:rsidRPr="0013463A">
        <w:rPr>
          <w:rStyle w:val="Appelnotedebasdep"/>
        </w:rPr>
        <w:footnoteReference w:id="137"/>
      </w:r>
    </w:p>
    <w:p w14:paraId="2B217947" w14:textId="3CBE6DE2" w:rsidR="00836773" w:rsidRPr="0013463A" w:rsidRDefault="00711780">
      <w:pPr>
        <w:pStyle w:val="Paragraphe"/>
        <w:numPr>
          <w:ilvl w:val="0"/>
          <w:numId w:val="9"/>
        </w:numPr>
        <w:tabs>
          <w:tab w:val="clear" w:pos="567"/>
        </w:tabs>
      </w:pPr>
      <w:r w:rsidRPr="0013463A">
        <w:t>“I said to myself: Was he using?</w:t>
      </w:r>
      <w:r w:rsidR="001834C5" w:rsidRPr="0013463A">
        <w:t xml:space="preserve"> </w:t>
      </w:r>
      <w:r w:rsidRPr="0013463A">
        <w:t>And then, he...</w:t>
      </w:r>
      <w:r w:rsidR="001834C5" w:rsidRPr="0013463A">
        <w:t xml:space="preserve"> </w:t>
      </w:r>
      <w:r w:rsidRPr="0013463A">
        <w:t xml:space="preserve">You know, he didn’t seem to come </w:t>
      </w:r>
      <w:r w:rsidR="00C03D4E" w:rsidRPr="0013463A">
        <w:t>back</w:t>
      </w:r>
      <w:r w:rsidRPr="0013463A">
        <w:t>, you know, even when we were talking to him”;</w:t>
      </w:r>
      <w:r w:rsidRPr="0013463A">
        <w:rPr>
          <w:rStyle w:val="Appelnotedebasdep"/>
        </w:rPr>
        <w:footnoteReference w:id="138"/>
      </w:r>
    </w:p>
    <w:p w14:paraId="3E365E2D" w14:textId="04519476" w:rsidR="00836773" w:rsidRPr="0013463A" w:rsidRDefault="00711780">
      <w:pPr>
        <w:pStyle w:val="Paragraphe"/>
        <w:numPr>
          <w:ilvl w:val="0"/>
          <w:numId w:val="9"/>
        </w:numPr>
        <w:tabs>
          <w:tab w:val="clear" w:pos="567"/>
        </w:tabs>
      </w:pPr>
      <w:r w:rsidRPr="0013463A">
        <w:t>“Because now, we needed to know: Was he intoxicated?”;</w:t>
      </w:r>
      <w:r w:rsidRPr="0013463A">
        <w:rPr>
          <w:rStyle w:val="Appelnotedebasdep"/>
        </w:rPr>
        <w:footnoteReference w:id="139"/>
      </w:r>
    </w:p>
    <w:p w14:paraId="46C7C5D4" w14:textId="0B50CC45" w:rsidR="00836773" w:rsidRPr="0013463A" w:rsidRDefault="00711780">
      <w:pPr>
        <w:pStyle w:val="Paragraphe"/>
        <w:numPr>
          <w:ilvl w:val="0"/>
          <w:numId w:val="9"/>
        </w:numPr>
        <w:tabs>
          <w:tab w:val="clear" w:pos="567"/>
        </w:tabs>
      </w:pPr>
      <w:r w:rsidRPr="0013463A">
        <w:t>“</w:t>
      </w:r>
      <w:r w:rsidRPr="00DC3C92">
        <w:t>I’ve seen guys</w:t>
      </w:r>
      <w:r w:rsidRPr="0013463A">
        <w:t>, they...</w:t>
      </w:r>
      <w:r w:rsidR="001834C5" w:rsidRPr="0013463A">
        <w:t xml:space="preserve"> </w:t>
      </w:r>
      <w:r w:rsidRPr="0013463A">
        <w:t xml:space="preserve">You know, they start climbing all over, agitated </w:t>
      </w:r>
      <w:r w:rsidR="00B00E9A" w:rsidRPr="0013463A">
        <w:t>delirium</w:t>
      </w:r>
      <w:r w:rsidRPr="0013463A">
        <w:t xml:space="preserve"> that I, at one point, I thought Mr. Toussaint was doing that too”.</w:t>
      </w:r>
      <w:r w:rsidRPr="0013463A">
        <w:rPr>
          <w:rStyle w:val="Appelnotedebasdep"/>
        </w:rPr>
        <w:footnoteReference w:id="140"/>
      </w:r>
    </w:p>
    <w:p w14:paraId="78FD3BEA" w14:textId="1EB66420" w:rsidR="00836773" w:rsidRPr="0013463A" w:rsidRDefault="00711780">
      <w:pPr>
        <w:pStyle w:val="Paragraphe"/>
        <w:numPr>
          <w:ilvl w:val="0"/>
          <w:numId w:val="9"/>
        </w:numPr>
        <w:tabs>
          <w:tab w:val="clear" w:pos="567"/>
        </w:tabs>
      </w:pPr>
      <w:r w:rsidRPr="0013463A">
        <w:t>“Because he was having a crisis”.</w:t>
      </w:r>
      <w:r w:rsidRPr="0013463A">
        <w:rPr>
          <w:rStyle w:val="Appelnotedebasdep"/>
        </w:rPr>
        <w:footnoteReference w:id="141"/>
      </w:r>
    </w:p>
    <w:p w14:paraId="25F08169" w14:textId="660EF81F" w:rsidR="00836773" w:rsidRPr="0013463A" w:rsidRDefault="00711780">
      <w:pPr>
        <w:pStyle w:val="Paragraphe"/>
        <w:numPr>
          <w:ilvl w:val="0"/>
          <w:numId w:val="9"/>
        </w:numPr>
        <w:tabs>
          <w:tab w:val="clear" w:pos="567"/>
        </w:tabs>
      </w:pPr>
      <w:r w:rsidRPr="0013463A">
        <w:t>“He wasn’t happy, and that’s when he became more disorganized”;</w:t>
      </w:r>
      <w:r w:rsidRPr="0013463A">
        <w:rPr>
          <w:rStyle w:val="Appelnotedebasdep"/>
        </w:rPr>
        <w:footnoteReference w:id="142"/>
      </w:r>
    </w:p>
    <w:p w14:paraId="16A1674C" w14:textId="35E82E2E" w:rsidR="00836773" w:rsidRPr="0013463A" w:rsidRDefault="00711780" w:rsidP="00BA386F">
      <w:pPr>
        <w:pStyle w:val="Paragraphe"/>
        <w:numPr>
          <w:ilvl w:val="0"/>
          <w:numId w:val="9"/>
        </w:numPr>
        <w:tabs>
          <w:tab w:val="clear" w:pos="567"/>
        </w:tabs>
      </w:pPr>
      <w:r w:rsidRPr="0013463A">
        <w:t xml:space="preserve">“We preferred not to take a chance with his... either his intoxication, or his mental </w:t>
      </w:r>
      <w:r w:rsidR="004F4955">
        <w:t>health</w:t>
      </w:r>
      <w:r w:rsidRPr="0013463A">
        <w:t>”;</w:t>
      </w:r>
      <w:r w:rsidRPr="0013463A">
        <w:rPr>
          <w:rStyle w:val="Appelnotedebasdep"/>
        </w:rPr>
        <w:footnoteReference w:id="143"/>
      </w:r>
    </w:p>
    <w:p w14:paraId="49049365" w14:textId="4AF13905" w:rsidR="00836773" w:rsidRPr="0013463A" w:rsidRDefault="00711780">
      <w:pPr>
        <w:pStyle w:val="Paragraphe"/>
        <w:numPr>
          <w:ilvl w:val="0"/>
          <w:numId w:val="9"/>
        </w:numPr>
        <w:tabs>
          <w:tab w:val="clear" w:pos="567"/>
        </w:tabs>
      </w:pPr>
      <w:r w:rsidRPr="0013463A">
        <w:t>“That means, then, he was disorganized again;</w:t>
      </w:r>
      <w:r w:rsidRPr="0013463A">
        <w:rPr>
          <w:rStyle w:val="Appelnotedebasdep"/>
        </w:rPr>
        <w:footnoteReference w:id="144"/>
      </w:r>
    </w:p>
    <w:p w14:paraId="4F9759CA" w14:textId="1AEDEC14" w:rsidR="00836773" w:rsidRPr="0013463A" w:rsidRDefault="00711780">
      <w:pPr>
        <w:pStyle w:val="Paragraphe"/>
        <w:numPr>
          <w:ilvl w:val="0"/>
          <w:numId w:val="9"/>
        </w:numPr>
        <w:tabs>
          <w:tab w:val="clear" w:pos="567"/>
        </w:tabs>
      </w:pPr>
      <w:r w:rsidRPr="0013463A">
        <w:t>“That’s when I said to myself: “For sure he’s intoxicated”</w:t>
      </w:r>
      <w:r w:rsidR="00BA386F" w:rsidRPr="0013463A">
        <w:t>”</w:t>
      </w:r>
      <w:r w:rsidRPr="0013463A">
        <w:t>;</w:t>
      </w:r>
      <w:r w:rsidRPr="0013463A">
        <w:rPr>
          <w:rStyle w:val="Appelnotedebasdep"/>
        </w:rPr>
        <w:footnoteReference w:id="145"/>
      </w:r>
    </w:p>
    <w:p w14:paraId="7C5C7AE3" w14:textId="246A3FAA" w:rsidR="00836773" w:rsidRPr="0013463A" w:rsidRDefault="00711780">
      <w:pPr>
        <w:pStyle w:val="Paragraphe"/>
        <w:numPr>
          <w:ilvl w:val="0"/>
          <w:numId w:val="9"/>
        </w:numPr>
        <w:tabs>
          <w:tab w:val="clear" w:pos="567"/>
        </w:tabs>
      </w:pPr>
      <w:r w:rsidRPr="0013463A">
        <w:t xml:space="preserve">“Maybe he’s in an agitated </w:t>
      </w:r>
      <w:r w:rsidR="00BA386F" w:rsidRPr="0013463A">
        <w:t>delirium</w:t>
      </w:r>
      <w:r w:rsidRPr="0013463A">
        <w:t>”;</w:t>
      </w:r>
      <w:r w:rsidRPr="0013463A">
        <w:rPr>
          <w:rStyle w:val="Appelnotedebasdep"/>
        </w:rPr>
        <w:footnoteReference w:id="146"/>
      </w:r>
    </w:p>
    <w:p w14:paraId="02E354DF" w14:textId="6D46F0F5" w:rsidR="00836773" w:rsidRPr="0013463A" w:rsidRDefault="0070708A">
      <w:pPr>
        <w:pStyle w:val="Paragraphe"/>
        <w:numPr>
          <w:ilvl w:val="0"/>
          <w:numId w:val="9"/>
        </w:numPr>
        <w:tabs>
          <w:tab w:val="clear" w:pos="567"/>
        </w:tabs>
      </w:pPr>
      <w:r w:rsidRPr="0013463A">
        <w:t>“Was it drugs? Was it his mental health?”</w:t>
      </w:r>
      <w:r w:rsidR="00711780" w:rsidRPr="0013463A">
        <w:t>;</w:t>
      </w:r>
      <w:r w:rsidR="00711780" w:rsidRPr="0013463A">
        <w:rPr>
          <w:rStyle w:val="Appelnotedebasdep"/>
        </w:rPr>
        <w:footnoteReference w:id="147"/>
      </w:r>
    </w:p>
    <w:p w14:paraId="663BB2F8" w14:textId="7D7A1A27" w:rsidR="00836773" w:rsidRPr="0013463A" w:rsidRDefault="0070708A">
      <w:pPr>
        <w:pStyle w:val="Paragraphe"/>
        <w:numPr>
          <w:ilvl w:val="0"/>
          <w:numId w:val="9"/>
        </w:numPr>
        <w:tabs>
          <w:tab w:val="clear" w:pos="567"/>
        </w:tabs>
      </w:pPr>
      <w:r w:rsidRPr="0013463A">
        <w:t>“Several time</w:t>
      </w:r>
      <w:r w:rsidR="00BA386F" w:rsidRPr="0013463A">
        <w:t>s</w:t>
      </w:r>
      <w:r w:rsidRPr="0013463A">
        <w:t>, I tried to establish contact with him”;</w:t>
      </w:r>
      <w:r w:rsidRPr="0013463A">
        <w:rPr>
          <w:rStyle w:val="Appelnotedebasdep"/>
        </w:rPr>
        <w:footnoteReference w:id="148"/>
      </w:r>
    </w:p>
    <w:p w14:paraId="1B4DCAA3" w14:textId="4AA14C74" w:rsidR="00836773" w:rsidRPr="0013463A" w:rsidRDefault="0070708A">
      <w:pPr>
        <w:pStyle w:val="Paragraphe"/>
        <w:numPr>
          <w:ilvl w:val="0"/>
          <w:numId w:val="9"/>
        </w:numPr>
        <w:tabs>
          <w:tab w:val="clear" w:pos="567"/>
        </w:tabs>
      </w:pPr>
      <w:r w:rsidRPr="0013463A">
        <w:t>“I think he was no longer there.</w:t>
      </w:r>
      <w:r w:rsidR="001834C5" w:rsidRPr="0013463A">
        <w:t xml:space="preserve"> </w:t>
      </w:r>
      <w:r w:rsidRPr="0013463A">
        <w:t xml:space="preserve">... He might have been in an agitated </w:t>
      </w:r>
      <w:r w:rsidR="00BA386F" w:rsidRPr="0013463A">
        <w:t>delirium</w:t>
      </w:r>
      <w:r w:rsidRPr="0013463A">
        <w:t>, drug use.</w:t>
      </w:r>
      <w:r w:rsidR="001834C5" w:rsidRPr="0013463A">
        <w:t xml:space="preserve"> </w:t>
      </w:r>
      <w:r w:rsidRPr="0013463A">
        <w:t>You know, he was disoriented”;</w:t>
      </w:r>
      <w:r w:rsidRPr="0013463A">
        <w:rPr>
          <w:rStyle w:val="Appelnotedebasdep"/>
        </w:rPr>
        <w:footnoteReference w:id="149"/>
      </w:r>
    </w:p>
    <w:p w14:paraId="126380F8" w14:textId="5868B649" w:rsidR="00836773" w:rsidRPr="0013463A" w:rsidRDefault="0070708A">
      <w:pPr>
        <w:pStyle w:val="Paragraphe"/>
        <w:numPr>
          <w:ilvl w:val="0"/>
          <w:numId w:val="9"/>
        </w:numPr>
        <w:tabs>
          <w:tab w:val="clear" w:pos="567"/>
        </w:tabs>
      </w:pPr>
      <w:r w:rsidRPr="0013463A">
        <w:t>“we ha</w:t>
      </w:r>
      <w:r w:rsidR="003D1BAA" w:rsidRPr="0013463A">
        <w:t>d</w:t>
      </w:r>
      <w:r w:rsidRPr="0013463A">
        <w:t xml:space="preserve"> somebody who...</w:t>
      </w:r>
      <w:r w:rsidR="001834C5" w:rsidRPr="0013463A">
        <w:t xml:space="preserve"> </w:t>
      </w:r>
      <w:r w:rsidRPr="0013463A">
        <w:t xml:space="preserve">who </w:t>
      </w:r>
      <w:r w:rsidR="003D1BAA" w:rsidRPr="0013463A">
        <w:t>was</w:t>
      </w:r>
      <w:r w:rsidRPr="0013463A">
        <w:t xml:space="preserve"> no longer in touch with reality”;</w:t>
      </w:r>
      <w:r w:rsidRPr="0013463A">
        <w:rPr>
          <w:rStyle w:val="Appelnotedebasdep"/>
        </w:rPr>
        <w:footnoteReference w:id="150"/>
      </w:r>
    </w:p>
    <w:p w14:paraId="0E5774F3" w14:textId="1E21D838" w:rsidR="00836773" w:rsidRPr="0013463A" w:rsidRDefault="0070708A">
      <w:pPr>
        <w:pStyle w:val="Paragraphe"/>
        <w:numPr>
          <w:ilvl w:val="0"/>
          <w:numId w:val="9"/>
        </w:numPr>
        <w:tabs>
          <w:tab w:val="clear" w:pos="567"/>
        </w:tabs>
      </w:pPr>
      <w:r w:rsidRPr="0013463A">
        <w:t xml:space="preserve">“he was </w:t>
      </w:r>
      <w:r w:rsidR="003D1BAA" w:rsidRPr="0013463A">
        <w:t>disorganized</w:t>
      </w:r>
      <w:r w:rsidRPr="0013463A">
        <w:t>, and he was disconnected from... from reality surely”;</w:t>
      </w:r>
      <w:r w:rsidRPr="0013463A">
        <w:rPr>
          <w:rStyle w:val="Appelnotedebasdep"/>
        </w:rPr>
        <w:footnoteReference w:id="151"/>
      </w:r>
    </w:p>
    <w:p w14:paraId="4C2E535C" w14:textId="51D04F8F" w:rsidR="00836773" w:rsidRPr="0013463A" w:rsidRDefault="0070708A" w:rsidP="003D1BAA">
      <w:pPr>
        <w:pStyle w:val="Paragraphe"/>
        <w:numPr>
          <w:ilvl w:val="0"/>
          <w:numId w:val="9"/>
        </w:numPr>
        <w:tabs>
          <w:tab w:val="clear" w:pos="567"/>
        </w:tabs>
      </w:pPr>
      <w:r w:rsidRPr="0013463A">
        <w:t>“You know, the person</w:t>
      </w:r>
      <w:r w:rsidR="003D1BAA" w:rsidRPr="0013463A">
        <w:t xml:space="preserve"> wasn’t</w:t>
      </w:r>
      <w:r w:rsidRPr="0013463A">
        <w:t xml:space="preserve"> there anymore”;</w:t>
      </w:r>
      <w:r w:rsidRPr="0013463A">
        <w:rPr>
          <w:rStyle w:val="Appelnotedebasdep"/>
        </w:rPr>
        <w:footnoteReference w:id="152"/>
      </w:r>
    </w:p>
    <w:p w14:paraId="2840DC65" w14:textId="13742C16" w:rsidR="00836773" w:rsidRPr="0013463A" w:rsidRDefault="0070708A" w:rsidP="003D1BAA">
      <w:pPr>
        <w:pStyle w:val="Paragraphe"/>
        <w:numPr>
          <w:ilvl w:val="0"/>
          <w:numId w:val="9"/>
        </w:numPr>
        <w:tabs>
          <w:tab w:val="clear" w:pos="567"/>
        </w:tabs>
      </w:pPr>
      <w:r w:rsidRPr="0013463A">
        <w:t>“He looked like he was still disconnected”;</w:t>
      </w:r>
      <w:r w:rsidRPr="0013463A">
        <w:rPr>
          <w:rStyle w:val="Appelnotedebasdep"/>
        </w:rPr>
        <w:footnoteReference w:id="153"/>
      </w:r>
    </w:p>
    <w:p w14:paraId="5B53DEB7" w14:textId="2E7955D0" w:rsidR="00836773" w:rsidRPr="0013463A" w:rsidRDefault="0070708A">
      <w:pPr>
        <w:pStyle w:val="Paragraphe"/>
        <w:numPr>
          <w:ilvl w:val="0"/>
          <w:numId w:val="9"/>
        </w:numPr>
        <w:tabs>
          <w:tab w:val="clear" w:pos="567"/>
        </w:tabs>
      </w:pPr>
      <w:r w:rsidRPr="0013463A">
        <w:t xml:space="preserve">“Well, as I said earlier, from the beginning I suspected a... you know, that he used drugs or </w:t>
      </w:r>
      <w:r w:rsidR="003C0F0B">
        <w:t xml:space="preserve">a </w:t>
      </w:r>
      <w:r w:rsidRPr="0013463A">
        <w:t>mental health</w:t>
      </w:r>
      <w:r w:rsidR="003C0F0B">
        <w:t xml:space="preserve"> issue</w:t>
      </w:r>
      <w:r w:rsidRPr="0013463A">
        <w:t>.</w:t>
      </w:r>
      <w:r w:rsidR="001834C5" w:rsidRPr="0013463A">
        <w:t xml:space="preserve"> </w:t>
      </w:r>
      <w:r w:rsidRPr="0013463A">
        <w:t>... As I said earlier, I said it earlier, I said: “You know, look, that guy, you know, we kind of wonder whether maybe mental health”.</w:t>
      </w:r>
      <w:r w:rsidRPr="0013463A">
        <w:rPr>
          <w:rStyle w:val="Appelnotedebasdep"/>
        </w:rPr>
        <w:footnoteReference w:id="154"/>
      </w:r>
    </w:p>
    <w:p w14:paraId="3B93EC05" w14:textId="7F7C4731" w:rsidR="00836773" w:rsidRPr="0013463A" w:rsidRDefault="0070708A">
      <w:pPr>
        <w:pStyle w:val="Paragraphe"/>
        <w:numPr>
          <w:ilvl w:val="0"/>
          <w:numId w:val="9"/>
        </w:numPr>
        <w:tabs>
          <w:tab w:val="clear" w:pos="567"/>
        </w:tabs>
      </w:pPr>
      <w:r w:rsidRPr="0013463A">
        <w:t>“It might have been mental health, you know”;</w:t>
      </w:r>
      <w:r w:rsidRPr="0013463A">
        <w:rPr>
          <w:rStyle w:val="Appelnotedebasdep"/>
        </w:rPr>
        <w:footnoteReference w:id="155"/>
      </w:r>
    </w:p>
    <w:p w14:paraId="34D257FB" w14:textId="36046EDA" w:rsidR="00836773" w:rsidRPr="0013463A" w:rsidRDefault="001000B2">
      <w:pPr>
        <w:pStyle w:val="Paragraphe"/>
        <w:numPr>
          <w:ilvl w:val="0"/>
          <w:numId w:val="9"/>
        </w:numPr>
        <w:tabs>
          <w:tab w:val="clear" w:pos="567"/>
        </w:tabs>
      </w:pPr>
      <w:r w:rsidRPr="0013463A">
        <w:t>“He looked like he was talking to himself”</w:t>
      </w:r>
      <w:r w:rsidR="003D1BAA" w:rsidRPr="0013463A">
        <w:t>;</w:t>
      </w:r>
      <w:r w:rsidRPr="0013463A">
        <w:rPr>
          <w:rStyle w:val="Appelnotedebasdep"/>
        </w:rPr>
        <w:footnoteReference w:id="156"/>
      </w:r>
    </w:p>
    <w:p w14:paraId="0485FBB3" w14:textId="655957EF" w:rsidR="00836773" w:rsidRPr="0013463A" w:rsidRDefault="001000B2">
      <w:pPr>
        <w:pStyle w:val="Paragraphe"/>
        <w:numPr>
          <w:ilvl w:val="0"/>
          <w:numId w:val="9"/>
        </w:numPr>
        <w:tabs>
          <w:tab w:val="clear" w:pos="567"/>
        </w:tabs>
      </w:pPr>
      <w:r w:rsidRPr="0013463A">
        <w:t>“He wasn’t there anymore, and he was growling and...</w:t>
      </w:r>
      <w:r w:rsidR="003D1BAA" w:rsidRPr="0013463A">
        <w:t>”</w:t>
      </w:r>
      <w:r w:rsidR="001834C5" w:rsidRPr="0013463A">
        <w:rPr>
          <w:rStyle w:val="Appelnotedebasdep"/>
        </w:rPr>
        <w:footnoteReference w:id="157"/>
      </w:r>
      <w:r w:rsidR="001834C5" w:rsidRPr="0013463A">
        <w:t xml:space="preserve"> </w:t>
      </w:r>
    </w:p>
    <w:p w14:paraId="2315A865" w14:textId="187C3F2E" w:rsidR="00836773" w:rsidRPr="0013463A" w:rsidRDefault="001000B2" w:rsidP="006A28AF">
      <w:pPr>
        <w:pStyle w:val="Paragraphe"/>
        <w:tabs>
          <w:tab w:val="clear" w:pos="567"/>
        </w:tabs>
      </w:pPr>
      <w:r w:rsidRPr="0013463A">
        <w:t xml:space="preserve">In the view of the Tribunal, Mr. Toussaint’s problematic conduct when he arrived at the prison and the perception that he might have been intoxicated or experiencing a mental health problem justified removing him from the other inmates and bringing him to cell 36, </w:t>
      </w:r>
      <w:r w:rsidR="00A33A29" w:rsidRPr="0013463A">
        <w:t>which</w:t>
      </w:r>
      <w:r w:rsidRPr="0013463A">
        <w:t xml:space="preserve"> was used as a </w:t>
      </w:r>
      <w:r w:rsidR="00A33A29" w:rsidRPr="0013463A">
        <w:t>[</w:t>
      </w:r>
      <w:r w:rsidR="00A33A29" w:rsidRPr="0013463A">
        <w:rPr>
          <w:smallCaps/>
        </w:rPr>
        <w:t>translation</w:t>
      </w:r>
      <w:r w:rsidR="00A33A29" w:rsidRPr="0013463A">
        <w:t xml:space="preserve">] </w:t>
      </w:r>
      <w:r w:rsidRPr="0013463A">
        <w:t>“waiting room”.</w:t>
      </w:r>
    </w:p>
    <w:p w14:paraId="10E9DE2C" w14:textId="45915002" w:rsidR="00836773" w:rsidRPr="0013463A" w:rsidRDefault="00A33A29" w:rsidP="006A28AF">
      <w:pPr>
        <w:pStyle w:val="Paragraphe"/>
        <w:tabs>
          <w:tab w:val="clear" w:pos="567"/>
        </w:tabs>
      </w:pPr>
      <w:r w:rsidRPr="0013463A">
        <w:t>[</w:t>
      </w:r>
      <w:r w:rsidRPr="0013463A">
        <w:rPr>
          <w:smallCaps/>
        </w:rPr>
        <w:t>translation</w:t>
      </w:r>
      <w:r w:rsidRPr="0013463A">
        <w:t xml:space="preserve">] </w:t>
      </w:r>
      <w:r w:rsidR="004D3349" w:rsidRPr="0013463A">
        <w:t xml:space="preserve">“I waited”, Mr. Toussaint testified, specifying that it </w:t>
      </w:r>
      <w:r w:rsidR="004C1E6B" w:rsidRPr="0013463A">
        <w:t>w</w:t>
      </w:r>
      <w:r w:rsidR="004D3349" w:rsidRPr="0013463A">
        <w:t>as the first time that the wait time was so long</w:t>
      </w:r>
      <w:r w:rsidR="004C1E6B" w:rsidRPr="0013463A">
        <w:t>;</w:t>
      </w:r>
      <w:r w:rsidR="004D3349" w:rsidRPr="0013463A">
        <w:t xml:space="preserve"> usually it </w:t>
      </w:r>
      <w:r w:rsidR="004C1E6B" w:rsidRPr="0013463A">
        <w:t>was</w:t>
      </w:r>
      <w:r w:rsidR="004D3349" w:rsidRPr="0013463A">
        <w:t xml:space="preserve"> no </w:t>
      </w:r>
      <w:r w:rsidR="004C1E6B" w:rsidRPr="0013463A">
        <w:t xml:space="preserve">more </w:t>
      </w:r>
      <w:r w:rsidR="004D3349" w:rsidRPr="0013463A">
        <w:t>than 20 or 30 minutes.</w:t>
      </w:r>
      <w:r w:rsidR="001834C5" w:rsidRPr="0013463A">
        <w:t xml:space="preserve">  </w:t>
      </w:r>
    </w:p>
    <w:p w14:paraId="76FCE94A" w14:textId="0DE93D6F" w:rsidR="00836773" w:rsidRPr="0013463A" w:rsidRDefault="00550561" w:rsidP="006A28AF">
      <w:pPr>
        <w:pStyle w:val="Paragraphe"/>
        <w:tabs>
          <w:tab w:val="clear" w:pos="567"/>
        </w:tabs>
      </w:pPr>
      <w:r w:rsidRPr="0013463A">
        <w:t xml:space="preserve">The subsequent arrival of Unit Manager Leclerc and four </w:t>
      </w:r>
      <w:r w:rsidR="00110E24" w:rsidRPr="0013463A">
        <w:t>CO</w:t>
      </w:r>
      <w:r w:rsidRPr="0013463A">
        <w:t>s with the intention of handcuffing him and moving him elsewhere clearly made a strong impression on him.</w:t>
      </w:r>
    </w:p>
    <w:p w14:paraId="5F8EBBA2" w14:textId="0ED96D05" w:rsidR="00836773" w:rsidRPr="0013463A" w:rsidRDefault="00550561" w:rsidP="006A28AF">
      <w:pPr>
        <w:pStyle w:val="Paragraphe"/>
        <w:tabs>
          <w:tab w:val="clear" w:pos="567"/>
        </w:tabs>
      </w:pPr>
      <w:r w:rsidRPr="0013463A">
        <w:t>In that regard, ex</w:t>
      </w:r>
      <w:r w:rsidR="00540522" w:rsidRPr="0013463A">
        <w:t>pe</w:t>
      </w:r>
      <w:r w:rsidRPr="0013463A">
        <w:t>rt Bensimon wrote:</w:t>
      </w:r>
    </w:p>
    <w:p w14:paraId="732876AB" w14:textId="77777777" w:rsidR="009C4069" w:rsidRPr="0013463A" w:rsidRDefault="00550561" w:rsidP="00C10BBE">
      <w:pPr>
        <w:pStyle w:val="Citationenretrait"/>
        <w:rPr>
          <w:lang w:val="en-CA"/>
        </w:rPr>
      </w:pPr>
      <w:r w:rsidRPr="0013463A">
        <w:rPr>
          <w:lang w:val="en-CA"/>
        </w:rPr>
        <w:t>[</w:t>
      </w:r>
      <w:r w:rsidRPr="0013463A">
        <w:rPr>
          <w:smallCaps/>
          <w:lang w:val="en-CA"/>
        </w:rPr>
        <w:t>translation</w:t>
      </w:r>
      <w:r w:rsidRPr="0013463A">
        <w:rPr>
          <w:lang w:val="en-CA"/>
        </w:rPr>
        <w:t>]</w:t>
      </w:r>
    </w:p>
    <w:p w14:paraId="01C12A85" w14:textId="18C50AA2" w:rsidR="00C10BBE" w:rsidRPr="0013463A" w:rsidRDefault="009C4069" w:rsidP="00C10BBE">
      <w:pPr>
        <w:pStyle w:val="Citationenretrait"/>
        <w:rPr>
          <w:lang w:val="en-CA"/>
        </w:rPr>
      </w:pPr>
      <w:r w:rsidRPr="0013463A">
        <w:rPr>
          <w:lang w:val="en-CA"/>
        </w:rPr>
        <w:t>...</w:t>
      </w:r>
      <w:r w:rsidR="00550561" w:rsidRPr="0013463A">
        <w:rPr>
          <w:lang w:val="en-CA"/>
        </w:rPr>
        <w:t xml:space="preserve"> handcuffing did not require the intervention of five </w:t>
      </w:r>
      <w:r w:rsidR="00110E24" w:rsidRPr="0013463A">
        <w:rPr>
          <w:lang w:val="en-CA"/>
        </w:rPr>
        <w:t>CO</w:t>
      </w:r>
      <w:r w:rsidR="00550561" w:rsidRPr="0013463A">
        <w:rPr>
          <w:lang w:val="en-CA"/>
        </w:rPr>
        <w:t>s, whatever the position of the inmate, who at no time assaulted any of the members present.</w:t>
      </w:r>
      <w:r w:rsidR="001834C5" w:rsidRPr="0013463A">
        <w:rPr>
          <w:lang w:val="en-CA"/>
        </w:rPr>
        <w:t xml:space="preserve"> </w:t>
      </w:r>
    </w:p>
    <w:p w14:paraId="6A88DCAC" w14:textId="362D8205" w:rsidR="00836773" w:rsidRPr="0013463A" w:rsidRDefault="00550561" w:rsidP="00C10BBE">
      <w:pPr>
        <w:pStyle w:val="Citationenretrait"/>
        <w:rPr>
          <w:lang w:val="en-CA"/>
        </w:rPr>
      </w:pPr>
      <w:r w:rsidRPr="0013463A">
        <w:rPr>
          <w:lang w:val="en-CA"/>
        </w:rPr>
        <w:t xml:space="preserve">... Regardless of the inmate’s position, handcuffing is performed by one or two </w:t>
      </w:r>
      <w:r w:rsidR="008E7CE3" w:rsidRPr="0013463A">
        <w:rPr>
          <w:lang w:val="en-CA"/>
        </w:rPr>
        <w:t>staff</w:t>
      </w:r>
      <w:r w:rsidRPr="0013463A">
        <w:rPr>
          <w:lang w:val="en-CA"/>
        </w:rPr>
        <w:t xml:space="preserve"> members, not three or five.</w:t>
      </w:r>
      <w:r w:rsidR="001834C5" w:rsidRPr="0013463A">
        <w:rPr>
          <w:rStyle w:val="Appelnotedebasdep"/>
          <w:lang w:val="en-CA"/>
        </w:rPr>
        <w:footnoteReference w:id="158"/>
      </w:r>
      <w:r w:rsidR="001834C5" w:rsidRPr="0013463A">
        <w:rPr>
          <w:lang w:val="en-CA"/>
        </w:rPr>
        <w:t xml:space="preserve"> </w:t>
      </w:r>
    </w:p>
    <w:p w14:paraId="1F86A0B5" w14:textId="2D1D71D5" w:rsidR="00836773" w:rsidRPr="0013463A" w:rsidRDefault="00550561" w:rsidP="006A28AF">
      <w:pPr>
        <w:pStyle w:val="Paragraphe"/>
        <w:tabs>
          <w:tab w:val="clear" w:pos="567"/>
        </w:tabs>
      </w:pPr>
      <w:r w:rsidRPr="0013463A">
        <w:t xml:space="preserve">Once </w:t>
      </w:r>
      <w:r w:rsidR="00540522" w:rsidRPr="0013463A">
        <w:t>handcuffed</w:t>
      </w:r>
      <w:r w:rsidRPr="0013463A">
        <w:t xml:space="preserve"> with his hand</w:t>
      </w:r>
      <w:r w:rsidR="00540522" w:rsidRPr="0013463A">
        <w:t>s</w:t>
      </w:r>
      <w:r w:rsidRPr="0013463A">
        <w:t xml:space="preserve"> behind his back, Mr. Toussaint was escorted while being forced to walk backwards. He had never seen an inmate being moved this way.</w:t>
      </w:r>
      <w:r w:rsidR="001834C5" w:rsidRPr="0013463A">
        <w:t xml:space="preserve"> </w:t>
      </w:r>
      <w:r w:rsidRPr="0013463A">
        <w:t>To him, it was [</w:t>
      </w:r>
      <w:r w:rsidRPr="0013463A">
        <w:rPr>
          <w:smallCaps/>
        </w:rPr>
        <w:t>translation</w:t>
      </w:r>
      <w:r w:rsidRPr="0013463A">
        <w:t>] “totally incomprehensible”, yet all they did was repeat, over and over again, [</w:t>
      </w:r>
      <w:r w:rsidRPr="0013463A">
        <w:rPr>
          <w:smallCaps/>
        </w:rPr>
        <w:t>translation</w:t>
      </w:r>
      <w:r w:rsidRPr="0013463A">
        <w:t>] “It’s procedure”.</w:t>
      </w:r>
      <w:r w:rsidR="001834C5" w:rsidRPr="0013463A">
        <w:t xml:space="preserve"> </w:t>
      </w:r>
    </w:p>
    <w:p w14:paraId="0AD011A7" w14:textId="28757796" w:rsidR="00836773" w:rsidRPr="0013463A" w:rsidRDefault="00550561" w:rsidP="006A28AF">
      <w:pPr>
        <w:pStyle w:val="Paragraphe"/>
        <w:tabs>
          <w:tab w:val="clear" w:pos="567"/>
        </w:tabs>
      </w:pPr>
      <w:r w:rsidRPr="0013463A">
        <w:t>This was the very first time he had been brought to department 5.</w:t>
      </w:r>
      <w:r w:rsidR="001834C5" w:rsidRPr="0013463A">
        <w:t xml:space="preserve"> </w:t>
      </w:r>
      <w:r w:rsidRPr="0013463A">
        <w:t xml:space="preserve">Once in cell 1, he was ordered to face the wall, </w:t>
      </w:r>
      <w:r w:rsidR="00E15BEE">
        <w:t xml:space="preserve">with </w:t>
      </w:r>
      <w:r w:rsidRPr="0013463A">
        <w:t>both knees on the ground: [</w:t>
      </w:r>
      <w:r w:rsidRPr="0013463A">
        <w:rPr>
          <w:smallCaps/>
        </w:rPr>
        <w:t>translation</w:t>
      </w:r>
      <w:r w:rsidRPr="0013463A">
        <w:t>] “I didn’t want to kneel”, he admits.</w:t>
      </w:r>
      <w:r w:rsidR="001834C5" w:rsidRPr="0013463A">
        <w:t xml:space="preserve"> </w:t>
      </w:r>
    </w:p>
    <w:p w14:paraId="6B41FB99" w14:textId="6D215796" w:rsidR="00836773" w:rsidRPr="0013463A" w:rsidRDefault="00550561" w:rsidP="006A28AF">
      <w:pPr>
        <w:pStyle w:val="Paragraphe"/>
        <w:tabs>
          <w:tab w:val="clear" w:pos="567"/>
        </w:tabs>
      </w:pPr>
      <w:r w:rsidRPr="0013463A">
        <w:t>The plan was to perform the strip search.</w:t>
      </w:r>
      <w:r w:rsidR="001834C5" w:rsidRPr="0013463A">
        <w:t xml:space="preserve"> </w:t>
      </w:r>
      <w:r w:rsidRPr="0013463A">
        <w:t xml:space="preserve">Because he resisted, he was brought to the ground, his face </w:t>
      </w:r>
      <w:r w:rsidR="009C4069" w:rsidRPr="0013463A">
        <w:t>against</w:t>
      </w:r>
      <w:r w:rsidRPr="0013463A">
        <w:t xml:space="preserve"> the dirty cell floor.</w:t>
      </w:r>
    </w:p>
    <w:p w14:paraId="5D5E04CE" w14:textId="4926C526" w:rsidR="00836773" w:rsidRPr="0013463A" w:rsidRDefault="00550561" w:rsidP="006A28AF">
      <w:pPr>
        <w:pStyle w:val="Paragraphe"/>
        <w:tabs>
          <w:tab w:val="clear" w:pos="567"/>
        </w:tabs>
      </w:pPr>
      <w:r w:rsidRPr="0013463A">
        <w:t>[</w:t>
      </w:r>
      <w:r w:rsidRPr="0013463A">
        <w:rPr>
          <w:smallCaps/>
        </w:rPr>
        <w:t>translation</w:t>
      </w:r>
      <w:r w:rsidRPr="0013463A">
        <w:t>] “I heard them talking about a knife”, [</w:t>
      </w:r>
      <w:r w:rsidRPr="0013463A">
        <w:rPr>
          <w:smallCaps/>
        </w:rPr>
        <w:t>translation</w:t>
      </w:r>
      <w:r w:rsidRPr="0013463A">
        <w:t>] “a knife that they needed”, he says. [</w:t>
      </w:r>
      <w:r w:rsidRPr="0013463A">
        <w:rPr>
          <w:smallCaps/>
        </w:rPr>
        <w:t>translation</w:t>
      </w:r>
      <w:r w:rsidRPr="0013463A">
        <w:t>] “I was afraid”.</w:t>
      </w:r>
    </w:p>
    <w:p w14:paraId="7AEB4626" w14:textId="6F75E854" w:rsidR="00836773" w:rsidRPr="0013463A" w:rsidRDefault="00550561" w:rsidP="006A28AF">
      <w:pPr>
        <w:pStyle w:val="Paragraphe"/>
      </w:pPr>
      <w:r w:rsidRPr="0013463A">
        <w:t>All indications are that he became disorganized as of that moment.</w:t>
      </w:r>
      <w:r w:rsidR="001834C5" w:rsidRPr="0013463A">
        <w:t xml:space="preserve"> </w:t>
      </w:r>
      <w:r w:rsidRPr="0013463A">
        <w:t>[</w:t>
      </w:r>
      <w:r w:rsidR="00540522" w:rsidRPr="0013463A">
        <w:rPr>
          <w:smallCaps/>
        </w:rPr>
        <w:t>translation</w:t>
      </w:r>
      <w:r w:rsidRPr="0013463A">
        <w:t>] “I had a defensive reaction”, he admits, saying that he was [</w:t>
      </w:r>
      <w:r w:rsidRPr="0013463A">
        <w:rPr>
          <w:smallCaps/>
        </w:rPr>
        <w:t>translation</w:t>
      </w:r>
      <w:r w:rsidRPr="0013463A">
        <w:t>] “afraid, in distress”.</w:t>
      </w:r>
    </w:p>
    <w:p w14:paraId="2EEF0E8D" w14:textId="649F6C84" w:rsidR="00836773" w:rsidRPr="0013463A" w:rsidRDefault="008E7CE3" w:rsidP="006A28AF">
      <w:pPr>
        <w:pStyle w:val="Paragraphe"/>
        <w:tabs>
          <w:tab w:val="clear" w:pos="567"/>
        </w:tabs>
      </w:pPr>
      <w:r w:rsidRPr="0013463A">
        <w:t>E</w:t>
      </w:r>
      <w:r w:rsidR="00550561" w:rsidRPr="0013463A">
        <w:t>xpert Bensimon raised the possibility of [</w:t>
      </w:r>
      <w:r w:rsidR="00550561" w:rsidRPr="0013463A">
        <w:rPr>
          <w:smallCaps/>
        </w:rPr>
        <w:t>translation</w:t>
      </w:r>
      <w:r w:rsidR="00550561" w:rsidRPr="0013463A">
        <w:t xml:space="preserve">] “a disability related to a state of stress and/or physical and emotional pain, given the turn of events and the number of </w:t>
      </w:r>
      <w:r w:rsidR="00110E24" w:rsidRPr="0013463A">
        <w:t>CO</w:t>
      </w:r>
      <w:r w:rsidR="00550561" w:rsidRPr="0013463A">
        <w:t>s present”,</w:t>
      </w:r>
      <w:r w:rsidR="009C4069" w:rsidRPr="0013463A">
        <w:rPr>
          <w:rStyle w:val="Appelnotedebasdep"/>
        </w:rPr>
        <w:footnoteReference w:id="159"/>
      </w:r>
      <w:r w:rsidR="00550561" w:rsidRPr="0013463A">
        <w:t xml:space="preserve"> adding that [</w:t>
      </w:r>
      <w:r w:rsidR="00550561" w:rsidRPr="0013463A">
        <w:rPr>
          <w:smallCaps/>
        </w:rPr>
        <w:t>translation</w:t>
      </w:r>
      <w:r w:rsidR="00550561" w:rsidRPr="0013463A">
        <w:t>] “a state of emotional stress” cannot [</w:t>
      </w:r>
      <w:r w:rsidR="00550561" w:rsidRPr="0013463A">
        <w:rPr>
          <w:smallCaps/>
        </w:rPr>
        <w:t>translation</w:t>
      </w:r>
      <w:r w:rsidR="00550561" w:rsidRPr="0013463A">
        <w:t>] “be mistaken for violence”.</w:t>
      </w:r>
      <w:r w:rsidR="00550561" w:rsidRPr="0013463A">
        <w:rPr>
          <w:rStyle w:val="Appelnotedebasdep"/>
        </w:rPr>
        <w:footnoteReference w:id="160"/>
      </w:r>
      <w:r w:rsidR="001834C5" w:rsidRPr="0013463A">
        <w:t xml:space="preserve"> </w:t>
      </w:r>
      <w:r w:rsidR="00550561" w:rsidRPr="0013463A">
        <w:t>In his opinion, [</w:t>
      </w:r>
      <w:r w:rsidR="00550561" w:rsidRPr="0013463A">
        <w:rPr>
          <w:smallCaps/>
        </w:rPr>
        <w:t>translation</w:t>
      </w:r>
      <w:r w:rsidR="00550561" w:rsidRPr="0013463A">
        <w:t xml:space="preserve">] “coercion </w:t>
      </w:r>
      <w:r w:rsidR="009943D6">
        <w:t xml:space="preserve">too </w:t>
      </w:r>
      <w:r w:rsidR="00550561" w:rsidRPr="0013463A">
        <w:t>quickly supplanted any type of communication or helping relationship”.</w:t>
      </w:r>
      <w:r w:rsidR="001834C5" w:rsidRPr="0013463A">
        <w:t xml:space="preserve"> </w:t>
      </w:r>
    </w:p>
    <w:p w14:paraId="240DFCAF" w14:textId="407E591A" w:rsidR="00836773" w:rsidRPr="0013463A" w:rsidRDefault="00550561" w:rsidP="006A28AF">
      <w:pPr>
        <w:pStyle w:val="Paragraphe"/>
        <w:tabs>
          <w:tab w:val="clear" w:pos="567"/>
        </w:tabs>
      </w:pPr>
      <w:r w:rsidRPr="0013463A">
        <w:t>For the Tribunal, there were at the time ample indications that the intervention under way was being performed on a person who did not understand the instructions being given to him or whose mental state was seriously disturbed.</w:t>
      </w:r>
    </w:p>
    <w:p w14:paraId="47A387A9" w14:textId="32C6AFF0" w:rsidR="00836773" w:rsidRPr="0013463A" w:rsidRDefault="00550561" w:rsidP="006A28AF">
      <w:pPr>
        <w:pStyle w:val="Paragraphe"/>
        <w:tabs>
          <w:tab w:val="clear" w:pos="567"/>
        </w:tabs>
      </w:pPr>
      <w:r w:rsidRPr="0013463A">
        <w:t>[</w:t>
      </w:r>
      <w:r w:rsidRPr="0013463A">
        <w:rPr>
          <w:smallCaps/>
        </w:rPr>
        <w:t>translation</w:t>
      </w:r>
      <w:r w:rsidRPr="0013463A">
        <w:t>] “He didn’t seem to understand”, said Unit Manager Leclerc, who was in charge of the intervention.</w:t>
      </w:r>
      <w:r w:rsidR="001834C5" w:rsidRPr="0013463A">
        <w:t xml:space="preserve"> </w:t>
      </w:r>
      <w:r w:rsidRPr="0013463A">
        <w:t>By his own admission, he recognized at that moment that [</w:t>
      </w:r>
      <w:r w:rsidRPr="0013463A">
        <w:rPr>
          <w:smallCaps/>
        </w:rPr>
        <w:t>translation</w:t>
      </w:r>
      <w:r w:rsidRPr="0013463A">
        <w:t>] “He wasn’t doing well”.</w:t>
      </w:r>
    </w:p>
    <w:p w14:paraId="6798402D" w14:textId="7A6C2C5F" w:rsidR="00836773" w:rsidRPr="0013463A" w:rsidRDefault="00550561" w:rsidP="006A28AF">
      <w:pPr>
        <w:pStyle w:val="Paragraphe"/>
        <w:tabs>
          <w:tab w:val="clear" w:pos="567"/>
        </w:tabs>
      </w:pPr>
      <w:r w:rsidRPr="0013463A">
        <w:t>At the time, an accommodation measure was needed to stop the intervention and avoid the disproportionate use of force</w:t>
      </w:r>
      <w:r w:rsidRPr="0013463A">
        <w:rPr>
          <w:rStyle w:val="Appelnotedebasdep"/>
        </w:rPr>
        <w:footnoteReference w:id="161"/>
      </w:r>
      <w:r w:rsidRPr="0013463A">
        <w:t xml:space="preserve"> against an individual who was difficult to control despite the presence of an abnormally high number of </w:t>
      </w:r>
      <w:r w:rsidR="00110E24" w:rsidRPr="0013463A">
        <w:t>CO</w:t>
      </w:r>
      <w:r w:rsidRPr="0013463A">
        <w:t>s being deployed around him.</w:t>
      </w:r>
    </w:p>
    <w:p w14:paraId="56E2D9C2" w14:textId="42D3E558" w:rsidR="00836773" w:rsidRPr="0013463A" w:rsidRDefault="00550561" w:rsidP="006A28AF">
      <w:pPr>
        <w:pStyle w:val="Paragraphe"/>
        <w:tabs>
          <w:tab w:val="clear" w:pos="567"/>
        </w:tabs>
      </w:pPr>
      <w:r w:rsidRPr="0013463A">
        <w:rPr>
          <w:b/>
          <w:bCs/>
          <w:i/>
          <w:iCs/>
        </w:rPr>
        <w:t xml:space="preserve">Fourth, </w:t>
      </w:r>
      <w:r w:rsidRPr="0013463A">
        <w:t>the facility</w:t>
      </w:r>
      <w:r w:rsidR="00A57CE5" w:rsidRPr="0013463A">
        <w:t>’s procedures</w:t>
      </w:r>
      <w:r w:rsidRPr="0013463A">
        <w:t xml:space="preserve"> allowed </w:t>
      </w:r>
      <w:r w:rsidR="008E7CE3" w:rsidRPr="0013463A">
        <w:t xml:space="preserve">for </w:t>
      </w:r>
      <w:r w:rsidRPr="0013463A">
        <w:t>the application of [</w:t>
      </w:r>
      <w:r w:rsidRPr="0013463A">
        <w:rPr>
          <w:smallCaps/>
        </w:rPr>
        <w:t>translation</w:t>
      </w:r>
      <w:r w:rsidRPr="0013463A">
        <w:t>] “a reasonable alternate solution”.</w:t>
      </w:r>
      <w:r w:rsidR="001834C5" w:rsidRPr="0013463A">
        <w:t xml:space="preserve"> </w:t>
      </w:r>
      <w:r w:rsidRPr="0013463A">
        <w:t>In an Instruction entitled “</w:t>
      </w:r>
      <w:r w:rsidRPr="0013463A">
        <w:rPr>
          <w:i/>
          <w:iCs/>
        </w:rPr>
        <w:t>Prise en charge d’une personne incarcérée et gestion des documents légaux</w:t>
      </w:r>
      <w:r w:rsidRPr="0013463A">
        <w:rPr>
          <w:i/>
        </w:rPr>
        <w:t>”</w:t>
      </w:r>
      <w:r w:rsidRPr="0013463A">
        <w:rPr>
          <w:rStyle w:val="Appelnotedebasdep"/>
        </w:rPr>
        <w:footnoteReference w:id="162"/>
      </w:r>
      <w:r w:rsidRPr="0013463A">
        <w:t xml:space="preserve"> </w:t>
      </w:r>
      <w:r w:rsidR="00A57CE5" w:rsidRPr="0013463A">
        <w:t>(taking charge of an inmate and managing legal documents)</w:t>
      </w:r>
      <w:r w:rsidR="008E7CE3" w:rsidRPr="0013463A">
        <w:t>,</w:t>
      </w:r>
      <w:r w:rsidR="00A57CE5" w:rsidRPr="0013463A">
        <w:t xml:space="preserve"> </w:t>
      </w:r>
      <w:r w:rsidRPr="0013463A">
        <w:t xml:space="preserve">the Direction générale des services correctionnels of the MSP recommends that </w:t>
      </w:r>
      <w:r w:rsidR="008E7CE3" w:rsidRPr="0013463A">
        <w:t>the staff</w:t>
      </w:r>
      <w:r w:rsidR="00A57CE5" w:rsidRPr="0013463A">
        <w:t xml:space="preserve"> </w:t>
      </w:r>
      <w:r w:rsidRPr="0013463A">
        <w:t xml:space="preserve">in its facilities perform a summary </w:t>
      </w:r>
      <w:r w:rsidR="00A30BC6">
        <w:t>assessment</w:t>
      </w:r>
      <w:r w:rsidRPr="0013463A">
        <w:t xml:space="preserve"> of the physical and mental health of all persons taken into custody.</w:t>
      </w:r>
      <w:r w:rsidR="001834C5" w:rsidRPr="0013463A">
        <w:t xml:space="preserve"> </w:t>
      </w:r>
      <w:r w:rsidRPr="0013463A">
        <w:t xml:space="preserve">Subsection 5.2.1 </w:t>
      </w:r>
      <w:r w:rsidR="00F37E9F" w:rsidRPr="0013463A">
        <w:t>states</w:t>
      </w:r>
      <w:r w:rsidRPr="0013463A">
        <w:t xml:space="preserve"> the following:</w:t>
      </w:r>
    </w:p>
    <w:p w14:paraId="6A83BE49" w14:textId="3C5702B6" w:rsidR="00F37E9F" w:rsidRPr="0013463A" w:rsidRDefault="00F37E9F" w:rsidP="00B7483C">
      <w:pPr>
        <w:pStyle w:val="Citationenretrait"/>
        <w:rPr>
          <w:u w:val="single"/>
          <w:lang w:val="en-CA"/>
        </w:rPr>
      </w:pPr>
      <w:r w:rsidRPr="0013463A">
        <w:rPr>
          <w:u w:val="single"/>
          <w:lang w:val="en-CA"/>
        </w:rPr>
        <w:t>[</w:t>
      </w:r>
      <w:r w:rsidRPr="0013463A">
        <w:rPr>
          <w:smallCaps/>
          <w:lang w:val="en-CA"/>
        </w:rPr>
        <w:t>translation</w:t>
      </w:r>
      <w:r w:rsidRPr="0013463A">
        <w:rPr>
          <w:u w:val="single"/>
          <w:lang w:val="en-CA"/>
        </w:rPr>
        <w:t>]</w:t>
      </w:r>
    </w:p>
    <w:p w14:paraId="57C8D864" w14:textId="24AD9F36" w:rsidR="00836773" w:rsidRPr="0013463A" w:rsidRDefault="00550561" w:rsidP="00B7483C">
      <w:pPr>
        <w:pStyle w:val="Citationenretrait"/>
        <w:rPr>
          <w:lang w:val="en-CA"/>
        </w:rPr>
      </w:pPr>
      <w:r w:rsidRPr="0013463A">
        <w:rPr>
          <w:u w:val="single"/>
          <w:lang w:val="en-CA"/>
        </w:rPr>
        <w:t>Does the person appear intoxicated?</w:t>
      </w:r>
      <w:r w:rsidR="001834C5" w:rsidRPr="0013463A">
        <w:rPr>
          <w:u w:val="single"/>
          <w:lang w:val="en-CA"/>
        </w:rPr>
        <w:t xml:space="preserve"> </w:t>
      </w:r>
      <w:r w:rsidRPr="0013463A">
        <w:rPr>
          <w:u w:val="single"/>
          <w:lang w:val="en-CA"/>
        </w:rPr>
        <w:t>Are the person’s comments coherent?</w:t>
      </w:r>
      <w:r w:rsidR="001834C5" w:rsidRPr="0013463A">
        <w:rPr>
          <w:lang w:val="en-CA"/>
        </w:rPr>
        <w:t xml:space="preserve"> </w:t>
      </w:r>
      <w:r w:rsidRPr="0013463A">
        <w:rPr>
          <w:lang w:val="en-CA"/>
        </w:rPr>
        <w:t xml:space="preserve">... More specifically, the goal of the assessment is to determine whether the person is in a state permitting lockup and, if they are, </w:t>
      </w:r>
      <w:r w:rsidRPr="0013463A">
        <w:rPr>
          <w:u w:val="single"/>
          <w:lang w:val="en-CA"/>
        </w:rPr>
        <w:t>whether they have needs requiring specific interventions</w:t>
      </w:r>
      <w:r w:rsidRPr="0013463A">
        <w:rPr>
          <w:lang w:val="en-CA"/>
        </w:rPr>
        <w:t>.</w:t>
      </w:r>
      <w:r w:rsidRPr="0013463A">
        <w:rPr>
          <w:rStyle w:val="Appelnotedebasdep"/>
          <w:lang w:val="en-CA"/>
        </w:rPr>
        <w:footnoteReference w:id="163"/>
      </w:r>
    </w:p>
    <w:p w14:paraId="4F226A44" w14:textId="452D4827" w:rsidR="00836773" w:rsidRPr="0013463A" w:rsidRDefault="00147A04" w:rsidP="00B7483C">
      <w:pPr>
        <w:pStyle w:val="Citationenretrait"/>
        <w:jc w:val="right"/>
        <w:rPr>
          <w:sz w:val="20"/>
          <w:lang w:val="en-CA"/>
        </w:rPr>
      </w:pPr>
      <w:r w:rsidRPr="0013463A">
        <w:rPr>
          <w:sz w:val="20"/>
          <w:lang w:val="en-CA"/>
        </w:rPr>
        <w:t>(Emphasis added)</w:t>
      </w:r>
      <w:r w:rsidR="001834C5" w:rsidRPr="0013463A">
        <w:rPr>
          <w:sz w:val="20"/>
          <w:lang w:val="en-CA"/>
        </w:rPr>
        <w:t xml:space="preserve"> </w:t>
      </w:r>
    </w:p>
    <w:p w14:paraId="765388CB" w14:textId="0C3CB461" w:rsidR="00836773" w:rsidRPr="0013463A" w:rsidRDefault="00550561" w:rsidP="006A28AF">
      <w:pPr>
        <w:pStyle w:val="Paragraphe"/>
        <w:tabs>
          <w:tab w:val="clear" w:pos="567"/>
        </w:tabs>
      </w:pPr>
      <w:r w:rsidRPr="0013463A">
        <w:t xml:space="preserve">This same subsection of the Instruction breaks down the specific needs of </w:t>
      </w:r>
      <w:r w:rsidR="008E7CE3" w:rsidRPr="0013463A">
        <w:t>an inmate</w:t>
      </w:r>
      <w:r w:rsidRPr="0013463A">
        <w:t xml:space="preserve"> that must be dealt with when </w:t>
      </w:r>
      <w:r w:rsidR="008E7CE3" w:rsidRPr="0013463A">
        <w:t xml:space="preserve">their </w:t>
      </w:r>
      <w:r w:rsidR="002E7276">
        <w:t xml:space="preserve">state </w:t>
      </w:r>
      <w:r w:rsidRPr="0013463A">
        <w:t>does</w:t>
      </w:r>
      <w:r w:rsidR="008E7CE3" w:rsidRPr="0013463A">
        <w:t xml:space="preserve"> </w:t>
      </w:r>
      <w:r w:rsidRPr="0013463A">
        <w:t xml:space="preserve">not require being </w:t>
      </w:r>
      <w:r w:rsidR="008E7CE3" w:rsidRPr="0013463A">
        <w:t xml:space="preserve">brought </w:t>
      </w:r>
      <w:r w:rsidRPr="0013463A">
        <w:t>to the hospital.</w:t>
      </w:r>
      <w:r w:rsidR="001834C5" w:rsidRPr="0013463A">
        <w:t xml:space="preserve"> </w:t>
      </w:r>
    </w:p>
    <w:p w14:paraId="28FE20A2" w14:textId="1346F66F" w:rsidR="008E7CE3" w:rsidRPr="0013463A" w:rsidRDefault="008E7CE3" w:rsidP="00B7483C">
      <w:pPr>
        <w:pStyle w:val="Citationenretrait"/>
        <w:rPr>
          <w:lang w:val="en-CA"/>
        </w:rPr>
      </w:pPr>
      <w:r w:rsidRPr="0013463A">
        <w:rPr>
          <w:lang w:val="en-CA"/>
        </w:rPr>
        <w:t>[</w:t>
      </w:r>
      <w:r w:rsidRPr="0013463A">
        <w:rPr>
          <w:smallCaps/>
          <w:lang w:val="en-CA"/>
        </w:rPr>
        <w:t>translation</w:t>
      </w:r>
      <w:r w:rsidRPr="0013463A">
        <w:rPr>
          <w:lang w:val="en-CA"/>
        </w:rPr>
        <w:t>]</w:t>
      </w:r>
    </w:p>
    <w:p w14:paraId="7DB3C8A1" w14:textId="054D8622" w:rsidR="00836773" w:rsidRPr="0013463A" w:rsidRDefault="00550561" w:rsidP="00B7483C">
      <w:pPr>
        <w:pStyle w:val="Citationenretrait"/>
        <w:rPr>
          <w:lang w:val="en-CA"/>
        </w:rPr>
      </w:pPr>
      <w:r w:rsidRPr="0013463A">
        <w:rPr>
          <w:lang w:val="en-CA"/>
        </w:rPr>
        <w:t>(e.g.,</w:t>
      </w:r>
      <w:r w:rsidR="001834C5" w:rsidRPr="0013463A">
        <w:rPr>
          <w:lang w:val="en-CA"/>
        </w:rPr>
        <w:t xml:space="preserve"> </w:t>
      </w:r>
      <w:r w:rsidRPr="0013463A">
        <w:rPr>
          <w:u w:val="single"/>
          <w:lang w:val="en-CA"/>
        </w:rPr>
        <w:t>intoxication</w:t>
      </w:r>
      <w:r w:rsidRPr="0013463A">
        <w:rPr>
          <w:lang w:val="en-CA"/>
        </w:rPr>
        <w:t xml:space="preserve">, incontinence, suicidal tendencies, </w:t>
      </w:r>
      <w:r w:rsidRPr="0013463A">
        <w:rPr>
          <w:u w:val="single"/>
          <w:lang w:val="en-CA"/>
        </w:rPr>
        <w:t>psychiatric is</w:t>
      </w:r>
      <w:r w:rsidR="005963F2" w:rsidRPr="0013463A">
        <w:rPr>
          <w:u w:val="single"/>
          <w:lang w:val="en-CA"/>
        </w:rPr>
        <w:t>s</w:t>
      </w:r>
      <w:r w:rsidRPr="0013463A">
        <w:rPr>
          <w:u w:val="single"/>
          <w:lang w:val="en-CA"/>
        </w:rPr>
        <w:t>ues</w:t>
      </w:r>
      <w:r w:rsidRPr="0013463A">
        <w:rPr>
          <w:lang w:val="en-CA"/>
        </w:rPr>
        <w:t xml:space="preserve">, anxiety, nervousness, </w:t>
      </w:r>
      <w:r w:rsidRPr="0013463A">
        <w:rPr>
          <w:u w:val="single"/>
          <w:lang w:val="en-CA"/>
        </w:rPr>
        <w:t>panic</w:t>
      </w:r>
      <w:r w:rsidRPr="0013463A">
        <w:rPr>
          <w:lang w:val="en-CA"/>
        </w:rPr>
        <w:t xml:space="preserve">, minor physical injuries), </w:t>
      </w:r>
      <w:r w:rsidRPr="0013463A">
        <w:rPr>
          <w:u w:val="single"/>
          <w:lang w:val="en-CA"/>
        </w:rPr>
        <w:t>the person must</w:t>
      </w:r>
      <w:r w:rsidRPr="0013463A">
        <w:rPr>
          <w:lang w:val="en-CA"/>
        </w:rPr>
        <w:t xml:space="preserve"> be admitted and </w:t>
      </w:r>
      <w:r w:rsidRPr="0013463A">
        <w:rPr>
          <w:u w:val="single"/>
          <w:lang w:val="en-CA"/>
        </w:rPr>
        <w:t>have access to an appropriate intervention</w:t>
      </w:r>
      <w:r w:rsidRPr="0013463A">
        <w:rPr>
          <w:lang w:val="en-CA"/>
        </w:rPr>
        <w:t xml:space="preserve"> as soon as possible (e.g.,</w:t>
      </w:r>
      <w:r w:rsidR="001834C5" w:rsidRPr="0013463A">
        <w:rPr>
          <w:lang w:val="en-CA"/>
        </w:rPr>
        <w:t xml:space="preserve"> </w:t>
      </w:r>
      <w:r w:rsidRPr="0013463A">
        <w:rPr>
          <w:lang w:val="en-CA"/>
        </w:rPr>
        <w:t>hygiene measures, first aid, assistance of a worker).</w:t>
      </w:r>
      <w:r w:rsidRPr="0013463A">
        <w:rPr>
          <w:rStyle w:val="Appelnotedebasdep"/>
          <w:lang w:val="en-CA"/>
        </w:rPr>
        <w:footnoteReference w:id="164"/>
      </w:r>
    </w:p>
    <w:p w14:paraId="7524D679" w14:textId="2C69C260" w:rsidR="00836773" w:rsidRPr="0013463A" w:rsidRDefault="00147A04" w:rsidP="00B7483C">
      <w:pPr>
        <w:pStyle w:val="Citationenretrait"/>
        <w:jc w:val="right"/>
        <w:rPr>
          <w:sz w:val="20"/>
          <w:lang w:val="en-CA"/>
        </w:rPr>
      </w:pPr>
      <w:r w:rsidRPr="0013463A">
        <w:rPr>
          <w:sz w:val="20"/>
          <w:lang w:val="en-CA"/>
        </w:rPr>
        <w:t>(Emphasis added)</w:t>
      </w:r>
    </w:p>
    <w:p w14:paraId="2144E841" w14:textId="35E251C9" w:rsidR="00836773" w:rsidRPr="0013463A" w:rsidRDefault="002E7276" w:rsidP="006A28AF">
      <w:pPr>
        <w:pStyle w:val="Paragraphe"/>
        <w:tabs>
          <w:tab w:val="clear" w:pos="567"/>
        </w:tabs>
      </w:pPr>
      <w:r>
        <w:t>I</w:t>
      </w:r>
      <w:r w:rsidR="00550561" w:rsidRPr="0013463A">
        <w:t>ncidentally</w:t>
      </w:r>
      <w:r>
        <w:t>, this</w:t>
      </w:r>
      <w:r w:rsidR="00550561" w:rsidRPr="0013463A">
        <w:t xml:space="preserve"> overlaps with the concern expressed </w:t>
      </w:r>
      <w:r>
        <w:t xml:space="preserve">in </w:t>
      </w:r>
      <w:r w:rsidR="008E7CE3" w:rsidRPr="0013463A">
        <w:t>expert</w:t>
      </w:r>
      <w:r w:rsidR="00550561" w:rsidRPr="0013463A">
        <w:t xml:space="preserve"> Bensimon</w:t>
      </w:r>
      <w:r w:rsidR="008E7CE3" w:rsidRPr="0013463A">
        <w:t>’s report</w:t>
      </w:r>
      <w:r w:rsidR="00550561" w:rsidRPr="0013463A">
        <w:t xml:space="preserve">, </w:t>
      </w:r>
      <w:r w:rsidR="008E7CE3" w:rsidRPr="0013463A">
        <w:t xml:space="preserve">based on his </w:t>
      </w:r>
      <w:r w:rsidR="00550561" w:rsidRPr="0013463A">
        <w:t>experience as [</w:t>
      </w:r>
      <w:r w:rsidR="00550561" w:rsidRPr="0013463A">
        <w:rPr>
          <w:smallCaps/>
        </w:rPr>
        <w:t>translation</w:t>
      </w:r>
      <w:r w:rsidR="00550561" w:rsidRPr="0013463A">
        <w:t xml:space="preserve">] “clinician in the criminal </w:t>
      </w:r>
      <w:r w:rsidR="008E7CE3" w:rsidRPr="0013463A">
        <w:t>field</w:t>
      </w:r>
      <w:r w:rsidR="00550561" w:rsidRPr="0013463A">
        <w:t xml:space="preserve"> for 34 years”:</w:t>
      </w:r>
    </w:p>
    <w:p w14:paraId="727803DE" w14:textId="560F2F77" w:rsidR="008E7CE3" w:rsidRPr="0013463A" w:rsidRDefault="008E7CE3" w:rsidP="00DF42E6">
      <w:pPr>
        <w:pStyle w:val="Citationenretrait"/>
        <w:keepNext/>
        <w:rPr>
          <w:lang w:val="en-CA"/>
        </w:rPr>
      </w:pPr>
      <w:r w:rsidRPr="0013463A">
        <w:rPr>
          <w:lang w:val="en-CA"/>
        </w:rPr>
        <w:t>[</w:t>
      </w:r>
      <w:r w:rsidRPr="0013463A">
        <w:rPr>
          <w:smallCaps/>
          <w:lang w:val="en-CA"/>
        </w:rPr>
        <w:t>translation</w:t>
      </w:r>
      <w:r w:rsidRPr="0013463A">
        <w:rPr>
          <w:lang w:val="en-CA"/>
        </w:rPr>
        <w:t>]</w:t>
      </w:r>
    </w:p>
    <w:p w14:paraId="6B8EC8AC" w14:textId="3EAB64CD" w:rsidR="00836773" w:rsidRPr="00A832A8" w:rsidRDefault="00550561" w:rsidP="27C54DD6">
      <w:pPr>
        <w:pStyle w:val="Citationenretrait"/>
        <w:keepNext/>
        <w:rPr>
          <w:lang w:val="en-CA"/>
        </w:rPr>
      </w:pPr>
      <w:r w:rsidRPr="00A832A8">
        <w:rPr>
          <w:lang w:val="en-CA"/>
        </w:rPr>
        <w:t xml:space="preserve">How can it be that every type of helping relationship or non-coercive approach was or seems to have been ignored by the </w:t>
      </w:r>
      <w:r w:rsidR="008E7CE3" w:rsidRPr="00A832A8">
        <w:rPr>
          <w:lang w:val="en-CA"/>
        </w:rPr>
        <w:t>staff</w:t>
      </w:r>
      <w:r w:rsidRPr="00A832A8">
        <w:rPr>
          <w:lang w:val="en-CA"/>
        </w:rPr>
        <w:t xml:space="preserve"> on guard duty at reception, if it is true, as the </w:t>
      </w:r>
      <w:r w:rsidR="00110E24" w:rsidRPr="00A832A8">
        <w:rPr>
          <w:lang w:val="en-CA"/>
        </w:rPr>
        <w:t>CO</w:t>
      </w:r>
      <w:r w:rsidRPr="00A832A8">
        <w:rPr>
          <w:lang w:val="en-CA"/>
        </w:rPr>
        <w:t xml:space="preserve">s claim, that Samuel Toussaint appeared, seemed, was, </w:t>
      </w:r>
      <w:r w:rsidR="002E7276" w:rsidRPr="00A832A8">
        <w:rPr>
          <w:lang w:val="en-CA"/>
        </w:rPr>
        <w:t xml:space="preserve">or </w:t>
      </w:r>
      <w:r w:rsidRPr="00A832A8">
        <w:rPr>
          <w:lang w:val="en-CA"/>
        </w:rPr>
        <w:t>could have been in a perceived abnormal or intoxicated state... ?</w:t>
      </w:r>
      <w:r w:rsidRPr="27C54DD6">
        <w:rPr>
          <w:rStyle w:val="Appelnotedebasdep"/>
        </w:rPr>
        <w:footnoteReference w:id="165"/>
      </w:r>
    </w:p>
    <w:p w14:paraId="5FB55E20" w14:textId="4EAD2EDE" w:rsidR="00836773" w:rsidRPr="0013463A" w:rsidRDefault="00550561" w:rsidP="006A28AF">
      <w:pPr>
        <w:pStyle w:val="Paragraphe"/>
        <w:tabs>
          <w:tab w:val="clear" w:pos="567"/>
        </w:tabs>
      </w:pPr>
      <w:r w:rsidRPr="0013463A">
        <w:t>Why did they not simply direct Mr. Toussaint to the infirmary?</w:t>
      </w:r>
    </w:p>
    <w:p w14:paraId="4BE8E457" w14:textId="778748F5" w:rsidR="00836773" w:rsidRPr="0013463A" w:rsidRDefault="00550561" w:rsidP="006A28AF">
      <w:pPr>
        <w:pStyle w:val="Paragraphe"/>
        <w:tabs>
          <w:tab w:val="clear" w:pos="567"/>
        </w:tabs>
      </w:pPr>
      <w:r w:rsidRPr="0013463A">
        <w:t xml:space="preserve">Unit Manager Leclerc submits that he could not send him there because he would have been near people who </w:t>
      </w:r>
      <w:r w:rsidR="00407925" w:rsidRPr="0013463A">
        <w:t>[</w:t>
      </w:r>
      <w:r w:rsidR="00407925" w:rsidRPr="0013463A">
        <w:rPr>
          <w:smallCaps/>
        </w:rPr>
        <w:t>translation</w:t>
      </w:r>
      <w:r w:rsidR="00407925" w:rsidRPr="0013463A">
        <w:t xml:space="preserve">] </w:t>
      </w:r>
      <w:r w:rsidRPr="0013463A">
        <w:t>“have either committed sexual abu</w:t>
      </w:r>
      <w:r w:rsidR="005963F2" w:rsidRPr="0013463A">
        <w:t>s</w:t>
      </w:r>
      <w:r w:rsidRPr="0013463A">
        <w:t>e or have mental health problems”</w:t>
      </w:r>
      <w:r w:rsidRPr="0013463A">
        <w:rPr>
          <w:rStyle w:val="Appelnotedebasdep"/>
        </w:rPr>
        <w:footnoteReference w:id="166"/>
      </w:r>
      <w:r w:rsidRPr="0013463A">
        <w:t xml:space="preserve"> or those who move about </w:t>
      </w:r>
      <w:r w:rsidR="005963F2" w:rsidRPr="0013463A">
        <w:t>[</w:t>
      </w:r>
      <w:r w:rsidR="005963F2" w:rsidRPr="0013463A">
        <w:rPr>
          <w:smallCaps/>
        </w:rPr>
        <w:t>translation</w:t>
      </w:r>
      <w:r w:rsidR="005963F2" w:rsidRPr="0013463A">
        <w:t xml:space="preserve">] </w:t>
      </w:r>
      <w:r w:rsidRPr="0013463A">
        <w:t xml:space="preserve">“in </w:t>
      </w:r>
      <w:r w:rsidR="00407925" w:rsidRPr="0013463A">
        <w:t>wheelchairs</w:t>
      </w:r>
      <w:r w:rsidRPr="0013463A">
        <w:t>”. He adds</w:t>
      </w:r>
      <w:r w:rsidR="0090426D">
        <w:t>:</w:t>
      </w:r>
    </w:p>
    <w:p w14:paraId="3C9FE3F4" w14:textId="5CF8CAB3" w:rsidR="00407925" w:rsidRPr="0013463A" w:rsidRDefault="00407925" w:rsidP="00B7483C">
      <w:pPr>
        <w:pStyle w:val="Citationenretrait"/>
        <w:rPr>
          <w:lang w:val="en-CA"/>
        </w:rPr>
      </w:pPr>
      <w:r w:rsidRPr="0013463A">
        <w:rPr>
          <w:lang w:val="en-CA"/>
        </w:rPr>
        <w:t>[</w:t>
      </w:r>
      <w:r w:rsidRPr="0013463A">
        <w:rPr>
          <w:smallCaps/>
          <w:lang w:val="en-CA"/>
        </w:rPr>
        <w:t>translation</w:t>
      </w:r>
      <w:r w:rsidRPr="0013463A">
        <w:rPr>
          <w:lang w:val="en-CA"/>
        </w:rPr>
        <w:t>]</w:t>
      </w:r>
    </w:p>
    <w:p w14:paraId="408CBAF7" w14:textId="15D248E0" w:rsidR="00836773" w:rsidRPr="0013463A" w:rsidRDefault="00550561" w:rsidP="00B7483C">
      <w:pPr>
        <w:pStyle w:val="Citationenretrait"/>
        <w:rPr>
          <w:lang w:val="en-CA"/>
        </w:rPr>
      </w:pPr>
      <w:r w:rsidRPr="0013463A">
        <w:rPr>
          <w:lang w:val="en-CA"/>
        </w:rPr>
        <w:t>... it’s really typical, you know... mental health</w:t>
      </w:r>
      <w:r w:rsidR="00407925" w:rsidRPr="0013463A">
        <w:rPr>
          <w:lang w:val="en-CA"/>
        </w:rPr>
        <w:t xml:space="preserve"> there</w:t>
      </w:r>
      <w:r w:rsidRPr="0013463A">
        <w:rPr>
          <w:lang w:val="en-CA"/>
        </w:rPr>
        <w:t>, you know, it’s... it’s something.</w:t>
      </w:r>
      <w:r w:rsidR="001834C5" w:rsidRPr="0013463A">
        <w:rPr>
          <w:lang w:val="en-CA"/>
        </w:rPr>
        <w:t xml:space="preserve"> </w:t>
      </w:r>
      <w:r w:rsidRPr="0013463A">
        <w:rPr>
          <w:lang w:val="en-CA"/>
        </w:rPr>
        <w:t>And bringing in someone new, when I haven’t analyzed the person, things like that, I’m not the one who decides that.</w:t>
      </w:r>
    </w:p>
    <w:p w14:paraId="71ED7C01" w14:textId="263A6174" w:rsidR="00836773" w:rsidRPr="0013463A" w:rsidRDefault="00147A04" w:rsidP="00B7483C">
      <w:pPr>
        <w:pStyle w:val="Citationenretrait"/>
        <w:rPr>
          <w:lang w:val="en-CA"/>
        </w:rPr>
      </w:pPr>
      <w:r w:rsidRPr="0013463A">
        <w:rPr>
          <w:lang w:val="en-CA"/>
        </w:rPr>
        <w:t>...</w:t>
      </w:r>
    </w:p>
    <w:p w14:paraId="3EBB303E" w14:textId="41CD29B0" w:rsidR="00836773" w:rsidRPr="0013463A" w:rsidRDefault="00550561" w:rsidP="00B7483C">
      <w:pPr>
        <w:pStyle w:val="Citationenretrait"/>
        <w:rPr>
          <w:lang w:val="en-CA"/>
        </w:rPr>
      </w:pPr>
      <w:r w:rsidRPr="0013463A">
        <w:rPr>
          <w:lang w:val="en-CA"/>
        </w:rPr>
        <w:t xml:space="preserve">Also, we’re limited in terms of </w:t>
      </w:r>
      <w:r w:rsidR="005963F2" w:rsidRPr="0013463A">
        <w:rPr>
          <w:lang w:val="en-CA"/>
        </w:rPr>
        <w:t>cameras</w:t>
      </w:r>
      <w:r w:rsidRPr="0013463A">
        <w:rPr>
          <w:lang w:val="en-CA"/>
        </w:rPr>
        <w:t xml:space="preserve"> there, so...</w:t>
      </w:r>
      <w:r w:rsidR="001834C5" w:rsidRPr="0013463A">
        <w:rPr>
          <w:rStyle w:val="Appelnotedebasdep"/>
          <w:lang w:val="en-CA"/>
        </w:rPr>
        <w:footnoteReference w:id="167"/>
      </w:r>
    </w:p>
    <w:p w14:paraId="2E369A5C" w14:textId="0E938537" w:rsidR="00836773" w:rsidRPr="0013463A" w:rsidRDefault="00550561" w:rsidP="006A28AF">
      <w:pPr>
        <w:pStyle w:val="Paragraphe"/>
        <w:tabs>
          <w:tab w:val="clear" w:pos="567"/>
        </w:tabs>
      </w:pPr>
      <w:r w:rsidRPr="0013463A">
        <w:t>First, cell 1 also had no functioning cameras.</w:t>
      </w:r>
      <w:r w:rsidR="001834C5" w:rsidRPr="0013463A">
        <w:t xml:space="preserve"> </w:t>
      </w:r>
      <w:r w:rsidRPr="0013463A">
        <w:t xml:space="preserve">Second, nothing shows </w:t>
      </w:r>
      <w:r w:rsidR="005963F2" w:rsidRPr="0013463A">
        <w:t>that</w:t>
      </w:r>
      <w:r w:rsidRPr="0013463A">
        <w:t xml:space="preserve"> any steps were </w:t>
      </w:r>
      <w:r w:rsidR="00407925" w:rsidRPr="0013463A">
        <w:t xml:space="preserve">taken </w:t>
      </w:r>
      <w:r w:rsidRPr="0013463A">
        <w:t xml:space="preserve">with the infirmary to </w:t>
      </w:r>
      <w:r w:rsidR="0013463A">
        <w:t>determine</w:t>
      </w:r>
      <w:r w:rsidR="00407925" w:rsidRPr="0013463A">
        <w:t xml:space="preserve"> </w:t>
      </w:r>
      <w:r w:rsidRPr="0013463A">
        <w:t>whether it was possible to accommodate Mr. Toussaint safely in the circumstances.</w:t>
      </w:r>
      <w:r w:rsidR="001834C5" w:rsidRPr="0013463A">
        <w:t xml:space="preserve"> </w:t>
      </w:r>
    </w:p>
    <w:p w14:paraId="7FCC7B1B" w14:textId="1B65E4CC" w:rsidR="00836773" w:rsidRPr="0013463A" w:rsidRDefault="00550561" w:rsidP="006A28AF">
      <w:pPr>
        <w:pStyle w:val="Paragraphe"/>
        <w:tabs>
          <w:tab w:val="clear" w:pos="567"/>
        </w:tabs>
      </w:pPr>
      <w:r w:rsidRPr="0013463A">
        <w:t>“More than mere negligible effort is required to satisfy the duty to accommodate”.</w:t>
      </w:r>
      <w:r w:rsidRPr="0013463A">
        <w:rPr>
          <w:rStyle w:val="Appelnotedebasdep"/>
        </w:rPr>
        <w:footnoteReference w:id="168"/>
      </w:r>
    </w:p>
    <w:p w14:paraId="629BCA25" w14:textId="6B854446" w:rsidR="00836773" w:rsidRPr="0013463A" w:rsidRDefault="00550561" w:rsidP="006A28AF">
      <w:pPr>
        <w:pStyle w:val="Paragraphe"/>
        <w:tabs>
          <w:tab w:val="clear" w:pos="567"/>
        </w:tabs>
      </w:pPr>
      <w:r w:rsidRPr="0013463A">
        <w:t xml:space="preserve">Of course, no one contests the fundamental importance </w:t>
      </w:r>
      <w:r w:rsidR="00CA04E3" w:rsidRPr="0013463A">
        <w:t xml:space="preserve">of security </w:t>
      </w:r>
      <w:r w:rsidRPr="0013463A">
        <w:t>in a prison, whether of staff, inmates, or visitors.</w:t>
      </w:r>
      <w:r w:rsidR="001834C5" w:rsidRPr="0013463A">
        <w:t xml:space="preserve"> </w:t>
      </w:r>
      <w:r w:rsidRPr="0013463A">
        <w:t xml:space="preserve">It has even become an international norm regarding which there is </w:t>
      </w:r>
      <w:r w:rsidR="00407925" w:rsidRPr="0013463A">
        <w:t>a broad</w:t>
      </w:r>
      <w:r w:rsidRPr="0013463A">
        <w:t xml:space="preserve"> consensus: “The safety and security of </w:t>
      </w:r>
      <w:r w:rsidR="00407925" w:rsidRPr="0013463A">
        <w:t>prisoners</w:t>
      </w:r>
      <w:r w:rsidRPr="0013463A">
        <w:t>, staff, service providers and visitors shall be ensured at all times”.</w:t>
      </w:r>
      <w:r w:rsidRPr="0013463A">
        <w:rPr>
          <w:rStyle w:val="Appelnotedebasdep"/>
        </w:rPr>
        <w:footnoteReference w:id="169"/>
      </w:r>
    </w:p>
    <w:p w14:paraId="0DA6D9B7" w14:textId="75028297" w:rsidR="00836773" w:rsidRPr="00371E12" w:rsidRDefault="00550561" w:rsidP="006A28AF">
      <w:pPr>
        <w:pStyle w:val="Paragraphe"/>
        <w:tabs>
          <w:tab w:val="clear" w:pos="567"/>
        </w:tabs>
      </w:pPr>
      <w:r w:rsidRPr="00371E12">
        <w:t>However, absolute security is “impossible to attain”.</w:t>
      </w:r>
      <w:r w:rsidRPr="00371E12">
        <w:rPr>
          <w:rStyle w:val="Appelnotedebasdep"/>
        </w:rPr>
        <w:footnoteReference w:id="170"/>
      </w:r>
      <w:r w:rsidR="001834C5" w:rsidRPr="00371E12">
        <w:t xml:space="preserve"> </w:t>
      </w:r>
      <w:r w:rsidRPr="00371E12">
        <w:t>That is why only an “excessive” or “serious risk” to the safety of others may constitute “undue hardship”.</w:t>
      </w:r>
      <w:r w:rsidRPr="00371E12">
        <w:rPr>
          <w:rStyle w:val="Appelnotedebasdep"/>
        </w:rPr>
        <w:footnoteReference w:id="171"/>
      </w:r>
      <w:r w:rsidR="001834C5" w:rsidRPr="00371E12">
        <w:t xml:space="preserve"> </w:t>
      </w:r>
      <w:r w:rsidRPr="00371E12">
        <w:t xml:space="preserve">Subjective and absolutist notions of safety seem to have provided more guidance for the decisions of Unit Manager Leclerc, who believes </w:t>
      </w:r>
      <w:r w:rsidR="00B944AC" w:rsidRPr="00371E12">
        <w:t xml:space="preserve">that </w:t>
      </w:r>
      <w:r w:rsidRPr="00371E12">
        <w:t>[</w:t>
      </w:r>
      <w:r w:rsidRPr="00371E12">
        <w:rPr>
          <w:smallCaps/>
        </w:rPr>
        <w:t>translation</w:t>
      </w:r>
      <w:r w:rsidRPr="00371E12">
        <w:t>] “[i]t’s always necessary to think of the worst, ultimately”.</w:t>
      </w:r>
      <w:r w:rsidRPr="00371E12">
        <w:rPr>
          <w:rStyle w:val="Appelnotedebasdep"/>
        </w:rPr>
        <w:footnoteReference w:id="172"/>
      </w:r>
      <w:r w:rsidR="001834C5" w:rsidRPr="00371E12">
        <w:t xml:space="preserve">  </w:t>
      </w:r>
    </w:p>
    <w:p w14:paraId="54FB0703" w14:textId="65C81A4A" w:rsidR="00836773" w:rsidRPr="0013463A" w:rsidRDefault="00550561" w:rsidP="006A28AF">
      <w:pPr>
        <w:pStyle w:val="Paragraphe"/>
        <w:tabs>
          <w:tab w:val="clear" w:pos="567"/>
        </w:tabs>
      </w:pPr>
      <w:r w:rsidRPr="0013463A">
        <w:t>A</w:t>
      </w:r>
      <w:r w:rsidR="00B944AC" w:rsidRPr="0013463A">
        <w:t>nd yet, a</w:t>
      </w:r>
      <w:r w:rsidRPr="0013463A">
        <w:t xml:space="preserve"> viewing of the video recordings reveal</w:t>
      </w:r>
      <w:r w:rsidR="00263494">
        <w:t>s</w:t>
      </w:r>
      <w:r w:rsidRPr="0013463A">
        <w:t xml:space="preserve"> no hetero-aggressive actions by Mr. Toussaint towards the </w:t>
      </w:r>
      <w:r w:rsidR="00110E24" w:rsidRPr="0013463A">
        <w:t>CO</w:t>
      </w:r>
      <w:r w:rsidRPr="0013463A">
        <w:t>s, which leads expert Bensimon to write that he [</w:t>
      </w:r>
      <w:r w:rsidRPr="0013463A">
        <w:rPr>
          <w:smallCaps/>
        </w:rPr>
        <w:t>translation</w:t>
      </w:r>
      <w:r w:rsidRPr="0013463A">
        <w:t>] “</w:t>
      </w:r>
      <w:r w:rsidRPr="0013463A">
        <w:rPr>
          <w:b/>
          <w:bCs/>
          <w:u w:val="single"/>
        </w:rPr>
        <w:t>at no time</w:t>
      </w:r>
      <w:r w:rsidRPr="0013463A">
        <w:t xml:space="preserve"> presented a risk” to their safety:</w:t>
      </w:r>
      <w:r w:rsidRPr="0013463A">
        <w:rPr>
          <w:rStyle w:val="Appelnotedebasdep"/>
        </w:rPr>
        <w:footnoteReference w:id="173"/>
      </w:r>
      <w:r w:rsidR="00911028" w:rsidRPr="0013463A">
        <w:t xml:space="preserve"> </w:t>
      </w:r>
      <w:r w:rsidRPr="0013463A">
        <w:t xml:space="preserve">“None of the images show or tend to show any strike delivered by </w:t>
      </w:r>
      <w:r w:rsidR="004A6C3C">
        <w:t xml:space="preserve">Mr. </w:t>
      </w:r>
      <w:r w:rsidRPr="0013463A">
        <w:t xml:space="preserve">Samuel Toussaint”; </w:t>
      </w:r>
      <w:r w:rsidRPr="0013463A">
        <w:rPr>
          <w:rStyle w:val="Appelnotedebasdep"/>
        </w:rPr>
        <w:footnoteReference w:id="174"/>
      </w:r>
      <w:r w:rsidR="005E45FB" w:rsidRPr="0013463A">
        <w:t xml:space="preserve"> </w:t>
      </w:r>
      <w:r w:rsidRPr="0013463A">
        <w:t>[</w:t>
      </w:r>
      <w:r w:rsidRPr="0013463A">
        <w:rPr>
          <w:smallCaps/>
        </w:rPr>
        <w:t>translation</w:t>
      </w:r>
      <w:r w:rsidRPr="0013463A">
        <w:t>] “None of the video images tend to indicate any aggressive posture...”</w:t>
      </w:r>
      <w:r w:rsidR="00263494">
        <w:t>;</w:t>
      </w:r>
      <w:r w:rsidRPr="0013463A">
        <w:rPr>
          <w:rStyle w:val="Appelnotedebasdep"/>
        </w:rPr>
        <w:footnoteReference w:id="175"/>
      </w:r>
      <w:r w:rsidRPr="0013463A">
        <w:t xml:space="preserve"> [</w:t>
      </w:r>
      <w:r w:rsidRPr="0013463A">
        <w:rPr>
          <w:smallCaps/>
        </w:rPr>
        <w:t>translation</w:t>
      </w:r>
      <w:r w:rsidRPr="0013463A">
        <w:t xml:space="preserve">] “the inmate </w:t>
      </w:r>
      <w:r w:rsidRPr="0013463A">
        <w:rPr>
          <w:b/>
        </w:rPr>
        <w:t>did not commit assault</w:t>
      </w:r>
      <w:r w:rsidRPr="0013463A">
        <w:t>”.</w:t>
      </w:r>
      <w:r w:rsidRPr="0013463A">
        <w:rPr>
          <w:rStyle w:val="Appelnotedebasdep"/>
        </w:rPr>
        <w:footnoteReference w:id="176"/>
      </w:r>
      <w:r w:rsidR="001834C5" w:rsidRPr="0013463A">
        <w:t xml:space="preserve"> </w:t>
      </w:r>
    </w:p>
    <w:p w14:paraId="3D48ED82" w14:textId="293281F1" w:rsidR="00836773" w:rsidRPr="0013463A" w:rsidRDefault="00550561" w:rsidP="006A28AF">
      <w:pPr>
        <w:pStyle w:val="Paragraphe"/>
        <w:tabs>
          <w:tab w:val="clear" w:pos="567"/>
        </w:tabs>
      </w:pPr>
      <w:r w:rsidRPr="0013463A">
        <w:t xml:space="preserve">We must recall, </w:t>
      </w:r>
      <w:r w:rsidR="00B944AC" w:rsidRPr="0013463A">
        <w:t>while making</w:t>
      </w:r>
      <w:r w:rsidRPr="0013463A">
        <w:t xml:space="preserve"> adaptations </w:t>
      </w:r>
      <w:r w:rsidR="00B944AC" w:rsidRPr="0013463A">
        <w:t xml:space="preserve">for </w:t>
      </w:r>
      <w:r w:rsidRPr="0013463A">
        <w:t>the prison context, “the settled law that routine strip searches are inappropriate where the individual is being held for a short time in... cells, is not mingling with the general prison population, and where the [</w:t>
      </w:r>
      <w:r w:rsidR="00110E24" w:rsidRPr="0013463A">
        <w:t>CO</w:t>
      </w:r>
      <w:r w:rsidRPr="0013463A">
        <w:t>s] have no legitimate concerns that the individual is concealing weapons that could be used to harm themselves or others”.</w:t>
      </w:r>
      <w:r w:rsidRPr="0013463A">
        <w:rPr>
          <w:rStyle w:val="Appelnotedebasdep"/>
          <w:rFonts w:cs="Arial"/>
        </w:rPr>
        <w:footnoteReference w:id="177"/>
      </w:r>
      <w:r w:rsidR="001834C5" w:rsidRPr="0013463A">
        <w:t xml:space="preserve">  </w:t>
      </w:r>
    </w:p>
    <w:p w14:paraId="31CC71E3" w14:textId="2554DD2A" w:rsidR="00836773" w:rsidRPr="0013463A" w:rsidRDefault="00550561" w:rsidP="006A28AF">
      <w:pPr>
        <w:pStyle w:val="Paragraphe"/>
        <w:tabs>
          <w:tab w:val="clear" w:pos="567"/>
        </w:tabs>
      </w:pPr>
      <w:r w:rsidRPr="0013463A">
        <w:rPr>
          <w:b/>
          <w:bCs/>
          <w:i/>
          <w:iCs/>
        </w:rPr>
        <w:t>Fifth</w:t>
      </w:r>
      <w:r w:rsidRPr="0013463A">
        <w:t xml:space="preserve">, the </w:t>
      </w:r>
      <w:r w:rsidR="00263494">
        <w:t>correctional</w:t>
      </w:r>
      <w:r w:rsidRPr="0013463A">
        <w:t xml:space="preserve"> facility receiving a person with a “handicap” must deal with that condition in a way that mitigates the negative consequences for th</w:t>
      </w:r>
      <w:r w:rsidR="00B944AC" w:rsidRPr="0013463A">
        <w:t>at</w:t>
      </w:r>
      <w:r w:rsidRPr="0013463A">
        <w:t xml:space="preserve"> person.</w:t>
      </w:r>
      <w:r w:rsidR="001834C5" w:rsidRPr="0013463A">
        <w:t xml:space="preserve"> </w:t>
      </w:r>
    </w:p>
    <w:p w14:paraId="0B39ED41" w14:textId="768A8FF4" w:rsidR="00836773" w:rsidRPr="0013463A" w:rsidRDefault="00550561" w:rsidP="006A28AF">
      <w:pPr>
        <w:pStyle w:val="Paragraphe"/>
        <w:tabs>
          <w:tab w:val="clear" w:pos="567"/>
        </w:tabs>
      </w:pPr>
      <w:r w:rsidRPr="0013463A">
        <w:t>As soon as Mr. Toussaint became disorganized in cell 1 even though he was handcuffed with his hand</w:t>
      </w:r>
      <w:r w:rsidR="00263494">
        <w:t>s</w:t>
      </w:r>
      <w:r w:rsidRPr="0013463A">
        <w:t xml:space="preserve"> behind his back, lying prone on the </w:t>
      </w:r>
      <w:r w:rsidR="00F47AAB">
        <w:t>ground</w:t>
      </w:r>
      <w:r w:rsidRPr="0013463A">
        <w:t xml:space="preserve">, and being held down by four </w:t>
      </w:r>
      <w:r w:rsidR="00110E24" w:rsidRPr="0013463A">
        <w:t>CO</w:t>
      </w:r>
      <w:r w:rsidRPr="0013463A">
        <w:t xml:space="preserve">s, the </w:t>
      </w:r>
      <w:r w:rsidR="008121E5" w:rsidRPr="0013463A">
        <w:t>situation</w:t>
      </w:r>
      <w:r w:rsidRPr="0013463A">
        <w:t xml:space="preserve"> required</w:t>
      </w:r>
      <w:r w:rsidR="00263494">
        <w:t>,</w:t>
      </w:r>
      <w:r w:rsidRPr="0013463A">
        <w:t xml:space="preserve"> at a minimum</w:t>
      </w:r>
      <w:r w:rsidR="00263494">
        <w:t>,</w:t>
      </w:r>
      <w:r w:rsidRPr="0013463A">
        <w:t xml:space="preserve"> accommodation in the form of a</w:t>
      </w:r>
      <w:r w:rsidR="00263494">
        <w:t xml:space="preserve"> [</w:t>
      </w:r>
      <w:r w:rsidR="00263494">
        <w:rPr>
          <w:smallCaps/>
        </w:rPr>
        <w:t>translation</w:t>
      </w:r>
      <w:r w:rsidR="00263494">
        <w:t>]</w:t>
      </w:r>
      <w:r w:rsidRPr="0013463A">
        <w:t xml:space="preserve"> “time out” for de-escalation purposes on the one hand, and an intervention better adapted to the circumstances,</w:t>
      </w:r>
      <w:r w:rsidRPr="0013463A">
        <w:rPr>
          <w:rStyle w:val="Appelnotedebasdep"/>
        </w:rPr>
        <w:footnoteReference w:id="178"/>
      </w:r>
      <w:r w:rsidRPr="0013463A">
        <w:t xml:space="preserve"> on the other:</w:t>
      </w:r>
    </w:p>
    <w:p w14:paraId="77D217D2" w14:textId="498B59CB" w:rsidR="002410F7" w:rsidRPr="0013463A" w:rsidRDefault="002410F7" w:rsidP="00A108E1">
      <w:pPr>
        <w:pStyle w:val="Citationenretrait"/>
        <w:rPr>
          <w:lang w:val="en-CA"/>
        </w:rPr>
      </w:pPr>
      <w:r w:rsidRPr="0013463A">
        <w:rPr>
          <w:lang w:val="en-CA"/>
        </w:rPr>
        <w:t>[</w:t>
      </w:r>
      <w:r w:rsidRPr="0013463A">
        <w:rPr>
          <w:smallCaps/>
          <w:lang w:val="en-CA"/>
        </w:rPr>
        <w:t>translation</w:t>
      </w:r>
      <w:r w:rsidRPr="0013463A">
        <w:rPr>
          <w:lang w:val="en-CA"/>
        </w:rPr>
        <w:t>]</w:t>
      </w:r>
    </w:p>
    <w:p w14:paraId="484F9DA5" w14:textId="7EF075F4" w:rsidR="00836773" w:rsidRPr="0013463A" w:rsidRDefault="00A06F39" w:rsidP="00A108E1">
      <w:pPr>
        <w:pStyle w:val="Citationenretrait"/>
        <w:rPr>
          <w:lang w:val="en-CA"/>
        </w:rPr>
      </w:pPr>
      <w:r>
        <w:rPr>
          <w:lang w:val="en-CA"/>
        </w:rPr>
        <w:t xml:space="preserve">[230] </w:t>
      </w:r>
      <w:r w:rsidR="00550561" w:rsidRPr="0013463A">
        <w:rPr>
          <w:lang w:val="en-CA"/>
        </w:rPr>
        <w:t>D</w:t>
      </w:r>
      <w:r w:rsidR="002410F7" w:rsidRPr="0013463A">
        <w:rPr>
          <w:lang w:val="en-CA"/>
        </w:rPr>
        <w:t>efusing</w:t>
      </w:r>
      <w:r w:rsidR="00550561" w:rsidRPr="0013463A">
        <w:rPr>
          <w:lang w:val="en-CA"/>
        </w:rPr>
        <w:t xml:space="preserve"> conflicts using de-escalation techniques and the least amount of force necessary in the circumstances can constitute accommodation measures that police officers [or </w:t>
      </w:r>
      <w:r w:rsidR="00110E24" w:rsidRPr="0013463A">
        <w:rPr>
          <w:lang w:val="en-CA"/>
        </w:rPr>
        <w:t>CO</w:t>
      </w:r>
      <w:r w:rsidR="00550561" w:rsidRPr="0013463A">
        <w:rPr>
          <w:lang w:val="en-CA"/>
        </w:rPr>
        <w:t>s] may implement when intervening with persons with mental health problems.</w:t>
      </w:r>
      <w:r w:rsidR="00550561" w:rsidRPr="0013463A">
        <w:rPr>
          <w:rStyle w:val="Appelnotedebasdep"/>
          <w:lang w:val="en-CA"/>
        </w:rPr>
        <w:footnoteReference w:id="179"/>
      </w:r>
    </w:p>
    <w:p w14:paraId="315FA446" w14:textId="1196F761" w:rsidR="00836773" w:rsidRPr="0013463A" w:rsidRDefault="00037D95" w:rsidP="00A108E1">
      <w:pPr>
        <w:pStyle w:val="Citationenretrait"/>
        <w:jc w:val="right"/>
        <w:rPr>
          <w:sz w:val="20"/>
          <w:lang w:val="en-CA"/>
        </w:rPr>
      </w:pPr>
      <w:r w:rsidRPr="0013463A">
        <w:rPr>
          <w:sz w:val="20"/>
          <w:lang w:val="en-CA"/>
        </w:rPr>
        <w:t>(Emphasis added)</w:t>
      </w:r>
    </w:p>
    <w:p w14:paraId="3D2DE965" w14:textId="2CDED22A" w:rsidR="00836773" w:rsidRPr="0013463A" w:rsidRDefault="00182E94" w:rsidP="006A28AF">
      <w:pPr>
        <w:pStyle w:val="Paragraphe"/>
        <w:tabs>
          <w:tab w:val="clear" w:pos="567"/>
        </w:tabs>
      </w:pPr>
      <w:r w:rsidRPr="0013463A">
        <w:t>C</w:t>
      </w:r>
      <w:r w:rsidR="00201813" w:rsidRPr="0013463A">
        <w:t>utting</w:t>
      </w:r>
      <w:r w:rsidR="006268BF" w:rsidRPr="0013463A">
        <w:t xml:space="preserve"> off</w:t>
      </w:r>
      <w:r w:rsidR="00201813" w:rsidRPr="0013463A">
        <w:t xml:space="preserve"> Mr. Toussaint’s clothing, </w:t>
      </w:r>
      <w:r w:rsidRPr="0013463A">
        <w:t xml:space="preserve">an action </w:t>
      </w:r>
      <w:r w:rsidR="00201813" w:rsidRPr="0013463A">
        <w:t xml:space="preserve">started by </w:t>
      </w:r>
      <w:r w:rsidR="00110E24" w:rsidRPr="0013463A">
        <w:t>CO</w:t>
      </w:r>
      <w:r w:rsidR="00201813" w:rsidRPr="0013463A">
        <w:t xml:space="preserve"> Comeau-Bastien </w:t>
      </w:r>
      <w:r w:rsidRPr="0013463A">
        <w:t>–</w:t>
      </w:r>
      <w:r w:rsidR="00201813" w:rsidRPr="0013463A">
        <w:t xml:space="preserve"> who </w:t>
      </w:r>
      <w:r w:rsidRPr="0013463A">
        <w:t>had taken over</w:t>
      </w:r>
      <w:r w:rsidR="00201813" w:rsidRPr="0013463A">
        <w:t xml:space="preserve">, to Unit </w:t>
      </w:r>
      <w:r w:rsidR="008121E5" w:rsidRPr="0013463A">
        <w:t>Manager</w:t>
      </w:r>
      <w:r w:rsidR="00201813" w:rsidRPr="0013463A">
        <w:t xml:space="preserve"> Leclerc</w:t>
      </w:r>
      <w:r w:rsidRPr="0013463A">
        <w:t>’s great relief</w:t>
      </w:r>
      <w:r w:rsidR="00201813" w:rsidRPr="0013463A">
        <w:t xml:space="preserve"> </w:t>
      </w:r>
      <w:r w:rsidRPr="0013463A">
        <w:t>–</w:t>
      </w:r>
      <w:r w:rsidR="00201813" w:rsidRPr="0013463A">
        <w:t xml:space="preserve"> </w:t>
      </w:r>
      <w:r w:rsidRPr="0013463A">
        <w:t xml:space="preserve">and </w:t>
      </w:r>
      <w:r w:rsidR="00201813" w:rsidRPr="0013463A">
        <w:t xml:space="preserve">then completed by </w:t>
      </w:r>
      <w:r w:rsidR="00110E24" w:rsidRPr="0013463A">
        <w:t>CO</w:t>
      </w:r>
      <w:r w:rsidR="00201813" w:rsidRPr="0013463A">
        <w:t xml:space="preserve"> Dubé-Blouin, exacerbated the situation, which </w:t>
      </w:r>
      <w:r w:rsidR="00110E24" w:rsidRPr="0013463A">
        <w:t>CO</w:t>
      </w:r>
      <w:r w:rsidR="00201813" w:rsidRPr="0013463A">
        <w:t xml:space="preserve"> Comeau-Bastien himself and </w:t>
      </w:r>
      <w:r w:rsidR="00110E24" w:rsidRPr="0013463A">
        <w:t>CO</w:t>
      </w:r>
      <w:r w:rsidR="00201813" w:rsidRPr="0013463A">
        <w:t xml:space="preserve"> Jean-René Brousseau</w:t>
      </w:r>
      <w:r w:rsidRPr="0013463A">
        <w:t xml:space="preserve"> already described as [</w:t>
      </w:r>
      <w:r w:rsidRPr="0013463A">
        <w:rPr>
          <w:smallCaps/>
        </w:rPr>
        <w:t>translation</w:t>
      </w:r>
      <w:r w:rsidRPr="0013463A">
        <w:t>] “chaotic”</w:t>
      </w:r>
      <w:r w:rsidR="00201813" w:rsidRPr="0013463A">
        <w:t>.</w:t>
      </w:r>
    </w:p>
    <w:p w14:paraId="255FAAF9" w14:textId="598C7CC7" w:rsidR="00836773" w:rsidRPr="0013463A" w:rsidRDefault="00201813" w:rsidP="006A28AF">
      <w:pPr>
        <w:pStyle w:val="Paragraphe"/>
        <w:tabs>
          <w:tab w:val="clear" w:pos="567"/>
        </w:tabs>
      </w:pPr>
      <w:r w:rsidRPr="0013463A">
        <w:t xml:space="preserve">Mr. Toussaint </w:t>
      </w:r>
      <w:r w:rsidR="006A28AF" w:rsidRPr="0013463A">
        <w:t xml:space="preserve">was </w:t>
      </w:r>
      <w:r w:rsidRPr="0013463A">
        <w:t xml:space="preserve">already </w:t>
      </w:r>
      <w:r w:rsidR="006A28AF" w:rsidRPr="0013463A">
        <w:t xml:space="preserve">completely without clothing </w:t>
      </w:r>
      <w:r w:rsidRPr="0013463A">
        <w:t xml:space="preserve">when the </w:t>
      </w:r>
      <w:r w:rsidR="00110E24" w:rsidRPr="0013463A">
        <w:t>CO</w:t>
      </w:r>
      <w:r w:rsidRPr="0013463A">
        <w:t xml:space="preserve">s, locked </w:t>
      </w:r>
      <w:r w:rsidR="006A28AF" w:rsidRPr="0013463A">
        <w:t xml:space="preserve">in the </w:t>
      </w:r>
      <w:r w:rsidRPr="0013463A">
        <w:t>mindset where</w:t>
      </w:r>
      <w:r w:rsidR="006A28AF" w:rsidRPr="0013463A">
        <w:t>by</w:t>
      </w:r>
      <w:r w:rsidRPr="0013463A">
        <w:t xml:space="preserve"> a strip search </w:t>
      </w:r>
      <w:r w:rsidR="004C7879">
        <w:t>had to</w:t>
      </w:r>
      <w:r w:rsidRPr="0013463A">
        <w:t xml:space="preserve"> be performed </w:t>
      </w:r>
      <w:r w:rsidR="006A28AF" w:rsidRPr="0013463A">
        <w:t xml:space="preserve">at all </w:t>
      </w:r>
      <w:r w:rsidRPr="0013463A">
        <w:t>cost</w:t>
      </w:r>
      <w:r w:rsidR="006A28AF" w:rsidRPr="0013463A">
        <w:t>s</w:t>
      </w:r>
      <w:r w:rsidRPr="0013463A">
        <w:t xml:space="preserve">, moved him to cell 12. </w:t>
      </w:r>
    </w:p>
    <w:p w14:paraId="622EDFC8" w14:textId="78CD9474" w:rsidR="00836773" w:rsidRPr="0013463A" w:rsidRDefault="00201813" w:rsidP="006A28AF">
      <w:pPr>
        <w:pStyle w:val="Paragraphe"/>
        <w:tabs>
          <w:tab w:val="clear" w:pos="567"/>
        </w:tabs>
      </w:pPr>
      <w:r w:rsidRPr="0013463A">
        <w:t xml:space="preserve">Led to the back of this cramped room, he was </w:t>
      </w:r>
      <w:r w:rsidR="006A28AF" w:rsidRPr="0013463A">
        <w:t xml:space="preserve">struck and forced </w:t>
      </w:r>
      <w:r w:rsidRPr="0013463A">
        <w:t>to kneel.</w:t>
      </w:r>
      <w:r w:rsidR="001834C5" w:rsidRPr="0013463A">
        <w:t xml:space="preserve"> </w:t>
      </w:r>
      <w:r w:rsidR="00110E24" w:rsidRPr="0030596D">
        <w:t>CO</w:t>
      </w:r>
      <w:r w:rsidRPr="0030596D">
        <w:t xml:space="preserve"> Comeau-Bastien</w:t>
      </w:r>
      <w:r w:rsidRPr="0013463A">
        <w:t xml:space="preserve"> rubbed his hand </w:t>
      </w:r>
      <w:r w:rsidR="006A28AF" w:rsidRPr="0013463A">
        <w:t xml:space="preserve">clad in </w:t>
      </w:r>
      <w:r w:rsidRPr="0013463A">
        <w:t xml:space="preserve">a glove imbued with an inflammatory agent across his face, then sprayed </w:t>
      </w:r>
      <w:r w:rsidR="006A28AF" w:rsidRPr="0013463A">
        <w:t>the same agent</w:t>
      </w:r>
      <w:r w:rsidRPr="0013463A">
        <w:t xml:space="preserve"> directly in </w:t>
      </w:r>
      <w:r w:rsidR="006A28AF" w:rsidRPr="0013463A">
        <w:t xml:space="preserve">Mr. Toussaint’s </w:t>
      </w:r>
      <w:r w:rsidRPr="0013463A">
        <w:t>eyes, immediately provoking a</w:t>
      </w:r>
      <w:r w:rsidR="006A28AF" w:rsidRPr="0013463A">
        <w:t xml:space="preserve">n intense burning </w:t>
      </w:r>
      <w:r w:rsidRPr="0013463A">
        <w:t>sensation.</w:t>
      </w:r>
    </w:p>
    <w:p w14:paraId="3B4BE6E1" w14:textId="79C17334" w:rsidR="00836773" w:rsidRPr="0013463A" w:rsidRDefault="00201813" w:rsidP="006A28AF">
      <w:pPr>
        <w:pStyle w:val="Paragraphe"/>
        <w:tabs>
          <w:tab w:val="clear" w:pos="567"/>
        </w:tabs>
      </w:pPr>
      <w:r w:rsidRPr="0013463A">
        <w:t>In this regard, expert Bensimon stated, [</w:t>
      </w:r>
      <w:r w:rsidRPr="0013463A">
        <w:rPr>
          <w:smallCaps/>
        </w:rPr>
        <w:t>translation</w:t>
      </w:r>
      <w:r w:rsidRPr="0013463A">
        <w:t xml:space="preserve">] “Video P-6 does not </w:t>
      </w:r>
      <w:r w:rsidR="006A28AF" w:rsidRPr="0013463A">
        <w:t>show</w:t>
      </w:r>
      <w:r w:rsidRPr="0013463A">
        <w:t xml:space="preserve"> the minimum regulatory distance of 3 to 6 feet when the eyes are targeted by the OC liquid spray propellant”.</w:t>
      </w:r>
      <w:r w:rsidRPr="0013463A">
        <w:rPr>
          <w:rStyle w:val="Appelnotedebasdep"/>
        </w:rPr>
        <w:footnoteReference w:id="180"/>
      </w:r>
    </w:p>
    <w:p w14:paraId="69E51CCD" w14:textId="48E8CE30" w:rsidR="00836773" w:rsidRPr="0013463A" w:rsidRDefault="00201813">
      <w:pPr>
        <w:pStyle w:val="Paragraphe"/>
        <w:tabs>
          <w:tab w:val="clear" w:pos="567"/>
        </w:tabs>
      </w:pPr>
      <w:r w:rsidRPr="0013463A">
        <w:t>[</w:t>
      </w:r>
      <w:r w:rsidRPr="0013463A">
        <w:rPr>
          <w:smallCaps/>
        </w:rPr>
        <w:t>translation</w:t>
      </w:r>
      <w:r w:rsidRPr="0013463A">
        <w:t>] “I didn’t want to die”, testified Mr. Toussaint. [</w:t>
      </w:r>
      <w:r w:rsidRPr="0013463A">
        <w:rPr>
          <w:smallCaps/>
        </w:rPr>
        <w:t>translation</w:t>
      </w:r>
      <w:r w:rsidRPr="0013463A">
        <w:t>] “I was afraid of dying”.</w:t>
      </w:r>
    </w:p>
    <w:p w14:paraId="158EE73A" w14:textId="4B12048B" w:rsidR="00836773" w:rsidRPr="0013463A" w:rsidRDefault="00201813">
      <w:pPr>
        <w:pStyle w:val="Paragraphe"/>
        <w:tabs>
          <w:tab w:val="clear" w:pos="567"/>
        </w:tabs>
      </w:pPr>
      <w:r w:rsidRPr="0013463A">
        <w:t xml:space="preserve">The images viewed show that no fewer than nine </w:t>
      </w:r>
      <w:r w:rsidR="00110E24" w:rsidRPr="0013463A">
        <w:t>CO</w:t>
      </w:r>
      <w:r w:rsidRPr="0013463A">
        <w:t>s, two of them carrying shields, were at the scene.</w:t>
      </w:r>
    </w:p>
    <w:p w14:paraId="26494E20" w14:textId="2E08F791" w:rsidR="00836773" w:rsidRPr="0013463A" w:rsidRDefault="00201813" w:rsidP="001721B2">
      <w:pPr>
        <w:pStyle w:val="Paragraphe"/>
        <w:tabs>
          <w:tab w:val="clear" w:pos="567"/>
        </w:tabs>
      </w:pPr>
      <w:r w:rsidRPr="0013463A">
        <w:t xml:space="preserve">Commenting on Patrick Léveillée’s report, the use of force </w:t>
      </w:r>
      <w:r w:rsidR="00C024E6" w:rsidRPr="0013463A">
        <w:t xml:space="preserve">expert </w:t>
      </w:r>
      <w:r w:rsidRPr="0013463A">
        <w:t xml:space="preserve">retained by the defendants, </w:t>
      </w:r>
      <w:r w:rsidR="00C024E6" w:rsidRPr="0013463A">
        <w:t xml:space="preserve">who states that </w:t>
      </w:r>
      <w:r w:rsidRPr="0013463A">
        <w:t>this approach complied with [</w:t>
      </w:r>
      <w:r w:rsidRPr="0013463A">
        <w:rPr>
          <w:smallCaps/>
        </w:rPr>
        <w:t>translation</w:t>
      </w:r>
      <w:r w:rsidRPr="0013463A">
        <w:t>] “good practices” in this context, expert Bensimon wrote, [</w:t>
      </w:r>
      <w:r w:rsidRPr="0013463A">
        <w:rPr>
          <w:smallCaps/>
        </w:rPr>
        <w:t>translation</w:t>
      </w:r>
      <w:r w:rsidRPr="0013463A">
        <w:t xml:space="preserve">] “The excessive number of </w:t>
      </w:r>
      <w:r w:rsidR="00110E24" w:rsidRPr="0013463A">
        <w:t>CO</w:t>
      </w:r>
      <w:r w:rsidRPr="0013463A">
        <w:t xml:space="preserve">s present, the use of hitting, </w:t>
      </w:r>
      <w:r w:rsidR="00C024E6" w:rsidRPr="0013463A">
        <w:t xml:space="preserve">and </w:t>
      </w:r>
      <w:r w:rsidRPr="0013463A">
        <w:t xml:space="preserve">the use of chemical and/or inflammatory agents thus appear to be a </w:t>
      </w:r>
      <w:r w:rsidR="008D1788">
        <w:t>common</w:t>
      </w:r>
      <w:r w:rsidRPr="0013463A">
        <w:t xml:space="preserve"> way of proceeding when dealing with a single man who is naked and lying with his face </w:t>
      </w:r>
      <w:r w:rsidR="00C024E6" w:rsidRPr="0013463A">
        <w:t>on</w:t>
      </w:r>
      <w:r w:rsidRPr="0013463A">
        <w:t xml:space="preserve"> the ground, in view of everyone”.</w:t>
      </w:r>
      <w:r w:rsidRPr="0013463A">
        <w:rPr>
          <w:rStyle w:val="Appelnotedebasdep"/>
        </w:rPr>
        <w:footnoteReference w:id="181"/>
      </w:r>
    </w:p>
    <w:p w14:paraId="6546E1FD" w14:textId="0FBCF814" w:rsidR="00836773" w:rsidRPr="0013463A" w:rsidRDefault="00DD7E52">
      <w:pPr>
        <w:pStyle w:val="Paragraphe"/>
        <w:tabs>
          <w:tab w:val="clear" w:pos="567"/>
        </w:tabs>
      </w:pPr>
      <w:r w:rsidRPr="0013463A">
        <w:t xml:space="preserve">The duty to accommodate requires the body who is bound by it to be flexible in applying its </w:t>
      </w:r>
      <w:r w:rsidR="00C341A3" w:rsidRPr="0013463A">
        <w:t>standards</w:t>
      </w:r>
      <w:r w:rsidRPr="0013463A">
        <w:t xml:space="preserve"> and procedures.</w:t>
      </w:r>
      <w:r w:rsidRPr="0013463A">
        <w:rPr>
          <w:rStyle w:val="Appelnotedebasdep"/>
        </w:rPr>
        <w:footnoteReference w:id="182"/>
      </w:r>
      <w:r w:rsidR="001834C5" w:rsidRPr="0013463A">
        <w:t xml:space="preserve"> </w:t>
      </w:r>
    </w:p>
    <w:p w14:paraId="6B5881DF" w14:textId="69A2BF19" w:rsidR="00836773" w:rsidRPr="0013463A" w:rsidRDefault="00C024E6">
      <w:pPr>
        <w:pStyle w:val="Paragraphe"/>
        <w:tabs>
          <w:tab w:val="clear" w:pos="567"/>
        </w:tabs>
      </w:pPr>
      <w:r w:rsidRPr="0013463A">
        <w:t xml:space="preserve">Once </w:t>
      </w:r>
      <w:r w:rsidR="00DD7E52" w:rsidRPr="0013463A">
        <w:t xml:space="preserve">Mr. Toussaint was completely naked and observable from every angle by several </w:t>
      </w:r>
      <w:r w:rsidR="00110E24" w:rsidRPr="0013463A">
        <w:t>CO</w:t>
      </w:r>
      <w:r w:rsidR="00DD7E52" w:rsidRPr="0013463A">
        <w:t xml:space="preserve">s, the risk </w:t>
      </w:r>
      <w:r w:rsidRPr="0013463A">
        <w:t xml:space="preserve">that he possessed </w:t>
      </w:r>
      <w:r w:rsidR="00DD7E52" w:rsidRPr="0013463A">
        <w:t>an object danger</w:t>
      </w:r>
      <w:r w:rsidRPr="0013463A">
        <w:t>ou</w:t>
      </w:r>
      <w:r w:rsidR="00DD7E52" w:rsidRPr="0013463A">
        <w:t>s to himself or others was greatly reduced.</w:t>
      </w:r>
      <w:r w:rsidR="001834C5" w:rsidRPr="0013463A">
        <w:t xml:space="preserve"> </w:t>
      </w:r>
      <w:r w:rsidR="00DD7E52" w:rsidRPr="0013463A">
        <w:t xml:space="preserve">This is perhaps what led Unit Manager Leclerc to </w:t>
      </w:r>
      <w:r w:rsidRPr="0013463A">
        <w:t xml:space="preserve">say </w:t>
      </w:r>
      <w:r w:rsidR="00DD7E52" w:rsidRPr="0013463A">
        <w:t>that [</w:t>
      </w:r>
      <w:r w:rsidR="00DD7E52" w:rsidRPr="0013463A">
        <w:rPr>
          <w:smallCaps/>
        </w:rPr>
        <w:t>translation</w:t>
      </w:r>
      <w:r w:rsidR="00DD7E52" w:rsidRPr="0013463A">
        <w:t>] “from what [he] can remember, the search took place in cell 1”.</w:t>
      </w:r>
      <w:r w:rsidR="00DD7E52" w:rsidRPr="0013463A">
        <w:rPr>
          <w:rStyle w:val="Appelnotedebasdep"/>
        </w:rPr>
        <w:footnoteReference w:id="183"/>
      </w:r>
    </w:p>
    <w:p w14:paraId="3D7B357C" w14:textId="2D935BC4" w:rsidR="00836773" w:rsidRPr="0013463A" w:rsidRDefault="00622C72">
      <w:pPr>
        <w:pStyle w:val="Paragraphe"/>
        <w:tabs>
          <w:tab w:val="clear" w:pos="567"/>
        </w:tabs>
      </w:pPr>
      <w:r w:rsidRPr="0013463A">
        <w:t>From that point on, t</w:t>
      </w:r>
      <w:r w:rsidR="00DD7E52" w:rsidRPr="0013463A">
        <w:t xml:space="preserve">he </w:t>
      </w:r>
      <w:r w:rsidR="00687332">
        <w:t>persistence on performing</w:t>
      </w:r>
      <w:r w:rsidR="00DD7E52" w:rsidRPr="0013463A">
        <w:t xml:space="preserve"> the search according to the usual procedure</w:t>
      </w:r>
      <w:r w:rsidR="00C024E6" w:rsidRPr="0013463A">
        <w:rPr>
          <w:rStyle w:val="Appelnotedebasdep"/>
        </w:rPr>
        <w:footnoteReference w:id="184"/>
      </w:r>
      <w:r w:rsidR="00C024E6" w:rsidRPr="0013463A">
        <w:t xml:space="preserve"> </w:t>
      </w:r>
      <w:r w:rsidR="00DD7E52" w:rsidRPr="0013463A">
        <w:t xml:space="preserve">without regard to Mr. Toussaint’s condition or </w:t>
      </w:r>
      <w:r w:rsidRPr="0013463A">
        <w:t xml:space="preserve">to </w:t>
      </w:r>
      <w:r w:rsidR="00DD7E52" w:rsidRPr="0013463A">
        <w:t xml:space="preserve">the need to allow him to </w:t>
      </w:r>
      <w:r w:rsidR="00687332">
        <w:t>regain</w:t>
      </w:r>
      <w:r w:rsidR="00DD7E52" w:rsidRPr="0013463A">
        <w:t xml:space="preserve"> his senses </w:t>
      </w:r>
      <w:r w:rsidR="00687332">
        <w:t>is akin to</w:t>
      </w:r>
      <w:r w:rsidR="00687332" w:rsidRPr="0013463A">
        <w:t xml:space="preserve"> </w:t>
      </w:r>
      <w:r w:rsidR="00DD7E52" w:rsidRPr="0013463A">
        <w:t xml:space="preserve">a relentlessness incompatible with the very notion of accommodation. </w:t>
      </w:r>
    </w:p>
    <w:p w14:paraId="3ABF980F" w14:textId="732304CD" w:rsidR="00836773" w:rsidRPr="0013463A" w:rsidRDefault="00DD7E52">
      <w:pPr>
        <w:pStyle w:val="Paragraphe"/>
        <w:tabs>
          <w:tab w:val="clear" w:pos="567"/>
        </w:tabs>
      </w:pPr>
      <w:r w:rsidRPr="0013463A">
        <w:rPr>
          <w:b/>
          <w:bCs/>
          <w:i/>
          <w:iCs/>
        </w:rPr>
        <w:t>Sixth</w:t>
      </w:r>
      <w:r w:rsidRPr="0013463A">
        <w:t xml:space="preserve">, once Mr. Toussaint was decontaminated and summarily examined by the nurse, he was left alone </w:t>
      </w:r>
      <w:r w:rsidR="009201F0">
        <w:t>from</w:t>
      </w:r>
      <w:r w:rsidR="00E3684F" w:rsidRPr="0013463A">
        <w:t>11:10 a.m.</w:t>
      </w:r>
      <w:r w:rsidR="009201F0">
        <w:t xml:space="preserve"> onwards</w:t>
      </w:r>
      <w:r w:rsidR="005A3A2F" w:rsidRPr="0013463A">
        <w:t xml:space="preserve"> in cell 10, </w:t>
      </w:r>
      <w:r w:rsidRPr="0013463A">
        <w:t xml:space="preserve">naked and </w:t>
      </w:r>
      <w:r w:rsidR="002E2887" w:rsidRPr="0013463A">
        <w:t>suffering</w:t>
      </w:r>
      <w:r w:rsidR="00E3684F" w:rsidRPr="0013463A">
        <w:t>.</w:t>
      </w:r>
      <w:r w:rsidRPr="0013463A">
        <w:t xml:space="preserve"> </w:t>
      </w:r>
    </w:p>
    <w:p w14:paraId="63395243" w14:textId="3D56B736" w:rsidR="00836773" w:rsidRPr="0013463A" w:rsidRDefault="002E2887">
      <w:pPr>
        <w:pStyle w:val="Paragraphe"/>
        <w:tabs>
          <w:tab w:val="clear" w:pos="567"/>
        </w:tabs>
      </w:pPr>
      <w:r w:rsidRPr="0013463A">
        <w:t>All indications are</w:t>
      </w:r>
      <w:r w:rsidR="00DD7E52" w:rsidRPr="0013463A">
        <w:t xml:space="preserve"> that no one </w:t>
      </w:r>
      <w:r w:rsidR="005A3A2F" w:rsidRPr="0013463A">
        <w:t xml:space="preserve">was concerned with his </w:t>
      </w:r>
      <w:r w:rsidR="00DD7E52" w:rsidRPr="0013463A">
        <w:t xml:space="preserve">state for the rest of the day, until he left the facility </w:t>
      </w:r>
      <w:r w:rsidR="005A3A2F" w:rsidRPr="0013463A">
        <w:t xml:space="preserve">and went </w:t>
      </w:r>
      <w:r w:rsidR="00DD7E52" w:rsidRPr="0013463A">
        <w:t>home</w:t>
      </w:r>
      <w:r w:rsidR="00C87261">
        <w:t>.</w:t>
      </w:r>
    </w:p>
    <w:p w14:paraId="2915B3E0" w14:textId="26DD4B66" w:rsidR="00836773" w:rsidRPr="0013463A" w:rsidRDefault="005A3A2F">
      <w:pPr>
        <w:pStyle w:val="Paragraphe"/>
        <w:tabs>
          <w:tab w:val="clear" w:pos="567"/>
        </w:tabs>
      </w:pPr>
      <w:r w:rsidRPr="0013463A">
        <w:t>But if</w:t>
      </w:r>
      <w:r w:rsidR="00DD7E52" w:rsidRPr="0013463A">
        <w:t xml:space="preserve"> he was [</w:t>
      </w:r>
      <w:r w:rsidR="00DD7E52" w:rsidRPr="0013463A">
        <w:rPr>
          <w:smallCaps/>
        </w:rPr>
        <w:t>translation</w:t>
      </w:r>
      <w:r w:rsidR="00DD7E52" w:rsidRPr="0013463A">
        <w:t xml:space="preserve">] “in an </w:t>
      </w:r>
      <w:r w:rsidR="00622C72" w:rsidRPr="0013463A">
        <w:t>abnormal</w:t>
      </w:r>
      <w:r w:rsidR="00DD7E52" w:rsidRPr="0013463A">
        <w:t xml:space="preserve"> state, del</w:t>
      </w:r>
      <w:r w:rsidR="00622C72" w:rsidRPr="0013463A">
        <w:t>i</w:t>
      </w:r>
      <w:r w:rsidR="00DD7E52" w:rsidRPr="0013463A">
        <w:t>rious</w:t>
      </w:r>
      <w:r w:rsidR="00C87261">
        <w:t>,</w:t>
      </w:r>
      <w:r w:rsidR="00DD7E52" w:rsidRPr="0013463A">
        <w:t xml:space="preserve"> or intoxicated”</w:t>
      </w:r>
      <w:r w:rsidRPr="0013463A">
        <w:t>,</w:t>
      </w:r>
      <w:r w:rsidR="00DD7E52" w:rsidRPr="0013463A">
        <w:t xml:space="preserve"> and if </w:t>
      </w:r>
      <w:r w:rsidR="00C87261" w:rsidRPr="0013463A">
        <w:t>[</w:t>
      </w:r>
      <w:r w:rsidR="00C87261" w:rsidRPr="0013463A">
        <w:rPr>
          <w:smallCaps/>
        </w:rPr>
        <w:t>translation</w:t>
      </w:r>
      <w:r w:rsidR="00C87261" w:rsidRPr="0013463A">
        <w:t xml:space="preserve">] </w:t>
      </w:r>
      <w:r w:rsidR="00DD7E52" w:rsidRPr="0013463A">
        <w:t xml:space="preserve">“his mental balance presented some sort of dangerousness </w:t>
      </w:r>
      <w:r w:rsidRPr="0013463A">
        <w:t>giving rise</w:t>
      </w:r>
      <w:r w:rsidR="00DD7E52" w:rsidRPr="0013463A">
        <w:t xml:space="preserve"> to the use of force”, as the defendants submit, how can we explain Mr. Toussaint</w:t>
      </w:r>
      <w:r w:rsidRPr="0013463A">
        <w:t xml:space="preserve">’s release </w:t>
      </w:r>
      <w:r w:rsidR="00DD7E52" w:rsidRPr="0013463A">
        <w:t>at 4 p.m.</w:t>
      </w:r>
      <w:r w:rsidRPr="0013463A">
        <w:t xml:space="preserve"> that same day</w:t>
      </w:r>
      <w:r w:rsidR="00DD7E52" w:rsidRPr="0013463A">
        <w:t>, [</w:t>
      </w:r>
      <w:r w:rsidR="00DD7E52" w:rsidRPr="0013463A">
        <w:rPr>
          <w:smallCaps/>
        </w:rPr>
        <w:t>translation</w:t>
      </w:r>
      <w:r w:rsidR="00DD7E52" w:rsidRPr="0013463A">
        <w:t>] “with no other form of preventive control”?</w:t>
      </w:r>
      <w:r w:rsidR="001834C5" w:rsidRPr="0013463A">
        <w:t xml:space="preserve"> </w:t>
      </w:r>
      <w:r w:rsidR="00DD7E52" w:rsidRPr="0013463A">
        <w:t>This question, aptly raised by expert Bensimon,</w:t>
      </w:r>
      <w:r w:rsidR="00DD7E52" w:rsidRPr="0013463A">
        <w:rPr>
          <w:rStyle w:val="Appelnotedebasdep"/>
        </w:rPr>
        <w:footnoteReference w:id="185"/>
      </w:r>
      <w:r w:rsidR="00DD7E52" w:rsidRPr="0013463A">
        <w:t xml:space="preserve"> and which is in </w:t>
      </w:r>
      <w:r w:rsidRPr="0013463A">
        <w:t xml:space="preserve">line </w:t>
      </w:r>
      <w:r w:rsidR="00DD7E52" w:rsidRPr="0013463A">
        <w:t xml:space="preserve">with the rationale of reasonable accommodation, </w:t>
      </w:r>
      <w:r w:rsidRPr="0013463A">
        <w:t xml:space="preserve">has </w:t>
      </w:r>
      <w:r w:rsidR="00DD7E52" w:rsidRPr="0013463A">
        <w:t xml:space="preserve">remained without an </w:t>
      </w:r>
      <w:r w:rsidR="00DB5F85" w:rsidRPr="0013463A">
        <w:t>answer</w:t>
      </w:r>
      <w:r w:rsidR="00DD7E52" w:rsidRPr="0013463A">
        <w:t>, even after ten days of trial.</w:t>
      </w:r>
    </w:p>
    <w:p w14:paraId="40A2628E" w14:textId="0A0EF6AF" w:rsidR="00836773" w:rsidRPr="0013463A" w:rsidRDefault="00DD7E52">
      <w:pPr>
        <w:pStyle w:val="Paragraphe"/>
        <w:tabs>
          <w:tab w:val="clear" w:pos="567"/>
        </w:tabs>
      </w:pPr>
      <w:r w:rsidRPr="0013463A">
        <w:t xml:space="preserve">That said, in light of the evidence as a whole and the relevant </w:t>
      </w:r>
      <w:r w:rsidR="00DB5F85" w:rsidRPr="0013463A">
        <w:t>contextual</w:t>
      </w:r>
      <w:r w:rsidRPr="0013463A">
        <w:t xml:space="preserve"> elements, the Tribunal finds that the defendants have not established </w:t>
      </w:r>
      <w:r w:rsidR="005A3A2F" w:rsidRPr="0013463A">
        <w:t xml:space="preserve">that </w:t>
      </w:r>
      <w:r w:rsidRPr="0013463A">
        <w:t>“undue hardship” render</w:t>
      </w:r>
      <w:r w:rsidR="005A3A2F" w:rsidRPr="0013463A">
        <w:t>ed</w:t>
      </w:r>
      <w:r w:rsidRPr="0013463A">
        <w:t xml:space="preserve"> it impossible to put in place an accommodation to deal reasonably with Mr.</w:t>
      </w:r>
      <w:r w:rsidR="005A3A2F" w:rsidRPr="0013463A">
        <w:t> </w:t>
      </w:r>
      <w:r w:rsidRPr="0013463A">
        <w:t xml:space="preserve"> Toussaint’s “handicap” on December 4, 2016.</w:t>
      </w:r>
    </w:p>
    <w:p w14:paraId="30ABB4AF" w14:textId="0C352147" w:rsidR="00836773" w:rsidRPr="0013463A" w:rsidRDefault="00DD7E52" w:rsidP="00AE4CB5">
      <w:pPr>
        <w:pStyle w:val="Titre3"/>
        <w:ind w:left="709" w:hanging="709"/>
        <w:rPr>
          <w:b/>
          <w:bCs/>
          <w:i/>
          <w:iCs/>
          <w:u w:val="none"/>
          <w:lang w:val="en-CA"/>
        </w:rPr>
      </w:pPr>
      <w:r w:rsidRPr="0013463A">
        <w:rPr>
          <w:b/>
          <w:bCs/>
          <w:i/>
          <w:iCs/>
          <w:u w:val="none"/>
          <w:lang w:val="en-CA"/>
        </w:rPr>
        <w:t>Rebuttal of the allegation of racial profiling</w:t>
      </w:r>
    </w:p>
    <w:p w14:paraId="463F61E9" w14:textId="0997F8B8" w:rsidR="00836773" w:rsidRPr="0013463A" w:rsidRDefault="00DD7E52">
      <w:pPr>
        <w:pStyle w:val="Paragraphe"/>
        <w:tabs>
          <w:tab w:val="clear" w:pos="567"/>
        </w:tabs>
      </w:pPr>
      <w:r w:rsidRPr="0013463A">
        <w:t xml:space="preserve">The party </w:t>
      </w:r>
      <w:r w:rsidR="00DF25DD">
        <w:t xml:space="preserve">alleged to have engaged in a </w:t>
      </w:r>
      <w:r w:rsidR="000A6CF2">
        <w:t xml:space="preserve"> </w:t>
      </w:r>
      <w:r w:rsidRPr="0013463A">
        <w:t xml:space="preserve">discriminatory practice </w:t>
      </w:r>
      <w:r w:rsidR="00DF25DD">
        <w:t>based on</w:t>
      </w:r>
      <w:r w:rsidRPr="0013463A">
        <w:t xml:space="preserve"> race or skin colour may attempt to rebut such an allegation.</w:t>
      </w:r>
      <w:r w:rsidRPr="0013463A">
        <w:rPr>
          <w:rStyle w:val="Appelnotedebasdep"/>
        </w:rPr>
        <w:footnoteReference w:id="186"/>
      </w:r>
      <w:r w:rsidR="001834C5" w:rsidRPr="0013463A">
        <w:t xml:space="preserve"> </w:t>
      </w:r>
    </w:p>
    <w:p w14:paraId="089BF44D" w14:textId="07A13221" w:rsidR="00836773" w:rsidRPr="0013463A" w:rsidRDefault="00DD7E52">
      <w:pPr>
        <w:pStyle w:val="Paragraphe"/>
        <w:tabs>
          <w:tab w:val="clear" w:pos="567"/>
        </w:tabs>
      </w:pPr>
      <w:r w:rsidRPr="0013463A">
        <w:t xml:space="preserve">All the </w:t>
      </w:r>
      <w:r w:rsidR="00110E24" w:rsidRPr="0013463A">
        <w:t>CO</w:t>
      </w:r>
      <w:r w:rsidRPr="0013463A">
        <w:t>s who testified before the Tribunal denied that they said or even heard racist insults aimed at Mr. Toussaint.</w:t>
      </w:r>
      <w:r w:rsidR="001834C5" w:rsidRPr="0013463A">
        <w:t xml:space="preserve"> </w:t>
      </w:r>
      <w:r w:rsidRPr="0013463A">
        <w:t>Moreover, the AGQ, on the basis of expert Léveillée</w:t>
      </w:r>
      <w:r w:rsidR="00646955" w:rsidRPr="0013463A">
        <w:t>’s report</w:t>
      </w:r>
      <w:r w:rsidRPr="0013463A">
        <w:t xml:space="preserve">, maintains </w:t>
      </w:r>
      <w:r w:rsidR="00DB5F85" w:rsidRPr="0013463A">
        <w:t>that</w:t>
      </w:r>
      <w:r w:rsidRPr="0013463A">
        <w:t xml:space="preserve"> they acted </w:t>
      </w:r>
      <w:r w:rsidR="00646955" w:rsidRPr="0013463A">
        <w:t>according to</w:t>
      </w:r>
      <w:r w:rsidRPr="0013463A">
        <w:t xml:space="preserve"> good practice in the use of force.</w:t>
      </w:r>
      <w:r w:rsidR="001834C5" w:rsidRPr="0013463A">
        <w:t xml:space="preserve"> </w:t>
      </w:r>
    </w:p>
    <w:p w14:paraId="61F7DA7A" w14:textId="47AB16BE" w:rsidR="00836773" w:rsidRPr="0013463A" w:rsidRDefault="00DD7E52">
      <w:pPr>
        <w:pStyle w:val="Paragraphe"/>
        <w:tabs>
          <w:tab w:val="clear" w:pos="567"/>
        </w:tabs>
      </w:pPr>
      <w:r w:rsidRPr="0013463A">
        <w:t xml:space="preserve">That said, in such situations, the existence of </w:t>
      </w:r>
      <w:r w:rsidR="008D1788">
        <w:t>[</w:t>
      </w:r>
      <w:r w:rsidR="008D1788" w:rsidRPr="008D1788">
        <w:rPr>
          <w:smallCaps/>
        </w:rPr>
        <w:t>translation</w:t>
      </w:r>
      <w:r w:rsidR="008D1788">
        <w:t xml:space="preserve">] </w:t>
      </w:r>
      <w:r w:rsidRPr="0013463A">
        <w:t xml:space="preserve">“unusual treatment” of a Black person may reveal racial </w:t>
      </w:r>
      <w:r w:rsidR="000A6CF2">
        <w:t>profiling</w:t>
      </w:r>
      <w:r w:rsidRPr="0013463A">
        <w:t xml:space="preserve"> in comparison with the White majority:</w:t>
      </w:r>
    </w:p>
    <w:p w14:paraId="457D0035" w14:textId="72B5BDD4" w:rsidR="00DB5F85" w:rsidRPr="0013463A" w:rsidRDefault="00DB5F85" w:rsidP="00E023BD">
      <w:pPr>
        <w:pStyle w:val="Citationenretrait"/>
        <w:rPr>
          <w:lang w:val="en-CA"/>
        </w:rPr>
      </w:pPr>
      <w:r w:rsidRPr="0013463A">
        <w:rPr>
          <w:lang w:val="en-CA"/>
        </w:rPr>
        <w:t>[</w:t>
      </w:r>
      <w:r w:rsidRPr="0013463A">
        <w:rPr>
          <w:smallCaps/>
          <w:lang w:val="en-CA"/>
        </w:rPr>
        <w:t>translation</w:t>
      </w:r>
      <w:r w:rsidRPr="0013463A">
        <w:rPr>
          <w:lang w:val="en-CA"/>
        </w:rPr>
        <w:t>]</w:t>
      </w:r>
    </w:p>
    <w:p w14:paraId="7C857679" w14:textId="4E0CCEB7" w:rsidR="00836773" w:rsidRPr="0013463A" w:rsidRDefault="00DD7E52" w:rsidP="00E023BD">
      <w:pPr>
        <w:pStyle w:val="Citationenretrait"/>
        <w:rPr>
          <w:lang w:val="en-CA"/>
        </w:rPr>
      </w:pPr>
      <w:r w:rsidRPr="0013463A">
        <w:rPr>
          <w:lang w:val="en-CA"/>
        </w:rPr>
        <w:t xml:space="preserve">With respect to racial profiling, the plaintiff must </w:t>
      </w:r>
      <w:r w:rsidRPr="0013463A">
        <w:rPr>
          <w:u w:val="single"/>
          <w:lang w:val="en-CA"/>
        </w:rPr>
        <w:t>prove that the treatment to which they were subjected by a person in authority is unusual</w:t>
      </w:r>
      <w:r w:rsidRPr="0013463A">
        <w:rPr>
          <w:lang w:val="en-CA"/>
        </w:rPr>
        <w:t>.</w:t>
      </w:r>
      <w:r w:rsidR="001834C5" w:rsidRPr="0013463A">
        <w:rPr>
          <w:lang w:val="en-CA"/>
        </w:rPr>
        <w:t xml:space="preserve"> </w:t>
      </w:r>
      <w:r w:rsidRPr="0013463A">
        <w:rPr>
          <w:lang w:val="en-CA"/>
        </w:rPr>
        <w:t>In other words, was there, according to the – generally circumstantial – evidence available, improper behaviour by a police officer as compared with usual practices in similar circumstances?</w:t>
      </w:r>
      <w:r w:rsidRPr="0013463A">
        <w:rPr>
          <w:rStyle w:val="Appelnotedebasdep"/>
          <w:lang w:val="en-CA"/>
        </w:rPr>
        <w:footnoteReference w:id="187"/>
      </w:r>
    </w:p>
    <w:p w14:paraId="271EFF56" w14:textId="0EAF3870" w:rsidR="00836773" w:rsidRPr="0013463A" w:rsidRDefault="00037D95" w:rsidP="00E93485">
      <w:pPr>
        <w:pStyle w:val="Citationenretrait"/>
        <w:spacing w:after="0" w:line="240" w:lineRule="auto"/>
        <w:jc w:val="right"/>
        <w:rPr>
          <w:sz w:val="20"/>
          <w:lang w:val="en-CA"/>
        </w:rPr>
      </w:pPr>
      <w:r w:rsidRPr="0013463A">
        <w:rPr>
          <w:sz w:val="20"/>
          <w:lang w:val="en-CA"/>
        </w:rPr>
        <w:t>(Emphasis added)</w:t>
      </w:r>
    </w:p>
    <w:p w14:paraId="6B3657FD" w14:textId="673D88DC" w:rsidR="00836773" w:rsidRPr="0013463A" w:rsidRDefault="002B1E9A" w:rsidP="00E93485">
      <w:pPr>
        <w:pStyle w:val="Citationenretrait"/>
        <w:spacing w:after="0" w:line="240" w:lineRule="auto"/>
        <w:jc w:val="right"/>
        <w:rPr>
          <w:sz w:val="20"/>
          <w:lang w:val="en-CA"/>
        </w:rPr>
      </w:pPr>
      <w:r w:rsidRPr="0013463A">
        <w:rPr>
          <w:sz w:val="20"/>
          <w:lang w:val="en-CA"/>
        </w:rPr>
        <w:t>(References omitted)</w:t>
      </w:r>
    </w:p>
    <w:p w14:paraId="1EDA6545" w14:textId="68240F88" w:rsidR="00836773" w:rsidRPr="0013463A" w:rsidRDefault="00DD7E52">
      <w:pPr>
        <w:pStyle w:val="Paragraphe"/>
        <w:tabs>
          <w:tab w:val="clear" w:pos="567"/>
        </w:tabs>
      </w:pPr>
      <w:r w:rsidRPr="0013463A">
        <w:t xml:space="preserve">Because </w:t>
      </w:r>
      <w:r w:rsidR="00110E24" w:rsidRPr="0013463A">
        <w:t>CO</w:t>
      </w:r>
      <w:r w:rsidRPr="0013463A">
        <w:t xml:space="preserve">s, like the police, are </w:t>
      </w:r>
      <w:r w:rsidR="00404A6F">
        <w:t>[</w:t>
      </w:r>
      <w:r w:rsidR="00404A6F" w:rsidRPr="00404A6F">
        <w:rPr>
          <w:smallCaps/>
        </w:rPr>
        <w:t>translation</w:t>
      </w:r>
      <w:r w:rsidR="00404A6F">
        <w:t xml:space="preserve">] </w:t>
      </w:r>
      <w:r w:rsidRPr="0013463A">
        <w:t xml:space="preserve">“persons in </w:t>
      </w:r>
      <w:r w:rsidR="00DB5F85" w:rsidRPr="0013463A">
        <w:t>authority</w:t>
      </w:r>
      <w:r w:rsidRPr="0013463A">
        <w:t xml:space="preserve">”, the </w:t>
      </w:r>
      <w:r w:rsidR="00404A6F">
        <w:t>[</w:t>
      </w:r>
      <w:r w:rsidR="00404A6F" w:rsidRPr="00404A6F">
        <w:rPr>
          <w:smallCaps/>
        </w:rPr>
        <w:t>translation</w:t>
      </w:r>
      <w:r w:rsidR="00404A6F">
        <w:t xml:space="preserve">] </w:t>
      </w:r>
      <w:r w:rsidRPr="0013463A">
        <w:t xml:space="preserve">“unusual treatment” of a Black </w:t>
      </w:r>
      <w:r w:rsidR="00CE1A49">
        <w:t>inmate</w:t>
      </w:r>
      <w:r w:rsidRPr="0013463A">
        <w:t xml:space="preserve"> may make it difficult to rebut the allegation of racial profiling made against them.</w:t>
      </w:r>
      <w:r w:rsidR="001834C5" w:rsidRPr="0013463A">
        <w:t xml:space="preserve"> </w:t>
      </w:r>
    </w:p>
    <w:p w14:paraId="3B6BD252" w14:textId="68E68C28" w:rsidR="00836773" w:rsidRPr="0013463A" w:rsidRDefault="00DD7E52">
      <w:pPr>
        <w:pStyle w:val="Paragraphe"/>
        <w:tabs>
          <w:tab w:val="clear" w:pos="567"/>
        </w:tabs>
      </w:pPr>
      <w:r w:rsidRPr="0013463A">
        <w:t xml:space="preserve">It is sufficient to </w:t>
      </w:r>
      <w:r w:rsidR="00646955" w:rsidRPr="0013463A">
        <w:t>invoke</w:t>
      </w:r>
      <w:r w:rsidRPr="0013463A">
        <w:t xml:space="preserve"> a few pieces of evidence to illustrate the “unusual treatment” suffered by Mr. Toussaint.</w:t>
      </w:r>
    </w:p>
    <w:p w14:paraId="32706DDB" w14:textId="3194093C" w:rsidR="00836773" w:rsidRPr="0013463A" w:rsidRDefault="00DD7E52">
      <w:pPr>
        <w:pStyle w:val="Paragraphe"/>
        <w:tabs>
          <w:tab w:val="clear" w:pos="567"/>
        </w:tabs>
      </w:pPr>
      <w:r w:rsidRPr="0013463A">
        <w:rPr>
          <w:b/>
          <w:bCs/>
          <w:i/>
          <w:iCs/>
        </w:rPr>
        <w:t xml:space="preserve">First, </w:t>
      </w:r>
      <w:r w:rsidRPr="0013463A">
        <w:t xml:space="preserve">he was treated with the same firmness that would </w:t>
      </w:r>
      <w:r w:rsidR="00646955" w:rsidRPr="0013463A">
        <w:t xml:space="preserve">have been </w:t>
      </w:r>
      <w:r w:rsidRPr="0013463A">
        <w:t xml:space="preserve">used on a hardened criminal, whereas he </w:t>
      </w:r>
      <w:r w:rsidR="00646955" w:rsidRPr="0013463A">
        <w:t xml:space="preserve">was </w:t>
      </w:r>
      <w:r w:rsidRPr="0013463A">
        <w:t>21 years old, having his first experience in prison, and</w:t>
      </w:r>
      <w:r w:rsidR="00E870BF" w:rsidRPr="0013463A">
        <w:t>, moreover,</w:t>
      </w:r>
      <w:r w:rsidRPr="0013463A">
        <w:t xml:space="preserve"> serving an intermittent sentence, which according to expert Bensimon is a punishment reserved for convicts presenting low levels of dangerousness.</w:t>
      </w:r>
      <w:r w:rsidR="001834C5" w:rsidRPr="0013463A">
        <w:t xml:space="preserve"> </w:t>
      </w:r>
      <w:r w:rsidRPr="0013463A">
        <w:t>This last statement by the expert is logical and corroborated by the fact that Mr. Toussain</w:t>
      </w:r>
      <w:r w:rsidR="00E870BF" w:rsidRPr="0013463A">
        <w:t>t</w:t>
      </w:r>
      <w:r w:rsidRPr="0013463A">
        <w:t xml:space="preserve"> was </w:t>
      </w:r>
      <w:r w:rsidR="00E870BF" w:rsidRPr="0013463A">
        <w:t>allowed</w:t>
      </w:r>
      <w:r w:rsidRPr="0013463A">
        <w:t xml:space="preserve"> to leave at the end of the day.</w:t>
      </w:r>
      <w:r w:rsidR="001834C5" w:rsidRPr="0013463A">
        <w:t xml:space="preserve"> </w:t>
      </w:r>
    </w:p>
    <w:p w14:paraId="1E332AC6" w14:textId="786F8FA0" w:rsidR="00836773" w:rsidRPr="0013463A" w:rsidRDefault="00DD7E52">
      <w:pPr>
        <w:pStyle w:val="Paragraphe"/>
        <w:tabs>
          <w:tab w:val="clear" w:pos="567"/>
        </w:tabs>
      </w:pPr>
      <w:r w:rsidRPr="0013463A">
        <w:rPr>
          <w:b/>
          <w:bCs/>
          <w:i/>
          <w:iCs/>
        </w:rPr>
        <w:t xml:space="preserve">Second, </w:t>
      </w:r>
      <w:r w:rsidRPr="0013463A">
        <w:t>it appears highly exception</w:t>
      </w:r>
      <w:r w:rsidR="00E870BF" w:rsidRPr="0013463A">
        <w:t>al</w:t>
      </w:r>
      <w:r w:rsidRPr="0013463A">
        <w:t xml:space="preserve"> </w:t>
      </w:r>
      <w:r w:rsidR="004D08EE">
        <w:t>that</w:t>
      </w:r>
      <w:r w:rsidRPr="0013463A">
        <w:t xml:space="preserve"> an inmate serving an intermittent sentence</w:t>
      </w:r>
      <w:r w:rsidR="004D08EE">
        <w:t xml:space="preserve"> should have to submit, under duress of COs, to the cutting up of his personal clothes </w:t>
      </w:r>
      <w:r w:rsidRPr="0013463A">
        <w:t>with a Hoffman knife.</w:t>
      </w:r>
    </w:p>
    <w:p w14:paraId="2BFCBAF5" w14:textId="37706D2D" w:rsidR="00836773" w:rsidRPr="0013463A" w:rsidRDefault="00DD7E52">
      <w:pPr>
        <w:pStyle w:val="Paragraphe"/>
        <w:tabs>
          <w:tab w:val="clear" w:pos="567"/>
        </w:tabs>
      </w:pPr>
      <w:r w:rsidRPr="0013463A">
        <w:rPr>
          <w:b/>
          <w:bCs/>
          <w:i/>
          <w:iCs/>
        </w:rPr>
        <w:t>Third</w:t>
      </w:r>
      <w:r w:rsidRPr="0013463A">
        <w:t xml:space="preserve">, escorting a totally naked male inmate through corridors from one cell to another, in view of two female </w:t>
      </w:r>
      <w:r w:rsidR="00110E24" w:rsidRPr="0013463A">
        <w:t>CO</w:t>
      </w:r>
      <w:r w:rsidRPr="0013463A">
        <w:t xml:space="preserve">s, is clearly not a common practice. </w:t>
      </w:r>
      <w:r w:rsidR="00F46FAB">
        <w:t xml:space="preserve">Mr. </w:t>
      </w:r>
      <w:r w:rsidRPr="0013463A">
        <w:t>Christian Thibault, Director of the CDQ at the time of the events at issue, admits that [</w:t>
      </w:r>
      <w:r w:rsidRPr="0013463A">
        <w:rPr>
          <w:smallCaps/>
        </w:rPr>
        <w:t>translation</w:t>
      </w:r>
      <w:r w:rsidRPr="0013463A">
        <w:t>] “it is</w:t>
      </w:r>
      <w:r w:rsidR="00E870BF" w:rsidRPr="0013463A">
        <w:t>n’</w:t>
      </w:r>
      <w:r w:rsidRPr="0013463A">
        <w:t>t the usual practice”</w:t>
      </w:r>
      <w:r w:rsidRPr="0013463A">
        <w:rPr>
          <w:rStyle w:val="Appelnotedebasdep"/>
        </w:rPr>
        <w:footnoteReference w:id="188"/>
      </w:r>
      <w:r w:rsidRPr="0013463A">
        <w:t xml:space="preserve"> to move a</w:t>
      </w:r>
      <w:r w:rsidR="00E870BF" w:rsidRPr="0013463A">
        <w:t>n inmate within the interior of the facility when he is</w:t>
      </w:r>
      <w:r w:rsidRPr="0013463A">
        <w:t xml:space="preserve"> completely naked.</w:t>
      </w:r>
      <w:r w:rsidR="001834C5" w:rsidRPr="0013463A">
        <w:t xml:space="preserve"> </w:t>
      </w:r>
      <w:r w:rsidRPr="0013463A">
        <w:t>He add</w:t>
      </w:r>
      <w:r w:rsidR="00E870BF" w:rsidRPr="0013463A">
        <w:t>s</w:t>
      </w:r>
      <w:r w:rsidRPr="0013463A">
        <w:t xml:space="preserve"> that [</w:t>
      </w:r>
      <w:r w:rsidRPr="0013463A">
        <w:rPr>
          <w:smallCaps/>
        </w:rPr>
        <w:t>translation</w:t>
      </w:r>
      <w:r w:rsidRPr="0013463A">
        <w:t>] “it isn’t common”</w:t>
      </w:r>
      <w:r w:rsidRPr="0013463A">
        <w:rPr>
          <w:rStyle w:val="Appelnotedebasdep"/>
        </w:rPr>
        <w:footnoteReference w:id="189"/>
      </w:r>
      <w:r w:rsidRPr="0013463A">
        <w:t xml:space="preserve"> to allow female </w:t>
      </w:r>
      <w:r w:rsidR="00110E24" w:rsidRPr="0013463A">
        <w:t>CO</w:t>
      </w:r>
      <w:r w:rsidRPr="0013463A">
        <w:t>s to have visual acces</w:t>
      </w:r>
      <w:r w:rsidR="00E870BF" w:rsidRPr="0013463A">
        <w:t>s</w:t>
      </w:r>
      <w:r w:rsidRPr="0013463A">
        <w:t xml:space="preserve"> to a totally unclothed male inmate.</w:t>
      </w:r>
      <w:r w:rsidR="001834C5" w:rsidRPr="0013463A">
        <w:t xml:space="preserve"> </w:t>
      </w:r>
    </w:p>
    <w:p w14:paraId="199D185B" w14:textId="537DC262" w:rsidR="00836773" w:rsidRPr="0013463A" w:rsidRDefault="00DD7E52">
      <w:pPr>
        <w:pStyle w:val="Paragraphe"/>
        <w:tabs>
          <w:tab w:val="clear" w:pos="567"/>
        </w:tabs>
      </w:pPr>
      <w:r w:rsidRPr="0013463A">
        <w:t>Moreover, according to the applicable rule, [</w:t>
      </w:r>
      <w:r w:rsidRPr="0013463A">
        <w:rPr>
          <w:smallCaps/>
        </w:rPr>
        <w:t>translation</w:t>
      </w:r>
      <w:r w:rsidRPr="0013463A">
        <w:t xml:space="preserve">] “strip searches must always be done out of sight, in accordance with the principle of respect for human dignity </w:t>
      </w:r>
      <w:r w:rsidR="00404A6F">
        <w:t xml:space="preserve">set out </w:t>
      </w:r>
      <w:r w:rsidRPr="0013463A">
        <w:t xml:space="preserve">in the </w:t>
      </w:r>
      <w:r w:rsidRPr="0013463A">
        <w:rPr>
          <w:i/>
          <w:iCs/>
        </w:rPr>
        <w:t>Charter of human rights and freedoms</w:t>
      </w:r>
      <w:r w:rsidRPr="0013463A">
        <w:t xml:space="preserve"> and the </w:t>
      </w:r>
      <w:r w:rsidRPr="0013463A">
        <w:rPr>
          <w:i/>
          <w:iCs/>
        </w:rPr>
        <w:t>Canadian Charter of Rights and Freedoms</w:t>
      </w:r>
      <w:r w:rsidRPr="0013463A">
        <w:t>”.</w:t>
      </w:r>
      <w:r w:rsidRPr="0013463A">
        <w:rPr>
          <w:rStyle w:val="Appelnotedebasdep"/>
        </w:rPr>
        <w:footnoteReference w:id="190"/>
      </w:r>
    </w:p>
    <w:p w14:paraId="3ABC1C3F" w14:textId="6200864C" w:rsidR="00836773" w:rsidRPr="0013463A" w:rsidRDefault="00DD7E52">
      <w:pPr>
        <w:pStyle w:val="Paragraphe"/>
        <w:tabs>
          <w:tab w:val="clear" w:pos="567"/>
        </w:tabs>
      </w:pPr>
      <w:r w:rsidRPr="0013463A">
        <w:rPr>
          <w:b/>
          <w:bCs/>
          <w:i/>
          <w:iCs/>
        </w:rPr>
        <w:t xml:space="preserve">Fourth, </w:t>
      </w:r>
      <w:r w:rsidRPr="0013463A">
        <w:t xml:space="preserve">it is abnormal </w:t>
      </w:r>
      <w:r w:rsidR="00E870BF" w:rsidRPr="0013463A">
        <w:t>to mobilize</w:t>
      </w:r>
      <w:r w:rsidRPr="0013463A">
        <w:t xml:space="preserve"> such a high number of </w:t>
      </w:r>
      <w:r w:rsidR="00110E24" w:rsidRPr="0013463A">
        <w:t>CO</w:t>
      </w:r>
      <w:r w:rsidRPr="0013463A">
        <w:t>s to intervene with Mr.</w:t>
      </w:r>
      <w:r w:rsidR="00E870BF" w:rsidRPr="0013463A">
        <w:t> </w:t>
      </w:r>
      <w:r w:rsidRPr="0013463A">
        <w:t>Toussaint.</w:t>
      </w:r>
      <w:r w:rsidR="00E870BF" w:rsidRPr="0013463A">
        <w:t xml:space="preserve"> In</w:t>
      </w:r>
      <w:r w:rsidR="00F46FAB">
        <w:t>d</w:t>
      </w:r>
      <w:r w:rsidR="00E870BF" w:rsidRPr="0013463A">
        <w:t>eed, Director Thibeault acknowledges,</w:t>
      </w:r>
      <w:r w:rsidR="001834C5" w:rsidRPr="0013463A">
        <w:t xml:space="preserve"> </w:t>
      </w:r>
      <w:r w:rsidRPr="0013463A">
        <w:t>[</w:t>
      </w:r>
      <w:r w:rsidRPr="0013463A">
        <w:rPr>
          <w:smallCaps/>
        </w:rPr>
        <w:t>translation</w:t>
      </w:r>
      <w:r w:rsidRPr="0013463A">
        <w:t xml:space="preserve">] “The agents were very, very </w:t>
      </w:r>
      <w:r w:rsidR="008121E5" w:rsidRPr="0013463A">
        <w:t>numerous</w:t>
      </w:r>
      <w:r w:rsidR="00E870BF" w:rsidRPr="0013463A">
        <w:t>”</w:t>
      </w:r>
      <w:r w:rsidRPr="0013463A">
        <w:t>.</w:t>
      </w:r>
      <w:r w:rsidR="001834C5" w:rsidRPr="0013463A">
        <w:t xml:space="preserve"> </w:t>
      </w:r>
      <w:r w:rsidRPr="0013463A">
        <w:t xml:space="preserve">Nothing can justify the presence near the end of the intervention of at least nine of them </w:t>
      </w:r>
      <w:r w:rsidR="00AA3460" w:rsidRPr="0013463A">
        <w:t xml:space="preserve">– </w:t>
      </w:r>
      <w:r w:rsidRPr="0013463A">
        <w:t>some</w:t>
      </w:r>
      <w:r w:rsidR="00AA3460" w:rsidRPr="0013463A">
        <w:t xml:space="preserve"> active</w:t>
      </w:r>
      <w:r w:rsidRPr="0013463A">
        <w:t>, others mere</w:t>
      </w:r>
      <w:r w:rsidR="002F0139">
        <w:t xml:space="preserve"> </w:t>
      </w:r>
      <w:r w:rsidR="002F0139" w:rsidRPr="0013463A">
        <w:t>[</w:t>
      </w:r>
      <w:r w:rsidR="002F0139" w:rsidRPr="0013463A">
        <w:rPr>
          <w:smallCaps/>
        </w:rPr>
        <w:t>translation</w:t>
      </w:r>
      <w:r w:rsidR="002F0139" w:rsidRPr="0013463A">
        <w:t>]</w:t>
      </w:r>
      <w:r w:rsidRPr="0013463A">
        <w:t xml:space="preserve"> “</w:t>
      </w:r>
      <w:r w:rsidR="008121E5" w:rsidRPr="0013463A">
        <w:t>spectators</w:t>
      </w:r>
      <w:r w:rsidRPr="0013463A">
        <w:t>”</w:t>
      </w:r>
      <w:r w:rsidRPr="0013463A">
        <w:rPr>
          <w:rStyle w:val="Appelnotedebasdep"/>
        </w:rPr>
        <w:footnoteReference w:id="191"/>
      </w:r>
      <w:r w:rsidR="002F0139" w:rsidRPr="0013463A">
        <w:t xml:space="preserve"> – in a very small cell, </w:t>
      </w:r>
      <w:r w:rsidR="00001547">
        <w:t>facing</w:t>
      </w:r>
      <w:r w:rsidR="002F0139" w:rsidRPr="0013463A">
        <w:t xml:space="preserve"> a young man </w:t>
      </w:r>
      <w:r w:rsidR="0008074D">
        <w:t xml:space="preserve">who was </w:t>
      </w:r>
      <w:r w:rsidR="002F0139" w:rsidRPr="0013463A">
        <w:t>naked, handcuffed</w:t>
      </w:r>
      <w:r w:rsidR="002F0139">
        <w:t>,</w:t>
      </w:r>
      <w:r w:rsidR="002F0139" w:rsidRPr="0013463A">
        <w:t xml:space="preserve"> and unstable, unless </w:t>
      </w:r>
      <w:r w:rsidR="00001547">
        <w:t>they wanted</w:t>
      </w:r>
      <w:r w:rsidR="002F0139" w:rsidRPr="0013463A">
        <w:t xml:space="preserve"> to make such an impression on him that it border</w:t>
      </w:r>
      <w:r w:rsidR="00001547">
        <w:t>ed</w:t>
      </w:r>
      <w:r w:rsidR="002F0139" w:rsidRPr="0013463A">
        <w:t xml:space="preserve"> on intimidation. </w:t>
      </w:r>
      <w:r w:rsidR="001834C5" w:rsidRPr="0013463A">
        <w:t xml:space="preserve">  </w:t>
      </w:r>
    </w:p>
    <w:p w14:paraId="5D9477C6" w14:textId="14B358A1" w:rsidR="00836773" w:rsidRPr="0013463A" w:rsidRDefault="00DD7E52">
      <w:pPr>
        <w:pStyle w:val="Paragraphe"/>
        <w:tabs>
          <w:tab w:val="clear" w:pos="567"/>
        </w:tabs>
      </w:pPr>
      <w:r w:rsidRPr="0013463A">
        <w:rPr>
          <w:b/>
          <w:bCs/>
          <w:i/>
          <w:iCs/>
        </w:rPr>
        <w:t xml:space="preserve">Fifth, </w:t>
      </w:r>
      <w:r w:rsidRPr="0013463A">
        <w:t xml:space="preserve">the decontamination procedure used </w:t>
      </w:r>
      <w:r w:rsidR="00AA3460" w:rsidRPr="0013463A">
        <w:t xml:space="preserve">did not comply </w:t>
      </w:r>
      <w:r w:rsidRPr="0013463A">
        <w:t>with standards.</w:t>
      </w:r>
      <w:r w:rsidR="001834C5" w:rsidRPr="0013463A">
        <w:t xml:space="preserve"> </w:t>
      </w:r>
      <w:r w:rsidR="001455DB">
        <w:t>A</w:t>
      </w:r>
      <w:r w:rsidRPr="0013463A">
        <w:t xml:space="preserve">ccording to Mr. Toussaint’s testimony, which is not contradicted on this point, the </w:t>
      </w:r>
      <w:r w:rsidR="00110E24" w:rsidRPr="0013463A">
        <w:t>CO</w:t>
      </w:r>
      <w:r w:rsidRPr="0013463A">
        <w:t xml:space="preserve"> who performed this procedure rubbed his face with the shower head.</w:t>
      </w:r>
      <w:r w:rsidR="001834C5" w:rsidRPr="0013463A">
        <w:t xml:space="preserve"> </w:t>
      </w:r>
      <w:r w:rsidR="001455DB">
        <w:t>Moreover</w:t>
      </w:r>
      <w:r w:rsidRPr="0013463A">
        <w:t>, the length of the decontamination was much short</w:t>
      </w:r>
      <w:r w:rsidR="00AA3460" w:rsidRPr="0013463A">
        <w:t>er</w:t>
      </w:r>
      <w:r w:rsidRPr="0013463A">
        <w:t xml:space="preserve"> that </w:t>
      </w:r>
      <w:r w:rsidR="00AA3460" w:rsidRPr="0013463A">
        <w:t xml:space="preserve">what is </w:t>
      </w:r>
      <w:r w:rsidRPr="0013463A">
        <w:t>prescribed by the Instruction, which requires [</w:t>
      </w:r>
      <w:r w:rsidRPr="0013463A">
        <w:rPr>
          <w:smallCaps/>
        </w:rPr>
        <w:t>translation</w:t>
      </w:r>
      <w:r w:rsidRPr="0013463A">
        <w:t>] “washing the contaminated skin” and [</w:t>
      </w:r>
      <w:r w:rsidRPr="0013463A">
        <w:rPr>
          <w:smallCaps/>
        </w:rPr>
        <w:t>translation</w:t>
      </w:r>
      <w:r w:rsidRPr="0013463A">
        <w:t>] “rinsing the eyes thoroughly with lukewarm water for at least 15 minutes”.</w:t>
      </w:r>
      <w:r w:rsidRPr="0013463A">
        <w:rPr>
          <w:rStyle w:val="Appelnotedebasdep"/>
        </w:rPr>
        <w:footnoteReference w:id="192"/>
      </w:r>
    </w:p>
    <w:p w14:paraId="23C3CD6F" w14:textId="7B73C8D2" w:rsidR="00836773" w:rsidRPr="0013463A" w:rsidRDefault="00DD7E52" w:rsidP="00C10BBE">
      <w:pPr>
        <w:pStyle w:val="Paragraphe"/>
        <w:tabs>
          <w:tab w:val="clear" w:pos="567"/>
        </w:tabs>
      </w:pPr>
      <w:r w:rsidRPr="005C26B2">
        <w:rPr>
          <w:b/>
          <w:bCs/>
          <w:i/>
          <w:iCs/>
        </w:rPr>
        <w:t>Sixth</w:t>
      </w:r>
      <w:r w:rsidRPr="0013463A">
        <w:rPr>
          <w:b/>
          <w:bCs/>
          <w:i/>
          <w:iCs/>
        </w:rPr>
        <w:t xml:space="preserve">, </w:t>
      </w:r>
      <w:r w:rsidRPr="0013463A">
        <w:t xml:space="preserve">once </w:t>
      </w:r>
      <w:r w:rsidR="00AA3460" w:rsidRPr="0013463A">
        <w:t>through</w:t>
      </w:r>
      <w:r w:rsidRPr="0013463A">
        <w:t xml:space="preserve"> the decontamination station, Mr. Toussaint was escorted to</w:t>
      </w:r>
      <w:r w:rsidR="00AA3460" w:rsidRPr="0013463A">
        <w:t xml:space="preserve"> cell 10</w:t>
      </w:r>
      <w:r w:rsidRPr="0013463A">
        <w:t>, naked and wet.</w:t>
      </w:r>
      <w:r w:rsidR="001834C5" w:rsidRPr="0013463A">
        <w:t xml:space="preserve"> </w:t>
      </w:r>
      <w:r w:rsidRPr="0013463A">
        <w:t xml:space="preserve">He remained there until he left at the end of the day, without receiving towels, clothing </w:t>
      </w:r>
      <w:r w:rsidR="00AA3460" w:rsidRPr="0013463A">
        <w:t>–</w:t>
      </w:r>
      <w:r w:rsidRPr="0013463A">
        <w:t xml:space="preserve"> not even an anti-suicide smock</w:t>
      </w:r>
      <w:r w:rsidR="00AA3460" w:rsidRPr="0013463A">
        <w:t xml:space="preserve"> – a </w:t>
      </w:r>
      <w:r w:rsidRPr="0013463A">
        <w:t>mattress</w:t>
      </w:r>
      <w:r w:rsidR="00AA3460" w:rsidRPr="0013463A">
        <w:t>,</w:t>
      </w:r>
      <w:r w:rsidRPr="0013463A">
        <w:t xml:space="preserve"> or </w:t>
      </w:r>
      <w:r w:rsidR="00AA3460" w:rsidRPr="0013463A">
        <w:t xml:space="preserve">a </w:t>
      </w:r>
      <w:r w:rsidRPr="0013463A">
        <w:t xml:space="preserve">meal. </w:t>
      </w:r>
      <w:r w:rsidR="00AA3460" w:rsidRPr="0013463A">
        <w:t xml:space="preserve">These </w:t>
      </w:r>
      <w:r w:rsidR="005C26B2">
        <w:t>are</w:t>
      </w:r>
      <w:r w:rsidR="00AA3460" w:rsidRPr="0013463A">
        <w:t xml:space="preserve"> all </w:t>
      </w:r>
      <w:r w:rsidRPr="0013463A">
        <w:t>unusual breaches, in the words of Director Thibeault himself:</w:t>
      </w:r>
    </w:p>
    <w:p w14:paraId="5F8A182C" w14:textId="77777777" w:rsidR="00AA3460" w:rsidRPr="0013463A" w:rsidRDefault="00DD7E52" w:rsidP="00AA3460">
      <w:pPr>
        <w:pStyle w:val="Paragraphe"/>
        <w:numPr>
          <w:ilvl w:val="0"/>
          <w:numId w:val="0"/>
        </w:numPr>
        <w:tabs>
          <w:tab w:val="clear" w:pos="567"/>
        </w:tabs>
        <w:ind w:left="720"/>
      </w:pPr>
      <w:r w:rsidRPr="0013463A">
        <w:t>[</w:t>
      </w:r>
      <w:r w:rsidRPr="0013463A">
        <w:rPr>
          <w:smallCaps/>
        </w:rPr>
        <w:t>translation</w:t>
      </w:r>
      <w:r w:rsidRPr="0013463A">
        <w:t xml:space="preserve">] </w:t>
      </w:r>
    </w:p>
    <w:p w14:paraId="29ACE162" w14:textId="226032D0" w:rsidR="00836773" w:rsidRPr="0013463A" w:rsidRDefault="00DD7E52">
      <w:pPr>
        <w:pStyle w:val="Paragraphe"/>
        <w:numPr>
          <w:ilvl w:val="0"/>
          <w:numId w:val="10"/>
        </w:numPr>
        <w:tabs>
          <w:tab w:val="clear" w:pos="567"/>
        </w:tabs>
      </w:pPr>
      <w:r w:rsidRPr="0013463A">
        <w:t>“</w:t>
      </w:r>
      <w:r w:rsidR="00380191" w:rsidRPr="0013463A">
        <w:t>w</w:t>
      </w:r>
      <w:r w:rsidRPr="0013463A">
        <w:t xml:space="preserve">e don’t </w:t>
      </w:r>
      <w:r w:rsidR="00380191" w:rsidRPr="0013463A">
        <w:t xml:space="preserve">usually </w:t>
      </w:r>
      <w:r w:rsidRPr="0013463A">
        <w:t>leave anyone naked in a cell”;</w:t>
      </w:r>
      <w:r w:rsidRPr="0013463A">
        <w:rPr>
          <w:rStyle w:val="Appelnotedebasdep"/>
        </w:rPr>
        <w:footnoteReference w:id="193"/>
      </w:r>
    </w:p>
    <w:p w14:paraId="684F4012" w14:textId="226B73C5" w:rsidR="00836773" w:rsidRPr="0013463A" w:rsidRDefault="00DD7E52">
      <w:pPr>
        <w:pStyle w:val="Paragraphe"/>
        <w:numPr>
          <w:ilvl w:val="0"/>
          <w:numId w:val="10"/>
        </w:numPr>
        <w:tabs>
          <w:tab w:val="clear" w:pos="567"/>
        </w:tabs>
      </w:pPr>
      <w:r w:rsidRPr="0013463A">
        <w:t>“this isn’t a practice we encourage, that’s for sure, to leave someone there, because it’s his dignity”.</w:t>
      </w:r>
      <w:r w:rsidRPr="0013463A">
        <w:rPr>
          <w:rStyle w:val="Appelnotedebasdep"/>
        </w:rPr>
        <w:footnoteReference w:id="194"/>
      </w:r>
    </w:p>
    <w:p w14:paraId="4359D9B7" w14:textId="7363AA4C" w:rsidR="00836773" w:rsidRPr="0013463A" w:rsidRDefault="00DD7E52">
      <w:pPr>
        <w:pStyle w:val="Paragraphe"/>
        <w:tabs>
          <w:tab w:val="clear" w:pos="567"/>
        </w:tabs>
      </w:pPr>
      <w:r w:rsidRPr="0013463A">
        <w:t>According to the applicable instruction, [</w:t>
      </w:r>
      <w:r w:rsidRPr="0013463A">
        <w:rPr>
          <w:smallCaps/>
        </w:rPr>
        <w:t>translation</w:t>
      </w:r>
      <w:r w:rsidRPr="0013463A">
        <w:t xml:space="preserve">] “once the search is over, the leader asks a worker to cover the [inmate] using </w:t>
      </w:r>
      <w:r w:rsidR="00191A6B">
        <w:t>an anti-suicide</w:t>
      </w:r>
      <w:r w:rsidRPr="0013463A">
        <w:t xml:space="preserve"> smock”.</w:t>
      </w:r>
      <w:r w:rsidRPr="0013463A">
        <w:rPr>
          <w:rStyle w:val="Appelnotedebasdep"/>
        </w:rPr>
        <w:footnoteReference w:id="195"/>
      </w:r>
      <w:r w:rsidR="001834C5" w:rsidRPr="0013463A">
        <w:t xml:space="preserve"> </w:t>
      </w:r>
      <w:r w:rsidRPr="0013463A">
        <w:t>That was not done.</w:t>
      </w:r>
      <w:r w:rsidR="001834C5" w:rsidRPr="0013463A">
        <w:t xml:space="preserve"> </w:t>
      </w:r>
      <w:r w:rsidRPr="0013463A">
        <w:t>And yet, this type of garment [</w:t>
      </w:r>
      <w:r w:rsidRPr="0013463A">
        <w:rPr>
          <w:smallCaps/>
        </w:rPr>
        <w:t>translation</w:t>
      </w:r>
      <w:r w:rsidRPr="0013463A">
        <w:t xml:space="preserve">] “easily slides over the feet and can be adjusted properly despite the existence of restraining material </w:t>
      </w:r>
      <w:r w:rsidR="00191A6B">
        <w:t>on</w:t>
      </w:r>
      <w:r w:rsidRPr="0013463A">
        <w:t xml:space="preserve"> the feet and the hands”.</w:t>
      </w:r>
      <w:r w:rsidRPr="0013463A">
        <w:rPr>
          <w:rStyle w:val="Appelnotedebasdep"/>
        </w:rPr>
        <w:footnoteReference w:id="196"/>
      </w:r>
    </w:p>
    <w:p w14:paraId="69021FE3" w14:textId="025EB880" w:rsidR="00836773" w:rsidRPr="0013463A" w:rsidRDefault="00DD7E52">
      <w:pPr>
        <w:pStyle w:val="Paragraphe"/>
        <w:tabs>
          <w:tab w:val="clear" w:pos="567"/>
        </w:tabs>
      </w:pPr>
      <w:r w:rsidRPr="0013463A">
        <w:t>Regarding the fact that Mr. Toussaint was not served a meal, Director Thibeau</w:t>
      </w:r>
      <w:r w:rsidR="00AA3460" w:rsidRPr="0013463A">
        <w:t>lt</w:t>
      </w:r>
      <w:r w:rsidRPr="0013463A">
        <w:t xml:space="preserve"> was astonished: [</w:t>
      </w:r>
      <w:r w:rsidRPr="0013463A">
        <w:rPr>
          <w:smallCaps/>
        </w:rPr>
        <w:t>translation</w:t>
      </w:r>
      <w:r w:rsidRPr="0013463A">
        <w:t>] “That’s excessively rare</w:t>
      </w:r>
      <w:r w:rsidR="00AA3460" w:rsidRPr="0013463A">
        <w:t>.</w:t>
      </w:r>
      <w:r w:rsidR="001834C5" w:rsidRPr="0013463A">
        <w:t xml:space="preserve"> </w:t>
      </w:r>
      <w:r w:rsidRPr="0013463A">
        <w:t>Because food</w:t>
      </w:r>
      <w:r w:rsidR="00AA3460" w:rsidRPr="0013463A">
        <w:t>,</w:t>
      </w:r>
      <w:r w:rsidRPr="0013463A">
        <w:t xml:space="preserve"> in detention</w:t>
      </w:r>
      <w:r w:rsidR="00AA3460" w:rsidRPr="0013463A">
        <w:t>,</w:t>
      </w:r>
      <w:r w:rsidRPr="0013463A">
        <w:t xml:space="preserve"> is extremely important”.</w:t>
      </w:r>
      <w:r w:rsidRPr="0013463A">
        <w:rPr>
          <w:rStyle w:val="Appelnotedebasdep"/>
        </w:rPr>
        <w:footnoteReference w:id="197"/>
      </w:r>
    </w:p>
    <w:p w14:paraId="118E4293" w14:textId="43312C08" w:rsidR="00836773" w:rsidRPr="0013463A" w:rsidRDefault="00DD7E52">
      <w:pPr>
        <w:pStyle w:val="Paragraphe"/>
        <w:tabs>
          <w:tab w:val="clear" w:pos="567"/>
        </w:tabs>
      </w:pPr>
      <w:r w:rsidRPr="0013463A">
        <w:t xml:space="preserve">It seems necessary to recall that the </w:t>
      </w:r>
      <w:r w:rsidR="00AA3460" w:rsidRPr="0013463A">
        <w:t>penitentiary</w:t>
      </w:r>
      <w:r w:rsidRPr="0013463A">
        <w:t xml:space="preserve"> system must not further aggravate the inherent suffering of imprisonment</w:t>
      </w:r>
      <w:r w:rsidRPr="0013463A">
        <w:rPr>
          <w:rStyle w:val="Appelnotedebasdep"/>
        </w:rPr>
        <w:footnoteReference w:id="198"/>
      </w:r>
      <w:r w:rsidR="00F92A2D" w:rsidRPr="0013463A">
        <w:t xml:space="preserve"> </w:t>
      </w:r>
      <w:r w:rsidRPr="0013463A">
        <w:t xml:space="preserve">and that all detainees are entitled to receive good quality food from the </w:t>
      </w:r>
      <w:r w:rsidR="00380191" w:rsidRPr="0013463A">
        <w:t>penitentiary</w:t>
      </w:r>
      <w:r w:rsidRPr="0013463A">
        <w:t xml:space="preserve"> </w:t>
      </w:r>
      <w:r w:rsidR="00380191" w:rsidRPr="0013463A">
        <w:t>administration</w:t>
      </w:r>
      <w:r w:rsidRPr="0013463A">
        <w:t xml:space="preserve"> at usual hours,</w:t>
      </w:r>
      <w:r w:rsidRPr="0013463A">
        <w:rPr>
          <w:rStyle w:val="Appelnotedebasdep"/>
        </w:rPr>
        <w:footnoteReference w:id="199"/>
      </w:r>
      <w:r w:rsidRPr="0013463A">
        <w:t xml:space="preserve"> as well as </w:t>
      </w:r>
      <w:r w:rsidR="00F92A2D" w:rsidRPr="0013463A">
        <w:t xml:space="preserve">separate and sufficient </w:t>
      </w:r>
      <w:r w:rsidRPr="0013463A">
        <w:t>bedding.</w:t>
      </w:r>
      <w:r w:rsidRPr="0013463A">
        <w:rPr>
          <w:rStyle w:val="Appelnotedebasdep"/>
        </w:rPr>
        <w:footnoteReference w:id="200"/>
      </w:r>
    </w:p>
    <w:p w14:paraId="199CC597" w14:textId="7F2E7F8B" w:rsidR="00836773" w:rsidRPr="0013463A" w:rsidRDefault="00DD7E52">
      <w:pPr>
        <w:pStyle w:val="Paragraphe"/>
        <w:tabs>
          <w:tab w:val="clear" w:pos="567"/>
        </w:tabs>
      </w:pPr>
      <w:r w:rsidRPr="0013463A">
        <w:rPr>
          <w:b/>
          <w:bCs/>
          <w:i/>
          <w:iCs/>
        </w:rPr>
        <w:t xml:space="preserve">Seventh, </w:t>
      </w:r>
      <w:r w:rsidRPr="0013463A">
        <w:t>because Mr. Toussaint’s clothing was cut and torn earlier in the day, he received us</w:t>
      </w:r>
      <w:r w:rsidR="00F92A2D" w:rsidRPr="0013463A">
        <w:t>ed</w:t>
      </w:r>
      <w:r w:rsidRPr="0013463A">
        <w:t xml:space="preserve"> clothing from Unit Manager Leclerc to wear home.</w:t>
      </w:r>
      <w:r w:rsidR="001834C5" w:rsidRPr="0013463A">
        <w:t xml:space="preserve"> </w:t>
      </w:r>
      <w:r w:rsidRPr="0013463A">
        <w:t xml:space="preserve">The </w:t>
      </w:r>
      <w:r w:rsidR="00257F37">
        <w:t>T</w:t>
      </w:r>
      <w:r w:rsidRPr="0013463A">
        <w:t>-shirt he was given was undoubtedly white when first manufactured but</w:t>
      </w:r>
      <w:r w:rsidR="00F92A2D" w:rsidRPr="0013463A">
        <w:t xml:space="preserve"> was</w:t>
      </w:r>
      <w:r w:rsidRPr="0013463A">
        <w:t xml:space="preserve"> apparently irremediably soiled and torn, in addition to being identified with “CDQ” and “(prison)” in permanent </w:t>
      </w:r>
      <w:r w:rsidR="00FA1AAC">
        <w:t xml:space="preserve">felt </w:t>
      </w:r>
      <w:r w:rsidRPr="0013463A">
        <w:t>marker.</w:t>
      </w:r>
      <w:r w:rsidR="001834C5" w:rsidRPr="0013463A">
        <w:t xml:space="preserve"> </w:t>
      </w:r>
    </w:p>
    <w:p w14:paraId="2E54F092" w14:textId="40C4B14D" w:rsidR="00836773" w:rsidRPr="0013463A" w:rsidRDefault="00DD7E52">
      <w:pPr>
        <w:pStyle w:val="Paragraphe"/>
        <w:tabs>
          <w:tab w:val="clear" w:pos="567"/>
        </w:tabs>
      </w:pPr>
      <w:r w:rsidRPr="0013463A">
        <w:t xml:space="preserve">In cross-examination, Director Thibeault </w:t>
      </w:r>
      <w:r w:rsidR="00F81A92">
        <w:t xml:space="preserve">squarely </w:t>
      </w:r>
      <w:r w:rsidRPr="0013463A">
        <w:t xml:space="preserve">admitted that the </w:t>
      </w:r>
      <w:r w:rsidR="00FA1AAC">
        <w:t>T</w:t>
      </w:r>
      <w:r w:rsidRPr="0013463A">
        <w:t>-shirt was non-compliant</w:t>
      </w:r>
      <w:r w:rsidR="00457A04" w:rsidRPr="0013463A">
        <w:t>.</w:t>
      </w:r>
    </w:p>
    <w:p w14:paraId="0B9DEC28" w14:textId="3059CD0F" w:rsidR="00836773" w:rsidRPr="0013463A" w:rsidRDefault="00DD7E52">
      <w:pPr>
        <w:pStyle w:val="Paragraphe"/>
        <w:tabs>
          <w:tab w:val="clear" w:pos="567"/>
        </w:tabs>
      </w:pPr>
      <w:r w:rsidRPr="0013463A">
        <w:t xml:space="preserve">It is difficult in these conditions not to </w:t>
      </w:r>
      <w:r w:rsidR="00457A04" w:rsidRPr="0013463A">
        <w:t xml:space="preserve">bring to mind </w:t>
      </w:r>
      <w:r w:rsidRPr="0013463A">
        <w:t xml:space="preserve">the internationally applicable rule </w:t>
      </w:r>
      <w:r w:rsidR="00457A04" w:rsidRPr="0013463A">
        <w:t xml:space="preserve">whereby </w:t>
      </w:r>
      <w:r w:rsidRPr="0013463A">
        <w:t>an inmate’s clothing “shall in no manner be degrading or humiliating”</w:t>
      </w:r>
      <w:r w:rsidRPr="0013463A">
        <w:rPr>
          <w:rStyle w:val="Appelnotedebasdep"/>
        </w:rPr>
        <w:footnoteReference w:id="201"/>
      </w:r>
      <w:r w:rsidRPr="0013463A">
        <w:t xml:space="preserve"> and that when authorized to leave </w:t>
      </w:r>
      <w:r w:rsidR="00837063">
        <w:t xml:space="preserve">the </w:t>
      </w:r>
      <w:r w:rsidRPr="0013463A">
        <w:t xml:space="preserve">prison, </w:t>
      </w:r>
      <w:r w:rsidR="00457A04" w:rsidRPr="0013463A">
        <w:t xml:space="preserve">the person’s clothing </w:t>
      </w:r>
      <w:r w:rsidRPr="0013463A">
        <w:t>must be “inconspicuous”</w:t>
      </w:r>
      <w:r w:rsidR="00C212B6">
        <w:t>.</w:t>
      </w:r>
      <w:r w:rsidRPr="0013463A">
        <w:rPr>
          <w:rStyle w:val="Appelnotedebasdep"/>
        </w:rPr>
        <w:footnoteReference w:id="202"/>
      </w:r>
    </w:p>
    <w:p w14:paraId="44796936" w14:textId="27AA6765" w:rsidR="00836773" w:rsidRPr="0013463A" w:rsidRDefault="00DD7E52">
      <w:pPr>
        <w:pStyle w:val="Paragraphe"/>
        <w:tabs>
          <w:tab w:val="clear" w:pos="567"/>
        </w:tabs>
      </w:pPr>
      <w:r w:rsidRPr="0013463A">
        <w:t xml:space="preserve">Section 9 of the </w:t>
      </w:r>
      <w:r w:rsidRPr="0013463A">
        <w:rPr>
          <w:i/>
          <w:iCs/>
        </w:rPr>
        <w:t>Regulation under the Act respecting the Québec correctional system</w:t>
      </w:r>
      <w:r w:rsidRPr="0013463A">
        <w:rPr>
          <w:rStyle w:val="Appelnotedebasdep"/>
        </w:rPr>
        <w:footnoteReference w:id="203"/>
      </w:r>
      <w:r w:rsidRPr="0013463A">
        <w:t xml:space="preserve"> enshrines an inmate’s right, when authorized to leave the facility, to receive clothing “that does not identify the person as an inmate”.</w:t>
      </w:r>
    </w:p>
    <w:p w14:paraId="00C61CAE" w14:textId="15CBF2DE" w:rsidR="00836773" w:rsidRPr="0013463A" w:rsidRDefault="00457A04">
      <w:pPr>
        <w:pStyle w:val="Paragraphe"/>
        <w:tabs>
          <w:tab w:val="clear" w:pos="567"/>
        </w:tabs>
      </w:pPr>
      <w:r w:rsidRPr="0013463A">
        <w:t xml:space="preserve">The </w:t>
      </w:r>
      <w:r w:rsidR="00C34A79" w:rsidRPr="0013463A">
        <w:t>cumulative effect</w:t>
      </w:r>
      <w:r w:rsidRPr="0013463A">
        <w:t xml:space="preserve"> of</w:t>
      </w:r>
      <w:r w:rsidR="00C34A79" w:rsidRPr="0013463A">
        <w:t xml:space="preserve"> these derogations or [</w:t>
      </w:r>
      <w:r w:rsidR="00C34A79" w:rsidRPr="0013463A">
        <w:rPr>
          <w:smallCaps/>
        </w:rPr>
        <w:t>translation</w:t>
      </w:r>
      <w:r w:rsidR="00C34A79" w:rsidRPr="0013463A">
        <w:t xml:space="preserve">] “unusual conduct </w:t>
      </w:r>
      <w:r w:rsidR="00B87DD6">
        <w:t>that departs from</w:t>
      </w:r>
      <w:r w:rsidR="00C34A79" w:rsidRPr="0013463A">
        <w:t xml:space="preserve"> generally accepted practice”</w:t>
      </w:r>
      <w:r w:rsidRPr="0013463A">
        <w:rPr>
          <w:rStyle w:val="Appelnotedebasdep"/>
        </w:rPr>
        <w:t xml:space="preserve"> </w:t>
      </w:r>
      <w:r w:rsidRPr="0013463A">
        <w:rPr>
          <w:rStyle w:val="Appelnotedebasdep"/>
        </w:rPr>
        <w:footnoteReference w:id="204"/>
      </w:r>
      <w:r w:rsidR="00C34A79" w:rsidRPr="0013463A">
        <w:t xml:space="preserve"> </w:t>
      </w:r>
      <w:r w:rsidRPr="0013463A">
        <w:t xml:space="preserve">is </w:t>
      </w:r>
      <w:r w:rsidR="00C34A79" w:rsidRPr="0013463A">
        <w:t xml:space="preserve">so </w:t>
      </w:r>
      <w:r w:rsidRPr="0013463A">
        <w:t xml:space="preserve">significant </w:t>
      </w:r>
      <w:r w:rsidR="00C34A79" w:rsidRPr="0013463A">
        <w:t xml:space="preserve">that the most rational </w:t>
      </w:r>
      <w:r w:rsidR="00B87DD6">
        <w:t xml:space="preserve">or likely </w:t>
      </w:r>
      <w:r w:rsidR="00C34A79" w:rsidRPr="0013463A">
        <w:t xml:space="preserve">explanation for the conduct of the </w:t>
      </w:r>
      <w:r w:rsidR="00110E24" w:rsidRPr="0013463A">
        <w:t>CO</w:t>
      </w:r>
      <w:r w:rsidR="00C34A79" w:rsidRPr="0013463A">
        <w:t xml:space="preserve">s is that it was related, whether consciously or not, to the race or colour of the young inmate </w:t>
      </w:r>
      <w:r w:rsidRPr="0013463A">
        <w:t xml:space="preserve">subjected to </w:t>
      </w:r>
      <w:r w:rsidR="00C34A79" w:rsidRPr="0013463A">
        <w:t>these practices.</w:t>
      </w:r>
      <w:r w:rsidR="00C34A79" w:rsidRPr="0013463A">
        <w:rPr>
          <w:rStyle w:val="Appelnotedebasdep"/>
        </w:rPr>
        <w:footnoteReference w:id="205"/>
      </w:r>
    </w:p>
    <w:p w14:paraId="4B46ED71" w14:textId="6FCB6E13" w:rsidR="00836773" w:rsidRPr="0013463A" w:rsidRDefault="00C34A79">
      <w:pPr>
        <w:pStyle w:val="Paragraphe"/>
        <w:tabs>
          <w:tab w:val="clear" w:pos="567"/>
        </w:tabs>
      </w:pPr>
      <w:r w:rsidRPr="0013463A">
        <w:t xml:space="preserve">Ultimately, the Tribunal finds that Mr. Toussaint was the victim of unlawful discrimination </w:t>
      </w:r>
      <w:r w:rsidR="00956B23" w:rsidRPr="0013463A">
        <w:t>leading</w:t>
      </w:r>
      <w:r w:rsidRPr="0013463A">
        <w:t xml:space="preserve"> to the use of force against him </w:t>
      </w:r>
      <w:r w:rsidR="00956B23" w:rsidRPr="0013463A">
        <w:t>which</w:t>
      </w:r>
      <w:r w:rsidRPr="0013463A">
        <w:t xml:space="preserve"> was </w:t>
      </w:r>
      <w:r w:rsidR="00B87DD6">
        <w:t>unnecessary</w:t>
      </w:r>
      <w:r w:rsidRPr="0013463A">
        <w:t xml:space="preserve"> and disproportionate</w:t>
      </w:r>
      <w:r w:rsidR="00C212B6">
        <w:t>,</w:t>
      </w:r>
      <w:r w:rsidRPr="0013463A">
        <w:t xml:space="preserve"> and which demands a remedy in his favour.</w:t>
      </w:r>
    </w:p>
    <w:p w14:paraId="7B0FE4A9" w14:textId="00D36547" w:rsidR="00E023BD" w:rsidRPr="0013463A" w:rsidRDefault="00C34A79">
      <w:pPr>
        <w:pStyle w:val="Titre2"/>
        <w:rPr>
          <w:lang w:val="en-CA"/>
        </w:rPr>
      </w:pPr>
      <w:r w:rsidRPr="0013463A">
        <w:rPr>
          <w:lang w:val="en-CA"/>
        </w:rPr>
        <w:t>Remedies</w:t>
      </w:r>
    </w:p>
    <w:p w14:paraId="2BC4202E" w14:textId="3E2C3926" w:rsidR="00E023BD" w:rsidRPr="0013463A" w:rsidRDefault="00C34A79">
      <w:pPr>
        <w:pStyle w:val="Paragraphe"/>
        <w:tabs>
          <w:tab w:val="clear" w:pos="567"/>
        </w:tabs>
      </w:pPr>
      <w:r w:rsidRPr="0013463A">
        <w:t>The CDPDJ</w:t>
      </w:r>
      <w:r w:rsidR="00956B23" w:rsidRPr="0013463A">
        <w:t>’s claim</w:t>
      </w:r>
      <w:r w:rsidRPr="0013463A">
        <w:t xml:space="preserve"> </w:t>
      </w:r>
      <w:r w:rsidR="00C212B6">
        <w:t>is in three parts</w:t>
      </w:r>
      <w:r w:rsidRPr="0013463A">
        <w:t>.</w:t>
      </w:r>
      <w:r w:rsidR="001834C5" w:rsidRPr="0013463A">
        <w:t xml:space="preserve"> </w:t>
      </w:r>
      <w:r w:rsidR="00C212B6">
        <w:t>On the one hand</w:t>
      </w:r>
      <w:r w:rsidRPr="0013463A">
        <w:t xml:space="preserve">, it claims $50,000 for the moral </w:t>
      </w:r>
      <w:r w:rsidR="009E282C" w:rsidRPr="0013463A">
        <w:t>injury</w:t>
      </w:r>
      <w:r w:rsidRPr="0013463A">
        <w:t xml:space="preserve"> suffered by Mr. Toussaint</w:t>
      </w:r>
      <w:r w:rsidR="00956B23" w:rsidRPr="0013463A">
        <w:t xml:space="preserve">, which </w:t>
      </w:r>
      <w:r w:rsidRPr="0013463A">
        <w:t xml:space="preserve">it imputes </w:t>
      </w:r>
      <w:r w:rsidR="00956B23" w:rsidRPr="0013463A">
        <w:t xml:space="preserve">solidarily </w:t>
      </w:r>
      <w:r w:rsidRPr="0013463A">
        <w:t xml:space="preserve">to the AGQ, as employer, and to each of the </w:t>
      </w:r>
      <w:r w:rsidR="00110E24" w:rsidRPr="0013463A">
        <w:t>CO</w:t>
      </w:r>
      <w:r w:rsidRPr="0013463A">
        <w:t>s involved in the events.</w:t>
      </w:r>
    </w:p>
    <w:p w14:paraId="1E13570F" w14:textId="073021CA" w:rsidR="00E023BD" w:rsidRPr="0013463A" w:rsidRDefault="00C212B6">
      <w:pPr>
        <w:pStyle w:val="Paragraphe"/>
        <w:tabs>
          <w:tab w:val="clear" w:pos="567"/>
        </w:tabs>
      </w:pPr>
      <w:r>
        <w:t>On the other hand</w:t>
      </w:r>
      <w:r w:rsidR="00C34A79" w:rsidRPr="0013463A">
        <w:t xml:space="preserve">, it asks </w:t>
      </w:r>
      <w:r w:rsidR="00956B23" w:rsidRPr="0013463A">
        <w:t>that</w:t>
      </w:r>
      <w:r w:rsidR="00C34A79" w:rsidRPr="0013463A">
        <w:t xml:space="preserve"> each of the </w:t>
      </w:r>
      <w:r w:rsidR="00110E24" w:rsidRPr="0013463A">
        <w:t>CO</w:t>
      </w:r>
      <w:r w:rsidR="00C34A79" w:rsidRPr="0013463A">
        <w:t xml:space="preserve"> defendants be personally condem</w:t>
      </w:r>
      <w:r w:rsidR="00956B23" w:rsidRPr="0013463A">
        <w:t xml:space="preserve">ned </w:t>
      </w:r>
      <w:r w:rsidR="00C34A79" w:rsidRPr="0013463A">
        <w:t>to pay $2,000 in punitive damages, without regard to the different degree</w:t>
      </w:r>
      <w:r w:rsidR="0097470D" w:rsidRPr="0013463A">
        <w:t>s</w:t>
      </w:r>
      <w:r w:rsidR="00C34A79" w:rsidRPr="0013463A">
        <w:t xml:space="preserve"> of invol</w:t>
      </w:r>
      <w:r w:rsidR="00956B23" w:rsidRPr="0013463A">
        <w:t>v</w:t>
      </w:r>
      <w:r w:rsidR="00C34A79" w:rsidRPr="0013463A">
        <w:t xml:space="preserve">ement they </w:t>
      </w:r>
      <w:r w:rsidR="00956B23" w:rsidRPr="0013463A">
        <w:t xml:space="preserve">may </w:t>
      </w:r>
      <w:r w:rsidR="0097470D" w:rsidRPr="0013463A">
        <w:t>each</w:t>
      </w:r>
      <w:r w:rsidR="00C34A79" w:rsidRPr="0013463A">
        <w:t xml:space="preserve"> have had in the events.</w:t>
      </w:r>
    </w:p>
    <w:p w14:paraId="66FFA5D3" w14:textId="51282BA7" w:rsidR="00E023BD" w:rsidRPr="0013463A" w:rsidRDefault="0097470D">
      <w:pPr>
        <w:pStyle w:val="Paragraphe"/>
        <w:tabs>
          <w:tab w:val="clear" w:pos="567"/>
        </w:tabs>
      </w:pPr>
      <w:r w:rsidRPr="0013463A">
        <w:t>Last</w:t>
      </w:r>
      <w:r w:rsidR="00C212B6">
        <w:t>ly</w:t>
      </w:r>
      <w:r w:rsidR="00C34A79" w:rsidRPr="0013463A">
        <w:t xml:space="preserve">, it seeks various orders in </w:t>
      </w:r>
      <w:r w:rsidRPr="0013463A">
        <w:t>the</w:t>
      </w:r>
      <w:r w:rsidR="00C34A79" w:rsidRPr="0013463A">
        <w:t xml:space="preserve"> public interest, including the development and dissemination of a strategic plan to address discriminatory profiling and </w:t>
      </w:r>
      <w:r w:rsidRPr="0013463A">
        <w:t xml:space="preserve">for </w:t>
      </w:r>
      <w:r w:rsidR="00C34A79" w:rsidRPr="0013463A">
        <w:t xml:space="preserve">the holding of a mandatory </w:t>
      </w:r>
      <w:r w:rsidR="0051552B">
        <w:t>training</w:t>
      </w:r>
      <w:r w:rsidR="00C34A79" w:rsidRPr="0013463A">
        <w:t xml:space="preserve"> session on the </w:t>
      </w:r>
      <w:r w:rsidRPr="0013463A">
        <w:t>topic</w:t>
      </w:r>
      <w:r w:rsidR="00C34A79" w:rsidRPr="0013463A">
        <w:t xml:space="preserve"> for </w:t>
      </w:r>
      <w:r w:rsidRPr="0013463A">
        <w:t xml:space="preserve">all staff of </w:t>
      </w:r>
      <w:r w:rsidR="0051552B">
        <w:t xml:space="preserve">the </w:t>
      </w:r>
      <w:r w:rsidR="008A6C9B">
        <w:t>correctional</w:t>
      </w:r>
      <w:r w:rsidR="00C34A79" w:rsidRPr="0013463A">
        <w:t xml:space="preserve"> facilit</w:t>
      </w:r>
      <w:r w:rsidRPr="0013463A">
        <w:t>ies</w:t>
      </w:r>
      <w:r w:rsidR="00C34A79" w:rsidRPr="0013463A">
        <w:t xml:space="preserve"> under the MSP.</w:t>
      </w:r>
    </w:p>
    <w:p w14:paraId="78898583" w14:textId="4BAE7CB1" w:rsidR="00E023BD" w:rsidRPr="0013463A" w:rsidRDefault="00C34A79" w:rsidP="00AE4CB5">
      <w:pPr>
        <w:pStyle w:val="Titre3"/>
        <w:ind w:left="709" w:hanging="709"/>
        <w:rPr>
          <w:b/>
          <w:bCs/>
          <w:u w:val="none"/>
          <w:lang w:val="en-CA"/>
        </w:rPr>
      </w:pPr>
      <w:r w:rsidRPr="0013463A">
        <w:rPr>
          <w:b/>
          <w:bCs/>
          <w:u w:val="none"/>
          <w:lang w:val="en-CA"/>
        </w:rPr>
        <w:t xml:space="preserve">Moral </w:t>
      </w:r>
      <w:r w:rsidR="009E282C" w:rsidRPr="0013463A">
        <w:rPr>
          <w:b/>
          <w:bCs/>
          <w:u w:val="none"/>
          <w:lang w:val="en-CA"/>
        </w:rPr>
        <w:t>injury</w:t>
      </w:r>
      <w:r w:rsidR="001834C5" w:rsidRPr="0013463A">
        <w:rPr>
          <w:b/>
          <w:bCs/>
          <w:u w:val="none"/>
          <w:lang w:val="en-CA"/>
        </w:rPr>
        <w:t xml:space="preserve"> </w:t>
      </w:r>
    </w:p>
    <w:p w14:paraId="4ED3E814" w14:textId="275F7B16" w:rsidR="00E023BD" w:rsidRPr="0013463A" w:rsidRDefault="00C34A79">
      <w:pPr>
        <w:pStyle w:val="Paragraphe"/>
        <w:tabs>
          <w:tab w:val="clear" w:pos="567"/>
        </w:tabs>
      </w:pPr>
      <w:r w:rsidRPr="0013463A">
        <w:t>Mr. Toussaint feared for his life.</w:t>
      </w:r>
      <w:r w:rsidR="001834C5" w:rsidRPr="0013463A">
        <w:t xml:space="preserve"> </w:t>
      </w:r>
      <w:r w:rsidRPr="0013463A">
        <w:t xml:space="preserve">He testified that he was overwhelmed by a </w:t>
      </w:r>
      <w:r w:rsidR="009E565E" w:rsidRPr="0013463A">
        <w:t>[</w:t>
      </w:r>
      <w:r w:rsidR="009E565E" w:rsidRPr="0013463A">
        <w:rPr>
          <w:smallCaps/>
        </w:rPr>
        <w:t>translation</w:t>
      </w:r>
      <w:r w:rsidR="009E565E" w:rsidRPr="0013463A">
        <w:t xml:space="preserve">] </w:t>
      </w:r>
      <w:r w:rsidRPr="0013463A">
        <w:t xml:space="preserve">“variety of emotions” after the events, saying that he was </w:t>
      </w:r>
      <w:r w:rsidR="009E565E" w:rsidRPr="0013463A">
        <w:t>[</w:t>
      </w:r>
      <w:r w:rsidR="009E565E" w:rsidRPr="0013463A">
        <w:rPr>
          <w:smallCaps/>
        </w:rPr>
        <w:t>translation</w:t>
      </w:r>
      <w:r w:rsidR="009E565E" w:rsidRPr="0013463A">
        <w:t xml:space="preserve">] </w:t>
      </w:r>
      <w:r w:rsidRPr="0013463A">
        <w:t>“</w:t>
      </w:r>
      <w:r w:rsidR="00380191" w:rsidRPr="0013463A">
        <w:t>desperate</w:t>
      </w:r>
      <w:r w:rsidRPr="0013463A">
        <w:t xml:space="preserve">”, </w:t>
      </w:r>
      <w:r w:rsidR="009E565E" w:rsidRPr="0013463A">
        <w:t>[</w:t>
      </w:r>
      <w:r w:rsidR="009E565E" w:rsidRPr="0013463A">
        <w:rPr>
          <w:smallCaps/>
        </w:rPr>
        <w:t>translation</w:t>
      </w:r>
      <w:r w:rsidR="009E565E" w:rsidRPr="0013463A">
        <w:t xml:space="preserve">] </w:t>
      </w:r>
      <w:r w:rsidRPr="0013463A">
        <w:t xml:space="preserve">“disoriented”, </w:t>
      </w:r>
      <w:r w:rsidR="009E565E" w:rsidRPr="0013463A">
        <w:t>[</w:t>
      </w:r>
      <w:r w:rsidR="009E565E" w:rsidRPr="0013463A">
        <w:rPr>
          <w:smallCaps/>
        </w:rPr>
        <w:t>translation</w:t>
      </w:r>
      <w:r w:rsidR="009E565E" w:rsidRPr="0013463A">
        <w:t xml:space="preserve">] </w:t>
      </w:r>
      <w:r w:rsidRPr="0013463A">
        <w:t xml:space="preserve">“completely destroyed”, </w:t>
      </w:r>
      <w:r w:rsidR="009E565E" w:rsidRPr="0013463A">
        <w:t>[</w:t>
      </w:r>
      <w:r w:rsidR="009E565E" w:rsidRPr="0013463A">
        <w:rPr>
          <w:smallCaps/>
        </w:rPr>
        <w:t>translation</w:t>
      </w:r>
      <w:r w:rsidR="009E565E" w:rsidRPr="0013463A">
        <w:t xml:space="preserve">] </w:t>
      </w:r>
      <w:r w:rsidRPr="0013463A">
        <w:t xml:space="preserve">“broken”, </w:t>
      </w:r>
      <w:r w:rsidR="009E565E" w:rsidRPr="0013463A">
        <w:t>[</w:t>
      </w:r>
      <w:r w:rsidR="009E565E" w:rsidRPr="0013463A">
        <w:rPr>
          <w:smallCaps/>
        </w:rPr>
        <w:t>translation</w:t>
      </w:r>
      <w:r w:rsidR="009E565E" w:rsidRPr="0013463A">
        <w:t xml:space="preserve">] </w:t>
      </w:r>
      <w:r w:rsidRPr="0013463A">
        <w:t xml:space="preserve">“humiliated”, </w:t>
      </w:r>
      <w:r w:rsidR="009E565E" w:rsidRPr="0013463A">
        <w:t>[</w:t>
      </w:r>
      <w:r w:rsidR="009E565E" w:rsidRPr="0013463A">
        <w:rPr>
          <w:smallCaps/>
        </w:rPr>
        <w:t>translation</w:t>
      </w:r>
      <w:r w:rsidR="009E565E" w:rsidRPr="0013463A">
        <w:t xml:space="preserve">] </w:t>
      </w:r>
      <w:r w:rsidRPr="0013463A">
        <w:t>“</w:t>
      </w:r>
      <w:r w:rsidR="00380191" w:rsidRPr="0013463A">
        <w:t>inferior</w:t>
      </w:r>
      <w:r w:rsidRPr="0013463A">
        <w:t xml:space="preserve">”, </w:t>
      </w:r>
      <w:r w:rsidR="009E565E" w:rsidRPr="0013463A">
        <w:t>and [</w:t>
      </w:r>
      <w:r w:rsidR="009E565E" w:rsidRPr="0013463A">
        <w:rPr>
          <w:smallCaps/>
        </w:rPr>
        <w:t>translation</w:t>
      </w:r>
      <w:r w:rsidR="009E565E" w:rsidRPr="0013463A">
        <w:t xml:space="preserve">] </w:t>
      </w:r>
      <w:r w:rsidRPr="0013463A">
        <w:t>“no</w:t>
      </w:r>
      <w:r w:rsidR="009E565E" w:rsidRPr="0013463A">
        <w:t xml:space="preserve"> longer</w:t>
      </w:r>
      <w:r w:rsidRPr="0013463A">
        <w:t xml:space="preserve"> safe”.</w:t>
      </w:r>
    </w:p>
    <w:p w14:paraId="327B19EA" w14:textId="5D7E2693" w:rsidR="00E023BD" w:rsidRPr="0013463A" w:rsidRDefault="00C34A79">
      <w:pPr>
        <w:pStyle w:val="Paragraphe"/>
        <w:tabs>
          <w:tab w:val="clear" w:pos="567"/>
        </w:tabs>
      </w:pPr>
      <w:r w:rsidRPr="0013463A">
        <w:t xml:space="preserve">When he got home on December 4, 2016, he could not </w:t>
      </w:r>
      <w:r w:rsidR="009E565E" w:rsidRPr="0013463A">
        <w:t>relate</w:t>
      </w:r>
      <w:r w:rsidRPr="0013463A">
        <w:t xml:space="preserve"> the [</w:t>
      </w:r>
      <w:r w:rsidRPr="0013463A">
        <w:rPr>
          <w:smallCaps/>
        </w:rPr>
        <w:t>translation</w:t>
      </w:r>
      <w:r w:rsidRPr="0013463A">
        <w:t>] “extremely serious” situation he had just experienced to his father: [</w:t>
      </w:r>
      <w:r w:rsidRPr="0013463A">
        <w:rPr>
          <w:smallCaps/>
        </w:rPr>
        <w:t>translation</w:t>
      </w:r>
      <w:r w:rsidRPr="0013463A">
        <w:t>] “couldn’t express myself”</w:t>
      </w:r>
      <w:r w:rsidR="005D3B84">
        <w:t>,</w:t>
      </w:r>
      <w:r w:rsidRPr="0013463A">
        <w:t xml:space="preserve"> he said. </w:t>
      </w:r>
      <w:r w:rsidR="009E565E" w:rsidRPr="0013463A">
        <w:t>[</w:t>
      </w:r>
      <w:r w:rsidR="009E565E" w:rsidRPr="0013463A">
        <w:rPr>
          <w:smallCaps/>
        </w:rPr>
        <w:t>translation</w:t>
      </w:r>
      <w:r w:rsidR="009E565E" w:rsidRPr="0013463A">
        <w:t xml:space="preserve">] </w:t>
      </w:r>
      <w:r w:rsidRPr="0013463A">
        <w:t>“I was crying, I wanted to die”.</w:t>
      </w:r>
    </w:p>
    <w:p w14:paraId="379DE6E6" w14:textId="537F42AB" w:rsidR="00E023BD" w:rsidRPr="0013463A" w:rsidRDefault="009E565E" w:rsidP="00380191">
      <w:pPr>
        <w:pStyle w:val="Paragraphe"/>
        <w:tabs>
          <w:tab w:val="clear" w:pos="567"/>
        </w:tabs>
      </w:pPr>
      <w:r w:rsidRPr="0013463A">
        <w:t xml:space="preserve">He testified, </w:t>
      </w:r>
      <w:r w:rsidR="00C34A79" w:rsidRPr="0013463A">
        <w:t>[</w:t>
      </w:r>
      <w:r w:rsidR="00380191" w:rsidRPr="0013463A">
        <w:rPr>
          <w:smallCaps/>
        </w:rPr>
        <w:t>translation</w:t>
      </w:r>
      <w:r w:rsidR="00C34A79" w:rsidRPr="0013463A">
        <w:t xml:space="preserve">] “What happened to me was horrible”. </w:t>
      </w:r>
    </w:p>
    <w:p w14:paraId="3173F72B" w14:textId="77777777" w:rsidR="00380191" w:rsidRPr="0013463A" w:rsidRDefault="00C34A79" w:rsidP="00A7732D">
      <w:pPr>
        <w:pStyle w:val="Citationenretrait"/>
        <w:rPr>
          <w:lang w:val="en-CA"/>
        </w:rPr>
      </w:pPr>
      <w:r w:rsidRPr="0013463A">
        <w:rPr>
          <w:lang w:val="en-CA"/>
        </w:rPr>
        <w:t>[</w:t>
      </w:r>
      <w:r w:rsidRPr="0013463A">
        <w:rPr>
          <w:smallCaps/>
          <w:lang w:val="en-CA"/>
        </w:rPr>
        <w:t>translation</w:t>
      </w:r>
      <w:r w:rsidRPr="0013463A">
        <w:rPr>
          <w:lang w:val="en-CA"/>
        </w:rPr>
        <w:t xml:space="preserve">] </w:t>
      </w:r>
    </w:p>
    <w:p w14:paraId="3FAFC492" w14:textId="4563F1CE" w:rsidR="00E023BD" w:rsidRPr="0013463A" w:rsidRDefault="00C34A79" w:rsidP="00A7732D">
      <w:pPr>
        <w:pStyle w:val="Citationenretrait"/>
        <w:rPr>
          <w:lang w:val="en-CA"/>
        </w:rPr>
      </w:pPr>
      <w:r w:rsidRPr="0013463A">
        <w:rPr>
          <w:lang w:val="en-CA"/>
        </w:rPr>
        <w:t>This event destroyed me.</w:t>
      </w:r>
      <w:r w:rsidR="001834C5" w:rsidRPr="0013463A">
        <w:rPr>
          <w:lang w:val="en-CA"/>
        </w:rPr>
        <w:t xml:space="preserve"> </w:t>
      </w:r>
      <w:r w:rsidRPr="0013463A">
        <w:rPr>
          <w:lang w:val="en-CA"/>
        </w:rPr>
        <w:t xml:space="preserve">I </w:t>
      </w:r>
      <w:r w:rsidR="009E565E" w:rsidRPr="0013463A">
        <w:rPr>
          <w:lang w:val="en-CA"/>
        </w:rPr>
        <w:t xml:space="preserve">have no self-confidence </w:t>
      </w:r>
      <w:r w:rsidRPr="0013463A">
        <w:rPr>
          <w:lang w:val="en-CA"/>
        </w:rPr>
        <w:t>anymore.</w:t>
      </w:r>
      <w:r w:rsidR="001834C5" w:rsidRPr="0013463A">
        <w:rPr>
          <w:lang w:val="en-CA"/>
        </w:rPr>
        <w:t xml:space="preserve"> </w:t>
      </w:r>
      <w:r w:rsidRPr="0013463A">
        <w:rPr>
          <w:lang w:val="en-CA"/>
        </w:rPr>
        <w:t>I’m afraid of everything.</w:t>
      </w:r>
      <w:r w:rsidR="001834C5" w:rsidRPr="0013463A">
        <w:rPr>
          <w:lang w:val="en-CA"/>
        </w:rPr>
        <w:t xml:space="preserve"> </w:t>
      </w:r>
      <w:r w:rsidRPr="0013463A">
        <w:rPr>
          <w:lang w:val="en-CA"/>
        </w:rPr>
        <w:t>I felt inferior to White men, to men with white-coloured skin... I had no self-esteem left, I was ashamed of myself, I felt dirty...</w:t>
      </w:r>
      <w:r w:rsidR="001834C5" w:rsidRPr="0013463A">
        <w:rPr>
          <w:lang w:val="en-CA"/>
        </w:rPr>
        <w:t xml:space="preserve"> </w:t>
      </w:r>
      <w:r w:rsidR="00DE4EDE" w:rsidRPr="0013463A">
        <w:rPr>
          <w:lang w:val="en-CA"/>
        </w:rPr>
        <w:t>It continues still today</w:t>
      </w:r>
      <w:r w:rsidRPr="0013463A">
        <w:rPr>
          <w:lang w:val="en-CA"/>
        </w:rPr>
        <w:t>... and with the years of work on myself, I didn’t want to allow it to keep harming my existence...</w:t>
      </w:r>
      <w:r w:rsidR="001834C5" w:rsidRPr="0013463A">
        <w:rPr>
          <w:lang w:val="en-CA"/>
        </w:rPr>
        <w:t xml:space="preserve"> </w:t>
      </w:r>
      <w:r w:rsidRPr="0013463A">
        <w:rPr>
          <w:lang w:val="en-CA"/>
        </w:rPr>
        <w:t>Since that day..</w:t>
      </w:r>
      <w:r w:rsidR="00994507">
        <w:rPr>
          <w:lang w:val="en-CA"/>
        </w:rPr>
        <w:t>.</w:t>
      </w:r>
      <w:r w:rsidRPr="0013463A">
        <w:rPr>
          <w:lang w:val="en-CA"/>
        </w:rPr>
        <w:t xml:space="preserve"> yes, I have drug problems... and </w:t>
      </w:r>
      <w:r w:rsidR="00DE4EDE" w:rsidRPr="0013463A">
        <w:rPr>
          <w:lang w:val="en-CA"/>
        </w:rPr>
        <w:t>after that</w:t>
      </w:r>
      <w:r w:rsidRPr="0013463A">
        <w:rPr>
          <w:lang w:val="en-CA"/>
        </w:rPr>
        <w:t xml:space="preserve"> my drug use considerably increased because I was trying to forget that.</w:t>
      </w:r>
      <w:r w:rsidR="001834C5" w:rsidRPr="0013463A">
        <w:rPr>
          <w:lang w:val="en-CA"/>
        </w:rPr>
        <w:t xml:space="preserve"> </w:t>
      </w:r>
      <w:r w:rsidR="00DE4EDE" w:rsidRPr="0013463A">
        <w:rPr>
          <w:lang w:val="en-CA"/>
        </w:rPr>
        <w:t>Ultimately, it hasn’t stopped</w:t>
      </w:r>
      <w:r w:rsidRPr="0013463A">
        <w:rPr>
          <w:lang w:val="en-CA"/>
        </w:rPr>
        <w:t>... I’</w:t>
      </w:r>
      <w:r w:rsidR="00DE4EDE" w:rsidRPr="0013463A">
        <w:rPr>
          <w:lang w:val="en-CA"/>
        </w:rPr>
        <w:t>ll</w:t>
      </w:r>
      <w:r w:rsidRPr="0013463A">
        <w:rPr>
          <w:lang w:val="en-CA"/>
        </w:rPr>
        <w:t xml:space="preserve"> live with it, I keep moving forward, and the day I </w:t>
      </w:r>
      <w:r w:rsidR="00DE4EDE" w:rsidRPr="0013463A">
        <w:rPr>
          <w:lang w:val="en-CA"/>
        </w:rPr>
        <w:t xml:space="preserve">got </w:t>
      </w:r>
      <w:r w:rsidRPr="0013463A">
        <w:rPr>
          <w:lang w:val="en-CA"/>
        </w:rPr>
        <w:t>the letter from the Human Rights Tribunal, I had like a ray of hope about this... Because I found that treatment really degrading, humiliating even as an inmate, I think I had rights...</w:t>
      </w:r>
    </w:p>
    <w:p w14:paraId="5514E5A9" w14:textId="29B6AC50" w:rsidR="00E023BD" w:rsidRPr="0013463A" w:rsidRDefault="00C34A79">
      <w:pPr>
        <w:pStyle w:val="Paragraphe"/>
        <w:tabs>
          <w:tab w:val="clear" w:pos="567"/>
        </w:tabs>
      </w:pPr>
      <w:r w:rsidRPr="0013463A">
        <w:t xml:space="preserve">The feeling of injustice led him to take steps with the police department of the city of Québec, the Sûreté du Québec, and the Protecteur du citoyen du Québec, apparently without success: </w:t>
      </w:r>
      <w:r w:rsidR="00DE4EDE" w:rsidRPr="0013463A">
        <w:t>[</w:t>
      </w:r>
      <w:r w:rsidR="00DE4EDE" w:rsidRPr="0013463A">
        <w:rPr>
          <w:smallCaps/>
        </w:rPr>
        <w:t>translation</w:t>
      </w:r>
      <w:r w:rsidR="00DE4EDE" w:rsidRPr="0013463A">
        <w:t xml:space="preserve">] </w:t>
      </w:r>
      <w:r w:rsidRPr="0013463A">
        <w:t>“No answer”, he laments.</w:t>
      </w:r>
      <w:r w:rsidR="001834C5" w:rsidRPr="0013463A">
        <w:t xml:space="preserve"> </w:t>
      </w:r>
    </w:p>
    <w:p w14:paraId="1DBB6F52" w14:textId="7073C7CA" w:rsidR="00E023BD" w:rsidRPr="0013463A" w:rsidRDefault="00C34A79">
      <w:pPr>
        <w:pStyle w:val="Paragraphe"/>
        <w:tabs>
          <w:tab w:val="clear" w:pos="567"/>
        </w:tabs>
      </w:pPr>
      <w:r w:rsidRPr="0013463A">
        <w:t xml:space="preserve">His fall 2016 semester at Cegep was irremediably </w:t>
      </w:r>
      <w:r w:rsidR="00B12D0C" w:rsidRPr="0013463A">
        <w:t>undermined</w:t>
      </w:r>
      <w:r w:rsidRPr="0013463A">
        <w:t xml:space="preserve">: </w:t>
      </w:r>
      <w:r w:rsidR="00DE4EDE" w:rsidRPr="0013463A">
        <w:t>[</w:t>
      </w:r>
      <w:r w:rsidR="00DE4EDE" w:rsidRPr="0013463A">
        <w:rPr>
          <w:smallCaps/>
        </w:rPr>
        <w:t>translation</w:t>
      </w:r>
      <w:r w:rsidR="00DE4EDE" w:rsidRPr="0013463A">
        <w:t xml:space="preserve">] </w:t>
      </w:r>
      <w:r w:rsidRPr="0013463A">
        <w:t xml:space="preserve">“I </w:t>
      </w:r>
      <w:r w:rsidR="00DE4EDE" w:rsidRPr="0013463A">
        <w:t xml:space="preserve">couldn’t </w:t>
      </w:r>
      <w:r w:rsidRPr="0013463A">
        <w:t>continue”.</w:t>
      </w:r>
    </w:p>
    <w:p w14:paraId="3AAA57FC" w14:textId="37998E99" w:rsidR="00E023BD" w:rsidRPr="0013463A" w:rsidRDefault="00BD639B" w:rsidP="00A7732D">
      <w:pPr>
        <w:pStyle w:val="Paragraphe"/>
        <w:numPr>
          <w:ilvl w:val="0"/>
          <w:numId w:val="0"/>
        </w:numPr>
        <w:jc w:val="center"/>
      </w:pPr>
      <w:r w:rsidRPr="0013463A">
        <w:t>* * *</w:t>
      </w:r>
    </w:p>
    <w:p w14:paraId="33FE250E" w14:textId="2C4F2145" w:rsidR="00E023BD" w:rsidRPr="0013463A" w:rsidRDefault="00C34A79">
      <w:pPr>
        <w:pStyle w:val="Paragraphe"/>
        <w:tabs>
          <w:tab w:val="clear" w:pos="567"/>
        </w:tabs>
      </w:pPr>
      <w:r w:rsidRPr="0013463A">
        <w:t xml:space="preserve">Mr. Toussaint’s parents </w:t>
      </w:r>
      <w:r w:rsidR="00DE4EDE" w:rsidRPr="0013463A">
        <w:t xml:space="preserve">gave </w:t>
      </w:r>
      <w:r w:rsidRPr="0013463A">
        <w:t>emotion</w:t>
      </w:r>
      <w:r w:rsidR="00DE4EDE" w:rsidRPr="0013463A">
        <w:t>al</w:t>
      </w:r>
      <w:r w:rsidRPr="0013463A">
        <w:t xml:space="preserve"> </w:t>
      </w:r>
      <w:r w:rsidR="00DE4EDE" w:rsidRPr="0013463A">
        <w:t xml:space="preserve">testimony </w:t>
      </w:r>
      <w:r w:rsidRPr="0013463A">
        <w:t xml:space="preserve">about the condition their son was in when he </w:t>
      </w:r>
      <w:r w:rsidR="00DE4EDE" w:rsidRPr="0013463A">
        <w:t>got home</w:t>
      </w:r>
      <w:r w:rsidRPr="0013463A">
        <w:t xml:space="preserve"> from the </w:t>
      </w:r>
      <w:r w:rsidR="0028672C">
        <w:t>correctional</w:t>
      </w:r>
      <w:r w:rsidRPr="0013463A">
        <w:t xml:space="preserve"> facility on December 4, 2016, and in the weeks that followed.</w:t>
      </w:r>
    </w:p>
    <w:p w14:paraId="37E06101" w14:textId="3DDA4B58" w:rsidR="00E023BD" w:rsidRPr="0013463A" w:rsidRDefault="00C34A79">
      <w:pPr>
        <w:pStyle w:val="Paragraphe"/>
        <w:tabs>
          <w:tab w:val="clear" w:pos="567"/>
        </w:tabs>
      </w:pPr>
      <w:r w:rsidRPr="0013463A">
        <w:t xml:space="preserve">His father, </w:t>
      </w:r>
      <w:r w:rsidR="00431B48">
        <w:t xml:space="preserve">Mr. </w:t>
      </w:r>
      <w:r w:rsidRPr="0013463A">
        <w:t>Serge Toussaint, who</w:t>
      </w:r>
      <w:r w:rsidR="00425755" w:rsidRPr="0013463A">
        <w:t xml:space="preserve"> has had a career as a teacher and </w:t>
      </w:r>
      <w:r w:rsidR="0028672C">
        <w:t xml:space="preserve">school </w:t>
      </w:r>
      <w:r w:rsidRPr="0013463A">
        <w:t>principal, testified that he received a call from his son around 4 p.m.</w:t>
      </w:r>
    </w:p>
    <w:p w14:paraId="35F631D0" w14:textId="44C261ED" w:rsidR="00E023BD" w:rsidRPr="0013463A" w:rsidRDefault="00C34A79">
      <w:pPr>
        <w:pStyle w:val="Paragraphe"/>
        <w:tabs>
          <w:tab w:val="clear" w:pos="567"/>
        </w:tabs>
      </w:pPr>
      <w:r w:rsidRPr="0013463A">
        <w:t xml:space="preserve">He and his spouse, </w:t>
      </w:r>
      <w:r w:rsidR="00431B48">
        <w:t xml:space="preserve">Ms. </w:t>
      </w:r>
      <w:r w:rsidRPr="0013463A">
        <w:t xml:space="preserve">Marie-Andrée Duré, a nurse who </w:t>
      </w:r>
      <w:r w:rsidR="00425755" w:rsidRPr="0013463A">
        <w:t>happened to be</w:t>
      </w:r>
      <w:r w:rsidRPr="0013463A">
        <w:t xml:space="preserve"> close to him at the time, heard his </w:t>
      </w:r>
      <w:r w:rsidR="00425755" w:rsidRPr="0013463A">
        <w:t>[</w:t>
      </w:r>
      <w:r w:rsidR="00425755" w:rsidRPr="0013463A">
        <w:rPr>
          <w:smallCaps/>
        </w:rPr>
        <w:t>translation</w:t>
      </w:r>
      <w:r w:rsidR="00425755" w:rsidRPr="0013463A">
        <w:t xml:space="preserve">] </w:t>
      </w:r>
      <w:r w:rsidRPr="0013463A">
        <w:t xml:space="preserve">“panicked voice” over the telephone: </w:t>
      </w:r>
      <w:r w:rsidR="00425755" w:rsidRPr="0013463A">
        <w:t>[</w:t>
      </w:r>
      <w:r w:rsidR="00425755" w:rsidRPr="0013463A">
        <w:rPr>
          <w:smallCaps/>
        </w:rPr>
        <w:t>translation</w:t>
      </w:r>
      <w:r w:rsidR="00425755" w:rsidRPr="0013463A">
        <w:t xml:space="preserve">] </w:t>
      </w:r>
      <w:r w:rsidRPr="0013463A">
        <w:t>“Dad, I was abused, they want to destroy me”.</w:t>
      </w:r>
    </w:p>
    <w:p w14:paraId="40E1D938" w14:textId="4BA23FF2" w:rsidR="00E023BD" w:rsidRPr="0013463A" w:rsidRDefault="00C34A79">
      <w:pPr>
        <w:pStyle w:val="Paragraphe"/>
        <w:tabs>
          <w:tab w:val="clear" w:pos="567"/>
        </w:tabs>
      </w:pPr>
      <w:r w:rsidRPr="0013463A">
        <w:t xml:space="preserve">Their son took a certain amount of time to get home, and he </w:t>
      </w:r>
      <w:r w:rsidR="00425755" w:rsidRPr="0013463A">
        <w:t>remained</w:t>
      </w:r>
      <w:r w:rsidRPr="0013463A">
        <w:t xml:space="preserve"> alone in his car for about </w:t>
      </w:r>
      <w:r w:rsidR="00425755" w:rsidRPr="0013463A">
        <w:t xml:space="preserve">15 </w:t>
      </w:r>
      <w:r w:rsidRPr="0013463A">
        <w:t xml:space="preserve">minutes before finally </w:t>
      </w:r>
      <w:r w:rsidR="00425755" w:rsidRPr="0013463A">
        <w:t xml:space="preserve">coming inside </w:t>
      </w:r>
      <w:r w:rsidRPr="0013463A">
        <w:t>the house around 5:30 p.m</w:t>
      </w:r>
      <w:r w:rsidR="00D05F68">
        <w:t>.</w:t>
      </w:r>
      <w:r w:rsidRPr="0013463A">
        <w:t xml:space="preserve">, wearing </w:t>
      </w:r>
      <w:r w:rsidR="00425755" w:rsidRPr="0013463A">
        <w:t xml:space="preserve">a </w:t>
      </w:r>
      <w:r w:rsidRPr="0013463A">
        <w:t xml:space="preserve">torn </w:t>
      </w:r>
      <w:r w:rsidR="001B7200">
        <w:t>T</w:t>
      </w:r>
      <w:r w:rsidRPr="0013463A">
        <w:t>-shirt.</w:t>
      </w:r>
      <w:r w:rsidRPr="0013463A">
        <w:rPr>
          <w:rStyle w:val="Appelnotedebasdep"/>
        </w:rPr>
        <w:footnoteReference w:id="206"/>
      </w:r>
      <w:r w:rsidR="001834C5" w:rsidRPr="0013463A">
        <w:t xml:space="preserve"> </w:t>
      </w:r>
    </w:p>
    <w:p w14:paraId="33571F52" w14:textId="556F6E40" w:rsidR="00E023BD" w:rsidRPr="0013463A" w:rsidRDefault="00C34A79">
      <w:pPr>
        <w:pStyle w:val="Paragraphe"/>
        <w:tabs>
          <w:tab w:val="clear" w:pos="567"/>
        </w:tabs>
      </w:pPr>
      <w:r w:rsidRPr="0013463A">
        <w:t xml:space="preserve">Once inside, he </w:t>
      </w:r>
      <w:r w:rsidR="00425755" w:rsidRPr="0013463A">
        <w:t xml:space="preserve">handed </w:t>
      </w:r>
      <w:r w:rsidRPr="0013463A">
        <w:t xml:space="preserve">his father the bag </w:t>
      </w:r>
      <w:r w:rsidR="00425755" w:rsidRPr="0013463A">
        <w:t xml:space="preserve">he was given at the prison </w:t>
      </w:r>
      <w:r w:rsidRPr="0013463A">
        <w:t xml:space="preserve">containing his </w:t>
      </w:r>
      <w:r w:rsidR="00425755" w:rsidRPr="0013463A">
        <w:t xml:space="preserve">shredded </w:t>
      </w:r>
      <w:r w:rsidRPr="0013463A">
        <w:t>cloth</w:t>
      </w:r>
      <w:r w:rsidR="00425755" w:rsidRPr="0013463A">
        <w:t>es</w:t>
      </w:r>
      <w:r w:rsidRPr="0013463A">
        <w:t xml:space="preserve"> (sweater,</w:t>
      </w:r>
      <w:r w:rsidRPr="0013463A">
        <w:rPr>
          <w:rStyle w:val="Appelnotedebasdep"/>
        </w:rPr>
        <w:footnoteReference w:id="207"/>
      </w:r>
      <w:r w:rsidRPr="0013463A">
        <w:t xml:space="preserve"> pants,</w:t>
      </w:r>
      <w:r w:rsidRPr="0013463A">
        <w:rPr>
          <w:rStyle w:val="Appelnotedebasdep"/>
        </w:rPr>
        <w:footnoteReference w:id="208"/>
      </w:r>
      <w:r w:rsidRPr="0013463A">
        <w:t xml:space="preserve"> and underwear</w:t>
      </w:r>
      <w:r w:rsidRPr="0013463A">
        <w:rPr>
          <w:rStyle w:val="Appelnotedebasdep"/>
        </w:rPr>
        <w:footnoteReference w:id="209"/>
      </w:r>
      <w:r w:rsidRPr="0013463A">
        <w:t xml:space="preserve">) that </w:t>
      </w:r>
      <w:r w:rsidR="00425755" w:rsidRPr="0013463A">
        <w:t xml:space="preserve">were now </w:t>
      </w:r>
      <w:r w:rsidRPr="0013463A">
        <w:t>irreparable because of the effect of the Hoffman knife.</w:t>
      </w:r>
    </w:p>
    <w:p w14:paraId="30596ECC" w14:textId="398120C5" w:rsidR="00E023BD" w:rsidRPr="0013463A" w:rsidRDefault="00425755">
      <w:pPr>
        <w:pStyle w:val="Paragraphe"/>
        <w:tabs>
          <w:tab w:val="clear" w:pos="567"/>
        </w:tabs>
      </w:pPr>
      <w:r w:rsidRPr="0013463A">
        <w:t>H</w:t>
      </w:r>
      <w:r w:rsidR="00C34A79" w:rsidRPr="0013463A">
        <w:t xml:space="preserve">e promptly took refuge in his room, </w:t>
      </w:r>
      <w:r w:rsidRPr="0013463A">
        <w:t xml:space="preserve">uttering </w:t>
      </w:r>
      <w:r w:rsidR="00C34A79" w:rsidRPr="0013463A">
        <w:t xml:space="preserve">multiple </w:t>
      </w:r>
      <w:r w:rsidRPr="0013463A">
        <w:t>[</w:t>
      </w:r>
      <w:r w:rsidRPr="0013463A">
        <w:rPr>
          <w:smallCaps/>
        </w:rPr>
        <w:t>translation</w:t>
      </w:r>
      <w:r w:rsidRPr="0013463A">
        <w:t xml:space="preserve">] </w:t>
      </w:r>
      <w:r w:rsidR="00C34A79" w:rsidRPr="0013463A">
        <w:t xml:space="preserve">“cries of distress” as </w:t>
      </w:r>
      <w:r w:rsidR="00274795">
        <w:t xml:space="preserve">described by </w:t>
      </w:r>
      <w:r w:rsidR="00C34A79" w:rsidRPr="0013463A">
        <w:t xml:space="preserve">the father, who </w:t>
      </w:r>
      <w:r w:rsidRPr="0013463A">
        <w:t xml:space="preserve">was </w:t>
      </w:r>
      <w:r w:rsidR="00C34A79" w:rsidRPr="0013463A">
        <w:t xml:space="preserve">troubled </w:t>
      </w:r>
      <w:r w:rsidRPr="0013463A">
        <w:t>by his son, who had been [</w:t>
      </w:r>
      <w:r w:rsidRPr="0013463A">
        <w:rPr>
          <w:smallCaps/>
        </w:rPr>
        <w:t>translation</w:t>
      </w:r>
      <w:r w:rsidRPr="0013463A">
        <w:t xml:space="preserve">] </w:t>
      </w:r>
      <w:r w:rsidR="00C34A79" w:rsidRPr="0013463A">
        <w:t>“massacred”</w:t>
      </w:r>
      <w:r w:rsidR="00274795">
        <w:t>,</w:t>
      </w:r>
      <w:r w:rsidR="00C34A79" w:rsidRPr="0013463A">
        <w:t xml:space="preserve"> </w:t>
      </w:r>
      <w:r w:rsidRPr="0013463A">
        <w:t>who was [</w:t>
      </w:r>
      <w:r w:rsidRPr="0013463A">
        <w:rPr>
          <w:smallCaps/>
        </w:rPr>
        <w:t>translation</w:t>
      </w:r>
      <w:r w:rsidRPr="0013463A">
        <w:t xml:space="preserve">] </w:t>
      </w:r>
      <w:r w:rsidR="00C34A79" w:rsidRPr="0013463A">
        <w:t>“in a state of shock”</w:t>
      </w:r>
      <w:r w:rsidR="00274795">
        <w:t>,</w:t>
      </w:r>
      <w:r w:rsidR="00C34A79" w:rsidRPr="0013463A">
        <w:t xml:space="preserve"> and who yelled </w:t>
      </w:r>
      <w:r w:rsidRPr="0013463A">
        <w:t>[</w:t>
      </w:r>
      <w:r w:rsidRPr="0013463A">
        <w:rPr>
          <w:smallCaps/>
        </w:rPr>
        <w:t>translation</w:t>
      </w:r>
      <w:r w:rsidRPr="0013463A">
        <w:t xml:space="preserve">] </w:t>
      </w:r>
      <w:r w:rsidR="00C34A79" w:rsidRPr="0013463A">
        <w:t>“they almost killed me!”</w:t>
      </w:r>
      <w:r w:rsidR="001834C5" w:rsidRPr="0013463A">
        <w:t>.</w:t>
      </w:r>
    </w:p>
    <w:p w14:paraId="65E2ED9D" w14:textId="4470EA2D" w:rsidR="004229E7" w:rsidRPr="0013463A" w:rsidRDefault="004229E7" w:rsidP="002109AE">
      <w:pPr>
        <w:pStyle w:val="Paragraphe"/>
        <w:tabs>
          <w:tab w:val="clear" w:pos="567"/>
        </w:tabs>
      </w:pPr>
      <w:r w:rsidRPr="0013463A">
        <w:t>H</w:t>
      </w:r>
      <w:r w:rsidR="00425755" w:rsidRPr="0013463A">
        <w:t xml:space="preserve">e cried out </w:t>
      </w:r>
      <w:r w:rsidRPr="0013463A">
        <w:t>[</w:t>
      </w:r>
      <w:r w:rsidRPr="0013463A">
        <w:rPr>
          <w:smallCaps/>
        </w:rPr>
        <w:t>translation</w:t>
      </w:r>
      <w:r w:rsidRPr="0013463A">
        <w:t>] “all night”: [</w:t>
      </w:r>
      <w:r w:rsidRPr="0013463A">
        <w:rPr>
          <w:smallCaps/>
        </w:rPr>
        <w:t>translation</w:t>
      </w:r>
      <w:r w:rsidRPr="0013463A">
        <w:t>] “He didn’t speak; he just screamed”, the parents said.</w:t>
      </w:r>
    </w:p>
    <w:p w14:paraId="4AA6A269" w14:textId="09105280" w:rsidR="004229E7" w:rsidRPr="0013463A" w:rsidRDefault="004229E7" w:rsidP="002109AE">
      <w:pPr>
        <w:pStyle w:val="Paragraphe"/>
        <w:tabs>
          <w:tab w:val="clear" w:pos="567"/>
        </w:tabs>
      </w:pPr>
      <w:r w:rsidRPr="0013463A">
        <w:t>At one point on December 5, the parents heard their son make suicidal</w:t>
      </w:r>
      <w:r w:rsidR="00425755" w:rsidRPr="0013463A">
        <w:t xml:space="preserve"> statements</w:t>
      </w:r>
      <w:r w:rsidRPr="0013463A">
        <w:t>. Ms. Duré testified, [</w:t>
      </w:r>
      <w:r w:rsidRPr="0013463A">
        <w:rPr>
          <w:smallCaps/>
        </w:rPr>
        <w:t>translation</w:t>
      </w:r>
      <w:r w:rsidRPr="0013463A">
        <w:t>] “I was panicking. That wasn’t my son!”</w:t>
      </w:r>
    </w:p>
    <w:p w14:paraId="43FC9EA4" w14:textId="1C8ECE53" w:rsidR="004229E7" w:rsidRPr="0013463A" w:rsidRDefault="004229E7">
      <w:pPr>
        <w:pStyle w:val="Paragraphe"/>
        <w:tabs>
          <w:tab w:val="clear" w:pos="567"/>
        </w:tabs>
      </w:pPr>
      <w:r w:rsidRPr="0013463A">
        <w:t xml:space="preserve">Desperate, the parents </w:t>
      </w:r>
      <w:r w:rsidR="00591FDE" w:rsidRPr="0013463A">
        <w:t>called the 8-1-1 service for help and then tried to convince their son to go to the hospital</w:t>
      </w:r>
      <w:r w:rsidR="00425755" w:rsidRPr="0013463A">
        <w:t xml:space="preserve">. He </w:t>
      </w:r>
      <w:r w:rsidR="00591FDE" w:rsidRPr="0013463A">
        <w:t>refused. [</w:t>
      </w:r>
      <w:r w:rsidR="00591FDE" w:rsidRPr="0013463A">
        <w:rPr>
          <w:smallCaps/>
        </w:rPr>
        <w:t>translation</w:t>
      </w:r>
      <w:r w:rsidR="00591FDE" w:rsidRPr="0013463A">
        <w:t>] “I didn’t trust anyone”, he says.</w:t>
      </w:r>
    </w:p>
    <w:p w14:paraId="20BD522E" w14:textId="69BD948E" w:rsidR="00E023BD" w:rsidRPr="0013463A" w:rsidRDefault="00591FDE">
      <w:pPr>
        <w:pStyle w:val="Paragraphe"/>
        <w:tabs>
          <w:tab w:val="clear" w:pos="567"/>
        </w:tabs>
      </w:pPr>
      <w:r w:rsidRPr="0013463A">
        <w:t xml:space="preserve">Finally, on the morning of December 6, 2016, he agreed to go to the emergency room at </w:t>
      </w:r>
      <w:r w:rsidR="001834C5" w:rsidRPr="0013463A">
        <w:t xml:space="preserve">Hôpital St-Sacrement </w:t>
      </w:r>
      <w:r w:rsidRPr="0013463A">
        <w:t>in the city of Québec</w:t>
      </w:r>
      <w:r w:rsidR="001834C5" w:rsidRPr="0013463A">
        <w:t xml:space="preserve">, </w:t>
      </w:r>
      <w:r w:rsidRPr="0013463A">
        <w:t>accompanied by his parents.</w:t>
      </w:r>
    </w:p>
    <w:p w14:paraId="1A066483" w14:textId="2A13EBBA" w:rsidR="00E023BD" w:rsidRPr="0013463A" w:rsidRDefault="00591FDE">
      <w:pPr>
        <w:pStyle w:val="Paragraphe"/>
        <w:tabs>
          <w:tab w:val="clear" w:pos="567"/>
        </w:tabs>
      </w:pPr>
      <w:r w:rsidRPr="0013463A">
        <w:t>He remained in the hospital for about 30 days</w:t>
      </w:r>
      <w:r w:rsidR="00425755" w:rsidRPr="0013463A">
        <w:t xml:space="preserve">, </w:t>
      </w:r>
      <w:r w:rsidRPr="0013463A">
        <w:t>receiv</w:t>
      </w:r>
      <w:r w:rsidR="00425755" w:rsidRPr="0013463A">
        <w:t>ing</w:t>
      </w:r>
      <w:r w:rsidRPr="0013463A">
        <w:t xml:space="preserve"> care for his mental condition.</w:t>
      </w:r>
      <w:r w:rsidR="001834C5" w:rsidRPr="0013463A">
        <w:rPr>
          <w:rStyle w:val="Appelnotedebasdep"/>
        </w:rPr>
        <w:footnoteReference w:id="210"/>
      </w:r>
      <w:r w:rsidRPr="0013463A">
        <w:t xml:space="preserve"> First he was at </w:t>
      </w:r>
      <w:r w:rsidR="001834C5" w:rsidRPr="0013463A">
        <w:t xml:space="preserve">Hôpital Enfant-Jésus, </w:t>
      </w:r>
      <w:r w:rsidRPr="0013463A">
        <w:t xml:space="preserve">then at the </w:t>
      </w:r>
      <w:r w:rsidR="001834C5" w:rsidRPr="0013463A">
        <w:t>Institut universitaire en santé mentale de Québec.</w:t>
      </w:r>
    </w:p>
    <w:p w14:paraId="024AB91B" w14:textId="594701C8" w:rsidR="00E023BD" w:rsidRPr="0013463A" w:rsidRDefault="00050DA1">
      <w:pPr>
        <w:pStyle w:val="Paragraphe"/>
        <w:tabs>
          <w:tab w:val="clear" w:pos="567"/>
        </w:tabs>
      </w:pPr>
      <w:r w:rsidRPr="0013463A">
        <w:t>According to his intermittent sentence schedule</w:t>
      </w:r>
      <w:r w:rsidR="00425755" w:rsidRPr="0013463A">
        <w:t>,</w:t>
      </w:r>
      <w:r w:rsidR="001834C5" w:rsidRPr="0013463A">
        <w:rPr>
          <w:rStyle w:val="Appelnotedebasdep"/>
        </w:rPr>
        <w:footnoteReference w:id="211"/>
      </w:r>
      <w:r w:rsidRPr="0013463A">
        <w:t xml:space="preserve"> he did not return to prison until January 8, 2017.</w:t>
      </w:r>
    </w:p>
    <w:p w14:paraId="07ABE72D" w14:textId="3B5DCB8C" w:rsidR="00E023BD" w:rsidRPr="0013463A" w:rsidRDefault="00050DA1">
      <w:pPr>
        <w:pStyle w:val="Paragraphe"/>
        <w:tabs>
          <w:tab w:val="clear" w:pos="567"/>
        </w:tabs>
      </w:pPr>
      <w:r w:rsidRPr="0013463A">
        <w:t xml:space="preserve">By January </w:t>
      </w:r>
      <w:r w:rsidR="001834C5" w:rsidRPr="0013463A">
        <w:t>29</w:t>
      </w:r>
      <w:r w:rsidRPr="0013463A">
        <w:t>,</w:t>
      </w:r>
      <w:r w:rsidR="001834C5" w:rsidRPr="0013463A">
        <w:t xml:space="preserve"> 2017, </w:t>
      </w:r>
      <w:r w:rsidRPr="0013463A">
        <w:t>he had served his full intermittent sentence.</w:t>
      </w:r>
    </w:p>
    <w:p w14:paraId="68D05CD3" w14:textId="3828F37E" w:rsidR="00E023BD" w:rsidRPr="0013463A" w:rsidRDefault="00D17AED">
      <w:pPr>
        <w:pStyle w:val="Paragraphe"/>
        <w:tabs>
          <w:tab w:val="clear" w:pos="567"/>
        </w:tabs>
      </w:pPr>
      <w:r w:rsidRPr="0013463A">
        <w:t>It appears that the treatment he was subjected to on December 4, 2016, profoundly affected him and has had damaging and lasting repercussions.</w:t>
      </w:r>
      <w:r w:rsidR="001834C5" w:rsidRPr="0013463A">
        <w:t xml:space="preserve">   </w:t>
      </w:r>
    </w:p>
    <w:p w14:paraId="1C85F352" w14:textId="1EC3508B" w:rsidR="00E023BD" w:rsidRPr="0013463A" w:rsidRDefault="00D17AED">
      <w:pPr>
        <w:pStyle w:val="Paragraphe"/>
        <w:tabs>
          <w:tab w:val="clear" w:pos="567"/>
        </w:tabs>
      </w:pPr>
      <w:r w:rsidRPr="0013463A">
        <w:t>His life was completely destroyed, his father fume</w:t>
      </w:r>
      <w:r w:rsidR="004A45BC" w:rsidRPr="0013463A">
        <w:t>s</w:t>
      </w:r>
      <w:r w:rsidRPr="0013463A">
        <w:t>. [</w:t>
      </w:r>
      <w:r w:rsidRPr="0013463A">
        <w:rPr>
          <w:smallCaps/>
        </w:rPr>
        <w:t>translation</w:t>
      </w:r>
      <w:r w:rsidRPr="0013463A">
        <w:t>] “</w:t>
      </w:r>
      <w:r w:rsidR="004A45BC" w:rsidRPr="0013463A">
        <w:t>They created a</w:t>
      </w:r>
      <w:r w:rsidRPr="0013463A">
        <w:t xml:space="preserve"> monster”.</w:t>
      </w:r>
    </w:p>
    <w:p w14:paraId="59D451D3" w14:textId="6E2C8230" w:rsidR="00E023BD" w:rsidRPr="0013463A" w:rsidRDefault="00D17AED">
      <w:pPr>
        <w:pStyle w:val="Paragraphe"/>
        <w:tabs>
          <w:tab w:val="clear" w:pos="567"/>
        </w:tabs>
      </w:pPr>
      <w:r w:rsidRPr="0013463A">
        <w:t xml:space="preserve">His mother, who knew her son as a cheerful person who loved life, deplores that the </w:t>
      </w:r>
      <w:r w:rsidR="00511815">
        <w:t>correctional</w:t>
      </w:r>
      <w:r w:rsidRPr="0013463A">
        <w:t xml:space="preserve"> facility, which was supposed to work on his rehabilitation,</w:t>
      </w:r>
      <w:r w:rsidRPr="0013463A">
        <w:rPr>
          <w:rStyle w:val="Appelnotedebasdep"/>
        </w:rPr>
        <w:t xml:space="preserve"> </w:t>
      </w:r>
      <w:r w:rsidRPr="0013463A">
        <w:rPr>
          <w:rStyle w:val="Appelnotedebasdep"/>
        </w:rPr>
        <w:footnoteReference w:id="212"/>
      </w:r>
      <w:r w:rsidRPr="0013463A">
        <w:t xml:space="preserve"> instead helped destroy him: [</w:t>
      </w:r>
      <w:r w:rsidRPr="0013463A">
        <w:rPr>
          <w:smallCaps/>
        </w:rPr>
        <w:t>translation</w:t>
      </w:r>
      <w:r w:rsidRPr="0013463A">
        <w:t xml:space="preserve">] “Samuel </w:t>
      </w:r>
      <w:r w:rsidR="009339FB" w:rsidRPr="0013463A">
        <w:t xml:space="preserve">doesn’t </w:t>
      </w:r>
      <w:r w:rsidRPr="0013463A">
        <w:t>exist</w:t>
      </w:r>
      <w:r w:rsidR="009339FB" w:rsidRPr="0013463A">
        <w:t xml:space="preserve"> anymore</w:t>
      </w:r>
      <w:r w:rsidRPr="0013463A">
        <w:t>”.</w:t>
      </w:r>
    </w:p>
    <w:p w14:paraId="4153FEF8" w14:textId="3ED8E0B9" w:rsidR="00E023BD" w:rsidRPr="0013463A" w:rsidRDefault="00BD639B" w:rsidP="00A7732D">
      <w:pPr>
        <w:pStyle w:val="Paragraphe"/>
        <w:numPr>
          <w:ilvl w:val="0"/>
          <w:numId w:val="0"/>
        </w:numPr>
        <w:tabs>
          <w:tab w:val="clear" w:pos="567"/>
        </w:tabs>
        <w:jc w:val="center"/>
      </w:pPr>
      <w:r w:rsidRPr="0013463A">
        <w:t>* * *</w:t>
      </w:r>
    </w:p>
    <w:p w14:paraId="4E693879" w14:textId="2C46C733" w:rsidR="00E023BD" w:rsidRPr="0013463A" w:rsidRDefault="00D17AED">
      <w:pPr>
        <w:pStyle w:val="Paragraphe"/>
        <w:tabs>
          <w:tab w:val="clear" w:pos="567"/>
        </w:tabs>
      </w:pPr>
      <w:r w:rsidRPr="0013463A">
        <w:t>Determining a</w:t>
      </w:r>
      <w:r w:rsidR="000C7C79">
        <w:t>n appropriate</w:t>
      </w:r>
      <w:r w:rsidRPr="0013463A">
        <w:t xml:space="preserve"> monetary remedy to compensate for </w:t>
      </w:r>
      <w:r w:rsidR="009339FB" w:rsidRPr="0013463A">
        <w:t xml:space="preserve">the </w:t>
      </w:r>
      <w:r w:rsidRPr="0013463A">
        <w:t xml:space="preserve">moral </w:t>
      </w:r>
      <w:r w:rsidR="009E282C" w:rsidRPr="0013463A">
        <w:t>injury</w:t>
      </w:r>
      <w:r w:rsidRPr="0013463A">
        <w:t xml:space="preserve"> a person suffers </w:t>
      </w:r>
      <w:r w:rsidR="009339FB" w:rsidRPr="0013463A">
        <w:t xml:space="preserve">as a result of </w:t>
      </w:r>
      <w:r w:rsidRPr="0013463A">
        <w:t xml:space="preserve">the violation of their fundamental rights is a difficult exercise, </w:t>
      </w:r>
      <w:r w:rsidR="009339FB" w:rsidRPr="0013463A">
        <w:t xml:space="preserve">since no </w:t>
      </w:r>
      <w:r w:rsidRPr="0013463A">
        <w:t>accounting or mathematical formula</w:t>
      </w:r>
      <w:r w:rsidR="009339FB" w:rsidRPr="0013463A">
        <w:t xml:space="preserve"> can be used to calculate it. Rather, t</w:t>
      </w:r>
      <w:r w:rsidRPr="0013463A">
        <w:t>he issue is how to “assign a cash value to a qualitative loss”.</w:t>
      </w:r>
      <w:r w:rsidRPr="0013463A">
        <w:rPr>
          <w:rStyle w:val="Appelnotedebasdep"/>
        </w:rPr>
        <w:footnoteReference w:id="213"/>
      </w:r>
      <w:r w:rsidR="001834C5" w:rsidRPr="0013463A">
        <w:t xml:space="preserve"> </w:t>
      </w:r>
      <w:r w:rsidRPr="0013463A">
        <w:t>In reality, dollars do not have the power to restore a wounded soul.</w:t>
      </w:r>
      <w:r w:rsidR="001834C5" w:rsidRPr="0013463A">
        <w:t xml:space="preserve"> </w:t>
      </w:r>
    </w:p>
    <w:p w14:paraId="35A865A1" w14:textId="5F190C52" w:rsidR="00E023BD" w:rsidRPr="0013463A" w:rsidRDefault="00D17AED">
      <w:pPr>
        <w:pStyle w:val="Paragraphe"/>
        <w:tabs>
          <w:tab w:val="clear" w:pos="567"/>
        </w:tabs>
      </w:pPr>
      <w:r w:rsidRPr="0013463A">
        <w:t>That said, the case before us must be compared with other analogous cases in which non-pecuniary damages were awarded as roughly similar compensation to victims whose injuries are alike.</w:t>
      </w:r>
      <w:r w:rsidRPr="0013463A">
        <w:rPr>
          <w:rStyle w:val="Appelnotedebasdep"/>
        </w:rPr>
        <w:footnoteReference w:id="214"/>
      </w:r>
    </w:p>
    <w:p w14:paraId="184FAC01" w14:textId="66894310" w:rsidR="00E023BD" w:rsidRPr="0013463A" w:rsidRDefault="00D17AED">
      <w:pPr>
        <w:pStyle w:val="Paragraphe"/>
        <w:tabs>
          <w:tab w:val="clear" w:pos="567"/>
        </w:tabs>
      </w:pPr>
      <w:r w:rsidRPr="0013463A">
        <w:t xml:space="preserve">In the recent case of </w:t>
      </w:r>
      <w:r w:rsidRPr="0013463A">
        <w:rPr>
          <w:i/>
          <w:iCs/>
        </w:rPr>
        <w:t>Louis c. Procureur général du Québec</w:t>
      </w:r>
      <w:r w:rsidRPr="0013463A">
        <w:t>,</w:t>
      </w:r>
      <w:r w:rsidRPr="0013463A">
        <w:rPr>
          <w:rStyle w:val="Appelnotedebasdep"/>
        </w:rPr>
        <w:footnoteReference w:id="215"/>
      </w:r>
      <w:r w:rsidRPr="0013463A">
        <w:t xml:space="preserve"> the plaintiff, </w:t>
      </w:r>
      <w:r w:rsidR="009339FB" w:rsidRPr="0013463A">
        <w:t xml:space="preserve">who was </w:t>
      </w:r>
      <w:r w:rsidRPr="0013463A">
        <w:t xml:space="preserve">charged with murder, was </w:t>
      </w:r>
      <w:r w:rsidR="009339FB" w:rsidRPr="0013463A">
        <w:t>detained</w:t>
      </w:r>
      <w:r w:rsidRPr="0013463A">
        <w:t xml:space="preserve"> pending trial.</w:t>
      </w:r>
      <w:r w:rsidR="001834C5" w:rsidRPr="0013463A">
        <w:t xml:space="preserve"> </w:t>
      </w:r>
      <w:r w:rsidRPr="0013463A">
        <w:t xml:space="preserve">After being placed in solitary confinement for a disciplinary breach, he had to be moved to </w:t>
      </w:r>
      <w:r w:rsidR="009339FB" w:rsidRPr="0013463A">
        <w:t>a different</w:t>
      </w:r>
      <w:r w:rsidRPr="0013463A">
        <w:t xml:space="preserve"> cell to make room for another inmate suspected of hiding objects in his body cavities.</w:t>
      </w:r>
      <w:r w:rsidR="001834C5" w:rsidRPr="0013463A">
        <w:t xml:space="preserve"> </w:t>
      </w:r>
    </w:p>
    <w:p w14:paraId="43866606" w14:textId="64549000" w:rsidR="00E023BD" w:rsidRPr="0013463A" w:rsidRDefault="00D17AED">
      <w:pPr>
        <w:pStyle w:val="Paragraphe"/>
        <w:tabs>
          <w:tab w:val="clear" w:pos="567"/>
        </w:tabs>
      </w:pPr>
      <w:r w:rsidRPr="0013463A">
        <w:t xml:space="preserve">When the transfer was taking place, the intervention team felt that Mr. Louis was not moving as quickly as they wanted </w:t>
      </w:r>
      <w:r w:rsidR="009339FB" w:rsidRPr="0013463A">
        <w:t xml:space="preserve">him to </w:t>
      </w:r>
      <w:r w:rsidRPr="0013463A">
        <w:t>and not fully cooperating.</w:t>
      </w:r>
      <w:r w:rsidR="001834C5" w:rsidRPr="0013463A">
        <w:t xml:space="preserve"> </w:t>
      </w:r>
      <w:r w:rsidRPr="0013463A">
        <w:t xml:space="preserve">A </w:t>
      </w:r>
      <w:r w:rsidR="00110E24" w:rsidRPr="0013463A">
        <w:t>CO</w:t>
      </w:r>
      <w:r w:rsidRPr="0013463A">
        <w:t xml:space="preserve"> used an inflammatory agent on him, spraying it </w:t>
      </w:r>
      <w:r w:rsidR="009339FB" w:rsidRPr="0013463A">
        <w:t>through</w:t>
      </w:r>
      <w:r w:rsidRPr="0013463A">
        <w:t xml:space="preserve"> the serving hatch in the cell door.</w:t>
      </w:r>
      <w:r w:rsidR="001834C5" w:rsidRPr="0013463A">
        <w:t xml:space="preserve"> </w:t>
      </w:r>
      <w:r w:rsidRPr="0013463A">
        <w:t>The intervention team then conducted a hard entry for the purpose of handcuffing Mr. Louis.</w:t>
      </w:r>
      <w:r w:rsidR="001834C5" w:rsidRPr="0013463A">
        <w:t xml:space="preserve"> </w:t>
      </w:r>
    </w:p>
    <w:p w14:paraId="1604CED9" w14:textId="703E60A3" w:rsidR="00E023BD" w:rsidRPr="0013463A" w:rsidRDefault="00D17AED" w:rsidP="00840D0E">
      <w:pPr>
        <w:pStyle w:val="Paragraphe"/>
        <w:keepNext/>
        <w:tabs>
          <w:tab w:val="clear" w:pos="567"/>
        </w:tabs>
      </w:pPr>
      <w:r w:rsidRPr="0013463A">
        <w:t xml:space="preserve">The Court of Québec stated the following: </w:t>
      </w:r>
    </w:p>
    <w:p w14:paraId="41105878" w14:textId="77777777" w:rsidR="009339FB" w:rsidRPr="0013463A" w:rsidRDefault="00D17AED" w:rsidP="00840D0E">
      <w:pPr>
        <w:pStyle w:val="Citationenretrait"/>
        <w:keepNext/>
        <w:rPr>
          <w:lang w:val="en-CA"/>
        </w:rPr>
      </w:pPr>
      <w:r w:rsidRPr="0013463A">
        <w:rPr>
          <w:lang w:val="en-CA"/>
        </w:rPr>
        <w:t>[</w:t>
      </w:r>
      <w:r w:rsidRPr="0013463A">
        <w:rPr>
          <w:smallCaps/>
          <w:lang w:val="en-CA"/>
        </w:rPr>
        <w:t>translation</w:t>
      </w:r>
      <w:r w:rsidRPr="0013463A">
        <w:rPr>
          <w:lang w:val="en-CA"/>
        </w:rPr>
        <w:t xml:space="preserve">] </w:t>
      </w:r>
    </w:p>
    <w:p w14:paraId="51800611" w14:textId="71E6DF45" w:rsidR="00E023BD" w:rsidRPr="0013463A" w:rsidRDefault="00D17AED" w:rsidP="00840D0E">
      <w:pPr>
        <w:pStyle w:val="Citationenretrait"/>
        <w:keepNext/>
        <w:rPr>
          <w:lang w:val="en-CA"/>
        </w:rPr>
      </w:pPr>
      <w:r w:rsidRPr="0013463A">
        <w:rPr>
          <w:lang w:val="en-CA"/>
        </w:rPr>
        <w:t>The video recording shows that no fewer than eight officers intervened at one point or another during the few minutes that elapsed between the hard entry into the cell and the extraction of Mr. Louis.</w:t>
      </w:r>
      <w:r w:rsidR="001834C5" w:rsidRPr="0013463A">
        <w:rPr>
          <w:lang w:val="en-CA"/>
        </w:rPr>
        <w:t xml:space="preserve"> </w:t>
      </w:r>
      <w:r w:rsidRPr="0013463A">
        <w:rPr>
          <w:lang w:val="en-CA"/>
        </w:rPr>
        <w:t>When exiting the cell, Mr. Louis was upright but being forced to walk backwards.</w:t>
      </w:r>
      <w:r w:rsidR="001834C5" w:rsidRPr="0013463A">
        <w:rPr>
          <w:lang w:val="en-CA"/>
        </w:rPr>
        <w:t xml:space="preserve"> </w:t>
      </w:r>
      <w:r w:rsidRPr="0013463A">
        <w:rPr>
          <w:lang w:val="en-CA"/>
        </w:rPr>
        <w:t>He was held by an officer on both sides.</w:t>
      </w:r>
      <w:r w:rsidR="001834C5" w:rsidRPr="0013463A">
        <w:rPr>
          <w:rStyle w:val="Appelnotedebasdep"/>
          <w:lang w:val="en-CA"/>
        </w:rPr>
        <w:footnoteReference w:id="216"/>
      </w:r>
    </w:p>
    <w:p w14:paraId="37758C99" w14:textId="4680874B" w:rsidR="00E023BD" w:rsidRPr="0013463A" w:rsidRDefault="00D17AED">
      <w:pPr>
        <w:pStyle w:val="Paragraphe"/>
        <w:tabs>
          <w:tab w:val="clear" w:pos="567"/>
        </w:tabs>
      </w:pPr>
      <w:r w:rsidRPr="0013463A">
        <w:t>He was then escorted to a decontamination station.</w:t>
      </w:r>
      <w:r w:rsidR="001834C5" w:rsidRPr="0013463A">
        <w:t xml:space="preserve"> </w:t>
      </w:r>
      <w:r w:rsidRPr="0013463A">
        <w:t>He complained that the water was too hot</w:t>
      </w:r>
      <w:r w:rsidR="00144687" w:rsidRPr="0013463A">
        <w:t xml:space="preserve"> and</w:t>
      </w:r>
      <w:r w:rsidRPr="0013463A">
        <w:t xml:space="preserve"> increas</w:t>
      </w:r>
      <w:r w:rsidR="00144687" w:rsidRPr="0013463A">
        <w:t>ed</w:t>
      </w:r>
      <w:r w:rsidRPr="0013463A">
        <w:t xml:space="preserve"> the burning sensation.</w:t>
      </w:r>
    </w:p>
    <w:p w14:paraId="339F9BEE" w14:textId="239B016A" w:rsidR="00E023BD" w:rsidRPr="0013463A" w:rsidRDefault="00D17AED">
      <w:pPr>
        <w:pStyle w:val="Paragraphe"/>
        <w:tabs>
          <w:tab w:val="clear" w:pos="567"/>
        </w:tabs>
      </w:pPr>
      <w:r w:rsidRPr="0013463A">
        <w:t>He was then led to a cell where he was forced into a kneeling position, face against the back wall, to have his clothing cut off.</w:t>
      </w:r>
      <w:r w:rsidR="001834C5" w:rsidRPr="0013463A">
        <w:t xml:space="preserve"> </w:t>
      </w:r>
      <w:r w:rsidRPr="0013463A">
        <w:t xml:space="preserve">He was then led back to the shower, </w:t>
      </w:r>
      <w:r w:rsidR="00144687" w:rsidRPr="0013463A">
        <w:t xml:space="preserve">completely </w:t>
      </w:r>
      <w:r w:rsidRPr="0013463A">
        <w:t>naked but still handcuffed, with the entire intervention team present.</w:t>
      </w:r>
    </w:p>
    <w:p w14:paraId="0D2DC4D8" w14:textId="64AE3A6C" w:rsidR="00E023BD" w:rsidRPr="0013463A" w:rsidRDefault="00D17AED">
      <w:pPr>
        <w:pStyle w:val="Paragraphe"/>
        <w:tabs>
          <w:tab w:val="clear" w:pos="567"/>
        </w:tabs>
      </w:pPr>
      <w:r w:rsidRPr="0013463A">
        <w:t xml:space="preserve">Once back in the cell, a nurse came to examine him while he was </w:t>
      </w:r>
      <w:r w:rsidR="00144687" w:rsidRPr="0013463A">
        <w:t xml:space="preserve">still </w:t>
      </w:r>
      <w:r w:rsidRPr="0013463A">
        <w:t>forced to remain in a kneeling position.</w:t>
      </w:r>
      <w:r w:rsidR="001834C5" w:rsidRPr="0013463A">
        <w:t xml:space="preserve"> </w:t>
      </w:r>
      <w:r w:rsidRPr="0013463A">
        <w:t xml:space="preserve">At that </w:t>
      </w:r>
      <w:r w:rsidR="00144687" w:rsidRPr="0013463A">
        <w:t>point</w:t>
      </w:r>
      <w:r w:rsidRPr="0013463A">
        <w:t xml:space="preserve"> there were nine persons surrounding him and [</w:t>
      </w:r>
      <w:r w:rsidRPr="0013463A">
        <w:rPr>
          <w:smallCaps/>
        </w:rPr>
        <w:t>translation</w:t>
      </w:r>
      <w:r w:rsidRPr="0013463A">
        <w:t>] “no measures were taken to protect his privacy”.</w:t>
      </w:r>
      <w:r w:rsidRPr="0013463A">
        <w:rPr>
          <w:rStyle w:val="Appelnotedebasdep"/>
        </w:rPr>
        <w:footnoteReference w:id="217"/>
      </w:r>
      <w:r w:rsidR="001834C5" w:rsidRPr="0013463A">
        <w:t xml:space="preserve">  </w:t>
      </w:r>
    </w:p>
    <w:p w14:paraId="2FE53B9B" w14:textId="2CF4CDCE" w:rsidR="00E023BD" w:rsidRPr="0013463A" w:rsidRDefault="006A6A15">
      <w:pPr>
        <w:pStyle w:val="Paragraphe"/>
        <w:tabs>
          <w:tab w:val="clear" w:pos="567"/>
        </w:tabs>
      </w:pPr>
      <w:r w:rsidRPr="0013463A">
        <w:t xml:space="preserve">Mr. Louis testified that he was kicked directly in the face during the </w:t>
      </w:r>
      <w:r w:rsidR="00110E24" w:rsidRPr="0013463A">
        <w:t>CO</w:t>
      </w:r>
      <w:r w:rsidR="00D16DF6">
        <w:t>s'</w:t>
      </w:r>
      <w:r w:rsidRPr="0013463A">
        <w:t xml:space="preserve"> intervention.</w:t>
      </w:r>
      <w:r w:rsidR="001834C5" w:rsidRPr="0013463A">
        <w:t xml:space="preserve"> </w:t>
      </w:r>
      <w:r w:rsidRPr="0013463A">
        <w:t>Four of his teeth were damaged.</w:t>
      </w:r>
    </w:p>
    <w:p w14:paraId="082C7870" w14:textId="6FD29D65" w:rsidR="00E023BD" w:rsidRPr="0013463A" w:rsidRDefault="006A6A15">
      <w:pPr>
        <w:pStyle w:val="Paragraphe"/>
        <w:tabs>
          <w:tab w:val="clear" w:pos="567"/>
        </w:tabs>
      </w:pPr>
      <w:r w:rsidRPr="0013463A">
        <w:t>In this regard, the Court stated:</w:t>
      </w:r>
    </w:p>
    <w:p w14:paraId="38E58A2F" w14:textId="5639FB58" w:rsidR="00144687" w:rsidRPr="0013463A" w:rsidRDefault="00144687" w:rsidP="00A7732D">
      <w:pPr>
        <w:pStyle w:val="Citationenretrait"/>
        <w:rPr>
          <w:lang w:val="en-CA"/>
        </w:rPr>
      </w:pPr>
      <w:r w:rsidRPr="0013463A">
        <w:rPr>
          <w:lang w:val="en-CA"/>
        </w:rPr>
        <w:t>[</w:t>
      </w:r>
      <w:r w:rsidRPr="0013463A">
        <w:rPr>
          <w:smallCaps/>
          <w:lang w:val="en-CA"/>
        </w:rPr>
        <w:t>translation</w:t>
      </w:r>
      <w:r w:rsidRPr="0013463A">
        <w:rPr>
          <w:lang w:val="en-CA"/>
        </w:rPr>
        <w:t>]</w:t>
      </w:r>
    </w:p>
    <w:p w14:paraId="2D150CF9" w14:textId="6BD5FD96" w:rsidR="00E023BD" w:rsidRPr="0013463A" w:rsidRDefault="006A6A15" w:rsidP="00A7732D">
      <w:pPr>
        <w:pStyle w:val="Citationenretrait"/>
        <w:rPr>
          <w:lang w:val="en-CA"/>
        </w:rPr>
      </w:pPr>
      <w:r w:rsidRPr="0013463A">
        <w:rPr>
          <w:lang w:val="en-CA"/>
        </w:rPr>
        <w:t xml:space="preserve">Mr. Louis was kicked in the face while he was lying on the ground, his hands cuffed behind his back and surrounded by several correctional officers wearing their protective </w:t>
      </w:r>
      <w:r w:rsidR="00144687" w:rsidRPr="0013463A">
        <w:rPr>
          <w:lang w:val="en-CA"/>
        </w:rPr>
        <w:t>equipment</w:t>
      </w:r>
      <w:r w:rsidRPr="0013463A">
        <w:rPr>
          <w:lang w:val="en-CA"/>
        </w:rPr>
        <w:t xml:space="preserve"> and carrying bat</w:t>
      </w:r>
      <w:r w:rsidR="00433855">
        <w:rPr>
          <w:lang w:val="en-CA"/>
        </w:rPr>
        <w:t>on</w:t>
      </w:r>
      <w:r w:rsidRPr="0013463A">
        <w:rPr>
          <w:lang w:val="en-CA"/>
        </w:rPr>
        <w:t>s.</w:t>
      </w:r>
      <w:r w:rsidR="001834C5" w:rsidRPr="0013463A">
        <w:rPr>
          <w:lang w:val="en-CA"/>
        </w:rPr>
        <w:t xml:space="preserve"> </w:t>
      </w:r>
      <w:r w:rsidRPr="0013463A">
        <w:rPr>
          <w:lang w:val="en-CA"/>
        </w:rPr>
        <w:t>There is no possible justification for such actions in the</w:t>
      </w:r>
      <w:r w:rsidR="00433855">
        <w:rPr>
          <w:lang w:val="en-CA"/>
        </w:rPr>
        <w:t>se</w:t>
      </w:r>
      <w:r w:rsidRPr="0013463A">
        <w:rPr>
          <w:lang w:val="en-CA"/>
        </w:rPr>
        <w:t xml:space="preserve"> circumstances.</w:t>
      </w:r>
      <w:r w:rsidR="001834C5" w:rsidRPr="0013463A">
        <w:rPr>
          <w:lang w:val="en-CA"/>
        </w:rPr>
        <w:t xml:space="preserve"> </w:t>
      </w:r>
      <w:r w:rsidRPr="0013463A">
        <w:rPr>
          <w:lang w:val="en-CA"/>
        </w:rPr>
        <w:t>Prudent and diligent correctional officers do not conduct themselves in this manner when exercising their duties.</w:t>
      </w:r>
      <w:r w:rsidR="001834C5" w:rsidRPr="0013463A">
        <w:rPr>
          <w:lang w:val="en-CA"/>
        </w:rPr>
        <w:t xml:space="preserve"> </w:t>
      </w:r>
      <w:r w:rsidRPr="0013463A">
        <w:rPr>
          <w:lang w:val="en-CA"/>
        </w:rPr>
        <w:t xml:space="preserve">With respect for the contrary view, </w:t>
      </w:r>
      <w:r w:rsidR="00433855">
        <w:rPr>
          <w:lang w:val="en-CA"/>
        </w:rPr>
        <w:t xml:space="preserve">the use of </w:t>
      </w:r>
      <w:r w:rsidRPr="0013463A">
        <w:rPr>
          <w:lang w:val="en-CA"/>
        </w:rPr>
        <w:t>such measures against an inmate constitutes an unreasonable use of force.</w:t>
      </w:r>
      <w:r w:rsidR="001834C5" w:rsidRPr="0013463A">
        <w:rPr>
          <w:lang w:val="en-CA"/>
        </w:rPr>
        <w:t xml:space="preserve"> </w:t>
      </w:r>
      <w:r w:rsidRPr="0013463A">
        <w:rPr>
          <w:lang w:val="en-CA"/>
        </w:rPr>
        <w:t xml:space="preserve">The custody exercised by a </w:t>
      </w:r>
      <w:r w:rsidR="00321933">
        <w:rPr>
          <w:lang w:val="en-CA"/>
        </w:rPr>
        <w:t>correctional</w:t>
      </w:r>
      <w:r w:rsidRPr="0013463A">
        <w:rPr>
          <w:lang w:val="en-CA"/>
        </w:rPr>
        <w:t xml:space="preserve"> facility </w:t>
      </w:r>
      <w:r w:rsidR="00144687" w:rsidRPr="0013463A">
        <w:rPr>
          <w:lang w:val="en-CA"/>
        </w:rPr>
        <w:t>over</w:t>
      </w:r>
      <w:r w:rsidRPr="0013463A">
        <w:rPr>
          <w:lang w:val="en-CA"/>
        </w:rPr>
        <w:t xml:space="preserve"> an inmate does not authorize such method</w:t>
      </w:r>
      <w:r w:rsidR="00144687" w:rsidRPr="0013463A">
        <w:rPr>
          <w:lang w:val="en-CA"/>
        </w:rPr>
        <w:t>s</w:t>
      </w:r>
      <w:r w:rsidRPr="0013463A">
        <w:rPr>
          <w:lang w:val="en-CA"/>
        </w:rPr>
        <w:t xml:space="preserve"> to maintain control over this person.</w:t>
      </w:r>
      <w:r w:rsidR="001834C5" w:rsidRPr="0013463A">
        <w:rPr>
          <w:rStyle w:val="Appelnotedebasdep"/>
          <w:lang w:val="en-CA"/>
        </w:rPr>
        <w:footnoteReference w:id="218"/>
      </w:r>
    </w:p>
    <w:p w14:paraId="1B9F6D59" w14:textId="019CDB37" w:rsidR="00E023BD" w:rsidRPr="0013463A" w:rsidRDefault="006A6A15">
      <w:pPr>
        <w:pStyle w:val="Paragraphe"/>
        <w:tabs>
          <w:tab w:val="clear" w:pos="567"/>
        </w:tabs>
      </w:pPr>
      <w:r w:rsidRPr="0013463A">
        <w:t xml:space="preserve">The Court therefore awarded Mr. Louis compensation of $15,000 for moral </w:t>
      </w:r>
      <w:r w:rsidR="009E282C" w:rsidRPr="0013463A">
        <w:t>injury</w:t>
      </w:r>
      <w:r w:rsidRPr="0013463A">
        <w:t xml:space="preserve"> </w:t>
      </w:r>
      <w:r w:rsidR="00144687" w:rsidRPr="0013463A">
        <w:t>in relation with</w:t>
      </w:r>
      <w:r w:rsidRPr="0013463A">
        <w:t xml:space="preserve"> [</w:t>
      </w:r>
      <w:r w:rsidRPr="0013463A">
        <w:rPr>
          <w:smallCaps/>
        </w:rPr>
        <w:t>translation</w:t>
      </w:r>
      <w:r w:rsidRPr="0013463A">
        <w:t>] “the violation of his dignity and the flagrant lack of respect he experienced when he was kicked in the face”.</w:t>
      </w:r>
      <w:r w:rsidRPr="0013463A">
        <w:rPr>
          <w:rStyle w:val="Appelnotedebasdep"/>
        </w:rPr>
        <w:footnoteReference w:id="219"/>
      </w:r>
    </w:p>
    <w:p w14:paraId="4E32AE59" w14:textId="09BE09A2" w:rsidR="00E023BD" w:rsidRPr="0013463A" w:rsidRDefault="006A6A15">
      <w:pPr>
        <w:pStyle w:val="Paragraphe"/>
        <w:tabs>
          <w:tab w:val="clear" w:pos="567"/>
        </w:tabs>
      </w:pPr>
      <w:r w:rsidRPr="0013463A">
        <w:t xml:space="preserve">It should be noted that Mr. Louis, who was not serving an intermittent sentence, given the seriousness of the charge against him, </w:t>
      </w:r>
      <w:r w:rsidR="00144687" w:rsidRPr="0013463A">
        <w:t xml:space="preserve">sought a sanction for the </w:t>
      </w:r>
      <w:r w:rsidRPr="0013463A">
        <w:t xml:space="preserve">kick he received in the mouth </w:t>
      </w:r>
      <w:r w:rsidR="00144687" w:rsidRPr="0013463A">
        <w:t xml:space="preserve">in his application, </w:t>
      </w:r>
      <w:r w:rsidRPr="0013463A">
        <w:t xml:space="preserve">not the entire </w:t>
      </w:r>
      <w:r w:rsidR="00110E24" w:rsidRPr="0013463A">
        <w:t>CO</w:t>
      </w:r>
      <w:r w:rsidRPr="0013463A">
        <w:t xml:space="preserve"> intervention. </w:t>
      </w:r>
    </w:p>
    <w:p w14:paraId="09575CF5" w14:textId="4BECCCA0" w:rsidR="00E023BD" w:rsidRPr="0013463A" w:rsidRDefault="006A6A15">
      <w:pPr>
        <w:pStyle w:val="Paragraphe"/>
        <w:tabs>
          <w:tab w:val="clear" w:pos="567"/>
        </w:tabs>
      </w:pPr>
      <w:r w:rsidRPr="0013463A">
        <w:t xml:space="preserve">In </w:t>
      </w:r>
      <w:r w:rsidRPr="0013463A">
        <w:rPr>
          <w:i/>
        </w:rPr>
        <w:t>Régie intermunicipale de police des Seigneuries c. Michaelson</w:t>
      </w:r>
      <w:r w:rsidRPr="0013463A">
        <w:rPr>
          <w:rStyle w:val="Appelnotedebasdep"/>
        </w:rPr>
        <w:footnoteReference w:id="220"/>
      </w:r>
      <w:r w:rsidRPr="0013463A">
        <w:t xml:space="preserve"> </w:t>
      </w:r>
      <w:r w:rsidR="00144687" w:rsidRPr="0013463A">
        <w:t>–</w:t>
      </w:r>
      <w:r w:rsidRPr="0013463A">
        <w:t xml:space="preserve"> a case that is nearly 20 years old </w:t>
      </w:r>
      <w:r w:rsidR="00144687" w:rsidRPr="0013463A">
        <w:t>–</w:t>
      </w:r>
      <w:r w:rsidRPr="0013463A">
        <w:t xml:space="preserve"> a police officer went to Mr. Michaelson’s residence because</w:t>
      </w:r>
      <w:r w:rsidR="00144687" w:rsidRPr="0013463A">
        <w:t>, unbeknownst to him,</w:t>
      </w:r>
      <w:r w:rsidRPr="0013463A">
        <w:t xml:space="preserve"> his dog had just bitten an adolescent.</w:t>
      </w:r>
      <w:r w:rsidR="001834C5" w:rsidRPr="0013463A">
        <w:t xml:space="preserve"> </w:t>
      </w:r>
    </w:p>
    <w:p w14:paraId="7795E78F" w14:textId="0BF64BCE" w:rsidR="00E023BD" w:rsidRPr="0013463A" w:rsidRDefault="006A6A15">
      <w:pPr>
        <w:pStyle w:val="Paragraphe"/>
        <w:tabs>
          <w:tab w:val="clear" w:pos="567"/>
        </w:tabs>
      </w:pPr>
      <w:r w:rsidRPr="0013463A">
        <w:t>The dog threatened the police officer, who drew his weapon</w:t>
      </w:r>
      <w:r w:rsidR="00144687" w:rsidRPr="0013463A">
        <w:t xml:space="preserve"> but kept it pointing </w:t>
      </w:r>
      <w:r w:rsidRPr="0013463A">
        <w:t>down</w:t>
      </w:r>
      <w:r w:rsidR="00144687" w:rsidRPr="0013463A">
        <w:t>, along</w:t>
      </w:r>
      <w:r w:rsidRPr="0013463A">
        <w:t xml:space="preserve"> his thigh.</w:t>
      </w:r>
      <w:r w:rsidR="001834C5" w:rsidRPr="0013463A">
        <w:t xml:space="preserve"> </w:t>
      </w:r>
      <w:r w:rsidRPr="0013463A">
        <w:t>The police officer told the dog’s owner that he would not hesitate to kill the dog if he was attacked.</w:t>
      </w:r>
    </w:p>
    <w:p w14:paraId="4CE160DE" w14:textId="16F59099" w:rsidR="00E023BD" w:rsidRPr="0013463A" w:rsidRDefault="006A6A15">
      <w:pPr>
        <w:pStyle w:val="Paragraphe"/>
        <w:tabs>
          <w:tab w:val="clear" w:pos="567"/>
        </w:tabs>
      </w:pPr>
      <w:r w:rsidRPr="0013463A">
        <w:t xml:space="preserve">Mr. Michaelson gave the dog to his son, who </w:t>
      </w:r>
      <w:r w:rsidR="00B025C1" w:rsidRPr="0013463A">
        <w:t>took</w:t>
      </w:r>
      <w:r w:rsidRPr="0013463A">
        <w:t xml:space="preserve"> it into the house immediately.</w:t>
      </w:r>
      <w:r w:rsidR="001834C5" w:rsidRPr="0013463A">
        <w:t xml:space="preserve"> </w:t>
      </w:r>
      <w:r w:rsidRPr="0013463A">
        <w:t>Mr. Michaelson</w:t>
      </w:r>
      <w:r w:rsidR="00B025C1" w:rsidRPr="0013463A">
        <w:t xml:space="preserve"> was</w:t>
      </w:r>
      <w:r w:rsidRPr="0013463A">
        <w:t xml:space="preserve"> beside himself</w:t>
      </w:r>
      <w:r w:rsidR="00B025C1" w:rsidRPr="0013463A">
        <w:t xml:space="preserve"> with anger. He </w:t>
      </w:r>
      <w:r w:rsidRPr="0013463A">
        <w:t>demanded that the police officer leave his property, but in vain.</w:t>
      </w:r>
    </w:p>
    <w:p w14:paraId="7D4E11AA" w14:textId="0CE05E30" w:rsidR="00E023BD" w:rsidRPr="0013463A" w:rsidRDefault="006A6A15">
      <w:pPr>
        <w:pStyle w:val="Paragraphe"/>
        <w:tabs>
          <w:tab w:val="clear" w:pos="567"/>
        </w:tabs>
      </w:pPr>
      <w:r w:rsidRPr="0013463A">
        <w:t>A brief scuffle ensued</w:t>
      </w:r>
      <w:r w:rsidR="008F3BDF">
        <w:t>.</w:t>
      </w:r>
      <w:r w:rsidR="001834C5" w:rsidRPr="0013463A">
        <w:t xml:space="preserve"> </w:t>
      </w:r>
    </w:p>
    <w:p w14:paraId="3708B1FA" w14:textId="0A97DB75" w:rsidR="00E023BD" w:rsidRPr="0013463A" w:rsidRDefault="006A6A15">
      <w:pPr>
        <w:pStyle w:val="Paragraphe"/>
        <w:tabs>
          <w:tab w:val="clear" w:pos="567"/>
        </w:tabs>
      </w:pPr>
      <w:r w:rsidRPr="0013463A">
        <w:t xml:space="preserve">The police officer ordered Mr. Michaelson to place his hands on the hood of his </w:t>
      </w:r>
      <w:r w:rsidR="008502CF" w:rsidRPr="0013463A">
        <w:t>car</w:t>
      </w:r>
      <w:r w:rsidRPr="0013463A">
        <w:t xml:space="preserve"> because he was under arrest, but Mr. Michaelson refused to comply.</w:t>
      </w:r>
      <w:r w:rsidR="001834C5" w:rsidRPr="0013463A">
        <w:t xml:space="preserve"> </w:t>
      </w:r>
    </w:p>
    <w:p w14:paraId="63A08A2D" w14:textId="6A95BB7B" w:rsidR="00E023BD" w:rsidRPr="0013463A" w:rsidRDefault="006A6A15">
      <w:pPr>
        <w:pStyle w:val="Paragraphe"/>
        <w:tabs>
          <w:tab w:val="clear" w:pos="567"/>
        </w:tabs>
      </w:pPr>
      <w:r w:rsidRPr="0013463A">
        <w:t xml:space="preserve">The police officer pepper sprayed Mr. Michaelson three times until the man managed </w:t>
      </w:r>
      <w:r w:rsidR="008502CF" w:rsidRPr="0013463A">
        <w:t xml:space="preserve">with great effort </w:t>
      </w:r>
      <w:r w:rsidRPr="0013463A">
        <w:t>to take refuge in his home.</w:t>
      </w:r>
    </w:p>
    <w:p w14:paraId="20E1CFB1" w14:textId="0D4657BF" w:rsidR="00E023BD" w:rsidRPr="0013463A" w:rsidRDefault="006A6A15">
      <w:pPr>
        <w:pStyle w:val="Paragraphe"/>
        <w:tabs>
          <w:tab w:val="clear" w:pos="567"/>
        </w:tabs>
      </w:pPr>
      <w:r w:rsidRPr="0013463A">
        <w:t>Mr. Michaelson’s son tried to help his father.</w:t>
      </w:r>
      <w:r w:rsidR="001834C5" w:rsidRPr="0013463A">
        <w:t xml:space="preserve"> </w:t>
      </w:r>
      <w:r w:rsidRPr="0013463A">
        <w:t>The officer chased after him, threw him on the ground in front of the garage, handcuffed him, and placed him in the back seat of the patrol car.</w:t>
      </w:r>
    </w:p>
    <w:p w14:paraId="11E98FFF" w14:textId="2CB84343" w:rsidR="00E023BD" w:rsidRPr="0013463A" w:rsidRDefault="006A6A15">
      <w:pPr>
        <w:pStyle w:val="Paragraphe"/>
        <w:tabs>
          <w:tab w:val="clear" w:pos="567"/>
        </w:tabs>
      </w:pPr>
      <w:r w:rsidRPr="0013463A">
        <w:t>The father and son were ultimately brought to the police station, where</w:t>
      </w:r>
      <w:r w:rsidR="008502CF" w:rsidRPr="0013463A">
        <w:t>,</w:t>
      </w:r>
      <w:r w:rsidRPr="0013463A">
        <w:t xml:space="preserve"> for the first time</w:t>
      </w:r>
      <w:r w:rsidR="008502CF" w:rsidRPr="0013463A">
        <w:t>, they learned</w:t>
      </w:r>
      <w:r w:rsidRPr="0013463A">
        <w:t xml:space="preserve"> why the police officer had gone to their home.</w:t>
      </w:r>
    </w:p>
    <w:p w14:paraId="4845E32E" w14:textId="5AA45444" w:rsidR="00E023BD" w:rsidRPr="0013463A" w:rsidRDefault="006A6A15">
      <w:pPr>
        <w:pStyle w:val="Paragraphe"/>
        <w:tabs>
          <w:tab w:val="clear" w:pos="567"/>
        </w:tabs>
      </w:pPr>
      <w:r w:rsidRPr="0013463A">
        <w:t xml:space="preserve">They were detained the entire evening </w:t>
      </w:r>
      <w:r w:rsidR="008502CF" w:rsidRPr="0013463A">
        <w:t>then</w:t>
      </w:r>
      <w:r w:rsidRPr="0013463A">
        <w:t xml:space="preserve"> finally released.</w:t>
      </w:r>
      <w:r w:rsidR="001834C5" w:rsidRPr="0013463A">
        <w:t xml:space="preserve"> </w:t>
      </w:r>
      <w:r w:rsidRPr="0013463A">
        <w:t>The father was acquitted of the charges of obstructing a peace officer and assault laid against him.</w:t>
      </w:r>
      <w:r w:rsidR="001834C5" w:rsidRPr="0013463A">
        <w:t xml:space="preserve"> </w:t>
      </w:r>
    </w:p>
    <w:p w14:paraId="3C2948BB" w14:textId="7EBFE94A" w:rsidR="00E023BD" w:rsidRPr="0013463A" w:rsidRDefault="006A6A15">
      <w:pPr>
        <w:pStyle w:val="Paragraphe"/>
        <w:tabs>
          <w:tab w:val="clear" w:pos="567"/>
        </w:tabs>
      </w:pPr>
      <w:r w:rsidRPr="0013463A">
        <w:t xml:space="preserve">The Superior Court assessed the moral </w:t>
      </w:r>
      <w:r w:rsidR="009E282C" w:rsidRPr="0013463A">
        <w:t>injury</w:t>
      </w:r>
      <w:r w:rsidRPr="0013463A">
        <w:t xml:space="preserve"> suffered </w:t>
      </w:r>
      <w:r w:rsidR="008502CF" w:rsidRPr="0013463A">
        <w:t>due to</w:t>
      </w:r>
      <w:r w:rsidRPr="0013463A">
        <w:t xml:space="preserve"> psychological trauma, pain</w:t>
      </w:r>
      <w:r w:rsidR="004F7A65">
        <w:t>,</w:t>
      </w:r>
      <w:r w:rsidRPr="0013463A">
        <w:t xml:space="preserve"> and inconvenience, including the obligation to undergo a criminal trial </w:t>
      </w:r>
      <w:r w:rsidR="008502CF" w:rsidRPr="0013463A">
        <w:t>–</w:t>
      </w:r>
      <w:r w:rsidRPr="0013463A">
        <w:t xml:space="preserve"> without the extrajudicial fees, which were claimed under another head </w:t>
      </w:r>
      <w:r w:rsidR="008502CF" w:rsidRPr="0013463A">
        <w:t>–</w:t>
      </w:r>
      <w:r w:rsidR="004104F7">
        <w:t xml:space="preserve"> </w:t>
      </w:r>
      <w:r w:rsidR="006F2B23">
        <w:t>at</w:t>
      </w:r>
      <w:r w:rsidRPr="0013463A">
        <w:t xml:space="preserve"> $20,000.</w:t>
      </w:r>
    </w:p>
    <w:p w14:paraId="16D812CA" w14:textId="626E50B8" w:rsidR="00E023BD" w:rsidRPr="0013463A" w:rsidRDefault="00C40EE4">
      <w:pPr>
        <w:pStyle w:val="Paragraphe"/>
        <w:tabs>
          <w:tab w:val="clear" w:pos="567"/>
        </w:tabs>
      </w:pPr>
      <w:r>
        <w:t>On appeal, t</w:t>
      </w:r>
      <w:r w:rsidR="006A6A15" w:rsidRPr="0013463A">
        <w:t>he Court of Appeal of Quebec upheld this conclusion and provided the following explanation:</w:t>
      </w:r>
      <w:r w:rsidR="001834C5" w:rsidRPr="0013463A">
        <w:t xml:space="preserve"> </w:t>
      </w:r>
    </w:p>
    <w:p w14:paraId="006173AA" w14:textId="61461A36" w:rsidR="008502CF" w:rsidRPr="0013463A" w:rsidRDefault="008502CF" w:rsidP="008502CF">
      <w:pPr>
        <w:pStyle w:val="Paragraphe"/>
        <w:numPr>
          <w:ilvl w:val="0"/>
          <w:numId w:val="0"/>
        </w:numPr>
        <w:tabs>
          <w:tab w:val="clear" w:pos="567"/>
        </w:tabs>
        <w:ind w:left="567"/>
      </w:pPr>
      <w:r w:rsidRPr="0013463A">
        <w:t>[</w:t>
      </w:r>
      <w:r w:rsidRPr="0013463A">
        <w:rPr>
          <w:smallCaps/>
        </w:rPr>
        <w:t>translation</w:t>
      </w:r>
      <w:r w:rsidRPr="0013463A">
        <w:t>]</w:t>
      </w:r>
    </w:p>
    <w:p w14:paraId="7A559596" w14:textId="66BCEEB5" w:rsidR="00E023BD" w:rsidRPr="0013463A" w:rsidRDefault="006A6A15" w:rsidP="00A7732D">
      <w:pPr>
        <w:pStyle w:val="Citationenretrait"/>
        <w:rPr>
          <w:lang w:val="en-CA"/>
        </w:rPr>
      </w:pPr>
      <w:r w:rsidRPr="0013463A">
        <w:rPr>
          <w:lang w:val="en-CA"/>
        </w:rPr>
        <w:t>[41] In this case, [Mr.] Michaelson was arrested after being pepper sprayed.</w:t>
      </w:r>
      <w:r w:rsidR="001834C5" w:rsidRPr="0013463A">
        <w:rPr>
          <w:lang w:val="en-CA"/>
        </w:rPr>
        <w:t xml:space="preserve"> </w:t>
      </w:r>
      <w:r w:rsidRPr="0013463A">
        <w:rPr>
          <w:lang w:val="en-CA"/>
        </w:rPr>
        <w:t>The pain was intense.</w:t>
      </w:r>
      <w:r w:rsidR="001834C5" w:rsidRPr="0013463A">
        <w:rPr>
          <w:lang w:val="en-CA"/>
        </w:rPr>
        <w:t xml:space="preserve"> </w:t>
      </w:r>
      <w:r w:rsidRPr="0013463A">
        <w:rPr>
          <w:lang w:val="en-CA"/>
        </w:rPr>
        <w:t>The effects lasted several hours.</w:t>
      </w:r>
      <w:r w:rsidR="001834C5" w:rsidRPr="0013463A">
        <w:rPr>
          <w:lang w:val="en-CA"/>
        </w:rPr>
        <w:t xml:space="preserve"> </w:t>
      </w:r>
      <w:r w:rsidRPr="0013463A">
        <w:rPr>
          <w:lang w:val="en-CA"/>
        </w:rPr>
        <w:t>The neighbours witnessed his arrest.</w:t>
      </w:r>
      <w:r w:rsidR="001834C5" w:rsidRPr="0013463A">
        <w:rPr>
          <w:lang w:val="en-CA"/>
        </w:rPr>
        <w:t xml:space="preserve"> </w:t>
      </w:r>
      <w:r w:rsidR="00147A04" w:rsidRPr="0013463A">
        <w:rPr>
          <w:lang w:val="en-CA"/>
        </w:rPr>
        <w:t>...</w:t>
      </w:r>
    </w:p>
    <w:p w14:paraId="4058A343" w14:textId="384D2513" w:rsidR="00E023BD" w:rsidRPr="0013463A" w:rsidRDefault="00147A04" w:rsidP="00A7732D">
      <w:pPr>
        <w:pStyle w:val="Citationenretrait"/>
        <w:rPr>
          <w:lang w:val="en-CA"/>
        </w:rPr>
      </w:pPr>
      <w:r w:rsidRPr="0013463A">
        <w:rPr>
          <w:lang w:val="en-CA"/>
        </w:rPr>
        <w:t>...</w:t>
      </w:r>
    </w:p>
    <w:p w14:paraId="237C2047" w14:textId="3BE29298" w:rsidR="00E023BD" w:rsidRPr="0013463A" w:rsidRDefault="006A6A15" w:rsidP="00A7732D">
      <w:pPr>
        <w:pStyle w:val="Citationenretrait"/>
        <w:rPr>
          <w:lang w:val="en-CA"/>
        </w:rPr>
      </w:pPr>
      <w:r w:rsidRPr="0013463A">
        <w:rPr>
          <w:lang w:val="en-CA"/>
        </w:rPr>
        <w:t xml:space="preserve">[42] The trial judge did not elaborate on the exact nature of </w:t>
      </w:r>
      <w:r w:rsidR="00AF36C2" w:rsidRPr="0013463A">
        <w:rPr>
          <w:lang w:val="en-CA"/>
        </w:rPr>
        <w:t xml:space="preserve">these </w:t>
      </w:r>
      <w:r w:rsidRPr="0013463A">
        <w:rPr>
          <w:lang w:val="en-CA"/>
        </w:rPr>
        <w:t>[moral]</w:t>
      </w:r>
      <w:r w:rsidR="00AF36C2" w:rsidRPr="0013463A">
        <w:rPr>
          <w:lang w:val="en-CA"/>
        </w:rPr>
        <w:t xml:space="preserve"> damages</w:t>
      </w:r>
      <w:r w:rsidRPr="0013463A">
        <w:rPr>
          <w:lang w:val="en-CA"/>
        </w:rPr>
        <w:t>.</w:t>
      </w:r>
      <w:r w:rsidR="001834C5" w:rsidRPr="0013463A">
        <w:rPr>
          <w:lang w:val="en-CA"/>
        </w:rPr>
        <w:t xml:space="preserve"> </w:t>
      </w:r>
      <w:r w:rsidRPr="0013463A">
        <w:rPr>
          <w:lang w:val="en-CA"/>
        </w:rPr>
        <w:t xml:space="preserve">To determine the amount, the evidence allowed the judge to take the following into consideration: (1) pain, </w:t>
      </w:r>
      <w:r w:rsidR="00AF36C2" w:rsidRPr="0013463A">
        <w:rPr>
          <w:lang w:val="en-CA"/>
        </w:rPr>
        <w:t>suffering</w:t>
      </w:r>
      <w:r w:rsidR="00C40EE4">
        <w:rPr>
          <w:lang w:val="en-CA"/>
        </w:rPr>
        <w:t>,</w:t>
      </w:r>
      <w:r w:rsidRPr="0013463A">
        <w:rPr>
          <w:lang w:val="en-CA"/>
        </w:rPr>
        <w:t xml:space="preserve"> and </w:t>
      </w:r>
      <w:r w:rsidR="00AF36C2" w:rsidRPr="0013463A">
        <w:rPr>
          <w:lang w:val="en-CA"/>
        </w:rPr>
        <w:t>inconvenience</w:t>
      </w:r>
      <w:r w:rsidRPr="0013463A">
        <w:rPr>
          <w:lang w:val="en-CA"/>
        </w:rPr>
        <w:t xml:space="preserve"> in connection with </w:t>
      </w:r>
      <w:r w:rsidR="00AF36C2" w:rsidRPr="0013463A">
        <w:rPr>
          <w:lang w:val="en-CA"/>
        </w:rPr>
        <w:t>the</w:t>
      </w:r>
      <w:r w:rsidRPr="0013463A">
        <w:rPr>
          <w:lang w:val="en-CA"/>
        </w:rPr>
        <w:t xml:space="preserve"> clearly abusive </w:t>
      </w:r>
      <w:r w:rsidR="00AF36C2" w:rsidRPr="0013463A">
        <w:rPr>
          <w:lang w:val="en-CA"/>
        </w:rPr>
        <w:t>use</w:t>
      </w:r>
      <w:r w:rsidRPr="0013463A">
        <w:rPr>
          <w:lang w:val="en-CA"/>
        </w:rPr>
        <w:t xml:space="preserve"> of pepper spray; (2) humiliation and damage to his reputation in </w:t>
      </w:r>
      <w:r w:rsidR="00AF36C2" w:rsidRPr="0013463A">
        <w:rPr>
          <w:lang w:val="en-CA"/>
        </w:rPr>
        <w:t xml:space="preserve">front of </w:t>
      </w:r>
      <w:r w:rsidRPr="0013463A">
        <w:rPr>
          <w:lang w:val="en-CA"/>
        </w:rPr>
        <w:t xml:space="preserve">his neighbours; (3) psychological stress; </w:t>
      </w:r>
      <w:r w:rsidR="00AF36C2" w:rsidRPr="0013463A">
        <w:rPr>
          <w:lang w:val="en-CA"/>
        </w:rPr>
        <w:t xml:space="preserve">and </w:t>
      </w:r>
      <w:r w:rsidRPr="0013463A">
        <w:rPr>
          <w:lang w:val="en-CA"/>
        </w:rPr>
        <w:t xml:space="preserve">(4) moral damages as a </w:t>
      </w:r>
      <w:r w:rsidR="00AF36C2" w:rsidRPr="0013463A">
        <w:rPr>
          <w:lang w:val="en-CA"/>
        </w:rPr>
        <w:t>result</w:t>
      </w:r>
      <w:r w:rsidRPr="0013463A">
        <w:rPr>
          <w:lang w:val="en-CA"/>
        </w:rPr>
        <w:t xml:space="preserve"> of his unlawful arrest and abusive </w:t>
      </w:r>
      <w:r w:rsidR="00AF36C2" w:rsidRPr="0013463A">
        <w:rPr>
          <w:lang w:val="en-CA"/>
        </w:rPr>
        <w:t>detention</w:t>
      </w:r>
      <w:r w:rsidRPr="0013463A">
        <w:rPr>
          <w:lang w:val="en-CA"/>
        </w:rPr>
        <w:t>.</w:t>
      </w:r>
      <w:r w:rsidR="001834C5" w:rsidRPr="0013463A">
        <w:rPr>
          <w:lang w:val="en-CA"/>
        </w:rPr>
        <w:t xml:space="preserve"> </w:t>
      </w:r>
      <w:r w:rsidRPr="0013463A">
        <w:rPr>
          <w:lang w:val="en-CA"/>
        </w:rPr>
        <w:t xml:space="preserve">All of these factors lead me to conclude that the damages awarded, </w:t>
      </w:r>
      <w:r w:rsidR="00AF36C2" w:rsidRPr="0013463A">
        <w:rPr>
          <w:lang w:val="en-CA"/>
        </w:rPr>
        <w:t>although</w:t>
      </w:r>
      <w:r w:rsidRPr="0013463A">
        <w:rPr>
          <w:lang w:val="en-CA"/>
        </w:rPr>
        <w:t xml:space="preserve"> undoubtedly generous, do not justify the Court’s intervention.</w:t>
      </w:r>
      <w:r w:rsidR="001834C5" w:rsidRPr="0013463A">
        <w:rPr>
          <w:rStyle w:val="Appelnotedebasdep"/>
          <w:lang w:val="en-CA"/>
        </w:rPr>
        <w:footnoteReference w:id="221"/>
      </w:r>
    </w:p>
    <w:p w14:paraId="6BEEFC96" w14:textId="7B0D4C28" w:rsidR="00E023BD" w:rsidRPr="0013463A" w:rsidRDefault="006A6A15">
      <w:pPr>
        <w:pStyle w:val="Paragraphe"/>
        <w:tabs>
          <w:tab w:val="clear" w:pos="567"/>
        </w:tabs>
      </w:pPr>
      <w:r w:rsidRPr="0013463A">
        <w:t xml:space="preserve">In </w:t>
      </w:r>
      <w:r w:rsidRPr="0013463A">
        <w:rPr>
          <w:i/>
        </w:rPr>
        <w:t xml:space="preserve">Kosoian </w:t>
      </w:r>
      <w:r w:rsidR="0091513B">
        <w:rPr>
          <w:i/>
        </w:rPr>
        <w:t>v</w:t>
      </w:r>
      <w:r w:rsidRPr="0013463A">
        <w:rPr>
          <w:i/>
        </w:rPr>
        <w:t>. Société de transport de Montréal</w:t>
      </w:r>
      <w:r w:rsidRPr="0013463A">
        <w:t>,</w:t>
      </w:r>
      <w:r w:rsidRPr="0013463A">
        <w:rPr>
          <w:rStyle w:val="Appelnotedebasdep"/>
        </w:rPr>
        <w:footnoteReference w:id="222"/>
      </w:r>
      <w:r w:rsidRPr="0013463A">
        <w:t xml:space="preserve"> the appellant was arrested and </w:t>
      </w:r>
      <w:r w:rsidR="0091513B">
        <w:t>her</w:t>
      </w:r>
      <w:r w:rsidRPr="0013463A">
        <w:t xml:space="preserve"> personal effects were searched after </w:t>
      </w:r>
      <w:r w:rsidR="008F3521" w:rsidRPr="0013463A">
        <w:t>s</w:t>
      </w:r>
      <w:r w:rsidRPr="0013463A">
        <w:t xml:space="preserve">he failed to hold </w:t>
      </w:r>
      <w:r w:rsidR="008F3521" w:rsidRPr="0013463A">
        <w:t xml:space="preserve">on to </w:t>
      </w:r>
      <w:r w:rsidRPr="0013463A">
        <w:t xml:space="preserve">an escalator handrail in </w:t>
      </w:r>
      <w:r w:rsidR="008F3521" w:rsidRPr="0013463A">
        <w:t>the</w:t>
      </w:r>
      <w:r w:rsidRPr="0013463A">
        <w:t xml:space="preserve"> metro despite </w:t>
      </w:r>
      <w:r w:rsidR="008F3521" w:rsidRPr="0013463A">
        <w:t>a police officer’s</w:t>
      </w:r>
      <w:r w:rsidRPr="0013463A">
        <w:t xml:space="preserve"> order to do so.</w:t>
      </w:r>
      <w:r w:rsidR="001834C5" w:rsidRPr="0013463A">
        <w:t xml:space="preserve"> </w:t>
      </w:r>
    </w:p>
    <w:p w14:paraId="4A5CFA8E" w14:textId="450357DF" w:rsidR="00E023BD" w:rsidRPr="0013463A" w:rsidRDefault="006A6A15">
      <w:pPr>
        <w:pStyle w:val="Paragraphe"/>
        <w:tabs>
          <w:tab w:val="clear" w:pos="567"/>
        </w:tabs>
      </w:pPr>
      <w:r w:rsidRPr="0013463A">
        <w:t xml:space="preserve">The Supreme Court of Canada found that compensation of $20,000 was </w:t>
      </w:r>
      <w:r w:rsidR="007B64CD">
        <w:t>appropriate</w:t>
      </w:r>
      <w:r w:rsidRPr="0013463A">
        <w:t>, and provided the following explanation:</w:t>
      </w:r>
    </w:p>
    <w:p w14:paraId="6C05015C" w14:textId="69202688" w:rsidR="00E023BD" w:rsidRPr="0013463A" w:rsidRDefault="006A6A15" w:rsidP="00A7732D">
      <w:pPr>
        <w:pStyle w:val="Citationenretrait"/>
        <w:rPr>
          <w:lang w:val="en-CA"/>
        </w:rPr>
      </w:pPr>
      <w:r w:rsidRPr="0013463A">
        <w:rPr>
          <w:lang w:val="en-CA"/>
        </w:rPr>
        <w:t>When she took the escalator in the Montmorency subway station that evening, Ms. Kosoian certainly did not expect to end up sitting on a chair in a room containing a cell with her hands cuffed behind her back, nor did she expect to have her personal effects searched by police officers.</w:t>
      </w:r>
      <w:r w:rsidR="001834C5" w:rsidRPr="0013463A">
        <w:rPr>
          <w:lang w:val="en-CA"/>
        </w:rPr>
        <w:t xml:space="preserve"> </w:t>
      </w:r>
      <w:r w:rsidRPr="0013463A">
        <w:rPr>
          <w:lang w:val="en-CA"/>
        </w:rPr>
        <w:t>I have no difficulty believing that such an experience caused her significant psychological stress.</w:t>
      </w:r>
      <w:r w:rsidR="001834C5" w:rsidRPr="0013463A">
        <w:rPr>
          <w:rStyle w:val="Appelnotedebasdep"/>
          <w:lang w:val="en-CA"/>
        </w:rPr>
        <w:footnoteReference w:id="223"/>
      </w:r>
    </w:p>
    <w:p w14:paraId="17121638" w14:textId="441E715E" w:rsidR="00E023BD" w:rsidRPr="0013463A" w:rsidRDefault="006A6A15">
      <w:pPr>
        <w:pStyle w:val="Paragraphe"/>
        <w:tabs>
          <w:tab w:val="clear" w:pos="567"/>
        </w:tabs>
      </w:pPr>
      <w:r w:rsidRPr="0013463A">
        <w:t xml:space="preserve">That said, while the colour of the skin of the plaintiffs in </w:t>
      </w:r>
      <w:r w:rsidRPr="0013463A">
        <w:rPr>
          <w:i/>
          <w:iCs/>
        </w:rPr>
        <w:t>Louis</w:t>
      </w:r>
      <w:r w:rsidRPr="0013463A">
        <w:t xml:space="preserve">, </w:t>
      </w:r>
      <w:r w:rsidRPr="0013463A">
        <w:rPr>
          <w:i/>
          <w:iCs/>
        </w:rPr>
        <w:t>Michaelson</w:t>
      </w:r>
      <w:r w:rsidRPr="0013463A">
        <w:t xml:space="preserve">, and </w:t>
      </w:r>
      <w:r w:rsidRPr="0013463A">
        <w:rPr>
          <w:i/>
          <w:iCs/>
        </w:rPr>
        <w:t>Kosoian</w:t>
      </w:r>
      <w:r w:rsidRPr="0013463A">
        <w:t xml:space="preserve"> do not appear to have influenced the treatment they received at the </w:t>
      </w:r>
      <w:r w:rsidR="008F3521" w:rsidRPr="0013463A">
        <w:t>hands</w:t>
      </w:r>
      <w:r w:rsidRPr="0013463A">
        <w:t xml:space="preserve"> of the persons in authority, this immutable personal characteristic that </w:t>
      </w:r>
      <w:r w:rsidR="008F3521" w:rsidRPr="0013463A">
        <w:t xml:space="preserve">forms </w:t>
      </w:r>
      <w:r w:rsidRPr="0013463A">
        <w:t>part of Mr.</w:t>
      </w:r>
      <w:r w:rsidR="005B78D4">
        <w:t> </w:t>
      </w:r>
      <w:r w:rsidRPr="0013463A">
        <w:t>Toussaint’s identity was a factor</w:t>
      </w:r>
      <w:r w:rsidRPr="0013463A">
        <w:rPr>
          <w:rStyle w:val="Appelnotedebasdep"/>
        </w:rPr>
        <w:footnoteReference w:id="224"/>
      </w:r>
      <w:r w:rsidRPr="0013463A">
        <w:t xml:space="preserve"> in the demeaning, humiliating, and traumatizing treatment the </w:t>
      </w:r>
      <w:r w:rsidR="00110E24" w:rsidRPr="0013463A">
        <w:t>CO</w:t>
      </w:r>
      <w:r w:rsidRPr="0013463A">
        <w:t>s inflicted on him.</w:t>
      </w:r>
    </w:p>
    <w:p w14:paraId="2BEB161F" w14:textId="365147EA" w:rsidR="00E023BD" w:rsidRPr="0013463A" w:rsidRDefault="006A6A15">
      <w:pPr>
        <w:pStyle w:val="Paragraphe"/>
        <w:tabs>
          <w:tab w:val="clear" w:pos="567"/>
        </w:tabs>
      </w:pPr>
      <w:r w:rsidRPr="0013463A">
        <w:t>It is well established that for some offenders, the “experience of prison is harsher due to systemic racism”.</w:t>
      </w:r>
      <w:r w:rsidRPr="0013463A">
        <w:rPr>
          <w:rStyle w:val="Appelnotedebasdep"/>
        </w:rPr>
        <w:footnoteReference w:id="225"/>
      </w:r>
      <w:r w:rsidR="001834C5" w:rsidRPr="0013463A">
        <w:t xml:space="preserve"> </w:t>
      </w:r>
      <w:r w:rsidRPr="0013463A">
        <w:t>Mr. Toussaint experienced this, and he has emerged forever damaged.</w:t>
      </w:r>
    </w:p>
    <w:p w14:paraId="74BC6A71" w14:textId="34A7A462" w:rsidR="00E023BD" w:rsidRPr="0013463A" w:rsidRDefault="006A6A15">
      <w:pPr>
        <w:pStyle w:val="Paragraphe"/>
        <w:tabs>
          <w:tab w:val="clear" w:pos="567"/>
        </w:tabs>
      </w:pPr>
      <w:r w:rsidRPr="0013463A">
        <w:t>In matters involving racial profiling, where the victim did not receive treatment as harsh or degrading as Mr. Toussaint did, the Tribunal has awarded compensation for moral damages in the following amounts:</w:t>
      </w:r>
    </w:p>
    <w:p w14:paraId="7B4C6051" w14:textId="529AFE9F" w:rsidR="00E023BD" w:rsidRPr="0013463A" w:rsidRDefault="006A6A15">
      <w:pPr>
        <w:pStyle w:val="Paragraphe"/>
        <w:numPr>
          <w:ilvl w:val="0"/>
          <w:numId w:val="11"/>
        </w:numPr>
        <w:tabs>
          <w:tab w:val="clear" w:pos="567"/>
        </w:tabs>
      </w:pPr>
      <w:r w:rsidRPr="0013463A">
        <w:t xml:space="preserve">$10,000 for a citizen of Arab origin who </w:t>
      </w:r>
      <w:r w:rsidR="005B78D4">
        <w:t>was</w:t>
      </w:r>
      <w:r w:rsidRPr="0013463A">
        <w:t xml:space="preserve"> subjected to racial insults by a police officer who conducted a background search without grounds in the context of a simple parking offence;</w:t>
      </w:r>
      <w:r w:rsidRPr="0013463A">
        <w:rPr>
          <w:rStyle w:val="Appelnotedebasdep"/>
        </w:rPr>
        <w:t xml:space="preserve"> </w:t>
      </w:r>
      <w:r w:rsidRPr="0013463A">
        <w:rPr>
          <w:rStyle w:val="Appelnotedebasdep"/>
        </w:rPr>
        <w:footnoteReference w:id="226"/>
      </w:r>
      <w:r w:rsidR="001834C5" w:rsidRPr="0013463A">
        <w:t xml:space="preserve"> </w:t>
      </w:r>
    </w:p>
    <w:p w14:paraId="3C17F997" w14:textId="0FDDC6F6" w:rsidR="00C10BBE" w:rsidRPr="0013463A" w:rsidRDefault="006A6A15" w:rsidP="00C10BBE">
      <w:pPr>
        <w:pStyle w:val="Paragraphe"/>
        <w:numPr>
          <w:ilvl w:val="0"/>
          <w:numId w:val="11"/>
        </w:numPr>
        <w:tabs>
          <w:tab w:val="clear" w:pos="567"/>
        </w:tabs>
      </w:pPr>
      <w:r w:rsidRPr="0013463A">
        <w:t>$8,000 to a Black citizen stopped by the police at night, who was interrogated three times about possession of an illegal object or drugs, arrested</w:t>
      </w:r>
      <w:r w:rsidR="00FC7C14" w:rsidRPr="0013463A">
        <w:t>,</w:t>
      </w:r>
      <w:r w:rsidRPr="0013463A">
        <w:t xml:space="preserve"> and subjected to a pat-down search before his vehicle was unlawfully towed for an unpaid fine;</w:t>
      </w:r>
      <w:r w:rsidRPr="0013463A">
        <w:rPr>
          <w:rStyle w:val="Appelnotedebasdep"/>
        </w:rPr>
        <w:footnoteReference w:id="227"/>
      </w:r>
    </w:p>
    <w:p w14:paraId="7ECEDA90" w14:textId="10E60650" w:rsidR="00E023BD" w:rsidRPr="0013463A" w:rsidRDefault="006A6A15">
      <w:pPr>
        <w:pStyle w:val="Paragraphe"/>
        <w:numPr>
          <w:ilvl w:val="0"/>
          <w:numId w:val="11"/>
        </w:numPr>
        <w:tabs>
          <w:tab w:val="clear" w:pos="567"/>
        </w:tabs>
      </w:pPr>
      <w:r w:rsidRPr="00E34D71">
        <w:t>$10,000 to a Black citizen</w:t>
      </w:r>
      <w:r w:rsidRPr="0013463A">
        <w:t xml:space="preserve"> who was driving a luxury car </w:t>
      </w:r>
      <w:r w:rsidR="00FC7C14" w:rsidRPr="0013463A">
        <w:t xml:space="preserve">whom the police stopped </w:t>
      </w:r>
      <w:r w:rsidRPr="0013463A">
        <w:t>for no reason in front of the daycare where he had dropped off his young child;</w:t>
      </w:r>
      <w:r w:rsidRPr="0013463A">
        <w:rPr>
          <w:rStyle w:val="Appelnotedebasdep"/>
        </w:rPr>
        <w:footnoteReference w:id="228"/>
      </w:r>
      <w:r w:rsidR="001834C5" w:rsidRPr="0013463A">
        <w:t xml:space="preserve">  </w:t>
      </w:r>
    </w:p>
    <w:p w14:paraId="60A3B5CE" w14:textId="2F69D72B" w:rsidR="00E023BD" w:rsidRPr="0013463A" w:rsidRDefault="006A6A15">
      <w:pPr>
        <w:pStyle w:val="Paragraphe"/>
        <w:numPr>
          <w:ilvl w:val="0"/>
          <w:numId w:val="11"/>
        </w:numPr>
        <w:tabs>
          <w:tab w:val="clear" w:pos="567"/>
        </w:tabs>
      </w:pPr>
      <w:r w:rsidRPr="0013463A">
        <w:t>$15,000 to a Black citizen who was stopped by</w:t>
      </w:r>
      <w:r w:rsidR="00FC7C14" w:rsidRPr="0013463A">
        <w:t xml:space="preserve"> police</w:t>
      </w:r>
      <w:r w:rsidRPr="0013463A">
        <w:t xml:space="preserve">, arrested, </w:t>
      </w:r>
      <w:r w:rsidR="00B12D0C" w:rsidRPr="0013463A">
        <w:t>handcuffed</w:t>
      </w:r>
      <w:r w:rsidRPr="0013463A">
        <w:t>, searched, and charged with disturbing the peace when he clearly did not match the description of the suspect sought;</w:t>
      </w:r>
      <w:r w:rsidRPr="0013463A">
        <w:rPr>
          <w:rStyle w:val="Appelnotedebasdep"/>
        </w:rPr>
        <w:footnoteReference w:id="229"/>
      </w:r>
    </w:p>
    <w:p w14:paraId="03828478" w14:textId="45F251B1" w:rsidR="00E023BD" w:rsidRPr="0013463A" w:rsidRDefault="006A6A15">
      <w:pPr>
        <w:pStyle w:val="Paragraphe"/>
        <w:numPr>
          <w:ilvl w:val="0"/>
          <w:numId w:val="11"/>
        </w:numPr>
        <w:tabs>
          <w:tab w:val="clear" w:pos="567"/>
        </w:tabs>
      </w:pPr>
      <w:r w:rsidRPr="0013463A">
        <w:t xml:space="preserve">$8,000 to a Black citizen who was stopped by police </w:t>
      </w:r>
      <w:r w:rsidR="00FC7C14" w:rsidRPr="0013463A">
        <w:t xml:space="preserve">officers who had </w:t>
      </w:r>
      <w:r w:rsidRPr="0013463A">
        <w:t>done a U-turn to follow and intercept him because of his colour.</w:t>
      </w:r>
      <w:r w:rsidRPr="0013463A">
        <w:rPr>
          <w:rStyle w:val="Appelnotedebasdep"/>
        </w:rPr>
        <w:footnoteReference w:id="230"/>
      </w:r>
      <w:r w:rsidR="001834C5" w:rsidRPr="0013463A">
        <w:t xml:space="preserve">   </w:t>
      </w:r>
    </w:p>
    <w:p w14:paraId="4120A0E6" w14:textId="2456EE6A" w:rsidR="00E023BD" w:rsidRPr="0013463A" w:rsidRDefault="006A6A15">
      <w:pPr>
        <w:pStyle w:val="Paragraphe"/>
        <w:tabs>
          <w:tab w:val="clear" w:pos="567"/>
        </w:tabs>
      </w:pPr>
      <w:r w:rsidRPr="0013463A">
        <w:t xml:space="preserve">It should be noted that none of </w:t>
      </w:r>
      <w:r w:rsidR="00FC7C14" w:rsidRPr="0013463A">
        <w:t xml:space="preserve">the </w:t>
      </w:r>
      <w:r w:rsidRPr="0013463A">
        <w:t>victim</w:t>
      </w:r>
      <w:r w:rsidR="00FC7C14" w:rsidRPr="0013463A">
        <w:t>s in these cases had</w:t>
      </w:r>
      <w:r w:rsidRPr="0013463A">
        <w:t xml:space="preserve"> </w:t>
      </w:r>
      <w:r w:rsidR="00FC7C14" w:rsidRPr="0013463A">
        <w:t xml:space="preserve">a </w:t>
      </w:r>
      <w:r w:rsidRPr="0013463A">
        <w:t xml:space="preserve">mental condition </w:t>
      </w:r>
      <w:r w:rsidR="00FC7C14" w:rsidRPr="0013463A">
        <w:t xml:space="preserve">that </w:t>
      </w:r>
      <w:r w:rsidR="00DA60C0">
        <w:t xml:space="preserve">was </w:t>
      </w:r>
      <w:r w:rsidRPr="0013463A">
        <w:t xml:space="preserve">also disturbed and </w:t>
      </w:r>
      <w:r w:rsidR="00B12D0C" w:rsidRPr="0013463A">
        <w:t>required</w:t>
      </w:r>
      <w:r w:rsidRPr="0013463A">
        <w:t xml:space="preserve"> an adapted intervention as a reasonable accommodation.</w:t>
      </w:r>
      <w:r w:rsidR="001834C5" w:rsidRPr="0013463A">
        <w:t xml:space="preserve"> </w:t>
      </w:r>
    </w:p>
    <w:p w14:paraId="1BC95EF7" w14:textId="3523767F" w:rsidR="00E023BD" w:rsidRPr="0013463A" w:rsidRDefault="006A6A15">
      <w:pPr>
        <w:pStyle w:val="Paragraphe"/>
        <w:tabs>
          <w:tab w:val="clear" w:pos="567"/>
        </w:tabs>
      </w:pPr>
      <w:r w:rsidRPr="0013463A">
        <w:t xml:space="preserve">In this case, Mr. Toussaint found himself lying on the dirty floor of a cell, his hands handcuffed behind his back, subjected to blows and joint holds by at least four </w:t>
      </w:r>
      <w:r w:rsidR="00110E24" w:rsidRPr="0013463A">
        <w:t>CO</w:t>
      </w:r>
      <w:r w:rsidRPr="0013463A">
        <w:t>s before all of his clothes were cut off his body so that he was completely naked.</w:t>
      </w:r>
      <w:r w:rsidR="001834C5" w:rsidRPr="0013463A">
        <w:t xml:space="preserve"> </w:t>
      </w:r>
      <w:r w:rsidRPr="0013463A">
        <w:t xml:space="preserve">He had to walk down the corridors of the prison </w:t>
      </w:r>
      <w:r w:rsidR="00FC7C14" w:rsidRPr="0013463A">
        <w:t xml:space="preserve">without even </w:t>
      </w:r>
      <w:r w:rsidRPr="0013463A">
        <w:t xml:space="preserve">a thread of clothing to </w:t>
      </w:r>
      <w:r w:rsidR="00FC7C14" w:rsidRPr="0013463A">
        <w:t xml:space="preserve">conceal at a minimum </w:t>
      </w:r>
      <w:r w:rsidRPr="0013463A">
        <w:t>his private parts.</w:t>
      </w:r>
      <w:r w:rsidR="001834C5" w:rsidRPr="0013463A">
        <w:t xml:space="preserve"> </w:t>
      </w:r>
      <w:r w:rsidRPr="0013463A">
        <w:t>An inflammatory agent was used on him twice, provoking intense pain in his eyes and on the front of his body.</w:t>
      </w:r>
      <w:r w:rsidR="001834C5" w:rsidRPr="0013463A">
        <w:t xml:space="preserve"> </w:t>
      </w:r>
      <w:r w:rsidR="00FC7C14" w:rsidRPr="0013463A">
        <w:t xml:space="preserve">After being </w:t>
      </w:r>
      <w:r w:rsidRPr="0013463A">
        <w:t>roughly and rather quite hastily decontaminated, he remained wet and naked</w:t>
      </w:r>
      <w:r w:rsidR="00FC7C14" w:rsidRPr="0013463A">
        <w:t>,</w:t>
      </w:r>
      <w:r w:rsidRPr="0013463A">
        <w:t xml:space="preserve"> and was placed in a cell without a mattress and without any clothing or food for the rest of the day, before having to return home wearing a torn, dirty</w:t>
      </w:r>
      <w:r w:rsidR="004104F7">
        <w:t>,</w:t>
      </w:r>
      <w:r w:rsidRPr="0013463A">
        <w:t xml:space="preserve"> and stigmatizing </w:t>
      </w:r>
      <w:r w:rsidR="00DA60C0">
        <w:t>T</w:t>
      </w:r>
      <w:r w:rsidRPr="0013463A">
        <w:t>-shirt.</w:t>
      </w:r>
    </w:p>
    <w:p w14:paraId="174CE12E" w14:textId="26E6DCAD" w:rsidR="00E023BD" w:rsidRPr="0013463A" w:rsidRDefault="006A6A15">
      <w:pPr>
        <w:pStyle w:val="Paragraphe"/>
        <w:tabs>
          <w:tab w:val="clear" w:pos="567"/>
        </w:tabs>
      </w:pPr>
      <w:r w:rsidRPr="0013463A">
        <w:t>Psychologically, the event affected him to such an extent that he had to be hospitalized for the several weeks that followed and was thus unable to complete his semester at Cegep.</w:t>
      </w:r>
      <w:r w:rsidR="001834C5" w:rsidRPr="0013463A">
        <w:t xml:space="preserve">  </w:t>
      </w:r>
    </w:p>
    <w:p w14:paraId="7B676511" w14:textId="1DBAF414" w:rsidR="00E023BD" w:rsidRPr="0013463A" w:rsidRDefault="006A6A15">
      <w:pPr>
        <w:pStyle w:val="Paragraphe"/>
        <w:tabs>
          <w:tab w:val="clear" w:pos="567"/>
        </w:tabs>
      </w:pPr>
      <w:r w:rsidRPr="0013463A">
        <w:t xml:space="preserve">In light of the evidence as a whole and the precedents, the Tribunal finds that compensation of $40,000 </w:t>
      </w:r>
      <w:r w:rsidR="00970B39">
        <w:t>is</w:t>
      </w:r>
      <w:r w:rsidRPr="0013463A">
        <w:t xml:space="preserve"> appropriate in the circumstances.</w:t>
      </w:r>
    </w:p>
    <w:p w14:paraId="489D48B1" w14:textId="1659AD1C" w:rsidR="00E023BD" w:rsidRPr="0013463A" w:rsidRDefault="00BD639B" w:rsidP="00A7732D">
      <w:pPr>
        <w:pStyle w:val="Paragraphe"/>
        <w:numPr>
          <w:ilvl w:val="0"/>
          <w:numId w:val="0"/>
        </w:numPr>
        <w:tabs>
          <w:tab w:val="clear" w:pos="567"/>
        </w:tabs>
        <w:jc w:val="center"/>
      </w:pPr>
      <w:r w:rsidRPr="0013463A">
        <w:t>* * *</w:t>
      </w:r>
    </w:p>
    <w:p w14:paraId="54FA9088" w14:textId="164280CA" w:rsidR="00E023BD" w:rsidRPr="0013463A" w:rsidRDefault="006A6A15">
      <w:pPr>
        <w:pStyle w:val="Paragraphe"/>
        <w:tabs>
          <w:tab w:val="clear" w:pos="567"/>
        </w:tabs>
      </w:pPr>
      <w:r w:rsidRPr="0013463A">
        <w:t xml:space="preserve">As employer, the AGQ is bound to answer for actions committed by </w:t>
      </w:r>
      <w:r w:rsidR="00970B39">
        <w:t xml:space="preserve">its </w:t>
      </w:r>
      <w:r w:rsidR="00970B39" w:rsidRPr="0013463A">
        <w:t>subordinates</w:t>
      </w:r>
      <w:r w:rsidR="00970B39">
        <w:t>,</w:t>
      </w:r>
      <w:r w:rsidR="00970B39" w:rsidRPr="0013463A">
        <w:t xml:space="preserve"> </w:t>
      </w:r>
      <w:r w:rsidRPr="0013463A">
        <w:t xml:space="preserve">the </w:t>
      </w:r>
      <w:r w:rsidR="00110E24" w:rsidRPr="0013463A">
        <w:t>CO</w:t>
      </w:r>
      <w:r w:rsidRPr="0013463A">
        <w:t>s, in the performance of their duties.</w:t>
      </w:r>
      <w:r w:rsidRPr="0013463A">
        <w:rPr>
          <w:rStyle w:val="Appelnotedebasdep"/>
        </w:rPr>
        <w:footnoteReference w:id="231"/>
      </w:r>
      <w:r w:rsidR="001834C5" w:rsidRPr="0013463A">
        <w:t xml:space="preserve"> </w:t>
      </w:r>
    </w:p>
    <w:p w14:paraId="2B879044" w14:textId="6D11263B" w:rsidR="00E023BD" w:rsidRPr="0013463A" w:rsidRDefault="007B64CD">
      <w:pPr>
        <w:pStyle w:val="Paragraphe"/>
        <w:tabs>
          <w:tab w:val="clear" w:pos="567"/>
        </w:tabs>
      </w:pPr>
      <w:r>
        <w:t xml:space="preserve">Let us now consider </w:t>
      </w:r>
      <w:r w:rsidR="009E282C" w:rsidRPr="0013463A">
        <w:t xml:space="preserve">the solidary condemnation sought by the CDPDJ against the </w:t>
      </w:r>
      <w:r w:rsidR="00110E24" w:rsidRPr="0013463A">
        <w:t>C</w:t>
      </w:r>
      <w:r w:rsidR="00F21865" w:rsidRPr="0013463A">
        <w:t>O</w:t>
      </w:r>
      <w:r w:rsidR="009E282C" w:rsidRPr="0013463A">
        <w:t>s</w:t>
      </w:r>
      <w:r w:rsidRPr="007B64CD">
        <w:t>.</w:t>
      </w:r>
    </w:p>
    <w:p w14:paraId="0AB658E6" w14:textId="2AFA2215" w:rsidR="00E023BD" w:rsidRPr="0013463A" w:rsidRDefault="009E282C">
      <w:pPr>
        <w:pStyle w:val="Paragraphe"/>
        <w:tabs>
          <w:tab w:val="clear" w:pos="567"/>
        </w:tabs>
      </w:pPr>
      <w:r w:rsidRPr="0013463A">
        <w:t xml:space="preserve">In cases involving racial profiling by police officers, the Tribunal has generally found </w:t>
      </w:r>
      <w:r w:rsidR="00110E24" w:rsidRPr="0013463A">
        <w:t>that</w:t>
      </w:r>
      <w:r w:rsidRPr="0013463A">
        <w:t xml:space="preserve"> there was solidarity between them and the employer.</w:t>
      </w:r>
      <w:r w:rsidRPr="0013463A">
        <w:rPr>
          <w:rStyle w:val="Appelnotedebasdep"/>
        </w:rPr>
        <w:footnoteReference w:id="232"/>
      </w:r>
    </w:p>
    <w:p w14:paraId="107D1B04" w14:textId="6C2F4586" w:rsidR="00E023BD" w:rsidRPr="0013463A" w:rsidRDefault="009E282C">
      <w:pPr>
        <w:pStyle w:val="Paragraphe"/>
        <w:tabs>
          <w:tab w:val="clear" w:pos="567"/>
        </w:tabs>
      </w:pPr>
      <w:r w:rsidRPr="0013463A">
        <w:t xml:space="preserve">It must be noted that the </w:t>
      </w:r>
      <w:r w:rsidR="00110E24" w:rsidRPr="0013463A">
        <w:t>number</w:t>
      </w:r>
      <w:r w:rsidRPr="0013463A">
        <w:t xml:space="preserve"> of interveners with the victim </w:t>
      </w:r>
      <w:r w:rsidR="00F21865" w:rsidRPr="0013463A">
        <w:t xml:space="preserve">in those cases </w:t>
      </w:r>
      <w:r w:rsidRPr="0013463A">
        <w:t xml:space="preserve">was comparatively limited, which made it easier to </w:t>
      </w:r>
      <w:r w:rsidR="00110E24" w:rsidRPr="0013463A">
        <w:t>determine</w:t>
      </w:r>
      <w:r w:rsidRPr="0013463A">
        <w:t xml:space="preserve"> the respective degrees of responsibility for the discrimination that was proved.</w:t>
      </w:r>
      <w:r w:rsidR="001834C5" w:rsidRPr="0013463A">
        <w:t xml:space="preserve">   </w:t>
      </w:r>
    </w:p>
    <w:p w14:paraId="2A82296B" w14:textId="691B75FB" w:rsidR="00E023BD" w:rsidRPr="0013463A" w:rsidRDefault="009E282C">
      <w:pPr>
        <w:pStyle w:val="Paragraphe"/>
        <w:tabs>
          <w:tab w:val="clear" w:pos="567"/>
        </w:tabs>
      </w:pPr>
      <w:r w:rsidRPr="0013463A">
        <w:t xml:space="preserve">In this case, </w:t>
      </w:r>
      <w:r w:rsidR="006B12AC">
        <w:t>nine</w:t>
      </w:r>
      <w:r w:rsidRPr="0013463A">
        <w:t xml:space="preserve"> </w:t>
      </w:r>
      <w:r w:rsidR="00110E24" w:rsidRPr="0013463A">
        <w:t>CO</w:t>
      </w:r>
      <w:r w:rsidRPr="0013463A">
        <w:t>s are being sued personally.</w:t>
      </w:r>
    </w:p>
    <w:p w14:paraId="5E7BB3DA" w14:textId="210BE6B9" w:rsidR="00E023BD" w:rsidRPr="0013463A" w:rsidRDefault="009E282C">
      <w:pPr>
        <w:pStyle w:val="Paragraphe"/>
        <w:tabs>
          <w:tab w:val="clear" w:pos="567"/>
        </w:tabs>
      </w:pPr>
      <w:r w:rsidRPr="0013463A">
        <w:t xml:space="preserve">It </w:t>
      </w:r>
      <w:r w:rsidR="00FC41D9">
        <w:t>is</w:t>
      </w:r>
      <w:r w:rsidRPr="0013463A">
        <w:t xml:space="preserve"> difficult to conclude that </w:t>
      </w:r>
      <w:r w:rsidR="00110E24" w:rsidRPr="0013463A">
        <w:t>CO</w:t>
      </w:r>
      <w:r w:rsidRPr="0013463A">
        <w:t xml:space="preserve"> Belcourt acted in a discriminatory manner, as his role was essentially limited to informing Unit Manager Leclerc of the fact that Mr.</w:t>
      </w:r>
      <w:r w:rsidR="00F21865" w:rsidRPr="0013463A">
        <w:t> </w:t>
      </w:r>
      <w:r w:rsidRPr="0013463A">
        <w:t xml:space="preserve">Toussaint had thrown a cigarette butt </w:t>
      </w:r>
      <w:r w:rsidR="00F21865" w:rsidRPr="0013463A">
        <w:t xml:space="preserve">at </w:t>
      </w:r>
      <w:r w:rsidRPr="0013463A">
        <w:t>him before going through admissions.</w:t>
      </w:r>
    </w:p>
    <w:p w14:paraId="4AAFA50F" w14:textId="27EC67F7" w:rsidR="00E023BD" w:rsidRPr="0013463A" w:rsidRDefault="009E282C">
      <w:pPr>
        <w:pStyle w:val="Paragraphe"/>
        <w:tabs>
          <w:tab w:val="clear" w:pos="567"/>
        </w:tabs>
      </w:pPr>
      <w:r w:rsidRPr="0013463A">
        <w:t xml:space="preserve">As for </w:t>
      </w:r>
      <w:r w:rsidR="00110E24" w:rsidRPr="0013463A">
        <w:t>CO</w:t>
      </w:r>
      <w:r w:rsidRPr="0013463A">
        <w:t>s Jean-René Brousseau, Comeau-Bastien, Gagnon, Bouchard, Dubé-Blouin, Mykel Brousseau, and Robitaille, the</w:t>
      </w:r>
      <w:r w:rsidR="00110E24" w:rsidRPr="0013463A">
        <w:t>ir levels of</w:t>
      </w:r>
      <w:r w:rsidRPr="0013463A">
        <w:t xml:space="preserve"> involvement var</w:t>
      </w:r>
      <w:r w:rsidR="00110E24" w:rsidRPr="0013463A">
        <w:t>y</w:t>
      </w:r>
      <w:r w:rsidRPr="0013463A">
        <w:t xml:space="preserve">. Some intervened physically </w:t>
      </w:r>
      <w:r w:rsidR="00FC41D9">
        <w:t>with</w:t>
      </w:r>
      <w:r w:rsidRPr="0013463A">
        <w:t xml:space="preserve"> Mr. Toussaint, while others played a supporting role.</w:t>
      </w:r>
    </w:p>
    <w:p w14:paraId="4F5C1BBF" w14:textId="655E9FBA" w:rsidR="00E023BD" w:rsidRPr="0013463A" w:rsidRDefault="009E282C">
      <w:pPr>
        <w:pStyle w:val="Paragraphe"/>
        <w:tabs>
          <w:tab w:val="clear" w:pos="567"/>
        </w:tabs>
      </w:pPr>
      <w:r w:rsidRPr="0013463A">
        <w:t>It is true that part of their interventions was recorded by the surveillance cameras, but the images viewed are in general not very clear</w:t>
      </w:r>
      <w:r w:rsidR="00F00914">
        <w:t>,</w:t>
      </w:r>
      <w:r w:rsidRPr="0013463A">
        <w:t xml:space="preserve"> and the interactions between them were numerous and took place in very confined spaces where they were all close together and wearing similar uniforms. This makes it very difficult to isolate their individual actions.</w:t>
      </w:r>
      <w:r w:rsidR="001834C5" w:rsidRPr="0013463A">
        <w:t xml:space="preserve"> </w:t>
      </w:r>
      <w:r w:rsidRPr="0013463A">
        <w:t>Moreover, there are no images showing what happened in cell 1 – where things took a turn for the worse – or in the decontamination room.</w:t>
      </w:r>
      <w:r w:rsidR="001834C5" w:rsidRPr="0013463A">
        <w:t xml:space="preserve">  </w:t>
      </w:r>
    </w:p>
    <w:p w14:paraId="1BA14C6D" w14:textId="7F556AAE" w:rsidR="00E023BD" w:rsidRPr="0013463A" w:rsidRDefault="009E282C">
      <w:pPr>
        <w:pStyle w:val="Paragraphe"/>
        <w:tabs>
          <w:tab w:val="clear" w:pos="567"/>
        </w:tabs>
      </w:pPr>
      <w:r w:rsidRPr="0013463A">
        <w:t xml:space="preserve">In addition, the </w:t>
      </w:r>
      <w:r w:rsidR="00110E24" w:rsidRPr="0013463A">
        <w:t>CO</w:t>
      </w:r>
      <w:r w:rsidRPr="0013463A">
        <w:t>s’ written reports</w:t>
      </w:r>
      <w:r w:rsidRPr="0013463A">
        <w:rPr>
          <w:rStyle w:val="Appelnotedebasdep"/>
        </w:rPr>
        <w:footnoteReference w:id="233"/>
      </w:r>
      <w:r w:rsidRPr="0013463A">
        <w:t xml:space="preserve"> and their testimony sometimes diverge or are silent about which of them committed certain actions against Mr. Toussaint.</w:t>
      </w:r>
      <w:r w:rsidR="001834C5" w:rsidRPr="0013463A">
        <w:t xml:space="preserve">  </w:t>
      </w:r>
    </w:p>
    <w:p w14:paraId="15FDA381" w14:textId="0D04E40F" w:rsidR="00E023BD" w:rsidRPr="0013463A" w:rsidRDefault="009E282C">
      <w:pPr>
        <w:pStyle w:val="Paragraphe"/>
        <w:tabs>
          <w:tab w:val="clear" w:pos="567"/>
        </w:tabs>
      </w:pPr>
      <w:r w:rsidRPr="0013463A">
        <w:t xml:space="preserve">That said, article 1480 of the </w:t>
      </w:r>
      <w:r w:rsidRPr="0013463A">
        <w:rPr>
          <w:i/>
        </w:rPr>
        <w:t>Civil Code of Québec</w:t>
      </w:r>
      <w:r w:rsidR="00B12D0C" w:rsidRPr="0013463A">
        <w:rPr>
          <w:rStyle w:val="Appelnotedebasdep"/>
        </w:rPr>
        <w:footnoteReference w:id="234"/>
      </w:r>
      <w:r w:rsidRPr="0013463A">
        <w:t xml:space="preserve"> sets out the following rule:</w:t>
      </w:r>
    </w:p>
    <w:p w14:paraId="3E763E4A" w14:textId="0A38C4AD" w:rsidR="00E023BD" w:rsidRPr="0013463A" w:rsidRDefault="001834C5" w:rsidP="00A7732D">
      <w:pPr>
        <w:pStyle w:val="Citationenretrait"/>
        <w:rPr>
          <w:lang w:val="en-CA"/>
        </w:rPr>
      </w:pPr>
      <w:r w:rsidRPr="0013463A">
        <w:rPr>
          <w:b/>
          <w:bCs/>
          <w:lang w:val="en-CA"/>
        </w:rPr>
        <w:t>1480.</w:t>
      </w:r>
      <w:r w:rsidRPr="0013463A">
        <w:rPr>
          <w:lang w:val="en-CA"/>
        </w:rPr>
        <w:t>  </w:t>
      </w:r>
      <w:r w:rsidR="009E282C" w:rsidRPr="0013463A">
        <w:rPr>
          <w:lang w:val="en-CA"/>
        </w:rPr>
        <w:t>Where several persons have jointly participated in a wrongful act or omission which has resulted in injury or have committed separate faults each of which may have caused the injury, and where it is impossible to determine, in either case, which of them actually caused the injury, they are solidarily bound to make reparation therefor.</w:t>
      </w:r>
    </w:p>
    <w:p w14:paraId="59408016" w14:textId="5611B6B7" w:rsidR="00E023BD" w:rsidRPr="0013463A" w:rsidRDefault="009E282C">
      <w:pPr>
        <w:pStyle w:val="Paragraphe"/>
        <w:tabs>
          <w:tab w:val="clear" w:pos="567"/>
        </w:tabs>
      </w:pPr>
      <w:r w:rsidRPr="0013463A">
        <w:t xml:space="preserve">In </w:t>
      </w:r>
      <w:r w:rsidRPr="0013463A">
        <w:rPr>
          <w:i/>
        </w:rPr>
        <w:t xml:space="preserve">Montréal (Ville) </w:t>
      </w:r>
      <w:r w:rsidR="00870D43">
        <w:rPr>
          <w:i/>
        </w:rPr>
        <w:t>v</w:t>
      </w:r>
      <w:r w:rsidRPr="0013463A">
        <w:rPr>
          <w:i/>
        </w:rPr>
        <w:t>. Lonardi</w:t>
      </w:r>
      <w:r w:rsidRPr="0013463A">
        <w:t>,</w:t>
      </w:r>
      <w:r w:rsidRPr="0013463A">
        <w:rPr>
          <w:rStyle w:val="Appelnotedebasdep"/>
        </w:rPr>
        <w:footnoteReference w:id="235"/>
      </w:r>
      <w:r w:rsidRPr="0013463A">
        <w:t xml:space="preserve"> the Supreme Court of Canada noted that two conditions must be met for this provision to apply:</w:t>
      </w:r>
    </w:p>
    <w:p w14:paraId="1A7EB8B7" w14:textId="17288E1B" w:rsidR="00E023BD" w:rsidRPr="0013463A" w:rsidRDefault="009E282C" w:rsidP="00A7732D">
      <w:pPr>
        <w:pStyle w:val="Citationenretrait"/>
        <w:rPr>
          <w:lang w:val="en-CA"/>
        </w:rPr>
      </w:pPr>
      <w:r w:rsidRPr="0013463A">
        <w:rPr>
          <w:lang w:val="en-CA"/>
        </w:rPr>
        <w:t>[19] ... First, it must be impossible to determine which person actually caused the injury.</w:t>
      </w:r>
      <w:r w:rsidR="001834C5" w:rsidRPr="0013463A">
        <w:rPr>
          <w:lang w:val="en-CA"/>
        </w:rPr>
        <w:t xml:space="preserve"> </w:t>
      </w:r>
      <w:r w:rsidRPr="0013463A">
        <w:rPr>
          <w:lang w:val="en-CA"/>
        </w:rPr>
        <w:t>Second, there must have been either “join[t participation] in a wrongful act which has resulted in injury” or “separate faults each of which may have caused the injury”.</w:t>
      </w:r>
    </w:p>
    <w:p w14:paraId="0A810D77" w14:textId="31B2A423" w:rsidR="00E023BD" w:rsidRPr="0013463A" w:rsidRDefault="009E282C">
      <w:pPr>
        <w:pStyle w:val="Paragraphe"/>
        <w:tabs>
          <w:tab w:val="clear" w:pos="567"/>
        </w:tabs>
      </w:pPr>
      <w:r w:rsidRPr="0013463A">
        <w:t>The intervention with Mr. Toussaint was the result of a concerted action</w:t>
      </w:r>
      <w:r w:rsidR="00870D43">
        <w:t>, first</w:t>
      </w:r>
      <w:r w:rsidRPr="0013463A">
        <w:t xml:space="preserve"> under the </w:t>
      </w:r>
      <w:r w:rsidR="007B64CD">
        <w:t>orders</w:t>
      </w:r>
      <w:r w:rsidRPr="0013463A">
        <w:t xml:space="preserve"> of Unit Manager Leclerc</w:t>
      </w:r>
      <w:r w:rsidR="004F7FDC" w:rsidRPr="0013463A">
        <w:t xml:space="preserve">, </w:t>
      </w:r>
      <w:r w:rsidRPr="0013463A">
        <w:t xml:space="preserve">then </w:t>
      </w:r>
      <w:r w:rsidR="007B64CD">
        <w:t xml:space="preserve">under those </w:t>
      </w:r>
      <w:r w:rsidR="00870D43">
        <w:t xml:space="preserve">of </w:t>
      </w:r>
      <w:r w:rsidR="00110E24" w:rsidRPr="0013463A">
        <w:t>CO</w:t>
      </w:r>
      <w:r w:rsidRPr="0013463A">
        <w:t xml:space="preserve"> Comeau-Bastien to whom </w:t>
      </w:r>
      <w:r w:rsidR="004F7FDC" w:rsidRPr="0013463A">
        <w:t xml:space="preserve">Leclerc </w:t>
      </w:r>
      <w:r w:rsidRPr="0013463A">
        <w:t>delegated the lead of the use of force operations.</w:t>
      </w:r>
    </w:p>
    <w:p w14:paraId="13EE3E90" w14:textId="6EFAE061" w:rsidR="00E023BD" w:rsidRPr="0013463A" w:rsidRDefault="009E282C">
      <w:pPr>
        <w:pStyle w:val="Paragraphe"/>
        <w:tabs>
          <w:tab w:val="clear" w:pos="567"/>
        </w:tabs>
      </w:pPr>
      <w:r w:rsidRPr="0013463A">
        <w:t xml:space="preserve">This was the work of a team, where each of the </w:t>
      </w:r>
      <w:r w:rsidR="00110E24" w:rsidRPr="0013463A">
        <w:t>CO</w:t>
      </w:r>
      <w:r w:rsidRPr="0013463A">
        <w:t>s acted interdependently with his or her colleagues, with a “common intention</w:t>
      </w:r>
      <w:r w:rsidR="004F7FDC" w:rsidRPr="0013463A">
        <w:t>”</w:t>
      </w:r>
      <w:r w:rsidRPr="0013463A">
        <w:rPr>
          <w:rStyle w:val="Appelnotedebasdep"/>
        </w:rPr>
        <w:footnoteReference w:id="236"/>
      </w:r>
      <w:r w:rsidRPr="0013463A">
        <w:t xml:space="preserve"> not “spontaneously and independently”.</w:t>
      </w:r>
      <w:r w:rsidRPr="0013463A">
        <w:rPr>
          <w:rStyle w:val="Appelnotedebasdep"/>
        </w:rPr>
        <w:footnoteReference w:id="237"/>
      </w:r>
      <w:r w:rsidR="001834C5" w:rsidRPr="0013463A">
        <w:t xml:space="preserve"> </w:t>
      </w:r>
    </w:p>
    <w:p w14:paraId="35E2D3DC" w14:textId="64095024" w:rsidR="00E023BD" w:rsidRPr="0013463A" w:rsidRDefault="009E282C">
      <w:pPr>
        <w:pStyle w:val="Paragraphe"/>
        <w:tabs>
          <w:tab w:val="clear" w:pos="567"/>
        </w:tabs>
      </w:pPr>
      <w:r w:rsidRPr="0013463A">
        <w:t>In the view of the Tribunal, the failure to accommodate the “handicap” that Mr.</w:t>
      </w:r>
      <w:r w:rsidR="00D24E6E">
        <w:t> </w:t>
      </w:r>
      <w:r w:rsidRPr="0013463A">
        <w:t>Toussaint was dealing with arises from a glaring overestimation of his dangerousness and was based on racial prejudice and stereotypes.</w:t>
      </w:r>
    </w:p>
    <w:p w14:paraId="59E66594" w14:textId="7888C36D" w:rsidR="00E023BD" w:rsidRPr="0013463A" w:rsidRDefault="009E282C">
      <w:pPr>
        <w:pStyle w:val="Paragraphe"/>
        <w:tabs>
          <w:tab w:val="clear" w:pos="567"/>
        </w:tabs>
      </w:pPr>
      <w:r w:rsidRPr="0013463A">
        <w:t xml:space="preserve">“Join[t participation] in a wrongful act” resulted in a moral injury, and it is impossible to isolate their individual actions to precisely identify the perpetrators of the injury, especially because these stereotypes can be unconscious. </w:t>
      </w:r>
    </w:p>
    <w:p w14:paraId="76D3C39E" w14:textId="03CD1012" w:rsidR="00E023BD" w:rsidRPr="0013463A" w:rsidRDefault="009E282C">
      <w:pPr>
        <w:pStyle w:val="Paragraphe"/>
        <w:tabs>
          <w:tab w:val="clear" w:pos="567"/>
        </w:tabs>
      </w:pPr>
      <w:r w:rsidRPr="0013463A">
        <w:t xml:space="preserve">In </w:t>
      </w:r>
      <w:r w:rsidRPr="0013463A">
        <w:rPr>
          <w:i/>
          <w:iCs/>
        </w:rPr>
        <w:t>Lonardi</w:t>
      </w:r>
      <w:r w:rsidRPr="0013463A">
        <w:t>,</w:t>
      </w:r>
      <w:r w:rsidRPr="0013463A">
        <w:rPr>
          <w:rStyle w:val="Appelnotedebasdep"/>
        </w:rPr>
        <w:footnoteReference w:id="238"/>
      </w:r>
      <w:r w:rsidRPr="0013463A">
        <w:t xml:space="preserve"> the Supreme Court of Canada wrote: </w:t>
      </w:r>
      <w:r w:rsidR="001834C5" w:rsidRPr="0013463A">
        <w:t xml:space="preserve"> </w:t>
      </w:r>
    </w:p>
    <w:p w14:paraId="350470F8" w14:textId="5DDDBA89" w:rsidR="00E023BD" w:rsidRPr="0013463A" w:rsidRDefault="009E282C" w:rsidP="00C10BBE">
      <w:pPr>
        <w:pStyle w:val="Citationenretrait"/>
        <w:spacing w:after="0"/>
        <w:rPr>
          <w:lang w:val="en-CA"/>
        </w:rPr>
      </w:pPr>
      <w:r w:rsidRPr="0013463A">
        <w:rPr>
          <w:lang w:val="en-CA"/>
        </w:rPr>
        <w:t>[36] ... The liability provided for in art.</w:t>
      </w:r>
      <w:r w:rsidR="001834C5" w:rsidRPr="0013463A">
        <w:rPr>
          <w:lang w:val="en-CA"/>
        </w:rPr>
        <w:t> </w:t>
      </w:r>
      <w:r w:rsidRPr="0013463A">
        <w:rPr>
          <w:lang w:val="en-CA"/>
        </w:rPr>
        <w:t xml:space="preserve">1480 </w:t>
      </w:r>
      <w:r w:rsidRPr="004124E9">
        <w:rPr>
          <w:i/>
          <w:iCs/>
          <w:lang w:val="en-CA"/>
        </w:rPr>
        <w:t>C.C.Q.</w:t>
      </w:r>
      <w:r w:rsidRPr="0013463A">
        <w:rPr>
          <w:lang w:val="en-CA"/>
        </w:rPr>
        <w:t xml:space="preserve"> favours compensation of the victim.</w:t>
      </w:r>
      <w:r w:rsidR="001834C5" w:rsidRPr="0013463A">
        <w:rPr>
          <w:lang w:val="en-CA"/>
        </w:rPr>
        <w:t xml:space="preserve"> </w:t>
      </w:r>
      <w:r w:rsidRPr="0013463A">
        <w:rPr>
          <w:lang w:val="en-CA"/>
        </w:rPr>
        <w:t xml:space="preserve">This objective is readily understandable in cases in which fault is established but it is impossible to prove a </w:t>
      </w:r>
      <w:r w:rsidRPr="004124E9">
        <w:rPr>
          <w:u w:val="single"/>
          <w:lang w:val="en-CA"/>
        </w:rPr>
        <w:t>causal connection</w:t>
      </w:r>
      <w:r w:rsidRPr="0013463A">
        <w:rPr>
          <w:lang w:val="en-CA"/>
        </w:rPr>
        <w:t xml:space="preserve"> between the fault and the injury suffered by the victim.</w:t>
      </w:r>
      <w:r w:rsidR="001834C5" w:rsidRPr="0013463A">
        <w:rPr>
          <w:lang w:val="en-CA"/>
        </w:rPr>
        <w:t xml:space="preserve"> </w:t>
      </w:r>
    </w:p>
    <w:p w14:paraId="066EBB94" w14:textId="00054D7A" w:rsidR="00E023BD" w:rsidRPr="0013463A" w:rsidRDefault="00037D95" w:rsidP="00C10BBE">
      <w:pPr>
        <w:pStyle w:val="Citationenretrait"/>
        <w:spacing w:after="0"/>
        <w:jc w:val="right"/>
        <w:rPr>
          <w:sz w:val="20"/>
          <w:lang w:val="en-CA"/>
        </w:rPr>
      </w:pPr>
      <w:r w:rsidRPr="0013463A">
        <w:rPr>
          <w:sz w:val="20"/>
          <w:lang w:val="en-CA"/>
        </w:rPr>
        <w:t>(Emphasis added)</w:t>
      </w:r>
    </w:p>
    <w:p w14:paraId="611EDC4E" w14:textId="495CDDC0" w:rsidR="00E023BD" w:rsidRPr="0013463A" w:rsidRDefault="009E282C">
      <w:pPr>
        <w:pStyle w:val="Paragraphe"/>
        <w:tabs>
          <w:tab w:val="clear" w:pos="567"/>
        </w:tabs>
      </w:pPr>
      <w:r w:rsidRPr="0013463A">
        <w:t xml:space="preserve">In this case, compensation for the victim should be all the more favoured because the requirement of a “causal connection” has been removed in </w:t>
      </w:r>
      <w:r w:rsidR="004124E9">
        <w:t xml:space="preserve">cases involving </w:t>
      </w:r>
      <w:r w:rsidRPr="0013463A">
        <w:t>discrimination.</w:t>
      </w:r>
      <w:r w:rsidRPr="0013463A">
        <w:rPr>
          <w:rStyle w:val="Appelnotedebasdep"/>
        </w:rPr>
        <w:footnoteReference w:id="239"/>
      </w:r>
      <w:r w:rsidR="001834C5" w:rsidRPr="0013463A">
        <w:t xml:space="preserve"> </w:t>
      </w:r>
      <w:r w:rsidRPr="0013463A">
        <w:t>In the Court’s opinion, it “elevate[d] the test beyond what is required, since human rights jurisprudence focuses on the discriminatory effects of conduct rather than on the existence of an intention to discriminate or of direct causes”</w:t>
      </w:r>
      <w:r w:rsidR="00B07D48">
        <w:t>:</w:t>
      </w:r>
      <w:r w:rsidRPr="0013463A">
        <w:rPr>
          <w:rStyle w:val="Appelnotedebasdep"/>
        </w:rPr>
        <w:footnoteReference w:id="240"/>
      </w:r>
    </w:p>
    <w:p w14:paraId="77F6775F" w14:textId="1130E6C1" w:rsidR="00E023BD" w:rsidRPr="0013463A" w:rsidRDefault="009078E2" w:rsidP="00B14CAD">
      <w:pPr>
        <w:pStyle w:val="Citationenretrait"/>
        <w:rPr>
          <w:lang w:val="en-CA"/>
        </w:rPr>
      </w:pPr>
      <w:r w:rsidRPr="0013463A">
        <w:rPr>
          <w:lang w:val="en-CA"/>
        </w:rPr>
        <w:t xml:space="preserve">[51] A close relationship is not required in a discrimination case under the </w:t>
      </w:r>
      <w:r w:rsidRPr="0013463A">
        <w:rPr>
          <w:i/>
          <w:iCs/>
          <w:lang w:val="en-CA"/>
        </w:rPr>
        <w:t>Charter</w:t>
      </w:r>
      <w:r w:rsidRPr="0013463A">
        <w:rPr>
          <w:lang w:val="en-CA"/>
        </w:rPr>
        <w:t>, however.</w:t>
      </w:r>
      <w:r w:rsidR="001834C5" w:rsidRPr="0013463A">
        <w:rPr>
          <w:lang w:val="en-CA"/>
        </w:rPr>
        <w:t xml:space="preserve"> </w:t>
      </w:r>
      <w:r w:rsidRPr="0013463A">
        <w:rPr>
          <w:lang w:val="en-CA"/>
        </w:rPr>
        <w:t>To hold otherwise would be to disregard the fact that, since there may be many different reasons for a defendant’s acts, proof of such a relationship could impose too heavy a burden on the plaintiff.</w:t>
      </w:r>
      <w:r w:rsidR="001834C5" w:rsidRPr="0013463A">
        <w:rPr>
          <w:lang w:val="en-CA"/>
        </w:rPr>
        <w:t xml:space="preserve"> </w:t>
      </w:r>
      <w:r w:rsidRPr="0013463A">
        <w:rPr>
          <w:lang w:val="en-CA"/>
        </w:rPr>
        <w:t>Some of those reasons may, of course, provide a justification for the defendant’s acts, but the burden is on the defendant to prove this.</w:t>
      </w:r>
      <w:r w:rsidR="001834C5" w:rsidRPr="0013463A">
        <w:rPr>
          <w:lang w:val="en-CA"/>
        </w:rPr>
        <w:t xml:space="preserve"> </w:t>
      </w:r>
      <w:r w:rsidRPr="0013463A">
        <w:rPr>
          <w:lang w:val="en-CA"/>
        </w:rPr>
        <w:t>It is therefore neither appropriate nor accurate to use the expression “causal connection” in the discrimination context.</w:t>
      </w:r>
      <w:r w:rsidRPr="0013463A">
        <w:rPr>
          <w:rStyle w:val="Appelnotedebasdep"/>
          <w:lang w:val="en-CA"/>
        </w:rPr>
        <w:t xml:space="preserve"> </w:t>
      </w:r>
      <w:r w:rsidRPr="0013463A">
        <w:rPr>
          <w:rStyle w:val="Appelnotedebasdep"/>
          <w:lang w:val="en-CA"/>
        </w:rPr>
        <w:footnoteReference w:id="241"/>
      </w:r>
      <w:r w:rsidR="001834C5" w:rsidRPr="0013463A">
        <w:rPr>
          <w:lang w:val="en-CA"/>
        </w:rPr>
        <w:t xml:space="preserve"> </w:t>
      </w:r>
    </w:p>
    <w:p w14:paraId="454E6BF3" w14:textId="7A005A9A" w:rsidR="00E023BD" w:rsidRPr="0013463A" w:rsidRDefault="009078E2">
      <w:pPr>
        <w:pStyle w:val="Paragraphe"/>
        <w:tabs>
          <w:tab w:val="clear" w:pos="567"/>
        </w:tabs>
      </w:pPr>
      <w:r w:rsidRPr="0013463A">
        <w:t>Ultimately, the civil law rules must sometimes be softened to combat discrimination and its insidious manifestations</w:t>
      </w:r>
      <w:r w:rsidR="00B54771" w:rsidRPr="00B54771">
        <w:t xml:space="preserve"> </w:t>
      </w:r>
      <w:r w:rsidR="00B54771" w:rsidRPr="0013463A">
        <w:t>more effectively</w:t>
      </w:r>
      <w:r w:rsidRPr="0013463A">
        <w:t>:</w:t>
      </w:r>
    </w:p>
    <w:p w14:paraId="0B422328" w14:textId="77777777" w:rsidR="00B43BC7" w:rsidRPr="0013463A" w:rsidRDefault="009078E2" w:rsidP="00B14CAD">
      <w:pPr>
        <w:pStyle w:val="Citationenretrait"/>
        <w:rPr>
          <w:lang w:val="en-CA"/>
        </w:rPr>
      </w:pPr>
      <w:r w:rsidRPr="0013463A">
        <w:rPr>
          <w:lang w:val="en-CA"/>
        </w:rPr>
        <w:t>[</w:t>
      </w:r>
      <w:r w:rsidRPr="0013463A">
        <w:rPr>
          <w:smallCaps/>
          <w:lang w:val="en-CA"/>
        </w:rPr>
        <w:t>translation</w:t>
      </w:r>
      <w:r w:rsidRPr="0013463A">
        <w:rPr>
          <w:lang w:val="en-CA"/>
        </w:rPr>
        <w:t xml:space="preserve">] </w:t>
      </w:r>
    </w:p>
    <w:p w14:paraId="6C902D9B" w14:textId="40C36F3E" w:rsidR="00E023BD" w:rsidRPr="0013463A" w:rsidRDefault="009078E2" w:rsidP="00B14CAD">
      <w:pPr>
        <w:pStyle w:val="Citationenretrait"/>
        <w:rPr>
          <w:lang w:val="en-CA"/>
        </w:rPr>
      </w:pPr>
      <w:r w:rsidRPr="0013463A">
        <w:rPr>
          <w:lang w:val="en-CA"/>
        </w:rPr>
        <w:t>[T]he principle of integration in</w:t>
      </w:r>
      <w:r w:rsidR="00B43BC7" w:rsidRPr="0013463A">
        <w:rPr>
          <w:lang w:val="en-CA"/>
        </w:rPr>
        <w:t>to</w:t>
      </w:r>
      <w:r w:rsidRPr="0013463A">
        <w:rPr>
          <w:lang w:val="en-CA"/>
        </w:rPr>
        <w:t xml:space="preserve"> the general civil liability regime is not always appropriate in discrimination cases under </w:t>
      </w:r>
      <w:r w:rsidR="00B43BC7" w:rsidRPr="0013463A">
        <w:rPr>
          <w:lang w:val="en-CA"/>
        </w:rPr>
        <w:t>section</w:t>
      </w:r>
      <w:r w:rsidRPr="0013463A">
        <w:rPr>
          <w:lang w:val="en-CA"/>
        </w:rPr>
        <w:t xml:space="preserve"> 10 of the </w:t>
      </w:r>
      <w:r w:rsidRPr="0013463A">
        <w:rPr>
          <w:i/>
          <w:iCs/>
          <w:lang w:val="en-CA"/>
        </w:rPr>
        <w:t>Charter</w:t>
      </w:r>
      <w:r w:rsidRPr="0013463A">
        <w:rPr>
          <w:lang w:val="en-CA"/>
        </w:rPr>
        <w:t>.</w:t>
      </w:r>
      <w:r w:rsidR="001834C5" w:rsidRPr="0013463A">
        <w:rPr>
          <w:lang w:val="en-CA"/>
        </w:rPr>
        <w:t xml:space="preserve"> </w:t>
      </w:r>
      <w:r w:rsidRPr="0013463A">
        <w:rPr>
          <w:lang w:val="en-CA"/>
        </w:rPr>
        <w:t xml:space="preserve">We know, for example, that the notion of causation has been set aside by the courts in </w:t>
      </w:r>
      <w:r w:rsidR="00B43BC7" w:rsidRPr="0013463A">
        <w:rPr>
          <w:lang w:val="en-CA"/>
        </w:rPr>
        <w:t xml:space="preserve">cases of </w:t>
      </w:r>
      <w:r w:rsidRPr="0013463A">
        <w:rPr>
          <w:lang w:val="en-CA"/>
        </w:rPr>
        <w:t>indirect discrimination.</w:t>
      </w:r>
      <w:r w:rsidR="001834C5" w:rsidRPr="0013463A">
        <w:rPr>
          <w:lang w:val="en-CA"/>
        </w:rPr>
        <w:t xml:space="preserve"> </w:t>
      </w:r>
      <w:r w:rsidRPr="0013463A">
        <w:rPr>
          <w:lang w:val="en-CA"/>
        </w:rPr>
        <w:t xml:space="preserve">The analysis in such cases </w:t>
      </w:r>
      <w:r w:rsidR="003C3E88">
        <w:rPr>
          <w:lang w:val="en-CA"/>
        </w:rPr>
        <w:t>focuses</w:t>
      </w:r>
      <w:r w:rsidRPr="0013463A">
        <w:rPr>
          <w:lang w:val="en-CA"/>
        </w:rPr>
        <w:t xml:space="preserve"> on the concrete consequences or effects of an otherwise neutral policy on an identifiable group protected by section 10.</w:t>
      </w:r>
      <w:r w:rsidR="001834C5" w:rsidRPr="0013463A">
        <w:rPr>
          <w:lang w:val="en-CA"/>
        </w:rPr>
        <w:t xml:space="preserve"> </w:t>
      </w:r>
      <w:r w:rsidRPr="0013463A">
        <w:rPr>
          <w:lang w:val="en-CA"/>
        </w:rPr>
        <w:t>Because indirect discrimination may have been established without the knowledge of its perpetrator in good faith, how can fault be at issue?</w:t>
      </w:r>
      <w:r w:rsidR="001834C5" w:rsidRPr="0013463A">
        <w:rPr>
          <w:lang w:val="en-CA"/>
        </w:rPr>
        <w:t xml:space="preserve"> </w:t>
      </w:r>
      <w:r w:rsidRPr="0013463A">
        <w:rPr>
          <w:lang w:val="en-CA"/>
        </w:rPr>
        <w:t xml:space="preserve">And how can we require a causal connection to be entitled to reparation </w:t>
      </w:r>
      <w:r w:rsidR="004124E9">
        <w:rPr>
          <w:lang w:val="en-CA"/>
        </w:rPr>
        <w:t>when</w:t>
      </w:r>
      <w:r w:rsidRPr="0013463A">
        <w:rPr>
          <w:lang w:val="en-CA"/>
        </w:rPr>
        <w:t xml:space="preserve"> indirect discrimination expressly eliminates this requirement?</w:t>
      </w:r>
      <w:r w:rsidR="001834C5" w:rsidRPr="0013463A">
        <w:rPr>
          <w:lang w:val="en-CA"/>
        </w:rPr>
        <w:t xml:space="preserve"> </w:t>
      </w:r>
      <w:r w:rsidRPr="0013463A">
        <w:rPr>
          <w:lang w:val="en-CA"/>
        </w:rPr>
        <w:t xml:space="preserve">It goes without saying that the regime established by the </w:t>
      </w:r>
      <w:r w:rsidRPr="0013463A">
        <w:rPr>
          <w:i/>
          <w:iCs/>
          <w:lang w:val="en-CA"/>
        </w:rPr>
        <w:t>Charter</w:t>
      </w:r>
      <w:r w:rsidRPr="0013463A">
        <w:rPr>
          <w:lang w:val="en-CA"/>
        </w:rPr>
        <w:t xml:space="preserve"> in sections 10 and 49 must apply notwithstanding the rules of the </w:t>
      </w:r>
      <w:r w:rsidRPr="0013463A">
        <w:rPr>
          <w:i/>
          <w:iCs/>
          <w:lang w:val="en-CA"/>
        </w:rPr>
        <w:t>Civil Code</w:t>
      </w:r>
      <w:r w:rsidR="00B54771">
        <w:rPr>
          <w:lang w:val="en-CA"/>
        </w:rPr>
        <w:t>…</w:t>
      </w:r>
      <w:r w:rsidR="001834C5" w:rsidRPr="0013463A">
        <w:rPr>
          <w:rStyle w:val="Appelnotedebasdep"/>
          <w:lang w:val="en-CA"/>
        </w:rPr>
        <w:footnoteReference w:id="242"/>
      </w:r>
    </w:p>
    <w:p w14:paraId="72327576" w14:textId="47DF753D" w:rsidR="00E023BD" w:rsidRPr="004124E9" w:rsidRDefault="009078E2">
      <w:pPr>
        <w:pStyle w:val="Paragraphe"/>
        <w:tabs>
          <w:tab w:val="clear" w:pos="567"/>
        </w:tabs>
        <w:rPr>
          <w:lang w:val="fr-CA"/>
        </w:rPr>
      </w:pPr>
      <w:r w:rsidRPr="004124E9">
        <w:rPr>
          <w:lang w:val="fr-CA"/>
        </w:rPr>
        <w:t>Th</w:t>
      </w:r>
      <w:r w:rsidR="00B43BC7" w:rsidRPr="004124E9">
        <w:rPr>
          <w:lang w:val="fr-CA"/>
        </w:rPr>
        <w:t>e</w:t>
      </w:r>
      <w:r w:rsidRPr="004124E9">
        <w:rPr>
          <w:lang w:val="fr-CA"/>
        </w:rPr>
        <w:t xml:space="preserve">se last comments echo those of the Supreme Court of Canada in </w:t>
      </w:r>
      <w:r w:rsidRPr="004124E9">
        <w:rPr>
          <w:i/>
          <w:lang w:val="fr-CA"/>
        </w:rPr>
        <w:t>Quebec (Commission des droits de la personne et des droits de la jeunesse) v. Communauté urbaine de Montréal</w:t>
      </w:r>
      <w:r w:rsidRPr="004124E9">
        <w:rPr>
          <w:lang w:val="fr-CA"/>
        </w:rPr>
        <w:t>:</w:t>
      </w:r>
      <w:r w:rsidRPr="004124E9">
        <w:rPr>
          <w:rStyle w:val="Appelnotedebasdep"/>
          <w:lang w:val="fr-CA"/>
        </w:rPr>
        <w:t xml:space="preserve"> </w:t>
      </w:r>
      <w:r w:rsidRPr="0013463A">
        <w:rPr>
          <w:rStyle w:val="Appelnotedebasdep"/>
        </w:rPr>
        <w:footnoteReference w:id="243"/>
      </w:r>
    </w:p>
    <w:p w14:paraId="14D12E46" w14:textId="38861E32" w:rsidR="00E023BD" w:rsidRPr="0013463A" w:rsidRDefault="00DD4FB3" w:rsidP="00B14CAD">
      <w:pPr>
        <w:pStyle w:val="Citationenretrait"/>
        <w:rPr>
          <w:lang w:val="en-CA"/>
        </w:rPr>
      </w:pPr>
      <w:r>
        <w:rPr>
          <w:lang w:val="en-CA"/>
        </w:rPr>
        <w:t xml:space="preserve">[26] … </w:t>
      </w:r>
      <w:r w:rsidR="00B43BC7" w:rsidRPr="0013463A">
        <w:rPr>
          <w:lang w:val="en-CA"/>
        </w:rPr>
        <w:t xml:space="preserve">We should also not lose sight of the fact that enactments such as the </w:t>
      </w:r>
      <w:r w:rsidR="00B43BC7" w:rsidRPr="0013463A">
        <w:rPr>
          <w:i/>
          <w:iCs/>
          <w:lang w:val="en-CA"/>
        </w:rPr>
        <w:t>Quebec</w:t>
      </w:r>
      <w:r w:rsidR="00B43BC7" w:rsidRPr="0013463A">
        <w:rPr>
          <w:lang w:val="en-CA"/>
        </w:rPr>
        <w:t xml:space="preserve"> </w:t>
      </w:r>
      <w:r w:rsidR="00B43BC7" w:rsidRPr="0013463A">
        <w:rPr>
          <w:i/>
          <w:iCs/>
          <w:lang w:val="en-CA"/>
        </w:rPr>
        <w:t>Charter</w:t>
      </w:r>
      <w:r w:rsidR="00B43BC7" w:rsidRPr="0013463A">
        <w:rPr>
          <w:lang w:val="en-CA"/>
        </w:rPr>
        <w:t xml:space="preserve"> occasionally require intervention that is in no way related to the law of civil liability.</w:t>
      </w:r>
      <w:r w:rsidR="001834C5" w:rsidRPr="0013463A">
        <w:rPr>
          <w:lang w:val="en-CA"/>
        </w:rPr>
        <w:t xml:space="preserve"> </w:t>
      </w:r>
      <w:r w:rsidR="00B43BC7" w:rsidRPr="0013463A">
        <w:rPr>
          <w:lang w:val="en-CA"/>
        </w:rPr>
        <w:t xml:space="preserve">It is sometimes necessary to put an end to actions or change practices or procedures that are incompatible with the </w:t>
      </w:r>
      <w:r w:rsidR="00B43BC7" w:rsidRPr="0013463A">
        <w:rPr>
          <w:i/>
          <w:iCs/>
          <w:lang w:val="en-CA"/>
        </w:rPr>
        <w:t>Quebec Charter</w:t>
      </w:r>
      <w:r w:rsidR="00B43BC7" w:rsidRPr="0013463A">
        <w:rPr>
          <w:lang w:val="en-CA"/>
        </w:rPr>
        <w:t xml:space="preserve"> even where there is no fault within the meaning of the law of civil liability. The law of civil liberties may draw upon the law of civil liability where circumstances warrant.</w:t>
      </w:r>
      <w:r w:rsidR="001834C5" w:rsidRPr="0013463A">
        <w:rPr>
          <w:lang w:val="en-CA"/>
        </w:rPr>
        <w:t xml:space="preserve"> </w:t>
      </w:r>
      <w:r w:rsidR="00B43BC7" w:rsidRPr="0013463A">
        <w:rPr>
          <w:lang w:val="en-CA"/>
        </w:rPr>
        <w:t>The law of delict does not set limits on the enforcement of the law of civil liberties.</w:t>
      </w:r>
      <w:r w:rsidR="001834C5" w:rsidRPr="0013463A">
        <w:rPr>
          <w:lang w:val="en-CA"/>
        </w:rPr>
        <w:t xml:space="preserve">  </w:t>
      </w:r>
    </w:p>
    <w:p w14:paraId="37E8F764" w14:textId="4B5D834F" w:rsidR="00E023BD" w:rsidRPr="0013463A" w:rsidRDefault="00B43BC7">
      <w:pPr>
        <w:pStyle w:val="Paragraphe"/>
        <w:tabs>
          <w:tab w:val="clear" w:pos="567"/>
        </w:tabs>
      </w:pPr>
      <w:r w:rsidRPr="0013463A">
        <w:t xml:space="preserve">That said, all the </w:t>
      </w:r>
      <w:r w:rsidR="00110E24" w:rsidRPr="0013463A">
        <w:t>CO</w:t>
      </w:r>
      <w:r w:rsidRPr="0013463A">
        <w:t>s involved acted under the orders of Unit Manager Leclerc.</w:t>
      </w:r>
      <w:r w:rsidR="001834C5" w:rsidRPr="0013463A">
        <w:t xml:space="preserve"> </w:t>
      </w:r>
    </w:p>
    <w:p w14:paraId="7F67877F" w14:textId="1175FE22" w:rsidR="00E023BD" w:rsidRPr="0013463A" w:rsidRDefault="00B43BC7">
      <w:pPr>
        <w:pStyle w:val="Paragraphe"/>
        <w:tabs>
          <w:tab w:val="clear" w:pos="567"/>
        </w:tabs>
      </w:pPr>
      <w:r w:rsidRPr="0013463A">
        <w:t xml:space="preserve">He was clearly overwhelmed by the events when he agreed that </w:t>
      </w:r>
      <w:r w:rsidR="00110E24" w:rsidRPr="0013463A">
        <w:t>CO</w:t>
      </w:r>
      <w:r w:rsidRPr="0013463A">
        <w:t xml:space="preserve"> Comeau-Bastien should take over in </w:t>
      </w:r>
      <w:r w:rsidR="00AC72FF" w:rsidRPr="0013463A">
        <w:t>c</w:t>
      </w:r>
      <w:r w:rsidRPr="0013463A">
        <w:t xml:space="preserve">ell 1, given the </w:t>
      </w:r>
      <w:r w:rsidR="00AC72FF" w:rsidRPr="0013463A">
        <w:t>situation</w:t>
      </w:r>
      <w:r w:rsidRPr="0013463A">
        <w:t xml:space="preserve"> that has been described as already chaotic.</w:t>
      </w:r>
    </w:p>
    <w:p w14:paraId="41C620FA" w14:textId="74BE5C7A" w:rsidR="00E023BD" w:rsidRPr="0013463A" w:rsidRDefault="00B43BC7">
      <w:pPr>
        <w:pStyle w:val="Paragraphe"/>
        <w:tabs>
          <w:tab w:val="clear" w:pos="567"/>
        </w:tabs>
      </w:pPr>
      <w:r w:rsidRPr="0013463A">
        <w:t xml:space="preserve">At that </w:t>
      </w:r>
      <w:r w:rsidR="00AC72FF" w:rsidRPr="0013463A">
        <w:t>point</w:t>
      </w:r>
      <w:r w:rsidRPr="0013463A">
        <w:t xml:space="preserve">, everyone could see that Mr. Toussaint </w:t>
      </w:r>
      <w:r w:rsidR="00E94FFE">
        <w:t xml:space="preserve">was in a disturbed </w:t>
      </w:r>
      <w:r w:rsidRPr="0013463A">
        <w:t xml:space="preserve">mental state and </w:t>
      </w:r>
      <w:r w:rsidR="00D54254">
        <w:t xml:space="preserve">that </w:t>
      </w:r>
      <w:r w:rsidRPr="0013463A">
        <w:t xml:space="preserve">this made him </w:t>
      </w:r>
      <w:r w:rsidR="00E94FFE">
        <w:t xml:space="preserve">apparently </w:t>
      </w:r>
      <w:r w:rsidRPr="0013463A">
        <w:t>insensitive to pain.</w:t>
      </w:r>
    </w:p>
    <w:p w14:paraId="68EBEAD0" w14:textId="202099EF" w:rsidR="00E023BD" w:rsidRPr="0013463A" w:rsidRDefault="00B43BC7">
      <w:pPr>
        <w:pStyle w:val="Paragraphe"/>
        <w:tabs>
          <w:tab w:val="clear" w:pos="567"/>
        </w:tabs>
      </w:pPr>
      <w:r w:rsidRPr="0013463A">
        <w:t xml:space="preserve">Unit Manager Leclerc had the authority to </w:t>
      </w:r>
      <w:r w:rsidR="00284D3B">
        <w:t>implement</w:t>
      </w:r>
      <w:r w:rsidRPr="0013463A">
        <w:t xml:space="preserve"> accommodation </w:t>
      </w:r>
      <w:r w:rsidR="00284D3B">
        <w:t>measures</w:t>
      </w:r>
      <w:r w:rsidR="00DF6A8A" w:rsidRPr="0013463A">
        <w:t xml:space="preserve"> </w:t>
      </w:r>
      <w:r w:rsidRPr="0013463A">
        <w:t>and to stop the intervention under way to provide a moment of respite to a person who, handcuffed and lying on the ground, presented</w:t>
      </w:r>
      <w:r w:rsidR="00284D3B">
        <w:t xml:space="preserve"> no</w:t>
      </w:r>
      <w:r w:rsidRPr="0013463A">
        <w:t xml:space="preserve"> real danger.</w:t>
      </w:r>
      <w:r w:rsidR="001834C5" w:rsidRPr="0013463A">
        <w:t xml:space="preserve"> </w:t>
      </w:r>
    </w:p>
    <w:p w14:paraId="3D9C1F27" w14:textId="1F3E5A4D" w:rsidR="00E023BD" w:rsidRPr="0013463A" w:rsidRDefault="00DF6A8A">
      <w:pPr>
        <w:pStyle w:val="Paragraphe"/>
        <w:tabs>
          <w:tab w:val="clear" w:pos="567"/>
        </w:tabs>
      </w:pPr>
      <w:r w:rsidRPr="0013463A">
        <w:t>What is more</w:t>
      </w:r>
      <w:r w:rsidR="00AC72FF" w:rsidRPr="0013463A">
        <w:t xml:space="preserve">, the many derogations </w:t>
      </w:r>
      <w:r w:rsidRPr="0013463A">
        <w:t>from</w:t>
      </w:r>
      <w:r w:rsidR="00AC72FF" w:rsidRPr="0013463A">
        <w:t xml:space="preserve"> the usual </w:t>
      </w:r>
      <w:r w:rsidRPr="0013463A">
        <w:t xml:space="preserve">prison </w:t>
      </w:r>
      <w:r w:rsidR="00AC72FF" w:rsidRPr="0013463A">
        <w:t xml:space="preserve">practices </w:t>
      </w:r>
      <w:r w:rsidRPr="0013463A">
        <w:t xml:space="preserve">we have observed </w:t>
      </w:r>
      <w:r w:rsidR="00AC72FF" w:rsidRPr="0013463A">
        <w:t>also reveal significant gaps in leadership.</w:t>
      </w:r>
    </w:p>
    <w:p w14:paraId="29640318" w14:textId="743E482F" w:rsidR="00E023BD" w:rsidRPr="0013463A" w:rsidRDefault="00AC72FF">
      <w:pPr>
        <w:pStyle w:val="Paragraphe"/>
        <w:tabs>
          <w:tab w:val="clear" w:pos="567"/>
        </w:tabs>
      </w:pPr>
      <w:r w:rsidRPr="0013463A">
        <w:t xml:space="preserve">All in all, the Tribunal finds that the AGQ, Unit Manager Leclerc, and </w:t>
      </w:r>
      <w:r w:rsidR="00110E24" w:rsidRPr="0013463A">
        <w:t>CO</w:t>
      </w:r>
      <w:r w:rsidRPr="0013463A">
        <w:t>s</w:t>
      </w:r>
      <w:r w:rsidR="00284D3B">
        <w:t xml:space="preserve"> </w:t>
      </w:r>
      <w:r w:rsidRPr="0013463A">
        <w:t>Jean-René Brousseau, Comeau-Bastien, Gagnon, Bouchard, Dubé-Blouin, Mykel Brousseau</w:t>
      </w:r>
      <w:r w:rsidR="00284D3B">
        <w:t>,</w:t>
      </w:r>
      <w:r w:rsidRPr="0013463A">
        <w:t xml:space="preserve"> and Robitaille should be condemned solidarily to pay Mr. Toussaint $40,000.</w:t>
      </w:r>
    </w:p>
    <w:p w14:paraId="7CD78715" w14:textId="4D41A3D1" w:rsidR="00E023BD" w:rsidRPr="0013463A" w:rsidRDefault="00AC72FF" w:rsidP="00AE4CB5">
      <w:pPr>
        <w:pStyle w:val="Titre3"/>
        <w:ind w:left="709" w:hanging="709"/>
        <w:rPr>
          <w:b/>
          <w:bCs/>
          <w:u w:val="none"/>
          <w:lang w:val="en-CA"/>
        </w:rPr>
      </w:pPr>
      <w:r w:rsidRPr="0013463A">
        <w:rPr>
          <w:b/>
          <w:bCs/>
          <w:u w:val="none"/>
          <w:lang w:val="en-CA"/>
        </w:rPr>
        <w:t>Punitive damages</w:t>
      </w:r>
    </w:p>
    <w:p w14:paraId="736628E3" w14:textId="4377B3E8" w:rsidR="00E023BD" w:rsidRPr="0013463A" w:rsidRDefault="00AC72FF">
      <w:pPr>
        <w:pStyle w:val="Paragraphe"/>
        <w:tabs>
          <w:tab w:val="clear" w:pos="567"/>
        </w:tabs>
      </w:pPr>
      <w:r w:rsidRPr="0013463A">
        <w:t xml:space="preserve">The CDPDJ asks that each of the nine </w:t>
      </w:r>
      <w:r w:rsidR="00110E24" w:rsidRPr="0013463A">
        <w:t>CO</w:t>
      </w:r>
      <w:r w:rsidRPr="0013463A">
        <w:t xml:space="preserve"> </w:t>
      </w:r>
      <w:r w:rsidR="00DF6A8A" w:rsidRPr="0013463A">
        <w:t>defendants</w:t>
      </w:r>
      <w:r w:rsidRPr="0013463A">
        <w:t xml:space="preserve"> be condemned to pay $2,000 in punitive damages.</w:t>
      </w:r>
    </w:p>
    <w:p w14:paraId="313B7AD6" w14:textId="3EB2856E" w:rsidR="00E023BD" w:rsidRPr="0013463A" w:rsidRDefault="00AC72FF">
      <w:pPr>
        <w:pStyle w:val="Paragraphe"/>
        <w:tabs>
          <w:tab w:val="clear" w:pos="567"/>
        </w:tabs>
      </w:pPr>
      <w:r w:rsidRPr="0013463A">
        <w:t xml:space="preserve">Under section 49 of the </w:t>
      </w:r>
      <w:r w:rsidRPr="0013463A">
        <w:rPr>
          <w:i/>
          <w:iCs/>
        </w:rPr>
        <w:t>Charter</w:t>
      </w:r>
      <w:r w:rsidRPr="0013463A">
        <w:t>, such a condemnation requires establishing “unlawful and intentional interference” with the protection of Mr. Toussaint against discrimination.</w:t>
      </w:r>
      <w:r w:rsidR="001834C5" w:rsidRPr="0013463A">
        <w:t xml:space="preserve">  </w:t>
      </w:r>
    </w:p>
    <w:p w14:paraId="51E42CA6" w14:textId="0355DB6B" w:rsidR="00E023BD" w:rsidRPr="0013463A" w:rsidRDefault="00AC72FF">
      <w:pPr>
        <w:pStyle w:val="Paragraphe"/>
        <w:tabs>
          <w:tab w:val="clear" w:pos="567"/>
        </w:tabs>
      </w:pPr>
      <w:r w:rsidRPr="0013463A">
        <w:t xml:space="preserve">It appears clear that all the actions </w:t>
      </w:r>
      <w:r w:rsidR="005512F2">
        <w:t>taken</w:t>
      </w:r>
      <w:r w:rsidRPr="0013463A">
        <w:t xml:space="preserve"> by the </w:t>
      </w:r>
      <w:r w:rsidR="00110E24" w:rsidRPr="0013463A">
        <w:t>CO</w:t>
      </w:r>
      <w:r w:rsidRPr="0013463A">
        <w:t>s to physically control him and force him to undergo a strip search were voluntary.</w:t>
      </w:r>
    </w:p>
    <w:p w14:paraId="3991AC07" w14:textId="635BC39D" w:rsidR="00E023BD" w:rsidRPr="0013463A" w:rsidRDefault="00AC72FF">
      <w:pPr>
        <w:pStyle w:val="Paragraphe"/>
        <w:tabs>
          <w:tab w:val="clear" w:pos="567"/>
        </w:tabs>
      </w:pPr>
      <w:r w:rsidRPr="0013463A">
        <w:t xml:space="preserve">However, the “intention” </w:t>
      </w:r>
      <w:r w:rsidR="005512F2">
        <w:t>required</w:t>
      </w:r>
      <w:r w:rsidRPr="0013463A">
        <w:t xml:space="preserve"> is not the intention to commit a</w:t>
      </w:r>
      <w:r w:rsidR="00DF6A8A" w:rsidRPr="0013463A">
        <w:t>n</w:t>
      </w:r>
      <w:r w:rsidRPr="0013463A">
        <w:t xml:space="preserve"> act, but </w:t>
      </w:r>
      <w:r w:rsidR="005512F2">
        <w:t xml:space="preserve">rather </w:t>
      </w:r>
      <w:r w:rsidR="00BB7721" w:rsidRPr="0013463A">
        <w:t>the intention</w:t>
      </w:r>
      <w:r w:rsidRPr="0013463A">
        <w:t xml:space="preserve"> to bring about the consequences of that act:</w:t>
      </w:r>
    </w:p>
    <w:p w14:paraId="24816C93" w14:textId="404E61EC" w:rsidR="00E023BD" w:rsidRPr="0013463A" w:rsidRDefault="00AC72FF" w:rsidP="00B14CAD">
      <w:pPr>
        <w:pStyle w:val="Citationenretrait"/>
        <w:rPr>
          <w:lang w:val="en-CA"/>
        </w:rPr>
      </w:pPr>
      <w:r w:rsidRPr="0013463A">
        <w:rPr>
          <w:lang w:val="en-CA"/>
        </w:rPr>
        <w:t>[121] ... there will be unlawful and intentional interference within the meaning of the second paragraph of s</w:t>
      </w:r>
      <w:r w:rsidR="00DF6A8A" w:rsidRPr="0013463A">
        <w:rPr>
          <w:lang w:val="en-CA"/>
        </w:rPr>
        <w:t>. 4</w:t>
      </w:r>
      <w:r w:rsidRPr="0013463A">
        <w:rPr>
          <w:lang w:val="en-CA"/>
        </w:rPr>
        <w:t xml:space="preserve">9 of the </w:t>
      </w:r>
      <w:r w:rsidRPr="0013463A">
        <w:rPr>
          <w:i/>
          <w:iCs/>
          <w:lang w:val="en-CA"/>
        </w:rPr>
        <w:t>Charter</w:t>
      </w:r>
      <w:r w:rsidRPr="0013463A">
        <w:rPr>
          <w:lang w:val="en-CA"/>
        </w:rPr>
        <w:t xml:space="preserve"> when the person who commits the unlawful interference has a state of mind that implies </w:t>
      </w:r>
      <w:r w:rsidRPr="00AA2DB3">
        <w:rPr>
          <w:u w:val="single"/>
          <w:lang w:val="en-CA"/>
        </w:rPr>
        <w:t>a desire or intent to cause the consequences of his or her wrongful conduct, or when that person acts with full knowledge of the immediate and natural or at least extremely probable consequences that his or her conduct will cause</w:t>
      </w:r>
      <w:r w:rsidRPr="0013463A">
        <w:rPr>
          <w:lang w:val="en-CA"/>
        </w:rPr>
        <w:t>.</w:t>
      </w:r>
      <w:r w:rsidR="00DF6A8A" w:rsidRPr="0013463A">
        <w:rPr>
          <w:rStyle w:val="Appelnotedebasdep"/>
          <w:lang w:val="en-CA"/>
        </w:rPr>
        <w:footnoteReference w:id="244"/>
      </w:r>
    </w:p>
    <w:p w14:paraId="142F09B0" w14:textId="720CAC9F" w:rsidR="00E023BD" w:rsidRPr="0013463A" w:rsidRDefault="00037D95" w:rsidP="00B14CAD">
      <w:pPr>
        <w:pStyle w:val="Citationenretrait"/>
        <w:jc w:val="right"/>
        <w:rPr>
          <w:sz w:val="20"/>
          <w:lang w:val="en-CA"/>
        </w:rPr>
      </w:pPr>
      <w:r w:rsidRPr="0013463A">
        <w:rPr>
          <w:sz w:val="20"/>
          <w:lang w:val="en-CA"/>
        </w:rPr>
        <w:t>(Emphasis added)</w:t>
      </w:r>
    </w:p>
    <w:p w14:paraId="6B9366F2" w14:textId="222714CB" w:rsidR="00E023BD" w:rsidRPr="0013463A" w:rsidRDefault="00AC72FF">
      <w:pPr>
        <w:pStyle w:val="Paragraphe"/>
        <w:tabs>
          <w:tab w:val="clear" w:pos="567"/>
        </w:tabs>
      </w:pPr>
      <w:r w:rsidRPr="0013463A">
        <w:t xml:space="preserve">In this case, the evidence does not </w:t>
      </w:r>
      <w:r w:rsidR="00B12D0C" w:rsidRPr="0013463A">
        <w:t>support</w:t>
      </w:r>
      <w:r w:rsidRPr="0013463A">
        <w:t xml:space="preserve"> a finding that, aside from Unit Manager Leclerc, each of the eight </w:t>
      </w:r>
      <w:r w:rsidR="00110E24" w:rsidRPr="0013463A">
        <w:t>CO</w:t>
      </w:r>
      <w:r w:rsidRPr="0013463A">
        <w:t xml:space="preserve"> defendants’ “state of mind was such that they intended to harm Mr. </w:t>
      </w:r>
      <w:r w:rsidR="00C50E04">
        <w:t>[</w:t>
      </w:r>
      <w:r w:rsidRPr="0013463A">
        <w:t>Toussaint] or had knowledge of the adverse consequences their conduct would have for him”.</w:t>
      </w:r>
      <w:r w:rsidRPr="0013463A">
        <w:rPr>
          <w:rStyle w:val="Appelnotedebasdep"/>
        </w:rPr>
        <w:footnoteReference w:id="245"/>
      </w:r>
    </w:p>
    <w:p w14:paraId="10E15318" w14:textId="42ABD4D6" w:rsidR="00E023BD" w:rsidRPr="0013463A" w:rsidRDefault="00AC72FF">
      <w:pPr>
        <w:pStyle w:val="Paragraphe"/>
        <w:tabs>
          <w:tab w:val="clear" w:pos="567"/>
        </w:tabs>
      </w:pPr>
      <w:r w:rsidRPr="0013463A">
        <w:t xml:space="preserve">It is </w:t>
      </w:r>
      <w:r w:rsidR="00B12D0C" w:rsidRPr="0013463A">
        <w:t>essentially</w:t>
      </w:r>
      <w:r w:rsidRPr="0013463A">
        <w:t xml:space="preserve"> the desire to subject </w:t>
      </w:r>
      <w:r w:rsidR="00B12D0C" w:rsidRPr="0013463A">
        <w:t>him</w:t>
      </w:r>
      <w:r w:rsidRPr="0013463A">
        <w:t xml:space="preserve"> to the usual and mandatory strip search procedure without putting their own security at risk</w:t>
      </w:r>
      <w:r w:rsidR="00DF3A3B" w:rsidRPr="0013463A">
        <w:t xml:space="preserve"> that </w:t>
      </w:r>
      <w:r w:rsidRPr="0013463A">
        <w:t xml:space="preserve">motivated some of the </w:t>
      </w:r>
      <w:r w:rsidR="00110E24" w:rsidRPr="0013463A">
        <w:t>CO</w:t>
      </w:r>
      <w:r w:rsidRPr="0013463A">
        <w:t>s to perform physical holds on him</w:t>
      </w:r>
      <w:r w:rsidR="00DF3A3B" w:rsidRPr="0013463A">
        <w:t xml:space="preserve"> and </w:t>
      </w:r>
      <w:r w:rsidRPr="0013463A">
        <w:t xml:space="preserve">then </w:t>
      </w:r>
      <w:r w:rsidR="00DF3A3B" w:rsidRPr="0013463A">
        <w:t xml:space="preserve">to use </w:t>
      </w:r>
      <w:r w:rsidRPr="0013463A">
        <w:t>chemical restraints with the OC to get him to obey.</w:t>
      </w:r>
      <w:r w:rsidR="001834C5" w:rsidRPr="0013463A">
        <w:t xml:space="preserve"> </w:t>
      </w:r>
      <w:r w:rsidRPr="0013463A">
        <w:t>In short, they</w:t>
      </w:r>
      <w:r w:rsidR="00BB7721" w:rsidRPr="0013463A">
        <w:t xml:space="preserve"> carried out</w:t>
      </w:r>
      <w:r w:rsidRPr="0013463A">
        <w:t xml:space="preserve"> orders: [</w:t>
      </w:r>
      <w:r w:rsidRPr="0013463A">
        <w:rPr>
          <w:smallCaps/>
        </w:rPr>
        <w:t>translation</w:t>
      </w:r>
      <w:r w:rsidRPr="0013463A">
        <w:t xml:space="preserve">] “We always </w:t>
      </w:r>
      <w:r w:rsidR="00AA2DB3">
        <w:t>listen to the boss</w:t>
      </w:r>
      <w:r w:rsidRPr="0013463A">
        <w:t xml:space="preserve">”, says </w:t>
      </w:r>
      <w:r w:rsidR="00110E24" w:rsidRPr="0013463A">
        <w:t>CO</w:t>
      </w:r>
      <w:r w:rsidRPr="0013463A">
        <w:t xml:space="preserve"> Dubé-Blouin.</w:t>
      </w:r>
    </w:p>
    <w:p w14:paraId="2F3D78E4" w14:textId="0E50CECE" w:rsidR="00E023BD" w:rsidRPr="0013463A" w:rsidRDefault="00BD639B">
      <w:pPr>
        <w:pStyle w:val="Paragraphe"/>
        <w:tabs>
          <w:tab w:val="clear" w:pos="567"/>
        </w:tabs>
      </w:pPr>
      <w:r w:rsidRPr="0013463A">
        <w:t xml:space="preserve">Obviously, following orders is </w:t>
      </w:r>
      <w:r w:rsidR="00B12D0C" w:rsidRPr="0013463A">
        <w:t>not</w:t>
      </w:r>
      <w:r w:rsidRPr="0013463A">
        <w:t xml:space="preserve"> a licence to avoid all condemnation to pay punitive damages.</w:t>
      </w:r>
      <w:r w:rsidR="001834C5" w:rsidRPr="0013463A">
        <w:t xml:space="preserve"> </w:t>
      </w:r>
      <w:r w:rsidRPr="0013463A">
        <w:t>There may be situations where the order given is so unreasonable that public order requires disobeying, not blindly executing: [</w:t>
      </w:r>
      <w:r w:rsidRPr="0013463A">
        <w:rPr>
          <w:smallCaps/>
        </w:rPr>
        <w:t>translation</w:t>
      </w:r>
      <w:r w:rsidRPr="0013463A">
        <w:t xml:space="preserve">] “an employee can </w:t>
      </w:r>
      <w:r w:rsidR="00B12D0C" w:rsidRPr="0013463A">
        <w:t>refuse</w:t>
      </w:r>
      <w:r w:rsidRPr="0013463A">
        <w:t xml:space="preserve"> to obey when the employer’s instructions constitute abuse of right because they are unreasonable or discriminatory”.</w:t>
      </w:r>
      <w:r w:rsidRPr="0013463A">
        <w:rPr>
          <w:rStyle w:val="Appelnotedebasdep"/>
        </w:rPr>
        <w:footnoteReference w:id="246"/>
      </w:r>
      <w:r w:rsidR="001834C5" w:rsidRPr="0013463A">
        <w:t xml:space="preserve">  </w:t>
      </w:r>
    </w:p>
    <w:p w14:paraId="64538D01" w14:textId="7E7F6A87" w:rsidR="00E023BD" w:rsidRPr="0013463A" w:rsidRDefault="00BD639B">
      <w:pPr>
        <w:pStyle w:val="Paragraphe"/>
        <w:tabs>
          <w:tab w:val="clear" w:pos="567"/>
        </w:tabs>
      </w:pPr>
      <w:r w:rsidRPr="0013463A">
        <w:t xml:space="preserve">That said, while it may be deplorable that the </w:t>
      </w:r>
      <w:r w:rsidR="00110E24" w:rsidRPr="0013463A">
        <w:t>CO</w:t>
      </w:r>
      <w:r w:rsidRPr="0013463A">
        <w:t xml:space="preserve">s were </w:t>
      </w:r>
      <w:r w:rsidR="00B12D0C" w:rsidRPr="0013463A">
        <w:t>apparently</w:t>
      </w:r>
      <w:r w:rsidRPr="0013463A">
        <w:t xml:space="preserve"> insensitive to Mr. Toussaint’s disturbed mental state and his needs, such </w:t>
      </w:r>
      <w:r w:rsidR="00B12D0C" w:rsidRPr="0013463A">
        <w:t>recklessness</w:t>
      </w:r>
      <w:r w:rsidRPr="0013463A">
        <w:t xml:space="preserve"> is not sufficient for punitive damages to be awarded against them</w:t>
      </w:r>
      <w:r w:rsidR="00BB7721" w:rsidRPr="0013463A">
        <w:t xml:space="preserve">. </w:t>
      </w:r>
      <w:r w:rsidRPr="0013463A">
        <w:t>Indeed, “an individual’s recklessness, however wild and foolhardy, as to the consequences of his or her wrongful acts”</w:t>
      </w:r>
      <w:r w:rsidR="00BB7721" w:rsidRPr="0013463A">
        <w:rPr>
          <w:vertAlign w:val="superscript"/>
        </w:rPr>
        <w:footnoteReference w:id="247"/>
      </w:r>
      <w:r w:rsidRPr="0013463A">
        <w:t xml:space="preserve"> does not satisfy the test of “intentional” interference within the meaning of section 49 of the </w:t>
      </w:r>
      <w:r w:rsidRPr="0013463A">
        <w:rPr>
          <w:i/>
          <w:iCs/>
        </w:rPr>
        <w:t>Charter</w:t>
      </w:r>
      <w:r w:rsidRPr="0013463A">
        <w:t>.</w:t>
      </w:r>
    </w:p>
    <w:p w14:paraId="745558D2" w14:textId="2B16E8A1" w:rsidR="00E023BD" w:rsidRPr="0013463A" w:rsidRDefault="00BD639B" w:rsidP="00B14CAD">
      <w:pPr>
        <w:pStyle w:val="Paragraphe"/>
        <w:numPr>
          <w:ilvl w:val="0"/>
          <w:numId w:val="0"/>
        </w:numPr>
        <w:jc w:val="center"/>
      </w:pPr>
      <w:r w:rsidRPr="0013463A">
        <w:t>* * *</w:t>
      </w:r>
    </w:p>
    <w:p w14:paraId="093D5AFE" w14:textId="4AE0CBDD" w:rsidR="00E023BD" w:rsidRPr="0013463A" w:rsidRDefault="00BD639B">
      <w:pPr>
        <w:pStyle w:val="Paragraphe"/>
        <w:tabs>
          <w:tab w:val="clear" w:pos="567"/>
        </w:tabs>
      </w:pPr>
      <w:r w:rsidRPr="0013463A">
        <w:t xml:space="preserve">Unit Manager Leclerc’s situation is </w:t>
      </w:r>
      <w:r w:rsidR="00B12D0C" w:rsidRPr="0013463A">
        <w:t>different</w:t>
      </w:r>
      <w:r w:rsidRPr="0013463A">
        <w:t>, however.</w:t>
      </w:r>
      <w:r w:rsidR="001834C5" w:rsidRPr="0013463A">
        <w:t xml:space="preserve"> </w:t>
      </w:r>
      <w:r w:rsidR="00BB7721" w:rsidRPr="0013463A">
        <w:t xml:space="preserve">As the </w:t>
      </w:r>
      <w:r w:rsidRPr="0013463A">
        <w:t>manager in charge</w:t>
      </w:r>
      <w:r w:rsidR="00BB7721" w:rsidRPr="0013463A">
        <w:t xml:space="preserve"> who was</w:t>
      </w:r>
      <w:r w:rsidRPr="0013463A">
        <w:t xml:space="preserve"> on site </w:t>
      </w:r>
      <w:r w:rsidR="00BB7721" w:rsidRPr="0013463A">
        <w:t xml:space="preserve">at </w:t>
      </w:r>
      <w:r w:rsidRPr="0013463A">
        <w:t xml:space="preserve">every phase of the intervention with Mr. Toussaint, he did not adapt to the circumstances and review the methods his team </w:t>
      </w:r>
      <w:r w:rsidR="00BB7721" w:rsidRPr="0013463A">
        <w:t xml:space="preserve">employed </w:t>
      </w:r>
      <w:r w:rsidRPr="0013463A">
        <w:t>to minimize the use of force against an individual whose mental state was obviously disturbed.</w:t>
      </w:r>
      <w:r w:rsidR="001834C5" w:rsidRPr="0013463A">
        <w:t xml:space="preserve"> </w:t>
      </w:r>
    </w:p>
    <w:p w14:paraId="11D86891" w14:textId="6E25EE9E" w:rsidR="00E023BD" w:rsidRPr="0013463A" w:rsidRDefault="00BD639B">
      <w:pPr>
        <w:pStyle w:val="Paragraphe"/>
        <w:tabs>
          <w:tab w:val="clear" w:pos="567"/>
        </w:tabs>
      </w:pPr>
      <w:r w:rsidRPr="0013463A">
        <w:t xml:space="preserve">He had control, and he had the power to avoid the use of disproportionate force against a 21-year-old inmate serving an intermittent sentence who, by all appearances, was not able to properly grasp the instructions the </w:t>
      </w:r>
      <w:r w:rsidR="00110E24" w:rsidRPr="0013463A">
        <w:t>CO</w:t>
      </w:r>
      <w:r w:rsidRPr="0013463A">
        <w:t>s were giving him.</w:t>
      </w:r>
    </w:p>
    <w:p w14:paraId="36302F2F" w14:textId="15E3375B" w:rsidR="00E023BD" w:rsidRPr="0013463A" w:rsidRDefault="00BD639B">
      <w:pPr>
        <w:pStyle w:val="Paragraphe"/>
        <w:tabs>
          <w:tab w:val="clear" w:pos="567"/>
        </w:tabs>
      </w:pPr>
      <w:r w:rsidRPr="0013463A">
        <w:t xml:space="preserve">The brutal treatment reserved for Mr. Toussaint and the lack of consideration for his state in particular </w:t>
      </w:r>
      <w:r w:rsidR="00BB7721" w:rsidRPr="0013463A">
        <w:t>and</w:t>
      </w:r>
      <w:r w:rsidRPr="0013463A">
        <w:t xml:space="preserve"> of his person in general could not be without consequence on his psychological health.</w:t>
      </w:r>
      <w:r w:rsidR="001834C5" w:rsidRPr="0013463A">
        <w:t xml:space="preserve"> </w:t>
      </w:r>
    </w:p>
    <w:p w14:paraId="718EF3DD" w14:textId="535B9CE7" w:rsidR="00E023BD" w:rsidRPr="0013463A" w:rsidRDefault="00BD639B">
      <w:pPr>
        <w:pStyle w:val="Paragraphe"/>
        <w:tabs>
          <w:tab w:val="clear" w:pos="567"/>
        </w:tabs>
      </w:pPr>
      <w:r w:rsidRPr="0013463A">
        <w:t>A reasonable person knows or should know that this type of treatment can entail “immediate and natural or at least extremely probable consequences”</w:t>
      </w:r>
      <w:r w:rsidRPr="0013463A">
        <w:rPr>
          <w:rStyle w:val="Appelnotedebasdep"/>
        </w:rPr>
        <w:footnoteReference w:id="248"/>
      </w:r>
      <w:r w:rsidRPr="0013463A">
        <w:t xml:space="preserve"> </w:t>
      </w:r>
      <w:r w:rsidR="00BB7721" w:rsidRPr="0013463A">
        <w:t xml:space="preserve">in the form of </w:t>
      </w:r>
      <w:r w:rsidRPr="0013463A">
        <w:t>trauma with long</w:t>
      </w:r>
      <w:r w:rsidR="00BB7721" w:rsidRPr="0013463A">
        <w:t>-</w:t>
      </w:r>
      <w:r w:rsidRPr="0013463A">
        <w:t>lasting effects.</w:t>
      </w:r>
    </w:p>
    <w:p w14:paraId="142E64AB" w14:textId="55281ACE" w:rsidR="00E023BD" w:rsidRPr="0013463A" w:rsidRDefault="00BD639B">
      <w:pPr>
        <w:pStyle w:val="Paragraphe"/>
        <w:tabs>
          <w:tab w:val="clear" w:pos="567"/>
        </w:tabs>
      </w:pPr>
      <w:r w:rsidRPr="0013463A">
        <w:t xml:space="preserve">That said, article 1621 of the </w:t>
      </w:r>
      <w:r w:rsidRPr="0013463A">
        <w:rPr>
          <w:i/>
        </w:rPr>
        <w:t>Civil Code of Québec</w:t>
      </w:r>
      <w:r w:rsidRPr="0013463A">
        <w:rPr>
          <w:rStyle w:val="Appelnotedebasdep"/>
        </w:rPr>
        <w:footnoteReference w:id="249"/>
      </w:r>
      <w:r w:rsidRPr="0013463A">
        <w:t xml:space="preserve"> sets out certain criteria that must guide the Tribunal when determining the </w:t>
      </w:r>
      <w:r w:rsidR="00BB7721" w:rsidRPr="0013463A">
        <w:t>value</w:t>
      </w:r>
      <w:r w:rsidRPr="0013463A">
        <w:t xml:space="preserve"> of punitive damages in a given case:  </w:t>
      </w:r>
    </w:p>
    <w:p w14:paraId="52D89F81" w14:textId="36854E5B" w:rsidR="00E023BD" w:rsidRPr="0013463A" w:rsidRDefault="001834C5" w:rsidP="00B14CAD">
      <w:pPr>
        <w:pStyle w:val="Citationenretrait"/>
        <w:rPr>
          <w:lang w:val="en-CA"/>
        </w:rPr>
      </w:pPr>
      <w:r w:rsidRPr="0013463A">
        <w:rPr>
          <w:b/>
          <w:bCs/>
          <w:lang w:val="en-CA"/>
        </w:rPr>
        <w:t>1621.</w:t>
      </w:r>
      <w:r w:rsidRPr="0013463A">
        <w:rPr>
          <w:lang w:val="en-CA"/>
        </w:rPr>
        <w:t>  </w:t>
      </w:r>
      <w:r w:rsidR="00BD639B" w:rsidRPr="0013463A">
        <w:rPr>
          <w:lang w:val="en-CA"/>
        </w:rPr>
        <w:t>Where the awarding of punitive damages is provided for by law, the amount of such damages may not exceed what is sufficient to fulfil their preventive purpose.</w:t>
      </w:r>
    </w:p>
    <w:p w14:paraId="5B6BF838" w14:textId="4E522404" w:rsidR="00E023BD" w:rsidRPr="0013463A" w:rsidRDefault="00BD639B" w:rsidP="00B14CAD">
      <w:pPr>
        <w:pStyle w:val="Citationenretrait"/>
        <w:rPr>
          <w:lang w:val="en-CA"/>
        </w:rPr>
      </w:pPr>
      <w:r w:rsidRPr="0013463A">
        <w:rPr>
          <w:lang w:val="en-CA"/>
        </w:rPr>
        <w:t>Punitive damages are assessed in the light of all the appropriate circumstances, in particular the gravity of the debtor’s fault, his patrimonial situation, the extent of the reparation for which he is already liable to the creditor and, where such is the case, the fact that the payment of the damages is wholly or partly assumed by a third person.</w:t>
      </w:r>
    </w:p>
    <w:p w14:paraId="581E6CCF" w14:textId="1CE340E2" w:rsidR="00E023BD" w:rsidRPr="0013463A" w:rsidRDefault="00BD639B">
      <w:pPr>
        <w:pStyle w:val="Paragraphe"/>
        <w:tabs>
          <w:tab w:val="clear" w:pos="567"/>
        </w:tabs>
      </w:pPr>
      <w:r w:rsidRPr="0013463A">
        <w:t xml:space="preserve"> Mr. Leclerc is no longer Unit Manager and no longer works in a </w:t>
      </w:r>
      <w:r w:rsidR="00FD3681">
        <w:t>correctional</w:t>
      </w:r>
      <w:r w:rsidRPr="0013463A">
        <w:t xml:space="preserve"> facility.</w:t>
      </w:r>
    </w:p>
    <w:p w14:paraId="224133B1" w14:textId="584E5AC1" w:rsidR="00E023BD" w:rsidRPr="0013463A" w:rsidRDefault="00BD639B">
      <w:pPr>
        <w:pStyle w:val="Paragraphe"/>
        <w:tabs>
          <w:tab w:val="clear" w:pos="567"/>
        </w:tabs>
      </w:pPr>
      <w:r w:rsidRPr="0013463A">
        <w:t xml:space="preserve">Nothing is known of his patrimonial situation, and the evidence does not indicate </w:t>
      </w:r>
      <w:r w:rsidR="00BB7721" w:rsidRPr="0013463A">
        <w:t>whether</w:t>
      </w:r>
      <w:r w:rsidRPr="0013463A">
        <w:t xml:space="preserve"> a third person could be required to pay the reparations.</w:t>
      </w:r>
    </w:p>
    <w:p w14:paraId="3A68D5C2" w14:textId="53981EAB" w:rsidR="00E023BD" w:rsidRPr="0013463A" w:rsidRDefault="00BD639B">
      <w:pPr>
        <w:pStyle w:val="Paragraphe"/>
        <w:tabs>
          <w:tab w:val="clear" w:pos="567"/>
        </w:tabs>
      </w:pPr>
      <w:r w:rsidRPr="0013463A">
        <w:t xml:space="preserve">At the hearing, when returning from a recess, the Tribunal was informed of the content of a discussion held </w:t>
      </w:r>
      <w:r w:rsidR="00BB7721" w:rsidRPr="0013463A">
        <w:t xml:space="preserve">in </w:t>
      </w:r>
      <w:r w:rsidRPr="0013463A">
        <w:t>its absence between Mr. Toussaint’s father and Mr.</w:t>
      </w:r>
      <w:r w:rsidR="00FD3681">
        <w:t> </w:t>
      </w:r>
      <w:r w:rsidRPr="0013463A">
        <w:t>Leclerc.</w:t>
      </w:r>
    </w:p>
    <w:p w14:paraId="62DD3FC0" w14:textId="185C6283" w:rsidR="00E023BD" w:rsidRPr="0013463A" w:rsidRDefault="00BD639B">
      <w:pPr>
        <w:pStyle w:val="Paragraphe"/>
        <w:tabs>
          <w:tab w:val="clear" w:pos="567"/>
        </w:tabs>
      </w:pPr>
      <w:r w:rsidRPr="0013463A">
        <w:t>When asked about it, Mr. Leclerc stated:</w:t>
      </w:r>
    </w:p>
    <w:p w14:paraId="74429EFA" w14:textId="1738C98B" w:rsidR="00BB7721" w:rsidRPr="0013463A" w:rsidRDefault="00BB7721" w:rsidP="00B14CAD">
      <w:pPr>
        <w:pStyle w:val="Citationenretrait"/>
        <w:rPr>
          <w:lang w:val="en-CA"/>
        </w:rPr>
      </w:pPr>
      <w:r w:rsidRPr="0013463A">
        <w:rPr>
          <w:lang w:val="en-CA"/>
        </w:rPr>
        <w:t>[</w:t>
      </w:r>
      <w:r w:rsidRPr="0013463A">
        <w:rPr>
          <w:smallCaps/>
          <w:lang w:val="en-CA"/>
        </w:rPr>
        <w:t>translation</w:t>
      </w:r>
      <w:r w:rsidRPr="0013463A">
        <w:rPr>
          <w:lang w:val="en-CA"/>
        </w:rPr>
        <w:t>]</w:t>
      </w:r>
    </w:p>
    <w:p w14:paraId="5CE3A581" w14:textId="7898A578" w:rsidR="00E023BD" w:rsidRPr="0013463A" w:rsidRDefault="00BD639B" w:rsidP="00B14CAD">
      <w:pPr>
        <w:pStyle w:val="Citationenretrait"/>
        <w:rPr>
          <w:lang w:val="en-CA"/>
        </w:rPr>
      </w:pPr>
      <w:r w:rsidRPr="0013463A">
        <w:rPr>
          <w:lang w:val="en-CA"/>
        </w:rPr>
        <w:t>I told him that I hoped things were going well for his family, and that I though</w:t>
      </w:r>
      <w:r w:rsidR="00BB7721" w:rsidRPr="0013463A">
        <w:rPr>
          <w:lang w:val="en-CA"/>
        </w:rPr>
        <w:t>t</w:t>
      </w:r>
      <w:r w:rsidRPr="0013463A">
        <w:rPr>
          <w:lang w:val="en-CA"/>
        </w:rPr>
        <w:t xml:space="preserve"> it was a pretty big thing to be here today.</w:t>
      </w:r>
      <w:r w:rsidR="001834C5" w:rsidRPr="0013463A">
        <w:rPr>
          <w:lang w:val="en-CA"/>
        </w:rPr>
        <w:t xml:space="preserve"> </w:t>
      </w:r>
    </w:p>
    <w:p w14:paraId="24513043" w14:textId="596A59A9" w:rsidR="00E023BD" w:rsidRPr="0013463A" w:rsidRDefault="00BD639B">
      <w:pPr>
        <w:pStyle w:val="Paragraphe"/>
        <w:tabs>
          <w:tab w:val="clear" w:pos="567"/>
        </w:tabs>
      </w:pPr>
      <w:r w:rsidRPr="0013463A">
        <w:t xml:space="preserve">In the view of the Tribunal, </w:t>
      </w:r>
      <w:r w:rsidR="00FD3681">
        <w:t>a</w:t>
      </w:r>
      <w:r w:rsidRPr="0013463A">
        <w:t xml:space="preserve"> condemnation to pay $1,500 in punitive damages </w:t>
      </w:r>
      <w:r w:rsidR="00FD3681">
        <w:t>is</w:t>
      </w:r>
      <w:r w:rsidRPr="0013463A">
        <w:t xml:space="preserve"> sufficient to serve the objectives of punishment, deterrence</w:t>
      </w:r>
      <w:r w:rsidR="004104F7">
        <w:t>,</w:t>
      </w:r>
      <w:r w:rsidRPr="0013463A">
        <w:t xml:space="preserve"> and denunciation established in the case law.</w:t>
      </w:r>
      <w:r w:rsidRPr="0013463A">
        <w:rPr>
          <w:rStyle w:val="Appelnotedebasdep"/>
        </w:rPr>
        <w:footnoteReference w:id="250"/>
      </w:r>
      <w:r w:rsidR="001834C5" w:rsidRPr="0013463A">
        <w:t xml:space="preserve"> </w:t>
      </w:r>
    </w:p>
    <w:p w14:paraId="59B5517B" w14:textId="70A717C1" w:rsidR="00E023BD" w:rsidRPr="0013463A" w:rsidRDefault="00BD639B" w:rsidP="00AE4CB5">
      <w:pPr>
        <w:pStyle w:val="Titre3"/>
        <w:ind w:left="709" w:hanging="709"/>
        <w:rPr>
          <w:b/>
          <w:bCs/>
          <w:u w:val="none"/>
          <w:lang w:val="en-CA"/>
        </w:rPr>
      </w:pPr>
      <w:r w:rsidRPr="0013463A">
        <w:rPr>
          <w:b/>
          <w:bCs/>
          <w:u w:val="none"/>
          <w:lang w:val="en-CA"/>
        </w:rPr>
        <w:t>Orders in the public interest</w:t>
      </w:r>
    </w:p>
    <w:p w14:paraId="1C03BF0B" w14:textId="27FE1D67" w:rsidR="00E023BD" w:rsidRPr="0013463A" w:rsidRDefault="00BD639B">
      <w:pPr>
        <w:pStyle w:val="Paragraphe"/>
        <w:tabs>
          <w:tab w:val="clear" w:pos="567"/>
        </w:tabs>
      </w:pPr>
      <w:r w:rsidRPr="0013463A">
        <w:t>The CDPDJ asks for orders to compel the MSP to:</w:t>
      </w:r>
    </w:p>
    <w:p w14:paraId="56C4B6ED" w14:textId="5C5468AC" w:rsidR="00E023BD" w:rsidRPr="0013463A" w:rsidRDefault="00BD639B">
      <w:pPr>
        <w:pStyle w:val="Paragraphe"/>
        <w:numPr>
          <w:ilvl w:val="0"/>
          <w:numId w:val="12"/>
        </w:numPr>
        <w:tabs>
          <w:tab w:val="clear" w:pos="567"/>
        </w:tabs>
      </w:pPr>
      <w:r w:rsidRPr="0013463A">
        <w:t xml:space="preserve">Develop, implement, and disseminate to its </w:t>
      </w:r>
      <w:r w:rsidR="008E7CE3" w:rsidRPr="0013463A">
        <w:t>staff</w:t>
      </w:r>
      <w:r w:rsidRPr="0013463A">
        <w:t xml:space="preserve"> a strategic plan on discriminatory profiling;</w:t>
      </w:r>
    </w:p>
    <w:p w14:paraId="53AA8933" w14:textId="0068E8E7" w:rsidR="00E023BD" w:rsidRPr="0013463A" w:rsidRDefault="00BD639B">
      <w:pPr>
        <w:pStyle w:val="Paragraphe"/>
        <w:numPr>
          <w:ilvl w:val="0"/>
          <w:numId w:val="12"/>
        </w:numPr>
        <w:tabs>
          <w:tab w:val="clear" w:pos="567"/>
        </w:tabs>
      </w:pPr>
      <w:r w:rsidRPr="0013463A">
        <w:t xml:space="preserve">Design and offer a periodic training or awareness-raising session on discriminatory profiling to all </w:t>
      </w:r>
      <w:r w:rsidR="008E7CE3" w:rsidRPr="0013463A">
        <w:t>staff</w:t>
      </w:r>
      <w:r w:rsidRPr="0013463A">
        <w:t xml:space="preserve"> of </w:t>
      </w:r>
      <w:r w:rsidR="008A6C9B">
        <w:t>correctional</w:t>
      </w:r>
      <w:r w:rsidRPr="0013463A">
        <w:t xml:space="preserve"> facilities in Quebec, along with a process to formally assess the knowledge acquired.</w:t>
      </w:r>
    </w:p>
    <w:p w14:paraId="505E40F8" w14:textId="0B9B48C7" w:rsidR="00E023BD" w:rsidRPr="0013463A" w:rsidRDefault="00BD639B">
      <w:pPr>
        <w:pStyle w:val="Paragraphe"/>
        <w:tabs>
          <w:tab w:val="clear" w:pos="567"/>
        </w:tabs>
      </w:pPr>
      <w:r w:rsidRPr="0013463A">
        <w:t xml:space="preserve">Section 80 of the </w:t>
      </w:r>
      <w:r w:rsidRPr="0013463A">
        <w:rPr>
          <w:i/>
          <w:iCs/>
        </w:rPr>
        <w:t>Charter</w:t>
      </w:r>
      <w:r w:rsidRPr="0013463A">
        <w:t xml:space="preserve"> authorizes the Tribunal to render orders </w:t>
      </w:r>
      <w:r w:rsidR="00334736" w:rsidRPr="0013463A">
        <w:t xml:space="preserve">that not only repair the </w:t>
      </w:r>
      <w:r w:rsidRPr="0013463A">
        <w:t>injury suffered by the victim of discrimination</w:t>
      </w:r>
      <w:r w:rsidR="00334736" w:rsidRPr="0013463A">
        <w:t>,</w:t>
      </w:r>
      <w:r w:rsidRPr="0013463A">
        <w:t xml:space="preserve"> but that also contain measures </w:t>
      </w:r>
      <w:r w:rsidR="00334736" w:rsidRPr="0013463A">
        <w:t xml:space="preserve">necessary </w:t>
      </w:r>
      <w:r w:rsidRPr="0013463A">
        <w:t>in the public interest, so long as they have a connection with the dispute, are supported by the relevant evidence, and are appropriate in light of all the circumstances.</w:t>
      </w:r>
      <w:r w:rsidRPr="0013463A">
        <w:rPr>
          <w:rStyle w:val="Appelnotedebasdep"/>
        </w:rPr>
        <w:footnoteReference w:id="251"/>
      </w:r>
      <w:r w:rsidR="001834C5" w:rsidRPr="0013463A">
        <w:t xml:space="preserve"> </w:t>
      </w:r>
    </w:p>
    <w:p w14:paraId="4AEF42F5" w14:textId="5D58061F" w:rsidR="00E023BD" w:rsidRPr="0013463A" w:rsidRDefault="00110E24">
      <w:pPr>
        <w:pStyle w:val="Paragraphe"/>
        <w:tabs>
          <w:tab w:val="clear" w:pos="567"/>
        </w:tabs>
      </w:pPr>
      <w:r w:rsidRPr="0013463A">
        <w:t>In the view of the Tribunal, these conditions are met here.</w:t>
      </w:r>
    </w:p>
    <w:p w14:paraId="57E89B2D" w14:textId="33690A84" w:rsidR="00E023BD" w:rsidRPr="0013463A" w:rsidRDefault="00110E24">
      <w:pPr>
        <w:pStyle w:val="Paragraphe"/>
        <w:tabs>
          <w:tab w:val="clear" w:pos="567"/>
        </w:tabs>
      </w:pPr>
      <w:r w:rsidRPr="0013463A">
        <w:t xml:space="preserve">The evidence reveals that the COs have received no specific training on racial profiling or on how to intervene with a person who is disabled </w:t>
      </w:r>
      <w:r w:rsidR="00787BF2">
        <w:t>due to</w:t>
      </w:r>
      <w:r w:rsidRPr="0013463A">
        <w:t xml:space="preserve"> a mentally disturbed state.</w:t>
      </w:r>
    </w:p>
    <w:p w14:paraId="1195F5F3" w14:textId="153F3086" w:rsidR="00E023BD" w:rsidRPr="0013463A" w:rsidRDefault="00110E24">
      <w:pPr>
        <w:pStyle w:val="Paragraphe"/>
        <w:tabs>
          <w:tab w:val="clear" w:pos="567"/>
        </w:tabs>
      </w:pPr>
      <w:r w:rsidRPr="00EC507C">
        <w:t>Considering</w:t>
      </w:r>
      <w:r w:rsidRPr="0013463A">
        <w:t xml:space="preserve"> the documented phenomenon of </w:t>
      </w:r>
      <w:r w:rsidR="00334736" w:rsidRPr="0013463A">
        <w:t xml:space="preserve">the </w:t>
      </w:r>
      <w:r w:rsidRPr="0013463A">
        <w:t xml:space="preserve">overrepresentation of Black persons in prisons, it is troubling that </w:t>
      </w:r>
      <w:r w:rsidR="00EC507C">
        <w:t>correctional</w:t>
      </w:r>
      <w:r w:rsidRPr="0013463A">
        <w:t xml:space="preserve"> facility </w:t>
      </w:r>
      <w:r w:rsidR="008E7CE3" w:rsidRPr="0013463A">
        <w:t>staff</w:t>
      </w:r>
      <w:r w:rsidRPr="0013463A">
        <w:t xml:space="preserve"> are not </w:t>
      </w:r>
      <w:r w:rsidR="00D22CA1">
        <w:t>more aware of</w:t>
      </w:r>
      <w:r w:rsidR="00334736" w:rsidRPr="0013463A">
        <w:t xml:space="preserve"> </w:t>
      </w:r>
      <w:r w:rsidRPr="0013463A">
        <w:t>the phenomenon of racial profiling and the prejudices and stereotypes that affect those targeted by it.</w:t>
      </w:r>
      <w:r w:rsidR="001834C5" w:rsidRPr="0013463A">
        <w:t xml:space="preserve"> </w:t>
      </w:r>
    </w:p>
    <w:p w14:paraId="410934A2" w14:textId="665640AB" w:rsidR="00E023BD" w:rsidRPr="0013463A" w:rsidRDefault="00110E24">
      <w:pPr>
        <w:pStyle w:val="Paragraphe"/>
        <w:tabs>
          <w:tab w:val="clear" w:pos="567"/>
        </w:tabs>
      </w:pPr>
      <w:r w:rsidRPr="0013463A">
        <w:t xml:space="preserve">In a </w:t>
      </w:r>
      <w:r w:rsidR="00352DF2">
        <w:t>predominantly</w:t>
      </w:r>
      <w:r w:rsidRPr="0013463A">
        <w:t xml:space="preserve"> White environment</w:t>
      </w:r>
      <w:r w:rsidR="00334736" w:rsidRPr="0013463A">
        <w:t xml:space="preserve"> </w:t>
      </w:r>
      <w:r w:rsidR="00352DF2">
        <w:t xml:space="preserve">such as </w:t>
      </w:r>
      <w:r w:rsidR="00D22CA1">
        <w:t xml:space="preserve">the </w:t>
      </w:r>
      <w:r w:rsidRPr="0013463A">
        <w:t>Qu</w:t>
      </w:r>
      <w:r w:rsidR="00D22CA1">
        <w:t>é</w:t>
      </w:r>
      <w:r w:rsidRPr="0013463A">
        <w:t>bec</w:t>
      </w:r>
      <w:r w:rsidR="00352DF2">
        <w:t xml:space="preserve"> city region</w:t>
      </w:r>
      <w:r w:rsidRPr="0013463A">
        <w:t xml:space="preserve"> </w:t>
      </w:r>
      <w:r w:rsidR="003D642D">
        <w:t>–</w:t>
      </w:r>
      <w:r w:rsidRPr="0013463A">
        <w:t xml:space="preserve"> incidentally, none of the defendants is a Black man </w:t>
      </w:r>
      <w:r w:rsidR="003D642D">
        <w:t>–</w:t>
      </w:r>
      <w:r w:rsidRPr="0013463A">
        <w:t xml:space="preserve"> the need to</w:t>
      </w:r>
      <w:r w:rsidR="00D22CA1">
        <w:t xml:space="preserve"> make staff aware of</w:t>
      </w:r>
      <w:r w:rsidRPr="0013463A">
        <w:t xml:space="preserve"> this reality is all the more critical.</w:t>
      </w:r>
      <w:r w:rsidR="001834C5" w:rsidRPr="0013463A">
        <w:t xml:space="preserve"> </w:t>
      </w:r>
    </w:p>
    <w:p w14:paraId="1934FE06" w14:textId="57DE2AB5" w:rsidR="00E023BD" w:rsidRPr="0013463A" w:rsidRDefault="00110E24">
      <w:pPr>
        <w:pStyle w:val="Paragraphe"/>
        <w:tabs>
          <w:tab w:val="clear" w:pos="567"/>
        </w:tabs>
      </w:pPr>
      <w:r w:rsidRPr="0013463A">
        <w:t xml:space="preserve">Moreover, the smiles on the faces of some of the COs while </w:t>
      </w:r>
      <w:r w:rsidR="00334736" w:rsidRPr="0013463A">
        <w:t>watching</w:t>
      </w:r>
      <w:r w:rsidRPr="0013463A">
        <w:t xml:space="preserve"> the video recordings speak volumes as to the apparent indifference among their ranks to the humiliating treatment Mr. Toussaint received.</w:t>
      </w:r>
      <w:r w:rsidR="001834C5" w:rsidRPr="0013463A">
        <w:t xml:space="preserve"> </w:t>
      </w:r>
    </w:p>
    <w:p w14:paraId="2101F77C" w14:textId="2E527A82" w:rsidR="00E023BD" w:rsidRPr="0013463A" w:rsidRDefault="00110E24">
      <w:pPr>
        <w:pStyle w:val="Paragraphe"/>
        <w:tabs>
          <w:tab w:val="clear" w:pos="567"/>
        </w:tabs>
      </w:pPr>
      <w:r w:rsidRPr="0013463A">
        <w:t>As for mental health problems, they obviously exist in prisons</w:t>
      </w:r>
      <w:r w:rsidR="003D642D">
        <w:t>,</w:t>
      </w:r>
      <w:r w:rsidR="00334736" w:rsidRPr="0013463A">
        <w:rPr>
          <w:vertAlign w:val="superscript"/>
        </w:rPr>
        <w:footnoteReference w:id="252"/>
      </w:r>
      <w:r w:rsidRPr="0013463A">
        <w:t xml:space="preserve"> and in </w:t>
      </w:r>
      <w:r w:rsidR="00334736" w:rsidRPr="0013463A">
        <w:t>some</w:t>
      </w:r>
      <w:r w:rsidRPr="0013463A">
        <w:t xml:space="preserve"> </w:t>
      </w:r>
      <w:r w:rsidR="008E7CE3" w:rsidRPr="0013463A">
        <w:t>circumstances</w:t>
      </w:r>
      <w:r w:rsidRPr="0013463A">
        <w:t xml:space="preserve"> undoubtedly require the </w:t>
      </w:r>
      <w:r w:rsidR="008E7CE3" w:rsidRPr="0013463A">
        <w:t>implementation</w:t>
      </w:r>
      <w:r w:rsidRPr="0013463A">
        <w:t xml:space="preserve"> of accommodation measures.</w:t>
      </w:r>
      <w:r w:rsidR="001834C5" w:rsidRPr="0013463A">
        <w:t xml:space="preserve"> </w:t>
      </w:r>
      <w:r w:rsidRPr="0013463A">
        <w:t>This dispute is an example of such a case.</w:t>
      </w:r>
      <w:r w:rsidR="001834C5" w:rsidRPr="0013463A">
        <w:t xml:space="preserve">  </w:t>
      </w:r>
    </w:p>
    <w:p w14:paraId="63801893" w14:textId="34AC61E6" w:rsidR="00E023BD" w:rsidRPr="0013463A" w:rsidRDefault="00110E24">
      <w:pPr>
        <w:pStyle w:val="Paragraphe"/>
        <w:tabs>
          <w:tab w:val="clear" w:pos="567"/>
        </w:tabs>
      </w:pPr>
      <w:r w:rsidRPr="0013463A">
        <w:t>If the Tribunal had not had the video evidence, it would have been difficult to believe Mr. Toussaint’s account, given how egregiously and inhuman</w:t>
      </w:r>
      <w:r w:rsidR="00334736" w:rsidRPr="0013463A">
        <w:t>e</w:t>
      </w:r>
      <w:r w:rsidRPr="0013463A">
        <w:t>ly he was treated on December 4, 2016.</w:t>
      </w:r>
    </w:p>
    <w:p w14:paraId="443BB903" w14:textId="1C37C604" w:rsidR="00E023BD" w:rsidRPr="0013463A" w:rsidRDefault="00110E24">
      <w:pPr>
        <w:pStyle w:val="Paragraphe"/>
        <w:tabs>
          <w:tab w:val="clear" w:pos="567"/>
        </w:tabs>
      </w:pPr>
      <w:r w:rsidRPr="0013463A">
        <w:t xml:space="preserve">The establishment of educational measures is imperative to prevent this type of misconduct from reoccurring behind these walls, where the public and the media </w:t>
      </w:r>
      <w:r w:rsidR="00334736" w:rsidRPr="0013463A">
        <w:t>are allowed</w:t>
      </w:r>
      <w:r w:rsidRPr="0013463A">
        <w:t xml:space="preserve"> no oversight at all</w:t>
      </w:r>
      <w:r w:rsidR="00352DF2">
        <w:t>:</w:t>
      </w:r>
    </w:p>
    <w:p w14:paraId="58F604BB" w14:textId="5434019E" w:rsidR="00334736" w:rsidRPr="0013463A" w:rsidRDefault="00334736" w:rsidP="00B14CAD">
      <w:pPr>
        <w:pStyle w:val="Citationenretrait"/>
        <w:rPr>
          <w:lang w:val="en-CA"/>
        </w:rPr>
      </w:pPr>
      <w:r w:rsidRPr="0013463A">
        <w:rPr>
          <w:lang w:val="en-CA"/>
        </w:rPr>
        <w:t>[</w:t>
      </w:r>
      <w:r w:rsidRPr="0013463A">
        <w:rPr>
          <w:smallCaps/>
          <w:lang w:val="en-CA"/>
        </w:rPr>
        <w:t>translation</w:t>
      </w:r>
      <w:r w:rsidRPr="0013463A">
        <w:rPr>
          <w:lang w:val="en-CA"/>
        </w:rPr>
        <w:t>]</w:t>
      </w:r>
    </w:p>
    <w:p w14:paraId="42357A5C" w14:textId="1DAD43AB" w:rsidR="00E023BD" w:rsidRPr="0013463A" w:rsidRDefault="00110E24" w:rsidP="00B14CAD">
      <w:pPr>
        <w:pStyle w:val="Citationenretrait"/>
        <w:rPr>
          <w:lang w:val="en-CA"/>
        </w:rPr>
      </w:pPr>
      <w:r w:rsidRPr="0013463A">
        <w:rPr>
          <w:lang w:val="en-CA"/>
        </w:rPr>
        <w:t>By definition, ... the nature of any closed custody environment is such that persons detained in it are necessarily in a vulnerable state, regardless of their sex, age, physical condition, life experience, or sentence length.</w:t>
      </w:r>
      <w:r w:rsidRPr="0013463A">
        <w:rPr>
          <w:rStyle w:val="Appelnotedebasdep"/>
          <w:lang w:val="en-CA"/>
        </w:rPr>
        <w:footnoteReference w:id="253"/>
      </w:r>
    </w:p>
    <w:p w14:paraId="18A40633" w14:textId="2CD96212" w:rsidR="005B261C" w:rsidRPr="0013463A" w:rsidRDefault="00110E24" w:rsidP="005B261C">
      <w:pPr>
        <w:pStyle w:val="Paragraphe"/>
        <w:numPr>
          <w:ilvl w:val="0"/>
          <w:numId w:val="0"/>
        </w:numPr>
        <w:rPr>
          <w:b/>
          <w:bCs/>
        </w:rPr>
      </w:pPr>
      <w:r w:rsidRPr="0013463A">
        <w:rPr>
          <w:b/>
          <w:bCs/>
        </w:rPr>
        <w:t>FOR THESE REASONS, THE TRIBUNAL:</w:t>
      </w:r>
      <w:r w:rsidR="001834C5" w:rsidRPr="0013463A">
        <w:rPr>
          <w:b/>
          <w:bCs/>
        </w:rPr>
        <w:t xml:space="preserve">  </w:t>
      </w:r>
    </w:p>
    <w:p w14:paraId="678E7FC8" w14:textId="0F1E5999" w:rsidR="005B261C" w:rsidRPr="0013463A" w:rsidRDefault="00110E24">
      <w:pPr>
        <w:pStyle w:val="Paragraphe"/>
        <w:tabs>
          <w:tab w:val="clear" w:pos="567"/>
        </w:tabs>
      </w:pPr>
      <w:r w:rsidRPr="0013463A">
        <w:rPr>
          <w:b/>
          <w:bCs/>
        </w:rPr>
        <w:t xml:space="preserve">GRANTS </w:t>
      </w:r>
      <w:r w:rsidRPr="0013463A">
        <w:t>the application in part;</w:t>
      </w:r>
    </w:p>
    <w:p w14:paraId="60C910C4" w14:textId="160D488C" w:rsidR="005B261C" w:rsidRPr="0013463A" w:rsidRDefault="00110E24">
      <w:pPr>
        <w:pStyle w:val="Paragraphe"/>
        <w:tabs>
          <w:tab w:val="clear" w:pos="567"/>
        </w:tabs>
      </w:pPr>
      <w:r w:rsidRPr="0013463A">
        <w:rPr>
          <w:b/>
        </w:rPr>
        <w:t>CONDEMNS</w:t>
      </w:r>
      <w:r w:rsidRPr="0013463A">
        <w:rPr>
          <w:bCs/>
        </w:rPr>
        <w:t xml:space="preserve"> the defendants, the Attorney General of Quebec, Kevin Leclerc, Jean-René Brousseau, Hugues Comeau-Bastien, Jean-Bruno Gagnon, Frédéric Bouchard, Michael Dubé-Blouin, Mykel Brousseau, and Sébastien Robitaille, </w:t>
      </w:r>
      <w:r w:rsidR="00942631" w:rsidRPr="0013463A">
        <w:rPr>
          <w:bCs/>
        </w:rPr>
        <w:t>solidarily</w:t>
      </w:r>
      <w:r w:rsidR="00942631">
        <w:rPr>
          <w:bCs/>
        </w:rPr>
        <w:t>,</w:t>
      </w:r>
      <w:r w:rsidR="00942631" w:rsidRPr="0013463A">
        <w:rPr>
          <w:bCs/>
        </w:rPr>
        <w:t xml:space="preserve"> </w:t>
      </w:r>
      <w:r w:rsidRPr="0013463A">
        <w:rPr>
          <w:bCs/>
        </w:rPr>
        <w:t xml:space="preserve">to pay the complainant, Samuel Toussaint, the amount of $40,000 in moral damages, plus interest at the legal rate and the additional indemnity under article 1619 of the </w:t>
      </w:r>
      <w:r w:rsidRPr="0013463A">
        <w:rPr>
          <w:bCs/>
          <w:i/>
          <w:iCs/>
        </w:rPr>
        <w:t>Civil Code of Québec</w:t>
      </w:r>
      <w:r w:rsidRPr="0013463A">
        <w:rPr>
          <w:bCs/>
        </w:rPr>
        <w:t xml:space="preserve"> as of August 28, 2020;</w:t>
      </w:r>
    </w:p>
    <w:p w14:paraId="1C952BBD" w14:textId="1EED833E" w:rsidR="005B261C" w:rsidRPr="0013463A" w:rsidRDefault="00110E24">
      <w:pPr>
        <w:pStyle w:val="Paragraphe"/>
        <w:tabs>
          <w:tab w:val="clear" w:pos="567"/>
        </w:tabs>
      </w:pPr>
      <w:r w:rsidRPr="0013463A">
        <w:rPr>
          <w:b/>
          <w:bCs/>
        </w:rPr>
        <w:t xml:space="preserve">CONDEMNS </w:t>
      </w:r>
      <w:r w:rsidRPr="0013463A">
        <w:t xml:space="preserve">Kevin Leclerc to pay the complainant the amount of $1,500 in punitive damages, plus interest at the legal rate and the additional indemnity under article 1619 of the </w:t>
      </w:r>
      <w:r w:rsidRPr="0013463A">
        <w:rPr>
          <w:i/>
          <w:iCs/>
        </w:rPr>
        <w:t>Civil Code of Québec</w:t>
      </w:r>
      <w:r w:rsidRPr="0013463A">
        <w:t>, as of the date of this judgment;</w:t>
      </w:r>
    </w:p>
    <w:p w14:paraId="21BBA0CB" w14:textId="16D0FD14" w:rsidR="005B261C" w:rsidRPr="0013463A" w:rsidRDefault="00110E24">
      <w:pPr>
        <w:pStyle w:val="Paragraphe"/>
        <w:tabs>
          <w:tab w:val="clear" w:pos="567"/>
        </w:tabs>
      </w:pPr>
      <w:r w:rsidRPr="0013463A">
        <w:rPr>
          <w:b/>
          <w:bCs/>
        </w:rPr>
        <w:t>DISMISSES</w:t>
      </w:r>
      <w:r w:rsidRPr="0013463A">
        <w:t xml:space="preserve"> the application brought against the defendant Jonathan</w:t>
      </w:r>
      <w:r w:rsidRPr="0013463A">
        <w:rPr>
          <w:b/>
          <w:bCs/>
        </w:rPr>
        <w:t xml:space="preserve"> </w:t>
      </w:r>
      <w:r w:rsidRPr="00D22CA1">
        <w:t>Belcourt;</w:t>
      </w:r>
    </w:p>
    <w:p w14:paraId="361448E3" w14:textId="10F518BA" w:rsidR="005B261C" w:rsidRPr="003574EC" w:rsidRDefault="00110E24">
      <w:pPr>
        <w:pStyle w:val="Paragraphe"/>
        <w:tabs>
          <w:tab w:val="clear" w:pos="567"/>
        </w:tabs>
        <w:rPr>
          <w:lang w:val="fr-CA"/>
        </w:rPr>
      </w:pPr>
      <w:r w:rsidRPr="00D22CA1">
        <w:rPr>
          <w:b/>
          <w:lang w:val="fr-CA"/>
        </w:rPr>
        <w:t>ORDERS</w:t>
      </w:r>
      <w:r w:rsidRPr="00D22CA1">
        <w:rPr>
          <w:bCs/>
          <w:lang w:val="fr-CA"/>
        </w:rPr>
        <w:t xml:space="preserve"> the defendant Attorney General of Québec (Ministère de la Sécurité publique)</w:t>
      </w:r>
      <w:r w:rsidR="00743AAF">
        <w:rPr>
          <w:bCs/>
          <w:lang w:val="fr-CA"/>
        </w:rPr>
        <w:t>:</w:t>
      </w:r>
    </w:p>
    <w:p w14:paraId="433D0EB2" w14:textId="0682F519" w:rsidR="005B261C" w:rsidRPr="0013463A" w:rsidRDefault="00743AAF" w:rsidP="005B261C">
      <w:pPr>
        <w:pStyle w:val="Paragraphe"/>
        <w:numPr>
          <w:ilvl w:val="0"/>
          <w:numId w:val="0"/>
        </w:numPr>
        <w:tabs>
          <w:tab w:val="clear" w:pos="567"/>
        </w:tabs>
        <w:ind w:left="734"/>
      </w:pPr>
      <w:r>
        <w:rPr>
          <w:b/>
          <w:bCs/>
        </w:rPr>
        <w:t>TO DEVELOP</w:t>
      </w:r>
      <w:r w:rsidR="00110E24" w:rsidRPr="0013463A">
        <w:rPr>
          <w:b/>
          <w:bCs/>
        </w:rPr>
        <w:t xml:space="preserve"> AND IMPLEMENT </w:t>
      </w:r>
      <w:r w:rsidR="00110E24" w:rsidRPr="0013463A">
        <w:t xml:space="preserve">a strategic plan to address </w:t>
      </w:r>
      <w:r>
        <w:t>discriminatory</w:t>
      </w:r>
      <w:r w:rsidR="00110E24" w:rsidRPr="0013463A">
        <w:t xml:space="preserve"> profiling that includes the following elements</w:t>
      </w:r>
      <w:r w:rsidR="00110E24" w:rsidRPr="0013463A">
        <w:rPr>
          <w:b/>
          <w:bCs/>
        </w:rPr>
        <w:t>:</w:t>
      </w:r>
    </w:p>
    <w:p w14:paraId="1869A187" w14:textId="04FFB91D" w:rsidR="005B261C" w:rsidRPr="0013463A" w:rsidRDefault="00110E24" w:rsidP="00C10BBE">
      <w:pPr>
        <w:pStyle w:val="Paragraphe"/>
        <w:numPr>
          <w:ilvl w:val="0"/>
          <w:numId w:val="14"/>
        </w:numPr>
        <w:tabs>
          <w:tab w:val="clear" w:pos="567"/>
        </w:tabs>
        <w:ind w:left="993"/>
      </w:pPr>
      <w:r w:rsidRPr="0013463A">
        <w:t xml:space="preserve">Reference to the existence of the phenomenon of </w:t>
      </w:r>
      <w:r w:rsidR="00BB0F72">
        <w:t>discriminatory</w:t>
      </w:r>
      <w:r w:rsidRPr="0013463A">
        <w:t xml:space="preserve"> profiling in prison environments and the possibility of conscious or unconscious prejudice during such interventions;</w:t>
      </w:r>
    </w:p>
    <w:p w14:paraId="276669DF" w14:textId="6A1B7F9C" w:rsidR="005B261C" w:rsidRPr="0013463A" w:rsidRDefault="00110E24" w:rsidP="00C10BBE">
      <w:pPr>
        <w:pStyle w:val="Paragraphe"/>
        <w:numPr>
          <w:ilvl w:val="0"/>
          <w:numId w:val="14"/>
        </w:numPr>
        <w:tabs>
          <w:tab w:val="clear" w:pos="567"/>
        </w:tabs>
        <w:ind w:left="993"/>
      </w:pPr>
      <w:r w:rsidRPr="0013463A">
        <w:t>The principal types of prejudice associated with the various</w:t>
      </w:r>
      <w:r w:rsidR="00352DF2">
        <w:t xml:space="preserve"> </w:t>
      </w:r>
      <w:r w:rsidR="00352DF2">
        <w:rPr>
          <w:i/>
          <w:iCs/>
        </w:rPr>
        <w:t>Charter</w:t>
      </w:r>
      <w:r w:rsidR="006F2B23">
        <w:t>-</w:t>
      </w:r>
      <w:r w:rsidRPr="0013463A">
        <w:t xml:space="preserve">protected </w:t>
      </w:r>
      <w:r w:rsidR="00352DF2">
        <w:t>groups</w:t>
      </w:r>
      <w:r w:rsidRPr="0013463A">
        <w:t>, including Black people in particular;</w:t>
      </w:r>
    </w:p>
    <w:p w14:paraId="1EF861D6" w14:textId="012B6EE6" w:rsidR="005B261C" w:rsidRPr="0013463A" w:rsidRDefault="00110E24" w:rsidP="00C10BBE">
      <w:pPr>
        <w:pStyle w:val="Paragraphe"/>
        <w:numPr>
          <w:ilvl w:val="0"/>
          <w:numId w:val="14"/>
        </w:numPr>
        <w:tabs>
          <w:tab w:val="clear" w:pos="567"/>
        </w:tabs>
        <w:ind w:left="993"/>
      </w:pPr>
      <w:r w:rsidRPr="0013463A">
        <w:t xml:space="preserve">The principal signs of differential or unusual treatment that are characteristic of </w:t>
      </w:r>
      <w:r w:rsidR="00BB0F72">
        <w:t>discriminatory</w:t>
      </w:r>
      <w:r w:rsidRPr="0013463A">
        <w:t xml:space="preserve"> profiling in interventions in prison </w:t>
      </w:r>
      <w:r w:rsidR="00D247D1">
        <w:t>environments</w:t>
      </w:r>
      <w:r w:rsidRPr="0013463A">
        <w:t>;</w:t>
      </w:r>
    </w:p>
    <w:p w14:paraId="39CE0FB5" w14:textId="5DE1F094" w:rsidR="005B261C" w:rsidRPr="0013463A" w:rsidRDefault="00110E24" w:rsidP="00C10BBE">
      <w:pPr>
        <w:pStyle w:val="Paragraphe"/>
        <w:numPr>
          <w:ilvl w:val="0"/>
          <w:numId w:val="14"/>
        </w:numPr>
        <w:tabs>
          <w:tab w:val="clear" w:pos="567"/>
        </w:tabs>
        <w:ind w:left="993"/>
      </w:pPr>
      <w:r w:rsidRPr="0013463A">
        <w:t xml:space="preserve">The identification of the most effective measures to counter discriminatory profiling in interventions in prison </w:t>
      </w:r>
      <w:r w:rsidR="00D247D1">
        <w:t>environments</w:t>
      </w:r>
      <w:r w:rsidRPr="0013463A">
        <w:t>;</w:t>
      </w:r>
      <w:r w:rsidR="00BB0F72">
        <w:t xml:space="preserve"> and</w:t>
      </w:r>
    </w:p>
    <w:p w14:paraId="313D58BD" w14:textId="765E9872" w:rsidR="005B261C" w:rsidRPr="0013463A" w:rsidRDefault="00110E24" w:rsidP="00C10BBE">
      <w:pPr>
        <w:pStyle w:val="Paragraphe"/>
        <w:numPr>
          <w:ilvl w:val="0"/>
          <w:numId w:val="14"/>
        </w:numPr>
        <w:tabs>
          <w:tab w:val="clear" w:pos="567"/>
        </w:tabs>
        <w:ind w:left="993"/>
      </w:pPr>
      <w:r w:rsidRPr="0013463A">
        <w:t xml:space="preserve">The consequences of the phenomenon of </w:t>
      </w:r>
      <w:r w:rsidR="00BB0F72">
        <w:t>discriminatory</w:t>
      </w:r>
      <w:r w:rsidRPr="0013463A">
        <w:t xml:space="preserve"> profiling on </w:t>
      </w:r>
      <w:r w:rsidRPr="003574EC">
        <w:rPr>
          <w:i/>
          <w:iCs/>
        </w:rPr>
        <w:t>Charter</w:t>
      </w:r>
      <w:r w:rsidRPr="0013463A">
        <w:t>-protected persons and groups;</w:t>
      </w:r>
      <w:r w:rsidR="001834C5" w:rsidRPr="0013463A">
        <w:t xml:space="preserve"> </w:t>
      </w:r>
    </w:p>
    <w:p w14:paraId="1982172A" w14:textId="30971BDC" w:rsidR="005B261C" w:rsidRPr="0013463A" w:rsidRDefault="00110E24">
      <w:pPr>
        <w:pStyle w:val="Paragraphe"/>
        <w:tabs>
          <w:tab w:val="clear" w:pos="567"/>
        </w:tabs>
      </w:pPr>
      <w:r w:rsidRPr="0013463A">
        <w:rPr>
          <w:b/>
          <w:bCs/>
        </w:rPr>
        <w:t xml:space="preserve">TO DISSEMINATE </w:t>
      </w:r>
      <w:r w:rsidRPr="0013463A">
        <w:t xml:space="preserve">this strategic plan or any formal policy or </w:t>
      </w:r>
      <w:r w:rsidR="003574EC">
        <w:t>instruction</w:t>
      </w:r>
      <w:r w:rsidRPr="0013463A">
        <w:t xml:space="preserve"> aimed at countering discriminatory profiling to all correctional officers (COs) and all other current and future employees, supervisors, and managers of the </w:t>
      </w:r>
      <w:r w:rsidR="00352DF2" w:rsidRPr="00352DF2">
        <w:t>Établissement de détention de Québec</w:t>
      </w:r>
      <w:r w:rsidR="00352DF2">
        <w:t xml:space="preserve"> </w:t>
      </w:r>
      <w:r w:rsidRPr="0013463A">
        <w:t xml:space="preserve">and other </w:t>
      </w:r>
      <w:r w:rsidR="008A6C9B">
        <w:t>correctional</w:t>
      </w:r>
      <w:r w:rsidRPr="0013463A">
        <w:t xml:space="preserve"> facilities under the authority of the Ministère de la Sécurité publique</w:t>
      </w:r>
      <w:r w:rsidR="00912513" w:rsidRPr="0013463A">
        <w:t>,</w:t>
      </w:r>
      <w:r w:rsidRPr="0013463A">
        <w:t xml:space="preserve"> and </w:t>
      </w:r>
      <w:r w:rsidRPr="0013463A">
        <w:rPr>
          <w:b/>
          <w:bCs/>
        </w:rPr>
        <w:t>TO SEND</w:t>
      </w:r>
      <w:r w:rsidRPr="0013463A">
        <w:t xml:space="preserve"> a copy thereof to the Commission, the whole within one (1) year from the date of this judgment;</w:t>
      </w:r>
    </w:p>
    <w:p w14:paraId="2EBF6B31" w14:textId="67CD61CA" w:rsidR="005B261C" w:rsidRPr="0013463A" w:rsidRDefault="00110E24">
      <w:pPr>
        <w:pStyle w:val="Paragraphe"/>
        <w:tabs>
          <w:tab w:val="clear" w:pos="567"/>
        </w:tabs>
      </w:pPr>
      <w:r w:rsidRPr="0013463A">
        <w:rPr>
          <w:b/>
          <w:bCs/>
        </w:rPr>
        <w:t xml:space="preserve">TO OFFER, </w:t>
      </w:r>
      <w:r w:rsidRPr="0013463A">
        <w:t xml:space="preserve">within one (1) year of this judgment and subsequently on a regular basis, a training </w:t>
      </w:r>
      <w:r w:rsidR="00B348E2">
        <w:t>and/</w:t>
      </w:r>
      <w:r w:rsidRPr="0013463A">
        <w:t xml:space="preserve">or </w:t>
      </w:r>
      <w:r w:rsidR="003425BC">
        <w:t xml:space="preserve">awareness-raising </w:t>
      </w:r>
      <w:r w:rsidRPr="0013463A">
        <w:t>session on discriminatory profiling to all correctional officers (C</w:t>
      </w:r>
      <w:r w:rsidR="00912513" w:rsidRPr="0013463A">
        <w:t>O</w:t>
      </w:r>
      <w:r w:rsidRPr="0013463A">
        <w:t xml:space="preserve">s) and all other current and future employees, supervisors, and managers of the </w:t>
      </w:r>
      <w:r w:rsidR="00352DF2" w:rsidRPr="00352DF2">
        <w:t>Établissement de détention de Québec</w:t>
      </w:r>
      <w:r w:rsidR="00352DF2">
        <w:t xml:space="preserve"> </w:t>
      </w:r>
      <w:r w:rsidRPr="0013463A">
        <w:t xml:space="preserve">and of the other </w:t>
      </w:r>
      <w:r w:rsidR="008A6C9B">
        <w:t>correctional</w:t>
      </w:r>
      <w:r w:rsidRPr="0013463A">
        <w:t xml:space="preserve"> facilities under the authority of the Ministère de la Sécurité publique that inclu</w:t>
      </w:r>
      <w:r w:rsidR="00912513" w:rsidRPr="0013463A">
        <w:t>d</w:t>
      </w:r>
      <w:r w:rsidRPr="0013463A">
        <w:t>es the following elements:</w:t>
      </w:r>
    </w:p>
    <w:p w14:paraId="008014D7" w14:textId="43307C6C" w:rsidR="005B261C" w:rsidRPr="0013463A" w:rsidRDefault="00110E24" w:rsidP="00C10BBE">
      <w:pPr>
        <w:pStyle w:val="Paragraphe"/>
        <w:numPr>
          <w:ilvl w:val="0"/>
          <w:numId w:val="21"/>
        </w:numPr>
        <w:tabs>
          <w:tab w:val="clear" w:pos="567"/>
        </w:tabs>
        <w:ind w:left="993"/>
      </w:pPr>
      <w:r w:rsidRPr="0013463A">
        <w:t>A review of the case law on discriminatory profiling;</w:t>
      </w:r>
    </w:p>
    <w:p w14:paraId="4CAC2E02" w14:textId="4D2D7266" w:rsidR="005B261C" w:rsidRPr="0013463A" w:rsidRDefault="00110E24" w:rsidP="00C10BBE">
      <w:pPr>
        <w:pStyle w:val="Paragraphe"/>
        <w:numPr>
          <w:ilvl w:val="0"/>
          <w:numId w:val="21"/>
        </w:numPr>
        <w:tabs>
          <w:tab w:val="clear" w:pos="567"/>
        </w:tabs>
        <w:ind w:left="993"/>
      </w:pPr>
      <w:r w:rsidRPr="0013463A">
        <w:t xml:space="preserve">A review of the literature on the social context of </w:t>
      </w:r>
      <w:r w:rsidR="001972C5">
        <w:t>discriminatory</w:t>
      </w:r>
      <w:r w:rsidRPr="0013463A">
        <w:t xml:space="preserve"> profiling in interventions in prison </w:t>
      </w:r>
      <w:r w:rsidR="00D247D1">
        <w:t>environments</w:t>
      </w:r>
      <w:r w:rsidRPr="0013463A">
        <w:t>;</w:t>
      </w:r>
    </w:p>
    <w:p w14:paraId="046DDB86" w14:textId="5810E69B" w:rsidR="005B261C" w:rsidRPr="0013463A" w:rsidRDefault="00110E24" w:rsidP="00C10BBE">
      <w:pPr>
        <w:pStyle w:val="Paragraphe"/>
        <w:numPr>
          <w:ilvl w:val="0"/>
          <w:numId w:val="21"/>
        </w:numPr>
        <w:tabs>
          <w:tab w:val="clear" w:pos="567"/>
        </w:tabs>
        <w:ind w:left="993"/>
      </w:pPr>
      <w:r w:rsidRPr="0013463A">
        <w:t xml:space="preserve">Reference to the existence of the phenomenon of discriminatory profiling in prison </w:t>
      </w:r>
      <w:r w:rsidR="00D247D1">
        <w:t>environments</w:t>
      </w:r>
      <w:r w:rsidRPr="0013463A">
        <w:t xml:space="preserve"> and the possibility of conscious or unconscious prejudice during such interventions;</w:t>
      </w:r>
    </w:p>
    <w:p w14:paraId="058B45A0" w14:textId="115D649D" w:rsidR="005B261C" w:rsidRPr="0013463A" w:rsidRDefault="00110E24" w:rsidP="00C10BBE">
      <w:pPr>
        <w:pStyle w:val="Paragraphe"/>
        <w:numPr>
          <w:ilvl w:val="0"/>
          <w:numId w:val="21"/>
        </w:numPr>
        <w:tabs>
          <w:tab w:val="clear" w:pos="567"/>
        </w:tabs>
        <w:ind w:left="993"/>
      </w:pPr>
      <w:r w:rsidRPr="0013463A">
        <w:t xml:space="preserve">The principal types of prejudice associated with the various </w:t>
      </w:r>
      <w:r w:rsidRPr="0013463A">
        <w:rPr>
          <w:i/>
          <w:iCs/>
        </w:rPr>
        <w:t>Charter</w:t>
      </w:r>
      <w:r w:rsidRPr="0013463A">
        <w:t>-protected groups, including Black people in particular;</w:t>
      </w:r>
    </w:p>
    <w:p w14:paraId="4AFAC977" w14:textId="50077CA7" w:rsidR="005B261C" w:rsidRPr="0013463A" w:rsidRDefault="00110E24" w:rsidP="00C10BBE">
      <w:pPr>
        <w:pStyle w:val="Paragraphe"/>
        <w:numPr>
          <w:ilvl w:val="0"/>
          <w:numId w:val="21"/>
        </w:numPr>
        <w:tabs>
          <w:tab w:val="clear" w:pos="567"/>
        </w:tabs>
        <w:ind w:left="993"/>
      </w:pPr>
      <w:r w:rsidRPr="0013463A">
        <w:t xml:space="preserve">The principal signs of differential or unusual treatment that are characteristic of discriminatory profiling in interventions in prison </w:t>
      </w:r>
      <w:r w:rsidR="00D247D1">
        <w:t>environments</w:t>
      </w:r>
      <w:r w:rsidRPr="0013463A">
        <w:t>;</w:t>
      </w:r>
    </w:p>
    <w:p w14:paraId="120FB8DE" w14:textId="2237E7CC" w:rsidR="005B261C" w:rsidRPr="0013463A" w:rsidRDefault="00110E24" w:rsidP="00C10BBE">
      <w:pPr>
        <w:pStyle w:val="Paragraphe"/>
        <w:numPr>
          <w:ilvl w:val="0"/>
          <w:numId w:val="21"/>
        </w:numPr>
        <w:tabs>
          <w:tab w:val="clear" w:pos="567"/>
        </w:tabs>
        <w:ind w:left="993"/>
      </w:pPr>
      <w:r w:rsidRPr="0013463A">
        <w:t xml:space="preserve">The identification of the most effective measures to counter discriminatory profiling in interventions in prison </w:t>
      </w:r>
      <w:r w:rsidR="00D247D1">
        <w:t>environments</w:t>
      </w:r>
      <w:r w:rsidRPr="0013463A">
        <w:t>;</w:t>
      </w:r>
    </w:p>
    <w:p w14:paraId="0033DFF0" w14:textId="288D7E9A" w:rsidR="005B261C" w:rsidRPr="0013463A" w:rsidRDefault="00110E24" w:rsidP="00C10BBE">
      <w:pPr>
        <w:pStyle w:val="Paragraphe"/>
        <w:numPr>
          <w:ilvl w:val="0"/>
          <w:numId w:val="21"/>
        </w:numPr>
        <w:tabs>
          <w:tab w:val="clear" w:pos="567"/>
        </w:tabs>
        <w:ind w:left="993"/>
      </w:pPr>
      <w:r w:rsidRPr="0013463A">
        <w:t xml:space="preserve">The consequences of the phenomenon of discriminatory profiling on </w:t>
      </w:r>
      <w:r w:rsidRPr="0013463A">
        <w:rPr>
          <w:i/>
          <w:iCs/>
        </w:rPr>
        <w:t>Charter</w:t>
      </w:r>
      <w:r w:rsidRPr="0013463A">
        <w:t>-protected persons and groups;</w:t>
      </w:r>
      <w:r w:rsidR="001834C5" w:rsidRPr="0013463A">
        <w:t xml:space="preserve"> </w:t>
      </w:r>
    </w:p>
    <w:p w14:paraId="6122B202" w14:textId="78BAFB6A" w:rsidR="005B261C" w:rsidRPr="0013463A" w:rsidRDefault="00110E24">
      <w:pPr>
        <w:pStyle w:val="Paragraphe"/>
        <w:tabs>
          <w:tab w:val="clear" w:pos="567"/>
        </w:tabs>
      </w:pPr>
      <w:r w:rsidRPr="003425BC">
        <w:rPr>
          <w:b/>
        </w:rPr>
        <w:t>RECOMMENDS</w:t>
      </w:r>
      <w:r w:rsidRPr="0013463A">
        <w:rPr>
          <w:bCs/>
        </w:rPr>
        <w:t xml:space="preserve"> that, within the limits of its management rights as an employer, the Ministère de la Sécurité publique also provide a formal process to assess the knowledge acquired through the training or </w:t>
      </w:r>
      <w:r w:rsidR="00D51BB3">
        <w:rPr>
          <w:bCs/>
        </w:rPr>
        <w:t>awareness-raising</w:t>
      </w:r>
      <w:r w:rsidRPr="0013463A">
        <w:rPr>
          <w:bCs/>
        </w:rPr>
        <w:t xml:space="preserve"> session.</w:t>
      </w:r>
    </w:p>
    <w:p w14:paraId="0B13DCEF" w14:textId="1942F1EE" w:rsidR="005B261C" w:rsidRPr="0013463A" w:rsidRDefault="003425BC">
      <w:pPr>
        <w:pStyle w:val="Paragraphe"/>
        <w:tabs>
          <w:tab w:val="clear" w:pos="567"/>
        </w:tabs>
      </w:pPr>
      <w:r>
        <w:rPr>
          <w:b/>
        </w:rPr>
        <w:t>UPHOLDS</w:t>
      </w:r>
      <w:r w:rsidR="00110E24" w:rsidRPr="0013463A">
        <w:rPr>
          <w:bCs/>
        </w:rPr>
        <w:t xml:space="preserve"> the orders to keep Exhibits P-5, P-6, P-7, D-12, and D-13 under seal and to </w:t>
      </w:r>
      <w:r>
        <w:rPr>
          <w:bCs/>
        </w:rPr>
        <w:t xml:space="preserve">allow only the parties </w:t>
      </w:r>
      <w:r w:rsidR="001C1F06">
        <w:rPr>
          <w:bCs/>
        </w:rPr>
        <w:t>and their counsel to consult them</w:t>
      </w:r>
      <w:r w:rsidR="00110E24" w:rsidRPr="0013463A">
        <w:rPr>
          <w:bCs/>
        </w:rPr>
        <w:t>.</w:t>
      </w:r>
    </w:p>
    <w:p w14:paraId="55F2E2E4" w14:textId="254E42A9" w:rsidR="005B261C" w:rsidRPr="0013463A" w:rsidRDefault="00110E24">
      <w:pPr>
        <w:pStyle w:val="Paragraphe"/>
        <w:tabs>
          <w:tab w:val="clear" w:pos="567"/>
        </w:tabs>
      </w:pPr>
      <w:r w:rsidRPr="0013463A">
        <w:rPr>
          <w:b/>
          <w:bCs/>
        </w:rPr>
        <w:t xml:space="preserve">WITH LEGAL COSTS </w:t>
      </w:r>
      <w:r w:rsidRPr="0013463A">
        <w:t>in favour of the plaintiff, including expert fees.</w:t>
      </w:r>
    </w:p>
    <w:tbl>
      <w:tblPr>
        <w:tblW w:w="9505" w:type="dxa"/>
        <w:tblLayout w:type="fixed"/>
        <w:tblCellMar>
          <w:left w:w="70" w:type="dxa"/>
          <w:right w:w="70" w:type="dxa"/>
        </w:tblCellMar>
        <w:tblLook w:val="0000" w:firstRow="0" w:lastRow="0" w:firstColumn="0" w:lastColumn="0" w:noHBand="0" w:noVBand="0"/>
      </w:tblPr>
      <w:tblGrid>
        <w:gridCol w:w="4867"/>
        <w:gridCol w:w="4638"/>
      </w:tblGrid>
      <w:tr w:rsidR="00A02E1C" w:rsidRPr="00B22AE6" w14:paraId="12179A45" w14:textId="77777777" w:rsidTr="00E728B8">
        <w:trPr>
          <w:trHeight w:val="576"/>
        </w:trPr>
        <w:tc>
          <w:tcPr>
            <w:tcW w:w="9505" w:type="dxa"/>
            <w:gridSpan w:val="2"/>
          </w:tcPr>
          <w:p w14:paraId="629F3DED" w14:textId="77777777" w:rsidR="00D025F2" w:rsidRPr="0013463A" w:rsidRDefault="00D025F2">
            <w:pPr>
              <w:keepNext/>
              <w:keepLines/>
              <w:rPr>
                <w:lang w:val="en-CA"/>
              </w:rPr>
            </w:pPr>
          </w:p>
        </w:tc>
      </w:tr>
      <w:tr w:rsidR="00A02E1C" w:rsidRPr="00B22AE6" w14:paraId="026B8F0F" w14:textId="77777777" w:rsidTr="00E728B8">
        <w:tblPrEx>
          <w:tblCellMar>
            <w:left w:w="0" w:type="dxa"/>
            <w:right w:w="0" w:type="dxa"/>
          </w:tblCellMar>
        </w:tblPrEx>
        <w:trPr>
          <w:cantSplit/>
        </w:trPr>
        <w:tc>
          <w:tcPr>
            <w:tcW w:w="4867" w:type="dxa"/>
          </w:tcPr>
          <w:p w14:paraId="2E86157F" w14:textId="77777777" w:rsidR="00D025F2" w:rsidRPr="0013463A" w:rsidRDefault="00D025F2">
            <w:pPr>
              <w:rPr>
                <w:lang w:val="en-CA"/>
              </w:rPr>
            </w:pPr>
          </w:p>
        </w:tc>
        <w:tc>
          <w:tcPr>
            <w:tcW w:w="4638" w:type="dxa"/>
          </w:tcPr>
          <w:p w14:paraId="68F3671A" w14:textId="77777777" w:rsidR="00D025F2" w:rsidRPr="0013463A" w:rsidRDefault="001834C5">
            <w:pPr>
              <w:pStyle w:val="zSoquijdatSignature3Juge"/>
              <w:rPr>
                <w:lang w:val="en-CA"/>
              </w:rPr>
            </w:pPr>
            <w:r w:rsidRPr="0013463A">
              <w:rPr>
                <w:lang w:val="en-CA"/>
              </w:rPr>
              <w:t>__________________________________</w:t>
            </w:r>
          </w:p>
          <w:p w14:paraId="5CC7329A" w14:textId="6F051A8A" w:rsidR="00D025F2" w:rsidRPr="0013463A" w:rsidRDefault="00110E24">
            <w:pPr>
              <w:pStyle w:val="zSoquijdatSignature3Juge"/>
              <w:rPr>
                <w:b/>
                <w:lang w:val="en-CA"/>
              </w:rPr>
            </w:pPr>
            <w:r w:rsidRPr="0013463A">
              <w:rPr>
                <w:b/>
                <w:caps/>
                <w:lang w:val="en-CA"/>
              </w:rPr>
              <w:t>CHRISTIAN BRUNELLE</w:t>
            </w:r>
          </w:p>
          <w:p w14:paraId="60ED15D6" w14:textId="532DF0A5" w:rsidR="00E728B8" w:rsidRPr="0013463A" w:rsidRDefault="00110E24">
            <w:pPr>
              <w:pStyle w:val="zSoquijdatSignature3Juge"/>
              <w:rPr>
                <w:lang w:val="en-CA"/>
              </w:rPr>
            </w:pPr>
            <w:r w:rsidRPr="0013463A">
              <w:rPr>
                <w:lang w:val="en-CA"/>
              </w:rPr>
              <w:t>Judge of the Human Rights Tribunal</w:t>
            </w:r>
          </w:p>
        </w:tc>
      </w:tr>
      <w:tr w:rsidR="00A02E1C" w:rsidRPr="00B22AE6" w14:paraId="264E9542" w14:textId="77777777" w:rsidTr="00E728B8">
        <w:tc>
          <w:tcPr>
            <w:tcW w:w="9505" w:type="dxa"/>
            <w:gridSpan w:val="2"/>
          </w:tcPr>
          <w:p w14:paraId="735BDD88" w14:textId="77777777" w:rsidR="00D025F2" w:rsidRPr="0013463A" w:rsidRDefault="00D025F2">
            <w:pPr>
              <w:rPr>
                <w:lang w:val="en-CA"/>
              </w:rPr>
            </w:pPr>
          </w:p>
        </w:tc>
      </w:tr>
      <w:tr w:rsidR="00A02E1C" w:rsidRPr="00B22AE6" w14:paraId="65731658" w14:textId="77777777" w:rsidTr="00E728B8">
        <w:trPr>
          <w:cantSplit/>
        </w:trPr>
        <w:tc>
          <w:tcPr>
            <w:tcW w:w="9505" w:type="dxa"/>
            <w:gridSpan w:val="2"/>
          </w:tcPr>
          <w:p w14:paraId="2FC0D048" w14:textId="77777777" w:rsidR="006E760B" w:rsidRPr="0013463A" w:rsidRDefault="006E760B" w:rsidP="00F16DAF">
            <w:pPr>
              <w:pStyle w:val="zSoquijdatNomProcureurDem"/>
              <w:rPr>
                <w:b/>
                <w:bCs/>
                <w:lang w:val="en-CA"/>
              </w:rPr>
            </w:pPr>
          </w:p>
          <w:p w14:paraId="130322B1" w14:textId="77777777" w:rsidR="006E760B" w:rsidRPr="0013463A" w:rsidRDefault="006E760B" w:rsidP="00F16DAF">
            <w:pPr>
              <w:pStyle w:val="zSoquijdatNomProcureurDem"/>
              <w:rPr>
                <w:b/>
                <w:bCs/>
                <w:lang w:val="en-CA"/>
              </w:rPr>
            </w:pPr>
          </w:p>
          <w:p w14:paraId="7A568D2E" w14:textId="3AFF8388" w:rsidR="00D025F2" w:rsidRPr="0013463A" w:rsidRDefault="00110E24" w:rsidP="00F16DAF">
            <w:pPr>
              <w:pStyle w:val="zSoquijdatNomProcureurDem"/>
              <w:rPr>
                <w:b/>
                <w:bCs/>
                <w:lang w:val="en-CA"/>
              </w:rPr>
            </w:pPr>
            <w:r w:rsidRPr="0013463A">
              <w:rPr>
                <w:b/>
                <w:bCs/>
                <w:lang w:val="en-CA"/>
              </w:rPr>
              <w:t>M</w:t>
            </w:r>
            <w:r w:rsidR="00081747" w:rsidRPr="0013463A">
              <w:rPr>
                <w:b/>
                <w:bCs/>
                <w:lang w:val="en-CA"/>
              </w:rPr>
              <w:t xml:space="preserve">tre </w:t>
            </w:r>
            <w:r w:rsidRPr="0013463A">
              <w:rPr>
                <w:b/>
                <w:bCs/>
                <w:lang w:val="en-CA"/>
              </w:rPr>
              <w:t>Lysiane Clément-Major and M</w:t>
            </w:r>
            <w:r w:rsidR="00912513" w:rsidRPr="0013463A">
              <w:rPr>
                <w:b/>
                <w:bCs/>
                <w:lang w:val="en-CA"/>
              </w:rPr>
              <w:t>tre</w:t>
            </w:r>
            <w:r w:rsidRPr="0013463A">
              <w:rPr>
                <w:b/>
                <w:bCs/>
                <w:lang w:val="en-CA"/>
              </w:rPr>
              <w:t xml:space="preserve"> Erin Sandberg</w:t>
            </w:r>
          </w:p>
        </w:tc>
      </w:tr>
      <w:tr w:rsidR="00A02E1C" w:rsidRPr="0013463A" w14:paraId="5C20C462" w14:textId="77777777" w:rsidTr="00E728B8">
        <w:trPr>
          <w:cantSplit/>
        </w:trPr>
        <w:tc>
          <w:tcPr>
            <w:tcW w:w="9505" w:type="dxa"/>
            <w:gridSpan w:val="2"/>
          </w:tcPr>
          <w:p w14:paraId="0B2D18E5" w14:textId="01B5AD6F" w:rsidR="00D025F2" w:rsidRPr="0013463A" w:rsidRDefault="00110E24">
            <w:pPr>
              <w:pStyle w:val="zSoquijdatCabinetProcureurDem"/>
              <w:rPr>
                <w:caps/>
                <w:lang w:val="en-CA"/>
              </w:rPr>
            </w:pPr>
            <w:r w:rsidRPr="0013463A">
              <w:rPr>
                <w:caps/>
                <w:lang w:val="en-CA"/>
              </w:rPr>
              <w:t>BITZAKIDIS CLÉMENT-MAJOR FOURNIER</w:t>
            </w:r>
          </w:p>
        </w:tc>
      </w:tr>
      <w:tr w:rsidR="00A02E1C" w:rsidRPr="0013463A" w14:paraId="4FBC88E0" w14:textId="77777777" w:rsidTr="00E728B8">
        <w:trPr>
          <w:cantSplit/>
        </w:trPr>
        <w:tc>
          <w:tcPr>
            <w:tcW w:w="9505" w:type="dxa"/>
            <w:gridSpan w:val="2"/>
          </w:tcPr>
          <w:p w14:paraId="701AD078" w14:textId="593CD240" w:rsidR="00D025F2" w:rsidRPr="0013463A" w:rsidRDefault="00110E24">
            <w:pPr>
              <w:pStyle w:val="zSoquijlblProcureurDem"/>
              <w:rPr>
                <w:lang w:val="en-CA"/>
              </w:rPr>
            </w:pPr>
            <w:r w:rsidRPr="0013463A">
              <w:rPr>
                <w:lang w:val="en-CA"/>
              </w:rPr>
              <w:t>For the plaintiff</w:t>
            </w:r>
          </w:p>
        </w:tc>
      </w:tr>
      <w:tr w:rsidR="00A02E1C" w:rsidRPr="0013463A" w14:paraId="208DCA50" w14:textId="77777777" w:rsidTr="00E728B8">
        <w:trPr>
          <w:cantSplit/>
        </w:trPr>
        <w:tc>
          <w:tcPr>
            <w:tcW w:w="9505" w:type="dxa"/>
            <w:gridSpan w:val="2"/>
          </w:tcPr>
          <w:p w14:paraId="0EDBC7D4" w14:textId="77777777" w:rsidR="00D025F2" w:rsidRPr="0013463A" w:rsidRDefault="00D025F2">
            <w:pPr>
              <w:rPr>
                <w:lang w:val="en-CA"/>
              </w:rPr>
            </w:pPr>
          </w:p>
        </w:tc>
      </w:tr>
      <w:tr w:rsidR="00A02E1C" w:rsidRPr="0013463A" w14:paraId="1280B4DB" w14:textId="77777777" w:rsidTr="00E728B8">
        <w:trPr>
          <w:cantSplit/>
        </w:trPr>
        <w:tc>
          <w:tcPr>
            <w:tcW w:w="9505" w:type="dxa"/>
            <w:gridSpan w:val="2"/>
          </w:tcPr>
          <w:p w14:paraId="7A971EAC" w14:textId="1B8A76DF" w:rsidR="004A0731" w:rsidRPr="00D51BB3" w:rsidRDefault="00081747" w:rsidP="00F16DAF">
            <w:pPr>
              <w:pStyle w:val="zSoquijdatNomProcureurDem"/>
              <w:rPr>
                <w:b/>
                <w:bCs/>
              </w:rPr>
            </w:pPr>
            <w:r w:rsidRPr="00D51BB3">
              <w:rPr>
                <w:b/>
                <w:bCs/>
              </w:rPr>
              <w:t>Mtre</w:t>
            </w:r>
            <w:r w:rsidR="00110E24" w:rsidRPr="00D51BB3">
              <w:rPr>
                <w:b/>
                <w:bCs/>
              </w:rPr>
              <w:t xml:space="preserve"> Alexie Lafond-Veilleux and M</w:t>
            </w:r>
            <w:r w:rsidR="00912513" w:rsidRPr="00D51BB3">
              <w:rPr>
                <w:b/>
                <w:bCs/>
              </w:rPr>
              <w:t>tre</w:t>
            </w:r>
            <w:r w:rsidR="00110E24" w:rsidRPr="00D51BB3">
              <w:rPr>
                <w:b/>
                <w:bCs/>
              </w:rPr>
              <w:t xml:space="preserve"> Koryne Fradet</w:t>
            </w:r>
          </w:p>
        </w:tc>
      </w:tr>
      <w:tr w:rsidR="00A02E1C" w:rsidRPr="0013463A" w14:paraId="17A52925" w14:textId="77777777" w:rsidTr="00E728B8">
        <w:trPr>
          <w:cantSplit/>
        </w:trPr>
        <w:tc>
          <w:tcPr>
            <w:tcW w:w="9505" w:type="dxa"/>
            <w:gridSpan w:val="2"/>
          </w:tcPr>
          <w:p w14:paraId="6EA6FF83" w14:textId="588A0238" w:rsidR="00E728B8" w:rsidRPr="0013463A" w:rsidRDefault="00110E24" w:rsidP="004A0731">
            <w:pPr>
              <w:pStyle w:val="zSoquijlblProcureurDem"/>
              <w:rPr>
                <w:lang w:val="en-CA"/>
              </w:rPr>
            </w:pPr>
            <w:r w:rsidRPr="0013463A">
              <w:rPr>
                <w:lang w:val="en-CA"/>
              </w:rPr>
              <w:t>For the defendant</w:t>
            </w:r>
          </w:p>
        </w:tc>
      </w:tr>
      <w:tr w:rsidR="00A02E1C" w:rsidRPr="0013463A" w14:paraId="415D8D59" w14:textId="77777777" w:rsidTr="00E728B8">
        <w:trPr>
          <w:cantSplit/>
        </w:trPr>
        <w:tc>
          <w:tcPr>
            <w:tcW w:w="9505" w:type="dxa"/>
            <w:gridSpan w:val="2"/>
          </w:tcPr>
          <w:p w14:paraId="3628414A" w14:textId="77777777" w:rsidR="00154479" w:rsidRPr="0013463A" w:rsidRDefault="00154479" w:rsidP="004A0731">
            <w:pPr>
              <w:pStyle w:val="zSoquijlblProcureurDem"/>
              <w:rPr>
                <w:lang w:val="en-CA"/>
              </w:rPr>
            </w:pPr>
          </w:p>
        </w:tc>
      </w:tr>
      <w:tr w:rsidR="00A02E1C" w:rsidRPr="0013463A" w14:paraId="6C9156AC" w14:textId="77777777" w:rsidTr="00E728B8">
        <w:trPr>
          <w:cantSplit/>
        </w:trPr>
        <w:tc>
          <w:tcPr>
            <w:tcW w:w="9505" w:type="dxa"/>
            <w:gridSpan w:val="2"/>
          </w:tcPr>
          <w:p w14:paraId="3D046487" w14:textId="77777777" w:rsidR="00154479" w:rsidRPr="0013463A" w:rsidRDefault="00154479" w:rsidP="00F16DAF">
            <w:pPr>
              <w:pStyle w:val="zSoquijlblProcureurDem"/>
              <w:rPr>
                <w:lang w:val="en-CA"/>
              </w:rPr>
            </w:pPr>
          </w:p>
        </w:tc>
      </w:tr>
      <w:tr w:rsidR="00A02E1C" w:rsidRPr="0013463A" w14:paraId="6C363CF6" w14:textId="77777777" w:rsidTr="00E728B8">
        <w:trPr>
          <w:cantSplit/>
        </w:trPr>
        <w:tc>
          <w:tcPr>
            <w:tcW w:w="9505" w:type="dxa"/>
            <w:gridSpan w:val="2"/>
          </w:tcPr>
          <w:p w14:paraId="1EB6F734" w14:textId="77777777" w:rsidR="00154479" w:rsidRPr="0013463A" w:rsidRDefault="00154479" w:rsidP="004A0731">
            <w:pPr>
              <w:pStyle w:val="zSoquijlblProcureurDem"/>
              <w:rPr>
                <w:lang w:val="en-CA"/>
              </w:rPr>
            </w:pPr>
          </w:p>
        </w:tc>
      </w:tr>
      <w:tr w:rsidR="00A02E1C" w:rsidRPr="0013463A" w14:paraId="2517D895" w14:textId="77777777" w:rsidTr="00E728B8">
        <w:tc>
          <w:tcPr>
            <w:tcW w:w="9505" w:type="dxa"/>
            <w:gridSpan w:val="2"/>
          </w:tcPr>
          <w:p w14:paraId="77CD969C" w14:textId="77777777" w:rsidR="00D025F2" w:rsidRPr="0013463A" w:rsidRDefault="00D025F2">
            <w:pPr>
              <w:rPr>
                <w:lang w:val="en-CA"/>
              </w:rPr>
            </w:pPr>
          </w:p>
        </w:tc>
      </w:tr>
      <w:tr w:rsidR="00A02E1C" w:rsidRPr="00B22AE6" w14:paraId="0F260BCF" w14:textId="77777777" w:rsidTr="00E728B8">
        <w:tc>
          <w:tcPr>
            <w:tcW w:w="9505" w:type="dxa"/>
            <w:gridSpan w:val="2"/>
          </w:tcPr>
          <w:p w14:paraId="1EDC93FD" w14:textId="7E88C835" w:rsidR="005B261C" w:rsidRPr="0013463A" w:rsidRDefault="00110E24">
            <w:pPr>
              <w:rPr>
                <w:lang w:val="en-CA"/>
              </w:rPr>
            </w:pPr>
            <w:r w:rsidRPr="0013463A">
              <w:rPr>
                <w:lang w:val="en-CA"/>
              </w:rPr>
              <w:t>Dates of hearing: November 21, 22, 23, 24, 25, 28, 29 and December 2, 2022</w:t>
            </w:r>
          </w:p>
        </w:tc>
      </w:tr>
    </w:tbl>
    <w:p w14:paraId="419FAED5" w14:textId="77777777" w:rsidR="00EF5343" w:rsidRPr="0013463A" w:rsidRDefault="00EF5343">
      <w:pPr>
        <w:rPr>
          <w:lang w:val="en-CA"/>
        </w:rPr>
      </w:pPr>
    </w:p>
    <w:sectPr w:rsidR="00EF5343" w:rsidRPr="0013463A" w:rsidSect="00A05C98">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9" w:bottom="1440" w:left="1871" w:header="1440" w:footer="794" w:gutter="0"/>
      <w:paperSrc w:first="3" w:other="3"/>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C898" w14:textId="77777777" w:rsidR="00553CC7" w:rsidRDefault="00553CC7">
      <w:r>
        <w:separator/>
      </w:r>
    </w:p>
  </w:endnote>
  <w:endnote w:type="continuationSeparator" w:id="0">
    <w:p w14:paraId="1110D001" w14:textId="77777777" w:rsidR="00553CC7" w:rsidRDefault="00553CC7">
      <w:r>
        <w:continuationSeparator/>
      </w:r>
    </w:p>
  </w:endnote>
  <w:endnote w:type="continuationNotice" w:id="1">
    <w:p w14:paraId="5A8B83D7" w14:textId="77777777" w:rsidR="00553CC7" w:rsidRDefault="00553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CBC9" w14:textId="77777777" w:rsidR="00D025F2" w:rsidRDefault="001834C5">
    <w:pPr>
      <w:framePr w:wrap="around" w:vAnchor="text" w:hAnchor="margin" w:xAlign="right" w:y="1"/>
    </w:pPr>
    <w:r>
      <w:fldChar w:fldCharType="begin"/>
    </w:r>
    <w:r>
      <w:instrText xml:space="preserve">PAGE  </w:instrText>
    </w:r>
    <w:r>
      <w:fldChar w:fldCharType="separate"/>
    </w:r>
    <w:r w:rsidR="00936A52">
      <w:rPr>
        <w:noProof/>
      </w:rPr>
      <w:t>2</w:t>
    </w:r>
    <w:r>
      <w:fldChar w:fldCharType="end"/>
    </w:r>
  </w:p>
  <w:p w14:paraId="7D7ABAB4" w14:textId="77777777" w:rsidR="00D025F2" w:rsidRDefault="00D025F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49D7" w14:textId="77777777" w:rsidR="00677E4D" w:rsidRDefault="00677E4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46FF" w14:textId="77777777" w:rsidR="00677E4D" w:rsidRDefault="00677E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FE7F" w14:textId="77777777" w:rsidR="00553CC7" w:rsidRDefault="00553CC7">
      <w:r>
        <w:separator/>
      </w:r>
    </w:p>
  </w:footnote>
  <w:footnote w:type="continuationSeparator" w:id="0">
    <w:p w14:paraId="50EC7BF5" w14:textId="77777777" w:rsidR="00553CC7" w:rsidRDefault="00553CC7">
      <w:r>
        <w:continuationSeparator/>
      </w:r>
    </w:p>
  </w:footnote>
  <w:footnote w:type="continuationNotice" w:id="1">
    <w:p w14:paraId="3CEA7490" w14:textId="77777777" w:rsidR="00553CC7" w:rsidRDefault="00553CC7"/>
  </w:footnote>
  <w:footnote w:id="2">
    <w:p w14:paraId="66315463" w14:textId="1A1FB42B" w:rsidR="002E5CA6" w:rsidRPr="00110E24" w:rsidRDefault="001834C5">
      <w:pPr>
        <w:pStyle w:val="Notedebasdepage"/>
        <w:rPr>
          <w:lang w:val="en-CA"/>
        </w:rPr>
      </w:pPr>
      <w:r>
        <w:rPr>
          <w:rStyle w:val="Appelnotedebasdep"/>
        </w:rPr>
        <w:footnoteRef/>
      </w:r>
      <w:r w:rsidRPr="00110E24">
        <w:rPr>
          <w:lang w:val="en-CA"/>
        </w:rPr>
        <w:t xml:space="preserve"> </w:t>
      </w:r>
      <w:r w:rsidRPr="00110E24">
        <w:rPr>
          <w:lang w:val="en-CA"/>
        </w:rPr>
        <w:tab/>
      </w:r>
      <w:r w:rsidR="00110E24" w:rsidRPr="009F7A40">
        <w:rPr>
          <w:lang w:val="en-CA"/>
        </w:rPr>
        <w:t>CQLR c. C-12.</w:t>
      </w:r>
    </w:p>
  </w:footnote>
  <w:footnote w:id="3">
    <w:p w14:paraId="638CAF68" w14:textId="7CC0189F" w:rsidR="00806C81" w:rsidRPr="00110E24" w:rsidRDefault="00806C81" w:rsidP="00806C81">
      <w:pPr>
        <w:pStyle w:val="Notedebasdepage"/>
        <w:rPr>
          <w:lang w:val="en-CA"/>
        </w:rPr>
      </w:pPr>
      <w:r>
        <w:rPr>
          <w:rStyle w:val="Appelnotedebasdep"/>
        </w:rPr>
        <w:footnoteRef/>
      </w:r>
      <w:r w:rsidRPr="00110E24">
        <w:rPr>
          <w:lang w:val="en-CA"/>
        </w:rPr>
        <w:t xml:space="preserve"> </w:t>
      </w:r>
      <w:r w:rsidRPr="00110E24">
        <w:rPr>
          <w:lang w:val="en-CA"/>
        </w:rPr>
        <w:tab/>
      </w:r>
      <w:r w:rsidR="00110E24" w:rsidRPr="009F7A40">
        <w:rPr>
          <w:lang w:val="en-CA"/>
        </w:rPr>
        <w:t xml:space="preserve">Exhibit D-3, Computer summary from court ledger downloaded on </w:t>
      </w:r>
      <w:r w:rsidR="006740CD">
        <w:rPr>
          <w:lang w:val="en-CA"/>
        </w:rPr>
        <w:t xml:space="preserve">22 </w:t>
      </w:r>
      <w:r w:rsidR="00110E24" w:rsidRPr="009F7A40">
        <w:rPr>
          <w:lang w:val="en-CA"/>
        </w:rPr>
        <w:t>November 2021.</w:t>
      </w:r>
    </w:p>
  </w:footnote>
  <w:footnote w:id="4">
    <w:p w14:paraId="75E9AF89" w14:textId="56EBC675" w:rsidR="00037D95" w:rsidRDefault="00037D95" w:rsidP="00037D95">
      <w:pPr>
        <w:pStyle w:val="Notedebasdepage"/>
      </w:pPr>
      <w:r>
        <w:rPr>
          <w:rStyle w:val="Appelnotedebasdep"/>
        </w:rPr>
        <w:footnoteRef/>
      </w:r>
      <w:r w:rsidRPr="000D2B6C">
        <w:t xml:space="preserve"> </w:t>
      </w:r>
      <w:r w:rsidRPr="000D2B6C">
        <w:tab/>
      </w:r>
      <w:r w:rsidR="00110E24" w:rsidRPr="009F7A40">
        <w:t xml:space="preserve">Exhibit P-17, Intermittent sentence </w:t>
      </w:r>
      <w:r w:rsidR="006740CD">
        <w:t>s</w:t>
      </w:r>
      <w:r w:rsidR="006740CD" w:rsidRPr="009F7A40">
        <w:t>chedule</w:t>
      </w:r>
      <w:r w:rsidR="00110E24" w:rsidRPr="009F7A40">
        <w:t xml:space="preserve">, </w:t>
      </w:r>
      <w:r w:rsidR="00110E24" w:rsidRPr="00110E24">
        <w:t>Ministère de la Sécurité publique du Québec, Établissement de détention de Québec.</w:t>
      </w:r>
    </w:p>
  </w:footnote>
  <w:footnote w:id="5">
    <w:p w14:paraId="1DD5F8F5" w14:textId="66C62243" w:rsidR="00037D95" w:rsidRPr="00110E24" w:rsidRDefault="00037D95" w:rsidP="00037D95">
      <w:pPr>
        <w:pStyle w:val="Notedebasdepage"/>
        <w:rPr>
          <w:lang w:val="en-CA"/>
        </w:rPr>
      </w:pPr>
      <w:r>
        <w:rPr>
          <w:rStyle w:val="Appelnotedebasdep"/>
        </w:rPr>
        <w:footnoteRef/>
      </w:r>
      <w:r w:rsidRPr="00110E24">
        <w:rPr>
          <w:lang w:val="en-CA"/>
        </w:rPr>
        <w:t xml:space="preserve"> </w:t>
      </w:r>
      <w:r w:rsidRPr="00110E24">
        <w:rPr>
          <w:lang w:val="en-CA"/>
        </w:rPr>
        <w:tab/>
      </w:r>
      <w:r w:rsidR="00110E24" w:rsidRPr="009F7A40">
        <w:rPr>
          <w:lang w:val="en-CA"/>
        </w:rPr>
        <w:t>Exhibit P-14, Pre-trial examination of Kevin Leclerc</w:t>
      </w:r>
      <w:r w:rsidR="001022A5">
        <w:rPr>
          <w:lang w:val="en-CA"/>
        </w:rPr>
        <w:t>,</w:t>
      </w:r>
      <w:r w:rsidR="00235815">
        <w:rPr>
          <w:lang w:val="en-CA"/>
        </w:rPr>
        <w:t xml:space="preserve"> </w:t>
      </w:r>
      <w:r w:rsidR="00110E24" w:rsidRPr="009F7A40">
        <w:rPr>
          <w:lang w:val="en-CA"/>
        </w:rPr>
        <w:t>2 February 2022</w:t>
      </w:r>
      <w:r w:rsidR="001022A5">
        <w:rPr>
          <w:lang w:val="en-CA"/>
        </w:rPr>
        <w:t>,</w:t>
      </w:r>
      <w:r w:rsidR="00110E24" w:rsidRPr="009F7A40">
        <w:rPr>
          <w:lang w:val="en-CA"/>
        </w:rPr>
        <w:t xml:space="preserve"> at </w:t>
      </w:r>
      <w:r w:rsidR="000A6176">
        <w:rPr>
          <w:lang w:val="en-CA"/>
        </w:rPr>
        <w:t xml:space="preserve">p. </w:t>
      </w:r>
      <w:r w:rsidR="00110E24" w:rsidRPr="009F7A40">
        <w:rPr>
          <w:lang w:val="en-CA"/>
        </w:rPr>
        <w:t>20.</w:t>
      </w:r>
    </w:p>
  </w:footnote>
  <w:footnote w:id="6">
    <w:p w14:paraId="5117FCED" w14:textId="238C28B8" w:rsidR="00037D95" w:rsidRDefault="00037D95" w:rsidP="00037D95">
      <w:pPr>
        <w:pStyle w:val="Notedebasdepage"/>
      </w:pPr>
      <w:r>
        <w:rPr>
          <w:rStyle w:val="Appelnotedebasdep"/>
        </w:rPr>
        <w:footnoteRef/>
      </w:r>
      <w:r w:rsidRPr="00110E24">
        <w:rPr>
          <w:lang w:val="en-CA"/>
        </w:rPr>
        <w:t xml:space="preserve"> </w:t>
      </w:r>
      <w:r w:rsidRPr="00110E24">
        <w:rPr>
          <w:lang w:val="en-CA"/>
        </w:rPr>
        <w:tab/>
      </w:r>
      <w:r w:rsidR="00110E24" w:rsidRPr="009F7A40">
        <w:rPr>
          <w:i/>
          <w:iCs/>
          <w:lang w:val="en-CA"/>
        </w:rPr>
        <w:t>Tobacco Control Act</w:t>
      </w:r>
      <w:r w:rsidR="00110E24" w:rsidRPr="009F7A40">
        <w:rPr>
          <w:lang w:val="en-CA"/>
        </w:rPr>
        <w:t>, CQLR c. L-6.2.</w:t>
      </w:r>
      <w:r w:rsidR="00110E24">
        <w:rPr>
          <w:lang w:val="en-CA"/>
        </w:rPr>
        <w:t>, ss. 2(11) and 2.2.</w:t>
      </w:r>
      <w:r w:rsidRPr="00110E24">
        <w:rPr>
          <w:lang w:val="en-CA"/>
        </w:rPr>
        <w:t xml:space="preserve"> </w:t>
      </w:r>
      <w:r w:rsidR="00110E24" w:rsidRPr="009F7A40">
        <w:t xml:space="preserve">See also Exhibit D-9, </w:t>
      </w:r>
      <w:r w:rsidR="00110E24" w:rsidRPr="00110E24">
        <w:t>Ministère de la Sécurité publique, Politique sur l’application de la Loi sur le tabac et portée de l’interdiction de fumer, Vol.</w:t>
      </w:r>
      <w:r w:rsidRPr="000D2B6C">
        <w:t> </w:t>
      </w:r>
      <w:r w:rsidR="00110E24">
        <w:t>3, Sector 1, Section H, Exhibit 01.</w:t>
      </w:r>
    </w:p>
  </w:footnote>
  <w:footnote w:id="7">
    <w:p w14:paraId="0FE1FBB6" w14:textId="7BFA177E" w:rsidR="00037D95" w:rsidRPr="00110E24" w:rsidRDefault="00037D95" w:rsidP="00037D95">
      <w:pPr>
        <w:pStyle w:val="Notedebasdepage"/>
        <w:rPr>
          <w:lang w:val="en-CA"/>
        </w:rPr>
      </w:pPr>
      <w:r>
        <w:rPr>
          <w:rStyle w:val="Appelnotedebasdep"/>
        </w:rPr>
        <w:footnoteRef/>
      </w:r>
      <w:r w:rsidRPr="00110E24">
        <w:rPr>
          <w:lang w:val="en-CA"/>
        </w:rPr>
        <w:t xml:space="preserve"> </w:t>
      </w:r>
      <w:r w:rsidRPr="00110E24">
        <w:rPr>
          <w:lang w:val="en-CA"/>
        </w:rPr>
        <w:tab/>
      </w:r>
      <w:r w:rsidR="00110E24" w:rsidRPr="009F7A40">
        <w:rPr>
          <w:lang w:val="en-CA"/>
        </w:rPr>
        <w:t>Exhibit P-13</w:t>
      </w:r>
      <w:r w:rsidR="001022A5">
        <w:rPr>
          <w:lang w:val="en-CA"/>
        </w:rPr>
        <w:t>,</w:t>
      </w:r>
      <w:r w:rsidR="00110E24" w:rsidRPr="009F7A40">
        <w:rPr>
          <w:lang w:val="en-CA"/>
        </w:rPr>
        <w:t xml:space="preserve"> Pre-trial examination of Jonathan Belcourt</w:t>
      </w:r>
      <w:r w:rsidR="001022A5">
        <w:rPr>
          <w:lang w:val="en-CA"/>
        </w:rPr>
        <w:t>,</w:t>
      </w:r>
      <w:r w:rsidR="00235815">
        <w:rPr>
          <w:lang w:val="en-CA"/>
        </w:rPr>
        <w:t xml:space="preserve"> </w:t>
      </w:r>
      <w:r w:rsidR="00110E24" w:rsidRPr="009F7A40">
        <w:rPr>
          <w:lang w:val="en-CA"/>
        </w:rPr>
        <w:t>3 February 2022</w:t>
      </w:r>
      <w:r w:rsidR="001022A5">
        <w:rPr>
          <w:lang w:val="en-CA"/>
        </w:rPr>
        <w:t>,</w:t>
      </w:r>
      <w:r w:rsidR="00110E24" w:rsidRPr="009F7A40">
        <w:rPr>
          <w:lang w:val="en-CA"/>
        </w:rPr>
        <w:t xml:space="preserve"> at</w:t>
      </w:r>
      <w:r w:rsidR="000A6176">
        <w:rPr>
          <w:lang w:val="en-CA"/>
        </w:rPr>
        <w:t xml:space="preserve"> p.</w:t>
      </w:r>
      <w:r w:rsidR="00110E24" w:rsidRPr="009F7A40">
        <w:rPr>
          <w:lang w:val="en-CA"/>
        </w:rPr>
        <w:t xml:space="preserve"> 22.</w:t>
      </w:r>
    </w:p>
  </w:footnote>
  <w:footnote w:id="8">
    <w:p w14:paraId="5D59C7E3" w14:textId="07C9FBEF" w:rsidR="00037D95" w:rsidRPr="0008511F" w:rsidRDefault="00037D95" w:rsidP="00037D95">
      <w:pPr>
        <w:pStyle w:val="Notedebasdepage"/>
        <w:rPr>
          <w:lang w:val="en-CA"/>
        </w:rPr>
      </w:pPr>
      <w:r>
        <w:rPr>
          <w:rStyle w:val="Appelnotedebasdep"/>
        </w:rPr>
        <w:footnoteRef/>
      </w:r>
      <w:r w:rsidRPr="0008511F">
        <w:rPr>
          <w:lang w:val="en-CA"/>
        </w:rPr>
        <w:t xml:space="preserve"> </w:t>
      </w:r>
      <w:r w:rsidRPr="0008511F">
        <w:rPr>
          <w:lang w:val="en-CA"/>
        </w:rPr>
        <w:tab/>
      </w:r>
      <w:r w:rsidR="00110E24" w:rsidRPr="009F7A40">
        <w:rPr>
          <w:i/>
          <w:iCs/>
          <w:lang w:val="en-CA"/>
        </w:rPr>
        <w:t xml:space="preserve">Ibid. </w:t>
      </w:r>
      <w:r w:rsidR="00110E24" w:rsidRPr="000A6176">
        <w:rPr>
          <w:lang w:val="en-CA"/>
        </w:rPr>
        <w:t xml:space="preserve">at </w:t>
      </w:r>
      <w:r w:rsidR="000A6176" w:rsidRPr="000A6176">
        <w:rPr>
          <w:lang w:val="en-CA"/>
        </w:rPr>
        <w:t xml:space="preserve">p. </w:t>
      </w:r>
      <w:r w:rsidR="00110E24" w:rsidRPr="000A6176">
        <w:rPr>
          <w:lang w:val="en-CA"/>
        </w:rPr>
        <w:t>23.</w:t>
      </w:r>
    </w:p>
  </w:footnote>
  <w:footnote w:id="9">
    <w:p w14:paraId="535D57CE" w14:textId="333A3FBE" w:rsidR="00037D95" w:rsidRPr="0008511F" w:rsidRDefault="00037D95" w:rsidP="00037D95">
      <w:pPr>
        <w:pStyle w:val="Notedebasdepage"/>
        <w:rPr>
          <w:lang w:val="en-CA"/>
        </w:rPr>
      </w:pPr>
      <w:r>
        <w:rPr>
          <w:rStyle w:val="Appelnotedebasdep"/>
        </w:rPr>
        <w:footnoteRef/>
      </w:r>
      <w:r w:rsidRPr="0008511F">
        <w:rPr>
          <w:lang w:val="en-CA"/>
        </w:rPr>
        <w:t xml:space="preserve"> </w:t>
      </w:r>
      <w:r w:rsidRPr="0008511F">
        <w:rPr>
          <w:lang w:val="en-CA"/>
        </w:rPr>
        <w:tab/>
      </w:r>
      <w:r w:rsidR="00110E24" w:rsidRPr="009F7A40">
        <w:rPr>
          <w:i/>
          <w:iCs/>
          <w:lang w:val="en-CA"/>
        </w:rPr>
        <w:t>Ibid.</w:t>
      </w:r>
    </w:p>
  </w:footnote>
  <w:footnote w:id="10">
    <w:p w14:paraId="178E621E" w14:textId="077B8C5B" w:rsidR="00037D95" w:rsidRPr="000D2B6C" w:rsidRDefault="00037D95" w:rsidP="00037D95">
      <w:pPr>
        <w:pStyle w:val="Notedebasdepage"/>
        <w:rPr>
          <w:lang w:val="en-CA"/>
        </w:rPr>
      </w:pPr>
      <w:r>
        <w:rPr>
          <w:rStyle w:val="Appelnotedebasdep"/>
        </w:rPr>
        <w:footnoteRef/>
      </w:r>
      <w:r w:rsidRPr="000D2B6C">
        <w:rPr>
          <w:lang w:val="en-CA"/>
        </w:rPr>
        <w:t xml:space="preserve"> </w:t>
      </w:r>
      <w:r w:rsidRPr="000D2B6C">
        <w:rPr>
          <w:lang w:val="en-CA"/>
        </w:rPr>
        <w:tab/>
      </w:r>
      <w:r w:rsidR="00110E24" w:rsidRPr="009F7A40">
        <w:rPr>
          <w:i/>
          <w:iCs/>
          <w:lang w:val="en-CA"/>
        </w:rPr>
        <w:t xml:space="preserve">Ibid. </w:t>
      </w:r>
      <w:r w:rsidR="00110E24" w:rsidRPr="009F7A40">
        <w:rPr>
          <w:lang w:val="en-CA"/>
        </w:rPr>
        <w:t xml:space="preserve">at </w:t>
      </w:r>
      <w:r w:rsidR="000A6176">
        <w:rPr>
          <w:lang w:val="en-CA"/>
        </w:rPr>
        <w:t xml:space="preserve">p. </w:t>
      </w:r>
      <w:r w:rsidR="00110E24" w:rsidRPr="009F7A40">
        <w:rPr>
          <w:lang w:val="en-CA"/>
        </w:rPr>
        <w:t>25.</w:t>
      </w:r>
    </w:p>
  </w:footnote>
  <w:footnote w:id="11">
    <w:p w14:paraId="5E0590A5" w14:textId="3F46C38F" w:rsidR="000D2B6C" w:rsidRPr="000D2B6C" w:rsidRDefault="001834C5">
      <w:pPr>
        <w:pStyle w:val="Notedebasdepage"/>
        <w:rPr>
          <w:lang w:val="en-CA"/>
        </w:rPr>
      </w:pPr>
      <w:r>
        <w:rPr>
          <w:rStyle w:val="Appelnotedebasdep"/>
        </w:rPr>
        <w:footnoteRef/>
      </w:r>
      <w:r w:rsidRPr="000D2B6C">
        <w:rPr>
          <w:lang w:val="en-CA"/>
        </w:rPr>
        <w:t xml:space="preserve"> </w:t>
      </w:r>
      <w:r w:rsidRPr="000D2B6C">
        <w:rPr>
          <w:lang w:val="en-CA"/>
        </w:rPr>
        <w:tab/>
      </w:r>
      <w:r w:rsidRPr="009F7A40">
        <w:rPr>
          <w:i/>
          <w:iCs/>
          <w:lang w:val="en-CA"/>
        </w:rPr>
        <w:t>I</w:t>
      </w:r>
      <w:r w:rsidR="00110E24" w:rsidRPr="009F7A40">
        <w:rPr>
          <w:i/>
          <w:iCs/>
          <w:lang w:val="en-CA"/>
        </w:rPr>
        <w:t>bi</w:t>
      </w:r>
      <w:r w:rsidRPr="009F7A40">
        <w:rPr>
          <w:i/>
          <w:iCs/>
          <w:lang w:val="en-CA"/>
        </w:rPr>
        <w:t>d.</w:t>
      </w:r>
      <w:r w:rsidR="00110E24" w:rsidRPr="009F7A40">
        <w:rPr>
          <w:i/>
          <w:iCs/>
          <w:lang w:val="en-CA"/>
        </w:rPr>
        <w:t xml:space="preserve"> </w:t>
      </w:r>
      <w:r w:rsidR="00110E24" w:rsidRPr="009F7A40">
        <w:rPr>
          <w:lang w:val="en-CA"/>
        </w:rPr>
        <w:t>at</w:t>
      </w:r>
      <w:r w:rsidRPr="009F7A40">
        <w:rPr>
          <w:lang w:val="en-CA"/>
        </w:rPr>
        <w:t> </w:t>
      </w:r>
      <w:r w:rsidR="000A6176">
        <w:rPr>
          <w:lang w:val="en-CA"/>
        </w:rPr>
        <w:t xml:space="preserve">pp. </w:t>
      </w:r>
      <w:r w:rsidRPr="009F7A40">
        <w:rPr>
          <w:lang w:val="en-CA"/>
        </w:rPr>
        <w:t>29</w:t>
      </w:r>
      <w:r w:rsidR="00110E24" w:rsidRPr="009F7A40">
        <w:rPr>
          <w:lang w:val="en-CA"/>
        </w:rPr>
        <w:t>–</w:t>
      </w:r>
      <w:r w:rsidRPr="009F7A40">
        <w:rPr>
          <w:lang w:val="en-CA"/>
        </w:rPr>
        <w:t>30.</w:t>
      </w:r>
    </w:p>
  </w:footnote>
  <w:footnote w:id="12">
    <w:p w14:paraId="619F7E1E" w14:textId="3E52E280" w:rsidR="00037D95" w:rsidRPr="000D2B6C" w:rsidRDefault="00037D95" w:rsidP="00037D95">
      <w:pPr>
        <w:pStyle w:val="Notedebasdepage"/>
        <w:rPr>
          <w:lang w:val="en-CA"/>
        </w:rPr>
      </w:pPr>
      <w:r>
        <w:rPr>
          <w:rStyle w:val="Appelnotedebasdep"/>
        </w:rPr>
        <w:footnoteRef/>
      </w:r>
      <w:r w:rsidRPr="000D2B6C">
        <w:rPr>
          <w:lang w:val="en-CA"/>
        </w:rPr>
        <w:t xml:space="preserve"> </w:t>
      </w:r>
      <w:r w:rsidRPr="000D2B6C">
        <w:rPr>
          <w:lang w:val="en-CA"/>
        </w:rPr>
        <w:tab/>
      </w:r>
      <w:r w:rsidR="00110E24" w:rsidRPr="009F7A40">
        <w:rPr>
          <w:i/>
          <w:iCs/>
          <w:lang w:val="en-CA"/>
        </w:rPr>
        <w:t xml:space="preserve">Ibid. </w:t>
      </w:r>
      <w:r w:rsidR="00110E24" w:rsidRPr="009F7A40">
        <w:rPr>
          <w:lang w:val="en-CA"/>
        </w:rPr>
        <w:t xml:space="preserve">at </w:t>
      </w:r>
      <w:r w:rsidR="000A6176">
        <w:rPr>
          <w:lang w:val="en-CA"/>
        </w:rPr>
        <w:t xml:space="preserve">p. </w:t>
      </w:r>
      <w:r w:rsidR="00110E24" w:rsidRPr="009F7A40">
        <w:rPr>
          <w:lang w:val="en-CA"/>
        </w:rPr>
        <w:t>23.</w:t>
      </w:r>
    </w:p>
  </w:footnote>
  <w:footnote w:id="13">
    <w:p w14:paraId="5A01DF61" w14:textId="723ABE2E" w:rsidR="00037D95" w:rsidRPr="000D2B6C" w:rsidRDefault="00037D95" w:rsidP="00037D95">
      <w:pPr>
        <w:pStyle w:val="Notedebasdepage"/>
        <w:rPr>
          <w:lang w:val="en-CA"/>
        </w:rPr>
      </w:pPr>
      <w:r>
        <w:rPr>
          <w:rStyle w:val="Appelnotedebasdep"/>
        </w:rPr>
        <w:footnoteRef/>
      </w:r>
      <w:r w:rsidRPr="000D2B6C">
        <w:rPr>
          <w:lang w:val="en-CA"/>
        </w:rPr>
        <w:t xml:space="preserve"> </w:t>
      </w:r>
      <w:r w:rsidRPr="000D2B6C">
        <w:rPr>
          <w:lang w:val="en-CA"/>
        </w:rPr>
        <w:tab/>
      </w:r>
      <w:r w:rsidR="00110E24" w:rsidRPr="009F7A40">
        <w:rPr>
          <w:i/>
          <w:iCs/>
          <w:lang w:val="en-CA"/>
        </w:rPr>
        <w:t xml:space="preserve">Ibid. </w:t>
      </w:r>
      <w:r w:rsidR="00110E24" w:rsidRPr="00D51BB3">
        <w:rPr>
          <w:lang w:val="en-CA"/>
        </w:rPr>
        <w:t xml:space="preserve">at </w:t>
      </w:r>
      <w:r w:rsidR="000A6176">
        <w:rPr>
          <w:lang w:val="en-CA"/>
        </w:rPr>
        <w:t xml:space="preserve">p. </w:t>
      </w:r>
      <w:r w:rsidR="00110E24" w:rsidRPr="00D51BB3">
        <w:rPr>
          <w:lang w:val="en-CA"/>
        </w:rPr>
        <w:t>25</w:t>
      </w:r>
      <w:r w:rsidR="00110E24" w:rsidRPr="009F7A40">
        <w:rPr>
          <w:i/>
          <w:iCs/>
          <w:lang w:val="en-CA"/>
        </w:rPr>
        <w:t>.</w:t>
      </w:r>
    </w:p>
  </w:footnote>
  <w:footnote w:id="14">
    <w:p w14:paraId="25B157C0" w14:textId="0846ED50" w:rsidR="00037D95" w:rsidRPr="000D2B6C" w:rsidRDefault="00037D95" w:rsidP="00037D95">
      <w:pPr>
        <w:pStyle w:val="Notedebasdepage"/>
        <w:rPr>
          <w:lang w:val="en-CA"/>
        </w:rPr>
      </w:pPr>
      <w:r>
        <w:rPr>
          <w:rStyle w:val="Appelnotedebasdep"/>
        </w:rPr>
        <w:footnoteRef/>
      </w:r>
      <w:r w:rsidRPr="000D2B6C">
        <w:rPr>
          <w:lang w:val="en-CA"/>
        </w:rPr>
        <w:t xml:space="preserve"> </w:t>
      </w:r>
      <w:r w:rsidRPr="000D2B6C">
        <w:rPr>
          <w:lang w:val="en-CA"/>
        </w:rPr>
        <w:tab/>
      </w:r>
      <w:r w:rsidR="00110E24" w:rsidRPr="009F7A40">
        <w:rPr>
          <w:i/>
          <w:iCs/>
          <w:lang w:val="en-CA"/>
        </w:rPr>
        <w:t>Ibid</w:t>
      </w:r>
      <w:r w:rsidR="00110E24" w:rsidRPr="009F7A40">
        <w:rPr>
          <w:iCs/>
          <w:lang w:val="en-CA"/>
        </w:rPr>
        <w:t xml:space="preserve">. at </w:t>
      </w:r>
      <w:r w:rsidR="000A6176">
        <w:rPr>
          <w:iCs/>
          <w:lang w:val="en-CA"/>
        </w:rPr>
        <w:t xml:space="preserve">p. </w:t>
      </w:r>
      <w:r w:rsidR="00110E24" w:rsidRPr="009F7A40">
        <w:rPr>
          <w:iCs/>
          <w:lang w:val="en-CA"/>
        </w:rPr>
        <w:t>37.</w:t>
      </w:r>
    </w:p>
  </w:footnote>
  <w:footnote w:id="15">
    <w:p w14:paraId="73ED0EBB" w14:textId="1D27DF6B" w:rsidR="00037D95" w:rsidRPr="00E035AA" w:rsidRDefault="00037D95" w:rsidP="00037D95">
      <w:pPr>
        <w:pStyle w:val="Notedebasdepage"/>
        <w:rPr>
          <w:lang w:val="en-CA"/>
        </w:rPr>
      </w:pPr>
      <w:r>
        <w:rPr>
          <w:rStyle w:val="Appelnotedebasdep"/>
        </w:rPr>
        <w:footnoteRef/>
      </w:r>
      <w:r w:rsidRPr="00E035AA">
        <w:rPr>
          <w:lang w:val="en-CA"/>
        </w:rPr>
        <w:t xml:space="preserve"> </w:t>
      </w:r>
      <w:r w:rsidRPr="00E035AA">
        <w:rPr>
          <w:lang w:val="en-CA"/>
        </w:rPr>
        <w:tab/>
      </w:r>
      <w:r w:rsidRPr="009F7A40">
        <w:rPr>
          <w:lang w:val="en-CA"/>
        </w:rPr>
        <w:t xml:space="preserve">P-14, </w:t>
      </w:r>
      <w:r w:rsidR="00110E24" w:rsidRPr="00A73548">
        <w:rPr>
          <w:i/>
          <w:iCs/>
          <w:lang w:val="en-CA"/>
        </w:rPr>
        <w:t>supra</w:t>
      </w:r>
      <w:r w:rsidR="00110E24" w:rsidRPr="009F7A40">
        <w:rPr>
          <w:lang w:val="en-CA"/>
        </w:rPr>
        <w:t xml:space="preserve"> n</w:t>
      </w:r>
      <w:r w:rsidRPr="009F7A40">
        <w:rPr>
          <w:lang w:val="en-CA"/>
        </w:rPr>
        <w:t xml:space="preserve">ote </w:t>
      </w:r>
      <w:r w:rsidR="00110E24" w:rsidRPr="009F7A40">
        <w:rPr>
          <w:lang w:val="en-CA"/>
        </w:rPr>
        <w:t>4 at</w:t>
      </w:r>
      <w:r w:rsidRPr="009F7A40">
        <w:rPr>
          <w:lang w:val="en-CA"/>
        </w:rPr>
        <w:t> </w:t>
      </w:r>
      <w:r w:rsidR="000A6176">
        <w:rPr>
          <w:lang w:val="en-CA"/>
        </w:rPr>
        <w:t xml:space="preserve">p. </w:t>
      </w:r>
      <w:r w:rsidRPr="009F7A40">
        <w:rPr>
          <w:lang w:val="en-CA"/>
        </w:rPr>
        <w:t>21.</w:t>
      </w:r>
    </w:p>
  </w:footnote>
  <w:footnote w:id="16">
    <w:p w14:paraId="4FB7C970" w14:textId="5381A924" w:rsidR="00105E88" w:rsidRPr="00110E24" w:rsidRDefault="001834C5">
      <w:pPr>
        <w:pStyle w:val="Notedebasdepage"/>
        <w:rPr>
          <w:lang w:val="en-CA"/>
        </w:rPr>
      </w:pPr>
      <w:r>
        <w:rPr>
          <w:rStyle w:val="Appelnotedebasdep"/>
        </w:rPr>
        <w:footnoteRef/>
      </w:r>
      <w:r w:rsidRPr="00110E24">
        <w:rPr>
          <w:lang w:val="en-CA"/>
        </w:rPr>
        <w:t xml:space="preserve"> </w:t>
      </w:r>
      <w:r w:rsidRPr="00110E24">
        <w:rPr>
          <w:lang w:val="en-CA"/>
        </w:rPr>
        <w:tab/>
      </w:r>
      <w:r w:rsidR="00110E24" w:rsidRPr="009F7A40">
        <w:rPr>
          <w:i/>
          <w:iCs/>
          <w:lang w:val="en-CA"/>
        </w:rPr>
        <w:t>Ibid.</w:t>
      </w:r>
    </w:p>
  </w:footnote>
  <w:footnote w:id="17">
    <w:p w14:paraId="63D85F12" w14:textId="1EB961A6" w:rsidR="00037D95" w:rsidRPr="00110E24" w:rsidRDefault="00037D95" w:rsidP="00037D95">
      <w:pPr>
        <w:pStyle w:val="Notedebasdepage"/>
        <w:rPr>
          <w:lang w:val="en-CA"/>
        </w:rPr>
      </w:pPr>
      <w:r>
        <w:rPr>
          <w:rStyle w:val="Appelnotedebasdep"/>
        </w:rPr>
        <w:footnoteRef/>
      </w:r>
      <w:r w:rsidRPr="00110E24">
        <w:rPr>
          <w:lang w:val="en-CA"/>
        </w:rPr>
        <w:t xml:space="preserve"> </w:t>
      </w:r>
      <w:r w:rsidRPr="00110E24">
        <w:rPr>
          <w:lang w:val="en-CA"/>
        </w:rPr>
        <w:tab/>
      </w:r>
      <w:r w:rsidRPr="009F7A40">
        <w:rPr>
          <w:i/>
          <w:iCs/>
          <w:lang w:val="en-CA"/>
        </w:rPr>
        <w:t>I</w:t>
      </w:r>
      <w:r w:rsidR="00110E24" w:rsidRPr="009F7A40">
        <w:rPr>
          <w:i/>
          <w:iCs/>
          <w:lang w:val="en-CA"/>
        </w:rPr>
        <w:t>bi</w:t>
      </w:r>
      <w:r w:rsidRPr="009F7A40">
        <w:rPr>
          <w:i/>
          <w:iCs/>
          <w:lang w:val="en-CA"/>
        </w:rPr>
        <w:t>d.</w:t>
      </w:r>
      <w:r w:rsidR="00110E24" w:rsidRPr="009F7A40">
        <w:rPr>
          <w:i/>
          <w:iCs/>
          <w:lang w:val="en-CA"/>
        </w:rPr>
        <w:t xml:space="preserve"> </w:t>
      </w:r>
      <w:r w:rsidR="00110E24" w:rsidRPr="009F7A40">
        <w:rPr>
          <w:lang w:val="en-CA"/>
        </w:rPr>
        <w:t xml:space="preserve">at </w:t>
      </w:r>
      <w:r w:rsidR="000A6176">
        <w:rPr>
          <w:lang w:val="en-CA"/>
        </w:rPr>
        <w:t xml:space="preserve">p. </w:t>
      </w:r>
      <w:r w:rsidRPr="009F7A40">
        <w:rPr>
          <w:lang w:val="en-CA"/>
        </w:rPr>
        <w:t>24.</w:t>
      </w:r>
    </w:p>
  </w:footnote>
  <w:footnote w:id="18">
    <w:p w14:paraId="42C129B5" w14:textId="5E9F252B" w:rsidR="00037D95" w:rsidRPr="00110E24" w:rsidRDefault="00037D95" w:rsidP="00037D95">
      <w:pPr>
        <w:pStyle w:val="Notedebasdepage"/>
        <w:rPr>
          <w:lang w:val="en-CA"/>
        </w:rPr>
      </w:pPr>
      <w:r>
        <w:rPr>
          <w:rStyle w:val="Appelnotedebasdep"/>
        </w:rPr>
        <w:footnoteRef/>
      </w:r>
      <w:r w:rsidRPr="00110E24">
        <w:rPr>
          <w:lang w:val="en-CA"/>
        </w:rPr>
        <w:t xml:space="preserve"> </w:t>
      </w:r>
      <w:r w:rsidRPr="00110E24">
        <w:rPr>
          <w:lang w:val="en-CA"/>
        </w:rPr>
        <w:tab/>
      </w:r>
      <w:r w:rsidR="00110E24" w:rsidRPr="00110E24">
        <w:rPr>
          <w:lang w:val="en-CA"/>
        </w:rPr>
        <w:t xml:space="preserve">Exhibit </w:t>
      </w:r>
      <w:r w:rsidRPr="00110E24">
        <w:rPr>
          <w:lang w:val="en-CA"/>
        </w:rPr>
        <w:t>P-20, McKinley</w:t>
      </w:r>
      <w:r w:rsidR="00110E24" w:rsidRPr="00110E24">
        <w:rPr>
          <w:lang w:val="en-CA"/>
        </w:rPr>
        <w:t xml:space="preserve"> brand khaki </w:t>
      </w:r>
      <w:r w:rsidR="001022A5">
        <w:rPr>
          <w:lang w:val="en-CA"/>
        </w:rPr>
        <w:t>pant</w:t>
      </w:r>
      <w:r w:rsidR="00110E24" w:rsidRPr="00110E24">
        <w:rPr>
          <w:lang w:val="en-CA"/>
        </w:rPr>
        <w:t>s</w:t>
      </w:r>
      <w:r w:rsidRPr="00110E24">
        <w:rPr>
          <w:lang w:val="en-CA"/>
        </w:rPr>
        <w:t>.</w:t>
      </w:r>
    </w:p>
  </w:footnote>
  <w:footnote w:id="19">
    <w:p w14:paraId="770554CF" w14:textId="065E471A" w:rsidR="00037D95" w:rsidRPr="00110E24" w:rsidRDefault="00037D95" w:rsidP="00037D95">
      <w:pPr>
        <w:pStyle w:val="Notedebasdepage"/>
        <w:rPr>
          <w:lang w:val="en-CA"/>
        </w:rPr>
      </w:pPr>
      <w:r>
        <w:rPr>
          <w:rStyle w:val="Appelnotedebasdep"/>
        </w:rPr>
        <w:footnoteRef/>
      </w:r>
      <w:r w:rsidRPr="00110E24">
        <w:rPr>
          <w:lang w:val="en-CA"/>
        </w:rPr>
        <w:t xml:space="preserve"> </w:t>
      </w:r>
      <w:r w:rsidRPr="00110E24">
        <w:rPr>
          <w:lang w:val="en-CA"/>
        </w:rPr>
        <w:tab/>
      </w:r>
      <w:r w:rsidRPr="009F7A40">
        <w:rPr>
          <w:lang w:val="en-CA"/>
        </w:rPr>
        <w:t xml:space="preserve">P-14, </w:t>
      </w:r>
      <w:r w:rsidR="00110E24" w:rsidRPr="009F7A40">
        <w:rPr>
          <w:i/>
          <w:iCs/>
          <w:lang w:val="en-CA"/>
        </w:rPr>
        <w:t>supra</w:t>
      </w:r>
      <w:r w:rsidR="00110E24" w:rsidRPr="009F7A40">
        <w:rPr>
          <w:lang w:val="en-CA"/>
        </w:rPr>
        <w:t xml:space="preserve"> note</w:t>
      </w:r>
      <w:r w:rsidRPr="009F7A40">
        <w:rPr>
          <w:lang w:val="en-CA"/>
        </w:rPr>
        <w:t xml:space="preserve"> 4</w:t>
      </w:r>
      <w:r w:rsidR="00110E24" w:rsidRPr="009F7A40">
        <w:rPr>
          <w:lang w:val="en-CA"/>
        </w:rPr>
        <w:t xml:space="preserve"> at</w:t>
      </w:r>
      <w:r w:rsidRPr="009F7A40">
        <w:rPr>
          <w:lang w:val="en-CA"/>
        </w:rPr>
        <w:t> </w:t>
      </w:r>
      <w:r w:rsidR="000A6176">
        <w:rPr>
          <w:lang w:val="en-CA"/>
        </w:rPr>
        <w:t xml:space="preserve">p. </w:t>
      </w:r>
      <w:r w:rsidRPr="009F7A40">
        <w:rPr>
          <w:lang w:val="en-CA"/>
        </w:rPr>
        <w:t>29.</w:t>
      </w:r>
    </w:p>
  </w:footnote>
  <w:footnote w:id="20">
    <w:p w14:paraId="2D0A477E" w14:textId="7A3C1211" w:rsidR="00037D95" w:rsidRPr="00110E24" w:rsidRDefault="00037D95" w:rsidP="00037D95">
      <w:pPr>
        <w:pStyle w:val="Notedebasdepage"/>
        <w:rPr>
          <w:lang w:val="en-CA"/>
        </w:rPr>
      </w:pPr>
      <w:r>
        <w:rPr>
          <w:rStyle w:val="Appelnotedebasdep"/>
        </w:rPr>
        <w:footnoteRef/>
      </w:r>
      <w:r w:rsidRPr="00110E24">
        <w:rPr>
          <w:lang w:val="en-CA"/>
        </w:rPr>
        <w:t xml:space="preserve"> </w:t>
      </w:r>
      <w:r w:rsidRPr="00110E24">
        <w:rPr>
          <w:lang w:val="en-CA"/>
        </w:rPr>
        <w:tab/>
      </w:r>
      <w:r w:rsidRPr="009F7A40">
        <w:rPr>
          <w:i/>
          <w:iCs/>
          <w:lang w:val="en-CA"/>
        </w:rPr>
        <w:t>I</w:t>
      </w:r>
      <w:r w:rsidR="00110E24" w:rsidRPr="009F7A40">
        <w:rPr>
          <w:i/>
          <w:iCs/>
          <w:lang w:val="en-CA"/>
        </w:rPr>
        <w:t>bi</w:t>
      </w:r>
      <w:r w:rsidRPr="009F7A40">
        <w:rPr>
          <w:i/>
          <w:iCs/>
          <w:lang w:val="en-CA"/>
        </w:rPr>
        <w:t>d</w:t>
      </w:r>
      <w:r w:rsidRPr="009F7A40">
        <w:rPr>
          <w:lang w:val="en-CA"/>
        </w:rPr>
        <w:t>.</w:t>
      </w:r>
      <w:r w:rsidR="00110E24" w:rsidRPr="009F7A40">
        <w:rPr>
          <w:lang w:val="en-CA"/>
        </w:rPr>
        <w:t xml:space="preserve"> at</w:t>
      </w:r>
      <w:r w:rsidRPr="009F7A40">
        <w:rPr>
          <w:lang w:val="en-CA"/>
        </w:rPr>
        <w:t> </w:t>
      </w:r>
      <w:r w:rsidR="000A6176">
        <w:rPr>
          <w:lang w:val="en-CA"/>
        </w:rPr>
        <w:t xml:space="preserve">p. </w:t>
      </w:r>
      <w:r w:rsidRPr="009F7A40">
        <w:rPr>
          <w:lang w:val="en-CA"/>
        </w:rPr>
        <w:t>30.</w:t>
      </w:r>
    </w:p>
  </w:footnote>
  <w:footnote w:id="21">
    <w:p w14:paraId="2DDB560B" w14:textId="05FBEB2A" w:rsidR="00037D95" w:rsidRPr="00110E24" w:rsidRDefault="00037D95" w:rsidP="00037D95">
      <w:pPr>
        <w:pStyle w:val="Notedebasdepage"/>
        <w:rPr>
          <w:lang w:val="en-CA"/>
        </w:rPr>
      </w:pPr>
      <w:r>
        <w:rPr>
          <w:rStyle w:val="Appelnotedebasdep"/>
        </w:rPr>
        <w:footnoteRef/>
      </w:r>
      <w:r w:rsidRPr="00110E24">
        <w:rPr>
          <w:lang w:val="en-CA"/>
        </w:rPr>
        <w:t xml:space="preserve"> </w:t>
      </w:r>
      <w:r w:rsidRPr="00110E24">
        <w:rPr>
          <w:lang w:val="en-CA"/>
        </w:rPr>
        <w:tab/>
      </w:r>
      <w:r w:rsidRPr="009F7A40">
        <w:rPr>
          <w:i/>
          <w:iCs/>
          <w:lang w:val="en-CA"/>
        </w:rPr>
        <w:t>I</w:t>
      </w:r>
      <w:r w:rsidR="00110E24" w:rsidRPr="009F7A40">
        <w:rPr>
          <w:i/>
          <w:iCs/>
          <w:lang w:val="en-CA"/>
        </w:rPr>
        <w:t>bi</w:t>
      </w:r>
      <w:r w:rsidRPr="009F7A40">
        <w:rPr>
          <w:i/>
          <w:iCs/>
          <w:lang w:val="en-CA"/>
        </w:rPr>
        <w:t>d</w:t>
      </w:r>
      <w:r w:rsidRPr="009F7A40">
        <w:rPr>
          <w:lang w:val="en-CA"/>
        </w:rPr>
        <w:t>.</w:t>
      </w:r>
      <w:r w:rsidR="00110E24" w:rsidRPr="009F7A40">
        <w:rPr>
          <w:lang w:val="en-CA"/>
        </w:rPr>
        <w:t xml:space="preserve"> at</w:t>
      </w:r>
      <w:r w:rsidRPr="009F7A40">
        <w:rPr>
          <w:lang w:val="en-CA"/>
        </w:rPr>
        <w:t> </w:t>
      </w:r>
      <w:r w:rsidR="000A6176">
        <w:rPr>
          <w:lang w:val="en-CA"/>
        </w:rPr>
        <w:t xml:space="preserve">p. </w:t>
      </w:r>
      <w:r w:rsidRPr="009F7A40">
        <w:rPr>
          <w:lang w:val="en-CA"/>
        </w:rPr>
        <w:t>34.</w:t>
      </w:r>
    </w:p>
  </w:footnote>
  <w:footnote w:id="22">
    <w:p w14:paraId="5032CD3D" w14:textId="5DA21E32" w:rsidR="005306D8" w:rsidRPr="00110E24" w:rsidRDefault="005306D8" w:rsidP="005306D8">
      <w:pPr>
        <w:pStyle w:val="Notedebasdepage"/>
        <w:rPr>
          <w:lang w:val="en-CA"/>
        </w:rPr>
      </w:pPr>
      <w:r>
        <w:rPr>
          <w:rStyle w:val="Appelnotedebasdep"/>
        </w:rPr>
        <w:footnoteRef/>
      </w:r>
      <w:r w:rsidRPr="00110E24">
        <w:rPr>
          <w:lang w:val="en-CA"/>
        </w:rPr>
        <w:t xml:space="preserve"> </w:t>
      </w:r>
      <w:r w:rsidRPr="00110E24">
        <w:rPr>
          <w:lang w:val="en-CA"/>
        </w:rPr>
        <w:tab/>
      </w:r>
      <w:r w:rsidR="00110E24" w:rsidRPr="00110E24">
        <w:rPr>
          <w:lang w:val="en-CA"/>
        </w:rPr>
        <w:t>E</w:t>
      </w:r>
      <w:r w:rsidR="00110E24" w:rsidRPr="009F7A40">
        <w:rPr>
          <w:lang w:val="en-CA"/>
        </w:rPr>
        <w:t>xhibit</w:t>
      </w:r>
      <w:r w:rsidRPr="009F7A40">
        <w:rPr>
          <w:lang w:val="en-CA"/>
        </w:rPr>
        <w:t xml:space="preserve"> P-2, </w:t>
      </w:r>
      <w:r w:rsidR="00110E24" w:rsidRPr="009F7A40">
        <w:rPr>
          <w:lang w:val="en-CA"/>
        </w:rPr>
        <w:t xml:space="preserve">Video of cell </w:t>
      </w:r>
      <w:r w:rsidRPr="009F7A40">
        <w:rPr>
          <w:lang w:val="en-CA"/>
        </w:rPr>
        <w:t>36.</w:t>
      </w:r>
    </w:p>
  </w:footnote>
  <w:footnote w:id="23">
    <w:p w14:paraId="113503E1" w14:textId="13875804" w:rsidR="005306D8" w:rsidRPr="00110E24" w:rsidRDefault="005306D8" w:rsidP="005306D8">
      <w:pPr>
        <w:pStyle w:val="Notedebasdepage"/>
        <w:rPr>
          <w:lang w:val="en-CA"/>
        </w:rPr>
      </w:pPr>
      <w:r>
        <w:rPr>
          <w:rStyle w:val="Appelnotedebasdep"/>
        </w:rPr>
        <w:footnoteRef/>
      </w:r>
      <w:r w:rsidRPr="00110E24">
        <w:rPr>
          <w:lang w:val="en-CA"/>
        </w:rPr>
        <w:t xml:space="preserve"> </w:t>
      </w:r>
      <w:r w:rsidRPr="00110E24">
        <w:rPr>
          <w:lang w:val="en-CA"/>
        </w:rPr>
        <w:tab/>
      </w:r>
      <w:r w:rsidRPr="009F7A40">
        <w:rPr>
          <w:lang w:val="en-CA"/>
        </w:rPr>
        <w:t>P-14,</w:t>
      </w:r>
      <w:r w:rsidR="00110E24" w:rsidRPr="009F7A40">
        <w:rPr>
          <w:lang w:val="en-CA"/>
        </w:rPr>
        <w:t xml:space="preserve"> </w:t>
      </w:r>
      <w:r w:rsidR="00110E24" w:rsidRPr="009F7A40">
        <w:rPr>
          <w:i/>
          <w:iCs/>
          <w:lang w:val="en-CA"/>
        </w:rPr>
        <w:t>supra</w:t>
      </w:r>
      <w:r w:rsidR="00110E24" w:rsidRPr="009F7A40">
        <w:rPr>
          <w:lang w:val="en-CA"/>
        </w:rPr>
        <w:t xml:space="preserve"> note</w:t>
      </w:r>
      <w:r w:rsidRPr="009F7A40">
        <w:rPr>
          <w:lang w:val="en-CA"/>
        </w:rPr>
        <w:t xml:space="preserve"> 4</w:t>
      </w:r>
      <w:r w:rsidR="00110E24" w:rsidRPr="009F7A40">
        <w:rPr>
          <w:lang w:val="en-CA"/>
        </w:rPr>
        <w:t xml:space="preserve"> at</w:t>
      </w:r>
      <w:r w:rsidRPr="009F7A40">
        <w:rPr>
          <w:lang w:val="en-CA"/>
        </w:rPr>
        <w:t> </w:t>
      </w:r>
      <w:r w:rsidR="002F5C82">
        <w:rPr>
          <w:lang w:val="en-CA"/>
        </w:rPr>
        <w:t xml:space="preserve">p. </w:t>
      </w:r>
      <w:r w:rsidRPr="009F7A40">
        <w:rPr>
          <w:lang w:val="en-CA"/>
        </w:rPr>
        <w:t>36.</w:t>
      </w:r>
    </w:p>
  </w:footnote>
  <w:footnote w:id="24">
    <w:p w14:paraId="600042AF" w14:textId="34698A73" w:rsidR="00C41D7B" w:rsidRPr="009230A6" w:rsidRDefault="00C41D7B" w:rsidP="00C41D7B">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I</w:t>
      </w:r>
      <w:r w:rsidR="00110E24" w:rsidRPr="009230A6">
        <w:rPr>
          <w:i/>
          <w:iCs/>
          <w:lang w:val="en-CA"/>
        </w:rPr>
        <w:t>bi</w:t>
      </w:r>
      <w:r w:rsidRPr="009230A6">
        <w:rPr>
          <w:i/>
          <w:iCs/>
          <w:lang w:val="en-CA"/>
        </w:rPr>
        <w:t>d</w:t>
      </w:r>
      <w:r w:rsidRPr="009230A6">
        <w:rPr>
          <w:lang w:val="en-CA"/>
        </w:rPr>
        <w:t>.</w:t>
      </w:r>
      <w:r w:rsidR="00110E24" w:rsidRPr="009230A6">
        <w:rPr>
          <w:lang w:val="en-CA"/>
        </w:rPr>
        <w:t xml:space="preserve"> at</w:t>
      </w:r>
      <w:r w:rsidRPr="009230A6">
        <w:rPr>
          <w:lang w:val="en-CA"/>
        </w:rPr>
        <w:t> </w:t>
      </w:r>
      <w:r w:rsidR="002F5C82">
        <w:rPr>
          <w:lang w:val="en-CA"/>
        </w:rPr>
        <w:t xml:space="preserve">p. </w:t>
      </w:r>
      <w:r w:rsidRPr="009230A6">
        <w:rPr>
          <w:lang w:val="en-CA"/>
        </w:rPr>
        <w:t>44.</w:t>
      </w:r>
    </w:p>
  </w:footnote>
  <w:footnote w:id="25">
    <w:p w14:paraId="5D062140" w14:textId="343A709C" w:rsidR="00147A04" w:rsidRPr="00110E24" w:rsidRDefault="00147A04" w:rsidP="00147A04">
      <w:pPr>
        <w:pStyle w:val="Notedebasdepage"/>
        <w:rPr>
          <w:lang w:val="en-CA"/>
        </w:rPr>
      </w:pPr>
      <w:r>
        <w:rPr>
          <w:rStyle w:val="Appelnotedebasdep"/>
        </w:rPr>
        <w:footnoteRef/>
      </w:r>
      <w:r w:rsidRPr="00110E24">
        <w:rPr>
          <w:lang w:val="en-CA"/>
        </w:rPr>
        <w:t xml:space="preserve"> </w:t>
      </w:r>
      <w:r w:rsidRPr="00110E24">
        <w:rPr>
          <w:lang w:val="en-CA"/>
        </w:rPr>
        <w:tab/>
      </w:r>
      <w:r w:rsidR="00110E24" w:rsidRPr="00110E24">
        <w:rPr>
          <w:lang w:val="en-CA"/>
        </w:rPr>
        <w:t>This was a level 3 escort, the [</w:t>
      </w:r>
      <w:r w:rsidR="00110E24" w:rsidRPr="00110E24">
        <w:rPr>
          <w:smallCaps/>
          <w:lang w:val="en-CA"/>
        </w:rPr>
        <w:t>translation</w:t>
      </w:r>
      <w:r w:rsidR="00110E24" w:rsidRPr="00110E24">
        <w:rPr>
          <w:lang w:val="en-CA"/>
        </w:rPr>
        <w:t xml:space="preserve">] </w:t>
      </w:r>
      <w:r w:rsidR="00110E24">
        <w:rPr>
          <w:lang w:val="en-CA"/>
        </w:rPr>
        <w:t>“</w:t>
      </w:r>
      <w:r w:rsidR="00110E24" w:rsidRPr="00110E24">
        <w:rPr>
          <w:lang w:val="en-CA"/>
        </w:rPr>
        <w:t>most restrictive level of escor</w:t>
      </w:r>
      <w:r w:rsidR="00110E24">
        <w:rPr>
          <w:lang w:val="en-CA"/>
        </w:rPr>
        <w:t>t”</w:t>
      </w:r>
      <w:r w:rsidR="00110E24" w:rsidRPr="00110E24">
        <w:rPr>
          <w:lang w:val="en-CA"/>
        </w:rPr>
        <w:t>: Exhibit D-12, Expert report of Patrick</w:t>
      </w:r>
      <w:r w:rsidRPr="00110E24">
        <w:rPr>
          <w:lang w:val="en-CA"/>
        </w:rPr>
        <w:t xml:space="preserve"> Léveillé</w:t>
      </w:r>
      <w:r w:rsidR="001022A5">
        <w:rPr>
          <w:lang w:val="en-CA"/>
        </w:rPr>
        <w:t>,</w:t>
      </w:r>
      <w:r w:rsidR="00235815">
        <w:rPr>
          <w:lang w:val="en-CA"/>
        </w:rPr>
        <w:t xml:space="preserve"> </w:t>
      </w:r>
      <w:r w:rsidRPr="00110E24">
        <w:rPr>
          <w:lang w:val="en-CA"/>
        </w:rPr>
        <w:t>6 </w:t>
      </w:r>
      <w:r w:rsidR="00110E24">
        <w:rPr>
          <w:lang w:val="en-CA"/>
        </w:rPr>
        <w:t>July</w:t>
      </w:r>
      <w:r w:rsidRPr="00110E24">
        <w:rPr>
          <w:lang w:val="en-CA"/>
        </w:rPr>
        <w:t xml:space="preserve"> 2022</w:t>
      </w:r>
      <w:r w:rsidR="001022A5">
        <w:rPr>
          <w:lang w:val="en-CA"/>
        </w:rPr>
        <w:t>,</w:t>
      </w:r>
      <w:r w:rsidR="00110E24">
        <w:rPr>
          <w:lang w:val="en-CA"/>
        </w:rPr>
        <w:t xml:space="preserve"> at</w:t>
      </w:r>
      <w:r w:rsidRPr="00110E24">
        <w:rPr>
          <w:lang w:val="en-CA"/>
        </w:rPr>
        <w:t> </w:t>
      </w:r>
      <w:r w:rsidR="003B22CB">
        <w:rPr>
          <w:lang w:val="en-CA"/>
        </w:rPr>
        <w:t xml:space="preserve">pp. </w:t>
      </w:r>
      <w:r w:rsidRPr="00110E24">
        <w:rPr>
          <w:lang w:val="en-CA"/>
        </w:rPr>
        <w:t xml:space="preserve">8 </w:t>
      </w:r>
      <w:r w:rsidR="00110E24">
        <w:rPr>
          <w:lang w:val="en-CA"/>
        </w:rPr>
        <w:t>and</w:t>
      </w:r>
      <w:r w:rsidRPr="00110E24">
        <w:rPr>
          <w:lang w:val="en-CA"/>
        </w:rPr>
        <w:t xml:space="preserve"> 10.</w:t>
      </w:r>
    </w:p>
  </w:footnote>
  <w:footnote w:id="26">
    <w:p w14:paraId="010AECF2" w14:textId="13DFDA18" w:rsidR="00147A04" w:rsidRPr="00110E24" w:rsidRDefault="00147A04" w:rsidP="00147A04">
      <w:pPr>
        <w:pStyle w:val="Notedebasdepage"/>
        <w:rPr>
          <w:lang w:val="en-CA"/>
        </w:rPr>
      </w:pPr>
      <w:r>
        <w:rPr>
          <w:rStyle w:val="Appelnotedebasdep"/>
        </w:rPr>
        <w:footnoteRef/>
      </w:r>
      <w:r w:rsidRPr="00110E24">
        <w:rPr>
          <w:lang w:val="en-CA"/>
        </w:rPr>
        <w:t xml:space="preserve"> </w:t>
      </w:r>
      <w:r w:rsidRPr="00110E24">
        <w:rPr>
          <w:lang w:val="en-CA"/>
        </w:rPr>
        <w:tab/>
      </w:r>
      <w:r w:rsidRPr="009F7A40">
        <w:rPr>
          <w:lang w:val="en-CA"/>
        </w:rPr>
        <w:t xml:space="preserve">P-14, </w:t>
      </w:r>
      <w:r w:rsidR="00110E24" w:rsidRPr="00235815">
        <w:rPr>
          <w:i/>
          <w:iCs/>
          <w:lang w:val="en-CA"/>
        </w:rPr>
        <w:t>supra</w:t>
      </w:r>
      <w:r w:rsidRPr="009F7A40">
        <w:rPr>
          <w:lang w:val="en-CA"/>
        </w:rPr>
        <w:t xml:space="preserve"> note 4</w:t>
      </w:r>
      <w:r w:rsidR="00110E24" w:rsidRPr="009F7A40">
        <w:rPr>
          <w:lang w:val="en-CA"/>
        </w:rPr>
        <w:t xml:space="preserve"> at</w:t>
      </w:r>
      <w:r w:rsidRPr="009F7A40">
        <w:rPr>
          <w:lang w:val="en-CA"/>
        </w:rPr>
        <w:t> </w:t>
      </w:r>
      <w:r w:rsidR="003B22CB">
        <w:rPr>
          <w:lang w:val="en-CA"/>
        </w:rPr>
        <w:t xml:space="preserve">p. </w:t>
      </w:r>
      <w:r w:rsidRPr="009F7A40">
        <w:rPr>
          <w:lang w:val="en-CA"/>
        </w:rPr>
        <w:t>44.</w:t>
      </w:r>
    </w:p>
  </w:footnote>
  <w:footnote w:id="27">
    <w:p w14:paraId="4A54726A" w14:textId="78949479" w:rsidR="00105E88" w:rsidRPr="00110E24" w:rsidRDefault="001834C5">
      <w:pPr>
        <w:pStyle w:val="Notedebasdepage"/>
        <w:rPr>
          <w:lang w:val="en-CA"/>
        </w:rPr>
      </w:pPr>
      <w:r>
        <w:rPr>
          <w:rStyle w:val="Appelnotedebasdep"/>
        </w:rPr>
        <w:footnoteRef/>
      </w:r>
      <w:r w:rsidR="008D01FF" w:rsidRPr="00110E24">
        <w:rPr>
          <w:lang w:val="en-CA"/>
        </w:rPr>
        <w:t xml:space="preserve"> </w:t>
      </w:r>
      <w:r w:rsidR="008D01FF" w:rsidRPr="00110E24">
        <w:rPr>
          <w:lang w:val="en-CA"/>
        </w:rPr>
        <w:tab/>
      </w:r>
      <w:r w:rsidR="008D01FF" w:rsidRPr="009F7A40">
        <w:rPr>
          <w:i/>
          <w:iCs/>
          <w:lang w:val="en-CA"/>
        </w:rPr>
        <w:t>I</w:t>
      </w:r>
      <w:r w:rsidR="00110E24" w:rsidRPr="009F7A40">
        <w:rPr>
          <w:i/>
          <w:iCs/>
          <w:lang w:val="en-CA"/>
        </w:rPr>
        <w:t>bi</w:t>
      </w:r>
      <w:r w:rsidR="008D01FF" w:rsidRPr="009F7A40">
        <w:rPr>
          <w:i/>
          <w:iCs/>
          <w:lang w:val="en-CA"/>
        </w:rPr>
        <w:t>d.</w:t>
      </w:r>
      <w:r w:rsidR="00110E24" w:rsidRPr="009F7A40">
        <w:rPr>
          <w:lang w:val="en-CA"/>
        </w:rPr>
        <w:t xml:space="preserve"> at</w:t>
      </w:r>
      <w:r w:rsidR="008D01FF" w:rsidRPr="009F7A40">
        <w:rPr>
          <w:lang w:val="en-CA"/>
        </w:rPr>
        <w:t> </w:t>
      </w:r>
      <w:r w:rsidR="003B22CB">
        <w:rPr>
          <w:lang w:val="en-CA"/>
        </w:rPr>
        <w:t xml:space="preserve">pp. </w:t>
      </w:r>
      <w:r w:rsidR="008D01FF" w:rsidRPr="009F7A40">
        <w:rPr>
          <w:lang w:val="en-CA"/>
        </w:rPr>
        <w:t xml:space="preserve">44 </w:t>
      </w:r>
      <w:r w:rsidR="00110E24" w:rsidRPr="009F7A40">
        <w:rPr>
          <w:lang w:val="en-CA"/>
        </w:rPr>
        <w:t xml:space="preserve">and </w:t>
      </w:r>
      <w:r w:rsidR="008D01FF" w:rsidRPr="009F7A40">
        <w:rPr>
          <w:lang w:val="en-CA"/>
        </w:rPr>
        <w:t>45.</w:t>
      </w:r>
    </w:p>
  </w:footnote>
  <w:footnote w:id="28">
    <w:p w14:paraId="6F7D0F63" w14:textId="5D25955D" w:rsidR="00147A04" w:rsidRPr="00110E24" w:rsidRDefault="00147A04" w:rsidP="00147A04">
      <w:pPr>
        <w:pStyle w:val="Notedebasdepage"/>
        <w:rPr>
          <w:lang w:val="en-CA"/>
        </w:rPr>
      </w:pPr>
      <w:r>
        <w:rPr>
          <w:rStyle w:val="Appelnotedebasdep"/>
        </w:rPr>
        <w:footnoteRef/>
      </w:r>
      <w:r w:rsidRPr="00110E24">
        <w:rPr>
          <w:lang w:val="en-CA"/>
        </w:rPr>
        <w:t xml:space="preserve"> </w:t>
      </w:r>
      <w:r w:rsidRPr="00110E24">
        <w:rPr>
          <w:lang w:val="en-CA"/>
        </w:rPr>
        <w:tab/>
      </w:r>
      <w:r w:rsidR="00110E24" w:rsidRPr="00110E24">
        <w:rPr>
          <w:lang w:val="en-CA"/>
        </w:rPr>
        <w:t xml:space="preserve">Exhibit </w:t>
      </w:r>
      <w:r w:rsidRPr="00110E24">
        <w:rPr>
          <w:lang w:val="en-CA"/>
        </w:rPr>
        <w:t>P-3, Vid</w:t>
      </w:r>
      <w:r w:rsidR="00110E24" w:rsidRPr="00110E24">
        <w:rPr>
          <w:lang w:val="en-CA"/>
        </w:rPr>
        <w:t>e</w:t>
      </w:r>
      <w:r w:rsidRPr="00110E24">
        <w:rPr>
          <w:lang w:val="en-CA"/>
        </w:rPr>
        <w:t>o (</w:t>
      </w:r>
      <w:r w:rsidR="00110E24" w:rsidRPr="00110E24">
        <w:rPr>
          <w:lang w:val="en-CA"/>
        </w:rPr>
        <w:t xml:space="preserve">No. </w:t>
      </w:r>
      <w:r w:rsidRPr="00110E24">
        <w:rPr>
          <w:lang w:val="en-CA"/>
        </w:rPr>
        <w:t xml:space="preserve">1) </w:t>
      </w:r>
      <w:r w:rsidR="00110E24" w:rsidRPr="00110E24">
        <w:rPr>
          <w:lang w:val="en-CA"/>
        </w:rPr>
        <w:t xml:space="preserve">of a corridor in Department </w:t>
      </w:r>
      <w:r w:rsidRPr="00110E24">
        <w:rPr>
          <w:lang w:val="en-CA"/>
        </w:rPr>
        <w:t>5.</w:t>
      </w:r>
    </w:p>
  </w:footnote>
  <w:footnote w:id="29">
    <w:p w14:paraId="1703E9F2" w14:textId="4BA60D40" w:rsidR="00147A04" w:rsidRPr="00110E24" w:rsidRDefault="00147A04" w:rsidP="00147A04">
      <w:pPr>
        <w:pStyle w:val="Notedebasdepage"/>
        <w:rPr>
          <w:lang w:val="en-CA"/>
        </w:rPr>
      </w:pPr>
      <w:r>
        <w:rPr>
          <w:rStyle w:val="Appelnotedebasdep"/>
        </w:rPr>
        <w:footnoteRef/>
      </w:r>
      <w:r w:rsidRPr="00110E24">
        <w:rPr>
          <w:lang w:val="en-CA"/>
        </w:rPr>
        <w:t xml:space="preserve"> </w:t>
      </w:r>
      <w:r w:rsidRPr="00110E24">
        <w:rPr>
          <w:lang w:val="en-CA"/>
        </w:rPr>
        <w:tab/>
      </w:r>
      <w:r w:rsidR="00110E24" w:rsidRPr="00110E24">
        <w:rPr>
          <w:lang w:val="en-CA"/>
        </w:rPr>
        <w:t>E</w:t>
      </w:r>
      <w:r w:rsidR="00110E24" w:rsidRPr="009F7A40">
        <w:rPr>
          <w:lang w:val="en-CA"/>
        </w:rPr>
        <w:t>xhibit</w:t>
      </w:r>
      <w:r w:rsidRPr="00110E24">
        <w:rPr>
          <w:lang w:val="en-CA"/>
        </w:rPr>
        <w:t> P-4, Vid</w:t>
      </w:r>
      <w:r w:rsidR="00110E24" w:rsidRPr="00110E24">
        <w:rPr>
          <w:lang w:val="en-CA"/>
        </w:rPr>
        <w:t>e</w:t>
      </w:r>
      <w:r w:rsidRPr="00110E24">
        <w:rPr>
          <w:lang w:val="en-CA"/>
        </w:rPr>
        <w:t>o (</w:t>
      </w:r>
      <w:r w:rsidR="00110E24" w:rsidRPr="00110E24">
        <w:rPr>
          <w:lang w:val="en-CA"/>
        </w:rPr>
        <w:t xml:space="preserve">No. </w:t>
      </w:r>
      <w:r w:rsidRPr="00110E24">
        <w:rPr>
          <w:lang w:val="en-CA"/>
        </w:rPr>
        <w:t xml:space="preserve">2) </w:t>
      </w:r>
      <w:r w:rsidR="00110E24" w:rsidRPr="00110E24">
        <w:rPr>
          <w:lang w:val="en-CA"/>
        </w:rPr>
        <w:t xml:space="preserve">of a corridor in Department </w:t>
      </w:r>
      <w:r w:rsidRPr="00110E24">
        <w:rPr>
          <w:lang w:val="en-CA"/>
        </w:rPr>
        <w:t>5.</w:t>
      </w:r>
    </w:p>
  </w:footnote>
  <w:footnote w:id="30">
    <w:p w14:paraId="6E52846B" w14:textId="77777777" w:rsidR="00123A44" w:rsidRPr="00110E24" w:rsidRDefault="00123A44" w:rsidP="00123A44">
      <w:pPr>
        <w:pStyle w:val="Notedebasdepage"/>
        <w:rPr>
          <w:lang w:val="en-CA"/>
        </w:rPr>
      </w:pPr>
      <w:r>
        <w:rPr>
          <w:rStyle w:val="Appelnotedebasdep"/>
        </w:rPr>
        <w:footnoteRef/>
      </w:r>
      <w:r w:rsidRPr="00110E24">
        <w:rPr>
          <w:lang w:val="en-CA"/>
        </w:rPr>
        <w:t xml:space="preserve"> </w:t>
      </w:r>
      <w:r w:rsidRPr="00110E24">
        <w:rPr>
          <w:lang w:val="en-CA"/>
        </w:rPr>
        <w:tab/>
        <w:t>Exhibit P-5, Video (No. 3) of a corridor in Department 5.</w:t>
      </w:r>
    </w:p>
  </w:footnote>
  <w:footnote w:id="31">
    <w:p w14:paraId="4E431948" w14:textId="7347ED66" w:rsidR="00147A04" w:rsidRPr="00110E24" w:rsidRDefault="00147A04" w:rsidP="00147A04">
      <w:pPr>
        <w:pStyle w:val="Notedebasdepage"/>
        <w:rPr>
          <w:lang w:val="en-CA"/>
        </w:rPr>
      </w:pPr>
      <w:r>
        <w:rPr>
          <w:rStyle w:val="Appelnotedebasdep"/>
        </w:rPr>
        <w:footnoteRef/>
      </w:r>
      <w:r w:rsidRPr="00110E24">
        <w:rPr>
          <w:lang w:val="en-CA"/>
        </w:rPr>
        <w:t xml:space="preserve"> </w:t>
      </w:r>
      <w:r w:rsidRPr="00110E24">
        <w:rPr>
          <w:lang w:val="en-CA"/>
        </w:rPr>
        <w:tab/>
      </w:r>
      <w:r w:rsidRPr="009F7A40">
        <w:rPr>
          <w:lang w:val="en-CA"/>
        </w:rPr>
        <w:t xml:space="preserve">P-14, </w:t>
      </w:r>
      <w:r w:rsidR="00110E24" w:rsidRPr="000818EF">
        <w:rPr>
          <w:i/>
          <w:iCs/>
          <w:lang w:val="en-CA"/>
        </w:rPr>
        <w:t>supra</w:t>
      </w:r>
      <w:r w:rsidR="00110E24" w:rsidRPr="009F7A40">
        <w:rPr>
          <w:lang w:val="en-CA"/>
        </w:rPr>
        <w:t xml:space="preserve"> </w:t>
      </w:r>
      <w:r w:rsidRPr="009F7A40">
        <w:rPr>
          <w:lang w:val="en-CA"/>
        </w:rPr>
        <w:t>note 4</w:t>
      </w:r>
      <w:r w:rsidR="00110E24" w:rsidRPr="009F7A40">
        <w:rPr>
          <w:lang w:val="en-CA"/>
        </w:rPr>
        <w:t xml:space="preserve"> at</w:t>
      </w:r>
      <w:r w:rsidRPr="009F7A40">
        <w:rPr>
          <w:lang w:val="en-CA"/>
        </w:rPr>
        <w:t> </w:t>
      </w:r>
      <w:r w:rsidR="003B22CB">
        <w:rPr>
          <w:lang w:val="en-CA"/>
        </w:rPr>
        <w:t xml:space="preserve">p. </w:t>
      </w:r>
      <w:r w:rsidRPr="009F7A40">
        <w:rPr>
          <w:lang w:val="en-CA"/>
        </w:rPr>
        <w:t>31.</w:t>
      </w:r>
    </w:p>
  </w:footnote>
  <w:footnote w:id="32">
    <w:p w14:paraId="64C96186" w14:textId="3C12498B" w:rsidR="007117F4" w:rsidRPr="00110E24" w:rsidRDefault="007117F4" w:rsidP="007117F4">
      <w:pPr>
        <w:pStyle w:val="Notedebasdepage"/>
        <w:rPr>
          <w:lang w:val="en-CA"/>
        </w:rPr>
      </w:pPr>
      <w:r>
        <w:rPr>
          <w:rStyle w:val="Appelnotedebasdep"/>
        </w:rPr>
        <w:footnoteRef/>
      </w:r>
      <w:r w:rsidRPr="00110E24">
        <w:rPr>
          <w:lang w:val="en-CA"/>
        </w:rPr>
        <w:t xml:space="preserve"> </w:t>
      </w:r>
      <w:r w:rsidRPr="00110E24">
        <w:rPr>
          <w:lang w:val="en-CA"/>
        </w:rPr>
        <w:tab/>
      </w:r>
      <w:r w:rsidRPr="009F7A40">
        <w:rPr>
          <w:i/>
          <w:iCs/>
          <w:lang w:val="en-CA"/>
        </w:rPr>
        <w:t>I</w:t>
      </w:r>
      <w:r w:rsidR="00110E24" w:rsidRPr="009F7A40">
        <w:rPr>
          <w:i/>
          <w:iCs/>
          <w:lang w:val="en-CA"/>
        </w:rPr>
        <w:t>bi</w:t>
      </w:r>
      <w:r w:rsidRPr="009F7A40">
        <w:rPr>
          <w:i/>
          <w:iCs/>
          <w:lang w:val="en-CA"/>
        </w:rPr>
        <w:t>d.</w:t>
      </w:r>
      <w:r w:rsidRPr="009F7A40">
        <w:rPr>
          <w:lang w:val="en-CA"/>
        </w:rPr>
        <w:t xml:space="preserve"> </w:t>
      </w:r>
      <w:r w:rsidR="00110E24" w:rsidRPr="009F7A40">
        <w:rPr>
          <w:lang w:val="en-CA"/>
        </w:rPr>
        <w:t>at</w:t>
      </w:r>
      <w:r w:rsidRPr="009F7A40">
        <w:rPr>
          <w:lang w:val="en-CA"/>
        </w:rPr>
        <w:t> </w:t>
      </w:r>
      <w:r w:rsidR="003B22CB">
        <w:rPr>
          <w:lang w:val="en-CA"/>
        </w:rPr>
        <w:t xml:space="preserve">p. </w:t>
      </w:r>
      <w:r w:rsidRPr="009F7A40">
        <w:rPr>
          <w:lang w:val="en-CA"/>
        </w:rPr>
        <w:t>33.</w:t>
      </w:r>
    </w:p>
  </w:footnote>
  <w:footnote w:id="33">
    <w:p w14:paraId="1FD08F4A" w14:textId="481515ED" w:rsidR="007117F4" w:rsidRPr="00110E24" w:rsidRDefault="007117F4" w:rsidP="007117F4">
      <w:pPr>
        <w:pStyle w:val="Notedebasdepage"/>
        <w:rPr>
          <w:lang w:val="en-CA"/>
        </w:rPr>
      </w:pPr>
      <w:r>
        <w:rPr>
          <w:rStyle w:val="Appelnotedebasdep"/>
        </w:rPr>
        <w:footnoteRef/>
      </w:r>
      <w:r w:rsidRPr="00110E24">
        <w:rPr>
          <w:lang w:val="en-CA"/>
        </w:rPr>
        <w:t xml:space="preserve"> </w:t>
      </w:r>
      <w:r w:rsidRPr="00110E24">
        <w:rPr>
          <w:lang w:val="en-CA"/>
        </w:rPr>
        <w:tab/>
      </w:r>
      <w:r w:rsidRPr="009F7A40">
        <w:rPr>
          <w:i/>
          <w:iCs/>
          <w:lang w:val="en-CA"/>
        </w:rPr>
        <w:t>I</w:t>
      </w:r>
      <w:r w:rsidR="00110E24" w:rsidRPr="009F7A40">
        <w:rPr>
          <w:i/>
          <w:iCs/>
          <w:lang w:val="en-CA"/>
        </w:rPr>
        <w:t xml:space="preserve">bid. </w:t>
      </w:r>
      <w:r w:rsidR="00110E24" w:rsidRPr="009F7A40">
        <w:rPr>
          <w:lang w:val="en-CA"/>
        </w:rPr>
        <w:t xml:space="preserve">at </w:t>
      </w:r>
      <w:r w:rsidR="003B22CB">
        <w:rPr>
          <w:lang w:val="en-CA"/>
        </w:rPr>
        <w:t xml:space="preserve">p. </w:t>
      </w:r>
      <w:r w:rsidRPr="009F7A40">
        <w:rPr>
          <w:lang w:val="en-CA"/>
        </w:rPr>
        <w:t>32.</w:t>
      </w:r>
    </w:p>
  </w:footnote>
  <w:footnote w:id="34">
    <w:p w14:paraId="1A3DD7B6" w14:textId="22F640FF" w:rsidR="007117F4" w:rsidRPr="009230A6" w:rsidRDefault="007117F4" w:rsidP="007117F4">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I</w:t>
      </w:r>
      <w:r w:rsidR="00110E24" w:rsidRPr="009230A6">
        <w:rPr>
          <w:i/>
          <w:iCs/>
          <w:lang w:val="en-CA"/>
        </w:rPr>
        <w:t>bi</w:t>
      </w:r>
      <w:r w:rsidRPr="009230A6">
        <w:rPr>
          <w:i/>
          <w:iCs/>
          <w:lang w:val="en-CA"/>
        </w:rPr>
        <w:t>d.</w:t>
      </w:r>
      <w:r w:rsidR="00110E24" w:rsidRPr="009230A6">
        <w:rPr>
          <w:lang w:val="en-CA"/>
        </w:rPr>
        <w:t xml:space="preserve"> at</w:t>
      </w:r>
      <w:r w:rsidRPr="009230A6">
        <w:rPr>
          <w:lang w:val="en-CA"/>
        </w:rPr>
        <w:t> </w:t>
      </w:r>
      <w:r w:rsidR="003B22CB">
        <w:rPr>
          <w:lang w:val="en-CA"/>
        </w:rPr>
        <w:t xml:space="preserve">p. </w:t>
      </w:r>
      <w:r w:rsidRPr="009230A6">
        <w:rPr>
          <w:lang w:val="en-CA"/>
        </w:rPr>
        <w:t>59.</w:t>
      </w:r>
    </w:p>
  </w:footnote>
  <w:footnote w:id="35">
    <w:p w14:paraId="524DD8B6" w14:textId="113DFEC2" w:rsidR="007117F4" w:rsidRPr="00110E24" w:rsidRDefault="007117F4" w:rsidP="007117F4">
      <w:pPr>
        <w:pStyle w:val="Notedebasdepage"/>
        <w:rPr>
          <w:lang w:val="en-CA"/>
        </w:rPr>
      </w:pPr>
      <w:r>
        <w:rPr>
          <w:rStyle w:val="Appelnotedebasdep"/>
        </w:rPr>
        <w:footnoteRef/>
      </w:r>
      <w:r w:rsidRPr="00110E24">
        <w:rPr>
          <w:lang w:val="en-CA"/>
        </w:rPr>
        <w:t xml:space="preserve"> </w:t>
      </w:r>
      <w:r w:rsidRPr="00110E24">
        <w:rPr>
          <w:lang w:val="en-CA"/>
        </w:rPr>
        <w:tab/>
      </w:r>
      <w:r w:rsidR="00110E24" w:rsidRPr="00110E24">
        <w:rPr>
          <w:lang w:val="en-CA"/>
        </w:rPr>
        <w:t xml:space="preserve">During their visit to the scene, the members of the </w:t>
      </w:r>
      <w:r w:rsidR="00232ABC" w:rsidRPr="00110E24">
        <w:rPr>
          <w:lang w:val="en-CA"/>
        </w:rPr>
        <w:t>Tribunal</w:t>
      </w:r>
      <w:r w:rsidR="00110E24" w:rsidRPr="00110E24">
        <w:rPr>
          <w:lang w:val="en-CA"/>
        </w:rPr>
        <w:t xml:space="preserve"> </w:t>
      </w:r>
      <w:r w:rsidR="00110E24">
        <w:rPr>
          <w:lang w:val="en-CA"/>
        </w:rPr>
        <w:t xml:space="preserve">were able to </w:t>
      </w:r>
      <w:r w:rsidR="00110E24" w:rsidRPr="00110E24">
        <w:rPr>
          <w:lang w:val="en-CA"/>
        </w:rPr>
        <w:t xml:space="preserve">observe </w:t>
      </w:r>
      <w:r w:rsidR="00110E24">
        <w:rPr>
          <w:lang w:val="en-CA"/>
        </w:rPr>
        <w:t xml:space="preserve">the uncleanliness of </w:t>
      </w:r>
      <w:r w:rsidR="00232ABC">
        <w:rPr>
          <w:lang w:val="en-CA"/>
        </w:rPr>
        <w:t xml:space="preserve">the cell </w:t>
      </w:r>
      <w:r w:rsidR="00110E24" w:rsidRPr="00110E24">
        <w:rPr>
          <w:lang w:val="en-CA"/>
        </w:rPr>
        <w:t>floors</w:t>
      </w:r>
      <w:r w:rsidRPr="00110E24">
        <w:rPr>
          <w:lang w:val="en-CA"/>
        </w:rPr>
        <w:t>.</w:t>
      </w:r>
    </w:p>
  </w:footnote>
  <w:footnote w:id="36">
    <w:p w14:paraId="77610E95" w14:textId="07C25360" w:rsidR="007117F4" w:rsidRPr="009230A6" w:rsidRDefault="007117F4" w:rsidP="007117F4">
      <w:pPr>
        <w:pStyle w:val="Notedebasdepage"/>
        <w:rPr>
          <w:lang w:val="en-CA"/>
        </w:rPr>
      </w:pPr>
      <w:r>
        <w:rPr>
          <w:rStyle w:val="Appelnotedebasdep"/>
        </w:rPr>
        <w:footnoteRef/>
      </w:r>
      <w:r w:rsidRPr="009230A6">
        <w:rPr>
          <w:lang w:val="en-CA"/>
        </w:rPr>
        <w:t xml:space="preserve"> </w:t>
      </w:r>
      <w:r w:rsidRPr="009230A6">
        <w:rPr>
          <w:lang w:val="en-CA"/>
        </w:rPr>
        <w:tab/>
        <w:t xml:space="preserve">P-14, </w:t>
      </w:r>
      <w:r w:rsidR="00110E24" w:rsidRPr="009230A6">
        <w:rPr>
          <w:i/>
          <w:iCs/>
          <w:lang w:val="en-CA"/>
        </w:rPr>
        <w:t>supra</w:t>
      </w:r>
      <w:r w:rsidR="00110E24" w:rsidRPr="009230A6">
        <w:rPr>
          <w:lang w:val="en-CA"/>
        </w:rPr>
        <w:t xml:space="preserve"> </w:t>
      </w:r>
      <w:r w:rsidRPr="009230A6">
        <w:rPr>
          <w:lang w:val="en-CA"/>
        </w:rPr>
        <w:t>note 4</w:t>
      </w:r>
      <w:r w:rsidR="00110E24" w:rsidRPr="009230A6">
        <w:rPr>
          <w:lang w:val="en-CA"/>
        </w:rPr>
        <w:t xml:space="preserve"> at</w:t>
      </w:r>
      <w:r w:rsidRPr="009230A6">
        <w:rPr>
          <w:lang w:val="en-CA"/>
        </w:rPr>
        <w:t> </w:t>
      </w:r>
      <w:r w:rsidR="003B22CB">
        <w:rPr>
          <w:lang w:val="en-CA"/>
        </w:rPr>
        <w:t xml:space="preserve">p. </w:t>
      </w:r>
      <w:r w:rsidRPr="009230A6">
        <w:rPr>
          <w:lang w:val="en-CA"/>
        </w:rPr>
        <w:t>57.</w:t>
      </w:r>
    </w:p>
  </w:footnote>
  <w:footnote w:id="37">
    <w:p w14:paraId="7B24777A" w14:textId="0F6AC05D" w:rsidR="007117F4" w:rsidRPr="00110E24" w:rsidRDefault="007117F4" w:rsidP="007117F4">
      <w:pPr>
        <w:pStyle w:val="Notedebasdepage"/>
        <w:rPr>
          <w:lang w:val="en-CA"/>
        </w:rPr>
      </w:pPr>
      <w:r>
        <w:rPr>
          <w:rStyle w:val="Appelnotedebasdep"/>
        </w:rPr>
        <w:footnoteRef/>
      </w:r>
      <w:r w:rsidRPr="00110E24">
        <w:rPr>
          <w:lang w:val="en-CA"/>
        </w:rPr>
        <w:t xml:space="preserve"> </w:t>
      </w:r>
      <w:r w:rsidRPr="00110E24">
        <w:rPr>
          <w:lang w:val="en-CA"/>
        </w:rPr>
        <w:tab/>
      </w:r>
      <w:r w:rsidR="00110E24" w:rsidRPr="009F7A40">
        <w:rPr>
          <w:lang w:val="en-CA"/>
        </w:rPr>
        <w:t>Exhibit</w:t>
      </w:r>
      <w:r w:rsidRPr="009F7A40">
        <w:rPr>
          <w:lang w:val="en-CA"/>
        </w:rPr>
        <w:t xml:space="preserve"> P-15, </w:t>
      </w:r>
      <w:r w:rsidR="00110E24" w:rsidRPr="009F7A40">
        <w:rPr>
          <w:lang w:val="en-CA"/>
        </w:rPr>
        <w:t>Pre-trial examination of</w:t>
      </w:r>
      <w:r w:rsidRPr="009F7A40">
        <w:rPr>
          <w:lang w:val="en-CA"/>
        </w:rPr>
        <w:t> Hugues Comeau-Bastien</w:t>
      </w:r>
      <w:r w:rsidR="005E1E53">
        <w:rPr>
          <w:lang w:val="en-CA"/>
        </w:rPr>
        <w:t>,</w:t>
      </w:r>
      <w:r w:rsidR="00235815">
        <w:rPr>
          <w:lang w:val="en-CA"/>
        </w:rPr>
        <w:t xml:space="preserve"> </w:t>
      </w:r>
      <w:r w:rsidRPr="009F7A40">
        <w:rPr>
          <w:lang w:val="en-CA"/>
        </w:rPr>
        <w:t>3 </w:t>
      </w:r>
      <w:r w:rsidR="00110E24" w:rsidRPr="009F7A40">
        <w:rPr>
          <w:lang w:val="en-CA"/>
        </w:rPr>
        <w:t>February</w:t>
      </w:r>
      <w:r w:rsidRPr="009F7A40">
        <w:rPr>
          <w:lang w:val="en-CA"/>
        </w:rPr>
        <w:t xml:space="preserve"> 2022</w:t>
      </w:r>
      <w:r w:rsidR="005E1E53">
        <w:rPr>
          <w:lang w:val="en-CA"/>
        </w:rPr>
        <w:t>,</w:t>
      </w:r>
      <w:r w:rsidR="00110E24" w:rsidRPr="009F7A40">
        <w:rPr>
          <w:lang w:val="en-CA"/>
        </w:rPr>
        <w:t xml:space="preserve"> at</w:t>
      </w:r>
      <w:r w:rsidRPr="009F7A40">
        <w:rPr>
          <w:lang w:val="en-CA"/>
        </w:rPr>
        <w:t> </w:t>
      </w:r>
      <w:r w:rsidR="003B22CB">
        <w:rPr>
          <w:lang w:val="en-CA"/>
        </w:rPr>
        <w:t xml:space="preserve">p. </w:t>
      </w:r>
      <w:r w:rsidRPr="009F7A40">
        <w:rPr>
          <w:lang w:val="en-CA"/>
        </w:rPr>
        <w:t>40.</w:t>
      </w:r>
    </w:p>
  </w:footnote>
  <w:footnote w:id="38">
    <w:p w14:paraId="639BB6D1" w14:textId="6516B38C" w:rsidR="007117F4" w:rsidRPr="00110E24" w:rsidRDefault="007117F4" w:rsidP="007117F4">
      <w:pPr>
        <w:pStyle w:val="Notedebasdepage"/>
        <w:rPr>
          <w:lang w:val="en-CA"/>
        </w:rPr>
      </w:pPr>
      <w:r>
        <w:rPr>
          <w:rStyle w:val="Appelnotedebasdep"/>
        </w:rPr>
        <w:footnoteRef/>
      </w:r>
      <w:r w:rsidRPr="00110E24">
        <w:rPr>
          <w:lang w:val="en-CA"/>
        </w:rPr>
        <w:t xml:space="preserve"> </w:t>
      </w:r>
      <w:r w:rsidRPr="00110E24">
        <w:rPr>
          <w:lang w:val="en-CA"/>
        </w:rPr>
        <w:tab/>
      </w:r>
      <w:r w:rsidR="00110E24" w:rsidRPr="009F7A40">
        <w:rPr>
          <w:lang w:val="en-CA"/>
        </w:rPr>
        <w:t>Exhibit</w:t>
      </w:r>
      <w:r w:rsidRPr="00110E24">
        <w:rPr>
          <w:lang w:val="en-CA"/>
        </w:rPr>
        <w:t xml:space="preserve"> D-16, </w:t>
      </w:r>
      <w:r w:rsidR="00110E24" w:rsidRPr="00110E24">
        <w:rPr>
          <w:lang w:val="en-CA"/>
        </w:rPr>
        <w:t>Curved-blade stainless steel knife measuring</w:t>
      </w:r>
      <w:r w:rsidR="00110E24">
        <w:rPr>
          <w:lang w:val="en-CA"/>
        </w:rPr>
        <w:t xml:space="preserve"> 17 </w:t>
      </w:r>
      <w:r w:rsidRPr="00110E24">
        <w:rPr>
          <w:lang w:val="en-CA"/>
        </w:rPr>
        <w:t>centim</w:t>
      </w:r>
      <w:r w:rsidR="00110E24">
        <w:rPr>
          <w:lang w:val="en-CA"/>
        </w:rPr>
        <w:t>e</w:t>
      </w:r>
      <w:r w:rsidRPr="00110E24">
        <w:rPr>
          <w:lang w:val="en-CA"/>
        </w:rPr>
        <w:t xml:space="preserve">tres </w:t>
      </w:r>
      <w:r w:rsidR="00110E24">
        <w:rPr>
          <w:lang w:val="en-CA"/>
        </w:rPr>
        <w:t>when deployed</w:t>
      </w:r>
      <w:r w:rsidRPr="00110E24">
        <w:rPr>
          <w:lang w:val="en-CA"/>
        </w:rPr>
        <w:t>.</w:t>
      </w:r>
    </w:p>
  </w:footnote>
  <w:footnote w:id="39">
    <w:p w14:paraId="7223FADA" w14:textId="25B372D8" w:rsidR="007117F4" w:rsidRPr="009230A6" w:rsidRDefault="007117F4" w:rsidP="007117F4">
      <w:pPr>
        <w:pStyle w:val="Notedebasdepage"/>
        <w:rPr>
          <w:lang w:val="en-CA"/>
        </w:rPr>
      </w:pPr>
      <w:r>
        <w:rPr>
          <w:rStyle w:val="Appelnotedebasdep"/>
        </w:rPr>
        <w:footnoteRef/>
      </w:r>
      <w:r w:rsidRPr="009230A6">
        <w:rPr>
          <w:lang w:val="en-CA"/>
        </w:rPr>
        <w:t xml:space="preserve"> </w:t>
      </w:r>
      <w:r w:rsidRPr="009230A6">
        <w:rPr>
          <w:lang w:val="en-CA"/>
        </w:rPr>
        <w:tab/>
        <w:t xml:space="preserve">P-14, </w:t>
      </w:r>
      <w:r w:rsidR="00110E24" w:rsidRPr="00232ABC">
        <w:rPr>
          <w:i/>
          <w:iCs/>
          <w:lang w:val="en-CA"/>
        </w:rPr>
        <w:t>supra</w:t>
      </w:r>
      <w:r w:rsidRPr="009230A6">
        <w:rPr>
          <w:lang w:val="en-CA"/>
        </w:rPr>
        <w:t xml:space="preserve"> note 4</w:t>
      </w:r>
      <w:r w:rsidR="00110E24" w:rsidRPr="009230A6">
        <w:rPr>
          <w:lang w:val="en-CA"/>
        </w:rPr>
        <w:t xml:space="preserve"> at</w:t>
      </w:r>
      <w:r w:rsidRPr="009230A6">
        <w:rPr>
          <w:lang w:val="en-CA"/>
        </w:rPr>
        <w:t> </w:t>
      </w:r>
      <w:r w:rsidR="003B22CB">
        <w:rPr>
          <w:lang w:val="en-CA"/>
        </w:rPr>
        <w:t xml:space="preserve">p. </w:t>
      </w:r>
      <w:r w:rsidRPr="009230A6">
        <w:rPr>
          <w:lang w:val="en-CA"/>
        </w:rPr>
        <w:t>59.</w:t>
      </w:r>
    </w:p>
  </w:footnote>
  <w:footnote w:id="40">
    <w:p w14:paraId="6A3F00EC" w14:textId="5F79995B" w:rsidR="00B60A45" w:rsidRPr="00110E24" w:rsidRDefault="00B60A45" w:rsidP="00B60A45">
      <w:pPr>
        <w:pStyle w:val="Notedebasdepage"/>
        <w:rPr>
          <w:lang w:val="en-CA"/>
        </w:rPr>
      </w:pPr>
      <w:r>
        <w:rPr>
          <w:rStyle w:val="Appelnotedebasdep"/>
        </w:rPr>
        <w:footnoteRef/>
      </w:r>
      <w:r w:rsidRPr="00110E24">
        <w:rPr>
          <w:lang w:val="en-CA"/>
        </w:rPr>
        <w:t xml:space="preserve"> </w:t>
      </w:r>
      <w:r w:rsidRPr="00110E24">
        <w:rPr>
          <w:lang w:val="en-CA"/>
        </w:rPr>
        <w:tab/>
      </w:r>
      <w:r w:rsidRPr="009F7A40">
        <w:rPr>
          <w:lang w:val="en-CA"/>
        </w:rPr>
        <w:t>P-14,</w:t>
      </w:r>
      <w:r w:rsidR="00110E24" w:rsidRPr="009F7A40">
        <w:rPr>
          <w:lang w:val="en-CA"/>
        </w:rPr>
        <w:t xml:space="preserve"> </w:t>
      </w:r>
      <w:r w:rsidR="00110E24" w:rsidRPr="00235815">
        <w:rPr>
          <w:i/>
          <w:iCs/>
          <w:lang w:val="en-CA"/>
        </w:rPr>
        <w:t>supra</w:t>
      </w:r>
      <w:r w:rsidR="00110E24" w:rsidRPr="009F7A40">
        <w:rPr>
          <w:lang w:val="en-CA"/>
        </w:rPr>
        <w:t xml:space="preserve"> </w:t>
      </w:r>
      <w:r w:rsidRPr="009F7A40">
        <w:rPr>
          <w:lang w:val="en-CA"/>
        </w:rPr>
        <w:t>note 4</w:t>
      </w:r>
      <w:r w:rsidR="00110E24" w:rsidRPr="009F7A40">
        <w:rPr>
          <w:lang w:val="en-CA"/>
        </w:rPr>
        <w:t xml:space="preserve"> at</w:t>
      </w:r>
      <w:r w:rsidRPr="009F7A40">
        <w:rPr>
          <w:lang w:val="en-CA"/>
        </w:rPr>
        <w:t> </w:t>
      </w:r>
      <w:r w:rsidR="003B22CB">
        <w:rPr>
          <w:lang w:val="en-CA"/>
        </w:rPr>
        <w:t xml:space="preserve">p. </w:t>
      </w:r>
      <w:r w:rsidRPr="009F7A40">
        <w:rPr>
          <w:lang w:val="en-CA"/>
        </w:rPr>
        <w:t>85.</w:t>
      </w:r>
    </w:p>
  </w:footnote>
  <w:footnote w:id="41">
    <w:p w14:paraId="51BFBFFF" w14:textId="1E128A33" w:rsidR="00B60A45" w:rsidRPr="00110E24" w:rsidRDefault="00B60A45" w:rsidP="00B60A45">
      <w:pPr>
        <w:pStyle w:val="Notedebasdepage"/>
        <w:rPr>
          <w:lang w:val="en-CA"/>
        </w:rPr>
      </w:pPr>
      <w:r>
        <w:rPr>
          <w:rStyle w:val="Appelnotedebasdep"/>
        </w:rPr>
        <w:footnoteRef/>
      </w:r>
      <w:r w:rsidRPr="00110E24">
        <w:rPr>
          <w:lang w:val="en-CA"/>
        </w:rPr>
        <w:t xml:space="preserve"> </w:t>
      </w:r>
      <w:r w:rsidRPr="00110E24">
        <w:rPr>
          <w:lang w:val="en-CA"/>
        </w:rPr>
        <w:tab/>
      </w:r>
      <w:r w:rsidRPr="009F7A40">
        <w:rPr>
          <w:i/>
          <w:iCs/>
          <w:lang w:val="en-CA"/>
        </w:rPr>
        <w:t>I</w:t>
      </w:r>
      <w:r w:rsidR="00110E24" w:rsidRPr="009F7A40">
        <w:rPr>
          <w:i/>
          <w:iCs/>
          <w:lang w:val="en-CA"/>
        </w:rPr>
        <w:t>bi</w:t>
      </w:r>
      <w:r w:rsidRPr="009F7A40">
        <w:rPr>
          <w:i/>
          <w:iCs/>
          <w:lang w:val="en-CA"/>
        </w:rPr>
        <w:t>d</w:t>
      </w:r>
      <w:r w:rsidRPr="009F7A40">
        <w:rPr>
          <w:lang w:val="en-CA"/>
        </w:rPr>
        <w:t>.</w:t>
      </w:r>
      <w:r w:rsidR="00110E24" w:rsidRPr="009F7A40">
        <w:rPr>
          <w:lang w:val="en-CA"/>
        </w:rPr>
        <w:t xml:space="preserve"> at</w:t>
      </w:r>
      <w:r w:rsidRPr="009F7A40">
        <w:rPr>
          <w:lang w:val="en-CA"/>
        </w:rPr>
        <w:t> </w:t>
      </w:r>
      <w:r w:rsidR="003B22CB">
        <w:rPr>
          <w:lang w:val="en-CA"/>
        </w:rPr>
        <w:t xml:space="preserve">p. </w:t>
      </w:r>
      <w:r w:rsidRPr="009F7A40">
        <w:rPr>
          <w:lang w:val="en-CA"/>
        </w:rPr>
        <w:t>86.</w:t>
      </w:r>
    </w:p>
  </w:footnote>
  <w:footnote w:id="42">
    <w:p w14:paraId="1B1D2112" w14:textId="71E7DCF0" w:rsidR="00B60A45" w:rsidRPr="00110E24" w:rsidRDefault="00B60A45" w:rsidP="00B60A45">
      <w:pPr>
        <w:pStyle w:val="Notedebasdepage"/>
        <w:rPr>
          <w:lang w:val="en-CA"/>
        </w:rPr>
      </w:pPr>
      <w:r>
        <w:rPr>
          <w:rStyle w:val="Appelnotedebasdep"/>
        </w:rPr>
        <w:footnoteRef/>
      </w:r>
      <w:r w:rsidRPr="00110E24">
        <w:rPr>
          <w:lang w:val="en-CA"/>
        </w:rPr>
        <w:t xml:space="preserve"> </w:t>
      </w:r>
      <w:r w:rsidRPr="00110E24">
        <w:rPr>
          <w:lang w:val="en-CA"/>
        </w:rPr>
        <w:tab/>
      </w:r>
      <w:r w:rsidR="00110E24" w:rsidRPr="00110E24">
        <w:rPr>
          <w:lang w:val="en-CA"/>
        </w:rPr>
        <w:t xml:space="preserve">Exhibit </w:t>
      </w:r>
      <w:r w:rsidRPr="00110E24">
        <w:rPr>
          <w:lang w:val="en-CA"/>
        </w:rPr>
        <w:t>P-6, Vid</w:t>
      </w:r>
      <w:r w:rsidR="00110E24" w:rsidRPr="00110E24">
        <w:rPr>
          <w:lang w:val="en-CA"/>
        </w:rPr>
        <w:t>e</w:t>
      </w:r>
      <w:r w:rsidRPr="00110E24">
        <w:rPr>
          <w:lang w:val="en-CA"/>
        </w:rPr>
        <w:t>o (</w:t>
      </w:r>
      <w:r w:rsidR="00110E24" w:rsidRPr="00110E24">
        <w:rPr>
          <w:lang w:val="en-CA"/>
        </w:rPr>
        <w:t>No. 4</w:t>
      </w:r>
      <w:r w:rsidRPr="00110E24">
        <w:rPr>
          <w:lang w:val="en-CA"/>
        </w:rPr>
        <w:t xml:space="preserve">) </w:t>
      </w:r>
      <w:r w:rsidR="00110E24" w:rsidRPr="00110E24">
        <w:rPr>
          <w:lang w:val="en-CA"/>
        </w:rPr>
        <w:t xml:space="preserve">of cell </w:t>
      </w:r>
      <w:r w:rsidRPr="00110E24">
        <w:rPr>
          <w:lang w:val="en-CA"/>
        </w:rPr>
        <w:t>12.</w:t>
      </w:r>
    </w:p>
  </w:footnote>
  <w:footnote w:id="43">
    <w:p w14:paraId="51103615" w14:textId="56B2A049" w:rsidR="00B60A45" w:rsidRPr="009230A6" w:rsidRDefault="00B60A45" w:rsidP="00B60A45">
      <w:pPr>
        <w:pStyle w:val="Notedebasdepage"/>
        <w:rPr>
          <w:lang w:val="en-CA"/>
        </w:rPr>
      </w:pPr>
      <w:r>
        <w:rPr>
          <w:rStyle w:val="Appelnotedebasdep"/>
        </w:rPr>
        <w:footnoteRef/>
      </w:r>
      <w:r w:rsidRPr="009230A6">
        <w:rPr>
          <w:lang w:val="en-CA"/>
        </w:rPr>
        <w:t xml:space="preserve"> </w:t>
      </w:r>
      <w:r w:rsidRPr="009230A6">
        <w:rPr>
          <w:lang w:val="en-CA"/>
        </w:rPr>
        <w:tab/>
        <w:t xml:space="preserve">P-14, </w:t>
      </w:r>
      <w:r w:rsidR="00110E24" w:rsidRPr="009230A6">
        <w:rPr>
          <w:i/>
          <w:iCs/>
          <w:lang w:val="en-CA"/>
        </w:rPr>
        <w:t>supra</w:t>
      </w:r>
      <w:r w:rsidRPr="009230A6">
        <w:rPr>
          <w:lang w:val="en-CA"/>
        </w:rPr>
        <w:t xml:space="preserve"> note 4</w:t>
      </w:r>
      <w:r w:rsidR="00110E24" w:rsidRPr="009230A6">
        <w:rPr>
          <w:lang w:val="en-CA"/>
        </w:rPr>
        <w:t xml:space="preserve"> at</w:t>
      </w:r>
      <w:r w:rsidRPr="009230A6">
        <w:rPr>
          <w:lang w:val="en-CA"/>
        </w:rPr>
        <w:t> </w:t>
      </w:r>
      <w:r w:rsidR="003B22CB">
        <w:rPr>
          <w:lang w:val="en-CA"/>
        </w:rPr>
        <w:t xml:space="preserve">p. </w:t>
      </w:r>
      <w:r w:rsidRPr="009230A6">
        <w:rPr>
          <w:lang w:val="en-CA"/>
        </w:rPr>
        <w:t>55.</w:t>
      </w:r>
    </w:p>
  </w:footnote>
  <w:footnote w:id="44">
    <w:p w14:paraId="34A793A6" w14:textId="71DA1353" w:rsidR="00B60A45" w:rsidRPr="00110E24" w:rsidRDefault="00B60A45" w:rsidP="00B60A45">
      <w:pPr>
        <w:pStyle w:val="Notedebasdepage"/>
        <w:rPr>
          <w:lang w:val="en-CA"/>
        </w:rPr>
      </w:pPr>
      <w:r>
        <w:rPr>
          <w:rStyle w:val="Appelnotedebasdep"/>
        </w:rPr>
        <w:footnoteRef/>
      </w:r>
      <w:r w:rsidRPr="00110E24">
        <w:rPr>
          <w:lang w:val="en-CA"/>
        </w:rPr>
        <w:t xml:space="preserve"> </w:t>
      </w:r>
      <w:r w:rsidRPr="00110E24">
        <w:rPr>
          <w:lang w:val="en-CA"/>
        </w:rPr>
        <w:tab/>
      </w:r>
      <w:r w:rsidR="00110E24" w:rsidRPr="009F7A40">
        <w:rPr>
          <w:lang w:val="en-CA"/>
        </w:rPr>
        <w:t>Exhibit</w:t>
      </w:r>
      <w:r w:rsidRPr="009F7A40">
        <w:rPr>
          <w:lang w:val="en-CA"/>
        </w:rPr>
        <w:t xml:space="preserve"> P-15, </w:t>
      </w:r>
      <w:r w:rsidR="00110E24" w:rsidRPr="009F7A40">
        <w:rPr>
          <w:lang w:val="en-CA"/>
        </w:rPr>
        <w:t>Pre-trial examination of</w:t>
      </w:r>
      <w:r w:rsidRPr="009F7A40">
        <w:rPr>
          <w:lang w:val="en-CA"/>
        </w:rPr>
        <w:t> Hugues Comeau-Bastien</w:t>
      </w:r>
      <w:r w:rsidR="005E1E53">
        <w:rPr>
          <w:lang w:val="en-CA"/>
        </w:rPr>
        <w:t>,</w:t>
      </w:r>
      <w:r w:rsidR="00235815">
        <w:rPr>
          <w:lang w:val="en-CA"/>
        </w:rPr>
        <w:t xml:space="preserve"> </w:t>
      </w:r>
      <w:r w:rsidRPr="009F7A40">
        <w:rPr>
          <w:lang w:val="en-CA"/>
        </w:rPr>
        <w:t>3 </w:t>
      </w:r>
      <w:r w:rsidR="00110E24" w:rsidRPr="009F7A40">
        <w:rPr>
          <w:lang w:val="en-CA"/>
        </w:rPr>
        <w:t>February</w:t>
      </w:r>
      <w:r w:rsidRPr="009F7A40">
        <w:rPr>
          <w:lang w:val="en-CA"/>
        </w:rPr>
        <w:t xml:space="preserve"> 2022</w:t>
      </w:r>
      <w:r w:rsidR="005E1E53">
        <w:rPr>
          <w:lang w:val="en-CA"/>
        </w:rPr>
        <w:t>,</w:t>
      </w:r>
      <w:r w:rsidR="00110E24" w:rsidRPr="009F7A40">
        <w:rPr>
          <w:lang w:val="en-CA"/>
        </w:rPr>
        <w:t xml:space="preserve"> at</w:t>
      </w:r>
      <w:r w:rsidRPr="009F7A40">
        <w:rPr>
          <w:lang w:val="en-CA"/>
        </w:rPr>
        <w:t> </w:t>
      </w:r>
      <w:r w:rsidR="003B22CB">
        <w:rPr>
          <w:lang w:val="en-CA"/>
        </w:rPr>
        <w:t xml:space="preserve">p. </w:t>
      </w:r>
      <w:r w:rsidRPr="009F7A40">
        <w:rPr>
          <w:lang w:val="en-CA"/>
        </w:rPr>
        <w:t>38.</w:t>
      </w:r>
    </w:p>
  </w:footnote>
  <w:footnote w:id="45">
    <w:p w14:paraId="0BD917B6" w14:textId="08075B01" w:rsidR="00B60A45" w:rsidRPr="0008511F" w:rsidRDefault="00B60A45" w:rsidP="00B60A45">
      <w:pPr>
        <w:pStyle w:val="Notedebasdepage"/>
        <w:rPr>
          <w:lang w:val="en-CA"/>
        </w:rPr>
      </w:pPr>
      <w:r>
        <w:rPr>
          <w:rStyle w:val="Appelnotedebasdep"/>
        </w:rPr>
        <w:footnoteRef/>
      </w:r>
      <w:r w:rsidRPr="0008511F">
        <w:rPr>
          <w:lang w:val="en-CA"/>
        </w:rPr>
        <w:t xml:space="preserve"> </w:t>
      </w:r>
      <w:r w:rsidRPr="0008511F">
        <w:rPr>
          <w:lang w:val="en-CA"/>
        </w:rPr>
        <w:tab/>
      </w:r>
      <w:r w:rsidR="00110E24" w:rsidRPr="009F7A40">
        <w:rPr>
          <w:i/>
          <w:iCs/>
          <w:lang w:val="en-CA"/>
        </w:rPr>
        <w:t>Ibid.</w:t>
      </w:r>
    </w:p>
  </w:footnote>
  <w:footnote w:id="46">
    <w:p w14:paraId="286B666A" w14:textId="44F41ED6" w:rsidR="00B60A45" w:rsidRPr="0008511F" w:rsidRDefault="00B60A45" w:rsidP="00B60A45">
      <w:pPr>
        <w:pStyle w:val="Notedebasdepage"/>
        <w:rPr>
          <w:lang w:val="en-CA"/>
        </w:rPr>
      </w:pPr>
      <w:r>
        <w:rPr>
          <w:rStyle w:val="Appelnotedebasdep"/>
        </w:rPr>
        <w:footnoteRef/>
      </w:r>
      <w:r w:rsidRPr="0008511F">
        <w:rPr>
          <w:lang w:val="en-CA"/>
        </w:rPr>
        <w:t xml:space="preserve"> </w:t>
      </w:r>
      <w:r w:rsidRPr="0008511F">
        <w:rPr>
          <w:lang w:val="en-CA"/>
        </w:rPr>
        <w:tab/>
      </w:r>
      <w:r w:rsidRPr="009F7A40">
        <w:rPr>
          <w:i/>
          <w:iCs/>
          <w:lang w:val="en-CA"/>
        </w:rPr>
        <w:t>I</w:t>
      </w:r>
      <w:r w:rsidR="00110E24" w:rsidRPr="009F7A40">
        <w:rPr>
          <w:i/>
          <w:iCs/>
          <w:lang w:val="en-CA"/>
        </w:rPr>
        <w:t>bi</w:t>
      </w:r>
      <w:r w:rsidRPr="009F7A40">
        <w:rPr>
          <w:i/>
          <w:iCs/>
          <w:lang w:val="en-CA"/>
        </w:rPr>
        <w:t>d.</w:t>
      </w:r>
      <w:r w:rsidR="00110E24" w:rsidRPr="009F7A40">
        <w:rPr>
          <w:i/>
          <w:iCs/>
          <w:lang w:val="en-CA"/>
        </w:rPr>
        <w:t xml:space="preserve"> </w:t>
      </w:r>
      <w:r w:rsidR="00110E24" w:rsidRPr="009F7A40">
        <w:rPr>
          <w:lang w:val="en-CA"/>
        </w:rPr>
        <w:t>at</w:t>
      </w:r>
      <w:r w:rsidRPr="009F7A40">
        <w:rPr>
          <w:lang w:val="en-CA"/>
        </w:rPr>
        <w:t> </w:t>
      </w:r>
      <w:r w:rsidR="003B22CB">
        <w:rPr>
          <w:lang w:val="en-CA"/>
        </w:rPr>
        <w:t xml:space="preserve">p. </w:t>
      </w:r>
      <w:r w:rsidRPr="009F7A40">
        <w:rPr>
          <w:lang w:val="en-CA"/>
        </w:rPr>
        <w:t>39.</w:t>
      </w:r>
    </w:p>
  </w:footnote>
  <w:footnote w:id="47">
    <w:p w14:paraId="040ED08B" w14:textId="1BE8048F" w:rsidR="00B60A45" w:rsidRPr="0008511F" w:rsidRDefault="00B60A45" w:rsidP="00B60A45">
      <w:pPr>
        <w:pStyle w:val="Notedebasdepage"/>
        <w:rPr>
          <w:lang w:val="en-CA"/>
        </w:rPr>
      </w:pPr>
      <w:r>
        <w:rPr>
          <w:rStyle w:val="Appelnotedebasdep"/>
        </w:rPr>
        <w:footnoteRef/>
      </w:r>
      <w:r w:rsidRPr="0008511F">
        <w:rPr>
          <w:lang w:val="en-CA"/>
        </w:rPr>
        <w:t xml:space="preserve"> </w:t>
      </w:r>
      <w:r w:rsidRPr="0008511F">
        <w:rPr>
          <w:lang w:val="en-CA"/>
        </w:rPr>
        <w:tab/>
      </w:r>
      <w:r w:rsidRPr="009F7A40">
        <w:rPr>
          <w:i/>
          <w:iCs/>
          <w:lang w:val="en-CA"/>
        </w:rPr>
        <w:t>I</w:t>
      </w:r>
      <w:r w:rsidR="00110E24" w:rsidRPr="009F7A40">
        <w:rPr>
          <w:i/>
          <w:iCs/>
          <w:lang w:val="en-CA"/>
        </w:rPr>
        <w:t>bi</w:t>
      </w:r>
      <w:r w:rsidRPr="009F7A40">
        <w:rPr>
          <w:i/>
          <w:iCs/>
          <w:lang w:val="en-CA"/>
        </w:rPr>
        <w:t>d.</w:t>
      </w:r>
      <w:r w:rsidR="00110E24" w:rsidRPr="009F7A40">
        <w:rPr>
          <w:lang w:val="en-CA"/>
        </w:rPr>
        <w:t xml:space="preserve"> at</w:t>
      </w:r>
      <w:r w:rsidRPr="009F7A40">
        <w:rPr>
          <w:lang w:val="en-CA"/>
        </w:rPr>
        <w:t> </w:t>
      </w:r>
      <w:r w:rsidR="003B22CB">
        <w:rPr>
          <w:lang w:val="en-CA"/>
        </w:rPr>
        <w:t xml:space="preserve">p. </w:t>
      </w:r>
      <w:r w:rsidRPr="009F7A40">
        <w:rPr>
          <w:lang w:val="en-CA"/>
        </w:rPr>
        <w:t>44.</w:t>
      </w:r>
    </w:p>
  </w:footnote>
  <w:footnote w:id="48">
    <w:p w14:paraId="3A803D33" w14:textId="395CFED9" w:rsidR="00B60A45" w:rsidRPr="00110E24" w:rsidRDefault="00B60A45" w:rsidP="00B60A45">
      <w:pPr>
        <w:pStyle w:val="Notedebasdepage"/>
        <w:rPr>
          <w:lang w:val="en-CA"/>
        </w:rPr>
      </w:pPr>
      <w:r>
        <w:rPr>
          <w:rStyle w:val="Appelnotedebasdep"/>
        </w:rPr>
        <w:footnoteRef/>
      </w:r>
      <w:r w:rsidRPr="00110E24">
        <w:rPr>
          <w:lang w:val="en-CA"/>
        </w:rPr>
        <w:t xml:space="preserve"> </w:t>
      </w:r>
      <w:r w:rsidRPr="00110E24">
        <w:rPr>
          <w:lang w:val="en-CA"/>
        </w:rPr>
        <w:tab/>
      </w:r>
      <w:r w:rsidRPr="009F7A40">
        <w:rPr>
          <w:lang w:val="en-CA"/>
        </w:rPr>
        <w:t xml:space="preserve">D-12, </w:t>
      </w:r>
      <w:r w:rsidR="00110E24" w:rsidRPr="009F7A40">
        <w:rPr>
          <w:i/>
          <w:iCs/>
          <w:lang w:val="en-CA"/>
        </w:rPr>
        <w:t>supra</w:t>
      </w:r>
      <w:r w:rsidR="00110E24" w:rsidRPr="009F7A40">
        <w:rPr>
          <w:lang w:val="en-CA"/>
        </w:rPr>
        <w:t xml:space="preserve"> </w:t>
      </w:r>
      <w:r w:rsidRPr="009F7A40">
        <w:rPr>
          <w:lang w:val="en-CA"/>
        </w:rPr>
        <w:t>note 24</w:t>
      </w:r>
      <w:r w:rsidR="00110E24" w:rsidRPr="009F7A40">
        <w:rPr>
          <w:lang w:val="en-CA"/>
        </w:rPr>
        <w:t xml:space="preserve"> at</w:t>
      </w:r>
      <w:r w:rsidRPr="009F7A40">
        <w:rPr>
          <w:lang w:val="en-CA"/>
        </w:rPr>
        <w:t> </w:t>
      </w:r>
      <w:r w:rsidR="003B22CB">
        <w:rPr>
          <w:lang w:val="en-CA"/>
        </w:rPr>
        <w:t xml:space="preserve">p. </w:t>
      </w:r>
      <w:r w:rsidRPr="009F7A40">
        <w:rPr>
          <w:lang w:val="en-CA"/>
        </w:rPr>
        <w:t>3.</w:t>
      </w:r>
    </w:p>
  </w:footnote>
  <w:footnote w:id="49">
    <w:p w14:paraId="4F357AFB" w14:textId="17ADF6D5" w:rsidR="00B60A45" w:rsidRPr="00110E24" w:rsidRDefault="00B60A45" w:rsidP="00B60A45">
      <w:pPr>
        <w:pStyle w:val="Notedebasdepage"/>
        <w:rPr>
          <w:lang w:val="en-CA"/>
        </w:rPr>
      </w:pPr>
      <w:r>
        <w:rPr>
          <w:rStyle w:val="Appelnotedebasdep"/>
        </w:rPr>
        <w:footnoteRef/>
      </w:r>
      <w:r w:rsidRPr="00110E24">
        <w:rPr>
          <w:lang w:val="en-CA"/>
        </w:rPr>
        <w:t xml:space="preserve"> </w:t>
      </w:r>
      <w:r w:rsidRPr="00110E24">
        <w:rPr>
          <w:lang w:val="en-CA"/>
        </w:rPr>
        <w:tab/>
      </w:r>
      <w:r w:rsidRPr="009F7A40">
        <w:rPr>
          <w:lang w:val="en-CA"/>
        </w:rPr>
        <w:t>P-15,</w:t>
      </w:r>
      <w:r w:rsidR="00110E24" w:rsidRPr="009F7A40">
        <w:rPr>
          <w:lang w:val="en-CA"/>
        </w:rPr>
        <w:t xml:space="preserve"> </w:t>
      </w:r>
      <w:r w:rsidR="00110E24" w:rsidRPr="009F7A40">
        <w:rPr>
          <w:i/>
          <w:iCs/>
          <w:lang w:val="en-CA"/>
        </w:rPr>
        <w:t>supra</w:t>
      </w:r>
      <w:r w:rsidRPr="009F7A40">
        <w:rPr>
          <w:lang w:val="en-CA"/>
        </w:rPr>
        <w:t xml:space="preserve"> note 36</w:t>
      </w:r>
      <w:r w:rsidR="00110E24" w:rsidRPr="009F7A40">
        <w:rPr>
          <w:lang w:val="en-CA"/>
        </w:rPr>
        <w:t xml:space="preserve"> at </w:t>
      </w:r>
      <w:r w:rsidR="003B22CB">
        <w:rPr>
          <w:lang w:val="en-CA"/>
        </w:rPr>
        <w:t xml:space="preserve">p. </w:t>
      </w:r>
      <w:r w:rsidRPr="009F7A40">
        <w:rPr>
          <w:lang w:val="en-CA"/>
        </w:rPr>
        <w:t>44.</w:t>
      </w:r>
    </w:p>
  </w:footnote>
  <w:footnote w:id="50">
    <w:p w14:paraId="4DFF7DC9" w14:textId="4F3E554E" w:rsidR="00B60A45" w:rsidRPr="009230A6" w:rsidRDefault="00B60A45" w:rsidP="00B60A45">
      <w:pPr>
        <w:pStyle w:val="Notedebasdepage"/>
        <w:rPr>
          <w:lang w:val="en-CA"/>
        </w:rPr>
      </w:pPr>
      <w:r>
        <w:rPr>
          <w:rStyle w:val="Appelnotedebasdep"/>
        </w:rPr>
        <w:footnoteRef/>
      </w:r>
      <w:r w:rsidRPr="009230A6">
        <w:rPr>
          <w:lang w:val="en-CA"/>
        </w:rPr>
        <w:t xml:space="preserve"> </w:t>
      </w:r>
      <w:r w:rsidRPr="009230A6">
        <w:rPr>
          <w:lang w:val="en-CA"/>
        </w:rPr>
        <w:tab/>
        <w:t xml:space="preserve">P-14, </w:t>
      </w:r>
      <w:r w:rsidR="00110E24" w:rsidRPr="009230A6">
        <w:rPr>
          <w:i/>
          <w:iCs/>
          <w:lang w:val="en-CA"/>
        </w:rPr>
        <w:t>supra</w:t>
      </w:r>
      <w:r w:rsidR="00110E24" w:rsidRPr="009230A6">
        <w:rPr>
          <w:lang w:val="en-CA"/>
        </w:rPr>
        <w:t xml:space="preserve"> </w:t>
      </w:r>
      <w:r w:rsidRPr="009230A6">
        <w:rPr>
          <w:lang w:val="en-CA"/>
        </w:rPr>
        <w:t>note 4</w:t>
      </w:r>
      <w:r w:rsidR="00110E24" w:rsidRPr="009230A6">
        <w:rPr>
          <w:lang w:val="en-CA"/>
        </w:rPr>
        <w:t xml:space="preserve"> at</w:t>
      </w:r>
      <w:r w:rsidRPr="009230A6">
        <w:rPr>
          <w:lang w:val="en-CA"/>
        </w:rPr>
        <w:t> </w:t>
      </w:r>
      <w:r w:rsidR="003B22CB">
        <w:rPr>
          <w:lang w:val="en-CA"/>
        </w:rPr>
        <w:t xml:space="preserve">p. </w:t>
      </w:r>
      <w:r w:rsidRPr="009230A6">
        <w:rPr>
          <w:lang w:val="en-CA"/>
        </w:rPr>
        <w:t>84.</w:t>
      </w:r>
    </w:p>
  </w:footnote>
  <w:footnote w:id="51">
    <w:p w14:paraId="7F14960B" w14:textId="65F36EB9" w:rsidR="00B60A45" w:rsidRPr="00110E24" w:rsidRDefault="00B60A45" w:rsidP="00B60A45">
      <w:pPr>
        <w:pStyle w:val="Notedebasdepage"/>
        <w:rPr>
          <w:lang w:val="en-CA"/>
        </w:rPr>
      </w:pPr>
      <w:r>
        <w:rPr>
          <w:rStyle w:val="Appelnotedebasdep"/>
        </w:rPr>
        <w:footnoteRef/>
      </w:r>
      <w:r w:rsidRPr="00110E24">
        <w:rPr>
          <w:lang w:val="en-CA"/>
        </w:rPr>
        <w:t xml:space="preserve"> </w:t>
      </w:r>
      <w:r w:rsidRPr="00110E24">
        <w:rPr>
          <w:lang w:val="en-CA"/>
        </w:rPr>
        <w:tab/>
      </w:r>
      <w:r w:rsidR="00110E24" w:rsidRPr="009F7A40">
        <w:rPr>
          <w:lang w:val="en-CA"/>
        </w:rPr>
        <w:t>Exhibit</w:t>
      </w:r>
      <w:r w:rsidRPr="00110E24">
        <w:rPr>
          <w:lang w:val="en-CA"/>
        </w:rPr>
        <w:t> P-7, Vid</w:t>
      </w:r>
      <w:r w:rsidR="00110E24" w:rsidRPr="00110E24">
        <w:rPr>
          <w:lang w:val="en-CA"/>
        </w:rPr>
        <w:t>e</w:t>
      </w:r>
      <w:r w:rsidRPr="00110E24">
        <w:rPr>
          <w:lang w:val="en-CA"/>
        </w:rPr>
        <w:t>o (</w:t>
      </w:r>
      <w:r w:rsidR="00110E24" w:rsidRPr="00110E24">
        <w:rPr>
          <w:lang w:val="en-CA"/>
        </w:rPr>
        <w:t xml:space="preserve">No. </w:t>
      </w:r>
      <w:r w:rsidRPr="00110E24">
        <w:rPr>
          <w:lang w:val="en-CA"/>
        </w:rPr>
        <w:t xml:space="preserve">5) </w:t>
      </w:r>
      <w:r w:rsidR="00110E24" w:rsidRPr="00110E24">
        <w:rPr>
          <w:lang w:val="en-CA"/>
        </w:rPr>
        <w:t xml:space="preserve">of cell </w:t>
      </w:r>
      <w:r w:rsidRPr="00110E24">
        <w:rPr>
          <w:lang w:val="en-CA"/>
        </w:rPr>
        <w:t>10.</w:t>
      </w:r>
    </w:p>
  </w:footnote>
  <w:footnote w:id="52">
    <w:p w14:paraId="369E3E78" w14:textId="1F24CAE0" w:rsidR="00943743" w:rsidRPr="00110E24" w:rsidRDefault="00943743" w:rsidP="00943743">
      <w:pPr>
        <w:pStyle w:val="Notedebasdepage"/>
        <w:rPr>
          <w:lang w:val="en-CA"/>
        </w:rPr>
      </w:pPr>
      <w:r>
        <w:rPr>
          <w:rStyle w:val="Appelnotedebasdep"/>
        </w:rPr>
        <w:footnoteRef/>
      </w:r>
      <w:r w:rsidRPr="00110E24">
        <w:rPr>
          <w:lang w:val="en-CA"/>
        </w:rPr>
        <w:t xml:space="preserve"> </w:t>
      </w:r>
      <w:r w:rsidRPr="00110E24">
        <w:rPr>
          <w:lang w:val="en-CA"/>
        </w:rPr>
        <w:tab/>
      </w:r>
      <w:r w:rsidRPr="009F7A40">
        <w:rPr>
          <w:lang w:val="en-CA"/>
        </w:rPr>
        <w:t>Exhibit</w:t>
      </w:r>
      <w:r w:rsidRPr="00110E24">
        <w:rPr>
          <w:lang w:val="en-CA"/>
        </w:rPr>
        <w:t xml:space="preserve"> D-8, Computer summary of court ledger downloaded on 22 November 2021; Exhibit D-15, </w:t>
      </w:r>
      <w:r>
        <w:rPr>
          <w:lang w:val="en-CA"/>
        </w:rPr>
        <w:t xml:space="preserve">Computer summary of court ledger downloaded </w:t>
      </w:r>
      <w:r w:rsidR="00B5574C">
        <w:rPr>
          <w:lang w:val="en-CA"/>
        </w:rPr>
        <w:t xml:space="preserve">on </w:t>
      </w:r>
      <w:r w:rsidRPr="00110E24">
        <w:rPr>
          <w:lang w:val="en-CA"/>
        </w:rPr>
        <w:t>21 </w:t>
      </w:r>
      <w:r>
        <w:rPr>
          <w:lang w:val="en-CA"/>
        </w:rPr>
        <w:t>November</w:t>
      </w:r>
      <w:r w:rsidRPr="00110E24">
        <w:rPr>
          <w:lang w:val="en-CA"/>
        </w:rPr>
        <w:t xml:space="preserve"> 2022.</w:t>
      </w:r>
    </w:p>
  </w:footnote>
  <w:footnote w:id="53">
    <w:p w14:paraId="4F6FFD45" w14:textId="3A1A3E0A" w:rsidR="002B1E9A" w:rsidRPr="00993175" w:rsidRDefault="002B1E9A" w:rsidP="002B1E9A">
      <w:pPr>
        <w:pStyle w:val="Notedebasdepage"/>
      </w:pPr>
      <w:r w:rsidRPr="00993175">
        <w:rPr>
          <w:rStyle w:val="Appelnotedebasdep"/>
        </w:rPr>
        <w:footnoteRef/>
      </w:r>
      <w:r w:rsidRPr="00993175">
        <w:t xml:space="preserve"> </w:t>
      </w:r>
      <w:r w:rsidRPr="00993175">
        <w:tab/>
      </w:r>
      <w:r w:rsidRPr="00993175">
        <w:rPr>
          <w:i/>
          <w:iCs/>
        </w:rPr>
        <w:t>Commission des droits de la personne et des droits de la jeunesse (Samson-Thibault) c. Ville de Québec</w:t>
      </w:r>
      <w:r w:rsidRPr="00993175">
        <w:t>, 2021 QCTDP 23</w:t>
      </w:r>
      <w:r w:rsidR="00110E24" w:rsidRPr="00993175">
        <w:t xml:space="preserve"> at</w:t>
      </w:r>
      <w:r w:rsidRPr="00993175">
        <w:t xml:space="preserve"> par</w:t>
      </w:r>
      <w:r w:rsidR="00110E24" w:rsidRPr="00993175">
        <w:t>a</w:t>
      </w:r>
      <w:r w:rsidRPr="00993175">
        <w:t>. 56.</w:t>
      </w:r>
    </w:p>
  </w:footnote>
  <w:footnote w:id="54">
    <w:p w14:paraId="3198D0D5" w14:textId="25048780" w:rsidR="002B1E9A" w:rsidRDefault="002B1E9A" w:rsidP="002B1E9A">
      <w:pPr>
        <w:pStyle w:val="Notedebasdepage"/>
      </w:pPr>
      <w:r>
        <w:rPr>
          <w:rStyle w:val="Appelnotedebasdep"/>
        </w:rPr>
        <w:footnoteRef/>
      </w:r>
      <w:r>
        <w:t xml:space="preserve"> </w:t>
      </w:r>
      <w:r>
        <w:tab/>
      </w:r>
      <w:r w:rsidRPr="009F7A40">
        <w:rPr>
          <w:i/>
          <w:iCs/>
        </w:rPr>
        <w:t>I</w:t>
      </w:r>
      <w:r w:rsidR="00110E24" w:rsidRPr="009F7A40">
        <w:rPr>
          <w:i/>
          <w:iCs/>
        </w:rPr>
        <w:t>bid</w:t>
      </w:r>
      <w:r w:rsidRPr="009F7A40">
        <w:t>.</w:t>
      </w:r>
      <w:r w:rsidR="00110E24" w:rsidRPr="009F7A40">
        <w:t xml:space="preserve"> at</w:t>
      </w:r>
      <w:r w:rsidRPr="009F7A40">
        <w:t xml:space="preserve"> par</w:t>
      </w:r>
      <w:r w:rsidR="00110E24" w:rsidRPr="009F7A40">
        <w:t>a</w:t>
      </w:r>
      <w:r w:rsidRPr="009F7A40">
        <w:t>.</w:t>
      </w:r>
      <w:r w:rsidRPr="00FC10F8">
        <w:t xml:space="preserve"> 57.</w:t>
      </w:r>
    </w:p>
  </w:footnote>
  <w:footnote w:id="55">
    <w:p w14:paraId="6D82A40B" w14:textId="77777777" w:rsidR="002B1E9A" w:rsidRDefault="002B1E9A" w:rsidP="002B1E9A">
      <w:pPr>
        <w:pStyle w:val="Notedebasdepage"/>
      </w:pPr>
      <w:r>
        <w:rPr>
          <w:rStyle w:val="Appelnotedebasdep"/>
        </w:rPr>
        <w:footnoteRef/>
      </w:r>
      <w:r>
        <w:t xml:space="preserve"> </w:t>
      </w:r>
      <w:r>
        <w:tab/>
      </w:r>
      <w:r w:rsidRPr="009F7A40">
        <w:rPr>
          <w:i/>
          <w:iCs/>
        </w:rPr>
        <w:t>Commission des droits de la personne et des droits de la jeunesse (Lecavalier et autres) c. Ville de Montréal (SPVM)</w:t>
      </w:r>
      <w:r w:rsidRPr="009F7A40">
        <w:t>, 2021 QCTDP 24.</w:t>
      </w:r>
    </w:p>
  </w:footnote>
  <w:footnote w:id="56">
    <w:p w14:paraId="73D39F27" w14:textId="3F92E06E" w:rsidR="002B1E9A" w:rsidRDefault="002B1E9A" w:rsidP="002B1E9A">
      <w:pPr>
        <w:pStyle w:val="Notedebasdepage"/>
      </w:pPr>
      <w:r>
        <w:rPr>
          <w:rStyle w:val="Appelnotedebasdep"/>
        </w:rPr>
        <w:footnoteRef/>
      </w:r>
      <w:r w:rsidRPr="00110E24">
        <w:rPr>
          <w:lang w:val="en-CA"/>
        </w:rPr>
        <w:t xml:space="preserve"> </w:t>
      </w:r>
      <w:r w:rsidRPr="00110E24">
        <w:rPr>
          <w:lang w:val="en-CA"/>
        </w:rPr>
        <w:tab/>
      </w:r>
      <w:r w:rsidRPr="009F7A40">
        <w:rPr>
          <w:i/>
          <w:iCs/>
          <w:lang w:val="en-CA"/>
        </w:rPr>
        <w:t xml:space="preserve">Farber </w:t>
      </w:r>
      <w:r w:rsidR="00110E24" w:rsidRPr="009F7A40">
        <w:rPr>
          <w:i/>
          <w:iCs/>
          <w:lang w:val="en-CA"/>
        </w:rPr>
        <w:t>v</w:t>
      </w:r>
      <w:r w:rsidRPr="009F7A40">
        <w:rPr>
          <w:i/>
          <w:iCs/>
          <w:lang w:val="en-CA"/>
        </w:rPr>
        <w:t xml:space="preserve">. </w:t>
      </w:r>
      <w:r w:rsidR="00110E24" w:rsidRPr="009F7A40">
        <w:rPr>
          <w:i/>
          <w:iCs/>
          <w:lang w:val="en-CA"/>
        </w:rPr>
        <w:t>Royal Trust Co.</w:t>
      </w:r>
      <w:r w:rsidRPr="009F7A40">
        <w:rPr>
          <w:lang w:val="en-CA"/>
        </w:rPr>
        <w:t>, 1997 CanLII 387 (</w:t>
      </w:r>
      <w:r w:rsidR="00110E24" w:rsidRPr="009F7A40">
        <w:rPr>
          <w:lang w:val="en-CA"/>
        </w:rPr>
        <w:t>SCC</w:t>
      </w:r>
      <w:r w:rsidRPr="009F7A40">
        <w:rPr>
          <w:lang w:val="en-CA"/>
        </w:rPr>
        <w:t>), [1997] 1 </w:t>
      </w:r>
      <w:r w:rsidR="00110E24" w:rsidRPr="009F7A40">
        <w:rPr>
          <w:lang w:val="en-CA"/>
        </w:rPr>
        <w:t xml:space="preserve">SCR </w:t>
      </w:r>
      <w:r w:rsidRPr="009F7A40">
        <w:rPr>
          <w:lang w:val="en-CA"/>
        </w:rPr>
        <w:t>846</w:t>
      </w:r>
      <w:r w:rsidR="00110E24" w:rsidRPr="009F7A40">
        <w:rPr>
          <w:lang w:val="en-CA"/>
        </w:rPr>
        <w:t xml:space="preserve"> at </w:t>
      </w:r>
      <w:r w:rsidRPr="009F7A40">
        <w:rPr>
          <w:lang w:val="en-CA"/>
        </w:rPr>
        <w:t>par</w:t>
      </w:r>
      <w:r w:rsidR="00110E24" w:rsidRPr="009F7A40">
        <w:rPr>
          <w:lang w:val="en-CA"/>
        </w:rPr>
        <w:t>a</w:t>
      </w:r>
      <w:r w:rsidRPr="009F7A40">
        <w:rPr>
          <w:lang w:val="en-CA"/>
        </w:rPr>
        <w:t>.</w:t>
      </w:r>
      <w:r w:rsidRPr="00110E24">
        <w:rPr>
          <w:lang w:val="en-CA"/>
        </w:rPr>
        <w:t xml:space="preserve"> </w:t>
      </w:r>
      <w:r w:rsidRPr="009F7A40">
        <w:t xml:space="preserve">41; </w:t>
      </w:r>
      <w:r w:rsidRPr="009F7A40">
        <w:rPr>
          <w:i/>
          <w:iCs/>
        </w:rPr>
        <w:t>Commission des droits de la personne et des droits de la jeunesse (Dorion et une autre) c. Englander</w:t>
      </w:r>
      <w:r w:rsidRPr="009F7A40">
        <w:t>, 2021 QCTDP 17</w:t>
      </w:r>
      <w:r w:rsidR="00110E24" w:rsidRPr="009F7A40">
        <w:t xml:space="preserve"> at</w:t>
      </w:r>
      <w:r w:rsidRPr="009F7A40">
        <w:t xml:space="preserve"> par</w:t>
      </w:r>
      <w:r w:rsidR="00110E24" w:rsidRPr="009F7A40">
        <w:t>a</w:t>
      </w:r>
      <w:r w:rsidRPr="009F7A40">
        <w:t>.</w:t>
      </w:r>
      <w:r w:rsidRPr="00FC10F8">
        <w:t xml:space="preserve"> </w:t>
      </w:r>
      <w:r w:rsidRPr="009F7A40">
        <w:t xml:space="preserve">53; </w:t>
      </w:r>
      <w:r w:rsidRPr="009F7A40">
        <w:rPr>
          <w:i/>
          <w:iCs/>
        </w:rPr>
        <w:t>Commission des droits de la personne et des droits de la jeunesse (Sam) c. 9377-1905 Québec inc.</w:t>
      </w:r>
      <w:r w:rsidRPr="009F7A40">
        <w:t>, 2022 QCTDP 3</w:t>
      </w:r>
      <w:r w:rsidR="00110E24" w:rsidRPr="009F7A40">
        <w:t xml:space="preserve"> at</w:t>
      </w:r>
      <w:r w:rsidRPr="009F7A40">
        <w:t xml:space="preserve"> par</w:t>
      </w:r>
      <w:r w:rsidR="00110E24" w:rsidRPr="009F7A40">
        <w:t>a</w:t>
      </w:r>
      <w:r w:rsidRPr="009F7A40">
        <w:t>.</w:t>
      </w:r>
      <w:r w:rsidRPr="00FC10F8">
        <w:t xml:space="preserve"> 86.</w:t>
      </w:r>
    </w:p>
  </w:footnote>
  <w:footnote w:id="57">
    <w:p w14:paraId="02CF62D1" w14:textId="44F74EF7" w:rsidR="002B1E9A" w:rsidRPr="00235815" w:rsidRDefault="002B1E9A" w:rsidP="002B1E9A">
      <w:pPr>
        <w:pStyle w:val="Notedebasdepage"/>
        <w:rPr>
          <w:lang w:val="en-CA"/>
        </w:rPr>
      </w:pPr>
      <w:r>
        <w:rPr>
          <w:rStyle w:val="Appelnotedebasdep"/>
        </w:rPr>
        <w:footnoteRef/>
      </w:r>
      <w:r w:rsidRPr="00235815">
        <w:rPr>
          <w:lang w:val="en-CA"/>
        </w:rPr>
        <w:t xml:space="preserve"> </w:t>
      </w:r>
      <w:r w:rsidRPr="00235815">
        <w:rPr>
          <w:lang w:val="en-CA"/>
        </w:rPr>
        <w:tab/>
      </w:r>
      <w:r w:rsidR="00110E24" w:rsidRPr="00235815">
        <w:rPr>
          <w:lang w:val="en-CA"/>
        </w:rPr>
        <w:t>Factum of the plaintiff</w:t>
      </w:r>
      <w:r w:rsidR="00B5574C" w:rsidRPr="00235815">
        <w:rPr>
          <w:lang w:val="en-CA"/>
        </w:rPr>
        <w:t>,</w:t>
      </w:r>
      <w:r w:rsidR="00235815">
        <w:rPr>
          <w:lang w:val="en-CA"/>
        </w:rPr>
        <w:t xml:space="preserve"> </w:t>
      </w:r>
      <w:r w:rsidRPr="00235815">
        <w:rPr>
          <w:lang w:val="en-CA"/>
        </w:rPr>
        <w:t>30 </w:t>
      </w:r>
      <w:r w:rsidR="00110E24" w:rsidRPr="00235815">
        <w:rPr>
          <w:lang w:val="en-CA"/>
        </w:rPr>
        <w:t>April</w:t>
      </w:r>
      <w:r w:rsidRPr="00235815">
        <w:rPr>
          <w:lang w:val="en-CA"/>
        </w:rPr>
        <w:t xml:space="preserve"> 2021.</w:t>
      </w:r>
    </w:p>
  </w:footnote>
  <w:footnote w:id="58">
    <w:p w14:paraId="25193979" w14:textId="2E88F41D" w:rsidR="00FC10F8" w:rsidRDefault="001834C5">
      <w:pPr>
        <w:pStyle w:val="Notedebasdepage"/>
      </w:pPr>
      <w:r>
        <w:rPr>
          <w:rStyle w:val="Appelnotedebasdep"/>
        </w:rPr>
        <w:footnoteRef/>
      </w:r>
      <w:r>
        <w:t xml:space="preserve"> </w:t>
      </w:r>
      <w:r>
        <w:tab/>
      </w:r>
      <w:r w:rsidR="00110E24" w:rsidRPr="00110E24">
        <w:rPr>
          <w:i/>
          <w:iCs/>
        </w:rPr>
        <w:t>Quebec (Commission des droits de la personne et des droits de la jeunesse) v. Bombardier Inc. (Bombardier Aerospace Training Center)</w:t>
      </w:r>
      <w:r w:rsidRPr="009F7A40">
        <w:t>, 2015 </w:t>
      </w:r>
      <w:r w:rsidR="00110E24" w:rsidRPr="009F7A40">
        <w:t xml:space="preserve">SCC </w:t>
      </w:r>
      <w:r w:rsidRPr="009F7A40">
        <w:t>39, [2015] 2 </w:t>
      </w:r>
      <w:r w:rsidR="00110E24" w:rsidRPr="009F7A40">
        <w:t xml:space="preserve">SCR </w:t>
      </w:r>
      <w:r w:rsidRPr="009F7A40">
        <w:t>789</w:t>
      </w:r>
      <w:r w:rsidR="00110E24" w:rsidRPr="009F7A40">
        <w:t xml:space="preserve"> at</w:t>
      </w:r>
      <w:r w:rsidRPr="009F7A40">
        <w:t xml:space="preserve"> par</w:t>
      </w:r>
      <w:r w:rsidR="00110E24" w:rsidRPr="009F7A40">
        <w:t>a</w:t>
      </w:r>
      <w:r w:rsidRPr="009F7A40">
        <w:t>.</w:t>
      </w:r>
      <w:r w:rsidRPr="00FC10F8">
        <w:t xml:space="preserve"> </w:t>
      </w:r>
      <w:r w:rsidRPr="009F7A40">
        <w:t xml:space="preserve">35 </w:t>
      </w:r>
      <w:r w:rsidR="00DD5ADE">
        <w:t>[</w:t>
      </w:r>
      <w:r w:rsidRPr="009F7A40">
        <w:rPr>
          <w:i/>
          <w:iCs/>
        </w:rPr>
        <w:t>Bombardier</w:t>
      </w:r>
      <w:r w:rsidR="00DD5ADE">
        <w:t>]</w:t>
      </w:r>
      <w:r w:rsidRPr="009F7A40">
        <w:t>.</w:t>
      </w:r>
    </w:p>
  </w:footnote>
  <w:footnote w:id="59">
    <w:p w14:paraId="151FE4B0" w14:textId="71AA40C3" w:rsidR="002B064C" w:rsidRPr="009230A6" w:rsidRDefault="002B064C" w:rsidP="002B064C">
      <w:pPr>
        <w:pStyle w:val="Notedebasdepage"/>
      </w:pPr>
      <w:r w:rsidRPr="00110E24">
        <w:rPr>
          <w:rStyle w:val="Appelnotedebasdep"/>
          <w:lang w:val="en-CA"/>
        </w:rPr>
        <w:footnoteRef/>
      </w:r>
      <w:r w:rsidRPr="009230A6">
        <w:t xml:space="preserve"> </w:t>
      </w:r>
      <w:r w:rsidRPr="009230A6">
        <w:tab/>
      </w:r>
      <w:r w:rsidR="00110E24" w:rsidRPr="009230A6">
        <w:t>In</w:t>
      </w:r>
      <w:r w:rsidRPr="009230A6">
        <w:t xml:space="preserve"> </w:t>
      </w:r>
      <w:r w:rsidRPr="00342DFE">
        <w:rPr>
          <w:i/>
          <w:iCs/>
        </w:rPr>
        <w:t>Commission des droits de la personne et des droits</w:t>
      </w:r>
      <w:r w:rsidRPr="009230A6">
        <w:rPr>
          <w:i/>
          <w:iCs/>
        </w:rPr>
        <w:t xml:space="preserve"> de la jeunesse (Nyembwe) c. Ville de Gatineau</w:t>
      </w:r>
      <w:r w:rsidRPr="009230A6">
        <w:t xml:space="preserve">, 2021 QCTDP 1 </w:t>
      </w:r>
      <w:r w:rsidR="000D56A9">
        <w:t>[</w:t>
      </w:r>
      <w:r w:rsidRPr="009230A6">
        <w:rPr>
          <w:i/>
          <w:iCs/>
        </w:rPr>
        <w:t>Nyembwe</w:t>
      </w:r>
      <w:r w:rsidR="000D56A9">
        <w:t>],</w:t>
      </w:r>
      <w:r w:rsidR="00110E24" w:rsidRPr="009230A6">
        <w:t xml:space="preserve"> leave to appeal refused,</w:t>
      </w:r>
      <w:r w:rsidRPr="009230A6">
        <w:t xml:space="preserve"> </w:t>
      </w:r>
      <w:r w:rsidRPr="009230A6">
        <w:rPr>
          <w:i/>
          <w:iCs/>
        </w:rPr>
        <w:t>Ville de Gatineau c. Commission des droits de la personne et des droits de la jeunesse</w:t>
      </w:r>
      <w:r w:rsidRPr="009230A6">
        <w:t xml:space="preserve">, 2021 QCCA 339, </w:t>
      </w:r>
      <w:r w:rsidR="00110E24" w:rsidRPr="009230A6">
        <w:t xml:space="preserve">the </w:t>
      </w:r>
      <w:r w:rsidRPr="009230A6">
        <w:t xml:space="preserve">Tribunal </w:t>
      </w:r>
      <w:r w:rsidR="00110E24" w:rsidRPr="009230A6">
        <w:t>noted in paragraph</w:t>
      </w:r>
      <w:r w:rsidRPr="009230A6">
        <w:t> 185 (note 113):</w:t>
      </w:r>
      <w:r w:rsidR="00110E24" w:rsidRPr="009230A6">
        <w:t xml:space="preserve"> [</w:t>
      </w:r>
      <w:r w:rsidR="00110E24" w:rsidRPr="009230A6">
        <w:rPr>
          <w:smallCaps/>
        </w:rPr>
        <w:t>translation</w:t>
      </w:r>
      <w:r w:rsidR="00110E24" w:rsidRPr="009230A6">
        <w:t>]</w:t>
      </w:r>
      <w:r w:rsidRPr="009230A6">
        <w:t xml:space="preserve"> </w:t>
      </w:r>
      <w:r w:rsidR="00110E24" w:rsidRPr="009230A6">
        <w:t>“Science has not proved that the concept of “race” is an objective reality”.</w:t>
      </w:r>
    </w:p>
  </w:footnote>
  <w:footnote w:id="60">
    <w:p w14:paraId="62FE3223" w14:textId="1D2DEC61" w:rsidR="002B064C" w:rsidRPr="00110E24" w:rsidRDefault="002B064C" w:rsidP="002B064C">
      <w:pPr>
        <w:pStyle w:val="Notedebasdepage"/>
        <w:rPr>
          <w:lang w:val="en-CA"/>
        </w:rPr>
      </w:pPr>
      <w:r>
        <w:rPr>
          <w:rStyle w:val="Appelnotedebasdep"/>
        </w:rPr>
        <w:footnoteRef/>
      </w:r>
      <w:r w:rsidRPr="00110E24">
        <w:rPr>
          <w:lang w:val="en-CA"/>
        </w:rPr>
        <w:t xml:space="preserve"> </w:t>
      </w:r>
      <w:r w:rsidRPr="00110E24">
        <w:rPr>
          <w:lang w:val="en-CA"/>
        </w:rPr>
        <w:tab/>
      </w:r>
      <w:r w:rsidR="00110E24">
        <w:rPr>
          <w:lang w:val="en-CA"/>
        </w:rPr>
        <w:t xml:space="preserve">On that issue see </w:t>
      </w:r>
      <w:r w:rsidRPr="00110E24">
        <w:rPr>
          <w:lang w:val="en-CA"/>
        </w:rPr>
        <w:t>Joshua S</w:t>
      </w:r>
      <w:r w:rsidR="00110E24">
        <w:rPr>
          <w:lang w:val="en-CA"/>
        </w:rPr>
        <w:t>ealy-Harring</w:t>
      </w:r>
      <w:r w:rsidR="00AC5B86">
        <w:rPr>
          <w:lang w:val="en-CA"/>
        </w:rPr>
        <w:t>t</w:t>
      </w:r>
      <w:r w:rsidR="00110E24">
        <w:rPr>
          <w:lang w:val="en-CA"/>
        </w:rPr>
        <w:t>on &amp;</w:t>
      </w:r>
      <w:r w:rsidRPr="00110E24">
        <w:rPr>
          <w:lang w:val="en-CA"/>
        </w:rPr>
        <w:t xml:space="preserve"> Jonnette </w:t>
      </w:r>
      <w:r w:rsidR="00110E24">
        <w:rPr>
          <w:lang w:val="en-CA"/>
        </w:rPr>
        <w:t>Watson Hamilton</w:t>
      </w:r>
      <w:r w:rsidRPr="00110E24">
        <w:rPr>
          <w:lang w:val="en-CA"/>
        </w:rPr>
        <w:t xml:space="preserve">, </w:t>
      </w:r>
      <w:r w:rsidR="00110E24">
        <w:rPr>
          <w:lang w:val="en-CA"/>
        </w:rPr>
        <w:t>“</w:t>
      </w:r>
      <w:r w:rsidRPr="00110E24">
        <w:rPr>
          <w:lang w:val="en-CA"/>
        </w:rPr>
        <w:t>Colour as a Discrete Ground of Discrimination</w:t>
      </w:r>
      <w:r w:rsidR="00110E24">
        <w:rPr>
          <w:lang w:val="en-CA"/>
        </w:rPr>
        <w:t xml:space="preserve">” </w:t>
      </w:r>
      <w:r w:rsidRPr="00110E24">
        <w:rPr>
          <w:lang w:val="en-CA"/>
        </w:rPr>
        <w:t xml:space="preserve">(2018) 7:1 </w:t>
      </w:r>
      <w:r w:rsidRPr="00235815">
        <w:rPr>
          <w:i/>
          <w:iCs/>
          <w:lang w:val="en-CA"/>
        </w:rPr>
        <w:t>Can J Hum Rts</w:t>
      </w:r>
      <w:r w:rsidRPr="00110E24">
        <w:rPr>
          <w:lang w:val="en-CA"/>
        </w:rPr>
        <w:t> 1</w:t>
      </w:r>
      <w:r w:rsidR="00110E24">
        <w:rPr>
          <w:lang w:val="en-CA"/>
        </w:rPr>
        <w:t xml:space="preserve">; </w:t>
      </w:r>
      <w:r w:rsidRPr="00110E24">
        <w:rPr>
          <w:lang w:val="en-CA"/>
        </w:rPr>
        <w:t>2018 CanLIIDocs 106.</w:t>
      </w:r>
    </w:p>
  </w:footnote>
  <w:footnote w:id="61">
    <w:p w14:paraId="114B3FFA" w14:textId="04C36898" w:rsidR="002B064C" w:rsidRPr="00110E24" w:rsidRDefault="002B064C" w:rsidP="002B064C">
      <w:pPr>
        <w:pStyle w:val="Notedebasdepage"/>
        <w:rPr>
          <w:lang w:val="en-CA"/>
        </w:rPr>
      </w:pPr>
      <w:r>
        <w:rPr>
          <w:rStyle w:val="Appelnotedebasdep"/>
        </w:rPr>
        <w:footnoteRef/>
      </w:r>
      <w:r w:rsidRPr="00FC10F8">
        <w:t xml:space="preserve"> </w:t>
      </w:r>
      <w:r w:rsidRPr="00FC10F8">
        <w:tab/>
      </w:r>
      <w:r w:rsidR="00110E24" w:rsidRPr="009F7A40">
        <w:t xml:space="preserve">As </w:t>
      </w:r>
      <w:r w:rsidRPr="009F7A40">
        <w:t>Alexandre M</w:t>
      </w:r>
      <w:r w:rsidR="00110E24" w:rsidRPr="009F7A40">
        <w:t xml:space="preserve">orin writes in </w:t>
      </w:r>
      <w:r w:rsidRPr="009F7A40">
        <w:rPr>
          <w:i/>
          <w:iCs/>
        </w:rPr>
        <w:t>Le droit à l’égalité au Canada</w:t>
      </w:r>
      <w:r w:rsidRPr="009F7A40">
        <w:t>, 2</w:t>
      </w:r>
      <w:r w:rsidR="00110E24" w:rsidRPr="009F7A40">
        <w:t>nd</w:t>
      </w:r>
      <w:r w:rsidRPr="009F7A40">
        <w:t> </w:t>
      </w:r>
      <w:r w:rsidR="00110E24" w:rsidRPr="009F7A40">
        <w:t>e</w:t>
      </w:r>
      <w:r w:rsidRPr="009F7A40">
        <w:t>d.</w:t>
      </w:r>
      <w:r w:rsidR="00110E24" w:rsidRPr="009F7A40">
        <w:t xml:space="preserve"> </w:t>
      </w:r>
      <w:r w:rsidR="00110E24" w:rsidRPr="009230A6">
        <w:rPr>
          <w:lang w:val="en-CA"/>
        </w:rPr>
        <w:t>(</w:t>
      </w:r>
      <w:r w:rsidRPr="009230A6">
        <w:rPr>
          <w:lang w:val="en-CA"/>
        </w:rPr>
        <w:t>Montr</w:t>
      </w:r>
      <w:r w:rsidR="00110E24" w:rsidRPr="009230A6">
        <w:rPr>
          <w:lang w:val="en-CA"/>
        </w:rPr>
        <w:t>e</w:t>
      </w:r>
      <w:r w:rsidRPr="009230A6">
        <w:rPr>
          <w:lang w:val="en-CA"/>
        </w:rPr>
        <w:t>al</w:t>
      </w:r>
      <w:r w:rsidR="00110E24" w:rsidRPr="009230A6">
        <w:rPr>
          <w:lang w:val="en-CA"/>
        </w:rPr>
        <w:t>:</w:t>
      </w:r>
      <w:r w:rsidRPr="009230A6">
        <w:rPr>
          <w:lang w:val="en-CA"/>
        </w:rPr>
        <w:t xml:space="preserve"> LexisNexis, 2012</w:t>
      </w:r>
      <w:r w:rsidR="00110E24" w:rsidRPr="009230A6">
        <w:rPr>
          <w:lang w:val="en-CA"/>
        </w:rPr>
        <w:t>) at</w:t>
      </w:r>
      <w:r w:rsidRPr="009230A6">
        <w:rPr>
          <w:lang w:val="en-CA"/>
        </w:rPr>
        <w:t> </w:t>
      </w:r>
      <w:r w:rsidR="00206D8A">
        <w:rPr>
          <w:lang w:val="en-CA"/>
        </w:rPr>
        <w:t xml:space="preserve">p. </w:t>
      </w:r>
      <w:r w:rsidRPr="009230A6">
        <w:rPr>
          <w:lang w:val="en-CA"/>
        </w:rPr>
        <w:t>116 (par</w:t>
      </w:r>
      <w:r w:rsidR="00110E24" w:rsidRPr="009230A6">
        <w:rPr>
          <w:lang w:val="en-CA"/>
        </w:rPr>
        <w:t>a</w:t>
      </w:r>
      <w:r w:rsidRPr="009230A6">
        <w:rPr>
          <w:lang w:val="en-CA"/>
        </w:rPr>
        <w:t xml:space="preserve">. </w:t>
      </w:r>
      <w:r w:rsidRPr="00110E24">
        <w:rPr>
          <w:lang w:val="en-CA"/>
        </w:rPr>
        <w:t>327):</w:t>
      </w:r>
      <w:r w:rsidR="00110E24" w:rsidRPr="00110E24">
        <w:rPr>
          <w:lang w:val="en-CA"/>
        </w:rPr>
        <w:t xml:space="preserve"> [</w:t>
      </w:r>
      <w:r w:rsidR="00110E24" w:rsidRPr="00110E24">
        <w:rPr>
          <w:smallCaps/>
          <w:lang w:val="en-CA"/>
        </w:rPr>
        <w:t>translation</w:t>
      </w:r>
      <w:r w:rsidR="00110E24" w:rsidRPr="00110E24">
        <w:rPr>
          <w:lang w:val="en-CA"/>
        </w:rPr>
        <w:t>]</w:t>
      </w:r>
      <w:r w:rsidRPr="00110E24">
        <w:rPr>
          <w:lang w:val="en-CA"/>
        </w:rPr>
        <w:t xml:space="preserve"> </w:t>
      </w:r>
      <w:r w:rsidR="00110E24">
        <w:rPr>
          <w:lang w:val="en-CA"/>
        </w:rPr>
        <w:t>“</w:t>
      </w:r>
      <w:r w:rsidR="00110E24" w:rsidRPr="00110E24">
        <w:rPr>
          <w:lang w:val="en-CA"/>
        </w:rPr>
        <w:t xml:space="preserve">These terms are used as synonyms in </w:t>
      </w:r>
      <w:r w:rsidR="00110E24">
        <w:rPr>
          <w:lang w:val="en-CA"/>
        </w:rPr>
        <w:t>the</w:t>
      </w:r>
      <w:r w:rsidR="00110E24" w:rsidRPr="00110E24">
        <w:rPr>
          <w:lang w:val="en-CA"/>
        </w:rPr>
        <w:t xml:space="preserve"> case law</w:t>
      </w:r>
      <w:r w:rsidR="00110E24">
        <w:rPr>
          <w:lang w:val="en-CA"/>
        </w:rPr>
        <w:t>”.</w:t>
      </w:r>
    </w:p>
  </w:footnote>
  <w:footnote w:id="62">
    <w:p w14:paraId="143EE985" w14:textId="1A3713E0" w:rsidR="002B064C" w:rsidRPr="009230A6" w:rsidRDefault="002B064C" w:rsidP="002B064C">
      <w:pPr>
        <w:pStyle w:val="Notedebasdepage"/>
        <w:rPr>
          <w:lang w:val="en-CA"/>
        </w:rPr>
      </w:pPr>
      <w:r>
        <w:rPr>
          <w:rStyle w:val="Appelnotedebasdep"/>
        </w:rPr>
        <w:footnoteRef/>
      </w:r>
      <w:r w:rsidRPr="000A6176">
        <w:t xml:space="preserve"> </w:t>
      </w:r>
      <w:r w:rsidRPr="000A6176">
        <w:tab/>
      </w:r>
      <w:r w:rsidRPr="000A6176">
        <w:rPr>
          <w:i/>
          <w:iCs/>
        </w:rPr>
        <w:t>Bombardier</w:t>
      </w:r>
      <w:r w:rsidRPr="000A6176">
        <w:t xml:space="preserve">, </w:t>
      </w:r>
      <w:r w:rsidR="00110E24" w:rsidRPr="00235815">
        <w:rPr>
          <w:i/>
          <w:iCs/>
        </w:rPr>
        <w:t>supra</w:t>
      </w:r>
      <w:r w:rsidRPr="000A6176">
        <w:t xml:space="preserve"> note 57. </w:t>
      </w:r>
      <w:r w:rsidR="00110E24" w:rsidRPr="002B6F68">
        <w:t xml:space="preserve">See also </w:t>
      </w:r>
      <w:r w:rsidRPr="002B6F68">
        <w:rPr>
          <w:i/>
          <w:iCs/>
        </w:rPr>
        <w:t xml:space="preserve">Ward </w:t>
      </w:r>
      <w:r w:rsidR="000D56A9" w:rsidRPr="002B6F68">
        <w:rPr>
          <w:i/>
          <w:iCs/>
        </w:rPr>
        <w:t>v</w:t>
      </w:r>
      <w:r w:rsidRPr="002B6F68">
        <w:rPr>
          <w:i/>
          <w:iCs/>
        </w:rPr>
        <w:t xml:space="preserve">. </w:t>
      </w:r>
      <w:r w:rsidRPr="009F7A40">
        <w:rPr>
          <w:i/>
          <w:iCs/>
        </w:rPr>
        <w:t>Qu</w:t>
      </w:r>
      <w:r w:rsidR="000D56A9">
        <w:rPr>
          <w:i/>
          <w:iCs/>
        </w:rPr>
        <w:t>e</w:t>
      </w:r>
      <w:r w:rsidRPr="009F7A40">
        <w:rPr>
          <w:i/>
          <w:iCs/>
        </w:rPr>
        <w:t>bec (Commission des droits de la personne et des droits de la jeunesse)</w:t>
      </w:r>
      <w:r w:rsidRPr="009F7A40">
        <w:t>, 2021 </w:t>
      </w:r>
      <w:r w:rsidR="00110E24" w:rsidRPr="009F7A40">
        <w:t xml:space="preserve">SCC </w:t>
      </w:r>
      <w:r w:rsidRPr="009F7A40">
        <w:t>43</w:t>
      </w:r>
      <w:r w:rsidR="00110E24" w:rsidRPr="009F7A40">
        <w:t xml:space="preserve"> at </w:t>
      </w:r>
      <w:r w:rsidRPr="009F7A40">
        <w:t>par</w:t>
      </w:r>
      <w:r w:rsidR="00110E24" w:rsidRPr="009F7A40">
        <w:t>a</w:t>
      </w:r>
      <w:r w:rsidRPr="009F7A40">
        <w:t>.</w:t>
      </w:r>
      <w:r w:rsidRPr="00FC10F8">
        <w:t xml:space="preserve"> </w:t>
      </w:r>
      <w:r w:rsidRPr="009230A6">
        <w:rPr>
          <w:lang w:val="en-CA"/>
        </w:rPr>
        <w:t xml:space="preserve">36 </w:t>
      </w:r>
      <w:r w:rsidR="000D56A9">
        <w:rPr>
          <w:lang w:val="en-CA"/>
        </w:rPr>
        <w:t>[</w:t>
      </w:r>
      <w:r w:rsidRPr="009230A6">
        <w:rPr>
          <w:i/>
          <w:iCs/>
          <w:lang w:val="en-CA"/>
        </w:rPr>
        <w:t>Ward</w:t>
      </w:r>
      <w:r w:rsidR="000D56A9">
        <w:rPr>
          <w:lang w:val="en-CA"/>
        </w:rPr>
        <w:t>]</w:t>
      </w:r>
      <w:r w:rsidRPr="009230A6">
        <w:rPr>
          <w:lang w:val="en-CA"/>
        </w:rPr>
        <w:t>.</w:t>
      </w:r>
    </w:p>
  </w:footnote>
  <w:footnote w:id="63">
    <w:p w14:paraId="37284951" w14:textId="3CA799EA" w:rsidR="002B064C" w:rsidRPr="009230A6" w:rsidRDefault="002B064C" w:rsidP="002B064C">
      <w:pPr>
        <w:pStyle w:val="Notedebasdepage"/>
        <w:rPr>
          <w:lang w:val="en-CA"/>
        </w:rPr>
      </w:pPr>
      <w:r>
        <w:rPr>
          <w:rStyle w:val="Appelnotedebasdep"/>
        </w:rPr>
        <w:footnoteRef/>
      </w:r>
      <w:r w:rsidRPr="009230A6">
        <w:rPr>
          <w:lang w:val="en-CA"/>
        </w:rPr>
        <w:t xml:space="preserve"> </w:t>
      </w:r>
      <w:r w:rsidRPr="009230A6">
        <w:rPr>
          <w:lang w:val="en-CA"/>
        </w:rPr>
        <w:tab/>
        <w:t>P-14,</w:t>
      </w:r>
      <w:r w:rsidR="00110E24" w:rsidRPr="009230A6">
        <w:rPr>
          <w:lang w:val="en-CA"/>
        </w:rPr>
        <w:t xml:space="preserve"> </w:t>
      </w:r>
      <w:r w:rsidR="00110E24" w:rsidRPr="00342DFE">
        <w:rPr>
          <w:i/>
          <w:iCs/>
          <w:lang w:val="en-CA"/>
        </w:rPr>
        <w:t>supra</w:t>
      </w:r>
      <w:r w:rsidRPr="009230A6">
        <w:rPr>
          <w:lang w:val="en-CA"/>
        </w:rPr>
        <w:t xml:space="preserve"> note 4</w:t>
      </w:r>
      <w:r w:rsidR="00110E24" w:rsidRPr="009230A6">
        <w:rPr>
          <w:lang w:val="en-CA"/>
        </w:rPr>
        <w:t xml:space="preserve"> at</w:t>
      </w:r>
      <w:r w:rsidRPr="009230A6">
        <w:rPr>
          <w:lang w:val="en-CA"/>
        </w:rPr>
        <w:t> </w:t>
      </w:r>
      <w:r w:rsidR="00F901A7">
        <w:rPr>
          <w:lang w:val="en-CA"/>
        </w:rPr>
        <w:t xml:space="preserve">p. </w:t>
      </w:r>
      <w:r w:rsidRPr="009230A6">
        <w:rPr>
          <w:lang w:val="en-CA"/>
        </w:rPr>
        <w:t>51</w:t>
      </w:r>
    </w:p>
  </w:footnote>
  <w:footnote w:id="64">
    <w:p w14:paraId="2F06BA9C" w14:textId="49D04675" w:rsidR="002B064C" w:rsidRPr="00110E24" w:rsidRDefault="002B064C" w:rsidP="002B064C">
      <w:pPr>
        <w:pStyle w:val="Notedebasdepage"/>
        <w:rPr>
          <w:lang w:val="en-CA"/>
        </w:rPr>
      </w:pPr>
      <w:r>
        <w:rPr>
          <w:rStyle w:val="Appelnotedebasdep"/>
        </w:rPr>
        <w:footnoteRef/>
      </w:r>
      <w:r w:rsidRPr="00110E24">
        <w:rPr>
          <w:lang w:val="en-CA"/>
        </w:rPr>
        <w:t xml:space="preserve"> </w:t>
      </w:r>
      <w:r w:rsidRPr="00110E24">
        <w:rPr>
          <w:lang w:val="en-CA"/>
        </w:rPr>
        <w:tab/>
      </w:r>
      <w:r w:rsidR="00110E24" w:rsidRPr="00110E24">
        <w:rPr>
          <w:lang w:val="en-CA"/>
        </w:rPr>
        <w:t>Exhibit P</w:t>
      </w:r>
      <w:r w:rsidRPr="009F7A40">
        <w:rPr>
          <w:lang w:val="en-CA"/>
        </w:rPr>
        <w:t xml:space="preserve">-16, </w:t>
      </w:r>
      <w:r w:rsidR="00110E24" w:rsidRPr="009F7A40">
        <w:rPr>
          <w:lang w:val="en-CA"/>
        </w:rPr>
        <w:t>Pre-trial examination of</w:t>
      </w:r>
      <w:r w:rsidRPr="009F7A40">
        <w:rPr>
          <w:lang w:val="en-CA"/>
        </w:rPr>
        <w:t> Christian Thibeault</w:t>
      </w:r>
      <w:r w:rsidR="007A7D65">
        <w:rPr>
          <w:lang w:val="en-CA"/>
        </w:rPr>
        <w:t>,</w:t>
      </w:r>
      <w:r w:rsidR="00235815">
        <w:rPr>
          <w:lang w:val="en-CA"/>
        </w:rPr>
        <w:t xml:space="preserve"> </w:t>
      </w:r>
      <w:r w:rsidRPr="009F7A40">
        <w:rPr>
          <w:lang w:val="en-CA"/>
        </w:rPr>
        <w:t>2 </w:t>
      </w:r>
      <w:r w:rsidR="00110E24" w:rsidRPr="009F7A40">
        <w:rPr>
          <w:lang w:val="en-CA"/>
        </w:rPr>
        <w:t>February</w:t>
      </w:r>
      <w:r w:rsidRPr="009F7A40">
        <w:rPr>
          <w:lang w:val="en-CA"/>
        </w:rPr>
        <w:t xml:space="preserve"> 2022</w:t>
      </w:r>
      <w:r w:rsidR="007A7D65">
        <w:rPr>
          <w:lang w:val="en-CA"/>
        </w:rPr>
        <w:t>,</w:t>
      </w:r>
      <w:r w:rsidR="00110E24" w:rsidRPr="009F7A40">
        <w:rPr>
          <w:lang w:val="en-CA"/>
        </w:rPr>
        <w:t xml:space="preserve"> at </w:t>
      </w:r>
      <w:r w:rsidR="00F901A7">
        <w:rPr>
          <w:lang w:val="en-CA"/>
        </w:rPr>
        <w:t xml:space="preserve">p. </w:t>
      </w:r>
      <w:r w:rsidRPr="009F7A40">
        <w:rPr>
          <w:lang w:val="en-CA"/>
        </w:rPr>
        <w:t>91.</w:t>
      </w:r>
    </w:p>
  </w:footnote>
  <w:footnote w:id="65">
    <w:p w14:paraId="38B5432B" w14:textId="12049F81" w:rsidR="002B064C" w:rsidRPr="00110E24" w:rsidRDefault="002B064C" w:rsidP="002B064C">
      <w:pPr>
        <w:pStyle w:val="Notedebasdepage"/>
        <w:rPr>
          <w:lang w:val="en-CA"/>
        </w:rPr>
      </w:pPr>
      <w:r>
        <w:rPr>
          <w:rStyle w:val="Appelnotedebasdep"/>
        </w:rPr>
        <w:footnoteRef/>
      </w:r>
      <w:r w:rsidRPr="00110E24">
        <w:rPr>
          <w:lang w:val="en-CA"/>
        </w:rPr>
        <w:t xml:space="preserve"> </w:t>
      </w:r>
      <w:r w:rsidRPr="00110E24">
        <w:rPr>
          <w:lang w:val="en-CA"/>
        </w:rPr>
        <w:tab/>
      </w:r>
      <w:r w:rsidR="00110E24" w:rsidRPr="00110E24">
        <w:rPr>
          <w:lang w:val="en-CA"/>
        </w:rPr>
        <w:t xml:space="preserve">This same expression is found in Exhibit </w:t>
      </w:r>
      <w:r w:rsidRPr="00110E24">
        <w:rPr>
          <w:lang w:val="en-CA"/>
        </w:rPr>
        <w:t xml:space="preserve">D-4, </w:t>
      </w:r>
      <w:r w:rsidR="00110E24" w:rsidRPr="00110E24">
        <w:rPr>
          <w:lang w:val="en-CA"/>
        </w:rPr>
        <w:t xml:space="preserve">Disciplinary breach report </w:t>
      </w:r>
      <w:r w:rsidR="00ED5A46">
        <w:rPr>
          <w:lang w:val="en-CA"/>
        </w:rPr>
        <w:t>prepared</w:t>
      </w:r>
      <w:r w:rsidR="00110E24" w:rsidRPr="00110E24">
        <w:rPr>
          <w:lang w:val="en-CA"/>
        </w:rPr>
        <w:t xml:space="preserve"> by </w:t>
      </w:r>
      <w:r w:rsidR="00110E24">
        <w:rPr>
          <w:lang w:val="en-CA"/>
        </w:rPr>
        <w:t xml:space="preserve">CO Belcourt on </w:t>
      </w:r>
      <w:r w:rsidRPr="00110E24">
        <w:rPr>
          <w:lang w:val="en-CA"/>
        </w:rPr>
        <w:t>4 </w:t>
      </w:r>
      <w:r w:rsidR="00110E24">
        <w:rPr>
          <w:lang w:val="en-CA"/>
        </w:rPr>
        <w:t xml:space="preserve">December </w:t>
      </w:r>
      <w:r w:rsidRPr="00110E24">
        <w:rPr>
          <w:lang w:val="en-CA"/>
        </w:rPr>
        <w:t>2016.</w:t>
      </w:r>
    </w:p>
  </w:footnote>
  <w:footnote w:id="66">
    <w:p w14:paraId="2682BDB2" w14:textId="77BCA476" w:rsidR="002B064C" w:rsidRPr="005870FD" w:rsidRDefault="002B064C" w:rsidP="002B064C">
      <w:pPr>
        <w:pStyle w:val="Notedebasdepage"/>
        <w:rPr>
          <w:lang w:val="en-CA"/>
        </w:rPr>
      </w:pPr>
      <w:r w:rsidRPr="005870FD">
        <w:rPr>
          <w:rStyle w:val="Appelnotedebasdep"/>
          <w:lang w:val="en-CA"/>
        </w:rPr>
        <w:footnoteRef/>
      </w:r>
      <w:r w:rsidRPr="005870FD">
        <w:rPr>
          <w:lang w:val="en-CA"/>
        </w:rPr>
        <w:t xml:space="preserve"> </w:t>
      </w:r>
      <w:r w:rsidRPr="005870FD">
        <w:rPr>
          <w:lang w:val="en-CA"/>
        </w:rPr>
        <w:tab/>
      </w:r>
      <w:r w:rsidR="005870FD" w:rsidRPr="009F7A40">
        <w:rPr>
          <w:lang w:val="en-CA"/>
        </w:rPr>
        <w:t>In</w:t>
      </w:r>
      <w:r w:rsidRPr="009F7A40">
        <w:rPr>
          <w:lang w:val="en-CA"/>
        </w:rPr>
        <w:t xml:space="preserve"> </w:t>
      </w:r>
      <w:r w:rsidRPr="009F7A40">
        <w:rPr>
          <w:i/>
          <w:iCs/>
          <w:lang w:val="en-CA"/>
        </w:rPr>
        <w:t xml:space="preserve">R. </w:t>
      </w:r>
      <w:r w:rsidR="005870FD" w:rsidRPr="009F7A40">
        <w:rPr>
          <w:i/>
          <w:iCs/>
          <w:lang w:val="en-CA"/>
        </w:rPr>
        <w:t>v</w:t>
      </w:r>
      <w:r w:rsidRPr="009F7A40">
        <w:rPr>
          <w:i/>
          <w:iCs/>
          <w:lang w:val="en-CA"/>
        </w:rPr>
        <w:t>. Bouchard-Lebrun</w:t>
      </w:r>
      <w:r w:rsidRPr="009F7A40">
        <w:rPr>
          <w:lang w:val="en-CA"/>
        </w:rPr>
        <w:t>, 2011 </w:t>
      </w:r>
      <w:r w:rsidR="005870FD" w:rsidRPr="009F7A40">
        <w:rPr>
          <w:lang w:val="en-CA"/>
        </w:rPr>
        <w:t xml:space="preserve">SCC </w:t>
      </w:r>
      <w:r w:rsidRPr="009F7A40">
        <w:rPr>
          <w:lang w:val="en-CA"/>
        </w:rPr>
        <w:t>58, [2011] 3 </w:t>
      </w:r>
      <w:r w:rsidR="005870FD" w:rsidRPr="009F7A40">
        <w:rPr>
          <w:lang w:val="en-CA"/>
        </w:rPr>
        <w:t xml:space="preserve">SCR </w:t>
      </w:r>
      <w:r w:rsidRPr="009F7A40">
        <w:rPr>
          <w:lang w:val="en-CA"/>
        </w:rPr>
        <w:t>575</w:t>
      </w:r>
      <w:r w:rsidR="005870FD" w:rsidRPr="009F7A40">
        <w:rPr>
          <w:lang w:val="en-CA"/>
        </w:rPr>
        <w:t xml:space="preserve"> at</w:t>
      </w:r>
      <w:r w:rsidRPr="009F7A40">
        <w:rPr>
          <w:lang w:val="en-CA"/>
        </w:rPr>
        <w:t xml:space="preserve"> par</w:t>
      </w:r>
      <w:r w:rsidR="005870FD" w:rsidRPr="009F7A40">
        <w:rPr>
          <w:lang w:val="en-CA"/>
        </w:rPr>
        <w:t>a</w:t>
      </w:r>
      <w:r w:rsidRPr="009F7A40">
        <w:rPr>
          <w:lang w:val="en-CA"/>
        </w:rPr>
        <w:t>.</w:t>
      </w:r>
      <w:r w:rsidRPr="005870FD">
        <w:rPr>
          <w:lang w:val="en-CA"/>
        </w:rPr>
        <w:t xml:space="preserve"> </w:t>
      </w:r>
      <w:r w:rsidRPr="009F7A40">
        <w:rPr>
          <w:lang w:val="en-CA"/>
        </w:rPr>
        <w:t xml:space="preserve">79, </w:t>
      </w:r>
      <w:r w:rsidR="005870FD" w:rsidRPr="009F7A40">
        <w:rPr>
          <w:lang w:val="en-CA"/>
        </w:rPr>
        <w:t>the Supreme Court of Canada referred to the testimony of a psychiatrist stating that “half (50 percent) of subjects who take drugs containing PCP are likely to develop a psychotic condition when intoxicated”.</w:t>
      </w:r>
      <w:r w:rsidRPr="005870FD">
        <w:rPr>
          <w:lang w:val="en-CA"/>
        </w:rPr>
        <w:t xml:space="preserve"> </w:t>
      </w:r>
      <w:r w:rsidR="005870FD">
        <w:rPr>
          <w:lang w:val="en-CA"/>
        </w:rPr>
        <w:t>In</w:t>
      </w:r>
      <w:r w:rsidRPr="009F7A40">
        <w:rPr>
          <w:lang w:val="en-CA"/>
        </w:rPr>
        <w:t xml:space="preserve"> </w:t>
      </w:r>
      <w:r w:rsidRPr="004B7A28">
        <w:rPr>
          <w:i/>
          <w:iCs/>
          <w:lang w:val="en-CA"/>
        </w:rPr>
        <w:t>Johnson</w:t>
      </w:r>
      <w:r w:rsidRPr="005870FD">
        <w:rPr>
          <w:i/>
          <w:iCs/>
          <w:lang w:val="en-CA"/>
        </w:rPr>
        <w:t xml:space="preserve"> </w:t>
      </w:r>
      <w:r w:rsidRPr="009F7A40">
        <w:rPr>
          <w:i/>
          <w:iCs/>
          <w:lang w:val="en-CA"/>
        </w:rPr>
        <w:t>c</w:t>
      </w:r>
      <w:r w:rsidRPr="005870FD">
        <w:rPr>
          <w:i/>
          <w:iCs/>
          <w:lang w:val="en-CA"/>
        </w:rPr>
        <w:t>. Castilloux</w:t>
      </w:r>
      <w:r w:rsidRPr="005870FD">
        <w:rPr>
          <w:lang w:val="en-CA"/>
        </w:rPr>
        <w:t>, 2021 QCCS 1000</w:t>
      </w:r>
      <w:r w:rsidR="005870FD">
        <w:rPr>
          <w:lang w:val="en-CA"/>
        </w:rPr>
        <w:t xml:space="preserve"> at</w:t>
      </w:r>
      <w:r w:rsidRPr="005870FD">
        <w:rPr>
          <w:lang w:val="en-CA"/>
        </w:rPr>
        <w:t xml:space="preserve"> par</w:t>
      </w:r>
      <w:r w:rsidR="005870FD">
        <w:rPr>
          <w:lang w:val="en-CA"/>
        </w:rPr>
        <w:t>a</w:t>
      </w:r>
      <w:r w:rsidRPr="005870FD">
        <w:rPr>
          <w:lang w:val="en-CA"/>
        </w:rPr>
        <w:t xml:space="preserve">. 54, </w:t>
      </w:r>
      <w:r w:rsidR="005870FD" w:rsidRPr="005870FD">
        <w:rPr>
          <w:lang w:val="en-CA"/>
        </w:rPr>
        <w:t>the Superior Court observed, on the basis of the testimony of</w:t>
      </w:r>
      <w:r w:rsidR="005870FD">
        <w:rPr>
          <w:lang w:val="en-CA"/>
        </w:rPr>
        <w:t xml:space="preserve"> a CO, </w:t>
      </w:r>
      <w:r w:rsidR="00F13308">
        <w:rPr>
          <w:lang w:val="en-CA"/>
        </w:rPr>
        <w:t>that</w:t>
      </w:r>
      <w:r w:rsidR="005870FD">
        <w:rPr>
          <w:lang w:val="en-CA"/>
        </w:rPr>
        <w:t>[</w:t>
      </w:r>
      <w:r w:rsidR="005870FD" w:rsidRPr="005870FD">
        <w:rPr>
          <w:smallCaps/>
          <w:lang w:val="en-CA"/>
        </w:rPr>
        <w:t>translation</w:t>
      </w:r>
      <w:r w:rsidR="005870FD">
        <w:rPr>
          <w:lang w:val="en-CA"/>
        </w:rPr>
        <w:t>] “the consumption of alcohol or certain drugs increases an individual’s physical strength”.</w:t>
      </w:r>
    </w:p>
  </w:footnote>
  <w:footnote w:id="67">
    <w:p w14:paraId="37AF81C3" w14:textId="66CB149E" w:rsidR="002B064C" w:rsidRDefault="002B064C" w:rsidP="002B064C">
      <w:pPr>
        <w:pStyle w:val="Notedebasdepage"/>
      </w:pPr>
      <w:r>
        <w:rPr>
          <w:rStyle w:val="Appelnotedebasdep"/>
        </w:rPr>
        <w:footnoteRef/>
      </w:r>
      <w:r>
        <w:t xml:space="preserve"> </w:t>
      </w:r>
      <w:r>
        <w:tab/>
      </w:r>
      <w:r w:rsidR="005870FD" w:rsidRPr="005870FD">
        <w:rPr>
          <w:i/>
          <w:iCs/>
        </w:rPr>
        <w:t>Quebec (Commission des droits de la personne et des droits de la jeunesse) v. Montréal (City); Quebec (Commission des droits de la personne et des droits de la jeunesse) v. Boisbriand (City)</w:t>
      </w:r>
      <w:r w:rsidRPr="009F7A40">
        <w:t>, 2000 </w:t>
      </w:r>
      <w:r w:rsidR="005870FD" w:rsidRPr="009F7A40">
        <w:t xml:space="preserve">SCC  </w:t>
      </w:r>
      <w:r w:rsidRPr="009F7A40">
        <w:t>27, [2000] 1 </w:t>
      </w:r>
      <w:r w:rsidR="005870FD" w:rsidRPr="009F7A40">
        <w:t xml:space="preserve">SCR </w:t>
      </w:r>
      <w:r w:rsidRPr="009F7A40">
        <w:t>665.</w:t>
      </w:r>
    </w:p>
  </w:footnote>
  <w:footnote w:id="68">
    <w:p w14:paraId="39874CBF" w14:textId="4016EBC9" w:rsidR="002B064C" w:rsidRDefault="002B064C" w:rsidP="002B064C">
      <w:pPr>
        <w:pStyle w:val="Notedebasdepage"/>
      </w:pPr>
      <w:r>
        <w:rPr>
          <w:rStyle w:val="Appelnotedebasdep"/>
        </w:rPr>
        <w:footnoteRef/>
      </w:r>
      <w:r>
        <w:t xml:space="preserve"> </w:t>
      </w:r>
      <w:r>
        <w:tab/>
      </w:r>
      <w:r w:rsidRPr="009F7A40">
        <w:rPr>
          <w:i/>
          <w:iCs/>
        </w:rPr>
        <w:t>I</w:t>
      </w:r>
      <w:r w:rsidR="005870FD" w:rsidRPr="009F7A40">
        <w:rPr>
          <w:i/>
          <w:iCs/>
        </w:rPr>
        <w:t>bi</w:t>
      </w:r>
      <w:r w:rsidRPr="009F7A40">
        <w:rPr>
          <w:i/>
          <w:iCs/>
        </w:rPr>
        <w:t>d</w:t>
      </w:r>
      <w:r w:rsidRPr="009F7A40">
        <w:t>.</w:t>
      </w:r>
      <w:r w:rsidR="005870FD" w:rsidRPr="009F7A40">
        <w:t xml:space="preserve"> at</w:t>
      </w:r>
      <w:r w:rsidRPr="009F7A40">
        <w:t xml:space="preserve"> par</w:t>
      </w:r>
      <w:r w:rsidR="005870FD" w:rsidRPr="009F7A40">
        <w:t>a</w:t>
      </w:r>
      <w:r w:rsidRPr="009F7A40">
        <w:t>.</w:t>
      </w:r>
      <w:r w:rsidRPr="00836773">
        <w:t xml:space="preserve"> 71.</w:t>
      </w:r>
    </w:p>
  </w:footnote>
  <w:footnote w:id="69">
    <w:p w14:paraId="22553EEE" w14:textId="003A0724" w:rsidR="00B91A89" w:rsidRPr="005870FD" w:rsidRDefault="001834C5">
      <w:pPr>
        <w:pStyle w:val="Notedebasdepage"/>
        <w:rPr>
          <w:lang w:val="en-CA"/>
        </w:rPr>
      </w:pPr>
      <w:r w:rsidRPr="005870FD">
        <w:rPr>
          <w:rStyle w:val="Appelnotedebasdep"/>
          <w:lang w:val="en-CA"/>
        </w:rPr>
        <w:footnoteRef/>
      </w:r>
      <w:r w:rsidR="00836773" w:rsidRPr="009230A6">
        <w:t xml:space="preserve"> </w:t>
      </w:r>
      <w:r w:rsidR="00836773" w:rsidRPr="009230A6">
        <w:tab/>
      </w:r>
      <w:r w:rsidR="00110E24" w:rsidRPr="009230A6">
        <w:rPr>
          <w:i/>
          <w:iCs/>
        </w:rPr>
        <w:t>Ibid.</w:t>
      </w:r>
      <w:r w:rsidR="00836773" w:rsidRPr="009230A6">
        <w:t xml:space="preserve"> </w:t>
      </w:r>
      <w:r w:rsidR="005870FD" w:rsidRPr="009230A6">
        <w:t xml:space="preserve">In </w:t>
      </w:r>
      <w:r w:rsidR="00836773" w:rsidRPr="009230A6">
        <w:rPr>
          <w:i/>
          <w:iCs/>
        </w:rPr>
        <w:t>Qu</w:t>
      </w:r>
      <w:r w:rsidR="00751276">
        <w:rPr>
          <w:i/>
          <w:iCs/>
        </w:rPr>
        <w:t>e</w:t>
      </w:r>
      <w:r w:rsidR="00836773" w:rsidRPr="009230A6">
        <w:rPr>
          <w:i/>
          <w:iCs/>
        </w:rPr>
        <w:t xml:space="preserve">bec (Commission des normes, de l’équité, de la santé et de la sécurité du travail) </w:t>
      </w:r>
      <w:r w:rsidR="005870FD" w:rsidRPr="009230A6">
        <w:rPr>
          <w:i/>
          <w:iCs/>
        </w:rPr>
        <w:t>v</w:t>
      </w:r>
      <w:r w:rsidR="00836773" w:rsidRPr="009230A6">
        <w:rPr>
          <w:i/>
          <w:iCs/>
        </w:rPr>
        <w:t>. Caron</w:t>
      </w:r>
      <w:r w:rsidR="00836773" w:rsidRPr="009230A6">
        <w:t>, 2018 </w:t>
      </w:r>
      <w:r w:rsidR="005870FD" w:rsidRPr="009230A6">
        <w:t>SCC</w:t>
      </w:r>
      <w:r w:rsidR="00836773" w:rsidRPr="009230A6">
        <w:t> 3, [2018] 1 </w:t>
      </w:r>
      <w:r w:rsidR="005870FD" w:rsidRPr="009230A6">
        <w:t xml:space="preserve">SCR </w:t>
      </w:r>
      <w:r w:rsidR="00836773" w:rsidRPr="009230A6">
        <w:t>35</w:t>
      </w:r>
      <w:r w:rsidR="005870FD" w:rsidRPr="009230A6">
        <w:t xml:space="preserve"> at</w:t>
      </w:r>
      <w:r w:rsidR="00836773" w:rsidRPr="009230A6">
        <w:t xml:space="preserve"> par</w:t>
      </w:r>
      <w:r w:rsidR="005870FD" w:rsidRPr="009230A6">
        <w:t>a</w:t>
      </w:r>
      <w:r w:rsidR="00836773" w:rsidRPr="009230A6">
        <w:t xml:space="preserve">. </w:t>
      </w:r>
      <w:r w:rsidR="00836773" w:rsidRPr="005870FD">
        <w:rPr>
          <w:lang w:val="en-CA"/>
        </w:rPr>
        <w:t xml:space="preserve">92 </w:t>
      </w:r>
      <w:r w:rsidR="00941F31">
        <w:rPr>
          <w:lang w:val="en-CA"/>
        </w:rPr>
        <w:t>[</w:t>
      </w:r>
      <w:r w:rsidR="00836773" w:rsidRPr="005870FD">
        <w:rPr>
          <w:i/>
          <w:iCs/>
          <w:lang w:val="en-CA"/>
        </w:rPr>
        <w:t>Caron</w:t>
      </w:r>
      <w:r w:rsidR="00941F31">
        <w:rPr>
          <w:lang w:val="en-CA"/>
        </w:rPr>
        <w:t>]</w:t>
      </w:r>
      <w:r w:rsidR="00836773" w:rsidRPr="005870FD">
        <w:rPr>
          <w:lang w:val="en-CA"/>
        </w:rPr>
        <w:t xml:space="preserve">, </w:t>
      </w:r>
      <w:r w:rsidR="005870FD" w:rsidRPr="005870FD">
        <w:rPr>
          <w:lang w:val="en-CA"/>
        </w:rPr>
        <w:t xml:space="preserve">the Court reiterated that </w:t>
      </w:r>
      <w:r w:rsidR="005870FD">
        <w:rPr>
          <w:lang w:val="en-CA"/>
        </w:rPr>
        <w:t>“</w:t>
      </w:r>
      <w:r w:rsidR="005870FD" w:rsidRPr="005870FD">
        <w:rPr>
          <w:lang w:val="en-CA"/>
        </w:rPr>
        <w:t xml:space="preserve">the origin of the disability does not matter for the Quebec </w:t>
      </w:r>
      <w:r w:rsidR="005870FD" w:rsidRPr="005870FD">
        <w:rPr>
          <w:i/>
          <w:iCs/>
          <w:lang w:val="en-CA"/>
        </w:rPr>
        <w:t>Charter</w:t>
      </w:r>
      <w:r w:rsidR="005870FD">
        <w:rPr>
          <w:lang w:val="en-CA"/>
        </w:rPr>
        <w:t>”</w:t>
      </w:r>
      <w:r w:rsidR="005870FD" w:rsidRPr="005870FD">
        <w:rPr>
          <w:lang w:val="en-CA"/>
        </w:rPr>
        <w:t>.</w:t>
      </w:r>
    </w:p>
  </w:footnote>
  <w:footnote w:id="70">
    <w:p w14:paraId="4DD56810" w14:textId="45C8A9FF" w:rsidR="00C9393D" w:rsidRPr="005870FD" w:rsidRDefault="00C9393D" w:rsidP="00C9393D">
      <w:pPr>
        <w:pStyle w:val="Notedebasdepage"/>
        <w:rPr>
          <w:lang w:val="en-CA"/>
        </w:rPr>
      </w:pPr>
      <w:r>
        <w:rPr>
          <w:rStyle w:val="Appelnotedebasdep"/>
        </w:rPr>
        <w:footnoteRef/>
      </w:r>
      <w:r>
        <w:t xml:space="preserve"> </w:t>
      </w:r>
      <w:r>
        <w:tab/>
      </w:r>
      <w:r w:rsidRPr="009F7A40">
        <w:rPr>
          <w:i/>
          <w:iCs/>
        </w:rPr>
        <w:t>Qu</w:t>
      </w:r>
      <w:r w:rsidR="00941F31">
        <w:rPr>
          <w:i/>
          <w:iCs/>
        </w:rPr>
        <w:t>e</w:t>
      </w:r>
      <w:r w:rsidRPr="009F7A40">
        <w:rPr>
          <w:i/>
          <w:iCs/>
        </w:rPr>
        <w:t xml:space="preserve">bec (Commission des droits de la personne et des droits de la jeunesse) </w:t>
      </w:r>
      <w:r w:rsidR="005870FD" w:rsidRPr="009F7A40">
        <w:rPr>
          <w:i/>
          <w:iCs/>
        </w:rPr>
        <w:t>v</w:t>
      </w:r>
      <w:r w:rsidRPr="009F7A40">
        <w:rPr>
          <w:i/>
          <w:iCs/>
        </w:rPr>
        <w:t>. Communauté urbaine de Montréal</w:t>
      </w:r>
      <w:r w:rsidRPr="009F7A40">
        <w:t>, 2004 </w:t>
      </w:r>
      <w:r w:rsidR="005870FD" w:rsidRPr="009F7A40">
        <w:t>SCC</w:t>
      </w:r>
      <w:r w:rsidRPr="009F7A40">
        <w:t> 30, [2004] 1 </w:t>
      </w:r>
      <w:r w:rsidR="005870FD" w:rsidRPr="009F7A40">
        <w:t xml:space="preserve">SCR </w:t>
      </w:r>
      <w:r w:rsidRPr="009F7A40">
        <w:t>789</w:t>
      </w:r>
      <w:r w:rsidR="005870FD" w:rsidRPr="009F7A40">
        <w:t xml:space="preserve"> at</w:t>
      </w:r>
      <w:r w:rsidRPr="009F7A40">
        <w:t xml:space="preserve"> par</w:t>
      </w:r>
      <w:r w:rsidR="005870FD" w:rsidRPr="009F7A40">
        <w:t>a</w:t>
      </w:r>
      <w:r w:rsidRPr="009F7A40">
        <w:t>.</w:t>
      </w:r>
      <w:r w:rsidRPr="00836773">
        <w:t xml:space="preserve"> </w:t>
      </w:r>
      <w:r w:rsidRPr="009F7A40">
        <w:t>11 (</w:t>
      </w:r>
      <w:r w:rsidR="005870FD" w:rsidRPr="009F7A40">
        <w:t>italics added</w:t>
      </w:r>
      <w:r w:rsidRPr="009F7A40">
        <w:t>).</w:t>
      </w:r>
      <w:r w:rsidRPr="00836773">
        <w:t xml:space="preserve"> </w:t>
      </w:r>
      <w:r w:rsidR="005870FD">
        <w:t>See to the same effect</w:t>
      </w:r>
      <w:r w:rsidRPr="009F7A40">
        <w:t xml:space="preserve"> </w:t>
      </w:r>
      <w:r w:rsidRPr="009F7A40">
        <w:rPr>
          <w:i/>
          <w:iCs/>
        </w:rPr>
        <w:t>Syndicat des infirmières, inhalothérapeutes, infirmières auxiliaires du Coeur du Québec (SIIIACQ) c. Centre hospitalier régional de Trois-Rivières</w:t>
      </w:r>
      <w:r w:rsidRPr="009F7A40">
        <w:t>, 2012 QCCA 1867</w:t>
      </w:r>
      <w:r w:rsidR="005870FD" w:rsidRPr="009F7A40">
        <w:t xml:space="preserve"> at</w:t>
      </w:r>
      <w:r w:rsidRPr="009F7A40">
        <w:t xml:space="preserve"> par</w:t>
      </w:r>
      <w:r w:rsidR="005870FD" w:rsidRPr="009F7A40">
        <w:t>a</w:t>
      </w:r>
      <w:r w:rsidRPr="009F7A40">
        <w:t>.</w:t>
      </w:r>
      <w:r w:rsidRPr="00836773">
        <w:t xml:space="preserve"> </w:t>
      </w:r>
      <w:r w:rsidRPr="009F7A40">
        <w:rPr>
          <w:lang w:val="en-CA"/>
        </w:rPr>
        <w:t>47</w:t>
      </w:r>
      <w:r w:rsidR="005870FD" w:rsidRPr="009F7A40">
        <w:rPr>
          <w:lang w:val="en-CA"/>
        </w:rPr>
        <w:t>, leave to appeal to SCC refused, 35130 (</w:t>
      </w:r>
      <w:r w:rsidRPr="009F7A40">
        <w:rPr>
          <w:lang w:val="en-CA"/>
        </w:rPr>
        <w:t>21</w:t>
      </w:r>
      <w:r w:rsidR="005870FD" w:rsidRPr="009F7A40">
        <w:rPr>
          <w:lang w:val="en-CA"/>
        </w:rPr>
        <w:t xml:space="preserve"> March </w:t>
      </w:r>
      <w:r w:rsidRPr="009F7A40">
        <w:rPr>
          <w:lang w:val="en-CA"/>
        </w:rPr>
        <w:t>2013</w:t>
      </w:r>
      <w:r w:rsidR="005870FD" w:rsidRPr="009F7A40">
        <w:rPr>
          <w:lang w:val="en-CA"/>
        </w:rPr>
        <w:t>)</w:t>
      </w:r>
      <w:r w:rsidRPr="009F7A40">
        <w:rPr>
          <w:lang w:val="en-CA"/>
        </w:rPr>
        <w:t>.</w:t>
      </w:r>
    </w:p>
  </w:footnote>
  <w:footnote w:id="71">
    <w:p w14:paraId="05FA66F6" w14:textId="4711A3F9" w:rsidR="00C9393D" w:rsidRPr="005870FD" w:rsidRDefault="00C9393D" w:rsidP="00C9393D">
      <w:pPr>
        <w:pStyle w:val="Notedebasdepage"/>
        <w:rPr>
          <w:lang w:val="en-CA"/>
        </w:rPr>
      </w:pPr>
      <w:r>
        <w:rPr>
          <w:rStyle w:val="Appelnotedebasdep"/>
        </w:rPr>
        <w:footnoteRef/>
      </w:r>
      <w:r w:rsidRPr="005870FD">
        <w:rPr>
          <w:lang w:val="en-CA"/>
        </w:rPr>
        <w:t xml:space="preserve"> </w:t>
      </w:r>
      <w:r w:rsidRPr="005870FD">
        <w:rPr>
          <w:lang w:val="en-CA"/>
        </w:rPr>
        <w:tab/>
      </w:r>
      <w:r w:rsidR="005870FD" w:rsidRPr="00235815">
        <w:rPr>
          <w:i/>
          <w:iCs/>
          <w:lang w:val="en-CA"/>
        </w:rPr>
        <w:t>Canadian Charter of Rights and Freedoms</w:t>
      </w:r>
      <w:r w:rsidR="005870FD" w:rsidRPr="005870FD">
        <w:rPr>
          <w:lang w:val="en-CA"/>
        </w:rPr>
        <w:t>,</w:t>
      </w:r>
      <w:r w:rsidRPr="009F7A40">
        <w:rPr>
          <w:lang w:val="en-CA"/>
        </w:rPr>
        <w:t xml:space="preserve"> </w:t>
      </w:r>
      <w:r w:rsidR="005870FD" w:rsidRPr="009F7A40">
        <w:rPr>
          <w:lang w:val="en-CA"/>
        </w:rPr>
        <w:t xml:space="preserve">Part I of the </w:t>
      </w:r>
      <w:r w:rsidR="005870FD" w:rsidRPr="009F7A40">
        <w:rPr>
          <w:i/>
          <w:iCs/>
          <w:lang w:val="en-CA"/>
        </w:rPr>
        <w:t>Constitution Act, 1982</w:t>
      </w:r>
      <w:r w:rsidR="005870FD" w:rsidRPr="009F7A40">
        <w:rPr>
          <w:lang w:val="en-CA"/>
        </w:rPr>
        <w:t xml:space="preserve">, being Schedule B to the </w:t>
      </w:r>
      <w:r w:rsidR="005870FD" w:rsidRPr="009F7A40">
        <w:rPr>
          <w:i/>
          <w:iCs/>
          <w:lang w:val="en-CA"/>
        </w:rPr>
        <w:t>Canada Act 1982</w:t>
      </w:r>
      <w:r w:rsidR="005870FD" w:rsidRPr="009F7A40">
        <w:rPr>
          <w:lang w:val="en-CA"/>
        </w:rPr>
        <w:t>, c.</w:t>
      </w:r>
      <w:r w:rsidRPr="009F7A40">
        <w:rPr>
          <w:lang w:val="en-CA"/>
        </w:rPr>
        <w:t> 11 (U.</w:t>
      </w:r>
      <w:r w:rsidR="005870FD" w:rsidRPr="009F7A40">
        <w:rPr>
          <w:lang w:val="en-CA"/>
        </w:rPr>
        <w:t>K.</w:t>
      </w:r>
      <w:r w:rsidRPr="009F7A40">
        <w:rPr>
          <w:lang w:val="en-CA"/>
        </w:rPr>
        <w:t>).</w:t>
      </w:r>
    </w:p>
  </w:footnote>
  <w:footnote w:id="72">
    <w:p w14:paraId="6EA036A0" w14:textId="362EAB34" w:rsidR="00B91A89" w:rsidRDefault="001834C5">
      <w:pPr>
        <w:pStyle w:val="Notedebasdepage"/>
      </w:pPr>
      <w:r>
        <w:rPr>
          <w:rStyle w:val="Appelnotedebasdep"/>
        </w:rPr>
        <w:footnoteRef/>
      </w:r>
      <w:r w:rsidR="00836773" w:rsidRPr="00D51BB3">
        <w:rPr>
          <w:lang w:val="en-CA"/>
        </w:rPr>
        <w:t xml:space="preserve"> </w:t>
      </w:r>
      <w:r w:rsidR="00836773" w:rsidRPr="00D51BB3">
        <w:rPr>
          <w:lang w:val="en-CA"/>
        </w:rPr>
        <w:tab/>
      </w:r>
      <w:r w:rsidR="00836773" w:rsidRPr="00D51BB3">
        <w:rPr>
          <w:i/>
          <w:iCs/>
          <w:lang w:val="en-CA"/>
        </w:rPr>
        <w:t xml:space="preserve">Granovsky </w:t>
      </w:r>
      <w:r w:rsidR="005870FD" w:rsidRPr="00D51BB3">
        <w:rPr>
          <w:i/>
          <w:iCs/>
          <w:lang w:val="en-CA"/>
        </w:rPr>
        <w:t>v</w:t>
      </w:r>
      <w:r w:rsidR="00836773" w:rsidRPr="00D51BB3">
        <w:rPr>
          <w:i/>
          <w:iCs/>
          <w:lang w:val="en-CA"/>
        </w:rPr>
        <w:t>. Canada (</w:t>
      </w:r>
      <w:r w:rsidR="00E22D4D" w:rsidRPr="00D51BB3">
        <w:rPr>
          <w:i/>
          <w:iCs/>
          <w:lang w:val="en-CA"/>
        </w:rPr>
        <w:t>Minister of Employment and Immigration</w:t>
      </w:r>
      <w:r w:rsidR="00836773" w:rsidRPr="00D51BB3">
        <w:rPr>
          <w:i/>
          <w:iCs/>
          <w:lang w:val="en-CA"/>
        </w:rPr>
        <w:t>)</w:t>
      </w:r>
      <w:r w:rsidR="00836773" w:rsidRPr="00D51BB3">
        <w:rPr>
          <w:lang w:val="en-CA"/>
        </w:rPr>
        <w:t>, 2000 </w:t>
      </w:r>
      <w:r w:rsidR="005870FD" w:rsidRPr="00D51BB3">
        <w:rPr>
          <w:lang w:val="en-CA"/>
        </w:rPr>
        <w:t xml:space="preserve">SCC </w:t>
      </w:r>
      <w:r w:rsidR="00836773" w:rsidRPr="00D51BB3">
        <w:rPr>
          <w:lang w:val="en-CA"/>
        </w:rPr>
        <w:t>28, [2000] 1 </w:t>
      </w:r>
      <w:r w:rsidR="005870FD" w:rsidRPr="00D51BB3">
        <w:rPr>
          <w:lang w:val="en-CA"/>
        </w:rPr>
        <w:t xml:space="preserve">SCR </w:t>
      </w:r>
      <w:r w:rsidR="00836773" w:rsidRPr="00D51BB3">
        <w:rPr>
          <w:lang w:val="en-CA"/>
        </w:rPr>
        <w:t>703</w:t>
      </w:r>
      <w:r w:rsidR="005870FD" w:rsidRPr="00D51BB3">
        <w:rPr>
          <w:lang w:val="en-CA"/>
        </w:rPr>
        <w:t xml:space="preserve"> at</w:t>
      </w:r>
      <w:r w:rsidR="00836773" w:rsidRPr="00D51BB3">
        <w:rPr>
          <w:lang w:val="en-CA"/>
        </w:rPr>
        <w:t xml:space="preserve"> par</w:t>
      </w:r>
      <w:r w:rsidR="005870FD" w:rsidRPr="00D51BB3">
        <w:rPr>
          <w:lang w:val="en-CA"/>
        </w:rPr>
        <w:t>a</w:t>
      </w:r>
      <w:r w:rsidR="00836773" w:rsidRPr="00D51BB3">
        <w:rPr>
          <w:lang w:val="en-CA"/>
        </w:rPr>
        <w:t xml:space="preserve">. </w:t>
      </w:r>
      <w:r w:rsidR="00836773" w:rsidRPr="00836773">
        <w:t>39.</w:t>
      </w:r>
    </w:p>
  </w:footnote>
  <w:footnote w:id="73">
    <w:p w14:paraId="203E20A5" w14:textId="789EAFB6" w:rsidR="005870FD" w:rsidRPr="005870FD" w:rsidRDefault="005870FD" w:rsidP="005870FD">
      <w:pPr>
        <w:pStyle w:val="Notedebasdepage"/>
        <w:rPr>
          <w:lang w:val="en-CA"/>
        </w:rPr>
      </w:pPr>
      <w:r w:rsidRPr="005870FD">
        <w:rPr>
          <w:rStyle w:val="Appelnotedebasdep"/>
          <w:lang w:val="en-CA"/>
        </w:rPr>
        <w:footnoteRef/>
      </w:r>
      <w:r w:rsidRPr="005870FD">
        <w:t xml:space="preserve"> </w:t>
      </w:r>
      <w:r w:rsidRPr="005870FD">
        <w:tab/>
      </w:r>
      <w:r w:rsidRPr="009A3173">
        <w:t xml:space="preserve">Daniel Proulx, “Fascicule 9: Droit à l’égalité” in JurisClasseur Québec, </w:t>
      </w:r>
      <w:r w:rsidRPr="009A3173">
        <w:rPr>
          <w:i/>
          <w:iCs/>
        </w:rPr>
        <w:t>Droit constitutionnel</w:t>
      </w:r>
      <w:r w:rsidRPr="009A3173">
        <w:t xml:space="preserve">, 6th ed. </w:t>
      </w:r>
      <w:r w:rsidRPr="000A6176">
        <w:rPr>
          <w:lang w:val="en-CA"/>
        </w:rPr>
        <w:t xml:space="preserve">(Montreal: LexisNexis Canada, 2018) (loose-leaf revision 1 April 2018) at </w:t>
      </w:r>
      <w:r w:rsidR="00E55CD1">
        <w:rPr>
          <w:lang w:val="en-CA"/>
        </w:rPr>
        <w:t xml:space="preserve">p. </w:t>
      </w:r>
      <w:r w:rsidRPr="000A6176">
        <w:rPr>
          <w:lang w:val="en-CA"/>
        </w:rPr>
        <w:t xml:space="preserve">9/58 </w:t>
      </w:r>
      <w:r w:rsidR="00E22D4D" w:rsidRPr="000A6176">
        <w:rPr>
          <w:lang w:val="en-CA"/>
        </w:rPr>
        <w:t>(</w:t>
      </w:r>
      <w:r w:rsidRPr="000A6176">
        <w:rPr>
          <w:lang w:val="en-CA"/>
        </w:rPr>
        <w:t xml:space="preserve">para. </w:t>
      </w:r>
      <w:r w:rsidRPr="009A3173">
        <w:rPr>
          <w:lang w:val="en-CA"/>
        </w:rPr>
        <w:t>108</w:t>
      </w:r>
      <w:r w:rsidR="00E22D4D" w:rsidRPr="009A3173">
        <w:rPr>
          <w:lang w:val="en-CA"/>
        </w:rPr>
        <w:t>)</w:t>
      </w:r>
      <w:r w:rsidRPr="009A3173">
        <w:rPr>
          <w:lang w:val="en-CA"/>
        </w:rPr>
        <w:t>.</w:t>
      </w:r>
    </w:p>
  </w:footnote>
  <w:footnote w:id="74">
    <w:p w14:paraId="145E934A" w14:textId="1AF298B7" w:rsidR="005870FD" w:rsidRPr="005870FD" w:rsidRDefault="005870FD" w:rsidP="005870FD">
      <w:pPr>
        <w:pStyle w:val="Notedebasdepage"/>
      </w:pPr>
      <w:r>
        <w:rPr>
          <w:rStyle w:val="Appelnotedebasdep"/>
        </w:rPr>
        <w:footnoteRef/>
      </w:r>
      <w:r w:rsidRPr="00836773">
        <w:rPr>
          <w:lang w:val="en-CA"/>
        </w:rPr>
        <w:t xml:space="preserve"> </w:t>
      </w:r>
      <w:r w:rsidRPr="00836773">
        <w:rPr>
          <w:lang w:val="en-CA"/>
        </w:rPr>
        <w:tab/>
      </w:r>
      <w:r w:rsidRPr="00823974">
        <w:rPr>
          <w:lang w:val="en-CA"/>
        </w:rPr>
        <w:t>Morin</w:t>
      </w:r>
      <w:r w:rsidRPr="009F7A40">
        <w:rPr>
          <w:lang w:val="en-CA"/>
        </w:rPr>
        <w:t xml:space="preserve">, </w:t>
      </w:r>
      <w:r w:rsidRPr="009F7A40">
        <w:rPr>
          <w:i/>
          <w:iCs/>
          <w:lang w:val="en-CA"/>
        </w:rPr>
        <w:t>supra</w:t>
      </w:r>
      <w:r w:rsidRPr="009F7A40">
        <w:rPr>
          <w:lang w:val="en-CA"/>
        </w:rPr>
        <w:t xml:space="preserve"> note 60 at </w:t>
      </w:r>
      <w:r w:rsidR="00E55CD1">
        <w:rPr>
          <w:lang w:val="en-CA"/>
        </w:rPr>
        <w:t xml:space="preserve">p. </w:t>
      </w:r>
      <w:r w:rsidRPr="009F7A40">
        <w:rPr>
          <w:lang w:val="en-CA"/>
        </w:rPr>
        <w:t xml:space="preserve">147 </w:t>
      </w:r>
      <w:r w:rsidR="007B480A">
        <w:rPr>
          <w:lang w:val="en-CA"/>
        </w:rPr>
        <w:t>(</w:t>
      </w:r>
      <w:r w:rsidRPr="009F7A40">
        <w:rPr>
          <w:lang w:val="en-CA"/>
        </w:rPr>
        <w:t>para.</w:t>
      </w:r>
      <w:r w:rsidRPr="00836773">
        <w:rPr>
          <w:lang w:val="en-CA"/>
        </w:rPr>
        <w:t xml:space="preserve"> 392); </w:t>
      </w:r>
      <w:r w:rsidRPr="00AF41C2">
        <w:rPr>
          <w:lang w:val="en-CA"/>
        </w:rPr>
        <w:t xml:space="preserve">Laverne Jacobs </w:t>
      </w:r>
      <w:r w:rsidRPr="00B86D59">
        <w:rPr>
          <w:lang w:val="en-CA"/>
        </w:rPr>
        <w:t>et al</w:t>
      </w:r>
      <w:r w:rsidRPr="00AF41C2">
        <w:rPr>
          <w:lang w:val="en-CA"/>
        </w:rPr>
        <w:t>.</w:t>
      </w:r>
      <w:r w:rsidRPr="00836773">
        <w:rPr>
          <w:lang w:val="en-CA"/>
        </w:rPr>
        <w:t xml:space="preserve">, </w:t>
      </w:r>
      <w:r w:rsidRPr="00836773">
        <w:rPr>
          <w:i/>
          <w:iCs/>
          <w:lang w:val="en-CA"/>
        </w:rPr>
        <w:t>Law and Disability in Canada: Cases and Materials</w:t>
      </w:r>
      <w:r>
        <w:rPr>
          <w:lang w:val="en-CA"/>
        </w:rPr>
        <w:t xml:space="preserve"> (</w:t>
      </w:r>
      <w:r w:rsidRPr="00836773">
        <w:rPr>
          <w:lang w:val="en-CA"/>
        </w:rPr>
        <w:t>Toronto</w:t>
      </w:r>
      <w:r>
        <w:rPr>
          <w:lang w:val="en-CA"/>
        </w:rPr>
        <w:t>:</w:t>
      </w:r>
      <w:r w:rsidRPr="00836773">
        <w:rPr>
          <w:lang w:val="en-CA"/>
        </w:rPr>
        <w:t xml:space="preserve"> LexisNexis, 2021</w:t>
      </w:r>
      <w:r>
        <w:rPr>
          <w:lang w:val="en-CA"/>
        </w:rPr>
        <w:t>) at</w:t>
      </w:r>
      <w:r w:rsidRPr="00836773">
        <w:rPr>
          <w:lang w:val="en-CA"/>
        </w:rPr>
        <w:t xml:space="preserve"> </w:t>
      </w:r>
      <w:r w:rsidR="00E55CD1">
        <w:rPr>
          <w:lang w:val="en-CA"/>
        </w:rPr>
        <w:t xml:space="preserve">pp. </w:t>
      </w:r>
      <w:r w:rsidRPr="00836773">
        <w:rPr>
          <w:lang w:val="en-CA"/>
        </w:rPr>
        <w:t>77</w:t>
      </w:r>
      <w:r>
        <w:rPr>
          <w:lang w:val="en-CA"/>
        </w:rPr>
        <w:t>–</w:t>
      </w:r>
      <w:r w:rsidRPr="00836773">
        <w:rPr>
          <w:lang w:val="en-CA"/>
        </w:rPr>
        <w:t>78 (par</w:t>
      </w:r>
      <w:r>
        <w:rPr>
          <w:lang w:val="en-CA"/>
        </w:rPr>
        <w:t>as</w:t>
      </w:r>
      <w:r w:rsidRPr="00836773">
        <w:rPr>
          <w:lang w:val="en-CA"/>
        </w:rPr>
        <w:t xml:space="preserve">. </w:t>
      </w:r>
      <w:r w:rsidRPr="005870FD">
        <w:t>3,</w:t>
      </w:r>
      <w:r w:rsidR="00235815">
        <w:t xml:space="preserve"> </w:t>
      </w:r>
      <w:r w:rsidRPr="005870FD">
        <w:t>12).</w:t>
      </w:r>
    </w:p>
  </w:footnote>
  <w:footnote w:id="75">
    <w:p w14:paraId="7011BA75" w14:textId="6C76BAFA" w:rsidR="005870FD" w:rsidRDefault="005870FD" w:rsidP="005870FD">
      <w:pPr>
        <w:pStyle w:val="Notedebasdepage"/>
      </w:pPr>
      <w:r>
        <w:rPr>
          <w:rStyle w:val="Appelnotedebasdep"/>
        </w:rPr>
        <w:footnoteRef/>
      </w:r>
      <w:r>
        <w:t xml:space="preserve"> </w:t>
      </w:r>
      <w:r>
        <w:tab/>
      </w:r>
      <w:r w:rsidRPr="009F7A40">
        <w:rPr>
          <w:i/>
          <w:iCs/>
        </w:rPr>
        <w:t>Commission des droits de la personne et des droits de la jeunesse (Grenier) c. Société de portefeuille du Groupe Desjardins (Assurances générales des Caisses Desjardins inc.)</w:t>
      </w:r>
      <w:r w:rsidRPr="009F7A40">
        <w:t xml:space="preserve">, 1997 CanLII 47 (QC TDP) at </w:t>
      </w:r>
      <w:r w:rsidR="0046767B">
        <w:t xml:space="preserve">pp. </w:t>
      </w:r>
      <w:r w:rsidRPr="009F7A40">
        <w:t>6–7 (PDF).</w:t>
      </w:r>
    </w:p>
  </w:footnote>
  <w:footnote w:id="76">
    <w:p w14:paraId="36F074FE" w14:textId="63EBB0A9" w:rsidR="00C9393D" w:rsidRPr="0013463A" w:rsidRDefault="00C9393D" w:rsidP="00C9393D">
      <w:pPr>
        <w:pStyle w:val="Notedebasdepage"/>
        <w:rPr>
          <w:lang w:val="es-CL"/>
        </w:rPr>
      </w:pPr>
      <w:r>
        <w:rPr>
          <w:rStyle w:val="Appelnotedebasdep"/>
        </w:rPr>
        <w:footnoteRef/>
      </w:r>
      <w:r w:rsidRPr="0013463A">
        <w:rPr>
          <w:lang w:val="es-CL"/>
        </w:rPr>
        <w:t xml:space="preserve"> </w:t>
      </w:r>
      <w:r w:rsidRPr="0013463A">
        <w:rPr>
          <w:lang w:val="es-CL"/>
        </w:rPr>
        <w:tab/>
      </w:r>
      <w:r w:rsidR="005870FD" w:rsidRPr="0013463A">
        <w:rPr>
          <w:lang w:val="es-CL"/>
        </w:rPr>
        <w:t>Proulx</w:t>
      </w:r>
      <w:r w:rsidRPr="0013463A">
        <w:rPr>
          <w:lang w:val="es-CL"/>
        </w:rPr>
        <w:t xml:space="preserve">, </w:t>
      </w:r>
      <w:r w:rsidR="005870FD" w:rsidRPr="0013463A">
        <w:rPr>
          <w:i/>
          <w:iCs/>
          <w:lang w:val="es-CL"/>
        </w:rPr>
        <w:t>supra</w:t>
      </w:r>
      <w:r w:rsidRPr="0013463A">
        <w:rPr>
          <w:lang w:val="es-CL"/>
        </w:rPr>
        <w:t xml:space="preserve"> note 72</w:t>
      </w:r>
      <w:r w:rsidR="005870FD" w:rsidRPr="0013463A">
        <w:rPr>
          <w:lang w:val="es-CL"/>
        </w:rPr>
        <w:t xml:space="preserve"> at</w:t>
      </w:r>
      <w:r w:rsidRPr="0013463A">
        <w:rPr>
          <w:lang w:val="es-CL"/>
        </w:rPr>
        <w:t xml:space="preserve"> </w:t>
      </w:r>
      <w:r w:rsidR="0046767B">
        <w:rPr>
          <w:lang w:val="es-CL"/>
        </w:rPr>
        <w:t xml:space="preserve">p. </w:t>
      </w:r>
      <w:r w:rsidRPr="0013463A">
        <w:rPr>
          <w:lang w:val="es-CL"/>
        </w:rPr>
        <w:t>9/43</w:t>
      </w:r>
      <w:r w:rsidR="005870FD" w:rsidRPr="0013463A">
        <w:rPr>
          <w:lang w:val="es-CL"/>
        </w:rPr>
        <w:t xml:space="preserve"> </w:t>
      </w:r>
      <w:r w:rsidR="007B480A">
        <w:rPr>
          <w:lang w:val="es-CL"/>
        </w:rPr>
        <w:t>(</w:t>
      </w:r>
      <w:r w:rsidRPr="0013463A">
        <w:rPr>
          <w:lang w:val="es-CL"/>
        </w:rPr>
        <w:t>par</w:t>
      </w:r>
      <w:r w:rsidR="005870FD" w:rsidRPr="0013463A">
        <w:rPr>
          <w:lang w:val="es-CL"/>
        </w:rPr>
        <w:t>a</w:t>
      </w:r>
      <w:r w:rsidRPr="0013463A">
        <w:rPr>
          <w:lang w:val="es-CL"/>
        </w:rPr>
        <w:t>. 89</w:t>
      </w:r>
      <w:r w:rsidR="007B480A">
        <w:rPr>
          <w:lang w:val="es-CL"/>
        </w:rPr>
        <w:t>)</w:t>
      </w:r>
      <w:r w:rsidRPr="0013463A">
        <w:rPr>
          <w:lang w:val="es-CL"/>
        </w:rPr>
        <w:t>.</w:t>
      </w:r>
    </w:p>
  </w:footnote>
  <w:footnote w:id="77">
    <w:p w14:paraId="7C7DB706" w14:textId="6D9A34C0" w:rsidR="00C9393D" w:rsidRPr="005870FD" w:rsidRDefault="00C9393D" w:rsidP="00C9393D">
      <w:pPr>
        <w:pStyle w:val="Notedebasdepage"/>
        <w:rPr>
          <w:lang w:val="en-CA"/>
        </w:rPr>
      </w:pPr>
      <w:r>
        <w:rPr>
          <w:rStyle w:val="Appelnotedebasdep"/>
        </w:rPr>
        <w:footnoteRef/>
      </w:r>
      <w:r w:rsidRPr="0013463A">
        <w:rPr>
          <w:lang w:val="es-CL"/>
        </w:rPr>
        <w:t xml:space="preserve"> </w:t>
      </w:r>
      <w:r w:rsidRPr="0013463A">
        <w:rPr>
          <w:lang w:val="es-CL"/>
        </w:rPr>
        <w:tab/>
      </w:r>
      <w:r w:rsidRPr="0013463A">
        <w:rPr>
          <w:i/>
          <w:iCs/>
          <w:lang w:val="es-CL"/>
        </w:rPr>
        <w:t>Caron</w:t>
      </w:r>
      <w:r w:rsidRPr="0013463A">
        <w:rPr>
          <w:lang w:val="es-CL"/>
        </w:rPr>
        <w:t xml:space="preserve">, </w:t>
      </w:r>
      <w:r w:rsidR="005870FD" w:rsidRPr="0013463A">
        <w:rPr>
          <w:i/>
          <w:iCs/>
          <w:lang w:val="es-CL"/>
        </w:rPr>
        <w:t>supra</w:t>
      </w:r>
      <w:r w:rsidR="005870FD" w:rsidRPr="0013463A">
        <w:rPr>
          <w:lang w:val="es-CL"/>
        </w:rPr>
        <w:t xml:space="preserve"> note</w:t>
      </w:r>
      <w:r w:rsidRPr="0013463A">
        <w:rPr>
          <w:lang w:val="es-CL"/>
        </w:rPr>
        <w:t xml:space="preserve"> 68</w:t>
      </w:r>
      <w:r w:rsidR="005870FD" w:rsidRPr="0013463A">
        <w:rPr>
          <w:lang w:val="es-CL"/>
        </w:rPr>
        <w:t xml:space="preserve"> </w:t>
      </w:r>
      <w:r w:rsidR="007B480A">
        <w:rPr>
          <w:lang w:val="es-CL"/>
        </w:rPr>
        <w:t>(</w:t>
      </w:r>
      <w:r w:rsidRPr="0013463A">
        <w:rPr>
          <w:lang w:val="es-CL"/>
        </w:rPr>
        <w:t>par</w:t>
      </w:r>
      <w:r w:rsidR="005870FD" w:rsidRPr="0013463A">
        <w:rPr>
          <w:lang w:val="es-CL"/>
        </w:rPr>
        <w:t>as</w:t>
      </w:r>
      <w:r w:rsidRPr="0013463A">
        <w:rPr>
          <w:lang w:val="es-CL"/>
        </w:rPr>
        <w:t xml:space="preserve">. </w:t>
      </w:r>
      <w:r w:rsidRPr="009F7A40">
        <w:rPr>
          <w:lang w:val="en-CA"/>
        </w:rPr>
        <w:t xml:space="preserve">28 </w:t>
      </w:r>
      <w:r w:rsidR="005870FD" w:rsidRPr="009F7A40">
        <w:rPr>
          <w:lang w:val="en-CA"/>
        </w:rPr>
        <w:t>and</w:t>
      </w:r>
      <w:r w:rsidR="00EF47F3" w:rsidRPr="009F7A40">
        <w:rPr>
          <w:lang w:val="en-CA"/>
        </w:rPr>
        <w:t xml:space="preserve"> </w:t>
      </w:r>
      <w:r w:rsidRPr="009F7A40">
        <w:rPr>
          <w:lang w:val="en-CA"/>
        </w:rPr>
        <w:t>29</w:t>
      </w:r>
      <w:r w:rsidR="007B480A">
        <w:rPr>
          <w:lang w:val="en-CA"/>
        </w:rPr>
        <w:t>)</w:t>
      </w:r>
      <w:r w:rsidRPr="009F7A40">
        <w:rPr>
          <w:lang w:val="en-CA"/>
        </w:rPr>
        <w:t>.</w:t>
      </w:r>
    </w:p>
  </w:footnote>
  <w:footnote w:id="78">
    <w:p w14:paraId="506973AE" w14:textId="11858272" w:rsidR="00C9393D" w:rsidRPr="005870FD" w:rsidRDefault="00C9393D" w:rsidP="00C9393D">
      <w:pPr>
        <w:pStyle w:val="Notedebasdepage"/>
        <w:rPr>
          <w:lang w:val="en-CA"/>
        </w:rPr>
      </w:pPr>
      <w:r>
        <w:rPr>
          <w:rStyle w:val="Appelnotedebasdep"/>
        </w:rPr>
        <w:footnoteRef/>
      </w:r>
      <w:r w:rsidRPr="005870FD">
        <w:rPr>
          <w:lang w:val="en-CA"/>
        </w:rPr>
        <w:t xml:space="preserve"> </w:t>
      </w:r>
      <w:r w:rsidRPr="005870FD">
        <w:rPr>
          <w:lang w:val="en-CA"/>
        </w:rPr>
        <w:tab/>
      </w:r>
      <w:r w:rsidRPr="009F7A40">
        <w:rPr>
          <w:i/>
          <w:iCs/>
          <w:lang w:val="en-CA"/>
        </w:rPr>
        <w:t>I</w:t>
      </w:r>
      <w:r w:rsidR="005870FD" w:rsidRPr="009F7A40">
        <w:rPr>
          <w:i/>
          <w:iCs/>
          <w:lang w:val="en-CA"/>
        </w:rPr>
        <w:t>bi</w:t>
      </w:r>
      <w:r w:rsidRPr="009F7A40">
        <w:rPr>
          <w:i/>
          <w:iCs/>
          <w:lang w:val="en-CA"/>
        </w:rPr>
        <w:t>d</w:t>
      </w:r>
      <w:r w:rsidRPr="009F7A40">
        <w:rPr>
          <w:lang w:val="en-CA"/>
        </w:rPr>
        <w:t>.</w:t>
      </w:r>
      <w:r w:rsidR="005870FD" w:rsidRPr="009F7A40">
        <w:rPr>
          <w:lang w:val="en-CA"/>
        </w:rPr>
        <w:t xml:space="preserve"> at para</w:t>
      </w:r>
      <w:r w:rsidRPr="009F7A40">
        <w:rPr>
          <w:lang w:val="en-CA"/>
        </w:rPr>
        <w:t>.</w:t>
      </w:r>
      <w:r w:rsidRPr="005870FD">
        <w:rPr>
          <w:lang w:val="en-CA"/>
        </w:rPr>
        <w:t xml:space="preserve"> 20.</w:t>
      </w:r>
    </w:p>
  </w:footnote>
  <w:footnote w:id="79">
    <w:p w14:paraId="0B0599B6" w14:textId="32F8110D" w:rsidR="00C9393D" w:rsidRPr="00EF47F3" w:rsidRDefault="00C9393D" w:rsidP="00C9393D">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I</w:t>
      </w:r>
      <w:r w:rsidR="005870FD" w:rsidRPr="009230A6">
        <w:rPr>
          <w:i/>
          <w:iCs/>
          <w:lang w:val="en-CA"/>
        </w:rPr>
        <w:t>bi</w:t>
      </w:r>
      <w:r w:rsidRPr="009230A6">
        <w:rPr>
          <w:i/>
          <w:iCs/>
          <w:lang w:val="en-CA"/>
        </w:rPr>
        <w:t>d</w:t>
      </w:r>
      <w:r w:rsidRPr="009230A6">
        <w:rPr>
          <w:lang w:val="en-CA"/>
        </w:rPr>
        <w:t>.</w:t>
      </w:r>
      <w:r w:rsidR="005870FD" w:rsidRPr="009230A6">
        <w:rPr>
          <w:lang w:val="en-CA"/>
        </w:rPr>
        <w:t xml:space="preserve"> at para</w:t>
      </w:r>
      <w:r w:rsidRPr="009230A6">
        <w:rPr>
          <w:lang w:val="en-CA"/>
        </w:rPr>
        <w:t xml:space="preserve">. </w:t>
      </w:r>
      <w:r w:rsidRPr="00EF47F3">
        <w:rPr>
          <w:lang w:val="en-CA"/>
        </w:rPr>
        <w:t>35.</w:t>
      </w:r>
      <w:r w:rsidR="00EF47F3" w:rsidRPr="00EF47F3">
        <w:rPr>
          <w:lang w:val="en-CA"/>
        </w:rPr>
        <w:t xml:space="preserve"> </w:t>
      </w:r>
      <w:r w:rsidR="00EF47F3">
        <w:rPr>
          <w:lang w:val="en-CA"/>
        </w:rPr>
        <w:t>Indeed, t</w:t>
      </w:r>
      <w:r w:rsidR="00EF47F3" w:rsidRPr="00EF47F3">
        <w:rPr>
          <w:lang w:val="en-CA"/>
        </w:rPr>
        <w:t>he Supreme Court has long fo</w:t>
      </w:r>
      <w:r w:rsidR="00294D47">
        <w:rPr>
          <w:lang w:val="en-CA"/>
        </w:rPr>
        <w:t>u</w:t>
      </w:r>
      <w:r w:rsidR="00EF47F3" w:rsidRPr="00EF47F3">
        <w:rPr>
          <w:lang w:val="en-CA"/>
        </w:rPr>
        <w:t xml:space="preserve">nd that </w:t>
      </w:r>
      <w:r w:rsidR="00EF47F3">
        <w:rPr>
          <w:lang w:val="en-CA"/>
        </w:rPr>
        <w:t>“r</w:t>
      </w:r>
      <w:r w:rsidR="00EF47F3" w:rsidRPr="00EF47F3">
        <w:rPr>
          <w:lang w:val="en-CA"/>
        </w:rPr>
        <w:t>easonable accommodation [is] an integral aspect of equality</w:t>
      </w:r>
      <w:r w:rsidR="00EF47F3">
        <w:rPr>
          <w:lang w:val="en-CA"/>
        </w:rPr>
        <w:t>”</w:t>
      </w:r>
      <w:r w:rsidRPr="00EF47F3">
        <w:rPr>
          <w:lang w:val="en-CA"/>
        </w:rPr>
        <w:t xml:space="preserve">: </w:t>
      </w:r>
      <w:r w:rsidRPr="00EF47F3">
        <w:rPr>
          <w:i/>
          <w:iCs/>
          <w:lang w:val="en-CA"/>
        </w:rPr>
        <w:t xml:space="preserve">Commission scolaire régionale de Chambly </w:t>
      </w:r>
      <w:r w:rsidR="00EF47F3" w:rsidRPr="00EF47F3">
        <w:rPr>
          <w:i/>
          <w:iCs/>
          <w:lang w:val="en-CA"/>
        </w:rPr>
        <w:t>v</w:t>
      </w:r>
      <w:r w:rsidRPr="00EF47F3">
        <w:rPr>
          <w:i/>
          <w:iCs/>
          <w:lang w:val="en-CA"/>
        </w:rPr>
        <w:t>. Bergevin</w:t>
      </w:r>
      <w:r w:rsidRPr="00EF47F3">
        <w:rPr>
          <w:lang w:val="en-CA"/>
        </w:rPr>
        <w:t>, 1994 CanLII 102 (</w:t>
      </w:r>
      <w:r w:rsidR="00EF47F3">
        <w:rPr>
          <w:lang w:val="en-CA"/>
        </w:rPr>
        <w:t>SCC</w:t>
      </w:r>
      <w:r w:rsidRPr="00EF47F3">
        <w:rPr>
          <w:lang w:val="en-CA"/>
        </w:rPr>
        <w:t>), [1994] 2 </w:t>
      </w:r>
      <w:r w:rsidR="00EF47F3">
        <w:rPr>
          <w:lang w:val="en-CA"/>
        </w:rPr>
        <w:t>SCR</w:t>
      </w:r>
      <w:r w:rsidRPr="00EF47F3">
        <w:rPr>
          <w:lang w:val="en-CA"/>
        </w:rPr>
        <w:t> 525</w:t>
      </w:r>
      <w:r w:rsidR="00EF47F3">
        <w:rPr>
          <w:lang w:val="en-CA"/>
        </w:rPr>
        <w:t xml:space="preserve"> at</w:t>
      </w:r>
      <w:r w:rsidRPr="00EF47F3">
        <w:rPr>
          <w:lang w:val="en-CA"/>
        </w:rPr>
        <w:t> </w:t>
      </w:r>
      <w:r w:rsidR="00D10789">
        <w:rPr>
          <w:lang w:val="en-CA"/>
        </w:rPr>
        <w:t xml:space="preserve">p. </w:t>
      </w:r>
      <w:r w:rsidRPr="00EF47F3">
        <w:rPr>
          <w:lang w:val="en-CA"/>
        </w:rPr>
        <w:t>544.</w:t>
      </w:r>
    </w:p>
  </w:footnote>
  <w:footnote w:id="80">
    <w:p w14:paraId="5B087DBF" w14:textId="5EA927AD" w:rsidR="00C9393D" w:rsidRPr="00EF47F3" w:rsidRDefault="00C9393D" w:rsidP="00C9393D">
      <w:pPr>
        <w:pStyle w:val="Notedebasdepage"/>
        <w:rPr>
          <w:lang w:val="en-CA"/>
        </w:rPr>
      </w:pPr>
      <w:r>
        <w:rPr>
          <w:rStyle w:val="Appelnotedebasdep"/>
        </w:rPr>
        <w:footnoteRef/>
      </w:r>
      <w:r w:rsidRPr="00EF47F3">
        <w:rPr>
          <w:lang w:val="en-CA"/>
        </w:rPr>
        <w:t xml:space="preserve"> </w:t>
      </w:r>
      <w:r w:rsidRPr="00EF47F3">
        <w:rPr>
          <w:lang w:val="en-CA"/>
        </w:rPr>
        <w:tab/>
      </w:r>
      <w:r w:rsidR="00EF47F3" w:rsidRPr="009F7A40">
        <w:rPr>
          <w:lang w:val="en-CA"/>
        </w:rPr>
        <w:t xml:space="preserve">Section </w:t>
      </w:r>
      <w:r w:rsidRPr="00EF47F3">
        <w:rPr>
          <w:lang w:val="en-CA"/>
        </w:rPr>
        <w:t xml:space="preserve">1 </w:t>
      </w:r>
      <w:r w:rsidR="00EF47F3" w:rsidRPr="00EF47F3">
        <w:rPr>
          <w:lang w:val="en-CA"/>
        </w:rPr>
        <w:t xml:space="preserve">of </w:t>
      </w:r>
      <w:r w:rsidR="00EF47F3" w:rsidRPr="00EF47F3">
        <w:rPr>
          <w:i/>
          <w:iCs/>
          <w:lang w:val="en-CA"/>
        </w:rPr>
        <w:t>Act respecting the Québec correctional system</w:t>
      </w:r>
      <w:r w:rsidRPr="00EF47F3">
        <w:rPr>
          <w:lang w:val="en-CA"/>
        </w:rPr>
        <w:t>,</w:t>
      </w:r>
      <w:r w:rsidR="00EF47F3" w:rsidRPr="00EF47F3">
        <w:rPr>
          <w:lang w:val="en-CA"/>
        </w:rPr>
        <w:t xml:space="preserve"> CQLR</w:t>
      </w:r>
      <w:r w:rsidRPr="00EF47F3">
        <w:rPr>
          <w:lang w:val="en-CA"/>
        </w:rPr>
        <w:t xml:space="preserve">, </w:t>
      </w:r>
      <w:r w:rsidRPr="009F7A40">
        <w:rPr>
          <w:lang w:val="en-CA"/>
        </w:rPr>
        <w:t>c</w:t>
      </w:r>
      <w:r w:rsidRPr="00EF47F3">
        <w:rPr>
          <w:lang w:val="en-CA"/>
        </w:rPr>
        <w:t xml:space="preserve">. S-40.1, </w:t>
      </w:r>
      <w:r w:rsidR="00EF47F3" w:rsidRPr="00EF47F3">
        <w:rPr>
          <w:lang w:val="en-CA"/>
        </w:rPr>
        <w:t xml:space="preserve">also states that correctional services must be </w:t>
      </w:r>
      <w:r w:rsidR="00EF47F3">
        <w:rPr>
          <w:lang w:val="en-CA"/>
        </w:rPr>
        <w:t>provided “in keeping with ... fundamental rights”.</w:t>
      </w:r>
    </w:p>
  </w:footnote>
  <w:footnote w:id="81">
    <w:p w14:paraId="2150198A" w14:textId="234C1F8D" w:rsidR="00B91A89" w:rsidRPr="00F36919" w:rsidRDefault="001834C5">
      <w:pPr>
        <w:pStyle w:val="Notedebasdepage"/>
        <w:rPr>
          <w:lang w:val="en-CA"/>
        </w:rPr>
      </w:pPr>
      <w:r>
        <w:rPr>
          <w:rStyle w:val="Appelnotedebasdep"/>
        </w:rPr>
        <w:footnoteRef/>
      </w:r>
      <w:r w:rsidR="00C03FCE" w:rsidRPr="00F36919">
        <w:rPr>
          <w:lang w:val="en-CA"/>
        </w:rPr>
        <w:t xml:space="preserve"> </w:t>
      </w:r>
      <w:r w:rsidR="00C03FCE" w:rsidRPr="00F36919">
        <w:rPr>
          <w:lang w:val="en-CA"/>
        </w:rPr>
        <w:tab/>
      </w:r>
      <w:r w:rsidR="00F36919" w:rsidRPr="00F36919">
        <w:rPr>
          <w:lang w:val="en-CA"/>
        </w:rPr>
        <w:t>E</w:t>
      </w:r>
      <w:r w:rsidR="00F36919" w:rsidRPr="009F7A40">
        <w:rPr>
          <w:lang w:val="en-CA"/>
        </w:rPr>
        <w:t>xhibit</w:t>
      </w:r>
      <w:r w:rsidR="00C03FCE" w:rsidRPr="009F7A40">
        <w:rPr>
          <w:lang w:val="en-CA"/>
        </w:rPr>
        <w:t> P-11, R</w:t>
      </w:r>
      <w:r w:rsidR="00F36919" w:rsidRPr="009F7A40">
        <w:rPr>
          <w:lang w:val="en-CA"/>
        </w:rPr>
        <w:t>e</w:t>
      </w:r>
      <w:r w:rsidR="00C03FCE" w:rsidRPr="009F7A40">
        <w:rPr>
          <w:lang w:val="en-CA"/>
        </w:rPr>
        <w:t>solution CP-770.2</w:t>
      </w:r>
      <w:r w:rsidR="00D10789">
        <w:rPr>
          <w:lang w:val="en-CA"/>
        </w:rPr>
        <w:t xml:space="preserve">, </w:t>
      </w:r>
      <w:r w:rsidR="00C03FCE" w:rsidRPr="009F7A40">
        <w:rPr>
          <w:lang w:val="en-CA"/>
        </w:rPr>
        <w:t>2 </w:t>
      </w:r>
      <w:r w:rsidR="00F36919" w:rsidRPr="009F7A40">
        <w:rPr>
          <w:lang w:val="en-CA"/>
        </w:rPr>
        <w:t>July</w:t>
      </w:r>
      <w:r w:rsidR="00C03FCE" w:rsidRPr="009F7A40">
        <w:rPr>
          <w:lang w:val="en-CA"/>
        </w:rPr>
        <w:t xml:space="preserve"> 2020</w:t>
      </w:r>
      <w:r w:rsidR="00D10789">
        <w:rPr>
          <w:lang w:val="en-CA"/>
        </w:rPr>
        <w:t>,</w:t>
      </w:r>
      <w:r w:rsidR="00F36919" w:rsidRPr="009F7A40">
        <w:rPr>
          <w:lang w:val="en-CA"/>
        </w:rPr>
        <w:t xml:space="preserve"> at</w:t>
      </w:r>
      <w:r w:rsidR="00C03FCE" w:rsidRPr="009F7A40">
        <w:rPr>
          <w:lang w:val="en-CA"/>
        </w:rPr>
        <w:t> </w:t>
      </w:r>
      <w:r w:rsidR="00D10789">
        <w:rPr>
          <w:lang w:val="en-CA"/>
        </w:rPr>
        <w:t xml:space="preserve">p. </w:t>
      </w:r>
      <w:r w:rsidR="00C03FCE" w:rsidRPr="009F7A40">
        <w:rPr>
          <w:lang w:val="en-CA"/>
        </w:rPr>
        <w:t>2</w:t>
      </w:r>
      <w:r w:rsidR="00D10789">
        <w:rPr>
          <w:lang w:val="en-CA"/>
        </w:rPr>
        <w:t>.</w:t>
      </w:r>
    </w:p>
  </w:footnote>
  <w:footnote w:id="82">
    <w:p w14:paraId="6C0F1E42" w14:textId="44C3EEB0" w:rsidR="00092503" w:rsidRPr="00A10857" w:rsidRDefault="00092503" w:rsidP="00092503">
      <w:pPr>
        <w:pStyle w:val="Notedebasdepage"/>
      </w:pPr>
      <w:r>
        <w:rPr>
          <w:rStyle w:val="Appelnotedebasdep"/>
        </w:rPr>
        <w:footnoteRef/>
      </w:r>
      <w:r w:rsidRPr="00A10857">
        <w:t xml:space="preserve"> </w:t>
      </w:r>
      <w:r w:rsidRPr="00A10857">
        <w:tab/>
      </w:r>
      <w:r w:rsidR="00F36919" w:rsidRPr="00A10857">
        <w:t>Exhib</w:t>
      </w:r>
      <w:r w:rsidR="001B7200" w:rsidRPr="00A10857">
        <w:t>i</w:t>
      </w:r>
      <w:r w:rsidR="00F36919" w:rsidRPr="00A10857">
        <w:t>t</w:t>
      </w:r>
      <w:r w:rsidRPr="00A10857">
        <w:t xml:space="preserve"> D-1, </w:t>
      </w:r>
      <w:r w:rsidR="00B86D59">
        <w:t>Intervention</w:t>
      </w:r>
      <w:r w:rsidR="00F36919" w:rsidRPr="00A10857">
        <w:t xml:space="preserve"> report</w:t>
      </w:r>
      <w:r w:rsidR="00C14DBA">
        <w:t xml:space="preserve">s, </w:t>
      </w:r>
      <w:r w:rsidRPr="00B86D59">
        <w:t>4 </w:t>
      </w:r>
      <w:r w:rsidR="00F36919" w:rsidRPr="00B86D59">
        <w:t>December</w:t>
      </w:r>
      <w:r w:rsidRPr="00B86D59">
        <w:t xml:space="preserve"> 2016, </w:t>
      </w:r>
      <w:r w:rsidRPr="00A10857">
        <w:rPr>
          <w:i/>
          <w:iCs/>
        </w:rPr>
        <w:t>en liasse</w:t>
      </w:r>
      <w:r w:rsidR="00F36919" w:rsidRPr="00A10857">
        <w:t xml:space="preserve"> at</w:t>
      </w:r>
      <w:r w:rsidRPr="00A10857">
        <w:t> </w:t>
      </w:r>
      <w:r w:rsidR="00C14DBA">
        <w:t xml:space="preserve">p. </w:t>
      </w:r>
      <w:r w:rsidRPr="00A10857">
        <w:t>20.</w:t>
      </w:r>
    </w:p>
  </w:footnote>
  <w:footnote w:id="83">
    <w:p w14:paraId="679489AF" w14:textId="74570B48" w:rsidR="00092503" w:rsidRDefault="00092503" w:rsidP="00092503">
      <w:pPr>
        <w:pStyle w:val="Notedebasdepage"/>
      </w:pPr>
      <w:r w:rsidRPr="00F36919">
        <w:rPr>
          <w:rStyle w:val="Appelnotedebasdep"/>
          <w:lang w:val="en-CA"/>
        </w:rPr>
        <w:footnoteRef/>
      </w:r>
      <w:r w:rsidRPr="009230A6">
        <w:t xml:space="preserve"> </w:t>
      </w:r>
      <w:r w:rsidRPr="009230A6">
        <w:tab/>
        <w:t xml:space="preserve">Mélanie </w:t>
      </w:r>
      <w:r w:rsidR="00F36919" w:rsidRPr="009230A6">
        <w:t>Martel</w:t>
      </w:r>
      <w:r w:rsidRPr="009230A6">
        <w:t xml:space="preserve"> </w:t>
      </w:r>
      <w:r w:rsidR="00F36919" w:rsidRPr="009230A6">
        <w:t xml:space="preserve">&amp; </w:t>
      </w:r>
      <w:r w:rsidRPr="009230A6">
        <w:t xml:space="preserve">Philippe </w:t>
      </w:r>
      <w:r w:rsidR="00F36919" w:rsidRPr="009230A6">
        <w:t>Bensimon</w:t>
      </w:r>
      <w:r w:rsidRPr="009230A6">
        <w:t xml:space="preserve">, </w:t>
      </w:r>
      <w:r w:rsidR="00F36919" w:rsidRPr="009230A6">
        <w:t>“</w:t>
      </w:r>
      <w:r w:rsidRPr="009230A6">
        <w:t xml:space="preserve">L’état de vulnérabilité en milieu </w:t>
      </w:r>
      <w:r w:rsidR="00F36919" w:rsidRPr="009230A6">
        <w:t>carc</w:t>
      </w:r>
      <w:r w:rsidR="00C14DBA">
        <w:t>é</w:t>
      </w:r>
      <w:r w:rsidR="00F36919" w:rsidRPr="009230A6">
        <w:t>ral” in Barreau du Québec</w:t>
      </w:r>
      <w:r w:rsidRPr="009230A6">
        <w:t xml:space="preserve">, </w:t>
      </w:r>
      <w:r w:rsidRPr="009230A6">
        <w:rPr>
          <w:i/>
          <w:iCs/>
        </w:rPr>
        <w:t>La protection des personnes vulnérables</w:t>
      </w:r>
      <w:r w:rsidRPr="009230A6">
        <w:t xml:space="preserve">, </w:t>
      </w:r>
      <w:r w:rsidR="00F36919" w:rsidRPr="009230A6">
        <w:t>V</w:t>
      </w:r>
      <w:r w:rsidRPr="009230A6">
        <w:t>ol.</w:t>
      </w:r>
      <w:r w:rsidRPr="00C03FCE">
        <w:t> </w:t>
      </w:r>
      <w:r w:rsidRPr="009F7A40">
        <w:t>527</w:t>
      </w:r>
      <w:r w:rsidR="00F36919" w:rsidRPr="009F7A40">
        <w:t xml:space="preserve"> (</w:t>
      </w:r>
      <w:r w:rsidRPr="009F7A40">
        <w:t>Montr</w:t>
      </w:r>
      <w:r w:rsidR="00F36919" w:rsidRPr="009F7A40">
        <w:t>eal</w:t>
      </w:r>
      <w:r w:rsidRPr="009F7A40">
        <w:t>, Yvon Blais, 2023</w:t>
      </w:r>
      <w:r w:rsidR="00F36919" w:rsidRPr="009F7A40">
        <w:t xml:space="preserve">) </w:t>
      </w:r>
      <w:r w:rsidR="0097521B">
        <w:t xml:space="preserve">1 </w:t>
      </w:r>
      <w:r w:rsidR="00F36919" w:rsidRPr="009F7A40">
        <w:t xml:space="preserve">at </w:t>
      </w:r>
      <w:r w:rsidR="00C14DBA">
        <w:t xml:space="preserve">p. </w:t>
      </w:r>
      <w:r w:rsidRPr="009F7A40">
        <w:t>9.</w:t>
      </w:r>
    </w:p>
  </w:footnote>
  <w:footnote w:id="84">
    <w:p w14:paraId="1FCBCB5E" w14:textId="736D80C0" w:rsidR="00B91A89" w:rsidRPr="009230A6" w:rsidRDefault="001834C5">
      <w:pPr>
        <w:pStyle w:val="Notedebasdepage"/>
        <w:rPr>
          <w:lang w:val="en-CA"/>
        </w:rPr>
      </w:pPr>
      <w:r>
        <w:rPr>
          <w:rStyle w:val="Appelnotedebasdep"/>
        </w:rPr>
        <w:footnoteRef/>
      </w:r>
      <w:r w:rsidR="00C03FCE">
        <w:t xml:space="preserve"> </w:t>
      </w:r>
      <w:r w:rsidR="00C03FCE">
        <w:tab/>
      </w:r>
      <w:r w:rsidR="00C03FCE" w:rsidRPr="009F7A40">
        <w:rPr>
          <w:i/>
          <w:iCs/>
        </w:rPr>
        <w:t>Gauthier et Aznar</w:t>
      </w:r>
      <w:r w:rsidR="00C03FCE" w:rsidRPr="009F7A40">
        <w:t>, 2015 QCCS 218</w:t>
      </w:r>
      <w:r w:rsidR="00F36919" w:rsidRPr="009F7A40">
        <w:t xml:space="preserve"> at</w:t>
      </w:r>
      <w:r w:rsidR="00C03FCE" w:rsidRPr="009F7A40">
        <w:t xml:space="preserve"> par</w:t>
      </w:r>
      <w:r w:rsidR="00F36919" w:rsidRPr="009F7A40">
        <w:t>a</w:t>
      </w:r>
      <w:r w:rsidR="00C03FCE" w:rsidRPr="009F7A40">
        <w:t>.</w:t>
      </w:r>
      <w:r w:rsidR="00C03FCE" w:rsidRPr="00C03FCE">
        <w:t xml:space="preserve"> </w:t>
      </w:r>
      <w:r w:rsidR="00C03FCE" w:rsidRPr="009F7A40">
        <w:rPr>
          <w:lang w:val="en-CA"/>
        </w:rPr>
        <w:t>90</w:t>
      </w:r>
      <w:r w:rsidR="00F36919" w:rsidRPr="009F7A40">
        <w:rPr>
          <w:lang w:val="en-CA"/>
        </w:rPr>
        <w:t xml:space="preserve">, leave to appeal refused, </w:t>
      </w:r>
      <w:r w:rsidR="00C03FCE" w:rsidRPr="009F7A40">
        <w:rPr>
          <w:lang w:val="en-CA"/>
        </w:rPr>
        <w:t>2015 QCCA 753.</w:t>
      </w:r>
      <w:r w:rsidR="00C03FCE" w:rsidRPr="00F36919">
        <w:rPr>
          <w:lang w:val="en-CA"/>
        </w:rPr>
        <w:t xml:space="preserve"> </w:t>
      </w:r>
      <w:r w:rsidR="00F36919" w:rsidRPr="00F36919">
        <w:t>See also</w:t>
      </w:r>
      <w:r w:rsidR="00C03FCE" w:rsidRPr="009F7A40">
        <w:t xml:space="preserve"> </w:t>
      </w:r>
      <w:r w:rsidR="00C03FCE" w:rsidRPr="009F7A40">
        <w:rPr>
          <w:i/>
          <w:iCs/>
        </w:rPr>
        <w:t>Dowd c. Lemay-Terriault</w:t>
      </w:r>
      <w:r w:rsidR="00C03FCE" w:rsidRPr="009F7A40">
        <w:t>, 2021 QCCQ 4884</w:t>
      </w:r>
      <w:r w:rsidR="00F36919" w:rsidRPr="009F7A40">
        <w:t xml:space="preserve"> at </w:t>
      </w:r>
      <w:r w:rsidR="00C03FCE" w:rsidRPr="009F7A40">
        <w:t>par</w:t>
      </w:r>
      <w:r w:rsidR="00F36919" w:rsidRPr="009F7A40">
        <w:t>a</w:t>
      </w:r>
      <w:r w:rsidR="00C03FCE" w:rsidRPr="009F7A40">
        <w:t>.</w:t>
      </w:r>
      <w:r w:rsidR="00C03FCE" w:rsidRPr="00C03FCE">
        <w:t xml:space="preserve"> </w:t>
      </w:r>
      <w:r w:rsidR="00C03FCE" w:rsidRPr="009F7A40">
        <w:t xml:space="preserve">79; </w:t>
      </w:r>
      <w:r w:rsidR="00C03FCE" w:rsidRPr="009F7A40">
        <w:rPr>
          <w:i/>
          <w:iCs/>
        </w:rPr>
        <w:t>Commission des droits de la personne et des droits de la jeunesse (Rezko) c</w:t>
      </w:r>
      <w:r w:rsidR="00F36919" w:rsidRPr="009F7A40">
        <w:rPr>
          <w:i/>
          <w:iCs/>
        </w:rPr>
        <w:t>.</w:t>
      </w:r>
      <w:r w:rsidR="00C03FCE" w:rsidRPr="009F7A40">
        <w:rPr>
          <w:i/>
          <w:iCs/>
        </w:rPr>
        <w:t xml:space="preserve"> Montréal (Service de police de la ville de) (SPVM)</w:t>
      </w:r>
      <w:r w:rsidR="00C03FCE" w:rsidRPr="009F7A40">
        <w:t xml:space="preserve">, 2012 QCTDP 5 </w:t>
      </w:r>
      <w:r w:rsidR="0097521B">
        <w:t>[</w:t>
      </w:r>
      <w:r w:rsidR="00C03FCE" w:rsidRPr="00235815">
        <w:rPr>
          <w:i/>
          <w:iCs/>
        </w:rPr>
        <w:t>Rezko</w:t>
      </w:r>
      <w:r w:rsidR="0097521B">
        <w:t>]</w:t>
      </w:r>
      <w:r w:rsidR="00F36919" w:rsidRPr="009F7A40">
        <w:t xml:space="preserve"> at </w:t>
      </w:r>
      <w:r w:rsidR="00C03FCE" w:rsidRPr="009F7A40">
        <w:t>par</w:t>
      </w:r>
      <w:r w:rsidR="00F36919" w:rsidRPr="009F7A40">
        <w:t>a</w:t>
      </w:r>
      <w:r w:rsidR="00C03FCE" w:rsidRPr="009F7A40">
        <w:t>.</w:t>
      </w:r>
      <w:r w:rsidR="00C03FCE" w:rsidRPr="00C03FCE">
        <w:t xml:space="preserve"> </w:t>
      </w:r>
      <w:r w:rsidR="00C03FCE" w:rsidRPr="009230A6">
        <w:rPr>
          <w:lang w:val="en-CA"/>
        </w:rPr>
        <w:t>184</w:t>
      </w:r>
      <w:r w:rsidR="00F36919" w:rsidRPr="009230A6">
        <w:rPr>
          <w:lang w:val="en-CA"/>
        </w:rPr>
        <w:t xml:space="preserve">, leave to appeal refused, </w:t>
      </w:r>
      <w:r w:rsidR="00C03FCE" w:rsidRPr="009230A6">
        <w:rPr>
          <w:lang w:val="en-CA"/>
        </w:rPr>
        <w:t>2012 QCCA 1501.</w:t>
      </w:r>
    </w:p>
  </w:footnote>
  <w:footnote w:id="85">
    <w:p w14:paraId="2C9E4193" w14:textId="4AF12E93" w:rsidR="00481D6B" w:rsidRPr="00F36919" w:rsidRDefault="00481D6B" w:rsidP="00481D6B">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Pierre-Louis c. Québec (Ville de)</w:t>
      </w:r>
      <w:r w:rsidRPr="009230A6">
        <w:rPr>
          <w:lang w:val="en-CA"/>
        </w:rPr>
        <w:t>, 2014 QCCA 1554</w:t>
      </w:r>
      <w:r w:rsidR="00F36919" w:rsidRPr="009230A6">
        <w:rPr>
          <w:lang w:val="en-CA"/>
        </w:rPr>
        <w:t xml:space="preserve"> at </w:t>
      </w:r>
      <w:r w:rsidRPr="009230A6">
        <w:rPr>
          <w:lang w:val="en-CA"/>
        </w:rPr>
        <w:t>par</w:t>
      </w:r>
      <w:r w:rsidR="00F36919" w:rsidRPr="009230A6">
        <w:rPr>
          <w:lang w:val="en-CA"/>
        </w:rPr>
        <w:t>a</w:t>
      </w:r>
      <w:r w:rsidRPr="009230A6">
        <w:rPr>
          <w:lang w:val="en-CA"/>
        </w:rPr>
        <w:t xml:space="preserve">. </w:t>
      </w:r>
      <w:r w:rsidRPr="009F7A40">
        <w:rPr>
          <w:lang w:val="en-CA"/>
        </w:rPr>
        <w:t>36</w:t>
      </w:r>
      <w:r w:rsidR="00F36919" w:rsidRPr="009F7A40">
        <w:rPr>
          <w:lang w:val="en-CA"/>
        </w:rPr>
        <w:t>, leave to appeal to SCC refused, 3</w:t>
      </w:r>
      <w:r w:rsidR="0097521B">
        <w:rPr>
          <w:lang w:val="en-CA"/>
        </w:rPr>
        <w:t>6</w:t>
      </w:r>
      <w:r w:rsidR="00F36919" w:rsidRPr="009F7A40">
        <w:rPr>
          <w:lang w:val="en-CA"/>
        </w:rPr>
        <w:t>055 (</w:t>
      </w:r>
      <w:r w:rsidRPr="009F7A40">
        <w:rPr>
          <w:lang w:val="en-CA"/>
        </w:rPr>
        <w:t>16</w:t>
      </w:r>
      <w:r w:rsidR="00F36919" w:rsidRPr="009F7A40">
        <w:rPr>
          <w:lang w:val="en-CA"/>
        </w:rPr>
        <w:t xml:space="preserve"> July </w:t>
      </w:r>
      <w:r w:rsidRPr="009F7A40">
        <w:rPr>
          <w:lang w:val="en-CA"/>
        </w:rPr>
        <w:t>2015</w:t>
      </w:r>
      <w:r w:rsidR="00F36919" w:rsidRPr="009F7A40">
        <w:rPr>
          <w:lang w:val="en-CA"/>
        </w:rPr>
        <w:t>)</w:t>
      </w:r>
      <w:r w:rsidRPr="009F7A40">
        <w:rPr>
          <w:lang w:val="en-CA"/>
        </w:rPr>
        <w:t>.</w:t>
      </w:r>
    </w:p>
  </w:footnote>
  <w:footnote w:id="86">
    <w:p w14:paraId="6CDE9E23" w14:textId="43AA118F" w:rsidR="00481D6B" w:rsidRDefault="00481D6B" w:rsidP="00481D6B">
      <w:pPr>
        <w:pStyle w:val="Notedebasdepage"/>
      </w:pPr>
      <w:r>
        <w:rPr>
          <w:rStyle w:val="Appelnotedebasdep"/>
        </w:rPr>
        <w:footnoteRef/>
      </w:r>
      <w:r w:rsidRPr="00B22AE6">
        <w:t xml:space="preserve"> </w:t>
      </w:r>
      <w:r w:rsidRPr="00B22AE6">
        <w:tab/>
      </w:r>
      <w:r w:rsidRPr="00B22AE6">
        <w:rPr>
          <w:i/>
          <w:iCs/>
        </w:rPr>
        <w:t>Nyembwe</w:t>
      </w:r>
      <w:r w:rsidRPr="00B22AE6">
        <w:t xml:space="preserve">, </w:t>
      </w:r>
      <w:r w:rsidR="00F36919" w:rsidRPr="00B22AE6">
        <w:rPr>
          <w:i/>
          <w:iCs/>
        </w:rPr>
        <w:t>supra</w:t>
      </w:r>
      <w:r w:rsidR="00F36919" w:rsidRPr="00B22AE6">
        <w:t xml:space="preserve"> n</w:t>
      </w:r>
      <w:r w:rsidRPr="00B22AE6">
        <w:t>ote 58</w:t>
      </w:r>
      <w:r w:rsidR="00F36919" w:rsidRPr="00B22AE6">
        <w:t xml:space="preserve"> at</w:t>
      </w:r>
      <w:r w:rsidRPr="00B22AE6">
        <w:t xml:space="preserve"> par</w:t>
      </w:r>
      <w:r w:rsidR="00F36919" w:rsidRPr="00B22AE6">
        <w:t>a</w:t>
      </w:r>
      <w:r w:rsidRPr="00B22AE6">
        <w:t xml:space="preserve">. </w:t>
      </w:r>
      <w:r w:rsidRPr="00C03FCE">
        <w:t>175.</w:t>
      </w:r>
    </w:p>
  </w:footnote>
  <w:footnote w:id="87">
    <w:p w14:paraId="783DC773" w14:textId="36211D64" w:rsidR="00B91A89" w:rsidRPr="009230A6" w:rsidRDefault="001834C5">
      <w:pPr>
        <w:pStyle w:val="Notedebasdepage"/>
        <w:rPr>
          <w:lang w:val="en-CA"/>
        </w:rPr>
      </w:pPr>
      <w:r>
        <w:rPr>
          <w:rStyle w:val="Appelnotedebasdep"/>
        </w:rPr>
        <w:footnoteRef/>
      </w:r>
      <w:r w:rsidR="00C03FCE">
        <w:t xml:space="preserve"> </w:t>
      </w:r>
      <w:r w:rsidR="00C03FCE">
        <w:tab/>
      </w:r>
      <w:r w:rsidR="00C03FCE" w:rsidRPr="009F7A40">
        <w:rPr>
          <w:i/>
          <w:iCs/>
        </w:rPr>
        <w:t>Commission des droits de la personne et des droits de la jeunesse (DeBellefeuille) c. Ville de Longueuil</w:t>
      </w:r>
      <w:r w:rsidR="00C03FCE" w:rsidRPr="009F7A40">
        <w:t xml:space="preserve">, 2020 QCTDP 21 </w:t>
      </w:r>
      <w:r w:rsidR="0097521B">
        <w:t>[</w:t>
      </w:r>
      <w:r w:rsidR="00C03FCE" w:rsidRPr="009F7A40">
        <w:rPr>
          <w:i/>
          <w:iCs/>
        </w:rPr>
        <w:t>DeBellefeuille</w:t>
      </w:r>
      <w:r w:rsidR="0097521B">
        <w:t>]</w:t>
      </w:r>
      <w:r w:rsidR="00F36919" w:rsidRPr="009F7A40">
        <w:t xml:space="preserve"> at </w:t>
      </w:r>
      <w:r w:rsidR="00C03FCE" w:rsidRPr="009F7A40">
        <w:t>par</w:t>
      </w:r>
      <w:r w:rsidR="00F36919" w:rsidRPr="009F7A40">
        <w:t>a</w:t>
      </w:r>
      <w:r w:rsidR="00C03FCE" w:rsidRPr="009F7A40">
        <w:t>.</w:t>
      </w:r>
      <w:r w:rsidR="00C03FCE" w:rsidRPr="00C03FCE">
        <w:t xml:space="preserve"> </w:t>
      </w:r>
      <w:r w:rsidR="00C03FCE" w:rsidRPr="009230A6">
        <w:rPr>
          <w:lang w:val="en-CA"/>
        </w:rPr>
        <w:t>254</w:t>
      </w:r>
      <w:r w:rsidR="00F36919" w:rsidRPr="009230A6">
        <w:rPr>
          <w:lang w:val="en-CA"/>
        </w:rPr>
        <w:t xml:space="preserve">, citing </w:t>
      </w:r>
      <w:r w:rsidR="00C03FCE" w:rsidRPr="009230A6">
        <w:rPr>
          <w:i/>
          <w:iCs/>
          <w:lang w:val="en-CA"/>
        </w:rPr>
        <w:t>R. c. Dorfeuille</w:t>
      </w:r>
      <w:r w:rsidR="00C03FCE" w:rsidRPr="009230A6">
        <w:rPr>
          <w:lang w:val="en-CA"/>
        </w:rPr>
        <w:t>, 2020 QCCS 1499</w:t>
      </w:r>
      <w:r w:rsidR="00F36919" w:rsidRPr="009230A6">
        <w:rPr>
          <w:lang w:val="en-CA"/>
        </w:rPr>
        <w:t xml:space="preserve"> at </w:t>
      </w:r>
      <w:r w:rsidR="00C03FCE" w:rsidRPr="009230A6">
        <w:rPr>
          <w:lang w:val="en-CA"/>
        </w:rPr>
        <w:t>par</w:t>
      </w:r>
      <w:r w:rsidR="00F36919" w:rsidRPr="009230A6">
        <w:rPr>
          <w:lang w:val="en-CA"/>
        </w:rPr>
        <w:t>a</w:t>
      </w:r>
      <w:r w:rsidR="00C03FCE" w:rsidRPr="009230A6">
        <w:rPr>
          <w:lang w:val="en-CA"/>
        </w:rPr>
        <w:t>. 50.</w:t>
      </w:r>
    </w:p>
  </w:footnote>
  <w:footnote w:id="88">
    <w:p w14:paraId="7519713F" w14:textId="59C4AD92" w:rsidR="00B91A89" w:rsidRPr="009230A6" w:rsidRDefault="001834C5">
      <w:pPr>
        <w:pStyle w:val="Notedebasdepage"/>
      </w:pPr>
      <w:r>
        <w:rPr>
          <w:rStyle w:val="Appelnotedebasdep"/>
        </w:rPr>
        <w:footnoteRef/>
      </w:r>
      <w:r w:rsidR="006E54A4" w:rsidRPr="00F36919">
        <w:rPr>
          <w:lang w:val="en-CA"/>
        </w:rPr>
        <w:t xml:space="preserve"> </w:t>
      </w:r>
      <w:r w:rsidR="006E54A4" w:rsidRPr="00F36919">
        <w:rPr>
          <w:lang w:val="en-CA"/>
        </w:rPr>
        <w:tab/>
      </w:r>
      <w:r w:rsidR="00F36919" w:rsidRPr="00F36919">
        <w:rPr>
          <w:i/>
          <w:iCs/>
          <w:lang w:val="en-CA"/>
        </w:rPr>
        <w:t>R</w:t>
      </w:r>
      <w:r w:rsidR="006E54A4" w:rsidRPr="009F7A40">
        <w:rPr>
          <w:i/>
          <w:iCs/>
          <w:lang w:val="en-CA"/>
        </w:rPr>
        <w:t xml:space="preserve">. </w:t>
      </w:r>
      <w:r w:rsidR="00F36919" w:rsidRPr="009F7A40">
        <w:rPr>
          <w:i/>
          <w:iCs/>
          <w:lang w:val="en-CA"/>
        </w:rPr>
        <w:t>v</w:t>
      </w:r>
      <w:r w:rsidR="006E54A4" w:rsidRPr="009F7A40">
        <w:rPr>
          <w:i/>
          <w:iCs/>
          <w:lang w:val="en-CA"/>
        </w:rPr>
        <w:t>. S.</w:t>
      </w:r>
      <w:r w:rsidR="006E54A4" w:rsidRPr="00F36919">
        <w:rPr>
          <w:i/>
          <w:iCs/>
          <w:lang w:val="en-CA"/>
        </w:rPr>
        <w:t xml:space="preserve"> </w:t>
      </w:r>
      <w:r w:rsidR="006E54A4" w:rsidRPr="009F7A40">
        <w:rPr>
          <w:i/>
          <w:iCs/>
          <w:lang w:val="en-CA"/>
        </w:rPr>
        <w:t>(R.D.),</w:t>
      </w:r>
      <w:r w:rsidR="006E54A4" w:rsidRPr="009F7A40">
        <w:rPr>
          <w:lang w:val="en-CA"/>
        </w:rPr>
        <w:t xml:space="preserve"> 1997 CanLII 324 (</w:t>
      </w:r>
      <w:r w:rsidR="00F36919" w:rsidRPr="009F7A40">
        <w:rPr>
          <w:lang w:val="en-CA"/>
        </w:rPr>
        <w:t>SCC</w:t>
      </w:r>
      <w:r w:rsidR="006E54A4" w:rsidRPr="009F7A40">
        <w:rPr>
          <w:lang w:val="en-CA"/>
        </w:rPr>
        <w:t>), [1997] 3 </w:t>
      </w:r>
      <w:r w:rsidR="00F36919" w:rsidRPr="009F7A40">
        <w:rPr>
          <w:lang w:val="en-CA"/>
        </w:rPr>
        <w:t xml:space="preserve">SCR </w:t>
      </w:r>
      <w:r w:rsidR="006E54A4" w:rsidRPr="009F7A40">
        <w:rPr>
          <w:lang w:val="en-CA"/>
        </w:rPr>
        <w:t>484</w:t>
      </w:r>
      <w:r w:rsidR="00F36919" w:rsidRPr="009F7A40">
        <w:rPr>
          <w:lang w:val="en-CA"/>
        </w:rPr>
        <w:t xml:space="preserve"> at</w:t>
      </w:r>
      <w:r w:rsidR="006E54A4" w:rsidRPr="009F7A40">
        <w:rPr>
          <w:lang w:val="en-CA"/>
        </w:rPr>
        <w:t xml:space="preserve"> par</w:t>
      </w:r>
      <w:r w:rsidR="00F36919" w:rsidRPr="009F7A40">
        <w:rPr>
          <w:lang w:val="en-CA"/>
        </w:rPr>
        <w:t>a</w:t>
      </w:r>
      <w:r w:rsidR="006E54A4" w:rsidRPr="009F7A40">
        <w:rPr>
          <w:lang w:val="en-CA"/>
        </w:rPr>
        <w:t>.</w:t>
      </w:r>
      <w:r w:rsidR="006E54A4" w:rsidRPr="00F36919">
        <w:rPr>
          <w:lang w:val="en-CA"/>
        </w:rPr>
        <w:t xml:space="preserve"> </w:t>
      </w:r>
      <w:r w:rsidR="006E54A4" w:rsidRPr="009F7A40">
        <w:rPr>
          <w:lang w:val="en-CA"/>
        </w:rPr>
        <w:t>46</w:t>
      </w:r>
      <w:r w:rsidR="00F36919" w:rsidRPr="009F7A40">
        <w:rPr>
          <w:lang w:val="en-CA"/>
        </w:rPr>
        <w:t xml:space="preserve">, citing </w:t>
      </w:r>
      <w:r w:rsidR="006E54A4" w:rsidRPr="009F7A40">
        <w:rPr>
          <w:i/>
          <w:iCs/>
          <w:lang w:val="en-CA"/>
        </w:rPr>
        <w:t xml:space="preserve">R. </w:t>
      </w:r>
      <w:r w:rsidR="00F36919" w:rsidRPr="009F7A40">
        <w:rPr>
          <w:i/>
          <w:iCs/>
          <w:lang w:val="en-CA"/>
        </w:rPr>
        <w:t>v</w:t>
      </w:r>
      <w:r w:rsidR="006E54A4" w:rsidRPr="009F7A40">
        <w:rPr>
          <w:i/>
          <w:iCs/>
          <w:lang w:val="en-CA"/>
        </w:rPr>
        <w:t>. Parks,</w:t>
      </w:r>
      <w:r w:rsidR="00C03FCE" w:rsidRPr="009F7A40">
        <w:rPr>
          <w:lang w:val="en-CA"/>
        </w:rPr>
        <w:t xml:space="preserve"> 1993 CanLII 3383 (ON CA)</w:t>
      </w:r>
      <w:r w:rsidR="00F36919" w:rsidRPr="009F7A40">
        <w:rPr>
          <w:lang w:val="en-CA"/>
        </w:rPr>
        <w:t>, leave to appeal to SCC refused</w:t>
      </w:r>
      <w:r w:rsidR="00C03FCE" w:rsidRPr="009F7A40">
        <w:rPr>
          <w:lang w:val="en-CA"/>
        </w:rPr>
        <w:t xml:space="preserve">, </w:t>
      </w:r>
      <w:r w:rsidR="00F36919" w:rsidRPr="009F7A40">
        <w:rPr>
          <w:lang w:val="en-CA"/>
        </w:rPr>
        <w:t>23860 (</w:t>
      </w:r>
      <w:r w:rsidR="00C03FCE" w:rsidRPr="009F7A40">
        <w:rPr>
          <w:lang w:val="en-CA"/>
        </w:rPr>
        <w:t>2</w:t>
      </w:r>
      <w:r w:rsidR="00F36919" w:rsidRPr="009F7A40">
        <w:rPr>
          <w:lang w:val="en-CA"/>
        </w:rPr>
        <w:t xml:space="preserve">8 April </w:t>
      </w:r>
      <w:r w:rsidR="00C03FCE" w:rsidRPr="009F7A40">
        <w:rPr>
          <w:lang w:val="en-CA"/>
        </w:rPr>
        <w:t>1994</w:t>
      </w:r>
      <w:r w:rsidR="00F36919" w:rsidRPr="009F7A40">
        <w:rPr>
          <w:lang w:val="en-CA"/>
        </w:rPr>
        <w:t>)</w:t>
      </w:r>
      <w:r w:rsidR="00C03FCE" w:rsidRPr="009F7A40">
        <w:rPr>
          <w:lang w:val="en-CA"/>
        </w:rPr>
        <w:t>.</w:t>
      </w:r>
      <w:r w:rsidR="00C03FCE" w:rsidRPr="00F36919">
        <w:rPr>
          <w:lang w:val="en-CA"/>
        </w:rPr>
        <w:t xml:space="preserve"> </w:t>
      </w:r>
      <w:r w:rsidR="00F36919" w:rsidRPr="00F36919">
        <w:rPr>
          <w:lang w:val="en-CA"/>
        </w:rPr>
        <w:t xml:space="preserve">This same excerpt is reproduced by the Supreme </w:t>
      </w:r>
      <w:r w:rsidR="00F36919">
        <w:rPr>
          <w:lang w:val="en-CA"/>
        </w:rPr>
        <w:t>Court</w:t>
      </w:r>
      <w:r w:rsidR="00F36919" w:rsidRPr="00F36919">
        <w:rPr>
          <w:lang w:val="en-CA"/>
        </w:rPr>
        <w:t xml:space="preserve"> in </w:t>
      </w:r>
      <w:r w:rsidR="00C03FCE" w:rsidRPr="00F36919">
        <w:rPr>
          <w:i/>
          <w:iCs/>
          <w:lang w:val="en-CA"/>
        </w:rPr>
        <w:t xml:space="preserve">R. </w:t>
      </w:r>
      <w:r w:rsidR="00F36919">
        <w:rPr>
          <w:i/>
          <w:iCs/>
          <w:lang w:val="en-CA"/>
        </w:rPr>
        <w:t>v</w:t>
      </w:r>
      <w:r w:rsidR="00C03FCE" w:rsidRPr="00F36919">
        <w:rPr>
          <w:i/>
          <w:iCs/>
          <w:lang w:val="en-CA"/>
        </w:rPr>
        <w:t>. Spence</w:t>
      </w:r>
      <w:r w:rsidR="00C03FCE" w:rsidRPr="00F36919">
        <w:rPr>
          <w:lang w:val="en-CA"/>
        </w:rPr>
        <w:t>, 2005 </w:t>
      </w:r>
      <w:r w:rsidR="00F36919">
        <w:rPr>
          <w:lang w:val="en-CA"/>
        </w:rPr>
        <w:t>SCC</w:t>
      </w:r>
      <w:r w:rsidR="00F36919" w:rsidRPr="00F36919">
        <w:rPr>
          <w:lang w:val="en-CA"/>
        </w:rPr>
        <w:t xml:space="preserve"> </w:t>
      </w:r>
      <w:r w:rsidR="00C03FCE" w:rsidRPr="00F36919">
        <w:rPr>
          <w:lang w:val="en-CA"/>
        </w:rPr>
        <w:t>71, [2005] 3 </w:t>
      </w:r>
      <w:r w:rsidR="00F36919">
        <w:rPr>
          <w:lang w:val="en-CA"/>
        </w:rPr>
        <w:t>SCR</w:t>
      </w:r>
      <w:r w:rsidR="00F36919" w:rsidRPr="00F36919">
        <w:rPr>
          <w:lang w:val="en-CA"/>
        </w:rPr>
        <w:t xml:space="preserve"> </w:t>
      </w:r>
      <w:r w:rsidR="00C03FCE" w:rsidRPr="00F36919">
        <w:rPr>
          <w:lang w:val="en-CA"/>
        </w:rPr>
        <w:t>458</w:t>
      </w:r>
      <w:r w:rsidR="00F36919">
        <w:rPr>
          <w:lang w:val="en-CA"/>
        </w:rPr>
        <w:t xml:space="preserve"> at </w:t>
      </w:r>
      <w:r w:rsidR="00C03FCE" w:rsidRPr="00F36919">
        <w:rPr>
          <w:lang w:val="en-CA"/>
        </w:rPr>
        <w:t>par</w:t>
      </w:r>
      <w:r w:rsidR="00F36919">
        <w:rPr>
          <w:lang w:val="en-CA"/>
        </w:rPr>
        <w:t>a</w:t>
      </w:r>
      <w:r w:rsidR="00C03FCE" w:rsidRPr="00F36919">
        <w:rPr>
          <w:lang w:val="en-CA"/>
        </w:rPr>
        <w:t xml:space="preserve">. </w:t>
      </w:r>
      <w:r w:rsidR="00C03FCE" w:rsidRPr="009230A6">
        <w:t xml:space="preserve">31.  </w:t>
      </w:r>
    </w:p>
  </w:footnote>
  <w:footnote w:id="89">
    <w:p w14:paraId="0BDA2EBF" w14:textId="22098673" w:rsidR="00B31717" w:rsidRPr="009230A6" w:rsidRDefault="00B31717" w:rsidP="00B31717">
      <w:pPr>
        <w:pStyle w:val="Notedebasdepage"/>
        <w:rPr>
          <w:lang w:val="en-CA"/>
        </w:rPr>
      </w:pPr>
      <w:r>
        <w:rPr>
          <w:rStyle w:val="Appelnotedebasdep"/>
        </w:rPr>
        <w:footnoteRef/>
      </w:r>
      <w:r>
        <w:t xml:space="preserve"> </w:t>
      </w:r>
      <w:r>
        <w:tab/>
      </w:r>
      <w:r w:rsidRPr="009F7A40">
        <w:rPr>
          <w:i/>
          <w:iCs/>
        </w:rPr>
        <w:t>Commission des droits de la personne et des droits de la jeunesse (Miller et autres) c. Ville de Montréal (Service de police de la Ville de Montréal) (SPVM)</w:t>
      </w:r>
      <w:r w:rsidRPr="009F7A40">
        <w:t>, 2019 QCTDP 31</w:t>
      </w:r>
      <w:r w:rsidR="0037455A" w:rsidRPr="009F7A40">
        <w:t xml:space="preserve"> at</w:t>
      </w:r>
      <w:r w:rsidRPr="009F7A40">
        <w:t xml:space="preserve"> par</w:t>
      </w:r>
      <w:r w:rsidR="0037455A" w:rsidRPr="009F7A40">
        <w:t>a</w:t>
      </w:r>
      <w:r w:rsidRPr="009F7A40">
        <w:t>.</w:t>
      </w:r>
      <w:r w:rsidRPr="00C03FCE">
        <w:t xml:space="preserve"> </w:t>
      </w:r>
      <w:r w:rsidRPr="009230A6">
        <w:rPr>
          <w:lang w:val="en-CA"/>
        </w:rPr>
        <w:t xml:space="preserve">156 </w:t>
      </w:r>
      <w:r w:rsidR="00117A60">
        <w:rPr>
          <w:lang w:val="en-CA"/>
        </w:rPr>
        <w:t>[</w:t>
      </w:r>
      <w:r w:rsidRPr="009230A6">
        <w:rPr>
          <w:i/>
          <w:iCs/>
          <w:lang w:val="en-CA"/>
        </w:rPr>
        <w:t>Miller</w:t>
      </w:r>
      <w:r w:rsidR="00117A60">
        <w:rPr>
          <w:lang w:val="en-CA"/>
        </w:rPr>
        <w:t>]</w:t>
      </w:r>
      <w:r w:rsidRPr="009230A6">
        <w:rPr>
          <w:lang w:val="en-CA"/>
        </w:rPr>
        <w:t>.</w:t>
      </w:r>
    </w:p>
  </w:footnote>
  <w:footnote w:id="90">
    <w:p w14:paraId="72823909" w14:textId="1A869B48" w:rsidR="005600EE" w:rsidRPr="009230A6" w:rsidRDefault="005600EE" w:rsidP="005600EE">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Nyembwe</w:t>
      </w:r>
      <w:r w:rsidRPr="009230A6">
        <w:rPr>
          <w:lang w:val="en-CA"/>
        </w:rPr>
        <w:t xml:space="preserve">, </w:t>
      </w:r>
      <w:r w:rsidR="0037455A" w:rsidRPr="009230A6">
        <w:rPr>
          <w:i/>
          <w:iCs/>
          <w:lang w:val="en-CA"/>
        </w:rPr>
        <w:t>supra</w:t>
      </w:r>
      <w:r w:rsidRPr="009230A6">
        <w:rPr>
          <w:lang w:val="en-CA"/>
        </w:rPr>
        <w:t xml:space="preserve"> note 58.</w:t>
      </w:r>
    </w:p>
  </w:footnote>
  <w:footnote w:id="91">
    <w:p w14:paraId="47D86589" w14:textId="1D55F127" w:rsidR="005A6751" w:rsidRPr="009230A6" w:rsidRDefault="001834C5">
      <w:pPr>
        <w:pStyle w:val="Notedebasdepage"/>
        <w:rPr>
          <w:lang w:val="en-CA"/>
        </w:rPr>
      </w:pPr>
      <w:r>
        <w:rPr>
          <w:rStyle w:val="Appelnotedebasdep"/>
        </w:rPr>
        <w:footnoteRef/>
      </w:r>
      <w:r w:rsidR="00C03FCE" w:rsidRPr="009230A6">
        <w:rPr>
          <w:lang w:val="en-CA"/>
        </w:rPr>
        <w:t xml:space="preserve"> </w:t>
      </w:r>
      <w:r w:rsidR="00C03FCE" w:rsidRPr="009230A6">
        <w:rPr>
          <w:lang w:val="en-CA"/>
        </w:rPr>
        <w:tab/>
        <w:t xml:space="preserve">2019 </w:t>
      </w:r>
      <w:r w:rsidR="0088635E" w:rsidRPr="009230A6">
        <w:rPr>
          <w:lang w:val="en-CA"/>
        </w:rPr>
        <w:t>SCC</w:t>
      </w:r>
      <w:r w:rsidR="00C03FCE" w:rsidRPr="009230A6">
        <w:rPr>
          <w:lang w:val="en-CA"/>
        </w:rPr>
        <w:t> 34, [2019] 2 </w:t>
      </w:r>
      <w:r w:rsidR="0088635E" w:rsidRPr="009230A6">
        <w:rPr>
          <w:lang w:val="en-CA"/>
        </w:rPr>
        <w:t xml:space="preserve">SCR </w:t>
      </w:r>
      <w:r w:rsidR="00C03FCE" w:rsidRPr="009230A6">
        <w:rPr>
          <w:lang w:val="en-CA"/>
        </w:rPr>
        <w:t>692.</w:t>
      </w:r>
    </w:p>
  </w:footnote>
  <w:footnote w:id="92">
    <w:p w14:paraId="53BC1F92" w14:textId="407C303C" w:rsidR="005A6751" w:rsidRPr="009230A6" w:rsidRDefault="001834C5">
      <w:pPr>
        <w:pStyle w:val="Notedebasdepage"/>
        <w:rPr>
          <w:lang w:val="en-CA"/>
        </w:rPr>
      </w:pPr>
      <w:r>
        <w:rPr>
          <w:rStyle w:val="Appelnotedebasdep"/>
        </w:rPr>
        <w:footnoteRef/>
      </w:r>
      <w:r w:rsidR="00C03FCE" w:rsidRPr="009230A6">
        <w:rPr>
          <w:lang w:val="en-CA"/>
        </w:rPr>
        <w:t xml:space="preserve"> </w:t>
      </w:r>
      <w:r w:rsidR="00C03FCE" w:rsidRPr="009230A6">
        <w:rPr>
          <w:lang w:val="en-CA"/>
        </w:rPr>
        <w:tab/>
      </w:r>
      <w:r w:rsidR="00C03FCE" w:rsidRPr="009230A6">
        <w:rPr>
          <w:i/>
          <w:iCs/>
          <w:lang w:val="en-CA"/>
        </w:rPr>
        <w:t>I</w:t>
      </w:r>
      <w:r w:rsidR="0037455A" w:rsidRPr="009230A6">
        <w:rPr>
          <w:i/>
          <w:iCs/>
          <w:lang w:val="en-CA"/>
        </w:rPr>
        <w:t>bi</w:t>
      </w:r>
      <w:r w:rsidR="00C03FCE" w:rsidRPr="009230A6">
        <w:rPr>
          <w:i/>
          <w:iCs/>
          <w:lang w:val="en-CA"/>
        </w:rPr>
        <w:t>d</w:t>
      </w:r>
      <w:r w:rsidR="00C03FCE" w:rsidRPr="009230A6">
        <w:rPr>
          <w:lang w:val="en-CA"/>
        </w:rPr>
        <w:t>.</w:t>
      </w:r>
      <w:r w:rsidR="0037455A" w:rsidRPr="009230A6">
        <w:rPr>
          <w:lang w:val="en-CA"/>
        </w:rPr>
        <w:t xml:space="preserve"> at</w:t>
      </w:r>
      <w:r w:rsidR="00C03FCE" w:rsidRPr="009230A6">
        <w:rPr>
          <w:lang w:val="en-CA"/>
        </w:rPr>
        <w:t xml:space="preserve"> par</w:t>
      </w:r>
      <w:r w:rsidR="0037455A" w:rsidRPr="009230A6">
        <w:rPr>
          <w:lang w:val="en-CA"/>
        </w:rPr>
        <w:t>a</w:t>
      </w:r>
      <w:r w:rsidR="00C03FCE" w:rsidRPr="009230A6">
        <w:rPr>
          <w:lang w:val="en-CA"/>
        </w:rPr>
        <w:t>. 90.</w:t>
      </w:r>
    </w:p>
  </w:footnote>
  <w:footnote w:id="93">
    <w:p w14:paraId="731405F8" w14:textId="7F4A2CB6" w:rsidR="005A6751" w:rsidRPr="009230A6" w:rsidRDefault="001834C5">
      <w:pPr>
        <w:pStyle w:val="Notedebasdepage"/>
        <w:rPr>
          <w:lang w:val="en-CA"/>
        </w:rPr>
      </w:pPr>
      <w:r>
        <w:rPr>
          <w:rStyle w:val="Appelnotedebasdep"/>
        </w:rPr>
        <w:footnoteRef/>
      </w:r>
      <w:r w:rsidR="00C03FCE" w:rsidRPr="009230A6">
        <w:rPr>
          <w:lang w:val="en-CA"/>
        </w:rPr>
        <w:t xml:space="preserve"> </w:t>
      </w:r>
      <w:r w:rsidR="00C03FCE" w:rsidRPr="009230A6">
        <w:rPr>
          <w:lang w:val="en-CA"/>
        </w:rPr>
        <w:tab/>
      </w:r>
      <w:r w:rsidR="00C03FCE" w:rsidRPr="009230A6">
        <w:rPr>
          <w:i/>
          <w:iCs/>
          <w:lang w:val="en-CA"/>
        </w:rPr>
        <w:t>I</w:t>
      </w:r>
      <w:r w:rsidR="0037455A" w:rsidRPr="009230A6">
        <w:rPr>
          <w:i/>
          <w:iCs/>
          <w:lang w:val="en-CA"/>
        </w:rPr>
        <w:t>bi</w:t>
      </w:r>
      <w:r w:rsidR="00C03FCE" w:rsidRPr="009230A6">
        <w:rPr>
          <w:i/>
          <w:iCs/>
          <w:lang w:val="en-CA"/>
        </w:rPr>
        <w:t>d</w:t>
      </w:r>
      <w:r w:rsidR="00C03FCE" w:rsidRPr="009230A6">
        <w:rPr>
          <w:lang w:val="en-CA"/>
        </w:rPr>
        <w:t>.</w:t>
      </w:r>
      <w:r w:rsidR="0037455A" w:rsidRPr="009230A6">
        <w:rPr>
          <w:lang w:val="en-CA"/>
        </w:rPr>
        <w:t xml:space="preserve"> at </w:t>
      </w:r>
      <w:r w:rsidR="00C03FCE" w:rsidRPr="009230A6">
        <w:rPr>
          <w:lang w:val="en-CA"/>
        </w:rPr>
        <w:t>par</w:t>
      </w:r>
      <w:r w:rsidR="0037455A" w:rsidRPr="009230A6">
        <w:rPr>
          <w:lang w:val="en-CA"/>
        </w:rPr>
        <w:t>as</w:t>
      </w:r>
      <w:r w:rsidR="00C03FCE" w:rsidRPr="009230A6">
        <w:rPr>
          <w:lang w:val="en-CA"/>
        </w:rPr>
        <w:t>. 71, 84</w:t>
      </w:r>
      <w:r w:rsidR="00AC5B86">
        <w:rPr>
          <w:lang w:val="en-CA"/>
        </w:rPr>
        <w:t>,</w:t>
      </w:r>
      <w:r w:rsidR="00C03FCE" w:rsidRPr="009230A6">
        <w:rPr>
          <w:lang w:val="en-CA"/>
        </w:rPr>
        <w:t xml:space="preserve"> </w:t>
      </w:r>
      <w:r w:rsidR="0037455A" w:rsidRPr="009230A6">
        <w:rPr>
          <w:lang w:val="en-CA"/>
        </w:rPr>
        <w:t xml:space="preserve">and </w:t>
      </w:r>
      <w:r w:rsidR="00C03FCE" w:rsidRPr="009230A6">
        <w:rPr>
          <w:lang w:val="en-CA"/>
        </w:rPr>
        <w:t>260.</w:t>
      </w:r>
    </w:p>
  </w:footnote>
  <w:footnote w:id="94">
    <w:p w14:paraId="6235E471" w14:textId="23D34131" w:rsidR="005A6751" w:rsidRPr="0088635E" w:rsidRDefault="001834C5">
      <w:pPr>
        <w:pStyle w:val="Notedebasdepage"/>
        <w:rPr>
          <w:lang w:val="en-CA"/>
        </w:rPr>
      </w:pPr>
      <w:r>
        <w:rPr>
          <w:rStyle w:val="Appelnotedebasdep"/>
        </w:rPr>
        <w:footnoteRef/>
      </w:r>
      <w:r w:rsidR="00C03FCE" w:rsidRPr="0088635E">
        <w:rPr>
          <w:lang w:val="en-CA"/>
        </w:rPr>
        <w:t xml:space="preserve"> </w:t>
      </w:r>
      <w:r w:rsidR="00C03FCE" w:rsidRPr="0088635E">
        <w:rPr>
          <w:lang w:val="en-CA"/>
        </w:rPr>
        <w:tab/>
        <w:t>S</w:t>
      </w:r>
      <w:r w:rsidR="0088635E" w:rsidRPr="0088635E">
        <w:rPr>
          <w:lang w:val="en-CA"/>
        </w:rPr>
        <w:t>ealy-</w:t>
      </w:r>
      <w:r w:rsidR="0088635E">
        <w:rPr>
          <w:lang w:val="en-CA"/>
        </w:rPr>
        <w:t>Harrington &amp; Watson Hamilton</w:t>
      </w:r>
      <w:r w:rsidR="00C03FCE" w:rsidRPr="0088635E">
        <w:rPr>
          <w:lang w:val="en-CA"/>
        </w:rPr>
        <w:t xml:space="preserve">, </w:t>
      </w:r>
      <w:r w:rsidR="0088635E" w:rsidRPr="0037455A">
        <w:rPr>
          <w:i/>
          <w:iCs/>
          <w:lang w:val="en-CA"/>
        </w:rPr>
        <w:t>supra</w:t>
      </w:r>
      <w:r w:rsidR="00C03FCE" w:rsidRPr="0088635E">
        <w:rPr>
          <w:lang w:val="en-CA"/>
        </w:rPr>
        <w:t xml:space="preserve"> note 59</w:t>
      </w:r>
      <w:r w:rsidR="0088635E">
        <w:rPr>
          <w:lang w:val="en-CA"/>
        </w:rPr>
        <w:t xml:space="preserve"> at</w:t>
      </w:r>
      <w:r w:rsidR="00C03FCE" w:rsidRPr="0088635E">
        <w:rPr>
          <w:lang w:val="en-CA"/>
        </w:rPr>
        <w:t> </w:t>
      </w:r>
      <w:r w:rsidR="00C14DBA">
        <w:rPr>
          <w:lang w:val="en-CA"/>
        </w:rPr>
        <w:t xml:space="preserve">p. </w:t>
      </w:r>
      <w:r w:rsidR="00C03FCE" w:rsidRPr="0088635E">
        <w:rPr>
          <w:lang w:val="en-CA"/>
        </w:rPr>
        <w:t>12.</w:t>
      </w:r>
    </w:p>
  </w:footnote>
  <w:footnote w:id="95">
    <w:p w14:paraId="488B6C1D" w14:textId="41D4B8E7" w:rsidR="00734456" w:rsidRPr="009C1885" w:rsidRDefault="00734456" w:rsidP="00734456">
      <w:pPr>
        <w:pStyle w:val="Notedebasdepage"/>
        <w:rPr>
          <w:lang w:val="en-CA"/>
        </w:rPr>
      </w:pPr>
      <w:r>
        <w:rPr>
          <w:rStyle w:val="Appelnotedebasdep"/>
        </w:rPr>
        <w:footnoteRef/>
      </w:r>
      <w:r w:rsidRPr="009C1885">
        <w:rPr>
          <w:lang w:val="en-CA"/>
        </w:rPr>
        <w:t xml:space="preserve"> </w:t>
      </w:r>
      <w:r w:rsidRPr="009C1885">
        <w:rPr>
          <w:lang w:val="en-CA"/>
        </w:rPr>
        <w:tab/>
      </w:r>
      <w:r w:rsidR="00854E1D" w:rsidRPr="009C1885">
        <w:rPr>
          <w:lang w:val="en-CA"/>
        </w:rPr>
        <w:t xml:space="preserve">Exhibit </w:t>
      </w:r>
      <w:r w:rsidRPr="009C1885">
        <w:rPr>
          <w:lang w:val="en-CA"/>
        </w:rPr>
        <w:t xml:space="preserve">P-18, </w:t>
      </w:r>
      <w:r w:rsidR="00854E1D" w:rsidRPr="00854E1D">
        <w:rPr>
          <w:lang w:val="en-CA"/>
        </w:rPr>
        <w:t>Office of the Correctional Investigator Annual Report 2021-2022,</w:t>
      </w:r>
      <w:r w:rsidRPr="009C1885">
        <w:rPr>
          <w:lang w:val="en-CA"/>
        </w:rPr>
        <w:t xml:space="preserve">  </w:t>
      </w:r>
    </w:p>
  </w:footnote>
  <w:footnote w:id="96">
    <w:p w14:paraId="64938EA2" w14:textId="77FAAFB5" w:rsidR="005A6751" w:rsidRPr="009230A6" w:rsidRDefault="001834C5">
      <w:pPr>
        <w:pStyle w:val="Notedebasdepage"/>
        <w:rPr>
          <w:lang w:val="en-CA"/>
        </w:rPr>
      </w:pPr>
      <w:r w:rsidRPr="0037455A">
        <w:rPr>
          <w:rStyle w:val="Appelnotedebasdep"/>
        </w:rPr>
        <w:footnoteRef/>
      </w:r>
      <w:r w:rsidR="00C03FCE" w:rsidRPr="009230A6">
        <w:rPr>
          <w:lang w:val="en-CA"/>
        </w:rPr>
        <w:t xml:space="preserve"> </w:t>
      </w:r>
      <w:r w:rsidR="00C03FCE" w:rsidRPr="009230A6">
        <w:rPr>
          <w:lang w:val="en-CA"/>
        </w:rPr>
        <w:tab/>
      </w:r>
      <w:r w:rsidR="00C03FCE" w:rsidRPr="009230A6">
        <w:rPr>
          <w:i/>
          <w:iCs/>
          <w:lang w:val="en-CA"/>
        </w:rPr>
        <w:t>I</w:t>
      </w:r>
      <w:r w:rsidR="00854E1D" w:rsidRPr="009230A6">
        <w:rPr>
          <w:i/>
          <w:iCs/>
          <w:lang w:val="en-CA"/>
        </w:rPr>
        <w:t>bi</w:t>
      </w:r>
      <w:r w:rsidR="00C03FCE" w:rsidRPr="009230A6">
        <w:rPr>
          <w:i/>
          <w:iCs/>
          <w:lang w:val="en-CA"/>
        </w:rPr>
        <w:t>d</w:t>
      </w:r>
      <w:r w:rsidR="00C03FCE" w:rsidRPr="009230A6">
        <w:rPr>
          <w:lang w:val="en-CA"/>
        </w:rPr>
        <w:t>.</w:t>
      </w:r>
      <w:r w:rsidR="00854E1D" w:rsidRPr="009230A6">
        <w:rPr>
          <w:lang w:val="en-CA"/>
        </w:rPr>
        <w:t xml:space="preserve"> at</w:t>
      </w:r>
      <w:r w:rsidR="00C03FCE" w:rsidRPr="009230A6">
        <w:rPr>
          <w:lang w:val="en-CA"/>
        </w:rPr>
        <w:t> </w:t>
      </w:r>
      <w:r w:rsidR="00C14DBA">
        <w:rPr>
          <w:lang w:val="en-CA"/>
        </w:rPr>
        <w:t xml:space="preserve">p. </w:t>
      </w:r>
      <w:r w:rsidR="00C03FCE" w:rsidRPr="009230A6">
        <w:rPr>
          <w:lang w:val="en-CA"/>
        </w:rPr>
        <w:t>4</w:t>
      </w:r>
      <w:r w:rsidR="002B663F" w:rsidRPr="009230A6">
        <w:rPr>
          <w:lang w:val="en-CA"/>
        </w:rPr>
        <w:t>5</w:t>
      </w:r>
      <w:r w:rsidR="00C03FCE" w:rsidRPr="009230A6">
        <w:rPr>
          <w:lang w:val="en-CA"/>
        </w:rPr>
        <w:t xml:space="preserve">. Andrea S. </w:t>
      </w:r>
      <w:r w:rsidR="0037455A" w:rsidRPr="0037455A">
        <w:rPr>
          <w:lang w:val="en-CA"/>
        </w:rPr>
        <w:t>Anderson, “</w:t>
      </w:r>
      <w:r w:rsidR="00C03FCE" w:rsidRPr="0037455A">
        <w:rPr>
          <w:lang w:val="en-CA"/>
        </w:rPr>
        <w:t>Analysis: Considering Social Context Evidence in the Sentencing of Black Canadian Offender</w:t>
      </w:r>
      <w:r w:rsidR="0037455A" w:rsidRPr="0037455A">
        <w:rPr>
          <w:lang w:val="en-CA"/>
        </w:rPr>
        <w:t>s”</w:t>
      </w:r>
      <w:r w:rsidR="00C03FCE" w:rsidRPr="0037455A">
        <w:rPr>
          <w:lang w:val="en-CA"/>
        </w:rPr>
        <w:t xml:space="preserve"> (2022) 45 Man.</w:t>
      </w:r>
      <w:r w:rsidR="00C03FCE" w:rsidRPr="009230A6">
        <w:rPr>
          <w:lang w:val="en-CA"/>
        </w:rPr>
        <w:t xml:space="preserve"> L.J. 152, 2022 CanLIIDocs 4187, </w:t>
      </w:r>
      <w:r w:rsidR="0037455A" w:rsidRPr="009230A6">
        <w:rPr>
          <w:lang w:val="en-CA"/>
        </w:rPr>
        <w:t xml:space="preserve">notes on </w:t>
      </w:r>
      <w:r w:rsidR="00C03FCE" w:rsidRPr="009230A6">
        <w:rPr>
          <w:lang w:val="en-CA"/>
        </w:rPr>
        <w:t>p</w:t>
      </w:r>
      <w:r w:rsidR="0037455A" w:rsidRPr="009230A6">
        <w:rPr>
          <w:lang w:val="en-CA"/>
        </w:rPr>
        <w:t>age</w:t>
      </w:r>
      <w:r w:rsidR="00C03FCE" w:rsidRPr="009230A6">
        <w:rPr>
          <w:lang w:val="en-CA"/>
        </w:rPr>
        <w:t> 153</w:t>
      </w:r>
      <w:r w:rsidR="0037455A" w:rsidRPr="009230A6">
        <w:rPr>
          <w:lang w:val="en-CA"/>
        </w:rPr>
        <w:t xml:space="preserve"> that the number of Black persons in the federal </w:t>
      </w:r>
      <w:r w:rsidR="006A36D2" w:rsidRPr="009230A6">
        <w:rPr>
          <w:lang w:val="en-CA"/>
        </w:rPr>
        <w:t>penitentiary</w:t>
      </w:r>
      <w:r w:rsidR="0037455A" w:rsidRPr="009230A6">
        <w:rPr>
          <w:lang w:val="en-CA"/>
        </w:rPr>
        <w:t xml:space="preserve"> system has increase</w:t>
      </w:r>
      <w:r w:rsidR="006A36D2">
        <w:rPr>
          <w:lang w:val="en-CA"/>
        </w:rPr>
        <w:t>d by</w:t>
      </w:r>
      <w:r w:rsidR="0037455A" w:rsidRPr="009230A6">
        <w:rPr>
          <w:lang w:val="en-CA"/>
        </w:rPr>
        <w:t xml:space="preserve"> 80% since </w:t>
      </w:r>
      <w:r w:rsidR="00C03FCE" w:rsidRPr="009230A6">
        <w:rPr>
          <w:lang w:val="en-CA"/>
        </w:rPr>
        <w:t>2003.</w:t>
      </w:r>
    </w:p>
  </w:footnote>
  <w:footnote w:id="97">
    <w:p w14:paraId="5FF40277" w14:textId="00FB3497" w:rsidR="002B663F" w:rsidRPr="009C1885" w:rsidRDefault="002B663F" w:rsidP="002B663F">
      <w:pPr>
        <w:pStyle w:val="Notedebasdepage"/>
        <w:rPr>
          <w:lang w:val="en-CA"/>
        </w:rPr>
      </w:pPr>
      <w:r w:rsidRPr="00854E1D">
        <w:rPr>
          <w:rStyle w:val="Appelnotedebasdep"/>
        </w:rPr>
        <w:footnoteRef/>
      </w:r>
      <w:r w:rsidRPr="009C1885">
        <w:rPr>
          <w:lang w:val="en-CA"/>
        </w:rPr>
        <w:t xml:space="preserve"> </w:t>
      </w:r>
      <w:r w:rsidRPr="009C1885">
        <w:rPr>
          <w:lang w:val="en-CA"/>
        </w:rPr>
        <w:tab/>
        <w:t xml:space="preserve">P-18, </w:t>
      </w:r>
      <w:r w:rsidR="00854E1D" w:rsidRPr="0037455A">
        <w:rPr>
          <w:i/>
          <w:iCs/>
          <w:lang w:val="en-CA"/>
        </w:rPr>
        <w:t>supra</w:t>
      </w:r>
      <w:r w:rsidR="00854E1D" w:rsidRPr="009C1885">
        <w:rPr>
          <w:lang w:val="en-CA"/>
        </w:rPr>
        <w:t xml:space="preserve"> note 94 at</w:t>
      </w:r>
      <w:r w:rsidRPr="009C1885">
        <w:rPr>
          <w:lang w:val="en-CA"/>
        </w:rPr>
        <w:t> </w:t>
      </w:r>
      <w:r w:rsidR="00C14DBA">
        <w:rPr>
          <w:lang w:val="en-CA"/>
        </w:rPr>
        <w:t xml:space="preserve">p. </w:t>
      </w:r>
      <w:r w:rsidRPr="009C1885">
        <w:rPr>
          <w:lang w:val="en-CA"/>
        </w:rPr>
        <w:t>46.</w:t>
      </w:r>
    </w:p>
  </w:footnote>
  <w:footnote w:id="98">
    <w:p w14:paraId="1B43774A" w14:textId="2DC3EDF6" w:rsidR="002B663F" w:rsidRPr="00854E1D" w:rsidRDefault="002B663F" w:rsidP="002B663F">
      <w:pPr>
        <w:pStyle w:val="Notedebasdepage"/>
        <w:rPr>
          <w:lang w:val="en-CA"/>
        </w:rPr>
      </w:pPr>
      <w:r w:rsidRPr="00854E1D">
        <w:rPr>
          <w:rStyle w:val="Appelnotedebasdep"/>
        </w:rPr>
        <w:footnoteRef/>
      </w:r>
      <w:r w:rsidRPr="00854E1D">
        <w:rPr>
          <w:lang w:val="en-CA"/>
        </w:rPr>
        <w:t xml:space="preserve"> </w:t>
      </w:r>
      <w:r w:rsidRPr="00854E1D">
        <w:rPr>
          <w:lang w:val="en-CA"/>
        </w:rPr>
        <w:tab/>
      </w:r>
      <w:r w:rsidRPr="00854E1D">
        <w:rPr>
          <w:i/>
          <w:iCs/>
          <w:lang w:val="en-CA"/>
        </w:rPr>
        <w:t>I</w:t>
      </w:r>
      <w:r w:rsidR="00854E1D" w:rsidRPr="00854E1D">
        <w:rPr>
          <w:i/>
          <w:iCs/>
          <w:lang w:val="en-CA"/>
        </w:rPr>
        <w:t>bi</w:t>
      </w:r>
      <w:r w:rsidRPr="00854E1D">
        <w:rPr>
          <w:i/>
          <w:iCs/>
          <w:lang w:val="en-CA"/>
        </w:rPr>
        <w:t>d.</w:t>
      </w:r>
      <w:r w:rsidR="00854E1D" w:rsidRPr="00854E1D">
        <w:rPr>
          <w:lang w:val="en-CA"/>
        </w:rPr>
        <w:t xml:space="preserve"> at</w:t>
      </w:r>
      <w:r w:rsidRPr="00854E1D">
        <w:rPr>
          <w:lang w:val="en-CA"/>
        </w:rPr>
        <w:t> 41.</w:t>
      </w:r>
    </w:p>
  </w:footnote>
  <w:footnote w:id="99">
    <w:p w14:paraId="0DEA5BF0" w14:textId="538DC0F4" w:rsidR="00854E1D" w:rsidRPr="00854E1D" w:rsidRDefault="00854E1D" w:rsidP="00854E1D">
      <w:pPr>
        <w:pStyle w:val="Notedebasdepage"/>
        <w:rPr>
          <w:lang w:val="en-CA"/>
        </w:rPr>
      </w:pPr>
      <w:r w:rsidRPr="00854E1D">
        <w:rPr>
          <w:rStyle w:val="Appelnotedebasdep"/>
        </w:rPr>
        <w:footnoteRef/>
      </w:r>
      <w:r w:rsidRPr="00854E1D">
        <w:rPr>
          <w:lang w:val="en-CA"/>
        </w:rPr>
        <w:t xml:space="preserve"> </w:t>
      </w:r>
      <w:r w:rsidRPr="00854E1D">
        <w:rPr>
          <w:lang w:val="en-CA"/>
        </w:rPr>
        <w:tab/>
      </w:r>
      <w:r w:rsidRPr="00854E1D">
        <w:rPr>
          <w:i/>
          <w:iCs/>
          <w:lang w:val="en-CA"/>
        </w:rPr>
        <w:t>I</w:t>
      </w:r>
      <w:r>
        <w:rPr>
          <w:i/>
          <w:iCs/>
          <w:lang w:val="en-CA"/>
        </w:rPr>
        <w:t>bi</w:t>
      </w:r>
      <w:r w:rsidRPr="00854E1D">
        <w:rPr>
          <w:i/>
          <w:iCs/>
          <w:lang w:val="en-CA"/>
        </w:rPr>
        <w:t>d.</w:t>
      </w:r>
      <w:r>
        <w:rPr>
          <w:lang w:val="en-CA"/>
        </w:rPr>
        <w:t xml:space="preserve"> at</w:t>
      </w:r>
      <w:r w:rsidRPr="00854E1D">
        <w:rPr>
          <w:lang w:val="en-CA"/>
        </w:rPr>
        <w:t> 57.</w:t>
      </w:r>
    </w:p>
  </w:footnote>
  <w:footnote w:id="100">
    <w:p w14:paraId="18E9EF39" w14:textId="17BC7B11" w:rsidR="00854E1D" w:rsidRPr="00854E1D" w:rsidRDefault="00854E1D" w:rsidP="00854E1D">
      <w:pPr>
        <w:pStyle w:val="Notedebasdepage"/>
        <w:rPr>
          <w:lang w:val="en-CA"/>
        </w:rPr>
      </w:pPr>
      <w:r w:rsidRPr="00854E1D">
        <w:rPr>
          <w:rStyle w:val="Appelnotedebasdep"/>
        </w:rPr>
        <w:footnoteRef/>
      </w:r>
      <w:r w:rsidRPr="00854E1D">
        <w:rPr>
          <w:lang w:val="en-CA"/>
        </w:rPr>
        <w:t xml:space="preserve"> </w:t>
      </w:r>
      <w:r w:rsidRPr="00854E1D">
        <w:rPr>
          <w:lang w:val="en-CA"/>
        </w:rPr>
        <w:tab/>
      </w:r>
      <w:r w:rsidR="00110E24">
        <w:rPr>
          <w:i/>
          <w:iCs/>
          <w:lang w:val="en-CA"/>
        </w:rPr>
        <w:t>Ibid.</w:t>
      </w:r>
    </w:p>
  </w:footnote>
  <w:footnote w:id="101">
    <w:p w14:paraId="2AA3E0BF" w14:textId="5A7E79B3" w:rsidR="00854E1D" w:rsidRPr="00854E1D" w:rsidRDefault="00854E1D" w:rsidP="00854E1D">
      <w:pPr>
        <w:pStyle w:val="Notedebasdepage"/>
        <w:rPr>
          <w:lang w:val="en-CA"/>
        </w:rPr>
      </w:pPr>
      <w:r w:rsidRPr="00854E1D">
        <w:rPr>
          <w:rStyle w:val="Appelnotedebasdep"/>
        </w:rPr>
        <w:footnoteRef/>
      </w:r>
      <w:r w:rsidRPr="00854E1D">
        <w:rPr>
          <w:lang w:val="en-CA"/>
        </w:rPr>
        <w:t xml:space="preserve"> </w:t>
      </w:r>
      <w:r w:rsidRPr="00854E1D">
        <w:rPr>
          <w:lang w:val="en-CA"/>
        </w:rPr>
        <w:tab/>
      </w:r>
      <w:r w:rsidRPr="00854E1D">
        <w:rPr>
          <w:i/>
          <w:iCs/>
          <w:lang w:val="en-CA"/>
        </w:rPr>
        <w:t>I</w:t>
      </w:r>
      <w:r>
        <w:rPr>
          <w:i/>
          <w:iCs/>
          <w:lang w:val="en-CA"/>
        </w:rPr>
        <w:t>bi</w:t>
      </w:r>
      <w:r w:rsidRPr="00854E1D">
        <w:rPr>
          <w:i/>
          <w:iCs/>
          <w:lang w:val="en-CA"/>
        </w:rPr>
        <w:t>d.</w:t>
      </w:r>
      <w:r>
        <w:rPr>
          <w:lang w:val="en-CA"/>
        </w:rPr>
        <w:t xml:space="preserve"> at</w:t>
      </w:r>
      <w:r w:rsidRPr="00854E1D">
        <w:rPr>
          <w:lang w:val="en-CA"/>
        </w:rPr>
        <w:t> 58.</w:t>
      </w:r>
    </w:p>
  </w:footnote>
  <w:footnote w:id="102">
    <w:p w14:paraId="5EE380BA" w14:textId="5F9498E9" w:rsidR="005A6751" w:rsidRPr="00841467" w:rsidRDefault="001834C5">
      <w:pPr>
        <w:pStyle w:val="Notedebasdepage"/>
        <w:rPr>
          <w:lang w:val="en-CA"/>
        </w:rPr>
      </w:pPr>
      <w:r w:rsidRPr="00854E1D">
        <w:rPr>
          <w:rStyle w:val="Appelnotedebasdep"/>
        </w:rPr>
        <w:footnoteRef/>
      </w:r>
      <w:r w:rsidR="00C03FCE" w:rsidRPr="00854E1D">
        <w:rPr>
          <w:lang w:val="en-CA"/>
        </w:rPr>
        <w:t xml:space="preserve"> </w:t>
      </w:r>
      <w:r w:rsidR="00C03FCE" w:rsidRPr="00854E1D">
        <w:rPr>
          <w:lang w:val="en-CA"/>
        </w:rPr>
        <w:tab/>
      </w:r>
      <w:r w:rsidR="00C03FCE" w:rsidRPr="00854E1D">
        <w:rPr>
          <w:i/>
          <w:iCs/>
          <w:lang w:val="en-CA"/>
        </w:rPr>
        <w:t>I</w:t>
      </w:r>
      <w:r w:rsidR="00854E1D">
        <w:rPr>
          <w:i/>
          <w:iCs/>
          <w:lang w:val="en-CA"/>
        </w:rPr>
        <w:t>bi</w:t>
      </w:r>
      <w:r w:rsidR="00C03FCE" w:rsidRPr="00854E1D">
        <w:rPr>
          <w:i/>
          <w:iCs/>
          <w:lang w:val="en-CA"/>
        </w:rPr>
        <w:t>d</w:t>
      </w:r>
      <w:r w:rsidR="00C03FCE" w:rsidRPr="00854E1D">
        <w:rPr>
          <w:lang w:val="en-CA"/>
        </w:rPr>
        <w:t>.</w:t>
      </w:r>
      <w:r w:rsidR="00854E1D">
        <w:rPr>
          <w:lang w:val="en-CA"/>
        </w:rPr>
        <w:t xml:space="preserve"> at</w:t>
      </w:r>
      <w:r w:rsidR="00C03FCE" w:rsidRPr="00854E1D">
        <w:rPr>
          <w:lang w:val="en-CA"/>
        </w:rPr>
        <w:t> 4</w:t>
      </w:r>
      <w:r w:rsidR="00854E1D" w:rsidRPr="00854E1D">
        <w:rPr>
          <w:lang w:val="en-CA"/>
        </w:rPr>
        <w:t>1</w:t>
      </w:r>
      <w:r w:rsidR="00C03FCE" w:rsidRPr="00854E1D">
        <w:rPr>
          <w:lang w:val="en-CA"/>
        </w:rPr>
        <w:t>.</w:t>
      </w:r>
    </w:p>
  </w:footnote>
  <w:footnote w:id="103">
    <w:p w14:paraId="2C2961FE" w14:textId="77777777" w:rsidR="009C1885" w:rsidRPr="009230A6" w:rsidRDefault="009C1885" w:rsidP="009C1885">
      <w:pPr>
        <w:pStyle w:val="Notedebasdepage"/>
        <w:rPr>
          <w:lang w:val="en-CA"/>
        </w:rPr>
      </w:pPr>
      <w:r>
        <w:rPr>
          <w:rStyle w:val="Appelnotedebasdep"/>
        </w:rPr>
        <w:footnoteRef/>
      </w:r>
      <w:r w:rsidRPr="009C1885">
        <w:rPr>
          <w:lang w:val="en-CA"/>
        </w:rPr>
        <w:t xml:space="preserve"> </w:t>
      </w:r>
      <w:r w:rsidRPr="009C1885">
        <w:rPr>
          <w:i/>
          <w:iCs/>
          <w:lang w:val="en-CA"/>
        </w:rPr>
        <w:tab/>
      </w:r>
      <w:r w:rsidRPr="009F7A40">
        <w:rPr>
          <w:i/>
          <w:iCs/>
          <w:lang w:val="en-CA"/>
        </w:rPr>
        <w:t>Nyembwe</w:t>
      </w:r>
      <w:r w:rsidRPr="009F7A40">
        <w:rPr>
          <w:lang w:val="en-CA"/>
        </w:rPr>
        <w:t xml:space="preserve">, </w:t>
      </w:r>
      <w:r w:rsidRPr="009F7A40">
        <w:rPr>
          <w:i/>
          <w:iCs/>
          <w:lang w:val="en-CA"/>
        </w:rPr>
        <w:t>supra</w:t>
      </w:r>
      <w:r w:rsidRPr="009F7A40">
        <w:rPr>
          <w:lang w:val="en-CA"/>
        </w:rPr>
        <w:t xml:space="preserve"> note 58 at para.</w:t>
      </w:r>
      <w:r w:rsidRPr="009C1885">
        <w:rPr>
          <w:lang w:val="en-CA"/>
        </w:rPr>
        <w:t xml:space="preserve"> </w:t>
      </w:r>
      <w:r w:rsidRPr="009230A6">
        <w:rPr>
          <w:lang w:val="en-CA"/>
        </w:rPr>
        <w:t>160.</w:t>
      </w:r>
    </w:p>
  </w:footnote>
  <w:footnote w:id="104">
    <w:p w14:paraId="7EFB0F15" w14:textId="446D5077" w:rsidR="005A6751" w:rsidRPr="009230A6" w:rsidRDefault="001834C5">
      <w:pPr>
        <w:pStyle w:val="Notedebasdepage"/>
        <w:rPr>
          <w:lang w:val="en-CA"/>
        </w:rPr>
      </w:pPr>
      <w:r>
        <w:rPr>
          <w:rStyle w:val="Appelnotedebasdep"/>
        </w:rPr>
        <w:footnoteRef/>
      </w:r>
      <w:r w:rsidR="00C03FCE" w:rsidRPr="009230A6">
        <w:rPr>
          <w:lang w:val="en-CA"/>
        </w:rPr>
        <w:t xml:space="preserve"> </w:t>
      </w:r>
      <w:r w:rsidR="00C03FCE" w:rsidRPr="009230A6">
        <w:rPr>
          <w:lang w:val="en-CA"/>
        </w:rPr>
        <w:tab/>
      </w:r>
      <w:r w:rsidR="00110E24" w:rsidRPr="009230A6">
        <w:rPr>
          <w:i/>
          <w:iCs/>
          <w:lang w:val="en-CA"/>
        </w:rPr>
        <w:t>Ibid.</w:t>
      </w:r>
    </w:p>
  </w:footnote>
  <w:footnote w:id="105">
    <w:p w14:paraId="30E4667F" w14:textId="70F8948B" w:rsidR="009C1885" w:rsidRPr="009230A6" w:rsidRDefault="009C1885" w:rsidP="009C1885">
      <w:pPr>
        <w:pStyle w:val="Notedebasdepage"/>
        <w:rPr>
          <w:lang w:val="en-CA"/>
        </w:rPr>
      </w:pPr>
      <w:r w:rsidRPr="0037455A">
        <w:rPr>
          <w:rStyle w:val="Appelnotedebasdep"/>
          <w:lang w:val="en-CA"/>
        </w:rPr>
        <w:footnoteRef/>
      </w:r>
      <w:r w:rsidRPr="0037455A">
        <w:rPr>
          <w:lang w:val="en-CA"/>
        </w:rPr>
        <w:t xml:space="preserve"> </w:t>
      </w:r>
      <w:r w:rsidRPr="0037455A">
        <w:rPr>
          <w:lang w:val="en-CA"/>
        </w:rPr>
        <w:tab/>
        <w:t xml:space="preserve">Denise G. Réaume, </w:t>
      </w:r>
      <w:r w:rsidR="0037455A">
        <w:rPr>
          <w:lang w:val="en-CA"/>
        </w:rPr>
        <w:t>“</w:t>
      </w:r>
      <w:r w:rsidRPr="0037455A">
        <w:rPr>
          <w:lang w:val="en-CA"/>
        </w:rPr>
        <w:t>Discrimination and Dignity</w:t>
      </w:r>
      <w:r w:rsidR="0037455A">
        <w:rPr>
          <w:lang w:val="en-CA"/>
        </w:rPr>
        <w:t xml:space="preserve">” </w:t>
      </w:r>
      <w:r w:rsidRPr="0037455A">
        <w:rPr>
          <w:lang w:val="en-CA"/>
        </w:rPr>
        <w:t>(2003) 63 La. L. Rev. 645</w:t>
      </w:r>
      <w:r w:rsidR="0037455A">
        <w:rPr>
          <w:lang w:val="en-CA"/>
        </w:rPr>
        <w:t xml:space="preserve"> at</w:t>
      </w:r>
      <w:r w:rsidRPr="0037455A">
        <w:rPr>
          <w:lang w:val="en-CA"/>
        </w:rPr>
        <w:t xml:space="preserve"> 681: </w:t>
      </w:r>
      <w:r w:rsidR="0037455A">
        <w:rPr>
          <w:lang w:val="en-CA"/>
        </w:rPr>
        <w:t>“</w:t>
      </w:r>
      <w:r w:rsidR="0037455A" w:rsidRPr="0037455A">
        <w:rPr>
          <w:lang w:val="en-CA"/>
        </w:rPr>
        <w:t>Stereotypes are inaccurate generalizations about the characteristics or attributes of members of a group that can usually be traced back to a time when social relations were based more overtly on contempt for the moral worth of the group</w:t>
      </w:r>
      <w:r w:rsidR="0037455A">
        <w:rPr>
          <w:lang w:val="en-CA"/>
        </w:rPr>
        <w:t xml:space="preserve">”, cited in </w:t>
      </w:r>
      <w:r w:rsidRPr="009F7A40">
        <w:rPr>
          <w:i/>
          <w:iCs/>
          <w:lang w:val="en-CA"/>
        </w:rPr>
        <w:t>Québec</w:t>
      </w:r>
      <w:r w:rsidRPr="0037455A">
        <w:rPr>
          <w:i/>
          <w:iCs/>
          <w:lang w:val="en-CA"/>
        </w:rPr>
        <w:t xml:space="preserve"> (</w:t>
      </w:r>
      <w:r w:rsidR="0037455A">
        <w:rPr>
          <w:i/>
          <w:iCs/>
          <w:lang w:val="en-CA"/>
        </w:rPr>
        <w:t>Attorney General</w:t>
      </w:r>
      <w:r w:rsidRPr="0037455A">
        <w:rPr>
          <w:i/>
          <w:iCs/>
          <w:lang w:val="en-CA"/>
        </w:rPr>
        <w:t xml:space="preserve">) </w:t>
      </w:r>
      <w:r w:rsidR="0037455A">
        <w:rPr>
          <w:i/>
          <w:iCs/>
          <w:lang w:val="en-CA"/>
        </w:rPr>
        <w:t>v</w:t>
      </w:r>
      <w:r w:rsidRPr="0037455A">
        <w:rPr>
          <w:i/>
          <w:iCs/>
          <w:lang w:val="en-CA"/>
        </w:rPr>
        <w:t>. A</w:t>
      </w:r>
      <w:r w:rsidRPr="0037455A">
        <w:rPr>
          <w:lang w:val="en-CA"/>
        </w:rPr>
        <w:t>, 2013 </w:t>
      </w:r>
      <w:r w:rsidR="0037455A">
        <w:rPr>
          <w:lang w:val="en-CA"/>
        </w:rPr>
        <w:t xml:space="preserve">SCC </w:t>
      </w:r>
      <w:r w:rsidRPr="0037455A">
        <w:rPr>
          <w:lang w:val="en-CA"/>
        </w:rPr>
        <w:t>5, [2013] 1 </w:t>
      </w:r>
      <w:r w:rsidR="0037455A">
        <w:rPr>
          <w:lang w:val="en-CA"/>
        </w:rPr>
        <w:t>SCR</w:t>
      </w:r>
      <w:r w:rsidR="0037455A" w:rsidRPr="0037455A">
        <w:rPr>
          <w:lang w:val="en-CA"/>
        </w:rPr>
        <w:t xml:space="preserve"> </w:t>
      </w:r>
      <w:r w:rsidRPr="0037455A">
        <w:rPr>
          <w:lang w:val="en-CA"/>
        </w:rPr>
        <w:t>61</w:t>
      </w:r>
      <w:r w:rsidR="0037455A">
        <w:rPr>
          <w:lang w:val="en-CA"/>
        </w:rPr>
        <w:t xml:space="preserve"> at</w:t>
      </w:r>
      <w:r w:rsidRPr="0037455A">
        <w:rPr>
          <w:lang w:val="en-CA"/>
        </w:rPr>
        <w:t xml:space="preserve"> par</w:t>
      </w:r>
      <w:r w:rsidR="0037455A">
        <w:rPr>
          <w:lang w:val="en-CA"/>
        </w:rPr>
        <w:t>a</w:t>
      </w:r>
      <w:r w:rsidRPr="0037455A">
        <w:rPr>
          <w:lang w:val="en-CA"/>
        </w:rPr>
        <w:t xml:space="preserve">. 202. Suzanne </w:t>
      </w:r>
      <w:r w:rsidR="0037455A">
        <w:rPr>
          <w:lang w:val="en-CA"/>
        </w:rPr>
        <w:t>Bouclin &amp;</w:t>
      </w:r>
      <w:r w:rsidRPr="0037455A">
        <w:rPr>
          <w:lang w:val="en-CA"/>
        </w:rPr>
        <w:t xml:space="preserve"> Patricia </w:t>
      </w:r>
      <w:r w:rsidR="0037455A">
        <w:rPr>
          <w:lang w:val="en-CA"/>
        </w:rPr>
        <w:t>Harewood, “</w:t>
      </w:r>
      <w:r w:rsidRPr="0037455A">
        <w:rPr>
          <w:lang w:val="en-CA"/>
        </w:rPr>
        <w:t xml:space="preserve">L’incidence des préjugés inconscients sur les </w:t>
      </w:r>
      <w:r w:rsidRPr="009F7A40">
        <w:rPr>
          <w:lang w:val="en-CA"/>
        </w:rPr>
        <w:t>processus de négociation</w:t>
      </w:r>
      <w:r w:rsidRPr="0037455A">
        <w:rPr>
          <w:lang w:val="en-CA"/>
        </w:rPr>
        <w:t xml:space="preserve"> et de </w:t>
      </w:r>
      <w:r w:rsidR="0037455A">
        <w:rPr>
          <w:lang w:val="en-CA"/>
        </w:rPr>
        <w:t>m</w:t>
      </w:r>
      <w:r w:rsidR="00C14DBA">
        <w:rPr>
          <w:lang w:val="en-CA"/>
        </w:rPr>
        <w:t>é</w:t>
      </w:r>
      <w:r w:rsidR="0037455A">
        <w:rPr>
          <w:lang w:val="en-CA"/>
        </w:rPr>
        <w:t xml:space="preserve">diation” </w:t>
      </w:r>
      <w:r w:rsidRPr="0037455A">
        <w:rPr>
          <w:lang w:val="en-CA"/>
        </w:rPr>
        <w:t>(2022) 100 R. du B. Can. 515</w:t>
      </w:r>
      <w:r w:rsidR="0037455A">
        <w:rPr>
          <w:lang w:val="en-CA"/>
        </w:rPr>
        <w:t xml:space="preserve"> at</w:t>
      </w:r>
      <w:r w:rsidRPr="0037455A">
        <w:rPr>
          <w:lang w:val="en-CA"/>
        </w:rPr>
        <w:t> 518</w:t>
      </w:r>
      <w:r w:rsidR="0037455A">
        <w:rPr>
          <w:lang w:val="en-CA"/>
        </w:rPr>
        <w:t xml:space="preserve">, </w:t>
      </w:r>
      <w:r w:rsidR="0037455A" w:rsidRPr="0037455A">
        <w:rPr>
          <w:lang w:val="en-CA"/>
        </w:rPr>
        <w:t>2022 CanLIIDocs 4227</w:t>
      </w:r>
      <w:r w:rsidR="0037455A">
        <w:rPr>
          <w:lang w:val="en-CA"/>
        </w:rPr>
        <w:t xml:space="preserve">, </w:t>
      </w:r>
      <w:r w:rsidRPr="0037455A">
        <w:rPr>
          <w:lang w:val="en-CA"/>
        </w:rPr>
        <w:t>note 9:</w:t>
      </w:r>
      <w:r w:rsidR="0037455A">
        <w:rPr>
          <w:lang w:val="en-CA"/>
        </w:rPr>
        <w:t xml:space="preserve"> [</w:t>
      </w:r>
      <w:r w:rsidR="0037455A" w:rsidRPr="0037455A">
        <w:rPr>
          <w:smallCaps/>
          <w:lang w:val="en-CA"/>
        </w:rPr>
        <w:t>translation</w:t>
      </w:r>
      <w:r w:rsidR="0037455A">
        <w:rPr>
          <w:lang w:val="en-CA"/>
        </w:rPr>
        <w:t>]</w:t>
      </w:r>
      <w:r w:rsidRPr="0037455A">
        <w:rPr>
          <w:lang w:val="en-CA"/>
        </w:rPr>
        <w:t xml:space="preserve"> </w:t>
      </w:r>
      <w:r w:rsidR="0037455A">
        <w:rPr>
          <w:lang w:val="en-CA"/>
        </w:rPr>
        <w:t xml:space="preserve">“Stereotypes are cognitive constructions that contain unverified </w:t>
      </w:r>
      <w:r w:rsidR="001B7200">
        <w:rPr>
          <w:lang w:val="en-CA"/>
        </w:rPr>
        <w:t>hypotheses</w:t>
      </w:r>
      <w:r w:rsidR="0037455A">
        <w:rPr>
          <w:lang w:val="en-CA"/>
        </w:rPr>
        <w:t xml:space="preserve"> about members of a social group”.</w:t>
      </w:r>
    </w:p>
  </w:footnote>
  <w:footnote w:id="106">
    <w:p w14:paraId="74DE04CF" w14:textId="01710F99" w:rsidR="009C1885" w:rsidRPr="0037455A" w:rsidRDefault="009C1885" w:rsidP="009C1885">
      <w:pPr>
        <w:pStyle w:val="Notedebasdepage"/>
        <w:rPr>
          <w:lang w:val="en-CA"/>
        </w:rPr>
      </w:pPr>
      <w:r w:rsidRPr="0037455A">
        <w:rPr>
          <w:rStyle w:val="Appelnotedebasdep"/>
          <w:lang w:val="en-CA"/>
        </w:rPr>
        <w:footnoteRef/>
      </w:r>
      <w:r w:rsidRPr="0013463A">
        <w:rPr>
          <w:lang w:val="es-CL"/>
        </w:rPr>
        <w:t xml:space="preserve"> </w:t>
      </w:r>
      <w:r w:rsidRPr="0013463A">
        <w:rPr>
          <w:lang w:val="es-CL"/>
        </w:rPr>
        <w:tab/>
      </w:r>
      <w:r w:rsidRPr="0013463A">
        <w:rPr>
          <w:i/>
          <w:iCs/>
          <w:lang w:val="es-CL"/>
        </w:rPr>
        <w:t>Bombardie</w:t>
      </w:r>
      <w:r w:rsidRPr="0013463A">
        <w:rPr>
          <w:lang w:val="es-CL"/>
        </w:rPr>
        <w:t xml:space="preserve">r, </w:t>
      </w:r>
      <w:r w:rsidR="0037455A" w:rsidRPr="0013463A">
        <w:rPr>
          <w:i/>
          <w:iCs/>
          <w:lang w:val="es-CL"/>
        </w:rPr>
        <w:t>supra</w:t>
      </w:r>
      <w:r w:rsidRPr="0013463A">
        <w:rPr>
          <w:lang w:val="es-CL"/>
        </w:rPr>
        <w:t xml:space="preserve"> note 57</w:t>
      </w:r>
      <w:r w:rsidR="0037455A" w:rsidRPr="0013463A">
        <w:rPr>
          <w:lang w:val="es-CL"/>
        </w:rPr>
        <w:t xml:space="preserve"> at</w:t>
      </w:r>
      <w:r w:rsidRPr="0013463A">
        <w:rPr>
          <w:lang w:val="es-CL"/>
        </w:rPr>
        <w:t xml:space="preserve"> par</w:t>
      </w:r>
      <w:r w:rsidR="0037455A" w:rsidRPr="0013463A">
        <w:rPr>
          <w:lang w:val="es-CL"/>
        </w:rPr>
        <w:t>a</w:t>
      </w:r>
      <w:r w:rsidRPr="0013463A">
        <w:rPr>
          <w:lang w:val="es-CL"/>
        </w:rPr>
        <w:t xml:space="preserve">. </w:t>
      </w:r>
      <w:r w:rsidRPr="009230A6">
        <w:t xml:space="preserve">48. </w:t>
      </w:r>
      <w:r w:rsidR="0037455A" w:rsidRPr="009230A6">
        <w:t>See to the same effect</w:t>
      </w:r>
      <w:r w:rsidRPr="009230A6">
        <w:t xml:space="preserve"> </w:t>
      </w:r>
      <w:r w:rsidRPr="009230A6">
        <w:rPr>
          <w:i/>
          <w:iCs/>
        </w:rPr>
        <w:t>Procureure générale du Québec c. Association des juristes de l’État</w:t>
      </w:r>
      <w:r w:rsidRPr="009230A6">
        <w:t>, 2017 QCCA 103</w:t>
      </w:r>
      <w:r w:rsidR="0037455A" w:rsidRPr="009230A6">
        <w:t xml:space="preserve"> at</w:t>
      </w:r>
      <w:r w:rsidRPr="009230A6">
        <w:t xml:space="preserve"> par</w:t>
      </w:r>
      <w:r w:rsidR="0037455A" w:rsidRPr="009230A6">
        <w:t>a</w:t>
      </w:r>
      <w:r w:rsidRPr="009230A6">
        <w:t xml:space="preserve">. </w:t>
      </w:r>
      <w:r w:rsidRPr="009F7A40">
        <w:rPr>
          <w:lang w:val="en-CA"/>
        </w:rPr>
        <w:t>36:</w:t>
      </w:r>
      <w:r w:rsidR="0037455A" w:rsidRPr="009F7A40">
        <w:rPr>
          <w:lang w:val="en-CA"/>
        </w:rPr>
        <w:t xml:space="preserve"> [</w:t>
      </w:r>
      <w:r w:rsidR="0037455A" w:rsidRPr="009F7A40">
        <w:rPr>
          <w:smallCaps/>
          <w:lang w:val="en-CA"/>
        </w:rPr>
        <w:t>translation</w:t>
      </w:r>
      <w:r w:rsidR="0037455A" w:rsidRPr="009F7A40">
        <w:rPr>
          <w:lang w:val="en-CA"/>
        </w:rPr>
        <w:t xml:space="preserve">] “It is sufficient for the prohibited ground to have contributed to the alleged decisions </w:t>
      </w:r>
      <w:r w:rsidR="009928FF">
        <w:rPr>
          <w:lang w:val="en-CA"/>
        </w:rPr>
        <w:t xml:space="preserve">or actions </w:t>
      </w:r>
      <w:r w:rsidR="0037455A" w:rsidRPr="009F7A40">
        <w:rPr>
          <w:lang w:val="en-CA"/>
        </w:rPr>
        <w:t>for them to be considered discriminatory</w:t>
      </w:r>
      <w:r w:rsidR="0037455A">
        <w:rPr>
          <w:lang w:val="en-CA"/>
        </w:rPr>
        <w:t>”.</w:t>
      </w:r>
    </w:p>
  </w:footnote>
  <w:footnote w:id="107">
    <w:p w14:paraId="5F1C8E68" w14:textId="5D478F05" w:rsidR="009C1885" w:rsidRPr="009230A6" w:rsidRDefault="009C1885" w:rsidP="009C1885">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Bombardier</w:t>
      </w:r>
      <w:r w:rsidRPr="009230A6">
        <w:rPr>
          <w:lang w:val="en-CA"/>
        </w:rPr>
        <w:t xml:space="preserve">, </w:t>
      </w:r>
      <w:r w:rsidRPr="009230A6">
        <w:rPr>
          <w:i/>
          <w:iCs/>
          <w:lang w:val="en-CA"/>
        </w:rPr>
        <w:t>i</w:t>
      </w:r>
      <w:r w:rsidR="0037455A" w:rsidRPr="009230A6">
        <w:rPr>
          <w:i/>
          <w:iCs/>
          <w:lang w:val="en-CA"/>
        </w:rPr>
        <w:t>bi</w:t>
      </w:r>
      <w:r w:rsidRPr="009230A6">
        <w:rPr>
          <w:i/>
          <w:iCs/>
          <w:lang w:val="en-CA"/>
        </w:rPr>
        <w:t>d</w:t>
      </w:r>
      <w:r w:rsidRPr="009230A6">
        <w:rPr>
          <w:lang w:val="en-CA"/>
        </w:rPr>
        <w:t>.</w:t>
      </w:r>
      <w:r w:rsidR="0037455A" w:rsidRPr="009230A6">
        <w:rPr>
          <w:lang w:val="en-CA"/>
        </w:rPr>
        <w:t xml:space="preserve"> at </w:t>
      </w:r>
      <w:r w:rsidRPr="009230A6">
        <w:rPr>
          <w:lang w:val="en-CA"/>
        </w:rPr>
        <w:t>par</w:t>
      </w:r>
      <w:r w:rsidR="0037455A" w:rsidRPr="009230A6">
        <w:rPr>
          <w:lang w:val="en-CA"/>
        </w:rPr>
        <w:t>as</w:t>
      </w:r>
      <w:r w:rsidRPr="009230A6">
        <w:rPr>
          <w:lang w:val="en-CA"/>
        </w:rPr>
        <w:t xml:space="preserve">. 1 </w:t>
      </w:r>
      <w:r w:rsidR="0037455A" w:rsidRPr="009230A6">
        <w:rPr>
          <w:lang w:val="en-CA"/>
        </w:rPr>
        <w:t xml:space="preserve">and </w:t>
      </w:r>
      <w:r w:rsidRPr="009230A6">
        <w:rPr>
          <w:lang w:val="en-CA"/>
        </w:rPr>
        <w:t>41.</w:t>
      </w:r>
    </w:p>
  </w:footnote>
  <w:footnote w:id="108">
    <w:p w14:paraId="24627DF9" w14:textId="23C70E50" w:rsidR="00F42884" w:rsidRPr="00890F70" w:rsidRDefault="00F42884" w:rsidP="00F42884">
      <w:pPr>
        <w:pStyle w:val="Notedebasdepage"/>
        <w:rPr>
          <w:lang w:val="en-CA"/>
        </w:rPr>
      </w:pPr>
      <w:r>
        <w:rPr>
          <w:rStyle w:val="Appelnotedebasdep"/>
        </w:rPr>
        <w:footnoteRef/>
      </w:r>
      <w:r w:rsidRPr="00890F70">
        <w:rPr>
          <w:lang w:val="en-CA"/>
        </w:rPr>
        <w:t xml:space="preserve"> </w:t>
      </w:r>
      <w:r w:rsidRPr="00890F70">
        <w:rPr>
          <w:lang w:val="en-CA"/>
        </w:rPr>
        <w:tab/>
      </w:r>
      <w:r w:rsidR="00A733C8" w:rsidRPr="009F7A40">
        <w:rPr>
          <w:lang w:val="en-CA"/>
        </w:rPr>
        <w:t>Section</w:t>
      </w:r>
      <w:r w:rsidR="00890F70" w:rsidRPr="009F7A40">
        <w:rPr>
          <w:lang w:val="en-CA"/>
        </w:rPr>
        <w:t xml:space="preserve"> </w:t>
      </w:r>
      <w:r w:rsidRPr="009F7A40">
        <w:rPr>
          <w:lang w:val="en-CA"/>
        </w:rPr>
        <w:t xml:space="preserve">1 </w:t>
      </w:r>
      <w:r w:rsidR="00890F70" w:rsidRPr="009F7A40">
        <w:rPr>
          <w:lang w:val="en-CA"/>
        </w:rPr>
        <w:t xml:space="preserve">of the </w:t>
      </w:r>
      <w:r w:rsidR="00890F70" w:rsidRPr="009F7A40">
        <w:rPr>
          <w:i/>
          <w:iCs/>
          <w:lang w:val="en-CA"/>
        </w:rPr>
        <w:t>Charter</w:t>
      </w:r>
      <w:r w:rsidRPr="009F7A40">
        <w:rPr>
          <w:lang w:val="en-CA"/>
        </w:rPr>
        <w:t>.</w:t>
      </w:r>
    </w:p>
  </w:footnote>
  <w:footnote w:id="109">
    <w:p w14:paraId="7BBF266D" w14:textId="2D947453" w:rsidR="00F42884" w:rsidRPr="00890F70" w:rsidRDefault="00F42884" w:rsidP="00F42884">
      <w:pPr>
        <w:pStyle w:val="Notedebasdepage"/>
        <w:rPr>
          <w:lang w:val="en-CA"/>
        </w:rPr>
      </w:pPr>
      <w:r>
        <w:rPr>
          <w:rStyle w:val="Appelnotedebasdep"/>
        </w:rPr>
        <w:footnoteRef/>
      </w:r>
      <w:r w:rsidRPr="00890F70">
        <w:rPr>
          <w:lang w:val="en-CA"/>
        </w:rPr>
        <w:t xml:space="preserve"> </w:t>
      </w:r>
      <w:r w:rsidRPr="00890F70">
        <w:rPr>
          <w:lang w:val="en-CA"/>
        </w:rPr>
        <w:tab/>
      </w:r>
      <w:r w:rsidR="00890F70" w:rsidRPr="009F7A40">
        <w:rPr>
          <w:lang w:val="en-CA"/>
        </w:rPr>
        <w:t xml:space="preserve">Section </w:t>
      </w:r>
      <w:r w:rsidRPr="009F7A40">
        <w:rPr>
          <w:lang w:val="en-CA"/>
        </w:rPr>
        <w:t xml:space="preserve">4 </w:t>
      </w:r>
      <w:r w:rsidR="00890F70" w:rsidRPr="009F7A40">
        <w:rPr>
          <w:lang w:val="en-CA"/>
        </w:rPr>
        <w:t xml:space="preserve">of the </w:t>
      </w:r>
      <w:r w:rsidR="00890F70" w:rsidRPr="009F7A40">
        <w:rPr>
          <w:i/>
          <w:iCs/>
          <w:lang w:val="en-CA"/>
        </w:rPr>
        <w:t>Charter</w:t>
      </w:r>
      <w:r w:rsidR="00890F70" w:rsidRPr="009F7A40">
        <w:rPr>
          <w:lang w:val="en-CA"/>
        </w:rPr>
        <w:t>.</w:t>
      </w:r>
    </w:p>
  </w:footnote>
  <w:footnote w:id="110">
    <w:p w14:paraId="6A9F13D0" w14:textId="00F8E97B" w:rsidR="00F42884" w:rsidRPr="00890F70" w:rsidRDefault="00F42884" w:rsidP="00F42884">
      <w:pPr>
        <w:pStyle w:val="Notedebasdepage"/>
        <w:rPr>
          <w:lang w:val="en-CA"/>
        </w:rPr>
      </w:pPr>
      <w:r>
        <w:rPr>
          <w:rStyle w:val="Appelnotedebasdep"/>
        </w:rPr>
        <w:footnoteRef/>
      </w:r>
      <w:r w:rsidRPr="00890F70">
        <w:rPr>
          <w:lang w:val="en-CA"/>
        </w:rPr>
        <w:t xml:space="preserve"> </w:t>
      </w:r>
      <w:r w:rsidRPr="00890F70">
        <w:rPr>
          <w:lang w:val="en-CA"/>
        </w:rPr>
        <w:tab/>
      </w:r>
      <w:r w:rsidR="00890F70" w:rsidRPr="009F7A40">
        <w:rPr>
          <w:lang w:val="en-CA"/>
        </w:rPr>
        <w:t xml:space="preserve">Section </w:t>
      </w:r>
      <w:r w:rsidRPr="009F7A40">
        <w:rPr>
          <w:lang w:val="en-CA"/>
        </w:rPr>
        <w:t xml:space="preserve">12 </w:t>
      </w:r>
      <w:r w:rsidR="00890F70" w:rsidRPr="009F7A40">
        <w:rPr>
          <w:lang w:val="en-CA"/>
        </w:rPr>
        <w:t xml:space="preserve">of the </w:t>
      </w:r>
      <w:r w:rsidR="00890F70" w:rsidRPr="009F7A40">
        <w:rPr>
          <w:i/>
          <w:iCs/>
          <w:lang w:val="en-CA"/>
        </w:rPr>
        <w:t>Charter</w:t>
      </w:r>
      <w:r w:rsidR="00890F70" w:rsidRPr="009F7A40">
        <w:rPr>
          <w:lang w:val="en-CA"/>
        </w:rPr>
        <w:t>.</w:t>
      </w:r>
    </w:p>
  </w:footnote>
  <w:footnote w:id="111">
    <w:p w14:paraId="08D1FF4D" w14:textId="7955428F" w:rsidR="00F42884" w:rsidRPr="00890F70" w:rsidRDefault="00F42884" w:rsidP="00F42884">
      <w:pPr>
        <w:pStyle w:val="Notedebasdepage"/>
        <w:rPr>
          <w:lang w:val="en-CA"/>
        </w:rPr>
      </w:pPr>
      <w:r>
        <w:rPr>
          <w:rStyle w:val="Appelnotedebasdep"/>
        </w:rPr>
        <w:footnoteRef/>
      </w:r>
      <w:r w:rsidRPr="00890F70">
        <w:rPr>
          <w:lang w:val="en-CA"/>
        </w:rPr>
        <w:t xml:space="preserve"> </w:t>
      </w:r>
      <w:r w:rsidRPr="00890F70">
        <w:rPr>
          <w:lang w:val="en-CA"/>
        </w:rPr>
        <w:tab/>
      </w:r>
      <w:r w:rsidR="00890F70" w:rsidRPr="009F7A40">
        <w:rPr>
          <w:lang w:val="en-CA"/>
        </w:rPr>
        <w:t xml:space="preserve">Section </w:t>
      </w:r>
      <w:r w:rsidRPr="009F7A40">
        <w:rPr>
          <w:lang w:val="en-CA"/>
        </w:rPr>
        <w:t xml:space="preserve">24.1 </w:t>
      </w:r>
      <w:r w:rsidR="00890F70" w:rsidRPr="009F7A40">
        <w:rPr>
          <w:lang w:val="en-CA"/>
        </w:rPr>
        <w:t xml:space="preserve">of the </w:t>
      </w:r>
      <w:r w:rsidR="00890F70" w:rsidRPr="009F7A40">
        <w:rPr>
          <w:i/>
          <w:iCs/>
          <w:lang w:val="en-CA"/>
        </w:rPr>
        <w:t>Charter</w:t>
      </w:r>
      <w:r w:rsidR="00890F70" w:rsidRPr="009F7A40">
        <w:rPr>
          <w:lang w:val="en-CA"/>
        </w:rPr>
        <w:t>.</w:t>
      </w:r>
    </w:p>
  </w:footnote>
  <w:footnote w:id="112">
    <w:p w14:paraId="22800208" w14:textId="46600EF3" w:rsidR="00F42884" w:rsidRPr="00890F70" w:rsidRDefault="00F42884" w:rsidP="00F42884">
      <w:pPr>
        <w:pStyle w:val="Notedebasdepage"/>
        <w:rPr>
          <w:lang w:val="en-CA"/>
        </w:rPr>
      </w:pPr>
      <w:r>
        <w:rPr>
          <w:rStyle w:val="Appelnotedebasdep"/>
        </w:rPr>
        <w:footnoteRef/>
      </w:r>
      <w:r w:rsidRPr="00890F70">
        <w:rPr>
          <w:lang w:val="en-CA"/>
        </w:rPr>
        <w:t xml:space="preserve"> </w:t>
      </w:r>
      <w:r w:rsidRPr="00890F70">
        <w:rPr>
          <w:lang w:val="en-CA"/>
        </w:rPr>
        <w:tab/>
      </w:r>
      <w:r w:rsidR="00890F70" w:rsidRPr="00890F70">
        <w:rPr>
          <w:lang w:val="en-CA"/>
        </w:rPr>
        <w:t>Section</w:t>
      </w:r>
      <w:r w:rsidRPr="009F7A40">
        <w:rPr>
          <w:lang w:val="en-CA"/>
        </w:rPr>
        <w:t xml:space="preserve"> 25 </w:t>
      </w:r>
      <w:r w:rsidR="00890F70" w:rsidRPr="009F7A40">
        <w:rPr>
          <w:lang w:val="en-CA"/>
        </w:rPr>
        <w:t xml:space="preserve">of the </w:t>
      </w:r>
      <w:r w:rsidR="00890F70" w:rsidRPr="009F7A40">
        <w:rPr>
          <w:i/>
          <w:iCs/>
          <w:lang w:val="en-CA"/>
        </w:rPr>
        <w:t>Charter</w:t>
      </w:r>
      <w:r w:rsidR="00890F70" w:rsidRPr="009F7A40">
        <w:rPr>
          <w:lang w:val="en-CA"/>
        </w:rPr>
        <w:t>.</w:t>
      </w:r>
    </w:p>
  </w:footnote>
  <w:footnote w:id="113">
    <w:p w14:paraId="523CC2C4" w14:textId="3BC188C1" w:rsidR="00F42884" w:rsidRPr="00890F70" w:rsidRDefault="00F42884" w:rsidP="00F42884">
      <w:pPr>
        <w:pStyle w:val="Notedebasdepage"/>
        <w:rPr>
          <w:lang w:val="en-CA"/>
        </w:rPr>
      </w:pPr>
      <w:r>
        <w:rPr>
          <w:rStyle w:val="Appelnotedebasdep"/>
        </w:rPr>
        <w:footnoteRef/>
      </w:r>
      <w:r w:rsidRPr="00890F70">
        <w:rPr>
          <w:lang w:val="en-CA"/>
        </w:rPr>
        <w:t xml:space="preserve"> </w:t>
      </w:r>
      <w:r w:rsidRPr="00890F70">
        <w:rPr>
          <w:lang w:val="en-CA"/>
        </w:rPr>
        <w:tab/>
      </w:r>
      <w:r w:rsidR="00890F70" w:rsidRPr="00890F70">
        <w:rPr>
          <w:lang w:val="en-CA"/>
        </w:rPr>
        <w:t>Section</w:t>
      </w:r>
      <w:r w:rsidRPr="009F7A40">
        <w:rPr>
          <w:lang w:val="en-CA"/>
        </w:rPr>
        <w:t> 26</w:t>
      </w:r>
      <w:r w:rsidR="00890F70" w:rsidRPr="009F7A40">
        <w:rPr>
          <w:lang w:val="en-CA"/>
        </w:rPr>
        <w:t xml:space="preserve"> of the </w:t>
      </w:r>
      <w:r w:rsidR="00890F70" w:rsidRPr="009F7A40">
        <w:rPr>
          <w:i/>
          <w:iCs/>
          <w:lang w:val="en-CA"/>
        </w:rPr>
        <w:t>Charter</w:t>
      </w:r>
      <w:r w:rsidR="00890F70" w:rsidRPr="009F7A40">
        <w:rPr>
          <w:lang w:val="en-CA"/>
        </w:rPr>
        <w:t>.</w:t>
      </w:r>
    </w:p>
  </w:footnote>
  <w:footnote w:id="114">
    <w:p w14:paraId="7D281B41" w14:textId="15ED2346" w:rsidR="001618D5" w:rsidRPr="008B4AD2" w:rsidRDefault="001834C5">
      <w:pPr>
        <w:pStyle w:val="Notedebasdepage"/>
      </w:pPr>
      <w:r>
        <w:rPr>
          <w:rStyle w:val="Appelnotedebasdep"/>
        </w:rPr>
        <w:footnoteRef/>
      </w:r>
      <w:r w:rsidRPr="008B4AD2">
        <w:t xml:space="preserve"> </w:t>
      </w:r>
      <w:r w:rsidRPr="008B4AD2">
        <w:tab/>
      </w:r>
      <w:r w:rsidRPr="009F7A40">
        <w:rPr>
          <w:i/>
          <w:iCs/>
        </w:rPr>
        <w:t>Bombardier</w:t>
      </w:r>
      <w:r w:rsidRPr="009F7A40">
        <w:t xml:space="preserve">, </w:t>
      </w:r>
      <w:r w:rsidR="008B4AD2" w:rsidRPr="009F7A40">
        <w:rPr>
          <w:i/>
          <w:iCs/>
        </w:rPr>
        <w:t>supra</w:t>
      </w:r>
      <w:r w:rsidRPr="009F7A40">
        <w:t xml:space="preserve"> note 57.</w:t>
      </w:r>
    </w:p>
  </w:footnote>
  <w:footnote w:id="115">
    <w:p w14:paraId="06AA7DFC" w14:textId="36877582" w:rsidR="001618D5" w:rsidRPr="009230A6" w:rsidRDefault="001834C5">
      <w:pPr>
        <w:pStyle w:val="Notedebasdepage"/>
      </w:pPr>
      <w:r>
        <w:rPr>
          <w:rStyle w:val="Appelnotedebasdep"/>
        </w:rPr>
        <w:footnoteRef/>
      </w:r>
      <w:r w:rsidRPr="009230A6">
        <w:t xml:space="preserve"> </w:t>
      </w:r>
      <w:r w:rsidRPr="009230A6">
        <w:tab/>
      </w:r>
      <w:r w:rsidRPr="009230A6">
        <w:rPr>
          <w:i/>
          <w:iCs/>
        </w:rPr>
        <w:t>Ward</w:t>
      </w:r>
      <w:r w:rsidRPr="009230A6">
        <w:t xml:space="preserve">, </w:t>
      </w:r>
      <w:r w:rsidR="008B4AD2" w:rsidRPr="009230A6">
        <w:rPr>
          <w:i/>
          <w:iCs/>
        </w:rPr>
        <w:t>supra</w:t>
      </w:r>
      <w:r w:rsidRPr="009230A6">
        <w:t xml:space="preserve"> note 61</w:t>
      </w:r>
      <w:r w:rsidR="008B4AD2" w:rsidRPr="009230A6">
        <w:t xml:space="preserve"> at</w:t>
      </w:r>
      <w:r w:rsidRPr="009230A6">
        <w:t xml:space="preserve"> par</w:t>
      </w:r>
      <w:r w:rsidR="008B4AD2" w:rsidRPr="009230A6">
        <w:t>a</w:t>
      </w:r>
      <w:r w:rsidRPr="009230A6">
        <w:t>. 139.</w:t>
      </w:r>
    </w:p>
  </w:footnote>
  <w:footnote w:id="116">
    <w:p w14:paraId="0D8A190A" w14:textId="2E4CBE4D" w:rsidR="001569E1" w:rsidRPr="008B4AD2" w:rsidRDefault="001569E1" w:rsidP="001569E1">
      <w:pPr>
        <w:pStyle w:val="Notedebasdepage"/>
      </w:pPr>
      <w:r w:rsidRPr="008B4AD2">
        <w:rPr>
          <w:rStyle w:val="Appelnotedebasdep"/>
          <w:lang w:val="en-CA"/>
        </w:rPr>
        <w:footnoteRef/>
      </w:r>
      <w:r w:rsidRPr="009230A6">
        <w:t xml:space="preserve"> </w:t>
      </w:r>
      <w:r w:rsidRPr="009230A6">
        <w:tab/>
        <w:t xml:space="preserve">Daniel </w:t>
      </w:r>
      <w:r w:rsidR="008B4AD2" w:rsidRPr="009230A6">
        <w:t>Proulx</w:t>
      </w:r>
      <w:r w:rsidRPr="009230A6">
        <w:t>,</w:t>
      </w:r>
      <w:r w:rsidR="008B4AD2" w:rsidRPr="009230A6">
        <w:t xml:space="preserve"> “</w:t>
      </w:r>
      <w:r w:rsidRPr="009230A6">
        <w:t>Le droit à l’égalité : pierre angulaire de la Charte québécoise?</w:t>
      </w:r>
      <w:r w:rsidR="008B4AD2" w:rsidRPr="009230A6">
        <w:t>”</w:t>
      </w:r>
      <w:r w:rsidRPr="009230A6">
        <w:t xml:space="preserve"> </w:t>
      </w:r>
      <w:r w:rsidRPr="008B4AD2">
        <w:t xml:space="preserve">(2015) </w:t>
      </w:r>
      <w:r w:rsidRPr="00235815">
        <w:rPr>
          <w:i/>
          <w:iCs/>
        </w:rPr>
        <w:t>R.Q.D.I.</w:t>
      </w:r>
      <w:r w:rsidRPr="008B4AD2">
        <w:t xml:space="preserve"> (</w:t>
      </w:r>
      <w:r w:rsidR="008B4AD2" w:rsidRPr="008B4AD2">
        <w:t>special edition</w:t>
      </w:r>
      <w:r w:rsidRPr="008B4AD2">
        <w:t>) 61</w:t>
      </w:r>
      <w:r w:rsidR="008B4AD2" w:rsidRPr="008B4AD2">
        <w:t xml:space="preserve"> at </w:t>
      </w:r>
      <w:r w:rsidRPr="008B4AD2">
        <w:t>69.</w:t>
      </w:r>
    </w:p>
  </w:footnote>
  <w:footnote w:id="117">
    <w:p w14:paraId="7B9BC925" w14:textId="00CD2375" w:rsidR="001569E1" w:rsidRDefault="001569E1" w:rsidP="001569E1">
      <w:pPr>
        <w:pStyle w:val="Notedebasdepage"/>
      </w:pPr>
      <w:r>
        <w:rPr>
          <w:rStyle w:val="Appelnotedebasdep"/>
        </w:rPr>
        <w:footnoteRef/>
      </w:r>
      <w:r>
        <w:t xml:space="preserve"> </w:t>
      </w:r>
      <w:r>
        <w:tab/>
      </w:r>
      <w:r w:rsidRPr="009F7A40">
        <w:rPr>
          <w:i/>
          <w:iCs/>
        </w:rPr>
        <w:t>R.O. c. Ministre de l’Emploi et de la Solidarité sociale</w:t>
      </w:r>
      <w:r w:rsidRPr="009F7A40">
        <w:t>, 2021 QCCA 1185</w:t>
      </w:r>
      <w:r w:rsidR="008B4AD2" w:rsidRPr="009F7A40">
        <w:t xml:space="preserve"> at</w:t>
      </w:r>
      <w:r w:rsidRPr="009F7A40">
        <w:t xml:space="preserve"> par</w:t>
      </w:r>
      <w:r w:rsidR="008B4AD2" w:rsidRPr="009F7A40">
        <w:t>a</w:t>
      </w:r>
      <w:r w:rsidRPr="009F7A40">
        <w:t>.</w:t>
      </w:r>
      <w:r w:rsidRPr="001618D5">
        <w:t xml:space="preserve"> 49.</w:t>
      </w:r>
    </w:p>
  </w:footnote>
  <w:footnote w:id="118">
    <w:p w14:paraId="03D95818" w14:textId="76648708" w:rsidR="001569E1" w:rsidRPr="008B4AD2" w:rsidRDefault="001569E1" w:rsidP="001569E1">
      <w:pPr>
        <w:pStyle w:val="Notedebasdepage"/>
        <w:rPr>
          <w:lang w:val="en-CA"/>
        </w:rPr>
      </w:pPr>
      <w:r>
        <w:rPr>
          <w:rStyle w:val="Appelnotedebasdep"/>
        </w:rPr>
        <w:footnoteRef/>
      </w:r>
      <w:r>
        <w:t xml:space="preserve"> </w:t>
      </w:r>
      <w:r>
        <w:tab/>
      </w:r>
      <w:r w:rsidRPr="009F7A40">
        <w:rPr>
          <w:i/>
          <w:iCs/>
        </w:rPr>
        <w:t>Procureure générale du Québec c. Association des juristes de l’État</w:t>
      </w:r>
      <w:r w:rsidRPr="009F7A40">
        <w:t>, 2018 QCCA 1763</w:t>
      </w:r>
      <w:r w:rsidR="008B4AD2" w:rsidRPr="009F7A40">
        <w:t xml:space="preserve"> at</w:t>
      </w:r>
      <w:r w:rsidRPr="009F7A40">
        <w:t xml:space="preserve"> par</w:t>
      </w:r>
      <w:r w:rsidR="008B4AD2" w:rsidRPr="009F7A40">
        <w:t>as</w:t>
      </w:r>
      <w:r w:rsidRPr="009F7A40">
        <w:t>.</w:t>
      </w:r>
      <w:r w:rsidRPr="001618D5">
        <w:t xml:space="preserve"> </w:t>
      </w:r>
      <w:r w:rsidRPr="008B4AD2">
        <w:rPr>
          <w:lang w:val="en-CA"/>
        </w:rPr>
        <w:t xml:space="preserve">77 </w:t>
      </w:r>
      <w:r w:rsidR="008B4AD2" w:rsidRPr="008B4AD2">
        <w:rPr>
          <w:lang w:val="en-CA"/>
        </w:rPr>
        <w:t xml:space="preserve">to </w:t>
      </w:r>
      <w:r w:rsidRPr="008B4AD2">
        <w:rPr>
          <w:lang w:val="en-CA"/>
        </w:rPr>
        <w:t>80</w:t>
      </w:r>
    </w:p>
  </w:footnote>
  <w:footnote w:id="119">
    <w:p w14:paraId="2DBF1978" w14:textId="569E3B63" w:rsidR="001618D5" w:rsidRPr="008B4AD2" w:rsidRDefault="001834C5">
      <w:pPr>
        <w:pStyle w:val="Notedebasdepage"/>
        <w:rPr>
          <w:lang w:val="en-CA"/>
        </w:rPr>
      </w:pPr>
      <w:r>
        <w:rPr>
          <w:rStyle w:val="Appelnotedebasdep"/>
        </w:rPr>
        <w:footnoteRef/>
      </w:r>
      <w:r w:rsidRPr="008B4AD2">
        <w:rPr>
          <w:lang w:val="en-CA"/>
        </w:rPr>
        <w:t xml:space="preserve"> </w:t>
      </w:r>
      <w:r w:rsidRPr="008B4AD2">
        <w:rPr>
          <w:lang w:val="en-CA"/>
        </w:rPr>
        <w:tab/>
      </w:r>
      <w:r w:rsidRPr="009F7A40">
        <w:rPr>
          <w:i/>
          <w:iCs/>
          <w:lang w:val="en-CA"/>
        </w:rPr>
        <w:t>Bombardier</w:t>
      </w:r>
      <w:r w:rsidRPr="009F7A40">
        <w:rPr>
          <w:lang w:val="en-CA"/>
        </w:rPr>
        <w:t xml:space="preserve">, </w:t>
      </w:r>
      <w:r w:rsidR="008B4AD2" w:rsidRPr="009F7A40">
        <w:rPr>
          <w:i/>
          <w:iCs/>
          <w:lang w:val="en-CA"/>
        </w:rPr>
        <w:t>supra</w:t>
      </w:r>
      <w:r w:rsidRPr="009F7A40">
        <w:rPr>
          <w:lang w:val="en-CA"/>
        </w:rPr>
        <w:t xml:space="preserve"> note 57.</w:t>
      </w:r>
    </w:p>
  </w:footnote>
  <w:footnote w:id="120">
    <w:p w14:paraId="1FE77ADE" w14:textId="28BE2797" w:rsidR="00D704D4" w:rsidRPr="008B4AD2" w:rsidRDefault="00D704D4" w:rsidP="00D704D4">
      <w:pPr>
        <w:pStyle w:val="Notedebasdepage"/>
        <w:rPr>
          <w:lang w:val="en-CA"/>
        </w:rPr>
      </w:pPr>
      <w:r>
        <w:rPr>
          <w:rStyle w:val="Appelnotedebasdep"/>
        </w:rPr>
        <w:footnoteRef/>
      </w:r>
      <w:r w:rsidRPr="008B4AD2">
        <w:rPr>
          <w:lang w:val="en-CA"/>
        </w:rPr>
        <w:t xml:space="preserve"> </w:t>
      </w:r>
      <w:r w:rsidRPr="008B4AD2">
        <w:rPr>
          <w:lang w:val="en-CA"/>
        </w:rPr>
        <w:tab/>
      </w:r>
      <w:r w:rsidRPr="009F7A40">
        <w:rPr>
          <w:i/>
          <w:iCs/>
          <w:lang w:val="en-CA"/>
        </w:rPr>
        <w:t>I</w:t>
      </w:r>
      <w:r w:rsidR="008B4AD2" w:rsidRPr="009F7A40">
        <w:rPr>
          <w:i/>
          <w:iCs/>
          <w:lang w:val="en-CA"/>
        </w:rPr>
        <w:t>bi</w:t>
      </w:r>
      <w:r w:rsidRPr="009F7A40">
        <w:rPr>
          <w:i/>
          <w:iCs/>
          <w:lang w:val="en-CA"/>
        </w:rPr>
        <w:t>d</w:t>
      </w:r>
      <w:r w:rsidR="008B4AD2" w:rsidRPr="009F7A40">
        <w:rPr>
          <w:lang w:val="en-CA"/>
        </w:rPr>
        <w:t xml:space="preserve">. at </w:t>
      </w:r>
      <w:r w:rsidRPr="009F7A40">
        <w:rPr>
          <w:lang w:val="en-CA"/>
        </w:rPr>
        <w:t>par</w:t>
      </w:r>
      <w:r w:rsidR="008B4AD2" w:rsidRPr="009F7A40">
        <w:rPr>
          <w:lang w:val="en-CA"/>
        </w:rPr>
        <w:t>as</w:t>
      </w:r>
      <w:r w:rsidRPr="009F7A40">
        <w:rPr>
          <w:lang w:val="en-CA"/>
        </w:rPr>
        <w:t>.</w:t>
      </w:r>
      <w:r w:rsidRPr="008B4AD2">
        <w:rPr>
          <w:lang w:val="en-CA"/>
        </w:rPr>
        <w:t xml:space="preserve"> </w:t>
      </w:r>
      <w:r w:rsidRPr="009F7A40">
        <w:rPr>
          <w:lang w:val="en-CA"/>
        </w:rPr>
        <w:t xml:space="preserve">36 </w:t>
      </w:r>
      <w:r w:rsidR="008B4AD2" w:rsidRPr="009F7A40">
        <w:rPr>
          <w:lang w:val="en-CA"/>
        </w:rPr>
        <w:t xml:space="preserve">and </w:t>
      </w:r>
      <w:r w:rsidRPr="009F7A40">
        <w:rPr>
          <w:lang w:val="en-CA"/>
        </w:rPr>
        <w:t>37.</w:t>
      </w:r>
    </w:p>
  </w:footnote>
  <w:footnote w:id="121">
    <w:p w14:paraId="2FD8FCB9" w14:textId="1F6768E5" w:rsidR="001618D5" w:rsidRPr="008B4AD2" w:rsidRDefault="001834C5">
      <w:pPr>
        <w:pStyle w:val="Notedebasdepage"/>
        <w:rPr>
          <w:lang w:val="en-CA"/>
        </w:rPr>
      </w:pPr>
      <w:r>
        <w:rPr>
          <w:rStyle w:val="Appelnotedebasdep"/>
        </w:rPr>
        <w:footnoteRef/>
      </w:r>
      <w:r w:rsidRPr="009230A6">
        <w:rPr>
          <w:lang w:val="en-CA"/>
        </w:rPr>
        <w:t xml:space="preserve"> </w:t>
      </w:r>
      <w:r w:rsidRPr="009230A6">
        <w:rPr>
          <w:i/>
          <w:iCs/>
          <w:lang w:val="en-CA"/>
        </w:rPr>
        <w:tab/>
        <w:t>I</w:t>
      </w:r>
      <w:r w:rsidR="008B4AD2" w:rsidRPr="009230A6">
        <w:rPr>
          <w:i/>
          <w:iCs/>
          <w:lang w:val="en-CA"/>
        </w:rPr>
        <w:t>bi</w:t>
      </w:r>
      <w:r w:rsidRPr="009230A6">
        <w:rPr>
          <w:i/>
          <w:iCs/>
          <w:lang w:val="en-CA"/>
        </w:rPr>
        <w:t>d</w:t>
      </w:r>
      <w:r w:rsidR="006A767F" w:rsidRPr="009230A6">
        <w:rPr>
          <w:lang w:val="en-CA"/>
        </w:rPr>
        <w:t>.</w:t>
      </w:r>
      <w:r w:rsidR="008B4AD2" w:rsidRPr="009230A6">
        <w:rPr>
          <w:lang w:val="en-CA"/>
        </w:rPr>
        <w:t xml:space="preserve"> at </w:t>
      </w:r>
      <w:r w:rsidR="006A767F" w:rsidRPr="009230A6">
        <w:rPr>
          <w:lang w:val="en-CA"/>
        </w:rPr>
        <w:t>par</w:t>
      </w:r>
      <w:r w:rsidR="008B4AD2" w:rsidRPr="009230A6">
        <w:rPr>
          <w:lang w:val="en-CA"/>
        </w:rPr>
        <w:t>a</w:t>
      </w:r>
      <w:r w:rsidR="006A767F" w:rsidRPr="009230A6">
        <w:rPr>
          <w:lang w:val="en-CA"/>
        </w:rPr>
        <w:t xml:space="preserve">. </w:t>
      </w:r>
      <w:r w:rsidR="006A767F" w:rsidRPr="008B4AD2">
        <w:rPr>
          <w:lang w:val="en-CA"/>
        </w:rPr>
        <w:t xml:space="preserve">37. </w:t>
      </w:r>
      <w:r w:rsidR="008B4AD2" w:rsidRPr="008B4AD2">
        <w:rPr>
          <w:lang w:val="en-CA"/>
        </w:rPr>
        <w:t>It should be note</w:t>
      </w:r>
      <w:r w:rsidR="0071626C">
        <w:rPr>
          <w:lang w:val="en-CA"/>
        </w:rPr>
        <w:t>d</w:t>
      </w:r>
      <w:r w:rsidR="008B4AD2" w:rsidRPr="008B4AD2">
        <w:rPr>
          <w:lang w:val="en-CA"/>
        </w:rPr>
        <w:t xml:space="preserve"> that the </w:t>
      </w:r>
      <w:r w:rsidR="008B4AD2">
        <w:rPr>
          <w:lang w:val="en-CA"/>
        </w:rPr>
        <w:t xml:space="preserve">recent </w:t>
      </w:r>
      <w:r w:rsidR="0071626C">
        <w:rPr>
          <w:lang w:val="en-CA"/>
        </w:rPr>
        <w:t xml:space="preserve">legislative </w:t>
      </w:r>
      <w:r w:rsidR="008B4AD2" w:rsidRPr="008B4AD2">
        <w:rPr>
          <w:lang w:val="en-CA"/>
        </w:rPr>
        <w:t xml:space="preserve">amendment to </w:t>
      </w:r>
      <w:r w:rsidR="0071626C">
        <w:rPr>
          <w:lang w:val="en-CA"/>
        </w:rPr>
        <w:t xml:space="preserve">section </w:t>
      </w:r>
      <w:r w:rsidR="008B4AD2" w:rsidRPr="008B4AD2">
        <w:rPr>
          <w:lang w:val="en-CA"/>
        </w:rPr>
        <w:t xml:space="preserve">9.1 of </w:t>
      </w:r>
      <w:r w:rsidR="008B4AD2">
        <w:rPr>
          <w:lang w:val="en-CA"/>
        </w:rPr>
        <w:t xml:space="preserve">the </w:t>
      </w:r>
      <w:r w:rsidR="008B4AD2" w:rsidRPr="008B4AD2">
        <w:rPr>
          <w:i/>
          <w:iCs/>
          <w:lang w:val="en-CA"/>
        </w:rPr>
        <w:t>Charter</w:t>
      </w:r>
      <w:r w:rsidR="008B4AD2" w:rsidRPr="008B4AD2">
        <w:rPr>
          <w:lang w:val="en-CA"/>
        </w:rPr>
        <w:t xml:space="preserve"> has broadened the possible justifications for discriminatory conduct, but </w:t>
      </w:r>
      <w:r w:rsidR="008B4AD2">
        <w:rPr>
          <w:lang w:val="en-CA"/>
        </w:rPr>
        <w:t xml:space="preserve">this </w:t>
      </w:r>
      <w:r w:rsidR="008B4AD2" w:rsidRPr="008B4AD2">
        <w:rPr>
          <w:lang w:val="en-CA"/>
        </w:rPr>
        <w:t xml:space="preserve">amendment has no effect here because the events </w:t>
      </w:r>
      <w:r w:rsidR="0071626C">
        <w:rPr>
          <w:lang w:val="en-CA"/>
        </w:rPr>
        <w:t>underlying</w:t>
      </w:r>
      <w:r w:rsidR="008B4AD2" w:rsidRPr="008B4AD2">
        <w:rPr>
          <w:lang w:val="en-CA"/>
        </w:rPr>
        <w:t xml:space="preserve"> this dispute took place before</w:t>
      </w:r>
      <w:r w:rsidR="0071626C">
        <w:rPr>
          <w:lang w:val="en-CA"/>
        </w:rPr>
        <w:t xml:space="preserve"> this amendment</w:t>
      </w:r>
      <w:r w:rsidR="008B4AD2" w:rsidRPr="008B4AD2">
        <w:rPr>
          <w:lang w:val="en-CA"/>
        </w:rPr>
        <w:t>.</w:t>
      </w:r>
    </w:p>
  </w:footnote>
  <w:footnote w:id="122">
    <w:p w14:paraId="32D0CC6D" w14:textId="18336737" w:rsidR="009659C7" w:rsidRPr="005A498B" w:rsidRDefault="009659C7" w:rsidP="009659C7">
      <w:pPr>
        <w:pStyle w:val="Notedebasdepage"/>
        <w:rPr>
          <w:lang w:val="en-CA"/>
        </w:rPr>
      </w:pPr>
      <w:r>
        <w:rPr>
          <w:rStyle w:val="Appelnotedebasdep"/>
        </w:rPr>
        <w:footnoteRef/>
      </w:r>
      <w:r w:rsidRPr="00D51BB3">
        <w:rPr>
          <w:lang w:val="en-CA"/>
        </w:rPr>
        <w:t xml:space="preserve"> </w:t>
      </w:r>
      <w:r w:rsidRPr="00D51BB3">
        <w:rPr>
          <w:lang w:val="en-CA"/>
        </w:rPr>
        <w:tab/>
      </w:r>
      <w:r w:rsidR="0071626C" w:rsidRPr="009F7A40">
        <w:rPr>
          <w:i/>
          <w:iCs/>
          <w:lang w:val="en-CA"/>
        </w:rPr>
        <w:t>Ibid</w:t>
      </w:r>
      <w:r w:rsidR="0071626C" w:rsidRPr="009F7A40">
        <w:rPr>
          <w:lang w:val="en-CA"/>
        </w:rPr>
        <w:t>. at para.</w:t>
      </w:r>
      <w:r w:rsidR="0071626C" w:rsidRPr="005A498B">
        <w:rPr>
          <w:lang w:val="en-CA"/>
        </w:rPr>
        <w:t xml:space="preserve"> 58.</w:t>
      </w:r>
    </w:p>
  </w:footnote>
  <w:footnote w:id="123">
    <w:p w14:paraId="510C88C5" w14:textId="58C8B708" w:rsidR="009659C7" w:rsidRPr="005A498B" w:rsidRDefault="009659C7" w:rsidP="009659C7">
      <w:pPr>
        <w:pStyle w:val="Notedebasdepage"/>
        <w:rPr>
          <w:lang w:val="en-CA"/>
        </w:rPr>
      </w:pPr>
      <w:r>
        <w:rPr>
          <w:rStyle w:val="Appelnotedebasdep"/>
        </w:rPr>
        <w:footnoteRef/>
      </w:r>
      <w:r w:rsidRPr="009A3173">
        <w:rPr>
          <w:lang w:val="en-CA"/>
        </w:rPr>
        <w:t xml:space="preserve"> </w:t>
      </w:r>
      <w:r w:rsidRPr="009A3173">
        <w:rPr>
          <w:lang w:val="en-CA"/>
        </w:rPr>
        <w:tab/>
      </w:r>
      <w:r w:rsidR="0071626C" w:rsidRPr="006867BE">
        <w:rPr>
          <w:i/>
          <w:iCs/>
          <w:lang w:val="en-CA"/>
        </w:rPr>
        <w:t>Caron</w:t>
      </w:r>
      <w:r w:rsidR="0071626C" w:rsidRPr="006867BE">
        <w:rPr>
          <w:lang w:val="en-CA"/>
        </w:rPr>
        <w:t xml:space="preserve">, </w:t>
      </w:r>
      <w:r w:rsidR="0071626C" w:rsidRPr="006867BE">
        <w:rPr>
          <w:i/>
          <w:iCs/>
          <w:lang w:val="en-CA"/>
        </w:rPr>
        <w:t>supra</w:t>
      </w:r>
      <w:r w:rsidR="0071626C" w:rsidRPr="006867BE">
        <w:rPr>
          <w:lang w:val="en-CA"/>
        </w:rPr>
        <w:t xml:space="preserve"> note 68 at paras. </w:t>
      </w:r>
      <w:r w:rsidR="0071626C" w:rsidRPr="009F7A40">
        <w:rPr>
          <w:lang w:val="en-CA"/>
        </w:rPr>
        <w:t>30 and 50.</w:t>
      </w:r>
      <w:r w:rsidR="0071626C" w:rsidRPr="008B4AD2">
        <w:rPr>
          <w:lang w:val="en-CA"/>
        </w:rPr>
        <w:t xml:space="preserve"> </w:t>
      </w:r>
      <w:r w:rsidR="0071626C" w:rsidRPr="005A498B">
        <w:rPr>
          <w:lang w:val="en-CA"/>
        </w:rPr>
        <w:t xml:space="preserve">In paragraph 113 of that judgment, the Court even adds that </w:t>
      </w:r>
      <w:r w:rsidR="0071626C">
        <w:rPr>
          <w:lang w:val="en-CA"/>
        </w:rPr>
        <w:t>“</w:t>
      </w:r>
      <w:r w:rsidR="0071626C" w:rsidRPr="005A498B">
        <w:rPr>
          <w:lang w:val="en-CA"/>
        </w:rPr>
        <w:t>the duty to accommodate ex</w:t>
      </w:r>
      <w:r w:rsidR="0071626C">
        <w:rPr>
          <w:lang w:val="en-CA"/>
        </w:rPr>
        <w:t xml:space="preserve">ists by virtue of the Quebec </w:t>
      </w:r>
      <w:r w:rsidR="0071626C" w:rsidRPr="005A498B">
        <w:rPr>
          <w:i/>
          <w:iCs/>
          <w:lang w:val="en-CA"/>
        </w:rPr>
        <w:t>Charter</w:t>
      </w:r>
      <w:r w:rsidR="0071626C">
        <w:rPr>
          <w:lang w:val="en-CA"/>
        </w:rPr>
        <w:t>”</w:t>
      </w:r>
      <w:r w:rsidR="0071626C" w:rsidRPr="005A498B">
        <w:rPr>
          <w:lang w:val="en-CA"/>
        </w:rPr>
        <w:t>.</w:t>
      </w:r>
    </w:p>
  </w:footnote>
  <w:footnote w:id="124">
    <w:p w14:paraId="7C77FFF8" w14:textId="21C53FDD" w:rsidR="00D704D4" w:rsidRPr="005A498B" w:rsidRDefault="00D704D4" w:rsidP="00D704D4">
      <w:pPr>
        <w:pStyle w:val="Notedebasdepage"/>
        <w:rPr>
          <w:lang w:val="en-CA"/>
        </w:rPr>
      </w:pPr>
      <w:r>
        <w:rPr>
          <w:rStyle w:val="Appelnotedebasdep"/>
        </w:rPr>
        <w:footnoteRef/>
      </w:r>
      <w:r w:rsidRPr="005A498B">
        <w:rPr>
          <w:lang w:val="en-CA"/>
        </w:rPr>
        <w:t xml:space="preserve"> </w:t>
      </w:r>
      <w:r w:rsidRPr="005A498B">
        <w:rPr>
          <w:lang w:val="en-CA"/>
        </w:rPr>
        <w:tab/>
      </w:r>
      <w:r w:rsidRPr="009F7A40">
        <w:rPr>
          <w:i/>
          <w:iCs/>
          <w:lang w:val="en-CA"/>
        </w:rPr>
        <w:t>I</w:t>
      </w:r>
      <w:r w:rsidR="005A498B" w:rsidRPr="009F7A40">
        <w:rPr>
          <w:i/>
          <w:iCs/>
          <w:lang w:val="en-CA"/>
        </w:rPr>
        <w:t>bi</w:t>
      </w:r>
      <w:r w:rsidRPr="009F7A40">
        <w:rPr>
          <w:i/>
          <w:iCs/>
          <w:lang w:val="en-CA"/>
        </w:rPr>
        <w:t>d</w:t>
      </w:r>
      <w:r w:rsidRPr="009F7A40">
        <w:rPr>
          <w:lang w:val="en-CA"/>
        </w:rPr>
        <w:t>.</w:t>
      </w:r>
      <w:r w:rsidR="005A498B" w:rsidRPr="009F7A40">
        <w:rPr>
          <w:lang w:val="en-CA"/>
        </w:rPr>
        <w:t xml:space="preserve"> at </w:t>
      </w:r>
      <w:r w:rsidRPr="009F7A40">
        <w:rPr>
          <w:lang w:val="en-CA"/>
        </w:rPr>
        <w:t>par</w:t>
      </w:r>
      <w:r w:rsidR="005A498B" w:rsidRPr="009F7A40">
        <w:rPr>
          <w:lang w:val="en-CA"/>
        </w:rPr>
        <w:t>a</w:t>
      </w:r>
      <w:r w:rsidRPr="009F7A40">
        <w:rPr>
          <w:lang w:val="en-CA"/>
        </w:rPr>
        <w:t>.</w:t>
      </w:r>
      <w:r w:rsidRPr="005A498B">
        <w:rPr>
          <w:lang w:val="en-CA"/>
        </w:rPr>
        <w:t xml:space="preserve"> 25.</w:t>
      </w:r>
    </w:p>
  </w:footnote>
  <w:footnote w:id="125">
    <w:p w14:paraId="624AEAA1" w14:textId="795EAF37" w:rsidR="007B2A89" w:rsidRPr="00282C37" w:rsidRDefault="001834C5">
      <w:pPr>
        <w:pStyle w:val="Notedebasdepage"/>
        <w:rPr>
          <w:lang w:val="en-CA"/>
        </w:rPr>
      </w:pPr>
      <w:r>
        <w:rPr>
          <w:rStyle w:val="Appelnotedebasdep"/>
        </w:rPr>
        <w:footnoteRef/>
      </w:r>
      <w:r w:rsidRPr="00282C37">
        <w:rPr>
          <w:lang w:val="en-CA"/>
        </w:rPr>
        <w:t xml:space="preserve"> </w:t>
      </w:r>
      <w:r w:rsidRPr="00282C37">
        <w:rPr>
          <w:i/>
          <w:iCs/>
          <w:lang w:val="en-CA"/>
        </w:rPr>
        <w:tab/>
      </w:r>
      <w:r w:rsidRPr="009F7A40">
        <w:rPr>
          <w:i/>
          <w:iCs/>
          <w:lang w:val="en-CA"/>
        </w:rPr>
        <w:t>I</w:t>
      </w:r>
      <w:r w:rsidR="00282C37" w:rsidRPr="009F7A40">
        <w:rPr>
          <w:i/>
          <w:iCs/>
          <w:lang w:val="en-CA"/>
        </w:rPr>
        <w:t>bi</w:t>
      </w:r>
      <w:r w:rsidRPr="009F7A40">
        <w:rPr>
          <w:i/>
          <w:iCs/>
          <w:lang w:val="en-CA"/>
        </w:rPr>
        <w:t>d</w:t>
      </w:r>
      <w:r w:rsidRPr="009F7A40">
        <w:rPr>
          <w:lang w:val="en-CA"/>
        </w:rPr>
        <w:t>.</w:t>
      </w:r>
      <w:r w:rsidR="00282C37" w:rsidRPr="009F7A40">
        <w:rPr>
          <w:lang w:val="en-CA"/>
        </w:rPr>
        <w:t xml:space="preserve"> at</w:t>
      </w:r>
      <w:r w:rsidRPr="009F7A40">
        <w:rPr>
          <w:lang w:val="en-CA"/>
        </w:rPr>
        <w:t xml:space="preserve"> par</w:t>
      </w:r>
      <w:r w:rsidR="00282C37" w:rsidRPr="009F7A40">
        <w:rPr>
          <w:lang w:val="en-CA"/>
        </w:rPr>
        <w:t>a</w:t>
      </w:r>
      <w:r w:rsidRPr="009F7A40">
        <w:rPr>
          <w:lang w:val="en-CA"/>
        </w:rPr>
        <w:t>.</w:t>
      </w:r>
      <w:r w:rsidRPr="00282C37">
        <w:rPr>
          <w:lang w:val="en-CA"/>
        </w:rPr>
        <w:t xml:space="preserve"> 92.</w:t>
      </w:r>
    </w:p>
  </w:footnote>
  <w:footnote w:id="126">
    <w:p w14:paraId="145495B0" w14:textId="007DF993" w:rsidR="00D961EF" w:rsidRPr="0013463A" w:rsidRDefault="00D961EF" w:rsidP="00D961EF">
      <w:pPr>
        <w:pStyle w:val="Notedebasdepage"/>
      </w:pPr>
      <w:r>
        <w:rPr>
          <w:rStyle w:val="Appelnotedebasdep"/>
        </w:rPr>
        <w:footnoteRef/>
      </w:r>
      <w:r w:rsidRPr="00316DD4">
        <w:rPr>
          <w:lang w:val="en-CA"/>
        </w:rPr>
        <w:t xml:space="preserve"> </w:t>
      </w:r>
      <w:r w:rsidRPr="00316DD4">
        <w:rPr>
          <w:lang w:val="en-CA"/>
        </w:rPr>
        <w:tab/>
      </w:r>
      <w:r w:rsidR="00282C37" w:rsidRPr="00316DD4">
        <w:rPr>
          <w:i/>
          <w:iCs/>
          <w:lang w:val="en-CA"/>
        </w:rPr>
        <w:t>McGill University Health Centre (Montreal General Hospital) v. Syndicat des employés de l'Hôpital général de Montréal</w:t>
      </w:r>
      <w:r w:rsidRPr="00316DD4">
        <w:rPr>
          <w:lang w:val="en-CA"/>
        </w:rPr>
        <w:t>, 2007 </w:t>
      </w:r>
      <w:r w:rsidR="00282C37" w:rsidRPr="00316DD4">
        <w:rPr>
          <w:lang w:val="en-CA"/>
        </w:rPr>
        <w:t xml:space="preserve">SCC </w:t>
      </w:r>
      <w:r w:rsidRPr="00316DD4">
        <w:rPr>
          <w:lang w:val="en-CA"/>
        </w:rPr>
        <w:t>4, [2007] 1 </w:t>
      </w:r>
      <w:r w:rsidR="00316DD4" w:rsidRPr="00316DD4">
        <w:rPr>
          <w:lang w:val="en-CA"/>
        </w:rPr>
        <w:t>SCR</w:t>
      </w:r>
      <w:r w:rsidRPr="00316DD4">
        <w:rPr>
          <w:lang w:val="en-CA"/>
        </w:rPr>
        <w:t> 161</w:t>
      </w:r>
      <w:r w:rsidR="00316DD4" w:rsidRPr="00316DD4">
        <w:rPr>
          <w:lang w:val="en-CA"/>
        </w:rPr>
        <w:t xml:space="preserve"> at</w:t>
      </w:r>
      <w:r w:rsidRPr="00316DD4">
        <w:rPr>
          <w:lang w:val="en-CA"/>
        </w:rPr>
        <w:t xml:space="preserve"> par</w:t>
      </w:r>
      <w:r w:rsidR="00316DD4">
        <w:rPr>
          <w:lang w:val="en-CA"/>
        </w:rPr>
        <w:t>a</w:t>
      </w:r>
      <w:r w:rsidRPr="00316DD4">
        <w:rPr>
          <w:lang w:val="en-CA"/>
        </w:rPr>
        <w:t xml:space="preserve">. </w:t>
      </w:r>
      <w:r w:rsidRPr="0013463A">
        <w:t>22.</w:t>
      </w:r>
    </w:p>
  </w:footnote>
  <w:footnote w:id="127">
    <w:p w14:paraId="67CC28B2" w14:textId="32B33363" w:rsidR="00D961EF" w:rsidRPr="0013463A" w:rsidRDefault="00D961EF" w:rsidP="00D961EF">
      <w:pPr>
        <w:pStyle w:val="Notedebasdepage"/>
        <w:rPr>
          <w:lang w:val="en-CA"/>
        </w:rPr>
      </w:pPr>
      <w:r>
        <w:rPr>
          <w:rStyle w:val="Appelnotedebasdep"/>
        </w:rPr>
        <w:footnoteRef/>
      </w:r>
      <w:r w:rsidRPr="000A6176">
        <w:t xml:space="preserve"> </w:t>
      </w:r>
      <w:r w:rsidRPr="000A6176">
        <w:tab/>
      </w:r>
      <w:r w:rsidRPr="000A6176">
        <w:rPr>
          <w:i/>
          <w:iCs/>
        </w:rPr>
        <w:t>Canada (</w:t>
      </w:r>
      <w:r w:rsidR="00EA72F2" w:rsidRPr="000A6176">
        <w:rPr>
          <w:i/>
          <w:iCs/>
        </w:rPr>
        <w:t>Attorney General</w:t>
      </w:r>
      <w:r w:rsidRPr="000A6176">
        <w:rPr>
          <w:i/>
          <w:iCs/>
        </w:rPr>
        <w:t xml:space="preserve">) </w:t>
      </w:r>
      <w:r w:rsidR="00EA72F2" w:rsidRPr="000A6176">
        <w:rPr>
          <w:i/>
          <w:iCs/>
        </w:rPr>
        <w:t>v</w:t>
      </w:r>
      <w:r w:rsidRPr="000A6176">
        <w:rPr>
          <w:i/>
          <w:iCs/>
        </w:rPr>
        <w:t>. Boulachanis</w:t>
      </w:r>
      <w:r w:rsidRPr="000A6176">
        <w:t xml:space="preserve">, 2019 </w:t>
      </w:r>
      <w:r w:rsidR="00316DD4" w:rsidRPr="000A6176">
        <w:t>FCA</w:t>
      </w:r>
      <w:r w:rsidRPr="000A6176">
        <w:t xml:space="preserve"> 100</w:t>
      </w:r>
      <w:r w:rsidR="00316DD4" w:rsidRPr="000A6176">
        <w:t xml:space="preserve"> at</w:t>
      </w:r>
      <w:r w:rsidRPr="000A6176">
        <w:t xml:space="preserve"> par</w:t>
      </w:r>
      <w:r w:rsidR="00316DD4" w:rsidRPr="000A6176">
        <w:t>a</w:t>
      </w:r>
      <w:r w:rsidRPr="000A6176">
        <w:t xml:space="preserve">. </w:t>
      </w:r>
      <w:r w:rsidRPr="009F7A40">
        <w:t xml:space="preserve">31; </w:t>
      </w:r>
      <w:r w:rsidRPr="009F7A40">
        <w:rPr>
          <w:i/>
          <w:iCs/>
        </w:rPr>
        <w:t>Louis c. Procureur général du Québec</w:t>
      </w:r>
      <w:r w:rsidRPr="009F7A40">
        <w:t>, 2023 QCCQ 190</w:t>
      </w:r>
      <w:r w:rsidR="00316DD4">
        <w:t xml:space="preserve"> at</w:t>
      </w:r>
      <w:r w:rsidRPr="009F7A40">
        <w:t xml:space="preserve"> par</w:t>
      </w:r>
      <w:r w:rsidR="00316DD4">
        <w:t>a</w:t>
      </w:r>
      <w:r w:rsidRPr="009F7A40">
        <w:t>.</w:t>
      </w:r>
      <w:r>
        <w:t xml:space="preserve"> </w:t>
      </w:r>
      <w:r w:rsidRPr="0013463A">
        <w:rPr>
          <w:lang w:val="en-CA"/>
        </w:rPr>
        <w:t>83.</w:t>
      </w:r>
    </w:p>
  </w:footnote>
  <w:footnote w:id="128">
    <w:p w14:paraId="52642EBF" w14:textId="2F97BD18" w:rsidR="007B2A89" w:rsidRPr="00282C37" w:rsidRDefault="001834C5">
      <w:pPr>
        <w:pStyle w:val="Notedebasdepage"/>
        <w:rPr>
          <w:lang w:val="en-CA"/>
        </w:rPr>
      </w:pPr>
      <w:r>
        <w:rPr>
          <w:rStyle w:val="Appelnotedebasdep"/>
        </w:rPr>
        <w:footnoteRef/>
      </w:r>
      <w:r w:rsidRPr="00282C37">
        <w:rPr>
          <w:lang w:val="en-CA"/>
        </w:rPr>
        <w:t xml:space="preserve"> </w:t>
      </w:r>
      <w:r w:rsidRPr="00282C37">
        <w:rPr>
          <w:lang w:val="en-CA"/>
        </w:rPr>
        <w:tab/>
      </w:r>
      <w:r w:rsidRPr="009F7A40">
        <w:rPr>
          <w:i/>
          <w:iCs/>
          <w:lang w:val="en-CA"/>
        </w:rPr>
        <w:t>Caron</w:t>
      </w:r>
      <w:r w:rsidRPr="009F7A40">
        <w:rPr>
          <w:lang w:val="en-CA"/>
        </w:rPr>
        <w:t xml:space="preserve">, </w:t>
      </w:r>
      <w:r w:rsidR="00282C37" w:rsidRPr="009F7A40">
        <w:rPr>
          <w:i/>
          <w:iCs/>
          <w:lang w:val="en-CA"/>
        </w:rPr>
        <w:t>supra</w:t>
      </w:r>
      <w:r w:rsidR="00282C37" w:rsidRPr="009F7A40">
        <w:rPr>
          <w:lang w:val="en-CA"/>
        </w:rPr>
        <w:t xml:space="preserve"> </w:t>
      </w:r>
      <w:r w:rsidRPr="009F7A40">
        <w:rPr>
          <w:lang w:val="en-CA"/>
        </w:rPr>
        <w:t>note 68</w:t>
      </w:r>
      <w:r w:rsidR="00282C37" w:rsidRPr="009F7A40">
        <w:rPr>
          <w:lang w:val="en-CA"/>
        </w:rPr>
        <w:t xml:space="preserve"> at </w:t>
      </w:r>
      <w:r w:rsidRPr="009F7A40">
        <w:rPr>
          <w:lang w:val="en-CA"/>
        </w:rPr>
        <w:t>par</w:t>
      </w:r>
      <w:r w:rsidR="00282C37" w:rsidRPr="009F7A40">
        <w:rPr>
          <w:lang w:val="en-CA"/>
        </w:rPr>
        <w:t>a</w:t>
      </w:r>
      <w:r w:rsidRPr="009F7A40">
        <w:rPr>
          <w:lang w:val="en-CA"/>
        </w:rPr>
        <w:t>.</w:t>
      </w:r>
      <w:r w:rsidRPr="00282C37">
        <w:rPr>
          <w:lang w:val="en-CA"/>
        </w:rPr>
        <w:t xml:space="preserve"> </w:t>
      </w:r>
      <w:r w:rsidRPr="009F7A40">
        <w:rPr>
          <w:lang w:val="en-CA"/>
        </w:rPr>
        <w:t>29 (</w:t>
      </w:r>
      <w:r w:rsidR="00282C37" w:rsidRPr="009F7A40">
        <w:rPr>
          <w:lang w:val="en-CA"/>
        </w:rPr>
        <w:t>reference omitted</w:t>
      </w:r>
      <w:r w:rsidRPr="009F7A40">
        <w:rPr>
          <w:lang w:val="en-CA"/>
        </w:rPr>
        <w:t>).</w:t>
      </w:r>
    </w:p>
  </w:footnote>
  <w:footnote w:id="129">
    <w:p w14:paraId="0EF8CE94" w14:textId="5B562C74" w:rsidR="00D961EF" w:rsidRPr="009230A6" w:rsidRDefault="00D961EF" w:rsidP="00D961EF">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Mille</w:t>
      </w:r>
      <w:r w:rsidRPr="009230A6">
        <w:rPr>
          <w:lang w:val="en-CA"/>
        </w:rPr>
        <w:t xml:space="preserve">r, </w:t>
      </w:r>
      <w:r w:rsidR="00282C37" w:rsidRPr="009230A6">
        <w:rPr>
          <w:i/>
          <w:iCs/>
          <w:lang w:val="en-CA"/>
        </w:rPr>
        <w:t>supra</w:t>
      </w:r>
      <w:r w:rsidRPr="009230A6">
        <w:rPr>
          <w:lang w:val="en-CA"/>
        </w:rPr>
        <w:t xml:space="preserve"> note 88</w:t>
      </w:r>
      <w:r w:rsidR="00282C37" w:rsidRPr="009230A6">
        <w:rPr>
          <w:lang w:val="en-CA"/>
        </w:rPr>
        <w:t xml:space="preserve"> at</w:t>
      </w:r>
      <w:r w:rsidRPr="009230A6">
        <w:rPr>
          <w:lang w:val="en-CA"/>
        </w:rPr>
        <w:t xml:space="preserve"> par</w:t>
      </w:r>
      <w:r w:rsidR="00282C37" w:rsidRPr="009230A6">
        <w:rPr>
          <w:lang w:val="en-CA"/>
        </w:rPr>
        <w:t>a</w:t>
      </w:r>
      <w:r w:rsidRPr="009230A6">
        <w:rPr>
          <w:lang w:val="en-CA"/>
        </w:rPr>
        <w:t>. 229.</w:t>
      </w:r>
    </w:p>
  </w:footnote>
  <w:footnote w:id="130">
    <w:p w14:paraId="1944BB0C" w14:textId="62FF1680" w:rsidR="007B2A89" w:rsidRPr="00282C37" w:rsidRDefault="001834C5">
      <w:pPr>
        <w:pStyle w:val="Notedebasdepage"/>
        <w:rPr>
          <w:lang w:val="en-CA"/>
        </w:rPr>
      </w:pPr>
      <w:r>
        <w:rPr>
          <w:rStyle w:val="Appelnotedebasdep"/>
        </w:rPr>
        <w:footnoteRef/>
      </w:r>
      <w:r w:rsidRPr="00282C37">
        <w:rPr>
          <w:lang w:val="en-CA"/>
        </w:rPr>
        <w:t xml:space="preserve"> </w:t>
      </w:r>
      <w:r w:rsidRPr="00282C37">
        <w:rPr>
          <w:lang w:val="en-CA"/>
        </w:rPr>
        <w:tab/>
      </w:r>
      <w:r w:rsidR="00282C37" w:rsidRPr="009F7A40">
        <w:rPr>
          <w:lang w:val="en-CA"/>
        </w:rPr>
        <w:t>Exhib</w:t>
      </w:r>
      <w:r w:rsidR="001B7200">
        <w:rPr>
          <w:lang w:val="en-CA"/>
        </w:rPr>
        <w:t>i</w:t>
      </w:r>
      <w:r w:rsidR="00282C37" w:rsidRPr="009F7A40">
        <w:rPr>
          <w:lang w:val="en-CA"/>
        </w:rPr>
        <w:t>t</w:t>
      </w:r>
      <w:r w:rsidRPr="00282C37">
        <w:rPr>
          <w:lang w:val="en-CA"/>
        </w:rPr>
        <w:t xml:space="preserve"> P-12, </w:t>
      </w:r>
      <w:r w:rsidR="00282C37" w:rsidRPr="00282C37">
        <w:rPr>
          <w:lang w:val="en-CA"/>
        </w:rPr>
        <w:t xml:space="preserve">Second expert opinion report by </w:t>
      </w:r>
      <w:r w:rsidRPr="00282C37">
        <w:rPr>
          <w:lang w:val="en-CA"/>
        </w:rPr>
        <w:t>Philippe Bensimon, criminolo</w:t>
      </w:r>
      <w:r w:rsidR="00282C37" w:rsidRPr="00282C37">
        <w:rPr>
          <w:lang w:val="en-CA"/>
        </w:rPr>
        <w:t>g</w:t>
      </w:r>
      <w:r w:rsidR="00282C37">
        <w:rPr>
          <w:lang w:val="en-CA"/>
        </w:rPr>
        <w:t>ist</w:t>
      </w:r>
      <w:r w:rsidRPr="00282C37">
        <w:rPr>
          <w:lang w:val="en-CA"/>
        </w:rPr>
        <w:t xml:space="preserve"> (PhD)</w:t>
      </w:r>
      <w:r w:rsidR="00255341">
        <w:rPr>
          <w:lang w:val="en-CA"/>
        </w:rPr>
        <w:t>,</w:t>
      </w:r>
      <w:r w:rsidR="00282C37">
        <w:rPr>
          <w:lang w:val="en-CA"/>
        </w:rPr>
        <w:t xml:space="preserve"> at </w:t>
      </w:r>
      <w:r w:rsidR="004F17F5">
        <w:rPr>
          <w:lang w:val="en-CA"/>
        </w:rPr>
        <w:t xml:space="preserve">p. </w:t>
      </w:r>
      <w:r w:rsidRPr="00282C37">
        <w:rPr>
          <w:lang w:val="en-CA"/>
        </w:rPr>
        <w:t>4.</w:t>
      </w:r>
    </w:p>
  </w:footnote>
  <w:footnote w:id="131">
    <w:p w14:paraId="77BFB579" w14:textId="64DEC569" w:rsidR="001F2A91" w:rsidRPr="00282C37" w:rsidRDefault="001F2A91" w:rsidP="001F2A91">
      <w:pPr>
        <w:pStyle w:val="Notedebasdepage"/>
        <w:rPr>
          <w:lang w:val="en-CA"/>
        </w:rPr>
      </w:pPr>
      <w:r>
        <w:rPr>
          <w:rStyle w:val="Appelnotedebasdep"/>
        </w:rPr>
        <w:footnoteRef/>
      </w:r>
      <w:r w:rsidRPr="00282C37">
        <w:rPr>
          <w:lang w:val="en-CA"/>
        </w:rPr>
        <w:t xml:space="preserve"> </w:t>
      </w:r>
      <w:r w:rsidRPr="00282C37">
        <w:rPr>
          <w:i/>
          <w:iCs/>
          <w:lang w:val="en-CA"/>
        </w:rPr>
        <w:tab/>
      </w:r>
      <w:r w:rsidRPr="009F7A40">
        <w:rPr>
          <w:i/>
          <w:iCs/>
          <w:lang w:val="en-CA"/>
        </w:rPr>
        <w:t>I</w:t>
      </w:r>
      <w:r w:rsidR="00282C37" w:rsidRPr="009F7A40">
        <w:rPr>
          <w:i/>
          <w:iCs/>
          <w:lang w:val="en-CA"/>
        </w:rPr>
        <w:t>bi</w:t>
      </w:r>
      <w:r w:rsidRPr="009F7A40">
        <w:rPr>
          <w:i/>
          <w:iCs/>
          <w:lang w:val="en-CA"/>
        </w:rPr>
        <w:t>d</w:t>
      </w:r>
      <w:r w:rsidRPr="009F7A40">
        <w:rPr>
          <w:lang w:val="en-CA"/>
        </w:rPr>
        <w:t>.</w:t>
      </w:r>
      <w:r w:rsidR="00282C37" w:rsidRPr="009F7A40">
        <w:rPr>
          <w:lang w:val="en-CA"/>
        </w:rPr>
        <w:t xml:space="preserve"> at</w:t>
      </w:r>
      <w:r w:rsidRPr="009F7A40">
        <w:rPr>
          <w:lang w:val="en-CA"/>
        </w:rPr>
        <w:t> 5.</w:t>
      </w:r>
    </w:p>
  </w:footnote>
  <w:footnote w:id="132">
    <w:p w14:paraId="58F47B6F" w14:textId="3F854BD4" w:rsidR="001F2A91" w:rsidRPr="00282C37" w:rsidRDefault="001F2A91" w:rsidP="001F2A91">
      <w:pPr>
        <w:pStyle w:val="Notedebasdepage"/>
        <w:rPr>
          <w:lang w:val="en-CA"/>
        </w:rPr>
      </w:pPr>
      <w:r>
        <w:rPr>
          <w:rStyle w:val="Appelnotedebasdep"/>
        </w:rPr>
        <w:footnoteRef/>
      </w:r>
      <w:r w:rsidRPr="00282C37">
        <w:rPr>
          <w:lang w:val="en-CA"/>
        </w:rPr>
        <w:t xml:space="preserve"> </w:t>
      </w:r>
      <w:r w:rsidRPr="00282C37">
        <w:rPr>
          <w:lang w:val="en-CA"/>
        </w:rPr>
        <w:tab/>
      </w:r>
      <w:r w:rsidR="00282C37" w:rsidRPr="009F7A40">
        <w:rPr>
          <w:i/>
          <w:iCs/>
          <w:lang w:val="en-CA"/>
        </w:rPr>
        <w:t>Ibi</w:t>
      </w:r>
      <w:r w:rsidRPr="009F7A40">
        <w:rPr>
          <w:i/>
          <w:iCs/>
          <w:lang w:val="en-CA"/>
        </w:rPr>
        <w:t>d.</w:t>
      </w:r>
      <w:r w:rsidR="00282C37" w:rsidRPr="009F7A40">
        <w:rPr>
          <w:lang w:val="en-CA"/>
        </w:rPr>
        <w:t xml:space="preserve"> at</w:t>
      </w:r>
      <w:r w:rsidRPr="009F7A40">
        <w:rPr>
          <w:lang w:val="en-CA"/>
        </w:rPr>
        <w:t> 7.</w:t>
      </w:r>
    </w:p>
  </w:footnote>
  <w:footnote w:id="133">
    <w:p w14:paraId="42E1CD18" w14:textId="4F5C4E73" w:rsidR="001F2A91" w:rsidRPr="009230A6" w:rsidRDefault="001F2A91" w:rsidP="001F2A91">
      <w:pPr>
        <w:pStyle w:val="Notedebasdepage"/>
        <w:rPr>
          <w:lang w:val="en-CA"/>
        </w:rPr>
      </w:pPr>
      <w:r>
        <w:rPr>
          <w:rStyle w:val="Appelnotedebasdep"/>
        </w:rPr>
        <w:footnoteRef/>
      </w:r>
      <w:r w:rsidRPr="009230A6">
        <w:rPr>
          <w:lang w:val="en-CA"/>
        </w:rPr>
        <w:t xml:space="preserve"> </w:t>
      </w:r>
      <w:r w:rsidRPr="009230A6">
        <w:rPr>
          <w:lang w:val="en-CA"/>
        </w:rPr>
        <w:tab/>
        <w:t xml:space="preserve">P-14, </w:t>
      </w:r>
      <w:r w:rsidR="00282C37" w:rsidRPr="009230A6">
        <w:rPr>
          <w:i/>
          <w:iCs/>
          <w:lang w:val="en-CA"/>
        </w:rPr>
        <w:t>supra</w:t>
      </w:r>
      <w:r w:rsidR="00282C37" w:rsidRPr="009230A6">
        <w:rPr>
          <w:lang w:val="en-CA"/>
        </w:rPr>
        <w:t xml:space="preserve"> </w:t>
      </w:r>
      <w:r w:rsidRPr="009230A6">
        <w:rPr>
          <w:lang w:val="en-CA"/>
        </w:rPr>
        <w:t>note 4</w:t>
      </w:r>
      <w:r w:rsidR="00282C37" w:rsidRPr="009230A6">
        <w:rPr>
          <w:lang w:val="en-CA"/>
        </w:rPr>
        <w:t xml:space="preserve"> at</w:t>
      </w:r>
      <w:r w:rsidRPr="009230A6">
        <w:rPr>
          <w:lang w:val="en-CA"/>
        </w:rPr>
        <w:t> </w:t>
      </w:r>
      <w:r w:rsidR="004F17F5">
        <w:rPr>
          <w:lang w:val="en-CA"/>
        </w:rPr>
        <w:t xml:space="preserve">p. </w:t>
      </w:r>
      <w:r w:rsidRPr="009230A6">
        <w:rPr>
          <w:lang w:val="en-CA"/>
        </w:rPr>
        <w:t>111.</w:t>
      </w:r>
    </w:p>
  </w:footnote>
  <w:footnote w:id="134">
    <w:p w14:paraId="4AF71F9E" w14:textId="106F127E" w:rsidR="001F2A91" w:rsidRPr="00282C37" w:rsidRDefault="001F2A91" w:rsidP="001F2A91">
      <w:pPr>
        <w:pStyle w:val="Notedebasdepage"/>
        <w:rPr>
          <w:lang w:val="en-CA"/>
        </w:rPr>
      </w:pPr>
      <w:r w:rsidRPr="00282C37">
        <w:rPr>
          <w:rStyle w:val="Appelnotedebasdep"/>
          <w:lang w:val="en-CA"/>
        </w:rPr>
        <w:footnoteRef/>
      </w:r>
      <w:r w:rsidRPr="00282C37">
        <w:rPr>
          <w:lang w:val="en-CA"/>
        </w:rPr>
        <w:t xml:space="preserve"> </w:t>
      </w:r>
      <w:r w:rsidRPr="00282C37">
        <w:rPr>
          <w:lang w:val="en-CA"/>
        </w:rPr>
        <w:tab/>
      </w:r>
      <w:r w:rsidR="00282C37" w:rsidRPr="00282C37">
        <w:rPr>
          <w:lang w:val="en-CA"/>
        </w:rPr>
        <w:t xml:space="preserve">As the </w:t>
      </w:r>
      <w:r w:rsidR="002A41BC">
        <w:rPr>
          <w:lang w:val="en-CA"/>
        </w:rPr>
        <w:t>d</w:t>
      </w:r>
      <w:r w:rsidR="00282C37" w:rsidRPr="00282C37">
        <w:rPr>
          <w:lang w:val="en-CA"/>
        </w:rPr>
        <w:t>irector of the CDQ incidentally admits,</w:t>
      </w:r>
      <w:r w:rsidRPr="00282C37">
        <w:rPr>
          <w:lang w:val="en-CA"/>
        </w:rPr>
        <w:t xml:space="preserve"> </w:t>
      </w:r>
      <w:r w:rsidR="00282C37" w:rsidRPr="00282C37">
        <w:rPr>
          <w:lang w:val="en-CA"/>
        </w:rPr>
        <w:t>[</w:t>
      </w:r>
      <w:r w:rsidR="00282C37" w:rsidRPr="00282C37">
        <w:rPr>
          <w:smallCaps/>
          <w:lang w:val="en-CA"/>
        </w:rPr>
        <w:t>translation</w:t>
      </w:r>
      <w:r w:rsidR="00282C37" w:rsidRPr="00282C37">
        <w:rPr>
          <w:lang w:val="en-CA"/>
        </w:rPr>
        <w:t>] </w:t>
      </w:r>
      <w:r w:rsidR="00282C37">
        <w:rPr>
          <w:lang w:val="en-CA"/>
        </w:rPr>
        <w:t>“it’s not good for the two to mix”</w:t>
      </w:r>
      <w:r w:rsidRPr="00282C37">
        <w:rPr>
          <w:lang w:val="en-CA"/>
        </w:rPr>
        <w:t>: P-16,</w:t>
      </w:r>
      <w:r w:rsidR="00282C37">
        <w:rPr>
          <w:lang w:val="en-CA"/>
        </w:rPr>
        <w:t xml:space="preserve"> </w:t>
      </w:r>
      <w:r w:rsidR="00282C37" w:rsidRPr="00282C37">
        <w:rPr>
          <w:i/>
          <w:iCs/>
          <w:lang w:val="en-CA"/>
        </w:rPr>
        <w:t>supra</w:t>
      </w:r>
      <w:r w:rsidRPr="00282C37">
        <w:rPr>
          <w:lang w:val="en-CA"/>
        </w:rPr>
        <w:t xml:space="preserve"> note 63</w:t>
      </w:r>
      <w:r w:rsidR="00282C37">
        <w:rPr>
          <w:lang w:val="en-CA"/>
        </w:rPr>
        <w:t xml:space="preserve"> at</w:t>
      </w:r>
      <w:r w:rsidR="004F17F5">
        <w:rPr>
          <w:lang w:val="en-CA"/>
        </w:rPr>
        <w:t xml:space="preserve"> p.</w:t>
      </w:r>
      <w:r w:rsidRPr="00282C37">
        <w:rPr>
          <w:lang w:val="en-CA"/>
        </w:rPr>
        <w:t> 92.</w:t>
      </w:r>
    </w:p>
  </w:footnote>
  <w:footnote w:id="135">
    <w:p w14:paraId="3BD28D38" w14:textId="696874F7" w:rsidR="001F2A91" w:rsidRPr="0013463A" w:rsidRDefault="001F2A91" w:rsidP="001F2A91">
      <w:pPr>
        <w:pStyle w:val="Notedebasdepage"/>
        <w:rPr>
          <w:lang w:val="es-CL"/>
        </w:rPr>
      </w:pPr>
      <w:r>
        <w:rPr>
          <w:rStyle w:val="Appelnotedebasdep"/>
        </w:rPr>
        <w:footnoteRef/>
      </w:r>
      <w:r w:rsidRPr="0013463A">
        <w:rPr>
          <w:lang w:val="es-CL"/>
        </w:rPr>
        <w:t xml:space="preserve"> </w:t>
      </w:r>
      <w:r w:rsidRPr="0013463A">
        <w:rPr>
          <w:lang w:val="es-CL"/>
        </w:rPr>
        <w:tab/>
      </w:r>
      <w:r w:rsidR="00282C37" w:rsidRPr="0013463A">
        <w:rPr>
          <w:lang w:val="es-CL"/>
        </w:rPr>
        <w:t xml:space="preserve">Exhibit </w:t>
      </w:r>
      <w:r w:rsidRPr="0013463A">
        <w:rPr>
          <w:lang w:val="es-CL"/>
        </w:rPr>
        <w:t xml:space="preserve">P-17, </w:t>
      </w:r>
      <w:r w:rsidR="00282C37" w:rsidRPr="0013463A">
        <w:rPr>
          <w:i/>
          <w:iCs/>
          <w:lang w:val="es-CL"/>
        </w:rPr>
        <w:t>supra</w:t>
      </w:r>
      <w:r w:rsidR="00282C37" w:rsidRPr="0013463A">
        <w:rPr>
          <w:lang w:val="es-CL"/>
        </w:rPr>
        <w:t xml:space="preserve"> n</w:t>
      </w:r>
      <w:r w:rsidRPr="0013463A">
        <w:rPr>
          <w:lang w:val="es-CL"/>
        </w:rPr>
        <w:t>ote 3</w:t>
      </w:r>
      <w:r w:rsidR="00282C37" w:rsidRPr="0013463A">
        <w:rPr>
          <w:lang w:val="es-CL"/>
        </w:rPr>
        <w:t>.</w:t>
      </w:r>
    </w:p>
  </w:footnote>
  <w:footnote w:id="136">
    <w:p w14:paraId="4ECD1B9E" w14:textId="11EBDB4D" w:rsidR="00711780" w:rsidRPr="0013463A" w:rsidRDefault="00711780" w:rsidP="00711780">
      <w:pPr>
        <w:pStyle w:val="Notedebasdepage"/>
        <w:rPr>
          <w:lang w:val="es-CL"/>
        </w:rPr>
      </w:pPr>
      <w:r>
        <w:rPr>
          <w:rStyle w:val="Appelnotedebasdep"/>
        </w:rPr>
        <w:footnoteRef/>
      </w:r>
      <w:r w:rsidRPr="0013463A">
        <w:rPr>
          <w:lang w:val="es-CL"/>
        </w:rPr>
        <w:t xml:space="preserve"> </w:t>
      </w:r>
      <w:r w:rsidRPr="0013463A">
        <w:rPr>
          <w:lang w:val="es-CL"/>
        </w:rPr>
        <w:tab/>
        <w:t xml:space="preserve">P-12, </w:t>
      </w:r>
      <w:r w:rsidR="00B00E9A" w:rsidRPr="0013463A">
        <w:rPr>
          <w:i/>
          <w:iCs/>
          <w:lang w:val="es-CL"/>
        </w:rPr>
        <w:t>supra</w:t>
      </w:r>
      <w:r w:rsidRPr="0013463A">
        <w:rPr>
          <w:lang w:val="es-CL"/>
        </w:rPr>
        <w:t xml:space="preserve"> note 129.</w:t>
      </w:r>
    </w:p>
  </w:footnote>
  <w:footnote w:id="137">
    <w:p w14:paraId="1E9960E6" w14:textId="2D039F3D" w:rsidR="00711780" w:rsidRPr="00B00E9A" w:rsidRDefault="00711780" w:rsidP="00711780">
      <w:pPr>
        <w:pStyle w:val="Notedebasdepage"/>
        <w:rPr>
          <w:lang w:val="en-CA"/>
        </w:rPr>
      </w:pPr>
      <w:r>
        <w:rPr>
          <w:rStyle w:val="Appelnotedebasdep"/>
        </w:rPr>
        <w:footnoteRef/>
      </w:r>
      <w:r w:rsidRPr="00B00E9A">
        <w:rPr>
          <w:lang w:val="en-CA"/>
        </w:rPr>
        <w:t xml:space="preserve"> </w:t>
      </w:r>
      <w:r w:rsidRPr="00B00E9A">
        <w:rPr>
          <w:lang w:val="en-CA"/>
        </w:rPr>
        <w:tab/>
      </w:r>
      <w:r w:rsidRPr="009F7A40">
        <w:rPr>
          <w:lang w:val="en-CA"/>
        </w:rPr>
        <w:t xml:space="preserve">P-14, </w:t>
      </w:r>
      <w:r w:rsidR="00B00E9A" w:rsidRPr="009F7A40">
        <w:rPr>
          <w:i/>
          <w:iCs/>
          <w:lang w:val="en-CA"/>
        </w:rPr>
        <w:t>supra</w:t>
      </w:r>
      <w:r w:rsidRPr="009F7A40">
        <w:rPr>
          <w:lang w:val="en-CA"/>
        </w:rPr>
        <w:t xml:space="preserve"> note 4</w:t>
      </w:r>
      <w:r w:rsidR="00B00E9A" w:rsidRPr="009F7A40">
        <w:rPr>
          <w:lang w:val="en-CA"/>
        </w:rPr>
        <w:t xml:space="preserve"> at</w:t>
      </w:r>
      <w:r w:rsidRPr="009F7A40">
        <w:rPr>
          <w:lang w:val="en-CA"/>
        </w:rPr>
        <w:t> </w:t>
      </w:r>
      <w:r w:rsidR="004F17F5">
        <w:rPr>
          <w:lang w:val="en-CA"/>
        </w:rPr>
        <w:t xml:space="preserve">p. </w:t>
      </w:r>
      <w:r w:rsidRPr="009F7A40">
        <w:rPr>
          <w:lang w:val="en-CA"/>
        </w:rPr>
        <w:t>19.</w:t>
      </w:r>
    </w:p>
  </w:footnote>
  <w:footnote w:id="138">
    <w:p w14:paraId="2B2CF738" w14:textId="2C947580" w:rsidR="00711780" w:rsidRPr="009230A6" w:rsidRDefault="00711780" w:rsidP="00711780">
      <w:pPr>
        <w:pStyle w:val="Notedebasdepage"/>
        <w:rPr>
          <w:lang w:val="en-CA"/>
        </w:rPr>
      </w:pPr>
      <w:r>
        <w:rPr>
          <w:rStyle w:val="Appelnotedebasdep"/>
        </w:rPr>
        <w:footnoteRef/>
      </w:r>
      <w:r w:rsidRPr="009230A6">
        <w:rPr>
          <w:lang w:val="en-CA"/>
        </w:rPr>
        <w:t xml:space="preserve"> </w:t>
      </w:r>
      <w:r w:rsidRPr="009230A6">
        <w:rPr>
          <w:lang w:val="en-CA"/>
        </w:rPr>
        <w:tab/>
      </w:r>
      <w:r w:rsidR="00110E24" w:rsidRPr="009230A6">
        <w:rPr>
          <w:i/>
          <w:iCs/>
          <w:lang w:val="en-CA"/>
        </w:rPr>
        <w:t xml:space="preserve">Ibid. </w:t>
      </w:r>
      <w:r w:rsidR="00110E24" w:rsidRPr="009230A6">
        <w:rPr>
          <w:lang w:val="en-CA"/>
        </w:rPr>
        <w:t xml:space="preserve">at </w:t>
      </w:r>
      <w:r w:rsidR="004F17F5">
        <w:rPr>
          <w:lang w:val="en-CA"/>
        </w:rPr>
        <w:t xml:space="preserve">p. </w:t>
      </w:r>
      <w:r w:rsidR="00110E24" w:rsidRPr="009230A6">
        <w:rPr>
          <w:lang w:val="en-CA"/>
        </w:rPr>
        <w:t>23.</w:t>
      </w:r>
    </w:p>
  </w:footnote>
  <w:footnote w:id="139">
    <w:p w14:paraId="4FDCB5EE" w14:textId="67315489" w:rsidR="00711780" w:rsidRPr="009230A6" w:rsidRDefault="00711780" w:rsidP="00711780">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I</w:t>
      </w:r>
      <w:r w:rsidR="00B00E9A" w:rsidRPr="009230A6">
        <w:rPr>
          <w:i/>
          <w:iCs/>
          <w:lang w:val="en-CA"/>
        </w:rPr>
        <w:t>bi</w:t>
      </w:r>
      <w:r w:rsidRPr="009230A6">
        <w:rPr>
          <w:i/>
          <w:iCs/>
          <w:lang w:val="en-CA"/>
        </w:rPr>
        <w:t>d</w:t>
      </w:r>
      <w:r w:rsidRPr="009230A6">
        <w:rPr>
          <w:lang w:val="en-CA"/>
        </w:rPr>
        <w:t>.</w:t>
      </w:r>
      <w:r w:rsidR="00B00E9A" w:rsidRPr="009230A6">
        <w:rPr>
          <w:lang w:val="en-CA"/>
        </w:rPr>
        <w:t xml:space="preserve"> at </w:t>
      </w:r>
      <w:r w:rsidR="004F17F5">
        <w:rPr>
          <w:lang w:val="en-CA"/>
        </w:rPr>
        <w:t xml:space="preserve">p. </w:t>
      </w:r>
      <w:r w:rsidRPr="009230A6">
        <w:rPr>
          <w:lang w:val="en-CA"/>
        </w:rPr>
        <w:t>29</w:t>
      </w:r>
    </w:p>
  </w:footnote>
  <w:footnote w:id="140">
    <w:p w14:paraId="7155AA6A" w14:textId="1448B958" w:rsidR="00711780" w:rsidRPr="00B00E9A" w:rsidRDefault="00711780" w:rsidP="00711780">
      <w:pPr>
        <w:pStyle w:val="Notedebasdepage"/>
      </w:pPr>
      <w:r w:rsidRPr="00B00E9A">
        <w:rPr>
          <w:rStyle w:val="Appelnotedebasdep"/>
          <w:lang w:val="en-CA"/>
        </w:rPr>
        <w:footnoteRef/>
      </w:r>
      <w:r w:rsidRPr="00B00E9A">
        <w:rPr>
          <w:lang w:val="en-CA"/>
        </w:rPr>
        <w:t xml:space="preserve"> </w:t>
      </w:r>
      <w:r w:rsidRPr="00B00E9A">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 </w:t>
      </w:r>
      <w:r w:rsidR="004F17F5">
        <w:rPr>
          <w:lang w:val="en-CA"/>
        </w:rPr>
        <w:t xml:space="preserve">p. </w:t>
      </w:r>
      <w:r w:rsidRPr="009F7A40">
        <w:rPr>
          <w:lang w:val="en-CA"/>
        </w:rPr>
        <w:t>30.</w:t>
      </w:r>
      <w:r w:rsidRPr="00B00E9A">
        <w:rPr>
          <w:lang w:val="en-CA"/>
        </w:rPr>
        <w:t xml:space="preserve"> </w:t>
      </w:r>
      <w:r w:rsidR="00B00E9A">
        <w:rPr>
          <w:lang w:val="en-CA"/>
        </w:rPr>
        <w:t>The term [</w:t>
      </w:r>
      <w:r w:rsidR="00B00E9A" w:rsidRPr="00B00E9A">
        <w:rPr>
          <w:smallCaps/>
          <w:lang w:val="en-CA"/>
        </w:rPr>
        <w:t>translat</w:t>
      </w:r>
      <w:r w:rsidR="00B00E9A">
        <w:rPr>
          <w:smallCaps/>
          <w:lang w:val="en-CA"/>
        </w:rPr>
        <w:t>i</w:t>
      </w:r>
      <w:r w:rsidR="00B00E9A" w:rsidRPr="00B00E9A">
        <w:rPr>
          <w:smallCaps/>
          <w:lang w:val="en-CA"/>
        </w:rPr>
        <w:t>on</w:t>
      </w:r>
      <w:r w:rsidR="00B00E9A">
        <w:rPr>
          <w:lang w:val="en-CA"/>
        </w:rPr>
        <w:t>] “Agitated delirium” is defined thus: [</w:t>
      </w:r>
      <w:r w:rsidR="00B00E9A" w:rsidRPr="00B00E9A">
        <w:rPr>
          <w:smallCaps/>
          <w:lang w:val="en-CA"/>
        </w:rPr>
        <w:t>translation</w:t>
      </w:r>
      <w:r w:rsidR="00B00E9A">
        <w:rPr>
          <w:lang w:val="en-CA"/>
        </w:rPr>
        <w:t xml:space="preserve">] “Agitated </w:t>
      </w:r>
      <w:r w:rsidR="003D1BAA">
        <w:rPr>
          <w:lang w:val="en-CA"/>
        </w:rPr>
        <w:t>delirium</w:t>
      </w:r>
      <w:r w:rsidR="00B00E9A">
        <w:rPr>
          <w:lang w:val="en-CA"/>
        </w:rPr>
        <w:t xml:space="preserve"> is a distinct agitation syndrome with or without intoxication</w:t>
      </w:r>
      <w:r w:rsidR="003D1BAA">
        <w:rPr>
          <w:lang w:val="en-CA"/>
        </w:rPr>
        <w:t>,</w:t>
      </w:r>
      <w:r w:rsidR="00B00E9A">
        <w:rPr>
          <w:lang w:val="en-CA"/>
        </w:rPr>
        <w:t xml:space="preserve"> that provokes cerebral disturbances or distress distinct from intoxication”. </w:t>
      </w:r>
      <w:r w:rsidR="00B00E9A" w:rsidRPr="00B00E9A">
        <w:t xml:space="preserve">Exhibit </w:t>
      </w:r>
      <w:r w:rsidRPr="00B00E9A">
        <w:t xml:space="preserve">D-13, </w:t>
      </w:r>
      <w:r w:rsidRPr="009F7A40">
        <w:t>Ministère de la Sécurité publique</w:t>
      </w:r>
      <w:r w:rsidRPr="00B00E9A">
        <w:t xml:space="preserve">, </w:t>
      </w:r>
      <w:r w:rsidRPr="00B00E9A">
        <w:rPr>
          <w:i/>
          <w:iCs/>
        </w:rPr>
        <w:t xml:space="preserve">Trouble de santé et </w:t>
      </w:r>
      <w:r w:rsidRPr="009F7A40">
        <w:rPr>
          <w:i/>
          <w:iCs/>
        </w:rPr>
        <w:t>recours à la force</w:t>
      </w:r>
      <w:r w:rsidR="00B00E9A" w:rsidRPr="009F7A40">
        <w:rPr>
          <w:i/>
          <w:iCs/>
        </w:rPr>
        <w:t xml:space="preserve"> </w:t>
      </w:r>
      <w:r w:rsidR="00B00E9A" w:rsidRPr="009F7A40">
        <w:t>at</w:t>
      </w:r>
      <w:r w:rsidRPr="00B00E9A">
        <w:t> </w:t>
      </w:r>
      <w:r w:rsidR="00D81D3B">
        <w:t xml:space="preserve">p. </w:t>
      </w:r>
      <w:r w:rsidRPr="00B00E9A">
        <w:t xml:space="preserve">237 </w:t>
      </w:r>
      <w:r w:rsidR="00B00E9A" w:rsidRPr="00B00E9A">
        <w:t xml:space="preserve">of </w:t>
      </w:r>
      <w:r w:rsidRPr="00B00E9A">
        <w:t>342.</w:t>
      </w:r>
    </w:p>
  </w:footnote>
  <w:footnote w:id="141">
    <w:p w14:paraId="4BCAF63E" w14:textId="7EEACB4C" w:rsidR="00711780" w:rsidRPr="00B00E9A" w:rsidRDefault="00711780" w:rsidP="00711780">
      <w:pPr>
        <w:pStyle w:val="Notedebasdepage"/>
        <w:rPr>
          <w:lang w:val="en-CA"/>
        </w:rPr>
      </w:pPr>
      <w:r>
        <w:rPr>
          <w:rStyle w:val="Appelnotedebasdep"/>
        </w:rPr>
        <w:footnoteRef/>
      </w:r>
      <w:r w:rsidRPr="00B00E9A">
        <w:rPr>
          <w:lang w:val="en-CA"/>
        </w:rPr>
        <w:t xml:space="preserve"> </w:t>
      </w:r>
      <w:r w:rsidRPr="00B00E9A">
        <w:rPr>
          <w:lang w:val="en-CA"/>
        </w:rPr>
        <w:tab/>
      </w:r>
      <w:r w:rsidRPr="009F7A40">
        <w:rPr>
          <w:lang w:val="en-CA"/>
        </w:rPr>
        <w:t xml:space="preserve">P-14, </w:t>
      </w:r>
      <w:r w:rsidR="00B00E9A" w:rsidRPr="009F7A40">
        <w:rPr>
          <w:i/>
          <w:iCs/>
          <w:lang w:val="en-CA"/>
        </w:rPr>
        <w:t>supra</w:t>
      </w:r>
      <w:r w:rsidR="00B00E9A" w:rsidRPr="009F7A40">
        <w:rPr>
          <w:lang w:val="en-CA"/>
        </w:rPr>
        <w:t xml:space="preserve"> </w:t>
      </w:r>
      <w:r w:rsidRPr="009F7A40">
        <w:rPr>
          <w:lang w:val="en-CA"/>
        </w:rPr>
        <w:t>note 4</w:t>
      </w:r>
      <w:r w:rsidR="00B00E9A" w:rsidRPr="009F7A40">
        <w:rPr>
          <w:lang w:val="en-CA"/>
        </w:rPr>
        <w:t xml:space="preserve"> at</w:t>
      </w:r>
      <w:r w:rsidRPr="009F7A40">
        <w:rPr>
          <w:lang w:val="en-CA"/>
        </w:rPr>
        <w:t> </w:t>
      </w:r>
      <w:r w:rsidR="00D81D3B">
        <w:rPr>
          <w:lang w:val="en-CA"/>
        </w:rPr>
        <w:t xml:space="preserve">p. </w:t>
      </w:r>
      <w:r w:rsidRPr="009F7A40">
        <w:rPr>
          <w:lang w:val="en-CA"/>
        </w:rPr>
        <w:t>31.</w:t>
      </w:r>
    </w:p>
  </w:footnote>
  <w:footnote w:id="142">
    <w:p w14:paraId="0A357150" w14:textId="4667986B" w:rsidR="00711780" w:rsidRPr="00B00E9A" w:rsidRDefault="00711780" w:rsidP="00711780">
      <w:pPr>
        <w:pStyle w:val="Notedebasdepage"/>
        <w:rPr>
          <w:lang w:val="en-CA"/>
        </w:rPr>
      </w:pPr>
      <w:r>
        <w:rPr>
          <w:rStyle w:val="Appelnotedebasdep"/>
        </w:rPr>
        <w:footnoteRef/>
      </w:r>
      <w:r w:rsidRPr="00B00E9A">
        <w:rPr>
          <w:lang w:val="en-CA"/>
        </w:rPr>
        <w:t xml:space="preserve"> </w:t>
      </w:r>
      <w:r w:rsidRPr="00B00E9A">
        <w:rPr>
          <w:i/>
          <w:iCs/>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 </w:t>
      </w:r>
      <w:r w:rsidR="00D81D3B">
        <w:rPr>
          <w:lang w:val="en-CA"/>
        </w:rPr>
        <w:t xml:space="preserve">p. </w:t>
      </w:r>
      <w:r w:rsidRPr="009F7A40">
        <w:rPr>
          <w:lang w:val="en-CA"/>
        </w:rPr>
        <w:t>32</w:t>
      </w:r>
    </w:p>
  </w:footnote>
  <w:footnote w:id="143">
    <w:p w14:paraId="0ED37C74" w14:textId="73BFF6A5" w:rsidR="00711780" w:rsidRPr="00DC4C54" w:rsidRDefault="00711780" w:rsidP="00711780">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 </w:t>
      </w:r>
      <w:r w:rsidR="00D81D3B">
        <w:rPr>
          <w:lang w:val="en-CA"/>
        </w:rPr>
        <w:t xml:space="preserve">p. </w:t>
      </w:r>
      <w:r w:rsidRPr="009F7A40">
        <w:rPr>
          <w:lang w:val="en-CA"/>
        </w:rPr>
        <w:t>35.</w:t>
      </w:r>
    </w:p>
  </w:footnote>
  <w:footnote w:id="144">
    <w:p w14:paraId="0B91E0B6" w14:textId="35AF75A7" w:rsidR="00711780" w:rsidRPr="00DC4C54" w:rsidRDefault="00711780" w:rsidP="00711780">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 xml:space="preserve">bid. </w:t>
      </w:r>
      <w:r w:rsidR="00B00E9A" w:rsidRPr="009F7A40">
        <w:rPr>
          <w:lang w:val="en-CA"/>
        </w:rPr>
        <w:t xml:space="preserve">at </w:t>
      </w:r>
      <w:r w:rsidR="00D81D3B">
        <w:rPr>
          <w:lang w:val="en-CA"/>
        </w:rPr>
        <w:t xml:space="preserve">p. </w:t>
      </w:r>
      <w:r w:rsidRPr="009F7A40">
        <w:rPr>
          <w:lang w:val="en-CA"/>
        </w:rPr>
        <w:t>52.</w:t>
      </w:r>
    </w:p>
  </w:footnote>
  <w:footnote w:id="145">
    <w:p w14:paraId="6FDDECF6" w14:textId="3F98B0D8" w:rsidR="00711780" w:rsidRPr="00DC4C54" w:rsidRDefault="00711780" w:rsidP="00711780">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w:t>
      </w:r>
      <w:r w:rsidRPr="009F7A40">
        <w:rPr>
          <w:lang w:val="en-CA"/>
        </w:rPr>
        <w:t> </w:t>
      </w:r>
      <w:r w:rsidR="00D81D3B">
        <w:rPr>
          <w:lang w:val="en-CA"/>
        </w:rPr>
        <w:t xml:space="preserve">p. </w:t>
      </w:r>
      <w:r w:rsidRPr="009F7A40">
        <w:rPr>
          <w:lang w:val="en-CA"/>
        </w:rPr>
        <w:t>53.</w:t>
      </w:r>
    </w:p>
  </w:footnote>
  <w:footnote w:id="146">
    <w:p w14:paraId="5135EFBF" w14:textId="2212BBB4" w:rsidR="00711780" w:rsidRPr="00DC4C54" w:rsidRDefault="00711780" w:rsidP="00711780">
      <w:pPr>
        <w:pStyle w:val="Notedebasdepage"/>
        <w:rPr>
          <w:lang w:val="en-CA"/>
        </w:rPr>
      </w:pPr>
      <w:r>
        <w:rPr>
          <w:rStyle w:val="Appelnotedebasdep"/>
        </w:rPr>
        <w:footnoteRef/>
      </w:r>
      <w:r w:rsidRPr="00DC4C54">
        <w:rPr>
          <w:lang w:val="en-CA"/>
        </w:rPr>
        <w:t xml:space="preserve"> </w:t>
      </w:r>
      <w:r w:rsidRPr="00DC4C54">
        <w:rPr>
          <w:lang w:val="en-CA"/>
        </w:rPr>
        <w:tab/>
      </w:r>
      <w:r w:rsidR="00110E24" w:rsidRPr="009F7A40">
        <w:rPr>
          <w:i/>
          <w:iCs/>
          <w:lang w:val="en-CA"/>
        </w:rPr>
        <w:t>Ibid.</w:t>
      </w:r>
    </w:p>
  </w:footnote>
  <w:footnote w:id="147">
    <w:p w14:paraId="7E100B62" w14:textId="5423A960" w:rsidR="00711780" w:rsidRPr="00DC4C54" w:rsidRDefault="00711780" w:rsidP="00711780">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w:t>
      </w:r>
      <w:r w:rsidRPr="009F7A40">
        <w:rPr>
          <w:lang w:val="en-CA"/>
        </w:rPr>
        <w:t> </w:t>
      </w:r>
      <w:r w:rsidR="00D81D3B">
        <w:rPr>
          <w:lang w:val="en-CA"/>
        </w:rPr>
        <w:t xml:space="preserve">p. </w:t>
      </w:r>
      <w:r w:rsidRPr="009F7A40">
        <w:rPr>
          <w:lang w:val="en-CA"/>
        </w:rPr>
        <w:t>54.</w:t>
      </w:r>
    </w:p>
  </w:footnote>
  <w:footnote w:id="148">
    <w:p w14:paraId="51684D7F" w14:textId="226ADA0D" w:rsidR="0070708A" w:rsidRPr="00DC4C54" w:rsidRDefault="0070708A" w:rsidP="0070708A">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 xml:space="preserve">. </w:t>
      </w:r>
      <w:r w:rsidR="00B00E9A" w:rsidRPr="009F7A40">
        <w:rPr>
          <w:lang w:val="en-CA"/>
        </w:rPr>
        <w:t>at</w:t>
      </w:r>
      <w:r w:rsidRPr="009F7A40">
        <w:rPr>
          <w:lang w:val="en-CA"/>
        </w:rPr>
        <w:t> </w:t>
      </w:r>
      <w:r w:rsidR="00D81D3B">
        <w:rPr>
          <w:lang w:val="en-CA"/>
        </w:rPr>
        <w:t xml:space="preserve">p. </w:t>
      </w:r>
      <w:r w:rsidRPr="009F7A40">
        <w:rPr>
          <w:lang w:val="en-CA"/>
        </w:rPr>
        <w:t>56.</w:t>
      </w:r>
    </w:p>
  </w:footnote>
  <w:footnote w:id="149">
    <w:p w14:paraId="161CAD26" w14:textId="72391598" w:rsidR="0070708A" w:rsidRPr="00DC4C54" w:rsidRDefault="0070708A" w:rsidP="0070708A">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w:t>
      </w:r>
      <w:r w:rsidRPr="009F7A40">
        <w:rPr>
          <w:lang w:val="en-CA"/>
        </w:rPr>
        <w:t> </w:t>
      </w:r>
      <w:r w:rsidR="00D81D3B">
        <w:rPr>
          <w:lang w:val="en-CA"/>
        </w:rPr>
        <w:t xml:space="preserve">p. </w:t>
      </w:r>
      <w:r w:rsidRPr="009F7A40">
        <w:rPr>
          <w:lang w:val="en-CA"/>
        </w:rPr>
        <w:t>59.</w:t>
      </w:r>
    </w:p>
  </w:footnote>
  <w:footnote w:id="150">
    <w:p w14:paraId="729E9827" w14:textId="243161B2" w:rsidR="0070708A" w:rsidRPr="00DC4C54" w:rsidRDefault="0070708A" w:rsidP="0070708A">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w:t>
      </w:r>
      <w:r w:rsidRPr="009F7A40">
        <w:rPr>
          <w:lang w:val="en-CA"/>
        </w:rPr>
        <w:t> </w:t>
      </w:r>
      <w:r w:rsidR="00D81D3B">
        <w:rPr>
          <w:lang w:val="en-CA"/>
        </w:rPr>
        <w:t xml:space="preserve">p. </w:t>
      </w:r>
      <w:r w:rsidRPr="009F7A40">
        <w:rPr>
          <w:lang w:val="en-CA"/>
        </w:rPr>
        <w:t>85.</w:t>
      </w:r>
    </w:p>
  </w:footnote>
  <w:footnote w:id="151">
    <w:p w14:paraId="2C2C6013" w14:textId="6330E85E" w:rsidR="0070708A" w:rsidRPr="00DC4C54" w:rsidRDefault="0070708A" w:rsidP="0070708A">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bi</w:t>
      </w:r>
      <w:r w:rsidRPr="009F7A40">
        <w:rPr>
          <w:i/>
          <w:iCs/>
          <w:lang w:val="en-CA"/>
        </w:rPr>
        <w:t>d.</w:t>
      </w:r>
      <w:r w:rsidR="00B00E9A" w:rsidRPr="009F7A40">
        <w:rPr>
          <w:lang w:val="en-CA"/>
        </w:rPr>
        <w:t xml:space="preserve"> at</w:t>
      </w:r>
      <w:r w:rsidRPr="009F7A40">
        <w:rPr>
          <w:lang w:val="en-CA"/>
        </w:rPr>
        <w:t> </w:t>
      </w:r>
      <w:r w:rsidR="00D81D3B">
        <w:rPr>
          <w:lang w:val="en-CA"/>
        </w:rPr>
        <w:t xml:space="preserve">p. </w:t>
      </w:r>
      <w:r w:rsidRPr="009F7A40">
        <w:rPr>
          <w:lang w:val="en-CA"/>
        </w:rPr>
        <w:t>87.</w:t>
      </w:r>
    </w:p>
  </w:footnote>
  <w:footnote w:id="152">
    <w:p w14:paraId="066047D0" w14:textId="7858E8FF" w:rsidR="0070708A" w:rsidRPr="00DC4C54" w:rsidRDefault="0070708A" w:rsidP="0070708A">
      <w:pPr>
        <w:pStyle w:val="Notedebasdepage"/>
        <w:rPr>
          <w:lang w:val="en-CA"/>
        </w:rPr>
      </w:pPr>
      <w:r>
        <w:rPr>
          <w:rStyle w:val="Appelnotedebasdep"/>
        </w:rPr>
        <w:footnoteRef/>
      </w:r>
      <w:r>
        <w:rPr>
          <w:lang w:val="en-CA"/>
        </w:rPr>
        <w:t xml:space="preserve"> </w:t>
      </w:r>
      <w:r>
        <w:rPr>
          <w:lang w:val="en-CA"/>
        </w:rPr>
        <w:tab/>
      </w:r>
      <w:r w:rsidR="00110E24" w:rsidRPr="009F7A40">
        <w:rPr>
          <w:i/>
          <w:iCs/>
          <w:lang w:val="en-CA"/>
        </w:rPr>
        <w:t>Ibid.</w:t>
      </w:r>
    </w:p>
  </w:footnote>
  <w:footnote w:id="153">
    <w:p w14:paraId="1CD0B8A7" w14:textId="4C1E3E39" w:rsidR="0070708A" w:rsidRPr="00DC4C54" w:rsidRDefault="0070708A" w:rsidP="0070708A">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w:t>
      </w:r>
      <w:r w:rsidRPr="009F7A40">
        <w:rPr>
          <w:lang w:val="en-CA"/>
        </w:rPr>
        <w:t> </w:t>
      </w:r>
      <w:r w:rsidR="00D81D3B">
        <w:rPr>
          <w:lang w:val="en-CA"/>
        </w:rPr>
        <w:t xml:space="preserve">p. </w:t>
      </w:r>
      <w:r w:rsidRPr="009F7A40">
        <w:rPr>
          <w:lang w:val="en-CA"/>
        </w:rPr>
        <w:t>90.</w:t>
      </w:r>
    </w:p>
  </w:footnote>
  <w:footnote w:id="154">
    <w:p w14:paraId="5BC0592F" w14:textId="5431D181" w:rsidR="0070708A" w:rsidRPr="00DC4C54" w:rsidRDefault="0070708A" w:rsidP="0070708A">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w:t>
      </w:r>
      <w:r w:rsidRPr="009F7A40">
        <w:rPr>
          <w:lang w:val="en-CA"/>
        </w:rPr>
        <w:t> </w:t>
      </w:r>
      <w:r w:rsidR="00D81D3B">
        <w:rPr>
          <w:lang w:val="en-CA"/>
        </w:rPr>
        <w:t xml:space="preserve">p. </w:t>
      </w:r>
      <w:r w:rsidRPr="009F7A40">
        <w:rPr>
          <w:lang w:val="en-CA"/>
        </w:rPr>
        <w:t>91.</w:t>
      </w:r>
    </w:p>
  </w:footnote>
  <w:footnote w:id="155">
    <w:p w14:paraId="7B5E48F3" w14:textId="36810282" w:rsidR="0070708A" w:rsidRPr="00DC4C54" w:rsidRDefault="0070708A" w:rsidP="0070708A">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w:t>
      </w:r>
      <w:r w:rsidRPr="009F7A40">
        <w:rPr>
          <w:lang w:val="en-CA"/>
        </w:rPr>
        <w:t> </w:t>
      </w:r>
      <w:r w:rsidR="00D81D3B">
        <w:rPr>
          <w:lang w:val="en-CA"/>
        </w:rPr>
        <w:t xml:space="preserve">p. </w:t>
      </w:r>
      <w:r w:rsidRPr="009F7A40">
        <w:rPr>
          <w:lang w:val="en-CA"/>
        </w:rPr>
        <w:t>105.</w:t>
      </w:r>
    </w:p>
  </w:footnote>
  <w:footnote w:id="156">
    <w:p w14:paraId="4FE8CDB2" w14:textId="1B15066B" w:rsidR="001000B2" w:rsidRPr="00DC4C54" w:rsidRDefault="001000B2" w:rsidP="001000B2">
      <w:pPr>
        <w:pStyle w:val="Notedebasdepage"/>
        <w:rPr>
          <w:lang w:val="en-CA"/>
        </w:rPr>
      </w:pPr>
      <w:r>
        <w:rPr>
          <w:rStyle w:val="Appelnotedebasdep"/>
        </w:rPr>
        <w:footnoteRef/>
      </w:r>
      <w:r w:rsidRPr="00DC4C54">
        <w:rPr>
          <w:lang w:val="en-CA"/>
        </w:rPr>
        <w:t xml:space="preserve"> </w:t>
      </w:r>
      <w:r w:rsidRPr="00DC4C54">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w:t>
      </w:r>
      <w:r w:rsidRPr="009F7A40">
        <w:rPr>
          <w:lang w:val="en-CA"/>
        </w:rPr>
        <w:t> </w:t>
      </w:r>
      <w:r w:rsidR="00D81D3B">
        <w:rPr>
          <w:lang w:val="en-CA"/>
        </w:rPr>
        <w:t xml:space="preserve">p. </w:t>
      </w:r>
      <w:r w:rsidRPr="009F7A40">
        <w:rPr>
          <w:lang w:val="en-CA"/>
        </w:rPr>
        <w:t>110.</w:t>
      </w:r>
    </w:p>
  </w:footnote>
  <w:footnote w:id="157">
    <w:p w14:paraId="158A43BD" w14:textId="1D0CAA30" w:rsidR="00DC4C54" w:rsidRPr="00841467" w:rsidRDefault="001834C5">
      <w:pPr>
        <w:pStyle w:val="Notedebasdepage"/>
        <w:rPr>
          <w:lang w:val="en-CA"/>
        </w:rPr>
      </w:pPr>
      <w:r>
        <w:rPr>
          <w:rStyle w:val="Appelnotedebasdep"/>
        </w:rPr>
        <w:footnoteRef/>
      </w:r>
      <w:r w:rsidRPr="00841467">
        <w:rPr>
          <w:lang w:val="en-CA"/>
        </w:rPr>
        <w:t xml:space="preserve"> </w:t>
      </w:r>
      <w:r w:rsidRPr="00841467">
        <w:rPr>
          <w:lang w:val="en-CA"/>
        </w:rPr>
        <w:tab/>
      </w:r>
      <w:r w:rsidRPr="009F7A40">
        <w:rPr>
          <w:i/>
          <w:iCs/>
          <w:lang w:val="en-CA"/>
        </w:rPr>
        <w:t>I</w:t>
      </w:r>
      <w:r w:rsidR="00B00E9A" w:rsidRPr="009F7A40">
        <w:rPr>
          <w:i/>
          <w:iCs/>
          <w:lang w:val="en-CA"/>
        </w:rPr>
        <w:t>bi</w:t>
      </w:r>
      <w:r w:rsidRPr="009F7A40">
        <w:rPr>
          <w:i/>
          <w:iCs/>
          <w:lang w:val="en-CA"/>
        </w:rPr>
        <w:t>d</w:t>
      </w:r>
      <w:r w:rsidRPr="009F7A40">
        <w:rPr>
          <w:lang w:val="en-CA"/>
        </w:rPr>
        <w:t>.</w:t>
      </w:r>
      <w:r w:rsidR="00B00E9A" w:rsidRPr="009F7A40">
        <w:rPr>
          <w:lang w:val="en-CA"/>
        </w:rPr>
        <w:t xml:space="preserve"> at</w:t>
      </w:r>
      <w:r w:rsidRPr="009F7A40">
        <w:rPr>
          <w:lang w:val="en-CA"/>
        </w:rPr>
        <w:t> </w:t>
      </w:r>
      <w:r w:rsidR="00D81D3B">
        <w:rPr>
          <w:lang w:val="en-CA"/>
        </w:rPr>
        <w:t xml:space="preserve">p. </w:t>
      </w:r>
      <w:r w:rsidRPr="009F7A40">
        <w:rPr>
          <w:lang w:val="en-CA"/>
        </w:rPr>
        <w:t>120.</w:t>
      </w:r>
    </w:p>
  </w:footnote>
  <w:footnote w:id="158">
    <w:p w14:paraId="74557868" w14:textId="448173B4" w:rsidR="00DC4C54" w:rsidRPr="00841467" w:rsidRDefault="001834C5">
      <w:pPr>
        <w:pStyle w:val="Notedebasdepage"/>
        <w:rPr>
          <w:lang w:val="en-CA"/>
        </w:rPr>
      </w:pPr>
      <w:r>
        <w:rPr>
          <w:rStyle w:val="Appelnotedebasdep"/>
        </w:rPr>
        <w:footnoteRef/>
      </w:r>
      <w:r w:rsidR="00B7483C" w:rsidRPr="00841467">
        <w:rPr>
          <w:lang w:val="en-CA"/>
        </w:rPr>
        <w:t xml:space="preserve"> </w:t>
      </w:r>
      <w:r w:rsidR="00B7483C" w:rsidRPr="00841467">
        <w:rPr>
          <w:lang w:val="en-CA"/>
        </w:rPr>
        <w:tab/>
      </w:r>
      <w:r w:rsidR="00B7483C" w:rsidRPr="009F7A40">
        <w:rPr>
          <w:lang w:val="en-CA"/>
        </w:rPr>
        <w:t xml:space="preserve">P-12, </w:t>
      </w:r>
      <w:r w:rsidR="00B00E9A" w:rsidRPr="009F7A40">
        <w:rPr>
          <w:i/>
          <w:iCs/>
          <w:lang w:val="en-CA"/>
        </w:rPr>
        <w:t>supra</w:t>
      </w:r>
      <w:r w:rsidR="00B7483C" w:rsidRPr="009F7A40">
        <w:rPr>
          <w:lang w:val="en-CA"/>
        </w:rPr>
        <w:t xml:space="preserve"> note 129</w:t>
      </w:r>
      <w:r w:rsidR="00B00E9A" w:rsidRPr="009F7A40">
        <w:rPr>
          <w:lang w:val="en-CA"/>
        </w:rPr>
        <w:t xml:space="preserve"> at </w:t>
      </w:r>
      <w:r w:rsidR="00D81D3B">
        <w:rPr>
          <w:lang w:val="en-CA"/>
        </w:rPr>
        <w:t xml:space="preserve">p. </w:t>
      </w:r>
      <w:r w:rsidR="00B7483C" w:rsidRPr="009F7A40">
        <w:rPr>
          <w:lang w:val="en-CA"/>
        </w:rPr>
        <w:t>34.</w:t>
      </w:r>
    </w:p>
  </w:footnote>
  <w:footnote w:id="159">
    <w:p w14:paraId="086B2C88" w14:textId="7ACD7B13" w:rsidR="009C4069" w:rsidRPr="009230A6" w:rsidRDefault="009C4069" w:rsidP="009C4069">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Ibid</w:t>
      </w:r>
      <w:r w:rsidRPr="009230A6">
        <w:rPr>
          <w:lang w:val="en-CA"/>
        </w:rPr>
        <w:t>. at </w:t>
      </w:r>
      <w:r w:rsidR="00D81D3B">
        <w:rPr>
          <w:lang w:val="en-CA"/>
        </w:rPr>
        <w:t xml:space="preserve">p. </w:t>
      </w:r>
      <w:r w:rsidRPr="009230A6">
        <w:rPr>
          <w:lang w:val="en-CA"/>
        </w:rPr>
        <w:t>36.</w:t>
      </w:r>
    </w:p>
  </w:footnote>
  <w:footnote w:id="160">
    <w:p w14:paraId="5F466A2E" w14:textId="58A9BBC4" w:rsidR="00550561" w:rsidRPr="009230A6" w:rsidRDefault="00550561" w:rsidP="00550561">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I</w:t>
      </w:r>
      <w:r w:rsidR="00B00E9A" w:rsidRPr="009230A6">
        <w:rPr>
          <w:i/>
          <w:iCs/>
          <w:lang w:val="en-CA"/>
        </w:rPr>
        <w:t>bi</w:t>
      </w:r>
      <w:r w:rsidRPr="009230A6">
        <w:rPr>
          <w:i/>
          <w:iCs/>
          <w:lang w:val="en-CA"/>
        </w:rPr>
        <w:t>d</w:t>
      </w:r>
      <w:r w:rsidRPr="009230A6">
        <w:rPr>
          <w:lang w:val="en-CA"/>
        </w:rPr>
        <w:t>.</w:t>
      </w:r>
      <w:r w:rsidR="00B00E9A" w:rsidRPr="009230A6">
        <w:rPr>
          <w:lang w:val="en-CA"/>
        </w:rPr>
        <w:t xml:space="preserve"> at</w:t>
      </w:r>
      <w:r w:rsidRPr="009230A6">
        <w:rPr>
          <w:lang w:val="en-CA"/>
        </w:rPr>
        <w:t> </w:t>
      </w:r>
      <w:r w:rsidR="00D81D3B">
        <w:rPr>
          <w:lang w:val="en-CA"/>
        </w:rPr>
        <w:t xml:space="preserve">p. </w:t>
      </w:r>
      <w:r w:rsidRPr="009230A6">
        <w:rPr>
          <w:lang w:val="en-CA"/>
        </w:rPr>
        <w:t>39.</w:t>
      </w:r>
    </w:p>
  </w:footnote>
  <w:footnote w:id="161">
    <w:p w14:paraId="0DBE8737" w14:textId="001FB921" w:rsidR="00550561" w:rsidRPr="00181AF0" w:rsidRDefault="00550561" w:rsidP="00550561">
      <w:pPr>
        <w:pStyle w:val="Notedebasdepage"/>
        <w:rPr>
          <w:lang w:val="en-CA"/>
        </w:rPr>
      </w:pPr>
      <w:r w:rsidRPr="00181AF0">
        <w:rPr>
          <w:rStyle w:val="Appelnotedebasdep"/>
          <w:lang w:val="en-CA"/>
        </w:rPr>
        <w:footnoteRef/>
      </w:r>
      <w:r w:rsidRPr="00181AF0">
        <w:rPr>
          <w:lang w:val="en-CA"/>
        </w:rPr>
        <w:t xml:space="preserve"> </w:t>
      </w:r>
      <w:r w:rsidRPr="00181AF0">
        <w:rPr>
          <w:lang w:val="en-CA"/>
        </w:rPr>
        <w:tab/>
      </w:r>
      <w:r w:rsidR="00B00E9A" w:rsidRPr="00181AF0">
        <w:rPr>
          <w:lang w:val="en-CA"/>
        </w:rPr>
        <w:t xml:space="preserve">As the Superior Court notes in </w:t>
      </w:r>
      <w:r w:rsidRPr="009F7A40">
        <w:rPr>
          <w:i/>
          <w:iCs/>
          <w:lang w:val="en-CA"/>
        </w:rPr>
        <w:t>Johnson</w:t>
      </w:r>
      <w:r w:rsidRPr="00181AF0">
        <w:rPr>
          <w:i/>
          <w:iCs/>
          <w:lang w:val="en-CA"/>
        </w:rPr>
        <w:t xml:space="preserve"> </w:t>
      </w:r>
      <w:r w:rsidRPr="009F7A40">
        <w:rPr>
          <w:i/>
          <w:iCs/>
          <w:lang w:val="en-CA"/>
        </w:rPr>
        <w:t>c</w:t>
      </w:r>
      <w:r w:rsidRPr="00181AF0">
        <w:rPr>
          <w:i/>
          <w:iCs/>
          <w:lang w:val="en-CA"/>
        </w:rPr>
        <w:t>. Castilloux</w:t>
      </w:r>
      <w:r w:rsidRPr="00181AF0">
        <w:rPr>
          <w:lang w:val="en-CA"/>
        </w:rPr>
        <w:t xml:space="preserve">, </w:t>
      </w:r>
      <w:r w:rsidR="00181AF0" w:rsidRPr="00181AF0">
        <w:rPr>
          <w:i/>
          <w:iCs/>
          <w:lang w:val="en-CA"/>
        </w:rPr>
        <w:t>supra</w:t>
      </w:r>
      <w:r w:rsidR="00B00E9A" w:rsidRPr="00181AF0">
        <w:rPr>
          <w:lang w:val="en-CA"/>
        </w:rPr>
        <w:t xml:space="preserve"> n</w:t>
      </w:r>
      <w:r w:rsidRPr="00181AF0">
        <w:rPr>
          <w:lang w:val="en-CA"/>
        </w:rPr>
        <w:t>ote 65</w:t>
      </w:r>
      <w:r w:rsidR="00B00E9A" w:rsidRPr="00181AF0">
        <w:rPr>
          <w:lang w:val="en-CA"/>
        </w:rPr>
        <w:t xml:space="preserve"> at</w:t>
      </w:r>
      <w:r w:rsidRPr="00181AF0">
        <w:rPr>
          <w:lang w:val="en-CA"/>
        </w:rPr>
        <w:t xml:space="preserve"> par</w:t>
      </w:r>
      <w:r w:rsidR="00B00E9A" w:rsidRPr="00181AF0">
        <w:rPr>
          <w:lang w:val="en-CA"/>
        </w:rPr>
        <w:t>a</w:t>
      </w:r>
      <w:r w:rsidRPr="00181AF0">
        <w:rPr>
          <w:lang w:val="en-CA"/>
        </w:rPr>
        <w:t>. 133:</w:t>
      </w:r>
      <w:r w:rsidR="00181AF0" w:rsidRPr="00181AF0">
        <w:rPr>
          <w:lang w:val="en-CA"/>
        </w:rPr>
        <w:t xml:space="preserve"> [</w:t>
      </w:r>
      <w:r w:rsidR="00181AF0" w:rsidRPr="00181AF0">
        <w:rPr>
          <w:smallCaps/>
          <w:lang w:val="en-CA"/>
        </w:rPr>
        <w:t>translation</w:t>
      </w:r>
      <w:r w:rsidR="00181AF0" w:rsidRPr="00181AF0">
        <w:rPr>
          <w:lang w:val="en-CA"/>
        </w:rPr>
        <w:t>] “The use of force involves the risk of injury</w:t>
      </w:r>
      <w:r w:rsidR="00181AF0">
        <w:rPr>
          <w:lang w:val="en-CA"/>
        </w:rPr>
        <w:t>”.</w:t>
      </w:r>
    </w:p>
  </w:footnote>
  <w:footnote w:id="162">
    <w:p w14:paraId="55F51ABC" w14:textId="030D64C7" w:rsidR="00550561" w:rsidRDefault="00550561" w:rsidP="00550561">
      <w:pPr>
        <w:pStyle w:val="Notedebasdepage"/>
      </w:pPr>
      <w:r>
        <w:rPr>
          <w:rStyle w:val="Appelnotedebasdep"/>
        </w:rPr>
        <w:footnoteRef/>
      </w:r>
      <w:r w:rsidRPr="00B7483C">
        <w:t xml:space="preserve"> </w:t>
      </w:r>
      <w:r w:rsidRPr="00B7483C">
        <w:tab/>
      </w:r>
      <w:r w:rsidR="00181AF0">
        <w:t>E</w:t>
      </w:r>
      <w:r w:rsidR="00181AF0" w:rsidRPr="009F7A40">
        <w:t>xhibit</w:t>
      </w:r>
      <w:r w:rsidRPr="00B7483C">
        <w:t xml:space="preserve"> P-10, </w:t>
      </w:r>
      <w:r w:rsidRPr="009F7A40">
        <w:t>Ministère de la Sécurité publique du Québec</w:t>
      </w:r>
      <w:r w:rsidRPr="00B7483C">
        <w:t xml:space="preserve">, </w:t>
      </w:r>
      <w:r w:rsidRPr="009F7A40">
        <w:t>Direction générale des services correctionnels</w:t>
      </w:r>
      <w:r w:rsidRPr="00B7483C">
        <w:t xml:space="preserve">, </w:t>
      </w:r>
      <w:r w:rsidRPr="009F7A40">
        <w:t>Direction du conseil à l’organisation</w:t>
      </w:r>
      <w:r w:rsidRPr="00B7483C">
        <w:t xml:space="preserve">, </w:t>
      </w:r>
      <w:r w:rsidRPr="00B7483C">
        <w:rPr>
          <w:i/>
          <w:iCs/>
        </w:rPr>
        <w:t xml:space="preserve">Prise en charge d’une </w:t>
      </w:r>
      <w:r w:rsidRPr="009F7A40">
        <w:rPr>
          <w:i/>
          <w:iCs/>
        </w:rPr>
        <w:t>personne incarcérée</w:t>
      </w:r>
      <w:r w:rsidRPr="00B7483C">
        <w:rPr>
          <w:i/>
          <w:iCs/>
        </w:rPr>
        <w:t xml:space="preserve"> et </w:t>
      </w:r>
      <w:r w:rsidRPr="009F7A40">
        <w:rPr>
          <w:i/>
          <w:iCs/>
        </w:rPr>
        <w:t>gestion des documents légaux</w:t>
      </w:r>
      <w:r w:rsidRPr="00B7483C">
        <w:t xml:space="preserve">, </w:t>
      </w:r>
      <w:r w:rsidR="005963F2">
        <w:t>V</w:t>
      </w:r>
      <w:r w:rsidRPr="00B7483C">
        <w:t>ol. 2</w:t>
      </w:r>
      <w:r w:rsidR="005963F2">
        <w:t>, Sector</w:t>
      </w:r>
      <w:r w:rsidRPr="00B7483C">
        <w:t> 1, Section A,</w:t>
      </w:r>
      <w:r w:rsidR="005963F2">
        <w:t xml:space="preserve"> Exhibit </w:t>
      </w:r>
      <w:r w:rsidRPr="00B7483C">
        <w:t>01 (</w:t>
      </w:r>
      <w:r w:rsidR="005963F2">
        <w:t>updated</w:t>
      </w:r>
      <w:r w:rsidRPr="00B7483C">
        <w:t xml:space="preserve"> 2 </w:t>
      </w:r>
      <w:r w:rsidR="005963F2">
        <w:t>May</w:t>
      </w:r>
      <w:r w:rsidRPr="00B7483C">
        <w:t xml:space="preserve"> 2016).</w:t>
      </w:r>
    </w:p>
  </w:footnote>
  <w:footnote w:id="163">
    <w:p w14:paraId="58762485" w14:textId="259A6984" w:rsidR="00550561" w:rsidRPr="005E45FB" w:rsidRDefault="00550561" w:rsidP="00550561">
      <w:pPr>
        <w:pStyle w:val="Notedebasdepage"/>
        <w:rPr>
          <w:lang w:val="en-CA"/>
        </w:rPr>
      </w:pPr>
      <w:r>
        <w:rPr>
          <w:rStyle w:val="Appelnotedebasdep"/>
        </w:rPr>
        <w:footnoteRef/>
      </w:r>
      <w:r w:rsidRPr="005E45FB">
        <w:rPr>
          <w:lang w:val="en-CA"/>
        </w:rPr>
        <w:t xml:space="preserve"> </w:t>
      </w:r>
      <w:r w:rsidRPr="005E45FB">
        <w:rPr>
          <w:lang w:val="en-CA"/>
        </w:rPr>
        <w:tab/>
      </w:r>
      <w:r w:rsidRPr="009F7A40">
        <w:rPr>
          <w:i/>
          <w:iCs/>
          <w:lang w:val="en-CA"/>
        </w:rPr>
        <w:t>I</w:t>
      </w:r>
      <w:r w:rsidR="005963F2" w:rsidRPr="009F7A40">
        <w:rPr>
          <w:i/>
          <w:iCs/>
          <w:lang w:val="en-CA"/>
        </w:rPr>
        <w:t>bi</w:t>
      </w:r>
      <w:r w:rsidRPr="009F7A40">
        <w:rPr>
          <w:i/>
          <w:iCs/>
          <w:lang w:val="en-CA"/>
        </w:rPr>
        <w:t>d</w:t>
      </w:r>
      <w:r w:rsidRPr="009F7A40">
        <w:rPr>
          <w:lang w:val="en-CA"/>
        </w:rPr>
        <w:t>.</w:t>
      </w:r>
      <w:r w:rsidR="005963F2" w:rsidRPr="009F7A40">
        <w:rPr>
          <w:lang w:val="en-CA"/>
        </w:rPr>
        <w:t xml:space="preserve"> at </w:t>
      </w:r>
      <w:r w:rsidR="00D81D3B">
        <w:rPr>
          <w:lang w:val="en-CA"/>
        </w:rPr>
        <w:t xml:space="preserve">p. </w:t>
      </w:r>
      <w:r w:rsidRPr="009F7A40">
        <w:rPr>
          <w:lang w:val="en-CA"/>
        </w:rPr>
        <w:t xml:space="preserve">17 </w:t>
      </w:r>
      <w:r w:rsidR="005963F2" w:rsidRPr="009F7A40">
        <w:rPr>
          <w:lang w:val="en-CA"/>
        </w:rPr>
        <w:t xml:space="preserve">of </w:t>
      </w:r>
      <w:r w:rsidRPr="009F7A40">
        <w:rPr>
          <w:lang w:val="en-CA"/>
        </w:rPr>
        <w:t>28.</w:t>
      </w:r>
    </w:p>
  </w:footnote>
  <w:footnote w:id="164">
    <w:p w14:paraId="2A62433A" w14:textId="596C4C28" w:rsidR="00550561" w:rsidRPr="005E45FB" w:rsidRDefault="00550561" w:rsidP="00550561">
      <w:pPr>
        <w:pStyle w:val="Notedebasdepage"/>
        <w:rPr>
          <w:lang w:val="en-CA"/>
        </w:rPr>
      </w:pPr>
      <w:r>
        <w:rPr>
          <w:rStyle w:val="Appelnotedebasdep"/>
        </w:rPr>
        <w:footnoteRef/>
      </w:r>
      <w:r w:rsidRPr="005E45FB">
        <w:rPr>
          <w:lang w:val="en-CA"/>
        </w:rPr>
        <w:t xml:space="preserve"> </w:t>
      </w:r>
      <w:r w:rsidRPr="005E45FB">
        <w:rPr>
          <w:lang w:val="en-CA"/>
        </w:rPr>
        <w:tab/>
      </w:r>
      <w:r w:rsidRPr="009F7A40">
        <w:rPr>
          <w:i/>
          <w:iCs/>
          <w:lang w:val="en-CA"/>
        </w:rPr>
        <w:t>I</w:t>
      </w:r>
      <w:r w:rsidR="00A273ED" w:rsidRPr="009F7A40">
        <w:rPr>
          <w:i/>
          <w:iCs/>
          <w:lang w:val="en-CA"/>
        </w:rPr>
        <w:t>bi</w:t>
      </w:r>
      <w:r w:rsidRPr="009F7A40">
        <w:rPr>
          <w:i/>
          <w:iCs/>
          <w:lang w:val="en-CA"/>
        </w:rPr>
        <w:t>d</w:t>
      </w:r>
      <w:r w:rsidRPr="009F7A40">
        <w:rPr>
          <w:lang w:val="en-CA"/>
        </w:rPr>
        <w:t>.</w:t>
      </w:r>
      <w:r w:rsidR="00A273ED" w:rsidRPr="009F7A40">
        <w:rPr>
          <w:lang w:val="en-CA"/>
        </w:rPr>
        <w:t xml:space="preserve"> at</w:t>
      </w:r>
      <w:r w:rsidRPr="009F7A40">
        <w:rPr>
          <w:lang w:val="en-CA"/>
        </w:rPr>
        <w:t> </w:t>
      </w:r>
      <w:r w:rsidR="00D81D3B">
        <w:rPr>
          <w:lang w:val="en-CA"/>
        </w:rPr>
        <w:t xml:space="preserve">p. </w:t>
      </w:r>
      <w:r w:rsidRPr="009F7A40">
        <w:rPr>
          <w:lang w:val="en-CA"/>
        </w:rPr>
        <w:t xml:space="preserve">18 </w:t>
      </w:r>
      <w:r w:rsidR="00A273ED" w:rsidRPr="009F7A40">
        <w:rPr>
          <w:lang w:val="en-CA"/>
        </w:rPr>
        <w:t xml:space="preserve">of </w:t>
      </w:r>
      <w:r w:rsidRPr="009F7A40">
        <w:rPr>
          <w:lang w:val="en-CA"/>
        </w:rPr>
        <w:t>28.</w:t>
      </w:r>
    </w:p>
  </w:footnote>
  <w:footnote w:id="165">
    <w:p w14:paraId="6535AA00" w14:textId="68D851FA" w:rsidR="00550561" w:rsidRPr="005E45FB" w:rsidRDefault="00550561" w:rsidP="00550561">
      <w:pPr>
        <w:pStyle w:val="Notedebasdepage"/>
        <w:rPr>
          <w:lang w:val="en-CA"/>
        </w:rPr>
      </w:pPr>
      <w:r>
        <w:rPr>
          <w:rStyle w:val="Appelnotedebasdep"/>
        </w:rPr>
        <w:footnoteRef/>
      </w:r>
      <w:r w:rsidRPr="005E45FB">
        <w:rPr>
          <w:lang w:val="en-CA"/>
        </w:rPr>
        <w:t xml:space="preserve"> </w:t>
      </w:r>
      <w:r w:rsidRPr="005E45FB">
        <w:rPr>
          <w:lang w:val="en-CA"/>
        </w:rPr>
        <w:tab/>
      </w:r>
      <w:r w:rsidRPr="009F7A40">
        <w:rPr>
          <w:lang w:val="en-CA"/>
        </w:rPr>
        <w:t xml:space="preserve">P-12, </w:t>
      </w:r>
      <w:r w:rsidR="00A273ED" w:rsidRPr="009F7A40">
        <w:rPr>
          <w:i/>
          <w:iCs/>
          <w:lang w:val="en-CA"/>
        </w:rPr>
        <w:t>supra</w:t>
      </w:r>
      <w:r w:rsidR="00A273ED" w:rsidRPr="009F7A40">
        <w:rPr>
          <w:lang w:val="en-CA"/>
        </w:rPr>
        <w:t xml:space="preserve"> </w:t>
      </w:r>
      <w:r w:rsidRPr="009F7A40">
        <w:rPr>
          <w:lang w:val="en-CA"/>
        </w:rPr>
        <w:t>note 129</w:t>
      </w:r>
      <w:r w:rsidR="00A273ED" w:rsidRPr="009F7A40">
        <w:rPr>
          <w:lang w:val="en-CA"/>
        </w:rPr>
        <w:t xml:space="preserve"> </w:t>
      </w:r>
      <w:r w:rsidR="005432D7">
        <w:rPr>
          <w:lang w:val="en-CA"/>
        </w:rPr>
        <w:t>at</w:t>
      </w:r>
      <w:r w:rsidR="00A273ED" w:rsidRPr="009F7A40">
        <w:rPr>
          <w:lang w:val="en-CA"/>
        </w:rPr>
        <w:t xml:space="preserve"> </w:t>
      </w:r>
      <w:r w:rsidR="00D81D3B">
        <w:rPr>
          <w:lang w:val="en-CA"/>
        </w:rPr>
        <w:t xml:space="preserve">p. </w:t>
      </w:r>
      <w:r w:rsidRPr="009F7A40">
        <w:rPr>
          <w:lang w:val="en-CA"/>
        </w:rPr>
        <w:t>9.</w:t>
      </w:r>
    </w:p>
  </w:footnote>
  <w:footnote w:id="166">
    <w:p w14:paraId="2999A72B" w14:textId="7848B7B9" w:rsidR="00550561" w:rsidRPr="005E45FB" w:rsidRDefault="00550561" w:rsidP="00550561">
      <w:pPr>
        <w:pStyle w:val="Notedebasdepage"/>
        <w:rPr>
          <w:lang w:val="en-CA"/>
        </w:rPr>
      </w:pPr>
      <w:r>
        <w:rPr>
          <w:rStyle w:val="Appelnotedebasdep"/>
        </w:rPr>
        <w:footnoteRef/>
      </w:r>
      <w:r w:rsidRPr="005E45FB">
        <w:rPr>
          <w:lang w:val="en-CA"/>
        </w:rPr>
        <w:t xml:space="preserve"> </w:t>
      </w:r>
      <w:r w:rsidRPr="005E45FB">
        <w:rPr>
          <w:lang w:val="en-CA"/>
        </w:rPr>
        <w:tab/>
      </w:r>
      <w:r w:rsidRPr="009F7A40">
        <w:rPr>
          <w:lang w:val="en-CA"/>
        </w:rPr>
        <w:t>P-14,</w:t>
      </w:r>
      <w:r w:rsidR="00A273ED" w:rsidRPr="009F7A40">
        <w:rPr>
          <w:lang w:val="en-CA"/>
        </w:rPr>
        <w:t xml:space="preserve"> </w:t>
      </w:r>
      <w:r w:rsidR="00A273ED" w:rsidRPr="009F7A40">
        <w:rPr>
          <w:i/>
          <w:iCs/>
          <w:lang w:val="en-CA"/>
        </w:rPr>
        <w:t>supra</w:t>
      </w:r>
      <w:r w:rsidRPr="009F7A40">
        <w:rPr>
          <w:lang w:val="en-CA"/>
        </w:rPr>
        <w:t xml:space="preserve"> note 4</w:t>
      </w:r>
      <w:r w:rsidR="00A273ED" w:rsidRPr="009F7A40">
        <w:rPr>
          <w:lang w:val="en-CA"/>
        </w:rPr>
        <w:t xml:space="preserve"> at</w:t>
      </w:r>
      <w:r w:rsidRPr="009F7A40">
        <w:rPr>
          <w:lang w:val="en-CA"/>
        </w:rPr>
        <w:t> </w:t>
      </w:r>
      <w:r w:rsidR="00D81D3B">
        <w:rPr>
          <w:lang w:val="en-CA"/>
        </w:rPr>
        <w:t xml:space="preserve">pp. </w:t>
      </w:r>
      <w:r w:rsidRPr="009F7A40">
        <w:rPr>
          <w:lang w:val="en-CA"/>
        </w:rPr>
        <w:t>30</w:t>
      </w:r>
      <w:r w:rsidR="00A273ED" w:rsidRPr="009F7A40">
        <w:rPr>
          <w:lang w:val="en-CA"/>
        </w:rPr>
        <w:t>–</w:t>
      </w:r>
      <w:r w:rsidRPr="009F7A40">
        <w:rPr>
          <w:lang w:val="en-CA"/>
        </w:rPr>
        <w:t>31.</w:t>
      </w:r>
    </w:p>
  </w:footnote>
  <w:footnote w:id="167">
    <w:p w14:paraId="6380ADA9" w14:textId="289E0E1A" w:rsidR="00B7483C" w:rsidRPr="00DD7E52" w:rsidRDefault="001834C5">
      <w:pPr>
        <w:pStyle w:val="Notedebasdepage"/>
        <w:rPr>
          <w:lang w:val="en-CA"/>
        </w:rPr>
      </w:pPr>
      <w:r>
        <w:rPr>
          <w:rStyle w:val="Appelnotedebasdep"/>
        </w:rPr>
        <w:footnoteRef/>
      </w:r>
      <w:r w:rsidRPr="00DD7E52">
        <w:rPr>
          <w:lang w:val="en-CA"/>
        </w:rPr>
        <w:t xml:space="preserve"> </w:t>
      </w:r>
      <w:r w:rsidRPr="00DD7E52">
        <w:rPr>
          <w:lang w:val="en-CA"/>
        </w:rPr>
        <w:tab/>
      </w:r>
      <w:r w:rsidRPr="009F7A40">
        <w:rPr>
          <w:i/>
          <w:iCs/>
          <w:lang w:val="en-CA"/>
        </w:rPr>
        <w:t>I</w:t>
      </w:r>
      <w:r w:rsidR="00A273ED" w:rsidRPr="009F7A40">
        <w:rPr>
          <w:i/>
          <w:iCs/>
          <w:lang w:val="en-CA"/>
        </w:rPr>
        <w:t>bi</w:t>
      </w:r>
      <w:r w:rsidRPr="009F7A40">
        <w:rPr>
          <w:i/>
          <w:iCs/>
          <w:lang w:val="en-CA"/>
        </w:rPr>
        <w:t>d.</w:t>
      </w:r>
      <w:r w:rsidR="00A273ED" w:rsidRPr="009F7A40">
        <w:rPr>
          <w:i/>
          <w:iCs/>
          <w:lang w:val="en-CA"/>
        </w:rPr>
        <w:t xml:space="preserve"> </w:t>
      </w:r>
      <w:r w:rsidR="00A273ED" w:rsidRPr="009F7A40">
        <w:rPr>
          <w:lang w:val="en-CA"/>
        </w:rPr>
        <w:t xml:space="preserve">at </w:t>
      </w:r>
      <w:r w:rsidR="00822959">
        <w:rPr>
          <w:lang w:val="en-CA"/>
        </w:rPr>
        <w:t xml:space="preserve">p. </w:t>
      </w:r>
      <w:r w:rsidRPr="009F7A40">
        <w:rPr>
          <w:lang w:val="en-CA"/>
        </w:rPr>
        <w:t>31.</w:t>
      </w:r>
    </w:p>
  </w:footnote>
  <w:footnote w:id="168">
    <w:p w14:paraId="5D2AA84F" w14:textId="3027D796" w:rsidR="00550561" w:rsidRPr="00A108E1" w:rsidRDefault="00550561" w:rsidP="00550561">
      <w:pPr>
        <w:pStyle w:val="Notedebasdepage"/>
        <w:rPr>
          <w:lang w:val="en-CA"/>
        </w:rPr>
      </w:pPr>
      <w:r>
        <w:rPr>
          <w:rStyle w:val="Appelnotedebasdep"/>
        </w:rPr>
        <w:footnoteRef/>
      </w:r>
      <w:r w:rsidRPr="00A108E1">
        <w:rPr>
          <w:lang w:val="en-CA"/>
        </w:rPr>
        <w:t xml:space="preserve"> </w:t>
      </w:r>
      <w:r w:rsidRPr="00A108E1">
        <w:rPr>
          <w:lang w:val="en-CA"/>
        </w:rPr>
        <w:tab/>
      </w:r>
      <w:r w:rsidRPr="009F7A40">
        <w:rPr>
          <w:i/>
          <w:iCs/>
          <w:lang w:val="en-CA"/>
        </w:rPr>
        <w:t xml:space="preserve">Central Okanagan School District No. 23 </w:t>
      </w:r>
      <w:r w:rsidR="00A273ED" w:rsidRPr="009F7A40">
        <w:rPr>
          <w:i/>
          <w:iCs/>
          <w:lang w:val="en-CA"/>
        </w:rPr>
        <w:t>v</w:t>
      </w:r>
      <w:r w:rsidRPr="009F7A40">
        <w:rPr>
          <w:i/>
          <w:iCs/>
          <w:lang w:val="en-CA"/>
        </w:rPr>
        <w:t>. Renaud</w:t>
      </w:r>
      <w:r w:rsidRPr="009F7A40">
        <w:rPr>
          <w:lang w:val="en-CA"/>
        </w:rPr>
        <w:t>, 1992 CanLII 81 (</w:t>
      </w:r>
      <w:r w:rsidR="00A273ED" w:rsidRPr="009F7A40">
        <w:rPr>
          <w:lang w:val="en-CA"/>
        </w:rPr>
        <w:t>SCC</w:t>
      </w:r>
      <w:r w:rsidRPr="009F7A40">
        <w:rPr>
          <w:lang w:val="en-CA"/>
        </w:rPr>
        <w:t>), [1992] 2 </w:t>
      </w:r>
      <w:r w:rsidR="00A273ED" w:rsidRPr="009F7A40">
        <w:rPr>
          <w:lang w:val="en-CA"/>
        </w:rPr>
        <w:t xml:space="preserve">SCR </w:t>
      </w:r>
      <w:r w:rsidRPr="009F7A40">
        <w:rPr>
          <w:lang w:val="en-CA"/>
        </w:rPr>
        <w:t>970</w:t>
      </w:r>
      <w:r w:rsidR="00A273ED" w:rsidRPr="009F7A40">
        <w:rPr>
          <w:lang w:val="en-CA"/>
        </w:rPr>
        <w:t xml:space="preserve"> at</w:t>
      </w:r>
      <w:r w:rsidRPr="009F7A40">
        <w:rPr>
          <w:lang w:val="en-CA"/>
        </w:rPr>
        <w:t> </w:t>
      </w:r>
      <w:r w:rsidR="00822959">
        <w:rPr>
          <w:lang w:val="en-CA"/>
        </w:rPr>
        <w:t xml:space="preserve">p. </w:t>
      </w:r>
      <w:r w:rsidRPr="009F7A40">
        <w:rPr>
          <w:lang w:val="en-CA"/>
        </w:rPr>
        <w:t>984.</w:t>
      </w:r>
    </w:p>
  </w:footnote>
  <w:footnote w:id="169">
    <w:p w14:paraId="72C1EA3D" w14:textId="6CB0E101" w:rsidR="00550561" w:rsidRPr="009230A6" w:rsidRDefault="00550561" w:rsidP="00550561">
      <w:pPr>
        <w:pStyle w:val="Notedebasdepage"/>
      </w:pPr>
      <w:r w:rsidRPr="00407925">
        <w:rPr>
          <w:rStyle w:val="Appelnotedebasdep"/>
          <w:lang w:val="en-CA"/>
        </w:rPr>
        <w:footnoteRef/>
      </w:r>
      <w:r w:rsidRPr="00407925">
        <w:rPr>
          <w:lang w:val="en-CA"/>
        </w:rPr>
        <w:t xml:space="preserve"> </w:t>
      </w:r>
      <w:r w:rsidRPr="00407925">
        <w:rPr>
          <w:lang w:val="en-CA"/>
        </w:rPr>
        <w:tab/>
      </w:r>
      <w:r w:rsidRPr="00407925">
        <w:rPr>
          <w:i/>
          <w:iCs/>
          <w:lang w:val="en-CA"/>
        </w:rPr>
        <w:t>The United Nations Standard Minimum Rules for the Treatment of Prisoners</w:t>
      </w:r>
      <w:r w:rsidRPr="00407925">
        <w:rPr>
          <w:lang w:val="en-CA"/>
        </w:rPr>
        <w:t xml:space="preserve">, </w:t>
      </w:r>
      <w:r w:rsidR="005E45FB" w:rsidRPr="00407925">
        <w:rPr>
          <w:lang w:val="en-CA"/>
        </w:rPr>
        <w:t>United Nations General Assembly, UN Doc</w:t>
      </w:r>
      <w:r w:rsidRPr="00407925">
        <w:rPr>
          <w:lang w:val="en-CA"/>
        </w:rPr>
        <w:t xml:space="preserve"> A/RES/70/175</w:t>
      </w:r>
      <w:r w:rsidR="005E45FB" w:rsidRPr="00407925">
        <w:rPr>
          <w:lang w:val="en-CA"/>
        </w:rPr>
        <w:t xml:space="preserve"> (1</w:t>
      </w:r>
      <w:r w:rsidRPr="00407925">
        <w:rPr>
          <w:lang w:val="en-CA"/>
        </w:rPr>
        <w:t>7 </w:t>
      </w:r>
      <w:r w:rsidR="005E45FB" w:rsidRPr="00407925">
        <w:rPr>
          <w:lang w:val="en-CA"/>
        </w:rPr>
        <w:t>December</w:t>
      </w:r>
      <w:r w:rsidRPr="00407925">
        <w:rPr>
          <w:lang w:val="en-CA"/>
        </w:rPr>
        <w:t xml:space="preserve"> 2015</w:t>
      </w:r>
      <w:r w:rsidR="005E45FB" w:rsidRPr="00407925">
        <w:rPr>
          <w:lang w:val="en-CA"/>
        </w:rPr>
        <w:t>)</w:t>
      </w:r>
      <w:r w:rsidRPr="00407925">
        <w:rPr>
          <w:lang w:val="en-CA"/>
        </w:rPr>
        <w:t xml:space="preserve">, </w:t>
      </w:r>
      <w:r w:rsidR="005E45FB" w:rsidRPr="00407925">
        <w:rPr>
          <w:lang w:val="en-CA"/>
        </w:rPr>
        <w:t xml:space="preserve">Rule </w:t>
      </w:r>
      <w:r w:rsidRPr="00407925">
        <w:rPr>
          <w:lang w:val="en-CA"/>
        </w:rPr>
        <w:t>1 (</w:t>
      </w:r>
      <w:r w:rsidR="005E45FB" w:rsidRPr="00407925">
        <w:rPr>
          <w:i/>
          <w:iCs/>
          <w:lang w:val="en-CA"/>
        </w:rPr>
        <w:t>Nelson</w:t>
      </w:r>
      <w:r w:rsidR="005E45FB" w:rsidRPr="00407925">
        <w:rPr>
          <w:lang w:val="en-CA"/>
        </w:rPr>
        <w:t xml:space="preserve"> </w:t>
      </w:r>
      <w:r w:rsidR="005E45FB" w:rsidRPr="00407925">
        <w:rPr>
          <w:i/>
          <w:iCs/>
          <w:lang w:val="en-CA"/>
        </w:rPr>
        <w:t>Mandela</w:t>
      </w:r>
      <w:r w:rsidR="005E45FB" w:rsidRPr="00407925">
        <w:rPr>
          <w:lang w:val="en-CA"/>
        </w:rPr>
        <w:t xml:space="preserve"> </w:t>
      </w:r>
      <w:r w:rsidR="005E45FB" w:rsidRPr="00407925">
        <w:rPr>
          <w:i/>
          <w:iCs/>
          <w:lang w:val="en-CA"/>
        </w:rPr>
        <w:t>Rules</w:t>
      </w:r>
      <w:r w:rsidRPr="00407925">
        <w:rPr>
          <w:lang w:val="en-CA"/>
        </w:rPr>
        <w:t xml:space="preserve">). </w:t>
      </w:r>
      <w:r w:rsidR="005E45FB" w:rsidRPr="00407925">
        <w:rPr>
          <w:lang w:val="en-CA"/>
        </w:rPr>
        <w:t>On the use of international norms for the purposes of interpreting domestic law, see in particular</w:t>
      </w:r>
      <w:r w:rsidRPr="00407925">
        <w:rPr>
          <w:lang w:val="en-CA"/>
        </w:rPr>
        <w:t xml:space="preserve"> </w:t>
      </w:r>
      <w:r w:rsidR="005E45FB" w:rsidRPr="00407925">
        <w:rPr>
          <w:i/>
          <w:iCs/>
          <w:lang w:val="en-CA"/>
        </w:rPr>
        <w:t>Canadian Council for Refugees v. Canada (Citizenship and Immigration)</w:t>
      </w:r>
      <w:r w:rsidRPr="00407925">
        <w:rPr>
          <w:lang w:val="en-CA"/>
        </w:rPr>
        <w:t>, 2023 </w:t>
      </w:r>
      <w:r w:rsidR="005E45FB" w:rsidRPr="00407925">
        <w:rPr>
          <w:lang w:val="en-CA"/>
        </w:rPr>
        <w:t>SCC</w:t>
      </w:r>
      <w:r w:rsidRPr="00407925">
        <w:rPr>
          <w:lang w:val="en-CA"/>
        </w:rPr>
        <w:t> 17</w:t>
      </w:r>
      <w:r w:rsidR="005E45FB" w:rsidRPr="00407925">
        <w:rPr>
          <w:lang w:val="en-CA"/>
        </w:rPr>
        <w:t xml:space="preserve"> at</w:t>
      </w:r>
      <w:r w:rsidRPr="00407925">
        <w:rPr>
          <w:lang w:val="en-CA"/>
        </w:rPr>
        <w:t xml:space="preserve"> par</w:t>
      </w:r>
      <w:r w:rsidR="005E45FB" w:rsidRPr="00407925">
        <w:rPr>
          <w:lang w:val="en-CA"/>
        </w:rPr>
        <w:t>a</w:t>
      </w:r>
      <w:r w:rsidRPr="00407925">
        <w:rPr>
          <w:lang w:val="en-CA"/>
        </w:rPr>
        <w:t xml:space="preserve">. </w:t>
      </w:r>
      <w:r w:rsidRPr="00407925">
        <w:t xml:space="preserve">144; </w:t>
      </w:r>
      <w:r w:rsidRPr="00407925">
        <w:rPr>
          <w:i/>
          <w:iCs/>
        </w:rPr>
        <w:t>Turbide Labbé c. Ministère de la Sécurité publique</w:t>
      </w:r>
      <w:r w:rsidRPr="00407925">
        <w:t xml:space="preserve">, 2021 QCCA 1687; </w:t>
      </w:r>
      <w:r w:rsidRPr="00407925">
        <w:rPr>
          <w:i/>
          <w:iCs/>
        </w:rPr>
        <w:t>Fournier c. Procureur général du Canada</w:t>
      </w:r>
      <w:r w:rsidRPr="00407925">
        <w:t>, 2023 QCCS 2895</w:t>
      </w:r>
      <w:r w:rsidR="005E45FB" w:rsidRPr="00407925">
        <w:t xml:space="preserve"> at</w:t>
      </w:r>
      <w:r w:rsidRPr="00407925">
        <w:t xml:space="preserve"> par</w:t>
      </w:r>
      <w:r w:rsidR="005E45FB" w:rsidRPr="00407925">
        <w:t>a</w:t>
      </w:r>
      <w:r w:rsidRPr="00407925">
        <w:t xml:space="preserve">. 49; </w:t>
      </w:r>
      <w:r w:rsidR="005E45FB" w:rsidRPr="00407925">
        <w:t xml:space="preserve">Martel &amp; Bensimon, </w:t>
      </w:r>
      <w:r w:rsidR="005E45FB" w:rsidRPr="00407925">
        <w:rPr>
          <w:i/>
          <w:iCs/>
        </w:rPr>
        <w:t>supra</w:t>
      </w:r>
      <w:r w:rsidRPr="00407925">
        <w:t xml:space="preserve"> note 82</w:t>
      </w:r>
      <w:r w:rsidR="005E45FB" w:rsidRPr="00407925">
        <w:t xml:space="preserve"> at</w:t>
      </w:r>
      <w:r w:rsidRPr="00407925">
        <w:t> </w:t>
      </w:r>
      <w:r w:rsidR="00822959">
        <w:t xml:space="preserve">p. </w:t>
      </w:r>
      <w:r w:rsidRPr="00407925">
        <w:t xml:space="preserve">40; Michèle </w:t>
      </w:r>
      <w:r w:rsidR="005E45FB" w:rsidRPr="00407925">
        <w:t xml:space="preserve">Rivet &amp; </w:t>
      </w:r>
      <w:r w:rsidRPr="00407925">
        <w:t xml:space="preserve">Sylvie </w:t>
      </w:r>
      <w:r w:rsidR="005E45FB" w:rsidRPr="00407925">
        <w:t>Gagnon</w:t>
      </w:r>
      <w:r w:rsidRPr="00407925">
        <w:t xml:space="preserve">, </w:t>
      </w:r>
      <w:r w:rsidR="005E45FB" w:rsidRPr="00407925">
        <w:t>“</w:t>
      </w:r>
      <w:r w:rsidRPr="00407925">
        <w:t xml:space="preserve">Quelques considérations sur la Charte des droits et libertés de la personne du Québec et le droit </w:t>
      </w:r>
      <w:r w:rsidR="005E45FB" w:rsidRPr="00407925">
        <w:t xml:space="preserve">carceral” in </w:t>
      </w:r>
      <w:r w:rsidRPr="00407925">
        <w:rPr>
          <w:i/>
          <w:iCs/>
        </w:rPr>
        <w:t>Droits de la personne :</w:t>
      </w:r>
      <w:r w:rsidRPr="00407925">
        <w:t xml:space="preserve"> </w:t>
      </w:r>
      <w:r w:rsidRPr="00407925">
        <w:rPr>
          <w:i/>
          <w:iCs/>
        </w:rPr>
        <w:t>l’émergence de droits nouveaux</w:t>
      </w:r>
      <w:r w:rsidR="005E45FB" w:rsidRPr="00407925">
        <w:t xml:space="preserve"> (</w:t>
      </w:r>
      <w:r w:rsidRPr="00407925">
        <w:t>Cowansville,</w:t>
      </w:r>
      <w:r w:rsidR="005E45FB" w:rsidRPr="00407925">
        <w:t xml:space="preserve"> Q</w:t>
      </w:r>
      <w:r w:rsidR="005432D7">
        <w:t>C</w:t>
      </w:r>
      <w:r w:rsidR="005E45FB" w:rsidRPr="00407925">
        <w:t>:</w:t>
      </w:r>
      <w:r w:rsidRPr="00407925">
        <w:t xml:space="preserve"> Yvon Blais, 1993</w:t>
      </w:r>
      <w:r w:rsidR="005E45FB" w:rsidRPr="00407925">
        <w:t xml:space="preserve">) </w:t>
      </w:r>
      <w:r w:rsidRPr="00407925">
        <w:t>111</w:t>
      </w:r>
      <w:r w:rsidR="005E45FB" w:rsidRPr="00407925">
        <w:t xml:space="preserve"> at</w:t>
      </w:r>
      <w:r w:rsidRPr="00407925">
        <w:t> </w:t>
      </w:r>
      <w:r w:rsidR="00822959">
        <w:t xml:space="preserve">p. </w:t>
      </w:r>
      <w:r w:rsidRPr="00407925">
        <w:t>125.</w:t>
      </w:r>
    </w:p>
  </w:footnote>
  <w:footnote w:id="170">
    <w:p w14:paraId="40AF170C" w14:textId="5215F1B0" w:rsidR="00550561" w:rsidRPr="009230A6" w:rsidRDefault="00550561" w:rsidP="00550561">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 xml:space="preserve">Multani </w:t>
      </w:r>
      <w:r w:rsidR="005E45FB" w:rsidRPr="009230A6">
        <w:rPr>
          <w:i/>
          <w:iCs/>
          <w:lang w:val="en-CA"/>
        </w:rPr>
        <w:t>v</w:t>
      </w:r>
      <w:r w:rsidRPr="009230A6">
        <w:rPr>
          <w:i/>
          <w:iCs/>
          <w:lang w:val="en-CA"/>
        </w:rPr>
        <w:t>. Commission scolaire Marguerite</w:t>
      </w:r>
      <w:r w:rsidRPr="009230A6">
        <w:rPr>
          <w:rFonts w:ascii="Cambria Math" w:hAnsi="Cambria Math" w:cs="Cambria Math"/>
          <w:i/>
          <w:iCs/>
          <w:lang w:val="en-CA"/>
        </w:rPr>
        <w:t>‐</w:t>
      </w:r>
      <w:r w:rsidRPr="009230A6">
        <w:rPr>
          <w:i/>
          <w:iCs/>
          <w:lang w:val="en-CA"/>
        </w:rPr>
        <w:t>Bourgeoys</w:t>
      </w:r>
      <w:r w:rsidRPr="009230A6">
        <w:rPr>
          <w:lang w:val="en-CA"/>
        </w:rPr>
        <w:t>, 2006 </w:t>
      </w:r>
      <w:r w:rsidR="005E45FB" w:rsidRPr="009230A6">
        <w:rPr>
          <w:lang w:val="en-CA"/>
        </w:rPr>
        <w:t>SCC</w:t>
      </w:r>
      <w:r w:rsidRPr="009230A6">
        <w:rPr>
          <w:lang w:val="en-CA"/>
        </w:rPr>
        <w:t> 6, [2006] 1 </w:t>
      </w:r>
      <w:r w:rsidR="005E45FB" w:rsidRPr="009230A6">
        <w:rPr>
          <w:lang w:val="en-CA"/>
        </w:rPr>
        <w:t xml:space="preserve">SCR </w:t>
      </w:r>
      <w:r w:rsidRPr="009230A6">
        <w:rPr>
          <w:lang w:val="en-CA"/>
        </w:rPr>
        <w:t>256</w:t>
      </w:r>
      <w:r w:rsidR="005E45FB" w:rsidRPr="009230A6">
        <w:rPr>
          <w:lang w:val="en-CA"/>
        </w:rPr>
        <w:t xml:space="preserve"> at</w:t>
      </w:r>
      <w:r w:rsidRPr="009230A6">
        <w:rPr>
          <w:lang w:val="en-CA"/>
        </w:rPr>
        <w:t xml:space="preserve"> par</w:t>
      </w:r>
      <w:r w:rsidR="005E45FB" w:rsidRPr="009230A6">
        <w:rPr>
          <w:lang w:val="en-CA"/>
        </w:rPr>
        <w:t>a</w:t>
      </w:r>
      <w:r w:rsidRPr="009230A6">
        <w:rPr>
          <w:lang w:val="en-CA"/>
        </w:rPr>
        <w:t>. 46.</w:t>
      </w:r>
    </w:p>
  </w:footnote>
  <w:footnote w:id="171">
    <w:p w14:paraId="30CC93E4" w14:textId="1E72987E" w:rsidR="00550561" w:rsidRPr="005E45FB" w:rsidRDefault="00550561" w:rsidP="00550561">
      <w:pPr>
        <w:pStyle w:val="Notedebasdepage"/>
        <w:rPr>
          <w:lang w:val="en-CA"/>
        </w:rPr>
      </w:pPr>
      <w:r>
        <w:rPr>
          <w:rStyle w:val="Appelnotedebasdep"/>
        </w:rPr>
        <w:footnoteRef/>
      </w:r>
      <w:r w:rsidRPr="005E45FB">
        <w:rPr>
          <w:lang w:val="en-CA"/>
        </w:rPr>
        <w:t xml:space="preserve"> </w:t>
      </w:r>
      <w:r w:rsidRPr="005E45FB">
        <w:rPr>
          <w:lang w:val="en-CA"/>
        </w:rPr>
        <w:tab/>
      </w:r>
      <w:r w:rsidR="005E45FB" w:rsidRPr="009F7A40">
        <w:rPr>
          <w:i/>
          <w:iCs/>
          <w:lang w:val="en-CA"/>
        </w:rPr>
        <w:t>British Columbia (Superintendent of Motor Vehicles) v. British Columbia (Council of Human Rights),</w:t>
      </w:r>
      <w:r w:rsidRPr="009F7A40">
        <w:rPr>
          <w:lang w:val="en-CA"/>
        </w:rPr>
        <w:t xml:space="preserve"> 1999 CanLII 646 (</w:t>
      </w:r>
      <w:r w:rsidR="005E45FB" w:rsidRPr="009F7A40">
        <w:rPr>
          <w:lang w:val="en-CA"/>
        </w:rPr>
        <w:t>SCC</w:t>
      </w:r>
      <w:r w:rsidRPr="009F7A40">
        <w:rPr>
          <w:lang w:val="en-CA"/>
        </w:rPr>
        <w:t>), [1999] 3 </w:t>
      </w:r>
      <w:r w:rsidR="005E45FB" w:rsidRPr="009F7A40">
        <w:rPr>
          <w:lang w:val="en-CA"/>
        </w:rPr>
        <w:t xml:space="preserve">SCR </w:t>
      </w:r>
      <w:r w:rsidRPr="009F7A40">
        <w:rPr>
          <w:lang w:val="en-CA"/>
        </w:rPr>
        <w:t>868</w:t>
      </w:r>
      <w:r w:rsidR="005E45FB" w:rsidRPr="009F7A40">
        <w:rPr>
          <w:lang w:val="en-CA"/>
        </w:rPr>
        <w:t xml:space="preserve"> at</w:t>
      </w:r>
      <w:r w:rsidRPr="009F7A40">
        <w:rPr>
          <w:lang w:val="en-CA"/>
        </w:rPr>
        <w:t xml:space="preserve"> par</w:t>
      </w:r>
      <w:r w:rsidR="005E45FB" w:rsidRPr="009F7A40">
        <w:rPr>
          <w:lang w:val="en-CA"/>
        </w:rPr>
        <w:t>a</w:t>
      </w:r>
      <w:r w:rsidRPr="009F7A40">
        <w:rPr>
          <w:lang w:val="en-CA"/>
        </w:rPr>
        <w:t>.</w:t>
      </w:r>
      <w:r w:rsidRPr="005E45FB">
        <w:rPr>
          <w:lang w:val="en-CA"/>
        </w:rPr>
        <w:t xml:space="preserve"> </w:t>
      </w:r>
      <w:r w:rsidRPr="009F7A40">
        <w:t xml:space="preserve">32; </w:t>
      </w:r>
      <w:r w:rsidRPr="009F7A40">
        <w:rPr>
          <w:i/>
          <w:iCs/>
        </w:rPr>
        <w:t>Commission des droits de la personne et des droits de la jeunesse c. 9185-2152 Québec inc.</w:t>
      </w:r>
      <w:r w:rsidRPr="00A108E1">
        <w:rPr>
          <w:i/>
          <w:iCs/>
        </w:rPr>
        <w:t xml:space="preserve"> </w:t>
      </w:r>
      <w:r w:rsidRPr="009F7A40">
        <w:rPr>
          <w:i/>
          <w:iCs/>
          <w:lang w:val="en-CA"/>
        </w:rPr>
        <w:t>(Radio Lounge Brossard)</w:t>
      </w:r>
      <w:r w:rsidRPr="009F7A40">
        <w:rPr>
          <w:lang w:val="en-CA"/>
        </w:rPr>
        <w:t>, 2015 QCCA 577</w:t>
      </w:r>
      <w:r w:rsidR="005E45FB" w:rsidRPr="009F7A40">
        <w:rPr>
          <w:lang w:val="en-CA"/>
        </w:rPr>
        <w:t xml:space="preserve"> at </w:t>
      </w:r>
      <w:r w:rsidRPr="009F7A40">
        <w:rPr>
          <w:lang w:val="en-CA"/>
        </w:rPr>
        <w:t>par</w:t>
      </w:r>
      <w:r w:rsidR="005E45FB" w:rsidRPr="009F7A40">
        <w:rPr>
          <w:lang w:val="en-CA"/>
        </w:rPr>
        <w:t>as</w:t>
      </w:r>
      <w:r w:rsidRPr="009F7A40">
        <w:rPr>
          <w:lang w:val="en-CA"/>
        </w:rPr>
        <w:t>.</w:t>
      </w:r>
      <w:r w:rsidRPr="005E45FB">
        <w:rPr>
          <w:lang w:val="en-CA"/>
        </w:rPr>
        <w:t xml:space="preserve"> </w:t>
      </w:r>
      <w:r w:rsidRPr="009F7A40">
        <w:rPr>
          <w:lang w:val="en-CA"/>
        </w:rPr>
        <w:t xml:space="preserve">45 </w:t>
      </w:r>
      <w:r w:rsidR="005E45FB" w:rsidRPr="009F7A40">
        <w:rPr>
          <w:lang w:val="en-CA"/>
        </w:rPr>
        <w:t xml:space="preserve">and </w:t>
      </w:r>
      <w:r w:rsidRPr="009F7A40">
        <w:rPr>
          <w:lang w:val="en-CA"/>
        </w:rPr>
        <w:t>72.</w:t>
      </w:r>
    </w:p>
  </w:footnote>
  <w:footnote w:id="172">
    <w:p w14:paraId="1A24F1FD" w14:textId="58D2DCF9" w:rsidR="00550561" w:rsidRPr="009230A6" w:rsidRDefault="00550561" w:rsidP="00550561">
      <w:pPr>
        <w:pStyle w:val="Notedebasdepage"/>
        <w:rPr>
          <w:lang w:val="en-CA"/>
        </w:rPr>
      </w:pPr>
      <w:r>
        <w:rPr>
          <w:rStyle w:val="Appelnotedebasdep"/>
        </w:rPr>
        <w:footnoteRef/>
      </w:r>
      <w:r w:rsidRPr="009230A6">
        <w:rPr>
          <w:lang w:val="en-CA"/>
        </w:rPr>
        <w:t xml:space="preserve"> </w:t>
      </w:r>
      <w:r w:rsidRPr="009230A6">
        <w:rPr>
          <w:lang w:val="en-CA"/>
        </w:rPr>
        <w:tab/>
        <w:t>P-14,</w:t>
      </w:r>
      <w:r w:rsidR="005E45FB" w:rsidRPr="009230A6">
        <w:rPr>
          <w:lang w:val="en-CA"/>
        </w:rPr>
        <w:t xml:space="preserve"> </w:t>
      </w:r>
      <w:r w:rsidR="005E45FB" w:rsidRPr="009230A6">
        <w:rPr>
          <w:i/>
          <w:iCs/>
          <w:lang w:val="en-CA"/>
        </w:rPr>
        <w:t>supra</w:t>
      </w:r>
      <w:r w:rsidR="005E45FB" w:rsidRPr="009230A6">
        <w:rPr>
          <w:lang w:val="en-CA"/>
        </w:rPr>
        <w:t xml:space="preserve"> </w:t>
      </w:r>
      <w:r w:rsidRPr="009230A6">
        <w:rPr>
          <w:lang w:val="en-CA"/>
        </w:rPr>
        <w:t>note 4</w:t>
      </w:r>
      <w:r w:rsidR="005E45FB" w:rsidRPr="009230A6">
        <w:rPr>
          <w:lang w:val="en-CA"/>
        </w:rPr>
        <w:t xml:space="preserve"> at </w:t>
      </w:r>
      <w:r w:rsidR="00822959">
        <w:rPr>
          <w:lang w:val="en-CA"/>
        </w:rPr>
        <w:t xml:space="preserve">p. </w:t>
      </w:r>
      <w:r w:rsidRPr="009230A6">
        <w:rPr>
          <w:lang w:val="en-CA"/>
        </w:rPr>
        <w:t>31.</w:t>
      </w:r>
    </w:p>
  </w:footnote>
  <w:footnote w:id="173">
    <w:p w14:paraId="7BBD820F" w14:textId="24702F8E" w:rsidR="00550561" w:rsidRPr="00911028" w:rsidRDefault="00550561" w:rsidP="00550561">
      <w:pPr>
        <w:pStyle w:val="Notedebasdepage"/>
        <w:rPr>
          <w:lang w:val="en-CA"/>
        </w:rPr>
      </w:pPr>
      <w:r>
        <w:rPr>
          <w:rStyle w:val="Appelnotedebasdep"/>
        </w:rPr>
        <w:footnoteRef/>
      </w:r>
      <w:r w:rsidRPr="00911028">
        <w:rPr>
          <w:lang w:val="en-CA"/>
        </w:rPr>
        <w:t xml:space="preserve"> </w:t>
      </w:r>
      <w:r w:rsidRPr="00911028">
        <w:rPr>
          <w:lang w:val="en-CA"/>
        </w:rPr>
        <w:tab/>
      </w:r>
      <w:r w:rsidRPr="009F7A40">
        <w:rPr>
          <w:lang w:val="en-CA"/>
        </w:rPr>
        <w:t xml:space="preserve">P-12, </w:t>
      </w:r>
      <w:r w:rsidR="005E45FB" w:rsidRPr="009F7A40">
        <w:rPr>
          <w:i/>
          <w:iCs/>
          <w:lang w:val="en-CA"/>
        </w:rPr>
        <w:t>supra</w:t>
      </w:r>
      <w:r w:rsidRPr="009F7A40">
        <w:rPr>
          <w:lang w:val="en-CA"/>
        </w:rPr>
        <w:t xml:space="preserve"> note 129</w:t>
      </w:r>
      <w:r w:rsidR="005E45FB" w:rsidRPr="009F7A40">
        <w:rPr>
          <w:lang w:val="en-CA"/>
        </w:rPr>
        <w:t xml:space="preserve"> at</w:t>
      </w:r>
      <w:r w:rsidRPr="009F7A40">
        <w:rPr>
          <w:lang w:val="en-CA"/>
        </w:rPr>
        <w:t> </w:t>
      </w:r>
      <w:r w:rsidR="00822959">
        <w:rPr>
          <w:lang w:val="en-CA"/>
        </w:rPr>
        <w:t xml:space="preserve">p. </w:t>
      </w:r>
      <w:r w:rsidRPr="009F7A40">
        <w:rPr>
          <w:lang w:val="en-CA"/>
        </w:rPr>
        <w:t>12 (</w:t>
      </w:r>
      <w:r w:rsidR="00911028" w:rsidRPr="009F7A40">
        <w:rPr>
          <w:lang w:val="en-CA"/>
        </w:rPr>
        <w:t>Bold and underlining in original)</w:t>
      </w:r>
      <w:r w:rsidRPr="009F7A40">
        <w:rPr>
          <w:lang w:val="en-CA"/>
        </w:rPr>
        <w:t>.</w:t>
      </w:r>
    </w:p>
  </w:footnote>
  <w:footnote w:id="174">
    <w:p w14:paraId="3FA1AA5A" w14:textId="3712599C" w:rsidR="00550561" w:rsidRPr="00911028" w:rsidRDefault="00550561" w:rsidP="00550561">
      <w:pPr>
        <w:pStyle w:val="Notedebasdepage"/>
        <w:rPr>
          <w:lang w:val="en-CA"/>
        </w:rPr>
      </w:pPr>
      <w:r>
        <w:rPr>
          <w:rStyle w:val="Appelnotedebasdep"/>
        </w:rPr>
        <w:footnoteRef/>
      </w:r>
      <w:r w:rsidRPr="00911028">
        <w:rPr>
          <w:lang w:val="en-CA"/>
        </w:rPr>
        <w:t xml:space="preserve"> </w:t>
      </w:r>
      <w:r w:rsidRPr="00911028">
        <w:rPr>
          <w:lang w:val="en-CA"/>
        </w:rPr>
        <w:tab/>
      </w:r>
      <w:r w:rsidRPr="009F7A40">
        <w:rPr>
          <w:i/>
          <w:iCs/>
          <w:lang w:val="en-CA"/>
        </w:rPr>
        <w:t>I</w:t>
      </w:r>
      <w:r w:rsidR="00911028" w:rsidRPr="009F7A40">
        <w:rPr>
          <w:i/>
          <w:iCs/>
          <w:lang w:val="en-CA"/>
        </w:rPr>
        <w:t>bi</w:t>
      </w:r>
      <w:r w:rsidRPr="009F7A40">
        <w:rPr>
          <w:i/>
          <w:iCs/>
          <w:lang w:val="en-CA"/>
        </w:rPr>
        <w:t>d</w:t>
      </w:r>
      <w:r w:rsidR="00911028" w:rsidRPr="009F7A40">
        <w:rPr>
          <w:i/>
          <w:iCs/>
          <w:lang w:val="en-CA"/>
        </w:rPr>
        <w:t xml:space="preserve">. </w:t>
      </w:r>
      <w:r w:rsidR="00911028" w:rsidRPr="009F7A40">
        <w:rPr>
          <w:lang w:val="en-CA"/>
        </w:rPr>
        <w:t>at</w:t>
      </w:r>
      <w:r w:rsidRPr="009F7A40">
        <w:rPr>
          <w:lang w:val="en-CA"/>
        </w:rPr>
        <w:t> </w:t>
      </w:r>
      <w:r w:rsidR="00822959">
        <w:rPr>
          <w:lang w:val="en-CA"/>
        </w:rPr>
        <w:t xml:space="preserve">p. </w:t>
      </w:r>
      <w:r w:rsidRPr="009F7A40">
        <w:rPr>
          <w:lang w:val="en-CA"/>
        </w:rPr>
        <w:t>13.</w:t>
      </w:r>
    </w:p>
  </w:footnote>
  <w:footnote w:id="175">
    <w:p w14:paraId="7B93B2B6" w14:textId="58B75345" w:rsidR="00550561" w:rsidRPr="00911028" w:rsidRDefault="00550561" w:rsidP="00550561">
      <w:pPr>
        <w:pStyle w:val="Notedebasdepage"/>
        <w:rPr>
          <w:lang w:val="en-CA"/>
        </w:rPr>
      </w:pPr>
      <w:r>
        <w:rPr>
          <w:rStyle w:val="Appelnotedebasdep"/>
        </w:rPr>
        <w:footnoteRef/>
      </w:r>
      <w:r w:rsidRPr="00911028">
        <w:rPr>
          <w:lang w:val="en-CA"/>
        </w:rPr>
        <w:t xml:space="preserve"> </w:t>
      </w:r>
      <w:r w:rsidRPr="00911028">
        <w:rPr>
          <w:lang w:val="en-CA"/>
        </w:rPr>
        <w:tab/>
      </w:r>
      <w:r w:rsidRPr="009F7A40">
        <w:rPr>
          <w:i/>
          <w:iCs/>
          <w:lang w:val="en-CA"/>
        </w:rPr>
        <w:t>I</w:t>
      </w:r>
      <w:r w:rsidR="00911028" w:rsidRPr="009F7A40">
        <w:rPr>
          <w:i/>
          <w:iCs/>
          <w:lang w:val="en-CA"/>
        </w:rPr>
        <w:t>bi</w:t>
      </w:r>
      <w:r w:rsidRPr="009F7A40">
        <w:rPr>
          <w:i/>
          <w:iCs/>
          <w:lang w:val="en-CA"/>
        </w:rPr>
        <w:t>d</w:t>
      </w:r>
      <w:r w:rsidRPr="009F7A40">
        <w:rPr>
          <w:lang w:val="en-CA"/>
        </w:rPr>
        <w:t>.</w:t>
      </w:r>
      <w:r w:rsidR="00911028" w:rsidRPr="009F7A40">
        <w:rPr>
          <w:lang w:val="en-CA"/>
        </w:rPr>
        <w:t xml:space="preserve"> at</w:t>
      </w:r>
      <w:r w:rsidRPr="009F7A40">
        <w:rPr>
          <w:lang w:val="en-CA"/>
        </w:rPr>
        <w:t> </w:t>
      </w:r>
      <w:r w:rsidR="00822959">
        <w:rPr>
          <w:lang w:val="en-CA"/>
        </w:rPr>
        <w:t xml:space="preserve">p. </w:t>
      </w:r>
      <w:r w:rsidRPr="009F7A40">
        <w:rPr>
          <w:lang w:val="en-CA"/>
        </w:rPr>
        <w:t>27.</w:t>
      </w:r>
    </w:p>
  </w:footnote>
  <w:footnote w:id="176">
    <w:p w14:paraId="3BA12FF2" w14:textId="1ACD40DD" w:rsidR="00550561" w:rsidRPr="00911028" w:rsidRDefault="00550561" w:rsidP="00550561">
      <w:pPr>
        <w:pStyle w:val="Notedebasdepage"/>
        <w:rPr>
          <w:lang w:val="en-CA"/>
        </w:rPr>
      </w:pPr>
      <w:r>
        <w:rPr>
          <w:rStyle w:val="Appelnotedebasdep"/>
        </w:rPr>
        <w:footnoteRef/>
      </w:r>
      <w:r w:rsidRPr="00911028">
        <w:rPr>
          <w:lang w:val="en-CA"/>
        </w:rPr>
        <w:t xml:space="preserve"> </w:t>
      </w:r>
      <w:r w:rsidRPr="00911028">
        <w:rPr>
          <w:lang w:val="en-CA"/>
        </w:rPr>
        <w:tab/>
      </w:r>
      <w:r w:rsidRPr="009F7A40">
        <w:rPr>
          <w:i/>
          <w:iCs/>
          <w:lang w:val="en-CA"/>
        </w:rPr>
        <w:t>I</w:t>
      </w:r>
      <w:r w:rsidR="00911028" w:rsidRPr="009F7A40">
        <w:rPr>
          <w:i/>
          <w:iCs/>
          <w:lang w:val="en-CA"/>
        </w:rPr>
        <w:t>bi</w:t>
      </w:r>
      <w:r w:rsidRPr="009F7A40">
        <w:rPr>
          <w:i/>
          <w:iCs/>
          <w:lang w:val="en-CA"/>
        </w:rPr>
        <w:t>d</w:t>
      </w:r>
      <w:r w:rsidRPr="009F7A40">
        <w:rPr>
          <w:lang w:val="en-CA"/>
        </w:rPr>
        <w:t>.</w:t>
      </w:r>
      <w:r w:rsidR="00911028" w:rsidRPr="009F7A40">
        <w:rPr>
          <w:lang w:val="en-CA"/>
        </w:rPr>
        <w:t xml:space="preserve"> at </w:t>
      </w:r>
      <w:r w:rsidR="00822959">
        <w:rPr>
          <w:lang w:val="en-CA"/>
        </w:rPr>
        <w:t xml:space="preserve">p. </w:t>
      </w:r>
      <w:r w:rsidRPr="009F7A40">
        <w:rPr>
          <w:lang w:val="en-CA"/>
        </w:rPr>
        <w:t>29 (</w:t>
      </w:r>
      <w:r w:rsidR="00911028" w:rsidRPr="009F7A40">
        <w:rPr>
          <w:lang w:val="en-CA"/>
        </w:rPr>
        <w:t>Bold in original</w:t>
      </w:r>
      <w:r w:rsidRPr="009F7A40">
        <w:rPr>
          <w:lang w:val="en-CA"/>
        </w:rPr>
        <w:t>).</w:t>
      </w:r>
    </w:p>
  </w:footnote>
  <w:footnote w:id="177">
    <w:p w14:paraId="1B6C42ED" w14:textId="68F222BB" w:rsidR="00550561" w:rsidRPr="00911028" w:rsidRDefault="00550561" w:rsidP="00550561">
      <w:pPr>
        <w:pStyle w:val="Notedebasdepage"/>
        <w:rPr>
          <w:lang w:val="en-CA"/>
        </w:rPr>
      </w:pPr>
      <w:r>
        <w:rPr>
          <w:rStyle w:val="Appelnotedebasdep"/>
        </w:rPr>
        <w:footnoteRef/>
      </w:r>
      <w:r w:rsidRPr="00911028">
        <w:rPr>
          <w:lang w:val="en-CA"/>
        </w:rPr>
        <w:t xml:space="preserve"> </w:t>
      </w:r>
      <w:r w:rsidRPr="00911028">
        <w:rPr>
          <w:lang w:val="en-CA"/>
        </w:rPr>
        <w:tab/>
      </w:r>
      <w:r w:rsidRPr="009F7A40">
        <w:rPr>
          <w:i/>
          <w:iCs/>
          <w:lang w:val="en-CA"/>
        </w:rPr>
        <w:t>Vancouver (</w:t>
      </w:r>
      <w:r w:rsidR="00911028" w:rsidRPr="009F7A40">
        <w:rPr>
          <w:i/>
          <w:iCs/>
          <w:lang w:val="en-CA"/>
        </w:rPr>
        <w:t>City</w:t>
      </w:r>
      <w:r w:rsidRPr="009F7A40">
        <w:rPr>
          <w:i/>
          <w:iCs/>
          <w:lang w:val="en-CA"/>
        </w:rPr>
        <w:t xml:space="preserve">) </w:t>
      </w:r>
      <w:r w:rsidR="00911028" w:rsidRPr="009F7A40">
        <w:rPr>
          <w:i/>
          <w:iCs/>
          <w:lang w:val="en-CA"/>
        </w:rPr>
        <w:t>v</w:t>
      </w:r>
      <w:r w:rsidRPr="009F7A40">
        <w:rPr>
          <w:i/>
          <w:iCs/>
          <w:lang w:val="en-CA"/>
        </w:rPr>
        <w:t>. Ward</w:t>
      </w:r>
      <w:r w:rsidRPr="009F7A40">
        <w:rPr>
          <w:lang w:val="en-CA"/>
        </w:rPr>
        <w:t>, 2010 </w:t>
      </w:r>
      <w:r w:rsidR="00911028" w:rsidRPr="009F7A40">
        <w:rPr>
          <w:lang w:val="en-CA"/>
        </w:rPr>
        <w:t xml:space="preserve">SCC </w:t>
      </w:r>
      <w:r w:rsidRPr="009F7A40">
        <w:rPr>
          <w:lang w:val="en-CA"/>
        </w:rPr>
        <w:t>27, [2010] 2 </w:t>
      </w:r>
      <w:r w:rsidR="00911028" w:rsidRPr="009F7A40">
        <w:rPr>
          <w:lang w:val="en-CA"/>
        </w:rPr>
        <w:t xml:space="preserve">SCR </w:t>
      </w:r>
      <w:r w:rsidRPr="009F7A40">
        <w:rPr>
          <w:lang w:val="en-CA"/>
        </w:rPr>
        <w:t>28</w:t>
      </w:r>
      <w:r w:rsidR="00911028" w:rsidRPr="009F7A40">
        <w:rPr>
          <w:lang w:val="en-CA"/>
        </w:rPr>
        <w:t xml:space="preserve"> at</w:t>
      </w:r>
      <w:r w:rsidRPr="009F7A40">
        <w:rPr>
          <w:lang w:val="en-CA"/>
        </w:rPr>
        <w:t xml:space="preserve"> par</w:t>
      </w:r>
      <w:r w:rsidR="00911028" w:rsidRPr="009F7A40">
        <w:rPr>
          <w:lang w:val="en-CA"/>
        </w:rPr>
        <w:t>a</w:t>
      </w:r>
      <w:r w:rsidRPr="009F7A40">
        <w:rPr>
          <w:lang w:val="en-CA"/>
        </w:rPr>
        <w:t>.</w:t>
      </w:r>
      <w:r w:rsidRPr="00911028">
        <w:rPr>
          <w:lang w:val="en-CA"/>
        </w:rPr>
        <w:t xml:space="preserve"> 65.</w:t>
      </w:r>
    </w:p>
  </w:footnote>
  <w:footnote w:id="178">
    <w:p w14:paraId="07D82735" w14:textId="2B3F70E4" w:rsidR="00550561" w:rsidRPr="00C341A3" w:rsidRDefault="00550561" w:rsidP="00550561">
      <w:pPr>
        <w:pStyle w:val="Notedebasdepage"/>
        <w:rPr>
          <w:lang w:val="en-CA"/>
        </w:rPr>
      </w:pPr>
      <w:r>
        <w:rPr>
          <w:rStyle w:val="Appelnotedebasdep"/>
        </w:rPr>
        <w:footnoteRef/>
      </w:r>
      <w:r w:rsidRPr="00C341A3">
        <w:rPr>
          <w:lang w:val="en-CA"/>
        </w:rPr>
        <w:t xml:space="preserve"> </w:t>
      </w:r>
      <w:r w:rsidRPr="00C341A3">
        <w:rPr>
          <w:lang w:val="en-CA"/>
        </w:rPr>
        <w:tab/>
      </w:r>
      <w:r w:rsidR="00C341A3" w:rsidRPr="00C341A3">
        <w:rPr>
          <w:lang w:val="en-CA"/>
        </w:rPr>
        <w:t xml:space="preserve">According to the testimony of the director of the facility, an inmate’s refusal to be strip-searched requires a planned </w:t>
      </w:r>
      <w:r w:rsidR="005B65A6">
        <w:rPr>
          <w:lang w:val="en-CA"/>
        </w:rPr>
        <w:t>intervention</w:t>
      </w:r>
      <w:r w:rsidR="00C341A3" w:rsidRPr="00C341A3">
        <w:rPr>
          <w:lang w:val="en-CA"/>
        </w:rPr>
        <w:t>, which must be author</w:t>
      </w:r>
      <w:r w:rsidR="00C341A3">
        <w:rPr>
          <w:lang w:val="en-CA"/>
        </w:rPr>
        <w:t>ized by the unit manager.</w:t>
      </w:r>
    </w:p>
  </w:footnote>
  <w:footnote w:id="179">
    <w:p w14:paraId="5CA3631B" w14:textId="46A3A849" w:rsidR="00550561" w:rsidRPr="00B22AE6" w:rsidRDefault="00550561" w:rsidP="00550561">
      <w:pPr>
        <w:pStyle w:val="Notedebasdepage"/>
        <w:rPr>
          <w:lang w:val="en-CA"/>
        </w:rPr>
      </w:pPr>
      <w:r>
        <w:rPr>
          <w:rStyle w:val="Appelnotedebasdep"/>
        </w:rPr>
        <w:footnoteRef/>
      </w:r>
      <w:r w:rsidRPr="00B22AE6">
        <w:rPr>
          <w:lang w:val="en-CA"/>
        </w:rPr>
        <w:t xml:space="preserve"> </w:t>
      </w:r>
      <w:r w:rsidRPr="00B22AE6">
        <w:rPr>
          <w:lang w:val="en-CA"/>
        </w:rPr>
        <w:tab/>
      </w:r>
      <w:r w:rsidRPr="00B22AE6">
        <w:rPr>
          <w:i/>
          <w:iCs/>
          <w:lang w:val="en-CA"/>
        </w:rPr>
        <w:t>Miller</w:t>
      </w:r>
      <w:r w:rsidRPr="00B22AE6">
        <w:rPr>
          <w:lang w:val="en-CA"/>
        </w:rPr>
        <w:t>,</w:t>
      </w:r>
      <w:r w:rsidR="00C341A3" w:rsidRPr="00B22AE6">
        <w:rPr>
          <w:lang w:val="en-CA"/>
        </w:rPr>
        <w:t xml:space="preserve"> </w:t>
      </w:r>
      <w:r w:rsidR="00C341A3" w:rsidRPr="00B22AE6">
        <w:rPr>
          <w:i/>
          <w:iCs/>
          <w:lang w:val="en-CA"/>
        </w:rPr>
        <w:t>supra</w:t>
      </w:r>
      <w:r w:rsidRPr="00B22AE6">
        <w:rPr>
          <w:lang w:val="en-CA"/>
        </w:rPr>
        <w:t xml:space="preserve"> note 88</w:t>
      </w:r>
      <w:r w:rsidR="00822959" w:rsidRPr="00B22AE6">
        <w:rPr>
          <w:lang w:val="en-CA"/>
        </w:rPr>
        <w:t xml:space="preserve"> at </w:t>
      </w:r>
      <w:r w:rsidRPr="00B22AE6">
        <w:rPr>
          <w:lang w:val="en-CA"/>
        </w:rPr>
        <w:t>par</w:t>
      </w:r>
      <w:r w:rsidR="00C341A3" w:rsidRPr="00B22AE6">
        <w:rPr>
          <w:lang w:val="en-CA"/>
        </w:rPr>
        <w:t>a</w:t>
      </w:r>
      <w:r w:rsidRPr="00B22AE6">
        <w:rPr>
          <w:lang w:val="en-CA"/>
        </w:rPr>
        <w:t>. 236.</w:t>
      </w:r>
    </w:p>
  </w:footnote>
  <w:footnote w:id="180">
    <w:p w14:paraId="49900DE2" w14:textId="2737B29C" w:rsidR="00201813" w:rsidRPr="00C341A3" w:rsidRDefault="00201813" w:rsidP="00201813">
      <w:pPr>
        <w:pStyle w:val="Notedebasdepage"/>
        <w:rPr>
          <w:lang w:val="en-CA"/>
        </w:rPr>
      </w:pPr>
      <w:r>
        <w:rPr>
          <w:rStyle w:val="Appelnotedebasdep"/>
        </w:rPr>
        <w:footnoteRef/>
      </w:r>
      <w:r w:rsidRPr="00B22AE6">
        <w:rPr>
          <w:lang w:val="en-CA"/>
        </w:rPr>
        <w:t xml:space="preserve"> </w:t>
      </w:r>
      <w:r w:rsidRPr="00B22AE6">
        <w:rPr>
          <w:lang w:val="en-CA"/>
        </w:rPr>
        <w:tab/>
        <w:t xml:space="preserve">P-12, </w:t>
      </w:r>
      <w:r w:rsidR="00C341A3" w:rsidRPr="00B22AE6">
        <w:rPr>
          <w:i/>
          <w:iCs/>
          <w:lang w:val="en-CA"/>
        </w:rPr>
        <w:t>supra</w:t>
      </w:r>
      <w:r w:rsidR="00C341A3" w:rsidRPr="00B22AE6">
        <w:rPr>
          <w:lang w:val="en-CA"/>
        </w:rPr>
        <w:t xml:space="preserve"> </w:t>
      </w:r>
      <w:r w:rsidRPr="00B22AE6">
        <w:rPr>
          <w:lang w:val="en-CA"/>
        </w:rPr>
        <w:t>note 129</w:t>
      </w:r>
      <w:r w:rsidR="00C341A3" w:rsidRPr="00B22AE6">
        <w:rPr>
          <w:lang w:val="en-CA"/>
        </w:rPr>
        <w:t xml:space="preserve"> at p</w:t>
      </w:r>
      <w:r w:rsidR="00822959" w:rsidRPr="00B22AE6">
        <w:rPr>
          <w:lang w:val="en-CA"/>
        </w:rPr>
        <w:t>.</w:t>
      </w:r>
      <w:r w:rsidRPr="00B22AE6">
        <w:rPr>
          <w:lang w:val="en-CA"/>
        </w:rPr>
        <w:t> </w:t>
      </w:r>
      <w:r w:rsidRPr="009F7A40">
        <w:rPr>
          <w:lang w:val="en-CA"/>
        </w:rPr>
        <w:t>47.</w:t>
      </w:r>
    </w:p>
  </w:footnote>
  <w:footnote w:id="181">
    <w:p w14:paraId="1AE0B4BE" w14:textId="1FF79370" w:rsidR="00201813" w:rsidRPr="00C341A3" w:rsidRDefault="00201813" w:rsidP="00201813">
      <w:pPr>
        <w:pStyle w:val="Notedebasdepage"/>
        <w:rPr>
          <w:lang w:val="en-CA"/>
        </w:rPr>
      </w:pPr>
      <w:r>
        <w:rPr>
          <w:rStyle w:val="Appelnotedebasdep"/>
        </w:rPr>
        <w:footnoteRef/>
      </w:r>
      <w:r w:rsidRPr="00C341A3">
        <w:rPr>
          <w:lang w:val="en-CA"/>
        </w:rPr>
        <w:t xml:space="preserve"> </w:t>
      </w:r>
      <w:r w:rsidRPr="00C341A3">
        <w:rPr>
          <w:i/>
          <w:iCs/>
          <w:lang w:val="en-CA"/>
        </w:rPr>
        <w:tab/>
      </w:r>
      <w:r w:rsidRPr="009F7A40">
        <w:rPr>
          <w:i/>
          <w:iCs/>
          <w:lang w:val="en-CA"/>
        </w:rPr>
        <w:t>I</w:t>
      </w:r>
      <w:r w:rsidR="00C341A3" w:rsidRPr="009F7A40">
        <w:rPr>
          <w:i/>
          <w:iCs/>
          <w:lang w:val="en-CA"/>
        </w:rPr>
        <w:t>bi</w:t>
      </w:r>
      <w:r w:rsidRPr="009F7A40">
        <w:rPr>
          <w:i/>
          <w:iCs/>
          <w:lang w:val="en-CA"/>
        </w:rPr>
        <w:t>d</w:t>
      </w:r>
      <w:r w:rsidRPr="009F7A40">
        <w:rPr>
          <w:lang w:val="en-CA"/>
        </w:rPr>
        <w:t>.</w:t>
      </w:r>
      <w:r w:rsidR="00C341A3" w:rsidRPr="009F7A40">
        <w:rPr>
          <w:lang w:val="en-CA"/>
        </w:rPr>
        <w:t xml:space="preserve"> at</w:t>
      </w:r>
      <w:r w:rsidRPr="009F7A40">
        <w:rPr>
          <w:lang w:val="en-CA"/>
        </w:rPr>
        <w:t> </w:t>
      </w:r>
      <w:r w:rsidR="00822959">
        <w:rPr>
          <w:lang w:val="en-CA"/>
        </w:rPr>
        <w:t xml:space="preserve">p. </w:t>
      </w:r>
      <w:r w:rsidRPr="009F7A40">
        <w:rPr>
          <w:lang w:val="en-CA"/>
        </w:rPr>
        <w:t>40.</w:t>
      </w:r>
    </w:p>
  </w:footnote>
  <w:footnote w:id="182">
    <w:p w14:paraId="561735DC" w14:textId="5C0A3295" w:rsidR="00DD7E52" w:rsidRPr="00B22AE6" w:rsidRDefault="00DD7E52" w:rsidP="00DD7E52">
      <w:pPr>
        <w:pStyle w:val="Notedebasdepage"/>
        <w:rPr>
          <w:lang w:val="es-CL"/>
        </w:rPr>
      </w:pPr>
      <w:r>
        <w:rPr>
          <w:rStyle w:val="Appelnotedebasdep"/>
        </w:rPr>
        <w:footnoteRef/>
      </w:r>
      <w:r w:rsidRPr="00C341A3">
        <w:rPr>
          <w:lang w:val="en-CA"/>
        </w:rPr>
        <w:t xml:space="preserve"> </w:t>
      </w:r>
      <w:r w:rsidRPr="00C341A3">
        <w:rPr>
          <w:lang w:val="en-CA"/>
        </w:rPr>
        <w:tab/>
      </w:r>
      <w:r w:rsidR="00C341A3" w:rsidRPr="00C341A3">
        <w:rPr>
          <w:i/>
          <w:iCs/>
          <w:lang w:val="en-CA"/>
        </w:rPr>
        <w:t>Council of Canadians with Disabilities v. VIA Rail Canada Inc,</w:t>
      </w:r>
      <w:r w:rsidRPr="009F7A40">
        <w:rPr>
          <w:lang w:val="en-CA"/>
        </w:rPr>
        <w:t>, 2007 </w:t>
      </w:r>
      <w:r w:rsidR="00C341A3" w:rsidRPr="009F7A40">
        <w:rPr>
          <w:lang w:val="en-CA"/>
        </w:rPr>
        <w:t>SCC</w:t>
      </w:r>
      <w:r w:rsidRPr="009F7A40">
        <w:rPr>
          <w:lang w:val="en-CA"/>
        </w:rPr>
        <w:t> 15, [2007] 1 </w:t>
      </w:r>
      <w:r w:rsidR="00C341A3" w:rsidRPr="009F7A40">
        <w:rPr>
          <w:lang w:val="en-CA"/>
        </w:rPr>
        <w:t xml:space="preserve">SCR </w:t>
      </w:r>
      <w:r w:rsidRPr="009F7A40">
        <w:rPr>
          <w:lang w:val="en-CA"/>
        </w:rPr>
        <w:t>650</w:t>
      </w:r>
      <w:r w:rsidR="00C341A3" w:rsidRPr="009F7A40">
        <w:rPr>
          <w:lang w:val="en-CA"/>
        </w:rPr>
        <w:t xml:space="preserve"> at </w:t>
      </w:r>
      <w:r w:rsidRPr="009F7A40">
        <w:rPr>
          <w:lang w:val="en-CA"/>
        </w:rPr>
        <w:t>par</w:t>
      </w:r>
      <w:r w:rsidR="00C341A3" w:rsidRPr="009F7A40">
        <w:rPr>
          <w:lang w:val="en-CA"/>
        </w:rPr>
        <w:t>a</w:t>
      </w:r>
      <w:r w:rsidRPr="009F7A40">
        <w:rPr>
          <w:lang w:val="en-CA"/>
        </w:rPr>
        <w:t>.</w:t>
      </w:r>
      <w:r w:rsidRPr="00C341A3">
        <w:rPr>
          <w:lang w:val="en-CA"/>
        </w:rPr>
        <w:t xml:space="preserve"> </w:t>
      </w:r>
      <w:r w:rsidRPr="009F7A40">
        <w:t xml:space="preserve">134; </w:t>
      </w:r>
      <w:r w:rsidR="00C341A3" w:rsidRPr="00C341A3">
        <w:rPr>
          <w:i/>
          <w:iCs/>
        </w:rPr>
        <w:t>Hydro-Québec v. Syndicat des employé-e-s de techniques professionnelles et de bureau d'Hydro-Québec, section locale 2000 (SCFP-FTQ)</w:t>
      </w:r>
      <w:r w:rsidRPr="009F7A40">
        <w:t>, 2008 </w:t>
      </w:r>
      <w:r w:rsidR="00C341A3" w:rsidRPr="009F7A40">
        <w:t xml:space="preserve">SCC </w:t>
      </w:r>
      <w:r w:rsidRPr="009F7A40">
        <w:t>43, [2008] 2 </w:t>
      </w:r>
      <w:r w:rsidR="00C341A3" w:rsidRPr="009F7A40">
        <w:t xml:space="preserve">SCR </w:t>
      </w:r>
      <w:r w:rsidRPr="009F7A40">
        <w:t>561</w:t>
      </w:r>
      <w:r w:rsidR="00C341A3" w:rsidRPr="009F7A40">
        <w:t xml:space="preserve"> at</w:t>
      </w:r>
      <w:r w:rsidRPr="009F7A40">
        <w:t xml:space="preserve"> par</w:t>
      </w:r>
      <w:r w:rsidR="00C341A3" w:rsidRPr="009F7A40">
        <w:t>a</w:t>
      </w:r>
      <w:r w:rsidRPr="009F7A40">
        <w:t>.</w:t>
      </w:r>
      <w:r w:rsidRPr="00A108E1">
        <w:t xml:space="preserve"> </w:t>
      </w:r>
      <w:r w:rsidRPr="00B22AE6">
        <w:rPr>
          <w:lang w:val="es-CL"/>
        </w:rPr>
        <w:t xml:space="preserve">13; </w:t>
      </w:r>
      <w:r w:rsidRPr="00B22AE6">
        <w:rPr>
          <w:i/>
          <w:iCs/>
          <w:lang w:val="es-CL"/>
        </w:rPr>
        <w:t>Caron</w:t>
      </w:r>
      <w:r w:rsidRPr="00B22AE6">
        <w:rPr>
          <w:lang w:val="es-CL"/>
        </w:rPr>
        <w:t>,</w:t>
      </w:r>
      <w:r w:rsidR="00C341A3" w:rsidRPr="00B22AE6">
        <w:rPr>
          <w:lang w:val="es-CL"/>
        </w:rPr>
        <w:t xml:space="preserve"> </w:t>
      </w:r>
      <w:r w:rsidR="00C341A3" w:rsidRPr="00B22AE6">
        <w:rPr>
          <w:i/>
          <w:iCs/>
          <w:lang w:val="es-CL"/>
        </w:rPr>
        <w:t>supra</w:t>
      </w:r>
      <w:r w:rsidRPr="00B22AE6">
        <w:rPr>
          <w:lang w:val="es-CL"/>
        </w:rPr>
        <w:t xml:space="preserve"> note 68</w:t>
      </w:r>
      <w:r w:rsidR="00C341A3" w:rsidRPr="00B22AE6">
        <w:rPr>
          <w:lang w:val="es-CL"/>
        </w:rPr>
        <w:t xml:space="preserve"> at</w:t>
      </w:r>
      <w:r w:rsidRPr="00B22AE6">
        <w:rPr>
          <w:lang w:val="es-CL"/>
        </w:rPr>
        <w:t xml:space="preserve"> par</w:t>
      </w:r>
      <w:r w:rsidR="00C341A3" w:rsidRPr="00B22AE6">
        <w:rPr>
          <w:lang w:val="es-CL"/>
        </w:rPr>
        <w:t>a</w:t>
      </w:r>
      <w:r w:rsidRPr="00B22AE6">
        <w:rPr>
          <w:lang w:val="es-CL"/>
        </w:rPr>
        <w:t>. 92.</w:t>
      </w:r>
    </w:p>
  </w:footnote>
  <w:footnote w:id="183">
    <w:p w14:paraId="68C901FB" w14:textId="7BFB2374" w:rsidR="00DD7E52" w:rsidRPr="00B22AE6" w:rsidRDefault="00DD7E52" w:rsidP="00DD7E52">
      <w:pPr>
        <w:pStyle w:val="Notedebasdepage"/>
        <w:rPr>
          <w:lang w:val="es-CL"/>
        </w:rPr>
      </w:pPr>
      <w:r>
        <w:rPr>
          <w:rStyle w:val="Appelnotedebasdep"/>
        </w:rPr>
        <w:footnoteRef/>
      </w:r>
      <w:r w:rsidRPr="00B22AE6">
        <w:rPr>
          <w:lang w:val="es-CL"/>
        </w:rPr>
        <w:t xml:space="preserve"> </w:t>
      </w:r>
      <w:r w:rsidRPr="00B22AE6">
        <w:rPr>
          <w:lang w:val="es-CL"/>
        </w:rPr>
        <w:tab/>
        <w:t xml:space="preserve">P-14, </w:t>
      </w:r>
      <w:r w:rsidR="00C341A3" w:rsidRPr="00B22AE6">
        <w:rPr>
          <w:i/>
          <w:iCs/>
          <w:lang w:val="es-CL"/>
        </w:rPr>
        <w:t>supra</w:t>
      </w:r>
      <w:r w:rsidRPr="00B22AE6">
        <w:rPr>
          <w:lang w:val="es-CL"/>
        </w:rPr>
        <w:t xml:space="preserve"> note 4</w:t>
      </w:r>
      <w:r w:rsidR="00C341A3" w:rsidRPr="00B22AE6">
        <w:rPr>
          <w:lang w:val="es-CL"/>
        </w:rPr>
        <w:t xml:space="preserve"> at</w:t>
      </w:r>
      <w:r w:rsidRPr="00B22AE6">
        <w:rPr>
          <w:lang w:val="es-CL"/>
        </w:rPr>
        <w:t> </w:t>
      </w:r>
      <w:r w:rsidR="00822959" w:rsidRPr="00B22AE6">
        <w:rPr>
          <w:lang w:val="es-CL"/>
        </w:rPr>
        <w:t xml:space="preserve">p. </w:t>
      </w:r>
      <w:r w:rsidRPr="00B22AE6">
        <w:rPr>
          <w:lang w:val="es-CL"/>
        </w:rPr>
        <w:t>66.</w:t>
      </w:r>
    </w:p>
  </w:footnote>
  <w:footnote w:id="184">
    <w:p w14:paraId="3867CC94" w14:textId="77777777" w:rsidR="00C024E6" w:rsidRPr="00DB5F85" w:rsidRDefault="00C024E6" w:rsidP="00C024E6">
      <w:pPr>
        <w:pStyle w:val="Notedebasdepage"/>
        <w:rPr>
          <w:lang w:val="en-CA"/>
        </w:rPr>
      </w:pPr>
      <w:r>
        <w:rPr>
          <w:rStyle w:val="Appelnotedebasdep"/>
        </w:rPr>
        <w:footnoteRef/>
      </w:r>
      <w:r w:rsidRPr="00DB5F85">
        <w:rPr>
          <w:lang w:val="en-CA"/>
        </w:rPr>
        <w:t xml:space="preserve"> </w:t>
      </w:r>
      <w:r w:rsidRPr="00DB5F85">
        <w:rPr>
          <w:lang w:val="en-CA"/>
        </w:rPr>
        <w:tab/>
      </w:r>
      <w:r w:rsidRPr="009F7A40">
        <w:rPr>
          <w:i/>
          <w:iCs/>
          <w:lang w:val="en-CA"/>
        </w:rPr>
        <w:t>Regulation under the Act respecting the Québec correctional system</w:t>
      </w:r>
      <w:r w:rsidRPr="009F7A40">
        <w:rPr>
          <w:lang w:val="en-CA"/>
        </w:rPr>
        <w:t>, c. S-40.1, r. 1, ss.</w:t>
      </w:r>
      <w:r w:rsidRPr="00DB5F85">
        <w:rPr>
          <w:lang w:val="en-CA"/>
        </w:rPr>
        <w:t> </w:t>
      </w:r>
      <w:r w:rsidRPr="009F7A40">
        <w:rPr>
          <w:lang w:val="en-CA"/>
        </w:rPr>
        <w:t>21 and 27.</w:t>
      </w:r>
    </w:p>
  </w:footnote>
  <w:footnote w:id="185">
    <w:p w14:paraId="063A4FC5" w14:textId="121BAD06" w:rsidR="00DD7E52" w:rsidRPr="00DB5F85" w:rsidRDefault="00DD7E52" w:rsidP="00DD7E52">
      <w:pPr>
        <w:pStyle w:val="Notedebasdepage"/>
        <w:rPr>
          <w:lang w:val="en-CA"/>
        </w:rPr>
      </w:pPr>
      <w:r>
        <w:rPr>
          <w:rStyle w:val="Appelnotedebasdep"/>
        </w:rPr>
        <w:footnoteRef/>
      </w:r>
      <w:r w:rsidRPr="00DB5F85">
        <w:rPr>
          <w:lang w:val="en-CA"/>
        </w:rPr>
        <w:t xml:space="preserve"> </w:t>
      </w:r>
      <w:r w:rsidRPr="00DB5F85">
        <w:rPr>
          <w:lang w:val="en-CA"/>
        </w:rPr>
        <w:tab/>
      </w:r>
      <w:r w:rsidRPr="009F7A40">
        <w:rPr>
          <w:lang w:val="en-CA"/>
        </w:rPr>
        <w:t xml:space="preserve">P-12, </w:t>
      </w:r>
      <w:r w:rsidR="00DB5F85" w:rsidRPr="009F7A40">
        <w:rPr>
          <w:i/>
          <w:iCs/>
          <w:lang w:val="en-CA"/>
        </w:rPr>
        <w:t>supra</w:t>
      </w:r>
      <w:r w:rsidRPr="009F7A40">
        <w:rPr>
          <w:lang w:val="en-CA"/>
        </w:rPr>
        <w:t xml:space="preserve"> note 129</w:t>
      </w:r>
      <w:r w:rsidR="00DB5F85" w:rsidRPr="009F7A40">
        <w:rPr>
          <w:lang w:val="en-CA"/>
        </w:rPr>
        <w:t xml:space="preserve"> at</w:t>
      </w:r>
      <w:r w:rsidRPr="009F7A40">
        <w:rPr>
          <w:lang w:val="en-CA"/>
        </w:rPr>
        <w:t> </w:t>
      </w:r>
      <w:r w:rsidR="00822959">
        <w:rPr>
          <w:lang w:val="en-CA"/>
        </w:rPr>
        <w:t xml:space="preserve">pp. </w:t>
      </w:r>
      <w:r w:rsidRPr="009F7A40">
        <w:rPr>
          <w:lang w:val="en-CA"/>
        </w:rPr>
        <w:t xml:space="preserve">10 </w:t>
      </w:r>
      <w:r w:rsidR="00DB5F85" w:rsidRPr="009F7A40">
        <w:rPr>
          <w:lang w:val="en-CA"/>
        </w:rPr>
        <w:t xml:space="preserve">and </w:t>
      </w:r>
      <w:r w:rsidRPr="009F7A40">
        <w:rPr>
          <w:lang w:val="en-CA"/>
        </w:rPr>
        <w:t>54.</w:t>
      </w:r>
    </w:p>
  </w:footnote>
  <w:footnote w:id="186">
    <w:p w14:paraId="6B4AB6FF" w14:textId="4D3849AD" w:rsidR="00DD7E52" w:rsidRPr="00B22AE6" w:rsidRDefault="00DD7E52" w:rsidP="00DD7E52">
      <w:pPr>
        <w:pStyle w:val="Notedebasdepage"/>
      </w:pPr>
      <w:r>
        <w:rPr>
          <w:rStyle w:val="Appelnotedebasdep"/>
        </w:rPr>
        <w:footnoteRef/>
      </w:r>
      <w:r>
        <w:t xml:space="preserve"> </w:t>
      </w:r>
      <w:r>
        <w:tab/>
      </w:r>
      <w:r w:rsidRPr="009F7A40">
        <w:rPr>
          <w:i/>
          <w:iCs/>
        </w:rPr>
        <w:t>Commission des droits de la personne et des droits de la jeunesse (Ducas) c. Ville de Repentigny (Service de police de la Ville de Repentigny)</w:t>
      </w:r>
      <w:r w:rsidRPr="009F7A40">
        <w:t>, 2022 QCTDP 14</w:t>
      </w:r>
      <w:r w:rsidR="00DB5F85" w:rsidRPr="009F7A40">
        <w:t xml:space="preserve"> at</w:t>
      </w:r>
      <w:r w:rsidRPr="009F7A40">
        <w:t xml:space="preserve"> par</w:t>
      </w:r>
      <w:r w:rsidR="00DB5F85" w:rsidRPr="009F7A40">
        <w:t>a</w:t>
      </w:r>
      <w:r w:rsidRPr="009F7A40">
        <w:t>.</w:t>
      </w:r>
      <w:r w:rsidRPr="00E023BD">
        <w:t xml:space="preserve"> </w:t>
      </w:r>
      <w:r w:rsidRPr="00B22AE6">
        <w:t xml:space="preserve">85 </w:t>
      </w:r>
      <w:r w:rsidR="00CE1A49" w:rsidRPr="00B22AE6">
        <w:t>[</w:t>
      </w:r>
      <w:r w:rsidRPr="00B22AE6">
        <w:rPr>
          <w:i/>
          <w:iCs/>
        </w:rPr>
        <w:t>Ducas</w:t>
      </w:r>
      <w:r w:rsidR="00CE1A49" w:rsidRPr="00B22AE6">
        <w:t>]</w:t>
      </w:r>
      <w:r w:rsidRPr="00B22AE6">
        <w:t>.</w:t>
      </w:r>
    </w:p>
  </w:footnote>
  <w:footnote w:id="187">
    <w:p w14:paraId="07D69D3F" w14:textId="3E4921E0" w:rsidR="00DD7E52" w:rsidRPr="00B22AE6" w:rsidRDefault="00DD7E52" w:rsidP="00DD7E52">
      <w:pPr>
        <w:pStyle w:val="Notedebasdepage"/>
      </w:pPr>
      <w:r>
        <w:rPr>
          <w:rStyle w:val="Appelnotedebasdep"/>
        </w:rPr>
        <w:footnoteRef/>
      </w:r>
      <w:r w:rsidRPr="00B22AE6">
        <w:t xml:space="preserve"> </w:t>
      </w:r>
      <w:r w:rsidRPr="00B22AE6">
        <w:tab/>
      </w:r>
      <w:r w:rsidRPr="00B22AE6">
        <w:rPr>
          <w:i/>
          <w:iCs/>
        </w:rPr>
        <w:t>DeBellefeuille</w:t>
      </w:r>
      <w:r w:rsidRPr="00B22AE6">
        <w:t xml:space="preserve">, </w:t>
      </w:r>
      <w:r w:rsidR="00DB5F85" w:rsidRPr="00B22AE6">
        <w:rPr>
          <w:i/>
          <w:iCs/>
        </w:rPr>
        <w:t>supra</w:t>
      </w:r>
      <w:r w:rsidR="00DB5F85" w:rsidRPr="00B22AE6">
        <w:t xml:space="preserve"> </w:t>
      </w:r>
      <w:r w:rsidRPr="00B22AE6">
        <w:t>note 86</w:t>
      </w:r>
      <w:r w:rsidR="00DB5F85" w:rsidRPr="00B22AE6">
        <w:t xml:space="preserve"> at </w:t>
      </w:r>
      <w:r w:rsidRPr="00B22AE6">
        <w:t>par</w:t>
      </w:r>
      <w:r w:rsidR="00DB5F85" w:rsidRPr="00B22AE6">
        <w:t>a</w:t>
      </w:r>
      <w:r w:rsidRPr="00B22AE6">
        <w:t xml:space="preserve">. 141 </w:t>
      </w:r>
      <w:r w:rsidR="00D05F68" w:rsidRPr="00B22AE6">
        <w:t>[</w:t>
      </w:r>
      <w:r w:rsidR="00E870BF" w:rsidRPr="00B22AE6">
        <w:t>r</w:t>
      </w:r>
      <w:r w:rsidR="00DB5F85" w:rsidRPr="00B22AE6">
        <w:t>eferences omitted</w:t>
      </w:r>
      <w:r w:rsidR="00D05F68" w:rsidRPr="00B22AE6">
        <w:t>]</w:t>
      </w:r>
      <w:r w:rsidRPr="00B22AE6">
        <w:t>.</w:t>
      </w:r>
    </w:p>
  </w:footnote>
  <w:footnote w:id="188">
    <w:p w14:paraId="1BF72CFC" w14:textId="03164649" w:rsidR="00DD7E52" w:rsidRPr="00B22AE6" w:rsidRDefault="00DD7E52" w:rsidP="00DD7E52">
      <w:pPr>
        <w:pStyle w:val="Notedebasdepage"/>
      </w:pPr>
      <w:r>
        <w:rPr>
          <w:rStyle w:val="Appelnotedebasdep"/>
        </w:rPr>
        <w:footnoteRef/>
      </w:r>
      <w:r w:rsidRPr="00B22AE6">
        <w:t xml:space="preserve"> </w:t>
      </w:r>
      <w:r w:rsidRPr="00B22AE6">
        <w:tab/>
        <w:t xml:space="preserve">P-16, </w:t>
      </w:r>
      <w:r w:rsidR="008121E5" w:rsidRPr="00B22AE6">
        <w:rPr>
          <w:i/>
          <w:iCs/>
        </w:rPr>
        <w:t>supra</w:t>
      </w:r>
      <w:r w:rsidR="008121E5" w:rsidRPr="00B22AE6">
        <w:t xml:space="preserve"> </w:t>
      </w:r>
      <w:r w:rsidRPr="00B22AE6">
        <w:t>note 6</w:t>
      </w:r>
      <w:r w:rsidR="008121E5" w:rsidRPr="00B22AE6">
        <w:t>3 at</w:t>
      </w:r>
      <w:r w:rsidRPr="00B22AE6">
        <w:t> </w:t>
      </w:r>
      <w:r w:rsidR="00027A54" w:rsidRPr="00B22AE6">
        <w:t xml:space="preserve">p. </w:t>
      </w:r>
      <w:r w:rsidRPr="00B22AE6">
        <w:t xml:space="preserve">77.  </w:t>
      </w:r>
    </w:p>
  </w:footnote>
  <w:footnote w:id="189">
    <w:p w14:paraId="161BD28A" w14:textId="6CD2CF78" w:rsidR="00DD7E52" w:rsidRDefault="00DD7E52" w:rsidP="00DD7E52">
      <w:pPr>
        <w:pStyle w:val="Notedebasdepage"/>
      </w:pPr>
      <w:r>
        <w:rPr>
          <w:rStyle w:val="Appelnotedebasdep"/>
        </w:rPr>
        <w:footnoteRef/>
      </w:r>
      <w:r>
        <w:t xml:space="preserve"> </w:t>
      </w:r>
      <w:r>
        <w:tab/>
      </w:r>
      <w:r w:rsidRPr="009F7A40">
        <w:rPr>
          <w:i/>
          <w:iCs/>
        </w:rPr>
        <w:t>I</w:t>
      </w:r>
      <w:r w:rsidR="008121E5" w:rsidRPr="009F7A40">
        <w:rPr>
          <w:i/>
          <w:iCs/>
        </w:rPr>
        <w:t>bi</w:t>
      </w:r>
      <w:r w:rsidRPr="009F7A40">
        <w:rPr>
          <w:i/>
          <w:iCs/>
        </w:rPr>
        <w:t>d</w:t>
      </w:r>
      <w:r w:rsidRPr="009F7A40">
        <w:t>.</w:t>
      </w:r>
      <w:r w:rsidR="008121E5" w:rsidRPr="009F7A40">
        <w:t xml:space="preserve"> at</w:t>
      </w:r>
      <w:r w:rsidRPr="009F7A40">
        <w:t> </w:t>
      </w:r>
      <w:r w:rsidR="00027A54">
        <w:t xml:space="preserve">p. </w:t>
      </w:r>
      <w:r w:rsidRPr="009F7A40">
        <w:t>35.</w:t>
      </w:r>
    </w:p>
  </w:footnote>
  <w:footnote w:id="190">
    <w:p w14:paraId="4B0CBC5D" w14:textId="675CC6D4" w:rsidR="00DD7E52" w:rsidRPr="00D51BB3" w:rsidRDefault="00DD7E52" w:rsidP="00DD7E52">
      <w:pPr>
        <w:pStyle w:val="Notedebasdepage"/>
      </w:pPr>
      <w:r>
        <w:rPr>
          <w:rStyle w:val="Appelnotedebasdep"/>
        </w:rPr>
        <w:footnoteRef/>
      </w:r>
      <w:r w:rsidRPr="00E023BD">
        <w:t xml:space="preserve"> </w:t>
      </w:r>
      <w:r w:rsidRPr="00E023BD">
        <w:tab/>
      </w:r>
      <w:r w:rsidR="008121E5">
        <w:t xml:space="preserve">Exhibit </w:t>
      </w:r>
      <w:r w:rsidRPr="00E023BD">
        <w:t xml:space="preserve">D-10, </w:t>
      </w:r>
      <w:r w:rsidRPr="009F7A40">
        <w:t>Ministère de la Sécurité publique du Québec</w:t>
      </w:r>
      <w:r w:rsidRPr="00E023BD">
        <w:t xml:space="preserve">, </w:t>
      </w:r>
      <w:r w:rsidRPr="009F7A40">
        <w:t>Direction générale des services correctionnels</w:t>
      </w:r>
      <w:r w:rsidRPr="00E023BD">
        <w:t xml:space="preserve">, </w:t>
      </w:r>
      <w:r w:rsidRPr="009F7A40">
        <w:t>Direction du conseil à l’organisation</w:t>
      </w:r>
      <w:r w:rsidRPr="00E023BD">
        <w:t xml:space="preserve">, </w:t>
      </w:r>
      <w:r w:rsidRPr="009F7A40">
        <w:rPr>
          <w:i/>
          <w:iCs/>
        </w:rPr>
        <w:t>Instruction</w:t>
      </w:r>
      <w:r w:rsidRPr="00E023BD">
        <w:rPr>
          <w:i/>
          <w:iCs/>
        </w:rPr>
        <w:t xml:space="preserve"> relative à la fouille des </w:t>
      </w:r>
      <w:r w:rsidRPr="009F7A40">
        <w:rPr>
          <w:i/>
          <w:iCs/>
        </w:rPr>
        <w:t>personnes incarcérées</w:t>
      </w:r>
      <w:r w:rsidRPr="00E023BD">
        <w:rPr>
          <w:i/>
          <w:iCs/>
        </w:rPr>
        <w:t>, des lieux et des véhicules</w:t>
      </w:r>
      <w:r w:rsidRPr="00E023BD">
        <w:t xml:space="preserve">, </w:t>
      </w:r>
      <w:r w:rsidR="008121E5">
        <w:t>V</w:t>
      </w:r>
      <w:r w:rsidRPr="00E023BD">
        <w:t xml:space="preserve">ol. 2, </w:t>
      </w:r>
      <w:r w:rsidR="008121E5">
        <w:t xml:space="preserve">Sector </w:t>
      </w:r>
      <w:r w:rsidRPr="00E023BD">
        <w:t xml:space="preserve">1, </w:t>
      </w:r>
      <w:r w:rsidR="008121E5">
        <w:t>S</w:t>
      </w:r>
      <w:r w:rsidRPr="00E023BD">
        <w:t xml:space="preserve">ection I, </w:t>
      </w:r>
      <w:r w:rsidR="008121E5">
        <w:t xml:space="preserve">Exhibit </w:t>
      </w:r>
      <w:r w:rsidRPr="00E023BD">
        <w:t xml:space="preserve">09, </w:t>
      </w:r>
      <w:r w:rsidR="008121E5">
        <w:t xml:space="preserve">section </w:t>
      </w:r>
      <w:r w:rsidRPr="00E023BD">
        <w:t>5.1.2.1</w:t>
      </w:r>
      <w:r w:rsidR="008121E5">
        <w:t xml:space="preserve"> at</w:t>
      </w:r>
      <w:r w:rsidR="00027A54">
        <w:t xml:space="preserve"> p. </w:t>
      </w:r>
      <w:r w:rsidR="008121E5">
        <w:t xml:space="preserve"> </w:t>
      </w:r>
      <w:r w:rsidRPr="00E023BD">
        <w:t xml:space="preserve">8 </w:t>
      </w:r>
      <w:r w:rsidR="008121E5">
        <w:t xml:space="preserve">of </w:t>
      </w:r>
      <w:r w:rsidRPr="00E023BD">
        <w:t>20 (</w:t>
      </w:r>
      <w:r w:rsidR="008121E5">
        <w:t>italics added</w:t>
      </w:r>
      <w:r w:rsidRPr="00E023BD">
        <w:t xml:space="preserve">). </w:t>
      </w:r>
      <w:r w:rsidR="008121E5">
        <w:t>See in this respect</w:t>
      </w:r>
      <w:r w:rsidRPr="009F7A40">
        <w:t xml:space="preserve"> </w:t>
      </w:r>
      <w:r w:rsidRPr="009F7A40">
        <w:rPr>
          <w:i/>
          <w:iCs/>
        </w:rPr>
        <w:t>Commission des droits de la personne et des droits de la jeunesse (Duperron) c. Procureur général du Québec (Ministère de la Sécurité publique)</w:t>
      </w:r>
      <w:r w:rsidRPr="009F7A40">
        <w:t>, 2022 QCTDP 18</w:t>
      </w:r>
      <w:r w:rsidR="001455DB" w:rsidRPr="001455DB">
        <w:t xml:space="preserve"> </w:t>
      </w:r>
      <w:r w:rsidR="001455DB" w:rsidRPr="009F7A40">
        <w:t>at para.</w:t>
      </w:r>
      <w:r w:rsidR="001455DB" w:rsidRPr="00E023BD">
        <w:t xml:space="preserve"> </w:t>
      </w:r>
      <w:r w:rsidR="001455DB" w:rsidRPr="00D51BB3">
        <w:t>45</w:t>
      </w:r>
      <w:r w:rsidR="001455DB">
        <w:t>,</w:t>
      </w:r>
      <w:r w:rsidRPr="009F7A40">
        <w:t xml:space="preserve"> </w:t>
      </w:r>
      <w:r w:rsidR="001455DB">
        <w:t>leave to</w:t>
      </w:r>
      <w:r w:rsidR="008121E5" w:rsidRPr="009F7A40">
        <w:t xml:space="preserve"> appeal</w:t>
      </w:r>
      <w:r w:rsidR="001455DB">
        <w:t xml:space="preserve"> granted</w:t>
      </w:r>
      <w:r w:rsidR="008121E5" w:rsidRPr="009F7A40">
        <w:t>,</w:t>
      </w:r>
      <w:r w:rsidRPr="009F7A40">
        <w:t xml:space="preserve"> </w:t>
      </w:r>
      <w:r w:rsidRPr="009F7A40">
        <w:rPr>
          <w:i/>
          <w:iCs/>
        </w:rPr>
        <w:t>Procureur général du Québec c. Commission des droits de la personne et des droits de la jeunesse (Duperron)</w:t>
      </w:r>
      <w:r w:rsidRPr="009F7A40">
        <w:t>, 2023 QCCA 73</w:t>
      </w:r>
      <w:r w:rsidRPr="00D51BB3">
        <w:t>.</w:t>
      </w:r>
    </w:p>
  </w:footnote>
  <w:footnote w:id="191">
    <w:p w14:paraId="672E350D" w14:textId="77BAEFC5" w:rsidR="00DD7E52" w:rsidRPr="008121E5" w:rsidRDefault="00DD7E52" w:rsidP="00DD7E52">
      <w:pPr>
        <w:pStyle w:val="Notedebasdepage"/>
        <w:rPr>
          <w:lang w:val="en-CA"/>
        </w:rPr>
      </w:pPr>
      <w:r w:rsidRPr="008121E5">
        <w:rPr>
          <w:rStyle w:val="Appelnotedebasdep"/>
          <w:lang w:val="en-CA"/>
        </w:rPr>
        <w:footnoteRef/>
      </w:r>
      <w:r w:rsidRPr="008121E5">
        <w:rPr>
          <w:lang w:val="en-CA"/>
        </w:rPr>
        <w:t xml:space="preserve"> </w:t>
      </w:r>
      <w:r w:rsidRPr="008121E5">
        <w:rPr>
          <w:lang w:val="en-CA"/>
        </w:rPr>
        <w:tab/>
      </w:r>
      <w:r w:rsidR="008121E5" w:rsidRPr="008121E5">
        <w:rPr>
          <w:lang w:val="en-CA"/>
        </w:rPr>
        <w:t xml:space="preserve">At the hearing, Unit Manager Leclerc admitted there were some </w:t>
      </w:r>
      <w:r w:rsidR="001455DB">
        <w:rPr>
          <w:lang w:val="en-CA"/>
        </w:rPr>
        <w:t>[</w:t>
      </w:r>
      <w:r w:rsidR="001455DB" w:rsidRPr="008121E5">
        <w:rPr>
          <w:smallCaps/>
          <w:lang w:val="en-CA"/>
        </w:rPr>
        <w:t>translation</w:t>
      </w:r>
      <w:r w:rsidR="001455DB">
        <w:rPr>
          <w:lang w:val="en-CA"/>
        </w:rPr>
        <w:t xml:space="preserve">] </w:t>
      </w:r>
      <w:r w:rsidR="008121E5">
        <w:rPr>
          <w:lang w:val="en-CA"/>
        </w:rPr>
        <w:t>“</w:t>
      </w:r>
      <w:r w:rsidR="008121E5" w:rsidRPr="008121E5">
        <w:rPr>
          <w:lang w:val="en-CA"/>
        </w:rPr>
        <w:t>curious people</w:t>
      </w:r>
      <w:r w:rsidR="008121E5">
        <w:rPr>
          <w:lang w:val="en-CA"/>
        </w:rPr>
        <w:t>”</w:t>
      </w:r>
      <w:r w:rsidR="008121E5" w:rsidRPr="008121E5">
        <w:rPr>
          <w:lang w:val="en-CA"/>
        </w:rPr>
        <w:t xml:space="preserve"> there</w:t>
      </w:r>
      <w:r w:rsidRPr="008121E5">
        <w:rPr>
          <w:lang w:val="en-CA"/>
        </w:rPr>
        <w:t xml:space="preserve">: </w:t>
      </w:r>
      <w:r w:rsidR="008121E5">
        <w:rPr>
          <w:lang w:val="en-CA"/>
        </w:rPr>
        <w:t>[</w:t>
      </w:r>
      <w:r w:rsidR="008121E5" w:rsidRPr="008121E5">
        <w:rPr>
          <w:smallCaps/>
          <w:lang w:val="en-CA"/>
        </w:rPr>
        <w:t>translation</w:t>
      </w:r>
      <w:r w:rsidR="008121E5">
        <w:rPr>
          <w:lang w:val="en-CA"/>
        </w:rPr>
        <w:t>] “I saw that there were too many people”; [</w:t>
      </w:r>
      <w:r w:rsidR="008121E5" w:rsidRPr="008121E5">
        <w:rPr>
          <w:smallCaps/>
          <w:lang w:val="en-CA"/>
        </w:rPr>
        <w:t>translation</w:t>
      </w:r>
      <w:r w:rsidR="008121E5">
        <w:rPr>
          <w:lang w:val="en-CA"/>
        </w:rPr>
        <w:t>] “Some had left their stations to come see”; [</w:t>
      </w:r>
      <w:r w:rsidR="008121E5" w:rsidRPr="008121E5">
        <w:rPr>
          <w:smallCaps/>
          <w:lang w:val="en-CA"/>
        </w:rPr>
        <w:t>translation</w:t>
      </w:r>
      <w:r w:rsidR="008121E5">
        <w:rPr>
          <w:lang w:val="en-CA"/>
        </w:rPr>
        <w:t xml:space="preserve">] “I </w:t>
      </w:r>
      <w:r w:rsidR="00027A54">
        <w:rPr>
          <w:lang w:val="en-CA"/>
        </w:rPr>
        <w:t xml:space="preserve">did not </w:t>
      </w:r>
      <w:r w:rsidR="008121E5">
        <w:rPr>
          <w:lang w:val="en-CA"/>
        </w:rPr>
        <w:t>th</w:t>
      </w:r>
      <w:r w:rsidR="00027A54">
        <w:rPr>
          <w:lang w:val="en-CA"/>
        </w:rPr>
        <w:t>ink</w:t>
      </w:r>
      <w:r w:rsidR="008121E5">
        <w:rPr>
          <w:lang w:val="en-CA"/>
        </w:rPr>
        <w:t xml:space="preserve"> </w:t>
      </w:r>
      <w:r w:rsidR="00027A54">
        <w:rPr>
          <w:lang w:val="en-CA"/>
        </w:rPr>
        <w:t>of</w:t>
      </w:r>
      <w:r w:rsidR="008121E5">
        <w:rPr>
          <w:lang w:val="en-CA"/>
        </w:rPr>
        <w:t xml:space="preserve"> telling them to leave”.</w:t>
      </w:r>
    </w:p>
  </w:footnote>
  <w:footnote w:id="192">
    <w:p w14:paraId="5918D6CE" w14:textId="0F0A7123" w:rsidR="00DD7E52" w:rsidRDefault="00DD7E52" w:rsidP="00DD7E52">
      <w:pPr>
        <w:pStyle w:val="Notedebasdepage"/>
      </w:pPr>
      <w:r>
        <w:rPr>
          <w:rStyle w:val="Appelnotedebasdep"/>
        </w:rPr>
        <w:footnoteRef/>
      </w:r>
      <w:r w:rsidRPr="00E023BD">
        <w:t xml:space="preserve"> </w:t>
      </w:r>
      <w:r w:rsidRPr="00E023BD">
        <w:tab/>
      </w:r>
      <w:r w:rsidR="00380191" w:rsidRPr="009F7A40">
        <w:t xml:space="preserve">Exhibit </w:t>
      </w:r>
      <w:r w:rsidRPr="00E023BD">
        <w:t xml:space="preserve">D-13, </w:t>
      </w:r>
      <w:r w:rsidRPr="009F7A40">
        <w:t>Ministère de la Sécurité publique du Québec</w:t>
      </w:r>
      <w:r w:rsidRPr="00E023BD">
        <w:t xml:space="preserve">, </w:t>
      </w:r>
      <w:r w:rsidRPr="009F7A40">
        <w:t>Direction générale des services correctionnels</w:t>
      </w:r>
      <w:r w:rsidRPr="00E023BD">
        <w:t xml:space="preserve">, </w:t>
      </w:r>
      <w:r w:rsidRPr="009F7A40">
        <w:rPr>
          <w:i/>
          <w:iCs/>
        </w:rPr>
        <w:t>Instruction</w:t>
      </w:r>
      <w:r w:rsidRPr="00E023BD">
        <w:rPr>
          <w:i/>
          <w:iCs/>
        </w:rPr>
        <w:t xml:space="preserve"> sur l’agent inflammatoire (utilisation)</w:t>
      </w:r>
      <w:r w:rsidRPr="00E023BD">
        <w:t xml:space="preserve">, </w:t>
      </w:r>
      <w:r w:rsidR="00380191">
        <w:t>V</w:t>
      </w:r>
      <w:r w:rsidRPr="00E023BD">
        <w:t xml:space="preserve">ol. 3, </w:t>
      </w:r>
      <w:r w:rsidR="00380191">
        <w:t xml:space="preserve">Sector </w:t>
      </w:r>
      <w:r w:rsidRPr="00E023BD">
        <w:t xml:space="preserve">1, </w:t>
      </w:r>
      <w:r w:rsidR="00380191">
        <w:t>S</w:t>
      </w:r>
      <w:r w:rsidRPr="00E023BD">
        <w:t xml:space="preserve">ection S, </w:t>
      </w:r>
      <w:r w:rsidR="00380191">
        <w:t xml:space="preserve">Exhibit </w:t>
      </w:r>
      <w:r w:rsidRPr="00E023BD">
        <w:t xml:space="preserve">05, </w:t>
      </w:r>
      <w:r w:rsidR="00380191">
        <w:t xml:space="preserve">section </w:t>
      </w:r>
      <w:r w:rsidRPr="00E023BD">
        <w:t>5.7.2.</w:t>
      </w:r>
      <w:r w:rsidR="00380191">
        <w:t>1 at</w:t>
      </w:r>
      <w:r w:rsidRPr="00E023BD">
        <w:t> </w:t>
      </w:r>
      <w:r w:rsidR="00027A54">
        <w:t xml:space="preserve">p. </w:t>
      </w:r>
      <w:r w:rsidRPr="00E023BD">
        <w:t xml:space="preserve">29 </w:t>
      </w:r>
      <w:r w:rsidR="00380191">
        <w:t xml:space="preserve">of </w:t>
      </w:r>
      <w:r w:rsidRPr="00E023BD">
        <w:t>342.</w:t>
      </w:r>
    </w:p>
  </w:footnote>
  <w:footnote w:id="193">
    <w:p w14:paraId="2B7BDE39" w14:textId="347B3627" w:rsidR="00DD7E52" w:rsidRPr="00380191" w:rsidRDefault="00DD7E52" w:rsidP="00DD7E52">
      <w:pPr>
        <w:pStyle w:val="Notedebasdepage"/>
        <w:rPr>
          <w:lang w:val="en-CA"/>
        </w:rPr>
      </w:pPr>
      <w:r>
        <w:rPr>
          <w:rStyle w:val="Appelnotedebasdep"/>
        </w:rPr>
        <w:footnoteRef/>
      </w:r>
      <w:r w:rsidRPr="00380191">
        <w:rPr>
          <w:lang w:val="en-CA"/>
        </w:rPr>
        <w:t xml:space="preserve"> </w:t>
      </w:r>
      <w:r w:rsidRPr="00380191">
        <w:rPr>
          <w:lang w:val="en-CA"/>
        </w:rPr>
        <w:tab/>
      </w:r>
      <w:r w:rsidRPr="009F7A40">
        <w:rPr>
          <w:lang w:val="en-CA"/>
        </w:rPr>
        <w:t>P-16,</w:t>
      </w:r>
      <w:r w:rsidR="00380191" w:rsidRPr="009F7A40">
        <w:rPr>
          <w:lang w:val="en-CA"/>
        </w:rPr>
        <w:t xml:space="preserve"> </w:t>
      </w:r>
      <w:r w:rsidR="00380191" w:rsidRPr="009F7A40">
        <w:rPr>
          <w:i/>
          <w:iCs/>
          <w:lang w:val="en-CA"/>
        </w:rPr>
        <w:t>supra</w:t>
      </w:r>
      <w:r w:rsidR="00380191" w:rsidRPr="009F7A40">
        <w:rPr>
          <w:lang w:val="en-CA"/>
        </w:rPr>
        <w:t xml:space="preserve"> n</w:t>
      </w:r>
      <w:r w:rsidRPr="009F7A40">
        <w:rPr>
          <w:lang w:val="en-CA"/>
        </w:rPr>
        <w:t>ote 63</w:t>
      </w:r>
      <w:r w:rsidR="00380191" w:rsidRPr="009F7A40">
        <w:rPr>
          <w:lang w:val="en-CA"/>
        </w:rPr>
        <w:t xml:space="preserve"> at </w:t>
      </w:r>
      <w:r w:rsidR="00027A54">
        <w:rPr>
          <w:lang w:val="en-CA"/>
        </w:rPr>
        <w:t xml:space="preserve">p. </w:t>
      </w:r>
      <w:r w:rsidRPr="009F7A40">
        <w:rPr>
          <w:lang w:val="en-CA"/>
        </w:rPr>
        <w:t>72.</w:t>
      </w:r>
    </w:p>
  </w:footnote>
  <w:footnote w:id="194">
    <w:p w14:paraId="041824F5" w14:textId="7F7B61F6" w:rsidR="00DD7E52" w:rsidRPr="00CD32E7" w:rsidRDefault="00DD7E52" w:rsidP="00DD7E52">
      <w:pPr>
        <w:pStyle w:val="Notedebasdepage"/>
      </w:pPr>
      <w:r>
        <w:rPr>
          <w:rStyle w:val="Appelnotedebasdep"/>
        </w:rPr>
        <w:footnoteRef/>
      </w:r>
      <w:r w:rsidRPr="00CD32E7">
        <w:t xml:space="preserve"> </w:t>
      </w:r>
      <w:r w:rsidRPr="00CD32E7">
        <w:tab/>
      </w:r>
      <w:r w:rsidRPr="00CD32E7">
        <w:rPr>
          <w:i/>
          <w:iCs/>
        </w:rPr>
        <w:t>I</w:t>
      </w:r>
      <w:r w:rsidR="00380191" w:rsidRPr="00CD32E7">
        <w:rPr>
          <w:i/>
          <w:iCs/>
        </w:rPr>
        <w:t>bi</w:t>
      </w:r>
      <w:r w:rsidRPr="00CD32E7">
        <w:rPr>
          <w:i/>
          <w:iCs/>
        </w:rPr>
        <w:t>d</w:t>
      </w:r>
      <w:r w:rsidRPr="00CD32E7">
        <w:t>.</w:t>
      </w:r>
      <w:r w:rsidR="00380191" w:rsidRPr="00CD32E7">
        <w:t xml:space="preserve"> at</w:t>
      </w:r>
      <w:r w:rsidRPr="00CD32E7">
        <w:t> </w:t>
      </w:r>
      <w:r w:rsidR="00027A54" w:rsidRPr="00CD32E7">
        <w:t xml:space="preserve">p. </w:t>
      </w:r>
      <w:r w:rsidRPr="00CD32E7">
        <w:t>73.</w:t>
      </w:r>
    </w:p>
  </w:footnote>
  <w:footnote w:id="195">
    <w:p w14:paraId="22D85732" w14:textId="0108BBA4" w:rsidR="00DD7E52" w:rsidRDefault="00DD7E52" w:rsidP="00DD7E52">
      <w:pPr>
        <w:pStyle w:val="Notedebasdepage"/>
      </w:pPr>
      <w:r>
        <w:rPr>
          <w:rStyle w:val="Appelnotedebasdep"/>
        </w:rPr>
        <w:footnoteRef/>
      </w:r>
      <w:r w:rsidRPr="00D1744C">
        <w:t xml:space="preserve"> </w:t>
      </w:r>
      <w:r w:rsidRPr="00D1744C">
        <w:tab/>
      </w:r>
      <w:r w:rsidR="00380191">
        <w:t xml:space="preserve">Exhibit </w:t>
      </w:r>
      <w:r w:rsidRPr="00D1744C">
        <w:t xml:space="preserve">D-13, </w:t>
      </w:r>
      <w:r w:rsidRPr="009F7A40">
        <w:t>Ministère de la Sécurité publique</w:t>
      </w:r>
      <w:r w:rsidRPr="00D1744C">
        <w:t xml:space="preserve">, Direction générale adjointe à la sécurité, </w:t>
      </w:r>
      <w:r w:rsidRPr="00E023BD">
        <w:rPr>
          <w:i/>
          <w:iCs/>
        </w:rPr>
        <w:t>Guide sur l’utilisation du bouclier rectangulaire</w:t>
      </w:r>
      <w:r w:rsidR="003F6C9D">
        <w:t xml:space="preserve">, </w:t>
      </w:r>
      <w:r w:rsidRPr="00D1744C">
        <w:t>30 </w:t>
      </w:r>
      <w:r w:rsidR="00380191">
        <w:t>March</w:t>
      </w:r>
      <w:r w:rsidRPr="00D1744C">
        <w:t xml:space="preserve"> 2022</w:t>
      </w:r>
      <w:r w:rsidR="003F6C9D">
        <w:t>,</w:t>
      </w:r>
      <w:r w:rsidR="00380191">
        <w:t xml:space="preserve"> at</w:t>
      </w:r>
      <w:r w:rsidRPr="00D1744C">
        <w:t> </w:t>
      </w:r>
      <w:r w:rsidR="00027A54">
        <w:t xml:space="preserve">p. </w:t>
      </w:r>
      <w:r w:rsidRPr="00D1744C">
        <w:t xml:space="preserve">330 </w:t>
      </w:r>
      <w:r w:rsidR="00380191">
        <w:t xml:space="preserve">of </w:t>
      </w:r>
      <w:r w:rsidRPr="00D1744C">
        <w:t>342.</w:t>
      </w:r>
    </w:p>
  </w:footnote>
  <w:footnote w:id="196">
    <w:p w14:paraId="6A8F2E44" w14:textId="6995770F" w:rsidR="00DD7E52" w:rsidRDefault="00DD7E52" w:rsidP="00DD7E52">
      <w:pPr>
        <w:pStyle w:val="Notedebasdepage"/>
      </w:pPr>
      <w:r>
        <w:rPr>
          <w:rStyle w:val="Appelnotedebasdep"/>
        </w:rPr>
        <w:footnoteRef/>
      </w:r>
      <w:r w:rsidRPr="00D1744C">
        <w:t xml:space="preserve"> </w:t>
      </w:r>
      <w:r w:rsidRPr="00D1744C">
        <w:tab/>
      </w:r>
      <w:r w:rsidR="00380191" w:rsidRPr="009F7A40">
        <w:t>Exhibit</w:t>
      </w:r>
      <w:r w:rsidRPr="00D1744C">
        <w:t xml:space="preserve"> D-13, </w:t>
      </w:r>
      <w:r w:rsidRPr="009F7A40">
        <w:t>Ministère de la Sécurité publique</w:t>
      </w:r>
      <w:r w:rsidRPr="00D1744C">
        <w:t xml:space="preserve">, </w:t>
      </w:r>
      <w:r w:rsidRPr="009F7A40">
        <w:t>Direction générale des services correctionnels</w:t>
      </w:r>
      <w:r w:rsidRPr="00D1744C">
        <w:t xml:space="preserve">, Direction de la sécurité, </w:t>
      </w:r>
      <w:r w:rsidRPr="00D1744C">
        <w:rPr>
          <w:i/>
          <w:iCs/>
        </w:rPr>
        <w:t xml:space="preserve">Directives à appliquer lors d’un </w:t>
      </w:r>
      <w:r w:rsidRPr="009F7A40">
        <w:rPr>
          <w:i/>
          <w:iCs/>
        </w:rPr>
        <w:t>recours à la force</w:t>
      </w:r>
      <w:r w:rsidRPr="00D1744C">
        <w:rPr>
          <w:i/>
          <w:iCs/>
        </w:rPr>
        <w:t xml:space="preserve"> sur une </w:t>
      </w:r>
      <w:r w:rsidRPr="009F7A40">
        <w:rPr>
          <w:i/>
          <w:iCs/>
        </w:rPr>
        <w:t>personne incarcérée</w:t>
      </w:r>
      <w:r w:rsidRPr="00D1744C">
        <w:rPr>
          <w:i/>
          <w:iCs/>
        </w:rPr>
        <w:t xml:space="preserve"> qui ne porte pas de vêtements au moment de son escorte post intervention</w:t>
      </w:r>
      <w:r w:rsidRPr="00D1744C">
        <w:t xml:space="preserve">, </w:t>
      </w:r>
      <w:r w:rsidR="00380191">
        <w:t>Document</w:t>
      </w:r>
      <w:r w:rsidRPr="00D1744C">
        <w:t> 116801</w:t>
      </w:r>
      <w:r w:rsidR="003F6C9D">
        <w:t xml:space="preserve">, </w:t>
      </w:r>
      <w:r w:rsidRPr="00D1744C">
        <w:t>4 </w:t>
      </w:r>
      <w:r w:rsidR="00380191">
        <w:t>May</w:t>
      </w:r>
      <w:r w:rsidRPr="00D1744C">
        <w:t xml:space="preserve"> 2016</w:t>
      </w:r>
      <w:r w:rsidR="003F6C9D">
        <w:t>,</w:t>
      </w:r>
      <w:r w:rsidR="00380191">
        <w:t xml:space="preserve"> at</w:t>
      </w:r>
      <w:r w:rsidRPr="00D1744C">
        <w:t> </w:t>
      </w:r>
      <w:r w:rsidR="00BE59EF">
        <w:t xml:space="preserve">p. </w:t>
      </w:r>
      <w:r w:rsidRPr="00D1744C">
        <w:t xml:space="preserve">333 </w:t>
      </w:r>
      <w:r w:rsidR="00380191">
        <w:t xml:space="preserve">of </w:t>
      </w:r>
      <w:r w:rsidRPr="00D1744C">
        <w:t>342.</w:t>
      </w:r>
    </w:p>
  </w:footnote>
  <w:footnote w:id="197">
    <w:p w14:paraId="05546D4A" w14:textId="0931D104" w:rsidR="00DD7E52" w:rsidRPr="00380191" w:rsidRDefault="00DD7E52" w:rsidP="00DD7E52">
      <w:pPr>
        <w:pStyle w:val="Notedebasdepage"/>
        <w:rPr>
          <w:lang w:val="en-CA"/>
        </w:rPr>
      </w:pPr>
      <w:r>
        <w:rPr>
          <w:rStyle w:val="Appelnotedebasdep"/>
        </w:rPr>
        <w:footnoteRef/>
      </w:r>
      <w:r w:rsidRPr="00380191">
        <w:rPr>
          <w:lang w:val="en-CA"/>
        </w:rPr>
        <w:t xml:space="preserve"> </w:t>
      </w:r>
      <w:r w:rsidRPr="00380191">
        <w:rPr>
          <w:lang w:val="en-CA"/>
        </w:rPr>
        <w:tab/>
      </w:r>
      <w:r w:rsidRPr="009F7A40">
        <w:rPr>
          <w:lang w:val="en-CA"/>
        </w:rPr>
        <w:t>P-16,</w:t>
      </w:r>
      <w:r w:rsidR="00380191" w:rsidRPr="009F7A40">
        <w:rPr>
          <w:lang w:val="en-CA"/>
        </w:rPr>
        <w:t xml:space="preserve"> </w:t>
      </w:r>
      <w:r w:rsidR="00380191" w:rsidRPr="009F7A40">
        <w:rPr>
          <w:i/>
          <w:iCs/>
          <w:lang w:val="en-CA"/>
        </w:rPr>
        <w:t>supra</w:t>
      </w:r>
      <w:r w:rsidR="00380191" w:rsidRPr="009F7A40">
        <w:rPr>
          <w:lang w:val="en-CA"/>
        </w:rPr>
        <w:t xml:space="preserve"> </w:t>
      </w:r>
      <w:r w:rsidRPr="009F7A40">
        <w:rPr>
          <w:lang w:val="en-CA"/>
        </w:rPr>
        <w:t>note 63</w:t>
      </w:r>
      <w:r w:rsidR="00380191" w:rsidRPr="009F7A40">
        <w:rPr>
          <w:lang w:val="en-CA"/>
        </w:rPr>
        <w:t xml:space="preserve"> at</w:t>
      </w:r>
      <w:r w:rsidRPr="009F7A40">
        <w:rPr>
          <w:lang w:val="en-CA"/>
        </w:rPr>
        <w:t> </w:t>
      </w:r>
      <w:r w:rsidR="00BE59EF">
        <w:rPr>
          <w:lang w:val="en-CA"/>
        </w:rPr>
        <w:t xml:space="preserve">p. </w:t>
      </w:r>
      <w:r w:rsidRPr="009F7A40">
        <w:rPr>
          <w:lang w:val="en-CA"/>
        </w:rPr>
        <w:t>77.</w:t>
      </w:r>
    </w:p>
  </w:footnote>
  <w:footnote w:id="198">
    <w:p w14:paraId="7CBDAB81" w14:textId="119C3CBF" w:rsidR="00DD7E52" w:rsidRPr="00380191" w:rsidRDefault="00DD7E52" w:rsidP="00DD7E52">
      <w:pPr>
        <w:pStyle w:val="Notedebasdepage"/>
        <w:rPr>
          <w:lang w:val="en-CA"/>
        </w:rPr>
      </w:pPr>
      <w:r>
        <w:rPr>
          <w:rStyle w:val="Appelnotedebasdep"/>
        </w:rPr>
        <w:footnoteRef/>
      </w:r>
      <w:r w:rsidRPr="00380191">
        <w:rPr>
          <w:lang w:val="en-CA"/>
        </w:rPr>
        <w:t xml:space="preserve"> </w:t>
      </w:r>
      <w:r w:rsidRPr="00380191">
        <w:rPr>
          <w:lang w:val="en-CA"/>
        </w:rPr>
        <w:tab/>
        <w:t>Nelson Mandela</w:t>
      </w:r>
      <w:r w:rsidR="00380191" w:rsidRPr="00380191">
        <w:rPr>
          <w:lang w:val="en-CA"/>
        </w:rPr>
        <w:t xml:space="preserve"> Rules</w:t>
      </w:r>
      <w:r w:rsidRPr="00380191">
        <w:rPr>
          <w:lang w:val="en-CA"/>
        </w:rPr>
        <w:t xml:space="preserve">, </w:t>
      </w:r>
      <w:r w:rsidR="00380191" w:rsidRPr="00380191">
        <w:rPr>
          <w:i/>
          <w:iCs/>
          <w:lang w:val="en-CA"/>
        </w:rPr>
        <w:t>supra</w:t>
      </w:r>
      <w:r w:rsidRPr="00380191">
        <w:rPr>
          <w:lang w:val="en-CA"/>
        </w:rPr>
        <w:t xml:space="preserve"> note 168, </w:t>
      </w:r>
      <w:r w:rsidR="00380191" w:rsidRPr="00380191">
        <w:rPr>
          <w:lang w:val="en-CA"/>
        </w:rPr>
        <w:t xml:space="preserve">Rule </w:t>
      </w:r>
      <w:r w:rsidRPr="00380191">
        <w:rPr>
          <w:lang w:val="en-CA"/>
        </w:rPr>
        <w:t>19(1).</w:t>
      </w:r>
    </w:p>
  </w:footnote>
  <w:footnote w:id="199">
    <w:p w14:paraId="7808327D" w14:textId="26131A0C" w:rsidR="00DD7E52" w:rsidRPr="00380191" w:rsidRDefault="00DD7E52" w:rsidP="00DD7E52">
      <w:pPr>
        <w:pStyle w:val="Notedebasdepage"/>
        <w:rPr>
          <w:lang w:val="en-CA"/>
        </w:rPr>
      </w:pPr>
      <w:r>
        <w:rPr>
          <w:rStyle w:val="Appelnotedebasdep"/>
        </w:rPr>
        <w:footnoteRef/>
      </w:r>
      <w:r w:rsidRPr="00380191">
        <w:rPr>
          <w:lang w:val="en-CA"/>
        </w:rPr>
        <w:t xml:space="preserve"> </w:t>
      </w:r>
      <w:r w:rsidRPr="00380191">
        <w:rPr>
          <w:i/>
          <w:iCs/>
          <w:lang w:val="en-CA"/>
        </w:rPr>
        <w:tab/>
      </w:r>
      <w:r w:rsidRPr="009F7A40">
        <w:rPr>
          <w:i/>
          <w:iCs/>
          <w:lang w:val="en-CA"/>
        </w:rPr>
        <w:t>I</w:t>
      </w:r>
      <w:r w:rsidR="00380191" w:rsidRPr="009F7A40">
        <w:rPr>
          <w:i/>
          <w:iCs/>
          <w:lang w:val="en-CA"/>
        </w:rPr>
        <w:t>bi</w:t>
      </w:r>
      <w:r w:rsidRPr="009F7A40">
        <w:rPr>
          <w:i/>
          <w:iCs/>
          <w:lang w:val="en-CA"/>
        </w:rPr>
        <w:t>d</w:t>
      </w:r>
      <w:r w:rsidRPr="009F7A40">
        <w:rPr>
          <w:lang w:val="en-CA"/>
        </w:rPr>
        <w:t>.</w:t>
      </w:r>
      <w:r w:rsidR="00380191" w:rsidRPr="009F7A40">
        <w:rPr>
          <w:lang w:val="en-CA"/>
        </w:rPr>
        <w:t>,</w:t>
      </w:r>
      <w:r w:rsidRPr="009F7A40">
        <w:rPr>
          <w:lang w:val="en-CA"/>
        </w:rPr>
        <w:t xml:space="preserve"> R</w:t>
      </w:r>
      <w:r w:rsidR="00380191" w:rsidRPr="009F7A40">
        <w:rPr>
          <w:lang w:val="en-CA"/>
        </w:rPr>
        <w:t>ule</w:t>
      </w:r>
      <w:r w:rsidRPr="009F7A40">
        <w:rPr>
          <w:lang w:val="en-CA"/>
        </w:rPr>
        <w:t> 22.</w:t>
      </w:r>
    </w:p>
  </w:footnote>
  <w:footnote w:id="200">
    <w:p w14:paraId="4370A05F" w14:textId="4BF5A1E0" w:rsidR="00DD7E52" w:rsidRPr="00380191" w:rsidRDefault="00DD7E52" w:rsidP="00DD7E52">
      <w:pPr>
        <w:pStyle w:val="Notedebasdepage"/>
        <w:rPr>
          <w:lang w:val="en-CA"/>
        </w:rPr>
      </w:pPr>
      <w:r>
        <w:rPr>
          <w:rStyle w:val="Appelnotedebasdep"/>
        </w:rPr>
        <w:footnoteRef/>
      </w:r>
      <w:r w:rsidRPr="00380191">
        <w:rPr>
          <w:lang w:val="en-CA"/>
        </w:rPr>
        <w:t xml:space="preserve"> </w:t>
      </w:r>
      <w:r w:rsidRPr="00380191">
        <w:rPr>
          <w:lang w:val="en-CA"/>
        </w:rPr>
        <w:tab/>
      </w:r>
      <w:r w:rsidRPr="009F7A40">
        <w:rPr>
          <w:i/>
          <w:iCs/>
          <w:lang w:val="en-CA"/>
        </w:rPr>
        <w:t>I</w:t>
      </w:r>
      <w:r w:rsidR="00380191" w:rsidRPr="009F7A40">
        <w:rPr>
          <w:i/>
          <w:iCs/>
          <w:lang w:val="en-CA"/>
        </w:rPr>
        <w:t>bi</w:t>
      </w:r>
      <w:r w:rsidRPr="009F7A40">
        <w:rPr>
          <w:i/>
          <w:iCs/>
          <w:lang w:val="en-CA"/>
        </w:rPr>
        <w:t>d</w:t>
      </w:r>
      <w:r w:rsidRPr="009F7A40">
        <w:rPr>
          <w:lang w:val="en-CA"/>
        </w:rPr>
        <w:t xml:space="preserve">., </w:t>
      </w:r>
      <w:r w:rsidR="00380191" w:rsidRPr="009F7A40">
        <w:rPr>
          <w:lang w:val="en-CA"/>
        </w:rPr>
        <w:t>Rule</w:t>
      </w:r>
      <w:r w:rsidRPr="009F7A40">
        <w:rPr>
          <w:lang w:val="en-CA"/>
        </w:rPr>
        <w:t> 21.</w:t>
      </w:r>
    </w:p>
  </w:footnote>
  <w:footnote w:id="201">
    <w:p w14:paraId="0CF4D93E" w14:textId="645F50F8" w:rsidR="00DD7E52" w:rsidRPr="00380191" w:rsidRDefault="00DD7E52" w:rsidP="00DD7E52">
      <w:pPr>
        <w:pStyle w:val="Notedebasdepage"/>
        <w:rPr>
          <w:lang w:val="en-CA"/>
        </w:rPr>
      </w:pPr>
      <w:r>
        <w:rPr>
          <w:rStyle w:val="Appelnotedebasdep"/>
        </w:rPr>
        <w:footnoteRef/>
      </w:r>
      <w:r w:rsidRPr="00380191">
        <w:rPr>
          <w:lang w:val="en-CA"/>
        </w:rPr>
        <w:t xml:space="preserve"> </w:t>
      </w:r>
      <w:r w:rsidRPr="00380191">
        <w:rPr>
          <w:lang w:val="en-CA"/>
        </w:rPr>
        <w:tab/>
      </w:r>
      <w:r w:rsidRPr="00380191">
        <w:rPr>
          <w:i/>
          <w:iCs/>
          <w:lang w:val="en-CA"/>
        </w:rPr>
        <w:t>I</w:t>
      </w:r>
      <w:r w:rsidR="00380191" w:rsidRPr="00380191">
        <w:rPr>
          <w:i/>
          <w:iCs/>
          <w:lang w:val="en-CA"/>
        </w:rPr>
        <w:t>bi</w:t>
      </w:r>
      <w:r w:rsidRPr="00380191">
        <w:rPr>
          <w:i/>
          <w:iCs/>
          <w:lang w:val="en-CA"/>
        </w:rPr>
        <w:t>d</w:t>
      </w:r>
      <w:r w:rsidRPr="00380191">
        <w:rPr>
          <w:lang w:val="en-CA"/>
        </w:rPr>
        <w:t xml:space="preserve">., </w:t>
      </w:r>
      <w:r w:rsidR="00380191">
        <w:rPr>
          <w:lang w:val="en-CA"/>
        </w:rPr>
        <w:t>Rule</w:t>
      </w:r>
      <w:r w:rsidRPr="00380191">
        <w:rPr>
          <w:lang w:val="en-CA"/>
        </w:rPr>
        <w:t> 19(1).</w:t>
      </w:r>
    </w:p>
  </w:footnote>
  <w:footnote w:id="202">
    <w:p w14:paraId="1A83DA97" w14:textId="37B22F22" w:rsidR="00DD7E52" w:rsidRPr="00B22AE6" w:rsidRDefault="00DD7E52" w:rsidP="00DD7E52">
      <w:pPr>
        <w:pStyle w:val="Notedebasdepage"/>
        <w:rPr>
          <w:lang w:val="en-CA"/>
        </w:rPr>
      </w:pPr>
      <w:r>
        <w:rPr>
          <w:rStyle w:val="Appelnotedebasdep"/>
        </w:rPr>
        <w:footnoteRef/>
      </w:r>
      <w:r w:rsidRPr="00B22AE6">
        <w:rPr>
          <w:lang w:val="en-CA"/>
        </w:rPr>
        <w:t xml:space="preserve"> </w:t>
      </w:r>
      <w:r w:rsidRPr="00B22AE6">
        <w:rPr>
          <w:lang w:val="en-CA"/>
        </w:rPr>
        <w:tab/>
      </w:r>
      <w:r w:rsidRPr="00B22AE6">
        <w:rPr>
          <w:i/>
          <w:iCs/>
          <w:lang w:val="en-CA"/>
        </w:rPr>
        <w:t>I</w:t>
      </w:r>
      <w:r w:rsidR="00380191" w:rsidRPr="00B22AE6">
        <w:rPr>
          <w:i/>
          <w:iCs/>
          <w:lang w:val="en-CA"/>
        </w:rPr>
        <w:t>bi</w:t>
      </w:r>
      <w:r w:rsidRPr="00B22AE6">
        <w:rPr>
          <w:i/>
          <w:iCs/>
          <w:lang w:val="en-CA"/>
        </w:rPr>
        <w:t>d</w:t>
      </w:r>
      <w:r w:rsidRPr="00B22AE6">
        <w:rPr>
          <w:lang w:val="en-CA"/>
        </w:rPr>
        <w:t xml:space="preserve">., </w:t>
      </w:r>
      <w:r w:rsidR="00380191" w:rsidRPr="00B22AE6">
        <w:rPr>
          <w:lang w:val="en-CA"/>
        </w:rPr>
        <w:t>Rule</w:t>
      </w:r>
      <w:r w:rsidRPr="00B22AE6">
        <w:rPr>
          <w:lang w:val="en-CA"/>
        </w:rPr>
        <w:t> 19(3).</w:t>
      </w:r>
    </w:p>
  </w:footnote>
  <w:footnote w:id="203">
    <w:p w14:paraId="6C9BAA81" w14:textId="00EF284B" w:rsidR="00DD7E52" w:rsidRPr="00380191" w:rsidRDefault="00DD7E52" w:rsidP="00DD7E52">
      <w:pPr>
        <w:pStyle w:val="Notedebasdepage"/>
      </w:pPr>
      <w:r>
        <w:rPr>
          <w:rStyle w:val="Appelnotedebasdep"/>
        </w:rPr>
        <w:footnoteRef/>
      </w:r>
      <w:r w:rsidRPr="00380191">
        <w:t xml:space="preserve"> </w:t>
      </w:r>
      <w:r w:rsidRPr="00380191">
        <w:tab/>
      </w:r>
      <w:r w:rsidR="00380191" w:rsidRPr="00380191">
        <w:rPr>
          <w:i/>
          <w:iCs/>
        </w:rPr>
        <w:t>Supra</w:t>
      </w:r>
      <w:r w:rsidRPr="009F7A40">
        <w:t xml:space="preserve"> note 183.</w:t>
      </w:r>
    </w:p>
  </w:footnote>
  <w:footnote w:id="204">
    <w:p w14:paraId="462D68DF" w14:textId="77777777" w:rsidR="00457A04" w:rsidRPr="009230A6" w:rsidRDefault="00457A04" w:rsidP="00457A04">
      <w:pPr>
        <w:pStyle w:val="Notedebasdepage"/>
        <w:rPr>
          <w:lang w:val="en-CA"/>
        </w:rPr>
      </w:pPr>
      <w:r>
        <w:rPr>
          <w:rStyle w:val="Appelnotedebasdep"/>
        </w:rPr>
        <w:footnoteRef/>
      </w:r>
      <w:r>
        <w:t xml:space="preserve"> </w:t>
      </w:r>
      <w:r>
        <w:tab/>
      </w:r>
      <w:r w:rsidRPr="009F7A40">
        <w:rPr>
          <w:i/>
          <w:iCs/>
        </w:rPr>
        <w:t>Commission des droits de la personne et des droits de la jeunesse (Peart et un autre) c. Ville de Montréal (Service de police de la Ville de Montréal, SPVM)</w:t>
      </w:r>
      <w:r w:rsidRPr="009F7A40">
        <w:t>, 2018 QCTDP 15 at para.</w:t>
      </w:r>
      <w:r w:rsidRPr="00D1744C">
        <w:t xml:space="preserve"> </w:t>
      </w:r>
      <w:r w:rsidRPr="009230A6">
        <w:rPr>
          <w:lang w:val="en-CA"/>
        </w:rPr>
        <w:t>91.</w:t>
      </w:r>
    </w:p>
  </w:footnote>
  <w:footnote w:id="205">
    <w:p w14:paraId="3EC417A8" w14:textId="79B2980C" w:rsidR="00C34A79" w:rsidRPr="009230A6" w:rsidRDefault="00C34A79" w:rsidP="00C34A79">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DeBellefeuill</w:t>
      </w:r>
      <w:r w:rsidRPr="009230A6">
        <w:rPr>
          <w:lang w:val="en-CA"/>
        </w:rPr>
        <w:t xml:space="preserve">e, </w:t>
      </w:r>
      <w:r w:rsidR="00380191" w:rsidRPr="00CD32E7">
        <w:rPr>
          <w:i/>
          <w:iCs/>
          <w:lang w:val="en-CA"/>
        </w:rPr>
        <w:t>supra</w:t>
      </w:r>
      <w:r w:rsidRPr="009230A6">
        <w:rPr>
          <w:lang w:val="en-CA"/>
        </w:rPr>
        <w:t xml:space="preserve"> note 86</w:t>
      </w:r>
      <w:r w:rsidR="00380191" w:rsidRPr="009230A6">
        <w:rPr>
          <w:lang w:val="en-CA"/>
        </w:rPr>
        <w:t xml:space="preserve"> at</w:t>
      </w:r>
      <w:r w:rsidRPr="009230A6">
        <w:rPr>
          <w:lang w:val="en-CA"/>
        </w:rPr>
        <w:t xml:space="preserve"> par</w:t>
      </w:r>
      <w:r w:rsidR="00380191" w:rsidRPr="009230A6">
        <w:rPr>
          <w:lang w:val="en-CA"/>
        </w:rPr>
        <w:t>a</w:t>
      </w:r>
      <w:r w:rsidRPr="009230A6">
        <w:rPr>
          <w:lang w:val="en-CA"/>
        </w:rPr>
        <w:t>. 155.</w:t>
      </w:r>
    </w:p>
  </w:footnote>
  <w:footnote w:id="206">
    <w:p w14:paraId="6B40422D" w14:textId="5DAA9C79" w:rsidR="00C34A79" w:rsidRPr="00B12D0C" w:rsidRDefault="00C34A79" w:rsidP="00C34A79">
      <w:pPr>
        <w:pStyle w:val="Notedebasdepage"/>
        <w:rPr>
          <w:lang w:val="en-CA"/>
        </w:rPr>
      </w:pPr>
      <w:r>
        <w:rPr>
          <w:rStyle w:val="Appelnotedebasdep"/>
        </w:rPr>
        <w:footnoteRef/>
      </w:r>
      <w:r w:rsidRPr="00B12D0C">
        <w:rPr>
          <w:lang w:val="en-CA"/>
        </w:rPr>
        <w:t xml:space="preserve"> </w:t>
      </w:r>
      <w:r w:rsidRPr="00B12D0C">
        <w:rPr>
          <w:lang w:val="en-CA"/>
        </w:rPr>
        <w:tab/>
      </w:r>
      <w:r w:rsidR="00B12D0C" w:rsidRPr="009F7A40">
        <w:rPr>
          <w:lang w:val="en-CA"/>
        </w:rPr>
        <w:t>Exhibit</w:t>
      </w:r>
      <w:r w:rsidRPr="00B12D0C">
        <w:rPr>
          <w:lang w:val="en-CA"/>
        </w:rPr>
        <w:t xml:space="preserve"> P-22, T-shirt </w:t>
      </w:r>
      <w:r w:rsidR="00B12D0C" w:rsidRPr="00B12D0C">
        <w:rPr>
          <w:lang w:val="en-CA"/>
        </w:rPr>
        <w:t>bearing marks identifying the prison</w:t>
      </w:r>
      <w:r w:rsidRPr="00B12D0C">
        <w:rPr>
          <w:lang w:val="en-CA"/>
        </w:rPr>
        <w:t xml:space="preserve"> (CDQ).</w:t>
      </w:r>
    </w:p>
  </w:footnote>
  <w:footnote w:id="207">
    <w:p w14:paraId="226CFEF8" w14:textId="0F8E2702" w:rsidR="00C34A79" w:rsidRPr="00B12D0C" w:rsidRDefault="00C34A79" w:rsidP="00C34A79">
      <w:pPr>
        <w:pStyle w:val="Notedebasdepage"/>
        <w:rPr>
          <w:lang w:val="en-CA"/>
        </w:rPr>
      </w:pPr>
      <w:r>
        <w:rPr>
          <w:rStyle w:val="Appelnotedebasdep"/>
        </w:rPr>
        <w:footnoteRef/>
      </w:r>
      <w:r w:rsidRPr="00B12D0C">
        <w:rPr>
          <w:lang w:val="en-CA"/>
        </w:rPr>
        <w:t xml:space="preserve"> </w:t>
      </w:r>
      <w:r w:rsidRPr="00B12D0C">
        <w:rPr>
          <w:lang w:val="en-CA"/>
        </w:rPr>
        <w:tab/>
      </w:r>
      <w:r w:rsidR="00B12D0C" w:rsidRPr="00B12D0C">
        <w:rPr>
          <w:lang w:val="en-CA"/>
        </w:rPr>
        <w:t>Exhibit</w:t>
      </w:r>
      <w:r w:rsidRPr="00B12D0C">
        <w:rPr>
          <w:lang w:val="en-CA"/>
        </w:rPr>
        <w:t xml:space="preserve"> P-19, </w:t>
      </w:r>
      <w:r w:rsidR="00B12D0C" w:rsidRPr="00B12D0C">
        <w:rPr>
          <w:lang w:val="en-CA"/>
        </w:rPr>
        <w:t>Beige sweater with black and white stripes</w:t>
      </w:r>
      <w:r w:rsidRPr="00B12D0C">
        <w:rPr>
          <w:lang w:val="en-CA"/>
        </w:rPr>
        <w:t>.</w:t>
      </w:r>
    </w:p>
  </w:footnote>
  <w:footnote w:id="208">
    <w:p w14:paraId="716D764E" w14:textId="50569B5C" w:rsidR="00C34A79" w:rsidRPr="009230A6" w:rsidRDefault="00C34A79" w:rsidP="00C34A79">
      <w:pPr>
        <w:pStyle w:val="Notedebasdepage"/>
        <w:rPr>
          <w:lang w:val="en-CA"/>
        </w:rPr>
      </w:pPr>
      <w:r>
        <w:rPr>
          <w:rStyle w:val="Appelnotedebasdep"/>
        </w:rPr>
        <w:footnoteRef/>
      </w:r>
      <w:r w:rsidRPr="009230A6">
        <w:rPr>
          <w:lang w:val="en-CA"/>
        </w:rPr>
        <w:t xml:space="preserve"> </w:t>
      </w:r>
      <w:r w:rsidRPr="009230A6">
        <w:rPr>
          <w:lang w:val="en-CA"/>
        </w:rPr>
        <w:tab/>
        <w:t xml:space="preserve">P-20, </w:t>
      </w:r>
      <w:r w:rsidR="00B12D0C" w:rsidRPr="009230A6">
        <w:rPr>
          <w:i/>
          <w:iCs/>
          <w:lang w:val="en-CA"/>
        </w:rPr>
        <w:t>supra</w:t>
      </w:r>
      <w:r w:rsidRPr="009230A6">
        <w:rPr>
          <w:lang w:val="en-CA"/>
        </w:rPr>
        <w:t xml:space="preserve"> note 17.</w:t>
      </w:r>
    </w:p>
  </w:footnote>
  <w:footnote w:id="209">
    <w:p w14:paraId="6C7D250F" w14:textId="44B87F1B" w:rsidR="00C34A79" w:rsidRPr="009230A6" w:rsidRDefault="00C34A79" w:rsidP="00C34A79">
      <w:pPr>
        <w:pStyle w:val="Notedebasdepage"/>
        <w:rPr>
          <w:lang w:val="en-CA"/>
        </w:rPr>
      </w:pPr>
      <w:r>
        <w:rPr>
          <w:rStyle w:val="Appelnotedebasdep"/>
        </w:rPr>
        <w:footnoteRef/>
      </w:r>
      <w:r w:rsidRPr="009230A6">
        <w:rPr>
          <w:lang w:val="en-CA"/>
        </w:rPr>
        <w:t xml:space="preserve"> </w:t>
      </w:r>
      <w:r w:rsidRPr="009230A6">
        <w:rPr>
          <w:lang w:val="en-CA"/>
        </w:rPr>
        <w:tab/>
      </w:r>
      <w:r w:rsidR="00B12D0C" w:rsidRPr="009230A6">
        <w:rPr>
          <w:lang w:val="en-CA"/>
        </w:rPr>
        <w:t>Exhibit P</w:t>
      </w:r>
      <w:r w:rsidRPr="009230A6">
        <w:rPr>
          <w:lang w:val="en-CA"/>
        </w:rPr>
        <w:t xml:space="preserve">-21, </w:t>
      </w:r>
      <w:r w:rsidR="00B12D0C" w:rsidRPr="009230A6">
        <w:rPr>
          <w:lang w:val="en-CA"/>
        </w:rPr>
        <w:t>Underwear</w:t>
      </w:r>
      <w:r w:rsidRPr="009230A6">
        <w:rPr>
          <w:lang w:val="en-CA"/>
        </w:rPr>
        <w:t>.</w:t>
      </w:r>
    </w:p>
  </w:footnote>
  <w:footnote w:id="210">
    <w:p w14:paraId="0C425495" w14:textId="3EE84C54" w:rsidR="00A7732D" w:rsidRPr="003F6C9D" w:rsidRDefault="001834C5">
      <w:pPr>
        <w:pStyle w:val="Notedebasdepage"/>
      </w:pPr>
      <w:r>
        <w:rPr>
          <w:rStyle w:val="Appelnotedebasdep"/>
        </w:rPr>
        <w:footnoteRef/>
      </w:r>
      <w:r w:rsidR="005B261C" w:rsidRPr="003F6C9D">
        <w:t xml:space="preserve"> </w:t>
      </w:r>
      <w:r w:rsidR="005B261C" w:rsidRPr="003F6C9D">
        <w:tab/>
      </w:r>
      <w:r w:rsidR="00B12D0C" w:rsidRPr="003F6C9D">
        <w:t xml:space="preserve">Exhibit </w:t>
      </w:r>
      <w:r w:rsidR="005B261C" w:rsidRPr="003F6C9D">
        <w:t>D-5, Ordonnances de garde en établissement.</w:t>
      </w:r>
    </w:p>
  </w:footnote>
  <w:footnote w:id="211">
    <w:p w14:paraId="67B387A2" w14:textId="475DF70C" w:rsidR="00A7732D" w:rsidRPr="009230A6" w:rsidRDefault="001834C5">
      <w:pPr>
        <w:pStyle w:val="Notedebasdepage"/>
        <w:rPr>
          <w:lang w:val="en-CA"/>
        </w:rPr>
      </w:pPr>
      <w:r>
        <w:rPr>
          <w:rStyle w:val="Appelnotedebasdep"/>
        </w:rPr>
        <w:footnoteRef/>
      </w:r>
      <w:r w:rsidR="005B261C" w:rsidRPr="009230A6">
        <w:rPr>
          <w:lang w:val="en-CA"/>
        </w:rPr>
        <w:t xml:space="preserve"> </w:t>
      </w:r>
      <w:r w:rsidR="005B261C" w:rsidRPr="009230A6">
        <w:rPr>
          <w:lang w:val="en-CA"/>
        </w:rPr>
        <w:tab/>
        <w:t xml:space="preserve">P-17, </w:t>
      </w:r>
      <w:r w:rsidR="00B12D0C" w:rsidRPr="009230A6">
        <w:rPr>
          <w:i/>
          <w:iCs/>
          <w:lang w:val="en-CA"/>
        </w:rPr>
        <w:t>supra</w:t>
      </w:r>
      <w:r w:rsidR="005B261C" w:rsidRPr="009230A6">
        <w:rPr>
          <w:lang w:val="en-CA"/>
        </w:rPr>
        <w:t xml:space="preserve"> note 3</w:t>
      </w:r>
      <w:r w:rsidR="00B12D0C" w:rsidRPr="009230A6">
        <w:rPr>
          <w:lang w:val="en-CA"/>
        </w:rPr>
        <w:t xml:space="preserve"> at</w:t>
      </w:r>
      <w:r w:rsidR="005B261C" w:rsidRPr="009230A6">
        <w:rPr>
          <w:lang w:val="en-CA"/>
        </w:rPr>
        <w:t> </w:t>
      </w:r>
      <w:r w:rsidR="003F6C9D">
        <w:rPr>
          <w:lang w:val="en-CA"/>
        </w:rPr>
        <w:t xml:space="preserve">p. </w:t>
      </w:r>
      <w:r w:rsidR="005B261C" w:rsidRPr="009230A6">
        <w:rPr>
          <w:lang w:val="en-CA"/>
        </w:rPr>
        <w:t>2.</w:t>
      </w:r>
    </w:p>
  </w:footnote>
  <w:footnote w:id="212">
    <w:p w14:paraId="68B4DDC6" w14:textId="24EC984E" w:rsidR="00D17AED" w:rsidRPr="00B12D0C" w:rsidRDefault="00D17AED" w:rsidP="00D17AED">
      <w:pPr>
        <w:pStyle w:val="Notedebasdepage"/>
        <w:rPr>
          <w:lang w:val="en-CA"/>
        </w:rPr>
      </w:pPr>
      <w:r w:rsidRPr="00B12D0C">
        <w:rPr>
          <w:rStyle w:val="Appelnotedebasdep"/>
          <w:lang w:val="en-CA"/>
        </w:rPr>
        <w:footnoteRef/>
      </w:r>
      <w:r w:rsidRPr="00B12D0C">
        <w:rPr>
          <w:lang w:val="en-CA"/>
        </w:rPr>
        <w:t xml:space="preserve"> </w:t>
      </w:r>
      <w:r w:rsidR="002E6350">
        <w:rPr>
          <w:lang w:val="en-CA"/>
        </w:rPr>
        <w:t xml:space="preserve"> </w:t>
      </w:r>
      <w:r w:rsidR="00B12D0C" w:rsidRPr="00B12D0C">
        <w:rPr>
          <w:lang w:val="en-CA"/>
        </w:rPr>
        <w:t xml:space="preserve">Sections </w:t>
      </w:r>
      <w:r w:rsidRPr="00B12D0C">
        <w:rPr>
          <w:lang w:val="en-CA"/>
        </w:rPr>
        <w:t xml:space="preserve">1 </w:t>
      </w:r>
      <w:r w:rsidR="00B12D0C" w:rsidRPr="00B12D0C">
        <w:rPr>
          <w:lang w:val="en-CA"/>
        </w:rPr>
        <w:t xml:space="preserve">and </w:t>
      </w:r>
      <w:r w:rsidRPr="00B12D0C">
        <w:rPr>
          <w:lang w:val="en-CA"/>
        </w:rPr>
        <w:t xml:space="preserve">2 </w:t>
      </w:r>
      <w:r w:rsidR="00B12D0C" w:rsidRPr="00B12D0C">
        <w:rPr>
          <w:lang w:val="en-CA"/>
        </w:rPr>
        <w:t xml:space="preserve">of the </w:t>
      </w:r>
      <w:r w:rsidR="00B12D0C" w:rsidRPr="00B12D0C">
        <w:rPr>
          <w:i/>
          <w:iCs/>
          <w:lang w:val="en-CA"/>
        </w:rPr>
        <w:t>Act respecting the Québec correctional system</w:t>
      </w:r>
      <w:r w:rsidRPr="00B12D0C">
        <w:rPr>
          <w:lang w:val="en-CA"/>
        </w:rPr>
        <w:t xml:space="preserve">, </w:t>
      </w:r>
      <w:r w:rsidR="00B12D0C" w:rsidRPr="00B12D0C">
        <w:rPr>
          <w:i/>
          <w:iCs/>
          <w:lang w:val="en-CA"/>
        </w:rPr>
        <w:t>supra</w:t>
      </w:r>
      <w:r w:rsidR="00B12D0C" w:rsidRPr="00B12D0C">
        <w:rPr>
          <w:lang w:val="en-CA"/>
        </w:rPr>
        <w:t xml:space="preserve"> </w:t>
      </w:r>
      <w:r w:rsidRPr="00B12D0C">
        <w:rPr>
          <w:lang w:val="en-CA"/>
        </w:rPr>
        <w:t xml:space="preserve">note 79, </w:t>
      </w:r>
      <w:r w:rsidR="00B12D0C" w:rsidRPr="00B12D0C">
        <w:rPr>
          <w:lang w:val="en-CA"/>
        </w:rPr>
        <w:t xml:space="preserve">include </w:t>
      </w:r>
      <w:r w:rsidR="00B12D0C">
        <w:rPr>
          <w:lang w:val="en-CA"/>
        </w:rPr>
        <w:t>“the re</w:t>
      </w:r>
      <w:r w:rsidR="00C7101E">
        <w:rPr>
          <w:lang w:val="en-CA"/>
        </w:rPr>
        <w:t>integration</w:t>
      </w:r>
      <w:r w:rsidR="00B12D0C">
        <w:rPr>
          <w:lang w:val="en-CA"/>
        </w:rPr>
        <w:t xml:space="preserve"> of offenders</w:t>
      </w:r>
      <w:r w:rsidR="003F6C9D">
        <w:rPr>
          <w:lang w:val="en-CA"/>
        </w:rPr>
        <w:t xml:space="preserve"> into the community</w:t>
      </w:r>
      <w:r w:rsidR="00B12D0C">
        <w:rPr>
          <w:lang w:val="en-CA"/>
        </w:rPr>
        <w:t xml:space="preserve">” among the “General Principles” at the foundation of this </w:t>
      </w:r>
      <w:r w:rsidR="00B12D0C" w:rsidRPr="00B12D0C">
        <w:rPr>
          <w:i/>
          <w:iCs/>
          <w:lang w:val="en-CA"/>
        </w:rPr>
        <w:t>Act</w:t>
      </w:r>
      <w:r w:rsidRPr="00B12D0C">
        <w:rPr>
          <w:lang w:val="en-CA"/>
        </w:rPr>
        <w:t>.</w:t>
      </w:r>
    </w:p>
  </w:footnote>
  <w:footnote w:id="213">
    <w:p w14:paraId="39C276AC" w14:textId="4F9AB7EB" w:rsidR="00D17AED" w:rsidRPr="009230A6" w:rsidRDefault="00D17AED" w:rsidP="00D17AED">
      <w:pPr>
        <w:pStyle w:val="Notedebasdepage"/>
        <w:rPr>
          <w:lang w:val="en-CA"/>
        </w:rPr>
      </w:pPr>
      <w:r>
        <w:rPr>
          <w:rStyle w:val="Appelnotedebasdep"/>
        </w:rPr>
        <w:footnoteRef/>
      </w:r>
      <w:r>
        <w:t xml:space="preserve"> </w:t>
      </w:r>
      <w:r w:rsidR="002E6350">
        <w:t xml:space="preserve"> </w:t>
      </w:r>
      <w:r w:rsidR="00B12D0C" w:rsidRPr="00B12D0C">
        <w:rPr>
          <w:i/>
          <w:iCs/>
        </w:rPr>
        <w:t>Quebec (Public Curator) v.  Syndicat national des employés de l'hôpital St-Ferdinand</w:t>
      </w:r>
      <w:r w:rsidRPr="009F7A40">
        <w:t>, [1996] 3 </w:t>
      </w:r>
      <w:r w:rsidR="00B12D0C" w:rsidRPr="009F7A40">
        <w:t>SCR</w:t>
      </w:r>
      <w:r w:rsidRPr="009F7A40">
        <w:t> 211</w:t>
      </w:r>
      <w:r w:rsidR="00B12D0C" w:rsidRPr="009F7A40">
        <w:t xml:space="preserve"> at</w:t>
      </w:r>
      <w:r w:rsidRPr="009F7A40">
        <w:t xml:space="preserve"> par</w:t>
      </w:r>
      <w:r w:rsidR="00B12D0C" w:rsidRPr="009F7A40">
        <w:t>a</w:t>
      </w:r>
      <w:r w:rsidRPr="009F7A40">
        <w:t>.</w:t>
      </w:r>
      <w:r w:rsidRPr="00E24EAE">
        <w:t xml:space="preserve"> </w:t>
      </w:r>
      <w:r w:rsidRPr="009230A6">
        <w:rPr>
          <w:lang w:val="en-CA"/>
        </w:rPr>
        <w:t>62.</w:t>
      </w:r>
    </w:p>
  </w:footnote>
  <w:footnote w:id="214">
    <w:p w14:paraId="5F1F4A67" w14:textId="10D029F5" w:rsidR="00D17AED" w:rsidRPr="009230A6" w:rsidRDefault="00D17AED" w:rsidP="00D17AED">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 xml:space="preserve">Cinar Corporation </w:t>
      </w:r>
      <w:r w:rsidR="00B12D0C" w:rsidRPr="009230A6">
        <w:rPr>
          <w:i/>
          <w:iCs/>
          <w:lang w:val="en-CA"/>
        </w:rPr>
        <w:t>v</w:t>
      </w:r>
      <w:r w:rsidRPr="009230A6">
        <w:rPr>
          <w:i/>
          <w:iCs/>
          <w:lang w:val="en-CA"/>
        </w:rPr>
        <w:t>. Robinson</w:t>
      </w:r>
      <w:r w:rsidRPr="009230A6">
        <w:rPr>
          <w:lang w:val="en-CA"/>
        </w:rPr>
        <w:t>, 2013 </w:t>
      </w:r>
      <w:r w:rsidR="00B12D0C" w:rsidRPr="009230A6">
        <w:rPr>
          <w:lang w:val="en-CA"/>
        </w:rPr>
        <w:t>SCC</w:t>
      </w:r>
      <w:r w:rsidRPr="009230A6">
        <w:rPr>
          <w:lang w:val="en-CA"/>
        </w:rPr>
        <w:t> 73, [2013] 3 </w:t>
      </w:r>
      <w:r w:rsidR="00B12D0C" w:rsidRPr="009230A6">
        <w:rPr>
          <w:lang w:val="en-CA"/>
        </w:rPr>
        <w:t xml:space="preserve">SCR </w:t>
      </w:r>
      <w:r w:rsidRPr="009230A6">
        <w:rPr>
          <w:lang w:val="en-CA"/>
        </w:rPr>
        <w:t>1168</w:t>
      </w:r>
      <w:r w:rsidR="00B12D0C" w:rsidRPr="009230A6">
        <w:rPr>
          <w:lang w:val="en-CA"/>
        </w:rPr>
        <w:t xml:space="preserve"> at para</w:t>
      </w:r>
      <w:r w:rsidRPr="009230A6">
        <w:rPr>
          <w:lang w:val="en-CA"/>
        </w:rPr>
        <w:t>. 106.</w:t>
      </w:r>
    </w:p>
  </w:footnote>
  <w:footnote w:id="215">
    <w:p w14:paraId="0C893EE3" w14:textId="47930F81" w:rsidR="00D17AED" w:rsidRPr="009230A6" w:rsidRDefault="00D17AED" w:rsidP="00D17AED">
      <w:pPr>
        <w:pStyle w:val="Notedebasdepage"/>
        <w:rPr>
          <w:lang w:val="en-CA"/>
        </w:rPr>
      </w:pPr>
      <w:r>
        <w:rPr>
          <w:rStyle w:val="Appelnotedebasdep"/>
        </w:rPr>
        <w:footnoteRef/>
      </w:r>
      <w:r w:rsidRPr="009230A6">
        <w:rPr>
          <w:lang w:val="en-CA"/>
        </w:rPr>
        <w:t xml:space="preserve"> </w:t>
      </w:r>
      <w:r w:rsidRPr="009230A6">
        <w:rPr>
          <w:lang w:val="en-CA"/>
        </w:rPr>
        <w:tab/>
      </w:r>
      <w:r w:rsidR="00B12D0C" w:rsidRPr="009230A6">
        <w:rPr>
          <w:i/>
          <w:iCs/>
          <w:lang w:val="en-CA"/>
        </w:rPr>
        <w:t>Supra</w:t>
      </w:r>
      <w:r w:rsidRPr="009230A6">
        <w:rPr>
          <w:lang w:val="en-CA"/>
        </w:rPr>
        <w:t xml:space="preserve"> note 126.</w:t>
      </w:r>
    </w:p>
  </w:footnote>
  <w:footnote w:id="216">
    <w:p w14:paraId="7A482D75" w14:textId="458BB467" w:rsidR="00A7732D" w:rsidRPr="009230A6" w:rsidRDefault="001834C5">
      <w:pPr>
        <w:pStyle w:val="Notedebasdepage"/>
        <w:rPr>
          <w:lang w:val="en-CA"/>
        </w:rPr>
      </w:pPr>
      <w:r>
        <w:rPr>
          <w:rStyle w:val="Appelnotedebasdep"/>
        </w:rPr>
        <w:footnoteRef/>
      </w:r>
      <w:r w:rsidRPr="009230A6">
        <w:rPr>
          <w:lang w:val="en-CA"/>
        </w:rPr>
        <w:t xml:space="preserve"> </w:t>
      </w:r>
      <w:r w:rsidR="00E24EAE" w:rsidRPr="009230A6">
        <w:rPr>
          <w:i/>
          <w:iCs/>
          <w:lang w:val="en-CA"/>
        </w:rPr>
        <w:tab/>
        <w:t>I</w:t>
      </w:r>
      <w:r w:rsidR="00B12D0C" w:rsidRPr="009230A6">
        <w:rPr>
          <w:i/>
          <w:iCs/>
          <w:lang w:val="en-CA"/>
        </w:rPr>
        <w:t>bi</w:t>
      </w:r>
      <w:r w:rsidR="00E24EAE" w:rsidRPr="009230A6">
        <w:rPr>
          <w:i/>
          <w:iCs/>
          <w:lang w:val="en-CA"/>
        </w:rPr>
        <w:t>d</w:t>
      </w:r>
      <w:r w:rsidR="00E24EAE" w:rsidRPr="009230A6">
        <w:rPr>
          <w:lang w:val="en-CA"/>
        </w:rPr>
        <w:t>.</w:t>
      </w:r>
      <w:r w:rsidR="00B12D0C" w:rsidRPr="009230A6">
        <w:rPr>
          <w:lang w:val="en-CA"/>
        </w:rPr>
        <w:t xml:space="preserve"> at</w:t>
      </w:r>
      <w:r w:rsidR="00E24EAE" w:rsidRPr="009230A6">
        <w:rPr>
          <w:lang w:val="en-CA"/>
        </w:rPr>
        <w:t xml:space="preserve"> par</w:t>
      </w:r>
      <w:r w:rsidR="00B12D0C" w:rsidRPr="009230A6">
        <w:rPr>
          <w:lang w:val="en-CA"/>
        </w:rPr>
        <w:t>a</w:t>
      </w:r>
      <w:r w:rsidR="00E24EAE" w:rsidRPr="009230A6">
        <w:rPr>
          <w:lang w:val="en-CA"/>
        </w:rPr>
        <w:t>. 42.</w:t>
      </w:r>
    </w:p>
  </w:footnote>
  <w:footnote w:id="217">
    <w:p w14:paraId="3512C647" w14:textId="5BC26FA2" w:rsidR="00D17AED" w:rsidRPr="00B12D0C" w:rsidRDefault="00D17AED" w:rsidP="00D17AED">
      <w:pPr>
        <w:pStyle w:val="Notedebasdepage"/>
        <w:rPr>
          <w:lang w:val="en-CA"/>
        </w:rPr>
      </w:pPr>
      <w:r>
        <w:rPr>
          <w:rStyle w:val="Appelnotedebasdep"/>
        </w:rPr>
        <w:footnoteRef/>
      </w:r>
      <w:r w:rsidRPr="00B12D0C">
        <w:rPr>
          <w:lang w:val="en-CA"/>
        </w:rPr>
        <w:t xml:space="preserve"> </w:t>
      </w:r>
      <w:r w:rsidRPr="00B12D0C">
        <w:rPr>
          <w:lang w:val="en-CA"/>
        </w:rPr>
        <w:tab/>
      </w:r>
      <w:r w:rsidRPr="009F7A40">
        <w:rPr>
          <w:i/>
          <w:iCs/>
          <w:lang w:val="en-CA"/>
        </w:rPr>
        <w:t>I</w:t>
      </w:r>
      <w:r w:rsidR="00B12D0C" w:rsidRPr="009F7A40">
        <w:rPr>
          <w:i/>
          <w:iCs/>
          <w:lang w:val="en-CA"/>
        </w:rPr>
        <w:t>bi</w:t>
      </w:r>
      <w:r w:rsidRPr="009F7A40">
        <w:rPr>
          <w:i/>
          <w:iCs/>
          <w:lang w:val="en-CA"/>
        </w:rPr>
        <w:t>d</w:t>
      </w:r>
      <w:r w:rsidRPr="009F7A40">
        <w:rPr>
          <w:lang w:val="en-CA"/>
        </w:rPr>
        <w:t>.</w:t>
      </w:r>
      <w:r w:rsidR="00B12D0C" w:rsidRPr="009F7A40">
        <w:rPr>
          <w:lang w:val="en-CA"/>
        </w:rPr>
        <w:t xml:space="preserve"> at </w:t>
      </w:r>
      <w:r w:rsidRPr="009F7A40">
        <w:rPr>
          <w:lang w:val="en-CA"/>
        </w:rPr>
        <w:t>par</w:t>
      </w:r>
      <w:r w:rsidR="00B12D0C" w:rsidRPr="009F7A40">
        <w:rPr>
          <w:lang w:val="en-CA"/>
        </w:rPr>
        <w:t>a</w:t>
      </w:r>
      <w:r w:rsidRPr="009F7A40">
        <w:rPr>
          <w:lang w:val="en-CA"/>
        </w:rPr>
        <w:t>.</w:t>
      </w:r>
      <w:r w:rsidRPr="00B12D0C">
        <w:rPr>
          <w:lang w:val="en-CA"/>
        </w:rPr>
        <w:t xml:space="preserve"> 47.</w:t>
      </w:r>
    </w:p>
  </w:footnote>
  <w:footnote w:id="218">
    <w:p w14:paraId="5A038924" w14:textId="3AF57E26" w:rsidR="00A7732D" w:rsidRPr="00B22AE6" w:rsidRDefault="001834C5">
      <w:pPr>
        <w:pStyle w:val="Notedebasdepage"/>
        <w:rPr>
          <w:lang w:val="en-CA"/>
        </w:rPr>
      </w:pPr>
      <w:r>
        <w:rPr>
          <w:rStyle w:val="Appelnotedebasdep"/>
        </w:rPr>
        <w:footnoteRef/>
      </w:r>
      <w:r w:rsidR="00E24EAE" w:rsidRPr="00B12D0C">
        <w:rPr>
          <w:lang w:val="en-CA"/>
        </w:rPr>
        <w:t xml:space="preserve"> </w:t>
      </w:r>
      <w:r w:rsidR="00E24EAE" w:rsidRPr="00B12D0C">
        <w:rPr>
          <w:lang w:val="en-CA"/>
        </w:rPr>
        <w:tab/>
      </w:r>
      <w:r w:rsidR="00E24EAE" w:rsidRPr="009F7A40">
        <w:rPr>
          <w:i/>
          <w:iCs/>
          <w:lang w:val="en-CA"/>
        </w:rPr>
        <w:t>I</w:t>
      </w:r>
      <w:r w:rsidR="00B12D0C" w:rsidRPr="009F7A40">
        <w:rPr>
          <w:i/>
          <w:iCs/>
          <w:lang w:val="en-CA"/>
        </w:rPr>
        <w:t>bi</w:t>
      </w:r>
      <w:r w:rsidR="00E24EAE" w:rsidRPr="009F7A40">
        <w:rPr>
          <w:i/>
          <w:iCs/>
          <w:lang w:val="en-CA"/>
        </w:rPr>
        <w:t>d</w:t>
      </w:r>
      <w:r w:rsidR="00E24EAE" w:rsidRPr="009F7A40">
        <w:rPr>
          <w:lang w:val="en-CA"/>
        </w:rPr>
        <w:t>.</w:t>
      </w:r>
      <w:r w:rsidR="00B12D0C" w:rsidRPr="009F7A40">
        <w:rPr>
          <w:lang w:val="en-CA"/>
        </w:rPr>
        <w:t xml:space="preserve"> at</w:t>
      </w:r>
      <w:r w:rsidR="00E24EAE" w:rsidRPr="009F7A40">
        <w:rPr>
          <w:lang w:val="en-CA"/>
        </w:rPr>
        <w:t xml:space="preserve"> par</w:t>
      </w:r>
      <w:r w:rsidR="00B12D0C" w:rsidRPr="009F7A40">
        <w:rPr>
          <w:lang w:val="en-CA"/>
        </w:rPr>
        <w:t>a</w:t>
      </w:r>
      <w:r w:rsidR="00E24EAE" w:rsidRPr="009F7A40">
        <w:rPr>
          <w:lang w:val="en-CA"/>
        </w:rPr>
        <w:t>.</w:t>
      </w:r>
      <w:r w:rsidR="00E24EAE" w:rsidRPr="00B12D0C">
        <w:rPr>
          <w:lang w:val="en-CA"/>
        </w:rPr>
        <w:t xml:space="preserve"> </w:t>
      </w:r>
      <w:r w:rsidR="00E24EAE" w:rsidRPr="00B22AE6">
        <w:rPr>
          <w:lang w:val="en-CA"/>
        </w:rPr>
        <w:t>127.</w:t>
      </w:r>
    </w:p>
  </w:footnote>
  <w:footnote w:id="219">
    <w:p w14:paraId="2651EC24" w14:textId="515CE02E" w:rsidR="006A6A15" w:rsidRDefault="006A6A15" w:rsidP="006A6A15">
      <w:pPr>
        <w:pStyle w:val="Notedebasdepage"/>
      </w:pPr>
      <w:r>
        <w:rPr>
          <w:rStyle w:val="Appelnotedebasdep"/>
        </w:rPr>
        <w:footnoteRef/>
      </w:r>
      <w:r w:rsidRPr="00B22AE6">
        <w:rPr>
          <w:lang w:val="en-CA"/>
        </w:rPr>
        <w:t xml:space="preserve"> </w:t>
      </w:r>
      <w:r w:rsidRPr="00B22AE6">
        <w:rPr>
          <w:lang w:val="en-CA"/>
        </w:rPr>
        <w:tab/>
      </w:r>
      <w:r w:rsidRPr="00B22AE6">
        <w:rPr>
          <w:i/>
          <w:iCs/>
          <w:lang w:val="en-CA"/>
        </w:rPr>
        <w:t>I</w:t>
      </w:r>
      <w:r w:rsidR="00B12D0C" w:rsidRPr="00B22AE6">
        <w:rPr>
          <w:i/>
          <w:iCs/>
          <w:lang w:val="en-CA"/>
        </w:rPr>
        <w:t>bi</w:t>
      </w:r>
      <w:r w:rsidRPr="00B22AE6">
        <w:rPr>
          <w:i/>
          <w:iCs/>
          <w:lang w:val="en-CA"/>
        </w:rPr>
        <w:t>d</w:t>
      </w:r>
      <w:r w:rsidRPr="00B22AE6">
        <w:rPr>
          <w:lang w:val="en-CA"/>
        </w:rPr>
        <w:t>.</w:t>
      </w:r>
      <w:r w:rsidR="00B12D0C" w:rsidRPr="00B22AE6">
        <w:rPr>
          <w:lang w:val="en-CA"/>
        </w:rPr>
        <w:t xml:space="preserve"> at</w:t>
      </w:r>
      <w:r w:rsidRPr="00B22AE6">
        <w:rPr>
          <w:lang w:val="en-CA"/>
        </w:rPr>
        <w:t xml:space="preserve"> par</w:t>
      </w:r>
      <w:r w:rsidR="00B12D0C" w:rsidRPr="00B22AE6">
        <w:rPr>
          <w:lang w:val="en-CA"/>
        </w:rPr>
        <w:t>a</w:t>
      </w:r>
      <w:r w:rsidRPr="00B22AE6">
        <w:rPr>
          <w:lang w:val="en-CA"/>
        </w:rPr>
        <w:t xml:space="preserve">. </w:t>
      </w:r>
      <w:r w:rsidRPr="00E24EAE">
        <w:t>139.</w:t>
      </w:r>
    </w:p>
  </w:footnote>
  <w:footnote w:id="220">
    <w:p w14:paraId="55D4CF6B" w14:textId="77777777" w:rsidR="006A6A15" w:rsidRDefault="006A6A15" w:rsidP="006A6A15">
      <w:pPr>
        <w:pStyle w:val="Notedebasdepage"/>
      </w:pPr>
      <w:r>
        <w:rPr>
          <w:rStyle w:val="Appelnotedebasdep"/>
        </w:rPr>
        <w:footnoteRef/>
      </w:r>
      <w:r>
        <w:t xml:space="preserve"> </w:t>
      </w:r>
      <w:r>
        <w:tab/>
      </w:r>
      <w:r w:rsidRPr="009F7A40">
        <w:rPr>
          <w:i/>
          <w:iCs/>
        </w:rPr>
        <w:t>Régie intermunicipale de police des Seigneuries c. Michaelson</w:t>
      </w:r>
      <w:r w:rsidRPr="009F7A40">
        <w:t>, 2004 CanLII 46882 (QC CA).</w:t>
      </w:r>
    </w:p>
  </w:footnote>
  <w:footnote w:id="221">
    <w:p w14:paraId="701F68A8" w14:textId="4CCB5357" w:rsidR="00A7732D" w:rsidRDefault="001834C5">
      <w:pPr>
        <w:pStyle w:val="Notedebasdepage"/>
      </w:pPr>
      <w:r>
        <w:rPr>
          <w:rStyle w:val="Appelnotedebasdep"/>
        </w:rPr>
        <w:footnoteRef/>
      </w:r>
      <w:r w:rsidR="00E24EAE">
        <w:t xml:space="preserve"> </w:t>
      </w:r>
      <w:r w:rsidR="00E24EAE">
        <w:tab/>
      </w:r>
      <w:r w:rsidR="00110E24" w:rsidRPr="009F7A40">
        <w:rPr>
          <w:i/>
          <w:iCs/>
        </w:rPr>
        <w:t>Ibid.</w:t>
      </w:r>
    </w:p>
  </w:footnote>
  <w:footnote w:id="222">
    <w:p w14:paraId="4D6561B0" w14:textId="7C5EDC01" w:rsidR="006A6A15" w:rsidRDefault="006A6A15" w:rsidP="006A6A15">
      <w:pPr>
        <w:pStyle w:val="Notedebasdepage"/>
      </w:pPr>
      <w:r>
        <w:rPr>
          <w:rStyle w:val="Appelnotedebasdep"/>
        </w:rPr>
        <w:footnoteRef/>
      </w:r>
      <w:r>
        <w:t xml:space="preserve"> </w:t>
      </w:r>
      <w:r>
        <w:tab/>
      </w:r>
      <w:r w:rsidRPr="009F7A40">
        <w:rPr>
          <w:i/>
          <w:iCs/>
        </w:rPr>
        <w:t xml:space="preserve">Kosoian </w:t>
      </w:r>
      <w:r w:rsidR="00B12D0C" w:rsidRPr="009F7A40">
        <w:rPr>
          <w:i/>
          <w:iCs/>
        </w:rPr>
        <w:t>v</w:t>
      </w:r>
      <w:r w:rsidRPr="009F7A40">
        <w:rPr>
          <w:i/>
          <w:iCs/>
        </w:rPr>
        <w:t>. Société de transport de Montréal</w:t>
      </w:r>
      <w:r w:rsidRPr="009F7A40">
        <w:t>, 2019 </w:t>
      </w:r>
      <w:r w:rsidR="00B12D0C" w:rsidRPr="009F7A40">
        <w:t>SCC</w:t>
      </w:r>
      <w:r w:rsidRPr="009F7A40">
        <w:t> 59, [2019] 4 </w:t>
      </w:r>
      <w:r w:rsidR="00B12D0C" w:rsidRPr="009F7A40">
        <w:t xml:space="preserve">SCR </w:t>
      </w:r>
      <w:r w:rsidRPr="009F7A40">
        <w:t>335</w:t>
      </w:r>
      <w:r w:rsidR="00B12D0C">
        <w:t>.</w:t>
      </w:r>
    </w:p>
  </w:footnote>
  <w:footnote w:id="223">
    <w:p w14:paraId="6E6CC615" w14:textId="4EC90F98" w:rsidR="00A7732D" w:rsidRPr="009230A6" w:rsidRDefault="001834C5">
      <w:pPr>
        <w:pStyle w:val="Notedebasdepage"/>
        <w:rPr>
          <w:lang w:val="en-CA"/>
        </w:rPr>
      </w:pPr>
      <w:r>
        <w:rPr>
          <w:rStyle w:val="Appelnotedebasdep"/>
        </w:rPr>
        <w:footnoteRef/>
      </w:r>
      <w:r w:rsidR="00E24EAE" w:rsidRPr="009230A6">
        <w:rPr>
          <w:lang w:val="en-CA"/>
        </w:rPr>
        <w:t xml:space="preserve"> </w:t>
      </w:r>
      <w:r w:rsidR="00E24EAE" w:rsidRPr="009230A6">
        <w:rPr>
          <w:lang w:val="en-CA"/>
        </w:rPr>
        <w:tab/>
      </w:r>
      <w:r w:rsidR="00E24EAE" w:rsidRPr="009230A6">
        <w:rPr>
          <w:i/>
          <w:iCs/>
          <w:lang w:val="en-CA"/>
        </w:rPr>
        <w:t>I</w:t>
      </w:r>
      <w:r w:rsidR="00B12D0C" w:rsidRPr="009230A6">
        <w:rPr>
          <w:i/>
          <w:iCs/>
          <w:lang w:val="en-CA"/>
        </w:rPr>
        <w:t>bi</w:t>
      </w:r>
      <w:r w:rsidR="00E24EAE" w:rsidRPr="009230A6">
        <w:rPr>
          <w:i/>
          <w:iCs/>
          <w:lang w:val="en-CA"/>
        </w:rPr>
        <w:t>d</w:t>
      </w:r>
      <w:r w:rsidR="00E24EAE" w:rsidRPr="009230A6">
        <w:rPr>
          <w:lang w:val="en-CA"/>
        </w:rPr>
        <w:t>.</w:t>
      </w:r>
      <w:r w:rsidR="00B12D0C" w:rsidRPr="009230A6">
        <w:rPr>
          <w:lang w:val="en-CA"/>
        </w:rPr>
        <w:t xml:space="preserve"> at</w:t>
      </w:r>
      <w:r w:rsidR="00E24EAE" w:rsidRPr="009230A6">
        <w:rPr>
          <w:lang w:val="en-CA"/>
        </w:rPr>
        <w:t xml:space="preserve"> par</w:t>
      </w:r>
      <w:r w:rsidR="00B12D0C" w:rsidRPr="009230A6">
        <w:rPr>
          <w:lang w:val="en-CA"/>
        </w:rPr>
        <w:t>a</w:t>
      </w:r>
      <w:r w:rsidR="00E24EAE" w:rsidRPr="009230A6">
        <w:rPr>
          <w:lang w:val="en-CA"/>
        </w:rPr>
        <w:t>. 139</w:t>
      </w:r>
    </w:p>
  </w:footnote>
  <w:footnote w:id="224">
    <w:p w14:paraId="512E0896" w14:textId="6088C705" w:rsidR="006A6A15" w:rsidRPr="00B12D0C" w:rsidRDefault="006A6A15" w:rsidP="006A6A15">
      <w:pPr>
        <w:pStyle w:val="Notedebasdepage"/>
        <w:rPr>
          <w:lang w:val="en-CA"/>
        </w:rPr>
      </w:pPr>
      <w:r>
        <w:rPr>
          <w:rStyle w:val="Appelnotedebasdep"/>
        </w:rPr>
        <w:footnoteRef/>
      </w:r>
      <w:r w:rsidRPr="009230A6">
        <w:rPr>
          <w:lang w:val="en-CA"/>
        </w:rPr>
        <w:t xml:space="preserve"> </w:t>
      </w:r>
      <w:r w:rsidRPr="009230A6">
        <w:rPr>
          <w:lang w:val="en-CA"/>
        </w:rPr>
        <w:tab/>
      </w:r>
      <w:r w:rsidR="00B12D0C" w:rsidRPr="009230A6">
        <w:rPr>
          <w:i/>
          <w:iCs/>
          <w:lang w:val="en-CA"/>
        </w:rPr>
        <w:t>Moore v. British Columbia (Education)</w:t>
      </w:r>
      <w:r w:rsidRPr="009230A6">
        <w:rPr>
          <w:lang w:val="en-CA"/>
        </w:rPr>
        <w:t>, 2012 </w:t>
      </w:r>
      <w:r w:rsidR="00B12D0C" w:rsidRPr="009230A6">
        <w:rPr>
          <w:lang w:val="en-CA"/>
        </w:rPr>
        <w:t xml:space="preserve">SCC </w:t>
      </w:r>
      <w:r w:rsidRPr="009230A6">
        <w:rPr>
          <w:lang w:val="en-CA"/>
        </w:rPr>
        <w:t>61, [2012] 3 </w:t>
      </w:r>
      <w:r w:rsidR="00B12D0C" w:rsidRPr="009230A6">
        <w:rPr>
          <w:lang w:val="en-CA"/>
        </w:rPr>
        <w:t xml:space="preserve">SCR </w:t>
      </w:r>
      <w:r w:rsidRPr="009230A6">
        <w:rPr>
          <w:lang w:val="en-CA"/>
        </w:rPr>
        <w:t>360</w:t>
      </w:r>
      <w:r w:rsidR="00B12D0C" w:rsidRPr="009230A6">
        <w:rPr>
          <w:lang w:val="en-CA"/>
        </w:rPr>
        <w:t xml:space="preserve"> at</w:t>
      </w:r>
      <w:r w:rsidRPr="009230A6">
        <w:rPr>
          <w:lang w:val="en-CA"/>
        </w:rPr>
        <w:t xml:space="preserve"> par</w:t>
      </w:r>
      <w:r w:rsidR="00B12D0C" w:rsidRPr="009230A6">
        <w:rPr>
          <w:lang w:val="en-CA"/>
        </w:rPr>
        <w:t>a</w:t>
      </w:r>
      <w:r w:rsidRPr="009230A6">
        <w:rPr>
          <w:lang w:val="en-CA"/>
        </w:rPr>
        <w:t xml:space="preserve">. </w:t>
      </w:r>
      <w:r w:rsidRPr="009F7A40">
        <w:rPr>
          <w:lang w:val="en-CA"/>
        </w:rPr>
        <w:t xml:space="preserve">33; </w:t>
      </w:r>
      <w:r w:rsidRPr="009F7A40">
        <w:rPr>
          <w:i/>
          <w:iCs/>
          <w:lang w:val="en-CA"/>
        </w:rPr>
        <w:t>Bombardier</w:t>
      </w:r>
      <w:r w:rsidRPr="009F7A40">
        <w:rPr>
          <w:lang w:val="en-CA"/>
        </w:rPr>
        <w:t>,</w:t>
      </w:r>
      <w:r w:rsidR="00B12D0C" w:rsidRPr="009F7A40">
        <w:rPr>
          <w:lang w:val="en-CA"/>
        </w:rPr>
        <w:t xml:space="preserve"> </w:t>
      </w:r>
      <w:r w:rsidR="00B12D0C" w:rsidRPr="009F7A40">
        <w:rPr>
          <w:i/>
          <w:iCs/>
          <w:lang w:val="en-CA"/>
        </w:rPr>
        <w:t>supra</w:t>
      </w:r>
      <w:r w:rsidRPr="009F7A40">
        <w:rPr>
          <w:lang w:val="en-CA"/>
        </w:rPr>
        <w:t xml:space="preserve"> note 5</w:t>
      </w:r>
      <w:r w:rsidR="00B12D0C" w:rsidRPr="009F7A40">
        <w:rPr>
          <w:lang w:val="en-CA"/>
        </w:rPr>
        <w:t xml:space="preserve">7 at </w:t>
      </w:r>
      <w:r w:rsidRPr="009F7A40">
        <w:rPr>
          <w:lang w:val="en-CA"/>
        </w:rPr>
        <w:t>par</w:t>
      </w:r>
      <w:r w:rsidR="00B12D0C" w:rsidRPr="009F7A40">
        <w:rPr>
          <w:lang w:val="en-CA"/>
        </w:rPr>
        <w:t>a</w:t>
      </w:r>
      <w:r w:rsidRPr="009F7A40">
        <w:rPr>
          <w:lang w:val="en-CA"/>
        </w:rPr>
        <w:t>.</w:t>
      </w:r>
      <w:r w:rsidRPr="00B12D0C">
        <w:rPr>
          <w:lang w:val="en-CA"/>
        </w:rPr>
        <w:t xml:space="preserve"> </w:t>
      </w:r>
      <w:r w:rsidRPr="009F7A40">
        <w:rPr>
          <w:lang w:val="en-CA"/>
        </w:rPr>
        <w:t xml:space="preserve">52; </w:t>
      </w:r>
      <w:r w:rsidRPr="009F7A40">
        <w:rPr>
          <w:i/>
          <w:iCs/>
          <w:lang w:val="en-CA"/>
        </w:rPr>
        <w:t>Ward</w:t>
      </w:r>
      <w:r w:rsidRPr="009F7A40">
        <w:rPr>
          <w:lang w:val="en-CA"/>
        </w:rPr>
        <w:t xml:space="preserve">, </w:t>
      </w:r>
      <w:r w:rsidR="00B12D0C" w:rsidRPr="009F7A40">
        <w:rPr>
          <w:i/>
          <w:iCs/>
          <w:lang w:val="en-CA"/>
        </w:rPr>
        <w:t>supra</w:t>
      </w:r>
      <w:r w:rsidRPr="009F7A40">
        <w:rPr>
          <w:lang w:val="en-CA"/>
        </w:rPr>
        <w:t xml:space="preserve"> note 61</w:t>
      </w:r>
      <w:r w:rsidR="00B12D0C" w:rsidRPr="009F7A40">
        <w:rPr>
          <w:lang w:val="en-CA"/>
        </w:rPr>
        <w:t xml:space="preserve"> at</w:t>
      </w:r>
      <w:r w:rsidRPr="009F7A40">
        <w:rPr>
          <w:lang w:val="en-CA"/>
        </w:rPr>
        <w:t xml:space="preserve"> par</w:t>
      </w:r>
      <w:r w:rsidR="00B12D0C" w:rsidRPr="009F7A40">
        <w:rPr>
          <w:lang w:val="en-CA"/>
        </w:rPr>
        <w:t>a</w:t>
      </w:r>
      <w:r w:rsidRPr="009F7A40">
        <w:rPr>
          <w:lang w:val="en-CA"/>
        </w:rPr>
        <w:t>.</w:t>
      </w:r>
      <w:r w:rsidRPr="00B12D0C">
        <w:rPr>
          <w:lang w:val="en-CA"/>
        </w:rPr>
        <w:t xml:space="preserve"> 36.</w:t>
      </w:r>
    </w:p>
  </w:footnote>
  <w:footnote w:id="225">
    <w:p w14:paraId="2D9801B0" w14:textId="12DEEFCD" w:rsidR="006A6A15" w:rsidRPr="0013463A" w:rsidRDefault="006A6A15" w:rsidP="006A6A15">
      <w:pPr>
        <w:pStyle w:val="Notedebasdepage"/>
        <w:rPr>
          <w:lang w:val="es-CL"/>
        </w:rPr>
      </w:pPr>
      <w:r>
        <w:rPr>
          <w:rStyle w:val="Appelnotedebasdep"/>
        </w:rPr>
        <w:footnoteRef/>
      </w:r>
      <w:r w:rsidRPr="00E24EAE">
        <w:rPr>
          <w:lang w:val="en-CA"/>
        </w:rPr>
        <w:t xml:space="preserve"> </w:t>
      </w:r>
      <w:r w:rsidRPr="00E24EAE">
        <w:rPr>
          <w:lang w:val="en-CA"/>
        </w:rPr>
        <w:tab/>
      </w:r>
      <w:r w:rsidRPr="009F7A40">
        <w:rPr>
          <w:i/>
          <w:iCs/>
          <w:lang w:val="en-CA"/>
        </w:rPr>
        <w:t xml:space="preserve">R. </w:t>
      </w:r>
      <w:r w:rsidR="00B12D0C" w:rsidRPr="009F7A40">
        <w:rPr>
          <w:i/>
          <w:iCs/>
          <w:lang w:val="en-CA"/>
        </w:rPr>
        <w:t>v</w:t>
      </w:r>
      <w:r w:rsidRPr="009F7A40">
        <w:rPr>
          <w:i/>
          <w:iCs/>
          <w:lang w:val="en-CA"/>
        </w:rPr>
        <w:t>. Hills</w:t>
      </w:r>
      <w:r w:rsidRPr="009F7A40">
        <w:rPr>
          <w:lang w:val="en-CA"/>
        </w:rPr>
        <w:t>, 2023 </w:t>
      </w:r>
      <w:r w:rsidR="00B12D0C" w:rsidRPr="009F7A40">
        <w:rPr>
          <w:lang w:val="en-CA"/>
        </w:rPr>
        <w:t>SCC</w:t>
      </w:r>
      <w:r w:rsidRPr="009F7A40">
        <w:rPr>
          <w:lang w:val="en-CA"/>
        </w:rPr>
        <w:t> 2</w:t>
      </w:r>
      <w:r w:rsidR="00B12D0C" w:rsidRPr="009F7A40">
        <w:rPr>
          <w:lang w:val="en-CA"/>
        </w:rPr>
        <w:t xml:space="preserve"> at</w:t>
      </w:r>
      <w:r w:rsidRPr="009F7A40">
        <w:rPr>
          <w:lang w:val="en-CA"/>
        </w:rPr>
        <w:t xml:space="preserve"> par</w:t>
      </w:r>
      <w:r w:rsidR="00B12D0C" w:rsidRPr="009F7A40">
        <w:rPr>
          <w:lang w:val="en-CA"/>
        </w:rPr>
        <w:t>a</w:t>
      </w:r>
      <w:r w:rsidRPr="009F7A40">
        <w:rPr>
          <w:lang w:val="en-CA"/>
        </w:rPr>
        <w:t>.</w:t>
      </w:r>
      <w:r>
        <w:rPr>
          <w:lang w:val="en-CA"/>
        </w:rPr>
        <w:t xml:space="preserve"> </w:t>
      </w:r>
      <w:r w:rsidRPr="0013463A">
        <w:rPr>
          <w:lang w:val="es-CL"/>
        </w:rPr>
        <w:t>135.</w:t>
      </w:r>
    </w:p>
  </w:footnote>
  <w:footnote w:id="226">
    <w:p w14:paraId="76E1EAD7" w14:textId="0826B623" w:rsidR="006A6A15" w:rsidRPr="009230A6" w:rsidRDefault="006A6A15" w:rsidP="006A6A15">
      <w:pPr>
        <w:pStyle w:val="Notedebasdepage"/>
      </w:pPr>
      <w:r>
        <w:rPr>
          <w:rStyle w:val="Appelnotedebasdep"/>
        </w:rPr>
        <w:footnoteRef/>
      </w:r>
      <w:r w:rsidRPr="0013463A">
        <w:rPr>
          <w:lang w:val="es-CL"/>
        </w:rPr>
        <w:t xml:space="preserve"> </w:t>
      </w:r>
      <w:r w:rsidRPr="0013463A">
        <w:rPr>
          <w:lang w:val="es-CL"/>
        </w:rPr>
        <w:tab/>
      </w:r>
      <w:r w:rsidRPr="0013463A">
        <w:rPr>
          <w:i/>
          <w:iCs/>
          <w:lang w:val="es-CL"/>
        </w:rPr>
        <w:t>Rezko</w:t>
      </w:r>
      <w:r w:rsidRPr="0013463A">
        <w:rPr>
          <w:lang w:val="es-CL"/>
        </w:rPr>
        <w:t xml:space="preserve">, </w:t>
      </w:r>
      <w:r w:rsidR="00B12D0C" w:rsidRPr="0013463A">
        <w:rPr>
          <w:i/>
          <w:iCs/>
          <w:lang w:val="es-CL"/>
        </w:rPr>
        <w:t>supra</w:t>
      </w:r>
      <w:r w:rsidRPr="0013463A">
        <w:rPr>
          <w:lang w:val="es-CL"/>
        </w:rPr>
        <w:t xml:space="preserve"> note 83</w:t>
      </w:r>
      <w:r w:rsidR="00B12D0C" w:rsidRPr="0013463A">
        <w:rPr>
          <w:lang w:val="es-CL"/>
        </w:rPr>
        <w:t xml:space="preserve"> at </w:t>
      </w:r>
      <w:r w:rsidRPr="0013463A">
        <w:rPr>
          <w:lang w:val="es-CL"/>
        </w:rPr>
        <w:t>par</w:t>
      </w:r>
      <w:r w:rsidR="00B12D0C" w:rsidRPr="0013463A">
        <w:rPr>
          <w:lang w:val="es-CL"/>
        </w:rPr>
        <w:t>a</w:t>
      </w:r>
      <w:r w:rsidRPr="0013463A">
        <w:rPr>
          <w:lang w:val="es-CL"/>
        </w:rPr>
        <w:t xml:space="preserve">. </w:t>
      </w:r>
      <w:r w:rsidRPr="009230A6">
        <w:t>274.</w:t>
      </w:r>
    </w:p>
  </w:footnote>
  <w:footnote w:id="227">
    <w:p w14:paraId="4862B0C9" w14:textId="208E7B44" w:rsidR="006A6A15" w:rsidRPr="0013463A" w:rsidRDefault="006A6A15" w:rsidP="006A6A15">
      <w:pPr>
        <w:pStyle w:val="Notedebasdepage"/>
        <w:rPr>
          <w:lang w:val="es-CL"/>
        </w:rPr>
      </w:pPr>
      <w:r>
        <w:rPr>
          <w:rStyle w:val="Appelnotedebasdep"/>
        </w:rPr>
        <w:footnoteRef/>
      </w:r>
      <w:r>
        <w:t xml:space="preserve"> </w:t>
      </w:r>
      <w:r>
        <w:tab/>
      </w:r>
      <w:r w:rsidRPr="009F7A40">
        <w:rPr>
          <w:i/>
          <w:iCs/>
        </w:rPr>
        <w:t>Commission des droits de la personne et des droits de la jeunesse (Mensah) c. Ville de Montréal (Service de police de la Ville de Montréal)</w:t>
      </w:r>
      <w:r w:rsidRPr="009F7A40">
        <w:t>, 2018 QCTDP 5</w:t>
      </w:r>
      <w:r w:rsidR="00B12D0C" w:rsidRPr="009F7A40">
        <w:t xml:space="preserve"> at</w:t>
      </w:r>
      <w:r w:rsidRPr="009F7A40">
        <w:t xml:space="preserve"> par</w:t>
      </w:r>
      <w:r w:rsidR="00B12D0C" w:rsidRPr="009F7A40">
        <w:t>a</w:t>
      </w:r>
      <w:r w:rsidRPr="009F7A40">
        <w:t>.</w:t>
      </w:r>
      <w:r w:rsidRPr="00E24EAE">
        <w:t xml:space="preserve"> </w:t>
      </w:r>
      <w:r w:rsidRPr="0013463A">
        <w:rPr>
          <w:lang w:val="es-CL"/>
        </w:rPr>
        <w:t>330 [</w:t>
      </w:r>
      <w:r w:rsidRPr="0013463A">
        <w:rPr>
          <w:i/>
          <w:iCs/>
          <w:lang w:val="es-CL"/>
        </w:rPr>
        <w:t>Mensah</w:t>
      </w:r>
      <w:r w:rsidRPr="0013463A">
        <w:rPr>
          <w:lang w:val="es-CL"/>
        </w:rPr>
        <w:t>].</w:t>
      </w:r>
    </w:p>
  </w:footnote>
  <w:footnote w:id="228">
    <w:p w14:paraId="29B3FF53" w14:textId="6063BC18" w:rsidR="006A6A15" w:rsidRPr="0013463A" w:rsidRDefault="006A6A15" w:rsidP="006A6A15">
      <w:pPr>
        <w:pStyle w:val="Notedebasdepage"/>
        <w:rPr>
          <w:lang w:val="es-CL"/>
        </w:rPr>
      </w:pPr>
      <w:r>
        <w:rPr>
          <w:rStyle w:val="Appelnotedebasdep"/>
        </w:rPr>
        <w:footnoteRef/>
      </w:r>
      <w:r w:rsidRPr="0013463A">
        <w:rPr>
          <w:lang w:val="es-CL"/>
        </w:rPr>
        <w:t xml:space="preserve"> </w:t>
      </w:r>
      <w:r w:rsidRPr="0013463A">
        <w:rPr>
          <w:lang w:val="es-CL"/>
        </w:rPr>
        <w:tab/>
      </w:r>
      <w:r w:rsidRPr="0013463A">
        <w:rPr>
          <w:i/>
          <w:iCs/>
          <w:lang w:val="es-CL"/>
        </w:rPr>
        <w:t>DeBellefeuille</w:t>
      </w:r>
      <w:r w:rsidRPr="0013463A">
        <w:rPr>
          <w:lang w:val="es-CL"/>
        </w:rPr>
        <w:t xml:space="preserve">, </w:t>
      </w:r>
      <w:r w:rsidR="00B12D0C" w:rsidRPr="00C7101E">
        <w:rPr>
          <w:i/>
          <w:iCs/>
          <w:lang w:val="es-CL"/>
        </w:rPr>
        <w:t>supra</w:t>
      </w:r>
      <w:r w:rsidRPr="0013463A">
        <w:rPr>
          <w:lang w:val="es-CL"/>
        </w:rPr>
        <w:t xml:space="preserve"> note 86</w:t>
      </w:r>
      <w:r w:rsidR="00B12D0C" w:rsidRPr="0013463A">
        <w:rPr>
          <w:lang w:val="es-CL"/>
        </w:rPr>
        <w:t xml:space="preserve"> at</w:t>
      </w:r>
      <w:r w:rsidRPr="0013463A">
        <w:rPr>
          <w:lang w:val="es-CL"/>
        </w:rPr>
        <w:t xml:space="preserve"> par</w:t>
      </w:r>
      <w:r w:rsidR="00B12D0C" w:rsidRPr="0013463A">
        <w:rPr>
          <w:lang w:val="es-CL"/>
        </w:rPr>
        <w:t>a</w:t>
      </w:r>
      <w:r w:rsidRPr="0013463A">
        <w:rPr>
          <w:lang w:val="es-CL"/>
        </w:rPr>
        <w:t>. 238</w:t>
      </w:r>
      <w:r w:rsidR="00B12D0C" w:rsidRPr="0013463A">
        <w:rPr>
          <w:lang w:val="es-CL"/>
        </w:rPr>
        <w:t>.</w:t>
      </w:r>
    </w:p>
  </w:footnote>
  <w:footnote w:id="229">
    <w:p w14:paraId="007CA980" w14:textId="4BD360BC" w:rsidR="006A6A15" w:rsidRPr="0013463A" w:rsidRDefault="006A6A15" w:rsidP="006A6A15">
      <w:pPr>
        <w:pStyle w:val="Notedebasdepage"/>
        <w:rPr>
          <w:lang w:val="es-CL"/>
        </w:rPr>
      </w:pPr>
      <w:r>
        <w:rPr>
          <w:rStyle w:val="Appelnotedebasdep"/>
        </w:rPr>
        <w:footnoteRef/>
      </w:r>
      <w:r w:rsidRPr="0013463A">
        <w:rPr>
          <w:lang w:val="es-CL"/>
        </w:rPr>
        <w:t xml:space="preserve"> </w:t>
      </w:r>
      <w:r w:rsidRPr="0013463A">
        <w:rPr>
          <w:lang w:val="es-CL"/>
        </w:rPr>
        <w:tab/>
      </w:r>
      <w:r w:rsidRPr="0013463A">
        <w:rPr>
          <w:i/>
          <w:iCs/>
          <w:lang w:val="es-CL"/>
        </w:rPr>
        <w:t>Nyembwe</w:t>
      </w:r>
      <w:r w:rsidRPr="0013463A">
        <w:rPr>
          <w:lang w:val="es-CL"/>
        </w:rPr>
        <w:t xml:space="preserve">, </w:t>
      </w:r>
      <w:r w:rsidR="00B12D0C" w:rsidRPr="0013463A">
        <w:rPr>
          <w:i/>
          <w:iCs/>
          <w:lang w:val="es-CL"/>
        </w:rPr>
        <w:t>supra</w:t>
      </w:r>
      <w:r w:rsidRPr="0013463A">
        <w:rPr>
          <w:lang w:val="es-CL"/>
        </w:rPr>
        <w:t xml:space="preserve"> note 58</w:t>
      </w:r>
      <w:r w:rsidR="00B12D0C" w:rsidRPr="0013463A">
        <w:rPr>
          <w:lang w:val="es-CL"/>
        </w:rPr>
        <w:t xml:space="preserve"> at</w:t>
      </w:r>
      <w:r w:rsidRPr="0013463A">
        <w:rPr>
          <w:lang w:val="es-CL"/>
        </w:rPr>
        <w:t xml:space="preserve"> par</w:t>
      </w:r>
      <w:r w:rsidR="00B12D0C" w:rsidRPr="0013463A">
        <w:rPr>
          <w:lang w:val="es-CL"/>
        </w:rPr>
        <w:t>a</w:t>
      </w:r>
      <w:r w:rsidRPr="0013463A">
        <w:rPr>
          <w:lang w:val="es-CL"/>
        </w:rPr>
        <w:t>. 524.</w:t>
      </w:r>
    </w:p>
  </w:footnote>
  <w:footnote w:id="230">
    <w:p w14:paraId="27C1945C" w14:textId="0EDE2E20" w:rsidR="006A6A15" w:rsidRPr="00B22AE6" w:rsidRDefault="006A6A15" w:rsidP="006A6A15">
      <w:pPr>
        <w:pStyle w:val="Notedebasdepage"/>
        <w:rPr>
          <w:lang w:val="en-CA"/>
        </w:rPr>
      </w:pPr>
      <w:r>
        <w:rPr>
          <w:rStyle w:val="Appelnotedebasdep"/>
        </w:rPr>
        <w:footnoteRef/>
      </w:r>
      <w:r w:rsidRPr="0013463A">
        <w:rPr>
          <w:lang w:val="es-CL"/>
        </w:rPr>
        <w:t xml:space="preserve"> </w:t>
      </w:r>
      <w:r w:rsidRPr="0013463A">
        <w:rPr>
          <w:lang w:val="es-CL"/>
        </w:rPr>
        <w:tab/>
      </w:r>
      <w:r w:rsidRPr="0013463A">
        <w:rPr>
          <w:i/>
          <w:iCs/>
          <w:lang w:val="es-CL"/>
        </w:rPr>
        <w:t>Ducas</w:t>
      </w:r>
      <w:r w:rsidRPr="0013463A">
        <w:rPr>
          <w:lang w:val="es-CL"/>
        </w:rPr>
        <w:t xml:space="preserve">, </w:t>
      </w:r>
      <w:r w:rsidR="00B12D0C" w:rsidRPr="0013463A">
        <w:rPr>
          <w:i/>
          <w:iCs/>
          <w:lang w:val="es-CL"/>
        </w:rPr>
        <w:t>supra</w:t>
      </w:r>
      <w:r w:rsidR="00B12D0C" w:rsidRPr="0013463A">
        <w:rPr>
          <w:lang w:val="es-CL"/>
        </w:rPr>
        <w:t xml:space="preserve"> </w:t>
      </w:r>
      <w:r w:rsidRPr="0013463A">
        <w:rPr>
          <w:lang w:val="es-CL"/>
        </w:rPr>
        <w:t>note 185</w:t>
      </w:r>
      <w:r w:rsidR="00B12D0C" w:rsidRPr="0013463A">
        <w:rPr>
          <w:lang w:val="es-CL"/>
        </w:rPr>
        <w:t xml:space="preserve"> at </w:t>
      </w:r>
      <w:r w:rsidRPr="0013463A">
        <w:rPr>
          <w:lang w:val="es-CL"/>
        </w:rPr>
        <w:t>par</w:t>
      </w:r>
      <w:r w:rsidR="00B12D0C" w:rsidRPr="0013463A">
        <w:rPr>
          <w:lang w:val="es-CL"/>
        </w:rPr>
        <w:t>a</w:t>
      </w:r>
      <w:r w:rsidRPr="0013463A">
        <w:rPr>
          <w:lang w:val="es-CL"/>
        </w:rPr>
        <w:t xml:space="preserve">. </w:t>
      </w:r>
      <w:r w:rsidRPr="00B22AE6">
        <w:rPr>
          <w:lang w:val="en-CA"/>
        </w:rPr>
        <w:t>131.</w:t>
      </w:r>
    </w:p>
  </w:footnote>
  <w:footnote w:id="231">
    <w:p w14:paraId="6BE05ABA" w14:textId="1D32AFE7" w:rsidR="006A6A15" w:rsidRPr="00B22AE6" w:rsidRDefault="006A6A15" w:rsidP="006A6A15">
      <w:pPr>
        <w:pStyle w:val="Notedebasdepage"/>
        <w:rPr>
          <w:lang w:val="en-CA"/>
        </w:rPr>
      </w:pPr>
      <w:r>
        <w:rPr>
          <w:rStyle w:val="Appelnotedebasdep"/>
        </w:rPr>
        <w:footnoteRef/>
      </w:r>
      <w:r w:rsidRPr="00B22AE6">
        <w:rPr>
          <w:lang w:val="en-CA"/>
        </w:rPr>
        <w:t xml:space="preserve"> </w:t>
      </w:r>
      <w:r w:rsidRPr="00B22AE6">
        <w:rPr>
          <w:lang w:val="en-CA"/>
        </w:rPr>
        <w:tab/>
      </w:r>
      <w:r w:rsidR="00B12D0C" w:rsidRPr="00B22AE6">
        <w:rPr>
          <w:i/>
          <w:iCs/>
          <w:lang w:val="en-CA"/>
        </w:rPr>
        <w:t>Civil Code of</w:t>
      </w:r>
      <w:r w:rsidRPr="00B22AE6">
        <w:rPr>
          <w:i/>
          <w:iCs/>
          <w:lang w:val="en-CA"/>
        </w:rPr>
        <w:t xml:space="preserve"> Québec</w:t>
      </w:r>
      <w:r w:rsidRPr="00B22AE6">
        <w:rPr>
          <w:lang w:val="en-CA"/>
        </w:rPr>
        <w:t xml:space="preserve">, </w:t>
      </w:r>
      <w:r w:rsidR="00B12D0C" w:rsidRPr="00B22AE6">
        <w:rPr>
          <w:lang w:val="en-CA"/>
        </w:rPr>
        <w:t>S</w:t>
      </w:r>
      <w:r w:rsidRPr="00B22AE6">
        <w:rPr>
          <w:lang w:val="en-CA"/>
        </w:rPr>
        <w:t>.Q. 1991, c. 64, art. 1463.</w:t>
      </w:r>
    </w:p>
  </w:footnote>
  <w:footnote w:id="232">
    <w:p w14:paraId="0DA0C5AE" w14:textId="580527F4" w:rsidR="009E282C" w:rsidRDefault="009E282C" w:rsidP="009E282C">
      <w:pPr>
        <w:pStyle w:val="Notedebasdepage"/>
      </w:pPr>
      <w:r>
        <w:rPr>
          <w:rStyle w:val="Appelnotedebasdep"/>
        </w:rPr>
        <w:footnoteRef/>
      </w:r>
      <w:r w:rsidRPr="0013463A">
        <w:rPr>
          <w:lang w:val="es-CL"/>
        </w:rPr>
        <w:t xml:space="preserve"> </w:t>
      </w:r>
      <w:r w:rsidRPr="0013463A">
        <w:rPr>
          <w:lang w:val="es-CL"/>
        </w:rPr>
        <w:tab/>
      </w:r>
      <w:r w:rsidRPr="0013463A">
        <w:rPr>
          <w:i/>
          <w:iCs/>
          <w:lang w:val="es-CL"/>
        </w:rPr>
        <w:t>Rezko</w:t>
      </w:r>
      <w:r w:rsidRPr="0013463A">
        <w:rPr>
          <w:lang w:val="es-CL"/>
        </w:rPr>
        <w:t xml:space="preserve">, </w:t>
      </w:r>
      <w:r w:rsidR="00B12D0C" w:rsidRPr="0013463A">
        <w:rPr>
          <w:i/>
          <w:iCs/>
          <w:lang w:val="es-CL"/>
        </w:rPr>
        <w:t>supra</w:t>
      </w:r>
      <w:r w:rsidRPr="0013463A">
        <w:rPr>
          <w:lang w:val="es-CL"/>
        </w:rPr>
        <w:t xml:space="preserve"> note 83</w:t>
      </w:r>
      <w:r w:rsidR="00B12D0C" w:rsidRPr="0013463A">
        <w:rPr>
          <w:lang w:val="es-CL"/>
        </w:rPr>
        <w:t xml:space="preserve"> at </w:t>
      </w:r>
      <w:r w:rsidRPr="0013463A">
        <w:rPr>
          <w:lang w:val="es-CL"/>
        </w:rPr>
        <w:t>par</w:t>
      </w:r>
      <w:r w:rsidR="00B12D0C" w:rsidRPr="0013463A">
        <w:rPr>
          <w:lang w:val="es-CL"/>
        </w:rPr>
        <w:t>a</w:t>
      </w:r>
      <w:r w:rsidRPr="0013463A">
        <w:rPr>
          <w:lang w:val="es-CL"/>
        </w:rPr>
        <w:t xml:space="preserve">. 287; </w:t>
      </w:r>
      <w:r w:rsidRPr="0013463A">
        <w:rPr>
          <w:i/>
          <w:iCs/>
          <w:lang w:val="es-CL"/>
        </w:rPr>
        <w:t>Mensah</w:t>
      </w:r>
      <w:r w:rsidRPr="0013463A">
        <w:rPr>
          <w:lang w:val="es-CL"/>
        </w:rPr>
        <w:t xml:space="preserve">, </w:t>
      </w:r>
      <w:r w:rsidR="00B12D0C" w:rsidRPr="0013463A">
        <w:rPr>
          <w:i/>
          <w:iCs/>
          <w:lang w:val="es-CL"/>
        </w:rPr>
        <w:t>supra</w:t>
      </w:r>
      <w:r w:rsidRPr="0013463A">
        <w:rPr>
          <w:lang w:val="es-CL"/>
        </w:rPr>
        <w:t xml:space="preserve"> note 226</w:t>
      </w:r>
      <w:r w:rsidR="00B12D0C" w:rsidRPr="0013463A">
        <w:rPr>
          <w:lang w:val="es-CL"/>
        </w:rPr>
        <w:t xml:space="preserve"> at </w:t>
      </w:r>
      <w:r w:rsidRPr="0013463A">
        <w:rPr>
          <w:lang w:val="es-CL"/>
        </w:rPr>
        <w:t>par</w:t>
      </w:r>
      <w:r w:rsidR="00B12D0C" w:rsidRPr="0013463A">
        <w:rPr>
          <w:lang w:val="es-CL"/>
        </w:rPr>
        <w:t>a</w:t>
      </w:r>
      <w:r w:rsidRPr="0013463A">
        <w:rPr>
          <w:lang w:val="es-CL"/>
        </w:rPr>
        <w:t xml:space="preserve">. 356; </w:t>
      </w:r>
      <w:r w:rsidRPr="0013463A">
        <w:rPr>
          <w:i/>
          <w:iCs/>
          <w:lang w:val="es-CL"/>
        </w:rPr>
        <w:t>DeBellefeuille</w:t>
      </w:r>
      <w:r w:rsidRPr="0013463A">
        <w:rPr>
          <w:lang w:val="es-CL"/>
        </w:rPr>
        <w:t xml:space="preserve">, </w:t>
      </w:r>
      <w:r w:rsidR="00B12D0C" w:rsidRPr="0013463A">
        <w:rPr>
          <w:i/>
          <w:iCs/>
          <w:lang w:val="es-CL"/>
        </w:rPr>
        <w:t>supra</w:t>
      </w:r>
      <w:r w:rsidRPr="0013463A">
        <w:rPr>
          <w:lang w:val="es-CL"/>
        </w:rPr>
        <w:t xml:space="preserve"> note 86</w:t>
      </w:r>
      <w:r w:rsidR="00B12D0C" w:rsidRPr="0013463A">
        <w:rPr>
          <w:lang w:val="es-CL"/>
        </w:rPr>
        <w:t xml:space="preserve"> at </w:t>
      </w:r>
      <w:r w:rsidRPr="0013463A">
        <w:rPr>
          <w:lang w:val="es-CL"/>
        </w:rPr>
        <w:t>par</w:t>
      </w:r>
      <w:r w:rsidR="00B12D0C" w:rsidRPr="0013463A">
        <w:rPr>
          <w:lang w:val="es-CL"/>
        </w:rPr>
        <w:t>a</w:t>
      </w:r>
      <w:r w:rsidRPr="0013463A">
        <w:rPr>
          <w:lang w:val="es-CL"/>
        </w:rPr>
        <w:t xml:space="preserve">. 328; </w:t>
      </w:r>
      <w:r w:rsidRPr="0013463A">
        <w:rPr>
          <w:i/>
          <w:iCs/>
          <w:lang w:val="es-CL"/>
        </w:rPr>
        <w:t>Nyembwe</w:t>
      </w:r>
      <w:r w:rsidRPr="0013463A">
        <w:rPr>
          <w:lang w:val="es-CL"/>
        </w:rPr>
        <w:t>,</w:t>
      </w:r>
      <w:r w:rsidR="00B12D0C" w:rsidRPr="0013463A">
        <w:rPr>
          <w:lang w:val="es-CL"/>
        </w:rPr>
        <w:t xml:space="preserve"> </w:t>
      </w:r>
      <w:r w:rsidR="00B12D0C" w:rsidRPr="0013463A">
        <w:rPr>
          <w:i/>
          <w:iCs/>
          <w:lang w:val="es-CL"/>
        </w:rPr>
        <w:t>supra</w:t>
      </w:r>
      <w:r w:rsidRPr="0013463A">
        <w:rPr>
          <w:lang w:val="es-CL"/>
        </w:rPr>
        <w:t xml:space="preserve"> note 58</w:t>
      </w:r>
      <w:r w:rsidR="00B12D0C" w:rsidRPr="0013463A">
        <w:rPr>
          <w:lang w:val="es-CL"/>
        </w:rPr>
        <w:t xml:space="preserve"> at </w:t>
      </w:r>
      <w:r w:rsidRPr="0013463A">
        <w:rPr>
          <w:lang w:val="es-CL"/>
        </w:rPr>
        <w:t>par</w:t>
      </w:r>
      <w:r w:rsidR="00B12D0C" w:rsidRPr="0013463A">
        <w:rPr>
          <w:lang w:val="es-CL"/>
        </w:rPr>
        <w:t>a</w:t>
      </w:r>
      <w:r w:rsidRPr="0013463A">
        <w:rPr>
          <w:lang w:val="es-CL"/>
        </w:rPr>
        <w:t xml:space="preserve">. 589; </w:t>
      </w:r>
      <w:r w:rsidRPr="0013463A">
        <w:rPr>
          <w:i/>
          <w:iCs/>
          <w:lang w:val="es-CL"/>
        </w:rPr>
        <w:t>Ducas</w:t>
      </w:r>
      <w:r w:rsidRPr="0013463A">
        <w:rPr>
          <w:lang w:val="es-CL"/>
        </w:rPr>
        <w:t>,</w:t>
      </w:r>
      <w:r w:rsidR="00B12D0C" w:rsidRPr="0013463A">
        <w:rPr>
          <w:lang w:val="es-CL"/>
        </w:rPr>
        <w:t xml:space="preserve"> </w:t>
      </w:r>
      <w:r w:rsidR="00B12D0C" w:rsidRPr="0013463A">
        <w:rPr>
          <w:i/>
          <w:iCs/>
          <w:lang w:val="es-CL"/>
        </w:rPr>
        <w:t>supra</w:t>
      </w:r>
      <w:r w:rsidR="00B12D0C" w:rsidRPr="0013463A">
        <w:rPr>
          <w:lang w:val="es-CL"/>
        </w:rPr>
        <w:t xml:space="preserve"> </w:t>
      </w:r>
      <w:r w:rsidRPr="0013463A">
        <w:rPr>
          <w:lang w:val="es-CL"/>
        </w:rPr>
        <w:t>note 185</w:t>
      </w:r>
      <w:r w:rsidR="00B12D0C" w:rsidRPr="0013463A">
        <w:rPr>
          <w:lang w:val="es-CL"/>
        </w:rPr>
        <w:t xml:space="preserve"> at </w:t>
      </w:r>
      <w:r w:rsidRPr="0013463A">
        <w:rPr>
          <w:lang w:val="es-CL"/>
        </w:rPr>
        <w:t>par</w:t>
      </w:r>
      <w:r w:rsidR="00B12D0C" w:rsidRPr="0013463A">
        <w:rPr>
          <w:lang w:val="es-CL"/>
        </w:rPr>
        <w:t>a</w:t>
      </w:r>
      <w:r w:rsidRPr="0013463A">
        <w:rPr>
          <w:lang w:val="es-CL"/>
        </w:rPr>
        <w:t xml:space="preserve">. </w:t>
      </w:r>
      <w:r w:rsidRPr="00E24EAE">
        <w:t>147.</w:t>
      </w:r>
    </w:p>
  </w:footnote>
  <w:footnote w:id="233">
    <w:p w14:paraId="1FD5BB19" w14:textId="088A8772" w:rsidR="009E282C" w:rsidRDefault="009E282C" w:rsidP="009E282C">
      <w:pPr>
        <w:pStyle w:val="Notedebasdepage"/>
      </w:pPr>
      <w:r>
        <w:rPr>
          <w:rStyle w:val="Appelnotedebasdep"/>
        </w:rPr>
        <w:footnoteRef/>
      </w:r>
      <w:r w:rsidRPr="00E24EAE">
        <w:t xml:space="preserve"> </w:t>
      </w:r>
      <w:r w:rsidRPr="00E24EAE">
        <w:tab/>
      </w:r>
      <w:r w:rsidR="00B12D0C">
        <w:t xml:space="preserve">Exhibit </w:t>
      </w:r>
      <w:r w:rsidRPr="009F7A40">
        <w:t>D-1.</w:t>
      </w:r>
    </w:p>
  </w:footnote>
  <w:footnote w:id="234">
    <w:p w14:paraId="0FADC3A2" w14:textId="73CA8ECE" w:rsidR="00B12D0C" w:rsidRDefault="00B12D0C" w:rsidP="00B12D0C">
      <w:pPr>
        <w:pStyle w:val="Notedebasdepage"/>
      </w:pPr>
      <w:r>
        <w:rPr>
          <w:rStyle w:val="Appelnotedebasdep"/>
        </w:rPr>
        <w:footnoteRef/>
      </w:r>
      <w:r w:rsidRPr="00E24EAE">
        <w:t xml:space="preserve"> </w:t>
      </w:r>
      <w:r w:rsidRPr="00E24EAE">
        <w:tab/>
      </w:r>
      <w:r w:rsidRPr="00B12D0C">
        <w:rPr>
          <w:i/>
          <w:iCs/>
        </w:rPr>
        <w:t>Supra</w:t>
      </w:r>
      <w:r>
        <w:t xml:space="preserve"> </w:t>
      </w:r>
      <w:r w:rsidRPr="009F7A40">
        <w:t>note 230.</w:t>
      </w:r>
    </w:p>
  </w:footnote>
  <w:footnote w:id="235">
    <w:p w14:paraId="16F2208A" w14:textId="13D57906" w:rsidR="009E282C" w:rsidRDefault="009E282C" w:rsidP="009E282C">
      <w:pPr>
        <w:pStyle w:val="Notedebasdepage"/>
      </w:pPr>
      <w:r>
        <w:rPr>
          <w:rStyle w:val="Appelnotedebasdep"/>
        </w:rPr>
        <w:footnoteRef/>
      </w:r>
      <w:r>
        <w:t xml:space="preserve"> </w:t>
      </w:r>
      <w:r>
        <w:tab/>
      </w:r>
      <w:r w:rsidR="00B12D0C" w:rsidRPr="00B12D0C">
        <w:rPr>
          <w:i/>
          <w:iCs/>
        </w:rPr>
        <w:t>Montréal (Ville) v. Lonardi</w:t>
      </w:r>
      <w:r w:rsidRPr="009F7A40">
        <w:t>, 2018 </w:t>
      </w:r>
      <w:r w:rsidR="00B12D0C" w:rsidRPr="009F7A40">
        <w:t>SCC</w:t>
      </w:r>
      <w:r w:rsidRPr="009F7A40">
        <w:t> 29, [2018] 2 </w:t>
      </w:r>
      <w:r w:rsidR="00B12D0C" w:rsidRPr="009F7A40">
        <w:t>SCR</w:t>
      </w:r>
      <w:r w:rsidRPr="009F7A40">
        <w:t> 103.</w:t>
      </w:r>
    </w:p>
  </w:footnote>
  <w:footnote w:id="236">
    <w:p w14:paraId="30AA35B3" w14:textId="7B49E2A1" w:rsidR="009E282C" w:rsidRPr="00B12D0C" w:rsidRDefault="009E282C" w:rsidP="009E282C">
      <w:pPr>
        <w:pStyle w:val="Notedebasdepage"/>
        <w:rPr>
          <w:lang w:val="en-CA"/>
        </w:rPr>
      </w:pPr>
      <w:r>
        <w:rPr>
          <w:rStyle w:val="Appelnotedebasdep"/>
        </w:rPr>
        <w:footnoteRef/>
      </w:r>
      <w:r w:rsidRPr="00B12D0C">
        <w:rPr>
          <w:lang w:val="en-CA"/>
        </w:rPr>
        <w:t xml:space="preserve"> </w:t>
      </w:r>
      <w:r w:rsidRPr="00B12D0C">
        <w:rPr>
          <w:lang w:val="en-CA"/>
        </w:rPr>
        <w:tab/>
      </w:r>
      <w:r w:rsidRPr="009F7A40">
        <w:rPr>
          <w:i/>
          <w:iCs/>
          <w:lang w:val="en-CA"/>
        </w:rPr>
        <w:t>I</w:t>
      </w:r>
      <w:r w:rsidR="00B12D0C" w:rsidRPr="009F7A40">
        <w:rPr>
          <w:i/>
          <w:iCs/>
          <w:lang w:val="en-CA"/>
        </w:rPr>
        <w:t>bi</w:t>
      </w:r>
      <w:r w:rsidRPr="009F7A40">
        <w:rPr>
          <w:i/>
          <w:iCs/>
          <w:lang w:val="en-CA"/>
        </w:rPr>
        <w:t>d</w:t>
      </w:r>
      <w:r w:rsidRPr="009F7A40">
        <w:rPr>
          <w:lang w:val="en-CA"/>
        </w:rPr>
        <w:t>.</w:t>
      </w:r>
      <w:r w:rsidR="00B12D0C" w:rsidRPr="009F7A40">
        <w:rPr>
          <w:lang w:val="en-CA"/>
        </w:rPr>
        <w:t xml:space="preserve"> at </w:t>
      </w:r>
      <w:r w:rsidRPr="009F7A40">
        <w:rPr>
          <w:lang w:val="en-CA"/>
        </w:rPr>
        <w:t>par</w:t>
      </w:r>
      <w:r w:rsidR="00B12D0C" w:rsidRPr="009F7A40">
        <w:rPr>
          <w:lang w:val="en-CA"/>
        </w:rPr>
        <w:t>a</w:t>
      </w:r>
      <w:r w:rsidRPr="009F7A40">
        <w:rPr>
          <w:lang w:val="en-CA"/>
        </w:rPr>
        <w:t>.</w:t>
      </w:r>
      <w:r w:rsidRPr="00B12D0C">
        <w:rPr>
          <w:lang w:val="en-CA"/>
        </w:rPr>
        <w:t xml:space="preserve"> 68.</w:t>
      </w:r>
    </w:p>
  </w:footnote>
  <w:footnote w:id="237">
    <w:p w14:paraId="6907DADF" w14:textId="349B603C" w:rsidR="009E282C" w:rsidRPr="00B12D0C" w:rsidRDefault="009E282C" w:rsidP="009E282C">
      <w:pPr>
        <w:pStyle w:val="Notedebasdepage"/>
        <w:rPr>
          <w:lang w:val="en-CA"/>
        </w:rPr>
      </w:pPr>
      <w:r>
        <w:rPr>
          <w:rStyle w:val="Appelnotedebasdep"/>
        </w:rPr>
        <w:footnoteRef/>
      </w:r>
      <w:r w:rsidRPr="00B12D0C">
        <w:rPr>
          <w:lang w:val="en-CA"/>
        </w:rPr>
        <w:t xml:space="preserve"> </w:t>
      </w:r>
      <w:r w:rsidRPr="00B12D0C">
        <w:rPr>
          <w:lang w:val="en-CA"/>
        </w:rPr>
        <w:tab/>
      </w:r>
      <w:r w:rsidRPr="009F7A40">
        <w:rPr>
          <w:i/>
          <w:iCs/>
          <w:lang w:val="en-CA"/>
        </w:rPr>
        <w:t>I</w:t>
      </w:r>
      <w:r w:rsidR="00B12D0C" w:rsidRPr="009F7A40">
        <w:rPr>
          <w:i/>
          <w:iCs/>
          <w:lang w:val="en-CA"/>
        </w:rPr>
        <w:t>bi</w:t>
      </w:r>
      <w:r w:rsidRPr="009F7A40">
        <w:rPr>
          <w:i/>
          <w:iCs/>
          <w:lang w:val="en-CA"/>
        </w:rPr>
        <w:t>d</w:t>
      </w:r>
      <w:r w:rsidRPr="009F7A40">
        <w:rPr>
          <w:lang w:val="en-CA"/>
        </w:rPr>
        <w:t>.</w:t>
      </w:r>
      <w:r w:rsidR="00B12D0C" w:rsidRPr="009F7A40">
        <w:rPr>
          <w:lang w:val="en-CA"/>
        </w:rPr>
        <w:t xml:space="preserve"> at</w:t>
      </w:r>
      <w:r w:rsidRPr="009F7A40">
        <w:rPr>
          <w:lang w:val="en-CA"/>
        </w:rPr>
        <w:t xml:space="preserve"> par</w:t>
      </w:r>
      <w:r w:rsidR="00B12D0C" w:rsidRPr="009F7A40">
        <w:rPr>
          <w:lang w:val="en-CA"/>
        </w:rPr>
        <w:t>a</w:t>
      </w:r>
      <w:r w:rsidRPr="009F7A40">
        <w:rPr>
          <w:lang w:val="en-CA"/>
        </w:rPr>
        <w:t>.</w:t>
      </w:r>
      <w:r w:rsidRPr="00B12D0C">
        <w:rPr>
          <w:lang w:val="en-CA"/>
        </w:rPr>
        <w:t xml:space="preserve"> 7.</w:t>
      </w:r>
    </w:p>
  </w:footnote>
  <w:footnote w:id="238">
    <w:p w14:paraId="6FEC35D1" w14:textId="232D860A" w:rsidR="009E282C" w:rsidRPr="009230A6" w:rsidRDefault="009E282C" w:rsidP="009E282C">
      <w:pPr>
        <w:pStyle w:val="Notedebasdepage"/>
        <w:rPr>
          <w:lang w:val="en-CA"/>
        </w:rPr>
      </w:pPr>
      <w:r>
        <w:rPr>
          <w:rStyle w:val="Appelnotedebasdep"/>
        </w:rPr>
        <w:footnoteRef/>
      </w:r>
      <w:r w:rsidRPr="009230A6">
        <w:rPr>
          <w:lang w:val="en-CA"/>
        </w:rPr>
        <w:t xml:space="preserve"> </w:t>
      </w:r>
      <w:r w:rsidRPr="009230A6">
        <w:rPr>
          <w:lang w:val="en-CA"/>
        </w:rPr>
        <w:tab/>
      </w:r>
      <w:r w:rsidR="00110E24" w:rsidRPr="009230A6">
        <w:rPr>
          <w:i/>
          <w:iCs/>
          <w:lang w:val="en-CA"/>
        </w:rPr>
        <w:t>Ibid.</w:t>
      </w:r>
    </w:p>
  </w:footnote>
  <w:footnote w:id="239">
    <w:p w14:paraId="2029F93E" w14:textId="43A53658" w:rsidR="009E282C" w:rsidRPr="00B12D0C" w:rsidRDefault="009E282C" w:rsidP="009E282C">
      <w:pPr>
        <w:pStyle w:val="Notedebasdepage"/>
        <w:rPr>
          <w:lang w:val="en-CA"/>
        </w:rPr>
      </w:pPr>
      <w:r>
        <w:rPr>
          <w:rStyle w:val="Appelnotedebasdep"/>
        </w:rPr>
        <w:footnoteRef/>
      </w:r>
      <w:r w:rsidRPr="009230A6">
        <w:rPr>
          <w:lang w:val="en-CA"/>
        </w:rPr>
        <w:t xml:space="preserve"> </w:t>
      </w:r>
      <w:r w:rsidRPr="009230A6">
        <w:rPr>
          <w:lang w:val="en-CA"/>
        </w:rPr>
        <w:tab/>
      </w:r>
      <w:r w:rsidR="00B12D0C" w:rsidRPr="009230A6">
        <w:rPr>
          <w:lang w:val="en-CA"/>
        </w:rPr>
        <w:t>Proulx</w:t>
      </w:r>
      <w:r w:rsidRPr="009230A6">
        <w:rPr>
          <w:lang w:val="en-CA"/>
        </w:rPr>
        <w:t xml:space="preserve">, </w:t>
      </w:r>
      <w:r w:rsidR="00B12D0C" w:rsidRPr="009230A6">
        <w:rPr>
          <w:i/>
          <w:iCs/>
          <w:lang w:val="en-CA"/>
        </w:rPr>
        <w:t>supra</w:t>
      </w:r>
      <w:r w:rsidRPr="009230A6">
        <w:rPr>
          <w:lang w:val="en-CA"/>
        </w:rPr>
        <w:t xml:space="preserve"> note 72</w:t>
      </w:r>
      <w:r w:rsidR="00B12D0C" w:rsidRPr="009230A6">
        <w:rPr>
          <w:lang w:val="en-CA"/>
        </w:rPr>
        <w:t xml:space="preserve"> at </w:t>
      </w:r>
      <w:r w:rsidR="003F6C9D">
        <w:rPr>
          <w:lang w:val="en-CA"/>
        </w:rPr>
        <w:t xml:space="preserve">p. </w:t>
      </w:r>
      <w:r w:rsidRPr="009230A6">
        <w:rPr>
          <w:lang w:val="en-CA"/>
        </w:rPr>
        <w:t>9/49</w:t>
      </w:r>
      <w:r w:rsidR="00B12D0C" w:rsidRPr="009230A6">
        <w:rPr>
          <w:lang w:val="en-CA"/>
        </w:rPr>
        <w:t xml:space="preserve"> </w:t>
      </w:r>
      <w:r w:rsidR="00EA72BC">
        <w:rPr>
          <w:lang w:val="en-CA"/>
        </w:rPr>
        <w:t>(</w:t>
      </w:r>
      <w:r w:rsidRPr="009230A6">
        <w:rPr>
          <w:lang w:val="en-CA"/>
        </w:rPr>
        <w:t>par</w:t>
      </w:r>
      <w:r w:rsidR="00B12D0C" w:rsidRPr="009230A6">
        <w:rPr>
          <w:lang w:val="en-CA"/>
        </w:rPr>
        <w:t>a</w:t>
      </w:r>
      <w:r w:rsidRPr="009230A6">
        <w:rPr>
          <w:lang w:val="en-CA"/>
        </w:rPr>
        <w:t xml:space="preserve">. </w:t>
      </w:r>
      <w:r w:rsidRPr="00B12D0C">
        <w:rPr>
          <w:lang w:val="en-CA"/>
        </w:rPr>
        <w:t>100</w:t>
      </w:r>
      <w:r w:rsidR="00EA72BC">
        <w:rPr>
          <w:lang w:val="en-CA"/>
        </w:rPr>
        <w:t>)</w:t>
      </w:r>
      <w:r w:rsidRPr="00B12D0C">
        <w:rPr>
          <w:lang w:val="en-CA"/>
        </w:rPr>
        <w:t xml:space="preserve">: </w:t>
      </w:r>
      <w:r w:rsidR="00B12D0C" w:rsidRPr="00B12D0C">
        <w:rPr>
          <w:lang w:val="en-CA"/>
        </w:rPr>
        <w:t>[</w:t>
      </w:r>
      <w:r w:rsidR="00B12D0C" w:rsidRPr="00B12D0C">
        <w:rPr>
          <w:smallCaps/>
          <w:lang w:val="en-CA"/>
        </w:rPr>
        <w:t>translation</w:t>
      </w:r>
      <w:r w:rsidR="00B12D0C" w:rsidRPr="00B12D0C">
        <w:rPr>
          <w:lang w:val="en-CA"/>
        </w:rPr>
        <w:t xml:space="preserve">] </w:t>
      </w:r>
      <w:r w:rsidR="00B12D0C">
        <w:rPr>
          <w:lang w:val="en-CA"/>
        </w:rPr>
        <w:t>“</w:t>
      </w:r>
      <w:r w:rsidR="00B12D0C" w:rsidRPr="00B12D0C">
        <w:rPr>
          <w:lang w:val="en-CA"/>
        </w:rPr>
        <w:t xml:space="preserve">The causal connection, deemed to be too close to the notion of intent, has even been replaced by a simple requirement for correlation between </w:t>
      </w:r>
      <w:r w:rsidR="00B12D0C">
        <w:rPr>
          <w:lang w:val="en-CA"/>
        </w:rPr>
        <w:t>the</w:t>
      </w:r>
      <w:r w:rsidR="00B12D0C" w:rsidRPr="00B12D0C">
        <w:rPr>
          <w:lang w:val="en-CA"/>
        </w:rPr>
        <w:t xml:space="preserve"> ground and the differential treatment</w:t>
      </w:r>
      <w:r w:rsidR="00B12D0C">
        <w:rPr>
          <w:lang w:val="en-CA"/>
        </w:rPr>
        <w:t>”.</w:t>
      </w:r>
    </w:p>
  </w:footnote>
  <w:footnote w:id="240">
    <w:p w14:paraId="2DCD931B" w14:textId="768A05FC" w:rsidR="009E282C" w:rsidRPr="009230A6" w:rsidRDefault="009E282C" w:rsidP="009E282C">
      <w:pPr>
        <w:pStyle w:val="Notedebasdepage"/>
        <w:rPr>
          <w:lang w:val="en-CA"/>
        </w:rPr>
      </w:pPr>
      <w:r>
        <w:rPr>
          <w:rStyle w:val="Appelnotedebasdep"/>
        </w:rPr>
        <w:footnoteRef/>
      </w:r>
      <w:r w:rsidRPr="0013463A">
        <w:rPr>
          <w:lang w:val="es-CL"/>
        </w:rPr>
        <w:t xml:space="preserve"> </w:t>
      </w:r>
      <w:r w:rsidRPr="0013463A">
        <w:rPr>
          <w:lang w:val="es-CL"/>
        </w:rPr>
        <w:tab/>
      </w:r>
      <w:r w:rsidRPr="0013463A">
        <w:rPr>
          <w:i/>
          <w:iCs/>
          <w:lang w:val="es-CL"/>
        </w:rPr>
        <w:t>Bombardier</w:t>
      </w:r>
      <w:r w:rsidRPr="0013463A">
        <w:rPr>
          <w:lang w:val="es-CL"/>
        </w:rPr>
        <w:t xml:space="preserve">, </w:t>
      </w:r>
      <w:r w:rsidR="00B12D0C" w:rsidRPr="0013463A">
        <w:rPr>
          <w:i/>
          <w:iCs/>
          <w:lang w:val="es-CL"/>
        </w:rPr>
        <w:t>supra</w:t>
      </w:r>
      <w:r w:rsidRPr="0013463A">
        <w:rPr>
          <w:lang w:val="es-CL"/>
        </w:rPr>
        <w:t xml:space="preserve"> note 57</w:t>
      </w:r>
      <w:r w:rsidR="00B12D0C" w:rsidRPr="0013463A">
        <w:rPr>
          <w:lang w:val="es-CL"/>
        </w:rPr>
        <w:t xml:space="preserve"> at</w:t>
      </w:r>
      <w:r w:rsidRPr="0013463A">
        <w:rPr>
          <w:lang w:val="es-CL"/>
        </w:rPr>
        <w:t xml:space="preserve"> par</w:t>
      </w:r>
      <w:r w:rsidR="00B12D0C" w:rsidRPr="0013463A">
        <w:rPr>
          <w:lang w:val="es-CL"/>
        </w:rPr>
        <w:t>a</w:t>
      </w:r>
      <w:r w:rsidRPr="0013463A">
        <w:rPr>
          <w:lang w:val="es-CL"/>
        </w:rPr>
        <w:t xml:space="preserve">. </w:t>
      </w:r>
      <w:r w:rsidRPr="009230A6">
        <w:rPr>
          <w:lang w:val="en-CA"/>
        </w:rPr>
        <w:t>49.</w:t>
      </w:r>
    </w:p>
  </w:footnote>
  <w:footnote w:id="241">
    <w:p w14:paraId="272F2705" w14:textId="7C76D4FD" w:rsidR="009078E2" w:rsidRPr="00B12D0C" w:rsidRDefault="009078E2" w:rsidP="009078E2">
      <w:pPr>
        <w:pStyle w:val="Notedebasdepage"/>
        <w:rPr>
          <w:lang w:val="en-CA"/>
        </w:rPr>
      </w:pPr>
      <w:r>
        <w:rPr>
          <w:rStyle w:val="Appelnotedebasdep"/>
        </w:rPr>
        <w:footnoteRef/>
      </w:r>
      <w:r w:rsidRPr="00B12D0C">
        <w:rPr>
          <w:lang w:val="en-CA"/>
        </w:rPr>
        <w:t xml:space="preserve"> </w:t>
      </w:r>
      <w:r w:rsidRPr="00B12D0C">
        <w:rPr>
          <w:lang w:val="en-CA"/>
        </w:rPr>
        <w:tab/>
      </w:r>
      <w:r w:rsidRPr="009F7A40">
        <w:rPr>
          <w:i/>
          <w:iCs/>
          <w:lang w:val="en-CA"/>
        </w:rPr>
        <w:t>I</w:t>
      </w:r>
      <w:r w:rsidR="00B12D0C" w:rsidRPr="009F7A40">
        <w:rPr>
          <w:i/>
          <w:iCs/>
          <w:lang w:val="en-CA"/>
        </w:rPr>
        <w:t>bi</w:t>
      </w:r>
      <w:r w:rsidRPr="009F7A40">
        <w:rPr>
          <w:i/>
          <w:iCs/>
          <w:lang w:val="en-CA"/>
        </w:rPr>
        <w:t>d</w:t>
      </w:r>
      <w:r w:rsidRPr="009F7A40">
        <w:rPr>
          <w:lang w:val="en-CA"/>
        </w:rPr>
        <w:t>.</w:t>
      </w:r>
      <w:r w:rsidR="00B12D0C" w:rsidRPr="009F7A40">
        <w:rPr>
          <w:lang w:val="en-CA"/>
        </w:rPr>
        <w:t xml:space="preserve"> at</w:t>
      </w:r>
      <w:r w:rsidRPr="009F7A40">
        <w:rPr>
          <w:lang w:val="en-CA"/>
        </w:rPr>
        <w:t xml:space="preserve"> par</w:t>
      </w:r>
      <w:r w:rsidR="00B12D0C" w:rsidRPr="009F7A40">
        <w:rPr>
          <w:lang w:val="en-CA"/>
        </w:rPr>
        <w:t>a</w:t>
      </w:r>
      <w:r w:rsidRPr="009F7A40">
        <w:rPr>
          <w:lang w:val="en-CA"/>
        </w:rPr>
        <w:t>.</w:t>
      </w:r>
      <w:r w:rsidRPr="00B12D0C">
        <w:rPr>
          <w:lang w:val="en-CA"/>
        </w:rPr>
        <w:t xml:space="preserve"> 51.</w:t>
      </w:r>
    </w:p>
  </w:footnote>
  <w:footnote w:id="242">
    <w:p w14:paraId="76E189E8" w14:textId="17982884" w:rsidR="00B14CAD" w:rsidRPr="00B12D0C" w:rsidRDefault="001834C5">
      <w:pPr>
        <w:pStyle w:val="Notedebasdepage"/>
        <w:rPr>
          <w:lang w:val="en-CA"/>
        </w:rPr>
      </w:pPr>
      <w:r>
        <w:rPr>
          <w:rStyle w:val="Appelnotedebasdep"/>
        </w:rPr>
        <w:footnoteRef/>
      </w:r>
      <w:r w:rsidR="00E24EAE" w:rsidRPr="00B12D0C">
        <w:rPr>
          <w:lang w:val="en-CA"/>
        </w:rPr>
        <w:t xml:space="preserve"> </w:t>
      </w:r>
      <w:r w:rsidR="00E24EAE" w:rsidRPr="00B12D0C">
        <w:rPr>
          <w:lang w:val="en-CA"/>
        </w:rPr>
        <w:tab/>
      </w:r>
      <w:r w:rsidR="00E24EAE" w:rsidRPr="009F7A40">
        <w:rPr>
          <w:lang w:val="en-CA"/>
        </w:rPr>
        <w:t>P</w:t>
      </w:r>
      <w:r w:rsidR="00B12D0C" w:rsidRPr="009F7A40">
        <w:rPr>
          <w:lang w:val="en-CA"/>
        </w:rPr>
        <w:t>roulx</w:t>
      </w:r>
      <w:r w:rsidR="00E24EAE" w:rsidRPr="009F7A40">
        <w:rPr>
          <w:lang w:val="en-CA"/>
        </w:rPr>
        <w:t xml:space="preserve">, </w:t>
      </w:r>
      <w:r w:rsidR="00B12D0C" w:rsidRPr="009F7A40">
        <w:rPr>
          <w:i/>
          <w:iCs/>
          <w:lang w:val="en-CA"/>
        </w:rPr>
        <w:t>supra</w:t>
      </w:r>
      <w:r w:rsidR="00B12D0C" w:rsidRPr="009F7A40">
        <w:rPr>
          <w:lang w:val="en-CA"/>
        </w:rPr>
        <w:t xml:space="preserve"> </w:t>
      </w:r>
      <w:r w:rsidR="00E24EAE" w:rsidRPr="009F7A40">
        <w:rPr>
          <w:lang w:val="en-CA"/>
        </w:rPr>
        <w:t>note 72</w:t>
      </w:r>
      <w:r w:rsidR="00B12D0C" w:rsidRPr="009F7A40">
        <w:rPr>
          <w:lang w:val="en-CA"/>
        </w:rPr>
        <w:t xml:space="preserve"> at</w:t>
      </w:r>
      <w:r w:rsidR="00E24EAE" w:rsidRPr="009F7A40">
        <w:rPr>
          <w:lang w:val="en-CA"/>
        </w:rPr>
        <w:t xml:space="preserve"> </w:t>
      </w:r>
      <w:r w:rsidR="003F6C9D">
        <w:rPr>
          <w:lang w:val="en-CA"/>
        </w:rPr>
        <w:t xml:space="preserve">p. </w:t>
      </w:r>
      <w:r w:rsidR="00E24EAE" w:rsidRPr="009F7A40">
        <w:rPr>
          <w:lang w:val="en-CA"/>
        </w:rPr>
        <w:t>9/98.</w:t>
      </w:r>
    </w:p>
  </w:footnote>
  <w:footnote w:id="243">
    <w:p w14:paraId="02DECECB" w14:textId="574B6700" w:rsidR="009078E2" w:rsidRDefault="009078E2" w:rsidP="009078E2">
      <w:pPr>
        <w:pStyle w:val="Notedebasdepage"/>
      </w:pPr>
      <w:r>
        <w:rPr>
          <w:rStyle w:val="Appelnotedebasdep"/>
        </w:rPr>
        <w:footnoteRef/>
      </w:r>
      <w:r>
        <w:t xml:space="preserve"> </w:t>
      </w:r>
      <w:r>
        <w:tab/>
      </w:r>
      <w:r w:rsidRPr="009F7A40">
        <w:rPr>
          <w:i/>
          <w:iCs/>
        </w:rPr>
        <w:t>Qu</w:t>
      </w:r>
      <w:r w:rsidR="005A2618">
        <w:rPr>
          <w:i/>
          <w:iCs/>
        </w:rPr>
        <w:t>e</w:t>
      </w:r>
      <w:r w:rsidRPr="009F7A40">
        <w:rPr>
          <w:i/>
          <w:iCs/>
        </w:rPr>
        <w:t xml:space="preserve">bec (Commission des droits de la personne et des droits de la jeunesse) </w:t>
      </w:r>
      <w:r w:rsidR="005A2618">
        <w:rPr>
          <w:i/>
          <w:iCs/>
        </w:rPr>
        <w:t>v</w:t>
      </w:r>
      <w:r w:rsidRPr="009F7A40">
        <w:rPr>
          <w:i/>
          <w:iCs/>
        </w:rPr>
        <w:t>. Communauté urbaine de Montréal</w:t>
      </w:r>
      <w:r w:rsidRPr="009F7A40">
        <w:t xml:space="preserve">, </w:t>
      </w:r>
      <w:r w:rsidR="00B12D0C" w:rsidRPr="009F7A40">
        <w:rPr>
          <w:i/>
          <w:iCs/>
        </w:rPr>
        <w:t>supra</w:t>
      </w:r>
      <w:r w:rsidRPr="009F7A40">
        <w:t xml:space="preserve"> note 69.</w:t>
      </w:r>
    </w:p>
  </w:footnote>
  <w:footnote w:id="244">
    <w:p w14:paraId="69E4B8DD" w14:textId="77777777" w:rsidR="00DF6A8A" w:rsidRPr="009230A6" w:rsidRDefault="00DF6A8A" w:rsidP="00DF6A8A">
      <w:pPr>
        <w:pStyle w:val="Notedebasdepage"/>
        <w:rPr>
          <w:lang w:val="en-CA"/>
        </w:rPr>
      </w:pPr>
      <w:r>
        <w:rPr>
          <w:rStyle w:val="Appelnotedebasdep"/>
        </w:rPr>
        <w:footnoteRef/>
      </w:r>
      <w:r>
        <w:t xml:space="preserve"> </w:t>
      </w:r>
      <w:r>
        <w:tab/>
      </w:r>
      <w:r w:rsidRPr="00B12D0C">
        <w:rPr>
          <w:i/>
          <w:iCs/>
        </w:rPr>
        <w:t>Quebec (Public Curator) v.  Syndicat national des employés de l'hôpital St-Ferdinand</w:t>
      </w:r>
      <w:r w:rsidRPr="009F7A40">
        <w:t xml:space="preserve">, </w:t>
      </w:r>
      <w:r w:rsidRPr="009F7A40">
        <w:rPr>
          <w:i/>
          <w:iCs/>
        </w:rPr>
        <w:t>supra</w:t>
      </w:r>
      <w:r w:rsidRPr="009F7A40">
        <w:t xml:space="preserve"> note 212 at para.</w:t>
      </w:r>
      <w:r w:rsidRPr="00E24EAE">
        <w:t xml:space="preserve"> </w:t>
      </w:r>
      <w:r w:rsidRPr="009230A6">
        <w:rPr>
          <w:lang w:val="en-CA"/>
        </w:rPr>
        <w:t>121.</w:t>
      </w:r>
    </w:p>
  </w:footnote>
  <w:footnote w:id="245">
    <w:p w14:paraId="72035ACE" w14:textId="76DA39AF" w:rsidR="00AC72FF" w:rsidRPr="009230A6" w:rsidRDefault="00AC72FF" w:rsidP="00AC72FF">
      <w:pPr>
        <w:pStyle w:val="Notedebasdepage"/>
      </w:pPr>
      <w:r>
        <w:rPr>
          <w:rStyle w:val="Appelnotedebasdep"/>
        </w:rPr>
        <w:footnoteRef/>
      </w:r>
      <w:r w:rsidRPr="00B12D0C">
        <w:rPr>
          <w:lang w:val="en-CA"/>
        </w:rPr>
        <w:t xml:space="preserve"> </w:t>
      </w:r>
      <w:r w:rsidRPr="00B12D0C">
        <w:rPr>
          <w:i/>
          <w:iCs/>
          <w:lang w:val="en-CA"/>
        </w:rPr>
        <w:tab/>
      </w:r>
      <w:r w:rsidRPr="009F7A40">
        <w:rPr>
          <w:i/>
          <w:iCs/>
          <w:lang w:val="en-CA"/>
        </w:rPr>
        <w:t>Hinse</w:t>
      </w:r>
      <w:r w:rsidR="00B12D0C" w:rsidRPr="009F7A40">
        <w:rPr>
          <w:i/>
          <w:iCs/>
          <w:lang w:val="en-CA"/>
        </w:rPr>
        <w:t xml:space="preserve"> v</w:t>
      </w:r>
      <w:r w:rsidRPr="009F7A40">
        <w:rPr>
          <w:i/>
          <w:iCs/>
          <w:lang w:val="en-CA"/>
        </w:rPr>
        <w:t>. Canada (</w:t>
      </w:r>
      <w:r w:rsidR="00B12D0C" w:rsidRPr="009F7A40">
        <w:rPr>
          <w:i/>
          <w:iCs/>
          <w:lang w:val="en-CA"/>
        </w:rPr>
        <w:t>Attorney General</w:t>
      </w:r>
      <w:r w:rsidRPr="009F7A40">
        <w:rPr>
          <w:i/>
          <w:iCs/>
          <w:lang w:val="en-CA"/>
        </w:rPr>
        <w:t>)</w:t>
      </w:r>
      <w:r w:rsidRPr="009F7A40">
        <w:rPr>
          <w:lang w:val="en-CA"/>
        </w:rPr>
        <w:t>, 2015 </w:t>
      </w:r>
      <w:r w:rsidR="00B12D0C" w:rsidRPr="009F7A40">
        <w:rPr>
          <w:lang w:val="en-CA"/>
        </w:rPr>
        <w:t xml:space="preserve">SCC </w:t>
      </w:r>
      <w:r w:rsidRPr="009F7A40">
        <w:rPr>
          <w:lang w:val="en-CA"/>
        </w:rPr>
        <w:t>35 (CanLII), [2015] 2 </w:t>
      </w:r>
      <w:r w:rsidR="00B12D0C" w:rsidRPr="009F7A40">
        <w:rPr>
          <w:lang w:val="en-CA"/>
        </w:rPr>
        <w:t xml:space="preserve">SCR </w:t>
      </w:r>
      <w:r w:rsidRPr="009F7A40">
        <w:rPr>
          <w:lang w:val="en-CA"/>
        </w:rPr>
        <w:t>621</w:t>
      </w:r>
      <w:r w:rsidR="00B12D0C" w:rsidRPr="009F7A40">
        <w:rPr>
          <w:lang w:val="en-CA"/>
        </w:rPr>
        <w:t xml:space="preserve"> at</w:t>
      </w:r>
      <w:r w:rsidRPr="009F7A40">
        <w:rPr>
          <w:lang w:val="en-CA"/>
        </w:rPr>
        <w:t xml:space="preserve"> par</w:t>
      </w:r>
      <w:r w:rsidR="00B12D0C" w:rsidRPr="009F7A40">
        <w:rPr>
          <w:lang w:val="en-CA"/>
        </w:rPr>
        <w:t>a</w:t>
      </w:r>
      <w:r w:rsidRPr="009F7A40">
        <w:rPr>
          <w:lang w:val="en-CA"/>
        </w:rPr>
        <w:t>.</w:t>
      </w:r>
      <w:r w:rsidRPr="00B12D0C">
        <w:rPr>
          <w:lang w:val="en-CA"/>
        </w:rPr>
        <w:t xml:space="preserve"> </w:t>
      </w:r>
      <w:r w:rsidRPr="009230A6">
        <w:t>165.</w:t>
      </w:r>
    </w:p>
  </w:footnote>
  <w:footnote w:id="246">
    <w:p w14:paraId="76D6D959" w14:textId="1AF72C1F" w:rsidR="00BD639B" w:rsidRDefault="00BD639B" w:rsidP="00BD639B">
      <w:pPr>
        <w:pStyle w:val="Notedebasdepage"/>
      </w:pPr>
      <w:r>
        <w:rPr>
          <w:rStyle w:val="Appelnotedebasdep"/>
        </w:rPr>
        <w:footnoteRef/>
      </w:r>
      <w:r w:rsidRPr="00E24EAE">
        <w:t xml:space="preserve"> </w:t>
      </w:r>
      <w:r w:rsidRPr="00E24EAE">
        <w:tab/>
      </w:r>
      <w:r w:rsidRPr="009F7A40">
        <w:t xml:space="preserve">Pierre </w:t>
      </w:r>
      <w:r w:rsidR="00B12D0C" w:rsidRPr="009F7A40">
        <w:t>Verge</w:t>
      </w:r>
      <w:r w:rsidRPr="009F7A40">
        <w:t xml:space="preserve">, Gilles </w:t>
      </w:r>
      <w:r w:rsidR="00B12D0C" w:rsidRPr="009F7A40">
        <w:t>Trudeau</w:t>
      </w:r>
      <w:r w:rsidRPr="009F7A40">
        <w:t xml:space="preserve"> </w:t>
      </w:r>
      <w:r w:rsidR="00B12D0C" w:rsidRPr="009F7A40">
        <w:t>&amp;</w:t>
      </w:r>
      <w:r w:rsidRPr="009F7A40">
        <w:t xml:space="preserve"> Guylaine </w:t>
      </w:r>
      <w:r w:rsidR="00B12D0C" w:rsidRPr="009F7A40">
        <w:t>Vallée</w:t>
      </w:r>
      <w:r w:rsidRPr="009F7A40">
        <w:t xml:space="preserve">, </w:t>
      </w:r>
      <w:r w:rsidRPr="009F7A40">
        <w:rPr>
          <w:i/>
          <w:iCs/>
        </w:rPr>
        <w:t>Le droit du travail par ses sources</w:t>
      </w:r>
      <w:r w:rsidRPr="009F7A40">
        <w:t xml:space="preserve"> </w:t>
      </w:r>
      <w:r w:rsidR="00B12D0C" w:rsidRPr="009F7A40">
        <w:t>(</w:t>
      </w:r>
      <w:r w:rsidRPr="009F7A40">
        <w:t>Montr</w:t>
      </w:r>
      <w:r w:rsidR="00B12D0C" w:rsidRPr="009F7A40">
        <w:t>eal:</w:t>
      </w:r>
      <w:r w:rsidRPr="009F7A40">
        <w:t xml:space="preserve"> Thémis, 2006</w:t>
      </w:r>
      <w:r w:rsidR="00B12D0C" w:rsidRPr="009F7A40">
        <w:t xml:space="preserve">) at </w:t>
      </w:r>
      <w:r w:rsidR="003F6C9D">
        <w:t xml:space="preserve">p. </w:t>
      </w:r>
      <w:r w:rsidRPr="009F7A40">
        <w:t>351.</w:t>
      </w:r>
    </w:p>
  </w:footnote>
  <w:footnote w:id="247">
    <w:p w14:paraId="52A62AFB" w14:textId="77777777" w:rsidR="00BB7721" w:rsidRDefault="00BB7721" w:rsidP="00BB7721">
      <w:pPr>
        <w:pStyle w:val="Notedebasdepage"/>
      </w:pPr>
      <w:r>
        <w:rPr>
          <w:rStyle w:val="Appelnotedebasdep"/>
        </w:rPr>
        <w:footnoteRef/>
      </w:r>
      <w:r>
        <w:t xml:space="preserve"> </w:t>
      </w:r>
      <w:r>
        <w:tab/>
      </w:r>
      <w:r w:rsidRPr="00B12D0C">
        <w:rPr>
          <w:i/>
          <w:iCs/>
        </w:rPr>
        <w:t>Quebec (Public Curator) v.  Syndicat national des employés de l'hôpital St-Ferdinand</w:t>
      </w:r>
      <w:r w:rsidRPr="009F7A40">
        <w:t xml:space="preserve">, </w:t>
      </w:r>
      <w:r w:rsidRPr="009F7A40">
        <w:rPr>
          <w:i/>
          <w:iCs/>
        </w:rPr>
        <w:t>supra</w:t>
      </w:r>
      <w:r w:rsidRPr="009F7A40">
        <w:t xml:space="preserve"> note 212</w:t>
      </w:r>
      <w:r>
        <w:t>.</w:t>
      </w:r>
    </w:p>
  </w:footnote>
  <w:footnote w:id="248">
    <w:p w14:paraId="0280E4A3" w14:textId="448266C7" w:rsidR="00BD639B" w:rsidRPr="009230A6" w:rsidRDefault="00BD639B" w:rsidP="00BD639B">
      <w:pPr>
        <w:pStyle w:val="Notedebasdepage"/>
        <w:rPr>
          <w:lang w:val="en-CA"/>
        </w:rPr>
      </w:pPr>
      <w:r>
        <w:rPr>
          <w:rStyle w:val="Appelnotedebasdep"/>
        </w:rPr>
        <w:footnoteRef/>
      </w:r>
      <w:r w:rsidRPr="009230A6">
        <w:rPr>
          <w:lang w:val="en-CA"/>
        </w:rPr>
        <w:t xml:space="preserve"> </w:t>
      </w:r>
      <w:r w:rsidRPr="009230A6">
        <w:rPr>
          <w:lang w:val="en-CA"/>
        </w:rPr>
        <w:tab/>
      </w:r>
      <w:r w:rsidR="00110E24" w:rsidRPr="009230A6">
        <w:rPr>
          <w:i/>
          <w:iCs/>
          <w:lang w:val="en-CA"/>
        </w:rPr>
        <w:t>Ibid.</w:t>
      </w:r>
    </w:p>
  </w:footnote>
  <w:footnote w:id="249">
    <w:p w14:paraId="55D8FBC5" w14:textId="4842AA1E" w:rsidR="00BD639B" w:rsidRPr="009230A6" w:rsidRDefault="00BD639B" w:rsidP="00BD639B">
      <w:pPr>
        <w:pStyle w:val="Notedebasdepage"/>
        <w:rPr>
          <w:lang w:val="en-CA"/>
        </w:rPr>
      </w:pPr>
      <w:r>
        <w:rPr>
          <w:rStyle w:val="Appelnotedebasdep"/>
        </w:rPr>
        <w:footnoteRef/>
      </w:r>
      <w:r w:rsidRPr="009230A6">
        <w:rPr>
          <w:lang w:val="en-CA"/>
        </w:rPr>
        <w:t xml:space="preserve"> </w:t>
      </w:r>
      <w:r w:rsidRPr="009230A6">
        <w:rPr>
          <w:lang w:val="en-CA"/>
        </w:rPr>
        <w:tab/>
      </w:r>
      <w:r w:rsidR="00B12D0C" w:rsidRPr="009230A6">
        <w:rPr>
          <w:i/>
          <w:iCs/>
          <w:lang w:val="en-CA"/>
        </w:rPr>
        <w:t>Supra</w:t>
      </w:r>
      <w:r w:rsidRPr="009230A6">
        <w:rPr>
          <w:lang w:val="en-CA"/>
        </w:rPr>
        <w:t xml:space="preserve"> note 223.</w:t>
      </w:r>
    </w:p>
  </w:footnote>
  <w:footnote w:id="250">
    <w:p w14:paraId="5AC87852" w14:textId="18D65B17" w:rsidR="00BD639B" w:rsidRPr="009230A6" w:rsidRDefault="00BD639B" w:rsidP="00BD639B">
      <w:pPr>
        <w:pStyle w:val="Notedebasdepage"/>
        <w:rPr>
          <w:lang w:val="en-CA"/>
        </w:rPr>
      </w:pPr>
      <w:r>
        <w:rPr>
          <w:rStyle w:val="Appelnotedebasdep"/>
        </w:rPr>
        <w:footnoteRef/>
      </w:r>
      <w:r w:rsidRPr="009230A6">
        <w:rPr>
          <w:lang w:val="en-CA"/>
        </w:rPr>
        <w:t xml:space="preserve"> </w:t>
      </w:r>
      <w:r w:rsidRPr="009230A6">
        <w:rPr>
          <w:lang w:val="en-CA"/>
        </w:rPr>
        <w:tab/>
      </w:r>
      <w:r w:rsidRPr="009230A6">
        <w:rPr>
          <w:i/>
          <w:iCs/>
          <w:lang w:val="en-CA"/>
        </w:rPr>
        <w:t xml:space="preserve">de Montigny </w:t>
      </w:r>
      <w:r w:rsidR="00B12D0C" w:rsidRPr="009230A6">
        <w:rPr>
          <w:i/>
          <w:iCs/>
          <w:lang w:val="en-CA"/>
        </w:rPr>
        <w:t>v</w:t>
      </w:r>
      <w:r w:rsidRPr="009230A6">
        <w:rPr>
          <w:i/>
          <w:iCs/>
          <w:lang w:val="en-CA"/>
        </w:rPr>
        <w:t>. Brossard (Succession)</w:t>
      </w:r>
      <w:r w:rsidRPr="009230A6">
        <w:rPr>
          <w:lang w:val="en-CA"/>
        </w:rPr>
        <w:t>, 2010 </w:t>
      </w:r>
      <w:r w:rsidR="00B12D0C" w:rsidRPr="009230A6">
        <w:rPr>
          <w:lang w:val="en-CA"/>
        </w:rPr>
        <w:t>SCC</w:t>
      </w:r>
      <w:r w:rsidRPr="009230A6">
        <w:rPr>
          <w:lang w:val="en-CA"/>
        </w:rPr>
        <w:t> 51, [2010] 3 </w:t>
      </w:r>
      <w:r w:rsidR="00B12D0C" w:rsidRPr="009230A6">
        <w:rPr>
          <w:lang w:val="en-CA"/>
        </w:rPr>
        <w:t>SCR</w:t>
      </w:r>
      <w:r w:rsidRPr="009230A6">
        <w:rPr>
          <w:lang w:val="en-CA"/>
        </w:rPr>
        <w:t> 64</w:t>
      </w:r>
      <w:r w:rsidR="00B12D0C" w:rsidRPr="009230A6">
        <w:rPr>
          <w:lang w:val="en-CA"/>
        </w:rPr>
        <w:t xml:space="preserve"> at </w:t>
      </w:r>
      <w:r w:rsidRPr="009230A6">
        <w:rPr>
          <w:lang w:val="en-CA"/>
        </w:rPr>
        <w:t>par</w:t>
      </w:r>
      <w:r w:rsidR="00B12D0C" w:rsidRPr="009230A6">
        <w:rPr>
          <w:lang w:val="en-CA"/>
        </w:rPr>
        <w:t>as</w:t>
      </w:r>
      <w:r w:rsidRPr="009230A6">
        <w:rPr>
          <w:lang w:val="en-CA"/>
        </w:rPr>
        <w:t xml:space="preserve">. 51 </w:t>
      </w:r>
      <w:r w:rsidR="00B12D0C" w:rsidRPr="009230A6">
        <w:rPr>
          <w:lang w:val="en-CA"/>
        </w:rPr>
        <w:t xml:space="preserve">and </w:t>
      </w:r>
      <w:r w:rsidRPr="009230A6">
        <w:rPr>
          <w:lang w:val="en-CA"/>
        </w:rPr>
        <w:t>52.</w:t>
      </w:r>
    </w:p>
  </w:footnote>
  <w:footnote w:id="251">
    <w:p w14:paraId="74EC3DB7" w14:textId="5B127D76" w:rsidR="00BD639B" w:rsidRDefault="00BD639B" w:rsidP="00BD639B">
      <w:pPr>
        <w:pStyle w:val="Notedebasdepage"/>
      </w:pPr>
      <w:r>
        <w:rPr>
          <w:rStyle w:val="Appelnotedebasdep"/>
        </w:rPr>
        <w:footnoteRef/>
      </w:r>
      <w:r w:rsidRPr="0013463A">
        <w:rPr>
          <w:lang w:val="es-CL"/>
        </w:rPr>
        <w:t xml:space="preserve"> </w:t>
      </w:r>
      <w:r w:rsidRPr="0013463A">
        <w:rPr>
          <w:lang w:val="es-CL"/>
        </w:rPr>
        <w:tab/>
      </w:r>
      <w:r w:rsidRPr="0013463A">
        <w:rPr>
          <w:i/>
          <w:iCs/>
          <w:lang w:val="es-CL"/>
        </w:rPr>
        <w:t>Bombardie</w:t>
      </w:r>
      <w:r w:rsidRPr="0013463A">
        <w:rPr>
          <w:lang w:val="es-CL"/>
        </w:rPr>
        <w:t xml:space="preserve">r, </w:t>
      </w:r>
      <w:r w:rsidR="00B12D0C" w:rsidRPr="0013463A">
        <w:rPr>
          <w:i/>
          <w:iCs/>
          <w:lang w:val="es-CL"/>
        </w:rPr>
        <w:t>supra</w:t>
      </w:r>
      <w:r w:rsidRPr="0013463A">
        <w:rPr>
          <w:lang w:val="es-CL"/>
        </w:rPr>
        <w:t xml:space="preserve"> note 57</w:t>
      </w:r>
      <w:r w:rsidR="00B12D0C" w:rsidRPr="0013463A">
        <w:rPr>
          <w:lang w:val="es-CL"/>
        </w:rPr>
        <w:t xml:space="preserve"> at</w:t>
      </w:r>
      <w:r w:rsidRPr="0013463A">
        <w:rPr>
          <w:lang w:val="es-CL"/>
        </w:rPr>
        <w:t xml:space="preserve"> par</w:t>
      </w:r>
      <w:r w:rsidR="00B12D0C" w:rsidRPr="0013463A">
        <w:rPr>
          <w:lang w:val="es-CL"/>
        </w:rPr>
        <w:t>a</w:t>
      </w:r>
      <w:r w:rsidRPr="0013463A">
        <w:rPr>
          <w:lang w:val="es-CL"/>
        </w:rPr>
        <w:t xml:space="preserve">. </w:t>
      </w:r>
      <w:r w:rsidRPr="009F7A40">
        <w:t xml:space="preserve">103; </w:t>
      </w:r>
      <w:r w:rsidRPr="009F7A40">
        <w:rPr>
          <w:i/>
          <w:iCs/>
        </w:rPr>
        <w:t>Commission des droits de la personne et des droits de la jeunesse (Felicin) c. Les Automobiles Brisson in</w:t>
      </w:r>
      <w:r w:rsidRPr="009F7A40">
        <w:t>c., 2019 QCTDP 9</w:t>
      </w:r>
      <w:r w:rsidR="00B12D0C" w:rsidRPr="009F7A40">
        <w:t xml:space="preserve"> at </w:t>
      </w:r>
      <w:r w:rsidRPr="009F7A40">
        <w:t>par</w:t>
      </w:r>
      <w:r w:rsidR="00B12D0C" w:rsidRPr="009F7A40">
        <w:t>a</w:t>
      </w:r>
      <w:r w:rsidRPr="009F7A40">
        <w:t>.</w:t>
      </w:r>
      <w:r w:rsidRPr="00B14CAD">
        <w:t xml:space="preserve"> 104.</w:t>
      </w:r>
    </w:p>
  </w:footnote>
  <w:footnote w:id="252">
    <w:p w14:paraId="6D09CCCD" w14:textId="26A28781" w:rsidR="00334736" w:rsidRPr="00BB290A" w:rsidRDefault="00334736" w:rsidP="00334736">
      <w:pPr>
        <w:pStyle w:val="Notedebasdepage"/>
        <w:rPr>
          <w:lang w:val="en-CA"/>
        </w:rPr>
      </w:pPr>
      <w:r>
        <w:rPr>
          <w:rStyle w:val="Appelnotedebasdep"/>
        </w:rPr>
        <w:footnoteRef/>
      </w:r>
      <w:r w:rsidRPr="00BB290A">
        <w:rPr>
          <w:lang w:val="en-CA"/>
        </w:rPr>
        <w:t xml:space="preserve"> </w:t>
      </w:r>
      <w:r w:rsidRPr="00BB290A">
        <w:rPr>
          <w:lang w:val="en-CA"/>
        </w:rPr>
        <w:tab/>
      </w:r>
      <w:r w:rsidRPr="009F7A40">
        <w:rPr>
          <w:lang w:val="en-CA"/>
        </w:rPr>
        <w:t xml:space="preserve">Martel &amp; Bensimon, </w:t>
      </w:r>
      <w:r w:rsidRPr="009F7A40">
        <w:rPr>
          <w:i/>
          <w:iCs/>
          <w:lang w:val="en-CA"/>
        </w:rPr>
        <w:t>supra</w:t>
      </w:r>
      <w:r w:rsidRPr="009F7A40">
        <w:rPr>
          <w:lang w:val="en-CA"/>
        </w:rPr>
        <w:t xml:space="preserve"> note 82 at </w:t>
      </w:r>
      <w:r w:rsidR="003F6C9D">
        <w:rPr>
          <w:lang w:val="en-CA"/>
        </w:rPr>
        <w:t xml:space="preserve">p. </w:t>
      </w:r>
      <w:r w:rsidRPr="009F7A40">
        <w:rPr>
          <w:lang w:val="en-CA"/>
        </w:rPr>
        <w:t>11.</w:t>
      </w:r>
    </w:p>
  </w:footnote>
  <w:footnote w:id="253">
    <w:p w14:paraId="58FC08A8" w14:textId="358C0913" w:rsidR="00110E24" w:rsidRDefault="00110E24" w:rsidP="00110E24">
      <w:pPr>
        <w:pStyle w:val="Notedebasdepage"/>
      </w:pPr>
      <w:r>
        <w:rPr>
          <w:rStyle w:val="Appelnotedebasdep"/>
        </w:rPr>
        <w:footnoteRef/>
      </w:r>
      <w:r>
        <w:t xml:space="preserve"> </w:t>
      </w:r>
      <w:r>
        <w:tab/>
      </w:r>
      <w:r w:rsidRPr="009F7A40">
        <w:rPr>
          <w:i/>
          <w:iCs/>
        </w:rPr>
        <w:t>I</w:t>
      </w:r>
      <w:r w:rsidR="00BB290A" w:rsidRPr="009F7A40">
        <w:rPr>
          <w:i/>
          <w:iCs/>
        </w:rPr>
        <w:t>bi</w:t>
      </w:r>
      <w:r w:rsidRPr="009F7A40">
        <w:rPr>
          <w:i/>
          <w:iCs/>
        </w:rPr>
        <w:t>d</w:t>
      </w:r>
      <w:r w:rsidR="00BB290A" w:rsidRPr="009F7A40">
        <w:rPr>
          <w:i/>
          <w:iCs/>
        </w:rPr>
        <w:t xml:space="preserve">. </w:t>
      </w:r>
      <w:r w:rsidR="00BB290A" w:rsidRPr="009F7A40">
        <w:t xml:space="preserve">at </w:t>
      </w:r>
      <w:r w:rsidR="003F6C9D">
        <w:t xml:space="preserve">p. </w:t>
      </w:r>
      <w:r w:rsidRPr="009F7A40">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631A" w14:textId="502A63DB" w:rsidR="00677E4D" w:rsidRDefault="00000000">
    <w:pPr>
      <w:pStyle w:val="En-tte"/>
    </w:pPr>
    <w:r>
      <w:rPr>
        <w:noProof/>
      </w:rPr>
      <w:pict w14:anchorId="06847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738610" o:spid="_x0000_s1027" type="#_x0000_t136" alt="" style="position:absolute;margin-left:0;margin-top:0;width:594pt;height:66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7981" w14:textId="25E32BEC" w:rsidR="00D025F2" w:rsidRDefault="00000000">
    <w:pPr>
      <w:tabs>
        <w:tab w:val="center" w:pos="4709"/>
        <w:tab w:val="right" w:pos="9360"/>
      </w:tabs>
      <w:ind w:right="524"/>
    </w:pPr>
    <w:r>
      <w:rPr>
        <w:noProof/>
      </w:rPr>
      <w:pict w14:anchorId="2E941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738611" o:spid="_x0000_s1026" type="#_x0000_t136" alt="" style="position:absolute;margin-left:0;margin-top:0;width:594pt;height:66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ourtesy Translation"/>
          <w10:wrap anchorx="margin" anchory="margin"/>
        </v:shape>
      </w:pict>
    </w:r>
    <w:r w:rsidR="00EF5343">
      <w:t>200-53-000094-214</w:t>
    </w:r>
    <w:r w:rsidR="00EF5343">
      <w:tab/>
    </w:r>
    <w:r w:rsidR="00EF5343">
      <w:tab/>
    </w:r>
    <w:r w:rsidR="00EF5343" w:rsidRPr="009F7A40">
      <w:t>PAGE:</w:t>
    </w:r>
    <w:r w:rsidR="00EF5343">
      <w:t xml:space="preserve"> </w:t>
    </w:r>
    <w:r w:rsidR="00EF5343">
      <w:fldChar w:fldCharType="begin"/>
    </w:r>
    <w:r w:rsidR="00EF5343">
      <w:instrText xml:space="preserve"> PAGE </w:instrText>
    </w:r>
    <w:r w:rsidR="00EF5343">
      <w:fldChar w:fldCharType="separate"/>
    </w:r>
    <w:r w:rsidR="00F16DAF">
      <w:rPr>
        <w:noProof/>
      </w:rPr>
      <w:t>2</w:t>
    </w:r>
    <w:r w:rsidR="00EF5343">
      <w:fldChar w:fldCharType="end"/>
    </w:r>
  </w:p>
  <w:p w14:paraId="0C342E45" w14:textId="77777777" w:rsidR="00D025F2" w:rsidRDefault="00D025F2">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F1BC" w14:textId="6FB64EAD" w:rsidR="00677E4D" w:rsidRDefault="00000000">
    <w:pPr>
      <w:pStyle w:val="En-tte"/>
    </w:pPr>
    <w:r>
      <w:rPr>
        <w:noProof/>
      </w:rPr>
      <w:pict w14:anchorId="4B8E1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738609" o:spid="_x0000_s1025" type="#_x0000_t136" alt="" style="position:absolute;margin-left:0;margin-top:0;width:594pt;height:6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ourtesy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4C89C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9662127"/>
    <w:multiLevelType w:val="hybridMultilevel"/>
    <w:tmpl w:val="B006559C"/>
    <w:lvl w:ilvl="0" w:tplc="E098CEF4">
      <w:start w:val="1"/>
      <w:numFmt w:val="upperLetter"/>
      <w:lvlText w:val="(%1)"/>
      <w:lvlJc w:val="left"/>
      <w:pPr>
        <w:ind w:left="720" w:hanging="360"/>
      </w:pPr>
      <w:rPr>
        <w:rFonts w:hint="default"/>
      </w:rPr>
    </w:lvl>
    <w:lvl w:ilvl="1" w:tplc="DC845C1C" w:tentative="1">
      <w:start w:val="1"/>
      <w:numFmt w:val="lowerLetter"/>
      <w:lvlText w:val="%2."/>
      <w:lvlJc w:val="left"/>
      <w:pPr>
        <w:ind w:left="1440" w:hanging="360"/>
      </w:pPr>
    </w:lvl>
    <w:lvl w:ilvl="2" w:tplc="05DC20F0" w:tentative="1">
      <w:start w:val="1"/>
      <w:numFmt w:val="lowerRoman"/>
      <w:lvlText w:val="%3."/>
      <w:lvlJc w:val="right"/>
      <w:pPr>
        <w:ind w:left="2160" w:hanging="180"/>
      </w:pPr>
    </w:lvl>
    <w:lvl w:ilvl="3" w:tplc="DD36103C" w:tentative="1">
      <w:start w:val="1"/>
      <w:numFmt w:val="decimal"/>
      <w:lvlText w:val="%4."/>
      <w:lvlJc w:val="left"/>
      <w:pPr>
        <w:ind w:left="2880" w:hanging="360"/>
      </w:pPr>
    </w:lvl>
    <w:lvl w:ilvl="4" w:tplc="21DEC8E4" w:tentative="1">
      <w:start w:val="1"/>
      <w:numFmt w:val="lowerLetter"/>
      <w:lvlText w:val="%5."/>
      <w:lvlJc w:val="left"/>
      <w:pPr>
        <w:ind w:left="3600" w:hanging="360"/>
      </w:pPr>
    </w:lvl>
    <w:lvl w:ilvl="5" w:tplc="852A1F84" w:tentative="1">
      <w:start w:val="1"/>
      <w:numFmt w:val="lowerRoman"/>
      <w:lvlText w:val="%6."/>
      <w:lvlJc w:val="right"/>
      <w:pPr>
        <w:ind w:left="4320" w:hanging="180"/>
      </w:pPr>
    </w:lvl>
    <w:lvl w:ilvl="6" w:tplc="6F0EDD82" w:tentative="1">
      <w:start w:val="1"/>
      <w:numFmt w:val="decimal"/>
      <w:lvlText w:val="%7."/>
      <w:lvlJc w:val="left"/>
      <w:pPr>
        <w:ind w:left="5040" w:hanging="360"/>
      </w:pPr>
    </w:lvl>
    <w:lvl w:ilvl="7" w:tplc="3CEA3A0A" w:tentative="1">
      <w:start w:val="1"/>
      <w:numFmt w:val="lowerLetter"/>
      <w:lvlText w:val="%8."/>
      <w:lvlJc w:val="left"/>
      <w:pPr>
        <w:ind w:left="5760" w:hanging="360"/>
      </w:pPr>
    </w:lvl>
    <w:lvl w:ilvl="8" w:tplc="1A8838BC" w:tentative="1">
      <w:start w:val="1"/>
      <w:numFmt w:val="lowerRoman"/>
      <w:lvlText w:val="%9."/>
      <w:lvlJc w:val="right"/>
      <w:pPr>
        <w:ind w:left="6480" w:hanging="180"/>
      </w:pPr>
    </w:lvl>
  </w:abstractNum>
  <w:abstractNum w:abstractNumId="2" w15:restartNumberingAfterBreak="0">
    <w:nsid w:val="1ABE1499"/>
    <w:multiLevelType w:val="hybridMultilevel"/>
    <w:tmpl w:val="A5AE7374"/>
    <w:lvl w:ilvl="0" w:tplc="8B72175E">
      <w:start w:val="1"/>
      <w:numFmt w:val="lowerLetter"/>
      <w:lvlText w:val="(%1)"/>
      <w:lvlJc w:val="left"/>
      <w:pPr>
        <w:ind w:left="720" w:hanging="360"/>
      </w:pPr>
      <w:rPr>
        <w:rFonts w:hint="default"/>
      </w:rPr>
    </w:lvl>
    <w:lvl w:ilvl="1" w:tplc="F21E0314" w:tentative="1">
      <w:start w:val="1"/>
      <w:numFmt w:val="lowerLetter"/>
      <w:lvlText w:val="%2."/>
      <w:lvlJc w:val="left"/>
      <w:pPr>
        <w:ind w:left="1440" w:hanging="360"/>
      </w:pPr>
    </w:lvl>
    <w:lvl w:ilvl="2" w:tplc="56DA6C34" w:tentative="1">
      <w:start w:val="1"/>
      <w:numFmt w:val="lowerRoman"/>
      <w:lvlText w:val="%3."/>
      <w:lvlJc w:val="right"/>
      <w:pPr>
        <w:ind w:left="2160" w:hanging="180"/>
      </w:pPr>
    </w:lvl>
    <w:lvl w:ilvl="3" w:tplc="9126F052" w:tentative="1">
      <w:start w:val="1"/>
      <w:numFmt w:val="decimal"/>
      <w:lvlText w:val="%4."/>
      <w:lvlJc w:val="left"/>
      <w:pPr>
        <w:ind w:left="2880" w:hanging="360"/>
      </w:pPr>
    </w:lvl>
    <w:lvl w:ilvl="4" w:tplc="321CED5A" w:tentative="1">
      <w:start w:val="1"/>
      <w:numFmt w:val="lowerLetter"/>
      <w:lvlText w:val="%5."/>
      <w:lvlJc w:val="left"/>
      <w:pPr>
        <w:ind w:left="3600" w:hanging="360"/>
      </w:pPr>
    </w:lvl>
    <w:lvl w:ilvl="5" w:tplc="25E2CCC4" w:tentative="1">
      <w:start w:val="1"/>
      <w:numFmt w:val="lowerRoman"/>
      <w:lvlText w:val="%6."/>
      <w:lvlJc w:val="right"/>
      <w:pPr>
        <w:ind w:left="4320" w:hanging="180"/>
      </w:pPr>
    </w:lvl>
    <w:lvl w:ilvl="6" w:tplc="0B901378" w:tentative="1">
      <w:start w:val="1"/>
      <w:numFmt w:val="decimal"/>
      <w:lvlText w:val="%7."/>
      <w:lvlJc w:val="left"/>
      <w:pPr>
        <w:ind w:left="5040" w:hanging="360"/>
      </w:pPr>
    </w:lvl>
    <w:lvl w:ilvl="7" w:tplc="4A68FD46" w:tentative="1">
      <w:start w:val="1"/>
      <w:numFmt w:val="lowerLetter"/>
      <w:lvlText w:val="%8."/>
      <w:lvlJc w:val="left"/>
      <w:pPr>
        <w:ind w:left="5760" w:hanging="360"/>
      </w:pPr>
    </w:lvl>
    <w:lvl w:ilvl="8" w:tplc="F81A7F60" w:tentative="1">
      <w:start w:val="1"/>
      <w:numFmt w:val="lowerRoman"/>
      <w:lvlText w:val="%9."/>
      <w:lvlJc w:val="right"/>
      <w:pPr>
        <w:ind w:left="6480" w:hanging="180"/>
      </w:pPr>
    </w:lvl>
  </w:abstractNum>
  <w:abstractNum w:abstractNumId="3" w15:restartNumberingAfterBreak="0">
    <w:nsid w:val="29DE545F"/>
    <w:multiLevelType w:val="multilevel"/>
    <w:tmpl w:val="874E2E76"/>
    <w:lvl w:ilvl="0">
      <w:start w:val="1"/>
      <w:numFmt w:val="upperRoman"/>
      <w:pStyle w:val="Titre1"/>
      <w:lvlText w:val="%1."/>
      <w:lvlJc w:val="left"/>
      <w:pPr>
        <w:ind w:left="0" w:firstLine="0"/>
      </w:pPr>
      <w:rPr>
        <w:rFonts w:hint="default"/>
      </w:rPr>
    </w:lvl>
    <w:lvl w:ilvl="1">
      <w:start w:val="1"/>
      <w:numFmt w:val="upperLetter"/>
      <w:pStyle w:val="Titre2"/>
      <w:lvlText w:val="%2."/>
      <w:lvlJc w:val="left"/>
      <w:pPr>
        <w:ind w:left="720" w:firstLine="0"/>
      </w:pPr>
      <w:rPr>
        <w:rFonts w:hint="default"/>
      </w:rPr>
    </w:lvl>
    <w:lvl w:ilvl="2">
      <w:start w:val="1"/>
      <w:numFmt w:val="decimal"/>
      <w:pStyle w:val="Titre3"/>
      <w:lvlText w:val="%3."/>
      <w:lvlJc w:val="left"/>
      <w:pPr>
        <w:ind w:left="1440" w:firstLine="0"/>
      </w:pPr>
      <w:rPr>
        <w:rFonts w:hint="default"/>
        <w:b/>
        <w:bCs w:val="0"/>
        <w:i w:val="0"/>
      </w:rPr>
    </w:lvl>
    <w:lvl w:ilvl="3">
      <w:start w:val="1"/>
      <w:numFmt w:val="lowerLetter"/>
      <w:pStyle w:val="Titre4"/>
      <w:lvlText w:val="%4)"/>
      <w:lvlJc w:val="left"/>
      <w:pPr>
        <w:ind w:left="2160" w:firstLine="0"/>
      </w:pPr>
      <w:rPr>
        <w:rFonts w:hint="default"/>
        <w:b/>
        <w:bCs w:val="0"/>
        <w:i w:val="0"/>
      </w:rPr>
    </w:lvl>
    <w:lvl w:ilvl="4">
      <w:start w:val="1"/>
      <w:numFmt w:val="lowerRoman"/>
      <w:pStyle w:val="Titre5"/>
      <w:lvlText w:val="(%5)"/>
      <w:lvlJc w:val="left"/>
      <w:pPr>
        <w:ind w:left="2880" w:firstLine="0"/>
      </w:pPr>
      <w:rPr>
        <w:rFonts w:hint="default"/>
        <w:b w:val="0"/>
        <w:i w:val="0"/>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4" w15:restartNumberingAfterBreak="0">
    <w:nsid w:val="2BD12CF1"/>
    <w:multiLevelType w:val="multilevel"/>
    <w:tmpl w:val="C91A8326"/>
    <w:lvl w:ilvl="0">
      <w:start w:val="1"/>
      <w:numFmt w:val="decimal"/>
      <w:pStyle w:val="numration"/>
      <w:lvlText w:val="%1)"/>
      <w:lvlJc w:val="left"/>
      <w:pPr>
        <w:tabs>
          <w:tab w:val="num" w:pos="1094"/>
        </w:tabs>
        <w:ind w:left="734" w:firstLine="0"/>
      </w:pPr>
      <w:rPr>
        <w:rFonts w:hint="default"/>
        <w:b w:val="0"/>
        <w:i w:val="0"/>
        <w:sz w:val="24"/>
      </w:rPr>
    </w:lvl>
    <w:lvl w:ilvl="1">
      <w:start w:val="1"/>
      <w:numFmt w:val="decimal"/>
      <w:lvlText w:val="%1.%2."/>
      <w:lvlJc w:val="left"/>
      <w:pPr>
        <w:tabs>
          <w:tab w:val="num" w:pos="1526"/>
        </w:tabs>
        <w:ind w:left="1526" w:hanging="432"/>
      </w:pPr>
    </w:lvl>
    <w:lvl w:ilvl="2">
      <w:start w:val="1"/>
      <w:numFmt w:val="decimal"/>
      <w:lvlText w:val="%1.%2.%3."/>
      <w:lvlJc w:val="left"/>
      <w:pPr>
        <w:tabs>
          <w:tab w:val="num" w:pos="2174"/>
        </w:tabs>
        <w:ind w:left="1958" w:hanging="504"/>
      </w:pPr>
    </w:lvl>
    <w:lvl w:ilvl="3">
      <w:start w:val="1"/>
      <w:numFmt w:val="decimal"/>
      <w:lvlText w:val="%1.%2.%3.%4."/>
      <w:lvlJc w:val="left"/>
      <w:pPr>
        <w:tabs>
          <w:tab w:val="num" w:pos="2462"/>
        </w:tabs>
        <w:ind w:left="2462" w:hanging="648"/>
      </w:pPr>
    </w:lvl>
    <w:lvl w:ilvl="4">
      <w:start w:val="1"/>
      <w:numFmt w:val="decimal"/>
      <w:lvlText w:val="%1.%2.%3.%4.%5."/>
      <w:lvlJc w:val="left"/>
      <w:pPr>
        <w:tabs>
          <w:tab w:val="num" w:pos="3254"/>
        </w:tabs>
        <w:ind w:left="2966" w:hanging="792"/>
      </w:pPr>
    </w:lvl>
    <w:lvl w:ilvl="5">
      <w:start w:val="1"/>
      <w:numFmt w:val="decimal"/>
      <w:lvlText w:val="%1.%2.%3.%4.%5.%6."/>
      <w:lvlJc w:val="left"/>
      <w:pPr>
        <w:tabs>
          <w:tab w:val="num" w:pos="3974"/>
        </w:tabs>
        <w:ind w:left="3470" w:hanging="936"/>
      </w:pPr>
    </w:lvl>
    <w:lvl w:ilvl="6">
      <w:start w:val="1"/>
      <w:numFmt w:val="decimal"/>
      <w:lvlText w:val="%1.%2.%3.%4.%5.%6.%7."/>
      <w:lvlJc w:val="left"/>
      <w:pPr>
        <w:tabs>
          <w:tab w:val="num" w:pos="4334"/>
        </w:tabs>
        <w:ind w:left="3974" w:hanging="1080"/>
      </w:pPr>
    </w:lvl>
    <w:lvl w:ilvl="7">
      <w:start w:val="1"/>
      <w:numFmt w:val="decimal"/>
      <w:lvlText w:val="%1.%2.%3.%4.%5.%6.%7.%8."/>
      <w:lvlJc w:val="left"/>
      <w:pPr>
        <w:tabs>
          <w:tab w:val="num" w:pos="5054"/>
        </w:tabs>
        <w:ind w:left="4478" w:hanging="1224"/>
      </w:pPr>
    </w:lvl>
    <w:lvl w:ilvl="8">
      <w:start w:val="1"/>
      <w:numFmt w:val="decimal"/>
      <w:lvlText w:val="%1.%2.%3.%4.%5.%6.%7.%8.%9."/>
      <w:lvlJc w:val="left"/>
      <w:pPr>
        <w:tabs>
          <w:tab w:val="num" w:pos="5774"/>
        </w:tabs>
        <w:ind w:left="5054" w:hanging="1440"/>
      </w:pPr>
    </w:lvl>
  </w:abstractNum>
  <w:abstractNum w:abstractNumId="5" w15:restartNumberingAfterBreak="0">
    <w:nsid w:val="38D92763"/>
    <w:multiLevelType w:val="hybridMultilevel"/>
    <w:tmpl w:val="8F2C3034"/>
    <w:lvl w:ilvl="0" w:tplc="8D5EDD52">
      <w:numFmt w:val="bullet"/>
      <w:lvlText w:val="-"/>
      <w:lvlJc w:val="left"/>
      <w:pPr>
        <w:ind w:left="1287" w:hanging="360"/>
      </w:pPr>
      <w:rPr>
        <w:rFonts w:ascii="Arial" w:eastAsia="Times New Roman" w:hAnsi="Arial" w:cs="Arial" w:hint="default"/>
      </w:rPr>
    </w:lvl>
    <w:lvl w:ilvl="1" w:tplc="20A0F61E" w:tentative="1">
      <w:start w:val="1"/>
      <w:numFmt w:val="bullet"/>
      <w:lvlText w:val="o"/>
      <w:lvlJc w:val="left"/>
      <w:pPr>
        <w:ind w:left="2007" w:hanging="360"/>
      </w:pPr>
      <w:rPr>
        <w:rFonts w:ascii="Courier New" w:hAnsi="Courier New" w:cs="Courier New" w:hint="default"/>
      </w:rPr>
    </w:lvl>
    <w:lvl w:ilvl="2" w:tplc="82E60F6C" w:tentative="1">
      <w:start w:val="1"/>
      <w:numFmt w:val="bullet"/>
      <w:lvlText w:val=""/>
      <w:lvlJc w:val="left"/>
      <w:pPr>
        <w:ind w:left="2727" w:hanging="360"/>
      </w:pPr>
      <w:rPr>
        <w:rFonts w:ascii="Wingdings" w:hAnsi="Wingdings" w:hint="default"/>
      </w:rPr>
    </w:lvl>
    <w:lvl w:ilvl="3" w:tplc="F802145C" w:tentative="1">
      <w:start w:val="1"/>
      <w:numFmt w:val="bullet"/>
      <w:lvlText w:val=""/>
      <w:lvlJc w:val="left"/>
      <w:pPr>
        <w:ind w:left="3447" w:hanging="360"/>
      </w:pPr>
      <w:rPr>
        <w:rFonts w:ascii="Symbol" w:hAnsi="Symbol" w:hint="default"/>
      </w:rPr>
    </w:lvl>
    <w:lvl w:ilvl="4" w:tplc="5BFC66FC" w:tentative="1">
      <w:start w:val="1"/>
      <w:numFmt w:val="bullet"/>
      <w:lvlText w:val="o"/>
      <w:lvlJc w:val="left"/>
      <w:pPr>
        <w:ind w:left="4167" w:hanging="360"/>
      </w:pPr>
      <w:rPr>
        <w:rFonts w:ascii="Courier New" w:hAnsi="Courier New" w:cs="Courier New" w:hint="default"/>
      </w:rPr>
    </w:lvl>
    <w:lvl w:ilvl="5" w:tplc="3976E4AC" w:tentative="1">
      <w:start w:val="1"/>
      <w:numFmt w:val="bullet"/>
      <w:lvlText w:val=""/>
      <w:lvlJc w:val="left"/>
      <w:pPr>
        <w:ind w:left="4887" w:hanging="360"/>
      </w:pPr>
      <w:rPr>
        <w:rFonts w:ascii="Wingdings" w:hAnsi="Wingdings" w:hint="default"/>
      </w:rPr>
    </w:lvl>
    <w:lvl w:ilvl="6" w:tplc="1C3ED83E" w:tentative="1">
      <w:start w:val="1"/>
      <w:numFmt w:val="bullet"/>
      <w:lvlText w:val=""/>
      <w:lvlJc w:val="left"/>
      <w:pPr>
        <w:ind w:left="5607" w:hanging="360"/>
      </w:pPr>
      <w:rPr>
        <w:rFonts w:ascii="Symbol" w:hAnsi="Symbol" w:hint="default"/>
      </w:rPr>
    </w:lvl>
    <w:lvl w:ilvl="7" w:tplc="86063986" w:tentative="1">
      <w:start w:val="1"/>
      <w:numFmt w:val="bullet"/>
      <w:lvlText w:val="o"/>
      <w:lvlJc w:val="left"/>
      <w:pPr>
        <w:ind w:left="6327" w:hanging="360"/>
      </w:pPr>
      <w:rPr>
        <w:rFonts w:ascii="Courier New" w:hAnsi="Courier New" w:cs="Courier New" w:hint="default"/>
      </w:rPr>
    </w:lvl>
    <w:lvl w:ilvl="8" w:tplc="5B8A47BA" w:tentative="1">
      <w:start w:val="1"/>
      <w:numFmt w:val="bullet"/>
      <w:lvlText w:val=""/>
      <w:lvlJc w:val="left"/>
      <w:pPr>
        <w:ind w:left="7047" w:hanging="360"/>
      </w:pPr>
      <w:rPr>
        <w:rFonts w:ascii="Wingdings" w:hAnsi="Wingdings" w:hint="default"/>
      </w:rPr>
    </w:lvl>
  </w:abstractNum>
  <w:abstractNum w:abstractNumId="6" w15:restartNumberingAfterBreak="0">
    <w:nsid w:val="41534350"/>
    <w:multiLevelType w:val="hybridMultilevel"/>
    <w:tmpl w:val="17FC9A26"/>
    <w:lvl w:ilvl="0" w:tplc="E9888592">
      <w:numFmt w:val="bullet"/>
      <w:lvlText w:val="-"/>
      <w:lvlJc w:val="left"/>
      <w:pPr>
        <w:ind w:left="720" w:hanging="360"/>
      </w:pPr>
      <w:rPr>
        <w:rFonts w:ascii="Arial" w:eastAsia="Times New Roman" w:hAnsi="Arial" w:cs="Arial" w:hint="default"/>
      </w:rPr>
    </w:lvl>
    <w:lvl w:ilvl="1" w:tplc="ADC04AEA" w:tentative="1">
      <w:start w:val="1"/>
      <w:numFmt w:val="bullet"/>
      <w:lvlText w:val="o"/>
      <w:lvlJc w:val="left"/>
      <w:pPr>
        <w:ind w:left="1440" w:hanging="360"/>
      </w:pPr>
      <w:rPr>
        <w:rFonts w:ascii="Courier New" w:hAnsi="Courier New" w:cs="Courier New" w:hint="default"/>
      </w:rPr>
    </w:lvl>
    <w:lvl w:ilvl="2" w:tplc="6972C102" w:tentative="1">
      <w:start w:val="1"/>
      <w:numFmt w:val="bullet"/>
      <w:lvlText w:val=""/>
      <w:lvlJc w:val="left"/>
      <w:pPr>
        <w:ind w:left="2160" w:hanging="360"/>
      </w:pPr>
      <w:rPr>
        <w:rFonts w:ascii="Wingdings" w:hAnsi="Wingdings" w:hint="default"/>
      </w:rPr>
    </w:lvl>
    <w:lvl w:ilvl="3" w:tplc="116A928C" w:tentative="1">
      <w:start w:val="1"/>
      <w:numFmt w:val="bullet"/>
      <w:lvlText w:val=""/>
      <w:lvlJc w:val="left"/>
      <w:pPr>
        <w:ind w:left="2880" w:hanging="360"/>
      </w:pPr>
      <w:rPr>
        <w:rFonts w:ascii="Symbol" w:hAnsi="Symbol" w:hint="default"/>
      </w:rPr>
    </w:lvl>
    <w:lvl w:ilvl="4" w:tplc="6BC49D94" w:tentative="1">
      <w:start w:val="1"/>
      <w:numFmt w:val="bullet"/>
      <w:lvlText w:val="o"/>
      <w:lvlJc w:val="left"/>
      <w:pPr>
        <w:ind w:left="3600" w:hanging="360"/>
      </w:pPr>
      <w:rPr>
        <w:rFonts w:ascii="Courier New" w:hAnsi="Courier New" w:cs="Courier New" w:hint="default"/>
      </w:rPr>
    </w:lvl>
    <w:lvl w:ilvl="5" w:tplc="C470AC5A" w:tentative="1">
      <w:start w:val="1"/>
      <w:numFmt w:val="bullet"/>
      <w:lvlText w:val=""/>
      <w:lvlJc w:val="left"/>
      <w:pPr>
        <w:ind w:left="4320" w:hanging="360"/>
      </w:pPr>
      <w:rPr>
        <w:rFonts w:ascii="Wingdings" w:hAnsi="Wingdings" w:hint="default"/>
      </w:rPr>
    </w:lvl>
    <w:lvl w:ilvl="6" w:tplc="643E250E" w:tentative="1">
      <w:start w:val="1"/>
      <w:numFmt w:val="bullet"/>
      <w:lvlText w:val=""/>
      <w:lvlJc w:val="left"/>
      <w:pPr>
        <w:ind w:left="5040" w:hanging="360"/>
      </w:pPr>
      <w:rPr>
        <w:rFonts w:ascii="Symbol" w:hAnsi="Symbol" w:hint="default"/>
      </w:rPr>
    </w:lvl>
    <w:lvl w:ilvl="7" w:tplc="E80A6E78" w:tentative="1">
      <w:start w:val="1"/>
      <w:numFmt w:val="bullet"/>
      <w:lvlText w:val="o"/>
      <w:lvlJc w:val="left"/>
      <w:pPr>
        <w:ind w:left="5760" w:hanging="360"/>
      </w:pPr>
      <w:rPr>
        <w:rFonts w:ascii="Courier New" w:hAnsi="Courier New" w:cs="Courier New" w:hint="default"/>
      </w:rPr>
    </w:lvl>
    <w:lvl w:ilvl="8" w:tplc="63203542" w:tentative="1">
      <w:start w:val="1"/>
      <w:numFmt w:val="bullet"/>
      <w:lvlText w:val=""/>
      <w:lvlJc w:val="left"/>
      <w:pPr>
        <w:ind w:left="6480" w:hanging="360"/>
      </w:pPr>
      <w:rPr>
        <w:rFonts w:ascii="Wingdings" w:hAnsi="Wingdings" w:hint="default"/>
      </w:rPr>
    </w:lvl>
  </w:abstractNum>
  <w:abstractNum w:abstractNumId="7" w15:restartNumberingAfterBreak="0">
    <w:nsid w:val="5D571815"/>
    <w:multiLevelType w:val="hybridMultilevel"/>
    <w:tmpl w:val="C05ACB58"/>
    <w:lvl w:ilvl="0" w:tplc="8B72175E">
      <w:start w:val="1"/>
      <w:numFmt w:val="lowerLetter"/>
      <w:lvlText w:val="(%1)"/>
      <w:lvlJc w:val="left"/>
      <w:pPr>
        <w:ind w:left="720" w:hanging="360"/>
      </w:pPr>
      <w:rPr>
        <w:rFonts w:hint="default"/>
      </w:rPr>
    </w:lvl>
    <w:lvl w:ilvl="1" w:tplc="4C6ADE8C" w:tentative="1">
      <w:start w:val="1"/>
      <w:numFmt w:val="lowerLetter"/>
      <w:lvlText w:val="%2."/>
      <w:lvlJc w:val="left"/>
      <w:pPr>
        <w:ind w:left="1440" w:hanging="360"/>
      </w:pPr>
    </w:lvl>
    <w:lvl w:ilvl="2" w:tplc="1F72CEE8" w:tentative="1">
      <w:start w:val="1"/>
      <w:numFmt w:val="lowerRoman"/>
      <w:lvlText w:val="%3."/>
      <w:lvlJc w:val="right"/>
      <w:pPr>
        <w:ind w:left="2160" w:hanging="180"/>
      </w:pPr>
    </w:lvl>
    <w:lvl w:ilvl="3" w:tplc="1D8271E8" w:tentative="1">
      <w:start w:val="1"/>
      <w:numFmt w:val="decimal"/>
      <w:lvlText w:val="%4."/>
      <w:lvlJc w:val="left"/>
      <w:pPr>
        <w:ind w:left="2880" w:hanging="360"/>
      </w:pPr>
    </w:lvl>
    <w:lvl w:ilvl="4" w:tplc="2AD0BD5E" w:tentative="1">
      <w:start w:val="1"/>
      <w:numFmt w:val="lowerLetter"/>
      <w:lvlText w:val="%5."/>
      <w:lvlJc w:val="left"/>
      <w:pPr>
        <w:ind w:left="3600" w:hanging="360"/>
      </w:pPr>
    </w:lvl>
    <w:lvl w:ilvl="5" w:tplc="69ECDC66" w:tentative="1">
      <w:start w:val="1"/>
      <w:numFmt w:val="lowerRoman"/>
      <w:lvlText w:val="%6."/>
      <w:lvlJc w:val="right"/>
      <w:pPr>
        <w:ind w:left="4320" w:hanging="180"/>
      </w:pPr>
    </w:lvl>
    <w:lvl w:ilvl="6" w:tplc="D8606B22" w:tentative="1">
      <w:start w:val="1"/>
      <w:numFmt w:val="decimal"/>
      <w:lvlText w:val="%7."/>
      <w:lvlJc w:val="left"/>
      <w:pPr>
        <w:ind w:left="5040" w:hanging="360"/>
      </w:pPr>
    </w:lvl>
    <w:lvl w:ilvl="7" w:tplc="5746A98A" w:tentative="1">
      <w:start w:val="1"/>
      <w:numFmt w:val="lowerLetter"/>
      <w:lvlText w:val="%8."/>
      <w:lvlJc w:val="left"/>
      <w:pPr>
        <w:ind w:left="5760" w:hanging="360"/>
      </w:pPr>
    </w:lvl>
    <w:lvl w:ilvl="8" w:tplc="ADEEFB02" w:tentative="1">
      <w:start w:val="1"/>
      <w:numFmt w:val="lowerRoman"/>
      <w:lvlText w:val="%9."/>
      <w:lvlJc w:val="right"/>
      <w:pPr>
        <w:ind w:left="6480" w:hanging="180"/>
      </w:pPr>
    </w:lvl>
  </w:abstractNum>
  <w:abstractNum w:abstractNumId="8" w15:restartNumberingAfterBreak="0">
    <w:nsid w:val="609C0DCC"/>
    <w:multiLevelType w:val="multilevel"/>
    <w:tmpl w:val="9B8277FE"/>
    <w:lvl w:ilvl="0">
      <w:start w:val="1"/>
      <w:numFmt w:val="decimal"/>
      <w:pStyle w:val="Paragraphe"/>
      <w:lvlText w:val="[%1]"/>
      <w:lvlJc w:val="left"/>
      <w:pPr>
        <w:tabs>
          <w:tab w:val="num" w:pos="360"/>
        </w:tabs>
        <w:ind w:left="0" w:firstLine="0"/>
      </w:pPr>
      <w:rPr>
        <w:rFonts w:ascii="Arial" w:hAnsi="Arial" w:hint="default"/>
        <w:b w:val="0"/>
        <w:bCs w:val="0"/>
        <w:i w:val="0"/>
        <w:color w:val="auto"/>
        <w:sz w:val="24"/>
        <w:lang w:val="en-CA"/>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61553DD8"/>
    <w:multiLevelType w:val="hybridMultilevel"/>
    <w:tmpl w:val="6D1C4548"/>
    <w:lvl w:ilvl="0" w:tplc="4768EA52">
      <w:start w:val="1"/>
      <w:numFmt w:val="bullet"/>
      <w:lvlText w:val=""/>
      <w:lvlJc w:val="left"/>
      <w:pPr>
        <w:ind w:left="720" w:hanging="360"/>
      </w:pPr>
      <w:rPr>
        <w:rFonts w:ascii="Symbol" w:hAnsi="Symbol" w:hint="default"/>
      </w:rPr>
    </w:lvl>
    <w:lvl w:ilvl="1" w:tplc="C968271E" w:tentative="1">
      <w:start w:val="1"/>
      <w:numFmt w:val="bullet"/>
      <w:lvlText w:val="o"/>
      <w:lvlJc w:val="left"/>
      <w:pPr>
        <w:ind w:left="1440" w:hanging="360"/>
      </w:pPr>
      <w:rPr>
        <w:rFonts w:ascii="Courier New" w:hAnsi="Courier New" w:cs="Courier New" w:hint="default"/>
      </w:rPr>
    </w:lvl>
    <w:lvl w:ilvl="2" w:tplc="F600E712" w:tentative="1">
      <w:start w:val="1"/>
      <w:numFmt w:val="bullet"/>
      <w:lvlText w:val=""/>
      <w:lvlJc w:val="left"/>
      <w:pPr>
        <w:ind w:left="2160" w:hanging="360"/>
      </w:pPr>
      <w:rPr>
        <w:rFonts w:ascii="Wingdings" w:hAnsi="Wingdings" w:hint="default"/>
      </w:rPr>
    </w:lvl>
    <w:lvl w:ilvl="3" w:tplc="444CAE42" w:tentative="1">
      <w:start w:val="1"/>
      <w:numFmt w:val="bullet"/>
      <w:lvlText w:val=""/>
      <w:lvlJc w:val="left"/>
      <w:pPr>
        <w:ind w:left="2880" w:hanging="360"/>
      </w:pPr>
      <w:rPr>
        <w:rFonts w:ascii="Symbol" w:hAnsi="Symbol" w:hint="default"/>
      </w:rPr>
    </w:lvl>
    <w:lvl w:ilvl="4" w:tplc="B6C682A2" w:tentative="1">
      <w:start w:val="1"/>
      <w:numFmt w:val="bullet"/>
      <w:lvlText w:val="o"/>
      <w:lvlJc w:val="left"/>
      <w:pPr>
        <w:ind w:left="3600" w:hanging="360"/>
      </w:pPr>
      <w:rPr>
        <w:rFonts w:ascii="Courier New" w:hAnsi="Courier New" w:cs="Courier New" w:hint="default"/>
      </w:rPr>
    </w:lvl>
    <w:lvl w:ilvl="5" w:tplc="1DDCF704" w:tentative="1">
      <w:start w:val="1"/>
      <w:numFmt w:val="bullet"/>
      <w:lvlText w:val=""/>
      <w:lvlJc w:val="left"/>
      <w:pPr>
        <w:ind w:left="4320" w:hanging="360"/>
      </w:pPr>
      <w:rPr>
        <w:rFonts w:ascii="Wingdings" w:hAnsi="Wingdings" w:hint="default"/>
      </w:rPr>
    </w:lvl>
    <w:lvl w:ilvl="6" w:tplc="D658731A" w:tentative="1">
      <w:start w:val="1"/>
      <w:numFmt w:val="bullet"/>
      <w:lvlText w:val=""/>
      <w:lvlJc w:val="left"/>
      <w:pPr>
        <w:ind w:left="5040" w:hanging="360"/>
      </w:pPr>
      <w:rPr>
        <w:rFonts w:ascii="Symbol" w:hAnsi="Symbol" w:hint="default"/>
      </w:rPr>
    </w:lvl>
    <w:lvl w:ilvl="7" w:tplc="4888F164" w:tentative="1">
      <w:start w:val="1"/>
      <w:numFmt w:val="bullet"/>
      <w:lvlText w:val="o"/>
      <w:lvlJc w:val="left"/>
      <w:pPr>
        <w:ind w:left="5760" w:hanging="360"/>
      </w:pPr>
      <w:rPr>
        <w:rFonts w:ascii="Courier New" w:hAnsi="Courier New" w:cs="Courier New" w:hint="default"/>
      </w:rPr>
    </w:lvl>
    <w:lvl w:ilvl="8" w:tplc="26D4EA3C" w:tentative="1">
      <w:start w:val="1"/>
      <w:numFmt w:val="bullet"/>
      <w:lvlText w:val=""/>
      <w:lvlJc w:val="left"/>
      <w:pPr>
        <w:ind w:left="6480" w:hanging="360"/>
      </w:pPr>
      <w:rPr>
        <w:rFonts w:ascii="Wingdings" w:hAnsi="Wingdings" w:hint="default"/>
      </w:rPr>
    </w:lvl>
  </w:abstractNum>
  <w:abstractNum w:abstractNumId="10" w15:restartNumberingAfterBreak="0">
    <w:nsid w:val="647E7722"/>
    <w:multiLevelType w:val="hybridMultilevel"/>
    <w:tmpl w:val="2FAA127A"/>
    <w:lvl w:ilvl="0" w:tplc="E87C8B74">
      <w:start w:val="1"/>
      <w:numFmt w:val="bullet"/>
      <w:lvlText w:val=""/>
      <w:lvlJc w:val="left"/>
      <w:pPr>
        <w:ind w:left="720" w:hanging="360"/>
      </w:pPr>
      <w:rPr>
        <w:rFonts w:ascii="Symbol" w:hAnsi="Symbol" w:hint="default"/>
      </w:rPr>
    </w:lvl>
    <w:lvl w:ilvl="1" w:tplc="7930C0DE" w:tentative="1">
      <w:start w:val="1"/>
      <w:numFmt w:val="bullet"/>
      <w:lvlText w:val="o"/>
      <w:lvlJc w:val="left"/>
      <w:pPr>
        <w:ind w:left="1440" w:hanging="360"/>
      </w:pPr>
      <w:rPr>
        <w:rFonts w:ascii="Courier New" w:hAnsi="Courier New" w:cs="Courier New" w:hint="default"/>
      </w:rPr>
    </w:lvl>
    <w:lvl w:ilvl="2" w:tplc="B1DA9412" w:tentative="1">
      <w:start w:val="1"/>
      <w:numFmt w:val="bullet"/>
      <w:lvlText w:val=""/>
      <w:lvlJc w:val="left"/>
      <w:pPr>
        <w:ind w:left="2160" w:hanging="360"/>
      </w:pPr>
      <w:rPr>
        <w:rFonts w:ascii="Wingdings" w:hAnsi="Wingdings" w:hint="default"/>
      </w:rPr>
    </w:lvl>
    <w:lvl w:ilvl="3" w:tplc="0E7027BA" w:tentative="1">
      <w:start w:val="1"/>
      <w:numFmt w:val="bullet"/>
      <w:lvlText w:val=""/>
      <w:lvlJc w:val="left"/>
      <w:pPr>
        <w:ind w:left="2880" w:hanging="360"/>
      </w:pPr>
      <w:rPr>
        <w:rFonts w:ascii="Symbol" w:hAnsi="Symbol" w:hint="default"/>
      </w:rPr>
    </w:lvl>
    <w:lvl w:ilvl="4" w:tplc="74A427B0" w:tentative="1">
      <w:start w:val="1"/>
      <w:numFmt w:val="bullet"/>
      <w:lvlText w:val="o"/>
      <w:lvlJc w:val="left"/>
      <w:pPr>
        <w:ind w:left="3600" w:hanging="360"/>
      </w:pPr>
      <w:rPr>
        <w:rFonts w:ascii="Courier New" w:hAnsi="Courier New" w:cs="Courier New" w:hint="default"/>
      </w:rPr>
    </w:lvl>
    <w:lvl w:ilvl="5" w:tplc="D338B964" w:tentative="1">
      <w:start w:val="1"/>
      <w:numFmt w:val="bullet"/>
      <w:lvlText w:val=""/>
      <w:lvlJc w:val="left"/>
      <w:pPr>
        <w:ind w:left="4320" w:hanging="360"/>
      </w:pPr>
      <w:rPr>
        <w:rFonts w:ascii="Wingdings" w:hAnsi="Wingdings" w:hint="default"/>
      </w:rPr>
    </w:lvl>
    <w:lvl w:ilvl="6" w:tplc="DC4CF150" w:tentative="1">
      <w:start w:val="1"/>
      <w:numFmt w:val="bullet"/>
      <w:lvlText w:val=""/>
      <w:lvlJc w:val="left"/>
      <w:pPr>
        <w:ind w:left="5040" w:hanging="360"/>
      </w:pPr>
      <w:rPr>
        <w:rFonts w:ascii="Symbol" w:hAnsi="Symbol" w:hint="default"/>
      </w:rPr>
    </w:lvl>
    <w:lvl w:ilvl="7" w:tplc="489614DA" w:tentative="1">
      <w:start w:val="1"/>
      <w:numFmt w:val="bullet"/>
      <w:lvlText w:val="o"/>
      <w:lvlJc w:val="left"/>
      <w:pPr>
        <w:ind w:left="5760" w:hanging="360"/>
      </w:pPr>
      <w:rPr>
        <w:rFonts w:ascii="Courier New" w:hAnsi="Courier New" w:cs="Courier New" w:hint="default"/>
      </w:rPr>
    </w:lvl>
    <w:lvl w:ilvl="8" w:tplc="46140510" w:tentative="1">
      <w:start w:val="1"/>
      <w:numFmt w:val="bullet"/>
      <w:lvlText w:val=""/>
      <w:lvlJc w:val="left"/>
      <w:pPr>
        <w:ind w:left="6480" w:hanging="360"/>
      </w:pPr>
      <w:rPr>
        <w:rFonts w:ascii="Wingdings" w:hAnsi="Wingdings" w:hint="default"/>
      </w:rPr>
    </w:lvl>
  </w:abstractNum>
  <w:abstractNum w:abstractNumId="11" w15:restartNumberingAfterBreak="0">
    <w:nsid w:val="697B4E72"/>
    <w:multiLevelType w:val="hybridMultilevel"/>
    <w:tmpl w:val="6B60D694"/>
    <w:lvl w:ilvl="0" w:tplc="7EACFF54">
      <w:start w:val="1"/>
      <w:numFmt w:val="bullet"/>
      <w:lvlText w:val=""/>
      <w:lvlJc w:val="left"/>
      <w:pPr>
        <w:ind w:left="720" w:hanging="360"/>
      </w:pPr>
      <w:rPr>
        <w:rFonts w:ascii="Symbol" w:hAnsi="Symbol" w:hint="default"/>
      </w:rPr>
    </w:lvl>
    <w:lvl w:ilvl="1" w:tplc="D7383F0C" w:tentative="1">
      <w:start w:val="1"/>
      <w:numFmt w:val="bullet"/>
      <w:lvlText w:val="o"/>
      <w:lvlJc w:val="left"/>
      <w:pPr>
        <w:ind w:left="1440" w:hanging="360"/>
      </w:pPr>
      <w:rPr>
        <w:rFonts w:ascii="Courier New" w:hAnsi="Courier New" w:cs="Courier New" w:hint="default"/>
      </w:rPr>
    </w:lvl>
    <w:lvl w:ilvl="2" w:tplc="FFD42950" w:tentative="1">
      <w:start w:val="1"/>
      <w:numFmt w:val="bullet"/>
      <w:lvlText w:val=""/>
      <w:lvlJc w:val="left"/>
      <w:pPr>
        <w:ind w:left="2160" w:hanging="360"/>
      </w:pPr>
      <w:rPr>
        <w:rFonts w:ascii="Wingdings" w:hAnsi="Wingdings" w:hint="default"/>
      </w:rPr>
    </w:lvl>
    <w:lvl w:ilvl="3" w:tplc="3E5231B0" w:tentative="1">
      <w:start w:val="1"/>
      <w:numFmt w:val="bullet"/>
      <w:lvlText w:val=""/>
      <w:lvlJc w:val="left"/>
      <w:pPr>
        <w:ind w:left="2880" w:hanging="360"/>
      </w:pPr>
      <w:rPr>
        <w:rFonts w:ascii="Symbol" w:hAnsi="Symbol" w:hint="default"/>
      </w:rPr>
    </w:lvl>
    <w:lvl w:ilvl="4" w:tplc="A582E0AE" w:tentative="1">
      <w:start w:val="1"/>
      <w:numFmt w:val="bullet"/>
      <w:lvlText w:val="o"/>
      <w:lvlJc w:val="left"/>
      <w:pPr>
        <w:ind w:left="3600" w:hanging="360"/>
      </w:pPr>
      <w:rPr>
        <w:rFonts w:ascii="Courier New" w:hAnsi="Courier New" w:cs="Courier New" w:hint="default"/>
      </w:rPr>
    </w:lvl>
    <w:lvl w:ilvl="5" w:tplc="04C2F70A" w:tentative="1">
      <w:start w:val="1"/>
      <w:numFmt w:val="bullet"/>
      <w:lvlText w:val=""/>
      <w:lvlJc w:val="left"/>
      <w:pPr>
        <w:ind w:left="4320" w:hanging="360"/>
      </w:pPr>
      <w:rPr>
        <w:rFonts w:ascii="Wingdings" w:hAnsi="Wingdings" w:hint="default"/>
      </w:rPr>
    </w:lvl>
    <w:lvl w:ilvl="6" w:tplc="BF32753A" w:tentative="1">
      <w:start w:val="1"/>
      <w:numFmt w:val="bullet"/>
      <w:lvlText w:val=""/>
      <w:lvlJc w:val="left"/>
      <w:pPr>
        <w:ind w:left="5040" w:hanging="360"/>
      </w:pPr>
      <w:rPr>
        <w:rFonts w:ascii="Symbol" w:hAnsi="Symbol" w:hint="default"/>
      </w:rPr>
    </w:lvl>
    <w:lvl w:ilvl="7" w:tplc="B8344D5A" w:tentative="1">
      <w:start w:val="1"/>
      <w:numFmt w:val="bullet"/>
      <w:lvlText w:val="o"/>
      <w:lvlJc w:val="left"/>
      <w:pPr>
        <w:ind w:left="5760" w:hanging="360"/>
      </w:pPr>
      <w:rPr>
        <w:rFonts w:ascii="Courier New" w:hAnsi="Courier New" w:cs="Courier New" w:hint="default"/>
      </w:rPr>
    </w:lvl>
    <w:lvl w:ilvl="8" w:tplc="E730B676" w:tentative="1">
      <w:start w:val="1"/>
      <w:numFmt w:val="bullet"/>
      <w:lvlText w:val=""/>
      <w:lvlJc w:val="left"/>
      <w:pPr>
        <w:ind w:left="6480" w:hanging="360"/>
      </w:pPr>
      <w:rPr>
        <w:rFonts w:ascii="Wingdings" w:hAnsi="Wingdings" w:hint="default"/>
      </w:rPr>
    </w:lvl>
  </w:abstractNum>
  <w:abstractNum w:abstractNumId="12" w15:restartNumberingAfterBreak="0">
    <w:nsid w:val="6F7A6BF2"/>
    <w:multiLevelType w:val="hybridMultilevel"/>
    <w:tmpl w:val="DEBA2DFC"/>
    <w:lvl w:ilvl="0" w:tplc="91AE3626">
      <w:start w:val="1"/>
      <w:numFmt w:val="bullet"/>
      <w:lvlText w:val=""/>
      <w:lvlJc w:val="left"/>
      <w:pPr>
        <w:ind w:left="720" w:hanging="360"/>
      </w:pPr>
      <w:rPr>
        <w:rFonts w:ascii="Symbol" w:hAnsi="Symbol" w:hint="default"/>
      </w:rPr>
    </w:lvl>
    <w:lvl w:ilvl="1" w:tplc="A89A89A2" w:tentative="1">
      <w:start w:val="1"/>
      <w:numFmt w:val="bullet"/>
      <w:lvlText w:val="o"/>
      <w:lvlJc w:val="left"/>
      <w:pPr>
        <w:ind w:left="1440" w:hanging="360"/>
      </w:pPr>
      <w:rPr>
        <w:rFonts w:ascii="Courier New" w:hAnsi="Courier New" w:cs="Courier New" w:hint="default"/>
      </w:rPr>
    </w:lvl>
    <w:lvl w:ilvl="2" w:tplc="828E2726" w:tentative="1">
      <w:start w:val="1"/>
      <w:numFmt w:val="bullet"/>
      <w:lvlText w:val=""/>
      <w:lvlJc w:val="left"/>
      <w:pPr>
        <w:ind w:left="2160" w:hanging="360"/>
      </w:pPr>
      <w:rPr>
        <w:rFonts w:ascii="Wingdings" w:hAnsi="Wingdings" w:hint="default"/>
      </w:rPr>
    </w:lvl>
    <w:lvl w:ilvl="3" w:tplc="242E779E" w:tentative="1">
      <w:start w:val="1"/>
      <w:numFmt w:val="bullet"/>
      <w:lvlText w:val=""/>
      <w:lvlJc w:val="left"/>
      <w:pPr>
        <w:ind w:left="2880" w:hanging="360"/>
      </w:pPr>
      <w:rPr>
        <w:rFonts w:ascii="Symbol" w:hAnsi="Symbol" w:hint="default"/>
      </w:rPr>
    </w:lvl>
    <w:lvl w:ilvl="4" w:tplc="656A00A2" w:tentative="1">
      <w:start w:val="1"/>
      <w:numFmt w:val="bullet"/>
      <w:lvlText w:val="o"/>
      <w:lvlJc w:val="left"/>
      <w:pPr>
        <w:ind w:left="3600" w:hanging="360"/>
      </w:pPr>
      <w:rPr>
        <w:rFonts w:ascii="Courier New" w:hAnsi="Courier New" w:cs="Courier New" w:hint="default"/>
      </w:rPr>
    </w:lvl>
    <w:lvl w:ilvl="5" w:tplc="9AEA72F0" w:tentative="1">
      <w:start w:val="1"/>
      <w:numFmt w:val="bullet"/>
      <w:lvlText w:val=""/>
      <w:lvlJc w:val="left"/>
      <w:pPr>
        <w:ind w:left="4320" w:hanging="360"/>
      </w:pPr>
      <w:rPr>
        <w:rFonts w:ascii="Wingdings" w:hAnsi="Wingdings" w:hint="default"/>
      </w:rPr>
    </w:lvl>
    <w:lvl w:ilvl="6" w:tplc="D06EA70A" w:tentative="1">
      <w:start w:val="1"/>
      <w:numFmt w:val="bullet"/>
      <w:lvlText w:val=""/>
      <w:lvlJc w:val="left"/>
      <w:pPr>
        <w:ind w:left="5040" w:hanging="360"/>
      </w:pPr>
      <w:rPr>
        <w:rFonts w:ascii="Symbol" w:hAnsi="Symbol" w:hint="default"/>
      </w:rPr>
    </w:lvl>
    <w:lvl w:ilvl="7" w:tplc="9D1252C4" w:tentative="1">
      <w:start w:val="1"/>
      <w:numFmt w:val="bullet"/>
      <w:lvlText w:val="o"/>
      <w:lvlJc w:val="left"/>
      <w:pPr>
        <w:ind w:left="5760" w:hanging="360"/>
      </w:pPr>
      <w:rPr>
        <w:rFonts w:ascii="Courier New" w:hAnsi="Courier New" w:cs="Courier New" w:hint="default"/>
      </w:rPr>
    </w:lvl>
    <w:lvl w:ilvl="8" w:tplc="94529800" w:tentative="1">
      <w:start w:val="1"/>
      <w:numFmt w:val="bullet"/>
      <w:lvlText w:val=""/>
      <w:lvlJc w:val="left"/>
      <w:pPr>
        <w:ind w:left="6480" w:hanging="360"/>
      </w:pPr>
      <w:rPr>
        <w:rFonts w:ascii="Wingdings" w:hAnsi="Wingdings" w:hint="default"/>
      </w:rPr>
    </w:lvl>
  </w:abstractNum>
  <w:abstractNum w:abstractNumId="13" w15:restartNumberingAfterBreak="0">
    <w:nsid w:val="7B7469E9"/>
    <w:multiLevelType w:val="hybridMultilevel"/>
    <w:tmpl w:val="A9F6BA64"/>
    <w:lvl w:ilvl="0" w:tplc="60AAD9DC">
      <w:start w:val="1"/>
      <w:numFmt w:val="lowerLetter"/>
      <w:lvlText w:val="%1)"/>
      <w:lvlJc w:val="left"/>
      <w:pPr>
        <w:ind w:left="720" w:hanging="360"/>
      </w:pPr>
    </w:lvl>
    <w:lvl w:ilvl="1" w:tplc="623C34F4" w:tentative="1">
      <w:start w:val="1"/>
      <w:numFmt w:val="lowerLetter"/>
      <w:lvlText w:val="%2."/>
      <w:lvlJc w:val="left"/>
      <w:pPr>
        <w:ind w:left="1440" w:hanging="360"/>
      </w:pPr>
    </w:lvl>
    <w:lvl w:ilvl="2" w:tplc="E19A8F2C" w:tentative="1">
      <w:start w:val="1"/>
      <w:numFmt w:val="lowerRoman"/>
      <w:lvlText w:val="%3."/>
      <w:lvlJc w:val="right"/>
      <w:pPr>
        <w:ind w:left="2160" w:hanging="180"/>
      </w:pPr>
    </w:lvl>
    <w:lvl w:ilvl="3" w:tplc="1FF2E25C" w:tentative="1">
      <w:start w:val="1"/>
      <w:numFmt w:val="decimal"/>
      <w:lvlText w:val="%4."/>
      <w:lvlJc w:val="left"/>
      <w:pPr>
        <w:ind w:left="2880" w:hanging="360"/>
      </w:pPr>
    </w:lvl>
    <w:lvl w:ilvl="4" w:tplc="654A2652" w:tentative="1">
      <w:start w:val="1"/>
      <w:numFmt w:val="lowerLetter"/>
      <w:lvlText w:val="%5."/>
      <w:lvlJc w:val="left"/>
      <w:pPr>
        <w:ind w:left="3600" w:hanging="360"/>
      </w:pPr>
    </w:lvl>
    <w:lvl w:ilvl="5" w:tplc="9AD8D87C" w:tentative="1">
      <w:start w:val="1"/>
      <w:numFmt w:val="lowerRoman"/>
      <w:lvlText w:val="%6."/>
      <w:lvlJc w:val="right"/>
      <w:pPr>
        <w:ind w:left="4320" w:hanging="180"/>
      </w:pPr>
    </w:lvl>
    <w:lvl w:ilvl="6" w:tplc="D0643F10" w:tentative="1">
      <w:start w:val="1"/>
      <w:numFmt w:val="decimal"/>
      <w:lvlText w:val="%7."/>
      <w:lvlJc w:val="left"/>
      <w:pPr>
        <w:ind w:left="5040" w:hanging="360"/>
      </w:pPr>
    </w:lvl>
    <w:lvl w:ilvl="7" w:tplc="9EBC1C4E" w:tentative="1">
      <w:start w:val="1"/>
      <w:numFmt w:val="lowerLetter"/>
      <w:lvlText w:val="%8."/>
      <w:lvlJc w:val="left"/>
      <w:pPr>
        <w:ind w:left="5760" w:hanging="360"/>
      </w:pPr>
    </w:lvl>
    <w:lvl w:ilvl="8" w:tplc="2EEEBF62" w:tentative="1">
      <w:start w:val="1"/>
      <w:numFmt w:val="lowerRoman"/>
      <w:lvlText w:val="%9."/>
      <w:lvlJc w:val="right"/>
      <w:pPr>
        <w:ind w:left="6480" w:hanging="180"/>
      </w:pPr>
    </w:lvl>
  </w:abstractNum>
  <w:abstractNum w:abstractNumId="14" w15:restartNumberingAfterBreak="0">
    <w:nsid w:val="7D8233ED"/>
    <w:multiLevelType w:val="hybridMultilevel"/>
    <w:tmpl w:val="90B86E06"/>
    <w:lvl w:ilvl="0" w:tplc="FC2A5F6E">
      <w:numFmt w:val="bullet"/>
      <w:lvlText w:val="-"/>
      <w:lvlJc w:val="left"/>
      <w:pPr>
        <w:ind w:left="720" w:hanging="360"/>
      </w:pPr>
      <w:rPr>
        <w:rFonts w:ascii="Arial" w:eastAsia="Times New Roman" w:hAnsi="Arial" w:cs="Arial" w:hint="default"/>
      </w:rPr>
    </w:lvl>
    <w:lvl w:ilvl="1" w:tplc="7BE21E6E" w:tentative="1">
      <w:start w:val="1"/>
      <w:numFmt w:val="bullet"/>
      <w:lvlText w:val="o"/>
      <w:lvlJc w:val="left"/>
      <w:pPr>
        <w:ind w:left="1440" w:hanging="360"/>
      </w:pPr>
      <w:rPr>
        <w:rFonts w:ascii="Courier New" w:hAnsi="Courier New" w:cs="Courier New" w:hint="default"/>
      </w:rPr>
    </w:lvl>
    <w:lvl w:ilvl="2" w:tplc="CAEE8750" w:tentative="1">
      <w:start w:val="1"/>
      <w:numFmt w:val="bullet"/>
      <w:lvlText w:val=""/>
      <w:lvlJc w:val="left"/>
      <w:pPr>
        <w:ind w:left="2160" w:hanging="360"/>
      </w:pPr>
      <w:rPr>
        <w:rFonts w:ascii="Wingdings" w:hAnsi="Wingdings" w:hint="default"/>
      </w:rPr>
    </w:lvl>
    <w:lvl w:ilvl="3" w:tplc="935E2B1A" w:tentative="1">
      <w:start w:val="1"/>
      <w:numFmt w:val="bullet"/>
      <w:lvlText w:val=""/>
      <w:lvlJc w:val="left"/>
      <w:pPr>
        <w:ind w:left="2880" w:hanging="360"/>
      </w:pPr>
      <w:rPr>
        <w:rFonts w:ascii="Symbol" w:hAnsi="Symbol" w:hint="default"/>
      </w:rPr>
    </w:lvl>
    <w:lvl w:ilvl="4" w:tplc="04548096" w:tentative="1">
      <w:start w:val="1"/>
      <w:numFmt w:val="bullet"/>
      <w:lvlText w:val="o"/>
      <w:lvlJc w:val="left"/>
      <w:pPr>
        <w:ind w:left="3600" w:hanging="360"/>
      </w:pPr>
      <w:rPr>
        <w:rFonts w:ascii="Courier New" w:hAnsi="Courier New" w:cs="Courier New" w:hint="default"/>
      </w:rPr>
    </w:lvl>
    <w:lvl w:ilvl="5" w:tplc="9A006E72" w:tentative="1">
      <w:start w:val="1"/>
      <w:numFmt w:val="bullet"/>
      <w:lvlText w:val=""/>
      <w:lvlJc w:val="left"/>
      <w:pPr>
        <w:ind w:left="4320" w:hanging="360"/>
      </w:pPr>
      <w:rPr>
        <w:rFonts w:ascii="Wingdings" w:hAnsi="Wingdings" w:hint="default"/>
      </w:rPr>
    </w:lvl>
    <w:lvl w:ilvl="6" w:tplc="A0C070E6" w:tentative="1">
      <w:start w:val="1"/>
      <w:numFmt w:val="bullet"/>
      <w:lvlText w:val=""/>
      <w:lvlJc w:val="left"/>
      <w:pPr>
        <w:ind w:left="5040" w:hanging="360"/>
      </w:pPr>
      <w:rPr>
        <w:rFonts w:ascii="Symbol" w:hAnsi="Symbol" w:hint="default"/>
      </w:rPr>
    </w:lvl>
    <w:lvl w:ilvl="7" w:tplc="A5E6EF68" w:tentative="1">
      <w:start w:val="1"/>
      <w:numFmt w:val="bullet"/>
      <w:lvlText w:val="o"/>
      <w:lvlJc w:val="left"/>
      <w:pPr>
        <w:ind w:left="5760" w:hanging="360"/>
      </w:pPr>
      <w:rPr>
        <w:rFonts w:ascii="Courier New" w:hAnsi="Courier New" w:cs="Courier New" w:hint="default"/>
      </w:rPr>
    </w:lvl>
    <w:lvl w:ilvl="8" w:tplc="09B826A4" w:tentative="1">
      <w:start w:val="1"/>
      <w:numFmt w:val="bullet"/>
      <w:lvlText w:val=""/>
      <w:lvlJc w:val="left"/>
      <w:pPr>
        <w:ind w:left="6480" w:hanging="360"/>
      </w:pPr>
      <w:rPr>
        <w:rFonts w:ascii="Wingdings" w:hAnsi="Wingdings" w:hint="default"/>
      </w:rPr>
    </w:lvl>
  </w:abstractNum>
  <w:num w:numId="1" w16cid:durableId="575014309">
    <w:abstractNumId w:val="8"/>
  </w:num>
  <w:num w:numId="2" w16cid:durableId="1221750403">
    <w:abstractNumId w:val="8"/>
  </w:num>
  <w:num w:numId="3" w16cid:durableId="933631188">
    <w:abstractNumId w:val="4"/>
  </w:num>
  <w:num w:numId="4" w16cid:durableId="138500862">
    <w:abstractNumId w:val="3"/>
  </w:num>
  <w:num w:numId="5" w16cid:durableId="1989481576">
    <w:abstractNumId w:val="1"/>
  </w:num>
  <w:num w:numId="6" w16cid:durableId="951328451">
    <w:abstractNumId w:val="9"/>
  </w:num>
  <w:num w:numId="7" w16cid:durableId="839392682">
    <w:abstractNumId w:val="5"/>
  </w:num>
  <w:num w:numId="8" w16cid:durableId="1834835606">
    <w:abstractNumId w:val="11"/>
  </w:num>
  <w:num w:numId="9" w16cid:durableId="99646235">
    <w:abstractNumId w:val="14"/>
  </w:num>
  <w:num w:numId="10" w16cid:durableId="1100905775">
    <w:abstractNumId w:val="6"/>
  </w:num>
  <w:num w:numId="11" w16cid:durableId="1991321628">
    <w:abstractNumId w:val="12"/>
  </w:num>
  <w:num w:numId="12" w16cid:durableId="106316689">
    <w:abstractNumId w:val="10"/>
  </w:num>
  <w:num w:numId="13" w16cid:durableId="1949701734">
    <w:abstractNumId w:val="13"/>
  </w:num>
  <w:num w:numId="14" w16cid:durableId="1260873400">
    <w:abstractNumId w:val="7"/>
  </w:num>
  <w:num w:numId="15" w16cid:durableId="1177693372">
    <w:abstractNumId w:val="8"/>
  </w:num>
  <w:num w:numId="16" w16cid:durableId="731319746">
    <w:abstractNumId w:val="8"/>
  </w:num>
  <w:num w:numId="17" w16cid:durableId="1039085978">
    <w:abstractNumId w:val="8"/>
  </w:num>
  <w:num w:numId="18" w16cid:durableId="1730958897">
    <w:abstractNumId w:val="8"/>
  </w:num>
  <w:num w:numId="19" w16cid:durableId="1853566813">
    <w:abstractNumId w:val="8"/>
  </w:num>
  <w:num w:numId="20" w16cid:durableId="982124646">
    <w:abstractNumId w:val="8"/>
  </w:num>
  <w:num w:numId="21" w16cid:durableId="2014407589">
    <w:abstractNumId w:val="2"/>
  </w:num>
  <w:num w:numId="22" w16cid:durableId="1639259028">
    <w:abstractNumId w:val="8"/>
  </w:num>
  <w:num w:numId="23" w16cid:durableId="1528713602">
    <w:abstractNumId w:val="3"/>
  </w:num>
  <w:num w:numId="24" w16cid:durableId="554127443">
    <w:abstractNumId w:val="3"/>
  </w:num>
  <w:num w:numId="25" w16cid:durableId="2110151913">
    <w:abstractNumId w:val="3"/>
  </w:num>
  <w:num w:numId="26" w16cid:durableId="52432343">
    <w:abstractNumId w:val="3"/>
  </w:num>
  <w:num w:numId="27" w16cid:durableId="610674234">
    <w:abstractNumId w:val="0"/>
  </w:num>
  <w:num w:numId="28" w16cid:durableId="1205407229">
    <w:abstractNumId w:val="8"/>
  </w:num>
  <w:num w:numId="29" w16cid:durableId="960261377">
    <w:abstractNumId w:val="8"/>
  </w:num>
  <w:num w:numId="30" w16cid:durableId="1125928587">
    <w:abstractNumId w:val="8"/>
  </w:num>
  <w:num w:numId="31" w16cid:durableId="97787834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BE"/>
    <w:rsid w:val="00001547"/>
    <w:rsid w:val="000025FB"/>
    <w:rsid w:val="00012593"/>
    <w:rsid w:val="000249C8"/>
    <w:rsid w:val="0002533F"/>
    <w:rsid w:val="00025BB7"/>
    <w:rsid w:val="00027A54"/>
    <w:rsid w:val="00027FB0"/>
    <w:rsid w:val="00035F53"/>
    <w:rsid w:val="0003737C"/>
    <w:rsid w:val="00037D95"/>
    <w:rsid w:val="0004053B"/>
    <w:rsid w:val="00042D10"/>
    <w:rsid w:val="00043EE2"/>
    <w:rsid w:val="000468A5"/>
    <w:rsid w:val="00047531"/>
    <w:rsid w:val="00050DA1"/>
    <w:rsid w:val="0005254A"/>
    <w:rsid w:val="00053BFB"/>
    <w:rsid w:val="00054284"/>
    <w:rsid w:val="00054EAD"/>
    <w:rsid w:val="0005676D"/>
    <w:rsid w:val="0006029B"/>
    <w:rsid w:val="00062A1F"/>
    <w:rsid w:val="000634F0"/>
    <w:rsid w:val="0006366B"/>
    <w:rsid w:val="00063DA7"/>
    <w:rsid w:val="000646E6"/>
    <w:rsid w:val="00067450"/>
    <w:rsid w:val="00067A54"/>
    <w:rsid w:val="00075867"/>
    <w:rsid w:val="00076F57"/>
    <w:rsid w:val="0008074D"/>
    <w:rsid w:val="00080E89"/>
    <w:rsid w:val="00081747"/>
    <w:rsid w:val="000818EF"/>
    <w:rsid w:val="000824FD"/>
    <w:rsid w:val="00084772"/>
    <w:rsid w:val="0008511F"/>
    <w:rsid w:val="00085973"/>
    <w:rsid w:val="000870FF"/>
    <w:rsid w:val="00092503"/>
    <w:rsid w:val="000A2CEC"/>
    <w:rsid w:val="000A31BB"/>
    <w:rsid w:val="000A3F32"/>
    <w:rsid w:val="000A4448"/>
    <w:rsid w:val="000A6176"/>
    <w:rsid w:val="000A6CF2"/>
    <w:rsid w:val="000A754F"/>
    <w:rsid w:val="000B0C93"/>
    <w:rsid w:val="000B364F"/>
    <w:rsid w:val="000B42A5"/>
    <w:rsid w:val="000B4757"/>
    <w:rsid w:val="000B57D5"/>
    <w:rsid w:val="000B76AD"/>
    <w:rsid w:val="000C28D1"/>
    <w:rsid w:val="000C347F"/>
    <w:rsid w:val="000C3F74"/>
    <w:rsid w:val="000C6799"/>
    <w:rsid w:val="000C7C79"/>
    <w:rsid w:val="000D06F6"/>
    <w:rsid w:val="000D2675"/>
    <w:rsid w:val="000D2B6C"/>
    <w:rsid w:val="000D56A9"/>
    <w:rsid w:val="000D65DE"/>
    <w:rsid w:val="000D71B6"/>
    <w:rsid w:val="000E2B5A"/>
    <w:rsid w:val="000E3DCA"/>
    <w:rsid w:val="000E699D"/>
    <w:rsid w:val="000E73B7"/>
    <w:rsid w:val="000E75E5"/>
    <w:rsid w:val="000E77A7"/>
    <w:rsid w:val="000F2A9E"/>
    <w:rsid w:val="001000B2"/>
    <w:rsid w:val="001004B8"/>
    <w:rsid w:val="00100A94"/>
    <w:rsid w:val="00100EBF"/>
    <w:rsid w:val="001022A5"/>
    <w:rsid w:val="00105E88"/>
    <w:rsid w:val="00106394"/>
    <w:rsid w:val="00110E24"/>
    <w:rsid w:val="0011780A"/>
    <w:rsid w:val="00117A60"/>
    <w:rsid w:val="00121F0D"/>
    <w:rsid w:val="001227B1"/>
    <w:rsid w:val="001229FC"/>
    <w:rsid w:val="00123A44"/>
    <w:rsid w:val="0012461E"/>
    <w:rsid w:val="00124FED"/>
    <w:rsid w:val="00130A41"/>
    <w:rsid w:val="0013463A"/>
    <w:rsid w:val="00134BBE"/>
    <w:rsid w:val="0013783E"/>
    <w:rsid w:val="00142DCE"/>
    <w:rsid w:val="00144687"/>
    <w:rsid w:val="001455DB"/>
    <w:rsid w:val="00146E14"/>
    <w:rsid w:val="00147A04"/>
    <w:rsid w:val="00154273"/>
    <w:rsid w:val="00154479"/>
    <w:rsid w:val="00154DDE"/>
    <w:rsid w:val="00155D19"/>
    <w:rsid w:val="00155FCA"/>
    <w:rsid w:val="001569E1"/>
    <w:rsid w:val="001618D5"/>
    <w:rsid w:val="00163332"/>
    <w:rsid w:val="00163C7A"/>
    <w:rsid w:val="001665B6"/>
    <w:rsid w:val="001721B2"/>
    <w:rsid w:val="00176AE4"/>
    <w:rsid w:val="00176E31"/>
    <w:rsid w:val="00181AF0"/>
    <w:rsid w:val="00182E94"/>
    <w:rsid w:val="001834C5"/>
    <w:rsid w:val="001845B0"/>
    <w:rsid w:val="00184747"/>
    <w:rsid w:val="00190D63"/>
    <w:rsid w:val="00191A6B"/>
    <w:rsid w:val="00195549"/>
    <w:rsid w:val="001972C5"/>
    <w:rsid w:val="001A12AE"/>
    <w:rsid w:val="001A569E"/>
    <w:rsid w:val="001B3B5C"/>
    <w:rsid w:val="001B4E3B"/>
    <w:rsid w:val="001B7200"/>
    <w:rsid w:val="001C114B"/>
    <w:rsid w:val="001C1363"/>
    <w:rsid w:val="001C1F06"/>
    <w:rsid w:val="001C2114"/>
    <w:rsid w:val="001C3F34"/>
    <w:rsid w:val="001C461E"/>
    <w:rsid w:val="001C65B5"/>
    <w:rsid w:val="001C7583"/>
    <w:rsid w:val="001D0C53"/>
    <w:rsid w:val="001D592B"/>
    <w:rsid w:val="001D7737"/>
    <w:rsid w:val="001E78F3"/>
    <w:rsid w:val="001F1668"/>
    <w:rsid w:val="001F28E8"/>
    <w:rsid w:val="001F2A91"/>
    <w:rsid w:val="001F2C66"/>
    <w:rsid w:val="002003C1"/>
    <w:rsid w:val="00201813"/>
    <w:rsid w:val="002039B5"/>
    <w:rsid w:val="002056DF"/>
    <w:rsid w:val="00206D8A"/>
    <w:rsid w:val="002141EB"/>
    <w:rsid w:val="00214276"/>
    <w:rsid w:val="0021513F"/>
    <w:rsid w:val="00217249"/>
    <w:rsid w:val="002205F1"/>
    <w:rsid w:val="00221200"/>
    <w:rsid w:val="0022244A"/>
    <w:rsid w:val="002230E1"/>
    <w:rsid w:val="002241DA"/>
    <w:rsid w:val="00225321"/>
    <w:rsid w:val="00225401"/>
    <w:rsid w:val="00227FAA"/>
    <w:rsid w:val="00232ABC"/>
    <w:rsid w:val="00235815"/>
    <w:rsid w:val="00236C99"/>
    <w:rsid w:val="00240B3C"/>
    <w:rsid w:val="002410F7"/>
    <w:rsid w:val="00241465"/>
    <w:rsid w:val="00251392"/>
    <w:rsid w:val="00255341"/>
    <w:rsid w:val="00255C38"/>
    <w:rsid w:val="00255CFD"/>
    <w:rsid w:val="0025668E"/>
    <w:rsid w:val="0025677D"/>
    <w:rsid w:val="00257F37"/>
    <w:rsid w:val="00263494"/>
    <w:rsid w:val="0027022E"/>
    <w:rsid w:val="00270337"/>
    <w:rsid w:val="002708B5"/>
    <w:rsid w:val="00272F05"/>
    <w:rsid w:val="00274795"/>
    <w:rsid w:val="00275B05"/>
    <w:rsid w:val="00281175"/>
    <w:rsid w:val="00282C37"/>
    <w:rsid w:val="00284D3B"/>
    <w:rsid w:val="002850E1"/>
    <w:rsid w:val="00285336"/>
    <w:rsid w:val="0028672C"/>
    <w:rsid w:val="00290914"/>
    <w:rsid w:val="00292771"/>
    <w:rsid w:val="002939C6"/>
    <w:rsid w:val="00294D47"/>
    <w:rsid w:val="002A17AA"/>
    <w:rsid w:val="002A1BC6"/>
    <w:rsid w:val="002A2D28"/>
    <w:rsid w:val="002A41BC"/>
    <w:rsid w:val="002A7DFE"/>
    <w:rsid w:val="002B064C"/>
    <w:rsid w:val="002B12FC"/>
    <w:rsid w:val="002B1E9A"/>
    <w:rsid w:val="002B4F52"/>
    <w:rsid w:val="002B663F"/>
    <w:rsid w:val="002B6F68"/>
    <w:rsid w:val="002C0AA0"/>
    <w:rsid w:val="002C3586"/>
    <w:rsid w:val="002C5B76"/>
    <w:rsid w:val="002C6111"/>
    <w:rsid w:val="002D2B6C"/>
    <w:rsid w:val="002D3F36"/>
    <w:rsid w:val="002D43EB"/>
    <w:rsid w:val="002D7866"/>
    <w:rsid w:val="002E16BD"/>
    <w:rsid w:val="002E24A8"/>
    <w:rsid w:val="002E2887"/>
    <w:rsid w:val="002E5CA6"/>
    <w:rsid w:val="002E6259"/>
    <w:rsid w:val="002E6350"/>
    <w:rsid w:val="002E7276"/>
    <w:rsid w:val="002E7B55"/>
    <w:rsid w:val="002F0139"/>
    <w:rsid w:val="002F578C"/>
    <w:rsid w:val="002F5C82"/>
    <w:rsid w:val="002F726A"/>
    <w:rsid w:val="00300554"/>
    <w:rsid w:val="00302A71"/>
    <w:rsid w:val="00303F0B"/>
    <w:rsid w:val="0030596D"/>
    <w:rsid w:val="00311934"/>
    <w:rsid w:val="00312508"/>
    <w:rsid w:val="00314142"/>
    <w:rsid w:val="00316DD4"/>
    <w:rsid w:val="003206EE"/>
    <w:rsid w:val="003215AD"/>
    <w:rsid w:val="00321933"/>
    <w:rsid w:val="003232F7"/>
    <w:rsid w:val="0032591B"/>
    <w:rsid w:val="0033124E"/>
    <w:rsid w:val="00332502"/>
    <w:rsid w:val="00334259"/>
    <w:rsid w:val="00334736"/>
    <w:rsid w:val="0033525F"/>
    <w:rsid w:val="00335F45"/>
    <w:rsid w:val="00341565"/>
    <w:rsid w:val="003425BC"/>
    <w:rsid w:val="003429ED"/>
    <w:rsid w:val="00342DFE"/>
    <w:rsid w:val="003445BF"/>
    <w:rsid w:val="003503C3"/>
    <w:rsid w:val="00352DF2"/>
    <w:rsid w:val="00353AAB"/>
    <w:rsid w:val="003546ED"/>
    <w:rsid w:val="00356373"/>
    <w:rsid w:val="003574EC"/>
    <w:rsid w:val="00360042"/>
    <w:rsid w:val="003637B5"/>
    <w:rsid w:val="00363CF7"/>
    <w:rsid w:val="00365744"/>
    <w:rsid w:val="00365ACF"/>
    <w:rsid w:val="00367AB1"/>
    <w:rsid w:val="00371E12"/>
    <w:rsid w:val="0037455A"/>
    <w:rsid w:val="00375106"/>
    <w:rsid w:val="003770CD"/>
    <w:rsid w:val="00380191"/>
    <w:rsid w:val="0038149B"/>
    <w:rsid w:val="00383427"/>
    <w:rsid w:val="0038417D"/>
    <w:rsid w:val="00384A1D"/>
    <w:rsid w:val="003850FA"/>
    <w:rsid w:val="00386349"/>
    <w:rsid w:val="00386C73"/>
    <w:rsid w:val="00387EC8"/>
    <w:rsid w:val="00391B04"/>
    <w:rsid w:val="00391C58"/>
    <w:rsid w:val="00393BC6"/>
    <w:rsid w:val="00394A88"/>
    <w:rsid w:val="0039523F"/>
    <w:rsid w:val="00395E6B"/>
    <w:rsid w:val="00397D33"/>
    <w:rsid w:val="003A0AF4"/>
    <w:rsid w:val="003A250D"/>
    <w:rsid w:val="003A4E33"/>
    <w:rsid w:val="003A4EB9"/>
    <w:rsid w:val="003A665F"/>
    <w:rsid w:val="003B22CB"/>
    <w:rsid w:val="003B6DE5"/>
    <w:rsid w:val="003C0F0B"/>
    <w:rsid w:val="003C38FD"/>
    <w:rsid w:val="003C3E88"/>
    <w:rsid w:val="003C7E63"/>
    <w:rsid w:val="003D1BAA"/>
    <w:rsid w:val="003D2A26"/>
    <w:rsid w:val="003D4337"/>
    <w:rsid w:val="003D5D82"/>
    <w:rsid w:val="003D642D"/>
    <w:rsid w:val="003E3C13"/>
    <w:rsid w:val="003E4D41"/>
    <w:rsid w:val="003F2D5E"/>
    <w:rsid w:val="003F6C9D"/>
    <w:rsid w:val="003F7EFA"/>
    <w:rsid w:val="00400289"/>
    <w:rsid w:val="00400FDB"/>
    <w:rsid w:val="00404A6F"/>
    <w:rsid w:val="00405B90"/>
    <w:rsid w:val="00405E35"/>
    <w:rsid w:val="00406240"/>
    <w:rsid w:val="004069F4"/>
    <w:rsid w:val="00407925"/>
    <w:rsid w:val="004104F7"/>
    <w:rsid w:val="00410CDA"/>
    <w:rsid w:val="004123DA"/>
    <w:rsid w:val="004124E9"/>
    <w:rsid w:val="00412ADF"/>
    <w:rsid w:val="004229E7"/>
    <w:rsid w:val="00423777"/>
    <w:rsid w:val="00423E08"/>
    <w:rsid w:val="004251D8"/>
    <w:rsid w:val="00425755"/>
    <w:rsid w:val="004313E0"/>
    <w:rsid w:val="00431B48"/>
    <w:rsid w:val="00433855"/>
    <w:rsid w:val="00433F46"/>
    <w:rsid w:val="00437BD3"/>
    <w:rsid w:val="00441107"/>
    <w:rsid w:val="00453231"/>
    <w:rsid w:val="00454E1B"/>
    <w:rsid w:val="00457A04"/>
    <w:rsid w:val="0046767B"/>
    <w:rsid w:val="00467DC5"/>
    <w:rsid w:val="00470CEB"/>
    <w:rsid w:val="004734BA"/>
    <w:rsid w:val="004736BE"/>
    <w:rsid w:val="00474FF6"/>
    <w:rsid w:val="00481AE0"/>
    <w:rsid w:val="00481D6B"/>
    <w:rsid w:val="00483D07"/>
    <w:rsid w:val="004847FD"/>
    <w:rsid w:val="004924D6"/>
    <w:rsid w:val="00495107"/>
    <w:rsid w:val="00496F1A"/>
    <w:rsid w:val="004A0731"/>
    <w:rsid w:val="004A18BC"/>
    <w:rsid w:val="004A45BC"/>
    <w:rsid w:val="004A6C3C"/>
    <w:rsid w:val="004A7CFA"/>
    <w:rsid w:val="004B16CC"/>
    <w:rsid w:val="004B42A3"/>
    <w:rsid w:val="004B7A28"/>
    <w:rsid w:val="004C1E6B"/>
    <w:rsid w:val="004C2161"/>
    <w:rsid w:val="004C7879"/>
    <w:rsid w:val="004D08EE"/>
    <w:rsid w:val="004D3349"/>
    <w:rsid w:val="004D3AC9"/>
    <w:rsid w:val="004D50DA"/>
    <w:rsid w:val="004D7D11"/>
    <w:rsid w:val="004E540C"/>
    <w:rsid w:val="004F0E91"/>
    <w:rsid w:val="004F17F5"/>
    <w:rsid w:val="004F1D9F"/>
    <w:rsid w:val="004F3CC2"/>
    <w:rsid w:val="004F425E"/>
    <w:rsid w:val="004F4399"/>
    <w:rsid w:val="004F4955"/>
    <w:rsid w:val="004F5565"/>
    <w:rsid w:val="004F6E09"/>
    <w:rsid w:val="004F7A65"/>
    <w:rsid w:val="004F7FDC"/>
    <w:rsid w:val="005003E6"/>
    <w:rsid w:val="00500F3E"/>
    <w:rsid w:val="005038F6"/>
    <w:rsid w:val="00503BD0"/>
    <w:rsid w:val="005075D3"/>
    <w:rsid w:val="00510A84"/>
    <w:rsid w:val="005111FC"/>
    <w:rsid w:val="00511815"/>
    <w:rsid w:val="00514392"/>
    <w:rsid w:val="0051552B"/>
    <w:rsid w:val="005155FD"/>
    <w:rsid w:val="005165C7"/>
    <w:rsid w:val="00520076"/>
    <w:rsid w:val="00522458"/>
    <w:rsid w:val="005225E1"/>
    <w:rsid w:val="005245F5"/>
    <w:rsid w:val="00525FD0"/>
    <w:rsid w:val="00526DEC"/>
    <w:rsid w:val="005306D8"/>
    <w:rsid w:val="00530761"/>
    <w:rsid w:val="005356ED"/>
    <w:rsid w:val="00536271"/>
    <w:rsid w:val="00536B10"/>
    <w:rsid w:val="00540522"/>
    <w:rsid w:val="005432D7"/>
    <w:rsid w:val="00546030"/>
    <w:rsid w:val="00550561"/>
    <w:rsid w:val="005512F2"/>
    <w:rsid w:val="00552405"/>
    <w:rsid w:val="00553CC7"/>
    <w:rsid w:val="0055691D"/>
    <w:rsid w:val="0055774C"/>
    <w:rsid w:val="005600EE"/>
    <w:rsid w:val="005625EA"/>
    <w:rsid w:val="005626A8"/>
    <w:rsid w:val="00563CDF"/>
    <w:rsid w:val="00563E55"/>
    <w:rsid w:val="00567A32"/>
    <w:rsid w:val="0057123A"/>
    <w:rsid w:val="00571FC5"/>
    <w:rsid w:val="005727D2"/>
    <w:rsid w:val="00573F6F"/>
    <w:rsid w:val="005740C5"/>
    <w:rsid w:val="0058001B"/>
    <w:rsid w:val="005851B0"/>
    <w:rsid w:val="00586727"/>
    <w:rsid w:val="00586D6C"/>
    <w:rsid w:val="005870FD"/>
    <w:rsid w:val="0058718B"/>
    <w:rsid w:val="00587C76"/>
    <w:rsid w:val="00591FDE"/>
    <w:rsid w:val="005922E3"/>
    <w:rsid w:val="00592D07"/>
    <w:rsid w:val="00593623"/>
    <w:rsid w:val="005963F2"/>
    <w:rsid w:val="00597013"/>
    <w:rsid w:val="005A103F"/>
    <w:rsid w:val="005A2618"/>
    <w:rsid w:val="005A3A2F"/>
    <w:rsid w:val="005A498B"/>
    <w:rsid w:val="005A6751"/>
    <w:rsid w:val="005B0EC6"/>
    <w:rsid w:val="005B2161"/>
    <w:rsid w:val="005B248F"/>
    <w:rsid w:val="005B261C"/>
    <w:rsid w:val="005B29AC"/>
    <w:rsid w:val="005B46F4"/>
    <w:rsid w:val="005B65A6"/>
    <w:rsid w:val="005B78D4"/>
    <w:rsid w:val="005C0430"/>
    <w:rsid w:val="005C26B2"/>
    <w:rsid w:val="005C298B"/>
    <w:rsid w:val="005C2C64"/>
    <w:rsid w:val="005C51D6"/>
    <w:rsid w:val="005C5398"/>
    <w:rsid w:val="005C63DA"/>
    <w:rsid w:val="005C735C"/>
    <w:rsid w:val="005C76F2"/>
    <w:rsid w:val="005D04B6"/>
    <w:rsid w:val="005D172C"/>
    <w:rsid w:val="005D1F1E"/>
    <w:rsid w:val="005D2841"/>
    <w:rsid w:val="005D3580"/>
    <w:rsid w:val="005D3B84"/>
    <w:rsid w:val="005D4DE3"/>
    <w:rsid w:val="005D5CDC"/>
    <w:rsid w:val="005D5F29"/>
    <w:rsid w:val="005D71D5"/>
    <w:rsid w:val="005D7F7E"/>
    <w:rsid w:val="005E021A"/>
    <w:rsid w:val="005E03BB"/>
    <w:rsid w:val="005E1E53"/>
    <w:rsid w:val="005E21CC"/>
    <w:rsid w:val="005E2581"/>
    <w:rsid w:val="005E31BB"/>
    <w:rsid w:val="005E378A"/>
    <w:rsid w:val="005E3CA0"/>
    <w:rsid w:val="005E45FB"/>
    <w:rsid w:val="005E4DF7"/>
    <w:rsid w:val="005E7EDE"/>
    <w:rsid w:val="005F47C6"/>
    <w:rsid w:val="005F791A"/>
    <w:rsid w:val="005F7E2A"/>
    <w:rsid w:val="00606606"/>
    <w:rsid w:val="00611534"/>
    <w:rsid w:val="006125DA"/>
    <w:rsid w:val="00612ADF"/>
    <w:rsid w:val="00613C88"/>
    <w:rsid w:val="00614AAA"/>
    <w:rsid w:val="00615633"/>
    <w:rsid w:val="00616E33"/>
    <w:rsid w:val="00616E9B"/>
    <w:rsid w:val="00617492"/>
    <w:rsid w:val="00622C72"/>
    <w:rsid w:val="00623CBA"/>
    <w:rsid w:val="006250B7"/>
    <w:rsid w:val="006268BF"/>
    <w:rsid w:val="00627ECB"/>
    <w:rsid w:val="0063064C"/>
    <w:rsid w:val="00632301"/>
    <w:rsid w:val="00634271"/>
    <w:rsid w:val="00637F0D"/>
    <w:rsid w:val="00646955"/>
    <w:rsid w:val="0064757C"/>
    <w:rsid w:val="00650476"/>
    <w:rsid w:val="00653797"/>
    <w:rsid w:val="00660ADC"/>
    <w:rsid w:val="006639A1"/>
    <w:rsid w:val="0067150C"/>
    <w:rsid w:val="00672AAE"/>
    <w:rsid w:val="00672F1A"/>
    <w:rsid w:val="00672FCD"/>
    <w:rsid w:val="006740CD"/>
    <w:rsid w:val="00677E4D"/>
    <w:rsid w:val="0068138D"/>
    <w:rsid w:val="00683B3A"/>
    <w:rsid w:val="00686140"/>
    <w:rsid w:val="006867BE"/>
    <w:rsid w:val="00687332"/>
    <w:rsid w:val="0068775F"/>
    <w:rsid w:val="00690C2F"/>
    <w:rsid w:val="00691458"/>
    <w:rsid w:val="00692A70"/>
    <w:rsid w:val="006959FA"/>
    <w:rsid w:val="006A1029"/>
    <w:rsid w:val="006A28AF"/>
    <w:rsid w:val="006A3374"/>
    <w:rsid w:val="006A36D2"/>
    <w:rsid w:val="006A4B67"/>
    <w:rsid w:val="006A6A15"/>
    <w:rsid w:val="006A767F"/>
    <w:rsid w:val="006A7D7F"/>
    <w:rsid w:val="006B0474"/>
    <w:rsid w:val="006B12AC"/>
    <w:rsid w:val="006B1616"/>
    <w:rsid w:val="006B20EB"/>
    <w:rsid w:val="006B3499"/>
    <w:rsid w:val="006B4C36"/>
    <w:rsid w:val="006B6A2A"/>
    <w:rsid w:val="006C00E5"/>
    <w:rsid w:val="006C1C0B"/>
    <w:rsid w:val="006C3ACC"/>
    <w:rsid w:val="006C3F48"/>
    <w:rsid w:val="006C5AFA"/>
    <w:rsid w:val="006C7746"/>
    <w:rsid w:val="006C7B55"/>
    <w:rsid w:val="006D2338"/>
    <w:rsid w:val="006D52EB"/>
    <w:rsid w:val="006D65C9"/>
    <w:rsid w:val="006D684C"/>
    <w:rsid w:val="006D7562"/>
    <w:rsid w:val="006E3539"/>
    <w:rsid w:val="006E4A08"/>
    <w:rsid w:val="006E54A4"/>
    <w:rsid w:val="006E6062"/>
    <w:rsid w:val="006E760B"/>
    <w:rsid w:val="006E7C5C"/>
    <w:rsid w:val="006F0570"/>
    <w:rsid w:val="006F2572"/>
    <w:rsid w:val="006F2691"/>
    <w:rsid w:val="006F2B23"/>
    <w:rsid w:val="006F69E5"/>
    <w:rsid w:val="00700D70"/>
    <w:rsid w:val="007058D2"/>
    <w:rsid w:val="007061E9"/>
    <w:rsid w:val="0070708A"/>
    <w:rsid w:val="0070756D"/>
    <w:rsid w:val="00711780"/>
    <w:rsid w:val="007117F4"/>
    <w:rsid w:val="0071626C"/>
    <w:rsid w:val="00716ACC"/>
    <w:rsid w:val="00720469"/>
    <w:rsid w:val="00721278"/>
    <w:rsid w:val="00721AA5"/>
    <w:rsid w:val="0072267B"/>
    <w:rsid w:val="007244C6"/>
    <w:rsid w:val="00724784"/>
    <w:rsid w:val="0072622C"/>
    <w:rsid w:val="007302BE"/>
    <w:rsid w:val="00730A12"/>
    <w:rsid w:val="00730AC9"/>
    <w:rsid w:val="00730B4B"/>
    <w:rsid w:val="00730B93"/>
    <w:rsid w:val="00734456"/>
    <w:rsid w:val="00740EC9"/>
    <w:rsid w:val="00743AAF"/>
    <w:rsid w:val="007443F9"/>
    <w:rsid w:val="00744F20"/>
    <w:rsid w:val="007464F4"/>
    <w:rsid w:val="00751276"/>
    <w:rsid w:val="00752829"/>
    <w:rsid w:val="0075304F"/>
    <w:rsid w:val="00753321"/>
    <w:rsid w:val="0075397B"/>
    <w:rsid w:val="007564B4"/>
    <w:rsid w:val="007616E7"/>
    <w:rsid w:val="00761884"/>
    <w:rsid w:val="007675E7"/>
    <w:rsid w:val="00767B5F"/>
    <w:rsid w:val="0077730A"/>
    <w:rsid w:val="00777668"/>
    <w:rsid w:val="007815F6"/>
    <w:rsid w:val="00783DD8"/>
    <w:rsid w:val="0078619A"/>
    <w:rsid w:val="00787691"/>
    <w:rsid w:val="00787BF2"/>
    <w:rsid w:val="0079066C"/>
    <w:rsid w:val="007916D9"/>
    <w:rsid w:val="0079600E"/>
    <w:rsid w:val="007A16A2"/>
    <w:rsid w:val="007A3231"/>
    <w:rsid w:val="007A4BA5"/>
    <w:rsid w:val="007A7D65"/>
    <w:rsid w:val="007B2A89"/>
    <w:rsid w:val="007B3253"/>
    <w:rsid w:val="007B480A"/>
    <w:rsid w:val="007B64CD"/>
    <w:rsid w:val="007C0BFE"/>
    <w:rsid w:val="007C2AD0"/>
    <w:rsid w:val="007C478D"/>
    <w:rsid w:val="007C69F8"/>
    <w:rsid w:val="007D0E5F"/>
    <w:rsid w:val="007D1D5B"/>
    <w:rsid w:val="007D5FF0"/>
    <w:rsid w:val="007E1190"/>
    <w:rsid w:val="007E1589"/>
    <w:rsid w:val="007E3864"/>
    <w:rsid w:val="007E4C43"/>
    <w:rsid w:val="007F1E25"/>
    <w:rsid w:val="007F2C43"/>
    <w:rsid w:val="007F3436"/>
    <w:rsid w:val="007F5D5A"/>
    <w:rsid w:val="007F62E3"/>
    <w:rsid w:val="00801593"/>
    <w:rsid w:val="008037AB"/>
    <w:rsid w:val="00803E6F"/>
    <w:rsid w:val="00805762"/>
    <w:rsid w:val="00806C81"/>
    <w:rsid w:val="008113AD"/>
    <w:rsid w:val="008121E5"/>
    <w:rsid w:val="008122CC"/>
    <w:rsid w:val="00816911"/>
    <w:rsid w:val="00820625"/>
    <w:rsid w:val="0082224D"/>
    <w:rsid w:val="00822959"/>
    <w:rsid w:val="00823974"/>
    <w:rsid w:val="00824555"/>
    <w:rsid w:val="00824BF9"/>
    <w:rsid w:val="00827E72"/>
    <w:rsid w:val="008329F8"/>
    <w:rsid w:val="0083434D"/>
    <w:rsid w:val="00836229"/>
    <w:rsid w:val="00836773"/>
    <w:rsid w:val="00837063"/>
    <w:rsid w:val="00840D0E"/>
    <w:rsid w:val="00841467"/>
    <w:rsid w:val="00842489"/>
    <w:rsid w:val="0084713B"/>
    <w:rsid w:val="008502CF"/>
    <w:rsid w:val="00850650"/>
    <w:rsid w:val="00851238"/>
    <w:rsid w:val="0085140F"/>
    <w:rsid w:val="00853CDC"/>
    <w:rsid w:val="00854B68"/>
    <w:rsid w:val="00854E1D"/>
    <w:rsid w:val="00855363"/>
    <w:rsid w:val="008574FE"/>
    <w:rsid w:val="008607BE"/>
    <w:rsid w:val="0086354C"/>
    <w:rsid w:val="00865BD9"/>
    <w:rsid w:val="008707C6"/>
    <w:rsid w:val="00870D43"/>
    <w:rsid w:val="008710CF"/>
    <w:rsid w:val="0087592D"/>
    <w:rsid w:val="00880DF7"/>
    <w:rsid w:val="0088635E"/>
    <w:rsid w:val="00890F70"/>
    <w:rsid w:val="008927A7"/>
    <w:rsid w:val="0089393A"/>
    <w:rsid w:val="00897C4A"/>
    <w:rsid w:val="00897DCA"/>
    <w:rsid w:val="00897FEC"/>
    <w:rsid w:val="008A2024"/>
    <w:rsid w:val="008A2D84"/>
    <w:rsid w:val="008A40B5"/>
    <w:rsid w:val="008A67D3"/>
    <w:rsid w:val="008A6C9B"/>
    <w:rsid w:val="008A7388"/>
    <w:rsid w:val="008B250C"/>
    <w:rsid w:val="008B3D01"/>
    <w:rsid w:val="008B4A1E"/>
    <w:rsid w:val="008B4AD2"/>
    <w:rsid w:val="008B5C22"/>
    <w:rsid w:val="008C1AB6"/>
    <w:rsid w:val="008C73D5"/>
    <w:rsid w:val="008C775F"/>
    <w:rsid w:val="008D01FF"/>
    <w:rsid w:val="008D0604"/>
    <w:rsid w:val="008D1788"/>
    <w:rsid w:val="008D3238"/>
    <w:rsid w:val="008E08B6"/>
    <w:rsid w:val="008E0CAF"/>
    <w:rsid w:val="008E2BBE"/>
    <w:rsid w:val="008E3E86"/>
    <w:rsid w:val="008E6311"/>
    <w:rsid w:val="008E7CE3"/>
    <w:rsid w:val="008E7DCA"/>
    <w:rsid w:val="008F154E"/>
    <w:rsid w:val="008F2347"/>
    <w:rsid w:val="008F3521"/>
    <w:rsid w:val="008F3BDF"/>
    <w:rsid w:val="008F7F29"/>
    <w:rsid w:val="0090172C"/>
    <w:rsid w:val="00902583"/>
    <w:rsid w:val="00903602"/>
    <w:rsid w:val="0090426D"/>
    <w:rsid w:val="0090596C"/>
    <w:rsid w:val="009064B4"/>
    <w:rsid w:val="00906D97"/>
    <w:rsid w:val="009078E2"/>
    <w:rsid w:val="00907982"/>
    <w:rsid w:val="00907E9E"/>
    <w:rsid w:val="00911028"/>
    <w:rsid w:val="00911F54"/>
    <w:rsid w:val="00912513"/>
    <w:rsid w:val="00914493"/>
    <w:rsid w:val="00914E68"/>
    <w:rsid w:val="0091513B"/>
    <w:rsid w:val="009164E7"/>
    <w:rsid w:val="00916E10"/>
    <w:rsid w:val="009201F0"/>
    <w:rsid w:val="009222E3"/>
    <w:rsid w:val="009230A6"/>
    <w:rsid w:val="00924FF7"/>
    <w:rsid w:val="00931EF9"/>
    <w:rsid w:val="00933696"/>
    <w:rsid w:val="009339FB"/>
    <w:rsid w:val="00935F40"/>
    <w:rsid w:val="00936A52"/>
    <w:rsid w:val="00936EBF"/>
    <w:rsid w:val="00936EFB"/>
    <w:rsid w:val="009405A0"/>
    <w:rsid w:val="009407B7"/>
    <w:rsid w:val="0094188C"/>
    <w:rsid w:val="00941F31"/>
    <w:rsid w:val="00942631"/>
    <w:rsid w:val="00943743"/>
    <w:rsid w:val="0094478F"/>
    <w:rsid w:val="00944D7E"/>
    <w:rsid w:val="00944D7F"/>
    <w:rsid w:val="00945181"/>
    <w:rsid w:val="00946120"/>
    <w:rsid w:val="00947DDA"/>
    <w:rsid w:val="0095075E"/>
    <w:rsid w:val="00954922"/>
    <w:rsid w:val="00955849"/>
    <w:rsid w:val="00956952"/>
    <w:rsid w:val="00956B23"/>
    <w:rsid w:val="009622EE"/>
    <w:rsid w:val="009626CB"/>
    <w:rsid w:val="00964427"/>
    <w:rsid w:val="0096476B"/>
    <w:rsid w:val="009659C7"/>
    <w:rsid w:val="00965F12"/>
    <w:rsid w:val="0096736D"/>
    <w:rsid w:val="00967B13"/>
    <w:rsid w:val="00970B39"/>
    <w:rsid w:val="0097470D"/>
    <w:rsid w:val="0097521B"/>
    <w:rsid w:val="009800DF"/>
    <w:rsid w:val="00980991"/>
    <w:rsid w:val="00982247"/>
    <w:rsid w:val="00982603"/>
    <w:rsid w:val="009826E3"/>
    <w:rsid w:val="00991985"/>
    <w:rsid w:val="0099260A"/>
    <w:rsid w:val="009928FF"/>
    <w:rsid w:val="00993175"/>
    <w:rsid w:val="009943D6"/>
    <w:rsid w:val="00994507"/>
    <w:rsid w:val="00997FB8"/>
    <w:rsid w:val="009A0804"/>
    <w:rsid w:val="009A08FC"/>
    <w:rsid w:val="009A11FA"/>
    <w:rsid w:val="009A3173"/>
    <w:rsid w:val="009A3688"/>
    <w:rsid w:val="009A3BCA"/>
    <w:rsid w:val="009A4B40"/>
    <w:rsid w:val="009A5533"/>
    <w:rsid w:val="009B06B3"/>
    <w:rsid w:val="009B50D5"/>
    <w:rsid w:val="009B6F0A"/>
    <w:rsid w:val="009B73C8"/>
    <w:rsid w:val="009C119D"/>
    <w:rsid w:val="009C1885"/>
    <w:rsid w:val="009C1A8C"/>
    <w:rsid w:val="009C29BF"/>
    <w:rsid w:val="009C37CD"/>
    <w:rsid w:val="009C4069"/>
    <w:rsid w:val="009C65FE"/>
    <w:rsid w:val="009D24B7"/>
    <w:rsid w:val="009D7A0B"/>
    <w:rsid w:val="009D7E05"/>
    <w:rsid w:val="009E282C"/>
    <w:rsid w:val="009E565E"/>
    <w:rsid w:val="009E5B96"/>
    <w:rsid w:val="009E6E9F"/>
    <w:rsid w:val="009E7AA9"/>
    <w:rsid w:val="009F0CAE"/>
    <w:rsid w:val="009F6335"/>
    <w:rsid w:val="009F6525"/>
    <w:rsid w:val="009F7A40"/>
    <w:rsid w:val="00A02E1C"/>
    <w:rsid w:val="00A03601"/>
    <w:rsid w:val="00A05C98"/>
    <w:rsid w:val="00A06F39"/>
    <w:rsid w:val="00A07238"/>
    <w:rsid w:val="00A10857"/>
    <w:rsid w:val="00A108E1"/>
    <w:rsid w:val="00A132A1"/>
    <w:rsid w:val="00A14587"/>
    <w:rsid w:val="00A145AE"/>
    <w:rsid w:val="00A15FB7"/>
    <w:rsid w:val="00A16475"/>
    <w:rsid w:val="00A21887"/>
    <w:rsid w:val="00A2366C"/>
    <w:rsid w:val="00A26E1E"/>
    <w:rsid w:val="00A273ED"/>
    <w:rsid w:val="00A30BC6"/>
    <w:rsid w:val="00A33311"/>
    <w:rsid w:val="00A33A29"/>
    <w:rsid w:val="00A34121"/>
    <w:rsid w:val="00A343B8"/>
    <w:rsid w:val="00A41699"/>
    <w:rsid w:val="00A44FC2"/>
    <w:rsid w:val="00A45083"/>
    <w:rsid w:val="00A4556D"/>
    <w:rsid w:val="00A46025"/>
    <w:rsid w:val="00A51ED8"/>
    <w:rsid w:val="00A525B5"/>
    <w:rsid w:val="00A56C36"/>
    <w:rsid w:val="00A57566"/>
    <w:rsid w:val="00A57CE5"/>
    <w:rsid w:val="00A60F91"/>
    <w:rsid w:val="00A62337"/>
    <w:rsid w:val="00A63936"/>
    <w:rsid w:val="00A640DF"/>
    <w:rsid w:val="00A67182"/>
    <w:rsid w:val="00A72211"/>
    <w:rsid w:val="00A733C8"/>
    <w:rsid w:val="00A73548"/>
    <w:rsid w:val="00A73664"/>
    <w:rsid w:val="00A76B09"/>
    <w:rsid w:val="00A7732D"/>
    <w:rsid w:val="00A832A8"/>
    <w:rsid w:val="00A85262"/>
    <w:rsid w:val="00A8598F"/>
    <w:rsid w:val="00A8701E"/>
    <w:rsid w:val="00A87842"/>
    <w:rsid w:val="00A92FCA"/>
    <w:rsid w:val="00A9338C"/>
    <w:rsid w:val="00A941D2"/>
    <w:rsid w:val="00A95ECD"/>
    <w:rsid w:val="00AA172C"/>
    <w:rsid w:val="00AA2DB3"/>
    <w:rsid w:val="00AA3460"/>
    <w:rsid w:val="00AA6D41"/>
    <w:rsid w:val="00AA7DC1"/>
    <w:rsid w:val="00AB0971"/>
    <w:rsid w:val="00AB1681"/>
    <w:rsid w:val="00AB591D"/>
    <w:rsid w:val="00AB6CCC"/>
    <w:rsid w:val="00AC10BE"/>
    <w:rsid w:val="00AC1370"/>
    <w:rsid w:val="00AC15C1"/>
    <w:rsid w:val="00AC5B86"/>
    <w:rsid w:val="00AC72FF"/>
    <w:rsid w:val="00AE11DB"/>
    <w:rsid w:val="00AE234B"/>
    <w:rsid w:val="00AE34B1"/>
    <w:rsid w:val="00AE466B"/>
    <w:rsid w:val="00AE4B7D"/>
    <w:rsid w:val="00AE4CB5"/>
    <w:rsid w:val="00AE5AA8"/>
    <w:rsid w:val="00AE5BC4"/>
    <w:rsid w:val="00AF2DCD"/>
    <w:rsid w:val="00AF36C2"/>
    <w:rsid w:val="00AF41C2"/>
    <w:rsid w:val="00AF48F7"/>
    <w:rsid w:val="00AF538D"/>
    <w:rsid w:val="00B00E9A"/>
    <w:rsid w:val="00B020AB"/>
    <w:rsid w:val="00B025C1"/>
    <w:rsid w:val="00B03318"/>
    <w:rsid w:val="00B07D48"/>
    <w:rsid w:val="00B11F62"/>
    <w:rsid w:val="00B12D0C"/>
    <w:rsid w:val="00B14C31"/>
    <w:rsid w:val="00B14CAD"/>
    <w:rsid w:val="00B22AE6"/>
    <w:rsid w:val="00B27D12"/>
    <w:rsid w:val="00B313E9"/>
    <w:rsid w:val="00B31717"/>
    <w:rsid w:val="00B3453C"/>
    <w:rsid w:val="00B348E2"/>
    <w:rsid w:val="00B35268"/>
    <w:rsid w:val="00B424A3"/>
    <w:rsid w:val="00B42ED0"/>
    <w:rsid w:val="00B43BC7"/>
    <w:rsid w:val="00B44410"/>
    <w:rsid w:val="00B46103"/>
    <w:rsid w:val="00B4721A"/>
    <w:rsid w:val="00B50172"/>
    <w:rsid w:val="00B524A4"/>
    <w:rsid w:val="00B54771"/>
    <w:rsid w:val="00B554B0"/>
    <w:rsid w:val="00B5574C"/>
    <w:rsid w:val="00B5587C"/>
    <w:rsid w:val="00B576A1"/>
    <w:rsid w:val="00B60A45"/>
    <w:rsid w:val="00B63FC7"/>
    <w:rsid w:val="00B6562C"/>
    <w:rsid w:val="00B65B96"/>
    <w:rsid w:val="00B71B34"/>
    <w:rsid w:val="00B7483C"/>
    <w:rsid w:val="00B74E58"/>
    <w:rsid w:val="00B75271"/>
    <w:rsid w:val="00B81981"/>
    <w:rsid w:val="00B829B0"/>
    <w:rsid w:val="00B85B02"/>
    <w:rsid w:val="00B8610E"/>
    <w:rsid w:val="00B86D59"/>
    <w:rsid w:val="00B87DD6"/>
    <w:rsid w:val="00B9063E"/>
    <w:rsid w:val="00B90644"/>
    <w:rsid w:val="00B91A89"/>
    <w:rsid w:val="00B92F68"/>
    <w:rsid w:val="00B944AC"/>
    <w:rsid w:val="00B96104"/>
    <w:rsid w:val="00BA0664"/>
    <w:rsid w:val="00BA1598"/>
    <w:rsid w:val="00BA386F"/>
    <w:rsid w:val="00BA5342"/>
    <w:rsid w:val="00BA773A"/>
    <w:rsid w:val="00BB0F72"/>
    <w:rsid w:val="00BB290A"/>
    <w:rsid w:val="00BB5068"/>
    <w:rsid w:val="00BB55FB"/>
    <w:rsid w:val="00BB5A86"/>
    <w:rsid w:val="00BB6DA7"/>
    <w:rsid w:val="00BB7035"/>
    <w:rsid w:val="00BB7721"/>
    <w:rsid w:val="00BC613E"/>
    <w:rsid w:val="00BC7476"/>
    <w:rsid w:val="00BC7A97"/>
    <w:rsid w:val="00BD1628"/>
    <w:rsid w:val="00BD2D28"/>
    <w:rsid w:val="00BD3D47"/>
    <w:rsid w:val="00BD54C3"/>
    <w:rsid w:val="00BD639B"/>
    <w:rsid w:val="00BD692C"/>
    <w:rsid w:val="00BE2660"/>
    <w:rsid w:val="00BE45A4"/>
    <w:rsid w:val="00BE59EF"/>
    <w:rsid w:val="00BF2BA0"/>
    <w:rsid w:val="00BF3E29"/>
    <w:rsid w:val="00BF5F22"/>
    <w:rsid w:val="00BF6072"/>
    <w:rsid w:val="00BF6CC4"/>
    <w:rsid w:val="00C01315"/>
    <w:rsid w:val="00C024E6"/>
    <w:rsid w:val="00C032A2"/>
    <w:rsid w:val="00C03602"/>
    <w:rsid w:val="00C03D4E"/>
    <w:rsid w:val="00C03FCE"/>
    <w:rsid w:val="00C079BD"/>
    <w:rsid w:val="00C10BBE"/>
    <w:rsid w:val="00C10FDB"/>
    <w:rsid w:val="00C14DBA"/>
    <w:rsid w:val="00C1687D"/>
    <w:rsid w:val="00C1787F"/>
    <w:rsid w:val="00C20ECA"/>
    <w:rsid w:val="00C212B6"/>
    <w:rsid w:val="00C2246D"/>
    <w:rsid w:val="00C23F09"/>
    <w:rsid w:val="00C25128"/>
    <w:rsid w:val="00C2559F"/>
    <w:rsid w:val="00C27B93"/>
    <w:rsid w:val="00C341A3"/>
    <w:rsid w:val="00C34A79"/>
    <w:rsid w:val="00C36231"/>
    <w:rsid w:val="00C37B97"/>
    <w:rsid w:val="00C40578"/>
    <w:rsid w:val="00C40EE4"/>
    <w:rsid w:val="00C41D7B"/>
    <w:rsid w:val="00C42D95"/>
    <w:rsid w:val="00C430BB"/>
    <w:rsid w:val="00C4316B"/>
    <w:rsid w:val="00C44299"/>
    <w:rsid w:val="00C5016E"/>
    <w:rsid w:val="00C50E04"/>
    <w:rsid w:val="00C55313"/>
    <w:rsid w:val="00C57ED4"/>
    <w:rsid w:val="00C7101E"/>
    <w:rsid w:val="00C72F15"/>
    <w:rsid w:val="00C73295"/>
    <w:rsid w:val="00C75EF5"/>
    <w:rsid w:val="00C82C40"/>
    <w:rsid w:val="00C82E93"/>
    <w:rsid w:val="00C87261"/>
    <w:rsid w:val="00C9393D"/>
    <w:rsid w:val="00C95956"/>
    <w:rsid w:val="00C95E2A"/>
    <w:rsid w:val="00CA04E3"/>
    <w:rsid w:val="00CA3613"/>
    <w:rsid w:val="00CA5AC9"/>
    <w:rsid w:val="00CA6E91"/>
    <w:rsid w:val="00CB12A9"/>
    <w:rsid w:val="00CB5395"/>
    <w:rsid w:val="00CB5DFE"/>
    <w:rsid w:val="00CC0795"/>
    <w:rsid w:val="00CC116D"/>
    <w:rsid w:val="00CD02C5"/>
    <w:rsid w:val="00CD0DC2"/>
    <w:rsid w:val="00CD32E7"/>
    <w:rsid w:val="00CD3F5E"/>
    <w:rsid w:val="00CD471D"/>
    <w:rsid w:val="00CD5EB1"/>
    <w:rsid w:val="00CD74A0"/>
    <w:rsid w:val="00CE1A49"/>
    <w:rsid w:val="00CE493C"/>
    <w:rsid w:val="00CE54AF"/>
    <w:rsid w:val="00CE6C9B"/>
    <w:rsid w:val="00CF01CF"/>
    <w:rsid w:val="00CF4C56"/>
    <w:rsid w:val="00CF4F36"/>
    <w:rsid w:val="00D014EB"/>
    <w:rsid w:val="00D02467"/>
    <w:rsid w:val="00D025F2"/>
    <w:rsid w:val="00D03396"/>
    <w:rsid w:val="00D03CE2"/>
    <w:rsid w:val="00D03D5A"/>
    <w:rsid w:val="00D03FBA"/>
    <w:rsid w:val="00D04C10"/>
    <w:rsid w:val="00D04E97"/>
    <w:rsid w:val="00D057BD"/>
    <w:rsid w:val="00D05F68"/>
    <w:rsid w:val="00D060E9"/>
    <w:rsid w:val="00D102BC"/>
    <w:rsid w:val="00D10789"/>
    <w:rsid w:val="00D12225"/>
    <w:rsid w:val="00D145BC"/>
    <w:rsid w:val="00D16DF6"/>
    <w:rsid w:val="00D1744C"/>
    <w:rsid w:val="00D17AED"/>
    <w:rsid w:val="00D22CA1"/>
    <w:rsid w:val="00D247D1"/>
    <w:rsid w:val="00D24E6E"/>
    <w:rsid w:val="00D319FF"/>
    <w:rsid w:val="00D3415B"/>
    <w:rsid w:val="00D34E36"/>
    <w:rsid w:val="00D41C01"/>
    <w:rsid w:val="00D4717B"/>
    <w:rsid w:val="00D51438"/>
    <w:rsid w:val="00D51BB3"/>
    <w:rsid w:val="00D532E8"/>
    <w:rsid w:val="00D53785"/>
    <w:rsid w:val="00D54254"/>
    <w:rsid w:val="00D5585F"/>
    <w:rsid w:val="00D56687"/>
    <w:rsid w:val="00D60EBA"/>
    <w:rsid w:val="00D704D4"/>
    <w:rsid w:val="00D7133D"/>
    <w:rsid w:val="00D72E5E"/>
    <w:rsid w:val="00D74145"/>
    <w:rsid w:val="00D7498A"/>
    <w:rsid w:val="00D75EF0"/>
    <w:rsid w:val="00D81B96"/>
    <w:rsid w:val="00D81D3B"/>
    <w:rsid w:val="00D84B15"/>
    <w:rsid w:val="00D87714"/>
    <w:rsid w:val="00D93E20"/>
    <w:rsid w:val="00D952AC"/>
    <w:rsid w:val="00D96012"/>
    <w:rsid w:val="00D961EF"/>
    <w:rsid w:val="00DA1095"/>
    <w:rsid w:val="00DA205A"/>
    <w:rsid w:val="00DA60C0"/>
    <w:rsid w:val="00DA7006"/>
    <w:rsid w:val="00DA7F73"/>
    <w:rsid w:val="00DB4BC3"/>
    <w:rsid w:val="00DB5F85"/>
    <w:rsid w:val="00DB6137"/>
    <w:rsid w:val="00DC125A"/>
    <w:rsid w:val="00DC26AF"/>
    <w:rsid w:val="00DC3C92"/>
    <w:rsid w:val="00DC4AFA"/>
    <w:rsid w:val="00DC4C54"/>
    <w:rsid w:val="00DC6194"/>
    <w:rsid w:val="00DC619D"/>
    <w:rsid w:val="00DD30B2"/>
    <w:rsid w:val="00DD3381"/>
    <w:rsid w:val="00DD4FB3"/>
    <w:rsid w:val="00DD5ADE"/>
    <w:rsid w:val="00DD7E52"/>
    <w:rsid w:val="00DE045B"/>
    <w:rsid w:val="00DE135D"/>
    <w:rsid w:val="00DE1DA5"/>
    <w:rsid w:val="00DE3A81"/>
    <w:rsid w:val="00DE4EDE"/>
    <w:rsid w:val="00DE6236"/>
    <w:rsid w:val="00DF0B4A"/>
    <w:rsid w:val="00DF25DD"/>
    <w:rsid w:val="00DF3A3B"/>
    <w:rsid w:val="00DF3B2F"/>
    <w:rsid w:val="00DF42E6"/>
    <w:rsid w:val="00DF54AD"/>
    <w:rsid w:val="00DF5716"/>
    <w:rsid w:val="00DF6A8A"/>
    <w:rsid w:val="00DF763B"/>
    <w:rsid w:val="00DF7910"/>
    <w:rsid w:val="00E00130"/>
    <w:rsid w:val="00E00239"/>
    <w:rsid w:val="00E023BD"/>
    <w:rsid w:val="00E02569"/>
    <w:rsid w:val="00E0353C"/>
    <w:rsid w:val="00E035AA"/>
    <w:rsid w:val="00E039A0"/>
    <w:rsid w:val="00E15BEE"/>
    <w:rsid w:val="00E17F88"/>
    <w:rsid w:val="00E20F44"/>
    <w:rsid w:val="00E22D4D"/>
    <w:rsid w:val="00E234A6"/>
    <w:rsid w:val="00E248F8"/>
    <w:rsid w:val="00E24EAE"/>
    <w:rsid w:val="00E306EE"/>
    <w:rsid w:val="00E34CDB"/>
    <w:rsid w:val="00E34D71"/>
    <w:rsid w:val="00E36302"/>
    <w:rsid w:val="00E3684F"/>
    <w:rsid w:val="00E36DF3"/>
    <w:rsid w:val="00E37BB8"/>
    <w:rsid w:val="00E37D89"/>
    <w:rsid w:val="00E40912"/>
    <w:rsid w:val="00E40A28"/>
    <w:rsid w:val="00E42D16"/>
    <w:rsid w:val="00E44BBF"/>
    <w:rsid w:val="00E44F63"/>
    <w:rsid w:val="00E4682E"/>
    <w:rsid w:val="00E52036"/>
    <w:rsid w:val="00E52760"/>
    <w:rsid w:val="00E535B1"/>
    <w:rsid w:val="00E55CD1"/>
    <w:rsid w:val="00E5669D"/>
    <w:rsid w:val="00E64FFF"/>
    <w:rsid w:val="00E658D5"/>
    <w:rsid w:val="00E728B8"/>
    <w:rsid w:val="00E73293"/>
    <w:rsid w:val="00E738C7"/>
    <w:rsid w:val="00E8180C"/>
    <w:rsid w:val="00E82707"/>
    <w:rsid w:val="00E8302D"/>
    <w:rsid w:val="00E8657B"/>
    <w:rsid w:val="00E870BF"/>
    <w:rsid w:val="00E87244"/>
    <w:rsid w:val="00E93485"/>
    <w:rsid w:val="00E94FFE"/>
    <w:rsid w:val="00EA03BE"/>
    <w:rsid w:val="00EA0415"/>
    <w:rsid w:val="00EA0A3D"/>
    <w:rsid w:val="00EA0E0D"/>
    <w:rsid w:val="00EA4F7C"/>
    <w:rsid w:val="00EA72BC"/>
    <w:rsid w:val="00EA72F2"/>
    <w:rsid w:val="00EA7439"/>
    <w:rsid w:val="00EB2683"/>
    <w:rsid w:val="00EB29E9"/>
    <w:rsid w:val="00EB2C59"/>
    <w:rsid w:val="00EB4383"/>
    <w:rsid w:val="00EB6D53"/>
    <w:rsid w:val="00EC0C8B"/>
    <w:rsid w:val="00EC11E9"/>
    <w:rsid w:val="00EC1684"/>
    <w:rsid w:val="00EC507C"/>
    <w:rsid w:val="00EC77B5"/>
    <w:rsid w:val="00ED317F"/>
    <w:rsid w:val="00ED5A46"/>
    <w:rsid w:val="00EE3A71"/>
    <w:rsid w:val="00EE4419"/>
    <w:rsid w:val="00EE62CC"/>
    <w:rsid w:val="00EE63EB"/>
    <w:rsid w:val="00EF2307"/>
    <w:rsid w:val="00EF47F3"/>
    <w:rsid w:val="00EF5343"/>
    <w:rsid w:val="00EF536E"/>
    <w:rsid w:val="00EF7378"/>
    <w:rsid w:val="00EF78EE"/>
    <w:rsid w:val="00F00914"/>
    <w:rsid w:val="00F0257D"/>
    <w:rsid w:val="00F13308"/>
    <w:rsid w:val="00F1422B"/>
    <w:rsid w:val="00F15582"/>
    <w:rsid w:val="00F16DAF"/>
    <w:rsid w:val="00F20FD0"/>
    <w:rsid w:val="00F21865"/>
    <w:rsid w:val="00F24407"/>
    <w:rsid w:val="00F300E1"/>
    <w:rsid w:val="00F32DAF"/>
    <w:rsid w:val="00F33637"/>
    <w:rsid w:val="00F36919"/>
    <w:rsid w:val="00F37064"/>
    <w:rsid w:val="00F37E9F"/>
    <w:rsid w:val="00F408AB"/>
    <w:rsid w:val="00F42884"/>
    <w:rsid w:val="00F42B05"/>
    <w:rsid w:val="00F42C0C"/>
    <w:rsid w:val="00F44383"/>
    <w:rsid w:val="00F46FAB"/>
    <w:rsid w:val="00F47AAB"/>
    <w:rsid w:val="00F528F7"/>
    <w:rsid w:val="00F5373E"/>
    <w:rsid w:val="00F537CB"/>
    <w:rsid w:val="00F57082"/>
    <w:rsid w:val="00F5744A"/>
    <w:rsid w:val="00F61F6D"/>
    <w:rsid w:val="00F632C4"/>
    <w:rsid w:val="00F66D19"/>
    <w:rsid w:val="00F734EA"/>
    <w:rsid w:val="00F7379F"/>
    <w:rsid w:val="00F76787"/>
    <w:rsid w:val="00F81A92"/>
    <w:rsid w:val="00F84C75"/>
    <w:rsid w:val="00F85EF9"/>
    <w:rsid w:val="00F86E32"/>
    <w:rsid w:val="00F901A7"/>
    <w:rsid w:val="00F9260D"/>
    <w:rsid w:val="00F92A2D"/>
    <w:rsid w:val="00F937AD"/>
    <w:rsid w:val="00F9402F"/>
    <w:rsid w:val="00F97368"/>
    <w:rsid w:val="00FA0120"/>
    <w:rsid w:val="00FA1011"/>
    <w:rsid w:val="00FA1818"/>
    <w:rsid w:val="00FA1AAC"/>
    <w:rsid w:val="00FB22D1"/>
    <w:rsid w:val="00FB4524"/>
    <w:rsid w:val="00FB621F"/>
    <w:rsid w:val="00FC10F8"/>
    <w:rsid w:val="00FC3F3A"/>
    <w:rsid w:val="00FC41D9"/>
    <w:rsid w:val="00FC49F4"/>
    <w:rsid w:val="00FC4F81"/>
    <w:rsid w:val="00FC5929"/>
    <w:rsid w:val="00FC6369"/>
    <w:rsid w:val="00FC7C14"/>
    <w:rsid w:val="00FC7E63"/>
    <w:rsid w:val="00FD0408"/>
    <w:rsid w:val="00FD193C"/>
    <w:rsid w:val="00FD3681"/>
    <w:rsid w:val="00FD75DF"/>
    <w:rsid w:val="00FE12B8"/>
    <w:rsid w:val="00FE681E"/>
    <w:rsid w:val="00FF2611"/>
    <w:rsid w:val="00FF7D69"/>
    <w:rsid w:val="27C54DD6"/>
    <w:rsid w:val="56EB76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784B4"/>
  <w15:chartTrackingRefBased/>
  <w15:docId w15:val="{FCFA5A70-8F6E-4628-8C98-D88C3B6F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r-CA" w:eastAsia="fr-CA"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5BC4"/>
    <w:rPr>
      <w:rFonts w:ascii="Arial" w:hAnsi="Arial"/>
      <w:sz w:val="24"/>
      <w:lang w:eastAsia="fr-FR"/>
    </w:rPr>
  </w:style>
  <w:style w:type="paragraph" w:styleId="Titre1">
    <w:name w:val="heading 1"/>
    <w:basedOn w:val="Normal"/>
    <w:next w:val="Normal"/>
    <w:qFormat/>
    <w:rsid w:val="00DF7910"/>
    <w:pPr>
      <w:keepNext/>
      <w:numPr>
        <w:numId w:val="4"/>
      </w:numPr>
      <w:tabs>
        <w:tab w:val="left" w:pos="567"/>
      </w:tabs>
      <w:spacing w:before="120" w:after="120" w:line="480" w:lineRule="exact"/>
      <w:outlineLvl w:val="0"/>
    </w:pPr>
    <w:rPr>
      <w:b/>
      <w:smallCaps/>
      <w:kern w:val="28"/>
      <w:u w:val="single"/>
    </w:rPr>
  </w:style>
  <w:style w:type="paragraph" w:styleId="Titre2">
    <w:name w:val="heading 2"/>
    <w:basedOn w:val="Normal"/>
    <w:next w:val="Normal"/>
    <w:qFormat/>
    <w:rsid w:val="00D74145"/>
    <w:pPr>
      <w:keepNext/>
      <w:numPr>
        <w:ilvl w:val="1"/>
        <w:numId w:val="4"/>
      </w:numPr>
      <w:spacing w:before="120" w:after="120" w:line="480" w:lineRule="exact"/>
      <w:ind w:left="567" w:hanging="567"/>
      <w:outlineLvl w:val="1"/>
    </w:pPr>
    <w:rPr>
      <w:b/>
    </w:rPr>
  </w:style>
  <w:style w:type="paragraph" w:styleId="Titre3">
    <w:name w:val="heading 3"/>
    <w:basedOn w:val="Normal"/>
    <w:next w:val="Normal"/>
    <w:qFormat/>
    <w:rsid w:val="00D74145"/>
    <w:pPr>
      <w:keepNext/>
      <w:numPr>
        <w:ilvl w:val="2"/>
        <w:numId w:val="4"/>
      </w:numPr>
      <w:spacing w:before="120" w:after="120" w:line="480" w:lineRule="exact"/>
      <w:outlineLvl w:val="2"/>
    </w:pPr>
    <w:rPr>
      <w:u w:val="single"/>
    </w:rPr>
  </w:style>
  <w:style w:type="paragraph" w:styleId="Titre4">
    <w:name w:val="heading 4"/>
    <w:basedOn w:val="Normal"/>
    <w:next w:val="Normal"/>
    <w:qFormat/>
    <w:rsid w:val="00D74145"/>
    <w:pPr>
      <w:keepNext/>
      <w:numPr>
        <w:ilvl w:val="3"/>
        <w:numId w:val="4"/>
      </w:numPr>
      <w:spacing w:before="120" w:after="120" w:line="480" w:lineRule="exact"/>
      <w:outlineLvl w:val="3"/>
    </w:pPr>
    <w:rPr>
      <w:iCs/>
    </w:rPr>
  </w:style>
  <w:style w:type="paragraph" w:styleId="Titre5">
    <w:name w:val="heading 5"/>
    <w:basedOn w:val="Normal"/>
    <w:next w:val="Normal"/>
    <w:rsid w:val="00D74145"/>
    <w:pPr>
      <w:numPr>
        <w:ilvl w:val="4"/>
        <w:numId w:val="4"/>
      </w:numPr>
      <w:spacing w:before="240" w:after="60"/>
      <w:ind w:left="567" w:hanging="567"/>
      <w:outlineLvl w:val="4"/>
    </w:pPr>
    <w:rPr>
      <w:i/>
      <w:iCs/>
      <w:szCs w:val="24"/>
    </w:rPr>
  </w:style>
  <w:style w:type="paragraph" w:styleId="Titre6">
    <w:name w:val="heading 6"/>
    <w:basedOn w:val="Normal"/>
    <w:next w:val="Normal"/>
    <w:pPr>
      <w:numPr>
        <w:ilvl w:val="5"/>
        <w:numId w:val="4"/>
      </w:numPr>
      <w:spacing w:before="240" w:after="60"/>
      <w:outlineLvl w:val="5"/>
    </w:pPr>
    <w:rPr>
      <w:i/>
      <w:sz w:val="22"/>
    </w:rPr>
  </w:style>
  <w:style w:type="paragraph" w:styleId="Titre7">
    <w:name w:val="heading 7"/>
    <w:basedOn w:val="Normal"/>
    <w:next w:val="Normal"/>
    <w:pPr>
      <w:numPr>
        <w:ilvl w:val="6"/>
        <w:numId w:val="4"/>
      </w:numPr>
      <w:spacing w:before="240" w:after="60"/>
      <w:outlineLvl w:val="6"/>
    </w:pPr>
    <w:rPr>
      <w:sz w:val="20"/>
    </w:rPr>
  </w:style>
  <w:style w:type="paragraph" w:styleId="Titre8">
    <w:name w:val="heading 8"/>
    <w:basedOn w:val="Normal"/>
    <w:next w:val="Normal"/>
    <w:pPr>
      <w:numPr>
        <w:ilvl w:val="7"/>
        <w:numId w:val="4"/>
      </w:numPr>
      <w:spacing w:before="240" w:after="60"/>
      <w:outlineLvl w:val="7"/>
    </w:pPr>
    <w:rPr>
      <w:i/>
      <w:sz w:val="20"/>
    </w:rPr>
  </w:style>
  <w:style w:type="paragraph" w:styleId="Titre9">
    <w:name w:val="heading 9"/>
    <w:basedOn w:val="Normal"/>
    <w:next w:val="Normal"/>
    <w:pPr>
      <w:numPr>
        <w:ilvl w:val="8"/>
        <w:numId w:val="4"/>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qFormat/>
    <w:rsid w:val="00495107"/>
    <w:pPr>
      <w:numPr>
        <w:numId w:val="1"/>
      </w:numPr>
      <w:tabs>
        <w:tab w:val="left" w:pos="567"/>
      </w:tabs>
      <w:spacing w:before="120" w:after="120" w:line="276" w:lineRule="auto"/>
      <w:jc w:val="both"/>
    </w:pPr>
    <w:rPr>
      <w:kern w:val="28"/>
      <w:lang w:val="en-CA"/>
    </w:rPr>
  </w:style>
  <w:style w:type="paragraph" w:customStyle="1" w:styleId="Citationenretrait">
    <w:name w:val="Citation en retrait"/>
    <w:basedOn w:val="Normal"/>
    <w:link w:val="CitationenretraitCar"/>
    <w:qFormat/>
    <w:rsid w:val="00AE5BC4"/>
    <w:pPr>
      <w:spacing w:after="120" w:line="276" w:lineRule="auto"/>
      <w:ind w:left="567"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link w:val="CorpsdetexteCar"/>
    <w:semiHidden/>
    <w:pPr>
      <w:spacing w:after="120"/>
    </w:pPr>
  </w:style>
  <w:style w:type="paragraph" w:styleId="Notedebasdepage">
    <w:name w:val="footnote text"/>
    <w:basedOn w:val="Normal"/>
    <w:link w:val="NotedebasdepageCar"/>
    <w:semiHidden/>
    <w:qFormat/>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2"/>
      </w:numPr>
      <w:tabs>
        <w:tab w:val="clear" w:pos="792"/>
      </w:tabs>
      <w:spacing w:after="120"/>
      <w:ind w:left="1468" w:hanging="734"/>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lamarge">
    <w:name w:val="Par. à la marge"/>
    <w:basedOn w:val="ParagNonNum"/>
    <w:qFormat/>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styleId="En-tte">
    <w:name w:val="header"/>
    <w:basedOn w:val="Normal"/>
    <w:link w:val="En-tteCar"/>
    <w:uiPriority w:val="99"/>
    <w:unhideWhenUsed/>
    <w:rsid w:val="00E728B8"/>
    <w:pPr>
      <w:tabs>
        <w:tab w:val="center" w:pos="4320"/>
        <w:tab w:val="right" w:pos="8640"/>
      </w:tabs>
    </w:pPr>
  </w:style>
  <w:style w:type="character" w:customStyle="1" w:styleId="En-tteCar">
    <w:name w:val="En-tête Car"/>
    <w:link w:val="En-tte"/>
    <w:uiPriority w:val="99"/>
    <w:rsid w:val="00E728B8"/>
    <w:rPr>
      <w:rFonts w:ascii="Arial" w:hAnsi="Arial"/>
      <w:sz w:val="24"/>
      <w:lang w:eastAsia="fr-FR"/>
    </w:rPr>
  </w:style>
  <w:style w:type="paragraph" w:styleId="Pieddepage">
    <w:name w:val="footer"/>
    <w:basedOn w:val="Normal"/>
    <w:link w:val="PieddepageCar"/>
    <w:uiPriority w:val="99"/>
    <w:unhideWhenUsed/>
    <w:rsid w:val="00E728B8"/>
    <w:pPr>
      <w:tabs>
        <w:tab w:val="center" w:pos="4320"/>
        <w:tab w:val="right" w:pos="8640"/>
      </w:tabs>
    </w:pPr>
  </w:style>
  <w:style w:type="character" w:customStyle="1" w:styleId="PieddepageCar">
    <w:name w:val="Pied de page Car"/>
    <w:link w:val="Pieddepage"/>
    <w:uiPriority w:val="99"/>
    <w:rsid w:val="00E728B8"/>
    <w:rPr>
      <w:rFonts w:ascii="Arial" w:hAnsi="Arial"/>
      <w:sz w:val="24"/>
      <w:lang w:eastAsia="fr-FR"/>
    </w:rPr>
  </w:style>
  <w:style w:type="paragraph" w:customStyle="1" w:styleId="numration">
    <w:name w:val="Énumération"/>
    <w:basedOn w:val="Paragraphe"/>
    <w:qFormat/>
    <w:rsid w:val="00495107"/>
    <w:pPr>
      <w:numPr>
        <w:numId w:val="3"/>
      </w:numPr>
      <w:tabs>
        <w:tab w:val="clear" w:pos="567"/>
        <w:tab w:val="clear" w:pos="1094"/>
      </w:tabs>
      <w:spacing w:before="0"/>
      <w:ind w:left="1134" w:hanging="567"/>
    </w:pPr>
  </w:style>
  <w:style w:type="character" w:styleId="Appelnotedebasdep">
    <w:name w:val="footnote reference"/>
    <w:uiPriority w:val="99"/>
    <w:semiHidden/>
    <w:unhideWhenUsed/>
    <w:rsid w:val="00AE5BC4"/>
    <w:rPr>
      <w:vertAlign w:val="superscript"/>
    </w:rPr>
  </w:style>
  <w:style w:type="character" w:customStyle="1" w:styleId="CorpsdetexteCar">
    <w:name w:val="Corps de texte Car"/>
    <w:link w:val="Corpsdetexte"/>
    <w:semiHidden/>
    <w:rsid w:val="00AE5BC4"/>
    <w:rPr>
      <w:rFonts w:ascii="Arial" w:hAnsi="Arial"/>
      <w:sz w:val="24"/>
      <w:lang w:eastAsia="fr-FR"/>
    </w:rPr>
  </w:style>
  <w:style w:type="paragraph" w:customStyle="1" w:styleId="Citationdansunecitation">
    <w:name w:val="Citation dans une citation"/>
    <w:basedOn w:val="Citationenretrait"/>
    <w:link w:val="CitationdansunecitationCar"/>
    <w:qFormat/>
    <w:rsid w:val="005C0430"/>
    <w:pPr>
      <w:ind w:left="1134" w:right="1282"/>
    </w:pPr>
    <w:rPr>
      <w:sz w:val="20"/>
    </w:rPr>
  </w:style>
  <w:style w:type="character" w:customStyle="1" w:styleId="CitationenretraitCar">
    <w:name w:val="Citation en retrait Car"/>
    <w:link w:val="Citationenretrait"/>
    <w:rsid w:val="005C0430"/>
    <w:rPr>
      <w:rFonts w:ascii="Arial" w:hAnsi="Arial"/>
      <w:kern w:val="24"/>
      <w:sz w:val="22"/>
      <w:lang w:eastAsia="fr-FR"/>
    </w:rPr>
  </w:style>
  <w:style w:type="character" w:customStyle="1" w:styleId="CitationdansunecitationCar">
    <w:name w:val="Citation dans une citation Car"/>
    <w:link w:val="Citationdansunecitation"/>
    <w:rsid w:val="005C0430"/>
    <w:rPr>
      <w:rFonts w:ascii="Arial" w:hAnsi="Arial"/>
      <w:kern w:val="24"/>
      <w:sz w:val="22"/>
      <w:lang w:eastAsia="fr-FR"/>
    </w:rPr>
  </w:style>
  <w:style w:type="paragraph" w:styleId="En-ttedetabledesmatires">
    <w:name w:val="TOC Heading"/>
    <w:basedOn w:val="Titre1"/>
    <w:next w:val="Normal"/>
    <w:uiPriority w:val="39"/>
    <w:unhideWhenUsed/>
    <w:qFormat/>
    <w:rsid w:val="00AE4CB5"/>
    <w:pPr>
      <w:keepLines/>
      <w:numPr>
        <w:numId w:val="0"/>
      </w:numPr>
      <w:tabs>
        <w:tab w:val="clear" w:pos="567"/>
      </w:tabs>
      <w:spacing w:before="240" w:after="0" w:line="259" w:lineRule="auto"/>
      <w:outlineLvl w:val="9"/>
    </w:pPr>
    <w:rPr>
      <w:rFonts w:asciiTheme="majorHAnsi" w:eastAsiaTheme="majorEastAsia" w:hAnsiTheme="majorHAnsi" w:cstheme="majorBidi"/>
      <w:b w:val="0"/>
      <w:smallCaps w:val="0"/>
      <w:color w:val="2E74B5" w:themeColor="accent1" w:themeShade="BF"/>
      <w:kern w:val="0"/>
      <w:sz w:val="32"/>
      <w:szCs w:val="32"/>
      <w:u w:val="none"/>
      <w:lang w:eastAsia="fr-CA"/>
    </w:rPr>
  </w:style>
  <w:style w:type="paragraph" w:styleId="TM1">
    <w:name w:val="toc 1"/>
    <w:basedOn w:val="Normal"/>
    <w:next w:val="Normal"/>
    <w:autoRedefine/>
    <w:uiPriority w:val="39"/>
    <w:unhideWhenUsed/>
    <w:rsid w:val="00AE4CB5"/>
    <w:pPr>
      <w:spacing w:after="100"/>
    </w:pPr>
  </w:style>
  <w:style w:type="paragraph" w:styleId="TM2">
    <w:name w:val="toc 2"/>
    <w:basedOn w:val="Normal"/>
    <w:next w:val="Normal"/>
    <w:autoRedefine/>
    <w:uiPriority w:val="39"/>
    <w:unhideWhenUsed/>
    <w:rsid w:val="00AE4CB5"/>
    <w:pPr>
      <w:spacing w:after="100"/>
      <w:ind w:left="240"/>
    </w:pPr>
  </w:style>
  <w:style w:type="paragraph" w:styleId="TM3">
    <w:name w:val="toc 3"/>
    <w:basedOn w:val="Normal"/>
    <w:next w:val="Normal"/>
    <w:autoRedefine/>
    <w:uiPriority w:val="39"/>
    <w:unhideWhenUsed/>
    <w:rsid w:val="00AE4CB5"/>
    <w:pPr>
      <w:spacing w:after="100"/>
      <w:ind w:left="480"/>
    </w:pPr>
  </w:style>
  <w:style w:type="character" w:styleId="Hyperlien">
    <w:name w:val="Hyperlink"/>
    <w:basedOn w:val="Policepardfaut"/>
    <w:uiPriority w:val="99"/>
    <w:unhideWhenUsed/>
    <w:rsid w:val="00AE4CB5"/>
    <w:rPr>
      <w:color w:val="0563C1" w:themeColor="hyperlink"/>
      <w:u w:val="single"/>
    </w:rPr>
  </w:style>
  <w:style w:type="character" w:styleId="Marquedecommentaire">
    <w:name w:val="annotation reference"/>
    <w:basedOn w:val="Policepardfaut"/>
    <w:uiPriority w:val="99"/>
    <w:semiHidden/>
    <w:unhideWhenUsed/>
    <w:rsid w:val="005D5F29"/>
    <w:rPr>
      <w:sz w:val="16"/>
      <w:szCs w:val="16"/>
    </w:rPr>
  </w:style>
  <w:style w:type="paragraph" w:styleId="Commentaire">
    <w:name w:val="annotation text"/>
    <w:basedOn w:val="Normal"/>
    <w:link w:val="CommentaireCar"/>
    <w:uiPriority w:val="99"/>
    <w:unhideWhenUsed/>
    <w:rsid w:val="005D5F29"/>
    <w:rPr>
      <w:sz w:val="20"/>
    </w:rPr>
  </w:style>
  <w:style w:type="character" w:customStyle="1" w:styleId="CommentaireCar">
    <w:name w:val="Commentaire Car"/>
    <w:basedOn w:val="Policepardfaut"/>
    <w:link w:val="Commentaire"/>
    <w:uiPriority w:val="99"/>
    <w:rsid w:val="005D5F29"/>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5D5F29"/>
    <w:rPr>
      <w:b/>
      <w:bCs/>
    </w:rPr>
  </w:style>
  <w:style w:type="character" w:customStyle="1" w:styleId="ObjetducommentaireCar">
    <w:name w:val="Objet du commentaire Car"/>
    <w:basedOn w:val="CommentaireCar"/>
    <w:link w:val="Objetducommentaire"/>
    <w:uiPriority w:val="99"/>
    <w:semiHidden/>
    <w:rsid w:val="005D5F29"/>
    <w:rPr>
      <w:rFonts w:ascii="Arial" w:hAnsi="Arial"/>
      <w:b/>
      <w:bCs/>
      <w:lang w:eastAsia="fr-FR"/>
    </w:rPr>
  </w:style>
  <w:style w:type="character" w:styleId="Mentionnonrsolue">
    <w:name w:val="Unresolved Mention"/>
    <w:basedOn w:val="Policepardfaut"/>
    <w:uiPriority w:val="99"/>
    <w:semiHidden/>
    <w:unhideWhenUsed/>
    <w:rsid w:val="00037D95"/>
    <w:rPr>
      <w:color w:val="605E5C"/>
      <w:shd w:val="clear" w:color="auto" w:fill="E1DFDD"/>
    </w:rPr>
  </w:style>
  <w:style w:type="paragraph" w:styleId="Listepuces">
    <w:name w:val="List Bullet"/>
    <w:basedOn w:val="Normal"/>
    <w:uiPriority w:val="99"/>
    <w:unhideWhenUsed/>
    <w:rsid w:val="005870FD"/>
    <w:pPr>
      <w:numPr>
        <w:numId w:val="27"/>
      </w:numPr>
      <w:contextualSpacing/>
    </w:pPr>
  </w:style>
  <w:style w:type="character" w:customStyle="1" w:styleId="NotedebasdepageCar">
    <w:name w:val="Note de bas de page Car"/>
    <w:basedOn w:val="Policepardfaut"/>
    <w:link w:val="Notedebasdepage"/>
    <w:semiHidden/>
    <w:rsid w:val="00123A44"/>
    <w:rPr>
      <w:rFonts w:ascii="Arial" w:hAnsi="Arial"/>
      <w:lang w:eastAsia="fr-FR"/>
    </w:rPr>
  </w:style>
  <w:style w:type="paragraph" w:styleId="Rvision">
    <w:name w:val="Revision"/>
    <w:hidden/>
    <w:uiPriority w:val="99"/>
    <w:semiHidden/>
    <w:rsid w:val="0013463A"/>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3A689-F260-4B42-8FFF-AA4E126471CB}">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36</Pages>
  <Words>18798</Words>
  <Characters>103390</Characters>
  <Application>Microsoft Office Word</Application>
  <DocSecurity>0</DocSecurity>
  <Lines>861</Lines>
  <Paragraphs>243</Paragraphs>
  <ScaleCrop>false</ScaleCrop>
  <HeadingPairs>
    <vt:vector size="2" baseType="variant">
      <vt:variant>
        <vt:lpstr>Titre</vt:lpstr>
      </vt:variant>
      <vt:variant>
        <vt:i4>1</vt:i4>
      </vt:variant>
    </vt:vector>
  </HeadingPairs>
  <TitlesOfParts>
    <vt:vector size="1" baseType="lpstr">
      <vt:lpstr>Gabarit EDJ</vt:lpstr>
    </vt:vector>
  </TitlesOfParts>
  <Manager>Stéphane Renauld</Manager>
  <Company>SOQUIJ</Company>
  <LinksUpToDate>false</LinksUpToDate>
  <CharactersWithSpaces>121945</CharactersWithSpaces>
  <SharedDoc>false</SharedDoc>
  <HLinks>
    <vt:vector size="126" baseType="variant">
      <vt:variant>
        <vt:i4>5767187</vt:i4>
      </vt:variant>
      <vt:variant>
        <vt:i4>60</vt:i4>
      </vt:variant>
      <vt:variant>
        <vt:i4>0</vt:i4>
      </vt:variant>
      <vt:variant>
        <vt:i4>5</vt:i4>
      </vt:variant>
      <vt:variant>
        <vt:lpwstr>https://canlii.ca/t/hsfm5</vt:lpwstr>
      </vt:variant>
      <vt:variant>
        <vt:lpwstr>par19</vt:lpwstr>
      </vt:variant>
      <vt:variant>
        <vt:i4>5570637</vt:i4>
      </vt:variant>
      <vt:variant>
        <vt:i4>57</vt:i4>
      </vt:variant>
      <vt:variant>
        <vt:i4>0</vt:i4>
      </vt:variant>
      <vt:variant>
        <vt:i4>5</vt:i4>
      </vt:variant>
      <vt:variant>
        <vt:lpwstr>https://canlii.ca/t/hv8m4</vt:lpwstr>
      </vt:variant>
      <vt:variant>
        <vt:lpwstr>par91</vt:lpwstr>
      </vt:variant>
      <vt:variant>
        <vt:i4>2490484</vt:i4>
      </vt:variant>
      <vt:variant>
        <vt:i4>54</vt:i4>
      </vt:variant>
      <vt:variant>
        <vt:i4>0</vt:i4>
      </vt:variant>
      <vt:variant>
        <vt:i4>5</vt:i4>
      </vt:variant>
      <vt:variant>
        <vt:lpwstr>https://canlii.ca/t/jf774</vt:lpwstr>
      </vt:variant>
      <vt:variant>
        <vt:lpwstr>par141</vt:lpwstr>
      </vt:variant>
      <vt:variant>
        <vt:i4>8060962</vt:i4>
      </vt:variant>
      <vt:variant>
        <vt:i4>51</vt:i4>
      </vt:variant>
      <vt:variant>
        <vt:i4>0</vt:i4>
      </vt:variant>
      <vt:variant>
        <vt:i4>5</vt:i4>
      </vt:variant>
      <vt:variant>
        <vt:lpwstr>https://canlii.ca/t/j8f6m</vt:lpwstr>
      </vt:variant>
      <vt:variant>
        <vt:lpwstr>par230</vt:lpwstr>
      </vt:variant>
      <vt:variant>
        <vt:i4>7536675</vt:i4>
      </vt:variant>
      <vt:variant>
        <vt:i4>48</vt:i4>
      </vt:variant>
      <vt:variant>
        <vt:i4>0</vt:i4>
      </vt:variant>
      <vt:variant>
        <vt:i4>5</vt:i4>
      </vt:variant>
      <vt:variant>
        <vt:lpwstr>https://canlii.ca/t/j8f6m</vt:lpwstr>
      </vt:variant>
      <vt:variant>
        <vt:lpwstr>par228</vt:lpwstr>
      </vt:variant>
      <vt:variant>
        <vt:i4>6160449</vt:i4>
      </vt:variant>
      <vt:variant>
        <vt:i4>45</vt:i4>
      </vt:variant>
      <vt:variant>
        <vt:i4>0</vt:i4>
      </vt:variant>
      <vt:variant>
        <vt:i4>5</vt:i4>
      </vt:variant>
      <vt:variant>
        <vt:lpwstr>https://canlii.ca/t/hq4jm</vt:lpwstr>
      </vt:variant>
      <vt:variant>
        <vt:lpwstr>par29</vt:lpwstr>
      </vt:variant>
      <vt:variant>
        <vt:i4>6291573</vt:i4>
      </vt:variant>
      <vt:variant>
        <vt:i4>42</vt:i4>
      </vt:variant>
      <vt:variant>
        <vt:i4>0</vt:i4>
      </vt:variant>
      <vt:variant>
        <vt:i4>5</vt:i4>
      </vt:variant>
      <vt:variant>
        <vt:lpwstr>https://canlii.ca/t/jk1tl</vt:lpwstr>
      </vt:variant>
      <vt:variant>
        <vt:lpwstr>par139</vt:lpwstr>
      </vt:variant>
      <vt:variant>
        <vt:i4>7995511</vt:i4>
      </vt:variant>
      <vt:variant>
        <vt:i4>39</vt:i4>
      </vt:variant>
      <vt:variant>
        <vt:i4>0</vt:i4>
      </vt:variant>
      <vt:variant>
        <vt:i4>5</vt:i4>
      </vt:variant>
      <vt:variant>
        <vt:lpwstr>https://canlii.ca/t/x8d</vt:lpwstr>
      </vt:variant>
      <vt:variant>
        <vt:lpwstr>sec10</vt:lpwstr>
      </vt:variant>
      <vt:variant>
        <vt:i4>6160451</vt:i4>
      </vt:variant>
      <vt:variant>
        <vt:i4>36</vt:i4>
      </vt:variant>
      <vt:variant>
        <vt:i4>0</vt:i4>
      </vt:variant>
      <vt:variant>
        <vt:i4>5</vt:i4>
      </vt:variant>
      <vt:variant>
        <vt:lpwstr>https://canlii.ca/t/gk9vn</vt:lpwstr>
      </vt:variant>
      <vt:variant>
        <vt:lpwstr>par48</vt:lpwstr>
      </vt:variant>
      <vt:variant>
        <vt:i4>6160451</vt:i4>
      </vt:variant>
      <vt:variant>
        <vt:i4>33</vt:i4>
      </vt:variant>
      <vt:variant>
        <vt:i4>0</vt:i4>
      </vt:variant>
      <vt:variant>
        <vt:i4>5</vt:i4>
      </vt:variant>
      <vt:variant>
        <vt:lpwstr>https://canlii.ca/t/gk9vn</vt:lpwstr>
      </vt:variant>
      <vt:variant>
        <vt:lpwstr>par48</vt:lpwstr>
      </vt:variant>
      <vt:variant>
        <vt:i4>6422584</vt:i4>
      </vt:variant>
      <vt:variant>
        <vt:i4>30</vt:i4>
      </vt:variant>
      <vt:variant>
        <vt:i4>0</vt:i4>
      </vt:variant>
      <vt:variant>
        <vt:i4>5</vt:i4>
      </vt:variant>
      <vt:variant>
        <vt:lpwstr>https://canlii.ca/t/fvsc0</vt:lpwstr>
      </vt:variant>
      <vt:variant>
        <vt:lpwstr>par202</vt:lpwstr>
      </vt:variant>
      <vt:variant>
        <vt:i4>6815860</vt:i4>
      </vt:variant>
      <vt:variant>
        <vt:i4>27</vt:i4>
      </vt:variant>
      <vt:variant>
        <vt:i4>0</vt:i4>
      </vt:variant>
      <vt:variant>
        <vt:i4>5</vt:i4>
      </vt:variant>
      <vt:variant>
        <vt:lpwstr>https://canlii.ca/t/jm5s6</vt:lpwstr>
      </vt:variant>
      <vt:variant>
        <vt:lpwstr>par160</vt:lpwstr>
      </vt:variant>
      <vt:variant>
        <vt:i4>8192110</vt:i4>
      </vt:variant>
      <vt:variant>
        <vt:i4>24</vt:i4>
      </vt:variant>
      <vt:variant>
        <vt:i4>0</vt:i4>
      </vt:variant>
      <vt:variant>
        <vt:i4>5</vt:i4>
      </vt:variant>
      <vt:variant>
        <vt:lpwstr>https://www.canlii.org/en/commentary/doc/2022CanLIIDocs4187?autocompleteStr=%2C%202022%20CanLIIDocs%204187&amp;autocompletePos=1&amp;resultId=917908d9c331492db1eb0e0b5ca790ce&amp;searchId=0cf460d325dd471c974f64238622a9b2</vt:lpwstr>
      </vt:variant>
      <vt:variant>
        <vt:lpwstr>!fragment//BQCwhgziBcwMYgK4DsDWszIQewE4BUBTADwBdoByCgSgBpltTCIBFRQ3AT0otokLC4EbDtyp8BQkAGU8pAELcASgFEAMioBqAQQByAYRW1SYAEbRS2ONWpA</vt:lpwstr>
      </vt:variant>
      <vt:variant>
        <vt:i4>1441800</vt:i4>
      </vt:variant>
      <vt:variant>
        <vt:i4>21</vt:i4>
      </vt:variant>
      <vt:variant>
        <vt:i4>0</vt:i4>
      </vt:variant>
      <vt:variant>
        <vt:i4>5</vt:i4>
      </vt:variant>
      <vt:variant>
        <vt:lpwstr>https://oci-bec.gc.ca/en/content/office-correctional-investigator-annual-report-2021-2022</vt:lpwstr>
      </vt:variant>
      <vt:variant>
        <vt:lpwstr/>
      </vt:variant>
      <vt:variant>
        <vt:i4>7209077</vt:i4>
      </vt:variant>
      <vt:variant>
        <vt:i4>18</vt:i4>
      </vt:variant>
      <vt:variant>
        <vt:i4>0</vt:i4>
      </vt:variant>
      <vt:variant>
        <vt:i4>5</vt:i4>
      </vt:variant>
      <vt:variant>
        <vt:lpwstr>https://canlii.ca/t/jm5s6</vt:lpwstr>
      </vt:variant>
      <vt:variant>
        <vt:lpwstr>par176</vt:lpwstr>
      </vt:variant>
      <vt:variant>
        <vt:i4>8257572</vt:i4>
      </vt:variant>
      <vt:variant>
        <vt:i4>15</vt:i4>
      </vt:variant>
      <vt:variant>
        <vt:i4>0</vt:i4>
      </vt:variant>
      <vt:variant>
        <vt:i4>5</vt:i4>
      </vt:variant>
      <vt:variant>
        <vt:lpwstr>https://canlii.ca/t/j8f6m</vt:lpwstr>
      </vt:variant>
      <vt:variant>
        <vt:lpwstr>par156</vt:lpwstr>
      </vt:variant>
      <vt:variant>
        <vt:i4>4194396</vt:i4>
      </vt:variant>
      <vt:variant>
        <vt:i4>12</vt:i4>
      </vt:variant>
      <vt:variant>
        <vt:i4>0</vt:i4>
      </vt:variant>
      <vt:variant>
        <vt:i4>5</vt:i4>
      </vt:variant>
      <vt:variant>
        <vt:lpwstr>https://canlii.ca/t/1fr05</vt:lpwstr>
      </vt:variant>
      <vt:variant>
        <vt:lpwstr/>
      </vt:variant>
      <vt:variant>
        <vt:i4>2097269</vt:i4>
      </vt:variant>
      <vt:variant>
        <vt:i4>9</vt:i4>
      </vt:variant>
      <vt:variant>
        <vt:i4>0</vt:i4>
      </vt:variant>
      <vt:variant>
        <vt:i4>5</vt:i4>
      </vt:variant>
      <vt:variant>
        <vt:lpwstr>https://canlii.ca/t/jf774</vt:lpwstr>
      </vt:variant>
      <vt:variant>
        <vt:lpwstr>par254</vt:lpwstr>
      </vt:variant>
      <vt:variant>
        <vt:i4>7143541</vt:i4>
      </vt:variant>
      <vt:variant>
        <vt:i4>6</vt:i4>
      </vt:variant>
      <vt:variant>
        <vt:i4>0</vt:i4>
      </vt:variant>
      <vt:variant>
        <vt:i4>5</vt:i4>
      </vt:variant>
      <vt:variant>
        <vt:lpwstr>https://canlii.ca/t/jm5s6</vt:lpwstr>
      </vt:variant>
      <vt:variant>
        <vt:lpwstr>par175</vt:lpwstr>
      </vt:variant>
      <vt:variant>
        <vt:i4>3342455</vt:i4>
      </vt:variant>
      <vt:variant>
        <vt:i4>3</vt:i4>
      </vt:variant>
      <vt:variant>
        <vt:i4>0</vt:i4>
      </vt:variant>
      <vt:variant>
        <vt:i4>5</vt:i4>
      </vt:variant>
      <vt:variant>
        <vt:lpwstr>https://canlii.ca/t/xq7</vt:lpwstr>
      </vt:variant>
      <vt:variant>
        <vt:lpwstr>sec1</vt:lpwstr>
      </vt:variant>
      <vt:variant>
        <vt:i4>2949174</vt:i4>
      </vt:variant>
      <vt:variant>
        <vt:i4>0</vt:i4>
      </vt:variant>
      <vt:variant>
        <vt:i4>0</vt:i4>
      </vt:variant>
      <vt:variant>
        <vt:i4>5</vt:i4>
      </vt:variant>
      <vt:variant>
        <vt:lpwstr>https://www.ojp.gov/pdffiles/162358.pdf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EDJ</dc:title>
  <dc:creator>Ann-Marie Jones</dc:creator>
  <cp:lastModifiedBy>Gauthier, François</cp:lastModifiedBy>
  <cp:revision>9</cp:revision>
  <cp:lastPrinted>2023-11-06T14:24:00Z</cp:lastPrinted>
  <dcterms:created xsi:type="dcterms:W3CDTF">2024-08-16T17:14:00Z</dcterms:created>
  <dcterms:modified xsi:type="dcterms:W3CDTF">2024-08-20T11:31:00Z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Cour">
    <vt:lpwstr>CQ</vt:lpwstr>
  </property>
  <property fmtid="{D5CDD505-2E9C-101B-9397-08002B2CF9AE}" pid="3" name="Soquij_DateModification">
    <vt:lpwstr>01/24/2002</vt:lpwstr>
  </property>
  <property fmtid="{D5CDD505-2E9C-101B-9397-08002B2CF9AE}" pid="4" name="Soquij_Langue">
    <vt:lpwstr>Fra</vt:lpwstr>
  </property>
  <property fmtid="{D5CDD505-2E9C-101B-9397-08002B2CF9AE}" pid="5" name="Soquij_Modele">
    <vt:lpwstr>edj</vt:lpwstr>
  </property>
  <property fmtid="{D5CDD505-2E9C-101B-9397-08002B2CF9AE}" pid="6" name="Soquij_ModifiePar">
    <vt:lpwstr>renste</vt:lpwstr>
  </property>
  <property fmtid="{D5CDD505-2E9C-101B-9397-08002B2CF9AE}" pid="7" name="Soquij_Version">
    <vt:lpwstr>1.6</vt:lpwstr>
  </property>
</Properties>
</file>