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0379" w14:textId="54B5A922" w:rsidR="00197457" w:rsidRPr="006729B0" w:rsidRDefault="00483E2B">
      <w:pPr>
        <w:rPr>
          <w:lang w:val="en-CA"/>
        </w:rPr>
      </w:pPr>
      <w:r w:rsidRPr="006729B0">
        <w:rPr>
          <w:rStyle w:val="ui-provider"/>
          <w:lang w:val="en-CA"/>
        </w:rPr>
        <w:t xml:space="preserve">English </w:t>
      </w:r>
      <w:r w:rsidR="00E137A5" w:rsidRPr="006729B0">
        <w:rPr>
          <w:rStyle w:val="ui-provider"/>
          <w:lang w:val="en-CA"/>
        </w:rPr>
        <w:t>t</w:t>
      </w:r>
      <w:r w:rsidRPr="006729B0">
        <w:rPr>
          <w:rStyle w:val="ui-provider"/>
          <w:lang w:val="en-CA"/>
        </w:rPr>
        <w:t xml:space="preserve">ranslation of the </w:t>
      </w:r>
      <w:r w:rsidR="00E137A5" w:rsidRPr="006729B0">
        <w:rPr>
          <w:rStyle w:val="ui-provider"/>
          <w:lang w:val="en-CA"/>
        </w:rPr>
        <w:t>j</w:t>
      </w:r>
      <w:r w:rsidRPr="006729B0">
        <w:rPr>
          <w:rStyle w:val="ui-provider"/>
          <w:lang w:val="en-CA"/>
        </w:rPr>
        <w:t>udgment of the Court by SOQUIJ </w:t>
      </w:r>
    </w:p>
    <w:tbl>
      <w:tblPr>
        <w:tblW w:w="9360" w:type="dxa"/>
        <w:tblLayout w:type="fixed"/>
        <w:tblCellMar>
          <w:left w:w="0" w:type="dxa"/>
          <w:right w:w="0" w:type="dxa"/>
        </w:tblCellMar>
        <w:tblLook w:val="0000" w:firstRow="0" w:lastRow="0" w:firstColumn="0" w:lastColumn="0" w:noHBand="0" w:noVBand="0"/>
      </w:tblPr>
      <w:tblGrid>
        <w:gridCol w:w="1030"/>
        <w:gridCol w:w="590"/>
        <w:gridCol w:w="81"/>
        <w:gridCol w:w="2269"/>
        <w:gridCol w:w="3402"/>
        <w:gridCol w:w="1988"/>
      </w:tblGrid>
      <w:tr w:rsidR="00D27D2E" w:rsidRPr="00E355F0" w14:paraId="3611B07D" w14:textId="77777777" w:rsidTr="008D18FC">
        <w:trPr>
          <w:trHeight w:val="248"/>
        </w:trPr>
        <w:tc>
          <w:tcPr>
            <w:tcW w:w="7372" w:type="dxa"/>
            <w:gridSpan w:val="5"/>
          </w:tcPr>
          <w:p w14:paraId="10F2E5AE" w14:textId="6ECD97D0" w:rsidR="00D27D2E" w:rsidRPr="005D3F3F" w:rsidRDefault="00D27D2E" w:rsidP="00D27D2E">
            <w:pPr>
              <w:pStyle w:val="zSoquijdatRepertorie"/>
              <w:rPr>
                <w:lang w:val="en-US"/>
              </w:rPr>
            </w:pPr>
            <w:r>
              <w:rPr>
                <w:rFonts w:cs="Arial"/>
              </w:rPr>
              <w:t>Yan c. R.</w:t>
            </w:r>
          </w:p>
        </w:tc>
        <w:tc>
          <w:tcPr>
            <w:tcW w:w="1988" w:type="dxa"/>
          </w:tcPr>
          <w:p w14:paraId="5161F570" w14:textId="6046056A" w:rsidR="00D27D2E" w:rsidRPr="005D3F3F" w:rsidRDefault="00D27D2E" w:rsidP="00D27D2E">
            <w:pPr>
              <w:pStyle w:val="zSoquijdatRefNeutre"/>
              <w:jc w:val="right"/>
              <w:rPr>
                <w:lang w:val="en-US"/>
              </w:rPr>
            </w:pPr>
            <w:r w:rsidRPr="00D85048">
              <w:rPr>
                <w:rFonts w:cs="Arial"/>
              </w:rPr>
              <w:t>2024 QCCA 399</w:t>
            </w:r>
          </w:p>
        </w:tc>
      </w:tr>
      <w:tr w:rsidR="007C49F6" w14:paraId="79B72BF4" w14:textId="77777777" w:rsidTr="008D18FC">
        <w:trPr>
          <w:trHeight w:val="247"/>
        </w:trPr>
        <w:tc>
          <w:tcPr>
            <w:tcW w:w="9360" w:type="dxa"/>
            <w:gridSpan w:val="6"/>
          </w:tcPr>
          <w:p w14:paraId="5FAC8D57" w14:textId="77777777" w:rsidR="008F364A" w:rsidRDefault="005D3F3F">
            <w:pPr>
              <w:pStyle w:val="zSoquijlblCour"/>
            </w:pPr>
            <w:r>
              <w:rPr>
                <w:bCs/>
                <w:lang w:val="en-CA"/>
              </w:rPr>
              <w:t>COURT OF APPEAL</w:t>
            </w:r>
          </w:p>
        </w:tc>
      </w:tr>
      <w:tr w:rsidR="007C49F6" w14:paraId="3497ABD3" w14:textId="77777777" w:rsidTr="008D18FC">
        <w:trPr>
          <w:trHeight w:val="540"/>
        </w:trPr>
        <w:tc>
          <w:tcPr>
            <w:tcW w:w="9360" w:type="dxa"/>
            <w:gridSpan w:val="6"/>
          </w:tcPr>
          <w:p w14:paraId="031E1852" w14:textId="77777777" w:rsidR="008F364A" w:rsidRDefault="008F364A">
            <w:pPr>
              <w:pStyle w:val="zSoquijdatDivision"/>
            </w:pPr>
          </w:p>
        </w:tc>
      </w:tr>
      <w:tr w:rsidR="007C49F6" w14:paraId="6CD90C0B" w14:textId="77777777" w:rsidTr="008D18FC">
        <w:tc>
          <w:tcPr>
            <w:tcW w:w="9360" w:type="dxa"/>
            <w:gridSpan w:val="6"/>
          </w:tcPr>
          <w:p w14:paraId="39A793AC" w14:textId="77777777" w:rsidR="008F364A" w:rsidRDefault="005D3F3F">
            <w:pPr>
              <w:pStyle w:val="zSoquijlblPays"/>
            </w:pPr>
            <w:r>
              <w:rPr>
                <w:lang w:val="en-CA"/>
              </w:rPr>
              <w:t>CANADA</w:t>
            </w:r>
          </w:p>
        </w:tc>
      </w:tr>
      <w:tr w:rsidR="007C49F6" w14:paraId="3FE4A33B" w14:textId="77777777" w:rsidTr="008D18FC">
        <w:tc>
          <w:tcPr>
            <w:tcW w:w="9360" w:type="dxa"/>
            <w:gridSpan w:val="6"/>
          </w:tcPr>
          <w:p w14:paraId="5DAFE4AD" w14:textId="77777777" w:rsidR="008F364A" w:rsidRDefault="005D3F3F">
            <w:pPr>
              <w:pStyle w:val="zSoquijlblProvince"/>
            </w:pPr>
            <w:r>
              <w:rPr>
                <w:lang w:val="en-CA"/>
              </w:rPr>
              <w:t>PROVINCE OF QUEBEC</w:t>
            </w:r>
          </w:p>
        </w:tc>
      </w:tr>
      <w:tr w:rsidR="007C49F6" w14:paraId="65D35073" w14:textId="77777777" w:rsidTr="00197457">
        <w:tc>
          <w:tcPr>
            <w:tcW w:w="1701" w:type="dxa"/>
            <w:gridSpan w:val="3"/>
          </w:tcPr>
          <w:p w14:paraId="4156D4DE" w14:textId="77777777" w:rsidR="008F364A" w:rsidRDefault="005D3F3F">
            <w:pPr>
              <w:pStyle w:val="zSoquijlblGreffe"/>
            </w:pPr>
            <w:r>
              <w:rPr>
                <w:lang w:val="en-CA"/>
              </w:rPr>
              <w:t>REGISTRY OF</w:t>
            </w:r>
          </w:p>
          <w:p w14:paraId="3B311899" w14:textId="77777777" w:rsidR="008F364A" w:rsidRDefault="008F364A">
            <w:pPr>
              <w:pStyle w:val="zSoquijlblGreffe"/>
            </w:pPr>
          </w:p>
        </w:tc>
        <w:tc>
          <w:tcPr>
            <w:tcW w:w="7659" w:type="dxa"/>
            <w:gridSpan w:val="3"/>
          </w:tcPr>
          <w:p w14:paraId="65897827" w14:textId="13F823F1" w:rsidR="008F364A" w:rsidRDefault="005D3F3F">
            <w:pPr>
              <w:pStyle w:val="zSoquijdatGreffe"/>
            </w:pPr>
            <w:bookmarkStart w:id="0" w:name="NomGreffe"/>
            <w:r>
              <w:rPr>
                <w:lang w:val="en-CA"/>
              </w:rPr>
              <w:t>QU</w:t>
            </w:r>
            <w:r w:rsidR="00816758">
              <w:rPr>
                <w:lang w:val="en-CA"/>
              </w:rPr>
              <w:t>E</w:t>
            </w:r>
            <w:r>
              <w:rPr>
                <w:lang w:val="en-CA"/>
              </w:rPr>
              <w:t>BEC</w:t>
            </w:r>
            <w:bookmarkEnd w:id="0"/>
          </w:p>
        </w:tc>
      </w:tr>
      <w:tr w:rsidR="007C49F6" w14:paraId="18682F28" w14:textId="77777777" w:rsidTr="008D18FC">
        <w:tc>
          <w:tcPr>
            <w:tcW w:w="1030" w:type="dxa"/>
          </w:tcPr>
          <w:p w14:paraId="76C23546" w14:textId="77777777" w:rsidR="008F364A" w:rsidRDefault="005D3F3F">
            <w:pPr>
              <w:pStyle w:val="zSoquijlblNoDossier"/>
            </w:pPr>
            <w:r>
              <w:rPr>
                <w:lang w:val="en-CA"/>
              </w:rPr>
              <w:t>No.:</w:t>
            </w:r>
          </w:p>
        </w:tc>
        <w:tc>
          <w:tcPr>
            <w:tcW w:w="8330" w:type="dxa"/>
            <w:gridSpan w:val="5"/>
          </w:tcPr>
          <w:p w14:paraId="1382B50B" w14:textId="77777777" w:rsidR="008F364A" w:rsidRDefault="005D3F3F">
            <w:pPr>
              <w:pStyle w:val="zSoquijdatNoDossier"/>
            </w:pPr>
            <w:bookmarkStart w:id="1" w:name="NoDossier"/>
            <w:r>
              <w:rPr>
                <w:lang w:val="en-CA"/>
              </w:rPr>
              <w:t>200-10-004021-221</w:t>
            </w:r>
            <w:bookmarkEnd w:id="1"/>
          </w:p>
        </w:tc>
      </w:tr>
      <w:tr w:rsidR="007C49F6" w14:paraId="5C4DD4B3" w14:textId="77777777" w:rsidTr="008D18FC">
        <w:tc>
          <w:tcPr>
            <w:tcW w:w="9360" w:type="dxa"/>
            <w:gridSpan w:val="6"/>
          </w:tcPr>
          <w:p w14:paraId="6FE5C1EF" w14:textId="77777777" w:rsidR="004E0F92" w:rsidRDefault="005D3F3F" w:rsidP="004E0F92">
            <w:pPr>
              <w:pStyle w:val="zSoquijdatNoDossierAnt"/>
            </w:pPr>
            <w:r>
              <w:rPr>
                <w:lang w:val="en-CA"/>
              </w:rPr>
              <w:t>(150-01-062871-208)</w:t>
            </w:r>
          </w:p>
        </w:tc>
      </w:tr>
      <w:tr w:rsidR="007C49F6" w14:paraId="7903AC31" w14:textId="77777777" w:rsidTr="008D18FC">
        <w:tc>
          <w:tcPr>
            <w:tcW w:w="9360" w:type="dxa"/>
            <w:gridSpan w:val="6"/>
          </w:tcPr>
          <w:p w14:paraId="30E5C001" w14:textId="77777777" w:rsidR="008F364A" w:rsidRDefault="008F364A"/>
        </w:tc>
      </w:tr>
      <w:tr w:rsidR="007C49F6" w14:paraId="0BAFD65A" w14:textId="77777777" w:rsidTr="008D18FC">
        <w:tc>
          <w:tcPr>
            <w:tcW w:w="1030" w:type="dxa"/>
          </w:tcPr>
          <w:p w14:paraId="1CF1DF18" w14:textId="77777777" w:rsidR="008F364A" w:rsidRDefault="005D3F3F">
            <w:pPr>
              <w:pStyle w:val="zSoquijlblDateJugement"/>
            </w:pPr>
            <w:r>
              <w:rPr>
                <w:lang w:val="en-CA"/>
              </w:rPr>
              <w:t>DATE:</w:t>
            </w:r>
          </w:p>
        </w:tc>
        <w:tc>
          <w:tcPr>
            <w:tcW w:w="8330" w:type="dxa"/>
            <w:gridSpan w:val="5"/>
          </w:tcPr>
          <w:p w14:paraId="060868F9" w14:textId="34446463" w:rsidR="008F364A" w:rsidRDefault="005D3F3F">
            <w:pPr>
              <w:pStyle w:val="zSoquijdatDateJugement"/>
            </w:pPr>
            <w:r>
              <w:rPr>
                <w:lang w:val="en-CA"/>
              </w:rPr>
              <w:fldChar w:fldCharType="begin"/>
            </w:r>
            <w:r>
              <w:rPr>
                <w:lang w:val="en-CA"/>
              </w:rPr>
              <w:instrText xml:space="preserve"> QUOTE " " </w:instrText>
            </w:r>
            <w:r>
              <w:rPr>
                <w:lang w:val="en-CA"/>
              </w:rPr>
              <w:fldChar w:fldCharType="separate"/>
            </w:r>
            <w:r>
              <w:rPr>
                <w:lang w:val="en-CA"/>
              </w:rPr>
              <w:t xml:space="preserve"> </w:t>
            </w:r>
            <w:r>
              <w:rPr>
                <w:lang w:val="en-CA"/>
              </w:rPr>
              <w:fldChar w:fldCharType="end"/>
            </w:r>
            <w:r>
              <w:rPr>
                <w:lang w:val="en-CA"/>
              </w:rPr>
              <w:t>April 4, 2024</w:t>
            </w:r>
          </w:p>
        </w:tc>
      </w:tr>
      <w:tr w:rsidR="007C49F6" w14:paraId="7EF79D53" w14:textId="77777777" w:rsidTr="008D18FC">
        <w:tc>
          <w:tcPr>
            <w:tcW w:w="9360" w:type="dxa"/>
            <w:gridSpan w:val="6"/>
            <w:tcBorders>
              <w:bottom w:val="single" w:sz="8" w:space="0" w:color="auto"/>
            </w:tcBorders>
          </w:tcPr>
          <w:p w14:paraId="73BEEF84" w14:textId="77777777" w:rsidR="008F364A" w:rsidRDefault="008F364A"/>
        </w:tc>
      </w:tr>
      <w:tr w:rsidR="007C49F6" w14:paraId="5C9BE62F" w14:textId="77777777" w:rsidTr="008D18FC">
        <w:tc>
          <w:tcPr>
            <w:tcW w:w="9360" w:type="dxa"/>
            <w:gridSpan w:val="6"/>
            <w:tcBorders>
              <w:top w:val="single" w:sz="8" w:space="0" w:color="auto"/>
            </w:tcBorders>
          </w:tcPr>
          <w:p w14:paraId="7C5B7B73" w14:textId="77777777" w:rsidR="008F364A" w:rsidRDefault="008F364A"/>
        </w:tc>
      </w:tr>
      <w:tr w:rsidR="007C49F6" w14:paraId="01962F3F" w14:textId="77777777" w:rsidTr="008D18FC">
        <w:tc>
          <w:tcPr>
            <w:tcW w:w="1620" w:type="dxa"/>
            <w:gridSpan w:val="2"/>
          </w:tcPr>
          <w:p w14:paraId="63DA7935" w14:textId="77777777" w:rsidR="008F364A" w:rsidRDefault="005D3F3F" w:rsidP="00423DF1">
            <w:pPr>
              <w:pStyle w:val="zSoquijlblJuge"/>
              <w:ind w:right="-142"/>
            </w:pPr>
            <w:bookmarkStart w:id="2" w:name="FORMATION"/>
            <w:r>
              <w:rPr>
                <w:bCs/>
                <w:lang w:val="en-CA"/>
              </w:rPr>
              <w:t>CORAM:</w:t>
            </w:r>
            <w:bookmarkEnd w:id="2"/>
          </w:p>
        </w:tc>
        <w:tc>
          <w:tcPr>
            <w:tcW w:w="2350" w:type="dxa"/>
            <w:gridSpan w:val="2"/>
          </w:tcPr>
          <w:p w14:paraId="4F68C1D1" w14:textId="77777777" w:rsidR="008F364A" w:rsidRDefault="005D3F3F">
            <w:pPr>
              <w:pStyle w:val="zSoquijdatQteJuge"/>
            </w:pPr>
            <w:bookmarkStart w:id="3" w:name="Honorables"/>
            <w:r>
              <w:rPr>
                <w:bCs/>
                <w:lang w:val="en-CA"/>
              </w:rPr>
              <w:t>THE HONOURABLE</w:t>
            </w:r>
            <w:bookmarkEnd w:id="3"/>
          </w:p>
        </w:tc>
        <w:tc>
          <w:tcPr>
            <w:tcW w:w="5390" w:type="dxa"/>
            <w:gridSpan w:val="2"/>
          </w:tcPr>
          <w:p w14:paraId="00E0476C" w14:textId="77777777" w:rsidR="008F364A" w:rsidRPr="000F3F93" w:rsidRDefault="005D3F3F">
            <w:pPr>
              <w:pStyle w:val="zSoquijdatJuge"/>
            </w:pPr>
            <w:bookmarkStart w:id="4" w:name="NomJuge1"/>
            <w:r w:rsidRPr="005D3F3F">
              <w:rPr>
                <w:bCs/>
              </w:rPr>
              <w:t>JULIE DUTIL, J.A.</w:t>
            </w:r>
            <w:bookmarkEnd w:id="4"/>
          </w:p>
          <w:p w14:paraId="37209B34" w14:textId="77777777" w:rsidR="008F364A" w:rsidRPr="00F26891" w:rsidRDefault="005D3F3F">
            <w:pPr>
              <w:pStyle w:val="zSoquijdatJuge"/>
            </w:pPr>
            <w:bookmarkStart w:id="5" w:name="NomJuge2"/>
            <w:r w:rsidRPr="005D3F3F">
              <w:rPr>
                <w:bCs/>
              </w:rPr>
              <w:t>GENEVIÈVE COTNAM, J.A.</w:t>
            </w:r>
            <w:bookmarkEnd w:id="5"/>
          </w:p>
          <w:p w14:paraId="78EEF0BB" w14:textId="77777777" w:rsidR="005A78BF" w:rsidRDefault="005D3F3F" w:rsidP="004E0F92">
            <w:pPr>
              <w:pStyle w:val="zSoquijdatJuge"/>
            </w:pPr>
            <w:bookmarkStart w:id="6" w:name="_Hlt520513784"/>
            <w:bookmarkStart w:id="7" w:name="NomJuge3"/>
            <w:bookmarkEnd w:id="6"/>
            <w:r w:rsidRPr="005D3F3F">
              <w:rPr>
                <w:bCs/>
              </w:rPr>
              <w:t>LORI RENÉE WEITZMAN, J.A.</w:t>
            </w:r>
            <w:bookmarkEnd w:id="7"/>
          </w:p>
        </w:tc>
      </w:tr>
      <w:tr w:rsidR="007C49F6" w14:paraId="6C8EB748" w14:textId="77777777" w:rsidTr="008D18FC">
        <w:tc>
          <w:tcPr>
            <w:tcW w:w="9360" w:type="dxa"/>
            <w:gridSpan w:val="6"/>
            <w:tcBorders>
              <w:bottom w:val="single" w:sz="8" w:space="0" w:color="auto"/>
            </w:tcBorders>
          </w:tcPr>
          <w:p w14:paraId="799F3A5B" w14:textId="77777777" w:rsidR="008F364A" w:rsidRDefault="008F364A"/>
        </w:tc>
      </w:tr>
      <w:tr w:rsidR="007C49F6" w14:paraId="1CD82CB0" w14:textId="77777777" w:rsidTr="008D18FC">
        <w:tc>
          <w:tcPr>
            <w:tcW w:w="9360" w:type="dxa"/>
            <w:gridSpan w:val="6"/>
          </w:tcPr>
          <w:p w14:paraId="3A1A450F" w14:textId="77777777" w:rsidR="008F364A" w:rsidRDefault="008F364A">
            <w:pPr>
              <w:pStyle w:val="zSoquijlblTitrePartie"/>
            </w:pPr>
          </w:p>
        </w:tc>
      </w:tr>
      <w:tr w:rsidR="007C49F6" w14:paraId="5AC99F7A" w14:textId="77777777" w:rsidTr="008D18FC">
        <w:tc>
          <w:tcPr>
            <w:tcW w:w="9360" w:type="dxa"/>
            <w:gridSpan w:val="6"/>
          </w:tcPr>
          <w:p w14:paraId="2C37266B" w14:textId="20649C7C" w:rsidR="008F364A" w:rsidRDefault="005D3F3F">
            <w:pPr>
              <w:pStyle w:val="zSoquijdatNomPartieDem"/>
            </w:pPr>
            <w:r>
              <w:rPr>
                <w:lang w:val="en-CA"/>
              </w:rPr>
              <w:t>JUN JIE YAN</w:t>
            </w:r>
          </w:p>
        </w:tc>
      </w:tr>
      <w:tr w:rsidR="007C49F6" w14:paraId="582D86EB" w14:textId="77777777" w:rsidTr="008D18FC">
        <w:tc>
          <w:tcPr>
            <w:tcW w:w="9360" w:type="dxa"/>
            <w:gridSpan w:val="6"/>
          </w:tcPr>
          <w:p w14:paraId="03F7E58A" w14:textId="673B18B6" w:rsidR="008F364A" w:rsidRDefault="005D3F3F">
            <w:pPr>
              <w:pStyle w:val="zSoquijdatQtePartieDem"/>
            </w:pPr>
            <w:r>
              <w:rPr>
                <w:lang w:val="en-CA"/>
              </w:rPr>
              <w:t>APPELLANT – Accused</w:t>
            </w:r>
          </w:p>
        </w:tc>
      </w:tr>
      <w:tr w:rsidR="007C49F6" w14:paraId="72554E69" w14:textId="77777777" w:rsidTr="008D18FC">
        <w:tc>
          <w:tcPr>
            <w:tcW w:w="9360" w:type="dxa"/>
            <w:gridSpan w:val="6"/>
          </w:tcPr>
          <w:p w14:paraId="659DD084" w14:textId="77777777" w:rsidR="008F364A" w:rsidRDefault="005D3F3F">
            <w:pPr>
              <w:pStyle w:val="zSoquijlblLienParties"/>
            </w:pPr>
            <w:r>
              <w:rPr>
                <w:lang w:val="en-CA"/>
              </w:rPr>
              <w:t>v.</w:t>
            </w:r>
          </w:p>
        </w:tc>
      </w:tr>
      <w:tr w:rsidR="007C49F6" w14:paraId="2B02867F" w14:textId="77777777" w:rsidTr="008D18FC">
        <w:tc>
          <w:tcPr>
            <w:tcW w:w="9360" w:type="dxa"/>
            <w:gridSpan w:val="6"/>
          </w:tcPr>
          <w:p w14:paraId="4DAE1904" w14:textId="77777777" w:rsidR="008F364A" w:rsidRDefault="008F364A"/>
        </w:tc>
      </w:tr>
      <w:tr w:rsidR="007C49F6" w14:paraId="49CC0162" w14:textId="77777777" w:rsidTr="008D18FC">
        <w:tc>
          <w:tcPr>
            <w:tcW w:w="9360" w:type="dxa"/>
            <w:gridSpan w:val="6"/>
          </w:tcPr>
          <w:p w14:paraId="1AEE7A06" w14:textId="099AECCA" w:rsidR="008F364A" w:rsidRDefault="005D3F3F">
            <w:pPr>
              <w:pStyle w:val="zSoquijdatNomPartieDef"/>
            </w:pPr>
            <w:r>
              <w:rPr>
                <w:lang w:val="en-CA"/>
              </w:rPr>
              <w:t>HIS MAJESTY THE KING</w:t>
            </w:r>
          </w:p>
        </w:tc>
      </w:tr>
      <w:tr w:rsidR="007C49F6" w14:paraId="5A079012" w14:textId="77777777" w:rsidTr="008D18FC">
        <w:tc>
          <w:tcPr>
            <w:tcW w:w="9360" w:type="dxa"/>
            <w:gridSpan w:val="6"/>
          </w:tcPr>
          <w:p w14:paraId="325DF833" w14:textId="66D89AD8" w:rsidR="008F364A" w:rsidRDefault="005D3F3F">
            <w:pPr>
              <w:pStyle w:val="zSoquijdatQtePartieDef"/>
            </w:pPr>
            <w:r>
              <w:rPr>
                <w:lang w:val="en-CA"/>
              </w:rPr>
              <w:t>RESPONDENT – Prosecut</w:t>
            </w:r>
            <w:r w:rsidR="00816758">
              <w:rPr>
                <w:lang w:val="en-CA"/>
              </w:rPr>
              <w:t>or</w:t>
            </w:r>
          </w:p>
        </w:tc>
      </w:tr>
      <w:tr w:rsidR="007C49F6" w14:paraId="76D443DC" w14:textId="77777777" w:rsidTr="008D18FC">
        <w:tc>
          <w:tcPr>
            <w:tcW w:w="9360" w:type="dxa"/>
            <w:gridSpan w:val="6"/>
          </w:tcPr>
          <w:p w14:paraId="6F2EF0AE" w14:textId="77777777" w:rsidR="008F364A" w:rsidRDefault="008F364A"/>
        </w:tc>
      </w:tr>
      <w:tr w:rsidR="007C49F6" w14:paraId="4C021864" w14:textId="77777777" w:rsidTr="008D18FC">
        <w:tc>
          <w:tcPr>
            <w:tcW w:w="9360" w:type="dxa"/>
            <w:gridSpan w:val="6"/>
            <w:tcBorders>
              <w:top w:val="single" w:sz="8" w:space="0" w:color="auto"/>
            </w:tcBorders>
          </w:tcPr>
          <w:p w14:paraId="483C4A7A" w14:textId="77777777" w:rsidR="008F364A" w:rsidRDefault="008F364A">
            <w:bookmarkStart w:id="8" w:name="Arret"/>
          </w:p>
        </w:tc>
      </w:tr>
      <w:tr w:rsidR="007C49F6" w14:paraId="3656C48C" w14:textId="77777777" w:rsidTr="008D18FC">
        <w:tc>
          <w:tcPr>
            <w:tcW w:w="9360" w:type="dxa"/>
            <w:gridSpan w:val="6"/>
          </w:tcPr>
          <w:p w14:paraId="076E87A7" w14:textId="77777777" w:rsidR="008F364A" w:rsidRDefault="005D3F3F">
            <w:pPr>
              <w:pStyle w:val="zSoquijlblTypeDocument"/>
            </w:pPr>
            <w:bookmarkStart w:id="9" w:name="TitreDocument"/>
            <w:r>
              <w:rPr>
                <w:lang w:val="en-CA"/>
              </w:rPr>
              <w:t>JUDGMENT</w:t>
            </w:r>
            <w:bookmarkEnd w:id="9"/>
          </w:p>
        </w:tc>
      </w:tr>
      <w:tr w:rsidR="007C49F6" w14:paraId="6CE958CC" w14:textId="77777777" w:rsidTr="008D18FC">
        <w:tc>
          <w:tcPr>
            <w:tcW w:w="9360" w:type="dxa"/>
            <w:gridSpan w:val="6"/>
            <w:tcBorders>
              <w:bottom w:val="single" w:sz="8" w:space="0" w:color="auto"/>
            </w:tcBorders>
          </w:tcPr>
          <w:p w14:paraId="39BEEF26" w14:textId="77777777" w:rsidR="008F364A" w:rsidRDefault="008F364A"/>
        </w:tc>
      </w:tr>
      <w:tr w:rsidR="007C49F6" w14:paraId="609669F4" w14:textId="77777777" w:rsidTr="008D18FC">
        <w:tc>
          <w:tcPr>
            <w:tcW w:w="9360" w:type="dxa"/>
            <w:gridSpan w:val="6"/>
            <w:tcBorders>
              <w:top w:val="single" w:sz="8" w:space="0" w:color="auto"/>
            </w:tcBorders>
          </w:tcPr>
          <w:p w14:paraId="4F007BB3" w14:textId="77777777" w:rsidR="008F364A" w:rsidRDefault="008F364A"/>
        </w:tc>
      </w:tr>
    </w:tbl>
    <w:p w14:paraId="056B8D03" w14:textId="530A8F7B" w:rsidR="008F364A" w:rsidRPr="005D3F3F" w:rsidRDefault="005D3F3F" w:rsidP="00392B3D">
      <w:pPr>
        <w:pStyle w:val="Paragraphe"/>
        <w:spacing w:before="240" w:line="280" w:lineRule="exact"/>
        <w:rPr>
          <w:lang w:val="en-US"/>
        </w:rPr>
      </w:pPr>
      <w:r>
        <w:rPr>
          <w:lang w:val="en-CA"/>
        </w:rPr>
        <w:t xml:space="preserve">The appellant is appealing against a judgment rendered on September 15, 2022, by the Court of Québec, Criminal and Penal Division, District of Chicoutimi (the Honourable Sonia Rouleau), </w:t>
      </w:r>
      <w:r w:rsidR="0084540E">
        <w:rPr>
          <w:lang w:val="en-CA"/>
        </w:rPr>
        <w:t>convicting him</w:t>
      </w:r>
      <w:r>
        <w:rPr>
          <w:lang w:val="en-CA"/>
        </w:rPr>
        <w:t xml:space="preserve"> of possession of child pornography (s. 163.1 </w:t>
      </w:r>
      <w:r w:rsidRPr="0084540E">
        <w:rPr>
          <w:i/>
          <w:iCs/>
          <w:lang w:val="en-CA"/>
        </w:rPr>
        <w:t>Cr.</w:t>
      </w:r>
      <w:r w:rsidR="00394B93">
        <w:rPr>
          <w:i/>
          <w:iCs/>
          <w:lang w:val="en-CA"/>
        </w:rPr>
        <w:t xml:space="preserve"> </w:t>
      </w:r>
      <w:r w:rsidRPr="0084540E">
        <w:rPr>
          <w:i/>
          <w:iCs/>
          <w:lang w:val="en-CA"/>
        </w:rPr>
        <w:t>C</w:t>
      </w:r>
      <w:r>
        <w:rPr>
          <w:lang w:val="en-CA"/>
        </w:rPr>
        <w:t>.).</w:t>
      </w:r>
    </w:p>
    <w:p w14:paraId="5FE0BA84" w14:textId="61DCD049" w:rsidR="00DE2525" w:rsidRPr="005D3F3F" w:rsidRDefault="005D3F3F" w:rsidP="00C6161B">
      <w:pPr>
        <w:pStyle w:val="Paragraphe"/>
        <w:spacing w:line="280" w:lineRule="exact"/>
        <w:rPr>
          <w:lang w:val="en-US"/>
        </w:rPr>
      </w:pPr>
      <w:r>
        <w:rPr>
          <w:lang w:val="en-CA"/>
        </w:rPr>
        <w:t>For the reasons of Dutil, J.A., with which Cotnam</w:t>
      </w:r>
      <w:r w:rsidR="0084540E">
        <w:rPr>
          <w:lang w:val="en-CA"/>
        </w:rPr>
        <w:t xml:space="preserve"> </w:t>
      </w:r>
      <w:r>
        <w:rPr>
          <w:lang w:val="en-CA"/>
        </w:rPr>
        <w:t>and Weitzman, J</w:t>
      </w:r>
      <w:r w:rsidR="0084540E">
        <w:rPr>
          <w:lang w:val="en-CA"/>
        </w:rPr>
        <w:t>J.</w:t>
      </w:r>
      <w:r>
        <w:rPr>
          <w:lang w:val="en-CA"/>
        </w:rPr>
        <w:t xml:space="preserve">A. concur, </w:t>
      </w:r>
      <w:r>
        <w:rPr>
          <w:b/>
          <w:bCs/>
          <w:lang w:val="en-CA"/>
        </w:rPr>
        <w:t>THE COURT</w:t>
      </w:r>
      <w:r>
        <w:rPr>
          <w:lang w:val="en-CA"/>
        </w:rPr>
        <w:t>:</w:t>
      </w:r>
    </w:p>
    <w:p w14:paraId="7067F148" w14:textId="7E6F8431" w:rsidR="00B01BC9" w:rsidRPr="005D3F3F" w:rsidRDefault="005D3F3F" w:rsidP="00DE2525">
      <w:pPr>
        <w:spacing w:line="240" w:lineRule="auto"/>
        <w:rPr>
          <w:kern w:val="28"/>
          <w:lang w:val="en-US"/>
        </w:rPr>
      </w:pPr>
      <w:r>
        <w:rPr>
          <w:lang w:val="en-CA"/>
        </w:rPr>
        <w:br w:type="page"/>
      </w:r>
    </w:p>
    <w:p w14:paraId="0BEAF763" w14:textId="06485677" w:rsidR="00B01BC9" w:rsidRDefault="005D3F3F" w:rsidP="00C6161B">
      <w:pPr>
        <w:pStyle w:val="Paragraphe"/>
        <w:spacing w:line="280" w:lineRule="exact"/>
      </w:pPr>
      <w:r>
        <w:rPr>
          <w:b/>
          <w:bCs/>
          <w:lang w:val="en-CA"/>
        </w:rPr>
        <w:lastRenderedPageBreak/>
        <w:t>DISMISSES</w:t>
      </w:r>
      <w:r>
        <w:rPr>
          <w:lang w:val="en-CA"/>
        </w:rPr>
        <w:t xml:space="preserve"> the appeal.</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7C49F6" w14:paraId="3CE75D0F" w14:textId="77777777" w:rsidTr="003E3239">
        <w:trPr>
          <w:trHeight w:val="576"/>
        </w:trPr>
        <w:tc>
          <w:tcPr>
            <w:tcW w:w="9362" w:type="dxa"/>
            <w:gridSpan w:val="3"/>
            <w:tcBorders>
              <w:top w:val="nil"/>
              <w:bottom w:val="nil"/>
            </w:tcBorders>
          </w:tcPr>
          <w:p w14:paraId="0A0D57A0" w14:textId="77777777" w:rsidR="008F364A" w:rsidRDefault="008F364A">
            <w:pPr>
              <w:keepNext/>
            </w:pPr>
          </w:p>
        </w:tc>
      </w:tr>
      <w:tr w:rsidR="007C49F6" w14:paraId="4AB97DF6" w14:textId="77777777" w:rsidTr="00117914">
        <w:trPr>
          <w:trHeight w:val="283"/>
        </w:trPr>
        <w:tc>
          <w:tcPr>
            <w:tcW w:w="4682" w:type="dxa"/>
            <w:gridSpan w:val="2"/>
            <w:tcBorders>
              <w:top w:val="nil"/>
              <w:bottom w:val="nil"/>
            </w:tcBorders>
          </w:tcPr>
          <w:p w14:paraId="12E9CA50" w14:textId="77777777" w:rsidR="008F364A" w:rsidRDefault="008F364A">
            <w:pPr>
              <w:keepNext/>
            </w:pPr>
          </w:p>
        </w:tc>
        <w:tc>
          <w:tcPr>
            <w:tcW w:w="4680" w:type="dxa"/>
            <w:tcBorders>
              <w:top w:val="nil"/>
              <w:bottom w:val="single" w:sz="8" w:space="0" w:color="auto"/>
            </w:tcBorders>
          </w:tcPr>
          <w:p w14:paraId="2E032BF1" w14:textId="77777777" w:rsidR="008F364A" w:rsidRDefault="008F364A">
            <w:pPr>
              <w:keepNext/>
            </w:pPr>
          </w:p>
        </w:tc>
      </w:tr>
      <w:tr w:rsidR="007C49F6" w14:paraId="3A892974" w14:textId="77777777" w:rsidTr="00117914">
        <w:trPr>
          <w:trHeight w:val="283"/>
        </w:trPr>
        <w:tc>
          <w:tcPr>
            <w:tcW w:w="4682" w:type="dxa"/>
            <w:gridSpan w:val="2"/>
            <w:tcBorders>
              <w:top w:val="nil"/>
            </w:tcBorders>
          </w:tcPr>
          <w:p w14:paraId="49223629" w14:textId="77777777" w:rsidR="008F364A" w:rsidRDefault="008F364A">
            <w:pPr>
              <w:keepNext/>
            </w:pPr>
          </w:p>
        </w:tc>
        <w:tc>
          <w:tcPr>
            <w:tcW w:w="4680" w:type="dxa"/>
            <w:tcBorders>
              <w:top w:val="single" w:sz="8" w:space="0" w:color="auto"/>
            </w:tcBorders>
          </w:tcPr>
          <w:p w14:paraId="40849D09" w14:textId="5577034B" w:rsidR="008F364A" w:rsidRPr="0084540E" w:rsidRDefault="005D3F3F">
            <w:r w:rsidRPr="0084540E">
              <w:rPr>
                <w:lang w:val="en-CA"/>
              </w:rPr>
              <w:fldChar w:fldCharType="begin"/>
            </w:r>
            <w:r w:rsidRPr="0084540E">
              <w:rPr>
                <w:lang w:val="en-CA"/>
              </w:rPr>
              <w:instrText xml:space="preserve"> REF NomJuge1 </w:instrText>
            </w:r>
            <w:r w:rsidR="0084540E" w:rsidRPr="0084540E">
              <w:rPr>
                <w:lang w:val="en-CA"/>
              </w:rPr>
              <w:instrText xml:space="preserve"> \* MERGEFORMAT </w:instrText>
            </w:r>
            <w:r w:rsidRPr="0084540E">
              <w:rPr>
                <w:lang w:val="en-CA"/>
              </w:rPr>
              <w:fldChar w:fldCharType="separate"/>
            </w:r>
            <w:r w:rsidRPr="0084540E">
              <w:rPr>
                <w:lang w:val="en-CA"/>
              </w:rPr>
              <w:t>JULIE DUTIL, J.A.</w:t>
            </w:r>
            <w:r w:rsidRPr="0084540E">
              <w:rPr>
                <w:lang w:val="en-CA"/>
              </w:rPr>
              <w:fldChar w:fldCharType="end"/>
            </w:r>
          </w:p>
        </w:tc>
      </w:tr>
      <w:tr w:rsidR="007C49F6" w14:paraId="57AB45A8" w14:textId="77777777" w:rsidTr="00117914">
        <w:trPr>
          <w:trHeight w:val="283"/>
        </w:trPr>
        <w:tc>
          <w:tcPr>
            <w:tcW w:w="4682" w:type="dxa"/>
            <w:gridSpan w:val="2"/>
            <w:tcBorders>
              <w:top w:val="nil"/>
            </w:tcBorders>
          </w:tcPr>
          <w:p w14:paraId="3B08100C" w14:textId="77777777" w:rsidR="008F364A" w:rsidRPr="000F3F93" w:rsidRDefault="008F364A">
            <w:pPr>
              <w:keepNext/>
            </w:pPr>
            <w:bookmarkStart w:id="10" w:name="Signature2"/>
          </w:p>
        </w:tc>
        <w:tc>
          <w:tcPr>
            <w:tcW w:w="4680" w:type="dxa"/>
            <w:tcBorders>
              <w:top w:val="nil"/>
            </w:tcBorders>
          </w:tcPr>
          <w:p w14:paraId="3F5C6C15" w14:textId="77777777" w:rsidR="008F364A" w:rsidRPr="0084540E" w:rsidRDefault="008F364A">
            <w:pPr>
              <w:keepNext/>
            </w:pPr>
          </w:p>
        </w:tc>
      </w:tr>
      <w:tr w:rsidR="007C49F6" w14:paraId="376DC085" w14:textId="77777777" w:rsidTr="00117914">
        <w:trPr>
          <w:trHeight w:val="283"/>
        </w:trPr>
        <w:tc>
          <w:tcPr>
            <w:tcW w:w="4682" w:type="dxa"/>
            <w:gridSpan w:val="2"/>
            <w:tcBorders>
              <w:top w:val="nil"/>
              <w:bottom w:val="nil"/>
            </w:tcBorders>
          </w:tcPr>
          <w:p w14:paraId="609C2AAD" w14:textId="77777777" w:rsidR="008F364A" w:rsidRPr="000F3F93" w:rsidRDefault="008F364A">
            <w:pPr>
              <w:keepNext/>
            </w:pPr>
          </w:p>
        </w:tc>
        <w:tc>
          <w:tcPr>
            <w:tcW w:w="4680" w:type="dxa"/>
            <w:tcBorders>
              <w:top w:val="nil"/>
              <w:bottom w:val="single" w:sz="8" w:space="0" w:color="auto"/>
            </w:tcBorders>
          </w:tcPr>
          <w:p w14:paraId="621E1739" w14:textId="77777777" w:rsidR="008F364A" w:rsidRPr="0084540E" w:rsidRDefault="008F364A">
            <w:pPr>
              <w:keepNext/>
            </w:pPr>
          </w:p>
        </w:tc>
      </w:tr>
      <w:tr w:rsidR="007C49F6" w14:paraId="443B6BF8" w14:textId="77777777" w:rsidTr="00117914">
        <w:trPr>
          <w:trHeight w:val="283"/>
        </w:trPr>
        <w:tc>
          <w:tcPr>
            <w:tcW w:w="4682" w:type="dxa"/>
            <w:gridSpan w:val="2"/>
            <w:tcBorders>
              <w:top w:val="nil"/>
            </w:tcBorders>
          </w:tcPr>
          <w:p w14:paraId="087F8DDB" w14:textId="77777777" w:rsidR="008F364A" w:rsidRPr="000F3F93" w:rsidRDefault="008F364A">
            <w:pPr>
              <w:keepNext/>
            </w:pPr>
          </w:p>
        </w:tc>
        <w:tc>
          <w:tcPr>
            <w:tcW w:w="4680" w:type="dxa"/>
            <w:tcBorders>
              <w:top w:val="single" w:sz="8" w:space="0" w:color="auto"/>
            </w:tcBorders>
          </w:tcPr>
          <w:p w14:paraId="2071AE60" w14:textId="51C64550" w:rsidR="008F364A" w:rsidRPr="0084540E" w:rsidRDefault="005D3F3F">
            <w:pPr>
              <w:keepNext/>
            </w:pPr>
            <w:r w:rsidRPr="0084540E">
              <w:rPr>
                <w:lang w:val="en-CA"/>
              </w:rPr>
              <w:fldChar w:fldCharType="begin"/>
            </w:r>
            <w:r w:rsidRPr="0084540E">
              <w:rPr>
                <w:lang w:val="en-CA"/>
              </w:rPr>
              <w:instrText xml:space="preserve"> REF NomJuge2 </w:instrText>
            </w:r>
            <w:r w:rsidR="0084540E" w:rsidRPr="0084540E">
              <w:rPr>
                <w:lang w:val="en-CA"/>
              </w:rPr>
              <w:instrText xml:space="preserve"> \* MERGEFORMAT </w:instrText>
            </w:r>
            <w:r w:rsidRPr="0084540E">
              <w:rPr>
                <w:lang w:val="en-CA"/>
              </w:rPr>
              <w:fldChar w:fldCharType="separate"/>
            </w:r>
            <w:r w:rsidRPr="0084540E">
              <w:rPr>
                <w:lang w:val="en-CA"/>
              </w:rPr>
              <w:t>GENEVIÈVE COTNAM, J.A.</w:t>
            </w:r>
            <w:r w:rsidRPr="0084540E">
              <w:rPr>
                <w:lang w:val="en-CA"/>
              </w:rPr>
              <w:fldChar w:fldCharType="end"/>
            </w:r>
          </w:p>
        </w:tc>
      </w:tr>
      <w:tr w:rsidR="007C49F6" w14:paraId="14F63EEE" w14:textId="77777777" w:rsidTr="00117914">
        <w:trPr>
          <w:trHeight w:val="283"/>
        </w:trPr>
        <w:tc>
          <w:tcPr>
            <w:tcW w:w="4682" w:type="dxa"/>
            <w:gridSpan w:val="2"/>
            <w:tcBorders>
              <w:top w:val="nil"/>
            </w:tcBorders>
          </w:tcPr>
          <w:p w14:paraId="36A9F3CB" w14:textId="77777777" w:rsidR="008F364A" w:rsidRPr="00F26891" w:rsidRDefault="008F364A">
            <w:pPr>
              <w:keepNext/>
            </w:pPr>
            <w:bookmarkStart w:id="11" w:name="Signature3"/>
            <w:bookmarkEnd w:id="10"/>
          </w:p>
        </w:tc>
        <w:tc>
          <w:tcPr>
            <w:tcW w:w="4680" w:type="dxa"/>
            <w:tcBorders>
              <w:top w:val="nil"/>
            </w:tcBorders>
          </w:tcPr>
          <w:p w14:paraId="30FA7F66" w14:textId="77777777" w:rsidR="008F364A" w:rsidRPr="0084540E" w:rsidRDefault="008F364A">
            <w:pPr>
              <w:keepNext/>
            </w:pPr>
          </w:p>
        </w:tc>
      </w:tr>
      <w:tr w:rsidR="007C49F6" w14:paraId="4A9D5E37" w14:textId="77777777" w:rsidTr="00117914">
        <w:trPr>
          <w:trHeight w:val="283"/>
        </w:trPr>
        <w:tc>
          <w:tcPr>
            <w:tcW w:w="4682" w:type="dxa"/>
            <w:gridSpan w:val="2"/>
            <w:tcBorders>
              <w:top w:val="nil"/>
              <w:bottom w:val="nil"/>
            </w:tcBorders>
          </w:tcPr>
          <w:p w14:paraId="45D8DFE4" w14:textId="77777777" w:rsidR="008F364A" w:rsidRPr="00F26891" w:rsidRDefault="008F364A">
            <w:pPr>
              <w:keepNext/>
            </w:pPr>
          </w:p>
        </w:tc>
        <w:tc>
          <w:tcPr>
            <w:tcW w:w="4680" w:type="dxa"/>
            <w:tcBorders>
              <w:top w:val="nil"/>
              <w:bottom w:val="single" w:sz="8" w:space="0" w:color="auto"/>
            </w:tcBorders>
          </w:tcPr>
          <w:p w14:paraId="2C1206D8" w14:textId="77777777" w:rsidR="008F364A" w:rsidRPr="0084540E" w:rsidRDefault="008F364A">
            <w:pPr>
              <w:keepNext/>
            </w:pPr>
          </w:p>
        </w:tc>
      </w:tr>
      <w:tr w:rsidR="007C49F6" w14:paraId="66191D3E" w14:textId="77777777" w:rsidTr="00117914">
        <w:trPr>
          <w:trHeight w:val="283"/>
        </w:trPr>
        <w:tc>
          <w:tcPr>
            <w:tcW w:w="4682" w:type="dxa"/>
            <w:gridSpan w:val="2"/>
            <w:tcBorders>
              <w:top w:val="nil"/>
            </w:tcBorders>
          </w:tcPr>
          <w:p w14:paraId="12344457" w14:textId="77777777" w:rsidR="008F364A" w:rsidRPr="00F26891" w:rsidRDefault="008F364A">
            <w:pPr>
              <w:keepNext/>
            </w:pPr>
          </w:p>
        </w:tc>
        <w:tc>
          <w:tcPr>
            <w:tcW w:w="4680" w:type="dxa"/>
            <w:tcBorders>
              <w:top w:val="single" w:sz="8" w:space="0" w:color="auto"/>
            </w:tcBorders>
          </w:tcPr>
          <w:p w14:paraId="7A2E87B5" w14:textId="3E5DEB93" w:rsidR="008F364A" w:rsidRPr="0084540E" w:rsidRDefault="005D3F3F">
            <w:pPr>
              <w:keepNext/>
            </w:pPr>
            <w:r w:rsidRPr="0084540E">
              <w:rPr>
                <w:lang w:val="en-CA"/>
              </w:rPr>
              <w:fldChar w:fldCharType="begin"/>
            </w:r>
            <w:r w:rsidRPr="0084540E">
              <w:instrText xml:space="preserve"> REF NomJuge3 </w:instrText>
            </w:r>
            <w:r w:rsidR="0084540E" w:rsidRPr="0084540E">
              <w:instrText xml:space="preserve"> \* MERGEFORMAT </w:instrText>
            </w:r>
            <w:r w:rsidRPr="0084540E">
              <w:rPr>
                <w:lang w:val="en-CA"/>
              </w:rPr>
              <w:fldChar w:fldCharType="separate"/>
            </w:r>
            <w:r w:rsidRPr="0084540E">
              <w:t>LORI RENÉE WEITZMAN, J.A.</w:t>
            </w:r>
            <w:r w:rsidRPr="0084540E">
              <w:rPr>
                <w:lang w:val="en-CA"/>
              </w:rPr>
              <w:fldChar w:fldCharType="end"/>
            </w:r>
          </w:p>
        </w:tc>
      </w:tr>
      <w:bookmarkEnd w:id="11"/>
      <w:tr w:rsidR="007C49F6" w14:paraId="15C37640" w14:textId="77777777" w:rsidTr="004E0F92">
        <w:tc>
          <w:tcPr>
            <w:tcW w:w="9362" w:type="dxa"/>
            <w:gridSpan w:val="3"/>
            <w:tcBorders>
              <w:bottom w:val="nil"/>
            </w:tcBorders>
          </w:tcPr>
          <w:p w14:paraId="6C83C257" w14:textId="77777777" w:rsidR="005A78BF" w:rsidRPr="00F26891" w:rsidRDefault="005A78BF" w:rsidP="005A78BF"/>
        </w:tc>
      </w:tr>
      <w:tr w:rsidR="007C49F6" w14:paraId="2F54BEEF" w14:textId="77777777" w:rsidTr="004E0F92">
        <w:tc>
          <w:tcPr>
            <w:tcW w:w="9362" w:type="dxa"/>
            <w:gridSpan w:val="3"/>
            <w:tcBorders>
              <w:top w:val="nil"/>
            </w:tcBorders>
          </w:tcPr>
          <w:p w14:paraId="069C256F" w14:textId="459870E3" w:rsidR="005A78BF" w:rsidRDefault="005D3F3F" w:rsidP="005A78BF">
            <w:pPr>
              <w:pStyle w:val="zSoquijdatNomProcureurDem"/>
            </w:pPr>
            <w:r>
              <w:rPr>
                <w:lang w:val="en-CA"/>
              </w:rPr>
              <w:t>M</w:t>
            </w:r>
            <w:r w:rsidR="0084540E">
              <w:rPr>
                <w:lang w:val="en-CA"/>
              </w:rPr>
              <w:t>t</w:t>
            </w:r>
            <w:r>
              <w:rPr>
                <w:lang w:val="en-CA"/>
              </w:rPr>
              <w:t>re Nicolas Gagnon</w:t>
            </w:r>
          </w:p>
        </w:tc>
      </w:tr>
      <w:tr w:rsidR="007C49F6" w14:paraId="2F3B8E50" w14:textId="77777777" w:rsidTr="00423DF1">
        <w:tc>
          <w:tcPr>
            <w:tcW w:w="9362" w:type="dxa"/>
            <w:gridSpan w:val="3"/>
          </w:tcPr>
          <w:p w14:paraId="612DA5B9" w14:textId="7E2175BB" w:rsidR="005A78BF" w:rsidRPr="004E0F92" w:rsidRDefault="005D3F3F" w:rsidP="005A78BF">
            <w:pPr>
              <w:pStyle w:val="zSoquijdatCabinetProcureurDem"/>
              <w:rPr>
                <w:smallCaps/>
              </w:rPr>
            </w:pPr>
            <w:r>
              <w:rPr>
                <w:smallCaps/>
                <w:lang w:val="en-CA"/>
              </w:rPr>
              <w:t>PERRON, THÉORET</w:t>
            </w:r>
          </w:p>
        </w:tc>
      </w:tr>
      <w:tr w:rsidR="007C49F6" w14:paraId="20AEC152" w14:textId="77777777" w:rsidTr="00423DF1">
        <w:tc>
          <w:tcPr>
            <w:tcW w:w="9362" w:type="dxa"/>
            <w:gridSpan w:val="3"/>
          </w:tcPr>
          <w:p w14:paraId="1ACF6051" w14:textId="6F2F76C1" w:rsidR="005A78BF" w:rsidRDefault="005D3F3F" w:rsidP="005A78BF">
            <w:pPr>
              <w:pStyle w:val="zSoquijlblProcureurDem"/>
            </w:pPr>
            <w:r>
              <w:rPr>
                <w:lang w:val="en-CA"/>
              </w:rPr>
              <w:t xml:space="preserve">For the </w:t>
            </w:r>
            <w:r w:rsidR="00273DAE">
              <w:rPr>
                <w:lang w:val="en-CA"/>
              </w:rPr>
              <w:t>A</w:t>
            </w:r>
            <w:r>
              <w:rPr>
                <w:lang w:val="en-CA"/>
              </w:rPr>
              <w:t>ppellant</w:t>
            </w:r>
          </w:p>
        </w:tc>
      </w:tr>
      <w:tr w:rsidR="007C49F6" w14:paraId="559F320C" w14:textId="77777777" w:rsidTr="00423DF1">
        <w:tc>
          <w:tcPr>
            <w:tcW w:w="9362" w:type="dxa"/>
            <w:gridSpan w:val="3"/>
          </w:tcPr>
          <w:p w14:paraId="6B3B1B9C" w14:textId="77777777" w:rsidR="005A78BF" w:rsidRDefault="005A78BF" w:rsidP="005A78BF"/>
        </w:tc>
      </w:tr>
      <w:tr w:rsidR="007C49F6" w14:paraId="2C438294" w14:textId="77777777" w:rsidTr="00423DF1">
        <w:tc>
          <w:tcPr>
            <w:tcW w:w="9362" w:type="dxa"/>
            <w:gridSpan w:val="3"/>
          </w:tcPr>
          <w:p w14:paraId="574FD24C" w14:textId="2AA753E5" w:rsidR="005A78BF" w:rsidRDefault="005D3F3F" w:rsidP="005A78BF">
            <w:pPr>
              <w:pStyle w:val="zSoquijdatNomProcureurDef"/>
            </w:pPr>
            <w:r>
              <w:rPr>
                <w:lang w:val="en-CA"/>
              </w:rPr>
              <w:t>M</w:t>
            </w:r>
            <w:r w:rsidR="00483E2B">
              <w:rPr>
                <w:lang w:val="en-CA"/>
              </w:rPr>
              <w:t>tre</w:t>
            </w:r>
            <w:r>
              <w:rPr>
                <w:lang w:val="en-CA"/>
              </w:rPr>
              <w:t xml:space="preserve"> Sébastien Vallée</w:t>
            </w:r>
          </w:p>
        </w:tc>
      </w:tr>
      <w:tr w:rsidR="007C49F6" w:rsidRPr="00E355F0" w14:paraId="3FC5EA46" w14:textId="77777777" w:rsidTr="00423DF1">
        <w:tc>
          <w:tcPr>
            <w:tcW w:w="9362" w:type="dxa"/>
            <w:gridSpan w:val="3"/>
          </w:tcPr>
          <w:p w14:paraId="34F540DB" w14:textId="20D7609B" w:rsidR="005A78BF" w:rsidRPr="005D3F3F" w:rsidRDefault="005D3F3F" w:rsidP="005A78BF">
            <w:pPr>
              <w:pStyle w:val="zSoquijdatCabinetProcureurDef"/>
              <w:rPr>
                <w:smallCaps/>
                <w:lang w:val="en-US"/>
              </w:rPr>
            </w:pPr>
            <w:r>
              <w:rPr>
                <w:smallCaps/>
                <w:lang w:val="en-CA"/>
              </w:rPr>
              <w:t>DIRECTOR OF CRIMINAL AND PENAL PROSECUTIONS</w:t>
            </w:r>
          </w:p>
        </w:tc>
      </w:tr>
      <w:tr w:rsidR="007C49F6" w14:paraId="2FFE799A" w14:textId="77777777" w:rsidTr="00423DF1">
        <w:tc>
          <w:tcPr>
            <w:tcW w:w="9362" w:type="dxa"/>
            <w:gridSpan w:val="3"/>
          </w:tcPr>
          <w:p w14:paraId="26B95BAB" w14:textId="0AEBBC15" w:rsidR="005A78BF" w:rsidRDefault="005D3F3F" w:rsidP="005A78BF">
            <w:pPr>
              <w:pStyle w:val="zSoquijlblProcureurDef"/>
            </w:pPr>
            <w:r>
              <w:rPr>
                <w:lang w:val="en-CA"/>
              </w:rPr>
              <w:t xml:space="preserve">For the </w:t>
            </w:r>
            <w:r w:rsidR="00273DAE">
              <w:rPr>
                <w:lang w:val="en-CA"/>
              </w:rPr>
              <w:t>R</w:t>
            </w:r>
            <w:r>
              <w:rPr>
                <w:lang w:val="en-CA"/>
              </w:rPr>
              <w:t>espondent</w:t>
            </w:r>
          </w:p>
        </w:tc>
      </w:tr>
      <w:tr w:rsidR="007C49F6" w14:paraId="1EF2E870" w14:textId="77777777" w:rsidTr="00423DF1">
        <w:tc>
          <w:tcPr>
            <w:tcW w:w="9362" w:type="dxa"/>
            <w:gridSpan w:val="3"/>
          </w:tcPr>
          <w:p w14:paraId="508BD18D" w14:textId="77777777" w:rsidR="005A78BF" w:rsidRDefault="005A78BF" w:rsidP="005A78BF"/>
        </w:tc>
      </w:tr>
      <w:tr w:rsidR="007C49F6" w14:paraId="4BE5D4ED" w14:textId="77777777" w:rsidTr="00423DF1">
        <w:tc>
          <w:tcPr>
            <w:tcW w:w="1997" w:type="dxa"/>
          </w:tcPr>
          <w:p w14:paraId="67CBDED6" w14:textId="77777777" w:rsidR="005A78BF" w:rsidRDefault="005D3F3F" w:rsidP="005A78BF">
            <w:pPr>
              <w:pStyle w:val="zSoquijlblDateAudience"/>
            </w:pPr>
            <w:r>
              <w:rPr>
                <w:lang w:val="en-CA"/>
              </w:rPr>
              <w:t>Hearing date:</w:t>
            </w:r>
          </w:p>
        </w:tc>
        <w:tc>
          <w:tcPr>
            <w:tcW w:w="7365" w:type="dxa"/>
            <w:gridSpan w:val="2"/>
          </w:tcPr>
          <w:p w14:paraId="1330A2E5" w14:textId="6AF1F939" w:rsidR="005A78BF" w:rsidRDefault="005D3F3F" w:rsidP="005A78BF">
            <w:pPr>
              <w:pStyle w:val="zSoquijdatDateAudience"/>
            </w:pPr>
            <w:r>
              <w:rPr>
                <w:lang w:val="en-CA"/>
              </w:rPr>
              <w:t>January 18, 2024</w:t>
            </w:r>
          </w:p>
        </w:tc>
      </w:tr>
    </w:tbl>
    <w:p w14:paraId="265310AD" w14:textId="77777777" w:rsidR="00A50B92" w:rsidRDefault="00A50B92" w:rsidP="00A50B92">
      <w:pPr>
        <w:sectPr w:rsidR="00A50B92" w:rsidSect="002B3EB3">
          <w:headerReference w:type="default" r:id="rId8"/>
          <w:pgSz w:w="12242" w:h="15842" w:code="1"/>
          <w:pgMar w:top="1440" w:right="1008" w:bottom="1440" w:left="1872" w:header="1440" w:footer="792" w:gutter="0"/>
          <w:paperSrc w:first="4" w:other="4"/>
          <w:cols w:space="720"/>
          <w:formProt w:val="0"/>
          <w:titlePg/>
        </w:sectPr>
      </w:pPr>
      <w:bookmarkStart w:id="12" w:name="Opinion"/>
      <w:bookmarkEnd w:id="8"/>
    </w:p>
    <w:tbl>
      <w:tblPr>
        <w:tblW w:w="0" w:type="auto"/>
        <w:tblLayout w:type="fixed"/>
        <w:tblCellMar>
          <w:left w:w="0" w:type="dxa"/>
          <w:right w:w="0" w:type="dxa"/>
        </w:tblCellMar>
        <w:tblLook w:val="0000" w:firstRow="0" w:lastRow="0" w:firstColumn="0" w:lastColumn="0" w:noHBand="0" w:noVBand="0"/>
      </w:tblPr>
      <w:tblGrid>
        <w:gridCol w:w="9360"/>
      </w:tblGrid>
      <w:tr w:rsidR="007C49F6" w14:paraId="0EC647DF" w14:textId="77777777" w:rsidTr="002D3F5D">
        <w:tc>
          <w:tcPr>
            <w:tcW w:w="9360" w:type="dxa"/>
            <w:tcBorders>
              <w:bottom w:val="single" w:sz="8" w:space="0" w:color="auto"/>
            </w:tcBorders>
          </w:tcPr>
          <w:p w14:paraId="5BB37617" w14:textId="77777777" w:rsidR="00A50B92" w:rsidRDefault="005D3F3F" w:rsidP="002D3F5D">
            <w:r>
              <w:rPr>
                <w:lang w:val="en-CA"/>
              </w:rPr>
              <w:lastRenderedPageBreak/>
              <w:br w:type="page"/>
            </w:r>
          </w:p>
        </w:tc>
      </w:tr>
      <w:tr w:rsidR="007C49F6" w14:paraId="46CC64D6" w14:textId="77777777" w:rsidTr="002D3F5D">
        <w:tc>
          <w:tcPr>
            <w:tcW w:w="9360" w:type="dxa"/>
            <w:tcBorders>
              <w:top w:val="single" w:sz="8" w:space="0" w:color="auto"/>
            </w:tcBorders>
          </w:tcPr>
          <w:p w14:paraId="67BFDE9F" w14:textId="77777777" w:rsidR="00A50B92" w:rsidRDefault="00A50B92" w:rsidP="002D3F5D"/>
        </w:tc>
      </w:tr>
      <w:bookmarkStart w:id="13" w:name="MotifJuge1"/>
      <w:tr w:rsidR="007C49F6" w:rsidRPr="00791712" w14:paraId="3B2405A4" w14:textId="77777777" w:rsidTr="002D3F5D">
        <w:tc>
          <w:tcPr>
            <w:tcW w:w="9360" w:type="dxa"/>
          </w:tcPr>
          <w:p w14:paraId="2A452EE0" w14:textId="6F636107" w:rsidR="00A50B92" w:rsidRPr="00B836C1" w:rsidRDefault="005D3F3F" w:rsidP="002D3F5D">
            <w:pPr>
              <w:pStyle w:val="zSoquijlblOpinionJuge"/>
              <w:rPr>
                <w:lang w:val="en-CA"/>
              </w:rPr>
            </w:pPr>
            <w:r>
              <w:rPr>
                <w:lang w:val="en-CA"/>
              </w:rPr>
              <w:fldChar w:fldCharType="begin"/>
            </w:r>
            <w:r w:rsidRPr="00B836C1">
              <w:rPr>
                <w:lang w:val="en-CA"/>
              </w:rPr>
              <w:instrText xml:space="preserve"> DOCVARIABLE MotifJuge1 </w:instrText>
            </w:r>
            <w:r>
              <w:rPr>
                <w:lang w:val="en-CA"/>
              </w:rPr>
              <w:fldChar w:fldCharType="separate"/>
            </w:r>
            <w:r w:rsidR="0084540E" w:rsidRPr="00B836C1">
              <w:rPr>
                <w:lang w:val="en-CA"/>
              </w:rPr>
              <w:t>REASONS OF</w:t>
            </w:r>
            <w:r>
              <w:rPr>
                <w:lang w:val="en-CA"/>
              </w:rPr>
              <w:fldChar w:fldCharType="end"/>
            </w:r>
            <w:bookmarkEnd w:id="13"/>
            <w:r w:rsidRPr="00B836C1">
              <w:rPr>
                <w:lang w:val="en-CA"/>
              </w:rPr>
              <w:t xml:space="preserve"> </w:t>
            </w:r>
            <w:r>
              <w:rPr>
                <w:lang w:val="en-CA"/>
              </w:rPr>
              <w:fldChar w:fldCharType="begin"/>
            </w:r>
            <w:r w:rsidRPr="00B836C1">
              <w:rPr>
                <w:lang w:val="en-CA"/>
              </w:rPr>
              <w:instrText xml:space="preserve"> DOCVARIABLE NomFamJuge1 </w:instrText>
            </w:r>
            <w:r>
              <w:rPr>
                <w:lang w:val="en-CA"/>
              </w:rPr>
              <w:fldChar w:fldCharType="separate"/>
            </w:r>
            <w:r w:rsidRPr="00B836C1">
              <w:rPr>
                <w:lang w:val="en-CA"/>
              </w:rPr>
              <w:t>DUTIL</w:t>
            </w:r>
            <w:r>
              <w:rPr>
                <w:lang w:val="en-CA"/>
              </w:rPr>
              <w:fldChar w:fldCharType="end"/>
            </w:r>
            <w:r w:rsidR="0084540E">
              <w:rPr>
                <w:lang w:val="en-CA"/>
              </w:rPr>
              <w:t xml:space="preserve"> J.A.</w:t>
            </w:r>
          </w:p>
        </w:tc>
      </w:tr>
      <w:tr w:rsidR="007C49F6" w:rsidRPr="00791712" w14:paraId="4789044B" w14:textId="77777777" w:rsidTr="002D3F5D">
        <w:tc>
          <w:tcPr>
            <w:tcW w:w="9360" w:type="dxa"/>
            <w:tcBorders>
              <w:bottom w:val="single" w:sz="8" w:space="0" w:color="auto"/>
            </w:tcBorders>
          </w:tcPr>
          <w:p w14:paraId="6FF93C3E" w14:textId="77777777" w:rsidR="00A50B92" w:rsidRPr="00B836C1" w:rsidRDefault="00A50B92" w:rsidP="002D3F5D">
            <w:pPr>
              <w:rPr>
                <w:lang w:val="en-CA"/>
              </w:rPr>
            </w:pPr>
          </w:p>
        </w:tc>
      </w:tr>
      <w:tr w:rsidR="007C49F6" w:rsidRPr="00791712" w14:paraId="555DD5AE" w14:textId="77777777" w:rsidTr="002D3F5D">
        <w:tc>
          <w:tcPr>
            <w:tcW w:w="9360" w:type="dxa"/>
            <w:tcBorders>
              <w:top w:val="single" w:sz="8" w:space="0" w:color="auto"/>
            </w:tcBorders>
          </w:tcPr>
          <w:p w14:paraId="6E768F21" w14:textId="77777777" w:rsidR="00A50B92" w:rsidRPr="00B836C1" w:rsidRDefault="00A50B92" w:rsidP="002D3F5D">
            <w:pPr>
              <w:rPr>
                <w:lang w:val="en-CA"/>
              </w:rPr>
            </w:pPr>
          </w:p>
        </w:tc>
      </w:tr>
    </w:tbl>
    <w:p w14:paraId="0BDB553F" w14:textId="4B3D5A8C" w:rsidR="00A50B92" w:rsidRPr="005D3F3F" w:rsidRDefault="00B637E4" w:rsidP="009D5790">
      <w:pPr>
        <w:pStyle w:val="Paragraphe"/>
        <w:spacing w:before="240" w:line="280" w:lineRule="exact"/>
        <w:rPr>
          <w:lang w:val="en-US"/>
        </w:rPr>
      </w:pPr>
      <w:r>
        <w:rPr>
          <w:lang w:val="en-CA"/>
        </w:rPr>
        <w:t>On June 20, 2022, t</w:t>
      </w:r>
      <w:r w:rsidR="005D3F3F">
        <w:rPr>
          <w:lang w:val="en-CA"/>
        </w:rPr>
        <w:t xml:space="preserve">he appellant was </w:t>
      </w:r>
      <w:r w:rsidR="0084540E">
        <w:rPr>
          <w:lang w:val="en-CA"/>
        </w:rPr>
        <w:t>convicted</w:t>
      </w:r>
      <w:r w:rsidR="005D3F3F">
        <w:rPr>
          <w:lang w:val="en-CA"/>
        </w:rPr>
        <w:t xml:space="preserve"> of possession of child pornography. He was in possession of a silicone doll, </w:t>
      </w:r>
      <w:r w:rsidR="009D7B68">
        <w:rPr>
          <w:lang w:val="en-CA"/>
        </w:rPr>
        <w:t>having the features of a female</w:t>
      </w:r>
      <w:r w:rsidR="005D3F3F">
        <w:rPr>
          <w:lang w:val="en-CA"/>
        </w:rPr>
        <w:t xml:space="preserve"> child</w:t>
      </w:r>
      <w:r w:rsidR="009D7B68">
        <w:rPr>
          <w:lang w:val="en-CA"/>
        </w:rPr>
        <w:t>, including</w:t>
      </w:r>
      <w:r w:rsidR="005D3F3F">
        <w:rPr>
          <w:lang w:val="en-CA"/>
        </w:rPr>
        <w:t xml:space="preserve"> three orifices of </w:t>
      </w:r>
      <w:r w:rsidR="009D7B68">
        <w:rPr>
          <w:lang w:val="en-CA"/>
        </w:rPr>
        <w:t>various</w:t>
      </w:r>
      <w:r w:rsidR="005D3F3F">
        <w:rPr>
          <w:lang w:val="en-CA"/>
        </w:rPr>
        <w:t xml:space="preserve"> depths in the</w:t>
      </w:r>
      <w:r w:rsidR="009D7B68">
        <w:rPr>
          <w:lang w:val="en-CA"/>
        </w:rPr>
        <w:t xml:space="preserve"> areas where the</w:t>
      </w:r>
      <w:r w:rsidR="005D3F3F">
        <w:rPr>
          <w:lang w:val="en-CA"/>
        </w:rPr>
        <w:t xml:space="preserve"> mouth, vagina and anus</w:t>
      </w:r>
      <w:r w:rsidR="00F77D75">
        <w:rPr>
          <w:lang w:val="en-CA"/>
        </w:rPr>
        <w:t xml:space="preserve"> would be</w:t>
      </w:r>
      <w:r w:rsidR="005D3F3F">
        <w:rPr>
          <w:lang w:val="en-CA"/>
        </w:rPr>
        <w:t xml:space="preserve">. </w:t>
      </w:r>
    </w:p>
    <w:p w14:paraId="78620DFA" w14:textId="206618C3" w:rsidR="00A50B92" w:rsidRPr="005D3F3F" w:rsidRDefault="005D3F3F" w:rsidP="009D5790">
      <w:pPr>
        <w:pStyle w:val="Paragraphe"/>
        <w:spacing w:line="280" w:lineRule="exact"/>
        <w:rPr>
          <w:lang w:val="en-US"/>
        </w:rPr>
      </w:pPr>
      <w:r>
        <w:rPr>
          <w:lang w:val="en-CA"/>
        </w:rPr>
        <w:t>The appellant argues that the judge erred in dismissing the application to exclude evidence. He also c</w:t>
      </w:r>
      <w:r w:rsidR="00F1468B">
        <w:rPr>
          <w:lang w:val="en-CA"/>
        </w:rPr>
        <w:t>laims</w:t>
      </w:r>
      <w:r>
        <w:rPr>
          <w:lang w:val="en-CA"/>
        </w:rPr>
        <w:t xml:space="preserve"> that the verdict was unreasonable as it was incompatible with the </w:t>
      </w:r>
      <w:r w:rsidR="00F1468B">
        <w:rPr>
          <w:lang w:val="en-CA"/>
        </w:rPr>
        <w:t>whole</w:t>
      </w:r>
      <w:r>
        <w:rPr>
          <w:lang w:val="en-CA"/>
        </w:rPr>
        <w:t xml:space="preserve"> of the evidence.</w:t>
      </w:r>
    </w:p>
    <w:p w14:paraId="64BF2395" w14:textId="77777777" w:rsidR="00A50B92" w:rsidRDefault="005D3F3F" w:rsidP="00A50B92">
      <w:pPr>
        <w:pStyle w:val="Titre1"/>
      </w:pPr>
      <w:r>
        <w:rPr>
          <w:bCs/>
          <w:lang w:val="en-CA"/>
        </w:rPr>
        <w:t>The facts</w:t>
      </w:r>
    </w:p>
    <w:p w14:paraId="13C4FD66" w14:textId="0BC789EC" w:rsidR="00A50B92" w:rsidRPr="005D3F3F" w:rsidRDefault="005D3F3F" w:rsidP="009D5790">
      <w:pPr>
        <w:pStyle w:val="Paragraphe"/>
        <w:spacing w:line="280" w:lineRule="exact"/>
        <w:rPr>
          <w:lang w:val="en-US"/>
        </w:rPr>
      </w:pPr>
      <w:r>
        <w:rPr>
          <w:lang w:val="en-CA"/>
        </w:rPr>
        <w:t xml:space="preserve">The appellant is a Chinese national who arrived in October 2019. He has a limited command of French and </w:t>
      </w:r>
      <w:r w:rsidR="005C7F8D">
        <w:rPr>
          <w:lang w:val="en-CA"/>
        </w:rPr>
        <w:t>was assisted by</w:t>
      </w:r>
      <w:r>
        <w:rPr>
          <w:lang w:val="en-CA"/>
        </w:rPr>
        <w:t xml:space="preserve"> a French-Mandarin interpreter at the trial in the District of Chicoutimi.</w:t>
      </w:r>
    </w:p>
    <w:p w14:paraId="0739E59C" w14:textId="63E87986" w:rsidR="00A50B92" w:rsidRPr="005D3F3F" w:rsidRDefault="005D3F3F" w:rsidP="009D5790">
      <w:pPr>
        <w:pStyle w:val="Paragraphe"/>
        <w:spacing w:line="280" w:lineRule="exact"/>
        <w:rPr>
          <w:lang w:val="en-US"/>
        </w:rPr>
      </w:pPr>
      <w:r>
        <w:rPr>
          <w:lang w:val="en-CA"/>
        </w:rPr>
        <w:t xml:space="preserve">In the summer of 2020, the appellant was living in a multi-unit building in Saguenay. </w:t>
      </w:r>
      <w:proofErr w:type="spellStart"/>
      <w:proofErr w:type="gramStart"/>
      <w:r w:rsidR="00300C70">
        <w:rPr>
          <w:lang w:val="en-CA"/>
        </w:rPr>
        <w:t>Ms.</w:t>
      </w:r>
      <w:r>
        <w:rPr>
          <w:lang w:val="en-CA"/>
        </w:rPr>
        <w:t>Marie</w:t>
      </w:r>
      <w:proofErr w:type="spellEnd"/>
      <w:proofErr w:type="gramEnd"/>
      <w:r>
        <w:rPr>
          <w:lang w:val="en-CA"/>
        </w:rPr>
        <w:t>-Danielle Lanfranc was his neighbour at the time. From August 7 to 22,</w:t>
      </w:r>
      <w:r w:rsidR="00FE4C85">
        <w:rPr>
          <w:lang w:val="en-CA"/>
        </w:rPr>
        <w:t xml:space="preserve"> 2020,</w:t>
      </w:r>
      <w:r>
        <w:rPr>
          <w:lang w:val="en-CA"/>
        </w:rPr>
        <w:t xml:space="preserve"> he </w:t>
      </w:r>
      <w:r w:rsidR="00FE4C85">
        <w:rPr>
          <w:lang w:val="en-CA"/>
        </w:rPr>
        <w:t>was away from his home, in</w:t>
      </w:r>
      <w:r>
        <w:rPr>
          <w:lang w:val="en-CA"/>
        </w:rPr>
        <w:t xml:space="preserve"> Montr</w:t>
      </w:r>
      <w:r w:rsidR="00F1468B">
        <w:rPr>
          <w:lang w:val="en-CA"/>
        </w:rPr>
        <w:t>e</w:t>
      </w:r>
      <w:r>
        <w:rPr>
          <w:lang w:val="en-CA"/>
        </w:rPr>
        <w:t>al. According to Ms. Lanfranc’s testimony,</w:t>
      </w:r>
      <w:r>
        <w:rPr>
          <w:rStyle w:val="Appelnotedebasdep"/>
          <w:lang w:val="en-CA"/>
        </w:rPr>
        <w:footnoteReference w:id="2"/>
      </w:r>
      <w:r>
        <w:rPr>
          <w:lang w:val="en-CA"/>
        </w:rPr>
        <w:t xml:space="preserve"> the appellant initially </w:t>
      </w:r>
      <w:r w:rsidR="00F1468B">
        <w:rPr>
          <w:lang w:val="en-CA"/>
        </w:rPr>
        <w:t>told</w:t>
      </w:r>
      <w:r>
        <w:rPr>
          <w:lang w:val="en-CA"/>
        </w:rPr>
        <w:t xml:space="preserve"> her that he would leave a note on the door and allow the </w:t>
      </w:r>
      <w:r w:rsidR="00FE4C85">
        <w:rPr>
          <w:lang w:val="en-CA"/>
        </w:rPr>
        <w:t>letter carrier</w:t>
      </w:r>
      <w:r>
        <w:rPr>
          <w:lang w:val="en-CA"/>
        </w:rPr>
        <w:t xml:space="preserve"> to enter to leave the mail and deliveries in the apartment. Instead, Ms. Lanfranc offered to take care of it and to sign a contract to that effect. She was to retrieve his mail and parcels and leave them in his apartment as well as give the keys to friends of the appellant who would be coming to stay there on the weekend of August 8 and 9, 2020.</w:t>
      </w:r>
    </w:p>
    <w:p w14:paraId="532A43F3" w14:textId="1A4F842B" w:rsidR="00A50B92" w:rsidRPr="005D3F3F" w:rsidRDefault="005D3F3F" w:rsidP="009D5790">
      <w:pPr>
        <w:pStyle w:val="Paragraphe"/>
        <w:spacing w:line="280" w:lineRule="exact"/>
        <w:rPr>
          <w:lang w:val="en-US"/>
        </w:rPr>
      </w:pPr>
      <w:r>
        <w:rPr>
          <w:lang w:val="en-CA"/>
        </w:rPr>
        <w:t xml:space="preserve">Having </w:t>
      </w:r>
      <w:r w:rsidR="00EE1561">
        <w:rPr>
          <w:lang w:val="en-CA"/>
        </w:rPr>
        <w:t>failed to</w:t>
      </w:r>
      <w:r>
        <w:rPr>
          <w:lang w:val="en-CA"/>
        </w:rPr>
        <w:t xml:space="preserve"> </w:t>
      </w:r>
      <w:r w:rsidR="00EE1561">
        <w:rPr>
          <w:lang w:val="en-CA"/>
        </w:rPr>
        <w:t>retrieve</w:t>
      </w:r>
      <w:r>
        <w:rPr>
          <w:lang w:val="en-CA"/>
        </w:rPr>
        <w:t xml:space="preserve"> the keys on the Monday </w:t>
      </w:r>
      <w:r w:rsidR="00EE1561">
        <w:rPr>
          <w:lang w:val="en-CA"/>
        </w:rPr>
        <w:t>following</w:t>
      </w:r>
      <w:r>
        <w:rPr>
          <w:lang w:val="en-CA"/>
        </w:rPr>
        <w:t xml:space="preserve"> the visitors’ stay, </w:t>
      </w:r>
      <w:r w:rsidR="00ED5E09">
        <w:rPr>
          <w:lang w:val="en-CA"/>
        </w:rPr>
        <w:t xml:space="preserve">on August 10, 2020, </w:t>
      </w:r>
      <w:r>
        <w:rPr>
          <w:lang w:val="en-CA"/>
        </w:rPr>
        <w:t xml:space="preserve">Ms. Lanfranc entered the apartment through the </w:t>
      </w:r>
      <w:r w:rsidR="00ED5E09">
        <w:rPr>
          <w:lang w:val="en-CA"/>
        </w:rPr>
        <w:t xml:space="preserve">unlocked </w:t>
      </w:r>
      <w:r>
        <w:rPr>
          <w:lang w:val="en-CA"/>
        </w:rPr>
        <w:t>back door</w:t>
      </w:r>
      <w:r w:rsidR="00ED5E09">
        <w:rPr>
          <w:lang w:val="en-CA"/>
        </w:rPr>
        <w:t xml:space="preserve"> </w:t>
      </w:r>
      <w:r>
        <w:rPr>
          <w:lang w:val="en-CA"/>
        </w:rPr>
        <w:t xml:space="preserve">to inspect and </w:t>
      </w:r>
      <w:r w:rsidR="00ED5E09">
        <w:rPr>
          <w:lang w:val="en-CA"/>
        </w:rPr>
        <w:t>en</w:t>
      </w:r>
      <w:r>
        <w:rPr>
          <w:lang w:val="en-CA"/>
        </w:rPr>
        <w:t xml:space="preserve">sure everything was in order. She </w:t>
      </w:r>
      <w:r w:rsidR="00ED5E09">
        <w:rPr>
          <w:lang w:val="en-CA"/>
        </w:rPr>
        <w:t>went into</w:t>
      </w:r>
      <w:r>
        <w:rPr>
          <w:lang w:val="en-CA"/>
        </w:rPr>
        <w:t xml:space="preserve"> the bedroom </w:t>
      </w:r>
      <w:r w:rsidR="005A1E5B">
        <w:rPr>
          <w:lang w:val="en-CA"/>
        </w:rPr>
        <w:t>where she</w:t>
      </w:r>
      <w:r>
        <w:rPr>
          <w:lang w:val="en-CA"/>
        </w:rPr>
        <w:t xml:space="preserve"> saw a doll that </w:t>
      </w:r>
      <w:r w:rsidR="005C7F8D">
        <w:rPr>
          <w:lang w:val="en-CA"/>
        </w:rPr>
        <w:t>had</w:t>
      </w:r>
      <w:r w:rsidR="005C7F8D" w:rsidRPr="005C7F8D">
        <w:rPr>
          <w:lang w:val="en-CA"/>
        </w:rPr>
        <w:t xml:space="preserve"> the features of a female child</w:t>
      </w:r>
      <w:r>
        <w:rPr>
          <w:lang w:val="en-CA"/>
        </w:rPr>
        <w:t xml:space="preserve">. </w:t>
      </w:r>
      <w:r w:rsidR="005A1E5B">
        <w:rPr>
          <w:lang w:val="en-CA"/>
        </w:rPr>
        <w:t>It was covered by a</w:t>
      </w:r>
      <w:r>
        <w:rPr>
          <w:lang w:val="en-CA"/>
        </w:rPr>
        <w:t xml:space="preserve"> fleece blanket </w:t>
      </w:r>
      <w:r w:rsidR="005A1E5B">
        <w:rPr>
          <w:lang w:val="en-CA"/>
        </w:rPr>
        <w:t>with</w:t>
      </w:r>
      <w:r>
        <w:rPr>
          <w:lang w:val="en-CA"/>
        </w:rPr>
        <w:t xml:space="preserve"> the feet, shoulders and head exposed. </w:t>
      </w:r>
      <w:r w:rsidR="00534DC9">
        <w:rPr>
          <w:lang w:val="en-CA"/>
        </w:rPr>
        <w:t xml:space="preserve">The scene made </w:t>
      </w:r>
      <w:r>
        <w:rPr>
          <w:lang w:val="en-CA"/>
        </w:rPr>
        <w:t xml:space="preserve">Ms. Lanfranc </w:t>
      </w:r>
      <w:r w:rsidR="005A1E5B">
        <w:rPr>
          <w:lang w:val="en-CA"/>
        </w:rPr>
        <w:t>un</w:t>
      </w:r>
      <w:r>
        <w:rPr>
          <w:lang w:val="en-CA"/>
        </w:rPr>
        <w:t>comfortable. She returned to her apartment and called the police to give them a brief description of the doll.</w:t>
      </w:r>
    </w:p>
    <w:p w14:paraId="177D968C" w14:textId="7C9D71E1" w:rsidR="00A50B92" w:rsidRPr="006729B0" w:rsidRDefault="005D3F3F" w:rsidP="009D5790">
      <w:pPr>
        <w:pStyle w:val="Paragraphe"/>
        <w:spacing w:line="280" w:lineRule="exact"/>
        <w:rPr>
          <w:lang w:val="en-CA"/>
        </w:rPr>
      </w:pPr>
      <w:r>
        <w:rPr>
          <w:lang w:val="en-CA"/>
        </w:rPr>
        <w:t xml:space="preserve">The following day, August 11, 2020, Ms. Lanfranc returned to the appellant’s apartment accompanied by a friend </w:t>
      </w:r>
      <w:r w:rsidR="00EE1561">
        <w:rPr>
          <w:lang w:val="en-CA"/>
        </w:rPr>
        <w:t xml:space="preserve">Mr. </w:t>
      </w:r>
      <w:r>
        <w:rPr>
          <w:lang w:val="en-CA"/>
        </w:rPr>
        <w:t>Martial Tremblay.</w:t>
      </w:r>
      <w:r>
        <w:rPr>
          <w:rStyle w:val="Appelnotedebasdep"/>
          <w:lang w:val="en-CA"/>
        </w:rPr>
        <w:footnoteReference w:id="3"/>
      </w:r>
      <w:r>
        <w:rPr>
          <w:lang w:val="en-CA"/>
        </w:rPr>
        <w:t xml:space="preserve"> She noticed that the doll had a different hairstyle. It was still under the </w:t>
      </w:r>
      <w:r w:rsidR="00B03230">
        <w:rPr>
          <w:lang w:val="en-CA"/>
        </w:rPr>
        <w:t>blanket but</w:t>
      </w:r>
      <w:r>
        <w:rPr>
          <w:lang w:val="en-CA"/>
        </w:rPr>
        <w:t xml:space="preserve"> was wearing a camisole. Ms. </w:t>
      </w:r>
      <w:r>
        <w:rPr>
          <w:lang w:val="en-CA"/>
        </w:rPr>
        <w:lastRenderedPageBreak/>
        <w:t xml:space="preserve">Lanfranc then took a photo that was later given to the police. She also </w:t>
      </w:r>
      <w:r w:rsidR="007D7A1B">
        <w:rPr>
          <w:lang w:val="en-CA"/>
        </w:rPr>
        <w:t>provided</w:t>
      </w:r>
      <w:r>
        <w:rPr>
          <w:lang w:val="en-CA"/>
        </w:rPr>
        <w:t xml:space="preserve"> them </w:t>
      </w:r>
      <w:r w:rsidR="007D7A1B">
        <w:rPr>
          <w:lang w:val="en-CA"/>
        </w:rPr>
        <w:t xml:space="preserve">with </w:t>
      </w:r>
      <w:r>
        <w:rPr>
          <w:lang w:val="en-CA"/>
        </w:rPr>
        <w:t>a statement, which was used to obtain a search warrant.</w:t>
      </w:r>
      <w:r w:rsidR="00EE1561">
        <w:rPr>
          <w:lang w:val="en-CA"/>
        </w:rPr>
        <w:t xml:space="preserve"> P</w:t>
      </w:r>
      <w:r w:rsidR="007D7A1B">
        <w:rPr>
          <w:lang w:val="en-CA"/>
        </w:rPr>
        <w:t>olice o</w:t>
      </w:r>
      <w:r>
        <w:rPr>
          <w:lang w:val="en-CA"/>
        </w:rPr>
        <w:t xml:space="preserve">fficers went to the appellant’s apartment </w:t>
      </w:r>
      <w:r w:rsidR="00EE1561" w:rsidRPr="00EE1561">
        <w:rPr>
          <w:lang w:val="en-CA"/>
        </w:rPr>
        <w:t>on</w:t>
      </w:r>
      <w:r w:rsidR="00EE1561">
        <w:rPr>
          <w:lang w:val="en-CA"/>
        </w:rPr>
        <w:t xml:space="preserve"> August 12, </w:t>
      </w:r>
      <w:proofErr w:type="gramStart"/>
      <w:r w:rsidR="00EE1561">
        <w:rPr>
          <w:lang w:val="en-CA"/>
        </w:rPr>
        <w:t>2020</w:t>
      </w:r>
      <w:proofErr w:type="gramEnd"/>
      <w:r w:rsidR="00EE1561">
        <w:rPr>
          <w:lang w:val="en-CA"/>
        </w:rPr>
        <w:t xml:space="preserve"> </w:t>
      </w:r>
      <w:r>
        <w:rPr>
          <w:lang w:val="en-CA"/>
        </w:rPr>
        <w:t xml:space="preserve">and seized the doll, as well as clothes, wigs, </w:t>
      </w:r>
      <w:r w:rsidR="007D7A1B">
        <w:rPr>
          <w:lang w:val="en-CA"/>
        </w:rPr>
        <w:t>artificial</w:t>
      </w:r>
      <w:r>
        <w:rPr>
          <w:lang w:val="en-CA"/>
        </w:rPr>
        <w:t xml:space="preserve"> nails, hair elastics and a pump. The doll </w:t>
      </w:r>
      <w:r w:rsidR="007D7A1B">
        <w:rPr>
          <w:lang w:val="en-CA"/>
        </w:rPr>
        <w:t>is approximately</w:t>
      </w:r>
      <w:r>
        <w:rPr>
          <w:lang w:val="en-CA"/>
        </w:rPr>
        <w:t xml:space="preserve"> 123 cm</w:t>
      </w:r>
      <w:r w:rsidR="007D7A1B">
        <w:rPr>
          <w:lang w:val="en-CA"/>
        </w:rPr>
        <w:t xml:space="preserve"> tall</w:t>
      </w:r>
      <w:r>
        <w:rPr>
          <w:lang w:val="en-CA"/>
        </w:rPr>
        <w:t>.</w:t>
      </w:r>
    </w:p>
    <w:p w14:paraId="48054776" w14:textId="0091FD79" w:rsidR="00A50B92" w:rsidRPr="005D3F3F" w:rsidRDefault="00D05095" w:rsidP="009D5790">
      <w:pPr>
        <w:pStyle w:val="Paragraphe"/>
        <w:spacing w:line="280" w:lineRule="exact"/>
        <w:rPr>
          <w:lang w:val="en-US"/>
        </w:rPr>
      </w:pPr>
      <w:r>
        <w:rPr>
          <w:lang w:val="en-CA"/>
        </w:rPr>
        <w:t>U</w:t>
      </w:r>
      <w:r w:rsidR="005D3F3F">
        <w:rPr>
          <w:lang w:val="en-CA"/>
        </w:rPr>
        <w:t xml:space="preserve">pon his return from </w:t>
      </w:r>
      <w:r w:rsidR="005D3F3F" w:rsidRPr="00D05095">
        <w:rPr>
          <w:lang w:val="en-CA"/>
        </w:rPr>
        <w:t>Montr</w:t>
      </w:r>
      <w:r w:rsidR="007D7A1B" w:rsidRPr="00D05095">
        <w:rPr>
          <w:lang w:val="en-CA"/>
        </w:rPr>
        <w:t>e</w:t>
      </w:r>
      <w:r w:rsidR="005D3F3F" w:rsidRPr="00D05095">
        <w:rPr>
          <w:lang w:val="en-CA"/>
        </w:rPr>
        <w:t>al</w:t>
      </w:r>
      <w:r w:rsidRPr="00D05095">
        <w:rPr>
          <w:lang w:val="en-CA"/>
        </w:rPr>
        <w:t xml:space="preserve"> on</w:t>
      </w:r>
      <w:r>
        <w:rPr>
          <w:lang w:val="en-CA"/>
        </w:rPr>
        <w:t xml:space="preserve"> August 22, 2020</w:t>
      </w:r>
      <w:r w:rsidR="007D7A1B">
        <w:rPr>
          <w:lang w:val="en-CA"/>
        </w:rPr>
        <w:t>,</w:t>
      </w:r>
      <w:r w:rsidR="005D3F3F">
        <w:rPr>
          <w:lang w:val="en-CA"/>
        </w:rPr>
        <w:t xml:space="preserve"> the appellant noticed the </w:t>
      </w:r>
      <w:r w:rsidR="007D7A1B">
        <w:rPr>
          <w:lang w:val="en-CA"/>
        </w:rPr>
        <w:t xml:space="preserve">doll’s </w:t>
      </w:r>
      <w:r w:rsidR="005D3F3F">
        <w:rPr>
          <w:lang w:val="en-CA"/>
        </w:rPr>
        <w:t xml:space="preserve">disappearance and asked Ms. Lanfranc what had happened. She explained that this type of doll is illegal in Canada. According to Ms. Lanfranc, the appellant did not appear to understand what was going on and he then showed her three dresses that </w:t>
      </w:r>
      <w:r w:rsidR="007D7A1B">
        <w:rPr>
          <w:lang w:val="en-CA"/>
        </w:rPr>
        <w:t>are</w:t>
      </w:r>
      <w:r w:rsidR="005D3F3F">
        <w:rPr>
          <w:lang w:val="en-CA"/>
        </w:rPr>
        <w:t xml:space="preserve"> historical</w:t>
      </w:r>
      <w:r w:rsidR="007D7A1B">
        <w:rPr>
          <w:lang w:val="en-CA"/>
        </w:rPr>
        <w:t>ly</w:t>
      </w:r>
      <w:r w:rsidR="005D3F3F">
        <w:rPr>
          <w:lang w:val="en-CA"/>
        </w:rPr>
        <w:t xml:space="preserve"> significan</w:t>
      </w:r>
      <w:r w:rsidR="00A025E9">
        <w:rPr>
          <w:lang w:val="en-CA"/>
        </w:rPr>
        <w:t>t</w:t>
      </w:r>
      <w:r w:rsidR="005D3F3F">
        <w:rPr>
          <w:lang w:val="en-CA"/>
        </w:rPr>
        <w:t xml:space="preserve"> in Chinese culture.</w:t>
      </w:r>
    </w:p>
    <w:p w14:paraId="0D93421A" w14:textId="7BB5B836" w:rsidR="00A50B92" w:rsidRDefault="005D3F3F" w:rsidP="009D5790">
      <w:pPr>
        <w:pStyle w:val="Paragraphe"/>
        <w:spacing w:line="280" w:lineRule="exact"/>
      </w:pPr>
      <w:r>
        <w:rPr>
          <w:lang w:val="en-CA"/>
        </w:rPr>
        <w:t>The police made an appointment with the appellant to arrest</w:t>
      </w:r>
      <w:r w:rsidR="007D7A1B">
        <w:rPr>
          <w:lang w:val="en-CA"/>
        </w:rPr>
        <w:t xml:space="preserve"> him</w:t>
      </w:r>
      <w:r>
        <w:rPr>
          <w:lang w:val="en-CA"/>
        </w:rPr>
        <w:t xml:space="preserve"> on August 24, 2020, at his apartment. </w:t>
      </w:r>
      <w:r w:rsidR="007D7A1B">
        <w:rPr>
          <w:lang w:val="en-CA"/>
        </w:rPr>
        <w:t>When they arrived, the appellant</w:t>
      </w:r>
      <w:r>
        <w:rPr>
          <w:lang w:val="en-CA"/>
        </w:rPr>
        <w:t xml:space="preserve"> was waiting outside the </w:t>
      </w:r>
      <w:r w:rsidR="00BA07BC">
        <w:rPr>
          <w:lang w:val="en-CA"/>
        </w:rPr>
        <w:t>building, carrying</w:t>
      </w:r>
      <w:r>
        <w:rPr>
          <w:lang w:val="en-CA"/>
        </w:rPr>
        <w:t xml:space="preserve"> a backpack. He cooperated very well, but communication was difficult until the interpreter joined them </w:t>
      </w:r>
      <w:r w:rsidR="00D05095">
        <w:rPr>
          <w:lang w:val="en-CA"/>
        </w:rPr>
        <w:t>online</w:t>
      </w:r>
      <w:r>
        <w:rPr>
          <w:lang w:val="en-CA"/>
        </w:rPr>
        <w:t xml:space="preserve"> at the police station. Following the interrogation, police searched the backpack in the cell block and found a Chinese-style child’s dress. At th</w:t>
      </w:r>
      <w:r w:rsidR="00BA07BC">
        <w:rPr>
          <w:lang w:val="en-CA"/>
        </w:rPr>
        <w:t>at</w:t>
      </w:r>
      <w:r>
        <w:rPr>
          <w:lang w:val="en-CA"/>
        </w:rPr>
        <w:t xml:space="preserve"> </w:t>
      </w:r>
      <w:r w:rsidR="00BA07BC">
        <w:rPr>
          <w:lang w:val="en-CA"/>
        </w:rPr>
        <w:t>point</w:t>
      </w:r>
      <w:r>
        <w:rPr>
          <w:lang w:val="en-CA"/>
        </w:rPr>
        <w:t xml:space="preserve"> there was no interpreter.</w:t>
      </w:r>
    </w:p>
    <w:p w14:paraId="655B96D1" w14:textId="77777777" w:rsidR="00A50B92" w:rsidRPr="005D3F3F" w:rsidRDefault="005D3F3F" w:rsidP="009D5790">
      <w:pPr>
        <w:pStyle w:val="Paragraphe"/>
        <w:spacing w:line="280" w:lineRule="exact"/>
        <w:rPr>
          <w:lang w:val="en-US"/>
        </w:rPr>
      </w:pPr>
      <w:r>
        <w:rPr>
          <w:lang w:val="en-CA"/>
        </w:rPr>
        <w:t>The genetic analysis carried out on the doll did not reveal the presence of sperm. Only traces of the appellant’s DNA were found on the crotch area.</w:t>
      </w:r>
    </w:p>
    <w:p w14:paraId="05B5B2AF" w14:textId="763DD4D4" w:rsidR="00A50B92" w:rsidRPr="005D3F3F" w:rsidRDefault="005D3F3F" w:rsidP="009D5790">
      <w:pPr>
        <w:pStyle w:val="Paragraphe"/>
        <w:spacing w:line="280" w:lineRule="exact"/>
        <w:rPr>
          <w:lang w:val="en-US"/>
        </w:rPr>
      </w:pPr>
      <w:r>
        <w:rPr>
          <w:lang w:val="en-CA"/>
        </w:rPr>
        <w:t xml:space="preserve">The trial began on March 22, 2022, with the filing of an application to exclude evidence based on insufficient grounds to obtain a search warrant. The judge dismissed the application on June 22, 2022, and the trial was held on September 13, 14 and 15, 2022. </w:t>
      </w:r>
    </w:p>
    <w:p w14:paraId="2694A67D" w14:textId="32843979" w:rsidR="00A50B92" w:rsidRPr="005D3F3F" w:rsidRDefault="005D3F3F" w:rsidP="009D5790">
      <w:pPr>
        <w:pStyle w:val="Paragraphe"/>
        <w:spacing w:line="280" w:lineRule="exact"/>
        <w:rPr>
          <w:lang w:val="en-US"/>
        </w:rPr>
      </w:pPr>
      <w:r>
        <w:rPr>
          <w:lang w:val="en-CA"/>
        </w:rPr>
        <w:t xml:space="preserve">The appellant acknowledged possession of the doll sent to him from China by a childhood friend Qiu Kangfei. He explained that he planned to use it as a mannequin to create a blog </w:t>
      </w:r>
      <w:r w:rsidR="00F4308A">
        <w:rPr>
          <w:lang w:val="en-CA"/>
        </w:rPr>
        <w:t>highlighting</w:t>
      </w:r>
      <w:r>
        <w:rPr>
          <w:lang w:val="en-CA"/>
        </w:rPr>
        <w:t xml:space="preserve"> the historical clothing of the Chinese Han dynasty. However, he was unable to publish </w:t>
      </w:r>
      <w:r w:rsidR="004E58EE">
        <w:rPr>
          <w:lang w:val="en-CA"/>
        </w:rPr>
        <w:t xml:space="preserve">any </w:t>
      </w:r>
      <w:r>
        <w:rPr>
          <w:lang w:val="en-CA"/>
        </w:rPr>
        <w:t xml:space="preserve">photos as the doll was seized before the clothes ordered arrived in Canada. According to his testimony, </w:t>
      </w:r>
      <w:r w:rsidR="004E58EE">
        <w:rPr>
          <w:lang w:val="en-CA"/>
        </w:rPr>
        <w:t xml:space="preserve">when he was </w:t>
      </w:r>
      <w:r w:rsidR="00A025E9">
        <w:rPr>
          <w:lang w:val="en-CA"/>
        </w:rPr>
        <w:t>arrested,</w:t>
      </w:r>
      <w:r w:rsidR="004E58EE">
        <w:rPr>
          <w:lang w:val="en-CA"/>
        </w:rPr>
        <w:t xml:space="preserve"> </w:t>
      </w:r>
      <w:r>
        <w:rPr>
          <w:lang w:val="en-CA"/>
        </w:rPr>
        <w:t xml:space="preserve">he </w:t>
      </w:r>
      <w:r w:rsidR="004E58EE">
        <w:rPr>
          <w:lang w:val="en-CA"/>
        </w:rPr>
        <w:t>put</w:t>
      </w:r>
      <w:r>
        <w:rPr>
          <w:lang w:val="en-CA"/>
        </w:rPr>
        <w:t xml:space="preserve"> one of the dresses in his backpack to explain his project to the police</w:t>
      </w:r>
      <w:r w:rsidR="004E58EE">
        <w:rPr>
          <w:lang w:val="en-CA"/>
        </w:rPr>
        <w:t xml:space="preserve"> officers</w:t>
      </w:r>
      <w:r>
        <w:rPr>
          <w:lang w:val="en-CA"/>
        </w:rPr>
        <w:t>.</w:t>
      </w:r>
    </w:p>
    <w:p w14:paraId="2FC3C4C1" w14:textId="16C8D6CB" w:rsidR="00A50B92" w:rsidRPr="005D3F3F" w:rsidRDefault="005D3F3F" w:rsidP="009D5790">
      <w:pPr>
        <w:pStyle w:val="Paragraphe"/>
        <w:spacing w:line="280" w:lineRule="exact"/>
        <w:rPr>
          <w:lang w:val="en-US"/>
        </w:rPr>
      </w:pPr>
      <w:r>
        <w:rPr>
          <w:lang w:val="en-CA"/>
        </w:rPr>
        <w:t>The appellant further stated that possession of such dolls is common in China. They serve as mannequins for taking non-sexual photos, such as</w:t>
      </w:r>
      <w:r w:rsidR="00A025E9">
        <w:rPr>
          <w:lang w:val="en-CA"/>
        </w:rPr>
        <w:t xml:space="preserve"> for</w:t>
      </w:r>
      <w:r>
        <w:rPr>
          <w:lang w:val="en-CA"/>
        </w:rPr>
        <w:t xml:space="preserve"> fashion photos or movies. </w:t>
      </w:r>
    </w:p>
    <w:p w14:paraId="045FF490" w14:textId="4D48ADCA" w:rsidR="00A50B92" w:rsidRPr="005D3F3F" w:rsidRDefault="005D3F3F" w:rsidP="009D5790">
      <w:pPr>
        <w:pStyle w:val="Paragraphe"/>
        <w:spacing w:line="280" w:lineRule="exact"/>
        <w:rPr>
          <w:lang w:val="en-US"/>
        </w:rPr>
      </w:pPr>
      <w:r>
        <w:rPr>
          <w:lang w:val="en-CA"/>
        </w:rPr>
        <w:t xml:space="preserve">The appellant was </w:t>
      </w:r>
      <w:r w:rsidR="004E58EE">
        <w:rPr>
          <w:lang w:val="en-CA"/>
        </w:rPr>
        <w:t>convicted</w:t>
      </w:r>
      <w:r>
        <w:rPr>
          <w:lang w:val="en-CA"/>
        </w:rPr>
        <w:t xml:space="preserve"> on September 15, 2022, </w:t>
      </w:r>
      <w:r w:rsidR="004E58EE">
        <w:rPr>
          <w:lang w:val="en-CA"/>
        </w:rPr>
        <w:t>in a</w:t>
      </w:r>
      <w:r>
        <w:rPr>
          <w:lang w:val="en-CA"/>
        </w:rPr>
        <w:t xml:space="preserve"> judgment </w:t>
      </w:r>
      <w:r w:rsidR="004E58EE">
        <w:rPr>
          <w:lang w:val="en-CA"/>
        </w:rPr>
        <w:t>rendered from the bench at the end of</w:t>
      </w:r>
      <w:r>
        <w:rPr>
          <w:lang w:val="en-CA"/>
        </w:rPr>
        <w:t xml:space="preserve"> </w:t>
      </w:r>
      <w:r w:rsidR="003A32FE">
        <w:rPr>
          <w:lang w:val="en-CA"/>
        </w:rPr>
        <w:t xml:space="preserve">submissions by </w:t>
      </w:r>
      <w:r>
        <w:rPr>
          <w:lang w:val="en-CA"/>
        </w:rPr>
        <w:t>counsel, which immediately followed the end of the appellant’s testimony.</w:t>
      </w:r>
    </w:p>
    <w:p w14:paraId="7035E09F" w14:textId="241BBBB8" w:rsidR="00A50B92" w:rsidRPr="005D3F3F" w:rsidRDefault="005C7F8D" w:rsidP="00A50B92">
      <w:pPr>
        <w:pStyle w:val="Titre1"/>
        <w:rPr>
          <w:lang w:val="en-US"/>
        </w:rPr>
      </w:pPr>
      <w:r>
        <w:rPr>
          <w:bCs/>
          <w:lang w:val="en-CA"/>
        </w:rPr>
        <w:lastRenderedPageBreak/>
        <w:t>J</w:t>
      </w:r>
      <w:r w:rsidR="005D3F3F">
        <w:rPr>
          <w:bCs/>
          <w:lang w:val="en-CA"/>
        </w:rPr>
        <w:t>udgments</w:t>
      </w:r>
      <w:r>
        <w:rPr>
          <w:bCs/>
          <w:lang w:val="en-CA"/>
        </w:rPr>
        <w:t xml:space="preserve"> in first instance</w:t>
      </w:r>
      <w:r w:rsidR="005D3F3F">
        <w:rPr>
          <w:bCs/>
          <w:lang w:val="en-CA"/>
        </w:rPr>
        <w:t xml:space="preserve"> </w:t>
      </w:r>
    </w:p>
    <w:p w14:paraId="5DF72953" w14:textId="2775F76E" w:rsidR="00A50B92" w:rsidRPr="005D3F3F" w:rsidRDefault="005D3F3F" w:rsidP="00A50B92">
      <w:pPr>
        <w:pStyle w:val="Titre2"/>
        <w:rPr>
          <w:lang w:val="en-US"/>
        </w:rPr>
      </w:pPr>
      <w:r>
        <w:rPr>
          <w:bCs/>
          <w:iCs/>
          <w:lang w:val="en-CA"/>
        </w:rPr>
        <w:t>Judgment on the exclusion of evidence</w:t>
      </w:r>
    </w:p>
    <w:p w14:paraId="6DF92ED7" w14:textId="55E2E8A7" w:rsidR="00A50B92" w:rsidRPr="005D3F3F" w:rsidRDefault="005D3F3F" w:rsidP="009D5790">
      <w:pPr>
        <w:pStyle w:val="Paragraphe"/>
        <w:spacing w:line="280" w:lineRule="exact"/>
        <w:rPr>
          <w:lang w:val="en-US"/>
        </w:rPr>
      </w:pPr>
      <w:r>
        <w:rPr>
          <w:lang w:val="en-CA"/>
        </w:rPr>
        <w:t xml:space="preserve">The appellant </w:t>
      </w:r>
      <w:r w:rsidR="003460FA">
        <w:rPr>
          <w:lang w:val="en-CA"/>
        </w:rPr>
        <w:t>sought</w:t>
      </w:r>
      <w:r>
        <w:rPr>
          <w:lang w:val="en-CA"/>
        </w:rPr>
        <w:t xml:space="preserve"> the exclusion of evidence pursuant to s</w:t>
      </w:r>
      <w:r w:rsidR="007154E0">
        <w:rPr>
          <w:lang w:val="en-CA"/>
        </w:rPr>
        <w:t>.</w:t>
      </w:r>
      <w:r>
        <w:rPr>
          <w:lang w:val="en-CA"/>
        </w:rPr>
        <w:t xml:space="preserve"> 8 of the </w:t>
      </w:r>
      <w:r>
        <w:rPr>
          <w:i/>
          <w:iCs/>
          <w:lang w:val="en-CA"/>
        </w:rPr>
        <w:t>Canadian Charter of Rights and Freedoms</w:t>
      </w:r>
      <w:r>
        <w:rPr>
          <w:lang w:val="en-CA"/>
        </w:rPr>
        <w:t xml:space="preserve">. He argued that the affidavit in support of the </w:t>
      </w:r>
      <w:r w:rsidR="003460FA">
        <w:rPr>
          <w:lang w:val="en-CA"/>
        </w:rPr>
        <w:t>application</w:t>
      </w:r>
      <w:r>
        <w:rPr>
          <w:lang w:val="en-CA"/>
        </w:rPr>
        <w:t xml:space="preserve"> for a search warrant failed to include exculpatory elements known to the police</w:t>
      </w:r>
      <w:r w:rsidR="003460FA">
        <w:rPr>
          <w:lang w:val="en-CA"/>
        </w:rPr>
        <w:t xml:space="preserve"> officers</w:t>
      </w:r>
      <w:r>
        <w:rPr>
          <w:lang w:val="en-CA"/>
        </w:rPr>
        <w:t xml:space="preserve">, namely, the photo taken by Ms. Lanfranc and her statement. In addition, he criticized the police for failing to </w:t>
      </w:r>
      <w:r w:rsidR="003460FA">
        <w:rPr>
          <w:lang w:val="en-CA"/>
        </w:rPr>
        <w:t>include</w:t>
      </w:r>
      <w:r>
        <w:rPr>
          <w:lang w:val="en-CA"/>
        </w:rPr>
        <w:t xml:space="preserve"> the size of the doll in the </w:t>
      </w:r>
      <w:r w:rsidR="003460FA">
        <w:rPr>
          <w:lang w:val="en-CA"/>
        </w:rPr>
        <w:t>information</w:t>
      </w:r>
      <w:r>
        <w:rPr>
          <w:lang w:val="en-CA"/>
        </w:rPr>
        <w:t>. As a result, there were insufficient grounds for requesting a search warrant.</w:t>
      </w:r>
    </w:p>
    <w:p w14:paraId="0B86D835" w14:textId="4B2FB9BF" w:rsidR="00A50B92" w:rsidRPr="005D3F3F" w:rsidRDefault="005D3F3F" w:rsidP="009D5790">
      <w:pPr>
        <w:pStyle w:val="Paragraphe"/>
        <w:spacing w:line="280" w:lineRule="exact"/>
        <w:rPr>
          <w:lang w:val="en-US"/>
        </w:rPr>
      </w:pPr>
      <w:r>
        <w:rPr>
          <w:lang w:val="en-CA"/>
        </w:rPr>
        <w:t xml:space="preserve">The judge acknowledged that the evidence was silent on the size of the doll and that the authorizing judge </w:t>
      </w:r>
      <w:r w:rsidR="005A0F4F">
        <w:rPr>
          <w:lang w:val="en-CA"/>
        </w:rPr>
        <w:t>had not seen</w:t>
      </w:r>
      <w:r>
        <w:rPr>
          <w:lang w:val="en-CA"/>
        </w:rPr>
        <w:t xml:space="preserve"> the photo of the doll </w:t>
      </w:r>
      <w:r w:rsidR="005A0F4F">
        <w:rPr>
          <w:lang w:val="en-CA"/>
        </w:rPr>
        <w:t>and</w:t>
      </w:r>
      <w:r>
        <w:rPr>
          <w:lang w:val="en-CA"/>
        </w:rPr>
        <w:t xml:space="preserve"> form</w:t>
      </w:r>
      <w:r w:rsidR="005A0F4F">
        <w:rPr>
          <w:lang w:val="en-CA"/>
        </w:rPr>
        <w:t>ed</w:t>
      </w:r>
      <w:r>
        <w:rPr>
          <w:lang w:val="en-CA"/>
        </w:rPr>
        <w:t xml:space="preserve"> h</w:t>
      </w:r>
      <w:r w:rsidR="005A0F4F">
        <w:rPr>
          <w:lang w:val="en-CA"/>
        </w:rPr>
        <w:t xml:space="preserve">is </w:t>
      </w:r>
      <w:r>
        <w:rPr>
          <w:lang w:val="en-CA"/>
        </w:rPr>
        <w:t xml:space="preserve">own </w:t>
      </w:r>
      <w:r w:rsidR="00157395">
        <w:rPr>
          <w:lang w:val="en-CA"/>
        </w:rPr>
        <w:t>opinion about</w:t>
      </w:r>
      <w:r>
        <w:rPr>
          <w:lang w:val="en-CA"/>
        </w:rPr>
        <w:t xml:space="preserve"> its characteristics. However, she was of </w:t>
      </w:r>
      <w:r w:rsidR="006729B0" w:rsidRPr="00197E9F">
        <w:rPr>
          <w:lang w:val="en-CA"/>
        </w:rPr>
        <w:t>the</w:t>
      </w:r>
      <w:r w:rsidR="006729B0">
        <w:rPr>
          <w:lang w:val="en-CA"/>
        </w:rPr>
        <w:t xml:space="preserve"> </w:t>
      </w:r>
      <w:r w:rsidR="00157395">
        <w:rPr>
          <w:lang w:val="en-CA"/>
        </w:rPr>
        <w:t>view</w:t>
      </w:r>
      <w:r>
        <w:rPr>
          <w:lang w:val="en-CA"/>
        </w:rPr>
        <w:t xml:space="preserve"> that the missing information was of little importance at the stage of determining reasonable </w:t>
      </w:r>
      <w:r w:rsidR="00CF1878">
        <w:rPr>
          <w:lang w:val="en-CA"/>
        </w:rPr>
        <w:t>grounds since</w:t>
      </w:r>
      <w:r>
        <w:rPr>
          <w:lang w:val="en-CA"/>
        </w:rPr>
        <w:t xml:space="preserve"> the offence under s</w:t>
      </w:r>
      <w:r w:rsidR="007154E0">
        <w:rPr>
          <w:lang w:val="en-CA"/>
        </w:rPr>
        <w:t>.</w:t>
      </w:r>
      <w:r>
        <w:rPr>
          <w:lang w:val="en-CA"/>
        </w:rPr>
        <w:t xml:space="preserve"> 163.1 </w:t>
      </w:r>
      <w:r w:rsidRPr="00157395">
        <w:rPr>
          <w:i/>
          <w:iCs/>
          <w:lang w:val="en-CA"/>
        </w:rPr>
        <w:t>Cr.C.</w:t>
      </w:r>
      <w:r>
        <w:rPr>
          <w:lang w:val="en-CA"/>
        </w:rPr>
        <w:t xml:space="preserve"> refers to any person under the age of 18 years. According to the judge, whether the doll is small or </w:t>
      </w:r>
      <w:r w:rsidR="00CF1878">
        <w:rPr>
          <w:lang w:val="en-CA"/>
        </w:rPr>
        <w:t>of similar size to</w:t>
      </w:r>
      <w:r>
        <w:rPr>
          <w:lang w:val="en-CA"/>
        </w:rPr>
        <w:t xml:space="preserve"> </w:t>
      </w:r>
      <w:r w:rsidR="003C2E89">
        <w:rPr>
          <w:lang w:val="en-CA"/>
        </w:rPr>
        <w:t>a female</w:t>
      </w:r>
      <w:r>
        <w:rPr>
          <w:lang w:val="en-CA"/>
        </w:rPr>
        <w:t xml:space="preserve"> adult</w:t>
      </w:r>
      <w:r w:rsidR="009063FC">
        <w:rPr>
          <w:lang w:val="en-CA"/>
        </w:rPr>
        <w:t xml:space="preserve"> or</w:t>
      </w:r>
      <w:r>
        <w:rPr>
          <w:lang w:val="en-CA"/>
        </w:rPr>
        <w:t xml:space="preserve"> </w:t>
      </w:r>
      <w:proofErr w:type="gramStart"/>
      <w:r>
        <w:rPr>
          <w:lang w:val="en-CA"/>
        </w:rPr>
        <w:t xml:space="preserve">whether </w:t>
      </w:r>
      <w:r w:rsidR="003C2E89">
        <w:rPr>
          <w:lang w:val="en-CA"/>
        </w:rPr>
        <w:t>or not</w:t>
      </w:r>
      <w:proofErr w:type="gramEnd"/>
      <w:r w:rsidR="003C2E89">
        <w:rPr>
          <w:lang w:val="en-CA"/>
        </w:rPr>
        <w:t xml:space="preserve"> </w:t>
      </w:r>
      <w:r>
        <w:rPr>
          <w:lang w:val="en-CA"/>
        </w:rPr>
        <w:t xml:space="preserve">it has breasts, is of little importance if the other characteristics allow the authorizing judge to conclude that it is reasonable to believe that the object will prove the commission of the offence. </w:t>
      </w:r>
    </w:p>
    <w:p w14:paraId="4F212486" w14:textId="285F5ECA" w:rsidR="00A50B92" w:rsidRDefault="005D3F3F" w:rsidP="009D5790">
      <w:pPr>
        <w:pStyle w:val="Paragraphe"/>
        <w:spacing w:line="280" w:lineRule="exact"/>
      </w:pPr>
      <w:r>
        <w:rPr>
          <w:lang w:val="en-CA"/>
        </w:rPr>
        <w:t>The judge also dismissed the appellant’s argument that the witness, Ms. Lanfranc, broke into his apartment. She dismissed the application to exclude evidence.</w:t>
      </w:r>
    </w:p>
    <w:p w14:paraId="4582F628" w14:textId="77777777" w:rsidR="00A50B92" w:rsidRPr="006E4947" w:rsidRDefault="005D3F3F" w:rsidP="00A50B92">
      <w:pPr>
        <w:pStyle w:val="Titre2"/>
      </w:pPr>
      <w:r>
        <w:rPr>
          <w:bCs/>
          <w:iCs/>
          <w:lang w:val="en-CA"/>
        </w:rPr>
        <w:t>Judgment on guilt</w:t>
      </w:r>
    </w:p>
    <w:p w14:paraId="4C2A2F54" w14:textId="77777777" w:rsidR="00A50B92" w:rsidRPr="005D3F3F" w:rsidRDefault="005D3F3F" w:rsidP="009D5790">
      <w:pPr>
        <w:pStyle w:val="Paragraphe"/>
        <w:spacing w:line="280" w:lineRule="exact"/>
        <w:rPr>
          <w:lang w:val="en-US"/>
        </w:rPr>
      </w:pPr>
      <w:r>
        <w:rPr>
          <w:lang w:val="en-CA"/>
        </w:rPr>
        <w:t>The judge first explained that the appellant had made several admissions: (1) he was in possession of the doll; and (2) his DNA was found on the doll’s crotch area, while specifying that no sperm was found on the doll.</w:t>
      </w:r>
    </w:p>
    <w:p w14:paraId="09667858" w14:textId="6A9FEA75" w:rsidR="00A50B92" w:rsidRDefault="005D3F3F" w:rsidP="009D5790">
      <w:pPr>
        <w:pStyle w:val="Paragraphe"/>
        <w:spacing w:line="280" w:lineRule="exact"/>
      </w:pPr>
      <w:r>
        <w:rPr>
          <w:lang w:val="en-CA"/>
        </w:rPr>
        <w:t xml:space="preserve">The judge concluded that a reasonable person, </w:t>
      </w:r>
      <w:r w:rsidR="0004113A">
        <w:rPr>
          <w:lang w:val="en-CA"/>
        </w:rPr>
        <w:t>viewing</w:t>
      </w:r>
      <w:r>
        <w:rPr>
          <w:lang w:val="en-CA"/>
        </w:rPr>
        <w:t xml:space="preserve"> the doll objectively</w:t>
      </w:r>
      <w:r w:rsidR="003C2E89">
        <w:rPr>
          <w:lang w:val="en-CA"/>
        </w:rPr>
        <w:t xml:space="preserve"> and</w:t>
      </w:r>
      <w:r>
        <w:rPr>
          <w:lang w:val="en-CA"/>
        </w:rPr>
        <w:t xml:space="preserve"> in </w:t>
      </w:r>
      <w:r w:rsidR="003C2E89">
        <w:rPr>
          <w:lang w:val="en-CA"/>
        </w:rPr>
        <w:t>its</w:t>
      </w:r>
      <w:r w:rsidR="0004113A">
        <w:rPr>
          <w:lang w:val="en-CA"/>
        </w:rPr>
        <w:t xml:space="preserve"> </w:t>
      </w:r>
      <w:r>
        <w:rPr>
          <w:lang w:val="en-CA"/>
        </w:rPr>
        <w:t xml:space="preserve">context, would conclude that its dominant characteristic is the representation of the sexual organs and the anal region for sexual purposes. Indeed, the doll represents a prepubescent </w:t>
      </w:r>
      <w:r w:rsidR="003C2E89">
        <w:rPr>
          <w:lang w:val="en-CA"/>
        </w:rPr>
        <w:t xml:space="preserve">female </w:t>
      </w:r>
      <w:r>
        <w:rPr>
          <w:lang w:val="en-CA"/>
        </w:rPr>
        <w:t xml:space="preserve">child necessarily under the age of eighteen (18) years </w:t>
      </w:r>
      <w:r w:rsidR="00947ECE">
        <w:rPr>
          <w:rFonts w:cs="Arial"/>
          <w:lang w:val="en-CA"/>
        </w:rPr>
        <w:t>[</w:t>
      </w:r>
      <w:r w:rsidR="00947ECE" w:rsidRPr="00947ECE">
        <w:rPr>
          <w:smallCaps/>
          <w:lang w:val="en-CA"/>
        </w:rPr>
        <w:t>translation</w:t>
      </w:r>
      <w:r w:rsidR="00947ECE">
        <w:rPr>
          <w:rFonts w:cs="Arial"/>
          <w:lang w:val="en-CA"/>
        </w:rPr>
        <w:t>]</w:t>
      </w:r>
      <w:r w:rsidR="00947ECE">
        <w:rPr>
          <w:lang w:val="en-CA"/>
        </w:rPr>
        <w:t xml:space="preserve"> </w:t>
      </w:r>
      <w:r>
        <w:rPr>
          <w:lang w:val="en-CA"/>
        </w:rPr>
        <w:t xml:space="preserve">“with a disconcerting realism, in terms of both its proportions and its manufacture.” It has three orifices, namely, the mouth, the </w:t>
      </w:r>
      <w:proofErr w:type="gramStart"/>
      <w:r>
        <w:rPr>
          <w:lang w:val="en-CA"/>
        </w:rPr>
        <w:t>vagina</w:t>
      </w:r>
      <w:proofErr w:type="gramEnd"/>
      <w:r>
        <w:rPr>
          <w:lang w:val="en-CA"/>
        </w:rPr>
        <w:t xml:space="preserve"> and the anus. According to the judge, to any reasonable objective person, these characteristics are dominant and explicit. She concluded that these</w:t>
      </w:r>
      <w:r w:rsidR="00947ECE">
        <w:rPr>
          <w:lang w:val="en-CA"/>
        </w:rPr>
        <w:t xml:space="preserve"> </w:t>
      </w:r>
      <w:r w:rsidR="00947ECE">
        <w:rPr>
          <w:rFonts w:cs="Arial"/>
          <w:lang w:val="en-CA"/>
        </w:rPr>
        <w:t>[</w:t>
      </w:r>
      <w:r w:rsidR="00947ECE" w:rsidRPr="00947ECE">
        <w:rPr>
          <w:smallCaps/>
          <w:lang w:val="en-CA"/>
        </w:rPr>
        <w:t>translation</w:t>
      </w:r>
      <w:r w:rsidR="00947ECE">
        <w:rPr>
          <w:rFonts w:cs="Arial"/>
          <w:lang w:val="en-CA"/>
        </w:rPr>
        <w:t>]</w:t>
      </w:r>
      <w:r w:rsidR="00947ECE">
        <w:rPr>
          <w:lang w:val="en-CA"/>
        </w:rPr>
        <w:t xml:space="preserve"> </w:t>
      </w:r>
      <w:r>
        <w:rPr>
          <w:lang w:val="en-CA"/>
        </w:rPr>
        <w:t xml:space="preserve">“orifices are specifically designed for a sexual purpose since </w:t>
      </w:r>
      <w:r w:rsidR="003C2E89">
        <w:rPr>
          <w:lang w:val="en-CA"/>
        </w:rPr>
        <w:t>their</w:t>
      </w:r>
      <w:r>
        <w:rPr>
          <w:lang w:val="en-CA"/>
        </w:rPr>
        <w:t xml:space="preserve"> only logical and reasonable use is to insert objects or a part of the human body into them for the purpose of causing sexual stimulation, given the obvious realism.” The other items seized, namely, the accessories, dresses, barrettes, and elastic </w:t>
      </w:r>
      <w:r>
        <w:rPr>
          <w:lang w:val="en-CA"/>
        </w:rPr>
        <w:lastRenderedPageBreak/>
        <w:t xml:space="preserve">bands are consistent with a </w:t>
      </w:r>
      <w:r w:rsidR="00546887">
        <w:rPr>
          <w:lang w:val="en-CA"/>
        </w:rPr>
        <w:t xml:space="preserve">female </w:t>
      </w:r>
      <w:r>
        <w:rPr>
          <w:lang w:val="en-CA"/>
        </w:rPr>
        <w:t>child’s size.</w:t>
      </w:r>
      <w:r>
        <w:rPr>
          <w:rStyle w:val="Appelnotedebasdep"/>
          <w:lang w:val="en-CA"/>
        </w:rPr>
        <w:footnoteReference w:id="4"/>
      </w:r>
      <w:r>
        <w:rPr>
          <w:lang w:val="en-CA"/>
        </w:rPr>
        <w:t xml:space="preserve"> The doll meets the definition of child pornography.</w:t>
      </w:r>
    </w:p>
    <w:p w14:paraId="3B237EBE" w14:textId="13F27F65" w:rsidR="00A50B92" w:rsidRPr="005D3F3F" w:rsidRDefault="005D3F3F" w:rsidP="009D5790">
      <w:pPr>
        <w:pStyle w:val="Paragraphe"/>
        <w:spacing w:line="280" w:lineRule="exact"/>
        <w:rPr>
          <w:lang w:val="en-US"/>
        </w:rPr>
      </w:pPr>
      <w:r>
        <w:rPr>
          <w:lang w:val="en-CA"/>
        </w:rPr>
        <w:t xml:space="preserve">The judge </w:t>
      </w:r>
      <w:r w:rsidR="00A025E9">
        <w:rPr>
          <w:lang w:val="en-CA"/>
        </w:rPr>
        <w:t>rejected</w:t>
      </w:r>
      <w:r>
        <w:rPr>
          <w:lang w:val="en-CA"/>
        </w:rPr>
        <w:t xml:space="preserve"> the </w:t>
      </w:r>
      <w:r w:rsidR="00A025E9">
        <w:rPr>
          <w:lang w:val="en-CA"/>
        </w:rPr>
        <w:t>defence of a legitimate purpose related to art</w:t>
      </w:r>
      <w:r>
        <w:rPr>
          <w:lang w:val="en-CA"/>
        </w:rPr>
        <w:t xml:space="preserve">. Indeed, the appellant admitted that several items seized were not related to his artistic purpose. Moreover, </w:t>
      </w:r>
      <w:r w:rsidR="00171759">
        <w:rPr>
          <w:lang w:val="en-CA"/>
        </w:rPr>
        <w:t>even though he stated</w:t>
      </w:r>
      <w:r>
        <w:rPr>
          <w:lang w:val="en-CA"/>
        </w:rPr>
        <w:t xml:space="preserve"> that he had no sexual intentions in possessing the doll, he saw its characteristics and could not </w:t>
      </w:r>
      <w:r w:rsidR="002A2616">
        <w:rPr>
          <w:lang w:val="en-CA"/>
        </w:rPr>
        <w:t>have been unaware of</w:t>
      </w:r>
      <w:r>
        <w:rPr>
          <w:lang w:val="en-CA"/>
        </w:rPr>
        <w:t xml:space="preserve"> the explicit purpose of this object. Despite his culture, ignorance of the law is not a defence.</w:t>
      </w:r>
      <w:r>
        <w:rPr>
          <w:rStyle w:val="Appelnotedebasdep"/>
          <w:lang w:val="en-CA"/>
        </w:rPr>
        <w:footnoteReference w:id="5"/>
      </w:r>
    </w:p>
    <w:p w14:paraId="5BC21065" w14:textId="1B28A979" w:rsidR="00A50B92" w:rsidRPr="005D3F3F" w:rsidRDefault="005D3F3F" w:rsidP="009D5790">
      <w:pPr>
        <w:pStyle w:val="Paragraphe"/>
        <w:spacing w:line="280" w:lineRule="exact"/>
        <w:rPr>
          <w:lang w:val="en-US"/>
        </w:rPr>
      </w:pPr>
      <w:r>
        <w:rPr>
          <w:lang w:val="en-CA"/>
        </w:rPr>
        <w:t xml:space="preserve">The judge added that, notwithstanding the foregoing, she did not believe the appellant </w:t>
      </w:r>
      <w:r w:rsidR="002A2616">
        <w:rPr>
          <w:lang w:val="en-CA"/>
        </w:rPr>
        <w:t>as to the</w:t>
      </w:r>
      <w:r>
        <w:rPr>
          <w:lang w:val="en-CA"/>
        </w:rPr>
        <w:t xml:space="preserve"> artistic purpose. She first pointed out that when explaining his desire to </w:t>
      </w:r>
      <w:r w:rsidR="00535862">
        <w:rPr>
          <w:lang w:val="en-CA"/>
        </w:rPr>
        <w:t>spread knowledge of</w:t>
      </w:r>
      <w:r>
        <w:rPr>
          <w:lang w:val="en-CA"/>
        </w:rPr>
        <w:t xml:space="preserve"> his culture</w:t>
      </w:r>
      <w:r w:rsidR="00AB7344">
        <w:rPr>
          <w:lang w:val="en-CA"/>
        </w:rPr>
        <w:t>,</w:t>
      </w:r>
      <w:r w:rsidR="00901CA2">
        <w:rPr>
          <w:lang w:val="en-CA"/>
        </w:rPr>
        <w:t xml:space="preserve"> he referred to adult women</w:t>
      </w:r>
      <w:r>
        <w:rPr>
          <w:lang w:val="en-CA"/>
        </w:rPr>
        <w:t xml:space="preserve">. </w:t>
      </w:r>
      <w:r w:rsidR="00535862">
        <w:rPr>
          <w:lang w:val="en-CA"/>
        </w:rPr>
        <w:t>The</w:t>
      </w:r>
      <w:r>
        <w:rPr>
          <w:lang w:val="en-CA"/>
        </w:rPr>
        <w:t xml:space="preserve"> </w:t>
      </w:r>
      <w:r w:rsidR="0059669E">
        <w:rPr>
          <w:lang w:val="en-CA"/>
        </w:rPr>
        <w:t>doll, however</w:t>
      </w:r>
      <w:r w:rsidR="00535862">
        <w:rPr>
          <w:lang w:val="en-CA"/>
        </w:rPr>
        <w:t xml:space="preserve">, </w:t>
      </w:r>
      <w:r w:rsidR="002A2616">
        <w:rPr>
          <w:lang w:val="en-CA"/>
        </w:rPr>
        <w:t>bore</w:t>
      </w:r>
      <w:r>
        <w:rPr>
          <w:lang w:val="en-CA"/>
        </w:rPr>
        <w:t xml:space="preserve"> no</w:t>
      </w:r>
      <w:r w:rsidR="002A2616">
        <w:rPr>
          <w:lang w:val="en-CA"/>
        </w:rPr>
        <w:t xml:space="preserve">ne of the </w:t>
      </w:r>
      <w:r>
        <w:rPr>
          <w:lang w:val="en-CA"/>
        </w:rPr>
        <w:t>characteristics</w:t>
      </w:r>
      <w:r w:rsidR="002A2616">
        <w:rPr>
          <w:lang w:val="en-CA"/>
        </w:rPr>
        <w:t xml:space="preserve"> of a female adult</w:t>
      </w:r>
      <w:r>
        <w:rPr>
          <w:lang w:val="en-CA"/>
        </w:rPr>
        <w:t>. The dresses and accessories leave no doubt as to the</w:t>
      </w:r>
      <w:r w:rsidR="002A2616">
        <w:rPr>
          <w:lang w:val="en-CA"/>
        </w:rPr>
        <w:t xml:space="preserve"> style’s</w:t>
      </w:r>
      <w:r>
        <w:rPr>
          <w:lang w:val="en-CA"/>
        </w:rPr>
        <w:t xml:space="preserve"> </w:t>
      </w:r>
      <w:r w:rsidR="002A2616">
        <w:rPr>
          <w:lang w:val="en-CA"/>
        </w:rPr>
        <w:t>child-like aspect</w:t>
      </w:r>
      <w:r>
        <w:rPr>
          <w:lang w:val="en-CA"/>
        </w:rPr>
        <w:t>. Moreover, if the purpose was exclusively artistic, why did the appellant purchase underwear, including two</w:t>
      </w:r>
      <w:r w:rsidR="006D13E7">
        <w:rPr>
          <w:lang w:val="en-CA"/>
        </w:rPr>
        <w:t xml:space="preserve"> </w:t>
      </w:r>
      <w:r>
        <w:rPr>
          <w:lang w:val="en-CA"/>
        </w:rPr>
        <w:t>Tanga-style panties, to hide the doll’s private parts?</w:t>
      </w:r>
      <w:r>
        <w:rPr>
          <w:rStyle w:val="Appelnotedebasdep"/>
          <w:lang w:val="en-CA"/>
        </w:rPr>
        <w:footnoteReference w:id="6"/>
      </w:r>
      <w:r>
        <w:rPr>
          <w:lang w:val="en-CA"/>
        </w:rPr>
        <w:t xml:space="preserve"> </w:t>
      </w:r>
      <w:r w:rsidR="00AB7344">
        <w:rPr>
          <w:lang w:val="en-CA"/>
        </w:rPr>
        <w:t>Because t</w:t>
      </w:r>
      <w:r w:rsidR="00A80FF8">
        <w:rPr>
          <w:lang w:val="en-CA"/>
        </w:rPr>
        <w:t>he</w:t>
      </w:r>
      <w:r>
        <w:rPr>
          <w:lang w:val="en-CA"/>
        </w:rPr>
        <w:t xml:space="preserve"> seized </w:t>
      </w:r>
      <w:r w:rsidR="00901CA2">
        <w:rPr>
          <w:lang w:val="en-CA"/>
        </w:rPr>
        <w:t xml:space="preserve">dresses </w:t>
      </w:r>
      <w:r>
        <w:rPr>
          <w:lang w:val="en-CA"/>
        </w:rPr>
        <w:t>covered th</w:t>
      </w:r>
      <w:r w:rsidR="00AB7344">
        <w:rPr>
          <w:lang w:val="en-CA"/>
        </w:rPr>
        <w:t>at</w:t>
      </w:r>
      <w:r>
        <w:rPr>
          <w:lang w:val="en-CA"/>
        </w:rPr>
        <w:t xml:space="preserve"> part of the body</w:t>
      </w:r>
      <w:r w:rsidR="00AB7344">
        <w:rPr>
          <w:lang w:val="en-CA"/>
        </w:rPr>
        <w:t>,</w:t>
      </w:r>
      <w:r w:rsidR="00A80FF8">
        <w:rPr>
          <w:lang w:val="en-CA"/>
        </w:rPr>
        <w:t xml:space="preserve"> he did not need to cover the doll’s genitals </w:t>
      </w:r>
      <w:r w:rsidR="00AB7344">
        <w:rPr>
          <w:lang w:val="en-CA"/>
        </w:rPr>
        <w:t>to take</w:t>
      </w:r>
      <w:r w:rsidR="00A80FF8">
        <w:rPr>
          <w:lang w:val="en-CA"/>
        </w:rPr>
        <w:t xml:space="preserve"> photos </w:t>
      </w:r>
      <w:r w:rsidR="00AB7344">
        <w:rPr>
          <w:lang w:val="en-CA"/>
        </w:rPr>
        <w:t>devoid of</w:t>
      </w:r>
      <w:r w:rsidR="00A80FF8">
        <w:rPr>
          <w:lang w:val="en-CA"/>
        </w:rPr>
        <w:t xml:space="preserve"> a</w:t>
      </w:r>
      <w:r w:rsidR="00AB7344">
        <w:rPr>
          <w:lang w:val="en-CA"/>
        </w:rPr>
        <w:t>ny</w:t>
      </w:r>
      <w:r w:rsidR="00A80FF8">
        <w:rPr>
          <w:lang w:val="en-CA"/>
        </w:rPr>
        <w:t xml:space="preserve"> sexual connotation</w:t>
      </w:r>
      <w:r>
        <w:rPr>
          <w:lang w:val="en-CA"/>
        </w:rPr>
        <w:t>.</w:t>
      </w:r>
      <w:r>
        <w:rPr>
          <w:rStyle w:val="Appelnotedebasdep"/>
          <w:lang w:val="en-CA"/>
        </w:rPr>
        <w:footnoteReference w:id="7"/>
      </w:r>
      <w:r>
        <w:rPr>
          <w:lang w:val="en-CA"/>
        </w:rPr>
        <w:t xml:space="preserve"> </w:t>
      </w:r>
    </w:p>
    <w:p w14:paraId="3EFBD692" w14:textId="2524255E" w:rsidR="00A50B92" w:rsidRPr="005D3F3F" w:rsidRDefault="005D3F3F" w:rsidP="009D5790">
      <w:pPr>
        <w:pStyle w:val="Paragraphe"/>
        <w:spacing w:line="280" w:lineRule="exact"/>
        <w:rPr>
          <w:lang w:val="en-US"/>
        </w:rPr>
      </w:pPr>
      <w:r>
        <w:rPr>
          <w:lang w:val="en-CA"/>
        </w:rPr>
        <w:t xml:space="preserve">She did not accept the appellant’s explanation that he brought a dress in his backpack at the time of his arrest </w:t>
      </w:r>
      <w:r w:rsidR="00A80FF8">
        <w:rPr>
          <w:lang w:val="en-CA"/>
        </w:rPr>
        <w:t>to</w:t>
      </w:r>
      <w:r>
        <w:rPr>
          <w:lang w:val="en-CA"/>
        </w:rPr>
        <w:t xml:space="preserve"> explain to the police </w:t>
      </w:r>
      <w:r w:rsidR="00277340">
        <w:rPr>
          <w:lang w:val="en-CA"/>
        </w:rPr>
        <w:t>the</w:t>
      </w:r>
      <w:r>
        <w:rPr>
          <w:lang w:val="en-CA"/>
        </w:rPr>
        <w:t xml:space="preserve"> purpose</w:t>
      </w:r>
      <w:r w:rsidR="00277340">
        <w:rPr>
          <w:lang w:val="en-CA"/>
        </w:rPr>
        <w:t xml:space="preserve"> of</w:t>
      </w:r>
      <w:r>
        <w:rPr>
          <w:lang w:val="en-CA"/>
        </w:rPr>
        <w:t xml:space="preserve"> the doll. The judge pointed out </w:t>
      </w:r>
      <w:r w:rsidR="00770166">
        <w:rPr>
          <w:lang w:val="en-CA"/>
        </w:rPr>
        <w:t xml:space="preserve">the police </w:t>
      </w:r>
      <w:r>
        <w:rPr>
          <w:lang w:val="en-CA"/>
        </w:rPr>
        <w:t xml:space="preserve">found the dress </w:t>
      </w:r>
      <w:r w:rsidR="002115A8">
        <w:rPr>
          <w:lang w:val="en-CA"/>
        </w:rPr>
        <w:t xml:space="preserve">when they searched the backpack, </w:t>
      </w:r>
      <w:r w:rsidR="00770166">
        <w:rPr>
          <w:lang w:val="en-CA"/>
        </w:rPr>
        <w:t>and</w:t>
      </w:r>
      <w:r>
        <w:rPr>
          <w:lang w:val="en-CA"/>
        </w:rPr>
        <w:t xml:space="preserve"> the appellant tried </w:t>
      </w:r>
      <w:r w:rsidR="00770166">
        <w:rPr>
          <w:lang w:val="en-CA"/>
        </w:rPr>
        <w:t xml:space="preserve">twice </w:t>
      </w:r>
      <w:r>
        <w:rPr>
          <w:lang w:val="en-CA"/>
        </w:rPr>
        <w:t>to get it back. The judge concluded that the appellant’s version was incompatible with his spontaneous reaction at the time of seizure.</w:t>
      </w:r>
      <w:r>
        <w:rPr>
          <w:rStyle w:val="Appelnotedebasdep"/>
          <w:lang w:val="en-CA"/>
        </w:rPr>
        <w:footnoteReference w:id="8"/>
      </w:r>
    </w:p>
    <w:p w14:paraId="5E637DBF" w14:textId="01FA4959" w:rsidR="00A50B92" w:rsidRDefault="00770166" w:rsidP="009D5790">
      <w:pPr>
        <w:pStyle w:val="Paragraphe"/>
        <w:spacing w:line="280" w:lineRule="exact"/>
      </w:pPr>
      <w:r>
        <w:rPr>
          <w:lang w:val="en-CA"/>
        </w:rPr>
        <w:t>The</w:t>
      </w:r>
      <w:r w:rsidR="005D3F3F">
        <w:rPr>
          <w:lang w:val="en-CA"/>
        </w:rPr>
        <w:t xml:space="preserve"> judge was of the </w:t>
      </w:r>
      <w:r>
        <w:rPr>
          <w:lang w:val="en-CA"/>
        </w:rPr>
        <w:t>view</w:t>
      </w:r>
      <w:r w:rsidR="005D3F3F">
        <w:rPr>
          <w:lang w:val="en-CA"/>
        </w:rPr>
        <w:t xml:space="preserve"> that the explanation </w:t>
      </w:r>
      <w:r>
        <w:rPr>
          <w:lang w:val="en-CA"/>
        </w:rPr>
        <w:t xml:space="preserve">that he ordered a small doll to reduce shipping costs </w:t>
      </w:r>
      <w:r w:rsidR="005D3F3F">
        <w:rPr>
          <w:lang w:val="en-CA"/>
        </w:rPr>
        <w:t xml:space="preserve">was not consistent with the fact that the </w:t>
      </w:r>
      <w:r>
        <w:rPr>
          <w:lang w:val="en-CA"/>
        </w:rPr>
        <w:t xml:space="preserve">estimated weight of the doll </w:t>
      </w:r>
      <w:r w:rsidR="00CD5613">
        <w:rPr>
          <w:lang w:val="en-CA"/>
        </w:rPr>
        <w:t>was</w:t>
      </w:r>
      <w:r>
        <w:rPr>
          <w:lang w:val="en-CA"/>
        </w:rPr>
        <w:t xml:space="preserve"> about </w:t>
      </w:r>
      <w:r w:rsidR="005D3F3F">
        <w:rPr>
          <w:lang w:val="en-CA"/>
        </w:rPr>
        <w:t xml:space="preserve">fifty (50) pounds. According to her, following the appellant’s </w:t>
      </w:r>
      <w:r w:rsidR="0027733D">
        <w:rPr>
          <w:lang w:val="en-CA"/>
        </w:rPr>
        <w:t>rationale</w:t>
      </w:r>
      <w:r w:rsidR="005D3F3F">
        <w:rPr>
          <w:lang w:val="en-CA"/>
        </w:rPr>
        <w:t xml:space="preserve"> of saving </w:t>
      </w:r>
      <w:r w:rsidR="0027733D">
        <w:rPr>
          <w:lang w:val="en-CA"/>
        </w:rPr>
        <w:t>money</w:t>
      </w:r>
      <w:r w:rsidR="005D3F3F">
        <w:rPr>
          <w:lang w:val="en-CA"/>
        </w:rPr>
        <w:t>,</w:t>
      </w:r>
      <w:r w:rsidR="0027733D">
        <w:rPr>
          <w:lang w:val="en-CA"/>
        </w:rPr>
        <w:t xml:space="preserve"> </w:t>
      </w:r>
      <w:r w:rsidR="0027733D">
        <w:rPr>
          <w:rFonts w:cs="Arial"/>
          <w:lang w:val="en-CA"/>
        </w:rPr>
        <w:t>[</w:t>
      </w:r>
      <w:r w:rsidR="0027733D" w:rsidRPr="0027733D">
        <w:rPr>
          <w:smallCaps/>
          <w:lang w:val="en-CA"/>
        </w:rPr>
        <w:t>translation</w:t>
      </w:r>
      <w:r w:rsidR="0027733D">
        <w:rPr>
          <w:rFonts w:cs="Arial"/>
          <w:smallCaps/>
          <w:lang w:val="en-CA"/>
        </w:rPr>
        <w:t>]</w:t>
      </w:r>
      <w:r w:rsidR="005D3F3F">
        <w:rPr>
          <w:lang w:val="en-CA"/>
        </w:rPr>
        <w:t xml:space="preserve"> “a much lighter, simple mannequin without a frame would have done the job” and would have cost less. She concluded that the appellant’s explanation was </w:t>
      </w:r>
      <w:r w:rsidR="00093657">
        <w:rPr>
          <w:lang w:val="en-CA"/>
        </w:rPr>
        <w:t>outlandish</w:t>
      </w:r>
      <w:r w:rsidR="005D3F3F">
        <w:rPr>
          <w:lang w:val="en-CA"/>
        </w:rPr>
        <w:t>.</w:t>
      </w:r>
      <w:r w:rsidR="005D3F3F">
        <w:rPr>
          <w:rStyle w:val="Appelnotedebasdep"/>
          <w:lang w:val="en-CA"/>
        </w:rPr>
        <w:footnoteReference w:id="9"/>
      </w:r>
    </w:p>
    <w:p w14:paraId="29DBF901" w14:textId="76AB8EC3" w:rsidR="00A50B92" w:rsidRPr="005D3F3F" w:rsidRDefault="005D3F3F" w:rsidP="009D5790">
      <w:pPr>
        <w:pStyle w:val="Paragraphe"/>
        <w:spacing w:line="280" w:lineRule="exact"/>
        <w:rPr>
          <w:lang w:val="en-US"/>
        </w:rPr>
      </w:pPr>
      <w:r>
        <w:rPr>
          <w:lang w:val="en-CA"/>
        </w:rPr>
        <w:t>The judge also found that the appellant’s argument</w:t>
      </w:r>
      <w:r w:rsidR="0027733D">
        <w:rPr>
          <w:lang w:val="en-CA"/>
        </w:rPr>
        <w:t xml:space="preserve"> that Ms. Lanfranc’s testimony corroborated</w:t>
      </w:r>
      <w:r>
        <w:rPr>
          <w:lang w:val="en-CA"/>
        </w:rPr>
        <w:t xml:space="preserve"> his explanation </w:t>
      </w:r>
      <w:r w:rsidR="0027733D">
        <w:rPr>
          <w:lang w:val="en-CA"/>
        </w:rPr>
        <w:t>about</w:t>
      </w:r>
      <w:r>
        <w:rPr>
          <w:lang w:val="en-CA"/>
        </w:rPr>
        <w:t xml:space="preserve"> the dresses and their use for his photography project, was unfounded. She was of the </w:t>
      </w:r>
      <w:r w:rsidR="0027733D">
        <w:rPr>
          <w:lang w:val="en-CA"/>
        </w:rPr>
        <w:t>view</w:t>
      </w:r>
      <w:r>
        <w:rPr>
          <w:lang w:val="en-CA"/>
        </w:rPr>
        <w:t xml:space="preserve"> that this was self-corroboration and, moreover, </w:t>
      </w:r>
      <w:r w:rsidR="0027733D">
        <w:rPr>
          <w:lang w:val="en-CA"/>
        </w:rPr>
        <w:t>of little</w:t>
      </w:r>
      <w:r>
        <w:rPr>
          <w:lang w:val="en-CA"/>
        </w:rPr>
        <w:t xml:space="preserve"> probative value since he was informed of the charges against him. As for the absence of sperm on the doll, this factor is also not likely to raise a reasonable doubt </w:t>
      </w:r>
      <w:r w:rsidR="00E84973">
        <w:rPr>
          <w:lang w:val="en-CA"/>
        </w:rPr>
        <w:t>as to</w:t>
      </w:r>
      <w:r>
        <w:rPr>
          <w:lang w:val="en-CA"/>
        </w:rPr>
        <w:t xml:space="preserve"> the </w:t>
      </w:r>
      <w:r>
        <w:rPr>
          <w:lang w:val="en-CA"/>
        </w:rPr>
        <w:lastRenderedPageBreak/>
        <w:t>sexual purpose since the doll had been washed at least once,</w:t>
      </w:r>
      <w:r w:rsidR="00093657">
        <w:rPr>
          <w:lang w:val="en-CA"/>
        </w:rPr>
        <w:t xml:space="preserve"> </w:t>
      </w:r>
      <w:r w:rsidR="00093657">
        <w:rPr>
          <w:rFonts w:cs="Arial"/>
          <w:lang w:val="en-CA"/>
        </w:rPr>
        <w:t>[</w:t>
      </w:r>
      <w:r w:rsidR="00093657" w:rsidRPr="0027733D">
        <w:rPr>
          <w:smallCaps/>
          <w:lang w:val="en-CA"/>
        </w:rPr>
        <w:t>translation</w:t>
      </w:r>
      <w:r w:rsidR="00093657">
        <w:rPr>
          <w:rFonts w:cs="Arial"/>
          <w:smallCaps/>
          <w:lang w:val="en-CA"/>
        </w:rPr>
        <w:t>]</w:t>
      </w:r>
      <w:r w:rsidR="00093657">
        <w:rPr>
          <w:lang w:val="en-CA"/>
        </w:rPr>
        <w:t xml:space="preserve"> </w:t>
      </w:r>
      <w:r>
        <w:rPr>
          <w:lang w:val="en-CA"/>
        </w:rPr>
        <w:t xml:space="preserve">“while it is </w:t>
      </w:r>
      <w:r w:rsidR="00E84973">
        <w:rPr>
          <w:lang w:val="en-CA"/>
        </w:rPr>
        <w:t xml:space="preserve">equally </w:t>
      </w:r>
      <w:r>
        <w:rPr>
          <w:lang w:val="en-CA"/>
        </w:rPr>
        <w:t>possible and highly probable that he did not have the time to use it.”</w:t>
      </w:r>
      <w:r>
        <w:rPr>
          <w:rStyle w:val="Appelnotedebasdep"/>
          <w:lang w:val="en-CA"/>
        </w:rPr>
        <w:footnoteReference w:id="10"/>
      </w:r>
    </w:p>
    <w:p w14:paraId="76EC756D" w14:textId="77777777" w:rsidR="00A50B92" w:rsidRDefault="005D3F3F" w:rsidP="009D5790">
      <w:pPr>
        <w:pStyle w:val="Paragraphe"/>
        <w:spacing w:line="280" w:lineRule="exact"/>
      </w:pPr>
      <w:r>
        <w:rPr>
          <w:lang w:val="en-CA"/>
        </w:rPr>
        <w:t>The judge therefore concluded:</w:t>
      </w:r>
    </w:p>
    <w:p w14:paraId="746BA9A9" w14:textId="6A9024F8" w:rsidR="00E84973" w:rsidRDefault="00E84973" w:rsidP="009D5790">
      <w:pPr>
        <w:pStyle w:val="Citationenretrait"/>
        <w:spacing w:after="0"/>
        <w:rPr>
          <w:lang w:val="en-CA"/>
        </w:rPr>
      </w:pPr>
      <w:r>
        <w:rPr>
          <w:rFonts w:cs="Arial"/>
          <w:lang w:val="en-CA"/>
        </w:rPr>
        <w:t>[</w:t>
      </w:r>
      <w:r w:rsidRPr="00E84973">
        <w:rPr>
          <w:smallCaps/>
          <w:lang w:val="en-CA"/>
        </w:rPr>
        <w:t>translation</w:t>
      </w:r>
      <w:r>
        <w:rPr>
          <w:rFonts w:cs="Arial"/>
          <w:lang w:val="en-CA"/>
        </w:rPr>
        <w:t>]</w:t>
      </w:r>
    </w:p>
    <w:p w14:paraId="6861BD2C" w14:textId="6D90CCEE" w:rsidR="00A50B92" w:rsidRPr="005D3F3F" w:rsidRDefault="005D3F3F" w:rsidP="009D5790">
      <w:pPr>
        <w:pStyle w:val="Citationenretrait"/>
        <w:spacing w:after="0"/>
        <w:rPr>
          <w:lang w:val="en-US"/>
        </w:rPr>
      </w:pPr>
      <w:r>
        <w:rPr>
          <w:lang w:val="en-CA"/>
        </w:rPr>
        <w:t xml:space="preserve">Therefore, therefore, the Court does not believe the accused, his version raises no reasonable doubt as to the explicitly sexual purpose that he, that he had in possessing this doll since its dominant characteristic is the depiction of the sexual organs of a </w:t>
      </w:r>
      <w:r w:rsidR="00093657">
        <w:rPr>
          <w:lang w:val="en-CA"/>
        </w:rPr>
        <w:t xml:space="preserve">female </w:t>
      </w:r>
      <w:r>
        <w:rPr>
          <w:lang w:val="en-CA"/>
        </w:rPr>
        <w:t>child under the age of eighteen (18) years his intentions therefore, because of the evidence described, could not have been innocent.</w:t>
      </w:r>
      <w:r>
        <w:rPr>
          <w:rStyle w:val="Appelnotedebasdep"/>
          <w:lang w:val="en-CA"/>
        </w:rPr>
        <w:footnoteReference w:id="11"/>
      </w:r>
    </w:p>
    <w:p w14:paraId="781FF617" w14:textId="40C21B49" w:rsidR="00A50B92" w:rsidRPr="00A97CC0" w:rsidRDefault="00E84973" w:rsidP="00A50B92">
      <w:pPr>
        <w:pStyle w:val="Titre1"/>
      </w:pPr>
      <w:r>
        <w:rPr>
          <w:bCs/>
          <w:lang w:val="en-CA"/>
        </w:rPr>
        <w:t>Issues in dispute</w:t>
      </w:r>
    </w:p>
    <w:p w14:paraId="7D30DA25" w14:textId="1CFDB146" w:rsidR="00A50B92" w:rsidRPr="006729B0" w:rsidRDefault="005D3F3F" w:rsidP="004F3CD3">
      <w:pPr>
        <w:pStyle w:val="Paragraphe"/>
        <w:spacing w:line="280" w:lineRule="exact"/>
        <w:rPr>
          <w:lang w:val="en-CA"/>
        </w:rPr>
      </w:pPr>
      <w:r>
        <w:rPr>
          <w:lang w:val="en-CA"/>
        </w:rPr>
        <w:t xml:space="preserve">The appellant raises two </w:t>
      </w:r>
      <w:r w:rsidR="00E84973">
        <w:rPr>
          <w:lang w:val="en-CA"/>
        </w:rPr>
        <w:t>issues</w:t>
      </w:r>
      <w:r>
        <w:rPr>
          <w:lang w:val="en-CA"/>
        </w:rPr>
        <w:t xml:space="preserve">: </w:t>
      </w:r>
    </w:p>
    <w:p w14:paraId="562DBF24" w14:textId="3E2E9115" w:rsidR="00A50B92" w:rsidRPr="005D3F3F" w:rsidRDefault="00E84973" w:rsidP="004F3CD3">
      <w:pPr>
        <w:spacing w:before="120" w:after="120"/>
        <w:ind w:left="1080" w:hanging="360"/>
        <w:jc w:val="both"/>
        <w:rPr>
          <w:lang w:val="en-US"/>
        </w:rPr>
      </w:pPr>
      <w:r>
        <w:rPr>
          <w:lang w:val="en-CA"/>
        </w:rPr>
        <w:t>(</w:t>
      </w:r>
      <w:r w:rsidR="005D3F3F">
        <w:rPr>
          <w:lang w:val="en-CA"/>
        </w:rPr>
        <w:t>1)</w:t>
      </w:r>
      <w:r w:rsidR="005D3F3F">
        <w:rPr>
          <w:lang w:val="en-CA"/>
        </w:rPr>
        <w:tab/>
        <w:t>Did the judge err in dismissing the application to exclude evidence?</w:t>
      </w:r>
    </w:p>
    <w:p w14:paraId="340AB21A" w14:textId="1B80B2EA" w:rsidR="00A50B92" w:rsidRPr="005D3F3F" w:rsidRDefault="00E84973" w:rsidP="004F3CD3">
      <w:pPr>
        <w:pStyle w:val="Paragraphe"/>
        <w:numPr>
          <w:ilvl w:val="0"/>
          <w:numId w:val="0"/>
        </w:numPr>
        <w:spacing w:line="280" w:lineRule="exact"/>
        <w:ind w:left="1080" w:hanging="360"/>
        <w:rPr>
          <w:lang w:val="en-US"/>
        </w:rPr>
      </w:pPr>
      <w:r>
        <w:rPr>
          <w:lang w:val="en-CA"/>
        </w:rPr>
        <w:t>(</w:t>
      </w:r>
      <w:r w:rsidR="005D3F3F">
        <w:rPr>
          <w:lang w:val="en-CA"/>
        </w:rPr>
        <w:t>2)</w:t>
      </w:r>
      <w:r w:rsidR="005D3F3F">
        <w:rPr>
          <w:lang w:val="en-CA"/>
        </w:rPr>
        <w:tab/>
        <w:t>Did the judge err in law by rendering an unreasonable verdict?</w:t>
      </w:r>
    </w:p>
    <w:p w14:paraId="195F6A1C" w14:textId="77777777" w:rsidR="00A50B92" w:rsidRPr="005D3F3F" w:rsidRDefault="005D3F3F" w:rsidP="00A50B92">
      <w:pPr>
        <w:pStyle w:val="Titre1"/>
        <w:rPr>
          <w:lang w:val="en-US"/>
        </w:rPr>
      </w:pPr>
      <w:r>
        <w:rPr>
          <w:bCs/>
          <w:lang w:val="en-CA"/>
        </w:rPr>
        <w:t>Analysis</w:t>
      </w:r>
    </w:p>
    <w:p w14:paraId="7C7685C4" w14:textId="335C7E25" w:rsidR="00A50B92" w:rsidRPr="005D3F3F" w:rsidRDefault="005D3F3F" w:rsidP="00A50B92">
      <w:pPr>
        <w:pStyle w:val="Titre2"/>
        <w:rPr>
          <w:lang w:val="en-US"/>
        </w:rPr>
      </w:pPr>
      <w:r>
        <w:rPr>
          <w:bCs/>
          <w:iCs/>
          <w:lang w:val="en-CA"/>
        </w:rPr>
        <w:t xml:space="preserve">Application to exclude </w:t>
      </w:r>
      <w:proofErr w:type="gramStart"/>
      <w:r>
        <w:rPr>
          <w:bCs/>
          <w:iCs/>
          <w:lang w:val="en-CA"/>
        </w:rPr>
        <w:t>evidence</w:t>
      </w:r>
      <w:proofErr w:type="gramEnd"/>
    </w:p>
    <w:p w14:paraId="69F6A8FC" w14:textId="27613A6D" w:rsidR="00A50B92" w:rsidRPr="005D3F3F" w:rsidRDefault="005D3F3F" w:rsidP="004F3CD3">
      <w:pPr>
        <w:pStyle w:val="Paragraphe"/>
        <w:spacing w:line="280" w:lineRule="exact"/>
        <w:rPr>
          <w:lang w:val="en-US"/>
        </w:rPr>
      </w:pPr>
      <w:r>
        <w:rPr>
          <w:lang w:val="en-CA"/>
        </w:rPr>
        <w:t xml:space="preserve">The appellant argues that the police’s failure to include in their </w:t>
      </w:r>
      <w:r w:rsidR="00CD5613">
        <w:rPr>
          <w:lang w:val="en-CA"/>
        </w:rPr>
        <w:t>information</w:t>
      </w:r>
      <w:r>
        <w:rPr>
          <w:lang w:val="en-CA"/>
        </w:rPr>
        <w:t xml:space="preserve"> a copy of </w:t>
      </w:r>
      <w:r w:rsidR="00CD5613">
        <w:rPr>
          <w:lang w:val="en-CA"/>
        </w:rPr>
        <w:t>the photo of the</w:t>
      </w:r>
      <w:r>
        <w:rPr>
          <w:lang w:val="en-CA"/>
        </w:rPr>
        <w:t xml:space="preserve"> doll, taken by Ms. Lanfranc, </w:t>
      </w:r>
      <w:r w:rsidR="00CD5613">
        <w:rPr>
          <w:lang w:val="en-CA"/>
        </w:rPr>
        <w:t>excluded</w:t>
      </w:r>
      <w:r>
        <w:rPr>
          <w:lang w:val="en-CA"/>
        </w:rPr>
        <w:t xml:space="preserve"> exculpatory evidence from the authorizing judge’s analysis. The photo shows a doll whose feet protrude well beyond the cardboard box on which it is placed and </w:t>
      </w:r>
      <w:r w:rsidR="00CD5613">
        <w:rPr>
          <w:lang w:val="en-CA"/>
        </w:rPr>
        <w:t>which the</w:t>
      </w:r>
      <w:r>
        <w:rPr>
          <w:lang w:val="en-CA"/>
        </w:rPr>
        <w:t xml:space="preserve"> police </w:t>
      </w:r>
      <w:r w:rsidR="005A0F4F">
        <w:rPr>
          <w:lang w:val="en-CA"/>
        </w:rPr>
        <w:t xml:space="preserve">officers </w:t>
      </w:r>
      <w:r w:rsidR="00CD5613">
        <w:rPr>
          <w:lang w:val="en-CA"/>
        </w:rPr>
        <w:t xml:space="preserve">estimated </w:t>
      </w:r>
      <w:r>
        <w:rPr>
          <w:lang w:val="en-CA"/>
        </w:rPr>
        <w:t xml:space="preserve">to be </w:t>
      </w:r>
      <w:r w:rsidR="00CD5613">
        <w:rPr>
          <w:lang w:val="en-CA"/>
        </w:rPr>
        <w:t xml:space="preserve">about </w:t>
      </w:r>
      <w:r>
        <w:rPr>
          <w:lang w:val="en-CA"/>
        </w:rPr>
        <w:t>five feet</w:t>
      </w:r>
      <w:r w:rsidR="00CD5613">
        <w:rPr>
          <w:lang w:val="en-CA"/>
        </w:rPr>
        <w:t xml:space="preserve"> tall</w:t>
      </w:r>
      <w:r>
        <w:rPr>
          <w:lang w:val="en-CA"/>
        </w:rPr>
        <w:t xml:space="preserve">. Although size is not a </w:t>
      </w:r>
      <w:r w:rsidR="005A0F4F">
        <w:rPr>
          <w:lang w:val="en-CA"/>
        </w:rPr>
        <w:t>constitutive element</w:t>
      </w:r>
      <w:r>
        <w:rPr>
          <w:lang w:val="en-CA"/>
        </w:rPr>
        <w:t xml:space="preserve"> of the offence of possession of child pornography, if the authorizing judge had had this photo, he would have determined that it was </w:t>
      </w:r>
      <w:r w:rsidR="005A0F4F">
        <w:rPr>
          <w:lang w:val="en-CA"/>
        </w:rPr>
        <w:t>merely</w:t>
      </w:r>
      <w:r>
        <w:rPr>
          <w:lang w:val="en-CA"/>
        </w:rPr>
        <w:t xml:space="preserve"> possible and not probable that the doll represented a </w:t>
      </w:r>
      <w:r w:rsidR="00093657">
        <w:rPr>
          <w:lang w:val="en-CA"/>
        </w:rPr>
        <w:t xml:space="preserve">female </w:t>
      </w:r>
      <w:r>
        <w:rPr>
          <w:lang w:val="en-CA"/>
        </w:rPr>
        <w:t>child.</w:t>
      </w:r>
    </w:p>
    <w:p w14:paraId="36BDC442" w14:textId="4B868732" w:rsidR="00A50B92" w:rsidRPr="005D3F3F" w:rsidRDefault="005D3F3F" w:rsidP="004F3CD3">
      <w:pPr>
        <w:pStyle w:val="Paragraphe"/>
        <w:spacing w:line="280" w:lineRule="exact"/>
        <w:rPr>
          <w:lang w:val="en-US"/>
        </w:rPr>
      </w:pPr>
      <w:r>
        <w:rPr>
          <w:lang w:val="en-CA"/>
        </w:rPr>
        <w:t xml:space="preserve">According to the appellant, the judge could not minimize the seriousness of omitting the doll’s dimensions. She herself noted that the </w:t>
      </w:r>
      <w:r w:rsidR="005A0F4F">
        <w:rPr>
          <w:lang w:val="en-CA"/>
        </w:rPr>
        <w:t>doll</w:t>
      </w:r>
      <w:r>
        <w:rPr>
          <w:lang w:val="en-CA"/>
        </w:rPr>
        <w:t xml:space="preserve"> resembled a real human being, that she had little or no breasts</w:t>
      </w:r>
      <w:r w:rsidR="00C149D6">
        <w:rPr>
          <w:lang w:val="en-CA"/>
        </w:rPr>
        <w:t>,</w:t>
      </w:r>
      <w:r>
        <w:rPr>
          <w:lang w:val="en-CA"/>
        </w:rPr>
        <w:t xml:space="preserve"> and that the shape of a vulva was, in her </w:t>
      </w:r>
      <w:r w:rsidR="00C149D6">
        <w:rPr>
          <w:lang w:val="en-CA"/>
        </w:rPr>
        <w:t>view</w:t>
      </w:r>
      <w:r>
        <w:rPr>
          <w:lang w:val="en-CA"/>
        </w:rPr>
        <w:t>, visible under the doll’s underwear.</w:t>
      </w:r>
      <w:r>
        <w:rPr>
          <w:rStyle w:val="Appelnotedebasdep"/>
          <w:lang w:val="en-CA"/>
        </w:rPr>
        <w:footnoteReference w:id="12"/>
      </w:r>
      <w:r>
        <w:rPr>
          <w:lang w:val="en-CA"/>
        </w:rPr>
        <w:t xml:space="preserve"> However, these characteristics can apply </w:t>
      </w:r>
      <w:r w:rsidR="00C149D6">
        <w:rPr>
          <w:lang w:val="en-CA"/>
        </w:rPr>
        <w:t xml:space="preserve">both </w:t>
      </w:r>
      <w:r>
        <w:rPr>
          <w:lang w:val="en-CA"/>
        </w:rPr>
        <w:t>to the representation of a</w:t>
      </w:r>
      <w:r w:rsidR="00C941C7">
        <w:rPr>
          <w:lang w:val="en-CA"/>
        </w:rPr>
        <w:t xml:space="preserve"> female</w:t>
      </w:r>
      <w:r>
        <w:rPr>
          <w:lang w:val="en-CA"/>
        </w:rPr>
        <w:t xml:space="preserve"> adult </w:t>
      </w:r>
      <w:r w:rsidR="00C149D6">
        <w:rPr>
          <w:lang w:val="en-CA"/>
        </w:rPr>
        <w:t>and of</w:t>
      </w:r>
      <w:r>
        <w:rPr>
          <w:lang w:val="en-CA"/>
        </w:rPr>
        <w:t xml:space="preserve"> a </w:t>
      </w:r>
      <w:r w:rsidR="006B331A">
        <w:rPr>
          <w:lang w:val="en-CA"/>
        </w:rPr>
        <w:t xml:space="preserve">female </w:t>
      </w:r>
      <w:r>
        <w:rPr>
          <w:lang w:val="en-CA"/>
        </w:rPr>
        <w:t>child.</w:t>
      </w:r>
    </w:p>
    <w:p w14:paraId="291EE35B" w14:textId="02FD6EEC" w:rsidR="00A50B92" w:rsidRPr="005D3F3F" w:rsidRDefault="005D3F3F" w:rsidP="004F3CD3">
      <w:pPr>
        <w:pStyle w:val="Paragraphe"/>
        <w:spacing w:line="280" w:lineRule="exact"/>
        <w:rPr>
          <w:lang w:val="en-US"/>
        </w:rPr>
      </w:pPr>
      <w:r>
        <w:rPr>
          <w:lang w:val="en-CA"/>
        </w:rPr>
        <w:lastRenderedPageBreak/>
        <w:t xml:space="preserve">In my view, the appellant’s arguments cannot be </w:t>
      </w:r>
      <w:r w:rsidR="00B03230">
        <w:rPr>
          <w:lang w:val="en-CA"/>
        </w:rPr>
        <w:t>accepted,</w:t>
      </w:r>
      <w:r>
        <w:rPr>
          <w:lang w:val="en-CA"/>
        </w:rPr>
        <w:t xml:space="preserve"> and the judgment</w:t>
      </w:r>
      <w:r w:rsidR="005C7F8D">
        <w:rPr>
          <w:lang w:val="en-CA"/>
        </w:rPr>
        <w:t xml:space="preserve"> in first instance</w:t>
      </w:r>
      <w:r>
        <w:rPr>
          <w:lang w:val="en-CA"/>
        </w:rPr>
        <w:t xml:space="preserve"> is well founded in this regard.</w:t>
      </w:r>
    </w:p>
    <w:p w14:paraId="2104E98F" w14:textId="7E4B93BC" w:rsidR="00A50B92" w:rsidRPr="005D3F3F" w:rsidRDefault="00C149D6" w:rsidP="004F3CD3">
      <w:pPr>
        <w:pStyle w:val="Paragraphe"/>
        <w:spacing w:line="280" w:lineRule="exact"/>
        <w:rPr>
          <w:lang w:val="en-US"/>
        </w:rPr>
      </w:pPr>
      <w:r>
        <w:rPr>
          <w:lang w:val="en-CA"/>
        </w:rPr>
        <w:t xml:space="preserve">In </w:t>
      </w:r>
      <w:r>
        <w:rPr>
          <w:i/>
          <w:iCs/>
          <w:lang w:val="en-CA"/>
        </w:rPr>
        <w:t>Araujo</w:t>
      </w:r>
      <w:r>
        <w:rPr>
          <w:lang w:val="en-CA"/>
        </w:rPr>
        <w:t>, t</w:t>
      </w:r>
      <w:r w:rsidR="005D3F3F">
        <w:rPr>
          <w:lang w:val="en-CA"/>
        </w:rPr>
        <w:t>he Supreme Court, per LeBel J. explain</w:t>
      </w:r>
      <w:r>
        <w:rPr>
          <w:lang w:val="en-CA"/>
        </w:rPr>
        <w:t>ed</w:t>
      </w:r>
      <w:r w:rsidR="005D3F3F">
        <w:rPr>
          <w:lang w:val="en-CA"/>
        </w:rPr>
        <w:t xml:space="preserve"> what kind of affidavit must be submitted to the authorizing judge </w:t>
      </w:r>
      <w:r w:rsidR="00313841">
        <w:rPr>
          <w:lang w:val="en-CA"/>
        </w:rPr>
        <w:t>to</w:t>
      </w:r>
      <w:r w:rsidR="005D3F3F">
        <w:rPr>
          <w:lang w:val="en-CA"/>
        </w:rPr>
        <w:t xml:space="preserve"> obtain a search warrant. The statements must be full and frank but remain clear and concise: </w:t>
      </w:r>
    </w:p>
    <w:p w14:paraId="5480E213" w14:textId="77777777" w:rsidR="00A50B92" w:rsidRPr="005D3F3F" w:rsidRDefault="005D3F3F" w:rsidP="00A50B92">
      <w:pPr>
        <w:pStyle w:val="Citationenretrait"/>
        <w:rPr>
          <w:lang w:val="en-US"/>
        </w:rPr>
      </w:pPr>
      <w:r>
        <w:rPr>
          <w:lang w:val="en-CA"/>
        </w:rPr>
        <w:t>[46]</w:t>
      </w:r>
      <w:r>
        <w:rPr>
          <w:lang w:val="en-CA"/>
        </w:rPr>
        <w:tab/>
      </w:r>
      <w:bookmarkStart w:id="14" w:name="_Hlk168749235"/>
      <w:r w:rsidRPr="00CF7DC9">
        <w:rPr>
          <w:lang w:val="en-CA"/>
        </w:rPr>
        <w:t xml:space="preserve">Looking at matters practically </w:t>
      </w:r>
      <w:proofErr w:type="gramStart"/>
      <w:r w:rsidRPr="00CF7DC9">
        <w:rPr>
          <w:lang w:val="en-CA"/>
        </w:rPr>
        <w:t>in order to</w:t>
      </w:r>
      <w:proofErr w:type="gramEnd"/>
      <w:r w:rsidRPr="00CF7DC9">
        <w:rPr>
          <w:lang w:val="en-CA"/>
        </w:rPr>
        <w:t xml:space="preserve"> learn from this case for the future, what kind of affidavit should the police submit in order to seek permission to use wiretapping? The legal obligation on anyone seeking an ex parte authorization is </w:t>
      </w:r>
      <w:r w:rsidRPr="00CF7DC9">
        <w:rPr>
          <w:u w:val="single"/>
          <w:lang w:val="en-CA"/>
        </w:rPr>
        <w:t>full and frank</w:t>
      </w:r>
      <w:r w:rsidRPr="00CF7DC9">
        <w:rPr>
          <w:lang w:val="en-CA"/>
        </w:rPr>
        <w:t xml:space="preserve"> disclosure of </w:t>
      </w:r>
      <w:r w:rsidRPr="00CF7DC9">
        <w:rPr>
          <w:u w:val="single"/>
          <w:lang w:val="en-CA"/>
        </w:rPr>
        <w:t>material facts</w:t>
      </w:r>
      <w:r w:rsidRPr="00CF7DC9">
        <w:rPr>
          <w:lang w:val="en-CA"/>
        </w:rPr>
        <w:t xml:space="preserve">. So long as the affidavit meets the requisite legal norm, there is no need for it to be as lengthy as </w:t>
      </w:r>
      <w:r w:rsidRPr="00CF7DC9">
        <w:rPr>
          <w:i/>
          <w:iCs/>
          <w:lang w:val="en-CA"/>
        </w:rPr>
        <w:t>À la recherche du temps perdu</w:t>
      </w:r>
      <w:r w:rsidRPr="00CF7DC9">
        <w:rPr>
          <w:lang w:val="en-CA"/>
        </w:rPr>
        <w:t xml:space="preserve">, as lively as the </w:t>
      </w:r>
      <w:r w:rsidRPr="00CF7DC9">
        <w:rPr>
          <w:i/>
          <w:iCs/>
          <w:lang w:val="en-CA"/>
        </w:rPr>
        <w:t>Kama Sutra</w:t>
      </w:r>
      <w:r w:rsidRPr="00CF7DC9">
        <w:rPr>
          <w:lang w:val="en-CA"/>
        </w:rPr>
        <w:t xml:space="preserve">, or as detailed as an automotive repair manual. All that it must do is set out the facts fully and frankly for the authorizing judge in order that he or she can </w:t>
      </w:r>
      <w:proofErr w:type="gramStart"/>
      <w:r w:rsidRPr="00CF7DC9">
        <w:rPr>
          <w:lang w:val="en-CA"/>
        </w:rPr>
        <w:t>make an assessment of</w:t>
      </w:r>
      <w:proofErr w:type="gramEnd"/>
      <w:r w:rsidRPr="00CF7DC9">
        <w:rPr>
          <w:lang w:val="en-CA"/>
        </w:rPr>
        <w:t xml:space="preserve"> whether these rise to the standard required in the legal test for the authorization. Ideally, an affidavit should be not only full and frank but also </w:t>
      </w:r>
      <w:r w:rsidRPr="00CF7DC9">
        <w:rPr>
          <w:u w:val="single"/>
          <w:lang w:val="en-CA"/>
        </w:rPr>
        <w:t>clear and concise</w:t>
      </w:r>
      <w:r w:rsidRPr="00CF7DC9">
        <w:rPr>
          <w:lang w:val="en-CA"/>
        </w:rPr>
        <w:t xml:space="preserve">. It need not include every minute detail of the police investigation over </w:t>
      </w:r>
      <w:proofErr w:type="gramStart"/>
      <w:r w:rsidRPr="00CF7DC9">
        <w:rPr>
          <w:lang w:val="en-CA"/>
        </w:rPr>
        <w:t>a number of</w:t>
      </w:r>
      <w:proofErr w:type="gramEnd"/>
      <w:r w:rsidRPr="00CF7DC9">
        <w:rPr>
          <w:lang w:val="en-CA"/>
        </w:rPr>
        <w:t xml:space="preserve"> months and even of years.</w:t>
      </w:r>
      <w:r w:rsidRPr="00CF7DC9">
        <w:rPr>
          <w:rStyle w:val="Appelnotedebasdep"/>
          <w:lang w:val="en-CA"/>
        </w:rPr>
        <w:footnoteReference w:id="13"/>
      </w:r>
    </w:p>
    <w:bookmarkEnd w:id="14"/>
    <w:p w14:paraId="6F6DC58C" w14:textId="6519933F" w:rsidR="00A50B92" w:rsidRPr="005D3F3F" w:rsidRDefault="005D3F3F" w:rsidP="00A50B92">
      <w:pPr>
        <w:pStyle w:val="Citationenretrait"/>
        <w:jc w:val="right"/>
        <w:rPr>
          <w:lang w:val="en-US"/>
        </w:rPr>
      </w:pPr>
      <w:r>
        <w:rPr>
          <w:lang w:val="en-CA"/>
        </w:rPr>
        <w:t xml:space="preserve">[References </w:t>
      </w:r>
      <w:r w:rsidR="002115A8">
        <w:rPr>
          <w:lang w:val="en-CA"/>
        </w:rPr>
        <w:t>omitted,</w:t>
      </w:r>
      <w:r>
        <w:rPr>
          <w:lang w:val="en-CA"/>
        </w:rPr>
        <w:t xml:space="preserve"> emphasis in original]</w:t>
      </w:r>
    </w:p>
    <w:p w14:paraId="6140731C" w14:textId="5AB49719" w:rsidR="00A50B92" w:rsidRDefault="005D3F3F" w:rsidP="004F3CD3">
      <w:pPr>
        <w:pStyle w:val="Paragraphe"/>
        <w:spacing w:line="280" w:lineRule="exact"/>
      </w:pPr>
      <w:r>
        <w:rPr>
          <w:lang w:val="en-CA"/>
        </w:rPr>
        <w:t xml:space="preserve">Concision cannot, however, lead a police officer to omit relevant elements </w:t>
      </w:r>
      <w:r w:rsidR="00CF7DC9">
        <w:rPr>
          <w:lang w:val="en-CA"/>
        </w:rPr>
        <w:t>to</w:t>
      </w:r>
      <w:r>
        <w:rPr>
          <w:lang w:val="en-CA"/>
        </w:rPr>
        <w:t xml:space="preserve"> achieve the desired result. All relevant facts, whether favourable or not, must be submitted to the authorizing judge. The </w:t>
      </w:r>
      <w:r w:rsidR="0024387C">
        <w:rPr>
          <w:lang w:val="en-CA"/>
        </w:rPr>
        <w:t>informant</w:t>
      </w:r>
      <w:r>
        <w:rPr>
          <w:lang w:val="en-CA"/>
        </w:rPr>
        <w:t xml:space="preserve"> </w:t>
      </w:r>
      <w:r w:rsidR="00394B93">
        <w:rPr>
          <w:lang w:val="en-CA"/>
        </w:rPr>
        <w:t xml:space="preserve">police officer </w:t>
      </w:r>
      <w:r>
        <w:rPr>
          <w:lang w:val="en-CA"/>
        </w:rPr>
        <w:t xml:space="preserve">cannot present a truncated portrait of reality. In </w:t>
      </w:r>
      <w:r>
        <w:rPr>
          <w:i/>
          <w:iCs/>
          <w:lang w:val="en-CA"/>
        </w:rPr>
        <w:t>Morelli</w:t>
      </w:r>
      <w:r>
        <w:rPr>
          <w:lang w:val="en-CA"/>
        </w:rPr>
        <w:t xml:space="preserve">, Fish J. commented as follows: </w:t>
      </w:r>
    </w:p>
    <w:p w14:paraId="008CDEB4" w14:textId="77777777" w:rsidR="00A50B92" w:rsidRPr="005D3F3F" w:rsidRDefault="005D3F3F" w:rsidP="00A50B92">
      <w:pPr>
        <w:pStyle w:val="Citationenretrait"/>
        <w:rPr>
          <w:i/>
          <w:iCs/>
          <w:lang w:val="en-US"/>
        </w:rPr>
      </w:pPr>
      <w:r>
        <w:rPr>
          <w:lang w:val="en-CA"/>
        </w:rPr>
        <w:t>[58]</w:t>
      </w:r>
      <w:r>
        <w:rPr>
          <w:lang w:val="en-CA"/>
        </w:rPr>
        <w:tab/>
      </w:r>
      <w:bookmarkStart w:id="15" w:name="_Hlk168749245"/>
      <w:r w:rsidRPr="00CF7DC9">
        <w:rPr>
          <w:lang w:val="en-CA"/>
        </w:rPr>
        <w:t xml:space="preserve">In failing to provide these details, the informant failed to respect his obligation as a police officer to make full and frank disclosure to the justice. When seeking an </w:t>
      </w:r>
      <w:r w:rsidRPr="00CF7DC9">
        <w:rPr>
          <w:i/>
          <w:iCs/>
          <w:lang w:val="en-CA"/>
        </w:rPr>
        <w:t>ex parte</w:t>
      </w:r>
      <w:r w:rsidRPr="00CF7DC9">
        <w:rPr>
          <w:lang w:val="en-CA"/>
        </w:rPr>
        <w:t xml:space="preserve"> authorization such as a search warrant, a police officer — indeed, any informant — must be particularly careful not to “pick and choose” among the relevant facts </w:t>
      </w:r>
      <w:proofErr w:type="gramStart"/>
      <w:r w:rsidRPr="00CF7DC9">
        <w:rPr>
          <w:lang w:val="en-CA"/>
        </w:rPr>
        <w:t>in order to</w:t>
      </w:r>
      <w:proofErr w:type="gramEnd"/>
      <w:r w:rsidRPr="00CF7DC9">
        <w:rPr>
          <w:lang w:val="en-CA"/>
        </w:rPr>
        <w:t xml:space="preserve"> achieve the desired outcome. The informant’s obligation is to present </w:t>
      </w:r>
      <w:r w:rsidRPr="00CF7DC9">
        <w:rPr>
          <w:i/>
          <w:iCs/>
          <w:lang w:val="en-CA"/>
        </w:rPr>
        <w:t>all</w:t>
      </w:r>
      <w:r w:rsidRPr="00CF7DC9">
        <w:rPr>
          <w:lang w:val="en-CA"/>
        </w:rPr>
        <w:t xml:space="preserve"> </w:t>
      </w:r>
      <w:r w:rsidRPr="00CF7DC9">
        <w:rPr>
          <w:i/>
          <w:iCs/>
          <w:lang w:val="en-CA"/>
        </w:rPr>
        <w:t>material facts, favourable or not</w:t>
      </w:r>
      <w:r w:rsidRPr="00CF7DC9">
        <w:rPr>
          <w:lang w:val="en-CA"/>
        </w:rPr>
        <w:t>. Concision, a laudable objective, may be achieved by omitting irrelevant or insignificant details, but not by material non-disclosure. This means that an attesting officer must avoid incomplete recitations of known facts, taking care not to invite an inference that would not be drawn or a conclusion that would not be reached if the omitted facts were disclosed.</w:t>
      </w:r>
      <w:bookmarkStart w:id="16" w:name="_Ref158715613"/>
      <w:r w:rsidRPr="00CF7DC9">
        <w:rPr>
          <w:rStyle w:val="Appelnotedebasdep"/>
          <w:lang w:val="en-CA"/>
        </w:rPr>
        <w:footnoteReference w:id="14"/>
      </w:r>
      <w:bookmarkEnd w:id="15"/>
      <w:bookmarkEnd w:id="16"/>
    </w:p>
    <w:p w14:paraId="37485796" w14:textId="0A74BC63" w:rsidR="00A50B92" w:rsidRPr="005D3F3F" w:rsidRDefault="005D3F3F" w:rsidP="004F3CD3">
      <w:pPr>
        <w:pStyle w:val="Paragraphe"/>
        <w:spacing w:line="280" w:lineRule="exact"/>
        <w:rPr>
          <w:sz w:val="22"/>
          <w:szCs w:val="22"/>
          <w:lang w:val="en-US"/>
        </w:rPr>
      </w:pPr>
      <w:r>
        <w:rPr>
          <w:lang w:val="en-CA"/>
        </w:rPr>
        <w:t>Pursuant to s</w:t>
      </w:r>
      <w:r w:rsidR="007154E0">
        <w:rPr>
          <w:lang w:val="en-CA"/>
        </w:rPr>
        <w:t>.</w:t>
      </w:r>
      <w:r>
        <w:rPr>
          <w:lang w:val="en-CA"/>
        </w:rPr>
        <w:t xml:space="preserve"> 487 </w:t>
      </w:r>
      <w:r w:rsidRPr="00394B93">
        <w:rPr>
          <w:i/>
          <w:iCs/>
          <w:lang w:val="en-CA"/>
        </w:rPr>
        <w:t>Cr.</w:t>
      </w:r>
      <w:r w:rsidR="00394B93">
        <w:rPr>
          <w:i/>
          <w:iCs/>
          <w:lang w:val="en-CA"/>
        </w:rPr>
        <w:t xml:space="preserve"> </w:t>
      </w:r>
      <w:r w:rsidRPr="00394B93">
        <w:rPr>
          <w:i/>
          <w:iCs/>
          <w:lang w:val="en-CA"/>
        </w:rPr>
        <w:t>C</w:t>
      </w:r>
      <w:r w:rsidR="00394B93" w:rsidRPr="00394B93">
        <w:rPr>
          <w:i/>
          <w:iCs/>
          <w:lang w:val="en-CA"/>
        </w:rPr>
        <w:t>.</w:t>
      </w:r>
      <w:r>
        <w:rPr>
          <w:lang w:val="en-CA"/>
        </w:rPr>
        <w:t xml:space="preserve">, for a search warrant to be issued, the information must convince the authorizing judge that there are reasonable grounds to believe that an </w:t>
      </w:r>
      <w:r>
        <w:rPr>
          <w:lang w:val="en-CA"/>
        </w:rPr>
        <w:lastRenderedPageBreak/>
        <w:t>offence has been committed and that evidence exists in this regard in the place targeted by the warrant.</w:t>
      </w:r>
      <w:bookmarkStart w:id="17" w:name="_Ref159923563"/>
      <w:r>
        <w:rPr>
          <w:rStyle w:val="Appelnotedebasdep"/>
          <w:lang w:val="en-CA"/>
        </w:rPr>
        <w:footnoteReference w:id="15"/>
      </w:r>
      <w:bookmarkEnd w:id="17"/>
      <w:r>
        <w:rPr>
          <w:lang w:val="en-CA"/>
        </w:rPr>
        <w:t xml:space="preserve"> It takes more than mere suspicion or intuition to reach the threshold necessary to issue the warrant.</w:t>
      </w:r>
      <w:r>
        <w:rPr>
          <w:rStyle w:val="Appelnotedebasdep"/>
          <w:lang w:val="en-CA"/>
        </w:rPr>
        <w:footnoteReference w:id="16"/>
      </w:r>
      <w:r>
        <w:rPr>
          <w:lang w:val="en-CA"/>
        </w:rPr>
        <w:t xml:space="preserve"> To establish reasonable grounds, the applicable standard is “reasonable probability” or “reasonable belief.”</w:t>
      </w:r>
      <w:r>
        <w:rPr>
          <w:rStyle w:val="Appelnotedebasdep"/>
          <w:lang w:val="en-CA"/>
        </w:rPr>
        <w:footnoteReference w:id="17"/>
      </w:r>
      <w:r>
        <w:rPr>
          <w:lang w:val="en-CA"/>
        </w:rPr>
        <w:t xml:space="preserve"> </w:t>
      </w:r>
      <w:r w:rsidR="00CF7DC9">
        <w:rPr>
          <w:lang w:val="en-CA"/>
        </w:rPr>
        <w:t xml:space="preserve">In </w:t>
      </w:r>
      <w:r w:rsidR="00CF7DC9">
        <w:rPr>
          <w:i/>
          <w:iCs/>
          <w:lang w:val="en-CA"/>
        </w:rPr>
        <w:t xml:space="preserve">R. v. </w:t>
      </w:r>
      <w:proofErr w:type="spellStart"/>
      <w:r w:rsidR="00CF7DC9">
        <w:rPr>
          <w:i/>
          <w:iCs/>
          <w:lang w:val="en-CA"/>
        </w:rPr>
        <w:t>Sadikov</w:t>
      </w:r>
      <w:proofErr w:type="spellEnd"/>
      <w:r w:rsidR="00CF7DC9">
        <w:rPr>
          <w:lang w:val="en-CA"/>
        </w:rPr>
        <w:t xml:space="preserve">, </w:t>
      </w:r>
      <w:r>
        <w:rPr>
          <w:lang w:val="en-CA"/>
        </w:rPr>
        <w:t>Watt J.</w:t>
      </w:r>
      <w:r w:rsidR="00C941C7">
        <w:rPr>
          <w:lang w:val="en-CA"/>
        </w:rPr>
        <w:t>A.</w:t>
      </w:r>
      <w:r>
        <w:rPr>
          <w:lang w:val="en-CA"/>
        </w:rPr>
        <w:t xml:space="preserve"> of the Ontario Court of Appeal described it as follows:</w:t>
      </w:r>
    </w:p>
    <w:p w14:paraId="6D54F82C" w14:textId="77777777" w:rsidR="00A50B92" w:rsidRPr="00CF7DC9" w:rsidRDefault="005D3F3F" w:rsidP="00A50B92">
      <w:pPr>
        <w:pStyle w:val="Citationenretrait"/>
      </w:pPr>
      <w:r>
        <w:rPr>
          <w:lang w:val="en-CA"/>
        </w:rPr>
        <w:t>[81]</w:t>
      </w:r>
      <w:r>
        <w:rPr>
          <w:lang w:val="en-CA"/>
        </w:rPr>
        <w:tab/>
      </w:r>
      <w:bookmarkStart w:id="18" w:name="_Hlk168749251"/>
      <w:r w:rsidRPr="00CF7DC9">
        <w:rPr>
          <w:lang w:val="en-CA"/>
        </w:rPr>
        <w:t xml:space="preserve">The statutory standard – “reasonable grounds to believe” – does not require proof on the balance of probabilities, much less proof beyond a reasonable doubt. The statutory and constitutional standard is one of </w:t>
      </w:r>
      <w:proofErr w:type="gramStart"/>
      <w:r w:rsidRPr="00CF7DC9">
        <w:rPr>
          <w:lang w:val="en-CA"/>
        </w:rPr>
        <w:t>credibly-based</w:t>
      </w:r>
      <w:proofErr w:type="gramEnd"/>
      <w:r w:rsidRPr="00CF7DC9">
        <w:rPr>
          <w:lang w:val="en-CA"/>
        </w:rPr>
        <w:t xml:space="preserve"> probability: </w:t>
      </w:r>
      <w:r w:rsidRPr="00CF7DC9">
        <w:rPr>
          <w:i/>
          <w:iCs/>
          <w:lang w:val="en-CA"/>
        </w:rPr>
        <w:t>Hunter v. Southam Inc</w:t>
      </w:r>
      <w:r w:rsidRPr="00CF7DC9">
        <w:rPr>
          <w:lang w:val="en-CA"/>
        </w:rPr>
        <w:t xml:space="preserve">., [1984] 2 S.C.R. 145, at p. 167; and </w:t>
      </w:r>
      <w:r w:rsidRPr="00CF7DC9">
        <w:rPr>
          <w:i/>
          <w:iCs/>
          <w:lang w:val="en-CA"/>
        </w:rPr>
        <w:t>R. v. Law</w:t>
      </w:r>
      <w:r w:rsidRPr="00CF7DC9">
        <w:rPr>
          <w:lang w:val="en-CA"/>
        </w:rPr>
        <w:t xml:space="preserve">, 2002 BCCA 594, 171 C.C.C. (3d) 219, at para. 7. The ITO must establish reasonable grounds to believe that an offence has been committed and that there is evidence to be found at the place of the proposed search: </w:t>
      </w:r>
      <w:r w:rsidRPr="00CF7DC9">
        <w:rPr>
          <w:i/>
          <w:iCs/>
          <w:lang w:val="en-CA"/>
        </w:rPr>
        <w:t>Hunter</w:t>
      </w:r>
      <w:r w:rsidRPr="00CF7DC9">
        <w:rPr>
          <w:lang w:val="en-CA"/>
        </w:rPr>
        <w:t xml:space="preserve">, p. 168. If the inferences of criminal conduct and recovery of evidence are reasonable on the facts disclosed in the ITO, the warrant could be issued: </w:t>
      </w:r>
      <w:r w:rsidRPr="00CF7DC9">
        <w:rPr>
          <w:i/>
          <w:iCs/>
          <w:lang w:val="en-CA"/>
        </w:rPr>
        <w:t xml:space="preserve">R. v. Jacobson </w:t>
      </w:r>
      <w:r w:rsidRPr="00CF7DC9">
        <w:rPr>
          <w:lang w:val="en-CA"/>
        </w:rPr>
        <w:t>(2006), 207 C.C.C. (3d) 270 (Ont. C.A.), at para. 22.</w:t>
      </w:r>
      <w:r w:rsidRPr="00CF7DC9">
        <w:rPr>
          <w:rStyle w:val="Appelnotedebasdep"/>
          <w:lang w:val="en-CA"/>
        </w:rPr>
        <w:footnoteReference w:id="18"/>
      </w:r>
      <w:bookmarkEnd w:id="18"/>
    </w:p>
    <w:p w14:paraId="6FC19DC0" w14:textId="7EDDADA1" w:rsidR="00A50B92" w:rsidRPr="00DB7171" w:rsidRDefault="005D3F3F" w:rsidP="004F3CD3">
      <w:pPr>
        <w:pStyle w:val="Paragraphe"/>
        <w:spacing w:line="280" w:lineRule="exact"/>
      </w:pPr>
      <w:r w:rsidRPr="00CF7DC9">
        <w:rPr>
          <w:lang w:val="en-CA"/>
        </w:rPr>
        <w:t>When an application to exclude evidence is mad</w:t>
      </w:r>
      <w:r>
        <w:rPr>
          <w:lang w:val="en-CA"/>
        </w:rPr>
        <w:t>e, reviewing judge</w:t>
      </w:r>
      <w:r w:rsidR="00CF7DC9">
        <w:rPr>
          <w:lang w:val="en-CA"/>
        </w:rPr>
        <w:t>s</w:t>
      </w:r>
      <w:r>
        <w:rPr>
          <w:lang w:val="en-CA"/>
        </w:rPr>
        <w:t xml:space="preserve"> must determine whether the search warrant issued meets this standard. </w:t>
      </w:r>
      <w:r w:rsidR="00CF7DC9">
        <w:rPr>
          <w:lang w:val="en-CA"/>
        </w:rPr>
        <w:t>They need not</w:t>
      </w:r>
      <w:r>
        <w:rPr>
          <w:lang w:val="en-CA"/>
        </w:rPr>
        <w:t xml:space="preserve"> ask whether </w:t>
      </w:r>
      <w:r w:rsidR="00CF7DC9">
        <w:rPr>
          <w:lang w:val="en-CA"/>
        </w:rPr>
        <w:t>they</w:t>
      </w:r>
      <w:r>
        <w:rPr>
          <w:lang w:val="en-CA"/>
        </w:rPr>
        <w:t xml:space="preserve"> would have issued the warrant</w:t>
      </w:r>
      <w:r>
        <w:rPr>
          <w:rStyle w:val="Appelnotedebasdep"/>
          <w:lang w:val="en-CA"/>
        </w:rPr>
        <w:footnoteReference w:id="19"/>
      </w:r>
      <w:r>
        <w:rPr>
          <w:lang w:val="en-CA"/>
        </w:rPr>
        <w:t xml:space="preserve"> and cannot re-open the exercise, as this is not a </w:t>
      </w:r>
      <w:r>
        <w:rPr>
          <w:i/>
          <w:iCs/>
          <w:lang w:val="en-CA"/>
        </w:rPr>
        <w:t>de</w:t>
      </w:r>
      <w:r>
        <w:rPr>
          <w:lang w:val="en-CA"/>
        </w:rPr>
        <w:t xml:space="preserve"> </w:t>
      </w:r>
      <w:r>
        <w:rPr>
          <w:i/>
          <w:iCs/>
          <w:lang w:val="en-CA"/>
        </w:rPr>
        <w:t>novo</w:t>
      </w:r>
      <w:bookmarkStart w:id="19" w:name="_Ref158716027"/>
      <w:r>
        <w:rPr>
          <w:rStyle w:val="Appelnotedebasdep"/>
          <w:lang w:val="en-CA"/>
        </w:rPr>
        <w:footnoteReference w:id="20"/>
      </w:r>
      <w:bookmarkEnd w:id="19"/>
      <w:r>
        <w:rPr>
          <w:lang w:val="en-CA"/>
        </w:rPr>
        <w:t xml:space="preserve"> hearing. Therefore, the</w:t>
      </w:r>
      <w:r w:rsidR="00F1419F">
        <w:rPr>
          <w:lang w:val="en-CA"/>
        </w:rPr>
        <w:t xml:space="preserve"> appellant had the burden of proving</w:t>
      </w:r>
      <w:r>
        <w:rPr>
          <w:lang w:val="en-CA"/>
        </w:rPr>
        <w:t xml:space="preserve"> </w:t>
      </w:r>
      <w:r w:rsidR="00F1419F">
        <w:rPr>
          <w:lang w:val="en-CA"/>
        </w:rPr>
        <w:t>that</w:t>
      </w:r>
      <w:r>
        <w:rPr>
          <w:lang w:val="en-CA"/>
        </w:rPr>
        <w:t xml:space="preserve"> the reviewing judge</w:t>
      </w:r>
      <w:r w:rsidR="00F1419F">
        <w:rPr>
          <w:lang w:val="en-CA"/>
        </w:rPr>
        <w:t>’s decision</w:t>
      </w:r>
      <w:r>
        <w:rPr>
          <w:lang w:val="en-CA"/>
        </w:rPr>
        <w:t xml:space="preserve"> was based on: (i) an overriding error of law or of principle; (ii) </w:t>
      </w:r>
      <w:r w:rsidR="00F1419F">
        <w:rPr>
          <w:lang w:val="en-CA"/>
        </w:rPr>
        <w:t xml:space="preserve">a </w:t>
      </w:r>
      <w:r>
        <w:rPr>
          <w:lang w:val="en-CA"/>
        </w:rPr>
        <w:t>failure to consider relevant evidence; or (iii) a palpable and overriding misapprehension of the evidence.</w:t>
      </w:r>
      <w:bookmarkStart w:id="20" w:name="_Ref158715783"/>
      <w:r>
        <w:rPr>
          <w:rStyle w:val="Appelnotedebasdep"/>
          <w:lang w:val="en-CA"/>
        </w:rPr>
        <w:footnoteReference w:id="21"/>
      </w:r>
      <w:bookmarkEnd w:id="20"/>
      <w:r>
        <w:rPr>
          <w:lang w:val="en-CA"/>
        </w:rPr>
        <w:t xml:space="preserve"> This is a high standard of intervention.</w:t>
      </w:r>
      <w:r>
        <w:rPr>
          <w:rStyle w:val="Appelnotedebasdep"/>
          <w:lang w:val="en-CA"/>
        </w:rPr>
        <w:footnoteReference w:id="22"/>
      </w:r>
    </w:p>
    <w:p w14:paraId="71CDD2FF" w14:textId="05402BD6" w:rsidR="00A50B92" w:rsidRDefault="005D3F3F" w:rsidP="004F3CD3">
      <w:pPr>
        <w:pStyle w:val="Paragraphe"/>
        <w:spacing w:line="280" w:lineRule="exact"/>
      </w:pPr>
      <w:r>
        <w:rPr>
          <w:lang w:val="en-CA"/>
        </w:rPr>
        <w:t xml:space="preserve">In this case, I am of the </w:t>
      </w:r>
      <w:r w:rsidR="00F1419F">
        <w:rPr>
          <w:lang w:val="en-CA"/>
        </w:rPr>
        <w:t>view</w:t>
      </w:r>
      <w:r>
        <w:rPr>
          <w:lang w:val="en-CA"/>
        </w:rPr>
        <w:t xml:space="preserve"> that the judge did not err in dismiss</w:t>
      </w:r>
      <w:r w:rsidR="00F1419F">
        <w:rPr>
          <w:lang w:val="en-CA"/>
        </w:rPr>
        <w:t>ing</w:t>
      </w:r>
      <w:r>
        <w:rPr>
          <w:lang w:val="en-CA"/>
        </w:rPr>
        <w:t xml:space="preserve"> the application to exclude evidence. She </w:t>
      </w:r>
      <w:r w:rsidR="00F1419F">
        <w:rPr>
          <w:lang w:val="en-CA"/>
        </w:rPr>
        <w:t>stated the following</w:t>
      </w:r>
      <w:r>
        <w:rPr>
          <w:lang w:val="en-CA"/>
        </w:rPr>
        <w:t>:</w:t>
      </w:r>
    </w:p>
    <w:p w14:paraId="472DE13C" w14:textId="25EC53C4" w:rsidR="00F1419F" w:rsidRDefault="005D3F3F" w:rsidP="00A50B92">
      <w:pPr>
        <w:pStyle w:val="Citationenretrait"/>
        <w:rPr>
          <w:lang w:val="en-CA"/>
        </w:rPr>
      </w:pPr>
      <w:r>
        <w:rPr>
          <w:lang w:val="en-CA"/>
        </w:rPr>
        <w:t>[</w:t>
      </w:r>
      <w:r w:rsidR="00F1419F" w:rsidRPr="00F1419F">
        <w:rPr>
          <w:smallCaps/>
          <w:lang w:val="en-CA"/>
        </w:rPr>
        <w:t>translation</w:t>
      </w:r>
      <w:r>
        <w:rPr>
          <w:lang w:val="en-CA"/>
        </w:rPr>
        <w:t xml:space="preserve">] </w:t>
      </w:r>
    </w:p>
    <w:p w14:paraId="63178FAC" w14:textId="6374C30B" w:rsidR="00974DE8" w:rsidRDefault="005D3F3F" w:rsidP="00A50B92">
      <w:pPr>
        <w:pStyle w:val="Citationenretrait"/>
        <w:rPr>
          <w:lang w:val="en-CA"/>
        </w:rPr>
      </w:pPr>
      <w:r>
        <w:rPr>
          <w:lang w:val="en-CA"/>
        </w:rPr>
        <w:t xml:space="preserve">It is true that the evidence is silent on the size of the doll and that the authorizing judge did not see the photo </w:t>
      </w:r>
      <w:r w:rsidR="005B267E">
        <w:rPr>
          <w:lang w:val="en-CA"/>
        </w:rPr>
        <w:t xml:space="preserve">of the object in question </w:t>
      </w:r>
      <w:r>
        <w:rPr>
          <w:lang w:val="en-CA"/>
        </w:rPr>
        <w:t xml:space="preserve">taken by the </w:t>
      </w:r>
      <w:r w:rsidR="00B03230">
        <w:rPr>
          <w:lang w:val="en-CA"/>
        </w:rPr>
        <w:t xml:space="preserve">witness </w:t>
      </w:r>
      <w:proofErr w:type="gramStart"/>
      <w:r w:rsidR="00B03230">
        <w:rPr>
          <w:lang w:val="en-CA"/>
        </w:rPr>
        <w:t>in</w:t>
      </w:r>
      <w:r>
        <w:rPr>
          <w:lang w:val="en-CA"/>
        </w:rPr>
        <w:t xml:space="preserve"> order </w:t>
      </w:r>
      <w:r>
        <w:rPr>
          <w:lang w:val="en-CA"/>
        </w:rPr>
        <w:lastRenderedPageBreak/>
        <w:t>to</w:t>
      </w:r>
      <w:proofErr w:type="gramEnd"/>
      <w:r>
        <w:rPr>
          <w:lang w:val="en-CA"/>
        </w:rPr>
        <w:t xml:space="preserve"> form his own </w:t>
      </w:r>
      <w:r w:rsidR="00A93813">
        <w:rPr>
          <w:lang w:val="en-CA"/>
        </w:rPr>
        <w:t>opinion</w:t>
      </w:r>
      <w:r>
        <w:rPr>
          <w:lang w:val="en-CA"/>
        </w:rPr>
        <w:t xml:space="preserve"> o</w:t>
      </w:r>
      <w:r w:rsidR="00A93813">
        <w:rPr>
          <w:lang w:val="en-CA"/>
        </w:rPr>
        <w:t>n</w:t>
      </w:r>
      <w:r>
        <w:rPr>
          <w:lang w:val="en-CA"/>
        </w:rPr>
        <w:t xml:space="preserve"> the specific nature of the object and to establish whether it correspond</w:t>
      </w:r>
      <w:r w:rsidR="005B267E">
        <w:rPr>
          <w:lang w:val="en-CA"/>
        </w:rPr>
        <w:t>ed</w:t>
      </w:r>
      <w:r>
        <w:rPr>
          <w:lang w:val="en-CA"/>
        </w:rPr>
        <w:t xml:space="preserve"> to the definition of child pornography. However, this information appears to be of very little importance at the stage of determining reasonable grounds since the offence in question refers to any person under eighteen (18) years of age. Thus, whether it is small or </w:t>
      </w:r>
      <w:r w:rsidR="00974DE8">
        <w:rPr>
          <w:lang w:val="en-CA"/>
        </w:rPr>
        <w:t xml:space="preserve">of </w:t>
      </w:r>
      <w:r>
        <w:rPr>
          <w:lang w:val="en-CA"/>
        </w:rPr>
        <w:t xml:space="preserve">similar size to an adult, </w:t>
      </w:r>
      <w:r w:rsidR="005B267E">
        <w:rPr>
          <w:lang w:val="en-CA"/>
        </w:rPr>
        <w:t xml:space="preserve">or </w:t>
      </w:r>
      <w:proofErr w:type="gramStart"/>
      <w:r>
        <w:rPr>
          <w:lang w:val="en-CA"/>
        </w:rPr>
        <w:t>whether</w:t>
      </w:r>
      <w:r w:rsidR="00C941C7">
        <w:rPr>
          <w:lang w:val="en-CA"/>
        </w:rPr>
        <w:t xml:space="preserve"> or not</w:t>
      </w:r>
      <w:proofErr w:type="gramEnd"/>
      <w:r>
        <w:rPr>
          <w:lang w:val="en-CA"/>
        </w:rPr>
        <w:t xml:space="preserve"> it has small breasts, is of little importance if the other characteristics allow the authorizing judge to conclude that it is reasonable to believe that this object will prove the commission of the offence. He is obviously not at the stage of determining guilt beyond a reasonable doubt. This being the case, the Court believes that, even if the judge had benefited from the witness’s photo and statement, he would have seen that the doll looks like a real human being, that it has no breasts and that a vulva </w:t>
      </w:r>
      <w:r w:rsidR="00974DE8">
        <w:rPr>
          <w:lang w:val="en-CA"/>
        </w:rPr>
        <w:t>can be</w:t>
      </w:r>
      <w:r>
        <w:rPr>
          <w:lang w:val="en-CA"/>
        </w:rPr>
        <w:t xml:space="preserve"> seen through its underwear, facts which are included in the affidavit.</w:t>
      </w:r>
    </w:p>
    <w:p w14:paraId="00247168" w14:textId="2D70FFF1" w:rsidR="00A50B92" w:rsidRPr="005D3F3F" w:rsidRDefault="005D3F3F" w:rsidP="00A50B92">
      <w:pPr>
        <w:pStyle w:val="Citationenretrait"/>
        <w:rPr>
          <w:lang w:val="en-US"/>
        </w:rPr>
      </w:pPr>
      <w:r>
        <w:rPr>
          <w:lang w:val="en-CA"/>
        </w:rPr>
        <w:t>...</w:t>
      </w:r>
    </w:p>
    <w:p w14:paraId="111F647F" w14:textId="4F94FA79" w:rsidR="00A50B92" w:rsidRPr="005D3F3F" w:rsidRDefault="005D3F3F" w:rsidP="00A50B92">
      <w:pPr>
        <w:pStyle w:val="Citationenretrait"/>
        <w:rPr>
          <w:lang w:val="en-US"/>
        </w:rPr>
      </w:pPr>
      <w:r>
        <w:rPr>
          <w:lang w:val="en-CA"/>
        </w:rPr>
        <w:t xml:space="preserve">Thus, the Court is not satisfied that the decision of the authorizing judge </w:t>
      </w:r>
      <w:r w:rsidR="00974DE8">
        <w:rPr>
          <w:lang w:val="en-CA"/>
        </w:rPr>
        <w:t xml:space="preserve">was </w:t>
      </w:r>
      <w:r w:rsidR="00C941C7">
        <w:rPr>
          <w:lang w:val="en-CA"/>
        </w:rPr>
        <w:t>tainted</w:t>
      </w:r>
      <w:r>
        <w:rPr>
          <w:lang w:val="en-CA"/>
        </w:rPr>
        <w:t xml:space="preserve"> by the absence of the </w:t>
      </w:r>
      <w:r w:rsidR="00EA4056">
        <w:rPr>
          <w:lang w:val="en-CA"/>
        </w:rPr>
        <w:t>evidence</w:t>
      </w:r>
      <w:r>
        <w:rPr>
          <w:lang w:val="en-CA"/>
        </w:rPr>
        <w:t xml:space="preserve"> </w:t>
      </w:r>
      <w:r w:rsidR="00EA4056">
        <w:rPr>
          <w:lang w:val="en-CA"/>
        </w:rPr>
        <w:t>identified</w:t>
      </w:r>
      <w:r>
        <w:rPr>
          <w:lang w:val="en-CA"/>
        </w:rPr>
        <w:t xml:space="preserve"> by the defence, the photograph and size of the doll, since these facts would not have affected the reasonable grounds for believing that an offence had been committed.</w:t>
      </w:r>
      <w:r>
        <w:rPr>
          <w:rStyle w:val="Appelnotedebasdep"/>
          <w:szCs w:val="22"/>
          <w:lang w:val="en-CA"/>
        </w:rPr>
        <w:footnoteReference w:id="23"/>
      </w:r>
    </w:p>
    <w:p w14:paraId="679EA649" w14:textId="2159CA47" w:rsidR="00A50B92" w:rsidRPr="005D3F3F" w:rsidRDefault="005D3F3F" w:rsidP="004F3CD3">
      <w:pPr>
        <w:pStyle w:val="Paragraphe"/>
        <w:spacing w:line="280" w:lineRule="exact"/>
        <w:rPr>
          <w:lang w:val="en-US"/>
        </w:rPr>
      </w:pPr>
      <w:r>
        <w:rPr>
          <w:lang w:val="en-CA"/>
        </w:rPr>
        <w:t>I find that the information contained sufficient credible and reliable evidence to allow a search warrant to be issued. The authorizing judge was not misled since the addition of the photo would only have confirmed Ms. Lanfranc’s claim</w:t>
      </w:r>
      <w:r w:rsidR="00EA4056">
        <w:rPr>
          <w:lang w:val="en-CA"/>
        </w:rPr>
        <w:t>s</w:t>
      </w:r>
      <w:r>
        <w:rPr>
          <w:lang w:val="en-CA"/>
        </w:rPr>
        <w:t xml:space="preserve"> that the photo depicted a </w:t>
      </w:r>
      <w:r w:rsidR="00C941C7">
        <w:rPr>
          <w:lang w:val="en-CA"/>
        </w:rPr>
        <w:t xml:space="preserve">female </w:t>
      </w:r>
      <w:r>
        <w:rPr>
          <w:lang w:val="en-CA"/>
        </w:rPr>
        <w:t xml:space="preserve">child. This was not an exculpatory element. The appellant did not </w:t>
      </w:r>
      <w:r w:rsidR="005B389A">
        <w:rPr>
          <w:lang w:val="en-CA"/>
        </w:rPr>
        <w:t>establish</w:t>
      </w:r>
      <w:r>
        <w:rPr>
          <w:lang w:val="en-CA"/>
        </w:rPr>
        <w:t xml:space="preserve"> that the reviewing judge committed [</w:t>
      </w:r>
      <w:r w:rsidR="005B389A" w:rsidRPr="005B389A">
        <w:rPr>
          <w:smallCaps/>
          <w:lang w:val="en-CA"/>
        </w:rPr>
        <w:t>translation</w:t>
      </w:r>
      <w:r>
        <w:rPr>
          <w:lang w:val="en-CA"/>
        </w:rPr>
        <w:t xml:space="preserve">] “an overriding error of law or principle, failed to consider any relevant evidence or that her decision was </w:t>
      </w:r>
      <w:r w:rsidR="00C941C7">
        <w:rPr>
          <w:lang w:val="en-CA"/>
        </w:rPr>
        <w:t>tainted</w:t>
      </w:r>
      <w:r>
        <w:rPr>
          <w:lang w:val="en-CA"/>
        </w:rPr>
        <w:t xml:space="preserve"> by a palpable and overriding misapprehension of the evidence”</w:t>
      </w:r>
      <w:r>
        <w:rPr>
          <w:rStyle w:val="Appelnotedebasdep"/>
          <w:lang w:val="en-CA"/>
        </w:rPr>
        <w:footnoteReference w:id="24"/>
      </w:r>
      <w:r>
        <w:rPr>
          <w:lang w:val="en-CA"/>
        </w:rPr>
        <w:t xml:space="preserve"> </w:t>
      </w:r>
      <w:r w:rsidR="005B389A">
        <w:rPr>
          <w:lang w:val="en-CA"/>
        </w:rPr>
        <w:t>in</w:t>
      </w:r>
      <w:r>
        <w:rPr>
          <w:lang w:val="en-CA"/>
        </w:rPr>
        <w:t xml:space="preserve"> dismissing the application to exclude evidence.</w:t>
      </w:r>
    </w:p>
    <w:p w14:paraId="4C5E30A3" w14:textId="2FEFD224" w:rsidR="00A50B92" w:rsidRPr="005D3F3F" w:rsidRDefault="005D3F3F" w:rsidP="004F3CD3">
      <w:pPr>
        <w:pStyle w:val="Paragraphe"/>
        <w:spacing w:line="280" w:lineRule="exact"/>
        <w:rPr>
          <w:lang w:val="en-US"/>
        </w:rPr>
      </w:pPr>
      <w:r>
        <w:rPr>
          <w:lang w:val="en-CA"/>
        </w:rPr>
        <w:t xml:space="preserve">This </w:t>
      </w:r>
      <w:r w:rsidR="005B389A">
        <w:rPr>
          <w:lang w:val="en-CA"/>
        </w:rPr>
        <w:t>ground</w:t>
      </w:r>
      <w:r>
        <w:rPr>
          <w:lang w:val="en-CA"/>
        </w:rPr>
        <w:t xml:space="preserve"> of appeal is therefore dismissed.</w:t>
      </w:r>
    </w:p>
    <w:p w14:paraId="547CA931" w14:textId="77777777" w:rsidR="00A50B92" w:rsidRPr="001F5176" w:rsidRDefault="005D3F3F" w:rsidP="00A50B92">
      <w:pPr>
        <w:pStyle w:val="Titre2"/>
      </w:pPr>
      <w:r>
        <w:rPr>
          <w:bCs/>
          <w:iCs/>
          <w:lang w:val="en-CA"/>
        </w:rPr>
        <w:t>Unreasonable verdict</w:t>
      </w:r>
    </w:p>
    <w:p w14:paraId="4D739DAF" w14:textId="58517289" w:rsidR="00A50B92" w:rsidRPr="006729B0" w:rsidRDefault="005D3F3F" w:rsidP="004F3CD3">
      <w:pPr>
        <w:pStyle w:val="Paragraphe"/>
        <w:spacing w:line="280" w:lineRule="exact"/>
        <w:rPr>
          <w:lang w:val="en-CA"/>
        </w:rPr>
      </w:pPr>
      <w:r>
        <w:rPr>
          <w:lang w:val="en-CA"/>
        </w:rPr>
        <w:t xml:space="preserve">The appellant also </w:t>
      </w:r>
      <w:r w:rsidR="005B389A">
        <w:rPr>
          <w:lang w:val="en-CA"/>
        </w:rPr>
        <w:t xml:space="preserve">argues </w:t>
      </w:r>
      <w:r>
        <w:rPr>
          <w:lang w:val="en-CA"/>
        </w:rPr>
        <w:t xml:space="preserve">that the verdict is unreasonable in two respects. The judge allegedly first erred in </w:t>
      </w:r>
      <w:r w:rsidR="005B389A">
        <w:rPr>
          <w:lang w:val="en-CA"/>
        </w:rPr>
        <w:t>finding</w:t>
      </w:r>
      <w:r>
        <w:rPr>
          <w:lang w:val="en-CA"/>
        </w:rPr>
        <w:t xml:space="preserve"> that </w:t>
      </w:r>
      <w:r w:rsidR="005B389A">
        <w:rPr>
          <w:lang w:val="en-CA"/>
        </w:rPr>
        <w:t>[</w:t>
      </w:r>
      <w:r w:rsidR="005B389A" w:rsidRPr="005B389A">
        <w:rPr>
          <w:smallCaps/>
          <w:lang w:val="en-CA"/>
        </w:rPr>
        <w:t>translation</w:t>
      </w:r>
      <w:r w:rsidR="005B389A">
        <w:rPr>
          <w:lang w:val="en-CA"/>
        </w:rPr>
        <w:t xml:space="preserve">] </w:t>
      </w:r>
      <w:r>
        <w:rPr>
          <w:lang w:val="en-CA"/>
        </w:rPr>
        <w:t xml:space="preserve">“the dominant characteristic of </w:t>
      </w:r>
      <w:r w:rsidR="005B389A">
        <w:rPr>
          <w:lang w:val="en-CA"/>
        </w:rPr>
        <w:t>the doll</w:t>
      </w:r>
      <w:r>
        <w:rPr>
          <w:lang w:val="en-CA"/>
        </w:rPr>
        <w:t xml:space="preserve"> is the depiction, for a sexual purpose, of a sexual organ or the anal region of a person under the age of eighteen years” (s. 163.1(1)(</w:t>
      </w:r>
      <w:r>
        <w:rPr>
          <w:i/>
          <w:iCs/>
          <w:lang w:val="en-CA"/>
        </w:rPr>
        <w:t>a</w:t>
      </w:r>
      <w:r>
        <w:rPr>
          <w:lang w:val="en-CA"/>
        </w:rPr>
        <w:t xml:space="preserve">)(ii) </w:t>
      </w:r>
      <w:r w:rsidRPr="005B389A">
        <w:rPr>
          <w:i/>
          <w:iCs/>
          <w:lang w:val="en-CA"/>
        </w:rPr>
        <w:t>Cr.C</w:t>
      </w:r>
      <w:r>
        <w:rPr>
          <w:lang w:val="en-CA"/>
        </w:rPr>
        <w:t>). In addition, she allegedly erred in dismissing his defence of a legitimate purpose related to art (</w:t>
      </w:r>
      <w:r w:rsidR="005B389A">
        <w:rPr>
          <w:lang w:val="en-CA"/>
        </w:rPr>
        <w:t>s</w:t>
      </w:r>
      <w:r>
        <w:rPr>
          <w:lang w:val="en-CA"/>
        </w:rPr>
        <w:t>. 613.1(6)(</w:t>
      </w:r>
      <w:r>
        <w:rPr>
          <w:i/>
          <w:iCs/>
          <w:lang w:val="en-CA"/>
        </w:rPr>
        <w:t>a</w:t>
      </w:r>
      <w:r>
        <w:rPr>
          <w:lang w:val="en-CA"/>
        </w:rPr>
        <w:t xml:space="preserve">) </w:t>
      </w:r>
      <w:proofErr w:type="spellStart"/>
      <w:r w:rsidRPr="005B389A">
        <w:rPr>
          <w:i/>
          <w:iCs/>
          <w:lang w:val="en-CA"/>
        </w:rPr>
        <w:t>Cr.C</w:t>
      </w:r>
      <w:proofErr w:type="spellEnd"/>
      <w:r>
        <w:rPr>
          <w:lang w:val="en-CA"/>
        </w:rPr>
        <w:t>).</w:t>
      </w:r>
    </w:p>
    <w:p w14:paraId="67751717" w14:textId="0CB1D9DE" w:rsidR="00A50B92" w:rsidRPr="005D3F3F" w:rsidRDefault="005D3F3F" w:rsidP="004F3CD3">
      <w:pPr>
        <w:pStyle w:val="Paragraphe"/>
        <w:spacing w:line="280" w:lineRule="exact"/>
        <w:rPr>
          <w:lang w:val="en-US"/>
        </w:rPr>
      </w:pPr>
      <w:r>
        <w:rPr>
          <w:lang w:val="en-CA"/>
        </w:rPr>
        <w:lastRenderedPageBreak/>
        <w:t xml:space="preserve">The </w:t>
      </w:r>
      <w:r w:rsidR="00683F08">
        <w:rPr>
          <w:lang w:val="en-CA"/>
        </w:rPr>
        <w:t>issue</w:t>
      </w:r>
      <w:r>
        <w:rPr>
          <w:lang w:val="en-CA"/>
        </w:rPr>
        <w:t xml:space="preserve"> of whether the verdict is unreasonable is a </w:t>
      </w:r>
      <w:r w:rsidR="00F802CB">
        <w:rPr>
          <w:lang w:val="en-CA"/>
        </w:rPr>
        <w:t>question</w:t>
      </w:r>
      <w:r>
        <w:rPr>
          <w:lang w:val="en-CA"/>
        </w:rPr>
        <w:t xml:space="preserve"> of law. </w:t>
      </w:r>
      <w:r w:rsidR="00683F08">
        <w:rPr>
          <w:lang w:val="en-CA"/>
        </w:rPr>
        <w:t>The</w:t>
      </w:r>
      <w:r>
        <w:rPr>
          <w:lang w:val="en-CA"/>
        </w:rPr>
        <w:t xml:space="preserve"> assessment of the credibility of witnesses</w:t>
      </w:r>
      <w:r w:rsidR="00683F08">
        <w:rPr>
          <w:lang w:val="en-CA"/>
        </w:rPr>
        <w:t>, however,</w:t>
      </w:r>
      <w:r>
        <w:rPr>
          <w:lang w:val="en-CA"/>
        </w:rPr>
        <w:t xml:space="preserve"> remains a question of fact. </w:t>
      </w:r>
      <w:r w:rsidR="00683F08">
        <w:rPr>
          <w:lang w:val="en-CA"/>
        </w:rPr>
        <w:t>As t</w:t>
      </w:r>
      <w:r>
        <w:rPr>
          <w:lang w:val="en-CA"/>
        </w:rPr>
        <w:t xml:space="preserve">he Supreme Court, per Wagner C.J., recently </w:t>
      </w:r>
      <w:r w:rsidR="00683F08">
        <w:rPr>
          <w:lang w:val="en-CA"/>
        </w:rPr>
        <w:t>observed</w:t>
      </w:r>
      <w:r>
        <w:rPr>
          <w:lang w:val="en-CA"/>
        </w:rPr>
        <w:t>:</w:t>
      </w:r>
    </w:p>
    <w:p w14:paraId="1203C95D" w14:textId="77777777" w:rsidR="00A50B92" w:rsidRDefault="005D3F3F" w:rsidP="00A50B92">
      <w:pPr>
        <w:pStyle w:val="Citationenretrait"/>
      </w:pPr>
      <w:r>
        <w:rPr>
          <w:lang w:val="en-CA"/>
        </w:rPr>
        <w:t>[8]</w:t>
      </w:r>
      <w:r>
        <w:rPr>
          <w:lang w:val="en-CA"/>
        </w:rPr>
        <w:tab/>
      </w:r>
      <w:bookmarkStart w:id="21" w:name="_Hlk168749257"/>
      <w:r w:rsidRPr="00683F08">
        <w:rPr>
          <w:lang w:val="en-CA"/>
        </w:rPr>
        <w:t>While the unreasonableness of a verdict is a question of law, the assessment of credibility is a question of fact (</w:t>
      </w:r>
      <w:r w:rsidRPr="00683F08">
        <w:rPr>
          <w:i/>
          <w:iCs/>
          <w:lang w:val="en-CA"/>
        </w:rPr>
        <w:t>R. v. R.P</w:t>
      </w:r>
      <w:r w:rsidRPr="00683F08">
        <w:rPr>
          <w:lang w:val="en-CA"/>
        </w:rPr>
        <w:t>., 2012 SCC 22, [2012] 1 S.C.R. 746 at para. 10). A trial judge’s assessment of the credibility of witnesses may be rejected only where it “cannot be supported on any reasonable view of the evidence.” (</w:t>
      </w:r>
      <w:r w:rsidRPr="00683F08">
        <w:rPr>
          <w:i/>
          <w:iCs/>
          <w:lang w:val="en-CA"/>
        </w:rPr>
        <w:t>R. v. Burke</w:t>
      </w:r>
      <w:r w:rsidRPr="00683F08">
        <w:rPr>
          <w:lang w:val="en-CA"/>
        </w:rPr>
        <w:t>, 1996 CanLII 229 (SCC), [1996] 1 S.C.R. 474, at para. 7).</w:t>
      </w:r>
      <w:bookmarkStart w:id="22" w:name="_Ref158717714"/>
      <w:r w:rsidRPr="00683F08">
        <w:rPr>
          <w:rStyle w:val="Appelnotedebasdep"/>
          <w:lang w:val="en-CA"/>
        </w:rPr>
        <w:footnoteReference w:id="25"/>
      </w:r>
      <w:bookmarkEnd w:id="22"/>
    </w:p>
    <w:bookmarkEnd w:id="21"/>
    <w:p w14:paraId="3650BFDD" w14:textId="77777777" w:rsidR="00A50B92" w:rsidRPr="005D3F3F" w:rsidRDefault="005D3F3F" w:rsidP="004F3CD3">
      <w:pPr>
        <w:pStyle w:val="Paragraphe"/>
        <w:spacing w:line="280" w:lineRule="exact"/>
        <w:rPr>
          <w:lang w:val="en-US"/>
        </w:rPr>
      </w:pPr>
      <w:r>
        <w:rPr>
          <w:lang w:val="en-CA"/>
        </w:rPr>
        <w:t>A court of appeal intervenes only “where the verdict cannot be supported by the evidence” or “where the verdict is vitiated by illogical or irrational reasoning.”</w:t>
      </w:r>
      <w:r>
        <w:rPr>
          <w:rStyle w:val="Appelnotedebasdep"/>
          <w:lang w:val="en-CA"/>
        </w:rPr>
        <w:footnoteReference w:id="26"/>
      </w:r>
    </w:p>
    <w:p w14:paraId="52DD5B46" w14:textId="77777777" w:rsidR="00A50B92" w:rsidRPr="001F5176" w:rsidRDefault="005D3F3F" w:rsidP="00A50B92">
      <w:pPr>
        <w:pStyle w:val="Titre2"/>
        <w:rPr>
          <w:b w:val="0"/>
          <w:bCs/>
        </w:rPr>
      </w:pPr>
      <w:r>
        <w:rPr>
          <w:b w:val="0"/>
          <w:iCs/>
          <w:lang w:val="en-CA"/>
        </w:rPr>
        <w:t>Dominant characteristic</w:t>
      </w:r>
    </w:p>
    <w:p w14:paraId="11036C0B" w14:textId="0F821D4A" w:rsidR="00A50B92" w:rsidRPr="005D3F3F" w:rsidRDefault="005D3F3F" w:rsidP="004F3CD3">
      <w:pPr>
        <w:pStyle w:val="Paragraphe"/>
        <w:spacing w:line="280" w:lineRule="exact"/>
        <w:rPr>
          <w:lang w:val="en-US"/>
        </w:rPr>
      </w:pPr>
      <w:r>
        <w:rPr>
          <w:lang w:val="en-CA"/>
        </w:rPr>
        <w:t xml:space="preserve">The appellant does not dispute that the apparent age of the doll is that of a person under 18 years of age. He made that admission at the trial. He argues, however, that the judge </w:t>
      </w:r>
      <w:r w:rsidR="0048120D">
        <w:rPr>
          <w:lang w:val="en-CA"/>
        </w:rPr>
        <w:t>seems to have</w:t>
      </w:r>
      <w:r>
        <w:rPr>
          <w:lang w:val="en-CA"/>
        </w:rPr>
        <w:t xml:space="preserve"> confuse</w:t>
      </w:r>
      <w:r w:rsidR="0048120D">
        <w:rPr>
          <w:lang w:val="en-CA"/>
        </w:rPr>
        <w:t>d</w:t>
      </w:r>
      <w:r>
        <w:rPr>
          <w:lang w:val="en-CA"/>
        </w:rPr>
        <w:t xml:space="preserve"> the evidence of the doll’s apparent minor age </w:t>
      </w:r>
      <w:r w:rsidR="0048120D">
        <w:rPr>
          <w:lang w:val="en-CA"/>
        </w:rPr>
        <w:t>and</w:t>
      </w:r>
      <w:r>
        <w:rPr>
          <w:lang w:val="en-CA"/>
        </w:rPr>
        <w:t xml:space="preserve"> that of </w:t>
      </w:r>
      <w:r w:rsidR="0048120D">
        <w:rPr>
          <w:lang w:val="en-CA"/>
        </w:rPr>
        <w:t>its</w:t>
      </w:r>
      <w:r>
        <w:rPr>
          <w:lang w:val="en-CA"/>
        </w:rPr>
        <w:t xml:space="preserve"> sexual character. </w:t>
      </w:r>
      <w:r w:rsidR="00D157BC">
        <w:rPr>
          <w:lang w:val="en-CA"/>
        </w:rPr>
        <w:t>In</w:t>
      </w:r>
      <w:r>
        <w:rPr>
          <w:lang w:val="en-CA"/>
        </w:rPr>
        <w:t xml:space="preserve"> support </w:t>
      </w:r>
      <w:r w:rsidR="00D157BC">
        <w:rPr>
          <w:lang w:val="en-CA"/>
        </w:rPr>
        <w:t xml:space="preserve">of </w:t>
      </w:r>
      <w:r>
        <w:rPr>
          <w:lang w:val="en-CA"/>
        </w:rPr>
        <w:t xml:space="preserve">her conclusion, the judge </w:t>
      </w:r>
      <w:r w:rsidR="00D157BC">
        <w:rPr>
          <w:lang w:val="en-CA"/>
        </w:rPr>
        <w:t>stated that</w:t>
      </w:r>
      <w:r>
        <w:rPr>
          <w:lang w:val="en-CA"/>
        </w:rPr>
        <w:t xml:space="preserve"> the </w:t>
      </w:r>
      <w:r w:rsidR="00D157BC">
        <w:rPr>
          <w:lang w:val="en-CA"/>
        </w:rPr>
        <w:t>numerous</w:t>
      </w:r>
      <w:r>
        <w:rPr>
          <w:lang w:val="en-CA"/>
        </w:rPr>
        <w:t xml:space="preserve"> accessories seized with the doll </w:t>
      </w:r>
      <w:r w:rsidR="00D157BC">
        <w:rPr>
          <w:lang w:val="en-CA"/>
        </w:rPr>
        <w:t>had</w:t>
      </w:r>
      <w:r>
        <w:rPr>
          <w:lang w:val="en-CA"/>
        </w:rPr>
        <w:t xml:space="preserve"> no other possible purpose than the sexual gratification of its owner. According to the appellant, these items </w:t>
      </w:r>
      <w:r w:rsidR="00D157BC">
        <w:rPr>
          <w:lang w:val="en-CA"/>
        </w:rPr>
        <w:t xml:space="preserve">establish only </w:t>
      </w:r>
      <w:r>
        <w:rPr>
          <w:lang w:val="en-CA"/>
        </w:rPr>
        <w:t xml:space="preserve">that the doll </w:t>
      </w:r>
      <w:r w:rsidR="00EB2CEC">
        <w:rPr>
          <w:lang w:val="en-CA"/>
        </w:rPr>
        <w:t>depicts</w:t>
      </w:r>
      <w:r>
        <w:rPr>
          <w:lang w:val="en-CA"/>
        </w:rPr>
        <w:t xml:space="preserve"> a </w:t>
      </w:r>
      <w:r w:rsidR="00F802CB">
        <w:rPr>
          <w:lang w:val="en-CA"/>
        </w:rPr>
        <w:t xml:space="preserve">female </w:t>
      </w:r>
      <w:r>
        <w:rPr>
          <w:lang w:val="en-CA"/>
        </w:rPr>
        <w:t>child, which he does not dispute.</w:t>
      </w:r>
    </w:p>
    <w:p w14:paraId="4B548CC8" w14:textId="78EF0A26" w:rsidR="00A50B92" w:rsidRPr="005D3F3F" w:rsidRDefault="005D3F3F" w:rsidP="004F3CD3">
      <w:pPr>
        <w:pStyle w:val="Paragraphe"/>
        <w:spacing w:line="280" w:lineRule="exact"/>
        <w:rPr>
          <w:lang w:val="en-US"/>
        </w:rPr>
      </w:pPr>
      <w:r>
        <w:rPr>
          <w:lang w:val="en-CA"/>
        </w:rPr>
        <w:t xml:space="preserve">For the appellant, the </w:t>
      </w:r>
      <w:r w:rsidR="00D157BC">
        <w:rPr>
          <w:lang w:val="en-CA"/>
        </w:rPr>
        <w:t>mere</w:t>
      </w:r>
      <w:r>
        <w:rPr>
          <w:lang w:val="en-CA"/>
        </w:rPr>
        <w:t xml:space="preserve"> possibility of having sex with an object does not</w:t>
      </w:r>
      <w:r w:rsidR="00D157BC">
        <w:rPr>
          <w:lang w:val="en-CA"/>
        </w:rPr>
        <w:t xml:space="preserve"> mean</w:t>
      </w:r>
      <w:r>
        <w:rPr>
          <w:lang w:val="en-CA"/>
        </w:rPr>
        <w:t xml:space="preserve">, as the judge seems to suggest, that it </w:t>
      </w:r>
      <w:r w:rsidR="00D157BC">
        <w:rPr>
          <w:lang w:val="en-CA"/>
        </w:rPr>
        <w:t>serves that</w:t>
      </w:r>
      <w:r>
        <w:rPr>
          <w:lang w:val="en-CA"/>
        </w:rPr>
        <w:t xml:space="preserve"> purpose. The context must be considered. However, it is up to the respondent to prove beyond a reasonable doubt the dominant characteristic of the doll. To this end, the presence of functional genitals is an element of proof of the doll’s intended purpose, but the analysis </w:t>
      </w:r>
      <w:r w:rsidR="00F802CB">
        <w:rPr>
          <w:lang w:val="en-CA"/>
        </w:rPr>
        <w:t>cannot</w:t>
      </w:r>
      <w:r>
        <w:rPr>
          <w:lang w:val="en-CA"/>
        </w:rPr>
        <w:t xml:space="preserve"> </w:t>
      </w:r>
      <w:r w:rsidR="00C236FE">
        <w:rPr>
          <w:lang w:val="en-CA"/>
        </w:rPr>
        <w:t>end</w:t>
      </w:r>
      <w:r>
        <w:rPr>
          <w:lang w:val="en-CA"/>
        </w:rPr>
        <w:t xml:space="preserve"> </w:t>
      </w:r>
      <w:r w:rsidR="00F802CB">
        <w:rPr>
          <w:lang w:val="en-CA"/>
        </w:rPr>
        <w:t>with</w:t>
      </w:r>
      <w:r>
        <w:rPr>
          <w:lang w:val="en-CA"/>
        </w:rPr>
        <w:t xml:space="preserve"> this simple observation.</w:t>
      </w:r>
    </w:p>
    <w:p w14:paraId="05A9A3A2" w14:textId="14D840F0" w:rsidR="00A50B92" w:rsidRPr="005D3F3F" w:rsidRDefault="005D3F3F" w:rsidP="004F3CD3">
      <w:pPr>
        <w:pStyle w:val="Paragraphe"/>
        <w:spacing w:line="280" w:lineRule="exact"/>
        <w:rPr>
          <w:lang w:val="en-US"/>
        </w:rPr>
      </w:pPr>
      <w:r>
        <w:rPr>
          <w:lang w:val="en-CA"/>
        </w:rPr>
        <w:t>Child pornography is described</w:t>
      </w:r>
      <w:r w:rsidR="00F802CB">
        <w:rPr>
          <w:lang w:val="en-CA"/>
        </w:rPr>
        <w:t xml:space="preserve"> as follows</w:t>
      </w:r>
      <w:r>
        <w:rPr>
          <w:lang w:val="en-CA"/>
        </w:rPr>
        <w:t xml:space="preserve"> in s</w:t>
      </w:r>
      <w:r w:rsidR="00C236FE">
        <w:rPr>
          <w:lang w:val="en-CA"/>
        </w:rPr>
        <w:t>.</w:t>
      </w:r>
      <w:r>
        <w:rPr>
          <w:lang w:val="en-CA"/>
        </w:rPr>
        <w:t xml:space="preserve"> 163.1 </w:t>
      </w:r>
      <w:r w:rsidRPr="00C236FE">
        <w:rPr>
          <w:i/>
          <w:iCs/>
          <w:lang w:val="en-CA"/>
        </w:rPr>
        <w:t>Cr.C</w:t>
      </w:r>
      <w:r>
        <w:rPr>
          <w:lang w:val="en-CA"/>
        </w:rPr>
        <w:t>:</w:t>
      </w:r>
    </w:p>
    <w:tbl>
      <w:tblPr>
        <w:tblW w:w="0" w:type="auto"/>
        <w:tblLayout w:type="fixed"/>
        <w:tblCellMar>
          <w:left w:w="70" w:type="dxa"/>
          <w:right w:w="70" w:type="dxa"/>
        </w:tblCellMar>
        <w:tblLook w:val="0000" w:firstRow="0" w:lastRow="0" w:firstColumn="0" w:lastColumn="0" w:noHBand="0" w:noVBand="0"/>
      </w:tblPr>
      <w:tblGrid>
        <w:gridCol w:w="4681"/>
        <w:gridCol w:w="4681"/>
      </w:tblGrid>
      <w:tr w:rsidR="007C49F6" w:rsidRPr="005D3F3F" w14:paraId="24BFE474" w14:textId="77777777" w:rsidTr="002D3F5D">
        <w:tc>
          <w:tcPr>
            <w:tcW w:w="4681" w:type="dxa"/>
            <w:shd w:val="clear" w:color="auto" w:fill="auto"/>
          </w:tcPr>
          <w:p w14:paraId="6A182FED" w14:textId="77777777" w:rsidR="00C236FE" w:rsidRPr="00C236FE" w:rsidRDefault="00C236FE" w:rsidP="00C236FE">
            <w:pPr>
              <w:pStyle w:val="Tableaudroiteanglais"/>
            </w:pPr>
            <w:bookmarkStart w:id="23" w:name="_Hlk168749264"/>
            <w:r w:rsidRPr="001E33B4">
              <w:rPr>
                <w:b/>
                <w:bCs/>
              </w:rPr>
              <w:t>163.1</w:t>
            </w:r>
            <w:r w:rsidRPr="00C236FE">
              <w:t xml:space="preserve"> </w:t>
            </w:r>
            <w:r w:rsidRPr="00C236FE">
              <w:rPr>
                <w:b/>
                <w:bCs/>
              </w:rPr>
              <w:t>(1)</w:t>
            </w:r>
            <w:r w:rsidRPr="00C236FE">
              <w:t xml:space="preserve"> In this section, child pornography means</w:t>
            </w:r>
          </w:p>
          <w:p w14:paraId="3CF375F5" w14:textId="77777777" w:rsidR="00C236FE" w:rsidRPr="00C236FE" w:rsidRDefault="00C236FE" w:rsidP="00C236FE">
            <w:pPr>
              <w:pStyle w:val="Tableaudroiteanglais"/>
            </w:pPr>
          </w:p>
          <w:p w14:paraId="63011031" w14:textId="77777777" w:rsidR="00C236FE" w:rsidRPr="00C236FE" w:rsidRDefault="00C236FE" w:rsidP="00C236FE">
            <w:pPr>
              <w:pStyle w:val="Tableaudroiteanglais"/>
            </w:pPr>
          </w:p>
          <w:p w14:paraId="3AD71FFD" w14:textId="77777777" w:rsidR="00C236FE" w:rsidRPr="00C236FE" w:rsidRDefault="00C236FE" w:rsidP="00C236FE">
            <w:pPr>
              <w:pStyle w:val="Tableaudroiteanglais"/>
            </w:pPr>
            <w:r w:rsidRPr="00C236FE">
              <w:rPr>
                <w:b/>
                <w:bCs/>
              </w:rPr>
              <w:t>(a)</w:t>
            </w:r>
            <w:r w:rsidRPr="00C236FE">
              <w:t xml:space="preserve"> a photographic, film, </w:t>
            </w:r>
            <w:proofErr w:type="gramStart"/>
            <w:r w:rsidRPr="00C236FE">
              <w:t>video</w:t>
            </w:r>
            <w:proofErr w:type="gramEnd"/>
            <w:r w:rsidRPr="00C236FE">
              <w:t xml:space="preserve"> or other visual representation, whether or not it was made by electronic or mechanical means,</w:t>
            </w:r>
          </w:p>
          <w:p w14:paraId="69F2EDDF" w14:textId="77777777" w:rsidR="00C236FE" w:rsidRPr="00C236FE" w:rsidRDefault="00C236FE" w:rsidP="00C236FE">
            <w:pPr>
              <w:pStyle w:val="Tableaudroiteanglais"/>
            </w:pPr>
          </w:p>
          <w:p w14:paraId="279C705C" w14:textId="77777777" w:rsidR="00C236FE" w:rsidRPr="00C236FE" w:rsidRDefault="00C236FE" w:rsidP="00C236FE">
            <w:pPr>
              <w:pStyle w:val="Tableaudroiteanglais"/>
              <w:ind w:left="469"/>
            </w:pPr>
            <w:r w:rsidRPr="00C236FE">
              <w:rPr>
                <w:b/>
                <w:bCs/>
              </w:rPr>
              <w:lastRenderedPageBreak/>
              <w:t>(i)</w:t>
            </w:r>
            <w:r w:rsidRPr="00C236FE">
              <w:t xml:space="preserve"> that shows a person who is or is depicted as being under the age of eighteen years and is engaged in or is depicted as engaged in explicit sexual activity, or</w:t>
            </w:r>
          </w:p>
          <w:p w14:paraId="378F45ED" w14:textId="77777777" w:rsidR="00C236FE" w:rsidRPr="00C236FE" w:rsidRDefault="00C236FE" w:rsidP="00C236FE">
            <w:pPr>
              <w:pStyle w:val="Tableaudroiteanglais"/>
              <w:ind w:left="469"/>
            </w:pPr>
          </w:p>
          <w:p w14:paraId="0E7A5A09" w14:textId="77777777" w:rsidR="00C236FE" w:rsidRPr="00C236FE" w:rsidRDefault="00C236FE" w:rsidP="00C236FE">
            <w:pPr>
              <w:pStyle w:val="Tableaudroiteanglais"/>
              <w:ind w:left="469"/>
            </w:pPr>
            <w:r w:rsidRPr="00C236FE">
              <w:rPr>
                <w:b/>
                <w:bCs/>
              </w:rPr>
              <w:t>(ii)</w:t>
            </w:r>
            <w:r w:rsidRPr="00C236FE">
              <w:t xml:space="preserve"> the dominant characteristic of which is the depiction, for a sexual purpose, of a sexual organ or the anal region of a person under the age of eighteen </w:t>
            </w:r>
            <w:proofErr w:type="gramStart"/>
            <w:r w:rsidRPr="00C236FE">
              <w:t>years;</w:t>
            </w:r>
            <w:proofErr w:type="gramEnd"/>
          </w:p>
          <w:p w14:paraId="06DCC2F2" w14:textId="77777777" w:rsidR="00C236FE" w:rsidRPr="00C236FE" w:rsidRDefault="00C236FE" w:rsidP="00C236FE">
            <w:pPr>
              <w:pStyle w:val="Tableaudroiteanglais"/>
            </w:pPr>
          </w:p>
          <w:p w14:paraId="5E2F6FD1" w14:textId="77777777" w:rsidR="00C236FE" w:rsidRPr="00C236FE" w:rsidRDefault="00C236FE" w:rsidP="00C236FE">
            <w:pPr>
              <w:pStyle w:val="Tableaudroiteanglais"/>
            </w:pPr>
          </w:p>
          <w:p w14:paraId="5CE17DB7" w14:textId="77777777" w:rsidR="00C236FE" w:rsidRPr="00C236FE" w:rsidRDefault="00C236FE" w:rsidP="00C236FE">
            <w:pPr>
              <w:pStyle w:val="Tableaudroiteanglais"/>
            </w:pPr>
            <w:r w:rsidRPr="00C236FE">
              <w:rPr>
                <w:b/>
                <w:bCs/>
              </w:rPr>
              <w:t>(b)</w:t>
            </w:r>
            <w:r w:rsidRPr="00C236FE">
              <w:t xml:space="preserve"> any written material, visual representation or audio recording that advocates or </w:t>
            </w:r>
            <w:proofErr w:type="gramStart"/>
            <w:r w:rsidRPr="00C236FE">
              <w:t>counsels</w:t>
            </w:r>
            <w:proofErr w:type="gramEnd"/>
            <w:r w:rsidRPr="00C236FE">
              <w:t xml:space="preserve"> sexual activity with a person under the age of eighteen years that would be an offence under this Act;</w:t>
            </w:r>
          </w:p>
          <w:p w14:paraId="51A0B8AF" w14:textId="77777777" w:rsidR="00C236FE" w:rsidRPr="00C236FE" w:rsidRDefault="00C236FE" w:rsidP="00C236FE">
            <w:pPr>
              <w:pStyle w:val="Tableaudroiteanglais"/>
            </w:pPr>
          </w:p>
          <w:p w14:paraId="1DD9FE4C" w14:textId="77777777" w:rsidR="00C236FE" w:rsidRPr="00C236FE" w:rsidRDefault="00C236FE" w:rsidP="00C236FE">
            <w:pPr>
              <w:pStyle w:val="Tableaudroiteanglais"/>
            </w:pPr>
          </w:p>
          <w:p w14:paraId="4EFD7297" w14:textId="77777777" w:rsidR="00C236FE" w:rsidRPr="00C236FE" w:rsidRDefault="00C236FE" w:rsidP="00C236FE">
            <w:pPr>
              <w:pStyle w:val="Tableaudroiteanglais"/>
            </w:pPr>
            <w:r w:rsidRPr="00C236FE">
              <w:rPr>
                <w:b/>
                <w:bCs/>
              </w:rPr>
              <w:t>(c)</w:t>
            </w:r>
            <w:r w:rsidRPr="00C236FE">
              <w:t xml:space="preserve"> any written material whose dominant characteristic is the description, for a sexual purpose, of sexual activity with a person under the age of eighteen years that would be an offence under this Act; or</w:t>
            </w:r>
          </w:p>
          <w:p w14:paraId="6C21E18C" w14:textId="77777777" w:rsidR="00C236FE" w:rsidRPr="00C236FE" w:rsidRDefault="00C236FE" w:rsidP="00C236FE">
            <w:pPr>
              <w:pStyle w:val="Tableaudroiteanglais"/>
            </w:pPr>
          </w:p>
          <w:p w14:paraId="52C9E789" w14:textId="0E0560D9" w:rsidR="00A50B92" w:rsidRPr="00E355F0" w:rsidRDefault="00C236FE" w:rsidP="002D3F5D">
            <w:pPr>
              <w:pStyle w:val="Tableaugauchefranais"/>
              <w:jc w:val="both"/>
              <w:rPr>
                <w:vanish/>
                <w:highlight w:val="cyan"/>
                <w:lang w:val="en-CA"/>
              </w:rPr>
            </w:pPr>
            <w:r w:rsidRPr="006729B0">
              <w:rPr>
                <w:b/>
                <w:bCs/>
                <w:lang w:val="en-CA"/>
              </w:rPr>
              <w:t>(d)</w:t>
            </w:r>
            <w:r w:rsidRPr="006729B0">
              <w:rPr>
                <w:lang w:val="en-CA"/>
              </w:rPr>
              <w:t xml:space="preserve"> any audio recording that has as its dominant characteristic the description, </w:t>
            </w:r>
            <w:proofErr w:type="gramStart"/>
            <w:r w:rsidRPr="006729B0">
              <w:rPr>
                <w:lang w:val="en-CA"/>
              </w:rPr>
              <w:t>presentation</w:t>
            </w:r>
            <w:proofErr w:type="gramEnd"/>
            <w:r w:rsidRPr="006729B0">
              <w:rPr>
                <w:lang w:val="en-CA"/>
              </w:rPr>
              <w:t xml:space="preserve"> or representation, for a sexual purpose, of sexual activity with a person under the age of eighteen years that would be an offence under this Act.</w:t>
            </w:r>
          </w:p>
        </w:tc>
        <w:tc>
          <w:tcPr>
            <w:tcW w:w="4681" w:type="dxa"/>
            <w:shd w:val="clear" w:color="auto" w:fill="auto"/>
          </w:tcPr>
          <w:p w14:paraId="6F4A2A8A" w14:textId="3493534F" w:rsidR="00C236FE" w:rsidRPr="006729B0" w:rsidRDefault="00C236FE" w:rsidP="00C236FE">
            <w:pPr>
              <w:pStyle w:val="Tableaudroiteanglais"/>
              <w:rPr>
                <w:lang w:val="fr-CA"/>
              </w:rPr>
            </w:pPr>
            <w:r w:rsidRPr="006729B0">
              <w:rPr>
                <w:b/>
                <w:bCs/>
                <w:lang w:val="fr-CA"/>
              </w:rPr>
              <w:lastRenderedPageBreak/>
              <w:t>163.1 (1)</w:t>
            </w:r>
            <w:r w:rsidRPr="006729B0">
              <w:rPr>
                <w:lang w:val="fr-CA"/>
              </w:rPr>
              <w:t xml:space="preserve"> Au présent article, pornographie juvénile s’entend, selon le </w:t>
            </w:r>
            <w:r w:rsidR="002115A8" w:rsidRPr="006729B0">
              <w:rPr>
                <w:lang w:val="fr-CA"/>
              </w:rPr>
              <w:t>cas:</w:t>
            </w:r>
          </w:p>
          <w:p w14:paraId="0B4ED178" w14:textId="77777777" w:rsidR="00C236FE" w:rsidRPr="006729B0" w:rsidRDefault="00C236FE" w:rsidP="00C236FE">
            <w:pPr>
              <w:pStyle w:val="Tableaudroiteanglais"/>
              <w:rPr>
                <w:lang w:val="fr-CA"/>
              </w:rPr>
            </w:pPr>
          </w:p>
          <w:p w14:paraId="69C69A45" w14:textId="124A078E" w:rsidR="00C236FE" w:rsidRPr="006729B0" w:rsidRDefault="00C236FE" w:rsidP="00C236FE">
            <w:pPr>
              <w:pStyle w:val="Tableaudroiteanglais"/>
              <w:rPr>
                <w:lang w:val="fr-CA"/>
              </w:rPr>
            </w:pPr>
            <w:r w:rsidRPr="006729B0">
              <w:rPr>
                <w:b/>
                <w:bCs/>
                <w:lang w:val="fr-CA"/>
              </w:rPr>
              <w:t>a)</w:t>
            </w:r>
            <w:r w:rsidRPr="006729B0">
              <w:rPr>
                <w:lang w:val="fr-CA"/>
              </w:rPr>
              <w:t xml:space="preserve"> de toute représentation photographique, filmée, vidéo ou autre, réalisée ou non par des moyens mécaniques ou </w:t>
            </w:r>
            <w:r w:rsidR="002115A8" w:rsidRPr="006729B0">
              <w:rPr>
                <w:lang w:val="fr-CA"/>
              </w:rPr>
              <w:t>électroniques:</w:t>
            </w:r>
          </w:p>
          <w:p w14:paraId="03193352" w14:textId="77777777" w:rsidR="00C236FE" w:rsidRPr="006729B0" w:rsidRDefault="00C236FE" w:rsidP="00C236FE">
            <w:pPr>
              <w:pStyle w:val="Tableaudroiteanglais"/>
              <w:rPr>
                <w:lang w:val="fr-CA"/>
              </w:rPr>
            </w:pPr>
          </w:p>
          <w:p w14:paraId="78D273A1" w14:textId="77777777" w:rsidR="00C236FE" w:rsidRPr="006729B0" w:rsidRDefault="00C236FE" w:rsidP="001E33B4">
            <w:pPr>
              <w:pStyle w:val="Tableaudroiteanglais"/>
              <w:ind w:left="490"/>
              <w:rPr>
                <w:lang w:val="fr-CA"/>
              </w:rPr>
            </w:pPr>
            <w:r w:rsidRPr="006729B0">
              <w:rPr>
                <w:b/>
                <w:bCs/>
                <w:lang w:val="fr-CA"/>
              </w:rPr>
              <w:lastRenderedPageBreak/>
              <w:t>(i)</w:t>
            </w:r>
            <w:r w:rsidRPr="006729B0">
              <w:rPr>
                <w:lang w:val="fr-CA"/>
              </w:rPr>
              <w:t xml:space="preserve"> soit où figure une personne âgée de moins de dix-huit ans ou présentée comme telle et se livrant ou présentée comme se livrant à une activité sexuelle explicite,</w:t>
            </w:r>
          </w:p>
          <w:p w14:paraId="3CAAD317" w14:textId="77777777" w:rsidR="00C236FE" w:rsidRPr="006729B0" w:rsidRDefault="00C236FE" w:rsidP="001E33B4">
            <w:pPr>
              <w:pStyle w:val="Tableaudroiteanglais"/>
              <w:ind w:left="490"/>
              <w:rPr>
                <w:lang w:val="fr-CA"/>
              </w:rPr>
            </w:pPr>
          </w:p>
          <w:p w14:paraId="0070DD9F" w14:textId="77777777" w:rsidR="00C236FE" w:rsidRPr="006729B0" w:rsidRDefault="00C236FE" w:rsidP="001E33B4">
            <w:pPr>
              <w:pStyle w:val="Tableaudroiteanglais"/>
              <w:ind w:left="490"/>
              <w:rPr>
                <w:lang w:val="fr-CA"/>
              </w:rPr>
            </w:pPr>
            <w:r w:rsidRPr="006729B0">
              <w:rPr>
                <w:b/>
                <w:bCs/>
                <w:lang w:val="fr-CA"/>
              </w:rPr>
              <w:t>(ii)</w:t>
            </w:r>
            <w:r w:rsidRPr="006729B0">
              <w:rPr>
                <w:lang w:val="fr-CA"/>
              </w:rPr>
              <w:t xml:space="preserve"> soit dont la caractéristique dominante est la représentation, dans un but sexuel, d’organes sexuels ou de la région anale d’une personne âgée de moins de dix-huit ans;</w:t>
            </w:r>
          </w:p>
          <w:p w14:paraId="04F2BC16" w14:textId="77777777" w:rsidR="00C236FE" w:rsidRPr="006729B0" w:rsidRDefault="00C236FE" w:rsidP="00C236FE">
            <w:pPr>
              <w:pStyle w:val="Tableaudroiteanglais"/>
              <w:rPr>
                <w:lang w:val="fr-CA"/>
              </w:rPr>
            </w:pPr>
          </w:p>
          <w:p w14:paraId="6F26489F" w14:textId="77777777" w:rsidR="00C236FE" w:rsidRPr="006729B0" w:rsidRDefault="00C236FE" w:rsidP="00C236FE">
            <w:pPr>
              <w:pStyle w:val="Tableaudroiteanglais"/>
              <w:rPr>
                <w:lang w:val="fr-CA"/>
              </w:rPr>
            </w:pPr>
            <w:r w:rsidRPr="006729B0">
              <w:rPr>
                <w:b/>
                <w:bCs/>
                <w:lang w:val="fr-CA"/>
              </w:rPr>
              <w:t>b)</w:t>
            </w:r>
            <w:r w:rsidRPr="006729B0">
              <w:rPr>
                <w:lang w:val="fr-CA"/>
              </w:rPr>
              <w:t xml:space="preserve"> de tout écrit, de toute représentation ou de tout enregistrement sonore qui préconise ou conseille une activité sexuelle avec une personne âgée de moins de dix-huit ans qui constituerait une infraction à la présente loi;</w:t>
            </w:r>
          </w:p>
          <w:p w14:paraId="2ABCDCAE" w14:textId="77777777" w:rsidR="00C236FE" w:rsidRPr="006729B0" w:rsidRDefault="00C236FE" w:rsidP="00C236FE">
            <w:pPr>
              <w:pStyle w:val="Tableaudroiteanglais"/>
              <w:rPr>
                <w:lang w:val="fr-CA"/>
              </w:rPr>
            </w:pPr>
          </w:p>
          <w:p w14:paraId="2A6ABC6E" w14:textId="77777777" w:rsidR="00C236FE" w:rsidRPr="006729B0" w:rsidRDefault="00C236FE" w:rsidP="00C236FE">
            <w:pPr>
              <w:pStyle w:val="Tableaudroiteanglais"/>
              <w:rPr>
                <w:lang w:val="fr-CA"/>
              </w:rPr>
            </w:pPr>
            <w:r w:rsidRPr="006729B0">
              <w:rPr>
                <w:b/>
                <w:bCs/>
                <w:lang w:val="fr-CA"/>
              </w:rPr>
              <w:t>c)</w:t>
            </w:r>
            <w:r w:rsidRPr="006729B0">
              <w:rPr>
                <w:lang w:val="fr-CA"/>
              </w:rPr>
              <w:t xml:space="preserve"> de tout écrit dont la caractéristique dominante est la description, dans un but sexuel, d’une activité sexuelle avec une personne âgée de moins de dix-huit ans qui constituerait une infraction à la présente loi;</w:t>
            </w:r>
          </w:p>
          <w:p w14:paraId="5BCB8ACC" w14:textId="77777777" w:rsidR="00C236FE" w:rsidRPr="006729B0" w:rsidRDefault="00C236FE" w:rsidP="00C236FE">
            <w:pPr>
              <w:pStyle w:val="Tableaudroiteanglais"/>
              <w:rPr>
                <w:lang w:val="fr-CA"/>
              </w:rPr>
            </w:pPr>
          </w:p>
          <w:p w14:paraId="5E41FE26" w14:textId="2A988ED9" w:rsidR="00A50B92" w:rsidRPr="006729B0" w:rsidRDefault="00C236FE" w:rsidP="00C236FE">
            <w:pPr>
              <w:pStyle w:val="Tableaudroiteanglais"/>
              <w:rPr>
                <w:highlight w:val="cyan"/>
                <w:lang w:val="fr-CA"/>
              </w:rPr>
            </w:pPr>
            <w:r w:rsidRPr="006729B0">
              <w:rPr>
                <w:b/>
                <w:bCs/>
                <w:lang w:val="fr-CA"/>
              </w:rPr>
              <w:t>d)</w:t>
            </w:r>
            <w:r w:rsidRPr="006729B0">
              <w:rPr>
                <w:lang w:val="fr-CA"/>
              </w:rPr>
              <w:t xml:space="preserve"> de tout enregistrement sonore dont la caractéristique dominante est la description, la présentation ou la simulation, dans un but sexuel, d’une activité sexuelle avec une personne âgée de moins de dix-huit ans qui constituerait une infraction à la présente loi.</w:t>
            </w:r>
          </w:p>
        </w:tc>
      </w:tr>
    </w:tbl>
    <w:bookmarkEnd w:id="23"/>
    <w:p w14:paraId="70ABF826" w14:textId="199FB622" w:rsidR="00A50B92" w:rsidRPr="005D3F3F" w:rsidRDefault="005D3F3F" w:rsidP="004F3CD3">
      <w:pPr>
        <w:pStyle w:val="Paragraphe"/>
        <w:spacing w:line="280" w:lineRule="exact"/>
        <w:rPr>
          <w:lang w:val="en-US"/>
        </w:rPr>
      </w:pPr>
      <w:r>
        <w:rPr>
          <w:i/>
          <w:iCs/>
          <w:lang w:val="en-CA"/>
        </w:rPr>
        <w:lastRenderedPageBreak/>
        <w:t>R. v. Sharpe</w:t>
      </w:r>
      <w:bookmarkStart w:id="24" w:name="_Ref158716979"/>
      <w:r w:rsidR="00C236FE">
        <w:rPr>
          <w:lang w:val="en-CA"/>
        </w:rPr>
        <w:t>,</w:t>
      </w:r>
      <w:r>
        <w:rPr>
          <w:rStyle w:val="Appelnotedebasdep"/>
          <w:lang w:val="en-CA"/>
        </w:rPr>
        <w:footnoteReference w:id="27"/>
      </w:r>
      <w:bookmarkEnd w:id="24"/>
      <w:r w:rsidR="00F802CB">
        <w:rPr>
          <w:lang w:val="en-CA"/>
        </w:rPr>
        <w:t xml:space="preserve"> </w:t>
      </w:r>
      <w:r w:rsidR="00C236FE">
        <w:rPr>
          <w:lang w:val="en-CA"/>
        </w:rPr>
        <w:t>handed down by the Supreme Court in 2002, is the leading case in the matter of child pornography</w:t>
      </w:r>
      <w:r>
        <w:rPr>
          <w:lang w:val="en-CA"/>
        </w:rPr>
        <w:t xml:space="preserve">. McLachlin C.J., for the majority, explains </w:t>
      </w:r>
      <w:r w:rsidR="006608CA">
        <w:rPr>
          <w:lang w:val="en-CA"/>
        </w:rPr>
        <w:t>Parliament’s</w:t>
      </w:r>
      <w:r>
        <w:rPr>
          <w:lang w:val="en-CA"/>
        </w:rPr>
        <w:t xml:space="preserve"> main purpose </w:t>
      </w:r>
      <w:r w:rsidR="006608CA">
        <w:rPr>
          <w:lang w:val="en-CA"/>
        </w:rPr>
        <w:t>upon enacting</w:t>
      </w:r>
      <w:r>
        <w:rPr>
          <w:lang w:val="en-CA"/>
        </w:rPr>
        <w:t xml:space="preserve"> </w:t>
      </w:r>
      <w:r w:rsidRPr="00394B93">
        <w:rPr>
          <w:lang w:val="en-CA"/>
        </w:rPr>
        <w:t>s</w:t>
      </w:r>
      <w:r w:rsidR="00C236FE" w:rsidRPr="00394B93">
        <w:rPr>
          <w:lang w:val="en-CA"/>
        </w:rPr>
        <w:t>.</w:t>
      </w:r>
      <w:r w:rsidRPr="00394B93">
        <w:rPr>
          <w:lang w:val="en-CA"/>
        </w:rPr>
        <w:t xml:space="preserve"> 163.1 </w:t>
      </w:r>
      <w:r w:rsidRPr="00C236FE">
        <w:rPr>
          <w:i/>
          <w:iCs/>
          <w:lang w:val="en-CA"/>
        </w:rPr>
        <w:t>Cr.</w:t>
      </w:r>
      <w:r w:rsidR="00394B93">
        <w:rPr>
          <w:i/>
          <w:iCs/>
          <w:lang w:val="en-CA"/>
        </w:rPr>
        <w:t xml:space="preserve"> </w:t>
      </w:r>
      <w:r w:rsidRPr="00C236FE">
        <w:rPr>
          <w:i/>
          <w:iCs/>
          <w:lang w:val="en-CA"/>
        </w:rPr>
        <w:t>C.</w:t>
      </w:r>
      <w:r w:rsidR="00C236FE">
        <w:rPr>
          <w:lang w:val="en-CA"/>
        </w:rPr>
        <w:t>:</w:t>
      </w:r>
    </w:p>
    <w:p w14:paraId="105BCAFC" w14:textId="1942FBFA" w:rsidR="00A50B92" w:rsidRPr="005D3F3F" w:rsidRDefault="005D3F3F" w:rsidP="00A50B92">
      <w:pPr>
        <w:pStyle w:val="Citationenretrait"/>
        <w:rPr>
          <w:lang w:val="en-US"/>
        </w:rPr>
      </w:pPr>
      <w:r>
        <w:rPr>
          <w:lang w:val="en-CA"/>
        </w:rPr>
        <w:lastRenderedPageBreak/>
        <w:t>[34]</w:t>
      </w:r>
      <w:r>
        <w:rPr>
          <w:lang w:val="en-CA"/>
        </w:rPr>
        <w:tab/>
      </w:r>
      <w:bookmarkStart w:id="25" w:name="_Hlk168749271"/>
      <w:r w:rsidRPr="00C236FE">
        <w:rPr>
          <w:lang w:val="en-CA"/>
        </w:rPr>
        <w:t xml:space="preserve">Parliament’s main purpose in passing the child pornography law was to prevent harm to children by banning the production, distribution and possession of child pornography, and by sending a message to Canadians “that children need to be protected from the harmful effects of child sexual abuse and exploitation and are not appropriate sexual partners”: </w:t>
      </w:r>
      <w:r w:rsidRPr="00C236FE">
        <w:rPr>
          <w:i/>
          <w:iCs/>
          <w:lang w:val="en-CA"/>
        </w:rPr>
        <w:t>House of Commons Debates</w:t>
      </w:r>
      <w:r w:rsidRPr="00C236FE">
        <w:rPr>
          <w:lang w:val="en-CA"/>
        </w:rPr>
        <w:t>, 3rd Sess., 34th Parl., vol. XVI, June 3, 1993, at p. 20328. However, Parliament did not cast its net over all material that might conceivably pose any risk to children or produce any negative attitudinal changes. Mindful of the importance of freedom of expression in our society and the dangers of vague, overbroad legislation in the criminal sphere, Parliament set its targets principally on clear forms of “child pornography”: depictions of explicit sex with children, depictions of sexual organs and anal areas of children and material advocating sexual crimes with children. Through qualifications and defences Parliament indicated that it did not seek to catch all material that might harm children, but only material that poses a reasoned risk of harm to children and, even then, only where the countervailing right of free expression or the public good does not outweigh that risk of harm.</w:t>
      </w:r>
      <w:r w:rsidRPr="00C236FE">
        <w:rPr>
          <w:rStyle w:val="Appelnotedebasdep"/>
          <w:szCs w:val="22"/>
          <w:lang w:val="en-CA"/>
        </w:rPr>
        <w:footnoteReference w:id="28"/>
      </w:r>
    </w:p>
    <w:bookmarkEnd w:id="25"/>
    <w:p w14:paraId="2C86DEB8" w14:textId="7B542901" w:rsidR="00A50B92" w:rsidRPr="005D3F3F" w:rsidRDefault="005D3F3F" w:rsidP="004F3CD3">
      <w:pPr>
        <w:pStyle w:val="Paragraphe"/>
        <w:spacing w:line="280" w:lineRule="exact"/>
        <w:rPr>
          <w:lang w:val="en-US"/>
        </w:rPr>
      </w:pPr>
      <w:r>
        <w:rPr>
          <w:lang w:val="en-CA"/>
        </w:rPr>
        <w:t>McLachlin C.J. also states that what may be included in pornographic depiction within the meaning of s</w:t>
      </w:r>
      <w:r w:rsidR="00EB2CEC">
        <w:rPr>
          <w:lang w:val="en-CA"/>
        </w:rPr>
        <w:t>.</w:t>
      </w:r>
      <w:r>
        <w:rPr>
          <w:lang w:val="en-CA"/>
        </w:rPr>
        <w:t xml:space="preserve"> 163.1 </w:t>
      </w:r>
      <w:r w:rsidRPr="00EB2CEC">
        <w:rPr>
          <w:i/>
          <w:iCs/>
          <w:lang w:val="en-CA"/>
        </w:rPr>
        <w:t>Cr.C</w:t>
      </w:r>
      <w:r>
        <w:rPr>
          <w:lang w:val="en-CA"/>
        </w:rPr>
        <w:t xml:space="preserve"> could include drawings, paintings, prints, computer graphics, and sculptures:</w:t>
      </w:r>
    </w:p>
    <w:p w14:paraId="4D1B0306" w14:textId="70D5AC47" w:rsidR="00A50B92" w:rsidRPr="005D3F3F" w:rsidRDefault="005D3F3F" w:rsidP="00A50B92">
      <w:pPr>
        <w:pStyle w:val="Citationenretrait"/>
        <w:rPr>
          <w:lang w:val="en-US"/>
        </w:rPr>
      </w:pPr>
      <w:r>
        <w:rPr>
          <w:lang w:val="en-CA"/>
        </w:rPr>
        <w:t>[35]</w:t>
      </w:r>
      <w:r>
        <w:rPr>
          <w:lang w:val="en-CA"/>
        </w:rPr>
        <w:tab/>
      </w:r>
      <w:bookmarkStart w:id="26" w:name="_Hlk168749281"/>
      <w:r w:rsidRPr="00EB2CEC">
        <w:rPr>
          <w:lang w:val="en-CA"/>
        </w:rPr>
        <w:t>Section 163.1(1) defines child pornography in terms of two categories: (1) visual representations (s. 163.1(1)(a)); and (2) written and visual advocacy and counselling material (s. 163.1(1)(b)). Visual representations include “a photographic, film, video or other visual representation, whether or not it was made by electronic or mechanical means”. This is broad enough to include drawings, paintings, prints, computer graphics, and sculpture: in short, any non-textual representation that can be perceived visually.</w:t>
      </w:r>
    </w:p>
    <w:bookmarkEnd w:id="26"/>
    <w:p w14:paraId="204FD047" w14:textId="7665E51D" w:rsidR="00A50B92" w:rsidRPr="005D3F3F" w:rsidRDefault="005D3F3F" w:rsidP="00D2350C">
      <w:pPr>
        <w:pStyle w:val="Paragraphe"/>
        <w:spacing w:line="280" w:lineRule="exact"/>
        <w:rPr>
          <w:lang w:val="en-US"/>
        </w:rPr>
      </w:pPr>
      <w:r>
        <w:rPr>
          <w:lang w:val="en-CA"/>
        </w:rPr>
        <w:t>Furthermore, the expression “dominant characteristic”, found in s. 163.1(1)(</w:t>
      </w:r>
      <w:r>
        <w:rPr>
          <w:i/>
          <w:iCs/>
          <w:lang w:val="en-CA"/>
        </w:rPr>
        <w:t>a</w:t>
      </w:r>
      <w:r>
        <w:rPr>
          <w:lang w:val="en-CA"/>
        </w:rPr>
        <w:t xml:space="preserve">)(ii) </w:t>
      </w:r>
      <w:r w:rsidRPr="00EB2CEC">
        <w:rPr>
          <w:i/>
          <w:iCs/>
          <w:lang w:val="en-CA"/>
        </w:rPr>
        <w:t>Cr.</w:t>
      </w:r>
      <w:r w:rsidR="00394B93">
        <w:rPr>
          <w:i/>
          <w:iCs/>
          <w:lang w:val="en-CA"/>
        </w:rPr>
        <w:t xml:space="preserve"> </w:t>
      </w:r>
      <w:r w:rsidRPr="00EB2CEC">
        <w:rPr>
          <w:i/>
          <w:iCs/>
          <w:lang w:val="en-CA"/>
        </w:rPr>
        <w:t>C</w:t>
      </w:r>
      <w:r>
        <w:rPr>
          <w:i/>
          <w:iCs/>
          <w:lang w:val="en-CA"/>
        </w:rPr>
        <w:t>.</w:t>
      </w:r>
      <w:r>
        <w:rPr>
          <w:lang w:val="en-CA"/>
        </w:rPr>
        <w:t>, should be analyzed objectively, but in context. McLachlin C.J. states that “[t]he question is whether a reasonable viewer, looking at the depiction objectively and in context, would see its ‘dominant characteristic’ as the depiction of the child’s sexual organ or anal region.” In addition, this depiction must be made “for a sexual purpose</w:t>
      </w:r>
      <w:r w:rsidR="00F4308A">
        <w:rPr>
          <w:lang w:val="en-CA"/>
        </w:rPr>
        <w:t>.”</w:t>
      </w:r>
      <w:r>
        <w:rPr>
          <w:rStyle w:val="Appelnotedebasdep"/>
          <w:lang w:val="en-CA"/>
        </w:rPr>
        <w:footnoteReference w:id="29"/>
      </w:r>
    </w:p>
    <w:p w14:paraId="30F5F821" w14:textId="77777777" w:rsidR="00A50B92" w:rsidRPr="005D3F3F" w:rsidRDefault="005D3F3F" w:rsidP="00D2350C">
      <w:pPr>
        <w:pStyle w:val="Paragraphe"/>
        <w:spacing w:line="280" w:lineRule="exact"/>
        <w:rPr>
          <w:lang w:val="en-US"/>
        </w:rPr>
      </w:pPr>
      <w:r>
        <w:rPr>
          <w:lang w:val="en-CA"/>
        </w:rPr>
        <w:t>McLachlin C.J. goes on to state that family photos of naked children are generally not child pornography because the depiction of sexual organs or the anal region is not done for a sexual purpose. However, a reasonable objective observer might consider that the dominant characteristic of this same photo is sexual if it is placed in an album of sexual photos and a sexual caption is added.</w:t>
      </w:r>
      <w:r>
        <w:rPr>
          <w:rStyle w:val="Appelnotedebasdep"/>
          <w:lang w:val="en-CA"/>
        </w:rPr>
        <w:footnoteReference w:id="30"/>
      </w:r>
      <w:r>
        <w:rPr>
          <w:lang w:val="en-CA"/>
        </w:rPr>
        <w:t xml:space="preserve"> </w:t>
      </w:r>
    </w:p>
    <w:p w14:paraId="673CD6A3" w14:textId="2D063663" w:rsidR="00A50B92" w:rsidRPr="005D3F3F" w:rsidRDefault="005D3F3F" w:rsidP="00D2350C">
      <w:pPr>
        <w:pStyle w:val="Paragraphe"/>
        <w:spacing w:line="280" w:lineRule="exact"/>
        <w:rPr>
          <w:lang w:val="en-US"/>
        </w:rPr>
      </w:pPr>
      <w:r>
        <w:rPr>
          <w:lang w:val="en-CA"/>
        </w:rPr>
        <w:lastRenderedPageBreak/>
        <w:t xml:space="preserve">In </w:t>
      </w:r>
      <w:r>
        <w:rPr>
          <w:i/>
          <w:iCs/>
          <w:lang w:val="en-CA"/>
        </w:rPr>
        <w:t>LSJPA – 1811</w:t>
      </w:r>
      <w:r>
        <w:rPr>
          <w:lang w:val="en-CA"/>
        </w:rPr>
        <w:t xml:space="preserve">, the Court explains that the term “sexual organs” must be given a </w:t>
      </w:r>
      <w:r w:rsidR="00EB2CEC">
        <w:rPr>
          <w:lang w:val="en-CA"/>
        </w:rPr>
        <w:t>strict</w:t>
      </w:r>
      <w:r>
        <w:rPr>
          <w:lang w:val="en-CA"/>
        </w:rPr>
        <w:t xml:space="preserve"> interpretation, as </w:t>
      </w:r>
      <w:r w:rsidR="00EB2CEC">
        <w:rPr>
          <w:lang w:val="en-CA"/>
        </w:rPr>
        <w:t>stated</w:t>
      </w:r>
      <w:r>
        <w:rPr>
          <w:lang w:val="en-CA"/>
        </w:rPr>
        <w:t xml:space="preserve"> by the Supreme Court in </w:t>
      </w:r>
      <w:r>
        <w:rPr>
          <w:i/>
          <w:iCs/>
          <w:lang w:val="en-CA"/>
        </w:rPr>
        <w:t>Sharpe</w:t>
      </w:r>
      <w:r>
        <w:rPr>
          <w:lang w:val="en-CA"/>
        </w:rPr>
        <w:t>, [</w:t>
      </w:r>
      <w:r w:rsidR="00EB2CEC" w:rsidRPr="00EB2CEC">
        <w:rPr>
          <w:smallCaps/>
          <w:lang w:val="en-CA"/>
        </w:rPr>
        <w:t>translation</w:t>
      </w:r>
      <w:r>
        <w:rPr>
          <w:lang w:val="en-CA"/>
        </w:rPr>
        <w:t>] “</w:t>
      </w:r>
      <w:r w:rsidR="00EB2CEC">
        <w:rPr>
          <w:lang w:val="en-CA"/>
        </w:rPr>
        <w:t xml:space="preserve">to </w:t>
      </w:r>
      <w:r>
        <w:rPr>
          <w:lang w:val="en-CA"/>
        </w:rPr>
        <w:t>avoid criminalizing the production, possession or distribution of harmless images of nudity such as the photograph of a child taking a bath.”</w:t>
      </w:r>
      <w:r>
        <w:rPr>
          <w:rStyle w:val="Appelnotedebasdep"/>
          <w:lang w:val="en-CA"/>
        </w:rPr>
        <w:footnoteReference w:id="31"/>
      </w:r>
      <w:r>
        <w:rPr>
          <w:lang w:val="en-CA"/>
        </w:rPr>
        <w:t xml:space="preserve"> The Court add</w:t>
      </w:r>
      <w:r w:rsidR="00EB2CEC">
        <w:rPr>
          <w:lang w:val="en-CA"/>
        </w:rPr>
        <w:t>ed</w:t>
      </w:r>
      <w:r>
        <w:rPr>
          <w:lang w:val="en-CA"/>
        </w:rPr>
        <w:t xml:space="preserve"> that Parliament added exceptions when the act has a legitimate purpose</w:t>
      </w:r>
      <w:r w:rsidR="0016426C" w:rsidRPr="0016426C">
        <w:rPr>
          <w:lang w:val="en-CA"/>
        </w:rPr>
        <w:t xml:space="preserve"> </w:t>
      </w:r>
      <w:r w:rsidR="0016426C">
        <w:rPr>
          <w:lang w:val="en-CA"/>
        </w:rPr>
        <w:t>to be consistent with the objective of protecting children</w:t>
      </w:r>
      <w:r>
        <w:rPr>
          <w:lang w:val="en-CA"/>
        </w:rPr>
        <w:t>.</w:t>
      </w:r>
      <w:r>
        <w:rPr>
          <w:rStyle w:val="Appelnotedebasdep"/>
          <w:lang w:val="en-CA"/>
        </w:rPr>
        <w:footnoteReference w:id="32"/>
      </w:r>
    </w:p>
    <w:p w14:paraId="24032473" w14:textId="1F1AFCF0" w:rsidR="00A50B92" w:rsidRPr="005D3F3F" w:rsidRDefault="005D3F3F" w:rsidP="00D2350C">
      <w:pPr>
        <w:pStyle w:val="Paragraphe"/>
        <w:spacing w:line="280" w:lineRule="exact"/>
        <w:rPr>
          <w:lang w:val="en-US"/>
        </w:rPr>
      </w:pPr>
      <w:r>
        <w:rPr>
          <w:lang w:val="en-CA"/>
        </w:rPr>
        <w:t xml:space="preserve">This </w:t>
      </w:r>
      <w:r w:rsidR="0016426C">
        <w:rPr>
          <w:lang w:val="en-CA"/>
        </w:rPr>
        <w:t xml:space="preserve">is a unique </w:t>
      </w:r>
      <w:r>
        <w:rPr>
          <w:lang w:val="en-CA"/>
        </w:rPr>
        <w:t xml:space="preserve">case and there </w:t>
      </w:r>
      <w:r w:rsidR="0016426C">
        <w:rPr>
          <w:lang w:val="en-CA"/>
        </w:rPr>
        <w:t>is</w:t>
      </w:r>
      <w:r w:rsidR="00BC5FF9">
        <w:rPr>
          <w:lang w:val="en-CA"/>
        </w:rPr>
        <w:t xml:space="preserve"> not much</w:t>
      </w:r>
      <w:r w:rsidR="0016426C">
        <w:rPr>
          <w:lang w:val="en-CA"/>
        </w:rPr>
        <w:t xml:space="preserve"> </w:t>
      </w:r>
      <w:r>
        <w:rPr>
          <w:lang w:val="en-CA"/>
        </w:rPr>
        <w:t>case law</w:t>
      </w:r>
      <w:r w:rsidR="00BC5FF9">
        <w:rPr>
          <w:lang w:val="en-CA"/>
        </w:rPr>
        <w:t xml:space="preserve"> on this issue</w:t>
      </w:r>
      <w:r>
        <w:rPr>
          <w:lang w:val="en-CA"/>
        </w:rPr>
        <w:t>.</w:t>
      </w:r>
      <w:bookmarkStart w:id="27" w:name="_Ref158716746"/>
      <w:r>
        <w:rPr>
          <w:rStyle w:val="Appelnotedebasdep"/>
          <w:lang w:val="en-CA"/>
        </w:rPr>
        <w:footnoteReference w:id="33"/>
      </w:r>
      <w:bookmarkEnd w:id="27"/>
      <w:r>
        <w:rPr>
          <w:lang w:val="en-CA"/>
        </w:rPr>
        <w:t xml:space="preserve"> The vast majority of child pornography charges under </w:t>
      </w:r>
      <w:r w:rsidR="00771705">
        <w:rPr>
          <w:lang w:val="en-CA"/>
        </w:rPr>
        <w:t>s.</w:t>
      </w:r>
      <w:r>
        <w:rPr>
          <w:lang w:val="en-CA"/>
        </w:rPr>
        <w:t xml:space="preserve">163.1 </w:t>
      </w:r>
      <w:r w:rsidRPr="00771705">
        <w:rPr>
          <w:i/>
          <w:iCs/>
          <w:lang w:val="en-CA"/>
        </w:rPr>
        <w:t>Cr.</w:t>
      </w:r>
      <w:r w:rsidR="00394B93">
        <w:rPr>
          <w:i/>
          <w:iCs/>
          <w:lang w:val="en-CA"/>
        </w:rPr>
        <w:t xml:space="preserve"> </w:t>
      </w:r>
      <w:r w:rsidRPr="00771705">
        <w:rPr>
          <w:i/>
          <w:iCs/>
          <w:lang w:val="en-CA"/>
        </w:rPr>
        <w:t>C.</w:t>
      </w:r>
      <w:r>
        <w:rPr>
          <w:lang w:val="en-CA"/>
        </w:rPr>
        <w:t xml:space="preserve"> relate to graphic representations such as photographs, videos, </w:t>
      </w:r>
      <w:proofErr w:type="gramStart"/>
      <w:r>
        <w:rPr>
          <w:lang w:val="en-CA"/>
        </w:rPr>
        <w:t>films</w:t>
      </w:r>
      <w:proofErr w:type="gramEnd"/>
      <w:r>
        <w:rPr>
          <w:lang w:val="en-CA"/>
        </w:rPr>
        <w:t xml:space="preserve"> or writings. In this instance, it is a silicone doll, and therefore an object, which at first glance does not have as its dominant characteristic the depiction, for sexual purposes, of sexual organs or the anal region of a person under 18 years of age. This inanimate doll looks like a mannequin </w:t>
      </w:r>
      <w:r w:rsidR="00771705">
        <w:rPr>
          <w:lang w:val="en-CA"/>
        </w:rPr>
        <w:t>when</w:t>
      </w:r>
      <w:r>
        <w:rPr>
          <w:lang w:val="en-CA"/>
        </w:rPr>
        <w:t xml:space="preserve"> it is dressed. It must be undressed to see the anus and vagina. Only the mouth orifice does not have a dominant characteristic of being for sexual purposes.</w:t>
      </w:r>
    </w:p>
    <w:p w14:paraId="279A2592" w14:textId="18454527" w:rsidR="00A50B92" w:rsidRPr="004C6FA1" w:rsidRDefault="005D3F3F" w:rsidP="00D2350C">
      <w:pPr>
        <w:pStyle w:val="Paragraphe"/>
        <w:spacing w:line="280" w:lineRule="exact"/>
        <w:rPr>
          <w:lang w:val="en-US"/>
        </w:rPr>
      </w:pPr>
      <w:r>
        <w:rPr>
          <w:lang w:val="en-CA"/>
        </w:rPr>
        <w:t xml:space="preserve">As </w:t>
      </w:r>
      <w:r w:rsidR="006A7328">
        <w:rPr>
          <w:lang w:val="en-CA"/>
        </w:rPr>
        <w:t>discussed</w:t>
      </w:r>
      <w:r>
        <w:rPr>
          <w:lang w:val="en-CA"/>
        </w:rPr>
        <w:t xml:space="preserve"> above, there </w:t>
      </w:r>
      <w:r w:rsidR="00BC5FF9">
        <w:rPr>
          <w:lang w:val="en-CA"/>
        </w:rPr>
        <w:t>is not much</w:t>
      </w:r>
      <w:r>
        <w:rPr>
          <w:lang w:val="en-CA"/>
        </w:rPr>
        <w:t xml:space="preserve"> case law on this issue. In 2020, </w:t>
      </w:r>
      <w:r w:rsidR="00BC5FF9">
        <w:rPr>
          <w:lang w:val="en-CA"/>
        </w:rPr>
        <w:t xml:space="preserve">Court of Québec Judge </w:t>
      </w:r>
      <w:r>
        <w:rPr>
          <w:lang w:val="en-CA"/>
        </w:rPr>
        <w:t>Asselin</w:t>
      </w:r>
      <w:r w:rsidR="00BC5FF9">
        <w:rPr>
          <w:lang w:val="en-CA"/>
        </w:rPr>
        <w:t xml:space="preserve"> </w:t>
      </w:r>
      <w:r>
        <w:rPr>
          <w:lang w:val="en-CA"/>
        </w:rPr>
        <w:t xml:space="preserve">was seized </w:t>
      </w:r>
      <w:r w:rsidR="006A7328">
        <w:rPr>
          <w:lang w:val="en-CA"/>
        </w:rPr>
        <w:t>of</w:t>
      </w:r>
      <w:r>
        <w:rPr>
          <w:lang w:val="en-CA"/>
        </w:rPr>
        <w:t xml:space="preserve"> a </w:t>
      </w:r>
      <w:r w:rsidR="006A7328">
        <w:rPr>
          <w:lang w:val="en-CA"/>
        </w:rPr>
        <w:t>matter</w:t>
      </w:r>
      <w:r>
        <w:rPr>
          <w:lang w:val="en-CA"/>
        </w:rPr>
        <w:t xml:space="preserve"> </w:t>
      </w:r>
      <w:r w:rsidR="006A7328">
        <w:rPr>
          <w:lang w:val="en-CA"/>
        </w:rPr>
        <w:t>with</w:t>
      </w:r>
      <w:r>
        <w:rPr>
          <w:lang w:val="en-CA"/>
        </w:rPr>
        <w:t xml:space="preserve"> many similarities to this </w:t>
      </w:r>
      <w:r w:rsidR="006A7328">
        <w:rPr>
          <w:lang w:val="en-CA"/>
        </w:rPr>
        <w:t>case</w:t>
      </w:r>
      <w:r>
        <w:rPr>
          <w:lang w:val="en-CA"/>
        </w:rPr>
        <w:t>.</w:t>
      </w:r>
      <w:r>
        <w:rPr>
          <w:rStyle w:val="Appelnotedebasdep"/>
          <w:lang w:val="en-CA"/>
        </w:rPr>
        <w:footnoteReference w:id="34"/>
      </w:r>
      <w:r>
        <w:rPr>
          <w:lang w:val="en-CA"/>
        </w:rPr>
        <w:t xml:space="preserve"> Citing </w:t>
      </w:r>
      <w:r w:rsidR="00BC5FF9">
        <w:rPr>
          <w:lang w:val="en-CA"/>
        </w:rPr>
        <w:t xml:space="preserve">Superior Court Justice </w:t>
      </w:r>
      <w:r>
        <w:rPr>
          <w:lang w:val="en-CA"/>
        </w:rPr>
        <w:t>David</w:t>
      </w:r>
      <w:r w:rsidR="004C6FA1">
        <w:rPr>
          <w:lang w:val="en-CA"/>
        </w:rPr>
        <w:t>,</w:t>
      </w:r>
      <w:r>
        <w:rPr>
          <w:rStyle w:val="Appelnotedebasdep"/>
          <w:lang w:val="en-CA"/>
        </w:rPr>
        <w:footnoteReference w:id="35"/>
      </w:r>
      <w:r>
        <w:rPr>
          <w:lang w:val="en-CA"/>
        </w:rPr>
        <w:t xml:space="preserve"> he first concluded that s</w:t>
      </w:r>
      <w:r w:rsidR="004C6FA1">
        <w:rPr>
          <w:lang w:val="en-CA"/>
        </w:rPr>
        <w:t>.</w:t>
      </w:r>
      <w:r>
        <w:rPr>
          <w:lang w:val="en-CA"/>
        </w:rPr>
        <w:t xml:space="preserve"> 163.1(1) </w:t>
      </w:r>
      <w:r w:rsidRPr="004C6FA1">
        <w:rPr>
          <w:i/>
          <w:iCs/>
          <w:lang w:val="en-CA"/>
        </w:rPr>
        <w:t>Cr.C</w:t>
      </w:r>
      <w:r>
        <w:rPr>
          <w:lang w:val="en-CA"/>
        </w:rPr>
        <w:t xml:space="preserve"> clearly </w:t>
      </w:r>
      <w:r w:rsidR="004C6FA1">
        <w:rPr>
          <w:lang w:val="en-CA"/>
        </w:rPr>
        <w:t>include</w:t>
      </w:r>
      <w:r w:rsidR="006A7328">
        <w:rPr>
          <w:lang w:val="en-CA"/>
        </w:rPr>
        <w:t>s</w:t>
      </w:r>
      <w:r w:rsidR="004C6FA1">
        <w:rPr>
          <w:lang w:val="en-CA"/>
        </w:rPr>
        <w:t xml:space="preserve"> </w:t>
      </w:r>
      <w:r>
        <w:rPr>
          <w:lang w:val="en-CA"/>
        </w:rPr>
        <w:t xml:space="preserve">objects. </w:t>
      </w:r>
      <w:r w:rsidR="00BC5FF9">
        <w:rPr>
          <w:lang w:val="en-CA"/>
        </w:rPr>
        <w:t xml:space="preserve">Judge </w:t>
      </w:r>
      <w:r>
        <w:rPr>
          <w:lang w:val="en-CA"/>
        </w:rPr>
        <w:t>Asselin</w:t>
      </w:r>
      <w:r w:rsidR="00BC5FF9">
        <w:rPr>
          <w:lang w:val="en-CA"/>
        </w:rPr>
        <w:t xml:space="preserve"> </w:t>
      </w:r>
      <w:r>
        <w:rPr>
          <w:lang w:val="en-CA"/>
        </w:rPr>
        <w:t xml:space="preserve">then considered the dominant characteristic of the doll. He comments as follows on the </w:t>
      </w:r>
      <w:r w:rsidR="006A7328">
        <w:rPr>
          <w:lang w:val="en-CA"/>
        </w:rPr>
        <w:t>distinguishing feature</w:t>
      </w:r>
      <w:r>
        <w:rPr>
          <w:lang w:val="en-CA"/>
        </w:rPr>
        <w:t xml:space="preserve"> of the </w:t>
      </w:r>
      <w:r w:rsidR="004C6FA1">
        <w:rPr>
          <w:lang w:val="en-CA"/>
        </w:rPr>
        <w:t xml:space="preserve">doll </w:t>
      </w:r>
      <w:r>
        <w:rPr>
          <w:lang w:val="en-CA"/>
        </w:rPr>
        <w:t>and on the context:</w:t>
      </w:r>
    </w:p>
    <w:p w14:paraId="183236B2" w14:textId="01FD0E74" w:rsidR="004C6FA1" w:rsidRPr="005D3F3F" w:rsidRDefault="004C6FA1" w:rsidP="004C6FA1">
      <w:pPr>
        <w:pStyle w:val="Paragraphe"/>
        <w:numPr>
          <w:ilvl w:val="0"/>
          <w:numId w:val="0"/>
        </w:numPr>
        <w:spacing w:line="280" w:lineRule="exact"/>
        <w:ind w:left="720"/>
        <w:rPr>
          <w:lang w:val="en-US"/>
        </w:rPr>
      </w:pPr>
      <w:bookmarkStart w:id="28" w:name="_Hlk172785351"/>
      <w:r>
        <w:rPr>
          <w:rFonts w:cs="Arial"/>
          <w:lang w:val="en-CA"/>
        </w:rPr>
        <w:t>[</w:t>
      </w:r>
      <w:r w:rsidRPr="004C6FA1">
        <w:rPr>
          <w:smallCaps/>
          <w:lang w:val="en-CA"/>
        </w:rPr>
        <w:t>translation</w:t>
      </w:r>
      <w:r>
        <w:rPr>
          <w:rFonts w:cs="Arial"/>
          <w:lang w:val="en-CA"/>
        </w:rPr>
        <w:t>]</w:t>
      </w:r>
    </w:p>
    <w:bookmarkEnd w:id="28"/>
    <w:p w14:paraId="5FA02B0D" w14:textId="635EA37E" w:rsidR="00A50B92" w:rsidRPr="005D3F3F" w:rsidRDefault="005D3F3F" w:rsidP="00A50B92">
      <w:pPr>
        <w:pStyle w:val="Citationenretrait"/>
        <w:rPr>
          <w:lang w:val="en-US"/>
        </w:rPr>
      </w:pPr>
      <w:r>
        <w:rPr>
          <w:lang w:val="en-CA"/>
        </w:rPr>
        <w:t>[63]</w:t>
      </w:r>
      <w:r>
        <w:rPr>
          <w:lang w:val="en-CA"/>
        </w:rPr>
        <w:tab/>
        <w:t xml:space="preserve">As suggested by </w:t>
      </w:r>
      <w:r w:rsidR="00BC5FF9">
        <w:rPr>
          <w:lang w:val="en-CA"/>
        </w:rPr>
        <w:t>Judge</w:t>
      </w:r>
      <w:r w:rsidR="004C6FA1">
        <w:rPr>
          <w:lang w:val="en-CA"/>
        </w:rPr>
        <w:t xml:space="preserve"> </w:t>
      </w:r>
      <w:r>
        <w:rPr>
          <w:lang w:val="en-CA"/>
        </w:rPr>
        <w:t>Richard Côté,</w:t>
      </w:r>
      <w:r w:rsidR="00BC5FF9">
        <w:rPr>
          <w:lang w:val="en-CA"/>
        </w:rPr>
        <w:t xml:space="preserve"> </w:t>
      </w:r>
      <w:r>
        <w:rPr>
          <w:lang w:val="en-CA"/>
        </w:rPr>
        <w:t xml:space="preserve">the analysis of the dominant characteristic must be </w:t>
      </w:r>
      <w:r w:rsidR="006A7328">
        <w:rPr>
          <w:lang w:val="en-CA"/>
        </w:rPr>
        <w:t>based on</w:t>
      </w:r>
      <w:r>
        <w:rPr>
          <w:lang w:val="en-CA"/>
        </w:rPr>
        <w:t xml:space="preserve"> the content of the representation</w:t>
      </w:r>
      <w:r w:rsidR="00AD7A1C">
        <w:rPr>
          <w:lang w:val="en-CA"/>
        </w:rPr>
        <w:t xml:space="preserve">, </w:t>
      </w:r>
      <w:proofErr w:type="gramStart"/>
      <w:r w:rsidR="00AD7A1C">
        <w:rPr>
          <w:lang w:val="en-CA"/>
        </w:rPr>
        <w:t>taking into account</w:t>
      </w:r>
      <w:proofErr w:type="gramEnd"/>
      <w:r>
        <w:rPr>
          <w:lang w:val="en-CA"/>
        </w:rPr>
        <w:t xml:space="preserve"> its context. This leads us to consider the characteristics of the object itself as well as its context. In other words, what is the distinguishing feature of the doll, and what characterizes it? </w:t>
      </w:r>
    </w:p>
    <w:p w14:paraId="1EA089D6" w14:textId="15AE9D3A" w:rsidR="00A50B92" w:rsidRPr="005D3F3F" w:rsidRDefault="005D3F3F" w:rsidP="00A50B92">
      <w:pPr>
        <w:pStyle w:val="Citationenretrait"/>
        <w:rPr>
          <w:lang w:val="en-US"/>
        </w:rPr>
      </w:pPr>
      <w:r>
        <w:rPr>
          <w:lang w:val="en-CA"/>
        </w:rPr>
        <w:t>[64]</w:t>
      </w:r>
      <w:r>
        <w:rPr>
          <w:lang w:val="en-CA"/>
        </w:rPr>
        <w:tab/>
        <w:t>In th</w:t>
      </w:r>
      <w:r w:rsidR="00AD7A1C">
        <w:rPr>
          <w:lang w:val="en-CA"/>
        </w:rPr>
        <w:t>e present</w:t>
      </w:r>
      <w:r>
        <w:rPr>
          <w:lang w:val="en-CA"/>
        </w:rPr>
        <w:t xml:space="preserve"> case, the doll represents a female person. It has three orifices, i.e., a mouth, a vagina, and an anus, in which it is possible to insert an object or a male sex organ. With respect to the context surrounding the object, the addition of accessories – in this case underwear, a pump to retrieve bodily fluids, and a </w:t>
      </w:r>
      <w:r w:rsidR="00AE6296">
        <w:rPr>
          <w:lang w:val="en-CA"/>
        </w:rPr>
        <w:t xml:space="preserve">heating </w:t>
      </w:r>
      <w:r>
        <w:rPr>
          <w:lang w:val="en-CA"/>
        </w:rPr>
        <w:t>rod to replicate the warmth of a human body – emphasizes the sexual organs and anal region of the doll.</w:t>
      </w:r>
      <w:r>
        <w:rPr>
          <w:rStyle w:val="Appelnotedebasdep"/>
          <w:lang w:val="en-CA"/>
        </w:rPr>
        <w:footnoteReference w:id="36"/>
      </w:r>
    </w:p>
    <w:p w14:paraId="0FD490BD" w14:textId="7BC9F3D3" w:rsidR="00A50B92" w:rsidRPr="005D3F3F" w:rsidRDefault="005D3F3F" w:rsidP="00D2350C">
      <w:pPr>
        <w:pStyle w:val="Paragraphe"/>
        <w:spacing w:line="280" w:lineRule="exact"/>
        <w:rPr>
          <w:lang w:val="en-US"/>
        </w:rPr>
      </w:pPr>
      <w:r>
        <w:rPr>
          <w:lang w:val="en-CA"/>
        </w:rPr>
        <w:lastRenderedPageBreak/>
        <w:t xml:space="preserve">The difference is that no heating rod was seized in this case. </w:t>
      </w:r>
      <w:r w:rsidR="00346EE1">
        <w:rPr>
          <w:lang w:val="en-CA"/>
        </w:rPr>
        <w:t>The other</w:t>
      </w:r>
      <w:r>
        <w:rPr>
          <w:lang w:val="en-CA"/>
        </w:rPr>
        <w:t xml:space="preserve"> accessories, </w:t>
      </w:r>
      <w:r w:rsidR="00001C38">
        <w:rPr>
          <w:lang w:val="en-CA"/>
        </w:rPr>
        <w:t>that is, the</w:t>
      </w:r>
      <w:r>
        <w:rPr>
          <w:lang w:val="en-CA"/>
        </w:rPr>
        <w:t xml:space="preserve"> underwear and the pump, were </w:t>
      </w:r>
      <w:r w:rsidR="00346EE1">
        <w:rPr>
          <w:lang w:val="en-CA"/>
        </w:rPr>
        <w:t>present, however</w:t>
      </w:r>
      <w:r>
        <w:rPr>
          <w:lang w:val="en-CA"/>
        </w:rPr>
        <w:t>.</w:t>
      </w:r>
    </w:p>
    <w:p w14:paraId="68C16CC3" w14:textId="1BC79E1D" w:rsidR="00A50B92" w:rsidRPr="00AE6296" w:rsidRDefault="005D3F3F" w:rsidP="00D2350C">
      <w:pPr>
        <w:pStyle w:val="Paragraphe"/>
        <w:spacing w:line="280" w:lineRule="exact"/>
        <w:rPr>
          <w:lang w:val="en-US"/>
        </w:rPr>
      </w:pPr>
      <w:r>
        <w:rPr>
          <w:lang w:val="en-CA"/>
        </w:rPr>
        <w:t>In</w:t>
      </w:r>
      <w:r w:rsidR="002C3618">
        <w:rPr>
          <w:lang w:val="en-CA"/>
        </w:rPr>
        <w:t xml:space="preserve"> that case</w:t>
      </w:r>
      <w:r>
        <w:rPr>
          <w:lang w:val="en-CA"/>
        </w:rPr>
        <w:t xml:space="preserve">, </w:t>
      </w:r>
      <w:r w:rsidR="002C3618">
        <w:rPr>
          <w:lang w:val="en-CA"/>
        </w:rPr>
        <w:t xml:space="preserve">Judge </w:t>
      </w:r>
      <w:r>
        <w:rPr>
          <w:lang w:val="en-CA"/>
        </w:rPr>
        <w:t>Asselin</w:t>
      </w:r>
      <w:r w:rsidR="002C3618">
        <w:rPr>
          <w:lang w:val="en-CA"/>
        </w:rPr>
        <w:t xml:space="preserve"> </w:t>
      </w:r>
      <w:r w:rsidR="00E60647">
        <w:rPr>
          <w:lang w:val="en-CA"/>
        </w:rPr>
        <w:t>stressed</w:t>
      </w:r>
      <w:r>
        <w:rPr>
          <w:lang w:val="en-CA"/>
        </w:rPr>
        <w:t xml:space="preserve"> the difference between the dominant characteristic of an object and its purpose. It is important to distinguish between these elements because even though the </w:t>
      </w:r>
      <w:r w:rsidR="00E60647">
        <w:rPr>
          <w:lang w:val="en-CA"/>
        </w:rPr>
        <w:t xml:space="preserve">obvious </w:t>
      </w:r>
      <w:r>
        <w:rPr>
          <w:lang w:val="en-CA"/>
        </w:rPr>
        <w:t xml:space="preserve">purpose of the doll is to </w:t>
      </w:r>
      <w:r w:rsidR="00E60647">
        <w:rPr>
          <w:lang w:val="en-CA"/>
        </w:rPr>
        <w:t xml:space="preserve">sexually </w:t>
      </w:r>
      <w:r>
        <w:rPr>
          <w:lang w:val="en-CA"/>
        </w:rPr>
        <w:t>stimulate certain people, the fact remains that the Crown must establish that the dominant characteristic of this object is the depiction of sexual organs.</w:t>
      </w:r>
      <w:r>
        <w:rPr>
          <w:rStyle w:val="Appelnotedebasdep"/>
          <w:lang w:val="en-CA"/>
        </w:rPr>
        <w:footnoteReference w:id="37"/>
      </w:r>
      <w:r>
        <w:rPr>
          <w:lang w:val="en-CA"/>
        </w:rPr>
        <w:t xml:space="preserve"> He concludes as follows on the dominant characteristic of the doll:</w:t>
      </w:r>
    </w:p>
    <w:p w14:paraId="3014A2A1" w14:textId="77777777" w:rsidR="00AE6296" w:rsidRPr="005D3F3F" w:rsidRDefault="00AE6296" w:rsidP="00AE6296">
      <w:pPr>
        <w:pStyle w:val="Paragraphe"/>
        <w:numPr>
          <w:ilvl w:val="0"/>
          <w:numId w:val="0"/>
        </w:numPr>
        <w:spacing w:line="280" w:lineRule="exact"/>
        <w:ind w:left="720"/>
        <w:rPr>
          <w:lang w:val="en-US"/>
        </w:rPr>
      </w:pPr>
      <w:r>
        <w:rPr>
          <w:rFonts w:cs="Arial"/>
          <w:lang w:val="en-CA"/>
        </w:rPr>
        <w:t>[</w:t>
      </w:r>
      <w:r w:rsidRPr="004C6FA1">
        <w:rPr>
          <w:smallCaps/>
          <w:lang w:val="en-CA"/>
        </w:rPr>
        <w:t>translation</w:t>
      </w:r>
      <w:r>
        <w:rPr>
          <w:rFonts w:cs="Arial"/>
          <w:lang w:val="en-CA"/>
        </w:rPr>
        <w:t>]</w:t>
      </w:r>
    </w:p>
    <w:p w14:paraId="5F766754" w14:textId="58611CAB" w:rsidR="00A50B92" w:rsidRPr="005D3F3F" w:rsidRDefault="005D3F3F" w:rsidP="00A50B92">
      <w:pPr>
        <w:pStyle w:val="Citationenretrait"/>
        <w:rPr>
          <w:lang w:val="en-US"/>
        </w:rPr>
      </w:pPr>
      <w:r>
        <w:rPr>
          <w:lang w:val="en-CA"/>
        </w:rPr>
        <w:t>[70]</w:t>
      </w:r>
      <w:r>
        <w:rPr>
          <w:lang w:val="en-CA"/>
        </w:rPr>
        <w:tab/>
        <w:t xml:space="preserve">Although the parties did not really address the issue of the dominant characteristic of the object in their </w:t>
      </w:r>
      <w:r w:rsidR="00AE6296">
        <w:rPr>
          <w:lang w:val="en-CA"/>
        </w:rPr>
        <w:t>arguments</w:t>
      </w:r>
      <w:r>
        <w:rPr>
          <w:lang w:val="en-CA"/>
        </w:rPr>
        <w:t xml:space="preserve">, the Court is of the view that the Crown has proved beyond a reasonable doubt that the dominant characteristic of the doll is the depiction of a sexual organ or the anal region. The sex doll seized at the accused’s home must be assessed in its overall context and </w:t>
      </w:r>
      <w:r w:rsidR="004D3EEF">
        <w:rPr>
          <w:lang w:val="en-CA"/>
        </w:rPr>
        <w:t>with reference to</w:t>
      </w:r>
      <w:r>
        <w:rPr>
          <w:lang w:val="en-CA"/>
        </w:rPr>
        <w:t xml:space="preserve"> the objective of protecting children. </w:t>
      </w:r>
    </w:p>
    <w:p w14:paraId="5C66F055" w14:textId="0647CCB8" w:rsidR="00A50B92" w:rsidRPr="005D3F3F" w:rsidRDefault="005D3F3F" w:rsidP="00A50B92">
      <w:pPr>
        <w:pStyle w:val="Citationenretrait"/>
        <w:rPr>
          <w:lang w:val="en-US"/>
        </w:rPr>
      </w:pPr>
      <w:r>
        <w:rPr>
          <w:lang w:val="en-CA"/>
        </w:rPr>
        <w:t>[71]</w:t>
      </w:r>
      <w:r>
        <w:rPr>
          <w:lang w:val="en-CA"/>
        </w:rPr>
        <w:tab/>
        <w:t xml:space="preserve">It is important to distinguish </w:t>
      </w:r>
      <w:r>
        <w:rPr>
          <w:i/>
          <w:iCs/>
          <w:lang w:val="en-CA"/>
        </w:rPr>
        <w:t>Ramlogan</w:t>
      </w:r>
      <w:r>
        <w:rPr>
          <w:lang w:val="en-CA"/>
        </w:rPr>
        <w:t xml:space="preserve"> from the case at bar. Although children</w:t>
      </w:r>
      <w:r w:rsidR="004D3EEF">
        <w:rPr>
          <w:lang w:val="en-CA"/>
        </w:rPr>
        <w:t xml:space="preserve"> were involved</w:t>
      </w:r>
      <w:r>
        <w:rPr>
          <w:lang w:val="en-CA"/>
        </w:rPr>
        <w:t xml:space="preserve">, three of the movies seized in that case </w:t>
      </w:r>
      <w:r w:rsidR="004D3EEF">
        <w:rPr>
          <w:lang w:val="en-CA"/>
        </w:rPr>
        <w:t>featured</w:t>
      </w:r>
      <w:r>
        <w:rPr>
          <w:lang w:val="en-CA"/>
        </w:rPr>
        <w:t xml:space="preserve"> clothed children who </w:t>
      </w:r>
      <w:r w:rsidR="004D3EEF">
        <w:rPr>
          <w:lang w:val="en-CA"/>
        </w:rPr>
        <w:t>were not</w:t>
      </w:r>
      <w:r>
        <w:rPr>
          <w:lang w:val="en-CA"/>
        </w:rPr>
        <w:t xml:space="preserve"> engag</w:t>
      </w:r>
      <w:r w:rsidR="004D3EEF">
        <w:rPr>
          <w:lang w:val="en-CA"/>
        </w:rPr>
        <w:t>ing</w:t>
      </w:r>
      <w:r>
        <w:rPr>
          <w:lang w:val="en-CA"/>
        </w:rPr>
        <w:t xml:space="preserve"> in any sexual acts, and the videos showed no explicit images of the sexual organs or the anal region.</w:t>
      </w:r>
    </w:p>
    <w:p w14:paraId="741EDF84" w14:textId="7C635BB7" w:rsidR="00A50B92" w:rsidRPr="005D3F3F" w:rsidRDefault="005D3F3F" w:rsidP="00A50B92">
      <w:pPr>
        <w:pStyle w:val="Citationenretrait"/>
        <w:rPr>
          <w:lang w:val="en-US"/>
        </w:rPr>
      </w:pPr>
      <w:r>
        <w:rPr>
          <w:lang w:val="en-CA"/>
        </w:rPr>
        <w:t>[72]</w:t>
      </w:r>
      <w:r>
        <w:rPr>
          <w:lang w:val="en-CA"/>
        </w:rPr>
        <w:tab/>
        <w:t xml:space="preserve">The sex doll seized during the search on June 8, 2017, is a 100 cm object whose dominant characteristic includes three orifices – a mouth, a vagina, and an anus – which are functional and </w:t>
      </w:r>
      <w:r w:rsidR="004D3EEF">
        <w:rPr>
          <w:lang w:val="en-CA"/>
        </w:rPr>
        <w:t>can</w:t>
      </w:r>
      <w:r>
        <w:rPr>
          <w:lang w:val="en-CA"/>
        </w:rPr>
        <w:t xml:space="preserve"> receive an object or a body part, such as a penis. The doll’s only purpose is the sexual stimulation of a person. </w:t>
      </w:r>
      <w:proofErr w:type="gramStart"/>
      <w:r>
        <w:rPr>
          <w:lang w:val="en-CA"/>
        </w:rPr>
        <w:t>It is clear that a</w:t>
      </w:r>
      <w:proofErr w:type="gramEnd"/>
      <w:r>
        <w:rPr>
          <w:lang w:val="en-CA"/>
        </w:rPr>
        <w:t xml:space="preserve"> visual inspection of the doll, combined with the presence of particular accessories would lead a reasonable person to consider the doll’s dominant characteristic to be the depiction, for a sexual purpose, of a sexual organ or the anal region.</w:t>
      </w:r>
      <w:r>
        <w:rPr>
          <w:rStyle w:val="Appelnotedebasdep"/>
          <w:lang w:val="en-CA"/>
        </w:rPr>
        <w:footnoteReference w:id="38"/>
      </w:r>
    </w:p>
    <w:p w14:paraId="5F71C7B5" w14:textId="25DCFDEB" w:rsidR="00A50B92" w:rsidRPr="005D3F3F" w:rsidRDefault="005D3F3F" w:rsidP="00D2350C">
      <w:pPr>
        <w:pStyle w:val="Paragraphe"/>
        <w:spacing w:line="280" w:lineRule="exact"/>
        <w:rPr>
          <w:lang w:val="en-US"/>
        </w:rPr>
      </w:pPr>
      <w:r>
        <w:rPr>
          <w:lang w:val="en-CA"/>
        </w:rPr>
        <w:t xml:space="preserve">Unlike a photo or film, the doll’s sex organs are not </w:t>
      </w:r>
      <w:r w:rsidR="00F90E47">
        <w:rPr>
          <w:lang w:val="en-CA"/>
        </w:rPr>
        <w:t>highlighted</w:t>
      </w:r>
      <w:r>
        <w:rPr>
          <w:lang w:val="en-CA"/>
        </w:rPr>
        <w:t xml:space="preserve"> as they are orifices that represent only a small part of the body and can easily be hidden by clothing. As for the mouth, considered in isolation, I doubt that it can be described as a sexual organ. However, I agree with Asselin J. that we must consider the functional aspect of the sexual organs or anal region of this doll.</w:t>
      </w:r>
      <w:r>
        <w:rPr>
          <w:rStyle w:val="Appelnotedebasdep"/>
          <w:lang w:val="en-CA"/>
        </w:rPr>
        <w:footnoteReference w:id="39"/>
      </w:r>
      <w:r>
        <w:rPr>
          <w:lang w:val="en-CA"/>
        </w:rPr>
        <w:t xml:space="preserve"> The doll is designed to reproduce a </w:t>
      </w:r>
      <w:r w:rsidR="002C3618">
        <w:rPr>
          <w:lang w:val="en-CA"/>
        </w:rPr>
        <w:t xml:space="preserve">female </w:t>
      </w:r>
      <w:r>
        <w:rPr>
          <w:lang w:val="en-CA"/>
        </w:rPr>
        <w:t xml:space="preserve">child’s body and allow its user to obtain sexual satisfaction. </w:t>
      </w:r>
    </w:p>
    <w:p w14:paraId="2B07553B" w14:textId="77777777" w:rsidR="00A50B92" w:rsidRPr="005D3F3F" w:rsidRDefault="005D3F3F" w:rsidP="00D2350C">
      <w:pPr>
        <w:pStyle w:val="Paragraphe"/>
        <w:spacing w:line="280" w:lineRule="exact"/>
        <w:rPr>
          <w:lang w:val="en-US"/>
        </w:rPr>
      </w:pPr>
      <w:r>
        <w:rPr>
          <w:lang w:val="en-CA"/>
        </w:rPr>
        <w:lastRenderedPageBreak/>
        <w:t>I therefore conclude that the judge did not err in determining that the dominant characteristic of the doll is a depiction of sexual organs and the anal region of a child for sexual purposes.</w:t>
      </w:r>
      <w:r>
        <w:rPr>
          <w:rStyle w:val="Appelnotedebasdep"/>
          <w:lang w:val="en-CA"/>
        </w:rPr>
        <w:footnoteReference w:id="40"/>
      </w:r>
    </w:p>
    <w:p w14:paraId="535D702E" w14:textId="77777777" w:rsidR="00A50B92" w:rsidRPr="008E5790" w:rsidRDefault="005D3F3F" w:rsidP="00A50B92">
      <w:pPr>
        <w:pStyle w:val="Titre2"/>
      </w:pPr>
      <w:r>
        <w:rPr>
          <w:bCs/>
          <w:iCs/>
          <w:lang w:val="en-CA"/>
        </w:rPr>
        <w:t>Legitimate purpose</w:t>
      </w:r>
    </w:p>
    <w:p w14:paraId="42A573F2" w14:textId="678329F3" w:rsidR="00A50B92" w:rsidRPr="005D3F3F" w:rsidRDefault="005D3F3F" w:rsidP="00D2350C">
      <w:pPr>
        <w:pStyle w:val="Paragraphe"/>
        <w:spacing w:line="280" w:lineRule="exact"/>
        <w:rPr>
          <w:lang w:val="en-US"/>
        </w:rPr>
      </w:pPr>
      <w:r>
        <w:rPr>
          <w:lang w:val="en-CA"/>
        </w:rPr>
        <w:t xml:space="preserve">The appellant contends that the judge rendered an unreasonable verdict by </w:t>
      </w:r>
      <w:r w:rsidR="00F90E47">
        <w:rPr>
          <w:lang w:val="en-CA"/>
        </w:rPr>
        <w:t>rejecting</w:t>
      </w:r>
      <w:r>
        <w:rPr>
          <w:lang w:val="en-CA"/>
        </w:rPr>
        <w:t xml:space="preserve"> his defence of a legitimate purpose related to art. He criticizes the judge’s assessment of his credibility concerning </w:t>
      </w:r>
      <w:r w:rsidR="00700328">
        <w:rPr>
          <w:lang w:val="en-CA"/>
        </w:rPr>
        <w:t>his planned</w:t>
      </w:r>
      <w:r>
        <w:rPr>
          <w:lang w:val="en-CA"/>
        </w:rPr>
        <w:t xml:space="preserve"> photo project</w:t>
      </w:r>
      <w:r w:rsidR="00AC728C">
        <w:rPr>
          <w:lang w:val="en-CA"/>
        </w:rPr>
        <w:t xml:space="preserve"> </w:t>
      </w:r>
      <w:r>
        <w:rPr>
          <w:lang w:val="en-CA"/>
        </w:rPr>
        <w:t xml:space="preserve">with the doll. She also allegedly </w:t>
      </w:r>
      <w:r w:rsidR="00AC728C">
        <w:rPr>
          <w:lang w:val="en-CA"/>
        </w:rPr>
        <w:t>erred as to</w:t>
      </w:r>
      <w:r>
        <w:rPr>
          <w:lang w:val="en-CA"/>
        </w:rPr>
        <w:t xml:space="preserve"> the probative value of certain uncontested facts. </w:t>
      </w:r>
    </w:p>
    <w:p w14:paraId="605DDF95" w14:textId="2F93CCFD" w:rsidR="00A50B92" w:rsidRPr="005D3F3F" w:rsidRDefault="005D3F3F" w:rsidP="00D2350C">
      <w:pPr>
        <w:pStyle w:val="Paragraphe"/>
        <w:spacing w:line="280" w:lineRule="exact"/>
        <w:rPr>
          <w:lang w:val="en-US"/>
        </w:rPr>
      </w:pPr>
      <w:r>
        <w:rPr>
          <w:lang w:val="en-CA"/>
        </w:rPr>
        <w:t>The</w:t>
      </w:r>
      <w:r w:rsidR="00B601C2">
        <w:rPr>
          <w:lang w:val="en-CA"/>
        </w:rPr>
        <w:t>re is a</w:t>
      </w:r>
      <w:r>
        <w:rPr>
          <w:lang w:val="en-CA"/>
        </w:rPr>
        <w:t xml:space="preserve"> </w:t>
      </w:r>
      <w:r w:rsidR="00B601C2">
        <w:rPr>
          <w:lang w:val="en-CA"/>
        </w:rPr>
        <w:t xml:space="preserve">low evidentiary </w:t>
      </w:r>
      <w:r>
        <w:rPr>
          <w:lang w:val="en-CA"/>
        </w:rPr>
        <w:t xml:space="preserve">threshold for a form of expression to be considered art by the court. In </w:t>
      </w:r>
      <w:r>
        <w:rPr>
          <w:i/>
          <w:iCs/>
          <w:lang w:val="en-CA"/>
        </w:rPr>
        <w:t>Sharpe</w:t>
      </w:r>
      <w:r>
        <w:rPr>
          <w:lang w:val="en-CA"/>
        </w:rPr>
        <w:t>, the Supreme Court analyzed for the first time the defence of “artistic merit” as follows:</w:t>
      </w:r>
    </w:p>
    <w:p w14:paraId="0C573AB6" w14:textId="77777777" w:rsidR="00A50B92" w:rsidRPr="00F21AA0" w:rsidRDefault="005D3F3F" w:rsidP="00A50B92">
      <w:pPr>
        <w:pStyle w:val="Citationenretrait"/>
        <w:rPr>
          <w:lang w:val="en-US"/>
        </w:rPr>
      </w:pPr>
      <w:r>
        <w:rPr>
          <w:lang w:val="en-CA"/>
        </w:rPr>
        <w:t>[63]</w:t>
      </w:r>
      <w:r>
        <w:rPr>
          <w:lang w:val="en-CA"/>
        </w:rPr>
        <w:tab/>
      </w:r>
      <w:bookmarkStart w:id="29" w:name="_Hlk168749289"/>
      <w:r w:rsidRPr="00F21AA0">
        <w:rPr>
          <w:lang w:val="en-CA"/>
        </w:rPr>
        <w:t>... I conclude that “artistic merit” should be interpreted as including any expression that may reasonably be viewed as art. Any objectively established artistic value, however small,</w:t>
      </w:r>
      <w:r w:rsidRPr="00F21AA0">
        <w:rPr>
          <w:rFonts w:ascii="Cambria Math" w:hAnsi="Cambria Math"/>
          <w:lang w:val="en-CA"/>
        </w:rPr>
        <w:t xml:space="preserve"> </w:t>
      </w:r>
      <w:r w:rsidRPr="00F21AA0">
        <w:rPr>
          <w:lang w:val="en-CA"/>
        </w:rPr>
        <w:t>suffices to support the defence. Simply put, artists, so long as they are producing art, should not fear prosecution under s. 163.1(4).</w:t>
      </w:r>
    </w:p>
    <w:p w14:paraId="09741AF5" w14:textId="77777777" w:rsidR="00A50B92" w:rsidRPr="00F21AA0" w:rsidRDefault="005D3F3F" w:rsidP="00A50B92">
      <w:pPr>
        <w:pStyle w:val="Citationenretrait"/>
        <w:rPr>
          <w:lang w:val="en-US"/>
        </w:rPr>
      </w:pPr>
      <w:r w:rsidRPr="00F21AA0">
        <w:rPr>
          <w:lang w:val="en-CA"/>
        </w:rPr>
        <w:t>...</w:t>
      </w:r>
    </w:p>
    <w:p w14:paraId="463ADD61" w14:textId="77777777" w:rsidR="00A50B92" w:rsidRPr="005D3F3F" w:rsidRDefault="005D3F3F" w:rsidP="00A50B92">
      <w:pPr>
        <w:pStyle w:val="Citationenretrait"/>
        <w:rPr>
          <w:lang w:val="en-US"/>
        </w:rPr>
      </w:pPr>
      <w:r w:rsidRPr="00F21AA0">
        <w:rPr>
          <w:lang w:val="en-CA"/>
        </w:rPr>
        <w:t>[67]</w:t>
      </w:r>
      <w:r w:rsidRPr="00F21AA0">
        <w:rPr>
          <w:lang w:val="en-CA"/>
        </w:rPr>
        <w:tab/>
        <w:t xml:space="preserve">The third issue is how the artistic merit defence functions procedurally. The test, as mentioned, is objective. The wording of the section suggests that it functions in the same manner as other defences such as self defence, </w:t>
      </w:r>
      <w:proofErr w:type="gramStart"/>
      <w:r w:rsidRPr="00F21AA0">
        <w:rPr>
          <w:lang w:val="en-CA"/>
        </w:rPr>
        <w:t>provocation</w:t>
      </w:r>
      <w:proofErr w:type="gramEnd"/>
      <w:r w:rsidRPr="00F21AA0">
        <w:rPr>
          <w:lang w:val="en-CA"/>
        </w:rPr>
        <w:t xml:space="preserve"> or necessity. The accused raises the defence by pointing to facts capable of supporting it (generally something more than a bare assertion that the creator subjectively intended to create art), at which point the Crown must disprove the defence beyond a reasonable doubt: see </w:t>
      </w:r>
      <w:r w:rsidRPr="00F21AA0">
        <w:rPr>
          <w:i/>
          <w:iCs/>
          <w:lang w:val="en-CA"/>
        </w:rPr>
        <w:t>Langer</w:t>
      </w:r>
      <w:r w:rsidRPr="00F21AA0">
        <w:rPr>
          <w:lang w:val="en-CA"/>
        </w:rPr>
        <w:t>,</w:t>
      </w:r>
      <w:r w:rsidRPr="00F21AA0">
        <w:rPr>
          <w:i/>
          <w:iCs/>
          <w:lang w:val="en-CA"/>
        </w:rPr>
        <w:t xml:space="preserve"> supra</w:t>
      </w:r>
      <w:r w:rsidRPr="00F21AA0">
        <w:rPr>
          <w:lang w:val="en-CA"/>
        </w:rPr>
        <w:t>.</w:t>
      </w:r>
      <w:r w:rsidRPr="00F21AA0">
        <w:rPr>
          <w:rStyle w:val="Appelnotedebasdep"/>
          <w:lang w:val="en-CA"/>
        </w:rPr>
        <w:footnoteReference w:id="41"/>
      </w:r>
    </w:p>
    <w:bookmarkEnd w:id="29"/>
    <w:p w14:paraId="5B4BAACD" w14:textId="77777777" w:rsidR="00A50B92" w:rsidRPr="005D3F3F" w:rsidRDefault="005D3F3F" w:rsidP="00D2350C">
      <w:pPr>
        <w:pStyle w:val="Paragraphe"/>
        <w:spacing w:line="280" w:lineRule="exact"/>
        <w:rPr>
          <w:lang w:val="en-US"/>
        </w:rPr>
      </w:pPr>
      <w:r>
        <w:rPr>
          <w:lang w:val="en-CA"/>
        </w:rPr>
        <w:t xml:space="preserve">“Artistic merit” can therefore be derived from any form of expression that can be considered art and this merit can be minimal. There is no doubt that photography can meet this definition. </w:t>
      </w:r>
    </w:p>
    <w:p w14:paraId="00E46F24" w14:textId="35CB4B0A" w:rsidR="00A50B92" w:rsidRPr="005D3F3F" w:rsidRDefault="005D3F3F" w:rsidP="00D2350C">
      <w:pPr>
        <w:pStyle w:val="Paragraphe"/>
        <w:spacing w:line="280" w:lineRule="exact"/>
        <w:rPr>
          <w:lang w:val="en-US"/>
        </w:rPr>
      </w:pPr>
      <w:r>
        <w:rPr>
          <w:lang w:val="en-CA"/>
        </w:rPr>
        <w:t xml:space="preserve">Following </w:t>
      </w:r>
      <w:r>
        <w:rPr>
          <w:i/>
          <w:iCs/>
          <w:lang w:val="en-CA"/>
        </w:rPr>
        <w:t>Sharpe</w:t>
      </w:r>
      <w:r>
        <w:rPr>
          <w:lang w:val="en-CA"/>
        </w:rPr>
        <w:t>, Parliament amended s</w:t>
      </w:r>
      <w:r w:rsidR="00F21AA0">
        <w:rPr>
          <w:lang w:val="en-CA"/>
        </w:rPr>
        <w:t>.</w:t>
      </w:r>
      <w:r>
        <w:rPr>
          <w:lang w:val="en-CA"/>
        </w:rPr>
        <w:t xml:space="preserve"> 163.1(6) </w:t>
      </w:r>
      <w:r w:rsidRPr="00F21AA0">
        <w:rPr>
          <w:i/>
          <w:iCs/>
          <w:lang w:val="en-CA"/>
        </w:rPr>
        <w:t>Cr.</w:t>
      </w:r>
      <w:r w:rsidR="00394B93">
        <w:rPr>
          <w:i/>
          <w:iCs/>
          <w:lang w:val="en-CA"/>
        </w:rPr>
        <w:t xml:space="preserve"> </w:t>
      </w:r>
      <w:r w:rsidRPr="00F21AA0">
        <w:rPr>
          <w:i/>
          <w:iCs/>
          <w:lang w:val="en-CA"/>
        </w:rPr>
        <w:t>C</w:t>
      </w:r>
      <w:r w:rsidR="00F21AA0" w:rsidRPr="00F21AA0">
        <w:rPr>
          <w:i/>
          <w:iCs/>
          <w:lang w:val="en-CA"/>
        </w:rPr>
        <w:t>.</w:t>
      </w:r>
      <w:r>
        <w:rPr>
          <w:lang w:val="en-CA"/>
        </w:rPr>
        <w:t>, which provides a defence against the offence of child pornography and now reads as follows:</w:t>
      </w:r>
    </w:p>
    <w:tbl>
      <w:tblPr>
        <w:tblW w:w="0" w:type="auto"/>
        <w:tblCellMar>
          <w:left w:w="70" w:type="dxa"/>
          <w:right w:w="70" w:type="dxa"/>
        </w:tblCellMar>
        <w:tblLook w:val="0000" w:firstRow="0" w:lastRow="0" w:firstColumn="0" w:lastColumn="0" w:noHBand="0" w:noVBand="0"/>
      </w:tblPr>
      <w:tblGrid>
        <w:gridCol w:w="4680"/>
        <w:gridCol w:w="4682"/>
      </w:tblGrid>
      <w:tr w:rsidR="007C49F6" w:rsidRPr="005D3F3F" w14:paraId="5282FB9F" w14:textId="77777777" w:rsidTr="002D3F5D">
        <w:trPr>
          <w:trHeight w:val="3527"/>
        </w:trPr>
        <w:tc>
          <w:tcPr>
            <w:tcW w:w="4751" w:type="dxa"/>
          </w:tcPr>
          <w:p w14:paraId="15BDCA87" w14:textId="77777777" w:rsidR="00F21AA0" w:rsidRPr="00F21AA0" w:rsidRDefault="00F21AA0" w:rsidP="00F21AA0">
            <w:pPr>
              <w:pStyle w:val="Tableaudroiteanglais"/>
            </w:pPr>
            <w:bookmarkStart w:id="30" w:name="_Hlk168749294"/>
            <w:r w:rsidRPr="00F21AA0">
              <w:rPr>
                <w:b/>
                <w:bCs/>
              </w:rPr>
              <w:lastRenderedPageBreak/>
              <w:t xml:space="preserve">(6) </w:t>
            </w:r>
            <w:r w:rsidRPr="00F21AA0">
              <w:t>No person shall be convicted of an offence under this section if the act that is alleged to constitute the offence</w:t>
            </w:r>
          </w:p>
          <w:p w14:paraId="2D0F5098" w14:textId="77777777" w:rsidR="00F21AA0" w:rsidRPr="00F21AA0" w:rsidRDefault="00F21AA0" w:rsidP="00F21AA0">
            <w:pPr>
              <w:pStyle w:val="Tableaudroiteanglais"/>
            </w:pPr>
          </w:p>
          <w:p w14:paraId="3F93AFDC" w14:textId="77777777" w:rsidR="00F21AA0" w:rsidRPr="00F21AA0" w:rsidRDefault="00F21AA0" w:rsidP="00F21AA0">
            <w:pPr>
              <w:pStyle w:val="Tableaudroiteanglais"/>
            </w:pPr>
          </w:p>
          <w:p w14:paraId="1FCE6031" w14:textId="127BE086" w:rsidR="00F21AA0" w:rsidRPr="00F21AA0" w:rsidRDefault="00F21AA0" w:rsidP="00F21AA0">
            <w:pPr>
              <w:pStyle w:val="Tableaudroiteanglais"/>
            </w:pPr>
            <w:r w:rsidRPr="00F21AA0">
              <w:rPr>
                <w:b/>
                <w:bCs/>
              </w:rPr>
              <w:t xml:space="preserve">(a) </w:t>
            </w:r>
            <w:r w:rsidRPr="00F21AA0">
              <w:t xml:space="preserve">has a legitimate purpose related to the administration of justice or to science, medicine, </w:t>
            </w:r>
            <w:proofErr w:type="gramStart"/>
            <w:r w:rsidRPr="00F21AA0">
              <w:t>education</w:t>
            </w:r>
            <w:proofErr w:type="gramEnd"/>
            <w:r w:rsidRPr="00F21AA0">
              <w:t xml:space="preserve"> or art; and</w:t>
            </w:r>
          </w:p>
          <w:p w14:paraId="4B4D0666" w14:textId="77777777" w:rsidR="00F21AA0" w:rsidRPr="00F21AA0" w:rsidRDefault="00F21AA0" w:rsidP="00F21AA0">
            <w:pPr>
              <w:pStyle w:val="Tableaudroiteanglais"/>
            </w:pPr>
          </w:p>
          <w:p w14:paraId="241F9CD9" w14:textId="59B5D8C7" w:rsidR="00A50B92" w:rsidRPr="00E355F0" w:rsidRDefault="00F21AA0" w:rsidP="002D3F5D">
            <w:pPr>
              <w:pStyle w:val="Tableaugauchefranais"/>
              <w:jc w:val="both"/>
              <w:rPr>
                <w:highlight w:val="cyan"/>
                <w:lang w:val="en-CA"/>
              </w:rPr>
            </w:pPr>
            <w:r w:rsidRPr="006729B0">
              <w:rPr>
                <w:b/>
                <w:bCs/>
                <w:lang w:val="en-CA"/>
              </w:rPr>
              <w:t xml:space="preserve">(b) </w:t>
            </w:r>
            <w:r w:rsidRPr="006729B0">
              <w:rPr>
                <w:lang w:val="en-CA"/>
              </w:rPr>
              <w:t>does not pose an undue risk of harm to persons under the age of eighteen years.</w:t>
            </w:r>
          </w:p>
        </w:tc>
        <w:tc>
          <w:tcPr>
            <w:tcW w:w="4751" w:type="dxa"/>
          </w:tcPr>
          <w:p w14:paraId="4ED32CBC" w14:textId="62392AB0" w:rsidR="00F21AA0" w:rsidRPr="006729B0" w:rsidRDefault="00F21AA0" w:rsidP="00F21AA0">
            <w:pPr>
              <w:pStyle w:val="Tableaudroiteanglais"/>
              <w:rPr>
                <w:lang w:val="fr-CA"/>
              </w:rPr>
            </w:pPr>
            <w:r w:rsidRPr="006729B0">
              <w:rPr>
                <w:b/>
                <w:bCs/>
                <w:lang w:val="fr-CA"/>
              </w:rPr>
              <w:t>(6)</w:t>
            </w:r>
            <w:r w:rsidRPr="006729B0">
              <w:rPr>
                <w:lang w:val="fr-CA"/>
              </w:rPr>
              <w:t xml:space="preserve"> Nul ne peut être déclaré coupable d’une infraction au présent article si les actes qui constitueraient l’infraction:</w:t>
            </w:r>
          </w:p>
          <w:p w14:paraId="16681000" w14:textId="77777777" w:rsidR="00F21AA0" w:rsidRPr="006729B0" w:rsidRDefault="00F21AA0" w:rsidP="00F21AA0">
            <w:pPr>
              <w:pStyle w:val="Tableaudroiteanglais"/>
              <w:rPr>
                <w:lang w:val="fr-CA"/>
              </w:rPr>
            </w:pPr>
          </w:p>
          <w:p w14:paraId="313A9276" w14:textId="77777777" w:rsidR="00F21AA0" w:rsidRPr="006729B0" w:rsidRDefault="00F21AA0" w:rsidP="00F21AA0">
            <w:pPr>
              <w:pStyle w:val="Tableaudroiteanglais"/>
              <w:rPr>
                <w:lang w:val="fr-CA"/>
              </w:rPr>
            </w:pPr>
            <w:r w:rsidRPr="006729B0">
              <w:rPr>
                <w:b/>
                <w:bCs/>
                <w:lang w:val="fr-CA"/>
              </w:rPr>
              <w:t>a)</w:t>
            </w:r>
            <w:r w:rsidRPr="006729B0">
              <w:rPr>
                <w:lang w:val="fr-CA"/>
              </w:rPr>
              <w:t xml:space="preserve"> ont un but légitime lié à l’administration de la justice, à la science, à la médecine, à l’éducation ou aux arts;</w:t>
            </w:r>
          </w:p>
          <w:p w14:paraId="2F119721" w14:textId="77777777" w:rsidR="00F21AA0" w:rsidRPr="006729B0" w:rsidRDefault="00F21AA0" w:rsidP="00F21AA0">
            <w:pPr>
              <w:pStyle w:val="Tableaudroiteanglais"/>
              <w:rPr>
                <w:lang w:val="fr-CA"/>
              </w:rPr>
            </w:pPr>
          </w:p>
          <w:p w14:paraId="3DC89182" w14:textId="50DF93CB" w:rsidR="00A50B92" w:rsidRPr="006729B0" w:rsidRDefault="00F21AA0" w:rsidP="00F21AA0">
            <w:pPr>
              <w:pStyle w:val="Tableaudroiteanglais"/>
              <w:rPr>
                <w:highlight w:val="cyan"/>
                <w:lang w:val="fr-CA"/>
              </w:rPr>
            </w:pPr>
            <w:r w:rsidRPr="006729B0">
              <w:rPr>
                <w:b/>
                <w:bCs/>
                <w:lang w:val="fr-CA"/>
              </w:rPr>
              <w:t>b)</w:t>
            </w:r>
            <w:r w:rsidRPr="006729B0">
              <w:rPr>
                <w:lang w:val="fr-CA"/>
              </w:rPr>
              <w:t xml:space="preserve"> ne posent pas de risque indu pour les personnes âgées de moins de dix-huit ans.</w:t>
            </w:r>
          </w:p>
        </w:tc>
      </w:tr>
    </w:tbl>
    <w:bookmarkEnd w:id="30"/>
    <w:p w14:paraId="05FBE2F9" w14:textId="6035667B" w:rsidR="00A50B92" w:rsidRPr="005D3F3F" w:rsidRDefault="005D3F3F" w:rsidP="00D2350C">
      <w:pPr>
        <w:pStyle w:val="Paragraphe"/>
        <w:spacing w:line="280" w:lineRule="exact"/>
        <w:rPr>
          <w:lang w:val="en-US"/>
        </w:rPr>
      </w:pPr>
      <w:r>
        <w:rPr>
          <w:lang w:val="en-CA"/>
        </w:rPr>
        <w:t xml:space="preserve">The former wording of this section referred to the notion of “artistic merit,” while the new provision refers to a “legitimate purpose related to art.” This defence represents a balancing of the protection of children and the freedom of expression. As Sopinka J. </w:t>
      </w:r>
      <w:r w:rsidR="00676E70">
        <w:rPr>
          <w:lang w:val="en-CA"/>
        </w:rPr>
        <w:t>noted</w:t>
      </w:r>
      <w:r>
        <w:rPr>
          <w:lang w:val="en-CA"/>
        </w:rPr>
        <w:t xml:space="preserve"> in </w:t>
      </w:r>
      <w:r>
        <w:rPr>
          <w:i/>
          <w:iCs/>
          <w:lang w:val="en-CA"/>
        </w:rPr>
        <w:t>R. v. Butler</w:t>
      </w:r>
      <w:r>
        <w:rPr>
          <w:lang w:val="en-CA"/>
        </w:rPr>
        <w:t xml:space="preserve">, “Artistic expression rests at the heart of freedom of expression values and any doubt in this regard must be resolved in favour of freedom of expression”: </w:t>
      </w:r>
    </w:p>
    <w:p w14:paraId="2B3F26A0" w14:textId="503F1368" w:rsidR="00A50B92" w:rsidRPr="005D3F3F" w:rsidRDefault="005D3F3F" w:rsidP="00A50B92">
      <w:pPr>
        <w:pStyle w:val="Citationenretrait"/>
        <w:rPr>
          <w:i/>
          <w:iCs/>
          <w:lang w:val="en-US"/>
        </w:rPr>
      </w:pPr>
      <w:bookmarkStart w:id="31" w:name="_Hlk168749298"/>
      <w:r w:rsidRPr="00676E70">
        <w:rPr>
          <w:lang w:val="en-CA"/>
        </w:rPr>
        <w:t xml:space="preserve">The portrayal of sex must then be viewed in context to determine whether that is the dominant theme of the work as a whole. Put another way, is undue exploitation of sex the main object of the work or is this portrayal of sex essential to a wider artistic, literary, or other similar purpose? Since the threshold determination must be made </w:t>
      </w:r>
      <w:proofErr w:type="gramStart"/>
      <w:r w:rsidRPr="00676E70">
        <w:rPr>
          <w:lang w:val="en-CA"/>
        </w:rPr>
        <w:t>on the basis of</w:t>
      </w:r>
      <w:proofErr w:type="gramEnd"/>
      <w:r w:rsidRPr="00676E70">
        <w:rPr>
          <w:lang w:val="en-CA"/>
        </w:rPr>
        <w:t xml:space="preserve"> community standards, that is, whether the sexually explicit aspect is undue, its impact when considered in context must be determined on the same basis. The court must determine whether the sexually explicit material when viewed in the context of the whole work would be tolerated by the </w:t>
      </w:r>
      <w:proofErr w:type="gramStart"/>
      <w:r w:rsidRPr="00676E70">
        <w:rPr>
          <w:lang w:val="en-CA"/>
        </w:rPr>
        <w:t>community as a whole</w:t>
      </w:r>
      <w:proofErr w:type="gramEnd"/>
      <w:r w:rsidRPr="00676E70">
        <w:rPr>
          <w:lang w:val="en-CA"/>
        </w:rPr>
        <w:t>. Artistic expression rests at the heart of freedom of expression values and any doubt in this regard must be resolved in favour of freedom of expression.</w:t>
      </w:r>
      <w:r w:rsidRPr="00676E70">
        <w:rPr>
          <w:rStyle w:val="Appelnotedebasdep"/>
          <w:lang w:val="en-CA"/>
        </w:rPr>
        <w:footnoteReference w:id="42"/>
      </w:r>
    </w:p>
    <w:bookmarkEnd w:id="31"/>
    <w:p w14:paraId="30B99C7F" w14:textId="77777777" w:rsidR="00A50B92" w:rsidRPr="005D3F3F" w:rsidRDefault="005D3F3F" w:rsidP="00C61ADB">
      <w:pPr>
        <w:pStyle w:val="Paragraphe"/>
        <w:spacing w:line="280" w:lineRule="exact"/>
        <w:rPr>
          <w:lang w:val="en-US"/>
        </w:rPr>
      </w:pPr>
      <w:r>
        <w:rPr>
          <w:lang w:val="en-CA"/>
        </w:rPr>
        <w:t>Following this judgment, the Supreme Court clarified that Sopinka J.’s admonition simply means that this defence must be construed broadly.</w:t>
      </w:r>
      <w:r>
        <w:rPr>
          <w:rStyle w:val="Appelnotedebasdep"/>
          <w:lang w:val="en-CA"/>
        </w:rPr>
        <w:footnoteReference w:id="43"/>
      </w:r>
      <w:r>
        <w:rPr>
          <w:lang w:val="en-CA"/>
        </w:rPr>
        <w:t xml:space="preserve"> </w:t>
      </w:r>
    </w:p>
    <w:p w14:paraId="5BB57BD7" w14:textId="01FD909F" w:rsidR="00A50B92" w:rsidRPr="005D3F3F" w:rsidRDefault="005D3F3F" w:rsidP="00C61ADB">
      <w:pPr>
        <w:pStyle w:val="Paragraphe"/>
        <w:spacing w:line="280" w:lineRule="exact"/>
        <w:rPr>
          <w:lang w:val="en-US"/>
        </w:rPr>
      </w:pPr>
      <w:r>
        <w:rPr>
          <w:lang w:val="en-CA"/>
        </w:rPr>
        <w:t xml:space="preserve">Finally, it emerges from </w:t>
      </w:r>
      <w:r>
        <w:rPr>
          <w:i/>
          <w:iCs/>
          <w:lang w:val="en-CA"/>
        </w:rPr>
        <w:t xml:space="preserve">Sharpe </w:t>
      </w:r>
      <w:r>
        <w:rPr>
          <w:lang w:val="en-CA"/>
        </w:rPr>
        <w:t>that certain factors may be examined to establish what can reasonably be regarded as art. These factors are: (i) the subjective intention of the creator, which will be relevant, although unlikely to be conclusive; (ii) the form and content of the work; (iii) its connections with artistic conventions, traditions or style; (iv) the opinion of experts; and (v) the mode of production, display and/or distribution.</w:t>
      </w:r>
      <w:r>
        <w:rPr>
          <w:rStyle w:val="Appelnotedebasdep"/>
          <w:lang w:val="en-CA"/>
        </w:rPr>
        <w:footnoteReference w:id="44"/>
      </w:r>
      <w:r>
        <w:rPr>
          <w:lang w:val="en-CA"/>
        </w:rPr>
        <w:t xml:space="preserve"> </w:t>
      </w:r>
      <w:r>
        <w:rPr>
          <w:lang w:val="en-CA"/>
        </w:rPr>
        <w:lastRenderedPageBreak/>
        <w:t xml:space="preserve">However, it is not appropriate to focus on compliance of the work with community standards, as this would </w:t>
      </w:r>
      <w:r w:rsidR="00BB38A9">
        <w:rPr>
          <w:lang w:val="en-CA"/>
        </w:rPr>
        <w:t>deprive</w:t>
      </w:r>
      <w:r>
        <w:rPr>
          <w:lang w:val="en-CA"/>
        </w:rPr>
        <w:t xml:space="preserve"> the defence</w:t>
      </w:r>
      <w:r w:rsidR="00BB38A9">
        <w:rPr>
          <w:lang w:val="en-CA"/>
        </w:rPr>
        <w:t xml:space="preserve"> of its substance</w:t>
      </w:r>
      <w:r>
        <w:rPr>
          <w:lang w:val="en-CA"/>
        </w:rPr>
        <w:t>.</w:t>
      </w:r>
      <w:r>
        <w:rPr>
          <w:rStyle w:val="Appelnotedebasdep"/>
          <w:lang w:val="en-CA"/>
        </w:rPr>
        <w:footnoteReference w:id="45"/>
      </w:r>
      <w:r>
        <w:rPr>
          <w:lang w:val="en-CA"/>
        </w:rPr>
        <w:t xml:space="preserve"> </w:t>
      </w:r>
    </w:p>
    <w:p w14:paraId="5C5CE0CA" w14:textId="4581F8E4" w:rsidR="00A50B92" w:rsidRPr="005D3F3F" w:rsidRDefault="005D3F3F" w:rsidP="00C61ADB">
      <w:pPr>
        <w:pStyle w:val="Paragraphe"/>
        <w:spacing w:line="280" w:lineRule="exact"/>
        <w:rPr>
          <w:lang w:val="en-US"/>
        </w:rPr>
      </w:pPr>
      <w:r>
        <w:rPr>
          <w:lang w:val="en-CA"/>
        </w:rPr>
        <w:t xml:space="preserve">In this case, the </w:t>
      </w:r>
      <w:r w:rsidR="004A38D4">
        <w:rPr>
          <w:lang w:val="en-CA"/>
        </w:rPr>
        <w:t xml:space="preserve">work is not the </w:t>
      </w:r>
      <w:r>
        <w:rPr>
          <w:lang w:val="en-CA"/>
        </w:rPr>
        <w:t xml:space="preserve">doll. It was intended to serve only as an accessory to </w:t>
      </w:r>
      <w:r w:rsidR="00A955DC">
        <w:rPr>
          <w:lang w:val="en-CA"/>
        </w:rPr>
        <w:t xml:space="preserve">the </w:t>
      </w:r>
      <w:r w:rsidR="002743F9">
        <w:rPr>
          <w:lang w:val="en-CA"/>
        </w:rPr>
        <w:t>creation</w:t>
      </w:r>
      <w:r w:rsidR="00A955DC">
        <w:rPr>
          <w:lang w:val="en-CA"/>
        </w:rPr>
        <w:t xml:space="preserve"> of the work</w:t>
      </w:r>
      <w:r>
        <w:rPr>
          <w:lang w:val="en-CA"/>
        </w:rPr>
        <w:t xml:space="preserve">. This raises the question of whether the defence of legitimate purpose can be invoked. In my </w:t>
      </w:r>
      <w:r w:rsidR="00F4308A">
        <w:rPr>
          <w:lang w:val="en-CA"/>
        </w:rPr>
        <w:t>view</w:t>
      </w:r>
      <w:r>
        <w:rPr>
          <w:lang w:val="en-CA"/>
        </w:rPr>
        <w:t xml:space="preserve">, it </w:t>
      </w:r>
      <w:r w:rsidR="004A38D4">
        <w:rPr>
          <w:lang w:val="en-CA"/>
        </w:rPr>
        <w:t>can be</w:t>
      </w:r>
      <w:r>
        <w:rPr>
          <w:lang w:val="en-CA"/>
        </w:rPr>
        <w:t xml:space="preserve">. Indeed, the appellant is </w:t>
      </w:r>
      <w:r w:rsidR="0097246C">
        <w:rPr>
          <w:lang w:val="en-CA"/>
        </w:rPr>
        <w:t>charged with the offence</w:t>
      </w:r>
      <w:r>
        <w:rPr>
          <w:lang w:val="en-CA"/>
        </w:rPr>
        <w:t xml:space="preserve"> of possession of child pornography (</w:t>
      </w:r>
      <w:r w:rsidR="004A38D4">
        <w:rPr>
          <w:lang w:val="en-CA"/>
        </w:rPr>
        <w:t>s</w:t>
      </w:r>
      <w:r>
        <w:rPr>
          <w:lang w:val="en-CA"/>
        </w:rPr>
        <w:t>. 613(4)</w:t>
      </w:r>
      <w:r w:rsidR="004A38D4">
        <w:rPr>
          <w:lang w:val="en-CA"/>
        </w:rPr>
        <w:t>(</w:t>
      </w:r>
      <w:r>
        <w:rPr>
          <w:i/>
          <w:iCs/>
          <w:lang w:val="en-CA"/>
        </w:rPr>
        <w:t>a</w:t>
      </w:r>
      <w:r>
        <w:rPr>
          <w:lang w:val="en-CA"/>
        </w:rPr>
        <w:t xml:space="preserve">) </w:t>
      </w:r>
      <w:r w:rsidRPr="0097246C">
        <w:rPr>
          <w:i/>
          <w:iCs/>
          <w:lang w:val="en-CA"/>
        </w:rPr>
        <w:t>Cr.</w:t>
      </w:r>
      <w:r w:rsidR="0097246C">
        <w:rPr>
          <w:i/>
          <w:iCs/>
          <w:lang w:val="en-CA"/>
        </w:rPr>
        <w:t xml:space="preserve"> </w:t>
      </w:r>
      <w:r w:rsidRPr="0097246C">
        <w:rPr>
          <w:i/>
          <w:iCs/>
          <w:lang w:val="en-CA"/>
        </w:rPr>
        <w:t>C</w:t>
      </w:r>
      <w:r w:rsidR="0097246C">
        <w:rPr>
          <w:lang w:val="en-CA"/>
        </w:rPr>
        <w:t>.</w:t>
      </w:r>
      <w:r>
        <w:rPr>
          <w:lang w:val="en-CA"/>
        </w:rPr>
        <w:t xml:space="preserve">). However, the defence, </w:t>
      </w:r>
      <w:r w:rsidR="004A38D4">
        <w:rPr>
          <w:lang w:val="en-CA"/>
        </w:rPr>
        <w:t>provided in</w:t>
      </w:r>
      <w:r>
        <w:rPr>
          <w:lang w:val="en-CA"/>
        </w:rPr>
        <w:t xml:space="preserve"> </w:t>
      </w:r>
      <w:r w:rsidR="0097246C">
        <w:rPr>
          <w:lang w:val="en-CA"/>
        </w:rPr>
        <w:t>s.</w:t>
      </w:r>
      <w:r>
        <w:rPr>
          <w:lang w:val="en-CA"/>
        </w:rPr>
        <w:t xml:space="preserve"> 613(6)</w:t>
      </w:r>
      <w:r w:rsidR="004A38D4">
        <w:rPr>
          <w:lang w:val="en-CA"/>
        </w:rPr>
        <w:t>(</w:t>
      </w:r>
      <w:r>
        <w:rPr>
          <w:i/>
          <w:iCs/>
          <w:lang w:val="en-CA"/>
        </w:rPr>
        <w:t>a</w:t>
      </w:r>
      <w:r>
        <w:rPr>
          <w:lang w:val="en-CA"/>
        </w:rPr>
        <w:t xml:space="preserve">) </w:t>
      </w:r>
      <w:r w:rsidRPr="0097246C">
        <w:rPr>
          <w:i/>
          <w:iCs/>
          <w:lang w:val="en-CA"/>
        </w:rPr>
        <w:t>Cr.</w:t>
      </w:r>
      <w:r w:rsidR="0097246C">
        <w:rPr>
          <w:i/>
          <w:iCs/>
          <w:lang w:val="en-CA"/>
        </w:rPr>
        <w:t xml:space="preserve"> </w:t>
      </w:r>
      <w:r w:rsidRPr="0097246C">
        <w:rPr>
          <w:i/>
          <w:iCs/>
          <w:lang w:val="en-CA"/>
        </w:rPr>
        <w:t>C</w:t>
      </w:r>
      <w:r w:rsidR="0097246C">
        <w:rPr>
          <w:i/>
          <w:iCs/>
          <w:lang w:val="en-CA"/>
        </w:rPr>
        <w:t>.</w:t>
      </w:r>
      <w:r>
        <w:rPr>
          <w:lang w:val="en-CA"/>
        </w:rPr>
        <w:t xml:space="preserve">, applies where the act that constitutes the offence, in this case possession, has a legitimate purpose related to art. </w:t>
      </w:r>
      <w:r w:rsidR="00F44DBA">
        <w:rPr>
          <w:lang w:val="en-CA"/>
        </w:rPr>
        <w:t>Because of t</w:t>
      </w:r>
      <w:r>
        <w:rPr>
          <w:lang w:val="en-CA"/>
        </w:rPr>
        <w:t>he broad interpretation to be given to this defence</w:t>
      </w:r>
      <w:r w:rsidR="00F44DBA">
        <w:rPr>
          <w:lang w:val="en-CA"/>
        </w:rPr>
        <w:t>,</w:t>
      </w:r>
      <w:r>
        <w:rPr>
          <w:lang w:val="en-CA"/>
        </w:rPr>
        <w:t xml:space="preserve"> it </w:t>
      </w:r>
      <w:r w:rsidR="00F44DBA">
        <w:rPr>
          <w:lang w:val="en-CA"/>
        </w:rPr>
        <w:t xml:space="preserve">is </w:t>
      </w:r>
      <w:r>
        <w:rPr>
          <w:lang w:val="en-CA"/>
        </w:rPr>
        <w:t xml:space="preserve">possible to consider an art project that </w:t>
      </w:r>
      <w:r w:rsidR="00D1437D">
        <w:rPr>
          <w:lang w:val="en-CA"/>
        </w:rPr>
        <w:t xml:space="preserve">will be </w:t>
      </w:r>
      <w:r w:rsidR="002743F9">
        <w:rPr>
          <w:lang w:val="en-CA"/>
        </w:rPr>
        <w:t>created</w:t>
      </w:r>
      <w:r>
        <w:rPr>
          <w:lang w:val="en-CA"/>
        </w:rPr>
        <w:t xml:space="preserve"> (but does not yet exist) using an object that constitutes child pornography.</w:t>
      </w:r>
    </w:p>
    <w:p w14:paraId="72287E9F" w14:textId="77777777" w:rsidR="00A50B92" w:rsidRPr="005D3F3F" w:rsidRDefault="005D3F3F" w:rsidP="00C61ADB">
      <w:pPr>
        <w:pStyle w:val="Paragraphe"/>
        <w:spacing w:line="280" w:lineRule="exact"/>
        <w:rPr>
          <w:lang w:val="en-US"/>
        </w:rPr>
      </w:pPr>
      <w:r>
        <w:rPr>
          <w:lang w:val="en-CA"/>
        </w:rPr>
        <w:t xml:space="preserve">In </w:t>
      </w:r>
      <w:r>
        <w:rPr>
          <w:i/>
          <w:iCs/>
          <w:lang w:val="en-CA"/>
        </w:rPr>
        <w:t>Sharpe</w:t>
      </w:r>
      <w:r>
        <w:rPr>
          <w:lang w:val="en-CA"/>
        </w:rPr>
        <w:t>, the Supreme Court explains the procedure to be followed when a defence based on a legitimate purpose related to art is raised:</w:t>
      </w:r>
    </w:p>
    <w:p w14:paraId="168E806B" w14:textId="656C4DA3" w:rsidR="00A50B92" w:rsidRPr="005D3F3F" w:rsidRDefault="005D3F3F" w:rsidP="00A50B92">
      <w:pPr>
        <w:pStyle w:val="Citationenretrait"/>
        <w:rPr>
          <w:lang w:val="en-US"/>
        </w:rPr>
      </w:pPr>
      <w:r>
        <w:rPr>
          <w:lang w:val="en-CA"/>
        </w:rPr>
        <w:t>[66]</w:t>
      </w:r>
      <w:r>
        <w:rPr>
          <w:lang w:val="en-CA"/>
        </w:rPr>
        <w:tab/>
      </w:r>
      <w:bookmarkStart w:id="32" w:name="_Hlk168749305"/>
      <w:r w:rsidRPr="002743F9">
        <w:rPr>
          <w:lang w:val="en-CA"/>
        </w:rPr>
        <w:t xml:space="preserve">The third issue is how the artistic merit defence functions procedurally. The test, as mentioned, is objective. The wording of the section suggests that it functions in the same manner as other defences such as self defence, </w:t>
      </w:r>
      <w:proofErr w:type="gramStart"/>
      <w:r w:rsidRPr="002743F9">
        <w:rPr>
          <w:lang w:val="en-CA"/>
        </w:rPr>
        <w:t>provocation</w:t>
      </w:r>
      <w:proofErr w:type="gramEnd"/>
      <w:r w:rsidRPr="002743F9">
        <w:rPr>
          <w:lang w:val="en-CA"/>
        </w:rPr>
        <w:t xml:space="preserve"> or necessity. The accused raises the defence by pointing to facts capable of supporting it (generally something more than a bare assertion that the creator subjectively intended to create art), at which point the Crown must disprove the defence beyond a reasonable doubt: see </w:t>
      </w:r>
      <w:r w:rsidRPr="002743F9">
        <w:rPr>
          <w:i/>
          <w:iCs/>
          <w:lang w:val="en-CA"/>
        </w:rPr>
        <w:t>Langer</w:t>
      </w:r>
      <w:r w:rsidRPr="002743F9">
        <w:rPr>
          <w:lang w:val="en-CA"/>
        </w:rPr>
        <w:t>,</w:t>
      </w:r>
      <w:r w:rsidRPr="002743F9">
        <w:rPr>
          <w:i/>
          <w:iCs/>
          <w:lang w:val="en-CA"/>
        </w:rPr>
        <w:t xml:space="preserve"> supra.</w:t>
      </w:r>
      <w:r w:rsidRPr="002743F9">
        <w:rPr>
          <w:rStyle w:val="Appelnotedebasdep"/>
          <w:lang w:val="en-CA"/>
        </w:rPr>
        <w:footnoteReference w:id="46"/>
      </w:r>
      <w:bookmarkEnd w:id="32"/>
    </w:p>
    <w:p w14:paraId="73E136A6" w14:textId="26360E6F" w:rsidR="00A50B92" w:rsidRPr="005D3F3F" w:rsidRDefault="005D3F3F" w:rsidP="00C61ADB">
      <w:pPr>
        <w:pStyle w:val="Paragraphe"/>
        <w:spacing w:line="280" w:lineRule="exact"/>
        <w:rPr>
          <w:lang w:val="en-US"/>
        </w:rPr>
      </w:pPr>
      <w:r>
        <w:rPr>
          <w:lang w:val="en-CA"/>
        </w:rPr>
        <w:t xml:space="preserve">When the </w:t>
      </w:r>
      <w:r w:rsidR="00BB448E">
        <w:rPr>
          <w:lang w:val="en-CA"/>
        </w:rPr>
        <w:t>air of reality</w:t>
      </w:r>
      <w:r>
        <w:rPr>
          <w:lang w:val="en-CA"/>
        </w:rPr>
        <w:t xml:space="preserve"> of the defence of a legitimate purpose related to art is established, </w:t>
      </w:r>
      <w:r w:rsidR="002743F9">
        <w:rPr>
          <w:lang w:val="en-CA"/>
        </w:rPr>
        <w:t>which</w:t>
      </w:r>
      <w:r>
        <w:rPr>
          <w:lang w:val="en-CA"/>
        </w:rPr>
        <w:t xml:space="preserve"> the respondent</w:t>
      </w:r>
      <w:r w:rsidR="002743F9">
        <w:rPr>
          <w:lang w:val="en-CA"/>
        </w:rPr>
        <w:t xml:space="preserve"> acknowledges</w:t>
      </w:r>
      <w:r>
        <w:rPr>
          <w:lang w:val="en-CA"/>
        </w:rPr>
        <w:t xml:space="preserve"> in this case, it is therefore up to the respondent to refute it beyond a reasonable doubt. </w:t>
      </w:r>
    </w:p>
    <w:p w14:paraId="21FA7DD6" w14:textId="39E8240E" w:rsidR="00A50B92" w:rsidRDefault="005D3F3F" w:rsidP="00C61ADB">
      <w:pPr>
        <w:pStyle w:val="Paragraphe"/>
        <w:spacing w:line="280" w:lineRule="exact"/>
      </w:pPr>
      <w:bookmarkStart w:id="33" w:name="_bookmark38"/>
      <w:bookmarkEnd w:id="33"/>
      <w:r>
        <w:rPr>
          <w:lang w:val="en-CA"/>
        </w:rPr>
        <w:t xml:space="preserve">According to the appellant, the judge </w:t>
      </w:r>
      <w:r w:rsidR="002743F9">
        <w:rPr>
          <w:lang w:val="en-CA"/>
        </w:rPr>
        <w:t>erred</w:t>
      </w:r>
      <w:r>
        <w:rPr>
          <w:lang w:val="en-CA"/>
        </w:rPr>
        <w:t xml:space="preserve"> in </w:t>
      </w:r>
      <w:r w:rsidR="002743F9">
        <w:rPr>
          <w:lang w:val="en-CA"/>
        </w:rPr>
        <w:t xml:space="preserve">her </w:t>
      </w:r>
      <w:r>
        <w:rPr>
          <w:lang w:val="en-CA"/>
        </w:rPr>
        <w:t>assess</w:t>
      </w:r>
      <w:r w:rsidR="002743F9">
        <w:rPr>
          <w:lang w:val="en-CA"/>
        </w:rPr>
        <w:t xml:space="preserve">ment of </w:t>
      </w:r>
      <w:r>
        <w:rPr>
          <w:lang w:val="en-CA"/>
        </w:rPr>
        <w:t>his credibility because she did not consider certain un</w:t>
      </w:r>
      <w:r w:rsidR="002743F9">
        <w:rPr>
          <w:lang w:val="en-CA"/>
        </w:rPr>
        <w:t>contested</w:t>
      </w:r>
      <w:r>
        <w:rPr>
          <w:lang w:val="en-CA"/>
        </w:rPr>
        <w:t xml:space="preserve"> contextual elements corroborat</w:t>
      </w:r>
      <w:r w:rsidR="002743F9">
        <w:rPr>
          <w:lang w:val="en-CA"/>
        </w:rPr>
        <w:t>ing</w:t>
      </w:r>
      <w:r>
        <w:rPr>
          <w:lang w:val="en-CA"/>
        </w:rPr>
        <w:t xml:space="preserve"> his testimony about his artistic project and likely to raise a reasonable doubt regarding his defence. These elements are as follows: </w:t>
      </w:r>
    </w:p>
    <w:p w14:paraId="21BA3437" w14:textId="464676E6" w:rsidR="00A50B92" w:rsidRPr="005D3F3F" w:rsidRDefault="00E07E24" w:rsidP="00C61ADB">
      <w:pPr>
        <w:pStyle w:val="Paragraphe"/>
        <w:numPr>
          <w:ilvl w:val="0"/>
          <w:numId w:val="19"/>
        </w:numPr>
        <w:tabs>
          <w:tab w:val="clear" w:pos="720"/>
          <w:tab w:val="num" w:pos="1080"/>
        </w:tabs>
        <w:spacing w:line="280" w:lineRule="exact"/>
        <w:ind w:left="720"/>
        <w:rPr>
          <w:lang w:val="en-US"/>
        </w:rPr>
      </w:pPr>
      <w:r>
        <w:rPr>
          <w:lang w:val="en-CA"/>
        </w:rPr>
        <w:t>On the day of his arrest, h</w:t>
      </w:r>
      <w:r w:rsidR="005D3F3F">
        <w:rPr>
          <w:lang w:val="en-CA"/>
        </w:rPr>
        <w:t xml:space="preserve">e </w:t>
      </w:r>
      <w:r>
        <w:rPr>
          <w:lang w:val="en-CA"/>
        </w:rPr>
        <w:t>purposely</w:t>
      </w:r>
      <w:r w:rsidR="005D3F3F">
        <w:rPr>
          <w:lang w:val="en-CA"/>
        </w:rPr>
        <w:t xml:space="preserve"> brought a</w:t>
      </w:r>
      <w:r w:rsidR="00D9340F">
        <w:rPr>
          <w:lang w:val="en-CA"/>
        </w:rPr>
        <w:t xml:space="preserve"> sample </w:t>
      </w:r>
      <w:r w:rsidR="005D3F3F">
        <w:rPr>
          <w:lang w:val="en-CA"/>
        </w:rPr>
        <w:t xml:space="preserve">historical dress to the police </w:t>
      </w:r>
      <w:proofErr w:type="gramStart"/>
      <w:r w:rsidR="005D3F3F">
        <w:rPr>
          <w:lang w:val="en-CA"/>
        </w:rPr>
        <w:t>station;</w:t>
      </w:r>
      <w:proofErr w:type="gramEnd"/>
    </w:p>
    <w:p w14:paraId="7F71E1AA" w14:textId="77777777" w:rsidR="00A50B92" w:rsidRPr="005D3F3F" w:rsidRDefault="005D3F3F" w:rsidP="00C61ADB">
      <w:pPr>
        <w:pStyle w:val="Paragraphe"/>
        <w:numPr>
          <w:ilvl w:val="0"/>
          <w:numId w:val="19"/>
        </w:numPr>
        <w:tabs>
          <w:tab w:val="clear" w:pos="720"/>
          <w:tab w:val="num" w:pos="1080"/>
        </w:tabs>
        <w:spacing w:line="280" w:lineRule="exact"/>
        <w:ind w:left="720"/>
        <w:rPr>
          <w:lang w:val="en-US"/>
        </w:rPr>
      </w:pPr>
      <w:r>
        <w:rPr>
          <w:lang w:val="en-CA"/>
        </w:rPr>
        <w:t xml:space="preserve">No trace of sperm was found either on or in the doll, even though he was in possession of the doll for at least one </w:t>
      </w:r>
      <w:proofErr w:type="gramStart"/>
      <w:r>
        <w:rPr>
          <w:lang w:val="en-CA"/>
        </w:rPr>
        <w:t>month;</w:t>
      </w:r>
      <w:proofErr w:type="gramEnd"/>
    </w:p>
    <w:p w14:paraId="4EEB4618" w14:textId="7C6E77C5" w:rsidR="00A50B92" w:rsidRPr="005D3F3F" w:rsidRDefault="005D3F3F" w:rsidP="00C61ADB">
      <w:pPr>
        <w:pStyle w:val="Paragraphe"/>
        <w:numPr>
          <w:ilvl w:val="0"/>
          <w:numId w:val="19"/>
        </w:numPr>
        <w:tabs>
          <w:tab w:val="clear" w:pos="720"/>
          <w:tab w:val="num" w:pos="1080"/>
        </w:tabs>
        <w:spacing w:line="280" w:lineRule="exact"/>
        <w:ind w:left="720"/>
        <w:rPr>
          <w:lang w:val="en-US"/>
        </w:rPr>
      </w:pPr>
      <w:r>
        <w:rPr>
          <w:lang w:val="en-CA"/>
        </w:rPr>
        <w:t>On his return from Montr</w:t>
      </w:r>
      <w:r w:rsidR="00E07E24">
        <w:rPr>
          <w:lang w:val="en-CA"/>
        </w:rPr>
        <w:t>e</w:t>
      </w:r>
      <w:r>
        <w:rPr>
          <w:lang w:val="en-CA"/>
        </w:rPr>
        <w:t xml:space="preserve">al on August 22, 2020, he had in his possession historical Chinese dresses, which were not in the apartment during the search on August 12, </w:t>
      </w:r>
      <w:proofErr w:type="gramStart"/>
      <w:r>
        <w:rPr>
          <w:lang w:val="en-CA"/>
        </w:rPr>
        <w:t>2020;</w:t>
      </w:r>
      <w:proofErr w:type="gramEnd"/>
    </w:p>
    <w:p w14:paraId="32ECF2FE" w14:textId="02D4765E" w:rsidR="00A50B92" w:rsidRPr="005D3F3F" w:rsidRDefault="005D3F3F" w:rsidP="00C61ADB">
      <w:pPr>
        <w:pStyle w:val="Paragraphe"/>
        <w:numPr>
          <w:ilvl w:val="0"/>
          <w:numId w:val="19"/>
        </w:numPr>
        <w:tabs>
          <w:tab w:val="clear" w:pos="720"/>
          <w:tab w:val="num" w:pos="1080"/>
        </w:tabs>
        <w:spacing w:line="280" w:lineRule="exact"/>
        <w:ind w:left="720"/>
        <w:rPr>
          <w:lang w:val="en-US"/>
        </w:rPr>
      </w:pPr>
      <w:r>
        <w:rPr>
          <w:lang w:val="en-CA"/>
        </w:rPr>
        <w:lastRenderedPageBreak/>
        <w:t xml:space="preserve">He cooperated fully with the police process and was described as </w:t>
      </w:r>
      <w:r w:rsidR="00BB448E">
        <w:rPr>
          <w:lang w:val="en-CA"/>
        </w:rPr>
        <w:t>appearing</w:t>
      </w:r>
      <w:r>
        <w:rPr>
          <w:lang w:val="en-CA"/>
        </w:rPr>
        <w:t xml:space="preserve"> </w:t>
      </w:r>
      <w:r w:rsidR="00BB448E">
        <w:rPr>
          <w:lang w:val="en-CA"/>
        </w:rPr>
        <w:t xml:space="preserve">to be </w:t>
      </w:r>
      <w:r>
        <w:rPr>
          <w:lang w:val="en-CA"/>
        </w:rPr>
        <w:t>lost when he was arrested.</w:t>
      </w:r>
    </w:p>
    <w:p w14:paraId="4732BFCF" w14:textId="0DEEDC6C" w:rsidR="00A50B92" w:rsidRPr="005D3F3F" w:rsidRDefault="005D3F3F" w:rsidP="00C61ADB">
      <w:pPr>
        <w:pStyle w:val="Paragraphe"/>
        <w:spacing w:line="280" w:lineRule="exact"/>
        <w:rPr>
          <w:lang w:val="en-US"/>
        </w:rPr>
      </w:pPr>
      <w:r>
        <w:rPr>
          <w:lang w:val="en-CA"/>
        </w:rPr>
        <w:t xml:space="preserve">With respect to the fact that he brought a dress to the police station to explain his project, the appellant </w:t>
      </w:r>
      <w:r w:rsidR="00234F91">
        <w:rPr>
          <w:lang w:val="en-CA"/>
        </w:rPr>
        <w:t>argues</w:t>
      </w:r>
      <w:r>
        <w:rPr>
          <w:lang w:val="en-CA"/>
        </w:rPr>
        <w:t xml:space="preserve"> that the judge </w:t>
      </w:r>
      <w:r w:rsidR="00234F91">
        <w:rPr>
          <w:lang w:val="en-CA"/>
        </w:rPr>
        <w:t>undermined</w:t>
      </w:r>
      <w:r>
        <w:rPr>
          <w:lang w:val="en-CA"/>
        </w:rPr>
        <w:t xml:space="preserve"> the probative value of this evidence </w:t>
      </w:r>
      <w:r w:rsidR="002F6AC2">
        <w:rPr>
          <w:lang w:val="en-CA"/>
        </w:rPr>
        <w:t xml:space="preserve">in </w:t>
      </w:r>
      <w:proofErr w:type="gramStart"/>
      <w:r w:rsidR="002F6AC2">
        <w:rPr>
          <w:lang w:val="en-CA"/>
        </w:rPr>
        <w:t>taking into account</w:t>
      </w:r>
      <w:proofErr w:type="gramEnd"/>
      <w:r w:rsidR="002F6AC2">
        <w:rPr>
          <w:lang w:val="en-CA"/>
        </w:rPr>
        <w:t xml:space="preserve"> the fact that he did not take it </w:t>
      </w:r>
      <w:r>
        <w:rPr>
          <w:lang w:val="en-CA"/>
        </w:rPr>
        <w:t xml:space="preserve">out of the backpack before the </w:t>
      </w:r>
      <w:r w:rsidR="002F6AC2">
        <w:rPr>
          <w:lang w:val="en-CA"/>
        </w:rPr>
        <w:t xml:space="preserve">police </w:t>
      </w:r>
      <w:r>
        <w:rPr>
          <w:lang w:val="en-CA"/>
        </w:rPr>
        <w:t>officer discovered it when searching the backpack. The appellant then twice tried to put the dress back in the ba</w:t>
      </w:r>
      <w:r w:rsidR="009247E0">
        <w:rPr>
          <w:lang w:val="en-CA"/>
        </w:rPr>
        <w:t>ckpack</w:t>
      </w:r>
      <w:r>
        <w:rPr>
          <w:lang w:val="en-CA"/>
        </w:rPr>
        <w:t>.</w:t>
      </w:r>
      <w:r>
        <w:rPr>
          <w:vertAlign w:val="superscript"/>
          <w:lang w:val="en-CA"/>
        </w:rPr>
        <w:footnoteReference w:id="47"/>
      </w:r>
      <w:r>
        <w:rPr>
          <w:lang w:val="en-CA"/>
        </w:rPr>
        <w:t xml:space="preserve"> </w:t>
      </w:r>
      <w:r w:rsidR="009247E0">
        <w:rPr>
          <w:lang w:val="en-CA"/>
        </w:rPr>
        <w:t>The interpreter was not present when this incident occurred</w:t>
      </w:r>
      <w:r>
        <w:rPr>
          <w:lang w:val="en-CA"/>
        </w:rPr>
        <w:t xml:space="preserve"> </w:t>
      </w:r>
      <w:r w:rsidR="00A45A61">
        <w:rPr>
          <w:lang w:val="en-CA"/>
        </w:rPr>
        <w:t>even though there was</w:t>
      </w:r>
      <w:r>
        <w:rPr>
          <w:lang w:val="en-CA"/>
        </w:rPr>
        <w:t xml:space="preserve"> an obvious </w:t>
      </w:r>
      <w:r w:rsidR="00BB448E">
        <w:rPr>
          <w:lang w:val="en-CA"/>
        </w:rPr>
        <w:t>language</w:t>
      </w:r>
      <w:r>
        <w:rPr>
          <w:lang w:val="en-CA"/>
        </w:rPr>
        <w:t xml:space="preserve"> barrier. </w:t>
      </w:r>
      <w:r w:rsidR="00A45A61">
        <w:rPr>
          <w:lang w:val="en-CA"/>
        </w:rPr>
        <w:t>It is clear, however,</w:t>
      </w:r>
      <w:r>
        <w:rPr>
          <w:lang w:val="en-CA"/>
        </w:rPr>
        <w:t xml:space="preserve"> that the appellant brought the dress </w:t>
      </w:r>
      <w:r w:rsidR="00647970">
        <w:rPr>
          <w:lang w:val="en-CA"/>
        </w:rPr>
        <w:t>on</w:t>
      </w:r>
      <w:r>
        <w:rPr>
          <w:lang w:val="en-CA"/>
        </w:rPr>
        <w:t xml:space="preserve"> his own initiative. The respondent also acknowledges that </w:t>
      </w:r>
      <w:r w:rsidR="00647970">
        <w:rPr>
          <w:lang w:val="en-CA"/>
        </w:rPr>
        <w:t>the appellant</w:t>
      </w:r>
      <w:r>
        <w:rPr>
          <w:lang w:val="en-CA"/>
        </w:rPr>
        <w:t xml:space="preserve"> </w:t>
      </w:r>
      <w:r w:rsidR="00BB448E">
        <w:rPr>
          <w:lang w:val="en-CA"/>
        </w:rPr>
        <w:t>appeare</w:t>
      </w:r>
      <w:r>
        <w:rPr>
          <w:lang w:val="en-CA"/>
        </w:rPr>
        <w:t xml:space="preserve">d </w:t>
      </w:r>
      <w:r w:rsidR="00BB448E">
        <w:rPr>
          <w:lang w:val="en-CA"/>
        </w:rPr>
        <w:t xml:space="preserve">to be </w:t>
      </w:r>
      <w:r>
        <w:rPr>
          <w:lang w:val="en-CA"/>
        </w:rPr>
        <w:t>lost when he was arrested at the station.</w:t>
      </w:r>
    </w:p>
    <w:p w14:paraId="00F53142" w14:textId="53062BD5" w:rsidR="00A50B92" w:rsidRPr="005D3F3F" w:rsidRDefault="005D3F3F" w:rsidP="00C61ADB">
      <w:pPr>
        <w:pStyle w:val="Paragraphe"/>
        <w:spacing w:line="280" w:lineRule="exact"/>
        <w:rPr>
          <w:lang w:val="en-US"/>
        </w:rPr>
      </w:pPr>
      <w:r>
        <w:rPr>
          <w:lang w:val="en-CA"/>
        </w:rPr>
        <w:t xml:space="preserve">This is a factual determination by the judge, and she was best placed to assess the </w:t>
      </w:r>
      <w:r w:rsidR="00647970">
        <w:rPr>
          <w:lang w:val="en-CA"/>
        </w:rPr>
        <w:t>whole</w:t>
      </w:r>
      <w:r>
        <w:rPr>
          <w:lang w:val="en-CA"/>
        </w:rPr>
        <w:t xml:space="preserve"> of the evidence concerning the </w:t>
      </w:r>
      <w:r w:rsidR="00647970">
        <w:rPr>
          <w:lang w:val="en-CA"/>
        </w:rPr>
        <w:t xml:space="preserve">search of the </w:t>
      </w:r>
      <w:r>
        <w:rPr>
          <w:lang w:val="en-CA"/>
        </w:rPr>
        <w:t xml:space="preserve">backpack. She did not believe the appellant when he claimed to have brought the dress to explain his artistic project because he did not want to show it to the police officer </w:t>
      </w:r>
      <w:r w:rsidR="00647970">
        <w:rPr>
          <w:lang w:val="en-CA"/>
        </w:rPr>
        <w:t>who</w:t>
      </w:r>
      <w:r>
        <w:rPr>
          <w:lang w:val="en-CA"/>
        </w:rPr>
        <w:t xml:space="preserve"> found it in the backpack. The appellant has not </w:t>
      </w:r>
      <w:r w:rsidR="00647970">
        <w:rPr>
          <w:lang w:val="en-CA"/>
        </w:rPr>
        <w:t>established</w:t>
      </w:r>
      <w:r>
        <w:rPr>
          <w:lang w:val="en-CA"/>
        </w:rPr>
        <w:t xml:space="preserve"> any reviewable error in this regard.</w:t>
      </w:r>
    </w:p>
    <w:p w14:paraId="596F6846" w14:textId="2948E363" w:rsidR="00A50B92" w:rsidRDefault="005D3F3F" w:rsidP="00C61ADB">
      <w:pPr>
        <w:pStyle w:val="Paragraphe"/>
        <w:spacing w:line="280" w:lineRule="exact"/>
      </w:pPr>
      <w:r>
        <w:rPr>
          <w:lang w:val="en-CA"/>
        </w:rPr>
        <w:t>The appellant also criticizes the judge for concluding that the absence of sperm on the doll was not likely to raise a reasonable doubt since he had admitted washing it and it was even probable that he did not have time to use it for sexual purposes before the seizure.</w:t>
      </w:r>
      <w:r>
        <w:rPr>
          <w:rStyle w:val="Appelnotedebasdep"/>
          <w:lang w:val="en-CA"/>
        </w:rPr>
        <w:footnoteReference w:id="48"/>
      </w:r>
      <w:r>
        <w:rPr>
          <w:lang w:val="en-CA"/>
        </w:rPr>
        <w:t xml:space="preserve"> The appellant </w:t>
      </w:r>
      <w:r w:rsidR="00647970">
        <w:rPr>
          <w:lang w:val="en-CA"/>
        </w:rPr>
        <w:t>argues</w:t>
      </w:r>
      <w:r>
        <w:rPr>
          <w:lang w:val="en-CA"/>
        </w:rPr>
        <w:t xml:space="preserve"> that this is a </w:t>
      </w:r>
      <w:r w:rsidR="00BB448E">
        <w:rPr>
          <w:lang w:val="en-CA"/>
        </w:rPr>
        <w:t>misapprehension</w:t>
      </w:r>
      <w:r>
        <w:rPr>
          <w:lang w:val="en-CA"/>
        </w:rPr>
        <w:t xml:space="preserve"> of evidence</w:t>
      </w:r>
      <w:r w:rsidR="00BB448E">
        <w:rPr>
          <w:lang w:val="en-CA"/>
        </w:rPr>
        <w:t>,</w:t>
      </w:r>
      <w:r>
        <w:rPr>
          <w:lang w:val="en-CA"/>
        </w:rPr>
        <w:t xml:space="preserve"> since he admitted washing the doll with shower gel when it arrived simply to remove oily substances from the manufacturer. </w:t>
      </w:r>
      <w:r w:rsidR="00A301BB">
        <w:rPr>
          <w:lang w:val="en-CA"/>
        </w:rPr>
        <w:t>Nor could the</w:t>
      </w:r>
      <w:r>
        <w:rPr>
          <w:lang w:val="en-CA"/>
        </w:rPr>
        <w:t xml:space="preserve"> judge speculate and state that there was no trace of sperm on the doll because he did not have time to use it. This statement is not </w:t>
      </w:r>
      <w:r w:rsidR="00A301BB">
        <w:rPr>
          <w:lang w:val="en-CA"/>
        </w:rPr>
        <w:t>based on</w:t>
      </w:r>
      <w:r>
        <w:rPr>
          <w:lang w:val="en-CA"/>
        </w:rPr>
        <w:t xml:space="preserve"> any evidence.</w:t>
      </w:r>
    </w:p>
    <w:p w14:paraId="22002138" w14:textId="24B348B1" w:rsidR="00A50B92" w:rsidRPr="005D3F3F" w:rsidRDefault="005D3F3F" w:rsidP="00C61ADB">
      <w:pPr>
        <w:pStyle w:val="Paragraphe"/>
        <w:spacing w:line="280" w:lineRule="exact"/>
        <w:rPr>
          <w:lang w:val="en-US"/>
        </w:rPr>
      </w:pPr>
      <w:r>
        <w:rPr>
          <w:lang w:val="en-CA"/>
        </w:rPr>
        <w:t xml:space="preserve">It is true that the judge </w:t>
      </w:r>
      <w:r w:rsidR="00A301BB">
        <w:rPr>
          <w:lang w:val="en-CA"/>
        </w:rPr>
        <w:t>could</w:t>
      </w:r>
      <w:r>
        <w:rPr>
          <w:lang w:val="en-CA"/>
        </w:rPr>
        <w:t xml:space="preserve"> not speculate on the appellant’s future intentions regarding the use of the doll for sexual purposes. </w:t>
      </w:r>
      <w:r w:rsidR="00A301BB">
        <w:rPr>
          <w:lang w:val="en-CA"/>
        </w:rPr>
        <w:t>This error</w:t>
      </w:r>
      <w:r>
        <w:rPr>
          <w:lang w:val="en-CA"/>
        </w:rPr>
        <w:t xml:space="preserve"> </w:t>
      </w:r>
      <w:r w:rsidR="00313841">
        <w:rPr>
          <w:lang w:val="en-CA"/>
        </w:rPr>
        <w:t>was</w:t>
      </w:r>
      <w:r>
        <w:rPr>
          <w:lang w:val="en-CA"/>
        </w:rPr>
        <w:t xml:space="preserve"> not de</w:t>
      </w:r>
      <w:r w:rsidR="00313841">
        <w:rPr>
          <w:lang w:val="en-CA"/>
        </w:rPr>
        <w:t>cisive</w:t>
      </w:r>
      <w:r w:rsidR="00A301BB">
        <w:rPr>
          <w:lang w:val="en-CA"/>
        </w:rPr>
        <w:t xml:space="preserve">, however, </w:t>
      </w:r>
      <w:r>
        <w:rPr>
          <w:lang w:val="en-CA"/>
        </w:rPr>
        <w:t>since the respondent did not have to establish use of the doll, only possession without legitimate purpose. The absence of sperm on the doll has no impact on the judge’s finding.</w:t>
      </w:r>
    </w:p>
    <w:p w14:paraId="7A0733D6" w14:textId="269B234B" w:rsidR="00A50B92" w:rsidRPr="005D3F3F" w:rsidRDefault="005D3F3F" w:rsidP="00C61ADB">
      <w:pPr>
        <w:pStyle w:val="Paragraphe"/>
        <w:spacing w:line="280" w:lineRule="exact"/>
        <w:rPr>
          <w:lang w:val="en-US"/>
        </w:rPr>
      </w:pPr>
      <w:r>
        <w:rPr>
          <w:lang w:val="en-CA"/>
        </w:rPr>
        <w:t xml:space="preserve">The appellant also argues that the judge erred </w:t>
      </w:r>
      <w:r w:rsidR="00A301BB">
        <w:rPr>
          <w:lang w:val="en-CA"/>
        </w:rPr>
        <w:t>in</w:t>
      </w:r>
      <w:r>
        <w:rPr>
          <w:lang w:val="en-CA"/>
        </w:rPr>
        <w:t xml:space="preserve"> rejecting his testimony about the fact that</w:t>
      </w:r>
      <w:r w:rsidR="00A301BB">
        <w:rPr>
          <w:lang w:val="en-CA"/>
        </w:rPr>
        <w:t xml:space="preserve">, on his return from Montreal, </w:t>
      </w:r>
      <w:r>
        <w:rPr>
          <w:lang w:val="en-CA"/>
        </w:rPr>
        <w:t>he showed the dresses to Ms. Lanfranc</w:t>
      </w:r>
      <w:r w:rsidR="00A301BB">
        <w:rPr>
          <w:lang w:val="en-CA"/>
        </w:rPr>
        <w:t>,</w:t>
      </w:r>
      <w:r>
        <w:rPr>
          <w:lang w:val="en-CA"/>
        </w:rPr>
        <w:t xml:space="preserve"> and that this corroborates his explanation of their use in his artistic project. The judge considered this to be </w:t>
      </w:r>
      <w:proofErr w:type="spellStart"/>
      <w:r w:rsidR="008E0F3F">
        <w:rPr>
          <w:lang w:val="en-CA"/>
        </w:rPr>
        <w:t>preconstituted</w:t>
      </w:r>
      <w:proofErr w:type="spellEnd"/>
      <w:r w:rsidR="008E0F3F">
        <w:rPr>
          <w:lang w:val="en-CA"/>
        </w:rPr>
        <w:t xml:space="preserve"> evidence</w:t>
      </w:r>
      <w:r>
        <w:rPr>
          <w:lang w:val="en-CA"/>
        </w:rPr>
        <w:t xml:space="preserve"> of low probative value because the appellant had been </w:t>
      </w:r>
      <w:r w:rsidR="00BC076F">
        <w:rPr>
          <w:lang w:val="en-CA"/>
        </w:rPr>
        <w:t xml:space="preserve">informed </w:t>
      </w:r>
      <w:r>
        <w:rPr>
          <w:lang w:val="en-CA"/>
        </w:rPr>
        <w:t xml:space="preserve">of the charge against him. </w:t>
      </w:r>
      <w:r w:rsidR="00BC076F">
        <w:rPr>
          <w:lang w:val="en-CA"/>
        </w:rPr>
        <w:t>He claims, however,</w:t>
      </w:r>
      <w:r>
        <w:rPr>
          <w:lang w:val="en-CA"/>
        </w:rPr>
        <w:t xml:space="preserve"> that there is nothing in the evidence to establish that he knew </w:t>
      </w:r>
      <w:r w:rsidR="00BC076F">
        <w:rPr>
          <w:lang w:val="en-CA"/>
        </w:rPr>
        <w:t xml:space="preserve">of </w:t>
      </w:r>
      <w:r>
        <w:rPr>
          <w:lang w:val="en-CA"/>
        </w:rPr>
        <w:t xml:space="preserve">the nature of the charges prior to his arrest, which was </w:t>
      </w:r>
      <w:proofErr w:type="gramStart"/>
      <w:r w:rsidR="008E0F3F">
        <w:rPr>
          <w:lang w:val="en-CA"/>
        </w:rPr>
        <w:t>subsequent to</w:t>
      </w:r>
      <w:proofErr w:type="gramEnd"/>
      <w:r>
        <w:rPr>
          <w:lang w:val="en-CA"/>
        </w:rPr>
        <w:t xml:space="preserve"> the meeting with Ms. Lanfranc. </w:t>
      </w:r>
    </w:p>
    <w:p w14:paraId="015C986D" w14:textId="7BAC35FD" w:rsidR="00A50B92" w:rsidRPr="005D3F3F" w:rsidRDefault="005D3F3F" w:rsidP="00C61ADB">
      <w:pPr>
        <w:pStyle w:val="Paragraphe"/>
        <w:spacing w:line="280" w:lineRule="exact"/>
        <w:rPr>
          <w:lang w:val="en-US"/>
        </w:rPr>
      </w:pPr>
      <w:r>
        <w:rPr>
          <w:lang w:val="en-CA"/>
        </w:rPr>
        <w:lastRenderedPageBreak/>
        <w:t>Indeed, the evidence does not establish that the appellant was aware of the charge against him when he returned from Montr</w:t>
      </w:r>
      <w:r w:rsidR="00BC076F">
        <w:rPr>
          <w:lang w:val="en-CA"/>
        </w:rPr>
        <w:t>e</w:t>
      </w:r>
      <w:r>
        <w:rPr>
          <w:lang w:val="en-CA"/>
        </w:rPr>
        <w:t xml:space="preserve">al. </w:t>
      </w:r>
      <w:r w:rsidR="00BC076F">
        <w:rPr>
          <w:lang w:val="en-CA"/>
        </w:rPr>
        <w:t>This</w:t>
      </w:r>
      <w:r>
        <w:rPr>
          <w:lang w:val="en-CA"/>
        </w:rPr>
        <w:t xml:space="preserve"> error by the judge </w:t>
      </w:r>
      <w:r w:rsidR="00313841">
        <w:rPr>
          <w:lang w:val="en-CA"/>
        </w:rPr>
        <w:t>was</w:t>
      </w:r>
      <w:r>
        <w:rPr>
          <w:lang w:val="en-CA"/>
        </w:rPr>
        <w:t xml:space="preserve"> not de</w:t>
      </w:r>
      <w:r w:rsidR="00313841">
        <w:rPr>
          <w:lang w:val="en-CA"/>
        </w:rPr>
        <w:t>cisive</w:t>
      </w:r>
      <w:r w:rsidR="00BC076F">
        <w:rPr>
          <w:lang w:val="en-CA"/>
        </w:rPr>
        <w:t>, however, because</w:t>
      </w:r>
      <w:r>
        <w:rPr>
          <w:lang w:val="en-CA"/>
        </w:rPr>
        <w:t xml:space="preserve"> when </w:t>
      </w:r>
      <w:r w:rsidR="00313841">
        <w:rPr>
          <w:lang w:val="en-CA"/>
        </w:rPr>
        <w:t>he</w:t>
      </w:r>
      <w:r>
        <w:rPr>
          <w:lang w:val="en-CA"/>
        </w:rPr>
        <w:t xml:space="preserve"> showed </w:t>
      </w:r>
      <w:r w:rsidR="00313841">
        <w:rPr>
          <w:lang w:val="en-CA"/>
        </w:rPr>
        <w:t xml:space="preserve">her </w:t>
      </w:r>
      <w:r>
        <w:rPr>
          <w:lang w:val="en-CA"/>
        </w:rPr>
        <w:t xml:space="preserve">the dresses Ms. Lanfranc told him that </w:t>
      </w:r>
      <w:r w:rsidR="008E0F3F">
        <w:rPr>
          <w:lang w:val="en-CA"/>
        </w:rPr>
        <w:t xml:space="preserve">such </w:t>
      </w:r>
      <w:r>
        <w:rPr>
          <w:lang w:val="en-CA"/>
        </w:rPr>
        <w:t xml:space="preserve">possession is illegal in Canada. </w:t>
      </w:r>
      <w:r w:rsidR="00313841">
        <w:rPr>
          <w:lang w:val="en-CA"/>
        </w:rPr>
        <w:t>He</w:t>
      </w:r>
      <w:r>
        <w:rPr>
          <w:lang w:val="en-CA"/>
        </w:rPr>
        <w:t xml:space="preserve"> </w:t>
      </w:r>
      <w:r w:rsidR="00BC076F">
        <w:rPr>
          <w:lang w:val="en-CA"/>
        </w:rPr>
        <w:t xml:space="preserve">invited </w:t>
      </w:r>
      <w:r>
        <w:rPr>
          <w:lang w:val="en-CA"/>
        </w:rPr>
        <w:t xml:space="preserve">her into his apartment </w:t>
      </w:r>
      <w:r w:rsidR="00313841">
        <w:rPr>
          <w:lang w:val="en-CA"/>
        </w:rPr>
        <w:t>to convince her of the legitimate purpose of possession of the doll by</w:t>
      </w:r>
      <w:r>
        <w:rPr>
          <w:lang w:val="en-CA"/>
        </w:rPr>
        <w:t xml:space="preserve"> show</w:t>
      </w:r>
      <w:r w:rsidR="00313841">
        <w:rPr>
          <w:lang w:val="en-CA"/>
        </w:rPr>
        <w:t>ing</w:t>
      </w:r>
      <w:r>
        <w:rPr>
          <w:lang w:val="en-CA"/>
        </w:rPr>
        <w:t xml:space="preserve"> her the historical dresses.</w:t>
      </w:r>
    </w:p>
    <w:p w14:paraId="58502E7D" w14:textId="18A0281E" w:rsidR="00A50B92" w:rsidRPr="005D3F3F" w:rsidRDefault="008E0F3F" w:rsidP="00C61ADB">
      <w:pPr>
        <w:pStyle w:val="Paragraphe"/>
        <w:spacing w:line="280" w:lineRule="exact"/>
        <w:rPr>
          <w:lang w:val="en-US"/>
        </w:rPr>
      </w:pPr>
      <w:r>
        <w:rPr>
          <w:lang w:val="en-CA"/>
        </w:rPr>
        <w:t>Finally</w:t>
      </w:r>
      <w:r w:rsidR="005D3F3F">
        <w:rPr>
          <w:lang w:val="en-CA"/>
        </w:rPr>
        <w:t>, the appellant add</w:t>
      </w:r>
      <w:r w:rsidR="008C2955">
        <w:rPr>
          <w:lang w:val="en-CA"/>
        </w:rPr>
        <w:t>ed</w:t>
      </w:r>
      <w:r w:rsidR="005D3F3F">
        <w:rPr>
          <w:lang w:val="en-CA"/>
        </w:rPr>
        <w:t xml:space="preserve"> that the judge erred in </w:t>
      </w:r>
      <w:r w:rsidR="008C2955">
        <w:rPr>
          <w:lang w:val="en-CA"/>
        </w:rPr>
        <w:t>stating</w:t>
      </w:r>
      <w:r w:rsidR="005D3F3F">
        <w:rPr>
          <w:lang w:val="en-CA"/>
        </w:rPr>
        <w:t xml:space="preserve"> that if he wanted to </w:t>
      </w:r>
      <w:r w:rsidR="008C2955">
        <w:rPr>
          <w:lang w:val="en-CA"/>
        </w:rPr>
        <w:t>create</w:t>
      </w:r>
      <w:r w:rsidR="005D3F3F">
        <w:rPr>
          <w:lang w:val="en-CA"/>
        </w:rPr>
        <w:t xml:space="preserve"> a work, he could have </w:t>
      </w:r>
      <w:r w:rsidR="00946B9B">
        <w:rPr>
          <w:lang w:val="en-CA"/>
        </w:rPr>
        <w:t>settled for</w:t>
      </w:r>
      <w:r w:rsidR="005D3F3F">
        <w:rPr>
          <w:lang w:val="en-CA"/>
        </w:rPr>
        <w:t xml:space="preserve"> a </w:t>
      </w:r>
      <w:r w:rsidR="00946B9B">
        <w:rPr>
          <w:lang w:val="en-CA"/>
        </w:rPr>
        <w:t xml:space="preserve">much lighter </w:t>
      </w:r>
      <w:r w:rsidR="005D3F3F">
        <w:rPr>
          <w:lang w:val="en-CA"/>
        </w:rPr>
        <w:t>mannequin without a frame. The appellant argues that the judge could not de</w:t>
      </w:r>
      <w:r w:rsidR="00946B9B">
        <w:rPr>
          <w:lang w:val="en-CA"/>
        </w:rPr>
        <w:t>cide</w:t>
      </w:r>
      <w:r w:rsidR="005D3F3F">
        <w:rPr>
          <w:lang w:val="en-CA"/>
        </w:rPr>
        <w:t xml:space="preserve"> what was necessary for his artistic project.</w:t>
      </w:r>
    </w:p>
    <w:p w14:paraId="171467A7" w14:textId="048020FA" w:rsidR="00A50B92" w:rsidRPr="005D3F3F" w:rsidRDefault="005D3F3F" w:rsidP="00C61ADB">
      <w:pPr>
        <w:pStyle w:val="Paragraphe"/>
        <w:spacing w:line="280" w:lineRule="exact"/>
        <w:rPr>
          <w:lang w:val="en-US"/>
        </w:rPr>
      </w:pPr>
      <w:r>
        <w:rPr>
          <w:lang w:val="en-CA"/>
        </w:rPr>
        <w:t xml:space="preserve">The judge’s comment is inappropriate. She could not determine what was necessary </w:t>
      </w:r>
      <w:r w:rsidR="0066091E">
        <w:rPr>
          <w:lang w:val="en-CA"/>
        </w:rPr>
        <w:t>to create</w:t>
      </w:r>
      <w:r>
        <w:rPr>
          <w:lang w:val="en-CA"/>
        </w:rPr>
        <w:t xml:space="preserve"> a photographic work. </w:t>
      </w:r>
      <w:r w:rsidR="0066091E">
        <w:rPr>
          <w:lang w:val="en-CA"/>
        </w:rPr>
        <w:t>Once a</w:t>
      </w:r>
      <w:r>
        <w:rPr>
          <w:lang w:val="en-CA"/>
        </w:rPr>
        <w:t xml:space="preserve">gain, however, this </w:t>
      </w:r>
      <w:r w:rsidR="0066091E">
        <w:rPr>
          <w:lang w:val="en-CA"/>
        </w:rPr>
        <w:t xml:space="preserve">error </w:t>
      </w:r>
      <w:r w:rsidR="00A25327">
        <w:rPr>
          <w:lang w:val="en-CA"/>
        </w:rPr>
        <w:t>was not de</w:t>
      </w:r>
      <w:r w:rsidR="00313841">
        <w:rPr>
          <w:lang w:val="en-CA"/>
        </w:rPr>
        <w:t>cisive</w:t>
      </w:r>
      <w:r w:rsidR="00A25327">
        <w:rPr>
          <w:lang w:val="en-CA"/>
        </w:rPr>
        <w:t xml:space="preserve"> </w:t>
      </w:r>
      <w:r w:rsidR="00313841">
        <w:rPr>
          <w:lang w:val="en-CA"/>
        </w:rPr>
        <w:t>for</w:t>
      </w:r>
      <w:r w:rsidR="0066091E">
        <w:rPr>
          <w:lang w:val="en-CA"/>
        </w:rPr>
        <w:t xml:space="preserve"> </w:t>
      </w:r>
      <w:r>
        <w:rPr>
          <w:lang w:val="en-CA"/>
        </w:rPr>
        <w:t>the judge’s finding on the appellant’s credibility.</w:t>
      </w:r>
    </w:p>
    <w:p w14:paraId="04D92260" w14:textId="1267F60B" w:rsidR="00A50B92" w:rsidRPr="00517505" w:rsidRDefault="008E0F3F" w:rsidP="00C61ADB">
      <w:pPr>
        <w:pStyle w:val="Paragraphe"/>
        <w:spacing w:line="280" w:lineRule="exact"/>
        <w:rPr>
          <w:lang w:val="en-US"/>
        </w:rPr>
      </w:pPr>
      <w:r>
        <w:rPr>
          <w:lang w:val="en-CA"/>
        </w:rPr>
        <w:t xml:space="preserve">Indeed, </w:t>
      </w:r>
      <w:r w:rsidR="00DC5AA5">
        <w:rPr>
          <w:lang w:val="en-CA"/>
        </w:rPr>
        <w:t xml:space="preserve">despite some of the criticism that can be aimed at </w:t>
      </w:r>
      <w:r w:rsidR="005D3F3F">
        <w:rPr>
          <w:lang w:val="en-CA"/>
        </w:rPr>
        <w:t>the judge</w:t>
      </w:r>
      <w:r w:rsidR="00DC5AA5">
        <w:rPr>
          <w:lang w:val="en-CA"/>
        </w:rPr>
        <w:t xml:space="preserve"> as regards to her</w:t>
      </w:r>
      <w:r w:rsidR="005D3F3F">
        <w:rPr>
          <w:lang w:val="en-CA"/>
        </w:rPr>
        <w:t xml:space="preserve"> </w:t>
      </w:r>
      <w:r w:rsidR="00DC5AA5">
        <w:rPr>
          <w:lang w:val="en-CA"/>
        </w:rPr>
        <w:t>r</w:t>
      </w:r>
      <w:r w:rsidR="005D3F3F">
        <w:rPr>
          <w:lang w:val="en-CA"/>
        </w:rPr>
        <w:t>easons, she relie</w:t>
      </w:r>
      <w:r w:rsidR="00A25327">
        <w:rPr>
          <w:lang w:val="en-CA"/>
        </w:rPr>
        <w:t>d</w:t>
      </w:r>
      <w:r w:rsidR="005D3F3F">
        <w:rPr>
          <w:lang w:val="en-CA"/>
        </w:rPr>
        <w:t xml:space="preserve"> on several other pieces of evidence to conclude that she d</w:t>
      </w:r>
      <w:r w:rsidR="00A25327">
        <w:rPr>
          <w:lang w:val="en-CA"/>
        </w:rPr>
        <w:t>id</w:t>
      </w:r>
      <w:r w:rsidR="005D3F3F">
        <w:rPr>
          <w:lang w:val="en-CA"/>
        </w:rPr>
        <w:t xml:space="preserve"> not believe the appellant. </w:t>
      </w:r>
      <w:r w:rsidR="00A25327">
        <w:rPr>
          <w:lang w:val="en-CA"/>
        </w:rPr>
        <w:t>To</w:t>
      </w:r>
      <w:r w:rsidR="005D3F3F">
        <w:rPr>
          <w:lang w:val="en-CA"/>
        </w:rPr>
        <w:t xml:space="preserve"> fully understand the judge</w:t>
      </w:r>
      <w:r w:rsidR="00517505">
        <w:rPr>
          <w:lang w:val="en-CA"/>
        </w:rPr>
        <w:t>’s reasons for</w:t>
      </w:r>
      <w:r w:rsidR="005D3F3F">
        <w:rPr>
          <w:lang w:val="en-CA"/>
        </w:rPr>
        <w:t xml:space="preserve"> reject</w:t>
      </w:r>
      <w:r w:rsidR="00517505">
        <w:rPr>
          <w:lang w:val="en-CA"/>
        </w:rPr>
        <w:t>ing</w:t>
      </w:r>
      <w:r w:rsidR="005D3F3F">
        <w:rPr>
          <w:lang w:val="en-CA"/>
        </w:rPr>
        <w:t xml:space="preserve"> the defence of a legitimate purpose related to art, it is </w:t>
      </w:r>
      <w:r w:rsidR="00B83DFF">
        <w:rPr>
          <w:lang w:val="en-CA"/>
        </w:rPr>
        <w:t>helpful to</w:t>
      </w:r>
      <w:r w:rsidR="005D3F3F">
        <w:rPr>
          <w:lang w:val="en-CA"/>
        </w:rPr>
        <w:t xml:space="preserve"> reproduc</w:t>
      </w:r>
      <w:r w:rsidR="00B83DFF">
        <w:rPr>
          <w:lang w:val="en-CA"/>
        </w:rPr>
        <w:t>e</w:t>
      </w:r>
      <w:r w:rsidR="005D3F3F">
        <w:rPr>
          <w:lang w:val="en-CA"/>
        </w:rPr>
        <w:t xml:space="preserve"> the excerpt from the judgment in which she </w:t>
      </w:r>
      <w:r w:rsidR="00517505">
        <w:rPr>
          <w:lang w:val="en-CA"/>
        </w:rPr>
        <w:t>addresses</w:t>
      </w:r>
      <w:r w:rsidR="005D3F3F">
        <w:rPr>
          <w:lang w:val="en-CA"/>
        </w:rPr>
        <w:t xml:space="preserve"> the issue:</w:t>
      </w:r>
    </w:p>
    <w:p w14:paraId="03097298" w14:textId="4356DDBE" w:rsidR="00517505" w:rsidRPr="00517505" w:rsidRDefault="00517505" w:rsidP="00517505">
      <w:pPr>
        <w:pStyle w:val="Paragraphe"/>
        <w:numPr>
          <w:ilvl w:val="0"/>
          <w:numId w:val="0"/>
        </w:numPr>
        <w:spacing w:line="280" w:lineRule="exact"/>
        <w:ind w:left="720"/>
        <w:rPr>
          <w:kern w:val="24"/>
          <w:sz w:val="22"/>
          <w:lang w:val="en-CA"/>
        </w:rPr>
      </w:pPr>
      <w:r>
        <w:rPr>
          <w:rFonts w:cs="Arial"/>
          <w:kern w:val="24"/>
          <w:sz w:val="22"/>
          <w:lang w:val="en-CA"/>
        </w:rPr>
        <w:t>[</w:t>
      </w:r>
      <w:r w:rsidRPr="00517505">
        <w:rPr>
          <w:smallCaps/>
          <w:kern w:val="24"/>
          <w:sz w:val="22"/>
          <w:lang w:val="en-CA"/>
        </w:rPr>
        <w:t>translation</w:t>
      </w:r>
      <w:r>
        <w:rPr>
          <w:rFonts w:cs="Arial"/>
          <w:kern w:val="24"/>
          <w:sz w:val="22"/>
          <w:lang w:val="en-CA"/>
        </w:rPr>
        <w:t>]</w:t>
      </w:r>
    </w:p>
    <w:p w14:paraId="190872E7" w14:textId="273FD4EF" w:rsidR="00A50B92" w:rsidRPr="005D3F3F" w:rsidRDefault="005D3F3F" w:rsidP="00A50B92">
      <w:pPr>
        <w:pStyle w:val="Citationenretrait"/>
        <w:rPr>
          <w:lang w:val="en-US"/>
        </w:rPr>
      </w:pPr>
      <w:r>
        <w:rPr>
          <w:lang w:val="en-CA"/>
        </w:rPr>
        <w:t xml:space="preserve">Here are the reasons the Court does not believe him, first, he speaks of adult women when he refers to his desire to make, to share his culture. By, by publishing the photos of the doll wearing dresses corresponding to the Yan dynasty, Han, excuse me, not only does this doll </w:t>
      </w:r>
      <w:r w:rsidR="00AB7344">
        <w:rPr>
          <w:lang w:val="en-CA"/>
        </w:rPr>
        <w:t>bear</w:t>
      </w:r>
      <w:r>
        <w:rPr>
          <w:lang w:val="en-CA"/>
        </w:rPr>
        <w:t xml:space="preserve"> no</w:t>
      </w:r>
      <w:r w:rsidR="00AB7344">
        <w:rPr>
          <w:lang w:val="en-CA"/>
        </w:rPr>
        <w:t>ne of</w:t>
      </w:r>
      <w:r>
        <w:rPr>
          <w:lang w:val="en-CA"/>
        </w:rPr>
        <w:t xml:space="preserve"> characteristics of an adult woman, but the dresses and accessories </w:t>
      </w:r>
      <w:r w:rsidR="00B03230">
        <w:rPr>
          <w:lang w:val="en-CA"/>
        </w:rPr>
        <w:t xml:space="preserve">leave </w:t>
      </w:r>
      <w:r>
        <w:rPr>
          <w:lang w:val="en-CA"/>
        </w:rPr>
        <w:t>no doubt as to</w:t>
      </w:r>
      <w:r w:rsidR="00AB7344">
        <w:rPr>
          <w:lang w:val="en-CA"/>
        </w:rPr>
        <w:t xml:space="preserve"> their style’s </w:t>
      </w:r>
      <w:r>
        <w:rPr>
          <w:lang w:val="en-CA"/>
        </w:rPr>
        <w:t>child</w:t>
      </w:r>
      <w:r w:rsidR="00AB7344">
        <w:rPr>
          <w:lang w:val="en-CA"/>
        </w:rPr>
        <w:t>-like aspect</w:t>
      </w:r>
      <w:r>
        <w:rPr>
          <w:lang w:val="en-CA"/>
        </w:rPr>
        <w:t xml:space="preserve">. Moreover, if the accused’s purpose was solely artistic, why purchase underwear, </w:t>
      </w:r>
      <w:proofErr w:type="gramStart"/>
      <w:r>
        <w:rPr>
          <w:lang w:val="en-CA"/>
        </w:rPr>
        <w:t>in particular</w:t>
      </w:r>
      <w:proofErr w:type="gramEnd"/>
      <w:r>
        <w:rPr>
          <w:lang w:val="en-CA"/>
        </w:rPr>
        <w:t xml:space="preserve"> the two (2) Taïga panties to hide the doll’s private parts? If, if it is true that he takes photos without sexual connotations, why does he need to cover the doll’s genitals when the dresses seized completely cover this part of the body because of their length and design. It is also contradictory to state that he brought a dress to the station to try to explain to the police his purpose in possessing the </w:t>
      </w:r>
      <w:proofErr w:type="gramStart"/>
      <w:r>
        <w:rPr>
          <w:lang w:val="en-CA"/>
        </w:rPr>
        <w:t>doll, when</w:t>
      </w:r>
      <w:proofErr w:type="gramEnd"/>
      <w:r>
        <w:rPr>
          <w:lang w:val="en-CA"/>
        </w:rPr>
        <w:t xml:space="preserve"> he never took it out of the bag from the time of his arrest until his incarceration. Rather, it was the police officer who discovered it when searching the bag, and at that moment in fact the accused tried two (2) times to recover it to put it back in his backpack, the Court easily finds that his version is inconsistent with his spontaneous reaction at the time of the seizure. I have already said it, but on cross-examination, he admitted that several of the items seized, including, including certain dresses, Mickey Mouse hair decorations, with the artistic purpose he claims he had…</w:t>
      </w:r>
    </w:p>
    <w:p w14:paraId="742CB9F8" w14:textId="77777777" w:rsidR="00A50B92" w:rsidRPr="005D3F3F" w:rsidRDefault="005D3F3F" w:rsidP="00A50B92">
      <w:pPr>
        <w:pStyle w:val="Citationenretrait"/>
        <w:rPr>
          <w:lang w:val="en-US"/>
        </w:rPr>
      </w:pPr>
      <w:r>
        <w:rPr>
          <w:lang w:val="en-CA"/>
        </w:rPr>
        <w:t>...</w:t>
      </w:r>
    </w:p>
    <w:p w14:paraId="72E745D1" w14:textId="77777777" w:rsidR="00A50B92" w:rsidRPr="005D3F3F" w:rsidRDefault="005D3F3F" w:rsidP="00A50B92">
      <w:pPr>
        <w:pStyle w:val="Citationenretrait"/>
        <w:rPr>
          <w:lang w:val="en-US"/>
        </w:rPr>
      </w:pPr>
      <w:r>
        <w:rPr>
          <w:lang w:val="en-CA"/>
        </w:rPr>
        <w:lastRenderedPageBreak/>
        <w:t xml:space="preserve">And despite the insistence of counsel for the, for the prosecution to discover the reason or the, the origin, the accused remained vague. This is why the Court also notes that the accused evaded several questions, provided absurd explanations, and contradicted himself, to name only those examples, he refused to answer the question when he was asked whether the doll represents a child, and after a long hesitation he stated that the women of his country, and from Japan more specifically, are small in stature, as a way of justifying the possession of the doll. His explanations are completely inconsistent, however, with the anatomy of the, of the doll, which does not have breasts, which does not have breasts, a hairless </w:t>
      </w:r>
      <w:proofErr w:type="gramStart"/>
      <w:r>
        <w:rPr>
          <w:lang w:val="en-CA"/>
        </w:rPr>
        <w:t>vulva</w:t>
      </w:r>
      <w:proofErr w:type="gramEnd"/>
      <w:r>
        <w:rPr>
          <w:lang w:val="en-CA"/>
        </w:rPr>
        <w:t xml:space="preserve"> and small, small lips and that is clearly the anatomy of a child and not an adult. He also states that he had this doll to take photos, but he did not do so, on the pretext that he still had not received the Han dynasty dresses, </w:t>
      </w:r>
      <w:proofErr w:type="gramStart"/>
      <w:r>
        <w:rPr>
          <w:lang w:val="en-CA"/>
        </w:rPr>
        <w:t>yet,</w:t>
      </w:r>
      <w:proofErr w:type="gramEnd"/>
      <w:r>
        <w:rPr>
          <w:lang w:val="en-CA"/>
        </w:rPr>
        <w:t xml:space="preserve"> is everything all right, Madam?</w:t>
      </w:r>
    </w:p>
    <w:p w14:paraId="2D6E6454" w14:textId="77777777" w:rsidR="00A50B92" w:rsidRPr="005D3F3F" w:rsidRDefault="005D3F3F" w:rsidP="00A50B92">
      <w:pPr>
        <w:pStyle w:val="Citationenretrait"/>
        <w:rPr>
          <w:lang w:val="en-US"/>
        </w:rPr>
      </w:pPr>
      <w:r>
        <w:rPr>
          <w:lang w:val="en-CA"/>
        </w:rPr>
        <w:t>...</w:t>
      </w:r>
    </w:p>
    <w:p w14:paraId="7F0BB8AA" w14:textId="56D890FE" w:rsidR="00A50B92" w:rsidRPr="005D3F3F" w:rsidRDefault="005D3F3F" w:rsidP="00A50B92">
      <w:pPr>
        <w:pStyle w:val="Citationenretrait"/>
        <w:rPr>
          <w:lang w:val="en-US"/>
        </w:rPr>
      </w:pPr>
      <w:r>
        <w:rPr>
          <w:lang w:val="en-CA"/>
        </w:rPr>
        <w:t xml:space="preserve">Yet, when he was arrested, he brought one to show the police officers to explain his purpose in possessing the doll. Finally, questioned about the doll, the smallest doll that has </w:t>
      </w:r>
      <w:r w:rsidR="006D0E81">
        <w:rPr>
          <w:lang w:val="en-CA"/>
        </w:rPr>
        <w:t>the</w:t>
      </w:r>
      <w:r>
        <w:rPr>
          <w:lang w:val="en-CA"/>
        </w:rPr>
        <w:t xml:space="preserve"> appearance</w:t>
      </w:r>
      <w:r w:rsidR="006D0E81">
        <w:rPr>
          <w:lang w:val="en-CA"/>
        </w:rPr>
        <w:t xml:space="preserve"> of a female adult</w:t>
      </w:r>
      <w:r>
        <w:rPr>
          <w:lang w:val="en-CA"/>
        </w:rPr>
        <w:t>, although he admitted that it belongs to him, he, he was unable to determine where it came from, first saying that it was in the box and, at another moment, saying that he had found it while putting things away when he moved. He also maintained that he does not intend to use it to take photos and we will therefore never know why it was in his possession. He also claims that this small doll, I’ll start over, Madam, I made a mistake, I’ll start over, I’ll start over, he also claims that the doll in question, the doll that is the subject of the trial today is small to reduce shipping costs, which is, which is inconsistent with its weight, which the police officer estimates to be about fifty pounds (50 lbs) which also...</w:t>
      </w:r>
    </w:p>
    <w:p w14:paraId="7FB83CE7" w14:textId="77777777" w:rsidR="00A50B92" w:rsidRPr="005D3F3F" w:rsidRDefault="005D3F3F" w:rsidP="00A50B92">
      <w:pPr>
        <w:pStyle w:val="Citationenretrait"/>
        <w:rPr>
          <w:lang w:val="en-US"/>
        </w:rPr>
      </w:pPr>
      <w:r>
        <w:rPr>
          <w:lang w:val="en-CA"/>
        </w:rPr>
        <w:t>...</w:t>
      </w:r>
    </w:p>
    <w:p w14:paraId="5A056087" w14:textId="24EF64A0" w:rsidR="00A50B92" w:rsidRPr="005D3F3F" w:rsidRDefault="005D3F3F" w:rsidP="00B736A3">
      <w:pPr>
        <w:pStyle w:val="Citationenretrait"/>
        <w:spacing w:after="0"/>
        <w:rPr>
          <w:lang w:val="en-US"/>
        </w:rPr>
      </w:pPr>
      <w:r>
        <w:rPr>
          <w:lang w:val="en-CA"/>
        </w:rPr>
        <w:t xml:space="preserve">Which alone generates significant costs. If, if we accept his rationale, his rationale of saving money, a much lighter, simple mannequin without a frame would have done the job and would have cost much less, this, this explanation is therefore </w:t>
      </w:r>
      <w:proofErr w:type="gramStart"/>
      <w:r>
        <w:rPr>
          <w:lang w:val="en-CA"/>
        </w:rPr>
        <w:t xml:space="preserve">absolutely </w:t>
      </w:r>
      <w:r w:rsidR="00093657">
        <w:rPr>
          <w:lang w:val="en-CA"/>
        </w:rPr>
        <w:t>outlandish</w:t>
      </w:r>
      <w:proofErr w:type="gramEnd"/>
      <w:r>
        <w:rPr>
          <w:lang w:val="en-CA"/>
        </w:rPr>
        <w:t>. Finally, finally, the defence also argues that the neighbour witness corroborates him on the dresses and their use. Not only is this self-corroboration, it has low probative value because he was told of the charges against him, and the lack of sperm is also not likely to raise a reasonable doubt as to the sexual purpose, since the doll was washed at least once, according to the accused</w:t>
      </w:r>
      <w:r w:rsidR="006D0E81">
        <w:rPr>
          <w:lang w:val="en-CA"/>
        </w:rPr>
        <w:t>’s admissions</w:t>
      </w:r>
      <w:r>
        <w:rPr>
          <w:lang w:val="en-CA"/>
        </w:rPr>
        <w:t xml:space="preserve">, while it is equally possible and highly probable that he did not have the time to use it. Therefore, therefore the Court does not believe the accused, his version raises no reasonable doubt as to the explicitly sexual purpose that he, that he had in possessing this doll, since its dominant characteristic is the </w:t>
      </w:r>
      <w:r>
        <w:rPr>
          <w:lang w:val="en-CA"/>
        </w:rPr>
        <w:lastRenderedPageBreak/>
        <w:t xml:space="preserve">depiction of the sexual organs of a </w:t>
      </w:r>
      <w:r w:rsidR="006D0E81">
        <w:rPr>
          <w:lang w:val="en-CA"/>
        </w:rPr>
        <w:t xml:space="preserve">female </w:t>
      </w:r>
      <w:r>
        <w:rPr>
          <w:lang w:val="en-CA"/>
        </w:rPr>
        <w:t>child under the age of eighteen (18) years, his intentions therefore, because of the evidence described, could not have been innocent.</w:t>
      </w:r>
      <w:r>
        <w:rPr>
          <w:rStyle w:val="Appelnotedebasdep"/>
          <w:lang w:val="en-CA"/>
        </w:rPr>
        <w:footnoteReference w:id="49"/>
      </w:r>
    </w:p>
    <w:p w14:paraId="285CB015" w14:textId="071EF9B0" w:rsidR="00A50B92" w:rsidRPr="005D3F3F" w:rsidRDefault="005D3F3F" w:rsidP="00B736A3">
      <w:pPr>
        <w:pStyle w:val="Paragraphe"/>
        <w:spacing w:line="280" w:lineRule="exact"/>
        <w:rPr>
          <w:lang w:val="en-US"/>
        </w:rPr>
      </w:pPr>
      <w:r>
        <w:rPr>
          <w:lang w:val="en-CA"/>
        </w:rPr>
        <w:t>It</w:t>
      </w:r>
      <w:r w:rsidR="006D0E81">
        <w:rPr>
          <w:lang w:val="en-CA"/>
        </w:rPr>
        <w:t xml:space="preserve"> </w:t>
      </w:r>
      <w:r w:rsidR="006D0E81" w:rsidRPr="006D0E81">
        <w:rPr>
          <w:lang w:val="en-CA"/>
        </w:rPr>
        <w:t xml:space="preserve">is apparent from these passages </w:t>
      </w:r>
      <w:r w:rsidR="008437E3">
        <w:rPr>
          <w:lang w:val="en-CA"/>
        </w:rPr>
        <w:t>from</w:t>
      </w:r>
      <w:r>
        <w:rPr>
          <w:lang w:val="en-CA"/>
        </w:rPr>
        <w:t xml:space="preserve"> the judgment </w:t>
      </w:r>
      <w:r w:rsidR="005C7F8D">
        <w:rPr>
          <w:lang w:val="en-CA"/>
        </w:rPr>
        <w:t xml:space="preserve">in first instance </w:t>
      </w:r>
      <w:r>
        <w:rPr>
          <w:lang w:val="en-CA"/>
        </w:rPr>
        <w:t xml:space="preserve">that the judge </w:t>
      </w:r>
      <w:r w:rsidR="001E386C">
        <w:rPr>
          <w:lang w:val="en-CA"/>
        </w:rPr>
        <w:t>relied on</w:t>
      </w:r>
      <w:r>
        <w:rPr>
          <w:lang w:val="en-CA"/>
        </w:rPr>
        <w:t xml:space="preserve"> several </w:t>
      </w:r>
      <w:r w:rsidR="001E386C">
        <w:rPr>
          <w:lang w:val="en-CA"/>
        </w:rPr>
        <w:t xml:space="preserve">elements </w:t>
      </w:r>
      <w:r>
        <w:rPr>
          <w:lang w:val="en-CA"/>
        </w:rPr>
        <w:t>to conclude that she d</w:t>
      </w:r>
      <w:r w:rsidR="008437E3">
        <w:rPr>
          <w:lang w:val="en-CA"/>
        </w:rPr>
        <w:t>id</w:t>
      </w:r>
      <w:r>
        <w:rPr>
          <w:lang w:val="en-CA"/>
        </w:rPr>
        <w:t xml:space="preserve"> not believe the appellant:</w:t>
      </w:r>
    </w:p>
    <w:p w14:paraId="06DBD625" w14:textId="4F451E59" w:rsidR="00A50B92" w:rsidRPr="005D3F3F" w:rsidRDefault="005D3F3F" w:rsidP="00B736A3">
      <w:pPr>
        <w:pStyle w:val="Paragraphe"/>
        <w:numPr>
          <w:ilvl w:val="0"/>
          <w:numId w:val="20"/>
        </w:numPr>
        <w:spacing w:line="280" w:lineRule="exact"/>
        <w:rPr>
          <w:lang w:val="en-US"/>
        </w:rPr>
      </w:pPr>
      <w:r>
        <w:rPr>
          <w:lang w:val="en-CA"/>
        </w:rPr>
        <w:t>The appellant state</w:t>
      </w:r>
      <w:r w:rsidR="008437E3">
        <w:rPr>
          <w:lang w:val="en-CA"/>
        </w:rPr>
        <w:t>d</w:t>
      </w:r>
      <w:r>
        <w:rPr>
          <w:lang w:val="en-CA"/>
        </w:rPr>
        <w:t xml:space="preserve"> that he wanted to </w:t>
      </w:r>
      <w:r w:rsidR="008437E3">
        <w:rPr>
          <w:lang w:val="en-CA"/>
        </w:rPr>
        <w:t>share</w:t>
      </w:r>
      <w:r>
        <w:rPr>
          <w:lang w:val="en-CA"/>
        </w:rPr>
        <w:t xml:space="preserve"> his culture</w:t>
      </w:r>
      <w:r w:rsidR="008437E3">
        <w:rPr>
          <w:lang w:val="en-CA"/>
        </w:rPr>
        <w:t xml:space="preserve">, </w:t>
      </w:r>
      <w:r w:rsidR="00F43CCE">
        <w:rPr>
          <w:lang w:val="en-CA"/>
        </w:rPr>
        <w:t>referring to</w:t>
      </w:r>
      <w:r>
        <w:rPr>
          <w:lang w:val="en-CA"/>
        </w:rPr>
        <w:t xml:space="preserve"> adult women, but the doll and several accessories are child</w:t>
      </w:r>
      <w:r w:rsidR="006D13E7">
        <w:rPr>
          <w:lang w:val="en-CA"/>
        </w:rPr>
        <w:t>ish</w:t>
      </w:r>
      <w:r w:rsidR="002115A8">
        <w:rPr>
          <w:lang w:val="en-CA"/>
        </w:rPr>
        <w:t xml:space="preserve"> in their </w:t>
      </w:r>
      <w:proofErr w:type="gramStart"/>
      <w:r w:rsidR="002115A8">
        <w:rPr>
          <w:lang w:val="en-CA"/>
        </w:rPr>
        <w:t>style</w:t>
      </w:r>
      <w:r>
        <w:rPr>
          <w:lang w:val="en-CA"/>
        </w:rPr>
        <w:t>;</w:t>
      </w:r>
      <w:proofErr w:type="gramEnd"/>
    </w:p>
    <w:p w14:paraId="3AB30BFA" w14:textId="4917239E" w:rsidR="00A50B92" w:rsidRPr="005D3F3F" w:rsidRDefault="005D3F3F" w:rsidP="00B736A3">
      <w:pPr>
        <w:pStyle w:val="Paragraphe"/>
        <w:numPr>
          <w:ilvl w:val="0"/>
          <w:numId w:val="20"/>
        </w:numPr>
        <w:spacing w:line="280" w:lineRule="exact"/>
        <w:rPr>
          <w:lang w:val="en-US"/>
        </w:rPr>
      </w:pPr>
      <w:r>
        <w:rPr>
          <w:lang w:val="en-CA"/>
        </w:rPr>
        <w:t xml:space="preserve">His version </w:t>
      </w:r>
      <w:r w:rsidR="006D13E7">
        <w:rPr>
          <w:lang w:val="en-CA"/>
        </w:rPr>
        <w:t>was</w:t>
      </w:r>
      <w:r>
        <w:rPr>
          <w:lang w:val="en-CA"/>
        </w:rPr>
        <w:t xml:space="preserve"> incompatible with the presence of two Tanga-style </w:t>
      </w:r>
      <w:proofErr w:type="gramStart"/>
      <w:r>
        <w:rPr>
          <w:lang w:val="en-CA"/>
        </w:rPr>
        <w:t>panties;</w:t>
      </w:r>
      <w:proofErr w:type="gramEnd"/>
    </w:p>
    <w:p w14:paraId="01DF5B0D" w14:textId="1BC3834B" w:rsidR="00A50B92" w:rsidRPr="005D3F3F" w:rsidRDefault="005D3F3F" w:rsidP="00B736A3">
      <w:pPr>
        <w:pStyle w:val="Paragraphe"/>
        <w:numPr>
          <w:ilvl w:val="0"/>
          <w:numId w:val="20"/>
        </w:numPr>
        <w:spacing w:line="280" w:lineRule="exact"/>
        <w:rPr>
          <w:lang w:val="en-US"/>
        </w:rPr>
      </w:pPr>
      <w:r>
        <w:rPr>
          <w:lang w:val="en-CA"/>
        </w:rPr>
        <w:t xml:space="preserve">His version </w:t>
      </w:r>
      <w:r w:rsidR="006D13E7">
        <w:rPr>
          <w:lang w:val="en-CA"/>
        </w:rPr>
        <w:t>was</w:t>
      </w:r>
      <w:r>
        <w:rPr>
          <w:lang w:val="en-CA"/>
        </w:rPr>
        <w:t xml:space="preserve"> incompatible with Mickey Mouse hair </w:t>
      </w:r>
      <w:proofErr w:type="gramStart"/>
      <w:r>
        <w:rPr>
          <w:lang w:val="en-CA"/>
        </w:rPr>
        <w:t>decorations;</w:t>
      </w:r>
      <w:proofErr w:type="gramEnd"/>
    </w:p>
    <w:p w14:paraId="70B4C468" w14:textId="6F30D1FB" w:rsidR="00A50B92" w:rsidRPr="005D3F3F" w:rsidRDefault="005D3F3F" w:rsidP="00B736A3">
      <w:pPr>
        <w:pStyle w:val="Paragraphe"/>
        <w:numPr>
          <w:ilvl w:val="0"/>
          <w:numId w:val="20"/>
        </w:numPr>
        <w:spacing w:line="280" w:lineRule="exact"/>
        <w:rPr>
          <w:lang w:val="en-US"/>
        </w:rPr>
      </w:pPr>
      <w:r>
        <w:rPr>
          <w:lang w:val="en-CA"/>
        </w:rPr>
        <w:t>The appellant appear</w:t>
      </w:r>
      <w:r w:rsidR="00FA7B90">
        <w:rPr>
          <w:lang w:val="en-CA"/>
        </w:rPr>
        <w:t>ed</w:t>
      </w:r>
      <w:r>
        <w:rPr>
          <w:lang w:val="en-CA"/>
        </w:rPr>
        <w:t xml:space="preserve"> reluctant to admit that </w:t>
      </w:r>
      <w:r w:rsidR="00FA7B90">
        <w:rPr>
          <w:lang w:val="en-CA"/>
        </w:rPr>
        <w:t>the</w:t>
      </w:r>
      <w:r>
        <w:rPr>
          <w:lang w:val="en-CA"/>
        </w:rPr>
        <w:t xml:space="preserve"> doll depict</w:t>
      </w:r>
      <w:r w:rsidR="00FA7B90">
        <w:rPr>
          <w:lang w:val="en-CA"/>
        </w:rPr>
        <w:t>ed</w:t>
      </w:r>
      <w:r>
        <w:rPr>
          <w:lang w:val="en-CA"/>
        </w:rPr>
        <w:t xml:space="preserve"> a</w:t>
      </w:r>
      <w:r w:rsidR="006D0E81">
        <w:rPr>
          <w:lang w:val="en-CA"/>
        </w:rPr>
        <w:t xml:space="preserve"> female</w:t>
      </w:r>
      <w:r>
        <w:rPr>
          <w:lang w:val="en-CA"/>
        </w:rPr>
        <w:t xml:space="preserve"> </w:t>
      </w:r>
      <w:proofErr w:type="gramStart"/>
      <w:r>
        <w:rPr>
          <w:lang w:val="en-CA"/>
        </w:rPr>
        <w:t>child;</w:t>
      </w:r>
      <w:proofErr w:type="gramEnd"/>
    </w:p>
    <w:p w14:paraId="61DFBCF2" w14:textId="4841C5D9" w:rsidR="00A50B92" w:rsidRPr="005D3F3F" w:rsidRDefault="005D3F3F" w:rsidP="00B736A3">
      <w:pPr>
        <w:pStyle w:val="Paragraphe"/>
        <w:numPr>
          <w:ilvl w:val="0"/>
          <w:numId w:val="20"/>
        </w:numPr>
        <w:spacing w:line="280" w:lineRule="exact"/>
        <w:rPr>
          <w:lang w:val="en-US"/>
        </w:rPr>
      </w:pPr>
      <w:r>
        <w:rPr>
          <w:lang w:val="en-CA"/>
        </w:rPr>
        <w:t>The appellant contradict</w:t>
      </w:r>
      <w:r w:rsidR="00FA7B90">
        <w:rPr>
          <w:lang w:val="en-CA"/>
        </w:rPr>
        <w:t>ed</w:t>
      </w:r>
      <w:r>
        <w:rPr>
          <w:lang w:val="en-CA"/>
        </w:rPr>
        <w:t xml:space="preserve"> himself on the origin of the small doll (it was in the box with the other doll, or he found it while </w:t>
      </w:r>
      <w:r w:rsidR="00FA7B90">
        <w:rPr>
          <w:lang w:val="en-CA"/>
        </w:rPr>
        <w:t>putting things aways</w:t>
      </w:r>
      <w:r>
        <w:rPr>
          <w:lang w:val="en-CA"/>
        </w:rPr>
        <w:t xml:space="preserve"> when he moved</w:t>
      </w:r>
      <w:proofErr w:type="gramStart"/>
      <w:r>
        <w:rPr>
          <w:lang w:val="en-CA"/>
        </w:rPr>
        <w:t>);</w:t>
      </w:r>
      <w:proofErr w:type="gramEnd"/>
    </w:p>
    <w:p w14:paraId="5F6087B9" w14:textId="6D12F798" w:rsidR="00A50B92" w:rsidRPr="005D3F3F" w:rsidRDefault="005D3F3F" w:rsidP="00B736A3">
      <w:pPr>
        <w:pStyle w:val="Paragraphe"/>
        <w:numPr>
          <w:ilvl w:val="0"/>
          <w:numId w:val="20"/>
        </w:numPr>
        <w:spacing w:line="280" w:lineRule="exact"/>
        <w:rPr>
          <w:lang w:val="en-US"/>
        </w:rPr>
      </w:pPr>
      <w:r>
        <w:rPr>
          <w:lang w:val="en-CA"/>
        </w:rPr>
        <w:t xml:space="preserve">The appellant </w:t>
      </w:r>
      <w:r w:rsidR="00FA7B90">
        <w:rPr>
          <w:lang w:val="en-CA"/>
        </w:rPr>
        <w:t>claimed</w:t>
      </w:r>
      <w:r>
        <w:rPr>
          <w:lang w:val="en-CA"/>
        </w:rPr>
        <w:t xml:space="preserve"> that the doll </w:t>
      </w:r>
      <w:r w:rsidR="00FA7B90">
        <w:rPr>
          <w:lang w:val="en-CA"/>
        </w:rPr>
        <w:t>wa</w:t>
      </w:r>
      <w:r>
        <w:rPr>
          <w:lang w:val="en-CA"/>
        </w:rPr>
        <w:t xml:space="preserve">s small </w:t>
      </w:r>
      <w:r w:rsidR="003E7992">
        <w:rPr>
          <w:lang w:val="en-CA"/>
        </w:rPr>
        <w:t xml:space="preserve">so as </w:t>
      </w:r>
      <w:r>
        <w:rPr>
          <w:lang w:val="en-CA"/>
        </w:rPr>
        <w:t xml:space="preserve">to reduce shipping costs, which is incompatible with the delivery of a doll weighing 50 </w:t>
      </w:r>
      <w:proofErr w:type="gramStart"/>
      <w:r>
        <w:rPr>
          <w:lang w:val="en-CA"/>
        </w:rPr>
        <w:t>pounds;</w:t>
      </w:r>
      <w:proofErr w:type="gramEnd"/>
    </w:p>
    <w:p w14:paraId="1543AF0F" w14:textId="4A5D79CD" w:rsidR="00A50B92" w:rsidRPr="005D3F3F" w:rsidRDefault="005D3F3F" w:rsidP="00B736A3">
      <w:pPr>
        <w:pStyle w:val="Paragraphe"/>
        <w:numPr>
          <w:ilvl w:val="0"/>
          <w:numId w:val="20"/>
        </w:numPr>
        <w:spacing w:line="280" w:lineRule="exact"/>
        <w:rPr>
          <w:lang w:val="en-US"/>
        </w:rPr>
      </w:pPr>
      <w:r>
        <w:rPr>
          <w:lang w:val="en-CA"/>
        </w:rPr>
        <w:t xml:space="preserve">There was nothing </w:t>
      </w:r>
      <w:r w:rsidR="00F44DBA">
        <w:rPr>
          <w:lang w:val="en-CA"/>
        </w:rPr>
        <w:t>materialized</w:t>
      </w:r>
      <w:r>
        <w:rPr>
          <w:lang w:val="en-CA"/>
        </w:rPr>
        <w:t xml:space="preserve"> </w:t>
      </w:r>
      <w:r w:rsidR="00F44DBA">
        <w:rPr>
          <w:lang w:val="en-CA"/>
        </w:rPr>
        <w:t>on</w:t>
      </w:r>
      <w:r>
        <w:rPr>
          <w:lang w:val="en-CA"/>
        </w:rPr>
        <w:t xml:space="preserve"> the artistic project, which </w:t>
      </w:r>
      <w:r w:rsidR="00FA7B90">
        <w:rPr>
          <w:lang w:val="en-CA"/>
        </w:rPr>
        <w:t>was vague</w:t>
      </w:r>
      <w:r>
        <w:rPr>
          <w:lang w:val="en-CA"/>
        </w:rPr>
        <w:t>.</w:t>
      </w:r>
    </w:p>
    <w:p w14:paraId="609F86AC" w14:textId="73553141" w:rsidR="00A50B92" w:rsidRPr="005D3F3F" w:rsidRDefault="005D3F3F" w:rsidP="00B736A3">
      <w:pPr>
        <w:pStyle w:val="Paragraphe"/>
        <w:spacing w:line="280" w:lineRule="exact"/>
        <w:rPr>
          <w:lang w:val="en-US"/>
        </w:rPr>
      </w:pPr>
      <w:r>
        <w:rPr>
          <w:lang w:val="en-CA"/>
        </w:rPr>
        <w:t xml:space="preserve">As the Supreme Court points out in </w:t>
      </w:r>
      <w:r>
        <w:rPr>
          <w:i/>
          <w:iCs/>
          <w:lang w:val="en-CA"/>
        </w:rPr>
        <w:t>R. v. Brunelle</w:t>
      </w:r>
      <w:r>
        <w:rPr>
          <w:lang w:val="en-CA"/>
        </w:rPr>
        <w:t>, the trial judge’s assessment of the credibility of witnesses may be rejected only where it “cannot be supported on any reasonable view of the evidence.”</w:t>
      </w:r>
      <w:r>
        <w:rPr>
          <w:rStyle w:val="Appelnotedebasdep"/>
          <w:lang w:val="en-CA"/>
        </w:rPr>
        <w:footnoteReference w:id="50"/>
      </w:r>
      <w:r>
        <w:rPr>
          <w:lang w:val="en-CA"/>
        </w:rPr>
        <w:t xml:space="preserve"> In the case at bar, the judge’s conclusion on the appellant’s credibility is based on </w:t>
      </w:r>
      <w:r w:rsidR="00B50435">
        <w:rPr>
          <w:lang w:val="en-CA"/>
        </w:rPr>
        <w:t>ample</w:t>
      </w:r>
      <w:r>
        <w:rPr>
          <w:lang w:val="en-CA"/>
        </w:rPr>
        <w:t xml:space="preserve"> evidence. The verdict cannot be qualified as unreasonable. The judge made no reviewable error in dismissing the defence of a legitimate purpose related to art.</w:t>
      </w:r>
    </w:p>
    <w:p w14:paraId="62FE6579" w14:textId="4307090B" w:rsidR="00A50B92" w:rsidRPr="005D3F3F" w:rsidRDefault="005D3F3F" w:rsidP="00B736A3">
      <w:pPr>
        <w:pStyle w:val="Paragraphe"/>
        <w:spacing w:line="280" w:lineRule="exact"/>
        <w:rPr>
          <w:lang w:val="en-US"/>
        </w:rPr>
      </w:pPr>
      <w:r>
        <w:rPr>
          <w:lang w:val="en-CA"/>
        </w:rPr>
        <w:t xml:space="preserve">For these reasons, I propose </w:t>
      </w:r>
      <w:r w:rsidR="005C6CB0">
        <w:rPr>
          <w:lang w:val="en-CA"/>
        </w:rPr>
        <w:t>to dismiss the appeal</w:t>
      </w:r>
      <w:r>
        <w:rPr>
          <w:lang w:val="en-CA"/>
        </w:rPr>
        <w:t>.</w:t>
      </w:r>
    </w:p>
    <w:tbl>
      <w:tblPr>
        <w:tblW w:w="0" w:type="auto"/>
        <w:tblInd w:w="70" w:type="dxa"/>
        <w:tblLayout w:type="fixed"/>
        <w:tblCellMar>
          <w:left w:w="70" w:type="dxa"/>
          <w:right w:w="70" w:type="dxa"/>
        </w:tblCellMar>
        <w:tblLook w:val="0000" w:firstRow="0" w:lastRow="0" w:firstColumn="0" w:lastColumn="0" w:noHBand="0" w:noVBand="0"/>
      </w:tblPr>
      <w:tblGrid>
        <w:gridCol w:w="4735"/>
        <w:gridCol w:w="4625"/>
      </w:tblGrid>
      <w:tr w:rsidR="007C49F6" w:rsidRPr="00E355F0" w14:paraId="793E2341" w14:textId="77777777" w:rsidTr="002D3F5D">
        <w:trPr>
          <w:cantSplit/>
          <w:trHeight w:val="513"/>
        </w:trPr>
        <w:tc>
          <w:tcPr>
            <w:tcW w:w="9360" w:type="dxa"/>
            <w:gridSpan w:val="2"/>
          </w:tcPr>
          <w:p w14:paraId="5487CFDD" w14:textId="77777777" w:rsidR="00A50B92" w:rsidRPr="005D3F3F" w:rsidRDefault="00A50B92" w:rsidP="002D3F5D">
            <w:pPr>
              <w:rPr>
                <w:lang w:val="en-US"/>
              </w:rPr>
            </w:pPr>
          </w:p>
        </w:tc>
      </w:tr>
      <w:tr w:rsidR="007C49F6" w:rsidRPr="00E355F0" w14:paraId="772B0DCD" w14:textId="77777777" w:rsidTr="002D3F5D">
        <w:tblPrEx>
          <w:tblCellMar>
            <w:left w:w="0" w:type="dxa"/>
            <w:right w:w="0" w:type="dxa"/>
          </w:tblCellMar>
        </w:tblPrEx>
        <w:trPr>
          <w:cantSplit/>
          <w:trHeight w:val="277"/>
        </w:trPr>
        <w:tc>
          <w:tcPr>
            <w:tcW w:w="4735" w:type="dxa"/>
            <w:vMerge w:val="restart"/>
          </w:tcPr>
          <w:p w14:paraId="5FDB69E0" w14:textId="77777777" w:rsidR="00A50B92" w:rsidRPr="005D3F3F" w:rsidRDefault="00A50B92" w:rsidP="002D3F5D">
            <w:pPr>
              <w:rPr>
                <w:lang w:val="en-US"/>
              </w:rPr>
            </w:pPr>
          </w:p>
        </w:tc>
        <w:tc>
          <w:tcPr>
            <w:tcW w:w="4625" w:type="dxa"/>
            <w:tcBorders>
              <w:bottom w:val="single" w:sz="8" w:space="0" w:color="auto"/>
            </w:tcBorders>
          </w:tcPr>
          <w:p w14:paraId="7F799A8D" w14:textId="77777777" w:rsidR="00A50B92" w:rsidRPr="005D3F3F" w:rsidRDefault="00A50B92" w:rsidP="002D3F5D">
            <w:pPr>
              <w:rPr>
                <w:lang w:val="en-US"/>
              </w:rPr>
            </w:pPr>
          </w:p>
        </w:tc>
      </w:tr>
      <w:tr w:rsidR="007C49F6" w:rsidRPr="005C6CB0" w14:paraId="78B02564" w14:textId="77777777" w:rsidTr="002D3F5D">
        <w:tblPrEx>
          <w:tblCellMar>
            <w:left w:w="0" w:type="dxa"/>
            <w:right w:w="0" w:type="dxa"/>
          </w:tblCellMar>
        </w:tblPrEx>
        <w:trPr>
          <w:cantSplit/>
          <w:trHeight w:val="276"/>
        </w:trPr>
        <w:tc>
          <w:tcPr>
            <w:tcW w:w="4735" w:type="dxa"/>
            <w:vMerge/>
          </w:tcPr>
          <w:p w14:paraId="49BD77F8" w14:textId="77777777" w:rsidR="00A50B92" w:rsidRPr="005C6CB0" w:rsidRDefault="00A50B92" w:rsidP="002D3F5D">
            <w:pPr>
              <w:rPr>
                <w:lang w:val="en-US"/>
              </w:rPr>
            </w:pPr>
          </w:p>
        </w:tc>
        <w:tc>
          <w:tcPr>
            <w:tcW w:w="4625" w:type="dxa"/>
          </w:tcPr>
          <w:p w14:paraId="04B040BC" w14:textId="7FF2BFD0" w:rsidR="00A50B92" w:rsidRPr="005C6CB0" w:rsidRDefault="005D3F3F" w:rsidP="002D3F5D">
            <w:r w:rsidRPr="005C6CB0">
              <w:rPr>
                <w:lang w:val="en-CA"/>
              </w:rPr>
              <w:fldChar w:fldCharType="begin"/>
            </w:r>
            <w:r w:rsidRPr="005C6CB0">
              <w:rPr>
                <w:lang w:val="en-CA"/>
              </w:rPr>
              <w:instrText xml:space="preserve"> REF NomJuge1 </w:instrText>
            </w:r>
            <w:r w:rsidR="005C6CB0" w:rsidRPr="005C6CB0">
              <w:rPr>
                <w:lang w:val="en-CA"/>
              </w:rPr>
              <w:instrText xml:space="preserve"> \* MERGEFORMAT </w:instrText>
            </w:r>
            <w:r w:rsidRPr="005C6CB0">
              <w:rPr>
                <w:lang w:val="en-CA"/>
              </w:rPr>
              <w:fldChar w:fldCharType="separate"/>
            </w:r>
            <w:r w:rsidRPr="005C6CB0">
              <w:rPr>
                <w:lang w:val="en-CA"/>
              </w:rPr>
              <w:t>JULIE DUTIL, J.A.</w:t>
            </w:r>
            <w:r w:rsidRPr="005C6CB0">
              <w:rPr>
                <w:lang w:val="en-CA"/>
              </w:rPr>
              <w:fldChar w:fldCharType="end"/>
            </w:r>
          </w:p>
        </w:tc>
      </w:tr>
      <w:bookmarkEnd w:id="12"/>
    </w:tbl>
    <w:p w14:paraId="4B26689B" w14:textId="77777777" w:rsidR="00740A17" w:rsidRPr="005C6CB0" w:rsidRDefault="00740A17" w:rsidP="004E0F92"/>
    <w:sectPr w:rsidR="00740A17" w:rsidRPr="005C6CB0" w:rsidSect="003B51C8">
      <w:headerReference w:type="default" r:id="rId9"/>
      <w:pgSz w:w="12242" w:h="15842" w:code="1"/>
      <w:pgMar w:top="1440" w:right="1008" w:bottom="1440" w:left="1872" w:header="1440" w:footer="792" w:gutter="0"/>
      <w:paperSrc w:first="4" w:other="4"/>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AE93" w14:textId="77777777" w:rsidR="0021582B" w:rsidRDefault="0021582B">
      <w:pPr>
        <w:spacing w:line="240" w:lineRule="auto"/>
      </w:pPr>
      <w:r>
        <w:separator/>
      </w:r>
    </w:p>
  </w:endnote>
  <w:endnote w:type="continuationSeparator" w:id="0">
    <w:p w14:paraId="1E907504" w14:textId="77777777" w:rsidR="0021582B" w:rsidRDefault="0021582B">
      <w:pPr>
        <w:spacing w:line="240" w:lineRule="auto"/>
      </w:pPr>
      <w:r>
        <w:continuationSeparator/>
      </w:r>
    </w:p>
  </w:endnote>
  <w:endnote w:type="continuationNotice" w:id="1">
    <w:p w14:paraId="5B085EE3" w14:textId="77777777" w:rsidR="0021582B" w:rsidRDefault="002158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260A" w14:textId="77777777" w:rsidR="0021582B" w:rsidRDefault="0021582B">
      <w:r>
        <w:separator/>
      </w:r>
    </w:p>
  </w:footnote>
  <w:footnote w:type="continuationSeparator" w:id="0">
    <w:p w14:paraId="36E7D3E9" w14:textId="77777777" w:rsidR="0021582B" w:rsidRDefault="0021582B">
      <w:r>
        <w:continuationSeparator/>
      </w:r>
    </w:p>
  </w:footnote>
  <w:footnote w:type="continuationNotice" w:id="1">
    <w:p w14:paraId="43C7756C" w14:textId="77777777" w:rsidR="0021582B" w:rsidRDefault="0021582B">
      <w:pPr>
        <w:spacing w:line="240" w:lineRule="auto"/>
      </w:pPr>
    </w:p>
  </w:footnote>
  <w:footnote w:id="2">
    <w:p w14:paraId="189756E8" w14:textId="77777777"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t>During her testimony, Ms. Lanfranc explained her memory gaps by the fact that she has had a stroke and two TIAs.</w:t>
      </w:r>
    </w:p>
  </w:footnote>
  <w:footnote w:id="3">
    <w:p w14:paraId="00EDB337" w14:textId="77777777"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t>Mr. Tremblay died before the trial was held.</w:t>
      </w:r>
    </w:p>
  </w:footnote>
  <w:footnote w:id="4">
    <w:p w14:paraId="3A00E98C" w14:textId="6376D68C"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R. c. Yan</w:t>
      </w:r>
      <w:r>
        <w:rPr>
          <w:lang w:val="en-CA"/>
        </w:rPr>
        <w:t>, C.Q. Chicoutimi, No. 150-01-062871-208, September 15, 2022, at 13</w:t>
      </w:r>
      <w:r w:rsidR="00A80FF8">
        <w:rPr>
          <w:lang w:val="en-CA"/>
        </w:rPr>
        <w:sym w:font="Symbol" w:char="F02D"/>
      </w:r>
      <w:r>
        <w:rPr>
          <w:lang w:val="en-CA"/>
        </w:rPr>
        <w:t>14</w:t>
      </w:r>
      <w:r w:rsidR="00CD5613">
        <w:rPr>
          <w:lang w:val="en-CA"/>
        </w:rPr>
        <w:t xml:space="preserve">, Rouleau, J.C.Q., </w:t>
      </w:r>
      <w:r>
        <w:rPr>
          <w:lang w:val="en-CA"/>
        </w:rPr>
        <w:t xml:space="preserve">[Judgment on </w:t>
      </w:r>
      <w:r w:rsidR="00A80FF8">
        <w:rPr>
          <w:lang w:val="en-CA"/>
        </w:rPr>
        <w:t>conviction</w:t>
      </w:r>
      <w:r>
        <w:rPr>
          <w:lang w:val="en-CA"/>
        </w:rPr>
        <w:t>].</w:t>
      </w:r>
    </w:p>
  </w:footnote>
  <w:footnote w:id="5">
    <w:p w14:paraId="500C6BE9" w14:textId="48C38D13"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w:t>
      </w:r>
      <w:r w:rsidR="00A80FF8">
        <w:rPr>
          <w:i/>
          <w:iCs/>
          <w:lang w:val="en-CA"/>
        </w:rPr>
        <w:t>bi</w:t>
      </w:r>
      <w:r>
        <w:rPr>
          <w:i/>
          <w:iCs/>
          <w:lang w:val="en-CA"/>
        </w:rPr>
        <w:t xml:space="preserve">d. </w:t>
      </w:r>
      <w:r>
        <w:rPr>
          <w:lang w:val="en-CA"/>
        </w:rPr>
        <w:t>at 15.</w:t>
      </w:r>
    </w:p>
  </w:footnote>
  <w:footnote w:id="6">
    <w:p w14:paraId="0794BCF7" w14:textId="77777777"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Ibid.</w:t>
      </w:r>
    </w:p>
  </w:footnote>
  <w:footnote w:id="7">
    <w:p w14:paraId="7021F1BF" w14:textId="383B4D3C"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w:t>
      </w:r>
      <w:r w:rsidR="00A80FF8">
        <w:rPr>
          <w:i/>
          <w:iCs/>
          <w:lang w:val="en-CA"/>
        </w:rPr>
        <w:t>bi</w:t>
      </w:r>
      <w:r>
        <w:rPr>
          <w:i/>
          <w:iCs/>
          <w:lang w:val="en-CA"/>
        </w:rPr>
        <w:t>d.</w:t>
      </w:r>
      <w:r>
        <w:rPr>
          <w:lang w:val="en-CA"/>
        </w:rPr>
        <w:t xml:space="preserve"> </w:t>
      </w:r>
      <w:r w:rsidR="00277340">
        <w:rPr>
          <w:lang w:val="en-CA"/>
        </w:rPr>
        <w:t xml:space="preserve">at </w:t>
      </w:r>
      <w:r>
        <w:rPr>
          <w:lang w:val="en-CA"/>
        </w:rPr>
        <w:t>16.</w:t>
      </w:r>
    </w:p>
  </w:footnote>
  <w:footnote w:id="8">
    <w:p w14:paraId="6144180F" w14:textId="77777777" w:rsidR="00A50B92" w:rsidRPr="005D3F3F" w:rsidRDefault="005D3F3F" w:rsidP="00A50B92">
      <w:pPr>
        <w:pStyle w:val="Notedebasdepage"/>
        <w:rPr>
          <w:lang w:val="en-US"/>
        </w:rPr>
      </w:pPr>
      <w:r>
        <w:rPr>
          <w:rStyle w:val="Appelnotedebasdep"/>
          <w:lang w:val="en-CA"/>
        </w:rPr>
        <w:footnoteRef/>
      </w:r>
      <w:r>
        <w:rPr>
          <w:i/>
          <w:iCs/>
          <w:lang w:val="en-CA"/>
        </w:rPr>
        <w:t xml:space="preserve"> </w:t>
      </w:r>
      <w:r>
        <w:rPr>
          <w:i/>
          <w:iCs/>
          <w:lang w:val="en-CA"/>
        </w:rPr>
        <w:tab/>
        <w:t>Ibid.</w:t>
      </w:r>
    </w:p>
  </w:footnote>
  <w:footnote w:id="9">
    <w:p w14:paraId="0C5BD20A" w14:textId="6891491D"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w:t>
      </w:r>
      <w:r w:rsidR="00313841">
        <w:rPr>
          <w:i/>
          <w:iCs/>
          <w:lang w:val="en-CA"/>
        </w:rPr>
        <w:t>bi</w:t>
      </w:r>
      <w:r>
        <w:rPr>
          <w:i/>
          <w:iCs/>
          <w:lang w:val="en-CA"/>
        </w:rPr>
        <w:t>d.</w:t>
      </w:r>
      <w:r>
        <w:rPr>
          <w:lang w:val="en-CA"/>
        </w:rPr>
        <w:t xml:space="preserve"> 19.</w:t>
      </w:r>
    </w:p>
  </w:footnote>
  <w:footnote w:id="10">
    <w:p w14:paraId="39959443" w14:textId="77777777" w:rsidR="00A50B92" w:rsidRPr="005D3F3F" w:rsidRDefault="005D3F3F" w:rsidP="00A50B92">
      <w:pPr>
        <w:pStyle w:val="Notedebasdepage"/>
        <w:rPr>
          <w:lang w:val="en-US"/>
        </w:rPr>
      </w:pPr>
      <w:r>
        <w:rPr>
          <w:rStyle w:val="Appelnotedebasdep"/>
          <w:lang w:val="en-CA"/>
        </w:rPr>
        <w:footnoteRef/>
      </w:r>
      <w:r>
        <w:rPr>
          <w:i/>
          <w:iCs/>
          <w:lang w:val="en-CA"/>
        </w:rPr>
        <w:t xml:space="preserve"> </w:t>
      </w:r>
      <w:r>
        <w:rPr>
          <w:i/>
          <w:iCs/>
          <w:lang w:val="en-CA"/>
        </w:rPr>
        <w:tab/>
        <w:t>Ibid.</w:t>
      </w:r>
    </w:p>
  </w:footnote>
  <w:footnote w:id="11">
    <w:p w14:paraId="3A65A4E2" w14:textId="52CEC343"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w:t>
      </w:r>
      <w:r w:rsidR="00313841">
        <w:rPr>
          <w:i/>
          <w:iCs/>
          <w:lang w:val="en-CA"/>
        </w:rPr>
        <w:t>bi</w:t>
      </w:r>
      <w:r>
        <w:rPr>
          <w:i/>
          <w:iCs/>
          <w:lang w:val="en-CA"/>
        </w:rPr>
        <w:t xml:space="preserve">d. </w:t>
      </w:r>
      <w:r>
        <w:rPr>
          <w:lang w:val="en-CA"/>
        </w:rPr>
        <w:t>at 19</w:t>
      </w:r>
      <w:r w:rsidR="00C149D6">
        <w:rPr>
          <w:lang w:val="en-CA"/>
        </w:rPr>
        <w:sym w:font="Symbol" w:char="F02D"/>
      </w:r>
      <w:r>
        <w:rPr>
          <w:lang w:val="en-CA"/>
        </w:rPr>
        <w:t>20.</w:t>
      </w:r>
    </w:p>
  </w:footnote>
  <w:footnote w:id="12">
    <w:p w14:paraId="68734412" w14:textId="1200CD80"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R. c. Yan</w:t>
      </w:r>
      <w:r>
        <w:rPr>
          <w:lang w:val="en-CA"/>
        </w:rPr>
        <w:t>, C.Q. Chicoutimi, No. 150-01-062871-208, June 20, 2022, at 7</w:t>
      </w:r>
      <w:r w:rsidR="005A0F4F">
        <w:rPr>
          <w:lang w:val="en-CA"/>
        </w:rPr>
        <w:t>,</w:t>
      </w:r>
      <w:r>
        <w:rPr>
          <w:lang w:val="en-CA"/>
        </w:rPr>
        <w:t xml:space="preserve"> </w:t>
      </w:r>
      <w:r w:rsidR="005A0F4F">
        <w:rPr>
          <w:lang w:val="en-CA"/>
        </w:rPr>
        <w:t xml:space="preserve">Rouleau, J.C.Q. </w:t>
      </w:r>
      <w:r>
        <w:rPr>
          <w:lang w:val="en-CA"/>
        </w:rPr>
        <w:t>[Judgment on the application to exclude evidence].</w:t>
      </w:r>
    </w:p>
  </w:footnote>
  <w:footnote w:id="13">
    <w:p w14:paraId="29075BCE" w14:textId="77777777"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R. v. Araujo</w:t>
      </w:r>
      <w:r>
        <w:rPr>
          <w:lang w:val="en-CA"/>
        </w:rPr>
        <w:t>, 2000 SCC 65 at para. 46.</w:t>
      </w:r>
    </w:p>
  </w:footnote>
  <w:footnote w:id="14">
    <w:p w14:paraId="1A59AB94" w14:textId="77777777" w:rsidR="00A50B92" w:rsidRPr="002006E0" w:rsidRDefault="005D3F3F" w:rsidP="00A50B92">
      <w:pPr>
        <w:pStyle w:val="Notedebasdepage"/>
      </w:pPr>
      <w:r>
        <w:rPr>
          <w:rStyle w:val="Appelnotedebasdep"/>
          <w:lang w:val="en-CA"/>
        </w:rPr>
        <w:footnoteRef/>
      </w:r>
      <w:r>
        <w:rPr>
          <w:lang w:val="en-CA"/>
        </w:rPr>
        <w:t xml:space="preserve"> </w:t>
      </w:r>
      <w:r>
        <w:rPr>
          <w:lang w:val="en-CA"/>
        </w:rPr>
        <w:tab/>
      </w:r>
      <w:r>
        <w:rPr>
          <w:i/>
          <w:iCs/>
          <w:lang w:val="en-CA"/>
        </w:rPr>
        <w:t>R. v. Morelli</w:t>
      </w:r>
      <w:r>
        <w:rPr>
          <w:lang w:val="en-CA"/>
        </w:rPr>
        <w:t xml:space="preserve">, 2010 SCC 8 at para. </w:t>
      </w:r>
      <w:r w:rsidRPr="005D3F3F">
        <w:t>58.</w:t>
      </w:r>
    </w:p>
  </w:footnote>
  <w:footnote w:id="15">
    <w:p w14:paraId="7D181A03" w14:textId="77777777" w:rsidR="00A50B92" w:rsidRPr="005D3F3F" w:rsidRDefault="005D3F3F" w:rsidP="00A50B92">
      <w:pPr>
        <w:pStyle w:val="Notedebasdepage"/>
        <w:rPr>
          <w:lang w:val="en-US"/>
        </w:rPr>
      </w:pPr>
      <w:r>
        <w:rPr>
          <w:rStyle w:val="Appelnotedebasdep"/>
          <w:lang w:val="en-CA"/>
        </w:rPr>
        <w:footnoteRef/>
      </w:r>
      <w:r w:rsidRPr="005D3F3F">
        <w:t xml:space="preserve"> </w:t>
      </w:r>
      <w:r w:rsidRPr="005D3F3F">
        <w:tab/>
      </w:r>
      <w:r w:rsidRPr="005D3F3F">
        <w:rPr>
          <w:i/>
          <w:iCs/>
        </w:rPr>
        <w:t>Latendresse</w:t>
      </w:r>
      <w:r w:rsidRPr="005D3F3F">
        <w:t xml:space="preserve"> </w:t>
      </w:r>
      <w:r w:rsidRPr="005D3F3F">
        <w:rPr>
          <w:i/>
          <w:iCs/>
        </w:rPr>
        <w:t>c. R.</w:t>
      </w:r>
      <w:r w:rsidRPr="005D3F3F">
        <w:t xml:space="preserve">, 2022 QCCA 1162 at para. </w:t>
      </w:r>
      <w:r>
        <w:rPr>
          <w:lang w:val="en-CA"/>
        </w:rPr>
        <w:t xml:space="preserve">43; </w:t>
      </w:r>
      <w:r>
        <w:rPr>
          <w:i/>
          <w:iCs/>
          <w:lang w:val="en-CA"/>
        </w:rPr>
        <w:t>R. c. Audigé</w:t>
      </w:r>
      <w:r>
        <w:rPr>
          <w:lang w:val="en-CA"/>
        </w:rPr>
        <w:t>, 2020 QCCA 1572 at para. 16.</w:t>
      </w:r>
    </w:p>
  </w:footnote>
  <w:footnote w:id="16">
    <w:p w14:paraId="20AAEFB6" w14:textId="77777777"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Cossette c.</w:t>
      </w:r>
      <w:r>
        <w:rPr>
          <w:lang w:val="en-CA"/>
        </w:rPr>
        <w:t xml:space="preserve"> </w:t>
      </w:r>
      <w:r>
        <w:rPr>
          <w:i/>
          <w:iCs/>
          <w:lang w:val="en-CA"/>
        </w:rPr>
        <w:t>R.</w:t>
      </w:r>
      <w:r>
        <w:rPr>
          <w:lang w:val="en-CA"/>
        </w:rPr>
        <w:t>, 2011 QCCA 2368 at para. 52.</w:t>
      </w:r>
    </w:p>
  </w:footnote>
  <w:footnote w:id="17">
    <w:p w14:paraId="58BACE17" w14:textId="09DE5456"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R. v. Debot</w:t>
      </w:r>
      <w:r>
        <w:rPr>
          <w:lang w:val="en-CA"/>
        </w:rPr>
        <w:t>, [1989] 2 S.C.R. 1140 at 1166.</w:t>
      </w:r>
    </w:p>
  </w:footnote>
  <w:footnote w:id="18">
    <w:p w14:paraId="1181324F" w14:textId="77777777"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R. v. Sadikov</w:t>
      </w:r>
      <w:r>
        <w:rPr>
          <w:lang w:val="en-CA"/>
        </w:rPr>
        <w:t>, 2014 ONCA 72 at para. 81.</w:t>
      </w:r>
    </w:p>
  </w:footnote>
  <w:footnote w:id="19">
    <w:p w14:paraId="2473AE08" w14:textId="63FD9B22"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R.</w:t>
      </w:r>
      <w:r>
        <w:rPr>
          <w:lang w:val="en-CA"/>
        </w:rPr>
        <w:t xml:space="preserve"> v. </w:t>
      </w:r>
      <w:r>
        <w:rPr>
          <w:i/>
          <w:iCs/>
          <w:lang w:val="en-CA"/>
        </w:rPr>
        <w:t>Morelli</w:t>
      </w:r>
      <w:r>
        <w:rPr>
          <w:lang w:val="en-CA"/>
        </w:rPr>
        <w:t xml:space="preserve">, </w:t>
      </w:r>
      <w:r>
        <w:rPr>
          <w:i/>
          <w:iCs/>
          <w:lang w:val="en-CA"/>
        </w:rPr>
        <w:t>supra</w:t>
      </w:r>
      <w:r>
        <w:rPr>
          <w:lang w:val="en-CA"/>
        </w:rPr>
        <w:t xml:space="preserve">, note </w:t>
      </w:r>
      <w:r>
        <w:rPr>
          <w:lang w:val="en-CA"/>
        </w:rPr>
        <w:fldChar w:fldCharType="begin"/>
      </w:r>
      <w:r>
        <w:rPr>
          <w:lang w:val="en-CA"/>
        </w:rPr>
        <w:instrText xml:space="preserve"> NOTEREF _Ref158715613 \h </w:instrText>
      </w:r>
      <w:r>
        <w:rPr>
          <w:lang w:val="en-CA"/>
        </w:rPr>
      </w:r>
      <w:r>
        <w:rPr>
          <w:lang w:val="en-CA"/>
        </w:rPr>
        <w:fldChar w:fldCharType="separate"/>
      </w:r>
      <w:r>
        <w:rPr>
          <w:lang w:val="en-CA"/>
        </w:rPr>
        <w:t>13</w:t>
      </w:r>
      <w:r>
        <w:rPr>
          <w:lang w:val="en-CA"/>
        </w:rPr>
        <w:fldChar w:fldCharType="end"/>
      </w:r>
      <w:r>
        <w:rPr>
          <w:lang w:val="en-CA"/>
        </w:rPr>
        <w:t xml:space="preserve"> at para. 40; </w:t>
      </w:r>
      <w:r>
        <w:rPr>
          <w:i/>
          <w:iCs/>
          <w:lang w:val="en-CA"/>
        </w:rPr>
        <w:t>R.</w:t>
      </w:r>
      <w:r>
        <w:rPr>
          <w:lang w:val="en-CA"/>
        </w:rPr>
        <w:t xml:space="preserve"> v. </w:t>
      </w:r>
      <w:r>
        <w:rPr>
          <w:i/>
          <w:iCs/>
          <w:lang w:val="en-CA"/>
        </w:rPr>
        <w:t>Campbell</w:t>
      </w:r>
      <w:r>
        <w:rPr>
          <w:lang w:val="en-CA"/>
        </w:rPr>
        <w:t>, 2011 SCC 32 at para. 14.</w:t>
      </w:r>
    </w:p>
  </w:footnote>
  <w:footnote w:id="20">
    <w:p w14:paraId="04E83EA1" w14:textId="778DDBB6"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R.</w:t>
      </w:r>
      <w:r>
        <w:rPr>
          <w:lang w:val="en-CA"/>
        </w:rPr>
        <w:t xml:space="preserve"> v. </w:t>
      </w:r>
      <w:r>
        <w:rPr>
          <w:i/>
          <w:iCs/>
          <w:lang w:val="en-CA"/>
        </w:rPr>
        <w:t>Bridgen</w:t>
      </w:r>
      <w:r>
        <w:rPr>
          <w:lang w:val="en-CA"/>
        </w:rPr>
        <w:t xml:space="preserve">, 2022 BCCA 429 at para. 3; </w:t>
      </w:r>
      <w:r>
        <w:rPr>
          <w:i/>
          <w:iCs/>
          <w:lang w:val="en-CA"/>
        </w:rPr>
        <w:t>R.</w:t>
      </w:r>
      <w:r>
        <w:rPr>
          <w:lang w:val="en-CA"/>
        </w:rPr>
        <w:t xml:space="preserve"> v. </w:t>
      </w:r>
      <w:r>
        <w:rPr>
          <w:i/>
          <w:iCs/>
          <w:lang w:val="en-CA"/>
        </w:rPr>
        <w:t>Spackman</w:t>
      </w:r>
      <w:r>
        <w:rPr>
          <w:lang w:val="en-CA"/>
        </w:rPr>
        <w:t xml:space="preserve">, 2012 ONCA 905 at para. 219; </w:t>
      </w:r>
      <w:r>
        <w:rPr>
          <w:i/>
          <w:iCs/>
          <w:lang w:val="en-CA"/>
        </w:rPr>
        <w:t>R.</w:t>
      </w:r>
      <w:r>
        <w:rPr>
          <w:lang w:val="en-CA"/>
        </w:rPr>
        <w:t xml:space="preserve"> v. </w:t>
      </w:r>
      <w:r>
        <w:rPr>
          <w:i/>
          <w:iCs/>
          <w:lang w:val="en-CA"/>
        </w:rPr>
        <w:t>Nero</w:t>
      </w:r>
      <w:r>
        <w:rPr>
          <w:lang w:val="en-CA"/>
        </w:rPr>
        <w:t xml:space="preserve">, 2016 ONCA 160 at para. 69, applications for leave to appeal to the Supreme Court dismissed, July 14, 2016, Nos. 36984 and 36985; </w:t>
      </w:r>
      <w:r>
        <w:rPr>
          <w:i/>
          <w:iCs/>
          <w:lang w:val="en-CA"/>
        </w:rPr>
        <w:t>R.</w:t>
      </w:r>
      <w:r>
        <w:rPr>
          <w:lang w:val="en-CA"/>
        </w:rPr>
        <w:t xml:space="preserve"> </w:t>
      </w:r>
      <w:r>
        <w:rPr>
          <w:i/>
          <w:iCs/>
          <w:lang w:val="en-CA"/>
        </w:rPr>
        <w:t>c</w:t>
      </w:r>
      <w:r>
        <w:rPr>
          <w:lang w:val="en-CA"/>
        </w:rPr>
        <w:t xml:space="preserve">. </w:t>
      </w:r>
      <w:r>
        <w:rPr>
          <w:i/>
          <w:iCs/>
          <w:lang w:val="en-CA"/>
        </w:rPr>
        <w:t>Audigé</w:t>
      </w:r>
      <w:r>
        <w:rPr>
          <w:lang w:val="en-CA"/>
        </w:rPr>
        <w:t xml:space="preserve">, </w:t>
      </w:r>
      <w:r>
        <w:rPr>
          <w:i/>
          <w:iCs/>
          <w:lang w:val="en-CA"/>
        </w:rPr>
        <w:t>supra</w:t>
      </w:r>
      <w:r>
        <w:rPr>
          <w:lang w:val="en-CA"/>
        </w:rPr>
        <w:t xml:space="preserve">, note </w:t>
      </w:r>
      <w:r>
        <w:rPr>
          <w:lang w:val="en-CA"/>
        </w:rPr>
        <w:fldChar w:fldCharType="begin"/>
      </w:r>
      <w:r>
        <w:rPr>
          <w:lang w:val="en-CA"/>
        </w:rPr>
        <w:instrText xml:space="preserve"> NOTEREF _Ref159923563 \h </w:instrText>
      </w:r>
      <w:r>
        <w:rPr>
          <w:lang w:val="en-CA"/>
        </w:rPr>
      </w:r>
      <w:r>
        <w:rPr>
          <w:lang w:val="en-CA"/>
        </w:rPr>
        <w:fldChar w:fldCharType="separate"/>
      </w:r>
      <w:r>
        <w:rPr>
          <w:lang w:val="en-CA"/>
        </w:rPr>
        <w:t>14</w:t>
      </w:r>
      <w:r>
        <w:rPr>
          <w:lang w:val="en-CA"/>
        </w:rPr>
        <w:fldChar w:fldCharType="end"/>
      </w:r>
      <w:r>
        <w:rPr>
          <w:lang w:val="en-CA"/>
        </w:rPr>
        <w:t xml:space="preserve"> at para. 14; </w:t>
      </w:r>
      <w:r>
        <w:rPr>
          <w:i/>
          <w:iCs/>
          <w:lang w:val="en-CA"/>
        </w:rPr>
        <w:t>O’Reilly c</w:t>
      </w:r>
      <w:r>
        <w:rPr>
          <w:lang w:val="en-CA"/>
        </w:rPr>
        <w:t xml:space="preserve">. </w:t>
      </w:r>
      <w:r>
        <w:rPr>
          <w:i/>
          <w:iCs/>
          <w:lang w:val="en-CA"/>
        </w:rPr>
        <w:t>R.</w:t>
      </w:r>
      <w:r>
        <w:rPr>
          <w:lang w:val="en-CA"/>
        </w:rPr>
        <w:t>, 2017 QCCA 1283 at para. 52, application for leave to appeal to the Supreme Court dismissed, 37737</w:t>
      </w:r>
      <w:r w:rsidR="00F1419F" w:rsidRPr="00F1419F">
        <w:rPr>
          <w:lang w:val="en-CA"/>
        </w:rPr>
        <w:t xml:space="preserve"> </w:t>
      </w:r>
      <w:r w:rsidR="00F1419F">
        <w:rPr>
          <w:lang w:val="en-CA"/>
        </w:rPr>
        <w:t>(June</w:t>
      </w:r>
      <w:r w:rsidR="00C941C7">
        <w:rPr>
          <w:lang w:val="en-CA"/>
        </w:rPr>
        <w:t xml:space="preserve"> 7,</w:t>
      </w:r>
      <w:r w:rsidR="00F1419F">
        <w:rPr>
          <w:lang w:val="en-CA"/>
        </w:rPr>
        <w:t xml:space="preserve"> 2018)</w:t>
      </w:r>
      <w:r>
        <w:rPr>
          <w:lang w:val="en-CA"/>
        </w:rPr>
        <w:t>.</w:t>
      </w:r>
    </w:p>
  </w:footnote>
  <w:footnote w:id="21">
    <w:p w14:paraId="5CB7522C" w14:textId="09AE6F46"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R.</w:t>
      </w:r>
      <w:r>
        <w:rPr>
          <w:lang w:val="en-CA"/>
        </w:rPr>
        <w:t xml:space="preserve"> </w:t>
      </w:r>
      <w:r>
        <w:rPr>
          <w:i/>
          <w:iCs/>
          <w:lang w:val="en-CA"/>
        </w:rPr>
        <w:t>c</w:t>
      </w:r>
      <w:r>
        <w:rPr>
          <w:lang w:val="en-CA"/>
        </w:rPr>
        <w:t xml:space="preserve">. </w:t>
      </w:r>
      <w:r>
        <w:rPr>
          <w:i/>
          <w:iCs/>
          <w:lang w:val="en-CA"/>
        </w:rPr>
        <w:t>Audigé</w:t>
      </w:r>
      <w:r>
        <w:rPr>
          <w:lang w:val="en-CA"/>
        </w:rPr>
        <w:t xml:space="preserve">, </w:t>
      </w:r>
      <w:r>
        <w:rPr>
          <w:i/>
          <w:iCs/>
          <w:lang w:val="en-CA"/>
        </w:rPr>
        <w:t>supra</w:t>
      </w:r>
      <w:r>
        <w:rPr>
          <w:lang w:val="en-CA"/>
        </w:rPr>
        <w:t xml:space="preserve">, note </w:t>
      </w:r>
      <w:r>
        <w:rPr>
          <w:lang w:val="en-CA"/>
        </w:rPr>
        <w:fldChar w:fldCharType="begin"/>
      </w:r>
      <w:r>
        <w:rPr>
          <w:lang w:val="en-CA"/>
        </w:rPr>
        <w:instrText xml:space="preserve"> NOTEREF _Ref159923563 \h </w:instrText>
      </w:r>
      <w:r>
        <w:rPr>
          <w:lang w:val="en-CA"/>
        </w:rPr>
      </w:r>
      <w:r>
        <w:rPr>
          <w:lang w:val="en-CA"/>
        </w:rPr>
        <w:fldChar w:fldCharType="separate"/>
      </w:r>
      <w:r>
        <w:rPr>
          <w:lang w:val="en-CA"/>
        </w:rPr>
        <w:t>14</w:t>
      </w:r>
      <w:r>
        <w:rPr>
          <w:lang w:val="en-CA"/>
        </w:rPr>
        <w:fldChar w:fldCharType="end"/>
      </w:r>
      <w:r>
        <w:rPr>
          <w:lang w:val="en-CA"/>
        </w:rPr>
        <w:t xml:space="preserve"> at para. 14; </w:t>
      </w:r>
      <w:r>
        <w:rPr>
          <w:i/>
          <w:iCs/>
          <w:lang w:val="en-CA"/>
        </w:rPr>
        <w:t>O’Reilly</w:t>
      </w:r>
      <w:r>
        <w:rPr>
          <w:lang w:val="en-CA"/>
        </w:rPr>
        <w:t xml:space="preserve"> </w:t>
      </w:r>
      <w:r>
        <w:rPr>
          <w:i/>
          <w:iCs/>
          <w:lang w:val="en-CA"/>
        </w:rPr>
        <w:t>c</w:t>
      </w:r>
      <w:r>
        <w:rPr>
          <w:lang w:val="en-CA"/>
        </w:rPr>
        <w:t xml:space="preserve">. </w:t>
      </w:r>
      <w:r>
        <w:rPr>
          <w:i/>
          <w:iCs/>
          <w:lang w:val="en-CA"/>
        </w:rPr>
        <w:t>R.</w:t>
      </w:r>
      <w:r>
        <w:rPr>
          <w:lang w:val="en-CA"/>
        </w:rPr>
        <w:t xml:space="preserve">, </w:t>
      </w:r>
      <w:r>
        <w:rPr>
          <w:i/>
          <w:iCs/>
          <w:lang w:val="en-CA"/>
        </w:rPr>
        <w:t>supra</w:t>
      </w:r>
      <w:r>
        <w:rPr>
          <w:lang w:val="en-CA"/>
        </w:rPr>
        <w:t xml:space="preserve">, note </w:t>
      </w:r>
      <w:r>
        <w:rPr>
          <w:lang w:val="en-CA"/>
        </w:rPr>
        <w:fldChar w:fldCharType="begin"/>
      </w:r>
      <w:r>
        <w:rPr>
          <w:lang w:val="en-CA"/>
        </w:rPr>
        <w:instrText xml:space="preserve"> NOTEREF _Ref158716027 \h </w:instrText>
      </w:r>
      <w:r>
        <w:rPr>
          <w:lang w:val="en-CA"/>
        </w:rPr>
      </w:r>
      <w:r>
        <w:rPr>
          <w:lang w:val="en-CA"/>
        </w:rPr>
        <w:fldChar w:fldCharType="separate"/>
      </w:r>
      <w:r>
        <w:rPr>
          <w:lang w:val="en-CA"/>
        </w:rPr>
        <w:t>19</w:t>
      </w:r>
      <w:r>
        <w:rPr>
          <w:lang w:val="en-CA"/>
        </w:rPr>
        <w:fldChar w:fldCharType="end"/>
      </w:r>
      <w:r>
        <w:rPr>
          <w:lang w:val="en-CA"/>
        </w:rPr>
        <w:t xml:space="preserve"> at para. 52.</w:t>
      </w:r>
    </w:p>
  </w:footnote>
  <w:footnote w:id="22">
    <w:p w14:paraId="7FD837D9" w14:textId="722E50F3"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R.</w:t>
      </w:r>
      <w:r>
        <w:rPr>
          <w:lang w:val="en-CA"/>
        </w:rPr>
        <w:t xml:space="preserve"> v. </w:t>
      </w:r>
      <w:r>
        <w:rPr>
          <w:i/>
          <w:iCs/>
          <w:lang w:val="en-CA"/>
        </w:rPr>
        <w:t>Jones</w:t>
      </w:r>
      <w:r>
        <w:rPr>
          <w:lang w:val="en-CA"/>
        </w:rPr>
        <w:t xml:space="preserve">, 2023 ONCA 106 at para. 11; </w:t>
      </w:r>
      <w:r>
        <w:rPr>
          <w:i/>
          <w:iCs/>
          <w:lang w:val="en-CA"/>
        </w:rPr>
        <w:t>Simon</w:t>
      </w:r>
      <w:r>
        <w:rPr>
          <w:lang w:val="en-CA"/>
        </w:rPr>
        <w:t xml:space="preserve"> </w:t>
      </w:r>
      <w:r>
        <w:rPr>
          <w:i/>
          <w:iCs/>
          <w:lang w:val="en-CA"/>
        </w:rPr>
        <w:t>c</w:t>
      </w:r>
      <w:r>
        <w:rPr>
          <w:lang w:val="en-CA"/>
        </w:rPr>
        <w:t xml:space="preserve">. </w:t>
      </w:r>
      <w:r>
        <w:rPr>
          <w:i/>
          <w:iCs/>
          <w:lang w:val="en-CA"/>
        </w:rPr>
        <w:t>R.</w:t>
      </w:r>
      <w:r>
        <w:rPr>
          <w:lang w:val="en-CA"/>
        </w:rPr>
        <w:t>, 2022 QCCA 634 at para. 34, application for leave to appeal to the Supreme Court dismissed, 40294</w:t>
      </w:r>
      <w:r w:rsidR="00F1419F">
        <w:rPr>
          <w:lang w:val="en-CA"/>
        </w:rPr>
        <w:t xml:space="preserve"> (March</w:t>
      </w:r>
      <w:r w:rsidR="00C941C7">
        <w:rPr>
          <w:lang w:val="en-CA"/>
        </w:rPr>
        <w:t xml:space="preserve"> 30,</w:t>
      </w:r>
      <w:r w:rsidR="00F1419F">
        <w:rPr>
          <w:lang w:val="en-CA"/>
        </w:rPr>
        <w:t xml:space="preserve"> 2023)</w:t>
      </w:r>
      <w:r>
        <w:rPr>
          <w:lang w:val="en-CA"/>
        </w:rPr>
        <w:t xml:space="preserve">; </w:t>
      </w:r>
      <w:r>
        <w:rPr>
          <w:i/>
          <w:iCs/>
          <w:lang w:val="en-CA"/>
        </w:rPr>
        <w:t>R.</w:t>
      </w:r>
      <w:r>
        <w:rPr>
          <w:lang w:val="en-CA"/>
        </w:rPr>
        <w:t xml:space="preserve"> v. </w:t>
      </w:r>
      <w:r>
        <w:rPr>
          <w:i/>
          <w:iCs/>
          <w:lang w:val="en-CA"/>
        </w:rPr>
        <w:t>Bridgen</w:t>
      </w:r>
      <w:r>
        <w:rPr>
          <w:lang w:val="en-CA"/>
        </w:rPr>
        <w:t xml:space="preserve">, </w:t>
      </w:r>
      <w:r>
        <w:rPr>
          <w:i/>
          <w:iCs/>
          <w:lang w:val="en-CA"/>
        </w:rPr>
        <w:t>supra</w:t>
      </w:r>
      <w:r>
        <w:rPr>
          <w:lang w:val="en-CA"/>
        </w:rPr>
        <w:t xml:space="preserve">, note </w:t>
      </w:r>
      <w:r>
        <w:rPr>
          <w:lang w:val="en-CA"/>
        </w:rPr>
        <w:fldChar w:fldCharType="begin"/>
      </w:r>
      <w:r>
        <w:rPr>
          <w:lang w:val="en-CA"/>
        </w:rPr>
        <w:instrText xml:space="preserve"> NOTEREF _Ref158716027 \h </w:instrText>
      </w:r>
      <w:r>
        <w:rPr>
          <w:lang w:val="en-CA"/>
        </w:rPr>
      </w:r>
      <w:r>
        <w:rPr>
          <w:lang w:val="en-CA"/>
        </w:rPr>
        <w:fldChar w:fldCharType="separate"/>
      </w:r>
      <w:r>
        <w:rPr>
          <w:lang w:val="en-CA"/>
        </w:rPr>
        <w:t>19</w:t>
      </w:r>
      <w:r>
        <w:rPr>
          <w:lang w:val="en-CA"/>
        </w:rPr>
        <w:fldChar w:fldCharType="end"/>
      </w:r>
      <w:r>
        <w:rPr>
          <w:lang w:val="en-CA"/>
        </w:rPr>
        <w:t xml:space="preserve"> at para. 7; </w:t>
      </w:r>
      <w:r>
        <w:rPr>
          <w:i/>
          <w:iCs/>
          <w:lang w:val="en-CA"/>
        </w:rPr>
        <w:t>R.</w:t>
      </w:r>
      <w:r>
        <w:rPr>
          <w:lang w:val="en-CA"/>
        </w:rPr>
        <w:t xml:space="preserve"> v. </w:t>
      </w:r>
      <w:r>
        <w:rPr>
          <w:i/>
          <w:iCs/>
          <w:lang w:val="en-CA"/>
        </w:rPr>
        <w:t>Spackman</w:t>
      </w:r>
      <w:r>
        <w:rPr>
          <w:lang w:val="en-CA"/>
        </w:rPr>
        <w:t>, 2012 ONCA 905 at para. 220.</w:t>
      </w:r>
    </w:p>
  </w:footnote>
  <w:footnote w:id="23">
    <w:p w14:paraId="24E3862E" w14:textId="5E338E2C"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t>Judgment on the application to exclude evidence</w:t>
      </w:r>
      <w:r w:rsidR="005B389A">
        <w:rPr>
          <w:lang w:val="en-CA"/>
        </w:rPr>
        <w:t>, at</w:t>
      </w:r>
      <w:r>
        <w:rPr>
          <w:lang w:val="en-CA"/>
        </w:rPr>
        <w:t xml:space="preserve"> 7</w:t>
      </w:r>
      <w:r w:rsidR="005B389A">
        <w:rPr>
          <w:lang w:val="en-CA"/>
        </w:rPr>
        <w:sym w:font="Symbol" w:char="F02D"/>
      </w:r>
      <w:r>
        <w:rPr>
          <w:lang w:val="en-CA"/>
        </w:rPr>
        <w:t>8.</w:t>
      </w:r>
    </w:p>
  </w:footnote>
  <w:footnote w:id="24">
    <w:p w14:paraId="479F6069" w14:textId="3AB7202F"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 xml:space="preserve">R. c. </w:t>
      </w:r>
      <w:r>
        <w:rPr>
          <w:i/>
          <w:iCs/>
          <w:lang w:val="en-CA"/>
        </w:rPr>
        <w:t>Audigé</w:t>
      </w:r>
      <w:r>
        <w:rPr>
          <w:lang w:val="en-CA"/>
        </w:rPr>
        <w:t xml:space="preserve">, </w:t>
      </w:r>
      <w:r>
        <w:rPr>
          <w:i/>
          <w:iCs/>
          <w:lang w:val="en-CA"/>
        </w:rPr>
        <w:t>supra</w:t>
      </w:r>
      <w:r>
        <w:rPr>
          <w:lang w:val="en-CA"/>
        </w:rPr>
        <w:t xml:space="preserve">, note </w:t>
      </w:r>
      <w:r>
        <w:rPr>
          <w:lang w:val="en-CA"/>
        </w:rPr>
        <w:fldChar w:fldCharType="begin"/>
      </w:r>
      <w:r>
        <w:rPr>
          <w:lang w:val="en-CA"/>
        </w:rPr>
        <w:instrText xml:space="preserve"> NOTEREF _Ref159923563 \h </w:instrText>
      </w:r>
      <w:r>
        <w:rPr>
          <w:lang w:val="en-CA"/>
        </w:rPr>
      </w:r>
      <w:r>
        <w:rPr>
          <w:lang w:val="en-CA"/>
        </w:rPr>
        <w:fldChar w:fldCharType="separate"/>
      </w:r>
      <w:r>
        <w:rPr>
          <w:lang w:val="en-CA"/>
        </w:rPr>
        <w:t>14</w:t>
      </w:r>
      <w:r>
        <w:rPr>
          <w:lang w:val="en-CA"/>
        </w:rPr>
        <w:fldChar w:fldCharType="end"/>
      </w:r>
      <w:r>
        <w:rPr>
          <w:lang w:val="en-CA"/>
        </w:rPr>
        <w:t xml:space="preserve"> at para. 14.</w:t>
      </w:r>
    </w:p>
  </w:footnote>
  <w:footnote w:id="25">
    <w:p w14:paraId="484283D8" w14:textId="77777777"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 xml:space="preserve">R. v. Brunelle, </w:t>
      </w:r>
      <w:r>
        <w:rPr>
          <w:lang w:val="en-CA"/>
        </w:rPr>
        <w:t>2022 SCC 5 at para. 8.</w:t>
      </w:r>
    </w:p>
  </w:footnote>
  <w:footnote w:id="26">
    <w:p w14:paraId="3AC8DE4B" w14:textId="40F09220"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w:t>
      </w:r>
      <w:r w:rsidR="00683F08">
        <w:rPr>
          <w:i/>
          <w:iCs/>
          <w:lang w:val="en-CA"/>
        </w:rPr>
        <w:t>bi</w:t>
      </w:r>
      <w:r>
        <w:rPr>
          <w:i/>
          <w:iCs/>
          <w:lang w:val="en-CA"/>
        </w:rPr>
        <w:t>d</w:t>
      </w:r>
      <w:r>
        <w:rPr>
          <w:lang w:val="en-CA"/>
        </w:rPr>
        <w:t>. at para. 7.</w:t>
      </w:r>
    </w:p>
  </w:footnote>
  <w:footnote w:id="27">
    <w:p w14:paraId="4704C181" w14:textId="77777777"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R. v. Sharpe</w:t>
      </w:r>
      <w:r>
        <w:rPr>
          <w:lang w:val="en-CA"/>
        </w:rPr>
        <w:t>, 2001 SCC 2.</w:t>
      </w:r>
    </w:p>
  </w:footnote>
  <w:footnote w:id="28">
    <w:p w14:paraId="1C805F09" w14:textId="16CEDA9D"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w:t>
      </w:r>
      <w:r w:rsidR="00EB2CEC">
        <w:rPr>
          <w:i/>
          <w:iCs/>
          <w:lang w:val="en-CA"/>
        </w:rPr>
        <w:t>bi</w:t>
      </w:r>
      <w:r>
        <w:rPr>
          <w:i/>
          <w:iCs/>
          <w:lang w:val="en-CA"/>
        </w:rPr>
        <w:t>d</w:t>
      </w:r>
      <w:r>
        <w:rPr>
          <w:lang w:val="en-CA"/>
        </w:rPr>
        <w:t>. at para. 34.</w:t>
      </w:r>
    </w:p>
  </w:footnote>
  <w:footnote w:id="29">
    <w:p w14:paraId="03CAA8B3" w14:textId="204E8C16"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w:t>
      </w:r>
      <w:r w:rsidR="00EB2CEC">
        <w:rPr>
          <w:i/>
          <w:iCs/>
          <w:lang w:val="en-CA"/>
        </w:rPr>
        <w:t>bi</w:t>
      </w:r>
      <w:r>
        <w:rPr>
          <w:i/>
          <w:iCs/>
          <w:lang w:val="en-CA"/>
        </w:rPr>
        <w:t>d</w:t>
      </w:r>
      <w:r>
        <w:rPr>
          <w:lang w:val="en-CA"/>
        </w:rPr>
        <w:t>. at para. 50.</w:t>
      </w:r>
    </w:p>
  </w:footnote>
  <w:footnote w:id="30">
    <w:p w14:paraId="10B698FF" w14:textId="233CE950"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w:t>
      </w:r>
      <w:r w:rsidR="00EB2CEC">
        <w:rPr>
          <w:i/>
          <w:iCs/>
          <w:lang w:val="en-CA"/>
        </w:rPr>
        <w:t>bi</w:t>
      </w:r>
      <w:r>
        <w:rPr>
          <w:i/>
          <w:iCs/>
          <w:lang w:val="en-CA"/>
        </w:rPr>
        <w:t xml:space="preserve">d. </w:t>
      </w:r>
      <w:r>
        <w:rPr>
          <w:lang w:val="en-CA"/>
        </w:rPr>
        <w:t>at para. 51.</w:t>
      </w:r>
    </w:p>
  </w:footnote>
  <w:footnote w:id="31">
    <w:p w14:paraId="48182A6E" w14:textId="77777777"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LSJPA — 1811</w:t>
      </w:r>
      <w:r>
        <w:rPr>
          <w:lang w:val="en-CA"/>
        </w:rPr>
        <w:t>, 2018 QCCA 597 at para. 15.</w:t>
      </w:r>
    </w:p>
  </w:footnote>
  <w:footnote w:id="32">
    <w:p w14:paraId="622095DA" w14:textId="387AB8AC"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w:t>
      </w:r>
      <w:r w:rsidR="00EB2CEC">
        <w:rPr>
          <w:i/>
          <w:iCs/>
          <w:lang w:val="en-CA"/>
        </w:rPr>
        <w:t>bi</w:t>
      </w:r>
      <w:r>
        <w:rPr>
          <w:i/>
          <w:iCs/>
          <w:lang w:val="en-CA"/>
        </w:rPr>
        <w:t>d</w:t>
      </w:r>
      <w:r>
        <w:rPr>
          <w:lang w:val="en-CA"/>
        </w:rPr>
        <w:t>. at para. 16.</w:t>
      </w:r>
    </w:p>
  </w:footnote>
  <w:footnote w:id="33">
    <w:p w14:paraId="1721A883" w14:textId="6DCFACEA" w:rsidR="00A50B92" w:rsidRPr="006729B0" w:rsidRDefault="005D3F3F" w:rsidP="00A50B92">
      <w:pPr>
        <w:pStyle w:val="Notedebasdepage"/>
        <w:rPr>
          <w:lang w:val="en-CA"/>
        </w:rPr>
      </w:pPr>
      <w:r w:rsidRPr="00EE081D">
        <w:rPr>
          <w:rStyle w:val="Appelnotedebasdep"/>
          <w:lang w:val="en-CA"/>
        </w:rPr>
        <w:footnoteRef/>
      </w:r>
      <w:r w:rsidRPr="00EE081D">
        <w:rPr>
          <w:lang w:val="en-CA"/>
        </w:rPr>
        <w:t xml:space="preserve"> </w:t>
      </w:r>
      <w:r w:rsidRPr="00EE081D">
        <w:rPr>
          <w:lang w:val="en-CA"/>
        </w:rPr>
        <w:tab/>
        <w:t xml:space="preserve">See: </w:t>
      </w:r>
      <w:r w:rsidRPr="00EE081D">
        <w:rPr>
          <w:i/>
          <w:iCs/>
          <w:lang w:val="en-CA"/>
        </w:rPr>
        <w:t>R. v Morellato</w:t>
      </w:r>
      <w:r w:rsidRPr="00EE081D">
        <w:rPr>
          <w:lang w:val="en-CA"/>
        </w:rPr>
        <w:t xml:space="preserve">, [2023] O.J. No. 4428 (C.J. Ont.); </w:t>
      </w:r>
      <w:r w:rsidRPr="00EE081D">
        <w:rPr>
          <w:i/>
          <w:iCs/>
          <w:lang w:val="en-CA"/>
        </w:rPr>
        <w:t>R. c. Gagnon</w:t>
      </w:r>
      <w:r w:rsidRPr="00EE081D">
        <w:rPr>
          <w:lang w:val="en-CA"/>
        </w:rPr>
        <w:t xml:space="preserve">, 2020 QCCQ 2170; </w:t>
      </w:r>
      <w:r w:rsidRPr="00EE081D">
        <w:rPr>
          <w:i/>
          <w:iCs/>
          <w:lang w:val="en-CA"/>
        </w:rPr>
        <w:t>R. v. Harrison</w:t>
      </w:r>
      <w:r w:rsidRPr="00EE081D">
        <w:rPr>
          <w:lang w:val="en-CA"/>
        </w:rPr>
        <w:t>, [2019] N.J. No. 406 (</w:t>
      </w:r>
      <w:r w:rsidRPr="006729B0">
        <w:rPr>
          <w:lang w:val="en-CA"/>
        </w:rPr>
        <w:t>N</w:t>
      </w:r>
      <w:r w:rsidR="00EE081D" w:rsidRPr="006729B0">
        <w:rPr>
          <w:lang w:val="en-CA"/>
        </w:rPr>
        <w:t>L PC</w:t>
      </w:r>
      <w:r w:rsidRPr="006729B0">
        <w:rPr>
          <w:lang w:val="en-CA"/>
        </w:rPr>
        <w:t xml:space="preserve">); </w:t>
      </w:r>
      <w:r w:rsidRPr="006729B0">
        <w:rPr>
          <w:i/>
          <w:iCs/>
          <w:lang w:val="en-CA"/>
        </w:rPr>
        <w:t>R. c. Renaud</w:t>
      </w:r>
      <w:r w:rsidRPr="006729B0">
        <w:rPr>
          <w:lang w:val="en-CA"/>
        </w:rPr>
        <w:t>, [2013] J.Q. No. 10432 (C.S.).</w:t>
      </w:r>
    </w:p>
  </w:footnote>
  <w:footnote w:id="34">
    <w:p w14:paraId="014A54AE" w14:textId="0FC40C8A" w:rsidR="00A50B92" w:rsidRPr="000F3F93" w:rsidRDefault="005D3F3F" w:rsidP="00A50B92">
      <w:pPr>
        <w:pStyle w:val="Notedebasdepage"/>
      </w:pPr>
      <w:r>
        <w:rPr>
          <w:rStyle w:val="Appelnotedebasdep"/>
          <w:lang w:val="en-CA"/>
        </w:rPr>
        <w:footnoteRef/>
      </w:r>
      <w:r w:rsidRPr="005D3F3F">
        <w:t xml:space="preserve"> </w:t>
      </w:r>
      <w:r w:rsidRPr="005D3F3F">
        <w:tab/>
      </w:r>
      <w:r w:rsidRPr="005D3F3F">
        <w:rPr>
          <w:i/>
          <w:iCs/>
        </w:rPr>
        <w:t>R. v. Gagnon</w:t>
      </w:r>
      <w:r w:rsidRPr="005D3F3F">
        <w:t xml:space="preserve">, </w:t>
      </w:r>
      <w:r w:rsidRPr="005D3F3F">
        <w:rPr>
          <w:i/>
          <w:iCs/>
        </w:rPr>
        <w:t>supra</w:t>
      </w:r>
      <w:r w:rsidRPr="005D3F3F">
        <w:t xml:space="preserve">, note </w:t>
      </w:r>
      <w:r>
        <w:rPr>
          <w:lang w:val="en-CA"/>
        </w:rPr>
        <w:fldChar w:fldCharType="begin"/>
      </w:r>
      <w:r w:rsidRPr="005D3F3F">
        <w:instrText xml:space="preserve"> NOTEREF _Ref158716746 \h </w:instrText>
      </w:r>
      <w:r>
        <w:rPr>
          <w:lang w:val="en-CA"/>
        </w:rPr>
      </w:r>
      <w:r>
        <w:rPr>
          <w:lang w:val="en-CA"/>
        </w:rPr>
        <w:fldChar w:fldCharType="separate"/>
      </w:r>
      <w:r w:rsidRPr="005D3F3F">
        <w:t>32</w:t>
      </w:r>
      <w:r>
        <w:rPr>
          <w:lang w:val="en-CA"/>
        </w:rPr>
        <w:fldChar w:fldCharType="end"/>
      </w:r>
      <w:r w:rsidRPr="005D3F3F">
        <w:t>.</w:t>
      </w:r>
    </w:p>
  </w:footnote>
  <w:footnote w:id="35">
    <w:p w14:paraId="1B9F3556" w14:textId="7D45B1E6" w:rsidR="00A50B92" w:rsidRPr="000F3F93" w:rsidRDefault="005D3F3F" w:rsidP="00A50B92">
      <w:pPr>
        <w:pStyle w:val="Notedebasdepage"/>
      </w:pPr>
      <w:r>
        <w:rPr>
          <w:rStyle w:val="Appelnotedebasdep"/>
          <w:lang w:val="en-CA"/>
        </w:rPr>
        <w:footnoteRef/>
      </w:r>
      <w:r w:rsidRPr="005D3F3F">
        <w:t xml:space="preserve"> </w:t>
      </w:r>
      <w:r w:rsidRPr="005D3F3F">
        <w:tab/>
      </w:r>
      <w:r w:rsidRPr="005D3F3F">
        <w:rPr>
          <w:i/>
          <w:iCs/>
        </w:rPr>
        <w:t>R. c. Renaud</w:t>
      </w:r>
      <w:r w:rsidRPr="005D3F3F">
        <w:t xml:space="preserve">, </w:t>
      </w:r>
      <w:r w:rsidRPr="005D3F3F">
        <w:rPr>
          <w:i/>
          <w:iCs/>
        </w:rPr>
        <w:t>supra</w:t>
      </w:r>
      <w:r w:rsidRPr="005D3F3F">
        <w:t xml:space="preserve">, note </w:t>
      </w:r>
      <w:r>
        <w:rPr>
          <w:lang w:val="en-CA"/>
        </w:rPr>
        <w:fldChar w:fldCharType="begin"/>
      </w:r>
      <w:r w:rsidRPr="005D3F3F">
        <w:instrText xml:space="preserve"> NOTEREF _Ref158716746 \h </w:instrText>
      </w:r>
      <w:r>
        <w:rPr>
          <w:lang w:val="en-CA"/>
        </w:rPr>
      </w:r>
      <w:r>
        <w:rPr>
          <w:lang w:val="en-CA"/>
        </w:rPr>
        <w:fldChar w:fldCharType="separate"/>
      </w:r>
      <w:r w:rsidRPr="005D3F3F">
        <w:t>32</w:t>
      </w:r>
      <w:r>
        <w:rPr>
          <w:lang w:val="en-CA"/>
        </w:rPr>
        <w:fldChar w:fldCharType="end"/>
      </w:r>
      <w:r w:rsidRPr="005D3F3F">
        <w:t xml:space="preserve">. </w:t>
      </w:r>
    </w:p>
  </w:footnote>
  <w:footnote w:id="36">
    <w:p w14:paraId="45CDD878" w14:textId="7BDFD764" w:rsidR="00A50B92" w:rsidRPr="005D3F3F" w:rsidRDefault="005D3F3F" w:rsidP="00A50B92">
      <w:pPr>
        <w:pStyle w:val="Notedebasdepage"/>
        <w:rPr>
          <w:lang w:val="en-US"/>
        </w:rPr>
      </w:pPr>
      <w:r>
        <w:rPr>
          <w:rStyle w:val="Appelnotedebasdep"/>
          <w:lang w:val="en-CA"/>
        </w:rPr>
        <w:footnoteRef/>
      </w:r>
      <w:r w:rsidRPr="005D3F3F">
        <w:t xml:space="preserve"> </w:t>
      </w:r>
      <w:r w:rsidRPr="005D3F3F">
        <w:tab/>
      </w:r>
      <w:r w:rsidRPr="005D3F3F">
        <w:rPr>
          <w:i/>
          <w:iCs/>
        </w:rPr>
        <w:t>R. c. Gagnon</w:t>
      </w:r>
      <w:r w:rsidRPr="005D3F3F">
        <w:t xml:space="preserve">, </w:t>
      </w:r>
      <w:r w:rsidRPr="005D3F3F">
        <w:rPr>
          <w:i/>
          <w:iCs/>
        </w:rPr>
        <w:t>supra</w:t>
      </w:r>
      <w:r w:rsidRPr="005D3F3F">
        <w:t xml:space="preserve">, note </w:t>
      </w:r>
      <w:r>
        <w:rPr>
          <w:lang w:val="en-CA"/>
        </w:rPr>
        <w:fldChar w:fldCharType="begin"/>
      </w:r>
      <w:r w:rsidRPr="005D3F3F">
        <w:instrText xml:space="preserve"> NOTEREF _Ref158716746 \h </w:instrText>
      </w:r>
      <w:r>
        <w:rPr>
          <w:lang w:val="en-CA"/>
        </w:rPr>
      </w:r>
      <w:r>
        <w:rPr>
          <w:lang w:val="en-CA"/>
        </w:rPr>
        <w:fldChar w:fldCharType="separate"/>
      </w:r>
      <w:r w:rsidRPr="005D3F3F">
        <w:t>32</w:t>
      </w:r>
      <w:r>
        <w:rPr>
          <w:lang w:val="en-CA"/>
        </w:rPr>
        <w:fldChar w:fldCharType="end"/>
      </w:r>
      <w:r w:rsidRPr="005D3F3F">
        <w:t xml:space="preserve"> at paras. </w:t>
      </w:r>
      <w:r>
        <w:rPr>
          <w:lang w:val="en-CA"/>
        </w:rPr>
        <w:t>63</w:t>
      </w:r>
      <w:r w:rsidR="0016426C">
        <w:rPr>
          <w:lang w:val="en-CA"/>
        </w:rPr>
        <w:sym w:font="Symbol" w:char="F02D"/>
      </w:r>
      <w:r>
        <w:rPr>
          <w:lang w:val="en-CA"/>
        </w:rPr>
        <w:t>64.</w:t>
      </w:r>
    </w:p>
  </w:footnote>
  <w:footnote w:id="37">
    <w:p w14:paraId="04F649BA" w14:textId="0B939A68"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w:t>
      </w:r>
      <w:r w:rsidR="004D3EEF">
        <w:rPr>
          <w:i/>
          <w:iCs/>
          <w:lang w:val="en-CA"/>
        </w:rPr>
        <w:t>bi</w:t>
      </w:r>
      <w:r>
        <w:rPr>
          <w:i/>
          <w:iCs/>
          <w:lang w:val="en-CA"/>
        </w:rPr>
        <w:t>d. at</w:t>
      </w:r>
      <w:r>
        <w:rPr>
          <w:lang w:val="en-CA"/>
        </w:rPr>
        <w:t xml:space="preserve"> para. 69.</w:t>
      </w:r>
    </w:p>
  </w:footnote>
  <w:footnote w:id="38">
    <w:p w14:paraId="7777235B" w14:textId="13704993"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w:t>
      </w:r>
      <w:r w:rsidR="004D3EEF">
        <w:rPr>
          <w:i/>
          <w:iCs/>
          <w:lang w:val="en-CA"/>
        </w:rPr>
        <w:t>bi</w:t>
      </w:r>
      <w:r>
        <w:rPr>
          <w:i/>
          <w:iCs/>
          <w:lang w:val="en-CA"/>
        </w:rPr>
        <w:t>d</w:t>
      </w:r>
      <w:r>
        <w:rPr>
          <w:lang w:val="en-CA"/>
        </w:rPr>
        <w:t>. at paras. 70</w:t>
      </w:r>
      <w:r w:rsidR="004D3EEF">
        <w:rPr>
          <w:lang w:val="en-CA"/>
        </w:rPr>
        <w:sym w:font="Symbol" w:char="F02D"/>
      </w:r>
      <w:r>
        <w:rPr>
          <w:lang w:val="en-CA"/>
        </w:rPr>
        <w:t>72.</w:t>
      </w:r>
    </w:p>
  </w:footnote>
  <w:footnote w:id="39">
    <w:p w14:paraId="30946281" w14:textId="425BD034"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w:t>
      </w:r>
      <w:r w:rsidR="004D3EEF">
        <w:rPr>
          <w:i/>
          <w:iCs/>
          <w:lang w:val="en-CA"/>
        </w:rPr>
        <w:t>bi</w:t>
      </w:r>
      <w:r>
        <w:rPr>
          <w:i/>
          <w:iCs/>
          <w:lang w:val="en-CA"/>
        </w:rPr>
        <w:t>d</w:t>
      </w:r>
      <w:r>
        <w:rPr>
          <w:lang w:val="en-CA"/>
        </w:rPr>
        <w:t>. at paras. 73 and 76.</w:t>
      </w:r>
    </w:p>
  </w:footnote>
  <w:footnote w:id="40">
    <w:p w14:paraId="4793BFDC" w14:textId="12C21742"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t>Judgment on guilt at 14.</w:t>
      </w:r>
    </w:p>
  </w:footnote>
  <w:footnote w:id="41">
    <w:p w14:paraId="0A344254" w14:textId="794065D8"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R. v. Sharpe</w:t>
      </w:r>
      <w:r>
        <w:rPr>
          <w:lang w:val="en-CA"/>
        </w:rPr>
        <w:t xml:space="preserve">, </w:t>
      </w:r>
      <w:r>
        <w:rPr>
          <w:i/>
          <w:iCs/>
          <w:lang w:val="en-CA"/>
        </w:rPr>
        <w:t>supra</w:t>
      </w:r>
      <w:r>
        <w:rPr>
          <w:lang w:val="en-CA"/>
        </w:rPr>
        <w:t xml:space="preserve"> note </w:t>
      </w:r>
      <w:r>
        <w:rPr>
          <w:lang w:val="en-CA"/>
        </w:rPr>
        <w:fldChar w:fldCharType="begin"/>
      </w:r>
      <w:r>
        <w:rPr>
          <w:lang w:val="en-CA"/>
        </w:rPr>
        <w:instrText xml:space="preserve"> NOTEREF _Ref158716979 \h </w:instrText>
      </w:r>
      <w:r>
        <w:rPr>
          <w:lang w:val="en-CA"/>
        </w:rPr>
      </w:r>
      <w:r>
        <w:rPr>
          <w:lang w:val="en-CA"/>
        </w:rPr>
        <w:fldChar w:fldCharType="separate"/>
      </w:r>
      <w:r>
        <w:rPr>
          <w:lang w:val="en-CA"/>
        </w:rPr>
        <w:t>26</w:t>
      </w:r>
      <w:r>
        <w:rPr>
          <w:lang w:val="en-CA"/>
        </w:rPr>
        <w:fldChar w:fldCharType="end"/>
      </w:r>
      <w:r>
        <w:rPr>
          <w:lang w:val="en-CA"/>
        </w:rPr>
        <w:t xml:space="preserve"> at paras. 63 and 67.</w:t>
      </w:r>
    </w:p>
  </w:footnote>
  <w:footnote w:id="42">
    <w:p w14:paraId="11E1371B" w14:textId="76D57B22" w:rsidR="00A50B92" w:rsidRPr="005D3F3F" w:rsidRDefault="005D3F3F" w:rsidP="00A50B92">
      <w:pPr>
        <w:pStyle w:val="Notedebasdepage"/>
        <w:rPr>
          <w:sz w:val="18"/>
          <w:szCs w:val="18"/>
          <w:lang w:val="en-US"/>
        </w:rPr>
      </w:pPr>
      <w:r>
        <w:rPr>
          <w:rStyle w:val="Appelnotedebasdep"/>
          <w:lang w:val="en-CA"/>
        </w:rPr>
        <w:footnoteRef/>
      </w:r>
      <w:r>
        <w:rPr>
          <w:sz w:val="18"/>
          <w:szCs w:val="18"/>
          <w:lang w:val="en-CA"/>
        </w:rPr>
        <w:t xml:space="preserve"> </w:t>
      </w:r>
      <w:r>
        <w:rPr>
          <w:sz w:val="18"/>
          <w:szCs w:val="18"/>
          <w:lang w:val="en-CA"/>
        </w:rPr>
        <w:tab/>
      </w:r>
      <w:r>
        <w:rPr>
          <w:i/>
          <w:iCs/>
          <w:lang w:val="en-CA"/>
        </w:rPr>
        <w:t>R. v. Butler</w:t>
      </w:r>
      <w:r>
        <w:rPr>
          <w:lang w:val="en-CA"/>
        </w:rPr>
        <w:t>, [1992] 1 S.C.R. 452 at 486.</w:t>
      </w:r>
    </w:p>
  </w:footnote>
  <w:footnote w:id="43">
    <w:p w14:paraId="080BCF31" w14:textId="65039911"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R. v. Sharpe</w:t>
      </w:r>
      <w:r>
        <w:rPr>
          <w:lang w:val="en-CA"/>
        </w:rPr>
        <w:t xml:space="preserve">, </w:t>
      </w:r>
      <w:r>
        <w:rPr>
          <w:i/>
          <w:iCs/>
          <w:lang w:val="en-CA"/>
        </w:rPr>
        <w:t>supra</w:t>
      </w:r>
      <w:r>
        <w:rPr>
          <w:lang w:val="en-CA"/>
        </w:rPr>
        <w:t xml:space="preserve">, note </w:t>
      </w:r>
      <w:r>
        <w:rPr>
          <w:lang w:val="en-CA"/>
        </w:rPr>
        <w:fldChar w:fldCharType="begin"/>
      </w:r>
      <w:r>
        <w:rPr>
          <w:lang w:val="en-CA"/>
        </w:rPr>
        <w:instrText xml:space="preserve"> NOTEREF _Ref158716979 \h </w:instrText>
      </w:r>
      <w:r>
        <w:rPr>
          <w:lang w:val="en-CA"/>
        </w:rPr>
      </w:r>
      <w:r>
        <w:rPr>
          <w:lang w:val="en-CA"/>
        </w:rPr>
        <w:fldChar w:fldCharType="separate"/>
      </w:r>
      <w:r>
        <w:rPr>
          <w:lang w:val="en-CA"/>
        </w:rPr>
        <w:t>26</w:t>
      </w:r>
      <w:r>
        <w:rPr>
          <w:lang w:val="en-CA"/>
        </w:rPr>
        <w:fldChar w:fldCharType="end"/>
      </w:r>
      <w:r>
        <w:rPr>
          <w:lang w:val="en-CA"/>
        </w:rPr>
        <w:t xml:space="preserve"> at para. 61.</w:t>
      </w:r>
    </w:p>
  </w:footnote>
  <w:footnote w:id="44">
    <w:p w14:paraId="4818501C" w14:textId="4D6F72D1" w:rsidR="00A50B92" w:rsidRPr="005D3F3F" w:rsidRDefault="005D3F3F" w:rsidP="00A50B92">
      <w:pPr>
        <w:pStyle w:val="Notedebasdepage"/>
        <w:rPr>
          <w:lang w:val="en-US"/>
        </w:rPr>
      </w:pPr>
      <w:r>
        <w:rPr>
          <w:rStyle w:val="Appelnotedebasdep"/>
          <w:lang w:val="en-CA"/>
        </w:rPr>
        <w:footnoteRef/>
      </w:r>
      <w:r>
        <w:rPr>
          <w:sz w:val="18"/>
          <w:szCs w:val="18"/>
          <w:lang w:val="en-CA"/>
        </w:rPr>
        <w:t xml:space="preserve"> </w:t>
      </w:r>
      <w:r>
        <w:rPr>
          <w:sz w:val="18"/>
          <w:szCs w:val="18"/>
          <w:lang w:val="en-CA"/>
        </w:rPr>
        <w:tab/>
      </w:r>
      <w:r>
        <w:rPr>
          <w:i/>
          <w:iCs/>
          <w:lang w:val="en-CA"/>
        </w:rPr>
        <w:t>I</w:t>
      </w:r>
      <w:r w:rsidR="00676E70">
        <w:rPr>
          <w:i/>
          <w:iCs/>
          <w:lang w:val="en-CA"/>
        </w:rPr>
        <w:t>bi</w:t>
      </w:r>
      <w:r>
        <w:rPr>
          <w:i/>
          <w:iCs/>
          <w:lang w:val="en-CA"/>
        </w:rPr>
        <w:t xml:space="preserve">d. </w:t>
      </w:r>
      <w:r>
        <w:rPr>
          <w:lang w:val="en-CA"/>
        </w:rPr>
        <w:t>at para. 64.</w:t>
      </w:r>
    </w:p>
  </w:footnote>
  <w:footnote w:id="45">
    <w:p w14:paraId="67C61CAF" w14:textId="3DEB458E" w:rsidR="00A50B92" w:rsidRPr="005D3F3F" w:rsidRDefault="005D3F3F" w:rsidP="00A50B92">
      <w:pPr>
        <w:pStyle w:val="Notedebasdepage"/>
        <w:rPr>
          <w:sz w:val="18"/>
          <w:szCs w:val="18"/>
          <w:lang w:val="en-US"/>
        </w:rPr>
      </w:pPr>
      <w:r>
        <w:rPr>
          <w:rStyle w:val="Appelnotedebasdep"/>
          <w:lang w:val="en-CA"/>
        </w:rPr>
        <w:footnoteRef/>
      </w:r>
      <w:r>
        <w:rPr>
          <w:sz w:val="18"/>
          <w:szCs w:val="18"/>
          <w:lang w:val="en-CA"/>
        </w:rPr>
        <w:t xml:space="preserve"> </w:t>
      </w:r>
      <w:r>
        <w:rPr>
          <w:sz w:val="18"/>
          <w:szCs w:val="18"/>
          <w:lang w:val="en-CA"/>
        </w:rPr>
        <w:tab/>
      </w:r>
      <w:r>
        <w:rPr>
          <w:i/>
          <w:iCs/>
          <w:lang w:val="en-CA"/>
        </w:rPr>
        <w:t>I</w:t>
      </w:r>
      <w:r w:rsidR="00D9340F">
        <w:rPr>
          <w:i/>
          <w:iCs/>
          <w:lang w:val="en-CA"/>
        </w:rPr>
        <w:t>bi</w:t>
      </w:r>
      <w:r>
        <w:rPr>
          <w:i/>
          <w:iCs/>
          <w:lang w:val="en-CA"/>
        </w:rPr>
        <w:t xml:space="preserve">d. </w:t>
      </w:r>
      <w:r>
        <w:rPr>
          <w:lang w:val="en-CA"/>
        </w:rPr>
        <w:t>at para. 65.</w:t>
      </w:r>
    </w:p>
  </w:footnote>
  <w:footnote w:id="46">
    <w:p w14:paraId="36474F99" w14:textId="4F1C7369"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w:t>
      </w:r>
      <w:r w:rsidR="00D9340F">
        <w:rPr>
          <w:i/>
          <w:iCs/>
          <w:lang w:val="en-CA"/>
        </w:rPr>
        <w:t>bi</w:t>
      </w:r>
      <w:r>
        <w:rPr>
          <w:i/>
          <w:iCs/>
          <w:lang w:val="en-CA"/>
        </w:rPr>
        <w:t xml:space="preserve">d. </w:t>
      </w:r>
      <w:r>
        <w:rPr>
          <w:lang w:val="en-CA"/>
        </w:rPr>
        <w:t>at para. 66.</w:t>
      </w:r>
    </w:p>
  </w:footnote>
  <w:footnote w:id="47">
    <w:p w14:paraId="68C57B3E" w14:textId="77777777"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t>Judgment on guilt at p. 16.</w:t>
      </w:r>
    </w:p>
  </w:footnote>
  <w:footnote w:id="48">
    <w:p w14:paraId="7B15F17B" w14:textId="33275A4C"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w:t>
      </w:r>
      <w:r w:rsidR="00313841">
        <w:rPr>
          <w:i/>
          <w:iCs/>
          <w:lang w:val="en-CA"/>
        </w:rPr>
        <w:t>bi</w:t>
      </w:r>
      <w:r>
        <w:rPr>
          <w:i/>
          <w:iCs/>
          <w:lang w:val="en-CA"/>
        </w:rPr>
        <w:t xml:space="preserve">d. </w:t>
      </w:r>
      <w:r>
        <w:rPr>
          <w:lang w:val="en-CA"/>
        </w:rPr>
        <w:t>at p. 19.</w:t>
      </w:r>
    </w:p>
  </w:footnote>
  <w:footnote w:id="49">
    <w:p w14:paraId="13DDF479" w14:textId="05D6AE2B" w:rsidR="00A50B92" w:rsidRPr="005D3F3F" w:rsidRDefault="005D3F3F" w:rsidP="00A50B92">
      <w:pPr>
        <w:pStyle w:val="Notedebasdepage"/>
        <w:rPr>
          <w:lang w:val="en-US"/>
        </w:rPr>
      </w:pPr>
      <w:r>
        <w:rPr>
          <w:rStyle w:val="Appelnotedebasdep"/>
          <w:lang w:val="en-CA"/>
        </w:rPr>
        <w:footnoteRef/>
      </w:r>
      <w:r>
        <w:rPr>
          <w:lang w:val="en-CA"/>
        </w:rPr>
        <w:t xml:space="preserve"> </w:t>
      </w:r>
      <w:r>
        <w:rPr>
          <w:lang w:val="en-CA"/>
        </w:rPr>
        <w:tab/>
      </w:r>
      <w:r>
        <w:rPr>
          <w:i/>
          <w:iCs/>
          <w:lang w:val="en-CA"/>
        </w:rPr>
        <w:t>I</w:t>
      </w:r>
      <w:r w:rsidR="005C6CB0">
        <w:rPr>
          <w:i/>
          <w:iCs/>
          <w:lang w:val="en-CA"/>
        </w:rPr>
        <w:t>bi</w:t>
      </w:r>
      <w:r>
        <w:rPr>
          <w:i/>
          <w:iCs/>
          <w:lang w:val="en-CA"/>
        </w:rPr>
        <w:t xml:space="preserve">d. </w:t>
      </w:r>
      <w:r>
        <w:rPr>
          <w:lang w:val="en-CA"/>
        </w:rPr>
        <w:t>at 15</w:t>
      </w:r>
      <w:r w:rsidR="005C6CB0">
        <w:rPr>
          <w:lang w:val="en-CA"/>
        </w:rPr>
        <w:sym w:font="Symbol" w:char="F02D"/>
      </w:r>
      <w:r>
        <w:rPr>
          <w:lang w:val="en-CA"/>
        </w:rPr>
        <w:t>20.</w:t>
      </w:r>
    </w:p>
  </w:footnote>
  <w:footnote w:id="50">
    <w:p w14:paraId="44F871F1" w14:textId="70C2AA3C" w:rsidR="00A50B92" w:rsidRDefault="005D3F3F" w:rsidP="00A50B92">
      <w:pPr>
        <w:pStyle w:val="Notedebasdepage"/>
      </w:pPr>
      <w:r>
        <w:rPr>
          <w:rStyle w:val="Appelnotedebasdep"/>
          <w:lang w:val="en-CA"/>
        </w:rPr>
        <w:footnoteRef/>
      </w:r>
      <w:r w:rsidRPr="005D3F3F">
        <w:t xml:space="preserve"> </w:t>
      </w:r>
      <w:r w:rsidRPr="005D3F3F">
        <w:tab/>
      </w:r>
      <w:r w:rsidRPr="005D3F3F">
        <w:rPr>
          <w:i/>
          <w:iCs/>
        </w:rPr>
        <w:t>R. v. Brunelle</w:t>
      </w:r>
      <w:r w:rsidRPr="005D3F3F">
        <w:t xml:space="preserve">, </w:t>
      </w:r>
      <w:r w:rsidRPr="005D3F3F">
        <w:rPr>
          <w:i/>
          <w:iCs/>
        </w:rPr>
        <w:t>supra</w:t>
      </w:r>
      <w:r w:rsidRPr="005D3F3F">
        <w:t xml:space="preserve"> note </w:t>
      </w:r>
      <w:r>
        <w:rPr>
          <w:lang w:val="en-CA"/>
        </w:rPr>
        <w:fldChar w:fldCharType="begin"/>
      </w:r>
      <w:r w:rsidRPr="005D3F3F">
        <w:instrText xml:space="preserve"> NOTEREF _Ref158717714 \h </w:instrText>
      </w:r>
      <w:r>
        <w:rPr>
          <w:lang w:val="en-CA"/>
        </w:rPr>
      </w:r>
      <w:r>
        <w:rPr>
          <w:lang w:val="en-CA"/>
        </w:rPr>
        <w:fldChar w:fldCharType="separate"/>
      </w:r>
      <w:r w:rsidRPr="005D3F3F">
        <w:t>24</w:t>
      </w:r>
      <w:r>
        <w:rPr>
          <w:lang w:val="en-CA"/>
        </w:rPr>
        <w:fldChar w:fldCharType="end"/>
      </w:r>
      <w:r w:rsidRPr="005D3F3F">
        <w:t xml:space="preserve"> at paras. </w:t>
      </w:r>
      <w:r>
        <w:rPr>
          <w:lang w:val="en-CA"/>
        </w:rPr>
        <w:t>7</w:t>
      </w:r>
      <w:r w:rsidR="005C6CB0">
        <w:rPr>
          <w:lang w:val="en-CA"/>
        </w:rPr>
        <w:sym w:font="Symbol" w:char="F02D"/>
      </w:r>
      <w:r>
        <w:rPr>
          <w:lang w:val="en-CA"/>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FE7E" w14:textId="77777777" w:rsidR="00A50B92" w:rsidRDefault="005D3F3F" w:rsidP="00F70DD8">
    <w:pPr>
      <w:tabs>
        <w:tab w:val="center" w:pos="4709"/>
        <w:tab w:val="right" w:pos="9360"/>
      </w:tabs>
      <w:spacing w:line="360" w:lineRule="auto"/>
      <w:ind w:right="524"/>
    </w:pPr>
    <w:r>
      <w:rPr>
        <w:lang w:val="en-CA"/>
      </w:rPr>
      <w:t xml:space="preserve">200-10-004021-221 </w:t>
    </w:r>
    <w:r>
      <w:rPr>
        <w:lang w:val="en-CA"/>
      </w:rPr>
      <w:tab/>
    </w:r>
    <w:r>
      <w:rPr>
        <w:lang w:val="en-CA"/>
      </w:rPr>
      <w:tab/>
      <w:t xml:space="preserve">PAGE: </w:t>
    </w:r>
    <w:r>
      <w:rPr>
        <w:lang w:val="en-CA"/>
      </w:rPr>
      <w:fldChar w:fldCharType="begin"/>
    </w:r>
    <w:r>
      <w:rPr>
        <w:lang w:val="en-CA"/>
      </w:rPr>
      <w:instrText xml:space="preserve"> PAGE </w:instrText>
    </w:r>
    <w:r>
      <w:rPr>
        <w:lang w:val="en-CA"/>
      </w:rPr>
      <w:fldChar w:fldCharType="separate"/>
    </w:r>
    <w:r>
      <w:rPr>
        <w:lang w:val="en-CA"/>
      </w:rPr>
      <w:t>2</w:t>
    </w:r>
    <w:r>
      <w:rPr>
        <w:lang w:val="en-CA"/>
      </w:rPr>
      <w:fldChar w:fldCharType="end"/>
    </w:r>
  </w:p>
  <w:p w14:paraId="51ACB27C" w14:textId="77777777" w:rsidR="00A50B92" w:rsidRDefault="00A50B92" w:rsidP="00F70DD8">
    <w:pPr>
      <w:tabs>
        <w:tab w:val="center" w:pos="4709"/>
        <w:tab w:val="right" w:pos="9360"/>
      </w:tabs>
      <w:spacing w:line="360" w:lineRule="auto"/>
      <w:ind w:right="52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1D3D" w14:textId="77777777" w:rsidR="007E33E4" w:rsidRDefault="005D3F3F" w:rsidP="00DB2119">
    <w:pPr>
      <w:tabs>
        <w:tab w:val="center" w:pos="4709"/>
        <w:tab w:val="right" w:pos="9360"/>
      </w:tabs>
      <w:spacing w:line="360" w:lineRule="auto"/>
      <w:ind w:right="524"/>
    </w:pPr>
    <w:bookmarkStart w:id="34" w:name="EntDossier"/>
    <w:r>
      <w:rPr>
        <w:lang w:val="en-CA"/>
      </w:rPr>
      <w:t>200-10-004021-221</w:t>
    </w:r>
    <w:bookmarkEnd w:id="34"/>
    <w:r>
      <w:rPr>
        <w:lang w:val="en-CA"/>
      </w:rPr>
      <w:t xml:space="preserve"> </w:t>
    </w:r>
    <w:r>
      <w:rPr>
        <w:lang w:val="en-CA"/>
      </w:rPr>
      <w:tab/>
    </w:r>
    <w:r>
      <w:rPr>
        <w:lang w:val="en-CA"/>
      </w:rPr>
      <w:tab/>
      <w:t xml:space="preserve">PAGE: </w:t>
    </w:r>
    <w:r>
      <w:rPr>
        <w:lang w:val="en-CA"/>
      </w:rPr>
      <w:fldChar w:fldCharType="begin"/>
    </w:r>
    <w:r>
      <w:rPr>
        <w:lang w:val="en-CA"/>
      </w:rPr>
      <w:instrText xml:space="preserve"> PAGE </w:instrText>
    </w:r>
    <w:r>
      <w:rPr>
        <w:lang w:val="en-CA"/>
      </w:rPr>
      <w:fldChar w:fldCharType="separate"/>
    </w:r>
    <w:r>
      <w:rPr>
        <w:lang w:val="en-CA"/>
      </w:rPr>
      <w:t>22</w:t>
    </w:r>
    <w:r>
      <w:rPr>
        <w:lang w:val="en-CA"/>
      </w:rPr>
      <w:fldChar w:fldCharType="end"/>
    </w:r>
  </w:p>
  <w:p w14:paraId="1AB3716C"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365C73"/>
    <w:multiLevelType w:val="multilevel"/>
    <w:tmpl w:val="CA06DAD4"/>
    <w:lvl w:ilvl="0">
      <w:start w:val="1"/>
      <w:numFmt w:val="bullet"/>
      <w:lvlText w:val=""/>
      <w:lvlJc w:val="left"/>
      <w:pPr>
        <w:tabs>
          <w:tab w:val="num" w:pos="720"/>
        </w:tabs>
        <w:ind w:left="0" w:firstLine="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435057D"/>
    <w:multiLevelType w:val="hybridMultilevel"/>
    <w:tmpl w:val="764823AC"/>
    <w:lvl w:ilvl="0" w:tplc="D5CEFD1E">
      <w:start w:val="1"/>
      <w:numFmt w:val="bullet"/>
      <w:lvlText w:val=""/>
      <w:lvlJc w:val="left"/>
      <w:pPr>
        <w:ind w:left="720" w:hanging="360"/>
      </w:pPr>
      <w:rPr>
        <w:rFonts w:ascii="Symbol" w:hAnsi="Symbol" w:hint="default"/>
      </w:rPr>
    </w:lvl>
    <w:lvl w:ilvl="1" w:tplc="03E81526" w:tentative="1">
      <w:start w:val="1"/>
      <w:numFmt w:val="bullet"/>
      <w:lvlText w:val="o"/>
      <w:lvlJc w:val="left"/>
      <w:pPr>
        <w:ind w:left="1440" w:hanging="360"/>
      </w:pPr>
      <w:rPr>
        <w:rFonts w:ascii="Courier New" w:hAnsi="Courier New" w:cs="Courier New" w:hint="default"/>
      </w:rPr>
    </w:lvl>
    <w:lvl w:ilvl="2" w:tplc="9410CDC6" w:tentative="1">
      <w:start w:val="1"/>
      <w:numFmt w:val="bullet"/>
      <w:lvlText w:val=""/>
      <w:lvlJc w:val="left"/>
      <w:pPr>
        <w:ind w:left="2160" w:hanging="360"/>
      </w:pPr>
      <w:rPr>
        <w:rFonts w:ascii="Wingdings" w:hAnsi="Wingdings" w:hint="default"/>
      </w:rPr>
    </w:lvl>
    <w:lvl w:ilvl="3" w:tplc="B21AFD0C" w:tentative="1">
      <w:start w:val="1"/>
      <w:numFmt w:val="bullet"/>
      <w:lvlText w:val=""/>
      <w:lvlJc w:val="left"/>
      <w:pPr>
        <w:ind w:left="2880" w:hanging="360"/>
      </w:pPr>
      <w:rPr>
        <w:rFonts w:ascii="Symbol" w:hAnsi="Symbol" w:hint="default"/>
      </w:rPr>
    </w:lvl>
    <w:lvl w:ilvl="4" w:tplc="436AAC1A" w:tentative="1">
      <w:start w:val="1"/>
      <w:numFmt w:val="bullet"/>
      <w:lvlText w:val="o"/>
      <w:lvlJc w:val="left"/>
      <w:pPr>
        <w:ind w:left="3600" w:hanging="360"/>
      </w:pPr>
      <w:rPr>
        <w:rFonts w:ascii="Courier New" w:hAnsi="Courier New" w:cs="Courier New" w:hint="default"/>
      </w:rPr>
    </w:lvl>
    <w:lvl w:ilvl="5" w:tplc="D0DACCBC" w:tentative="1">
      <w:start w:val="1"/>
      <w:numFmt w:val="bullet"/>
      <w:lvlText w:val=""/>
      <w:lvlJc w:val="left"/>
      <w:pPr>
        <w:ind w:left="4320" w:hanging="360"/>
      </w:pPr>
      <w:rPr>
        <w:rFonts w:ascii="Wingdings" w:hAnsi="Wingdings" w:hint="default"/>
      </w:rPr>
    </w:lvl>
    <w:lvl w:ilvl="6" w:tplc="DEB0A740" w:tentative="1">
      <w:start w:val="1"/>
      <w:numFmt w:val="bullet"/>
      <w:lvlText w:val=""/>
      <w:lvlJc w:val="left"/>
      <w:pPr>
        <w:ind w:left="5040" w:hanging="360"/>
      </w:pPr>
      <w:rPr>
        <w:rFonts w:ascii="Symbol" w:hAnsi="Symbol" w:hint="default"/>
      </w:rPr>
    </w:lvl>
    <w:lvl w:ilvl="7" w:tplc="BFFCA310" w:tentative="1">
      <w:start w:val="1"/>
      <w:numFmt w:val="bullet"/>
      <w:lvlText w:val="o"/>
      <w:lvlJc w:val="left"/>
      <w:pPr>
        <w:ind w:left="5760" w:hanging="360"/>
      </w:pPr>
      <w:rPr>
        <w:rFonts w:ascii="Courier New" w:hAnsi="Courier New" w:cs="Courier New" w:hint="default"/>
      </w:rPr>
    </w:lvl>
    <w:lvl w:ilvl="8" w:tplc="4FC84430" w:tentative="1">
      <w:start w:val="1"/>
      <w:numFmt w:val="bullet"/>
      <w:lvlText w:val=""/>
      <w:lvlJc w:val="left"/>
      <w:pPr>
        <w:ind w:left="6480" w:hanging="360"/>
      </w:pPr>
      <w:rPr>
        <w:rFonts w:ascii="Wingdings" w:hAnsi="Wingdings" w:hint="default"/>
      </w:rPr>
    </w:lvl>
  </w:abstractNum>
  <w:abstractNum w:abstractNumId="13"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864710525">
    <w:abstractNumId w:val="14"/>
  </w:num>
  <w:num w:numId="2" w16cid:durableId="733700375">
    <w:abstractNumId w:val="14"/>
  </w:num>
  <w:num w:numId="3" w16cid:durableId="366952648">
    <w:abstractNumId w:val="14"/>
  </w:num>
  <w:num w:numId="4" w16cid:durableId="751468277">
    <w:abstractNumId w:val="8"/>
  </w:num>
  <w:num w:numId="5" w16cid:durableId="62603560">
    <w:abstractNumId w:val="3"/>
  </w:num>
  <w:num w:numId="6" w16cid:durableId="1229880721">
    <w:abstractNumId w:val="2"/>
  </w:num>
  <w:num w:numId="7" w16cid:durableId="1887906053">
    <w:abstractNumId w:val="1"/>
  </w:num>
  <w:num w:numId="8" w16cid:durableId="496771558">
    <w:abstractNumId w:val="0"/>
  </w:num>
  <w:num w:numId="9" w16cid:durableId="1312292883">
    <w:abstractNumId w:val="9"/>
  </w:num>
  <w:num w:numId="10" w16cid:durableId="979383433">
    <w:abstractNumId w:val="7"/>
  </w:num>
  <w:num w:numId="11" w16cid:durableId="1667441893">
    <w:abstractNumId w:val="6"/>
  </w:num>
  <w:num w:numId="12" w16cid:durableId="444663986">
    <w:abstractNumId w:val="5"/>
  </w:num>
  <w:num w:numId="13" w16cid:durableId="1575120266">
    <w:abstractNumId w:val="4"/>
  </w:num>
  <w:num w:numId="14" w16cid:durableId="970283831">
    <w:abstractNumId w:val="14"/>
  </w:num>
  <w:num w:numId="15" w16cid:durableId="837115675">
    <w:abstractNumId w:val="14"/>
  </w:num>
  <w:num w:numId="16" w16cid:durableId="1000888676">
    <w:abstractNumId w:val="14"/>
  </w:num>
  <w:num w:numId="17" w16cid:durableId="1139492061">
    <w:abstractNumId w:val="13"/>
  </w:num>
  <w:num w:numId="18" w16cid:durableId="188225218">
    <w:abstractNumId w:val="11"/>
  </w:num>
  <w:num w:numId="19" w16cid:durableId="850803542">
    <w:abstractNumId w:val="10"/>
  </w:num>
  <w:num w:numId="20" w16cid:durableId="905528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NBChoix" w:val="3"/>
    <w:docVar w:name="MotifJuge1" w:val="MOTIFS DE LA JUGE"/>
    <w:docVar w:name="MotifJuge2" w:val="MOTIFS DE LA JUGE"/>
    <w:docVar w:name="MotifJuge3" w:val="MOTIFS DE LA JUGE"/>
    <w:docVar w:name="NomFamJuge1" w:val="DUTIL"/>
    <w:docVar w:name="NomFamJuge2" w:val="COTNAM"/>
    <w:docVar w:name="NomFamJuge3" w:val="WEITZMAN"/>
    <w:docVar w:name="NomFamJuge4" w:val="MAILHOT"/>
    <w:docVar w:name="NomFamJuge5" w:val="BAUDOUIN"/>
    <w:docVar w:name="QteJuge1" w:val=", J.C.A."/>
    <w:docVar w:name="QteJuge2" w:val=", J.C.A."/>
    <w:docVar w:name="QteJuge3" w:val=", J.C.A."/>
    <w:docVar w:name="stPremiereFois" w:val="Non"/>
  </w:docVars>
  <w:rsids>
    <w:rsidRoot w:val="004E0F92"/>
    <w:rsid w:val="00001C38"/>
    <w:rsid w:val="000059A3"/>
    <w:rsid w:val="000131E1"/>
    <w:rsid w:val="00016F1D"/>
    <w:rsid w:val="0004113A"/>
    <w:rsid w:val="0004394C"/>
    <w:rsid w:val="00052AA9"/>
    <w:rsid w:val="00053691"/>
    <w:rsid w:val="00061247"/>
    <w:rsid w:val="00093657"/>
    <w:rsid w:val="000A7516"/>
    <w:rsid w:val="000B42AF"/>
    <w:rsid w:val="000E178F"/>
    <w:rsid w:val="000F3F93"/>
    <w:rsid w:val="00110B53"/>
    <w:rsid w:val="00112321"/>
    <w:rsid w:val="00117914"/>
    <w:rsid w:val="0013028C"/>
    <w:rsid w:val="0015610F"/>
    <w:rsid w:val="00157395"/>
    <w:rsid w:val="00160B31"/>
    <w:rsid w:val="0016426C"/>
    <w:rsid w:val="00171759"/>
    <w:rsid w:val="00181F56"/>
    <w:rsid w:val="00190FA7"/>
    <w:rsid w:val="001972F2"/>
    <w:rsid w:val="00197457"/>
    <w:rsid w:val="00197E9F"/>
    <w:rsid w:val="001E33B4"/>
    <w:rsid w:val="001E386C"/>
    <w:rsid w:val="001F5176"/>
    <w:rsid w:val="002006E0"/>
    <w:rsid w:val="00205DC4"/>
    <w:rsid w:val="002115A8"/>
    <w:rsid w:val="0021548E"/>
    <w:rsid w:val="0021582B"/>
    <w:rsid w:val="002273F5"/>
    <w:rsid w:val="00234F91"/>
    <w:rsid w:val="00236AF4"/>
    <w:rsid w:val="0024387C"/>
    <w:rsid w:val="00273DAE"/>
    <w:rsid w:val="002743F9"/>
    <w:rsid w:val="0027733D"/>
    <w:rsid w:val="00277340"/>
    <w:rsid w:val="00284010"/>
    <w:rsid w:val="002913EE"/>
    <w:rsid w:val="002A2616"/>
    <w:rsid w:val="002B3EB3"/>
    <w:rsid w:val="002B4A07"/>
    <w:rsid w:val="002C3618"/>
    <w:rsid w:val="002C4107"/>
    <w:rsid w:val="002D3F5D"/>
    <w:rsid w:val="002E1F0E"/>
    <w:rsid w:val="002E229C"/>
    <w:rsid w:val="002E51F1"/>
    <w:rsid w:val="002F1350"/>
    <w:rsid w:val="002F6136"/>
    <w:rsid w:val="002F6AC2"/>
    <w:rsid w:val="00300C70"/>
    <w:rsid w:val="00313841"/>
    <w:rsid w:val="00322DE0"/>
    <w:rsid w:val="0032363D"/>
    <w:rsid w:val="0033190E"/>
    <w:rsid w:val="003460FA"/>
    <w:rsid w:val="00346EE1"/>
    <w:rsid w:val="00361325"/>
    <w:rsid w:val="00371A03"/>
    <w:rsid w:val="00374888"/>
    <w:rsid w:val="00374E40"/>
    <w:rsid w:val="00382164"/>
    <w:rsid w:val="00392B3D"/>
    <w:rsid w:val="00394B93"/>
    <w:rsid w:val="003A32FE"/>
    <w:rsid w:val="003B51C8"/>
    <w:rsid w:val="003C2E89"/>
    <w:rsid w:val="003D487D"/>
    <w:rsid w:val="003E3239"/>
    <w:rsid w:val="003E3E3C"/>
    <w:rsid w:val="003E7438"/>
    <w:rsid w:val="003E7992"/>
    <w:rsid w:val="00423DF1"/>
    <w:rsid w:val="00430C58"/>
    <w:rsid w:val="004331C4"/>
    <w:rsid w:val="0043564D"/>
    <w:rsid w:val="00441C25"/>
    <w:rsid w:val="00446452"/>
    <w:rsid w:val="00464EED"/>
    <w:rsid w:val="00467189"/>
    <w:rsid w:val="00472DC8"/>
    <w:rsid w:val="004802EC"/>
    <w:rsid w:val="0048120D"/>
    <w:rsid w:val="00483E2B"/>
    <w:rsid w:val="0048501C"/>
    <w:rsid w:val="004A29F1"/>
    <w:rsid w:val="004A38D4"/>
    <w:rsid w:val="004A6641"/>
    <w:rsid w:val="004B1E94"/>
    <w:rsid w:val="004B287D"/>
    <w:rsid w:val="004B33FF"/>
    <w:rsid w:val="004C6FA1"/>
    <w:rsid w:val="004D2F69"/>
    <w:rsid w:val="004D3EEF"/>
    <w:rsid w:val="004E0F92"/>
    <w:rsid w:val="004E4FBA"/>
    <w:rsid w:val="004E58EE"/>
    <w:rsid w:val="004F3CD3"/>
    <w:rsid w:val="00502E10"/>
    <w:rsid w:val="005131F1"/>
    <w:rsid w:val="0051484F"/>
    <w:rsid w:val="00516B3E"/>
    <w:rsid w:val="00517505"/>
    <w:rsid w:val="005262C9"/>
    <w:rsid w:val="00531D70"/>
    <w:rsid w:val="00534DC9"/>
    <w:rsid w:val="00535862"/>
    <w:rsid w:val="00546887"/>
    <w:rsid w:val="00565411"/>
    <w:rsid w:val="00566BF6"/>
    <w:rsid w:val="00583434"/>
    <w:rsid w:val="0058349F"/>
    <w:rsid w:val="00592FE5"/>
    <w:rsid w:val="0059669E"/>
    <w:rsid w:val="005A0F4F"/>
    <w:rsid w:val="005A1E5B"/>
    <w:rsid w:val="005A78BF"/>
    <w:rsid w:val="005B267E"/>
    <w:rsid w:val="005B389A"/>
    <w:rsid w:val="005B6B4C"/>
    <w:rsid w:val="005C6CB0"/>
    <w:rsid w:val="005C7516"/>
    <w:rsid w:val="005C7F8D"/>
    <w:rsid w:val="005D1522"/>
    <w:rsid w:val="005D3F3F"/>
    <w:rsid w:val="005F5F5F"/>
    <w:rsid w:val="00624770"/>
    <w:rsid w:val="0064250B"/>
    <w:rsid w:val="00647970"/>
    <w:rsid w:val="006608CA"/>
    <w:rsid w:val="0066091E"/>
    <w:rsid w:val="006729B0"/>
    <w:rsid w:val="00676E70"/>
    <w:rsid w:val="006826AA"/>
    <w:rsid w:val="0068356A"/>
    <w:rsid w:val="00683F08"/>
    <w:rsid w:val="006A0DB0"/>
    <w:rsid w:val="006A6629"/>
    <w:rsid w:val="006A7328"/>
    <w:rsid w:val="006B331A"/>
    <w:rsid w:val="006C254D"/>
    <w:rsid w:val="006D0E81"/>
    <w:rsid w:val="006D13E7"/>
    <w:rsid w:val="006E3E68"/>
    <w:rsid w:val="006E4947"/>
    <w:rsid w:val="00700328"/>
    <w:rsid w:val="0070505C"/>
    <w:rsid w:val="007154E0"/>
    <w:rsid w:val="00740A17"/>
    <w:rsid w:val="007462D6"/>
    <w:rsid w:val="0074738B"/>
    <w:rsid w:val="0076062E"/>
    <w:rsid w:val="00770166"/>
    <w:rsid w:val="00770DDC"/>
    <w:rsid w:val="00771705"/>
    <w:rsid w:val="00785518"/>
    <w:rsid w:val="00791712"/>
    <w:rsid w:val="007953F3"/>
    <w:rsid w:val="00796239"/>
    <w:rsid w:val="007A7803"/>
    <w:rsid w:val="007B061E"/>
    <w:rsid w:val="007B48D5"/>
    <w:rsid w:val="007C07F9"/>
    <w:rsid w:val="007C49C6"/>
    <w:rsid w:val="007C49F6"/>
    <w:rsid w:val="007D087C"/>
    <w:rsid w:val="007D7A1B"/>
    <w:rsid w:val="007E33E4"/>
    <w:rsid w:val="007E4CC9"/>
    <w:rsid w:val="00800D23"/>
    <w:rsid w:val="00816273"/>
    <w:rsid w:val="00816758"/>
    <w:rsid w:val="0082717B"/>
    <w:rsid w:val="00827B04"/>
    <w:rsid w:val="0083032E"/>
    <w:rsid w:val="00841907"/>
    <w:rsid w:val="008437E3"/>
    <w:rsid w:val="0084540E"/>
    <w:rsid w:val="0086036A"/>
    <w:rsid w:val="00860FA7"/>
    <w:rsid w:val="008653A3"/>
    <w:rsid w:val="008657A2"/>
    <w:rsid w:val="00866645"/>
    <w:rsid w:val="00882210"/>
    <w:rsid w:val="008A4724"/>
    <w:rsid w:val="008A6185"/>
    <w:rsid w:val="008B2055"/>
    <w:rsid w:val="008C1FE9"/>
    <w:rsid w:val="008C2955"/>
    <w:rsid w:val="008C7DCE"/>
    <w:rsid w:val="008D18FC"/>
    <w:rsid w:val="008D398B"/>
    <w:rsid w:val="008D7E49"/>
    <w:rsid w:val="008E0F3F"/>
    <w:rsid w:val="008E5790"/>
    <w:rsid w:val="008F364A"/>
    <w:rsid w:val="008F3F53"/>
    <w:rsid w:val="00901CA2"/>
    <w:rsid w:val="009063FC"/>
    <w:rsid w:val="00913E03"/>
    <w:rsid w:val="009229E9"/>
    <w:rsid w:val="009247E0"/>
    <w:rsid w:val="00926953"/>
    <w:rsid w:val="00932703"/>
    <w:rsid w:val="009354E2"/>
    <w:rsid w:val="00936469"/>
    <w:rsid w:val="009400B7"/>
    <w:rsid w:val="00946B9B"/>
    <w:rsid w:val="0094721A"/>
    <w:rsid w:val="00947ECE"/>
    <w:rsid w:val="00954DC2"/>
    <w:rsid w:val="00957B92"/>
    <w:rsid w:val="00970966"/>
    <w:rsid w:val="0097246C"/>
    <w:rsid w:val="00974442"/>
    <w:rsid w:val="00974DE8"/>
    <w:rsid w:val="009D5790"/>
    <w:rsid w:val="009D5F32"/>
    <w:rsid w:val="009D7B68"/>
    <w:rsid w:val="009F1F69"/>
    <w:rsid w:val="00A025E9"/>
    <w:rsid w:val="00A23BF4"/>
    <w:rsid w:val="00A25327"/>
    <w:rsid w:val="00A2593B"/>
    <w:rsid w:val="00A301BB"/>
    <w:rsid w:val="00A34E05"/>
    <w:rsid w:val="00A43D8B"/>
    <w:rsid w:val="00A454F1"/>
    <w:rsid w:val="00A45A61"/>
    <w:rsid w:val="00A50B92"/>
    <w:rsid w:val="00A543CC"/>
    <w:rsid w:val="00A65861"/>
    <w:rsid w:val="00A80FF8"/>
    <w:rsid w:val="00A93813"/>
    <w:rsid w:val="00A93CFF"/>
    <w:rsid w:val="00A955DC"/>
    <w:rsid w:val="00A97CC0"/>
    <w:rsid w:val="00AB7344"/>
    <w:rsid w:val="00AB75CF"/>
    <w:rsid w:val="00AB7DD2"/>
    <w:rsid w:val="00AC728C"/>
    <w:rsid w:val="00AD1944"/>
    <w:rsid w:val="00AD69D7"/>
    <w:rsid w:val="00AD7A1C"/>
    <w:rsid w:val="00AE6296"/>
    <w:rsid w:val="00AF0C7C"/>
    <w:rsid w:val="00B01BC9"/>
    <w:rsid w:val="00B01D86"/>
    <w:rsid w:val="00B03230"/>
    <w:rsid w:val="00B07E4E"/>
    <w:rsid w:val="00B11FD1"/>
    <w:rsid w:val="00B137E9"/>
    <w:rsid w:val="00B30EA2"/>
    <w:rsid w:val="00B3548A"/>
    <w:rsid w:val="00B36ED3"/>
    <w:rsid w:val="00B50435"/>
    <w:rsid w:val="00B513C9"/>
    <w:rsid w:val="00B56EF4"/>
    <w:rsid w:val="00B601C2"/>
    <w:rsid w:val="00B637E4"/>
    <w:rsid w:val="00B70485"/>
    <w:rsid w:val="00B736A3"/>
    <w:rsid w:val="00B82A13"/>
    <w:rsid w:val="00B836C1"/>
    <w:rsid w:val="00B83DFF"/>
    <w:rsid w:val="00BA07BC"/>
    <w:rsid w:val="00BA50E3"/>
    <w:rsid w:val="00BB38A9"/>
    <w:rsid w:val="00BB448E"/>
    <w:rsid w:val="00BC076F"/>
    <w:rsid w:val="00BC5FF9"/>
    <w:rsid w:val="00BE4606"/>
    <w:rsid w:val="00C02AF8"/>
    <w:rsid w:val="00C149D6"/>
    <w:rsid w:val="00C17E01"/>
    <w:rsid w:val="00C20E0F"/>
    <w:rsid w:val="00C22A2A"/>
    <w:rsid w:val="00C236FE"/>
    <w:rsid w:val="00C31AC4"/>
    <w:rsid w:val="00C409BE"/>
    <w:rsid w:val="00C423CA"/>
    <w:rsid w:val="00C6161B"/>
    <w:rsid w:val="00C61ADB"/>
    <w:rsid w:val="00C652ED"/>
    <w:rsid w:val="00C7793C"/>
    <w:rsid w:val="00C939A8"/>
    <w:rsid w:val="00C941C7"/>
    <w:rsid w:val="00C97145"/>
    <w:rsid w:val="00CD5613"/>
    <w:rsid w:val="00CF1878"/>
    <w:rsid w:val="00CF7DC9"/>
    <w:rsid w:val="00D010FD"/>
    <w:rsid w:val="00D02812"/>
    <w:rsid w:val="00D05095"/>
    <w:rsid w:val="00D1437D"/>
    <w:rsid w:val="00D157BC"/>
    <w:rsid w:val="00D20056"/>
    <w:rsid w:val="00D2350C"/>
    <w:rsid w:val="00D27D2E"/>
    <w:rsid w:val="00D56F46"/>
    <w:rsid w:val="00D710ED"/>
    <w:rsid w:val="00D73CD5"/>
    <w:rsid w:val="00D9340F"/>
    <w:rsid w:val="00DB2119"/>
    <w:rsid w:val="00DB7171"/>
    <w:rsid w:val="00DC05BC"/>
    <w:rsid w:val="00DC5AA5"/>
    <w:rsid w:val="00DD3A24"/>
    <w:rsid w:val="00DE2525"/>
    <w:rsid w:val="00DE6DB2"/>
    <w:rsid w:val="00DF3516"/>
    <w:rsid w:val="00E02163"/>
    <w:rsid w:val="00E03C07"/>
    <w:rsid w:val="00E07E24"/>
    <w:rsid w:val="00E126C5"/>
    <w:rsid w:val="00E137A5"/>
    <w:rsid w:val="00E20E3C"/>
    <w:rsid w:val="00E355F0"/>
    <w:rsid w:val="00E36290"/>
    <w:rsid w:val="00E60647"/>
    <w:rsid w:val="00E60DB9"/>
    <w:rsid w:val="00E81E61"/>
    <w:rsid w:val="00E848B4"/>
    <w:rsid w:val="00E84973"/>
    <w:rsid w:val="00E91417"/>
    <w:rsid w:val="00E94329"/>
    <w:rsid w:val="00EA4056"/>
    <w:rsid w:val="00EB1377"/>
    <w:rsid w:val="00EB2CEC"/>
    <w:rsid w:val="00EC1E33"/>
    <w:rsid w:val="00EC21FA"/>
    <w:rsid w:val="00ED5E09"/>
    <w:rsid w:val="00EE081D"/>
    <w:rsid w:val="00EE1561"/>
    <w:rsid w:val="00F07022"/>
    <w:rsid w:val="00F1119E"/>
    <w:rsid w:val="00F1419F"/>
    <w:rsid w:val="00F1468B"/>
    <w:rsid w:val="00F21AA0"/>
    <w:rsid w:val="00F26891"/>
    <w:rsid w:val="00F33E30"/>
    <w:rsid w:val="00F35A34"/>
    <w:rsid w:val="00F40882"/>
    <w:rsid w:val="00F4308A"/>
    <w:rsid w:val="00F43559"/>
    <w:rsid w:val="00F43CCE"/>
    <w:rsid w:val="00F44DBA"/>
    <w:rsid w:val="00F5789B"/>
    <w:rsid w:val="00F70DD8"/>
    <w:rsid w:val="00F75AAB"/>
    <w:rsid w:val="00F75C76"/>
    <w:rsid w:val="00F77D75"/>
    <w:rsid w:val="00F802CB"/>
    <w:rsid w:val="00F90E47"/>
    <w:rsid w:val="00FA7B90"/>
    <w:rsid w:val="00FC720B"/>
    <w:rsid w:val="00FE3FE9"/>
    <w:rsid w:val="00FE4C85"/>
    <w:rsid w:val="00FE6A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320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8"/>
      </w:numPr>
      <w:spacing w:before="120" w:after="120" w:line="500" w:lineRule="exact"/>
      <w:jc w:val="both"/>
    </w:pPr>
    <w:rPr>
      <w:kern w:val="28"/>
    </w:rPr>
  </w:style>
  <w:style w:type="paragraph" w:customStyle="1" w:styleId="Citationenretrait">
    <w:name w:val="Citation en retrait"/>
    <w:basedOn w:val="Normal"/>
    <w:qFormat/>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Char,Char Char,Char Char Char,Char Char Char Char Char,FA Fu,Footnote Text Char Char Char Char,Footnote Text Char Char Char Char Char,Footnote ak,Footnote reference,Footnote text,Footnotes,Nota de rodapé,fn,ft,ft Char Ch,ft2"/>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aliases w:val="Char Char6 Char Char Char Char Char Char Char Char Char Char Char Char,Char6 Char Char Char Char Char Char Char Char Char Char Char Char Char,Footnote,Ref,de nota al pie,fr"/>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ParagrapheCar">
    <w:name w:val="Paragraphe Car"/>
    <w:link w:val="Paragraphe"/>
    <w:qFormat/>
    <w:locked/>
    <w:rsid w:val="00A50B92"/>
    <w:rPr>
      <w:rFonts w:ascii="Arial" w:hAnsi="Arial"/>
      <w:kern w:val="28"/>
      <w:sz w:val="24"/>
      <w:lang w:eastAsia="fr-FR"/>
    </w:rPr>
  </w:style>
  <w:style w:type="character" w:customStyle="1" w:styleId="NotedebasdepageCar">
    <w:name w:val="Note de bas de page Car"/>
    <w:aliases w:val="Char Car,Char Char Car,Char Char Char Car,Char Char Char Char Char Car,FA Fu Car,Footnote Text Char Char Char Char Car,Footnote Text Char Char Char Char Char Car,Footnote ak Car,Footnote reference Car,Footnote text Car,fn Car"/>
    <w:basedOn w:val="Policepardfaut"/>
    <w:link w:val="Notedebasdepage"/>
    <w:rsid w:val="00A50B92"/>
    <w:rPr>
      <w:rFonts w:ascii="Arial" w:hAnsi="Arial"/>
      <w:lang w:eastAsia="fr-FR"/>
    </w:rPr>
  </w:style>
  <w:style w:type="character" w:styleId="Marquedecommentaire">
    <w:name w:val="annotation reference"/>
    <w:basedOn w:val="Policepardfaut"/>
    <w:uiPriority w:val="99"/>
    <w:semiHidden/>
    <w:unhideWhenUsed/>
    <w:rsid w:val="00E84973"/>
    <w:rPr>
      <w:sz w:val="16"/>
      <w:szCs w:val="16"/>
    </w:rPr>
  </w:style>
  <w:style w:type="paragraph" w:styleId="Commentaire">
    <w:name w:val="annotation text"/>
    <w:basedOn w:val="Normal"/>
    <w:link w:val="CommentaireCar"/>
    <w:uiPriority w:val="99"/>
    <w:unhideWhenUsed/>
    <w:rsid w:val="00E84973"/>
    <w:pPr>
      <w:spacing w:line="240" w:lineRule="auto"/>
    </w:pPr>
    <w:rPr>
      <w:sz w:val="20"/>
    </w:rPr>
  </w:style>
  <w:style w:type="character" w:customStyle="1" w:styleId="CommentaireCar">
    <w:name w:val="Commentaire Car"/>
    <w:basedOn w:val="Policepardfaut"/>
    <w:link w:val="Commentaire"/>
    <w:uiPriority w:val="99"/>
    <w:rsid w:val="00E84973"/>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E84973"/>
    <w:rPr>
      <w:b/>
      <w:bCs/>
    </w:rPr>
  </w:style>
  <w:style w:type="character" w:customStyle="1" w:styleId="ObjetducommentaireCar">
    <w:name w:val="Objet du commentaire Car"/>
    <w:basedOn w:val="CommentaireCar"/>
    <w:link w:val="Objetducommentaire"/>
    <w:uiPriority w:val="99"/>
    <w:semiHidden/>
    <w:rsid w:val="00E84973"/>
    <w:rPr>
      <w:rFonts w:ascii="Arial" w:hAnsi="Arial"/>
      <w:b/>
      <w:bCs/>
      <w:lang w:eastAsia="fr-FR"/>
    </w:rPr>
  </w:style>
  <w:style w:type="character" w:customStyle="1" w:styleId="ui-provider">
    <w:name w:val="ui-provider"/>
    <w:basedOn w:val="Policepardfaut"/>
    <w:rsid w:val="00483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3BF1C-1009-4277-8A30-7560DE33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7570</Words>
  <Characters>41638</Characters>
  <Application>Microsoft Office Word</Application>
  <DocSecurity>0</DocSecurity>
  <Lines>346</Lines>
  <Paragraphs>98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49110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2024-08-29T18:16:00Z</dcterms:created>
  <dcterms:modified xsi:type="dcterms:W3CDTF">2024-09-03T12:32:00Z</dcterms:modified>
</cp:coreProperties>
</file>