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5" w:type="dxa"/>
        <w:tblLayout w:type="fixed"/>
        <w:tblCellMar>
          <w:left w:w="70" w:type="dxa"/>
          <w:right w:w="70" w:type="dxa"/>
        </w:tblCellMar>
        <w:tblLook w:val="0000" w:firstRow="0" w:lastRow="0" w:firstColumn="0" w:lastColumn="0" w:noHBand="0" w:noVBand="0"/>
      </w:tblPr>
      <w:tblGrid>
        <w:gridCol w:w="1105"/>
        <w:gridCol w:w="241"/>
        <w:gridCol w:w="279"/>
        <w:gridCol w:w="997"/>
        <w:gridCol w:w="578"/>
        <w:gridCol w:w="1826"/>
        <w:gridCol w:w="2059"/>
        <w:gridCol w:w="1144"/>
        <w:gridCol w:w="1276"/>
      </w:tblGrid>
      <w:tr w:rsidR="00801207" w14:paraId="1BB03F92" w14:textId="77777777">
        <w:trPr>
          <w:trHeight w:val="360"/>
        </w:trPr>
        <w:tc>
          <w:tcPr>
            <w:tcW w:w="7085" w:type="dxa"/>
            <w:gridSpan w:val="7"/>
          </w:tcPr>
          <w:p w14:paraId="651A0A35" w14:textId="77777777" w:rsidR="00801207" w:rsidRPr="00341F63" w:rsidRDefault="00801207">
            <w:pPr>
              <w:pStyle w:val="zSoquijdatRepertorie"/>
              <w:rPr>
                <w:rFonts w:cs="Arial"/>
              </w:rPr>
            </w:pPr>
            <w:r>
              <w:rPr>
                <w:rFonts w:cs="Arial"/>
              </w:rPr>
              <w:t>R. c. Nimeri</w:t>
            </w:r>
          </w:p>
        </w:tc>
        <w:tc>
          <w:tcPr>
            <w:tcW w:w="2420" w:type="dxa"/>
            <w:gridSpan w:val="2"/>
          </w:tcPr>
          <w:p w14:paraId="330681D9" w14:textId="77777777" w:rsidR="00801207" w:rsidRPr="00812262" w:rsidRDefault="00801207">
            <w:pPr>
              <w:pStyle w:val="zSoquijdatRefNeutre"/>
              <w:jc w:val="right"/>
              <w:rPr>
                <w:rFonts w:cs="Arial"/>
              </w:rPr>
            </w:pPr>
            <w:r w:rsidRPr="00812262">
              <w:rPr>
                <w:rFonts w:cs="Arial"/>
              </w:rPr>
              <w:t>2024 QCCQ 1412</w:t>
            </w:r>
          </w:p>
        </w:tc>
      </w:tr>
      <w:tr w:rsidR="000B2721" w14:paraId="76E2E53B" w14:textId="77777777">
        <w:trPr>
          <w:trHeight w:val="900"/>
        </w:trPr>
        <w:tc>
          <w:tcPr>
            <w:tcW w:w="9505" w:type="dxa"/>
            <w:gridSpan w:val="9"/>
            <w:vAlign w:val="bottom"/>
          </w:tcPr>
          <w:p w14:paraId="5383806E" w14:textId="77777777" w:rsidR="000B2721" w:rsidRDefault="000B2721">
            <w:pPr>
              <w:pStyle w:val="zSoquijlblCour"/>
            </w:pPr>
            <w:r>
              <w:t>COUR</w:t>
            </w:r>
            <w:r w:rsidR="004C5EDA">
              <w:t>T</w:t>
            </w:r>
            <w:r>
              <w:t xml:space="preserve"> </w:t>
            </w:r>
            <w:r w:rsidR="004C5EDA">
              <w:t>OF</w:t>
            </w:r>
            <w:r>
              <w:t xml:space="preserve"> QU</w:t>
            </w:r>
            <w:r w:rsidR="004C5EDA">
              <w:t>E</w:t>
            </w:r>
            <w:r>
              <w:t>BEC</w:t>
            </w:r>
          </w:p>
        </w:tc>
      </w:tr>
      <w:tr w:rsidR="000B2721" w14:paraId="6762F94E" w14:textId="77777777">
        <w:trPr>
          <w:trHeight w:val="540"/>
        </w:trPr>
        <w:tc>
          <w:tcPr>
            <w:tcW w:w="9505" w:type="dxa"/>
            <w:gridSpan w:val="9"/>
          </w:tcPr>
          <w:p w14:paraId="79811080" w14:textId="77777777" w:rsidR="000B2721" w:rsidRDefault="004C5EDA">
            <w:pPr>
              <w:pStyle w:val="zSoquijdatDivision"/>
            </w:pPr>
            <w:r>
              <w:t>Criminal &amp; Penal Division</w:t>
            </w:r>
          </w:p>
        </w:tc>
      </w:tr>
      <w:tr w:rsidR="000B2721" w14:paraId="211A83F2" w14:textId="77777777">
        <w:tc>
          <w:tcPr>
            <w:tcW w:w="9505" w:type="dxa"/>
            <w:gridSpan w:val="9"/>
          </w:tcPr>
          <w:p w14:paraId="5B031A73" w14:textId="77777777" w:rsidR="000B2721" w:rsidRDefault="000B2721">
            <w:pPr>
              <w:pStyle w:val="zSoquijlblPays"/>
            </w:pPr>
            <w:r>
              <w:t>CANADA</w:t>
            </w:r>
          </w:p>
        </w:tc>
      </w:tr>
      <w:tr w:rsidR="000B2721" w14:paraId="1330694A" w14:textId="77777777">
        <w:tc>
          <w:tcPr>
            <w:tcW w:w="9505" w:type="dxa"/>
            <w:gridSpan w:val="9"/>
          </w:tcPr>
          <w:p w14:paraId="1144B069" w14:textId="77777777" w:rsidR="000B2721" w:rsidRDefault="000B2721">
            <w:pPr>
              <w:pStyle w:val="zSoquijlblProvince"/>
            </w:pPr>
            <w:r>
              <w:t xml:space="preserve">PROVINCE </w:t>
            </w:r>
            <w:r w:rsidR="004C5EDA">
              <w:t>OF</w:t>
            </w:r>
            <w:r>
              <w:t xml:space="preserve"> QU</w:t>
            </w:r>
            <w:r w:rsidR="004C5EDA">
              <w:t>E</w:t>
            </w:r>
            <w:r>
              <w:t>BEC</w:t>
            </w:r>
          </w:p>
        </w:tc>
      </w:tr>
      <w:tr w:rsidR="000B2721" w14:paraId="6E54BBDC" w14:textId="77777777">
        <w:tblPrEx>
          <w:tblCellMar>
            <w:left w:w="0" w:type="dxa"/>
            <w:right w:w="0" w:type="dxa"/>
          </w:tblCellMar>
        </w:tblPrEx>
        <w:trPr>
          <w:cantSplit/>
        </w:trPr>
        <w:tc>
          <w:tcPr>
            <w:tcW w:w="1625" w:type="dxa"/>
            <w:gridSpan w:val="3"/>
          </w:tcPr>
          <w:p w14:paraId="4343F7C0" w14:textId="77777777" w:rsidR="000B2721" w:rsidRDefault="000B2721">
            <w:pPr>
              <w:pStyle w:val="zSoquijlblGreffe"/>
            </w:pPr>
            <w:r>
              <w:t xml:space="preserve">DISTRICT </w:t>
            </w:r>
            <w:r w:rsidR="004C5EDA">
              <w:t>OF</w:t>
            </w:r>
          </w:p>
        </w:tc>
        <w:tc>
          <w:tcPr>
            <w:tcW w:w="7880" w:type="dxa"/>
            <w:gridSpan w:val="6"/>
          </w:tcPr>
          <w:p w14:paraId="21845F9D" w14:textId="77777777" w:rsidR="000B2721" w:rsidRDefault="005F0159" w:rsidP="005F0159">
            <w:pPr>
              <w:pStyle w:val="zSoquijdatGreffe"/>
            </w:pPr>
            <w:r>
              <w:t>MONTR</w:t>
            </w:r>
            <w:r w:rsidR="004C5EDA">
              <w:t>E</w:t>
            </w:r>
            <w:r>
              <w:t>AL</w:t>
            </w:r>
          </w:p>
        </w:tc>
      </w:tr>
      <w:tr w:rsidR="000B2721" w14:paraId="7FF6F622" w14:textId="77777777">
        <w:trPr>
          <w:trHeight w:val="540"/>
        </w:trPr>
        <w:tc>
          <w:tcPr>
            <w:tcW w:w="9505" w:type="dxa"/>
            <w:gridSpan w:val="9"/>
          </w:tcPr>
          <w:p w14:paraId="43B7DF1B" w14:textId="77777777" w:rsidR="000B2721" w:rsidRDefault="000B2721">
            <w:pPr>
              <w:pStyle w:val="zSoquijlblNomChambre"/>
            </w:pPr>
          </w:p>
        </w:tc>
      </w:tr>
      <w:tr w:rsidR="000B2721" w14:paraId="6DE74A92" w14:textId="77777777">
        <w:tc>
          <w:tcPr>
            <w:tcW w:w="1105" w:type="dxa"/>
          </w:tcPr>
          <w:p w14:paraId="404D62B3" w14:textId="77777777" w:rsidR="000B2721" w:rsidRDefault="000B2721">
            <w:pPr>
              <w:pStyle w:val="zSoquijlblNoDossier"/>
            </w:pPr>
            <w:r>
              <w:t>N° :</w:t>
            </w:r>
          </w:p>
        </w:tc>
        <w:tc>
          <w:tcPr>
            <w:tcW w:w="8400" w:type="dxa"/>
            <w:gridSpan w:val="8"/>
          </w:tcPr>
          <w:p w14:paraId="73D039AD" w14:textId="77777777" w:rsidR="001647C4" w:rsidRDefault="00C90304" w:rsidP="001647C4">
            <w:pPr>
              <w:pStyle w:val="zSoquijdatNoDossier"/>
              <w:ind w:left="101"/>
              <w:rPr>
                <w:rFonts w:cs="Arial"/>
                <w:szCs w:val="24"/>
              </w:rPr>
            </w:pPr>
            <w:r>
              <w:rPr>
                <w:rFonts w:cs="Arial"/>
                <w:szCs w:val="24"/>
              </w:rPr>
              <w:t>500-01-256037-232</w:t>
            </w:r>
          </w:p>
          <w:p w14:paraId="16419B16" w14:textId="77777777" w:rsidR="005F0159" w:rsidRPr="00D70655" w:rsidRDefault="005F0159" w:rsidP="001647C4">
            <w:pPr>
              <w:pStyle w:val="zSoquijdatNoDossier"/>
              <w:ind w:left="101"/>
              <w:rPr>
                <w:rFonts w:cs="Arial"/>
                <w:szCs w:val="24"/>
              </w:rPr>
            </w:pPr>
          </w:p>
        </w:tc>
      </w:tr>
      <w:tr w:rsidR="000B2721" w14:paraId="629A3EED" w14:textId="77777777">
        <w:trPr>
          <w:cantSplit/>
          <w:trHeight w:val="235"/>
        </w:trPr>
        <w:tc>
          <w:tcPr>
            <w:tcW w:w="9505" w:type="dxa"/>
            <w:gridSpan w:val="9"/>
          </w:tcPr>
          <w:p w14:paraId="5D24A9FD" w14:textId="77777777" w:rsidR="005F0159" w:rsidRDefault="005F0159"/>
        </w:tc>
      </w:tr>
      <w:tr w:rsidR="000B2721" w14:paraId="1982C35F" w14:textId="77777777" w:rsidTr="00862D3A">
        <w:trPr>
          <w:gridAfter w:val="1"/>
          <w:wAfter w:w="1276" w:type="dxa"/>
        </w:trPr>
        <w:tc>
          <w:tcPr>
            <w:tcW w:w="1346" w:type="dxa"/>
            <w:gridSpan w:val="2"/>
          </w:tcPr>
          <w:p w14:paraId="526CF924" w14:textId="77777777" w:rsidR="000B2721" w:rsidRPr="00B420A3" w:rsidRDefault="000B2721">
            <w:pPr>
              <w:pStyle w:val="zSoquijlblDateJugement"/>
            </w:pPr>
            <w:r w:rsidRPr="00B420A3">
              <w:t>DATE :</w:t>
            </w:r>
          </w:p>
        </w:tc>
        <w:tc>
          <w:tcPr>
            <w:tcW w:w="6883" w:type="dxa"/>
            <w:gridSpan w:val="6"/>
          </w:tcPr>
          <w:p w14:paraId="399EBB43" w14:textId="77777777" w:rsidR="00684AAD" w:rsidRPr="002C592B" w:rsidRDefault="00C90304" w:rsidP="00556741">
            <w:pPr>
              <w:pStyle w:val="zSoquijdatDateJugement"/>
              <w:ind w:left="-70"/>
            </w:pPr>
            <w:r>
              <w:t>April 18</w:t>
            </w:r>
            <w:r w:rsidRPr="00C90304">
              <w:rPr>
                <w:vertAlign w:val="superscript"/>
              </w:rPr>
              <w:t>th</w:t>
            </w:r>
            <w:r>
              <w:t xml:space="preserve"> 2024</w:t>
            </w:r>
          </w:p>
        </w:tc>
      </w:tr>
      <w:tr w:rsidR="00684AAD" w14:paraId="09BB30B8" w14:textId="77777777" w:rsidTr="00684AAD">
        <w:tc>
          <w:tcPr>
            <w:tcW w:w="2622" w:type="dxa"/>
            <w:gridSpan w:val="4"/>
          </w:tcPr>
          <w:p w14:paraId="488DD8AC" w14:textId="77777777" w:rsidR="00684AAD" w:rsidRPr="00B420A3" w:rsidRDefault="00684AAD">
            <w:pPr>
              <w:pStyle w:val="zSoquijlblDateJugement"/>
            </w:pPr>
          </w:p>
        </w:tc>
        <w:tc>
          <w:tcPr>
            <w:tcW w:w="6883" w:type="dxa"/>
            <w:gridSpan w:val="5"/>
          </w:tcPr>
          <w:p w14:paraId="04BE0B11" w14:textId="77777777" w:rsidR="00F616C3" w:rsidRPr="00605D25" w:rsidRDefault="00F616C3" w:rsidP="00605D25">
            <w:pPr>
              <w:pStyle w:val="zSoquijdatDateJugement"/>
            </w:pPr>
          </w:p>
        </w:tc>
      </w:tr>
      <w:tr w:rsidR="000B2721" w14:paraId="198A1956" w14:textId="77777777">
        <w:tc>
          <w:tcPr>
            <w:tcW w:w="9505" w:type="dxa"/>
            <w:gridSpan w:val="9"/>
          </w:tcPr>
          <w:p w14:paraId="6D48B664" w14:textId="77777777" w:rsidR="000B2721" w:rsidRPr="00B420A3" w:rsidRDefault="000B2721">
            <w:pPr>
              <w:ind w:left="14" w:right="-67"/>
            </w:pPr>
            <w:r w:rsidRPr="00B420A3">
              <w:t>______________________________________________________________________</w:t>
            </w:r>
          </w:p>
        </w:tc>
      </w:tr>
      <w:tr w:rsidR="00BC463A" w14:paraId="78FF8A06" w14:textId="77777777">
        <w:tblPrEx>
          <w:tblCellMar>
            <w:left w:w="0" w:type="dxa"/>
            <w:right w:w="0" w:type="dxa"/>
          </w:tblCellMar>
        </w:tblPrEx>
        <w:tc>
          <w:tcPr>
            <w:tcW w:w="3200" w:type="dxa"/>
            <w:gridSpan w:val="5"/>
          </w:tcPr>
          <w:p w14:paraId="61FAA738" w14:textId="77777777" w:rsidR="00BC463A" w:rsidRDefault="00BC463A">
            <w:pPr>
              <w:pStyle w:val="zSoquijlblJuge"/>
            </w:pPr>
          </w:p>
        </w:tc>
        <w:tc>
          <w:tcPr>
            <w:tcW w:w="1826" w:type="dxa"/>
          </w:tcPr>
          <w:p w14:paraId="67EE0B46" w14:textId="77777777" w:rsidR="00BC463A" w:rsidRDefault="00BC463A">
            <w:pPr>
              <w:pStyle w:val="zSoquijlblJuge"/>
            </w:pPr>
          </w:p>
        </w:tc>
        <w:tc>
          <w:tcPr>
            <w:tcW w:w="4479" w:type="dxa"/>
            <w:gridSpan w:val="3"/>
          </w:tcPr>
          <w:p w14:paraId="323366E7" w14:textId="77777777" w:rsidR="00BC463A" w:rsidRDefault="00BC463A">
            <w:pPr>
              <w:pStyle w:val="zSoquijlblJuge"/>
            </w:pPr>
          </w:p>
        </w:tc>
      </w:tr>
      <w:tr w:rsidR="00BC463A" w:rsidRPr="00801207" w14:paraId="1FA0600A" w14:textId="77777777">
        <w:tc>
          <w:tcPr>
            <w:tcW w:w="9505" w:type="dxa"/>
            <w:gridSpan w:val="9"/>
          </w:tcPr>
          <w:p w14:paraId="7E5F0DC6" w14:textId="77777777" w:rsidR="00BC463A" w:rsidRPr="00D747D5" w:rsidRDefault="00BC463A">
            <w:pPr>
              <w:pStyle w:val="zSoquijlblAssesseurs"/>
              <w:rPr>
                <w:b/>
                <w:lang w:val="en-CA"/>
              </w:rPr>
            </w:pPr>
            <w:r>
              <w:rPr>
                <w:b/>
                <w:lang w:val="en-CA"/>
              </w:rPr>
              <w:t>BEFORE THE HONOURABLE DENNIS</w:t>
            </w:r>
            <w:r w:rsidRPr="00D747D5">
              <w:rPr>
                <w:b/>
                <w:lang w:val="en-CA"/>
              </w:rPr>
              <w:t xml:space="preserve"> GALIATSATOS, J.C.Q.</w:t>
            </w:r>
          </w:p>
        </w:tc>
      </w:tr>
      <w:tr w:rsidR="00BC463A" w14:paraId="691ACDDF" w14:textId="77777777">
        <w:tc>
          <w:tcPr>
            <w:tcW w:w="9505" w:type="dxa"/>
            <w:gridSpan w:val="9"/>
          </w:tcPr>
          <w:p w14:paraId="669123E4" w14:textId="77777777" w:rsidR="00BC463A" w:rsidRDefault="00BC463A">
            <w:pPr>
              <w:ind w:left="14" w:right="-67"/>
            </w:pPr>
            <w:r>
              <w:t>______________________________________________________________________</w:t>
            </w:r>
          </w:p>
        </w:tc>
      </w:tr>
      <w:tr w:rsidR="00BC463A" w14:paraId="20CAA892" w14:textId="77777777">
        <w:tc>
          <w:tcPr>
            <w:tcW w:w="9505" w:type="dxa"/>
            <w:gridSpan w:val="9"/>
          </w:tcPr>
          <w:p w14:paraId="4458E15E" w14:textId="77777777" w:rsidR="00BC463A" w:rsidRDefault="00BC463A">
            <w:pPr>
              <w:pStyle w:val="zSoquijlblTitrePartie"/>
            </w:pPr>
          </w:p>
        </w:tc>
      </w:tr>
      <w:tr w:rsidR="00BC463A" w14:paraId="4E35C0F8" w14:textId="77777777">
        <w:tc>
          <w:tcPr>
            <w:tcW w:w="9505" w:type="dxa"/>
            <w:gridSpan w:val="9"/>
          </w:tcPr>
          <w:p w14:paraId="19B19F37" w14:textId="77777777" w:rsidR="00BC463A" w:rsidRDefault="00BC463A">
            <w:pPr>
              <w:pStyle w:val="zSoquijdatNomPartieDem"/>
            </w:pPr>
            <w:r>
              <w:t>HIS MAJESTY THE KING</w:t>
            </w:r>
          </w:p>
        </w:tc>
      </w:tr>
      <w:tr w:rsidR="00BC463A" w:rsidRPr="003504BA" w14:paraId="316C7BC0" w14:textId="77777777">
        <w:tc>
          <w:tcPr>
            <w:tcW w:w="9505" w:type="dxa"/>
            <w:gridSpan w:val="9"/>
          </w:tcPr>
          <w:p w14:paraId="7F38C893" w14:textId="77777777" w:rsidR="00BC463A" w:rsidRDefault="00BC463A">
            <w:pPr>
              <w:pStyle w:val="zSoquijdatQtePartieDem"/>
              <w:rPr>
                <w:lang w:val="en-CA"/>
              </w:rPr>
            </w:pPr>
            <w:r>
              <w:rPr>
                <w:lang w:val="en-CA"/>
              </w:rPr>
              <w:t>Prosecution</w:t>
            </w:r>
            <w:r w:rsidR="00293EED">
              <w:rPr>
                <w:lang w:val="en-CA"/>
              </w:rPr>
              <w:t xml:space="preserve"> - Respondent</w:t>
            </w:r>
          </w:p>
          <w:p w14:paraId="4073B17A" w14:textId="77777777" w:rsidR="00BC463A" w:rsidRPr="00D747D5" w:rsidRDefault="00BC463A">
            <w:pPr>
              <w:pStyle w:val="zSoquijdatQtePartieDem"/>
              <w:rPr>
                <w:lang w:val="en-CA"/>
              </w:rPr>
            </w:pPr>
          </w:p>
        </w:tc>
      </w:tr>
      <w:tr w:rsidR="00BC463A" w:rsidRPr="00BC463A" w14:paraId="45C1E429" w14:textId="77777777">
        <w:tc>
          <w:tcPr>
            <w:tcW w:w="9505" w:type="dxa"/>
            <w:gridSpan w:val="9"/>
          </w:tcPr>
          <w:p w14:paraId="29D433D7" w14:textId="77777777" w:rsidR="00BC463A" w:rsidRPr="00BC463A" w:rsidRDefault="00BC463A">
            <w:pPr>
              <w:pStyle w:val="zSoquijdatNomPartieDef"/>
              <w:rPr>
                <w:b w:val="0"/>
                <w:bCs w:val="0"/>
                <w:lang w:val="en-CA"/>
              </w:rPr>
            </w:pPr>
            <w:r w:rsidRPr="00BC463A">
              <w:rPr>
                <w:b w:val="0"/>
                <w:bCs w:val="0"/>
                <w:lang w:val="en-CA"/>
              </w:rPr>
              <w:t>v.</w:t>
            </w:r>
          </w:p>
          <w:p w14:paraId="4CD596B2" w14:textId="77777777" w:rsidR="00BC463A" w:rsidRPr="00BC463A" w:rsidRDefault="00BC463A">
            <w:pPr>
              <w:pStyle w:val="zSoquijdatNomPartieDef"/>
              <w:rPr>
                <w:b w:val="0"/>
                <w:bCs w:val="0"/>
                <w:lang w:val="en-CA"/>
              </w:rPr>
            </w:pPr>
          </w:p>
          <w:p w14:paraId="39031177" w14:textId="77777777" w:rsidR="00BC463A" w:rsidRPr="00BC463A" w:rsidRDefault="00C90304">
            <w:pPr>
              <w:pStyle w:val="zSoquijdatNomPartieDef"/>
              <w:rPr>
                <w:lang w:val="en-CA"/>
              </w:rPr>
            </w:pPr>
            <w:r>
              <w:rPr>
                <w:lang w:val="en-CA"/>
              </w:rPr>
              <w:t>MARCUS NIMERI</w:t>
            </w:r>
          </w:p>
        </w:tc>
      </w:tr>
      <w:tr w:rsidR="00BC463A" w:rsidRPr="00BC463A" w14:paraId="4BA64D33" w14:textId="77777777">
        <w:tc>
          <w:tcPr>
            <w:tcW w:w="9505" w:type="dxa"/>
            <w:gridSpan w:val="9"/>
          </w:tcPr>
          <w:p w14:paraId="3A5AE23F" w14:textId="77777777" w:rsidR="00BC463A" w:rsidRPr="00BC463A" w:rsidRDefault="00BC463A">
            <w:pPr>
              <w:pStyle w:val="zSoquijdatQtePartieDef"/>
              <w:rPr>
                <w:lang w:val="en-CA"/>
              </w:rPr>
            </w:pPr>
            <w:r w:rsidRPr="00BC463A">
              <w:rPr>
                <w:lang w:val="en-CA"/>
              </w:rPr>
              <w:t>Accused</w:t>
            </w:r>
            <w:r w:rsidR="00293EED">
              <w:rPr>
                <w:lang w:val="en-CA"/>
              </w:rPr>
              <w:t xml:space="preserve"> - Applicant</w:t>
            </w:r>
          </w:p>
        </w:tc>
      </w:tr>
      <w:tr w:rsidR="00BC463A" w:rsidRPr="00BC463A" w14:paraId="1A3F133F" w14:textId="77777777">
        <w:tc>
          <w:tcPr>
            <w:tcW w:w="9505" w:type="dxa"/>
            <w:gridSpan w:val="9"/>
          </w:tcPr>
          <w:p w14:paraId="45EC6DDA" w14:textId="77777777" w:rsidR="00BC463A" w:rsidRPr="00BC463A" w:rsidRDefault="00BC463A">
            <w:pPr>
              <w:ind w:left="14" w:right="-95"/>
              <w:rPr>
                <w:lang w:val="en-CA"/>
              </w:rPr>
            </w:pPr>
            <w:r w:rsidRPr="00BC463A">
              <w:rPr>
                <w:lang w:val="en-CA"/>
              </w:rPr>
              <w:t>______________________________________________________________________</w:t>
            </w:r>
          </w:p>
        </w:tc>
      </w:tr>
      <w:tr w:rsidR="00BC463A" w:rsidRPr="00BC463A" w14:paraId="18AB36B0" w14:textId="77777777">
        <w:tc>
          <w:tcPr>
            <w:tcW w:w="9505" w:type="dxa"/>
            <w:gridSpan w:val="9"/>
          </w:tcPr>
          <w:p w14:paraId="00D22392" w14:textId="77777777" w:rsidR="00BC463A" w:rsidRPr="00BC463A" w:rsidRDefault="00BC463A">
            <w:pPr>
              <w:jc w:val="center"/>
              <w:rPr>
                <w:lang w:val="en-CA"/>
              </w:rPr>
            </w:pPr>
          </w:p>
        </w:tc>
      </w:tr>
      <w:tr w:rsidR="00BC463A" w:rsidRPr="00801207" w14:paraId="435D5862" w14:textId="77777777">
        <w:tc>
          <w:tcPr>
            <w:tcW w:w="9505" w:type="dxa"/>
            <w:gridSpan w:val="9"/>
          </w:tcPr>
          <w:p w14:paraId="7B5DBC93" w14:textId="77777777" w:rsidR="00BC463A" w:rsidRDefault="008731BF">
            <w:pPr>
              <w:pStyle w:val="zSoquijlblTypeDocument"/>
              <w:rPr>
                <w:b/>
                <w:lang w:val="en-CA"/>
              </w:rPr>
            </w:pPr>
            <w:r>
              <w:rPr>
                <w:b/>
                <w:lang w:val="en-CA"/>
              </w:rPr>
              <w:t>JUDGMENT ON THE APPLICATION TO EXCLUDE EVIDENCE</w:t>
            </w:r>
          </w:p>
          <w:p w14:paraId="56185969" w14:textId="77777777" w:rsidR="008731BF" w:rsidRDefault="008731BF">
            <w:pPr>
              <w:pStyle w:val="zSoquijlblTypeDocument"/>
              <w:rPr>
                <w:b/>
                <w:lang w:val="en-CA"/>
              </w:rPr>
            </w:pPr>
            <w:r>
              <w:rPr>
                <w:b/>
                <w:lang w:val="en-CA"/>
              </w:rPr>
              <w:t xml:space="preserve">(ss. 8, 9, 24(2) of the </w:t>
            </w:r>
            <w:r>
              <w:rPr>
                <w:b/>
                <w:i/>
                <w:iCs/>
                <w:lang w:val="en-CA"/>
              </w:rPr>
              <w:t>Canadian Charter of Rights and Freedoms</w:t>
            </w:r>
            <w:r>
              <w:rPr>
                <w:b/>
                <w:lang w:val="en-CA"/>
              </w:rPr>
              <w:t>)</w:t>
            </w:r>
          </w:p>
          <w:p w14:paraId="7F2AF911" w14:textId="77777777" w:rsidR="008731BF" w:rsidRPr="008731BF" w:rsidRDefault="008731BF">
            <w:pPr>
              <w:pStyle w:val="zSoquijlblTypeDocument"/>
              <w:rPr>
                <w:b/>
                <w:lang w:val="en-CA"/>
              </w:rPr>
            </w:pPr>
          </w:p>
          <w:p w14:paraId="2EA1FEE8" w14:textId="77777777" w:rsidR="00911B59" w:rsidRDefault="007E0A5D">
            <w:pPr>
              <w:pStyle w:val="zSoquijlblTypeDocument"/>
              <w:rPr>
                <w:b/>
                <w:sz w:val="20"/>
                <w:lang w:val="en-CA"/>
              </w:rPr>
            </w:pPr>
            <w:r>
              <w:rPr>
                <w:b/>
                <w:sz w:val="20"/>
                <w:lang w:val="en-CA"/>
              </w:rPr>
              <w:t xml:space="preserve">[English version </w:t>
            </w:r>
            <w:r w:rsidR="0063287A">
              <w:rPr>
                <w:b/>
                <w:sz w:val="20"/>
                <w:lang w:val="en-CA"/>
              </w:rPr>
              <w:t>– prepared by the Court – of the French judgment</w:t>
            </w:r>
            <w:r w:rsidR="00911B59">
              <w:rPr>
                <w:b/>
                <w:sz w:val="20"/>
                <w:lang w:val="en-CA"/>
              </w:rPr>
              <w:t>. In case of any discrepancy,</w:t>
            </w:r>
          </w:p>
          <w:p w14:paraId="17BCDC55" w14:textId="77777777" w:rsidR="007E0A5D" w:rsidRPr="007E0A5D" w:rsidRDefault="00911B59">
            <w:pPr>
              <w:pStyle w:val="zSoquijlblTypeDocument"/>
              <w:rPr>
                <w:sz w:val="20"/>
                <w:lang w:val="en-CA"/>
              </w:rPr>
            </w:pPr>
            <w:r>
              <w:rPr>
                <w:b/>
                <w:sz w:val="20"/>
                <w:lang w:val="en-CA"/>
              </w:rPr>
              <w:t>the French version shall take precedence</w:t>
            </w:r>
            <w:r w:rsidR="007E0A5D">
              <w:rPr>
                <w:b/>
                <w:sz w:val="20"/>
                <w:lang w:val="en-CA"/>
              </w:rPr>
              <w:t>]</w:t>
            </w:r>
          </w:p>
        </w:tc>
      </w:tr>
      <w:tr w:rsidR="00BC463A" w:rsidRPr="00BC463A" w14:paraId="01A2531F" w14:textId="77777777">
        <w:tc>
          <w:tcPr>
            <w:tcW w:w="9505" w:type="dxa"/>
            <w:gridSpan w:val="9"/>
          </w:tcPr>
          <w:p w14:paraId="6F148795" w14:textId="77777777" w:rsidR="00BC463A" w:rsidRPr="00BC463A" w:rsidRDefault="00BC463A">
            <w:pPr>
              <w:ind w:left="14" w:right="-70"/>
              <w:rPr>
                <w:lang w:val="en-CA"/>
              </w:rPr>
            </w:pPr>
            <w:r w:rsidRPr="00BC463A">
              <w:rPr>
                <w:lang w:val="en-CA"/>
              </w:rPr>
              <w:t>______________________________________________________________________</w:t>
            </w:r>
          </w:p>
        </w:tc>
      </w:tr>
      <w:tr w:rsidR="000B2721" w:rsidRPr="00BC463A" w14:paraId="1148BB70" w14:textId="77777777">
        <w:tc>
          <w:tcPr>
            <w:tcW w:w="9505" w:type="dxa"/>
            <w:gridSpan w:val="9"/>
          </w:tcPr>
          <w:p w14:paraId="4B5B86A1" w14:textId="77777777" w:rsidR="000B2721" w:rsidRPr="00BC463A" w:rsidRDefault="000B2721">
            <w:pPr>
              <w:rPr>
                <w:lang w:val="en-CA"/>
              </w:rPr>
            </w:pPr>
          </w:p>
        </w:tc>
      </w:tr>
    </w:tbl>
    <w:p w14:paraId="2E4B7AAD" w14:textId="77777777" w:rsidR="0098326F" w:rsidRPr="00BC463A" w:rsidRDefault="0098326F" w:rsidP="00BC463A">
      <w:pPr>
        <w:rPr>
          <w:rFonts w:ascii="Times New Roman" w:hAnsi="Times New Roman"/>
          <w:sz w:val="22"/>
          <w:szCs w:val="22"/>
          <w:lang w:val="en-CA"/>
        </w:rPr>
      </w:pPr>
    </w:p>
    <w:p w14:paraId="20AE0129" w14:textId="77777777" w:rsidR="00BC463A" w:rsidRDefault="002B3D46" w:rsidP="006F4F1E">
      <w:pPr>
        <w:pStyle w:val="Paragraphe"/>
        <w:tabs>
          <w:tab w:val="clear" w:pos="360"/>
          <w:tab w:val="num" w:pos="851"/>
        </w:tabs>
        <w:spacing w:line="240" w:lineRule="auto"/>
        <w:rPr>
          <w:lang w:val="en-CA"/>
        </w:rPr>
      </w:pPr>
      <w:r>
        <w:rPr>
          <w:lang w:val="en-CA"/>
        </w:rPr>
        <w:t xml:space="preserve">The accused, Marcus Nimeri, is charged with possession of a loaded prohibited handgun (s. 95(2)(a) </w:t>
      </w:r>
      <w:r>
        <w:rPr>
          <w:i/>
          <w:iCs/>
          <w:lang w:val="en-CA"/>
        </w:rPr>
        <w:t>C.C.</w:t>
      </w:r>
      <w:r>
        <w:rPr>
          <w:lang w:val="en-CA"/>
        </w:rPr>
        <w:t xml:space="preserve">), carrying a concealed weapon (s. 90(2)(a) </w:t>
      </w:r>
      <w:r>
        <w:rPr>
          <w:i/>
          <w:iCs/>
          <w:lang w:val="en-CA"/>
        </w:rPr>
        <w:t>C.C.</w:t>
      </w:r>
      <w:r>
        <w:rPr>
          <w:lang w:val="en-CA"/>
        </w:rPr>
        <w:t xml:space="preserve">) and obstructing a police officer in the execution of his duties (s. 129(a)(d) </w:t>
      </w:r>
      <w:r>
        <w:rPr>
          <w:i/>
          <w:iCs/>
          <w:lang w:val="en-CA"/>
        </w:rPr>
        <w:t>C.C.</w:t>
      </w:r>
      <w:r>
        <w:rPr>
          <w:lang w:val="en-CA"/>
        </w:rPr>
        <w:t>)</w:t>
      </w:r>
      <w:r w:rsidR="00095D1B">
        <w:rPr>
          <w:lang w:val="en-CA"/>
        </w:rPr>
        <w:t>.</w:t>
      </w:r>
    </w:p>
    <w:p w14:paraId="4E6F5238" w14:textId="77777777" w:rsidR="002B3D46" w:rsidRPr="00BC463A" w:rsidRDefault="002B3D46" w:rsidP="006F4F1E">
      <w:pPr>
        <w:pStyle w:val="Paragraphe"/>
        <w:tabs>
          <w:tab w:val="clear" w:pos="360"/>
          <w:tab w:val="num" w:pos="851"/>
        </w:tabs>
        <w:spacing w:line="240" w:lineRule="auto"/>
        <w:rPr>
          <w:lang w:val="en-CA"/>
        </w:rPr>
      </w:pPr>
      <w:r>
        <w:rPr>
          <w:lang w:val="en-CA"/>
        </w:rPr>
        <w:t>It is common ground that on the morning of October 17</w:t>
      </w:r>
      <w:r w:rsidRPr="002B3D46">
        <w:rPr>
          <w:vertAlign w:val="superscript"/>
          <w:lang w:val="en-CA"/>
        </w:rPr>
        <w:t>th</w:t>
      </w:r>
      <w:r>
        <w:rPr>
          <w:lang w:val="en-CA"/>
        </w:rPr>
        <w:t xml:space="preserve"> 2023, he was walking on a downtown Montreal street with a modified, fully automatic, loaded Glock 19 pistol nestled in his man-purse.</w:t>
      </w:r>
    </w:p>
    <w:p w14:paraId="1FB1FD65" w14:textId="77777777" w:rsidR="00BC463A" w:rsidRPr="00095D1B" w:rsidRDefault="00300C58" w:rsidP="00BC463A">
      <w:pPr>
        <w:pStyle w:val="Paragraphe"/>
        <w:tabs>
          <w:tab w:val="clear" w:pos="360"/>
          <w:tab w:val="num" w:pos="851"/>
        </w:tabs>
        <w:spacing w:line="240" w:lineRule="auto"/>
        <w:rPr>
          <w:lang w:val="en-CA"/>
        </w:rPr>
      </w:pPr>
      <w:bookmarkStart w:id="0" w:name="_Hlk162249464"/>
      <w:r>
        <w:rPr>
          <w:lang w:val="en-CA"/>
        </w:rPr>
        <w:lastRenderedPageBreak/>
        <w:t>At trial, the defence presents an application for the exclusion of the firearm and the bullets</w:t>
      </w:r>
      <w:r w:rsidR="007C0122">
        <w:rPr>
          <w:lang w:val="en-CA"/>
        </w:rPr>
        <w:t>.</w:t>
      </w:r>
      <w:r>
        <w:rPr>
          <w:lang w:val="en-CA"/>
        </w:rPr>
        <w:t xml:space="preserve"> It argues that the police officers had no reason to stop and detain the accused, who was simply walking down the street without incident</w:t>
      </w:r>
      <w:r w:rsidR="00B623A0">
        <w:rPr>
          <w:lang w:val="en-CA"/>
        </w:rPr>
        <w:t xml:space="preserve"> on a sunny day</w:t>
      </w:r>
      <w:r>
        <w:rPr>
          <w:lang w:val="en-CA"/>
        </w:rPr>
        <w:t xml:space="preserve">. </w:t>
      </w:r>
      <w:r w:rsidR="00B623A0">
        <w:rPr>
          <w:lang w:val="en-CA"/>
        </w:rPr>
        <w:t>Nor were they entitled to search him. Fundamentally, it is not illegal to possess a man-purse, nor it is automatically an indicator of some criminal activity</w:t>
      </w:r>
      <w:bookmarkEnd w:id="0"/>
      <w:r w:rsidR="00B623A0">
        <w:rPr>
          <w:lang w:val="en-CA"/>
        </w:rPr>
        <w:t>.</w:t>
      </w:r>
    </w:p>
    <w:p w14:paraId="0A52D75F" w14:textId="77777777" w:rsidR="00F97FE0" w:rsidRDefault="00CD7B84" w:rsidP="006F4F1E">
      <w:pPr>
        <w:pStyle w:val="Paragraphe"/>
        <w:tabs>
          <w:tab w:val="clear" w:pos="360"/>
          <w:tab w:val="num" w:pos="851"/>
        </w:tabs>
        <w:spacing w:line="240" w:lineRule="auto"/>
        <w:rPr>
          <w:lang w:val="en-CA"/>
        </w:rPr>
      </w:pPr>
      <w:r>
        <w:rPr>
          <w:lang w:val="en-CA"/>
        </w:rPr>
        <w:t xml:space="preserve">The Crown responds that </w:t>
      </w:r>
      <w:r w:rsidR="002F7166">
        <w:rPr>
          <w:lang w:val="en-CA"/>
        </w:rPr>
        <w:t xml:space="preserve">several elements </w:t>
      </w:r>
      <w:r w:rsidR="00674D54">
        <w:rPr>
          <w:lang w:val="en-CA"/>
        </w:rPr>
        <w:t>in</w:t>
      </w:r>
      <w:r w:rsidR="009E5354">
        <w:rPr>
          <w:lang w:val="en-CA"/>
        </w:rPr>
        <w:t xml:space="preserve"> the accused’s</w:t>
      </w:r>
      <w:r w:rsidR="00674D54">
        <w:rPr>
          <w:lang w:val="en-CA"/>
        </w:rPr>
        <w:t xml:space="preserve"> behaviour </w:t>
      </w:r>
      <w:r w:rsidR="00856752">
        <w:rPr>
          <w:lang w:val="en-CA"/>
        </w:rPr>
        <w:t>amply</w:t>
      </w:r>
      <w:r w:rsidR="008257B0">
        <w:rPr>
          <w:lang w:val="en-CA"/>
        </w:rPr>
        <w:t xml:space="preserve"> </w:t>
      </w:r>
      <w:r w:rsidR="003C0337">
        <w:rPr>
          <w:lang w:val="en-CA"/>
        </w:rPr>
        <w:t>warranted his investigative detention</w:t>
      </w:r>
      <w:r w:rsidR="00F00857">
        <w:rPr>
          <w:lang w:val="en-CA"/>
        </w:rPr>
        <w:t xml:space="preserve"> by the officers. Similarly,</w:t>
      </w:r>
      <w:r w:rsidR="00A6147A">
        <w:rPr>
          <w:lang w:val="en-CA"/>
        </w:rPr>
        <w:t xml:space="preserve"> cogent safety concerns </w:t>
      </w:r>
      <w:r w:rsidR="006572D5">
        <w:rPr>
          <w:lang w:val="en-CA"/>
        </w:rPr>
        <w:t xml:space="preserve">required that the officers </w:t>
      </w:r>
      <w:r w:rsidR="00E446F7">
        <w:rPr>
          <w:lang w:val="en-CA"/>
        </w:rPr>
        <w:t>conduct a pat-down search of the man-purse in order to ensure that he was not armed.</w:t>
      </w:r>
    </w:p>
    <w:p w14:paraId="271D1C86" w14:textId="77777777" w:rsidR="00CD7B84" w:rsidRDefault="00E446F7" w:rsidP="006F4F1E">
      <w:pPr>
        <w:pStyle w:val="Paragraphe"/>
        <w:tabs>
          <w:tab w:val="clear" w:pos="360"/>
          <w:tab w:val="num" w:pos="851"/>
        </w:tabs>
        <w:spacing w:line="240" w:lineRule="auto"/>
        <w:rPr>
          <w:lang w:val="en-CA"/>
        </w:rPr>
      </w:pPr>
      <w:bookmarkStart w:id="1" w:name="_Hlk162250430"/>
      <w:r w:rsidRPr="00E446F7">
        <w:rPr>
          <w:lang w:val="en-CA"/>
        </w:rPr>
        <w:t>The parties’</w:t>
      </w:r>
      <w:r>
        <w:rPr>
          <w:lang w:val="en-CA"/>
        </w:rPr>
        <w:t xml:space="preserve"> respective</w:t>
      </w:r>
      <w:r w:rsidRPr="00E446F7">
        <w:rPr>
          <w:lang w:val="en-CA"/>
        </w:rPr>
        <w:t xml:space="preserve"> perception</w:t>
      </w:r>
      <w:r>
        <w:rPr>
          <w:lang w:val="en-CA"/>
        </w:rPr>
        <w:t>s</w:t>
      </w:r>
      <w:r w:rsidRPr="00E446F7">
        <w:rPr>
          <w:lang w:val="en-CA"/>
        </w:rPr>
        <w:t xml:space="preserve"> of th</w:t>
      </w:r>
      <w:r>
        <w:rPr>
          <w:lang w:val="en-CA"/>
        </w:rPr>
        <w:t xml:space="preserve">e uncontested fact pattern are diametrically opposed. One considers this to have been an oppressive, unfair and </w:t>
      </w:r>
      <w:r w:rsidR="00F34E43">
        <w:rPr>
          <w:lang w:val="en-CA"/>
        </w:rPr>
        <w:t>unjustified</w:t>
      </w:r>
      <w:r>
        <w:rPr>
          <w:lang w:val="en-CA"/>
        </w:rPr>
        <w:t xml:space="preserve"> violation of the accused’s rights. The other sees an example of remarkably diligent, potentially life-saving police work</w:t>
      </w:r>
      <w:r w:rsidR="00F10D9F">
        <w:rPr>
          <w:lang w:val="en-CA"/>
        </w:rPr>
        <w:t xml:space="preserve"> that took a dangerous weapon off the streets</w:t>
      </w:r>
      <w:r>
        <w:rPr>
          <w:lang w:val="en-CA"/>
        </w:rPr>
        <w:t>.</w:t>
      </w:r>
      <w:bookmarkEnd w:id="1"/>
    </w:p>
    <w:p w14:paraId="22DBFF52" w14:textId="77777777" w:rsidR="00E446F7" w:rsidRDefault="00E446F7" w:rsidP="006F4F1E">
      <w:pPr>
        <w:pStyle w:val="Paragraphe"/>
        <w:tabs>
          <w:tab w:val="clear" w:pos="360"/>
          <w:tab w:val="num" w:pos="851"/>
        </w:tabs>
        <w:spacing w:line="240" w:lineRule="auto"/>
        <w:rPr>
          <w:lang w:val="en-CA"/>
        </w:rPr>
      </w:pPr>
      <w:r>
        <w:rPr>
          <w:lang w:val="en-CA"/>
        </w:rPr>
        <w:t xml:space="preserve">The parties have agreed that this application is dispositive of the </w:t>
      </w:r>
      <w:r w:rsidR="00622BC0">
        <w:rPr>
          <w:lang w:val="en-CA"/>
        </w:rPr>
        <w:t>case</w:t>
      </w:r>
      <w:r>
        <w:rPr>
          <w:lang w:val="en-CA"/>
        </w:rPr>
        <w:t xml:space="preserve">. </w:t>
      </w:r>
      <w:r w:rsidR="00622BC0">
        <w:rPr>
          <w:lang w:val="en-CA"/>
        </w:rPr>
        <w:t xml:space="preserve">The accused did not testify on </w:t>
      </w:r>
      <w:r w:rsidR="00622BC0">
        <w:rPr>
          <w:i/>
          <w:iCs/>
          <w:lang w:val="en-CA"/>
        </w:rPr>
        <w:t>voir-dire</w:t>
      </w:r>
      <w:r w:rsidR="00622BC0">
        <w:rPr>
          <w:lang w:val="en-CA"/>
        </w:rPr>
        <w:t xml:space="preserve">. </w:t>
      </w:r>
      <w:r w:rsidR="00F34E43">
        <w:rPr>
          <w:lang w:val="en-CA"/>
        </w:rPr>
        <w:t>Moreover, t</w:t>
      </w:r>
      <w:r w:rsidR="00622BC0">
        <w:rPr>
          <w:lang w:val="en-CA"/>
        </w:rPr>
        <w:t>he defence formally announced that it would have no evidence to adduce on the merits and the parties accept that, should the handgun and bullets be admitted, the application evidence would apply to the trial proper and a guilty verdict would ensue.</w:t>
      </w:r>
      <w:r w:rsidR="00622BC0">
        <w:rPr>
          <w:rStyle w:val="Appelnotedebasdep"/>
          <w:lang w:val="en-CA"/>
        </w:rPr>
        <w:footnoteReference w:id="1"/>
      </w:r>
    </w:p>
    <w:p w14:paraId="6CDEC0EE" w14:textId="77777777" w:rsidR="00BC2B66" w:rsidRPr="00984863" w:rsidRDefault="00984863" w:rsidP="008E7372">
      <w:pPr>
        <w:pStyle w:val="Titre1"/>
        <w:spacing w:before="120" w:after="120"/>
        <w:rPr>
          <w:sz w:val="24"/>
          <w:szCs w:val="24"/>
          <w:u w:val="single"/>
          <w:lang w:val="en-CA"/>
        </w:rPr>
      </w:pPr>
      <w:bookmarkStart w:id="2" w:name="_Toc139820630"/>
      <w:r w:rsidRPr="00984863">
        <w:rPr>
          <w:sz w:val="24"/>
          <w:szCs w:val="24"/>
          <w:u w:val="single"/>
          <w:lang w:val="en-CA"/>
        </w:rPr>
        <w:t>THE FACTS</w:t>
      </w:r>
      <w:bookmarkEnd w:id="2"/>
    </w:p>
    <w:p w14:paraId="389C69FD" w14:textId="77777777" w:rsidR="00837F77" w:rsidRPr="00984863" w:rsidRDefault="00A01956" w:rsidP="00DA1ABE">
      <w:pPr>
        <w:pStyle w:val="Titre1"/>
        <w:spacing w:before="120" w:after="120"/>
        <w:rPr>
          <w:sz w:val="24"/>
          <w:szCs w:val="24"/>
          <w:u w:val="single"/>
          <w:lang w:val="en-CA"/>
        </w:rPr>
      </w:pPr>
      <w:bookmarkStart w:id="3" w:name="_Toc137729693"/>
      <w:bookmarkStart w:id="4" w:name="_Toc139820631"/>
      <w:r w:rsidRPr="00984863">
        <w:rPr>
          <w:sz w:val="24"/>
          <w:szCs w:val="24"/>
          <w:lang w:val="en-CA"/>
        </w:rPr>
        <w:t xml:space="preserve">1- </w:t>
      </w:r>
      <w:bookmarkEnd w:id="3"/>
      <w:bookmarkEnd w:id="4"/>
      <w:r w:rsidR="00A236CC">
        <w:rPr>
          <w:sz w:val="24"/>
          <w:szCs w:val="24"/>
          <w:u w:val="single"/>
          <w:lang w:val="en-CA"/>
        </w:rPr>
        <w:t>The police officers’ testimony</w:t>
      </w:r>
    </w:p>
    <w:p w14:paraId="639AEEBE" w14:textId="77777777" w:rsidR="00FC6EA0" w:rsidRDefault="00A236CC" w:rsidP="00FC6EA0">
      <w:pPr>
        <w:pStyle w:val="Paragraphe"/>
        <w:tabs>
          <w:tab w:val="clear" w:pos="360"/>
          <w:tab w:val="num" w:pos="851"/>
        </w:tabs>
        <w:spacing w:line="240" w:lineRule="auto"/>
        <w:rPr>
          <w:lang w:val="en-CA"/>
        </w:rPr>
      </w:pPr>
      <w:r>
        <w:rPr>
          <w:lang w:val="en-CA"/>
        </w:rPr>
        <w:t>Officers Nicolas Boivin and Patrick Laleyan were on a regular patrol on the morning of October 17</w:t>
      </w:r>
      <w:r w:rsidRPr="00A236CC">
        <w:rPr>
          <w:vertAlign w:val="superscript"/>
          <w:lang w:val="en-CA"/>
        </w:rPr>
        <w:t>th</w:t>
      </w:r>
      <w:r>
        <w:rPr>
          <w:lang w:val="en-CA"/>
        </w:rPr>
        <w:t xml:space="preserve"> 2023, on board a marked squad car</w:t>
      </w:r>
      <w:r w:rsidR="00FC6EA0">
        <w:rPr>
          <w:lang w:val="en-CA"/>
        </w:rPr>
        <w:t>.</w:t>
      </w:r>
      <w:r>
        <w:rPr>
          <w:lang w:val="en-CA"/>
        </w:rPr>
        <w:t xml:space="preserve"> Laleyan drove; Boivin was the passenger. It was a bright, sunny day.</w:t>
      </w:r>
    </w:p>
    <w:p w14:paraId="49C5D513" w14:textId="77777777" w:rsidR="00A236CC" w:rsidRDefault="00A236CC" w:rsidP="00FC6EA0">
      <w:pPr>
        <w:pStyle w:val="Paragraphe"/>
        <w:tabs>
          <w:tab w:val="clear" w:pos="360"/>
          <w:tab w:val="num" w:pos="851"/>
        </w:tabs>
        <w:spacing w:line="240" w:lineRule="auto"/>
        <w:rPr>
          <w:lang w:val="en-CA"/>
        </w:rPr>
      </w:pPr>
      <w:r>
        <w:rPr>
          <w:lang w:val="en-CA"/>
        </w:rPr>
        <w:t>At around 10:15 am, the officers were at the intersection of De la Montagne and Saint-Jacques Streets, in downtown Montreal near the Bell Centre. They were stopped at a red light. At the north-west corner of the intersection, they noticed a man exiting the Drivers Licence Bureau. The building’s exit was approximately 10-20 metres away from the intersection.</w:t>
      </w:r>
    </w:p>
    <w:p w14:paraId="458C22E0" w14:textId="77777777" w:rsidR="00A236CC" w:rsidRDefault="00A236CC" w:rsidP="00FC6EA0">
      <w:pPr>
        <w:pStyle w:val="Paragraphe"/>
        <w:tabs>
          <w:tab w:val="clear" w:pos="360"/>
          <w:tab w:val="num" w:pos="851"/>
        </w:tabs>
        <w:spacing w:line="240" w:lineRule="auto"/>
        <w:rPr>
          <w:lang w:val="en-CA"/>
        </w:rPr>
      </w:pPr>
      <w:r>
        <w:rPr>
          <w:lang w:val="en-CA"/>
        </w:rPr>
        <w:t xml:space="preserve">The man in question, </w:t>
      </w:r>
      <w:r>
        <w:rPr>
          <w:i/>
          <w:iCs/>
          <w:lang w:val="en-CA"/>
        </w:rPr>
        <w:t>i.e.</w:t>
      </w:r>
      <w:r>
        <w:rPr>
          <w:lang w:val="en-CA"/>
        </w:rPr>
        <w:t xml:space="preserve"> the accused, walked towards the intersection while looking at his cell phone, which he held in his right hand. Once he reached the intersection, he was facing </w:t>
      </w:r>
      <w:r w:rsidRPr="00A236CC">
        <w:rPr>
          <w:lang w:val="en-CA"/>
        </w:rPr>
        <w:t>south</w:t>
      </w:r>
      <w:r w:rsidRPr="00A236CC">
        <w:rPr>
          <w:rStyle w:val="Appelnotedebasdep"/>
        </w:rPr>
        <w:footnoteReference w:id="2"/>
      </w:r>
      <w:r w:rsidRPr="00A236CC">
        <w:rPr>
          <w:lang w:val="en-CA"/>
        </w:rPr>
        <w:t xml:space="preserve"> an</w:t>
      </w:r>
      <w:r>
        <w:rPr>
          <w:lang w:val="en-CA"/>
        </w:rPr>
        <w:t xml:space="preserve">d was waiting his turn to cross the road. His body </w:t>
      </w:r>
      <w:r>
        <w:rPr>
          <w:lang w:val="en-CA"/>
        </w:rPr>
        <w:lastRenderedPageBreak/>
        <w:t>was placed in a southbound direction.</w:t>
      </w:r>
      <w:r>
        <w:rPr>
          <w:rStyle w:val="Appelnotedebasdep"/>
          <w:lang w:val="en-CA"/>
        </w:rPr>
        <w:footnoteReference w:id="3"/>
      </w:r>
      <w:r>
        <w:rPr>
          <w:lang w:val="en-CA"/>
        </w:rPr>
        <w:t xml:space="preserve"> He</w:t>
      </w:r>
      <w:r w:rsidR="00F34E43">
        <w:rPr>
          <w:lang w:val="en-CA"/>
        </w:rPr>
        <w:t xml:space="preserve"> was right at the edge of</w:t>
      </w:r>
      <w:r>
        <w:rPr>
          <w:lang w:val="en-CA"/>
        </w:rPr>
        <w:t xml:space="preserve"> the corner,</w:t>
      </w:r>
      <w:r>
        <w:rPr>
          <w:rStyle w:val="Appelnotedebasdep"/>
          <w:lang w:val="en-CA"/>
        </w:rPr>
        <w:footnoteReference w:id="4"/>
      </w:r>
      <w:r>
        <w:rPr>
          <w:lang w:val="en-CA"/>
        </w:rPr>
        <w:t xml:space="preserve"> ready to cross.</w:t>
      </w:r>
      <w:r>
        <w:rPr>
          <w:rStyle w:val="Appelnotedebasdep"/>
          <w:lang w:val="en-CA"/>
        </w:rPr>
        <w:footnoteReference w:id="5"/>
      </w:r>
    </w:p>
    <w:p w14:paraId="2C22D793" w14:textId="77777777" w:rsidR="00A236CC" w:rsidRDefault="00A236CC" w:rsidP="00FC6EA0">
      <w:pPr>
        <w:pStyle w:val="Paragraphe"/>
        <w:tabs>
          <w:tab w:val="clear" w:pos="360"/>
          <w:tab w:val="num" w:pos="851"/>
        </w:tabs>
        <w:spacing w:line="240" w:lineRule="auto"/>
        <w:rPr>
          <w:lang w:val="en-CA"/>
        </w:rPr>
      </w:pPr>
      <w:r>
        <w:rPr>
          <w:lang w:val="en-CA"/>
        </w:rPr>
        <w:t xml:space="preserve">Once he raised his eyes, he noticed the police car. Upon seeing them, he immediately changed direction, </w:t>
      </w:r>
      <w:r w:rsidR="00B213FB">
        <w:rPr>
          <w:lang w:val="en-CA"/>
        </w:rPr>
        <w:t>turning on a dime and doing a 180</w:t>
      </w:r>
      <w:r w:rsidR="00B213FB">
        <w:rPr>
          <w:rFonts w:cs="Arial"/>
          <w:lang w:val="en-CA"/>
        </w:rPr>
        <w:t>°</w:t>
      </w:r>
      <w:r w:rsidR="00B213FB">
        <w:rPr>
          <w:lang w:val="en-CA"/>
        </w:rPr>
        <w:t xml:space="preserve"> before starting to walk northbound on De la Montagne, which attracted the officers’ attention.</w:t>
      </w:r>
    </w:p>
    <w:p w14:paraId="4FB4E0F8" w14:textId="77777777" w:rsidR="00B213FB" w:rsidRDefault="00B213FB" w:rsidP="00FC6EA0">
      <w:pPr>
        <w:pStyle w:val="Paragraphe"/>
        <w:tabs>
          <w:tab w:val="clear" w:pos="360"/>
          <w:tab w:val="num" w:pos="851"/>
        </w:tabs>
        <w:spacing w:line="240" w:lineRule="auto"/>
        <w:rPr>
          <w:lang w:val="en-CA"/>
        </w:rPr>
      </w:pPr>
      <w:r>
        <w:rPr>
          <w:lang w:val="en-CA"/>
        </w:rPr>
        <w:t>The officers, who were still waiting at their own red light, decided to observe him.</w:t>
      </w:r>
    </w:p>
    <w:p w14:paraId="69275745" w14:textId="77777777" w:rsidR="00B213FB" w:rsidRDefault="00B213FB" w:rsidP="00FC6EA0">
      <w:pPr>
        <w:pStyle w:val="Paragraphe"/>
        <w:tabs>
          <w:tab w:val="clear" w:pos="360"/>
          <w:tab w:val="num" w:pos="851"/>
        </w:tabs>
        <w:spacing w:line="240" w:lineRule="auto"/>
        <w:rPr>
          <w:lang w:val="en-CA"/>
        </w:rPr>
      </w:pPr>
      <w:r>
        <w:rPr>
          <w:lang w:val="en-CA"/>
        </w:rPr>
        <w:t>Nimeri wore a man-purse-type strap bag under his right armpit, hanging down to his hip.</w:t>
      </w:r>
    </w:p>
    <w:p w14:paraId="254BCF5B" w14:textId="77777777" w:rsidR="00B213FB" w:rsidRDefault="00B213FB" w:rsidP="00FC6EA0">
      <w:pPr>
        <w:pStyle w:val="Paragraphe"/>
        <w:tabs>
          <w:tab w:val="clear" w:pos="360"/>
          <w:tab w:val="num" w:pos="851"/>
        </w:tabs>
        <w:spacing w:line="240" w:lineRule="auto"/>
        <w:rPr>
          <w:lang w:val="en-CA"/>
        </w:rPr>
      </w:pPr>
      <w:r>
        <w:rPr>
          <w:lang w:val="en-CA"/>
        </w:rPr>
        <w:t xml:space="preserve">As he walked away northbound, using his elbow, the accused discretely pushed the man-purse forward in an effort to shield it from the view of the police officers (who were </w:t>
      </w:r>
      <w:r w:rsidR="00AE6D42">
        <w:rPr>
          <w:lang w:val="en-CA"/>
        </w:rPr>
        <w:t xml:space="preserve">now </w:t>
      </w:r>
      <w:r>
        <w:rPr>
          <w:lang w:val="en-CA"/>
        </w:rPr>
        <w:t>positioned behind him). His right hand still held his cell phone. This made the police officers even more vigilant. During the subtle pushing of the purse forward, the officers noticed that the accused</w:t>
      </w:r>
      <w:r w:rsidR="00F34E43">
        <w:rPr>
          <w:lang w:val="en-CA"/>
        </w:rPr>
        <w:t>’s</w:t>
      </w:r>
      <w:r>
        <w:rPr>
          <w:lang w:val="en-CA"/>
        </w:rPr>
        <w:t xml:space="preserve"> arm remained very rigid, kept bent at a 90</w:t>
      </w:r>
      <w:r>
        <w:rPr>
          <w:rFonts w:cs="Arial"/>
          <w:lang w:val="en-CA"/>
        </w:rPr>
        <w:t>°</w:t>
      </w:r>
      <w:r>
        <w:rPr>
          <w:lang w:val="en-CA"/>
        </w:rPr>
        <w:t xml:space="preserve"> angle at the elbow.</w:t>
      </w:r>
    </w:p>
    <w:p w14:paraId="685E8F01" w14:textId="77777777" w:rsidR="00B213FB" w:rsidRDefault="00B213FB" w:rsidP="00FC6EA0">
      <w:pPr>
        <w:pStyle w:val="Paragraphe"/>
        <w:tabs>
          <w:tab w:val="clear" w:pos="360"/>
          <w:tab w:val="num" w:pos="851"/>
        </w:tabs>
        <w:spacing w:line="240" w:lineRule="auto"/>
        <w:rPr>
          <w:lang w:val="en-CA"/>
        </w:rPr>
      </w:pPr>
      <w:r>
        <w:rPr>
          <w:lang w:val="en-CA"/>
        </w:rPr>
        <w:t>The officers then noticed that as he walked away, the man had a “</w:t>
      </w:r>
      <w:r w:rsidR="003D17B6">
        <w:rPr>
          <w:lang w:val="en-CA"/>
        </w:rPr>
        <w:t>dead-arm</w:t>
      </w:r>
      <w:r>
        <w:rPr>
          <w:lang w:val="en-CA"/>
        </w:rPr>
        <w:t>”</w:t>
      </w:r>
      <w:r w:rsidR="00AE6D42">
        <w:rPr>
          <w:lang w:val="en-CA"/>
        </w:rPr>
        <w:t>, described as follows</w:t>
      </w:r>
      <w:r>
        <w:rPr>
          <w:lang w:val="en-CA"/>
        </w:rPr>
        <w:t>:</w:t>
      </w:r>
    </w:p>
    <w:p w14:paraId="0EA0F501" w14:textId="77777777" w:rsidR="00B213FB" w:rsidRDefault="00B213FB" w:rsidP="00B213FB">
      <w:pPr>
        <w:pStyle w:val="Paragraphe"/>
        <w:numPr>
          <w:ilvl w:val="0"/>
          <w:numId w:val="27"/>
        </w:numPr>
        <w:spacing w:line="240" w:lineRule="auto"/>
        <w:rPr>
          <w:lang w:val="en-CA"/>
        </w:rPr>
      </w:pPr>
      <w:r w:rsidRPr="00B213FB">
        <w:rPr>
          <w:lang w:val="en-CA"/>
        </w:rPr>
        <w:t>His right arm was firmly squeezed against the bag, pinning it against his body in order to prevent it from moving. The bag was now partially in front of his body, a</w:t>
      </w:r>
      <w:r>
        <w:rPr>
          <w:lang w:val="en-CA"/>
        </w:rPr>
        <w:t xml:space="preserve">t the </w:t>
      </w:r>
      <w:r w:rsidRPr="00B213FB">
        <w:rPr>
          <w:lang w:val="en-CA"/>
        </w:rPr>
        <w:t>h</w:t>
      </w:r>
      <w:r>
        <w:rPr>
          <w:lang w:val="en-CA"/>
        </w:rPr>
        <w:t>e</w:t>
      </w:r>
      <w:r w:rsidRPr="00B213FB">
        <w:rPr>
          <w:lang w:val="en-CA"/>
        </w:rPr>
        <w:t>igh</w:t>
      </w:r>
      <w:r>
        <w:rPr>
          <w:lang w:val="en-CA"/>
        </w:rPr>
        <w:t>t</w:t>
      </w:r>
      <w:r w:rsidRPr="00B213FB">
        <w:rPr>
          <w:lang w:val="en-CA"/>
        </w:rPr>
        <w:t xml:space="preserve"> </w:t>
      </w:r>
      <w:r>
        <w:rPr>
          <w:lang w:val="en-CA"/>
        </w:rPr>
        <w:t>of</w:t>
      </w:r>
      <w:r w:rsidRPr="00B213FB">
        <w:rPr>
          <w:lang w:val="en-CA"/>
        </w:rPr>
        <w:t xml:space="preserve"> his </w:t>
      </w:r>
      <w:r w:rsidR="00AE6D42">
        <w:rPr>
          <w:lang w:val="en-CA"/>
        </w:rPr>
        <w:t>lower</w:t>
      </w:r>
      <w:r w:rsidRPr="00B213FB">
        <w:rPr>
          <w:lang w:val="en-CA"/>
        </w:rPr>
        <w:t xml:space="preserve"> ribs.</w:t>
      </w:r>
    </w:p>
    <w:p w14:paraId="4FE3E075" w14:textId="77777777" w:rsidR="00B213FB" w:rsidRDefault="00B213FB" w:rsidP="00B213FB">
      <w:pPr>
        <w:pStyle w:val="Paragraphe"/>
        <w:numPr>
          <w:ilvl w:val="0"/>
          <w:numId w:val="27"/>
        </w:numPr>
        <w:spacing w:line="240" w:lineRule="auto"/>
        <w:rPr>
          <w:lang w:val="en-CA"/>
        </w:rPr>
      </w:pPr>
      <w:r>
        <w:rPr>
          <w:lang w:val="en-CA"/>
        </w:rPr>
        <w:t xml:space="preserve">As he walked, the man put his cell phone in his pants pocket. Even when he made this movement, he was careful not to unstick his elbow from his ribs. Only his forearm slightly extended, just enough to reach his pocket and insert his cell </w:t>
      </w:r>
      <w:r w:rsidR="00F137E2">
        <w:rPr>
          <w:lang w:val="en-CA"/>
        </w:rPr>
        <w:t>p</w:t>
      </w:r>
      <w:r>
        <w:rPr>
          <w:lang w:val="en-CA"/>
        </w:rPr>
        <w:t>hone</w:t>
      </w:r>
      <w:r w:rsidR="00AE6D42">
        <w:rPr>
          <w:lang w:val="en-CA"/>
        </w:rPr>
        <w:t xml:space="preserve"> in it</w:t>
      </w:r>
      <w:r>
        <w:rPr>
          <w:lang w:val="en-CA"/>
        </w:rPr>
        <w:t>. The movement was awkward and unnatural.</w:t>
      </w:r>
    </w:p>
    <w:p w14:paraId="7426D213" w14:textId="77777777" w:rsidR="00B213FB" w:rsidRPr="00B213FB" w:rsidRDefault="00B213FB" w:rsidP="00B213FB">
      <w:pPr>
        <w:pStyle w:val="Paragraphe"/>
        <w:numPr>
          <w:ilvl w:val="0"/>
          <w:numId w:val="27"/>
        </w:numPr>
        <w:spacing w:line="240" w:lineRule="auto"/>
        <w:rPr>
          <w:lang w:val="en-CA"/>
        </w:rPr>
      </w:pPr>
      <w:r>
        <w:rPr>
          <w:lang w:val="en-CA"/>
        </w:rPr>
        <w:t>As he walked, his left arm was swinging and swaying normally</w:t>
      </w:r>
      <w:r w:rsidR="00D47265">
        <w:rPr>
          <w:lang w:val="en-CA"/>
        </w:rPr>
        <w:t>. Conversely, his right arm remained stuck and immobile. The contrast was striking.</w:t>
      </w:r>
    </w:p>
    <w:p w14:paraId="1056207C" w14:textId="77777777" w:rsidR="00D47265" w:rsidRDefault="00D47265" w:rsidP="00B213FB">
      <w:pPr>
        <w:pStyle w:val="Paragraphe"/>
        <w:tabs>
          <w:tab w:val="clear" w:pos="360"/>
          <w:tab w:val="num" w:pos="851"/>
        </w:tabs>
        <w:spacing w:line="240" w:lineRule="auto"/>
        <w:rPr>
          <w:lang w:val="en-CA"/>
        </w:rPr>
      </w:pPr>
      <w:r w:rsidRPr="00D47265">
        <w:rPr>
          <w:lang w:val="en-CA"/>
        </w:rPr>
        <w:t xml:space="preserve">Officer Boivin explains that three or four years ago, </w:t>
      </w:r>
      <w:r>
        <w:rPr>
          <w:lang w:val="en-CA"/>
        </w:rPr>
        <w:t>he completed</w:t>
      </w:r>
      <w:r w:rsidR="00F34E43">
        <w:rPr>
          <w:lang w:val="en-CA"/>
        </w:rPr>
        <w:t xml:space="preserve"> a</w:t>
      </w:r>
      <w:r>
        <w:rPr>
          <w:lang w:val="en-CA"/>
        </w:rPr>
        <w:t xml:space="preserve"> specialized training program dispensed by the ENSALA unit of the Royal Canadian Mounted Police on the topic of the physical and behavioural characteristics of persons carrying weapons. The course sensitized the offices to various indicia, some conscious and other unconscious, that tend to suggest that the </w:t>
      </w:r>
      <w:r w:rsidR="00F34E43">
        <w:rPr>
          <w:lang w:val="en-CA"/>
        </w:rPr>
        <w:t>individual</w:t>
      </w:r>
      <w:r>
        <w:rPr>
          <w:lang w:val="en-CA"/>
        </w:rPr>
        <w:t xml:space="preserve"> is concealing a weapon on </w:t>
      </w:r>
      <w:r>
        <w:rPr>
          <w:lang w:val="en-CA"/>
        </w:rPr>
        <w:lastRenderedPageBreak/>
        <w:t xml:space="preserve">his </w:t>
      </w:r>
      <w:r w:rsidR="00F34E43">
        <w:rPr>
          <w:lang w:val="en-CA"/>
        </w:rPr>
        <w:t>person</w:t>
      </w:r>
      <w:r>
        <w:rPr>
          <w:lang w:val="en-CA"/>
        </w:rPr>
        <w:t xml:space="preserve">. Among those markers were (1) walking with </w:t>
      </w:r>
      <w:r w:rsidR="003D17B6">
        <w:rPr>
          <w:lang w:val="en-CA"/>
        </w:rPr>
        <w:t>dead-arm</w:t>
      </w:r>
      <w:r>
        <w:rPr>
          <w:lang w:val="en-CA"/>
        </w:rPr>
        <w:t xml:space="preserve"> and (2) repositioning one’s body in such a manner that it is angled away from the police, thereby removing something from their field of vision. The training course also taught them that the armed person might also make subconscious self-pat movements in order to verify that the weapon was still in its intended place.</w:t>
      </w:r>
      <w:r w:rsidR="007D1A92">
        <w:rPr>
          <w:lang w:val="en-CA"/>
        </w:rPr>
        <w:t xml:space="preserve"> Finally, the course provided a list of the most common hiding places for handguns, which included man-purses, waistbands and different types of holsters. In the majority of seizures, the handgun was hidden in a man-purse or belt. This ENSALA course </w:t>
      </w:r>
      <w:r w:rsidR="00AE6D42">
        <w:rPr>
          <w:lang w:val="en-CA"/>
        </w:rPr>
        <w:t>wa</w:t>
      </w:r>
      <w:r w:rsidR="007D1A92">
        <w:rPr>
          <w:lang w:val="en-CA"/>
        </w:rPr>
        <w:t xml:space="preserve">s based on </w:t>
      </w:r>
      <w:r w:rsidR="00AE6D42">
        <w:rPr>
          <w:lang w:val="en-CA"/>
        </w:rPr>
        <w:t>data from</w:t>
      </w:r>
      <w:r w:rsidR="007D1A92">
        <w:rPr>
          <w:lang w:val="en-CA"/>
        </w:rPr>
        <w:t xml:space="preserve"> all firearms seizure reports in the province, irrespective of which police force made the find. Every gun seizure in the province is reported to ENSALA, which in turns compiles updated comprehensive data.</w:t>
      </w:r>
    </w:p>
    <w:p w14:paraId="5328F902" w14:textId="77777777" w:rsidR="007D1A92" w:rsidRDefault="007D1A92" w:rsidP="00B213FB">
      <w:pPr>
        <w:pStyle w:val="Paragraphe"/>
        <w:tabs>
          <w:tab w:val="clear" w:pos="360"/>
          <w:tab w:val="num" w:pos="851"/>
        </w:tabs>
        <w:spacing w:line="240" w:lineRule="auto"/>
        <w:rPr>
          <w:lang w:val="en-CA"/>
        </w:rPr>
      </w:pPr>
      <w:r>
        <w:rPr>
          <w:lang w:val="en-CA"/>
        </w:rPr>
        <w:t xml:space="preserve">Since following this course, Boivin personally seized at least 25 concealed handguns on suspects. All of those seizures resulted from police-initiated contacts, after he noticed the tell-tale signs of hidden gun possession that he learned in the training. Among the 25 seizures he made, </w:t>
      </w:r>
      <w:r w:rsidRPr="00346FF6">
        <w:rPr>
          <w:lang w:val="en-CA"/>
        </w:rPr>
        <w:t>at least 80%</w:t>
      </w:r>
      <w:r>
        <w:rPr>
          <w:lang w:val="en-CA"/>
        </w:rPr>
        <w:t xml:space="preserve"> of the guns were concealed in man-purses.</w:t>
      </w:r>
    </w:p>
    <w:p w14:paraId="65E591E6" w14:textId="77777777" w:rsidR="007D1A92" w:rsidRDefault="007D1A92" w:rsidP="00B213FB">
      <w:pPr>
        <w:pStyle w:val="Paragraphe"/>
        <w:tabs>
          <w:tab w:val="clear" w:pos="360"/>
          <w:tab w:val="num" w:pos="851"/>
        </w:tabs>
        <w:spacing w:line="240" w:lineRule="auto"/>
        <w:rPr>
          <w:lang w:val="en-CA"/>
        </w:rPr>
      </w:pPr>
      <w:r>
        <w:rPr>
          <w:lang w:val="en-CA"/>
        </w:rPr>
        <w:t xml:space="preserve">In addition to the training course, officer Boivin had seven years of experience patrolling in downtown Montreal. He </w:t>
      </w:r>
      <w:r w:rsidR="00AE6D42">
        <w:rPr>
          <w:lang w:val="en-CA"/>
        </w:rPr>
        <w:t>had an interest in</w:t>
      </w:r>
      <w:r>
        <w:rPr>
          <w:lang w:val="en-CA"/>
        </w:rPr>
        <w:t xml:space="preserve"> firearms and he followed any training course offered on the topic.</w:t>
      </w:r>
      <w:r>
        <w:rPr>
          <w:rStyle w:val="Appelnotedebasdep"/>
          <w:lang w:val="en-CA"/>
        </w:rPr>
        <w:footnoteReference w:id="6"/>
      </w:r>
    </w:p>
    <w:p w14:paraId="331B0C08" w14:textId="77777777" w:rsidR="007D1A92" w:rsidRDefault="007D1A92" w:rsidP="00B213FB">
      <w:pPr>
        <w:pStyle w:val="Paragraphe"/>
        <w:tabs>
          <w:tab w:val="clear" w:pos="360"/>
          <w:tab w:val="num" w:pos="851"/>
        </w:tabs>
        <w:spacing w:line="240" w:lineRule="auto"/>
        <w:rPr>
          <w:lang w:val="en-CA"/>
        </w:rPr>
      </w:pPr>
      <w:r>
        <w:rPr>
          <w:lang w:val="en-CA"/>
        </w:rPr>
        <w:t xml:space="preserve">Officer Laleyan had followed the same training program. When he explained dead-arm and self-checks in his testimony, the officer specified that these movements are often involuntary. In fact, he sometimes notices his colleagues doing it when they are working undercover; they also tend to check – subconsciously – to ensure that their weapon is concealed where it should be. Laleyan has six years experience patrolling in downtown Montreal. Based on his experience, he knew that the area surrounding the Bell Centre is often problematic, as it attracts organized crime figures and street gangs, due in part to the prevalence of restaurants, bars and nightclubs. In his patrol sector, he is often called to respond to gunshot calls, including attempted murders. He estimates that he has responded to approximately 100 </w:t>
      </w:r>
      <w:r w:rsidR="00442267">
        <w:rPr>
          <w:lang w:val="en-CA"/>
        </w:rPr>
        <w:t>gun shot calls.</w:t>
      </w:r>
    </w:p>
    <w:p w14:paraId="2FA962D4" w14:textId="77777777" w:rsidR="00442267" w:rsidRDefault="00442267" w:rsidP="00B213FB">
      <w:pPr>
        <w:pStyle w:val="Paragraphe"/>
        <w:tabs>
          <w:tab w:val="clear" w:pos="360"/>
          <w:tab w:val="num" w:pos="851"/>
        </w:tabs>
        <w:spacing w:line="240" w:lineRule="auto"/>
        <w:rPr>
          <w:lang w:val="en-CA"/>
        </w:rPr>
      </w:pPr>
      <w:r>
        <w:rPr>
          <w:lang w:val="en-CA"/>
        </w:rPr>
        <w:t>Before the interaction in the case at bar, he was involved in 30 concealed handgun seizures, the majority of which were hidden in man-purses. He knows man-purses to be particularly efficient vessels to carry weapons. In fact, he acknowledges using them himself when he is working undercover. He has a personal interest for firearms. He is a gun owner himself. He describes himself as a “gun fanatic”. He was able to explain the Glock switch mechanism to the Court.</w:t>
      </w:r>
    </w:p>
    <w:p w14:paraId="10412347" w14:textId="77777777" w:rsidR="00442267" w:rsidRDefault="00F34E43" w:rsidP="00B213FB">
      <w:pPr>
        <w:pStyle w:val="Paragraphe"/>
        <w:tabs>
          <w:tab w:val="clear" w:pos="360"/>
          <w:tab w:val="num" w:pos="851"/>
        </w:tabs>
        <w:spacing w:line="240" w:lineRule="auto"/>
        <w:rPr>
          <w:lang w:val="en-CA"/>
        </w:rPr>
      </w:pPr>
      <w:r>
        <w:rPr>
          <w:lang w:val="en-CA"/>
        </w:rPr>
        <w:t>Back to the facts, a</w:t>
      </w:r>
      <w:r w:rsidR="00022000">
        <w:rPr>
          <w:lang w:val="en-CA"/>
        </w:rPr>
        <w:t xml:space="preserve">s Nimeri continued to walk northbound, away from the police car, he quickly turned his head to see if the officers were still there. During this “back </w:t>
      </w:r>
      <w:r w:rsidR="00022000">
        <w:rPr>
          <w:lang w:val="en-CA"/>
        </w:rPr>
        <w:lastRenderedPageBreak/>
        <w:t xml:space="preserve">check” manoeuvre, the officers and the suspect made eye contact. Nimeri continued northbound, his arm still locked in as a </w:t>
      </w:r>
      <w:r w:rsidR="003D17B6">
        <w:rPr>
          <w:lang w:val="en-CA"/>
        </w:rPr>
        <w:t>dead-arm</w:t>
      </w:r>
      <w:r w:rsidR="00022000">
        <w:rPr>
          <w:lang w:val="en-CA"/>
        </w:rPr>
        <w:t>.</w:t>
      </w:r>
    </w:p>
    <w:p w14:paraId="2DF3207A" w14:textId="77777777" w:rsidR="00022000" w:rsidRDefault="00022000" w:rsidP="00B213FB">
      <w:pPr>
        <w:pStyle w:val="Paragraphe"/>
        <w:tabs>
          <w:tab w:val="clear" w:pos="360"/>
          <w:tab w:val="num" w:pos="851"/>
        </w:tabs>
        <w:spacing w:line="240" w:lineRule="auto"/>
        <w:rPr>
          <w:lang w:val="en-CA"/>
        </w:rPr>
      </w:pPr>
      <w:r>
        <w:rPr>
          <w:lang w:val="en-CA"/>
        </w:rPr>
        <w:t>The accused then took his phone out of his pocket, still carefully keeping his elbow pinned, before re-locking his arm in a 90</w:t>
      </w:r>
      <w:r>
        <w:rPr>
          <w:rFonts w:cs="Arial"/>
          <w:lang w:val="en-CA"/>
        </w:rPr>
        <w:t>°</w:t>
      </w:r>
      <w:r>
        <w:rPr>
          <w:lang w:val="en-CA"/>
        </w:rPr>
        <w:t xml:space="preserve"> angle. He then put his phone back in his pocket. Officer </w:t>
      </w:r>
      <w:r w:rsidR="00DE3D63">
        <w:rPr>
          <w:lang w:val="en-CA"/>
        </w:rPr>
        <w:t>Boivin considered this to be relevant too: if someone is carrying a man-purse, it is generally because he is transporting persona</w:t>
      </w:r>
      <w:r w:rsidR="00F34E43">
        <w:rPr>
          <w:lang w:val="en-CA"/>
        </w:rPr>
        <w:t>l</w:t>
      </w:r>
      <w:r w:rsidR="00DE3D63">
        <w:rPr>
          <w:lang w:val="en-CA"/>
        </w:rPr>
        <w:t xml:space="preserve"> items, such as a cell phone. Yet, here, Nimeri was putting his cell phone in his pants pocket. Thus, he must have had something else, something different, in his man-purse.</w:t>
      </w:r>
    </w:p>
    <w:p w14:paraId="6331BF4F" w14:textId="77777777" w:rsidR="00DE3D63" w:rsidRDefault="00DE3D63" w:rsidP="00B213FB">
      <w:pPr>
        <w:pStyle w:val="Paragraphe"/>
        <w:tabs>
          <w:tab w:val="clear" w:pos="360"/>
          <w:tab w:val="num" w:pos="851"/>
        </w:tabs>
        <w:spacing w:line="240" w:lineRule="auto"/>
        <w:rPr>
          <w:lang w:val="en-CA"/>
        </w:rPr>
      </w:pPr>
      <w:r>
        <w:rPr>
          <w:lang w:val="en-CA"/>
        </w:rPr>
        <w:t xml:space="preserve">When their traffic light became green, the officers </w:t>
      </w:r>
      <w:r w:rsidR="0005503B">
        <w:rPr>
          <w:lang w:val="en-CA"/>
        </w:rPr>
        <w:t xml:space="preserve">drove up northbound as the accused continued to maintain his </w:t>
      </w:r>
      <w:r w:rsidR="003D17B6">
        <w:rPr>
          <w:lang w:val="en-CA"/>
        </w:rPr>
        <w:t>dead-arm</w:t>
      </w:r>
      <w:r w:rsidR="0005503B">
        <w:rPr>
          <w:lang w:val="en-CA"/>
        </w:rPr>
        <w:t>. When Nimeri noticed them nearby, he froze. He stared at the officers, now keeping both arms immobile.</w:t>
      </w:r>
    </w:p>
    <w:p w14:paraId="0685357C" w14:textId="77777777" w:rsidR="0005503B" w:rsidRDefault="0005503B" w:rsidP="00B213FB">
      <w:pPr>
        <w:pStyle w:val="Paragraphe"/>
        <w:tabs>
          <w:tab w:val="clear" w:pos="360"/>
          <w:tab w:val="num" w:pos="851"/>
        </w:tabs>
        <w:spacing w:line="240" w:lineRule="auto"/>
        <w:rPr>
          <w:lang w:val="en-CA"/>
        </w:rPr>
      </w:pPr>
      <w:r>
        <w:rPr>
          <w:lang w:val="en-CA"/>
        </w:rPr>
        <w:t xml:space="preserve">The officers decided to intercept him. On the basis of all their observations, both considered that they had reasonable grounds to suspect that he was carrying a concealed gun. They quickly chose to perform a U-turn first, in order to ensure that the suspect saw them coming. They thought it would be unwise to intercept him from behind, since he might react </w:t>
      </w:r>
      <w:r w:rsidR="00F34E43">
        <w:rPr>
          <w:lang w:val="en-CA"/>
        </w:rPr>
        <w:t>adversely</w:t>
      </w:r>
      <w:r>
        <w:rPr>
          <w:lang w:val="en-CA"/>
        </w:rPr>
        <w:t>. For related reasons, the officers wanted to have a clear view of the accused “to face the threat” in order to ensure their own safety. Notably, they wanted to see his hands, since they suspected he was armed.</w:t>
      </w:r>
    </w:p>
    <w:p w14:paraId="3F618C38" w14:textId="77777777" w:rsidR="0005503B" w:rsidRDefault="0005503B" w:rsidP="00B213FB">
      <w:pPr>
        <w:pStyle w:val="Paragraphe"/>
        <w:tabs>
          <w:tab w:val="clear" w:pos="360"/>
          <w:tab w:val="num" w:pos="851"/>
        </w:tabs>
        <w:spacing w:line="240" w:lineRule="auto"/>
        <w:rPr>
          <w:lang w:val="en-CA"/>
        </w:rPr>
      </w:pPr>
      <w:r>
        <w:rPr>
          <w:lang w:val="en-CA"/>
        </w:rPr>
        <w:t>As they did their U-turn, before they even turned their flashing lights on, unprompted, Nimeri took out his health insurance card from his p</w:t>
      </w:r>
      <w:r w:rsidR="00F34E43">
        <w:rPr>
          <w:lang w:val="en-CA"/>
        </w:rPr>
        <w:t>o</w:t>
      </w:r>
      <w:r>
        <w:rPr>
          <w:lang w:val="en-CA"/>
        </w:rPr>
        <w:t>cket. Yet, the police had not asked him for anything yet. In addition to being odd in and of itself, this also suggested to officer Boivin that there must have been something else of interest in the man-purse, since the suspect was clearly not carrying his I.D. or his phone in it.</w:t>
      </w:r>
    </w:p>
    <w:p w14:paraId="1C4D26B3" w14:textId="77777777" w:rsidR="00A236CC" w:rsidRDefault="0005503B" w:rsidP="0005503B">
      <w:pPr>
        <w:pStyle w:val="Paragraphe"/>
        <w:tabs>
          <w:tab w:val="clear" w:pos="360"/>
          <w:tab w:val="num" w:pos="851"/>
        </w:tabs>
        <w:spacing w:line="240" w:lineRule="auto"/>
        <w:rPr>
          <w:lang w:val="en-CA"/>
        </w:rPr>
      </w:pPr>
      <w:r>
        <w:rPr>
          <w:lang w:val="en-CA"/>
        </w:rPr>
        <w:t xml:space="preserve">The officers exited their vehicle and approached the accused. They immediately ordered him to show his hands and they informed him that he was detained for investigation regarding a gun matter. They also read him his right to counsel </w:t>
      </w:r>
      <w:r w:rsidR="00F34E43">
        <w:rPr>
          <w:lang w:val="en-CA"/>
        </w:rPr>
        <w:t>while</w:t>
      </w:r>
      <w:r>
        <w:rPr>
          <w:lang w:val="en-CA"/>
        </w:rPr>
        <w:t xml:space="preserve"> officer Laleyan closely monitored the man-purse.</w:t>
      </w:r>
    </w:p>
    <w:p w14:paraId="56D25926" w14:textId="77777777" w:rsidR="0005503B" w:rsidRDefault="0005503B" w:rsidP="0005503B">
      <w:pPr>
        <w:pStyle w:val="Paragraphe"/>
        <w:tabs>
          <w:tab w:val="clear" w:pos="360"/>
          <w:tab w:val="num" w:pos="851"/>
        </w:tabs>
        <w:spacing w:line="240" w:lineRule="auto"/>
        <w:rPr>
          <w:lang w:val="en-CA"/>
        </w:rPr>
      </w:pPr>
      <w:r>
        <w:rPr>
          <w:lang w:val="en-CA"/>
        </w:rPr>
        <w:t>At that moment, Nimeri started yelling, gesturing wildly and protesting that they had no right to intercept him. He kept putting his hand in his left pocket despite the officers’ orders to keep them out. Furthermore, he started frantically looking left and right, which the officers interpreted as an obvious sign that he was scanning his surroundings to flee on a moment’s notice. Officer Boivin explains that he certainly didn’t want Nimeri to flee, given the fact that he possibly had a gun on him. Nor did he want him to take the gun out, which directly threaten</w:t>
      </w:r>
      <w:r w:rsidR="00911FD9">
        <w:rPr>
          <w:lang w:val="en-CA"/>
        </w:rPr>
        <w:t>ed</w:t>
      </w:r>
      <w:r>
        <w:rPr>
          <w:lang w:val="en-CA"/>
        </w:rPr>
        <w:t xml:space="preserve"> their safety. Finally, Boivin </w:t>
      </w:r>
      <w:r w:rsidR="006A6C84">
        <w:rPr>
          <w:lang w:val="en-CA"/>
        </w:rPr>
        <w:t>hoped to not have to unholster his own service weapon on a downtown street.</w:t>
      </w:r>
    </w:p>
    <w:p w14:paraId="5EB2E284" w14:textId="77777777" w:rsidR="006A6C84" w:rsidRDefault="006A6C84" w:rsidP="0005503B">
      <w:pPr>
        <w:pStyle w:val="Paragraphe"/>
        <w:tabs>
          <w:tab w:val="clear" w:pos="360"/>
          <w:tab w:val="num" w:pos="851"/>
        </w:tabs>
        <w:spacing w:line="240" w:lineRule="auto"/>
        <w:rPr>
          <w:lang w:val="en-CA"/>
        </w:rPr>
      </w:pPr>
      <w:r>
        <w:rPr>
          <w:lang w:val="en-CA"/>
        </w:rPr>
        <w:t>In order to ensure everyone’s safety, the officers grabbed his arms. Nimeri continued to look for escape routes.</w:t>
      </w:r>
    </w:p>
    <w:p w14:paraId="0FA8C862" w14:textId="77777777" w:rsidR="006A6C84" w:rsidRDefault="006A6C84" w:rsidP="0005503B">
      <w:pPr>
        <w:pStyle w:val="Paragraphe"/>
        <w:tabs>
          <w:tab w:val="clear" w:pos="360"/>
          <w:tab w:val="num" w:pos="851"/>
        </w:tabs>
        <w:spacing w:line="240" w:lineRule="auto"/>
        <w:rPr>
          <w:lang w:val="en-CA"/>
        </w:rPr>
      </w:pPr>
      <w:r>
        <w:rPr>
          <w:lang w:val="en-CA"/>
        </w:rPr>
        <w:lastRenderedPageBreak/>
        <w:t>That is when officer Laleyan patted</w:t>
      </w:r>
      <w:r w:rsidR="00F137E2">
        <w:rPr>
          <w:lang w:val="en-CA"/>
        </w:rPr>
        <w:t xml:space="preserve"> </w:t>
      </w:r>
      <w:r>
        <w:rPr>
          <w:lang w:val="en-CA"/>
        </w:rPr>
        <w:t>down the man-purse for security reasons. He immediately felt a rectangular metallic shape. As he ran his fingers along the purse’s exterior, he unmistakably recognized the shape of a pistol.</w:t>
      </w:r>
    </w:p>
    <w:p w14:paraId="591C16B1" w14:textId="77777777" w:rsidR="006A6C84" w:rsidRDefault="006A6C84" w:rsidP="0005503B">
      <w:pPr>
        <w:pStyle w:val="Paragraphe"/>
        <w:tabs>
          <w:tab w:val="clear" w:pos="360"/>
          <w:tab w:val="num" w:pos="851"/>
        </w:tabs>
        <w:spacing w:line="240" w:lineRule="auto"/>
        <w:rPr>
          <w:lang w:val="en-CA"/>
        </w:rPr>
      </w:pPr>
      <w:r>
        <w:rPr>
          <w:lang w:val="en-CA"/>
        </w:rPr>
        <w:t>He immediately warned his partner by calling “gun!”. With a sense of urgency, Laleyan cut the strap off the purse in order to withdraw it from the suspect. Given his aggressivity, it would be too dangerous to attempt to remove it by pulling the strap over his head.</w:t>
      </w:r>
      <w:r w:rsidR="0094549A">
        <w:rPr>
          <w:lang w:val="en-CA"/>
        </w:rPr>
        <w:t xml:space="preserve"> The suspect might have tried to get his hands on the gun.</w:t>
      </w:r>
    </w:p>
    <w:p w14:paraId="259F5BE5" w14:textId="77777777" w:rsidR="0094549A" w:rsidRDefault="0094549A" w:rsidP="0005503B">
      <w:pPr>
        <w:pStyle w:val="Paragraphe"/>
        <w:tabs>
          <w:tab w:val="clear" w:pos="360"/>
          <w:tab w:val="num" w:pos="851"/>
        </w:tabs>
        <w:spacing w:line="240" w:lineRule="auto"/>
        <w:rPr>
          <w:lang w:val="en-CA"/>
        </w:rPr>
      </w:pPr>
      <w:r>
        <w:rPr>
          <w:lang w:val="en-CA"/>
        </w:rPr>
        <w:t>Nimeri yelled and resisted to being handcuffed so aggressively that another passing police car saw the commotion and stopped to provide backup. It took four officers to subdue the accused.</w:t>
      </w:r>
    </w:p>
    <w:p w14:paraId="6D9520A1" w14:textId="77777777" w:rsidR="0094549A" w:rsidRDefault="0094549A" w:rsidP="0005503B">
      <w:pPr>
        <w:pStyle w:val="Paragraphe"/>
        <w:tabs>
          <w:tab w:val="clear" w:pos="360"/>
          <w:tab w:val="num" w:pos="851"/>
        </w:tabs>
        <w:spacing w:line="240" w:lineRule="auto"/>
        <w:rPr>
          <w:lang w:val="en-CA"/>
        </w:rPr>
      </w:pPr>
      <w:r>
        <w:rPr>
          <w:lang w:val="en-CA"/>
        </w:rPr>
        <w:t xml:space="preserve">Finally, the </w:t>
      </w:r>
      <w:r w:rsidR="00897930">
        <w:rPr>
          <w:lang w:val="en-CA"/>
        </w:rPr>
        <w:t>Givenchy</w:t>
      </w:r>
      <w:r>
        <w:rPr>
          <w:lang w:val="en-CA"/>
        </w:rPr>
        <w:t xml:space="preserve"> brand man-purse was confirmed to contain an illegal loaded handgun, described below. On his person, the accused had 5 230$ in cash.</w:t>
      </w:r>
    </w:p>
    <w:p w14:paraId="0D11A26C" w14:textId="77777777" w:rsidR="002368B4" w:rsidRPr="00A26A52" w:rsidRDefault="007B27C7" w:rsidP="00A26A52">
      <w:pPr>
        <w:pStyle w:val="Paragraphe"/>
        <w:tabs>
          <w:tab w:val="clear" w:pos="360"/>
          <w:tab w:val="num" w:pos="851"/>
        </w:tabs>
        <w:spacing w:line="240" w:lineRule="auto"/>
        <w:rPr>
          <w:lang w:val="en-CA"/>
        </w:rPr>
      </w:pPr>
      <w:r>
        <w:rPr>
          <w:lang w:val="en-CA"/>
        </w:rPr>
        <w:t>Even after being placed in the patrol car, the accused continued to scream and kick the vehicle’s doors.</w:t>
      </w:r>
    </w:p>
    <w:p w14:paraId="7890CC4B" w14:textId="77777777" w:rsidR="00A236CC" w:rsidRPr="00984863" w:rsidRDefault="00A236CC" w:rsidP="00A236CC">
      <w:pPr>
        <w:pStyle w:val="Titre1"/>
        <w:spacing w:before="120" w:after="120"/>
        <w:rPr>
          <w:sz w:val="24"/>
          <w:szCs w:val="24"/>
          <w:u w:val="single"/>
          <w:lang w:val="en-CA"/>
        </w:rPr>
      </w:pPr>
      <w:r>
        <w:rPr>
          <w:sz w:val="24"/>
          <w:szCs w:val="24"/>
          <w:lang w:val="en-CA"/>
        </w:rPr>
        <w:t>2</w:t>
      </w:r>
      <w:r w:rsidRPr="00984863">
        <w:rPr>
          <w:sz w:val="24"/>
          <w:szCs w:val="24"/>
          <w:lang w:val="en-CA"/>
        </w:rPr>
        <w:t xml:space="preserve">- </w:t>
      </w:r>
      <w:r>
        <w:rPr>
          <w:sz w:val="24"/>
          <w:szCs w:val="24"/>
          <w:u w:val="single"/>
          <w:lang w:val="en-CA"/>
        </w:rPr>
        <w:t>The handgun and bullets seized</w:t>
      </w:r>
    </w:p>
    <w:p w14:paraId="65FA48E3" w14:textId="77777777" w:rsidR="002368B4" w:rsidRDefault="00A26A52" w:rsidP="00A26A52">
      <w:pPr>
        <w:pStyle w:val="Paragraphe"/>
        <w:tabs>
          <w:tab w:val="clear" w:pos="360"/>
          <w:tab w:val="num" w:pos="851"/>
        </w:tabs>
        <w:spacing w:line="240" w:lineRule="auto"/>
        <w:rPr>
          <w:lang w:val="en-CA"/>
        </w:rPr>
      </w:pPr>
      <w:r>
        <w:rPr>
          <w:lang w:val="en-CA"/>
        </w:rPr>
        <w:t xml:space="preserve">The weapon seized is a Glock-19 pistol. In the purse, the police also found a magazine loaded with ten </w:t>
      </w:r>
      <w:r w:rsidR="00021446">
        <w:rPr>
          <w:lang w:val="en-CA"/>
        </w:rPr>
        <w:t>9 mm</w:t>
      </w:r>
      <w:r>
        <w:rPr>
          <w:lang w:val="en-CA"/>
        </w:rPr>
        <w:t xml:space="preserve"> calibre bullets.</w:t>
      </w:r>
    </w:p>
    <w:p w14:paraId="4DCB1F2E" w14:textId="77777777" w:rsidR="00A26A52" w:rsidRDefault="00A26A52" w:rsidP="00A26A52">
      <w:pPr>
        <w:pStyle w:val="Paragraphe"/>
        <w:tabs>
          <w:tab w:val="clear" w:pos="360"/>
          <w:tab w:val="num" w:pos="851"/>
        </w:tabs>
        <w:spacing w:line="240" w:lineRule="auto"/>
        <w:rPr>
          <w:lang w:val="en-CA"/>
        </w:rPr>
      </w:pPr>
      <w:r>
        <w:rPr>
          <w:lang w:val="en-CA"/>
        </w:rPr>
        <w:t>Normally, such a weapon is a restricted handgun. However, Nimeri’s pistol had been modified with a Glock switch, rending it capable of firing in full</w:t>
      </w:r>
      <w:r w:rsidR="003D17B6">
        <w:rPr>
          <w:lang w:val="en-CA"/>
        </w:rPr>
        <w:t xml:space="preserve">y </w:t>
      </w:r>
      <w:r>
        <w:rPr>
          <w:lang w:val="en-CA"/>
        </w:rPr>
        <w:t>automatic mode, much like a machine gun. The weapon was therefore prohibited.</w:t>
      </w:r>
    </w:p>
    <w:p w14:paraId="04780513" w14:textId="77777777" w:rsidR="00A26A52" w:rsidRDefault="00A26A52" w:rsidP="00A26A52">
      <w:pPr>
        <w:pStyle w:val="Paragraphe"/>
        <w:tabs>
          <w:tab w:val="clear" w:pos="360"/>
          <w:tab w:val="num" w:pos="851"/>
        </w:tabs>
        <w:spacing w:line="240" w:lineRule="auto"/>
        <w:rPr>
          <w:lang w:val="en-CA"/>
        </w:rPr>
      </w:pPr>
      <w:r>
        <w:rPr>
          <w:lang w:val="en-CA"/>
        </w:rPr>
        <w:t>In fact, the knob on Nimeri’s Glock switch was missing, such that the handgun could only be fired in full</w:t>
      </w:r>
      <w:r w:rsidR="003D17B6">
        <w:rPr>
          <w:lang w:val="en-CA"/>
        </w:rPr>
        <w:t xml:space="preserve">y </w:t>
      </w:r>
      <w:r>
        <w:rPr>
          <w:lang w:val="en-CA"/>
        </w:rPr>
        <w:t>automatic mode.</w:t>
      </w:r>
      <w:r>
        <w:rPr>
          <w:rStyle w:val="Appelnotedebasdep"/>
          <w:lang w:val="en-CA"/>
        </w:rPr>
        <w:footnoteReference w:id="7"/>
      </w:r>
    </w:p>
    <w:p w14:paraId="0B6769D2" w14:textId="77777777" w:rsidR="00FC6EA0" w:rsidRPr="00EF62FF" w:rsidRDefault="00FC6EA0" w:rsidP="00FC6EA0">
      <w:pPr>
        <w:pStyle w:val="Titre1"/>
        <w:spacing w:before="120" w:after="120"/>
        <w:rPr>
          <w:sz w:val="24"/>
          <w:szCs w:val="24"/>
          <w:u w:val="single"/>
          <w:lang w:val="en-CA"/>
        </w:rPr>
      </w:pPr>
      <w:bookmarkStart w:id="5" w:name="_Toc139820637"/>
      <w:r w:rsidRPr="00EF62FF">
        <w:rPr>
          <w:sz w:val="24"/>
          <w:szCs w:val="24"/>
          <w:u w:val="single"/>
          <w:lang w:val="en-CA"/>
        </w:rPr>
        <w:t>ANALYSIS</w:t>
      </w:r>
      <w:bookmarkEnd w:id="5"/>
      <w:r w:rsidR="005C168F">
        <w:rPr>
          <w:sz w:val="24"/>
          <w:szCs w:val="24"/>
          <w:u w:val="single"/>
          <w:lang w:val="en-CA"/>
        </w:rPr>
        <w:t xml:space="preserve"> AND DECISION</w:t>
      </w:r>
    </w:p>
    <w:p w14:paraId="19534E72" w14:textId="77777777" w:rsidR="00E21387" w:rsidRPr="00EE3819" w:rsidRDefault="00E21387" w:rsidP="00E21387">
      <w:pPr>
        <w:pStyle w:val="Titre1"/>
        <w:spacing w:before="120" w:after="120"/>
        <w:jc w:val="both"/>
        <w:rPr>
          <w:sz w:val="24"/>
          <w:szCs w:val="24"/>
          <w:lang w:val="en-CA"/>
        </w:rPr>
      </w:pPr>
      <w:bookmarkStart w:id="6" w:name="_Toc139820638"/>
      <w:r w:rsidRPr="00E12863">
        <w:rPr>
          <w:sz w:val="24"/>
          <w:szCs w:val="24"/>
          <w:lang w:val="en-CA"/>
        </w:rPr>
        <w:t xml:space="preserve">1- </w:t>
      </w:r>
      <w:bookmarkEnd w:id="6"/>
      <w:r w:rsidR="002368B4">
        <w:rPr>
          <w:sz w:val="24"/>
          <w:szCs w:val="24"/>
          <w:u w:val="single"/>
          <w:lang w:val="en-CA"/>
        </w:rPr>
        <w:t>Reasonable grounds for an investigative detention</w:t>
      </w:r>
    </w:p>
    <w:p w14:paraId="2BF524E3" w14:textId="77777777" w:rsidR="00055FE2" w:rsidRDefault="007776C1" w:rsidP="007776C1">
      <w:pPr>
        <w:pStyle w:val="Paragraphe"/>
        <w:tabs>
          <w:tab w:val="clear" w:pos="360"/>
          <w:tab w:val="num" w:pos="851"/>
        </w:tabs>
        <w:spacing w:line="240" w:lineRule="auto"/>
        <w:rPr>
          <w:lang w:val="en-CA"/>
        </w:rPr>
      </w:pPr>
      <w:r>
        <w:rPr>
          <w:lang w:val="en-CA"/>
        </w:rPr>
        <w:t xml:space="preserve">Through the years, a long line of appellate caselaw led to the recognition of a limited common law power allowing the police to detain a suspect for investigative purposes. The applicable standard, previously described as “articulable cause”, was more clearly defined by the Supreme Court of Canada in </w:t>
      </w:r>
      <w:r>
        <w:rPr>
          <w:b/>
          <w:bCs/>
          <w:i/>
          <w:iCs/>
          <w:lang w:val="en-CA"/>
        </w:rPr>
        <w:t xml:space="preserve">R. </w:t>
      </w:r>
      <w:r>
        <w:rPr>
          <w:b/>
          <w:bCs/>
          <w:lang w:val="en-CA"/>
        </w:rPr>
        <w:t xml:space="preserve">v. </w:t>
      </w:r>
      <w:r>
        <w:rPr>
          <w:b/>
          <w:bCs/>
          <w:i/>
          <w:iCs/>
          <w:lang w:val="en-CA"/>
        </w:rPr>
        <w:t>Mann</w:t>
      </w:r>
      <w:r>
        <w:rPr>
          <w:lang w:val="en-CA"/>
        </w:rPr>
        <w:t>.</w:t>
      </w:r>
      <w:r>
        <w:rPr>
          <w:rStyle w:val="Appelnotedebasdep"/>
          <w:lang w:val="en-CA"/>
        </w:rPr>
        <w:footnoteReference w:id="8"/>
      </w:r>
    </w:p>
    <w:p w14:paraId="7694D827" w14:textId="77777777" w:rsidR="007776C1" w:rsidRDefault="007776C1" w:rsidP="007776C1">
      <w:pPr>
        <w:pStyle w:val="Paragraphe"/>
        <w:tabs>
          <w:tab w:val="clear" w:pos="360"/>
          <w:tab w:val="num" w:pos="851"/>
        </w:tabs>
        <w:spacing w:line="240" w:lineRule="auto"/>
        <w:rPr>
          <w:lang w:val="en-CA"/>
        </w:rPr>
      </w:pPr>
      <w:r>
        <w:rPr>
          <w:lang w:val="en-CA"/>
        </w:rPr>
        <w:t>Articulable cause, while clearly a threshold somewhat lower than the reasonable and probable grounds for lawful arrest, is likewise both an objective and subjective standard.</w:t>
      </w:r>
      <w:r>
        <w:rPr>
          <w:rStyle w:val="Appelnotedebasdep"/>
          <w:lang w:val="en-CA"/>
        </w:rPr>
        <w:footnoteReference w:id="9"/>
      </w:r>
      <w:r w:rsidR="00245ED9">
        <w:rPr>
          <w:lang w:val="en-CA"/>
        </w:rPr>
        <w:t xml:space="preserve"> Investigative detentions must be premised upon reasonable </w:t>
      </w:r>
      <w:r w:rsidR="00245ED9">
        <w:rPr>
          <w:lang w:val="en-CA"/>
        </w:rPr>
        <w:lastRenderedPageBreak/>
        <w:t xml:space="preserve">grounds. The detention must be viewed as reasonably necessary on an objective view of the totality of the circumstances, informing the officer’s suspicion that there is a clear nexus between the individual to be detained and a recent </w:t>
      </w:r>
      <w:r w:rsidR="00245ED9" w:rsidRPr="00245ED9">
        <w:rPr>
          <w:b/>
          <w:bCs/>
          <w:lang w:val="en-CA"/>
        </w:rPr>
        <w:t>or ongoing</w:t>
      </w:r>
      <w:r w:rsidR="00245ED9">
        <w:rPr>
          <w:lang w:val="en-CA"/>
        </w:rPr>
        <w:t xml:space="preserve"> criminal offence. Reasonable grounds figures at the font</w:t>
      </w:r>
      <w:r w:rsidR="00F137E2">
        <w:rPr>
          <w:lang w:val="en-CA"/>
        </w:rPr>
        <w:t xml:space="preserve"> </w:t>
      </w:r>
      <w:r w:rsidR="00245ED9">
        <w:rPr>
          <w:lang w:val="en-CA"/>
        </w:rPr>
        <w:t>end of such an assessment, underlying the officer’s reasonable suspicion that the particular individual is implicated in the criminal activity under investigation.</w:t>
      </w:r>
      <w:r w:rsidR="00245ED9">
        <w:rPr>
          <w:rStyle w:val="Appelnotedebasdep"/>
          <w:lang w:val="en-CA"/>
        </w:rPr>
        <w:footnoteReference w:id="10"/>
      </w:r>
      <w:r w:rsidR="001619DA">
        <w:rPr>
          <w:lang w:val="en-CA"/>
        </w:rPr>
        <w:t xml:space="preserve"> A mere hunch will not suffice.</w:t>
      </w:r>
    </w:p>
    <w:p w14:paraId="47353924" w14:textId="77777777" w:rsidR="000F2AA1" w:rsidRDefault="000F2AA1" w:rsidP="007776C1">
      <w:pPr>
        <w:pStyle w:val="Paragraphe"/>
        <w:tabs>
          <w:tab w:val="clear" w:pos="360"/>
          <w:tab w:val="num" w:pos="851"/>
        </w:tabs>
        <w:spacing w:line="240" w:lineRule="auto"/>
        <w:rPr>
          <w:lang w:val="en-CA"/>
        </w:rPr>
      </w:pPr>
      <w:r>
        <w:rPr>
          <w:lang w:val="en-CA"/>
        </w:rPr>
        <w:t xml:space="preserve">As was said in </w:t>
      </w:r>
      <w:r>
        <w:rPr>
          <w:b/>
          <w:bCs/>
          <w:i/>
          <w:iCs/>
          <w:lang w:val="en-CA"/>
        </w:rPr>
        <w:t>Mann</w:t>
      </w:r>
      <w:r>
        <w:rPr>
          <w:lang w:val="en-CA"/>
        </w:rPr>
        <w:t>, police officers must be empowered to respond quickly, effectively and flexibly to the diversity of encounters experienced daily on the front lines of policing.</w:t>
      </w:r>
      <w:r>
        <w:rPr>
          <w:rStyle w:val="Appelnotedebasdep"/>
          <w:lang w:val="en-CA"/>
        </w:rPr>
        <w:footnoteReference w:id="11"/>
      </w:r>
    </w:p>
    <w:p w14:paraId="5FDE0659" w14:textId="77777777" w:rsidR="00055FE2" w:rsidRDefault="009C71C1" w:rsidP="00FC6EA0">
      <w:pPr>
        <w:pStyle w:val="Paragraphe"/>
        <w:tabs>
          <w:tab w:val="clear" w:pos="360"/>
          <w:tab w:val="num" w:pos="851"/>
        </w:tabs>
        <w:spacing w:line="240" w:lineRule="auto"/>
        <w:rPr>
          <w:lang w:val="en-CA"/>
        </w:rPr>
      </w:pPr>
      <w:r>
        <w:rPr>
          <w:lang w:val="en-CA"/>
        </w:rPr>
        <w:t xml:space="preserve">The concept of “reasonable grounds to suspect”, which forms the basis of an investigative detention, was further explained by the Supreme Court in </w:t>
      </w:r>
      <w:r>
        <w:rPr>
          <w:b/>
          <w:bCs/>
          <w:i/>
          <w:iCs/>
          <w:lang w:val="en-CA"/>
        </w:rPr>
        <w:t xml:space="preserve">R. </w:t>
      </w:r>
      <w:r>
        <w:rPr>
          <w:b/>
          <w:bCs/>
          <w:lang w:val="en-CA"/>
        </w:rPr>
        <w:t xml:space="preserve">v. </w:t>
      </w:r>
      <w:r>
        <w:rPr>
          <w:b/>
          <w:bCs/>
          <w:i/>
          <w:iCs/>
          <w:lang w:val="en-CA"/>
        </w:rPr>
        <w:t>Chehil</w:t>
      </w:r>
      <w:r>
        <w:rPr>
          <w:lang w:val="en-CA"/>
        </w:rPr>
        <w:t xml:space="preserve">. Once again, a unanimous Court reiterated that the reasonable suspicion standard, although grounded in objective facts, is lower than that which is required to justify an arrest. An arrest requires facts that sustain a reasonable </w:t>
      </w:r>
      <w:r>
        <w:rPr>
          <w:i/>
          <w:iCs/>
          <w:lang w:val="en-CA"/>
        </w:rPr>
        <w:t>probability</w:t>
      </w:r>
      <w:r>
        <w:rPr>
          <w:lang w:val="en-CA"/>
        </w:rPr>
        <w:t xml:space="preserve"> of crime. However, an investigative detention need</w:t>
      </w:r>
      <w:r w:rsidR="00F137E2">
        <w:rPr>
          <w:lang w:val="en-CA"/>
        </w:rPr>
        <w:t>s</w:t>
      </w:r>
      <w:r>
        <w:rPr>
          <w:lang w:val="en-CA"/>
        </w:rPr>
        <w:t xml:space="preserve"> only rest on the reasonable </w:t>
      </w:r>
      <w:r>
        <w:rPr>
          <w:i/>
          <w:iCs/>
          <w:lang w:val="en-CA"/>
        </w:rPr>
        <w:t>possibility</w:t>
      </w:r>
      <w:r>
        <w:rPr>
          <w:lang w:val="en-CA"/>
        </w:rPr>
        <w:t xml:space="preserve"> of crime</w:t>
      </w:r>
      <w:r w:rsidR="00261270">
        <w:rPr>
          <w:lang w:val="en-CA"/>
        </w:rPr>
        <w:t xml:space="preserve">, which is </w:t>
      </w:r>
      <w:r w:rsidR="00911FD9">
        <w:rPr>
          <w:lang w:val="en-CA"/>
        </w:rPr>
        <w:t xml:space="preserve">a </w:t>
      </w:r>
      <w:r w:rsidR="00261270">
        <w:rPr>
          <w:lang w:val="en-CA"/>
        </w:rPr>
        <w:t>lower threshold</w:t>
      </w:r>
      <w:r>
        <w:rPr>
          <w:lang w:val="en-CA"/>
        </w:rPr>
        <w:t>.</w:t>
      </w:r>
      <w:r>
        <w:rPr>
          <w:rStyle w:val="Appelnotedebasdep"/>
          <w:lang w:val="en-CA"/>
        </w:rPr>
        <w:footnoteReference w:id="12"/>
      </w:r>
      <w:r w:rsidR="00956041">
        <w:rPr>
          <w:lang w:val="en-CA"/>
        </w:rPr>
        <w:t xml:space="preserve"> The grounds must be indicative of a possibility of a particular crime</w:t>
      </w:r>
      <w:r w:rsidR="00956041">
        <w:rPr>
          <w:rStyle w:val="Appelnotedebasdep"/>
          <w:lang w:val="en-CA"/>
        </w:rPr>
        <w:footnoteReference w:id="13"/>
      </w:r>
      <w:r w:rsidR="00956041">
        <w:rPr>
          <w:lang w:val="en-CA"/>
        </w:rPr>
        <w:t>.</w:t>
      </w:r>
    </w:p>
    <w:p w14:paraId="63A6703A" w14:textId="77777777" w:rsidR="009C71C1" w:rsidRDefault="009C71C1" w:rsidP="009C71C1">
      <w:pPr>
        <w:pStyle w:val="Paragraphe"/>
        <w:tabs>
          <w:tab w:val="clear" w:pos="360"/>
          <w:tab w:val="num" w:pos="851"/>
        </w:tabs>
        <w:spacing w:line="240" w:lineRule="auto"/>
        <w:rPr>
          <w:lang w:val="en-CA"/>
        </w:rPr>
      </w:pPr>
      <w:r>
        <w:rPr>
          <w:lang w:val="en-CA"/>
        </w:rPr>
        <w:t>By setting those parameters, the Court was keenly aware that in some cases, it would be inevitable that the police reasonably suspect that innocent people were involved in crime.</w:t>
      </w:r>
      <w:r>
        <w:rPr>
          <w:rStyle w:val="Appelnotedebasdep"/>
          <w:lang w:val="en-CA"/>
        </w:rPr>
        <w:footnoteReference w:id="14"/>
      </w:r>
      <w:r>
        <w:rPr>
          <w:lang w:val="en-CA"/>
        </w:rPr>
        <w:t xml:space="preserve"> Although such an occurrence will always be unfortunate, the Court knowingly endorsed this standard, holding that it s</w:t>
      </w:r>
      <w:r w:rsidRPr="009C71C1">
        <w:rPr>
          <w:lang w:val="en-CA"/>
        </w:rPr>
        <w:t>trikes the proper balance between the State’s interest in detecting and preventing crime and the individual’s interest in being left alone.</w:t>
      </w:r>
    </w:p>
    <w:p w14:paraId="032C507E" w14:textId="77777777" w:rsidR="009C71C1" w:rsidRDefault="009C71C1" w:rsidP="009C71C1">
      <w:pPr>
        <w:pStyle w:val="Paragraphe"/>
        <w:tabs>
          <w:tab w:val="clear" w:pos="360"/>
          <w:tab w:val="num" w:pos="851"/>
        </w:tabs>
        <w:spacing w:line="240" w:lineRule="auto"/>
        <w:rPr>
          <w:lang w:val="en-CA"/>
        </w:rPr>
      </w:pPr>
      <w:r>
        <w:rPr>
          <w:lang w:val="en-CA"/>
        </w:rPr>
        <w:t xml:space="preserve">Writing for the Court, Karakatsanis J. explained that </w:t>
      </w:r>
      <w:r w:rsidR="00F9329E">
        <w:rPr>
          <w:lang w:val="en-CA"/>
        </w:rPr>
        <w:t xml:space="preserve">reasonable suspicion must be assessed against the totality of the circumstances. </w:t>
      </w:r>
      <w:r w:rsidR="00C37B49">
        <w:rPr>
          <w:lang w:val="en-CA"/>
        </w:rPr>
        <w:t>The inquiry must consider the constellation of objectively discernible facts that are said to give the officer reasonable cause to suspect that the person is involved in the type of criminal activity under investigation. The inquiry must be fact-based, flexible and grounded in common sense and practical, everyday experience. The grounds must not be assessed in isolation.</w:t>
      </w:r>
      <w:r w:rsidR="00C37B49">
        <w:rPr>
          <w:rStyle w:val="Appelnotedebasdep"/>
          <w:lang w:val="en-CA"/>
        </w:rPr>
        <w:footnoteReference w:id="15"/>
      </w:r>
    </w:p>
    <w:p w14:paraId="5618A912" w14:textId="77777777" w:rsidR="00956041" w:rsidRDefault="00956041" w:rsidP="009C71C1">
      <w:pPr>
        <w:pStyle w:val="Paragraphe"/>
        <w:tabs>
          <w:tab w:val="clear" w:pos="360"/>
          <w:tab w:val="num" w:pos="851"/>
        </w:tabs>
        <w:spacing w:line="240" w:lineRule="auto"/>
        <w:rPr>
          <w:lang w:val="en-CA"/>
        </w:rPr>
      </w:pPr>
      <w:r>
        <w:rPr>
          <w:lang w:val="en-CA"/>
        </w:rPr>
        <w:lastRenderedPageBreak/>
        <w:t xml:space="preserve">Given the fact that the assessment is grounded in </w:t>
      </w:r>
      <w:r>
        <w:rPr>
          <w:i/>
          <w:iCs/>
          <w:lang w:val="en-CA"/>
        </w:rPr>
        <w:t xml:space="preserve">possibility </w:t>
      </w:r>
      <w:r>
        <w:rPr>
          <w:lang w:val="en-CA"/>
        </w:rPr>
        <w:t xml:space="preserve">rather than </w:t>
      </w:r>
      <w:r>
        <w:rPr>
          <w:i/>
          <w:iCs/>
          <w:lang w:val="en-CA"/>
        </w:rPr>
        <w:t>probability</w:t>
      </w:r>
      <w:r>
        <w:rPr>
          <w:lang w:val="en-CA"/>
        </w:rPr>
        <w:t>, it is entirely possible that an investigative detention be justified, even when an opposing – innocent – inference could have been drawn.</w:t>
      </w:r>
      <w:r>
        <w:rPr>
          <w:rStyle w:val="Appelnotedebasdep"/>
          <w:lang w:val="en-CA"/>
        </w:rPr>
        <w:footnoteReference w:id="16"/>
      </w:r>
    </w:p>
    <w:p w14:paraId="0B1AF355" w14:textId="77777777" w:rsidR="0074712E" w:rsidRDefault="0074712E" w:rsidP="009C71C1">
      <w:pPr>
        <w:pStyle w:val="Paragraphe"/>
        <w:tabs>
          <w:tab w:val="clear" w:pos="360"/>
          <w:tab w:val="num" w:pos="851"/>
        </w:tabs>
        <w:spacing w:line="240" w:lineRule="auto"/>
        <w:rPr>
          <w:lang w:val="en-CA"/>
        </w:rPr>
      </w:pPr>
      <w:r>
        <w:rPr>
          <w:lang w:val="en-CA"/>
        </w:rPr>
        <w:t>In fact, appellate courts across the country have repeatedly warned against upping the ante for reasonable suspicion, under the banner of rigorous judicial oversight, to the point that it virtually mirrors the test for reasonable and probable grounds.</w:t>
      </w:r>
      <w:r>
        <w:rPr>
          <w:rStyle w:val="Appelnotedebasdep"/>
          <w:lang w:val="en-CA"/>
        </w:rPr>
        <w:footnoteReference w:id="17"/>
      </w:r>
    </w:p>
    <w:p w14:paraId="23F5BB8D" w14:textId="77777777" w:rsidR="0074712E" w:rsidRPr="009C71C1" w:rsidRDefault="0074712E" w:rsidP="009C71C1">
      <w:pPr>
        <w:pStyle w:val="Paragraphe"/>
        <w:tabs>
          <w:tab w:val="clear" w:pos="360"/>
          <w:tab w:val="num" w:pos="851"/>
        </w:tabs>
        <w:spacing w:line="240" w:lineRule="auto"/>
        <w:rPr>
          <w:lang w:val="en-CA"/>
        </w:rPr>
      </w:pPr>
      <w:r>
        <w:rPr>
          <w:lang w:val="en-CA"/>
        </w:rPr>
        <w:t xml:space="preserve">As expressed in </w:t>
      </w:r>
      <w:r>
        <w:rPr>
          <w:b/>
          <w:bCs/>
          <w:i/>
          <w:iCs/>
          <w:lang w:val="en-CA"/>
        </w:rPr>
        <w:t xml:space="preserve">R. </w:t>
      </w:r>
      <w:r>
        <w:rPr>
          <w:b/>
          <w:bCs/>
          <w:lang w:val="en-CA"/>
        </w:rPr>
        <w:t xml:space="preserve">v. </w:t>
      </w:r>
      <w:r>
        <w:rPr>
          <w:b/>
          <w:bCs/>
          <w:i/>
          <w:iCs/>
          <w:lang w:val="en-CA"/>
        </w:rPr>
        <w:t>MacKenzie</w:t>
      </w:r>
      <w:r>
        <w:rPr>
          <w:lang w:val="en-CA"/>
        </w:rPr>
        <w:t xml:space="preserve">, the assessment on review </w:t>
      </w:r>
      <w:r w:rsidR="00911FD9">
        <w:rPr>
          <w:lang w:val="en-CA"/>
        </w:rPr>
        <w:t>must</w:t>
      </w:r>
      <w:r>
        <w:rPr>
          <w:lang w:val="en-CA"/>
        </w:rPr>
        <w:t xml:space="preserve"> not devolve into a scientific or metaphysical exercise. The Court is to consider the police officer’s experience and training, especially when it is precisely in the field of the specific criminal conduct at issue.</w:t>
      </w:r>
      <w:r>
        <w:rPr>
          <w:rStyle w:val="Appelnotedebasdep"/>
          <w:lang w:val="en-CA"/>
        </w:rPr>
        <w:footnoteReference w:id="18"/>
      </w:r>
    </w:p>
    <w:p w14:paraId="2528E87D" w14:textId="77777777" w:rsidR="002368B4" w:rsidRPr="002368B4" w:rsidRDefault="002368B4" w:rsidP="002368B4">
      <w:pPr>
        <w:pStyle w:val="Titre1"/>
        <w:spacing w:before="120" w:after="120"/>
        <w:jc w:val="both"/>
        <w:rPr>
          <w:sz w:val="24"/>
          <w:szCs w:val="24"/>
          <w:lang w:val="en-CA"/>
        </w:rPr>
      </w:pPr>
      <w:r>
        <w:rPr>
          <w:sz w:val="24"/>
          <w:szCs w:val="24"/>
          <w:lang w:val="en-CA"/>
        </w:rPr>
        <w:t>2</w:t>
      </w:r>
      <w:r w:rsidRPr="00E12863">
        <w:rPr>
          <w:sz w:val="24"/>
          <w:szCs w:val="24"/>
          <w:lang w:val="en-CA"/>
        </w:rPr>
        <w:t xml:space="preserve">- </w:t>
      </w:r>
      <w:r>
        <w:rPr>
          <w:sz w:val="24"/>
          <w:szCs w:val="24"/>
          <w:u w:val="single"/>
          <w:lang w:val="en-CA"/>
        </w:rPr>
        <w:t>When may police officers conduct a pat-down search incidental to an investigative detention</w:t>
      </w:r>
      <w:r>
        <w:rPr>
          <w:sz w:val="24"/>
          <w:szCs w:val="24"/>
          <w:lang w:val="en-CA"/>
        </w:rPr>
        <w:t>?</w:t>
      </w:r>
    </w:p>
    <w:p w14:paraId="2D6BDC34" w14:textId="77777777" w:rsidR="006946E8" w:rsidRPr="00EE3819" w:rsidRDefault="006946E8" w:rsidP="006946E8">
      <w:pPr>
        <w:pStyle w:val="Titre2"/>
        <w:numPr>
          <w:ilvl w:val="0"/>
          <w:numId w:val="16"/>
        </w:numPr>
        <w:spacing w:before="120" w:after="120"/>
        <w:rPr>
          <w:i w:val="0"/>
          <w:u w:val="single"/>
          <w:lang w:val="en-CA"/>
        </w:rPr>
      </w:pPr>
      <w:bookmarkStart w:id="11" w:name="_Hlk162251586"/>
      <w:r>
        <w:rPr>
          <w:i w:val="0"/>
          <w:u w:val="single"/>
          <w:lang w:val="en-CA"/>
        </w:rPr>
        <w:t xml:space="preserve">The standard established by the Supreme Court in </w:t>
      </w:r>
      <w:r>
        <w:rPr>
          <w:iCs/>
          <w:u w:val="single"/>
          <w:lang w:val="en-CA"/>
        </w:rPr>
        <w:t xml:space="preserve">R. </w:t>
      </w:r>
      <w:r>
        <w:rPr>
          <w:i w:val="0"/>
          <w:u w:val="single"/>
          <w:lang w:val="en-CA"/>
        </w:rPr>
        <w:t xml:space="preserve">v. </w:t>
      </w:r>
      <w:r>
        <w:rPr>
          <w:iCs/>
          <w:u w:val="single"/>
          <w:lang w:val="en-CA"/>
        </w:rPr>
        <w:t>Mann</w:t>
      </w:r>
    </w:p>
    <w:bookmarkEnd w:id="11"/>
    <w:p w14:paraId="1DEB73BC" w14:textId="77777777" w:rsidR="002E6CE7" w:rsidRDefault="002E6CE7">
      <w:pPr>
        <w:pStyle w:val="Paragraphe"/>
        <w:tabs>
          <w:tab w:val="clear" w:pos="360"/>
          <w:tab w:val="num" w:pos="851"/>
        </w:tabs>
        <w:spacing w:line="240" w:lineRule="auto"/>
        <w:rPr>
          <w:lang w:val="en-CA"/>
        </w:rPr>
      </w:pPr>
      <w:r>
        <w:rPr>
          <w:lang w:val="en-CA"/>
        </w:rPr>
        <w:t xml:space="preserve">Appellate courts have recognized that the </w:t>
      </w:r>
      <w:r>
        <w:rPr>
          <w:i/>
          <w:iCs/>
          <w:lang w:val="en-CA"/>
        </w:rPr>
        <w:t>Charter</w:t>
      </w:r>
      <w:r>
        <w:rPr>
          <w:lang w:val="en-CA"/>
        </w:rPr>
        <w:t xml:space="preserve"> does not impose </w:t>
      </w:r>
      <w:r w:rsidR="00017E8A">
        <w:rPr>
          <w:lang w:val="en-CA"/>
        </w:rPr>
        <w:t xml:space="preserve">the obligation </w:t>
      </w:r>
      <w:r>
        <w:rPr>
          <w:lang w:val="en-CA"/>
        </w:rPr>
        <w:t>on police officers to work in conditions that unduly place their lives at risk.</w:t>
      </w:r>
      <w:r w:rsidR="006946E8">
        <w:rPr>
          <w:rStyle w:val="Appelnotedebasdep"/>
        </w:rPr>
        <w:footnoteReference w:id="19"/>
      </w:r>
      <w:r>
        <w:rPr>
          <w:lang w:val="en-CA"/>
        </w:rPr>
        <w:t xml:space="preserve"> The basis for such reasoning is obvious: such conditions would inevitably lead to a serious shortage of officers, as well as an understandable</w:t>
      </w:r>
      <w:r w:rsidR="00E57DF2">
        <w:rPr>
          <w:lang w:val="en-CA"/>
        </w:rPr>
        <w:t xml:space="preserve"> collapse</w:t>
      </w:r>
      <w:r>
        <w:rPr>
          <w:lang w:val="en-CA"/>
        </w:rPr>
        <w:t xml:space="preserve"> in motivation in the execution of their duties.</w:t>
      </w:r>
    </w:p>
    <w:p w14:paraId="6CC3B9A7" w14:textId="77777777" w:rsidR="00842A74" w:rsidRPr="00F068BE" w:rsidRDefault="00E57DF2" w:rsidP="00F068BE">
      <w:pPr>
        <w:pStyle w:val="Paragraphe"/>
        <w:tabs>
          <w:tab w:val="clear" w:pos="360"/>
          <w:tab w:val="num" w:pos="851"/>
        </w:tabs>
        <w:spacing w:line="240" w:lineRule="auto"/>
        <w:rPr>
          <w:lang w:val="en-CA"/>
        </w:rPr>
      </w:pPr>
      <w:r>
        <w:rPr>
          <w:lang w:val="en-CA"/>
        </w:rPr>
        <w:t>I</w:t>
      </w:r>
      <w:r w:rsidR="002E6CE7">
        <w:rPr>
          <w:lang w:val="en-CA"/>
        </w:rPr>
        <w:t>n the performance of their duties,</w:t>
      </w:r>
      <w:r>
        <w:rPr>
          <w:lang w:val="en-CA"/>
        </w:rPr>
        <w:t xml:space="preserve"> police officers</w:t>
      </w:r>
      <w:r w:rsidR="002E6CE7">
        <w:rPr>
          <w:lang w:val="en-CA"/>
        </w:rPr>
        <w:t xml:space="preserve"> are often in a position of special vulnerability and are entitled to such protection as the law can give.</w:t>
      </w:r>
      <w:r w:rsidR="002E6CE7">
        <w:rPr>
          <w:rStyle w:val="Appelnotedebasdep"/>
          <w:lang w:val="en-CA"/>
        </w:rPr>
        <w:footnoteReference w:id="20"/>
      </w:r>
      <w:r w:rsidR="00CA5F7F">
        <w:rPr>
          <w:lang w:val="en-CA"/>
        </w:rPr>
        <w:t xml:space="preserve"> As the Supreme Court has underscored, officers are entitled to go about their work secure in the knowledge that risks are minimized to the greatest extent possible.</w:t>
      </w:r>
      <w:r w:rsidR="00CA5F7F">
        <w:rPr>
          <w:rStyle w:val="Appelnotedebasdep"/>
          <w:lang w:val="en-CA"/>
        </w:rPr>
        <w:footnoteReference w:id="21"/>
      </w:r>
    </w:p>
    <w:p w14:paraId="2BB62B03" w14:textId="77777777" w:rsidR="00842A74" w:rsidRDefault="00842A74" w:rsidP="00FC6EA0">
      <w:pPr>
        <w:pStyle w:val="Paragraphe"/>
        <w:tabs>
          <w:tab w:val="clear" w:pos="360"/>
          <w:tab w:val="num" w:pos="851"/>
        </w:tabs>
        <w:spacing w:line="240" w:lineRule="auto"/>
        <w:rPr>
          <w:lang w:val="en-CA"/>
        </w:rPr>
      </w:pPr>
      <w:r>
        <w:rPr>
          <w:lang w:val="en-CA"/>
        </w:rPr>
        <w:t>A</w:t>
      </w:r>
      <w:r w:rsidR="00E57DF2">
        <w:rPr>
          <w:lang w:val="en-CA"/>
        </w:rPr>
        <w:t>s such, a</w:t>
      </w:r>
      <w:r>
        <w:rPr>
          <w:lang w:val="en-CA"/>
        </w:rPr>
        <w:t xml:space="preserve"> search incident to investigative detention will sometimes be permitted. It is essential that such a search be conducted for security concerns alone and it cannot be prompted by “vague or non-existent” worries, nor be based on mere instinct or officer intuition.</w:t>
      </w:r>
      <w:r>
        <w:rPr>
          <w:rStyle w:val="Appelnotedebasdep"/>
          <w:lang w:val="en-CA"/>
        </w:rPr>
        <w:footnoteReference w:id="22"/>
      </w:r>
      <w:r>
        <w:rPr>
          <w:lang w:val="en-CA"/>
        </w:rPr>
        <w:t xml:space="preserve"> A search will withstand </w:t>
      </w:r>
      <w:r>
        <w:rPr>
          <w:i/>
          <w:iCs/>
          <w:lang w:val="en-CA"/>
        </w:rPr>
        <w:t>Charter</w:t>
      </w:r>
      <w:r>
        <w:rPr>
          <w:lang w:val="en-CA"/>
        </w:rPr>
        <w:t xml:space="preserve"> scrutiny and will not be </w:t>
      </w:r>
      <w:r>
        <w:rPr>
          <w:lang w:val="en-CA"/>
        </w:rPr>
        <w:lastRenderedPageBreak/>
        <w:t>considered abusive if it was conducted in such a way that was reasonably necessary to eliminate a security threat to the officers or to the public.</w:t>
      </w:r>
      <w:r>
        <w:rPr>
          <w:rStyle w:val="Appelnotedebasdep"/>
          <w:lang w:val="en-CA"/>
        </w:rPr>
        <w:footnoteReference w:id="23"/>
      </w:r>
    </w:p>
    <w:p w14:paraId="069CE8F0" w14:textId="77777777" w:rsidR="00C129A0" w:rsidRPr="00F068BE" w:rsidRDefault="00C129A0" w:rsidP="00F068BE">
      <w:pPr>
        <w:pStyle w:val="Paragraphe"/>
        <w:tabs>
          <w:tab w:val="clear" w:pos="360"/>
          <w:tab w:val="num" w:pos="851"/>
        </w:tabs>
        <w:spacing w:line="240" w:lineRule="auto"/>
        <w:rPr>
          <w:lang w:val="en-CA"/>
        </w:rPr>
      </w:pPr>
      <w:r>
        <w:rPr>
          <w:lang w:val="en-CA"/>
        </w:rPr>
        <w:t xml:space="preserve">In </w:t>
      </w:r>
      <w:r>
        <w:rPr>
          <w:b/>
          <w:bCs/>
          <w:i/>
          <w:iCs/>
          <w:lang w:val="en-CA"/>
        </w:rPr>
        <w:t xml:space="preserve">R. </w:t>
      </w:r>
      <w:r>
        <w:rPr>
          <w:b/>
          <w:bCs/>
          <w:lang w:val="en-CA"/>
        </w:rPr>
        <w:t xml:space="preserve">v. </w:t>
      </w:r>
      <w:r>
        <w:rPr>
          <w:b/>
          <w:bCs/>
          <w:i/>
          <w:iCs/>
          <w:lang w:val="en-CA"/>
        </w:rPr>
        <w:t>Mann</w:t>
      </w:r>
      <w:r>
        <w:rPr>
          <w:lang w:val="en-CA"/>
        </w:rPr>
        <w:t>, the Supreme Court specified that the general duty of police officers to protect life may, in some circumstances, give rise to the power to conduct a pat-down search incident to an investigative detention. Such a search power does not exist as a matter of course. Instead, the officer must believe on reasonable grounds that his safety is at risk. The officer’s decision to search must also be reasonably necessary in light of the totality of the circumstances.</w:t>
      </w:r>
      <w:r>
        <w:rPr>
          <w:rStyle w:val="Appelnotedebasdep"/>
          <w:lang w:val="en-CA"/>
        </w:rPr>
        <w:footnoteReference w:id="24"/>
      </w:r>
    </w:p>
    <w:p w14:paraId="4CA0E04E" w14:textId="77777777" w:rsidR="00C129A0" w:rsidRPr="00F068BE" w:rsidRDefault="00F374CE" w:rsidP="00F068BE">
      <w:pPr>
        <w:pStyle w:val="Paragraphe"/>
        <w:tabs>
          <w:tab w:val="clear" w:pos="360"/>
          <w:tab w:val="num" w:pos="851"/>
        </w:tabs>
        <w:spacing w:line="240" w:lineRule="auto"/>
        <w:rPr>
          <w:lang w:val="en-CA"/>
        </w:rPr>
      </w:pPr>
      <w:bookmarkStart w:id="12" w:name="_Hlk162382785"/>
      <w:r>
        <w:rPr>
          <w:lang w:val="en-CA"/>
        </w:rPr>
        <w:t xml:space="preserve">Although the most-commonly discussed method is the frisk or pat-down, ten years after </w:t>
      </w:r>
      <w:r w:rsidRPr="0054344E">
        <w:rPr>
          <w:b/>
          <w:bCs/>
          <w:i/>
          <w:iCs/>
          <w:lang w:val="en-CA"/>
        </w:rPr>
        <w:t>Mann</w:t>
      </w:r>
      <w:r>
        <w:rPr>
          <w:lang w:val="en-CA"/>
        </w:rPr>
        <w:t xml:space="preserve">, the Supreme Court clarified in </w:t>
      </w:r>
      <w:r>
        <w:rPr>
          <w:b/>
          <w:bCs/>
          <w:i/>
          <w:iCs/>
          <w:lang w:val="en-CA"/>
        </w:rPr>
        <w:t xml:space="preserve">R. </w:t>
      </w:r>
      <w:r>
        <w:rPr>
          <w:b/>
          <w:bCs/>
          <w:lang w:val="en-CA"/>
        </w:rPr>
        <w:t xml:space="preserve">v. </w:t>
      </w:r>
      <w:r>
        <w:rPr>
          <w:b/>
          <w:bCs/>
          <w:i/>
          <w:iCs/>
          <w:lang w:val="en-CA"/>
        </w:rPr>
        <w:t>MacDonald</w:t>
      </w:r>
      <w:r>
        <w:rPr>
          <w:lang w:val="en-CA"/>
        </w:rPr>
        <w:t xml:space="preserve"> that a safety search may take other forms too, varying from case to case, as long as it is minimally intrusive and it serves only a protective function.</w:t>
      </w:r>
      <w:r>
        <w:rPr>
          <w:rStyle w:val="Appelnotedebasdep"/>
          <w:lang w:val="en-CA"/>
        </w:rPr>
        <w:footnoteReference w:id="25"/>
      </w:r>
      <w:bookmarkEnd w:id="12"/>
      <w:r w:rsidR="0054344E">
        <w:rPr>
          <w:lang w:val="en-CA"/>
        </w:rPr>
        <w:t xml:space="preserve"> Various appellate Courts have similarly reiterated that </w:t>
      </w:r>
      <w:r w:rsidR="0054344E">
        <w:rPr>
          <w:b/>
          <w:bCs/>
          <w:i/>
          <w:iCs/>
          <w:lang w:val="en-CA"/>
        </w:rPr>
        <w:t>Mann</w:t>
      </w:r>
      <w:r w:rsidR="0054344E">
        <w:rPr>
          <w:lang w:val="en-CA"/>
        </w:rPr>
        <w:t xml:space="preserve"> does not </w:t>
      </w:r>
      <w:r w:rsidR="00891A4F">
        <w:rPr>
          <w:lang w:val="en-CA"/>
        </w:rPr>
        <w:t>restrict the</w:t>
      </w:r>
      <w:r w:rsidR="0054344E">
        <w:rPr>
          <w:lang w:val="en-CA"/>
        </w:rPr>
        <w:t xml:space="preserve"> police to pat-downs.</w:t>
      </w:r>
      <w:r w:rsidR="0054344E">
        <w:rPr>
          <w:rStyle w:val="Appelnotedebasdep"/>
          <w:lang w:val="en-CA"/>
        </w:rPr>
        <w:footnoteReference w:id="26"/>
      </w:r>
      <w:r w:rsidR="00F068BE">
        <w:rPr>
          <w:lang w:val="en-CA"/>
        </w:rPr>
        <w:tab/>
      </w:r>
    </w:p>
    <w:p w14:paraId="52C9F51D" w14:textId="77777777" w:rsidR="00842A74" w:rsidRDefault="00252185" w:rsidP="00FC6EA0">
      <w:pPr>
        <w:pStyle w:val="Paragraphe"/>
        <w:tabs>
          <w:tab w:val="clear" w:pos="360"/>
          <w:tab w:val="num" w:pos="851"/>
        </w:tabs>
        <w:spacing w:line="240" w:lineRule="auto"/>
        <w:rPr>
          <w:lang w:val="en-CA"/>
        </w:rPr>
      </w:pPr>
      <w:r>
        <w:rPr>
          <w:lang w:val="en-CA"/>
        </w:rPr>
        <w:t>I</w:t>
      </w:r>
      <w:r w:rsidR="00337D18">
        <w:rPr>
          <w:lang w:val="en-CA"/>
        </w:rPr>
        <w:t>n fact, i</w:t>
      </w:r>
      <w:r>
        <w:rPr>
          <w:lang w:val="en-CA"/>
        </w:rPr>
        <w:t>t is trite law that an officer may – when evidence supports it – search other places than the body or clothing of the suspect.</w:t>
      </w:r>
      <w:r>
        <w:rPr>
          <w:rStyle w:val="Appelnotedebasdep"/>
          <w:lang w:val="en-CA"/>
        </w:rPr>
        <w:footnoteReference w:id="27"/>
      </w:r>
      <w:r>
        <w:rPr>
          <w:lang w:val="en-CA"/>
        </w:rPr>
        <w:t xml:space="preserve"> Beyond a mere pat-down search, this certainly extends to searching fanny packs</w:t>
      </w:r>
      <w:r>
        <w:rPr>
          <w:rStyle w:val="Appelnotedebasdep"/>
          <w:lang w:val="en-CA"/>
        </w:rPr>
        <w:footnoteReference w:id="28"/>
      </w:r>
      <w:r w:rsidR="008B0C47">
        <w:rPr>
          <w:lang w:val="en-CA"/>
        </w:rPr>
        <w:t>, backpacks</w:t>
      </w:r>
      <w:r w:rsidR="008B0C47">
        <w:rPr>
          <w:rStyle w:val="Appelnotedebasdep"/>
          <w:lang w:val="en-CA"/>
        </w:rPr>
        <w:footnoteReference w:id="29"/>
      </w:r>
      <w:r>
        <w:rPr>
          <w:lang w:val="en-CA"/>
        </w:rPr>
        <w:t xml:space="preserve"> and man-purses</w:t>
      </w:r>
      <w:r w:rsidR="008B0C47">
        <w:rPr>
          <w:lang w:val="en-CA"/>
        </w:rPr>
        <w:t>,</w:t>
      </w:r>
      <w:r w:rsidR="008B0C47">
        <w:rPr>
          <w:rStyle w:val="Appelnotedebasdep"/>
          <w:lang w:val="en-CA"/>
        </w:rPr>
        <w:footnoteReference w:id="30"/>
      </w:r>
      <w:r w:rsidR="008B0C47">
        <w:rPr>
          <w:lang w:val="en-CA"/>
        </w:rPr>
        <w:t xml:space="preserve"> provided they are minimally intrusive in the circumstances</w:t>
      </w:r>
      <w:r>
        <w:rPr>
          <w:lang w:val="en-CA"/>
        </w:rPr>
        <w:t>.</w:t>
      </w:r>
      <w:r w:rsidR="008B0C47">
        <w:rPr>
          <w:lang w:val="en-CA"/>
        </w:rPr>
        <w:t xml:space="preserve"> This may include opening them and looking inside.</w:t>
      </w:r>
      <w:r w:rsidR="008B0C47">
        <w:rPr>
          <w:rStyle w:val="Appelnotedebasdep"/>
          <w:lang w:val="en-CA"/>
        </w:rPr>
        <w:footnoteReference w:id="31"/>
      </w:r>
    </w:p>
    <w:p w14:paraId="28CD3F24" w14:textId="77777777" w:rsidR="004C799D" w:rsidRPr="00EE3819" w:rsidRDefault="004C799D" w:rsidP="004C799D">
      <w:pPr>
        <w:pStyle w:val="Titre2"/>
        <w:numPr>
          <w:ilvl w:val="0"/>
          <w:numId w:val="16"/>
        </w:numPr>
        <w:spacing w:before="120" w:after="120"/>
        <w:rPr>
          <w:i w:val="0"/>
          <w:u w:val="single"/>
          <w:lang w:val="en-CA"/>
        </w:rPr>
      </w:pPr>
      <w:r>
        <w:rPr>
          <w:i w:val="0"/>
          <w:u w:val="single"/>
          <w:lang w:val="en-CA"/>
        </w:rPr>
        <w:t>Can reasonable suspicion of danger suffice</w:t>
      </w:r>
      <w:r>
        <w:rPr>
          <w:i w:val="0"/>
          <w:lang w:val="en-CA"/>
        </w:rPr>
        <w:t>?</w:t>
      </w:r>
    </w:p>
    <w:p w14:paraId="64FC073E" w14:textId="77777777" w:rsidR="00842A74" w:rsidRDefault="00E17CB9" w:rsidP="00FC6EA0">
      <w:pPr>
        <w:pStyle w:val="Paragraphe"/>
        <w:tabs>
          <w:tab w:val="clear" w:pos="360"/>
          <w:tab w:val="num" w:pos="851"/>
        </w:tabs>
        <w:spacing w:line="240" w:lineRule="auto"/>
        <w:rPr>
          <w:lang w:val="en-CA"/>
        </w:rPr>
      </w:pPr>
      <w:bookmarkStart w:id="17" w:name="_Hlk162472971"/>
      <w:r>
        <w:rPr>
          <w:lang w:val="en-CA"/>
        </w:rPr>
        <w:t>Although the terms used by the Supreme Court appeared straightforward enough, there has been much commentary (both judicial and doctrinal) suggesting that the standard was perhaps awkwardly phrased.</w:t>
      </w:r>
    </w:p>
    <w:p w14:paraId="33AEB416" w14:textId="77777777" w:rsidR="00E17CB9" w:rsidRDefault="00E17CB9" w:rsidP="00FC6EA0">
      <w:pPr>
        <w:pStyle w:val="Paragraphe"/>
        <w:tabs>
          <w:tab w:val="clear" w:pos="360"/>
          <w:tab w:val="num" w:pos="851"/>
        </w:tabs>
        <w:spacing w:line="240" w:lineRule="auto"/>
        <w:rPr>
          <w:lang w:val="en-CA"/>
        </w:rPr>
      </w:pPr>
      <w:r>
        <w:rPr>
          <w:lang w:val="en-CA"/>
        </w:rPr>
        <w:t xml:space="preserve">The main criticism can be summarized as follows. It is common ground that the detention may be based on a </w:t>
      </w:r>
      <w:r>
        <w:rPr>
          <w:i/>
          <w:iCs/>
          <w:lang w:val="en-CA"/>
        </w:rPr>
        <w:t>possibility</w:t>
      </w:r>
      <w:r>
        <w:rPr>
          <w:lang w:val="en-CA"/>
        </w:rPr>
        <w:t xml:space="preserve"> of criminal conduct, as opposed to a probability. Yet, if that standard is met and the police reasonably suspec</w:t>
      </w:r>
      <w:r w:rsidR="00911FD9">
        <w:rPr>
          <w:lang w:val="en-CA"/>
        </w:rPr>
        <w:t>t</w:t>
      </w:r>
      <w:r>
        <w:rPr>
          <w:lang w:val="en-CA"/>
        </w:rPr>
        <w:t xml:space="preserve"> that the </w:t>
      </w:r>
      <w:r w:rsidR="004C799D">
        <w:rPr>
          <w:lang w:val="en-CA"/>
        </w:rPr>
        <w:t xml:space="preserve">person is in </w:t>
      </w:r>
      <w:r w:rsidR="004C799D">
        <w:rPr>
          <w:lang w:val="en-CA"/>
        </w:rPr>
        <w:lastRenderedPageBreak/>
        <w:t xml:space="preserve">possession of a dangerous firearm, they could arguably </w:t>
      </w:r>
      <w:r w:rsidR="004C799D">
        <w:rPr>
          <w:u w:val="single"/>
          <w:lang w:val="en-CA"/>
        </w:rPr>
        <w:t>not</w:t>
      </w:r>
      <w:r w:rsidR="004C799D">
        <w:rPr>
          <w:lang w:val="en-CA"/>
        </w:rPr>
        <w:t xml:space="preserve"> perform a security search unless they have reasonable and probable grounds to </w:t>
      </w:r>
      <w:r w:rsidR="004C799D">
        <w:rPr>
          <w:i/>
          <w:iCs/>
          <w:lang w:val="en-CA"/>
        </w:rPr>
        <w:t>believe</w:t>
      </w:r>
      <w:r w:rsidR="004C799D">
        <w:rPr>
          <w:lang w:val="en-CA"/>
        </w:rPr>
        <w:t xml:space="preserve"> that the person is in fact armed. This could create an untenable situation for the police, who on one hand, need to quickly detain a potentially armed man, but on the other, can do nothing to protect themselves.</w:t>
      </w:r>
      <w:r w:rsidR="00AB4456">
        <w:rPr>
          <w:lang w:val="en-CA"/>
        </w:rPr>
        <w:t xml:space="preserve"> In the context of firearms-related interactions, this may lead to absurd results.</w:t>
      </w:r>
    </w:p>
    <w:p w14:paraId="503F6C4F" w14:textId="77777777" w:rsidR="00842A74" w:rsidRDefault="002F5405" w:rsidP="00FC6EA0">
      <w:pPr>
        <w:pStyle w:val="Paragraphe"/>
        <w:tabs>
          <w:tab w:val="clear" w:pos="360"/>
          <w:tab w:val="num" w:pos="851"/>
        </w:tabs>
        <w:spacing w:line="240" w:lineRule="auto"/>
        <w:rPr>
          <w:lang w:val="en-CA"/>
        </w:rPr>
      </w:pPr>
      <w:r>
        <w:rPr>
          <w:lang w:val="en-CA"/>
        </w:rPr>
        <w:t xml:space="preserve">The criticism was </w:t>
      </w:r>
      <w:r w:rsidR="00897930">
        <w:rPr>
          <w:lang w:val="en-CA"/>
        </w:rPr>
        <w:t xml:space="preserve">aptly </w:t>
      </w:r>
      <w:r>
        <w:rPr>
          <w:lang w:val="en-CA"/>
        </w:rPr>
        <w:t xml:space="preserve">summarized by the Manitoba Court of Appeal in </w:t>
      </w:r>
      <w:r>
        <w:rPr>
          <w:b/>
          <w:bCs/>
          <w:i/>
          <w:iCs/>
          <w:lang w:val="en-CA"/>
        </w:rPr>
        <w:t xml:space="preserve">R. </w:t>
      </w:r>
      <w:r>
        <w:rPr>
          <w:b/>
          <w:bCs/>
          <w:lang w:val="en-CA"/>
        </w:rPr>
        <w:t xml:space="preserve">v. </w:t>
      </w:r>
      <w:r>
        <w:rPr>
          <w:b/>
          <w:bCs/>
          <w:i/>
          <w:iCs/>
          <w:lang w:val="en-CA"/>
        </w:rPr>
        <w:t>McKenzie</w:t>
      </w:r>
      <w:r>
        <w:rPr>
          <w:lang w:val="en-CA"/>
        </w:rPr>
        <w:t>:</w:t>
      </w:r>
    </w:p>
    <w:p w14:paraId="2C2AF502" w14:textId="77777777" w:rsidR="002F5405" w:rsidRDefault="002F5405" w:rsidP="0088739E">
      <w:pPr>
        <w:pStyle w:val="Paragraphe"/>
        <w:numPr>
          <w:ilvl w:val="0"/>
          <w:numId w:val="0"/>
        </w:numPr>
        <w:spacing w:line="240" w:lineRule="auto"/>
        <w:ind w:left="1418" w:right="1140"/>
        <w:contextualSpacing/>
        <w:rPr>
          <w:sz w:val="22"/>
          <w:szCs w:val="22"/>
          <w:lang w:val="en-CA"/>
        </w:rPr>
      </w:pPr>
      <w:r w:rsidRPr="0088739E">
        <w:rPr>
          <w:sz w:val="22"/>
          <w:szCs w:val="22"/>
          <w:lang w:val="en-CA"/>
        </w:rPr>
        <w:t xml:space="preserve">The language in </w:t>
      </w:r>
      <w:r w:rsidRPr="0088739E">
        <w:rPr>
          <w:i/>
          <w:iCs/>
          <w:sz w:val="22"/>
          <w:szCs w:val="22"/>
          <w:lang w:val="en-CA"/>
        </w:rPr>
        <w:t>Mann</w:t>
      </w:r>
      <w:r w:rsidRPr="0088739E">
        <w:rPr>
          <w:sz w:val="22"/>
          <w:szCs w:val="22"/>
          <w:lang w:val="en-CA"/>
        </w:rPr>
        <w:t xml:space="preserve"> as to the threshold for this warrantless search power was, with respect, imprecise. In several places in the decision, the standard for a protective search was described as “reasonable grounds” that the safety of the officer or others is at risk (at paras. 40, 43, 45). Yet, in the result, the Court said the initial pat-down </w:t>
      </w:r>
      <w:r w:rsidR="00743CEC" w:rsidRPr="0088739E">
        <w:rPr>
          <w:sz w:val="22"/>
          <w:szCs w:val="22"/>
          <w:lang w:val="en-CA"/>
        </w:rPr>
        <w:t xml:space="preserve">search of the detainee in </w:t>
      </w:r>
      <w:r w:rsidR="00743CEC" w:rsidRPr="0088739E">
        <w:rPr>
          <w:i/>
          <w:iCs/>
          <w:sz w:val="22"/>
          <w:szCs w:val="22"/>
          <w:lang w:val="en-CA"/>
        </w:rPr>
        <w:t>Mann</w:t>
      </w:r>
      <w:r w:rsidR="00743CEC" w:rsidRPr="0088739E">
        <w:rPr>
          <w:sz w:val="22"/>
          <w:szCs w:val="22"/>
          <w:lang w:val="en-CA"/>
        </w:rPr>
        <w:t xml:space="preserve"> was justified because there was a “logical </w:t>
      </w:r>
      <w:r w:rsidR="00743CEC" w:rsidRPr="0088739E">
        <w:rPr>
          <w:sz w:val="22"/>
          <w:szCs w:val="22"/>
          <w:u w:val="single"/>
          <w:lang w:val="en-CA"/>
        </w:rPr>
        <w:t>possibility</w:t>
      </w:r>
      <w:r w:rsidR="00743CEC" w:rsidRPr="0088739E">
        <w:rPr>
          <w:sz w:val="22"/>
          <w:szCs w:val="22"/>
          <w:lang w:val="en-CA"/>
        </w:rPr>
        <w:t xml:space="preserve">” that the [detainee], suspected on reasonable grounds of having recently committed a break-and-enter, was in possession of break-and-enter tools, which could be used as weapons” (at para. 48). Of some significance is the fact that the American case law relied on in </w:t>
      </w:r>
      <w:r w:rsidR="00743CEC" w:rsidRPr="0088739E">
        <w:rPr>
          <w:i/>
          <w:iCs/>
          <w:sz w:val="22"/>
          <w:szCs w:val="22"/>
          <w:lang w:val="en-CA"/>
        </w:rPr>
        <w:t>Mann</w:t>
      </w:r>
      <w:r w:rsidR="00743CEC" w:rsidRPr="0088739E">
        <w:rPr>
          <w:sz w:val="22"/>
          <w:szCs w:val="22"/>
          <w:lang w:val="en-CA"/>
        </w:rPr>
        <w:t xml:space="preserve"> to justify the constitutionality of a search incident to an investigative detention is premised on the basis of the reasonable suspicion standard, not the higher standard of reasonable grounds.</w:t>
      </w:r>
      <w:r w:rsidR="00743CEC" w:rsidRPr="0088739E">
        <w:rPr>
          <w:rStyle w:val="Appelnotedebasdep"/>
          <w:sz w:val="22"/>
          <w:szCs w:val="22"/>
          <w:lang w:val="en-CA"/>
        </w:rPr>
        <w:footnoteReference w:id="32"/>
      </w:r>
    </w:p>
    <w:p w14:paraId="07060D32" w14:textId="77777777" w:rsidR="00A46044" w:rsidRPr="0088739E" w:rsidRDefault="00A46044" w:rsidP="0088739E">
      <w:pPr>
        <w:pStyle w:val="Paragraphe"/>
        <w:numPr>
          <w:ilvl w:val="0"/>
          <w:numId w:val="0"/>
        </w:numPr>
        <w:spacing w:line="240" w:lineRule="auto"/>
        <w:ind w:left="1418" w:right="1140"/>
        <w:contextualSpacing/>
        <w:rPr>
          <w:sz w:val="22"/>
          <w:szCs w:val="22"/>
          <w:lang w:val="en-CA"/>
        </w:rPr>
      </w:pPr>
    </w:p>
    <w:p w14:paraId="0E34E4E0" w14:textId="77777777" w:rsidR="00A46044" w:rsidRPr="00A46044" w:rsidRDefault="0088739E" w:rsidP="00A46044">
      <w:pPr>
        <w:pStyle w:val="Paragraphe"/>
        <w:numPr>
          <w:ilvl w:val="0"/>
          <w:numId w:val="0"/>
        </w:numPr>
        <w:spacing w:line="240" w:lineRule="auto"/>
        <w:ind w:left="1418" w:right="1140"/>
        <w:contextualSpacing/>
        <w:jc w:val="right"/>
        <w:rPr>
          <w:sz w:val="22"/>
          <w:szCs w:val="22"/>
          <w:lang w:val="en-CA"/>
        </w:rPr>
      </w:pPr>
      <w:r w:rsidRPr="0088739E">
        <w:rPr>
          <w:sz w:val="22"/>
          <w:szCs w:val="22"/>
          <w:lang w:val="en-CA"/>
        </w:rPr>
        <w:t>[emphasis by the Manitoba Court of Appeal]</w:t>
      </w:r>
    </w:p>
    <w:p w14:paraId="1E3D1136" w14:textId="77777777" w:rsidR="00E17CB9" w:rsidRDefault="004C799D" w:rsidP="00FC6EA0">
      <w:pPr>
        <w:pStyle w:val="Paragraphe"/>
        <w:tabs>
          <w:tab w:val="clear" w:pos="360"/>
          <w:tab w:val="num" w:pos="851"/>
        </w:tabs>
        <w:spacing w:line="240" w:lineRule="auto"/>
        <w:rPr>
          <w:lang w:val="en-CA"/>
        </w:rPr>
      </w:pPr>
      <w:r>
        <w:rPr>
          <w:lang w:val="en-CA"/>
        </w:rPr>
        <w:t xml:space="preserve">In fact, in the subsequent leading case on investigative detention, </w:t>
      </w:r>
      <w:r>
        <w:rPr>
          <w:b/>
          <w:bCs/>
          <w:i/>
          <w:iCs/>
          <w:lang w:val="en-CA"/>
        </w:rPr>
        <w:t xml:space="preserve">R. </w:t>
      </w:r>
      <w:r>
        <w:rPr>
          <w:b/>
          <w:bCs/>
          <w:lang w:val="en-CA"/>
        </w:rPr>
        <w:t xml:space="preserve">v. </w:t>
      </w:r>
      <w:r>
        <w:rPr>
          <w:b/>
          <w:bCs/>
          <w:i/>
          <w:iCs/>
          <w:lang w:val="en-CA"/>
        </w:rPr>
        <w:t>Clayton</w:t>
      </w:r>
      <w:r>
        <w:rPr>
          <w:lang w:val="en-CA"/>
        </w:rPr>
        <w:t xml:space="preserve">, the Supreme Court seems to have </w:t>
      </w:r>
      <w:r w:rsidR="00121BA5">
        <w:rPr>
          <w:lang w:val="en-CA"/>
        </w:rPr>
        <w:t>readjusted</w:t>
      </w:r>
      <w:r>
        <w:rPr>
          <w:lang w:val="en-CA"/>
        </w:rPr>
        <w:t xml:space="preserve"> the standard. </w:t>
      </w:r>
      <w:r w:rsidR="00121BA5">
        <w:rPr>
          <w:lang w:val="en-CA"/>
        </w:rPr>
        <w:t xml:space="preserve">In that case, the officers detained the suspects, had them exit their vehicles and searched them. The Court concluded that the investigative detention was valid, on the basis that the facts “gave rise to the </w:t>
      </w:r>
      <w:r w:rsidR="00121BA5" w:rsidRPr="00121BA5">
        <w:rPr>
          <w:b/>
          <w:bCs/>
          <w:lang w:val="en-CA"/>
        </w:rPr>
        <w:t>reasonable suspicion</w:t>
      </w:r>
      <w:r w:rsidR="00121BA5">
        <w:rPr>
          <w:lang w:val="en-CA"/>
        </w:rPr>
        <w:t xml:space="preserve"> that the occupants of the Jaguar </w:t>
      </w:r>
      <w:r w:rsidR="00121BA5" w:rsidRPr="00121BA5">
        <w:rPr>
          <w:b/>
          <w:bCs/>
          <w:lang w:val="en-CA"/>
        </w:rPr>
        <w:t>could be</w:t>
      </w:r>
      <w:r w:rsidR="00121BA5">
        <w:rPr>
          <w:lang w:val="en-CA"/>
        </w:rPr>
        <w:t xml:space="preserve"> in possession of the handguns reported in the 9</w:t>
      </w:r>
      <w:r w:rsidR="00547DB5">
        <w:rPr>
          <w:lang w:val="en-CA"/>
        </w:rPr>
        <w:t>-</w:t>
      </w:r>
      <w:r w:rsidR="00121BA5">
        <w:rPr>
          <w:lang w:val="en-CA"/>
        </w:rPr>
        <w:t>1</w:t>
      </w:r>
      <w:r w:rsidR="00547DB5">
        <w:rPr>
          <w:lang w:val="en-CA"/>
        </w:rPr>
        <w:t>-</w:t>
      </w:r>
      <w:r w:rsidR="00121BA5">
        <w:rPr>
          <w:lang w:val="en-CA"/>
        </w:rPr>
        <w:t>1 call and that, as a result, the lives of the police officers and of the public were at risk”.</w:t>
      </w:r>
      <w:r w:rsidR="00121BA5">
        <w:rPr>
          <w:rStyle w:val="Appelnotedebasdep"/>
          <w:lang w:val="en-CA"/>
        </w:rPr>
        <w:footnoteReference w:id="33"/>
      </w:r>
      <w:r w:rsidR="00121BA5">
        <w:rPr>
          <w:lang w:val="en-CA"/>
        </w:rPr>
        <w:t xml:space="preserve"> On that same basis, the Court held that “the officers’ safety concerns also justified the searches incidental to the detention”.</w:t>
      </w:r>
      <w:r w:rsidR="00121BA5">
        <w:rPr>
          <w:rStyle w:val="Appelnotedebasdep"/>
          <w:lang w:val="en-CA"/>
        </w:rPr>
        <w:footnoteReference w:id="34"/>
      </w:r>
    </w:p>
    <w:p w14:paraId="27CA020F" w14:textId="77777777" w:rsidR="002F34CB" w:rsidRDefault="002F34CB" w:rsidP="00FC6EA0">
      <w:pPr>
        <w:pStyle w:val="Paragraphe"/>
        <w:tabs>
          <w:tab w:val="clear" w:pos="360"/>
          <w:tab w:val="num" w:pos="851"/>
        </w:tabs>
        <w:spacing w:line="240" w:lineRule="auto"/>
        <w:rPr>
          <w:lang w:val="en-CA"/>
        </w:rPr>
      </w:pPr>
      <w:r>
        <w:rPr>
          <w:lang w:val="en-CA"/>
        </w:rPr>
        <w:t xml:space="preserve">In 2013, in </w:t>
      </w:r>
      <w:r>
        <w:rPr>
          <w:b/>
          <w:bCs/>
          <w:i/>
          <w:iCs/>
          <w:lang w:val="en-CA"/>
        </w:rPr>
        <w:t xml:space="preserve">R. </w:t>
      </w:r>
      <w:r>
        <w:rPr>
          <w:b/>
          <w:bCs/>
          <w:lang w:val="en-CA"/>
        </w:rPr>
        <w:t xml:space="preserve">v. </w:t>
      </w:r>
      <w:r>
        <w:rPr>
          <w:b/>
          <w:bCs/>
          <w:i/>
          <w:iCs/>
          <w:lang w:val="en-CA"/>
        </w:rPr>
        <w:t>Chehil</w:t>
      </w:r>
      <w:r>
        <w:rPr>
          <w:lang w:val="en-CA"/>
        </w:rPr>
        <w:t xml:space="preserve">, the Supreme Court reiterated that in some cases, searches will be justified on a </w:t>
      </w:r>
      <w:r>
        <w:rPr>
          <w:u w:val="single"/>
          <w:lang w:val="en-CA"/>
        </w:rPr>
        <w:t>lower</w:t>
      </w:r>
      <w:r>
        <w:rPr>
          <w:lang w:val="en-CA"/>
        </w:rPr>
        <w:t xml:space="preserve"> standard than reasonable and probable grounds. </w:t>
      </w:r>
      <w:r w:rsidR="00911FD9">
        <w:rPr>
          <w:lang w:val="en-CA"/>
        </w:rPr>
        <w:t>When</w:t>
      </w:r>
      <w:r w:rsidR="00331B52">
        <w:rPr>
          <w:lang w:val="en-CA"/>
        </w:rPr>
        <w:t xml:space="preserve"> listing examples, it n</w:t>
      </w:r>
      <w:r>
        <w:rPr>
          <w:lang w:val="en-CA"/>
        </w:rPr>
        <w:t>otably</w:t>
      </w:r>
      <w:r w:rsidR="00331B52">
        <w:rPr>
          <w:lang w:val="en-CA"/>
        </w:rPr>
        <w:t xml:space="preserve"> mentioned that</w:t>
      </w:r>
      <w:r>
        <w:rPr>
          <w:lang w:val="en-CA"/>
        </w:rPr>
        <w:t xml:space="preserve"> some searches are allowed on the basis of a lower threshold of reasonable suspicion, including “limited searches accompanying investigative detentions [pursuant to] </w:t>
      </w:r>
      <w:r>
        <w:rPr>
          <w:i/>
          <w:iCs/>
          <w:lang w:val="en-CA"/>
        </w:rPr>
        <w:t xml:space="preserve">R. </w:t>
      </w:r>
      <w:r>
        <w:rPr>
          <w:lang w:val="en-CA"/>
        </w:rPr>
        <w:t xml:space="preserve">v. </w:t>
      </w:r>
      <w:r>
        <w:rPr>
          <w:i/>
          <w:iCs/>
          <w:lang w:val="en-CA"/>
        </w:rPr>
        <w:t>Mann</w:t>
      </w:r>
      <w:r>
        <w:rPr>
          <w:lang w:val="en-CA"/>
        </w:rPr>
        <w:t>”.</w:t>
      </w:r>
      <w:r>
        <w:rPr>
          <w:rStyle w:val="Appelnotedebasdep"/>
          <w:lang w:val="en-CA"/>
        </w:rPr>
        <w:footnoteReference w:id="35"/>
      </w:r>
    </w:p>
    <w:p w14:paraId="0BBDD132" w14:textId="77777777" w:rsidR="00A46044" w:rsidRDefault="00A46044" w:rsidP="00142813">
      <w:pPr>
        <w:pStyle w:val="Paragraphe"/>
        <w:tabs>
          <w:tab w:val="clear" w:pos="360"/>
          <w:tab w:val="num" w:pos="851"/>
        </w:tabs>
        <w:spacing w:line="240" w:lineRule="auto"/>
        <w:rPr>
          <w:lang w:val="en-CA"/>
        </w:rPr>
      </w:pPr>
      <w:r>
        <w:rPr>
          <w:lang w:val="en-CA"/>
        </w:rPr>
        <w:lastRenderedPageBreak/>
        <w:t xml:space="preserve">Interestingly, on the same day </w:t>
      </w:r>
      <w:r>
        <w:rPr>
          <w:b/>
          <w:bCs/>
          <w:i/>
          <w:iCs/>
          <w:lang w:val="en-CA"/>
        </w:rPr>
        <w:t>Chehil</w:t>
      </w:r>
      <w:r>
        <w:rPr>
          <w:lang w:val="en-CA"/>
        </w:rPr>
        <w:t xml:space="preserve"> was released, the Ontario Court of Appeal delivered its decision in </w:t>
      </w:r>
      <w:r>
        <w:rPr>
          <w:b/>
          <w:bCs/>
          <w:i/>
          <w:iCs/>
          <w:lang w:val="en-CA"/>
        </w:rPr>
        <w:t xml:space="preserve">R. </w:t>
      </w:r>
      <w:r>
        <w:rPr>
          <w:b/>
          <w:bCs/>
          <w:lang w:val="en-CA"/>
        </w:rPr>
        <w:t xml:space="preserve">v. </w:t>
      </w:r>
      <w:r>
        <w:rPr>
          <w:b/>
          <w:bCs/>
          <w:i/>
          <w:iCs/>
          <w:lang w:val="en-CA"/>
        </w:rPr>
        <w:t>Atkins</w:t>
      </w:r>
      <w:r>
        <w:rPr>
          <w:lang w:val="en-CA"/>
        </w:rPr>
        <w:t xml:space="preserve">. In that case, after first concluding that the officers had the requisite reasonable suspicion to detain the suspect </w:t>
      </w:r>
      <w:r w:rsidR="00142813">
        <w:rPr>
          <w:lang w:val="en-CA"/>
        </w:rPr>
        <w:t xml:space="preserve">for investigation, it then held that the pat-down search that followed was justified on officer safety grounds, since they </w:t>
      </w:r>
      <w:r w:rsidR="00142813">
        <w:rPr>
          <w:b/>
          <w:bCs/>
          <w:lang w:val="en-CA"/>
        </w:rPr>
        <w:t>reasonably suspected</w:t>
      </w:r>
      <w:r w:rsidR="00142813">
        <w:rPr>
          <w:lang w:val="en-CA"/>
        </w:rPr>
        <w:t xml:space="preserve"> that the accused was in possession of a weapon</w:t>
      </w:r>
      <w:r>
        <w:rPr>
          <w:lang w:val="en-CA"/>
        </w:rPr>
        <w:t>.</w:t>
      </w:r>
      <w:r>
        <w:rPr>
          <w:rStyle w:val="Appelnotedebasdep"/>
          <w:lang w:val="en-CA"/>
        </w:rPr>
        <w:footnoteReference w:id="36"/>
      </w:r>
    </w:p>
    <w:p w14:paraId="0C0F132E" w14:textId="77777777" w:rsidR="00E17CB9" w:rsidRDefault="00270FD3" w:rsidP="00FC6EA0">
      <w:pPr>
        <w:pStyle w:val="Paragraphe"/>
        <w:tabs>
          <w:tab w:val="clear" w:pos="360"/>
          <w:tab w:val="num" w:pos="851"/>
        </w:tabs>
        <w:spacing w:line="240" w:lineRule="auto"/>
        <w:rPr>
          <w:lang w:val="en-CA"/>
        </w:rPr>
      </w:pPr>
      <w:r>
        <w:rPr>
          <w:lang w:val="en-CA"/>
        </w:rPr>
        <w:t xml:space="preserve">In </w:t>
      </w:r>
      <w:r>
        <w:rPr>
          <w:b/>
          <w:bCs/>
          <w:i/>
          <w:iCs/>
          <w:lang w:val="en-CA"/>
        </w:rPr>
        <w:t xml:space="preserve">R. </w:t>
      </w:r>
      <w:r>
        <w:rPr>
          <w:b/>
          <w:bCs/>
          <w:lang w:val="en-CA"/>
        </w:rPr>
        <w:t xml:space="preserve">v. </w:t>
      </w:r>
      <w:r>
        <w:rPr>
          <w:b/>
          <w:bCs/>
          <w:i/>
          <w:iCs/>
          <w:lang w:val="en-CA"/>
        </w:rPr>
        <w:t>Webber</w:t>
      </w:r>
      <w:r>
        <w:rPr>
          <w:lang w:val="en-CA"/>
        </w:rPr>
        <w:t xml:space="preserve">, the British Columbia Court of Appeal </w:t>
      </w:r>
      <w:r w:rsidR="00911FD9">
        <w:rPr>
          <w:lang w:val="en-CA"/>
        </w:rPr>
        <w:t xml:space="preserve">also </w:t>
      </w:r>
      <w:r>
        <w:rPr>
          <w:lang w:val="en-CA"/>
        </w:rPr>
        <w:t>respect</w:t>
      </w:r>
      <w:r w:rsidR="007127D5">
        <w:rPr>
          <w:lang w:val="en-CA"/>
        </w:rPr>
        <w:t>fully</w:t>
      </w:r>
      <w:r>
        <w:rPr>
          <w:lang w:val="en-CA"/>
        </w:rPr>
        <w:t xml:space="preserve"> observed that the language used in </w:t>
      </w:r>
      <w:r>
        <w:rPr>
          <w:b/>
          <w:bCs/>
          <w:i/>
          <w:iCs/>
          <w:lang w:val="en-CA"/>
        </w:rPr>
        <w:t>Mann</w:t>
      </w:r>
      <w:r>
        <w:rPr>
          <w:lang w:val="en-CA"/>
        </w:rPr>
        <w:t xml:space="preserve"> had given rise to interpretive difficulties. However, after reviewing subsequent caselaw, it opined that the </w:t>
      </w:r>
      <w:r>
        <w:rPr>
          <w:b/>
          <w:bCs/>
          <w:lang w:val="en-CA"/>
        </w:rPr>
        <w:t>reasonable suspicion</w:t>
      </w:r>
      <w:r>
        <w:rPr>
          <w:lang w:val="en-CA"/>
        </w:rPr>
        <w:t xml:space="preserve"> standard did in fact authorize safety searches in certain contexts, particularly where privacy interests are reduced.</w:t>
      </w:r>
      <w:r>
        <w:rPr>
          <w:rStyle w:val="Appelnotedebasdep"/>
          <w:lang w:val="en-CA"/>
        </w:rPr>
        <w:footnoteReference w:id="37"/>
      </w:r>
    </w:p>
    <w:p w14:paraId="395F7F0A" w14:textId="77777777" w:rsidR="00447294" w:rsidRPr="00303BBF" w:rsidRDefault="00303BBF" w:rsidP="00303BBF">
      <w:pPr>
        <w:pStyle w:val="Paragraphe"/>
        <w:tabs>
          <w:tab w:val="clear" w:pos="360"/>
          <w:tab w:val="num" w:pos="851"/>
        </w:tabs>
        <w:spacing w:line="240" w:lineRule="auto"/>
        <w:rPr>
          <w:lang w:val="en-CA"/>
        </w:rPr>
      </w:pPr>
      <w:r>
        <w:rPr>
          <w:lang w:val="en-CA"/>
        </w:rPr>
        <w:t>A few years earlier i</w:t>
      </w:r>
      <w:r w:rsidR="00447294" w:rsidRPr="00303BBF">
        <w:rPr>
          <w:lang w:val="en-CA"/>
        </w:rPr>
        <w:t xml:space="preserve">n </w:t>
      </w:r>
      <w:r w:rsidR="00447294" w:rsidRPr="00303BBF">
        <w:rPr>
          <w:b/>
          <w:bCs/>
          <w:i/>
          <w:iCs/>
          <w:lang w:val="en-CA"/>
        </w:rPr>
        <w:t xml:space="preserve">R. </w:t>
      </w:r>
      <w:r w:rsidR="00447294" w:rsidRPr="00303BBF">
        <w:rPr>
          <w:b/>
          <w:bCs/>
          <w:lang w:val="en-CA"/>
        </w:rPr>
        <w:t xml:space="preserve">v. </w:t>
      </w:r>
      <w:r w:rsidR="00447294" w:rsidRPr="00303BBF">
        <w:rPr>
          <w:b/>
          <w:bCs/>
          <w:i/>
          <w:iCs/>
          <w:lang w:val="en-CA"/>
        </w:rPr>
        <w:t>Sheck</w:t>
      </w:r>
      <w:r w:rsidR="00447294" w:rsidRPr="00303BBF">
        <w:rPr>
          <w:lang w:val="en-CA"/>
        </w:rPr>
        <w:t xml:space="preserve">, the </w:t>
      </w:r>
      <w:r>
        <w:rPr>
          <w:lang w:val="en-CA"/>
        </w:rPr>
        <w:t>same Court</w:t>
      </w:r>
      <w:r w:rsidR="00447294" w:rsidRPr="00303BBF">
        <w:rPr>
          <w:lang w:val="en-CA"/>
        </w:rPr>
        <w:t xml:space="preserve">, after citing the </w:t>
      </w:r>
      <w:r w:rsidR="00447294" w:rsidRPr="00303BBF">
        <w:rPr>
          <w:b/>
          <w:bCs/>
          <w:i/>
          <w:iCs/>
          <w:lang w:val="en-CA"/>
        </w:rPr>
        <w:t>Mann</w:t>
      </w:r>
      <w:r w:rsidR="00447294" w:rsidRPr="00303BBF">
        <w:rPr>
          <w:lang w:val="en-CA"/>
        </w:rPr>
        <w:t xml:space="preserve"> terminology verbatim, </w:t>
      </w:r>
      <w:r w:rsidR="00911FD9">
        <w:rPr>
          <w:lang w:val="en-CA"/>
        </w:rPr>
        <w:t>stated</w:t>
      </w:r>
      <w:r w:rsidR="00447294" w:rsidRPr="00303BBF">
        <w:rPr>
          <w:lang w:val="en-CA"/>
        </w:rPr>
        <w:t xml:space="preserve"> the following:</w:t>
      </w:r>
    </w:p>
    <w:p w14:paraId="1F99665F" w14:textId="77777777" w:rsidR="00447294" w:rsidRPr="00447294" w:rsidRDefault="00447294" w:rsidP="00447294">
      <w:pPr>
        <w:pStyle w:val="Paragraphe"/>
        <w:numPr>
          <w:ilvl w:val="0"/>
          <w:numId w:val="0"/>
        </w:numPr>
        <w:spacing w:line="240" w:lineRule="auto"/>
        <w:ind w:left="1134" w:right="1424"/>
        <w:rPr>
          <w:sz w:val="22"/>
          <w:szCs w:val="22"/>
          <w:lang w:val="en-CA"/>
        </w:rPr>
      </w:pPr>
      <w:r w:rsidRPr="00447294">
        <w:rPr>
          <w:sz w:val="22"/>
          <w:szCs w:val="22"/>
          <w:lang w:val="en-CA"/>
        </w:rPr>
        <w:t xml:space="preserve">The test for valid investigative detention and a search incident thereto is to be based on the </w:t>
      </w:r>
      <w:r w:rsidRPr="00447294">
        <w:rPr>
          <w:sz w:val="22"/>
          <w:szCs w:val="22"/>
          <w:u w:val="single"/>
          <w:lang w:val="en-CA"/>
        </w:rPr>
        <w:t>same</w:t>
      </w:r>
      <w:r w:rsidRPr="00447294">
        <w:rPr>
          <w:sz w:val="22"/>
          <w:szCs w:val="22"/>
          <w:lang w:val="en-CA"/>
        </w:rPr>
        <w:t xml:space="preserve"> safety concerns. In the case of the detention, it is to be based on a </w:t>
      </w:r>
      <w:r w:rsidRPr="00447294">
        <w:rPr>
          <w:sz w:val="22"/>
          <w:szCs w:val="22"/>
          <w:u w:val="single"/>
          <w:lang w:val="en-CA"/>
        </w:rPr>
        <w:t>reasonable suspicion</w:t>
      </w:r>
      <w:r w:rsidRPr="00447294">
        <w:rPr>
          <w:sz w:val="22"/>
          <w:szCs w:val="22"/>
          <w:lang w:val="en-CA"/>
        </w:rPr>
        <w:t xml:space="preserve"> and in the case of the search, it is to be based on a reasonable belief that safety is </w:t>
      </w:r>
      <w:r w:rsidRPr="00447294">
        <w:rPr>
          <w:sz w:val="22"/>
          <w:szCs w:val="22"/>
          <w:u w:val="single"/>
          <w:lang w:val="en-CA"/>
        </w:rPr>
        <w:t>at risk</w:t>
      </w:r>
      <w:r w:rsidRPr="00447294">
        <w:rPr>
          <w:sz w:val="22"/>
          <w:szCs w:val="22"/>
          <w:lang w:val="en-CA"/>
        </w:rPr>
        <w:t>.</w:t>
      </w:r>
      <w:r w:rsidRPr="00447294">
        <w:rPr>
          <w:rStyle w:val="Appelnotedebasdep"/>
          <w:sz w:val="22"/>
          <w:szCs w:val="22"/>
          <w:lang w:val="en-CA"/>
        </w:rPr>
        <w:footnoteReference w:id="38"/>
      </w:r>
    </w:p>
    <w:p w14:paraId="5AF905C7" w14:textId="77777777" w:rsidR="00447294" w:rsidRPr="00447294" w:rsidRDefault="00447294" w:rsidP="00447294">
      <w:pPr>
        <w:pStyle w:val="Paragraphe"/>
        <w:numPr>
          <w:ilvl w:val="0"/>
          <w:numId w:val="0"/>
        </w:numPr>
        <w:spacing w:line="240" w:lineRule="auto"/>
        <w:ind w:left="1134" w:right="1424"/>
        <w:jc w:val="right"/>
        <w:rPr>
          <w:sz w:val="22"/>
          <w:szCs w:val="22"/>
          <w:lang w:val="en-CA"/>
        </w:rPr>
      </w:pPr>
      <w:r w:rsidRPr="00447294">
        <w:rPr>
          <w:sz w:val="22"/>
          <w:szCs w:val="22"/>
          <w:lang w:val="en-CA"/>
        </w:rPr>
        <w:t>[emphasis in the original]</w:t>
      </w:r>
    </w:p>
    <w:p w14:paraId="1E5F9722" w14:textId="77777777" w:rsidR="00447294" w:rsidRDefault="00447294" w:rsidP="00FC6EA0">
      <w:pPr>
        <w:pStyle w:val="Paragraphe"/>
        <w:tabs>
          <w:tab w:val="clear" w:pos="360"/>
          <w:tab w:val="num" w:pos="851"/>
        </w:tabs>
        <w:spacing w:line="240" w:lineRule="auto"/>
        <w:rPr>
          <w:lang w:val="en-CA"/>
        </w:rPr>
      </w:pPr>
      <w:r>
        <w:rPr>
          <w:lang w:val="en-CA"/>
        </w:rPr>
        <w:t xml:space="preserve">As such, although the duality was superficially maintained, the underlined words </w:t>
      </w:r>
      <w:r w:rsidR="00303BBF">
        <w:rPr>
          <w:lang w:val="en-CA"/>
        </w:rPr>
        <w:t>denote</w:t>
      </w:r>
      <w:r>
        <w:rPr>
          <w:lang w:val="en-CA"/>
        </w:rPr>
        <w:t xml:space="preserve"> that to justify an incidental security search, the officer need not reasonable grounds to believe that the accused is carrying a gun. Instead, he needs to have reasonable grounds to believe that there is a </w:t>
      </w:r>
      <w:r>
        <w:rPr>
          <w:u w:val="single"/>
          <w:lang w:val="en-CA"/>
        </w:rPr>
        <w:t>risk</w:t>
      </w:r>
      <w:r>
        <w:rPr>
          <w:lang w:val="en-CA"/>
        </w:rPr>
        <w:t xml:space="preserve"> that the accused has a gun. The devil is in the details.</w:t>
      </w:r>
    </w:p>
    <w:p w14:paraId="5435C625" w14:textId="77777777" w:rsidR="00816706" w:rsidRDefault="00816706" w:rsidP="00FC6EA0">
      <w:pPr>
        <w:pStyle w:val="Paragraphe"/>
        <w:tabs>
          <w:tab w:val="clear" w:pos="360"/>
          <w:tab w:val="num" w:pos="851"/>
        </w:tabs>
        <w:spacing w:line="240" w:lineRule="auto"/>
        <w:rPr>
          <w:lang w:val="en-CA"/>
        </w:rPr>
      </w:pPr>
      <w:bookmarkStart w:id="18" w:name="_Hlk162518658"/>
      <w:r>
        <w:rPr>
          <w:lang w:val="en-CA"/>
        </w:rPr>
        <w:t xml:space="preserve">In </w:t>
      </w:r>
      <w:r>
        <w:rPr>
          <w:b/>
          <w:bCs/>
          <w:i/>
          <w:iCs/>
          <w:lang w:val="en-CA"/>
        </w:rPr>
        <w:t xml:space="preserve">R. </w:t>
      </w:r>
      <w:r>
        <w:rPr>
          <w:b/>
          <w:bCs/>
          <w:lang w:val="en-CA"/>
        </w:rPr>
        <w:t xml:space="preserve">v. </w:t>
      </w:r>
      <w:r>
        <w:rPr>
          <w:b/>
          <w:bCs/>
          <w:i/>
          <w:iCs/>
          <w:lang w:val="en-CA"/>
        </w:rPr>
        <w:t>Peterkin</w:t>
      </w:r>
      <w:r>
        <w:rPr>
          <w:lang w:val="en-CA"/>
        </w:rPr>
        <w:t xml:space="preserve">, the Ontario Cour of Appeal highlighted the same nuance. It stressed, with italics, that </w:t>
      </w:r>
      <w:r>
        <w:rPr>
          <w:b/>
          <w:bCs/>
          <w:i/>
          <w:iCs/>
          <w:lang w:val="en-CA"/>
        </w:rPr>
        <w:t>Mann</w:t>
      </w:r>
      <w:r>
        <w:rPr>
          <w:lang w:val="en-CA"/>
        </w:rPr>
        <w:t xml:space="preserve"> required reasonable grounds to believe that the officers’ or the public’s safety was </w:t>
      </w:r>
      <w:r>
        <w:rPr>
          <w:u w:val="single"/>
          <w:lang w:val="en-CA"/>
        </w:rPr>
        <w:t>at risk</w:t>
      </w:r>
      <w:r>
        <w:rPr>
          <w:lang w:val="en-CA"/>
        </w:rPr>
        <w:t xml:space="preserve"> or </w:t>
      </w:r>
      <w:r>
        <w:rPr>
          <w:u w:val="single"/>
          <w:lang w:val="en-CA"/>
        </w:rPr>
        <w:t>at stake</w:t>
      </w:r>
      <w:r>
        <w:rPr>
          <w:lang w:val="en-CA"/>
        </w:rPr>
        <w:t xml:space="preserve">, which inherently built in the </w:t>
      </w:r>
      <w:r w:rsidRPr="00911FD9">
        <w:rPr>
          <w:i/>
          <w:iCs/>
          <w:lang w:val="en-CA"/>
        </w:rPr>
        <w:t>possibility</w:t>
      </w:r>
      <w:r>
        <w:rPr>
          <w:lang w:val="en-CA"/>
        </w:rPr>
        <w:t xml:space="preserve"> that the suspect have a gun.</w:t>
      </w:r>
      <w:r>
        <w:rPr>
          <w:rStyle w:val="Appelnotedebasdep"/>
          <w:lang w:val="en-CA"/>
        </w:rPr>
        <w:footnoteReference w:id="39"/>
      </w:r>
    </w:p>
    <w:bookmarkEnd w:id="18"/>
    <w:p w14:paraId="2DFF6EA1" w14:textId="77777777" w:rsidR="00303BBF" w:rsidRDefault="00303BBF" w:rsidP="00FC6EA0">
      <w:pPr>
        <w:pStyle w:val="Paragraphe"/>
        <w:tabs>
          <w:tab w:val="clear" w:pos="360"/>
          <w:tab w:val="num" w:pos="851"/>
        </w:tabs>
        <w:spacing w:line="240" w:lineRule="auto"/>
        <w:rPr>
          <w:lang w:val="en-CA"/>
        </w:rPr>
      </w:pPr>
      <w:r>
        <w:rPr>
          <w:lang w:val="en-CA"/>
        </w:rPr>
        <w:t xml:space="preserve">While this review provides insight into the national appellate perspective on the </w:t>
      </w:r>
      <w:r>
        <w:rPr>
          <w:b/>
          <w:bCs/>
          <w:i/>
          <w:iCs/>
          <w:lang w:val="en-CA"/>
        </w:rPr>
        <w:t>Mann</w:t>
      </w:r>
      <w:r>
        <w:rPr>
          <w:lang w:val="en-CA"/>
        </w:rPr>
        <w:t xml:space="preserve"> search standard, I am of course bound by the Quebec Court of Appeal’s precedents.</w:t>
      </w:r>
    </w:p>
    <w:p w14:paraId="3B43F3A0" w14:textId="77777777" w:rsidR="00447294" w:rsidRDefault="00447294" w:rsidP="00FC6EA0">
      <w:pPr>
        <w:pStyle w:val="Paragraphe"/>
        <w:tabs>
          <w:tab w:val="clear" w:pos="360"/>
          <w:tab w:val="num" w:pos="851"/>
        </w:tabs>
        <w:spacing w:line="240" w:lineRule="auto"/>
        <w:rPr>
          <w:lang w:val="en-CA"/>
        </w:rPr>
      </w:pPr>
      <w:r>
        <w:rPr>
          <w:lang w:val="en-CA"/>
        </w:rPr>
        <w:t>Indeed,</w:t>
      </w:r>
      <w:r w:rsidR="00AB4456">
        <w:rPr>
          <w:lang w:val="en-CA"/>
        </w:rPr>
        <w:t xml:space="preserve"> in </w:t>
      </w:r>
      <w:r w:rsidR="00AB4456">
        <w:rPr>
          <w:b/>
          <w:bCs/>
          <w:i/>
          <w:iCs/>
          <w:lang w:val="en-CA"/>
        </w:rPr>
        <w:t xml:space="preserve">R. </w:t>
      </w:r>
      <w:r w:rsidR="00AB4456">
        <w:rPr>
          <w:b/>
          <w:bCs/>
          <w:lang w:val="en-CA"/>
        </w:rPr>
        <w:t xml:space="preserve">c. </w:t>
      </w:r>
      <w:r w:rsidR="00AB4456">
        <w:rPr>
          <w:b/>
          <w:bCs/>
          <w:i/>
          <w:iCs/>
          <w:lang w:val="en-CA"/>
        </w:rPr>
        <w:t>Legoute</w:t>
      </w:r>
      <w:r w:rsidR="00AB4456">
        <w:rPr>
          <w:lang w:val="en-CA"/>
        </w:rPr>
        <w:t>,</w:t>
      </w:r>
      <w:r>
        <w:rPr>
          <w:lang w:val="en-CA"/>
        </w:rPr>
        <w:t xml:space="preserve"> the Quebec Court of Appeal </w:t>
      </w:r>
      <w:r w:rsidR="00AB4456">
        <w:rPr>
          <w:lang w:val="en-CA"/>
        </w:rPr>
        <w:t xml:space="preserve">also quoted the </w:t>
      </w:r>
      <w:r w:rsidR="00AB4456">
        <w:rPr>
          <w:b/>
          <w:bCs/>
          <w:i/>
          <w:iCs/>
          <w:lang w:val="en-CA"/>
        </w:rPr>
        <w:t>Mann</w:t>
      </w:r>
      <w:r w:rsidR="00AB4456">
        <w:rPr>
          <w:lang w:val="en-CA"/>
        </w:rPr>
        <w:t xml:space="preserve"> language verbatim. However, interestingly, when concluding that the security search </w:t>
      </w:r>
      <w:r w:rsidR="00AB4456">
        <w:rPr>
          <w:lang w:val="en-CA"/>
        </w:rPr>
        <w:lastRenderedPageBreak/>
        <w:t>(incident to investigative detention) was valid in that case, it skewed the language ever so slightly:</w:t>
      </w:r>
    </w:p>
    <w:p w14:paraId="38E6127F" w14:textId="77777777" w:rsidR="00AB4456" w:rsidRPr="00072BDD" w:rsidRDefault="00AB4456" w:rsidP="00AB4456">
      <w:pPr>
        <w:pStyle w:val="Paragraphe"/>
        <w:numPr>
          <w:ilvl w:val="0"/>
          <w:numId w:val="0"/>
        </w:numPr>
        <w:spacing w:line="240" w:lineRule="auto"/>
        <w:ind w:left="1134" w:right="1424"/>
        <w:rPr>
          <w:sz w:val="22"/>
          <w:szCs w:val="22"/>
          <w:lang w:val="en-CA"/>
        </w:rPr>
      </w:pPr>
      <w:r w:rsidRPr="00072BDD">
        <w:rPr>
          <w:sz w:val="22"/>
          <w:szCs w:val="22"/>
          <w:lang w:val="en-CA"/>
        </w:rPr>
        <w:t xml:space="preserve">[Translation] The preventive search fell under the police’s general duty to protect life and it was based on reasonable grounds to believe that the respondent </w:t>
      </w:r>
      <w:r w:rsidRPr="00072BDD">
        <w:rPr>
          <w:b/>
          <w:bCs/>
          <w:sz w:val="22"/>
          <w:szCs w:val="22"/>
          <w:lang w:val="en-CA"/>
        </w:rPr>
        <w:t>might have been</w:t>
      </w:r>
      <w:r w:rsidRPr="00072BDD">
        <w:rPr>
          <w:sz w:val="22"/>
          <w:szCs w:val="22"/>
          <w:lang w:val="en-CA"/>
        </w:rPr>
        <w:t xml:space="preserve"> armed with a weapon </w:t>
      </w:r>
      <w:r w:rsidR="00072BDD" w:rsidRPr="00072BDD">
        <w:rPr>
          <w:sz w:val="22"/>
          <w:szCs w:val="22"/>
          <w:lang w:val="en-CA"/>
        </w:rPr>
        <w:t>or blunt object capable of injuring the officer.</w:t>
      </w:r>
      <w:r w:rsidR="00072BDD" w:rsidRPr="00072BDD">
        <w:rPr>
          <w:rStyle w:val="Appelnotedebasdep"/>
          <w:sz w:val="22"/>
          <w:szCs w:val="22"/>
          <w:lang w:val="en-CA"/>
        </w:rPr>
        <w:footnoteReference w:id="40"/>
      </w:r>
    </w:p>
    <w:p w14:paraId="6D607604" w14:textId="77777777" w:rsidR="00072BDD" w:rsidRPr="00072BDD" w:rsidRDefault="00072BDD" w:rsidP="00072BDD">
      <w:pPr>
        <w:pStyle w:val="Paragraphe"/>
        <w:numPr>
          <w:ilvl w:val="0"/>
          <w:numId w:val="0"/>
        </w:numPr>
        <w:spacing w:line="240" w:lineRule="auto"/>
        <w:ind w:left="1134" w:right="1424"/>
        <w:jc w:val="right"/>
        <w:rPr>
          <w:sz w:val="22"/>
          <w:szCs w:val="22"/>
          <w:lang w:val="en-CA"/>
        </w:rPr>
      </w:pPr>
      <w:r w:rsidRPr="00072BDD">
        <w:rPr>
          <w:sz w:val="22"/>
          <w:szCs w:val="22"/>
          <w:lang w:val="en-CA"/>
        </w:rPr>
        <w:t>[emphasis added]</w:t>
      </w:r>
    </w:p>
    <w:p w14:paraId="289C562A" w14:textId="77777777" w:rsidR="00447294" w:rsidRDefault="00072BDD" w:rsidP="00FC6EA0">
      <w:pPr>
        <w:pStyle w:val="Paragraphe"/>
        <w:tabs>
          <w:tab w:val="clear" w:pos="360"/>
          <w:tab w:val="num" w:pos="851"/>
        </w:tabs>
        <w:spacing w:line="240" w:lineRule="auto"/>
        <w:rPr>
          <w:lang w:val="en-CA"/>
        </w:rPr>
      </w:pPr>
      <w:r>
        <w:rPr>
          <w:lang w:val="en-CA"/>
        </w:rPr>
        <w:t>In my view, there is unquestionably a difference between:</w:t>
      </w:r>
    </w:p>
    <w:p w14:paraId="10A25384" w14:textId="77777777" w:rsidR="00072BDD" w:rsidRDefault="00072BDD" w:rsidP="00072BDD">
      <w:pPr>
        <w:pStyle w:val="Paragraphe"/>
        <w:numPr>
          <w:ilvl w:val="0"/>
          <w:numId w:val="25"/>
        </w:numPr>
        <w:spacing w:line="240" w:lineRule="auto"/>
        <w:ind w:left="1701"/>
        <w:rPr>
          <w:lang w:val="en-CA"/>
        </w:rPr>
      </w:pPr>
      <w:r>
        <w:rPr>
          <w:lang w:val="en-CA"/>
        </w:rPr>
        <w:t xml:space="preserve">Reasonable grounds to believe that the suspect </w:t>
      </w:r>
      <w:r>
        <w:rPr>
          <w:b/>
          <w:bCs/>
          <w:lang w:val="en-CA"/>
        </w:rPr>
        <w:t>is carrying a gun</w:t>
      </w:r>
      <w:r>
        <w:rPr>
          <w:lang w:val="en-CA"/>
        </w:rPr>
        <w:t>; and</w:t>
      </w:r>
    </w:p>
    <w:p w14:paraId="3E6AA2A7" w14:textId="77777777" w:rsidR="00E17CB9" w:rsidRPr="00072BDD" w:rsidRDefault="00072BDD" w:rsidP="00072BDD">
      <w:pPr>
        <w:pStyle w:val="Paragraphe"/>
        <w:numPr>
          <w:ilvl w:val="0"/>
          <w:numId w:val="25"/>
        </w:numPr>
        <w:spacing w:line="240" w:lineRule="auto"/>
        <w:ind w:left="1701"/>
        <w:rPr>
          <w:lang w:val="en-CA"/>
        </w:rPr>
      </w:pPr>
      <w:r>
        <w:rPr>
          <w:lang w:val="en-CA"/>
        </w:rPr>
        <w:t xml:space="preserve">Reasonable grounds to believe that the suspect </w:t>
      </w:r>
      <w:r>
        <w:rPr>
          <w:b/>
          <w:bCs/>
          <w:lang w:val="en-CA"/>
        </w:rPr>
        <w:t>might be carrying a gun</w:t>
      </w:r>
      <w:r>
        <w:rPr>
          <w:lang w:val="en-CA"/>
        </w:rPr>
        <w:t>.</w:t>
      </w:r>
    </w:p>
    <w:p w14:paraId="1BEEC73F" w14:textId="77777777" w:rsidR="00055FE2" w:rsidRPr="00072BDD" w:rsidRDefault="007438F4" w:rsidP="00072BDD">
      <w:pPr>
        <w:pStyle w:val="Paragraphe"/>
        <w:tabs>
          <w:tab w:val="clear" w:pos="360"/>
          <w:tab w:val="num" w:pos="851"/>
        </w:tabs>
        <w:spacing w:line="240" w:lineRule="auto"/>
        <w:rPr>
          <w:lang w:val="en-CA"/>
        </w:rPr>
      </w:pPr>
      <w:bookmarkStart w:id="20" w:name="_Hlk162419296"/>
      <w:r>
        <w:rPr>
          <w:lang w:val="en-CA"/>
        </w:rPr>
        <w:t xml:space="preserve">All this being said, as will be seen below, the case at bar does not hinge on which of </w:t>
      </w:r>
      <w:r w:rsidR="00911FD9">
        <w:rPr>
          <w:lang w:val="en-CA"/>
        </w:rPr>
        <w:t xml:space="preserve">the </w:t>
      </w:r>
      <w:r>
        <w:rPr>
          <w:lang w:val="en-CA"/>
        </w:rPr>
        <w:t>two standards applies. Based on my assessment of all the dynamic circumstances during the intervention on October 17</w:t>
      </w:r>
      <w:r w:rsidRPr="007438F4">
        <w:rPr>
          <w:vertAlign w:val="superscript"/>
          <w:lang w:val="en-CA"/>
        </w:rPr>
        <w:t>th</w:t>
      </w:r>
      <w:r>
        <w:rPr>
          <w:lang w:val="en-CA"/>
        </w:rPr>
        <w:t xml:space="preserve"> 2023,</w:t>
      </w:r>
      <w:r w:rsidR="00072BDD">
        <w:rPr>
          <w:lang w:val="en-CA"/>
        </w:rPr>
        <w:t xml:space="preserve"> by the time the pat-down search of the man-purse was conducted by officer L</w:t>
      </w:r>
      <w:r w:rsidR="00B8382D">
        <w:rPr>
          <w:lang w:val="en-CA"/>
        </w:rPr>
        <w:t>a</w:t>
      </w:r>
      <w:r w:rsidR="00072BDD">
        <w:rPr>
          <w:lang w:val="en-CA"/>
        </w:rPr>
        <w:t>l</w:t>
      </w:r>
      <w:r w:rsidR="00B8382D">
        <w:rPr>
          <w:lang w:val="en-CA"/>
        </w:rPr>
        <w:t>e</w:t>
      </w:r>
      <w:r w:rsidR="00072BDD">
        <w:rPr>
          <w:lang w:val="en-CA"/>
        </w:rPr>
        <w:t>yan,</w:t>
      </w:r>
      <w:r>
        <w:rPr>
          <w:lang w:val="en-CA"/>
        </w:rPr>
        <w:t xml:space="preserve"> the officer had reasonable grounds to </w:t>
      </w:r>
      <w:r>
        <w:rPr>
          <w:i/>
          <w:iCs/>
          <w:lang w:val="en-CA"/>
        </w:rPr>
        <w:t>believe</w:t>
      </w:r>
      <w:r>
        <w:rPr>
          <w:lang w:val="en-CA"/>
        </w:rPr>
        <w:t xml:space="preserve"> that their safety was in danger, thereby meeting the more stringent threshold.</w:t>
      </w:r>
      <w:bookmarkEnd w:id="17"/>
      <w:bookmarkEnd w:id="20"/>
    </w:p>
    <w:p w14:paraId="325E88EA" w14:textId="77777777" w:rsidR="00055FE2" w:rsidRPr="00EE3819" w:rsidRDefault="00055FE2" w:rsidP="00055FE2">
      <w:pPr>
        <w:pStyle w:val="Titre2"/>
        <w:numPr>
          <w:ilvl w:val="0"/>
          <w:numId w:val="16"/>
        </w:numPr>
        <w:spacing w:before="120" w:after="120"/>
        <w:rPr>
          <w:i w:val="0"/>
          <w:u w:val="single"/>
          <w:lang w:val="en-CA"/>
        </w:rPr>
      </w:pPr>
      <w:r>
        <w:rPr>
          <w:i w:val="0"/>
          <w:u w:val="single"/>
          <w:lang w:val="en-CA"/>
        </w:rPr>
        <w:t xml:space="preserve">The case of </w:t>
      </w:r>
      <w:r>
        <w:rPr>
          <w:iCs/>
          <w:u w:val="single"/>
          <w:lang w:val="en-CA"/>
        </w:rPr>
        <w:t xml:space="preserve">R. </w:t>
      </w:r>
      <w:r>
        <w:rPr>
          <w:i w:val="0"/>
          <w:u w:val="single"/>
          <w:lang w:val="en-CA"/>
        </w:rPr>
        <w:t xml:space="preserve">v. </w:t>
      </w:r>
      <w:r>
        <w:rPr>
          <w:iCs/>
          <w:u w:val="single"/>
          <w:lang w:val="en-CA"/>
        </w:rPr>
        <w:t>Mac</w:t>
      </w:r>
      <w:r w:rsidR="00686B85">
        <w:rPr>
          <w:iCs/>
          <w:u w:val="single"/>
          <w:lang w:val="en-CA"/>
        </w:rPr>
        <w:t>Donald</w:t>
      </w:r>
      <w:r>
        <w:rPr>
          <w:i w:val="0"/>
          <w:u w:val="single"/>
          <w:lang w:val="en-CA"/>
        </w:rPr>
        <w:t xml:space="preserve"> did not modify the applicable standard</w:t>
      </w:r>
    </w:p>
    <w:p w14:paraId="6FB7485B" w14:textId="77777777" w:rsidR="00B21DEC" w:rsidRDefault="00724F4B" w:rsidP="00F068BE">
      <w:pPr>
        <w:pStyle w:val="Paragraphe"/>
        <w:tabs>
          <w:tab w:val="clear" w:pos="360"/>
          <w:tab w:val="num" w:pos="851"/>
        </w:tabs>
        <w:spacing w:line="240" w:lineRule="auto"/>
        <w:rPr>
          <w:lang w:val="en-CA"/>
        </w:rPr>
      </w:pPr>
      <w:r>
        <w:rPr>
          <w:lang w:val="en-CA"/>
        </w:rPr>
        <w:t xml:space="preserve">In </w:t>
      </w:r>
      <w:r>
        <w:rPr>
          <w:b/>
          <w:bCs/>
          <w:i/>
          <w:iCs/>
          <w:lang w:val="en-CA"/>
        </w:rPr>
        <w:t xml:space="preserve">R. </w:t>
      </w:r>
      <w:r>
        <w:rPr>
          <w:b/>
          <w:bCs/>
          <w:lang w:val="en-CA"/>
        </w:rPr>
        <w:t xml:space="preserve">v. </w:t>
      </w:r>
      <w:r>
        <w:rPr>
          <w:b/>
          <w:bCs/>
          <w:i/>
          <w:iCs/>
          <w:lang w:val="en-CA"/>
        </w:rPr>
        <w:t>MacDonald</w:t>
      </w:r>
      <w:r>
        <w:rPr>
          <w:lang w:val="en-CA"/>
        </w:rPr>
        <w:t>,</w:t>
      </w:r>
      <w:r>
        <w:rPr>
          <w:rStyle w:val="Appelnotedebasdep"/>
          <w:lang w:val="en-CA"/>
        </w:rPr>
        <w:footnoteReference w:id="41"/>
      </w:r>
      <w:r>
        <w:rPr>
          <w:lang w:val="en-CA"/>
        </w:rPr>
        <w:t xml:space="preserve"> the Supreme Court </w:t>
      </w:r>
      <w:r w:rsidR="00FD43CA">
        <w:rPr>
          <w:lang w:val="en-CA"/>
        </w:rPr>
        <w:t xml:space="preserve">again </w:t>
      </w:r>
      <w:r w:rsidR="00E659C6">
        <w:rPr>
          <w:lang w:val="en-CA"/>
        </w:rPr>
        <w:t xml:space="preserve">dealt </w:t>
      </w:r>
      <w:r>
        <w:rPr>
          <w:lang w:val="en-CA"/>
        </w:rPr>
        <w:t>with the issue of preventive security searches generally. In that case, there was no detention at all</w:t>
      </w:r>
      <w:r w:rsidR="00FD43CA">
        <w:rPr>
          <w:lang w:val="en-CA"/>
        </w:rPr>
        <w:t xml:space="preserve">. </w:t>
      </w:r>
      <w:r w:rsidR="00FD43CA">
        <w:rPr>
          <w:b/>
          <w:bCs/>
          <w:i/>
          <w:iCs/>
          <w:lang w:val="en-CA"/>
        </w:rPr>
        <w:t>Mann</w:t>
      </w:r>
      <w:r w:rsidR="00FD43CA">
        <w:rPr>
          <w:lang w:val="en-CA"/>
        </w:rPr>
        <w:t xml:space="preserve"> powers were therefore not directly at play</w:t>
      </w:r>
      <w:r>
        <w:rPr>
          <w:lang w:val="en-CA"/>
        </w:rPr>
        <w:t>. Instead, the police attended the accused’s home following a noise complaint. The accused swore at the police and slammed his door. When he later reopened it, police noticed that he was holding something black and shiny in his hand. The officer therefore pushed the door in order to see if it was a weapon, which enabled him to see that it was a handgun.</w:t>
      </w:r>
    </w:p>
    <w:p w14:paraId="655FB29C" w14:textId="77777777" w:rsidR="00724F4B" w:rsidRDefault="00FD43CA" w:rsidP="00F068BE">
      <w:pPr>
        <w:pStyle w:val="Paragraphe"/>
        <w:tabs>
          <w:tab w:val="clear" w:pos="360"/>
          <w:tab w:val="num" w:pos="851"/>
        </w:tabs>
        <w:spacing w:line="240" w:lineRule="auto"/>
        <w:rPr>
          <w:lang w:val="en-CA"/>
        </w:rPr>
      </w:pPr>
      <w:r>
        <w:rPr>
          <w:lang w:val="en-CA"/>
        </w:rPr>
        <w:t>To be sure, m</w:t>
      </w:r>
      <w:r w:rsidR="00724F4B">
        <w:rPr>
          <w:lang w:val="en-CA"/>
        </w:rPr>
        <w:t xml:space="preserve">uch of the analysis in </w:t>
      </w:r>
      <w:r w:rsidR="00724F4B">
        <w:rPr>
          <w:b/>
          <w:bCs/>
          <w:i/>
          <w:iCs/>
          <w:lang w:val="en-CA"/>
        </w:rPr>
        <w:t>MacDonald</w:t>
      </w:r>
      <w:r w:rsidR="00724F4B">
        <w:rPr>
          <w:lang w:val="en-CA"/>
        </w:rPr>
        <w:t xml:space="preserve"> </w:t>
      </w:r>
      <w:r>
        <w:rPr>
          <w:lang w:val="en-CA"/>
        </w:rPr>
        <w:t>remains</w:t>
      </w:r>
      <w:r w:rsidR="00724F4B">
        <w:rPr>
          <w:lang w:val="en-CA"/>
        </w:rPr>
        <w:t xml:space="preserve"> useful and generally relevant in the scrutiny of police conduct. However,</w:t>
      </w:r>
      <w:r>
        <w:rPr>
          <w:lang w:val="en-CA"/>
        </w:rPr>
        <w:t xml:space="preserve"> more specifically,</w:t>
      </w:r>
      <w:r w:rsidR="00724F4B">
        <w:rPr>
          <w:lang w:val="en-CA"/>
        </w:rPr>
        <w:t xml:space="preserve"> the Court appeared to introduce a requirement of an “imminent threat to officer safety” before a weapons search may be allowed.</w:t>
      </w:r>
      <w:r w:rsidR="00724F4B">
        <w:rPr>
          <w:rStyle w:val="Appelnotedebasdep"/>
          <w:lang w:val="en-CA"/>
        </w:rPr>
        <w:footnoteReference w:id="42"/>
      </w:r>
    </w:p>
    <w:p w14:paraId="2353E5B6" w14:textId="77777777" w:rsidR="00724F4B" w:rsidRPr="00F068BE" w:rsidRDefault="00A17991" w:rsidP="00F068BE">
      <w:pPr>
        <w:pStyle w:val="Paragraphe"/>
        <w:tabs>
          <w:tab w:val="clear" w:pos="360"/>
          <w:tab w:val="num" w:pos="851"/>
        </w:tabs>
        <w:spacing w:line="240" w:lineRule="auto"/>
        <w:rPr>
          <w:lang w:val="en-CA"/>
        </w:rPr>
      </w:pPr>
      <w:r>
        <w:rPr>
          <w:lang w:val="en-CA"/>
        </w:rPr>
        <w:t>However, s</w:t>
      </w:r>
      <w:r w:rsidR="00724F4B">
        <w:rPr>
          <w:lang w:val="en-CA"/>
        </w:rPr>
        <w:t>ince 2014, a body of appellate caselaw has held that the additional “imminence” requirement</w:t>
      </w:r>
      <w:r w:rsidR="00FF3C13">
        <w:rPr>
          <w:lang w:val="en-CA"/>
        </w:rPr>
        <w:t xml:space="preserve"> mentioned in </w:t>
      </w:r>
      <w:r w:rsidR="00FF3C13">
        <w:rPr>
          <w:b/>
          <w:bCs/>
          <w:i/>
          <w:iCs/>
          <w:lang w:val="en-CA"/>
        </w:rPr>
        <w:t>MacDonald</w:t>
      </w:r>
      <w:r w:rsidR="00724F4B">
        <w:rPr>
          <w:lang w:val="en-CA"/>
        </w:rPr>
        <w:t xml:space="preserve"> applied only in cases where the suspect was not otherwise lawfully detained.</w:t>
      </w:r>
      <w:r w:rsidR="006469E9">
        <w:rPr>
          <w:lang w:val="en-CA"/>
        </w:rPr>
        <w:t xml:space="preserve"> Specifically, it has been consistently held </w:t>
      </w:r>
      <w:r w:rsidR="006469E9">
        <w:rPr>
          <w:lang w:val="en-CA"/>
        </w:rPr>
        <w:lastRenderedPageBreak/>
        <w:t xml:space="preserve">that </w:t>
      </w:r>
      <w:r w:rsidR="006469E9">
        <w:rPr>
          <w:b/>
          <w:bCs/>
          <w:i/>
          <w:iCs/>
          <w:lang w:val="en-CA"/>
        </w:rPr>
        <w:t>MacDonald</w:t>
      </w:r>
      <w:r w:rsidR="006469E9">
        <w:rPr>
          <w:lang w:val="en-CA"/>
        </w:rPr>
        <w:t xml:space="preserve"> did not recalibrate the </w:t>
      </w:r>
      <w:r w:rsidR="006469E9">
        <w:rPr>
          <w:b/>
          <w:bCs/>
          <w:i/>
          <w:iCs/>
          <w:lang w:val="en-CA"/>
        </w:rPr>
        <w:t>Mann</w:t>
      </w:r>
      <w:r w:rsidR="006469E9">
        <w:rPr>
          <w:lang w:val="en-CA"/>
        </w:rPr>
        <w:t xml:space="preserve"> standard for search incident to investigative detention.</w:t>
      </w:r>
      <w:r w:rsidR="00191052">
        <w:rPr>
          <w:rStyle w:val="Appelnotedebasdep"/>
          <w:lang w:val="en-CA"/>
        </w:rPr>
        <w:footnoteReference w:id="43"/>
      </w:r>
    </w:p>
    <w:p w14:paraId="64A04531" w14:textId="77777777" w:rsidR="00B21DEC" w:rsidRPr="00907180" w:rsidRDefault="00447294" w:rsidP="00907180">
      <w:pPr>
        <w:pStyle w:val="Paragraphe"/>
        <w:tabs>
          <w:tab w:val="clear" w:pos="360"/>
          <w:tab w:val="num" w:pos="851"/>
        </w:tabs>
        <w:spacing w:line="240" w:lineRule="auto"/>
        <w:rPr>
          <w:lang w:val="en-CA"/>
        </w:rPr>
      </w:pPr>
      <w:r>
        <w:rPr>
          <w:lang w:val="en-CA"/>
        </w:rPr>
        <w:t xml:space="preserve">Most recently in the </w:t>
      </w:r>
      <w:r w:rsidR="00B21DEC">
        <w:rPr>
          <w:lang w:val="en-CA"/>
        </w:rPr>
        <w:t xml:space="preserve">case of </w:t>
      </w:r>
      <w:r w:rsidR="00B21DEC">
        <w:rPr>
          <w:b/>
          <w:bCs/>
          <w:i/>
          <w:iCs/>
          <w:lang w:val="en-CA"/>
        </w:rPr>
        <w:t xml:space="preserve">R. </w:t>
      </w:r>
      <w:r w:rsidR="00B21DEC">
        <w:rPr>
          <w:b/>
          <w:bCs/>
          <w:lang w:val="en-CA"/>
        </w:rPr>
        <w:t xml:space="preserve">v. </w:t>
      </w:r>
      <w:r w:rsidR="00B21DEC">
        <w:rPr>
          <w:b/>
          <w:bCs/>
          <w:i/>
          <w:iCs/>
          <w:lang w:val="en-CA"/>
        </w:rPr>
        <w:t>Dhillon</w:t>
      </w:r>
      <w:r w:rsidR="00B21DEC">
        <w:rPr>
          <w:lang w:val="en-CA"/>
        </w:rPr>
        <w:t xml:space="preserve">, the British Columbia Court of Appeal weighed in on the </w:t>
      </w:r>
      <w:r w:rsidR="00907180">
        <w:rPr>
          <w:lang w:val="en-CA"/>
        </w:rPr>
        <w:t>issue</w:t>
      </w:r>
      <w:r w:rsidR="00C104C1">
        <w:rPr>
          <w:lang w:val="en-CA"/>
        </w:rPr>
        <w:t xml:space="preserve"> again</w:t>
      </w:r>
      <w:r w:rsidR="00B21DEC">
        <w:rPr>
          <w:lang w:val="en-CA"/>
        </w:rPr>
        <w:t>.</w:t>
      </w:r>
      <w:r w:rsidR="00907180">
        <w:rPr>
          <w:lang w:val="en-CA"/>
        </w:rPr>
        <w:t xml:space="preserve"> </w:t>
      </w:r>
      <w:r w:rsidR="00B21DEC" w:rsidRPr="00907180">
        <w:rPr>
          <w:lang w:val="en-CA"/>
        </w:rPr>
        <w:t>After a detailed analysis of the caselaw, the Court concluded that there is no requirement of an “imminent threat to safety” for a search incident to investigative detention to be lawful.</w:t>
      </w:r>
      <w:r w:rsidR="00B21DEC">
        <w:rPr>
          <w:rStyle w:val="Appelnotedebasdep"/>
          <w:lang w:val="en-CA"/>
        </w:rPr>
        <w:footnoteReference w:id="44"/>
      </w:r>
    </w:p>
    <w:p w14:paraId="738B4CFA" w14:textId="77777777" w:rsidR="00055FE2" w:rsidRPr="00B8382D" w:rsidRDefault="00FF3C13" w:rsidP="00B8382D">
      <w:pPr>
        <w:pStyle w:val="Paragraphe"/>
        <w:tabs>
          <w:tab w:val="clear" w:pos="360"/>
          <w:tab w:val="num" w:pos="851"/>
        </w:tabs>
        <w:spacing w:line="240" w:lineRule="auto"/>
        <w:rPr>
          <w:lang w:val="en-CA"/>
        </w:rPr>
      </w:pPr>
      <w:r>
        <w:rPr>
          <w:lang w:val="en-CA"/>
        </w:rPr>
        <w:t xml:space="preserve">In fact, in </w:t>
      </w:r>
      <w:r>
        <w:rPr>
          <w:b/>
          <w:bCs/>
          <w:i/>
          <w:iCs/>
          <w:lang w:val="en-CA"/>
        </w:rPr>
        <w:t xml:space="preserve">R. </w:t>
      </w:r>
      <w:r>
        <w:rPr>
          <w:b/>
          <w:bCs/>
          <w:lang w:val="en-CA"/>
        </w:rPr>
        <w:t xml:space="preserve">v. </w:t>
      </w:r>
      <w:r>
        <w:rPr>
          <w:b/>
          <w:bCs/>
          <w:i/>
          <w:iCs/>
          <w:lang w:val="en-CA"/>
        </w:rPr>
        <w:t>Stairs</w:t>
      </w:r>
      <w:r>
        <w:rPr>
          <w:lang w:val="en-CA"/>
        </w:rPr>
        <w:t xml:space="preserve">, </w:t>
      </w:r>
      <w:r w:rsidR="00A46044">
        <w:rPr>
          <w:lang w:val="en-CA"/>
        </w:rPr>
        <w:t xml:space="preserve">even </w:t>
      </w:r>
      <w:r>
        <w:rPr>
          <w:lang w:val="en-CA"/>
        </w:rPr>
        <w:t xml:space="preserve">the Supreme Court itself appeared to restrict the imminence requirement to unplanned security searches, absent </w:t>
      </w:r>
      <w:r w:rsidR="00A777BE">
        <w:rPr>
          <w:lang w:val="en-CA"/>
        </w:rPr>
        <w:t xml:space="preserve">grounds for </w:t>
      </w:r>
      <w:r>
        <w:rPr>
          <w:lang w:val="en-CA"/>
        </w:rPr>
        <w:t>detention, in a person’s residence where the expectation of privacy is very high.</w:t>
      </w:r>
      <w:r>
        <w:rPr>
          <w:rStyle w:val="Appelnotedebasdep"/>
          <w:lang w:val="en-CA"/>
        </w:rPr>
        <w:footnoteReference w:id="45"/>
      </w:r>
      <w:r w:rsidR="00A777BE">
        <w:rPr>
          <w:lang w:val="en-CA"/>
        </w:rPr>
        <w:t xml:space="preserve"> None of those variables are at play in the case at bar.</w:t>
      </w:r>
    </w:p>
    <w:p w14:paraId="42150D67" w14:textId="77777777" w:rsidR="00055FE2" w:rsidRPr="00F068BE" w:rsidRDefault="00055FE2" w:rsidP="00F068BE">
      <w:pPr>
        <w:pStyle w:val="Titre1"/>
        <w:spacing w:before="120" w:after="120"/>
        <w:jc w:val="both"/>
        <w:rPr>
          <w:sz w:val="24"/>
          <w:szCs w:val="24"/>
          <w:lang w:val="en-CA"/>
        </w:rPr>
      </w:pPr>
      <w:bookmarkStart w:id="21" w:name="_Hlk162252059"/>
      <w:r>
        <w:rPr>
          <w:sz w:val="24"/>
          <w:szCs w:val="24"/>
          <w:lang w:val="en-CA"/>
        </w:rPr>
        <w:t>3</w:t>
      </w:r>
      <w:r w:rsidRPr="00E12863">
        <w:rPr>
          <w:sz w:val="24"/>
          <w:szCs w:val="24"/>
          <w:lang w:val="en-CA"/>
        </w:rPr>
        <w:t xml:space="preserve">- </w:t>
      </w:r>
      <w:r>
        <w:rPr>
          <w:sz w:val="24"/>
          <w:szCs w:val="24"/>
          <w:u w:val="single"/>
          <w:lang w:val="en-CA"/>
        </w:rPr>
        <w:t xml:space="preserve">The relevance of an accused’s </w:t>
      </w:r>
      <w:r w:rsidR="00686B85">
        <w:rPr>
          <w:sz w:val="24"/>
          <w:szCs w:val="24"/>
          <w:u w:val="single"/>
          <w:lang w:val="en-CA"/>
        </w:rPr>
        <w:t xml:space="preserve">odd </w:t>
      </w:r>
      <w:r>
        <w:rPr>
          <w:sz w:val="24"/>
          <w:szCs w:val="24"/>
          <w:u w:val="single"/>
          <w:lang w:val="en-CA"/>
        </w:rPr>
        <w:t xml:space="preserve">behaviour, his reaction to seeing the police and </w:t>
      </w:r>
      <w:r w:rsidR="00911FD9">
        <w:rPr>
          <w:sz w:val="24"/>
          <w:szCs w:val="24"/>
          <w:u w:val="single"/>
          <w:lang w:val="en-CA"/>
        </w:rPr>
        <w:t xml:space="preserve">his </w:t>
      </w:r>
      <w:r>
        <w:rPr>
          <w:sz w:val="24"/>
          <w:szCs w:val="24"/>
          <w:u w:val="single"/>
          <w:lang w:val="en-CA"/>
        </w:rPr>
        <w:t>unnatural movements tending to hide an item being carried</w:t>
      </w:r>
      <w:bookmarkEnd w:id="21"/>
    </w:p>
    <w:p w14:paraId="3CB0088D" w14:textId="77777777" w:rsidR="002C605F" w:rsidRDefault="00A36327" w:rsidP="00FC6EA0">
      <w:pPr>
        <w:pStyle w:val="Paragraphe"/>
        <w:tabs>
          <w:tab w:val="clear" w:pos="360"/>
          <w:tab w:val="num" w:pos="851"/>
        </w:tabs>
        <w:spacing w:line="240" w:lineRule="auto"/>
        <w:rPr>
          <w:lang w:val="en-CA"/>
        </w:rPr>
      </w:pPr>
      <w:r>
        <w:rPr>
          <w:lang w:val="en-CA"/>
        </w:rPr>
        <w:t xml:space="preserve">In </w:t>
      </w:r>
      <w:r>
        <w:rPr>
          <w:b/>
          <w:bCs/>
          <w:i/>
          <w:iCs/>
          <w:lang w:val="en-CA"/>
        </w:rPr>
        <w:t xml:space="preserve">R. </w:t>
      </w:r>
      <w:r>
        <w:rPr>
          <w:b/>
          <w:bCs/>
          <w:lang w:val="en-CA"/>
        </w:rPr>
        <w:t xml:space="preserve">c. </w:t>
      </w:r>
      <w:r>
        <w:rPr>
          <w:b/>
          <w:bCs/>
          <w:i/>
          <w:iCs/>
          <w:lang w:val="en-CA"/>
        </w:rPr>
        <w:t>Fadel</w:t>
      </w:r>
      <w:r>
        <w:rPr>
          <w:lang w:val="en-CA"/>
        </w:rPr>
        <w:t xml:space="preserve">, the Quebec Court of Appeal </w:t>
      </w:r>
      <w:r w:rsidR="00911FD9">
        <w:rPr>
          <w:lang w:val="en-CA"/>
        </w:rPr>
        <w:t>stressed</w:t>
      </w:r>
      <w:r>
        <w:rPr>
          <w:lang w:val="en-CA"/>
        </w:rPr>
        <w:t xml:space="preserve"> that we should not underestimate the </w:t>
      </w:r>
      <w:r w:rsidR="00891A4F">
        <w:rPr>
          <w:lang w:val="en-CA"/>
        </w:rPr>
        <w:t>importance</w:t>
      </w:r>
      <w:r>
        <w:rPr>
          <w:lang w:val="en-CA"/>
        </w:rPr>
        <w:t xml:space="preserve"> of the perception of on-field police officers. A</w:t>
      </w:r>
      <w:r w:rsidR="00891A4F">
        <w:rPr>
          <w:lang w:val="en-CA"/>
        </w:rPr>
        <w:t>fter all, a</w:t>
      </w:r>
      <w:r>
        <w:rPr>
          <w:lang w:val="en-CA"/>
        </w:rPr>
        <w:t>mong their various functions, they are trained to detect crime. As such, when they perceive movements, peculiar body language and certain types of behaviour</w:t>
      </w:r>
      <w:r w:rsidR="00FC1CCE">
        <w:rPr>
          <w:lang w:val="en-CA"/>
        </w:rPr>
        <w:t xml:space="preserve"> that attract their attention</w:t>
      </w:r>
      <w:r>
        <w:rPr>
          <w:lang w:val="en-CA"/>
        </w:rPr>
        <w:t xml:space="preserve">, these elements rightfully form part of the </w:t>
      </w:r>
      <w:r w:rsidR="00FC1CCE">
        <w:rPr>
          <w:lang w:val="en-CA"/>
        </w:rPr>
        <w:t>constellation of facts</w:t>
      </w:r>
      <w:r>
        <w:rPr>
          <w:lang w:val="en-CA"/>
        </w:rPr>
        <w:t xml:space="preserve"> </w:t>
      </w:r>
      <w:r w:rsidR="00891A4F">
        <w:rPr>
          <w:lang w:val="en-CA"/>
        </w:rPr>
        <w:t>that</w:t>
      </w:r>
      <w:r>
        <w:rPr>
          <w:lang w:val="en-CA"/>
        </w:rPr>
        <w:t xml:space="preserve"> the Court must consider in determining whether the reasonable suspicion standard has been met.</w:t>
      </w:r>
      <w:r>
        <w:rPr>
          <w:rStyle w:val="Appelnotedebasdep"/>
          <w:lang w:val="en-CA"/>
        </w:rPr>
        <w:footnoteReference w:id="46"/>
      </w:r>
      <w:r>
        <w:rPr>
          <w:lang w:val="en-CA"/>
        </w:rPr>
        <w:t xml:space="preserve"> </w:t>
      </w:r>
    </w:p>
    <w:p w14:paraId="4844E4C9" w14:textId="77777777" w:rsidR="00A36327" w:rsidRDefault="00FC1CCE" w:rsidP="00FC6EA0">
      <w:pPr>
        <w:pStyle w:val="Paragraphe"/>
        <w:tabs>
          <w:tab w:val="clear" w:pos="360"/>
          <w:tab w:val="num" w:pos="851"/>
        </w:tabs>
        <w:spacing w:line="240" w:lineRule="auto"/>
        <w:rPr>
          <w:lang w:val="en-CA"/>
        </w:rPr>
      </w:pPr>
      <w:r>
        <w:rPr>
          <w:lang w:val="en-CA"/>
        </w:rPr>
        <w:t>These behaviours may include signs of acute nervousness</w:t>
      </w:r>
      <w:r w:rsidR="00891A4F">
        <w:rPr>
          <w:rStyle w:val="Appelnotedebasdep"/>
          <w:lang w:val="en-CA"/>
        </w:rPr>
        <w:footnoteReference w:id="47"/>
      </w:r>
      <w:r w:rsidR="00D412D1">
        <w:rPr>
          <w:lang w:val="en-CA"/>
        </w:rPr>
        <w:t>, surprise or shock upon seeing the police</w:t>
      </w:r>
      <w:r w:rsidR="00D412D1">
        <w:rPr>
          <w:rStyle w:val="Appelnotedebasdep"/>
          <w:lang w:val="en-CA"/>
        </w:rPr>
        <w:footnoteReference w:id="48"/>
      </w:r>
      <w:r>
        <w:rPr>
          <w:lang w:val="en-CA"/>
        </w:rPr>
        <w:t xml:space="preserve"> or immediately changing one’s direction </w:t>
      </w:r>
      <w:r w:rsidR="00D412D1">
        <w:rPr>
          <w:lang w:val="en-CA"/>
        </w:rPr>
        <w:t>after seeing them</w:t>
      </w:r>
      <w:r>
        <w:rPr>
          <w:lang w:val="en-CA"/>
        </w:rPr>
        <w:t>.</w:t>
      </w:r>
      <w:r>
        <w:rPr>
          <w:rStyle w:val="Appelnotedebasdep"/>
          <w:lang w:val="en-CA"/>
        </w:rPr>
        <w:footnoteReference w:id="49"/>
      </w:r>
    </w:p>
    <w:p w14:paraId="1609CB83" w14:textId="77777777" w:rsidR="00A515BD" w:rsidRDefault="00A515BD" w:rsidP="00FC6EA0">
      <w:pPr>
        <w:pStyle w:val="Paragraphe"/>
        <w:tabs>
          <w:tab w:val="clear" w:pos="360"/>
          <w:tab w:val="num" w:pos="851"/>
        </w:tabs>
        <w:spacing w:line="240" w:lineRule="auto"/>
        <w:rPr>
          <w:lang w:val="en-CA"/>
        </w:rPr>
      </w:pPr>
      <w:bookmarkStart w:id="25" w:name="_Hlk162363129"/>
      <w:r>
        <w:rPr>
          <w:lang w:val="en-CA"/>
        </w:rPr>
        <w:t>The act of</w:t>
      </w:r>
      <w:r w:rsidR="00836563">
        <w:rPr>
          <w:lang w:val="en-CA"/>
        </w:rPr>
        <w:t xml:space="preserve"> accelerating</w:t>
      </w:r>
      <w:r w:rsidR="00836563">
        <w:rPr>
          <w:rStyle w:val="Appelnotedebasdep"/>
          <w:lang w:val="en-CA"/>
        </w:rPr>
        <w:footnoteReference w:id="50"/>
      </w:r>
      <w:r w:rsidR="00836563">
        <w:rPr>
          <w:lang w:val="en-CA"/>
        </w:rPr>
        <w:t xml:space="preserve"> or</w:t>
      </w:r>
      <w:r>
        <w:rPr>
          <w:lang w:val="en-CA"/>
        </w:rPr>
        <w:t xml:space="preserve"> fleeing from police</w:t>
      </w:r>
      <w:r w:rsidR="007E0850" w:rsidRPr="007E0850">
        <w:rPr>
          <w:lang w:val="en-CA"/>
        </w:rPr>
        <w:t xml:space="preserve"> </w:t>
      </w:r>
      <w:r w:rsidR="007E0850">
        <w:rPr>
          <w:lang w:val="en-CA"/>
        </w:rPr>
        <w:t>officers</w:t>
      </w:r>
      <w:r w:rsidR="002E063A">
        <w:rPr>
          <w:rStyle w:val="Appelnotedebasdep"/>
          <w:lang w:val="en-CA"/>
        </w:rPr>
        <w:footnoteReference w:id="51"/>
      </w:r>
      <w:r>
        <w:rPr>
          <w:lang w:val="en-CA"/>
        </w:rPr>
        <w:t xml:space="preserve"> generally </w:t>
      </w:r>
      <w:r w:rsidR="00897930">
        <w:rPr>
          <w:lang w:val="en-CA"/>
        </w:rPr>
        <w:t>tend</w:t>
      </w:r>
      <w:r w:rsidR="00F137E2">
        <w:rPr>
          <w:lang w:val="en-CA"/>
        </w:rPr>
        <w:t>s</w:t>
      </w:r>
      <w:r>
        <w:rPr>
          <w:lang w:val="en-CA"/>
        </w:rPr>
        <w:t xml:space="preserve"> to suggest that the suspect is involved in criminal activity.</w:t>
      </w:r>
      <w:r w:rsidR="00836563">
        <w:rPr>
          <w:lang w:val="en-CA"/>
        </w:rPr>
        <w:t xml:space="preserve"> Any evasive behaviour will be relevant.</w:t>
      </w:r>
      <w:r w:rsidR="00836563">
        <w:rPr>
          <w:rStyle w:val="Appelnotedebasdep"/>
          <w:lang w:val="en-CA"/>
        </w:rPr>
        <w:footnoteReference w:id="52"/>
      </w:r>
    </w:p>
    <w:p w14:paraId="10D127ED" w14:textId="77777777" w:rsidR="00A36327" w:rsidRPr="00F068BE" w:rsidRDefault="00DF7AE6" w:rsidP="00F068BE">
      <w:pPr>
        <w:pStyle w:val="Paragraphe"/>
        <w:tabs>
          <w:tab w:val="clear" w:pos="360"/>
          <w:tab w:val="num" w:pos="851"/>
        </w:tabs>
        <w:spacing w:line="240" w:lineRule="auto"/>
        <w:rPr>
          <w:lang w:val="en-CA"/>
        </w:rPr>
      </w:pPr>
      <w:bookmarkStart w:id="26" w:name="_Hlk162363915"/>
      <w:bookmarkEnd w:id="25"/>
      <w:r>
        <w:rPr>
          <w:lang w:val="en-CA"/>
        </w:rPr>
        <w:lastRenderedPageBreak/>
        <w:t xml:space="preserve">To be sure, merely walking away from the police does not, by itself, create </w:t>
      </w:r>
      <w:r w:rsidR="00911FD9">
        <w:rPr>
          <w:lang w:val="en-CA"/>
        </w:rPr>
        <w:t xml:space="preserve">a </w:t>
      </w:r>
      <w:r>
        <w:rPr>
          <w:lang w:val="en-CA"/>
        </w:rPr>
        <w:t>reasonable suspicion. It is something every person is perfectly entitled to do. However, in co</w:t>
      </w:r>
      <w:r w:rsidR="00911FD9">
        <w:rPr>
          <w:lang w:val="en-CA"/>
        </w:rPr>
        <w:t xml:space="preserve">njunction </w:t>
      </w:r>
      <w:r>
        <w:rPr>
          <w:lang w:val="en-CA"/>
        </w:rPr>
        <w:t>with other suspicious behaviour, it may elevate mere suspicion to reasonable suspicion.</w:t>
      </w:r>
      <w:r>
        <w:rPr>
          <w:rStyle w:val="Appelnotedebasdep"/>
          <w:lang w:val="en-CA"/>
        </w:rPr>
        <w:footnoteReference w:id="53"/>
      </w:r>
      <w:bookmarkEnd w:id="26"/>
    </w:p>
    <w:p w14:paraId="42F55F94" w14:textId="77777777" w:rsidR="00A36327" w:rsidRDefault="00F12052" w:rsidP="00FC6EA0">
      <w:pPr>
        <w:pStyle w:val="Paragraphe"/>
        <w:tabs>
          <w:tab w:val="clear" w:pos="360"/>
          <w:tab w:val="num" w:pos="851"/>
        </w:tabs>
        <w:spacing w:line="240" w:lineRule="auto"/>
        <w:rPr>
          <w:lang w:val="en-CA"/>
        </w:rPr>
      </w:pPr>
      <w:bookmarkStart w:id="28" w:name="_Hlk162334498"/>
      <w:r>
        <w:rPr>
          <w:lang w:val="en-CA"/>
        </w:rPr>
        <w:t>When it comes to handgun possession offences, the caselaw places great weight on the fact that the observed suspect makes unnatural movements when noticing the police, including:</w:t>
      </w:r>
    </w:p>
    <w:p w14:paraId="5A60783F" w14:textId="77777777" w:rsidR="00F12052" w:rsidRDefault="00F12052" w:rsidP="00F12052">
      <w:pPr>
        <w:pStyle w:val="Paragraphe"/>
        <w:numPr>
          <w:ilvl w:val="0"/>
          <w:numId w:val="23"/>
        </w:numPr>
        <w:spacing w:line="240" w:lineRule="auto"/>
        <w:rPr>
          <w:lang w:val="en-CA"/>
        </w:rPr>
      </w:pPr>
      <w:r>
        <w:rPr>
          <w:lang w:val="en-CA"/>
        </w:rPr>
        <w:t xml:space="preserve">Clutching an object </w:t>
      </w:r>
      <w:r w:rsidR="00F234F7">
        <w:rPr>
          <w:lang w:val="en-CA"/>
        </w:rPr>
        <w:t xml:space="preserve">or a bag </w:t>
      </w:r>
      <w:r>
        <w:rPr>
          <w:lang w:val="en-CA"/>
        </w:rPr>
        <w:t>against his body;</w:t>
      </w:r>
      <w:r w:rsidR="00F234F7">
        <w:rPr>
          <w:rStyle w:val="Appelnotedebasdep"/>
          <w:lang w:val="en-CA"/>
        </w:rPr>
        <w:footnoteReference w:id="54"/>
      </w:r>
    </w:p>
    <w:p w14:paraId="41F1EDAA" w14:textId="77777777" w:rsidR="00F12052" w:rsidRDefault="00F12052" w:rsidP="00F12052">
      <w:pPr>
        <w:pStyle w:val="Paragraphe"/>
        <w:numPr>
          <w:ilvl w:val="0"/>
          <w:numId w:val="23"/>
        </w:numPr>
        <w:spacing w:line="240" w:lineRule="auto"/>
        <w:rPr>
          <w:lang w:val="en-CA"/>
        </w:rPr>
      </w:pPr>
      <w:r>
        <w:rPr>
          <w:lang w:val="en-CA"/>
        </w:rPr>
        <w:t>Pinning his arm or elbow against his torso;</w:t>
      </w:r>
      <w:r w:rsidR="00461537">
        <w:rPr>
          <w:rStyle w:val="Appelnotedebasdep"/>
          <w:lang w:val="en-CA"/>
        </w:rPr>
        <w:footnoteReference w:id="55"/>
      </w:r>
    </w:p>
    <w:p w14:paraId="7937785B" w14:textId="77777777" w:rsidR="00F12052" w:rsidRDefault="00F12052" w:rsidP="00F12052">
      <w:pPr>
        <w:pStyle w:val="Paragraphe"/>
        <w:numPr>
          <w:ilvl w:val="0"/>
          <w:numId w:val="23"/>
        </w:numPr>
        <w:spacing w:line="240" w:lineRule="auto"/>
        <w:rPr>
          <w:lang w:val="en-CA"/>
        </w:rPr>
      </w:pPr>
      <w:r>
        <w:rPr>
          <w:lang w:val="en-CA"/>
        </w:rPr>
        <w:t>Arms not swinging naturally – or not swinging at all – while walking;</w:t>
      </w:r>
      <w:r w:rsidR="002838AC">
        <w:rPr>
          <w:rStyle w:val="Appelnotedebasdep"/>
          <w:lang w:val="en-CA"/>
        </w:rPr>
        <w:footnoteReference w:id="56"/>
      </w:r>
    </w:p>
    <w:p w14:paraId="601146F3" w14:textId="77777777" w:rsidR="00F12052" w:rsidRDefault="00F12052" w:rsidP="00F12052">
      <w:pPr>
        <w:pStyle w:val="Paragraphe"/>
        <w:numPr>
          <w:ilvl w:val="0"/>
          <w:numId w:val="23"/>
        </w:numPr>
        <w:spacing w:line="240" w:lineRule="auto"/>
        <w:rPr>
          <w:lang w:val="en-CA"/>
        </w:rPr>
      </w:pPr>
      <w:r>
        <w:rPr>
          <w:lang w:val="en-CA"/>
        </w:rPr>
        <w:t xml:space="preserve">“Blading”, </w:t>
      </w:r>
      <w:r>
        <w:rPr>
          <w:i/>
          <w:iCs/>
          <w:lang w:val="en-CA"/>
        </w:rPr>
        <w:t>i.e.</w:t>
      </w:r>
      <w:r>
        <w:rPr>
          <w:lang w:val="en-CA"/>
        </w:rPr>
        <w:t xml:space="preserve"> carefully and subtly repositioning his body so as to remove an object from the police officer’s line of sight;</w:t>
      </w:r>
      <w:r w:rsidR="00A953DD">
        <w:rPr>
          <w:rStyle w:val="Appelnotedebasdep"/>
          <w:lang w:val="en-CA"/>
        </w:rPr>
        <w:footnoteReference w:id="57"/>
      </w:r>
    </w:p>
    <w:p w14:paraId="11DBB6EA" w14:textId="77777777" w:rsidR="00F12052" w:rsidRDefault="00F12052" w:rsidP="00F12052">
      <w:pPr>
        <w:pStyle w:val="Paragraphe"/>
        <w:numPr>
          <w:ilvl w:val="0"/>
          <w:numId w:val="23"/>
        </w:numPr>
        <w:spacing w:line="240" w:lineRule="auto"/>
        <w:rPr>
          <w:lang w:val="en-CA"/>
        </w:rPr>
      </w:pPr>
      <w:r>
        <w:rPr>
          <w:lang w:val="en-CA"/>
        </w:rPr>
        <w:t xml:space="preserve">“Self-patting”, </w:t>
      </w:r>
      <w:r>
        <w:rPr>
          <w:i/>
          <w:iCs/>
          <w:lang w:val="en-CA"/>
        </w:rPr>
        <w:t>i.e.</w:t>
      </w:r>
      <w:r>
        <w:rPr>
          <w:lang w:val="en-CA"/>
        </w:rPr>
        <w:t xml:space="preserve"> subtly, sometimes subconsciously, touching the area on their body where a concealed object is located as a way to verify that it is still there</w:t>
      </w:r>
      <w:r w:rsidR="000B7CAF">
        <w:rPr>
          <w:lang w:val="en-CA"/>
        </w:rPr>
        <w:t>;</w:t>
      </w:r>
      <w:r w:rsidR="00E439C3">
        <w:rPr>
          <w:rStyle w:val="Appelnotedebasdep"/>
          <w:lang w:val="en-CA"/>
        </w:rPr>
        <w:footnoteReference w:id="58"/>
      </w:r>
    </w:p>
    <w:p w14:paraId="3504F24B" w14:textId="77777777" w:rsidR="000B7CAF" w:rsidRDefault="000B7CAF" w:rsidP="00F12052">
      <w:pPr>
        <w:pStyle w:val="Paragraphe"/>
        <w:numPr>
          <w:ilvl w:val="0"/>
          <w:numId w:val="23"/>
        </w:numPr>
        <w:spacing w:line="240" w:lineRule="auto"/>
        <w:rPr>
          <w:lang w:val="en-CA"/>
        </w:rPr>
      </w:pPr>
      <w:bookmarkStart w:id="34" w:name="_Hlk162342411"/>
      <w:r>
        <w:rPr>
          <w:lang w:val="en-CA"/>
        </w:rPr>
        <w:t>Pre-emptively having a piece of identification out and ready before the police officers even ask for it</w:t>
      </w:r>
      <w:r w:rsidR="00D412D1">
        <w:rPr>
          <w:lang w:val="en-CA"/>
        </w:rPr>
        <w:t>;</w:t>
      </w:r>
      <w:r w:rsidR="00457A37">
        <w:rPr>
          <w:rStyle w:val="Appelnotedebasdep"/>
          <w:lang w:val="en-CA"/>
        </w:rPr>
        <w:footnoteReference w:id="59"/>
      </w:r>
    </w:p>
    <w:p w14:paraId="19D0056F" w14:textId="77777777" w:rsidR="00D412D1" w:rsidRDefault="00D412D1" w:rsidP="00F12052">
      <w:pPr>
        <w:pStyle w:val="Paragraphe"/>
        <w:numPr>
          <w:ilvl w:val="0"/>
          <w:numId w:val="23"/>
        </w:numPr>
        <w:spacing w:line="240" w:lineRule="auto"/>
        <w:rPr>
          <w:lang w:val="en-CA"/>
        </w:rPr>
      </w:pPr>
      <w:r>
        <w:rPr>
          <w:lang w:val="en-CA"/>
        </w:rPr>
        <w:lastRenderedPageBreak/>
        <w:t>More overt movements consistent with attempting to conceal something.</w:t>
      </w:r>
      <w:r>
        <w:rPr>
          <w:rStyle w:val="Appelnotedebasdep"/>
          <w:lang w:val="en-CA"/>
        </w:rPr>
        <w:footnoteReference w:id="60"/>
      </w:r>
    </w:p>
    <w:bookmarkEnd w:id="28"/>
    <w:bookmarkEnd w:id="34"/>
    <w:p w14:paraId="5C6D3329" w14:textId="77777777" w:rsidR="00F12052" w:rsidRDefault="0048636D" w:rsidP="00FC6EA0">
      <w:pPr>
        <w:pStyle w:val="Paragraphe"/>
        <w:tabs>
          <w:tab w:val="clear" w:pos="360"/>
          <w:tab w:val="num" w:pos="851"/>
        </w:tabs>
        <w:spacing w:line="240" w:lineRule="auto"/>
        <w:rPr>
          <w:lang w:val="en-CA"/>
        </w:rPr>
      </w:pPr>
      <w:r>
        <w:rPr>
          <w:lang w:val="en-CA"/>
        </w:rPr>
        <w:t>Obviously, each case depends on a unique combination of circumstances faced by the police officer, as well as his specific background, training and experience. Different cases are rarely “on all fours” with one another. Since no two cases are the same, it will therefore be impossible to find comparable caselaw that deals with identical fact patterns. Nevertheless, I find the following decisions to be particularly relevant to our assessment.</w:t>
      </w:r>
    </w:p>
    <w:p w14:paraId="6450A2CE" w14:textId="77777777" w:rsidR="002C605F" w:rsidRPr="00F068BE" w:rsidRDefault="002C605F" w:rsidP="00F068BE">
      <w:pPr>
        <w:pStyle w:val="Paragraphe"/>
        <w:tabs>
          <w:tab w:val="clear" w:pos="360"/>
          <w:tab w:val="num" w:pos="851"/>
        </w:tabs>
        <w:spacing w:line="240" w:lineRule="auto"/>
        <w:rPr>
          <w:lang w:val="en-CA"/>
        </w:rPr>
      </w:pPr>
      <w:bookmarkStart w:id="35" w:name="_Hlk162302166"/>
      <w:r w:rsidRPr="00F068BE">
        <w:rPr>
          <w:lang w:val="en-CA"/>
        </w:rPr>
        <w:t xml:space="preserve">In </w:t>
      </w:r>
      <w:r w:rsidRPr="00F068BE">
        <w:rPr>
          <w:b/>
          <w:bCs/>
          <w:i/>
          <w:iCs/>
          <w:lang w:val="en-CA"/>
        </w:rPr>
        <w:t xml:space="preserve">R. </w:t>
      </w:r>
      <w:r w:rsidRPr="00F068BE">
        <w:rPr>
          <w:b/>
          <w:bCs/>
          <w:lang w:val="en-CA"/>
        </w:rPr>
        <w:t xml:space="preserve">v. </w:t>
      </w:r>
      <w:r w:rsidRPr="00F068BE">
        <w:rPr>
          <w:b/>
          <w:bCs/>
          <w:i/>
          <w:iCs/>
          <w:lang w:val="en-CA"/>
        </w:rPr>
        <w:t>McKenzie</w:t>
      </w:r>
      <w:r w:rsidRPr="00F068BE">
        <w:rPr>
          <w:lang w:val="en-CA"/>
        </w:rPr>
        <w:t xml:space="preserve">, the Manitoba Court of Appeal held that, among other objective facts within the constellation, the police officer was entitled to rely on the following indicators in coming to his </w:t>
      </w:r>
      <w:r w:rsidRPr="00F068BE">
        <w:rPr>
          <w:i/>
          <w:iCs/>
          <w:lang w:val="en-CA"/>
        </w:rPr>
        <w:t>very quick</w:t>
      </w:r>
      <w:r w:rsidRPr="00F068BE">
        <w:rPr>
          <w:lang w:val="en-CA"/>
        </w:rPr>
        <w:t xml:space="preserve"> conclusion that he had reasonable grounds to suspect that the accused was carrying a concealed firearm in his fanny pack:</w:t>
      </w:r>
    </w:p>
    <w:p w14:paraId="04829CCB" w14:textId="77777777" w:rsidR="002C605F" w:rsidRDefault="002C605F" w:rsidP="002C605F">
      <w:pPr>
        <w:pStyle w:val="Paragraphe"/>
        <w:numPr>
          <w:ilvl w:val="0"/>
          <w:numId w:val="22"/>
        </w:numPr>
        <w:spacing w:line="240" w:lineRule="auto"/>
        <w:ind w:left="1276"/>
        <w:rPr>
          <w:lang w:val="en-CA"/>
        </w:rPr>
      </w:pPr>
      <w:r>
        <w:rPr>
          <w:lang w:val="en-CA"/>
        </w:rPr>
        <w:t>While he was jogging,</w:t>
      </w:r>
      <w:r w:rsidR="00E91468">
        <w:rPr>
          <w:lang w:val="en-CA"/>
        </w:rPr>
        <w:t xml:space="preserve"> for no apparent reason,</w:t>
      </w:r>
      <w:r>
        <w:rPr>
          <w:lang w:val="en-CA"/>
        </w:rPr>
        <w:t xml:space="preserve"> the accused was seen clenching the left side of his body with his elbow. It was an unnatural movement that suggested he was trying to conceal something.</w:t>
      </w:r>
    </w:p>
    <w:p w14:paraId="21C5D710" w14:textId="77777777" w:rsidR="002C605F" w:rsidRDefault="002C605F" w:rsidP="002C605F">
      <w:pPr>
        <w:pStyle w:val="Paragraphe"/>
        <w:numPr>
          <w:ilvl w:val="0"/>
          <w:numId w:val="22"/>
        </w:numPr>
        <w:spacing w:line="240" w:lineRule="auto"/>
        <w:ind w:left="1276"/>
        <w:rPr>
          <w:lang w:val="en-CA"/>
        </w:rPr>
      </w:pPr>
      <w:r>
        <w:rPr>
          <w:lang w:val="en-CA"/>
        </w:rPr>
        <w:t>When he noticed the police’s presence, the accused appeared startled or frightened.</w:t>
      </w:r>
      <w:r w:rsidR="00E91468">
        <w:rPr>
          <w:lang w:val="en-CA"/>
        </w:rPr>
        <w:t xml:space="preserve"> He then increased his cadence from a jog to a full</w:t>
      </w:r>
      <w:r w:rsidR="00F137E2">
        <w:rPr>
          <w:lang w:val="en-CA"/>
        </w:rPr>
        <w:t>-</w:t>
      </w:r>
      <w:r w:rsidR="00E91468">
        <w:rPr>
          <w:lang w:val="en-CA"/>
        </w:rPr>
        <w:t>out sprint.</w:t>
      </w:r>
      <w:r w:rsidR="00E91468">
        <w:rPr>
          <w:rStyle w:val="Appelnotedebasdep"/>
          <w:lang w:val="en-CA"/>
        </w:rPr>
        <w:footnoteReference w:id="61"/>
      </w:r>
    </w:p>
    <w:p w14:paraId="3DD846F2" w14:textId="77777777" w:rsidR="002C605F" w:rsidRDefault="00E91468" w:rsidP="00F068BE">
      <w:pPr>
        <w:pStyle w:val="Paragraphe"/>
        <w:tabs>
          <w:tab w:val="clear" w:pos="360"/>
          <w:tab w:val="num" w:pos="851"/>
        </w:tabs>
        <w:spacing w:line="240" w:lineRule="auto"/>
        <w:rPr>
          <w:lang w:val="en-CA"/>
        </w:rPr>
      </w:pPr>
      <w:r>
        <w:rPr>
          <w:lang w:val="en-CA"/>
        </w:rPr>
        <w:t>The Court considered that much like the case at bar, the officer had extensive training and experience with weapons offences, including the manner in which people carry weapons. He believed the accused’s mannerism was an attempt to conceal a weapon between his left arm and his body.</w:t>
      </w:r>
      <w:r>
        <w:rPr>
          <w:rStyle w:val="Appelnotedebasdep"/>
          <w:lang w:val="en-CA"/>
        </w:rPr>
        <w:footnoteReference w:id="62"/>
      </w:r>
      <w:r>
        <w:rPr>
          <w:lang w:val="en-CA"/>
        </w:rPr>
        <w:t xml:space="preserve"> At that point, he immediately decided to detain the accused for an investigative purpose related to a weapons offence. The Court held that it was in fact a proper application of </w:t>
      </w:r>
      <w:r>
        <w:rPr>
          <w:b/>
          <w:bCs/>
          <w:i/>
          <w:iCs/>
          <w:lang w:val="en-CA"/>
        </w:rPr>
        <w:t>Mann</w:t>
      </w:r>
      <w:r w:rsidR="00FF3D7A">
        <w:rPr>
          <w:lang w:val="en-CA"/>
        </w:rPr>
        <w:t>,</w:t>
      </w:r>
      <w:r>
        <w:rPr>
          <w:rStyle w:val="Appelnotedebasdep"/>
          <w:lang w:val="en-CA"/>
        </w:rPr>
        <w:footnoteReference w:id="63"/>
      </w:r>
      <w:r w:rsidR="00FF3D7A">
        <w:rPr>
          <w:lang w:val="en-CA"/>
        </w:rPr>
        <w:t xml:space="preserve"> adding that weapons offences are a serious threat to peace, therefore there was significant importance in the officer taking immediate action in terms of the public good, as well as a necessity for him to interfere with the accused’s liberty.</w:t>
      </w:r>
      <w:r w:rsidR="00FF3D7A">
        <w:rPr>
          <w:rStyle w:val="Appelnotedebasdep"/>
          <w:lang w:val="en-CA"/>
        </w:rPr>
        <w:footnoteReference w:id="64"/>
      </w:r>
      <w:bookmarkEnd w:id="35"/>
    </w:p>
    <w:p w14:paraId="2D268C5B" w14:textId="77777777" w:rsidR="00B1257C" w:rsidRDefault="00B1257C" w:rsidP="00F068BE">
      <w:pPr>
        <w:pStyle w:val="Paragraphe"/>
        <w:tabs>
          <w:tab w:val="clear" w:pos="360"/>
          <w:tab w:val="num" w:pos="851"/>
        </w:tabs>
        <w:spacing w:line="240" w:lineRule="auto"/>
        <w:rPr>
          <w:lang w:val="en-CA"/>
        </w:rPr>
      </w:pPr>
      <w:bookmarkStart w:id="36" w:name="_Hlk162518820"/>
      <w:r>
        <w:rPr>
          <w:lang w:val="en-CA"/>
        </w:rPr>
        <w:t xml:space="preserve">In </w:t>
      </w:r>
      <w:r>
        <w:rPr>
          <w:b/>
          <w:bCs/>
          <w:i/>
          <w:iCs/>
          <w:lang w:val="en-CA"/>
        </w:rPr>
        <w:t xml:space="preserve">R. </w:t>
      </w:r>
      <w:r>
        <w:rPr>
          <w:b/>
          <w:bCs/>
          <w:lang w:val="en-CA"/>
        </w:rPr>
        <w:t xml:space="preserve">v. </w:t>
      </w:r>
      <w:r>
        <w:rPr>
          <w:b/>
          <w:bCs/>
          <w:i/>
          <w:iCs/>
          <w:lang w:val="en-CA"/>
        </w:rPr>
        <w:t>Peterkin</w:t>
      </w:r>
      <w:r>
        <w:rPr>
          <w:lang w:val="en-CA"/>
        </w:rPr>
        <w:t>,</w:t>
      </w:r>
      <w:r w:rsidR="000F5868">
        <w:rPr>
          <w:rStyle w:val="Appelnotedebasdep"/>
          <w:lang w:val="en-CA"/>
        </w:rPr>
        <w:footnoteReference w:id="65"/>
      </w:r>
      <w:r>
        <w:rPr>
          <w:lang w:val="en-CA"/>
        </w:rPr>
        <w:t xml:space="preserve"> the police attended a townhouse in a high-crime area after a truncated 9</w:t>
      </w:r>
      <w:r w:rsidR="00547DB5">
        <w:rPr>
          <w:lang w:val="en-CA"/>
        </w:rPr>
        <w:t>-</w:t>
      </w:r>
      <w:r>
        <w:rPr>
          <w:lang w:val="en-CA"/>
        </w:rPr>
        <w:t>1</w:t>
      </w:r>
      <w:r w:rsidR="00547DB5">
        <w:rPr>
          <w:lang w:val="en-CA"/>
        </w:rPr>
        <w:t>-</w:t>
      </w:r>
      <w:r>
        <w:rPr>
          <w:lang w:val="en-CA"/>
        </w:rPr>
        <w:t>1 call was made. When they arrived</w:t>
      </w:r>
      <w:r w:rsidR="003546E5">
        <w:rPr>
          <w:lang w:val="en-CA"/>
        </w:rPr>
        <w:t xml:space="preserve"> at 3:00 am,</w:t>
      </w:r>
      <w:r>
        <w:rPr>
          <w:lang w:val="en-CA"/>
        </w:rPr>
        <w:t xml:space="preserve"> there were no signs of forced entry or violence, </w:t>
      </w:r>
      <w:r w:rsidR="003546E5">
        <w:rPr>
          <w:lang w:val="en-CA"/>
        </w:rPr>
        <w:t>al</w:t>
      </w:r>
      <w:r>
        <w:rPr>
          <w:lang w:val="en-CA"/>
        </w:rPr>
        <w:t xml:space="preserve">though no one was answering the door. While they waited for the landlord to come open the unit, they saw a </w:t>
      </w:r>
      <w:r w:rsidR="000F5868">
        <w:rPr>
          <w:lang w:val="en-CA"/>
        </w:rPr>
        <w:t xml:space="preserve">young </w:t>
      </w:r>
      <w:r>
        <w:rPr>
          <w:lang w:val="en-CA"/>
        </w:rPr>
        <w:t>man walking on a nearby sidewalk. As they watched him</w:t>
      </w:r>
      <w:r w:rsidR="003546E5">
        <w:rPr>
          <w:lang w:val="en-CA"/>
        </w:rPr>
        <w:t xml:space="preserve">, the man turned from the sidewalk, walked across the </w:t>
      </w:r>
      <w:r w:rsidR="003546E5">
        <w:rPr>
          <w:lang w:val="en-CA"/>
        </w:rPr>
        <w:lastRenderedPageBreak/>
        <w:t>housing complex’s patio and entered the fenced backyard through the open gate. Moments later, he used his cell phone.</w:t>
      </w:r>
    </w:p>
    <w:p w14:paraId="3AE33BC0" w14:textId="77777777" w:rsidR="003546E5" w:rsidRDefault="003546E5" w:rsidP="00F068BE">
      <w:pPr>
        <w:pStyle w:val="Paragraphe"/>
        <w:tabs>
          <w:tab w:val="clear" w:pos="360"/>
          <w:tab w:val="num" w:pos="851"/>
        </w:tabs>
        <w:spacing w:line="240" w:lineRule="auto"/>
        <w:rPr>
          <w:lang w:val="en-CA"/>
        </w:rPr>
      </w:pPr>
      <w:r>
        <w:rPr>
          <w:lang w:val="en-CA"/>
        </w:rPr>
        <w:t xml:space="preserve">The officers approached him to see what he was doing there. He told them he was waiting for a ride and pointed to a vehicle driving towards them. The officers considered that his answers made no sense. They placed him under investigative detention in connection with the provincial </w:t>
      </w:r>
      <w:r>
        <w:rPr>
          <w:i/>
          <w:iCs/>
          <w:lang w:val="en-CA"/>
        </w:rPr>
        <w:t>Trespass to Property Act</w:t>
      </w:r>
      <w:r>
        <w:rPr>
          <w:lang w:val="en-CA"/>
        </w:rPr>
        <w:t xml:space="preserve"> and Peterkin identified himself with his driver’s licence. As they awaited a confirmation of identity over the airwaves, the officers noticed the accused tap his right hip at the waist level twice. For the officers, these movements were characteristic of a person who is armed. The suspect then began “blading” away from them, </w:t>
      </w:r>
      <w:r>
        <w:rPr>
          <w:i/>
          <w:iCs/>
          <w:lang w:val="en-CA"/>
        </w:rPr>
        <w:t>i.e.</w:t>
      </w:r>
      <w:r>
        <w:rPr>
          <w:lang w:val="en-CA"/>
        </w:rPr>
        <w:t xml:space="preserve"> turning his body,</w:t>
      </w:r>
      <w:r w:rsidR="007B2463">
        <w:rPr>
          <w:lang w:val="en-CA"/>
        </w:rPr>
        <w:t xml:space="preserve"> he avoided eye contact</w:t>
      </w:r>
      <w:r>
        <w:rPr>
          <w:lang w:val="en-CA"/>
        </w:rPr>
        <w:t xml:space="preserve"> and he appeared increasingly nervous.</w:t>
      </w:r>
    </w:p>
    <w:p w14:paraId="3A781389" w14:textId="77777777" w:rsidR="003546E5" w:rsidRDefault="003546E5" w:rsidP="00F068BE">
      <w:pPr>
        <w:pStyle w:val="Paragraphe"/>
        <w:tabs>
          <w:tab w:val="clear" w:pos="360"/>
          <w:tab w:val="num" w:pos="851"/>
        </w:tabs>
        <w:spacing w:line="240" w:lineRule="auto"/>
        <w:rPr>
          <w:lang w:val="en-CA"/>
        </w:rPr>
      </w:pPr>
      <w:r>
        <w:rPr>
          <w:lang w:val="en-CA"/>
        </w:rPr>
        <w:t>Once his identity was confirmed</w:t>
      </w:r>
      <w:r w:rsidR="00F137E2">
        <w:rPr>
          <w:lang w:val="en-CA"/>
        </w:rPr>
        <w:t>,</w:t>
      </w:r>
      <w:r>
        <w:rPr>
          <w:lang w:val="en-CA"/>
        </w:rPr>
        <w:t xml:space="preserve"> the officers gave him back his driver’s licence, </w:t>
      </w:r>
      <w:r w:rsidR="00FC4A69">
        <w:rPr>
          <w:lang w:val="en-CA"/>
        </w:rPr>
        <w:t>on</w:t>
      </w:r>
      <w:r>
        <w:rPr>
          <w:lang w:val="en-CA"/>
        </w:rPr>
        <w:t xml:space="preserve"> his right side. Rather than reach out and take it with his right hand, the accused kept his elbow tucked tightly </w:t>
      </w:r>
      <w:r w:rsidR="00911FD9">
        <w:rPr>
          <w:lang w:val="en-CA"/>
        </w:rPr>
        <w:t>against</w:t>
      </w:r>
      <w:r>
        <w:rPr>
          <w:lang w:val="en-CA"/>
        </w:rPr>
        <w:t xml:space="preserve"> his body and hip.</w:t>
      </w:r>
      <w:r w:rsidR="007B2463">
        <w:rPr>
          <w:lang w:val="en-CA"/>
        </w:rPr>
        <w:t xml:space="preserve"> He had to awkwardly turn his whole body and extend only his forearm to take his licence back.</w:t>
      </w:r>
    </w:p>
    <w:p w14:paraId="2B923FFE" w14:textId="77777777" w:rsidR="003546E5" w:rsidRDefault="007B2463" w:rsidP="00F068BE">
      <w:pPr>
        <w:pStyle w:val="Paragraphe"/>
        <w:tabs>
          <w:tab w:val="clear" w:pos="360"/>
          <w:tab w:val="num" w:pos="851"/>
        </w:tabs>
        <w:spacing w:line="240" w:lineRule="auto"/>
        <w:rPr>
          <w:lang w:val="en-CA"/>
        </w:rPr>
      </w:pPr>
      <w:r>
        <w:rPr>
          <w:lang w:val="en-CA"/>
        </w:rPr>
        <w:t>Given these observations, both officers suspected that Peterkin had a firearm. They advised them they would pat him down for their safety. The accused immediately backed up, grabbed at his right waist and tried to escape. After wrestling him to the ground, the police found a loaded handgun in his waistband.</w:t>
      </w:r>
    </w:p>
    <w:p w14:paraId="24ADC938" w14:textId="77777777" w:rsidR="007B2463" w:rsidRPr="00300A75" w:rsidRDefault="007B2463" w:rsidP="00300A75">
      <w:pPr>
        <w:pStyle w:val="Paragraphe"/>
        <w:tabs>
          <w:tab w:val="clear" w:pos="360"/>
          <w:tab w:val="num" w:pos="851"/>
        </w:tabs>
        <w:spacing w:line="240" w:lineRule="auto"/>
        <w:rPr>
          <w:lang w:val="en-CA"/>
        </w:rPr>
      </w:pPr>
      <w:r>
        <w:rPr>
          <w:lang w:val="en-CA"/>
        </w:rPr>
        <w:t>The Court found that these indicia amply supported the investigative detention</w:t>
      </w:r>
      <w:bookmarkEnd w:id="36"/>
      <w:r w:rsidR="00D26848">
        <w:rPr>
          <w:lang w:val="en-CA"/>
        </w:rPr>
        <w:t xml:space="preserve"> as it pertained to the possibly of gun possession</w:t>
      </w:r>
      <w:r>
        <w:rPr>
          <w:lang w:val="en-CA"/>
        </w:rPr>
        <w:t xml:space="preserve">. </w:t>
      </w:r>
    </w:p>
    <w:p w14:paraId="3A0D29EF" w14:textId="77777777" w:rsidR="005C168F" w:rsidRPr="005C168F" w:rsidRDefault="005C168F" w:rsidP="005C168F">
      <w:pPr>
        <w:pStyle w:val="Titre1"/>
        <w:spacing w:before="120" w:after="120"/>
        <w:jc w:val="both"/>
        <w:rPr>
          <w:sz w:val="24"/>
          <w:szCs w:val="24"/>
          <w:lang w:val="en-CA"/>
        </w:rPr>
      </w:pPr>
      <w:r>
        <w:rPr>
          <w:sz w:val="24"/>
          <w:szCs w:val="24"/>
          <w:lang w:val="en-CA"/>
        </w:rPr>
        <w:t>4</w:t>
      </w:r>
      <w:r w:rsidRPr="00E12863">
        <w:rPr>
          <w:sz w:val="24"/>
          <w:szCs w:val="24"/>
          <w:lang w:val="en-CA"/>
        </w:rPr>
        <w:t xml:space="preserve">- </w:t>
      </w:r>
      <w:r w:rsidRPr="00535C85">
        <w:rPr>
          <w:sz w:val="24"/>
          <w:szCs w:val="24"/>
          <w:u w:val="single"/>
          <w:lang w:val="en-CA"/>
        </w:rPr>
        <w:t>“</w:t>
      </w:r>
      <w:r w:rsidRPr="005C168F">
        <w:rPr>
          <w:rFonts w:cs="Arial"/>
          <w:bCs/>
          <w:sz w:val="24"/>
          <w:szCs w:val="24"/>
          <w:u w:val="single"/>
          <w:lang w:val="en-CA"/>
        </w:rPr>
        <w:t>Quasi-racial profiling</w:t>
      </w:r>
      <w:r>
        <w:rPr>
          <w:rFonts w:cs="Arial"/>
          <w:bCs/>
          <w:sz w:val="24"/>
          <w:szCs w:val="24"/>
          <w:u w:val="single"/>
          <w:lang w:val="en-CA"/>
        </w:rPr>
        <w:t>”</w:t>
      </w:r>
      <w:r w:rsidRPr="005C168F">
        <w:rPr>
          <w:rFonts w:cs="Arial"/>
          <w:bCs/>
          <w:sz w:val="24"/>
          <w:szCs w:val="24"/>
          <w:u w:val="single"/>
          <w:lang w:val="en-CA"/>
        </w:rPr>
        <w:t>, judicial notice regarding who wears man</w:t>
      </w:r>
      <w:r>
        <w:rPr>
          <w:rFonts w:cs="Arial"/>
          <w:bCs/>
          <w:sz w:val="24"/>
          <w:szCs w:val="24"/>
          <w:u w:val="single"/>
          <w:lang w:val="en-CA"/>
        </w:rPr>
        <w:t>-</w:t>
      </w:r>
      <w:r w:rsidRPr="005C168F">
        <w:rPr>
          <w:rFonts w:cs="Arial"/>
          <w:bCs/>
          <w:sz w:val="24"/>
          <w:szCs w:val="24"/>
          <w:u w:val="single"/>
          <w:lang w:val="en-CA"/>
        </w:rPr>
        <w:t>purses and the impending decision of the Court of Appeal</w:t>
      </w:r>
    </w:p>
    <w:p w14:paraId="260E7F55" w14:textId="77777777" w:rsidR="00801044" w:rsidRPr="00801044" w:rsidRDefault="00801044" w:rsidP="00801044">
      <w:pPr>
        <w:pStyle w:val="Titre2"/>
        <w:numPr>
          <w:ilvl w:val="0"/>
          <w:numId w:val="18"/>
        </w:numPr>
        <w:spacing w:before="120" w:after="120"/>
        <w:rPr>
          <w:i w:val="0"/>
          <w:u w:val="single"/>
          <w:lang w:val="en-CA"/>
        </w:rPr>
      </w:pPr>
      <w:r w:rsidRPr="00801044">
        <w:rPr>
          <w:i w:val="0"/>
          <w:u w:val="single"/>
          <w:lang w:val="en-CA"/>
        </w:rPr>
        <w:t>No racial profiling argument w</w:t>
      </w:r>
      <w:r>
        <w:rPr>
          <w:i w:val="0"/>
          <w:u w:val="single"/>
          <w:lang w:val="en-CA"/>
        </w:rPr>
        <w:t>as advanced</w:t>
      </w:r>
    </w:p>
    <w:p w14:paraId="15379AA0" w14:textId="77777777" w:rsidR="00EC1A52" w:rsidRDefault="00EC1A52" w:rsidP="00EC1A52">
      <w:pPr>
        <w:pStyle w:val="Paragraphe"/>
        <w:tabs>
          <w:tab w:val="clear" w:pos="360"/>
          <w:tab w:val="num" w:pos="851"/>
        </w:tabs>
        <w:spacing w:line="240" w:lineRule="auto"/>
        <w:rPr>
          <w:lang w:val="en-CA"/>
        </w:rPr>
      </w:pPr>
      <w:r w:rsidRPr="00EC1A52">
        <w:rPr>
          <w:lang w:val="en-CA"/>
        </w:rPr>
        <w:t xml:space="preserve">In the course of </w:t>
      </w:r>
      <w:r>
        <w:rPr>
          <w:lang w:val="en-CA"/>
        </w:rPr>
        <w:t>either</w:t>
      </w:r>
      <w:r w:rsidRPr="00EC1A52">
        <w:rPr>
          <w:lang w:val="en-CA"/>
        </w:rPr>
        <w:t xml:space="preserve"> officer</w:t>
      </w:r>
      <w:r>
        <w:rPr>
          <w:lang w:val="en-CA"/>
        </w:rPr>
        <w:t>’</w:t>
      </w:r>
      <w:r w:rsidRPr="00EC1A52">
        <w:rPr>
          <w:lang w:val="en-CA"/>
        </w:rPr>
        <w:t>s testimony, not a single question was asked about the accused’s race, ethnicity, ethnic origin or cultural background.</w:t>
      </w:r>
    </w:p>
    <w:p w14:paraId="1133AF30" w14:textId="77777777" w:rsidR="00EC1A52" w:rsidRDefault="00EC1A52" w:rsidP="00EC1A52">
      <w:pPr>
        <w:pStyle w:val="Paragraphe"/>
        <w:tabs>
          <w:tab w:val="clear" w:pos="360"/>
          <w:tab w:val="num" w:pos="851"/>
        </w:tabs>
        <w:spacing w:line="240" w:lineRule="auto"/>
        <w:rPr>
          <w:lang w:val="en-CA"/>
        </w:rPr>
      </w:pPr>
      <w:r w:rsidRPr="00EC1A52">
        <w:rPr>
          <w:lang w:val="en-CA"/>
        </w:rPr>
        <w:t xml:space="preserve">The topic was not even remotely broached in cross-examination. This was </w:t>
      </w:r>
      <w:r>
        <w:rPr>
          <w:lang w:val="en-CA"/>
        </w:rPr>
        <w:t xml:space="preserve">clearly </w:t>
      </w:r>
      <w:r w:rsidRPr="00EC1A52">
        <w:rPr>
          <w:lang w:val="en-CA"/>
        </w:rPr>
        <w:t xml:space="preserve">not an </w:t>
      </w:r>
      <w:r>
        <w:rPr>
          <w:lang w:val="en-CA"/>
        </w:rPr>
        <w:t>oversight</w:t>
      </w:r>
      <w:r w:rsidRPr="00EC1A52">
        <w:rPr>
          <w:lang w:val="en-CA"/>
        </w:rPr>
        <w:t>. It was by design.</w:t>
      </w:r>
      <w:r>
        <w:rPr>
          <w:lang w:val="en-CA"/>
        </w:rPr>
        <w:t xml:space="preserve"> </w:t>
      </w:r>
      <w:r w:rsidRPr="00EC1A52">
        <w:rPr>
          <w:lang w:val="en-CA"/>
        </w:rPr>
        <w:t xml:space="preserve">In fact, in final argument, defence counsel explicitly expressed that he was </w:t>
      </w:r>
      <w:r w:rsidRPr="00EC1A52">
        <w:rPr>
          <w:u w:val="single"/>
          <w:lang w:val="en-CA"/>
        </w:rPr>
        <w:t>not</w:t>
      </w:r>
      <w:r w:rsidRPr="00EC1A52">
        <w:rPr>
          <w:lang w:val="en-CA"/>
        </w:rPr>
        <w:t xml:space="preserve"> </w:t>
      </w:r>
      <w:r>
        <w:rPr>
          <w:lang w:val="en-CA"/>
        </w:rPr>
        <w:t>advancing</w:t>
      </w:r>
      <w:r w:rsidRPr="00EC1A52">
        <w:rPr>
          <w:lang w:val="en-CA"/>
        </w:rPr>
        <w:t xml:space="preserve"> a racial profiling argument as it related to the accused’s interception, detention, search or arrest.</w:t>
      </w:r>
      <w:r>
        <w:rPr>
          <w:rStyle w:val="Appelnotedebasdep"/>
          <w:rFonts w:cs="Arial"/>
          <w:szCs w:val="24"/>
        </w:rPr>
        <w:footnoteReference w:id="66"/>
      </w:r>
    </w:p>
    <w:p w14:paraId="06D48DB9" w14:textId="77777777" w:rsidR="00EC1A52" w:rsidRDefault="00EC1A52" w:rsidP="00EC1A52">
      <w:pPr>
        <w:pStyle w:val="Paragraphe"/>
        <w:tabs>
          <w:tab w:val="clear" w:pos="360"/>
          <w:tab w:val="num" w:pos="851"/>
        </w:tabs>
        <w:spacing w:line="240" w:lineRule="auto"/>
        <w:rPr>
          <w:lang w:val="en-CA"/>
        </w:rPr>
      </w:pPr>
      <w:r>
        <w:rPr>
          <w:lang w:val="en-CA"/>
        </w:rPr>
        <w:t>Then again, soon after came the “</w:t>
      </w:r>
      <w:r w:rsidR="00911FD9">
        <w:rPr>
          <w:lang w:val="en-CA"/>
        </w:rPr>
        <w:t>however</w:t>
      </w:r>
      <w:r>
        <w:rPr>
          <w:lang w:val="en-CA"/>
        </w:rPr>
        <w:t>”.</w:t>
      </w:r>
    </w:p>
    <w:p w14:paraId="234D980C" w14:textId="77777777" w:rsidR="00EC1A52" w:rsidRDefault="00EC1A52" w:rsidP="00EC1A52">
      <w:pPr>
        <w:pStyle w:val="Paragraphe"/>
        <w:tabs>
          <w:tab w:val="clear" w:pos="360"/>
          <w:tab w:val="num" w:pos="851"/>
        </w:tabs>
        <w:spacing w:line="240" w:lineRule="auto"/>
        <w:rPr>
          <w:lang w:val="en-CA"/>
        </w:rPr>
      </w:pPr>
      <w:r w:rsidRPr="00EC1A52">
        <w:rPr>
          <w:lang w:val="en-CA"/>
        </w:rPr>
        <w:t>Defence counsel contends, somewhat creatively, that there was in fact “profiling”</w:t>
      </w:r>
      <w:r>
        <w:rPr>
          <w:lang w:val="en-CA"/>
        </w:rPr>
        <w:t xml:space="preserve"> in the case at bar</w:t>
      </w:r>
      <w:r w:rsidRPr="00EC1A52">
        <w:rPr>
          <w:lang w:val="en-CA"/>
        </w:rPr>
        <w:t>, but it was the “profiling of people who carry man</w:t>
      </w:r>
      <w:r>
        <w:rPr>
          <w:lang w:val="en-CA"/>
        </w:rPr>
        <w:t>-</w:t>
      </w:r>
      <w:r w:rsidRPr="00EC1A52">
        <w:rPr>
          <w:lang w:val="en-CA"/>
        </w:rPr>
        <w:t xml:space="preserve">purses”. Well, to a certain extent, that much is obvious, although the term “profiling” is a </w:t>
      </w:r>
      <w:r w:rsidRPr="00EC1A52">
        <w:rPr>
          <w:lang w:val="en-CA"/>
        </w:rPr>
        <w:lastRenderedPageBreak/>
        <w:t>misnomer. Without acknowledging “profiling” of any sort, both officers indeed stated that the presence of a man</w:t>
      </w:r>
      <w:r>
        <w:rPr>
          <w:lang w:val="en-CA"/>
        </w:rPr>
        <w:t>-</w:t>
      </w:r>
      <w:r w:rsidRPr="00EC1A52">
        <w:rPr>
          <w:lang w:val="en-CA"/>
        </w:rPr>
        <w:t>purse was worthy of their attention, as one relevant factor among many others, in accordance with their specialized training and their multiple prior field experiences.</w:t>
      </w:r>
    </w:p>
    <w:p w14:paraId="72CED3C8" w14:textId="77777777" w:rsidR="00EC1A52" w:rsidRDefault="00EC1A52" w:rsidP="00EC1A52">
      <w:pPr>
        <w:pStyle w:val="Paragraphe"/>
        <w:tabs>
          <w:tab w:val="clear" w:pos="360"/>
          <w:tab w:val="num" w:pos="851"/>
        </w:tabs>
        <w:spacing w:line="240" w:lineRule="auto"/>
        <w:rPr>
          <w:lang w:val="en-CA"/>
        </w:rPr>
      </w:pPr>
      <w:r w:rsidRPr="00EC1A52">
        <w:rPr>
          <w:lang w:val="en-CA"/>
        </w:rPr>
        <w:t>In my view,</w:t>
      </w:r>
      <w:r>
        <w:rPr>
          <w:lang w:val="en-CA"/>
        </w:rPr>
        <w:t xml:space="preserve"> with respect,</w:t>
      </w:r>
      <w:r w:rsidRPr="00EC1A52">
        <w:rPr>
          <w:lang w:val="en-CA"/>
        </w:rPr>
        <w:t xml:space="preserve"> this is not at all blameworthy or even problematic. Physically, by design, man-purses are particularly efficient recepta</w:t>
      </w:r>
      <w:r w:rsidR="00F137E2">
        <w:rPr>
          <w:lang w:val="en-CA"/>
        </w:rPr>
        <w:t>c</w:t>
      </w:r>
      <w:r w:rsidRPr="00EC1A52">
        <w:rPr>
          <w:lang w:val="en-CA"/>
        </w:rPr>
        <w:t xml:space="preserve">les to carry handguns. Empirically, according to the uncontradicted evidence presented at the </w:t>
      </w:r>
      <w:r w:rsidRPr="00EC1A52">
        <w:rPr>
          <w:i/>
          <w:iCs/>
          <w:lang w:val="en-CA"/>
        </w:rPr>
        <w:t>voir-dire</w:t>
      </w:r>
      <w:r w:rsidRPr="00EC1A52">
        <w:rPr>
          <w:lang w:val="en-CA"/>
        </w:rPr>
        <w:t xml:space="preserve">, man-purses are </w:t>
      </w:r>
      <w:r w:rsidRPr="00EC1A52">
        <w:rPr>
          <w:u w:val="single"/>
          <w:lang w:val="en-CA"/>
        </w:rPr>
        <w:t>very</w:t>
      </w:r>
      <w:r w:rsidRPr="00EC1A52">
        <w:rPr>
          <w:lang w:val="en-CA"/>
        </w:rPr>
        <w:t xml:space="preserve"> often used to carry concealed illegal firearms. There is no reason to </w:t>
      </w:r>
      <w:r>
        <w:rPr>
          <w:lang w:val="en-CA"/>
        </w:rPr>
        <w:t>disregard</w:t>
      </w:r>
      <w:r w:rsidRPr="00EC1A52">
        <w:rPr>
          <w:lang w:val="en-CA"/>
        </w:rPr>
        <w:t xml:space="preserve"> this reality.</w:t>
      </w:r>
    </w:p>
    <w:p w14:paraId="039F8E2E" w14:textId="77777777" w:rsidR="00EC1A52" w:rsidRDefault="00EC1A52" w:rsidP="00D77488">
      <w:pPr>
        <w:pStyle w:val="Paragraphe"/>
        <w:tabs>
          <w:tab w:val="clear" w:pos="360"/>
          <w:tab w:val="num" w:pos="851"/>
        </w:tabs>
        <w:spacing w:line="240" w:lineRule="auto"/>
        <w:rPr>
          <w:lang w:val="en-CA"/>
        </w:rPr>
      </w:pPr>
      <w:r w:rsidRPr="00D77488">
        <w:rPr>
          <w:lang w:val="en-CA"/>
        </w:rPr>
        <w:t>The Court thus asked counsel how this “profiling” was objectionable. Obviously, profiling of suspects will be unacceptable if it is based on race, ethnic origin, religion, sex, apparent sexual orientation or belonging to a marginalized social class. Having said that, these concerns simpl</w:t>
      </w:r>
      <w:r w:rsidR="00F137E2">
        <w:rPr>
          <w:lang w:val="en-CA"/>
        </w:rPr>
        <w:t>y</w:t>
      </w:r>
      <w:r w:rsidRPr="00D77488">
        <w:rPr>
          <w:lang w:val="en-CA"/>
        </w:rPr>
        <w:t xml:space="preserve"> do not apply to a category of fashion accessory. By analogy, it is useful to recall that State</w:t>
      </w:r>
      <w:r w:rsidR="00F137E2">
        <w:rPr>
          <w:lang w:val="en-CA"/>
        </w:rPr>
        <w:t>-</w:t>
      </w:r>
      <w:r w:rsidRPr="00D77488">
        <w:rPr>
          <w:lang w:val="en-CA"/>
        </w:rPr>
        <w:t xml:space="preserve">sponsored discrimination will only offend s. 15 of the </w:t>
      </w:r>
      <w:r w:rsidRPr="00D77488">
        <w:rPr>
          <w:i/>
          <w:iCs/>
          <w:lang w:val="en-CA"/>
        </w:rPr>
        <w:t>Charter</w:t>
      </w:r>
      <w:r w:rsidRPr="00D77488">
        <w:rPr>
          <w:lang w:val="en-CA"/>
        </w:rPr>
        <w:t xml:space="preserve"> if it is based on the analogous characteristics that tie to the personal traits of the individual pertaining to his dignity and identity, or </w:t>
      </w:r>
      <w:r w:rsidR="00D77488">
        <w:rPr>
          <w:lang w:val="en-CA"/>
        </w:rPr>
        <w:t xml:space="preserve">to </w:t>
      </w:r>
      <w:r w:rsidRPr="00D77488">
        <w:rPr>
          <w:lang w:val="en-CA"/>
        </w:rPr>
        <w:t>a given group, which has the effect of imposing burdens, obligations and disadvantages, assessed within the larger social, political and legal context.</w:t>
      </w:r>
      <w:r w:rsidR="00801044">
        <w:rPr>
          <w:rStyle w:val="Appelnotedebasdep"/>
          <w:lang w:val="en-CA"/>
        </w:rPr>
        <w:footnoteReference w:id="67"/>
      </w:r>
      <w:r w:rsidRPr="00D77488">
        <w:rPr>
          <w:lang w:val="en-CA"/>
        </w:rPr>
        <w:t xml:space="preserve"> The category of the “people with purses” is no such class and it should not become one. They can hardly be described as a discrete and insular minority.</w:t>
      </w:r>
    </w:p>
    <w:p w14:paraId="1B1E2B31" w14:textId="77777777" w:rsidR="00EC1A52" w:rsidRDefault="00EC1A52" w:rsidP="00D77488">
      <w:pPr>
        <w:pStyle w:val="Paragraphe"/>
        <w:tabs>
          <w:tab w:val="clear" w:pos="360"/>
          <w:tab w:val="num" w:pos="851"/>
        </w:tabs>
        <w:spacing w:line="240" w:lineRule="auto"/>
        <w:rPr>
          <w:lang w:val="en-CA"/>
        </w:rPr>
      </w:pPr>
      <w:r w:rsidRPr="00D77488">
        <w:rPr>
          <w:lang w:val="en-CA"/>
        </w:rPr>
        <w:t xml:space="preserve">Defence counsel responds with his indirect argument: </w:t>
      </w:r>
      <w:r w:rsidRPr="00D77488">
        <w:rPr>
          <w:i/>
          <w:iCs/>
          <w:lang w:val="en-CA"/>
        </w:rPr>
        <w:t>according to him</w:t>
      </w:r>
      <w:r w:rsidRPr="00D77488">
        <w:rPr>
          <w:lang w:val="en-CA"/>
        </w:rPr>
        <w:t>, it is mostly “racialized”</w:t>
      </w:r>
      <w:r>
        <w:rPr>
          <w:rStyle w:val="Appelnotedebasdep"/>
          <w:rFonts w:cs="Arial"/>
          <w:szCs w:val="24"/>
        </w:rPr>
        <w:footnoteReference w:id="68"/>
      </w:r>
      <w:r w:rsidRPr="00D77488">
        <w:rPr>
          <w:lang w:val="en-CA"/>
        </w:rPr>
        <w:t xml:space="preserve"> people, notably black and arabic men, </w:t>
      </w:r>
      <w:r w:rsidR="00911FD9">
        <w:rPr>
          <w:lang w:val="en-CA"/>
        </w:rPr>
        <w:t>who</w:t>
      </w:r>
      <w:r w:rsidRPr="00D77488">
        <w:rPr>
          <w:lang w:val="en-CA"/>
        </w:rPr>
        <w:t xml:space="preserve"> tend to wear man</w:t>
      </w:r>
      <w:r w:rsidR="00D77488">
        <w:rPr>
          <w:lang w:val="en-CA"/>
        </w:rPr>
        <w:t>-</w:t>
      </w:r>
      <w:r w:rsidRPr="00D77488">
        <w:rPr>
          <w:lang w:val="en-CA"/>
        </w:rPr>
        <w:t>purses. Thus, if police officers target man</w:t>
      </w:r>
      <w:r w:rsidR="00D77488">
        <w:rPr>
          <w:lang w:val="en-CA"/>
        </w:rPr>
        <w:t>-</w:t>
      </w:r>
      <w:r w:rsidRPr="00D77488">
        <w:rPr>
          <w:lang w:val="en-CA"/>
        </w:rPr>
        <w:t>purses, the net effect will be that racial minorities are targeted a</w:t>
      </w:r>
      <w:r w:rsidR="00D77488">
        <w:rPr>
          <w:lang w:val="en-CA"/>
        </w:rPr>
        <w:t>t</w:t>
      </w:r>
      <w:r w:rsidRPr="00D77488">
        <w:rPr>
          <w:lang w:val="en-CA"/>
        </w:rPr>
        <w:t xml:space="preserve"> an increased rate.</w:t>
      </w:r>
    </w:p>
    <w:p w14:paraId="6F6BBE48" w14:textId="77777777" w:rsidR="00EC1A52" w:rsidRPr="00D77488" w:rsidRDefault="00EC1A52" w:rsidP="00D77488">
      <w:pPr>
        <w:pStyle w:val="Paragraphe"/>
        <w:tabs>
          <w:tab w:val="clear" w:pos="360"/>
          <w:tab w:val="num" w:pos="851"/>
        </w:tabs>
        <w:spacing w:line="240" w:lineRule="auto"/>
        <w:rPr>
          <w:lang w:val="en-CA"/>
        </w:rPr>
      </w:pPr>
      <w:r w:rsidRPr="00D77488">
        <w:rPr>
          <w:lang w:val="en-CA"/>
        </w:rPr>
        <w:t>For reasons expressed below, the Court dismisses this argument.</w:t>
      </w:r>
    </w:p>
    <w:p w14:paraId="136FB4F0" w14:textId="77777777" w:rsidR="002B32F6" w:rsidRPr="00801044" w:rsidRDefault="002B32F6" w:rsidP="002B32F6">
      <w:pPr>
        <w:pStyle w:val="Titre2"/>
        <w:numPr>
          <w:ilvl w:val="0"/>
          <w:numId w:val="18"/>
        </w:numPr>
        <w:spacing w:before="120" w:after="120"/>
        <w:rPr>
          <w:i w:val="0"/>
          <w:u w:val="single"/>
          <w:lang w:val="en-CA"/>
        </w:rPr>
      </w:pPr>
      <w:r>
        <w:rPr>
          <w:i w:val="0"/>
          <w:u w:val="single"/>
          <w:lang w:val="en-CA"/>
        </w:rPr>
        <w:t>Judicial notice of fashion trends among certain ethnic groups</w:t>
      </w:r>
    </w:p>
    <w:p w14:paraId="3F7D1A81" w14:textId="77777777" w:rsidR="002B32F6" w:rsidRPr="002B32F6" w:rsidRDefault="002B32F6" w:rsidP="002B32F6">
      <w:pPr>
        <w:pStyle w:val="Paragraphe"/>
        <w:tabs>
          <w:tab w:val="clear" w:pos="360"/>
          <w:tab w:val="num" w:pos="851"/>
        </w:tabs>
        <w:spacing w:line="240" w:lineRule="auto"/>
        <w:rPr>
          <w:lang w:val="en-CA"/>
        </w:rPr>
      </w:pPr>
      <w:r w:rsidRPr="002B32F6">
        <w:rPr>
          <w:rFonts w:cs="Arial"/>
          <w:szCs w:val="24"/>
          <w:lang w:val="en-CA"/>
        </w:rPr>
        <w:t>From the outset, counsel acknowledges that this is not a matter that can be the object of judicial notice. His concession is wholly appropriate in that regard. It is out of the question that this Court conclude, without supporting evidence, that it is “mostly black and arabic guys who carry man</w:t>
      </w:r>
      <w:r w:rsidR="00FC4A69">
        <w:rPr>
          <w:rFonts w:cs="Arial"/>
          <w:szCs w:val="24"/>
          <w:lang w:val="en-CA"/>
        </w:rPr>
        <w:t>-</w:t>
      </w:r>
      <w:r w:rsidRPr="002B32F6">
        <w:rPr>
          <w:rFonts w:cs="Arial"/>
          <w:szCs w:val="24"/>
          <w:lang w:val="en-CA"/>
        </w:rPr>
        <w:t>purses”.</w:t>
      </w:r>
    </w:p>
    <w:p w14:paraId="3D6E8CFF" w14:textId="77777777" w:rsidR="002B32F6" w:rsidRPr="002B32F6" w:rsidRDefault="002B32F6" w:rsidP="002B32F6">
      <w:pPr>
        <w:pStyle w:val="Paragraphe"/>
        <w:tabs>
          <w:tab w:val="clear" w:pos="360"/>
          <w:tab w:val="num" w:pos="851"/>
        </w:tabs>
        <w:spacing w:line="240" w:lineRule="auto"/>
        <w:rPr>
          <w:lang w:val="en-CA"/>
        </w:rPr>
      </w:pPr>
      <w:r w:rsidRPr="002B32F6">
        <w:rPr>
          <w:rFonts w:cs="Arial"/>
          <w:szCs w:val="24"/>
          <w:lang w:val="en-CA"/>
        </w:rPr>
        <w:t xml:space="preserve">First, it cannot seriously </w:t>
      </w:r>
      <w:r>
        <w:rPr>
          <w:rFonts w:cs="Arial"/>
          <w:szCs w:val="24"/>
          <w:lang w:val="en-CA"/>
        </w:rPr>
        <w:t xml:space="preserve">be </w:t>
      </w:r>
      <w:r w:rsidRPr="002B32F6">
        <w:rPr>
          <w:rFonts w:cs="Arial"/>
          <w:szCs w:val="24"/>
          <w:lang w:val="en-CA"/>
        </w:rPr>
        <w:t xml:space="preserve">advanced that this claim states a notorious fact that is so obviously true that it cannot be the subject of reasonable debate, or that may be </w:t>
      </w:r>
      <w:r w:rsidRPr="002B32F6">
        <w:rPr>
          <w:rFonts w:cs="Arial"/>
          <w:szCs w:val="24"/>
          <w:lang w:val="en-CA"/>
        </w:rPr>
        <w:lastRenderedPageBreak/>
        <w:t>verified easily and technically by resort to readily accessible sources of indisputable accuracy.</w:t>
      </w:r>
      <w:r>
        <w:rPr>
          <w:rStyle w:val="Appelnotedebasdep"/>
          <w:rFonts w:cs="Arial"/>
          <w:szCs w:val="24"/>
          <w:lang w:val="en-CA"/>
        </w:rPr>
        <w:footnoteReference w:id="69"/>
      </w:r>
    </w:p>
    <w:p w14:paraId="5523ED13" w14:textId="77777777" w:rsidR="002B32F6" w:rsidRPr="00572131" w:rsidRDefault="002B32F6" w:rsidP="00572131">
      <w:pPr>
        <w:pStyle w:val="Paragraphe"/>
        <w:tabs>
          <w:tab w:val="clear" w:pos="360"/>
          <w:tab w:val="num" w:pos="851"/>
        </w:tabs>
        <w:spacing w:line="240" w:lineRule="auto"/>
        <w:rPr>
          <w:lang w:val="en-CA"/>
        </w:rPr>
      </w:pPr>
      <w:r w:rsidRPr="002B32F6">
        <w:rPr>
          <w:rFonts w:cs="Arial"/>
          <w:szCs w:val="24"/>
          <w:lang w:val="en-CA"/>
        </w:rPr>
        <w:t xml:space="preserve">Second and more fundamentally, the Court believes that claim to be plainly </w:t>
      </w:r>
      <w:r w:rsidR="00911FD9">
        <w:rPr>
          <w:rFonts w:cs="Arial"/>
          <w:szCs w:val="24"/>
          <w:lang w:val="en-CA"/>
        </w:rPr>
        <w:t>incorrect</w:t>
      </w:r>
      <w:r w:rsidRPr="002B32F6">
        <w:rPr>
          <w:rFonts w:cs="Arial"/>
          <w:szCs w:val="24"/>
          <w:lang w:val="en-CA"/>
        </w:rPr>
        <w:t>. Yet, counsel closely follows</w:t>
      </w:r>
      <w:r w:rsidR="00F137E2">
        <w:rPr>
          <w:rFonts w:cs="Arial"/>
          <w:szCs w:val="24"/>
          <w:lang w:val="en-CA"/>
        </w:rPr>
        <w:t xml:space="preserve"> </w:t>
      </w:r>
      <w:r>
        <w:rPr>
          <w:rFonts w:cs="Arial"/>
          <w:szCs w:val="24"/>
          <w:lang w:val="en-CA"/>
        </w:rPr>
        <w:t xml:space="preserve">up </w:t>
      </w:r>
      <w:r w:rsidRPr="002B32F6">
        <w:rPr>
          <w:rFonts w:cs="Arial"/>
          <w:szCs w:val="24"/>
          <w:lang w:val="en-CA"/>
        </w:rPr>
        <w:t xml:space="preserve">by adding that </w:t>
      </w:r>
      <w:r>
        <w:rPr>
          <w:rFonts w:cs="Arial"/>
          <w:szCs w:val="24"/>
          <w:lang w:val="en-CA"/>
        </w:rPr>
        <w:t xml:space="preserve">in the course of his work </w:t>
      </w:r>
      <w:r w:rsidRPr="002B32F6">
        <w:rPr>
          <w:rFonts w:cs="Arial"/>
          <w:szCs w:val="24"/>
          <w:lang w:val="en-CA"/>
        </w:rPr>
        <w:t xml:space="preserve">as a defence </w:t>
      </w:r>
      <w:r w:rsidR="00911FD9">
        <w:rPr>
          <w:rFonts w:cs="Arial"/>
          <w:szCs w:val="24"/>
          <w:lang w:val="en-CA"/>
        </w:rPr>
        <w:t>attorney</w:t>
      </w:r>
      <w:r w:rsidRPr="002B32F6">
        <w:rPr>
          <w:rFonts w:cs="Arial"/>
          <w:szCs w:val="24"/>
          <w:lang w:val="en-CA"/>
        </w:rPr>
        <w:t xml:space="preserve">, “empirically”, he has observed that to be true. Again, I disagree. This is merely a way to disguise a judicial notice argument into something </w:t>
      </w:r>
      <w:r>
        <w:rPr>
          <w:rFonts w:cs="Arial"/>
          <w:szCs w:val="24"/>
          <w:lang w:val="en-CA"/>
        </w:rPr>
        <w:t>labelled</w:t>
      </w:r>
      <w:r w:rsidRPr="002B32F6">
        <w:rPr>
          <w:rFonts w:cs="Arial"/>
          <w:szCs w:val="24"/>
          <w:lang w:val="en-CA"/>
        </w:rPr>
        <w:t xml:space="preserve"> different</w:t>
      </w:r>
      <w:r>
        <w:rPr>
          <w:rFonts w:cs="Arial"/>
          <w:szCs w:val="24"/>
          <w:lang w:val="en-CA"/>
        </w:rPr>
        <w:t>ly</w:t>
      </w:r>
      <w:r w:rsidRPr="002B32F6">
        <w:rPr>
          <w:rFonts w:cs="Arial"/>
          <w:szCs w:val="24"/>
          <w:lang w:val="en-CA"/>
        </w:rPr>
        <w:t>.</w:t>
      </w:r>
    </w:p>
    <w:p w14:paraId="5E4AD4F5" w14:textId="77777777" w:rsidR="00452392" w:rsidRPr="001009DE" w:rsidRDefault="00452392" w:rsidP="002B32F6">
      <w:pPr>
        <w:pStyle w:val="Paragraphe"/>
        <w:tabs>
          <w:tab w:val="clear" w:pos="360"/>
          <w:tab w:val="num" w:pos="851"/>
        </w:tabs>
        <w:spacing w:line="240" w:lineRule="auto"/>
        <w:rPr>
          <w:lang w:val="en-CA"/>
        </w:rPr>
      </w:pPr>
      <w:r>
        <w:rPr>
          <w:rFonts w:cs="Arial"/>
          <w:szCs w:val="24"/>
          <w:lang w:val="en-CA"/>
        </w:rPr>
        <w:t xml:space="preserve">I am fully aware, as the Supreme Court reminded us in </w:t>
      </w:r>
      <w:r>
        <w:rPr>
          <w:rFonts w:cs="Arial"/>
          <w:b/>
          <w:bCs/>
          <w:i/>
          <w:iCs/>
          <w:szCs w:val="24"/>
          <w:lang w:val="en-CA"/>
        </w:rPr>
        <w:t xml:space="preserve">R. </w:t>
      </w:r>
      <w:r>
        <w:rPr>
          <w:rFonts w:cs="Arial"/>
          <w:b/>
          <w:bCs/>
          <w:szCs w:val="24"/>
          <w:lang w:val="en-CA"/>
        </w:rPr>
        <w:t xml:space="preserve">v. </w:t>
      </w:r>
      <w:r>
        <w:rPr>
          <w:rFonts w:cs="Arial"/>
          <w:b/>
          <w:bCs/>
          <w:i/>
          <w:iCs/>
          <w:szCs w:val="24"/>
          <w:lang w:val="en-CA"/>
        </w:rPr>
        <w:t>Abdullahi</w:t>
      </w:r>
      <w:r>
        <w:rPr>
          <w:rFonts w:cs="Arial"/>
          <w:szCs w:val="24"/>
          <w:lang w:val="en-CA"/>
        </w:rPr>
        <w:t>, that in certain cases, apparently mundane characteristics may in fact subtly mirror the cultural norms of racialized communities.</w:t>
      </w:r>
      <w:r>
        <w:rPr>
          <w:rStyle w:val="Appelnotedebasdep"/>
          <w:rFonts w:cs="Arial"/>
          <w:szCs w:val="24"/>
          <w:lang w:val="en-CA"/>
        </w:rPr>
        <w:footnoteReference w:id="70"/>
      </w:r>
      <w:r>
        <w:rPr>
          <w:rFonts w:cs="Arial"/>
          <w:szCs w:val="24"/>
          <w:lang w:val="en-CA"/>
        </w:rPr>
        <w:t xml:space="preserve"> Wearing a </w:t>
      </w:r>
      <w:r w:rsidRPr="00FC4A69">
        <w:rPr>
          <w:rFonts w:cs="Arial"/>
          <w:szCs w:val="24"/>
          <w:lang w:val="en-CA"/>
        </w:rPr>
        <w:t>man-purse</w:t>
      </w:r>
      <w:r>
        <w:rPr>
          <w:rFonts w:cs="Arial"/>
          <w:szCs w:val="24"/>
          <w:lang w:val="en-CA"/>
        </w:rPr>
        <w:t xml:space="preserve"> is not one of those </w:t>
      </w:r>
      <w:r w:rsidR="00911FD9">
        <w:rPr>
          <w:rFonts w:cs="Arial"/>
          <w:szCs w:val="24"/>
          <w:lang w:val="en-CA"/>
        </w:rPr>
        <w:t>features</w:t>
      </w:r>
      <w:r>
        <w:rPr>
          <w:rFonts w:cs="Arial"/>
          <w:szCs w:val="24"/>
          <w:lang w:val="en-CA"/>
        </w:rPr>
        <w:t>.</w:t>
      </w:r>
    </w:p>
    <w:p w14:paraId="77D899C9" w14:textId="77777777" w:rsidR="001009DE" w:rsidRDefault="001009DE" w:rsidP="001009DE">
      <w:pPr>
        <w:pStyle w:val="Paragraphe"/>
        <w:tabs>
          <w:tab w:val="clear" w:pos="360"/>
          <w:tab w:val="num" w:pos="851"/>
        </w:tabs>
        <w:spacing w:line="240" w:lineRule="auto"/>
        <w:rPr>
          <w:lang w:val="en-CA"/>
        </w:rPr>
      </w:pPr>
      <w:r w:rsidRPr="001009DE">
        <w:rPr>
          <w:lang w:val="en-CA"/>
        </w:rPr>
        <w:t>As discussed further below, the involvement of a man</w:t>
      </w:r>
      <w:r>
        <w:rPr>
          <w:lang w:val="en-CA"/>
        </w:rPr>
        <w:t>-</w:t>
      </w:r>
      <w:r w:rsidRPr="001009DE">
        <w:rPr>
          <w:lang w:val="en-CA"/>
        </w:rPr>
        <w:t xml:space="preserve">purse in the equation, considered </w:t>
      </w:r>
      <w:r>
        <w:rPr>
          <w:lang w:val="en-CA"/>
        </w:rPr>
        <w:t xml:space="preserve">in light of </w:t>
      </w:r>
      <w:r w:rsidRPr="001009DE">
        <w:rPr>
          <w:lang w:val="en-CA"/>
        </w:rPr>
        <w:t xml:space="preserve">the other observations as a whole (including blading and </w:t>
      </w:r>
      <w:r w:rsidR="003D17B6">
        <w:rPr>
          <w:lang w:val="en-CA"/>
        </w:rPr>
        <w:t>dead-arm</w:t>
      </w:r>
      <w:r w:rsidRPr="001009DE">
        <w:rPr>
          <w:lang w:val="en-CA"/>
        </w:rPr>
        <w:t xml:space="preserve">), is unquestionably a relevant indicator for the police officers </w:t>
      </w:r>
      <w:r w:rsidR="00911FD9">
        <w:rPr>
          <w:lang w:val="en-CA"/>
        </w:rPr>
        <w:t>i</w:t>
      </w:r>
      <w:r w:rsidRPr="001009DE">
        <w:rPr>
          <w:lang w:val="en-CA"/>
        </w:rPr>
        <w:t>n the field. In the case at bar, the uncontradicted evidence by both police witnesses (which incidentally, the Court believes) established that among the 30 handguns they seized, 80% of them were concealed in man</w:t>
      </w:r>
      <w:r>
        <w:rPr>
          <w:lang w:val="en-CA"/>
        </w:rPr>
        <w:t>-</w:t>
      </w:r>
      <w:r w:rsidRPr="001009DE">
        <w:rPr>
          <w:lang w:val="en-CA"/>
        </w:rPr>
        <w:t xml:space="preserve">purses. This is significant data. Similarly, the training course they received by the ENSALA unit was based on comprehensive statistics stemming from </w:t>
      </w:r>
      <w:r w:rsidRPr="001009DE">
        <w:rPr>
          <w:i/>
          <w:iCs/>
          <w:lang w:val="en-CA"/>
        </w:rPr>
        <w:t>all</w:t>
      </w:r>
      <w:r w:rsidRPr="001009DE">
        <w:rPr>
          <w:lang w:val="en-CA"/>
        </w:rPr>
        <w:t xml:space="preserve"> gun seizures in the province. This exhaustive data also confirmed the prevalence of man</w:t>
      </w:r>
      <w:r>
        <w:rPr>
          <w:lang w:val="en-CA"/>
        </w:rPr>
        <w:t>-</w:t>
      </w:r>
      <w:r w:rsidRPr="001009DE">
        <w:rPr>
          <w:lang w:val="en-CA"/>
        </w:rPr>
        <w:t>purses being used to conceal illegal handguns.</w:t>
      </w:r>
    </w:p>
    <w:p w14:paraId="4B90AB9B" w14:textId="77777777" w:rsidR="001009DE" w:rsidRPr="00194446" w:rsidRDefault="00194446" w:rsidP="00194446">
      <w:pPr>
        <w:pStyle w:val="Paragraphe"/>
        <w:tabs>
          <w:tab w:val="clear" w:pos="360"/>
          <w:tab w:val="num" w:pos="851"/>
        </w:tabs>
        <w:spacing w:line="240" w:lineRule="auto"/>
        <w:rPr>
          <w:lang w:val="en-CA"/>
        </w:rPr>
      </w:pPr>
      <w:r>
        <w:rPr>
          <w:lang w:val="en-CA"/>
        </w:rPr>
        <w:t>We should not discount such a strong indicator merely on account of the observed person’s race.</w:t>
      </w:r>
    </w:p>
    <w:p w14:paraId="08142F41" w14:textId="77777777" w:rsidR="004C0481" w:rsidRPr="004C0481" w:rsidRDefault="004C0481" w:rsidP="001009DE">
      <w:pPr>
        <w:pStyle w:val="Paragraphe"/>
        <w:tabs>
          <w:tab w:val="clear" w:pos="360"/>
          <w:tab w:val="num" w:pos="851"/>
        </w:tabs>
        <w:spacing w:line="240" w:lineRule="auto"/>
        <w:rPr>
          <w:lang w:val="en-CA"/>
        </w:rPr>
      </w:pPr>
      <w:r>
        <w:rPr>
          <w:rFonts w:cs="Arial"/>
          <w:szCs w:val="24"/>
          <w:lang w:val="en-CA"/>
        </w:rPr>
        <w:t>To dispel any ambiguity on the issue: police officers may – indeed must – certainly pay close attention to man-purses, together with any other factors. Beyond the specialized training received, the evidence in the case at bar convincingly demonstrates that concealed weapons are found in man-purses extremely often. The numbers are loud and clear. They show, objectively and unequivocally, that there is a high probability  that a handgun might be found in such a bag. It is the hiding place of choice, far more common than belts, waistbands or ankle holsters. Given the circumstances, if a police officer ignored this very strong indicator, it would be nothing less than a sign of incompetence.</w:t>
      </w:r>
    </w:p>
    <w:p w14:paraId="09659135" w14:textId="77777777" w:rsidR="004C0481" w:rsidRPr="004C0481" w:rsidRDefault="004C0481" w:rsidP="004C0481">
      <w:pPr>
        <w:pStyle w:val="Paragraphe"/>
        <w:tabs>
          <w:tab w:val="clear" w:pos="360"/>
          <w:tab w:val="num" w:pos="851"/>
        </w:tabs>
        <w:spacing w:line="240" w:lineRule="auto"/>
        <w:rPr>
          <w:lang w:val="en-CA"/>
        </w:rPr>
      </w:pPr>
      <w:r>
        <w:rPr>
          <w:rFonts w:cs="Arial"/>
          <w:szCs w:val="24"/>
          <w:lang w:val="en-CA"/>
        </w:rPr>
        <w:t>If young men resent the police attention that their man-purses attract, then they are free to stop wearing them. This fashion accessory is in no way connected to culture, identity of integrity of the person. Nor is it essential in everyday life. The fashion trend is relatively recent. For decades, men survived just fin</w:t>
      </w:r>
      <w:r w:rsidR="00F137E2">
        <w:rPr>
          <w:rFonts w:cs="Arial"/>
          <w:szCs w:val="24"/>
          <w:lang w:val="en-CA"/>
        </w:rPr>
        <w:t>e</w:t>
      </w:r>
      <w:r>
        <w:rPr>
          <w:rFonts w:cs="Arial"/>
          <w:szCs w:val="24"/>
          <w:lang w:val="en-CA"/>
        </w:rPr>
        <w:t xml:space="preserve"> without these precious man-purses. Young men need not worry: wallets will continue to exist, as will pants pockets and jacket pockets.</w:t>
      </w:r>
    </w:p>
    <w:p w14:paraId="18804166" w14:textId="77777777" w:rsidR="00A43104" w:rsidRPr="00801044" w:rsidRDefault="00A43104" w:rsidP="00A43104">
      <w:pPr>
        <w:pStyle w:val="Titre2"/>
        <w:numPr>
          <w:ilvl w:val="0"/>
          <w:numId w:val="18"/>
        </w:numPr>
        <w:spacing w:before="120" w:after="120"/>
        <w:jc w:val="both"/>
        <w:rPr>
          <w:i w:val="0"/>
          <w:u w:val="single"/>
          <w:lang w:val="en-CA"/>
        </w:rPr>
      </w:pPr>
      <w:r>
        <w:rPr>
          <w:i w:val="0"/>
          <w:u w:val="single"/>
          <w:lang w:val="en-CA"/>
        </w:rPr>
        <w:lastRenderedPageBreak/>
        <w:t>The impending decision by the Court of Appeal and the comments reportedly made by one of the justices during the hearing</w:t>
      </w:r>
    </w:p>
    <w:p w14:paraId="0B59A0CD" w14:textId="77777777" w:rsidR="00A43104" w:rsidRPr="00A43104" w:rsidRDefault="00A43104" w:rsidP="00A43104">
      <w:pPr>
        <w:pStyle w:val="Paragraphe"/>
        <w:tabs>
          <w:tab w:val="clear" w:pos="360"/>
          <w:tab w:val="num" w:pos="851"/>
        </w:tabs>
        <w:spacing w:line="240" w:lineRule="auto"/>
        <w:rPr>
          <w:lang w:val="en-CA"/>
        </w:rPr>
      </w:pPr>
      <w:r w:rsidRPr="00A43104">
        <w:rPr>
          <w:rFonts w:cs="Arial"/>
          <w:szCs w:val="24"/>
          <w:lang w:val="en-CA"/>
        </w:rPr>
        <w:t xml:space="preserve">During arguments before me, defence counsel invoked </w:t>
      </w:r>
      <w:r w:rsidR="00911FD9">
        <w:rPr>
          <w:rFonts w:cs="Arial"/>
          <w:szCs w:val="24"/>
          <w:lang w:val="en-CA"/>
        </w:rPr>
        <w:t xml:space="preserve">judge Dalmau’s </w:t>
      </w:r>
      <w:r w:rsidRPr="00A43104">
        <w:rPr>
          <w:rFonts w:cs="Arial"/>
          <w:szCs w:val="24"/>
          <w:lang w:val="en-CA"/>
        </w:rPr>
        <w:t xml:space="preserve">decision in the case of </w:t>
      </w:r>
      <w:r w:rsidRPr="00A43104">
        <w:rPr>
          <w:rFonts w:cs="Arial"/>
          <w:b/>
          <w:bCs/>
          <w:i/>
          <w:iCs/>
          <w:szCs w:val="24"/>
          <w:lang w:val="en-CA"/>
        </w:rPr>
        <w:t xml:space="preserve">R. </w:t>
      </w:r>
      <w:r w:rsidRPr="00A43104">
        <w:rPr>
          <w:rFonts w:cs="Arial"/>
          <w:b/>
          <w:bCs/>
          <w:szCs w:val="24"/>
          <w:lang w:val="en-CA"/>
        </w:rPr>
        <w:t xml:space="preserve">v. </w:t>
      </w:r>
      <w:r w:rsidRPr="00A43104">
        <w:rPr>
          <w:rFonts w:cs="Arial"/>
          <w:b/>
          <w:bCs/>
          <w:i/>
          <w:iCs/>
          <w:szCs w:val="24"/>
          <w:lang w:val="en-CA"/>
        </w:rPr>
        <w:t>Cheml</w:t>
      </w:r>
      <w:r>
        <w:rPr>
          <w:rFonts w:cs="Arial"/>
          <w:b/>
          <w:bCs/>
          <w:i/>
          <w:iCs/>
          <w:szCs w:val="24"/>
          <w:lang w:val="en-CA"/>
        </w:rPr>
        <w:t>a</w:t>
      </w:r>
      <w:r w:rsidRPr="00A43104">
        <w:rPr>
          <w:rFonts w:cs="Arial"/>
          <w:b/>
          <w:bCs/>
          <w:i/>
          <w:iCs/>
          <w:szCs w:val="24"/>
          <w:lang w:val="en-CA"/>
        </w:rPr>
        <w:t>l</w:t>
      </w:r>
      <w:r w:rsidRPr="00A43104">
        <w:rPr>
          <w:rFonts w:cs="Arial"/>
          <w:szCs w:val="24"/>
          <w:lang w:val="en-CA"/>
        </w:rPr>
        <w:t>.</w:t>
      </w:r>
      <w:r>
        <w:rPr>
          <w:rStyle w:val="Appelnotedebasdep"/>
          <w:rFonts w:cs="Arial"/>
          <w:szCs w:val="24"/>
          <w:lang w:val="en-CA"/>
        </w:rPr>
        <w:footnoteReference w:id="71"/>
      </w:r>
      <w:r w:rsidRPr="00A43104">
        <w:rPr>
          <w:rFonts w:cs="Arial"/>
          <w:szCs w:val="24"/>
          <w:lang w:val="en-CA"/>
        </w:rPr>
        <w:t xml:space="preserve"> In that matter, the judge admitted the evidence.</w:t>
      </w:r>
      <w:r>
        <w:rPr>
          <w:rStyle w:val="Appelnotedebasdep"/>
          <w:rFonts w:cs="Arial"/>
          <w:szCs w:val="24"/>
          <w:lang w:val="en-CA"/>
        </w:rPr>
        <w:footnoteReference w:id="72"/>
      </w:r>
      <w:r w:rsidRPr="00A43104">
        <w:rPr>
          <w:rFonts w:cs="Arial"/>
          <w:szCs w:val="24"/>
          <w:lang w:val="en-CA"/>
        </w:rPr>
        <w:t xml:space="preserve"> The defence </w:t>
      </w:r>
      <w:r>
        <w:rPr>
          <w:rFonts w:cs="Arial"/>
          <w:szCs w:val="24"/>
          <w:lang w:val="en-CA"/>
        </w:rPr>
        <w:t>describes</w:t>
      </w:r>
      <w:r w:rsidRPr="00A43104">
        <w:rPr>
          <w:rFonts w:cs="Arial"/>
          <w:szCs w:val="24"/>
          <w:lang w:val="en-CA"/>
        </w:rPr>
        <w:t xml:space="preserve"> the case’s relevance as follows</w:t>
      </w:r>
      <w:r>
        <w:rPr>
          <w:rFonts w:cs="Arial"/>
          <w:szCs w:val="24"/>
          <w:lang w:val="en-CA"/>
        </w:rPr>
        <w:t>.</w:t>
      </w:r>
    </w:p>
    <w:p w14:paraId="087A9B8A" w14:textId="77777777" w:rsidR="00A43104" w:rsidRPr="00A43104" w:rsidRDefault="00A43104" w:rsidP="00A43104">
      <w:pPr>
        <w:pStyle w:val="Paragraphe"/>
        <w:tabs>
          <w:tab w:val="clear" w:pos="360"/>
          <w:tab w:val="num" w:pos="851"/>
        </w:tabs>
        <w:spacing w:line="240" w:lineRule="auto"/>
        <w:rPr>
          <w:lang w:val="en-CA"/>
        </w:rPr>
      </w:pPr>
      <w:r w:rsidRPr="00A43104">
        <w:rPr>
          <w:rFonts w:cs="Arial"/>
          <w:szCs w:val="24"/>
          <w:lang w:val="en-CA"/>
        </w:rPr>
        <w:t xml:space="preserve">First, according to counsel, the facts in </w:t>
      </w:r>
      <w:r w:rsidRPr="00A43104">
        <w:rPr>
          <w:rFonts w:cs="Arial"/>
          <w:b/>
          <w:bCs/>
          <w:i/>
          <w:iCs/>
          <w:szCs w:val="24"/>
          <w:lang w:val="en-CA"/>
        </w:rPr>
        <w:t>Cheml</w:t>
      </w:r>
      <w:r>
        <w:rPr>
          <w:rFonts w:cs="Arial"/>
          <w:b/>
          <w:bCs/>
          <w:i/>
          <w:iCs/>
          <w:szCs w:val="24"/>
          <w:lang w:val="en-CA"/>
        </w:rPr>
        <w:t>a</w:t>
      </w:r>
      <w:r w:rsidRPr="00A43104">
        <w:rPr>
          <w:rFonts w:cs="Arial"/>
          <w:b/>
          <w:bCs/>
          <w:i/>
          <w:iCs/>
          <w:szCs w:val="24"/>
          <w:lang w:val="en-CA"/>
        </w:rPr>
        <w:t>l</w:t>
      </w:r>
      <w:r w:rsidRPr="00A43104">
        <w:rPr>
          <w:rFonts w:cs="Arial"/>
          <w:szCs w:val="24"/>
          <w:lang w:val="en-CA"/>
        </w:rPr>
        <w:t xml:space="preserve"> were remarkably similar to those in the case at bar. Moreover, the same officer was involved, to wit: officer </w:t>
      </w:r>
      <w:r>
        <w:rPr>
          <w:rFonts w:cs="Arial"/>
          <w:szCs w:val="24"/>
          <w:lang w:val="en-CA"/>
        </w:rPr>
        <w:t>Patrick Laleyan</w:t>
      </w:r>
      <w:r w:rsidRPr="00A43104">
        <w:rPr>
          <w:rFonts w:cs="Arial"/>
          <w:szCs w:val="24"/>
          <w:lang w:val="en-CA"/>
        </w:rPr>
        <w:t>, although he was not the one who conducted the search</w:t>
      </w:r>
      <w:r>
        <w:rPr>
          <w:rFonts w:cs="Arial"/>
          <w:szCs w:val="24"/>
          <w:lang w:val="en-CA"/>
        </w:rPr>
        <w:t xml:space="preserve"> of the suspect</w:t>
      </w:r>
      <w:r w:rsidRPr="00A43104">
        <w:rPr>
          <w:rFonts w:cs="Arial"/>
          <w:szCs w:val="24"/>
          <w:lang w:val="en-CA"/>
        </w:rPr>
        <w:t>.</w:t>
      </w:r>
      <w:r>
        <w:rPr>
          <w:rStyle w:val="Appelnotedebasdep"/>
          <w:rFonts w:cs="Arial"/>
          <w:szCs w:val="24"/>
          <w:lang w:val="en-CA"/>
        </w:rPr>
        <w:footnoteReference w:id="73"/>
      </w:r>
    </w:p>
    <w:p w14:paraId="62ADA00C" w14:textId="77777777" w:rsidR="00A43104" w:rsidRPr="00A43104" w:rsidRDefault="00A43104" w:rsidP="00A43104">
      <w:pPr>
        <w:pStyle w:val="Paragraphe"/>
        <w:tabs>
          <w:tab w:val="clear" w:pos="360"/>
          <w:tab w:val="num" w:pos="851"/>
        </w:tabs>
        <w:spacing w:line="240" w:lineRule="auto"/>
        <w:rPr>
          <w:lang w:val="en-CA"/>
        </w:rPr>
      </w:pPr>
      <w:r w:rsidRPr="00A43104">
        <w:rPr>
          <w:rFonts w:cs="Arial"/>
          <w:szCs w:val="24"/>
          <w:lang w:val="en-CA"/>
        </w:rPr>
        <w:t>Finally, according to counsel for Nimeri, Cheml</w:t>
      </w:r>
      <w:r>
        <w:rPr>
          <w:rFonts w:cs="Arial"/>
          <w:szCs w:val="24"/>
          <w:lang w:val="en-CA"/>
        </w:rPr>
        <w:t>a</w:t>
      </w:r>
      <w:r w:rsidRPr="00A43104">
        <w:rPr>
          <w:rFonts w:cs="Arial"/>
          <w:szCs w:val="24"/>
          <w:lang w:val="en-CA"/>
        </w:rPr>
        <w:t>l presented a similar argument before the Court of Appeal, namely the link between “man</w:t>
      </w:r>
      <w:r>
        <w:rPr>
          <w:rFonts w:cs="Arial"/>
          <w:szCs w:val="24"/>
          <w:lang w:val="en-CA"/>
        </w:rPr>
        <w:t>-</w:t>
      </w:r>
      <w:r w:rsidRPr="00A43104">
        <w:rPr>
          <w:rFonts w:cs="Arial"/>
          <w:szCs w:val="24"/>
          <w:lang w:val="en-CA"/>
        </w:rPr>
        <w:t>purses and black and arabic men” and thus, the risk of indirect racial profiling. Moreover, according to him, during the hearing of the appeal, one of the honourable justices ma</w:t>
      </w:r>
      <w:r>
        <w:rPr>
          <w:rFonts w:cs="Arial"/>
          <w:szCs w:val="24"/>
          <w:lang w:val="en-CA"/>
        </w:rPr>
        <w:t>d</w:t>
      </w:r>
      <w:r w:rsidRPr="00A43104">
        <w:rPr>
          <w:rFonts w:cs="Arial"/>
          <w:szCs w:val="24"/>
          <w:lang w:val="en-CA"/>
        </w:rPr>
        <w:t xml:space="preserve">e comments that seemed to be receptive </w:t>
      </w:r>
      <w:r>
        <w:rPr>
          <w:rFonts w:cs="Arial"/>
          <w:szCs w:val="24"/>
          <w:lang w:val="en-CA"/>
        </w:rPr>
        <w:t>to</w:t>
      </w:r>
      <w:r w:rsidRPr="00A43104">
        <w:rPr>
          <w:rFonts w:cs="Arial"/>
          <w:szCs w:val="24"/>
          <w:lang w:val="en-CA"/>
        </w:rPr>
        <w:t xml:space="preserve"> the argument, or even arguably endorse it.</w:t>
      </w:r>
    </w:p>
    <w:p w14:paraId="39E1DEED" w14:textId="77777777" w:rsidR="00A43104" w:rsidRPr="00A43104" w:rsidRDefault="00A43104" w:rsidP="00A43104">
      <w:pPr>
        <w:pStyle w:val="Paragraphe"/>
        <w:tabs>
          <w:tab w:val="clear" w:pos="360"/>
          <w:tab w:val="num" w:pos="851"/>
        </w:tabs>
        <w:spacing w:line="240" w:lineRule="auto"/>
        <w:rPr>
          <w:lang w:val="en-CA"/>
        </w:rPr>
      </w:pPr>
      <w:r w:rsidRPr="00A43104">
        <w:rPr>
          <w:rFonts w:cs="Arial"/>
          <w:szCs w:val="24"/>
          <w:lang w:val="en-CA"/>
        </w:rPr>
        <w:t xml:space="preserve">In my view, the </w:t>
      </w:r>
      <w:r w:rsidRPr="00A43104">
        <w:rPr>
          <w:rFonts w:cs="Arial"/>
          <w:b/>
          <w:bCs/>
          <w:i/>
          <w:iCs/>
          <w:szCs w:val="24"/>
          <w:lang w:val="en-CA"/>
        </w:rPr>
        <w:t>Cheml</w:t>
      </w:r>
      <w:r>
        <w:rPr>
          <w:rFonts w:cs="Arial"/>
          <w:b/>
          <w:bCs/>
          <w:i/>
          <w:iCs/>
          <w:szCs w:val="24"/>
          <w:lang w:val="en-CA"/>
        </w:rPr>
        <w:t>a</w:t>
      </w:r>
      <w:r w:rsidRPr="00A43104">
        <w:rPr>
          <w:rFonts w:cs="Arial"/>
          <w:b/>
          <w:bCs/>
          <w:i/>
          <w:iCs/>
          <w:szCs w:val="24"/>
          <w:lang w:val="en-CA"/>
        </w:rPr>
        <w:t>l</w:t>
      </w:r>
      <w:r w:rsidRPr="00A43104">
        <w:rPr>
          <w:rFonts w:cs="Arial"/>
          <w:szCs w:val="24"/>
          <w:lang w:val="en-CA"/>
        </w:rPr>
        <w:t xml:space="preserve"> case is barely relevant in the case at bar.</w:t>
      </w:r>
    </w:p>
    <w:p w14:paraId="2931F986" w14:textId="77777777" w:rsidR="00A43104" w:rsidRPr="00A43104" w:rsidRDefault="00A43104" w:rsidP="00A43104">
      <w:pPr>
        <w:pStyle w:val="Paragraphe"/>
        <w:tabs>
          <w:tab w:val="clear" w:pos="360"/>
          <w:tab w:val="num" w:pos="851"/>
        </w:tabs>
        <w:spacing w:line="240" w:lineRule="auto"/>
        <w:rPr>
          <w:lang w:val="en-CA"/>
        </w:rPr>
      </w:pPr>
      <w:r w:rsidRPr="00A43104">
        <w:rPr>
          <w:rFonts w:cs="Arial"/>
          <w:szCs w:val="24"/>
          <w:lang w:val="en-CA"/>
        </w:rPr>
        <w:t xml:space="preserve">First, the decision, which was rendered orally and spans </w:t>
      </w:r>
      <w:r>
        <w:rPr>
          <w:rFonts w:cs="Arial"/>
          <w:szCs w:val="24"/>
          <w:lang w:val="en-CA"/>
        </w:rPr>
        <w:t>24</w:t>
      </w:r>
      <w:r w:rsidRPr="00A43104">
        <w:rPr>
          <w:rFonts w:cs="Arial"/>
          <w:szCs w:val="24"/>
          <w:lang w:val="en-CA"/>
        </w:rPr>
        <w:t xml:space="preserve"> pages of transcript, reveals that the facts were</w:t>
      </w:r>
      <w:r>
        <w:rPr>
          <w:rFonts w:cs="Arial"/>
          <w:szCs w:val="24"/>
          <w:lang w:val="en-CA"/>
        </w:rPr>
        <w:t xml:space="preserve"> distinguishable in many respects.</w:t>
      </w:r>
    </w:p>
    <w:p w14:paraId="7D3E51D5" w14:textId="77777777" w:rsidR="00A43104" w:rsidRPr="008303CB" w:rsidRDefault="00A43104" w:rsidP="00A43104">
      <w:pPr>
        <w:pStyle w:val="Paragraphe"/>
        <w:tabs>
          <w:tab w:val="clear" w:pos="360"/>
          <w:tab w:val="num" w:pos="851"/>
        </w:tabs>
        <w:spacing w:line="240" w:lineRule="auto"/>
        <w:rPr>
          <w:lang w:val="en-CA"/>
        </w:rPr>
      </w:pPr>
      <w:r w:rsidRPr="00A43104">
        <w:rPr>
          <w:rFonts w:cs="Arial"/>
          <w:szCs w:val="24"/>
          <w:lang w:val="en-CA"/>
        </w:rPr>
        <w:t xml:space="preserve">Furthermore, the fact that officer </w:t>
      </w:r>
      <w:r>
        <w:rPr>
          <w:rFonts w:cs="Arial"/>
          <w:szCs w:val="24"/>
          <w:lang w:val="en-CA"/>
        </w:rPr>
        <w:t>Laleyan</w:t>
      </w:r>
      <w:r w:rsidRPr="00A43104">
        <w:rPr>
          <w:rFonts w:cs="Arial"/>
          <w:szCs w:val="24"/>
          <w:lang w:val="en-CA"/>
        </w:rPr>
        <w:t xml:space="preserve"> was involved in that case too is of no consequence. Each judge is seized of the evidence before him, considered as a whole. If another judge – in another matter – ruled that a given police officer behaved properly (or improperly), this in no way binds the current judge in the case at bar</w:t>
      </w:r>
      <w:r>
        <w:rPr>
          <w:rFonts w:cs="Arial"/>
          <w:szCs w:val="24"/>
          <w:lang w:val="en-CA"/>
        </w:rPr>
        <w:t>, especially when the underling facts are different</w:t>
      </w:r>
      <w:r w:rsidRPr="00A43104">
        <w:rPr>
          <w:rFonts w:cs="Arial"/>
          <w:szCs w:val="24"/>
          <w:lang w:val="en-CA"/>
        </w:rPr>
        <w:t>.</w:t>
      </w:r>
      <w:r>
        <w:rPr>
          <w:rFonts w:cs="Arial"/>
          <w:szCs w:val="24"/>
          <w:lang w:val="en-CA"/>
        </w:rPr>
        <w:t xml:space="preserve"> It is always risky to rely on factual findings of another judge, made in another case, based on different evidence.</w:t>
      </w:r>
    </w:p>
    <w:p w14:paraId="5AD65582" w14:textId="77777777" w:rsidR="008303CB" w:rsidRPr="001079F9" w:rsidRDefault="008303CB" w:rsidP="00A43104">
      <w:pPr>
        <w:pStyle w:val="Paragraphe"/>
        <w:tabs>
          <w:tab w:val="clear" w:pos="360"/>
          <w:tab w:val="num" w:pos="851"/>
        </w:tabs>
        <w:spacing w:line="240" w:lineRule="auto"/>
        <w:rPr>
          <w:lang w:val="en-CA"/>
        </w:rPr>
      </w:pPr>
      <w:r>
        <w:rPr>
          <w:rFonts w:cs="Arial"/>
          <w:szCs w:val="24"/>
          <w:lang w:val="en-CA"/>
        </w:rPr>
        <w:t xml:space="preserve">In the recent </w:t>
      </w:r>
      <w:r>
        <w:rPr>
          <w:rFonts w:cs="Arial"/>
          <w:b/>
          <w:bCs/>
          <w:i/>
          <w:iCs/>
          <w:szCs w:val="24"/>
          <w:lang w:val="en-CA"/>
        </w:rPr>
        <w:t xml:space="preserve">R. </w:t>
      </w:r>
      <w:r>
        <w:rPr>
          <w:rFonts w:cs="Arial"/>
          <w:b/>
          <w:bCs/>
          <w:szCs w:val="24"/>
          <w:lang w:val="en-CA"/>
        </w:rPr>
        <w:t xml:space="preserve">c. </w:t>
      </w:r>
      <w:r>
        <w:rPr>
          <w:rFonts w:cs="Arial"/>
          <w:b/>
          <w:bCs/>
          <w:i/>
          <w:iCs/>
          <w:szCs w:val="24"/>
          <w:lang w:val="en-CA"/>
        </w:rPr>
        <w:t>Accurso</w:t>
      </w:r>
      <w:r>
        <w:rPr>
          <w:rFonts w:cs="Arial"/>
          <w:szCs w:val="24"/>
          <w:lang w:val="en-CA"/>
        </w:rPr>
        <w:t xml:space="preserve">, our Court of Appeal clearly held that you cannot import </w:t>
      </w:r>
      <w:r w:rsidR="001079F9">
        <w:rPr>
          <w:rFonts w:cs="Arial"/>
          <w:szCs w:val="24"/>
          <w:lang w:val="en-CA"/>
        </w:rPr>
        <w:t>factual conclusions or credibility findings from one case to another, since this constitutes extrinsic evidence. Besides, a witness may be credible or reliable in one file, but no so in others.</w:t>
      </w:r>
      <w:r w:rsidR="001079F9">
        <w:rPr>
          <w:rStyle w:val="Appelnotedebasdep"/>
          <w:rFonts w:cs="Arial"/>
          <w:szCs w:val="24"/>
          <w:lang w:val="en-CA"/>
        </w:rPr>
        <w:footnoteReference w:id="74"/>
      </w:r>
      <w:r w:rsidR="001079F9">
        <w:rPr>
          <w:rFonts w:cs="Arial"/>
          <w:szCs w:val="24"/>
          <w:lang w:val="en-CA"/>
        </w:rPr>
        <w:t xml:space="preserve"> The rule applies in full, even where the circumstances of both cases are similar to one another.</w:t>
      </w:r>
      <w:r w:rsidR="001079F9">
        <w:rPr>
          <w:rStyle w:val="Appelnotedebasdep"/>
          <w:rFonts w:cs="Arial"/>
          <w:szCs w:val="24"/>
          <w:lang w:val="en-CA"/>
        </w:rPr>
        <w:footnoteReference w:id="75"/>
      </w:r>
      <w:r w:rsidR="001079F9">
        <w:rPr>
          <w:rFonts w:cs="Arial"/>
          <w:szCs w:val="24"/>
          <w:lang w:val="en-CA"/>
        </w:rPr>
        <w:t xml:space="preserve"> Similarly, a judge cannot consider a fact to be proven, simply because it was established by evidence in another file.</w:t>
      </w:r>
      <w:r w:rsidR="001079F9">
        <w:rPr>
          <w:rStyle w:val="Appelnotedebasdep"/>
          <w:rFonts w:cs="Arial"/>
          <w:szCs w:val="24"/>
          <w:lang w:val="en-CA"/>
        </w:rPr>
        <w:footnoteReference w:id="76"/>
      </w:r>
    </w:p>
    <w:p w14:paraId="6B9B4340" w14:textId="77777777" w:rsidR="00A43104" w:rsidRPr="001079F9" w:rsidRDefault="001079F9" w:rsidP="00A43104">
      <w:pPr>
        <w:pStyle w:val="Paragraphe"/>
        <w:tabs>
          <w:tab w:val="clear" w:pos="360"/>
          <w:tab w:val="num" w:pos="851"/>
        </w:tabs>
        <w:spacing w:line="240" w:lineRule="auto"/>
        <w:rPr>
          <w:lang w:val="en-CA"/>
        </w:rPr>
      </w:pPr>
      <w:r>
        <w:rPr>
          <w:lang w:val="en-CA"/>
        </w:rPr>
        <w:lastRenderedPageBreak/>
        <w:t xml:space="preserve">On another note, </w:t>
      </w:r>
      <w:r w:rsidR="00A43104" w:rsidRPr="001079F9">
        <w:rPr>
          <w:rFonts w:cs="Arial"/>
          <w:szCs w:val="24"/>
          <w:lang w:val="en-CA"/>
        </w:rPr>
        <w:t xml:space="preserve">any judgment rendered by the Quebec Court of Appeal is </w:t>
      </w:r>
      <w:r>
        <w:rPr>
          <w:rFonts w:cs="Arial"/>
          <w:szCs w:val="24"/>
          <w:lang w:val="en-CA"/>
        </w:rPr>
        <w:t xml:space="preserve">obviously </w:t>
      </w:r>
      <w:r w:rsidR="00A43104" w:rsidRPr="001079F9">
        <w:rPr>
          <w:rFonts w:cs="Arial"/>
          <w:szCs w:val="24"/>
          <w:lang w:val="en-CA"/>
        </w:rPr>
        <w:t xml:space="preserve">relevant, useful and authoritative for trial judges in the province. However, </w:t>
      </w:r>
      <w:r>
        <w:rPr>
          <w:rFonts w:cs="Arial"/>
          <w:b/>
          <w:bCs/>
          <w:i/>
          <w:iCs/>
          <w:szCs w:val="24"/>
          <w:lang w:val="en-CA"/>
        </w:rPr>
        <w:t>Chemlal</w:t>
      </w:r>
      <w:r w:rsidR="00A43104" w:rsidRPr="001079F9">
        <w:rPr>
          <w:rFonts w:cs="Arial"/>
          <w:szCs w:val="24"/>
          <w:lang w:val="en-CA"/>
        </w:rPr>
        <w:t xml:space="preserve"> is still under advisement at the Court of Appeal</w:t>
      </w:r>
      <w:r>
        <w:rPr>
          <w:rFonts w:cs="Arial"/>
          <w:szCs w:val="24"/>
          <w:lang w:val="en-CA"/>
        </w:rPr>
        <w:t>; it has been</w:t>
      </w:r>
      <w:r w:rsidR="00A43104" w:rsidRPr="001079F9">
        <w:rPr>
          <w:rFonts w:cs="Arial"/>
          <w:szCs w:val="24"/>
          <w:lang w:val="en-CA"/>
        </w:rPr>
        <w:t xml:space="preserve"> since October of 2023. The judgment is still not rendered and it is not my place to attempt to </w:t>
      </w:r>
      <w:r>
        <w:rPr>
          <w:rFonts w:cs="Arial"/>
          <w:szCs w:val="24"/>
          <w:lang w:val="en-CA"/>
        </w:rPr>
        <w:t xml:space="preserve">predict </w:t>
      </w:r>
      <w:r w:rsidR="00A43104" w:rsidRPr="001079F9">
        <w:rPr>
          <w:rFonts w:cs="Arial"/>
          <w:szCs w:val="24"/>
          <w:lang w:val="en-CA"/>
        </w:rPr>
        <w:t xml:space="preserve">how the Court of Appeal will rule. Such an exercise would be presumptuous and inappropriate. For the time being, unless and until the Court of Appeal says otherwise, judge Dalmau’s decision is presumed valid. </w:t>
      </w:r>
      <w:r>
        <w:rPr>
          <w:rFonts w:cs="Arial"/>
          <w:szCs w:val="24"/>
          <w:lang w:val="en-CA"/>
        </w:rPr>
        <w:t>In any event</w:t>
      </w:r>
      <w:r w:rsidR="00A43104" w:rsidRPr="001079F9">
        <w:rPr>
          <w:rFonts w:cs="Arial"/>
          <w:szCs w:val="24"/>
          <w:lang w:val="en-CA"/>
        </w:rPr>
        <w:t xml:space="preserve">, as stated above, I am not relying on the </w:t>
      </w:r>
      <w:r w:rsidR="00A43104" w:rsidRPr="001079F9">
        <w:rPr>
          <w:rFonts w:cs="Arial"/>
          <w:b/>
          <w:bCs/>
          <w:i/>
          <w:iCs/>
          <w:szCs w:val="24"/>
          <w:lang w:val="en-CA"/>
        </w:rPr>
        <w:t>Cheml</w:t>
      </w:r>
      <w:r>
        <w:rPr>
          <w:rFonts w:cs="Arial"/>
          <w:b/>
          <w:bCs/>
          <w:i/>
          <w:iCs/>
          <w:szCs w:val="24"/>
          <w:lang w:val="en-CA"/>
        </w:rPr>
        <w:t>a</w:t>
      </w:r>
      <w:r w:rsidR="00A43104" w:rsidRPr="001079F9">
        <w:rPr>
          <w:rFonts w:cs="Arial"/>
          <w:b/>
          <w:bCs/>
          <w:i/>
          <w:iCs/>
          <w:szCs w:val="24"/>
          <w:lang w:val="en-CA"/>
        </w:rPr>
        <w:t>l</w:t>
      </w:r>
      <w:r w:rsidR="00A43104" w:rsidRPr="001079F9">
        <w:rPr>
          <w:rFonts w:cs="Arial"/>
          <w:szCs w:val="24"/>
          <w:lang w:val="en-CA"/>
        </w:rPr>
        <w:t xml:space="preserve"> decision.</w:t>
      </w:r>
    </w:p>
    <w:p w14:paraId="3E6FE516" w14:textId="77777777" w:rsidR="00A43104" w:rsidRPr="001079F9" w:rsidRDefault="00A43104" w:rsidP="00A43104">
      <w:pPr>
        <w:pStyle w:val="Paragraphe"/>
        <w:tabs>
          <w:tab w:val="clear" w:pos="360"/>
          <w:tab w:val="num" w:pos="851"/>
        </w:tabs>
        <w:spacing w:line="240" w:lineRule="auto"/>
        <w:rPr>
          <w:lang w:val="en-CA"/>
        </w:rPr>
      </w:pPr>
      <w:r w:rsidRPr="001079F9">
        <w:rPr>
          <w:rFonts w:cs="Arial"/>
          <w:szCs w:val="24"/>
          <w:lang w:val="en-CA"/>
        </w:rPr>
        <w:t>Finally, regarding</w:t>
      </w:r>
      <w:r w:rsidR="001079F9">
        <w:rPr>
          <w:rFonts w:cs="Arial"/>
          <w:szCs w:val="24"/>
          <w:lang w:val="en-CA"/>
        </w:rPr>
        <w:t xml:space="preserve"> the</w:t>
      </w:r>
      <w:r w:rsidRPr="001079F9">
        <w:rPr>
          <w:rFonts w:cs="Arial"/>
          <w:szCs w:val="24"/>
          <w:lang w:val="en-CA"/>
        </w:rPr>
        <w:t xml:space="preserve"> remarks that one of the Court of Appeal ju</w:t>
      </w:r>
      <w:r w:rsidR="001079F9">
        <w:rPr>
          <w:rFonts w:cs="Arial"/>
          <w:szCs w:val="24"/>
          <w:lang w:val="en-CA"/>
        </w:rPr>
        <w:t>stices</w:t>
      </w:r>
      <w:r w:rsidRPr="001079F9">
        <w:rPr>
          <w:rFonts w:cs="Arial"/>
          <w:szCs w:val="24"/>
          <w:lang w:val="en-CA"/>
        </w:rPr>
        <w:t xml:space="preserve"> may have made during the hearing, I cannot consider them here. For starters, they were paraphrased to me in very vague terms. As such, concretely speaking, I do not know exactly what the ju</w:t>
      </w:r>
      <w:r w:rsidR="001079F9">
        <w:rPr>
          <w:rFonts w:cs="Arial"/>
          <w:szCs w:val="24"/>
          <w:lang w:val="en-CA"/>
        </w:rPr>
        <w:t>dge</w:t>
      </w:r>
      <w:r w:rsidRPr="001079F9">
        <w:rPr>
          <w:rFonts w:cs="Arial"/>
          <w:szCs w:val="24"/>
          <w:lang w:val="en-CA"/>
        </w:rPr>
        <w:t xml:space="preserve"> said. Moreover, even if we did know the exact nature of his statement(s), it is trite law that the comments </w:t>
      </w:r>
      <w:r w:rsidR="001079F9">
        <w:rPr>
          <w:rFonts w:cs="Arial"/>
          <w:szCs w:val="24"/>
          <w:lang w:val="en-CA"/>
        </w:rPr>
        <w:t xml:space="preserve">made </w:t>
      </w:r>
      <w:r w:rsidRPr="001079F9">
        <w:rPr>
          <w:rFonts w:cs="Arial"/>
          <w:szCs w:val="24"/>
          <w:lang w:val="en-CA"/>
        </w:rPr>
        <w:t xml:space="preserve">or questions asked during the hearing of an appeal do </w:t>
      </w:r>
      <w:r w:rsidRPr="001079F9">
        <w:rPr>
          <w:rFonts w:cs="Arial"/>
          <w:szCs w:val="24"/>
          <w:u w:val="single"/>
          <w:lang w:val="en-CA"/>
        </w:rPr>
        <w:t>not</w:t>
      </w:r>
      <w:r w:rsidRPr="001079F9">
        <w:rPr>
          <w:rFonts w:cs="Arial"/>
          <w:szCs w:val="24"/>
          <w:lang w:val="en-CA"/>
        </w:rPr>
        <w:t xml:space="preserve"> form part of the Court’s ultimate judgment.</w:t>
      </w:r>
      <w:r>
        <w:rPr>
          <w:rStyle w:val="Appelnotedebasdep"/>
        </w:rPr>
        <w:footnoteReference w:id="77"/>
      </w:r>
    </w:p>
    <w:p w14:paraId="65B45A20" w14:textId="77777777" w:rsidR="00535C85" w:rsidRPr="00535C85" w:rsidRDefault="00535C85" w:rsidP="00535C85">
      <w:pPr>
        <w:pStyle w:val="Titre1"/>
        <w:spacing w:before="120" w:after="120"/>
        <w:jc w:val="both"/>
        <w:rPr>
          <w:sz w:val="24"/>
          <w:szCs w:val="24"/>
          <w:u w:val="single"/>
          <w:lang w:val="en-CA"/>
        </w:rPr>
      </w:pPr>
      <w:r>
        <w:rPr>
          <w:sz w:val="24"/>
          <w:szCs w:val="24"/>
          <w:lang w:val="en-CA"/>
        </w:rPr>
        <w:t>5</w:t>
      </w:r>
      <w:r w:rsidRPr="00E12863">
        <w:rPr>
          <w:sz w:val="24"/>
          <w:szCs w:val="24"/>
          <w:lang w:val="en-CA"/>
        </w:rPr>
        <w:t xml:space="preserve">- </w:t>
      </w:r>
      <w:r>
        <w:rPr>
          <w:sz w:val="24"/>
          <w:szCs w:val="24"/>
          <w:u w:val="single"/>
          <w:lang w:val="en-CA"/>
        </w:rPr>
        <w:t>Application of the principles to the case at bar</w:t>
      </w:r>
    </w:p>
    <w:p w14:paraId="52F2755C" w14:textId="77777777" w:rsidR="007A3122" w:rsidRDefault="007A3122" w:rsidP="00FC6EA0">
      <w:pPr>
        <w:pStyle w:val="Paragraphe"/>
        <w:tabs>
          <w:tab w:val="clear" w:pos="360"/>
          <w:tab w:val="num" w:pos="851"/>
        </w:tabs>
        <w:spacing w:line="240" w:lineRule="auto"/>
        <w:rPr>
          <w:lang w:val="en-CA"/>
        </w:rPr>
      </w:pPr>
      <w:r>
        <w:rPr>
          <w:lang w:val="en-CA"/>
        </w:rPr>
        <w:t>From a purely factual standpoint, the Court entirely believes the two officers’ testimony. Each described the facts in a clear, detailed and spontaneous manner. No contradictions were raised.</w:t>
      </w:r>
    </w:p>
    <w:p w14:paraId="3A8D2E4D" w14:textId="77777777" w:rsidR="007A3122" w:rsidRDefault="007A3122" w:rsidP="00FC6EA0">
      <w:pPr>
        <w:pStyle w:val="Paragraphe"/>
        <w:tabs>
          <w:tab w:val="clear" w:pos="360"/>
          <w:tab w:val="num" w:pos="851"/>
        </w:tabs>
        <w:spacing w:line="240" w:lineRule="auto"/>
        <w:rPr>
          <w:lang w:val="en-CA"/>
        </w:rPr>
      </w:pPr>
      <w:r>
        <w:rPr>
          <w:lang w:val="en-CA"/>
        </w:rPr>
        <w:t>Each officer was quite transparent about his intentions at the time of the intervention. Each also recognized that in the past, he had initiated gun-related interactions that ended up being negative (</w:t>
      </w:r>
      <w:r>
        <w:rPr>
          <w:i/>
          <w:iCs/>
          <w:lang w:val="en-CA"/>
        </w:rPr>
        <w:t>i.e.</w:t>
      </w:r>
      <w:r>
        <w:rPr>
          <w:lang w:val="en-CA"/>
        </w:rPr>
        <w:t>, he intercepted someone he reasonably suspected was armed, but the person was not, after all). On that note, both officers referred the parties to the M-IRIS database, which documents each one of these negative interactions. In that sense, these witnesses clearly had nothing to hide.</w:t>
      </w:r>
    </w:p>
    <w:p w14:paraId="55361EAE" w14:textId="77777777" w:rsidR="007A3122" w:rsidRPr="007A3122" w:rsidRDefault="007A3122" w:rsidP="007A3122">
      <w:pPr>
        <w:pStyle w:val="Paragraphe"/>
        <w:tabs>
          <w:tab w:val="clear" w:pos="360"/>
          <w:tab w:val="num" w:pos="851"/>
        </w:tabs>
        <w:spacing w:line="240" w:lineRule="auto"/>
        <w:rPr>
          <w:lang w:val="en-CA"/>
        </w:rPr>
      </w:pPr>
      <w:r>
        <w:rPr>
          <w:lang w:val="en-CA"/>
        </w:rPr>
        <w:t>Finally, their testimony is uncontradicted. The accused did not testify.</w:t>
      </w:r>
    </w:p>
    <w:p w14:paraId="1843E9D5" w14:textId="77777777" w:rsidR="007A3122" w:rsidRPr="007A3122" w:rsidRDefault="007A3122" w:rsidP="007A3122">
      <w:pPr>
        <w:pStyle w:val="Titre2"/>
        <w:numPr>
          <w:ilvl w:val="0"/>
          <w:numId w:val="17"/>
        </w:numPr>
        <w:spacing w:before="120" w:after="120"/>
        <w:rPr>
          <w:i w:val="0"/>
          <w:u w:val="single"/>
          <w:lang w:val="en-CA"/>
        </w:rPr>
      </w:pPr>
      <w:bookmarkStart w:id="37" w:name="_Hlk162253064"/>
      <w:r>
        <w:rPr>
          <w:i w:val="0"/>
          <w:u w:val="single"/>
          <w:lang w:val="en-CA"/>
        </w:rPr>
        <w:t>What offence was being investigated</w:t>
      </w:r>
      <w:r>
        <w:rPr>
          <w:i w:val="0"/>
          <w:lang w:val="en-CA"/>
        </w:rPr>
        <w:t>?</w:t>
      </w:r>
      <w:bookmarkEnd w:id="37"/>
    </w:p>
    <w:p w14:paraId="006E4415" w14:textId="77777777" w:rsidR="00535C85" w:rsidRDefault="00035ED6" w:rsidP="00FC6EA0">
      <w:pPr>
        <w:pStyle w:val="Paragraphe"/>
        <w:tabs>
          <w:tab w:val="clear" w:pos="360"/>
          <w:tab w:val="num" w:pos="851"/>
        </w:tabs>
        <w:spacing w:line="240" w:lineRule="auto"/>
        <w:rPr>
          <w:lang w:val="en-CA"/>
        </w:rPr>
      </w:pPr>
      <w:r>
        <w:rPr>
          <w:lang w:val="en-CA"/>
        </w:rPr>
        <w:t xml:space="preserve">It is true that in most common applications of </w:t>
      </w:r>
      <w:r>
        <w:rPr>
          <w:b/>
          <w:bCs/>
          <w:i/>
          <w:iCs/>
          <w:lang w:val="en-CA"/>
        </w:rPr>
        <w:t>Mann</w:t>
      </w:r>
      <w:r>
        <w:rPr>
          <w:lang w:val="en-CA"/>
        </w:rPr>
        <w:t xml:space="preserve">, there is already an investigation in progress regarding a given crime when the police happen to encounter the suspect. Often, as they are actively pursuing leads, they unexpectedly fall upon the accused. Sometimes, </w:t>
      </w:r>
      <w:r w:rsidR="00547DB5">
        <w:rPr>
          <w:lang w:val="en-CA"/>
        </w:rPr>
        <w:t>the</w:t>
      </w:r>
      <w:r>
        <w:rPr>
          <w:lang w:val="en-CA"/>
        </w:rPr>
        <w:t xml:space="preserve"> investigation is as simple as being on the lookout after a 9</w:t>
      </w:r>
      <w:r w:rsidR="00547DB5">
        <w:rPr>
          <w:lang w:val="en-CA"/>
        </w:rPr>
        <w:t>-</w:t>
      </w:r>
      <w:r>
        <w:rPr>
          <w:lang w:val="en-CA"/>
        </w:rPr>
        <w:t>1</w:t>
      </w:r>
      <w:r w:rsidR="00547DB5">
        <w:rPr>
          <w:lang w:val="en-CA"/>
        </w:rPr>
        <w:t>-</w:t>
      </w:r>
      <w:r>
        <w:rPr>
          <w:lang w:val="en-CA"/>
        </w:rPr>
        <w:t>1 call reporting a recent incident.</w:t>
      </w:r>
    </w:p>
    <w:p w14:paraId="213699D8" w14:textId="77777777" w:rsidR="00035ED6" w:rsidRDefault="00035ED6" w:rsidP="00FC6EA0">
      <w:pPr>
        <w:pStyle w:val="Paragraphe"/>
        <w:tabs>
          <w:tab w:val="clear" w:pos="360"/>
          <w:tab w:val="num" w:pos="851"/>
        </w:tabs>
        <w:spacing w:line="240" w:lineRule="auto"/>
        <w:rPr>
          <w:lang w:val="en-CA"/>
        </w:rPr>
      </w:pPr>
      <w:r>
        <w:rPr>
          <w:lang w:val="en-CA"/>
        </w:rPr>
        <w:t>However, that will not always be the case.</w:t>
      </w:r>
    </w:p>
    <w:p w14:paraId="46B8C07F" w14:textId="77777777" w:rsidR="00035ED6" w:rsidRDefault="00035ED6" w:rsidP="00FC6EA0">
      <w:pPr>
        <w:pStyle w:val="Paragraphe"/>
        <w:tabs>
          <w:tab w:val="clear" w:pos="360"/>
          <w:tab w:val="num" w:pos="851"/>
        </w:tabs>
        <w:spacing w:line="240" w:lineRule="auto"/>
        <w:rPr>
          <w:lang w:val="en-CA"/>
        </w:rPr>
      </w:pPr>
      <w:r>
        <w:rPr>
          <w:lang w:val="en-CA"/>
        </w:rPr>
        <w:t>A pre-existing investigation or ongoing searches are not conditions precedent to the application of an investigative detention.</w:t>
      </w:r>
      <w:r w:rsidR="00DF7AE6">
        <w:rPr>
          <w:lang w:val="en-CA"/>
        </w:rPr>
        <w:t xml:space="preserve"> On this point I agree with the British Columbia Court of Appeal in </w:t>
      </w:r>
      <w:r w:rsidR="00DF7AE6">
        <w:rPr>
          <w:b/>
          <w:bCs/>
          <w:i/>
          <w:iCs/>
          <w:lang w:val="en-CA"/>
        </w:rPr>
        <w:t xml:space="preserve">R. </w:t>
      </w:r>
      <w:r w:rsidR="00DF7AE6">
        <w:rPr>
          <w:b/>
          <w:bCs/>
          <w:lang w:val="en-CA"/>
        </w:rPr>
        <w:t xml:space="preserve">v. </w:t>
      </w:r>
      <w:r w:rsidR="00DF7AE6">
        <w:rPr>
          <w:b/>
          <w:bCs/>
          <w:i/>
          <w:iCs/>
          <w:lang w:val="en-CA"/>
        </w:rPr>
        <w:t>Wilkinson</w:t>
      </w:r>
      <w:r w:rsidR="00DF7AE6">
        <w:rPr>
          <w:lang w:val="en-CA"/>
        </w:rPr>
        <w:t>:</w:t>
      </w:r>
    </w:p>
    <w:p w14:paraId="38BDA2FD" w14:textId="77777777" w:rsidR="00DF7AE6" w:rsidRPr="00DF7AE6" w:rsidRDefault="00DF7AE6" w:rsidP="00DF7AE6">
      <w:pPr>
        <w:pStyle w:val="Paragraphe"/>
        <w:numPr>
          <w:ilvl w:val="0"/>
          <w:numId w:val="0"/>
        </w:numPr>
        <w:spacing w:line="240" w:lineRule="auto"/>
        <w:ind w:left="1418" w:right="1140"/>
        <w:rPr>
          <w:sz w:val="22"/>
          <w:szCs w:val="22"/>
          <w:lang w:val="en-CA"/>
        </w:rPr>
      </w:pPr>
      <w:bookmarkStart w:id="38" w:name="_Hlk162363394"/>
      <w:r w:rsidRPr="00DF7AE6">
        <w:rPr>
          <w:sz w:val="22"/>
          <w:szCs w:val="22"/>
          <w:lang w:val="en-CA"/>
        </w:rPr>
        <w:lastRenderedPageBreak/>
        <w:t>Furthermore, as noted above, there is no need for the police to be investigating a specific crime, particularly when they are conducting a community patrol.</w:t>
      </w:r>
      <w:r w:rsidRPr="00DF7AE6">
        <w:rPr>
          <w:rStyle w:val="Appelnotedebasdep"/>
          <w:sz w:val="22"/>
          <w:szCs w:val="22"/>
          <w:lang w:val="en-CA"/>
        </w:rPr>
        <w:footnoteReference w:id="78"/>
      </w:r>
    </w:p>
    <w:bookmarkEnd w:id="38"/>
    <w:p w14:paraId="5E2293C8" w14:textId="77777777" w:rsidR="00035ED6" w:rsidRDefault="00035ED6" w:rsidP="00FC6EA0">
      <w:pPr>
        <w:pStyle w:val="Paragraphe"/>
        <w:tabs>
          <w:tab w:val="clear" w:pos="360"/>
          <w:tab w:val="num" w:pos="851"/>
        </w:tabs>
        <w:spacing w:line="240" w:lineRule="auto"/>
        <w:rPr>
          <w:lang w:val="en-CA"/>
        </w:rPr>
      </w:pPr>
      <w:r>
        <w:rPr>
          <w:lang w:val="en-CA"/>
        </w:rPr>
        <w:t xml:space="preserve">In the case at bar, during </w:t>
      </w:r>
      <w:r w:rsidR="00911FD9">
        <w:rPr>
          <w:lang w:val="en-CA"/>
        </w:rPr>
        <w:t xml:space="preserve">the </w:t>
      </w:r>
      <w:r>
        <w:rPr>
          <w:lang w:val="en-CA"/>
        </w:rPr>
        <w:t xml:space="preserve">officers’ cross-examinations and in final argument, defence counsel rhetorically raised the question: “what crime were they investigating” when they arrived at the intersection? Counsel implies that there was no ongoing investigation of any kind; therefore, this was not a real case of </w:t>
      </w:r>
      <w:r>
        <w:rPr>
          <w:i/>
          <w:iCs/>
          <w:lang w:val="en-CA"/>
        </w:rPr>
        <w:t>investigative</w:t>
      </w:r>
      <w:r>
        <w:rPr>
          <w:lang w:val="en-CA"/>
        </w:rPr>
        <w:t xml:space="preserve"> detention.</w:t>
      </w:r>
    </w:p>
    <w:p w14:paraId="6F8C519F" w14:textId="77777777" w:rsidR="00035ED6" w:rsidRDefault="00035ED6" w:rsidP="00FC6EA0">
      <w:pPr>
        <w:pStyle w:val="Paragraphe"/>
        <w:tabs>
          <w:tab w:val="clear" w:pos="360"/>
          <w:tab w:val="num" w:pos="851"/>
        </w:tabs>
        <w:spacing w:line="240" w:lineRule="auto"/>
        <w:rPr>
          <w:lang w:val="en-CA"/>
        </w:rPr>
      </w:pPr>
      <w:r>
        <w:rPr>
          <w:lang w:val="en-CA"/>
        </w:rPr>
        <w:t>The Court does not share this interpretation of the police power.</w:t>
      </w:r>
    </w:p>
    <w:p w14:paraId="7524252A" w14:textId="77777777" w:rsidR="00035ED6" w:rsidRDefault="00035ED6" w:rsidP="00FC6EA0">
      <w:pPr>
        <w:pStyle w:val="Paragraphe"/>
        <w:tabs>
          <w:tab w:val="clear" w:pos="360"/>
          <w:tab w:val="num" w:pos="851"/>
        </w:tabs>
        <w:spacing w:line="240" w:lineRule="auto"/>
        <w:rPr>
          <w:lang w:val="en-CA"/>
        </w:rPr>
      </w:pPr>
      <w:r>
        <w:rPr>
          <w:lang w:val="en-CA"/>
        </w:rPr>
        <w:t xml:space="preserve">Instead, </w:t>
      </w:r>
      <w:r w:rsidR="00C725AD">
        <w:rPr>
          <w:lang w:val="en-CA"/>
        </w:rPr>
        <w:t>it is perfectly conceivable that the grounds justifying an investigative detention can materiali</w:t>
      </w:r>
      <w:r w:rsidR="00F137E2">
        <w:rPr>
          <w:lang w:val="en-CA"/>
        </w:rPr>
        <w:t>z</w:t>
      </w:r>
      <w:r w:rsidR="00C725AD">
        <w:rPr>
          <w:lang w:val="en-CA"/>
        </w:rPr>
        <w:t>e very quickly, even after noticing the suspect for the first time.</w:t>
      </w:r>
      <w:r w:rsidR="00686B85">
        <w:rPr>
          <w:lang w:val="en-CA"/>
        </w:rPr>
        <w:t xml:space="preserve"> </w:t>
      </w:r>
      <w:bookmarkStart w:id="39" w:name="_Hlk162300658"/>
      <w:r w:rsidR="00686B85">
        <w:rPr>
          <w:lang w:val="en-CA"/>
        </w:rPr>
        <w:t xml:space="preserve">In fact, that is precisely what occurred in </w:t>
      </w:r>
      <w:r w:rsidR="00686B85">
        <w:rPr>
          <w:b/>
          <w:bCs/>
          <w:i/>
          <w:iCs/>
          <w:lang w:val="en-CA"/>
        </w:rPr>
        <w:t xml:space="preserve">R. </w:t>
      </w:r>
      <w:r w:rsidR="00686B85">
        <w:rPr>
          <w:b/>
          <w:bCs/>
          <w:lang w:val="en-CA"/>
        </w:rPr>
        <w:t xml:space="preserve">v. </w:t>
      </w:r>
      <w:r w:rsidR="00686B85">
        <w:rPr>
          <w:b/>
          <w:bCs/>
          <w:i/>
          <w:iCs/>
          <w:lang w:val="en-CA"/>
        </w:rPr>
        <w:t>McKenzie</w:t>
      </w:r>
      <w:r w:rsidR="00686B85">
        <w:rPr>
          <w:lang w:val="en-CA"/>
        </w:rPr>
        <w:t xml:space="preserve">. The police officers were conducting an unrelated, mundane traffic stop when they saw the accused suspiciously jogging in the background. Upon observing </w:t>
      </w:r>
      <w:r w:rsidR="000F2AA1">
        <w:rPr>
          <w:lang w:val="en-CA"/>
        </w:rPr>
        <w:t>how he was awkwardly clutching his body with his elbow and noticing his startled reaction to seeing the police, the officers immediately formed reasonable grounds to suspect that he was armed. The investigative detention was found to be valid.</w:t>
      </w:r>
      <w:r w:rsidR="000F2AA1">
        <w:rPr>
          <w:rStyle w:val="Appelnotedebasdep"/>
          <w:lang w:val="en-CA"/>
        </w:rPr>
        <w:footnoteReference w:id="79"/>
      </w:r>
      <w:bookmarkEnd w:id="39"/>
      <w:r w:rsidR="00686B85">
        <w:rPr>
          <w:lang w:val="en-CA"/>
        </w:rPr>
        <w:t xml:space="preserve"> </w:t>
      </w:r>
    </w:p>
    <w:p w14:paraId="06B2A563" w14:textId="77777777" w:rsidR="00B92F1A" w:rsidRDefault="00B92F1A" w:rsidP="00FC6EA0">
      <w:pPr>
        <w:pStyle w:val="Paragraphe"/>
        <w:tabs>
          <w:tab w:val="clear" w:pos="360"/>
          <w:tab w:val="num" w:pos="851"/>
        </w:tabs>
        <w:spacing w:line="240" w:lineRule="auto"/>
        <w:rPr>
          <w:lang w:val="en-CA"/>
        </w:rPr>
      </w:pPr>
      <w:r>
        <w:rPr>
          <w:lang w:val="en-CA"/>
        </w:rPr>
        <w:t xml:space="preserve">That is also what occurred in </w:t>
      </w:r>
      <w:r>
        <w:rPr>
          <w:b/>
          <w:bCs/>
          <w:i/>
          <w:iCs/>
          <w:lang w:val="en-CA"/>
        </w:rPr>
        <w:t xml:space="preserve">R. </w:t>
      </w:r>
      <w:r>
        <w:rPr>
          <w:b/>
          <w:bCs/>
          <w:lang w:val="en-CA"/>
        </w:rPr>
        <w:t xml:space="preserve">c. </w:t>
      </w:r>
      <w:r>
        <w:rPr>
          <w:b/>
          <w:bCs/>
          <w:i/>
          <w:iCs/>
          <w:lang w:val="en-CA"/>
        </w:rPr>
        <w:t>Fadel</w:t>
      </w:r>
      <w:r>
        <w:rPr>
          <w:lang w:val="en-CA"/>
        </w:rPr>
        <w:t>. The officers were going about their day, patrolling on their bicycles, when they unexpectedly saw the accused whom they considered to be acting suspiciously. Within seconds of observation, they formed reasonable grounds to suspect that he was committing fraud-based offences.</w:t>
      </w:r>
      <w:r>
        <w:rPr>
          <w:rStyle w:val="Appelnotedebasdep"/>
          <w:lang w:val="en-CA"/>
        </w:rPr>
        <w:footnoteReference w:id="80"/>
      </w:r>
    </w:p>
    <w:p w14:paraId="0E7F7473" w14:textId="77777777" w:rsidR="003E2B91" w:rsidRPr="00F068BE" w:rsidRDefault="003E2B91" w:rsidP="00F068BE">
      <w:pPr>
        <w:pStyle w:val="Paragraphe"/>
        <w:tabs>
          <w:tab w:val="clear" w:pos="360"/>
          <w:tab w:val="num" w:pos="851"/>
        </w:tabs>
        <w:spacing w:line="240" w:lineRule="auto"/>
        <w:rPr>
          <w:lang w:val="en-CA"/>
        </w:rPr>
      </w:pPr>
      <w:r>
        <w:rPr>
          <w:lang w:val="en-CA"/>
        </w:rPr>
        <w:t xml:space="preserve">The same scenario occurred in </w:t>
      </w:r>
      <w:r>
        <w:rPr>
          <w:b/>
          <w:bCs/>
          <w:i/>
          <w:iCs/>
          <w:lang w:val="en-CA"/>
        </w:rPr>
        <w:t xml:space="preserve">R. </w:t>
      </w:r>
      <w:r>
        <w:rPr>
          <w:b/>
          <w:bCs/>
          <w:lang w:val="en-CA"/>
        </w:rPr>
        <w:t xml:space="preserve">c. </w:t>
      </w:r>
      <w:r>
        <w:rPr>
          <w:b/>
          <w:bCs/>
          <w:i/>
          <w:iCs/>
          <w:lang w:val="en-CA"/>
        </w:rPr>
        <w:t>Hizebry</w:t>
      </w:r>
      <w:r>
        <w:rPr>
          <w:lang w:val="en-CA"/>
        </w:rPr>
        <w:t>, where the police officer was not investigating anything at first. He was merely controlling traffic at a downtown intersection when he noticed the accused and, based on his observations, quickly formed the suspicion that he was possibly carrying a handgun.</w:t>
      </w:r>
      <w:r>
        <w:rPr>
          <w:rStyle w:val="Appelnotedebasdep"/>
          <w:lang w:val="en-CA"/>
        </w:rPr>
        <w:footnoteReference w:id="81"/>
      </w:r>
    </w:p>
    <w:p w14:paraId="4AA31D12" w14:textId="77777777" w:rsidR="00035ED6" w:rsidRDefault="00C725AD" w:rsidP="00FC6EA0">
      <w:pPr>
        <w:pStyle w:val="Paragraphe"/>
        <w:tabs>
          <w:tab w:val="clear" w:pos="360"/>
          <w:tab w:val="num" w:pos="851"/>
        </w:tabs>
        <w:spacing w:line="240" w:lineRule="auto"/>
        <w:rPr>
          <w:lang w:val="en-CA"/>
        </w:rPr>
      </w:pPr>
      <w:r>
        <w:rPr>
          <w:lang w:val="en-CA"/>
        </w:rPr>
        <w:t>In the case at bar, after having observed Nimeri, both officers Boivin and L</w:t>
      </w:r>
      <w:r w:rsidR="00897930">
        <w:rPr>
          <w:lang w:val="en-CA"/>
        </w:rPr>
        <w:t>a</w:t>
      </w:r>
      <w:r>
        <w:rPr>
          <w:lang w:val="en-CA"/>
        </w:rPr>
        <w:t>l</w:t>
      </w:r>
      <w:r w:rsidR="00897930">
        <w:rPr>
          <w:lang w:val="en-CA"/>
        </w:rPr>
        <w:t>e</w:t>
      </w:r>
      <w:r>
        <w:rPr>
          <w:lang w:val="en-CA"/>
        </w:rPr>
        <w:t>yan suspected that there was a handgun in his man-purse. That was precisely the crime they began investigating, then and there.</w:t>
      </w:r>
    </w:p>
    <w:p w14:paraId="6E9F0557" w14:textId="77777777" w:rsidR="00C725AD" w:rsidRDefault="00C725AD" w:rsidP="00FC6EA0">
      <w:pPr>
        <w:pStyle w:val="Paragraphe"/>
        <w:tabs>
          <w:tab w:val="clear" w:pos="360"/>
          <w:tab w:val="num" w:pos="851"/>
        </w:tabs>
        <w:spacing w:line="240" w:lineRule="auto"/>
        <w:rPr>
          <w:lang w:val="en-CA"/>
        </w:rPr>
      </w:pPr>
      <w:r>
        <w:rPr>
          <w:lang w:val="en-CA"/>
        </w:rPr>
        <w:t xml:space="preserve">With respect, the defence appears to be </w:t>
      </w:r>
      <w:r w:rsidR="00911FD9">
        <w:rPr>
          <w:lang w:val="en-CA"/>
        </w:rPr>
        <w:t>discounting</w:t>
      </w:r>
      <w:r>
        <w:rPr>
          <w:lang w:val="en-CA"/>
        </w:rPr>
        <w:t xml:space="preserve"> that in and of itself, the possession of a handgun in a public place constitutes a crime, and a serious one at that, which deserves stern attention from the police.</w:t>
      </w:r>
    </w:p>
    <w:p w14:paraId="659CD795" w14:textId="77777777" w:rsidR="002E0AD2" w:rsidRDefault="002E0AD2" w:rsidP="002E0AD2">
      <w:pPr>
        <w:pStyle w:val="Paragraphe"/>
        <w:tabs>
          <w:tab w:val="clear" w:pos="360"/>
          <w:tab w:val="num" w:pos="851"/>
        </w:tabs>
        <w:spacing w:line="240" w:lineRule="auto"/>
        <w:rPr>
          <w:lang w:val="en-CA"/>
        </w:rPr>
      </w:pPr>
      <w:r>
        <w:rPr>
          <w:lang w:val="en-CA"/>
        </w:rPr>
        <w:lastRenderedPageBreak/>
        <w:t xml:space="preserve">In Canada, save for a few rare statutory exceptions, no person may carry a concealed firearm. Section 90 of the </w:t>
      </w:r>
      <w:r>
        <w:rPr>
          <w:i/>
          <w:iCs/>
          <w:lang w:val="en-CA"/>
        </w:rPr>
        <w:t>Criminal Code</w:t>
      </w:r>
      <w:r>
        <w:rPr>
          <w:lang w:val="en-CA"/>
        </w:rPr>
        <w:t xml:space="preserve"> creates an overarching offence, unless the person is explicitly authorized to carry the gun under the </w:t>
      </w:r>
      <w:r>
        <w:rPr>
          <w:i/>
          <w:iCs/>
          <w:lang w:val="en-CA"/>
        </w:rPr>
        <w:t>Firearms Act</w:t>
      </w:r>
      <w:r>
        <w:rPr>
          <w:lang w:val="en-CA"/>
        </w:rPr>
        <w:t>.</w:t>
      </w:r>
      <w:r>
        <w:rPr>
          <w:rStyle w:val="Appelnotedebasdep"/>
          <w:lang w:val="en-CA"/>
        </w:rPr>
        <w:footnoteReference w:id="82"/>
      </w:r>
    </w:p>
    <w:p w14:paraId="4D076E6E" w14:textId="77777777" w:rsidR="002E0AD2" w:rsidRDefault="002E0AD2" w:rsidP="002E0AD2">
      <w:pPr>
        <w:pStyle w:val="Paragraphe"/>
        <w:tabs>
          <w:tab w:val="clear" w:pos="360"/>
          <w:tab w:val="num" w:pos="851"/>
        </w:tabs>
        <w:spacing w:line="240" w:lineRule="auto"/>
        <w:rPr>
          <w:lang w:val="en-CA"/>
        </w:rPr>
      </w:pPr>
      <w:r>
        <w:rPr>
          <w:lang w:val="en-CA"/>
        </w:rPr>
        <w:t xml:space="preserve">Under s. 117.07 </w:t>
      </w:r>
      <w:r>
        <w:rPr>
          <w:i/>
          <w:iCs/>
          <w:lang w:val="en-CA"/>
        </w:rPr>
        <w:t>C.C.</w:t>
      </w:r>
      <w:r>
        <w:rPr>
          <w:lang w:val="en-CA"/>
        </w:rPr>
        <w:t xml:space="preserve">, police officers, members of the Armed Forces and police academy trainees are exempt in certain contexts. If a private citizen wishes to carry a handgun, he must obtain an authorization from the Chief Firearms Officer under ss. 20, 65-66 </w:t>
      </w:r>
      <w:r>
        <w:rPr>
          <w:i/>
          <w:iCs/>
          <w:lang w:val="en-CA"/>
        </w:rPr>
        <w:t>F.A.</w:t>
      </w:r>
      <w:r>
        <w:rPr>
          <w:lang w:val="en-CA"/>
        </w:rPr>
        <w:t xml:space="preserve"> These authorizations are exceedingly rare and normally limited to:</w:t>
      </w:r>
    </w:p>
    <w:p w14:paraId="3124631B" w14:textId="77777777" w:rsidR="002E0AD2" w:rsidRDefault="002E0AD2" w:rsidP="002E0AD2">
      <w:pPr>
        <w:pStyle w:val="Paragraphe"/>
        <w:numPr>
          <w:ilvl w:val="0"/>
          <w:numId w:val="21"/>
        </w:numPr>
        <w:spacing w:line="240" w:lineRule="auto"/>
        <w:rPr>
          <w:lang w:val="en-CA"/>
        </w:rPr>
      </w:pPr>
      <w:r>
        <w:rPr>
          <w:lang w:val="en-CA"/>
        </w:rPr>
        <w:t>Armoured car drivers who transport large amounts of cash in connection with their lawful profession;</w:t>
      </w:r>
    </w:p>
    <w:p w14:paraId="5BFAC0EC" w14:textId="77777777" w:rsidR="002E0AD2" w:rsidRDefault="002E0AD2" w:rsidP="002E0AD2">
      <w:pPr>
        <w:pStyle w:val="Paragraphe"/>
        <w:numPr>
          <w:ilvl w:val="0"/>
          <w:numId w:val="21"/>
        </w:numPr>
        <w:spacing w:line="240" w:lineRule="auto"/>
        <w:rPr>
          <w:lang w:val="en-CA"/>
        </w:rPr>
      </w:pPr>
      <w:r>
        <w:rPr>
          <w:lang w:val="en-CA"/>
        </w:rPr>
        <w:t>Individuals working in remote wilderness and for whom guns are required for protection against wild animals;</w:t>
      </w:r>
      <w:r w:rsidR="005C6EB5">
        <w:rPr>
          <w:lang w:val="en-CA"/>
        </w:rPr>
        <w:t xml:space="preserve"> or</w:t>
      </w:r>
    </w:p>
    <w:p w14:paraId="3DC80DD4" w14:textId="77777777" w:rsidR="002E0AD2" w:rsidRDefault="002E0AD2" w:rsidP="002E0AD2">
      <w:pPr>
        <w:pStyle w:val="Paragraphe"/>
        <w:numPr>
          <w:ilvl w:val="0"/>
          <w:numId w:val="21"/>
        </w:numPr>
        <w:spacing w:line="240" w:lineRule="auto"/>
        <w:rPr>
          <w:lang w:val="en-CA"/>
        </w:rPr>
      </w:pPr>
      <w:r>
        <w:rPr>
          <w:lang w:val="en-CA"/>
        </w:rPr>
        <w:t>Professional trappers, as trained and licenced under provincial law.</w:t>
      </w:r>
      <w:r>
        <w:rPr>
          <w:rStyle w:val="Appelnotedebasdep"/>
          <w:lang w:val="en-CA"/>
        </w:rPr>
        <w:footnoteReference w:id="83"/>
      </w:r>
    </w:p>
    <w:p w14:paraId="3EC74DAA" w14:textId="77777777" w:rsidR="002E0AD2" w:rsidRDefault="002E0AD2" w:rsidP="002E0AD2">
      <w:pPr>
        <w:pStyle w:val="Paragraphe"/>
        <w:tabs>
          <w:tab w:val="clear" w:pos="360"/>
          <w:tab w:val="num" w:pos="851"/>
        </w:tabs>
        <w:spacing w:line="240" w:lineRule="auto"/>
        <w:rPr>
          <w:lang w:val="en-CA"/>
        </w:rPr>
      </w:pPr>
      <w:r>
        <w:rPr>
          <w:lang w:val="en-CA"/>
        </w:rPr>
        <w:t xml:space="preserve">In fact, concealed or not, under s. 17 </w:t>
      </w:r>
      <w:r>
        <w:rPr>
          <w:i/>
          <w:iCs/>
          <w:lang w:val="en-CA"/>
        </w:rPr>
        <w:t>F.A.</w:t>
      </w:r>
      <w:r>
        <w:rPr>
          <w:lang w:val="en-CA"/>
        </w:rPr>
        <w:t>, an individual may only possess a handgun in a dwelling</w:t>
      </w:r>
      <w:r w:rsidR="00F137E2">
        <w:rPr>
          <w:lang w:val="en-CA"/>
        </w:rPr>
        <w:t xml:space="preserve"> </w:t>
      </w:r>
      <w:r>
        <w:rPr>
          <w:lang w:val="en-CA"/>
        </w:rPr>
        <w:t>house or in another place duly authorized by the Chief Firearms Officer (such as an approved firing range). No person may possess a pistol on the road.</w:t>
      </w:r>
    </w:p>
    <w:p w14:paraId="7EFB4FD1" w14:textId="77777777" w:rsidR="002E0AD2" w:rsidRDefault="002E0AD2" w:rsidP="002E0AD2">
      <w:pPr>
        <w:pStyle w:val="Paragraphe"/>
        <w:tabs>
          <w:tab w:val="clear" w:pos="360"/>
          <w:tab w:val="num" w:pos="851"/>
        </w:tabs>
        <w:spacing w:line="240" w:lineRule="auto"/>
        <w:rPr>
          <w:lang w:val="en-CA"/>
        </w:rPr>
      </w:pPr>
      <w:r>
        <w:rPr>
          <w:lang w:val="en-CA"/>
        </w:rPr>
        <w:t xml:space="preserve">Finally, if a person wishes to take a handgun to a range for target practice, s. 19 </w:t>
      </w:r>
      <w:r>
        <w:rPr>
          <w:i/>
          <w:iCs/>
          <w:lang w:val="en-CA"/>
        </w:rPr>
        <w:t>F.A.</w:t>
      </w:r>
      <w:r>
        <w:rPr>
          <w:lang w:val="en-CA"/>
        </w:rPr>
        <w:t xml:space="preserve"> requires him to obtain a transport authorization. Even if he obtains such a transport certificate (to and from the firing range), according to s. 11(c) of the </w:t>
      </w:r>
      <w:r>
        <w:rPr>
          <w:i/>
          <w:iCs/>
          <w:lang w:val="en-CA"/>
        </w:rPr>
        <w:t>Regulation</w:t>
      </w:r>
      <w:r>
        <w:rPr>
          <w:lang w:val="en-CA"/>
        </w:rPr>
        <w:t>,</w:t>
      </w:r>
      <w:r>
        <w:rPr>
          <w:rStyle w:val="Appelnotedebasdep"/>
          <w:lang w:val="en-CA"/>
        </w:rPr>
        <w:footnoteReference w:id="84"/>
      </w:r>
      <w:r>
        <w:rPr>
          <w:lang w:val="en-CA"/>
        </w:rPr>
        <w:t xml:space="preserve"> it is mandatory that the handgun be transported in a locked container made of an opaque material that is of such strength, construction and nature that it cannot readily be broken open or into.</w:t>
      </w:r>
    </w:p>
    <w:p w14:paraId="0A31F5B2" w14:textId="77777777" w:rsidR="002E0AD2" w:rsidRDefault="002E0AD2" w:rsidP="002E0AD2">
      <w:pPr>
        <w:pStyle w:val="Paragraphe"/>
        <w:tabs>
          <w:tab w:val="clear" w:pos="360"/>
          <w:tab w:val="num" w:pos="851"/>
        </w:tabs>
        <w:spacing w:line="240" w:lineRule="auto"/>
        <w:rPr>
          <w:lang w:val="en-CA"/>
        </w:rPr>
      </w:pPr>
      <w:r>
        <w:rPr>
          <w:lang w:val="en-CA"/>
        </w:rPr>
        <w:t xml:space="preserve">Considering the foregoing, if police officers in large metropolitan centres see what they believe to be a man carrying a firearm on the street, this may well trigger their powers of investigative detention. The possession itself is invariably a criminal offence, both capable and worthy of being </w:t>
      </w:r>
      <w:r w:rsidR="001A7B4D">
        <w:rPr>
          <w:lang w:val="en-CA"/>
        </w:rPr>
        <w:t xml:space="preserve">seriously </w:t>
      </w:r>
      <w:r>
        <w:rPr>
          <w:lang w:val="en-CA"/>
        </w:rPr>
        <w:t>investigated. The public safety is very much at stake.</w:t>
      </w:r>
    </w:p>
    <w:p w14:paraId="39AB6F60" w14:textId="77777777" w:rsidR="002E0AD2" w:rsidRDefault="001A7B4D" w:rsidP="002E0AD2">
      <w:pPr>
        <w:pStyle w:val="Paragraphe"/>
        <w:tabs>
          <w:tab w:val="clear" w:pos="360"/>
          <w:tab w:val="num" w:pos="851"/>
        </w:tabs>
        <w:spacing w:line="240" w:lineRule="auto"/>
        <w:rPr>
          <w:lang w:val="en-CA"/>
        </w:rPr>
      </w:pPr>
      <w:r>
        <w:rPr>
          <w:lang w:val="en-CA"/>
        </w:rPr>
        <w:t>In that sense, n</w:t>
      </w:r>
      <w:r w:rsidR="002E0AD2">
        <w:rPr>
          <w:lang w:val="en-CA"/>
        </w:rPr>
        <w:t xml:space="preserve">o evidence of additional extrinsic offences is required for </w:t>
      </w:r>
      <w:r w:rsidR="002E0AD2">
        <w:rPr>
          <w:b/>
          <w:bCs/>
          <w:i/>
          <w:iCs/>
          <w:lang w:val="en-CA"/>
        </w:rPr>
        <w:t>Mann</w:t>
      </w:r>
      <w:r w:rsidR="002E0AD2">
        <w:rPr>
          <w:lang w:val="en-CA"/>
        </w:rPr>
        <w:t xml:space="preserve"> to be invoked.</w:t>
      </w:r>
    </w:p>
    <w:p w14:paraId="00DC9B2F" w14:textId="77777777" w:rsidR="002E0AD2" w:rsidRDefault="002E0AD2" w:rsidP="002E0AD2">
      <w:pPr>
        <w:pStyle w:val="Paragraphe"/>
        <w:tabs>
          <w:tab w:val="clear" w:pos="360"/>
          <w:tab w:val="num" w:pos="851"/>
        </w:tabs>
        <w:spacing w:line="240" w:lineRule="auto"/>
        <w:rPr>
          <w:lang w:val="en-CA"/>
        </w:rPr>
      </w:pPr>
      <w:r>
        <w:rPr>
          <w:lang w:val="en-CA"/>
        </w:rPr>
        <w:t>Both police officers in the case at bar were keenly aware of this power. They were correct to interpret it as they did.</w:t>
      </w:r>
    </w:p>
    <w:p w14:paraId="2A39FD5E" w14:textId="77777777" w:rsidR="00535C85" w:rsidRPr="00EE3819" w:rsidRDefault="00535C85" w:rsidP="00535C85">
      <w:pPr>
        <w:pStyle w:val="Titre2"/>
        <w:numPr>
          <w:ilvl w:val="0"/>
          <w:numId w:val="17"/>
        </w:numPr>
        <w:spacing w:before="120" w:after="120"/>
        <w:rPr>
          <w:i w:val="0"/>
          <w:u w:val="single"/>
          <w:lang w:val="en-CA"/>
        </w:rPr>
      </w:pPr>
      <w:r>
        <w:rPr>
          <w:i w:val="0"/>
          <w:u w:val="single"/>
          <w:lang w:val="en-CA"/>
        </w:rPr>
        <w:lastRenderedPageBreak/>
        <w:t>Did the officers have sufficient grounds to detain Mr. Nimeri</w:t>
      </w:r>
      <w:r>
        <w:rPr>
          <w:i w:val="0"/>
          <w:lang w:val="en-CA"/>
        </w:rPr>
        <w:t>?</w:t>
      </w:r>
    </w:p>
    <w:p w14:paraId="0DB9C7D5" w14:textId="77777777" w:rsidR="00C865D0" w:rsidRPr="00E15175" w:rsidRDefault="00A8376D" w:rsidP="00E15175">
      <w:pPr>
        <w:pStyle w:val="Paragraphe"/>
        <w:tabs>
          <w:tab w:val="clear" w:pos="360"/>
          <w:tab w:val="num" w:pos="851"/>
        </w:tabs>
        <w:spacing w:line="240" w:lineRule="auto"/>
        <w:rPr>
          <w:lang w:val="en-CA"/>
        </w:rPr>
      </w:pPr>
      <w:r>
        <w:rPr>
          <w:lang w:val="en-CA"/>
        </w:rPr>
        <w:t>The Court must not dissect each of the indicia considered by the officers in isolation.</w:t>
      </w:r>
      <w:r>
        <w:rPr>
          <w:rStyle w:val="Appelnotedebasdep"/>
          <w:lang w:val="en-CA"/>
        </w:rPr>
        <w:footnoteReference w:id="85"/>
      </w:r>
      <w:r>
        <w:rPr>
          <w:lang w:val="en-CA"/>
        </w:rPr>
        <w:t xml:space="preserve"> </w:t>
      </w:r>
      <w:bookmarkStart w:id="40" w:name="_Hlk162305261"/>
      <w:r>
        <w:rPr>
          <w:lang w:val="en-CA"/>
        </w:rPr>
        <w:t>Instead, they should be assessed as a whole, giving full weight to their cumulative effect, in light of the officer’s experience and the fast</w:t>
      </w:r>
      <w:r w:rsidR="00F137E2">
        <w:rPr>
          <w:lang w:val="en-CA"/>
        </w:rPr>
        <w:t>-</w:t>
      </w:r>
      <w:r>
        <w:rPr>
          <w:lang w:val="en-CA"/>
        </w:rPr>
        <w:t>moving circumstances.</w:t>
      </w:r>
      <w:bookmarkEnd w:id="40"/>
    </w:p>
    <w:p w14:paraId="2B33FCB3" w14:textId="77777777" w:rsidR="00C865D0" w:rsidRDefault="00C865D0" w:rsidP="00FC6EA0">
      <w:pPr>
        <w:pStyle w:val="Paragraphe"/>
        <w:tabs>
          <w:tab w:val="clear" w:pos="360"/>
          <w:tab w:val="num" w:pos="851"/>
        </w:tabs>
        <w:spacing w:line="240" w:lineRule="auto"/>
        <w:rPr>
          <w:lang w:val="en-CA"/>
        </w:rPr>
      </w:pPr>
      <w:r>
        <w:rPr>
          <w:lang w:val="en-CA"/>
        </w:rPr>
        <w:t xml:space="preserve">In </w:t>
      </w:r>
      <w:r>
        <w:rPr>
          <w:b/>
          <w:bCs/>
          <w:i/>
          <w:iCs/>
          <w:lang w:val="en-CA"/>
        </w:rPr>
        <w:t xml:space="preserve">R. </w:t>
      </w:r>
      <w:r>
        <w:rPr>
          <w:b/>
          <w:bCs/>
          <w:lang w:val="en-CA"/>
        </w:rPr>
        <w:t xml:space="preserve">v. </w:t>
      </w:r>
      <w:r>
        <w:rPr>
          <w:b/>
          <w:bCs/>
          <w:i/>
          <w:iCs/>
          <w:lang w:val="en-CA"/>
        </w:rPr>
        <w:t>Chehil</w:t>
      </w:r>
      <w:r>
        <w:rPr>
          <w:lang w:val="en-CA"/>
        </w:rPr>
        <w:t>, the Supreme Court recognized that even when some indicia may seem benign on their own, they may become more significant when considered globally in light of all the officer’s observations:</w:t>
      </w:r>
    </w:p>
    <w:p w14:paraId="047237B5" w14:textId="77777777" w:rsidR="00C865D0" w:rsidRPr="00C865D0" w:rsidRDefault="00C865D0" w:rsidP="00C865D0">
      <w:pPr>
        <w:pStyle w:val="Paragraphe"/>
        <w:numPr>
          <w:ilvl w:val="0"/>
          <w:numId w:val="0"/>
        </w:numPr>
        <w:spacing w:line="240" w:lineRule="auto"/>
        <w:ind w:left="1418" w:right="1140"/>
        <w:contextualSpacing/>
        <w:rPr>
          <w:sz w:val="22"/>
          <w:szCs w:val="22"/>
          <w:lang w:val="en-CA"/>
        </w:rPr>
      </w:pPr>
      <w:r w:rsidRPr="00C865D0">
        <w:rPr>
          <w:sz w:val="22"/>
          <w:szCs w:val="22"/>
          <w:lang w:val="en-CA"/>
        </w:rPr>
        <w:t xml:space="preserve">While some factors, such as travelling under a false name, </w:t>
      </w:r>
      <w:r w:rsidRPr="00C865D0">
        <w:rPr>
          <w:b/>
          <w:bCs/>
          <w:sz w:val="22"/>
          <w:szCs w:val="22"/>
          <w:lang w:val="en-CA"/>
        </w:rPr>
        <w:t>or flight from the police</w:t>
      </w:r>
      <w:r w:rsidRPr="00C865D0">
        <w:rPr>
          <w:sz w:val="22"/>
          <w:szCs w:val="22"/>
          <w:lang w:val="en-CA"/>
        </w:rPr>
        <w:t xml:space="preserve">, may give rise to a reasonable suspicion on their own, other elements of a constellation will not support reasonable suspicion, except in combination with other factors. Generally, characteristics that apply broadly to innocent people are insufficient, as they are markers only on generalized suspicion. The same is true of factors that may “go both ways”, such as an individual’s making or failing to make eye contact. </w:t>
      </w:r>
      <w:r w:rsidRPr="00C865D0">
        <w:rPr>
          <w:b/>
          <w:bCs/>
          <w:sz w:val="22"/>
          <w:szCs w:val="22"/>
          <w:lang w:val="en-CA"/>
        </w:rPr>
        <w:t>On their own</w:t>
      </w:r>
      <w:r w:rsidRPr="00C865D0">
        <w:rPr>
          <w:sz w:val="22"/>
          <w:szCs w:val="22"/>
          <w:lang w:val="en-CA"/>
        </w:rPr>
        <w:t xml:space="preserve">, such factors cannot support reasonable suspicion; however, </w:t>
      </w:r>
      <w:r w:rsidRPr="00C865D0">
        <w:rPr>
          <w:b/>
          <w:bCs/>
          <w:sz w:val="22"/>
          <w:szCs w:val="22"/>
          <w:lang w:val="en-CA"/>
        </w:rPr>
        <w:t>this does not preclude reasonable suspicion arising when the same factor is simply one part of a constellation of factors</w:t>
      </w:r>
      <w:r w:rsidRPr="00C865D0">
        <w:rPr>
          <w:sz w:val="22"/>
          <w:szCs w:val="22"/>
          <w:lang w:val="en-CA"/>
        </w:rPr>
        <w:t>.</w:t>
      </w:r>
      <w:r w:rsidRPr="00C865D0">
        <w:rPr>
          <w:rStyle w:val="Appelnotedebasdep"/>
          <w:sz w:val="22"/>
          <w:szCs w:val="22"/>
          <w:lang w:val="en-CA"/>
        </w:rPr>
        <w:footnoteReference w:id="86"/>
      </w:r>
    </w:p>
    <w:p w14:paraId="2CCFE054" w14:textId="77777777" w:rsidR="00FA0E3E" w:rsidRPr="00E15175" w:rsidRDefault="00C865D0" w:rsidP="00E15175">
      <w:pPr>
        <w:pStyle w:val="Paragraphe"/>
        <w:numPr>
          <w:ilvl w:val="0"/>
          <w:numId w:val="0"/>
        </w:numPr>
        <w:spacing w:line="240" w:lineRule="auto"/>
        <w:ind w:left="1418" w:right="1140"/>
        <w:contextualSpacing/>
        <w:jc w:val="right"/>
        <w:rPr>
          <w:sz w:val="22"/>
          <w:szCs w:val="22"/>
          <w:lang w:val="en-CA"/>
        </w:rPr>
      </w:pPr>
      <w:r w:rsidRPr="00C865D0">
        <w:rPr>
          <w:sz w:val="22"/>
          <w:szCs w:val="22"/>
          <w:lang w:val="en-CA"/>
        </w:rPr>
        <w:t>[emphasis added]</w:t>
      </w:r>
    </w:p>
    <w:p w14:paraId="3DDDAFE0" w14:textId="77777777" w:rsidR="007674D5" w:rsidRPr="007674D5" w:rsidRDefault="00FA0E3E" w:rsidP="007674D5">
      <w:pPr>
        <w:pStyle w:val="Paragraphe"/>
        <w:tabs>
          <w:tab w:val="clear" w:pos="360"/>
          <w:tab w:val="num" w:pos="851"/>
        </w:tabs>
        <w:spacing w:line="240" w:lineRule="auto"/>
        <w:rPr>
          <w:lang w:val="en-CA"/>
        </w:rPr>
      </w:pPr>
      <w:bookmarkStart w:id="41" w:name="_Hlk162339743"/>
      <w:r>
        <w:rPr>
          <w:lang w:val="en-CA"/>
        </w:rPr>
        <w:t>In the case at bar, the Court gives considerable weight to both officers’ extensive training and experience in detecting firearms</w:t>
      </w:r>
      <w:r w:rsidR="007674D5">
        <w:rPr>
          <w:lang w:val="en-CA"/>
        </w:rPr>
        <w:t>. The training program, based on real statistical data, taught them where handguns are generally concealed on the body. Moreover, it taught them various human behavioural traits that are indicative of weapon concealment. It so happens that in the case at bar, the officers noticed two major behavioural cues, which they directly tied back to their training.</w:t>
      </w:r>
    </w:p>
    <w:p w14:paraId="7CB0ECCA" w14:textId="77777777" w:rsidR="00FA0E3E" w:rsidRDefault="00FA0E3E" w:rsidP="00FA0E3E">
      <w:pPr>
        <w:pStyle w:val="Paragraphe"/>
        <w:tabs>
          <w:tab w:val="clear" w:pos="360"/>
          <w:tab w:val="num" w:pos="851"/>
        </w:tabs>
        <w:spacing w:line="240" w:lineRule="auto"/>
        <w:rPr>
          <w:lang w:val="en-CA"/>
        </w:rPr>
      </w:pPr>
      <w:r>
        <w:rPr>
          <w:lang w:val="en-CA"/>
        </w:rPr>
        <w:t>The importance of such specific training cannot be overestimated</w:t>
      </w:r>
      <w:r w:rsidR="00B07462">
        <w:rPr>
          <w:lang w:val="en-CA"/>
        </w:rPr>
        <w:t xml:space="preserve"> in the equation</w:t>
      </w:r>
      <w:r>
        <w:rPr>
          <w:lang w:val="en-CA"/>
        </w:rPr>
        <w:t>. In fact, that is the very reason such training is provided by police forces. If the officers are later prohibited from relying on the lessons learned, then what is the point of dispensing such training in the first place?</w:t>
      </w:r>
    </w:p>
    <w:p w14:paraId="2A7903C2" w14:textId="77777777" w:rsidR="002348E4" w:rsidRDefault="002348E4" w:rsidP="00FA0E3E">
      <w:pPr>
        <w:pStyle w:val="Paragraphe"/>
        <w:tabs>
          <w:tab w:val="clear" w:pos="360"/>
          <w:tab w:val="num" w:pos="851"/>
        </w:tabs>
        <w:spacing w:line="240" w:lineRule="auto"/>
        <w:rPr>
          <w:lang w:val="en-CA"/>
        </w:rPr>
      </w:pPr>
      <w:r>
        <w:rPr>
          <w:lang w:val="en-CA"/>
        </w:rPr>
        <w:t xml:space="preserve">Moreover, based on the uncontested empirical data in the case before me, the training program was a smashing success. Due to the knowledge acquired </w:t>
      </w:r>
      <w:r w:rsidR="00911FD9">
        <w:rPr>
          <w:lang w:val="en-CA"/>
        </w:rPr>
        <w:t>from</w:t>
      </w:r>
      <w:r>
        <w:rPr>
          <w:lang w:val="en-CA"/>
        </w:rPr>
        <w:t xml:space="preserve"> the course, officer Boivin was able to detect and seize 25 handguns. In fact, at least 80% of those were concealed in man-purses. As for officer Laleyan, out of a total of 33 gun-suspected interventions he initiated, 30 of them yielded the seizure of a concealed handgun. That is a success rate of 91%!</w:t>
      </w:r>
    </w:p>
    <w:p w14:paraId="7F920569" w14:textId="77777777" w:rsidR="002348E4" w:rsidRPr="002348E4" w:rsidRDefault="002348E4" w:rsidP="002348E4">
      <w:pPr>
        <w:pStyle w:val="Paragraphe"/>
        <w:tabs>
          <w:tab w:val="clear" w:pos="360"/>
          <w:tab w:val="num" w:pos="851"/>
        </w:tabs>
        <w:spacing w:line="240" w:lineRule="auto"/>
        <w:rPr>
          <w:lang w:val="en-CA"/>
        </w:rPr>
      </w:pPr>
      <w:r>
        <w:rPr>
          <w:lang w:val="en-CA"/>
        </w:rPr>
        <w:t xml:space="preserve"> These impressive numbers should be read keeping in mind the Supreme Court’s comment in </w:t>
      </w:r>
      <w:r>
        <w:rPr>
          <w:b/>
          <w:bCs/>
          <w:i/>
          <w:iCs/>
          <w:lang w:val="en-CA"/>
        </w:rPr>
        <w:t>Mann</w:t>
      </w:r>
      <w:r>
        <w:rPr>
          <w:lang w:val="en-CA"/>
        </w:rPr>
        <w:t xml:space="preserve">, by which it recognized that due to the lower threshold of reasonable </w:t>
      </w:r>
      <w:r>
        <w:rPr>
          <w:i/>
          <w:iCs/>
          <w:lang w:val="en-CA"/>
        </w:rPr>
        <w:t>possibility</w:t>
      </w:r>
      <w:r>
        <w:rPr>
          <w:lang w:val="en-CA"/>
        </w:rPr>
        <w:t xml:space="preserve">, it was inevitable that the police would, on occasion, suspect and </w:t>
      </w:r>
      <w:r>
        <w:rPr>
          <w:lang w:val="en-CA"/>
        </w:rPr>
        <w:lastRenderedPageBreak/>
        <w:t>detain persons who turned out to be innocent of any misconduct. That was a risk that the Supreme Court was expressly willing to accept.</w:t>
      </w:r>
    </w:p>
    <w:p w14:paraId="1FE6887B" w14:textId="77777777" w:rsidR="00FA0E3E" w:rsidRDefault="00FA0E3E" w:rsidP="00FA0E3E">
      <w:pPr>
        <w:pStyle w:val="Paragraphe"/>
        <w:tabs>
          <w:tab w:val="clear" w:pos="360"/>
          <w:tab w:val="num" w:pos="851"/>
        </w:tabs>
        <w:spacing w:line="240" w:lineRule="auto"/>
        <w:rPr>
          <w:lang w:val="en-CA"/>
        </w:rPr>
      </w:pPr>
      <w:r>
        <w:rPr>
          <w:lang w:val="en-CA"/>
        </w:rPr>
        <w:t xml:space="preserve">In fact, in </w:t>
      </w:r>
      <w:r>
        <w:rPr>
          <w:b/>
          <w:bCs/>
          <w:i/>
          <w:iCs/>
          <w:lang w:val="en-CA"/>
        </w:rPr>
        <w:t xml:space="preserve">R. </w:t>
      </w:r>
      <w:r>
        <w:rPr>
          <w:b/>
          <w:bCs/>
          <w:lang w:val="en-CA"/>
        </w:rPr>
        <w:t xml:space="preserve">c. </w:t>
      </w:r>
      <w:r>
        <w:rPr>
          <w:b/>
          <w:bCs/>
          <w:i/>
          <w:iCs/>
          <w:lang w:val="en-CA"/>
        </w:rPr>
        <w:t>Hizebry</w:t>
      </w:r>
      <w:r>
        <w:rPr>
          <w:lang w:val="en-CA"/>
        </w:rPr>
        <w:t xml:space="preserve">, Weitzman J. (as she then was) similarly attributed significant importance to the fact that the officer had followed the very same ENSALA training program as the one followed by the officers in the case before me. The officer in </w:t>
      </w:r>
      <w:r>
        <w:rPr>
          <w:i/>
          <w:iCs/>
          <w:lang w:val="en-CA"/>
        </w:rPr>
        <w:t>Hizebry</w:t>
      </w:r>
      <w:r>
        <w:rPr>
          <w:lang w:val="en-CA"/>
        </w:rPr>
        <w:t xml:space="preserve"> had extensive experience with guns. Since 2006, he dispensed training to correctional officers and border guards. In 2012, he was trained in the use and maintenance of assault rifles. He had followed the ENSALA course on the detection of concealed guns. He was a firearm owner himself and he manipulated guns on a daily basis.</w:t>
      </w:r>
    </w:p>
    <w:p w14:paraId="6A0E898F" w14:textId="77777777" w:rsidR="00FA0E3E" w:rsidRDefault="00FA0E3E" w:rsidP="00FA0E3E">
      <w:pPr>
        <w:pStyle w:val="Paragraphe"/>
        <w:tabs>
          <w:tab w:val="clear" w:pos="360"/>
          <w:tab w:val="num" w:pos="851"/>
        </w:tabs>
        <w:spacing w:line="240" w:lineRule="auto"/>
        <w:rPr>
          <w:lang w:val="en-CA"/>
        </w:rPr>
      </w:pPr>
      <w:r>
        <w:rPr>
          <w:lang w:val="en-CA"/>
        </w:rPr>
        <w:t xml:space="preserve">On the night of the events, the officer was on routine traffic duty near the Bell Centre following a concert. From a distance, he saw the accused walking with a leather </w:t>
      </w:r>
      <w:r w:rsidRPr="00FA0E3E">
        <w:rPr>
          <w:lang w:val="en-CA"/>
        </w:rPr>
        <w:t>man-purse</w:t>
      </w:r>
      <w:r>
        <w:rPr>
          <w:lang w:val="en-CA"/>
        </w:rPr>
        <w:t xml:space="preserve">. Based on his extensive knowledge of guns, the officer was certain that the shape of the man-purse suggested that it contained a </w:t>
      </w:r>
      <w:r w:rsidR="002A1D1E">
        <w:rPr>
          <w:lang w:val="en-CA"/>
        </w:rPr>
        <w:t>pistol. On that basis alone, he intercepted the accused and he demanded that the open the bag.</w:t>
      </w:r>
      <w:r w:rsidR="002A1D1E">
        <w:rPr>
          <w:rStyle w:val="Appelnotedebasdep"/>
          <w:lang w:val="en-CA"/>
        </w:rPr>
        <w:footnoteReference w:id="87"/>
      </w:r>
      <w:r w:rsidR="002A1D1E">
        <w:rPr>
          <w:lang w:val="en-CA"/>
        </w:rPr>
        <w:t xml:space="preserve"> The accused immediately fled and discarded the purse during the foot pursuit. It did in fact contain a loaded </w:t>
      </w:r>
      <w:r w:rsidR="00021446">
        <w:rPr>
          <w:lang w:val="en-CA"/>
        </w:rPr>
        <w:t>9 mm</w:t>
      </w:r>
      <w:r w:rsidR="002A1D1E">
        <w:rPr>
          <w:lang w:val="en-CA"/>
        </w:rPr>
        <w:t xml:space="preserve"> pistol.</w:t>
      </w:r>
    </w:p>
    <w:p w14:paraId="4AC0199A" w14:textId="77777777" w:rsidR="002A1D1E" w:rsidRPr="00FA0E3E" w:rsidRDefault="002A1D1E" w:rsidP="00FA0E3E">
      <w:pPr>
        <w:pStyle w:val="Paragraphe"/>
        <w:tabs>
          <w:tab w:val="clear" w:pos="360"/>
          <w:tab w:val="num" w:pos="851"/>
        </w:tabs>
        <w:spacing w:line="240" w:lineRule="auto"/>
        <w:rPr>
          <w:lang w:val="en-CA"/>
        </w:rPr>
      </w:pPr>
      <w:r>
        <w:rPr>
          <w:lang w:val="en-CA"/>
        </w:rPr>
        <w:t>The Crown conceded that the accused was detained upon their first contact, since the officer was determined not to let him leave until he checked the purse for a gun. Weitzman J. concluded that based on the officer’s training and the shape of the man-purse alone, the officer had sufficient reasonable grounds to suspect that there was in fact a gun in the bag. His suspicion was objectively grounded and it went far beyond some generalized suspicion.</w:t>
      </w:r>
      <w:r>
        <w:rPr>
          <w:rStyle w:val="Appelnotedebasdep"/>
          <w:lang w:val="en-CA"/>
        </w:rPr>
        <w:footnoteReference w:id="88"/>
      </w:r>
      <w:r>
        <w:rPr>
          <w:lang w:val="en-CA"/>
        </w:rPr>
        <w:t xml:space="preserve"> Moreover, given the fact that the suspect</w:t>
      </w:r>
      <w:r w:rsidR="002F5E13">
        <w:rPr>
          <w:lang w:val="en-CA"/>
        </w:rPr>
        <w:t>ed</w:t>
      </w:r>
      <w:r>
        <w:rPr>
          <w:lang w:val="en-CA"/>
        </w:rPr>
        <w:t xml:space="preserve"> offence involved a dangerous weapon</w:t>
      </w:r>
      <w:r w:rsidR="002F5E13">
        <w:rPr>
          <w:lang w:val="en-CA"/>
        </w:rPr>
        <w:t xml:space="preserve"> on a downtown street, it was reasonably necessary to act.</w:t>
      </w:r>
      <w:r w:rsidR="002F5E13">
        <w:rPr>
          <w:rStyle w:val="Appelnotedebasdep"/>
          <w:lang w:val="en-CA"/>
        </w:rPr>
        <w:footnoteReference w:id="89"/>
      </w:r>
    </w:p>
    <w:bookmarkEnd w:id="41"/>
    <w:p w14:paraId="46A2FCF1" w14:textId="77777777" w:rsidR="00FA0E3E" w:rsidRPr="00B07462" w:rsidRDefault="00EA5267" w:rsidP="00B07462">
      <w:pPr>
        <w:pStyle w:val="Paragraphe"/>
        <w:tabs>
          <w:tab w:val="clear" w:pos="360"/>
          <w:tab w:val="num" w:pos="851"/>
        </w:tabs>
        <w:spacing w:line="240" w:lineRule="auto"/>
        <w:rPr>
          <w:lang w:val="en-CA"/>
        </w:rPr>
      </w:pPr>
      <w:r>
        <w:rPr>
          <w:lang w:val="en-CA"/>
        </w:rPr>
        <w:t xml:space="preserve">In </w:t>
      </w:r>
      <w:r>
        <w:rPr>
          <w:b/>
          <w:bCs/>
          <w:i/>
          <w:iCs/>
          <w:lang w:val="en-CA"/>
        </w:rPr>
        <w:t xml:space="preserve">R. </w:t>
      </w:r>
      <w:r>
        <w:rPr>
          <w:b/>
          <w:bCs/>
          <w:lang w:val="en-CA"/>
        </w:rPr>
        <w:t xml:space="preserve">v. </w:t>
      </w:r>
      <w:r>
        <w:rPr>
          <w:b/>
          <w:bCs/>
          <w:i/>
          <w:iCs/>
          <w:lang w:val="en-CA"/>
        </w:rPr>
        <w:t>Cadienhead</w:t>
      </w:r>
      <w:r>
        <w:rPr>
          <w:lang w:val="en-CA"/>
        </w:rPr>
        <w:t xml:space="preserve">, </w:t>
      </w:r>
      <w:r w:rsidR="006A5D59">
        <w:rPr>
          <w:lang w:val="en-CA"/>
        </w:rPr>
        <w:t>the police officers had followed similar training on the detection of characteristics of an armed person. As a result of their training, they noticed the accused making two “safety pats” on his thigh, which they recognized as an indicator of someone subconsciously reconfirming that his gun is still in place, on his person. Their training also alerted them to the fact that the accused began blading as he approached the officers, thereby angling his body in such a way to make the gun</w:t>
      </w:r>
      <w:r w:rsidR="00F137E2">
        <w:rPr>
          <w:lang w:val="en-CA"/>
        </w:rPr>
        <w:t xml:space="preserve"> </w:t>
      </w:r>
      <w:r w:rsidR="006A5D59">
        <w:rPr>
          <w:lang w:val="en-CA"/>
        </w:rPr>
        <w:t>side less visible.</w:t>
      </w:r>
      <w:r w:rsidR="006A5D59">
        <w:rPr>
          <w:rStyle w:val="Appelnotedebasdep"/>
          <w:lang w:val="en-CA"/>
        </w:rPr>
        <w:footnoteReference w:id="90"/>
      </w:r>
    </w:p>
    <w:p w14:paraId="75CE74C7" w14:textId="77777777" w:rsidR="00D8159E" w:rsidRDefault="00D8159E" w:rsidP="00FC6EA0">
      <w:pPr>
        <w:pStyle w:val="Paragraphe"/>
        <w:tabs>
          <w:tab w:val="clear" w:pos="360"/>
          <w:tab w:val="num" w:pos="851"/>
        </w:tabs>
        <w:spacing w:line="240" w:lineRule="auto"/>
        <w:rPr>
          <w:lang w:val="en-CA"/>
        </w:rPr>
      </w:pPr>
      <w:bookmarkStart w:id="42" w:name="_Hlk162520024"/>
      <w:r>
        <w:rPr>
          <w:lang w:val="en-CA"/>
        </w:rPr>
        <w:t xml:space="preserve">The observations of officers Boivin and Laleyan are almost identical to those in </w:t>
      </w:r>
      <w:r>
        <w:rPr>
          <w:b/>
          <w:bCs/>
          <w:i/>
          <w:iCs/>
          <w:lang w:val="en-CA"/>
        </w:rPr>
        <w:t xml:space="preserve">R. </w:t>
      </w:r>
      <w:r>
        <w:rPr>
          <w:b/>
          <w:bCs/>
          <w:lang w:val="en-CA"/>
        </w:rPr>
        <w:t xml:space="preserve">v. </w:t>
      </w:r>
      <w:r>
        <w:rPr>
          <w:b/>
          <w:bCs/>
          <w:i/>
          <w:iCs/>
          <w:lang w:val="en-CA"/>
        </w:rPr>
        <w:t>Peterkin</w:t>
      </w:r>
      <w:r>
        <w:rPr>
          <w:lang w:val="en-CA"/>
        </w:rPr>
        <w:t>, which were:</w:t>
      </w:r>
    </w:p>
    <w:p w14:paraId="0C62DE39" w14:textId="77777777" w:rsidR="00D8159E" w:rsidRDefault="00D8159E" w:rsidP="00D8159E">
      <w:pPr>
        <w:pStyle w:val="Paragraphe"/>
        <w:numPr>
          <w:ilvl w:val="0"/>
          <w:numId w:val="26"/>
        </w:numPr>
        <w:spacing w:line="240" w:lineRule="auto"/>
        <w:ind w:left="993"/>
        <w:rPr>
          <w:lang w:val="en-CA"/>
        </w:rPr>
      </w:pPr>
      <w:r>
        <w:rPr>
          <w:lang w:val="en-CA"/>
        </w:rPr>
        <w:t>Nervousness.</w:t>
      </w:r>
    </w:p>
    <w:p w14:paraId="47F3E1C9" w14:textId="77777777" w:rsidR="00D8159E" w:rsidRDefault="00D8159E" w:rsidP="00D8159E">
      <w:pPr>
        <w:pStyle w:val="Paragraphe"/>
        <w:numPr>
          <w:ilvl w:val="0"/>
          <w:numId w:val="26"/>
        </w:numPr>
        <w:spacing w:line="240" w:lineRule="auto"/>
        <w:ind w:left="993"/>
        <w:rPr>
          <w:lang w:val="en-CA"/>
        </w:rPr>
      </w:pPr>
      <w:r>
        <w:rPr>
          <w:lang w:val="en-CA"/>
        </w:rPr>
        <w:lastRenderedPageBreak/>
        <w:t>Avoiding eye contact.</w:t>
      </w:r>
    </w:p>
    <w:p w14:paraId="7229B4E2" w14:textId="77777777" w:rsidR="00D8159E" w:rsidRDefault="00D8159E" w:rsidP="00D8159E">
      <w:pPr>
        <w:pStyle w:val="Paragraphe"/>
        <w:numPr>
          <w:ilvl w:val="0"/>
          <w:numId w:val="26"/>
        </w:numPr>
        <w:spacing w:line="240" w:lineRule="auto"/>
        <w:ind w:left="993"/>
        <w:rPr>
          <w:lang w:val="en-CA"/>
        </w:rPr>
      </w:pPr>
      <w:r>
        <w:rPr>
          <w:lang w:val="en-CA"/>
        </w:rPr>
        <w:t>Tapping his own hip twice, which was a tell-tale sign of verifying if a gun was still in place.</w:t>
      </w:r>
    </w:p>
    <w:p w14:paraId="450D2C46" w14:textId="77777777" w:rsidR="00D8159E" w:rsidRDefault="00D8159E" w:rsidP="00D8159E">
      <w:pPr>
        <w:pStyle w:val="Paragraphe"/>
        <w:numPr>
          <w:ilvl w:val="0"/>
          <w:numId w:val="26"/>
        </w:numPr>
        <w:spacing w:line="240" w:lineRule="auto"/>
        <w:ind w:left="993"/>
        <w:rPr>
          <w:lang w:val="en-CA"/>
        </w:rPr>
      </w:pPr>
      <w:r>
        <w:rPr>
          <w:lang w:val="en-CA"/>
        </w:rPr>
        <w:t>He bladed his body to make his right side less visible.</w:t>
      </w:r>
    </w:p>
    <w:p w14:paraId="2568621B" w14:textId="77777777" w:rsidR="00D8159E" w:rsidRDefault="00D8159E" w:rsidP="00D8159E">
      <w:pPr>
        <w:pStyle w:val="Paragraphe"/>
        <w:numPr>
          <w:ilvl w:val="0"/>
          <w:numId w:val="26"/>
        </w:numPr>
        <w:spacing w:line="240" w:lineRule="auto"/>
        <w:ind w:left="993"/>
        <w:rPr>
          <w:lang w:val="en-CA"/>
        </w:rPr>
      </w:pPr>
      <w:r>
        <w:rPr>
          <w:lang w:val="en-CA"/>
        </w:rPr>
        <w:t>When he reached for his driver’s licence, he awkwardly moved only his forearm, making sure to keep his elbow pinned against his body.</w:t>
      </w:r>
    </w:p>
    <w:bookmarkEnd w:id="42"/>
    <w:p w14:paraId="30887622" w14:textId="77777777" w:rsidR="00D8159E" w:rsidRDefault="00B07462" w:rsidP="00FC6EA0">
      <w:pPr>
        <w:pStyle w:val="Paragraphe"/>
        <w:tabs>
          <w:tab w:val="clear" w:pos="360"/>
          <w:tab w:val="num" w:pos="851"/>
        </w:tabs>
        <w:spacing w:line="240" w:lineRule="auto"/>
        <w:rPr>
          <w:lang w:val="en-CA"/>
        </w:rPr>
      </w:pPr>
      <w:r>
        <w:rPr>
          <w:lang w:val="en-CA"/>
        </w:rPr>
        <w:t>In the case at bar, the police officers were confronted with a constellation of the following objectively discernible facts:</w:t>
      </w:r>
    </w:p>
    <w:p w14:paraId="7E28C566" w14:textId="77777777" w:rsidR="00B07462" w:rsidRDefault="00B07462" w:rsidP="00B07462">
      <w:pPr>
        <w:pStyle w:val="Paragraphe"/>
        <w:numPr>
          <w:ilvl w:val="0"/>
          <w:numId w:val="28"/>
        </w:numPr>
        <w:spacing w:line="240" w:lineRule="auto"/>
        <w:ind w:left="1276"/>
        <w:rPr>
          <w:lang w:val="en-CA"/>
        </w:rPr>
      </w:pPr>
      <w:r>
        <w:rPr>
          <w:lang w:val="en-CA"/>
        </w:rPr>
        <w:t>As soon as the accused noticed the police officers, he immediately changed direction, making a full 180</w:t>
      </w:r>
      <w:r>
        <w:rPr>
          <w:rFonts w:cs="Arial"/>
          <w:lang w:val="en-CA"/>
        </w:rPr>
        <w:t>°</w:t>
      </w:r>
      <w:r>
        <w:rPr>
          <w:lang w:val="en-CA"/>
        </w:rPr>
        <w:t xml:space="preserve"> rotation in order to move farther away from them;</w:t>
      </w:r>
    </w:p>
    <w:p w14:paraId="7D29CC18" w14:textId="77777777" w:rsidR="00B07462" w:rsidRDefault="00B07462" w:rsidP="00B07462">
      <w:pPr>
        <w:pStyle w:val="Paragraphe"/>
        <w:numPr>
          <w:ilvl w:val="0"/>
          <w:numId w:val="28"/>
        </w:numPr>
        <w:spacing w:line="240" w:lineRule="auto"/>
        <w:ind w:left="1276"/>
        <w:rPr>
          <w:lang w:val="en-CA"/>
        </w:rPr>
      </w:pPr>
      <w:r>
        <w:rPr>
          <w:lang w:val="en-CA"/>
        </w:rPr>
        <w:t>As he walked away, he pushed his man-purse forward, in such a way to make it less visible to the police officers, who were now positioned behind him;</w:t>
      </w:r>
    </w:p>
    <w:p w14:paraId="4787A03E" w14:textId="77777777" w:rsidR="00B07462" w:rsidRDefault="00B07462" w:rsidP="00B07462">
      <w:pPr>
        <w:pStyle w:val="Paragraphe"/>
        <w:numPr>
          <w:ilvl w:val="0"/>
          <w:numId w:val="28"/>
        </w:numPr>
        <w:spacing w:line="240" w:lineRule="auto"/>
        <w:ind w:left="1276"/>
        <w:rPr>
          <w:lang w:val="en-CA"/>
        </w:rPr>
      </w:pPr>
      <w:r>
        <w:rPr>
          <w:lang w:val="en-CA"/>
        </w:rPr>
        <w:t xml:space="preserve">The </w:t>
      </w:r>
      <w:r w:rsidR="00160D3C">
        <w:rPr>
          <w:lang w:val="en-CA"/>
        </w:rPr>
        <w:t>act of pushing the man-purse forward was done discretely, which suggests deception or concealment;</w:t>
      </w:r>
    </w:p>
    <w:p w14:paraId="391B372D" w14:textId="77777777" w:rsidR="00160D3C" w:rsidRDefault="00160D3C" w:rsidP="00B07462">
      <w:pPr>
        <w:pStyle w:val="Paragraphe"/>
        <w:numPr>
          <w:ilvl w:val="0"/>
          <w:numId w:val="28"/>
        </w:numPr>
        <w:spacing w:line="240" w:lineRule="auto"/>
        <w:ind w:left="1276"/>
        <w:rPr>
          <w:lang w:val="en-CA"/>
        </w:rPr>
      </w:pPr>
      <w:r>
        <w:rPr>
          <w:lang w:val="en-CA"/>
        </w:rPr>
        <w:t xml:space="preserve">The </w:t>
      </w:r>
      <w:r w:rsidR="003D17B6">
        <w:rPr>
          <w:lang w:val="en-CA"/>
        </w:rPr>
        <w:t>dead-arm</w:t>
      </w:r>
      <w:r>
        <w:rPr>
          <w:lang w:val="en-CA"/>
        </w:rPr>
        <w:t>: although his left arm was making a normal swinging motion while walking, his right arm was pinned to his ribs, squeezing the purse to prevent it from moving;</w:t>
      </w:r>
    </w:p>
    <w:p w14:paraId="64208C37" w14:textId="77777777" w:rsidR="00160D3C" w:rsidRDefault="00160D3C" w:rsidP="00B07462">
      <w:pPr>
        <w:pStyle w:val="Paragraphe"/>
        <w:numPr>
          <w:ilvl w:val="0"/>
          <w:numId w:val="28"/>
        </w:numPr>
        <w:spacing w:line="240" w:lineRule="auto"/>
        <w:ind w:left="1276"/>
        <w:rPr>
          <w:lang w:val="en-CA"/>
        </w:rPr>
      </w:pPr>
      <w:r>
        <w:rPr>
          <w:lang w:val="en-CA"/>
        </w:rPr>
        <w:t>Even when removing (or replacing) his phone from his pocket, the accused was careful to only let his forearm move as little as possible, which was awkward;</w:t>
      </w:r>
    </w:p>
    <w:p w14:paraId="4FB01623" w14:textId="77777777" w:rsidR="00160D3C" w:rsidRDefault="00160D3C" w:rsidP="00B07462">
      <w:pPr>
        <w:pStyle w:val="Paragraphe"/>
        <w:numPr>
          <w:ilvl w:val="0"/>
          <w:numId w:val="28"/>
        </w:numPr>
        <w:spacing w:line="240" w:lineRule="auto"/>
        <w:ind w:left="1276"/>
        <w:rPr>
          <w:lang w:val="en-CA"/>
        </w:rPr>
      </w:pPr>
      <w:r>
        <w:rPr>
          <w:lang w:val="en-CA"/>
        </w:rPr>
        <w:t xml:space="preserve">The back-checks, turning around to see if the police </w:t>
      </w:r>
      <w:r w:rsidR="00897930">
        <w:rPr>
          <w:lang w:val="en-CA"/>
        </w:rPr>
        <w:t>were</w:t>
      </w:r>
      <w:r>
        <w:rPr>
          <w:lang w:val="en-CA"/>
        </w:rPr>
        <w:t xml:space="preserve"> still there, as he was walking away;</w:t>
      </w:r>
    </w:p>
    <w:p w14:paraId="314E15BB" w14:textId="77777777" w:rsidR="00160D3C" w:rsidRDefault="00160D3C" w:rsidP="00B07462">
      <w:pPr>
        <w:pStyle w:val="Paragraphe"/>
        <w:numPr>
          <w:ilvl w:val="0"/>
          <w:numId w:val="28"/>
        </w:numPr>
        <w:spacing w:line="240" w:lineRule="auto"/>
        <w:ind w:left="1276"/>
        <w:rPr>
          <w:lang w:val="en-CA"/>
        </w:rPr>
      </w:pPr>
      <w:r>
        <w:rPr>
          <w:lang w:val="en-CA"/>
        </w:rPr>
        <w:t>The fact that man-purses, by their size and shape, are convenient and very frequent hiding places for concealed handguns;</w:t>
      </w:r>
    </w:p>
    <w:p w14:paraId="1BA478AF" w14:textId="77777777" w:rsidR="00160D3C" w:rsidRDefault="00160D3C" w:rsidP="00B07462">
      <w:pPr>
        <w:pStyle w:val="Paragraphe"/>
        <w:numPr>
          <w:ilvl w:val="0"/>
          <w:numId w:val="28"/>
        </w:numPr>
        <w:spacing w:line="240" w:lineRule="auto"/>
        <w:ind w:left="1276"/>
        <w:rPr>
          <w:lang w:val="en-CA"/>
        </w:rPr>
      </w:pPr>
      <w:r>
        <w:rPr>
          <w:lang w:val="en-CA"/>
        </w:rPr>
        <w:t>The fact that despite the man-purse, the accused kept his cell phone and his I.D. card in his pants pocket, thereby suggesting that the purse was used for something other than his day-to-day items</w:t>
      </w:r>
      <w:r w:rsidR="00223CB6">
        <w:rPr>
          <w:lang w:val="en-CA"/>
        </w:rPr>
        <w:t>;</w:t>
      </w:r>
    </w:p>
    <w:p w14:paraId="0FB68B92" w14:textId="77777777" w:rsidR="00223CB6" w:rsidRDefault="00223CB6" w:rsidP="00B07462">
      <w:pPr>
        <w:pStyle w:val="Paragraphe"/>
        <w:numPr>
          <w:ilvl w:val="0"/>
          <w:numId w:val="28"/>
        </w:numPr>
        <w:spacing w:line="240" w:lineRule="auto"/>
        <w:ind w:left="1276"/>
        <w:rPr>
          <w:lang w:val="en-CA"/>
        </w:rPr>
      </w:pPr>
      <w:r>
        <w:rPr>
          <w:lang w:val="en-CA"/>
        </w:rPr>
        <w:t>The heightened state of nervousness when the accused saw the police car approach;</w:t>
      </w:r>
    </w:p>
    <w:p w14:paraId="69152A24" w14:textId="77777777" w:rsidR="00223CB6" w:rsidRPr="00B07462" w:rsidRDefault="00223CB6" w:rsidP="00B07462">
      <w:pPr>
        <w:pStyle w:val="Paragraphe"/>
        <w:numPr>
          <w:ilvl w:val="0"/>
          <w:numId w:val="28"/>
        </w:numPr>
        <w:spacing w:line="240" w:lineRule="auto"/>
        <w:ind w:left="1276"/>
        <w:rPr>
          <w:lang w:val="en-CA"/>
        </w:rPr>
      </w:pPr>
      <w:r>
        <w:rPr>
          <w:lang w:val="en-CA"/>
        </w:rPr>
        <w:lastRenderedPageBreak/>
        <w:t>The pre-emptive presentation of his health card, even though no one had asked him for identification yet.</w:t>
      </w:r>
    </w:p>
    <w:p w14:paraId="6BFE9991" w14:textId="77777777" w:rsidR="00B07462" w:rsidRDefault="00223CB6" w:rsidP="00FC6EA0">
      <w:pPr>
        <w:pStyle w:val="Paragraphe"/>
        <w:tabs>
          <w:tab w:val="clear" w:pos="360"/>
          <w:tab w:val="num" w:pos="851"/>
        </w:tabs>
        <w:spacing w:line="240" w:lineRule="auto"/>
        <w:rPr>
          <w:lang w:val="en-CA"/>
        </w:rPr>
      </w:pPr>
      <w:r>
        <w:rPr>
          <w:lang w:val="en-CA"/>
        </w:rPr>
        <w:t>Obviously, the mere fact of walking away from the police upon seeing them is not incriminating in and of itself. Officer Laleyan humbly acknowledged that some people “just don’t like cops”, which is fine.</w:t>
      </w:r>
    </w:p>
    <w:p w14:paraId="21563E7F" w14:textId="77777777" w:rsidR="00C865D0" w:rsidRPr="00223CB6" w:rsidRDefault="00223CB6" w:rsidP="00223CB6">
      <w:pPr>
        <w:pStyle w:val="Paragraphe"/>
        <w:tabs>
          <w:tab w:val="clear" w:pos="360"/>
          <w:tab w:val="num" w:pos="851"/>
        </w:tabs>
        <w:spacing w:line="240" w:lineRule="auto"/>
        <w:rPr>
          <w:lang w:val="en-CA"/>
        </w:rPr>
      </w:pPr>
      <w:r>
        <w:rPr>
          <w:lang w:val="en-CA"/>
        </w:rPr>
        <w:t xml:space="preserve">However, in light of all these suspicious behaviours, considered cumulatively, the Court concludes that the police officers’ suspicion that that Nimeri was possibly carrying a concealed handgun was abundantly reasonable. </w:t>
      </w:r>
      <w:r w:rsidR="004C799D" w:rsidRPr="00223CB6">
        <w:rPr>
          <w:lang w:val="en-CA"/>
        </w:rPr>
        <w:t>The seriousness of the offence being investigated and the potential risk to public safety</w:t>
      </w:r>
      <w:r w:rsidR="002B2CBD" w:rsidRPr="00223CB6">
        <w:rPr>
          <w:lang w:val="en-CA"/>
        </w:rPr>
        <w:t xml:space="preserve"> were such that the detention was a justifiable use of police powers.</w:t>
      </w:r>
    </w:p>
    <w:p w14:paraId="04A85A7E" w14:textId="77777777" w:rsidR="00535C85" w:rsidRPr="00EE3819" w:rsidRDefault="00535C85" w:rsidP="00535C85">
      <w:pPr>
        <w:pStyle w:val="Titre2"/>
        <w:numPr>
          <w:ilvl w:val="0"/>
          <w:numId w:val="17"/>
        </w:numPr>
        <w:spacing w:before="120" w:after="120"/>
        <w:rPr>
          <w:i w:val="0"/>
          <w:u w:val="single"/>
          <w:lang w:val="en-CA"/>
        </w:rPr>
      </w:pPr>
      <w:r>
        <w:rPr>
          <w:i w:val="0"/>
          <w:u w:val="single"/>
          <w:lang w:val="en-CA"/>
        </w:rPr>
        <w:t>Was the pat-down search lawful</w:t>
      </w:r>
      <w:r>
        <w:rPr>
          <w:i w:val="0"/>
          <w:lang w:val="en-CA"/>
        </w:rPr>
        <w:t>?</w:t>
      </w:r>
    </w:p>
    <w:p w14:paraId="49A44AC5" w14:textId="77777777" w:rsidR="00F33857" w:rsidRDefault="00F33857" w:rsidP="00F33857">
      <w:pPr>
        <w:pStyle w:val="Paragraphe"/>
        <w:tabs>
          <w:tab w:val="clear" w:pos="360"/>
          <w:tab w:val="num" w:pos="851"/>
        </w:tabs>
        <w:spacing w:line="240" w:lineRule="auto"/>
        <w:rPr>
          <w:lang w:val="en-CA"/>
        </w:rPr>
      </w:pPr>
      <w:bookmarkStart w:id="43" w:name="_Hlk162421999"/>
      <w:r>
        <w:rPr>
          <w:lang w:val="en-CA"/>
        </w:rPr>
        <w:t>From the outset, I note that the officers’ additional observations in the short period between the detention and the search are relevant to the assessment. Those include:</w:t>
      </w:r>
    </w:p>
    <w:p w14:paraId="3ED54DD8" w14:textId="77777777" w:rsidR="00F33857" w:rsidRDefault="00F33857" w:rsidP="00F33857">
      <w:pPr>
        <w:pStyle w:val="Paragraphe"/>
        <w:numPr>
          <w:ilvl w:val="0"/>
          <w:numId w:val="24"/>
        </w:numPr>
        <w:spacing w:line="240" w:lineRule="auto"/>
        <w:ind w:left="1276"/>
        <w:rPr>
          <w:lang w:val="en-CA"/>
        </w:rPr>
      </w:pPr>
      <w:r>
        <w:rPr>
          <w:lang w:val="en-CA"/>
        </w:rPr>
        <w:t>His acute nervousness;</w:t>
      </w:r>
    </w:p>
    <w:p w14:paraId="18182EFD" w14:textId="77777777" w:rsidR="00F33857" w:rsidRDefault="00F33857" w:rsidP="00F33857">
      <w:pPr>
        <w:pStyle w:val="Paragraphe"/>
        <w:numPr>
          <w:ilvl w:val="0"/>
          <w:numId w:val="24"/>
        </w:numPr>
        <w:spacing w:line="240" w:lineRule="auto"/>
        <w:ind w:left="1276"/>
        <w:rPr>
          <w:lang w:val="en-CA"/>
        </w:rPr>
      </w:pPr>
      <w:r>
        <w:rPr>
          <w:lang w:val="en-CA"/>
        </w:rPr>
        <w:t>His state of agitation and confrontation;</w:t>
      </w:r>
    </w:p>
    <w:p w14:paraId="72CF5961" w14:textId="77777777" w:rsidR="00911FD9" w:rsidRDefault="00911FD9" w:rsidP="00F33857">
      <w:pPr>
        <w:pStyle w:val="Paragraphe"/>
        <w:numPr>
          <w:ilvl w:val="0"/>
          <w:numId w:val="24"/>
        </w:numPr>
        <w:spacing w:line="240" w:lineRule="auto"/>
        <w:ind w:left="1276"/>
        <w:rPr>
          <w:lang w:val="en-CA"/>
        </w:rPr>
      </w:pPr>
      <w:r>
        <w:rPr>
          <w:lang w:val="en-CA"/>
        </w:rPr>
        <w:t>The fact that he placed his hand in his pocket despite being ordered by the police to show his hands;</w:t>
      </w:r>
    </w:p>
    <w:p w14:paraId="17A4C44B" w14:textId="77777777" w:rsidR="00F33857" w:rsidRDefault="00F33857" w:rsidP="00F33857">
      <w:pPr>
        <w:pStyle w:val="Paragraphe"/>
        <w:numPr>
          <w:ilvl w:val="0"/>
          <w:numId w:val="24"/>
        </w:numPr>
        <w:spacing w:line="240" w:lineRule="auto"/>
        <w:ind w:left="1276"/>
        <w:rPr>
          <w:lang w:val="en-CA"/>
        </w:rPr>
      </w:pPr>
      <w:r>
        <w:rPr>
          <w:lang w:val="en-CA"/>
        </w:rPr>
        <w:t>His constant looking left and right, as if he were scanning to assess his possible escape routes, in preparation to flee.</w:t>
      </w:r>
    </w:p>
    <w:p w14:paraId="270B3402" w14:textId="77777777" w:rsidR="00F33857" w:rsidRDefault="00F33857" w:rsidP="00F33857">
      <w:pPr>
        <w:pStyle w:val="Paragraphe"/>
        <w:tabs>
          <w:tab w:val="clear" w:pos="360"/>
          <w:tab w:val="num" w:pos="851"/>
        </w:tabs>
        <w:spacing w:line="240" w:lineRule="auto"/>
        <w:rPr>
          <w:lang w:val="en-CA"/>
        </w:rPr>
      </w:pPr>
      <w:r>
        <w:rPr>
          <w:lang w:val="en-CA"/>
        </w:rPr>
        <w:t xml:space="preserve">Defence counsel </w:t>
      </w:r>
      <w:r w:rsidR="00034384">
        <w:rPr>
          <w:lang w:val="en-CA"/>
        </w:rPr>
        <w:t xml:space="preserve">implicitly </w:t>
      </w:r>
      <w:r>
        <w:rPr>
          <w:lang w:val="en-CA"/>
        </w:rPr>
        <w:t>suggests that since officer</w:t>
      </w:r>
      <w:r w:rsidR="007D3B92">
        <w:rPr>
          <w:lang w:val="en-CA"/>
        </w:rPr>
        <w:t xml:space="preserve"> Laleyan</w:t>
      </w:r>
      <w:r>
        <w:rPr>
          <w:lang w:val="en-CA"/>
        </w:rPr>
        <w:t xml:space="preserve"> had already decided that he would conduct a pat-down search of the man-purse, that these additional elements are somehow discounted. I disagree. As the Supreme Court</w:t>
      </w:r>
      <w:r w:rsidR="00EF362B">
        <w:rPr>
          <w:lang w:val="en-CA"/>
        </w:rPr>
        <w:t>’s majority</w:t>
      </w:r>
      <w:r>
        <w:rPr>
          <w:lang w:val="en-CA"/>
        </w:rPr>
        <w:t xml:space="preserve"> made clear in </w:t>
      </w:r>
      <w:r>
        <w:rPr>
          <w:b/>
          <w:bCs/>
          <w:i/>
          <w:iCs/>
          <w:lang w:val="en-CA"/>
        </w:rPr>
        <w:t xml:space="preserve">R. </w:t>
      </w:r>
      <w:r>
        <w:rPr>
          <w:b/>
          <w:bCs/>
          <w:lang w:val="en-CA"/>
        </w:rPr>
        <w:t xml:space="preserve">v. </w:t>
      </w:r>
      <w:r>
        <w:rPr>
          <w:b/>
          <w:bCs/>
          <w:i/>
          <w:iCs/>
          <w:lang w:val="en-CA"/>
        </w:rPr>
        <w:t>Clayton</w:t>
      </w:r>
      <w:r>
        <w:rPr>
          <w:lang w:val="en-CA"/>
        </w:rPr>
        <w:t>:</w:t>
      </w:r>
    </w:p>
    <w:p w14:paraId="73D7047E" w14:textId="77777777" w:rsidR="00F33857" w:rsidRPr="00772F2D" w:rsidRDefault="00F33857" w:rsidP="00772F2D">
      <w:pPr>
        <w:pStyle w:val="Paragraphe"/>
        <w:numPr>
          <w:ilvl w:val="0"/>
          <w:numId w:val="0"/>
        </w:numPr>
        <w:spacing w:line="240" w:lineRule="auto"/>
        <w:ind w:left="1418" w:right="1140"/>
        <w:rPr>
          <w:sz w:val="22"/>
          <w:szCs w:val="22"/>
          <w:lang w:val="en-CA"/>
        </w:rPr>
      </w:pPr>
      <w:r w:rsidRPr="007D3B92">
        <w:rPr>
          <w:sz w:val="22"/>
          <w:szCs w:val="22"/>
          <w:lang w:val="en-CA"/>
        </w:rPr>
        <w:t xml:space="preserve">The officers’ safety concerns also justified the searches incidental to the detention. The trial judge based his finding that Farmer’s and Clayton’s s. 8 rights were violated on his conclusion that the decision to search them was made before the officer had the objective grounds to do so. This, it seems to me, ignores the fact that the relevant time is the time of the actual search and </w:t>
      </w:r>
      <w:r w:rsidR="00EF362B" w:rsidRPr="007D3B92">
        <w:rPr>
          <w:sz w:val="22"/>
          <w:szCs w:val="22"/>
          <w:lang w:val="en-CA"/>
        </w:rPr>
        <w:t>s</w:t>
      </w:r>
      <w:r w:rsidRPr="007D3B92">
        <w:rPr>
          <w:sz w:val="22"/>
          <w:szCs w:val="22"/>
          <w:lang w:val="en-CA"/>
        </w:rPr>
        <w:t>eizure</w:t>
      </w:r>
      <w:r w:rsidR="00EF362B" w:rsidRPr="007D3B92">
        <w:rPr>
          <w:sz w:val="22"/>
          <w:szCs w:val="22"/>
          <w:lang w:val="en-CA"/>
        </w:rPr>
        <w:t>. By that time, the officers had the requisite subjective and objective grounds. Intention alone does not attract a finding of unconstitutionality. It is not until that subjective intent is accompanied by actual conduct that it becomes relevant.</w:t>
      </w:r>
      <w:r w:rsidR="00EF362B" w:rsidRPr="007D3B92">
        <w:rPr>
          <w:rStyle w:val="Appelnotedebasdep"/>
          <w:sz w:val="22"/>
          <w:szCs w:val="22"/>
          <w:lang w:val="en-CA"/>
        </w:rPr>
        <w:footnoteReference w:id="91"/>
      </w:r>
      <w:bookmarkEnd w:id="43"/>
    </w:p>
    <w:p w14:paraId="1AD458D3" w14:textId="77777777" w:rsidR="00535C85" w:rsidRDefault="001C5248" w:rsidP="00FC6EA0">
      <w:pPr>
        <w:pStyle w:val="Paragraphe"/>
        <w:tabs>
          <w:tab w:val="clear" w:pos="360"/>
          <w:tab w:val="num" w:pos="851"/>
        </w:tabs>
        <w:spacing w:line="240" w:lineRule="auto"/>
        <w:rPr>
          <w:lang w:val="en-CA"/>
        </w:rPr>
      </w:pPr>
      <w:r>
        <w:rPr>
          <w:lang w:val="en-CA"/>
        </w:rPr>
        <w:lastRenderedPageBreak/>
        <w:t xml:space="preserve">It is not this Court’s </w:t>
      </w:r>
      <w:r w:rsidR="00E15175">
        <w:rPr>
          <w:lang w:val="en-CA"/>
        </w:rPr>
        <w:t>role</w:t>
      </w:r>
      <w:r>
        <w:rPr>
          <w:lang w:val="en-CA"/>
        </w:rPr>
        <w:t xml:space="preserve"> to place every police move under a scanning electron microscope.</w:t>
      </w:r>
      <w:r w:rsidR="00A34379">
        <w:rPr>
          <w:rStyle w:val="Appelnotedebasdep"/>
          <w:lang w:val="en-CA"/>
        </w:rPr>
        <w:footnoteReference w:id="92"/>
      </w:r>
      <w:r w:rsidR="00A34379">
        <w:rPr>
          <w:lang w:val="en-CA"/>
        </w:rPr>
        <w:t xml:space="preserve"> </w:t>
      </w:r>
      <w:bookmarkStart w:id="45" w:name="_Hlk162304663"/>
      <w:r w:rsidR="00A34379">
        <w:rPr>
          <w:lang w:val="en-CA"/>
        </w:rPr>
        <w:t xml:space="preserve">We must remember that they </w:t>
      </w:r>
      <w:r w:rsidR="00E15175">
        <w:rPr>
          <w:lang w:val="en-CA"/>
        </w:rPr>
        <w:t xml:space="preserve">are called to </w:t>
      </w:r>
      <w:r w:rsidR="00A34379">
        <w:rPr>
          <w:lang w:val="en-CA"/>
        </w:rPr>
        <w:t>exercise discretion and judgment in difficult and fluid circumstances. The reviewing court must find the right balance between the rights of suspects and the requirements of safe and effective law enforcement, without becoming a Monday morning quarterback.</w:t>
      </w:r>
      <w:r w:rsidR="00A34379">
        <w:rPr>
          <w:rStyle w:val="Appelnotedebasdep"/>
          <w:lang w:val="en-CA"/>
        </w:rPr>
        <w:footnoteReference w:id="93"/>
      </w:r>
      <w:bookmarkEnd w:id="45"/>
    </w:p>
    <w:p w14:paraId="5F6064A7" w14:textId="77777777" w:rsidR="001B3E74" w:rsidRPr="00E15175" w:rsidRDefault="001B3E74" w:rsidP="00E15175">
      <w:pPr>
        <w:pStyle w:val="Paragraphe"/>
        <w:tabs>
          <w:tab w:val="clear" w:pos="360"/>
          <w:tab w:val="num" w:pos="851"/>
        </w:tabs>
        <w:spacing w:line="240" w:lineRule="auto"/>
        <w:rPr>
          <w:lang w:val="en-CA"/>
        </w:rPr>
      </w:pPr>
      <w:bookmarkStart w:id="46" w:name="_Hlk162341616"/>
      <w:r w:rsidRPr="00E15175">
        <w:rPr>
          <w:lang w:val="en-CA"/>
        </w:rPr>
        <w:t>Where the suspected offence involves the possible possession of an inherently and undeniably dangerous weapon, by logical implication, it follows that the search will generally be justified.</w:t>
      </w:r>
    </w:p>
    <w:p w14:paraId="100237E2" w14:textId="77777777" w:rsidR="001B3E74" w:rsidRDefault="001B3E74" w:rsidP="00FC6EA0">
      <w:pPr>
        <w:pStyle w:val="Paragraphe"/>
        <w:tabs>
          <w:tab w:val="clear" w:pos="360"/>
          <w:tab w:val="num" w:pos="851"/>
        </w:tabs>
        <w:spacing w:line="240" w:lineRule="auto"/>
        <w:rPr>
          <w:lang w:val="en-CA"/>
        </w:rPr>
      </w:pPr>
      <w:r>
        <w:rPr>
          <w:lang w:val="en-CA"/>
        </w:rPr>
        <w:t>That is precisely what Weitzman</w:t>
      </w:r>
      <w:r w:rsidR="00E15175">
        <w:rPr>
          <w:lang w:val="en-CA"/>
        </w:rPr>
        <w:t xml:space="preserve"> J.</w:t>
      </w:r>
      <w:r>
        <w:rPr>
          <w:lang w:val="en-CA"/>
        </w:rPr>
        <w:t xml:space="preserve"> concluded in </w:t>
      </w:r>
      <w:r>
        <w:rPr>
          <w:b/>
          <w:bCs/>
          <w:i/>
          <w:iCs/>
          <w:lang w:val="en-CA"/>
        </w:rPr>
        <w:t xml:space="preserve">R. </w:t>
      </w:r>
      <w:r>
        <w:rPr>
          <w:b/>
          <w:bCs/>
          <w:lang w:val="en-CA"/>
        </w:rPr>
        <w:t xml:space="preserve">c. </w:t>
      </w:r>
      <w:r>
        <w:rPr>
          <w:b/>
          <w:bCs/>
          <w:i/>
          <w:iCs/>
          <w:lang w:val="en-CA"/>
        </w:rPr>
        <w:t>Hizebry</w:t>
      </w:r>
      <w:r>
        <w:rPr>
          <w:lang w:val="en-CA"/>
        </w:rPr>
        <w:t xml:space="preserve">, described above. Since the officer had reasonable grounds to suspect that the accused was in possession of a handgun, he was entitled to search the </w:t>
      </w:r>
      <w:r w:rsidRPr="00A40FBE">
        <w:rPr>
          <w:lang w:val="en-CA"/>
        </w:rPr>
        <w:t>man-purse</w:t>
      </w:r>
      <w:r>
        <w:rPr>
          <w:lang w:val="en-CA"/>
        </w:rPr>
        <w:t xml:space="preserve"> immediately upon detaining the accused in order to dispel the danger.</w:t>
      </w:r>
      <w:r>
        <w:rPr>
          <w:rStyle w:val="Appelnotedebasdep"/>
          <w:lang w:val="en-CA"/>
        </w:rPr>
        <w:footnoteReference w:id="94"/>
      </w:r>
    </w:p>
    <w:p w14:paraId="40268B14" w14:textId="77777777" w:rsidR="00681EBF" w:rsidRDefault="00681EBF" w:rsidP="00FC6EA0">
      <w:pPr>
        <w:pStyle w:val="Paragraphe"/>
        <w:tabs>
          <w:tab w:val="clear" w:pos="360"/>
          <w:tab w:val="num" w:pos="851"/>
        </w:tabs>
        <w:spacing w:line="240" w:lineRule="auto"/>
        <w:rPr>
          <w:lang w:val="en-CA"/>
        </w:rPr>
      </w:pPr>
      <w:bookmarkStart w:id="47" w:name="_Hlk162344964"/>
      <w:bookmarkEnd w:id="46"/>
      <w:r>
        <w:rPr>
          <w:lang w:val="en-CA"/>
        </w:rPr>
        <w:t xml:space="preserve">In </w:t>
      </w:r>
      <w:r w:rsidR="00570F1D">
        <w:rPr>
          <w:b/>
          <w:bCs/>
          <w:i/>
          <w:iCs/>
          <w:lang w:val="en-CA"/>
        </w:rPr>
        <w:t xml:space="preserve">R. </w:t>
      </w:r>
      <w:r w:rsidR="00570F1D">
        <w:rPr>
          <w:b/>
          <w:bCs/>
          <w:lang w:val="en-CA"/>
        </w:rPr>
        <w:t xml:space="preserve">v. </w:t>
      </w:r>
      <w:r w:rsidR="00570F1D">
        <w:rPr>
          <w:b/>
          <w:bCs/>
          <w:i/>
          <w:iCs/>
          <w:lang w:val="en-CA"/>
        </w:rPr>
        <w:t>Thibodeau</w:t>
      </w:r>
      <w:r w:rsidR="00570F1D">
        <w:rPr>
          <w:rStyle w:val="Appelnotedebasdep"/>
          <w:lang w:val="en-CA"/>
        </w:rPr>
        <w:footnoteReference w:id="95"/>
      </w:r>
      <w:r w:rsidR="00570F1D">
        <w:rPr>
          <w:lang w:val="en-CA"/>
        </w:rPr>
        <w:t xml:space="preserve"> and</w:t>
      </w:r>
      <w:r>
        <w:rPr>
          <w:lang w:val="en-CA"/>
        </w:rPr>
        <w:t xml:space="preserve"> </w:t>
      </w:r>
      <w:r>
        <w:rPr>
          <w:b/>
          <w:bCs/>
          <w:i/>
          <w:iCs/>
          <w:lang w:val="en-CA"/>
        </w:rPr>
        <w:t xml:space="preserve">R. </w:t>
      </w:r>
      <w:r>
        <w:rPr>
          <w:b/>
          <w:bCs/>
          <w:lang w:val="en-CA"/>
        </w:rPr>
        <w:t xml:space="preserve">v. </w:t>
      </w:r>
      <w:r>
        <w:rPr>
          <w:b/>
          <w:bCs/>
          <w:i/>
          <w:iCs/>
          <w:lang w:val="en-CA"/>
        </w:rPr>
        <w:t>Ferris</w:t>
      </w:r>
      <w:r>
        <w:rPr>
          <w:lang w:val="en-CA"/>
        </w:rPr>
        <w:t>,</w:t>
      </w:r>
      <w:r>
        <w:rPr>
          <w:rStyle w:val="Appelnotedebasdep"/>
          <w:lang w:val="en-CA"/>
        </w:rPr>
        <w:footnoteReference w:id="96"/>
      </w:r>
      <w:r>
        <w:rPr>
          <w:lang w:val="en-CA"/>
        </w:rPr>
        <w:t xml:space="preserve"> </w:t>
      </w:r>
      <w:r w:rsidR="00570F1D">
        <w:rPr>
          <w:lang w:val="en-CA"/>
        </w:rPr>
        <w:t>the British Columbia Court of Appeal</w:t>
      </w:r>
      <w:r>
        <w:rPr>
          <w:lang w:val="en-CA"/>
        </w:rPr>
        <w:t xml:space="preserve"> similarly held that when the basis of the investigative detention is the possibility that the suspect has a gun on his person, then the police will automatically be entitled to search him for weapons incident to detention.</w:t>
      </w:r>
    </w:p>
    <w:p w14:paraId="21B25E07" w14:textId="77777777" w:rsidR="00777663" w:rsidRDefault="00777663" w:rsidP="00FC6EA0">
      <w:pPr>
        <w:pStyle w:val="Paragraphe"/>
        <w:tabs>
          <w:tab w:val="clear" w:pos="360"/>
          <w:tab w:val="num" w:pos="851"/>
        </w:tabs>
        <w:spacing w:line="240" w:lineRule="auto"/>
        <w:rPr>
          <w:lang w:val="en-CA"/>
        </w:rPr>
      </w:pPr>
      <w:r>
        <w:rPr>
          <w:lang w:val="en-CA"/>
        </w:rPr>
        <w:t xml:space="preserve">In </w:t>
      </w:r>
      <w:r>
        <w:rPr>
          <w:b/>
          <w:bCs/>
          <w:i/>
          <w:iCs/>
          <w:lang w:val="en-CA"/>
        </w:rPr>
        <w:t xml:space="preserve">R. </w:t>
      </w:r>
      <w:r>
        <w:rPr>
          <w:b/>
          <w:bCs/>
          <w:lang w:val="en-CA"/>
        </w:rPr>
        <w:t xml:space="preserve">v. </w:t>
      </w:r>
      <w:r>
        <w:rPr>
          <w:b/>
          <w:bCs/>
          <w:i/>
          <w:iCs/>
          <w:lang w:val="en-CA"/>
        </w:rPr>
        <w:t>Atkins</w:t>
      </w:r>
      <w:r>
        <w:rPr>
          <w:lang w:val="en-CA"/>
        </w:rPr>
        <w:t xml:space="preserve">, the Ontario Court of Appeal came to the same conclusion. In that case, </w:t>
      </w:r>
      <w:r w:rsidR="00200BD9">
        <w:rPr>
          <w:lang w:val="en-CA"/>
        </w:rPr>
        <w:t>police officers were patrolling in an unmarked van on New Year’s Eve when they noticed a young man walking on the sidewalk. Even though it was 7</w:t>
      </w:r>
      <w:r w:rsidR="00200BD9">
        <w:rPr>
          <w:rFonts w:cs="Arial"/>
          <w:lang w:val="en-CA"/>
        </w:rPr>
        <w:t>°</w:t>
      </w:r>
      <w:r w:rsidR="00200BD9">
        <w:rPr>
          <w:lang w:val="en-CA"/>
        </w:rPr>
        <w:t xml:space="preserve">C, he was wearing a heavy, baggy winter coat, layered over a hoodie. The officers considered him to be overdressed for the weather. The man also seemed withdrawn while others around him were in a social mood. He seemed to be hiding in the crowd and skirting the building walls, which attracted the police’s attention. When the officers approached him and called “hey buddy”, he ran away. After a 300-metre pursuit, the officers caught him and a pat-down search revealed a loaded </w:t>
      </w:r>
      <w:r w:rsidR="00021446">
        <w:rPr>
          <w:lang w:val="en-CA"/>
        </w:rPr>
        <w:t>9 mm</w:t>
      </w:r>
      <w:r w:rsidR="00200BD9">
        <w:rPr>
          <w:lang w:val="en-CA"/>
        </w:rPr>
        <w:t xml:space="preserve"> pistol.</w:t>
      </w:r>
    </w:p>
    <w:p w14:paraId="52CDEB43" w14:textId="77777777" w:rsidR="00200BD9" w:rsidRPr="005852EC" w:rsidRDefault="00200BD9" w:rsidP="00FC6EA0">
      <w:pPr>
        <w:pStyle w:val="Paragraphe"/>
        <w:tabs>
          <w:tab w:val="clear" w:pos="360"/>
          <w:tab w:val="num" w:pos="851"/>
        </w:tabs>
        <w:spacing w:line="240" w:lineRule="auto"/>
        <w:rPr>
          <w:lang w:val="en-CA"/>
        </w:rPr>
      </w:pPr>
      <w:r>
        <w:rPr>
          <w:lang w:val="en-CA"/>
        </w:rPr>
        <w:t xml:space="preserve">The Court of Appeal first concluded that the officers had the requisite reasonable suspicion to </w:t>
      </w:r>
      <w:r w:rsidRPr="005852EC">
        <w:rPr>
          <w:lang w:val="en-CA"/>
        </w:rPr>
        <w:t xml:space="preserve">detain him under </w:t>
      </w:r>
      <w:r w:rsidRPr="005852EC">
        <w:rPr>
          <w:b/>
          <w:bCs/>
          <w:i/>
          <w:iCs/>
          <w:lang w:val="en-CA"/>
        </w:rPr>
        <w:t>Mann</w:t>
      </w:r>
      <w:r w:rsidRPr="005852EC">
        <w:rPr>
          <w:lang w:val="en-CA"/>
        </w:rPr>
        <w:t xml:space="preserve">. </w:t>
      </w:r>
      <w:r w:rsidR="00A46044" w:rsidRPr="005852EC">
        <w:rPr>
          <w:lang w:val="en-CA"/>
        </w:rPr>
        <w:t>Then</w:t>
      </w:r>
      <w:r w:rsidRPr="005852EC">
        <w:rPr>
          <w:lang w:val="en-CA"/>
        </w:rPr>
        <w:t xml:space="preserve">, in summary fashion, the Court also held that the pat-down search that followed detention was justified on officer safety </w:t>
      </w:r>
      <w:r w:rsidRPr="005852EC">
        <w:rPr>
          <w:lang w:val="en-CA"/>
        </w:rPr>
        <w:lastRenderedPageBreak/>
        <w:t>grounds, since they reasonably suspected</w:t>
      </w:r>
      <w:r w:rsidRPr="005852EC">
        <w:rPr>
          <w:rStyle w:val="Appelnotedebasdep"/>
          <w:lang w:val="en-CA"/>
        </w:rPr>
        <w:footnoteReference w:id="97"/>
      </w:r>
      <w:r w:rsidRPr="005852EC">
        <w:rPr>
          <w:lang w:val="en-CA"/>
        </w:rPr>
        <w:t xml:space="preserve"> that the accused was in possession of a weapon.</w:t>
      </w:r>
      <w:bookmarkStart w:id="48" w:name="_Hlk162472922"/>
      <w:r w:rsidRPr="005852EC">
        <w:rPr>
          <w:rStyle w:val="Appelnotedebasdep"/>
          <w:lang w:val="en-CA"/>
        </w:rPr>
        <w:footnoteReference w:id="98"/>
      </w:r>
      <w:bookmarkEnd w:id="48"/>
    </w:p>
    <w:p w14:paraId="40C75670" w14:textId="77777777" w:rsidR="00652B39" w:rsidRPr="005852EC" w:rsidRDefault="00652B39" w:rsidP="00FC6EA0">
      <w:pPr>
        <w:pStyle w:val="Paragraphe"/>
        <w:tabs>
          <w:tab w:val="clear" w:pos="360"/>
          <w:tab w:val="num" w:pos="851"/>
        </w:tabs>
        <w:spacing w:line="240" w:lineRule="auto"/>
        <w:rPr>
          <w:lang w:val="en-CA"/>
        </w:rPr>
      </w:pPr>
      <w:r w:rsidRPr="005852EC">
        <w:rPr>
          <w:lang w:val="en-CA"/>
        </w:rPr>
        <w:t xml:space="preserve">Again in </w:t>
      </w:r>
      <w:r w:rsidRPr="005852EC">
        <w:rPr>
          <w:b/>
          <w:bCs/>
          <w:i/>
          <w:iCs/>
          <w:lang w:val="en-CA"/>
        </w:rPr>
        <w:t xml:space="preserve">R. </w:t>
      </w:r>
      <w:r w:rsidRPr="005852EC">
        <w:rPr>
          <w:b/>
          <w:bCs/>
          <w:lang w:val="en-CA"/>
        </w:rPr>
        <w:t xml:space="preserve">v. </w:t>
      </w:r>
      <w:r w:rsidRPr="005852EC">
        <w:rPr>
          <w:b/>
          <w:bCs/>
          <w:i/>
          <w:iCs/>
          <w:lang w:val="en-CA"/>
        </w:rPr>
        <w:t>McGuffie</w:t>
      </w:r>
      <w:r w:rsidRPr="005852EC">
        <w:rPr>
          <w:lang w:val="en-CA"/>
        </w:rPr>
        <w:t>, the Ontario Court of Appeal held that the mere reasonable suspicion that the suspect is carrying a firearm will be enough to justify a cursory pat-down search, no matter how we phrase the standard. Writing for the Court, Doherty J.A. expressed:</w:t>
      </w:r>
    </w:p>
    <w:p w14:paraId="3A4BCC26" w14:textId="77777777" w:rsidR="00652B39" w:rsidRPr="005852EC" w:rsidRDefault="00652B39" w:rsidP="00652B39">
      <w:pPr>
        <w:pStyle w:val="Paragraphe"/>
        <w:numPr>
          <w:ilvl w:val="0"/>
          <w:numId w:val="0"/>
        </w:numPr>
        <w:spacing w:line="240" w:lineRule="auto"/>
        <w:ind w:left="1418" w:right="1140"/>
        <w:contextualSpacing/>
        <w:rPr>
          <w:sz w:val="22"/>
          <w:szCs w:val="22"/>
          <w:lang w:val="en-CA"/>
        </w:rPr>
      </w:pPr>
      <w:r w:rsidRPr="005852EC">
        <w:rPr>
          <w:sz w:val="22"/>
          <w:szCs w:val="22"/>
          <w:lang w:val="en-CA"/>
        </w:rPr>
        <w:t xml:space="preserve">As discussed by the dissent in </w:t>
      </w:r>
      <w:r w:rsidRPr="005852EC">
        <w:rPr>
          <w:i/>
          <w:iCs/>
          <w:sz w:val="22"/>
          <w:szCs w:val="22"/>
          <w:lang w:val="en-CA"/>
        </w:rPr>
        <w:t>MacDonald</w:t>
      </w:r>
      <w:r w:rsidRPr="005852EC">
        <w:rPr>
          <w:sz w:val="22"/>
          <w:szCs w:val="22"/>
          <w:lang w:val="en-CA"/>
        </w:rPr>
        <w:t xml:space="preserve">, the majority’s reference to “reasonable” grounds could be confusing. However, in the circumstances of this case, there is no doubt that Constable Greenwood had sufficient grounds to believe there was an imminent threat to his safety should he confront and detain the appellant on the street for investigative purposes. </w:t>
      </w:r>
      <w:r w:rsidRPr="005852EC">
        <w:rPr>
          <w:b/>
          <w:bCs/>
          <w:sz w:val="22"/>
          <w:szCs w:val="22"/>
          <w:lang w:val="en-CA"/>
        </w:rPr>
        <w:t>That reasonable belief of an imminent threat could, in my view, be based on the reasonable suspicion that the appellant had the handgun</w:t>
      </w:r>
      <w:r w:rsidRPr="005852EC">
        <w:rPr>
          <w:sz w:val="22"/>
          <w:szCs w:val="22"/>
          <w:lang w:val="en-CA"/>
        </w:rPr>
        <w:t>. A cursory pat-down search of the appellant was justified to eliminate that concern.</w:t>
      </w:r>
      <w:r w:rsidRPr="005852EC">
        <w:rPr>
          <w:rStyle w:val="Appelnotedebasdep"/>
          <w:sz w:val="22"/>
          <w:szCs w:val="22"/>
          <w:lang w:val="en-CA"/>
        </w:rPr>
        <w:footnoteReference w:id="99"/>
      </w:r>
    </w:p>
    <w:p w14:paraId="08E38FE5" w14:textId="77777777" w:rsidR="00652B39" w:rsidRPr="00652B39" w:rsidRDefault="00652B39" w:rsidP="00652B39">
      <w:pPr>
        <w:pStyle w:val="Paragraphe"/>
        <w:numPr>
          <w:ilvl w:val="0"/>
          <w:numId w:val="0"/>
        </w:numPr>
        <w:spacing w:line="240" w:lineRule="auto"/>
        <w:ind w:left="1418" w:right="1140"/>
        <w:contextualSpacing/>
        <w:jc w:val="right"/>
        <w:rPr>
          <w:sz w:val="22"/>
          <w:szCs w:val="22"/>
          <w:lang w:val="en-CA"/>
        </w:rPr>
      </w:pPr>
      <w:r w:rsidRPr="005852EC">
        <w:rPr>
          <w:sz w:val="22"/>
          <w:szCs w:val="22"/>
          <w:lang w:val="en-CA"/>
        </w:rPr>
        <w:t>[emphasis added]</w:t>
      </w:r>
    </w:p>
    <w:bookmarkEnd w:id="47"/>
    <w:p w14:paraId="1D13FF9D" w14:textId="77777777" w:rsidR="002D62B2" w:rsidRDefault="002D62B2" w:rsidP="00FC6EA0">
      <w:pPr>
        <w:pStyle w:val="Paragraphe"/>
        <w:tabs>
          <w:tab w:val="clear" w:pos="360"/>
          <w:tab w:val="num" w:pos="851"/>
        </w:tabs>
        <w:spacing w:line="240" w:lineRule="auto"/>
        <w:rPr>
          <w:lang w:val="en-CA"/>
        </w:rPr>
      </w:pPr>
      <w:r>
        <w:rPr>
          <w:lang w:val="en-CA"/>
        </w:rPr>
        <w:t xml:space="preserve">In </w:t>
      </w:r>
      <w:r>
        <w:rPr>
          <w:b/>
          <w:bCs/>
          <w:i/>
          <w:iCs/>
          <w:lang w:val="en-CA"/>
        </w:rPr>
        <w:t xml:space="preserve">R. </w:t>
      </w:r>
      <w:r>
        <w:rPr>
          <w:b/>
          <w:bCs/>
          <w:lang w:val="en-CA"/>
        </w:rPr>
        <w:t xml:space="preserve">v. </w:t>
      </w:r>
      <w:r>
        <w:rPr>
          <w:b/>
          <w:bCs/>
          <w:i/>
          <w:iCs/>
          <w:lang w:val="en-CA"/>
        </w:rPr>
        <w:t>McKenzie</w:t>
      </w:r>
      <w:r>
        <w:rPr>
          <w:lang w:val="en-CA"/>
        </w:rPr>
        <w:t>, summarized above, the Manitoba Court of Appeal held that in light of the nature of the suspected offence, which involved the potential possession of a handgun in a fanny pack, the officer was justified in grabbing the accused and immediately pinning him against the wall of a house to control him.</w:t>
      </w:r>
      <w:r>
        <w:rPr>
          <w:rStyle w:val="Appelnotedebasdep"/>
          <w:lang w:val="en-CA"/>
        </w:rPr>
        <w:footnoteReference w:id="100"/>
      </w:r>
      <w:r w:rsidR="003C3F64">
        <w:rPr>
          <w:lang w:val="en-CA"/>
        </w:rPr>
        <w:t xml:space="preserve"> The fact that the accused attempted to flee upon detention also increased the dangerousness of the situation.</w:t>
      </w:r>
      <w:r>
        <w:rPr>
          <w:lang w:val="en-CA"/>
        </w:rPr>
        <w:t xml:space="preserve"> In fact, the officer was also justified in immediately opening the bag’s flap in order to verify if there was in fact a weapon inside. His only objective was to ensure his safety. The threat to his safety was potentially imminent. The situation was volatile and uncertain. The accused’s weird mannerisms suggested that he was possibly armed. Moreover, the officer was still alone, awaiting the arrival of backup, and he knew of the accused’s gang-related reputation.</w:t>
      </w:r>
      <w:r>
        <w:rPr>
          <w:rStyle w:val="Appelnotedebasdep"/>
          <w:lang w:val="en-CA"/>
        </w:rPr>
        <w:footnoteReference w:id="101"/>
      </w:r>
      <w:r>
        <w:rPr>
          <w:lang w:val="en-CA"/>
        </w:rPr>
        <w:t xml:space="preserve"> </w:t>
      </w:r>
    </w:p>
    <w:p w14:paraId="2341DF16" w14:textId="77777777" w:rsidR="00772F2D" w:rsidRPr="00772F2D" w:rsidRDefault="00772F2D" w:rsidP="00772F2D">
      <w:pPr>
        <w:pStyle w:val="Paragraphe"/>
        <w:tabs>
          <w:tab w:val="clear" w:pos="360"/>
          <w:tab w:val="num" w:pos="851"/>
        </w:tabs>
        <w:spacing w:line="240" w:lineRule="auto"/>
        <w:rPr>
          <w:lang w:val="en-CA"/>
        </w:rPr>
      </w:pPr>
      <w:r w:rsidRPr="00772F2D">
        <w:rPr>
          <w:lang w:val="en-CA"/>
        </w:rPr>
        <w:t>In the case at b</w:t>
      </w:r>
      <w:r>
        <w:rPr>
          <w:lang w:val="en-CA"/>
        </w:rPr>
        <w:t xml:space="preserve">ar, despite the controversy in the caselaw regarding the threshold required to justify a search incident to investigative detention, for the sake of the analysis, I will operate on the assumption that the strict standard applies, to wit: there must be a reasonable </w:t>
      </w:r>
      <w:r>
        <w:rPr>
          <w:i/>
          <w:iCs/>
          <w:lang w:val="en-CA"/>
        </w:rPr>
        <w:t>and probable belief</w:t>
      </w:r>
      <w:r>
        <w:rPr>
          <w:lang w:val="en-CA"/>
        </w:rPr>
        <w:t xml:space="preserve"> that the officers’ or the public’s safety is in peril.</w:t>
      </w:r>
    </w:p>
    <w:p w14:paraId="3118198C" w14:textId="77777777" w:rsidR="00772F2D" w:rsidRPr="00772F2D" w:rsidRDefault="00772F2D" w:rsidP="00772F2D">
      <w:pPr>
        <w:pStyle w:val="Paragraphe"/>
        <w:tabs>
          <w:tab w:val="clear" w:pos="360"/>
          <w:tab w:val="num" w:pos="851"/>
        </w:tabs>
        <w:spacing w:line="240" w:lineRule="auto"/>
        <w:rPr>
          <w:lang w:val="en-CA"/>
        </w:rPr>
      </w:pPr>
      <w:r w:rsidRPr="00772F2D">
        <w:rPr>
          <w:lang w:val="en-CA"/>
        </w:rPr>
        <w:t xml:space="preserve">The multiple </w:t>
      </w:r>
      <w:r>
        <w:rPr>
          <w:lang w:val="en-CA"/>
        </w:rPr>
        <w:t>signs</w:t>
      </w:r>
      <w:r w:rsidRPr="00772F2D">
        <w:rPr>
          <w:lang w:val="en-CA"/>
        </w:rPr>
        <w:t xml:space="preserve"> already o</w:t>
      </w:r>
      <w:r>
        <w:rPr>
          <w:lang w:val="en-CA"/>
        </w:rPr>
        <w:t>bserved by the police constituted a very strong indicator that Nimeri was possibly (arguably, probably) carrying a gun. To that, we add the fact that when approached, the accused</w:t>
      </w:r>
      <w:r w:rsidR="00034384">
        <w:rPr>
          <w:lang w:val="en-CA"/>
        </w:rPr>
        <w:t xml:space="preserve"> refused to respond to commands, acted </w:t>
      </w:r>
      <w:r w:rsidR="00034384">
        <w:rPr>
          <w:lang w:val="en-CA"/>
        </w:rPr>
        <w:lastRenderedPageBreak/>
        <w:t>aggressively and</w:t>
      </w:r>
      <w:r>
        <w:rPr>
          <w:lang w:val="en-CA"/>
        </w:rPr>
        <w:t xml:space="preserve"> nervously started looking for flight paths to run away. These additional elements </w:t>
      </w:r>
      <w:r w:rsidR="00830E7E">
        <w:rPr>
          <w:lang w:val="en-CA"/>
        </w:rPr>
        <w:t>readily establish that a very real risk existed. The police officers were on a downtown public street, a few feet away from a Driver’s Licence Bureau. A shooting could break out at any second.</w:t>
      </w:r>
    </w:p>
    <w:p w14:paraId="0498DF70" w14:textId="77777777" w:rsidR="0094549A" w:rsidRDefault="00A515BD" w:rsidP="00830E7E">
      <w:pPr>
        <w:pStyle w:val="Paragraphe"/>
        <w:tabs>
          <w:tab w:val="clear" w:pos="360"/>
          <w:tab w:val="num" w:pos="851"/>
        </w:tabs>
        <w:spacing w:line="240" w:lineRule="auto"/>
        <w:rPr>
          <w:lang w:val="en-CA"/>
        </w:rPr>
      </w:pPr>
      <w:bookmarkStart w:id="49" w:name="_Hlk162362717"/>
      <w:r w:rsidRPr="00A515BD">
        <w:rPr>
          <w:lang w:val="en-CA"/>
        </w:rPr>
        <w:t>The Court concludes that n</w:t>
      </w:r>
      <w:r>
        <w:rPr>
          <w:lang w:val="en-CA"/>
        </w:rPr>
        <w:t>ot only did officers Boivin and Laleyan have the power to search Nimeri, but they had a duty to do so. They had the responsibility of protecting the lives of the public, as well as their own. After all, the law</w:t>
      </w:r>
      <w:r w:rsidR="00F137E2">
        <w:rPr>
          <w:lang w:val="en-CA"/>
        </w:rPr>
        <w:t>-</w:t>
      </w:r>
      <w:r>
        <w:rPr>
          <w:lang w:val="en-CA"/>
        </w:rPr>
        <w:t>abiding segment of the community expects the police to react swiftly and decisively to seize illegal firearms so they cannot be used in criminal activity.</w:t>
      </w:r>
      <w:r>
        <w:rPr>
          <w:rStyle w:val="Appelnotedebasdep"/>
          <w:lang w:val="en-CA"/>
        </w:rPr>
        <w:footnoteReference w:id="102"/>
      </w:r>
    </w:p>
    <w:p w14:paraId="77C07B6A" w14:textId="77777777" w:rsidR="003A530F" w:rsidRDefault="003A530F" w:rsidP="00830E7E">
      <w:pPr>
        <w:pStyle w:val="Paragraphe"/>
        <w:tabs>
          <w:tab w:val="clear" w:pos="360"/>
          <w:tab w:val="num" w:pos="851"/>
        </w:tabs>
        <w:spacing w:line="240" w:lineRule="auto"/>
        <w:rPr>
          <w:lang w:val="en-CA"/>
        </w:rPr>
      </w:pPr>
      <w:r>
        <w:rPr>
          <w:lang w:val="en-CA"/>
        </w:rPr>
        <w:t>The execution of the search was reasonable and minimally intrusive. Moreover, it was necessary to eliminate the risk. Patting</w:t>
      </w:r>
      <w:r w:rsidR="00F137E2">
        <w:rPr>
          <w:lang w:val="en-CA"/>
        </w:rPr>
        <w:t xml:space="preserve"> </w:t>
      </w:r>
      <w:r>
        <w:rPr>
          <w:lang w:val="en-CA"/>
        </w:rPr>
        <w:t>down a purse only minimally impacts a person’s bodily integrity.</w:t>
      </w:r>
    </w:p>
    <w:p w14:paraId="2E4B8666" w14:textId="77777777" w:rsidR="002C773A" w:rsidRPr="00830E7E" w:rsidRDefault="003A530F" w:rsidP="00830E7E">
      <w:pPr>
        <w:pStyle w:val="Paragraphe"/>
        <w:tabs>
          <w:tab w:val="clear" w:pos="360"/>
          <w:tab w:val="num" w:pos="851"/>
        </w:tabs>
        <w:spacing w:line="240" w:lineRule="auto"/>
        <w:rPr>
          <w:lang w:val="en-CA"/>
        </w:rPr>
      </w:pPr>
      <w:bookmarkStart w:id="50" w:name="_Hlk162616060"/>
      <w:r w:rsidRPr="003A530F">
        <w:rPr>
          <w:lang w:val="en-CA"/>
        </w:rPr>
        <w:t>T</w:t>
      </w:r>
      <w:r>
        <w:rPr>
          <w:lang w:val="en-CA"/>
        </w:rPr>
        <w:t>he officers conducted themselves appropriately.</w:t>
      </w:r>
      <w:bookmarkStart w:id="51" w:name="_Toc137729720"/>
      <w:bookmarkEnd w:id="49"/>
      <w:bookmarkEnd w:id="50"/>
    </w:p>
    <w:p w14:paraId="226FB852" w14:textId="77777777" w:rsidR="00E55E59" w:rsidRPr="002C773A" w:rsidRDefault="00E55E59" w:rsidP="00E55E59">
      <w:pPr>
        <w:pStyle w:val="Titre1"/>
        <w:spacing w:before="120" w:after="120"/>
        <w:rPr>
          <w:sz w:val="24"/>
          <w:szCs w:val="24"/>
          <w:u w:val="single"/>
          <w:lang w:val="en-CA"/>
        </w:rPr>
      </w:pPr>
      <w:bookmarkStart w:id="52" w:name="_Toc139820658"/>
      <w:r w:rsidRPr="002C773A">
        <w:rPr>
          <w:sz w:val="24"/>
          <w:szCs w:val="24"/>
          <w:u w:val="single"/>
          <w:lang w:val="en-CA"/>
        </w:rPr>
        <w:t>CONCLUSION</w:t>
      </w:r>
      <w:bookmarkEnd w:id="51"/>
      <w:bookmarkEnd w:id="52"/>
    </w:p>
    <w:p w14:paraId="32FEDD49" w14:textId="77777777" w:rsidR="00DC2CC6" w:rsidRDefault="00DC2CC6" w:rsidP="00DC2CC6">
      <w:pPr>
        <w:rPr>
          <w:b/>
          <w:bCs/>
          <w:lang w:val="en-CA"/>
        </w:rPr>
      </w:pPr>
      <w:bookmarkStart w:id="53" w:name="_Toc137729721"/>
    </w:p>
    <w:p w14:paraId="767BF589" w14:textId="77777777" w:rsidR="00697CE1" w:rsidRPr="002C773A" w:rsidRDefault="002C773A" w:rsidP="00DC2CC6">
      <w:pPr>
        <w:rPr>
          <w:lang w:val="en-CA"/>
        </w:rPr>
      </w:pPr>
      <w:r w:rsidRPr="00DC2CC6">
        <w:rPr>
          <w:b/>
          <w:bCs/>
          <w:lang w:val="en-CA"/>
        </w:rPr>
        <w:t>FOR THESE REASONS</w:t>
      </w:r>
      <w:r w:rsidRPr="002C773A">
        <w:rPr>
          <w:lang w:val="en-CA"/>
        </w:rPr>
        <w:t>, the Court</w:t>
      </w:r>
      <w:r w:rsidR="00697CE1" w:rsidRPr="002C773A">
        <w:rPr>
          <w:lang w:val="en-CA"/>
        </w:rPr>
        <w:t>:</w:t>
      </w:r>
      <w:bookmarkEnd w:id="53"/>
    </w:p>
    <w:p w14:paraId="0C877592" w14:textId="77777777" w:rsidR="009622B2" w:rsidRDefault="009622B2" w:rsidP="00697CE1">
      <w:pPr>
        <w:pStyle w:val="Paragraphe"/>
        <w:numPr>
          <w:ilvl w:val="0"/>
          <w:numId w:val="0"/>
        </w:numPr>
        <w:spacing w:line="240" w:lineRule="auto"/>
        <w:ind w:left="567"/>
        <w:rPr>
          <w:bCs/>
          <w:lang w:val="en-CA"/>
        </w:rPr>
      </w:pPr>
      <w:r>
        <w:rPr>
          <w:b/>
          <w:lang w:val="en-CA"/>
        </w:rPr>
        <w:t>DISMISSES</w:t>
      </w:r>
      <w:r>
        <w:rPr>
          <w:bCs/>
          <w:lang w:val="en-CA"/>
        </w:rPr>
        <w:t xml:space="preserve"> the application to exclude the evidence.</w:t>
      </w:r>
    </w:p>
    <w:p w14:paraId="43B60BA0" w14:textId="77777777" w:rsidR="009622B2" w:rsidRDefault="009622B2" w:rsidP="00697CE1">
      <w:pPr>
        <w:pStyle w:val="Paragraphe"/>
        <w:numPr>
          <w:ilvl w:val="0"/>
          <w:numId w:val="0"/>
        </w:numPr>
        <w:spacing w:line="240" w:lineRule="auto"/>
        <w:ind w:left="567"/>
        <w:rPr>
          <w:bCs/>
          <w:lang w:val="en-CA"/>
        </w:rPr>
      </w:pPr>
      <w:r>
        <w:rPr>
          <w:b/>
          <w:lang w:val="en-CA"/>
        </w:rPr>
        <w:t>RULES</w:t>
      </w:r>
      <w:r>
        <w:rPr>
          <w:bCs/>
          <w:lang w:val="en-CA"/>
        </w:rPr>
        <w:t xml:space="preserve"> that the evidence of the handgun, the ammunition and the behaviour of the accused are admissible at trial.</w:t>
      </w:r>
    </w:p>
    <w:p w14:paraId="39E8CBB2" w14:textId="77777777" w:rsidR="009622B2" w:rsidRDefault="009622B2" w:rsidP="00697CE1">
      <w:pPr>
        <w:pStyle w:val="Paragraphe"/>
        <w:numPr>
          <w:ilvl w:val="0"/>
          <w:numId w:val="0"/>
        </w:numPr>
        <w:spacing w:line="240" w:lineRule="auto"/>
        <w:ind w:left="567"/>
        <w:rPr>
          <w:bCs/>
          <w:lang w:val="en-CA"/>
        </w:rPr>
      </w:pPr>
      <w:r>
        <w:rPr>
          <w:b/>
          <w:lang w:val="en-CA"/>
        </w:rPr>
        <w:t>APPLIES</w:t>
      </w:r>
      <w:r>
        <w:rPr>
          <w:bCs/>
          <w:lang w:val="en-CA"/>
        </w:rPr>
        <w:t xml:space="preserve"> the evidence of the </w:t>
      </w:r>
      <w:r>
        <w:rPr>
          <w:bCs/>
          <w:i/>
          <w:iCs/>
          <w:lang w:val="en-CA"/>
        </w:rPr>
        <w:t>voir-dire</w:t>
      </w:r>
      <w:r>
        <w:rPr>
          <w:bCs/>
          <w:lang w:val="en-CA"/>
        </w:rPr>
        <w:t xml:space="preserve"> to the trial proper.</w:t>
      </w:r>
    </w:p>
    <w:p w14:paraId="32DB4BF3" w14:textId="77777777" w:rsidR="009622B2" w:rsidRDefault="009622B2" w:rsidP="009622B2">
      <w:pPr>
        <w:pStyle w:val="Paragraphe"/>
        <w:numPr>
          <w:ilvl w:val="0"/>
          <w:numId w:val="0"/>
        </w:numPr>
        <w:spacing w:line="240" w:lineRule="auto"/>
        <w:ind w:left="1701"/>
        <w:rPr>
          <w:bCs/>
          <w:lang w:val="en-CA"/>
        </w:rPr>
      </w:pPr>
      <w:r>
        <w:rPr>
          <w:bCs/>
          <w:lang w:val="en-CA"/>
        </w:rPr>
        <w:t>Exhibit VD-1 becomes exhibit P-1;</w:t>
      </w:r>
    </w:p>
    <w:p w14:paraId="21FD6C6A" w14:textId="77777777" w:rsidR="009622B2" w:rsidRDefault="009622B2" w:rsidP="009622B2">
      <w:pPr>
        <w:pStyle w:val="Paragraphe"/>
        <w:numPr>
          <w:ilvl w:val="0"/>
          <w:numId w:val="0"/>
        </w:numPr>
        <w:spacing w:line="240" w:lineRule="auto"/>
        <w:ind w:left="1701"/>
        <w:rPr>
          <w:bCs/>
          <w:lang w:val="en-CA"/>
        </w:rPr>
      </w:pPr>
      <w:r>
        <w:rPr>
          <w:bCs/>
          <w:lang w:val="en-CA"/>
        </w:rPr>
        <w:t>Exhibit VD-2 becomes exhibit P-2;</w:t>
      </w:r>
    </w:p>
    <w:p w14:paraId="1234EEC2" w14:textId="77777777" w:rsidR="009622B2" w:rsidRPr="009622B2" w:rsidRDefault="009622B2" w:rsidP="009622B2">
      <w:pPr>
        <w:pStyle w:val="Paragraphe"/>
        <w:numPr>
          <w:ilvl w:val="0"/>
          <w:numId w:val="0"/>
        </w:numPr>
        <w:spacing w:line="240" w:lineRule="auto"/>
        <w:ind w:left="1701"/>
        <w:rPr>
          <w:bCs/>
          <w:lang w:val="en-CA"/>
        </w:rPr>
      </w:pPr>
      <w:r>
        <w:rPr>
          <w:bCs/>
          <w:lang w:val="en-CA"/>
        </w:rPr>
        <w:t>Exhibit VD-3 becomes exhibit P-3.</w:t>
      </w:r>
    </w:p>
    <w:p w14:paraId="13B85090" w14:textId="77777777" w:rsidR="009622B2" w:rsidRPr="00547DB5" w:rsidRDefault="009622B2" w:rsidP="009622B2">
      <w:pPr>
        <w:pStyle w:val="Paragraphe"/>
        <w:numPr>
          <w:ilvl w:val="0"/>
          <w:numId w:val="0"/>
        </w:numPr>
        <w:spacing w:line="240" w:lineRule="auto"/>
        <w:ind w:left="567"/>
        <w:rPr>
          <w:bCs/>
          <w:lang w:val="en-CA"/>
        </w:rPr>
      </w:pPr>
      <w:r w:rsidRPr="00547DB5">
        <w:rPr>
          <w:bCs/>
          <w:lang w:val="en-CA"/>
        </w:rPr>
        <w:t>and</w:t>
      </w:r>
    </w:p>
    <w:p w14:paraId="20F74DC0" w14:textId="77777777" w:rsidR="009622B2" w:rsidRPr="00D13096" w:rsidRDefault="009622B2" w:rsidP="009622B2">
      <w:pPr>
        <w:pStyle w:val="Paragraphe"/>
        <w:numPr>
          <w:ilvl w:val="0"/>
          <w:numId w:val="0"/>
        </w:numPr>
        <w:spacing w:line="240" w:lineRule="auto"/>
        <w:ind w:left="567"/>
        <w:rPr>
          <w:lang w:val="en-CA"/>
        </w:rPr>
      </w:pPr>
      <w:r w:rsidRPr="00D13096">
        <w:rPr>
          <w:b/>
          <w:lang w:val="en-CA"/>
        </w:rPr>
        <w:t>FINDS</w:t>
      </w:r>
      <w:r w:rsidRPr="00D13096">
        <w:rPr>
          <w:bCs/>
          <w:lang w:val="en-CA"/>
        </w:rPr>
        <w:t xml:space="preserve"> the accused Marcus Nimeri guilty o</w:t>
      </w:r>
      <w:r w:rsidR="00D13096" w:rsidRPr="00D13096">
        <w:rPr>
          <w:bCs/>
          <w:lang w:val="en-CA"/>
        </w:rPr>
        <w:t>f all th</w:t>
      </w:r>
      <w:r w:rsidR="00D13096">
        <w:rPr>
          <w:bCs/>
          <w:lang w:val="en-CA"/>
        </w:rPr>
        <w:t>e offences charged.</w:t>
      </w:r>
    </w:p>
    <w:p w14:paraId="4A6E8362" w14:textId="77777777" w:rsidR="001D7738" w:rsidRPr="00736234" w:rsidRDefault="001D7738" w:rsidP="00ED31F3">
      <w:pPr>
        <w:tabs>
          <w:tab w:val="left" w:pos="1110"/>
        </w:tabs>
        <w:contextualSpacing/>
        <w:rPr>
          <w:rFonts w:cs="Arial"/>
          <w:szCs w:val="24"/>
          <w:lang w:val="en-CA"/>
        </w:rPr>
      </w:pPr>
    </w:p>
    <w:tbl>
      <w:tblPr>
        <w:tblW w:w="9505" w:type="dxa"/>
        <w:tblInd w:w="-70" w:type="dxa"/>
        <w:tblLayout w:type="fixed"/>
        <w:tblCellMar>
          <w:left w:w="0" w:type="dxa"/>
          <w:right w:w="0" w:type="dxa"/>
        </w:tblCellMar>
        <w:tblLook w:val="0000" w:firstRow="0" w:lastRow="0" w:firstColumn="0" w:lastColumn="0" w:noHBand="0" w:noVBand="0"/>
      </w:tblPr>
      <w:tblGrid>
        <w:gridCol w:w="2622"/>
        <w:gridCol w:w="2245"/>
        <w:gridCol w:w="4638"/>
      </w:tblGrid>
      <w:tr w:rsidR="00ED31F3" w14:paraId="571D3347" w14:textId="77777777" w:rsidTr="006A0232">
        <w:trPr>
          <w:cantSplit/>
        </w:trPr>
        <w:tc>
          <w:tcPr>
            <w:tcW w:w="4867" w:type="dxa"/>
            <w:gridSpan w:val="2"/>
          </w:tcPr>
          <w:p w14:paraId="0CB32F21" w14:textId="77777777" w:rsidR="00ED31F3" w:rsidRPr="00736234" w:rsidRDefault="00ED31F3" w:rsidP="00ED31F3">
            <w:pPr>
              <w:contextualSpacing/>
              <w:rPr>
                <w:lang w:val="en-CA"/>
              </w:rPr>
            </w:pPr>
          </w:p>
        </w:tc>
        <w:tc>
          <w:tcPr>
            <w:tcW w:w="4638" w:type="dxa"/>
          </w:tcPr>
          <w:p w14:paraId="5123C760" w14:textId="77777777" w:rsidR="00ED31F3" w:rsidRDefault="00ED31F3" w:rsidP="00ED31F3">
            <w:pPr>
              <w:pStyle w:val="zSoquijdatSignature3Juge"/>
              <w:contextualSpacing/>
            </w:pPr>
            <w:r>
              <w:t>__________________________________</w:t>
            </w:r>
          </w:p>
          <w:p w14:paraId="64A4852A" w14:textId="77777777" w:rsidR="00ED31F3" w:rsidRDefault="00ED31F3" w:rsidP="00ED31F3">
            <w:pPr>
              <w:pStyle w:val="zSoquijdatSignature3Juge"/>
              <w:contextualSpacing/>
              <w:rPr>
                <w:b/>
              </w:rPr>
            </w:pPr>
            <w:r>
              <w:rPr>
                <w:b/>
              </w:rPr>
              <w:t>D. Galiatsatos, J.C.Q.</w:t>
            </w:r>
          </w:p>
          <w:p w14:paraId="16958D8D" w14:textId="77777777" w:rsidR="00B5447E" w:rsidRDefault="00B5447E" w:rsidP="00ED31F3">
            <w:pPr>
              <w:pStyle w:val="zSoquijdatSignature3Juge"/>
              <w:contextualSpacing/>
              <w:rPr>
                <w:b/>
              </w:rPr>
            </w:pPr>
          </w:p>
          <w:p w14:paraId="02642647" w14:textId="77777777" w:rsidR="00B5447E" w:rsidRDefault="00B5447E" w:rsidP="00ED31F3">
            <w:pPr>
              <w:pStyle w:val="zSoquijdatSignature3Juge"/>
              <w:contextualSpacing/>
            </w:pPr>
          </w:p>
        </w:tc>
      </w:tr>
      <w:tr w:rsidR="00ED31F3" w:rsidRPr="00801207" w14:paraId="522CCD9D" w14:textId="77777777" w:rsidTr="006A0232">
        <w:tblPrEx>
          <w:tblCellMar>
            <w:left w:w="70" w:type="dxa"/>
            <w:right w:w="70" w:type="dxa"/>
          </w:tblCellMar>
        </w:tblPrEx>
        <w:trPr>
          <w:cantSplit/>
        </w:trPr>
        <w:tc>
          <w:tcPr>
            <w:tcW w:w="9505" w:type="dxa"/>
            <w:gridSpan w:val="3"/>
          </w:tcPr>
          <w:p w14:paraId="1645218F" w14:textId="77777777" w:rsidR="00ED31F3" w:rsidRPr="00120D48" w:rsidRDefault="00D13096" w:rsidP="00ED31F3">
            <w:pPr>
              <w:pStyle w:val="zSoquijdatNomProcureurDem"/>
              <w:contextualSpacing/>
              <w:rPr>
                <w:lang w:val="en-CA"/>
              </w:rPr>
            </w:pPr>
            <w:r>
              <w:rPr>
                <w:lang w:val="en-CA"/>
              </w:rPr>
              <w:lastRenderedPageBreak/>
              <w:t>M</w:t>
            </w:r>
            <w:r w:rsidR="00ED31F3" w:rsidRPr="00120D48">
              <w:rPr>
                <w:vertAlign w:val="superscript"/>
                <w:lang w:val="en-CA"/>
              </w:rPr>
              <w:t>e</w:t>
            </w:r>
            <w:r w:rsidR="00ED31F3" w:rsidRPr="00120D48">
              <w:rPr>
                <w:lang w:val="en-CA"/>
              </w:rPr>
              <w:t xml:space="preserve"> </w:t>
            </w:r>
            <w:r w:rsidR="002B3D46">
              <w:rPr>
                <w:lang w:val="en-CA"/>
              </w:rPr>
              <w:t>Geneviève Rondeau-Marchand</w:t>
            </w:r>
          </w:p>
          <w:p w14:paraId="7525319B" w14:textId="77777777" w:rsidR="00ED31F3" w:rsidRPr="00120D48" w:rsidRDefault="006673DC" w:rsidP="00ED31F3">
            <w:pPr>
              <w:pStyle w:val="zSoquijdatNomProcureurDem"/>
              <w:contextualSpacing/>
              <w:rPr>
                <w:lang w:val="en-CA"/>
              </w:rPr>
            </w:pPr>
            <w:r w:rsidRPr="00120D48">
              <w:rPr>
                <w:lang w:val="en-CA"/>
              </w:rPr>
              <w:t>Counsel for the Crown</w:t>
            </w:r>
          </w:p>
          <w:p w14:paraId="2EECEC2A" w14:textId="77777777" w:rsidR="00ED31F3" w:rsidRPr="00120D48" w:rsidRDefault="00ED31F3" w:rsidP="00ED31F3">
            <w:pPr>
              <w:pStyle w:val="zSoquijdatNomProcureurDem"/>
              <w:contextualSpacing/>
              <w:rPr>
                <w:lang w:val="en-CA"/>
              </w:rPr>
            </w:pPr>
          </w:p>
        </w:tc>
      </w:tr>
      <w:tr w:rsidR="00ED31F3" w:rsidRPr="002B3D46" w14:paraId="6C6432EE" w14:textId="77777777" w:rsidTr="006A0232">
        <w:tblPrEx>
          <w:tblCellMar>
            <w:left w:w="70" w:type="dxa"/>
            <w:right w:w="70" w:type="dxa"/>
          </w:tblCellMar>
        </w:tblPrEx>
        <w:trPr>
          <w:cantSplit/>
        </w:trPr>
        <w:tc>
          <w:tcPr>
            <w:tcW w:w="9505" w:type="dxa"/>
            <w:gridSpan w:val="3"/>
          </w:tcPr>
          <w:p w14:paraId="1BD8EF62" w14:textId="77777777" w:rsidR="00ED31F3" w:rsidRPr="00AD743B" w:rsidRDefault="00337D97" w:rsidP="00ED31F3">
            <w:pPr>
              <w:pStyle w:val="zSoquijdatCabinetProcureurDem"/>
              <w:contextualSpacing/>
              <w:rPr>
                <w:lang w:val="en-CA"/>
              </w:rPr>
            </w:pPr>
            <w:r w:rsidRPr="00AD743B">
              <w:rPr>
                <w:lang w:val="en-CA"/>
              </w:rPr>
              <w:t>M</w:t>
            </w:r>
            <w:r w:rsidRPr="00AD743B">
              <w:rPr>
                <w:vertAlign w:val="superscript"/>
                <w:lang w:val="en-CA"/>
              </w:rPr>
              <w:t>e</w:t>
            </w:r>
            <w:r w:rsidRPr="00AD743B">
              <w:rPr>
                <w:lang w:val="en-CA"/>
              </w:rPr>
              <w:t xml:space="preserve"> </w:t>
            </w:r>
            <w:r w:rsidR="002B3D46">
              <w:rPr>
                <w:lang w:val="en-CA"/>
              </w:rPr>
              <w:t>David Leclair</w:t>
            </w:r>
          </w:p>
        </w:tc>
      </w:tr>
      <w:tr w:rsidR="00ED31F3" w14:paraId="3658C17A" w14:textId="77777777" w:rsidTr="006A0232">
        <w:tblPrEx>
          <w:tblCellMar>
            <w:left w:w="70" w:type="dxa"/>
            <w:right w:w="70" w:type="dxa"/>
          </w:tblCellMar>
        </w:tblPrEx>
        <w:trPr>
          <w:cantSplit/>
        </w:trPr>
        <w:tc>
          <w:tcPr>
            <w:tcW w:w="9505" w:type="dxa"/>
            <w:gridSpan w:val="3"/>
          </w:tcPr>
          <w:p w14:paraId="5B02B45E" w14:textId="77777777" w:rsidR="00ED31F3" w:rsidRDefault="006673DC" w:rsidP="00ED31F3">
            <w:pPr>
              <w:pStyle w:val="zSoquijlblProcureurDem"/>
              <w:contextualSpacing/>
            </w:pPr>
            <w:r>
              <w:t>Counsel for the accused</w:t>
            </w:r>
          </w:p>
          <w:p w14:paraId="11CE672C" w14:textId="77777777" w:rsidR="005E6A68" w:rsidRPr="005E6A68" w:rsidRDefault="005E6A68" w:rsidP="00ED31F3">
            <w:pPr>
              <w:pStyle w:val="zSoquijlblProcureurDem"/>
              <w:contextualSpacing/>
            </w:pPr>
          </w:p>
        </w:tc>
      </w:tr>
      <w:tr w:rsidR="00ED31F3" w14:paraId="42A9BB73" w14:textId="77777777" w:rsidTr="006A0232">
        <w:tblPrEx>
          <w:tblCellMar>
            <w:left w:w="70" w:type="dxa"/>
            <w:right w:w="70" w:type="dxa"/>
          </w:tblCellMar>
        </w:tblPrEx>
        <w:trPr>
          <w:cantSplit/>
        </w:trPr>
        <w:tc>
          <w:tcPr>
            <w:tcW w:w="9505" w:type="dxa"/>
            <w:gridSpan w:val="3"/>
          </w:tcPr>
          <w:p w14:paraId="06032B88" w14:textId="77777777" w:rsidR="00ED31F3" w:rsidRDefault="00ED31F3" w:rsidP="00ED31F3">
            <w:pPr>
              <w:contextualSpacing/>
            </w:pPr>
          </w:p>
        </w:tc>
      </w:tr>
      <w:tr w:rsidR="00ED31F3" w14:paraId="6067F37E" w14:textId="77777777" w:rsidTr="006A0232">
        <w:tblPrEx>
          <w:tblCellMar>
            <w:left w:w="70" w:type="dxa"/>
            <w:right w:w="70" w:type="dxa"/>
          </w:tblCellMar>
        </w:tblPrEx>
        <w:tc>
          <w:tcPr>
            <w:tcW w:w="2622" w:type="dxa"/>
          </w:tcPr>
          <w:p w14:paraId="048909B7" w14:textId="77777777" w:rsidR="00ED31F3" w:rsidRPr="00E32CBE" w:rsidRDefault="006673DC" w:rsidP="00ED31F3">
            <w:pPr>
              <w:pStyle w:val="zSoquijlblDateAudience"/>
              <w:contextualSpacing/>
            </w:pPr>
            <w:r>
              <w:t>Hearing date</w:t>
            </w:r>
            <w:r w:rsidR="00ED31F3" w:rsidRPr="00E32CBE">
              <w:t>:</w:t>
            </w:r>
          </w:p>
        </w:tc>
        <w:tc>
          <w:tcPr>
            <w:tcW w:w="6883" w:type="dxa"/>
            <w:gridSpan w:val="2"/>
          </w:tcPr>
          <w:p w14:paraId="18466A47" w14:textId="77777777" w:rsidR="00ED31F3" w:rsidRPr="00E32CBE" w:rsidRDefault="002B3D46" w:rsidP="00ED31F3">
            <w:pPr>
              <w:pStyle w:val="zSoquijdatDateAudience"/>
              <w:contextualSpacing/>
            </w:pPr>
            <w:r>
              <w:t>March 21</w:t>
            </w:r>
            <w:r w:rsidRPr="002B3D46">
              <w:rPr>
                <w:vertAlign w:val="superscript"/>
              </w:rPr>
              <w:t>st</w:t>
            </w:r>
            <w:r>
              <w:t xml:space="preserve"> 2024</w:t>
            </w:r>
          </w:p>
        </w:tc>
      </w:tr>
    </w:tbl>
    <w:p w14:paraId="0EF5107A" w14:textId="77777777" w:rsidR="00ED31F3" w:rsidRPr="00ED31F3" w:rsidRDefault="00ED31F3" w:rsidP="008E7372">
      <w:pPr>
        <w:tabs>
          <w:tab w:val="left" w:pos="1110"/>
        </w:tabs>
        <w:spacing w:before="120" w:after="120"/>
        <w:rPr>
          <w:rFonts w:cs="Arial"/>
          <w:szCs w:val="24"/>
        </w:rPr>
      </w:pPr>
    </w:p>
    <w:sectPr w:rsidR="00ED31F3" w:rsidRPr="00ED31F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DFE8" w14:textId="77777777" w:rsidR="00E438D0" w:rsidRDefault="00E438D0">
      <w:r>
        <w:separator/>
      </w:r>
    </w:p>
  </w:endnote>
  <w:endnote w:type="continuationSeparator" w:id="0">
    <w:p w14:paraId="558B5495" w14:textId="77777777" w:rsidR="00E438D0" w:rsidRDefault="00E4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6293" w14:textId="77777777" w:rsidR="004976AA" w:rsidRDefault="004976AA">
    <w:pPr>
      <w:framePr w:wrap="around" w:vAnchor="text" w:hAnchor="margin" w:xAlign="right" w:y="1"/>
    </w:pPr>
    <w:r>
      <w:fldChar w:fldCharType="begin"/>
    </w:r>
    <w:r>
      <w:instrText xml:space="preserve">PAGE  </w:instrText>
    </w:r>
    <w:r>
      <w:fldChar w:fldCharType="end"/>
    </w:r>
  </w:p>
  <w:p w14:paraId="6B4F674F" w14:textId="77777777" w:rsidR="004976AA" w:rsidRDefault="004976A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0FA3" w14:textId="77777777" w:rsidR="00F137E2" w:rsidRDefault="00F137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C837" w14:textId="77777777" w:rsidR="00F137E2" w:rsidRDefault="00F137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F157" w14:textId="77777777" w:rsidR="00E438D0" w:rsidRDefault="00E438D0">
      <w:r>
        <w:separator/>
      </w:r>
    </w:p>
  </w:footnote>
  <w:footnote w:type="continuationSeparator" w:id="0">
    <w:p w14:paraId="49299724" w14:textId="77777777" w:rsidR="00E438D0" w:rsidRDefault="00E438D0">
      <w:r>
        <w:continuationSeparator/>
      </w:r>
    </w:p>
  </w:footnote>
  <w:footnote w:id="1">
    <w:p w14:paraId="0AE1DB7E" w14:textId="77777777" w:rsidR="00622BC0" w:rsidRPr="00686B85" w:rsidRDefault="00622BC0">
      <w:pPr>
        <w:pStyle w:val="Notedebasdepage"/>
        <w:rPr>
          <w:lang w:val="en-CA"/>
        </w:rPr>
      </w:pPr>
      <w:r>
        <w:rPr>
          <w:rStyle w:val="Appelnotedebasdep"/>
        </w:rPr>
        <w:footnoteRef/>
      </w:r>
      <w:r w:rsidRPr="00686B85">
        <w:rPr>
          <w:lang w:val="en-CA"/>
        </w:rPr>
        <w:t xml:space="preserve"> </w:t>
      </w:r>
      <w:r w:rsidRPr="00686B85">
        <w:rPr>
          <w:lang w:val="en-CA"/>
        </w:rPr>
        <w:tab/>
        <w:t>Courtlog of 2024-03-21 at 9:53.</w:t>
      </w:r>
    </w:p>
  </w:footnote>
  <w:footnote w:id="2">
    <w:p w14:paraId="15AE35A3" w14:textId="77777777" w:rsidR="00A236CC" w:rsidRPr="00A236CC" w:rsidRDefault="00A236CC" w:rsidP="00A236CC">
      <w:pPr>
        <w:pStyle w:val="Notedebasdepage"/>
        <w:rPr>
          <w:lang w:val="en-CA"/>
        </w:rPr>
      </w:pPr>
      <w:r>
        <w:rPr>
          <w:rStyle w:val="Appelnotedebasdep"/>
        </w:rPr>
        <w:footnoteRef/>
      </w:r>
      <w:r w:rsidRPr="00A236CC">
        <w:rPr>
          <w:lang w:val="en-CA"/>
        </w:rPr>
        <w:t xml:space="preserve"> </w:t>
      </w:r>
      <w:r w:rsidRPr="00A236CC">
        <w:rPr>
          <w:lang w:val="en-CA"/>
        </w:rPr>
        <w:tab/>
        <w:t>Courtlog of 2024-03-21 at 10:02, 11:14.</w:t>
      </w:r>
    </w:p>
  </w:footnote>
  <w:footnote w:id="3">
    <w:p w14:paraId="574C5EEB" w14:textId="77777777" w:rsidR="00A236CC" w:rsidRPr="00A236CC" w:rsidRDefault="00A236CC">
      <w:pPr>
        <w:pStyle w:val="Notedebasdepage"/>
        <w:rPr>
          <w:lang w:val="en-CA"/>
        </w:rPr>
      </w:pPr>
      <w:r>
        <w:rPr>
          <w:rStyle w:val="Appelnotedebasdep"/>
        </w:rPr>
        <w:footnoteRef/>
      </w:r>
      <w:r w:rsidRPr="00A236CC">
        <w:rPr>
          <w:lang w:val="en-CA"/>
        </w:rPr>
        <w:t xml:space="preserve"> </w:t>
      </w:r>
      <w:r w:rsidRPr="00A236CC">
        <w:rPr>
          <w:lang w:val="en-CA"/>
        </w:rPr>
        <w:tab/>
      </w:r>
      <w:r w:rsidRPr="00686B85">
        <w:rPr>
          <w:lang w:val="en-CA"/>
        </w:rPr>
        <w:t xml:space="preserve">Courtlog of 2024-03-21 at </w:t>
      </w:r>
      <w:r>
        <w:rPr>
          <w:lang w:val="en-CA"/>
        </w:rPr>
        <w:t>11:14.</w:t>
      </w:r>
    </w:p>
  </w:footnote>
  <w:footnote w:id="4">
    <w:p w14:paraId="27E239C2" w14:textId="77777777" w:rsidR="00A236CC" w:rsidRPr="00A236CC" w:rsidRDefault="00A236CC" w:rsidP="00A236CC">
      <w:pPr>
        <w:pStyle w:val="Notedebasdepage"/>
        <w:rPr>
          <w:lang w:val="en-CA"/>
        </w:rPr>
      </w:pPr>
      <w:r>
        <w:rPr>
          <w:rStyle w:val="Appelnotedebasdep"/>
        </w:rPr>
        <w:footnoteRef/>
      </w:r>
      <w:r w:rsidRPr="00A236CC">
        <w:rPr>
          <w:lang w:val="en-CA"/>
        </w:rPr>
        <w:t xml:space="preserve"> </w:t>
      </w:r>
      <w:r>
        <w:rPr>
          <w:lang w:val="en-CA"/>
        </w:rPr>
        <w:tab/>
      </w:r>
      <w:r w:rsidRPr="00686B85">
        <w:rPr>
          <w:lang w:val="en-CA"/>
        </w:rPr>
        <w:t>Courtlog of 2024-03-21 at</w:t>
      </w:r>
      <w:r>
        <w:rPr>
          <w:lang w:val="en-CA"/>
        </w:rPr>
        <w:t xml:space="preserve"> 10:02.</w:t>
      </w:r>
    </w:p>
  </w:footnote>
  <w:footnote w:id="5">
    <w:p w14:paraId="2CCE9FE5" w14:textId="77777777" w:rsidR="00A236CC" w:rsidRPr="00A236CC" w:rsidRDefault="00A236CC">
      <w:pPr>
        <w:pStyle w:val="Notedebasdepage"/>
        <w:rPr>
          <w:lang w:val="en-CA"/>
        </w:rPr>
      </w:pPr>
      <w:r>
        <w:rPr>
          <w:rStyle w:val="Appelnotedebasdep"/>
        </w:rPr>
        <w:footnoteRef/>
      </w:r>
      <w:r w:rsidRPr="00A236CC">
        <w:rPr>
          <w:lang w:val="en-CA"/>
        </w:rPr>
        <w:t xml:space="preserve"> </w:t>
      </w:r>
      <w:r>
        <w:rPr>
          <w:lang w:val="en-CA"/>
        </w:rPr>
        <w:tab/>
        <w:t>See point #1 on the aerial map (exhibit VD-1).</w:t>
      </w:r>
    </w:p>
  </w:footnote>
  <w:footnote w:id="6">
    <w:p w14:paraId="0DD8D48F" w14:textId="77777777" w:rsidR="007D1A92" w:rsidRPr="007D1A92" w:rsidRDefault="007D1A92">
      <w:pPr>
        <w:pStyle w:val="Notedebasdepage"/>
        <w:rPr>
          <w:i/>
          <w:iCs/>
          <w:lang w:val="en-CA"/>
        </w:rPr>
      </w:pPr>
      <w:r>
        <w:rPr>
          <w:rStyle w:val="Appelnotedebasdep"/>
        </w:rPr>
        <w:footnoteRef/>
      </w:r>
      <w:r w:rsidRPr="007D1A92">
        <w:rPr>
          <w:lang w:val="en-CA"/>
        </w:rPr>
        <w:t xml:space="preserve"> </w:t>
      </w:r>
      <w:r w:rsidRPr="007D1A92">
        <w:rPr>
          <w:lang w:val="en-CA"/>
        </w:rPr>
        <w:tab/>
        <w:t>In fact, after the d</w:t>
      </w:r>
      <w:r>
        <w:rPr>
          <w:lang w:val="en-CA"/>
        </w:rPr>
        <w:t>iscovery of the gun in the case at bar, Boivin immediately recognized the Glock switch mechanism installed on the back of the slide, which converted the handgun to full-automatic.</w:t>
      </w:r>
    </w:p>
  </w:footnote>
  <w:footnote w:id="7">
    <w:p w14:paraId="525F268C" w14:textId="77777777" w:rsidR="00A26A52" w:rsidRPr="00A26A52" w:rsidRDefault="00A26A52" w:rsidP="00A26A52">
      <w:pPr>
        <w:pStyle w:val="Notedebasdepage"/>
        <w:rPr>
          <w:lang w:val="en-CA"/>
        </w:rPr>
      </w:pPr>
      <w:r>
        <w:rPr>
          <w:rStyle w:val="Appelnotedebasdep"/>
        </w:rPr>
        <w:footnoteRef/>
      </w:r>
      <w:r w:rsidRPr="00A26A52">
        <w:rPr>
          <w:lang w:val="en-CA"/>
        </w:rPr>
        <w:t xml:space="preserve"> </w:t>
      </w:r>
      <w:r w:rsidRPr="00A26A52">
        <w:rPr>
          <w:lang w:val="en-CA"/>
        </w:rPr>
        <w:tab/>
        <w:t>Expert ba</w:t>
      </w:r>
      <w:r>
        <w:rPr>
          <w:lang w:val="en-CA"/>
        </w:rPr>
        <w:t>l</w:t>
      </w:r>
      <w:r w:rsidRPr="00A26A52">
        <w:rPr>
          <w:lang w:val="en-CA"/>
        </w:rPr>
        <w:t>listics report, dated March 19</w:t>
      </w:r>
      <w:r w:rsidRPr="00A26A52">
        <w:rPr>
          <w:vertAlign w:val="superscript"/>
          <w:lang w:val="en-CA"/>
        </w:rPr>
        <w:t>th</w:t>
      </w:r>
      <w:r w:rsidRPr="00A26A52">
        <w:rPr>
          <w:lang w:val="en-CA"/>
        </w:rPr>
        <w:t xml:space="preserve"> 2024 (exhibit VD-3).</w:t>
      </w:r>
    </w:p>
  </w:footnote>
  <w:footnote w:id="8">
    <w:p w14:paraId="2756B655" w14:textId="77777777" w:rsidR="007776C1" w:rsidRPr="007776C1" w:rsidRDefault="007776C1">
      <w:pPr>
        <w:pStyle w:val="Notedebasdepage"/>
        <w:rPr>
          <w:lang w:val="en-CA"/>
        </w:rPr>
      </w:pPr>
      <w:r>
        <w:rPr>
          <w:rStyle w:val="Appelnotedebasdep"/>
        </w:rPr>
        <w:footnoteRef/>
      </w:r>
      <w:r w:rsidRPr="007776C1">
        <w:rPr>
          <w:lang w:val="en-CA"/>
        </w:rPr>
        <w:t xml:space="preserve"> </w:t>
      </w:r>
      <w:r w:rsidRPr="007776C1">
        <w:rPr>
          <w:lang w:val="en-CA"/>
        </w:rPr>
        <w:tab/>
      </w:r>
      <w:r w:rsidRPr="007776C1">
        <w:rPr>
          <w:i/>
          <w:iCs/>
          <w:lang w:val="en-CA"/>
        </w:rPr>
        <w:t xml:space="preserve">R. </w:t>
      </w:r>
      <w:r>
        <w:rPr>
          <w:lang w:val="en-CA"/>
        </w:rPr>
        <w:t xml:space="preserve">v. </w:t>
      </w:r>
      <w:r>
        <w:rPr>
          <w:i/>
          <w:iCs/>
          <w:lang w:val="en-CA"/>
        </w:rPr>
        <w:t>Mann</w:t>
      </w:r>
      <w:r>
        <w:rPr>
          <w:lang w:val="en-CA"/>
        </w:rPr>
        <w:t>, [2004] S.C.R. 59.</w:t>
      </w:r>
    </w:p>
  </w:footnote>
  <w:footnote w:id="9">
    <w:p w14:paraId="449D9CD1" w14:textId="77777777" w:rsidR="007776C1" w:rsidRPr="007776C1" w:rsidRDefault="007776C1">
      <w:pPr>
        <w:pStyle w:val="Notedebasdepage"/>
        <w:rPr>
          <w:lang w:val="en-CA"/>
        </w:rPr>
      </w:pPr>
      <w:r>
        <w:rPr>
          <w:rStyle w:val="Appelnotedebasdep"/>
        </w:rPr>
        <w:footnoteRef/>
      </w:r>
      <w:r w:rsidRPr="007776C1">
        <w:rPr>
          <w:lang w:val="en-CA"/>
        </w:rPr>
        <w:t xml:space="preserve"> </w:t>
      </w:r>
      <w:r w:rsidRPr="007776C1">
        <w:rPr>
          <w:lang w:val="en-CA"/>
        </w:rPr>
        <w:tab/>
      </w:r>
      <w:r w:rsidRPr="007776C1">
        <w:rPr>
          <w:i/>
          <w:iCs/>
          <w:lang w:val="en-CA"/>
        </w:rPr>
        <w:t>Ibid</w:t>
      </w:r>
      <w:r w:rsidRPr="007776C1">
        <w:rPr>
          <w:lang w:val="en-CA"/>
        </w:rPr>
        <w:t xml:space="preserve">. </w:t>
      </w:r>
      <w:r>
        <w:rPr>
          <w:lang w:val="en-CA"/>
        </w:rPr>
        <w:t>at para. 27.</w:t>
      </w:r>
    </w:p>
  </w:footnote>
  <w:footnote w:id="10">
    <w:p w14:paraId="6D95D1C5" w14:textId="77777777" w:rsidR="00245ED9" w:rsidRPr="00686B85" w:rsidRDefault="00245ED9">
      <w:pPr>
        <w:pStyle w:val="Notedebasdepage"/>
        <w:rPr>
          <w:lang w:val="en-CA"/>
        </w:rPr>
      </w:pPr>
      <w:r>
        <w:rPr>
          <w:rStyle w:val="Appelnotedebasdep"/>
        </w:rPr>
        <w:footnoteRef/>
      </w:r>
      <w:r w:rsidRPr="00686B85">
        <w:rPr>
          <w:lang w:val="en-CA"/>
        </w:rPr>
        <w:t xml:space="preserve"> </w:t>
      </w:r>
      <w:r w:rsidRPr="00686B85">
        <w:rPr>
          <w:lang w:val="en-CA"/>
        </w:rPr>
        <w:tab/>
      </w:r>
      <w:r w:rsidRPr="00686B85">
        <w:rPr>
          <w:i/>
          <w:iCs/>
          <w:lang w:val="en-CA"/>
        </w:rPr>
        <w:t>Ibid</w:t>
      </w:r>
      <w:r w:rsidRPr="00686B85">
        <w:rPr>
          <w:lang w:val="en-CA"/>
        </w:rPr>
        <w:t>. at para. 34.</w:t>
      </w:r>
    </w:p>
  </w:footnote>
  <w:footnote w:id="11">
    <w:p w14:paraId="279D5639" w14:textId="77777777" w:rsidR="000F2AA1" w:rsidRPr="00575925" w:rsidRDefault="000F2AA1">
      <w:pPr>
        <w:pStyle w:val="Notedebasdepage"/>
        <w:rPr>
          <w:lang w:val="en-CA"/>
        </w:rPr>
      </w:pPr>
      <w:r>
        <w:rPr>
          <w:rStyle w:val="Appelnotedebasdep"/>
        </w:rPr>
        <w:footnoteRef/>
      </w:r>
      <w:r w:rsidRPr="00F052C3">
        <w:rPr>
          <w:lang w:val="en-CA"/>
        </w:rPr>
        <w:t xml:space="preserve"> </w:t>
      </w:r>
      <w:r w:rsidRPr="00F052C3">
        <w:rPr>
          <w:lang w:val="en-CA"/>
        </w:rPr>
        <w:tab/>
      </w:r>
      <w:r w:rsidRPr="00F052C3">
        <w:rPr>
          <w:i/>
          <w:iCs/>
          <w:lang w:val="en-CA"/>
        </w:rPr>
        <w:t>Ibid</w:t>
      </w:r>
      <w:r w:rsidRPr="00F052C3">
        <w:rPr>
          <w:lang w:val="en-CA"/>
        </w:rPr>
        <w:t>. at para. 16.</w:t>
      </w:r>
      <w:r w:rsidR="00F052C3" w:rsidRPr="00F052C3">
        <w:rPr>
          <w:lang w:val="en-CA"/>
        </w:rPr>
        <w:t xml:space="preserve"> See a</w:t>
      </w:r>
      <w:r w:rsidR="00F052C3">
        <w:rPr>
          <w:lang w:val="en-CA"/>
        </w:rPr>
        <w:t xml:space="preserve">lso: </w:t>
      </w:r>
      <w:r w:rsidR="00F052C3" w:rsidRPr="000F2AA1">
        <w:rPr>
          <w:i/>
          <w:iCs/>
          <w:lang w:val="en-CA"/>
        </w:rPr>
        <w:t xml:space="preserve">R. </w:t>
      </w:r>
      <w:r w:rsidR="00F052C3" w:rsidRPr="000F2AA1">
        <w:rPr>
          <w:lang w:val="en-CA"/>
        </w:rPr>
        <w:t xml:space="preserve">v. </w:t>
      </w:r>
      <w:r w:rsidR="00F052C3" w:rsidRPr="000F2AA1">
        <w:rPr>
          <w:i/>
          <w:iCs/>
          <w:lang w:val="en-CA"/>
        </w:rPr>
        <w:t>McKenzie</w:t>
      </w:r>
      <w:r w:rsidR="00F052C3" w:rsidRPr="000F2AA1">
        <w:rPr>
          <w:lang w:val="en-CA"/>
        </w:rPr>
        <w:t xml:space="preserve"> (2022), 77 C.R. (7th</w:t>
      </w:r>
      <w:r w:rsidR="00F052C3">
        <w:rPr>
          <w:lang w:val="en-CA"/>
        </w:rPr>
        <w:t>) 313 (Man.C.A.) at para. 13, leave to appeal denied, [2022] S.C.C.A. No. 64</w:t>
      </w:r>
      <w:r w:rsidR="00575925">
        <w:rPr>
          <w:lang w:val="en-CA"/>
        </w:rPr>
        <w:t xml:space="preserve">; </w:t>
      </w:r>
      <w:r w:rsidR="00575925" w:rsidRPr="00575925">
        <w:rPr>
          <w:i/>
          <w:iCs/>
          <w:lang w:val="en-CA"/>
        </w:rPr>
        <w:t xml:space="preserve">R. </w:t>
      </w:r>
      <w:r w:rsidR="00575925" w:rsidRPr="00575925">
        <w:rPr>
          <w:lang w:val="en-CA"/>
        </w:rPr>
        <w:t xml:space="preserve">v. </w:t>
      </w:r>
      <w:r w:rsidR="00575925" w:rsidRPr="00575925">
        <w:rPr>
          <w:i/>
          <w:iCs/>
          <w:lang w:val="en-CA"/>
        </w:rPr>
        <w:t>Nesbeth</w:t>
      </w:r>
      <w:r w:rsidR="00575925" w:rsidRPr="00575925">
        <w:rPr>
          <w:lang w:val="en-CA"/>
        </w:rPr>
        <w:t xml:space="preserve"> (2008), 238 C.C.C. (3d) 567 (</w:t>
      </w:r>
      <w:r w:rsidR="00575925">
        <w:rPr>
          <w:lang w:val="en-CA"/>
        </w:rPr>
        <w:t>Ont.</w:t>
      </w:r>
      <w:r w:rsidR="00575925" w:rsidRPr="00575925">
        <w:rPr>
          <w:lang w:val="en-CA"/>
        </w:rPr>
        <w:t xml:space="preserve">C.A.), </w:t>
      </w:r>
      <w:r w:rsidR="00575925">
        <w:rPr>
          <w:lang w:val="en-CA"/>
        </w:rPr>
        <w:t>leave to appeal denied</w:t>
      </w:r>
      <w:r w:rsidR="00575925" w:rsidRPr="00575925">
        <w:rPr>
          <w:lang w:val="en-CA"/>
        </w:rPr>
        <w:t>, [2009] S.C.C.A. No. 10</w:t>
      </w:r>
      <w:r w:rsidR="00575925">
        <w:rPr>
          <w:lang w:val="en-CA"/>
        </w:rPr>
        <w:t>.</w:t>
      </w:r>
    </w:p>
  </w:footnote>
  <w:footnote w:id="12">
    <w:p w14:paraId="5A0192A9" w14:textId="77777777" w:rsidR="009C71C1" w:rsidRPr="00686B85" w:rsidRDefault="009C71C1">
      <w:pPr>
        <w:pStyle w:val="Notedebasdepage"/>
        <w:rPr>
          <w:lang w:val="en-CA"/>
        </w:rPr>
      </w:pPr>
      <w:r>
        <w:rPr>
          <w:rStyle w:val="Appelnotedebasdep"/>
        </w:rPr>
        <w:footnoteRef/>
      </w:r>
      <w:r w:rsidRPr="00417AF2">
        <w:rPr>
          <w:lang w:val="en-CA"/>
        </w:rPr>
        <w:t xml:space="preserve"> </w:t>
      </w:r>
      <w:r w:rsidRPr="00417AF2">
        <w:rPr>
          <w:lang w:val="en-CA"/>
        </w:rPr>
        <w:tab/>
      </w:r>
      <w:r w:rsidRPr="00417AF2">
        <w:rPr>
          <w:i/>
          <w:iCs/>
          <w:lang w:val="en-CA"/>
        </w:rPr>
        <w:t xml:space="preserve">R. </w:t>
      </w:r>
      <w:r w:rsidRPr="00417AF2">
        <w:rPr>
          <w:lang w:val="en-CA"/>
        </w:rPr>
        <w:t xml:space="preserve">v. </w:t>
      </w:r>
      <w:r w:rsidRPr="00417AF2">
        <w:rPr>
          <w:i/>
          <w:iCs/>
          <w:lang w:val="en-CA"/>
        </w:rPr>
        <w:t>Chehil</w:t>
      </w:r>
      <w:r w:rsidRPr="00417AF2">
        <w:rPr>
          <w:lang w:val="en-CA"/>
        </w:rPr>
        <w:t xml:space="preserve">, [2013] 3 S.C.R. 220 at paras. </w:t>
      </w:r>
      <w:r w:rsidRPr="00293EED">
        <w:rPr>
          <w:lang w:val="en-CA"/>
        </w:rPr>
        <w:t>27-28.</w:t>
      </w:r>
      <w:r w:rsidR="00261270" w:rsidRPr="00293EED">
        <w:rPr>
          <w:lang w:val="en-CA"/>
        </w:rPr>
        <w:t xml:space="preserve"> </w:t>
      </w:r>
      <w:r w:rsidR="00261270" w:rsidRPr="00261270">
        <w:rPr>
          <w:lang w:val="en-CA"/>
        </w:rPr>
        <w:t xml:space="preserve">See also: </w:t>
      </w:r>
      <w:r w:rsidR="00261270" w:rsidRPr="00261270">
        <w:rPr>
          <w:i/>
          <w:iCs/>
          <w:lang w:val="en-CA"/>
        </w:rPr>
        <w:t xml:space="preserve">R. </w:t>
      </w:r>
      <w:r w:rsidR="00261270" w:rsidRPr="00261270">
        <w:rPr>
          <w:lang w:val="en-CA"/>
        </w:rPr>
        <w:t xml:space="preserve">v. </w:t>
      </w:r>
      <w:r w:rsidR="00261270" w:rsidRPr="00261270">
        <w:rPr>
          <w:i/>
          <w:iCs/>
          <w:lang w:val="en-CA"/>
        </w:rPr>
        <w:t>Molnar</w:t>
      </w:r>
      <w:r w:rsidR="00261270" w:rsidRPr="00261270">
        <w:rPr>
          <w:lang w:val="en-CA"/>
        </w:rPr>
        <w:t xml:space="preserve"> (2018), 363 C.C.C. (3d) 350 (</w:t>
      </w:r>
      <w:r w:rsidR="00261270">
        <w:rPr>
          <w:lang w:val="en-CA"/>
        </w:rPr>
        <w:t>Man.</w:t>
      </w:r>
      <w:r w:rsidR="00261270" w:rsidRPr="00261270">
        <w:rPr>
          <w:lang w:val="en-CA"/>
        </w:rPr>
        <w:t>C.A.) a</w:t>
      </w:r>
      <w:r w:rsidR="00261270">
        <w:rPr>
          <w:lang w:val="en-CA"/>
        </w:rPr>
        <w:t>t</w:t>
      </w:r>
      <w:r w:rsidR="00261270" w:rsidRPr="00261270">
        <w:rPr>
          <w:lang w:val="en-CA"/>
        </w:rPr>
        <w:t xml:space="preserve"> para. 35, leave to appeal denied, [2018] S.C.C.A. No. 319; </w:t>
      </w:r>
      <w:r w:rsidR="00261270" w:rsidRPr="00261270">
        <w:rPr>
          <w:i/>
          <w:iCs/>
          <w:lang w:val="en-CA"/>
        </w:rPr>
        <w:t xml:space="preserve">R. </w:t>
      </w:r>
      <w:r w:rsidR="00261270" w:rsidRPr="00261270">
        <w:rPr>
          <w:lang w:val="en-CA"/>
        </w:rPr>
        <w:t xml:space="preserve">v. </w:t>
      </w:r>
      <w:r w:rsidR="00261270" w:rsidRPr="00261270">
        <w:rPr>
          <w:i/>
          <w:iCs/>
          <w:lang w:val="en-CA"/>
        </w:rPr>
        <w:t>Urban</w:t>
      </w:r>
      <w:r w:rsidR="00261270" w:rsidRPr="00261270">
        <w:rPr>
          <w:lang w:val="en-CA"/>
        </w:rPr>
        <w:t xml:space="preserve"> (2017), 358 C.C.C. (3d) 55 (</w:t>
      </w:r>
      <w:r w:rsidR="00261270">
        <w:rPr>
          <w:lang w:val="en-CA"/>
        </w:rPr>
        <w:t>Alta.</w:t>
      </w:r>
      <w:r w:rsidR="00261270" w:rsidRPr="00261270">
        <w:rPr>
          <w:lang w:val="en-CA"/>
        </w:rPr>
        <w:t>C.A.) a</w:t>
      </w:r>
      <w:r w:rsidR="00261270">
        <w:rPr>
          <w:lang w:val="en-CA"/>
        </w:rPr>
        <w:t>t</w:t>
      </w:r>
      <w:r w:rsidR="00261270" w:rsidRPr="00261270">
        <w:rPr>
          <w:lang w:val="en-CA"/>
        </w:rPr>
        <w:t xml:space="preserve"> para. 42</w:t>
      </w:r>
      <w:r w:rsidR="009D084B">
        <w:rPr>
          <w:lang w:val="en-CA"/>
        </w:rPr>
        <w:t xml:space="preserve">; </w:t>
      </w:r>
      <w:r w:rsidR="009D084B" w:rsidRPr="00FE1D1A">
        <w:rPr>
          <w:i/>
          <w:iCs/>
          <w:lang w:val="en-CA"/>
        </w:rPr>
        <w:t xml:space="preserve">R. </w:t>
      </w:r>
      <w:r w:rsidR="009D084B" w:rsidRPr="00FE1D1A">
        <w:rPr>
          <w:lang w:val="en-CA"/>
        </w:rPr>
        <w:t xml:space="preserve">v. </w:t>
      </w:r>
      <w:r w:rsidR="009D084B" w:rsidRPr="00FE1D1A">
        <w:rPr>
          <w:i/>
          <w:iCs/>
          <w:lang w:val="en-CA"/>
        </w:rPr>
        <w:t>Greaves</w:t>
      </w:r>
      <w:r w:rsidR="009D084B" w:rsidRPr="00FE1D1A">
        <w:rPr>
          <w:lang w:val="en-CA"/>
        </w:rPr>
        <w:t xml:space="preserve"> (2004), 24 C.R. (6th) 15</w:t>
      </w:r>
      <w:r w:rsidR="009D084B">
        <w:rPr>
          <w:lang w:val="en-CA"/>
        </w:rPr>
        <w:t xml:space="preserve"> (B.C.C.A.) at para. 41, leave to appeal denied, [2004] S.C.C.A. No. 522.</w:t>
      </w:r>
    </w:p>
  </w:footnote>
  <w:footnote w:id="13">
    <w:p w14:paraId="096441F4" w14:textId="77777777" w:rsidR="00956041" w:rsidRPr="00956041" w:rsidRDefault="00956041">
      <w:pPr>
        <w:pStyle w:val="Notedebasdepage"/>
        <w:rPr>
          <w:lang w:val="en-CA"/>
        </w:rPr>
      </w:pPr>
      <w:r>
        <w:rPr>
          <w:rStyle w:val="Appelnotedebasdep"/>
        </w:rPr>
        <w:footnoteRef/>
      </w:r>
      <w:r w:rsidRPr="00956041">
        <w:rPr>
          <w:lang w:val="en-CA"/>
        </w:rPr>
        <w:t xml:space="preserve"> </w:t>
      </w:r>
      <w:r w:rsidRPr="00956041">
        <w:rPr>
          <w:lang w:val="en-CA"/>
        </w:rPr>
        <w:tab/>
      </w:r>
      <w:r w:rsidRPr="00956041">
        <w:rPr>
          <w:i/>
          <w:iCs/>
          <w:lang w:val="en-CA"/>
        </w:rPr>
        <w:t>Ibid</w:t>
      </w:r>
      <w:r w:rsidRPr="00956041">
        <w:rPr>
          <w:lang w:val="en-CA"/>
        </w:rPr>
        <w:t>. a</w:t>
      </w:r>
      <w:r>
        <w:rPr>
          <w:lang w:val="en-CA"/>
        </w:rPr>
        <w:t>t para. 35.</w:t>
      </w:r>
    </w:p>
  </w:footnote>
  <w:footnote w:id="14">
    <w:p w14:paraId="6642D7F9" w14:textId="77777777" w:rsidR="009C71C1" w:rsidRPr="009C71C1" w:rsidRDefault="009C71C1">
      <w:pPr>
        <w:pStyle w:val="Notedebasdepage"/>
        <w:rPr>
          <w:lang w:val="en-CA"/>
        </w:rPr>
      </w:pPr>
      <w:r>
        <w:rPr>
          <w:rStyle w:val="Appelnotedebasdep"/>
        </w:rPr>
        <w:footnoteRef/>
      </w:r>
      <w:r w:rsidRPr="009C71C1">
        <w:rPr>
          <w:lang w:val="en-CA"/>
        </w:rPr>
        <w:t xml:space="preserve"> </w:t>
      </w:r>
      <w:r w:rsidRPr="009C71C1">
        <w:rPr>
          <w:lang w:val="en-CA"/>
        </w:rPr>
        <w:tab/>
      </w:r>
      <w:r w:rsidRPr="009C71C1">
        <w:rPr>
          <w:i/>
          <w:iCs/>
          <w:lang w:val="en-CA"/>
        </w:rPr>
        <w:t>Ibid</w:t>
      </w:r>
      <w:r w:rsidRPr="009C71C1">
        <w:rPr>
          <w:lang w:val="en-CA"/>
        </w:rPr>
        <w:t>. at para. 28.</w:t>
      </w:r>
    </w:p>
  </w:footnote>
  <w:footnote w:id="15">
    <w:p w14:paraId="2D645D59" w14:textId="77777777" w:rsidR="00C37B49" w:rsidRPr="00C37B49" w:rsidRDefault="00C37B49">
      <w:pPr>
        <w:pStyle w:val="Notedebasdepage"/>
        <w:rPr>
          <w:lang w:val="en-CA"/>
        </w:rPr>
      </w:pPr>
      <w:r>
        <w:rPr>
          <w:rStyle w:val="Appelnotedebasdep"/>
        </w:rPr>
        <w:footnoteRef/>
      </w:r>
      <w:r w:rsidRPr="00C37B49">
        <w:rPr>
          <w:lang w:val="en-CA"/>
        </w:rPr>
        <w:t xml:space="preserve"> </w:t>
      </w:r>
      <w:r w:rsidRPr="00C37B49">
        <w:rPr>
          <w:lang w:val="en-CA"/>
        </w:rPr>
        <w:tab/>
      </w:r>
      <w:r w:rsidRPr="00C37B49">
        <w:rPr>
          <w:i/>
          <w:iCs/>
          <w:lang w:val="en-CA"/>
        </w:rPr>
        <w:t>Ibid</w:t>
      </w:r>
      <w:r w:rsidRPr="00C37B49">
        <w:rPr>
          <w:lang w:val="en-CA"/>
        </w:rPr>
        <w:t>. a</w:t>
      </w:r>
      <w:r>
        <w:rPr>
          <w:lang w:val="en-CA"/>
        </w:rPr>
        <w:t>t para. 29.</w:t>
      </w:r>
    </w:p>
  </w:footnote>
  <w:footnote w:id="16">
    <w:p w14:paraId="7E5DFCC4" w14:textId="77777777" w:rsidR="00956041" w:rsidRPr="00956041" w:rsidRDefault="00956041">
      <w:pPr>
        <w:pStyle w:val="Notedebasdepage"/>
        <w:rPr>
          <w:lang w:val="en-CA"/>
        </w:rPr>
      </w:pPr>
      <w:r>
        <w:rPr>
          <w:rStyle w:val="Appelnotedebasdep"/>
        </w:rPr>
        <w:footnoteRef/>
      </w:r>
      <w:r w:rsidRPr="00956041">
        <w:rPr>
          <w:lang w:val="en-CA"/>
        </w:rPr>
        <w:t xml:space="preserve"> </w:t>
      </w:r>
      <w:r>
        <w:rPr>
          <w:lang w:val="en-CA"/>
        </w:rPr>
        <w:tab/>
      </w:r>
      <w:r>
        <w:rPr>
          <w:i/>
          <w:iCs/>
          <w:lang w:val="en-CA"/>
        </w:rPr>
        <w:t>Ibid</w:t>
      </w:r>
      <w:r>
        <w:rPr>
          <w:lang w:val="en-CA"/>
        </w:rPr>
        <w:t>. at para. 32.</w:t>
      </w:r>
    </w:p>
  </w:footnote>
  <w:footnote w:id="17">
    <w:p w14:paraId="76B6D872" w14:textId="77777777" w:rsidR="0074712E" w:rsidRPr="0074712E" w:rsidRDefault="0074712E">
      <w:pPr>
        <w:pStyle w:val="Notedebasdepage"/>
        <w:rPr>
          <w:lang w:val="en-CA"/>
        </w:rPr>
      </w:pPr>
      <w:r>
        <w:rPr>
          <w:rStyle w:val="Appelnotedebasdep"/>
        </w:rPr>
        <w:footnoteRef/>
      </w:r>
      <w:r w:rsidRPr="0074712E">
        <w:rPr>
          <w:lang w:val="en-CA"/>
        </w:rPr>
        <w:t xml:space="preserve"> </w:t>
      </w:r>
      <w:r w:rsidRPr="0074712E">
        <w:rPr>
          <w:lang w:val="en-CA"/>
        </w:rPr>
        <w:tab/>
        <w:t xml:space="preserve">See : </w:t>
      </w:r>
      <w:r w:rsidRPr="0074712E">
        <w:rPr>
          <w:i/>
          <w:iCs/>
          <w:lang w:val="en-CA"/>
        </w:rPr>
        <w:t xml:space="preserve">R. </w:t>
      </w:r>
      <w:r w:rsidRPr="0074712E">
        <w:rPr>
          <w:lang w:val="en-CA"/>
        </w:rPr>
        <w:t xml:space="preserve">v. </w:t>
      </w:r>
      <w:r w:rsidRPr="0074712E">
        <w:rPr>
          <w:i/>
          <w:iCs/>
          <w:lang w:val="en-CA"/>
        </w:rPr>
        <w:t>MacKenzie</w:t>
      </w:r>
      <w:r w:rsidRPr="0074712E">
        <w:rPr>
          <w:lang w:val="en-CA"/>
        </w:rPr>
        <w:t>, [2013] 3 S.C.R. 250 at par</w:t>
      </w:r>
      <w:r>
        <w:rPr>
          <w:lang w:val="en-CA"/>
        </w:rPr>
        <w:t>a. 84</w:t>
      </w:r>
      <w:bookmarkStart w:id="7" w:name="_Hlk162349251"/>
      <w:r w:rsidR="00261270">
        <w:rPr>
          <w:lang w:val="en-CA"/>
        </w:rPr>
        <w:t xml:space="preserve">; </w:t>
      </w:r>
      <w:r w:rsidR="00261270">
        <w:rPr>
          <w:i/>
          <w:iCs/>
          <w:lang w:val="en-CA"/>
        </w:rPr>
        <w:t xml:space="preserve">R. </w:t>
      </w:r>
      <w:r w:rsidR="00261270">
        <w:rPr>
          <w:lang w:val="en-CA"/>
        </w:rPr>
        <w:t xml:space="preserve">v. </w:t>
      </w:r>
      <w:r w:rsidR="00261270">
        <w:rPr>
          <w:i/>
          <w:iCs/>
          <w:lang w:val="en-CA"/>
        </w:rPr>
        <w:t xml:space="preserve">Williams </w:t>
      </w:r>
      <w:r w:rsidR="00261270">
        <w:rPr>
          <w:lang w:val="en-CA"/>
        </w:rPr>
        <w:t>(2013), 297 C.R.R. (2d) 292 (Ont.C.A.) at para. 22</w:t>
      </w:r>
      <w:bookmarkEnd w:id="7"/>
      <w:r w:rsidR="00261270">
        <w:rPr>
          <w:lang w:val="en-CA"/>
        </w:rPr>
        <w:t>.</w:t>
      </w:r>
    </w:p>
  </w:footnote>
  <w:footnote w:id="18">
    <w:p w14:paraId="5F9A8752" w14:textId="77777777" w:rsidR="0074712E" w:rsidRPr="00842A74" w:rsidRDefault="0074712E">
      <w:pPr>
        <w:pStyle w:val="Notedebasdepage"/>
        <w:rPr>
          <w:lang w:val="en-CA"/>
        </w:rPr>
      </w:pPr>
      <w:r>
        <w:rPr>
          <w:rStyle w:val="Appelnotedebasdep"/>
        </w:rPr>
        <w:footnoteRef/>
      </w:r>
      <w:r w:rsidRPr="00686B85">
        <w:rPr>
          <w:lang w:val="en-CA"/>
        </w:rPr>
        <w:t xml:space="preserve"> </w:t>
      </w:r>
      <w:r w:rsidRPr="00686B85">
        <w:rPr>
          <w:lang w:val="en-CA"/>
        </w:rPr>
        <w:tab/>
      </w:r>
      <w:r w:rsidRPr="00686B85">
        <w:rPr>
          <w:i/>
          <w:iCs/>
          <w:lang w:val="en-CA"/>
        </w:rPr>
        <w:t xml:space="preserve">R. </w:t>
      </w:r>
      <w:r w:rsidRPr="00686B85">
        <w:rPr>
          <w:lang w:val="en-CA"/>
        </w:rPr>
        <w:t xml:space="preserve">v. </w:t>
      </w:r>
      <w:r w:rsidRPr="00686B85">
        <w:rPr>
          <w:i/>
          <w:iCs/>
          <w:lang w:val="en-CA"/>
        </w:rPr>
        <w:t>MacKenzie</w:t>
      </w:r>
      <w:r w:rsidRPr="00686B85">
        <w:rPr>
          <w:lang w:val="en-CA"/>
        </w:rPr>
        <w:t xml:space="preserve">, [2013] 3 S.C.R. 250 at paras. </w:t>
      </w:r>
      <w:r w:rsidRPr="00417AF2">
        <w:rPr>
          <w:lang w:val="en-CA"/>
        </w:rPr>
        <w:t>73, 77, 82, 83</w:t>
      </w:r>
      <w:r w:rsidR="00A36327" w:rsidRPr="00417AF2">
        <w:rPr>
          <w:lang w:val="en-CA"/>
        </w:rPr>
        <w:t xml:space="preserve">; </w:t>
      </w:r>
      <w:bookmarkStart w:id="8" w:name="_Hlk162305190"/>
      <w:bookmarkStart w:id="9" w:name="_Hlk162333852"/>
      <w:r w:rsidR="00A36327" w:rsidRPr="00417AF2">
        <w:rPr>
          <w:i/>
          <w:iCs/>
          <w:lang w:val="en-CA"/>
        </w:rPr>
        <w:t xml:space="preserve">R. </w:t>
      </w:r>
      <w:r w:rsidR="00A36327" w:rsidRPr="00417AF2">
        <w:rPr>
          <w:lang w:val="en-CA"/>
        </w:rPr>
        <w:t xml:space="preserve">c. </w:t>
      </w:r>
      <w:r w:rsidR="00A36327" w:rsidRPr="00417AF2">
        <w:rPr>
          <w:i/>
          <w:iCs/>
          <w:lang w:val="en-CA"/>
        </w:rPr>
        <w:t>Fadel</w:t>
      </w:r>
      <w:r w:rsidR="00417AF2" w:rsidRPr="00417AF2">
        <w:rPr>
          <w:lang w:val="en-CA"/>
        </w:rPr>
        <w:t xml:space="preserve"> (2015), 22 C.R. (7th) 210 (Qu</w:t>
      </w:r>
      <w:r w:rsidR="00417AF2">
        <w:rPr>
          <w:lang w:val="en-CA"/>
        </w:rPr>
        <w:t>e</w:t>
      </w:r>
      <w:r w:rsidR="00417AF2" w:rsidRPr="00417AF2">
        <w:rPr>
          <w:lang w:val="en-CA"/>
        </w:rPr>
        <w:t>.</w:t>
      </w:r>
      <w:r w:rsidR="00417AF2">
        <w:rPr>
          <w:lang w:val="en-CA"/>
        </w:rPr>
        <w:t>C.A.</w:t>
      </w:r>
      <w:r w:rsidR="00417AF2" w:rsidRPr="00417AF2">
        <w:rPr>
          <w:lang w:val="en-CA"/>
        </w:rPr>
        <w:t>)</w:t>
      </w:r>
      <w:r w:rsidR="00A36327" w:rsidRPr="00417AF2">
        <w:rPr>
          <w:lang w:val="en-CA"/>
        </w:rPr>
        <w:t xml:space="preserve"> at paras. </w:t>
      </w:r>
      <w:bookmarkStart w:id="10" w:name="_Hlk162305448"/>
      <w:r w:rsidR="00A36327" w:rsidRPr="00293EED">
        <w:rPr>
          <w:lang w:val="en-CA"/>
        </w:rPr>
        <w:t>12, 29</w:t>
      </w:r>
      <w:bookmarkEnd w:id="8"/>
      <w:r w:rsidR="00A36327" w:rsidRPr="00293EED">
        <w:rPr>
          <w:lang w:val="en-CA"/>
        </w:rPr>
        <w:t>, 31</w:t>
      </w:r>
      <w:bookmarkEnd w:id="10"/>
      <w:r w:rsidR="00A36327" w:rsidRPr="00293EED">
        <w:rPr>
          <w:lang w:val="en-CA"/>
        </w:rPr>
        <w:t>, 38, 39</w:t>
      </w:r>
      <w:bookmarkEnd w:id="9"/>
      <w:r w:rsidR="001619DA" w:rsidRPr="00293EED">
        <w:rPr>
          <w:lang w:val="en-CA"/>
        </w:rPr>
        <w:t xml:space="preserve">; </w:t>
      </w:r>
      <w:r w:rsidR="001619DA" w:rsidRPr="00293EED">
        <w:rPr>
          <w:i/>
          <w:iCs/>
          <w:lang w:val="en-CA"/>
        </w:rPr>
        <w:t xml:space="preserve">R. </w:t>
      </w:r>
      <w:r w:rsidR="001619DA" w:rsidRPr="00293EED">
        <w:rPr>
          <w:lang w:val="en-CA"/>
        </w:rPr>
        <w:t xml:space="preserve">c. </w:t>
      </w:r>
      <w:r w:rsidR="001619DA" w:rsidRPr="00293EED">
        <w:rPr>
          <w:i/>
          <w:iCs/>
          <w:lang w:val="en-CA"/>
        </w:rPr>
        <w:t>Ondo-Mendame</w:t>
      </w:r>
      <w:r w:rsidR="001619DA" w:rsidRPr="00293EED">
        <w:rPr>
          <w:lang w:val="en-CA"/>
        </w:rPr>
        <w:t xml:space="preserve">, 2023 QCCA 107 at para. </w:t>
      </w:r>
      <w:r w:rsidR="001619DA" w:rsidRPr="00842A74">
        <w:rPr>
          <w:lang w:val="en-CA"/>
        </w:rPr>
        <w:t>26, leave to appeal denied, [2023] S.C.C.A. No. 163.</w:t>
      </w:r>
    </w:p>
  </w:footnote>
  <w:footnote w:id="19">
    <w:p w14:paraId="46464302" w14:textId="77777777" w:rsidR="006946E8" w:rsidRPr="00293EED" w:rsidRDefault="006946E8" w:rsidP="006946E8">
      <w:pPr>
        <w:pStyle w:val="Notedebasdepage"/>
        <w:rPr>
          <w:lang w:val="en-CA"/>
        </w:rPr>
      </w:pPr>
      <w:r>
        <w:rPr>
          <w:rStyle w:val="Appelnotedebasdep"/>
        </w:rPr>
        <w:footnoteRef/>
      </w:r>
      <w:r w:rsidRPr="006946E8">
        <w:rPr>
          <w:lang w:val="en-CA"/>
        </w:rPr>
        <w:t xml:space="preserve"> </w:t>
      </w:r>
      <w:r w:rsidRPr="006946E8">
        <w:rPr>
          <w:lang w:val="en-CA"/>
        </w:rPr>
        <w:tab/>
        <w:t xml:space="preserve">See: </w:t>
      </w:r>
      <w:r w:rsidRPr="006946E8">
        <w:rPr>
          <w:i/>
          <w:lang w:val="en-CA"/>
        </w:rPr>
        <w:t>R.</w:t>
      </w:r>
      <w:r w:rsidRPr="006946E8">
        <w:rPr>
          <w:lang w:val="en-CA"/>
        </w:rPr>
        <w:t xml:space="preserve"> v. </w:t>
      </w:r>
      <w:r w:rsidRPr="006946E8">
        <w:rPr>
          <w:i/>
          <w:lang w:val="en-CA"/>
        </w:rPr>
        <w:t>Ferris</w:t>
      </w:r>
      <w:r w:rsidRPr="006946E8">
        <w:rPr>
          <w:lang w:val="en-CA"/>
        </w:rPr>
        <w:t xml:space="preserve"> (1998), 126 C.C.C. (3d) 298 (B.C.C.A.) at para. </w:t>
      </w:r>
      <w:r w:rsidRPr="00293EED">
        <w:rPr>
          <w:lang w:val="en-CA"/>
        </w:rPr>
        <w:t>54; leave to appeal denied, [1998] S.C.C.A. No. 424.</w:t>
      </w:r>
    </w:p>
  </w:footnote>
  <w:footnote w:id="20">
    <w:p w14:paraId="108584FD" w14:textId="77777777" w:rsidR="002E6CE7" w:rsidRPr="002E6CE7" w:rsidRDefault="002E6CE7">
      <w:pPr>
        <w:pStyle w:val="Notedebasdepage"/>
        <w:rPr>
          <w:lang w:val="en-CA"/>
        </w:rPr>
      </w:pPr>
      <w:r>
        <w:rPr>
          <w:rStyle w:val="Appelnotedebasdep"/>
        </w:rPr>
        <w:footnoteRef/>
      </w:r>
      <w:r w:rsidRPr="00293EED">
        <w:rPr>
          <w:lang w:val="en-CA"/>
        </w:rPr>
        <w:t xml:space="preserve"> </w:t>
      </w:r>
      <w:r w:rsidRPr="00293EED">
        <w:rPr>
          <w:lang w:val="en-CA"/>
        </w:rPr>
        <w:tab/>
      </w:r>
      <w:r w:rsidRPr="00293EED">
        <w:rPr>
          <w:i/>
          <w:lang w:val="en-CA"/>
        </w:rPr>
        <w:t xml:space="preserve">R. </w:t>
      </w:r>
      <w:r w:rsidRPr="00293EED">
        <w:rPr>
          <w:lang w:val="en-CA"/>
        </w:rPr>
        <w:t xml:space="preserve">v. </w:t>
      </w:r>
      <w:r w:rsidRPr="00293EED">
        <w:rPr>
          <w:i/>
          <w:lang w:val="en-CA"/>
        </w:rPr>
        <w:t>Miller</w:t>
      </w:r>
      <w:r w:rsidRPr="00293EED">
        <w:rPr>
          <w:lang w:val="en-CA"/>
        </w:rPr>
        <w:t xml:space="preserve"> (2002), 163 O.A.C. 63 (Ont.C.A.) at para. </w:t>
      </w:r>
      <w:r w:rsidRPr="002E6CE7">
        <w:rPr>
          <w:lang w:val="en-CA"/>
        </w:rPr>
        <w:t>7</w:t>
      </w:r>
      <w:r>
        <w:rPr>
          <w:lang w:val="en-CA"/>
        </w:rPr>
        <w:t>.</w:t>
      </w:r>
    </w:p>
  </w:footnote>
  <w:footnote w:id="21">
    <w:p w14:paraId="6D4B888B" w14:textId="77777777" w:rsidR="00CA5F7F" w:rsidRPr="00CA5F7F" w:rsidRDefault="00CA5F7F">
      <w:pPr>
        <w:pStyle w:val="Notedebasdepage"/>
        <w:rPr>
          <w:lang w:val="en-CA"/>
        </w:rPr>
      </w:pPr>
      <w:r>
        <w:rPr>
          <w:rStyle w:val="Appelnotedebasdep"/>
        </w:rPr>
        <w:footnoteRef/>
      </w:r>
      <w:r w:rsidRPr="00CA5F7F">
        <w:rPr>
          <w:lang w:val="en-CA"/>
        </w:rPr>
        <w:t xml:space="preserve"> </w:t>
      </w:r>
      <w:r w:rsidRPr="00CA5F7F">
        <w:rPr>
          <w:lang w:val="en-CA"/>
        </w:rPr>
        <w:tab/>
      </w:r>
      <w:r>
        <w:rPr>
          <w:i/>
          <w:iCs/>
          <w:lang w:val="en-CA"/>
        </w:rPr>
        <w:t xml:space="preserve">R. </w:t>
      </w:r>
      <w:r>
        <w:rPr>
          <w:lang w:val="en-CA"/>
        </w:rPr>
        <w:t xml:space="preserve">v. </w:t>
      </w:r>
      <w:r>
        <w:rPr>
          <w:i/>
          <w:iCs/>
          <w:lang w:val="en-CA"/>
        </w:rPr>
        <w:t>Mann</w:t>
      </w:r>
      <w:r>
        <w:rPr>
          <w:lang w:val="en-CA"/>
        </w:rPr>
        <w:t xml:space="preserve">, </w:t>
      </w:r>
      <w:r>
        <w:rPr>
          <w:i/>
          <w:iCs/>
          <w:lang w:val="en-CA"/>
        </w:rPr>
        <w:t>supra</w:t>
      </w:r>
      <w:r>
        <w:rPr>
          <w:lang w:val="en-CA"/>
        </w:rPr>
        <w:t>, at para. 43.</w:t>
      </w:r>
    </w:p>
  </w:footnote>
  <w:footnote w:id="22">
    <w:p w14:paraId="05C223E7" w14:textId="77777777" w:rsidR="00842A74" w:rsidRPr="00842A74" w:rsidRDefault="00842A74">
      <w:pPr>
        <w:pStyle w:val="Notedebasdepage"/>
        <w:rPr>
          <w:lang w:val="en-CA"/>
        </w:rPr>
      </w:pPr>
      <w:r>
        <w:rPr>
          <w:rStyle w:val="Appelnotedebasdep"/>
        </w:rPr>
        <w:footnoteRef/>
      </w:r>
      <w:r w:rsidRPr="00842A74">
        <w:rPr>
          <w:lang w:val="en-CA"/>
        </w:rPr>
        <w:t xml:space="preserve"> </w:t>
      </w:r>
      <w:r w:rsidRPr="00842A74">
        <w:rPr>
          <w:lang w:val="en-CA"/>
        </w:rPr>
        <w:tab/>
      </w:r>
      <w:r w:rsidRPr="00842A74">
        <w:rPr>
          <w:i/>
          <w:iCs/>
          <w:lang w:val="en-CA"/>
        </w:rPr>
        <w:t xml:space="preserve">R. </w:t>
      </w:r>
      <w:r w:rsidRPr="00842A74">
        <w:rPr>
          <w:lang w:val="en-CA"/>
        </w:rPr>
        <w:t xml:space="preserve">c. </w:t>
      </w:r>
      <w:r w:rsidRPr="00842A74">
        <w:rPr>
          <w:i/>
          <w:iCs/>
          <w:lang w:val="en-CA"/>
        </w:rPr>
        <w:t>Ondo-Mendame</w:t>
      </w:r>
      <w:r w:rsidRPr="00842A74">
        <w:rPr>
          <w:lang w:val="en-CA"/>
        </w:rPr>
        <w:t xml:space="preserve">, 2023 QCCA 107 at para. 27, leave to appeal denied, [2023] S.C.C.A. No. 163; </w:t>
      </w:r>
      <w:r w:rsidRPr="00842A74">
        <w:rPr>
          <w:i/>
          <w:iCs/>
          <w:lang w:val="en-CA"/>
        </w:rPr>
        <w:t xml:space="preserve">R. </w:t>
      </w:r>
      <w:r w:rsidRPr="00842A74">
        <w:rPr>
          <w:lang w:val="en-CA"/>
        </w:rPr>
        <w:t xml:space="preserve">c. </w:t>
      </w:r>
      <w:r w:rsidRPr="00842A74">
        <w:rPr>
          <w:i/>
          <w:iCs/>
          <w:lang w:val="en-CA"/>
        </w:rPr>
        <w:t>Wolfson</w:t>
      </w:r>
      <w:r w:rsidRPr="00842A74">
        <w:rPr>
          <w:lang w:val="en-CA"/>
        </w:rPr>
        <w:t>, 2020 QCCA 856 a</w:t>
      </w:r>
      <w:r>
        <w:rPr>
          <w:lang w:val="en-CA"/>
        </w:rPr>
        <w:t>t</w:t>
      </w:r>
      <w:r w:rsidRPr="00842A74">
        <w:rPr>
          <w:lang w:val="en-CA"/>
        </w:rPr>
        <w:t xml:space="preserve"> paras. 54-55, </w:t>
      </w:r>
      <w:r>
        <w:rPr>
          <w:lang w:val="en-CA"/>
        </w:rPr>
        <w:t>leave to appeal denied</w:t>
      </w:r>
      <w:r w:rsidRPr="00842A74">
        <w:rPr>
          <w:lang w:val="en-CA"/>
        </w:rPr>
        <w:t>, [2020] S.C.C.A. No. 316</w:t>
      </w:r>
      <w:r>
        <w:rPr>
          <w:lang w:val="en-CA"/>
        </w:rPr>
        <w:t>.</w:t>
      </w:r>
    </w:p>
  </w:footnote>
  <w:footnote w:id="23">
    <w:p w14:paraId="03E7FB83" w14:textId="77777777" w:rsidR="00842A74" w:rsidRPr="00842A74" w:rsidRDefault="00842A74">
      <w:pPr>
        <w:pStyle w:val="Notedebasdepage"/>
        <w:rPr>
          <w:lang w:val="en-CA"/>
        </w:rPr>
      </w:pPr>
      <w:r>
        <w:rPr>
          <w:rStyle w:val="Appelnotedebasdep"/>
        </w:rPr>
        <w:footnoteRef/>
      </w:r>
      <w:r w:rsidRPr="00842A74">
        <w:rPr>
          <w:lang w:val="en-CA"/>
        </w:rPr>
        <w:t xml:space="preserve"> </w:t>
      </w:r>
      <w:r w:rsidRPr="00842A74">
        <w:rPr>
          <w:lang w:val="en-CA"/>
        </w:rPr>
        <w:tab/>
      </w:r>
      <w:r w:rsidRPr="00842A74">
        <w:rPr>
          <w:i/>
          <w:iCs/>
          <w:lang w:val="en-CA"/>
        </w:rPr>
        <w:t xml:space="preserve">R. </w:t>
      </w:r>
      <w:r w:rsidRPr="00842A74">
        <w:rPr>
          <w:lang w:val="en-CA"/>
        </w:rPr>
        <w:t xml:space="preserve">c. </w:t>
      </w:r>
      <w:r w:rsidRPr="00842A74">
        <w:rPr>
          <w:i/>
          <w:iCs/>
          <w:lang w:val="en-CA"/>
        </w:rPr>
        <w:t>Wolfson</w:t>
      </w:r>
      <w:r w:rsidRPr="00842A74">
        <w:rPr>
          <w:lang w:val="en-CA"/>
        </w:rPr>
        <w:t xml:space="preserve">, </w:t>
      </w:r>
      <w:r w:rsidRPr="00842A74">
        <w:rPr>
          <w:i/>
          <w:iCs/>
          <w:lang w:val="en-CA"/>
        </w:rPr>
        <w:t>supra</w:t>
      </w:r>
      <w:r w:rsidRPr="00842A74">
        <w:rPr>
          <w:lang w:val="en-CA"/>
        </w:rPr>
        <w:t>, a</w:t>
      </w:r>
      <w:r>
        <w:rPr>
          <w:lang w:val="en-CA"/>
        </w:rPr>
        <w:t xml:space="preserve">t para. 56, citing </w:t>
      </w:r>
      <w:r>
        <w:rPr>
          <w:i/>
          <w:iCs/>
          <w:lang w:val="en-CA"/>
        </w:rPr>
        <w:t xml:space="preserve">R. </w:t>
      </w:r>
      <w:r>
        <w:rPr>
          <w:lang w:val="en-CA"/>
        </w:rPr>
        <w:t xml:space="preserve">v. </w:t>
      </w:r>
      <w:r>
        <w:rPr>
          <w:i/>
          <w:iCs/>
          <w:lang w:val="en-CA"/>
        </w:rPr>
        <w:t>MacDonald</w:t>
      </w:r>
      <w:r>
        <w:rPr>
          <w:lang w:val="en-CA"/>
        </w:rPr>
        <w:t xml:space="preserve">, </w:t>
      </w:r>
      <w:r>
        <w:rPr>
          <w:i/>
          <w:iCs/>
          <w:lang w:val="en-CA"/>
        </w:rPr>
        <w:t>supra</w:t>
      </w:r>
      <w:r>
        <w:rPr>
          <w:lang w:val="en-CA"/>
        </w:rPr>
        <w:t>, at para. 47.</w:t>
      </w:r>
    </w:p>
  </w:footnote>
  <w:footnote w:id="24">
    <w:p w14:paraId="75A8729B" w14:textId="77777777" w:rsidR="00C129A0" w:rsidRPr="00C129A0" w:rsidRDefault="00C129A0">
      <w:pPr>
        <w:pStyle w:val="Notedebasdepage"/>
        <w:rPr>
          <w:lang w:val="en-CA"/>
        </w:rPr>
      </w:pPr>
      <w:r>
        <w:rPr>
          <w:rStyle w:val="Appelnotedebasdep"/>
        </w:rPr>
        <w:footnoteRef/>
      </w:r>
      <w:r w:rsidRPr="00C129A0">
        <w:rPr>
          <w:lang w:val="en-CA"/>
        </w:rPr>
        <w:t xml:space="preserve"> </w:t>
      </w:r>
      <w:r>
        <w:rPr>
          <w:lang w:val="en-CA"/>
        </w:rPr>
        <w:tab/>
      </w:r>
      <w:r>
        <w:rPr>
          <w:i/>
          <w:iCs/>
          <w:lang w:val="en-CA"/>
        </w:rPr>
        <w:t xml:space="preserve">R. </w:t>
      </w:r>
      <w:r>
        <w:rPr>
          <w:lang w:val="en-CA"/>
        </w:rPr>
        <w:t xml:space="preserve">v. </w:t>
      </w:r>
      <w:r>
        <w:rPr>
          <w:i/>
          <w:iCs/>
          <w:lang w:val="en-CA"/>
        </w:rPr>
        <w:t>Mann</w:t>
      </w:r>
      <w:r>
        <w:rPr>
          <w:lang w:val="en-CA"/>
        </w:rPr>
        <w:t xml:space="preserve">, </w:t>
      </w:r>
      <w:r>
        <w:rPr>
          <w:i/>
          <w:iCs/>
          <w:lang w:val="en-CA"/>
        </w:rPr>
        <w:t>supra</w:t>
      </w:r>
      <w:r>
        <w:rPr>
          <w:lang w:val="en-CA"/>
        </w:rPr>
        <w:t>, at para</w:t>
      </w:r>
      <w:r w:rsidR="00293EED">
        <w:rPr>
          <w:lang w:val="en-CA"/>
        </w:rPr>
        <w:t>s</w:t>
      </w:r>
      <w:r>
        <w:rPr>
          <w:lang w:val="en-CA"/>
        </w:rPr>
        <w:t>. 40</w:t>
      </w:r>
      <w:r w:rsidR="00293EED">
        <w:rPr>
          <w:lang w:val="en-CA"/>
        </w:rPr>
        <w:t>, 43</w:t>
      </w:r>
      <w:r w:rsidR="001A66FC">
        <w:rPr>
          <w:lang w:val="en-CA"/>
        </w:rPr>
        <w:t>, 45</w:t>
      </w:r>
      <w:r>
        <w:rPr>
          <w:lang w:val="en-CA"/>
        </w:rPr>
        <w:t>.</w:t>
      </w:r>
    </w:p>
  </w:footnote>
  <w:footnote w:id="25">
    <w:p w14:paraId="5A418FFB" w14:textId="77777777" w:rsidR="00F374CE" w:rsidRPr="00F068BE" w:rsidRDefault="00F374CE">
      <w:pPr>
        <w:pStyle w:val="Notedebasdepage"/>
      </w:pPr>
      <w:r>
        <w:rPr>
          <w:rStyle w:val="Appelnotedebasdep"/>
        </w:rPr>
        <w:footnoteRef/>
      </w:r>
      <w:r w:rsidRPr="00F374CE">
        <w:rPr>
          <w:lang w:val="en-CA"/>
        </w:rPr>
        <w:t xml:space="preserve"> </w:t>
      </w:r>
      <w:r>
        <w:rPr>
          <w:lang w:val="en-CA"/>
        </w:rPr>
        <w:tab/>
      </w:r>
      <w:r>
        <w:rPr>
          <w:i/>
          <w:iCs/>
          <w:lang w:val="en-CA"/>
        </w:rPr>
        <w:t xml:space="preserve">R. </w:t>
      </w:r>
      <w:r>
        <w:rPr>
          <w:lang w:val="en-CA"/>
        </w:rPr>
        <w:t xml:space="preserve">v. </w:t>
      </w:r>
      <w:r>
        <w:rPr>
          <w:i/>
          <w:iCs/>
          <w:lang w:val="en-CA"/>
        </w:rPr>
        <w:t>MacDonald</w:t>
      </w:r>
      <w:r>
        <w:rPr>
          <w:lang w:val="en-CA"/>
        </w:rPr>
        <w:t xml:space="preserve">, [2014] 1 S.C.R. 37 at para. </w:t>
      </w:r>
      <w:r w:rsidRPr="00F068BE">
        <w:t>39(3).</w:t>
      </w:r>
    </w:p>
  </w:footnote>
  <w:footnote w:id="26">
    <w:p w14:paraId="203D6AC6" w14:textId="77777777" w:rsidR="0054344E" w:rsidRPr="00891A4F" w:rsidRDefault="0054344E">
      <w:pPr>
        <w:pStyle w:val="Notedebasdepage"/>
        <w:rPr>
          <w:lang w:val="en-CA"/>
        </w:rPr>
      </w:pPr>
      <w:r>
        <w:rPr>
          <w:rStyle w:val="Appelnotedebasdep"/>
        </w:rPr>
        <w:footnoteRef/>
      </w:r>
      <w:r w:rsidRPr="0054344E">
        <w:t xml:space="preserve"> </w:t>
      </w:r>
      <w:r w:rsidRPr="0054344E">
        <w:tab/>
      </w:r>
      <w:r w:rsidRPr="0054344E">
        <w:rPr>
          <w:i/>
          <w:iCs/>
        </w:rPr>
        <w:t>R</w:t>
      </w:r>
      <w:bookmarkStart w:id="13" w:name="_Hlk162384114"/>
      <w:r w:rsidRPr="0054344E">
        <w:rPr>
          <w:i/>
          <w:iCs/>
        </w:rPr>
        <w:t xml:space="preserve">. </w:t>
      </w:r>
      <w:r w:rsidRPr="0054344E">
        <w:t xml:space="preserve">v. </w:t>
      </w:r>
      <w:r w:rsidRPr="0054344E">
        <w:rPr>
          <w:i/>
          <w:iCs/>
        </w:rPr>
        <w:t>Plummer</w:t>
      </w:r>
      <w:r w:rsidRPr="0054344E">
        <w:t xml:space="preserve"> (2011), 272 C.C.C. (3d) 172 (Ont.C.A.) at par</w:t>
      </w:r>
      <w:r>
        <w:t xml:space="preserve">as. 53, 58; </w:t>
      </w:r>
      <w:r>
        <w:rPr>
          <w:i/>
          <w:iCs/>
        </w:rPr>
        <w:t xml:space="preserve">R. </w:t>
      </w:r>
      <w:r>
        <w:t xml:space="preserve">v. </w:t>
      </w:r>
      <w:r>
        <w:rPr>
          <w:i/>
          <w:iCs/>
        </w:rPr>
        <w:t>Ellis</w:t>
      </w:r>
      <w:r>
        <w:t xml:space="preserve"> (2016), 132 O.R. (3d) 510 (Ont.C.A.) at paras. </w:t>
      </w:r>
      <w:r w:rsidRPr="00891A4F">
        <w:rPr>
          <w:lang w:val="en-CA"/>
        </w:rPr>
        <w:t xml:space="preserve">27-28; </w:t>
      </w:r>
      <w:r w:rsidRPr="00891A4F">
        <w:rPr>
          <w:i/>
          <w:iCs/>
          <w:lang w:val="en-CA"/>
        </w:rPr>
        <w:t xml:space="preserve">R. </w:t>
      </w:r>
      <w:r w:rsidRPr="00891A4F">
        <w:rPr>
          <w:lang w:val="en-CA"/>
        </w:rPr>
        <w:t xml:space="preserve">v. </w:t>
      </w:r>
      <w:r w:rsidRPr="00891A4F">
        <w:rPr>
          <w:i/>
          <w:iCs/>
          <w:lang w:val="en-CA"/>
        </w:rPr>
        <w:t>Webber</w:t>
      </w:r>
      <w:r w:rsidRPr="00891A4F">
        <w:rPr>
          <w:lang w:val="en-CA"/>
        </w:rPr>
        <w:t xml:space="preserve"> </w:t>
      </w:r>
      <w:r w:rsidR="00891A4F" w:rsidRPr="00891A4F">
        <w:rPr>
          <w:lang w:val="en-CA"/>
        </w:rPr>
        <w:t>(2019), 377 C.C.C. (3d) 1 (</w:t>
      </w:r>
      <w:r w:rsidR="00891A4F">
        <w:rPr>
          <w:lang w:val="en-CA"/>
        </w:rPr>
        <w:t>B.C.C.A.</w:t>
      </w:r>
      <w:r w:rsidR="00891A4F" w:rsidRPr="00891A4F">
        <w:rPr>
          <w:lang w:val="en-CA"/>
        </w:rPr>
        <w:t>) at para.</w:t>
      </w:r>
      <w:r w:rsidRPr="00891A4F">
        <w:rPr>
          <w:lang w:val="en-CA"/>
        </w:rPr>
        <w:t xml:space="preserve"> 70</w:t>
      </w:r>
      <w:bookmarkEnd w:id="13"/>
      <w:r w:rsidRPr="00891A4F">
        <w:rPr>
          <w:lang w:val="en-CA"/>
        </w:rPr>
        <w:t>.</w:t>
      </w:r>
    </w:p>
  </w:footnote>
  <w:footnote w:id="27">
    <w:p w14:paraId="6F35F88E" w14:textId="77777777" w:rsidR="00252185" w:rsidRPr="00252185" w:rsidRDefault="00252185">
      <w:pPr>
        <w:pStyle w:val="Notedebasdepage"/>
        <w:rPr>
          <w:lang w:val="en-CA"/>
        </w:rPr>
      </w:pPr>
      <w:r>
        <w:rPr>
          <w:rStyle w:val="Appelnotedebasdep"/>
        </w:rPr>
        <w:footnoteRef/>
      </w:r>
      <w:r w:rsidRPr="00F068BE">
        <w:rPr>
          <w:lang w:val="en-CA"/>
        </w:rPr>
        <w:t xml:space="preserve"> </w:t>
      </w:r>
      <w:r w:rsidRPr="00F068BE">
        <w:rPr>
          <w:lang w:val="en-CA"/>
        </w:rPr>
        <w:tab/>
      </w:r>
      <w:r w:rsidRPr="00F068BE">
        <w:rPr>
          <w:i/>
          <w:iCs/>
          <w:lang w:val="en-CA"/>
        </w:rPr>
        <w:t xml:space="preserve">R. </w:t>
      </w:r>
      <w:r w:rsidRPr="00F068BE">
        <w:rPr>
          <w:lang w:val="en-CA"/>
        </w:rPr>
        <w:t xml:space="preserve">v. </w:t>
      </w:r>
      <w:r w:rsidRPr="00F068BE">
        <w:rPr>
          <w:i/>
          <w:iCs/>
          <w:lang w:val="en-CA"/>
        </w:rPr>
        <w:t>Ahmed</w:t>
      </w:r>
      <w:r w:rsidRPr="00F068BE">
        <w:rPr>
          <w:lang w:val="en-CA"/>
        </w:rPr>
        <w:t xml:space="preserve"> (2022), 418 C.C.C. (3d) 1 (Ont.C.A.); </w:t>
      </w:r>
      <w:r w:rsidRPr="00F068BE">
        <w:rPr>
          <w:i/>
          <w:iCs/>
          <w:lang w:val="en-CA"/>
        </w:rPr>
        <w:t xml:space="preserve">R. </w:t>
      </w:r>
      <w:r w:rsidRPr="00F068BE">
        <w:rPr>
          <w:lang w:val="en-CA"/>
        </w:rPr>
        <w:t xml:space="preserve">v. </w:t>
      </w:r>
      <w:r w:rsidRPr="00F068BE">
        <w:rPr>
          <w:i/>
          <w:iCs/>
          <w:lang w:val="en-CA"/>
        </w:rPr>
        <w:t>Patrick</w:t>
      </w:r>
      <w:r w:rsidRPr="00F068BE">
        <w:rPr>
          <w:lang w:val="en-CA"/>
        </w:rPr>
        <w:t xml:space="preserve"> (2017), 344 C.C.C. (3d) 137 (B.C.C.A.) at para. </w:t>
      </w:r>
      <w:r>
        <w:rPr>
          <w:lang w:val="en-CA"/>
        </w:rPr>
        <w:t>94, leave to appeal denied, [2017] S.C.C.A. No. 108.</w:t>
      </w:r>
    </w:p>
  </w:footnote>
  <w:footnote w:id="28">
    <w:p w14:paraId="048D5C7F" w14:textId="77777777" w:rsidR="00252185" w:rsidRPr="00252185" w:rsidRDefault="00252185">
      <w:pPr>
        <w:pStyle w:val="Notedebasdepage"/>
        <w:rPr>
          <w:lang w:val="en-CA"/>
        </w:rPr>
      </w:pPr>
      <w:r>
        <w:rPr>
          <w:rStyle w:val="Appelnotedebasdep"/>
        </w:rPr>
        <w:footnoteRef/>
      </w:r>
      <w:r w:rsidRPr="00252185">
        <w:rPr>
          <w:lang w:val="en-CA"/>
        </w:rPr>
        <w:t xml:space="preserve"> </w:t>
      </w:r>
      <w:r>
        <w:rPr>
          <w:lang w:val="en-CA"/>
        </w:rPr>
        <w:tab/>
      </w:r>
      <w:r>
        <w:rPr>
          <w:i/>
          <w:iCs/>
          <w:lang w:val="en-CA"/>
        </w:rPr>
        <w:t xml:space="preserve">R. </w:t>
      </w:r>
      <w:r>
        <w:rPr>
          <w:lang w:val="en-CA"/>
        </w:rPr>
        <w:t xml:space="preserve">v. </w:t>
      </w:r>
      <w:r>
        <w:rPr>
          <w:i/>
          <w:iCs/>
          <w:lang w:val="en-CA"/>
        </w:rPr>
        <w:t>Sheck</w:t>
      </w:r>
      <w:r>
        <w:rPr>
          <w:lang w:val="en-CA"/>
        </w:rPr>
        <w:t xml:space="preserve"> (2015), 332 C.C.C. (3d) 199 (B.C.C.A.) at para. 54, leave to appeal denied, [2016] S.C.C.A. No. 50; </w:t>
      </w:r>
      <w:r>
        <w:rPr>
          <w:i/>
          <w:iCs/>
          <w:lang w:val="en-CA"/>
        </w:rPr>
        <w:t xml:space="preserve">R. </w:t>
      </w:r>
      <w:r>
        <w:rPr>
          <w:lang w:val="en-CA"/>
        </w:rPr>
        <w:t xml:space="preserve">v. </w:t>
      </w:r>
      <w:r>
        <w:rPr>
          <w:i/>
          <w:iCs/>
          <w:lang w:val="en-CA"/>
        </w:rPr>
        <w:t>Thibodeau</w:t>
      </w:r>
      <w:r>
        <w:rPr>
          <w:lang w:val="en-CA"/>
        </w:rPr>
        <w:t xml:space="preserve">, 2007 BCCA 489, leave to appeal denied, [2007] S.C.C.A. No. 592; </w:t>
      </w:r>
      <w:r>
        <w:rPr>
          <w:i/>
          <w:iCs/>
          <w:lang w:val="en-CA"/>
        </w:rPr>
        <w:t xml:space="preserve">R. </w:t>
      </w:r>
      <w:r>
        <w:rPr>
          <w:lang w:val="en-CA"/>
        </w:rPr>
        <w:t xml:space="preserve">v. </w:t>
      </w:r>
      <w:r>
        <w:rPr>
          <w:i/>
          <w:iCs/>
          <w:lang w:val="en-CA"/>
        </w:rPr>
        <w:t>Lal</w:t>
      </w:r>
      <w:r>
        <w:rPr>
          <w:lang w:val="en-CA"/>
        </w:rPr>
        <w:t xml:space="preserve"> (1998), 56 C.R.R. (2d) 243 (B.C.C.A.), leave to appeal denied, [1999] S.C.C.A. no. 28</w:t>
      </w:r>
      <w:r w:rsidR="00CA7D31">
        <w:rPr>
          <w:lang w:val="en-CA"/>
        </w:rPr>
        <w:t xml:space="preserve">; </w:t>
      </w:r>
      <w:r w:rsidR="00CA7D31">
        <w:rPr>
          <w:i/>
          <w:iCs/>
          <w:lang w:val="en-CA"/>
        </w:rPr>
        <w:t xml:space="preserve">R. </w:t>
      </w:r>
      <w:r w:rsidR="00CA7D31">
        <w:rPr>
          <w:lang w:val="en-CA"/>
        </w:rPr>
        <w:t xml:space="preserve">v. </w:t>
      </w:r>
      <w:r w:rsidR="00CA7D31">
        <w:rPr>
          <w:i/>
          <w:iCs/>
          <w:lang w:val="en-CA"/>
        </w:rPr>
        <w:t>Dymkowski</w:t>
      </w:r>
      <w:r w:rsidR="00CA7D31">
        <w:rPr>
          <w:lang w:val="en-CA"/>
        </w:rPr>
        <w:t xml:space="preserve"> (2021), 500 C.R.R. (2d) 135 (Ont.S.C.J.).</w:t>
      </w:r>
    </w:p>
  </w:footnote>
  <w:footnote w:id="29">
    <w:p w14:paraId="3E221FD2" w14:textId="77777777" w:rsidR="008B0C47" w:rsidRPr="008B0C47" w:rsidRDefault="008B0C47">
      <w:pPr>
        <w:pStyle w:val="Notedebasdepage"/>
        <w:rPr>
          <w:lang w:val="en-CA"/>
        </w:rPr>
      </w:pPr>
      <w:r>
        <w:rPr>
          <w:rStyle w:val="Appelnotedebasdep"/>
        </w:rPr>
        <w:footnoteRef/>
      </w:r>
      <w:r w:rsidRPr="008B0C47">
        <w:rPr>
          <w:lang w:val="en-CA"/>
        </w:rPr>
        <w:t xml:space="preserve"> </w:t>
      </w:r>
      <w:r>
        <w:rPr>
          <w:lang w:val="en-CA"/>
        </w:rPr>
        <w:tab/>
      </w:r>
      <w:bookmarkStart w:id="14" w:name="_Hlk162361279"/>
      <w:r>
        <w:rPr>
          <w:i/>
          <w:iCs/>
          <w:lang w:val="en-CA"/>
        </w:rPr>
        <w:t xml:space="preserve">R. </w:t>
      </w:r>
      <w:r>
        <w:rPr>
          <w:lang w:val="en-CA"/>
        </w:rPr>
        <w:t xml:space="preserve">v. </w:t>
      </w:r>
      <w:r>
        <w:rPr>
          <w:i/>
          <w:iCs/>
          <w:lang w:val="en-CA"/>
        </w:rPr>
        <w:t>Peters</w:t>
      </w:r>
      <w:r>
        <w:rPr>
          <w:lang w:val="en-CA"/>
        </w:rPr>
        <w:t xml:space="preserve"> (2007), 427 A.R. 326 (Alta.C.A.)</w:t>
      </w:r>
      <w:bookmarkEnd w:id="14"/>
      <w:r>
        <w:rPr>
          <w:lang w:val="en-CA"/>
        </w:rPr>
        <w:t>.</w:t>
      </w:r>
    </w:p>
  </w:footnote>
  <w:footnote w:id="30">
    <w:p w14:paraId="3E2B9128" w14:textId="77777777" w:rsidR="008B0C47" w:rsidRPr="008B0C47" w:rsidRDefault="008B0C47">
      <w:pPr>
        <w:pStyle w:val="Notedebasdepage"/>
        <w:rPr>
          <w:lang w:val="en-CA"/>
        </w:rPr>
      </w:pPr>
      <w:r>
        <w:rPr>
          <w:rStyle w:val="Appelnotedebasdep"/>
        </w:rPr>
        <w:footnoteRef/>
      </w:r>
      <w:r w:rsidRPr="008B0C47">
        <w:rPr>
          <w:lang w:val="en-CA"/>
        </w:rPr>
        <w:t xml:space="preserve"> </w:t>
      </w:r>
      <w:r w:rsidRPr="008B0C47">
        <w:rPr>
          <w:lang w:val="en-CA"/>
        </w:rPr>
        <w:tab/>
      </w:r>
      <w:bookmarkStart w:id="15" w:name="_Hlk162361305"/>
      <w:r w:rsidRPr="000F2AA1">
        <w:rPr>
          <w:i/>
          <w:iCs/>
          <w:lang w:val="en-CA"/>
        </w:rPr>
        <w:t xml:space="preserve">R. </w:t>
      </w:r>
      <w:r w:rsidRPr="000F2AA1">
        <w:rPr>
          <w:lang w:val="en-CA"/>
        </w:rPr>
        <w:t xml:space="preserve">v. </w:t>
      </w:r>
      <w:r w:rsidRPr="000F2AA1">
        <w:rPr>
          <w:i/>
          <w:iCs/>
          <w:lang w:val="en-CA"/>
        </w:rPr>
        <w:t>McKenzie</w:t>
      </w:r>
      <w:r w:rsidRPr="000F2AA1">
        <w:rPr>
          <w:lang w:val="en-CA"/>
        </w:rPr>
        <w:t xml:space="preserve"> (2022), 77 C.R. (7th</w:t>
      </w:r>
      <w:r>
        <w:rPr>
          <w:lang w:val="en-CA"/>
        </w:rPr>
        <w:t>) 313 (Man.C.A.), leave to appeal denied, [2022] S.C.C.A. No. 64</w:t>
      </w:r>
      <w:bookmarkEnd w:id="15"/>
      <w:r w:rsidR="00191052">
        <w:rPr>
          <w:lang w:val="en-CA"/>
        </w:rPr>
        <w:t xml:space="preserve">; </w:t>
      </w:r>
      <w:bookmarkStart w:id="16" w:name="_Hlk162441783"/>
      <w:r w:rsidR="00191052">
        <w:rPr>
          <w:i/>
          <w:iCs/>
          <w:lang w:val="en-CA"/>
        </w:rPr>
        <w:t xml:space="preserve">R. </w:t>
      </w:r>
      <w:r w:rsidR="00191052">
        <w:rPr>
          <w:lang w:val="en-CA"/>
        </w:rPr>
        <w:t xml:space="preserve">v. </w:t>
      </w:r>
      <w:r w:rsidR="00191052">
        <w:rPr>
          <w:i/>
          <w:iCs/>
          <w:lang w:val="en-CA"/>
        </w:rPr>
        <w:t>Sheck</w:t>
      </w:r>
      <w:r w:rsidR="00191052">
        <w:rPr>
          <w:lang w:val="en-CA"/>
        </w:rPr>
        <w:t xml:space="preserve"> (2015), 332 C.C.C. (3d) 199 (B.C.C.A.) at paras. 54-55, leave to appeal denied, [2016] S.C.C.A. No. 50</w:t>
      </w:r>
      <w:bookmarkEnd w:id="16"/>
      <w:r w:rsidR="00191052">
        <w:rPr>
          <w:lang w:val="en-CA"/>
        </w:rPr>
        <w:t>.</w:t>
      </w:r>
    </w:p>
  </w:footnote>
  <w:footnote w:id="31">
    <w:p w14:paraId="286C8B84" w14:textId="77777777" w:rsidR="008B0C47" w:rsidRPr="00293EED" w:rsidRDefault="008B0C47">
      <w:pPr>
        <w:pStyle w:val="Notedebasdepage"/>
        <w:rPr>
          <w:lang w:val="en-CA"/>
        </w:rPr>
      </w:pPr>
      <w:r>
        <w:rPr>
          <w:rStyle w:val="Appelnotedebasdep"/>
        </w:rPr>
        <w:footnoteRef/>
      </w:r>
      <w:r w:rsidRPr="00293EED">
        <w:rPr>
          <w:lang w:val="en-CA"/>
        </w:rPr>
        <w:t xml:space="preserve"> </w:t>
      </w:r>
      <w:r w:rsidRPr="00293EED">
        <w:rPr>
          <w:lang w:val="en-CA"/>
        </w:rPr>
        <w:tab/>
      </w:r>
      <w:r w:rsidRPr="00293EED">
        <w:rPr>
          <w:i/>
          <w:iCs/>
          <w:lang w:val="en-CA"/>
        </w:rPr>
        <w:t xml:space="preserve">R. </w:t>
      </w:r>
      <w:r w:rsidRPr="00293EED">
        <w:rPr>
          <w:lang w:val="en-CA"/>
        </w:rPr>
        <w:t xml:space="preserve">v. </w:t>
      </w:r>
      <w:r w:rsidRPr="00293EED">
        <w:rPr>
          <w:i/>
          <w:iCs/>
          <w:lang w:val="en-CA"/>
        </w:rPr>
        <w:t>McKenzie</w:t>
      </w:r>
      <w:r w:rsidRPr="00293EED">
        <w:rPr>
          <w:lang w:val="en-CA"/>
        </w:rPr>
        <w:t xml:space="preserve">, </w:t>
      </w:r>
      <w:r w:rsidRPr="00293EED">
        <w:rPr>
          <w:i/>
          <w:iCs/>
          <w:lang w:val="en-CA"/>
        </w:rPr>
        <w:t>supra</w:t>
      </w:r>
      <w:r w:rsidRPr="00293EED">
        <w:rPr>
          <w:lang w:val="en-CA"/>
        </w:rPr>
        <w:t xml:space="preserve">; </w:t>
      </w:r>
      <w:r w:rsidRPr="00293EED">
        <w:rPr>
          <w:i/>
          <w:iCs/>
          <w:lang w:val="en-CA"/>
        </w:rPr>
        <w:t xml:space="preserve">R. </w:t>
      </w:r>
      <w:r w:rsidRPr="00293EED">
        <w:rPr>
          <w:lang w:val="en-CA"/>
        </w:rPr>
        <w:t xml:space="preserve">v. </w:t>
      </w:r>
      <w:r w:rsidRPr="00293EED">
        <w:rPr>
          <w:i/>
          <w:iCs/>
          <w:lang w:val="en-CA"/>
        </w:rPr>
        <w:t>Peters</w:t>
      </w:r>
      <w:r w:rsidRPr="00293EED">
        <w:rPr>
          <w:lang w:val="en-CA"/>
        </w:rPr>
        <w:t xml:space="preserve">, </w:t>
      </w:r>
      <w:r w:rsidRPr="00293EED">
        <w:rPr>
          <w:i/>
          <w:iCs/>
          <w:lang w:val="en-CA"/>
        </w:rPr>
        <w:t>supra</w:t>
      </w:r>
      <w:r w:rsidRPr="00293EED">
        <w:rPr>
          <w:lang w:val="en-CA"/>
        </w:rPr>
        <w:t>.</w:t>
      </w:r>
    </w:p>
  </w:footnote>
  <w:footnote w:id="32">
    <w:p w14:paraId="67311494" w14:textId="77777777" w:rsidR="00743CEC" w:rsidRPr="00743CEC" w:rsidRDefault="00743CEC">
      <w:pPr>
        <w:pStyle w:val="Notedebasdepage"/>
        <w:rPr>
          <w:lang w:val="en-CA"/>
        </w:rPr>
      </w:pPr>
      <w:r>
        <w:rPr>
          <w:rStyle w:val="Appelnotedebasdep"/>
        </w:rPr>
        <w:footnoteRef/>
      </w:r>
      <w:r w:rsidRPr="00743CEC">
        <w:rPr>
          <w:lang w:val="en-CA"/>
        </w:rPr>
        <w:t xml:space="preserve"> </w:t>
      </w:r>
      <w:r w:rsidRPr="00743CEC">
        <w:rPr>
          <w:lang w:val="en-CA"/>
        </w:rPr>
        <w:tab/>
      </w:r>
      <w:r w:rsidRPr="000F2AA1">
        <w:rPr>
          <w:i/>
          <w:iCs/>
          <w:lang w:val="en-CA"/>
        </w:rPr>
        <w:t xml:space="preserve">R. </w:t>
      </w:r>
      <w:r w:rsidRPr="000F2AA1">
        <w:rPr>
          <w:lang w:val="en-CA"/>
        </w:rPr>
        <w:t xml:space="preserve">v. </w:t>
      </w:r>
      <w:r w:rsidRPr="000F2AA1">
        <w:rPr>
          <w:i/>
          <w:iCs/>
          <w:lang w:val="en-CA"/>
        </w:rPr>
        <w:t>McKenzie</w:t>
      </w:r>
      <w:r w:rsidRPr="000F2AA1">
        <w:rPr>
          <w:lang w:val="en-CA"/>
        </w:rPr>
        <w:t xml:space="preserve"> (2022), 77 C.R. (7th</w:t>
      </w:r>
      <w:r>
        <w:rPr>
          <w:lang w:val="en-CA"/>
        </w:rPr>
        <w:t>) 313 (Man.C.A.) at para. 35, leave to appeal denied, [2022] S.C.C.A. No. 64.</w:t>
      </w:r>
    </w:p>
  </w:footnote>
  <w:footnote w:id="33">
    <w:p w14:paraId="60EF527F" w14:textId="77777777" w:rsidR="00121BA5" w:rsidRPr="00121BA5" w:rsidRDefault="00121BA5">
      <w:pPr>
        <w:pStyle w:val="Notedebasdepage"/>
        <w:rPr>
          <w:lang w:val="en-CA"/>
        </w:rPr>
      </w:pPr>
      <w:r>
        <w:rPr>
          <w:rStyle w:val="Appelnotedebasdep"/>
        </w:rPr>
        <w:footnoteRef/>
      </w:r>
      <w:r w:rsidRPr="00121BA5">
        <w:rPr>
          <w:lang w:val="en-CA"/>
        </w:rPr>
        <w:t xml:space="preserve"> </w:t>
      </w:r>
      <w:r w:rsidRPr="00121BA5">
        <w:rPr>
          <w:lang w:val="en-CA"/>
        </w:rPr>
        <w:tab/>
      </w:r>
      <w:r>
        <w:rPr>
          <w:i/>
          <w:iCs/>
          <w:lang w:val="en-CA"/>
        </w:rPr>
        <w:t xml:space="preserve">R. </w:t>
      </w:r>
      <w:r>
        <w:rPr>
          <w:lang w:val="en-CA"/>
        </w:rPr>
        <w:t xml:space="preserve">v. </w:t>
      </w:r>
      <w:r>
        <w:rPr>
          <w:i/>
          <w:iCs/>
          <w:lang w:val="en-CA"/>
        </w:rPr>
        <w:t>Clayton</w:t>
      </w:r>
      <w:r>
        <w:rPr>
          <w:lang w:val="en-CA"/>
        </w:rPr>
        <w:t>, [2007] 2 S.C.R. 725 at para. 46.</w:t>
      </w:r>
    </w:p>
  </w:footnote>
  <w:footnote w:id="34">
    <w:p w14:paraId="583CBF15" w14:textId="77777777" w:rsidR="00121BA5" w:rsidRPr="00121BA5" w:rsidRDefault="00121BA5">
      <w:pPr>
        <w:pStyle w:val="Notedebasdepage"/>
        <w:rPr>
          <w:lang w:val="en-CA"/>
        </w:rPr>
      </w:pPr>
      <w:r>
        <w:rPr>
          <w:rStyle w:val="Appelnotedebasdep"/>
        </w:rPr>
        <w:footnoteRef/>
      </w:r>
      <w:r w:rsidRPr="00121BA5">
        <w:rPr>
          <w:lang w:val="en-CA"/>
        </w:rPr>
        <w:t xml:space="preserve"> </w:t>
      </w:r>
      <w:r w:rsidRPr="00121BA5">
        <w:rPr>
          <w:lang w:val="en-CA"/>
        </w:rPr>
        <w:tab/>
      </w:r>
      <w:r>
        <w:rPr>
          <w:i/>
          <w:iCs/>
          <w:lang w:val="en-CA"/>
        </w:rPr>
        <w:t>Ibid</w:t>
      </w:r>
      <w:r>
        <w:rPr>
          <w:lang w:val="en-CA"/>
        </w:rPr>
        <w:t>. at para. 48.</w:t>
      </w:r>
    </w:p>
  </w:footnote>
  <w:footnote w:id="35">
    <w:p w14:paraId="2D7B6684" w14:textId="77777777" w:rsidR="002F34CB" w:rsidRPr="002F34CB" w:rsidRDefault="002F34CB">
      <w:pPr>
        <w:pStyle w:val="Notedebasdepage"/>
        <w:rPr>
          <w:lang w:val="en-CA"/>
        </w:rPr>
      </w:pPr>
      <w:r>
        <w:rPr>
          <w:rStyle w:val="Appelnotedebasdep"/>
        </w:rPr>
        <w:footnoteRef/>
      </w:r>
      <w:r w:rsidRPr="002F34CB">
        <w:rPr>
          <w:lang w:val="en-CA"/>
        </w:rPr>
        <w:t xml:space="preserve"> </w:t>
      </w:r>
      <w:r>
        <w:rPr>
          <w:lang w:val="en-CA"/>
        </w:rPr>
        <w:tab/>
      </w:r>
      <w:r>
        <w:rPr>
          <w:i/>
          <w:iCs/>
          <w:lang w:val="en-CA"/>
        </w:rPr>
        <w:t xml:space="preserve">R. </w:t>
      </w:r>
      <w:r>
        <w:rPr>
          <w:lang w:val="en-CA"/>
        </w:rPr>
        <w:t xml:space="preserve">v. </w:t>
      </w:r>
      <w:r>
        <w:rPr>
          <w:i/>
          <w:iCs/>
          <w:lang w:val="en-CA"/>
        </w:rPr>
        <w:t>Chehil</w:t>
      </w:r>
      <w:r>
        <w:rPr>
          <w:lang w:val="en-CA"/>
        </w:rPr>
        <w:t>, [2013] 3 S.C.R. 220 at para. 23.</w:t>
      </w:r>
    </w:p>
  </w:footnote>
  <w:footnote w:id="36">
    <w:p w14:paraId="7218A047" w14:textId="77777777" w:rsidR="00A46044" w:rsidRPr="00200BD9" w:rsidRDefault="00A46044" w:rsidP="00A46044">
      <w:pPr>
        <w:pStyle w:val="Notedebasdepage"/>
        <w:rPr>
          <w:lang w:val="en-CA"/>
        </w:rPr>
      </w:pPr>
      <w:r>
        <w:rPr>
          <w:rStyle w:val="Appelnotedebasdep"/>
        </w:rPr>
        <w:footnoteRef/>
      </w:r>
      <w:r w:rsidRPr="00200BD9">
        <w:rPr>
          <w:lang w:val="en-CA"/>
        </w:rPr>
        <w:t xml:space="preserve"> </w:t>
      </w:r>
      <w:r w:rsidRPr="00200BD9">
        <w:rPr>
          <w:lang w:val="en-CA"/>
        </w:rPr>
        <w:tab/>
      </w:r>
      <w:r w:rsidRPr="00200BD9">
        <w:rPr>
          <w:i/>
          <w:iCs/>
          <w:lang w:val="en-CA"/>
        </w:rPr>
        <w:t xml:space="preserve">R. </w:t>
      </w:r>
      <w:r w:rsidRPr="00200BD9">
        <w:rPr>
          <w:lang w:val="en-CA"/>
        </w:rPr>
        <w:t xml:space="preserve">v. </w:t>
      </w:r>
      <w:r w:rsidRPr="00200BD9">
        <w:rPr>
          <w:i/>
          <w:iCs/>
          <w:lang w:val="en-CA"/>
        </w:rPr>
        <w:t>Atkins</w:t>
      </w:r>
      <w:r w:rsidRPr="00200BD9">
        <w:rPr>
          <w:lang w:val="en-CA"/>
        </w:rPr>
        <w:t xml:space="preserve"> (2013), 294 C.R.R. (2d) 33 (Ont.C.A.) at para. 15.</w:t>
      </w:r>
    </w:p>
  </w:footnote>
  <w:footnote w:id="37">
    <w:p w14:paraId="35C9CB30" w14:textId="77777777" w:rsidR="00270FD3" w:rsidRPr="00270FD3" w:rsidRDefault="00270FD3">
      <w:pPr>
        <w:pStyle w:val="Notedebasdepage"/>
        <w:rPr>
          <w:lang w:val="en-CA"/>
        </w:rPr>
      </w:pPr>
      <w:r>
        <w:rPr>
          <w:rStyle w:val="Appelnotedebasdep"/>
        </w:rPr>
        <w:footnoteRef/>
      </w:r>
      <w:r w:rsidRPr="00270FD3">
        <w:rPr>
          <w:lang w:val="en-CA"/>
        </w:rPr>
        <w:t xml:space="preserve"> </w:t>
      </w:r>
      <w:r>
        <w:rPr>
          <w:lang w:val="en-CA"/>
        </w:rPr>
        <w:tab/>
      </w:r>
      <w:r w:rsidRPr="00891A4F">
        <w:rPr>
          <w:i/>
          <w:iCs/>
          <w:lang w:val="en-CA"/>
        </w:rPr>
        <w:t xml:space="preserve">R. </w:t>
      </w:r>
      <w:r w:rsidRPr="00891A4F">
        <w:rPr>
          <w:lang w:val="en-CA"/>
        </w:rPr>
        <w:t xml:space="preserve">v. </w:t>
      </w:r>
      <w:r w:rsidRPr="00891A4F">
        <w:rPr>
          <w:i/>
          <w:iCs/>
          <w:lang w:val="en-CA"/>
        </w:rPr>
        <w:t>Webber</w:t>
      </w:r>
      <w:r w:rsidRPr="00891A4F">
        <w:rPr>
          <w:lang w:val="en-CA"/>
        </w:rPr>
        <w:t xml:space="preserve"> (2019), 377 C.C.C. (3d) 1 (</w:t>
      </w:r>
      <w:r>
        <w:rPr>
          <w:lang w:val="en-CA"/>
        </w:rPr>
        <w:t>B.C.C.A.</w:t>
      </w:r>
      <w:r w:rsidRPr="00891A4F">
        <w:rPr>
          <w:lang w:val="en-CA"/>
        </w:rPr>
        <w:t xml:space="preserve">) </w:t>
      </w:r>
      <w:r>
        <w:rPr>
          <w:lang w:val="en-CA"/>
        </w:rPr>
        <w:t>at para. 58.</w:t>
      </w:r>
    </w:p>
  </w:footnote>
  <w:footnote w:id="38">
    <w:p w14:paraId="1984D2F9" w14:textId="77777777" w:rsidR="00447294" w:rsidRPr="00447294" w:rsidRDefault="00447294">
      <w:pPr>
        <w:pStyle w:val="Notedebasdepage"/>
        <w:rPr>
          <w:lang w:val="en-CA"/>
        </w:rPr>
      </w:pPr>
      <w:r>
        <w:rPr>
          <w:rStyle w:val="Appelnotedebasdep"/>
        </w:rPr>
        <w:footnoteRef/>
      </w:r>
      <w:r w:rsidRPr="00447294">
        <w:rPr>
          <w:lang w:val="en-CA"/>
        </w:rPr>
        <w:t xml:space="preserve"> </w:t>
      </w:r>
      <w:r>
        <w:rPr>
          <w:lang w:val="en-CA"/>
        </w:rPr>
        <w:tab/>
      </w:r>
      <w:r>
        <w:rPr>
          <w:i/>
          <w:iCs/>
          <w:lang w:val="en-CA"/>
        </w:rPr>
        <w:t xml:space="preserve">R. </w:t>
      </w:r>
      <w:r>
        <w:rPr>
          <w:lang w:val="en-CA"/>
        </w:rPr>
        <w:t xml:space="preserve">v. </w:t>
      </w:r>
      <w:r>
        <w:rPr>
          <w:i/>
          <w:iCs/>
          <w:lang w:val="en-CA"/>
        </w:rPr>
        <w:t>Sheck</w:t>
      </w:r>
      <w:r>
        <w:rPr>
          <w:lang w:val="en-CA"/>
        </w:rPr>
        <w:t xml:space="preserve"> (2015), 332 C.C.C. (3d) 199 (B.C.C.A.) at para. 53, leave to appeal denied, [2016] S.C.C.A. No. 50.</w:t>
      </w:r>
    </w:p>
  </w:footnote>
  <w:footnote w:id="39">
    <w:p w14:paraId="179E4877" w14:textId="77777777" w:rsidR="00816706" w:rsidRPr="00816706" w:rsidRDefault="00816706">
      <w:pPr>
        <w:pStyle w:val="Notedebasdepage"/>
        <w:rPr>
          <w:lang w:val="en-CA"/>
        </w:rPr>
      </w:pPr>
      <w:r>
        <w:rPr>
          <w:rStyle w:val="Appelnotedebasdep"/>
        </w:rPr>
        <w:footnoteRef/>
      </w:r>
      <w:r w:rsidRPr="00816706">
        <w:rPr>
          <w:lang w:val="en-CA"/>
        </w:rPr>
        <w:t xml:space="preserve"> </w:t>
      </w:r>
      <w:r w:rsidRPr="00816706">
        <w:rPr>
          <w:lang w:val="en-CA"/>
        </w:rPr>
        <w:tab/>
      </w:r>
      <w:bookmarkStart w:id="19" w:name="_Hlk162519248"/>
      <w:r w:rsidRPr="00D93274">
        <w:rPr>
          <w:i/>
          <w:iCs/>
          <w:lang w:val="en-CA"/>
        </w:rPr>
        <w:t xml:space="preserve">R. </w:t>
      </w:r>
      <w:r w:rsidRPr="00D93274">
        <w:rPr>
          <w:lang w:val="en-CA"/>
        </w:rPr>
        <w:t xml:space="preserve">v. </w:t>
      </w:r>
      <w:r w:rsidRPr="00D93274">
        <w:rPr>
          <w:i/>
          <w:iCs/>
          <w:lang w:val="en-CA"/>
        </w:rPr>
        <w:t>Peterkin</w:t>
      </w:r>
      <w:r w:rsidRPr="00D93274">
        <w:rPr>
          <w:lang w:val="en-CA"/>
        </w:rPr>
        <w:t xml:space="preserve"> (2015), 319 C.C.C. (3d) 191 (Ont.</w:t>
      </w:r>
      <w:r>
        <w:rPr>
          <w:lang w:val="en-CA"/>
        </w:rPr>
        <w:t>C.A.</w:t>
      </w:r>
      <w:r w:rsidRPr="00D93274">
        <w:rPr>
          <w:lang w:val="en-CA"/>
        </w:rPr>
        <w:t>)</w:t>
      </w:r>
      <w:bookmarkEnd w:id="19"/>
      <w:r w:rsidRPr="00D93274">
        <w:rPr>
          <w:lang w:val="en-CA"/>
        </w:rPr>
        <w:t xml:space="preserve"> at para</w:t>
      </w:r>
      <w:r>
        <w:rPr>
          <w:lang w:val="en-CA"/>
        </w:rPr>
        <w:t>s. 44, 53, 54.</w:t>
      </w:r>
    </w:p>
  </w:footnote>
  <w:footnote w:id="40">
    <w:p w14:paraId="2E4EC4F0" w14:textId="77777777" w:rsidR="00072BDD" w:rsidRPr="00A17991" w:rsidRDefault="00072BDD">
      <w:pPr>
        <w:pStyle w:val="Notedebasdepage"/>
        <w:rPr>
          <w:lang w:val="en-CA"/>
        </w:rPr>
      </w:pPr>
      <w:r>
        <w:rPr>
          <w:rStyle w:val="Appelnotedebasdep"/>
        </w:rPr>
        <w:footnoteRef/>
      </w:r>
      <w:r w:rsidRPr="00A17991">
        <w:rPr>
          <w:lang w:val="en-CA"/>
        </w:rPr>
        <w:t xml:space="preserve"> </w:t>
      </w:r>
      <w:r w:rsidRPr="00A17991">
        <w:rPr>
          <w:lang w:val="en-CA"/>
        </w:rPr>
        <w:tab/>
      </w:r>
      <w:r w:rsidRPr="00A17991">
        <w:rPr>
          <w:i/>
          <w:iCs/>
          <w:lang w:val="en-CA"/>
        </w:rPr>
        <w:t xml:space="preserve">R. </w:t>
      </w:r>
      <w:r w:rsidRPr="00A17991">
        <w:rPr>
          <w:lang w:val="en-CA"/>
        </w:rPr>
        <w:t xml:space="preserve">c. </w:t>
      </w:r>
      <w:r w:rsidRPr="00A17991">
        <w:rPr>
          <w:i/>
          <w:iCs/>
          <w:lang w:val="en-CA"/>
        </w:rPr>
        <w:t>Legoute</w:t>
      </w:r>
      <w:r w:rsidRPr="00A17991">
        <w:rPr>
          <w:lang w:val="en-CA"/>
        </w:rPr>
        <w:t>, 2022 QCCA 323 at para. 46.</w:t>
      </w:r>
    </w:p>
  </w:footnote>
  <w:footnote w:id="41">
    <w:p w14:paraId="1EE5FE83" w14:textId="77777777" w:rsidR="00724F4B" w:rsidRPr="00724F4B" w:rsidRDefault="00724F4B">
      <w:pPr>
        <w:pStyle w:val="Notedebasdepage"/>
        <w:rPr>
          <w:lang w:val="en-CA"/>
        </w:rPr>
      </w:pPr>
      <w:r>
        <w:rPr>
          <w:rStyle w:val="Appelnotedebasdep"/>
        </w:rPr>
        <w:footnoteRef/>
      </w:r>
      <w:r w:rsidRPr="00724F4B">
        <w:rPr>
          <w:lang w:val="en-CA"/>
        </w:rPr>
        <w:t xml:space="preserve"> </w:t>
      </w:r>
      <w:r w:rsidRPr="00724F4B">
        <w:rPr>
          <w:lang w:val="en-CA"/>
        </w:rPr>
        <w:tab/>
      </w:r>
      <w:r>
        <w:rPr>
          <w:i/>
          <w:iCs/>
          <w:lang w:val="en-CA"/>
        </w:rPr>
        <w:t xml:space="preserve">R. </w:t>
      </w:r>
      <w:r>
        <w:rPr>
          <w:lang w:val="en-CA"/>
        </w:rPr>
        <w:t xml:space="preserve">v. </w:t>
      </w:r>
      <w:r>
        <w:rPr>
          <w:i/>
          <w:iCs/>
          <w:lang w:val="en-CA"/>
        </w:rPr>
        <w:t>MacDonald</w:t>
      </w:r>
      <w:r>
        <w:rPr>
          <w:lang w:val="en-CA"/>
        </w:rPr>
        <w:t>, [2014] 1 S.C.R. 37.</w:t>
      </w:r>
    </w:p>
  </w:footnote>
  <w:footnote w:id="42">
    <w:p w14:paraId="78619A77" w14:textId="77777777" w:rsidR="00724F4B" w:rsidRPr="00724F4B" w:rsidRDefault="00724F4B">
      <w:pPr>
        <w:pStyle w:val="Notedebasdepage"/>
        <w:rPr>
          <w:lang w:val="en-CA"/>
        </w:rPr>
      </w:pPr>
      <w:r>
        <w:rPr>
          <w:rStyle w:val="Appelnotedebasdep"/>
        </w:rPr>
        <w:footnoteRef/>
      </w:r>
      <w:r w:rsidRPr="00724F4B">
        <w:rPr>
          <w:lang w:val="en-CA"/>
        </w:rPr>
        <w:t xml:space="preserve"> </w:t>
      </w:r>
      <w:r w:rsidRPr="00724F4B">
        <w:rPr>
          <w:lang w:val="en-CA"/>
        </w:rPr>
        <w:tab/>
      </w:r>
      <w:r>
        <w:rPr>
          <w:lang w:val="en-CA"/>
        </w:rPr>
        <w:t>See paras. 41, 44.</w:t>
      </w:r>
    </w:p>
  </w:footnote>
  <w:footnote w:id="43">
    <w:p w14:paraId="536FADE2" w14:textId="77777777" w:rsidR="00191052" w:rsidRPr="00191052" w:rsidRDefault="00191052">
      <w:pPr>
        <w:pStyle w:val="Notedebasdepage"/>
        <w:rPr>
          <w:lang w:val="en-CA"/>
        </w:rPr>
      </w:pPr>
      <w:r>
        <w:rPr>
          <w:rStyle w:val="Appelnotedebasdep"/>
        </w:rPr>
        <w:footnoteRef/>
      </w:r>
      <w:r w:rsidRPr="00191052">
        <w:rPr>
          <w:lang w:val="en-CA"/>
        </w:rPr>
        <w:t xml:space="preserve"> </w:t>
      </w:r>
      <w:r w:rsidRPr="00191052">
        <w:rPr>
          <w:lang w:val="en-CA"/>
        </w:rPr>
        <w:tab/>
      </w:r>
      <w:r w:rsidR="0045642E">
        <w:rPr>
          <w:i/>
          <w:iCs/>
          <w:lang w:val="en-CA"/>
        </w:rPr>
        <w:t xml:space="preserve">R. </w:t>
      </w:r>
      <w:r w:rsidR="0045642E">
        <w:rPr>
          <w:lang w:val="en-CA"/>
        </w:rPr>
        <w:t xml:space="preserve">v. </w:t>
      </w:r>
      <w:r w:rsidR="0045642E">
        <w:rPr>
          <w:i/>
          <w:iCs/>
          <w:lang w:val="en-CA"/>
        </w:rPr>
        <w:t>Smith</w:t>
      </w:r>
      <w:r w:rsidR="0045642E">
        <w:rPr>
          <w:lang w:val="en-CA"/>
        </w:rPr>
        <w:t xml:space="preserve"> (2019), 383 C.C.C. (3d) 73 (Sask.C.A.) at paras. 13-15; </w:t>
      </w:r>
      <w:r w:rsidR="0045642E" w:rsidRPr="00891A4F">
        <w:rPr>
          <w:i/>
          <w:iCs/>
          <w:lang w:val="en-CA"/>
        </w:rPr>
        <w:t xml:space="preserve">R. </w:t>
      </w:r>
      <w:r w:rsidR="0045642E" w:rsidRPr="00891A4F">
        <w:rPr>
          <w:lang w:val="en-CA"/>
        </w:rPr>
        <w:t xml:space="preserve">v. </w:t>
      </w:r>
      <w:r w:rsidR="0045642E" w:rsidRPr="00891A4F">
        <w:rPr>
          <w:i/>
          <w:iCs/>
          <w:lang w:val="en-CA"/>
        </w:rPr>
        <w:t>Webber</w:t>
      </w:r>
      <w:r w:rsidR="0045642E" w:rsidRPr="00891A4F">
        <w:rPr>
          <w:lang w:val="en-CA"/>
        </w:rPr>
        <w:t xml:space="preserve"> (2019), 377 C.C.C. (3d) 1 (</w:t>
      </w:r>
      <w:r w:rsidR="0045642E">
        <w:rPr>
          <w:lang w:val="en-CA"/>
        </w:rPr>
        <w:t>B.C.C.A.</w:t>
      </w:r>
      <w:r w:rsidR="0045642E" w:rsidRPr="00891A4F">
        <w:rPr>
          <w:lang w:val="en-CA"/>
        </w:rPr>
        <w:t xml:space="preserve">) </w:t>
      </w:r>
      <w:r w:rsidR="0045642E">
        <w:rPr>
          <w:lang w:val="en-CA"/>
        </w:rPr>
        <w:t xml:space="preserve">at paras. 53-61. </w:t>
      </w:r>
      <w:r>
        <w:rPr>
          <w:lang w:val="en-CA"/>
        </w:rPr>
        <w:t xml:space="preserve">In the following cases, the Court </w:t>
      </w:r>
      <w:r w:rsidR="00911FD9">
        <w:rPr>
          <w:lang w:val="en-CA"/>
        </w:rPr>
        <w:t xml:space="preserve">also </w:t>
      </w:r>
      <w:r w:rsidR="0045642E">
        <w:rPr>
          <w:lang w:val="en-CA"/>
        </w:rPr>
        <w:t xml:space="preserve">suggested that </w:t>
      </w:r>
      <w:r w:rsidR="0045642E">
        <w:rPr>
          <w:i/>
          <w:iCs/>
          <w:lang w:val="en-CA"/>
        </w:rPr>
        <w:t>MacDonald</w:t>
      </w:r>
      <w:r w:rsidR="0045642E">
        <w:rPr>
          <w:lang w:val="en-CA"/>
        </w:rPr>
        <w:t xml:space="preserve"> was limited to </w:t>
      </w:r>
      <w:r w:rsidR="00911FD9">
        <w:rPr>
          <w:lang w:val="en-CA"/>
        </w:rPr>
        <w:t>its</w:t>
      </w:r>
      <w:r w:rsidR="0045642E">
        <w:rPr>
          <w:lang w:val="en-CA"/>
        </w:rPr>
        <w:t xml:space="preserve"> specific context, but</w:t>
      </w:r>
      <w:r>
        <w:rPr>
          <w:lang w:val="en-CA"/>
        </w:rPr>
        <w:t xml:space="preserve"> did not </w:t>
      </w:r>
      <w:r w:rsidR="0045642E">
        <w:rPr>
          <w:lang w:val="en-CA"/>
        </w:rPr>
        <w:t>firmly</w:t>
      </w:r>
      <w:r>
        <w:rPr>
          <w:lang w:val="en-CA"/>
        </w:rPr>
        <w:t xml:space="preserve"> decide </w:t>
      </w:r>
      <w:r w:rsidR="0045642E">
        <w:rPr>
          <w:lang w:val="en-CA"/>
        </w:rPr>
        <w:t>the issue</w:t>
      </w:r>
      <w:r>
        <w:rPr>
          <w:lang w:val="en-CA"/>
        </w:rPr>
        <w:t>, since the police’s search met the higher standard anyway:</w:t>
      </w:r>
      <w:r w:rsidR="001B6749">
        <w:rPr>
          <w:lang w:val="en-CA"/>
        </w:rPr>
        <w:t xml:space="preserve"> </w:t>
      </w:r>
      <w:r w:rsidR="001B6749">
        <w:rPr>
          <w:i/>
          <w:iCs/>
          <w:lang w:val="en-CA"/>
        </w:rPr>
        <w:t xml:space="preserve">R. </w:t>
      </w:r>
      <w:r w:rsidR="001B6749">
        <w:rPr>
          <w:lang w:val="en-CA"/>
        </w:rPr>
        <w:t xml:space="preserve">v. </w:t>
      </w:r>
      <w:r w:rsidR="001B6749">
        <w:rPr>
          <w:i/>
          <w:iCs/>
          <w:lang w:val="en-CA"/>
        </w:rPr>
        <w:t>Buakasa</w:t>
      </w:r>
      <w:r w:rsidR="001B6749">
        <w:rPr>
          <w:lang w:val="en-CA"/>
        </w:rPr>
        <w:t xml:space="preserve"> (2023), 426 C.C.C. (3d) 279 (Ont.C.A.) at paras. 39-43;</w:t>
      </w:r>
      <w:r>
        <w:rPr>
          <w:lang w:val="en-CA"/>
        </w:rPr>
        <w:t xml:space="preserve"> </w:t>
      </w:r>
      <w:r>
        <w:rPr>
          <w:i/>
          <w:iCs/>
          <w:lang w:val="en-CA"/>
        </w:rPr>
        <w:t xml:space="preserve">R. </w:t>
      </w:r>
      <w:r>
        <w:rPr>
          <w:lang w:val="en-CA"/>
        </w:rPr>
        <w:t xml:space="preserve">v. </w:t>
      </w:r>
      <w:r>
        <w:rPr>
          <w:i/>
          <w:iCs/>
          <w:lang w:val="en-CA"/>
        </w:rPr>
        <w:t>Sheck</w:t>
      </w:r>
      <w:r>
        <w:rPr>
          <w:lang w:val="en-CA"/>
        </w:rPr>
        <w:t xml:space="preserve"> (2015), 332 C.C.C. (3d) 199 (B.C.C.A.) at paras. 56-61, leave to appeal denied, [2016] S.C.C.A. No. 50</w:t>
      </w:r>
      <w:r w:rsidR="0045642E">
        <w:rPr>
          <w:lang w:val="en-CA"/>
        </w:rPr>
        <w:t xml:space="preserve">; </w:t>
      </w:r>
      <w:r w:rsidR="0045642E" w:rsidRPr="00D93274">
        <w:rPr>
          <w:i/>
          <w:iCs/>
          <w:lang w:val="en-CA"/>
        </w:rPr>
        <w:t xml:space="preserve">R. </w:t>
      </w:r>
      <w:r w:rsidR="0045642E" w:rsidRPr="00D93274">
        <w:rPr>
          <w:lang w:val="en-CA"/>
        </w:rPr>
        <w:t xml:space="preserve">v. </w:t>
      </w:r>
      <w:r w:rsidR="0045642E" w:rsidRPr="00D93274">
        <w:rPr>
          <w:i/>
          <w:iCs/>
          <w:lang w:val="en-CA"/>
        </w:rPr>
        <w:t>Peterkin</w:t>
      </w:r>
      <w:r w:rsidR="0045642E" w:rsidRPr="00D93274">
        <w:rPr>
          <w:lang w:val="en-CA"/>
        </w:rPr>
        <w:t xml:space="preserve"> (2015), 319 C.C.C. (3d) 191 (Ont.</w:t>
      </w:r>
      <w:r w:rsidR="0045642E">
        <w:rPr>
          <w:lang w:val="en-CA"/>
        </w:rPr>
        <w:t>C.A.</w:t>
      </w:r>
      <w:r w:rsidR="0045642E" w:rsidRPr="00D93274">
        <w:rPr>
          <w:lang w:val="en-CA"/>
        </w:rPr>
        <w:t>) at para</w:t>
      </w:r>
      <w:r w:rsidR="0045642E">
        <w:rPr>
          <w:lang w:val="en-CA"/>
        </w:rPr>
        <w:t>. 59</w:t>
      </w:r>
      <w:r w:rsidR="002F5405">
        <w:rPr>
          <w:lang w:val="en-CA"/>
        </w:rPr>
        <w:t xml:space="preserve">; </w:t>
      </w:r>
      <w:r w:rsidR="002F5405" w:rsidRPr="000F2AA1">
        <w:rPr>
          <w:i/>
          <w:iCs/>
          <w:lang w:val="en-CA"/>
        </w:rPr>
        <w:t xml:space="preserve">R. </w:t>
      </w:r>
      <w:r w:rsidR="002F5405" w:rsidRPr="000F2AA1">
        <w:rPr>
          <w:lang w:val="en-CA"/>
        </w:rPr>
        <w:t xml:space="preserve">v. </w:t>
      </w:r>
      <w:r w:rsidR="002F5405" w:rsidRPr="000F2AA1">
        <w:rPr>
          <w:i/>
          <w:iCs/>
          <w:lang w:val="en-CA"/>
        </w:rPr>
        <w:t>McKenzie</w:t>
      </w:r>
      <w:r w:rsidR="002F5405" w:rsidRPr="000F2AA1">
        <w:rPr>
          <w:lang w:val="en-CA"/>
        </w:rPr>
        <w:t xml:space="preserve"> (2022), 77 C.R. (7th</w:t>
      </w:r>
      <w:r w:rsidR="002F5405">
        <w:rPr>
          <w:lang w:val="en-CA"/>
        </w:rPr>
        <w:t>) 313 (Man.C.A.) at paras. 38-41, leave to appeal denied, [2022] S.C.C.A. No. 64.</w:t>
      </w:r>
    </w:p>
  </w:footnote>
  <w:footnote w:id="44">
    <w:p w14:paraId="7E6E8B3E" w14:textId="77777777" w:rsidR="00B21DEC" w:rsidRPr="00B21DEC" w:rsidRDefault="00B21DEC">
      <w:pPr>
        <w:pStyle w:val="Notedebasdepage"/>
        <w:rPr>
          <w:lang w:val="en-CA"/>
        </w:rPr>
      </w:pPr>
      <w:r>
        <w:rPr>
          <w:rStyle w:val="Appelnotedebasdep"/>
        </w:rPr>
        <w:footnoteRef/>
      </w:r>
      <w:r w:rsidRPr="00B21DEC">
        <w:rPr>
          <w:lang w:val="en-CA"/>
        </w:rPr>
        <w:t xml:space="preserve"> </w:t>
      </w:r>
      <w:r w:rsidRPr="00B21DEC">
        <w:rPr>
          <w:lang w:val="en-CA"/>
        </w:rPr>
        <w:tab/>
      </w:r>
      <w:r w:rsidRPr="00B21DEC">
        <w:rPr>
          <w:i/>
          <w:iCs/>
          <w:lang w:val="en-CA"/>
        </w:rPr>
        <w:t xml:space="preserve">R. </w:t>
      </w:r>
      <w:r w:rsidRPr="00B21DEC">
        <w:rPr>
          <w:lang w:val="en-CA"/>
        </w:rPr>
        <w:t xml:space="preserve">v. </w:t>
      </w:r>
      <w:r w:rsidRPr="00B21DEC">
        <w:rPr>
          <w:i/>
          <w:iCs/>
          <w:lang w:val="en-CA"/>
        </w:rPr>
        <w:t>Dhillon</w:t>
      </w:r>
      <w:r w:rsidRPr="00B21DEC">
        <w:rPr>
          <w:lang w:val="en-CA"/>
        </w:rPr>
        <w:t xml:space="preserve"> (2023), 422 C.C.C. (3d) 330 (B.C.C.A.), leave </w:t>
      </w:r>
      <w:r>
        <w:rPr>
          <w:lang w:val="en-CA"/>
        </w:rPr>
        <w:t>to appeal denied</w:t>
      </w:r>
      <w:r w:rsidRPr="00B21DEC">
        <w:rPr>
          <w:lang w:val="en-CA"/>
        </w:rPr>
        <w:t>, [2023] S.C.C.A. No. 121</w:t>
      </w:r>
      <w:r>
        <w:rPr>
          <w:lang w:val="en-CA"/>
        </w:rPr>
        <w:t>.</w:t>
      </w:r>
    </w:p>
  </w:footnote>
  <w:footnote w:id="45">
    <w:p w14:paraId="71E0C90C" w14:textId="77777777" w:rsidR="00FF3C13" w:rsidRPr="00FF3C13" w:rsidRDefault="00FF3C13">
      <w:pPr>
        <w:pStyle w:val="Notedebasdepage"/>
        <w:rPr>
          <w:lang w:val="en-CA"/>
        </w:rPr>
      </w:pPr>
      <w:r>
        <w:rPr>
          <w:rStyle w:val="Appelnotedebasdep"/>
        </w:rPr>
        <w:footnoteRef/>
      </w:r>
      <w:r w:rsidRPr="00FF3C13">
        <w:rPr>
          <w:lang w:val="en-CA"/>
        </w:rPr>
        <w:t xml:space="preserve"> </w:t>
      </w:r>
      <w:r w:rsidRPr="00FF3C13">
        <w:rPr>
          <w:lang w:val="en-CA"/>
        </w:rPr>
        <w:tab/>
      </w:r>
      <w:r>
        <w:rPr>
          <w:i/>
          <w:iCs/>
          <w:lang w:val="en-CA"/>
        </w:rPr>
        <w:t xml:space="preserve">R. </w:t>
      </w:r>
      <w:r>
        <w:rPr>
          <w:lang w:val="en-CA"/>
        </w:rPr>
        <w:t xml:space="preserve">v. </w:t>
      </w:r>
      <w:r>
        <w:rPr>
          <w:i/>
          <w:iCs/>
          <w:lang w:val="en-CA"/>
        </w:rPr>
        <w:t>Stairs</w:t>
      </w:r>
      <w:r>
        <w:rPr>
          <w:lang w:val="en-CA"/>
        </w:rPr>
        <w:t>, 2022 SCC 11 at para. 76.</w:t>
      </w:r>
    </w:p>
  </w:footnote>
  <w:footnote w:id="46">
    <w:p w14:paraId="578DD78E" w14:textId="77777777" w:rsidR="00A36327" w:rsidRPr="00A36327" w:rsidRDefault="00A36327">
      <w:pPr>
        <w:pStyle w:val="Notedebasdepage"/>
        <w:rPr>
          <w:lang w:val="en-CA"/>
        </w:rPr>
      </w:pPr>
      <w:r>
        <w:rPr>
          <w:rStyle w:val="Appelnotedebasdep"/>
        </w:rPr>
        <w:footnoteRef/>
      </w:r>
      <w:r w:rsidRPr="00A36327">
        <w:rPr>
          <w:lang w:val="en-CA"/>
        </w:rPr>
        <w:t xml:space="preserve"> </w:t>
      </w:r>
      <w:r w:rsidRPr="00A36327">
        <w:rPr>
          <w:lang w:val="en-CA"/>
        </w:rPr>
        <w:tab/>
      </w:r>
      <w:r w:rsidRPr="00A36327">
        <w:rPr>
          <w:i/>
          <w:iCs/>
          <w:lang w:val="en-CA"/>
        </w:rPr>
        <w:t xml:space="preserve">R. </w:t>
      </w:r>
      <w:r w:rsidRPr="00A36327">
        <w:rPr>
          <w:lang w:val="en-CA"/>
        </w:rPr>
        <w:t xml:space="preserve">c. </w:t>
      </w:r>
      <w:r w:rsidRPr="00A36327">
        <w:rPr>
          <w:i/>
          <w:iCs/>
          <w:lang w:val="en-CA"/>
        </w:rPr>
        <w:t>Fadel</w:t>
      </w:r>
      <w:r w:rsidRPr="00A36327">
        <w:rPr>
          <w:lang w:val="en-CA"/>
        </w:rPr>
        <w:t xml:space="preserve"> </w:t>
      </w:r>
      <w:r w:rsidR="00417AF2" w:rsidRPr="00417AF2">
        <w:rPr>
          <w:lang w:val="en-CA"/>
        </w:rPr>
        <w:t>(2015), 22 C.R. (7th) 210 (Qu</w:t>
      </w:r>
      <w:r w:rsidR="00417AF2">
        <w:rPr>
          <w:lang w:val="en-CA"/>
        </w:rPr>
        <w:t>e</w:t>
      </w:r>
      <w:r w:rsidR="00417AF2" w:rsidRPr="00417AF2">
        <w:rPr>
          <w:lang w:val="en-CA"/>
        </w:rPr>
        <w:t>.</w:t>
      </w:r>
      <w:r w:rsidR="00417AF2">
        <w:rPr>
          <w:lang w:val="en-CA"/>
        </w:rPr>
        <w:t>C.A.</w:t>
      </w:r>
      <w:r w:rsidR="00417AF2" w:rsidRPr="00417AF2">
        <w:rPr>
          <w:lang w:val="en-CA"/>
        </w:rPr>
        <w:t>)</w:t>
      </w:r>
      <w:r w:rsidRPr="00A36327">
        <w:rPr>
          <w:lang w:val="en-CA"/>
        </w:rPr>
        <w:t xml:space="preserve"> a</w:t>
      </w:r>
      <w:r>
        <w:rPr>
          <w:lang w:val="en-CA"/>
        </w:rPr>
        <w:t>t para. 41.</w:t>
      </w:r>
    </w:p>
  </w:footnote>
  <w:footnote w:id="47">
    <w:p w14:paraId="779348B6" w14:textId="77777777" w:rsidR="00891A4F" w:rsidRPr="00F068BE" w:rsidRDefault="00891A4F">
      <w:pPr>
        <w:pStyle w:val="Notedebasdepage"/>
        <w:rPr>
          <w:iCs/>
        </w:rPr>
      </w:pPr>
      <w:r>
        <w:rPr>
          <w:rStyle w:val="Appelnotedebasdep"/>
        </w:rPr>
        <w:footnoteRef/>
      </w:r>
      <w:r w:rsidRPr="00891A4F">
        <w:rPr>
          <w:lang w:val="en-CA"/>
        </w:rPr>
        <w:t xml:space="preserve"> </w:t>
      </w:r>
      <w:r w:rsidRPr="00891A4F">
        <w:rPr>
          <w:lang w:val="en-CA"/>
        </w:rPr>
        <w:tab/>
      </w:r>
      <w:r w:rsidRPr="00891A4F">
        <w:rPr>
          <w:i/>
          <w:iCs/>
          <w:lang w:val="en-CA"/>
        </w:rPr>
        <w:t xml:space="preserve">R. </w:t>
      </w:r>
      <w:r w:rsidRPr="00891A4F">
        <w:rPr>
          <w:lang w:val="en-CA"/>
        </w:rPr>
        <w:t>c</w:t>
      </w:r>
      <w:r>
        <w:rPr>
          <w:lang w:val="en-CA"/>
        </w:rPr>
        <w:t xml:space="preserve">. </w:t>
      </w:r>
      <w:r>
        <w:rPr>
          <w:i/>
          <w:iCs/>
          <w:lang w:val="en-CA"/>
        </w:rPr>
        <w:t>Fadel</w:t>
      </w:r>
      <w:r>
        <w:rPr>
          <w:lang w:val="en-CA"/>
        </w:rPr>
        <w:t xml:space="preserve">, </w:t>
      </w:r>
      <w:r>
        <w:rPr>
          <w:i/>
          <w:iCs/>
          <w:lang w:val="en-CA"/>
        </w:rPr>
        <w:t>supra</w:t>
      </w:r>
      <w:r>
        <w:rPr>
          <w:iCs/>
          <w:lang w:val="en-CA"/>
        </w:rPr>
        <w:t xml:space="preserve">, at para. </w:t>
      </w:r>
      <w:r w:rsidRPr="00F068BE">
        <w:rPr>
          <w:iCs/>
        </w:rPr>
        <w:t>10.</w:t>
      </w:r>
    </w:p>
  </w:footnote>
  <w:footnote w:id="48">
    <w:p w14:paraId="68595E0F" w14:textId="77777777" w:rsidR="00D412D1" w:rsidRPr="00D412D1" w:rsidRDefault="00D412D1">
      <w:pPr>
        <w:pStyle w:val="Notedebasdepage"/>
        <w:rPr>
          <w:lang w:val="en-CA"/>
        </w:rPr>
      </w:pPr>
      <w:r>
        <w:rPr>
          <w:rStyle w:val="Appelnotedebasdep"/>
        </w:rPr>
        <w:footnoteRef/>
      </w:r>
      <w:r w:rsidRPr="00F068BE">
        <w:t xml:space="preserve"> </w:t>
      </w:r>
      <w:r w:rsidRPr="00F068BE">
        <w:tab/>
      </w:r>
      <w:bookmarkStart w:id="22" w:name="_Hlk162386835"/>
      <w:bookmarkStart w:id="23" w:name="_Hlk162384650"/>
      <w:r w:rsidR="00710CE7" w:rsidRPr="00F068BE">
        <w:rPr>
          <w:i/>
          <w:iCs/>
        </w:rPr>
        <w:t xml:space="preserve">R. </w:t>
      </w:r>
      <w:r w:rsidR="00710CE7" w:rsidRPr="00F068BE">
        <w:t xml:space="preserve">c. </w:t>
      </w:r>
      <w:r w:rsidR="00710CE7" w:rsidRPr="00F068BE">
        <w:rPr>
          <w:i/>
          <w:iCs/>
        </w:rPr>
        <w:t>Legoute</w:t>
      </w:r>
      <w:r w:rsidR="00710CE7" w:rsidRPr="00F068BE">
        <w:t>, 2022 QCCA 323 at para. 35</w:t>
      </w:r>
      <w:bookmarkEnd w:id="22"/>
      <w:r w:rsidR="00710CE7" w:rsidRPr="00F068BE">
        <w:t xml:space="preserve">; </w:t>
      </w:r>
      <w:r w:rsidRPr="00F068BE">
        <w:rPr>
          <w:i/>
          <w:iCs/>
        </w:rPr>
        <w:t xml:space="preserve">R. </w:t>
      </w:r>
      <w:r w:rsidRPr="00F068BE">
        <w:t xml:space="preserve">v. </w:t>
      </w:r>
      <w:r w:rsidRPr="00F068BE">
        <w:rPr>
          <w:i/>
          <w:iCs/>
        </w:rPr>
        <w:t>Plummer</w:t>
      </w:r>
      <w:r w:rsidRPr="00F068BE">
        <w:t xml:space="preserve"> (2011), 272 C.C.C. (3d) 172 (Ont.C.A.) at paras. 5, 22</w:t>
      </w:r>
      <w:bookmarkEnd w:id="23"/>
      <w:r w:rsidRPr="00F068BE">
        <w:t>-23</w:t>
      </w:r>
      <w:r w:rsidR="006B6654" w:rsidRPr="00F068BE">
        <w:t xml:space="preserve">; </w:t>
      </w:r>
      <w:bookmarkStart w:id="24" w:name="_Hlk162387212"/>
      <w:r w:rsidR="006B6654" w:rsidRPr="00F068BE">
        <w:rPr>
          <w:i/>
          <w:iCs/>
        </w:rPr>
        <w:t xml:space="preserve">R. </w:t>
      </w:r>
      <w:r w:rsidR="006B6654" w:rsidRPr="00F068BE">
        <w:t xml:space="preserve">v. </w:t>
      </w:r>
      <w:r w:rsidR="006B6654" w:rsidRPr="00F068BE">
        <w:rPr>
          <w:i/>
          <w:iCs/>
        </w:rPr>
        <w:t>Dhillon</w:t>
      </w:r>
      <w:r w:rsidR="006B6654" w:rsidRPr="00F068BE">
        <w:t xml:space="preserve"> (2023), 422 C.C.C. (3d) 330 (B.C.C.A.) at paras. </w:t>
      </w:r>
      <w:r w:rsidR="006B6654">
        <w:rPr>
          <w:lang w:val="en-CA"/>
        </w:rPr>
        <w:t>7, 9</w:t>
      </w:r>
      <w:r w:rsidR="006B6654" w:rsidRPr="00B21DEC">
        <w:rPr>
          <w:lang w:val="en-CA"/>
        </w:rPr>
        <w:t xml:space="preserve">, leave </w:t>
      </w:r>
      <w:r w:rsidR="006B6654">
        <w:rPr>
          <w:lang w:val="en-CA"/>
        </w:rPr>
        <w:t>to appeal denied</w:t>
      </w:r>
      <w:r w:rsidR="006B6654" w:rsidRPr="00B21DEC">
        <w:rPr>
          <w:lang w:val="en-CA"/>
        </w:rPr>
        <w:t>, [2023] S.C.C.A. No. 121</w:t>
      </w:r>
      <w:bookmarkEnd w:id="24"/>
      <w:r w:rsidR="006B6654">
        <w:rPr>
          <w:lang w:val="en-CA"/>
        </w:rPr>
        <w:t>.</w:t>
      </w:r>
    </w:p>
  </w:footnote>
  <w:footnote w:id="49">
    <w:p w14:paraId="477A4DAD" w14:textId="77777777" w:rsidR="00FC1CCE" w:rsidRPr="00FC1CCE" w:rsidRDefault="00FC1CCE">
      <w:pPr>
        <w:pStyle w:val="Notedebasdepage"/>
        <w:rPr>
          <w:lang w:val="en-CA"/>
        </w:rPr>
      </w:pPr>
      <w:r>
        <w:rPr>
          <w:rStyle w:val="Appelnotedebasdep"/>
        </w:rPr>
        <w:footnoteRef/>
      </w:r>
      <w:r w:rsidRPr="00FC1CCE">
        <w:rPr>
          <w:lang w:val="en-CA"/>
        </w:rPr>
        <w:t xml:space="preserve"> </w:t>
      </w:r>
      <w:r>
        <w:rPr>
          <w:lang w:val="en-CA"/>
        </w:rPr>
        <w:tab/>
      </w:r>
      <w:r w:rsidR="00D412D1" w:rsidRPr="00891A4F">
        <w:rPr>
          <w:i/>
          <w:iCs/>
          <w:lang w:val="en-CA"/>
        </w:rPr>
        <w:t xml:space="preserve">R. </w:t>
      </w:r>
      <w:r w:rsidR="00D412D1" w:rsidRPr="00891A4F">
        <w:rPr>
          <w:lang w:val="en-CA"/>
        </w:rPr>
        <w:t>c</w:t>
      </w:r>
      <w:r w:rsidR="00D412D1">
        <w:rPr>
          <w:lang w:val="en-CA"/>
        </w:rPr>
        <w:t xml:space="preserve">. </w:t>
      </w:r>
      <w:r w:rsidR="00D412D1">
        <w:rPr>
          <w:i/>
          <w:iCs/>
          <w:lang w:val="en-CA"/>
        </w:rPr>
        <w:t>Fadel</w:t>
      </w:r>
      <w:r w:rsidR="00D412D1">
        <w:rPr>
          <w:lang w:val="en-CA"/>
        </w:rPr>
        <w:t xml:space="preserve">, </w:t>
      </w:r>
      <w:r w:rsidR="00D412D1">
        <w:rPr>
          <w:i/>
          <w:iCs/>
          <w:lang w:val="en-CA"/>
        </w:rPr>
        <w:t>supra</w:t>
      </w:r>
      <w:r w:rsidR="00D412D1">
        <w:rPr>
          <w:iCs/>
          <w:lang w:val="en-CA"/>
        </w:rPr>
        <w:t>, at para. 10</w:t>
      </w:r>
      <w:r>
        <w:rPr>
          <w:lang w:val="en-CA"/>
        </w:rPr>
        <w:t>.</w:t>
      </w:r>
    </w:p>
  </w:footnote>
  <w:footnote w:id="50">
    <w:p w14:paraId="3A02B2BA" w14:textId="77777777" w:rsidR="00836563" w:rsidRPr="00836563" w:rsidRDefault="00836563">
      <w:pPr>
        <w:pStyle w:val="Notedebasdepage"/>
        <w:rPr>
          <w:lang w:val="en-CA"/>
        </w:rPr>
      </w:pPr>
      <w:r>
        <w:rPr>
          <w:rStyle w:val="Appelnotedebasdep"/>
        </w:rPr>
        <w:footnoteRef/>
      </w:r>
      <w:r w:rsidRPr="00836563">
        <w:rPr>
          <w:lang w:val="en-CA"/>
        </w:rPr>
        <w:t xml:space="preserve"> </w:t>
      </w:r>
      <w:r w:rsidRPr="00836563">
        <w:rPr>
          <w:lang w:val="en-CA"/>
        </w:rPr>
        <w:tab/>
      </w:r>
      <w:r w:rsidRPr="00836563">
        <w:rPr>
          <w:i/>
          <w:iCs/>
          <w:lang w:val="en-CA"/>
        </w:rPr>
        <w:t xml:space="preserve">R. </w:t>
      </w:r>
      <w:r w:rsidRPr="00836563">
        <w:rPr>
          <w:lang w:val="en-CA"/>
        </w:rPr>
        <w:t xml:space="preserve">c. </w:t>
      </w:r>
      <w:r w:rsidRPr="00836563">
        <w:rPr>
          <w:i/>
          <w:iCs/>
          <w:lang w:val="en-CA"/>
        </w:rPr>
        <w:t>Legoute</w:t>
      </w:r>
      <w:r w:rsidRPr="00836563">
        <w:rPr>
          <w:lang w:val="en-CA"/>
        </w:rPr>
        <w:t>, 2022 QCCA 323 at para. 3</w:t>
      </w:r>
      <w:r>
        <w:rPr>
          <w:lang w:val="en-CA"/>
        </w:rPr>
        <w:t>6.</w:t>
      </w:r>
    </w:p>
  </w:footnote>
  <w:footnote w:id="51">
    <w:p w14:paraId="148F4AFC" w14:textId="77777777" w:rsidR="002E063A" w:rsidRPr="00F234F7" w:rsidRDefault="002E063A" w:rsidP="002E063A">
      <w:pPr>
        <w:pStyle w:val="Notedebasdepage"/>
        <w:rPr>
          <w:lang w:val="en-CA"/>
        </w:rPr>
      </w:pPr>
      <w:r>
        <w:rPr>
          <w:rStyle w:val="Appelnotedebasdep"/>
        </w:rPr>
        <w:footnoteRef/>
      </w:r>
      <w:r w:rsidRPr="00A515BD">
        <w:rPr>
          <w:lang w:val="en-CA"/>
        </w:rPr>
        <w:t xml:space="preserve"> </w:t>
      </w:r>
      <w:r>
        <w:rPr>
          <w:lang w:val="en-CA"/>
        </w:rPr>
        <w:tab/>
      </w:r>
      <w:r>
        <w:rPr>
          <w:i/>
          <w:iCs/>
          <w:lang w:val="en-CA"/>
        </w:rPr>
        <w:t xml:space="preserve">R. </w:t>
      </w:r>
      <w:r>
        <w:rPr>
          <w:lang w:val="en-CA"/>
        </w:rPr>
        <w:t xml:space="preserve">v. </w:t>
      </w:r>
      <w:r>
        <w:rPr>
          <w:i/>
          <w:iCs/>
          <w:lang w:val="en-CA"/>
        </w:rPr>
        <w:t>Wilkinson</w:t>
      </w:r>
      <w:r>
        <w:rPr>
          <w:lang w:val="en-CA"/>
        </w:rPr>
        <w:t xml:space="preserve"> (2023), 421 C.C.C. (3d) 518 (B.C.C.A.) at para. </w:t>
      </w:r>
      <w:r w:rsidRPr="00F068BE">
        <w:rPr>
          <w:lang w:val="en-CA"/>
        </w:rPr>
        <w:t xml:space="preserve">55; </w:t>
      </w:r>
      <w:r w:rsidRPr="00F068BE">
        <w:rPr>
          <w:i/>
          <w:iCs/>
          <w:lang w:val="en-CA"/>
        </w:rPr>
        <w:t xml:space="preserve">R. </w:t>
      </w:r>
      <w:r w:rsidRPr="00F068BE">
        <w:rPr>
          <w:lang w:val="en-CA"/>
        </w:rPr>
        <w:t xml:space="preserve">v. </w:t>
      </w:r>
      <w:r w:rsidRPr="00F068BE">
        <w:rPr>
          <w:i/>
          <w:iCs/>
          <w:lang w:val="en-CA"/>
        </w:rPr>
        <w:t>Nesbeth</w:t>
      </w:r>
      <w:r w:rsidRPr="00F068BE">
        <w:rPr>
          <w:lang w:val="en-CA"/>
        </w:rPr>
        <w:t xml:space="preserve"> (2008), 238 C.C.C. (3d) 567 (Ont.C.A.) at para. </w:t>
      </w:r>
      <w:r w:rsidRPr="00F234F7">
        <w:rPr>
          <w:lang w:val="en-CA"/>
        </w:rPr>
        <w:t>17, leave to appeal denied, [2009] S.C.C.A. No. 10</w:t>
      </w:r>
      <w:r>
        <w:rPr>
          <w:lang w:val="en-CA"/>
        </w:rPr>
        <w:t xml:space="preserve">; </w:t>
      </w:r>
      <w:r w:rsidRPr="00F234F7">
        <w:rPr>
          <w:i/>
          <w:iCs/>
          <w:lang w:val="en-CA"/>
        </w:rPr>
        <w:t xml:space="preserve">R. </w:t>
      </w:r>
      <w:r w:rsidRPr="00F234F7">
        <w:rPr>
          <w:lang w:val="en-CA"/>
        </w:rPr>
        <w:t xml:space="preserve">v. </w:t>
      </w:r>
      <w:r w:rsidRPr="00F234F7">
        <w:rPr>
          <w:i/>
          <w:iCs/>
          <w:lang w:val="en-CA"/>
        </w:rPr>
        <w:t>Atkins</w:t>
      </w:r>
      <w:r w:rsidRPr="00F234F7">
        <w:rPr>
          <w:lang w:val="en-CA"/>
        </w:rPr>
        <w:t xml:space="preserve"> (2013), 294 C.R.R. (2d) 33 (Ont.C.A.) at paras. </w:t>
      </w:r>
      <w:r w:rsidRPr="006B6654">
        <w:rPr>
          <w:lang w:val="en-CA"/>
        </w:rPr>
        <w:t>4, 7, 14</w:t>
      </w:r>
      <w:r>
        <w:rPr>
          <w:lang w:val="en-CA"/>
        </w:rPr>
        <w:t xml:space="preserve">; </w:t>
      </w:r>
      <w:r w:rsidRPr="00B31C1C">
        <w:rPr>
          <w:i/>
          <w:iCs/>
          <w:lang w:val="en-CA"/>
        </w:rPr>
        <w:t xml:space="preserve">R. </w:t>
      </w:r>
      <w:r w:rsidRPr="00B31C1C">
        <w:rPr>
          <w:lang w:val="en-CA"/>
        </w:rPr>
        <w:t xml:space="preserve">v. </w:t>
      </w:r>
      <w:r w:rsidRPr="00B31C1C">
        <w:rPr>
          <w:i/>
          <w:iCs/>
          <w:lang w:val="en-CA"/>
        </w:rPr>
        <w:t xml:space="preserve">Williams </w:t>
      </w:r>
      <w:r w:rsidRPr="00B31C1C">
        <w:rPr>
          <w:lang w:val="en-CA"/>
        </w:rPr>
        <w:t>(2013), 297 C.R.R. (2d) 292 (Ont.</w:t>
      </w:r>
      <w:r>
        <w:rPr>
          <w:lang w:val="en-CA"/>
        </w:rPr>
        <w:t>C.A.</w:t>
      </w:r>
      <w:r w:rsidRPr="00B31C1C">
        <w:rPr>
          <w:lang w:val="en-CA"/>
        </w:rPr>
        <w:t>) at para</w:t>
      </w:r>
      <w:r>
        <w:rPr>
          <w:lang w:val="en-CA"/>
        </w:rPr>
        <w:t>. 25.</w:t>
      </w:r>
    </w:p>
  </w:footnote>
  <w:footnote w:id="52">
    <w:p w14:paraId="583C6EFA" w14:textId="77777777" w:rsidR="00836563" w:rsidRPr="006B6654" w:rsidRDefault="00836563">
      <w:pPr>
        <w:pStyle w:val="Notedebasdepage"/>
        <w:rPr>
          <w:lang w:val="en-CA"/>
        </w:rPr>
      </w:pPr>
      <w:r>
        <w:rPr>
          <w:rStyle w:val="Appelnotedebasdep"/>
        </w:rPr>
        <w:footnoteRef/>
      </w:r>
      <w:r w:rsidRPr="006B6654">
        <w:rPr>
          <w:lang w:val="en-CA"/>
        </w:rPr>
        <w:t xml:space="preserve"> </w:t>
      </w:r>
      <w:r w:rsidRPr="006B6654">
        <w:rPr>
          <w:lang w:val="en-CA"/>
        </w:rPr>
        <w:tab/>
      </w:r>
      <w:r w:rsidRPr="006B6654">
        <w:rPr>
          <w:i/>
          <w:iCs/>
          <w:lang w:val="en-CA"/>
        </w:rPr>
        <w:t xml:space="preserve">R. </w:t>
      </w:r>
      <w:r w:rsidRPr="006B6654">
        <w:rPr>
          <w:lang w:val="en-CA"/>
        </w:rPr>
        <w:t xml:space="preserve">v. </w:t>
      </w:r>
      <w:r w:rsidRPr="006B6654">
        <w:rPr>
          <w:i/>
          <w:iCs/>
          <w:lang w:val="en-CA"/>
        </w:rPr>
        <w:t>Dene</w:t>
      </w:r>
      <w:r w:rsidRPr="006B6654">
        <w:rPr>
          <w:lang w:val="en-CA"/>
        </w:rPr>
        <w:t xml:space="preserve">, 2010 ONCA 796 at para. </w:t>
      </w:r>
      <w:r w:rsidRPr="00F068BE">
        <w:rPr>
          <w:lang w:val="en-CA"/>
        </w:rPr>
        <w:t>4</w:t>
      </w:r>
      <w:r w:rsidR="006B6654" w:rsidRPr="00F068BE">
        <w:rPr>
          <w:lang w:val="en-CA"/>
        </w:rPr>
        <w:t xml:space="preserve">; </w:t>
      </w:r>
      <w:r w:rsidR="006B6654" w:rsidRPr="00F068BE">
        <w:rPr>
          <w:i/>
          <w:iCs/>
          <w:lang w:val="en-CA"/>
        </w:rPr>
        <w:t xml:space="preserve">R. </w:t>
      </w:r>
      <w:r w:rsidR="006B6654" w:rsidRPr="00F068BE">
        <w:rPr>
          <w:lang w:val="en-CA"/>
        </w:rPr>
        <w:t xml:space="preserve">v. </w:t>
      </w:r>
      <w:r w:rsidR="006B6654" w:rsidRPr="00F068BE">
        <w:rPr>
          <w:i/>
          <w:iCs/>
          <w:lang w:val="en-CA"/>
        </w:rPr>
        <w:t>Dhillon</w:t>
      </w:r>
      <w:r w:rsidR="006B6654" w:rsidRPr="00F068BE">
        <w:rPr>
          <w:lang w:val="en-CA"/>
        </w:rPr>
        <w:t xml:space="preserve"> (2023), 422 C.C.C. (3d) 330 (B.C.C.A.) at paras. </w:t>
      </w:r>
      <w:r w:rsidR="006B6654">
        <w:rPr>
          <w:lang w:val="en-CA"/>
        </w:rPr>
        <w:t>9, 10</w:t>
      </w:r>
      <w:r w:rsidR="006B6654" w:rsidRPr="00B21DEC">
        <w:rPr>
          <w:lang w:val="en-CA"/>
        </w:rPr>
        <w:t xml:space="preserve">, leave </w:t>
      </w:r>
      <w:r w:rsidR="006B6654">
        <w:rPr>
          <w:lang w:val="en-CA"/>
        </w:rPr>
        <w:t>to appeal denied</w:t>
      </w:r>
      <w:r w:rsidR="006B6654" w:rsidRPr="00B21DEC">
        <w:rPr>
          <w:lang w:val="en-CA"/>
        </w:rPr>
        <w:t>, [2023] S.C.C.A. No. 121</w:t>
      </w:r>
      <w:r w:rsidR="006B6654">
        <w:rPr>
          <w:lang w:val="en-CA"/>
        </w:rPr>
        <w:t>.</w:t>
      </w:r>
    </w:p>
  </w:footnote>
  <w:footnote w:id="53">
    <w:p w14:paraId="217A46F6" w14:textId="77777777" w:rsidR="00DF7AE6" w:rsidRPr="00DF7AE6" w:rsidRDefault="00DF7AE6">
      <w:pPr>
        <w:pStyle w:val="Notedebasdepage"/>
        <w:rPr>
          <w:lang w:val="en-CA"/>
        </w:rPr>
      </w:pPr>
      <w:r>
        <w:rPr>
          <w:rStyle w:val="Appelnotedebasdep"/>
        </w:rPr>
        <w:footnoteRef/>
      </w:r>
      <w:r w:rsidRPr="00DF7AE6">
        <w:rPr>
          <w:lang w:val="en-CA"/>
        </w:rPr>
        <w:t xml:space="preserve"> </w:t>
      </w:r>
      <w:r>
        <w:rPr>
          <w:lang w:val="en-CA"/>
        </w:rPr>
        <w:tab/>
      </w:r>
      <w:bookmarkStart w:id="27" w:name="_Hlk162363891"/>
      <w:r>
        <w:rPr>
          <w:i/>
          <w:iCs/>
          <w:lang w:val="en-CA"/>
        </w:rPr>
        <w:t xml:space="preserve">R. </w:t>
      </w:r>
      <w:r>
        <w:rPr>
          <w:lang w:val="en-CA"/>
        </w:rPr>
        <w:t xml:space="preserve">v. </w:t>
      </w:r>
      <w:r>
        <w:rPr>
          <w:i/>
          <w:iCs/>
          <w:lang w:val="en-CA"/>
        </w:rPr>
        <w:t>Darteh</w:t>
      </w:r>
      <w:r w:rsidR="005122FA">
        <w:rPr>
          <w:lang w:val="en-CA"/>
        </w:rPr>
        <w:t>, 2016 ONCA 141 at para. 7</w:t>
      </w:r>
      <w:bookmarkEnd w:id="27"/>
      <w:r w:rsidR="009D084B">
        <w:rPr>
          <w:lang w:val="en-CA"/>
        </w:rPr>
        <w:t xml:space="preserve">; </w:t>
      </w:r>
      <w:r w:rsidR="009D084B" w:rsidRPr="00FE1D1A">
        <w:rPr>
          <w:i/>
          <w:iCs/>
          <w:lang w:val="en-CA"/>
        </w:rPr>
        <w:t xml:space="preserve">R. </w:t>
      </w:r>
      <w:r w:rsidR="009D084B" w:rsidRPr="00FE1D1A">
        <w:rPr>
          <w:lang w:val="en-CA"/>
        </w:rPr>
        <w:t xml:space="preserve">v. </w:t>
      </w:r>
      <w:r w:rsidR="009D084B" w:rsidRPr="00FE1D1A">
        <w:rPr>
          <w:i/>
          <w:iCs/>
          <w:lang w:val="en-CA"/>
        </w:rPr>
        <w:t>Greaves</w:t>
      </w:r>
      <w:r w:rsidR="009D084B" w:rsidRPr="00FE1D1A">
        <w:rPr>
          <w:lang w:val="en-CA"/>
        </w:rPr>
        <w:t xml:space="preserve"> (2004), 24 C.R. (6th) 15</w:t>
      </w:r>
      <w:r w:rsidR="009D084B">
        <w:rPr>
          <w:lang w:val="en-CA"/>
        </w:rPr>
        <w:t xml:space="preserve"> (B.C.C.A.), leave to appeal denied, [2004] S.C.C.A. No. 522</w:t>
      </w:r>
      <w:r w:rsidR="00C54FB7">
        <w:rPr>
          <w:lang w:val="en-CA"/>
        </w:rPr>
        <w:t xml:space="preserve">; </w:t>
      </w:r>
      <w:r w:rsidR="00C54FB7" w:rsidRPr="00C54FB7">
        <w:rPr>
          <w:i/>
          <w:iCs/>
          <w:lang w:val="en-CA"/>
        </w:rPr>
        <w:t xml:space="preserve">R. </w:t>
      </w:r>
      <w:r w:rsidR="00C54FB7" w:rsidRPr="00C54FB7">
        <w:rPr>
          <w:lang w:val="en-CA"/>
        </w:rPr>
        <w:t xml:space="preserve">v. </w:t>
      </w:r>
      <w:r w:rsidR="00C54FB7" w:rsidRPr="00C54FB7">
        <w:rPr>
          <w:i/>
          <w:iCs/>
          <w:lang w:val="en-CA"/>
        </w:rPr>
        <w:t>Byfield</w:t>
      </w:r>
      <w:r w:rsidR="00C54FB7" w:rsidRPr="00C54FB7">
        <w:rPr>
          <w:lang w:val="en-CA"/>
        </w:rPr>
        <w:t xml:space="preserve"> (2012), 262 C.R.R. (2d) 251 (Ont.S.C.J.) a</w:t>
      </w:r>
      <w:r w:rsidR="00C54FB7">
        <w:rPr>
          <w:lang w:val="en-CA"/>
        </w:rPr>
        <w:t>t</w:t>
      </w:r>
      <w:r w:rsidR="00C54FB7" w:rsidRPr="00C54FB7">
        <w:rPr>
          <w:lang w:val="en-CA"/>
        </w:rPr>
        <w:t xml:space="preserve"> par</w:t>
      </w:r>
      <w:r w:rsidR="00C54FB7">
        <w:rPr>
          <w:lang w:val="en-CA"/>
        </w:rPr>
        <w:t>a. 80.</w:t>
      </w:r>
    </w:p>
  </w:footnote>
  <w:footnote w:id="54">
    <w:p w14:paraId="6B01128C" w14:textId="77777777" w:rsidR="00F234F7" w:rsidRPr="00F234F7" w:rsidRDefault="00F234F7">
      <w:pPr>
        <w:pStyle w:val="Notedebasdepage"/>
        <w:rPr>
          <w:lang w:val="en-CA"/>
        </w:rPr>
      </w:pPr>
      <w:r>
        <w:rPr>
          <w:rStyle w:val="Appelnotedebasdep"/>
        </w:rPr>
        <w:footnoteRef/>
      </w:r>
      <w:r w:rsidRPr="00F234F7">
        <w:rPr>
          <w:lang w:val="en-CA"/>
        </w:rPr>
        <w:t xml:space="preserve"> </w:t>
      </w:r>
      <w:r w:rsidRPr="00F234F7">
        <w:rPr>
          <w:lang w:val="en-CA"/>
        </w:rPr>
        <w:tab/>
      </w:r>
      <w:bookmarkStart w:id="29" w:name="_Hlk162385111"/>
      <w:r w:rsidRPr="00F234F7">
        <w:rPr>
          <w:i/>
          <w:iCs/>
          <w:lang w:val="en-CA"/>
        </w:rPr>
        <w:t xml:space="preserve">R. </w:t>
      </w:r>
      <w:r w:rsidRPr="00F234F7">
        <w:rPr>
          <w:lang w:val="en-CA"/>
        </w:rPr>
        <w:t xml:space="preserve">v. </w:t>
      </w:r>
      <w:r w:rsidRPr="00F234F7">
        <w:rPr>
          <w:i/>
          <w:iCs/>
          <w:lang w:val="en-CA"/>
        </w:rPr>
        <w:t>Nesbeth</w:t>
      </w:r>
      <w:r w:rsidRPr="00F234F7">
        <w:rPr>
          <w:lang w:val="en-CA"/>
        </w:rPr>
        <w:t xml:space="preserve"> (2008), 238 C.C.C. (3d) 567 (Ont.C.A.) at para</w:t>
      </w:r>
      <w:r>
        <w:rPr>
          <w:lang w:val="en-CA"/>
        </w:rPr>
        <w:t>s</w:t>
      </w:r>
      <w:r w:rsidRPr="00F234F7">
        <w:rPr>
          <w:lang w:val="en-CA"/>
        </w:rPr>
        <w:t>. 5</w:t>
      </w:r>
      <w:r>
        <w:rPr>
          <w:lang w:val="en-CA"/>
        </w:rPr>
        <w:t>, 18</w:t>
      </w:r>
      <w:r w:rsidRPr="00F234F7">
        <w:rPr>
          <w:lang w:val="en-CA"/>
        </w:rPr>
        <w:t>, leave to appeal denied, [2009] S.C.C.A. No. 10</w:t>
      </w:r>
      <w:bookmarkEnd w:id="29"/>
      <w:r w:rsidRPr="00F234F7">
        <w:rPr>
          <w:lang w:val="en-CA"/>
        </w:rPr>
        <w:t>.</w:t>
      </w:r>
    </w:p>
  </w:footnote>
  <w:footnote w:id="55">
    <w:p w14:paraId="23317421" w14:textId="77777777" w:rsidR="00461537" w:rsidRPr="00461537" w:rsidRDefault="00461537">
      <w:pPr>
        <w:pStyle w:val="Notedebasdepage"/>
        <w:rPr>
          <w:lang w:val="en-CA"/>
        </w:rPr>
      </w:pPr>
      <w:r>
        <w:rPr>
          <w:rStyle w:val="Appelnotedebasdep"/>
        </w:rPr>
        <w:footnoteRef/>
      </w:r>
      <w:r w:rsidRPr="00461537">
        <w:rPr>
          <w:lang w:val="en-CA"/>
        </w:rPr>
        <w:t xml:space="preserve"> </w:t>
      </w:r>
      <w:r>
        <w:rPr>
          <w:lang w:val="en-CA"/>
        </w:rPr>
        <w:tab/>
      </w:r>
      <w:r w:rsidRPr="00D93274">
        <w:rPr>
          <w:i/>
          <w:iCs/>
          <w:lang w:val="en-CA"/>
        </w:rPr>
        <w:t xml:space="preserve">R. </w:t>
      </w:r>
      <w:r w:rsidRPr="00D93274">
        <w:rPr>
          <w:lang w:val="en-CA"/>
        </w:rPr>
        <w:t xml:space="preserve">v. </w:t>
      </w:r>
      <w:r w:rsidRPr="00D93274">
        <w:rPr>
          <w:i/>
          <w:iCs/>
          <w:lang w:val="en-CA"/>
        </w:rPr>
        <w:t>Peterkin</w:t>
      </w:r>
      <w:r w:rsidRPr="00D93274">
        <w:rPr>
          <w:lang w:val="en-CA"/>
        </w:rPr>
        <w:t xml:space="preserve"> (2015), 319 C.C.C. (3d) 191 (Ont.</w:t>
      </w:r>
      <w:r>
        <w:rPr>
          <w:lang w:val="en-CA"/>
        </w:rPr>
        <w:t>C.A.</w:t>
      </w:r>
      <w:r w:rsidRPr="00D93274">
        <w:rPr>
          <w:lang w:val="en-CA"/>
        </w:rPr>
        <w:t>) at para</w:t>
      </w:r>
      <w:r>
        <w:rPr>
          <w:lang w:val="en-CA"/>
        </w:rPr>
        <w:t>s</w:t>
      </w:r>
      <w:r w:rsidRPr="00D93274">
        <w:rPr>
          <w:lang w:val="en-CA"/>
        </w:rPr>
        <w:t>. 1</w:t>
      </w:r>
      <w:r>
        <w:rPr>
          <w:lang w:val="en-CA"/>
        </w:rPr>
        <w:t>8, 28.</w:t>
      </w:r>
    </w:p>
  </w:footnote>
  <w:footnote w:id="56">
    <w:p w14:paraId="3B40E5CA" w14:textId="77777777" w:rsidR="002838AC" w:rsidRPr="002838AC" w:rsidRDefault="002838AC">
      <w:pPr>
        <w:pStyle w:val="Notedebasdepage"/>
        <w:rPr>
          <w:lang w:val="en-CA"/>
        </w:rPr>
      </w:pPr>
      <w:r>
        <w:rPr>
          <w:rStyle w:val="Appelnotedebasdep"/>
        </w:rPr>
        <w:footnoteRef/>
      </w:r>
      <w:r w:rsidRPr="002838AC">
        <w:rPr>
          <w:lang w:val="en-CA"/>
        </w:rPr>
        <w:t xml:space="preserve"> </w:t>
      </w:r>
      <w:r w:rsidRPr="002838AC">
        <w:rPr>
          <w:lang w:val="en-CA"/>
        </w:rPr>
        <w:tab/>
      </w:r>
      <w:r>
        <w:rPr>
          <w:i/>
          <w:iCs/>
          <w:lang w:val="en-CA"/>
        </w:rPr>
        <w:t xml:space="preserve">R. </w:t>
      </w:r>
      <w:r>
        <w:rPr>
          <w:lang w:val="en-CA"/>
        </w:rPr>
        <w:t xml:space="preserve">v. </w:t>
      </w:r>
      <w:r>
        <w:rPr>
          <w:i/>
          <w:iCs/>
          <w:lang w:val="en-CA"/>
        </w:rPr>
        <w:t>Cadienhead</w:t>
      </w:r>
      <w:r>
        <w:rPr>
          <w:lang w:val="en-CA"/>
        </w:rPr>
        <w:t>, 2014 ONSC 5816 at para. 23</w:t>
      </w:r>
      <w:r w:rsidR="00C54FB7">
        <w:rPr>
          <w:lang w:val="en-CA"/>
        </w:rPr>
        <w:t xml:space="preserve">; </w:t>
      </w:r>
      <w:r w:rsidR="00C54FB7" w:rsidRPr="00C54FB7">
        <w:rPr>
          <w:i/>
          <w:iCs/>
          <w:lang w:val="en-CA"/>
        </w:rPr>
        <w:t xml:space="preserve">R. </w:t>
      </w:r>
      <w:r w:rsidR="00C54FB7" w:rsidRPr="00C54FB7">
        <w:rPr>
          <w:lang w:val="en-CA"/>
        </w:rPr>
        <w:t xml:space="preserve">v. </w:t>
      </w:r>
      <w:r w:rsidR="00C54FB7" w:rsidRPr="00C54FB7">
        <w:rPr>
          <w:i/>
          <w:iCs/>
          <w:lang w:val="en-CA"/>
        </w:rPr>
        <w:t>Byfield</w:t>
      </w:r>
      <w:r w:rsidR="00C54FB7" w:rsidRPr="00C54FB7">
        <w:rPr>
          <w:lang w:val="en-CA"/>
        </w:rPr>
        <w:t xml:space="preserve"> (2012), 262 C.R.R. (2d) 251 (Ont.S.C.J.) a</w:t>
      </w:r>
      <w:r w:rsidR="00C54FB7">
        <w:rPr>
          <w:lang w:val="en-CA"/>
        </w:rPr>
        <w:t>t</w:t>
      </w:r>
      <w:r w:rsidR="00C54FB7" w:rsidRPr="00C54FB7">
        <w:rPr>
          <w:lang w:val="en-CA"/>
        </w:rPr>
        <w:t xml:space="preserve"> para</w:t>
      </w:r>
      <w:r w:rsidR="00C54FB7">
        <w:rPr>
          <w:lang w:val="en-CA"/>
        </w:rPr>
        <w:t>s</w:t>
      </w:r>
      <w:r w:rsidR="00C54FB7" w:rsidRPr="00C54FB7">
        <w:rPr>
          <w:lang w:val="en-CA"/>
        </w:rPr>
        <w:t>. 14</w:t>
      </w:r>
      <w:r w:rsidR="00C54FB7">
        <w:rPr>
          <w:lang w:val="en-CA"/>
        </w:rPr>
        <w:t>, 19.</w:t>
      </w:r>
    </w:p>
  </w:footnote>
  <w:footnote w:id="57">
    <w:p w14:paraId="43BC3B04" w14:textId="77777777" w:rsidR="00A953DD" w:rsidRPr="00A953DD" w:rsidRDefault="00A953DD">
      <w:pPr>
        <w:pStyle w:val="Notedebasdepage"/>
        <w:rPr>
          <w:lang w:val="en-CA"/>
        </w:rPr>
      </w:pPr>
      <w:r>
        <w:rPr>
          <w:rStyle w:val="Appelnotedebasdep"/>
        </w:rPr>
        <w:footnoteRef/>
      </w:r>
      <w:r w:rsidRPr="00B31C1C">
        <w:rPr>
          <w:lang w:val="en-CA"/>
        </w:rPr>
        <w:t xml:space="preserve"> </w:t>
      </w:r>
      <w:r w:rsidRPr="00B31C1C">
        <w:rPr>
          <w:lang w:val="en-CA"/>
        </w:rPr>
        <w:tab/>
      </w:r>
      <w:r w:rsidR="00B31C1C" w:rsidRPr="00B31C1C">
        <w:rPr>
          <w:i/>
          <w:iCs/>
          <w:lang w:val="en-CA"/>
        </w:rPr>
        <w:t xml:space="preserve">R. </w:t>
      </w:r>
      <w:r w:rsidR="00B31C1C" w:rsidRPr="00B31C1C">
        <w:rPr>
          <w:lang w:val="en-CA"/>
        </w:rPr>
        <w:t xml:space="preserve">v. </w:t>
      </w:r>
      <w:r w:rsidR="00B31C1C" w:rsidRPr="00B31C1C">
        <w:rPr>
          <w:i/>
          <w:iCs/>
          <w:lang w:val="en-CA"/>
        </w:rPr>
        <w:t xml:space="preserve">Williams </w:t>
      </w:r>
      <w:r w:rsidR="00B31C1C" w:rsidRPr="00B31C1C">
        <w:rPr>
          <w:lang w:val="en-CA"/>
        </w:rPr>
        <w:t>(2013), 297 C.R.R. (2d) 292 (Ont.</w:t>
      </w:r>
      <w:r w:rsidR="00B31C1C">
        <w:rPr>
          <w:lang w:val="en-CA"/>
        </w:rPr>
        <w:t>C.A.</w:t>
      </w:r>
      <w:r w:rsidR="00B31C1C" w:rsidRPr="00B31C1C">
        <w:rPr>
          <w:lang w:val="en-CA"/>
        </w:rPr>
        <w:t xml:space="preserve">) at paras. </w:t>
      </w:r>
      <w:r w:rsidR="00B31C1C">
        <w:t xml:space="preserve">12, 31; </w:t>
      </w:r>
      <w:r w:rsidR="006B6654" w:rsidRPr="006B6654">
        <w:rPr>
          <w:i/>
          <w:iCs/>
        </w:rPr>
        <w:t xml:space="preserve">R. </w:t>
      </w:r>
      <w:r w:rsidR="006B6654" w:rsidRPr="006B6654">
        <w:t xml:space="preserve">v. </w:t>
      </w:r>
      <w:r w:rsidR="006B6654" w:rsidRPr="006B6654">
        <w:rPr>
          <w:i/>
          <w:iCs/>
        </w:rPr>
        <w:t>Dhillon</w:t>
      </w:r>
      <w:r w:rsidR="006B6654" w:rsidRPr="006B6654">
        <w:t xml:space="preserve"> (2023), 422 C.C.C. (3d) 330 (B.C.C.A.) at paras. </w:t>
      </w:r>
      <w:r w:rsidR="006B6654">
        <w:rPr>
          <w:lang w:val="en-CA"/>
        </w:rPr>
        <w:t>20-21</w:t>
      </w:r>
      <w:r w:rsidR="00B31C1C">
        <w:rPr>
          <w:lang w:val="en-CA"/>
        </w:rPr>
        <w:t>, 34</w:t>
      </w:r>
      <w:r w:rsidR="006B6654" w:rsidRPr="00B21DEC">
        <w:rPr>
          <w:lang w:val="en-CA"/>
        </w:rPr>
        <w:t xml:space="preserve">, leave </w:t>
      </w:r>
      <w:r w:rsidR="006B6654">
        <w:rPr>
          <w:lang w:val="en-CA"/>
        </w:rPr>
        <w:t>to appeal denied</w:t>
      </w:r>
      <w:r w:rsidR="006B6654" w:rsidRPr="00B21DEC">
        <w:rPr>
          <w:lang w:val="en-CA"/>
        </w:rPr>
        <w:t>, [2023] S.C.C.A. No. 121</w:t>
      </w:r>
      <w:r w:rsidR="006B6654">
        <w:rPr>
          <w:lang w:val="en-CA"/>
        </w:rPr>
        <w:t xml:space="preserve">; </w:t>
      </w:r>
      <w:r>
        <w:rPr>
          <w:i/>
          <w:iCs/>
          <w:lang w:val="en-CA"/>
        </w:rPr>
        <w:t xml:space="preserve">R. </w:t>
      </w:r>
      <w:r>
        <w:rPr>
          <w:lang w:val="en-CA"/>
        </w:rPr>
        <w:t xml:space="preserve">v. </w:t>
      </w:r>
      <w:r>
        <w:rPr>
          <w:i/>
          <w:iCs/>
          <w:lang w:val="en-CA"/>
        </w:rPr>
        <w:t>Thibodeau</w:t>
      </w:r>
      <w:r>
        <w:rPr>
          <w:lang w:val="en-CA"/>
        </w:rPr>
        <w:t>, 2007 BCCA 489, leave to appeal denied, [2007] S.C.C.A. No. 592</w:t>
      </w:r>
      <w:r w:rsidR="002E063A">
        <w:rPr>
          <w:lang w:val="en-CA"/>
        </w:rPr>
        <w:t xml:space="preserve">; </w:t>
      </w:r>
      <w:r w:rsidR="002E063A" w:rsidRPr="002E063A">
        <w:rPr>
          <w:i/>
          <w:iCs/>
          <w:lang w:val="en-CA"/>
        </w:rPr>
        <w:t xml:space="preserve">R. </w:t>
      </w:r>
      <w:r w:rsidR="002E063A" w:rsidRPr="002E063A">
        <w:rPr>
          <w:lang w:val="en-CA"/>
        </w:rPr>
        <w:t xml:space="preserve">v. </w:t>
      </w:r>
      <w:r w:rsidR="002E063A" w:rsidRPr="002E063A">
        <w:rPr>
          <w:i/>
          <w:iCs/>
          <w:lang w:val="en-CA"/>
        </w:rPr>
        <w:t>Williams</w:t>
      </w:r>
      <w:r w:rsidR="002E063A" w:rsidRPr="002E063A">
        <w:rPr>
          <w:lang w:val="en-CA"/>
        </w:rPr>
        <w:t xml:space="preserve"> (2018), 412 C.R.R. (2d) 32 (Ont.S.C.J.) a</w:t>
      </w:r>
      <w:r w:rsidR="002E063A">
        <w:rPr>
          <w:lang w:val="en-CA"/>
        </w:rPr>
        <w:t>t</w:t>
      </w:r>
      <w:r w:rsidR="002E063A" w:rsidRPr="002E063A">
        <w:rPr>
          <w:lang w:val="en-CA"/>
        </w:rPr>
        <w:t xml:space="preserve"> para. </w:t>
      </w:r>
      <w:r w:rsidR="002E063A" w:rsidRPr="00D93274">
        <w:rPr>
          <w:lang w:val="en-CA"/>
        </w:rPr>
        <w:t>112</w:t>
      </w:r>
      <w:r w:rsidR="00D93274" w:rsidRPr="00D93274">
        <w:rPr>
          <w:lang w:val="en-CA"/>
        </w:rPr>
        <w:t xml:space="preserve">; </w:t>
      </w:r>
      <w:r w:rsidR="00D93274" w:rsidRPr="00D93274">
        <w:rPr>
          <w:i/>
          <w:iCs/>
          <w:lang w:val="en-CA"/>
        </w:rPr>
        <w:t xml:space="preserve">R. </w:t>
      </w:r>
      <w:r w:rsidR="00D93274" w:rsidRPr="00D93274">
        <w:rPr>
          <w:lang w:val="en-CA"/>
        </w:rPr>
        <w:t xml:space="preserve">v. </w:t>
      </w:r>
      <w:r w:rsidR="00D93274" w:rsidRPr="00D93274">
        <w:rPr>
          <w:i/>
          <w:iCs/>
          <w:lang w:val="en-CA"/>
        </w:rPr>
        <w:t>Peterkin</w:t>
      </w:r>
      <w:r w:rsidR="00D93274" w:rsidRPr="00D93274">
        <w:rPr>
          <w:lang w:val="en-CA"/>
        </w:rPr>
        <w:t xml:space="preserve"> (2015), 319 C.C.C. (3d) 191 (Ont.</w:t>
      </w:r>
      <w:r w:rsidR="00D93274">
        <w:rPr>
          <w:lang w:val="en-CA"/>
        </w:rPr>
        <w:t>C.A.</w:t>
      </w:r>
      <w:r w:rsidR="00D93274" w:rsidRPr="00D93274">
        <w:rPr>
          <w:lang w:val="en-CA"/>
        </w:rPr>
        <w:t>) at para</w:t>
      </w:r>
      <w:r w:rsidR="00461537">
        <w:rPr>
          <w:lang w:val="en-CA"/>
        </w:rPr>
        <w:t>s</w:t>
      </w:r>
      <w:r w:rsidR="00D93274" w:rsidRPr="00D93274">
        <w:rPr>
          <w:lang w:val="en-CA"/>
        </w:rPr>
        <w:t>. 17</w:t>
      </w:r>
      <w:r w:rsidR="00461537">
        <w:rPr>
          <w:lang w:val="en-CA"/>
        </w:rPr>
        <w:t>, 28</w:t>
      </w:r>
      <w:r w:rsidR="002838AC">
        <w:rPr>
          <w:lang w:val="en-CA"/>
        </w:rPr>
        <w:t xml:space="preserve">; </w:t>
      </w:r>
      <w:r w:rsidR="002838AC">
        <w:rPr>
          <w:i/>
          <w:iCs/>
          <w:lang w:val="en-CA"/>
        </w:rPr>
        <w:t xml:space="preserve">R. </w:t>
      </w:r>
      <w:r w:rsidR="002838AC">
        <w:rPr>
          <w:lang w:val="en-CA"/>
        </w:rPr>
        <w:t xml:space="preserve">v. </w:t>
      </w:r>
      <w:r w:rsidR="002838AC">
        <w:rPr>
          <w:i/>
          <w:iCs/>
          <w:lang w:val="en-CA"/>
        </w:rPr>
        <w:t>Cadienhead</w:t>
      </w:r>
      <w:r w:rsidR="002838AC">
        <w:rPr>
          <w:lang w:val="en-CA"/>
        </w:rPr>
        <w:t xml:space="preserve">, 2014 ONSC 5816 at para. 27; </w:t>
      </w:r>
      <w:bookmarkStart w:id="30" w:name="_Hlk162388670"/>
      <w:r w:rsidR="002838AC">
        <w:rPr>
          <w:i/>
          <w:iCs/>
          <w:lang w:val="en-CA"/>
        </w:rPr>
        <w:t xml:space="preserve">R. </w:t>
      </w:r>
      <w:r w:rsidR="002838AC">
        <w:rPr>
          <w:lang w:val="en-CA"/>
        </w:rPr>
        <w:t xml:space="preserve">v. </w:t>
      </w:r>
      <w:r w:rsidR="002838AC">
        <w:rPr>
          <w:i/>
          <w:iCs/>
          <w:lang w:val="en-CA"/>
        </w:rPr>
        <w:t>Fountain</w:t>
      </w:r>
      <w:r w:rsidR="002838AC">
        <w:rPr>
          <w:lang w:val="en-CA"/>
        </w:rPr>
        <w:t xml:space="preserve"> (2015), 324 C.C.C. (3d) 425 (Ont.C.A.) at para. 31</w:t>
      </w:r>
      <w:bookmarkEnd w:id="30"/>
      <w:r w:rsidR="00C54FB7">
        <w:rPr>
          <w:lang w:val="en-CA"/>
        </w:rPr>
        <w:t xml:space="preserve">; </w:t>
      </w:r>
      <w:r w:rsidR="00C54FB7" w:rsidRPr="00C54FB7">
        <w:rPr>
          <w:i/>
          <w:iCs/>
          <w:lang w:val="en-CA"/>
        </w:rPr>
        <w:t xml:space="preserve">R. </w:t>
      </w:r>
      <w:r w:rsidR="00C54FB7" w:rsidRPr="00C54FB7">
        <w:rPr>
          <w:lang w:val="en-CA"/>
        </w:rPr>
        <w:t xml:space="preserve">v. </w:t>
      </w:r>
      <w:r w:rsidR="00C54FB7" w:rsidRPr="00C54FB7">
        <w:rPr>
          <w:i/>
          <w:iCs/>
          <w:lang w:val="en-CA"/>
        </w:rPr>
        <w:t>Byfield</w:t>
      </w:r>
      <w:r w:rsidR="00C54FB7" w:rsidRPr="00C54FB7">
        <w:rPr>
          <w:lang w:val="en-CA"/>
        </w:rPr>
        <w:t xml:space="preserve"> (2012), 262 C.R.R. (2d) 251 (Ont.S.C.J.) a</w:t>
      </w:r>
      <w:r w:rsidR="00C54FB7">
        <w:rPr>
          <w:lang w:val="en-CA"/>
        </w:rPr>
        <w:t>t</w:t>
      </w:r>
      <w:r w:rsidR="00C54FB7" w:rsidRPr="00C54FB7">
        <w:rPr>
          <w:lang w:val="en-CA"/>
        </w:rPr>
        <w:t xml:space="preserve"> para</w:t>
      </w:r>
      <w:r w:rsidR="00C54FB7">
        <w:rPr>
          <w:lang w:val="en-CA"/>
        </w:rPr>
        <w:t>s</w:t>
      </w:r>
      <w:r w:rsidR="00C54FB7" w:rsidRPr="00C54FB7">
        <w:rPr>
          <w:lang w:val="en-CA"/>
        </w:rPr>
        <w:t>. 14</w:t>
      </w:r>
      <w:r w:rsidR="00C54FB7">
        <w:rPr>
          <w:lang w:val="en-CA"/>
        </w:rPr>
        <w:t>, 24</w:t>
      </w:r>
      <w:r w:rsidR="00A72C8F">
        <w:rPr>
          <w:lang w:val="en-CA"/>
        </w:rPr>
        <w:t xml:space="preserve">; </w:t>
      </w:r>
      <w:bookmarkStart w:id="31" w:name="_Hlk162533621"/>
      <w:bookmarkStart w:id="32" w:name="_Hlk162389158"/>
      <w:r w:rsidR="00A72C8F">
        <w:rPr>
          <w:i/>
          <w:iCs/>
          <w:lang w:val="en-CA"/>
        </w:rPr>
        <w:t xml:space="preserve">R. </w:t>
      </w:r>
      <w:r w:rsidR="00A72C8F">
        <w:rPr>
          <w:lang w:val="en-CA"/>
        </w:rPr>
        <w:t xml:space="preserve">v. </w:t>
      </w:r>
      <w:r w:rsidR="00A72C8F">
        <w:rPr>
          <w:i/>
          <w:iCs/>
          <w:lang w:val="en-CA"/>
        </w:rPr>
        <w:t>Dymkowski</w:t>
      </w:r>
      <w:r w:rsidR="00A72C8F">
        <w:rPr>
          <w:lang w:val="en-CA"/>
        </w:rPr>
        <w:t xml:space="preserve"> (2021), 500 C.R.R. (2d) 135 (Ont.S.C.J.)</w:t>
      </w:r>
      <w:bookmarkEnd w:id="31"/>
      <w:r w:rsidR="00A72C8F">
        <w:rPr>
          <w:lang w:val="en-CA"/>
        </w:rPr>
        <w:t xml:space="preserve"> at paras. 10, 12, 22</w:t>
      </w:r>
      <w:bookmarkEnd w:id="32"/>
      <w:r w:rsidR="00A72C8F">
        <w:rPr>
          <w:lang w:val="en-CA"/>
        </w:rPr>
        <w:t>.</w:t>
      </w:r>
    </w:p>
  </w:footnote>
  <w:footnote w:id="58">
    <w:p w14:paraId="2730F0FB" w14:textId="77777777" w:rsidR="00E439C3" w:rsidRPr="002838AC" w:rsidRDefault="00E439C3">
      <w:pPr>
        <w:pStyle w:val="Notedebasdepage"/>
        <w:rPr>
          <w:lang w:val="en-CA"/>
        </w:rPr>
      </w:pPr>
      <w:r>
        <w:rPr>
          <w:rStyle w:val="Appelnotedebasdep"/>
        </w:rPr>
        <w:footnoteRef/>
      </w:r>
      <w:r w:rsidRPr="00D93274">
        <w:rPr>
          <w:lang w:val="en-CA"/>
        </w:rPr>
        <w:t xml:space="preserve"> </w:t>
      </w:r>
      <w:r w:rsidRPr="00D93274">
        <w:rPr>
          <w:lang w:val="en-CA"/>
        </w:rPr>
        <w:tab/>
      </w:r>
      <w:r w:rsidR="00D93274" w:rsidRPr="00D93274">
        <w:rPr>
          <w:i/>
          <w:iCs/>
          <w:lang w:val="en-CA"/>
        </w:rPr>
        <w:t xml:space="preserve">R. </w:t>
      </w:r>
      <w:r w:rsidR="00D93274" w:rsidRPr="00D93274">
        <w:rPr>
          <w:lang w:val="en-CA"/>
        </w:rPr>
        <w:t xml:space="preserve">v. </w:t>
      </w:r>
      <w:r w:rsidR="00D93274" w:rsidRPr="00D93274">
        <w:rPr>
          <w:i/>
          <w:iCs/>
          <w:lang w:val="en-CA"/>
        </w:rPr>
        <w:t>Peterkin</w:t>
      </w:r>
      <w:r w:rsidR="00D93274" w:rsidRPr="00D93274">
        <w:rPr>
          <w:lang w:val="en-CA"/>
        </w:rPr>
        <w:t xml:space="preserve"> (2015), 319 C.C.C. (3d) 191 (Ont.</w:t>
      </w:r>
      <w:r w:rsidR="00D93274">
        <w:rPr>
          <w:lang w:val="en-CA"/>
        </w:rPr>
        <w:t>C.A.</w:t>
      </w:r>
      <w:r w:rsidR="00D93274" w:rsidRPr="00D93274">
        <w:rPr>
          <w:lang w:val="en-CA"/>
        </w:rPr>
        <w:t>) at para</w:t>
      </w:r>
      <w:r w:rsidR="00461537">
        <w:rPr>
          <w:lang w:val="en-CA"/>
        </w:rPr>
        <w:t>s</w:t>
      </w:r>
      <w:r w:rsidR="00D93274" w:rsidRPr="00D93274">
        <w:rPr>
          <w:lang w:val="en-CA"/>
        </w:rPr>
        <w:t>. 17</w:t>
      </w:r>
      <w:r w:rsidR="00461537">
        <w:rPr>
          <w:lang w:val="en-CA"/>
        </w:rPr>
        <w:t>, 28</w:t>
      </w:r>
      <w:r w:rsidR="00D93274">
        <w:rPr>
          <w:lang w:val="en-CA"/>
        </w:rPr>
        <w:t xml:space="preserve">; </w:t>
      </w:r>
      <w:r w:rsidRPr="002E063A">
        <w:rPr>
          <w:i/>
          <w:iCs/>
          <w:lang w:val="en-CA"/>
        </w:rPr>
        <w:t xml:space="preserve">R. </w:t>
      </w:r>
      <w:r w:rsidRPr="002E063A">
        <w:rPr>
          <w:lang w:val="en-CA"/>
        </w:rPr>
        <w:t xml:space="preserve">v. </w:t>
      </w:r>
      <w:r w:rsidRPr="002E063A">
        <w:rPr>
          <w:i/>
          <w:iCs/>
          <w:lang w:val="en-CA"/>
        </w:rPr>
        <w:t>Williams</w:t>
      </w:r>
      <w:r w:rsidRPr="002E063A">
        <w:rPr>
          <w:lang w:val="en-CA"/>
        </w:rPr>
        <w:t xml:space="preserve"> (2018), 412 C.R.R. (2d) 32 (Ont.S.C.J.) a</w:t>
      </w:r>
      <w:r>
        <w:rPr>
          <w:lang w:val="en-CA"/>
        </w:rPr>
        <w:t>t</w:t>
      </w:r>
      <w:r w:rsidRPr="002E063A">
        <w:rPr>
          <w:lang w:val="en-CA"/>
        </w:rPr>
        <w:t xml:space="preserve"> para. </w:t>
      </w:r>
      <w:r w:rsidRPr="00E439C3">
        <w:rPr>
          <w:lang w:val="en-CA"/>
        </w:rPr>
        <w:t>112</w:t>
      </w:r>
      <w:r w:rsidR="002838AC">
        <w:rPr>
          <w:lang w:val="en-CA"/>
        </w:rPr>
        <w:t xml:space="preserve">; </w:t>
      </w:r>
      <w:bookmarkStart w:id="33" w:name="_Hlk162388400"/>
      <w:r w:rsidR="002838AC">
        <w:rPr>
          <w:i/>
          <w:iCs/>
          <w:lang w:val="en-CA"/>
        </w:rPr>
        <w:t xml:space="preserve">R. </w:t>
      </w:r>
      <w:r w:rsidR="002838AC">
        <w:rPr>
          <w:lang w:val="en-CA"/>
        </w:rPr>
        <w:t xml:space="preserve">v. </w:t>
      </w:r>
      <w:r w:rsidR="002838AC">
        <w:rPr>
          <w:i/>
          <w:iCs/>
          <w:lang w:val="en-CA"/>
        </w:rPr>
        <w:t>Cadienhead</w:t>
      </w:r>
      <w:r w:rsidR="002838AC">
        <w:rPr>
          <w:lang w:val="en-CA"/>
        </w:rPr>
        <w:t>, 2014 ONSC 5816 at paras. 21</w:t>
      </w:r>
      <w:bookmarkEnd w:id="33"/>
      <w:r w:rsidR="002838AC">
        <w:rPr>
          <w:lang w:val="en-CA"/>
        </w:rPr>
        <w:t>, 28</w:t>
      </w:r>
      <w:r w:rsidR="00C54FB7">
        <w:rPr>
          <w:lang w:val="en-CA"/>
        </w:rPr>
        <w:t xml:space="preserve">; </w:t>
      </w:r>
      <w:r w:rsidR="00C54FB7">
        <w:rPr>
          <w:i/>
          <w:iCs/>
          <w:lang w:val="en-CA"/>
        </w:rPr>
        <w:t xml:space="preserve">R. </w:t>
      </w:r>
      <w:r w:rsidR="00C54FB7">
        <w:rPr>
          <w:lang w:val="en-CA"/>
        </w:rPr>
        <w:t xml:space="preserve">v. </w:t>
      </w:r>
      <w:r w:rsidR="00C54FB7">
        <w:rPr>
          <w:i/>
          <w:iCs/>
          <w:lang w:val="en-CA"/>
        </w:rPr>
        <w:t>Fountain</w:t>
      </w:r>
      <w:r w:rsidR="00C54FB7">
        <w:rPr>
          <w:lang w:val="en-CA"/>
        </w:rPr>
        <w:t xml:space="preserve"> (2015), 324 C.C.C. (3d) 425 (Ont.C.A.) at para. 31; </w:t>
      </w:r>
      <w:r w:rsidR="00C54FB7" w:rsidRPr="00C54FB7">
        <w:rPr>
          <w:i/>
          <w:iCs/>
          <w:lang w:val="en-CA"/>
        </w:rPr>
        <w:t xml:space="preserve">R. </w:t>
      </w:r>
      <w:r w:rsidR="00C54FB7" w:rsidRPr="00C54FB7">
        <w:rPr>
          <w:lang w:val="en-CA"/>
        </w:rPr>
        <w:t xml:space="preserve">v. </w:t>
      </w:r>
      <w:r w:rsidR="00C54FB7" w:rsidRPr="00C54FB7">
        <w:rPr>
          <w:i/>
          <w:iCs/>
          <w:lang w:val="en-CA"/>
        </w:rPr>
        <w:t>Byfield</w:t>
      </w:r>
      <w:r w:rsidR="00C54FB7" w:rsidRPr="00C54FB7">
        <w:rPr>
          <w:lang w:val="en-CA"/>
        </w:rPr>
        <w:t xml:space="preserve"> (2012), 262 C.R.R. (2d) 251 (Ont.S.C.J.) a</w:t>
      </w:r>
      <w:r w:rsidR="00C54FB7">
        <w:rPr>
          <w:lang w:val="en-CA"/>
        </w:rPr>
        <w:t>t</w:t>
      </w:r>
      <w:r w:rsidR="00C54FB7" w:rsidRPr="00C54FB7">
        <w:rPr>
          <w:lang w:val="en-CA"/>
        </w:rPr>
        <w:t xml:space="preserve"> para</w:t>
      </w:r>
      <w:r w:rsidR="00C54FB7">
        <w:rPr>
          <w:lang w:val="en-CA"/>
        </w:rPr>
        <w:t>s</w:t>
      </w:r>
      <w:r w:rsidR="00C54FB7" w:rsidRPr="00C54FB7">
        <w:rPr>
          <w:lang w:val="en-CA"/>
        </w:rPr>
        <w:t>. 14</w:t>
      </w:r>
      <w:r w:rsidR="00C54FB7">
        <w:rPr>
          <w:lang w:val="en-CA"/>
        </w:rPr>
        <w:t>, 17</w:t>
      </w:r>
      <w:r w:rsidR="00A72C8F">
        <w:rPr>
          <w:lang w:val="en-CA"/>
        </w:rPr>
        <w:t xml:space="preserve">; </w:t>
      </w:r>
      <w:r w:rsidR="00A72C8F">
        <w:rPr>
          <w:i/>
          <w:iCs/>
          <w:lang w:val="en-CA"/>
        </w:rPr>
        <w:t xml:space="preserve">R. </w:t>
      </w:r>
      <w:r w:rsidR="00A72C8F">
        <w:rPr>
          <w:lang w:val="en-CA"/>
        </w:rPr>
        <w:t xml:space="preserve">v. </w:t>
      </w:r>
      <w:r w:rsidR="00A72C8F">
        <w:rPr>
          <w:i/>
          <w:iCs/>
          <w:lang w:val="en-CA"/>
        </w:rPr>
        <w:t>Dymkowski</w:t>
      </w:r>
      <w:r w:rsidR="00A72C8F">
        <w:rPr>
          <w:lang w:val="en-CA"/>
        </w:rPr>
        <w:t xml:space="preserve"> (2021), 500 C.R.R. (2d) 135 (Ont.S.C.J.) at para. 12.</w:t>
      </w:r>
    </w:p>
  </w:footnote>
  <w:footnote w:id="59">
    <w:p w14:paraId="1B998F93" w14:textId="77777777" w:rsidR="00457A37" w:rsidRPr="00457A37" w:rsidRDefault="00457A37">
      <w:pPr>
        <w:pStyle w:val="Notedebasdepage"/>
        <w:rPr>
          <w:lang w:val="en-CA"/>
        </w:rPr>
      </w:pPr>
      <w:r>
        <w:rPr>
          <w:rStyle w:val="Appelnotedebasdep"/>
        </w:rPr>
        <w:footnoteRef/>
      </w:r>
      <w:r w:rsidRPr="00457A37">
        <w:rPr>
          <w:lang w:val="en-CA"/>
        </w:rPr>
        <w:t xml:space="preserve"> </w:t>
      </w:r>
      <w:r>
        <w:rPr>
          <w:lang w:val="en-CA"/>
        </w:rPr>
        <w:tab/>
      </w:r>
      <w:r>
        <w:rPr>
          <w:i/>
          <w:iCs/>
          <w:lang w:val="en-CA"/>
        </w:rPr>
        <w:t xml:space="preserve">R. </w:t>
      </w:r>
      <w:r>
        <w:rPr>
          <w:lang w:val="en-CA"/>
        </w:rPr>
        <w:t xml:space="preserve">v. </w:t>
      </w:r>
      <w:r>
        <w:rPr>
          <w:i/>
          <w:iCs/>
          <w:lang w:val="en-CA"/>
        </w:rPr>
        <w:t>Sheck</w:t>
      </w:r>
      <w:r>
        <w:rPr>
          <w:lang w:val="en-CA"/>
        </w:rPr>
        <w:t xml:space="preserve"> (2015), 332 C.C.C. (3d) 199 (B.C.C.A.), leave to appeal denied, [2016] S.C.C.A. No. 50.</w:t>
      </w:r>
    </w:p>
  </w:footnote>
  <w:footnote w:id="60">
    <w:p w14:paraId="6D25AB54" w14:textId="77777777" w:rsidR="00D412D1" w:rsidRPr="00D412D1" w:rsidRDefault="00D412D1">
      <w:pPr>
        <w:pStyle w:val="Notedebasdepage"/>
        <w:rPr>
          <w:lang w:val="en-CA"/>
        </w:rPr>
      </w:pPr>
      <w:r>
        <w:rPr>
          <w:rStyle w:val="Appelnotedebasdep"/>
        </w:rPr>
        <w:footnoteRef/>
      </w:r>
      <w:r w:rsidRPr="00D412D1">
        <w:t xml:space="preserve"> </w:t>
      </w:r>
      <w:r w:rsidRPr="00D412D1">
        <w:tab/>
      </w:r>
      <w:r w:rsidRPr="0054344E">
        <w:rPr>
          <w:i/>
          <w:iCs/>
        </w:rPr>
        <w:t xml:space="preserve">R. </w:t>
      </w:r>
      <w:r w:rsidRPr="0054344E">
        <w:t xml:space="preserve">v. </w:t>
      </w:r>
      <w:r w:rsidRPr="0054344E">
        <w:rPr>
          <w:i/>
          <w:iCs/>
        </w:rPr>
        <w:t>Plummer</w:t>
      </w:r>
      <w:r w:rsidRPr="0054344E">
        <w:t xml:space="preserve"> (2011), 272 C.C.C. (3d) 172 (Ont.C.A.) at par</w:t>
      </w:r>
      <w:r>
        <w:t xml:space="preserve">as. </w:t>
      </w:r>
      <w:r w:rsidRPr="00F068BE">
        <w:rPr>
          <w:lang w:val="en-CA"/>
        </w:rPr>
        <w:t>5, 22.</w:t>
      </w:r>
    </w:p>
  </w:footnote>
  <w:footnote w:id="61">
    <w:p w14:paraId="592AA6CE" w14:textId="77777777" w:rsidR="00E91468" w:rsidRPr="00E91468" w:rsidRDefault="00E91468">
      <w:pPr>
        <w:pStyle w:val="Notedebasdepage"/>
        <w:rPr>
          <w:lang w:val="en-CA"/>
        </w:rPr>
      </w:pPr>
      <w:r>
        <w:rPr>
          <w:rStyle w:val="Appelnotedebasdep"/>
        </w:rPr>
        <w:footnoteRef/>
      </w:r>
      <w:r w:rsidRPr="00E91468">
        <w:rPr>
          <w:lang w:val="en-CA"/>
        </w:rPr>
        <w:t xml:space="preserve"> </w:t>
      </w:r>
      <w:r w:rsidRPr="00E91468">
        <w:rPr>
          <w:lang w:val="en-CA"/>
        </w:rPr>
        <w:tab/>
      </w:r>
      <w:r w:rsidRPr="000F2AA1">
        <w:rPr>
          <w:i/>
          <w:iCs/>
          <w:lang w:val="en-CA"/>
        </w:rPr>
        <w:t xml:space="preserve">R. </w:t>
      </w:r>
      <w:r w:rsidRPr="000F2AA1">
        <w:rPr>
          <w:lang w:val="en-CA"/>
        </w:rPr>
        <w:t xml:space="preserve">v. </w:t>
      </w:r>
      <w:r w:rsidRPr="000F2AA1">
        <w:rPr>
          <w:i/>
          <w:iCs/>
          <w:lang w:val="en-CA"/>
        </w:rPr>
        <w:t>McKenzie</w:t>
      </w:r>
      <w:r w:rsidRPr="000F2AA1">
        <w:rPr>
          <w:lang w:val="en-CA"/>
        </w:rPr>
        <w:t xml:space="preserve"> (2022), 77 C.R. (7th</w:t>
      </w:r>
      <w:r>
        <w:rPr>
          <w:lang w:val="en-CA"/>
        </w:rPr>
        <w:t>) 313 (Man.C.A.) at paras. 6-7, 27, leave to appeal denied, [2022] S.C.C.A. No. 64</w:t>
      </w:r>
      <w:r w:rsidR="0045642E">
        <w:rPr>
          <w:lang w:val="en-CA"/>
        </w:rPr>
        <w:t>.</w:t>
      </w:r>
    </w:p>
  </w:footnote>
  <w:footnote w:id="62">
    <w:p w14:paraId="544E1F40" w14:textId="77777777" w:rsidR="00E91468" w:rsidRPr="00E91468" w:rsidRDefault="00E91468">
      <w:pPr>
        <w:pStyle w:val="Notedebasdepage"/>
        <w:rPr>
          <w:lang w:val="en-CA"/>
        </w:rPr>
      </w:pPr>
      <w:r>
        <w:rPr>
          <w:rStyle w:val="Appelnotedebasdep"/>
        </w:rPr>
        <w:footnoteRef/>
      </w:r>
      <w:r w:rsidRPr="00E91468">
        <w:rPr>
          <w:lang w:val="en-CA"/>
        </w:rPr>
        <w:t xml:space="preserve"> </w:t>
      </w:r>
      <w:r>
        <w:rPr>
          <w:lang w:val="en-CA"/>
        </w:rPr>
        <w:tab/>
      </w:r>
      <w:r>
        <w:rPr>
          <w:i/>
          <w:iCs/>
          <w:lang w:val="en-CA"/>
        </w:rPr>
        <w:t>Ibid</w:t>
      </w:r>
      <w:r>
        <w:rPr>
          <w:lang w:val="en-CA"/>
        </w:rPr>
        <w:t>. at paras. 8, 27.</w:t>
      </w:r>
    </w:p>
  </w:footnote>
  <w:footnote w:id="63">
    <w:p w14:paraId="5411C21A" w14:textId="77777777" w:rsidR="00E91468" w:rsidRPr="00E91468" w:rsidRDefault="00E91468">
      <w:pPr>
        <w:pStyle w:val="Notedebasdepage"/>
        <w:rPr>
          <w:lang w:val="en-CA"/>
        </w:rPr>
      </w:pPr>
      <w:r>
        <w:rPr>
          <w:rStyle w:val="Appelnotedebasdep"/>
        </w:rPr>
        <w:footnoteRef/>
      </w:r>
      <w:r w:rsidRPr="00E91468">
        <w:rPr>
          <w:lang w:val="en-CA"/>
        </w:rPr>
        <w:t xml:space="preserve"> </w:t>
      </w:r>
      <w:r>
        <w:rPr>
          <w:lang w:val="en-CA"/>
        </w:rPr>
        <w:tab/>
        <w:t>It is to be noted that in addition to the suspicious behaviour, the officer recognized the accused as a known street gang member who was known to carry a weapon.</w:t>
      </w:r>
    </w:p>
  </w:footnote>
  <w:footnote w:id="64">
    <w:p w14:paraId="48502FD8" w14:textId="77777777" w:rsidR="00FF3D7A" w:rsidRPr="00417AF2" w:rsidRDefault="00FF3D7A">
      <w:pPr>
        <w:pStyle w:val="Notedebasdepage"/>
        <w:rPr>
          <w:lang w:val="en-CA"/>
        </w:rPr>
      </w:pPr>
      <w:r>
        <w:rPr>
          <w:rStyle w:val="Appelnotedebasdep"/>
        </w:rPr>
        <w:footnoteRef/>
      </w:r>
      <w:r w:rsidRPr="00417AF2">
        <w:rPr>
          <w:lang w:val="en-CA"/>
        </w:rPr>
        <w:t xml:space="preserve"> </w:t>
      </w:r>
      <w:r w:rsidRPr="00417AF2">
        <w:rPr>
          <w:lang w:val="en-CA"/>
        </w:rPr>
        <w:tab/>
      </w:r>
      <w:r w:rsidRPr="00417AF2">
        <w:rPr>
          <w:i/>
          <w:iCs/>
          <w:lang w:val="en-CA"/>
        </w:rPr>
        <w:t xml:space="preserve">R. </w:t>
      </w:r>
      <w:r w:rsidRPr="00417AF2">
        <w:rPr>
          <w:lang w:val="en-CA"/>
        </w:rPr>
        <w:t xml:space="preserve">v. </w:t>
      </w:r>
      <w:r w:rsidRPr="00417AF2">
        <w:rPr>
          <w:i/>
          <w:iCs/>
          <w:lang w:val="en-CA"/>
        </w:rPr>
        <w:t>McKenzie</w:t>
      </w:r>
      <w:r w:rsidRPr="00417AF2">
        <w:rPr>
          <w:lang w:val="en-CA"/>
        </w:rPr>
        <w:t xml:space="preserve">, </w:t>
      </w:r>
      <w:r w:rsidRPr="00417AF2">
        <w:rPr>
          <w:i/>
          <w:iCs/>
          <w:lang w:val="en-CA"/>
        </w:rPr>
        <w:t>supra</w:t>
      </w:r>
      <w:r w:rsidRPr="00417AF2">
        <w:rPr>
          <w:lang w:val="en-CA"/>
        </w:rPr>
        <w:t>, at para. 29.</w:t>
      </w:r>
    </w:p>
  </w:footnote>
  <w:footnote w:id="65">
    <w:p w14:paraId="4748477C" w14:textId="77777777" w:rsidR="000F5868" w:rsidRPr="000F5868" w:rsidRDefault="000F5868">
      <w:pPr>
        <w:pStyle w:val="Notedebasdepage"/>
        <w:rPr>
          <w:lang w:val="en-CA"/>
        </w:rPr>
      </w:pPr>
      <w:r>
        <w:rPr>
          <w:rStyle w:val="Appelnotedebasdep"/>
        </w:rPr>
        <w:footnoteRef/>
      </w:r>
      <w:r w:rsidRPr="000F5868">
        <w:rPr>
          <w:lang w:val="en-CA"/>
        </w:rPr>
        <w:t xml:space="preserve"> </w:t>
      </w:r>
      <w:r w:rsidRPr="000F5868">
        <w:rPr>
          <w:lang w:val="en-CA"/>
        </w:rPr>
        <w:tab/>
      </w:r>
      <w:r w:rsidRPr="00D93274">
        <w:rPr>
          <w:i/>
          <w:iCs/>
          <w:lang w:val="en-CA"/>
        </w:rPr>
        <w:t xml:space="preserve">R. </w:t>
      </w:r>
      <w:r w:rsidRPr="00D93274">
        <w:rPr>
          <w:lang w:val="en-CA"/>
        </w:rPr>
        <w:t xml:space="preserve">v. </w:t>
      </w:r>
      <w:r w:rsidRPr="00D93274">
        <w:rPr>
          <w:i/>
          <w:iCs/>
          <w:lang w:val="en-CA"/>
        </w:rPr>
        <w:t>Peterkin</w:t>
      </w:r>
      <w:r w:rsidRPr="00D93274">
        <w:rPr>
          <w:lang w:val="en-CA"/>
        </w:rPr>
        <w:t xml:space="preserve"> (2015), 319 C.C.C. (3d) 191 (Ont.</w:t>
      </w:r>
      <w:r>
        <w:rPr>
          <w:lang w:val="en-CA"/>
        </w:rPr>
        <w:t>C.A.</w:t>
      </w:r>
      <w:r w:rsidRPr="00D93274">
        <w:rPr>
          <w:lang w:val="en-CA"/>
        </w:rPr>
        <w:t>)</w:t>
      </w:r>
      <w:r>
        <w:rPr>
          <w:lang w:val="en-CA"/>
        </w:rPr>
        <w:t>.</w:t>
      </w:r>
    </w:p>
  </w:footnote>
  <w:footnote w:id="66">
    <w:p w14:paraId="3AEB4DF8" w14:textId="77777777" w:rsidR="00EC1A52" w:rsidRPr="00EC1A52" w:rsidRDefault="00EC1A52" w:rsidP="00EC1A52">
      <w:pPr>
        <w:pStyle w:val="Notedebasdepage"/>
        <w:rPr>
          <w:lang w:val="en-CA"/>
        </w:rPr>
      </w:pPr>
      <w:r>
        <w:rPr>
          <w:rStyle w:val="Appelnotedebasdep"/>
        </w:rPr>
        <w:footnoteRef/>
      </w:r>
      <w:r w:rsidRPr="00EC1A52">
        <w:rPr>
          <w:lang w:val="en-CA"/>
        </w:rPr>
        <w:t xml:space="preserve"> </w:t>
      </w:r>
      <w:r w:rsidRPr="00EC1A52">
        <w:rPr>
          <w:lang w:val="en-CA"/>
        </w:rPr>
        <w:tab/>
        <w:t>Courtlog of 2024-03-21 at 14:16.</w:t>
      </w:r>
    </w:p>
  </w:footnote>
  <w:footnote w:id="67">
    <w:p w14:paraId="701AE87A" w14:textId="77777777" w:rsidR="00801044" w:rsidRPr="00801044" w:rsidRDefault="00801044">
      <w:pPr>
        <w:pStyle w:val="Notedebasdepage"/>
        <w:rPr>
          <w:lang w:val="en-CA"/>
        </w:rPr>
      </w:pPr>
      <w:r>
        <w:rPr>
          <w:rStyle w:val="Appelnotedebasdep"/>
        </w:rPr>
        <w:footnoteRef/>
      </w:r>
      <w:r w:rsidRPr="00801044">
        <w:rPr>
          <w:lang w:val="en-CA"/>
        </w:rPr>
        <w:t xml:space="preserve"> </w:t>
      </w:r>
      <w:r w:rsidRPr="00801044">
        <w:rPr>
          <w:lang w:val="en-CA"/>
        </w:rPr>
        <w:tab/>
      </w:r>
      <w:r w:rsidRPr="00801044">
        <w:rPr>
          <w:i/>
          <w:lang w:val="en-CA"/>
        </w:rPr>
        <w:t xml:space="preserve">R. </w:t>
      </w:r>
      <w:r w:rsidRPr="00801044">
        <w:rPr>
          <w:lang w:val="en-CA"/>
        </w:rPr>
        <w:t xml:space="preserve">v. </w:t>
      </w:r>
      <w:r w:rsidRPr="00801044">
        <w:rPr>
          <w:i/>
          <w:lang w:val="en-CA"/>
        </w:rPr>
        <w:t>Turpin</w:t>
      </w:r>
      <w:r w:rsidRPr="00801044">
        <w:rPr>
          <w:lang w:val="en-CA"/>
        </w:rPr>
        <w:t xml:space="preserve">, [1989] 1 S.C.R. 1296 at 1332-1334; </w:t>
      </w:r>
      <w:r w:rsidRPr="00801044">
        <w:rPr>
          <w:i/>
          <w:lang w:val="en-CA"/>
        </w:rPr>
        <w:t xml:space="preserve">R. </w:t>
      </w:r>
      <w:r w:rsidRPr="00801044">
        <w:rPr>
          <w:lang w:val="en-CA"/>
        </w:rPr>
        <w:t xml:space="preserve">v. </w:t>
      </w:r>
      <w:r w:rsidRPr="00801044">
        <w:rPr>
          <w:i/>
          <w:lang w:val="en-CA"/>
        </w:rPr>
        <w:t>Alton</w:t>
      </w:r>
      <w:r w:rsidRPr="00801044">
        <w:rPr>
          <w:lang w:val="en-CA"/>
        </w:rPr>
        <w:t xml:space="preserve"> (1989), 74 C.R. (3d) 124 (Ont.C.A.) at 128; </w:t>
      </w:r>
      <w:r w:rsidRPr="00801044">
        <w:rPr>
          <w:i/>
          <w:lang w:val="en-CA"/>
        </w:rPr>
        <w:t>Dufour</w:t>
      </w:r>
      <w:r w:rsidRPr="00801044">
        <w:rPr>
          <w:lang w:val="en-CA"/>
        </w:rPr>
        <w:t xml:space="preserve"> c. </w:t>
      </w:r>
      <w:r w:rsidRPr="00801044">
        <w:rPr>
          <w:i/>
          <w:lang w:val="en-CA"/>
        </w:rPr>
        <w:t>R.</w:t>
      </w:r>
      <w:r w:rsidRPr="00801044">
        <w:rPr>
          <w:lang w:val="en-CA"/>
        </w:rPr>
        <w:t xml:space="preserve">, [1994] R.J.Q. 108 (C.S.) at paras. 11-13, 18; </w:t>
      </w:r>
      <w:r w:rsidRPr="00801044">
        <w:rPr>
          <w:i/>
          <w:iCs/>
          <w:lang w:val="en-CA"/>
        </w:rPr>
        <w:t xml:space="preserve">R. </w:t>
      </w:r>
      <w:r w:rsidRPr="00801044">
        <w:rPr>
          <w:lang w:val="en-CA"/>
        </w:rPr>
        <w:t xml:space="preserve">v. </w:t>
      </w:r>
      <w:r w:rsidRPr="00801044">
        <w:rPr>
          <w:i/>
          <w:iCs/>
          <w:lang w:val="en-CA"/>
        </w:rPr>
        <w:t>Finta</w:t>
      </w:r>
      <w:r w:rsidRPr="00801044">
        <w:rPr>
          <w:lang w:val="en-CA"/>
        </w:rPr>
        <w:t xml:space="preserve">, [1994] 1 S.C.R. 701; </w:t>
      </w:r>
      <w:r w:rsidRPr="00801044">
        <w:rPr>
          <w:i/>
          <w:iCs/>
          <w:lang w:val="en-CA"/>
        </w:rPr>
        <w:t xml:space="preserve">R. </w:t>
      </w:r>
      <w:r w:rsidRPr="00801044">
        <w:rPr>
          <w:lang w:val="en-CA"/>
        </w:rPr>
        <w:t xml:space="preserve">v. </w:t>
      </w:r>
      <w:r w:rsidRPr="00801044">
        <w:rPr>
          <w:i/>
          <w:iCs/>
          <w:lang w:val="en-CA"/>
        </w:rPr>
        <w:t>Généreux</w:t>
      </w:r>
      <w:r w:rsidRPr="00801044">
        <w:rPr>
          <w:lang w:val="en-CA"/>
        </w:rPr>
        <w:t xml:space="preserve">, [1992] 1 S.C.R. 259; </w:t>
      </w:r>
      <w:r w:rsidRPr="00801044">
        <w:rPr>
          <w:i/>
          <w:iCs/>
          <w:lang w:val="en-CA"/>
        </w:rPr>
        <w:t xml:space="preserve">R. </w:t>
      </w:r>
      <w:r w:rsidRPr="00801044">
        <w:rPr>
          <w:lang w:val="en-CA"/>
        </w:rPr>
        <w:t xml:space="preserve">v. </w:t>
      </w:r>
      <w:r w:rsidRPr="00801044">
        <w:rPr>
          <w:i/>
          <w:iCs/>
          <w:lang w:val="en-CA"/>
        </w:rPr>
        <w:t>Malmo-Levine</w:t>
      </w:r>
      <w:r w:rsidRPr="00801044">
        <w:rPr>
          <w:lang w:val="en-CA"/>
        </w:rPr>
        <w:t>, [2003] 3 S.C.R. 571.</w:t>
      </w:r>
    </w:p>
  </w:footnote>
  <w:footnote w:id="68">
    <w:p w14:paraId="535571CD" w14:textId="77777777" w:rsidR="00EC1A52" w:rsidRPr="00EC1A52" w:rsidRDefault="00EC1A52" w:rsidP="00EC1A52">
      <w:pPr>
        <w:pStyle w:val="Notedebasdepage"/>
        <w:rPr>
          <w:lang w:val="en-CA"/>
        </w:rPr>
      </w:pPr>
      <w:r>
        <w:rPr>
          <w:rStyle w:val="Appelnotedebasdep"/>
        </w:rPr>
        <w:footnoteRef/>
      </w:r>
      <w:r w:rsidRPr="00EC1A52">
        <w:rPr>
          <w:lang w:val="en-CA"/>
        </w:rPr>
        <w:t xml:space="preserve"> </w:t>
      </w:r>
      <w:r w:rsidRPr="00EC1A52">
        <w:rPr>
          <w:lang w:val="en-CA"/>
        </w:rPr>
        <w:tab/>
        <w:t>He provides no definition for this term, which is as vague as can be.</w:t>
      </w:r>
    </w:p>
  </w:footnote>
  <w:footnote w:id="69">
    <w:p w14:paraId="0FFBAB74" w14:textId="77777777" w:rsidR="002B32F6" w:rsidRPr="002B32F6" w:rsidRDefault="002B32F6">
      <w:pPr>
        <w:pStyle w:val="Notedebasdepage"/>
        <w:rPr>
          <w:lang w:val="en-CA"/>
        </w:rPr>
      </w:pPr>
      <w:r>
        <w:rPr>
          <w:rStyle w:val="Appelnotedebasdep"/>
        </w:rPr>
        <w:footnoteRef/>
      </w:r>
      <w:r w:rsidRPr="002B32F6">
        <w:rPr>
          <w:lang w:val="en-CA"/>
        </w:rPr>
        <w:t xml:space="preserve"> </w:t>
      </w:r>
      <w:r w:rsidRPr="002B32F6">
        <w:rPr>
          <w:lang w:val="en-CA"/>
        </w:rPr>
        <w:tab/>
      </w:r>
      <w:r w:rsidRPr="002B32F6">
        <w:rPr>
          <w:i/>
          <w:iCs/>
          <w:lang w:val="en-CA"/>
        </w:rPr>
        <w:t xml:space="preserve">R. </w:t>
      </w:r>
      <w:r w:rsidRPr="002B32F6">
        <w:rPr>
          <w:lang w:val="en-CA"/>
        </w:rPr>
        <w:t xml:space="preserve">v. </w:t>
      </w:r>
      <w:r w:rsidRPr="002B32F6">
        <w:rPr>
          <w:i/>
          <w:iCs/>
          <w:lang w:val="en-CA"/>
        </w:rPr>
        <w:t>Spence</w:t>
      </w:r>
      <w:r w:rsidRPr="002B32F6">
        <w:rPr>
          <w:lang w:val="en-CA"/>
        </w:rPr>
        <w:t>, [2005] 3 S.C.R. 458.</w:t>
      </w:r>
    </w:p>
  </w:footnote>
  <w:footnote w:id="70">
    <w:p w14:paraId="44ED3CC9" w14:textId="77777777" w:rsidR="00452392" w:rsidRPr="00452392" w:rsidRDefault="00452392">
      <w:pPr>
        <w:pStyle w:val="Notedebasdepage"/>
        <w:rPr>
          <w:lang w:val="en-CA"/>
        </w:rPr>
      </w:pPr>
      <w:r>
        <w:rPr>
          <w:rStyle w:val="Appelnotedebasdep"/>
        </w:rPr>
        <w:footnoteRef/>
      </w:r>
      <w:r w:rsidRPr="00452392">
        <w:rPr>
          <w:lang w:val="en-CA"/>
        </w:rPr>
        <w:t xml:space="preserve"> </w:t>
      </w:r>
      <w:r w:rsidRPr="00452392">
        <w:rPr>
          <w:lang w:val="en-CA"/>
        </w:rPr>
        <w:tab/>
      </w:r>
      <w:r w:rsidRPr="00452392">
        <w:rPr>
          <w:i/>
          <w:iCs/>
          <w:lang w:val="en-CA"/>
        </w:rPr>
        <w:t xml:space="preserve">R. </w:t>
      </w:r>
      <w:r w:rsidRPr="00452392">
        <w:rPr>
          <w:lang w:val="en-CA"/>
        </w:rPr>
        <w:t xml:space="preserve">v. </w:t>
      </w:r>
      <w:r w:rsidRPr="00452392">
        <w:rPr>
          <w:i/>
          <w:iCs/>
          <w:lang w:val="en-CA"/>
        </w:rPr>
        <w:t>Abdullahi</w:t>
      </w:r>
      <w:r w:rsidRPr="00452392">
        <w:rPr>
          <w:lang w:val="en-CA"/>
        </w:rPr>
        <w:t>, 2023 SCC 19 at p</w:t>
      </w:r>
      <w:r>
        <w:rPr>
          <w:lang w:val="en-CA"/>
        </w:rPr>
        <w:t>ara. 92.</w:t>
      </w:r>
    </w:p>
  </w:footnote>
  <w:footnote w:id="71">
    <w:p w14:paraId="5C41B4F9" w14:textId="77777777" w:rsidR="00A43104" w:rsidRPr="00A43104" w:rsidRDefault="00A43104">
      <w:pPr>
        <w:pStyle w:val="Notedebasdepage"/>
        <w:rPr>
          <w:lang w:val="en-CA"/>
        </w:rPr>
      </w:pPr>
      <w:r>
        <w:rPr>
          <w:rStyle w:val="Appelnotedebasdep"/>
        </w:rPr>
        <w:footnoteRef/>
      </w:r>
      <w:r w:rsidRPr="00A43104">
        <w:rPr>
          <w:lang w:val="en-CA"/>
        </w:rPr>
        <w:t xml:space="preserve"> </w:t>
      </w:r>
      <w:r w:rsidRPr="00A43104">
        <w:rPr>
          <w:lang w:val="en-CA"/>
        </w:rPr>
        <w:tab/>
      </w:r>
      <w:r w:rsidRPr="00A43104">
        <w:rPr>
          <w:i/>
          <w:iCs/>
          <w:lang w:val="en-CA"/>
        </w:rPr>
        <w:t xml:space="preserve">R. </w:t>
      </w:r>
      <w:r w:rsidRPr="00A43104">
        <w:rPr>
          <w:lang w:val="en-CA"/>
        </w:rPr>
        <w:t xml:space="preserve">c. </w:t>
      </w:r>
      <w:r w:rsidRPr="00A43104">
        <w:rPr>
          <w:i/>
          <w:iCs/>
          <w:lang w:val="en-CA"/>
        </w:rPr>
        <w:t>Chemlal</w:t>
      </w:r>
      <w:r w:rsidRPr="00A43104">
        <w:rPr>
          <w:lang w:val="en-CA"/>
        </w:rPr>
        <w:t xml:space="preserve"> (November 19</w:t>
      </w:r>
      <w:r w:rsidRPr="00A43104">
        <w:rPr>
          <w:vertAlign w:val="superscript"/>
          <w:lang w:val="en-CA"/>
        </w:rPr>
        <w:t>th</w:t>
      </w:r>
      <w:r w:rsidRPr="00A43104">
        <w:rPr>
          <w:lang w:val="en-CA"/>
        </w:rPr>
        <w:t xml:space="preserve"> </w:t>
      </w:r>
      <w:r>
        <w:rPr>
          <w:lang w:val="en-CA"/>
        </w:rPr>
        <w:t>2020), dist. of Montreal 500-01-192513-197 (C.Q.) [rendered orally and transcribed].</w:t>
      </w:r>
    </w:p>
  </w:footnote>
  <w:footnote w:id="72">
    <w:p w14:paraId="5FC89902" w14:textId="77777777" w:rsidR="00A43104" w:rsidRPr="00A43104" w:rsidRDefault="00A43104">
      <w:pPr>
        <w:pStyle w:val="Notedebasdepage"/>
        <w:rPr>
          <w:lang w:val="en-CA"/>
        </w:rPr>
      </w:pPr>
      <w:r>
        <w:rPr>
          <w:rStyle w:val="Appelnotedebasdep"/>
        </w:rPr>
        <w:footnoteRef/>
      </w:r>
      <w:r w:rsidRPr="00A43104">
        <w:rPr>
          <w:lang w:val="en-CA"/>
        </w:rPr>
        <w:t xml:space="preserve"> </w:t>
      </w:r>
      <w:r>
        <w:rPr>
          <w:lang w:val="en-CA"/>
        </w:rPr>
        <w:tab/>
        <w:t xml:space="preserve">He held that the initial investigative detention was valid. However, the subsequent incident search was unlawful. Nevertheless, he admitted the firearm under s. 24(2) of the </w:t>
      </w:r>
      <w:r>
        <w:rPr>
          <w:i/>
          <w:iCs/>
          <w:lang w:val="en-CA"/>
        </w:rPr>
        <w:t>Charter</w:t>
      </w:r>
      <w:r>
        <w:rPr>
          <w:lang w:val="en-CA"/>
        </w:rPr>
        <w:t>.</w:t>
      </w:r>
    </w:p>
  </w:footnote>
  <w:footnote w:id="73">
    <w:p w14:paraId="2DA2D8CA" w14:textId="77777777" w:rsidR="00A43104" w:rsidRPr="00A43104" w:rsidRDefault="00A43104">
      <w:pPr>
        <w:pStyle w:val="Notedebasdepage"/>
        <w:rPr>
          <w:lang w:val="en-CA"/>
        </w:rPr>
      </w:pPr>
      <w:r>
        <w:rPr>
          <w:rStyle w:val="Appelnotedebasdep"/>
        </w:rPr>
        <w:footnoteRef/>
      </w:r>
      <w:r w:rsidRPr="00A43104">
        <w:rPr>
          <w:lang w:val="en-CA"/>
        </w:rPr>
        <w:t xml:space="preserve"> </w:t>
      </w:r>
      <w:r w:rsidRPr="00A43104">
        <w:rPr>
          <w:lang w:val="en-CA"/>
        </w:rPr>
        <w:tab/>
      </w:r>
      <w:r w:rsidRPr="00A43104">
        <w:rPr>
          <w:i/>
          <w:iCs/>
          <w:lang w:val="en-CA"/>
        </w:rPr>
        <w:t xml:space="preserve">R. </w:t>
      </w:r>
      <w:r w:rsidRPr="00A43104">
        <w:rPr>
          <w:lang w:val="en-CA"/>
        </w:rPr>
        <w:t xml:space="preserve">c. </w:t>
      </w:r>
      <w:r w:rsidRPr="00A43104">
        <w:rPr>
          <w:i/>
          <w:iCs/>
          <w:lang w:val="en-CA"/>
        </w:rPr>
        <w:t>Chemlal</w:t>
      </w:r>
      <w:r w:rsidRPr="00A43104">
        <w:rPr>
          <w:lang w:val="en-CA"/>
        </w:rPr>
        <w:t xml:space="preserve">, </w:t>
      </w:r>
      <w:r w:rsidRPr="00A43104">
        <w:rPr>
          <w:i/>
          <w:iCs/>
          <w:lang w:val="en-CA"/>
        </w:rPr>
        <w:t>supra</w:t>
      </w:r>
      <w:r w:rsidRPr="00A43104">
        <w:rPr>
          <w:lang w:val="en-CA"/>
        </w:rPr>
        <w:t>, at</w:t>
      </w:r>
      <w:r>
        <w:rPr>
          <w:lang w:val="en-CA"/>
        </w:rPr>
        <w:t xml:space="preserve"> p. 4.</w:t>
      </w:r>
    </w:p>
  </w:footnote>
  <w:footnote w:id="74">
    <w:p w14:paraId="5B6388E9" w14:textId="77777777" w:rsidR="001079F9" w:rsidRDefault="001079F9">
      <w:pPr>
        <w:pStyle w:val="Notedebasdepage"/>
      </w:pPr>
      <w:r>
        <w:rPr>
          <w:rStyle w:val="Appelnotedebasdep"/>
        </w:rPr>
        <w:footnoteRef/>
      </w:r>
      <w:r>
        <w:t xml:space="preserve"> </w:t>
      </w:r>
      <w:r>
        <w:tab/>
      </w:r>
      <w:r w:rsidRPr="00A43104">
        <w:rPr>
          <w:i/>
          <w:iCs/>
        </w:rPr>
        <w:t xml:space="preserve">R. </w:t>
      </w:r>
      <w:r w:rsidRPr="00A43104">
        <w:t xml:space="preserve">c. </w:t>
      </w:r>
      <w:r w:rsidRPr="00A43104">
        <w:rPr>
          <w:i/>
          <w:iCs/>
        </w:rPr>
        <w:t>Accurso</w:t>
      </w:r>
      <w:r w:rsidRPr="00A43104">
        <w:t>, 2022 QCCA 752 a</w:t>
      </w:r>
      <w:r>
        <w:t>t</w:t>
      </w:r>
      <w:r w:rsidRPr="00A43104">
        <w:t xml:space="preserve"> para. </w:t>
      </w:r>
      <w:r w:rsidRPr="00CD34C8">
        <w:t>346</w:t>
      </w:r>
      <w:r>
        <w:t>.</w:t>
      </w:r>
    </w:p>
  </w:footnote>
  <w:footnote w:id="75">
    <w:p w14:paraId="14883015" w14:textId="77777777" w:rsidR="001079F9" w:rsidRDefault="001079F9">
      <w:pPr>
        <w:pStyle w:val="Notedebasdepage"/>
      </w:pPr>
      <w:r>
        <w:rPr>
          <w:rStyle w:val="Appelnotedebasdep"/>
        </w:rPr>
        <w:footnoteRef/>
      </w:r>
      <w:r>
        <w:t xml:space="preserve"> </w:t>
      </w:r>
      <w:r>
        <w:tab/>
      </w:r>
      <w:r w:rsidRPr="00CD34C8">
        <w:rPr>
          <w:i/>
          <w:iCs/>
        </w:rPr>
        <w:t xml:space="preserve">R. </w:t>
      </w:r>
      <w:r w:rsidRPr="00CD34C8">
        <w:t xml:space="preserve">c. </w:t>
      </w:r>
      <w:r w:rsidRPr="00CD34C8">
        <w:rPr>
          <w:i/>
          <w:iCs/>
        </w:rPr>
        <w:t>Fort-Théagène</w:t>
      </w:r>
      <w:r w:rsidRPr="00CD34C8">
        <w:t>, 2021 QCCA 6</w:t>
      </w:r>
      <w:r>
        <w:t>3</w:t>
      </w:r>
      <w:r w:rsidRPr="00CD34C8">
        <w:t>7 a</w:t>
      </w:r>
      <w:r>
        <w:t>t</w:t>
      </w:r>
      <w:r w:rsidRPr="00CD34C8">
        <w:t xml:space="preserve"> para. 27</w:t>
      </w:r>
      <w:r>
        <w:t>.</w:t>
      </w:r>
    </w:p>
  </w:footnote>
  <w:footnote w:id="76">
    <w:p w14:paraId="47A95C83" w14:textId="77777777" w:rsidR="001079F9" w:rsidRPr="00686B85" w:rsidRDefault="001079F9">
      <w:pPr>
        <w:pStyle w:val="Notedebasdepage"/>
        <w:rPr>
          <w:lang w:val="en-CA"/>
        </w:rPr>
      </w:pPr>
      <w:r>
        <w:rPr>
          <w:rStyle w:val="Appelnotedebasdep"/>
        </w:rPr>
        <w:footnoteRef/>
      </w:r>
      <w:r>
        <w:t xml:space="preserve"> </w:t>
      </w:r>
      <w:r>
        <w:tab/>
      </w:r>
      <w:r w:rsidRPr="00CD34C8">
        <w:rPr>
          <w:i/>
          <w:iCs/>
        </w:rPr>
        <w:t xml:space="preserve">R. </w:t>
      </w:r>
      <w:r w:rsidRPr="00CD34C8">
        <w:t xml:space="preserve">c. </w:t>
      </w:r>
      <w:r w:rsidRPr="00CD34C8">
        <w:rPr>
          <w:i/>
          <w:iCs/>
        </w:rPr>
        <w:t>Lalancette</w:t>
      </w:r>
      <w:r w:rsidRPr="00CD34C8">
        <w:t>, 2016 QCCA 1871 a</w:t>
      </w:r>
      <w:r>
        <w:t>t</w:t>
      </w:r>
      <w:r w:rsidRPr="00CD34C8">
        <w:t xml:space="preserve"> para. 6; </w:t>
      </w:r>
      <w:r w:rsidRPr="00CD34C8">
        <w:rPr>
          <w:i/>
          <w:iCs/>
        </w:rPr>
        <w:t xml:space="preserve">R. </w:t>
      </w:r>
      <w:r w:rsidRPr="00CD34C8">
        <w:t xml:space="preserve">c. </w:t>
      </w:r>
      <w:r w:rsidRPr="00CD34C8">
        <w:rPr>
          <w:i/>
          <w:iCs/>
        </w:rPr>
        <w:t>Massoud</w:t>
      </w:r>
      <w:r w:rsidRPr="00CD34C8">
        <w:t>,</w:t>
      </w:r>
      <w:r w:rsidRPr="00CD34C8">
        <w:rPr>
          <w:i/>
          <w:iCs/>
        </w:rPr>
        <w:t xml:space="preserve"> </w:t>
      </w:r>
      <w:r w:rsidRPr="00CD34C8">
        <w:t>2021 QCCA 21 a</w:t>
      </w:r>
      <w:r>
        <w:t>t</w:t>
      </w:r>
      <w:r w:rsidRPr="00CD34C8">
        <w:t xml:space="preserve"> para. 46; </w:t>
      </w:r>
      <w:r w:rsidRPr="00CD34C8">
        <w:rPr>
          <w:i/>
          <w:iCs/>
        </w:rPr>
        <w:t>DPCP</w:t>
      </w:r>
      <w:r w:rsidRPr="00CD34C8">
        <w:t xml:space="preserve"> c. </w:t>
      </w:r>
      <w:r w:rsidRPr="00CD34C8">
        <w:rPr>
          <w:i/>
          <w:iCs/>
        </w:rPr>
        <w:t>3095-2899 Québec Inc.</w:t>
      </w:r>
      <w:r w:rsidRPr="00CD34C8">
        <w:t>, 2021 QCCA 1222 a</w:t>
      </w:r>
      <w:r>
        <w:t>t</w:t>
      </w:r>
      <w:r w:rsidRPr="00CD34C8">
        <w:t xml:space="preserve"> para. </w:t>
      </w:r>
      <w:r w:rsidRPr="001079F9">
        <w:rPr>
          <w:lang w:val="en-CA"/>
        </w:rPr>
        <w:t xml:space="preserve">88, leave to appeal denied, [2021] S.C.C.A. No. 355; </w:t>
      </w:r>
      <w:r w:rsidRPr="001079F9">
        <w:rPr>
          <w:i/>
          <w:iCs/>
          <w:lang w:val="en-CA"/>
        </w:rPr>
        <w:t xml:space="preserve">R. </w:t>
      </w:r>
      <w:r w:rsidRPr="001079F9">
        <w:rPr>
          <w:lang w:val="en-CA"/>
        </w:rPr>
        <w:t xml:space="preserve">c. </w:t>
      </w:r>
      <w:r w:rsidRPr="001079F9">
        <w:rPr>
          <w:i/>
          <w:iCs/>
          <w:lang w:val="en-CA"/>
        </w:rPr>
        <w:t>Daley</w:t>
      </w:r>
      <w:r w:rsidRPr="001079F9">
        <w:rPr>
          <w:lang w:val="en-CA"/>
        </w:rPr>
        <w:t xml:space="preserve">, [2007] 3 </w:t>
      </w:r>
      <w:r>
        <w:rPr>
          <w:lang w:val="en-CA"/>
        </w:rPr>
        <w:t>S.C.R.</w:t>
      </w:r>
      <w:r w:rsidRPr="001079F9">
        <w:rPr>
          <w:lang w:val="en-CA"/>
        </w:rPr>
        <w:t xml:space="preserve"> 523 a</w:t>
      </w:r>
      <w:r>
        <w:rPr>
          <w:lang w:val="en-CA"/>
        </w:rPr>
        <w:t>t</w:t>
      </w:r>
      <w:r w:rsidRPr="001079F9">
        <w:rPr>
          <w:lang w:val="en-CA"/>
        </w:rPr>
        <w:t xml:space="preserve"> para. </w:t>
      </w:r>
      <w:r w:rsidRPr="00686B85">
        <w:rPr>
          <w:lang w:val="en-CA"/>
        </w:rPr>
        <w:t>86.</w:t>
      </w:r>
    </w:p>
  </w:footnote>
  <w:footnote w:id="77">
    <w:p w14:paraId="474EE0FC" w14:textId="77777777" w:rsidR="00A43104" w:rsidRPr="00686B85" w:rsidRDefault="00A43104" w:rsidP="00A43104">
      <w:pPr>
        <w:pStyle w:val="Notedebasdepage"/>
        <w:rPr>
          <w:lang w:val="en-CA"/>
        </w:rPr>
      </w:pPr>
      <w:r>
        <w:rPr>
          <w:rStyle w:val="Appelnotedebasdep"/>
        </w:rPr>
        <w:footnoteRef/>
      </w:r>
      <w:r w:rsidRPr="00686B85">
        <w:rPr>
          <w:lang w:val="en-CA"/>
        </w:rPr>
        <w:t xml:space="preserve"> </w:t>
      </w:r>
      <w:r w:rsidRPr="00686B85">
        <w:rPr>
          <w:lang w:val="en-CA"/>
        </w:rPr>
        <w:tab/>
      </w:r>
      <w:r w:rsidRPr="00686B85">
        <w:rPr>
          <w:rFonts w:cs="Arial"/>
          <w:i/>
          <w:iCs/>
          <w:lang w:val="en-CA"/>
        </w:rPr>
        <w:t xml:space="preserve">R. </w:t>
      </w:r>
      <w:r w:rsidRPr="00686B85">
        <w:rPr>
          <w:rFonts w:cs="Arial"/>
          <w:lang w:val="en-CA"/>
        </w:rPr>
        <w:t xml:space="preserve">c. </w:t>
      </w:r>
      <w:r w:rsidRPr="00686B85">
        <w:rPr>
          <w:rFonts w:cs="Arial"/>
          <w:i/>
          <w:iCs/>
          <w:lang w:val="en-CA"/>
        </w:rPr>
        <w:t>Giroux</w:t>
      </w:r>
      <w:r w:rsidRPr="00686B85">
        <w:rPr>
          <w:rFonts w:cs="Arial"/>
          <w:lang w:val="en-CA"/>
        </w:rPr>
        <w:t>, 2007 QCCA 1670 a</w:t>
      </w:r>
      <w:r w:rsidR="001079F9" w:rsidRPr="00686B85">
        <w:rPr>
          <w:rFonts w:cs="Arial"/>
          <w:lang w:val="en-CA"/>
        </w:rPr>
        <w:t>t</w:t>
      </w:r>
      <w:r w:rsidRPr="00686B85">
        <w:rPr>
          <w:rFonts w:cs="Arial"/>
          <w:lang w:val="en-CA"/>
        </w:rPr>
        <w:t xml:space="preserve"> para. 10; </w:t>
      </w:r>
      <w:r w:rsidRPr="00686B85">
        <w:rPr>
          <w:rFonts w:cs="Arial"/>
          <w:i/>
          <w:iCs/>
          <w:lang w:val="en-CA"/>
        </w:rPr>
        <w:t xml:space="preserve">R. </w:t>
      </w:r>
      <w:r w:rsidRPr="00686B85">
        <w:rPr>
          <w:rFonts w:cs="Arial"/>
          <w:lang w:val="en-CA"/>
        </w:rPr>
        <w:t xml:space="preserve">c. </w:t>
      </w:r>
      <w:r w:rsidRPr="00686B85">
        <w:rPr>
          <w:rFonts w:cs="Arial"/>
          <w:i/>
          <w:iCs/>
          <w:lang w:val="en-CA"/>
        </w:rPr>
        <w:t>Bossé</w:t>
      </w:r>
      <w:r w:rsidRPr="00686B85">
        <w:rPr>
          <w:rFonts w:cs="Arial"/>
          <w:lang w:val="en-CA"/>
        </w:rPr>
        <w:t>, 2021 QCCA 1829 a</w:t>
      </w:r>
      <w:r w:rsidR="001079F9" w:rsidRPr="00686B85">
        <w:rPr>
          <w:rFonts w:cs="Arial"/>
          <w:lang w:val="en-CA"/>
        </w:rPr>
        <w:t>t</w:t>
      </w:r>
      <w:r w:rsidRPr="00686B85">
        <w:rPr>
          <w:rFonts w:cs="Arial"/>
          <w:lang w:val="en-CA"/>
        </w:rPr>
        <w:t xml:space="preserve"> para. 26.</w:t>
      </w:r>
    </w:p>
  </w:footnote>
  <w:footnote w:id="78">
    <w:p w14:paraId="381A03C1" w14:textId="77777777" w:rsidR="00DF7AE6" w:rsidRPr="00DF7AE6" w:rsidRDefault="00DF7AE6">
      <w:pPr>
        <w:pStyle w:val="Notedebasdepage"/>
        <w:rPr>
          <w:lang w:val="en-CA"/>
        </w:rPr>
      </w:pPr>
      <w:r>
        <w:rPr>
          <w:rStyle w:val="Appelnotedebasdep"/>
        </w:rPr>
        <w:footnoteRef/>
      </w:r>
      <w:r w:rsidRPr="00DF7AE6">
        <w:rPr>
          <w:lang w:val="en-CA"/>
        </w:rPr>
        <w:t xml:space="preserve"> </w:t>
      </w:r>
      <w:r>
        <w:rPr>
          <w:lang w:val="en-CA"/>
        </w:rPr>
        <w:tab/>
      </w:r>
      <w:r>
        <w:rPr>
          <w:i/>
          <w:iCs/>
          <w:lang w:val="en-CA"/>
        </w:rPr>
        <w:t xml:space="preserve">R. </w:t>
      </w:r>
      <w:r>
        <w:rPr>
          <w:lang w:val="en-CA"/>
        </w:rPr>
        <w:t xml:space="preserve">v. </w:t>
      </w:r>
      <w:r>
        <w:rPr>
          <w:i/>
          <w:iCs/>
          <w:lang w:val="en-CA"/>
        </w:rPr>
        <w:t>Wilkinson</w:t>
      </w:r>
      <w:r>
        <w:rPr>
          <w:lang w:val="en-CA"/>
        </w:rPr>
        <w:t xml:space="preserve"> (2023), 421 C.C.C. (3d) 518 (B.C.C.A.) at para. 55.</w:t>
      </w:r>
    </w:p>
  </w:footnote>
  <w:footnote w:id="79">
    <w:p w14:paraId="590EE5A5" w14:textId="77777777" w:rsidR="000F2AA1" w:rsidRPr="000F2AA1" w:rsidRDefault="000F2AA1">
      <w:pPr>
        <w:pStyle w:val="Notedebasdepage"/>
        <w:rPr>
          <w:lang w:val="en-CA"/>
        </w:rPr>
      </w:pPr>
      <w:r>
        <w:rPr>
          <w:rStyle w:val="Appelnotedebasdep"/>
        </w:rPr>
        <w:footnoteRef/>
      </w:r>
      <w:r w:rsidRPr="000F2AA1">
        <w:rPr>
          <w:lang w:val="en-CA"/>
        </w:rPr>
        <w:t xml:space="preserve"> </w:t>
      </w:r>
      <w:r w:rsidRPr="000F2AA1">
        <w:rPr>
          <w:lang w:val="en-CA"/>
        </w:rPr>
        <w:tab/>
      </w:r>
      <w:r w:rsidRPr="000F2AA1">
        <w:rPr>
          <w:i/>
          <w:iCs/>
          <w:lang w:val="en-CA"/>
        </w:rPr>
        <w:t xml:space="preserve">R. </w:t>
      </w:r>
      <w:r w:rsidRPr="000F2AA1">
        <w:rPr>
          <w:lang w:val="en-CA"/>
        </w:rPr>
        <w:t xml:space="preserve">v. </w:t>
      </w:r>
      <w:r w:rsidRPr="000F2AA1">
        <w:rPr>
          <w:i/>
          <w:iCs/>
          <w:lang w:val="en-CA"/>
        </w:rPr>
        <w:t>McKenzie</w:t>
      </w:r>
      <w:r w:rsidRPr="000F2AA1">
        <w:rPr>
          <w:lang w:val="en-CA"/>
        </w:rPr>
        <w:t xml:space="preserve"> (2022), 77 C.R. (7th</w:t>
      </w:r>
      <w:r>
        <w:rPr>
          <w:lang w:val="en-CA"/>
        </w:rPr>
        <w:t>) 313 (Man.C.A.), leave to appeal denied, [2022] S.C.C.A. No. 64.</w:t>
      </w:r>
    </w:p>
  </w:footnote>
  <w:footnote w:id="80">
    <w:p w14:paraId="2B8CBF50" w14:textId="77777777" w:rsidR="00B92F1A" w:rsidRPr="00B92F1A" w:rsidRDefault="00B92F1A">
      <w:pPr>
        <w:pStyle w:val="Notedebasdepage"/>
        <w:rPr>
          <w:lang w:val="en-CA"/>
        </w:rPr>
      </w:pPr>
      <w:r>
        <w:rPr>
          <w:rStyle w:val="Appelnotedebasdep"/>
        </w:rPr>
        <w:footnoteRef/>
      </w:r>
      <w:r w:rsidRPr="00B92F1A">
        <w:rPr>
          <w:lang w:val="en-CA"/>
        </w:rPr>
        <w:t xml:space="preserve"> </w:t>
      </w:r>
      <w:r w:rsidRPr="00B92F1A">
        <w:rPr>
          <w:lang w:val="en-CA"/>
        </w:rPr>
        <w:tab/>
      </w:r>
      <w:r w:rsidRPr="00417AF2">
        <w:rPr>
          <w:i/>
          <w:iCs/>
          <w:lang w:val="en-CA"/>
        </w:rPr>
        <w:t xml:space="preserve">R. </w:t>
      </w:r>
      <w:r w:rsidRPr="00417AF2">
        <w:rPr>
          <w:lang w:val="en-CA"/>
        </w:rPr>
        <w:t xml:space="preserve">c. </w:t>
      </w:r>
      <w:r w:rsidRPr="00417AF2">
        <w:rPr>
          <w:i/>
          <w:iCs/>
          <w:lang w:val="en-CA"/>
        </w:rPr>
        <w:t>Fadel</w:t>
      </w:r>
      <w:r w:rsidRPr="00417AF2">
        <w:rPr>
          <w:lang w:val="en-CA"/>
        </w:rPr>
        <w:t xml:space="preserve"> (2015), 22 C.R. (7th) 210 (Qu</w:t>
      </w:r>
      <w:r>
        <w:rPr>
          <w:lang w:val="en-CA"/>
        </w:rPr>
        <w:t>e</w:t>
      </w:r>
      <w:r w:rsidRPr="00417AF2">
        <w:rPr>
          <w:lang w:val="en-CA"/>
        </w:rPr>
        <w:t>.</w:t>
      </w:r>
      <w:r>
        <w:rPr>
          <w:lang w:val="en-CA"/>
        </w:rPr>
        <w:t>C.A.</w:t>
      </w:r>
      <w:r w:rsidRPr="00417AF2">
        <w:rPr>
          <w:lang w:val="en-CA"/>
        </w:rPr>
        <w:t>)</w:t>
      </w:r>
      <w:r>
        <w:rPr>
          <w:lang w:val="en-CA"/>
        </w:rPr>
        <w:t>.</w:t>
      </w:r>
    </w:p>
  </w:footnote>
  <w:footnote w:id="81">
    <w:p w14:paraId="519427C5" w14:textId="77777777" w:rsidR="003E2B91" w:rsidRPr="003E2B91" w:rsidRDefault="003E2B91">
      <w:pPr>
        <w:pStyle w:val="Notedebasdepage"/>
        <w:rPr>
          <w:lang w:val="en-CA"/>
        </w:rPr>
      </w:pPr>
      <w:r>
        <w:rPr>
          <w:rStyle w:val="Appelnotedebasdep"/>
        </w:rPr>
        <w:footnoteRef/>
      </w:r>
      <w:r w:rsidRPr="003E2B91">
        <w:rPr>
          <w:lang w:val="en-CA"/>
        </w:rPr>
        <w:t xml:space="preserve"> </w:t>
      </w:r>
      <w:r w:rsidRPr="003E2B91">
        <w:rPr>
          <w:lang w:val="en-CA"/>
        </w:rPr>
        <w:tab/>
      </w:r>
      <w:r w:rsidRPr="00D444AD">
        <w:rPr>
          <w:i/>
          <w:iCs/>
          <w:lang w:val="en-CA"/>
        </w:rPr>
        <w:t xml:space="preserve">R. </w:t>
      </w:r>
      <w:r w:rsidRPr="00D444AD">
        <w:rPr>
          <w:lang w:val="en-CA"/>
        </w:rPr>
        <w:t xml:space="preserve">c. </w:t>
      </w:r>
      <w:r w:rsidRPr="00D444AD">
        <w:rPr>
          <w:i/>
          <w:iCs/>
          <w:lang w:val="en-CA"/>
        </w:rPr>
        <w:t>Hizebry</w:t>
      </w:r>
      <w:r w:rsidRPr="00D444AD">
        <w:rPr>
          <w:lang w:val="en-CA"/>
        </w:rPr>
        <w:t>, 2023 QCCQ 2957</w:t>
      </w:r>
      <w:r>
        <w:rPr>
          <w:lang w:val="en-CA"/>
        </w:rPr>
        <w:t>.</w:t>
      </w:r>
    </w:p>
  </w:footnote>
  <w:footnote w:id="82">
    <w:p w14:paraId="3BC683E3" w14:textId="77777777" w:rsidR="002E0AD2" w:rsidRPr="002E0AD2" w:rsidRDefault="002E0AD2" w:rsidP="002E0AD2">
      <w:pPr>
        <w:pStyle w:val="Notedebasdepage"/>
        <w:rPr>
          <w:lang w:val="en-CA"/>
        </w:rPr>
      </w:pPr>
      <w:r>
        <w:rPr>
          <w:rStyle w:val="Appelnotedebasdep"/>
        </w:rPr>
        <w:footnoteRef/>
      </w:r>
      <w:r w:rsidRPr="002E0AD2">
        <w:rPr>
          <w:lang w:val="en-CA"/>
        </w:rPr>
        <w:t xml:space="preserve"> </w:t>
      </w:r>
      <w:r w:rsidRPr="002E0AD2">
        <w:rPr>
          <w:lang w:val="en-CA"/>
        </w:rPr>
        <w:tab/>
        <w:t>L.C. 1995, c. 39.</w:t>
      </w:r>
    </w:p>
  </w:footnote>
  <w:footnote w:id="83">
    <w:p w14:paraId="49BE74B4" w14:textId="77777777" w:rsidR="002E0AD2" w:rsidRPr="002E0AD2" w:rsidRDefault="002E0AD2" w:rsidP="002E0AD2">
      <w:pPr>
        <w:pStyle w:val="Notedebasdepage"/>
        <w:rPr>
          <w:lang w:val="en-CA"/>
        </w:rPr>
      </w:pPr>
      <w:r>
        <w:rPr>
          <w:rStyle w:val="Appelnotedebasdep"/>
        </w:rPr>
        <w:footnoteRef/>
      </w:r>
      <w:r w:rsidRPr="002E0AD2">
        <w:rPr>
          <w:lang w:val="en-CA"/>
        </w:rPr>
        <w:t xml:space="preserve"> </w:t>
      </w:r>
      <w:r>
        <w:rPr>
          <w:lang w:val="en-CA"/>
        </w:rPr>
        <w:tab/>
      </w:r>
      <w:r>
        <w:rPr>
          <w:i/>
          <w:iCs/>
          <w:lang w:val="en-CA"/>
        </w:rPr>
        <w:t>Authorizations to Carry Restricted Firearms and Certain Handguns Regulations</w:t>
      </w:r>
      <w:r>
        <w:rPr>
          <w:lang w:val="en-CA"/>
        </w:rPr>
        <w:t>, SOR/98-207, s. 3.</w:t>
      </w:r>
    </w:p>
  </w:footnote>
  <w:footnote w:id="84">
    <w:p w14:paraId="2A90040B" w14:textId="77777777" w:rsidR="002E0AD2" w:rsidRPr="0015510F" w:rsidRDefault="002E0AD2" w:rsidP="002E0AD2">
      <w:pPr>
        <w:pStyle w:val="Notedebasdepage"/>
        <w:rPr>
          <w:lang w:val="en-CA"/>
        </w:rPr>
      </w:pPr>
      <w:r>
        <w:rPr>
          <w:rStyle w:val="Appelnotedebasdep"/>
        </w:rPr>
        <w:footnoteRef/>
      </w:r>
      <w:r w:rsidRPr="0015510F">
        <w:rPr>
          <w:lang w:val="en-CA"/>
        </w:rPr>
        <w:t xml:space="preserve"> </w:t>
      </w:r>
      <w:r w:rsidRPr="0015510F">
        <w:rPr>
          <w:lang w:val="en-CA"/>
        </w:rPr>
        <w:tab/>
      </w:r>
      <w:r w:rsidRPr="0015510F">
        <w:rPr>
          <w:i/>
          <w:iCs/>
          <w:lang w:val="en-CA"/>
        </w:rPr>
        <w:t>Storage, Display, Transportation and Handling o</w:t>
      </w:r>
      <w:r>
        <w:rPr>
          <w:i/>
          <w:iCs/>
          <w:lang w:val="en-CA"/>
        </w:rPr>
        <w:t>f Firearms by Individuals Regulations</w:t>
      </w:r>
      <w:r>
        <w:rPr>
          <w:lang w:val="en-CA"/>
        </w:rPr>
        <w:t>, SOR/98-209, s. 11(c).</w:t>
      </w:r>
    </w:p>
  </w:footnote>
  <w:footnote w:id="85">
    <w:p w14:paraId="71F7EDFD" w14:textId="77777777" w:rsidR="00A8376D" w:rsidRPr="00417AF2" w:rsidRDefault="00A8376D">
      <w:pPr>
        <w:pStyle w:val="Notedebasdepage"/>
        <w:rPr>
          <w:lang w:val="en-CA"/>
        </w:rPr>
      </w:pPr>
      <w:r>
        <w:rPr>
          <w:rStyle w:val="Appelnotedebasdep"/>
        </w:rPr>
        <w:footnoteRef/>
      </w:r>
      <w:r w:rsidRPr="00417AF2">
        <w:rPr>
          <w:lang w:val="en-CA"/>
        </w:rPr>
        <w:t xml:space="preserve"> </w:t>
      </w:r>
      <w:r w:rsidRPr="00417AF2">
        <w:rPr>
          <w:lang w:val="en-CA"/>
        </w:rPr>
        <w:tab/>
      </w:r>
      <w:r w:rsidRPr="00417AF2">
        <w:rPr>
          <w:i/>
          <w:iCs/>
          <w:lang w:val="en-CA"/>
        </w:rPr>
        <w:t xml:space="preserve">R. </w:t>
      </w:r>
      <w:r w:rsidRPr="00417AF2">
        <w:rPr>
          <w:lang w:val="en-CA"/>
        </w:rPr>
        <w:t xml:space="preserve">c. </w:t>
      </w:r>
      <w:r w:rsidRPr="00417AF2">
        <w:rPr>
          <w:i/>
          <w:iCs/>
          <w:lang w:val="en-CA"/>
        </w:rPr>
        <w:t>Fadel</w:t>
      </w:r>
      <w:r w:rsidRPr="00417AF2">
        <w:rPr>
          <w:lang w:val="en-CA"/>
        </w:rPr>
        <w:t xml:space="preserve"> </w:t>
      </w:r>
      <w:r w:rsidR="00417AF2" w:rsidRPr="00417AF2">
        <w:rPr>
          <w:lang w:val="en-CA"/>
        </w:rPr>
        <w:t>(2015), 22 C.R. (7th) 210 (Qu</w:t>
      </w:r>
      <w:r w:rsidR="00417AF2">
        <w:rPr>
          <w:lang w:val="en-CA"/>
        </w:rPr>
        <w:t>e</w:t>
      </w:r>
      <w:r w:rsidR="00417AF2" w:rsidRPr="00417AF2">
        <w:rPr>
          <w:lang w:val="en-CA"/>
        </w:rPr>
        <w:t>.</w:t>
      </w:r>
      <w:r w:rsidR="00417AF2">
        <w:rPr>
          <w:lang w:val="en-CA"/>
        </w:rPr>
        <w:t>C.A.</w:t>
      </w:r>
      <w:r w:rsidR="00417AF2" w:rsidRPr="00417AF2">
        <w:rPr>
          <w:lang w:val="en-CA"/>
        </w:rPr>
        <w:t>)</w:t>
      </w:r>
      <w:r w:rsidRPr="00417AF2">
        <w:rPr>
          <w:lang w:val="en-CA"/>
        </w:rPr>
        <w:t xml:space="preserve"> at para. 29.</w:t>
      </w:r>
    </w:p>
  </w:footnote>
  <w:footnote w:id="86">
    <w:p w14:paraId="4F71F480" w14:textId="77777777" w:rsidR="00C865D0" w:rsidRPr="00417AF2" w:rsidRDefault="00C865D0">
      <w:pPr>
        <w:pStyle w:val="Notedebasdepage"/>
        <w:rPr>
          <w:lang w:val="en-CA"/>
        </w:rPr>
      </w:pPr>
      <w:r>
        <w:rPr>
          <w:rStyle w:val="Appelnotedebasdep"/>
        </w:rPr>
        <w:footnoteRef/>
      </w:r>
      <w:r w:rsidRPr="00417AF2">
        <w:rPr>
          <w:lang w:val="en-CA"/>
        </w:rPr>
        <w:t xml:space="preserve"> </w:t>
      </w:r>
      <w:r w:rsidRPr="00417AF2">
        <w:rPr>
          <w:lang w:val="en-CA"/>
        </w:rPr>
        <w:tab/>
      </w:r>
      <w:r w:rsidRPr="00417AF2">
        <w:rPr>
          <w:i/>
          <w:iCs/>
          <w:lang w:val="en-CA"/>
        </w:rPr>
        <w:t xml:space="preserve">R. </w:t>
      </w:r>
      <w:r w:rsidRPr="00417AF2">
        <w:rPr>
          <w:lang w:val="en-CA"/>
        </w:rPr>
        <w:t xml:space="preserve">v. </w:t>
      </w:r>
      <w:r w:rsidRPr="00417AF2">
        <w:rPr>
          <w:i/>
          <w:iCs/>
          <w:lang w:val="en-CA"/>
        </w:rPr>
        <w:t>Chehil</w:t>
      </w:r>
      <w:r w:rsidRPr="00417AF2">
        <w:rPr>
          <w:lang w:val="en-CA"/>
        </w:rPr>
        <w:t xml:space="preserve">, </w:t>
      </w:r>
      <w:r w:rsidRPr="00417AF2">
        <w:rPr>
          <w:i/>
          <w:iCs/>
          <w:lang w:val="en-CA"/>
        </w:rPr>
        <w:t>supra</w:t>
      </w:r>
      <w:r w:rsidRPr="00417AF2">
        <w:rPr>
          <w:lang w:val="en-CA"/>
        </w:rPr>
        <w:t>, at para. 31.</w:t>
      </w:r>
      <w:r w:rsidR="005122FA">
        <w:rPr>
          <w:lang w:val="en-CA"/>
        </w:rPr>
        <w:t xml:space="preserve"> See also: </w:t>
      </w:r>
      <w:r w:rsidR="005122FA">
        <w:rPr>
          <w:i/>
          <w:iCs/>
          <w:lang w:val="en-CA"/>
        </w:rPr>
        <w:t xml:space="preserve">R. </w:t>
      </w:r>
      <w:r w:rsidR="005122FA">
        <w:rPr>
          <w:lang w:val="en-CA"/>
        </w:rPr>
        <w:t xml:space="preserve">v. </w:t>
      </w:r>
      <w:r w:rsidR="005122FA">
        <w:rPr>
          <w:i/>
          <w:iCs/>
          <w:lang w:val="en-CA"/>
        </w:rPr>
        <w:t>Darteh</w:t>
      </w:r>
      <w:r w:rsidR="005122FA">
        <w:rPr>
          <w:lang w:val="en-CA"/>
        </w:rPr>
        <w:t>, 2016 ONCA 141 at para. 7.</w:t>
      </w:r>
    </w:p>
  </w:footnote>
  <w:footnote w:id="87">
    <w:p w14:paraId="61BDBA6C" w14:textId="77777777" w:rsidR="002A1D1E" w:rsidRPr="002A1D1E" w:rsidRDefault="002A1D1E">
      <w:pPr>
        <w:pStyle w:val="Notedebasdepage"/>
        <w:rPr>
          <w:lang w:val="en-CA"/>
        </w:rPr>
      </w:pPr>
      <w:r>
        <w:rPr>
          <w:rStyle w:val="Appelnotedebasdep"/>
        </w:rPr>
        <w:footnoteRef/>
      </w:r>
      <w:r w:rsidRPr="002A1D1E">
        <w:rPr>
          <w:lang w:val="en-CA"/>
        </w:rPr>
        <w:t xml:space="preserve"> </w:t>
      </w:r>
      <w:r>
        <w:rPr>
          <w:lang w:val="en-CA"/>
        </w:rPr>
        <w:tab/>
      </w:r>
      <w:r>
        <w:rPr>
          <w:i/>
          <w:iCs/>
          <w:lang w:val="en-CA"/>
        </w:rPr>
        <w:t xml:space="preserve">R. </w:t>
      </w:r>
      <w:r w:rsidR="005B27F1">
        <w:rPr>
          <w:lang w:val="en-CA"/>
        </w:rPr>
        <w:t>c</w:t>
      </w:r>
      <w:r>
        <w:rPr>
          <w:lang w:val="en-CA"/>
        </w:rPr>
        <w:t xml:space="preserve">. </w:t>
      </w:r>
      <w:r>
        <w:rPr>
          <w:i/>
          <w:iCs/>
          <w:lang w:val="en-CA"/>
        </w:rPr>
        <w:t>Hizebry</w:t>
      </w:r>
      <w:r>
        <w:rPr>
          <w:lang w:val="en-CA"/>
        </w:rPr>
        <w:t>, 2023 QCCQ 2957 at paras. 4-10.</w:t>
      </w:r>
    </w:p>
  </w:footnote>
  <w:footnote w:id="88">
    <w:p w14:paraId="46A5BEF7" w14:textId="77777777" w:rsidR="002A1D1E" w:rsidRPr="002A1D1E" w:rsidRDefault="002A1D1E">
      <w:pPr>
        <w:pStyle w:val="Notedebasdepage"/>
        <w:rPr>
          <w:lang w:val="en-CA"/>
        </w:rPr>
      </w:pPr>
      <w:r>
        <w:rPr>
          <w:rStyle w:val="Appelnotedebasdep"/>
        </w:rPr>
        <w:footnoteRef/>
      </w:r>
      <w:r w:rsidRPr="002A1D1E">
        <w:rPr>
          <w:lang w:val="en-CA"/>
        </w:rPr>
        <w:t xml:space="preserve"> </w:t>
      </w:r>
      <w:r>
        <w:rPr>
          <w:lang w:val="en-CA"/>
        </w:rPr>
        <w:tab/>
      </w:r>
      <w:r>
        <w:rPr>
          <w:i/>
          <w:iCs/>
          <w:lang w:val="en-CA"/>
        </w:rPr>
        <w:t>Ibid</w:t>
      </w:r>
      <w:r>
        <w:rPr>
          <w:lang w:val="en-CA"/>
        </w:rPr>
        <w:t>. at paras. 29-37.</w:t>
      </w:r>
    </w:p>
  </w:footnote>
  <w:footnote w:id="89">
    <w:p w14:paraId="5F9BDBA0" w14:textId="77777777" w:rsidR="002F5E13" w:rsidRPr="002F5E13" w:rsidRDefault="002F5E13">
      <w:pPr>
        <w:pStyle w:val="Notedebasdepage"/>
        <w:rPr>
          <w:lang w:val="en-CA"/>
        </w:rPr>
      </w:pPr>
      <w:r>
        <w:rPr>
          <w:rStyle w:val="Appelnotedebasdep"/>
        </w:rPr>
        <w:footnoteRef/>
      </w:r>
      <w:r w:rsidRPr="002F5E13">
        <w:rPr>
          <w:lang w:val="en-CA"/>
        </w:rPr>
        <w:t xml:space="preserve"> </w:t>
      </w:r>
      <w:r>
        <w:rPr>
          <w:lang w:val="en-CA"/>
        </w:rPr>
        <w:tab/>
      </w:r>
      <w:r>
        <w:rPr>
          <w:i/>
          <w:iCs/>
          <w:lang w:val="en-CA"/>
        </w:rPr>
        <w:t>Ibid</w:t>
      </w:r>
      <w:r>
        <w:rPr>
          <w:lang w:val="en-CA"/>
        </w:rPr>
        <w:t>. at para. 36.</w:t>
      </w:r>
    </w:p>
  </w:footnote>
  <w:footnote w:id="90">
    <w:p w14:paraId="7945776B" w14:textId="77777777" w:rsidR="006A5D59" w:rsidRPr="006A5D59" w:rsidRDefault="006A5D59">
      <w:pPr>
        <w:pStyle w:val="Notedebasdepage"/>
        <w:rPr>
          <w:lang w:val="en-CA"/>
        </w:rPr>
      </w:pPr>
      <w:r>
        <w:rPr>
          <w:rStyle w:val="Appelnotedebasdep"/>
        </w:rPr>
        <w:footnoteRef/>
      </w:r>
      <w:r w:rsidRPr="006A5D59">
        <w:rPr>
          <w:lang w:val="en-CA"/>
        </w:rPr>
        <w:t xml:space="preserve"> </w:t>
      </w:r>
      <w:r w:rsidRPr="006A5D59">
        <w:rPr>
          <w:lang w:val="en-CA"/>
        </w:rPr>
        <w:tab/>
      </w:r>
      <w:r w:rsidRPr="00EA5267">
        <w:rPr>
          <w:i/>
          <w:iCs/>
          <w:lang w:val="en-CA"/>
        </w:rPr>
        <w:t xml:space="preserve">R. </w:t>
      </w:r>
      <w:r w:rsidRPr="00EA5267">
        <w:rPr>
          <w:lang w:val="en-CA"/>
        </w:rPr>
        <w:t xml:space="preserve">v. </w:t>
      </w:r>
      <w:r w:rsidRPr="00EA5267">
        <w:rPr>
          <w:i/>
          <w:iCs/>
          <w:lang w:val="en-CA"/>
        </w:rPr>
        <w:t>Cadienhead</w:t>
      </w:r>
      <w:r w:rsidRPr="00EA5267">
        <w:rPr>
          <w:lang w:val="en-CA"/>
        </w:rPr>
        <w:t>, 2014 ONSC 5816</w:t>
      </w:r>
      <w:r>
        <w:rPr>
          <w:lang w:val="en-CA"/>
        </w:rPr>
        <w:t>.</w:t>
      </w:r>
    </w:p>
  </w:footnote>
  <w:footnote w:id="91">
    <w:p w14:paraId="79032C18" w14:textId="77777777" w:rsidR="00EF362B" w:rsidRPr="00EF362B" w:rsidRDefault="00EF362B">
      <w:pPr>
        <w:pStyle w:val="Notedebasdepage"/>
        <w:rPr>
          <w:lang w:val="en-CA"/>
        </w:rPr>
      </w:pPr>
      <w:r>
        <w:rPr>
          <w:rStyle w:val="Appelnotedebasdep"/>
        </w:rPr>
        <w:footnoteRef/>
      </w:r>
      <w:r w:rsidRPr="00EF362B">
        <w:rPr>
          <w:lang w:val="en-CA"/>
        </w:rPr>
        <w:t xml:space="preserve"> </w:t>
      </w:r>
      <w:r>
        <w:rPr>
          <w:lang w:val="en-CA"/>
        </w:rPr>
        <w:tab/>
      </w:r>
      <w:r>
        <w:rPr>
          <w:i/>
          <w:iCs/>
          <w:lang w:val="en-CA"/>
        </w:rPr>
        <w:t xml:space="preserve">R. </w:t>
      </w:r>
      <w:r>
        <w:rPr>
          <w:lang w:val="en-CA"/>
        </w:rPr>
        <w:t xml:space="preserve">v. </w:t>
      </w:r>
      <w:r>
        <w:rPr>
          <w:i/>
          <w:iCs/>
          <w:lang w:val="en-CA"/>
        </w:rPr>
        <w:t>Clayton</w:t>
      </w:r>
      <w:r>
        <w:rPr>
          <w:lang w:val="en-CA"/>
        </w:rPr>
        <w:t xml:space="preserve">, [2007] 2 S.C.R. 725 at para. 48. See also: </w:t>
      </w:r>
      <w:r>
        <w:rPr>
          <w:i/>
          <w:iCs/>
          <w:lang w:val="en-CA"/>
        </w:rPr>
        <w:t xml:space="preserve">R. </w:t>
      </w:r>
      <w:r>
        <w:rPr>
          <w:lang w:val="en-CA"/>
        </w:rPr>
        <w:t xml:space="preserve">c. </w:t>
      </w:r>
      <w:r>
        <w:rPr>
          <w:i/>
          <w:iCs/>
          <w:lang w:val="en-CA"/>
        </w:rPr>
        <w:t>Desbiens</w:t>
      </w:r>
      <w:r>
        <w:rPr>
          <w:lang w:val="en-CA"/>
        </w:rPr>
        <w:t xml:space="preserve">, [1996] J.Q. no. 4036 (Que.C.A.) at paras. 17-18; </w:t>
      </w:r>
      <w:r>
        <w:rPr>
          <w:i/>
          <w:iCs/>
          <w:lang w:val="en-CA"/>
        </w:rPr>
        <w:t xml:space="preserve">R. </w:t>
      </w:r>
      <w:r>
        <w:rPr>
          <w:lang w:val="en-CA"/>
        </w:rPr>
        <w:t xml:space="preserve">v. </w:t>
      </w:r>
      <w:r>
        <w:rPr>
          <w:i/>
          <w:iCs/>
          <w:lang w:val="en-CA"/>
        </w:rPr>
        <w:t>Ha</w:t>
      </w:r>
      <w:r>
        <w:rPr>
          <w:lang w:val="en-CA"/>
        </w:rPr>
        <w:t xml:space="preserve"> (2018), 48 C.R. (7th) 297 (Alta.C.A.) at para. 72.</w:t>
      </w:r>
    </w:p>
  </w:footnote>
  <w:footnote w:id="92">
    <w:p w14:paraId="09BF8809" w14:textId="77777777" w:rsidR="00A34379" w:rsidRPr="00A34379" w:rsidRDefault="00A34379">
      <w:pPr>
        <w:pStyle w:val="Notedebasdepage"/>
        <w:rPr>
          <w:lang w:val="en-CA"/>
        </w:rPr>
      </w:pPr>
      <w:r>
        <w:rPr>
          <w:rStyle w:val="Appelnotedebasdep"/>
        </w:rPr>
        <w:footnoteRef/>
      </w:r>
      <w:r w:rsidRPr="00A34379">
        <w:rPr>
          <w:lang w:val="en-CA"/>
        </w:rPr>
        <w:t xml:space="preserve"> </w:t>
      </w:r>
      <w:r w:rsidRPr="00A34379">
        <w:rPr>
          <w:lang w:val="en-CA"/>
        </w:rPr>
        <w:tab/>
      </w:r>
      <w:bookmarkStart w:id="44" w:name="_Hlk162304283"/>
      <w:r w:rsidRPr="00A34379">
        <w:rPr>
          <w:i/>
          <w:iCs/>
          <w:lang w:val="en-CA"/>
        </w:rPr>
        <w:t xml:space="preserve">R. </w:t>
      </w:r>
      <w:r w:rsidRPr="00A34379">
        <w:rPr>
          <w:lang w:val="en-CA"/>
        </w:rPr>
        <w:t xml:space="preserve">v. </w:t>
      </w:r>
      <w:r w:rsidRPr="00A34379">
        <w:rPr>
          <w:i/>
          <w:iCs/>
          <w:lang w:val="en-CA"/>
        </w:rPr>
        <w:t>MacKenzie</w:t>
      </w:r>
      <w:r w:rsidRPr="00A34379">
        <w:rPr>
          <w:lang w:val="en-CA"/>
        </w:rPr>
        <w:t xml:space="preserve">, [2013] 3 S.C.R. 50 at para. </w:t>
      </w:r>
      <w:r>
        <w:rPr>
          <w:lang w:val="en-CA"/>
        </w:rPr>
        <w:t>65</w:t>
      </w:r>
      <w:bookmarkEnd w:id="44"/>
      <w:r>
        <w:rPr>
          <w:lang w:val="en-CA"/>
        </w:rPr>
        <w:t>.</w:t>
      </w:r>
    </w:p>
  </w:footnote>
  <w:footnote w:id="93">
    <w:p w14:paraId="13D289BA" w14:textId="77777777" w:rsidR="00A34379" w:rsidRPr="00CA5F7F" w:rsidRDefault="00A34379">
      <w:pPr>
        <w:pStyle w:val="Notedebasdepage"/>
        <w:rPr>
          <w:lang w:val="en-CA"/>
        </w:rPr>
      </w:pPr>
      <w:r>
        <w:rPr>
          <w:rStyle w:val="Appelnotedebasdep"/>
        </w:rPr>
        <w:footnoteRef/>
      </w:r>
      <w:r w:rsidRPr="00A34379">
        <w:rPr>
          <w:lang w:val="en-CA"/>
        </w:rPr>
        <w:t xml:space="preserve"> </w:t>
      </w:r>
      <w:r w:rsidRPr="00A34379">
        <w:rPr>
          <w:lang w:val="en-CA"/>
        </w:rPr>
        <w:tab/>
      </w:r>
      <w:r w:rsidRPr="00A34379">
        <w:rPr>
          <w:i/>
          <w:iCs/>
          <w:lang w:val="en-CA"/>
        </w:rPr>
        <w:t xml:space="preserve">R. </w:t>
      </w:r>
      <w:r w:rsidRPr="00A34379">
        <w:rPr>
          <w:lang w:val="en-CA"/>
        </w:rPr>
        <w:t xml:space="preserve">v. </w:t>
      </w:r>
      <w:r w:rsidRPr="00A34379">
        <w:rPr>
          <w:i/>
          <w:iCs/>
          <w:lang w:val="en-CA"/>
        </w:rPr>
        <w:t>McKenzie</w:t>
      </w:r>
      <w:r w:rsidRPr="00A34379">
        <w:rPr>
          <w:lang w:val="en-CA"/>
        </w:rPr>
        <w:t xml:space="preserve">, </w:t>
      </w:r>
      <w:r w:rsidRPr="00A34379">
        <w:rPr>
          <w:i/>
          <w:iCs/>
          <w:lang w:val="en-CA"/>
        </w:rPr>
        <w:t>supra</w:t>
      </w:r>
      <w:r w:rsidRPr="00A34379">
        <w:rPr>
          <w:lang w:val="en-CA"/>
        </w:rPr>
        <w:t>, citing</w:t>
      </w:r>
      <w:r>
        <w:rPr>
          <w:lang w:val="en-CA"/>
        </w:rPr>
        <w:t xml:space="preserve"> </w:t>
      </w:r>
      <w:r>
        <w:rPr>
          <w:i/>
          <w:iCs/>
          <w:lang w:val="en-CA"/>
        </w:rPr>
        <w:t xml:space="preserve">R. </w:t>
      </w:r>
      <w:r>
        <w:rPr>
          <w:lang w:val="en-CA"/>
        </w:rPr>
        <w:t xml:space="preserve">v. </w:t>
      </w:r>
      <w:r>
        <w:rPr>
          <w:i/>
          <w:iCs/>
          <w:lang w:val="en-CA"/>
        </w:rPr>
        <w:t>Cornell</w:t>
      </w:r>
      <w:r>
        <w:rPr>
          <w:lang w:val="en-CA"/>
        </w:rPr>
        <w:t>, [2010] 2 S.C.R. 142 at para. 24</w:t>
      </w:r>
      <w:r w:rsidR="00CA5F7F">
        <w:rPr>
          <w:lang w:val="en-CA"/>
        </w:rPr>
        <w:t xml:space="preserve">; </w:t>
      </w:r>
      <w:r w:rsidR="00CA5F7F" w:rsidRPr="00CA5F7F">
        <w:rPr>
          <w:i/>
          <w:iCs/>
          <w:lang w:val="en-CA"/>
        </w:rPr>
        <w:t xml:space="preserve">R. </w:t>
      </w:r>
      <w:r w:rsidR="00CA5F7F" w:rsidRPr="00CA5F7F">
        <w:rPr>
          <w:lang w:val="en-CA"/>
        </w:rPr>
        <w:t xml:space="preserve">v. </w:t>
      </w:r>
      <w:r w:rsidR="00CA5F7F" w:rsidRPr="00CA5F7F">
        <w:rPr>
          <w:i/>
          <w:iCs/>
          <w:lang w:val="en-CA"/>
        </w:rPr>
        <w:t>Crocker</w:t>
      </w:r>
      <w:r w:rsidR="00CA5F7F" w:rsidRPr="00CA5F7F">
        <w:rPr>
          <w:lang w:val="en-CA"/>
        </w:rPr>
        <w:t xml:space="preserve"> (2009), 247 C.C.C. (3d) 193 (</w:t>
      </w:r>
      <w:r w:rsidR="00CA5F7F">
        <w:rPr>
          <w:lang w:val="en-CA"/>
        </w:rPr>
        <w:t>B.C.C.A.</w:t>
      </w:r>
      <w:r w:rsidR="00CA5F7F" w:rsidRPr="00CA5F7F">
        <w:rPr>
          <w:lang w:val="en-CA"/>
        </w:rPr>
        <w:t>)</w:t>
      </w:r>
      <w:r w:rsidR="00CA5F7F">
        <w:rPr>
          <w:lang w:val="en-CA"/>
        </w:rPr>
        <w:t>.</w:t>
      </w:r>
    </w:p>
  </w:footnote>
  <w:footnote w:id="94">
    <w:p w14:paraId="0EFA70DA" w14:textId="77777777" w:rsidR="001B3E74" w:rsidRPr="001B3E74" w:rsidRDefault="001B3E74">
      <w:pPr>
        <w:pStyle w:val="Notedebasdepage"/>
        <w:rPr>
          <w:lang w:val="en-CA"/>
        </w:rPr>
      </w:pPr>
      <w:r>
        <w:rPr>
          <w:rStyle w:val="Appelnotedebasdep"/>
        </w:rPr>
        <w:footnoteRef/>
      </w:r>
      <w:r w:rsidRPr="001B3E74">
        <w:rPr>
          <w:lang w:val="en-CA"/>
        </w:rPr>
        <w:t xml:space="preserve"> </w:t>
      </w:r>
      <w:r w:rsidRPr="001B3E74">
        <w:rPr>
          <w:lang w:val="en-CA"/>
        </w:rPr>
        <w:tab/>
      </w:r>
      <w:r w:rsidRPr="001B3E74">
        <w:rPr>
          <w:i/>
          <w:iCs/>
          <w:lang w:val="en-CA"/>
        </w:rPr>
        <w:t xml:space="preserve">R. </w:t>
      </w:r>
      <w:r w:rsidRPr="001B3E74">
        <w:rPr>
          <w:lang w:val="en-CA"/>
        </w:rPr>
        <w:t>c .</w:t>
      </w:r>
      <w:r w:rsidRPr="001B3E74">
        <w:rPr>
          <w:i/>
          <w:iCs/>
          <w:lang w:val="en-CA"/>
        </w:rPr>
        <w:t>H</w:t>
      </w:r>
      <w:r>
        <w:rPr>
          <w:i/>
          <w:iCs/>
          <w:lang w:val="en-CA"/>
        </w:rPr>
        <w:t>izebry</w:t>
      </w:r>
      <w:r>
        <w:rPr>
          <w:lang w:val="en-CA"/>
        </w:rPr>
        <w:t>, 2023 QCCQ 2957 at para. 43.</w:t>
      </w:r>
    </w:p>
  </w:footnote>
  <w:footnote w:id="95">
    <w:p w14:paraId="38C80B3A" w14:textId="77777777" w:rsidR="00570F1D" w:rsidRPr="00570F1D" w:rsidRDefault="00570F1D">
      <w:pPr>
        <w:pStyle w:val="Notedebasdepage"/>
        <w:rPr>
          <w:lang w:val="en-CA"/>
        </w:rPr>
      </w:pPr>
      <w:r>
        <w:rPr>
          <w:rStyle w:val="Appelnotedebasdep"/>
        </w:rPr>
        <w:footnoteRef/>
      </w:r>
      <w:r w:rsidRPr="00570F1D">
        <w:rPr>
          <w:lang w:val="en-CA"/>
        </w:rPr>
        <w:t xml:space="preserve"> </w:t>
      </w:r>
      <w:r w:rsidRPr="00570F1D">
        <w:rPr>
          <w:lang w:val="en-CA"/>
        </w:rPr>
        <w:tab/>
      </w:r>
      <w:r>
        <w:rPr>
          <w:i/>
          <w:iCs/>
          <w:lang w:val="en-CA"/>
        </w:rPr>
        <w:t xml:space="preserve">R. </w:t>
      </w:r>
      <w:r>
        <w:rPr>
          <w:lang w:val="en-CA"/>
        </w:rPr>
        <w:t xml:space="preserve">v. </w:t>
      </w:r>
      <w:r>
        <w:rPr>
          <w:i/>
          <w:iCs/>
          <w:lang w:val="en-CA"/>
        </w:rPr>
        <w:t>Thibodeau</w:t>
      </w:r>
      <w:r>
        <w:rPr>
          <w:lang w:val="en-CA"/>
        </w:rPr>
        <w:t>, 2007 BCCA 489, leave to appeal denied, [2007] S.C.C.A. No. 592.</w:t>
      </w:r>
    </w:p>
  </w:footnote>
  <w:footnote w:id="96">
    <w:p w14:paraId="6D63741A" w14:textId="77777777" w:rsidR="00681EBF" w:rsidRPr="00681EBF" w:rsidRDefault="00681EBF">
      <w:pPr>
        <w:pStyle w:val="Notedebasdepage"/>
        <w:rPr>
          <w:lang w:val="en-CA"/>
        </w:rPr>
      </w:pPr>
      <w:r>
        <w:rPr>
          <w:rStyle w:val="Appelnotedebasdep"/>
        </w:rPr>
        <w:footnoteRef/>
      </w:r>
      <w:r w:rsidRPr="00681EBF">
        <w:rPr>
          <w:lang w:val="en-CA"/>
        </w:rPr>
        <w:t xml:space="preserve"> </w:t>
      </w:r>
      <w:r w:rsidRPr="00681EBF">
        <w:rPr>
          <w:lang w:val="en-CA"/>
        </w:rPr>
        <w:tab/>
      </w:r>
      <w:r w:rsidRPr="006946E8">
        <w:rPr>
          <w:i/>
          <w:lang w:val="en-CA"/>
        </w:rPr>
        <w:t>R.</w:t>
      </w:r>
      <w:r w:rsidRPr="006946E8">
        <w:rPr>
          <w:lang w:val="en-CA"/>
        </w:rPr>
        <w:t xml:space="preserve"> v. </w:t>
      </w:r>
      <w:r w:rsidRPr="006946E8">
        <w:rPr>
          <w:i/>
          <w:lang w:val="en-CA"/>
        </w:rPr>
        <w:t>Ferris</w:t>
      </w:r>
      <w:r w:rsidRPr="006946E8">
        <w:rPr>
          <w:lang w:val="en-CA"/>
        </w:rPr>
        <w:t xml:space="preserve"> (1998), 126 C.C.C. (3d) 298 (B.C.C.A.) at para. </w:t>
      </w:r>
      <w:r w:rsidRPr="00681EBF">
        <w:rPr>
          <w:lang w:val="en-CA"/>
        </w:rPr>
        <w:t>54; leave to appeal denied, [1998] S.C.C.A. No. 424</w:t>
      </w:r>
      <w:r>
        <w:rPr>
          <w:lang w:val="en-CA"/>
        </w:rPr>
        <w:t xml:space="preserve">, later cited with approval in </w:t>
      </w:r>
      <w:r>
        <w:rPr>
          <w:i/>
          <w:iCs/>
          <w:lang w:val="en-CA"/>
        </w:rPr>
        <w:t xml:space="preserve">R. </w:t>
      </w:r>
      <w:r>
        <w:rPr>
          <w:lang w:val="en-CA"/>
        </w:rPr>
        <w:t xml:space="preserve">v. </w:t>
      </w:r>
      <w:r>
        <w:rPr>
          <w:i/>
          <w:iCs/>
          <w:lang w:val="en-CA"/>
        </w:rPr>
        <w:t>Patrick</w:t>
      </w:r>
      <w:r>
        <w:rPr>
          <w:lang w:val="en-CA"/>
        </w:rPr>
        <w:t xml:space="preserve"> (2017), 344 C.C.C. (3d) 137 (B.C.C.A.) at para. 87, leave to appeal denied, [2017] S.C.C.A. No. 108.</w:t>
      </w:r>
    </w:p>
  </w:footnote>
  <w:footnote w:id="97">
    <w:p w14:paraId="1B6A06F4" w14:textId="77777777" w:rsidR="00200BD9" w:rsidRPr="00200BD9" w:rsidRDefault="00200BD9">
      <w:pPr>
        <w:pStyle w:val="Notedebasdepage"/>
        <w:rPr>
          <w:lang w:val="en-CA"/>
        </w:rPr>
      </w:pPr>
      <w:r>
        <w:rPr>
          <w:rStyle w:val="Appelnotedebasdep"/>
        </w:rPr>
        <w:footnoteRef/>
      </w:r>
      <w:r w:rsidRPr="00200BD9">
        <w:rPr>
          <w:lang w:val="en-CA"/>
        </w:rPr>
        <w:t xml:space="preserve"> </w:t>
      </w:r>
      <w:r w:rsidRPr="00200BD9">
        <w:rPr>
          <w:lang w:val="en-CA"/>
        </w:rPr>
        <w:tab/>
        <w:t>Th</w:t>
      </w:r>
      <w:r>
        <w:rPr>
          <w:lang w:val="en-CA"/>
        </w:rPr>
        <w:t xml:space="preserve">e reader will notice that the standard applied by the Ontario Court of Appeal for the search, </w:t>
      </w:r>
      <w:r>
        <w:rPr>
          <w:i/>
          <w:iCs/>
          <w:lang w:val="en-CA"/>
        </w:rPr>
        <w:t>i.e.</w:t>
      </w:r>
      <w:r>
        <w:rPr>
          <w:lang w:val="en-CA"/>
        </w:rPr>
        <w:t xml:space="preserve"> step two, was still reasonable suspicion as to the possibility of a gun, as opposed to the more stringent reasonable grounds to believe.</w:t>
      </w:r>
    </w:p>
  </w:footnote>
  <w:footnote w:id="98">
    <w:p w14:paraId="4D997BB5" w14:textId="77777777" w:rsidR="00200BD9" w:rsidRPr="00200BD9" w:rsidRDefault="00200BD9">
      <w:pPr>
        <w:pStyle w:val="Notedebasdepage"/>
        <w:rPr>
          <w:lang w:val="en-CA"/>
        </w:rPr>
      </w:pPr>
      <w:r>
        <w:rPr>
          <w:rStyle w:val="Appelnotedebasdep"/>
        </w:rPr>
        <w:footnoteRef/>
      </w:r>
      <w:r w:rsidRPr="00200BD9">
        <w:rPr>
          <w:lang w:val="en-CA"/>
        </w:rPr>
        <w:t xml:space="preserve"> </w:t>
      </w:r>
      <w:r w:rsidRPr="00200BD9">
        <w:rPr>
          <w:lang w:val="en-CA"/>
        </w:rPr>
        <w:tab/>
      </w:r>
      <w:r w:rsidRPr="00200BD9">
        <w:rPr>
          <w:i/>
          <w:iCs/>
          <w:lang w:val="en-CA"/>
        </w:rPr>
        <w:t xml:space="preserve">R. </w:t>
      </w:r>
      <w:r w:rsidRPr="00200BD9">
        <w:rPr>
          <w:lang w:val="en-CA"/>
        </w:rPr>
        <w:t xml:space="preserve">v. </w:t>
      </w:r>
      <w:r w:rsidRPr="00200BD9">
        <w:rPr>
          <w:i/>
          <w:iCs/>
          <w:lang w:val="en-CA"/>
        </w:rPr>
        <w:t>Atkins</w:t>
      </w:r>
      <w:r w:rsidRPr="00200BD9">
        <w:rPr>
          <w:lang w:val="en-CA"/>
        </w:rPr>
        <w:t xml:space="preserve"> (2013), 294 C.R.R. (2d) 33 (Ont.C.A.) at para. 15.</w:t>
      </w:r>
    </w:p>
  </w:footnote>
  <w:footnote w:id="99">
    <w:p w14:paraId="142BAA05" w14:textId="77777777" w:rsidR="00652B39" w:rsidRPr="00A46044" w:rsidRDefault="00652B39">
      <w:pPr>
        <w:pStyle w:val="Notedebasdepage"/>
        <w:rPr>
          <w:lang w:val="en-CA"/>
        </w:rPr>
      </w:pPr>
      <w:r>
        <w:rPr>
          <w:rStyle w:val="Appelnotedebasdep"/>
        </w:rPr>
        <w:footnoteRef/>
      </w:r>
      <w:r w:rsidRPr="00A46044">
        <w:rPr>
          <w:lang w:val="en-CA"/>
        </w:rPr>
        <w:t xml:space="preserve"> </w:t>
      </w:r>
      <w:r w:rsidRPr="00A46044">
        <w:rPr>
          <w:lang w:val="en-CA"/>
        </w:rPr>
        <w:tab/>
      </w:r>
      <w:r w:rsidRPr="00A46044">
        <w:rPr>
          <w:i/>
          <w:iCs/>
          <w:lang w:val="en-CA"/>
        </w:rPr>
        <w:t xml:space="preserve">R. </w:t>
      </w:r>
      <w:r w:rsidRPr="00A46044">
        <w:rPr>
          <w:lang w:val="en-CA"/>
        </w:rPr>
        <w:t xml:space="preserve">v. </w:t>
      </w:r>
      <w:r w:rsidRPr="00A46044">
        <w:rPr>
          <w:i/>
          <w:iCs/>
          <w:lang w:val="en-CA"/>
        </w:rPr>
        <w:t>McGuffie</w:t>
      </w:r>
      <w:r w:rsidRPr="00A46044">
        <w:rPr>
          <w:lang w:val="en-CA"/>
        </w:rPr>
        <w:t xml:space="preserve"> (2016), 131 O.R. (3d) 643 (Ont.C.A.) at para. 52.</w:t>
      </w:r>
    </w:p>
  </w:footnote>
  <w:footnote w:id="100">
    <w:p w14:paraId="6A263E6E" w14:textId="77777777" w:rsidR="002D62B2" w:rsidRPr="00417AF2" w:rsidRDefault="002D62B2">
      <w:pPr>
        <w:pStyle w:val="Notedebasdepage"/>
        <w:rPr>
          <w:lang w:val="en-CA"/>
        </w:rPr>
      </w:pPr>
      <w:r>
        <w:rPr>
          <w:rStyle w:val="Appelnotedebasdep"/>
        </w:rPr>
        <w:footnoteRef/>
      </w:r>
      <w:r w:rsidRPr="00417AF2">
        <w:rPr>
          <w:lang w:val="en-CA"/>
        </w:rPr>
        <w:t xml:space="preserve"> </w:t>
      </w:r>
      <w:r w:rsidRPr="00417AF2">
        <w:rPr>
          <w:lang w:val="en-CA"/>
        </w:rPr>
        <w:tab/>
      </w:r>
      <w:r w:rsidRPr="00417AF2">
        <w:rPr>
          <w:i/>
          <w:iCs/>
          <w:lang w:val="en-CA"/>
        </w:rPr>
        <w:t>R.</w:t>
      </w:r>
      <w:r w:rsidRPr="00417AF2">
        <w:rPr>
          <w:lang w:val="en-CA"/>
        </w:rPr>
        <w:t xml:space="preserve"> v. </w:t>
      </w:r>
      <w:r w:rsidRPr="00417AF2">
        <w:rPr>
          <w:i/>
          <w:iCs/>
          <w:lang w:val="en-CA"/>
        </w:rPr>
        <w:t>McKenzie</w:t>
      </w:r>
      <w:r w:rsidRPr="00417AF2">
        <w:rPr>
          <w:lang w:val="en-CA"/>
        </w:rPr>
        <w:t xml:space="preserve">, </w:t>
      </w:r>
      <w:r w:rsidRPr="00417AF2">
        <w:rPr>
          <w:i/>
          <w:iCs/>
          <w:lang w:val="en-CA"/>
        </w:rPr>
        <w:t>supra</w:t>
      </w:r>
      <w:r w:rsidRPr="00417AF2">
        <w:rPr>
          <w:lang w:val="en-CA"/>
        </w:rPr>
        <w:t>, at para. 29.</w:t>
      </w:r>
    </w:p>
  </w:footnote>
  <w:footnote w:id="101">
    <w:p w14:paraId="58360024" w14:textId="77777777" w:rsidR="002D62B2" w:rsidRPr="00417AF2" w:rsidRDefault="002D62B2">
      <w:pPr>
        <w:pStyle w:val="Notedebasdepage"/>
        <w:rPr>
          <w:lang w:val="en-CA"/>
        </w:rPr>
      </w:pPr>
      <w:r>
        <w:rPr>
          <w:rStyle w:val="Appelnotedebasdep"/>
        </w:rPr>
        <w:footnoteRef/>
      </w:r>
      <w:r w:rsidRPr="00417AF2">
        <w:rPr>
          <w:lang w:val="en-CA"/>
        </w:rPr>
        <w:t xml:space="preserve"> </w:t>
      </w:r>
      <w:r w:rsidRPr="00417AF2">
        <w:rPr>
          <w:lang w:val="en-CA"/>
        </w:rPr>
        <w:tab/>
      </w:r>
      <w:r w:rsidRPr="00417AF2">
        <w:rPr>
          <w:i/>
          <w:iCs/>
          <w:lang w:val="en-CA"/>
        </w:rPr>
        <w:t>Ibid</w:t>
      </w:r>
      <w:r w:rsidRPr="00417AF2">
        <w:rPr>
          <w:lang w:val="en-CA"/>
        </w:rPr>
        <w:t>. at paras. 43 ff.</w:t>
      </w:r>
    </w:p>
  </w:footnote>
  <w:footnote w:id="102">
    <w:p w14:paraId="2AB03A6C" w14:textId="77777777" w:rsidR="00A515BD" w:rsidRPr="00A515BD" w:rsidRDefault="00A515BD">
      <w:pPr>
        <w:pStyle w:val="Notedebasdepage"/>
      </w:pPr>
      <w:r>
        <w:rPr>
          <w:rStyle w:val="Appelnotedebasdep"/>
        </w:rPr>
        <w:footnoteRef/>
      </w:r>
      <w:r w:rsidRPr="00293EED">
        <w:rPr>
          <w:lang w:val="en-CA"/>
        </w:rPr>
        <w:t xml:space="preserve"> </w:t>
      </w:r>
      <w:r w:rsidRPr="00293EED">
        <w:rPr>
          <w:lang w:val="en-CA"/>
        </w:rPr>
        <w:tab/>
      </w:r>
      <w:r w:rsidRPr="00293EED">
        <w:rPr>
          <w:i/>
          <w:iCs/>
          <w:lang w:val="en-CA"/>
        </w:rPr>
        <w:t xml:space="preserve">R. </w:t>
      </w:r>
      <w:r w:rsidRPr="00293EED">
        <w:rPr>
          <w:lang w:val="en-CA"/>
        </w:rPr>
        <w:t xml:space="preserve">v. </w:t>
      </w:r>
      <w:r w:rsidRPr="00293EED">
        <w:rPr>
          <w:i/>
          <w:iCs/>
          <w:lang w:val="en-CA"/>
        </w:rPr>
        <w:t>Clayton</w:t>
      </w:r>
      <w:r w:rsidRPr="00293EED">
        <w:rPr>
          <w:lang w:val="en-CA"/>
        </w:rPr>
        <w:t xml:space="preserve">, [2007] 2 S.C.R. 725 at paras. </w:t>
      </w:r>
      <w:r>
        <w:t>36, 43-48.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9749" w14:textId="77777777" w:rsidR="00F137E2" w:rsidRDefault="00F137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0EBE" w14:textId="77777777" w:rsidR="004976AA" w:rsidRDefault="00C90304" w:rsidP="0088275E">
    <w:pPr>
      <w:tabs>
        <w:tab w:val="center" w:pos="4709"/>
        <w:tab w:val="right" w:pos="9360"/>
      </w:tabs>
      <w:ind w:right="524"/>
    </w:pPr>
    <w:r>
      <w:rPr>
        <w:rFonts w:cs="Arial"/>
        <w:szCs w:val="24"/>
      </w:rPr>
      <w:t>500-01-256037-232</w:t>
    </w:r>
    <w:r w:rsidR="004976AA">
      <w:rPr>
        <w:i/>
      </w:rPr>
      <w:tab/>
    </w:r>
    <w:r w:rsidR="004976AA" w:rsidRPr="00D91EEA">
      <w:tab/>
      <w:t xml:space="preserve">PAGE: </w:t>
    </w:r>
    <w:r w:rsidR="004976AA">
      <w:fldChar w:fldCharType="begin"/>
    </w:r>
    <w:r w:rsidR="004976AA">
      <w:instrText xml:space="preserve"> PAGE </w:instrText>
    </w:r>
    <w:r w:rsidR="004976AA">
      <w:fldChar w:fldCharType="separate"/>
    </w:r>
    <w:r w:rsidR="009423D1">
      <w:rPr>
        <w:noProof/>
      </w:rPr>
      <w:t>40</w:t>
    </w:r>
    <w:r w:rsidR="004976AA">
      <w:fldChar w:fldCharType="end"/>
    </w:r>
  </w:p>
  <w:p w14:paraId="7F263349" w14:textId="77777777" w:rsidR="004976AA" w:rsidRDefault="004976AA">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162A" w14:textId="77777777" w:rsidR="00F137E2" w:rsidRDefault="00F137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631"/>
    <w:multiLevelType w:val="hybridMultilevel"/>
    <w:tmpl w:val="6F5A56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F80687"/>
    <w:multiLevelType w:val="hybridMultilevel"/>
    <w:tmpl w:val="F53EF92C"/>
    <w:lvl w:ilvl="0" w:tplc="BF7A5F0E">
      <w:start w:val="1"/>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 w15:restartNumberingAfterBreak="0">
    <w:nsid w:val="0A744378"/>
    <w:multiLevelType w:val="hybridMultilevel"/>
    <w:tmpl w:val="436619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8F0E68"/>
    <w:multiLevelType w:val="hybridMultilevel"/>
    <w:tmpl w:val="D898CBC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E93884"/>
    <w:multiLevelType w:val="hybridMultilevel"/>
    <w:tmpl w:val="A6360B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C7860"/>
    <w:multiLevelType w:val="hybridMultilevel"/>
    <w:tmpl w:val="93DCE1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695776"/>
    <w:multiLevelType w:val="hybridMultilevel"/>
    <w:tmpl w:val="10E6AFA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EB6DF7"/>
    <w:multiLevelType w:val="hybridMultilevel"/>
    <w:tmpl w:val="A6360BB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7F958F8"/>
    <w:multiLevelType w:val="hybridMultilevel"/>
    <w:tmpl w:val="B6C40F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AC437B"/>
    <w:multiLevelType w:val="hybridMultilevel"/>
    <w:tmpl w:val="E626CCB8"/>
    <w:lvl w:ilvl="0" w:tplc="10CA9A9C">
      <w:start w:val="1"/>
      <w:numFmt w:val="decimal"/>
      <w:lvlText w:val="(%1)"/>
      <w:lvlJc w:val="left"/>
      <w:pPr>
        <w:ind w:left="1211" w:hanging="360"/>
      </w:pPr>
      <w:rPr>
        <w:rFonts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0" w15:restartNumberingAfterBreak="0">
    <w:nsid w:val="26C03C32"/>
    <w:multiLevelType w:val="hybridMultilevel"/>
    <w:tmpl w:val="25940E5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9CB7EB7"/>
    <w:multiLevelType w:val="hybridMultilevel"/>
    <w:tmpl w:val="2782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806EB"/>
    <w:multiLevelType w:val="hybridMultilevel"/>
    <w:tmpl w:val="3ABA78E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34944EF"/>
    <w:multiLevelType w:val="hybridMultilevel"/>
    <w:tmpl w:val="A894CB88"/>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4" w15:restartNumberingAfterBreak="0">
    <w:nsid w:val="37493766"/>
    <w:multiLevelType w:val="hybridMultilevel"/>
    <w:tmpl w:val="A6360B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7112C"/>
    <w:multiLevelType w:val="hybridMultilevel"/>
    <w:tmpl w:val="BE3CA358"/>
    <w:lvl w:ilvl="0" w:tplc="215E68D2">
      <w:start w:val="1"/>
      <w:numFmt w:val="decimal"/>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6" w15:restartNumberingAfterBreak="0">
    <w:nsid w:val="47486BAF"/>
    <w:multiLevelType w:val="hybridMultilevel"/>
    <w:tmpl w:val="C7CC94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8E95D07"/>
    <w:multiLevelType w:val="hybridMultilevel"/>
    <w:tmpl w:val="9796D3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77724E"/>
    <w:multiLevelType w:val="hybridMultilevel"/>
    <w:tmpl w:val="309A08C2"/>
    <w:lvl w:ilvl="0" w:tplc="7540AB38">
      <w:start w:val="1"/>
      <w:numFmt w:val="decimal"/>
      <w:lvlText w:val="(%1)"/>
      <w:lvlJc w:val="left"/>
      <w:pPr>
        <w:ind w:left="1920" w:hanging="360"/>
      </w:pPr>
      <w:rPr>
        <w:rFonts w:hint="default"/>
      </w:rPr>
    </w:lvl>
    <w:lvl w:ilvl="1" w:tplc="0C0C0019" w:tentative="1">
      <w:start w:val="1"/>
      <w:numFmt w:val="lowerLetter"/>
      <w:lvlText w:val="%2."/>
      <w:lvlJc w:val="left"/>
      <w:pPr>
        <w:ind w:left="2640" w:hanging="360"/>
      </w:pPr>
    </w:lvl>
    <w:lvl w:ilvl="2" w:tplc="0C0C001B" w:tentative="1">
      <w:start w:val="1"/>
      <w:numFmt w:val="lowerRoman"/>
      <w:lvlText w:val="%3."/>
      <w:lvlJc w:val="right"/>
      <w:pPr>
        <w:ind w:left="3360" w:hanging="180"/>
      </w:pPr>
    </w:lvl>
    <w:lvl w:ilvl="3" w:tplc="0C0C000F" w:tentative="1">
      <w:start w:val="1"/>
      <w:numFmt w:val="decimal"/>
      <w:lvlText w:val="%4."/>
      <w:lvlJc w:val="left"/>
      <w:pPr>
        <w:ind w:left="4080" w:hanging="360"/>
      </w:pPr>
    </w:lvl>
    <w:lvl w:ilvl="4" w:tplc="0C0C0019" w:tentative="1">
      <w:start w:val="1"/>
      <w:numFmt w:val="lowerLetter"/>
      <w:lvlText w:val="%5."/>
      <w:lvlJc w:val="left"/>
      <w:pPr>
        <w:ind w:left="4800" w:hanging="360"/>
      </w:pPr>
    </w:lvl>
    <w:lvl w:ilvl="5" w:tplc="0C0C001B" w:tentative="1">
      <w:start w:val="1"/>
      <w:numFmt w:val="lowerRoman"/>
      <w:lvlText w:val="%6."/>
      <w:lvlJc w:val="right"/>
      <w:pPr>
        <w:ind w:left="5520" w:hanging="180"/>
      </w:pPr>
    </w:lvl>
    <w:lvl w:ilvl="6" w:tplc="0C0C000F" w:tentative="1">
      <w:start w:val="1"/>
      <w:numFmt w:val="decimal"/>
      <w:lvlText w:val="%7."/>
      <w:lvlJc w:val="left"/>
      <w:pPr>
        <w:ind w:left="6240" w:hanging="360"/>
      </w:pPr>
    </w:lvl>
    <w:lvl w:ilvl="7" w:tplc="0C0C0019" w:tentative="1">
      <w:start w:val="1"/>
      <w:numFmt w:val="lowerLetter"/>
      <w:lvlText w:val="%8."/>
      <w:lvlJc w:val="left"/>
      <w:pPr>
        <w:ind w:left="6960" w:hanging="360"/>
      </w:pPr>
    </w:lvl>
    <w:lvl w:ilvl="8" w:tplc="0C0C001B" w:tentative="1">
      <w:start w:val="1"/>
      <w:numFmt w:val="lowerRoman"/>
      <w:lvlText w:val="%9."/>
      <w:lvlJc w:val="right"/>
      <w:pPr>
        <w:ind w:left="7680" w:hanging="180"/>
      </w:pPr>
    </w:lvl>
  </w:abstractNum>
  <w:abstractNum w:abstractNumId="19" w15:restartNumberingAfterBreak="0">
    <w:nsid w:val="609C0DCC"/>
    <w:multiLevelType w:val="multilevel"/>
    <w:tmpl w:val="98767406"/>
    <w:lvl w:ilvl="0">
      <w:start w:val="1"/>
      <w:numFmt w:val="decimal"/>
      <w:pStyle w:val="Paragraphe"/>
      <w:lvlText w:val="[%1]"/>
      <w:lvlJc w:val="left"/>
      <w:pPr>
        <w:tabs>
          <w:tab w:val="num" w:pos="360"/>
        </w:tabs>
        <w:ind w:left="0" w:firstLine="0"/>
      </w:pPr>
      <w:rPr>
        <w:rFonts w:ascii="Arial" w:hAnsi="Arial" w:hint="default"/>
        <w:b w:val="0"/>
        <w:i w:val="0"/>
        <w:sz w:val="24"/>
        <w:lang w:val="en-CA"/>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1B825E0"/>
    <w:multiLevelType w:val="hybridMultilevel"/>
    <w:tmpl w:val="4E8A6574"/>
    <w:lvl w:ilvl="0" w:tplc="E4529F78">
      <w:start w:val="1"/>
      <w:numFmt w:val="decimal"/>
      <w:lvlText w:val="%1."/>
      <w:lvlJc w:val="left"/>
      <w:pPr>
        <w:ind w:left="1636" w:hanging="360"/>
      </w:pPr>
      <w:rPr>
        <w:rFonts w:hint="default"/>
      </w:rPr>
    </w:lvl>
    <w:lvl w:ilvl="1" w:tplc="0C0C0019" w:tentative="1">
      <w:start w:val="1"/>
      <w:numFmt w:val="lowerLetter"/>
      <w:lvlText w:val="%2."/>
      <w:lvlJc w:val="left"/>
      <w:pPr>
        <w:ind w:left="2356" w:hanging="360"/>
      </w:pPr>
    </w:lvl>
    <w:lvl w:ilvl="2" w:tplc="0C0C001B" w:tentative="1">
      <w:start w:val="1"/>
      <w:numFmt w:val="lowerRoman"/>
      <w:lvlText w:val="%3."/>
      <w:lvlJc w:val="right"/>
      <w:pPr>
        <w:ind w:left="3076" w:hanging="180"/>
      </w:pPr>
    </w:lvl>
    <w:lvl w:ilvl="3" w:tplc="0C0C000F" w:tentative="1">
      <w:start w:val="1"/>
      <w:numFmt w:val="decimal"/>
      <w:lvlText w:val="%4."/>
      <w:lvlJc w:val="left"/>
      <w:pPr>
        <w:ind w:left="3796" w:hanging="360"/>
      </w:pPr>
    </w:lvl>
    <w:lvl w:ilvl="4" w:tplc="0C0C0019" w:tentative="1">
      <w:start w:val="1"/>
      <w:numFmt w:val="lowerLetter"/>
      <w:lvlText w:val="%5."/>
      <w:lvlJc w:val="left"/>
      <w:pPr>
        <w:ind w:left="4516" w:hanging="360"/>
      </w:pPr>
    </w:lvl>
    <w:lvl w:ilvl="5" w:tplc="0C0C001B" w:tentative="1">
      <w:start w:val="1"/>
      <w:numFmt w:val="lowerRoman"/>
      <w:lvlText w:val="%6."/>
      <w:lvlJc w:val="right"/>
      <w:pPr>
        <w:ind w:left="5236" w:hanging="180"/>
      </w:pPr>
    </w:lvl>
    <w:lvl w:ilvl="6" w:tplc="0C0C000F" w:tentative="1">
      <w:start w:val="1"/>
      <w:numFmt w:val="decimal"/>
      <w:lvlText w:val="%7."/>
      <w:lvlJc w:val="left"/>
      <w:pPr>
        <w:ind w:left="5956" w:hanging="360"/>
      </w:pPr>
    </w:lvl>
    <w:lvl w:ilvl="7" w:tplc="0C0C0019" w:tentative="1">
      <w:start w:val="1"/>
      <w:numFmt w:val="lowerLetter"/>
      <w:lvlText w:val="%8."/>
      <w:lvlJc w:val="left"/>
      <w:pPr>
        <w:ind w:left="6676" w:hanging="360"/>
      </w:pPr>
    </w:lvl>
    <w:lvl w:ilvl="8" w:tplc="0C0C001B" w:tentative="1">
      <w:start w:val="1"/>
      <w:numFmt w:val="lowerRoman"/>
      <w:lvlText w:val="%9."/>
      <w:lvlJc w:val="right"/>
      <w:pPr>
        <w:ind w:left="7396" w:hanging="180"/>
      </w:pPr>
    </w:lvl>
  </w:abstractNum>
  <w:abstractNum w:abstractNumId="21" w15:restartNumberingAfterBreak="0">
    <w:nsid w:val="66B867B7"/>
    <w:multiLevelType w:val="hybridMultilevel"/>
    <w:tmpl w:val="AEAEB702"/>
    <w:lvl w:ilvl="0" w:tplc="739A64E2">
      <w:start w:val="1"/>
      <w:numFmt w:val="decimal"/>
      <w:lvlText w:val="%1."/>
      <w:lvlJc w:val="left"/>
      <w:pPr>
        <w:ind w:left="720" w:hanging="360"/>
      </w:pPr>
      <w:rPr>
        <w:rFonts w:ascii="Arial" w:eastAsia="Times New Roman" w:hAnsi="Arial" w:cs="Times New Roman"/>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8153247"/>
    <w:multiLevelType w:val="hybridMultilevel"/>
    <w:tmpl w:val="A6360BB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3A1447"/>
    <w:multiLevelType w:val="hybridMultilevel"/>
    <w:tmpl w:val="4A286B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28F3B7F"/>
    <w:multiLevelType w:val="hybridMultilevel"/>
    <w:tmpl w:val="A6360B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696990"/>
    <w:multiLevelType w:val="hybridMultilevel"/>
    <w:tmpl w:val="A6360B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8F5DB5"/>
    <w:multiLevelType w:val="hybridMultilevel"/>
    <w:tmpl w:val="C48CB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732100">
    <w:abstractNumId w:val="19"/>
  </w:num>
  <w:num w:numId="2" w16cid:durableId="2082478327">
    <w:abstractNumId w:val="19"/>
  </w:num>
  <w:num w:numId="3" w16cid:durableId="65031111">
    <w:abstractNumId w:val="22"/>
  </w:num>
  <w:num w:numId="4" w16cid:durableId="1610821811">
    <w:abstractNumId w:val="7"/>
  </w:num>
  <w:num w:numId="5" w16cid:durableId="1982615827">
    <w:abstractNumId w:val="21"/>
  </w:num>
  <w:num w:numId="6" w16cid:durableId="310909746">
    <w:abstractNumId w:val="17"/>
  </w:num>
  <w:num w:numId="7" w16cid:durableId="1971859572">
    <w:abstractNumId w:val="2"/>
  </w:num>
  <w:num w:numId="8" w16cid:durableId="424771318">
    <w:abstractNumId w:val="0"/>
  </w:num>
  <w:num w:numId="9" w16cid:durableId="1892307282">
    <w:abstractNumId w:val="6"/>
  </w:num>
  <w:num w:numId="10" w16cid:durableId="19822738">
    <w:abstractNumId w:val="15"/>
  </w:num>
  <w:num w:numId="11" w16cid:durableId="1157186329">
    <w:abstractNumId w:val="23"/>
  </w:num>
  <w:num w:numId="12" w16cid:durableId="1436703969">
    <w:abstractNumId w:val="8"/>
  </w:num>
  <w:num w:numId="13" w16cid:durableId="2095131034">
    <w:abstractNumId w:val="5"/>
  </w:num>
  <w:num w:numId="14" w16cid:durableId="1092509701">
    <w:abstractNumId w:val="3"/>
  </w:num>
  <w:num w:numId="15" w16cid:durableId="1658847940">
    <w:abstractNumId w:val="25"/>
  </w:num>
  <w:num w:numId="16" w16cid:durableId="1040133751">
    <w:abstractNumId w:val="4"/>
  </w:num>
  <w:num w:numId="17" w16cid:durableId="900293118">
    <w:abstractNumId w:val="14"/>
  </w:num>
  <w:num w:numId="18" w16cid:durableId="387993643">
    <w:abstractNumId w:val="24"/>
  </w:num>
  <w:num w:numId="19" w16cid:durableId="922450962">
    <w:abstractNumId w:val="26"/>
  </w:num>
  <w:num w:numId="20" w16cid:durableId="614990398">
    <w:abstractNumId w:val="11"/>
  </w:num>
  <w:num w:numId="21" w16cid:durableId="1056709701">
    <w:abstractNumId w:val="18"/>
  </w:num>
  <w:num w:numId="22" w16cid:durableId="830103107">
    <w:abstractNumId w:val="16"/>
  </w:num>
  <w:num w:numId="23" w16cid:durableId="1918242398">
    <w:abstractNumId w:val="9"/>
  </w:num>
  <w:num w:numId="24" w16cid:durableId="1822890052">
    <w:abstractNumId w:val="10"/>
  </w:num>
  <w:num w:numId="25" w16cid:durableId="793793486">
    <w:abstractNumId w:val="1"/>
  </w:num>
  <w:num w:numId="26" w16cid:durableId="1007558573">
    <w:abstractNumId w:val="12"/>
  </w:num>
  <w:num w:numId="27" w16cid:durableId="1994261412">
    <w:abstractNumId w:val="13"/>
  </w:num>
  <w:num w:numId="28" w16cid:durableId="159470305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21"/>
    <w:rsid w:val="00000EB6"/>
    <w:rsid w:val="00000F07"/>
    <w:rsid w:val="00001117"/>
    <w:rsid w:val="00001BF5"/>
    <w:rsid w:val="000025F5"/>
    <w:rsid w:val="000027E1"/>
    <w:rsid w:val="000030E1"/>
    <w:rsid w:val="000057C6"/>
    <w:rsid w:val="00007197"/>
    <w:rsid w:val="000075DA"/>
    <w:rsid w:val="000076F7"/>
    <w:rsid w:val="00010EDF"/>
    <w:rsid w:val="0001135C"/>
    <w:rsid w:val="00011D98"/>
    <w:rsid w:val="000128C0"/>
    <w:rsid w:val="000130E4"/>
    <w:rsid w:val="00014149"/>
    <w:rsid w:val="000142A7"/>
    <w:rsid w:val="00015F92"/>
    <w:rsid w:val="00017E8A"/>
    <w:rsid w:val="00020776"/>
    <w:rsid w:val="000210D3"/>
    <w:rsid w:val="00021446"/>
    <w:rsid w:val="00022000"/>
    <w:rsid w:val="00022BD5"/>
    <w:rsid w:val="00022F80"/>
    <w:rsid w:val="000245D4"/>
    <w:rsid w:val="00024837"/>
    <w:rsid w:val="00025C04"/>
    <w:rsid w:val="0003158F"/>
    <w:rsid w:val="00031597"/>
    <w:rsid w:val="00031B8C"/>
    <w:rsid w:val="00032068"/>
    <w:rsid w:val="000321E4"/>
    <w:rsid w:val="00032ADB"/>
    <w:rsid w:val="00034384"/>
    <w:rsid w:val="00034F6B"/>
    <w:rsid w:val="00035ED6"/>
    <w:rsid w:val="00036AEB"/>
    <w:rsid w:val="00037EE7"/>
    <w:rsid w:val="000410E2"/>
    <w:rsid w:val="00041494"/>
    <w:rsid w:val="0004297F"/>
    <w:rsid w:val="00042982"/>
    <w:rsid w:val="00042F98"/>
    <w:rsid w:val="00044D98"/>
    <w:rsid w:val="00047F15"/>
    <w:rsid w:val="00052583"/>
    <w:rsid w:val="0005285F"/>
    <w:rsid w:val="0005503B"/>
    <w:rsid w:val="00055FE2"/>
    <w:rsid w:val="0005755E"/>
    <w:rsid w:val="0006093A"/>
    <w:rsid w:val="000613B3"/>
    <w:rsid w:val="00061CC9"/>
    <w:rsid w:val="00062063"/>
    <w:rsid w:val="00062840"/>
    <w:rsid w:val="00062C83"/>
    <w:rsid w:val="00062FC8"/>
    <w:rsid w:val="00064FF4"/>
    <w:rsid w:val="0006549A"/>
    <w:rsid w:val="00066524"/>
    <w:rsid w:val="00066E86"/>
    <w:rsid w:val="00067461"/>
    <w:rsid w:val="0007000E"/>
    <w:rsid w:val="0007114E"/>
    <w:rsid w:val="00071BF7"/>
    <w:rsid w:val="00072BDD"/>
    <w:rsid w:val="00073285"/>
    <w:rsid w:val="00073718"/>
    <w:rsid w:val="00073C79"/>
    <w:rsid w:val="00073CE3"/>
    <w:rsid w:val="000755E7"/>
    <w:rsid w:val="000758C3"/>
    <w:rsid w:val="00076215"/>
    <w:rsid w:val="00076964"/>
    <w:rsid w:val="00077843"/>
    <w:rsid w:val="00077A47"/>
    <w:rsid w:val="00080EF3"/>
    <w:rsid w:val="00081CFA"/>
    <w:rsid w:val="000821C6"/>
    <w:rsid w:val="0008354B"/>
    <w:rsid w:val="00086B87"/>
    <w:rsid w:val="0008735A"/>
    <w:rsid w:val="00087DAA"/>
    <w:rsid w:val="00087F67"/>
    <w:rsid w:val="00090401"/>
    <w:rsid w:val="00091051"/>
    <w:rsid w:val="00091372"/>
    <w:rsid w:val="000930F6"/>
    <w:rsid w:val="00093804"/>
    <w:rsid w:val="00094514"/>
    <w:rsid w:val="00095360"/>
    <w:rsid w:val="0009547F"/>
    <w:rsid w:val="00095A98"/>
    <w:rsid w:val="00095D1B"/>
    <w:rsid w:val="000978A8"/>
    <w:rsid w:val="000A0D89"/>
    <w:rsid w:val="000A11E5"/>
    <w:rsid w:val="000A234A"/>
    <w:rsid w:val="000A47D3"/>
    <w:rsid w:val="000A71C0"/>
    <w:rsid w:val="000A7768"/>
    <w:rsid w:val="000A78A7"/>
    <w:rsid w:val="000A78ED"/>
    <w:rsid w:val="000B1ACA"/>
    <w:rsid w:val="000B2721"/>
    <w:rsid w:val="000B351C"/>
    <w:rsid w:val="000B3804"/>
    <w:rsid w:val="000B3E68"/>
    <w:rsid w:val="000B5DF3"/>
    <w:rsid w:val="000B6B25"/>
    <w:rsid w:val="000B7122"/>
    <w:rsid w:val="000B75AA"/>
    <w:rsid w:val="000B7992"/>
    <w:rsid w:val="000B7CAF"/>
    <w:rsid w:val="000C0F14"/>
    <w:rsid w:val="000C141E"/>
    <w:rsid w:val="000C1666"/>
    <w:rsid w:val="000C28FF"/>
    <w:rsid w:val="000C32F0"/>
    <w:rsid w:val="000C3B51"/>
    <w:rsid w:val="000C4CD6"/>
    <w:rsid w:val="000C4E79"/>
    <w:rsid w:val="000C5FE2"/>
    <w:rsid w:val="000C7154"/>
    <w:rsid w:val="000C778B"/>
    <w:rsid w:val="000C7BAB"/>
    <w:rsid w:val="000D1A5E"/>
    <w:rsid w:val="000D4E1E"/>
    <w:rsid w:val="000D4F6C"/>
    <w:rsid w:val="000D4FE1"/>
    <w:rsid w:val="000D5487"/>
    <w:rsid w:val="000D5A7C"/>
    <w:rsid w:val="000D6257"/>
    <w:rsid w:val="000D6B48"/>
    <w:rsid w:val="000D76BC"/>
    <w:rsid w:val="000D7BDA"/>
    <w:rsid w:val="000E169A"/>
    <w:rsid w:val="000E281A"/>
    <w:rsid w:val="000E347E"/>
    <w:rsid w:val="000E4BD2"/>
    <w:rsid w:val="000E6F20"/>
    <w:rsid w:val="000E78F4"/>
    <w:rsid w:val="000E7A63"/>
    <w:rsid w:val="000F2397"/>
    <w:rsid w:val="000F2AA1"/>
    <w:rsid w:val="000F4AAC"/>
    <w:rsid w:val="000F5868"/>
    <w:rsid w:val="000F74E9"/>
    <w:rsid w:val="000F77F0"/>
    <w:rsid w:val="001005EA"/>
    <w:rsid w:val="001009DE"/>
    <w:rsid w:val="00100B80"/>
    <w:rsid w:val="00100E34"/>
    <w:rsid w:val="001025A2"/>
    <w:rsid w:val="00102DCB"/>
    <w:rsid w:val="001039CA"/>
    <w:rsid w:val="00104482"/>
    <w:rsid w:val="001055D2"/>
    <w:rsid w:val="00105E38"/>
    <w:rsid w:val="0010762C"/>
    <w:rsid w:val="001079F9"/>
    <w:rsid w:val="00110579"/>
    <w:rsid w:val="00110732"/>
    <w:rsid w:val="00110990"/>
    <w:rsid w:val="00110AB7"/>
    <w:rsid w:val="00112540"/>
    <w:rsid w:val="00112A64"/>
    <w:rsid w:val="00113334"/>
    <w:rsid w:val="001137FC"/>
    <w:rsid w:val="001141C8"/>
    <w:rsid w:val="00114BD8"/>
    <w:rsid w:val="00115763"/>
    <w:rsid w:val="00115C00"/>
    <w:rsid w:val="00116200"/>
    <w:rsid w:val="00117E7E"/>
    <w:rsid w:val="00120D48"/>
    <w:rsid w:val="00121BA5"/>
    <w:rsid w:val="00122E83"/>
    <w:rsid w:val="00123821"/>
    <w:rsid w:val="001251CA"/>
    <w:rsid w:val="001257CD"/>
    <w:rsid w:val="00125978"/>
    <w:rsid w:val="00126237"/>
    <w:rsid w:val="0012637C"/>
    <w:rsid w:val="00130276"/>
    <w:rsid w:val="00133B96"/>
    <w:rsid w:val="00134699"/>
    <w:rsid w:val="001346B2"/>
    <w:rsid w:val="00134DD8"/>
    <w:rsid w:val="00135C59"/>
    <w:rsid w:val="00136898"/>
    <w:rsid w:val="00136C51"/>
    <w:rsid w:val="0013724A"/>
    <w:rsid w:val="00137FEA"/>
    <w:rsid w:val="001404F3"/>
    <w:rsid w:val="00142813"/>
    <w:rsid w:val="00142AF7"/>
    <w:rsid w:val="00143A3D"/>
    <w:rsid w:val="00145A3B"/>
    <w:rsid w:val="00145FE0"/>
    <w:rsid w:val="001471E6"/>
    <w:rsid w:val="00150284"/>
    <w:rsid w:val="0015060A"/>
    <w:rsid w:val="00150DA8"/>
    <w:rsid w:val="00151A34"/>
    <w:rsid w:val="0015510F"/>
    <w:rsid w:val="00155CA7"/>
    <w:rsid w:val="00156E42"/>
    <w:rsid w:val="0015793E"/>
    <w:rsid w:val="001603DC"/>
    <w:rsid w:val="00160C9B"/>
    <w:rsid w:val="00160D3C"/>
    <w:rsid w:val="00161230"/>
    <w:rsid w:val="001619DA"/>
    <w:rsid w:val="0016241F"/>
    <w:rsid w:val="00163ECA"/>
    <w:rsid w:val="001647C4"/>
    <w:rsid w:val="00164DCC"/>
    <w:rsid w:val="00165F37"/>
    <w:rsid w:val="00167335"/>
    <w:rsid w:val="00167857"/>
    <w:rsid w:val="001679FC"/>
    <w:rsid w:val="001716BF"/>
    <w:rsid w:val="00172723"/>
    <w:rsid w:val="00174174"/>
    <w:rsid w:val="001757A4"/>
    <w:rsid w:val="00176B82"/>
    <w:rsid w:val="00176F7A"/>
    <w:rsid w:val="00181770"/>
    <w:rsid w:val="00181AB3"/>
    <w:rsid w:val="001828B6"/>
    <w:rsid w:val="00182F39"/>
    <w:rsid w:val="00182FEC"/>
    <w:rsid w:val="00184395"/>
    <w:rsid w:val="001864EA"/>
    <w:rsid w:val="0018688E"/>
    <w:rsid w:val="001908D0"/>
    <w:rsid w:val="00190B3A"/>
    <w:rsid w:val="00191052"/>
    <w:rsid w:val="00192D8A"/>
    <w:rsid w:val="00193989"/>
    <w:rsid w:val="00194446"/>
    <w:rsid w:val="00194CC5"/>
    <w:rsid w:val="00194D44"/>
    <w:rsid w:val="00196231"/>
    <w:rsid w:val="00197109"/>
    <w:rsid w:val="001976B8"/>
    <w:rsid w:val="001A046F"/>
    <w:rsid w:val="001A04D3"/>
    <w:rsid w:val="001A1211"/>
    <w:rsid w:val="001A1274"/>
    <w:rsid w:val="001A2921"/>
    <w:rsid w:val="001A2FA6"/>
    <w:rsid w:val="001A31BF"/>
    <w:rsid w:val="001A5210"/>
    <w:rsid w:val="001A5C33"/>
    <w:rsid w:val="001A6068"/>
    <w:rsid w:val="001A66FC"/>
    <w:rsid w:val="001A7440"/>
    <w:rsid w:val="001A7B4D"/>
    <w:rsid w:val="001B0118"/>
    <w:rsid w:val="001B0606"/>
    <w:rsid w:val="001B1A91"/>
    <w:rsid w:val="001B1C67"/>
    <w:rsid w:val="001B3B6A"/>
    <w:rsid w:val="001B3E74"/>
    <w:rsid w:val="001B4E75"/>
    <w:rsid w:val="001B585E"/>
    <w:rsid w:val="001B6749"/>
    <w:rsid w:val="001B6EA5"/>
    <w:rsid w:val="001B6F57"/>
    <w:rsid w:val="001B76B2"/>
    <w:rsid w:val="001C0767"/>
    <w:rsid w:val="001C07DE"/>
    <w:rsid w:val="001C1EB2"/>
    <w:rsid w:val="001C21E6"/>
    <w:rsid w:val="001C2717"/>
    <w:rsid w:val="001C2FAD"/>
    <w:rsid w:val="001C4B8D"/>
    <w:rsid w:val="001C5096"/>
    <w:rsid w:val="001C5248"/>
    <w:rsid w:val="001C52A3"/>
    <w:rsid w:val="001C70CB"/>
    <w:rsid w:val="001C763C"/>
    <w:rsid w:val="001D0117"/>
    <w:rsid w:val="001D067D"/>
    <w:rsid w:val="001D2556"/>
    <w:rsid w:val="001D36F1"/>
    <w:rsid w:val="001D627B"/>
    <w:rsid w:val="001D746A"/>
    <w:rsid w:val="001D7738"/>
    <w:rsid w:val="001D7F9D"/>
    <w:rsid w:val="001E0B92"/>
    <w:rsid w:val="001E0EAF"/>
    <w:rsid w:val="001E16DF"/>
    <w:rsid w:val="001E29F6"/>
    <w:rsid w:val="001E47C7"/>
    <w:rsid w:val="001E5488"/>
    <w:rsid w:val="001E618F"/>
    <w:rsid w:val="001E6538"/>
    <w:rsid w:val="001E665A"/>
    <w:rsid w:val="001E6958"/>
    <w:rsid w:val="001E6D83"/>
    <w:rsid w:val="001F024D"/>
    <w:rsid w:val="001F1896"/>
    <w:rsid w:val="001F1F96"/>
    <w:rsid w:val="001F2CB8"/>
    <w:rsid w:val="001F3AC0"/>
    <w:rsid w:val="001F46B6"/>
    <w:rsid w:val="001F473F"/>
    <w:rsid w:val="001F530A"/>
    <w:rsid w:val="001F623F"/>
    <w:rsid w:val="001F64F8"/>
    <w:rsid w:val="001F72EF"/>
    <w:rsid w:val="00200BD9"/>
    <w:rsid w:val="00200E08"/>
    <w:rsid w:val="002011AF"/>
    <w:rsid w:val="002013DF"/>
    <w:rsid w:val="00202299"/>
    <w:rsid w:val="0020426F"/>
    <w:rsid w:val="0020699B"/>
    <w:rsid w:val="00207964"/>
    <w:rsid w:val="0021009F"/>
    <w:rsid w:val="0021025D"/>
    <w:rsid w:val="00210710"/>
    <w:rsid w:val="00211512"/>
    <w:rsid w:val="00212AD6"/>
    <w:rsid w:val="00213679"/>
    <w:rsid w:val="00213F23"/>
    <w:rsid w:val="0021581F"/>
    <w:rsid w:val="00216164"/>
    <w:rsid w:val="00216296"/>
    <w:rsid w:val="00216658"/>
    <w:rsid w:val="0022173B"/>
    <w:rsid w:val="00222AB0"/>
    <w:rsid w:val="00223696"/>
    <w:rsid w:val="00223948"/>
    <w:rsid w:val="00223C0C"/>
    <w:rsid w:val="00223CB6"/>
    <w:rsid w:val="00224C38"/>
    <w:rsid w:val="002251ED"/>
    <w:rsid w:val="00226EEC"/>
    <w:rsid w:val="00227E7C"/>
    <w:rsid w:val="00230424"/>
    <w:rsid w:val="00230501"/>
    <w:rsid w:val="00231350"/>
    <w:rsid w:val="00232E62"/>
    <w:rsid w:val="00234822"/>
    <w:rsid w:val="002348E4"/>
    <w:rsid w:val="00234D33"/>
    <w:rsid w:val="00235209"/>
    <w:rsid w:val="0023526D"/>
    <w:rsid w:val="002368B4"/>
    <w:rsid w:val="00236B6A"/>
    <w:rsid w:val="002371B9"/>
    <w:rsid w:val="00237A70"/>
    <w:rsid w:val="00237C30"/>
    <w:rsid w:val="00240902"/>
    <w:rsid w:val="00241B14"/>
    <w:rsid w:val="002422DF"/>
    <w:rsid w:val="002436CA"/>
    <w:rsid w:val="00245ED9"/>
    <w:rsid w:val="0024755D"/>
    <w:rsid w:val="00250523"/>
    <w:rsid w:val="00250736"/>
    <w:rsid w:val="0025191D"/>
    <w:rsid w:val="002520F7"/>
    <w:rsid w:val="00252185"/>
    <w:rsid w:val="00252C13"/>
    <w:rsid w:val="00255A3A"/>
    <w:rsid w:val="00255BE3"/>
    <w:rsid w:val="00261270"/>
    <w:rsid w:val="00264D9C"/>
    <w:rsid w:val="00264FAC"/>
    <w:rsid w:val="00266416"/>
    <w:rsid w:val="002669BE"/>
    <w:rsid w:val="00267495"/>
    <w:rsid w:val="00270D1A"/>
    <w:rsid w:val="00270FD3"/>
    <w:rsid w:val="00271B06"/>
    <w:rsid w:val="0027206C"/>
    <w:rsid w:val="00272590"/>
    <w:rsid w:val="00273680"/>
    <w:rsid w:val="002736B9"/>
    <w:rsid w:val="00273732"/>
    <w:rsid w:val="00275E21"/>
    <w:rsid w:val="002769C6"/>
    <w:rsid w:val="00276C16"/>
    <w:rsid w:val="00276D7C"/>
    <w:rsid w:val="00276FAD"/>
    <w:rsid w:val="002805A5"/>
    <w:rsid w:val="002806F3"/>
    <w:rsid w:val="00281A39"/>
    <w:rsid w:val="0028376D"/>
    <w:rsid w:val="002838AC"/>
    <w:rsid w:val="0028394A"/>
    <w:rsid w:val="00283D20"/>
    <w:rsid w:val="00283F86"/>
    <w:rsid w:val="002840B7"/>
    <w:rsid w:val="00285435"/>
    <w:rsid w:val="00285A76"/>
    <w:rsid w:val="002867F4"/>
    <w:rsid w:val="00287B7C"/>
    <w:rsid w:val="00290F01"/>
    <w:rsid w:val="00290F8A"/>
    <w:rsid w:val="00291E0C"/>
    <w:rsid w:val="002933E7"/>
    <w:rsid w:val="00293EED"/>
    <w:rsid w:val="002A1253"/>
    <w:rsid w:val="002A12E9"/>
    <w:rsid w:val="002A1376"/>
    <w:rsid w:val="002A1D1E"/>
    <w:rsid w:val="002A1FDC"/>
    <w:rsid w:val="002A208D"/>
    <w:rsid w:val="002A21D0"/>
    <w:rsid w:val="002A2BEB"/>
    <w:rsid w:val="002A50C7"/>
    <w:rsid w:val="002A5F80"/>
    <w:rsid w:val="002A7164"/>
    <w:rsid w:val="002A757B"/>
    <w:rsid w:val="002A77E6"/>
    <w:rsid w:val="002B1309"/>
    <w:rsid w:val="002B2150"/>
    <w:rsid w:val="002B2344"/>
    <w:rsid w:val="002B2CBD"/>
    <w:rsid w:val="002B32F6"/>
    <w:rsid w:val="002B3D46"/>
    <w:rsid w:val="002B5B19"/>
    <w:rsid w:val="002B5B2F"/>
    <w:rsid w:val="002B6CEC"/>
    <w:rsid w:val="002C1738"/>
    <w:rsid w:val="002C213C"/>
    <w:rsid w:val="002C3AC3"/>
    <w:rsid w:val="002C51DC"/>
    <w:rsid w:val="002C5533"/>
    <w:rsid w:val="002C592B"/>
    <w:rsid w:val="002C5FA7"/>
    <w:rsid w:val="002C605F"/>
    <w:rsid w:val="002C624C"/>
    <w:rsid w:val="002C7369"/>
    <w:rsid w:val="002C773A"/>
    <w:rsid w:val="002C78C0"/>
    <w:rsid w:val="002D107C"/>
    <w:rsid w:val="002D1F9A"/>
    <w:rsid w:val="002D251E"/>
    <w:rsid w:val="002D2B58"/>
    <w:rsid w:val="002D2D07"/>
    <w:rsid w:val="002D2F71"/>
    <w:rsid w:val="002D35FC"/>
    <w:rsid w:val="002D5103"/>
    <w:rsid w:val="002D52D9"/>
    <w:rsid w:val="002D5A74"/>
    <w:rsid w:val="002D62B2"/>
    <w:rsid w:val="002E063A"/>
    <w:rsid w:val="002E0AD2"/>
    <w:rsid w:val="002E0E72"/>
    <w:rsid w:val="002E16C6"/>
    <w:rsid w:val="002E1717"/>
    <w:rsid w:val="002E21C4"/>
    <w:rsid w:val="002E323A"/>
    <w:rsid w:val="002E3CD0"/>
    <w:rsid w:val="002E5C4F"/>
    <w:rsid w:val="002E6CE7"/>
    <w:rsid w:val="002E6D97"/>
    <w:rsid w:val="002E7A9E"/>
    <w:rsid w:val="002F34CB"/>
    <w:rsid w:val="002F3E77"/>
    <w:rsid w:val="002F5299"/>
    <w:rsid w:val="002F5317"/>
    <w:rsid w:val="002F5405"/>
    <w:rsid w:val="002F5E13"/>
    <w:rsid w:val="002F6ED0"/>
    <w:rsid w:val="002F7166"/>
    <w:rsid w:val="002F73C4"/>
    <w:rsid w:val="003005DF"/>
    <w:rsid w:val="00300A75"/>
    <w:rsid w:val="00300AFC"/>
    <w:rsid w:val="00300C58"/>
    <w:rsid w:val="003013F2"/>
    <w:rsid w:val="00301F72"/>
    <w:rsid w:val="00302A38"/>
    <w:rsid w:val="00303BBF"/>
    <w:rsid w:val="00304294"/>
    <w:rsid w:val="0030606E"/>
    <w:rsid w:val="00306720"/>
    <w:rsid w:val="00310043"/>
    <w:rsid w:val="00310EA5"/>
    <w:rsid w:val="00311368"/>
    <w:rsid w:val="00313A44"/>
    <w:rsid w:val="00317334"/>
    <w:rsid w:val="0031735D"/>
    <w:rsid w:val="00320F4E"/>
    <w:rsid w:val="00324E94"/>
    <w:rsid w:val="0032519E"/>
    <w:rsid w:val="00325567"/>
    <w:rsid w:val="0032580E"/>
    <w:rsid w:val="003260F6"/>
    <w:rsid w:val="00326404"/>
    <w:rsid w:val="003302D9"/>
    <w:rsid w:val="00330D5B"/>
    <w:rsid w:val="00331142"/>
    <w:rsid w:val="00331B52"/>
    <w:rsid w:val="00332E7D"/>
    <w:rsid w:val="00333B51"/>
    <w:rsid w:val="00333B8D"/>
    <w:rsid w:val="003348D6"/>
    <w:rsid w:val="00336070"/>
    <w:rsid w:val="00337195"/>
    <w:rsid w:val="00337D18"/>
    <w:rsid w:val="00337D97"/>
    <w:rsid w:val="00340015"/>
    <w:rsid w:val="00340517"/>
    <w:rsid w:val="003407E8"/>
    <w:rsid w:val="0034145D"/>
    <w:rsid w:val="00341D6C"/>
    <w:rsid w:val="00343BBA"/>
    <w:rsid w:val="00345133"/>
    <w:rsid w:val="00346FF6"/>
    <w:rsid w:val="00347196"/>
    <w:rsid w:val="003475D8"/>
    <w:rsid w:val="003514E0"/>
    <w:rsid w:val="00354169"/>
    <w:rsid w:val="003546E5"/>
    <w:rsid w:val="00355662"/>
    <w:rsid w:val="003556B6"/>
    <w:rsid w:val="0035586E"/>
    <w:rsid w:val="00356637"/>
    <w:rsid w:val="00356B8F"/>
    <w:rsid w:val="00357215"/>
    <w:rsid w:val="0035739A"/>
    <w:rsid w:val="0036005E"/>
    <w:rsid w:val="0036067E"/>
    <w:rsid w:val="0036111F"/>
    <w:rsid w:val="00361EB2"/>
    <w:rsid w:val="0036203A"/>
    <w:rsid w:val="003649A6"/>
    <w:rsid w:val="00364D07"/>
    <w:rsid w:val="00365183"/>
    <w:rsid w:val="0036576E"/>
    <w:rsid w:val="00370229"/>
    <w:rsid w:val="00370FEE"/>
    <w:rsid w:val="00372DD5"/>
    <w:rsid w:val="00374A55"/>
    <w:rsid w:val="00374FE8"/>
    <w:rsid w:val="003754EE"/>
    <w:rsid w:val="00377129"/>
    <w:rsid w:val="003775B3"/>
    <w:rsid w:val="00380937"/>
    <w:rsid w:val="003818C2"/>
    <w:rsid w:val="00381967"/>
    <w:rsid w:val="0038291B"/>
    <w:rsid w:val="00383175"/>
    <w:rsid w:val="003836B0"/>
    <w:rsid w:val="0038540F"/>
    <w:rsid w:val="00385C27"/>
    <w:rsid w:val="003920B5"/>
    <w:rsid w:val="00393916"/>
    <w:rsid w:val="00395AC4"/>
    <w:rsid w:val="003975C7"/>
    <w:rsid w:val="003A079F"/>
    <w:rsid w:val="003A202A"/>
    <w:rsid w:val="003A321E"/>
    <w:rsid w:val="003A421C"/>
    <w:rsid w:val="003A42D4"/>
    <w:rsid w:val="003A43F4"/>
    <w:rsid w:val="003A49FE"/>
    <w:rsid w:val="003A530F"/>
    <w:rsid w:val="003A61D7"/>
    <w:rsid w:val="003B0B0C"/>
    <w:rsid w:val="003B12B3"/>
    <w:rsid w:val="003B3456"/>
    <w:rsid w:val="003B3D64"/>
    <w:rsid w:val="003B4459"/>
    <w:rsid w:val="003B4B44"/>
    <w:rsid w:val="003B5460"/>
    <w:rsid w:val="003B582D"/>
    <w:rsid w:val="003B5E49"/>
    <w:rsid w:val="003B72FD"/>
    <w:rsid w:val="003B752D"/>
    <w:rsid w:val="003C0337"/>
    <w:rsid w:val="003C093F"/>
    <w:rsid w:val="003C1A08"/>
    <w:rsid w:val="003C1C28"/>
    <w:rsid w:val="003C2338"/>
    <w:rsid w:val="003C3DE8"/>
    <w:rsid w:val="003C3F1E"/>
    <w:rsid w:val="003C3F64"/>
    <w:rsid w:val="003C53FA"/>
    <w:rsid w:val="003C55DD"/>
    <w:rsid w:val="003C5756"/>
    <w:rsid w:val="003C607B"/>
    <w:rsid w:val="003C631C"/>
    <w:rsid w:val="003C68F5"/>
    <w:rsid w:val="003C6F75"/>
    <w:rsid w:val="003C7A53"/>
    <w:rsid w:val="003D030A"/>
    <w:rsid w:val="003D03A3"/>
    <w:rsid w:val="003D17B6"/>
    <w:rsid w:val="003D2D91"/>
    <w:rsid w:val="003D31F5"/>
    <w:rsid w:val="003D338D"/>
    <w:rsid w:val="003D3DE0"/>
    <w:rsid w:val="003D5418"/>
    <w:rsid w:val="003D6517"/>
    <w:rsid w:val="003D6AF0"/>
    <w:rsid w:val="003D737C"/>
    <w:rsid w:val="003D7F6E"/>
    <w:rsid w:val="003E2B91"/>
    <w:rsid w:val="003E2ED0"/>
    <w:rsid w:val="003E4024"/>
    <w:rsid w:val="003E6EF5"/>
    <w:rsid w:val="003E747E"/>
    <w:rsid w:val="003E76CE"/>
    <w:rsid w:val="003E7CD0"/>
    <w:rsid w:val="003F0DE1"/>
    <w:rsid w:val="003F200E"/>
    <w:rsid w:val="003F263B"/>
    <w:rsid w:val="003F4A8E"/>
    <w:rsid w:val="003F5D36"/>
    <w:rsid w:val="003F6154"/>
    <w:rsid w:val="00400193"/>
    <w:rsid w:val="00400592"/>
    <w:rsid w:val="00401C48"/>
    <w:rsid w:val="00401C59"/>
    <w:rsid w:val="0040220A"/>
    <w:rsid w:val="00402654"/>
    <w:rsid w:val="00403F45"/>
    <w:rsid w:val="00405F29"/>
    <w:rsid w:val="00407482"/>
    <w:rsid w:val="00407E7B"/>
    <w:rsid w:val="00410774"/>
    <w:rsid w:val="00412834"/>
    <w:rsid w:val="00412D70"/>
    <w:rsid w:val="00413479"/>
    <w:rsid w:val="004148F3"/>
    <w:rsid w:val="00414A4A"/>
    <w:rsid w:val="004171F7"/>
    <w:rsid w:val="0041792F"/>
    <w:rsid w:val="00417AF2"/>
    <w:rsid w:val="00420415"/>
    <w:rsid w:val="00420890"/>
    <w:rsid w:val="00421C00"/>
    <w:rsid w:val="00422BF1"/>
    <w:rsid w:val="00423181"/>
    <w:rsid w:val="004231DA"/>
    <w:rsid w:val="0042489A"/>
    <w:rsid w:val="00425275"/>
    <w:rsid w:val="00426B7A"/>
    <w:rsid w:val="0042744C"/>
    <w:rsid w:val="004279C3"/>
    <w:rsid w:val="00430FA0"/>
    <w:rsid w:val="00430FA9"/>
    <w:rsid w:val="00431278"/>
    <w:rsid w:val="004314BA"/>
    <w:rsid w:val="004327D7"/>
    <w:rsid w:val="0043332C"/>
    <w:rsid w:val="00433650"/>
    <w:rsid w:val="0043409B"/>
    <w:rsid w:val="00434FC8"/>
    <w:rsid w:val="00435465"/>
    <w:rsid w:val="0043583F"/>
    <w:rsid w:val="00435C26"/>
    <w:rsid w:val="00435E3D"/>
    <w:rsid w:val="0043607D"/>
    <w:rsid w:val="0043754B"/>
    <w:rsid w:val="0043785F"/>
    <w:rsid w:val="00437E5B"/>
    <w:rsid w:val="00437F46"/>
    <w:rsid w:val="00440194"/>
    <w:rsid w:val="00442267"/>
    <w:rsid w:val="00444892"/>
    <w:rsid w:val="004450A0"/>
    <w:rsid w:val="0044726F"/>
    <w:rsid w:val="00447294"/>
    <w:rsid w:val="00447FE6"/>
    <w:rsid w:val="00450A92"/>
    <w:rsid w:val="00450AFF"/>
    <w:rsid w:val="0045163E"/>
    <w:rsid w:val="004517B1"/>
    <w:rsid w:val="00452392"/>
    <w:rsid w:val="004526D2"/>
    <w:rsid w:val="00452798"/>
    <w:rsid w:val="00453022"/>
    <w:rsid w:val="00453181"/>
    <w:rsid w:val="00453998"/>
    <w:rsid w:val="0045642E"/>
    <w:rsid w:val="00456737"/>
    <w:rsid w:val="00456B4F"/>
    <w:rsid w:val="00457A37"/>
    <w:rsid w:val="004601A8"/>
    <w:rsid w:val="00460503"/>
    <w:rsid w:val="00460CE5"/>
    <w:rsid w:val="00461537"/>
    <w:rsid w:val="0046154D"/>
    <w:rsid w:val="00462FD5"/>
    <w:rsid w:val="00463171"/>
    <w:rsid w:val="00464FB0"/>
    <w:rsid w:val="00467339"/>
    <w:rsid w:val="004676F7"/>
    <w:rsid w:val="00470DB2"/>
    <w:rsid w:val="00471C2C"/>
    <w:rsid w:val="00471CB5"/>
    <w:rsid w:val="00471E4A"/>
    <w:rsid w:val="00475398"/>
    <w:rsid w:val="00475B3C"/>
    <w:rsid w:val="00475E50"/>
    <w:rsid w:val="0047664E"/>
    <w:rsid w:val="0047754C"/>
    <w:rsid w:val="004809B2"/>
    <w:rsid w:val="00482283"/>
    <w:rsid w:val="00482322"/>
    <w:rsid w:val="00482972"/>
    <w:rsid w:val="00483E44"/>
    <w:rsid w:val="00484069"/>
    <w:rsid w:val="00485692"/>
    <w:rsid w:val="0048636D"/>
    <w:rsid w:val="00486DAA"/>
    <w:rsid w:val="0048798E"/>
    <w:rsid w:val="00492E0E"/>
    <w:rsid w:val="00492E4E"/>
    <w:rsid w:val="00494C3F"/>
    <w:rsid w:val="004976AA"/>
    <w:rsid w:val="004A07FA"/>
    <w:rsid w:val="004A1AB4"/>
    <w:rsid w:val="004A1F05"/>
    <w:rsid w:val="004A2293"/>
    <w:rsid w:val="004A262C"/>
    <w:rsid w:val="004A31AC"/>
    <w:rsid w:val="004A3A9A"/>
    <w:rsid w:val="004A3EEC"/>
    <w:rsid w:val="004A3F45"/>
    <w:rsid w:val="004A4C52"/>
    <w:rsid w:val="004A5AFD"/>
    <w:rsid w:val="004A5C07"/>
    <w:rsid w:val="004A7323"/>
    <w:rsid w:val="004B096B"/>
    <w:rsid w:val="004B099B"/>
    <w:rsid w:val="004B1696"/>
    <w:rsid w:val="004B1E29"/>
    <w:rsid w:val="004B1F47"/>
    <w:rsid w:val="004B2918"/>
    <w:rsid w:val="004C0481"/>
    <w:rsid w:val="004C0569"/>
    <w:rsid w:val="004C095B"/>
    <w:rsid w:val="004C0B1E"/>
    <w:rsid w:val="004C145D"/>
    <w:rsid w:val="004C151E"/>
    <w:rsid w:val="004C15AD"/>
    <w:rsid w:val="004C1C4A"/>
    <w:rsid w:val="004C1CEC"/>
    <w:rsid w:val="004C227F"/>
    <w:rsid w:val="004C3ABA"/>
    <w:rsid w:val="004C3B9C"/>
    <w:rsid w:val="004C4051"/>
    <w:rsid w:val="004C4BAA"/>
    <w:rsid w:val="004C5EDA"/>
    <w:rsid w:val="004C62CD"/>
    <w:rsid w:val="004C65E9"/>
    <w:rsid w:val="004C799D"/>
    <w:rsid w:val="004C7F3D"/>
    <w:rsid w:val="004D19E9"/>
    <w:rsid w:val="004D1D35"/>
    <w:rsid w:val="004D3650"/>
    <w:rsid w:val="004D3B94"/>
    <w:rsid w:val="004D4120"/>
    <w:rsid w:val="004D4241"/>
    <w:rsid w:val="004D67C0"/>
    <w:rsid w:val="004D6AC3"/>
    <w:rsid w:val="004E0ECE"/>
    <w:rsid w:val="004E2134"/>
    <w:rsid w:val="004E242E"/>
    <w:rsid w:val="004E29BA"/>
    <w:rsid w:val="004E6A67"/>
    <w:rsid w:val="004E6B70"/>
    <w:rsid w:val="004E729E"/>
    <w:rsid w:val="004E7AE5"/>
    <w:rsid w:val="004F017B"/>
    <w:rsid w:val="004F1524"/>
    <w:rsid w:val="004F18DE"/>
    <w:rsid w:val="004F28DB"/>
    <w:rsid w:val="004F3938"/>
    <w:rsid w:val="004F5D37"/>
    <w:rsid w:val="004F7090"/>
    <w:rsid w:val="004F7590"/>
    <w:rsid w:val="004F75B1"/>
    <w:rsid w:val="00501FE2"/>
    <w:rsid w:val="00502DDB"/>
    <w:rsid w:val="00503A6A"/>
    <w:rsid w:val="00507631"/>
    <w:rsid w:val="00507677"/>
    <w:rsid w:val="00507B7E"/>
    <w:rsid w:val="005108CA"/>
    <w:rsid w:val="00510B49"/>
    <w:rsid w:val="005122FA"/>
    <w:rsid w:val="005134AC"/>
    <w:rsid w:val="00514D0D"/>
    <w:rsid w:val="005150CB"/>
    <w:rsid w:val="005165FF"/>
    <w:rsid w:val="00516729"/>
    <w:rsid w:val="005168FB"/>
    <w:rsid w:val="0051757A"/>
    <w:rsid w:val="005234C1"/>
    <w:rsid w:val="00523A75"/>
    <w:rsid w:val="005259CA"/>
    <w:rsid w:val="00525A43"/>
    <w:rsid w:val="00527E17"/>
    <w:rsid w:val="00531377"/>
    <w:rsid w:val="00531B8A"/>
    <w:rsid w:val="00531CD7"/>
    <w:rsid w:val="005337AB"/>
    <w:rsid w:val="0053392B"/>
    <w:rsid w:val="005341E6"/>
    <w:rsid w:val="005347E7"/>
    <w:rsid w:val="00534847"/>
    <w:rsid w:val="005351D8"/>
    <w:rsid w:val="00535AE7"/>
    <w:rsid w:val="00535C85"/>
    <w:rsid w:val="00536E62"/>
    <w:rsid w:val="0054327B"/>
    <w:rsid w:val="0054344E"/>
    <w:rsid w:val="005434A5"/>
    <w:rsid w:val="00545F89"/>
    <w:rsid w:val="0054674C"/>
    <w:rsid w:val="00546F6B"/>
    <w:rsid w:val="00547DB5"/>
    <w:rsid w:val="00550213"/>
    <w:rsid w:val="0055142F"/>
    <w:rsid w:val="005526B9"/>
    <w:rsid w:val="00553133"/>
    <w:rsid w:val="00553F2D"/>
    <w:rsid w:val="005540FF"/>
    <w:rsid w:val="005543B6"/>
    <w:rsid w:val="00555E64"/>
    <w:rsid w:val="00556741"/>
    <w:rsid w:val="00556CE2"/>
    <w:rsid w:val="005574E5"/>
    <w:rsid w:val="005618D6"/>
    <w:rsid w:val="00561E9B"/>
    <w:rsid w:val="00563B27"/>
    <w:rsid w:val="00563EBF"/>
    <w:rsid w:val="00564AC2"/>
    <w:rsid w:val="00570F1D"/>
    <w:rsid w:val="005711D7"/>
    <w:rsid w:val="00571387"/>
    <w:rsid w:val="00572131"/>
    <w:rsid w:val="0057233A"/>
    <w:rsid w:val="00572645"/>
    <w:rsid w:val="00572C24"/>
    <w:rsid w:val="00572F3C"/>
    <w:rsid w:val="00573720"/>
    <w:rsid w:val="0057483E"/>
    <w:rsid w:val="00575157"/>
    <w:rsid w:val="005754E3"/>
    <w:rsid w:val="00575925"/>
    <w:rsid w:val="00576213"/>
    <w:rsid w:val="0057624C"/>
    <w:rsid w:val="005769ED"/>
    <w:rsid w:val="0057721E"/>
    <w:rsid w:val="00580762"/>
    <w:rsid w:val="00580AB5"/>
    <w:rsid w:val="0058226A"/>
    <w:rsid w:val="00583AB9"/>
    <w:rsid w:val="00583AF7"/>
    <w:rsid w:val="00583CD4"/>
    <w:rsid w:val="005852EC"/>
    <w:rsid w:val="0058598E"/>
    <w:rsid w:val="005874AA"/>
    <w:rsid w:val="00587CE3"/>
    <w:rsid w:val="00590239"/>
    <w:rsid w:val="00592146"/>
    <w:rsid w:val="00593397"/>
    <w:rsid w:val="00593B31"/>
    <w:rsid w:val="0059415F"/>
    <w:rsid w:val="00594E87"/>
    <w:rsid w:val="005972BE"/>
    <w:rsid w:val="005A03E2"/>
    <w:rsid w:val="005A0E61"/>
    <w:rsid w:val="005A1047"/>
    <w:rsid w:val="005A1192"/>
    <w:rsid w:val="005A1D4F"/>
    <w:rsid w:val="005A2FFE"/>
    <w:rsid w:val="005A3060"/>
    <w:rsid w:val="005A422F"/>
    <w:rsid w:val="005A4C59"/>
    <w:rsid w:val="005A5A88"/>
    <w:rsid w:val="005A66AF"/>
    <w:rsid w:val="005A7FF6"/>
    <w:rsid w:val="005B039E"/>
    <w:rsid w:val="005B03F5"/>
    <w:rsid w:val="005B1101"/>
    <w:rsid w:val="005B27F1"/>
    <w:rsid w:val="005B2B15"/>
    <w:rsid w:val="005B3E9D"/>
    <w:rsid w:val="005B4338"/>
    <w:rsid w:val="005B48CE"/>
    <w:rsid w:val="005B5DC7"/>
    <w:rsid w:val="005B62C2"/>
    <w:rsid w:val="005B6A70"/>
    <w:rsid w:val="005B7203"/>
    <w:rsid w:val="005B7527"/>
    <w:rsid w:val="005B7B4B"/>
    <w:rsid w:val="005B7FF2"/>
    <w:rsid w:val="005C0226"/>
    <w:rsid w:val="005C0350"/>
    <w:rsid w:val="005C0B7D"/>
    <w:rsid w:val="005C14A4"/>
    <w:rsid w:val="005C168F"/>
    <w:rsid w:val="005C1DF1"/>
    <w:rsid w:val="005C1E8B"/>
    <w:rsid w:val="005C3B97"/>
    <w:rsid w:val="005C41D0"/>
    <w:rsid w:val="005C6EB5"/>
    <w:rsid w:val="005C73B0"/>
    <w:rsid w:val="005D0363"/>
    <w:rsid w:val="005D3E62"/>
    <w:rsid w:val="005D3F27"/>
    <w:rsid w:val="005D54AC"/>
    <w:rsid w:val="005D59C3"/>
    <w:rsid w:val="005D5F02"/>
    <w:rsid w:val="005D6633"/>
    <w:rsid w:val="005E009A"/>
    <w:rsid w:val="005E064C"/>
    <w:rsid w:val="005E0F44"/>
    <w:rsid w:val="005E1E09"/>
    <w:rsid w:val="005E1F37"/>
    <w:rsid w:val="005E2AA3"/>
    <w:rsid w:val="005E2B16"/>
    <w:rsid w:val="005E4775"/>
    <w:rsid w:val="005E6A68"/>
    <w:rsid w:val="005E74C8"/>
    <w:rsid w:val="005E7AB4"/>
    <w:rsid w:val="005F0159"/>
    <w:rsid w:val="005F075F"/>
    <w:rsid w:val="005F472F"/>
    <w:rsid w:val="005F6253"/>
    <w:rsid w:val="005F6586"/>
    <w:rsid w:val="005F66E3"/>
    <w:rsid w:val="005F786F"/>
    <w:rsid w:val="005F7D13"/>
    <w:rsid w:val="00600019"/>
    <w:rsid w:val="00605167"/>
    <w:rsid w:val="00605D25"/>
    <w:rsid w:val="00607982"/>
    <w:rsid w:val="00611004"/>
    <w:rsid w:val="006110F4"/>
    <w:rsid w:val="00611B26"/>
    <w:rsid w:val="00611C12"/>
    <w:rsid w:val="006132AF"/>
    <w:rsid w:val="00614863"/>
    <w:rsid w:val="00614D9A"/>
    <w:rsid w:val="00615626"/>
    <w:rsid w:val="006176BC"/>
    <w:rsid w:val="0062259A"/>
    <w:rsid w:val="006227DE"/>
    <w:rsid w:val="00622A20"/>
    <w:rsid w:val="00622BC0"/>
    <w:rsid w:val="00623365"/>
    <w:rsid w:val="00623A94"/>
    <w:rsid w:val="0062480B"/>
    <w:rsid w:val="0062624C"/>
    <w:rsid w:val="00626422"/>
    <w:rsid w:val="00626F7A"/>
    <w:rsid w:val="00630BAD"/>
    <w:rsid w:val="0063287A"/>
    <w:rsid w:val="00632A7E"/>
    <w:rsid w:val="00633525"/>
    <w:rsid w:val="00633795"/>
    <w:rsid w:val="00633BFF"/>
    <w:rsid w:val="00636D70"/>
    <w:rsid w:val="0063775B"/>
    <w:rsid w:val="00641699"/>
    <w:rsid w:val="006416F2"/>
    <w:rsid w:val="00641C95"/>
    <w:rsid w:val="00643775"/>
    <w:rsid w:val="006469E9"/>
    <w:rsid w:val="006473F2"/>
    <w:rsid w:val="0064767F"/>
    <w:rsid w:val="0065100A"/>
    <w:rsid w:val="0065150A"/>
    <w:rsid w:val="00652B39"/>
    <w:rsid w:val="00652C6A"/>
    <w:rsid w:val="00654314"/>
    <w:rsid w:val="006566F7"/>
    <w:rsid w:val="00656A37"/>
    <w:rsid w:val="006572D5"/>
    <w:rsid w:val="006604D4"/>
    <w:rsid w:val="00660EC3"/>
    <w:rsid w:val="00661270"/>
    <w:rsid w:val="00664572"/>
    <w:rsid w:val="0066485E"/>
    <w:rsid w:val="00665CBE"/>
    <w:rsid w:val="00666ABD"/>
    <w:rsid w:val="006673DC"/>
    <w:rsid w:val="006675A3"/>
    <w:rsid w:val="006679D4"/>
    <w:rsid w:val="0067036D"/>
    <w:rsid w:val="00671CCC"/>
    <w:rsid w:val="00672CF5"/>
    <w:rsid w:val="00672F7E"/>
    <w:rsid w:val="0067309B"/>
    <w:rsid w:val="00674513"/>
    <w:rsid w:val="00674D54"/>
    <w:rsid w:val="00675A9D"/>
    <w:rsid w:val="00676DDE"/>
    <w:rsid w:val="00676F80"/>
    <w:rsid w:val="00677718"/>
    <w:rsid w:val="00681D62"/>
    <w:rsid w:val="00681EBF"/>
    <w:rsid w:val="00682562"/>
    <w:rsid w:val="0068284E"/>
    <w:rsid w:val="006840A7"/>
    <w:rsid w:val="006843C6"/>
    <w:rsid w:val="00684533"/>
    <w:rsid w:val="00684AAD"/>
    <w:rsid w:val="00684C66"/>
    <w:rsid w:val="006865F7"/>
    <w:rsid w:val="006868E6"/>
    <w:rsid w:val="00686B85"/>
    <w:rsid w:val="006870AF"/>
    <w:rsid w:val="006873E5"/>
    <w:rsid w:val="0068765C"/>
    <w:rsid w:val="006908C7"/>
    <w:rsid w:val="006909EA"/>
    <w:rsid w:val="00690A8D"/>
    <w:rsid w:val="00692064"/>
    <w:rsid w:val="00692335"/>
    <w:rsid w:val="006946E8"/>
    <w:rsid w:val="00694D47"/>
    <w:rsid w:val="006952C2"/>
    <w:rsid w:val="00697CE1"/>
    <w:rsid w:val="006A0232"/>
    <w:rsid w:val="006A14EE"/>
    <w:rsid w:val="006A2074"/>
    <w:rsid w:val="006A581C"/>
    <w:rsid w:val="006A5D59"/>
    <w:rsid w:val="006A6B30"/>
    <w:rsid w:val="006A6C84"/>
    <w:rsid w:val="006A765B"/>
    <w:rsid w:val="006B126D"/>
    <w:rsid w:val="006B3131"/>
    <w:rsid w:val="006B33C5"/>
    <w:rsid w:val="006B52F0"/>
    <w:rsid w:val="006B6654"/>
    <w:rsid w:val="006B68C1"/>
    <w:rsid w:val="006B73AA"/>
    <w:rsid w:val="006B77B5"/>
    <w:rsid w:val="006C2AEB"/>
    <w:rsid w:val="006C3757"/>
    <w:rsid w:val="006C583F"/>
    <w:rsid w:val="006C7CC0"/>
    <w:rsid w:val="006D0B27"/>
    <w:rsid w:val="006D303C"/>
    <w:rsid w:val="006D3628"/>
    <w:rsid w:val="006D40CA"/>
    <w:rsid w:val="006D4A5B"/>
    <w:rsid w:val="006D4EB7"/>
    <w:rsid w:val="006E0544"/>
    <w:rsid w:val="006E0CF3"/>
    <w:rsid w:val="006E1394"/>
    <w:rsid w:val="006E1971"/>
    <w:rsid w:val="006E2FE4"/>
    <w:rsid w:val="006E5BE6"/>
    <w:rsid w:val="006E5FB3"/>
    <w:rsid w:val="006E784E"/>
    <w:rsid w:val="006F0F6E"/>
    <w:rsid w:val="006F1174"/>
    <w:rsid w:val="006F1C0A"/>
    <w:rsid w:val="006F1D22"/>
    <w:rsid w:val="006F23AD"/>
    <w:rsid w:val="006F446D"/>
    <w:rsid w:val="006F455C"/>
    <w:rsid w:val="006F494B"/>
    <w:rsid w:val="006F4F1E"/>
    <w:rsid w:val="006F7846"/>
    <w:rsid w:val="007011F4"/>
    <w:rsid w:val="00701A86"/>
    <w:rsid w:val="007020F3"/>
    <w:rsid w:val="00703F54"/>
    <w:rsid w:val="0070466C"/>
    <w:rsid w:val="0070615D"/>
    <w:rsid w:val="007065C4"/>
    <w:rsid w:val="00706C3E"/>
    <w:rsid w:val="0070701C"/>
    <w:rsid w:val="00707512"/>
    <w:rsid w:val="00710CE7"/>
    <w:rsid w:val="007110BA"/>
    <w:rsid w:val="007116D8"/>
    <w:rsid w:val="00711AB3"/>
    <w:rsid w:val="007127D5"/>
    <w:rsid w:val="00714257"/>
    <w:rsid w:val="00715082"/>
    <w:rsid w:val="0071599D"/>
    <w:rsid w:val="00715F2B"/>
    <w:rsid w:val="00716850"/>
    <w:rsid w:val="00717033"/>
    <w:rsid w:val="00720093"/>
    <w:rsid w:val="00720E1E"/>
    <w:rsid w:val="00721E24"/>
    <w:rsid w:val="00721E73"/>
    <w:rsid w:val="0072365C"/>
    <w:rsid w:val="00724108"/>
    <w:rsid w:val="00724BFA"/>
    <w:rsid w:val="00724F4B"/>
    <w:rsid w:val="00725156"/>
    <w:rsid w:val="00725A16"/>
    <w:rsid w:val="007260D3"/>
    <w:rsid w:val="00727727"/>
    <w:rsid w:val="0073249D"/>
    <w:rsid w:val="007324E4"/>
    <w:rsid w:val="00732970"/>
    <w:rsid w:val="00732F6E"/>
    <w:rsid w:val="0073303F"/>
    <w:rsid w:val="00735363"/>
    <w:rsid w:val="00735DE7"/>
    <w:rsid w:val="00735F57"/>
    <w:rsid w:val="00736129"/>
    <w:rsid w:val="00736234"/>
    <w:rsid w:val="00736B10"/>
    <w:rsid w:val="00736DD8"/>
    <w:rsid w:val="007375AB"/>
    <w:rsid w:val="007403E9"/>
    <w:rsid w:val="00740537"/>
    <w:rsid w:val="00740A04"/>
    <w:rsid w:val="00741AEE"/>
    <w:rsid w:val="007438F4"/>
    <w:rsid w:val="00743CEC"/>
    <w:rsid w:val="0074712E"/>
    <w:rsid w:val="007473F2"/>
    <w:rsid w:val="00751B4C"/>
    <w:rsid w:val="00751EC7"/>
    <w:rsid w:val="00752028"/>
    <w:rsid w:val="007524F1"/>
    <w:rsid w:val="00753D65"/>
    <w:rsid w:val="0075472E"/>
    <w:rsid w:val="00754D94"/>
    <w:rsid w:val="00754DB7"/>
    <w:rsid w:val="00754F83"/>
    <w:rsid w:val="007562DD"/>
    <w:rsid w:val="007566B3"/>
    <w:rsid w:val="00756ECC"/>
    <w:rsid w:val="00757ECB"/>
    <w:rsid w:val="00761215"/>
    <w:rsid w:val="00761538"/>
    <w:rsid w:val="00761613"/>
    <w:rsid w:val="00762C4E"/>
    <w:rsid w:val="00764A11"/>
    <w:rsid w:val="00766C35"/>
    <w:rsid w:val="007674D5"/>
    <w:rsid w:val="00767651"/>
    <w:rsid w:val="00767AE7"/>
    <w:rsid w:val="00770928"/>
    <w:rsid w:val="00771F18"/>
    <w:rsid w:val="00772AE8"/>
    <w:rsid w:val="00772F2D"/>
    <w:rsid w:val="00773B5D"/>
    <w:rsid w:val="00774277"/>
    <w:rsid w:val="0077455E"/>
    <w:rsid w:val="00774F3B"/>
    <w:rsid w:val="00776244"/>
    <w:rsid w:val="00776C47"/>
    <w:rsid w:val="00777663"/>
    <w:rsid w:val="007776C1"/>
    <w:rsid w:val="00777D2D"/>
    <w:rsid w:val="007808CF"/>
    <w:rsid w:val="00782DEB"/>
    <w:rsid w:val="00783202"/>
    <w:rsid w:val="007834FA"/>
    <w:rsid w:val="007846FB"/>
    <w:rsid w:val="00785E95"/>
    <w:rsid w:val="00787316"/>
    <w:rsid w:val="00787F6D"/>
    <w:rsid w:val="007902C6"/>
    <w:rsid w:val="00790B19"/>
    <w:rsid w:val="00792177"/>
    <w:rsid w:val="00793700"/>
    <w:rsid w:val="00794036"/>
    <w:rsid w:val="00794716"/>
    <w:rsid w:val="00796B51"/>
    <w:rsid w:val="00796DB1"/>
    <w:rsid w:val="00796E30"/>
    <w:rsid w:val="0079742C"/>
    <w:rsid w:val="0079766F"/>
    <w:rsid w:val="00797AA1"/>
    <w:rsid w:val="007A0569"/>
    <w:rsid w:val="007A06EA"/>
    <w:rsid w:val="007A1785"/>
    <w:rsid w:val="007A1A77"/>
    <w:rsid w:val="007A2105"/>
    <w:rsid w:val="007A2434"/>
    <w:rsid w:val="007A281C"/>
    <w:rsid w:val="007A2E72"/>
    <w:rsid w:val="007A3122"/>
    <w:rsid w:val="007A573E"/>
    <w:rsid w:val="007A60CA"/>
    <w:rsid w:val="007A6A82"/>
    <w:rsid w:val="007A6B68"/>
    <w:rsid w:val="007B2463"/>
    <w:rsid w:val="007B27C7"/>
    <w:rsid w:val="007B46F0"/>
    <w:rsid w:val="007B4F74"/>
    <w:rsid w:val="007B5255"/>
    <w:rsid w:val="007C0122"/>
    <w:rsid w:val="007C1EA2"/>
    <w:rsid w:val="007C328A"/>
    <w:rsid w:val="007C3319"/>
    <w:rsid w:val="007C6AB2"/>
    <w:rsid w:val="007C6CEA"/>
    <w:rsid w:val="007C6FFC"/>
    <w:rsid w:val="007D0898"/>
    <w:rsid w:val="007D1509"/>
    <w:rsid w:val="007D16F6"/>
    <w:rsid w:val="007D1A92"/>
    <w:rsid w:val="007D283C"/>
    <w:rsid w:val="007D3A6C"/>
    <w:rsid w:val="007D3B92"/>
    <w:rsid w:val="007D4425"/>
    <w:rsid w:val="007D4495"/>
    <w:rsid w:val="007D57A0"/>
    <w:rsid w:val="007D6C93"/>
    <w:rsid w:val="007D78BA"/>
    <w:rsid w:val="007E0850"/>
    <w:rsid w:val="007E0A5D"/>
    <w:rsid w:val="007E270D"/>
    <w:rsid w:val="007E5A24"/>
    <w:rsid w:val="007E627B"/>
    <w:rsid w:val="007E6B8D"/>
    <w:rsid w:val="007E74A4"/>
    <w:rsid w:val="007E7555"/>
    <w:rsid w:val="007E7949"/>
    <w:rsid w:val="007E7D1B"/>
    <w:rsid w:val="007F040D"/>
    <w:rsid w:val="007F1120"/>
    <w:rsid w:val="007F13F9"/>
    <w:rsid w:val="007F146A"/>
    <w:rsid w:val="007F3A16"/>
    <w:rsid w:val="007F4232"/>
    <w:rsid w:val="007F52FA"/>
    <w:rsid w:val="007F559C"/>
    <w:rsid w:val="007F57D3"/>
    <w:rsid w:val="007F58A4"/>
    <w:rsid w:val="007F782F"/>
    <w:rsid w:val="007F7C96"/>
    <w:rsid w:val="00800B33"/>
    <w:rsid w:val="00801044"/>
    <w:rsid w:val="00801207"/>
    <w:rsid w:val="00801D75"/>
    <w:rsid w:val="0080279F"/>
    <w:rsid w:val="00802CD2"/>
    <w:rsid w:val="00804FBE"/>
    <w:rsid w:val="0080669D"/>
    <w:rsid w:val="00807573"/>
    <w:rsid w:val="00807C6F"/>
    <w:rsid w:val="00810315"/>
    <w:rsid w:val="00810B87"/>
    <w:rsid w:val="00811A70"/>
    <w:rsid w:val="008137D9"/>
    <w:rsid w:val="0081533F"/>
    <w:rsid w:val="00815EB9"/>
    <w:rsid w:val="008163AE"/>
    <w:rsid w:val="008163E9"/>
    <w:rsid w:val="00816706"/>
    <w:rsid w:val="008167A0"/>
    <w:rsid w:val="00816C04"/>
    <w:rsid w:val="00816FA4"/>
    <w:rsid w:val="00821845"/>
    <w:rsid w:val="00821A1B"/>
    <w:rsid w:val="008220E3"/>
    <w:rsid w:val="00822A7A"/>
    <w:rsid w:val="00822F62"/>
    <w:rsid w:val="0082503D"/>
    <w:rsid w:val="008257B0"/>
    <w:rsid w:val="00826830"/>
    <w:rsid w:val="008269D6"/>
    <w:rsid w:val="00826D68"/>
    <w:rsid w:val="00827485"/>
    <w:rsid w:val="008303CB"/>
    <w:rsid w:val="00830C2F"/>
    <w:rsid w:val="00830E7E"/>
    <w:rsid w:val="0083183C"/>
    <w:rsid w:val="00832EFE"/>
    <w:rsid w:val="008341B5"/>
    <w:rsid w:val="008343FE"/>
    <w:rsid w:val="00835348"/>
    <w:rsid w:val="0083650F"/>
    <w:rsid w:val="00836563"/>
    <w:rsid w:val="00836AAA"/>
    <w:rsid w:val="00837B5E"/>
    <w:rsid w:val="00837F51"/>
    <w:rsid w:val="00837F77"/>
    <w:rsid w:val="008406F1"/>
    <w:rsid w:val="0084125B"/>
    <w:rsid w:val="00841B14"/>
    <w:rsid w:val="00842A74"/>
    <w:rsid w:val="0084368C"/>
    <w:rsid w:val="00843E20"/>
    <w:rsid w:val="0084435E"/>
    <w:rsid w:val="00844EE5"/>
    <w:rsid w:val="00845D54"/>
    <w:rsid w:val="00846FCE"/>
    <w:rsid w:val="00847382"/>
    <w:rsid w:val="00847CDF"/>
    <w:rsid w:val="008501C6"/>
    <w:rsid w:val="0085186A"/>
    <w:rsid w:val="00853A9F"/>
    <w:rsid w:val="00854316"/>
    <w:rsid w:val="00854451"/>
    <w:rsid w:val="00855F20"/>
    <w:rsid w:val="00856276"/>
    <w:rsid w:val="00856752"/>
    <w:rsid w:val="00856ED7"/>
    <w:rsid w:val="00857040"/>
    <w:rsid w:val="008577FA"/>
    <w:rsid w:val="008600DD"/>
    <w:rsid w:val="00860748"/>
    <w:rsid w:val="00860850"/>
    <w:rsid w:val="0086118B"/>
    <w:rsid w:val="00861B91"/>
    <w:rsid w:val="00862D3A"/>
    <w:rsid w:val="00863F1C"/>
    <w:rsid w:val="008648C3"/>
    <w:rsid w:val="0086512A"/>
    <w:rsid w:val="00867A1F"/>
    <w:rsid w:val="00871876"/>
    <w:rsid w:val="00872D7E"/>
    <w:rsid w:val="008731BF"/>
    <w:rsid w:val="00873B4C"/>
    <w:rsid w:val="008743E0"/>
    <w:rsid w:val="00874EA0"/>
    <w:rsid w:val="00875795"/>
    <w:rsid w:val="008759D5"/>
    <w:rsid w:val="00876E48"/>
    <w:rsid w:val="00877BEA"/>
    <w:rsid w:val="008810E6"/>
    <w:rsid w:val="00881443"/>
    <w:rsid w:val="00881A79"/>
    <w:rsid w:val="00881C29"/>
    <w:rsid w:val="00881FF8"/>
    <w:rsid w:val="0088246F"/>
    <w:rsid w:val="0088275E"/>
    <w:rsid w:val="00882DEB"/>
    <w:rsid w:val="00882E65"/>
    <w:rsid w:val="008834FA"/>
    <w:rsid w:val="00883C2F"/>
    <w:rsid w:val="0088460C"/>
    <w:rsid w:val="00885670"/>
    <w:rsid w:val="008868F3"/>
    <w:rsid w:val="00886D5E"/>
    <w:rsid w:val="008871B3"/>
    <w:rsid w:val="0088739E"/>
    <w:rsid w:val="00887466"/>
    <w:rsid w:val="008878AE"/>
    <w:rsid w:val="0088796A"/>
    <w:rsid w:val="00887A68"/>
    <w:rsid w:val="00887EEC"/>
    <w:rsid w:val="00890925"/>
    <w:rsid w:val="008909BF"/>
    <w:rsid w:val="00891099"/>
    <w:rsid w:val="00891A4F"/>
    <w:rsid w:val="00892AB2"/>
    <w:rsid w:val="00893132"/>
    <w:rsid w:val="00893A9E"/>
    <w:rsid w:val="0089498E"/>
    <w:rsid w:val="00894EE0"/>
    <w:rsid w:val="00895AA5"/>
    <w:rsid w:val="00895C84"/>
    <w:rsid w:val="008975D2"/>
    <w:rsid w:val="00897930"/>
    <w:rsid w:val="00897D63"/>
    <w:rsid w:val="00897F7D"/>
    <w:rsid w:val="008A1D26"/>
    <w:rsid w:val="008A228A"/>
    <w:rsid w:val="008A3676"/>
    <w:rsid w:val="008A54BA"/>
    <w:rsid w:val="008A55A1"/>
    <w:rsid w:val="008A5621"/>
    <w:rsid w:val="008A63D6"/>
    <w:rsid w:val="008A7A83"/>
    <w:rsid w:val="008A7A85"/>
    <w:rsid w:val="008B0507"/>
    <w:rsid w:val="008B0C47"/>
    <w:rsid w:val="008B15A4"/>
    <w:rsid w:val="008B23A7"/>
    <w:rsid w:val="008B334D"/>
    <w:rsid w:val="008B5A7C"/>
    <w:rsid w:val="008B6766"/>
    <w:rsid w:val="008B77FD"/>
    <w:rsid w:val="008C016C"/>
    <w:rsid w:val="008C12A4"/>
    <w:rsid w:val="008C1A9C"/>
    <w:rsid w:val="008C2739"/>
    <w:rsid w:val="008C2834"/>
    <w:rsid w:val="008C3CA4"/>
    <w:rsid w:val="008C7B1B"/>
    <w:rsid w:val="008D044B"/>
    <w:rsid w:val="008D078F"/>
    <w:rsid w:val="008D21E1"/>
    <w:rsid w:val="008D348E"/>
    <w:rsid w:val="008D4B1C"/>
    <w:rsid w:val="008D5180"/>
    <w:rsid w:val="008D58CE"/>
    <w:rsid w:val="008D6311"/>
    <w:rsid w:val="008D64C0"/>
    <w:rsid w:val="008D6ADA"/>
    <w:rsid w:val="008E0379"/>
    <w:rsid w:val="008E1CF1"/>
    <w:rsid w:val="008E2D90"/>
    <w:rsid w:val="008E3586"/>
    <w:rsid w:val="008E37A7"/>
    <w:rsid w:val="008E3E01"/>
    <w:rsid w:val="008E4C71"/>
    <w:rsid w:val="008E51E9"/>
    <w:rsid w:val="008E58F5"/>
    <w:rsid w:val="008E67B9"/>
    <w:rsid w:val="008E732F"/>
    <w:rsid w:val="008E7370"/>
    <w:rsid w:val="008E7372"/>
    <w:rsid w:val="008F005E"/>
    <w:rsid w:val="008F1B59"/>
    <w:rsid w:val="008F2668"/>
    <w:rsid w:val="008F3369"/>
    <w:rsid w:val="008F3A6F"/>
    <w:rsid w:val="008F419D"/>
    <w:rsid w:val="008F5513"/>
    <w:rsid w:val="008F7253"/>
    <w:rsid w:val="008F750B"/>
    <w:rsid w:val="008F7EF0"/>
    <w:rsid w:val="00900333"/>
    <w:rsid w:val="009005D2"/>
    <w:rsid w:val="009015AC"/>
    <w:rsid w:val="009025F2"/>
    <w:rsid w:val="0090262A"/>
    <w:rsid w:val="0090281E"/>
    <w:rsid w:val="00902EE5"/>
    <w:rsid w:val="00904D35"/>
    <w:rsid w:val="00906DA5"/>
    <w:rsid w:val="00907180"/>
    <w:rsid w:val="0090743C"/>
    <w:rsid w:val="00911954"/>
    <w:rsid w:val="00911B59"/>
    <w:rsid w:val="00911FD9"/>
    <w:rsid w:val="009122C7"/>
    <w:rsid w:val="00912C94"/>
    <w:rsid w:val="0091350F"/>
    <w:rsid w:val="009161B2"/>
    <w:rsid w:val="0091644F"/>
    <w:rsid w:val="009165E7"/>
    <w:rsid w:val="00917802"/>
    <w:rsid w:val="00917872"/>
    <w:rsid w:val="00920BF5"/>
    <w:rsid w:val="00920DD5"/>
    <w:rsid w:val="00921120"/>
    <w:rsid w:val="00922515"/>
    <w:rsid w:val="00922AFA"/>
    <w:rsid w:val="0092390C"/>
    <w:rsid w:val="009243D4"/>
    <w:rsid w:val="00924CB2"/>
    <w:rsid w:val="009251FB"/>
    <w:rsid w:val="009253BA"/>
    <w:rsid w:val="00925E51"/>
    <w:rsid w:val="00925FB1"/>
    <w:rsid w:val="00926474"/>
    <w:rsid w:val="00926DCE"/>
    <w:rsid w:val="00927094"/>
    <w:rsid w:val="00927274"/>
    <w:rsid w:val="0093015F"/>
    <w:rsid w:val="0093138D"/>
    <w:rsid w:val="00932131"/>
    <w:rsid w:val="009342BE"/>
    <w:rsid w:val="00934C0D"/>
    <w:rsid w:val="009353F1"/>
    <w:rsid w:val="0093657A"/>
    <w:rsid w:val="0094167B"/>
    <w:rsid w:val="0094181A"/>
    <w:rsid w:val="009423D1"/>
    <w:rsid w:val="009431BD"/>
    <w:rsid w:val="00943782"/>
    <w:rsid w:val="0094420A"/>
    <w:rsid w:val="009444F1"/>
    <w:rsid w:val="00944EC2"/>
    <w:rsid w:val="0094549A"/>
    <w:rsid w:val="009454AD"/>
    <w:rsid w:val="00946045"/>
    <w:rsid w:val="00946D84"/>
    <w:rsid w:val="0095029D"/>
    <w:rsid w:val="009507E0"/>
    <w:rsid w:val="0095082A"/>
    <w:rsid w:val="009510F5"/>
    <w:rsid w:val="009526AC"/>
    <w:rsid w:val="00952A3E"/>
    <w:rsid w:val="009537DD"/>
    <w:rsid w:val="00953A9A"/>
    <w:rsid w:val="00954BD2"/>
    <w:rsid w:val="00954E97"/>
    <w:rsid w:val="009553C8"/>
    <w:rsid w:val="00955D25"/>
    <w:rsid w:val="00956041"/>
    <w:rsid w:val="0095685A"/>
    <w:rsid w:val="0095713A"/>
    <w:rsid w:val="00960F22"/>
    <w:rsid w:val="00961DDC"/>
    <w:rsid w:val="009622B2"/>
    <w:rsid w:val="00962913"/>
    <w:rsid w:val="00963DDB"/>
    <w:rsid w:val="00964794"/>
    <w:rsid w:val="0096608F"/>
    <w:rsid w:val="009700FF"/>
    <w:rsid w:val="0097148C"/>
    <w:rsid w:val="0097242D"/>
    <w:rsid w:val="00972924"/>
    <w:rsid w:val="009736DB"/>
    <w:rsid w:val="009739EB"/>
    <w:rsid w:val="009766DE"/>
    <w:rsid w:val="00976FDD"/>
    <w:rsid w:val="00977D01"/>
    <w:rsid w:val="009804E3"/>
    <w:rsid w:val="00981AB7"/>
    <w:rsid w:val="00982A39"/>
    <w:rsid w:val="00982CEA"/>
    <w:rsid w:val="00982FAE"/>
    <w:rsid w:val="0098306E"/>
    <w:rsid w:val="0098326F"/>
    <w:rsid w:val="00983B8F"/>
    <w:rsid w:val="00983B9A"/>
    <w:rsid w:val="00983F1F"/>
    <w:rsid w:val="00984863"/>
    <w:rsid w:val="009865F1"/>
    <w:rsid w:val="00987050"/>
    <w:rsid w:val="00990776"/>
    <w:rsid w:val="00991AD3"/>
    <w:rsid w:val="00991C54"/>
    <w:rsid w:val="0099682D"/>
    <w:rsid w:val="00996EF5"/>
    <w:rsid w:val="009A077F"/>
    <w:rsid w:val="009A2A5C"/>
    <w:rsid w:val="009A40B6"/>
    <w:rsid w:val="009A5E40"/>
    <w:rsid w:val="009A6B07"/>
    <w:rsid w:val="009A7291"/>
    <w:rsid w:val="009B06C7"/>
    <w:rsid w:val="009B0E46"/>
    <w:rsid w:val="009B0E70"/>
    <w:rsid w:val="009B1B1F"/>
    <w:rsid w:val="009B309B"/>
    <w:rsid w:val="009B3348"/>
    <w:rsid w:val="009B3C4D"/>
    <w:rsid w:val="009B4C90"/>
    <w:rsid w:val="009B4D04"/>
    <w:rsid w:val="009B5CEA"/>
    <w:rsid w:val="009B72AF"/>
    <w:rsid w:val="009B76CA"/>
    <w:rsid w:val="009C1277"/>
    <w:rsid w:val="009C1491"/>
    <w:rsid w:val="009C1CEE"/>
    <w:rsid w:val="009C2014"/>
    <w:rsid w:val="009C2606"/>
    <w:rsid w:val="009C2B57"/>
    <w:rsid w:val="009C71C1"/>
    <w:rsid w:val="009C78D0"/>
    <w:rsid w:val="009C79B7"/>
    <w:rsid w:val="009C7D3B"/>
    <w:rsid w:val="009D084B"/>
    <w:rsid w:val="009D0AFD"/>
    <w:rsid w:val="009D11EA"/>
    <w:rsid w:val="009D2639"/>
    <w:rsid w:val="009D2A45"/>
    <w:rsid w:val="009D2D20"/>
    <w:rsid w:val="009D417B"/>
    <w:rsid w:val="009D4AA6"/>
    <w:rsid w:val="009D5CFB"/>
    <w:rsid w:val="009D670C"/>
    <w:rsid w:val="009D720F"/>
    <w:rsid w:val="009D7EE3"/>
    <w:rsid w:val="009E15FF"/>
    <w:rsid w:val="009E1C7C"/>
    <w:rsid w:val="009E1DF9"/>
    <w:rsid w:val="009E2250"/>
    <w:rsid w:val="009E4791"/>
    <w:rsid w:val="009E5354"/>
    <w:rsid w:val="009E53A2"/>
    <w:rsid w:val="009E5C06"/>
    <w:rsid w:val="009E6DE5"/>
    <w:rsid w:val="009F0D94"/>
    <w:rsid w:val="009F0E85"/>
    <w:rsid w:val="009F1680"/>
    <w:rsid w:val="009F1C8A"/>
    <w:rsid w:val="009F1D0D"/>
    <w:rsid w:val="009F2752"/>
    <w:rsid w:val="009F5B29"/>
    <w:rsid w:val="009F5E57"/>
    <w:rsid w:val="009F5F67"/>
    <w:rsid w:val="009F7033"/>
    <w:rsid w:val="009F71FC"/>
    <w:rsid w:val="009F7857"/>
    <w:rsid w:val="00A006B1"/>
    <w:rsid w:val="00A01956"/>
    <w:rsid w:val="00A026D8"/>
    <w:rsid w:val="00A107B6"/>
    <w:rsid w:val="00A118C0"/>
    <w:rsid w:val="00A11DDD"/>
    <w:rsid w:val="00A12205"/>
    <w:rsid w:val="00A127BA"/>
    <w:rsid w:val="00A12BE0"/>
    <w:rsid w:val="00A14243"/>
    <w:rsid w:val="00A14B28"/>
    <w:rsid w:val="00A16DD7"/>
    <w:rsid w:val="00A17991"/>
    <w:rsid w:val="00A17A40"/>
    <w:rsid w:val="00A201F5"/>
    <w:rsid w:val="00A20A1D"/>
    <w:rsid w:val="00A21AA8"/>
    <w:rsid w:val="00A220BD"/>
    <w:rsid w:val="00A22207"/>
    <w:rsid w:val="00A236CC"/>
    <w:rsid w:val="00A2432B"/>
    <w:rsid w:val="00A26322"/>
    <w:rsid w:val="00A26A52"/>
    <w:rsid w:val="00A2763C"/>
    <w:rsid w:val="00A30218"/>
    <w:rsid w:val="00A3128D"/>
    <w:rsid w:val="00A315F6"/>
    <w:rsid w:val="00A32F8A"/>
    <w:rsid w:val="00A33892"/>
    <w:rsid w:val="00A34379"/>
    <w:rsid w:val="00A35D4B"/>
    <w:rsid w:val="00A35EC8"/>
    <w:rsid w:val="00A36327"/>
    <w:rsid w:val="00A37365"/>
    <w:rsid w:val="00A40E80"/>
    <w:rsid w:val="00A40FBE"/>
    <w:rsid w:val="00A41B27"/>
    <w:rsid w:val="00A41B50"/>
    <w:rsid w:val="00A421A1"/>
    <w:rsid w:val="00A42423"/>
    <w:rsid w:val="00A42665"/>
    <w:rsid w:val="00A43104"/>
    <w:rsid w:val="00A4467F"/>
    <w:rsid w:val="00A44ABF"/>
    <w:rsid w:val="00A44D78"/>
    <w:rsid w:val="00A45E54"/>
    <w:rsid w:val="00A46044"/>
    <w:rsid w:val="00A47100"/>
    <w:rsid w:val="00A4735C"/>
    <w:rsid w:val="00A47A76"/>
    <w:rsid w:val="00A50128"/>
    <w:rsid w:val="00A515BD"/>
    <w:rsid w:val="00A5220D"/>
    <w:rsid w:val="00A52769"/>
    <w:rsid w:val="00A52CCB"/>
    <w:rsid w:val="00A53294"/>
    <w:rsid w:val="00A54299"/>
    <w:rsid w:val="00A54832"/>
    <w:rsid w:val="00A54FED"/>
    <w:rsid w:val="00A60B7D"/>
    <w:rsid w:val="00A6147A"/>
    <w:rsid w:val="00A620A3"/>
    <w:rsid w:val="00A623D9"/>
    <w:rsid w:val="00A63055"/>
    <w:rsid w:val="00A63D47"/>
    <w:rsid w:val="00A63FD2"/>
    <w:rsid w:val="00A64000"/>
    <w:rsid w:val="00A64D29"/>
    <w:rsid w:val="00A66592"/>
    <w:rsid w:val="00A66A12"/>
    <w:rsid w:val="00A67098"/>
    <w:rsid w:val="00A673BC"/>
    <w:rsid w:val="00A676B4"/>
    <w:rsid w:val="00A706E0"/>
    <w:rsid w:val="00A70D44"/>
    <w:rsid w:val="00A72C8F"/>
    <w:rsid w:val="00A73E6A"/>
    <w:rsid w:val="00A74012"/>
    <w:rsid w:val="00A744DC"/>
    <w:rsid w:val="00A74FE1"/>
    <w:rsid w:val="00A7567F"/>
    <w:rsid w:val="00A777BE"/>
    <w:rsid w:val="00A80689"/>
    <w:rsid w:val="00A80C48"/>
    <w:rsid w:val="00A82796"/>
    <w:rsid w:val="00A8376D"/>
    <w:rsid w:val="00A8440C"/>
    <w:rsid w:val="00A84A80"/>
    <w:rsid w:val="00A84DF3"/>
    <w:rsid w:val="00A85658"/>
    <w:rsid w:val="00A85E57"/>
    <w:rsid w:val="00A901E2"/>
    <w:rsid w:val="00A90F14"/>
    <w:rsid w:val="00A937EB"/>
    <w:rsid w:val="00A93EF6"/>
    <w:rsid w:val="00A940B7"/>
    <w:rsid w:val="00A94A42"/>
    <w:rsid w:val="00A94CFB"/>
    <w:rsid w:val="00A95364"/>
    <w:rsid w:val="00A953DD"/>
    <w:rsid w:val="00A971ED"/>
    <w:rsid w:val="00AA1888"/>
    <w:rsid w:val="00AA48B6"/>
    <w:rsid w:val="00AA4A78"/>
    <w:rsid w:val="00AA5D11"/>
    <w:rsid w:val="00AA6007"/>
    <w:rsid w:val="00AA64EB"/>
    <w:rsid w:val="00AA6A12"/>
    <w:rsid w:val="00AA6B75"/>
    <w:rsid w:val="00AA737F"/>
    <w:rsid w:val="00AA74A0"/>
    <w:rsid w:val="00AB40D5"/>
    <w:rsid w:val="00AB4456"/>
    <w:rsid w:val="00AB4705"/>
    <w:rsid w:val="00AB51B9"/>
    <w:rsid w:val="00AB57C4"/>
    <w:rsid w:val="00AB5DDC"/>
    <w:rsid w:val="00AB6921"/>
    <w:rsid w:val="00AB7877"/>
    <w:rsid w:val="00AB79C1"/>
    <w:rsid w:val="00AB7E46"/>
    <w:rsid w:val="00AC00AD"/>
    <w:rsid w:val="00AC065F"/>
    <w:rsid w:val="00AC249E"/>
    <w:rsid w:val="00AC2D3E"/>
    <w:rsid w:val="00AC42C7"/>
    <w:rsid w:val="00AC5C0D"/>
    <w:rsid w:val="00AC75DB"/>
    <w:rsid w:val="00AC7C9A"/>
    <w:rsid w:val="00AD0B04"/>
    <w:rsid w:val="00AD38B8"/>
    <w:rsid w:val="00AD5231"/>
    <w:rsid w:val="00AD5922"/>
    <w:rsid w:val="00AD5A30"/>
    <w:rsid w:val="00AD5EF6"/>
    <w:rsid w:val="00AD743B"/>
    <w:rsid w:val="00AE00CD"/>
    <w:rsid w:val="00AE1686"/>
    <w:rsid w:val="00AE170F"/>
    <w:rsid w:val="00AE30F6"/>
    <w:rsid w:val="00AE386C"/>
    <w:rsid w:val="00AE3EB1"/>
    <w:rsid w:val="00AE6D42"/>
    <w:rsid w:val="00AE6E78"/>
    <w:rsid w:val="00AE73CB"/>
    <w:rsid w:val="00AF0175"/>
    <w:rsid w:val="00AF019C"/>
    <w:rsid w:val="00AF098E"/>
    <w:rsid w:val="00AF14F0"/>
    <w:rsid w:val="00AF351A"/>
    <w:rsid w:val="00AF38AE"/>
    <w:rsid w:val="00AF58B2"/>
    <w:rsid w:val="00AF72AF"/>
    <w:rsid w:val="00B002E4"/>
    <w:rsid w:val="00B021CE"/>
    <w:rsid w:val="00B0315D"/>
    <w:rsid w:val="00B03A7C"/>
    <w:rsid w:val="00B03B2E"/>
    <w:rsid w:val="00B04579"/>
    <w:rsid w:val="00B0637B"/>
    <w:rsid w:val="00B06A36"/>
    <w:rsid w:val="00B07462"/>
    <w:rsid w:val="00B076B9"/>
    <w:rsid w:val="00B07C39"/>
    <w:rsid w:val="00B101D1"/>
    <w:rsid w:val="00B1257C"/>
    <w:rsid w:val="00B12CDC"/>
    <w:rsid w:val="00B13219"/>
    <w:rsid w:val="00B1598C"/>
    <w:rsid w:val="00B1763E"/>
    <w:rsid w:val="00B17C27"/>
    <w:rsid w:val="00B201DA"/>
    <w:rsid w:val="00B211FF"/>
    <w:rsid w:val="00B213FB"/>
    <w:rsid w:val="00B2190B"/>
    <w:rsid w:val="00B21DEC"/>
    <w:rsid w:val="00B2258E"/>
    <w:rsid w:val="00B22BA7"/>
    <w:rsid w:val="00B234D1"/>
    <w:rsid w:val="00B259B7"/>
    <w:rsid w:val="00B26134"/>
    <w:rsid w:val="00B31012"/>
    <w:rsid w:val="00B3119A"/>
    <w:rsid w:val="00B31226"/>
    <w:rsid w:val="00B31C1C"/>
    <w:rsid w:val="00B31E2C"/>
    <w:rsid w:val="00B3417E"/>
    <w:rsid w:val="00B34474"/>
    <w:rsid w:val="00B34E20"/>
    <w:rsid w:val="00B34F39"/>
    <w:rsid w:val="00B35781"/>
    <w:rsid w:val="00B3632D"/>
    <w:rsid w:val="00B369C9"/>
    <w:rsid w:val="00B377D9"/>
    <w:rsid w:val="00B37908"/>
    <w:rsid w:val="00B401EA"/>
    <w:rsid w:val="00B406F0"/>
    <w:rsid w:val="00B41F20"/>
    <w:rsid w:val="00B420A3"/>
    <w:rsid w:val="00B440D8"/>
    <w:rsid w:val="00B44B05"/>
    <w:rsid w:val="00B45BF3"/>
    <w:rsid w:val="00B46712"/>
    <w:rsid w:val="00B4770C"/>
    <w:rsid w:val="00B47A05"/>
    <w:rsid w:val="00B50191"/>
    <w:rsid w:val="00B50BAF"/>
    <w:rsid w:val="00B519D9"/>
    <w:rsid w:val="00B53915"/>
    <w:rsid w:val="00B5447E"/>
    <w:rsid w:val="00B54C0F"/>
    <w:rsid w:val="00B5574B"/>
    <w:rsid w:val="00B5771D"/>
    <w:rsid w:val="00B57E7C"/>
    <w:rsid w:val="00B60978"/>
    <w:rsid w:val="00B60B1C"/>
    <w:rsid w:val="00B620DF"/>
    <w:rsid w:val="00B623A0"/>
    <w:rsid w:val="00B62573"/>
    <w:rsid w:val="00B6323E"/>
    <w:rsid w:val="00B63EB7"/>
    <w:rsid w:val="00B63F43"/>
    <w:rsid w:val="00B64A2D"/>
    <w:rsid w:val="00B65890"/>
    <w:rsid w:val="00B658A1"/>
    <w:rsid w:val="00B65C44"/>
    <w:rsid w:val="00B6767D"/>
    <w:rsid w:val="00B708A2"/>
    <w:rsid w:val="00B72A23"/>
    <w:rsid w:val="00B730F8"/>
    <w:rsid w:val="00B73398"/>
    <w:rsid w:val="00B73D2C"/>
    <w:rsid w:val="00B74785"/>
    <w:rsid w:val="00B76338"/>
    <w:rsid w:val="00B7692E"/>
    <w:rsid w:val="00B769C9"/>
    <w:rsid w:val="00B7753F"/>
    <w:rsid w:val="00B81153"/>
    <w:rsid w:val="00B818D7"/>
    <w:rsid w:val="00B83541"/>
    <w:rsid w:val="00B8382D"/>
    <w:rsid w:val="00B83E3A"/>
    <w:rsid w:val="00B83F27"/>
    <w:rsid w:val="00B84B50"/>
    <w:rsid w:val="00B86E75"/>
    <w:rsid w:val="00B86F28"/>
    <w:rsid w:val="00B86F94"/>
    <w:rsid w:val="00B87DBD"/>
    <w:rsid w:val="00B90C78"/>
    <w:rsid w:val="00B918E4"/>
    <w:rsid w:val="00B92F1A"/>
    <w:rsid w:val="00B9387B"/>
    <w:rsid w:val="00B95AD7"/>
    <w:rsid w:val="00B9616A"/>
    <w:rsid w:val="00B97B67"/>
    <w:rsid w:val="00BA0AB0"/>
    <w:rsid w:val="00BA1900"/>
    <w:rsid w:val="00BA3239"/>
    <w:rsid w:val="00BA3F7F"/>
    <w:rsid w:val="00BA456A"/>
    <w:rsid w:val="00BA46C2"/>
    <w:rsid w:val="00BA52C4"/>
    <w:rsid w:val="00BA5FA8"/>
    <w:rsid w:val="00BA638E"/>
    <w:rsid w:val="00BA67BB"/>
    <w:rsid w:val="00BA6A17"/>
    <w:rsid w:val="00BA6F65"/>
    <w:rsid w:val="00BA7056"/>
    <w:rsid w:val="00BA782C"/>
    <w:rsid w:val="00BA7C71"/>
    <w:rsid w:val="00BB0500"/>
    <w:rsid w:val="00BB0E21"/>
    <w:rsid w:val="00BB1986"/>
    <w:rsid w:val="00BB4879"/>
    <w:rsid w:val="00BB577E"/>
    <w:rsid w:val="00BC02E2"/>
    <w:rsid w:val="00BC0BE4"/>
    <w:rsid w:val="00BC2648"/>
    <w:rsid w:val="00BC2B66"/>
    <w:rsid w:val="00BC3517"/>
    <w:rsid w:val="00BC35A4"/>
    <w:rsid w:val="00BC41FC"/>
    <w:rsid w:val="00BC449A"/>
    <w:rsid w:val="00BC463A"/>
    <w:rsid w:val="00BC7543"/>
    <w:rsid w:val="00BC792F"/>
    <w:rsid w:val="00BD02CE"/>
    <w:rsid w:val="00BD04D6"/>
    <w:rsid w:val="00BD07E1"/>
    <w:rsid w:val="00BD2959"/>
    <w:rsid w:val="00BD3043"/>
    <w:rsid w:val="00BD310C"/>
    <w:rsid w:val="00BD4197"/>
    <w:rsid w:val="00BD61B3"/>
    <w:rsid w:val="00BD6FB7"/>
    <w:rsid w:val="00BD7344"/>
    <w:rsid w:val="00BE0E21"/>
    <w:rsid w:val="00BE1166"/>
    <w:rsid w:val="00BE15BC"/>
    <w:rsid w:val="00BE3923"/>
    <w:rsid w:val="00BE3B9D"/>
    <w:rsid w:val="00BE451E"/>
    <w:rsid w:val="00BE589F"/>
    <w:rsid w:val="00BE6819"/>
    <w:rsid w:val="00BE6B87"/>
    <w:rsid w:val="00BF0B24"/>
    <w:rsid w:val="00BF1D36"/>
    <w:rsid w:val="00BF23D5"/>
    <w:rsid w:val="00BF3048"/>
    <w:rsid w:val="00BF4396"/>
    <w:rsid w:val="00BF4B73"/>
    <w:rsid w:val="00BF4C45"/>
    <w:rsid w:val="00BF4DFC"/>
    <w:rsid w:val="00BF4F76"/>
    <w:rsid w:val="00BF59DB"/>
    <w:rsid w:val="00BF7009"/>
    <w:rsid w:val="00C00BC2"/>
    <w:rsid w:val="00C01C59"/>
    <w:rsid w:val="00C021BB"/>
    <w:rsid w:val="00C04552"/>
    <w:rsid w:val="00C04E46"/>
    <w:rsid w:val="00C0690C"/>
    <w:rsid w:val="00C06EA0"/>
    <w:rsid w:val="00C0707C"/>
    <w:rsid w:val="00C0732C"/>
    <w:rsid w:val="00C10174"/>
    <w:rsid w:val="00C104C1"/>
    <w:rsid w:val="00C1061A"/>
    <w:rsid w:val="00C114D8"/>
    <w:rsid w:val="00C118E9"/>
    <w:rsid w:val="00C128FC"/>
    <w:rsid w:val="00C129A0"/>
    <w:rsid w:val="00C14151"/>
    <w:rsid w:val="00C14F83"/>
    <w:rsid w:val="00C1503E"/>
    <w:rsid w:val="00C156E6"/>
    <w:rsid w:val="00C16CB6"/>
    <w:rsid w:val="00C17763"/>
    <w:rsid w:val="00C2019E"/>
    <w:rsid w:val="00C2091E"/>
    <w:rsid w:val="00C22752"/>
    <w:rsid w:val="00C22923"/>
    <w:rsid w:val="00C23ADE"/>
    <w:rsid w:val="00C247CF"/>
    <w:rsid w:val="00C24A0A"/>
    <w:rsid w:val="00C25AFC"/>
    <w:rsid w:val="00C276CA"/>
    <w:rsid w:val="00C3082F"/>
    <w:rsid w:val="00C321B5"/>
    <w:rsid w:val="00C33306"/>
    <w:rsid w:val="00C3365A"/>
    <w:rsid w:val="00C3410A"/>
    <w:rsid w:val="00C36DEF"/>
    <w:rsid w:val="00C37B49"/>
    <w:rsid w:val="00C37FD4"/>
    <w:rsid w:val="00C421F1"/>
    <w:rsid w:val="00C42C5C"/>
    <w:rsid w:val="00C437F1"/>
    <w:rsid w:val="00C43AC3"/>
    <w:rsid w:val="00C44A3C"/>
    <w:rsid w:val="00C44E50"/>
    <w:rsid w:val="00C45F34"/>
    <w:rsid w:val="00C4623D"/>
    <w:rsid w:val="00C46288"/>
    <w:rsid w:val="00C470E9"/>
    <w:rsid w:val="00C4717E"/>
    <w:rsid w:val="00C47B80"/>
    <w:rsid w:val="00C502E0"/>
    <w:rsid w:val="00C50BD1"/>
    <w:rsid w:val="00C51C9D"/>
    <w:rsid w:val="00C53DE4"/>
    <w:rsid w:val="00C54FB7"/>
    <w:rsid w:val="00C55041"/>
    <w:rsid w:val="00C55F50"/>
    <w:rsid w:val="00C5638A"/>
    <w:rsid w:val="00C56816"/>
    <w:rsid w:val="00C56C02"/>
    <w:rsid w:val="00C56DAB"/>
    <w:rsid w:val="00C573C6"/>
    <w:rsid w:val="00C5741A"/>
    <w:rsid w:val="00C605F1"/>
    <w:rsid w:val="00C60673"/>
    <w:rsid w:val="00C6167D"/>
    <w:rsid w:val="00C61E02"/>
    <w:rsid w:val="00C62DF0"/>
    <w:rsid w:val="00C62DF7"/>
    <w:rsid w:val="00C636D3"/>
    <w:rsid w:val="00C647FB"/>
    <w:rsid w:val="00C64E86"/>
    <w:rsid w:val="00C66419"/>
    <w:rsid w:val="00C66777"/>
    <w:rsid w:val="00C71499"/>
    <w:rsid w:val="00C71EEB"/>
    <w:rsid w:val="00C71F9F"/>
    <w:rsid w:val="00C7228E"/>
    <w:rsid w:val="00C725AD"/>
    <w:rsid w:val="00C74A34"/>
    <w:rsid w:val="00C74E73"/>
    <w:rsid w:val="00C772FE"/>
    <w:rsid w:val="00C777FD"/>
    <w:rsid w:val="00C77A0C"/>
    <w:rsid w:val="00C77E06"/>
    <w:rsid w:val="00C80C83"/>
    <w:rsid w:val="00C80E5A"/>
    <w:rsid w:val="00C811BD"/>
    <w:rsid w:val="00C81685"/>
    <w:rsid w:val="00C83298"/>
    <w:rsid w:val="00C83EBD"/>
    <w:rsid w:val="00C848CD"/>
    <w:rsid w:val="00C85DEC"/>
    <w:rsid w:val="00C8635B"/>
    <w:rsid w:val="00C864A7"/>
    <w:rsid w:val="00C865D0"/>
    <w:rsid w:val="00C87507"/>
    <w:rsid w:val="00C8751A"/>
    <w:rsid w:val="00C876E3"/>
    <w:rsid w:val="00C90304"/>
    <w:rsid w:val="00C90865"/>
    <w:rsid w:val="00C91400"/>
    <w:rsid w:val="00C921D0"/>
    <w:rsid w:val="00C9383B"/>
    <w:rsid w:val="00C940BC"/>
    <w:rsid w:val="00C96175"/>
    <w:rsid w:val="00C961CD"/>
    <w:rsid w:val="00C97AFB"/>
    <w:rsid w:val="00CA0D97"/>
    <w:rsid w:val="00CA1AD5"/>
    <w:rsid w:val="00CA1AF3"/>
    <w:rsid w:val="00CA40B5"/>
    <w:rsid w:val="00CA4279"/>
    <w:rsid w:val="00CA42B4"/>
    <w:rsid w:val="00CA470D"/>
    <w:rsid w:val="00CA54C0"/>
    <w:rsid w:val="00CA5F7F"/>
    <w:rsid w:val="00CA74D0"/>
    <w:rsid w:val="00CA7D31"/>
    <w:rsid w:val="00CB00BA"/>
    <w:rsid w:val="00CB0938"/>
    <w:rsid w:val="00CB0DC6"/>
    <w:rsid w:val="00CB203C"/>
    <w:rsid w:val="00CB249F"/>
    <w:rsid w:val="00CB2867"/>
    <w:rsid w:val="00CB2AA0"/>
    <w:rsid w:val="00CB3725"/>
    <w:rsid w:val="00CB63E9"/>
    <w:rsid w:val="00CB663B"/>
    <w:rsid w:val="00CC0A88"/>
    <w:rsid w:val="00CC0BC3"/>
    <w:rsid w:val="00CC2123"/>
    <w:rsid w:val="00CC25EC"/>
    <w:rsid w:val="00CC3D2F"/>
    <w:rsid w:val="00CC49DA"/>
    <w:rsid w:val="00CC4B90"/>
    <w:rsid w:val="00CC67CE"/>
    <w:rsid w:val="00CC6AC9"/>
    <w:rsid w:val="00CD20F6"/>
    <w:rsid w:val="00CD3230"/>
    <w:rsid w:val="00CD4A6E"/>
    <w:rsid w:val="00CD5BB5"/>
    <w:rsid w:val="00CD65F5"/>
    <w:rsid w:val="00CD669B"/>
    <w:rsid w:val="00CD6905"/>
    <w:rsid w:val="00CD76EF"/>
    <w:rsid w:val="00CD7B84"/>
    <w:rsid w:val="00CE0C39"/>
    <w:rsid w:val="00CE22D0"/>
    <w:rsid w:val="00CE3A5A"/>
    <w:rsid w:val="00CE3FE6"/>
    <w:rsid w:val="00CE46AB"/>
    <w:rsid w:val="00CE4FC8"/>
    <w:rsid w:val="00CE58FA"/>
    <w:rsid w:val="00CE5CE3"/>
    <w:rsid w:val="00CF0088"/>
    <w:rsid w:val="00CF0D38"/>
    <w:rsid w:val="00CF0F87"/>
    <w:rsid w:val="00CF153C"/>
    <w:rsid w:val="00CF15C3"/>
    <w:rsid w:val="00CF2C69"/>
    <w:rsid w:val="00CF305C"/>
    <w:rsid w:val="00CF39FB"/>
    <w:rsid w:val="00CF43DC"/>
    <w:rsid w:val="00CF448A"/>
    <w:rsid w:val="00CF5D3F"/>
    <w:rsid w:val="00CF61BE"/>
    <w:rsid w:val="00CF6260"/>
    <w:rsid w:val="00CF6D1B"/>
    <w:rsid w:val="00CF6E67"/>
    <w:rsid w:val="00CF76E0"/>
    <w:rsid w:val="00CF7E49"/>
    <w:rsid w:val="00D00886"/>
    <w:rsid w:val="00D01BE8"/>
    <w:rsid w:val="00D01CBE"/>
    <w:rsid w:val="00D03343"/>
    <w:rsid w:val="00D038BF"/>
    <w:rsid w:val="00D039BF"/>
    <w:rsid w:val="00D04FDF"/>
    <w:rsid w:val="00D051ED"/>
    <w:rsid w:val="00D05798"/>
    <w:rsid w:val="00D05D30"/>
    <w:rsid w:val="00D06B4F"/>
    <w:rsid w:val="00D107BA"/>
    <w:rsid w:val="00D12403"/>
    <w:rsid w:val="00D13096"/>
    <w:rsid w:val="00D159B2"/>
    <w:rsid w:val="00D16ADB"/>
    <w:rsid w:val="00D16AE0"/>
    <w:rsid w:val="00D16E43"/>
    <w:rsid w:val="00D16E9B"/>
    <w:rsid w:val="00D17632"/>
    <w:rsid w:val="00D20A3D"/>
    <w:rsid w:val="00D211E3"/>
    <w:rsid w:val="00D23EB4"/>
    <w:rsid w:val="00D24B75"/>
    <w:rsid w:val="00D25595"/>
    <w:rsid w:val="00D266F7"/>
    <w:rsid w:val="00D267FC"/>
    <w:rsid w:val="00D26848"/>
    <w:rsid w:val="00D26FFA"/>
    <w:rsid w:val="00D30CD2"/>
    <w:rsid w:val="00D3349E"/>
    <w:rsid w:val="00D342A6"/>
    <w:rsid w:val="00D343AB"/>
    <w:rsid w:val="00D35289"/>
    <w:rsid w:val="00D4000D"/>
    <w:rsid w:val="00D401C0"/>
    <w:rsid w:val="00D40A1A"/>
    <w:rsid w:val="00D40CB1"/>
    <w:rsid w:val="00D40ECB"/>
    <w:rsid w:val="00D412D1"/>
    <w:rsid w:val="00D41939"/>
    <w:rsid w:val="00D44C30"/>
    <w:rsid w:val="00D4549A"/>
    <w:rsid w:val="00D45535"/>
    <w:rsid w:val="00D4659B"/>
    <w:rsid w:val="00D46991"/>
    <w:rsid w:val="00D470C9"/>
    <w:rsid w:val="00D47265"/>
    <w:rsid w:val="00D47C56"/>
    <w:rsid w:val="00D50315"/>
    <w:rsid w:val="00D5262F"/>
    <w:rsid w:val="00D53670"/>
    <w:rsid w:val="00D565B9"/>
    <w:rsid w:val="00D56ACF"/>
    <w:rsid w:val="00D5737C"/>
    <w:rsid w:val="00D57E00"/>
    <w:rsid w:val="00D606AF"/>
    <w:rsid w:val="00D60CF1"/>
    <w:rsid w:val="00D61C30"/>
    <w:rsid w:val="00D624A5"/>
    <w:rsid w:val="00D624BF"/>
    <w:rsid w:val="00D63643"/>
    <w:rsid w:val="00D64450"/>
    <w:rsid w:val="00D644E9"/>
    <w:rsid w:val="00D6580F"/>
    <w:rsid w:val="00D66130"/>
    <w:rsid w:val="00D6713E"/>
    <w:rsid w:val="00D70655"/>
    <w:rsid w:val="00D70CAA"/>
    <w:rsid w:val="00D71DFC"/>
    <w:rsid w:val="00D71FF6"/>
    <w:rsid w:val="00D7363F"/>
    <w:rsid w:val="00D73D94"/>
    <w:rsid w:val="00D75096"/>
    <w:rsid w:val="00D76429"/>
    <w:rsid w:val="00D77488"/>
    <w:rsid w:val="00D80C41"/>
    <w:rsid w:val="00D80E44"/>
    <w:rsid w:val="00D8159E"/>
    <w:rsid w:val="00D81F75"/>
    <w:rsid w:val="00D82378"/>
    <w:rsid w:val="00D832BF"/>
    <w:rsid w:val="00D83DC2"/>
    <w:rsid w:val="00D8443F"/>
    <w:rsid w:val="00D84548"/>
    <w:rsid w:val="00D8597E"/>
    <w:rsid w:val="00D85BE2"/>
    <w:rsid w:val="00D87A61"/>
    <w:rsid w:val="00D87DA3"/>
    <w:rsid w:val="00D87E93"/>
    <w:rsid w:val="00D93274"/>
    <w:rsid w:val="00D93910"/>
    <w:rsid w:val="00D93E0C"/>
    <w:rsid w:val="00D943D0"/>
    <w:rsid w:val="00D94725"/>
    <w:rsid w:val="00D96014"/>
    <w:rsid w:val="00D96A5B"/>
    <w:rsid w:val="00DA0120"/>
    <w:rsid w:val="00DA135B"/>
    <w:rsid w:val="00DA14BB"/>
    <w:rsid w:val="00DA1ABE"/>
    <w:rsid w:val="00DA2A46"/>
    <w:rsid w:val="00DA3240"/>
    <w:rsid w:val="00DA4C2C"/>
    <w:rsid w:val="00DA4C39"/>
    <w:rsid w:val="00DA65C4"/>
    <w:rsid w:val="00DA673D"/>
    <w:rsid w:val="00DA6794"/>
    <w:rsid w:val="00DA69CD"/>
    <w:rsid w:val="00DA75FF"/>
    <w:rsid w:val="00DA7FEB"/>
    <w:rsid w:val="00DB02E0"/>
    <w:rsid w:val="00DB160E"/>
    <w:rsid w:val="00DB1649"/>
    <w:rsid w:val="00DB361A"/>
    <w:rsid w:val="00DB3EFB"/>
    <w:rsid w:val="00DB4815"/>
    <w:rsid w:val="00DB4D3C"/>
    <w:rsid w:val="00DB71B2"/>
    <w:rsid w:val="00DB722B"/>
    <w:rsid w:val="00DB7663"/>
    <w:rsid w:val="00DC10BE"/>
    <w:rsid w:val="00DC121A"/>
    <w:rsid w:val="00DC132E"/>
    <w:rsid w:val="00DC1393"/>
    <w:rsid w:val="00DC15FD"/>
    <w:rsid w:val="00DC1941"/>
    <w:rsid w:val="00DC1F90"/>
    <w:rsid w:val="00DC2CC6"/>
    <w:rsid w:val="00DC31C9"/>
    <w:rsid w:val="00DC6DAC"/>
    <w:rsid w:val="00DD0282"/>
    <w:rsid w:val="00DD1E3A"/>
    <w:rsid w:val="00DD3B77"/>
    <w:rsid w:val="00DD44D3"/>
    <w:rsid w:val="00DD7729"/>
    <w:rsid w:val="00DE30E6"/>
    <w:rsid w:val="00DE3626"/>
    <w:rsid w:val="00DE3D63"/>
    <w:rsid w:val="00DE4DBD"/>
    <w:rsid w:val="00DE4E50"/>
    <w:rsid w:val="00DE56BD"/>
    <w:rsid w:val="00DE6837"/>
    <w:rsid w:val="00DE6E80"/>
    <w:rsid w:val="00DE775D"/>
    <w:rsid w:val="00DE7EEB"/>
    <w:rsid w:val="00DF00BE"/>
    <w:rsid w:val="00DF0FF6"/>
    <w:rsid w:val="00DF226B"/>
    <w:rsid w:val="00DF274B"/>
    <w:rsid w:val="00DF458F"/>
    <w:rsid w:val="00DF471A"/>
    <w:rsid w:val="00DF534E"/>
    <w:rsid w:val="00DF5AEC"/>
    <w:rsid w:val="00DF5FDB"/>
    <w:rsid w:val="00DF79C0"/>
    <w:rsid w:val="00DF7AE6"/>
    <w:rsid w:val="00E00905"/>
    <w:rsid w:val="00E00AB1"/>
    <w:rsid w:val="00E00D9B"/>
    <w:rsid w:val="00E00E18"/>
    <w:rsid w:val="00E00E2D"/>
    <w:rsid w:val="00E01EEA"/>
    <w:rsid w:val="00E03572"/>
    <w:rsid w:val="00E04420"/>
    <w:rsid w:val="00E046BB"/>
    <w:rsid w:val="00E04FC4"/>
    <w:rsid w:val="00E05390"/>
    <w:rsid w:val="00E06851"/>
    <w:rsid w:val="00E06F2F"/>
    <w:rsid w:val="00E10106"/>
    <w:rsid w:val="00E111A6"/>
    <w:rsid w:val="00E1270A"/>
    <w:rsid w:val="00E12863"/>
    <w:rsid w:val="00E13465"/>
    <w:rsid w:val="00E13701"/>
    <w:rsid w:val="00E14C45"/>
    <w:rsid w:val="00E15175"/>
    <w:rsid w:val="00E16DA3"/>
    <w:rsid w:val="00E16DCA"/>
    <w:rsid w:val="00E174F3"/>
    <w:rsid w:val="00E17CB9"/>
    <w:rsid w:val="00E17DE4"/>
    <w:rsid w:val="00E20A85"/>
    <w:rsid w:val="00E21387"/>
    <w:rsid w:val="00E21BA8"/>
    <w:rsid w:val="00E22C43"/>
    <w:rsid w:val="00E23E07"/>
    <w:rsid w:val="00E243CB"/>
    <w:rsid w:val="00E24804"/>
    <w:rsid w:val="00E261C0"/>
    <w:rsid w:val="00E266A4"/>
    <w:rsid w:val="00E30164"/>
    <w:rsid w:val="00E3176E"/>
    <w:rsid w:val="00E322BB"/>
    <w:rsid w:val="00E32B8C"/>
    <w:rsid w:val="00E34ADE"/>
    <w:rsid w:val="00E35C11"/>
    <w:rsid w:val="00E35FD0"/>
    <w:rsid w:val="00E369F6"/>
    <w:rsid w:val="00E37700"/>
    <w:rsid w:val="00E4322B"/>
    <w:rsid w:val="00E438A7"/>
    <w:rsid w:val="00E438D0"/>
    <w:rsid w:val="00E439C3"/>
    <w:rsid w:val="00E445F1"/>
    <w:rsid w:val="00E446F7"/>
    <w:rsid w:val="00E453A8"/>
    <w:rsid w:val="00E46092"/>
    <w:rsid w:val="00E4642D"/>
    <w:rsid w:val="00E46D3B"/>
    <w:rsid w:val="00E509E6"/>
    <w:rsid w:val="00E5125E"/>
    <w:rsid w:val="00E52F62"/>
    <w:rsid w:val="00E5494E"/>
    <w:rsid w:val="00E55E59"/>
    <w:rsid w:val="00E5610F"/>
    <w:rsid w:val="00E5702C"/>
    <w:rsid w:val="00E57DF2"/>
    <w:rsid w:val="00E629C9"/>
    <w:rsid w:val="00E634E8"/>
    <w:rsid w:val="00E64099"/>
    <w:rsid w:val="00E64B3F"/>
    <w:rsid w:val="00E657EA"/>
    <w:rsid w:val="00E659C6"/>
    <w:rsid w:val="00E6642B"/>
    <w:rsid w:val="00E679C8"/>
    <w:rsid w:val="00E70501"/>
    <w:rsid w:val="00E7058F"/>
    <w:rsid w:val="00E706AC"/>
    <w:rsid w:val="00E70933"/>
    <w:rsid w:val="00E72F50"/>
    <w:rsid w:val="00E74358"/>
    <w:rsid w:val="00E74B64"/>
    <w:rsid w:val="00E74BD4"/>
    <w:rsid w:val="00E751EF"/>
    <w:rsid w:val="00E75550"/>
    <w:rsid w:val="00E7680D"/>
    <w:rsid w:val="00E804B9"/>
    <w:rsid w:val="00E8077A"/>
    <w:rsid w:val="00E8244A"/>
    <w:rsid w:val="00E83F1F"/>
    <w:rsid w:val="00E91468"/>
    <w:rsid w:val="00E919E3"/>
    <w:rsid w:val="00E91A6B"/>
    <w:rsid w:val="00E92BF2"/>
    <w:rsid w:val="00E93502"/>
    <w:rsid w:val="00E94222"/>
    <w:rsid w:val="00E954DF"/>
    <w:rsid w:val="00E96664"/>
    <w:rsid w:val="00EA1E6B"/>
    <w:rsid w:val="00EA1F68"/>
    <w:rsid w:val="00EA28D2"/>
    <w:rsid w:val="00EA2A0E"/>
    <w:rsid w:val="00EA32C1"/>
    <w:rsid w:val="00EA43C7"/>
    <w:rsid w:val="00EA4BF8"/>
    <w:rsid w:val="00EA5267"/>
    <w:rsid w:val="00EA5C81"/>
    <w:rsid w:val="00EA6011"/>
    <w:rsid w:val="00EA65A7"/>
    <w:rsid w:val="00EA6BE6"/>
    <w:rsid w:val="00EB0DF6"/>
    <w:rsid w:val="00EB21E3"/>
    <w:rsid w:val="00EB2E86"/>
    <w:rsid w:val="00EB35CA"/>
    <w:rsid w:val="00EB53C5"/>
    <w:rsid w:val="00EB5EEE"/>
    <w:rsid w:val="00EB7B07"/>
    <w:rsid w:val="00EC16E7"/>
    <w:rsid w:val="00EC17C8"/>
    <w:rsid w:val="00EC1A52"/>
    <w:rsid w:val="00EC42E9"/>
    <w:rsid w:val="00EC514D"/>
    <w:rsid w:val="00EC6EA8"/>
    <w:rsid w:val="00EC70FA"/>
    <w:rsid w:val="00EC7833"/>
    <w:rsid w:val="00ED0DD5"/>
    <w:rsid w:val="00ED20B0"/>
    <w:rsid w:val="00ED31F3"/>
    <w:rsid w:val="00ED3E77"/>
    <w:rsid w:val="00ED47DF"/>
    <w:rsid w:val="00ED5DA5"/>
    <w:rsid w:val="00EE0A7A"/>
    <w:rsid w:val="00EE1EB1"/>
    <w:rsid w:val="00EE2211"/>
    <w:rsid w:val="00EE3819"/>
    <w:rsid w:val="00EE5D91"/>
    <w:rsid w:val="00EE5DE4"/>
    <w:rsid w:val="00EE6E91"/>
    <w:rsid w:val="00EF111B"/>
    <w:rsid w:val="00EF14DA"/>
    <w:rsid w:val="00EF2A07"/>
    <w:rsid w:val="00EF2B31"/>
    <w:rsid w:val="00EF2B73"/>
    <w:rsid w:val="00EF2BFC"/>
    <w:rsid w:val="00EF362B"/>
    <w:rsid w:val="00EF42FA"/>
    <w:rsid w:val="00EF4A04"/>
    <w:rsid w:val="00EF62FF"/>
    <w:rsid w:val="00EF65A7"/>
    <w:rsid w:val="00EF7EA5"/>
    <w:rsid w:val="00F00678"/>
    <w:rsid w:val="00F00857"/>
    <w:rsid w:val="00F01710"/>
    <w:rsid w:val="00F0384A"/>
    <w:rsid w:val="00F04D3C"/>
    <w:rsid w:val="00F052C3"/>
    <w:rsid w:val="00F05909"/>
    <w:rsid w:val="00F05F3F"/>
    <w:rsid w:val="00F06613"/>
    <w:rsid w:val="00F068BE"/>
    <w:rsid w:val="00F10D9F"/>
    <w:rsid w:val="00F113DF"/>
    <w:rsid w:val="00F12052"/>
    <w:rsid w:val="00F13231"/>
    <w:rsid w:val="00F1365F"/>
    <w:rsid w:val="00F137E2"/>
    <w:rsid w:val="00F13AAD"/>
    <w:rsid w:val="00F13D9A"/>
    <w:rsid w:val="00F13F23"/>
    <w:rsid w:val="00F14E00"/>
    <w:rsid w:val="00F163DB"/>
    <w:rsid w:val="00F168B3"/>
    <w:rsid w:val="00F16A25"/>
    <w:rsid w:val="00F16EEB"/>
    <w:rsid w:val="00F179DC"/>
    <w:rsid w:val="00F20595"/>
    <w:rsid w:val="00F21BC4"/>
    <w:rsid w:val="00F22C7E"/>
    <w:rsid w:val="00F234F7"/>
    <w:rsid w:val="00F24C5C"/>
    <w:rsid w:val="00F24C99"/>
    <w:rsid w:val="00F2543D"/>
    <w:rsid w:val="00F25E5F"/>
    <w:rsid w:val="00F26852"/>
    <w:rsid w:val="00F27151"/>
    <w:rsid w:val="00F27207"/>
    <w:rsid w:val="00F27D27"/>
    <w:rsid w:val="00F30759"/>
    <w:rsid w:val="00F323B4"/>
    <w:rsid w:val="00F33754"/>
    <w:rsid w:val="00F33857"/>
    <w:rsid w:val="00F3478A"/>
    <w:rsid w:val="00F34E43"/>
    <w:rsid w:val="00F36AAF"/>
    <w:rsid w:val="00F370EC"/>
    <w:rsid w:val="00F374CE"/>
    <w:rsid w:val="00F403F2"/>
    <w:rsid w:val="00F411C0"/>
    <w:rsid w:val="00F429DD"/>
    <w:rsid w:val="00F4378D"/>
    <w:rsid w:val="00F43F3E"/>
    <w:rsid w:val="00F4474F"/>
    <w:rsid w:val="00F44D2D"/>
    <w:rsid w:val="00F451E0"/>
    <w:rsid w:val="00F46243"/>
    <w:rsid w:val="00F46379"/>
    <w:rsid w:val="00F464C4"/>
    <w:rsid w:val="00F476B4"/>
    <w:rsid w:val="00F547AB"/>
    <w:rsid w:val="00F54B95"/>
    <w:rsid w:val="00F56DD7"/>
    <w:rsid w:val="00F616C3"/>
    <w:rsid w:val="00F618F1"/>
    <w:rsid w:val="00F6287E"/>
    <w:rsid w:val="00F64D24"/>
    <w:rsid w:val="00F70B82"/>
    <w:rsid w:val="00F70DD1"/>
    <w:rsid w:val="00F71AEE"/>
    <w:rsid w:val="00F725A8"/>
    <w:rsid w:val="00F74155"/>
    <w:rsid w:val="00F74883"/>
    <w:rsid w:val="00F76402"/>
    <w:rsid w:val="00F77FA6"/>
    <w:rsid w:val="00F81157"/>
    <w:rsid w:val="00F8164E"/>
    <w:rsid w:val="00F817AE"/>
    <w:rsid w:val="00F838B8"/>
    <w:rsid w:val="00F85102"/>
    <w:rsid w:val="00F8521A"/>
    <w:rsid w:val="00F868F0"/>
    <w:rsid w:val="00F86D27"/>
    <w:rsid w:val="00F8750D"/>
    <w:rsid w:val="00F9020D"/>
    <w:rsid w:val="00F9099D"/>
    <w:rsid w:val="00F91D0B"/>
    <w:rsid w:val="00F9329E"/>
    <w:rsid w:val="00F93F92"/>
    <w:rsid w:val="00F94B88"/>
    <w:rsid w:val="00F957A6"/>
    <w:rsid w:val="00F964A2"/>
    <w:rsid w:val="00F97FE0"/>
    <w:rsid w:val="00FA01D1"/>
    <w:rsid w:val="00FA0E3E"/>
    <w:rsid w:val="00FA24AA"/>
    <w:rsid w:val="00FA504D"/>
    <w:rsid w:val="00FA536A"/>
    <w:rsid w:val="00FA5DBB"/>
    <w:rsid w:val="00FA6CD3"/>
    <w:rsid w:val="00FA6F8A"/>
    <w:rsid w:val="00FA799F"/>
    <w:rsid w:val="00FB043E"/>
    <w:rsid w:val="00FB061B"/>
    <w:rsid w:val="00FB0633"/>
    <w:rsid w:val="00FB138F"/>
    <w:rsid w:val="00FB1569"/>
    <w:rsid w:val="00FB165A"/>
    <w:rsid w:val="00FB3256"/>
    <w:rsid w:val="00FB3978"/>
    <w:rsid w:val="00FB5970"/>
    <w:rsid w:val="00FB7103"/>
    <w:rsid w:val="00FB75E6"/>
    <w:rsid w:val="00FC1CCE"/>
    <w:rsid w:val="00FC384B"/>
    <w:rsid w:val="00FC4A69"/>
    <w:rsid w:val="00FC61D5"/>
    <w:rsid w:val="00FC6EA0"/>
    <w:rsid w:val="00FD0E34"/>
    <w:rsid w:val="00FD1620"/>
    <w:rsid w:val="00FD1D8C"/>
    <w:rsid w:val="00FD2382"/>
    <w:rsid w:val="00FD2527"/>
    <w:rsid w:val="00FD3D6C"/>
    <w:rsid w:val="00FD43CA"/>
    <w:rsid w:val="00FD70A6"/>
    <w:rsid w:val="00FE0C7B"/>
    <w:rsid w:val="00FE2455"/>
    <w:rsid w:val="00FE258B"/>
    <w:rsid w:val="00FE3405"/>
    <w:rsid w:val="00FE57A8"/>
    <w:rsid w:val="00FE580B"/>
    <w:rsid w:val="00FE6D49"/>
    <w:rsid w:val="00FF1016"/>
    <w:rsid w:val="00FF249E"/>
    <w:rsid w:val="00FF36E6"/>
    <w:rsid w:val="00FF3C13"/>
    <w:rsid w:val="00FF3D7A"/>
    <w:rsid w:val="00FF6664"/>
    <w:rsid w:val="00FF6B43"/>
    <w:rsid w:val="00FF6F59"/>
    <w:rsid w:val="00FF78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44205"/>
  <w15:chartTrackingRefBased/>
  <w15:docId w15:val="{7AEC365A-1DD0-4E10-B731-50F42D9E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98"/>
    <w:rPr>
      <w:rFonts w:ascii="Arial" w:hAnsi="Arial"/>
      <w:sz w:val="24"/>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link w:val="Titre3Car"/>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2"/>
      </w:numPr>
      <w:tabs>
        <w:tab w:val="clear" w:pos="792"/>
      </w:tabs>
      <w:spacing w:after="120"/>
      <w:ind w:left="1468" w:hanging="734"/>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link w:val="En-tteCar"/>
    <w:unhideWhenUsed/>
    <w:rsid w:val="00C4717E"/>
    <w:pPr>
      <w:tabs>
        <w:tab w:val="center" w:pos="4320"/>
        <w:tab w:val="right" w:pos="8640"/>
      </w:tabs>
    </w:pPr>
  </w:style>
  <w:style w:type="character" w:customStyle="1" w:styleId="En-tteCar">
    <w:name w:val="En-tête Car"/>
    <w:link w:val="En-tte"/>
    <w:uiPriority w:val="99"/>
    <w:rsid w:val="00C4717E"/>
    <w:rPr>
      <w:rFonts w:ascii="Arial" w:hAnsi="Arial"/>
      <w:sz w:val="24"/>
      <w:lang w:val="fr-CA" w:eastAsia="fr-FR"/>
    </w:rPr>
  </w:style>
  <w:style w:type="paragraph" w:styleId="Pieddepage">
    <w:name w:val="footer"/>
    <w:basedOn w:val="Normal"/>
    <w:link w:val="PieddepageCar"/>
    <w:uiPriority w:val="99"/>
    <w:unhideWhenUsed/>
    <w:rsid w:val="00C4717E"/>
    <w:pPr>
      <w:tabs>
        <w:tab w:val="center" w:pos="4320"/>
        <w:tab w:val="right" w:pos="8640"/>
      </w:tabs>
    </w:pPr>
  </w:style>
  <w:style w:type="character" w:customStyle="1" w:styleId="PieddepageCar">
    <w:name w:val="Pied de page Car"/>
    <w:link w:val="Pieddepage"/>
    <w:uiPriority w:val="99"/>
    <w:rsid w:val="00C4717E"/>
    <w:rPr>
      <w:rFonts w:ascii="Arial" w:hAnsi="Arial"/>
      <w:sz w:val="24"/>
      <w:lang w:val="fr-CA" w:eastAsia="fr-FR"/>
    </w:rPr>
  </w:style>
  <w:style w:type="paragraph" w:styleId="Paragraphedeliste">
    <w:name w:val="List Paragraph"/>
    <w:basedOn w:val="Normal"/>
    <w:uiPriority w:val="34"/>
    <w:qFormat/>
    <w:rsid w:val="00C4717E"/>
    <w:pPr>
      <w:spacing w:after="160" w:line="259" w:lineRule="auto"/>
      <w:ind w:left="720"/>
      <w:contextualSpacing/>
    </w:pPr>
    <w:rPr>
      <w:rFonts w:ascii="Calibri" w:eastAsia="Calibri" w:hAnsi="Calibri"/>
      <w:sz w:val="22"/>
      <w:szCs w:val="22"/>
      <w:lang w:eastAsia="en-US"/>
    </w:rPr>
  </w:style>
  <w:style w:type="character" w:styleId="Hyperlien">
    <w:name w:val="Hyperlink"/>
    <w:uiPriority w:val="99"/>
    <w:unhideWhenUsed/>
    <w:rsid w:val="00C4717E"/>
    <w:rPr>
      <w:color w:val="0000FF"/>
      <w:u w:val="single"/>
      <w:lang w:val="fr-CA"/>
    </w:rPr>
  </w:style>
  <w:style w:type="paragraph" w:customStyle="1" w:styleId="paragraphe1">
    <w:name w:val="paragraphe1"/>
    <w:basedOn w:val="Normal"/>
    <w:rsid w:val="00C4717E"/>
    <w:pPr>
      <w:spacing w:before="120" w:after="120"/>
      <w:jc w:val="both"/>
    </w:pPr>
    <w:rPr>
      <w:rFonts w:cs="Arial"/>
      <w:szCs w:val="24"/>
      <w:lang w:eastAsia="fr-CA"/>
    </w:rPr>
  </w:style>
  <w:style w:type="character" w:styleId="Appelnotedebasdep">
    <w:name w:val="footnote reference"/>
    <w:unhideWhenUsed/>
    <w:rsid w:val="00044D98"/>
    <w:rPr>
      <w:vertAlign w:val="superscript"/>
    </w:rPr>
  </w:style>
  <w:style w:type="character" w:customStyle="1" w:styleId="NotedebasdepageCar">
    <w:name w:val="Note de bas de page Car"/>
    <w:link w:val="Notedebasdepage"/>
    <w:rsid w:val="00C4717E"/>
    <w:rPr>
      <w:rFonts w:ascii="Arial" w:hAnsi="Arial"/>
      <w:lang w:eastAsia="fr-FR"/>
    </w:rPr>
  </w:style>
  <w:style w:type="paragraph" w:customStyle="1" w:styleId="Style1">
    <w:name w:val="Style1"/>
    <w:basedOn w:val="Notedebasdepage"/>
    <w:link w:val="Style1Car"/>
    <w:qFormat/>
    <w:rsid w:val="00044D98"/>
    <w:rPr>
      <w:spacing w:val="-20"/>
    </w:rPr>
  </w:style>
  <w:style w:type="character" w:customStyle="1" w:styleId="Style1Car">
    <w:name w:val="Style1 Car"/>
    <w:link w:val="Style1"/>
    <w:rsid w:val="00044D98"/>
    <w:rPr>
      <w:rFonts w:ascii="Arial" w:hAnsi="Arial"/>
      <w:spacing w:val="-20"/>
      <w:lang w:eastAsia="fr-FR"/>
    </w:rPr>
  </w:style>
  <w:style w:type="paragraph" w:customStyle="1" w:styleId="Style2">
    <w:name w:val="Style2"/>
    <w:basedOn w:val="Paragraphe"/>
    <w:link w:val="Style2Car"/>
    <w:qFormat/>
    <w:rsid w:val="00044D98"/>
    <w:rPr>
      <w:rFonts w:cs="Arial"/>
      <w:szCs w:val="24"/>
      <w:vertAlign w:val="superscript"/>
    </w:rPr>
  </w:style>
  <w:style w:type="character" w:customStyle="1" w:styleId="ParagrapheCar">
    <w:name w:val="Paragraphe Car"/>
    <w:link w:val="Paragraphe"/>
    <w:rsid w:val="00044D98"/>
    <w:rPr>
      <w:rFonts w:ascii="Arial" w:hAnsi="Arial"/>
      <w:kern w:val="28"/>
      <w:sz w:val="24"/>
      <w:lang w:eastAsia="fr-FR"/>
    </w:rPr>
  </w:style>
  <w:style w:type="character" w:customStyle="1" w:styleId="Style2Car">
    <w:name w:val="Style2 Car"/>
    <w:link w:val="Style2"/>
    <w:rsid w:val="00044D98"/>
    <w:rPr>
      <w:rFonts w:ascii="Arial" w:hAnsi="Arial" w:cs="Arial"/>
      <w:kern w:val="28"/>
      <w:sz w:val="24"/>
      <w:szCs w:val="24"/>
      <w:vertAlign w:val="superscript"/>
      <w:lang w:eastAsia="fr-FR"/>
    </w:rPr>
  </w:style>
  <w:style w:type="paragraph" w:customStyle="1" w:styleId="Style3">
    <w:name w:val="Style3"/>
    <w:basedOn w:val="Paragraphe"/>
    <w:link w:val="Style3Car"/>
    <w:qFormat/>
    <w:rsid w:val="00044D98"/>
    <w:rPr>
      <w:rFonts w:cs="Arial"/>
      <w:szCs w:val="24"/>
      <w:vertAlign w:val="superscript"/>
    </w:rPr>
  </w:style>
  <w:style w:type="character" w:customStyle="1" w:styleId="Style3Car">
    <w:name w:val="Style3 Car"/>
    <w:link w:val="Style3"/>
    <w:rsid w:val="00044D98"/>
    <w:rPr>
      <w:rFonts w:ascii="Arial" w:hAnsi="Arial" w:cs="Arial"/>
      <w:kern w:val="28"/>
      <w:sz w:val="24"/>
      <w:szCs w:val="24"/>
      <w:vertAlign w:val="superscript"/>
      <w:lang w:eastAsia="fr-FR"/>
    </w:rPr>
  </w:style>
  <w:style w:type="paragraph" w:styleId="NormalWeb">
    <w:name w:val="Normal (Web)"/>
    <w:basedOn w:val="Normal"/>
    <w:uiPriority w:val="99"/>
    <w:semiHidden/>
    <w:unhideWhenUsed/>
    <w:rsid w:val="00A74FE1"/>
    <w:pPr>
      <w:spacing w:before="100" w:beforeAutospacing="1" w:after="100" w:afterAutospacing="1"/>
    </w:pPr>
    <w:rPr>
      <w:rFonts w:ascii="Times New Roman" w:hAnsi="Times New Roman"/>
      <w:szCs w:val="24"/>
      <w:lang w:val="en-CA" w:eastAsia="en-CA"/>
    </w:rPr>
  </w:style>
  <w:style w:type="character" w:customStyle="1" w:styleId="ssbf">
    <w:name w:val="ss_bf"/>
    <w:rsid w:val="00A74FE1"/>
  </w:style>
  <w:style w:type="character" w:customStyle="1" w:styleId="ssit">
    <w:name w:val="ss_it"/>
    <w:rsid w:val="00A74FE1"/>
  </w:style>
  <w:style w:type="paragraph" w:styleId="Textedebulles">
    <w:name w:val="Balloon Text"/>
    <w:basedOn w:val="Normal"/>
    <w:link w:val="TextedebullesCar"/>
    <w:uiPriority w:val="99"/>
    <w:semiHidden/>
    <w:unhideWhenUsed/>
    <w:rsid w:val="00E174F3"/>
    <w:rPr>
      <w:rFonts w:ascii="Segoe UI" w:hAnsi="Segoe UI" w:cs="Segoe UI"/>
      <w:sz w:val="18"/>
      <w:szCs w:val="18"/>
    </w:rPr>
  </w:style>
  <w:style w:type="character" w:customStyle="1" w:styleId="TextedebullesCar">
    <w:name w:val="Texte de bulles Car"/>
    <w:link w:val="Textedebulles"/>
    <w:uiPriority w:val="99"/>
    <w:semiHidden/>
    <w:rsid w:val="00E174F3"/>
    <w:rPr>
      <w:rFonts w:ascii="Segoe UI" w:hAnsi="Segoe UI" w:cs="Segoe UI"/>
      <w:sz w:val="18"/>
      <w:szCs w:val="18"/>
      <w:lang w:eastAsia="fr-FR"/>
    </w:rPr>
  </w:style>
  <w:style w:type="character" w:customStyle="1" w:styleId="solexhl">
    <w:name w:val="solexhl"/>
    <w:rsid w:val="00A53294"/>
  </w:style>
  <w:style w:type="paragraph" w:customStyle="1" w:styleId="mainparagraph1">
    <w:name w:val="mainparagraph1"/>
    <w:basedOn w:val="Normal"/>
    <w:rsid w:val="00632A7E"/>
    <w:pPr>
      <w:spacing w:after="240"/>
      <w:jc w:val="both"/>
    </w:pPr>
    <w:rPr>
      <w:rFonts w:ascii="Times New Roman" w:hAnsi="Times New Roman"/>
      <w:szCs w:val="24"/>
      <w:lang w:eastAsia="fr-CA"/>
    </w:rPr>
  </w:style>
  <w:style w:type="paragraph" w:customStyle="1" w:styleId="doubleindent-quote1">
    <w:name w:val="doubleindent-quote1"/>
    <w:basedOn w:val="Normal"/>
    <w:rsid w:val="00632A7E"/>
    <w:pPr>
      <w:ind w:left="720" w:right="720" w:hanging="720"/>
      <w:jc w:val="both"/>
    </w:pPr>
    <w:rPr>
      <w:rFonts w:ascii="Times New Roman" w:hAnsi="Times New Roman"/>
      <w:szCs w:val="24"/>
      <w:lang w:eastAsia="fr-CA"/>
    </w:rPr>
  </w:style>
  <w:style w:type="character" w:customStyle="1" w:styleId="ssbf1">
    <w:name w:val="ss_bf1"/>
    <w:rsid w:val="00626422"/>
    <w:rPr>
      <w:b/>
      <w:bCs/>
      <w:color w:val="373739"/>
    </w:rPr>
  </w:style>
  <w:style w:type="character" w:customStyle="1" w:styleId="ssib2">
    <w:name w:val="ss_ib2"/>
    <w:rsid w:val="00C77A0C"/>
    <w:rPr>
      <w:b/>
      <w:bCs/>
      <w:i/>
      <w:iCs/>
    </w:rPr>
  </w:style>
  <w:style w:type="character" w:customStyle="1" w:styleId="ssit2">
    <w:name w:val="ss_it2"/>
    <w:rsid w:val="00C77A0C"/>
    <w:rPr>
      <w:i/>
      <w:iCs/>
    </w:rPr>
  </w:style>
  <w:style w:type="character" w:styleId="Accentuation">
    <w:name w:val="Emphasis"/>
    <w:uiPriority w:val="20"/>
    <w:qFormat/>
    <w:rsid w:val="001F473F"/>
    <w:rPr>
      <w:b/>
      <w:bCs/>
      <w:i w:val="0"/>
      <w:iCs w:val="0"/>
    </w:rPr>
  </w:style>
  <w:style w:type="character" w:customStyle="1" w:styleId="st1">
    <w:name w:val="st1"/>
    <w:rsid w:val="001F473F"/>
  </w:style>
  <w:style w:type="character" w:customStyle="1" w:styleId="reflex3-block">
    <w:name w:val="reflex3-block"/>
    <w:rsid w:val="008E58F5"/>
  </w:style>
  <w:style w:type="character" w:customStyle="1" w:styleId="reflex3-alt">
    <w:name w:val="reflex3-alt"/>
    <w:rsid w:val="008E58F5"/>
  </w:style>
  <w:style w:type="character" w:customStyle="1" w:styleId="italic1">
    <w:name w:val="italic1"/>
    <w:rsid w:val="008B0507"/>
    <w:rPr>
      <w:i/>
      <w:iCs/>
    </w:rPr>
  </w:style>
  <w:style w:type="character" w:customStyle="1" w:styleId="sssh">
    <w:name w:val="ss_sh"/>
    <w:rsid w:val="0053392B"/>
  </w:style>
  <w:style w:type="character" w:customStyle="1" w:styleId="bold11">
    <w:name w:val="bold11"/>
    <w:rsid w:val="00774F3B"/>
    <w:rPr>
      <w:b/>
      <w:bCs/>
    </w:rPr>
  </w:style>
  <w:style w:type="character" w:customStyle="1" w:styleId="docviewtitle11">
    <w:name w:val="docviewtitle11"/>
    <w:rsid w:val="00774F3B"/>
    <w:rPr>
      <w:rFonts w:ascii="Verdana" w:hAnsi="Verdana" w:hint="default"/>
      <w:b/>
      <w:bCs/>
      <w:color w:val="695C50"/>
    </w:rPr>
  </w:style>
  <w:style w:type="paragraph" w:customStyle="1" w:styleId="ssindentfirstline2">
    <w:name w:val="ss_indentfirstline2"/>
    <w:basedOn w:val="Normal"/>
    <w:rsid w:val="002E323A"/>
    <w:pPr>
      <w:spacing w:before="100" w:beforeAutospacing="1" w:after="100" w:afterAutospacing="1"/>
      <w:ind w:firstLine="240"/>
    </w:pPr>
    <w:rPr>
      <w:rFonts w:ascii="Times New Roman" w:hAnsi="Times New Roman"/>
      <w:szCs w:val="24"/>
      <w:lang w:eastAsia="fr-CA"/>
    </w:rPr>
  </w:style>
  <w:style w:type="paragraph" w:customStyle="1" w:styleId="1">
    <w:name w:val="1"/>
    <w:basedOn w:val="Normal"/>
    <w:rsid w:val="000F77F0"/>
    <w:pPr>
      <w:spacing w:before="100" w:beforeAutospacing="1" w:after="100" w:afterAutospacing="1"/>
    </w:pPr>
    <w:rPr>
      <w:rFonts w:ascii="Times New Roman" w:hAnsi="Times New Roman"/>
      <w:szCs w:val="24"/>
      <w:lang w:eastAsia="fr-CA"/>
    </w:rPr>
  </w:style>
  <w:style w:type="paragraph" w:customStyle="1" w:styleId="paragraphe2">
    <w:name w:val="paragraphe2"/>
    <w:basedOn w:val="Normal"/>
    <w:rsid w:val="00D342A6"/>
    <w:pPr>
      <w:spacing w:before="120" w:after="120"/>
      <w:jc w:val="both"/>
    </w:pPr>
    <w:rPr>
      <w:rFonts w:cs="Arial"/>
      <w:szCs w:val="24"/>
      <w:lang w:eastAsia="fr-CA"/>
    </w:rPr>
  </w:style>
  <w:style w:type="paragraph" w:customStyle="1" w:styleId="aparanumbering1">
    <w:name w:val="aparanumbering1"/>
    <w:basedOn w:val="Normal"/>
    <w:rsid w:val="007846FB"/>
    <w:pPr>
      <w:spacing w:before="120" w:after="120"/>
      <w:jc w:val="both"/>
    </w:pPr>
    <w:rPr>
      <w:rFonts w:cs="Arial"/>
      <w:sz w:val="26"/>
      <w:szCs w:val="26"/>
      <w:lang w:eastAsia="fr-CA"/>
    </w:rPr>
  </w:style>
  <w:style w:type="character" w:customStyle="1" w:styleId="nowrap">
    <w:name w:val="nowrap"/>
    <w:rsid w:val="00A35D4B"/>
  </w:style>
  <w:style w:type="paragraph" w:customStyle="1" w:styleId="paragraphe0">
    <w:name w:val="paragraphe"/>
    <w:basedOn w:val="Normal"/>
    <w:rsid w:val="00A35D4B"/>
    <w:pPr>
      <w:spacing w:before="100" w:beforeAutospacing="1" w:after="100" w:afterAutospacing="1"/>
    </w:pPr>
    <w:rPr>
      <w:rFonts w:ascii="Times New Roman" w:hAnsi="Times New Roman"/>
      <w:szCs w:val="24"/>
      <w:lang w:eastAsia="fr-CA"/>
    </w:rPr>
  </w:style>
  <w:style w:type="paragraph" w:customStyle="1" w:styleId="citationenretrait0">
    <w:name w:val="citationenretrait"/>
    <w:basedOn w:val="Normal"/>
    <w:rsid w:val="00A35D4B"/>
    <w:pPr>
      <w:spacing w:before="100" w:beforeAutospacing="1" w:after="100" w:afterAutospacing="1"/>
    </w:pPr>
    <w:rPr>
      <w:rFonts w:ascii="Times New Roman" w:hAnsi="Times New Roman"/>
      <w:szCs w:val="24"/>
      <w:lang w:eastAsia="fr-CA"/>
    </w:rPr>
  </w:style>
  <w:style w:type="character" w:customStyle="1" w:styleId="Titre3Car">
    <w:name w:val="Titre 3 Car"/>
    <w:link w:val="Titre3"/>
    <w:rsid w:val="00860850"/>
    <w:rPr>
      <w:rFonts w:ascii="Arial" w:hAnsi="Arial"/>
      <w:sz w:val="24"/>
      <w:lang w:eastAsia="fr-FR"/>
    </w:rPr>
  </w:style>
  <w:style w:type="paragraph" w:customStyle="1" w:styleId="reasonsnumbering-altn">
    <w:name w:val="reasonsnumbering-altn"/>
    <w:basedOn w:val="Normal"/>
    <w:rsid w:val="00BE3B9D"/>
    <w:pPr>
      <w:spacing w:before="100" w:beforeAutospacing="1" w:after="100" w:afterAutospacing="1"/>
    </w:pPr>
    <w:rPr>
      <w:rFonts w:ascii="Times New Roman" w:hAnsi="Times New Roman"/>
      <w:szCs w:val="24"/>
      <w:lang w:eastAsia="fr-CA"/>
    </w:rPr>
  </w:style>
  <w:style w:type="paragraph" w:customStyle="1" w:styleId="citation-altc">
    <w:name w:val="citation-altc"/>
    <w:basedOn w:val="Normal"/>
    <w:rsid w:val="00BE3B9D"/>
    <w:pPr>
      <w:spacing w:before="100" w:beforeAutospacing="1" w:after="100" w:afterAutospacing="1"/>
    </w:pPr>
    <w:rPr>
      <w:rFonts w:ascii="Times New Roman" w:hAnsi="Times New Roman"/>
      <w:szCs w:val="24"/>
      <w:lang w:eastAsia="fr-CA"/>
    </w:rPr>
  </w:style>
  <w:style w:type="paragraph" w:customStyle="1" w:styleId="continuereasonsno-altp">
    <w:name w:val="continuereasonsno-altp"/>
    <w:basedOn w:val="Normal"/>
    <w:rsid w:val="00BE3B9D"/>
    <w:pPr>
      <w:spacing w:before="100" w:beforeAutospacing="1" w:after="100" w:afterAutospacing="1"/>
    </w:pPr>
    <w:rPr>
      <w:rFonts w:ascii="Times New Roman" w:hAnsi="Times New Roman"/>
      <w:szCs w:val="24"/>
      <w:lang w:eastAsia="fr-CA"/>
    </w:rPr>
  </w:style>
  <w:style w:type="character" w:customStyle="1" w:styleId="reflex">
    <w:name w:val="reflex"/>
    <w:rsid w:val="000027E1"/>
  </w:style>
  <w:style w:type="character" w:customStyle="1" w:styleId="Titre1Car">
    <w:name w:val="Titre 1 Car"/>
    <w:link w:val="Titre1"/>
    <w:rsid w:val="0090262A"/>
    <w:rPr>
      <w:rFonts w:ascii="Arial" w:hAnsi="Arial"/>
      <w:b/>
      <w:kern w:val="28"/>
      <w:sz w:val="28"/>
      <w:lang w:eastAsia="fr-FR"/>
    </w:rPr>
  </w:style>
  <w:style w:type="character" w:customStyle="1" w:styleId="name">
    <w:name w:val="name"/>
    <w:basedOn w:val="Policepardfaut"/>
    <w:rsid w:val="00A35EC8"/>
  </w:style>
  <w:style w:type="character" w:customStyle="1" w:styleId="reference">
    <w:name w:val="reference"/>
    <w:basedOn w:val="Policepardfaut"/>
    <w:rsid w:val="00A35EC8"/>
  </w:style>
  <w:style w:type="paragraph" w:styleId="TM1">
    <w:name w:val="toc 1"/>
    <w:basedOn w:val="Normal"/>
    <w:next w:val="Normal"/>
    <w:autoRedefine/>
    <w:uiPriority w:val="39"/>
    <w:unhideWhenUsed/>
    <w:rsid w:val="00592146"/>
    <w:pPr>
      <w:tabs>
        <w:tab w:val="right" w:leader="dot" w:pos="9352"/>
      </w:tabs>
      <w:spacing w:before="360"/>
    </w:pPr>
    <w:rPr>
      <w:rFonts w:cs="Arial"/>
      <w:b/>
      <w:bCs/>
      <w:caps/>
      <w:noProof/>
      <w:sz w:val="20"/>
      <w:lang w:val="en-CA"/>
    </w:rPr>
  </w:style>
  <w:style w:type="paragraph" w:styleId="TM2">
    <w:name w:val="toc 2"/>
    <w:basedOn w:val="Normal"/>
    <w:next w:val="Normal"/>
    <w:autoRedefine/>
    <w:uiPriority w:val="39"/>
    <w:unhideWhenUsed/>
    <w:rsid w:val="00EE0A7A"/>
    <w:pPr>
      <w:tabs>
        <w:tab w:val="left" w:pos="480"/>
        <w:tab w:val="right" w:leader="dot" w:pos="9352"/>
      </w:tabs>
      <w:spacing w:before="240"/>
      <w:ind w:left="284"/>
    </w:pPr>
    <w:rPr>
      <w:rFonts w:ascii="Calibri" w:hAnsi="Calibri" w:cs="Calibri"/>
      <w:b/>
      <w:bCs/>
      <w:sz w:val="20"/>
    </w:rPr>
  </w:style>
  <w:style w:type="paragraph" w:styleId="TM3">
    <w:name w:val="toc 3"/>
    <w:basedOn w:val="Normal"/>
    <w:next w:val="Normal"/>
    <w:autoRedefine/>
    <w:uiPriority w:val="39"/>
    <w:unhideWhenUsed/>
    <w:rsid w:val="00EE0A7A"/>
    <w:pPr>
      <w:tabs>
        <w:tab w:val="right" w:leader="dot" w:pos="9352"/>
      </w:tabs>
      <w:ind w:left="1134"/>
    </w:pPr>
    <w:rPr>
      <w:rFonts w:ascii="Calibri" w:hAnsi="Calibri" w:cs="Calibri"/>
      <w:sz w:val="20"/>
    </w:rPr>
  </w:style>
  <w:style w:type="paragraph" w:styleId="TM4">
    <w:name w:val="toc 4"/>
    <w:basedOn w:val="Normal"/>
    <w:next w:val="Normal"/>
    <w:autoRedefine/>
    <w:uiPriority w:val="39"/>
    <w:unhideWhenUsed/>
    <w:rsid w:val="00BA782C"/>
    <w:pPr>
      <w:ind w:left="480"/>
    </w:pPr>
    <w:rPr>
      <w:rFonts w:ascii="Calibri" w:hAnsi="Calibri" w:cs="Calibri"/>
      <w:sz w:val="20"/>
    </w:rPr>
  </w:style>
  <w:style w:type="paragraph" w:styleId="TM5">
    <w:name w:val="toc 5"/>
    <w:basedOn w:val="Normal"/>
    <w:next w:val="Normal"/>
    <w:autoRedefine/>
    <w:uiPriority w:val="39"/>
    <w:unhideWhenUsed/>
    <w:rsid w:val="00BA782C"/>
    <w:pPr>
      <w:ind w:left="720"/>
    </w:pPr>
    <w:rPr>
      <w:rFonts w:ascii="Calibri" w:hAnsi="Calibri" w:cs="Calibri"/>
      <w:sz w:val="20"/>
    </w:rPr>
  </w:style>
  <w:style w:type="paragraph" w:styleId="TM6">
    <w:name w:val="toc 6"/>
    <w:basedOn w:val="Normal"/>
    <w:next w:val="Normal"/>
    <w:autoRedefine/>
    <w:uiPriority w:val="39"/>
    <w:unhideWhenUsed/>
    <w:rsid w:val="00BA782C"/>
    <w:pPr>
      <w:ind w:left="960"/>
    </w:pPr>
    <w:rPr>
      <w:rFonts w:ascii="Calibri" w:hAnsi="Calibri" w:cs="Calibri"/>
      <w:sz w:val="20"/>
    </w:rPr>
  </w:style>
  <w:style w:type="paragraph" w:styleId="TM7">
    <w:name w:val="toc 7"/>
    <w:basedOn w:val="Normal"/>
    <w:next w:val="Normal"/>
    <w:autoRedefine/>
    <w:uiPriority w:val="39"/>
    <w:unhideWhenUsed/>
    <w:rsid w:val="00BA782C"/>
    <w:pPr>
      <w:ind w:left="1200"/>
    </w:pPr>
    <w:rPr>
      <w:rFonts w:ascii="Calibri" w:hAnsi="Calibri" w:cs="Calibri"/>
      <w:sz w:val="20"/>
    </w:rPr>
  </w:style>
  <w:style w:type="paragraph" w:styleId="TM8">
    <w:name w:val="toc 8"/>
    <w:basedOn w:val="Normal"/>
    <w:next w:val="Normal"/>
    <w:autoRedefine/>
    <w:uiPriority w:val="39"/>
    <w:unhideWhenUsed/>
    <w:rsid w:val="00BA782C"/>
    <w:pPr>
      <w:ind w:left="1440"/>
    </w:pPr>
    <w:rPr>
      <w:rFonts w:ascii="Calibri" w:hAnsi="Calibri" w:cs="Calibri"/>
      <w:sz w:val="20"/>
    </w:rPr>
  </w:style>
  <w:style w:type="paragraph" w:styleId="TM9">
    <w:name w:val="toc 9"/>
    <w:basedOn w:val="Normal"/>
    <w:next w:val="Normal"/>
    <w:autoRedefine/>
    <w:uiPriority w:val="39"/>
    <w:unhideWhenUsed/>
    <w:rsid w:val="00BA782C"/>
    <w:pPr>
      <w:ind w:left="1680"/>
    </w:pPr>
    <w:rPr>
      <w:rFonts w:ascii="Calibri" w:hAnsi="Calibri" w:cs="Calibri"/>
      <w:sz w:val="20"/>
    </w:rPr>
  </w:style>
  <w:style w:type="paragraph" w:customStyle="1" w:styleId="judgmentbody">
    <w:name w:val="judgmentbody"/>
    <w:basedOn w:val="Normal"/>
    <w:rsid w:val="008C1A9C"/>
    <w:pPr>
      <w:spacing w:before="100" w:beforeAutospacing="1" w:after="100" w:afterAutospacing="1"/>
    </w:pPr>
    <w:rPr>
      <w:rFonts w:ascii="Times New Roman" w:hAnsi="Times New Roman"/>
      <w:szCs w:val="24"/>
      <w:lang w:eastAsia="fr-CA"/>
    </w:rPr>
  </w:style>
  <w:style w:type="paragraph" w:customStyle="1" w:styleId="judq1">
    <w:name w:val="judq1"/>
    <w:basedOn w:val="Normal"/>
    <w:rsid w:val="00594E87"/>
    <w:pPr>
      <w:spacing w:before="100" w:beforeAutospacing="1" w:after="100" w:afterAutospacing="1"/>
    </w:pPr>
    <w:rPr>
      <w:rFonts w:ascii="Times New Roman" w:hAnsi="Times New Roman"/>
      <w:szCs w:val="24"/>
      <w:lang w:eastAsia="fr-CA"/>
    </w:rPr>
  </w:style>
  <w:style w:type="paragraph" w:customStyle="1" w:styleId="scjnumber">
    <w:name w:val="scjnumber"/>
    <w:basedOn w:val="Normal"/>
    <w:rsid w:val="00F70DD1"/>
    <w:pPr>
      <w:spacing w:before="100" w:beforeAutospacing="1" w:after="100" w:afterAutospacing="1"/>
    </w:pPr>
    <w:rPr>
      <w:rFonts w:ascii="Times New Roman" w:hAnsi="Times New Roman"/>
      <w:szCs w:val="24"/>
      <w:lang w:eastAsia="fr-CA"/>
    </w:rPr>
  </w:style>
  <w:style w:type="character" w:customStyle="1" w:styleId="reflex3-missing">
    <w:name w:val="reflex3-missing"/>
    <w:basedOn w:val="Policepardfaut"/>
    <w:rsid w:val="00C129A0"/>
  </w:style>
  <w:style w:type="character" w:customStyle="1" w:styleId="ssib">
    <w:name w:val="ss_ib"/>
    <w:basedOn w:val="Policepardfaut"/>
    <w:rsid w:val="00A5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718">
      <w:bodyDiv w:val="1"/>
      <w:marLeft w:val="0"/>
      <w:marRight w:val="0"/>
      <w:marTop w:val="0"/>
      <w:marBottom w:val="0"/>
      <w:divBdr>
        <w:top w:val="none" w:sz="0" w:space="0" w:color="auto"/>
        <w:left w:val="none" w:sz="0" w:space="0" w:color="auto"/>
        <w:bottom w:val="none" w:sz="0" w:space="0" w:color="auto"/>
        <w:right w:val="none" w:sz="0" w:space="0" w:color="auto"/>
      </w:divBdr>
      <w:divsChild>
        <w:div w:id="731581738">
          <w:marLeft w:val="0"/>
          <w:marRight w:val="0"/>
          <w:marTop w:val="0"/>
          <w:marBottom w:val="0"/>
          <w:divBdr>
            <w:top w:val="none" w:sz="0" w:space="0" w:color="auto"/>
            <w:left w:val="none" w:sz="0" w:space="0" w:color="auto"/>
            <w:bottom w:val="none" w:sz="0" w:space="0" w:color="auto"/>
            <w:right w:val="none" w:sz="0" w:space="0" w:color="auto"/>
          </w:divBdr>
        </w:div>
      </w:divsChild>
    </w:div>
    <w:div w:id="77873369">
      <w:bodyDiv w:val="1"/>
      <w:marLeft w:val="0"/>
      <w:marRight w:val="0"/>
      <w:marTop w:val="0"/>
      <w:marBottom w:val="0"/>
      <w:divBdr>
        <w:top w:val="none" w:sz="0" w:space="0" w:color="auto"/>
        <w:left w:val="none" w:sz="0" w:space="0" w:color="auto"/>
        <w:bottom w:val="none" w:sz="0" w:space="0" w:color="auto"/>
        <w:right w:val="none" w:sz="0" w:space="0" w:color="auto"/>
      </w:divBdr>
      <w:divsChild>
        <w:div w:id="1488982304">
          <w:marLeft w:val="0"/>
          <w:marRight w:val="0"/>
          <w:marTop w:val="0"/>
          <w:marBottom w:val="0"/>
          <w:divBdr>
            <w:top w:val="none" w:sz="0" w:space="0" w:color="auto"/>
            <w:left w:val="none" w:sz="0" w:space="0" w:color="auto"/>
            <w:bottom w:val="none" w:sz="0" w:space="0" w:color="auto"/>
            <w:right w:val="none" w:sz="0" w:space="0" w:color="auto"/>
          </w:divBdr>
        </w:div>
      </w:divsChild>
    </w:div>
    <w:div w:id="168982064">
      <w:bodyDiv w:val="1"/>
      <w:marLeft w:val="0"/>
      <w:marRight w:val="0"/>
      <w:marTop w:val="0"/>
      <w:marBottom w:val="0"/>
      <w:divBdr>
        <w:top w:val="none" w:sz="0" w:space="0" w:color="auto"/>
        <w:left w:val="none" w:sz="0" w:space="0" w:color="auto"/>
        <w:bottom w:val="none" w:sz="0" w:space="0" w:color="auto"/>
        <w:right w:val="none" w:sz="0" w:space="0" w:color="auto"/>
      </w:divBdr>
    </w:div>
    <w:div w:id="201403378">
      <w:bodyDiv w:val="1"/>
      <w:marLeft w:val="0"/>
      <w:marRight w:val="0"/>
      <w:marTop w:val="0"/>
      <w:marBottom w:val="0"/>
      <w:divBdr>
        <w:top w:val="none" w:sz="0" w:space="0" w:color="auto"/>
        <w:left w:val="none" w:sz="0" w:space="0" w:color="auto"/>
        <w:bottom w:val="none" w:sz="0" w:space="0" w:color="auto"/>
        <w:right w:val="none" w:sz="0" w:space="0" w:color="auto"/>
      </w:divBdr>
      <w:divsChild>
        <w:div w:id="300505908">
          <w:marLeft w:val="0"/>
          <w:marRight w:val="0"/>
          <w:marTop w:val="0"/>
          <w:marBottom w:val="0"/>
          <w:divBdr>
            <w:top w:val="none" w:sz="0" w:space="0" w:color="auto"/>
            <w:left w:val="none" w:sz="0" w:space="0" w:color="auto"/>
            <w:bottom w:val="none" w:sz="0" w:space="0" w:color="auto"/>
            <w:right w:val="none" w:sz="0" w:space="0" w:color="auto"/>
          </w:divBdr>
          <w:divsChild>
            <w:div w:id="755905406">
              <w:marLeft w:val="0"/>
              <w:marRight w:val="0"/>
              <w:marTop w:val="0"/>
              <w:marBottom w:val="0"/>
              <w:divBdr>
                <w:top w:val="none" w:sz="0" w:space="0" w:color="auto"/>
                <w:left w:val="none" w:sz="0" w:space="0" w:color="auto"/>
                <w:bottom w:val="none" w:sz="0" w:space="0" w:color="auto"/>
                <w:right w:val="none" w:sz="0" w:space="0" w:color="auto"/>
              </w:divBdr>
              <w:divsChild>
                <w:div w:id="1970937709">
                  <w:marLeft w:val="0"/>
                  <w:marRight w:val="0"/>
                  <w:marTop w:val="0"/>
                  <w:marBottom w:val="0"/>
                  <w:divBdr>
                    <w:top w:val="none" w:sz="0" w:space="0" w:color="auto"/>
                    <w:left w:val="none" w:sz="0" w:space="0" w:color="auto"/>
                    <w:bottom w:val="none" w:sz="0" w:space="0" w:color="auto"/>
                    <w:right w:val="none" w:sz="0" w:space="0" w:color="auto"/>
                  </w:divBdr>
                  <w:divsChild>
                    <w:div w:id="69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52562">
      <w:bodyDiv w:val="1"/>
      <w:marLeft w:val="0"/>
      <w:marRight w:val="0"/>
      <w:marTop w:val="0"/>
      <w:marBottom w:val="0"/>
      <w:divBdr>
        <w:top w:val="none" w:sz="0" w:space="0" w:color="auto"/>
        <w:left w:val="none" w:sz="0" w:space="0" w:color="auto"/>
        <w:bottom w:val="none" w:sz="0" w:space="0" w:color="auto"/>
        <w:right w:val="none" w:sz="0" w:space="0" w:color="auto"/>
      </w:divBdr>
      <w:divsChild>
        <w:div w:id="1085346144">
          <w:marLeft w:val="0"/>
          <w:marRight w:val="0"/>
          <w:marTop w:val="0"/>
          <w:marBottom w:val="0"/>
          <w:divBdr>
            <w:top w:val="none" w:sz="0" w:space="0" w:color="auto"/>
            <w:left w:val="none" w:sz="0" w:space="0" w:color="auto"/>
            <w:bottom w:val="none" w:sz="0" w:space="0" w:color="auto"/>
            <w:right w:val="none" w:sz="0" w:space="0" w:color="auto"/>
          </w:divBdr>
        </w:div>
      </w:divsChild>
    </w:div>
    <w:div w:id="279458891">
      <w:bodyDiv w:val="1"/>
      <w:marLeft w:val="0"/>
      <w:marRight w:val="0"/>
      <w:marTop w:val="0"/>
      <w:marBottom w:val="0"/>
      <w:divBdr>
        <w:top w:val="none" w:sz="0" w:space="0" w:color="auto"/>
        <w:left w:val="none" w:sz="0" w:space="0" w:color="auto"/>
        <w:bottom w:val="none" w:sz="0" w:space="0" w:color="auto"/>
        <w:right w:val="none" w:sz="0" w:space="0" w:color="auto"/>
      </w:divBdr>
      <w:divsChild>
        <w:div w:id="1617834581">
          <w:marLeft w:val="0"/>
          <w:marRight w:val="0"/>
          <w:marTop w:val="0"/>
          <w:marBottom w:val="0"/>
          <w:divBdr>
            <w:top w:val="none" w:sz="0" w:space="0" w:color="auto"/>
            <w:left w:val="none" w:sz="0" w:space="0" w:color="auto"/>
            <w:bottom w:val="none" w:sz="0" w:space="0" w:color="auto"/>
            <w:right w:val="none" w:sz="0" w:space="0" w:color="auto"/>
          </w:divBdr>
        </w:div>
      </w:divsChild>
    </w:div>
    <w:div w:id="284820796">
      <w:bodyDiv w:val="1"/>
      <w:marLeft w:val="0"/>
      <w:marRight w:val="0"/>
      <w:marTop w:val="0"/>
      <w:marBottom w:val="0"/>
      <w:divBdr>
        <w:top w:val="none" w:sz="0" w:space="0" w:color="auto"/>
        <w:left w:val="none" w:sz="0" w:space="0" w:color="auto"/>
        <w:bottom w:val="none" w:sz="0" w:space="0" w:color="auto"/>
        <w:right w:val="none" w:sz="0" w:space="0" w:color="auto"/>
      </w:divBdr>
      <w:divsChild>
        <w:div w:id="444471275">
          <w:marLeft w:val="0"/>
          <w:marRight w:val="0"/>
          <w:marTop w:val="0"/>
          <w:marBottom w:val="0"/>
          <w:divBdr>
            <w:top w:val="none" w:sz="0" w:space="0" w:color="auto"/>
            <w:left w:val="none" w:sz="0" w:space="0" w:color="auto"/>
            <w:bottom w:val="none" w:sz="0" w:space="0" w:color="auto"/>
            <w:right w:val="none" w:sz="0" w:space="0" w:color="auto"/>
          </w:divBdr>
          <w:divsChild>
            <w:div w:id="124547881">
              <w:marLeft w:val="0"/>
              <w:marRight w:val="0"/>
              <w:marTop w:val="0"/>
              <w:marBottom w:val="0"/>
              <w:divBdr>
                <w:top w:val="none" w:sz="0" w:space="0" w:color="auto"/>
                <w:left w:val="none" w:sz="0" w:space="0" w:color="auto"/>
                <w:bottom w:val="none" w:sz="0" w:space="0" w:color="auto"/>
                <w:right w:val="none" w:sz="0" w:space="0" w:color="auto"/>
              </w:divBdr>
              <w:divsChild>
                <w:div w:id="948662400">
                  <w:marLeft w:val="0"/>
                  <w:marRight w:val="0"/>
                  <w:marTop w:val="0"/>
                  <w:marBottom w:val="360"/>
                  <w:divBdr>
                    <w:top w:val="none" w:sz="0" w:space="0" w:color="auto"/>
                    <w:left w:val="none" w:sz="0" w:space="0" w:color="auto"/>
                    <w:bottom w:val="none" w:sz="0" w:space="0" w:color="auto"/>
                    <w:right w:val="none" w:sz="0" w:space="0" w:color="auto"/>
                  </w:divBdr>
                  <w:divsChild>
                    <w:div w:id="776952726">
                      <w:marLeft w:val="0"/>
                      <w:marRight w:val="0"/>
                      <w:marTop w:val="0"/>
                      <w:marBottom w:val="0"/>
                      <w:divBdr>
                        <w:top w:val="none" w:sz="0" w:space="0" w:color="auto"/>
                        <w:left w:val="none" w:sz="0" w:space="0" w:color="auto"/>
                        <w:bottom w:val="none" w:sz="0" w:space="0" w:color="auto"/>
                        <w:right w:val="none" w:sz="0" w:space="0" w:color="auto"/>
                      </w:divBdr>
                      <w:divsChild>
                        <w:div w:id="144905345">
                          <w:marLeft w:val="0"/>
                          <w:marRight w:val="0"/>
                          <w:marTop w:val="0"/>
                          <w:marBottom w:val="0"/>
                          <w:divBdr>
                            <w:top w:val="none" w:sz="0" w:space="0" w:color="auto"/>
                            <w:left w:val="none" w:sz="0" w:space="0" w:color="auto"/>
                            <w:bottom w:val="none" w:sz="0" w:space="0" w:color="auto"/>
                            <w:right w:val="none" w:sz="0" w:space="0" w:color="auto"/>
                          </w:divBdr>
                          <w:divsChild>
                            <w:div w:id="547029232">
                              <w:marLeft w:val="0"/>
                              <w:marRight w:val="0"/>
                              <w:marTop w:val="0"/>
                              <w:marBottom w:val="0"/>
                              <w:divBdr>
                                <w:top w:val="none" w:sz="0" w:space="0" w:color="auto"/>
                                <w:left w:val="none" w:sz="0" w:space="0" w:color="auto"/>
                                <w:bottom w:val="none" w:sz="0" w:space="0" w:color="auto"/>
                                <w:right w:val="none" w:sz="0" w:space="0" w:color="auto"/>
                              </w:divBdr>
                              <w:divsChild>
                                <w:div w:id="1049307099">
                                  <w:marLeft w:val="0"/>
                                  <w:marRight w:val="0"/>
                                  <w:marTop w:val="0"/>
                                  <w:marBottom w:val="0"/>
                                  <w:divBdr>
                                    <w:top w:val="none" w:sz="0" w:space="0" w:color="auto"/>
                                    <w:left w:val="none" w:sz="0" w:space="0" w:color="auto"/>
                                    <w:bottom w:val="none" w:sz="0" w:space="0" w:color="auto"/>
                                    <w:right w:val="none" w:sz="0" w:space="0" w:color="auto"/>
                                  </w:divBdr>
                                  <w:divsChild>
                                    <w:div w:id="7361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984584">
      <w:bodyDiv w:val="1"/>
      <w:marLeft w:val="0"/>
      <w:marRight w:val="0"/>
      <w:marTop w:val="0"/>
      <w:marBottom w:val="0"/>
      <w:divBdr>
        <w:top w:val="none" w:sz="0" w:space="0" w:color="auto"/>
        <w:left w:val="none" w:sz="0" w:space="0" w:color="auto"/>
        <w:bottom w:val="none" w:sz="0" w:space="0" w:color="auto"/>
        <w:right w:val="none" w:sz="0" w:space="0" w:color="auto"/>
      </w:divBdr>
      <w:divsChild>
        <w:div w:id="887910739">
          <w:marLeft w:val="0"/>
          <w:marRight w:val="0"/>
          <w:marTop w:val="0"/>
          <w:marBottom w:val="0"/>
          <w:divBdr>
            <w:top w:val="none" w:sz="0" w:space="0" w:color="auto"/>
            <w:left w:val="none" w:sz="0" w:space="0" w:color="auto"/>
            <w:bottom w:val="none" w:sz="0" w:space="0" w:color="auto"/>
            <w:right w:val="none" w:sz="0" w:space="0" w:color="auto"/>
          </w:divBdr>
        </w:div>
      </w:divsChild>
    </w:div>
    <w:div w:id="579289973">
      <w:bodyDiv w:val="1"/>
      <w:marLeft w:val="0"/>
      <w:marRight w:val="0"/>
      <w:marTop w:val="0"/>
      <w:marBottom w:val="0"/>
      <w:divBdr>
        <w:top w:val="none" w:sz="0" w:space="0" w:color="auto"/>
        <w:left w:val="none" w:sz="0" w:space="0" w:color="auto"/>
        <w:bottom w:val="none" w:sz="0" w:space="0" w:color="auto"/>
        <w:right w:val="none" w:sz="0" w:space="0" w:color="auto"/>
      </w:divBdr>
      <w:divsChild>
        <w:div w:id="617101397">
          <w:marLeft w:val="0"/>
          <w:marRight w:val="0"/>
          <w:marTop w:val="0"/>
          <w:marBottom w:val="0"/>
          <w:divBdr>
            <w:top w:val="none" w:sz="0" w:space="0" w:color="auto"/>
            <w:left w:val="none" w:sz="0" w:space="0" w:color="auto"/>
            <w:bottom w:val="none" w:sz="0" w:space="0" w:color="auto"/>
            <w:right w:val="none" w:sz="0" w:space="0" w:color="auto"/>
          </w:divBdr>
        </w:div>
      </w:divsChild>
    </w:div>
    <w:div w:id="580453383">
      <w:bodyDiv w:val="1"/>
      <w:marLeft w:val="0"/>
      <w:marRight w:val="0"/>
      <w:marTop w:val="0"/>
      <w:marBottom w:val="0"/>
      <w:divBdr>
        <w:top w:val="none" w:sz="0" w:space="0" w:color="auto"/>
        <w:left w:val="none" w:sz="0" w:space="0" w:color="auto"/>
        <w:bottom w:val="none" w:sz="0" w:space="0" w:color="auto"/>
        <w:right w:val="none" w:sz="0" w:space="0" w:color="auto"/>
      </w:divBdr>
    </w:div>
    <w:div w:id="599264491">
      <w:bodyDiv w:val="1"/>
      <w:marLeft w:val="0"/>
      <w:marRight w:val="0"/>
      <w:marTop w:val="0"/>
      <w:marBottom w:val="0"/>
      <w:divBdr>
        <w:top w:val="none" w:sz="0" w:space="0" w:color="auto"/>
        <w:left w:val="none" w:sz="0" w:space="0" w:color="auto"/>
        <w:bottom w:val="none" w:sz="0" w:space="0" w:color="auto"/>
        <w:right w:val="none" w:sz="0" w:space="0" w:color="auto"/>
      </w:divBdr>
      <w:divsChild>
        <w:div w:id="1478838291">
          <w:marLeft w:val="0"/>
          <w:marRight w:val="0"/>
          <w:marTop w:val="0"/>
          <w:marBottom w:val="0"/>
          <w:divBdr>
            <w:top w:val="none" w:sz="0" w:space="0" w:color="auto"/>
            <w:left w:val="none" w:sz="0" w:space="0" w:color="auto"/>
            <w:bottom w:val="none" w:sz="0" w:space="0" w:color="auto"/>
            <w:right w:val="none" w:sz="0" w:space="0" w:color="auto"/>
          </w:divBdr>
        </w:div>
      </w:divsChild>
    </w:div>
    <w:div w:id="606620014">
      <w:bodyDiv w:val="1"/>
      <w:marLeft w:val="0"/>
      <w:marRight w:val="0"/>
      <w:marTop w:val="0"/>
      <w:marBottom w:val="0"/>
      <w:divBdr>
        <w:top w:val="none" w:sz="0" w:space="0" w:color="auto"/>
        <w:left w:val="none" w:sz="0" w:space="0" w:color="auto"/>
        <w:bottom w:val="none" w:sz="0" w:space="0" w:color="auto"/>
        <w:right w:val="none" w:sz="0" w:space="0" w:color="auto"/>
      </w:divBdr>
      <w:divsChild>
        <w:div w:id="1988048240">
          <w:marLeft w:val="0"/>
          <w:marRight w:val="0"/>
          <w:marTop w:val="0"/>
          <w:marBottom w:val="0"/>
          <w:divBdr>
            <w:top w:val="none" w:sz="0" w:space="0" w:color="auto"/>
            <w:left w:val="none" w:sz="0" w:space="0" w:color="auto"/>
            <w:bottom w:val="none" w:sz="0" w:space="0" w:color="auto"/>
            <w:right w:val="none" w:sz="0" w:space="0" w:color="auto"/>
          </w:divBdr>
          <w:divsChild>
            <w:div w:id="2016834561">
              <w:marLeft w:val="0"/>
              <w:marRight w:val="0"/>
              <w:marTop w:val="0"/>
              <w:marBottom w:val="0"/>
              <w:divBdr>
                <w:top w:val="none" w:sz="0" w:space="0" w:color="auto"/>
                <w:left w:val="none" w:sz="0" w:space="0" w:color="auto"/>
                <w:bottom w:val="none" w:sz="0" w:space="0" w:color="auto"/>
                <w:right w:val="none" w:sz="0" w:space="0" w:color="auto"/>
              </w:divBdr>
              <w:divsChild>
                <w:div w:id="63375640">
                  <w:marLeft w:val="0"/>
                  <w:marRight w:val="0"/>
                  <w:marTop w:val="0"/>
                  <w:marBottom w:val="0"/>
                  <w:divBdr>
                    <w:top w:val="none" w:sz="0" w:space="0" w:color="auto"/>
                    <w:left w:val="none" w:sz="0" w:space="0" w:color="auto"/>
                    <w:bottom w:val="none" w:sz="0" w:space="0" w:color="auto"/>
                    <w:right w:val="none" w:sz="0" w:space="0" w:color="auto"/>
                  </w:divBdr>
                  <w:divsChild>
                    <w:div w:id="1514342654">
                      <w:marLeft w:val="0"/>
                      <w:marRight w:val="0"/>
                      <w:marTop w:val="0"/>
                      <w:marBottom w:val="0"/>
                      <w:divBdr>
                        <w:top w:val="none" w:sz="0" w:space="0" w:color="auto"/>
                        <w:left w:val="none" w:sz="0" w:space="0" w:color="auto"/>
                        <w:bottom w:val="none" w:sz="0" w:space="0" w:color="auto"/>
                        <w:right w:val="none" w:sz="0" w:space="0" w:color="auto"/>
                      </w:divBdr>
                      <w:divsChild>
                        <w:div w:id="340549761">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439446">
      <w:bodyDiv w:val="1"/>
      <w:marLeft w:val="0"/>
      <w:marRight w:val="0"/>
      <w:marTop w:val="0"/>
      <w:marBottom w:val="0"/>
      <w:divBdr>
        <w:top w:val="none" w:sz="0" w:space="0" w:color="auto"/>
        <w:left w:val="none" w:sz="0" w:space="0" w:color="auto"/>
        <w:bottom w:val="none" w:sz="0" w:space="0" w:color="auto"/>
        <w:right w:val="none" w:sz="0" w:space="0" w:color="auto"/>
      </w:divBdr>
      <w:divsChild>
        <w:div w:id="1314484663">
          <w:marLeft w:val="0"/>
          <w:marRight w:val="0"/>
          <w:marTop w:val="0"/>
          <w:marBottom w:val="0"/>
          <w:divBdr>
            <w:top w:val="none" w:sz="0" w:space="0" w:color="auto"/>
            <w:left w:val="none" w:sz="0" w:space="0" w:color="auto"/>
            <w:bottom w:val="none" w:sz="0" w:space="0" w:color="auto"/>
            <w:right w:val="none" w:sz="0" w:space="0" w:color="auto"/>
          </w:divBdr>
        </w:div>
      </w:divsChild>
    </w:div>
    <w:div w:id="697124939">
      <w:bodyDiv w:val="1"/>
      <w:marLeft w:val="0"/>
      <w:marRight w:val="0"/>
      <w:marTop w:val="0"/>
      <w:marBottom w:val="0"/>
      <w:divBdr>
        <w:top w:val="none" w:sz="0" w:space="0" w:color="auto"/>
        <w:left w:val="none" w:sz="0" w:space="0" w:color="auto"/>
        <w:bottom w:val="none" w:sz="0" w:space="0" w:color="auto"/>
        <w:right w:val="none" w:sz="0" w:space="0" w:color="auto"/>
      </w:divBdr>
      <w:divsChild>
        <w:div w:id="426267341">
          <w:marLeft w:val="0"/>
          <w:marRight w:val="0"/>
          <w:marTop w:val="0"/>
          <w:marBottom w:val="0"/>
          <w:divBdr>
            <w:top w:val="none" w:sz="0" w:space="0" w:color="auto"/>
            <w:left w:val="none" w:sz="0" w:space="0" w:color="auto"/>
            <w:bottom w:val="none" w:sz="0" w:space="0" w:color="auto"/>
            <w:right w:val="none" w:sz="0" w:space="0" w:color="auto"/>
          </w:divBdr>
          <w:divsChild>
            <w:div w:id="1506242728">
              <w:marLeft w:val="0"/>
              <w:marRight w:val="0"/>
              <w:marTop w:val="0"/>
              <w:marBottom w:val="0"/>
              <w:divBdr>
                <w:top w:val="none" w:sz="0" w:space="0" w:color="auto"/>
                <w:left w:val="none" w:sz="0" w:space="0" w:color="auto"/>
                <w:bottom w:val="none" w:sz="0" w:space="0" w:color="auto"/>
                <w:right w:val="none" w:sz="0" w:space="0" w:color="auto"/>
              </w:divBdr>
              <w:divsChild>
                <w:div w:id="1423523319">
                  <w:marLeft w:val="0"/>
                  <w:marRight w:val="0"/>
                  <w:marTop w:val="0"/>
                  <w:marBottom w:val="360"/>
                  <w:divBdr>
                    <w:top w:val="none" w:sz="0" w:space="0" w:color="auto"/>
                    <w:left w:val="none" w:sz="0" w:space="0" w:color="auto"/>
                    <w:bottom w:val="none" w:sz="0" w:space="0" w:color="auto"/>
                    <w:right w:val="none" w:sz="0" w:space="0" w:color="auto"/>
                  </w:divBdr>
                  <w:divsChild>
                    <w:div w:id="1543513753">
                      <w:marLeft w:val="0"/>
                      <w:marRight w:val="0"/>
                      <w:marTop w:val="0"/>
                      <w:marBottom w:val="0"/>
                      <w:divBdr>
                        <w:top w:val="none" w:sz="0" w:space="0" w:color="auto"/>
                        <w:left w:val="none" w:sz="0" w:space="0" w:color="auto"/>
                        <w:bottom w:val="none" w:sz="0" w:space="0" w:color="auto"/>
                        <w:right w:val="none" w:sz="0" w:space="0" w:color="auto"/>
                      </w:divBdr>
                      <w:divsChild>
                        <w:div w:id="557327939">
                          <w:marLeft w:val="0"/>
                          <w:marRight w:val="0"/>
                          <w:marTop w:val="0"/>
                          <w:marBottom w:val="0"/>
                          <w:divBdr>
                            <w:top w:val="none" w:sz="0" w:space="0" w:color="auto"/>
                            <w:left w:val="none" w:sz="0" w:space="0" w:color="auto"/>
                            <w:bottom w:val="none" w:sz="0" w:space="0" w:color="auto"/>
                            <w:right w:val="none" w:sz="0" w:space="0" w:color="auto"/>
                          </w:divBdr>
                          <w:divsChild>
                            <w:div w:id="1388456070">
                              <w:marLeft w:val="0"/>
                              <w:marRight w:val="0"/>
                              <w:marTop w:val="0"/>
                              <w:marBottom w:val="0"/>
                              <w:divBdr>
                                <w:top w:val="none" w:sz="0" w:space="0" w:color="auto"/>
                                <w:left w:val="none" w:sz="0" w:space="0" w:color="auto"/>
                                <w:bottom w:val="none" w:sz="0" w:space="0" w:color="auto"/>
                                <w:right w:val="none" w:sz="0" w:space="0" w:color="auto"/>
                              </w:divBdr>
                              <w:divsChild>
                                <w:div w:id="542061350">
                                  <w:marLeft w:val="0"/>
                                  <w:marRight w:val="0"/>
                                  <w:marTop w:val="0"/>
                                  <w:marBottom w:val="0"/>
                                  <w:divBdr>
                                    <w:top w:val="none" w:sz="0" w:space="0" w:color="auto"/>
                                    <w:left w:val="none" w:sz="0" w:space="0" w:color="auto"/>
                                    <w:bottom w:val="none" w:sz="0" w:space="0" w:color="auto"/>
                                    <w:right w:val="none" w:sz="0" w:space="0" w:color="auto"/>
                                  </w:divBdr>
                                  <w:divsChild>
                                    <w:div w:id="14259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847693">
      <w:bodyDiv w:val="1"/>
      <w:marLeft w:val="0"/>
      <w:marRight w:val="0"/>
      <w:marTop w:val="0"/>
      <w:marBottom w:val="0"/>
      <w:divBdr>
        <w:top w:val="none" w:sz="0" w:space="0" w:color="auto"/>
        <w:left w:val="none" w:sz="0" w:space="0" w:color="auto"/>
        <w:bottom w:val="none" w:sz="0" w:space="0" w:color="auto"/>
        <w:right w:val="none" w:sz="0" w:space="0" w:color="auto"/>
      </w:divBdr>
      <w:divsChild>
        <w:div w:id="1641839002">
          <w:marLeft w:val="0"/>
          <w:marRight w:val="0"/>
          <w:marTop w:val="0"/>
          <w:marBottom w:val="0"/>
          <w:divBdr>
            <w:top w:val="none" w:sz="0" w:space="0" w:color="auto"/>
            <w:left w:val="none" w:sz="0" w:space="0" w:color="auto"/>
            <w:bottom w:val="none" w:sz="0" w:space="0" w:color="auto"/>
            <w:right w:val="none" w:sz="0" w:space="0" w:color="auto"/>
          </w:divBdr>
        </w:div>
      </w:divsChild>
    </w:div>
    <w:div w:id="859274251">
      <w:bodyDiv w:val="1"/>
      <w:marLeft w:val="0"/>
      <w:marRight w:val="0"/>
      <w:marTop w:val="0"/>
      <w:marBottom w:val="0"/>
      <w:divBdr>
        <w:top w:val="none" w:sz="0" w:space="0" w:color="auto"/>
        <w:left w:val="none" w:sz="0" w:space="0" w:color="auto"/>
        <w:bottom w:val="none" w:sz="0" w:space="0" w:color="auto"/>
        <w:right w:val="none" w:sz="0" w:space="0" w:color="auto"/>
      </w:divBdr>
      <w:divsChild>
        <w:div w:id="122769256">
          <w:marLeft w:val="0"/>
          <w:marRight w:val="0"/>
          <w:marTop w:val="0"/>
          <w:marBottom w:val="0"/>
          <w:divBdr>
            <w:top w:val="none" w:sz="0" w:space="0" w:color="auto"/>
            <w:left w:val="none" w:sz="0" w:space="0" w:color="auto"/>
            <w:bottom w:val="none" w:sz="0" w:space="0" w:color="auto"/>
            <w:right w:val="none" w:sz="0" w:space="0" w:color="auto"/>
          </w:divBdr>
        </w:div>
        <w:div w:id="427238168">
          <w:marLeft w:val="0"/>
          <w:marRight w:val="0"/>
          <w:marTop w:val="0"/>
          <w:marBottom w:val="0"/>
          <w:divBdr>
            <w:top w:val="none" w:sz="0" w:space="0" w:color="auto"/>
            <w:left w:val="none" w:sz="0" w:space="0" w:color="auto"/>
            <w:bottom w:val="none" w:sz="0" w:space="0" w:color="auto"/>
            <w:right w:val="none" w:sz="0" w:space="0" w:color="auto"/>
          </w:divBdr>
        </w:div>
        <w:div w:id="813372322">
          <w:marLeft w:val="0"/>
          <w:marRight w:val="0"/>
          <w:marTop w:val="0"/>
          <w:marBottom w:val="0"/>
          <w:divBdr>
            <w:top w:val="none" w:sz="0" w:space="0" w:color="auto"/>
            <w:left w:val="none" w:sz="0" w:space="0" w:color="auto"/>
            <w:bottom w:val="none" w:sz="0" w:space="0" w:color="auto"/>
            <w:right w:val="none" w:sz="0" w:space="0" w:color="auto"/>
          </w:divBdr>
        </w:div>
        <w:div w:id="1172641318">
          <w:marLeft w:val="0"/>
          <w:marRight w:val="0"/>
          <w:marTop w:val="0"/>
          <w:marBottom w:val="0"/>
          <w:divBdr>
            <w:top w:val="none" w:sz="0" w:space="0" w:color="auto"/>
            <w:left w:val="none" w:sz="0" w:space="0" w:color="auto"/>
            <w:bottom w:val="none" w:sz="0" w:space="0" w:color="auto"/>
            <w:right w:val="none" w:sz="0" w:space="0" w:color="auto"/>
          </w:divBdr>
        </w:div>
        <w:div w:id="1398284157">
          <w:marLeft w:val="0"/>
          <w:marRight w:val="0"/>
          <w:marTop w:val="0"/>
          <w:marBottom w:val="0"/>
          <w:divBdr>
            <w:top w:val="none" w:sz="0" w:space="0" w:color="auto"/>
            <w:left w:val="none" w:sz="0" w:space="0" w:color="auto"/>
            <w:bottom w:val="none" w:sz="0" w:space="0" w:color="auto"/>
            <w:right w:val="none" w:sz="0" w:space="0" w:color="auto"/>
          </w:divBdr>
        </w:div>
        <w:div w:id="1571651507">
          <w:marLeft w:val="0"/>
          <w:marRight w:val="0"/>
          <w:marTop w:val="0"/>
          <w:marBottom w:val="0"/>
          <w:divBdr>
            <w:top w:val="none" w:sz="0" w:space="0" w:color="auto"/>
            <w:left w:val="none" w:sz="0" w:space="0" w:color="auto"/>
            <w:bottom w:val="none" w:sz="0" w:space="0" w:color="auto"/>
            <w:right w:val="none" w:sz="0" w:space="0" w:color="auto"/>
          </w:divBdr>
        </w:div>
        <w:div w:id="1740132521">
          <w:marLeft w:val="0"/>
          <w:marRight w:val="0"/>
          <w:marTop w:val="0"/>
          <w:marBottom w:val="0"/>
          <w:divBdr>
            <w:top w:val="none" w:sz="0" w:space="0" w:color="auto"/>
            <w:left w:val="none" w:sz="0" w:space="0" w:color="auto"/>
            <w:bottom w:val="none" w:sz="0" w:space="0" w:color="auto"/>
            <w:right w:val="none" w:sz="0" w:space="0" w:color="auto"/>
          </w:divBdr>
        </w:div>
        <w:div w:id="1909654497">
          <w:marLeft w:val="0"/>
          <w:marRight w:val="0"/>
          <w:marTop w:val="0"/>
          <w:marBottom w:val="0"/>
          <w:divBdr>
            <w:top w:val="none" w:sz="0" w:space="0" w:color="auto"/>
            <w:left w:val="none" w:sz="0" w:space="0" w:color="auto"/>
            <w:bottom w:val="none" w:sz="0" w:space="0" w:color="auto"/>
            <w:right w:val="none" w:sz="0" w:space="0" w:color="auto"/>
          </w:divBdr>
        </w:div>
        <w:div w:id="1987396429">
          <w:marLeft w:val="0"/>
          <w:marRight w:val="0"/>
          <w:marTop w:val="0"/>
          <w:marBottom w:val="0"/>
          <w:divBdr>
            <w:top w:val="none" w:sz="0" w:space="0" w:color="auto"/>
            <w:left w:val="none" w:sz="0" w:space="0" w:color="auto"/>
            <w:bottom w:val="none" w:sz="0" w:space="0" w:color="auto"/>
            <w:right w:val="none" w:sz="0" w:space="0" w:color="auto"/>
          </w:divBdr>
        </w:div>
      </w:divsChild>
    </w:div>
    <w:div w:id="873150955">
      <w:bodyDiv w:val="1"/>
      <w:marLeft w:val="0"/>
      <w:marRight w:val="0"/>
      <w:marTop w:val="0"/>
      <w:marBottom w:val="0"/>
      <w:divBdr>
        <w:top w:val="none" w:sz="0" w:space="0" w:color="auto"/>
        <w:left w:val="none" w:sz="0" w:space="0" w:color="auto"/>
        <w:bottom w:val="none" w:sz="0" w:space="0" w:color="auto"/>
        <w:right w:val="none" w:sz="0" w:space="0" w:color="auto"/>
      </w:divBdr>
    </w:div>
    <w:div w:id="1027022927">
      <w:bodyDiv w:val="1"/>
      <w:marLeft w:val="0"/>
      <w:marRight w:val="0"/>
      <w:marTop w:val="0"/>
      <w:marBottom w:val="0"/>
      <w:divBdr>
        <w:top w:val="none" w:sz="0" w:space="0" w:color="auto"/>
        <w:left w:val="none" w:sz="0" w:space="0" w:color="auto"/>
        <w:bottom w:val="none" w:sz="0" w:space="0" w:color="auto"/>
        <w:right w:val="none" w:sz="0" w:space="0" w:color="auto"/>
      </w:divBdr>
      <w:divsChild>
        <w:div w:id="517894434">
          <w:marLeft w:val="0"/>
          <w:marRight w:val="0"/>
          <w:marTop w:val="0"/>
          <w:marBottom w:val="0"/>
          <w:divBdr>
            <w:top w:val="none" w:sz="0" w:space="0" w:color="auto"/>
            <w:left w:val="none" w:sz="0" w:space="0" w:color="auto"/>
            <w:bottom w:val="none" w:sz="0" w:space="0" w:color="auto"/>
            <w:right w:val="none" w:sz="0" w:space="0" w:color="auto"/>
          </w:divBdr>
          <w:divsChild>
            <w:div w:id="702290209">
              <w:marLeft w:val="0"/>
              <w:marRight w:val="0"/>
              <w:marTop w:val="0"/>
              <w:marBottom w:val="0"/>
              <w:divBdr>
                <w:top w:val="none" w:sz="0" w:space="0" w:color="auto"/>
                <w:left w:val="none" w:sz="0" w:space="0" w:color="auto"/>
                <w:bottom w:val="none" w:sz="0" w:space="0" w:color="auto"/>
                <w:right w:val="none" w:sz="0" w:space="0" w:color="auto"/>
              </w:divBdr>
              <w:divsChild>
                <w:div w:id="1966354129">
                  <w:marLeft w:val="0"/>
                  <w:marRight w:val="300"/>
                  <w:marTop w:val="0"/>
                  <w:marBottom w:val="0"/>
                  <w:divBdr>
                    <w:top w:val="none" w:sz="0" w:space="0" w:color="auto"/>
                    <w:left w:val="none" w:sz="0" w:space="0" w:color="auto"/>
                    <w:bottom w:val="none" w:sz="0" w:space="0" w:color="auto"/>
                    <w:right w:val="none" w:sz="0" w:space="0" w:color="auto"/>
                  </w:divBdr>
                  <w:divsChild>
                    <w:div w:id="17588714">
                      <w:marLeft w:val="0"/>
                      <w:marRight w:val="0"/>
                      <w:marTop w:val="0"/>
                      <w:marBottom w:val="0"/>
                      <w:divBdr>
                        <w:top w:val="single" w:sz="6" w:space="26" w:color="BCBEC0"/>
                        <w:left w:val="single" w:sz="6" w:space="26" w:color="BCBEC0"/>
                        <w:bottom w:val="single" w:sz="6" w:space="26" w:color="BCBEC0"/>
                        <w:right w:val="single" w:sz="6" w:space="26" w:color="BCBEC0"/>
                      </w:divBdr>
                      <w:divsChild>
                        <w:div w:id="1212577373">
                          <w:marLeft w:val="0"/>
                          <w:marRight w:val="0"/>
                          <w:marTop w:val="0"/>
                          <w:marBottom w:val="0"/>
                          <w:divBdr>
                            <w:top w:val="none" w:sz="0" w:space="0" w:color="auto"/>
                            <w:left w:val="none" w:sz="0" w:space="0" w:color="auto"/>
                            <w:bottom w:val="none" w:sz="0" w:space="0" w:color="auto"/>
                            <w:right w:val="none" w:sz="0" w:space="0" w:color="auto"/>
                          </w:divBdr>
                          <w:divsChild>
                            <w:div w:id="4745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26902">
      <w:bodyDiv w:val="1"/>
      <w:marLeft w:val="0"/>
      <w:marRight w:val="0"/>
      <w:marTop w:val="0"/>
      <w:marBottom w:val="0"/>
      <w:divBdr>
        <w:top w:val="none" w:sz="0" w:space="0" w:color="auto"/>
        <w:left w:val="none" w:sz="0" w:space="0" w:color="auto"/>
        <w:bottom w:val="none" w:sz="0" w:space="0" w:color="auto"/>
        <w:right w:val="none" w:sz="0" w:space="0" w:color="auto"/>
      </w:divBdr>
      <w:divsChild>
        <w:div w:id="925771667">
          <w:marLeft w:val="0"/>
          <w:marRight w:val="0"/>
          <w:marTop w:val="0"/>
          <w:marBottom w:val="0"/>
          <w:divBdr>
            <w:top w:val="none" w:sz="0" w:space="0" w:color="auto"/>
            <w:left w:val="none" w:sz="0" w:space="0" w:color="auto"/>
            <w:bottom w:val="none" w:sz="0" w:space="0" w:color="auto"/>
            <w:right w:val="none" w:sz="0" w:space="0" w:color="auto"/>
          </w:divBdr>
        </w:div>
      </w:divsChild>
    </w:div>
    <w:div w:id="1114447729">
      <w:bodyDiv w:val="1"/>
      <w:marLeft w:val="0"/>
      <w:marRight w:val="0"/>
      <w:marTop w:val="0"/>
      <w:marBottom w:val="0"/>
      <w:divBdr>
        <w:top w:val="none" w:sz="0" w:space="0" w:color="auto"/>
        <w:left w:val="none" w:sz="0" w:space="0" w:color="auto"/>
        <w:bottom w:val="none" w:sz="0" w:space="0" w:color="auto"/>
        <w:right w:val="none" w:sz="0" w:space="0" w:color="auto"/>
      </w:divBdr>
      <w:divsChild>
        <w:div w:id="785468113">
          <w:marLeft w:val="0"/>
          <w:marRight w:val="0"/>
          <w:marTop w:val="0"/>
          <w:marBottom w:val="0"/>
          <w:divBdr>
            <w:top w:val="none" w:sz="0" w:space="0" w:color="auto"/>
            <w:left w:val="none" w:sz="0" w:space="0" w:color="auto"/>
            <w:bottom w:val="none" w:sz="0" w:space="0" w:color="auto"/>
            <w:right w:val="none" w:sz="0" w:space="0" w:color="auto"/>
          </w:divBdr>
        </w:div>
      </w:divsChild>
    </w:div>
    <w:div w:id="1159149705">
      <w:bodyDiv w:val="1"/>
      <w:marLeft w:val="0"/>
      <w:marRight w:val="0"/>
      <w:marTop w:val="0"/>
      <w:marBottom w:val="0"/>
      <w:divBdr>
        <w:top w:val="none" w:sz="0" w:space="0" w:color="auto"/>
        <w:left w:val="none" w:sz="0" w:space="0" w:color="auto"/>
        <w:bottom w:val="none" w:sz="0" w:space="0" w:color="auto"/>
        <w:right w:val="none" w:sz="0" w:space="0" w:color="auto"/>
      </w:divBdr>
      <w:divsChild>
        <w:div w:id="978191329">
          <w:marLeft w:val="0"/>
          <w:marRight w:val="0"/>
          <w:marTop w:val="0"/>
          <w:marBottom w:val="0"/>
          <w:divBdr>
            <w:top w:val="none" w:sz="0" w:space="0" w:color="auto"/>
            <w:left w:val="none" w:sz="0" w:space="0" w:color="auto"/>
            <w:bottom w:val="none" w:sz="0" w:space="0" w:color="auto"/>
            <w:right w:val="none" w:sz="0" w:space="0" w:color="auto"/>
          </w:divBdr>
        </w:div>
      </w:divsChild>
    </w:div>
    <w:div w:id="1292133112">
      <w:bodyDiv w:val="1"/>
      <w:marLeft w:val="0"/>
      <w:marRight w:val="0"/>
      <w:marTop w:val="0"/>
      <w:marBottom w:val="0"/>
      <w:divBdr>
        <w:top w:val="none" w:sz="0" w:space="0" w:color="auto"/>
        <w:left w:val="none" w:sz="0" w:space="0" w:color="auto"/>
        <w:bottom w:val="none" w:sz="0" w:space="0" w:color="auto"/>
        <w:right w:val="none" w:sz="0" w:space="0" w:color="auto"/>
      </w:divBdr>
      <w:divsChild>
        <w:div w:id="43874338">
          <w:marLeft w:val="0"/>
          <w:marRight w:val="0"/>
          <w:marTop w:val="0"/>
          <w:marBottom w:val="0"/>
          <w:divBdr>
            <w:top w:val="none" w:sz="0" w:space="0" w:color="auto"/>
            <w:left w:val="none" w:sz="0" w:space="0" w:color="auto"/>
            <w:bottom w:val="none" w:sz="0" w:space="0" w:color="auto"/>
            <w:right w:val="none" w:sz="0" w:space="0" w:color="auto"/>
          </w:divBdr>
        </w:div>
      </w:divsChild>
    </w:div>
    <w:div w:id="1311448222">
      <w:bodyDiv w:val="1"/>
      <w:marLeft w:val="0"/>
      <w:marRight w:val="0"/>
      <w:marTop w:val="0"/>
      <w:marBottom w:val="0"/>
      <w:divBdr>
        <w:top w:val="none" w:sz="0" w:space="0" w:color="auto"/>
        <w:left w:val="none" w:sz="0" w:space="0" w:color="auto"/>
        <w:bottom w:val="none" w:sz="0" w:space="0" w:color="auto"/>
        <w:right w:val="none" w:sz="0" w:space="0" w:color="auto"/>
      </w:divBdr>
      <w:divsChild>
        <w:div w:id="1688947235">
          <w:marLeft w:val="0"/>
          <w:marRight w:val="0"/>
          <w:marTop w:val="0"/>
          <w:marBottom w:val="0"/>
          <w:divBdr>
            <w:top w:val="none" w:sz="0" w:space="0" w:color="auto"/>
            <w:left w:val="none" w:sz="0" w:space="0" w:color="auto"/>
            <w:bottom w:val="none" w:sz="0" w:space="0" w:color="auto"/>
            <w:right w:val="none" w:sz="0" w:space="0" w:color="auto"/>
          </w:divBdr>
          <w:divsChild>
            <w:div w:id="156843131">
              <w:marLeft w:val="0"/>
              <w:marRight w:val="0"/>
              <w:marTop w:val="0"/>
              <w:marBottom w:val="0"/>
              <w:divBdr>
                <w:top w:val="none" w:sz="0" w:space="0" w:color="auto"/>
                <w:left w:val="none" w:sz="0" w:space="0" w:color="auto"/>
                <w:bottom w:val="none" w:sz="0" w:space="0" w:color="auto"/>
                <w:right w:val="none" w:sz="0" w:space="0" w:color="auto"/>
              </w:divBdr>
              <w:divsChild>
                <w:div w:id="28457324">
                  <w:marLeft w:val="0"/>
                  <w:marRight w:val="0"/>
                  <w:marTop w:val="0"/>
                  <w:marBottom w:val="0"/>
                  <w:divBdr>
                    <w:top w:val="none" w:sz="0" w:space="0" w:color="auto"/>
                    <w:left w:val="none" w:sz="0" w:space="0" w:color="auto"/>
                    <w:bottom w:val="none" w:sz="0" w:space="0" w:color="auto"/>
                    <w:right w:val="none" w:sz="0" w:space="0" w:color="auto"/>
                  </w:divBdr>
                  <w:divsChild>
                    <w:div w:id="1634022330">
                      <w:marLeft w:val="0"/>
                      <w:marRight w:val="0"/>
                      <w:marTop w:val="0"/>
                      <w:marBottom w:val="0"/>
                      <w:divBdr>
                        <w:top w:val="none" w:sz="0" w:space="0" w:color="auto"/>
                        <w:left w:val="none" w:sz="0" w:space="0" w:color="auto"/>
                        <w:bottom w:val="none" w:sz="0" w:space="0" w:color="auto"/>
                        <w:right w:val="none" w:sz="0" w:space="0" w:color="auto"/>
                      </w:divBdr>
                      <w:divsChild>
                        <w:div w:id="1321428094">
                          <w:marLeft w:val="0"/>
                          <w:marRight w:val="0"/>
                          <w:marTop w:val="0"/>
                          <w:marBottom w:val="0"/>
                          <w:divBdr>
                            <w:top w:val="single" w:sz="6" w:space="26" w:color="BCBEC0"/>
                            <w:left w:val="single" w:sz="6" w:space="26" w:color="BCBEC0"/>
                            <w:bottom w:val="single" w:sz="6" w:space="26" w:color="BCBEC0"/>
                            <w:right w:val="single" w:sz="6" w:space="26" w:color="BCBEC0"/>
                          </w:divBdr>
                          <w:divsChild>
                            <w:div w:id="467742955">
                              <w:marLeft w:val="0"/>
                              <w:marRight w:val="0"/>
                              <w:marTop w:val="0"/>
                              <w:marBottom w:val="0"/>
                              <w:divBdr>
                                <w:top w:val="none" w:sz="0" w:space="0" w:color="auto"/>
                                <w:left w:val="none" w:sz="0" w:space="0" w:color="auto"/>
                                <w:bottom w:val="none" w:sz="0" w:space="0" w:color="auto"/>
                                <w:right w:val="none" w:sz="0" w:space="0" w:color="auto"/>
                              </w:divBdr>
                              <w:divsChild>
                                <w:div w:id="11612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5994">
      <w:bodyDiv w:val="1"/>
      <w:marLeft w:val="0"/>
      <w:marRight w:val="0"/>
      <w:marTop w:val="0"/>
      <w:marBottom w:val="0"/>
      <w:divBdr>
        <w:top w:val="none" w:sz="0" w:space="0" w:color="auto"/>
        <w:left w:val="none" w:sz="0" w:space="0" w:color="auto"/>
        <w:bottom w:val="none" w:sz="0" w:space="0" w:color="auto"/>
        <w:right w:val="none" w:sz="0" w:space="0" w:color="auto"/>
      </w:divBdr>
      <w:divsChild>
        <w:div w:id="131287472">
          <w:marLeft w:val="0"/>
          <w:marRight w:val="0"/>
          <w:marTop w:val="0"/>
          <w:marBottom w:val="0"/>
          <w:divBdr>
            <w:top w:val="none" w:sz="0" w:space="0" w:color="auto"/>
            <w:left w:val="none" w:sz="0" w:space="0" w:color="auto"/>
            <w:bottom w:val="none" w:sz="0" w:space="0" w:color="auto"/>
            <w:right w:val="none" w:sz="0" w:space="0" w:color="auto"/>
          </w:divBdr>
        </w:div>
        <w:div w:id="290792666">
          <w:marLeft w:val="0"/>
          <w:marRight w:val="0"/>
          <w:marTop w:val="0"/>
          <w:marBottom w:val="0"/>
          <w:divBdr>
            <w:top w:val="none" w:sz="0" w:space="0" w:color="auto"/>
            <w:left w:val="none" w:sz="0" w:space="0" w:color="auto"/>
            <w:bottom w:val="none" w:sz="0" w:space="0" w:color="auto"/>
            <w:right w:val="none" w:sz="0" w:space="0" w:color="auto"/>
          </w:divBdr>
        </w:div>
        <w:div w:id="1704553303">
          <w:marLeft w:val="0"/>
          <w:marRight w:val="0"/>
          <w:marTop w:val="0"/>
          <w:marBottom w:val="0"/>
          <w:divBdr>
            <w:top w:val="none" w:sz="0" w:space="0" w:color="auto"/>
            <w:left w:val="none" w:sz="0" w:space="0" w:color="auto"/>
            <w:bottom w:val="none" w:sz="0" w:space="0" w:color="auto"/>
            <w:right w:val="none" w:sz="0" w:space="0" w:color="auto"/>
          </w:divBdr>
        </w:div>
        <w:div w:id="1915622527">
          <w:marLeft w:val="0"/>
          <w:marRight w:val="0"/>
          <w:marTop w:val="0"/>
          <w:marBottom w:val="0"/>
          <w:divBdr>
            <w:top w:val="none" w:sz="0" w:space="0" w:color="auto"/>
            <w:left w:val="none" w:sz="0" w:space="0" w:color="auto"/>
            <w:bottom w:val="none" w:sz="0" w:space="0" w:color="auto"/>
            <w:right w:val="none" w:sz="0" w:space="0" w:color="auto"/>
          </w:divBdr>
        </w:div>
      </w:divsChild>
    </w:div>
    <w:div w:id="1420564222">
      <w:bodyDiv w:val="1"/>
      <w:marLeft w:val="0"/>
      <w:marRight w:val="0"/>
      <w:marTop w:val="0"/>
      <w:marBottom w:val="0"/>
      <w:divBdr>
        <w:top w:val="none" w:sz="0" w:space="0" w:color="auto"/>
        <w:left w:val="none" w:sz="0" w:space="0" w:color="auto"/>
        <w:bottom w:val="none" w:sz="0" w:space="0" w:color="auto"/>
        <w:right w:val="none" w:sz="0" w:space="0" w:color="auto"/>
      </w:divBdr>
      <w:divsChild>
        <w:div w:id="786701703">
          <w:marLeft w:val="0"/>
          <w:marRight w:val="0"/>
          <w:marTop w:val="0"/>
          <w:marBottom w:val="0"/>
          <w:divBdr>
            <w:top w:val="none" w:sz="0" w:space="0" w:color="auto"/>
            <w:left w:val="none" w:sz="0" w:space="0" w:color="auto"/>
            <w:bottom w:val="none" w:sz="0" w:space="0" w:color="auto"/>
            <w:right w:val="none" w:sz="0" w:space="0" w:color="auto"/>
          </w:divBdr>
        </w:div>
        <w:div w:id="995491908">
          <w:marLeft w:val="0"/>
          <w:marRight w:val="0"/>
          <w:marTop w:val="0"/>
          <w:marBottom w:val="0"/>
          <w:divBdr>
            <w:top w:val="none" w:sz="0" w:space="0" w:color="auto"/>
            <w:left w:val="none" w:sz="0" w:space="0" w:color="auto"/>
            <w:bottom w:val="none" w:sz="0" w:space="0" w:color="auto"/>
            <w:right w:val="none" w:sz="0" w:space="0" w:color="auto"/>
          </w:divBdr>
        </w:div>
      </w:divsChild>
    </w:div>
    <w:div w:id="1424064284">
      <w:bodyDiv w:val="1"/>
      <w:marLeft w:val="0"/>
      <w:marRight w:val="0"/>
      <w:marTop w:val="0"/>
      <w:marBottom w:val="0"/>
      <w:divBdr>
        <w:top w:val="none" w:sz="0" w:space="0" w:color="auto"/>
        <w:left w:val="none" w:sz="0" w:space="0" w:color="auto"/>
        <w:bottom w:val="none" w:sz="0" w:space="0" w:color="auto"/>
        <w:right w:val="none" w:sz="0" w:space="0" w:color="auto"/>
      </w:divBdr>
    </w:div>
    <w:div w:id="1487358834">
      <w:bodyDiv w:val="1"/>
      <w:marLeft w:val="0"/>
      <w:marRight w:val="0"/>
      <w:marTop w:val="0"/>
      <w:marBottom w:val="0"/>
      <w:divBdr>
        <w:top w:val="none" w:sz="0" w:space="0" w:color="auto"/>
        <w:left w:val="none" w:sz="0" w:space="0" w:color="auto"/>
        <w:bottom w:val="none" w:sz="0" w:space="0" w:color="auto"/>
        <w:right w:val="none" w:sz="0" w:space="0" w:color="auto"/>
      </w:divBdr>
      <w:divsChild>
        <w:div w:id="757753512">
          <w:marLeft w:val="0"/>
          <w:marRight w:val="0"/>
          <w:marTop w:val="0"/>
          <w:marBottom w:val="0"/>
          <w:divBdr>
            <w:top w:val="none" w:sz="0" w:space="0" w:color="auto"/>
            <w:left w:val="none" w:sz="0" w:space="0" w:color="auto"/>
            <w:bottom w:val="none" w:sz="0" w:space="0" w:color="auto"/>
            <w:right w:val="none" w:sz="0" w:space="0" w:color="auto"/>
          </w:divBdr>
        </w:div>
        <w:div w:id="1067529177">
          <w:marLeft w:val="0"/>
          <w:marRight w:val="0"/>
          <w:marTop w:val="0"/>
          <w:marBottom w:val="0"/>
          <w:divBdr>
            <w:top w:val="none" w:sz="0" w:space="0" w:color="auto"/>
            <w:left w:val="none" w:sz="0" w:space="0" w:color="auto"/>
            <w:bottom w:val="none" w:sz="0" w:space="0" w:color="auto"/>
            <w:right w:val="none" w:sz="0" w:space="0" w:color="auto"/>
          </w:divBdr>
        </w:div>
      </w:divsChild>
    </w:div>
    <w:div w:id="1534880885">
      <w:bodyDiv w:val="1"/>
      <w:marLeft w:val="0"/>
      <w:marRight w:val="0"/>
      <w:marTop w:val="0"/>
      <w:marBottom w:val="0"/>
      <w:divBdr>
        <w:top w:val="none" w:sz="0" w:space="0" w:color="auto"/>
        <w:left w:val="none" w:sz="0" w:space="0" w:color="auto"/>
        <w:bottom w:val="none" w:sz="0" w:space="0" w:color="auto"/>
        <w:right w:val="none" w:sz="0" w:space="0" w:color="auto"/>
      </w:divBdr>
      <w:divsChild>
        <w:div w:id="690304740">
          <w:marLeft w:val="0"/>
          <w:marRight w:val="0"/>
          <w:marTop w:val="0"/>
          <w:marBottom w:val="0"/>
          <w:divBdr>
            <w:top w:val="none" w:sz="0" w:space="0" w:color="auto"/>
            <w:left w:val="none" w:sz="0" w:space="0" w:color="auto"/>
            <w:bottom w:val="none" w:sz="0" w:space="0" w:color="auto"/>
            <w:right w:val="none" w:sz="0" w:space="0" w:color="auto"/>
          </w:divBdr>
          <w:divsChild>
            <w:div w:id="1466194271">
              <w:marLeft w:val="0"/>
              <w:marRight w:val="0"/>
              <w:marTop w:val="0"/>
              <w:marBottom w:val="0"/>
              <w:divBdr>
                <w:top w:val="none" w:sz="0" w:space="0" w:color="auto"/>
                <w:left w:val="none" w:sz="0" w:space="0" w:color="auto"/>
                <w:bottom w:val="none" w:sz="0" w:space="0" w:color="auto"/>
                <w:right w:val="none" w:sz="0" w:space="0" w:color="auto"/>
              </w:divBdr>
              <w:divsChild>
                <w:div w:id="455638914">
                  <w:marLeft w:val="0"/>
                  <w:marRight w:val="0"/>
                  <w:marTop w:val="0"/>
                  <w:marBottom w:val="360"/>
                  <w:divBdr>
                    <w:top w:val="none" w:sz="0" w:space="0" w:color="auto"/>
                    <w:left w:val="none" w:sz="0" w:space="0" w:color="auto"/>
                    <w:bottom w:val="none" w:sz="0" w:space="0" w:color="auto"/>
                    <w:right w:val="none" w:sz="0" w:space="0" w:color="auto"/>
                  </w:divBdr>
                  <w:divsChild>
                    <w:div w:id="1961497488">
                      <w:marLeft w:val="0"/>
                      <w:marRight w:val="0"/>
                      <w:marTop w:val="0"/>
                      <w:marBottom w:val="0"/>
                      <w:divBdr>
                        <w:top w:val="none" w:sz="0" w:space="0" w:color="auto"/>
                        <w:left w:val="none" w:sz="0" w:space="0" w:color="auto"/>
                        <w:bottom w:val="none" w:sz="0" w:space="0" w:color="auto"/>
                        <w:right w:val="none" w:sz="0" w:space="0" w:color="auto"/>
                      </w:divBdr>
                      <w:divsChild>
                        <w:div w:id="653139920">
                          <w:marLeft w:val="0"/>
                          <w:marRight w:val="0"/>
                          <w:marTop w:val="0"/>
                          <w:marBottom w:val="0"/>
                          <w:divBdr>
                            <w:top w:val="none" w:sz="0" w:space="0" w:color="auto"/>
                            <w:left w:val="none" w:sz="0" w:space="0" w:color="auto"/>
                            <w:bottom w:val="none" w:sz="0" w:space="0" w:color="auto"/>
                            <w:right w:val="none" w:sz="0" w:space="0" w:color="auto"/>
                          </w:divBdr>
                          <w:divsChild>
                            <w:div w:id="1544101187">
                              <w:marLeft w:val="0"/>
                              <w:marRight w:val="0"/>
                              <w:marTop w:val="0"/>
                              <w:marBottom w:val="0"/>
                              <w:divBdr>
                                <w:top w:val="none" w:sz="0" w:space="0" w:color="auto"/>
                                <w:left w:val="none" w:sz="0" w:space="0" w:color="auto"/>
                                <w:bottom w:val="none" w:sz="0" w:space="0" w:color="auto"/>
                                <w:right w:val="none" w:sz="0" w:space="0" w:color="auto"/>
                              </w:divBdr>
                              <w:divsChild>
                                <w:div w:id="1071343559">
                                  <w:marLeft w:val="0"/>
                                  <w:marRight w:val="0"/>
                                  <w:marTop w:val="0"/>
                                  <w:marBottom w:val="0"/>
                                  <w:divBdr>
                                    <w:top w:val="none" w:sz="0" w:space="0" w:color="auto"/>
                                    <w:left w:val="none" w:sz="0" w:space="0" w:color="auto"/>
                                    <w:bottom w:val="none" w:sz="0" w:space="0" w:color="auto"/>
                                    <w:right w:val="none" w:sz="0" w:space="0" w:color="auto"/>
                                  </w:divBdr>
                                  <w:divsChild>
                                    <w:div w:id="1070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82313">
      <w:bodyDiv w:val="1"/>
      <w:marLeft w:val="0"/>
      <w:marRight w:val="0"/>
      <w:marTop w:val="0"/>
      <w:marBottom w:val="0"/>
      <w:divBdr>
        <w:top w:val="none" w:sz="0" w:space="0" w:color="auto"/>
        <w:left w:val="none" w:sz="0" w:space="0" w:color="auto"/>
        <w:bottom w:val="none" w:sz="0" w:space="0" w:color="auto"/>
        <w:right w:val="none" w:sz="0" w:space="0" w:color="auto"/>
      </w:divBdr>
      <w:divsChild>
        <w:div w:id="531498013">
          <w:marLeft w:val="0"/>
          <w:marRight w:val="0"/>
          <w:marTop w:val="0"/>
          <w:marBottom w:val="0"/>
          <w:divBdr>
            <w:top w:val="none" w:sz="0" w:space="0" w:color="auto"/>
            <w:left w:val="none" w:sz="0" w:space="0" w:color="auto"/>
            <w:bottom w:val="none" w:sz="0" w:space="0" w:color="auto"/>
            <w:right w:val="none" w:sz="0" w:space="0" w:color="auto"/>
          </w:divBdr>
          <w:divsChild>
            <w:div w:id="1515922599">
              <w:marLeft w:val="0"/>
              <w:marRight w:val="0"/>
              <w:marTop w:val="0"/>
              <w:marBottom w:val="0"/>
              <w:divBdr>
                <w:top w:val="none" w:sz="0" w:space="0" w:color="auto"/>
                <w:left w:val="none" w:sz="0" w:space="0" w:color="auto"/>
                <w:bottom w:val="none" w:sz="0" w:space="0" w:color="auto"/>
                <w:right w:val="none" w:sz="0" w:space="0" w:color="auto"/>
              </w:divBdr>
              <w:divsChild>
                <w:div w:id="1601639147">
                  <w:marLeft w:val="0"/>
                  <w:marRight w:val="0"/>
                  <w:marTop w:val="0"/>
                  <w:marBottom w:val="0"/>
                  <w:divBdr>
                    <w:top w:val="none" w:sz="0" w:space="0" w:color="auto"/>
                    <w:left w:val="none" w:sz="0" w:space="0" w:color="auto"/>
                    <w:bottom w:val="none" w:sz="0" w:space="0" w:color="auto"/>
                    <w:right w:val="none" w:sz="0" w:space="0" w:color="auto"/>
                  </w:divBdr>
                  <w:divsChild>
                    <w:div w:id="92286808">
                      <w:marLeft w:val="0"/>
                      <w:marRight w:val="300"/>
                      <w:marTop w:val="0"/>
                      <w:marBottom w:val="0"/>
                      <w:divBdr>
                        <w:top w:val="none" w:sz="0" w:space="0" w:color="auto"/>
                        <w:left w:val="none" w:sz="0" w:space="0" w:color="auto"/>
                        <w:bottom w:val="none" w:sz="0" w:space="0" w:color="auto"/>
                        <w:right w:val="none" w:sz="0" w:space="0" w:color="auto"/>
                      </w:divBdr>
                      <w:divsChild>
                        <w:div w:id="1769235633">
                          <w:marLeft w:val="0"/>
                          <w:marRight w:val="0"/>
                          <w:marTop w:val="0"/>
                          <w:marBottom w:val="0"/>
                          <w:divBdr>
                            <w:top w:val="single" w:sz="6" w:space="26" w:color="BCBEC0"/>
                            <w:left w:val="single" w:sz="6" w:space="26" w:color="BCBEC0"/>
                            <w:bottom w:val="single" w:sz="6" w:space="26" w:color="BCBEC0"/>
                            <w:right w:val="single" w:sz="6" w:space="26" w:color="BCBEC0"/>
                          </w:divBdr>
                          <w:divsChild>
                            <w:div w:id="370614957">
                              <w:marLeft w:val="0"/>
                              <w:marRight w:val="0"/>
                              <w:marTop w:val="0"/>
                              <w:marBottom w:val="0"/>
                              <w:divBdr>
                                <w:top w:val="none" w:sz="0" w:space="0" w:color="auto"/>
                                <w:left w:val="none" w:sz="0" w:space="0" w:color="auto"/>
                                <w:bottom w:val="none" w:sz="0" w:space="0" w:color="auto"/>
                                <w:right w:val="none" w:sz="0" w:space="0" w:color="auto"/>
                              </w:divBdr>
                              <w:divsChild>
                                <w:div w:id="1966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35670">
      <w:bodyDiv w:val="1"/>
      <w:marLeft w:val="0"/>
      <w:marRight w:val="0"/>
      <w:marTop w:val="0"/>
      <w:marBottom w:val="0"/>
      <w:divBdr>
        <w:top w:val="none" w:sz="0" w:space="0" w:color="auto"/>
        <w:left w:val="none" w:sz="0" w:space="0" w:color="auto"/>
        <w:bottom w:val="none" w:sz="0" w:space="0" w:color="auto"/>
        <w:right w:val="none" w:sz="0" w:space="0" w:color="auto"/>
      </w:divBdr>
      <w:divsChild>
        <w:div w:id="483552039">
          <w:marLeft w:val="0"/>
          <w:marRight w:val="0"/>
          <w:marTop w:val="0"/>
          <w:marBottom w:val="0"/>
          <w:divBdr>
            <w:top w:val="none" w:sz="0" w:space="0" w:color="auto"/>
            <w:left w:val="none" w:sz="0" w:space="0" w:color="auto"/>
            <w:bottom w:val="none" w:sz="0" w:space="0" w:color="auto"/>
            <w:right w:val="none" w:sz="0" w:space="0" w:color="auto"/>
          </w:divBdr>
        </w:div>
      </w:divsChild>
    </w:div>
    <w:div w:id="1792356246">
      <w:bodyDiv w:val="1"/>
      <w:marLeft w:val="0"/>
      <w:marRight w:val="0"/>
      <w:marTop w:val="0"/>
      <w:marBottom w:val="0"/>
      <w:divBdr>
        <w:top w:val="none" w:sz="0" w:space="0" w:color="auto"/>
        <w:left w:val="none" w:sz="0" w:space="0" w:color="auto"/>
        <w:bottom w:val="none" w:sz="0" w:space="0" w:color="auto"/>
        <w:right w:val="none" w:sz="0" w:space="0" w:color="auto"/>
      </w:divBdr>
      <w:divsChild>
        <w:div w:id="1105073153">
          <w:marLeft w:val="0"/>
          <w:marRight w:val="0"/>
          <w:marTop w:val="0"/>
          <w:marBottom w:val="0"/>
          <w:divBdr>
            <w:top w:val="none" w:sz="0" w:space="0" w:color="auto"/>
            <w:left w:val="none" w:sz="0" w:space="0" w:color="auto"/>
            <w:bottom w:val="none" w:sz="0" w:space="0" w:color="auto"/>
            <w:right w:val="none" w:sz="0" w:space="0" w:color="auto"/>
          </w:divBdr>
          <w:divsChild>
            <w:div w:id="901991071">
              <w:marLeft w:val="0"/>
              <w:marRight w:val="0"/>
              <w:marTop w:val="0"/>
              <w:marBottom w:val="0"/>
              <w:divBdr>
                <w:top w:val="none" w:sz="0" w:space="0" w:color="auto"/>
                <w:left w:val="none" w:sz="0" w:space="0" w:color="auto"/>
                <w:bottom w:val="none" w:sz="0" w:space="0" w:color="auto"/>
                <w:right w:val="none" w:sz="0" w:space="0" w:color="auto"/>
              </w:divBdr>
            </w:div>
            <w:div w:id="954171132">
              <w:marLeft w:val="0"/>
              <w:marRight w:val="0"/>
              <w:marTop w:val="0"/>
              <w:marBottom w:val="0"/>
              <w:divBdr>
                <w:top w:val="none" w:sz="0" w:space="0" w:color="auto"/>
                <w:left w:val="none" w:sz="0" w:space="0" w:color="auto"/>
                <w:bottom w:val="none" w:sz="0" w:space="0" w:color="auto"/>
                <w:right w:val="none" w:sz="0" w:space="0" w:color="auto"/>
              </w:divBdr>
            </w:div>
            <w:div w:id="1187871480">
              <w:marLeft w:val="0"/>
              <w:marRight w:val="0"/>
              <w:marTop w:val="0"/>
              <w:marBottom w:val="0"/>
              <w:divBdr>
                <w:top w:val="none" w:sz="0" w:space="0" w:color="auto"/>
                <w:left w:val="none" w:sz="0" w:space="0" w:color="auto"/>
                <w:bottom w:val="none" w:sz="0" w:space="0" w:color="auto"/>
                <w:right w:val="none" w:sz="0" w:space="0" w:color="auto"/>
              </w:divBdr>
            </w:div>
            <w:div w:id="17169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8905">
      <w:bodyDiv w:val="1"/>
      <w:marLeft w:val="0"/>
      <w:marRight w:val="0"/>
      <w:marTop w:val="0"/>
      <w:marBottom w:val="0"/>
      <w:divBdr>
        <w:top w:val="none" w:sz="0" w:space="0" w:color="auto"/>
        <w:left w:val="none" w:sz="0" w:space="0" w:color="auto"/>
        <w:bottom w:val="none" w:sz="0" w:space="0" w:color="auto"/>
        <w:right w:val="none" w:sz="0" w:space="0" w:color="auto"/>
      </w:divBdr>
      <w:divsChild>
        <w:div w:id="30422243">
          <w:marLeft w:val="0"/>
          <w:marRight w:val="0"/>
          <w:marTop w:val="0"/>
          <w:marBottom w:val="0"/>
          <w:divBdr>
            <w:top w:val="none" w:sz="0" w:space="0" w:color="auto"/>
            <w:left w:val="none" w:sz="0" w:space="0" w:color="auto"/>
            <w:bottom w:val="none" w:sz="0" w:space="0" w:color="auto"/>
            <w:right w:val="none" w:sz="0" w:space="0" w:color="auto"/>
          </w:divBdr>
        </w:div>
        <w:div w:id="594633171">
          <w:marLeft w:val="0"/>
          <w:marRight w:val="0"/>
          <w:marTop w:val="0"/>
          <w:marBottom w:val="0"/>
          <w:divBdr>
            <w:top w:val="none" w:sz="0" w:space="0" w:color="auto"/>
            <w:left w:val="none" w:sz="0" w:space="0" w:color="auto"/>
            <w:bottom w:val="none" w:sz="0" w:space="0" w:color="auto"/>
            <w:right w:val="none" w:sz="0" w:space="0" w:color="auto"/>
          </w:divBdr>
        </w:div>
        <w:div w:id="2032682819">
          <w:marLeft w:val="0"/>
          <w:marRight w:val="0"/>
          <w:marTop w:val="0"/>
          <w:marBottom w:val="0"/>
          <w:divBdr>
            <w:top w:val="none" w:sz="0" w:space="0" w:color="auto"/>
            <w:left w:val="none" w:sz="0" w:space="0" w:color="auto"/>
            <w:bottom w:val="none" w:sz="0" w:space="0" w:color="auto"/>
            <w:right w:val="none" w:sz="0" w:space="0" w:color="auto"/>
          </w:divBdr>
        </w:div>
      </w:divsChild>
    </w:div>
    <w:div w:id="1806190966">
      <w:bodyDiv w:val="1"/>
      <w:marLeft w:val="0"/>
      <w:marRight w:val="0"/>
      <w:marTop w:val="0"/>
      <w:marBottom w:val="0"/>
      <w:divBdr>
        <w:top w:val="none" w:sz="0" w:space="0" w:color="auto"/>
        <w:left w:val="none" w:sz="0" w:space="0" w:color="auto"/>
        <w:bottom w:val="none" w:sz="0" w:space="0" w:color="auto"/>
        <w:right w:val="none" w:sz="0" w:space="0" w:color="auto"/>
      </w:divBdr>
      <w:divsChild>
        <w:div w:id="1546209958">
          <w:marLeft w:val="0"/>
          <w:marRight w:val="0"/>
          <w:marTop w:val="0"/>
          <w:marBottom w:val="0"/>
          <w:divBdr>
            <w:top w:val="none" w:sz="0" w:space="0" w:color="auto"/>
            <w:left w:val="none" w:sz="0" w:space="0" w:color="auto"/>
            <w:bottom w:val="none" w:sz="0" w:space="0" w:color="auto"/>
            <w:right w:val="none" w:sz="0" w:space="0" w:color="auto"/>
          </w:divBdr>
          <w:divsChild>
            <w:div w:id="1272854554">
              <w:marLeft w:val="0"/>
              <w:marRight w:val="0"/>
              <w:marTop w:val="0"/>
              <w:marBottom w:val="0"/>
              <w:divBdr>
                <w:top w:val="none" w:sz="0" w:space="0" w:color="auto"/>
                <w:left w:val="none" w:sz="0" w:space="0" w:color="auto"/>
                <w:bottom w:val="none" w:sz="0" w:space="0" w:color="auto"/>
                <w:right w:val="none" w:sz="0" w:space="0" w:color="auto"/>
              </w:divBdr>
              <w:divsChild>
                <w:div w:id="42020699">
                  <w:marLeft w:val="0"/>
                  <w:marRight w:val="0"/>
                  <w:marTop w:val="0"/>
                  <w:marBottom w:val="0"/>
                  <w:divBdr>
                    <w:top w:val="none" w:sz="0" w:space="0" w:color="auto"/>
                    <w:left w:val="none" w:sz="0" w:space="0" w:color="auto"/>
                    <w:bottom w:val="none" w:sz="0" w:space="0" w:color="auto"/>
                    <w:right w:val="none" w:sz="0" w:space="0" w:color="auto"/>
                  </w:divBdr>
                  <w:divsChild>
                    <w:div w:id="1323509115">
                      <w:marLeft w:val="0"/>
                      <w:marRight w:val="0"/>
                      <w:marTop w:val="0"/>
                      <w:marBottom w:val="0"/>
                      <w:divBdr>
                        <w:top w:val="single" w:sz="6" w:space="26" w:color="BCBEC0"/>
                        <w:left w:val="single" w:sz="6" w:space="26" w:color="BCBEC0"/>
                        <w:bottom w:val="single" w:sz="6" w:space="26" w:color="BCBEC0"/>
                        <w:right w:val="single" w:sz="6" w:space="26" w:color="BCBEC0"/>
                      </w:divBdr>
                      <w:divsChild>
                        <w:div w:id="1960260957">
                          <w:marLeft w:val="0"/>
                          <w:marRight w:val="0"/>
                          <w:marTop w:val="0"/>
                          <w:marBottom w:val="0"/>
                          <w:divBdr>
                            <w:top w:val="none" w:sz="0" w:space="0" w:color="auto"/>
                            <w:left w:val="none" w:sz="0" w:space="0" w:color="auto"/>
                            <w:bottom w:val="none" w:sz="0" w:space="0" w:color="auto"/>
                            <w:right w:val="none" w:sz="0" w:space="0" w:color="auto"/>
                          </w:divBdr>
                          <w:divsChild>
                            <w:div w:id="9546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986324">
      <w:bodyDiv w:val="1"/>
      <w:marLeft w:val="0"/>
      <w:marRight w:val="0"/>
      <w:marTop w:val="0"/>
      <w:marBottom w:val="0"/>
      <w:divBdr>
        <w:top w:val="none" w:sz="0" w:space="0" w:color="auto"/>
        <w:left w:val="none" w:sz="0" w:space="0" w:color="auto"/>
        <w:bottom w:val="none" w:sz="0" w:space="0" w:color="auto"/>
        <w:right w:val="none" w:sz="0" w:space="0" w:color="auto"/>
      </w:divBdr>
      <w:divsChild>
        <w:div w:id="1405686101">
          <w:marLeft w:val="0"/>
          <w:marRight w:val="0"/>
          <w:marTop w:val="0"/>
          <w:marBottom w:val="0"/>
          <w:divBdr>
            <w:top w:val="none" w:sz="0" w:space="0" w:color="auto"/>
            <w:left w:val="none" w:sz="0" w:space="0" w:color="auto"/>
            <w:bottom w:val="none" w:sz="0" w:space="0" w:color="auto"/>
            <w:right w:val="none" w:sz="0" w:space="0" w:color="auto"/>
          </w:divBdr>
          <w:divsChild>
            <w:div w:id="1261371424">
              <w:marLeft w:val="0"/>
              <w:marRight w:val="0"/>
              <w:marTop w:val="0"/>
              <w:marBottom w:val="0"/>
              <w:divBdr>
                <w:top w:val="none" w:sz="0" w:space="0" w:color="auto"/>
                <w:left w:val="none" w:sz="0" w:space="0" w:color="auto"/>
                <w:bottom w:val="none" w:sz="0" w:space="0" w:color="auto"/>
                <w:right w:val="none" w:sz="0" w:space="0" w:color="auto"/>
              </w:divBdr>
              <w:divsChild>
                <w:div w:id="992370707">
                  <w:marLeft w:val="0"/>
                  <w:marRight w:val="0"/>
                  <w:marTop w:val="0"/>
                  <w:marBottom w:val="0"/>
                  <w:divBdr>
                    <w:top w:val="none" w:sz="0" w:space="0" w:color="auto"/>
                    <w:left w:val="none" w:sz="0" w:space="0" w:color="auto"/>
                    <w:bottom w:val="none" w:sz="0" w:space="0" w:color="auto"/>
                    <w:right w:val="none" w:sz="0" w:space="0" w:color="auto"/>
                  </w:divBdr>
                  <w:divsChild>
                    <w:div w:id="1806316379">
                      <w:marLeft w:val="0"/>
                      <w:marRight w:val="300"/>
                      <w:marTop w:val="0"/>
                      <w:marBottom w:val="0"/>
                      <w:divBdr>
                        <w:top w:val="none" w:sz="0" w:space="0" w:color="auto"/>
                        <w:left w:val="none" w:sz="0" w:space="0" w:color="auto"/>
                        <w:bottom w:val="none" w:sz="0" w:space="0" w:color="auto"/>
                        <w:right w:val="none" w:sz="0" w:space="0" w:color="auto"/>
                      </w:divBdr>
                      <w:divsChild>
                        <w:div w:id="1647201542">
                          <w:marLeft w:val="0"/>
                          <w:marRight w:val="0"/>
                          <w:marTop w:val="0"/>
                          <w:marBottom w:val="0"/>
                          <w:divBdr>
                            <w:top w:val="single" w:sz="6" w:space="26" w:color="BCBEC0"/>
                            <w:left w:val="single" w:sz="6" w:space="26" w:color="BCBEC0"/>
                            <w:bottom w:val="single" w:sz="6" w:space="26" w:color="BCBEC0"/>
                            <w:right w:val="single" w:sz="6" w:space="26" w:color="BCBEC0"/>
                          </w:divBdr>
                          <w:divsChild>
                            <w:div w:id="1070421190">
                              <w:marLeft w:val="0"/>
                              <w:marRight w:val="0"/>
                              <w:marTop w:val="0"/>
                              <w:marBottom w:val="0"/>
                              <w:divBdr>
                                <w:top w:val="none" w:sz="0" w:space="0" w:color="auto"/>
                                <w:left w:val="none" w:sz="0" w:space="0" w:color="auto"/>
                                <w:bottom w:val="none" w:sz="0" w:space="0" w:color="auto"/>
                                <w:right w:val="none" w:sz="0" w:space="0" w:color="auto"/>
                              </w:divBdr>
                              <w:divsChild>
                                <w:div w:id="1104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056">
      <w:bodyDiv w:val="1"/>
      <w:marLeft w:val="0"/>
      <w:marRight w:val="0"/>
      <w:marTop w:val="0"/>
      <w:marBottom w:val="0"/>
      <w:divBdr>
        <w:top w:val="none" w:sz="0" w:space="0" w:color="auto"/>
        <w:left w:val="none" w:sz="0" w:space="0" w:color="auto"/>
        <w:bottom w:val="none" w:sz="0" w:space="0" w:color="auto"/>
        <w:right w:val="none" w:sz="0" w:space="0" w:color="auto"/>
      </w:divBdr>
      <w:divsChild>
        <w:div w:id="439182222">
          <w:marLeft w:val="0"/>
          <w:marRight w:val="0"/>
          <w:marTop w:val="0"/>
          <w:marBottom w:val="0"/>
          <w:divBdr>
            <w:top w:val="none" w:sz="0" w:space="0" w:color="auto"/>
            <w:left w:val="none" w:sz="0" w:space="0" w:color="auto"/>
            <w:bottom w:val="none" w:sz="0" w:space="0" w:color="auto"/>
            <w:right w:val="none" w:sz="0" w:space="0" w:color="auto"/>
          </w:divBdr>
          <w:divsChild>
            <w:div w:id="1550340920">
              <w:marLeft w:val="0"/>
              <w:marRight w:val="0"/>
              <w:marTop w:val="0"/>
              <w:marBottom w:val="0"/>
              <w:divBdr>
                <w:top w:val="none" w:sz="0" w:space="0" w:color="auto"/>
                <w:left w:val="none" w:sz="0" w:space="0" w:color="auto"/>
                <w:bottom w:val="none" w:sz="0" w:space="0" w:color="auto"/>
                <w:right w:val="none" w:sz="0" w:space="0" w:color="auto"/>
              </w:divBdr>
            </w:div>
            <w:div w:id="16945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2362">
      <w:bodyDiv w:val="1"/>
      <w:marLeft w:val="0"/>
      <w:marRight w:val="0"/>
      <w:marTop w:val="0"/>
      <w:marBottom w:val="0"/>
      <w:divBdr>
        <w:top w:val="none" w:sz="0" w:space="0" w:color="auto"/>
        <w:left w:val="none" w:sz="0" w:space="0" w:color="auto"/>
        <w:bottom w:val="none" w:sz="0" w:space="0" w:color="auto"/>
        <w:right w:val="none" w:sz="0" w:space="0" w:color="auto"/>
      </w:divBdr>
    </w:div>
    <w:div w:id="1957561155">
      <w:bodyDiv w:val="1"/>
      <w:marLeft w:val="0"/>
      <w:marRight w:val="0"/>
      <w:marTop w:val="0"/>
      <w:marBottom w:val="0"/>
      <w:divBdr>
        <w:top w:val="none" w:sz="0" w:space="0" w:color="auto"/>
        <w:left w:val="none" w:sz="0" w:space="0" w:color="auto"/>
        <w:bottom w:val="none" w:sz="0" w:space="0" w:color="auto"/>
        <w:right w:val="none" w:sz="0" w:space="0" w:color="auto"/>
      </w:divBdr>
      <w:divsChild>
        <w:div w:id="146871477">
          <w:marLeft w:val="0"/>
          <w:marRight w:val="0"/>
          <w:marTop w:val="0"/>
          <w:marBottom w:val="0"/>
          <w:divBdr>
            <w:top w:val="none" w:sz="0" w:space="0" w:color="auto"/>
            <w:left w:val="none" w:sz="0" w:space="0" w:color="auto"/>
            <w:bottom w:val="none" w:sz="0" w:space="0" w:color="auto"/>
            <w:right w:val="none" w:sz="0" w:space="0" w:color="auto"/>
          </w:divBdr>
        </w:div>
      </w:divsChild>
    </w:div>
    <w:div w:id="1996107328">
      <w:bodyDiv w:val="1"/>
      <w:marLeft w:val="0"/>
      <w:marRight w:val="0"/>
      <w:marTop w:val="0"/>
      <w:marBottom w:val="0"/>
      <w:divBdr>
        <w:top w:val="none" w:sz="0" w:space="0" w:color="auto"/>
        <w:left w:val="none" w:sz="0" w:space="0" w:color="auto"/>
        <w:bottom w:val="none" w:sz="0" w:space="0" w:color="auto"/>
        <w:right w:val="none" w:sz="0" w:space="0" w:color="auto"/>
      </w:divBdr>
      <w:divsChild>
        <w:div w:id="557399471">
          <w:marLeft w:val="0"/>
          <w:marRight w:val="0"/>
          <w:marTop w:val="0"/>
          <w:marBottom w:val="0"/>
          <w:divBdr>
            <w:top w:val="none" w:sz="0" w:space="0" w:color="auto"/>
            <w:left w:val="none" w:sz="0" w:space="0" w:color="auto"/>
            <w:bottom w:val="none" w:sz="0" w:space="0" w:color="auto"/>
            <w:right w:val="none" w:sz="0" w:space="0" w:color="auto"/>
          </w:divBdr>
        </w:div>
      </w:divsChild>
    </w:div>
    <w:div w:id="2034106608">
      <w:bodyDiv w:val="1"/>
      <w:marLeft w:val="0"/>
      <w:marRight w:val="0"/>
      <w:marTop w:val="0"/>
      <w:marBottom w:val="0"/>
      <w:divBdr>
        <w:top w:val="none" w:sz="0" w:space="0" w:color="auto"/>
        <w:left w:val="none" w:sz="0" w:space="0" w:color="auto"/>
        <w:bottom w:val="none" w:sz="0" w:space="0" w:color="auto"/>
        <w:right w:val="none" w:sz="0" w:space="0" w:color="auto"/>
      </w:divBdr>
    </w:div>
    <w:div w:id="2041708580">
      <w:bodyDiv w:val="1"/>
      <w:marLeft w:val="0"/>
      <w:marRight w:val="0"/>
      <w:marTop w:val="0"/>
      <w:marBottom w:val="0"/>
      <w:divBdr>
        <w:top w:val="none" w:sz="0" w:space="0" w:color="auto"/>
        <w:left w:val="none" w:sz="0" w:space="0" w:color="auto"/>
        <w:bottom w:val="none" w:sz="0" w:space="0" w:color="auto"/>
        <w:right w:val="none" w:sz="0" w:space="0" w:color="auto"/>
      </w:divBdr>
      <w:divsChild>
        <w:div w:id="2026318744">
          <w:marLeft w:val="0"/>
          <w:marRight w:val="0"/>
          <w:marTop w:val="0"/>
          <w:marBottom w:val="0"/>
          <w:divBdr>
            <w:top w:val="none" w:sz="0" w:space="0" w:color="auto"/>
            <w:left w:val="none" w:sz="0" w:space="0" w:color="auto"/>
            <w:bottom w:val="none" w:sz="0" w:space="0" w:color="auto"/>
            <w:right w:val="none" w:sz="0" w:space="0" w:color="auto"/>
          </w:divBdr>
          <w:divsChild>
            <w:div w:id="909460534">
              <w:marLeft w:val="0"/>
              <w:marRight w:val="0"/>
              <w:marTop w:val="0"/>
              <w:marBottom w:val="0"/>
              <w:divBdr>
                <w:top w:val="none" w:sz="0" w:space="0" w:color="auto"/>
                <w:left w:val="none" w:sz="0" w:space="0" w:color="auto"/>
                <w:bottom w:val="none" w:sz="0" w:space="0" w:color="auto"/>
                <w:right w:val="none" w:sz="0" w:space="0" w:color="auto"/>
              </w:divBdr>
              <w:divsChild>
                <w:div w:id="1894809176">
                  <w:marLeft w:val="0"/>
                  <w:marRight w:val="0"/>
                  <w:marTop w:val="0"/>
                  <w:marBottom w:val="0"/>
                  <w:divBdr>
                    <w:top w:val="none" w:sz="0" w:space="0" w:color="auto"/>
                    <w:left w:val="none" w:sz="0" w:space="0" w:color="auto"/>
                    <w:bottom w:val="none" w:sz="0" w:space="0" w:color="auto"/>
                    <w:right w:val="none" w:sz="0" w:space="0" w:color="auto"/>
                  </w:divBdr>
                  <w:divsChild>
                    <w:div w:id="1887132855">
                      <w:marLeft w:val="0"/>
                      <w:marRight w:val="0"/>
                      <w:marTop w:val="0"/>
                      <w:marBottom w:val="0"/>
                      <w:divBdr>
                        <w:top w:val="none" w:sz="0" w:space="0" w:color="auto"/>
                        <w:left w:val="none" w:sz="0" w:space="0" w:color="auto"/>
                        <w:bottom w:val="none" w:sz="0" w:space="0" w:color="auto"/>
                        <w:right w:val="none" w:sz="0" w:space="0" w:color="auto"/>
                      </w:divBdr>
                      <w:divsChild>
                        <w:div w:id="1968777202">
                          <w:marLeft w:val="0"/>
                          <w:marRight w:val="0"/>
                          <w:marTop w:val="0"/>
                          <w:marBottom w:val="0"/>
                          <w:divBdr>
                            <w:top w:val="single" w:sz="6" w:space="26" w:color="BCBEC0"/>
                            <w:left w:val="single" w:sz="6" w:space="26" w:color="BCBEC0"/>
                            <w:bottom w:val="single" w:sz="6" w:space="26" w:color="BCBEC0"/>
                            <w:right w:val="single" w:sz="6" w:space="26" w:color="BCBEC0"/>
                          </w:divBdr>
                          <w:divsChild>
                            <w:div w:id="416829605">
                              <w:marLeft w:val="0"/>
                              <w:marRight w:val="0"/>
                              <w:marTop w:val="0"/>
                              <w:marBottom w:val="0"/>
                              <w:divBdr>
                                <w:top w:val="none" w:sz="0" w:space="0" w:color="auto"/>
                                <w:left w:val="none" w:sz="0" w:space="0" w:color="auto"/>
                                <w:bottom w:val="none" w:sz="0" w:space="0" w:color="auto"/>
                                <w:right w:val="none" w:sz="0" w:space="0" w:color="auto"/>
                              </w:divBdr>
                              <w:divsChild>
                                <w:div w:id="15224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97736">
      <w:bodyDiv w:val="1"/>
      <w:marLeft w:val="0"/>
      <w:marRight w:val="0"/>
      <w:marTop w:val="0"/>
      <w:marBottom w:val="0"/>
      <w:divBdr>
        <w:top w:val="none" w:sz="0" w:space="0" w:color="auto"/>
        <w:left w:val="none" w:sz="0" w:space="0" w:color="auto"/>
        <w:bottom w:val="none" w:sz="0" w:space="0" w:color="auto"/>
        <w:right w:val="none" w:sz="0" w:space="0" w:color="auto"/>
      </w:divBdr>
      <w:divsChild>
        <w:div w:id="910774194">
          <w:marLeft w:val="0"/>
          <w:marRight w:val="0"/>
          <w:marTop w:val="0"/>
          <w:marBottom w:val="0"/>
          <w:divBdr>
            <w:top w:val="none" w:sz="0" w:space="0" w:color="auto"/>
            <w:left w:val="none" w:sz="0" w:space="0" w:color="auto"/>
            <w:bottom w:val="none" w:sz="0" w:space="0" w:color="auto"/>
            <w:right w:val="none" w:sz="0" w:space="0" w:color="auto"/>
          </w:divBdr>
        </w:div>
      </w:divsChild>
    </w:div>
    <w:div w:id="2081247419">
      <w:bodyDiv w:val="1"/>
      <w:marLeft w:val="0"/>
      <w:marRight w:val="0"/>
      <w:marTop w:val="0"/>
      <w:marBottom w:val="0"/>
      <w:divBdr>
        <w:top w:val="none" w:sz="0" w:space="0" w:color="auto"/>
        <w:left w:val="none" w:sz="0" w:space="0" w:color="auto"/>
        <w:bottom w:val="none" w:sz="0" w:space="0" w:color="auto"/>
        <w:right w:val="none" w:sz="0" w:space="0" w:color="auto"/>
      </w:divBdr>
      <w:divsChild>
        <w:div w:id="72706926">
          <w:marLeft w:val="0"/>
          <w:marRight w:val="0"/>
          <w:marTop w:val="0"/>
          <w:marBottom w:val="0"/>
          <w:divBdr>
            <w:top w:val="none" w:sz="0" w:space="0" w:color="auto"/>
            <w:left w:val="none" w:sz="0" w:space="0" w:color="auto"/>
            <w:bottom w:val="none" w:sz="0" w:space="0" w:color="auto"/>
            <w:right w:val="none" w:sz="0" w:space="0" w:color="auto"/>
          </w:divBdr>
        </w:div>
        <w:div w:id="266156960">
          <w:marLeft w:val="0"/>
          <w:marRight w:val="0"/>
          <w:marTop w:val="0"/>
          <w:marBottom w:val="0"/>
          <w:divBdr>
            <w:top w:val="none" w:sz="0" w:space="0" w:color="auto"/>
            <w:left w:val="none" w:sz="0" w:space="0" w:color="auto"/>
            <w:bottom w:val="none" w:sz="0" w:space="0" w:color="auto"/>
            <w:right w:val="none" w:sz="0" w:space="0" w:color="auto"/>
          </w:divBdr>
        </w:div>
      </w:divsChild>
    </w:div>
    <w:div w:id="2087875350">
      <w:bodyDiv w:val="1"/>
      <w:marLeft w:val="0"/>
      <w:marRight w:val="0"/>
      <w:marTop w:val="0"/>
      <w:marBottom w:val="0"/>
      <w:divBdr>
        <w:top w:val="none" w:sz="0" w:space="0" w:color="auto"/>
        <w:left w:val="none" w:sz="0" w:space="0" w:color="auto"/>
        <w:bottom w:val="none" w:sz="0" w:space="0" w:color="auto"/>
        <w:right w:val="none" w:sz="0" w:space="0" w:color="auto"/>
      </w:divBdr>
      <w:divsChild>
        <w:div w:id="697270244">
          <w:marLeft w:val="0"/>
          <w:marRight w:val="0"/>
          <w:marTop w:val="0"/>
          <w:marBottom w:val="0"/>
          <w:divBdr>
            <w:top w:val="none" w:sz="0" w:space="0" w:color="auto"/>
            <w:left w:val="none" w:sz="0" w:space="0" w:color="auto"/>
            <w:bottom w:val="none" w:sz="0" w:space="0" w:color="auto"/>
            <w:right w:val="none" w:sz="0" w:space="0" w:color="auto"/>
          </w:divBdr>
          <w:divsChild>
            <w:div w:id="1375421399">
              <w:marLeft w:val="0"/>
              <w:marRight w:val="0"/>
              <w:marTop w:val="0"/>
              <w:marBottom w:val="0"/>
              <w:divBdr>
                <w:top w:val="none" w:sz="0" w:space="0" w:color="auto"/>
                <w:left w:val="none" w:sz="0" w:space="0" w:color="auto"/>
                <w:bottom w:val="none" w:sz="0" w:space="0" w:color="auto"/>
                <w:right w:val="none" w:sz="0" w:space="0" w:color="auto"/>
              </w:divBdr>
              <w:divsChild>
                <w:div w:id="1075937001">
                  <w:marLeft w:val="0"/>
                  <w:marRight w:val="0"/>
                  <w:marTop w:val="0"/>
                  <w:marBottom w:val="360"/>
                  <w:divBdr>
                    <w:top w:val="none" w:sz="0" w:space="0" w:color="auto"/>
                    <w:left w:val="none" w:sz="0" w:space="0" w:color="auto"/>
                    <w:bottom w:val="none" w:sz="0" w:space="0" w:color="auto"/>
                    <w:right w:val="none" w:sz="0" w:space="0" w:color="auto"/>
                  </w:divBdr>
                  <w:divsChild>
                    <w:div w:id="1652051798">
                      <w:marLeft w:val="0"/>
                      <w:marRight w:val="0"/>
                      <w:marTop w:val="0"/>
                      <w:marBottom w:val="0"/>
                      <w:divBdr>
                        <w:top w:val="none" w:sz="0" w:space="0" w:color="auto"/>
                        <w:left w:val="none" w:sz="0" w:space="0" w:color="auto"/>
                        <w:bottom w:val="none" w:sz="0" w:space="0" w:color="auto"/>
                        <w:right w:val="none" w:sz="0" w:space="0" w:color="auto"/>
                      </w:divBdr>
                      <w:divsChild>
                        <w:div w:id="327056415">
                          <w:marLeft w:val="0"/>
                          <w:marRight w:val="0"/>
                          <w:marTop w:val="0"/>
                          <w:marBottom w:val="0"/>
                          <w:divBdr>
                            <w:top w:val="none" w:sz="0" w:space="0" w:color="auto"/>
                            <w:left w:val="none" w:sz="0" w:space="0" w:color="auto"/>
                            <w:bottom w:val="none" w:sz="0" w:space="0" w:color="auto"/>
                            <w:right w:val="none" w:sz="0" w:space="0" w:color="auto"/>
                          </w:divBdr>
                          <w:divsChild>
                            <w:div w:id="1831363121">
                              <w:marLeft w:val="0"/>
                              <w:marRight w:val="0"/>
                              <w:marTop w:val="0"/>
                              <w:marBottom w:val="0"/>
                              <w:divBdr>
                                <w:top w:val="none" w:sz="0" w:space="0" w:color="auto"/>
                                <w:left w:val="none" w:sz="0" w:space="0" w:color="auto"/>
                                <w:bottom w:val="none" w:sz="0" w:space="0" w:color="auto"/>
                                <w:right w:val="none" w:sz="0" w:space="0" w:color="auto"/>
                              </w:divBdr>
                              <w:divsChild>
                                <w:div w:id="1233202088">
                                  <w:marLeft w:val="0"/>
                                  <w:marRight w:val="0"/>
                                  <w:marTop w:val="0"/>
                                  <w:marBottom w:val="0"/>
                                  <w:divBdr>
                                    <w:top w:val="none" w:sz="0" w:space="0" w:color="auto"/>
                                    <w:left w:val="none" w:sz="0" w:space="0" w:color="auto"/>
                                    <w:bottom w:val="none" w:sz="0" w:space="0" w:color="auto"/>
                                    <w:right w:val="none" w:sz="0" w:space="0" w:color="auto"/>
                                  </w:divBdr>
                                  <w:divsChild>
                                    <w:div w:id="17032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957457">
      <w:bodyDiv w:val="1"/>
      <w:marLeft w:val="0"/>
      <w:marRight w:val="0"/>
      <w:marTop w:val="0"/>
      <w:marBottom w:val="0"/>
      <w:divBdr>
        <w:top w:val="none" w:sz="0" w:space="0" w:color="auto"/>
        <w:left w:val="none" w:sz="0" w:space="0" w:color="auto"/>
        <w:bottom w:val="none" w:sz="0" w:space="0" w:color="auto"/>
        <w:right w:val="none" w:sz="0" w:space="0" w:color="auto"/>
      </w:divBdr>
      <w:divsChild>
        <w:div w:id="1122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GODM02\Bureau\Gabarits\CQFraS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67C6C-6766-4CEA-BD63-19DE8A97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CQFraS1.dot</Template>
  <TotalTime>1</TotalTime>
  <Pages>30</Pages>
  <Words>9759</Words>
  <Characters>53677</Characters>
  <Application>Microsoft Office Word</Application>
  <DocSecurity>0</DocSecurity>
  <Lines>447</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EDJ</vt:lpstr>
      <vt:lpstr>Gabarit EDJ</vt:lpstr>
    </vt:vector>
  </TitlesOfParts>
  <Manager>Stéphane Renauld</Manager>
  <Company>SOQUIJ</Company>
  <LinksUpToDate>false</LinksUpToDate>
  <CharactersWithSpaces>63310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subject/>
  <dc:creator>GODM02</dc:creator>
  <cp:keywords/>
  <cp:lastModifiedBy>Gauthier, François</cp:lastModifiedBy>
  <cp:revision>2</cp:revision>
  <cp:lastPrinted>2024-04-08T14:51:00Z</cp:lastPrinted>
  <dcterms:created xsi:type="dcterms:W3CDTF">2024-09-20T13:56:00Z</dcterms:created>
  <dcterms:modified xsi:type="dcterms:W3CDTF">2024-09-20T13:56:00Z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01/24/2002</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CQ</vt:lpwstr>
  </property>
  <property fmtid="{D5CDD505-2E9C-101B-9397-08002B2CF9AE}" pid="7" name="Soquij_Langue">
    <vt:lpwstr>Fra</vt:lpwstr>
  </property>
</Properties>
</file>