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ABA6" w14:textId="2300A23C" w:rsidR="00FE3921" w:rsidRPr="00E60984" w:rsidRDefault="00FE3921">
      <w:pPr>
        <w:rPr>
          <w:rFonts w:cs="Arial"/>
          <w:lang w:val="en-CA"/>
        </w:rPr>
      </w:pPr>
      <w:r w:rsidRPr="00E60984">
        <w:rPr>
          <w:rStyle w:val="normaltextrun"/>
          <w:rFonts w:cs="Arial"/>
          <w:color w:val="000000"/>
          <w:szCs w:val="22"/>
          <w:bdr w:val="none" w:sz="0" w:space="0" w:color="auto" w:frame="1"/>
          <w:lang w:val="en-CA"/>
        </w:rPr>
        <w:t>English translation of the judgment of the Court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6E799E" w:rsidRPr="00E60984" w14:paraId="2FFCB076" w14:textId="77777777" w:rsidTr="008D18FC">
        <w:trPr>
          <w:trHeight w:val="248"/>
        </w:trPr>
        <w:tc>
          <w:tcPr>
            <w:tcW w:w="7372" w:type="dxa"/>
            <w:gridSpan w:val="5"/>
          </w:tcPr>
          <w:p w14:paraId="05F4CF86" w14:textId="224DE98A" w:rsidR="008F364A" w:rsidRPr="006815E9" w:rsidRDefault="00DE2A80" w:rsidP="005445A9">
            <w:pPr>
              <w:pStyle w:val="zSoquijdatRepertorie"/>
              <w:rPr>
                <w:rFonts w:cs="Arial"/>
              </w:rPr>
            </w:pPr>
            <w:r w:rsidRPr="006815E9">
              <w:rPr>
                <w:rFonts w:cs="Arial"/>
              </w:rPr>
              <w:t>Procureur général du Québec c. Fédération des policiers et policières municipaux du Québec</w:t>
            </w:r>
          </w:p>
        </w:tc>
        <w:tc>
          <w:tcPr>
            <w:tcW w:w="1988" w:type="dxa"/>
          </w:tcPr>
          <w:p w14:paraId="1BCA03B3" w14:textId="230F8246" w:rsidR="008F364A" w:rsidRPr="00E60984" w:rsidRDefault="00DE2A80" w:rsidP="004F760A">
            <w:pPr>
              <w:pStyle w:val="zSoquijdatRefNeutre"/>
              <w:jc w:val="right"/>
              <w:rPr>
                <w:rFonts w:cs="Arial"/>
                <w:lang w:val="en-CA"/>
              </w:rPr>
            </w:pPr>
            <w:r w:rsidRPr="00E60984">
              <w:rPr>
                <w:rFonts w:cs="Arial"/>
                <w:lang w:val="en-CA"/>
              </w:rPr>
              <w:t>2024 QCCA 537</w:t>
            </w:r>
          </w:p>
        </w:tc>
      </w:tr>
      <w:tr w:rsidR="006E799E" w:rsidRPr="00E60984" w14:paraId="074A1A80" w14:textId="77777777" w:rsidTr="008D18FC">
        <w:trPr>
          <w:trHeight w:val="247"/>
        </w:trPr>
        <w:tc>
          <w:tcPr>
            <w:tcW w:w="9360" w:type="dxa"/>
            <w:gridSpan w:val="6"/>
          </w:tcPr>
          <w:p w14:paraId="0C0A6ED2" w14:textId="403113A1" w:rsidR="008F364A" w:rsidRPr="00E60984" w:rsidRDefault="00FE3921">
            <w:pPr>
              <w:pStyle w:val="zSoquijlblCour"/>
              <w:rPr>
                <w:lang w:val="en-CA"/>
              </w:rPr>
            </w:pPr>
            <w:r w:rsidRPr="00E60984">
              <w:rPr>
                <w:lang w:val="en-CA"/>
              </w:rPr>
              <w:t>COURT OF APPEAL</w:t>
            </w:r>
          </w:p>
        </w:tc>
      </w:tr>
      <w:tr w:rsidR="006E799E" w:rsidRPr="00E60984" w14:paraId="0684A460" w14:textId="77777777" w:rsidTr="008D18FC">
        <w:trPr>
          <w:trHeight w:val="540"/>
        </w:trPr>
        <w:tc>
          <w:tcPr>
            <w:tcW w:w="9360" w:type="dxa"/>
            <w:gridSpan w:val="6"/>
          </w:tcPr>
          <w:p w14:paraId="40E75A6B" w14:textId="77777777" w:rsidR="008F364A" w:rsidRPr="00E60984" w:rsidRDefault="008F364A">
            <w:pPr>
              <w:pStyle w:val="zSoquijdatDivision"/>
              <w:rPr>
                <w:lang w:val="en-CA"/>
              </w:rPr>
            </w:pPr>
          </w:p>
        </w:tc>
      </w:tr>
      <w:tr w:rsidR="006E799E" w:rsidRPr="00E60984" w14:paraId="5EFE20EB" w14:textId="77777777" w:rsidTr="008D18FC">
        <w:tc>
          <w:tcPr>
            <w:tcW w:w="9360" w:type="dxa"/>
            <w:gridSpan w:val="6"/>
          </w:tcPr>
          <w:p w14:paraId="29A2A0C3" w14:textId="45806AAD" w:rsidR="008F364A" w:rsidRPr="00E60984" w:rsidRDefault="00FE3921">
            <w:pPr>
              <w:pStyle w:val="zSoquijlblPays"/>
              <w:rPr>
                <w:lang w:val="en-CA"/>
              </w:rPr>
            </w:pPr>
            <w:r w:rsidRPr="00E60984">
              <w:rPr>
                <w:lang w:val="en-CA"/>
              </w:rPr>
              <w:t>CANADA</w:t>
            </w:r>
          </w:p>
        </w:tc>
      </w:tr>
      <w:tr w:rsidR="006E799E" w:rsidRPr="00E60984" w14:paraId="3576C568" w14:textId="77777777" w:rsidTr="008D18FC">
        <w:tc>
          <w:tcPr>
            <w:tcW w:w="9360" w:type="dxa"/>
            <w:gridSpan w:val="6"/>
          </w:tcPr>
          <w:p w14:paraId="5641CD88" w14:textId="2F857BCF" w:rsidR="008F364A" w:rsidRPr="00E60984" w:rsidRDefault="00FE3921">
            <w:pPr>
              <w:pStyle w:val="zSoquijlblProvince"/>
              <w:rPr>
                <w:lang w:val="en-CA"/>
              </w:rPr>
            </w:pPr>
            <w:r w:rsidRPr="00E60984">
              <w:rPr>
                <w:lang w:val="en-CA"/>
              </w:rPr>
              <w:t>PROVINCE OF QUEBEC</w:t>
            </w:r>
          </w:p>
        </w:tc>
      </w:tr>
      <w:tr w:rsidR="006E799E" w:rsidRPr="00E60984" w14:paraId="060376A3" w14:textId="77777777" w:rsidTr="00C22ECF">
        <w:tc>
          <w:tcPr>
            <w:tcW w:w="1701" w:type="dxa"/>
            <w:gridSpan w:val="3"/>
          </w:tcPr>
          <w:p w14:paraId="287FE8F2" w14:textId="1CA3D398" w:rsidR="008F364A" w:rsidRPr="00E60984" w:rsidRDefault="00FE3921">
            <w:pPr>
              <w:pStyle w:val="zSoquijlblGreffe"/>
              <w:rPr>
                <w:lang w:val="en-CA"/>
              </w:rPr>
            </w:pPr>
            <w:r w:rsidRPr="00E60984">
              <w:rPr>
                <w:lang w:val="en-CA"/>
              </w:rPr>
              <w:t>REGISTRY OF</w:t>
            </w:r>
          </w:p>
          <w:p w14:paraId="4E184E4D" w14:textId="77777777" w:rsidR="008F364A" w:rsidRPr="00E60984" w:rsidRDefault="008F364A">
            <w:pPr>
              <w:pStyle w:val="zSoquijlblGreffe"/>
              <w:rPr>
                <w:lang w:val="en-CA"/>
              </w:rPr>
            </w:pPr>
          </w:p>
        </w:tc>
        <w:tc>
          <w:tcPr>
            <w:tcW w:w="7659" w:type="dxa"/>
            <w:gridSpan w:val="3"/>
          </w:tcPr>
          <w:p w14:paraId="1580B744" w14:textId="18AB0E89" w:rsidR="008F364A" w:rsidRPr="00E60984" w:rsidRDefault="00FE3921">
            <w:pPr>
              <w:pStyle w:val="zSoquijdatGreffe"/>
              <w:rPr>
                <w:lang w:val="en-CA"/>
              </w:rPr>
            </w:pPr>
            <w:r w:rsidRPr="00E60984">
              <w:rPr>
                <w:lang w:val="en-CA"/>
              </w:rPr>
              <w:t>MONTREAL</w:t>
            </w:r>
          </w:p>
        </w:tc>
      </w:tr>
      <w:tr w:rsidR="006E799E" w:rsidRPr="00E60984" w14:paraId="39D216F7" w14:textId="77777777" w:rsidTr="008D18FC">
        <w:tc>
          <w:tcPr>
            <w:tcW w:w="1030" w:type="dxa"/>
          </w:tcPr>
          <w:p w14:paraId="4DEAF0E7" w14:textId="408602BA" w:rsidR="008F364A" w:rsidRPr="00E60984" w:rsidRDefault="00FE3921">
            <w:pPr>
              <w:pStyle w:val="zSoquijlblNoDossier"/>
              <w:rPr>
                <w:lang w:val="en-CA"/>
              </w:rPr>
            </w:pPr>
            <w:r w:rsidRPr="00E60984">
              <w:rPr>
                <w:lang w:val="en-CA"/>
              </w:rPr>
              <w:t>N</w:t>
            </w:r>
            <w:r w:rsidR="00C22ECF" w:rsidRPr="00E60984">
              <w:rPr>
                <w:lang w:val="en-CA"/>
              </w:rPr>
              <w:t>o</w:t>
            </w:r>
            <w:r w:rsidRPr="00E60984">
              <w:rPr>
                <w:lang w:val="en-CA"/>
              </w:rPr>
              <w:t>.:</w:t>
            </w:r>
          </w:p>
        </w:tc>
        <w:tc>
          <w:tcPr>
            <w:tcW w:w="8330" w:type="dxa"/>
            <w:gridSpan w:val="5"/>
          </w:tcPr>
          <w:p w14:paraId="4928B5C5" w14:textId="77777777" w:rsidR="008F364A" w:rsidRPr="00E60984" w:rsidRDefault="00DE2A80">
            <w:pPr>
              <w:pStyle w:val="zSoquijdatNoDossier"/>
              <w:rPr>
                <w:lang w:val="en-CA"/>
              </w:rPr>
            </w:pPr>
            <w:bookmarkStart w:id="0" w:name="NoDossier"/>
            <w:r w:rsidRPr="00E60984">
              <w:rPr>
                <w:lang w:val="en-CA"/>
              </w:rPr>
              <w:t>500-09-030114-227</w:t>
            </w:r>
            <w:bookmarkEnd w:id="0"/>
          </w:p>
        </w:tc>
      </w:tr>
      <w:tr w:rsidR="006E799E" w:rsidRPr="00E60984" w14:paraId="4CACA84E" w14:textId="77777777" w:rsidTr="008D18FC">
        <w:tc>
          <w:tcPr>
            <w:tcW w:w="9360" w:type="dxa"/>
            <w:gridSpan w:val="6"/>
          </w:tcPr>
          <w:p w14:paraId="4BC7D7BF" w14:textId="77777777" w:rsidR="002E3C5D" w:rsidRPr="00E60984" w:rsidRDefault="00DE2A80" w:rsidP="002E3C5D">
            <w:pPr>
              <w:pStyle w:val="zSoquijdatNoDossierAnt"/>
              <w:rPr>
                <w:lang w:val="en-CA"/>
              </w:rPr>
            </w:pPr>
            <w:r w:rsidRPr="00E60984">
              <w:rPr>
                <w:lang w:val="en-CA"/>
              </w:rPr>
              <w:t>(500-17-108241-194)</w:t>
            </w:r>
          </w:p>
        </w:tc>
      </w:tr>
      <w:tr w:rsidR="006E799E" w:rsidRPr="00E60984" w14:paraId="1DC09B1D" w14:textId="77777777" w:rsidTr="008D18FC">
        <w:tc>
          <w:tcPr>
            <w:tcW w:w="9360" w:type="dxa"/>
            <w:gridSpan w:val="6"/>
          </w:tcPr>
          <w:p w14:paraId="16C1A416" w14:textId="77777777" w:rsidR="008F364A" w:rsidRPr="00E60984" w:rsidRDefault="008F364A">
            <w:pPr>
              <w:rPr>
                <w:lang w:val="en-CA"/>
              </w:rPr>
            </w:pPr>
          </w:p>
        </w:tc>
      </w:tr>
      <w:tr w:rsidR="006E799E" w:rsidRPr="00E60984" w14:paraId="5A75D1A0" w14:textId="77777777" w:rsidTr="008D18FC">
        <w:tc>
          <w:tcPr>
            <w:tcW w:w="1030" w:type="dxa"/>
          </w:tcPr>
          <w:p w14:paraId="010B6714" w14:textId="28499E68" w:rsidR="008F364A" w:rsidRPr="00E60984" w:rsidRDefault="00FE3921">
            <w:pPr>
              <w:pStyle w:val="zSoquijlblDateJugement"/>
              <w:rPr>
                <w:lang w:val="en-CA"/>
              </w:rPr>
            </w:pPr>
            <w:r w:rsidRPr="00E60984">
              <w:rPr>
                <w:lang w:val="en-CA"/>
              </w:rPr>
              <w:t>DATE:</w:t>
            </w:r>
          </w:p>
        </w:tc>
        <w:tc>
          <w:tcPr>
            <w:tcW w:w="8330" w:type="dxa"/>
            <w:gridSpan w:val="5"/>
          </w:tcPr>
          <w:p w14:paraId="2D7E1EF1" w14:textId="05D9DAD0" w:rsidR="008F364A" w:rsidRPr="00E60984" w:rsidRDefault="00FE3921">
            <w:pPr>
              <w:pStyle w:val="zSoquijdatDateJugement"/>
              <w:rPr>
                <w:lang w:val="en-CA"/>
              </w:rPr>
            </w:pPr>
            <w:r w:rsidRPr="00E60984">
              <w:rPr>
                <w:lang w:val="en-CA"/>
              </w:rPr>
              <w:t>April 30, 2024</w:t>
            </w:r>
          </w:p>
        </w:tc>
      </w:tr>
      <w:tr w:rsidR="006E799E" w:rsidRPr="00E60984" w14:paraId="62F87FBD" w14:textId="77777777" w:rsidTr="008D18FC">
        <w:tc>
          <w:tcPr>
            <w:tcW w:w="9360" w:type="dxa"/>
            <w:gridSpan w:val="6"/>
            <w:tcBorders>
              <w:bottom w:val="single" w:sz="8" w:space="0" w:color="auto"/>
            </w:tcBorders>
          </w:tcPr>
          <w:p w14:paraId="74F7D6CD" w14:textId="77777777" w:rsidR="008F364A" w:rsidRPr="00E60984" w:rsidRDefault="008F364A">
            <w:pPr>
              <w:rPr>
                <w:lang w:val="en-CA"/>
              </w:rPr>
            </w:pPr>
          </w:p>
        </w:tc>
      </w:tr>
      <w:tr w:rsidR="006E799E" w:rsidRPr="00E60984" w14:paraId="05E2807B" w14:textId="77777777" w:rsidTr="008D18FC">
        <w:tc>
          <w:tcPr>
            <w:tcW w:w="9360" w:type="dxa"/>
            <w:gridSpan w:val="6"/>
            <w:tcBorders>
              <w:top w:val="single" w:sz="8" w:space="0" w:color="auto"/>
            </w:tcBorders>
          </w:tcPr>
          <w:p w14:paraId="72496CDE" w14:textId="77777777" w:rsidR="008F364A" w:rsidRPr="00E60984" w:rsidRDefault="008F364A">
            <w:pPr>
              <w:rPr>
                <w:lang w:val="en-CA"/>
              </w:rPr>
            </w:pPr>
          </w:p>
        </w:tc>
      </w:tr>
      <w:tr w:rsidR="006E799E" w:rsidRPr="00E60984" w14:paraId="088FEC78" w14:textId="77777777" w:rsidTr="008D18FC">
        <w:tc>
          <w:tcPr>
            <w:tcW w:w="1620" w:type="dxa"/>
            <w:gridSpan w:val="2"/>
          </w:tcPr>
          <w:p w14:paraId="5D679DAA" w14:textId="13EDBD97" w:rsidR="008F364A" w:rsidRPr="00E60984" w:rsidRDefault="00FE3921" w:rsidP="00423DF1">
            <w:pPr>
              <w:pStyle w:val="zSoquijlblJuge"/>
              <w:ind w:right="-142"/>
              <w:rPr>
                <w:lang w:val="en-CA"/>
              </w:rPr>
            </w:pPr>
            <w:r w:rsidRPr="00E60984">
              <w:rPr>
                <w:lang w:val="en-CA"/>
              </w:rPr>
              <w:t>CORAM:</w:t>
            </w:r>
          </w:p>
        </w:tc>
        <w:tc>
          <w:tcPr>
            <w:tcW w:w="2350" w:type="dxa"/>
            <w:gridSpan w:val="2"/>
          </w:tcPr>
          <w:p w14:paraId="6B185853" w14:textId="6182A418" w:rsidR="008F364A" w:rsidRPr="00E60984" w:rsidRDefault="00FE3921">
            <w:pPr>
              <w:pStyle w:val="zSoquijdatQteJuge"/>
              <w:rPr>
                <w:lang w:val="en-CA"/>
              </w:rPr>
            </w:pPr>
            <w:r w:rsidRPr="00E60984">
              <w:rPr>
                <w:lang w:val="en-CA"/>
              </w:rPr>
              <w:t>THE HONOURABLE</w:t>
            </w:r>
          </w:p>
        </w:tc>
        <w:tc>
          <w:tcPr>
            <w:tcW w:w="5390" w:type="dxa"/>
            <w:gridSpan w:val="2"/>
          </w:tcPr>
          <w:p w14:paraId="200152A1" w14:textId="42073298" w:rsidR="008F364A" w:rsidRPr="006815E9" w:rsidRDefault="00FE3921">
            <w:pPr>
              <w:pStyle w:val="zSoquijdatJuge"/>
            </w:pPr>
            <w:r w:rsidRPr="006815E9">
              <w:t>ROBERT M. MAINVILLE, J.A.</w:t>
            </w:r>
          </w:p>
          <w:p w14:paraId="6DCBA24F" w14:textId="75DF47F8" w:rsidR="008F364A" w:rsidRPr="006815E9" w:rsidRDefault="00FE3921">
            <w:pPr>
              <w:pStyle w:val="zSoquijdatJuge"/>
            </w:pPr>
            <w:r w:rsidRPr="006815E9">
              <w:t>CHRISTINE BAUDOUIN, J.A.</w:t>
            </w:r>
          </w:p>
          <w:p w14:paraId="381E96E7" w14:textId="23B1ED1A" w:rsidR="005A78BF" w:rsidRPr="006815E9" w:rsidRDefault="00FE3921" w:rsidP="002E3C5D">
            <w:pPr>
              <w:pStyle w:val="zSoquijdatJuge"/>
            </w:pPr>
            <w:bookmarkStart w:id="1" w:name="_Hlt520513784"/>
            <w:bookmarkEnd w:id="1"/>
            <w:r w:rsidRPr="006815E9">
              <w:t>FRÉDÉRIC BACHAND, J.A.</w:t>
            </w:r>
          </w:p>
        </w:tc>
      </w:tr>
      <w:tr w:rsidR="006E799E" w:rsidRPr="00E60984" w14:paraId="12EF71C1" w14:textId="77777777" w:rsidTr="008D18FC">
        <w:tc>
          <w:tcPr>
            <w:tcW w:w="9360" w:type="dxa"/>
            <w:gridSpan w:val="6"/>
            <w:tcBorders>
              <w:bottom w:val="single" w:sz="8" w:space="0" w:color="auto"/>
            </w:tcBorders>
          </w:tcPr>
          <w:p w14:paraId="146F7530" w14:textId="77777777" w:rsidR="008F364A" w:rsidRPr="006815E9" w:rsidRDefault="008F364A"/>
        </w:tc>
      </w:tr>
      <w:tr w:rsidR="006E799E" w:rsidRPr="00E60984" w14:paraId="1D14AE54" w14:textId="77777777" w:rsidTr="008D18FC">
        <w:tc>
          <w:tcPr>
            <w:tcW w:w="9360" w:type="dxa"/>
            <w:gridSpan w:val="6"/>
          </w:tcPr>
          <w:p w14:paraId="06EBBF40" w14:textId="77777777" w:rsidR="008F364A" w:rsidRPr="006815E9" w:rsidRDefault="008F364A">
            <w:pPr>
              <w:pStyle w:val="zSoquijlblTitrePartie"/>
            </w:pPr>
          </w:p>
        </w:tc>
      </w:tr>
      <w:tr w:rsidR="006E799E" w:rsidRPr="00E60984" w14:paraId="214C950A" w14:textId="77777777" w:rsidTr="008D18FC">
        <w:tc>
          <w:tcPr>
            <w:tcW w:w="9360" w:type="dxa"/>
            <w:gridSpan w:val="6"/>
          </w:tcPr>
          <w:p w14:paraId="3D708935" w14:textId="2647A23A" w:rsidR="008F364A" w:rsidRPr="00E60984" w:rsidRDefault="00FE3921">
            <w:pPr>
              <w:pStyle w:val="zSoquijdatNomPartieDem"/>
              <w:rPr>
                <w:lang w:val="en-CA"/>
              </w:rPr>
            </w:pPr>
            <w:r w:rsidRPr="00E60984">
              <w:rPr>
                <w:lang w:val="en-CA"/>
              </w:rPr>
              <w:t>ATTORNEY GENERAL OF QUEBEC</w:t>
            </w:r>
          </w:p>
        </w:tc>
      </w:tr>
      <w:tr w:rsidR="006E799E" w:rsidRPr="00E60984" w14:paraId="6962B480" w14:textId="77777777" w:rsidTr="008D18FC">
        <w:tc>
          <w:tcPr>
            <w:tcW w:w="9360" w:type="dxa"/>
            <w:gridSpan w:val="6"/>
          </w:tcPr>
          <w:p w14:paraId="11FE71DC" w14:textId="0EB04667" w:rsidR="008F364A" w:rsidRPr="00E60984" w:rsidRDefault="00FE3921">
            <w:pPr>
              <w:pStyle w:val="zSoquijdatQtePartieDem"/>
              <w:rPr>
                <w:lang w:val="en-CA"/>
              </w:rPr>
            </w:pPr>
            <w:r w:rsidRPr="00E60984">
              <w:rPr>
                <w:lang w:val="en-CA"/>
              </w:rPr>
              <w:t xml:space="preserve">APPELLANT/INCIDENTAL RESPONDENT – </w:t>
            </w:r>
            <w:r w:rsidR="00E623E5" w:rsidRPr="00E60984">
              <w:rPr>
                <w:lang w:val="en-CA"/>
              </w:rPr>
              <w:t>D</w:t>
            </w:r>
            <w:r w:rsidRPr="00E60984">
              <w:rPr>
                <w:lang w:val="en-CA"/>
              </w:rPr>
              <w:t>efendant</w:t>
            </w:r>
          </w:p>
        </w:tc>
      </w:tr>
      <w:tr w:rsidR="006E799E" w:rsidRPr="00E60984" w14:paraId="224720A6" w14:textId="77777777" w:rsidTr="008D18FC">
        <w:tc>
          <w:tcPr>
            <w:tcW w:w="9360" w:type="dxa"/>
            <w:gridSpan w:val="6"/>
          </w:tcPr>
          <w:p w14:paraId="0AB37974" w14:textId="02F38EC6" w:rsidR="008F364A" w:rsidRPr="00E60984" w:rsidRDefault="00FE3921">
            <w:pPr>
              <w:pStyle w:val="zSoquijlblLienParties"/>
              <w:rPr>
                <w:lang w:val="en-CA"/>
              </w:rPr>
            </w:pPr>
            <w:r w:rsidRPr="00E60984">
              <w:rPr>
                <w:lang w:val="en-CA"/>
              </w:rPr>
              <w:t>v.</w:t>
            </w:r>
          </w:p>
        </w:tc>
      </w:tr>
      <w:tr w:rsidR="006E799E" w:rsidRPr="00E60984" w14:paraId="593224C8" w14:textId="77777777" w:rsidTr="008D18FC">
        <w:tc>
          <w:tcPr>
            <w:tcW w:w="9360" w:type="dxa"/>
            <w:gridSpan w:val="6"/>
          </w:tcPr>
          <w:p w14:paraId="1DBC3B0D" w14:textId="77777777" w:rsidR="008F364A" w:rsidRPr="00E60984" w:rsidRDefault="008F364A">
            <w:pPr>
              <w:rPr>
                <w:lang w:val="en-CA"/>
              </w:rPr>
            </w:pPr>
          </w:p>
        </w:tc>
      </w:tr>
      <w:tr w:rsidR="006E799E" w:rsidRPr="00E60984" w14:paraId="4110E22D" w14:textId="77777777" w:rsidTr="008D18FC">
        <w:tc>
          <w:tcPr>
            <w:tcW w:w="9360" w:type="dxa"/>
            <w:gridSpan w:val="6"/>
          </w:tcPr>
          <w:p w14:paraId="73B9FC4C" w14:textId="55FC1058" w:rsidR="008F364A" w:rsidRPr="006815E9" w:rsidRDefault="00FE3921">
            <w:pPr>
              <w:pStyle w:val="zSoquijdatNomPartieDef"/>
            </w:pPr>
            <w:r w:rsidRPr="006815E9">
              <w:t>FÉDÉRATION DES POLICIERS ET POLICIÈRES MUNICIPAUX DU QUÉBEC</w:t>
            </w:r>
          </w:p>
        </w:tc>
      </w:tr>
      <w:tr w:rsidR="006E799E" w:rsidRPr="00E60984" w14:paraId="11DBDD97" w14:textId="77777777" w:rsidTr="008D18FC">
        <w:tc>
          <w:tcPr>
            <w:tcW w:w="9360" w:type="dxa"/>
            <w:gridSpan w:val="6"/>
          </w:tcPr>
          <w:p w14:paraId="7BE4C163" w14:textId="5C7EA28F" w:rsidR="002E3C5D" w:rsidRPr="006815E9" w:rsidRDefault="00FE3921">
            <w:pPr>
              <w:pStyle w:val="zSoquijdatNomPartieDef"/>
            </w:pPr>
            <w:r w:rsidRPr="006815E9">
              <w:t>FRATERNITÉ DES POLICIERS ET POLICIÈRES DE MONTRÉAL</w:t>
            </w:r>
          </w:p>
        </w:tc>
      </w:tr>
      <w:tr w:rsidR="006E799E" w:rsidRPr="00E60984" w14:paraId="33C203F7" w14:textId="77777777" w:rsidTr="008D18FC">
        <w:tc>
          <w:tcPr>
            <w:tcW w:w="9360" w:type="dxa"/>
            <w:gridSpan w:val="6"/>
          </w:tcPr>
          <w:p w14:paraId="72800162" w14:textId="2D0B2EA5" w:rsidR="002E3C5D" w:rsidRPr="00E60984" w:rsidRDefault="00DE2A80">
            <w:pPr>
              <w:pStyle w:val="zSoquijdatNomPartieDef"/>
              <w:rPr>
                <w:lang w:val="en-CA"/>
              </w:rPr>
            </w:pPr>
            <w:r w:rsidRPr="00E60984">
              <w:rPr>
                <w:lang w:val="en-CA"/>
              </w:rPr>
              <w:t>DOMINIC OUELLET</w:t>
            </w:r>
          </w:p>
        </w:tc>
      </w:tr>
      <w:tr w:rsidR="006E799E" w:rsidRPr="00E60984" w14:paraId="4D244801" w14:textId="77777777" w:rsidTr="008D18FC">
        <w:tc>
          <w:tcPr>
            <w:tcW w:w="9360" w:type="dxa"/>
            <w:gridSpan w:val="6"/>
          </w:tcPr>
          <w:p w14:paraId="70DC43DC" w14:textId="258150D8" w:rsidR="002E3C5D" w:rsidRPr="00E60984" w:rsidRDefault="00DE2A80">
            <w:pPr>
              <w:pStyle w:val="zSoquijdatNomPartieDef"/>
              <w:rPr>
                <w:lang w:val="en-CA"/>
              </w:rPr>
            </w:pPr>
            <w:r w:rsidRPr="00E60984">
              <w:rPr>
                <w:lang w:val="en-CA"/>
              </w:rPr>
              <w:t>ANTOINE BROCHET</w:t>
            </w:r>
          </w:p>
        </w:tc>
      </w:tr>
      <w:tr w:rsidR="006E799E" w:rsidRPr="00E60984" w14:paraId="0350FEF6" w14:textId="77777777" w:rsidTr="008D18FC">
        <w:tc>
          <w:tcPr>
            <w:tcW w:w="9360" w:type="dxa"/>
            <w:gridSpan w:val="6"/>
          </w:tcPr>
          <w:p w14:paraId="3FC1A7D9" w14:textId="21911608" w:rsidR="008F364A" w:rsidRPr="00E60984" w:rsidRDefault="00FE3921">
            <w:pPr>
              <w:pStyle w:val="zSoquijdatQtePartieDef"/>
              <w:rPr>
                <w:lang w:val="en-CA"/>
              </w:rPr>
            </w:pPr>
            <w:r w:rsidRPr="00E60984">
              <w:rPr>
                <w:lang w:val="en-CA"/>
              </w:rPr>
              <w:t xml:space="preserve">RESPONDENTS/INCIDENTAL APPELLANTS – </w:t>
            </w:r>
            <w:r w:rsidR="00A70365">
              <w:rPr>
                <w:lang w:val="en-CA"/>
              </w:rPr>
              <w:t>Plaintiffs</w:t>
            </w:r>
          </w:p>
        </w:tc>
      </w:tr>
      <w:tr w:rsidR="006E799E" w:rsidRPr="00E60984" w14:paraId="5A28E204" w14:textId="77777777" w:rsidTr="008D18FC">
        <w:tc>
          <w:tcPr>
            <w:tcW w:w="9360" w:type="dxa"/>
            <w:gridSpan w:val="6"/>
          </w:tcPr>
          <w:p w14:paraId="1EB67EBD" w14:textId="65ABA6CB" w:rsidR="002E3C5D" w:rsidRPr="00E60984" w:rsidRDefault="00050F25" w:rsidP="002E3C5D">
            <w:pPr>
              <w:pStyle w:val="zSoquijlblLienParties"/>
              <w:rPr>
                <w:lang w:val="en-CA"/>
              </w:rPr>
            </w:pPr>
            <w:r>
              <w:rPr>
                <w:lang w:val="en-CA"/>
              </w:rPr>
              <w:t>a</w:t>
            </w:r>
            <w:r w:rsidR="00FE3921" w:rsidRPr="00E60984">
              <w:rPr>
                <w:lang w:val="en-CA"/>
              </w:rPr>
              <w:t>nd</w:t>
            </w:r>
          </w:p>
        </w:tc>
      </w:tr>
      <w:tr w:rsidR="006E799E" w:rsidRPr="00E60984" w14:paraId="67EE226F" w14:textId="77777777" w:rsidTr="008D18FC">
        <w:tc>
          <w:tcPr>
            <w:tcW w:w="9360" w:type="dxa"/>
            <w:gridSpan w:val="6"/>
          </w:tcPr>
          <w:p w14:paraId="0F7072BB" w14:textId="77777777" w:rsidR="002E3C5D" w:rsidRPr="00E60984" w:rsidRDefault="002E3C5D" w:rsidP="002E3C5D">
            <w:pPr>
              <w:rPr>
                <w:lang w:val="en-CA"/>
              </w:rPr>
            </w:pPr>
          </w:p>
        </w:tc>
      </w:tr>
      <w:tr w:rsidR="006E799E" w:rsidRPr="00E60984" w14:paraId="47F1139F" w14:textId="77777777" w:rsidTr="008D18FC">
        <w:tc>
          <w:tcPr>
            <w:tcW w:w="9360" w:type="dxa"/>
            <w:gridSpan w:val="6"/>
          </w:tcPr>
          <w:p w14:paraId="65F01F63" w14:textId="373F9D22" w:rsidR="002E3C5D" w:rsidRPr="006815E9" w:rsidRDefault="00FE3921" w:rsidP="002E3C5D">
            <w:pPr>
              <w:pStyle w:val="zSoquijdatNomPartieDef"/>
            </w:pPr>
            <w:r w:rsidRPr="006815E9">
              <w:t>ASSOCIATION DES POLICIÈRES ET POLICIERS PROVINCIAUX DU QUÉBEC</w:t>
            </w:r>
          </w:p>
        </w:tc>
      </w:tr>
      <w:tr w:rsidR="006E799E" w:rsidRPr="00F00051" w14:paraId="3D01B2CD" w14:textId="77777777" w:rsidTr="008D18FC">
        <w:tc>
          <w:tcPr>
            <w:tcW w:w="9360" w:type="dxa"/>
            <w:gridSpan w:val="6"/>
          </w:tcPr>
          <w:p w14:paraId="57CBB593" w14:textId="38985D05" w:rsidR="002E3C5D" w:rsidRPr="00E60984" w:rsidRDefault="00FE3921" w:rsidP="002E3C5D">
            <w:pPr>
              <w:pStyle w:val="zSoquijdatQtePartieDef"/>
              <w:rPr>
                <w:lang w:val="en-CA"/>
              </w:rPr>
            </w:pPr>
            <w:r w:rsidRPr="00E60984">
              <w:rPr>
                <w:lang w:val="en-CA"/>
              </w:rPr>
              <w:t xml:space="preserve">IMPLEADED PARTY/INCIDENTAL IMPLEADED PARTY </w:t>
            </w:r>
            <w:r w:rsidR="00633977">
              <w:rPr>
                <w:lang w:val="en-CA"/>
              </w:rPr>
              <w:t>–</w:t>
            </w:r>
            <w:r w:rsidRPr="00E60984">
              <w:rPr>
                <w:lang w:val="en-CA"/>
              </w:rPr>
              <w:t xml:space="preserve"> </w:t>
            </w:r>
            <w:r w:rsidR="00E623E5" w:rsidRPr="00E60984">
              <w:rPr>
                <w:lang w:val="en-CA"/>
              </w:rPr>
              <w:t>I</w:t>
            </w:r>
            <w:r w:rsidRPr="00E60984">
              <w:rPr>
                <w:lang w:val="en-CA"/>
              </w:rPr>
              <w:t>mpleaded party</w:t>
            </w:r>
          </w:p>
        </w:tc>
      </w:tr>
      <w:tr w:rsidR="006E799E" w:rsidRPr="00F00051" w14:paraId="3E97FA8F" w14:textId="77777777" w:rsidTr="008D18FC">
        <w:tc>
          <w:tcPr>
            <w:tcW w:w="9360" w:type="dxa"/>
            <w:gridSpan w:val="6"/>
          </w:tcPr>
          <w:p w14:paraId="5551CFA6" w14:textId="77777777" w:rsidR="008F364A" w:rsidRPr="00E60984" w:rsidRDefault="008F364A">
            <w:pPr>
              <w:rPr>
                <w:lang w:val="en-CA"/>
              </w:rPr>
            </w:pPr>
          </w:p>
        </w:tc>
      </w:tr>
      <w:tr w:rsidR="006E799E" w:rsidRPr="00F00051" w14:paraId="6B7B92A6" w14:textId="77777777" w:rsidTr="008D18FC">
        <w:tc>
          <w:tcPr>
            <w:tcW w:w="9360" w:type="dxa"/>
            <w:gridSpan w:val="6"/>
            <w:tcBorders>
              <w:top w:val="single" w:sz="8" w:space="0" w:color="auto"/>
            </w:tcBorders>
          </w:tcPr>
          <w:p w14:paraId="677415F7" w14:textId="77777777" w:rsidR="008F364A" w:rsidRPr="00E60984" w:rsidRDefault="008F364A">
            <w:pPr>
              <w:rPr>
                <w:lang w:val="en-CA"/>
              </w:rPr>
            </w:pPr>
            <w:bookmarkStart w:id="2" w:name="Arret"/>
          </w:p>
        </w:tc>
      </w:tr>
      <w:tr w:rsidR="006E799E" w:rsidRPr="00E60984" w14:paraId="20E1925B" w14:textId="77777777" w:rsidTr="008D18FC">
        <w:tc>
          <w:tcPr>
            <w:tcW w:w="9360" w:type="dxa"/>
            <w:gridSpan w:val="6"/>
          </w:tcPr>
          <w:p w14:paraId="7EB5D60C" w14:textId="65080092" w:rsidR="008F364A" w:rsidRPr="00E60984" w:rsidRDefault="00FE3921">
            <w:pPr>
              <w:pStyle w:val="zSoquijlblTypeDocument"/>
              <w:rPr>
                <w:lang w:val="en-CA"/>
              </w:rPr>
            </w:pPr>
            <w:r w:rsidRPr="00E60984">
              <w:rPr>
                <w:lang w:val="en-CA"/>
              </w:rPr>
              <w:t>JUDGMENT</w:t>
            </w:r>
          </w:p>
        </w:tc>
      </w:tr>
      <w:tr w:rsidR="006E799E" w:rsidRPr="00E60984" w14:paraId="28448C70" w14:textId="77777777" w:rsidTr="008D18FC">
        <w:tc>
          <w:tcPr>
            <w:tcW w:w="9360" w:type="dxa"/>
            <w:gridSpan w:val="6"/>
            <w:tcBorders>
              <w:bottom w:val="single" w:sz="8" w:space="0" w:color="auto"/>
            </w:tcBorders>
          </w:tcPr>
          <w:p w14:paraId="08B87A9D" w14:textId="77777777" w:rsidR="008F364A" w:rsidRPr="00E60984" w:rsidRDefault="008F364A">
            <w:pPr>
              <w:rPr>
                <w:lang w:val="en-CA"/>
              </w:rPr>
            </w:pPr>
          </w:p>
        </w:tc>
      </w:tr>
      <w:tr w:rsidR="006E799E" w:rsidRPr="00E60984" w14:paraId="05DA2CD8" w14:textId="77777777" w:rsidTr="008D18FC">
        <w:tc>
          <w:tcPr>
            <w:tcW w:w="9360" w:type="dxa"/>
            <w:gridSpan w:val="6"/>
            <w:tcBorders>
              <w:top w:val="single" w:sz="8" w:space="0" w:color="auto"/>
            </w:tcBorders>
          </w:tcPr>
          <w:p w14:paraId="68CC6F64" w14:textId="77777777" w:rsidR="008F364A" w:rsidRPr="00E60984" w:rsidRDefault="008F364A">
            <w:pPr>
              <w:rPr>
                <w:lang w:val="en-CA"/>
              </w:rPr>
            </w:pPr>
          </w:p>
        </w:tc>
      </w:tr>
    </w:tbl>
    <w:p w14:paraId="63B5CA65" w14:textId="585035C6" w:rsidR="00671D3D" w:rsidRPr="00E60984" w:rsidRDefault="00FE3921" w:rsidP="00863D60">
      <w:pPr>
        <w:pStyle w:val="Paragraphe"/>
        <w:keepNext/>
        <w:spacing w:before="240" w:line="240" w:lineRule="auto"/>
        <w:rPr>
          <w:lang w:val="en-CA"/>
        </w:rPr>
      </w:pPr>
      <w:r w:rsidRPr="00E60984">
        <w:rPr>
          <w:lang w:val="en-CA"/>
        </w:rPr>
        <w:t>The Attorney General of Quebec is appealing from a judgment rendered on June 16, 2022 (corrected on June 23, 2022), by the Superior Court, District of Montreal</w:t>
      </w:r>
      <w:r w:rsidR="00E623E5" w:rsidRPr="00E60984">
        <w:rPr>
          <w:lang w:val="en-CA"/>
        </w:rPr>
        <w:t xml:space="preserve"> (the Honourable Marc St-Pierre)</w:t>
      </w:r>
      <w:r w:rsidRPr="00E60984">
        <w:rPr>
          <w:lang w:val="en-CA"/>
        </w:rPr>
        <w:t xml:space="preserve">, granting in part the respondents’ application for judicial review and declaring invalid certain provisions of the </w:t>
      </w:r>
      <w:r w:rsidRPr="00E60984">
        <w:rPr>
          <w:i/>
          <w:lang w:val="en-CA"/>
        </w:rPr>
        <w:t xml:space="preserve">Regulation respecting the conduct </w:t>
      </w:r>
      <w:r w:rsidRPr="00E60984">
        <w:rPr>
          <w:i/>
          <w:lang w:val="en-CA"/>
        </w:rPr>
        <w:lastRenderedPageBreak/>
        <w:t xml:space="preserve">of the investigations of the Bureau des </w:t>
      </w:r>
      <w:proofErr w:type="spellStart"/>
      <w:r w:rsidRPr="00E60984">
        <w:rPr>
          <w:i/>
          <w:lang w:val="en-CA"/>
        </w:rPr>
        <w:t>enquêtes</w:t>
      </w:r>
      <w:proofErr w:type="spellEnd"/>
      <w:r w:rsidRPr="00E60984">
        <w:rPr>
          <w:i/>
          <w:lang w:val="en-CA"/>
        </w:rPr>
        <w:t xml:space="preserve"> </w:t>
      </w:r>
      <w:proofErr w:type="spellStart"/>
      <w:r w:rsidRPr="00E60984">
        <w:rPr>
          <w:i/>
          <w:lang w:val="en-CA"/>
        </w:rPr>
        <w:t>indépendantes</w:t>
      </w:r>
      <w:proofErr w:type="spellEnd"/>
      <w:r w:rsidRPr="00E60984">
        <w:rPr>
          <w:lang w:val="en-CA"/>
        </w:rPr>
        <w:t xml:space="preserve"> enacted </w:t>
      </w:r>
      <w:r w:rsidR="00633977">
        <w:rPr>
          <w:lang w:val="en-CA"/>
        </w:rPr>
        <w:t xml:space="preserve">under </w:t>
      </w:r>
      <w:r w:rsidRPr="00E60984">
        <w:rPr>
          <w:lang w:val="en-CA"/>
        </w:rPr>
        <w:t xml:space="preserve">the </w:t>
      </w:r>
      <w:r w:rsidRPr="00E60984">
        <w:rPr>
          <w:i/>
          <w:lang w:val="en-CA"/>
        </w:rPr>
        <w:t>Police Act</w:t>
      </w:r>
      <w:r w:rsidRPr="00E60984">
        <w:rPr>
          <w:lang w:val="en-CA"/>
        </w:rPr>
        <w:t>.</w:t>
      </w:r>
    </w:p>
    <w:p w14:paraId="5022674C" w14:textId="3267C61E" w:rsidR="00671D3D" w:rsidRPr="00E60984" w:rsidRDefault="00FE3921" w:rsidP="00671D3D">
      <w:pPr>
        <w:pStyle w:val="Paragraphe"/>
        <w:spacing w:line="240" w:lineRule="auto"/>
        <w:rPr>
          <w:lang w:val="en-CA"/>
        </w:rPr>
      </w:pPr>
      <w:r w:rsidRPr="00E60984">
        <w:rPr>
          <w:lang w:val="en-CA"/>
        </w:rPr>
        <w:t>The respondents, as incidental appellants, also appeal this judgment</w:t>
      </w:r>
      <w:r w:rsidR="009914A4">
        <w:rPr>
          <w:lang w:val="en-CA"/>
        </w:rPr>
        <w:t>, seeking</w:t>
      </w:r>
      <w:r w:rsidRPr="00E60984">
        <w:rPr>
          <w:lang w:val="en-CA"/>
        </w:rPr>
        <w:t xml:space="preserve"> to invalidate other provisions </w:t>
      </w:r>
      <w:r w:rsidR="00633977">
        <w:rPr>
          <w:lang w:val="en-CA"/>
        </w:rPr>
        <w:t xml:space="preserve">of </w:t>
      </w:r>
      <w:r w:rsidRPr="00E60984">
        <w:rPr>
          <w:lang w:val="en-CA"/>
        </w:rPr>
        <w:t xml:space="preserve">the </w:t>
      </w:r>
      <w:r w:rsidR="00633977">
        <w:rPr>
          <w:lang w:val="en-CA"/>
        </w:rPr>
        <w:t>r</w:t>
      </w:r>
      <w:r w:rsidRPr="00633977">
        <w:rPr>
          <w:lang w:val="en-CA"/>
        </w:rPr>
        <w:t>egulation</w:t>
      </w:r>
      <w:r w:rsidR="00633977">
        <w:rPr>
          <w:lang w:val="en-CA"/>
        </w:rPr>
        <w:t xml:space="preserve"> in question</w:t>
      </w:r>
      <w:r w:rsidRPr="00E60984">
        <w:rPr>
          <w:lang w:val="en-CA"/>
        </w:rPr>
        <w:t>.</w:t>
      </w:r>
    </w:p>
    <w:p w14:paraId="52E1A9F2" w14:textId="7A7DD05A" w:rsidR="00671D3D" w:rsidRPr="00E60984" w:rsidRDefault="00FE3921" w:rsidP="00671D3D">
      <w:pPr>
        <w:pStyle w:val="Paragraphe"/>
        <w:spacing w:line="240" w:lineRule="auto"/>
        <w:rPr>
          <w:lang w:val="en-CA"/>
        </w:rPr>
      </w:pPr>
      <w:r w:rsidRPr="00E60984">
        <w:rPr>
          <w:lang w:val="en-CA"/>
        </w:rPr>
        <w:t xml:space="preserve">For the reasons </w:t>
      </w:r>
      <w:r w:rsidR="00050F25">
        <w:rPr>
          <w:lang w:val="en-CA"/>
        </w:rPr>
        <w:t>of</w:t>
      </w:r>
      <w:r w:rsidRPr="00E60984">
        <w:rPr>
          <w:lang w:val="en-CA"/>
        </w:rPr>
        <w:t xml:space="preserve"> </w:t>
      </w:r>
      <w:proofErr w:type="spellStart"/>
      <w:r w:rsidRPr="00E60984">
        <w:rPr>
          <w:lang w:val="en-CA"/>
        </w:rPr>
        <w:t>Mainville</w:t>
      </w:r>
      <w:proofErr w:type="spellEnd"/>
      <w:r w:rsidRPr="00E60984">
        <w:rPr>
          <w:lang w:val="en-CA"/>
        </w:rPr>
        <w:t xml:space="preserve"> J.A., with which Baudouin and </w:t>
      </w:r>
      <w:proofErr w:type="spellStart"/>
      <w:r w:rsidR="005F742E">
        <w:rPr>
          <w:lang w:val="en-CA"/>
        </w:rPr>
        <w:t>B</w:t>
      </w:r>
      <w:r w:rsidRPr="00E60984">
        <w:rPr>
          <w:lang w:val="en-CA"/>
        </w:rPr>
        <w:t>achand</w:t>
      </w:r>
      <w:proofErr w:type="spellEnd"/>
      <w:r w:rsidRPr="00E60984">
        <w:rPr>
          <w:lang w:val="en-CA"/>
        </w:rPr>
        <w:t xml:space="preserve"> JJ.A. agree, </w:t>
      </w:r>
      <w:r w:rsidRPr="00E60984">
        <w:rPr>
          <w:b/>
          <w:lang w:val="en-CA"/>
        </w:rPr>
        <w:t>THE COURT</w:t>
      </w:r>
      <w:r w:rsidRPr="00E60984">
        <w:rPr>
          <w:lang w:val="en-CA"/>
        </w:rPr>
        <w:t>:</w:t>
      </w:r>
    </w:p>
    <w:p w14:paraId="364192DD" w14:textId="4E02563D" w:rsidR="00671D3D" w:rsidRPr="00E60984" w:rsidRDefault="00FE3921" w:rsidP="00671D3D">
      <w:pPr>
        <w:pStyle w:val="Paragraphe"/>
        <w:spacing w:line="240" w:lineRule="auto"/>
        <w:rPr>
          <w:lang w:val="en-CA"/>
        </w:rPr>
      </w:pPr>
      <w:r w:rsidRPr="00E60984">
        <w:rPr>
          <w:b/>
          <w:bCs/>
          <w:lang w:val="en-CA"/>
        </w:rPr>
        <w:t>DISMISSES</w:t>
      </w:r>
      <w:r w:rsidRPr="00E60984">
        <w:rPr>
          <w:bCs/>
          <w:lang w:val="en-CA"/>
        </w:rPr>
        <w:t xml:space="preserve"> the principal appeal;</w:t>
      </w:r>
    </w:p>
    <w:p w14:paraId="0CABFBFC" w14:textId="552B723A" w:rsidR="00671D3D" w:rsidRPr="00E60984" w:rsidRDefault="00FE3921" w:rsidP="00671D3D">
      <w:pPr>
        <w:pStyle w:val="Paragraphe"/>
        <w:spacing w:line="240" w:lineRule="auto"/>
        <w:rPr>
          <w:lang w:val="en-CA"/>
        </w:rPr>
      </w:pPr>
      <w:r w:rsidRPr="00E60984">
        <w:rPr>
          <w:b/>
          <w:bCs/>
          <w:lang w:val="en-CA"/>
        </w:rPr>
        <w:t>DISMISSES</w:t>
      </w:r>
      <w:r w:rsidRPr="00E60984">
        <w:rPr>
          <w:bCs/>
          <w:lang w:val="en-CA"/>
        </w:rPr>
        <w:t xml:space="preserve"> the incidental appeal;</w:t>
      </w:r>
    </w:p>
    <w:p w14:paraId="3CEEA1E7" w14:textId="5EA63EB7" w:rsidR="00671D3D" w:rsidRPr="00E60984" w:rsidRDefault="00FE3921" w:rsidP="00671D3D">
      <w:pPr>
        <w:pStyle w:val="Paragraphe"/>
        <w:spacing w:line="240" w:lineRule="auto"/>
        <w:rPr>
          <w:lang w:val="en-CA"/>
        </w:rPr>
      </w:pPr>
      <w:r w:rsidRPr="00E60984">
        <w:rPr>
          <w:b/>
          <w:bCs/>
          <w:lang w:val="en-CA"/>
        </w:rPr>
        <w:t>THE WHOLE</w:t>
      </w:r>
      <w:r w:rsidRPr="00E60984">
        <w:rPr>
          <w:bCs/>
          <w:lang w:val="en-CA"/>
        </w:rPr>
        <w:t>, without legal costs.</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127"/>
        <w:gridCol w:w="2555"/>
        <w:gridCol w:w="4680"/>
      </w:tblGrid>
      <w:tr w:rsidR="006E799E" w:rsidRPr="00F00051" w14:paraId="35E3C504" w14:textId="77777777" w:rsidTr="00117914">
        <w:trPr>
          <w:trHeight w:val="283"/>
        </w:trPr>
        <w:tc>
          <w:tcPr>
            <w:tcW w:w="4682" w:type="dxa"/>
            <w:gridSpan w:val="2"/>
            <w:tcBorders>
              <w:top w:val="nil"/>
              <w:bottom w:val="nil"/>
            </w:tcBorders>
          </w:tcPr>
          <w:p w14:paraId="35A970E3" w14:textId="77777777" w:rsidR="008F364A" w:rsidRPr="00E60984" w:rsidRDefault="008F364A">
            <w:pPr>
              <w:keepNext/>
              <w:rPr>
                <w:lang w:val="en-CA"/>
              </w:rPr>
            </w:pPr>
          </w:p>
        </w:tc>
        <w:tc>
          <w:tcPr>
            <w:tcW w:w="4680" w:type="dxa"/>
            <w:tcBorders>
              <w:top w:val="nil"/>
              <w:bottom w:val="single" w:sz="8" w:space="0" w:color="auto"/>
            </w:tcBorders>
          </w:tcPr>
          <w:p w14:paraId="405C743B" w14:textId="77777777" w:rsidR="008F364A" w:rsidRPr="00E60984" w:rsidRDefault="008F364A">
            <w:pPr>
              <w:keepNext/>
              <w:rPr>
                <w:lang w:val="en-CA"/>
              </w:rPr>
            </w:pPr>
          </w:p>
        </w:tc>
      </w:tr>
      <w:tr w:rsidR="006E799E" w:rsidRPr="00E60984" w14:paraId="274119F8" w14:textId="77777777" w:rsidTr="00117914">
        <w:trPr>
          <w:trHeight w:val="283"/>
        </w:trPr>
        <w:tc>
          <w:tcPr>
            <w:tcW w:w="4682" w:type="dxa"/>
            <w:gridSpan w:val="2"/>
            <w:tcBorders>
              <w:top w:val="nil"/>
            </w:tcBorders>
          </w:tcPr>
          <w:p w14:paraId="7E09EC29" w14:textId="77777777" w:rsidR="008F364A" w:rsidRPr="00E60984" w:rsidRDefault="008F364A">
            <w:pPr>
              <w:keepNext/>
              <w:rPr>
                <w:lang w:val="en-CA"/>
              </w:rPr>
            </w:pPr>
          </w:p>
        </w:tc>
        <w:tc>
          <w:tcPr>
            <w:tcW w:w="4680" w:type="dxa"/>
            <w:tcBorders>
              <w:top w:val="single" w:sz="8" w:space="0" w:color="auto"/>
            </w:tcBorders>
          </w:tcPr>
          <w:p w14:paraId="5DB5EC8F" w14:textId="33D06EA5" w:rsidR="008F364A" w:rsidRPr="006815E9" w:rsidRDefault="00FE3921">
            <w:r w:rsidRPr="006815E9">
              <w:t>ROBERT M. MAINVILLE, J.A.</w:t>
            </w:r>
          </w:p>
        </w:tc>
      </w:tr>
      <w:tr w:rsidR="006E799E" w:rsidRPr="00E60984" w14:paraId="4D22DA90" w14:textId="77777777" w:rsidTr="00117914">
        <w:trPr>
          <w:trHeight w:val="283"/>
        </w:trPr>
        <w:tc>
          <w:tcPr>
            <w:tcW w:w="4682" w:type="dxa"/>
            <w:gridSpan w:val="2"/>
            <w:tcBorders>
              <w:top w:val="nil"/>
            </w:tcBorders>
          </w:tcPr>
          <w:p w14:paraId="078E07C7" w14:textId="77777777" w:rsidR="008F364A" w:rsidRPr="006815E9" w:rsidRDefault="008F364A">
            <w:pPr>
              <w:keepNext/>
            </w:pPr>
            <w:bookmarkStart w:id="3" w:name="Signature2"/>
          </w:p>
        </w:tc>
        <w:tc>
          <w:tcPr>
            <w:tcW w:w="4680" w:type="dxa"/>
            <w:tcBorders>
              <w:top w:val="nil"/>
            </w:tcBorders>
          </w:tcPr>
          <w:p w14:paraId="6ECD181C" w14:textId="77777777" w:rsidR="008F364A" w:rsidRPr="006815E9" w:rsidRDefault="008F364A">
            <w:pPr>
              <w:keepNext/>
            </w:pPr>
          </w:p>
        </w:tc>
      </w:tr>
      <w:tr w:rsidR="006E799E" w:rsidRPr="00E60984" w14:paraId="1430B4B2" w14:textId="77777777" w:rsidTr="00117914">
        <w:trPr>
          <w:trHeight w:val="283"/>
        </w:trPr>
        <w:tc>
          <w:tcPr>
            <w:tcW w:w="4682" w:type="dxa"/>
            <w:gridSpan w:val="2"/>
            <w:tcBorders>
              <w:top w:val="nil"/>
              <w:bottom w:val="nil"/>
            </w:tcBorders>
          </w:tcPr>
          <w:p w14:paraId="4D27B1D6" w14:textId="77777777" w:rsidR="008F364A" w:rsidRPr="006815E9" w:rsidRDefault="008F364A">
            <w:pPr>
              <w:keepNext/>
            </w:pPr>
          </w:p>
        </w:tc>
        <w:tc>
          <w:tcPr>
            <w:tcW w:w="4680" w:type="dxa"/>
            <w:tcBorders>
              <w:top w:val="nil"/>
              <w:bottom w:val="single" w:sz="8" w:space="0" w:color="auto"/>
            </w:tcBorders>
          </w:tcPr>
          <w:p w14:paraId="06DE2B53" w14:textId="77777777" w:rsidR="008F364A" w:rsidRPr="006815E9" w:rsidRDefault="008F364A">
            <w:pPr>
              <w:keepNext/>
            </w:pPr>
          </w:p>
        </w:tc>
      </w:tr>
      <w:tr w:rsidR="006E799E" w:rsidRPr="00E60984" w14:paraId="646F8B07" w14:textId="77777777" w:rsidTr="00117914">
        <w:trPr>
          <w:trHeight w:val="283"/>
        </w:trPr>
        <w:tc>
          <w:tcPr>
            <w:tcW w:w="4682" w:type="dxa"/>
            <w:gridSpan w:val="2"/>
            <w:tcBorders>
              <w:top w:val="nil"/>
            </w:tcBorders>
          </w:tcPr>
          <w:p w14:paraId="2B90C437" w14:textId="77777777" w:rsidR="008F364A" w:rsidRPr="006815E9" w:rsidRDefault="008F364A">
            <w:pPr>
              <w:keepNext/>
            </w:pPr>
          </w:p>
        </w:tc>
        <w:tc>
          <w:tcPr>
            <w:tcW w:w="4680" w:type="dxa"/>
            <w:tcBorders>
              <w:top w:val="single" w:sz="8" w:space="0" w:color="auto"/>
            </w:tcBorders>
          </w:tcPr>
          <w:p w14:paraId="6BC44A9E" w14:textId="4958CC9A" w:rsidR="008F364A" w:rsidRPr="00E60984" w:rsidRDefault="00FE3921">
            <w:pPr>
              <w:keepNext/>
              <w:rPr>
                <w:lang w:val="en-CA"/>
              </w:rPr>
            </w:pPr>
            <w:r w:rsidRPr="00E60984">
              <w:rPr>
                <w:lang w:val="en-CA"/>
              </w:rPr>
              <w:t>CHRISTINE BAUDOUIN, J.A.</w:t>
            </w:r>
          </w:p>
        </w:tc>
      </w:tr>
      <w:tr w:rsidR="006E799E" w:rsidRPr="00E60984" w14:paraId="1BD71106" w14:textId="77777777" w:rsidTr="00117914">
        <w:trPr>
          <w:trHeight w:val="283"/>
        </w:trPr>
        <w:tc>
          <w:tcPr>
            <w:tcW w:w="4682" w:type="dxa"/>
            <w:gridSpan w:val="2"/>
            <w:tcBorders>
              <w:top w:val="nil"/>
            </w:tcBorders>
          </w:tcPr>
          <w:p w14:paraId="263580A8" w14:textId="77777777" w:rsidR="008F364A" w:rsidRPr="00E60984" w:rsidRDefault="008F364A">
            <w:pPr>
              <w:keepNext/>
              <w:rPr>
                <w:lang w:val="en-CA"/>
              </w:rPr>
            </w:pPr>
            <w:bookmarkStart w:id="4" w:name="Signature3"/>
            <w:bookmarkEnd w:id="3"/>
          </w:p>
        </w:tc>
        <w:tc>
          <w:tcPr>
            <w:tcW w:w="4680" w:type="dxa"/>
            <w:tcBorders>
              <w:top w:val="nil"/>
            </w:tcBorders>
          </w:tcPr>
          <w:p w14:paraId="6D958332" w14:textId="77777777" w:rsidR="008F364A" w:rsidRPr="00E60984" w:rsidRDefault="008F364A">
            <w:pPr>
              <w:keepNext/>
              <w:rPr>
                <w:lang w:val="en-CA"/>
              </w:rPr>
            </w:pPr>
          </w:p>
        </w:tc>
      </w:tr>
      <w:tr w:rsidR="006E799E" w:rsidRPr="00E60984" w14:paraId="1D885492" w14:textId="77777777" w:rsidTr="00117914">
        <w:trPr>
          <w:trHeight w:val="283"/>
        </w:trPr>
        <w:tc>
          <w:tcPr>
            <w:tcW w:w="4682" w:type="dxa"/>
            <w:gridSpan w:val="2"/>
            <w:tcBorders>
              <w:top w:val="nil"/>
              <w:bottom w:val="nil"/>
            </w:tcBorders>
          </w:tcPr>
          <w:p w14:paraId="24B4D066" w14:textId="77777777" w:rsidR="008F364A" w:rsidRPr="00E60984" w:rsidRDefault="008F364A">
            <w:pPr>
              <w:keepNext/>
              <w:rPr>
                <w:lang w:val="en-CA"/>
              </w:rPr>
            </w:pPr>
          </w:p>
        </w:tc>
        <w:tc>
          <w:tcPr>
            <w:tcW w:w="4680" w:type="dxa"/>
            <w:tcBorders>
              <w:top w:val="nil"/>
              <w:bottom w:val="single" w:sz="8" w:space="0" w:color="auto"/>
            </w:tcBorders>
          </w:tcPr>
          <w:p w14:paraId="47AB9BE4" w14:textId="77777777" w:rsidR="008F364A" w:rsidRPr="00E60984" w:rsidRDefault="008F364A">
            <w:pPr>
              <w:keepNext/>
              <w:rPr>
                <w:lang w:val="en-CA"/>
              </w:rPr>
            </w:pPr>
          </w:p>
        </w:tc>
      </w:tr>
      <w:tr w:rsidR="006E799E" w:rsidRPr="00E60984" w14:paraId="0CB93860" w14:textId="77777777" w:rsidTr="00117914">
        <w:trPr>
          <w:trHeight w:val="283"/>
        </w:trPr>
        <w:tc>
          <w:tcPr>
            <w:tcW w:w="4682" w:type="dxa"/>
            <w:gridSpan w:val="2"/>
            <w:tcBorders>
              <w:top w:val="nil"/>
            </w:tcBorders>
          </w:tcPr>
          <w:p w14:paraId="1221173F" w14:textId="77777777" w:rsidR="008F364A" w:rsidRPr="00E60984" w:rsidRDefault="008F364A">
            <w:pPr>
              <w:keepNext/>
              <w:rPr>
                <w:lang w:val="en-CA"/>
              </w:rPr>
            </w:pPr>
          </w:p>
        </w:tc>
        <w:tc>
          <w:tcPr>
            <w:tcW w:w="4680" w:type="dxa"/>
            <w:tcBorders>
              <w:top w:val="single" w:sz="8" w:space="0" w:color="auto"/>
            </w:tcBorders>
          </w:tcPr>
          <w:p w14:paraId="1A8573D3" w14:textId="1EF19FB3" w:rsidR="008F364A" w:rsidRPr="00E60984" w:rsidRDefault="00FE3921">
            <w:pPr>
              <w:keepNext/>
              <w:rPr>
                <w:lang w:val="en-CA"/>
              </w:rPr>
            </w:pPr>
            <w:r w:rsidRPr="00E60984">
              <w:rPr>
                <w:lang w:val="en-CA"/>
              </w:rPr>
              <w:t>FRÉDÉRIC BACHAND, J.A.</w:t>
            </w:r>
          </w:p>
        </w:tc>
      </w:tr>
      <w:bookmarkEnd w:id="4"/>
      <w:tr w:rsidR="006E799E" w:rsidRPr="00E60984" w14:paraId="3557C720" w14:textId="77777777" w:rsidTr="00423DF1">
        <w:tc>
          <w:tcPr>
            <w:tcW w:w="9362" w:type="dxa"/>
            <w:gridSpan w:val="3"/>
          </w:tcPr>
          <w:p w14:paraId="531059F4" w14:textId="77777777" w:rsidR="002E3C5D" w:rsidRPr="00E60984" w:rsidRDefault="002E3C5D" w:rsidP="005A78BF">
            <w:pPr>
              <w:rPr>
                <w:lang w:val="en-CA"/>
              </w:rPr>
            </w:pPr>
          </w:p>
        </w:tc>
      </w:tr>
      <w:tr w:rsidR="006E799E" w:rsidRPr="00E60984" w14:paraId="2E4B6227" w14:textId="77777777" w:rsidTr="00423DF1">
        <w:tc>
          <w:tcPr>
            <w:tcW w:w="9362" w:type="dxa"/>
            <w:gridSpan w:val="3"/>
          </w:tcPr>
          <w:p w14:paraId="768D859A" w14:textId="77777777" w:rsidR="002E3C5D" w:rsidRPr="00E60984" w:rsidRDefault="002E3C5D" w:rsidP="005A78BF">
            <w:pPr>
              <w:rPr>
                <w:lang w:val="en-CA"/>
              </w:rPr>
            </w:pPr>
          </w:p>
        </w:tc>
      </w:tr>
      <w:tr w:rsidR="006E799E" w:rsidRPr="00E60984" w14:paraId="152CEA84" w14:textId="77777777" w:rsidTr="00423DF1">
        <w:tc>
          <w:tcPr>
            <w:tcW w:w="9362" w:type="dxa"/>
            <w:gridSpan w:val="3"/>
          </w:tcPr>
          <w:p w14:paraId="52EE25CC" w14:textId="40DE5DCC" w:rsidR="005A78BF" w:rsidRPr="00E60984" w:rsidRDefault="00FE3921" w:rsidP="005A78BF">
            <w:pPr>
              <w:pStyle w:val="zSoquijdatNomProcureurDem"/>
              <w:rPr>
                <w:lang w:val="en-CA"/>
              </w:rPr>
            </w:pPr>
            <w:r w:rsidRPr="00E60984">
              <w:rPr>
                <w:lang w:val="en-CA"/>
              </w:rPr>
              <w:t>Mtre Alexandre Duval</w:t>
            </w:r>
          </w:p>
        </w:tc>
      </w:tr>
      <w:tr w:rsidR="006E799E" w:rsidRPr="00E60984" w14:paraId="20A6E885" w14:textId="77777777" w:rsidTr="00423DF1">
        <w:tc>
          <w:tcPr>
            <w:tcW w:w="9362" w:type="dxa"/>
            <w:gridSpan w:val="3"/>
          </w:tcPr>
          <w:p w14:paraId="2AF55411" w14:textId="698BEF44" w:rsidR="00671D3D" w:rsidRPr="00E60984" w:rsidRDefault="00FE3921" w:rsidP="005A78BF">
            <w:pPr>
              <w:pStyle w:val="zSoquijdatNomProcureurDem"/>
              <w:rPr>
                <w:lang w:val="en-CA"/>
              </w:rPr>
            </w:pPr>
            <w:r w:rsidRPr="00E60984">
              <w:rPr>
                <w:lang w:val="en-CA"/>
              </w:rPr>
              <w:t>Mtre Samuel Chayer</w:t>
            </w:r>
          </w:p>
        </w:tc>
      </w:tr>
      <w:tr w:rsidR="006E799E" w:rsidRPr="00E60984" w14:paraId="332A5716" w14:textId="77777777" w:rsidTr="00423DF1">
        <w:tc>
          <w:tcPr>
            <w:tcW w:w="9362" w:type="dxa"/>
            <w:gridSpan w:val="3"/>
          </w:tcPr>
          <w:p w14:paraId="72C2B86E" w14:textId="5E0E8680" w:rsidR="00671D3D" w:rsidRPr="00E60984" w:rsidRDefault="00FE3921" w:rsidP="00671D3D">
            <w:pPr>
              <w:pStyle w:val="zSoquijdatNomProcureurDem"/>
              <w:rPr>
                <w:lang w:val="en-CA"/>
              </w:rPr>
            </w:pPr>
            <w:proofErr w:type="spellStart"/>
            <w:r w:rsidRPr="00E60984">
              <w:rPr>
                <w:lang w:val="en-CA"/>
              </w:rPr>
              <w:t>Mtre</w:t>
            </w:r>
            <w:proofErr w:type="spellEnd"/>
            <w:r w:rsidRPr="00E60984">
              <w:rPr>
                <w:lang w:val="en-CA"/>
              </w:rPr>
              <w:t xml:space="preserve"> Andréa Boivin-</w:t>
            </w:r>
            <w:proofErr w:type="spellStart"/>
            <w:r w:rsidRPr="00E60984">
              <w:rPr>
                <w:lang w:val="en-CA"/>
              </w:rPr>
              <w:t>Claveau</w:t>
            </w:r>
            <w:proofErr w:type="spellEnd"/>
            <w:r w:rsidRPr="00E60984">
              <w:rPr>
                <w:lang w:val="en-CA"/>
              </w:rPr>
              <w:t xml:space="preserve"> </w:t>
            </w:r>
          </w:p>
        </w:tc>
      </w:tr>
      <w:tr w:rsidR="006E799E" w:rsidRPr="00E60984" w14:paraId="274E7557" w14:textId="77777777" w:rsidTr="00423DF1">
        <w:tc>
          <w:tcPr>
            <w:tcW w:w="9362" w:type="dxa"/>
            <w:gridSpan w:val="3"/>
          </w:tcPr>
          <w:p w14:paraId="772D7E2D" w14:textId="14FAD685" w:rsidR="00671D3D" w:rsidRPr="00E60984" w:rsidRDefault="00DE2A80" w:rsidP="00671D3D">
            <w:pPr>
              <w:pStyle w:val="zSoquijdatCabinetProcureurDem"/>
              <w:rPr>
                <w:smallCaps/>
                <w:lang w:val="en-CA"/>
              </w:rPr>
            </w:pPr>
            <w:proofErr w:type="spellStart"/>
            <w:r w:rsidRPr="00E60984">
              <w:rPr>
                <w:smallCaps/>
                <w:lang w:val="en-CA"/>
              </w:rPr>
              <w:t>bernard</w:t>
            </w:r>
            <w:proofErr w:type="spellEnd"/>
            <w:r w:rsidRPr="00E60984">
              <w:rPr>
                <w:smallCaps/>
                <w:lang w:val="en-CA"/>
              </w:rPr>
              <w:t xml:space="preserve">, </w:t>
            </w:r>
            <w:proofErr w:type="spellStart"/>
            <w:r w:rsidRPr="00E60984">
              <w:rPr>
                <w:smallCaps/>
                <w:lang w:val="en-CA"/>
              </w:rPr>
              <w:t>roy</w:t>
            </w:r>
            <w:proofErr w:type="spellEnd"/>
            <w:r w:rsidRPr="00E60984">
              <w:rPr>
                <w:smallCaps/>
                <w:lang w:val="en-CA"/>
              </w:rPr>
              <w:t xml:space="preserve"> (justice-</w:t>
            </w:r>
            <w:proofErr w:type="spellStart"/>
            <w:r w:rsidRPr="00E60984">
              <w:rPr>
                <w:smallCaps/>
                <w:lang w:val="en-CA"/>
              </w:rPr>
              <w:t>québec</w:t>
            </w:r>
            <w:proofErr w:type="spellEnd"/>
            <w:r w:rsidRPr="00E60984">
              <w:rPr>
                <w:smallCaps/>
                <w:lang w:val="en-CA"/>
              </w:rPr>
              <w:t>)</w:t>
            </w:r>
          </w:p>
        </w:tc>
      </w:tr>
      <w:tr w:rsidR="006E799E" w:rsidRPr="00F00051" w14:paraId="5EB3C0C6" w14:textId="77777777" w:rsidTr="00423DF1">
        <w:tc>
          <w:tcPr>
            <w:tcW w:w="9362" w:type="dxa"/>
            <w:gridSpan w:val="3"/>
          </w:tcPr>
          <w:p w14:paraId="07F86127" w14:textId="47CE24E6" w:rsidR="00671D3D" w:rsidRPr="00E60984" w:rsidRDefault="00FE3921" w:rsidP="00671D3D">
            <w:pPr>
              <w:pStyle w:val="zSoquijlblProcureurDem"/>
              <w:rPr>
                <w:lang w:val="en-CA"/>
              </w:rPr>
            </w:pPr>
            <w:r w:rsidRPr="00E60984">
              <w:rPr>
                <w:lang w:val="en-CA"/>
              </w:rPr>
              <w:t>For the appellant/incidental respondent</w:t>
            </w:r>
          </w:p>
        </w:tc>
      </w:tr>
      <w:tr w:rsidR="006E799E" w:rsidRPr="00F00051" w14:paraId="1D5878E8" w14:textId="77777777" w:rsidTr="00423DF1">
        <w:tc>
          <w:tcPr>
            <w:tcW w:w="9362" w:type="dxa"/>
            <w:gridSpan w:val="3"/>
          </w:tcPr>
          <w:p w14:paraId="30F76132" w14:textId="77777777" w:rsidR="00671D3D" w:rsidRPr="00E60984" w:rsidRDefault="00671D3D" w:rsidP="00671D3D">
            <w:pPr>
              <w:rPr>
                <w:lang w:val="en-CA"/>
              </w:rPr>
            </w:pPr>
          </w:p>
        </w:tc>
      </w:tr>
      <w:tr w:rsidR="006E799E" w:rsidRPr="00E60984" w14:paraId="6DFD2AA8" w14:textId="77777777" w:rsidTr="00423DF1">
        <w:tc>
          <w:tcPr>
            <w:tcW w:w="9362" w:type="dxa"/>
            <w:gridSpan w:val="3"/>
          </w:tcPr>
          <w:p w14:paraId="66232988" w14:textId="7189854A" w:rsidR="00671D3D" w:rsidRPr="00E60984" w:rsidRDefault="00FE3921" w:rsidP="00671D3D">
            <w:pPr>
              <w:pStyle w:val="zSoquijdatNomProcureurDef"/>
              <w:rPr>
                <w:lang w:val="en-CA"/>
              </w:rPr>
            </w:pPr>
            <w:r w:rsidRPr="00E60984">
              <w:rPr>
                <w:lang w:val="en-CA"/>
              </w:rPr>
              <w:t>Mtre Mario Coderre</w:t>
            </w:r>
          </w:p>
        </w:tc>
      </w:tr>
      <w:tr w:rsidR="006E799E" w:rsidRPr="00E60984" w14:paraId="263AE9C8" w14:textId="77777777" w:rsidTr="00423DF1">
        <w:tc>
          <w:tcPr>
            <w:tcW w:w="9362" w:type="dxa"/>
            <w:gridSpan w:val="3"/>
          </w:tcPr>
          <w:p w14:paraId="53881282" w14:textId="72F03C89" w:rsidR="00A17C43" w:rsidRPr="00E60984" w:rsidRDefault="00FE3921" w:rsidP="00671D3D">
            <w:pPr>
              <w:pStyle w:val="zSoquijdatNomProcureurDef"/>
              <w:rPr>
                <w:lang w:val="en-CA"/>
              </w:rPr>
            </w:pPr>
            <w:r w:rsidRPr="00E60984">
              <w:rPr>
                <w:lang w:val="en-CA"/>
              </w:rPr>
              <w:t>Guillaume Rioux, articling student</w:t>
            </w:r>
          </w:p>
        </w:tc>
      </w:tr>
      <w:tr w:rsidR="006E799E" w:rsidRPr="00E60984" w14:paraId="3C9DE037" w14:textId="77777777" w:rsidTr="00423DF1">
        <w:tc>
          <w:tcPr>
            <w:tcW w:w="9362" w:type="dxa"/>
            <w:gridSpan w:val="3"/>
          </w:tcPr>
          <w:p w14:paraId="245A7096" w14:textId="2AD17C3F" w:rsidR="00671D3D" w:rsidRPr="00E60984" w:rsidRDefault="00DE2A80" w:rsidP="00671D3D">
            <w:pPr>
              <w:pStyle w:val="zSoquijdatCabinetProcureurDef"/>
              <w:rPr>
                <w:smallCaps/>
                <w:lang w:val="en-CA"/>
              </w:rPr>
            </w:pPr>
            <w:proofErr w:type="spellStart"/>
            <w:r w:rsidRPr="00E60984">
              <w:rPr>
                <w:smallCaps/>
                <w:lang w:val="en-CA"/>
              </w:rPr>
              <w:t>rbd</w:t>
            </w:r>
            <w:proofErr w:type="spellEnd"/>
            <w:r w:rsidRPr="00E60984">
              <w:rPr>
                <w:smallCaps/>
                <w:lang w:val="en-CA"/>
              </w:rPr>
              <w:t xml:space="preserve"> avocats</w:t>
            </w:r>
          </w:p>
        </w:tc>
      </w:tr>
      <w:tr w:rsidR="006E799E" w:rsidRPr="00F00051" w14:paraId="5AF05550" w14:textId="77777777" w:rsidTr="00423DF1">
        <w:tc>
          <w:tcPr>
            <w:tcW w:w="9362" w:type="dxa"/>
            <w:gridSpan w:val="3"/>
          </w:tcPr>
          <w:p w14:paraId="0FAF80E4" w14:textId="4B7875B1" w:rsidR="00671D3D" w:rsidRPr="00E60984" w:rsidRDefault="00FE3921" w:rsidP="00671D3D">
            <w:pPr>
              <w:pStyle w:val="zSoquijlblProcureurDef"/>
              <w:rPr>
                <w:lang w:val="en-CA"/>
              </w:rPr>
            </w:pPr>
            <w:r w:rsidRPr="00E60984">
              <w:rPr>
                <w:lang w:val="en-CA"/>
              </w:rPr>
              <w:t>For the respondents/incidental appellants</w:t>
            </w:r>
          </w:p>
        </w:tc>
      </w:tr>
      <w:tr w:rsidR="006E799E" w:rsidRPr="00F00051" w14:paraId="635E8B3C" w14:textId="77777777" w:rsidTr="00423DF1">
        <w:tc>
          <w:tcPr>
            <w:tcW w:w="9362" w:type="dxa"/>
            <w:gridSpan w:val="3"/>
          </w:tcPr>
          <w:p w14:paraId="5105B787" w14:textId="77777777" w:rsidR="00671D3D" w:rsidRPr="00E60984" w:rsidRDefault="00671D3D" w:rsidP="00671D3D">
            <w:pPr>
              <w:rPr>
                <w:lang w:val="en-CA"/>
              </w:rPr>
            </w:pPr>
          </w:p>
        </w:tc>
      </w:tr>
      <w:tr w:rsidR="006E799E" w:rsidRPr="00E60984" w14:paraId="4FB0D4D3" w14:textId="77777777" w:rsidTr="00423DF1">
        <w:tc>
          <w:tcPr>
            <w:tcW w:w="9362" w:type="dxa"/>
            <w:gridSpan w:val="3"/>
          </w:tcPr>
          <w:p w14:paraId="281BDB17" w14:textId="4C4A0B9A" w:rsidR="00671D3D" w:rsidRPr="00E60984" w:rsidRDefault="00FE3921" w:rsidP="00671D3D">
            <w:pPr>
              <w:rPr>
                <w:lang w:val="en-CA"/>
              </w:rPr>
            </w:pPr>
            <w:proofErr w:type="spellStart"/>
            <w:r w:rsidRPr="00E60984">
              <w:rPr>
                <w:lang w:val="en-CA"/>
              </w:rPr>
              <w:t>Mtre</w:t>
            </w:r>
            <w:proofErr w:type="spellEnd"/>
            <w:r w:rsidRPr="00E60984">
              <w:rPr>
                <w:lang w:val="en-CA"/>
              </w:rPr>
              <w:t xml:space="preserve"> André </w:t>
            </w:r>
            <w:proofErr w:type="spellStart"/>
            <w:r w:rsidRPr="00E60984">
              <w:rPr>
                <w:lang w:val="en-CA"/>
              </w:rPr>
              <w:t>Fiset</w:t>
            </w:r>
            <w:proofErr w:type="spellEnd"/>
          </w:p>
        </w:tc>
      </w:tr>
      <w:tr w:rsidR="006E799E" w:rsidRPr="00F00051" w14:paraId="7D9D5A52" w14:textId="77777777" w:rsidTr="00423DF1">
        <w:tc>
          <w:tcPr>
            <w:tcW w:w="9362" w:type="dxa"/>
            <w:gridSpan w:val="3"/>
          </w:tcPr>
          <w:p w14:paraId="63BDA630" w14:textId="032538B3" w:rsidR="00671D3D" w:rsidRPr="00E60984" w:rsidRDefault="00633977" w:rsidP="00671D3D">
            <w:pPr>
              <w:rPr>
                <w:smallCaps/>
                <w:lang w:val="en-CA"/>
              </w:rPr>
            </w:pPr>
            <w:r>
              <w:rPr>
                <w:smallCaps/>
                <w:lang w:val="en-CA"/>
              </w:rPr>
              <w:t>l</w:t>
            </w:r>
            <w:r w:rsidR="00FE3921" w:rsidRPr="00E60984">
              <w:rPr>
                <w:smallCaps/>
                <w:lang w:val="en-CA"/>
              </w:rPr>
              <w:t xml:space="preserve">aw firm of </w:t>
            </w:r>
            <w:proofErr w:type="spellStart"/>
            <w:r>
              <w:rPr>
                <w:smallCaps/>
                <w:lang w:val="en-CA"/>
              </w:rPr>
              <w:t>m</w:t>
            </w:r>
            <w:r w:rsidR="00FE3921" w:rsidRPr="00E60984">
              <w:rPr>
                <w:smallCaps/>
                <w:lang w:val="en-CA"/>
              </w:rPr>
              <w:t>tre</w:t>
            </w:r>
            <w:proofErr w:type="spellEnd"/>
            <w:r w:rsidR="00FE3921" w:rsidRPr="00E60984">
              <w:rPr>
                <w:smallCaps/>
                <w:lang w:val="en-CA"/>
              </w:rPr>
              <w:t xml:space="preserve"> André </w:t>
            </w:r>
            <w:proofErr w:type="spellStart"/>
            <w:r w:rsidR="00FE3921" w:rsidRPr="00E60984">
              <w:rPr>
                <w:smallCaps/>
                <w:lang w:val="en-CA"/>
              </w:rPr>
              <w:t>Fiset</w:t>
            </w:r>
            <w:proofErr w:type="spellEnd"/>
          </w:p>
        </w:tc>
      </w:tr>
      <w:tr w:rsidR="006E799E" w:rsidRPr="00F00051" w14:paraId="525B19DE" w14:textId="77777777" w:rsidTr="00423DF1">
        <w:tc>
          <w:tcPr>
            <w:tcW w:w="9362" w:type="dxa"/>
            <w:gridSpan w:val="3"/>
          </w:tcPr>
          <w:p w14:paraId="7DE842E4" w14:textId="3FE04A70" w:rsidR="00671D3D" w:rsidRPr="00E60984" w:rsidRDefault="00FE3921" w:rsidP="00671D3D">
            <w:pPr>
              <w:rPr>
                <w:lang w:val="en-CA"/>
              </w:rPr>
            </w:pPr>
            <w:r w:rsidRPr="00E60984">
              <w:rPr>
                <w:lang w:val="en-CA"/>
              </w:rPr>
              <w:t>For the impleaded party/incidental impleaded party</w:t>
            </w:r>
          </w:p>
        </w:tc>
      </w:tr>
      <w:tr w:rsidR="006E799E" w:rsidRPr="00F00051" w14:paraId="6BCB0433" w14:textId="77777777" w:rsidTr="00423DF1">
        <w:tc>
          <w:tcPr>
            <w:tcW w:w="9362" w:type="dxa"/>
            <w:gridSpan w:val="3"/>
          </w:tcPr>
          <w:p w14:paraId="6748B816" w14:textId="77777777" w:rsidR="00671D3D" w:rsidRPr="00E60984" w:rsidRDefault="00671D3D" w:rsidP="00671D3D">
            <w:pPr>
              <w:rPr>
                <w:lang w:val="en-CA"/>
              </w:rPr>
            </w:pPr>
          </w:p>
        </w:tc>
      </w:tr>
      <w:tr w:rsidR="006E799E" w:rsidRPr="00E60984" w14:paraId="0A392E72" w14:textId="77777777" w:rsidTr="001D0E14">
        <w:tc>
          <w:tcPr>
            <w:tcW w:w="2127" w:type="dxa"/>
          </w:tcPr>
          <w:p w14:paraId="3D106ACB" w14:textId="502B4F84" w:rsidR="00671D3D" w:rsidRPr="00E60984" w:rsidRDefault="00FE3921" w:rsidP="00671D3D">
            <w:pPr>
              <w:pStyle w:val="zSoquijlblDateAudience"/>
              <w:rPr>
                <w:lang w:val="en-CA"/>
              </w:rPr>
            </w:pPr>
            <w:r w:rsidRPr="00E60984">
              <w:rPr>
                <w:lang w:val="en-CA"/>
              </w:rPr>
              <w:t>Date of hearing:</w:t>
            </w:r>
          </w:p>
        </w:tc>
        <w:tc>
          <w:tcPr>
            <w:tcW w:w="7235" w:type="dxa"/>
            <w:gridSpan w:val="2"/>
          </w:tcPr>
          <w:p w14:paraId="39DDBA19" w14:textId="2887F535" w:rsidR="00671D3D" w:rsidRPr="00E60984" w:rsidRDefault="00FE3921" w:rsidP="00671D3D">
            <w:pPr>
              <w:pStyle w:val="zSoquijdatDateAudience"/>
              <w:rPr>
                <w:lang w:val="en-CA"/>
              </w:rPr>
            </w:pPr>
            <w:r w:rsidRPr="00E60984">
              <w:rPr>
                <w:lang w:val="en-CA"/>
              </w:rPr>
              <w:t>October 3, 2023</w:t>
            </w:r>
          </w:p>
        </w:tc>
      </w:tr>
      <w:tr w:rsidR="006E799E" w:rsidRPr="00E60984" w14:paraId="3635A5A0" w14:textId="77777777" w:rsidTr="001D0E14">
        <w:tc>
          <w:tcPr>
            <w:tcW w:w="2127" w:type="dxa"/>
          </w:tcPr>
          <w:p w14:paraId="0803EC06" w14:textId="02108C8C" w:rsidR="001D0E14" w:rsidRPr="00E60984" w:rsidRDefault="00FE3921" w:rsidP="00671D3D">
            <w:pPr>
              <w:pStyle w:val="zSoquijlblDateAudience"/>
              <w:rPr>
                <w:lang w:val="en-CA"/>
              </w:rPr>
            </w:pPr>
            <w:bookmarkStart w:id="5" w:name="Opinion"/>
            <w:bookmarkEnd w:id="2"/>
            <w:r w:rsidRPr="00E60984">
              <w:rPr>
                <w:lang w:val="en-CA"/>
              </w:rPr>
              <w:t>Date taken under advisement:</w:t>
            </w:r>
          </w:p>
        </w:tc>
        <w:tc>
          <w:tcPr>
            <w:tcW w:w="7235" w:type="dxa"/>
            <w:gridSpan w:val="2"/>
          </w:tcPr>
          <w:p w14:paraId="7212B3AD" w14:textId="77777777" w:rsidR="001D0E14" w:rsidRPr="00E60984" w:rsidRDefault="001D0E14" w:rsidP="00671D3D">
            <w:pPr>
              <w:pStyle w:val="zSoquijdatDateAudience"/>
              <w:rPr>
                <w:lang w:val="en-CA"/>
              </w:rPr>
            </w:pPr>
          </w:p>
          <w:p w14:paraId="198248F5" w14:textId="3EA9A340" w:rsidR="001D0E14" w:rsidRPr="00E60984" w:rsidRDefault="00FE3921" w:rsidP="00671D3D">
            <w:pPr>
              <w:pStyle w:val="zSoquijdatDateAudience"/>
              <w:rPr>
                <w:lang w:val="en-CA"/>
              </w:rPr>
            </w:pPr>
            <w:r w:rsidRPr="00E60984">
              <w:rPr>
                <w:lang w:val="en-CA"/>
              </w:rPr>
              <w:t>March 1, 2024</w:t>
            </w:r>
          </w:p>
        </w:tc>
      </w:tr>
    </w:tbl>
    <w:p w14:paraId="1E7C407C" w14:textId="49B2CBE0" w:rsidR="00A17C43" w:rsidRPr="00E60984" w:rsidRDefault="00A17C43" w:rsidP="00A17C43">
      <w:pPr>
        <w:rPr>
          <w:lang w:val="en-CA"/>
        </w:rPr>
        <w:sectPr w:rsidR="00A17C43" w:rsidRPr="00E60984" w:rsidSect="00F43559">
          <w:headerReference w:type="even" r:id="rId8"/>
          <w:headerReference w:type="default" r:id="rId9"/>
          <w:footerReference w:type="even" r:id="rId10"/>
          <w:footerReference w:type="default" r:id="rId11"/>
          <w:headerReference w:type="first" r:id="rId12"/>
          <w:footerReference w:type="first" r:id="rId13"/>
          <w:pgSz w:w="12242" w:h="15842" w:code="1"/>
          <w:pgMar w:top="1440" w:right="1008" w:bottom="1440" w:left="1872" w:header="1440" w:footer="792" w:gutter="0"/>
          <w:cols w:space="720"/>
          <w:formProt w:val="0"/>
          <w:titlePg/>
        </w:sectPr>
      </w:pPr>
    </w:p>
    <w:tbl>
      <w:tblPr>
        <w:tblW w:w="0" w:type="auto"/>
        <w:tblLayout w:type="fixed"/>
        <w:tblCellMar>
          <w:left w:w="0" w:type="dxa"/>
          <w:right w:w="0" w:type="dxa"/>
        </w:tblCellMar>
        <w:tblLook w:val="0000" w:firstRow="0" w:lastRow="0" w:firstColumn="0" w:lastColumn="0" w:noHBand="0" w:noVBand="0"/>
      </w:tblPr>
      <w:tblGrid>
        <w:gridCol w:w="9360"/>
      </w:tblGrid>
      <w:tr w:rsidR="006E799E" w:rsidRPr="00E60984" w14:paraId="04A8F21B" w14:textId="77777777" w:rsidTr="00976654">
        <w:tc>
          <w:tcPr>
            <w:tcW w:w="9360" w:type="dxa"/>
            <w:tcBorders>
              <w:bottom w:val="single" w:sz="8" w:space="0" w:color="auto"/>
            </w:tcBorders>
          </w:tcPr>
          <w:p w14:paraId="1FC2865A" w14:textId="77777777" w:rsidR="00A17C43" w:rsidRPr="00E60984" w:rsidRDefault="00DE2A80" w:rsidP="00976654">
            <w:pPr>
              <w:rPr>
                <w:lang w:val="en-CA"/>
              </w:rPr>
            </w:pPr>
            <w:r w:rsidRPr="00E60984">
              <w:rPr>
                <w:lang w:val="en-CA"/>
              </w:rPr>
              <w:lastRenderedPageBreak/>
              <w:br w:type="page"/>
            </w:r>
          </w:p>
        </w:tc>
      </w:tr>
      <w:tr w:rsidR="006E799E" w:rsidRPr="00E60984" w14:paraId="5E6F8056" w14:textId="77777777" w:rsidTr="00976654">
        <w:tc>
          <w:tcPr>
            <w:tcW w:w="9360" w:type="dxa"/>
            <w:tcBorders>
              <w:top w:val="single" w:sz="8" w:space="0" w:color="auto"/>
            </w:tcBorders>
          </w:tcPr>
          <w:p w14:paraId="605CAD41" w14:textId="77777777" w:rsidR="00A17C43" w:rsidRPr="00E60984" w:rsidRDefault="00A17C43" w:rsidP="00976654">
            <w:pPr>
              <w:rPr>
                <w:lang w:val="en-CA"/>
              </w:rPr>
            </w:pPr>
          </w:p>
        </w:tc>
      </w:tr>
      <w:tr w:rsidR="006E799E" w:rsidRPr="00F00051" w14:paraId="3E352CC6" w14:textId="77777777" w:rsidTr="00976654">
        <w:tc>
          <w:tcPr>
            <w:tcW w:w="9360" w:type="dxa"/>
          </w:tcPr>
          <w:p w14:paraId="769B4864" w14:textId="3C664D4F" w:rsidR="00A17C43" w:rsidRPr="00E60984" w:rsidRDefault="00FE3921" w:rsidP="00976654">
            <w:pPr>
              <w:pStyle w:val="zSoquijlblOpinionJuge"/>
              <w:rPr>
                <w:lang w:val="en-CA"/>
              </w:rPr>
            </w:pPr>
            <w:r w:rsidRPr="00E60984">
              <w:rPr>
                <w:lang w:val="en-CA"/>
              </w:rPr>
              <w:t>REASONS OF MAINVILLE J.A.</w:t>
            </w:r>
          </w:p>
        </w:tc>
      </w:tr>
      <w:tr w:rsidR="006E799E" w:rsidRPr="00F00051" w14:paraId="35430380" w14:textId="77777777" w:rsidTr="00976654">
        <w:tc>
          <w:tcPr>
            <w:tcW w:w="9360" w:type="dxa"/>
            <w:tcBorders>
              <w:bottom w:val="single" w:sz="8" w:space="0" w:color="auto"/>
            </w:tcBorders>
          </w:tcPr>
          <w:p w14:paraId="190378EE" w14:textId="77777777" w:rsidR="00A17C43" w:rsidRPr="00E60984" w:rsidRDefault="00A17C43" w:rsidP="00976654">
            <w:pPr>
              <w:rPr>
                <w:lang w:val="en-CA"/>
              </w:rPr>
            </w:pPr>
          </w:p>
        </w:tc>
      </w:tr>
      <w:tr w:rsidR="006E799E" w:rsidRPr="00F00051" w14:paraId="3CD2B486" w14:textId="77777777" w:rsidTr="00976654">
        <w:tc>
          <w:tcPr>
            <w:tcW w:w="9360" w:type="dxa"/>
            <w:tcBorders>
              <w:top w:val="single" w:sz="8" w:space="0" w:color="auto"/>
            </w:tcBorders>
          </w:tcPr>
          <w:p w14:paraId="66EA1273" w14:textId="77777777" w:rsidR="00A17C43" w:rsidRPr="00E60984" w:rsidRDefault="00A17C43" w:rsidP="00976654">
            <w:pPr>
              <w:rPr>
                <w:lang w:val="en-CA"/>
              </w:rPr>
            </w:pPr>
          </w:p>
        </w:tc>
      </w:tr>
    </w:tbl>
    <w:p w14:paraId="7A643DFC" w14:textId="67362BBF" w:rsidR="00A17C43" w:rsidRPr="00E60984" w:rsidRDefault="00FE3921" w:rsidP="005F15BF">
      <w:pPr>
        <w:pStyle w:val="Paragraphe"/>
        <w:spacing w:before="240" w:line="240" w:lineRule="auto"/>
        <w:rPr>
          <w:lang w:val="en-CA"/>
        </w:rPr>
      </w:pPr>
      <w:r w:rsidRPr="00E60984">
        <w:rPr>
          <w:lang w:val="en-CA"/>
        </w:rPr>
        <w:t>The Court has before it an appeal from a judgment rendered on June 16, 2022 (corrected on June 23, 2022), by the Superior Court, District of Montreal</w:t>
      </w:r>
      <w:r w:rsidR="00E623E5" w:rsidRPr="00E60984">
        <w:rPr>
          <w:lang w:val="en-CA"/>
        </w:rPr>
        <w:t xml:space="preserve"> (the Honourable Marc St-Pierre)</w:t>
      </w:r>
      <w:r w:rsidRPr="00E60984">
        <w:rPr>
          <w:lang w:val="en-CA"/>
        </w:rPr>
        <w:t>,</w:t>
      </w:r>
      <w:r w:rsidRPr="00E60984">
        <w:rPr>
          <w:rStyle w:val="Appelnotedebasdep"/>
          <w:lang w:val="en-CA"/>
        </w:rPr>
        <w:footnoteReference w:id="1"/>
      </w:r>
      <w:r w:rsidRPr="00E60984">
        <w:rPr>
          <w:lang w:val="en-CA"/>
        </w:rPr>
        <w:t xml:space="preserve"> concerning investigations by the Bureau des </w:t>
      </w:r>
      <w:proofErr w:type="spellStart"/>
      <w:r w:rsidRPr="00E60984">
        <w:rPr>
          <w:lang w:val="en-CA"/>
        </w:rPr>
        <w:t>enquêtes</w:t>
      </w:r>
      <w:proofErr w:type="spellEnd"/>
      <w:r w:rsidRPr="00E60984">
        <w:rPr>
          <w:lang w:val="en-CA"/>
        </w:rPr>
        <w:t xml:space="preserve"> </w:t>
      </w:r>
      <w:proofErr w:type="spellStart"/>
      <w:r w:rsidRPr="00E60984">
        <w:rPr>
          <w:lang w:val="en-CA"/>
        </w:rPr>
        <w:t>indépendantes</w:t>
      </w:r>
      <w:proofErr w:type="spellEnd"/>
      <w:r w:rsidRPr="00E60984">
        <w:rPr>
          <w:lang w:val="en-CA"/>
        </w:rPr>
        <w:t xml:space="preserve"> (“BEI”), created under the </w:t>
      </w:r>
      <w:r w:rsidRPr="00E60984">
        <w:rPr>
          <w:i/>
          <w:lang w:val="en-CA"/>
        </w:rPr>
        <w:t>Police Act</w:t>
      </w:r>
      <w:r w:rsidRPr="00E60984">
        <w:rPr>
          <w:lang w:val="en-CA"/>
        </w:rPr>
        <w:t>,</w:t>
      </w:r>
      <w:r w:rsidRPr="00E60984">
        <w:rPr>
          <w:rStyle w:val="Appelnotedebasdep"/>
          <w:lang w:val="en-CA"/>
        </w:rPr>
        <w:footnoteReference w:id="2"/>
      </w:r>
      <w:r w:rsidRPr="00E60984">
        <w:rPr>
          <w:lang w:val="en-CA"/>
        </w:rPr>
        <w:t xml:space="preserve"> conducted according to the procedure established </w:t>
      </w:r>
      <w:r w:rsidR="00EA6197">
        <w:rPr>
          <w:lang w:val="en-CA"/>
        </w:rPr>
        <w:t>by</w:t>
      </w:r>
      <w:r w:rsidRPr="00E60984">
        <w:rPr>
          <w:lang w:val="en-CA"/>
        </w:rPr>
        <w:t xml:space="preserve"> the </w:t>
      </w:r>
      <w:r w:rsidRPr="00E60984">
        <w:rPr>
          <w:i/>
          <w:lang w:val="en-CA"/>
        </w:rPr>
        <w:t xml:space="preserve">Regulation respecting the conduct of the investigations of the Bureau des </w:t>
      </w:r>
      <w:proofErr w:type="spellStart"/>
      <w:r w:rsidRPr="00E60984">
        <w:rPr>
          <w:i/>
          <w:lang w:val="en-CA"/>
        </w:rPr>
        <w:t>enquêtes</w:t>
      </w:r>
      <w:proofErr w:type="spellEnd"/>
      <w:r w:rsidRPr="00E60984">
        <w:rPr>
          <w:i/>
          <w:lang w:val="en-CA"/>
        </w:rPr>
        <w:t xml:space="preserve"> </w:t>
      </w:r>
      <w:proofErr w:type="spellStart"/>
      <w:r w:rsidRPr="00E60984">
        <w:rPr>
          <w:i/>
          <w:lang w:val="en-CA"/>
        </w:rPr>
        <w:t>indépendantes</w:t>
      </w:r>
      <w:proofErr w:type="spellEnd"/>
      <w:r w:rsidRPr="00E60984">
        <w:rPr>
          <w:lang w:val="en-CA"/>
        </w:rPr>
        <w:t>.</w:t>
      </w:r>
      <w:r w:rsidRPr="00E60984">
        <w:rPr>
          <w:rStyle w:val="Appelnotedebasdep"/>
          <w:lang w:val="en-CA"/>
        </w:rPr>
        <w:footnoteReference w:id="3"/>
      </w:r>
    </w:p>
    <w:p w14:paraId="72AAED6C" w14:textId="4798B063" w:rsidR="00A17C43" w:rsidRPr="00E60984" w:rsidRDefault="00FE3921" w:rsidP="005F15BF">
      <w:pPr>
        <w:pStyle w:val="Paragraphe"/>
        <w:spacing w:line="240" w:lineRule="auto"/>
        <w:rPr>
          <w:lang w:val="en-CA"/>
        </w:rPr>
      </w:pPr>
      <w:r w:rsidRPr="00E60984">
        <w:rPr>
          <w:lang w:val="en-CA"/>
        </w:rPr>
        <w:t>The conclusions in that judgment are as follows:</w:t>
      </w:r>
      <w:r w:rsidRPr="00E60984">
        <w:rPr>
          <w:rStyle w:val="Appelnotedebasdep"/>
          <w:lang w:val="en-CA"/>
        </w:rPr>
        <w:footnoteReference w:id="4"/>
      </w:r>
    </w:p>
    <w:p w14:paraId="5352211D" w14:textId="363BFEF9" w:rsidR="00050F25" w:rsidRDefault="00050F25" w:rsidP="005F15BF">
      <w:pPr>
        <w:pStyle w:val="Citationenretrait"/>
        <w:spacing w:line="240" w:lineRule="auto"/>
        <w:rPr>
          <w:lang w:val="en-CA" w:eastAsia="fr-CA"/>
        </w:rPr>
      </w:pPr>
      <w:r>
        <w:rPr>
          <w:rFonts w:cs="Arial"/>
          <w:lang w:val="en-CA" w:eastAsia="fr-CA"/>
        </w:rPr>
        <w:t>[</w:t>
      </w:r>
      <w:r>
        <w:rPr>
          <w:rFonts w:cs="Arial"/>
          <w:smallCaps/>
          <w:lang w:val="en-CA" w:eastAsia="fr-CA"/>
        </w:rPr>
        <w:t>translation</w:t>
      </w:r>
      <w:r>
        <w:rPr>
          <w:rFonts w:cs="Arial"/>
          <w:lang w:val="en-CA" w:eastAsia="fr-CA"/>
        </w:rPr>
        <w:t>]</w:t>
      </w:r>
    </w:p>
    <w:p w14:paraId="22633243" w14:textId="0C045B2E" w:rsidR="00A17C43" w:rsidRPr="00E60984" w:rsidRDefault="00DE2A80" w:rsidP="005F15BF">
      <w:pPr>
        <w:pStyle w:val="Citationenretrait"/>
        <w:spacing w:line="240" w:lineRule="auto"/>
        <w:rPr>
          <w:lang w:val="en-CA" w:eastAsia="fr-CA"/>
        </w:rPr>
      </w:pPr>
      <w:r w:rsidRPr="00E60984">
        <w:rPr>
          <w:lang w:val="en-CA" w:eastAsia="fr-CA"/>
        </w:rPr>
        <w:t>[</w:t>
      </w:r>
      <w:bookmarkStart w:id="6" w:name="par82"/>
      <w:r w:rsidRPr="00E60984">
        <w:rPr>
          <w:lang w:val="en-CA" w:eastAsia="fr-CA"/>
        </w:rPr>
        <w:t>82</w:t>
      </w:r>
      <w:bookmarkEnd w:id="6"/>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GRANTS</w:t>
      </w:r>
      <w:r w:rsidR="00FE3921" w:rsidRPr="00E60984">
        <w:rPr>
          <w:bCs/>
          <w:lang w:val="en-CA" w:eastAsia="fr-CA"/>
        </w:rPr>
        <w:t xml:space="preserve"> in part the application for judicial review</w:t>
      </w:r>
      <w:r w:rsidR="00EA6197">
        <w:rPr>
          <w:bCs/>
          <w:lang w:val="en-CA" w:eastAsia="fr-CA"/>
        </w:rPr>
        <w:t xml:space="preserve"> by the </w:t>
      </w:r>
      <w:r w:rsidR="00C52DD2">
        <w:rPr>
          <w:bCs/>
          <w:lang w:val="en-CA" w:eastAsia="fr-CA"/>
        </w:rPr>
        <w:t>plaintiffs</w:t>
      </w:r>
      <w:r w:rsidR="00FE3921" w:rsidRPr="00E60984">
        <w:rPr>
          <w:bCs/>
          <w:lang w:val="en-CA" w:eastAsia="fr-CA"/>
        </w:rPr>
        <w:t>;</w:t>
      </w:r>
    </w:p>
    <w:p w14:paraId="528BE8B7" w14:textId="5E5594C3" w:rsidR="00A17C43" w:rsidRPr="00E60984" w:rsidRDefault="00DE2A80" w:rsidP="005F15BF">
      <w:pPr>
        <w:pStyle w:val="Citationenretrait"/>
        <w:spacing w:line="240" w:lineRule="auto"/>
        <w:rPr>
          <w:lang w:val="en-CA" w:eastAsia="fr-CA"/>
        </w:rPr>
      </w:pPr>
      <w:r w:rsidRPr="00E60984">
        <w:rPr>
          <w:lang w:val="en-CA" w:eastAsia="fr-CA"/>
        </w:rPr>
        <w:t>[</w:t>
      </w:r>
      <w:bookmarkStart w:id="7" w:name="par83"/>
      <w:r w:rsidRPr="00E60984">
        <w:rPr>
          <w:lang w:val="en-CA" w:eastAsia="fr-CA"/>
        </w:rPr>
        <w:t>83</w:t>
      </w:r>
      <w:bookmarkEnd w:id="7"/>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DECLARES</w:t>
      </w:r>
      <w:r w:rsidR="00FE3921" w:rsidRPr="00E60984">
        <w:rPr>
          <w:bCs/>
          <w:lang w:val="en-CA" w:eastAsia="fr-CA"/>
        </w:rPr>
        <w:t xml:space="preserve"> invalid and </w:t>
      </w:r>
      <w:r w:rsidR="00B00B9F">
        <w:rPr>
          <w:bCs/>
          <w:lang w:val="en-CA" w:eastAsia="fr-CA"/>
        </w:rPr>
        <w:t xml:space="preserve">of no force or effect </w:t>
      </w:r>
      <w:r w:rsidR="00B00B9F" w:rsidRPr="00E60984">
        <w:rPr>
          <w:bCs/>
          <w:lang w:val="en-CA" w:eastAsia="fr-CA"/>
        </w:rPr>
        <w:t xml:space="preserve">with respect to a police officer </w:t>
      </w:r>
      <w:r w:rsidR="00B00B9F" w:rsidRPr="00E60984">
        <w:rPr>
          <w:bCs/>
          <w:i/>
          <w:lang w:val="en-CA" w:eastAsia="fr-CA"/>
        </w:rPr>
        <w:t>involved</w:t>
      </w:r>
      <w:r w:rsidR="00B00B9F" w:rsidRPr="00E60984">
        <w:rPr>
          <w:bCs/>
          <w:lang w:val="en-CA" w:eastAsia="fr-CA"/>
        </w:rPr>
        <w:t xml:space="preserve"> </w:t>
      </w:r>
      <w:r w:rsidR="00B00B9F">
        <w:rPr>
          <w:bCs/>
          <w:lang w:val="en-CA" w:eastAsia="fr-CA"/>
        </w:rPr>
        <w:t>sub</w:t>
      </w:r>
      <w:r w:rsidR="00FE3921" w:rsidRPr="00E60984">
        <w:rPr>
          <w:bCs/>
          <w:lang w:val="en-CA" w:eastAsia="fr-CA"/>
        </w:rPr>
        <w:t>paragraph</w:t>
      </w:r>
      <w:r w:rsidR="00B00B9F">
        <w:rPr>
          <w:bCs/>
          <w:lang w:val="en-CA" w:eastAsia="fr-CA"/>
        </w:rPr>
        <w:t xml:space="preserve"> </w:t>
      </w:r>
      <w:r w:rsidR="00703ECD">
        <w:rPr>
          <w:bCs/>
          <w:lang w:val="en-CA" w:eastAsia="fr-CA"/>
        </w:rPr>
        <w:t>(</w:t>
      </w:r>
      <w:r w:rsidR="00B00B9F">
        <w:rPr>
          <w:bCs/>
          <w:lang w:val="en-CA" w:eastAsia="fr-CA"/>
        </w:rPr>
        <w:t>2</w:t>
      </w:r>
      <w:r w:rsidR="00703ECD">
        <w:rPr>
          <w:bCs/>
          <w:lang w:val="en-CA" w:eastAsia="fr-CA"/>
        </w:rPr>
        <w:t>)</w:t>
      </w:r>
      <w:r w:rsidR="00FE3921" w:rsidRPr="00E60984">
        <w:rPr>
          <w:bCs/>
          <w:lang w:val="en-CA" w:eastAsia="fr-CA"/>
        </w:rPr>
        <w:t xml:space="preserve"> of the first paragraph of section 1 of the </w:t>
      </w:r>
      <w:r w:rsidR="00FE3921" w:rsidRPr="00E60984">
        <w:rPr>
          <w:bCs/>
          <w:i/>
          <w:lang w:val="en-CA" w:eastAsia="fr-CA"/>
        </w:rPr>
        <w:t xml:space="preserve">Regulation respecting the conduct of the investigations of the Bureau des </w:t>
      </w:r>
      <w:proofErr w:type="spellStart"/>
      <w:r w:rsidR="00FE3921" w:rsidRPr="00E60984">
        <w:rPr>
          <w:bCs/>
          <w:i/>
          <w:lang w:val="en-CA" w:eastAsia="fr-CA"/>
        </w:rPr>
        <w:t>enquêtes</w:t>
      </w:r>
      <w:proofErr w:type="spellEnd"/>
      <w:r w:rsidR="00FE3921" w:rsidRPr="00E60984">
        <w:rPr>
          <w:bCs/>
          <w:i/>
          <w:lang w:val="en-CA" w:eastAsia="fr-CA"/>
        </w:rPr>
        <w:t xml:space="preserve"> </w:t>
      </w:r>
      <w:proofErr w:type="spellStart"/>
      <w:r w:rsidR="00FE3921" w:rsidRPr="00E60984">
        <w:rPr>
          <w:bCs/>
          <w:i/>
          <w:lang w:val="en-CA" w:eastAsia="fr-CA"/>
        </w:rPr>
        <w:t>indépendantes</w:t>
      </w:r>
      <w:proofErr w:type="spellEnd"/>
      <w:r w:rsidR="00FE3921" w:rsidRPr="00E60984">
        <w:rPr>
          <w:bCs/>
          <w:lang w:val="en-CA" w:eastAsia="fr-CA"/>
        </w:rPr>
        <w:t xml:space="preserve"> because it infringes their right to protection </w:t>
      </w:r>
      <w:r w:rsidR="00B00B9F">
        <w:rPr>
          <w:bCs/>
          <w:lang w:val="en-CA" w:eastAsia="fr-CA"/>
        </w:rPr>
        <w:t xml:space="preserve">against </w:t>
      </w:r>
      <w:r w:rsidR="00FE3921" w:rsidRPr="00E60984">
        <w:rPr>
          <w:bCs/>
          <w:lang w:val="en-CA" w:eastAsia="fr-CA"/>
        </w:rPr>
        <w:t>self-incrimination.</w:t>
      </w:r>
    </w:p>
    <w:p w14:paraId="5C6B8D0B" w14:textId="7BAC401F" w:rsidR="00A17C43" w:rsidRPr="00E60984" w:rsidRDefault="00DE2A80" w:rsidP="005F15BF">
      <w:pPr>
        <w:pStyle w:val="Citationenretrait"/>
        <w:spacing w:line="240" w:lineRule="auto"/>
        <w:rPr>
          <w:lang w:val="en-CA" w:eastAsia="fr-CA"/>
        </w:rPr>
      </w:pPr>
      <w:r w:rsidRPr="00E60984">
        <w:rPr>
          <w:lang w:val="en-CA" w:eastAsia="fr-CA"/>
        </w:rPr>
        <w:t>[</w:t>
      </w:r>
      <w:bookmarkStart w:id="8" w:name="par84"/>
      <w:r w:rsidRPr="00E60984">
        <w:rPr>
          <w:lang w:val="en-CA" w:eastAsia="fr-CA"/>
        </w:rPr>
        <w:t>84</w:t>
      </w:r>
      <w:bookmarkEnd w:id="8"/>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DECLARES</w:t>
      </w:r>
      <w:r w:rsidR="00FE3921" w:rsidRPr="00E60984">
        <w:rPr>
          <w:bCs/>
          <w:lang w:val="en-CA" w:eastAsia="fr-CA"/>
        </w:rPr>
        <w:t xml:space="preserve"> that </w:t>
      </w:r>
      <w:r w:rsidR="00351674">
        <w:rPr>
          <w:bCs/>
          <w:lang w:val="en-CA" w:eastAsia="fr-CA"/>
        </w:rPr>
        <w:t>the</w:t>
      </w:r>
      <w:r w:rsidR="00FE3921" w:rsidRPr="00E60984">
        <w:rPr>
          <w:bCs/>
          <w:lang w:val="en-CA" w:eastAsia="fr-CA"/>
        </w:rPr>
        <w:t xml:space="preserve"> police officer who believes that they are </w:t>
      </w:r>
      <w:r w:rsidR="00FE3921" w:rsidRPr="00E60984">
        <w:rPr>
          <w:bCs/>
          <w:i/>
          <w:lang w:val="en-CA" w:eastAsia="fr-CA"/>
        </w:rPr>
        <w:t>involved</w:t>
      </w:r>
      <w:r w:rsidR="00FE3921" w:rsidRPr="00E60984">
        <w:rPr>
          <w:bCs/>
          <w:lang w:val="en-CA" w:eastAsia="fr-CA"/>
        </w:rPr>
        <w:t xml:space="preserve"> need not </w:t>
      </w:r>
      <w:r w:rsidR="00B00B9F">
        <w:rPr>
          <w:bCs/>
          <w:lang w:val="en-CA" w:eastAsia="fr-CA"/>
        </w:rPr>
        <w:t>draw up an account for</w:t>
      </w:r>
      <w:r w:rsidR="00FE3921" w:rsidRPr="00E60984">
        <w:rPr>
          <w:bCs/>
          <w:lang w:val="en-CA" w:eastAsia="fr-CA"/>
        </w:rPr>
        <w:t xml:space="preserve"> the defendant Bureau des </w:t>
      </w:r>
      <w:proofErr w:type="spellStart"/>
      <w:r w:rsidR="00FE3921" w:rsidRPr="00E60984">
        <w:rPr>
          <w:bCs/>
          <w:lang w:val="en-CA" w:eastAsia="fr-CA"/>
        </w:rPr>
        <w:t>enquêtes</w:t>
      </w:r>
      <w:proofErr w:type="spellEnd"/>
      <w:r w:rsidR="00FE3921" w:rsidRPr="00E60984">
        <w:rPr>
          <w:bCs/>
          <w:lang w:val="en-CA" w:eastAsia="fr-CA"/>
        </w:rPr>
        <w:t xml:space="preserve"> </w:t>
      </w:r>
      <w:proofErr w:type="spellStart"/>
      <w:r w:rsidR="00FE3921" w:rsidRPr="00E60984">
        <w:rPr>
          <w:bCs/>
          <w:lang w:val="en-CA" w:eastAsia="fr-CA"/>
        </w:rPr>
        <w:t>indépendantes</w:t>
      </w:r>
      <w:proofErr w:type="spellEnd"/>
      <w:r w:rsidR="00FE3921" w:rsidRPr="00E60984">
        <w:rPr>
          <w:bCs/>
          <w:lang w:val="en-CA" w:eastAsia="fr-CA"/>
        </w:rPr>
        <w:t xml:space="preserve"> and that the police force </w:t>
      </w:r>
      <w:r w:rsidR="00B00B9F">
        <w:rPr>
          <w:bCs/>
          <w:lang w:val="en-CA" w:eastAsia="fr-CA"/>
        </w:rPr>
        <w:t xml:space="preserve">director </w:t>
      </w:r>
      <w:r w:rsidR="00B00B9F" w:rsidRPr="00E60984">
        <w:rPr>
          <w:bCs/>
          <w:lang w:val="en-CA" w:eastAsia="fr-CA"/>
        </w:rPr>
        <w:t>(the same defendant)</w:t>
      </w:r>
      <w:r w:rsidR="00B00B9F">
        <w:rPr>
          <w:bCs/>
          <w:lang w:val="en-CA" w:eastAsia="fr-CA"/>
        </w:rPr>
        <w:t xml:space="preserve"> </w:t>
      </w:r>
      <w:r w:rsidR="00FE3921" w:rsidRPr="00E60984">
        <w:rPr>
          <w:bCs/>
          <w:lang w:val="en-CA" w:eastAsia="fr-CA"/>
        </w:rPr>
        <w:t xml:space="preserve">cannot forward the </w:t>
      </w:r>
      <w:r w:rsidR="00B00B9F">
        <w:rPr>
          <w:bCs/>
          <w:lang w:val="en-CA" w:eastAsia="fr-CA"/>
        </w:rPr>
        <w:t xml:space="preserve">occurrence </w:t>
      </w:r>
      <w:r w:rsidR="00FE3921" w:rsidRPr="00E60984">
        <w:rPr>
          <w:bCs/>
          <w:lang w:val="en-CA" w:eastAsia="fr-CA"/>
        </w:rPr>
        <w:t xml:space="preserve">report or other statement </w:t>
      </w:r>
      <w:r w:rsidR="00351674">
        <w:rPr>
          <w:bCs/>
          <w:lang w:val="en-CA" w:eastAsia="fr-CA"/>
        </w:rPr>
        <w:t>by</w:t>
      </w:r>
      <w:r w:rsidR="00FE3921" w:rsidRPr="00E60984">
        <w:rPr>
          <w:bCs/>
          <w:lang w:val="en-CA" w:eastAsia="fr-CA"/>
        </w:rPr>
        <w:t xml:space="preserve"> an officer who declares that they are </w:t>
      </w:r>
      <w:r w:rsidR="00FE3921" w:rsidRPr="00E60984">
        <w:rPr>
          <w:bCs/>
          <w:i/>
          <w:lang w:val="en-CA" w:eastAsia="fr-CA"/>
        </w:rPr>
        <w:t>involved</w:t>
      </w:r>
      <w:r w:rsidR="00FE3921" w:rsidRPr="00E60984">
        <w:rPr>
          <w:bCs/>
          <w:lang w:val="en-CA" w:eastAsia="fr-CA"/>
        </w:rPr>
        <w:t xml:space="preserve"> unless it appears</w:t>
      </w:r>
      <w:r w:rsidR="00A45FB1">
        <w:rPr>
          <w:bCs/>
          <w:lang w:val="en-CA" w:eastAsia="fr-CA"/>
        </w:rPr>
        <w:t xml:space="preserve"> after the fact</w:t>
      </w:r>
      <w:r w:rsidR="00FE3921" w:rsidRPr="00E60984">
        <w:rPr>
          <w:bCs/>
          <w:lang w:val="en-CA" w:eastAsia="fr-CA"/>
        </w:rPr>
        <w:t xml:space="preserve"> that </w:t>
      </w:r>
      <w:r w:rsidR="00351674">
        <w:rPr>
          <w:bCs/>
          <w:lang w:val="en-CA" w:eastAsia="fr-CA"/>
        </w:rPr>
        <w:t xml:space="preserve">they are </w:t>
      </w:r>
      <w:r w:rsidR="00FE3921" w:rsidRPr="00E60984">
        <w:rPr>
          <w:bCs/>
          <w:lang w:val="en-CA" w:eastAsia="fr-CA"/>
        </w:rPr>
        <w:t>not</w:t>
      </w:r>
      <w:r w:rsidR="00351674">
        <w:rPr>
          <w:bCs/>
          <w:lang w:val="en-CA" w:eastAsia="fr-CA"/>
        </w:rPr>
        <w:t xml:space="preserve"> involved</w:t>
      </w:r>
      <w:r w:rsidR="00FE3921" w:rsidRPr="00E60984">
        <w:rPr>
          <w:bCs/>
          <w:lang w:val="en-CA" w:eastAsia="fr-CA"/>
        </w:rPr>
        <w:t>;</w:t>
      </w:r>
    </w:p>
    <w:p w14:paraId="250ED3A9" w14:textId="65EB3AB8" w:rsidR="00A17C43" w:rsidRPr="00E60984" w:rsidRDefault="00DE2A80" w:rsidP="005F15BF">
      <w:pPr>
        <w:pStyle w:val="Citationenretrait"/>
        <w:spacing w:line="240" w:lineRule="auto"/>
        <w:rPr>
          <w:lang w:val="en-CA" w:eastAsia="fr-CA"/>
        </w:rPr>
      </w:pPr>
      <w:r w:rsidRPr="00E60984">
        <w:rPr>
          <w:lang w:val="en-CA" w:eastAsia="fr-CA"/>
        </w:rPr>
        <w:t>[</w:t>
      </w:r>
      <w:bookmarkStart w:id="9" w:name="par85"/>
      <w:r w:rsidRPr="00E60984">
        <w:rPr>
          <w:lang w:val="en-CA" w:eastAsia="fr-CA"/>
        </w:rPr>
        <w:t>85</w:t>
      </w:r>
      <w:bookmarkEnd w:id="9"/>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DECLARES</w:t>
      </w:r>
      <w:r w:rsidR="00FE3921" w:rsidRPr="00E60984">
        <w:rPr>
          <w:bCs/>
          <w:lang w:val="en-CA" w:eastAsia="fr-CA"/>
        </w:rPr>
        <w:t xml:space="preserve"> that </w:t>
      </w:r>
      <w:r w:rsidR="00351674">
        <w:rPr>
          <w:bCs/>
          <w:lang w:val="en-CA" w:eastAsia="fr-CA"/>
        </w:rPr>
        <w:t>the</w:t>
      </w:r>
      <w:r w:rsidR="00FE3921" w:rsidRPr="00E60984">
        <w:rPr>
          <w:bCs/>
          <w:lang w:val="en-CA" w:eastAsia="fr-CA"/>
        </w:rPr>
        <w:t xml:space="preserve"> police officer involved has the right to silen</w:t>
      </w:r>
      <w:r w:rsidR="006A7004" w:rsidRPr="00E60984">
        <w:rPr>
          <w:bCs/>
          <w:lang w:val="en-CA" w:eastAsia="fr-CA"/>
        </w:rPr>
        <w:t>ce</w:t>
      </w:r>
      <w:r w:rsidR="00FE3921" w:rsidRPr="00E60984">
        <w:rPr>
          <w:bCs/>
          <w:lang w:val="en-CA" w:eastAsia="fr-CA"/>
        </w:rPr>
        <w:t xml:space="preserve"> </w:t>
      </w:r>
      <w:r w:rsidR="006A7004" w:rsidRPr="00E60984">
        <w:rPr>
          <w:bCs/>
          <w:lang w:val="en-CA" w:eastAsia="fr-CA"/>
        </w:rPr>
        <w:t xml:space="preserve">when </w:t>
      </w:r>
      <w:r w:rsidR="00FE3921" w:rsidRPr="00E60984">
        <w:rPr>
          <w:bCs/>
          <w:lang w:val="en-CA" w:eastAsia="fr-CA"/>
        </w:rPr>
        <w:t xml:space="preserve">meeting with investigators </w:t>
      </w:r>
      <w:r w:rsidR="00351674">
        <w:rPr>
          <w:bCs/>
          <w:lang w:val="en-CA" w:eastAsia="fr-CA"/>
        </w:rPr>
        <w:t>o</w:t>
      </w:r>
      <w:r w:rsidR="00FE3921" w:rsidRPr="00E60984">
        <w:rPr>
          <w:bCs/>
          <w:lang w:val="en-CA" w:eastAsia="fr-CA"/>
        </w:rPr>
        <w:t xml:space="preserve">f the defendant Bureau des </w:t>
      </w:r>
      <w:proofErr w:type="spellStart"/>
      <w:r w:rsidR="00FE3921" w:rsidRPr="00E60984">
        <w:rPr>
          <w:bCs/>
          <w:lang w:val="en-CA" w:eastAsia="fr-CA"/>
        </w:rPr>
        <w:t>enquêtes</w:t>
      </w:r>
      <w:proofErr w:type="spellEnd"/>
      <w:r w:rsidR="00FE3921" w:rsidRPr="00E60984">
        <w:rPr>
          <w:bCs/>
          <w:lang w:val="en-CA" w:eastAsia="fr-CA"/>
        </w:rPr>
        <w:t xml:space="preserve"> </w:t>
      </w:r>
      <w:proofErr w:type="spellStart"/>
      <w:r w:rsidR="00FE3921" w:rsidRPr="00E60984">
        <w:rPr>
          <w:bCs/>
          <w:lang w:val="en-CA" w:eastAsia="fr-CA"/>
        </w:rPr>
        <w:t>indépendantes</w:t>
      </w:r>
      <w:proofErr w:type="spellEnd"/>
      <w:r w:rsidR="00FE3921" w:rsidRPr="00E60984">
        <w:rPr>
          <w:bCs/>
          <w:lang w:val="en-CA" w:eastAsia="fr-CA"/>
        </w:rPr>
        <w:t xml:space="preserve"> and that the Bureau must ensure that its investigators inform the police officer </w:t>
      </w:r>
      <w:r w:rsidR="00FE3921" w:rsidRPr="00E60984">
        <w:rPr>
          <w:bCs/>
          <w:i/>
          <w:lang w:val="en-CA" w:eastAsia="fr-CA"/>
        </w:rPr>
        <w:t>involved</w:t>
      </w:r>
      <w:r w:rsidR="00FE3921" w:rsidRPr="00E60984">
        <w:rPr>
          <w:bCs/>
          <w:lang w:val="en-CA" w:eastAsia="fr-CA"/>
        </w:rPr>
        <w:t xml:space="preserve"> of this right before the meeting begins;</w:t>
      </w:r>
      <w:r w:rsidRPr="00E60984">
        <w:rPr>
          <w:lang w:val="en-CA" w:eastAsia="fr-CA"/>
        </w:rPr>
        <w:t> </w:t>
      </w:r>
    </w:p>
    <w:p w14:paraId="44DACD1E" w14:textId="17DA8F05" w:rsidR="00A17C43" w:rsidRPr="00E60984" w:rsidRDefault="00DE2A80" w:rsidP="00E77527">
      <w:pPr>
        <w:pStyle w:val="Citationenretrait"/>
        <w:keepNext/>
        <w:spacing w:line="240" w:lineRule="auto"/>
        <w:rPr>
          <w:lang w:val="en-CA" w:eastAsia="fr-CA"/>
        </w:rPr>
      </w:pPr>
      <w:r w:rsidRPr="00E60984">
        <w:rPr>
          <w:lang w:val="en-CA" w:eastAsia="fr-CA"/>
        </w:rPr>
        <w:t>[</w:t>
      </w:r>
      <w:bookmarkStart w:id="10" w:name="par86"/>
      <w:r w:rsidRPr="00E60984">
        <w:rPr>
          <w:lang w:val="en-CA" w:eastAsia="fr-CA"/>
        </w:rPr>
        <w:t>86</w:t>
      </w:r>
      <w:bookmarkEnd w:id="10"/>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DECLARES</w:t>
      </w:r>
      <w:r w:rsidR="00FE3921" w:rsidRPr="00E60984">
        <w:rPr>
          <w:bCs/>
          <w:lang w:val="en-CA" w:eastAsia="fr-CA"/>
        </w:rPr>
        <w:t xml:space="preserve"> that the defendant Bureau des </w:t>
      </w:r>
      <w:proofErr w:type="spellStart"/>
      <w:r w:rsidR="00FE3921" w:rsidRPr="00E60984">
        <w:rPr>
          <w:bCs/>
          <w:lang w:val="en-CA" w:eastAsia="fr-CA"/>
        </w:rPr>
        <w:t>enquêtes</w:t>
      </w:r>
      <w:proofErr w:type="spellEnd"/>
      <w:r w:rsidR="00FE3921" w:rsidRPr="00E60984">
        <w:rPr>
          <w:bCs/>
          <w:lang w:val="en-CA" w:eastAsia="fr-CA"/>
        </w:rPr>
        <w:t xml:space="preserve"> </w:t>
      </w:r>
      <w:proofErr w:type="spellStart"/>
      <w:r w:rsidR="00FE3921" w:rsidRPr="00E60984">
        <w:rPr>
          <w:bCs/>
          <w:lang w:val="en-CA" w:eastAsia="fr-CA"/>
        </w:rPr>
        <w:t>indépendantes</w:t>
      </w:r>
      <w:proofErr w:type="spellEnd"/>
      <w:r w:rsidR="00FE3921" w:rsidRPr="00E60984">
        <w:rPr>
          <w:bCs/>
          <w:lang w:val="en-CA" w:eastAsia="fr-CA"/>
        </w:rPr>
        <w:t xml:space="preserve"> must give the police officer concerned its account, notes by investigators of their meeting</w:t>
      </w:r>
      <w:r w:rsidR="00351674">
        <w:rPr>
          <w:bCs/>
          <w:lang w:val="en-CA" w:eastAsia="fr-CA"/>
        </w:rPr>
        <w:t xml:space="preserve"> with the officer</w:t>
      </w:r>
      <w:r w:rsidR="00FE3921" w:rsidRPr="00E60984">
        <w:rPr>
          <w:bCs/>
          <w:lang w:val="en-CA" w:eastAsia="fr-CA"/>
        </w:rPr>
        <w:t xml:space="preserve">, and where applicable, any other statement in the form of a </w:t>
      </w:r>
      <w:r w:rsidR="00FE3921" w:rsidRPr="00E60984">
        <w:rPr>
          <w:bCs/>
          <w:lang w:val="en-CA" w:eastAsia="fr-CA"/>
        </w:rPr>
        <w:lastRenderedPageBreak/>
        <w:t xml:space="preserve">deposition, report, or other document signed by the officer when the officer’s status changes from witness police officer to police officer </w:t>
      </w:r>
      <w:r w:rsidR="00FE3921" w:rsidRPr="00E60984">
        <w:rPr>
          <w:bCs/>
          <w:i/>
          <w:lang w:val="en-CA" w:eastAsia="fr-CA"/>
        </w:rPr>
        <w:t>involved</w:t>
      </w:r>
      <w:r w:rsidR="00FE3921" w:rsidRPr="00E60984">
        <w:rPr>
          <w:bCs/>
          <w:lang w:val="en-CA" w:eastAsia="fr-CA"/>
        </w:rPr>
        <w:t>;</w:t>
      </w:r>
    </w:p>
    <w:p w14:paraId="18FBBFC2" w14:textId="7D29647E" w:rsidR="00A17C43" w:rsidRPr="00E60984" w:rsidRDefault="00DE2A80" w:rsidP="00E77527">
      <w:pPr>
        <w:pStyle w:val="Citationenretrait"/>
        <w:keepNext/>
        <w:spacing w:line="240" w:lineRule="auto"/>
        <w:rPr>
          <w:lang w:val="en-CA" w:eastAsia="fr-CA"/>
        </w:rPr>
      </w:pPr>
      <w:r w:rsidRPr="00E60984">
        <w:rPr>
          <w:lang w:val="en-CA" w:eastAsia="fr-CA"/>
        </w:rPr>
        <w:t>[</w:t>
      </w:r>
      <w:bookmarkStart w:id="11" w:name="par87"/>
      <w:r w:rsidRPr="00E60984">
        <w:rPr>
          <w:lang w:val="en-CA" w:eastAsia="fr-CA"/>
        </w:rPr>
        <w:t>87</w:t>
      </w:r>
      <w:bookmarkEnd w:id="11"/>
      <w:r w:rsidRPr="00E60984">
        <w:rPr>
          <w:lang w:val="en-CA" w:eastAsia="fr-CA"/>
        </w:rPr>
        <w:t>]</w:t>
      </w:r>
      <w:r w:rsidRPr="00E60984">
        <w:rPr>
          <w:rFonts w:ascii="Times New Roman" w:hAnsi="Times New Roman"/>
          <w:sz w:val="14"/>
          <w:szCs w:val="14"/>
          <w:lang w:val="en-CA" w:eastAsia="fr-CA"/>
        </w:rPr>
        <w:tab/>
      </w:r>
      <w:r w:rsidR="00FE3921" w:rsidRPr="00E60984">
        <w:rPr>
          <w:b/>
          <w:bCs/>
          <w:lang w:val="en-CA" w:eastAsia="fr-CA"/>
        </w:rPr>
        <w:t>WITHOUT</w:t>
      </w:r>
      <w:r w:rsidR="00FE3921" w:rsidRPr="00E60984">
        <w:rPr>
          <w:bCs/>
          <w:lang w:val="en-CA" w:eastAsia="fr-CA"/>
        </w:rPr>
        <w:t xml:space="preserve"> legal costs.</w:t>
      </w:r>
    </w:p>
    <w:p w14:paraId="0CF83060" w14:textId="13D45CEE" w:rsidR="00A17C43" w:rsidRPr="00E60984" w:rsidRDefault="00FE3921" w:rsidP="005F15BF">
      <w:pPr>
        <w:pStyle w:val="Citationenretrait"/>
        <w:spacing w:line="240" w:lineRule="auto"/>
        <w:jc w:val="right"/>
        <w:rPr>
          <w:lang w:val="en-CA" w:eastAsia="fr-CA"/>
        </w:rPr>
      </w:pPr>
      <w:r w:rsidRPr="00E60984">
        <w:rPr>
          <w:lang w:val="en-CA" w:eastAsia="fr-CA"/>
        </w:rPr>
        <w:t>[Italics in original; footnotes omitted.]</w:t>
      </w:r>
    </w:p>
    <w:p w14:paraId="28647D83" w14:textId="3129CDA9" w:rsidR="00A17C43" w:rsidRPr="00E60984" w:rsidRDefault="00FE3921" w:rsidP="00BC082F">
      <w:pPr>
        <w:pStyle w:val="Paragraphe"/>
        <w:spacing w:before="240" w:line="240" w:lineRule="auto"/>
        <w:rPr>
          <w:lang w:val="en-CA"/>
        </w:rPr>
      </w:pPr>
      <w:r w:rsidRPr="00E60984">
        <w:rPr>
          <w:lang w:val="en-CA"/>
        </w:rPr>
        <w:t>The Attorney General of Quebec (</w:t>
      </w:r>
      <w:r w:rsidR="00C56B18" w:rsidRPr="00E60984">
        <w:rPr>
          <w:lang w:val="en-CA"/>
        </w:rPr>
        <w:t>“</w:t>
      </w:r>
      <w:r w:rsidRPr="00E60984">
        <w:rPr>
          <w:lang w:val="en-CA"/>
        </w:rPr>
        <w:t xml:space="preserve">AGQ”) appeals from this judgment to </w:t>
      </w:r>
      <w:r w:rsidR="00351674">
        <w:rPr>
          <w:lang w:val="en-CA"/>
        </w:rPr>
        <w:t xml:space="preserve">have </w:t>
      </w:r>
      <w:r w:rsidRPr="00E60984">
        <w:rPr>
          <w:lang w:val="en-CA"/>
        </w:rPr>
        <w:t xml:space="preserve">all </w:t>
      </w:r>
      <w:r w:rsidR="00C50CDE">
        <w:rPr>
          <w:lang w:val="en-CA"/>
        </w:rPr>
        <w:t>the</w:t>
      </w:r>
      <w:r w:rsidRPr="00E60984">
        <w:rPr>
          <w:lang w:val="en-CA"/>
        </w:rPr>
        <w:t xml:space="preserve"> conclusions</w:t>
      </w:r>
      <w:r w:rsidR="00351674">
        <w:rPr>
          <w:lang w:val="en-CA"/>
        </w:rPr>
        <w:t xml:space="preserve"> quashed</w:t>
      </w:r>
      <w:r w:rsidRPr="00E60984">
        <w:rPr>
          <w:lang w:val="en-CA"/>
        </w:rPr>
        <w:t>.</w:t>
      </w:r>
      <w:r w:rsidR="00DE2A80" w:rsidRPr="00E60984">
        <w:rPr>
          <w:lang w:val="en-CA"/>
        </w:rPr>
        <w:t xml:space="preserve"> </w:t>
      </w:r>
    </w:p>
    <w:p w14:paraId="322FCBA1" w14:textId="5798FE6E" w:rsidR="00A17C43" w:rsidRPr="00E60984" w:rsidRDefault="00FE3921" w:rsidP="005F15BF">
      <w:pPr>
        <w:pStyle w:val="Paragraphe"/>
        <w:spacing w:line="240" w:lineRule="auto"/>
        <w:rPr>
          <w:lang w:val="en-CA"/>
        </w:rPr>
      </w:pPr>
      <w:r w:rsidRPr="00E60984">
        <w:rPr>
          <w:lang w:val="en-CA"/>
        </w:rPr>
        <w:t xml:space="preserve">Although they support the judgment’s conclusions, the Fédération des </w:t>
      </w:r>
      <w:proofErr w:type="spellStart"/>
      <w:r w:rsidRPr="00E60984">
        <w:rPr>
          <w:lang w:val="en-CA"/>
        </w:rPr>
        <w:t>policiers</w:t>
      </w:r>
      <w:proofErr w:type="spellEnd"/>
      <w:r w:rsidRPr="00E60984">
        <w:rPr>
          <w:lang w:val="en-CA"/>
        </w:rPr>
        <w:t xml:space="preserve"> et </w:t>
      </w:r>
      <w:proofErr w:type="spellStart"/>
      <w:r w:rsidRPr="00E60984">
        <w:rPr>
          <w:lang w:val="en-CA"/>
        </w:rPr>
        <w:t>policières</w:t>
      </w:r>
      <w:proofErr w:type="spellEnd"/>
      <w:r w:rsidRPr="00E60984">
        <w:rPr>
          <w:lang w:val="en-CA"/>
        </w:rPr>
        <w:t xml:space="preserve"> </w:t>
      </w:r>
      <w:proofErr w:type="spellStart"/>
      <w:r w:rsidRPr="00E60984">
        <w:rPr>
          <w:lang w:val="en-CA"/>
        </w:rPr>
        <w:t>municipaux</w:t>
      </w:r>
      <w:proofErr w:type="spellEnd"/>
      <w:r w:rsidRPr="00E60984">
        <w:rPr>
          <w:lang w:val="en-CA"/>
        </w:rPr>
        <w:t xml:space="preserve"> du Québec, the </w:t>
      </w:r>
      <w:proofErr w:type="spellStart"/>
      <w:r w:rsidRPr="00E60984">
        <w:rPr>
          <w:lang w:val="en-CA"/>
        </w:rPr>
        <w:t>Fraternité</w:t>
      </w:r>
      <w:proofErr w:type="spellEnd"/>
      <w:r w:rsidRPr="00E60984">
        <w:rPr>
          <w:lang w:val="en-CA"/>
        </w:rPr>
        <w:t xml:space="preserve"> des </w:t>
      </w:r>
      <w:proofErr w:type="spellStart"/>
      <w:r w:rsidRPr="00E60984">
        <w:rPr>
          <w:lang w:val="en-CA"/>
        </w:rPr>
        <w:t>policiers</w:t>
      </w:r>
      <w:proofErr w:type="spellEnd"/>
      <w:r w:rsidRPr="00E60984">
        <w:rPr>
          <w:lang w:val="en-CA"/>
        </w:rPr>
        <w:t xml:space="preserve"> et </w:t>
      </w:r>
      <w:proofErr w:type="spellStart"/>
      <w:r w:rsidRPr="00E60984">
        <w:rPr>
          <w:lang w:val="en-CA"/>
        </w:rPr>
        <w:t>policières</w:t>
      </w:r>
      <w:proofErr w:type="spellEnd"/>
      <w:r w:rsidRPr="00E60984">
        <w:rPr>
          <w:lang w:val="en-CA"/>
        </w:rPr>
        <w:t xml:space="preserve"> de Montréal and police officers Dominic Ouellette and Antoine </w:t>
      </w:r>
      <w:proofErr w:type="spellStart"/>
      <w:r w:rsidRPr="00E60984">
        <w:rPr>
          <w:lang w:val="en-CA"/>
        </w:rPr>
        <w:t>Brochet</w:t>
      </w:r>
      <w:proofErr w:type="spellEnd"/>
      <w:r w:rsidRPr="00E60984">
        <w:rPr>
          <w:lang w:val="en-CA"/>
        </w:rPr>
        <w:t xml:space="preserve"> (collectively </w:t>
      </w:r>
      <w:r w:rsidR="00351674">
        <w:rPr>
          <w:lang w:val="en-CA"/>
        </w:rPr>
        <w:t xml:space="preserve">the </w:t>
      </w:r>
      <w:r w:rsidRPr="00E60984">
        <w:rPr>
          <w:lang w:val="en-CA"/>
        </w:rPr>
        <w:t>“incidental appellants”) also appeal</w:t>
      </w:r>
      <w:r w:rsidR="00223018">
        <w:rPr>
          <w:lang w:val="en-CA"/>
        </w:rPr>
        <w:t xml:space="preserve"> from</w:t>
      </w:r>
      <w:r w:rsidRPr="00E60984">
        <w:rPr>
          <w:lang w:val="en-CA"/>
        </w:rPr>
        <w:t xml:space="preserve"> the judgment to have the Court declare </w:t>
      </w:r>
      <w:r w:rsidR="00223018">
        <w:rPr>
          <w:lang w:val="en-CA"/>
        </w:rPr>
        <w:t>additional</w:t>
      </w:r>
      <w:r w:rsidR="00223018" w:rsidRPr="00E60984">
        <w:rPr>
          <w:lang w:val="en-CA"/>
        </w:rPr>
        <w:t xml:space="preserve"> </w:t>
      </w:r>
      <w:r w:rsidR="00351674">
        <w:rPr>
          <w:lang w:val="en-CA"/>
        </w:rPr>
        <w:t xml:space="preserve">provisions </w:t>
      </w:r>
      <w:r w:rsidRPr="00E60984">
        <w:rPr>
          <w:lang w:val="en-CA"/>
        </w:rPr>
        <w:t xml:space="preserve">in the </w:t>
      </w:r>
      <w:r w:rsidRPr="00E60984">
        <w:rPr>
          <w:i/>
          <w:lang w:val="en-CA"/>
        </w:rPr>
        <w:t>Regulation</w:t>
      </w:r>
      <w:r w:rsidRPr="00E60984">
        <w:rPr>
          <w:lang w:val="en-CA"/>
        </w:rPr>
        <w:t xml:space="preserve"> invalid.</w:t>
      </w:r>
    </w:p>
    <w:p w14:paraId="6EA3AC70" w14:textId="6F442157" w:rsidR="00A17C43" w:rsidRPr="00E60984" w:rsidRDefault="00FE3921" w:rsidP="00954AF5">
      <w:pPr>
        <w:pStyle w:val="Paragraphe"/>
        <w:numPr>
          <w:ilvl w:val="0"/>
          <w:numId w:val="0"/>
        </w:numPr>
        <w:spacing w:before="240" w:line="240" w:lineRule="auto"/>
        <w:rPr>
          <w:b/>
          <w:bCs/>
          <w:u w:val="single"/>
          <w:lang w:val="en-CA"/>
        </w:rPr>
      </w:pPr>
      <w:r w:rsidRPr="00E60984">
        <w:rPr>
          <w:b/>
          <w:bCs/>
          <w:u w:val="single"/>
          <w:lang w:val="en-CA"/>
        </w:rPr>
        <w:t>BACKGROUND</w:t>
      </w:r>
    </w:p>
    <w:p w14:paraId="181B336F" w14:textId="3A6E562B" w:rsidR="00A17C43" w:rsidRPr="00E60984" w:rsidRDefault="00386FFF" w:rsidP="005F15BF">
      <w:pPr>
        <w:pStyle w:val="Paragraphe"/>
        <w:spacing w:line="240" w:lineRule="auto"/>
        <w:rPr>
          <w:lang w:val="en-CA"/>
        </w:rPr>
      </w:pPr>
      <w:r w:rsidRPr="00E60984">
        <w:rPr>
          <w:lang w:val="en-CA"/>
        </w:rPr>
        <w:t xml:space="preserve">Police officers hold a </w:t>
      </w:r>
      <w:r w:rsidR="008E0E9F">
        <w:rPr>
          <w:lang w:val="en-CA"/>
        </w:rPr>
        <w:t>particular</w:t>
      </w:r>
      <w:r w:rsidR="008E0E9F" w:rsidRPr="00E60984">
        <w:rPr>
          <w:lang w:val="en-CA"/>
        </w:rPr>
        <w:t xml:space="preserve"> </w:t>
      </w:r>
      <w:r w:rsidRPr="00E60984">
        <w:rPr>
          <w:lang w:val="en-CA"/>
        </w:rPr>
        <w:t>place in society.</w:t>
      </w:r>
      <w:r w:rsidR="00DE2A80" w:rsidRPr="00E60984">
        <w:rPr>
          <w:lang w:val="en-CA"/>
        </w:rPr>
        <w:t xml:space="preserve"> </w:t>
      </w:r>
      <w:r w:rsidRPr="00E60984">
        <w:rPr>
          <w:lang w:val="en-CA"/>
        </w:rPr>
        <w:t xml:space="preserve">They are responsible for ensuring the public peace and repressing crime, </w:t>
      </w:r>
      <w:r w:rsidR="008E0E9F">
        <w:rPr>
          <w:lang w:val="en-CA"/>
        </w:rPr>
        <w:t>functions that are</w:t>
      </w:r>
      <w:r w:rsidR="008E0E9F" w:rsidRPr="00E60984">
        <w:rPr>
          <w:lang w:val="en-CA"/>
        </w:rPr>
        <w:t xml:space="preserve"> </w:t>
      </w:r>
      <w:r w:rsidR="008E0E9F">
        <w:rPr>
          <w:lang w:val="en-CA"/>
        </w:rPr>
        <w:t>essential to</w:t>
      </w:r>
      <w:r w:rsidRPr="00E60984">
        <w:rPr>
          <w:lang w:val="en-CA"/>
        </w:rPr>
        <w:t xml:space="preserve"> every modern society.</w:t>
      </w:r>
      <w:r w:rsidRPr="00E60984">
        <w:rPr>
          <w:rStyle w:val="Appelnotedebasdep"/>
          <w:lang w:val="en-CA"/>
        </w:rPr>
        <w:footnoteReference w:id="5"/>
      </w:r>
      <w:r w:rsidR="00DE2A80" w:rsidRPr="00E60984">
        <w:rPr>
          <w:lang w:val="en-CA"/>
        </w:rPr>
        <w:t xml:space="preserve"> </w:t>
      </w:r>
      <w:r w:rsidR="008E0E9F">
        <w:rPr>
          <w:lang w:val="en-CA"/>
        </w:rPr>
        <w:t>To allow them to</w:t>
      </w:r>
      <w:r w:rsidRPr="00E60984">
        <w:rPr>
          <w:lang w:val="en-CA"/>
        </w:rPr>
        <w:t xml:space="preserve"> carry out their duties</w:t>
      </w:r>
      <w:r w:rsidR="008E0E9F">
        <w:rPr>
          <w:lang w:val="en-CA"/>
        </w:rPr>
        <w:t>,</w:t>
      </w:r>
      <w:r w:rsidRPr="00E60984">
        <w:rPr>
          <w:lang w:val="en-CA"/>
        </w:rPr>
        <w:t xml:space="preserve"> </w:t>
      </w:r>
      <w:r w:rsidR="00351674">
        <w:rPr>
          <w:lang w:val="en-CA"/>
        </w:rPr>
        <w:t xml:space="preserve">which </w:t>
      </w:r>
      <w:r w:rsidRPr="00E60984">
        <w:rPr>
          <w:lang w:val="en-CA"/>
        </w:rPr>
        <w:t xml:space="preserve">are indispensable to citizens, both the </w:t>
      </w:r>
      <w:r w:rsidR="00351674">
        <w:rPr>
          <w:lang w:val="en-CA"/>
        </w:rPr>
        <w:t>common</w:t>
      </w:r>
      <w:r w:rsidRPr="00E60984">
        <w:rPr>
          <w:lang w:val="en-CA"/>
        </w:rPr>
        <w:t xml:space="preserve"> law and the legislation grant police</w:t>
      </w:r>
      <w:r w:rsidR="008E0E9F">
        <w:rPr>
          <w:lang w:val="en-CA"/>
        </w:rPr>
        <w:t xml:space="preserve"> officers</w:t>
      </w:r>
      <w:r w:rsidRPr="00E60984">
        <w:rPr>
          <w:lang w:val="en-CA"/>
        </w:rPr>
        <w:t xml:space="preserve"> </w:t>
      </w:r>
      <w:r w:rsidR="00351674">
        <w:rPr>
          <w:lang w:val="en-CA"/>
        </w:rPr>
        <w:t xml:space="preserve">significant </w:t>
      </w:r>
      <w:r w:rsidRPr="00E60984">
        <w:rPr>
          <w:lang w:val="en-CA"/>
        </w:rPr>
        <w:t>rights and legal protections.</w:t>
      </w:r>
      <w:r w:rsidR="00DE2A80" w:rsidRPr="00E60984">
        <w:rPr>
          <w:lang w:val="en-CA"/>
        </w:rPr>
        <w:t xml:space="preserve"> </w:t>
      </w:r>
    </w:p>
    <w:p w14:paraId="6690EEC8" w14:textId="7F60955B" w:rsidR="00A17C43" w:rsidRPr="00E60984" w:rsidRDefault="00386FFF" w:rsidP="005F15BF">
      <w:pPr>
        <w:pStyle w:val="Paragraphe"/>
        <w:spacing w:line="240" w:lineRule="auto"/>
        <w:rPr>
          <w:lang w:val="en-CA"/>
        </w:rPr>
      </w:pPr>
      <w:r w:rsidRPr="00E60984">
        <w:rPr>
          <w:lang w:val="en-CA"/>
        </w:rPr>
        <w:t>Thus, the police may use as much force as is necessary to carry out their duties, provided this use is based on reasonable grounds.</w:t>
      </w:r>
      <w:r w:rsidRPr="00E60984">
        <w:rPr>
          <w:rStyle w:val="Appelnotedebasdep"/>
          <w:lang w:val="en-CA"/>
        </w:rPr>
        <w:footnoteReference w:id="6"/>
      </w:r>
      <w:r w:rsidR="00DE2A80" w:rsidRPr="00E60984">
        <w:rPr>
          <w:lang w:val="en-CA"/>
        </w:rPr>
        <w:t xml:space="preserve"> </w:t>
      </w:r>
      <w:r w:rsidR="009D69BC" w:rsidRPr="00E60984">
        <w:rPr>
          <w:lang w:val="en-CA"/>
        </w:rPr>
        <w:t>A police officer may even use force that is intended or is likely to cause death or grievous bodily harm: (a) if it is necessary for the self-preservation of the person or the preservation of any one under that person’s protection from death or grievous bodily harm;</w:t>
      </w:r>
      <w:r w:rsidR="009D69BC" w:rsidRPr="00E60984">
        <w:rPr>
          <w:rStyle w:val="Appelnotedebasdep"/>
          <w:lang w:val="en-CA"/>
        </w:rPr>
        <w:footnoteReference w:id="7"/>
      </w:r>
      <w:r w:rsidR="009D69BC" w:rsidRPr="00E60984">
        <w:rPr>
          <w:lang w:val="en-CA"/>
        </w:rPr>
        <w:t xml:space="preserve"> or (b) if the police officer believes on reasonable grounds that the force is necessary for the purpose of protecting the police officer or any other person from imminent or future death or grievous bodily harm.</w:t>
      </w:r>
      <w:r w:rsidR="009D69BC" w:rsidRPr="00E60984">
        <w:rPr>
          <w:rStyle w:val="Appelnotedebasdep"/>
          <w:lang w:val="en-CA"/>
        </w:rPr>
        <w:footnoteReference w:id="8"/>
      </w:r>
    </w:p>
    <w:p w14:paraId="6125571B" w14:textId="27EF7E78" w:rsidR="00A17C43" w:rsidRPr="00E60984" w:rsidRDefault="00142823" w:rsidP="005F15BF">
      <w:pPr>
        <w:pStyle w:val="Paragraphe"/>
        <w:spacing w:line="240" w:lineRule="auto"/>
        <w:rPr>
          <w:lang w:val="en-CA"/>
        </w:rPr>
      </w:pPr>
      <w:r w:rsidRPr="00E60984">
        <w:rPr>
          <w:lang w:val="en-CA"/>
        </w:rPr>
        <w:t>Moreover, contrary to almost all citizens, police officers may possess, carry, and use firearms in the course of their duties.</w:t>
      </w:r>
      <w:r w:rsidRPr="00E60984">
        <w:rPr>
          <w:rStyle w:val="Appelnotedebasdep"/>
          <w:lang w:val="en-CA"/>
        </w:rPr>
        <w:footnoteReference w:id="9"/>
      </w:r>
      <w:r w:rsidR="00DE2A80" w:rsidRPr="00E60984">
        <w:rPr>
          <w:lang w:val="en-CA"/>
        </w:rPr>
        <w:t xml:space="preserve"> </w:t>
      </w:r>
      <w:r w:rsidRPr="00E60984">
        <w:rPr>
          <w:lang w:val="en-CA"/>
        </w:rPr>
        <w:t xml:space="preserve">They are therefore </w:t>
      </w:r>
      <w:r w:rsidR="000252F0">
        <w:rPr>
          <w:lang w:val="en-CA"/>
        </w:rPr>
        <w:t xml:space="preserve">those </w:t>
      </w:r>
      <w:r w:rsidRPr="00E60984">
        <w:rPr>
          <w:lang w:val="en-CA"/>
        </w:rPr>
        <w:t>rare individuals who may openly carry and use a firearm in a public place for the purpose of their duties.</w:t>
      </w:r>
      <w:r w:rsidR="00DE2A80" w:rsidRPr="00E60984">
        <w:rPr>
          <w:lang w:val="en-CA"/>
        </w:rPr>
        <w:t xml:space="preserve"> </w:t>
      </w:r>
    </w:p>
    <w:p w14:paraId="708B8896" w14:textId="5A23981F" w:rsidR="00A17C43" w:rsidRPr="00E60984" w:rsidRDefault="00142823" w:rsidP="005F15BF">
      <w:pPr>
        <w:pStyle w:val="Paragraphe"/>
        <w:spacing w:line="240" w:lineRule="auto"/>
        <w:rPr>
          <w:lang w:val="en-CA"/>
        </w:rPr>
      </w:pPr>
      <w:r w:rsidRPr="00E60984">
        <w:rPr>
          <w:lang w:val="en-CA"/>
        </w:rPr>
        <w:lastRenderedPageBreak/>
        <w:t>The police also have many powers granted by law to repress crime, including broad powers to arrest</w:t>
      </w:r>
      <w:r w:rsidRPr="00E60984">
        <w:rPr>
          <w:rStyle w:val="Appelnotedebasdep"/>
          <w:lang w:val="en-CA"/>
        </w:rPr>
        <w:footnoteReference w:id="10"/>
      </w:r>
      <w:r w:rsidRPr="00E60984">
        <w:rPr>
          <w:lang w:val="en-CA"/>
        </w:rPr>
        <w:t xml:space="preserve"> and</w:t>
      </w:r>
      <w:r w:rsidR="00F61E5F">
        <w:rPr>
          <w:lang w:val="en-CA"/>
        </w:rPr>
        <w:t xml:space="preserve"> to</w:t>
      </w:r>
      <w:r w:rsidRPr="00E60984">
        <w:rPr>
          <w:lang w:val="en-CA"/>
        </w:rPr>
        <w:t xml:space="preserve"> enter a dwelling-house,</w:t>
      </w:r>
      <w:r w:rsidRPr="00E60984">
        <w:rPr>
          <w:rStyle w:val="Appelnotedebasdep"/>
          <w:lang w:val="en-CA"/>
        </w:rPr>
        <w:footnoteReference w:id="11"/>
      </w:r>
      <w:r w:rsidRPr="00E60984">
        <w:rPr>
          <w:lang w:val="en-CA"/>
        </w:rPr>
        <w:t xml:space="preserve"> with or without a </w:t>
      </w:r>
      <w:r w:rsidR="00A82566">
        <w:rPr>
          <w:lang w:val="en-CA"/>
        </w:rPr>
        <w:t>judicial</w:t>
      </w:r>
      <w:r w:rsidRPr="00E60984">
        <w:rPr>
          <w:lang w:val="en-CA"/>
        </w:rPr>
        <w:t xml:space="preserve"> warrant depending on the circumstances.</w:t>
      </w:r>
      <w:r w:rsidR="00DE2A80" w:rsidRPr="00E60984">
        <w:rPr>
          <w:lang w:val="en-CA"/>
        </w:rPr>
        <w:t xml:space="preserve"> </w:t>
      </w:r>
    </w:p>
    <w:p w14:paraId="3403E445" w14:textId="3D793D27" w:rsidR="00A17C43" w:rsidRPr="00E60984" w:rsidRDefault="0055542E" w:rsidP="005F15BF">
      <w:pPr>
        <w:pStyle w:val="Paragraphe"/>
        <w:spacing w:line="240" w:lineRule="auto"/>
        <w:rPr>
          <w:lang w:val="en-CA"/>
        </w:rPr>
      </w:pPr>
      <w:r w:rsidRPr="00E60984">
        <w:rPr>
          <w:lang w:val="en-CA"/>
        </w:rPr>
        <w:t xml:space="preserve">Last, the law protects police </w:t>
      </w:r>
      <w:r w:rsidR="00A82566">
        <w:rPr>
          <w:lang w:val="en-CA"/>
        </w:rPr>
        <w:t xml:space="preserve">officers </w:t>
      </w:r>
      <w:r w:rsidRPr="00E60984">
        <w:rPr>
          <w:lang w:val="en-CA"/>
        </w:rPr>
        <w:t xml:space="preserve">by establishing offences that are </w:t>
      </w:r>
      <w:r w:rsidR="00A82566">
        <w:rPr>
          <w:lang w:val="en-CA"/>
        </w:rPr>
        <w:t xml:space="preserve">liable to harsh </w:t>
      </w:r>
      <w:r w:rsidRPr="00E60984">
        <w:rPr>
          <w:lang w:val="en-CA"/>
        </w:rPr>
        <w:t>punish</w:t>
      </w:r>
      <w:r w:rsidR="00A82566">
        <w:rPr>
          <w:lang w:val="en-CA"/>
        </w:rPr>
        <w:t>ment</w:t>
      </w:r>
      <w:r w:rsidRPr="00E60984">
        <w:rPr>
          <w:lang w:val="en-CA"/>
        </w:rPr>
        <w:t xml:space="preserve"> for individuals who obstruct </w:t>
      </w:r>
      <w:r w:rsidR="00ED2D50">
        <w:rPr>
          <w:lang w:val="en-CA"/>
        </w:rPr>
        <w:t>officers</w:t>
      </w:r>
      <w:r w:rsidR="00A82566">
        <w:rPr>
          <w:lang w:val="en-CA"/>
        </w:rPr>
        <w:t xml:space="preserve"> in </w:t>
      </w:r>
      <w:r w:rsidRPr="00E60984">
        <w:rPr>
          <w:lang w:val="en-CA"/>
        </w:rPr>
        <w:t>the execution of their duties,</w:t>
      </w:r>
      <w:r w:rsidRPr="00E60984">
        <w:rPr>
          <w:rStyle w:val="Appelnotedebasdep"/>
          <w:lang w:val="en-CA"/>
        </w:rPr>
        <w:footnoteReference w:id="12"/>
      </w:r>
      <w:r w:rsidRPr="00E60984">
        <w:rPr>
          <w:lang w:val="en-CA"/>
        </w:rPr>
        <w:t xml:space="preserve"> assault </w:t>
      </w:r>
      <w:r w:rsidR="00F61E5F">
        <w:rPr>
          <w:lang w:val="en-CA"/>
        </w:rPr>
        <w:t>them</w:t>
      </w:r>
      <w:r w:rsidRPr="00E60984">
        <w:rPr>
          <w:lang w:val="en-CA"/>
        </w:rPr>
        <w:t>,</w:t>
      </w:r>
      <w:r w:rsidRPr="00E60984">
        <w:rPr>
          <w:rStyle w:val="Appelnotedebasdep"/>
          <w:lang w:val="en-CA"/>
        </w:rPr>
        <w:footnoteReference w:id="13"/>
      </w:r>
      <w:r w:rsidRPr="00E60984">
        <w:rPr>
          <w:lang w:val="en-CA"/>
        </w:rPr>
        <w:t xml:space="preserve"> or attempt to disarm them.</w:t>
      </w:r>
      <w:r w:rsidRPr="00E60984">
        <w:rPr>
          <w:rStyle w:val="Appelnotedebasdep"/>
          <w:lang w:val="en-CA"/>
        </w:rPr>
        <w:footnoteReference w:id="14"/>
      </w:r>
    </w:p>
    <w:p w14:paraId="1458F5A0" w14:textId="08C38FBA" w:rsidR="00A17C43" w:rsidRPr="00E60984" w:rsidRDefault="00A82566" w:rsidP="005F15BF">
      <w:pPr>
        <w:pStyle w:val="Paragraphe"/>
        <w:spacing w:line="240" w:lineRule="auto"/>
        <w:rPr>
          <w:lang w:val="en-CA"/>
        </w:rPr>
      </w:pPr>
      <w:r>
        <w:rPr>
          <w:lang w:val="en-CA"/>
        </w:rPr>
        <w:t xml:space="preserve">The </w:t>
      </w:r>
      <w:r w:rsidR="006E310B">
        <w:rPr>
          <w:lang w:val="en-CA"/>
        </w:rPr>
        <w:t xml:space="preserve">integrity </w:t>
      </w:r>
      <w:r>
        <w:rPr>
          <w:lang w:val="en-CA"/>
        </w:rPr>
        <w:t>of police officers is particularly scrutinized, gi</w:t>
      </w:r>
      <w:r w:rsidR="0055542E" w:rsidRPr="00E60984">
        <w:rPr>
          <w:lang w:val="en-CA"/>
        </w:rPr>
        <w:t>ven the</w:t>
      </w:r>
      <w:r>
        <w:rPr>
          <w:lang w:val="en-CA"/>
        </w:rPr>
        <w:t>ir</w:t>
      </w:r>
      <w:r w:rsidR="0055542E" w:rsidRPr="00E60984">
        <w:rPr>
          <w:lang w:val="en-CA"/>
        </w:rPr>
        <w:t xml:space="preserve"> role and the significant powers they have been granted.</w:t>
      </w:r>
      <w:r w:rsidR="00DE2A80" w:rsidRPr="00E60984">
        <w:rPr>
          <w:lang w:val="en-CA"/>
        </w:rPr>
        <w:t xml:space="preserve"> </w:t>
      </w:r>
      <w:r w:rsidR="0055542E" w:rsidRPr="00E60984">
        <w:rPr>
          <w:lang w:val="en-CA"/>
        </w:rPr>
        <w:t>As elsewhere in Canada, the Quebec legislat</w:t>
      </w:r>
      <w:r w:rsidR="0087677B">
        <w:rPr>
          <w:lang w:val="en-CA"/>
        </w:rPr>
        <w:t>u</w:t>
      </w:r>
      <w:r w:rsidR="0055542E" w:rsidRPr="00E60984">
        <w:rPr>
          <w:lang w:val="en-CA"/>
        </w:rPr>
        <w:t>r</w:t>
      </w:r>
      <w:r w:rsidR="0087677B">
        <w:rPr>
          <w:lang w:val="en-CA"/>
        </w:rPr>
        <w:t>e</w:t>
      </w:r>
      <w:r w:rsidR="0055542E" w:rsidRPr="00E60984">
        <w:rPr>
          <w:lang w:val="en-CA"/>
        </w:rPr>
        <w:t xml:space="preserve">, </w:t>
      </w:r>
      <w:r>
        <w:rPr>
          <w:lang w:val="en-CA"/>
        </w:rPr>
        <w:t>in</w:t>
      </w:r>
      <w:r w:rsidR="0055542E" w:rsidRPr="00E60984">
        <w:rPr>
          <w:lang w:val="en-CA"/>
        </w:rPr>
        <w:t xml:space="preserve"> the </w:t>
      </w:r>
      <w:r w:rsidR="0055542E" w:rsidRPr="00E60984">
        <w:rPr>
          <w:i/>
          <w:lang w:val="en-CA"/>
        </w:rPr>
        <w:t>Police Act</w:t>
      </w:r>
      <w:r w:rsidR="0055542E" w:rsidRPr="00E60984">
        <w:rPr>
          <w:lang w:val="en-CA"/>
        </w:rPr>
        <w:t>,</w:t>
      </w:r>
      <w:r w:rsidR="0055542E" w:rsidRPr="00E60984">
        <w:rPr>
          <w:rStyle w:val="Appelnotedebasdep"/>
          <w:lang w:val="en-CA"/>
        </w:rPr>
        <w:footnoteReference w:id="15"/>
      </w:r>
      <w:r w:rsidR="0055542E" w:rsidRPr="00E60984">
        <w:rPr>
          <w:lang w:val="en-CA"/>
        </w:rPr>
        <w:t xml:space="preserve"> </w:t>
      </w:r>
      <w:r w:rsidRPr="00E60984">
        <w:rPr>
          <w:lang w:val="en-CA"/>
        </w:rPr>
        <w:t xml:space="preserve">established </w:t>
      </w:r>
      <w:r w:rsidR="0055542E" w:rsidRPr="00E60984">
        <w:rPr>
          <w:lang w:val="en-CA"/>
        </w:rPr>
        <w:t>standards of conduct for police</w:t>
      </w:r>
      <w:r w:rsidR="000A22E0">
        <w:rPr>
          <w:lang w:val="en-CA"/>
        </w:rPr>
        <w:t xml:space="preserve"> officers</w:t>
      </w:r>
      <w:r w:rsidR="0055542E" w:rsidRPr="00E60984">
        <w:rPr>
          <w:lang w:val="en-CA"/>
        </w:rPr>
        <w:t xml:space="preserve">, </w:t>
      </w:r>
      <w:r w:rsidR="006E310B">
        <w:rPr>
          <w:lang w:val="en-CA"/>
        </w:rPr>
        <w:t>in particular</w:t>
      </w:r>
      <w:r w:rsidR="006E310B" w:rsidRPr="00E60984">
        <w:rPr>
          <w:lang w:val="en-CA"/>
        </w:rPr>
        <w:t xml:space="preserve"> </w:t>
      </w:r>
      <w:r w:rsidR="0055542E" w:rsidRPr="00E60984">
        <w:rPr>
          <w:lang w:val="en-CA"/>
        </w:rPr>
        <w:t xml:space="preserve">through various codes of ethics, including the </w:t>
      </w:r>
      <w:r w:rsidR="0055542E" w:rsidRPr="00E60984">
        <w:rPr>
          <w:i/>
          <w:lang w:val="en-CA"/>
        </w:rPr>
        <w:t>Code of Ethics of Québec Police Officers</w:t>
      </w:r>
      <w:r w:rsidR="0055542E" w:rsidRPr="00E60984">
        <w:rPr>
          <w:lang w:val="en-CA"/>
        </w:rPr>
        <w:t xml:space="preserve">, which </w:t>
      </w:r>
      <w:r w:rsidR="000A22E0">
        <w:rPr>
          <w:lang w:val="en-CA"/>
        </w:rPr>
        <w:t>establishes</w:t>
      </w:r>
      <w:r w:rsidR="0055542E" w:rsidRPr="00E60984">
        <w:rPr>
          <w:lang w:val="en-CA"/>
        </w:rPr>
        <w:t xml:space="preserve"> the duties and standards of conduct </w:t>
      </w:r>
      <w:r w:rsidR="000A22E0">
        <w:rPr>
          <w:lang w:val="en-CA"/>
        </w:rPr>
        <w:t>o</w:t>
      </w:r>
      <w:r w:rsidR="0055542E" w:rsidRPr="00E60984">
        <w:rPr>
          <w:lang w:val="en-CA"/>
        </w:rPr>
        <w:t xml:space="preserve">f </w:t>
      </w:r>
      <w:r w:rsidR="000A22E0">
        <w:rPr>
          <w:lang w:val="en-CA"/>
        </w:rPr>
        <w:t xml:space="preserve">police </w:t>
      </w:r>
      <w:r w:rsidR="0055542E" w:rsidRPr="00E60984">
        <w:rPr>
          <w:lang w:val="en-CA"/>
        </w:rPr>
        <w:t>officers in their relations with the public.</w:t>
      </w:r>
      <w:r w:rsidR="0055542E" w:rsidRPr="00E60984">
        <w:rPr>
          <w:rStyle w:val="Appelnotedebasdep"/>
          <w:lang w:val="en-CA"/>
        </w:rPr>
        <w:footnoteReference w:id="16"/>
      </w:r>
      <w:r w:rsidR="00DE2A80" w:rsidRPr="00E60984">
        <w:rPr>
          <w:lang w:val="en-CA"/>
        </w:rPr>
        <w:t xml:space="preserve"> </w:t>
      </w:r>
      <w:r w:rsidR="0055542E" w:rsidRPr="00E60984">
        <w:rPr>
          <w:lang w:val="en-CA"/>
        </w:rPr>
        <w:t xml:space="preserve">To this end, the </w:t>
      </w:r>
      <w:r w:rsidR="0055542E" w:rsidRPr="00E60984">
        <w:rPr>
          <w:i/>
          <w:iCs/>
          <w:lang w:val="en-CA"/>
        </w:rPr>
        <w:t>Police Act</w:t>
      </w:r>
      <w:r w:rsidR="0055542E" w:rsidRPr="00E60984">
        <w:rPr>
          <w:lang w:val="en-CA"/>
        </w:rPr>
        <w:t xml:space="preserve"> establishes complaint and investigation mechanisms, </w:t>
      </w:r>
      <w:r w:rsidR="00867DB5">
        <w:rPr>
          <w:lang w:val="en-CA"/>
        </w:rPr>
        <w:t>including</w:t>
      </w:r>
      <w:r w:rsidR="000A22E0">
        <w:rPr>
          <w:lang w:val="en-CA"/>
        </w:rPr>
        <w:t xml:space="preserve"> </w:t>
      </w:r>
      <w:r w:rsidR="0055542E" w:rsidRPr="00E60984">
        <w:rPr>
          <w:lang w:val="en-CA"/>
        </w:rPr>
        <w:t>internal investigations by the police force</w:t>
      </w:r>
      <w:r w:rsidR="0055542E" w:rsidRPr="00E60984">
        <w:rPr>
          <w:rStyle w:val="Appelnotedebasdep"/>
          <w:lang w:val="en-CA"/>
        </w:rPr>
        <w:footnoteReference w:id="17"/>
      </w:r>
      <w:r w:rsidR="0055542E" w:rsidRPr="00E60984">
        <w:rPr>
          <w:lang w:val="en-CA"/>
        </w:rPr>
        <w:t xml:space="preserve"> and investigations by the Police Ethics Commissioner </w:t>
      </w:r>
      <w:r w:rsidR="00867DB5">
        <w:rPr>
          <w:lang w:val="en-CA"/>
        </w:rPr>
        <w:t>where</w:t>
      </w:r>
      <w:r w:rsidR="0055542E" w:rsidRPr="00E60984">
        <w:rPr>
          <w:lang w:val="en-CA"/>
        </w:rPr>
        <w:t xml:space="preserve"> the complaint is by a member of the public.</w:t>
      </w:r>
      <w:r w:rsidR="0055542E" w:rsidRPr="00E60984">
        <w:rPr>
          <w:rStyle w:val="Appelnotedebasdep"/>
          <w:lang w:val="en-CA"/>
        </w:rPr>
        <w:footnoteReference w:id="18"/>
      </w:r>
      <w:r w:rsidR="00DE2A80" w:rsidRPr="00E60984">
        <w:rPr>
          <w:lang w:val="en-CA"/>
        </w:rPr>
        <w:t> </w:t>
      </w:r>
    </w:p>
    <w:p w14:paraId="33D3A456" w14:textId="53C7F88A" w:rsidR="00A17C43" w:rsidRPr="00E60984" w:rsidRDefault="0055542E" w:rsidP="005F15BF">
      <w:pPr>
        <w:pStyle w:val="Paragraphe"/>
        <w:spacing w:line="240" w:lineRule="auto"/>
        <w:rPr>
          <w:lang w:val="en-CA"/>
        </w:rPr>
      </w:pPr>
      <w:r w:rsidRPr="00E60984">
        <w:rPr>
          <w:lang w:val="en-CA"/>
        </w:rPr>
        <w:t xml:space="preserve">As discussed in </w:t>
      </w:r>
      <w:r w:rsidR="000A22E0">
        <w:rPr>
          <w:lang w:val="en-CA"/>
        </w:rPr>
        <w:t xml:space="preserve">greater </w:t>
      </w:r>
      <w:r w:rsidRPr="00E60984">
        <w:rPr>
          <w:lang w:val="en-CA"/>
        </w:rPr>
        <w:t>detail below, the scope of internal investigations by the police force has been limited in recent years.</w:t>
      </w:r>
      <w:r w:rsidR="00DE2A80" w:rsidRPr="00E60984">
        <w:rPr>
          <w:lang w:val="en-CA"/>
        </w:rPr>
        <w:t xml:space="preserve"> </w:t>
      </w:r>
      <w:r w:rsidRPr="00E60984">
        <w:rPr>
          <w:lang w:val="en-CA"/>
        </w:rPr>
        <w:t xml:space="preserve">In general, they </w:t>
      </w:r>
      <w:r w:rsidR="00867DB5">
        <w:rPr>
          <w:lang w:val="en-CA"/>
        </w:rPr>
        <w:t>no longer</w:t>
      </w:r>
      <w:r w:rsidR="00867DB5" w:rsidRPr="00E60984">
        <w:rPr>
          <w:lang w:val="en-CA"/>
        </w:rPr>
        <w:t xml:space="preserve"> </w:t>
      </w:r>
      <w:r w:rsidRPr="00E60984">
        <w:rPr>
          <w:lang w:val="en-CA"/>
        </w:rPr>
        <w:t xml:space="preserve">focus on several types of investigations involving police </w:t>
      </w:r>
      <w:r w:rsidR="000A22E0">
        <w:rPr>
          <w:lang w:val="en-CA"/>
        </w:rPr>
        <w:t xml:space="preserve">officers </w:t>
      </w:r>
      <w:r w:rsidRPr="00E60984">
        <w:rPr>
          <w:lang w:val="en-CA"/>
        </w:rPr>
        <w:t>given the BEI’s mandate</w:t>
      </w:r>
      <w:r w:rsidR="00867DB5">
        <w:rPr>
          <w:lang w:val="en-CA"/>
        </w:rPr>
        <w:t>.</w:t>
      </w:r>
      <w:r w:rsidRPr="00E60984">
        <w:rPr>
          <w:lang w:val="en-CA"/>
        </w:rPr>
        <w:t xml:space="preserve"> </w:t>
      </w:r>
      <w:r w:rsidR="00867DB5">
        <w:rPr>
          <w:lang w:val="en-CA"/>
        </w:rPr>
        <w:t>We will revisit this</w:t>
      </w:r>
      <w:r w:rsidRPr="00E60984">
        <w:rPr>
          <w:lang w:val="en-CA"/>
        </w:rPr>
        <w:t>.</w:t>
      </w:r>
      <w:r w:rsidR="00DE2A80" w:rsidRPr="00E60984">
        <w:rPr>
          <w:lang w:val="en-CA"/>
        </w:rPr>
        <w:t xml:space="preserve"> </w:t>
      </w:r>
    </w:p>
    <w:p w14:paraId="59544D55" w14:textId="5DE99CEA" w:rsidR="00A17C43" w:rsidRPr="00E60984" w:rsidRDefault="0055542E" w:rsidP="00352361">
      <w:pPr>
        <w:pStyle w:val="Paragraphe"/>
        <w:keepNext/>
        <w:spacing w:line="240" w:lineRule="auto"/>
        <w:rPr>
          <w:lang w:val="en-CA"/>
        </w:rPr>
      </w:pPr>
      <w:r w:rsidRPr="00E60984">
        <w:rPr>
          <w:lang w:val="en-CA"/>
        </w:rPr>
        <w:t xml:space="preserve">Thus, </w:t>
      </w:r>
      <w:r w:rsidR="003D02FF">
        <w:rPr>
          <w:lang w:val="en-CA"/>
        </w:rPr>
        <w:t xml:space="preserve">with respect to the </w:t>
      </w:r>
      <w:r w:rsidR="003D02FF" w:rsidRPr="00E60984">
        <w:rPr>
          <w:lang w:val="en-CA"/>
        </w:rPr>
        <w:t>Sûreté du Québec</w:t>
      </w:r>
      <w:r w:rsidR="003D02FF">
        <w:rPr>
          <w:lang w:val="en-CA"/>
        </w:rPr>
        <w:t>,</w:t>
      </w:r>
      <w:r w:rsidR="003D02FF" w:rsidRPr="00E60984">
        <w:rPr>
          <w:lang w:val="en-CA"/>
        </w:rPr>
        <w:t xml:space="preserve"> </w:t>
      </w:r>
      <w:r w:rsidRPr="00E60984">
        <w:rPr>
          <w:lang w:val="en-CA"/>
        </w:rPr>
        <w:t>an internal investigation may concern the conduct of a</w:t>
      </w:r>
      <w:r w:rsidR="000A22E0">
        <w:rPr>
          <w:lang w:val="en-CA"/>
        </w:rPr>
        <w:t xml:space="preserve"> police</w:t>
      </w:r>
      <w:r w:rsidRPr="00E60984">
        <w:rPr>
          <w:lang w:val="en-CA"/>
        </w:rPr>
        <w:t xml:space="preserve"> officer </w:t>
      </w:r>
      <w:r w:rsidR="003D02FF">
        <w:rPr>
          <w:lang w:val="en-CA"/>
        </w:rPr>
        <w:t>that</w:t>
      </w:r>
      <w:r w:rsidR="003D02FF" w:rsidRPr="00E60984">
        <w:rPr>
          <w:lang w:val="en-CA"/>
        </w:rPr>
        <w:t xml:space="preserve"> </w:t>
      </w:r>
      <w:r w:rsidR="003D02FF">
        <w:rPr>
          <w:lang w:val="en-CA"/>
        </w:rPr>
        <w:t>could</w:t>
      </w:r>
      <w:r w:rsidRPr="00E60984">
        <w:rPr>
          <w:lang w:val="en-CA"/>
        </w:rPr>
        <w:t xml:space="preserve"> compromise the exercise of their duties and functions and result in the </w:t>
      </w:r>
      <w:r w:rsidR="000A22E0">
        <w:rPr>
          <w:lang w:val="en-CA"/>
        </w:rPr>
        <w:t xml:space="preserve">police </w:t>
      </w:r>
      <w:r w:rsidRPr="00E60984">
        <w:rPr>
          <w:lang w:val="en-CA"/>
        </w:rPr>
        <w:t>officer’s suspension or dismissal.</w:t>
      </w:r>
      <w:r w:rsidRPr="00E60984">
        <w:rPr>
          <w:rStyle w:val="Appelnotedebasdep"/>
          <w:lang w:val="en-CA"/>
        </w:rPr>
        <w:footnoteReference w:id="19"/>
      </w:r>
      <w:r w:rsidR="00DE2A80" w:rsidRPr="00E60984">
        <w:rPr>
          <w:lang w:val="en-CA"/>
        </w:rPr>
        <w:t xml:space="preserve"> </w:t>
      </w:r>
      <w:r w:rsidRPr="00E60984">
        <w:rPr>
          <w:lang w:val="en-CA"/>
        </w:rPr>
        <w:t>Similar provisions also apply to the other police forces.</w:t>
      </w:r>
      <w:r w:rsidRPr="00E60984">
        <w:rPr>
          <w:rStyle w:val="Appelnotedebasdep"/>
          <w:lang w:val="en-CA"/>
        </w:rPr>
        <w:footnoteReference w:id="20"/>
      </w:r>
      <w:r w:rsidR="00DE2A80" w:rsidRPr="00E60984">
        <w:rPr>
          <w:lang w:val="en-CA"/>
        </w:rPr>
        <w:t xml:space="preserve"> </w:t>
      </w:r>
      <w:r w:rsidRPr="00E60984">
        <w:rPr>
          <w:lang w:val="en-CA"/>
        </w:rPr>
        <w:t xml:space="preserve">However, if an internal investigation reveals an allegation concerning a criminal offence, the Minister must then be notified and may order an independent investigation, </w:t>
      </w:r>
      <w:r w:rsidR="00ED2D50">
        <w:rPr>
          <w:lang w:val="en-CA"/>
        </w:rPr>
        <w:t>specifically</w:t>
      </w:r>
      <w:r w:rsidRPr="00E60984">
        <w:rPr>
          <w:lang w:val="en-CA"/>
        </w:rPr>
        <w:t xml:space="preserve"> by the BEI.</w:t>
      </w:r>
      <w:r w:rsidRPr="00E60984">
        <w:rPr>
          <w:rStyle w:val="Appelnotedebasdep"/>
          <w:lang w:val="en-CA"/>
        </w:rPr>
        <w:footnoteReference w:id="21"/>
      </w:r>
      <w:r w:rsidR="00DE2A80" w:rsidRPr="00E60984">
        <w:rPr>
          <w:lang w:val="en-CA"/>
        </w:rPr>
        <w:t xml:space="preserve"> </w:t>
      </w:r>
      <w:r w:rsidRPr="00E60984">
        <w:rPr>
          <w:lang w:val="en-CA"/>
        </w:rPr>
        <w:t>If the offence is of a sexual nature,</w:t>
      </w:r>
      <w:r w:rsidR="000A22E0">
        <w:rPr>
          <w:lang w:val="en-CA"/>
        </w:rPr>
        <w:t xml:space="preserve"> however,</w:t>
      </w:r>
      <w:r w:rsidRPr="00E60984">
        <w:rPr>
          <w:lang w:val="en-CA"/>
        </w:rPr>
        <w:t xml:space="preserve"> the BEI must conduct the investigation, as it must when an investigation </w:t>
      </w:r>
      <w:r w:rsidR="000A22E0">
        <w:rPr>
          <w:lang w:val="en-CA"/>
        </w:rPr>
        <w:lastRenderedPageBreak/>
        <w:t>concerns</w:t>
      </w:r>
      <w:r w:rsidRPr="00E60984">
        <w:rPr>
          <w:lang w:val="en-CA"/>
        </w:rPr>
        <w:t xml:space="preserve"> a </w:t>
      </w:r>
      <w:r w:rsidR="000A22E0">
        <w:rPr>
          <w:lang w:val="en-CA"/>
        </w:rPr>
        <w:t xml:space="preserve">police </w:t>
      </w:r>
      <w:r w:rsidRPr="00E60984">
        <w:rPr>
          <w:lang w:val="en-CA"/>
        </w:rPr>
        <w:t>officer involv</w:t>
      </w:r>
      <w:r w:rsidR="000A22E0">
        <w:rPr>
          <w:lang w:val="en-CA"/>
        </w:rPr>
        <w:t>ed</w:t>
      </w:r>
      <w:r w:rsidRPr="00E60984">
        <w:rPr>
          <w:lang w:val="en-CA"/>
        </w:rPr>
        <w:t xml:space="preserve"> </w:t>
      </w:r>
      <w:r w:rsidR="000A22E0">
        <w:rPr>
          <w:lang w:val="en-CA"/>
        </w:rPr>
        <w:t xml:space="preserve">in </w:t>
      </w:r>
      <w:r w:rsidRPr="00E60984">
        <w:rPr>
          <w:lang w:val="en-CA"/>
        </w:rPr>
        <w:t xml:space="preserve">an injury or death caused by the use of their </w:t>
      </w:r>
      <w:r w:rsidR="000A22E0">
        <w:rPr>
          <w:lang w:val="en-CA"/>
        </w:rPr>
        <w:t xml:space="preserve">firearm </w:t>
      </w:r>
      <w:r w:rsidRPr="00E60984">
        <w:rPr>
          <w:lang w:val="en-CA"/>
        </w:rPr>
        <w:t>during a police intervention.</w:t>
      </w:r>
      <w:r w:rsidRPr="00E60984">
        <w:rPr>
          <w:rStyle w:val="Appelnotedebasdep"/>
          <w:lang w:val="en-CA"/>
        </w:rPr>
        <w:footnoteReference w:id="22"/>
      </w:r>
      <w:r w:rsidR="00DE2A80" w:rsidRPr="00E60984">
        <w:rPr>
          <w:lang w:val="en-CA"/>
        </w:rPr>
        <w:t xml:space="preserve"> </w:t>
      </w:r>
    </w:p>
    <w:p w14:paraId="1227AAC5" w14:textId="60DC7351" w:rsidR="00A17C43" w:rsidRPr="00E60984" w:rsidRDefault="0055542E" w:rsidP="005F15BF">
      <w:pPr>
        <w:pStyle w:val="Paragraphe"/>
        <w:spacing w:line="240" w:lineRule="auto"/>
        <w:rPr>
          <w:lang w:val="en-CA"/>
        </w:rPr>
      </w:pPr>
      <w:r w:rsidRPr="00E60984">
        <w:rPr>
          <w:lang w:val="en-CA"/>
        </w:rPr>
        <w:t xml:space="preserve">Ethics investigations are conducted by the Police Ethics Commissioner and may result in a citation before the Tribunal </w:t>
      </w:r>
      <w:proofErr w:type="spellStart"/>
      <w:r w:rsidRPr="00E60984">
        <w:rPr>
          <w:lang w:val="en-CA"/>
        </w:rPr>
        <w:t>administratif</w:t>
      </w:r>
      <w:proofErr w:type="spellEnd"/>
      <w:r w:rsidRPr="00E60984">
        <w:rPr>
          <w:lang w:val="en-CA"/>
        </w:rPr>
        <w:t xml:space="preserve"> de </w:t>
      </w:r>
      <w:proofErr w:type="spellStart"/>
      <w:r w:rsidRPr="00E60984">
        <w:rPr>
          <w:lang w:val="en-CA"/>
        </w:rPr>
        <w:t>déontologie</w:t>
      </w:r>
      <w:proofErr w:type="spellEnd"/>
      <w:r w:rsidRPr="00E60984">
        <w:rPr>
          <w:lang w:val="en-CA"/>
        </w:rPr>
        <w:t xml:space="preserve"> </w:t>
      </w:r>
      <w:proofErr w:type="spellStart"/>
      <w:r w:rsidRPr="00E60984">
        <w:rPr>
          <w:lang w:val="en-CA"/>
        </w:rPr>
        <w:t>policière</w:t>
      </w:r>
      <w:proofErr w:type="spellEnd"/>
      <w:r w:rsidRPr="00E60984">
        <w:rPr>
          <w:lang w:val="en-CA"/>
        </w:rPr>
        <w:t xml:space="preserve"> (</w:t>
      </w:r>
      <w:r w:rsidR="00604E99">
        <w:rPr>
          <w:lang w:val="en-CA"/>
        </w:rPr>
        <w:t xml:space="preserve">formerly </w:t>
      </w:r>
      <w:r w:rsidRPr="00E60984">
        <w:rPr>
          <w:lang w:val="en-CA"/>
        </w:rPr>
        <w:t>the Police Ethics Committee),</w:t>
      </w:r>
      <w:r w:rsidRPr="00E60984">
        <w:rPr>
          <w:rStyle w:val="Appelnotedebasdep"/>
          <w:lang w:val="en-CA"/>
        </w:rPr>
        <w:footnoteReference w:id="23"/>
      </w:r>
      <w:r w:rsidRPr="00E60984">
        <w:rPr>
          <w:lang w:val="en-CA"/>
        </w:rPr>
        <w:t xml:space="preserve"> </w:t>
      </w:r>
      <w:r w:rsidR="00E45F44">
        <w:rPr>
          <w:lang w:val="en-CA"/>
        </w:rPr>
        <w:t xml:space="preserve">which is </w:t>
      </w:r>
      <w:r w:rsidRPr="00E60984">
        <w:rPr>
          <w:lang w:val="en-CA"/>
        </w:rPr>
        <w:t>charged with hearing and disposing of any citation in matters of police ethics.</w:t>
      </w:r>
      <w:r w:rsidRPr="00E60984">
        <w:rPr>
          <w:rStyle w:val="Appelnotedebasdep"/>
          <w:lang w:val="en-CA"/>
        </w:rPr>
        <w:footnoteReference w:id="24"/>
      </w:r>
      <w:r w:rsidR="00DE2A80" w:rsidRPr="00E60984">
        <w:rPr>
          <w:lang w:val="en-CA"/>
        </w:rPr>
        <w:t xml:space="preserve"> </w:t>
      </w:r>
      <w:r w:rsidRPr="00E60984">
        <w:rPr>
          <w:lang w:val="en-CA"/>
        </w:rPr>
        <w:t xml:space="preserve">The Tribunal </w:t>
      </w:r>
      <w:proofErr w:type="spellStart"/>
      <w:r w:rsidRPr="00E60984">
        <w:rPr>
          <w:lang w:val="en-CA"/>
        </w:rPr>
        <w:t>administratif</w:t>
      </w:r>
      <w:proofErr w:type="spellEnd"/>
      <w:r w:rsidRPr="00E60984">
        <w:rPr>
          <w:lang w:val="en-CA"/>
        </w:rPr>
        <w:t xml:space="preserve"> de </w:t>
      </w:r>
      <w:proofErr w:type="spellStart"/>
      <w:r w:rsidRPr="00E60984">
        <w:rPr>
          <w:lang w:val="en-CA"/>
        </w:rPr>
        <w:t>déontologie</w:t>
      </w:r>
      <w:proofErr w:type="spellEnd"/>
      <w:r w:rsidRPr="00E60984">
        <w:rPr>
          <w:lang w:val="en-CA"/>
        </w:rPr>
        <w:t xml:space="preserve"> </w:t>
      </w:r>
      <w:proofErr w:type="spellStart"/>
      <w:r w:rsidRPr="00E60984">
        <w:rPr>
          <w:lang w:val="en-CA"/>
        </w:rPr>
        <w:t>policière</w:t>
      </w:r>
      <w:proofErr w:type="spellEnd"/>
      <w:r w:rsidRPr="00E60984">
        <w:rPr>
          <w:lang w:val="en-CA"/>
        </w:rPr>
        <w:t xml:space="preserve"> </w:t>
      </w:r>
      <w:r w:rsidR="00604E99">
        <w:rPr>
          <w:lang w:val="en-CA"/>
        </w:rPr>
        <w:t xml:space="preserve">decides </w:t>
      </w:r>
      <w:r w:rsidRPr="00E60984">
        <w:rPr>
          <w:lang w:val="en-CA"/>
        </w:rPr>
        <w:t xml:space="preserve">whether the conduct of a police officer is a transgression of the </w:t>
      </w:r>
      <w:r w:rsidRPr="00E60984">
        <w:rPr>
          <w:i/>
          <w:lang w:val="en-CA"/>
        </w:rPr>
        <w:t>Code of Ethics of Québec Police Officers</w:t>
      </w:r>
      <w:r w:rsidRPr="00E60984">
        <w:rPr>
          <w:lang w:val="en-CA"/>
        </w:rPr>
        <w:t xml:space="preserve"> and, if so, impose</w:t>
      </w:r>
      <w:r w:rsidR="00604E99">
        <w:rPr>
          <w:lang w:val="en-CA"/>
        </w:rPr>
        <w:t>s</w:t>
      </w:r>
      <w:r w:rsidRPr="00E60984">
        <w:rPr>
          <w:lang w:val="en-CA"/>
        </w:rPr>
        <w:t xml:space="preserve"> a penalty on the officer, which may be a reprimand for less serious offences or </w:t>
      </w:r>
      <w:r w:rsidR="00E45F44">
        <w:rPr>
          <w:lang w:val="en-CA"/>
        </w:rPr>
        <w:t xml:space="preserve">a </w:t>
      </w:r>
      <w:r w:rsidRPr="00E60984">
        <w:rPr>
          <w:lang w:val="en-CA"/>
        </w:rPr>
        <w:t xml:space="preserve">dismissal for </w:t>
      </w:r>
      <w:r w:rsidR="00604E99">
        <w:rPr>
          <w:lang w:val="en-CA"/>
        </w:rPr>
        <w:t xml:space="preserve">the most </w:t>
      </w:r>
      <w:r w:rsidRPr="00E60984">
        <w:rPr>
          <w:lang w:val="en-CA"/>
        </w:rPr>
        <w:t>serious offences.</w:t>
      </w:r>
      <w:r w:rsidRPr="00E60984">
        <w:rPr>
          <w:rStyle w:val="Appelnotedebasdep"/>
          <w:lang w:val="en-CA"/>
        </w:rPr>
        <w:footnoteReference w:id="25"/>
      </w:r>
      <w:r w:rsidR="00DE2A80" w:rsidRPr="00E60984">
        <w:rPr>
          <w:lang w:val="en-CA"/>
        </w:rPr>
        <w:t xml:space="preserve"> </w:t>
      </w:r>
      <w:r w:rsidRPr="00E60984">
        <w:rPr>
          <w:lang w:val="en-CA"/>
        </w:rPr>
        <w:t xml:space="preserve">The </w:t>
      </w:r>
      <w:r w:rsidRPr="00E60984">
        <w:rPr>
          <w:i/>
          <w:iCs/>
          <w:lang w:val="en-CA"/>
        </w:rPr>
        <w:t>Act</w:t>
      </w:r>
      <w:r w:rsidRPr="00E60984">
        <w:rPr>
          <w:lang w:val="en-CA"/>
        </w:rPr>
        <w:t xml:space="preserve"> </w:t>
      </w:r>
      <w:r w:rsidR="00DE2A80" w:rsidRPr="00E60984">
        <w:rPr>
          <w:lang w:val="en-CA"/>
        </w:rPr>
        <w:t xml:space="preserve">provides </w:t>
      </w:r>
      <w:r w:rsidRPr="00E60984">
        <w:rPr>
          <w:lang w:val="en-CA"/>
        </w:rPr>
        <w:t>that the Tribunal’s decisions may be appealed before a Court of Québec judge.</w:t>
      </w:r>
      <w:r w:rsidRPr="00E60984">
        <w:rPr>
          <w:rStyle w:val="Appelnotedebasdep"/>
          <w:lang w:val="en-CA"/>
        </w:rPr>
        <w:footnoteReference w:id="26"/>
      </w:r>
    </w:p>
    <w:p w14:paraId="16CF08D5" w14:textId="1C8AFCD2" w:rsidR="00A17C43" w:rsidRPr="00E60984" w:rsidRDefault="00DE2A80" w:rsidP="005F15BF">
      <w:pPr>
        <w:pStyle w:val="Paragraphe"/>
        <w:spacing w:line="240" w:lineRule="auto"/>
        <w:rPr>
          <w:lang w:val="en-CA"/>
        </w:rPr>
      </w:pPr>
      <w:r w:rsidRPr="00E60984">
        <w:rPr>
          <w:lang w:val="en-CA"/>
        </w:rPr>
        <w:t xml:space="preserve">That being so, although a criminal offence may </w:t>
      </w:r>
      <w:r w:rsidR="00604E99">
        <w:rPr>
          <w:lang w:val="en-CA"/>
        </w:rPr>
        <w:t>constitute</w:t>
      </w:r>
      <w:r w:rsidRPr="00E60984">
        <w:rPr>
          <w:lang w:val="en-CA"/>
        </w:rPr>
        <w:t xml:space="preserve"> an ethics breach by a police officer, the Tribunal </w:t>
      </w:r>
      <w:proofErr w:type="spellStart"/>
      <w:r w:rsidRPr="00E60984">
        <w:rPr>
          <w:lang w:val="en-CA"/>
        </w:rPr>
        <w:t>administratif</w:t>
      </w:r>
      <w:proofErr w:type="spellEnd"/>
      <w:r w:rsidRPr="00E60984">
        <w:rPr>
          <w:lang w:val="en-CA"/>
        </w:rPr>
        <w:t xml:space="preserve"> de </w:t>
      </w:r>
      <w:proofErr w:type="spellStart"/>
      <w:r w:rsidRPr="00E60984">
        <w:rPr>
          <w:lang w:val="en-CA"/>
        </w:rPr>
        <w:t>déontologie</w:t>
      </w:r>
      <w:proofErr w:type="spellEnd"/>
      <w:r w:rsidRPr="00E60984">
        <w:rPr>
          <w:lang w:val="en-CA"/>
        </w:rPr>
        <w:t xml:space="preserve"> </w:t>
      </w:r>
      <w:proofErr w:type="spellStart"/>
      <w:r w:rsidRPr="00E60984">
        <w:rPr>
          <w:lang w:val="en-CA"/>
        </w:rPr>
        <w:t>policière</w:t>
      </w:r>
      <w:proofErr w:type="spellEnd"/>
      <w:r w:rsidRPr="00E60984">
        <w:rPr>
          <w:lang w:val="en-CA"/>
        </w:rPr>
        <w:t xml:space="preserve"> </w:t>
      </w:r>
      <w:r w:rsidR="00604E99">
        <w:rPr>
          <w:lang w:val="en-CA"/>
        </w:rPr>
        <w:t xml:space="preserve">has no </w:t>
      </w:r>
      <w:r w:rsidRPr="00E60984">
        <w:rPr>
          <w:lang w:val="en-CA"/>
        </w:rPr>
        <w:t>criminal jurisdiction over police</w:t>
      </w:r>
      <w:r w:rsidR="00AD324B">
        <w:rPr>
          <w:lang w:val="en-CA"/>
        </w:rPr>
        <w:t xml:space="preserve"> officers</w:t>
      </w:r>
      <w:r w:rsidRPr="00E60984">
        <w:rPr>
          <w:lang w:val="en-CA"/>
        </w:rPr>
        <w:t xml:space="preserve">. The </w:t>
      </w:r>
      <w:r w:rsidR="00604E99">
        <w:rPr>
          <w:lang w:val="en-CA"/>
        </w:rPr>
        <w:t xml:space="preserve">regular </w:t>
      </w:r>
      <w:r w:rsidRPr="00E60984">
        <w:rPr>
          <w:lang w:val="en-CA"/>
        </w:rPr>
        <w:t>criminal investigati</w:t>
      </w:r>
      <w:r w:rsidR="00AD324B">
        <w:rPr>
          <w:lang w:val="en-CA"/>
        </w:rPr>
        <w:t>ve</w:t>
      </w:r>
      <w:r w:rsidRPr="00E60984">
        <w:rPr>
          <w:lang w:val="en-CA"/>
        </w:rPr>
        <w:t xml:space="preserve"> process applies </w:t>
      </w:r>
      <w:r w:rsidR="00604E99">
        <w:rPr>
          <w:lang w:val="en-CA"/>
        </w:rPr>
        <w:t xml:space="preserve">to </w:t>
      </w:r>
      <w:r w:rsidRPr="00E60984">
        <w:rPr>
          <w:lang w:val="en-CA"/>
        </w:rPr>
        <w:t xml:space="preserve">determine whether a </w:t>
      </w:r>
      <w:r w:rsidR="00604E99">
        <w:rPr>
          <w:lang w:val="en-CA"/>
        </w:rPr>
        <w:t xml:space="preserve">police </w:t>
      </w:r>
      <w:r w:rsidRPr="00E60984">
        <w:rPr>
          <w:lang w:val="en-CA"/>
        </w:rPr>
        <w:t xml:space="preserve">officer’s conduct, </w:t>
      </w:r>
      <w:r w:rsidR="00AD324B">
        <w:rPr>
          <w:lang w:val="en-CA"/>
        </w:rPr>
        <w:t>for example,</w:t>
      </w:r>
      <w:r w:rsidRPr="00E60984">
        <w:rPr>
          <w:lang w:val="en-CA"/>
        </w:rPr>
        <w:t xml:space="preserve"> the use of excessive force, may result in criminal charges. The criminal investigati</w:t>
      </w:r>
      <w:r w:rsidR="00FD4A18">
        <w:rPr>
          <w:lang w:val="en-CA"/>
        </w:rPr>
        <w:t>ve</w:t>
      </w:r>
      <w:r w:rsidRPr="00E60984">
        <w:rPr>
          <w:lang w:val="en-CA"/>
        </w:rPr>
        <w:t xml:space="preserve"> process </w:t>
      </w:r>
      <w:r w:rsidR="00604E99">
        <w:rPr>
          <w:lang w:val="en-CA"/>
        </w:rPr>
        <w:t xml:space="preserve">into </w:t>
      </w:r>
      <w:r w:rsidRPr="00E60984">
        <w:rPr>
          <w:lang w:val="en-CA"/>
        </w:rPr>
        <w:t xml:space="preserve">police conduct has evolved considerably over </w:t>
      </w:r>
      <w:r w:rsidR="00AD324B">
        <w:rPr>
          <w:lang w:val="en-CA"/>
        </w:rPr>
        <w:t>time</w:t>
      </w:r>
      <w:r w:rsidRPr="00E60984">
        <w:rPr>
          <w:lang w:val="en-CA"/>
        </w:rPr>
        <w:t>.</w:t>
      </w:r>
    </w:p>
    <w:p w14:paraId="1F928EE0" w14:textId="369CA9EA" w:rsidR="00A17C43" w:rsidRPr="00E60984" w:rsidRDefault="00DE2A80" w:rsidP="005F15BF">
      <w:pPr>
        <w:pStyle w:val="Paragraphe"/>
        <w:spacing w:line="240" w:lineRule="auto"/>
        <w:rPr>
          <w:lang w:val="en-CA"/>
        </w:rPr>
      </w:pPr>
      <w:r w:rsidRPr="00E60984">
        <w:rPr>
          <w:lang w:val="en-CA"/>
        </w:rPr>
        <w:t xml:space="preserve">For many years, the police force itself </w:t>
      </w:r>
      <w:r w:rsidR="007E24B6">
        <w:rPr>
          <w:lang w:val="en-CA"/>
        </w:rPr>
        <w:t>conducted</w:t>
      </w:r>
      <w:r w:rsidRPr="00E60984">
        <w:rPr>
          <w:lang w:val="en-CA"/>
        </w:rPr>
        <w:t xml:space="preserve"> every criminal investigation into their own officers </w:t>
      </w:r>
      <w:r w:rsidR="002706D6">
        <w:rPr>
          <w:lang w:val="en-CA"/>
        </w:rPr>
        <w:t>through</w:t>
      </w:r>
      <w:r w:rsidRPr="00E60984">
        <w:rPr>
          <w:lang w:val="en-CA"/>
        </w:rPr>
        <w:t xml:space="preserve"> internal investigation</w:t>
      </w:r>
      <w:r w:rsidR="002706D6">
        <w:rPr>
          <w:lang w:val="en-CA"/>
        </w:rPr>
        <w:t>s</w:t>
      </w:r>
      <w:r w:rsidRPr="00E60984">
        <w:rPr>
          <w:lang w:val="en-CA"/>
        </w:rPr>
        <w:t xml:space="preserve">, </w:t>
      </w:r>
      <w:r w:rsidR="002706D6">
        <w:rPr>
          <w:lang w:val="en-CA"/>
        </w:rPr>
        <w:t>including</w:t>
      </w:r>
      <w:r w:rsidR="002706D6" w:rsidRPr="00E60984">
        <w:rPr>
          <w:lang w:val="en-CA"/>
        </w:rPr>
        <w:t xml:space="preserve"> </w:t>
      </w:r>
      <w:r w:rsidRPr="00E60984">
        <w:rPr>
          <w:lang w:val="en-CA"/>
        </w:rPr>
        <w:t>when a person died or suffered grievous injury during a police intervention.</w:t>
      </w:r>
      <w:r w:rsidR="00C22ECF" w:rsidRPr="00E60984">
        <w:rPr>
          <w:lang w:val="en-CA"/>
        </w:rPr>
        <w:t xml:space="preserve"> </w:t>
      </w:r>
      <w:r w:rsidRPr="00E60984">
        <w:rPr>
          <w:lang w:val="en-CA"/>
        </w:rPr>
        <w:t xml:space="preserve">Rightly or wrongly, these internal investigations were perceived by many as </w:t>
      </w:r>
      <w:r w:rsidR="007E24B6">
        <w:rPr>
          <w:lang w:val="en-CA"/>
        </w:rPr>
        <w:t xml:space="preserve">conducive to </w:t>
      </w:r>
      <w:r w:rsidRPr="00E60984">
        <w:rPr>
          <w:lang w:val="en-CA"/>
        </w:rPr>
        <w:t xml:space="preserve">conflicts of interest or, at the very least, subject to </w:t>
      </w:r>
      <w:r w:rsidR="002706D6">
        <w:rPr>
          <w:lang w:val="en-CA"/>
        </w:rPr>
        <w:t>some</w:t>
      </w:r>
      <w:r w:rsidRPr="00E60984">
        <w:rPr>
          <w:lang w:val="en-CA"/>
        </w:rPr>
        <w:t xml:space="preserve"> form of </w:t>
      </w:r>
      <w:r w:rsidR="002706D6">
        <w:rPr>
          <w:lang w:val="en-CA"/>
        </w:rPr>
        <w:t>complacency</w:t>
      </w:r>
      <w:r w:rsidRPr="00E60984">
        <w:rPr>
          <w:lang w:val="en-CA"/>
        </w:rPr>
        <w:t xml:space="preserve">. Whether </w:t>
      </w:r>
      <w:r w:rsidR="00B408DE" w:rsidRPr="00E60984">
        <w:rPr>
          <w:lang w:val="en-CA"/>
        </w:rPr>
        <w:t xml:space="preserve">or not </w:t>
      </w:r>
      <w:r w:rsidRPr="00E60984">
        <w:rPr>
          <w:lang w:val="en-CA"/>
        </w:rPr>
        <w:t xml:space="preserve">these criticisms were founded, Quebec has abandoned internal investigations into </w:t>
      </w:r>
      <w:r w:rsidR="007E24B6">
        <w:rPr>
          <w:lang w:val="en-CA"/>
        </w:rPr>
        <w:t xml:space="preserve">police </w:t>
      </w:r>
      <w:r w:rsidRPr="00E60984">
        <w:rPr>
          <w:lang w:val="en-CA"/>
        </w:rPr>
        <w:t>officers involved in a death or injury during a police intervention.</w:t>
      </w:r>
    </w:p>
    <w:p w14:paraId="547FE364" w14:textId="6EAB8B1D" w:rsidR="00A17C43" w:rsidRPr="00E60984" w:rsidRDefault="00C22ECF" w:rsidP="005F15BF">
      <w:pPr>
        <w:pStyle w:val="Paragraphe"/>
        <w:spacing w:line="240" w:lineRule="auto"/>
        <w:rPr>
          <w:lang w:val="en-CA"/>
        </w:rPr>
      </w:pPr>
      <w:r w:rsidRPr="00E60984">
        <w:rPr>
          <w:lang w:val="en-CA"/>
        </w:rPr>
        <w:t xml:space="preserve">Thus, based on section 289 of the </w:t>
      </w:r>
      <w:r w:rsidRPr="00E60984">
        <w:rPr>
          <w:i/>
          <w:lang w:val="en-CA"/>
        </w:rPr>
        <w:t>Police Act</w:t>
      </w:r>
      <w:r w:rsidRPr="00E60984">
        <w:rPr>
          <w:lang w:val="en-CA"/>
        </w:rPr>
        <w:t xml:space="preserve">, which states that the Minister of Public Security may order a police force designated by the Minister to conduct an investigation into “an allegation against a police officer ... concerning a </w:t>
      </w:r>
      <w:r w:rsidRPr="00E60984">
        <w:rPr>
          <w:u w:val="single"/>
          <w:lang w:val="en-CA"/>
        </w:rPr>
        <w:t>criminal offence</w:t>
      </w:r>
      <w:r w:rsidRPr="00E60984">
        <w:rPr>
          <w:lang w:val="en-CA"/>
        </w:rPr>
        <w:t>”,</w:t>
      </w:r>
      <w:r w:rsidRPr="00E60984">
        <w:rPr>
          <w:rStyle w:val="Appelnotedebasdep"/>
          <w:lang w:val="en-CA"/>
        </w:rPr>
        <w:footnoteReference w:id="27"/>
      </w:r>
      <w:r w:rsidRPr="00E60984">
        <w:rPr>
          <w:lang w:val="en-CA"/>
        </w:rPr>
        <w:t xml:space="preserve"> a ministerial policy was adopted effective November 25, 1996, and incorporated into the </w:t>
      </w:r>
      <w:r w:rsidR="00904CD1">
        <w:rPr>
          <w:lang w:val="en-CA"/>
        </w:rPr>
        <w:t>Guide to P</w:t>
      </w:r>
      <w:r w:rsidRPr="00E60984">
        <w:rPr>
          <w:lang w:val="en-CA"/>
        </w:rPr>
        <w:t xml:space="preserve">olice </w:t>
      </w:r>
      <w:r w:rsidR="00904CD1">
        <w:rPr>
          <w:lang w:val="en-CA"/>
        </w:rPr>
        <w:t>P</w:t>
      </w:r>
      <w:r w:rsidRPr="00E60984">
        <w:rPr>
          <w:lang w:val="en-CA"/>
        </w:rPr>
        <w:t>ractices (the “</w:t>
      </w:r>
      <w:r w:rsidR="004A6A03" w:rsidRPr="00E60984">
        <w:rPr>
          <w:lang w:val="en-CA"/>
        </w:rPr>
        <w:t>m</w:t>
      </w:r>
      <w:r w:rsidRPr="00E60984">
        <w:rPr>
          <w:lang w:val="en-CA"/>
        </w:rPr>
        <w:t>inisterial policy”).</w:t>
      </w:r>
      <w:r w:rsidR="00DE2A80" w:rsidRPr="00E60984">
        <w:rPr>
          <w:lang w:val="en-CA"/>
        </w:rPr>
        <w:t xml:space="preserve"> </w:t>
      </w:r>
      <w:r w:rsidRPr="00E60984">
        <w:rPr>
          <w:lang w:val="en-CA"/>
        </w:rPr>
        <w:t>Th</w:t>
      </w:r>
      <w:r w:rsidR="00020E81">
        <w:rPr>
          <w:lang w:val="en-CA"/>
        </w:rPr>
        <w:t>is</w:t>
      </w:r>
      <w:r w:rsidRPr="00E60984">
        <w:rPr>
          <w:lang w:val="en-CA"/>
        </w:rPr>
        <w:t xml:space="preserve"> </w:t>
      </w:r>
      <w:r w:rsidR="004A6A03" w:rsidRPr="00E60984">
        <w:rPr>
          <w:lang w:val="en-CA"/>
        </w:rPr>
        <w:t>m</w:t>
      </w:r>
      <w:r w:rsidRPr="00E60984">
        <w:rPr>
          <w:lang w:val="en-CA"/>
        </w:rPr>
        <w:t>inisterial policy put an end to internal investigations into police</w:t>
      </w:r>
      <w:r w:rsidR="008F2BDA">
        <w:rPr>
          <w:lang w:val="en-CA"/>
        </w:rPr>
        <w:t xml:space="preserve"> officers</w:t>
      </w:r>
      <w:r w:rsidRPr="00E60984">
        <w:rPr>
          <w:lang w:val="en-CA"/>
        </w:rPr>
        <w:t xml:space="preserve"> involved in a death or injury during a police intervention.</w:t>
      </w:r>
      <w:r w:rsidR="00DE2A80" w:rsidRPr="00E60984">
        <w:rPr>
          <w:lang w:val="en-CA"/>
        </w:rPr>
        <w:t xml:space="preserve"> </w:t>
      </w:r>
    </w:p>
    <w:p w14:paraId="49436020" w14:textId="36FC5ED3" w:rsidR="00A17C43" w:rsidRPr="00E60984" w:rsidRDefault="00C22ECF" w:rsidP="00352361">
      <w:pPr>
        <w:pStyle w:val="Paragraphe"/>
        <w:keepNext/>
        <w:spacing w:line="240" w:lineRule="auto"/>
        <w:rPr>
          <w:lang w:val="en-CA"/>
        </w:rPr>
      </w:pPr>
      <w:r w:rsidRPr="00E60984">
        <w:rPr>
          <w:lang w:val="en-CA"/>
        </w:rPr>
        <w:t xml:space="preserve">The </w:t>
      </w:r>
      <w:r w:rsidR="004A6A03" w:rsidRPr="00E60984">
        <w:rPr>
          <w:lang w:val="en-CA"/>
        </w:rPr>
        <w:t>m</w:t>
      </w:r>
      <w:r w:rsidRPr="00E60984">
        <w:rPr>
          <w:lang w:val="en-CA"/>
        </w:rPr>
        <w:t xml:space="preserve">inisterial policy applied when death, serious injury that could lead to death, or injury resulting from the use of a firearm occurred during a police intervention or while </w:t>
      </w:r>
      <w:r w:rsidRPr="00E60984">
        <w:rPr>
          <w:lang w:val="en-CA"/>
        </w:rPr>
        <w:lastRenderedPageBreak/>
        <w:t>in police custody.</w:t>
      </w:r>
      <w:r w:rsidR="00DE2A80" w:rsidRPr="00E60984">
        <w:rPr>
          <w:lang w:val="en-CA"/>
        </w:rPr>
        <w:t xml:space="preserve"> </w:t>
      </w:r>
      <w:r w:rsidRPr="00E60984">
        <w:rPr>
          <w:lang w:val="en-CA"/>
        </w:rPr>
        <w:t>Because the enabling legislative provision allow</w:t>
      </w:r>
      <w:r w:rsidR="00B408DE">
        <w:rPr>
          <w:lang w:val="en-CA"/>
        </w:rPr>
        <w:t>ed</w:t>
      </w:r>
      <w:r w:rsidRPr="00E60984">
        <w:rPr>
          <w:lang w:val="en-CA"/>
        </w:rPr>
        <w:t xml:space="preserve"> the Minister to </w:t>
      </w:r>
      <w:r w:rsidR="0079799A">
        <w:rPr>
          <w:lang w:val="en-CA"/>
        </w:rPr>
        <w:t xml:space="preserve">do so </w:t>
      </w:r>
      <w:r w:rsidR="00EF02C5">
        <w:rPr>
          <w:lang w:val="en-CA"/>
        </w:rPr>
        <w:t>where</w:t>
      </w:r>
      <w:r w:rsidR="0079799A">
        <w:rPr>
          <w:lang w:val="en-CA"/>
        </w:rPr>
        <w:t xml:space="preserve"> </w:t>
      </w:r>
      <w:r w:rsidRPr="00E60984">
        <w:rPr>
          <w:lang w:val="en-CA"/>
        </w:rPr>
        <w:t>a criminal offence</w:t>
      </w:r>
      <w:r w:rsidR="00020E81">
        <w:rPr>
          <w:lang w:val="en-CA"/>
        </w:rPr>
        <w:t xml:space="preserve"> </w:t>
      </w:r>
      <w:r w:rsidR="00B408DE">
        <w:rPr>
          <w:lang w:val="en-CA"/>
        </w:rPr>
        <w:t>was</w:t>
      </w:r>
      <w:r w:rsidR="00020E81">
        <w:rPr>
          <w:lang w:val="en-CA"/>
        </w:rPr>
        <w:t xml:space="preserve"> alleged</w:t>
      </w:r>
      <w:r w:rsidRPr="00E60984">
        <w:rPr>
          <w:lang w:val="en-CA"/>
        </w:rPr>
        <w:t xml:space="preserve">, it must necessarily be concluded that the investigation contemplated by the </w:t>
      </w:r>
      <w:r w:rsidR="004A6A03" w:rsidRPr="00E60984">
        <w:rPr>
          <w:lang w:val="en-CA"/>
        </w:rPr>
        <w:t>m</w:t>
      </w:r>
      <w:r w:rsidRPr="00E60984">
        <w:rPr>
          <w:lang w:val="en-CA"/>
        </w:rPr>
        <w:t xml:space="preserve">inisterial policy </w:t>
      </w:r>
      <w:r w:rsidR="003B5876">
        <w:rPr>
          <w:lang w:val="en-CA"/>
        </w:rPr>
        <w:t>of</w:t>
      </w:r>
      <w:r w:rsidRPr="00E60984">
        <w:rPr>
          <w:lang w:val="en-CA"/>
        </w:rPr>
        <w:t xml:space="preserve"> police officers involved in a death or injury during a police intervention </w:t>
      </w:r>
      <w:r w:rsidR="00B408DE">
        <w:rPr>
          <w:lang w:val="en-CA"/>
        </w:rPr>
        <w:t>was</w:t>
      </w:r>
      <w:r w:rsidRPr="00E60984">
        <w:rPr>
          <w:lang w:val="en-CA"/>
        </w:rPr>
        <w:t xml:space="preserve"> a criminal investigation.</w:t>
      </w:r>
      <w:r w:rsidR="00DE2A80" w:rsidRPr="00E60984">
        <w:rPr>
          <w:lang w:val="en-CA"/>
        </w:rPr>
        <w:t xml:space="preserve"> </w:t>
      </w:r>
    </w:p>
    <w:p w14:paraId="38CB7B93" w14:textId="3AB12874" w:rsidR="00A17C43" w:rsidRPr="00E60984" w:rsidRDefault="00DD1677" w:rsidP="005F15BF">
      <w:pPr>
        <w:pStyle w:val="Paragraphe"/>
        <w:spacing w:line="240" w:lineRule="auto"/>
        <w:rPr>
          <w:lang w:val="en-CA"/>
        </w:rPr>
      </w:pPr>
      <w:r>
        <w:rPr>
          <w:lang w:val="en-CA"/>
        </w:rPr>
        <w:t>For</w:t>
      </w:r>
      <w:r w:rsidR="00565A81">
        <w:rPr>
          <w:lang w:val="en-CA"/>
        </w:rPr>
        <w:t xml:space="preserve"> </w:t>
      </w:r>
      <w:r w:rsidR="00DA5F82">
        <w:rPr>
          <w:lang w:val="en-CA"/>
        </w:rPr>
        <w:t>th</w:t>
      </w:r>
      <w:r>
        <w:rPr>
          <w:lang w:val="en-CA"/>
        </w:rPr>
        <w:t>is</w:t>
      </w:r>
      <w:r w:rsidR="00DA5F82">
        <w:rPr>
          <w:lang w:val="en-CA"/>
        </w:rPr>
        <w:t xml:space="preserve"> type of</w:t>
      </w:r>
      <w:r w:rsidR="00DA5F82" w:rsidRPr="00E60984">
        <w:rPr>
          <w:lang w:val="en-CA"/>
        </w:rPr>
        <w:t xml:space="preserve"> </w:t>
      </w:r>
      <w:r w:rsidR="00C22ECF" w:rsidRPr="00E60984">
        <w:rPr>
          <w:lang w:val="en-CA"/>
        </w:rPr>
        <w:t xml:space="preserve">case, the Minister of Public Security designated a police force </w:t>
      </w:r>
      <w:r w:rsidR="00C22ECF" w:rsidRPr="00E60984">
        <w:rPr>
          <w:u w:val="single"/>
          <w:lang w:val="en-CA"/>
        </w:rPr>
        <w:t>other</w:t>
      </w:r>
      <w:r w:rsidR="00C22ECF" w:rsidRPr="00E60984">
        <w:rPr>
          <w:lang w:val="en-CA"/>
        </w:rPr>
        <w:t xml:space="preserve"> than the one to which the police officers involved were attached to conduct the investigation into these events.</w:t>
      </w:r>
      <w:r w:rsidR="00DE2A80" w:rsidRPr="00E60984">
        <w:rPr>
          <w:lang w:val="en-CA"/>
        </w:rPr>
        <w:t xml:space="preserve"> </w:t>
      </w:r>
      <w:r w:rsidR="00C22ECF" w:rsidRPr="00E60984">
        <w:rPr>
          <w:lang w:val="en-CA"/>
        </w:rPr>
        <w:t>As a general rule, the Sûreté du Québec was designated when the incident involved police officers from another police force.</w:t>
      </w:r>
      <w:r w:rsidR="00DE2A80" w:rsidRPr="00E60984">
        <w:rPr>
          <w:lang w:val="en-CA"/>
        </w:rPr>
        <w:t xml:space="preserve"> </w:t>
      </w:r>
      <w:r w:rsidR="00C22ECF" w:rsidRPr="00E60984">
        <w:rPr>
          <w:lang w:val="en-CA"/>
        </w:rPr>
        <w:t xml:space="preserve">When Sûreté du Québec police officers were involved, the </w:t>
      </w:r>
      <w:r w:rsidR="0079799A">
        <w:rPr>
          <w:lang w:val="en-CA"/>
        </w:rPr>
        <w:t xml:space="preserve">Montreal </w:t>
      </w:r>
      <w:r w:rsidR="00C22ECF" w:rsidRPr="00E60984">
        <w:rPr>
          <w:lang w:val="en-CA"/>
        </w:rPr>
        <w:t xml:space="preserve">police </w:t>
      </w:r>
      <w:r w:rsidR="0079799A">
        <w:rPr>
          <w:lang w:val="en-CA"/>
        </w:rPr>
        <w:t xml:space="preserve">force </w:t>
      </w:r>
      <w:r w:rsidR="00C22ECF" w:rsidRPr="00E60984">
        <w:rPr>
          <w:lang w:val="en-CA"/>
        </w:rPr>
        <w:t>or, based on geographic location, the Québec</w:t>
      </w:r>
      <w:r w:rsidR="0079799A">
        <w:rPr>
          <w:lang w:val="en-CA"/>
        </w:rPr>
        <w:t xml:space="preserve"> police force</w:t>
      </w:r>
      <w:r w:rsidR="00C22ECF" w:rsidRPr="00E60984">
        <w:rPr>
          <w:lang w:val="en-CA"/>
        </w:rPr>
        <w:t xml:space="preserve">, conducted the investigation. </w:t>
      </w:r>
      <w:r w:rsidR="00DE2A80" w:rsidRPr="00E60984">
        <w:rPr>
          <w:lang w:val="en-CA"/>
        </w:rPr>
        <w:t xml:space="preserve"> </w:t>
      </w:r>
    </w:p>
    <w:p w14:paraId="715088F8" w14:textId="38E87AC9" w:rsidR="00A17C43" w:rsidRPr="00E60984" w:rsidRDefault="00C22ECF" w:rsidP="005F15BF">
      <w:pPr>
        <w:pStyle w:val="Paragraphe"/>
        <w:spacing w:line="240" w:lineRule="auto"/>
        <w:rPr>
          <w:lang w:val="en-CA"/>
        </w:rPr>
      </w:pPr>
      <w:r w:rsidRPr="00E60984">
        <w:rPr>
          <w:lang w:val="en-CA"/>
        </w:rPr>
        <w:t xml:space="preserve">Once the investigation contemplated by the </w:t>
      </w:r>
      <w:r w:rsidR="004A6A03" w:rsidRPr="00E60984">
        <w:rPr>
          <w:lang w:val="en-CA"/>
        </w:rPr>
        <w:t>m</w:t>
      </w:r>
      <w:r w:rsidRPr="00E60984">
        <w:rPr>
          <w:lang w:val="en-CA"/>
        </w:rPr>
        <w:t xml:space="preserve">inisterial policy was completed, the police force designated to conduct the investigation sent its report to the Director of Criminal and Penal Prosecutions (the “DCPP”), who decided whether criminal prosecution was </w:t>
      </w:r>
      <w:r w:rsidR="001F4C00">
        <w:rPr>
          <w:lang w:val="en-CA"/>
        </w:rPr>
        <w:t>warranted</w:t>
      </w:r>
      <w:r w:rsidRPr="00E60984">
        <w:rPr>
          <w:lang w:val="en-CA"/>
        </w:rPr>
        <w:t>.</w:t>
      </w:r>
      <w:r w:rsidR="00DE2A80" w:rsidRPr="00E60984">
        <w:rPr>
          <w:lang w:val="en-CA"/>
        </w:rPr>
        <w:t xml:space="preserve"> </w:t>
      </w:r>
      <w:r w:rsidRPr="00E60984">
        <w:rPr>
          <w:lang w:val="en-CA"/>
        </w:rPr>
        <w:t xml:space="preserve">The investigation report was not made public and the DCPP </w:t>
      </w:r>
      <w:r w:rsidR="001F4C00">
        <w:rPr>
          <w:lang w:val="en-CA"/>
        </w:rPr>
        <w:t>publicly disclosed</w:t>
      </w:r>
      <w:r w:rsidR="001F4C00" w:rsidRPr="00E60984">
        <w:rPr>
          <w:lang w:val="en-CA"/>
        </w:rPr>
        <w:t xml:space="preserve"> </w:t>
      </w:r>
      <w:r w:rsidRPr="00E60984">
        <w:rPr>
          <w:lang w:val="en-CA"/>
        </w:rPr>
        <w:t>only its decision on whether to lay criminal charges.</w:t>
      </w:r>
    </w:p>
    <w:p w14:paraId="39A398BE" w14:textId="7B527E69" w:rsidR="00A17C43" w:rsidRPr="00E60984" w:rsidRDefault="00BE0378" w:rsidP="005F15BF">
      <w:pPr>
        <w:pStyle w:val="Paragraphe"/>
        <w:spacing w:line="240" w:lineRule="auto"/>
        <w:rPr>
          <w:lang w:val="en-CA"/>
        </w:rPr>
      </w:pPr>
      <w:r w:rsidRPr="00E60984">
        <w:rPr>
          <w:lang w:val="en-CA"/>
        </w:rPr>
        <w:t xml:space="preserve">The procedure under the </w:t>
      </w:r>
      <w:r w:rsidR="004A6A03" w:rsidRPr="00E60984">
        <w:rPr>
          <w:lang w:val="en-CA"/>
        </w:rPr>
        <w:t>m</w:t>
      </w:r>
      <w:r w:rsidRPr="00E60984">
        <w:rPr>
          <w:lang w:val="en-CA"/>
        </w:rPr>
        <w:t>inisterial policy was criticized, particularly by the Ombudsman in a February 2010 report titled “The Québec Investigative Procedure for Incidents Involving Police Officers – For a Credible, Transparent, and Impartial Process That Inspires Confidence and Respect”</w:t>
      </w:r>
      <w:r w:rsidRPr="00E60984">
        <w:rPr>
          <w:rStyle w:val="Appelnotedebasdep"/>
          <w:lang w:val="en-CA"/>
        </w:rPr>
        <w:footnoteReference w:id="28"/>
      </w:r>
      <w:r w:rsidRPr="00E60984">
        <w:rPr>
          <w:lang w:val="en-CA"/>
        </w:rPr>
        <w:t xml:space="preserve"> (the “Ombudsman’s Report”).</w:t>
      </w:r>
      <w:r w:rsidR="00DE2A80" w:rsidRPr="00E60984">
        <w:rPr>
          <w:lang w:val="en-CA"/>
        </w:rPr>
        <w:t xml:space="preserve"> </w:t>
      </w:r>
    </w:p>
    <w:p w14:paraId="5427743C" w14:textId="507EFAFB" w:rsidR="00A17C43" w:rsidRPr="00E60984" w:rsidRDefault="00B35D2D" w:rsidP="005F15BF">
      <w:pPr>
        <w:pStyle w:val="Paragraphe"/>
        <w:spacing w:line="240" w:lineRule="auto"/>
        <w:rPr>
          <w:lang w:val="en-CA"/>
        </w:rPr>
      </w:pPr>
      <w:r w:rsidRPr="00E60984">
        <w:rPr>
          <w:lang w:val="en-CA"/>
        </w:rPr>
        <w:t xml:space="preserve">The Ombudsman’s Report </w:t>
      </w:r>
      <w:r w:rsidR="003062EA">
        <w:rPr>
          <w:lang w:val="en-CA"/>
        </w:rPr>
        <w:t>identifi</w:t>
      </w:r>
      <w:r w:rsidRPr="00E60984">
        <w:rPr>
          <w:lang w:val="en-CA"/>
        </w:rPr>
        <w:t xml:space="preserve">ed flaws in investigations conducted under the </w:t>
      </w:r>
      <w:r w:rsidR="004A6A03" w:rsidRPr="00E60984">
        <w:rPr>
          <w:lang w:val="en-CA"/>
        </w:rPr>
        <w:t>m</w:t>
      </w:r>
      <w:r w:rsidRPr="00E60984">
        <w:rPr>
          <w:lang w:val="en-CA"/>
        </w:rPr>
        <w:t xml:space="preserve">inisterial policy, including, in certain cases, the </w:t>
      </w:r>
      <w:r w:rsidR="00A72BA4">
        <w:rPr>
          <w:lang w:val="en-CA"/>
        </w:rPr>
        <w:t>late</w:t>
      </w:r>
      <w:r w:rsidR="00A72BA4" w:rsidRPr="00E60984">
        <w:rPr>
          <w:lang w:val="en-CA"/>
        </w:rPr>
        <w:t xml:space="preserve"> </w:t>
      </w:r>
      <w:r w:rsidR="00904CD1">
        <w:rPr>
          <w:lang w:val="en-CA"/>
        </w:rPr>
        <w:t xml:space="preserve">submission </w:t>
      </w:r>
      <w:r w:rsidRPr="00E60984">
        <w:rPr>
          <w:lang w:val="en-CA"/>
        </w:rPr>
        <w:t xml:space="preserve">of </w:t>
      </w:r>
      <w:r w:rsidR="00904CD1">
        <w:rPr>
          <w:lang w:val="en-CA"/>
        </w:rPr>
        <w:t xml:space="preserve">incident reports </w:t>
      </w:r>
      <w:r w:rsidRPr="00E60984">
        <w:rPr>
          <w:lang w:val="en-CA"/>
        </w:rPr>
        <w:t>by the police officers involved, the failure to question certain police officers, the failure to separate the police officers involved</w:t>
      </w:r>
      <w:r w:rsidR="00083D17">
        <w:rPr>
          <w:lang w:val="en-CA"/>
        </w:rPr>
        <w:t xml:space="preserve"> from each other</w:t>
      </w:r>
      <w:r w:rsidRPr="00E60984">
        <w:rPr>
          <w:lang w:val="en-CA"/>
        </w:rPr>
        <w:t xml:space="preserve"> before they were questioned, etc.</w:t>
      </w:r>
      <w:r w:rsidR="00DE2A80" w:rsidRPr="00E60984">
        <w:rPr>
          <w:lang w:val="en-CA"/>
        </w:rPr>
        <w:t xml:space="preserve"> </w:t>
      </w:r>
      <w:r w:rsidRPr="00E60984">
        <w:rPr>
          <w:lang w:val="en-CA"/>
        </w:rPr>
        <w:t>The Ombudsman was of the view that these flaws undermined the credibility of the investigati</w:t>
      </w:r>
      <w:r w:rsidR="00FD4A18">
        <w:rPr>
          <w:lang w:val="en-CA"/>
        </w:rPr>
        <w:t>ve</w:t>
      </w:r>
      <w:r w:rsidRPr="00E60984">
        <w:rPr>
          <w:lang w:val="en-CA"/>
        </w:rPr>
        <w:t xml:space="preserve"> process conducted under the </w:t>
      </w:r>
      <w:r w:rsidR="004A6A03" w:rsidRPr="00E60984">
        <w:rPr>
          <w:lang w:val="en-CA"/>
        </w:rPr>
        <w:t>m</w:t>
      </w:r>
      <w:r w:rsidRPr="00E60984">
        <w:rPr>
          <w:lang w:val="en-CA"/>
        </w:rPr>
        <w:t>inisterial policy</w:t>
      </w:r>
      <w:r w:rsidR="00B408DE">
        <w:rPr>
          <w:lang w:val="en-CA"/>
        </w:rPr>
        <w:t>, which</w:t>
      </w:r>
      <w:r w:rsidRPr="00E60984">
        <w:rPr>
          <w:lang w:val="en-CA"/>
        </w:rPr>
        <w:t xml:space="preserve"> had to be revi</w:t>
      </w:r>
      <w:r w:rsidR="00904CD1">
        <w:rPr>
          <w:lang w:val="en-CA"/>
        </w:rPr>
        <w:t>ew</w:t>
      </w:r>
      <w:r w:rsidRPr="00E60984">
        <w:rPr>
          <w:lang w:val="en-CA"/>
        </w:rPr>
        <w:t>ed.</w:t>
      </w:r>
      <w:r w:rsidRPr="00E60984">
        <w:rPr>
          <w:rStyle w:val="Appelnotedebasdep"/>
          <w:lang w:val="en-CA"/>
        </w:rPr>
        <w:footnoteReference w:id="29"/>
      </w:r>
      <w:r w:rsidR="00DE2A80" w:rsidRPr="00E60984">
        <w:rPr>
          <w:lang w:val="en-CA"/>
        </w:rPr>
        <w:t xml:space="preserve"> </w:t>
      </w:r>
    </w:p>
    <w:p w14:paraId="08A2F904" w14:textId="72CCD74A" w:rsidR="00A17C43" w:rsidRPr="00E60984" w:rsidRDefault="00B35D2D" w:rsidP="005F15BF">
      <w:pPr>
        <w:pStyle w:val="Paragraphe"/>
        <w:spacing w:line="240" w:lineRule="auto"/>
        <w:rPr>
          <w:lang w:val="en-CA"/>
        </w:rPr>
      </w:pPr>
      <w:r w:rsidRPr="00E60984">
        <w:rPr>
          <w:lang w:val="en-CA"/>
        </w:rPr>
        <w:t xml:space="preserve">The Ombudsman’s Report also </w:t>
      </w:r>
      <w:r w:rsidR="00904CD1">
        <w:rPr>
          <w:lang w:val="en-CA"/>
        </w:rPr>
        <w:t>identified</w:t>
      </w:r>
      <w:r w:rsidRPr="00E60984">
        <w:rPr>
          <w:lang w:val="en-CA"/>
        </w:rPr>
        <w:t xml:space="preserve"> the lack of transparency of the investigative process and decision-making under the </w:t>
      </w:r>
      <w:r w:rsidR="004A6A03" w:rsidRPr="00E60984">
        <w:rPr>
          <w:lang w:val="en-CA"/>
        </w:rPr>
        <w:t>m</w:t>
      </w:r>
      <w:r w:rsidRPr="00E60984">
        <w:rPr>
          <w:lang w:val="en-CA"/>
        </w:rPr>
        <w:t xml:space="preserve">inisterial policy, given that the only information made available to the public </w:t>
      </w:r>
      <w:r w:rsidR="00904CD1">
        <w:rPr>
          <w:lang w:val="en-CA"/>
        </w:rPr>
        <w:t>wa</w:t>
      </w:r>
      <w:r w:rsidRPr="00E60984">
        <w:rPr>
          <w:lang w:val="en-CA"/>
        </w:rPr>
        <w:t xml:space="preserve">s an announcement that an investigation </w:t>
      </w:r>
      <w:r w:rsidR="00904CD1">
        <w:rPr>
          <w:lang w:val="en-CA"/>
        </w:rPr>
        <w:t>wa</w:t>
      </w:r>
      <w:r w:rsidRPr="00E60984">
        <w:rPr>
          <w:lang w:val="en-CA"/>
        </w:rPr>
        <w:t>s being opened by a</w:t>
      </w:r>
      <w:r w:rsidR="003425F8">
        <w:rPr>
          <w:lang w:val="en-CA"/>
        </w:rPr>
        <w:t>n</w:t>
      </w:r>
      <w:r w:rsidRPr="00E60984">
        <w:rPr>
          <w:lang w:val="en-CA"/>
        </w:rPr>
        <w:t xml:space="preserve"> </w:t>
      </w:r>
      <w:r w:rsidR="003425F8">
        <w:rPr>
          <w:lang w:val="en-CA"/>
        </w:rPr>
        <w:t xml:space="preserve">assigned </w:t>
      </w:r>
      <w:r w:rsidRPr="00E60984">
        <w:rPr>
          <w:lang w:val="en-CA"/>
        </w:rPr>
        <w:t xml:space="preserve">police force, that an investigation report </w:t>
      </w:r>
      <w:r w:rsidR="003425F8">
        <w:rPr>
          <w:lang w:val="en-CA"/>
        </w:rPr>
        <w:t xml:space="preserve">had been </w:t>
      </w:r>
      <w:r w:rsidRPr="00E60984">
        <w:rPr>
          <w:lang w:val="en-CA"/>
        </w:rPr>
        <w:t xml:space="preserve">submitted to the DCPP, and </w:t>
      </w:r>
      <w:r w:rsidR="003425F8">
        <w:rPr>
          <w:lang w:val="en-CA"/>
        </w:rPr>
        <w:t xml:space="preserve">that </w:t>
      </w:r>
      <w:r w:rsidRPr="00E60984">
        <w:rPr>
          <w:lang w:val="en-CA"/>
        </w:rPr>
        <w:t xml:space="preserve">the DCPP </w:t>
      </w:r>
      <w:r w:rsidR="003425F8">
        <w:rPr>
          <w:lang w:val="en-CA"/>
        </w:rPr>
        <w:t xml:space="preserve">had decided </w:t>
      </w:r>
      <w:r w:rsidRPr="00E60984">
        <w:rPr>
          <w:lang w:val="en-CA"/>
        </w:rPr>
        <w:t xml:space="preserve">whether </w:t>
      </w:r>
      <w:r w:rsidR="003425F8">
        <w:rPr>
          <w:lang w:val="en-CA"/>
        </w:rPr>
        <w:t xml:space="preserve">to lay </w:t>
      </w:r>
      <w:r w:rsidRPr="00E60984">
        <w:rPr>
          <w:lang w:val="en-CA"/>
        </w:rPr>
        <w:t>charges, nothing more.</w:t>
      </w:r>
      <w:r w:rsidRPr="00E60984">
        <w:rPr>
          <w:rStyle w:val="Appelnotedebasdep"/>
          <w:lang w:val="en-CA"/>
        </w:rPr>
        <w:footnoteReference w:id="30"/>
      </w:r>
      <w:r w:rsidR="00DE2A80" w:rsidRPr="00E60984">
        <w:rPr>
          <w:lang w:val="en-CA"/>
        </w:rPr>
        <w:t xml:space="preserve"> </w:t>
      </w:r>
      <w:r w:rsidRPr="00E60984">
        <w:rPr>
          <w:lang w:val="en-CA"/>
        </w:rPr>
        <w:t>The Ombudsman remarked that this lack of transparency undermine</w:t>
      </w:r>
      <w:r w:rsidR="00904CD1">
        <w:rPr>
          <w:lang w:val="en-CA"/>
        </w:rPr>
        <w:t>d</w:t>
      </w:r>
      <w:r w:rsidRPr="00E60984">
        <w:rPr>
          <w:lang w:val="en-CA"/>
        </w:rPr>
        <w:t xml:space="preserve"> the credibility of the process and therefore recommend</w:t>
      </w:r>
      <w:r w:rsidR="00904CD1">
        <w:rPr>
          <w:lang w:val="en-CA"/>
        </w:rPr>
        <w:t>ed</w:t>
      </w:r>
      <w:r w:rsidRPr="00E60984">
        <w:rPr>
          <w:lang w:val="en-CA"/>
        </w:rPr>
        <w:t xml:space="preserve"> more complete</w:t>
      </w:r>
      <w:r w:rsidR="00343FAB">
        <w:rPr>
          <w:lang w:val="en-CA"/>
        </w:rPr>
        <w:t xml:space="preserve"> public</w:t>
      </w:r>
      <w:r w:rsidRPr="00E60984">
        <w:rPr>
          <w:lang w:val="en-CA"/>
        </w:rPr>
        <w:t xml:space="preserve"> communications during </w:t>
      </w:r>
      <w:r w:rsidRPr="00E60984">
        <w:rPr>
          <w:lang w:val="en-CA"/>
        </w:rPr>
        <w:lastRenderedPageBreak/>
        <w:t>an investigation and when the DCPP decide</w:t>
      </w:r>
      <w:r w:rsidR="00B408DE">
        <w:rPr>
          <w:lang w:val="en-CA"/>
        </w:rPr>
        <w:t>d</w:t>
      </w:r>
      <w:r w:rsidRPr="00E60984">
        <w:rPr>
          <w:lang w:val="en-CA"/>
        </w:rPr>
        <w:t xml:space="preserve"> not to </w:t>
      </w:r>
      <w:r w:rsidR="003425F8">
        <w:rPr>
          <w:lang w:val="en-CA"/>
        </w:rPr>
        <w:t xml:space="preserve">criminally </w:t>
      </w:r>
      <w:r w:rsidRPr="00E60984">
        <w:rPr>
          <w:lang w:val="en-CA"/>
        </w:rPr>
        <w:t>prosecute</w:t>
      </w:r>
      <w:r w:rsidR="00904CD1">
        <w:rPr>
          <w:lang w:val="en-CA"/>
        </w:rPr>
        <w:t xml:space="preserve"> after the investigation</w:t>
      </w:r>
      <w:r w:rsidRPr="00E60984">
        <w:rPr>
          <w:lang w:val="en-CA"/>
        </w:rPr>
        <w:t>.</w:t>
      </w:r>
      <w:r w:rsidRPr="00E60984">
        <w:rPr>
          <w:rStyle w:val="Appelnotedebasdep"/>
          <w:lang w:val="en-CA"/>
        </w:rPr>
        <w:footnoteReference w:id="31"/>
      </w:r>
    </w:p>
    <w:p w14:paraId="6F37D269" w14:textId="1FF114E9" w:rsidR="00A17C43" w:rsidRPr="00E60984" w:rsidRDefault="00B35D2D" w:rsidP="005F15BF">
      <w:pPr>
        <w:pStyle w:val="Paragraphe"/>
        <w:spacing w:line="240" w:lineRule="auto"/>
        <w:rPr>
          <w:lang w:val="en-CA"/>
        </w:rPr>
      </w:pPr>
      <w:r w:rsidRPr="00E60984">
        <w:rPr>
          <w:lang w:val="en-CA"/>
        </w:rPr>
        <w:t>The Ombudsman’s Report also note</w:t>
      </w:r>
      <w:r w:rsidR="003425F8">
        <w:rPr>
          <w:lang w:val="en-CA"/>
        </w:rPr>
        <w:t>d</w:t>
      </w:r>
      <w:r w:rsidRPr="00E60984">
        <w:rPr>
          <w:lang w:val="en-CA"/>
        </w:rPr>
        <w:t xml:space="preserve"> that the investigation under the </w:t>
      </w:r>
      <w:r w:rsidR="004A6A03" w:rsidRPr="00E60984">
        <w:rPr>
          <w:lang w:val="en-CA"/>
        </w:rPr>
        <w:t>m</w:t>
      </w:r>
      <w:r w:rsidRPr="00E60984">
        <w:rPr>
          <w:lang w:val="en-CA"/>
        </w:rPr>
        <w:t xml:space="preserve">inisterial policy </w:t>
      </w:r>
      <w:r w:rsidR="003425F8">
        <w:rPr>
          <w:lang w:val="en-CA"/>
        </w:rPr>
        <w:t>wa</w:t>
      </w:r>
      <w:r w:rsidRPr="00E60984">
        <w:rPr>
          <w:lang w:val="en-CA"/>
        </w:rPr>
        <w:t xml:space="preserve">s conducted by police officers from another police force, which </w:t>
      </w:r>
      <w:r w:rsidR="003425F8">
        <w:rPr>
          <w:lang w:val="en-CA"/>
        </w:rPr>
        <w:t xml:space="preserve">could </w:t>
      </w:r>
      <w:r w:rsidRPr="00E60984">
        <w:rPr>
          <w:lang w:val="en-CA"/>
        </w:rPr>
        <w:t xml:space="preserve">result in </w:t>
      </w:r>
      <w:r w:rsidR="00343FAB">
        <w:rPr>
          <w:lang w:val="en-CA"/>
        </w:rPr>
        <w:t>an apprehension of bias</w:t>
      </w:r>
      <w:r w:rsidR="003425F8">
        <w:rPr>
          <w:lang w:val="en-CA"/>
        </w:rPr>
        <w:t xml:space="preserve"> </w:t>
      </w:r>
      <w:r w:rsidRPr="00E60984">
        <w:rPr>
          <w:lang w:val="en-CA"/>
        </w:rPr>
        <w:t xml:space="preserve">given that </w:t>
      </w:r>
      <w:r w:rsidR="003425F8">
        <w:rPr>
          <w:lang w:val="en-CA"/>
        </w:rPr>
        <w:t xml:space="preserve">active </w:t>
      </w:r>
      <w:r w:rsidRPr="00E60984">
        <w:rPr>
          <w:lang w:val="en-CA"/>
        </w:rPr>
        <w:t xml:space="preserve">police officers were investigating other </w:t>
      </w:r>
      <w:r w:rsidR="003425F8">
        <w:rPr>
          <w:lang w:val="en-CA"/>
        </w:rPr>
        <w:t>active</w:t>
      </w:r>
      <w:r w:rsidR="003425F8" w:rsidRPr="00E60984">
        <w:rPr>
          <w:lang w:val="en-CA"/>
        </w:rPr>
        <w:t xml:space="preserve"> </w:t>
      </w:r>
      <w:r w:rsidRPr="00E60984">
        <w:rPr>
          <w:lang w:val="en-CA"/>
        </w:rPr>
        <w:t>police officers.</w:t>
      </w:r>
      <w:r w:rsidRPr="00E60984">
        <w:rPr>
          <w:rStyle w:val="Appelnotedebasdep"/>
          <w:lang w:val="en-CA"/>
        </w:rPr>
        <w:footnoteReference w:id="32"/>
      </w:r>
      <w:r w:rsidR="00DE2A80" w:rsidRPr="00E60984">
        <w:rPr>
          <w:lang w:val="en-CA"/>
        </w:rPr>
        <w:t xml:space="preserve"> </w:t>
      </w:r>
      <w:r w:rsidRPr="00E60984">
        <w:rPr>
          <w:lang w:val="en-CA"/>
        </w:rPr>
        <w:t xml:space="preserve">The Ombudsman therefore recommended that </w:t>
      </w:r>
      <w:r w:rsidR="00BD1B37">
        <w:rPr>
          <w:lang w:val="en-CA"/>
        </w:rPr>
        <w:t xml:space="preserve">henceforth </w:t>
      </w:r>
      <w:r w:rsidRPr="00E60984">
        <w:rPr>
          <w:lang w:val="en-CA"/>
        </w:rPr>
        <w:t xml:space="preserve">these investigations be conducted by an independent body overseen by </w:t>
      </w:r>
      <w:r w:rsidR="00BD1B37">
        <w:rPr>
          <w:lang w:val="en-CA"/>
        </w:rPr>
        <w:t xml:space="preserve">competent and </w:t>
      </w:r>
      <w:r w:rsidRPr="00E60984">
        <w:rPr>
          <w:lang w:val="en-CA"/>
        </w:rPr>
        <w:t xml:space="preserve">qualified civilians who reflect </w:t>
      </w:r>
      <w:r w:rsidR="00BD1B37">
        <w:rPr>
          <w:lang w:val="en-CA"/>
        </w:rPr>
        <w:t>society</w:t>
      </w:r>
      <w:r w:rsidRPr="00E60984">
        <w:rPr>
          <w:lang w:val="en-CA"/>
        </w:rPr>
        <w:t>’s sociocultural diversity.</w:t>
      </w:r>
      <w:r w:rsidRPr="00E60984">
        <w:rPr>
          <w:rStyle w:val="Appelnotedebasdep"/>
          <w:lang w:val="en-CA"/>
        </w:rPr>
        <w:footnoteReference w:id="33"/>
      </w:r>
      <w:r w:rsidR="00DE2A80" w:rsidRPr="00E60984">
        <w:rPr>
          <w:lang w:val="en-CA"/>
        </w:rPr>
        <w:t xml:space="preserve"> </w:t>
      </w:r>
      <w:r w:rsidRPr="00E60984">
        <w:rPr>
          <w:lang w:val="en-CA"/>
        </w:rPr>
        <w:t>The Ombudsman’s Report therefore recommended that a Special Investigations Bureau be created and set out a series of parameters for its structure and functioning.</w:t>
      </w:r>
      <w:r w:rsidRPr="00E60984">
        <w:rPr>
          <w:rStyle w:val="Appelnotedebasdep"/>
          <w:lang w:val="en-CA"/>
        </w:rPr>
        <w:footnoteReference w:id="34"/>
      </w:r>
      <w:r w:rsidR="00DE2A80" w:rsidRPr="00E60984">
        <w:rPr>
          <w:lang w:val="en-CA"/>
        </w:rPr>
        <w:t xml:space="preserve"> </w:t>
      </w:r>
    </w:p>
    <w:p w14:paraId="4B8FFCAE" w14:textId="36482B17" w:rsidR="00A17C43" w:rsidRPr="00E60984" w:rsidRDefault="00BD1B37" w:rsidP="005F15BF">
      <w:pPr>
        <w:pStyle w:val="Paragraphe"/>
        <w:spacing w:line="240" w:lineRule="auto"/>
        <w:rPr>
          <w:lang w:val="en-CA"/>
        </w:rPr>
      </w:pPr>
      <w:r>
        <w:rPr>
          <w:lang w:val="en-CA"/>
        </w:rPr>
        <w:t>In 2013, the National Assembly largely used t</w:t>
      </w:r>
      <w:r w:rsidRPr="00E60984">
        <w:rPr>
          <w:lang w:val="en-CA"/>
        </w:rPr>
        <w:t xml:space="preserve">hese recommendations </w:t>
      </w:r>
      <w:r w:rsidR="004A6A03" w:rsidRPr="00E60984">
        <w:rPr>
          <w:lang w:val="en-CA"/>
        </w:rPr>
        <w:t xml:space="preserve">to enact the </w:t>
      </w:r>
      <w:r w:rsidR="004A6A03" w:rsidRPr="00E60984">
        <w:rPr>
          <w:i/>
          <w:lang w:val="en-CA"/>
        </w:rPr>
        <w:t>Act to amend the Police Act as concerns independent investigations</w:t>
      </w:r>
      <w:r w:rsidR="004A6A03" w:rsidRPr="00E60984">
        <w:rPr>
          <w:lang w:val="en-CA"/>
        </w:rPr>
        <w:t>.</w:t>
      </w:r>
      <w:r w:rsidR="004A6A03" w:rsidRPr="00E60984">
        <w:rPr>
          <w:rStyle w:val="Appelnotedebasdep"/>
          <w:lang w:val="en-CA"/>
        </w:rPr>
        <w:footnoteReference w:id="35"/>
      </w:r>
    </w:p>
    <w:p w14:paraId="6DDD86D6" w14:textId="354E0D03" w:rsidR="00A17C43" w:rsidRPr="00E60984" w:rsidRDefault="004A6A03" w:rsidP="005F15BF">
      <w:pPr>
        <w:pStyle w:val="Paragraphe"/>
        <w:spacing w:line="240" w:lineRule="auto"/>
        <w:rPr>
          <w:lang w:val="en-CA"/>
        </w:rPr>
      </w:pPr>
      <w:r w:rsidRPr="00E60984">
        <w:rPr>
          <w:lang w:val="en-CA"/>
        </w:rPr>
        <w:t xml:space="preserve">That law established the BEI, whose mission is to conduct certain investigations into police officers, </w:t>
      </w:r>
      <w:r w:rsidR="00343FAB">
        <w:rPr>
          <w:lang w:val="en-CA"/>
        </w:rPr>
        <w:t>including</w:t>
      </w:r>
      <w:r w:rsidR="00343FAB" w:rsidRPr="00E60984">
        <w:rPr>
          <w:lang w:val="en-CA"/>
        </w:rPr>
        <w:t xml:space="preserve"> </w:t>
      </w:r>
      <w:r w:rsidRPr="00E60984">
        <w:rPr>
          <w:lang w:val="en-CA"/>
        </w:rPr>
        <w:t>when a police officer is involved in a death or injury during a police intervention.</w:t>
      </w:r>
      <w:r w:rsidR="00DE2A80" w:rsidRPr="00E60984">
        <w:rPr>
          <w:lang w:val="en-CA"/>
        </w:rPr>
        <w:t xml:space="preserve"> </w:t>
      </w:r>
      <w:r w:rsidR="00343FAB">
        <w:rPr>
          <w:lang w:val="en-CA"/>
        </w:rPr>
        <w:t>We</w:t>
      </w:r>
      <w:r w:rsidRPr="00E60984">
        <w:rPr>
          <w:lang w:val="en-CA"/>
        </w:rPr>
        <w:t xml:space="preserve"> will return to this.</w:t>
      </w:r>
      <w:r w:rsidR="00DE2A80" w:rsidRPr="00E60984">
        <w:rPr>
          <w:lang w:val="en-CA"/>
        </w:rPr>
        <w:t xml:space="preserve"> </w:t>
      </w:r>
      <w:r w:rsidRPr="00E60984">
        <w:rPr>
          <w:lang w:val="en-CA"/>
        </w:rPr>
        <w:t>The BEI is a police force for the purpose of fulfilling its mission.</w:t>
      </w:r>
      <w:r w:rsidR="00DE2A80" w:rsidRPr="00E60984">
        <w:rPr>
          <w:lang w:val="en-CA"/>
        </w:rPr>
        <w:t xml:space="preserve"> </w:t>
      </w:r>
      <w:r w:rsidR="00343FAB">
        <w:rPr>
          <w:lang w:val="en-CA"/>
        </w:rPr>
        <w:t>We</w:t>
      </w:r>
      <w:r w:rsidRPr="00E60984">
        <w:rPr>
          <w:lang w:val="en-CA"/>
        </w:rPr>
        <w:t xml:space="preserve"> will return to this as well.</w:t>
      </w:r>
    </w:p>
    <w:p w14:paraId="668AA199" w14:textId="2D616B42" w:rsidR="00A17C43" w:rsidRPr="00E60984" w:rsidRDefault="004A6A03" w:rsidP="005F15BF">
      <w:pPr>
        <w:pStyle w:val="Paragraphe"/>
        <w:spacing w:line="240" w:lineRule="auto"/>
        <w:rPr>
          <w:lang w:val="en-CA"/>
        </w:rPr>
      </w:pPr>
      <w:r w:rsidRPr="00E60984">
        <w:rPr>
          <w:lang w:val="en-CA"/>
        </w:rPr>
        <w:t xml:space="preserve">The rules concerning the </w:t>
      </w:r>
      <w:r w:rsidR="00452F28">
        <w:rPr>
          <w:lang w:val="en-CA"/>
        </w:rPr>
        <w:t xml:space="preserve">conduct of </w:t>
      </w:r>
      <w:r w:rsidRPr="00E60984">
        <w:rPr>
          <w:lang w:val="en-CA"/>
        </w:rPr>
        <w:t xml:space="preserve">BEI </w:t>
      </w:r>
      <w:r w:rsidR="00452F28" w:rsidRPr="00E60984">
        <w:rPr>
          <w:lang w:val="en-CA"/>
        </w:rPr>
        <w:t xml:space="preserve">investigations </w:t>
      </w:r>
      <w:r w:rsidRPr="00E60984">
        <w:rPr>
          <w:lang w:val="en-CA"/>
        </w:rPr>
        <w:t xml:space="preserve">following a death or injury </w:t>
      </w:r>
      <w:r w:rsidR="00452F28">
        <w:rPr>
          <w:lang w:val="en-CA"/>
        </w:rPr>
        <w:t xml:space="preserve">sustained </w:t>
      </w:r>
      <w:r w:rsidRPr="00E60984">
        <w:rPr>
          <w:lang w:val="en-CA"/>
        </w:rPr>
        <w:t>during a police intervention and the obligations of the police officers during th</w:t>
      </w:r>
      <w:r w:rsidR="00354FD3">
        <w:rPr>
          <w:lang w:val="en-CA"/>
        </w:rPr>
        <w:t>ese</w:t>
      </w:r>
      <w:r w:rsidRPr="00E60984">
        <w:rPr>
          <w:lang w:val="en-CA"/>
        </w:rPr>
        <w:t xml:space="preserve"> investigation</w:t>
      </w:r>
      <w:r w:rsidR="00354FD3">
        <w:rPr>
          <w:lang w:val="en-CA"/>
        </w:rPr>
        <w:t>s</w:t>
      </w:r>
      <w:r w:rsidRPr="00E60984">
        <w:rPr>
          <w:lang w:val="en-CA"/>
        </w:rPr>
        <w:t xml:space="preserve"> are established by government regulation.</w:t>
      </w:r>
      <w:r w:rsidRPr="00E60984">
        <w:rPr>
          <w:rStyle w:val="Appelnotedebasdep"/>
          <w:lang w:val="en-CA"/>
        </w:rPr>
        <w:footnoteReference w:id="36"/>
      </w:r>
      <w:r w:rsidR="00DE2A80" w:rsidRPr="00E60984">
        <w:rPr>
          <w:lang w:val="en-CA"/>
        </w:rPr>
        <w:t xml:space="preserve"> </w:t>
      </w:r>
      <w:r w:rsidRPr="00E60984">
        <w:rPr>
          <w:lang w:val="en-CA"/>
        </w:rPr>
        <w:t>In 2016, the government enacted such a regulation</w:t>
      </w:r>
      <w:r w:rsidR="006832DD" w:rsidRPr="00E60984">
        <w:rPr>
          <w:lang w:val="en-CA"/>
        </w:rPr>
        <w:t>,</w:t>
      </w:r>
      <w:r w:rsidRPr="00E60984">
        <w:rPr>
          <w:rStyle w:val="Appelnotedebasdep"/>
          <w:lang w:val="en-CA"/>
        </w:rPr>
        <w:footnoteReference w:id="37"/>
      </w:r>
      <w:r w:rsidR="00DE2A80" w:rsidRPr="00E60984">
        <w:rPr>
          <w:lang w:val="en-CA"/>
        </w:rPr>
        <w:t xml:space="preserve"> </w:t>
      </w:r>
      <w:r w:rsidRPr="00E60984">
        <w:rPr>
          <w:lang w:val="en-CA"/>
        </w:rPr>
        <w:t xml:space="preserve">the </w:t>
      </w:r>
      <w:r w:rsidRPr="00E60984">
        <w:rPr>
          <w:i/>
          <w:lang w:val="en-CA"/>
        </w:rPr>
        <w:t xml:space="preserve">Regulation respecting the conduct of the investigations of the Bureau des </w:t>
      </w:r>
      <w:proofErr w:type="spellStart"/>
      <w:r w:rsidRPr="00E60984">
        <w:rPr>
          <w:i/>
          <w:lang w:val="en-CA"/>
        </w:rPr>
        <w:t>enquêtes</w:t>
      </w:r>
      <w:proofErr w:type="spellEnd"/>
      <w:r w:rsidRPr="00E60984">
        <w:rPr>
          <w:i/>
          <w:lang w:val="en-CA"/>
        </w:rPr>
        <w:t xml:space="preserve"> </w:t>
      </w:r>
      <w:proofErr w:type="spellStart"/>
      <w:r w:rsidRPr="00E60984">
        <w:rPr>
          <w:i/>
          <w:lang w:val="en-CA"/>
        </w:rPr>
        <w:t>indépendantes</w:t>
      </w:r>
      <w:proofErr w:type="spellEnd"/>
      <w:r w:rsidRPr="00E60984">
        <w:rPr>
          <w:lang w:val="en-CA"/>
        </w:rPr>
        <w:t>.</w:t>
      </w:r>
      <w:r w:rsidRPr="00E60984">
        <w:rPr>
          <w:rStyle w:val="Appelnotedebasdep"/>
          <w:lang w:val="en-CA"/>
        </w:rPr>
        <w:footnoteReference w:id="38"/>
      </w:r>
      <w:r w:rsidR="00DE2A80" w:rsidRPr="00E60984">
        <w:rPr>
          <w:lang w:val="en-CA"/>
        </w:rPr>
        <w:t xml:space="preserve"> </w:t>
      </w:r>
      <w:r w:rsidRPr="00E60984">
        <w:rPr>
          <w:lang w:val="en-CA"/>
        </w:rPr>
        <w:t xml:space="preserve">The relevant provisions of this </w:t>
      </w:r>
      <w:r w:rsidRPr="00E60984">
        <w:rPr>
          <w:i/>
          <w:lang w:val="en-CA"/>
        </w:rPr>
        <w:t>Regulation</w:t>
      </w:r>
      <w:r w:rsidRPr="00E60984">
        <w:rPr>
          <w:lang w:val="en-CA"/>
        </w:rPr>
        <w:t xml:space="preserve"> are reproduced in the schedule.</w:t>
      </w:r>
      <w:r w:rsidR="00DE2A80" w:rsidRPr="00E60984">
        <w:rPr>
          <w:lang w:val="en-CA"/>
        </w:rPr>
        <w:t xml:space="preserve"> </w:t>
      </w:r>
    </w:p>
    <w:p w14:paraId="6F664D1C" w14:textId="32807114" w:rsidR="00A17C43" w:rsidRPr="00E60984" w:rsidRDefault="004A6A03" w:rsidP="005F15BF">
      <w:pPr>
        <w:pStyle w:val="Paragraphe"/>
        <w:spacing w:line="240" w:lineRule="auto"/>
        <w:rPr>
          <w:lang w:val="en-CA"/>
        </w:rPr>
      </w:pPr>
      <w:r w:rsidRPr="00E60984">
        <w:rPr>
          <w:lang w:val="en-CA"/>
        </w:rPr>
        <w:t xml:space="preserve">The </w:t>
      </w:r>
      <w:r w:rsidRPr="00E60984">
        <w:rPr>
          <w:i/>
          <w:iCs/>
          <w:lang w:val="en-CA"/>
        </w:rPr>
        <w:t>Regulation</w:t>
      </w:r>
      <w:r w:rsidRPr="00E60984">
        <w:rPr>
          <w:lang w:val="en-CA"/>
        </w:rPr>
        <w:t xml:space="preserve"> </w:t>
      </w:r>
      <w:r w:rsidR="00452F28">
        <w:rPr>
          <w:lang w:val="en-CA"/>
        </w:rPr>
        <w:t>provoked</w:t>
      </w:r>
      <w:r w:rsidRPr="00E60984">
        <w:rPr>
          <w:lang w:val="en-CA"/>
        </w:rPr>
        <w:t xml:space="preserve"> </w:t>
      </w:r>
      <w:r w:rsidR="00354FD3">
        <w:rPr>
          <w:lang w:val="en-CA"/>
        </w:rPr>
        <w:t>great distrust</w:t>
      </w:r>
      <w:r w:rsidRPr="00E60984">
        <w:rPr>
          <w:lang w:val="en-CA"/>
        </w:rPr>
        <w:t xml:space="preserve"> among police associations, particularly with respect to the obligation of the police officer involved to draw up an account of the occurrence and submit it to the BEI, and the obligation to </w:t>
      </w:r>
      <w:r w:rsidR="00452F28">
        <w:rPr>
          <w:lang w:val="en-CA"/>
        </w:rPr>
        <w:t xml:space="preserve">attend at an interview </w:t>
      </w:r>
      <w:r w:rsidRPr="00E60984">
        <w:rPr>
          <w:lang w:val="en-CA"/>
        </w:rPr>
        <w:t xml:space="preserve">with BEI </w:t>
      </w:r>
      <w:r w:rsidRPr="00E60984">
        <w:rPr>
          <w:lang w:val="en-CA"/>
        </w:rPr>
        <w:lastRenderedPageBreak/>
        <w:t>investigators.</w:t>
      </w:r>
      <w:r w:rsidR="00DE2A80" w:rsidRPr="00E60984">
        <w:rPr>
          <w:lang w:val="en-CA"/>
        </w:rPr>
        <w:t xml:space="preserve"> </w:t>
      </w:r>
      <w:r w:rsidRPr="00E60984">
        <w:rPr>
          <w:lang w:val="en-CA"/>
        </w:rPr>
        <w:t>The BEI and the police associations concerned could not reach a consensus on how BEI investigations should proceed, despite the many exchanges between</w:t>
      </w:r>
      <w:r w:rsidR="00452F28">
        <w:rPr>
          <w:lang w:val="en-CA"/>
        </w:rPr>
        <w:t xml:space="preserve"> them</w:t>
      </w:r>
      <w:r w:rsidRPr="00E60984">
        <w:rPr>
          <w:lang w:val="en-CA"/>
        </w:rPr>
        <w:t xml:space="preserve">. </w:t>
      </w:r>
    </w:p>
    <w:p w14:paraId="42A925E8" w14:textId="412F99DA" w:rsidR="00A17C43" w:rsidRPr="00E60984" w:rsidRDefault="004A6A03" w:rsidP="005F15BF">
      <w:pPr>
        <w:pStyle w:val="Paragraphe"/>
        <w:spacing w:line="240" w:lineRule="auto"/>
        <w:rPr>
          <w:lang w:val="en-CA"/>
        </w:rPr>
      </w:pPr>
      <w:r w:rsidRPr="00E60984">
        <w:rPr>
          <w:lang w:val="en-CA"/>
        </w:rPr>
        <w:t>In sum, the AGQ submits that a police officer involved in a death or injury sustained during a police intervention has an obligation to draw up an account of the occurrence and submit it to BEI investigators for the purposes of their investigation.</w:t>
      </w:r>
      <w:r w:rsidRPr="00E60984">
        <w:rPr>
          <w:rStyle w:val="Appelnotedebasdep"/>
          <w:lang w:val="en-CA"/>
        </w:rPr>
        <w:footnoteReference w:id="39"/>
      </w:r>
      <w:r w:rsidR="00DE2A80" w:rsidRPr="00E60984">
        <w:rPr>
          <w:lang w:val="en-CA"/>
        </w:rPr>
        <w:t xml:space="preserve"> </w:t>
      </w:r>
      <w:r w:rsidRPr="00E60984">
        <w:rPr>
          <w:lang w:val="en-CA"/>
        </w:rPr>
        <w:t xml:space="preserve">Contrary to the incidental appellants, the AGQ </w:t>
      </w:r>
      <w:r w:rsidR="00452F28">
        <w:rPr>
          <w:lang w:val="en-CA"/>
        </w:rPr>
        <w:t>is of the view</w:t>
      </w:r>
      <w:r w:rsidRPr="00E60984">
        <w:rPr>
          <w:lang w:val="en-CA"/>
        </w:rPr>
        <w:t xml:space="preserve"> that this measure does not infringe the rights of </w:t>
      </w:r>
      <w:r w:rsidR="00452F28">
        <w:rPr>
          <w:lang w:val="en-CA"/>
        </w:rPr>
        <w:t xml:space="preserve">the </w:t>
      </w:r>
      <w:r w:rsidRPr="00E60984">
        <w:rPr>
          <w:lang w:val="en-CA"/>
        </w:rPr>
        <w:t xml:space="preserve">police officer involved given that, if criminal charges are </w:t>
      </w:r>
      <w:r w:rsidR="00F16415">
        <w:rPr>
          <w:lang w:val="en-CA"/>
        </w:rPr>
        <w:t>subsequently</w:t>
      </w:r>
      <w:r w:rsidR="00F16415" w:rsidRPr="00E60984">
        <w:rPr>
          <w:lang w:val="en-CA"/>
        </w:rPr>
        <w:t xml:space="preserve"> </w:t>
      </w:r>
      <w:r w:rsidRPr="00E60984">
        <w:rPr>
          <w:lang w:val="en-CA"/>
        </w:rPr>
        <w:t xml:space="preserve">laid against the officer, the account cannot be used </w:t>
      </w:r>
      <w:r w:rsidR="00452F28">
        <w:rPr>
          <w:lang w:val="en-CA"/>
        </w:rPr>
        <w:t xml:space="preserve">against the officer </w:t>
      </w:r>
      <w:r w:rsidRPr="00E60984">
        <w:rPr>
          <w:lang w:val="en-CA"/>
        </w:rPr>
        <w:t xml:space="preserve">during </w:t>
      </w:r>
      <w:r w:rsidR="00540F98">
        <w:rPr>
          <w:lang w:val="en-CA"/>
        </w:rPr>
        <w:t xml:space="preserve">their </w:t>
      </w:r>
      <w:r w:rsidRPr="00E60984">
        <w:rPr>
          <w:lang w:val="en-CA"/>
        </w:rPr>
        <w:t xml:space="preserve">criminal trial because it was not </w:t>
      </w:r>
      <w:r w:rsidR="00F16415" w:rsidRPr="00E60984">
        <w:rPr>
          <w:lang w:val="en-CA"/>
        </w:rPr>
        <w:t>free</w:t>
      </w:r>
      <w:r w:rsidR="00F16415">
        <w:rPr>
          <w:lang w:val="en-CA"/>
        </w:rPr>
        <w:t>ly</w:t>
      </w:r>
      <w:r w:rsidR="00F16415" w:rsidRPr="00E60984">
        <w:rPr>
          <w:lang w:val="en-CA"/>
        </w:rPr>
        <w:t xml:space="preserve"> and voluntarily </w:t>
      </w:r>
      <w:r w:rsidRPr="00E60984">
        <w:rPr>
          <w:lang w:val="en-CA"/>
        </w:rPr>
        <w:t>given.</w:t>
      </w:r>
      <w:r w:rsidRPr="00E60984">
        <w:rPr>
          <w:rStyle w:val="Appelnotedebasdep"/>
          <w:lang w:val="en-CA"/>
        </w:rPr>
        <w:footnoteReference w:id="40"/>
      </w:r>
      <w:r w:rsidR="00DE2A80" w:rsidRPr="00E60984">
        <w:rPr>
          <w:lang w:val="en-CA"/>
        </w:rPr>
        <w:t xml:space="preserve"> </w:t>
      </w:r>
    </w:p>
    <w:p w14:paraId="6E1FFD23" w14:textId="6B1C0A06" w:rsidR="00A17C43" w:rsidRPr="00E60984" w:rsidRDefault="00F93267" w:rsidP="005F15BF">
      <w:pPr>
        <w:pStyle w:val="Paragraphe"/>
        <w:spacing w:line="240" w:lineRule="auto"/>
        <w:rPr>
          <w:lang w:val="en-CA"/>
        </w:rPr>
      </w:pPr>
      <w:r w:rsidRPr="00E60984">
        <w:rPr>
          <w:lang w:val="en-CA"/>
        </w:rPr>
        <w:t xml:space="preserve">Moreover, even though a police officer involved is </w:t>
      </w:r>
      <w:r w:rsidR="00452F28">
        <w:rPr>
          <w:lang w:val="en-CA"/>
        </w:rPr>
        <w:t>compelled</w:t>
      </w:r>
      <w:r w:rsidRPr="00E60984">
        <w:rPr>
          <w:lang w:val="en-CA"/>
        </w:rPr>
        <w:t xml:space="preserve"> by the </w:t>
      </w:r>
      <w:r w:rsidRPr="00E60984">
        <w:rPr>
          <w:i/>
          <w:lang w:val="en-CA"/>
        </w:rPr>
        <w:t>Regulation</w:t>
      </w:r>
      <w:r w:rsidRPr="00E60984">
        <w:rPr>
          <w:lang w:val="en-CA"/>
        </w:rPr>
        <w:t xml:space="preserve"> to </w:t>
      </w:r>
      <w:r w:rsidR="00452F28">
        <w:rPr>
          <w:lang w:val="en-CA"/>
        </w:rPr>
        <w:t xml:space="preserve">attend at an interview with </w:t>
      </w:r>
      <w:r w:rsidRPr="00E60984">
        <w:rPr>
          <w:lang w:val="en-CA"/>
        </w:rPr>
        <w:t xml:space="preserve">BEI investigators, the AGQ acknowledges that this police officer may </w:t>
      </w:r>
      <w:r w:rsidR="00CF6D87">
        <w:rPr>
          <w:lang w:val="en-CA"/>
        </w:rPr>
        <w:t>nevertheless</w:t>
      </w:r>
      <w:r w:rsidR="00CF6D87" w:rsidRPr="00E60984">
        <w:rPr>
          <w:lang w:val="en-CA"/>
        </w:rPr>
        <w:t xml:space="preserve"> </w:t>
      </w:r>
      <w:r w:rsidRPr="00E60984">
        <w:rPr>
          <w:lang w:val="en-CA"/>
        </w:rPr>
        <w:t>refuse to answer questions posed during th</w:t>
      </w:r>
      <w:r w:rsidR="00452F28">
        <w:rPr>
          <w:lang w:val="en-CA"/>
        </w:rPr>
        <w:t>e</w:t>
      </w:r>
      <w:r w:rsidRPr="00E60984">
        <w:rPr>
          <w:lang w:val="en-CA"/>
        </w:rPr>
        <w:t xml:space="preserve"> interview.</w:t>
      </w:r>
      <w:r w:rsidR="00DE2A80" w:rsidRPr="00E60984">
        <w:rPr>
          <w:lang w:val="en-CA"/>
        </w:rPr>
        <w:t xml:space="preserve"> </w:t>
      </w:r>
      <w:r w:rsidRPr="00E60984">
        <w:rPr>
          <w:lang w:val="en-CA"/>
        </w:rPr>
        <w:t xml:space="preserve">However, the AGQ </w:t>
      </w:r>
      <w:r w:rsidR="00452F28">
        <w:rPr>
          <w:lang w:val="en-CA"/>
        </w:rPr>
        <w:t>argues</w:t>
      </w:r>
      <w:r w:rsidRPr="00E60984">
        <w:rPr>
          <w:lang w:val="en-CA"/>
        </w:rPr>
        <w:t xml:space="preserve"> that BEI investigators have </w:t>
      </w:r>
      <w:r w:rsidR="00452F28">
        <w:rPr>
          <w:lang w:val="en-CA"/>
        </w:rPr>
        <w:t xml:space="preserve">no </w:t>
      </w:r>
      <w:r w:rsidRPr="00E60984">
        <w:rPr>
          <w:lang w:val="en-CA"/>
        </w:rPr>
        <w:t xml:space="preserve">obligation to </w:t>
      </w:r>
      <w:r w:rsidR="005534A4" w:rsidRPr="00E60984">
        <w:rPr>
          <w:lang w:val="en-CA"/>
        </w:rPr>
        <w:t xml:space="preserve">caution </w:t>
      </w:r>
      <w:r w:rsidRPr="00E60984">
        <w:rPr>
          <w:lang w:val="en-CA"/>
        </w:rPr>
        <w:t xml:space="preserve">the police officer involved during the interview, unless the officer is a suspect in a criminal offence </w:t>
      </w:r>
      <w:r w:rsidR="00540F98">
        <w:rPr>
          <w:lang w:val="en-CA"/>
        </w:rPr>
        <w:t>they</w:t>
      </w:r>
      <w:r w:rsidR="00CF6D87">
        <w:rPr>
          <w:lang w:val="en-CA"/>
        </w:rPr>
        <w:t xml:space="preserve"> </w:t>
      </w:r>
      <w:r w:rsidRPr="00E60984">
        <w:rPr>
          <w:lang w:val="en-CA"/>
        </w:rPr>
        <w:t>committed during the police intervention.</w:t>
      </w:r>
      <w:r w:rsidR="00DE2A80" w:rsidRPr="00E60984">
        <w:rPr>
          <w:lang w:val="en-CA"/>
        </w:rPr>
        <w:t xml:space="preserve"> </w:t>
      </w:r>
    </w:p>
    <w:p w14:paraId="5C3F08F8" w14:textId="68DAB328" w:rsidR="00A17C43" w:rsidRPr="00E60984" w:rsidRDefault="00F93267" w:rsidP="005F15BF">
      <w:pPr>
        <w:pStyle w:val="Paragraphe"/>
        <w:spacing w:line="240" w:lineRule="auto"/>
        <w:rPr>
          <w:lang w:val="en-CA"/>
        </w:rPr>
      </w:pPr>
      <w:r w:rsidRPr="00E60984">
        <w:rPr>
          <w:lang w:val="en-CA"/>
        </w:rPr>
        <w:t xml:space="preserve">The incidental appellants firmly object to this procedure they claim infringes the police officers’ fundamental rights under both the common law and the </w:t>
      </w:r>
      <w:r w:rsidRPr="00E60984">
        <w:rPr>
          <w:i/>
          <w:lang w:val="en-CA"/>
        </w:rPr>
        <w:t>Canadian Charter of Rights and Freedoms</w:t>
      </w:r>
      <w:r w:rsidRPr="00E60984">
        <w:rPr>
          <w:lang w:val="en-CA"/>
        </w:rPr>
        <w:t xml:space="preserve"> (the “</w:t>
      </w:r>
      <w:r w:rsidRPr="00E60984">
        <w:rPr>
          <w:i/>
          <w:lang w:val="en-CA"/>
        </w:rPr>
        <w:t>Canadian Charter</w:t>
      </w:r>
      <w:r w:rsidRPr="00E60984">
        <w:rPr>
          <w:lang w:val="en-CA"/>
        </w:rPr>
        <w:t>”).</w:t>
      </w:r>
    </w:p>
    <w:p w14:paraId="7948099A" w14:textId="277388C1" w:rsidR="00A17C43" w:rsidRPr="00E60984" w:rsidRDefault="001970F3" w:rsidP="005F15BF">
      <w:pPr>
        <w:pStyle w:val="Paragraphe"/>
        <w:spacing w:line="240" w:lineRule="auto"/>
        <w:rPr>
          <w:lang w:val="en-CA"/>
        </w:rPr>
      </w:pPr>
      <w:r w:rsidRPr="008620D9">
        <w:rPr>
          <w:lang w:val="en-CA"/>
        </w:rPr>
        <w:t xml:space="preserve">In support of </w:t>
      </w:r>
      <w:r w:rsidR="00F93267" w:rsidRPr="008620D9">
        <w:rPr>
          <w:lang w:val="en-CA"/>
        </w:rPr>
        <w:t>its position</w:t>
      </w:r>
      <w:r w:rsidR="00F93267" w:rsidRPr="00E60984">
        <w:rPr>
          <w:lang w:val="en-CA"/>
        </w:rPr>
        <w:t xml:space="preserve">, the AGQ submits that BEI investigations under the </w:t>
      </w:r>
      <w:r w:rsidR="00F93267" w:rsidRPr="00E60984">
        <w:rPr>
          <w:i/>
          <w:lang w:val="en-CA"/>
        </w:rPr>
        <w:t>Regulation</w:t>
      </w:r>
      <w:r w:rsidR="00F93267" w:rsidRPr="00E60984">
        <w:rPr>
          <w:lang w:val="en-CA"/>
        </w:rPr>
        <w:t xml:space="preserve"> are not necessarily criminal investigations.</w:t>
      </w:r>
      <w:r w:rsidR="00DE2A80" w:rsidRPr="00E60984">
        <w:rPr>
          <w:lang w:val="en-CA"/>
        </w:rPr>
        <w:t xml:space="preserve"> </w:t>
      </w:r>
      <w:r w:rsidR="00F93267" w:rsidRPr="00E60984">
        <w:rPr>
          <w:lang w:val="en-CA"/>
        </w:rPr>
        <w:t xml:space="preserve">Thus, as the BEI director explained in a report, </w:t>
      </w:r>
      <w:r w:rsidR="0058256F">
        <w:rPr>
          <w:rFonts w:cs="Arial"/>
          <w:lang w:val="en-CA"/>
        </w:rPr>
        <w:t>[</w:t>
      </w:r>
      <w:r w:rsidR="0058256F">
        <w:rPr>
          <w:rFonts w:cs="Arial"/>
          <w:smallCaps/>
          <w:lang w:val="en-CA"/>
        </w:rPr>
        <w:t>translation</w:t>
      </w:r>
      <w:r w:rsidR="0058256F">
        <w:rPr>
          <w:rFonts w:cs="Arial"/>
          <w:lang w:val="en-CA"/>
        </w:rPr>
        <w:t>]</w:t>
      </w:r>
      <w:r w:rsidR="0058256F">
        <w:rPr>
          <w:lang w:val="en-CA"/>
        </w:rPr>
        <w:t xml:space="preserve"> </w:t>
      </w:r>
      <w:r w:rsidR="00F93267" w:rsidRPr="00E60984">
        <w:rPr>
          <w:lang w:val="en-CA"/>
        </w:rPr>
        <w:t xml:space="preserve">“when </w:t>
      </w:r>
      <w:r w:rsidR="008620D9">
        <w:rPr>
          <w:lang w:val="en-CA"/>
        </w:rPr>
        <w:t>an</w:t>
      </w:r>
      <w:r w:rsidR="00F93267" w:rsidRPr="00E60984">
        <w:rPr>
          <w:lang w:val="en-CA"/>
        </w:rPr>
        <w:t xml:space="preserve"> investigation begins, contrary to an investigation into an allegation of criminal offence, the police officer </w:t>
      </w:r>
      <w:r w:rsidR="008620D9">
        <w:rPr>
          <w:rFonts w:cs="Arial"/>
          <w:lang w:val="en-CA"/>
        </w:rPr>
        <w:t>[</w:t>
      </w:r>
      <w:r w:rsidR="00F93267" w:rsidRPr="00E60984">
        <w:rPr>
          <w:lang w:val="en-CA"/>
        </w:rPr>
        <w:t>involved</w:t>
      </w:r>
      <w:r w:rsidR="008620D9">
        <w:rPr>
          <w:rFonts w:cs="Arial"/>
          <w:lang w:val="en-CA"/>
        </w:rPr>
        <w:t>]</w:t>
      </w:r>
      <w:r w:rsidR="00F93267" w:rsidRPr="00E60984">
        <w:rPr>
          <w:lang w:val="en-CA"/>
        </w:rPr>
        <w:t xml:space="preserve"> is not a suspect and is not </w:t>
      </w:r>
      <w:r w:rsidR="008620D9">
        <w:rPr>
          <w:lang w:val="en-CA"/>
        </w:rPr>
        <w:t xml:space="preserve">the subject of </w:t>
      </w:r>
      <w:r w:rsidR="00F93267" w:rsidRPr="00E60984">
        <w:rPr>
          <w:lang w:val="en-CA"/>
        </w:rPr>
        <w:t>any allegation of criminal offence”.</w:t>
      </w:r>
      <w:r w:rsidR="00F93267" w:rsidRPr="00E60984">
        <w:rPr>
          <w:rStyle w:val="Appelnotedebasdep"/>
          <w:lang w:val="en-CA"/>
        </w:rPr>
        <w:footnoteReference w:id="41"/>
      </w:r>
      <w:r w:rsidR="00DE2A80" w:rsidRPr="00E60984">
        <w:rPr>
          <w:lang w:val="en-CA"/>
        </w:rPr>
        <w:t xml:space="preserve"> </w:t>
      </w:r>
      <w:r w:rsidR="00F93267" w:rsidRPr="00E60984">
        <w:rPr>
          <w:lang w:val="en-CA"/>
        </w:rPr>
        <w:t xml:space="preserve">Moreover, the AGQ acknowledges that </w:t>
      </w:r>
      <w:r w:rsidR="008620D9">
        <w:rPr>
          <w:lang w:val="en-CA"/>
        </w:rPr>
        <w:t xml:space="preserve">if </w:t>
      </w:r>
      <w:r w:rsidR="00F93267" w:rsidRPr="00E60984">
        <w:rPr>
          <w:lang w:val="en-CA"/>
        </w:rPr>
        <w:t xml:space="preserve">evidence obtained during the </w:t>
      </w:r>
      <w:r w:rsidR="00220148">
        <w:rPr>
          <w:lang w:val="en-CA"/>
        </w:rPr>
        <w:t xml:space="preserve">course of the </w:t>
      </w:r>
      <w:r w:rsidR="00F93267" w:rsidRPr="00E60984">
        <w:rPr>
          <w:lang w:val="en-CA"/>
        </w:rPr>
        <w:t xml:space="preserve">investigation </w:t>
      </w:r>
      <w:r w:rsidR="00220148">
        <w:rPr>
          <w:lang w:val="en-CA"/>
        </w:rPr>
        <w:t>appears to indicate</w:t>
      </w:r>
      <w:r w:rsidR="008620D9">
        <w:rPr>
          <w:lang w:val="en-CA"/>
        </w:rPr>
        <w:t xml:space="preserve"> </w:t>
      </w:r>
      <w:r w:rsidR="00F93267" w:rsidRPr="00E60984">
        <w:rPr>
          <w:lang w:val="en-CA"/>
        </w:rPr>
        <w:t xml:space="preserve">that a police officer </w:t>
      </w:r>
      <w:r w:rsidR="00220148">
        <w:rPr>
          <w:lang w:val="en-CA"/>
        </w:rPr>
        <w:t xml:space="preserve">may </w:t>
      </w:r>
      <w:r w:rsidR="00F93267" w:rsidRPr="00E60984">
        <w:rPr>
          <w:lang w:val="en-CA"/>
        </w:rPr>
        <w:t xml:space="preserve">have committed a criminal offence, BEI investigators must immediately consider the officer as a suspect and </w:t>
      </w:r>
      <w:r w:rsidR="00F23B0B">
        <w:rPr>
          <w:lang w:val="en-CA"/>
        </w:rPr>
        <w:t xml:space="preserve">inform the officer thereof by giving them </w:t>
      </w:r>
      <w:r w:rsidR="00F93267" w:rsidRPr="00E60984">
        <w:rPr>
          <w:lang w:val="en-CA"/>
        </w:rPr>
        <w:t xml:space="preserve"> the usual </w:t>
      </w:r>
      <w:r w:rsidR="008620D9">
        <w:rPr>
          <w:lang w:val="en-CA"/>
        </w:rPr>
        <w:t>cautions</w:t>
      </w:r>
      <w:r w:rsidR="00F93267" w:rsidRPr="00E60984">
        <w:rPr>
          <w:lang w:val="en-CA"/>
        </w:rPr>
        <w:t>.</w:t>
      </w:r>
      <w:r w:rsidR="00F93267" w:rsidRPr="00E60984">
        <w:rPr>
          <w:rStyle w:val="Appelnotedebasdep"/>
          <w:lang w:val="en-CA"/>
        </w:rPr>
        <w:footnoteReference w:id="42"/>
      </w:r>
    </w:p>
    <w:p w14:paraId="5BA54E48" w14:textId="783820E5" w:rsidR="00A17C43" w:rsidRPr="00E60984" w:rsidRDefault="00F93267" w:rsidP="005F15BF">
      <w:pPr>
        <w:pStyle w:val="Paragraphe"/>
        <w:spacing w:line="240" w:lineRule="auto"/>
        <w:rPr>
          <w:lang w:val="en-CA"/>
        </w:rPr>
      </w:pPr>
      <w:r w:rsidRPr="00E60984">
        <w:rPr>
          <w:lang w:val="en-CA"/>
        </w:rPr>
        <w:t xml:space="preserve">On June 10, 2019, the incidental appellants applied for judicial review before the Superior Court to challenge the constitutionality of several aspects of the </w:t>
      </w:r>
      <w:r w:rsidRPr="00E60984">
        <w:rPr>
          <w:i/>
          <w:lang w:val="en-CA"/>
        </w:rPr>
        <w:t>Regulation</w:t>
      </w:r>
      <w:r w:rsidRPr="00E60984">
        <w:rPr>
          <w:lang w:val="en-CA"/>
        </w:rPr>
        <w:t>.</w:t>
      </w:r>
      <w:r w:rsidR="00DE2A80" w:rsidRPr="00E60984">
        <w:rPr>
          <w:lang w:val="en-CA"/>
        </w:rPr>
        <w:t xml:space="preserve"> </w:t>
      </w:r>
      <w:r w:rsidRPr="00E60984">
        <w:rPr>
          <w:lang w:val="en-CA"/>
        </w:rPr>
        <w:t xml:space="preserve">The </w:t>
      </w:r>
      <w:r w:rsidRPr="00E60984">
        <w:rPr>
          <w:lang w:val="en-CA"/>
        </w:rPr>
        <w:lastRenderedPageBreak/>
        <w:t xml:space="preserve">case was heard </w:t>
      </w:r>
      <w:r w:rsidR="00F23B0B">
        <w:rPr>
          <w:lang w:val="en-CA"/>
        </w:rPr>
        <w:t>from</w:t>
      </w:r>
      <w:r w:rsidR="00F23B0B" w:rsidRPr="00E60984">
        <w:rPr>
          <w:lang w:val="en-CA"/>
        </w:rPr>
        <w:t xml:space="preserve"> </w:t>
      </w:r>
      <w:r w:rsidRPr="00E60984">
        <w:rPr>
          <w:lang w:val="en-CA"/>
        </w:rPr>
        <w:t>May 9 to 13, 2022, by St-Pierre J., who rendered judgment on June</w:t>
      </w:r>
      <w:r w:rsidR="008620D9">
        <w:rPr>
          <w:lang w:val="en-CA"/>
        </w:rPr>
        <w:t> </w:t>
      </w:r>
      <w:r w:rsidRPr="00E60984">
        <w:rPr>
          <w:lang w:val="en-CA"/>
        </w:rPr>
        <w:t>16, 2022.</w:t>
      </w:r>
    </w:p>
    <w:p w14:paraId="6FB90B60" w14:textId="6F562A7C" w:rsidR="00A17C43" w:rsidRPr="00E60984" w:rsidRDefault="00F93267" w:rsidP="00EC6F5B">
      <w:pPr>
        <w:pStyle w:val="Paragraphe"/>
        <w:numPr>
          <w:ilvl w:val="0"/>
          <w:numId w:val="0"/>
        </w:numPr>
        <w:spacing w:before="240" w:line="240" w:lineRule="auto"/>
        <w:rPr>
          <w:b/>
          <w:bCs/>
          <w:u w:val="single"/>
          <w:lang w:val="en-CA"/>
        </w:rPr>
      </w:pPr>
      <w:r w:rsidRPr="00E60984">
        <w:rPr>
          <w:b/>
          <w:bCs/>
          <w:u w:val="single"/>
          <w:lang w:val="en-CA"/>
        </w:rPr>
        <w:t>TRIAL JUDGMENT</w:t>
      </w:r>
    </w:p>
    <w:p w14:paraId="28F65F4F" w14:textId="6DA07EB4" w:rsidR="00A17C43" w:rsidRPr="00E60984" w:rsidRDefault="006832DD" w:rsidP="005F15BF">
      <w:pPr>
        <w:pStyle w:val="Paragraphe"/>
        <w:spacing w:line="240" w:lineRule="auto"/>
        <w:rPr>
          <w:lang w:val="en-CA"/>
        </w:rPr>
      </w:pPr>
      <w:r w:rsidRPr="00E60984">
        <w:rPr>
          <w:lang w:val="en-CA"/>
        </w:rPr>
        <w:t>The trial judge identified five principal issues.</w:t>
      </w:r>
    </w:p>
    <w:p w14:paraId="0EB30FE0" w14:textId="6653D0DC" w:rsidR="00A17C43" w:rsidRPr="00E60984" w:rsidRDefault="006832DD" w:rsidP="005F15BF">
      <w:pPr>
        <w:pStyle w:val="Paragraphe"/>
        <w:spacing w:line="240" w:lineRule="auto"/>
        <w:rPr>
          <w:lang w:val="en-CA"/>
        </w:rPr>
      </w:pPr>
      <w:r w:rsidRPr="00E60984">
        <w:rPr>
          <w:lang w:val="en-CA"/>
        </w:rPr>
        <w:t>The first concerns the validity of the impugned provisions</w:t>
      </w:r>
      <w:r w:rsidR="00BB318B">
        <w:rPr>
          <w:lang w:val="en-CA"/>
        </w:rPr>
        <w:t xml:space="preserve"> of the </w:t>
      </w:r>
      <w:r w:rsidR="00BB318B" w:rsidRPr="00565A81">
        <w:rPr>
          <w:i/>
          <w:iCs/>
          <w:lang w:val="en-CA"/>
        </w:rPr>
        <w:t>Regulation</w:t>
      </w:r>
      <w:r w:rsidR="00E5493A" w:rsidRPr="00E60984">
        <w:rPr>
          <w:lang w:val="en-CA"/>
        </w:rPr>
        <w:t xml:space="preserve"> </w:t>
      </w:r>
      <w:r w:rsidRPr="00E60984">
        <w:rPr>
          <w:lang w:val="en-CA"/>
        </w:rPr>
        <w:t xml:space="preserve">with respect to the division of powers under ss. 91 and 92 of the </w:t>
      </w:r>
      <w:r w:rsidRPr="00E60984">
        <w:rPr>
          <w:i/>
          <w:lang w:val="en-CA"/>
        </w:rPr>
        <w:t>Constitution Act, 1867</w:t>
      </w:r>
      <w:r w:rsidRPr="00E60984">
        <w:rPr>
          <w:lang w:val="en-CA"/>
        </w:rPr>
        <w:t>.</w:t>
      </w:r>
      <w:r w:rsidR="00DE2A80" w:rsidRPr="00E60984">
        <w:rPr>
          <w:lang w:val="en-CA"/>
        </w:rPr>
        <w:t xml:space="preserve"> </w:t>
      </w:r>
      <w:r w:rsidRPr="00E60984">
        <w:rPr>
          <w:lang w:val="en-CA"/>
        </w:rPr>
        <w:t xml:space="preserve">The judge </w:t>
      </w:r>
      <w:r w:rsidR="00E5493A">
        <w:rPr>
          <w:lang w:val="en-CA"/>
        </w:rPr>
        <w:t>considered</w:t>
      </w:r>
      <w:r w:rsidRPr="00E60984">
        <w:rPr>
          <w:lang w:val="en-CA"/>
        </w:rPr>
        <w:t xml:space="preserve">, at first glance, </w:t>
      </w:r>
      <w:r w:rsidR="00E5493A">
        <w:rPr>
          <w:rFonts w:cs="Arial"/>
          <w:lang w:val="en-CA"/>
        </w:rPr>
        <w:t>[</w:t>
      </w:r>
      <w:r w:rsidR="00E5493A">
        <w:rPr>
          <w:rFonts w:cs="Arial"/>
          <w:smallCaps/>
          <w:lang w:val="en-CA"/>
        </w:rPr>
        <w:t>translation</w:t>
      </w:r>
      <w:r w:rsidR="00E5493A">
        <w:rPr>
          <w:rFonts w:cs="Arial"/>
          <w:lang w:val="en-CA"/>
        </w:rPr>
        <w:t>]</w:t>
      </w:r>
      <w:r w:rsidR="00E5493A">
        <w:rPr>
          <w:lang w:val="en-CA"/>
        </w:rPr>
        <w:t xml:space="preserve"> </w:t>
      </w:r>
      <w:r w:rsidRPr="00E60984">
        <w:rPr>
          <w:lang w:val="en-CA"/>
        </w:rPr>
        <w:t>“</w:t>
      </w:r>
      <w:r w:rsidR="00E5493A">
        <w:rPr>
          <w:lang w:val="en-CA"/>
        </w:rPr>
        <w:t xml:space="preserve">that </w:t>
      </w:r>
      <w:r w:rsidRPr="00E60984">
        <w:rPr>
          <w:lang w:val="en-CA"/>
        </w:rPr>
        <w:t xml:space="preserve">certain provisions of the </w:t>
      </w:r>
      <w:r w:rsidRPr="00E60984">
        <w:rPr>
          <w:i/>
          <w:lang w:val="en-CA"/>
        </w:rPr>
        <w:t>Regulation</w:t>
      </w:r>
      <w:r w:rsidRPr="00E60984">
        <w:rPr>
          <w:lang w:val="en-CA"/>
        </w:rPr>
        <w:t xml:space="preserve"> are </w:t>
      </w:r>
      <w:r w:rsidRPr="00E60984">
        <w:rPr>
          <w:i/>
          <w:lang w:val="en-CA"/>
        </w:rPr>
        <w:t>ultra vires</w:t>
      </w:r>
      <w:r w:rsidRPr="00E60984">
        <w:rPr>
          <w:lang w:val="en-CA"/>
        </w:rPr>
        <w:t xml:space="preserve"> because they essentially concern the conduct of a criminal investigation</w:t>
      </w:r>
      <w:r w:rsidR="00E5493A">
        <w:rPr>
          <w:lang w:val="en-CA"/>
        </w:rPr>
        <w:t xml:space="preserve"> – </w:t>
      </w:r>
      <w:r w:rsidRPr="00E60984">
        <w:rPr>
          <w:lang w:val="en-CA"/>
        </w:rPr>
        <w:t xml:space="preserve">which falls under 91(27) </w:t>
      </w:r>
      <w:r w:rsidRPr="00E60984">
        <w:rPr>
          <w:rFonts w:cs="Arial"/>
          <w:lang w:val="en-CA"/>
        </w:rPr>
        <w:t>[</w:t>
      </w:r>
      <w:r w:rsidRPr="00E60984">
        <w:rPr>
          <w:lang w:val="en-CA"/>
        </w:rPr>
        <w:t xml:space="preserve">of the </w:t>
      </w:r>
      <w:r w:rsidRPr="00E60984">
        <w:rPr>
          <w:i/>
          <w:lang w:val="en-CA"/>
        </w:rPr>
        <w:t>Constitution Act, 1867</w:t>
      </w:r>
      <w:r w:rsidRPr="00E60984">
        <w:rPr>
          <w:rFonts w:cs="Arial"/>
          <w:lang w:val="en-CA"/>
        </w:rPr>
        <w:t>]</w:t>
      </w:r>
      <w:r w:rsidRPr="00E60984">
        <w:rPr>
          <w:lang w:val="en-CA"/>
        </w:rPr>
        <w:t>”.</w:t>
      </w:r>
      <w:r w:rsidRPr="00E60984">
        <w:rPr>
          <w:rStyle w:val="Appelnotedebasdep"/>
          <w:lang w:val="en-CA"/>
        </w:rPr>
        <w:footnoteReference w:id="43"/>
      </w:r>
      <w:r w:rsidR="00DE2A80" w:rsidRPr="00E60984">
        <w:rPr>
          <w:lang w:val="en-CA"/>
        </w:rPr>
        <w:t xml:space="preserve"> </w:t>
      </w:r>
      <w:r w:rsidRPr="00E60984">
        <w:rPr>
          <w:lang w:val="en-CA"/>
        </w:rPr>
        <w:t xml:space="preserve">As such, the judge said </w:t>
      </w:r>
      <w:r w:rsidR="00E5493A">
        <w:rPr>
          <w:lang w:val="en-CA"/>
        </w:rPr>
        <w:t xml:space="preserve">that </w:t>
      </w:r>
      <w:r w:rsidRPr="00E60984">
        <w:rPr>
          <w:lang w:val="en-CA"/>
        </w:rPr>
        <w:t xml:space="preserve">he was bound by the Supreme Court of Canada’s judgment in </w:t>
      </w:r>
      <w:r w:rsidRPr="00E60984">
        <w:rPr>
          <w:i/>
          <w:lang w:val="en-CA"/>
        </w:rPr>
        <w:t>Wood v. Schaeffer</w:t>
      </w:r>
      <w:r w:rsidRPr="00E60984">
        <w:rPr>
          <w:rStyle w:val="Appelnotedebasdep"/>
          <w:lang w:val="en-CA"/>
        </w:rPr>
        <w:footnoteReference w:id="44"/>
      </w:r>
      <w:r w:rsidRPr="00E60984">
        <w:rPr>
          <w:lang w:val="en-CA"/>
        </w:rPr>
        <w:t xml:space="preserve"> which, however, did not </w:t>
      </w:r>
      <w:r w:rsidR="00BE7976">
        <w:rPr>
          <w:lang w:val="en-CA"/>
        </w:rPr>
        <w:t xml:space="preserve">deal with </w:t>
      </w:r>
      <w:r w:rsidRPr="00E60984">
        <w:rPr>
          <w:lang w:val="en-CA"/>
        </w:rPr>
        <w:t>a constitutional issue and even less the division of powers.</w:t>
      </w:r>
      <w:r w:rsidRPr="00E60984">
        <w:rPr>
          <w:rStyle w:val="Appelnotedebasdep"/>
          <w:lang w:val="en-CA"/>
        </w:rPr>
        <w:footnoteReference w:id="45"/>
      </w:r>
      <w:r w:rsidR="00DE2A80" w:rsidRPr="00E60984">
        <w:rPr>
          <w:lang w:val="en-CA"/>
        </w:rPr>
        <w:t xml:space="preserve"> </w:t>
      </w:r>
      <w:r w:rsidRPr="00E60984">
        <w:rPr>
          <w:lang w:val="en-CA"/>
        </w:rPr>
        <w:t xml:space="preserve">He found that </w:t>
      </w:r>
      <w:r w:rsidR="00E5493A">
        <w:rPr>
          <w:rFonts w:cs="Arial"/>
          <w:lang w:val="en-CA"/>
        </w:rPr>
        <w:t>[</w:t>
      </w:r>
      <w:r w:rsidR="00E5493A">
        <w:rPr>
          <w:rFonts w:cs="Arial"/>
          <w:smallCaps/>
          <w:lang w:val="en-CA"/>
        </w:rPr>
        <w:t>translation</w:t>
      </w:r>
      <w:r w:rsidR="00E5493A">
        <w:rPr>
          <w:rFonts w:cs="Arial"/>
          <w:lang w:val="en-CA"/>
        </w:rPr>
        <w:t>]</w:t>
      </w:r>
      <w:r w:rsidR="00E5493A" w:rsidRPr="00E60984">
        <w:rPr>
          <w:lang w:val="en-CA"/>
        </w:rPr>
        <w:t xml:space="preserve"> </w:t>
      </w:r>
      <w:r w:rsidRPr="00E60984">
        <w:rPr>
          <w:lang w:val="en-CA"/>
        </w:rPr>
        <w:t xml:space="preserve">“the purpose of the </w:t>
      </w:r>
      <w:r w:rsidRPr="00E60984">
        <w:rPr>
          <w:i/>
          <w:lang w:val="en-CA"/>
        </w:rPr>
        <w:t>Regulation</w:t>
      </w:r>
      <w:r w:rsidRPr="00E60984">
        <w:rPr>
          <w:lang w:val="en-CA"/>
        </w:rPr>
        <w:t xml:space="preserve"> is transparency, which corresponds precisely to what counsel for the </w:t>
      </w:r>
      <w:r w:rsidR="00AC0169">
        <w:rPr>
          <w:rFonts w:cs="Arial"/>
          <w:lang w:val="en-CA"/>
        </w:rPr>
        <w:t>[</w:t>
      </w:r>
      <w:r w:rsidRPr="00E60984">
        <w:rPr>
          <w:lang w:val="en-CA"/>
        </w:rPr>
        <w:t>AGQ</w:t>
      </w:r>
      <w:r w:rsidR="00AC0169">
        <w:rPr>
          <w:rFonts w:cs="Arial"/>
          <w:lang w:val="en-CA"/>
        </w:rPr>
        <w:t>]</w:t>
      </w:r>
      <w:r w:rsidRPr="00E60984">
        <w:rPr>
          <w:lang w:val="en-CA"/>
        </w:rPr>
        <w:t xml:space="preserve"> argue</w:t>
      </w:r>
      <w:r w:rsidR="00BE7976">
        <w:rPr>
          <w:lang w:val="en-CA"/>
        </w:rPr>
        <w:t>s</w:t>
      </w:r>
      <w:r w:rsidRPr="00E60984">
        <w:rPr>
          <w:lang w:val="en-CA"/>
        </w:rPr>
        <w:t xml:space="preserve"> is its </w:t>
      </w:r>
      <w:r w:rsidRPr="00E5493A">
        <w:rPr>
          <w:i/>
          <w:iCs/>
          <w:lang w:val="en-CA"/>
        </w:rPr>
        <w:t>pith and substance</w:t>
      </w:r>
      <w:r w:rsidRPr="00E60984">
        <w:rPr>
          <w:lang w:val="en-CA"/>
        </w:rPr>
        <w:t>”.</w:t>
      </w:r>
      <w:r w:rsidRPr="00E60984">
        <w:rPr>
          <w:rStyle w:val="Appelnotedebasdep"/>
          <w:lang w:val="en-CA"/>
        </w:rPr>
        <w:footnoteReference w:id="46"/>
      </w:r>
      <w:r w:rsidR="00DE2A80" w:rsidRPr="00E60984">
        <w:rPr>
          <w:lang w:val="en-CA"/>
        </w:rPr>
        <w:t xml:space="preserve"> </w:t>
      </w:r>
      <w:r w:rsidRPr="00E60984">
        <w:rPr>
          <w:lang w:val="en-CA"/>
        </w:rPr>
        <w:t xml:space="preserve">By subsuming the purpose of transparency with the pith and substance, the judge </w:t>
      </w:r>
      <w:r w:rsidR="00BE7976">
        <w:rPr>
          <w:lang w:val="en-CA"/>
        </w:rPr>
        <w:t xml:space="preserve">held </w:t>
      </w:r>
      <w:r w:rsidRPr="00E60984">
        <w:rPr>
          <w:lang w:val="en-CA"/>
        </w:rPr>
        <w:t xml:space="preserve">that the </w:t>
      </w:r>
      <w:r w:rsidRPr="00E60984">
        <w:rPr>
          <w:i/>
          <w:lang w:val="en-CA"/>
        </w:rPr>
        <w:t>Regulation</w:t>
      </w:r>
      <w:r w:rsidRPr="00E60984">
        <w:rPr>
          <w:lang w:val="en-CA"/>
        </w:rPr>
        <w:t xml:space="preserve"> </w:t>
      </w:r>
      <w:r w:rsidR="00BE7976">
        <w:rPr>
          <w:lang w:val="en-CA"/>
        </w:rPr>
        <w:t>i</w:t>
      </w:r>
      <w:r w:rsidRPr="00E60984">
        <w:rPr>
          <w:lang w:val="en-CA"/>
        </w:rPr>
        <w:t>s valid with respect to the division of powers.</w:t>
      </w:r>
    </w:p>
    <w:p w14:paraId="0674C45E" w14:textId="6C7C8D77" w:rsidR="00A17C43" w:rsidRPr="00E60984" w:rsidRDefault="006832DD" w:rsidP="005F15BF">
      <w:pPr>
        <w:pStyle w:val="Paragraphe"/>
        <w:spacing w:line="240" w:lineRule="auto"/>
        <w:rPr>
          <w:lang w:val="en-CA"/>
        </w:rPr>
      </w:pPr>
      <w:r w:rsidRPr="00E60984">
        <w:rPr>
          <w:lang w:val="en-CA"/>
        </w:rPr>
        <w:t xml:space="preserve">The second issue identified by the judge was whether the obligation under the </w:t>
      </w:r>
      <w:r w:rsidRPr="00E60984">
        <w:rPr>
          <w:i/>
          <w:lang w:val="en-CA"/>
        </w:rPr>
        <w:t>Regulation</w:t>
      </w:r>
      <w:r w:rsidRPr="00E60984">
        <w:rPr>
          <w:lang w:val="en-CA"/>
        </w:rPr>
        <w:t xml:space="preserve"> </w:t>
      </w:r>
      <w:r w:rsidR="00C20080">
        <w:rPr>
          <w:lang w:val="en-CA"/>
        </w:rPr>
        <w:t>that</w:t>
      </w:r>
      <w:r w:rsidRPr="00E60984">
        <w:rPr>
          <w:lang w:val="en-CA"/>
        </w:rPr>
        <w:t xml:space="preserve"> the police officer involved submit an account of the </w:t>
      </w:r>
      <w:r w:rsidR="00BE7976">
        <w:rPr>
          <w:lang w:val="en-CA"/>
        </w:rPr>
        <w:t xml:space="preserve">occurrence </w:t>
      </w:r>
      <w:r w:rsidRPr="00E60984">
        <w:rPr>
          <w:lang w:val="en-CA"/>
        </w:rPr>
        <w:t>to BEI investigators infringe</w:t>
      </w:r>
      <w:r w:rsidR="00BE7976">
        <w:rPr>
          <w:lang w:val="en-CA"/>
        </w:rPr>
        <w:t>s</w:t>
      </w:r>
      <w:r w:rsidRPr="00E60984">
        <w:rPr>
          <w:lang w:val="en-CA"/>
        </w:rPr>
        <w:t xml:space="preserve"> their right </w:t>
      </w:r>
      <w:r w:rsidR="00BE7976">
        <w:rPr>
          <w:lang w:val="en-CA"/>
        </w:rPr>
        <w:t>against self-</w:t>
      </w:r>
      <w:r w:rsidRPr="00E60984">
        <w:rPr>
          <w:lang w:val="en-CA"/>
        </w:rPr>
        <w:t>incriminat</w:t>
      </w:r>
      <w:r w:rsidR="00BE7976">
        <w:rPr>
          <w:lang w:val="en-CA"/>
        </w:rPr>
        <w:t>ion</w:t>
      </w:r>
      <w:r w:rsidRPr="00E60984">
        <w:rPr>
          <w:lang w:val="en-CA"/>
        </w:rPr>
        <w:t>.</w:t>
      </w:r>
      <w:r w:rsidRPr="00E60984">
        <w:rPr>
          <w:rStyle w:val="Appelnotedebasdep"/>
          <w:lang w:val="en-CA"/>
        </w:rPr>
        <w:footnoteReference w:id="47"/>
      </w:r>
      <w:r w:rsidR="00DE2A80" w:rsidRPr="00E60984">
        <w:rPr>
          <w:lang w:val="en-CA"/>
        </w:rPr>
        <w:t xml:space="preserve"> </w:t>
      </w:r>
      <w:r w:rsidRPr="00E60984">
        <w:rPr>
          <w:lang w:val="en-CA"/>
        </w:rPr>
        <w:t xml:space="preserve">While acknowledging that in </w:t>
      </w:r>
      <w:r w:rsidRPr="00E60984">
        <w:rPr>
          <w:i/>
          <w:lang w:val="en-CA"/>
        </w:rPr>
        <w:t>Wood v. Schaeffer</w:t>
      </w:r>
      <w:r w:rsidRPr="00E60984">
        <w:rPr>
          <w:lang w:val="en-CA"/>
        </w:rPr>
        <w:t>,</w:t>
      </w:r>
      <w:r w:rsidRPr="00E60984">
        <w:rPr>
          <w:rStyle w:val="Appelnotedebasdep"/>
          <w:lang w:val="en-CA"/>
        </w:rPr>
        <w:footnoteReference w:id="48"/>
      </w:r>
      <w:r w:rsidRPr="00E60984">
        <w:rPr>
          <w:lang w:val="en-CA"/>
        </w:rPr>
        <w:t xml:space="preserve"> </w:t>
      </w:r>
      <w:r w:rsidR="00BE7976" w:rsidRPr="00E60984">
        <w:rPr>
          <w:lang w:val="en-CA"/>
        </w:rPr>
        <w:t xml:space="preserve">the Supreme Court of Canada stated </w:t>
      </w:r>
      <w:r w:rsidRPr="00E60984">
        <w:rPr>
          <w:lang w:val="en-CA"/>
        </w:rPr>
        <w:t>that a</w:t>
      </w:r>
      <w:r w:rsidR="00BE7976">
        <w:rPr>
          <w:lang w:val="en-CA"/>
        </w:rPr>
        <w:t xml:space="preserve"> police</w:t>
      </w:r>
      <w:r w:rsidRPr="00E60984">
        <w:rPr>
          <w:lang w:val="en-CA"/>
        </w:rPr>
        <w:t xml:space="preserve"> officer has a </w:t>
      </w:r>
      <w:r w:rsidR="005F39B9">
        <w:rPr>
          <w:lang w:val="en-CA"/>
        </w:rPr>
        <w:t>duty</w:t>
      </w:r>
      <w:r w:rsidRPr="00E60984">
        <w:rPr>
          <w:lang w:val="en-CA"/>
        </w:rPr>
        <w:t xml:space="preserve"> to </w:t>
      </w:r>
      <w:r w:rsidR="005F39B9">
        <w:rPr>
          <w:lang w:val="en-CA"/>
        </w:rPr>
        <w:t>make notes</w:t>
      </w:r>
      <w:r w:rsidRPr="00E60984">
        <w:rPr>
          <w:lang w:val="en-CA"/>
        </w:rPr>
        <w:t xml:space="preserve"> on the events that </w:t>
      </w:r>
      <w:r w:rsidR="005F39B9">
        <w:rPr>
          <w:lang w:val="en-CA"/>
        </w:rPr>
        <w:t xml:space="preserve">transpired </w:t>
      </w:r>
      <w:r w:rsidRPr="00E60984">
        <w:rPr>
          <w:lang w:val="en-CA"/>
        </w:rPr>
        <w:t xml:space="preserve">while the officer was </w:t>
      </w:r>
      <w:r w:rsidR="00BE7976">
        <w:rPr>
          <w:lang w:val="en-CA"/>
        </w:rPr>
        <w:t>on-duty</w:t>
      </w:r>
      <w:r w:rsidRPr="00E60984">
        <w:rPr>
          <w:lang w:val="en-CA"/>
        </w:rPr>
        <w:t>, the judge noted that under the Ontario investigat</w:t>
      </w:r>
      <w:r w:rsidR="005F39B9">
        <w:rPr>
          <w:lang w:val="en-CA"/>
        </w:rPr>
        <w:t>ory</w:t>
      </w:r>
      <w:r w:rsidRPr="00E60984">
        <w:rPr>
          <w:lang w:val="en-CA"/>
        </w:rPr>
        <w:t xml:space="preserve"> scheme at issue in that case, the report of the police officer involved was not submitted to the body responsible for investigating the incident.</w:t>
      </w:r>
      <w:r w:rsidRPr="00E60984">
        <w:rPr>
          <w:rStyle w:val="Appelnotedebasdep"/>
          <w:lang w:val="en-CA"/>
        </w:rPr>
        <w:footnoteReference w:id="49"/>
      </w:r>
      <w:r w:rsidR="00DE2A80" w:rsidRPr="00E60984">
        <w:rPr>
          <w:lang w:val="en-CA"/>
        </w:rPr>
        <w:t xml:space="preserve"> </w:t>
      </w:r>
    </w:p>
    <w:p w14:paraId="489E0245" w14:textId="50DA3208" w:rsidR="00A17C43" w:rsidRPr="00E60984" w:rsidRDefault="006832DD" w:rsidP="005F15BF">
      <w:pPr>
        <w:pStyle w:val="Paragraphe"/>
        <w:spacing w:line="240" w:lineRule="auto"/>
        <w:rPr>
          <w:lang w:val="en-CA"/>
        </w:rPr>
      </w:pPr>
      <w:r w:rsidRPr="00E60984">
        <w:rPr>
          <w:lang w:val="en-CA"/>
        </w:rPr>
        <w:t xml:space="preserve">The judge then </w:t>
      </w:r>
      <w:r w:rsidR="005F39B9">
        <w:rPr>
          <w:lang w:val="en-CA"/>
        </w:rPr>
        <w:t>rejected</w:t>
      </w:r>
      <w:r w:rsidRPr="00E60984">
        <w:rPr>
          <w:lang w:val="en-CA"/>
        </w:rPr>
        <w:t xml:space="preserve"> all </w:t>
      </w:r>
      <w:r w:rsidR="005F39B9">
        <w:rPr>
          <w:lang w:val="en-CA"/>
        </w:rPr>
        <w:t xml:space="preserve">of </w:t>
      </w:r>
      <w:r w:rsidRPr="00E60984">
        <w:rPr>
          <w:lang w:val="en-CA"/>
        </w:rPr>
        <w:t xml:space="preserve">the AGQ’s arguments that the rights of the police officer involved </w:t>
      </w:r>
      <w:r w:rsidR="005F39B9">
        <w:rPr>
          <w:lang w:val="en-CA"/>
        </w:rPr>
        <w:t xml:space="preserve">are </w:t>
      </w:r>
      <w:r w:rsidRPr="00E60984">
        <w:rPr>
          <w:lang w:val="en-CA"/>
        </w:rPr>
        <w:t>protected even if the officer submit</w:t>
      </w:r>
      <w:r w:rsidR="00C20080">
        <w:rPr>
          <w:lang w:val="en-CA"/>
        </w:rPr>
        <w:t>s</w:t>
      </w:r>
      <w:r w:rsidRPr="00E60984">
        <w:rPr>
          <w:lang w:val="en-CA"/>
        </w:rPr>
        <w:t xml:space="preserve"> their account to the BEI investigators because th</w:t>
      </w:r>
      <w:r w:rsidR="00C20080">
        <w:rPr>
          <w:lang w:val="en-CA"/>
        </w:rPr>
        <w:t>at</w:t>
      </w:r>
      <w:r w:rsidRPr="00E60984">
        <w:rPr>
          <w:lang w:val="en-CA"/>
        </w:rPr>
        <w:t xml:space="preserve"> account </w:t>
      </w:r>
      <w:r w:rsidR="005F39B9">
        <w:rPr>
          <w:lang w:val="en-CA"/>
        </w:rPr>
        <w:t>can</w:t>
      </w:r>
      <w:r w:rsidRPr="00E60984">
        <w:rPr>
          <w:lang w:val="en-CA"/>
        </w:rPr>
        <w:t>not be used against the officer in a criminal proceeding.</w:t>
      </w:r>
      <w:r w:rsidRPr="00E60984">
        <w:rPr>
          <w:rStyle w:val="Appelnotedebasdep"/>
          <w:lang w:val="en-CA"/>
        </w:rPr>
        <w:footnoteReference w:id="50"/>
      </w:r>
      <w:r w:rsidR="00DE2A80" w:rsidRPr="00E60984">
        <w:rPr>
          <w:lang w:val="en-CA"/>
        </w:rPr>
        <w:t xml:space="preserve"> </w:t>
      </w:r>
      <w:r w:rsidRPr="00E60984">
        <w:rPr>
          <w:lang w:val="en-CA"/>
        </w:rPr>
        <w:t>The judge instead found that this obligation infringe</w:t>
      </w:r>
      <w:r w:rsidR="005F39B9">
        <w:rPr>
          <w:lang w:val="en-CA"/>
        </w:rPr>
        <w:t>s</w:t>
      </w:r>
      <w:r w:rsidRPr="00E60984">
        <w:rPr>
          <w:lang w:val="en-CA"/>
        </w:rPr>
        <w:t xml:space="preserve"> on the </w:t>
      </w:r>
      <w:r w:rsidR="005F39B9">
        <w:rPr>
          <w:lang w:val="en-CA"/>
        </w:rPr>
        <w:t xml:space="preserve">police </w:t>
      </w:r>
      <w:r w:rsidRPr="00E60984">
        <w:rPr>
          <w:lang w:val="en-CA"/>
        </w:rPr>
        <w:t xml:space="preserve">officer’s right </w:t>
      </w:r>
      <w:r w:rsidR="00C20080">
        <w:rPr>
          <w:lang w:val="en-CA"/>
        </w:rPr>
        <w:t xml:space="preserve">not </w:t>
      </w:r>
      <w:r w:rsidR="005F39B9">
        <w:rPr>
          <w:lang w:val="en-CA"/>
        </w:rPr>
        <w:t xml:space="preserve">to be compelled to </w:t>
      </w:r>
      <w:r w:rsidRPr="00E60984">
        <w:rPr>
          <w:lang w:val="en-CA"/>
        </w:rPr>
        <w:t>incriminat</w:t>
      </w:r>
      <w:r w:rsidR="005F39B9">
        <w:rPr>
          <w:lang w:val="en-CA"/>
        </w:rPr>
        <w:t>e</w:t>
      </w:r>
      <w:r w:rsidRPr="00E60984">
        <w:rPr>
          <w:lang w:val="en-CA"/>
        </w:rPr>
        <w:t xml:space="preserve"> </w:t>
      </w:r>
      <w:r w:rsidR="005F39B9">
        <w:rPr>
          <w:lang w:val="en-CA"/>
        </w:rPr>
        <w:t xml:space="preserve">themselves </w:t>
      </w:r>
      <w:r w:rsidRPr="00E60984">
        <w:rPr>
          <w:lang w:val="en-CA"/>
        </w:rPr>
        <w:t xml:space="preserve">and that accordingly, the obligation under the </w:t>
      </w:r>
      <w:r w:rsidRPr="00E60984">
        <w:rPr>
          <w:i/>
          <w:lang w:val="en-CA"/>
        </w:rPr>
        <w:t>Regulation</w:t>
      </w:r>
      <w:r w:rsidRPr="00E60984">
        <w:rPr>
          <w:lang w:val="en-CA"/>
        </w:rPr>
        <w:t xml:space="preserve"> was invalid and unenforceable against the officer.</w:t>
      </w:r>
      <w:r w:rsidRPr="00E60984">
        <w:rPr>
          <w:rStyle w:val="Appelnotedebasdep"/>
          <w:lang w:val="en-CA"/>
        </w:rPr>
        <w:footnoteReference w:id="51"/>
      </w:r>
    </w:p>
    <w:p w14:paraId="70C9ECC7" w14:textId="0B747EEA" w:rsidR="00A17C43" w:rsidRPr="00E60984" w:rsidRDefault="006832DD" w:rsidP="005F15BF">
      <w:pPr>
        <w:pStyle w:val="Paragraphe"/>
        <w:spacing w:line="240" w:lineRule="auto"/>
        <w:rPr>
          <w:lang w:val="en-CA"/>
        </w:rPr>
      </w:pPr>
      <w:r w:rsidRPr="00E60984">
        <w:rPr>
          <w:lang w:val="en-CA"/>
        </w:rPr>
        <w:t xml:space="preserve">The third issue dealt with by the judge </w:t>
      </w:r>
      <w:r w:rsidR="00D528BE">
        <w:rPr>
          <w:lang w:val="en-CA"/>
        </w:rPr>
        <w:t>wa</w:t>
      </w:r>
      <w:r w:rsidRPr="00E60984">
        <w:rPr>
          <w:lang w:val="en-CA"/>
        </w:rPr>
        <w:t xml:space="preserve">s whether </w:t>
      </w:r>
      <w:r w:rsidRPr="00E60984">
        <w:rPr>
          <w:rFonts w:cs="Arial"/>
          <w:lang w:val="en-CA"/>
        </w:rPr>
        <w:t>[</w:t>
      </w:r>
      <w:r w:rsidRPr="00E60984">
        <w:rPr>
          <w:rFonts w:cs="Arial"/>
          <w:smallCaps/>
          <w:lang w:val="en-CA"/>
        </w:rPr>
        <w:t>translation</w:t>
      </w:r>
      <w:r w:rsidRPr="00E60984">
        <w:rPr>
          <w:rFonts w:cs="Arial"/>
          <w:lang w:val="en-CA"/>
        </w:rPr>
        <w:t>]</w:t>
      </w:r>
      <w:r w:rsidRPr="00E60984">
        <w:rPr>
          <w:lang w:val="en-CA"/>
        </w:rPr>
        <w:t xml:space="preserve"> “the </w:t>
      </w:r>
      <w:r w:rsidRPr="00E60984">
        <w:rPr>
          <w:i/>
          <w:lang w:val="en-CA"/>
        </w:rPr>
        <w:t>Regulation</w:t>
      </w:r>
      <w:r w:rsidRPr="00E60984">
        <w:rPr>
          <w:lang w:val="en-CA"/>
        </w:rPr>
        <w:t xml:space="preserve">, by </w:t>
      </w:r>
      <w:r w:rsidR="005F39B9">
        <w:rPr>
          <w:lang w:val="en-CA"/>
        </w:rPr>
        <w:t xml:space="preserve">requiring </w:t>
      </w:r>
      <w:r w:rsidRPr="00E60984">
        <w:rPr>
          <w:lang w:val="en-CA"/>
        </w:rPr>
        <w:t xml:space="preserve">the police officer to meet with </w:t>
      </w:r>
      <w:r w:rsidR="00D528BE">
        <w:rPr>
          <w:rFonts w:cs="Arial"/>
          <w:lang w:val="en-CA"/>
        </w:rPr>
        <w:t>[</w:t>
      </w:r>
      <w:r w:rsidRPr="00E60984">
        <w:rPr>
          <w:lang w:val="en-CA"/>
        </w:rPr>
        <w:t>BEI</w:t>
      </w:r>
      <w:r w:rsidR="00D528BE">
        <w:rPr>
          <w:rFonts w:cs="Arial"/>
          <w:lang w:val="en-CA"/>
        </w:rPr>
        <w:t>]</w:t>
      </w:r>
      <w:r w:rsidRPr="00E60984">
        <w:rPr>
          <w:lang w:val="en-CA"/>
        </w:rPr>
        <w:t xml:space="preserve"> investigators, infringe</w:t>
      </w:r>
      <w:r w:rsidR="005F39B9">
        <w:rPr>
          <w:lang w:val="en-CA"/>
        </w:rPr>
        <w:t>s</w:t>
      </w:r>
      <w:r w:rsidRPr="00E60984">
        <w:rPr>
          <w:lang w:val="en-CA"/>
        </w:rPr>
        <w:t xml:space="preserve"> the officer’s right </w:t>
      </w:r>
      <w:r w:rsidR="00C408AF">
        <w:rPr>
          <w:lang w:val="en-CA"/>
        </w:rPr>
        <w:lastRenderedPageBreak/>
        <w:t xml:space="preserve">to </w:t>
      </w:r>
      <w:r w:rsidRPr="00E60984">
        <w:rPr>
          <w:lang w:val="en-CA"/>
        </w:rPr>
        <w:t>silen</w:t>
      </w:r>
      <w:r w:rsidR="006A7004" w:rsidRPr="00E60984">
        <w:rPr>
          <w:lang w:val="en-CA"/>
        </w:rPr>
        <w:t>ce</w:t>
      </w:r>
      <w:r w:rsidRPr="00E60984">
        <w:rPr>
          <w:lang w:val="en-CA"/>
        </w:rPr>
        <w:t xml:space="preserve">” and whether </w:t>
      </w:r>
      <w:r w:rsidRPr="00E60984">
        <w:rPr>
          <w:rFonts w:cs="Arial"/>
          <w:lang w:val="en-CA"/>
        </w:rPr>
        <w:t>[</w:t>
      </w:r>
      <w:r w:rsidRPr="00E60984">
        <w:rPr>
          <w:rFonts w:cs="Arial"/>
          <w:smallCaps/>
          <w:lang w:val="en-CA"/>
        </w:rPr>
        <w:t>translation</w:t>
      </w:r>
      <w:r w:rsidRPr="00E60984">
        <w:rPr>
          <w:rFonts w:cs="Arial"/>
          <w:lang w:val="en-CA"/>
        </w:rPr>
        <w:t>]</w:t>
      </w:r>
      <w:r w:rsidRPr="00E60984">
        <w:rPr>
          <w:lang w:val="en-CA"/>
        </w:rPr>
        <w:t xml:space="preserve"> “the police officer should be </w:t>
      </w:r>
      <w:r w:rsidR="005534A4" w:rsidRPr="00E60984">
        <w:rPr>
          <w:lang w:val="en-CA"/>
        </w:rPr>
        <w:t>cautioned</w:t>
      </w:r>
      <w:r w:rsidRPr="00E60984">
        <w:rPr>
          <w:lang w:val="en-CA"/>
        </w:rPr>
        <w:t>”.</w:t>
      </w:r>
      <w:r w:rsidRPr="00E60984">
        <w:rPr>
          <w:rStyle w:val="Appelnotedebasdep"/>
          <w:lang w:val="en-CA"/>
        </w:rPr>
        <w:footnoteReference w:id="52"/>
      </w:r>
      <w:r w:rsidRPr="00E60984">
        <w:rPr>
          <w:lang w:val="en-CA"/>
        </w:rPr>
        <w:t xml:space="preserve"> Relying on the AGQ’s arguments that the police officer involved </w:t>
      </w:r>
      <w:r w:rsidR="00D528BE">
        <w:rPr>
          <w:lang w:val="en-CA"/>
        </w:rPr>
        <w:t xml:space="preserve">did </w:t>
      </w:r>
      <w:r w:rsidRPr="00E60984">
        <w:rPr>
          <w:lang w:val="en-CA"/>
        </w:rPr>
        <w:t xml:space="preserve">not </w:t>
      </w:r>
      <w:r w:rsidR="00D528BE">
        <w:rPr>
          <w:lang w:val="en-CA"/>
        </w:rPr>
        <w:t>have</w:t>
      </w:r>
      <w:r w:rsidRPr="00E60984">
        <w:rPr>
          <w:lang w:val="en-CA"/>
        </w:rPr>
        <w:t xml:space="preserve"> to answer the investigators’ questions, the judge held that this part of the </w:t>
      </w:r>
      <w:r w:rsidRPr="00E60984">
        <w:rPr>
          <w:i/>
          <w:lang w:val="en-CA"/>
        </w:rPr>
        <w:t>Regulation</w:t>
      </w:r>
      <w:r w:rsidRPr="00E60984">
        <w:rPr>
          <w:lang w:val="en-CA"/>
        </w:rPr>
        <w:t xml:space="preserve"> is valid.</w:t>
      </w:r>
      <w:r w:rsidRPr="00E60984">
        <w:rPr>
          <w:rStyle w:val="Appelnotedebasdep"/>
          <w:lang w:val="en-CA"/>
        </w:rPr>
        <w:footnoteReference w:id="53"/>
      </w:r>
      <w:r w:rsidR="00DE2A80" w:rsidRPr="00E60984">
        <w:rPr>
          <w:lang w:val="en-CA"/>
        </w:rPr>
        <w:t xml:space="preserve"> </w:t>
      </w:r>
      <w:r w:rsidRPr="00E60984">
        <w:rPr>
          <w:lang w:val="en-CA"/>
        </w:rPr>
        <w:t xml:space="preserve">However, the judge added the police officer involved </w:t>
      </w:r>
      <w:r w:rsidR="00D528BE">
        <w:rPr>
          <w:lang w:val="en-CA"/>
        </w:rPr>
        <w:t xml:space="preserve">must </w:t>
      </w:r>
      <w:r w:rsidR="005534A4" w:rsidRPr="00E60984">
        <w:rPr>
          <w:lang w:val="en-CA"/>
        </w:rPr>
        <w:t xml:space="preserve">be cautioned </w:t>
      </w:r>
      <w:r w:rsidR="00D528BE">
        <w:rPr>
          <w:lang w:val="en-CA"/>
        </w:rPr>
        <w:t xml:space="preserve">as soon as </w:t>
      </w:r>
      <w:r w:rsidRPr="00E60984">
        <w:rPr>
          <w:lang w:val="en-CA"/>
        </w:rPr>
        <w:t>the meeting with investigators</w:t>
      </w:r>
      <w:r w:rsidR="00D528BE">
        <w:rPr>
          <w:lang w:val="en-CA"/>
        </w:rPr>
        <w:t xml:space="preserve"> </w:t>
      </w:r>
      <w:r w:rsidR="00C408AF">
        <w:rPr>
          <w:lang w:val="en-CA"/>
        </w:rPr>
        <w:t>begins</w:t>
      </w:r>
      <w:r w:rsidRPr="00E60984">
        <w:rPr>
          <w:lang w:val="en-CA"/>
        </w:rPr>
        <w:t>.</w:t>
      </w:r>
      <w:r w:rsidR="00DE2A80" w:rsidRPr="00E60984">
        <w:rPr>
          <w:lang w:val="en-CA"/>
        </w:rPr>
        <w:t xml:space="preserve"> </w:t>
      </w:r>
      <w:r w:rsidRPr="00E60984">
        <w:rPr>
          <w:lang w:val="en-CA"/>
        </w:rPr>
        <w:t xml:space="preserve">The judge therefore decided that he </w:t>
      </w:r>
      <w:r w:rsidRPr="00E60984">
        <w:rPr>
          <w:rFonts w:cs="Arial"/>
          <w:lang w:val="en-CA"/>
        </w:rPr>
        <w:t>[</w:t>
      </w:r>
      <w:r w:rsidRPr="00E60984">
        <w:rPr>
          <w:rFonts w:cs="Arial"/>
          <w:smallCaps/>
          <w:lang w:val="en-CA"/>
        </w:rPr>
        <w:t>translation</w:t>
      </w:r>
      <w:r w:rsidRPr="00E60984">
        <w:rPr>
          <w:rFonts w:cs="Arial"/>
          <w:lang w:val="en-CA"/>
        </w:rPr>
        <w:t>]</w:t>
      </w:r>
      <w:r w:rsidRPr="00E60984">
        <w:rPr>
          <w:lang w:val="en-CA"/>
        </w:rPr>
        <w:t xml:space="preserve"> “would issue a declaratory order that the </w:t>
      </w:r>
      <w:r w:rsidRPr="00E60984">
        <w:rPr>
          <w:rFonts w:cs="Arial"/>
          <w:lang w:val="en-CA"/>
        </w:rPr>
        <w:t>[</w:t>
      </w:r>
      <w:r w:rsidRPr="00E60984">
        <w:rPr>
          <w:lang w:val="en-CA"/>
        </w:rPr>
        <w:t>BEI</w:t>
      </w:r>
      <w:r w:rsidRPr="00E60984">
        <w:rPr>
          <w:rFonts w:cs="Arial"/>
          <w:lang w:val="en-CA"/>
        </w:rPr>
        <w:t>]</w:t>
      </w:r>
      <w:r w:rsidRPr="00E60984">
        <w:rPr>
          <w:lang w:val="en-CA"/>
        </w:rPr>
        <w:t xml:space="preserve"> must inform the police officer </w:t>
      </w:r>
      <w:r w:rsidRPr="00E60984">
        <w:rPr>
          <w:i/>
          <w:iCs/>
          <w:lang w:val="en-CA"/>
        </w:rPr>
        <w:t>involved</w:t>
      </w:r>
      <w:r w:rsidRPr="00E60984">
        <w:rPr>
          <w:lang w:val="en-CA"/>
        </w:rPr>
        <w:t xml:space="preserve"> of their right to silen</w:t>
      </w:r>
      <w:r w:rsidR="006A7004" w:rsidRPr="00E60984">
        <w:rPr>
          <w:lang w:val="en-CA"/>
        </w:rPr>
        <w:t>ce</w:t>
      </w:r>
      <w:r w:rsidRPr="00E60984">
        <w:rPr>
          <w:lang w:val="en-CA"/>
        </w:rPr>
        <w:t xml:space="preserve"> </w:t>
      </w:r>
      <w:r w:rsidR="00C408AF">
        <w:rPr>
          <w:lang w:val="en-CA"/>
        </w:rPr>
        <w:t xml:space="preserve">at the beginning of </w:t>
      </w:r>
      <w:r w:rsidRPr="00E60984">
        <w:rPr>
          <w:lang w:val="en-CA"/>
        </w:rPr>
        <w:t>the meeting”.</w:t>
      </w:r>
      <w:r w:rsidRPr="00E60984">
        <w:rPr>
          <w:rStyle w:val="Appelnotedebasdep"/>
          <w:lang w:val="en-CA"/>
        </w:rPr>
        <w:footnoteReference w:id="54"/>
      </w:r>
    </w:p>
    <w:p w14:paraId="0D8D74B9" w14:textId="6D8D383F" w:rsidR="00A17C43" w:rsidRPr="00E60984" w:rsidRDefault="008D3AF9" w:rsidP="005F15BF">
      <w:pPr>
        <w:pStyle w:val="Paragraphe"/>
        <w:spacing w:line="240" w:lineRule="auto"/>
        <w:rPr>
          <w:lang w:val="en-CA"/>
        </w:rPr>
      </w:pPr>
      <w:r w:rsidRPr="00E60984">
        <w:rPr>
          <w:lang w:val="en-CA"/>
        </w:rPr>
        <w:t xml:space="preserve">The fourth issue identified by the judge </w:t>
      </w:r>
      <w:r w:rsidR="00D528BE">
        <w:rPr>
          <w:lang w:val="en-CA"/>
        </w:rPr>
        <w:t>wa</w:t>
      </w:r>
      <w:r w:rsidRPr="00E60984">
        <w:rPr>
          <w:lang w:val="en-CA"/>
        </w:rPr>
        <w:t xml:space="preserve">s whether the police officer involved </w:t>
      </w:r>
      <w:r w:rsidR="00D528BE">
        <w:rPr>
          <w:lang w:val="en-CA"/>
        </w:rPr>
        <w:t>i</w:t>
      </w:r>
      <w:r w:rsidRPr="00E60984">
        <w:rPr>
          <w:lang w:val="en-CA"/>
        </w:rPr>
        <w:t>s detained during the meeting with BEI investigators and therefore ha</w:t>
      </w:r>
      <w:r w:rsidR="00D528BE">
        <w:rPr>
          <w:lang w:val="en-CA"/>
        </w:rPr>
        <w:t>s</w:t>
      </w:r>
      <w:r w:rsidRPr="00E60984">
        <w:rPr>
          <w:lang w:val="en-CA"/>
        </w:rPr>
        <w:t xml:space="preserve"> the </w:t>
      </w:r>
      <w:r w:rsidR="00D528BE" w:rsidRPr="00E60984">
        <w:rPr>
          <w:rFonts w:cs="Arial"/>
          <w:lang w:val="en-CA"/>
        </w:rPr>
        <w:t>[</w:t>
      </w:r>
      <w:r w:rsidR="00D528BE" w:rsidRPr="00E60984">
        <w:rPr>
          <w:rFonts w:cs="Arial"/>
          <w:smallCaps/>
          <w:lang w:val="en-CA"/>
        </w:rPr>
        <w:t>translation</w:t>
      </w:r>
      <w:r w:rsidR="00D528BE" w:rsidRPr="00E60984">
        <w:rPr>
          <w:rFonts w:cs="Arial"/>
          <w:lang w:val="en-CA"/>
        </w:rPr>
        <w:t>]</w:t>
      </w:r>
      <w:r w:rsidR="00C27664">
        <w:rPr>
          <w:lang w:val="en-CA"/>
        </w:rPr>
        <w:t> </w:t>
      </w:r>
      <w:r w:rsidRPr="00E60984">
        <w:rPr>
          <w:lang w:val="en-CA"/>
        </w:rPr>
        <w:t>“right to counsel and to be informed of this right?”</w:t>
      </w:r>
      <w:r w:rsidR="00DE2A80" w:rsidRPr="00E60984">
        <w:rPr>
          <w:rStyle w:val="Appelnotedebasdep"/>
          <w:lang w:val="en-CA"/>
        </w:rPr>
        <w:footnoteReference w:id="55"/>
      </w:r>
      <w:r w:rsidR="00DE2A80" w:rsidRPr="00E60984">
        <w:rPr>
          <w:lang w:val="en-CA"/>
        </w:rPr>
        <w:t xml:space="preserve"> </w:t>
      </w:r>
      <w:r w:rsidRPr="00E60984">
        <w:rPr>
          <w:lang w:val="en-CA"/>
        </w:rPr>
        <w:t xml:space="preserve">The judge found that this question </w:t>
      </w:r>
      <w:r w:rsidR="00D528BE">
        <w:rPr>
          <w:lang w:val="en-CA"/>
        </w:rPr>
        <w:t xml:space="preserve">need </w:t>
      </w:r>
      <w:r w:rsidRPr="00E60984">
        <w:rPr>
          <w:lang w:val="en-CA"/>
        </w:rPr>
        <w:t>not be answered by a declaratory judgment because the answer depend</w:t>
      </w:r>
      <w:r w:rsidR="00D528BE">
        <w:rPr>
          <w:lang w:val="en-CA"/>
        </w:rPr>
        <w:t>s</w:t>
      </w:r>
      <w:r w:rsidRPr="00E60984">
        <w:rPr>
          <w:lang w:val="en-CA"/>
        </w:rPr>
        <w:t xml:space="preserve"> on the specific factual </w:t>
      </w:r>
      <w:r w:rsidR="00D528BE">
        <w:rPr>
          <w:lang w:val="en-CA"/>
        </w:rPr>
        <w:t>context</w:t>
      </w:r>
      <w:r w:rsidRPr="00E60984">
        <w:rPr>
          <w:lang w:val="en-CA"/>
        </w:rPr>
        <w:t xml:space="preserve"> of each case</w:t>
      </w:r>
      <w:r w:rsidR="00C27664">
        <w:rPr>
          <w:lang w:val="en-CA"/>
        </w:rPr>
        <w:t>.</w:t>
      </w:r>
      <w:r w:rsidRPr="00E60984">
        <w:rPr>
          <w:rStyle w:val="Appelnotedebasdep"/>
          <w:lang w:val="en-CA"/>
        </w:rPr>
        <w:footnoteReference w:id="56"/>
      </w:r>
    </w:p>
    <w:p w14:paraId="06C39C60" w14:textId="2C3415B0" w:rsidR="00A17C43" w:rsidRPr="00E60984" w:rsidRDefault="008D3AF9" w:rsidP="005F15BF">
      <w:pPr>
        <w:pStyle w:val="Paragraphe"/>
        <w:spacing w:line="240" w:lineRule="auto"/>
        <w:rPr>
          <w:lang w:val="en-CA"/>
        </w:rPr>
      </w:pPr>
      <w:r w:rsidRPr="00E60984">
        <w:rPr>
          <w:lang w:val="en-CA"/>
        </w:rPr>
        <w:t xml:space="preserve">The fifth </w:t>
      </w:r>
      <w:r w:rsidR="00D528BE">
        <w:rPr>
          <w:lang w:val="en-CA"/>
        </w:rPr>
        <w:t>issue</w:t>
      </w:r>
      <w:r w:rsidRPr="00E60984">
        <w:rPr>
          <w:lang w:val="en-CA"/>
        </w:rPr>
        <w:t xml:space="preserve"> concern</w:t>
      </w:r>
      <w:r w:rsidR="00D528BE">
        <w:rPr>
          <w:lang w:val="en-CA"/>
        </w:rPr>
        <w:t>ed</w:t>
      </w:r>
      <w:r w:rsidRPr="00E60984">
        <w:rPr>
          <w:lang w:val="en-CA"/>
        </w:rPr>
        <w:t xml:space="preserve"> the reasonableness of the BEI directive that police officers are prohibited from consulting the call</w:t>
      </w:r>
      <w:r w:rsidR="00AB4F70">
        <w:rPr>
          <w:lang w:val="en-CA"/>
        </w:rPr>
        <w:t>ing</w:t>
      </w:r>
      <w:r w:rsidRPr="00E60984">
        <w:rPr>
          <w:lang w:val="en-CA"/>
        </w:rPr>
        <w:t xml:space="preserve"> card to prepare their accounts of the </w:t>
      </w:r>
      <w:r w:rsidR="00D528BE">
        <w:rPr>
          <w:lang w:val="en-CA"/>
        </w:rPr>
        <w:t>occurrence</w:t>
      </w:r>
      <w:r w:rsidRPr="00E60984">
        <w:rPr>
          <w:lang w:val="en-CA"/>
        </w:rPr>
        <w:t>.</w:t>
      </w:r>
      <w:r w:rsidR="00DE2A80" w:rsidRPr="00E60984">
        <w:rPr>
          <w:lang w:val="en-CA"/>
        </w:rPr>
        <w:t xml:space="preserve"> </w:t>
      </w:r>
      <w:r w:rsidRPr="00E60984">
        <w:rPr>
          <w:lang w:val="en-CA"/>
        </w:rPr>
        <w:t xml:space="preserve">Because </w:t>
      </w:r>
      <w:r w:rsidR="00D528BE">
        <w:rPr>
          <w:lang w:val="en-CA"/>
        </w:rPr>
        <w:t xml:space="preserve">it was not argued that </w:t>
      </w:r>
      <w:r w:rsidRPr="00E60984">
        <w:rPr>
          <w:lang w:val="en-CA"/>
        </w:rPr>
        <w:t xml:space="preserve">the police officers’ fundamental rights </w:t>
      </w:r>
      <w:r w:rsidR="00D528BE">
        <w:rPr>
          <w:lang w:val="en-CA"/>
        </w:rPr>
        <w:t>a</w:t>
      </w:r>
      <w:r w:rsidRPr="00E60984">
        <w:rPr>
          <w:lang w:val="en-CA"/>
        </w:rPr>
        <w:t xml:space="preserve">re being infringed, the judge </w:t>
      </w:r>
      <w:r w:rsidR="00D528BE">
        <w:rPr>
          <w:lang w:val="en-CA"/>
        </w:rPr>
        <w:t>concluded</w:t>
      </w:r>
      <w:r w:rsidRPr="00E60984">
        <w:rPr>
          <w:lang w:val="en-CA"/>
        </w:rPr>
        <w:t xml:space="preserve"> </w:t>
      </w:r>
      <w:r w:rsidR="00D528BE" w:rsidRPr="00E60984">
        <w:rPr>
          <w:rFonts w:cs="Arial"/>
          <w:lang w:val="en-CA"/>
        </w:rPr>
        <w:t>[</w:t>
      </w:r>
      <w:r w:rsidR="00D528BE" w:rsidRPr="00E60984">
        <w:rPr>
          <w:rFonts w:cs="Arial"/>
          <w:smallCaps/>
          <w:lang w:val="en-CA"/>
        </w:rPr>
        <w:t>translation</w:t>
      </w:r>
      <w:r w:rsidR="00D528BE" w:rsidRPr="00E60984">
        <w:rPr>
          <w:rFonts w:cs="Arial"/>
          <w:lang w:val="en-CA"/>
        </w:rPr>
        <w:t>]</w:t>
      </w:r>
      <w:r w:rsidR="00D528BE" w:rsidRPr="00E60984">
        <w:rPr>
          <w:lang w:val="en-CA"/>
        </w:rPr>
        <w:t xml:space="preserve"> </w:t>
      </w:r>
      <w:r w:rsidRPr="00E60984">
        <w:rPr>
          <w:lang w:val="en-CA"/>
        </w:rPr>
        <w:t xml:space="preserve">“that it is wiser to give the </w:t>
      </w:r>
      <w:r w:rsidR="00D528BE">
        <w:rPr>
          <w:rFonts w:cs="Arial"/>
          <w:lang w:val="en-CA"/>
        </w:rPr>
        <w:t>[</w:t>
      </w:r>
      <w:r w:rsidRPr="00E60984">
        <w:rPr>
          <w:lang w:val="en-CA"/>
        </w:rPr>
        <w:t>BEI</w:t>
      </w:r>
      <w:r w:rsidR="00D528BE">
        <w:rPr>
          <w:rFonts w:cs="Arial"/>
          <w:lang w:val="en-CA"/>
        </w:rPr>
        <w:t>]</w:t>
      </w:r>
      <w:r w:rsidRPr="00E60984">
        <w:rPr>
          <w:lang w:val="en-CA"/>
        </w:rPr>
        <w:t xml:space="preserve"> the flexibility it </w:t>
      </w:r>
      <w:r w:rsidR="00D528BE">
        <w:rPr>
          <w:lang w:val="en-CA"/>
        </w:rPr>
        <w:t>deems</w:t>
      </w:r>
      <w:r w:rsidRPr="00E60984">
        <w:rPr>
          <w:lang w:val="en-CA"/>
        </w:rPr>
        <w:t xml:space="preserve"> necessary to properly carry out its mandate regardless of the undersigned’s opinion </w:t>
      </w:r>
      <w:r w:rsidR="00C27664">
        <w:rPr>
          <w:lang w:val="en-CA"/>
        </w:rPr>
        <w:t>on the subject</w:t>
      </w:r>
      <w:r w:rsidRPr="00E60984">
        <w:rPr>
          <w:lang w:val="en-CA"/>
        </w:rPr>
        <w:t>”.</w:t>
      </w:r>
      <w:r w:rsidRPr="00E60984">
        <w:rPr>
          <w:rStyle w:val="Appelnotedebasdep"/>
          <w:lang w:val="en-CA"/>
        </w:rPr>
        <w:footnoteReference w:id="57"/>
      </w:r>
    </w:p>
    <w:p w14:paraId="1952C713" w14:textId="0A1C35FB" w:rsidR="00A17C43" w:rsidRPr="00E60984" w:rsidRDefault="008D3AF9" w:rsidP="005F15BF">
      <w:pPr>
        <w:pStyle w:val="Paragraphe"/>
        <w:spacing w:line="240" w:lineRule="auto"/>
        <w:rPr>
          <w:lang w:val="en-CA"/>
        </w:rPr>
      </w:pPr>
      <w:r w:rsidRPr="00E60984">
        <w:rPr>
          <w:lang w:val="en-CA"/>
        </w:rPr>
        <w:t>Last, the judge summarily dealt with the other applications:</w:t>
      </w:r>
    </w:p>
    <w:p w14:paraId="17ABE039" w14:textId="367D803E" w:rsidR="00A17C43" w:rsidRPr="00E60984" w:rsidRDefault="008D3AF9" w:rsidP="005F15BF">
      <w:pPr>
        <w:pStyle w:val="Paragraphe"/>
        <w:numPr>
          <w:ilvl w:val="0"/>
          <w:numId w:val="0"/>
        </w:numPr>
        <w:spacing w:line="240" w:lineRule="auto"/>
        <w:ind w:left="720"/>
        <w:rPr>
          <w:lang w:val="en-CA"/>
        </w:rPr>
      </w:pPr>
      <w:r w:rsidRPr="00E60984">
        <w:rPr>
          <w:lang w:val="en-CA"/>
        </w:rPr>
        <w:t xml:space="preserve">- he refused to declare that the BEI </w:t>
      </w:r>
      <w:r w:rsidR="006B06CF">
        <w:rPr>
          <w:lang w:val="en-CA"/>
        </w:rPr>
        <w:t>must</w:t>
      </w:r>
      <w:r w:rsidRPr="00E60984">
        <w:rPr>
          <w:lang w:val="en-CA"/>
        </w:rPr>
        <w:t xml:space="preserve"> </w:t>
      </w:r>
      <w:r w:rsidR="006B06CF">
        <w:rPr>
          <w:lang w:val="en-CA"/>
        </w:rPr>
        <w:t>determine</w:t>
      </w:r>
      <w:r w:rsidR="006B06CF" w:rsidRPr="00E60984">
        <w:rPr>
          <w:lang w:val="en-CA"/>
        </w:rPr>
        <w:t xml:space="preserve"> </w:t>
      </w:r>
      <w:r w:rsidRPr="00E60984">
        <w:rPr>
          <w:lang w:val="en-CA"/>
        </w:rPr>
        <w:t xml:space="preserve">the status of a police officer as “involved” or “witness” at the </w:t>
      </w:r>
      <w:r w:rsidR="00AC0169">
        <w:rPr>
          <w:lang w:val="en-CA"/>
        </w:rPr>
        <w:t xml:space="preserve">very beginning </w:t>
      </w:r>
      <w:r w:rsidRPr="00E60984">
        <w:rPr>
          <w:lang w:val="en-CA"/>
        </w:rPr>
        <w:t>of the investigation before it ha</w:t>
      </w:r>
      <w:r w:rsidR="00AC0169">
        <w:rPr>
          <w:lang w:val="en-CA"/>
        </w:rPr>
        <w:t>s</w:t>
      </w:r>
      <w:r w:rsidRPr="00E60984">
        <w:rPr>
          <w:lang w:val="en-CA"/>
        </w:rPr>
        <w:t xml:space="preserve"> received their accounts;</w:t>
      </w:r>
      <w:r w:rsidRPr="00E60984">
        <w:rPr>
          <w:rStyle w:val="Appelnotedebasdep"/>
          <w:lang w:val="en-CA"/>
        </w:rPr>
        <w:t xml:space="preserve"> </w:t>
      </w:r>
      <w:r w:rsidRPr="00E60984">
        <w:rPr>
          <w:rStyle w:val="Appelnotedebasdep"/>
          <w:lang w:val="en-CA"/>
        </w:rPr>
        <w:footnoteReference w:id="58"/>
      </w:r>
      <w:r w:rsidR="00DE2A80" w:rsidRPr="00E60984">
        <w:rPr>
          <w:lang w:val="en-CA"/>
        </w:rPr>
        <w:t xml:space="preserve"> </w:t>
      </w:r>
    </w:p>
    <w:p w14:paraId="37C5A6A7" w14:textId="236C085B" w:rsidR="00A17C43" w:rsidRPr="00AB4F70" w:rsidRDefault="008D3AF9" w:rsidP="005F15BF">
      <w:pPr>
        <w:pStyle w:val="Paragraphe"/>
        <w:numPr>
          <w:ilvl w:val="0"/>
          <w:numId w:val="0"/>
        </w:numPr>
        <w:spacing w:line="240" w:lineRule="auto"/>
        <w:ind w:left="720"/>
        <w:rPr>
          <w:lang w:val="en-CA"/>
        </w:rPr>
      </w:pPr>
      <w:r w:rsidRPr="00E60984">
        <w:rPr>
          <w:lang w:val="en-CA"/>
        </w:rPr>
        <w:t>- he added</w:t>
      </w:r>
      <w:r w:rsidR="006B06CF">
        <w:rPr>
          <w:lang w:val="en-CA"/>
        </w:rPr>
        <w:t>, however,</w:t>
      </w:r>
      <w:r w:rsidRPr="00E60984">
        <w:rPr>
          <w:lang w:val="en-CA"/>
        </w:rPr>
        <w:t xml:space="preserve"> that </w:t>
      </w:r>
      <w:r w:rsidR="00AC0169" w:rsidRPr="00E60984">
        <w:rPr>
          <w:rFonts w:cs="Arial"/>
          <w:lang w:val="en-CA"/>
        </w:rPr>
        <w:t>[</w:t>
      </w:r>
      <w:r w:rsidR="00AC0169" w:rsidRPr="00E60984">
        <w:rPr>
          <w:rFonts w:cs="Arial"/>
          <w:smallCaps/>
          <w:lang w:val="en-CA"/>
        </w:rPr>
        <w:t>translation</w:t>
      </w:r>
      <w:r w:rsidR="00AC0169" w:rsidRPr="00E60984">
        <w:rPr>
          <w:rFonts w:cs="Arial"/>
          <w:lang w:val="en-CA"/>
        </w:rPr>
        <w:t>]</w:t>
      </w:r>
      <w:r w:rsidR="00AC0169" w:rsidRPr="00E60984">
        <w:rPr>
          <w:lang w:val="en-CA"/>
        </w:rPr>
        <w:t xml:space="preserve"> </w:t>
      </w:r>
      <w:r w:rsidRPr="00E60984">
        <w:rPr>
          <w:lang w:val="en-CA"/>
        </w:rPr>
        <w:t xml:space="preserve">“police officers who participated in the intervention must know whether they are </w:t>
      </w:r>
      <w:r w:rsidRPr="00E60984">
        <w:rPr>
          <w:i/>
          <w:lang w:val="en-CA"/>
        </w:rPr>
        <w:t>involved</w:t>
      </w:r>
      <w:r w:rsidRPr="00E60984">
        <w:rPr>
          <w:lang w:val="en-CA"/>
        </w:rPr>
        <w:t xml:space="preserve"> or merely witnesses; police officers who believe that they are </w:t>
      </w:r>
      <w:r w:rsidRPr="00E60984">
        <w:rPr>
          <w:i/>
          <w:lang w:val="en-CA"/>
        </w:rPr>
        <w:t>involved</w:t>
      </w:r>
      <w:r w:rsidRPr="00E60984">
        <w:rPr>
          <w:lang w:val="en-CA"/>
        </w:rPr>
        <w:t xml:space="preserve"> may ask the police force </w:t>
      </w:r>
      <w:r w:rsidR="00AC0169">
        <w:rPr>
          <w:lang w:val="en-CA"/>
        </w:rPr>
        <w:t xml:space="preserve">director </w:t>
      </w:r>
      <w:r w:rsidRPr="00E60984">
        <w:rPr>
          <w:lang w:val="en-CA"/>
        </w:rPr>
        <w:t xml:space="preserve">to hold onto their account until the </w:t>
      </w:r>
      <w:r w:rsidR="00AC0169">
        <w:rPr>
          <w:rFonts w:cs="Arial"/>
          <w:lang w:val="en-CA"/>
        </w:rPr>
        <w:t>[</w:t>
      </w:r>
      <w:r w:rsidRPr="00E60984">
        <w:rPr>
          <w:lang w:val="en-CA"/>
        </w:rPr>
        <w:t>BEI</w:t>
      </w:r>
      <w:r w:rsidR="00AC0169">
        <w:rPr>
          <w:rFonts w:cs="Arial"/>
          <w:lang w:val="en-CA"/>
        </w:rPr>
        <w:t>]</w:t>
      </w:r>
      <w:r w:rsidRPr="00E60984">
        <w:rPr>
          <w:lang w:val="en-CA"/>
        </w:rPr>
        <w:t xml:space="preserve"> makes a determination”;</w:t>
      </w:r>
      <w:r w:rsidRPr="00E60984">
        <w:rPr>
          <w:rStyle w:val="Appelnotedebasdep"/>
          <w:lang w:val="en-CA"/>
        </w:rPr>
        <w:footnoteReference w:id="59"/>
      </w:r>
      <w:r w:rsidR="00DE2A80" w:rsidRPr="00E60984">
        <w:rPr>
          <w:lang w:val="en-CA"/>
        </w:rPr>
        <w:t xml:space="preserve">  </w:t>
      </w:r>
    </w:p>
    <w:p w14:paraId="34971422" w14:textId="11648B24" w:rsidR="00A17C43" w:rsidRPr="00E60984" w:rsidRDefault="008D3AF9" w:rsidP="005F15BF">
      <w:pPr>
        <w:pStyle w:val="Paragraphe"/>
        <w:numPr>
          <w:ilvl w:val="0"/>
          <w:numId w:val="0"/>
        </w:numPr>
        <w:spacing w:line="240" w:lineRule="auto"/>
        <w:ind w:left="720"/>
        <w:rPr>
          <w:lang w:val="en-CA"/>
        </w:rPr>
      </w:pPr>
      <w:r w:rsidRPr="00E60984">
        <w:rPr>
          <w:lang w:val="en-CA"/>
        </w:rPr>
        <w:t xml:space="preserve">- to this end, the judge decided to issue a declaratory order that </w:t>
      </w:r>
      <w:r w:rsidR="00AC0169" w:rsidRPr="00E60984">
        <w:rPr>
          <w:rFonts w:cs="Arial"/>
          <w:lang w:val="en-CA"/>
        </w:rPr>
        <w:t>[</w:t>
      </w:r>
      <w:r w:rsidR="00AC0169" w:rsidRPr="00E60984">
        <w:rPr>
          <w:rFonts w:cs="Arial"/>
          <w:smallCaps/>
          <w:lang w:val="en-CA"/>
        </w:rPr>
        <w:t>translation</w:t>
      </w:r>
      <w:r w:rsidR="00AC0169" w:rsidRPr="00E60984">
        <w:rPr>
          <w:rFonts w:cs="Arial"/>
          <w:lang w:val="en-CA"/>
        </w:rPr>
        <w:t>]</w:t>
      </w:r>
      <w:r w:rsidR="00AC0169" w:rsidRPr="00E60984">
        <w:rPr>
          <w:lang w:val="en-CA"/>
        </w:rPr>
        <w:t xml:space="preserve"> </w:t>
      </w:r>
      <w:r w:rsidRPr="00E60984">
        <w:rPr>
          <w:lang w:val="en-CA"/>
        </w:rPr>
        <w:t xml:space="preserve">“the police force </w:t>
      </w:r>
      <w:r w:rsidR="00AC0169">
        <w:rPr>
          <w:lang w:val="en-CA"/>
        </w:rPr>
        <w:t xml:space="preserve">director </w:t>
      </w:r>
      <w:r w:rsidRPr="00E60984">
        <w:rPr>
          <w:lang w:val="en-CA"/>
        </w:rPr>
        <w:t xml:space="preserve">cannot submit the police officers’ accounts before the director has been informed of their status by the </w:t>
      </w:r>
      <w:r w:rsidR="00F82FF4">
        <w:rPr>
          <w:lang w:val="en-CA"/>
        </w:rPr>
        <w:t>principal</w:t>
      </w:r>
      <w:r w:rsidRPr="00E60984">
        <w:rPr>
          <w:lang w:val="en-CA"/>
        </w:rPr>
        <w:t xml:space="preserve"> (</w:t>
      </w:r>
      <w:r w:rsidR="00AC0169">
        <w:rPr>
          <w:rFonts w:cs="Arial"/>
          <w:lang w:val="en-CA"/>
        </w:rPr>
        <w:t>[</w:t>
      </w:r>
      <w:r w:rsidRPr="00E60984">
        <w:rPr>
          <w:lang w:val="en-CA"/>
        </w:rPr>
        <w:t>BEI</w:t>
      </w:r>
      <w:r w:rsidR="00AC0169">
        <w:rPr>
          <w:rFonts w:cs="Arial"/>
          <w:lang w:val="en-CA"/>
        </w:rPr>
        <w:t>]</w:t>
      </w:r>
      <w:r w:rsidRPr="00E60984">
        <w:rPr>
          <w:lang w:val="en-CA"/>
        </w:rPr>
        <w:t xml:space="preserve">) investigator and cannot submit the account of a police officer </w:t>
      </w:r>
      <w:r w:rsidRPr="00E60984">
        <w:rPr>
          <w:i/>
          <w:lang w:val="en-CA"/>
        </w:rPr>
        <w:t>involved</w:t>
      </w:r>
      <w:r w:rsidRPr="00E60984">
        <w:rPr>
          <w:lang w:val="en-CA"/>
        </w:rPr>
        <w:t>”.</w:t>
      </w:r>
      <w:r w:rsidRPr="00E60984">
        <w:rPr>
          <w:rStyle w:val="Appelnotedebasdep"/>
          <w:lang w:val="en-CA"/>
        </w:rPr>
        <w:footnoteReference w:id="60"/>
      </w:r>
    </w:p>
    <w:p w14:paraId="22EC306C" w14:textId="3B3C2B69" w:rsidR="00A17C43" w:rsidRPr="00E60984" w:rsidRDefault="008D3AF9" w:rsidP="001F04E1">
      <w:pPr>
        <w:pStyle w:val="Paragraphe"/>
        <w:numPr>
          <w:ilvl w:val="0"/>
          <w:numId w:val="0"/>
        </w:numPr>
        <w:spacing w:before="240" w:line="240" w:lineRule="auto"/>
        <w:rPr>
          <w:lang w:val="en-CA"/>
        </w:rPr>
      </w:pPr>
      <w:r w:rsidRPr="00E60984">
        <w:rPr>
          <w:b/>
          <w:bCs/>
          <w:u w:val="single"/>
          <w:lang w:val="en-CA"/>
        </w:rPr>
        <w:lastRenderedPageBreak/>
        <w:t>ISSUES ON APPEAL</w:t>
      </w:r>
    </w:p>
    <w:p w14:paraId="5A0A716E" w14:textId="4C6BC20D" w:rsidR="00A17C43" w:rsidRPr="00E60984" w:rsidRDefault="005534A4" w:rsidP="005F15BF">
      <w:pPr>
        <w:pStyle w:val="Paragraphe"/>
        <w:spacing w:line="240" w:lineRule="auto"/>
        <w:rPr>
          <w:lang w:val="en-CA"/>
        </w:rPr>
      </w:pPr>
      <w:r w:rsidRPr="00E60984">
        <w:rPr>
          <w:lang w:val="en-CA"/>
        </w:rPr>
        <w:t>The AGQ raises four issues on appeal, worded as follows:</w:t>
      </w:r>
      <w:r w:rsidRPr="00E60984">
        <w:rPr>
          <w:rStyle w:val="Appelnotedebasdep"/>
          <w:lang w:val="en-CA"/>
        </w:rPr>
        <w:footnoteReference w:id="61"/>
      </w:r>
    </w:p>
    <w:p w14:paraId="5DAE6CC4" w14:textId="19BA2565" w:rsidR="00A17C43" w:rsidRPr="00E60984" w:rsidRDefault="005534A4" w:rsidP="005F15BF">
      <w:pPr>
        <w:pStyle w:val="Paragraphe"/>
        <w:numPr>
          <w:ilvl w:val="0"/>
          <w:numId w:val="20"/>
        </w:numPr>
        <w:spacing w:line="240" w:lineRule="auto"/>
        <w:ind w:left="1797" w:hanging="357"/>
        <w:rPr>
          <w:lang w:val="en-CA"/>
        </w:rPr>
      </w:pPr>
      <w:r w:rsidRPr="00E60984">
        <w:rPr>
          <w:lang w:val="en-CA"/>
        </w:rPr>
        <w:t xml:space="preserve">Did the trial judge err by failing to conduct a constitutional analysis </w:t>
      </w:r>
      <w:r w:rsidR="00F82FF4">
        <w:rPr>
          <w:lang w:val="en-CA"/>
        </w:rPr>
        <w:t xml:space="preserve">under </w:t>
      </w:r>
      <w:r w:rsidRPr="00E60984">
        <w:rPr>
          <w:lang w:val="en-CA"/>
        </w:rPr>
        <w:t xml:space="preserve">section 7 of the </w:t>
      </w:r>
      <w:r w:rsidRPr="00E60984">
        <w:rPr>
          <w:i/>
          <w:lang w:val="en-CA"/>
        </w:rPr>
        <w:t>Canadian Charter</w:t>
      </w:r>
      <w:r w:rsidRPr="00E60984">
        <w:rPr>
          <w:lang w:val="en-CA"/>
        </w:rPr>
        <w:t xml:space="preserve"> </w:t>
      </w:r>
      <w:r w:rsidR="004B7F16">
        <w:rPr>
          <w:lang w:val="en-CA"/>
        </w:rPr>
        <w:t>when</w:t>
      </w:r>
      <w:r w:rsidR="004B7F16" w:rsidRPr="00E60984">
        <w:rPr>
          <w:lang w:val="en-CA"/>
        </w:rPr>
        <w:t xml:space="preserve"> </w:t>
      </w:r>
      <w:r w:rsidRPr="00E60984">
        <w:rPr>
          <w:lang w:val="en-CA"/>
        </w:rPr>
        <w:t>finding that s</w:t>
      </w:r>
      <w:r w:rsidR="00F82FF4">
        <w:rPr>
          <w:lang w:val="en-CA"/>
        </w:rPr>
        <w:t>ub</w:t>
      </w:r>
      <w:r w:rsidRPr="00E60984">
        <w:rPr>
          <w:lang w:val="en-CA"/>
        </w:rPr>
        <w:t xml:space="preserve">paragraph </w:t>
      </w:r>
      <w:r w:rsidR="00703ECD">
        <w:rPr>
          <w:lang w:val="en-CA"/>
        </w:rPr>
        <w:t>(</w:t>
      </w:r>
      <w:r w:rsidRPr="00E60984">
        <w:rPr>
          <w:lang w:val="en-CA"/>
        </w:rPr>
        <w:t>2</w:t>
      </w:r>
      <w:r w:rsidR="00703ECD">
        <w:rPr>
          <w:lang w:val="en-CA"/>
        </w:rPr>
        <w:t>)</w:t>
      </w:r>
      <w:r w:rsidRPr="00E60984">
        <w:rPr>
          <w:lang w:val="en-CA"/>
        </w:rPr>
        <w:t xml:space="preserve"> of the first paragraph of section 1 of the </w:t>
      </w:r>
      <w:r w:rsidRPr="00E60984">
        <w:rPr>
          <w:i/>
          <w:lang w:val="en-CA"/>
        </w:rPr>
        <w:t>Regulation</w:t>
      </w:r>
      <w:r w:rsidRPr="00E60984">
        <w:rPr>
          <w:lang w:val="en-CA"/>
        </w:rPr>
        <w:t xml:space="preserve"> </w:t>
      </w:r>
      <w:r w:rsidR="00F82FF4">
        <w:rPr>
          <w:rFonts w:cs="Arial"/>
          <w:lang w:val="en-CA"/>
        </w:rPr>
        <w:t>[</w:t>
      </w:r>
      <w:r w:rsidRPr="00E60984">
        <w:rPr>
          <w:lang w:val="en-CA"/>
        </w:rPr>
        <w:t>obligation to draw up an account and submit it to the BEI</w:t>
      </w:r>
      <w:r w:rsidR="00F82FF4">
        <w:rPr>
          <w:rFonts w:cs="Arial"/>
          <w:lang w:val="en-CA"/>
        </w:rPr>
        <w:t>]</w:t>
      </w:r>
      <w:r w:rsidRPr="00E60984">
        <w:rPr>
          <w:lang w:val="en-CA"/>
        </w:rPr>
        <w:t xml:space="preserve"> infringes on the protection against self-incrimination?</w:t>
      </w:r>
    </w:p>
    <w:p w14:paraId="078F72F3" w14:textId="7D78DE84" w:rsidR="00A17C43" w:rsidRPr="00E60984" w:rsidRDefault="005534A4" w:rsidP="005F15BF">
      <w:pPr>
        <w:pStyle w:val="Paragraphe"/>
        <w:numPr>
          <w:ilvl w:val="0"/>
          <w:numId w:val="20"/>
        </w:numPr>
        <w:spacing w:line="240" w:lineRule="auto"/>
        <w:ind w:left="1797" w:hanging="357"/>
        <w:rPr>
          <w:lang w:val="en-CA"/>
        </w:rPr>
      </w:pPr>
      <w:r w:rsidRPr="00E60984">
        <w:rPr>
          <w:lang w:val="en-CA"/>
        </w:rPr>
        <w:t xml:space="preserve">Did the trial judge err by failing to </w:t>
      </w:r>
      <w:r w:rsidR="00F82FF4">
        <w:rPr>
          <w:lang w:val="en-CA"/>
        </w:rPr>
        <w:t xml:space="preserve">conduct an analysis under </w:t>
      </w:r>
      <w:r w:rsidRPr="00E60984">
        <w:rPr>
          <w:lang w:val="en-CA"/>
        </w:rPr>
        <w:t xml:space="preserve">section 1 of the </w:t>
      </w:r>
      <w:r w:rsidRPr="00E60984">
        <w:rPr>
          <w:i/>
          <w:lang w:val="en-CA"/>
        </w:rPr>
        <w:t>Canadian Charter</w:t>
      </w:r>
      <w:r w:rsidRPr="00E60984">
        <w:rPr>
          <w:lang w:val="en-CA"/>
        </w:rPr>
        <w:t>?</w:t>
      </w:r>
    </w:p>
    <w:p w14:paraId="25397C4B" w14:textId="27C58849" w:rsidR="00A17C43" w:rsidRPr="00E60984" w:rsidRDefault="005534A4" w:rsidP="005F15BF">
      <w:pPr>
        <w:pStyle w:val="Paragraphe"/>
        <w:numPr>
          <w:ilvl w:val="0"/>
          <w:numId w:val="20"/>
        </w:numPr>
        <w:spacing w:line="240" w:lineRule="auto"/>
        <w:ind w:left="1797" w:hanging="357"/>
        <w:rPr>
          <w:lang w:val="en-CA"/>
        </w:rPr>
      </w:pPr>
      <w:r w:rsidRPr="00E60984">
        <w:rPr>
          <w:lang w:val="en-CA"/>
        </w:rPr>
        <w:t xml:space="preserve">Did the trial judge </w:t>
      </w:r>
      <w:r w:rsidR="00D70388">
        <w:rPr>
          <w:lang w:val="en-CA"/>
        </w:rPr>
        <w:t xml:space="preserve">err </w:t>
      </w:r>
      <w:r w:rsidRPr="00E60984">
        <w:rPr>
          <w:lang w:val="en-CA"/>
        </w:rPr>
        <w:t xml:space="preserve">by preventing the BEI from receiving and keeping documents </w:t>
      </w:r>
      <w:r w:rsidR="004B7F16">
        <w:rPr>
          <w:lang w:val="en-CA"/>
        </w:rPr>
        <w:t>other than</w:t>
      </w:r>
      <w:r w:rsidR="00D70388">
        <w:rPr>
          <w:lang w:val="en-CA"/>
        </w:rPr>
        <w:t xml:space="preserve"> </w:t>
      </w:r>
      <w:r w:rsidRPr="00E60984">
        <w:rPr>
          <w:lang w:val="en-CA"/>
        </w:rPr>
        <w:t>the account?</w:t>
      </w:r>
    </w:p>
    <w:p w14:paraId="2961FC93" w14:textId="73697A29" w:rsidR="00A17C43" w:rsidRPr="00E60984" w:rsidRDefault="005534A4" w:rsidP="005F15BF">
      <w:pPr>
        <w:pStyle w:val="Paragraphe"/>
        <w:numPr>
          <w:ilvl w:val="0"/>
          <w:numId w:val="20"/>
        </w:numPr>
        <w:spacing w:line="240" w:lineRule="auto"/>
        <w:ind w:left="1797" w:hanging="357"/>
        <w:rPr>
          <w:lang w:val="en-CA"/>
        </w:rPr>
      </w:pPr>
      <w:r w:rsidRPr="00E60984">
        <w:rPr>
          <w:lang w:val="en-CA"/>
        </w:rPr>
        <w:t>Did the trial judge err by concluding that police officers have the right to silen</w:t>
      </w:r>
      <w:r w:rsidR="006A7004" w:rsidRPr="00E60984">
        <w:rPr>
          <w:lang w:val="en-CA"/>
        </w:rPr>
        <w:t>ce</w:t>
      </w:r>
      <w:r w:rsidRPr="00E60984">
        <w:rPr>
          <w:lang w:val="en-CA"/>
        </w:rPr>
        <w:t xml:space="preserve"> when meeting with BEI investigators and that they should be cautioned? </w:t>
      </w:r>
    </w:p>
    <w:p w14:paraId="2F235724" w14:textId="2D12B1C0" w:rsidR="00A17C43" w:rsidRPr="00E60984" w:rsidRDefault="005534A4" w:rsidP="001F04E1">
      <w:pPr>
        <w:pStyle w:val="Paragraphe"/>
        <w:spacing w:before="240" w:line="240" w:lineRule="auto"/>
        <w:rPr>
          <w:lang w:val="en-CA"/>
        </w:rPr>
      </w:pPr>
      <w:r w:rsidRPr="00E60984">
        <w:rPr>
          <w:lang w:val="en-CA"/>
        </w:rPr>
        <w:t>The incidental appellants raise three other issues worded as follows:</w:t>
      </w:r>
      <w:r w:rsidRPr="00E60984">
        <w:rPr>
          <w:rStyle w:val="Appelnotedebasdep"/>
          <w:lang w:val="en-CA"/>
        </w:rPr>
        <w:footnoteReference w:id="62"/>
      </w:r>
    </w:p>
    <w:p w14:paraId="79D2BB58" w14:textId="4DE4E511" w:rsidR="00A17C43" w:rsidRPr="00E60984" w:rsidRDefault="005534A4" w:rsidP="005F15BF">
      <w:pPr>
        <w:pStyle w:val="Paragraphe"/>
        <w:numPr>
          <w:ilvl w:val="0"/>
          <w:numId w:val="20"/>
        </w:numPr>
        <w:spacing w:line="240" w:lineRule="auto"/>
        <w:ind w:left="1797" w:hanging="357"/>
        <w:rPr>
          <w:lang w:val="en-CA"/>
        </w:rPr>
      </w:pPr>
      <w:bookmarkStart w:id="15" w:name="_Hlk151540823"/>
      <w:r w:rsidRPr="00E60984">
        <w:rPr>
          <w:lang w:val="en-CA"/>
        </w:rPr>
        <w:t xml:space="preserve">Did the trial judge err by refusing to find and, accordingly, declare that subparagraphs </w:t>
      </w:r>
      <w:r w:rsidR="00703ECD">
        <w:rPr>
          <w:lang w:val="en-CA"/>
        </w:rPr>
        <w:t>(</w:t>
      </w:r>
      <w:r w:rsidRPr="00E60984">
        <w:rPr>
          <w:lang w:val="en-CA"/>
        </w:rPr>
        <w:t>1</w:t>
      </w:r>
      <w:r w:rsidR="00703ECD">
        <w:rPr>
          <w:lang w:val="en-CA"/>
        </w:rPr>
        <w:t>)</w:t>
      </w:r>
      <w:r w:rsidRPr="00E60984">
        <w:rPr>
          <w:lang w:val="en-CA"/>
        </w:rPr>
        <w:t xml:space="preserve">, </w:t>
      </w:r>
      <w:r w:rsidR="00703ECD">
        <w:rPr>
          <w:lang w:val="en-CA"/>
        </w:rPr>
        <w:t>(</w:t>
      </w:r>
      <w:r w:rsidRPr="00E60984">
        <w:rPr>
          <w:lang w:val="en-CA"/>
        </w:rPr>
        <w:t>2</w:t>
      </w:r>
      <w:r w:rsidR="00703ECD">
        <w:rPr>
          <w:lang w:val="en-CA"/>
        </w:rPr>
        <w:t>)</w:t>
      </w:r>
      <w:r w:rsidRPr="00E60984">
        <w:rPr>
          <w:lang w:val="en-CA"/>
        </w:rPr>
        <w:t xml:space="preserve">, and </w:t>
      </w:r>
      <w:r w:rsidR="00703ECD">
        <w:rPr>
          <w:lang w:val="en-CA"/>
        </w:rPr>
        <w:t>(</w:t>
      </w:r>
      <w:r w:rsidRPr="00E60984">
        <w:rPr>
          <w:lang w:val="en-CA"/>
        </w:rPr>
        <w:t>3</w:t>
      </w:r>
      <w:r w:rsidR="00703ECD">
        <w:rPr>
          <w:lang w:val="en-CA"/>
        </w:rPr>
        <w:t>)</w:t>
      </w:r>
      <w:r w:rsidRPr="00E60984">
        <w:rPr>
          <w:lang w:val="en-CA"/>
        </w:rPr>
        <w:t xml:space="preserve"> of the first paragraph of section 1 of the </w:t>
      </w:r>
      <w:r w:rsidRPr="00E60984">
        <w:rPr>
          <w:i/>
          <w:lang w:val="en-CA"/>
        </w:rPr>
        <w:t>Regulation</w:t>
      </w:r>
      <w:r w:rsidRPr="00E60984">
        <w:rPr>
          <w:lang w:val="en-CA"/>
        </w:rPr>
        <w:t xml:space="preserve"> </w:t>
      </w:r>
      <w:r w:rsidR="00703ECD">
        <w:rPr>
          <w:rFonts w:cs="Arial"/>
          <w:lang w:val="en-CA"/>
        </w:rPr>
        <w:t>[</w:t>
      </w:r>
      <w:r w:rsidRPr="00E60984">
        <w:rPr>
          <w:lang w:val="en-CA"/>
        </w:rPr>
        <w:t>obligation by police officers to withdraw from the scene of the occurrence, obligation to draw up an account and submit it to the BEI, and obligation to meet with BEI investigators</w:t>
      </w:r>
      <w:r w:rsidR="00703ECD">
        <w:rPr>
          <w:rFonts w:cs="Arial"/>
          <w:lang w:val="en-CA"/>
        </w:rPr>
        <w:t>]</w:t>
      </w:r>
      <w:r w:rsidRPr="00E60984">
        <w:rPr>
          <w:lang w:val="en-CA"/>
        </w:rPr>
        <w:t xml:space="preserve">, and subparagraph (4) of the first paragraph of section 2 </w:t>
      </w:r>
      <w:r w:rsidR="00703ECD">
        <w:rPr>
          <w:rFonts w:cs="Arial"/>
          <w:lang w:val="en-CA"/>
        </w:rPr>
        <w:t>[</w:t>
      </w:r>
      <w:r w:rsidRPr="00E60984">
        <w:rPr>
          <w:lang w:val="en-CA"/>
        </w:rPr>
        <w:t>obligation of the director of the police force involved to give BEI investigators any document in connection with the occurrence</w:t>
      </w:r>
      <w:r w:rsidR="00703ECD">
        <w:rPr>
          <w:rFonts w:cs="Arial"/>
          <w:lang w:val="en-CA"/>
        </w:rPr>
        <w:t>]</w:t>
      </w:r>
      <w:r w:rsidRPr="00E60984">
        <w:rPr>
          <w:lang w:val="en-CA"/>
        </w:rPr>
        <w:t xml:space="preserve">, and section 3 of the </w:t>
      </w:r>
      <w:r w:rsidRPr="00703ECD">
        <w:rPr>
          <w:i/>
          <w:iCs/>
          <w:lang w:val="en-CA"/>
        </w:rPr>
        <w:t>Regulation</w:t>
      </w:r>
      <w:r w:rsidRPr="00E60984">
        <w:rPr>
          <w:lang w:val="en-CA"/>
        </w:rPr>
        <w:t xml:space="preserve"> </w:t>
      </w:r>
      <w:r w:rsidR="00703ECD">
        <w:rPr>
          <w:rFonts w:cs="Arial"/>
          <w:lang w:val="en-CA"/>
        </w:rPr>
        <w:t>[</w:t>
      </w:r>
      <w:r w:rsidRPr="00E60984">
        <w:rPr>
          <w:lang w:val="en-CA"/>
        </w:rPr>
        <w:t>precedence of BEI investigation over other parallel investigations</w:t>
      </w:r>
      <w:r w:rsidR="00703ECD">
        <w:rPr>
          <w:rFonts w:cs="Arial"/>
          <w:lang w:val="en-CA"/>
        </w:rPr>
        <w:t>]</w:t>
      </w:r>
      <w:r w:rsidRPr="00E60984">
        <w:rPr>
          <w:lang w:val="en-CA"/>
        </w:rPr>
        <w:t xml:space="preserve">, fall within Parliament’s exclusive jurisdiction over criminal law and procedure under both the </w:t>
      </w:r>
      <w:r w:rsidRPr="00E60984">
        <w:rPr>
          <w:i/>
          <w:lang w:val="en-CA"/>
        </w:rPr>
        <w:t>Constitution Act, 1867</w:t>
      </w:r>
      <w:r w:rsidRPr="00E60984">
        <w:rPr>
          <w:lang w:val="en-CA"/>
        </w:rPr>
        <w:t xml:space="preserve"> and the common law?</w:t>
      </w:r>
    </w:p>
    <w:p w14:paraId="246A12CF" w14:textId="2285CD15" w:rsidR="00A17C43" w:rsidRPr="00E60984" w:rsidRDefault="005534A4" w:rsidP="005F15BF">
      <w:pPr>
        <w:pStyle w:val="Paragraphe"/>
        <w:numPr>
          <w:ilvl w:val="0"/>
          <w:numId w:val="20"/>
        </w:numPr>
        <w:spacing w:line="240" w:lineRule="auto"/>
        <w:ind w:left="1797" w:hanging="357"/>
        <w:rPr>
          <w:lang w:val="en-CA"/>
        </w:rPr>
      </w:pPr>
      <w:bookmarkStart w:id="16" w:name="_Hlk154478438"/>
      <w:bookmarkEnd w:id="15"/>
      <w:r w:rsidRPr="00E60984">
        <w:rPr>
          <w:lang w:val="en-CA"/>
        </w:rPr>
        <w:t xml:space="preserve">Did the trial judge err by refusing to find that section 3 of the </w:t>
      </w:r>
      <w:r w:rsidRPr="00E60984">
        <w:rPr>
          <w:i/>
          <w:lang w:val="en-CA"/>
        </w:rPr>
        <w:t>Regulation</w:t>
      </w:r>
      <w:r w:rsidRPr="00E60984">
        <w:rPr>
          <w:lang w:val="en-CA"/>
        </w:rPr>
        <w:t xml:space="preserve"> </w:t>
      </w:r>
      <w:r w:rsidR="00DE1081">
        <w:rPr>
          <w:rFonts w:cs="Arial"/>
          <w:lang w:val="en-CA"/>
        </w:rPr>
        <w:t>[</w:t>
      </w:r>
      <w:r w:rsidRPr="00E60984">
        <w:rPr>
          <w:lang w:val="en-CA"/>
        </w:rPr>
        <w:t>precedence of BEI investigation over other parallel investigations</w:t>
      </w:r>
      <w:r w:rsidR="00DE1081">
        <w:rPr>
          <w:rFonts w:cs="Arial"/>
          <w:lang w:val="en-CA"/>
        </w:rPr>
        <w:t>]</w:t>
      </w:r>
      <w:r w:rsidRPr="00E60984">
        <w:rPr>
          <w:lang w:val="en-CA"/>
        </w:rPr>
        <w:t xml:space="preserve"> and subparagraph (1) of the first paragraph of section 1 of the </w:t>
      </w:r>
      <w:r w:rsidRPr="00E60984">
        <w:rPr>
          <w:i/>
          <w:lang w:val="en-CA"/>
        </w:rPr>
        <w:t>Regulation</w:t>
      </w:r>
      <w:r w:rsidRPr="00E60984">
        <w:rPr>
          <w:lang w:val="en-CA"/>
        </w:rPr>
        <w:t xml:space="preserve"> </w:t>
      </w:r>
      <w:r w:rsidR="00DE1081">
        <w:rPr>
          <w:rFonts w:cs="Arial"/>
          <w:lang w:val="en-CA"/>
        </w:rPr>
        <w:t>[</w:t>
      </w:r>
      <w:r w:rsidRPr="00E60984">
        <w:rPr>
          <w:lang w:val="en-CA"/>
        </w:rPr>
        <w:t>obligation to withdraw from the scene of the occurrence</w:t>
      </w:r>
      <w:r w:rsidR="00DE1081">
        <w:rPr>
          <w:rFonts w:cs="Arial"/>
          <w:lang w:val="en-CA"/>
        </w:rPr>
        <w:t>]</w:t>
      </w:r>
      <w:r w:rsidRPr="00E60984">
        <w:rPr>
          <w:lang w:val="en-CA"/>
        </w:rPr>
        <w:t xml:space="preserve"> are </w:t>
      </w:r>
      <w:r w:rsidRPr="00E60984">
        <w:rPr>
          <w:i/>
          <w:iCs/>
          <w:lang w:val="en-CA"/>
        </w:rPr>
        <w:t>ultra vires</w:t>
      </w:r>
      <w:r w:rsidRPr="00E60984">
        <w:rPr>
          <w:lang w:val="en-CA"/>
        </w:rPr>
        <w:t xml:space="preserve"> the regulatory powers granted to the government under section 289.4 of the </w:t>
      </w:r>
      <w:r w:rsidRPr="00E60984">
        <w:rPr>
          <w:i/>
          <w:lang w:val="en-CA"/>
        </w:rPr>
        <w:t>Police Act</w:t>
      </w:r>
      <w:r w:rsidRPr="00E60984">
        <w:rPr>
          <w:lang w:val="en-CA"/>
        </w:rPr>
        <w:t xml:space="preserve">, inconsistent with section 48 of the </w:t>
      </w:r>
      <w:r w:rsidRPr="00E60984">
        <w:rPr>
          <w:i/>
          <w:lang w:val="en-CA"/>
        </w:rPr>
        <w:t>Police Act</w:t>
      </w:r>
      <w:r w:rsidRPr="00E60984">
        <w:rPr>
          <w:lang w:val="en-CA"/>
        </w:rPr>
        <w:t xml:space="preserve">, and violate </w:t>
      </w:r>
      <w:r w:rsidRPr="00E60984">
        <w:rPr>
          <w:lang w:val="en-CA"/>
        </w:rPr>
        <w:lastRenderedPageBreak/>
        <w:t>the rules governing the independence of police forces in relation to the executive branch of the government and the rule of law?</w:t>
      </w:r>
    </w:p>
    <w:bookmarkEnd w:id="16"/>
    <w:p w14:paraId="14606226" w14:textId="7CB57C0D" w:rsidR="00A17C43" w:rsidRPr="00E60984" w:rsidRDefault="005534A4" w:rsidP="005F15BF">
      <w:pPr>
        <w:pStyle w:val="Paragraphe"/>
        <w:numPr>
          <w:ilvl w:val="0"/>
          <w:numId w:val="20"/>
        </w:numPr>
        <w:spacing w:line="240" w:lineRule="auto"/>
        <w:ind w:left="1797" w:hanging="357"/>
        <w:rPr>
          <w:lang w:val="en-CA"/>
        </w:rPr>
      </w:pPr>
      <w:r w:rsidRPr="00E60984">
        <w:rPr>
          <w:lang w:val="en-CA"/>
        </w:rPr>
        <w:t xml:space="preserve">Did the trial judge err </w:t>
      </w:r>
      <w:r w:rsidR="00DE1081">
        <w:rPr>
          <w:lang w:val="en-CA"/>
        </w:rPr>
        <w:t xml:space="preserve">in law </w:t>
      </w:r>
      <w:r w:rsidRPr="00E60984">
        <w:rPr>
          <w:lang w:val="en-CA"/>
        </w:rPr>
        <w:t>by refusing to declare that any BEI directive prohibiting the police officer involved or witness police officer from using the call</w:t>
      </w:r>
      <w:r w:rsidR="00AB4F70">
        <w:rPr>
          <w:lang w:val="en-CA"/>
        </w:rPr>
        <w:t>ing</w:t>
      </w:r>
      <w:r w:rsidRPr="00E60984">
        <w:rPr>
          <w:lang w:val="en-CA"/>
        </w:rPr>
        <w:t xml:space="preserve"> card when drawing up an account under subparagraph (2) of the first paragraph of section 1 of the </w:t>
      </w:r>
      <w:r w:rsidRPr="00E60984">
        <w:rPr>
          <w:i/>
          <w:lang w:val="en-CA"/>
        </w:rPr>
        <w:t>Regulation</w:t>
      </w:r>
      <w:r w:rsidRPr="00E60984">
        <w:rPr>
          <w:lang w:val="en-CA"/>
        </w:rPr>
        <w:t xml:space="preserve"> is invalid and of no force or </w:t>
      </w:r>
      <w:r w:rsidR="00D70388" w:rsidRPr="00E60984">
        <w:rPr>
          <w:lang w:val="en-CA"/>
        </w:rPr>
        <w:t>effect</w:t>
      </w:r>
      <w:r w:rsidRPr="00E60984">
        <w:rPr>
          <w:lang w:val="en-CA"/>
        </w:rPr>
        <w:t>?</w:t>
      </w:r>
    </w:p>
    <w:p w14:paraId="50A20234" w14:textId="2C591D3E" w:rsidR="00A17C43" w:rsidRPr="00E60984" w:rsidRDefault="005534A4" w:rsidP="005F15BF">
      <w:pPr>
        <w:pStyle w:val="Paragraphe"/>
        <w:spacing w:line="240" w:lineRule="auto"/>
        <w:rPr>
          <w:lang w:val="en-CA"/>
        </w:rPr>
      </w:pPr>
      <w:r w:rsidRPr="00E60984">
        <w:rPr>
          <w:lang w:val="en-CA"/>
        </w:rPr>
        <w:t xml:space="preserve">These issues should be grouped together and dealt with in three </w:t>
      </w:r>
      <w:r w:rsidR="00DE1081">
        <w:rPr>
          <w:lang w:val="en-CA"/>
        </w:rPr>
        <w:t>parts</w:t>
      </w:r>
      <w:r w:rsidRPr="00E60984">
        <w:rPr>
          <w:lang w:val="en-CA"/>
        </w:rPr>
        <w:t>:</w:t>
      </w:r>
    </w:p>
    <w:p w14:paraId="723B59C8" w14:textId="6AF0CEDE" w:rsidR="00A17C43" w:rsidRPr="00E60984" w:rsidRDefault="005534A4" w:rsidP="005F15BF">
      <w:pPr>
        <w:pStyle w:val="Paragraphe"/>
        <w:numPr>
          <w:ilvl w:val="0"/>
          <w:numId w:val="22"/>
        </w:numPr>
        <w:spacing w:line="240" w:lineRule="auto"/>
        <w:rPr>
          <w:lang w:val="en-CA"/>
        </w:rPr>
      </w:pPr>
      <w:r w:rsidRPr="00E60984">
        <w:rPr>
          <w:u w:val="single"/>
          <w:lang w:val="en-CA"/>
        </w:rPr>
        <w:t>first</w:t>
      </w:r>
      <w:r w:rsidRPr="00E60984">
        <w:rPr>
          <w:lang w:val="en-CA"/>
        </w:rPr>
        <w:t xml:space="preserve">, </w:t>
      </w:r>
      <w:r w:rsidR="00DE1081">
        <w:rPr>
          <w:lang w:val="en-CA"/>
        </w:rPr>
        <w:t xml:space="preserve">the </w:t>
      </w:r>
      <w:r w:rsidRPr="00E60984">
        <w:rPr>
          <w:lang w:val="en-CA"/>
        </w:rPr>
        <w:t xml:space="preserve">constitutional validity of the impugned provisions under the division of powers pursuant to the </w:t>
      </w:r>
      <w:r w:rsidRPr="00E60984">
        <w:rPr>
          <w:i/>
          <w:lang w:val="en-CA"/>
        </w:rPr>
        <w:t>Constitution Act, 1867</w:t>
      </w:r>
      <w:r w:rsidRPr="00E60984">
        <w:rPr>
          <w:lang w:val="en-CA"/>
        </w:rPr>
        <w:t xml:space="preserve"> will be dealt with; this basically involves answering </w:t>
      </w:r>
      <w:r w:rsidR="00DE1081">
        <w:rPr>
          <w:lang w:val="en-CA"/>
        </w:rPr>
        <w:t xml:space="preserve">question </w:t>
      </w:r>
      <w:r w:rsidRPr="00E60984">
        <w:rPr>
          <w:lang w:val="en-CA"/>
        </w:rPr>
        <w:t xml:space="preserve">5 set out above, that is, </w:t>
      </w:r>
      <w:r w:rsidR="00DE1081">
        <w:rPr>
          <w:lang w:val="en-CA"/>
        </w:rPr>
        <w:t xml:space="preserve">to </w:t>
      </w:r>
      <w:r w:rsidRPr="00E60984">
        <w:rPr>
          <w:lang w:val="en-CA"/>
        </w:rPr>
        <w:t>determin</w:t>
      </w:r>
      <w:r w:rsidR="00DE1081">
        <w:rPr>
          <w:lang w:val="en-CA"/>
        </w:rPr>
        <w:t>e</w:t>
      </w:r>
      <w:r w:rsidRPr="00E60984">
        <w:rPr>
          <w:lang w:val="en-CA"/>
        </w:rPr>
        <w:t xml:space="preserve"> whether the impugned </w:t>
      </w:r>
      <w:r w:rsidR="006D1729">
        <w:rPr>
          <w:lang w:val="en-CA"/>
        </w:rPr>
        <w:t xml:space="preserve">regulatory </w:t>
      </w:r>
      <w:r w:rsidRPr="00E60984">
        <w:rPr>
          <w:lang w:val="en-CA"/>
        </w:rPr>
        <w:t>provisions fall under</w:t>
      </w:r>
      <w:r w:rsidR="00B961D5">
        <w:rPr>
          <w:lang w:val="en-CA"/>
        </w:rPr>
        <w:t xml:space="preserve"> the</w:t>
      </w:r>
      <w:r w:rsidRPr="00E60984">
        <w:rPr>
          <w:lang w:val="en-CA"/>
        </w:rPr>
        <w:t xml:space="preserve"> exclusive federal jurisdiction over criminal law and procedure;</w:t>
      </w:r>
      <w:r w:rsidR="00DE2A80" w:rsidRPr="00E60984">
        <w:rPr>
          <w:lang w:val="en-CA"/>
        </w:rPr>
        <w:t xml:space="preserve"> </w:t>
      </w:r>
    </w:p>
    <w:p w14:paraId="69F04624" w14:textId="09077FAB" w:rsidR="00A17C43" w:rsidRPr="00E60984" w:rsidRDefault="005534A4" w:rsidP="005F15BF">
      <w:pPr>
        <w:pStyle w:val="Paragraphe"/>
        <w:numPr>
          <w:ilvl w:val="0"/>
          <w:numId w:val="22"/>
        </w:numPr>
        <w:spacing w:line="240" w:lineRule="auto"/>
        <w:rPr>
          <w:lang w:val="en-CA"/>
        </w:rPr>
      </w:pPr>
      <w:r w:rsidRPr="00E60984">
        <w:rPr>
          <w:u w:val="single"/>
          <w:lang w:val="en-CA"/>
        </w:rPr>
        <w:t>second</w:t>
      </w:r>
      <w:r w:rsidRPr="00E60984">
        <w:rPr>
          <w:lang w:val="en-CA"/>
        </w:rPr>
        <w:t xml:space="preserve">, the </w:t>
      </w:r>
      <w:r w:rsidR="00B961D5">
        <w:rPr>
          <w:lang w:val="en-CA"/>
        </w:rPr>
        <w:t>compliance</w:t>
      </w:r>
      <w:r w:rsidR="00B961D5" w:rsidRPr="00E60984">
        <w:rPr>
          <w:lang w:val="en-CA"/>
        </w:rPr>
        <w:t xml:space="preserve"> </w:t>
      </w:r>
      <w:r w:rsidRPr="00E60984">
        <w:rPr>
          <w:lang w:val="en-CA"/>
        </w:rPr>
        <w:t>of the impugned provisions</w:t>
      </w:r>
      <w:r w:rsidR="00B961D5">
        <w:rPr>
          <w:lang w:val="en-CA"/>
        </w:rPr>
        <w:t xml:space="preserve"> of the </w:t>
      </w:r>
      <w:r w:rsidR="00B961D5" w:rsidRPr="00565A81">
        <w:rPr>
          <w:i/>
          <w:iCs/>
          <w:lang w:val="en-CA"/>
        </w:rPr>
        <w:t>Regulation</w:t>
      </w:r>
      <w:r w:rsidRPr="00E60984">
        <w:rPr>
          <w:lang w:val="en-CA"/>
        </w:rPr>
        <w:t xml:space="preserve"> with the </w:t>
      </w:r>
      <w:r w:rsidRPr="00E60984">
        <w:rPr>
          <w:i/>
          <w:lang w:val="en-CA"/>
        </w:rPr>
        <w:t>Canadian Charter</w:t>
      </w:r>
      <w:r w:rsidRPr="00E60984">
        <w:rPr>
          <w:lang w:val="en-CA"/>
        </w:rPr>
        <w:t>; this will answer questions 1 to 4 above;</w:t>
      </w:r>
      <w:r w:rsidR="00DE2A80" w:rsidRPr="00E60984">
        <w:rPr>
          <w:lang w:val="en-CA"/>
        </w:rPr>
        <w:t xml:space="preserve"> </w:t>
      </w:r>
    </w:p>
    <w:p w14:paraId="41BFAFEA" w14:textId="27212E36" w:rsidR="00A17C43" w:rsidRPr="00E60984" w:rsidRDefault="005534A4" w:rsidP="005F15BF">
      <w:pPr>
        <w:pStyle w:val="Paragraphe"/>
        <w:numPr>
          <w:ilvl w:val="0"/>
          <w:numId w:val="22"/>
        </w:numPr>
        <w:spacing w:line="240" w:lineRule="auto"/>
        <w:rPr>
          <w:lang w:val="en-CA"/>
        </w:rPr>
      </w:pPr>
      <w:r w:rsidRPr="00E60984">
        <w:rPr>
          <w:u w:val="single"/>
          <w:lang w:val="en-CA"/>
        </w:rPr>
        <w:t>last</w:t>
      </w:r>
      <w:r w:rsidRPr="00E60984">
        <w:rPr>
          <w:lang w:val="en-CA"/>
        </w:rPr>
        <w:t xml:space="preserve">, the validity of the impugned provisions </w:t>
      </w:r>
      <w:r w:rsidR="00B961D5">
        <w:rPr>
          <w:lang w:val="en-CA"/>
        </w:rPr>
        <w:t xml:space="preserve">of the </w:t>
      </w:r>
      <w:r w:rsidR="00B961D5" w:rsidRPr="00565A81">
        <w:rPr>
          <w:i/>
          <w:iCs/>
          <w:lang w:val="en-CA"/>
        </w:rPr>
        <w:t>Regulation</w:t>
      </w:r>
      <w:r w:rsidR="00B961D5">
        <w:rPr>
          <w:lang w:val="en-CA"/>
        </w:rPr>
        <w:t xml:space="preserve"> in light of</w:t>
      </w:r>
      <w:r w:rsidRPr="00E60984">
        <w:rPr>
          <w:lang w:val="en-CA"/>
        </w:rPr>
        <w:t xml:space="preserve"> the principles of statutory interpretation and </w:t>
      </w:r>
      <w:r w:rsidR="00DE1081">
        <w:rPr>
          <w:lang w:val="en-CA"/>
        </w:rPr>
        <w:t xml:space="preserve">of </w:t>
      </w:r>
      <w:r w:rsidRPr="00E60984">
        <w:rPr>
          <w:lang w:val="en-CA"/>
        </w:rPr>
        <w:t>administrative law; questions 6 and 7 set out above will be dealt with in this last part.</w:t>
      </w:r>
    </w:p>
    <w:p w14:paraId="71CC7FDE" w14:textId="7FD94376" w:rsidR="00A17C43" w:rsidRPr="00E60984" w:rsidRDefault="005534A4" w:rsidP="00571F0E">
      <w:pPr>
        <w:pStyle w:val="Paragraphe"/>
        <w:numPr>
          <w:ilvl w:val="0"/>
          <w:numId w:val="0"/>
        </w:numPr>
        <w:spacing w:before="240" w:line="240" w:lineRule="auto"/>
        <w:rPr>
          <w:b/>
          <w:bCs/>
          <w:u w:val="single"/>
          <w:lang w:val="en-CA"/>
        </w:rPr>
      </w:pPr>
      <w:r w:rsidRPr="00E60984">
        <w:rPr>
          <w:b/>
          <w:bCs/>
          <w:u w:val="single"/>
          <w:lang w:val="en-CA"/>
        </w:rPr>
        <w:t>ANALYSIS</w:t>
      </w:r>
    </w:p>
    <w:p w14:paraId="4D525C03" w14:textId="71496DFA" w:rsidR="00A17C43" w:rsidRPr="00E60984" w:rsidRDefault="005534A4" w:rsidP="005F15BF">
      <w:pPr>
        <w:pStyle w:val="Paragraphe"/>
        <w:numPr>
          <w:ilvl w:val="0"/>
          <w:numId w:val="0"/>
        </w:numPr>
        <w:spacing w:line="240" w:lineRule="auto"/>
        <w:rPr>
          <w:b/>
          <w:bCs/>
          <w:u w:val="single"/>
          <w:lang w:val="en-CA"/>
        </w:rPr>
      </w:pPr>
      <w:r w:rsidRPr="00E60984">
        <w:rPr>
          <w:b/>
          <w:bCs/>
          <w:u w:val="single"/>
          <w:lang w:val="en-CA"/>
        </w:rPr>
        <w:t xml:space="preserve">PART ONE: DO THE IMPUGNED </w:t>
      </w:r>
      <w:r w:rsidR="006D1729">
        <w:rPr>
          <w:b/>
          <w:bCs/>
          <w:u w:val="single"/>
          <w:lang w:val="en-CA"/>
        </w:rPr>
        <w:t xml:space="preserve">REGULATORY </w:t>
      </w:r>
      <w:r w:rsidRPr="00E60984">
        <w:rPr>
          <w:b/>
          <w:bCs/>
          <w:u w:val="single"/>
          <w:lang w:val="en-CA"/>
        </w:rPr>
        <w:t>PROVISIONS FALL WITHIN</w:t>
      </w:r>
      <w:r w:rsidR="00B961D5">
        <w:rPr>
          <w:b/>
          <w:bCs/>
          <w:u w:val="single"/>
          <w:lang w:val="en-CA"/>
        </w:rPr>
        <w:t xml:space="preserve"> THE</w:t>
      </w:r>
      <w:r w:rsidRPr="00E60984">
        <w:rPr>
          <w:b/>
          <w:bCs/>
          <w:u w:val="single"/>
          <w:lang w:val="en-CA"/>
        </w:rPr>
        <w:t xml:space="preserve"> EXCLUSIVE FEDERAL JURISDICTION OVER CRIMINAL LAW AND PROCEDURE?</w:t>
      </w:r>
    </w:p>
    <w:p w14:paraId="6BA0BC60" w14:textId="7C8C450C" w:rsidR="00A17C43" w:rsidRPr="00E60984" w:rsidRDefault="00DE2A80" w:rsidP="005F15BF">
      <w:pPr>
        <w:pStyle w:val="Paragraphe"/>
        <w:numPr>
          <w:ilvl w:val="0"/>
          <w:numId w:val="0"/>
        </w:numPr>
        <w:spacing w:line="240" w:lineRule="auto"/>
        <w:rPr>
          <w:i/>
          <w:iCs/>
          <w:u w:val="single"/>
          <w:lang w:val="en-CA"/>
        </w:rPr>
      </w:pPr>
      <w:r w:rsidRPr="00E60984">
        <w:rPr>
          <w:lang w:val="en-CA"/>
        </w:rPr>
        <w:tab/>
      </w:r>
      <w:r w:rsidR="005534A4" w:rsidRPr="00E60984">
        <w:rPr>
          <w:i/>
          <w:iCs/>
          <w:u w:val="single"/>
          <w:lang w:val="en-CA"/>
        </w:rPr>
        <w:t>Positions of the parties</w:t>
      </w:r>
    </w:p>
    <w:p w14:paraId="10678E30" w14:textId="577B2BF0" w:rsidR="00A17C43" w:rsidRPr="00E60984" w:rsidRDefault="00441067" w:rsidP="005F15BF">
      <w:pPr>
        <w:pStyle w:val="Paragraphe"/>
        <w:spacing w:line="240" w:lineRule="auto"/>
        <w:rPr>
          <w:lang w:val="en-CA"/>
        </w:rPr>
      </w:pPr>
      <w:r w:rsidRPr="00E60984">
        <w:rPr>
          <w:lang w:val="en-CA"/>
        </w:rPr>
        <w:t xml:space="preserve">The incidental appellants argue that the </w:t>
      </w:r>
      <w:r w:rsidR="00E93A23">
        <w:rPr>
          <w:lang w:val="en-CA"/>
        </w:rPr>
        <w:t>provisions</w:t>
      </w:r>
      <w:r w:rsidR="00110F5B">
        <w:rPr>
          <w:lang w:val="en-CA"/>
        </w:rPr>
        <w:t xml:space="preserve"> of the </w:t>
      </w:r>
      <w:r w:rsidR="00110F5B" w:rsidRPr="00565A81">
        <w:rPr>
          <w:i/>
          <w:iCs/>
          <w:lang w:val="en-CA"/>
        </w:rPr>
        <w:t>Regulation</w:t>
      </w:r>
      <w:r w:rsidR="00E93A23">
        <w:rPr>
          <w:lang w:val="en-CA"/>
        </w:rPr>
        <w:t xml:space="preserve"> requir</w:t>
      </w:r>
      <w:r w:rsidRPr="00E60984">
        <w:rPr>
          <w:lang w:val="en-CA"/>
        </w:rPr>
        <w:t xml:space="preserve">ing police officers to withdraw from the scene of the occurrence, to draw up an account and submit it to the BEI, to meet with BEI investigators, and the obligation of the director of the police force involved to give BEI investigators any document in connection with the occurrence, like the precedence of the BEI investigation over other parallel investigations, are contrary to the criminal law </w:t>
      </w:r>
      <w:r w:rsidR="00E93A23">
        <w:rPr>
          <w:lang w:val="en-CA"/>
        </w:rPr>
        <w:t xml:space="preserve">under the </w:t>
      </w:r>
      <w:r w:rsidR="00E93A23" w:rsidRPr="00E60984">
        <w:rPr>
          <w:lang w:val="en-CA"/>
        </w:rPr>
        <w:t xml:space="preserve">common law </w:t>
      </w:r>
      <w:r w:rsidRPr="00E60984">
        <w:rPr>
          <w:lang w:val="en-CA"/>
        </w:rPr>
        <w:t xml:space="preserve">and thus unconstitutional </w:t>
      </w:r>
      <w:r w:rsidR="00E93A23">
        <w:rPr>
          <w:lang w:val="en-CA"/>
        </w:rPr>
        <w:t xml:space="preserve">because </w:t>
      </w:r>
      <w:r w:rsidRPr="00E60984">
        <w:rPr>
          <w:lang w:val="en-CA"/>
        </w:rPr>
        <w:t xml:space="preserve">they fall within criminal law or criminal procedure, </w:t>
      </w:r>
      <w:r w:rsidR="002E7A50">
        <w:rPr>
          <w:lang w:val="en-CA"/>
        </w:rPr>
        <w:t xml:space="preserve">matters </w:t>
      </w:r>
      <w:r w:rsidRPr="00E60984">
        <w:rPr>
          <w:lang w:val="en-CA"/>
        </w:rPr>
        <w:t xml:space="preserve">within Parliament’s exclusive jurisdiction under section 91(27) of the </w:t>
      </w:r>
      <w:r w:rsidRPr="00E60984">
        <w:rPr>
          <w:i/>
          <w:lang w:val="en-CA"/>
        </w:rPr>
        <w:t>Constitution Act, 1867</w:t>
      </w:r>
      <w:r w:rsidRPr="00E60984">
        <w:rPr>
          <w:lang w:val="en-CA"/>
        </w:rPr>
        <w:t>.</w:t>
      </w:r>
    </w:p>
    <w:p w14:paraId="6FC67CB5" w14:textId="17BD860E" w:rsidR="00A17C43" w:rsidRPr="00E60984" w:rsidRDefault="00441067" w:rsidP="005F15BF">
      <w:pPr>
        <w:pStyle w:val="Paragraphe"/>
        <w:spacing w:line="240" w:lineRule="auto"/>
        <w:rPr>
          <w:lang w:val="en-CA"/>
        </w:rPr>
      </w:pPr>
      <w:r w:rsidRPr="00E60984">
        <w:rPr>
          <w:lang w:val="en-CA"/>
        </w:rPr>
        <w:t xml:space="preserve">The incidental appellants do not challenge the constitutionality of the legislative scheme that </w:t>
      </w:r>
      <w:r w:rsidR="00404A7C">
        <w:rPr>
          <w:lang w:val="en-CA"/>
        </w:rPr>
        <w:t xml:space="preserve">led to </w:t>
      </w:r>
      <w:r w:rsidRPr="00E60984">
        <w:rPr>
          <w:lang w:val="en-CA"/>
        </w:rPr>
        <w:t>the BEI</w:t>
      </w:r>
      <w:r w:rsidR="00404A7C">
        <w:rPr>
          <w:lang w:val="en-CA"/>
        </w:rPr>
        <w:t>’s creation</w:t>
      </w:r>
      <w:r w:rsidRPr="00E60984">
        <w:rPr>
          <w:lang w:val="en-CA"/>
        </w:rPr>
        <w:t xml:space="preserve"> or the independent investigations it conducts.</w:t>
      </w:r>
      <w:r w:rsidR="00DE2A80" w:rsidRPr="00E60984">
        <w:rPr>
          <w:lang w:val="en-CA"/>
        </w:rPr>
        <w:t xml:space="preserve"> </w:t>
      </w:r>
      <w:r w:rsidRPr="00E60984">
        <w:rPr>
          <w:lang w:val="en-CA"/>
        </w:rPr>
        <w:t xml:space="preserve">What is being </w:t>
      </w:r>
      <w:r w:rsidR="00404A7C">
        <w:rPr>
          <w:lang w:val="en-CA"/>
        </w:rPr>
        <w:t>questioned</w:t>
      </w:r>
      <w:r w:rsidRPr="00E60984">
        <w:rPr>
          <w:lang w:val="en-CA"/>
        </w:rPr>
        <w:t xml:space="preserve"> is the procedure prescribed </w:t>
      </w:r>
      <w:r w:rsidR="00404A7C">
        <w:rPr>
          <w:lang w:val="en-CA"/>
        </w:rPr>
        <w:t>by</w:t>
      </w:r>
      <w:r w:rsidRPr="00E60984">
        <w:rPr>
          <w:lang w:val="en-CA"/>
        </w:rPr>
        <w:t xml:space="preserve"> the </w:t>
      </w:r>
      <w:r w:rsidRPr="00E60984">
        <w:rPr>
          <w:i/>
          <w:lang w:val="en-CA"/>
        </w:rPr>
        <w:t>Regulation</w:t>
      </w:r>
      <w:r w:rsidRPr="00E60984">
        <w:rPr>
          <w:lang w:val="en-CA"/>
        </w:rPr>
        <w:t xml:space="preserve"> for these investigations.</w:t>
      </w:r>
      <w:r w:rsidR="00DE2A80" w:rsidRPr="00E60984">
        <w:rPr>
          <w:lang w:val="en-CA"/>
        </w:rPr>
        <w:t xml:space="preserve"> </w:t>
      </w:r>
      <w:r w:rsidRPr="00E60984">
        <w:rPr>
          <w:lang w:val="en-CA"/>
        </w:rPr>
        <w:t xml:space="preserve">In short, the incidental appellants argue that because the BEI conducts </w:t>
      </w:r>
      <w:r w:rsidR="00404A7C">
        <w:rPr>
          <w:lang w:val="en-CA"/>
        </w:rPr>
        <w:t xml:space="preserve">police </w:t>
      </w:r>
      <w:r w:rsidRPr="00E60984">
        <w:rPr>
          <w:lang w:val="en-CA"/>
        </w:rPr>
        <w:t>investigations</w:t>
      </w:r>
      <w:r w:rsidR="00110F5B">
        <w:rPr>
          <w:lang w:val="en-CA"/>
        </w:rPr>
        <w:t xml:space="preserve"> that are criminal in nature</w:t>
      </w:r>
      <w:r w:rsidRPr="00E60984">
        <w:rPr>
          <w:lang w:val="en-CA"/>
        </w:rPr>
        <w:t xml:space="preserve">, the procedure applicable to any other </w:t>
      </w:r>
      <w:r w:rsidR="00404A7C">
        <w:rPr>
          <w:lang w:val="en-CA"/>
        </w:rPr>
        <w:lastRenderedPageBreak/>
        <w:t xml:space="preserve">police </w:t>
      </w:r>
      <w:r w:rsidRPr="00E60984">
        <w:rPr>
          <w:lang w:val="en-CA"/>
        </w:rPr>
        <w:t>criminal investigation should apply.</w:t>
      </w:r>
      <w:r w:rsidR="00DE2A80" w:rsidRPr="00E60984">
        <w:rPr>
          <w:lang w:val="en-CA"/>
        </w:rPr>
        <w:t xml:space="preserve"> </w:t>
      </w:r>
      <w:r w:rsidR="00404A7C">
        <w:rPr>
          <w:lang w:val="en-CA"/>
        </w:rPr>
        <w:t>B</w:t>
      </w:r>
      <w:r w:rsidRPr="00E60984">
        <w:rPr>
          <w:lang w:val="en-CA"/>
        </w:rPr>
        <w:t xml:space="preserve">y changing the investigative procedure </w:t>
      </w:r>
      <w:r w:rsidR="00404A7C">
        <w:rPr>
          <w:lang w:val="en-CA"/>
        </w:rPr>
        <w:t xml:space="preserve">only </w:t>
      </w:r>
      <w:r w:rsidRPr="00E60984">
        <w:rPr>
          <w:lang w:val="en-CA"/>
        </w:rPr>
        <w:t xml:space="preserve">for cases where police </w:t>
      </w:r>
      <w:r w:rsidR="00404A7C">
        <w:rPr>
          <w:lang w:val="en-CA"/>
        </w:rPr>
        <w:t xml:space="preserve">officers </w:t>
      </w:r>
      <w:r w:rsidRPr="00E60984">
        <w:rPr>
          <w:lang w:val="en-CA"/>
        </w:rPr>
        <w:t>are the subject of a criminal investigation, the provincial legislat</w:t>
      </w:r>
      <w:r w:rsidR="0087677B">
        <w:rPr>
          <w:lang w:val="en-CA"/>
        </w:rPr>
        <w:t>u</w:t>
      </w:r>
      <w:r w:rsidRPr="00E60984">
        <w:rPr>
          <w:lang w:val="en-CA"/>
        </w:rPr>
        <w:t>r</w:t>
      </w:r>
      <w:r w:rsidR="0087677B">
        <w:rPr>
          <w:lang w:val="en-CA"/>
        </w:rPr>
        <w:t>e</w:t>
      </w:r>
      <w:r w:rsidRPr="00E60984">
        <w:rPr>
          <w:lang w:val="en-CA"/>
        </w:rPr>
        <w:t xml:space="preserve"> is encroaching on Parliament’s exclusive jurisdiction over criminal law and procedure to circumvent the fundamental protections </w:t>
      </w:r>
      <w:r w:rsidR="00404A7C">
        <w:rPr>
          <w:lang w:val="en-CA"/>
        </w:rPr>
        <w:t xml:space="preserve">it </w:t>
      </w:r>
      <w:r w:rsidR="00110F5B">
        <w:rPr>
          <w:lang w:val="en-CA"/>
        </w:rPr>
        <w:t>offers</w:t>
      </w:r>
      <w:r w:rsidRPr="00E60984">
        <w:rPr>
          <w:lang w:val="en-CA"/>
        </w:rPr>
        <w:t>.</w:t>
      </w:r>
      <w:r w:rsidR="00DE2A80" w:rsidRPr="00E60984">
        <w:rPr>
          <w:lang w:val="en-CA"/>
        </w:rPr>
        <w:t xml:space="preserve"> </w:t>
      </w:r>
    </w:p>
    <w:p w14:paraId="2CAB3194" w14:textId="7AB53DAA" w:rsidR="00A17C43" w:rsidRPr="00E60984" w:rsidRDefault="00441067" w:rsidP="001D0E14">
      <w:pPr>
        <w:pStyle w:val="Paragraphe"/>
        <w:spacing w:after="80" w:line="240" w:lineRule="auto"/>
        <w:rPr>
          <w:lang w:val="en-CA"/>
        </w:rPr>
      </w:pPr>
      <w:r w:rsidRPr="00E60984">
        <w:rPr>
          <w:lang w:val="en-CA"/>
        </w:rPr>
        <w:t xml:space="preserve">The incidental appellants rely primarily on </w:t>
      </w:r>
      <w:r w:rsidRPr="00E60984">
        <w:rPr>
          <w:i/>
          <w:lang w:val="en-CA"/>
        </w:rPr>
        <w:t xml:space="preserve">Starr v. </w:t>
      </w:r>
      <w:proofErr w:type="spellStart"/>
      <w:r w:rsidRPr="00E60984">
        <w:rPr>
          <w:i/>
          <w:lang w:val="en-CA"/>
        </w:rPr>
        <w:t>Houlden</w:t>
      </w:r>
      <w:proofErr w:type="spellEnd"/>
      <w:r w:rsidRPr="00E60984">
        <w:rPr>
          <w:lang w:val="en-CA"/>
        </w:rPr>
        <w:t>,</w:t>
      </w:r>
      <w:r w:rsidRPr="00E60984">
        <w:rPr>
          <w:rStyle w:val="Appelnotedebasdep"/>
          <w:lang w:val="en-CA"/>
        </w:rPr>
        <w:footnoteReference w:id="63"/>
      </w:r>
      <w:r w:rsidRPr="00E60984">
        <w:rPr>
          <w:lang w:val="en-CA"/>
        </w:rPr>
        <w:t xml:space="preserve"> where Lamer J. cited with approval the following excerpt from a judgment </w:t>
      </w:r>
      <w:r w:rsidR="00404A7C" w:rsidRPr="00E60984">
        <w:rPr>
          <w:lang w:val="en-CA"/>
        </w:rPr>
        <w:t>written by Martin J.A.</w:t>
      </w:r>
      <w:r w:rsidR="00404A7C">
        <w:rPr>
          <w:lang w:val="en-CA"/>
        </w:rPr>
        <w:t xml:space="preserve"> on behalf of</w:t>
      </w:r>
      <w:r w:rsidRPr="00E60984">
        <w:rPr>
          <w:lang w:val="en-CA"/>
        </w:rPr>
        <w:t xml:space="preserve"> the Court of Appeal for Ontario:</w:t>
      </w:r>
      <w:r w:rsidRPr="00E60984">
        <w:rPr>
          <w:rStyle w:val="Appelnotedebasdep"/>
          <w:lang w:val="en-CA"/>
        </w:rPr>
        <w:footnoteReference w:id="64"/>
      </w:r>
    </w:p>
    <w:p w14:paraId="3E99BE20" w14:textId="2CA05D1D" w:rsidR="00A17C43" w:rsidRPr="00E60984" w:rsidRDefault="00792D11" w:rsidP="001D0E14">
      <w:pPr>
        <w:pStyle w:val="Citationenretrait"/>
        <w:spacing w:after="0" w:line="240" w:lineRule="auto"/>
        <w:rPr>
          <w:lang w:val="en-CA" w:eastAsia="fr-CA"/>
        </w:rPr>
      </w:pPr>
      <w:r w:rsidRPr="00E60984">
        <w:rPr>
          <w:color w:val="000000"/>
          <w:spacing w:val="-3"/>
          <w:lang w:val="en-CA"/>
        </w:rPr>
        <w:t>Notwithstanding the overlapping between </w:t>
      </w:r>
      <w:r w:rsidRPr="00E60984">
        <w:rPr>
          <w:rStyle w:val="reflex2-link"/>
          <w:color w:val="000000"/>
          <w:spacing w:val="-3"/>
          <w:lang w:val="en-CA"/>
        </w:rPr>
        <w:t>s. 91(27)</w:t>
      </w:r>
      <w:r w:rsidRPr="00E60984">
        <w:rPr>
          <w:color w:val="000000"/>
          <w:spacing w:val="-3"/>
          <w:lang w:val="en-CA"/>
        </w:rPr>
        <w:t> and </w:t>
      </w:r>
      <w:r w:rsidRPr="00E60984">
        <w:rPr>
          <w:rStyle w:val="reflex2-link"/>
          <w:color w:val="000000"/>
          <w:spacing w:val="-3"/>
          <w:lang w:val="en-CA"/>
        </w:rPr>
        <w:t>s. 92(14)</w:t>
      </w:r>
      <w:r w:rsidRPr="00E60984">
        <w:rPr>
          <w:color w:val="000000"/>
          <w:spacing w:val="-3"/>
          <w:lang w:val="en-CA"/>
        </w:rPr>
        <w:t>,</w:t>
      </w:r>
      <w:r w:rsidRPr="000E33DF">
        <w:rPr>
          <w:color w:val="000000"/>
          <w:spacing w:val="-3"/>
          <w:lang w:val="en-CA"/>
        </w:rPr>
        <w:t xml:space="preserve"> </w:t>
      </w:r>
      <w:r w:rsidRPr="00E60984">
        <w:rPr>
          <w:color w:val="000000"/>
          <w:spacing w:val="-3"/>
          <w:u w:val="single"/>
          <w:lang w:val="en-CA"/>
        </w:rPr>
        <w:t>manifestly it would not be within provincial competence to enact legislation enabling a police officer to summon a suspect before an official and submit the suspect to compulsory examination under oath with respect to his involvement in a crime</w:t>
      </w:r>
      <w:r w:rsidRPr="00E60984">
        <w:rPr>
          <w:color w:val="000000"/>
          <w:spacing w:val="-3"/>
          <w:lang w:val="en-CA"/>
        </w:rPr>
        <w:t>.  Even though such legislation might be described as legislation in relation to the investigation of offences and thus appear to fall within the category of the administration of justice, such legislation in pith and substance would be legislation in relation to criminal procedure and thus within the</w:t>
      </w:r>
      <w:r w:rsidRPr="00E60984">
        <w:rPr>
          <w:rFonts w:ascii="Book Antiqua" w:hAnsi="Book Antiqua"/>
          <w:i/>
          <w:iCs/>
          <w:color w:val="000000"/>
          <w:spacing w:val="-3"/>
          <w:lang w:val="en-CA"/>
        </w:rPr>
        <w:t> </w:t>
      </w:r>
      <w:r w:rsidRPr="00E60984">
        <w:rPr>
          <w:rFonts w:cs="Arial"/>
          <w:i/>
          <w:iCs/>
          <w:color w:val="000000"/>
          <w:spacing w:val="-3"/>
          <w:lang w:val="en-CA"/>
        </w:rPr>
        <w:t>exclusive</w:t>
      </w:r>
      <w:r w:rsidRPr="00E60984">
        <w:rPr>
          <w:color w:val="000000"/>
          <w:spacing w:val="-3"/>
          <w:lang w:val="en-CA"/>
        </w:rPr>
        <w:t> competence of Parliament.</w:t>
      </w:r>
    </w:p>
    <w:p w14:paraId="2B1FB6C8" w14:textId="722C2048" w:rsidR="00A17C43" w:rsidRPr="00E60984" w:rsidRDefault="00441067" w:rsidP="001D0E14">
      <w:pPr>
        <w:pStyle w:val="Citationenretrait"/>
        <w:spacing w:before="0" w:line="240" w:lineRule="auto"/>
        <w:jc w:val="right"/>
        <w:rPr>
          <w:rFonts w:ascii="TmsRmn 12pt" w:hAnsi="TmsRmn 12pt"/>
          <w:lang w:val="en-CA" w:eastAsia="fr-CA"/>
        </w:rPr>
      </w:pPr>
      <w:r w:rsidRPr="00E60984">
        <w:rPr>
          <w:lang w:val="en-CA" w:eastAsia="fr-CA"/>
        </w:rPr>
        <w:t xml:space="preserve"> [Italics in the original, underlining added].</w:t>
      </w:r>
    </w:p>
    <w:p w14:paraId="7AB3D25F" w14:textId="7CB8C4A8" w:rsidR="00A17C43" w:rsidRPr="00E60984" w:rsidRDefault="002E3A6D" w:rsidP="005F15BF">
      <w:pPr>
        <w:pStyle w:val="Paragraphe"/>
        <w:spacing w:line="240" w:lineRule="auto"/>
        <w:rPr>
          <w:lang w:val="en-CA"/>
        </w:rPr>
      </w:pPr>
      <w:r w:rsidRPr="00E60984">
        <w:rPr>
          <w:lang w:val="en-CA"/>
        </w:rPr>
        <w:t>Th</w:t>
      </w:r>
      <w:r w:rsidR="000E33DF">
        <w:rPr>
          <w:lang w:val="en-CA"/>
        </w:rPr>
        <w:t>us</w:t>
      </w:r>
      <w:r w:rsidRPr="00E60984">
        <w:rPr>
          <w:lang w:val="en-CA"/>
        </w:rPr>
        <w:t xml:space="preserve">, according to the incidental appellants, when a province creates a police force to conduct a criminal investigation, it must necessarily do so </w:t>
      </w:r>
      <w:r w:rsidR="000E33DF">
        <w:rPr>
          <w:lang w:val="en-CA"/>
        </w:rPr>
        <w:t xml:space="preserve">in </w:t>
      </w:r>
      <w:r w:rsidRPr="00E60984">
        <w:rPr>
          <w:lang w:val="en-CA"/>
        </w:rPr>
        <w:t>accord</w:t>
      </w:r>
      <w:r w:rsidR="000E33DF">
        <w:rPr>
          <w:lang w:val="en-CA"/>
        </w:rPr>
        <w:t>ance with</w:t>
      </w:r>
      <w:r w:rsidRPr="00E60984">
        <w:rPr>
          <w:lang w:val="en-CA"/>
        </w:rPr>
        <w:t xml:space="preserve"> the fundamental principles of criminal law and procedure. </w:t>
      </w:r>
      <w:r w:rsidR="00110F5B">
        <w:rPr>
          <w:lang w:val="en-CA"/>
        </w:rPr>
        <w:t>They argue that</w:t>
      </w:r>
      <w:r w:rsidRPr="00E60984">
        <w:rPr>
          <w:lang w:val="en-CA"/>
        </w:rPr>
        <w:t xml:space="preserve"> </w:t>
      </w:r>
      <w:r w:rsidR="00110F5B">
        <w:rPr>
          <w:lang w:val="en-CA"/>
        </w:rPr>
        <w:t xml:space="preserve">this </w:t>
      </w:r>
      <w:r w:rsidRPr="00E60984">
        <w:rPr>
          <w:lang w:val="en-CA"/>
        </w:rPr>
        <w:t xml:space="preserve">is not </w:t>
      </w:r>
      <w:r w:rsidR="000E33DF">
        <w:rPr>
          <w:lang w:val="en-CA"/>
        </w:rPr>
        <w:t xml:space="preserve">the </w:t>
      </w:r>
      <w:r w:rsidRPr="00E60984">
        <w:rPr>
          <w:lang w:val="en-CA"/>
        </w:rPr>
        <w:t>case</w:t>
      </w:r>
      <w:r w:rsidR="000E33DF">
        <w:rPr>
          <w:lang w:val="en-CA"/>
        </w:rPr>
        <w:t xml:space="preserve"> here</w:t>
      </w:r>
      <w:r w:rsidRPr="00E60984">
        <w:rPr>
          <w:lang w:val="en-CA"/>
        </w:rPr>
        <w:t>.</w:t>
      </w:r>
    </w:p>
    <w:p w14:paraId="5F9A7DCC" w14:textId="52DF924F" w:rsidR="00A17C43" w:rsidRPr="00E60984" w:rsidRDefault="002E3A6D" w:rsidP="005F15BF">
      <w:pPr>
        <w:pStyle w:val="Paragraphe"/>
        <w:spacing w:line="240" w:lineRule="auto"/>
        <w:rPr>
          <w:lang w:val="en-CA"/>
        </w:rPr>
      </w:pPr>
      <w:r w:rsidRPr="00E60984">
        <w:rPr>
          <w:lang w:val="en-CA"/>
        </w:rPr>
        <w:t xml:space="preserve">The AGQ argues that a BEI investigation in the event of death or serious injury </w:t>
      </w:r>
      <w:r w:rsidR="000E33DF">
        <w:rPr>
          <w:lang w:val="en-CA"/>
        </w:rPr>
        <w:t xml:space="preserve">sustained </w:t>
      </w:r>
      <w:r w:rsidRPr="00E60984">
        <w:rPr>
          <w:lang w:val="en-CA"/>
        </w:rPr>
        <w:t>during a police intervention is not fundamentally criminal</w:t>
      </w:r>
      <w:r w:rsidR="000E33DF">
        <w:rPr>
          <w:lang w:val="en-CA"/>
        </w:rPr>
        <w:t xml:space="preserve"> </w:t>
      </w:r>
      <w:r w:rsidR="00AD06A2">
        <w:rPr>
          <w:lang w:val="en-CA"/>
        </w:rPr>
        <w:t>in nature</w:t>
      </w:r>
      <w:r w:rsidRPr="00E60984">
        <w:rPr>
          <w:lang w:val="en-CA"/>
        </w:rPr>
        <w:t>.</w:t>
      </w:r>
      <w:r w:rsidR="00DE2A80" w:rsidRPr="00E60984">
        <w:rPr>
          <w:lang w:val="en-CA"/>
        </w:rPr>
        <w:t xml:space="preserve"> </w:t>
      </w:r>
      <w:r w:rsidRPr="00E60984">
        <w:rPr>
          <w:lang w:val="en-CA"/>
        </w:rPr>
        <w:t>The BEI is instead investigating an occurrence to determine the circumstances, which do not necessarily involve criminal responsibility.</w:t>
      </w:r>
      <w:r w:rsidR="00DE2A80" w:rsidRPr="00E60984">
        <w:rPr>
          <w:lang w:val="en-CA"/>
        </w:rPr>
        <w:t xml:space="preserve"> </w:t>
      </w:r>
      <w:r w:rsidR="00AD06A2">
        <w:rPr>
          <w:lang w:val="en-CA"/>
        </w:rPr>
        <w:t>In fact</w:t>
      </w:r>
      <w:r w:rsidRPr="00E60984">
        <w:rPr>
          <w:lang w:val="en-CA"/>
        </w:rPr>
        <w:t>, the vast majority of BEI investigations do not end in criminal charges.</w:t>
      </w:r>
      <w:r w:rsidR="00DE2A80" w:rsidRPr="00E60984">
        <w:rPr>
          <w:lang w:val="en-CA"/>
        </w:rPr>
        <w:t xml:space="preserve"> </w:t>
      </w:r>
      <w:r w:rsidRPr="00E60984">
        <w:rPr>
          <w:lang w:val="en-CA"/>
        </w:rPr>
        <w:t xml:space="preserve">The </w:t>
      </w:r>
      <w:r w:rsidR="000E33DF">
        <w:rPr>
          <w:lang w:val="en-CA"/>
        </w:rPr>
        <w:t xml:space="preserve">purpose </w:t>
      </w:r>
      <w:r w:rsidRPr="00E60984">
        <w:rPr>
          <w:lang w:val="en-CA"/>
        </w:rPr>
        <w:t xml:space="preserve">is </w:t>
      </w:r>
      <w:r w:rsidR="000E33DF">
        <w:rPr>
          <w:lang w:val="en-CA"/>
        </w:rPr>
        <w:t xml:space="preserve">rather </w:t>
      </w:r>
      <w:r w:rsidRPr="00E60984">
        <w:rPr>
          <w:lang w:val="en-CA"/>
        </w:rPr>
        <w:t xml:space="preserve">to bolster the population’s confidence in investigations involving police </w:t>
      </w:r>
      <w:r w:rsidR="00AE1AA2">
        <w:rPr>
          <w:lang w:val="en-CA"/>
        </w:rPr>
        <w:t xml:space="preserve">officers </w:t>
      </w:r>
      <w:r w:rsidRPr="00E60984">
        <w:rPr>
          <w:lang w:val="en-CA"/>
        </w:rPr>
        <w:t xml:space="preserve">by ensuring that </w:t>
      </w:r>
      <w:r w:rsidR="00AE1AA2">
        <w:rPr>
          <w:lang w:val="en-CA"/>
        </w:rPr>
        <w:t xml:space="preserve">investigations </w:t>
      </w:r>
      <w:r w:rsidRPr="00E60984">
        <w:rPr>
          <w:lang w:val="en-CA"/>
        </w:rPr>
        <w:t>are credible, independent, impartial, and transparent.</w:t>
      </w:r>
      <w:r w:rsidR="00DE2A80" w:rsidRPr="00E60984">
        <w:rPr>
          <w:lang w:val="en-CA"/>
        </w:rPr>
        <w:t xml:space="preserve"> </w:t>
      </w:r>
    </w:p>
    <w:p w14:paraId="44D8DB8B" w14:textId="2FEF87CA" w:rsidR="00A17C43" w:rsidRPr="00E60984" w:rsidRDefault="002E3A6D" w:rsidP="005F15BF">
      <w:pPr>
        <w:pStyle w:val="Paragraphe"/>
        <w:spacing w:line="240" w:lineRule="auto"/>
        <w:rPr>
          <w:lang w:val="en-CA"/>
        </w:rPr>
      </w:pPr>
      <w:r w:rsidRPr="00E60984">
        <w:rPr>
          <w:lang w:val="en-CA"/>
        </w:rPr>
        <w:t xml:space="preserve">According to the AGQ, the pith and </w:t>
      </w:r>
      <w:r w:rsidR="00AD06A2">
        <w:rPr>
          <w:lang w:val="en-CA"/>
        </w:rPr>
        <w:t>substance</w:t>
      </w:r>
      <w:r w:rsidR="00AD06A2" w:rsidRPr="00E60984">
        <w:rPr>
          <w:lang w:val="en-CA"/>
        </w:rPr>
        <w:t xml:space="preserve"> </w:t>
      </w:r>
      <w:r w:rsidRPr="00E60984">
        <w:rPr>
          <w:lang w:val="en-CA"/>
        </w:rPr>
        <w:t xml:space="preserve">of the impugned </w:t>
      </w:r>
      <w:r w:rsidR="006D1729">
        <w:rPr>
          <w:lang w:val="en-CA"/>
        </w:rPr>
        <w:t xml:space="preserve">regulatory </w:t>
      </w:r>
      <w:r w:rsidRPr="00E60984">
        <w:rPr>
          <w:lang w:val="en-CA"/>
        </w:rPr>
        <w:t xml:space="preserve">provisions are </w:t>
      </w:r>
      <w:r w:rsidR="00AE1AA2">
        <w:rPr>
          <w:rFonts w:cs="Arial"/>
          <w:lang w:val="en-CA"/>
        </w:rPr>
        <w:t>[</w:t>
      </w:r>
      <w:r w:rsidR="00AE1AA2">
        <w:rPr>
          <w:rFonts w:cs="Arial"/>
          <w:smallCaps/>
          <w:lang w:val="en-CA"/>
        </w:rPr>
        <w:t>translation</w:t>
      </w:r>
      <w:r w:rsidR="00AE1AA2">
        <w:rPr>
          <w:rFonts w:cs="Arial"/>
          <w:lang w:val="en-CA"/>
        </w:rPr>
        <w:t xml:space="preserve">] </w:t>
      </w:r>
      <w:r w:rsidRPr="00E60984">
        <w:rPr>
          <w:lang w:val="en-CA"/>
        </w:rPr>
        <w:t xml:space="preserve">“to organize, in the spirit of impartiality and transparency, the professional duties and obligations of police officers </w:t>
      </w:r>
      <w:r w:rsidR="00AD06A2">
        <w:rPr>
          <w:lang w:val="en-CA"/>
        </w:rPr>
        <w:t>in the context of</w:t>
      </w:r>
      <w:r w:rsidR="00AD06A2" w:rsidRPr="00E60984">
        <w:rPr>
          <w:lang w:val="en-CA"/>
        </w:rPr>
        <w:t xml:space="preserve"> </w:t>
      </w:r>
      <w:r w:rsidRPr="00E60984">
        <w:rPr>
          <w:lang w:val="en-CA"/>
        </w:rPr>
        <w:t>an independent investigation to ensure and uphold public confidence in every police force and in the justice system”.</w:t>
      </w:r>
      <w:r w:rsidRPr="00E60984">
        <w:rPr>
          <w:rStyle w:val="Appelnotedebasdep"/>
          <w:lang w:val="en-CA"/>
        </w:rPr>
        <w:footnoteReference w:id="65"/>
      </w:r>
      <w:r w:rsidR="00DE2A80" w:rsidRPr="00E60984">
        <w:rPr>
          <w:lang w:val="en-CA"/>
        </w:rPr>
        <w:t xml:space="preserve"> </w:t>
      </w:r>
      <w:r w:rsidRPr="00E60984">
        <w:rPr>
          <w:lang w:val="en-CA"/>
        </w:rPr>
        <w:t xml:space="preserve">Moreover, the </w:t>
      </w:r>
      <w:r w:rsidR="006D1729">
        <w:rPr>
          <w:rFonts w:cs="Arial"/>
          <w:lang w:val="en-CA"/>
        </w:rPr>
        <w:t>[</w:t>
      </w:r>
      <w:r w:rsidR="006D1729">
        <w:rPr>
          <w:rFonts w:cs="Arial"/>
          <w:smallCaps/>
          <w:lang w:val="en-CA"/>
        </w:rPr>
        <w:t>translation</w:t>
      </w:r>
      <w:r w:rsidR="006D1729">
        <w:rPr>
          <w:rFonts w:cs="Arial"/>
          <w:lang w:val="en-CA"/>
        </w:rPr>
        <w:t>]</w:t>
      </w:r>
      <w:r w:rsidR="006D1729" w:rsidRPr="00E60984">
        <w:rPr>
          <w:lang w:val="en-CA"/>
        </w:rPr>
        <w:t xml:space="preserve"> </w:t>
      </w:r>
      <w:r w:rsidRPr="00E60984">
        <w:rPr>
          <w:lang w:val="en-CA"/>
        </w:rPr>
        <w:t xml:space="preserve">“fact that the BEI is a police force or that its investigators are peace officers within the meaning of the </w:t>
      </w:r>
      <w:r w:rsidRPr="00E60984">
        <w:rPr>
          <w:i/>
          <w:lang w:val="en-CA"/>
        </w:rPr>
        <w:t>Criminal Code</w:t>
      </w:r>
      <w:r w:rsidRPr="00E60984">
        <w:rPr>
          <w:lang w:val="en-CA"/>
        </w:rPr>
        <w:t xml:space="preserve"> ... does not change the nature of the independent investigation”.</w:t>
      </w:r>
      <w:r w:rsidRPr="00E60984">
        <w:rPr>
          <w:rStyle w:val="Appelnotedebasdep"/>
          <w:lang w:val="en-CA"/>
        </w:rPr>
        <w:footnoteReference w:id="66"/>
      </w:r>
      <w:r w:rsidR="00DE2A80" w:rsidRPr="00E60984">
        <w:rPr>
          <w:lang w:val="en-CA"/>
        </w:rPr>
        <w:t xml:space="preserve"> </w:t>
      </w:r>
      <w:r w:rsidRPr="00E60984">
        <w:rPr>
          <w:lang w:val="en-CA"/>
        </w:rPr>
        <w:t xml:space="preserve">These provisions therefore fall within </w:t>
      </w:r>
      <w:r w:rsidR="006D1729">
        <w:rPr>
          <w:lang w:val="en-CA"/>
        </w:rPr>
        <w:t xml:space="preserve">the </w:t>
      </w:r>
      <w:r w:rsidRPr="00E60984">
        <w:rPr>
          <w:lang w:val="en-CA"/>
        </w:rPr>
        <w:t xml:space="preserve">provincial </w:t>
      </w:r>
      <w:r w:rsidR="006D1729">
        <w:rPr>
          <w:lang w:val="en-CA"/>
        </w:rPr>
        <w:t xml:space="preserve">power </w:t>
      </w:r>
      <w:r w:rsidRPr="00E60984">
        <w:rPr>
          <w:lang w:val="en-CA"/>
        </w:rPr>
        <w:t xml:space="preserve">over the administration of justice set out in section 92(14) of </w:t>
      </w:r>
      <w:r w:rsidRPr="00E60984">
        <w:rPr>
          <w:lang w:val="en-CA"/>
        </w:rPr>
        <w:lastRenderedPageBreak/>
        <w:t xml:space="preserve">the </w:t>
      </w:r>
      <w:r w:rsidRPr="00E60984">
        <w:rPr>
          <w:i/>
          <w:lang w:val="en-CA"/>
        </w:rPr>
        <w:t>Constitution Act, 1867</w:t>
      </w:r>
      <w:r w:rsidRPr="00E60984">
        <w:rPr>
          <w:lang w:val="en-CA"/>
        </w:rPr>
        <w:t>, which includes the regulation of police activity in the province.</w:t>
      </w:r>
      <w:r w:rsidR="00DE2A80" w:rsidRPr="00E60984">
        <w:rPr>
          <w:lang w:val="en-CA"/>
        </w:rPr>
        <w:t xml:space="preserve"> </w:t>
      </w:r>
      <w:r w:rsidRPr="00E60984">
        <w:rPr>
          <w:lang w:val="en-CA"/>
        </w:rPr>
        <w:t>As a result, the impugned provisions</w:t>
      </w:r>
      <w:r w:rsidR="00AD06A2">
        <w:rPr>
          <w:lang w:val="en-CA"/>
        </w:rPr>
        <w:t xml:space="preserve"> of the </w:t>
      </w:r>
      <w:r w:rsidR="00AD06A2" w:rsidRPr="00565A81">
        <w:rPr>
          <w:i/>
          <w:iCs/>
          <w:lang w:val="en-CA"/>
        </w:rPr>
        <w:t>Regulation</w:t>
      </w:r>
      <w:r w:rsidRPr="00E60984">
        <w:rPr>
          <w:lang w:val="en-CA"/>
        </w:rPr>
        <w:t xml:space="preserve"> are constitutional because they do not really concern criminal investigations.</w:t>
      </w:r>
    </w:p>
    <w:p w14:paraId="4E6B3491" w14:textId="15F9BE38" w:rsidR="00A17C43" w:rsidRPr="00E60984" w:rsidRDefault="002E3A6D" w:rsidP="005F15BF">
      <w:pPr>
        <w:pStyle w:val="Paragraphe"/>
        <w:spacing w:line="240" w:lineRule="auto"/>
        <w:rPr>
          <w:lang w:val="en-CA"/>
        </w:rPr>
      </w:pPr>
      <w:r w:rsidRPr="00E60984">
        <w:rPr>
          <w:lang w:val="en-CA"/>
        </w:rPr>
        <w:t>That being</w:t>
      </w:r>
      <w:r w:rsidR="006D1729">
        <w:rPr>
          <w:lang w:val="en-CA"/>
        </w:rPr>
        <w:t xml:space="preserve"> so</w:t>
      </w:r>
      <w:r w:rsidRPr="00E60984">
        <w:rPr>
          <w:lang w:val="en-CA"/>
        </w:rPr>
        <w:t xml:space="preserve">, if during an investigation </w:t>
      </w:r>
      <w:r w:rsidR="006D1729" w:rsidRPr="00E60984">
        <w:rPr>
          <w:lang w:val="en-CA"/>
        </w:rPr>
        <w:t xml:space="preserve">the facts reveal </w:t>
      </w:r>
      <w:r w:rsidRPr="00E60984">
        <w:rPr>
          <w:lang w:val="en-CA"/>
        </w:rPr>
        <w:t xml:space="preserve">that the police officer involved is a suspect for the purpose of possible criminal charges, that police officer </w:t>
      </w:r>
      <w:r w:rsidR="006D1729">
        <w:rPr>
          <w:lang w:val="en-CA"/>
        </w:rPr>
        <w:t xml:space="preserve">is entitled to </w:t>
      </w:r>
      <w:r w:rsidRPr="00E60984">
        <w:rPr>
          <w:lang w:val="en-CA"/>
        </w:rPr>
        <w:t>all the relevant protections under the law and criminal procedure, as is the case for any other individual.</w:t>
      </w:r>
      <w:r w:rsidR="00DE2A80" w:rsidRPr="00E60984">
        <w:rPr>
          <w:lang w:val="en-CA"/>
        </w:rPr>
        <w:t xml:space="preserve"> </w:t>
      </w:r>
      <w:r w:rsidRPr="00E60984">
        <w:rPr>
          <w:lang w:val="en-CA"/>
        </w:rPr>
        <w:t>Therefore, the AGQ submits that the investigati</w:t>
      </w:r>
      <w:r w:rsidR="006D1729">
        <w:rPr>
          <w:lang w:val="en-CA"/>
        </w:rPr>
        <w:t>ve</w:t>
      </w:r>
      <w:r w:rsidRPr="00E60984">
        <w:rPr>
          <w:lang w:val="en-CA"/>
        </w:rPr>
        <w:t xml:space="preserve"> procedure </w:t>
      </w:r>
      <w:r w:rsidR="006D1729">
        <w:rPr>
          <w:lang w:val="en-CA"/>
        </w:rPr>
        <w:t xml:space="preserve">under the </w:t>
      </w:r>
      <w:r w:rsidR="006D1729" w:rsidRPr="006D1729">
        <w:rPr>
          <w:i/>
          <w:iCs/>
          <w:lang w:val="en-CA"/>
        </w:rPr>
        <w:t>Regulation</w:t>
      </w:r>
      <w:r w:rsidR="006D1729">
        <w:rPr>
          <w:lang w:val="en-CA"/>
        </w:rPr>
        <w:t xml:space="preserve"> </w:t>
      </w:r>
      <w:r w:rsidR="006E480A">
        <w:rPr>
          <w:lang w:val="en-CA"/>
        </w:rPr>
        <w:t>is not inconsistent</w:t>
      </w:r>
      <w:r w:rsidR="006D1729">
        <w:rPr>
          <w:lang w:val="en-CA"/>
        </w:rPr>
        <w:t xml:space="preserve"> </w:t>
      </w:r>
      <w:r w:rsidRPr="00E60984">
        <w:rPr>
          <w:lang w:val="en-CA"/>
        </w:rPr>
        <w:t xml:space="preserve">with the </w:t>
      </w:r>
      <w:r w:rsidR="006D1729">
        <w:rPr>
          <w:lang w:val="en-CA"/>
        </w:rPr>
        <w:t xml:space="preserve">guarantees </w:t>
      </w:r>
      <w:r w:rsidRPr="00E60984">
        <w:rPr>
          <w:lang w:val="en-CA"/>
        </w:rPr>
        <w:t>provided by the criminal law and procedure and</w:t>
      </w:r>
      <w:r w:rsidR="006D1729">
        <w:rPr>
          <w:lang w:val="en-CA"/>
        </w:rPr>
        <w:t>,</w:t>
      </w:r>
      <w:r w:rsidRPr="00E60984">
        <w:rPr>
          <w:lang w:val="en-CA"/>
        </w:rPr>
        <w:t xml:space="preserve"> </w:t>
      </w:r>
      <w:r w:rsidR="006D1729">
        <w:rPr>
          <w:lang w:val="en-CA"/>
        </w:rPr>
        <w:t>consequently</w:t>
      </w:r>
      <w:r w:rsidRPr="00E60984">
        <w:rPr>
          <w:lang w:val="en-CA"/>
        </w:rPr>
        <w:t xml:space="preserve">, there is no </w:t>
      </w:r>
      <w:r w:rsidR="00D44EA4">
        <w:rPr>
          <w:lang w:val="en-CA"/>
        </w:rPr>
        <w:t>encroachment</w:t>
      </w:r>
      <w:r w:rsidR="006E480A">
        <w:rPr>
          <w:lang w:val="en-CA"/>
        </w:rPr>
        <w:t xml:space="preserve"> of the</w:t>
      </w:r>
      <w:r w:rsidRPr="00E60984">
        <w:rPr>
          <w:lang w:val="en-CA"/>
        </w:rPr>
        <w:t xml:space="preserve"> federal jurisdiction under section 91(27) of the </w:t>
      </w:r>
      <w:r w:rsidRPr="00E60984">
        <w:rPr>
          <w:i/>
          <w:lang w:val="en-CA"/>
        </w:rPr>
        <w:t>Constitution Act, 1867</w:t>
      </w:r>
      <w:r w:rsidRPr="00E60984">
        <w:rPr>
          <w:lang w:val="en-CA"/>
        </w:rPr>
        <w:t>.</w:t>
      </w:r>
    </w:p>
    <w:p w14:paraId="01CC8D0D" w14:textId="2E09B867" w:rsidR="00A17C43" w:rsidRPr="00E60984" w:rsidRDefault="002E3A6D" w:rsidP="0088587E">
      <w:pPr>
        <w:pStyle w:val="Paragraphe"/>
        <w:numPr>
          <w:ilvl w:val="0"/>
          <w:numId w:val="0"/>
        </w:numPr>
        <w:spacing w:before="240" w:line="240" w:lineRule="auto"/>
        <w:rPr>
          <w:i/>
          <w:iCs/>
          <w:u w:val="single"/>
          <w:lang w:val="en-CA"/>
        </w:rPr>
      </w:pPr>
      <w:r w:rsidRPr="00E60984">
        <w:rPr>
          <w:i/>
          <w:iCs/>
          <w:u w:val="single"/>
          <w:lang w:val="en-CA"/>
        </w:rPr>
        <w:t>Analytical approach</w:t>
      </w:r>
    </w:p>
    <w:p w14:paraId="1F4BCE31" w14:textId="4ED950CE" w:rsidR="00A17C43" w:rsidRPr="00E60984" w:rsidRDefault="003725B0" w:rsidP="005F15BF">
      <w:pPr>
        <w:pStyle w:val="Paragraphe"/>
        <w:spacing w:line="240" w:lineRule="auto"/>
        <w:rPr>
          <w:lang w:val="en-CA"/>
        </w:rPr>
      </w:pPr>
      <w:r w:rsidRPr="00E60984">
        <w:rPr>
          <w:lang w:val="en-CA"/>
        </w:rPr>
        <w:t>The Court must first determine the pith and substance of BEI investigations in the event of death or serious injury during police interventions: are they essentially criminal investigations by a police force, as the incidental appellants argue</w:t>
      </w:r>
      <w:r w:rsidR="00D16F0C">
        <w:rPr>
          <w:lang w:val="en-CA"/>
        </w:rPr>
        <w:t>,</w:t>
      </w:r>
      <w:r w:rsidRPr="00E60984">
        <w:rPr>
          <w:lang w:val="en-CA"/>
        </w:rPr>
        <w:t xml:space="preserve"> or </w:t>
      </w:r>
      <w:r w:rsidR="00D16F0C">
        <w:rPr>
          <w:lang w:val="en-CA"/>
        </w:rPr>
        <w:t xml:space="preserve">are they </w:t>
      </w:r>
      <w:r w:rsidRPr="00E60984">
        <w:rPr>
          <w:lang w:val="en-CA"/>
        </w:rPr>
        <w:t xml:space="preserve">instead essentially administrative investigations entrusted to a specialized police force to ensure public confidence </w:t>
      </w:r>
      <w:r w:rsidR="00D16F0C">
        <w:rPr>
          <w:lang w:val="en-CA"/>
        </w:rPr>
        <w:t xml:space="preserve">but </w:t>
      </w:r>
      <w:r w:rsidRPr="00E60984">
        <w:rPr>
          <w:lang w:val="en-CA"/>
        </w:rPr>
        <w:t xml:space="preserve">that </w:t>
      </w:r>
      <w:r w:rsidR="00402171">
        <w:rPr>
          <w:lang w:val="en-CA"/>
        </w:rPr>
        <w:t xml:space="preserve">might eventually become </w:t>
      </w:r>
      <w:r w:rsidRPr="00E60984">
        <w:rPr>
          <w:lang w:val="en-CA"/>
        </w:rPr>
        <w:t>criminal investigations, as the AGQ argues?</w:t>
      </w:r>
      <w:r w:rsidR="00DE2A80" w:rsidRPr="00E60984">
        <w:rPr>
          <w:lang w:val="en-CA"/>
        </w:rPr>
        <w:t xml:space="preserve"> </w:t>
      </w:r>
      <w:r w:rsidRPr="00E60984">
        <w:rPr>
          <w:lang w:val="en-CA"/>
        </w:rPr>
        <w:t xml:space="preserve">The analytical approach set out in </w:t>
      </w:r>
      <w:r w:rsidRPr="00E60984">
        <w:rPr>
          <w:i/>
          <w:lang w:val="en-CA"/>
        </w:rPr>
        <w:t>Murray-Hall</w:t>
      </w:r>
      <w:r w:rsidRPr="00E60984">
        <w:rPr>
          <w:lang w:val="en-CA"/>
        </w:rPr>
        <w:t xml:space="preserve"> is </w:t>
      </w:r>
      <w:r w:rsidR="00D16F0C">
        <w:rPr>
          <w:lang w:val="en-CA"/>
        </w:rPr>
        <w:t>useful to this end</w:t>
      </w:r>
      <w:r w:rsidR="00402171">
        <w:rPr>
          <w:lang w:val="en-CA"/>
        </w:rPr>
        <w:t xml:space="preserve"> </w:t>
      </w:r>
      <w:r w:rsidRPr="00E60984">
        <w:rPr>
          <w:lang w:val="en-CA"/>
        </w:rPr>
        <w:t xml:space="preserve">and </w:t>
      </w:r>
      <w:r w:rsidR="00D16F0C">
        <w:rPr>
          <w:lang w:val="en-CA"/>
        </w:rPr>
        <w:t>the Court will draw from it here</w:t>
      </w:r>
      <w:r w:rsidRPr="00E60984">
        <w:rPr>
          <w:lang w:val="en-CA"/>
        </w:rPr>
        <w:t>.</w:t>
      </w:r>
      <w:r w:rsidRPr="00E60984">
        <w:rPr>
          <w:rStyle w:val="Appelnotedebasdep"/>
          <w:lang w:val="en-CA"/>
        </w:rPr>
        <w:footnoteReference w:id="67"/>
      </w:r>
    </w:p>
    <w:p w14:paraId="3A31F68F" w14:textId="48C88304" w:rsidR="00A17C43" w:rsidRPr="00E60984" w:rsidRDefault="003725B0" w:rsidP="005F15BF">
      <w:pPr>
        <w:pStyle w:val="Paragraphe"/>
        <w:spacing w:line="240" w:lineRule="auto"/>
        <w:rPr>
          <w:lang w:val="en-CA"/>
        </w:rPr>
      </w:pPr>
      <w:r w:rsidRPr="00E60984">
        <w:rPr>
          <w:lang w:val="en-CA"/>
        </w:rPr>
        <w:t>Second, the Court must determine whether criminal law and procedure govern the conduct of these investigations.</w:t>
      </w:r>
    </w:p>
    <w:p w14:paraId="29CCA4BE" w14:textId="43FD62A4" w:rsidR="00A17C43" w:rsidRPr="00E60984" w:rsidRDefault="00402171" w:rsidP="005F15BF">
      <w:pPr>
        <w:pStyle w:val="Paragraphe"/>
        <w:spacing w:line="240" w:lineRule="auto"/>
        <w:rPr>
          <w:lang w:val="en-CA"/>
        </w:rPr>
      </w:pPr>
      <w:r>
        <w:rPr>
          <w:lang w:val="en-CA"/>
        </w:rPr>
        <w:t>Last, i</w:t>
      </w:r>
      <w:r w:rsidR="003725B0" w:rsidRPr="00E60984">
        <w:rPr>
          <w:lang w:val="en-CA"/>
        </w:rPr>
        <w:t xml:space="preserve">f so, the Court must determine whether the impugned provisions </w:t>
      </w:r>
      <w:r w:rsidR="00D16F0C">
        <w:rPr>
          <w:lang w:val="en-CA"/>
        </w:rPr>
        <w:t xml:space="preserve">of the Regulation are inconsistent </w:t>
      </w:r>
      <w:r w:rsidR="003725B0" w:rsidRPr="00E60984">
        <w:rPr>
          <w:lang w:val="en-CA"/>
        </w:rPr>
        <w:t>with criminal law or procedure</w:t>
      </w:r>
      <w:r w:rsidR="00D16F0C">
        <w:rPr>
          <w:lang w:val="en-CA"/>
        </w:rPr>
        <w:t>, which are</w:t>
      </w:r>
      <w:r w:rsidR="003725B0" w:rsidRPr="00E60984">
        <w:rPr>
          <w:lang w:val="en-CA"/>
        </w:rPr>
        <w:t xml:space="preserve"> under exclusive federal jurisdiction.</w:t>
      </w:r>
    </w:p>
    <w:p w14:paraId="2AD8C9DE" w14:textId="745D5369" w:rsidR="00A17C43" w:rsidRPr="00E60984" w:rsidRDefault="00402171" w:rsidP="0088587E">
      <w:pPr>
        <w:pStyle w:val="Paragraphe"/>
        <w:numPr>
          <w:ilvl w:val="0"/>
          <w:numId w:val="0"/>
        </w:numPr>
        <w:spacing w:before="240" w:line="240" w:lineRule="auto"/>
        <w:ind w:left="720"/>
        <w:rPr>
          <w:i/>
          <w:iCs/>
          <w:u w:val="single"/>
          <w:lang w:val="en-CA"/>
        </w:rPr>
      </w:pPr>
      <w:r>
        <w:rPr>
          <w:i/>
          <w:iCs/>
          <w:u w:val="single"/>
          <w:lang w:val="en-CA"/>
        </w:rPr>
        <w:t>P</w:t>
      </w:r>
      <w:r w:rsidR="003725B0" w:rsidRPr="00E60984">
        <w:rPr>
          <w:i/>
          <w:iCs/>
          <w:u w:val="single"/>
          <w:lang w:val="en-CA"/>
        </w:rPr>
        <w:t>ith and substance of BEI investigations</w:t>
      </w:r>
    </w:p>
    <w:p w14:paraId="59C51001" w14:textId="59271574" w:rsidR="00A17C43" w:rsidRPr="00E60984" w:rsidRDefault="003725B0" w:rsidP="005F15BF">
      <w:pPr>
        <w:pStyle w:val="Paragraphe"/>
        <w:spacing w:line="240" w:lineRule="auto"/>
        <w:rPr>
          <w:lang w:val="en-CA"/>
        </w:rPr>
      </w:pPr>
      <w:r w:rsidRPr="00E60984">
        <w:rPr>
          <w:lang w:val="en-CA"/>
        </w:rPr>
        <w:t>The intrinsic evidence reveals the following.</w:t>
      </w:r>
    </w:p>
    <w:p w14:paraId="7803E5B4" w14:textId="6397924A" w:rsidR="00A17C43" w:rsidRPr="00E60984" w:rsidRDefault="003725B0" w:rsidP="005F15BF">
      <w:pPr>
        <w:pStyle w:val="Paragraphe"/>
        <w:spacing w:line="240" w:lineRule="auto"/>
        <w:rPr>
          <w:lang w:val="en-CA"/>
        </w:rPr>
      </w:pPr>
      <w:r w:rsidRPr="00E60984">
        <w:rPr>
          <w:lang w:val="en-CA"/>
        </w:rPr>
        <w:t xml:space="preserve">A BEI investigation </w:t>
      </w:r>
      <w:r w:rsidR="00402171">
        <w:rPr>
          <w:lang w:val="en-CA"/>
        </w:rPr>
        <w:t>is conducted</w:t>
      </w:r>
      <w:r w:rsidRPr="00E60984">
        <w:rPr>
          <w:lang w:val="en-CA"/>
        </w:rPr>
        <w:t xml:space="preserve"> in four circumstances:</w:t>
      </w:r>
      <w:r w:rsidRPr="00E60984">
        <w:rPr>
          <w:rStyle w:val="Appelnotedebasdep"/>
          <w:lang w:val="en-CA"/>
        </w:rPr>
        <w:footnoteReference w:id="68"/>
      </w:r>
    </w:p>
    <w:p w14:paraId="48902772" w14:textId="4C7E819E" w:rsidR="00A17C43" w:rsidRPr="00E60984" w:rsidRDefault="003725B0" w:rsidP="005F15BF">
      <w:pPr>
        <w:pStyle w:val="Paragraphe"/>
        <w:numPr>
          <w:ilvl w:val="0"/>
          <w:numId w:val="23"/>
        </w:numPr>
        <w:spacing w:line="240" w:lineRule="auto"/>
        <w:rPr>
          <w:lang w:val="en-CA"/>
        </w:rPr>
      </w:pPr>
      <w:r w:rsidRPr="00E60984">
        <w:rPr>
          <w:lang w:val="en-CA"/>
        </w:rPr>
        <w:t>the first is whe</w:t>
      </w:r>
      <w:r w:rsidR="006B7FB3">
        <w:rPr>
          <w:lang w:val="en-CA"/>
        </w:rPr>
        <w:t>re</w:t>
      </w:r>
      <w:r w:rsidRPr="00E60984">
        <w:rPr>
          <w:lang w:val="en-CA"/>
        </w:rPr>
        <w:t xml:space="preserve"> a person, other than a</w:t>
      </w:r>
      <w:r w:rsidR="00402171">
        <w:rPr>
          <w:lang w:val="en-CA"/>
        </w:rPr>
        <w:t>n on-duty</w:t>
      </w:r>
      <w:r w:rsidRPr="00E60984">
        <w:rPr>
          <w:lang w:val="en-CA"/>
        </w:rPr>
        <w:t xml:space="preserve"> police officer, dies, sustains a serious injury, or is injured by a firearm used by a police officer during a police intervention or while the person is in police custody;</w:t>
      </w:r>
      <w:r w:rsidRPr="00E60984">
        <w:rPr>
          <w:rStyle w:val="Appelnotedebasdep"/>
          <w:lang w:val="en-CA"/>
        </w:rPr>
        <w:footnoteReference w:id="69"/>
      </w:r>
    </w:p>
    <w:p w14:paraId="5D462065" w14:textId="33D019AA" w:rsidR="00A17C43" w:rsidRPr="00E60984" w:rsidRDefault="00CC72E4" w:rsidP="005F15BF">
      <w:pPr>
        <w:pStyle w:val="Paragraphe"/>
        <w:numPr>
          <w:ilvl w:val="0"/>
          <w:numId w:val="23"/>
        </w:numPr>
        <w:spacing w:line="240" w:lineRule="auto"/>
        <w:rPr>
          <w:lang w:val="en-CA"/>
        </w:rPr>
      </w:pPr>
      <w:r w:rsidRPr="00E60984">
        <w:rPr>
          <w:lang w:val="en-CA"/>
        </w:rPr>
        <w:lastRenderedPageBreak/>
        <w:t>the second is when the BEI is notified of an allegation against a police officer concerning a criminal offence of a sexual nature committed in the performance of duties;</w:t>
      </w:r>
      <w:r w:rsidRPr="00E60984">
        <w:rPr>
          <w:rStyle w:val="Appelnotedebasdep"/>
          <w:lang w:val="en-CA"/>
        </w:rPr>
        <w:footnoteReference w:id="70"/>
      </w:r>
    </w:p>
    <w:p w14:paraId="6655B6AE" w14:textId="1895D783" w:rsidR="00A17C43" w:rsidRPr="00E60984" w:rsidRDefault="00CC72E4" w:rsidP="005F15BF">
      <w:pPr>
        <w:pStyle w:val="Paragraphe"/>
        <w:numPr>
          <w:ilvl w:val="0"/>
          <w:numId w:val="23"/>
        </w:numPr>
        <w:spacing w:line="240" w:lineRule="auto"/>
        <w:rPr>
          <w:lang w:val="en-CA"/>
        </w:rPr>
      </w:pPr>
      <w:r w:rsidRPr="00E60984">
        <w:rPr>
          <w:lang w:val="en-CA"/>
        </w:rPr>
        <w:t>the third is when the Minister, in exceptional cases, charges the BEI with conducting an investigation on any other occurrence involving a peace officer and related to the peace officer’s functions;</w:t>
      </w:r>
      <w:r w:rsidRPr="00E60984">
        <w:rPr>
          <w:rStyle w:val="Appelnotedebasdep"/>
          <w:lang w:val="en-CA"/>
        </w:rPr>
        <w:footnoteReference w:id="71"/>
      </w:r>
    </w:p>
    <w:p w14:paraId="014E11F3" w14:textId="427F0775" w:rsidR="00A17C43" w:rsidRPr="00E60984" w:rsidRDefault="00CC72E4" w:rsidP="005F15BF">
      <w:pPr>
        <w:pStyle w:val="Paragraphe"/>
        <w:numPr>
          <w:ilvl w:val="0"/>
          <w:numId w:val="23"/>
        </w:numPr>
        <w:spacing w:line="240" w:lineRule="auto"/>
        <w:rPr>
          <w:lang w:val="en-CA"/>
        </w:rPr>
      </w:pPr>
      <w:r w:rsidRPr="00E60984">
        <w:rPr>
          <w:lang w:val="en-CA"/>
        </w:rPr>
        <w:t xml:space="preserve">the fourth is when the Minister orders </w:t>
      </w:r>
      <w:r w:rsidR="007A251E">
        <w:rPr>
          <w:lang w:val="en-CA"/>
        </w:rPr>
        <w:t xml:space="preserve">the BEI to conduct </w:t>
      </w:r>
      <w:r w:rsidRPr="00E60984">
        <w:rPr>
          <w:lang w:val="en-CA"/>
        </w:rPr>
        <w:t>an investigation to examine an allegation against a police officer concerning a criminal offence;</w:t>
      </w:r>
      <w:r w:rsidRPr="00E60984">
        <w:rPr>
          <w:rStyle w:val="Appelnotedebasdep"/>
          <w:lang w:val="en-CA"/>
        </w:rPr>
        <w:footnoteReference w:id="72"/>
      </w:r>
      <w:r w:rsidRPr="00E60984">
        <w:rPr>
          <w:lang w:val="en-CA"/>
        </w:rPr>
        <w:t xml:space="preserve"> note in this regard that the BEI’s mandate was </w:t>
      </w:r>
      <w:r w:rsidR="007A251E">
        <w:rPr>
          <w:lang w:val="en-CA"/>
        </w:rPr>
        <w:t>expand</w:t>
      </w:r>
      <w:r w:rsidRPr="00E60984">
        <w:rPr>
          <w:lang w:val="en-CA"/>
        </w:rPr>
        <w:t xml:space="preserve">ed on September 17, 2018, so that it may also investigate any other allegation of criminal offence </w:t>
      </w:r>
      <w:r w:rsidR="007A251E">
        <w:rPr>
          <w:lang w:val="en-CA"/>
        </w:rPr>
        <w:t>lodged</w:t>
      </w:r>
      <w:r w:rsidRPr="00E60984">
        <w:rPr>
          <w:lang w:val="en-CA"/>
        </w:rPr>
        <w:t xml:space="preserve"> by a complainant or Indigenous victim against a police officer, whether or not in the performance of duties.</w:t>
      </w:r>
      <w:r w:rsidRPr="00E60984">
        <w:rPr>
          <w:rStyle w:val="Appelnotedebasdep"/>
          <w:lang w:val="en-CA"/>
        </w:rPr>
        <w:footnoteReference w:id="73"/>
      </w:r>
    </w:p>
    <w:p w14:paraId="2B133780" w14:textId="6BC0231B" w:rsidR="00A17C43" w:rsidRPr="00E60984" w:rsidRDefault="00CC72E4" w:rsidP="005F15BF">
      <w:pPr>
        <w:pStyle w:val="Paragraphe"/>
        <w:spacing w:line="240" w:lineRule="auto"/>
        <w:rPr>
          <w:lang w:val="en-CA"/>
        </w:rPr>
      </w:pPr>
      <w:r w:rsidRPr="00E60984">
        <w:rPr>
          <w:lang w:val="en-CA"/>
        </w:rPr>
        <w:t xml:space="preserve">These investigations are conducted by the BEI, a specialized police force for the purposes of this mission </w:t>
      </w:r>
      <w:r w:rsidR="007A251E">
        <w:rPr>
          <w:lang w:val="en-CA"/>
        </w:rPr>
        <w:t xml:space="preserve">whose </w:t>
      </w:r>
      <w:r w:rsidRPr="00E60984">
        <w:rPr>
          <w:lang w:val="en-CA"/>
        </w:rPr>
        <w:t>members are peace officers.</w:t>
      </w:r>
      <w:r w:rsidRPr="00E60984">
        <w:rPr>
          <w:rStyle w:val="Appelnotedebasdep"/>
          <w:lang w:val="en-CA"/>
        </w:rPr>
        <w:footnoteReference w:id="74"/>
      </w:r>
      <w:r w:rsidR="00DE2A80" w:rsidRPr="00E60984">
        <w:rPr>
          <w:lang w:val="en-CA"/>
        </w:rPr>
        <w:t xml:space="preserve"> </w:t>
      </w:r>
      <w:r w:rsidRPr="00E60984">
        <w:rPr>
          <w:lang w:val="en-CA"/>
        </w:rPr>
        <w:t>That being</w:t>
      </w:r>
      <w:r w:rsidR="007A251E">
        <w:rPr>
          <w:lang w:val="en-CA"/>
        </w:rPr>
        <w:t xml:space="preserve"> so</w:t>
      </w:r>
      <w:r w:rsidRPr="00E60984">
        <w:rPr>
          <w:lang w:val="en-CA"/>
        </w:rPr>
        <w:t>, BEI directors must never have been peace officers</w:t>
      </w:r>
      <w:r w:rsidR="006644E6">
        <w:rPr>
          <w:lang w:val="en-CA"/>
        </w:rPr>
        <w:t>,</w:t>
      </w:r>
      <w:r w:rsidRPr="00E60984">
        <w:rPr>
          <w:lang w:val="en-CA"/>
        </w:rPr>
        <w:t xml:space="preserve"> otherwise than as member</w:t>
      </w:r>
      <w:r w:rsidR="006B7FB3">
        <w:rPr>
          <w:lang w:val="en-CA"/>
        </w:rPr>
        <w:t>s</w:t>
      </w:r>
      <w:r w:rsidRPr="00E60984">
        <w:rPr>
          <w:lang w:val="en-CA"/>
        </w:rPr>
        <w:t xml:space="preserve"> of the BEI.</w:t>
      </w:r>
      <w:r w:rsidRPr="00E60984">
        <w:rPr>
          <w:rStyle w:val="Appelnotedebasdep"/>
          <w:lang w:val="en-CA"/>
        </w:rPr>
        <w:footnoteReference w:id="75"/>
      </w:r>
      <w:r w:rsidR="00DE2A80" w:rsidRPr="00E60984">
        <w:rPr>
          <w:lang w:val="en-CA"/>
        </w:rPr>
        <w:t xml:space="preserve"> </w:t>
      </w:r>
      <w:r w:rsidRPr="00E60984">
        <w:rPr>
          <w:lang w:val="en-CA"/>
        </w:rPr>
        <w:t xml:space="preserve">BEI investigators must not be peace officers otherwise than as members of the BEI, which means that former police officers may be hired, </w:t>
      </w:r>
      <w:r w:rsidR="006B7FB3">
        <w:rPr>
          <w:lang w:val="en-CA"/>
        </w:rPr>
        <w:t>al</w:t>
      </w:r>
      <w:r w:rsidRPr="00E60984">
        <w:rPr>
          <w:lang w:val="en-CA"/>
        </w:rPr>
        <w:t>though the BEI must encourage parity between investigators who have never been peace officers and those who have.</w:t>
      </w:r>
      <w:r w:rsidRPr="00E60984">
        <w:rPr>
          <w:rStyle w:val="Appelnotedebasdep"/>
          <w:lang w:val="en-CA"/>
        </w:rPr>
        <w:footnoteReference w:id="76"/>
      </w:r>
    </w:p>
    <w:p w14:paraId="1B44E107" w14:textId="1BE5BB51" w:rsidR="00A17C43" w:rsidRPr="00E60984" w:rsidRDefault="00CC72E4" w:rsidP="005F15BF">
      <w:pPr>
        <w:pStyle w:val="Paragraphe"/>
        <w:spacing w:line="240" w:lineRule="auto"/>
        <w:rPr>
          <w:lang w:val="en-CA"/>
        </w:rPr>
      </w:pPr>
      <w:r w:rsidRPr="00E60984">
        <w:rPr>
          <w:lang w:val="en-CA"/>
        </w:rPr>
        <w:t xml:space="preserve">The parties do not </w:t>
      </w:r>
      <w:r w:rsidR="006B7FB3">
        <w:rPr>
          <w:lang w:val="en-CA"/>
        </w:rPr>
        <w:t xml:space="preserve">question </w:t>
      </w:r>
      <w:r w:rsidRPr="00E60984">
        <w:rPr>
          <w:lang w:val="en-CA"/>
        </w:rPr>
        <w:t xml:space="preserve">the essentially criminal nature of BEI investigations in the circumstances contemplated under paragraph </w:t>
      </w:r>
      <w:r w:rsidRPr="00E60984">
        <w:rPr>
          <w:rFonts w:cs="Arial"/>
          <w:lang w:val="en-CA"/>
        </w:rPr>
        <w:t>[</w:t>
      </w:r>
      <w:r w:rsidRPr="00E60984">
        <w:rPr>
          <w:lang w:val="en-CA"/>
        </w:rPr>
        <w:t>61</w:t>
      </w:r>
      <w:r w:rsidRPr="00E60984">
        <w:rPr>
          <w:rFonts w:cs="Arial"/>
          <w:lang w:val="en-CA"/>
        </w:rPr>
        <w:t>]</w:t>
      </w:r>
      <w:r w:rsidRPr="00E60984">
        <w:rPr>
          <w:lang w:val="en-CA"/>
        </w:rPr>
        <w:t>(b), (c), and (d) above.</w:t>
      </w:r>
      <w:r w:rsidR="00DE2A80" w:rsidRPr="00E60984">
        <w:rPr>
          <w:lang w:val="en-CA"/>
        </w:rPr>
        <w:t xml:space="preserve"> </w:t>
      </w:r>
      <w:r w:rsidRPr="00E60984">
        <w:rPr>
          <w:lang w:val="en-CA"/>
        </w:rPr>
        <w:t xml:space="preserve">The debate concerns the pith and substance of investigations conducted in the circumstances contemplated in paragraph </w:t>
      </w:r>
      <w:r w:rsidRPr="00E60984">
        <w:rPr>
          <w:rFonts w:cs="Arial"/>
          <w:lang w:val="en-CA"/>
        </w:rPr>
        <w:t>[</w:t>
      </w:r>
      <w:r w:rsidRPr="00E60984">
        <w:rPr>
          <w:lang w:val="en-CA"/>
        </w:rPr>
        <w:t>61</w:t>
      </w:r>
      <w:r w:rsidRPr="00E60984">
        <w:rPr>
          <w:rFonts w:cs="Arial"/>
          <w:lang w:val="en-CA"/>
        </w:rPr>
        <w:t>]</w:t>
      </w:r>
      <w:r w:rsidRPr="00E60984">
        <w:rPr>
          <w:lang w:val="en-CA"/>
        </w:rPr>
        <w:t>(a), i.e., BEI investigations conducted whe</w:t>
      </w:r>
      <w:r w:rsidR="006B7FB3">
        <w:rPr>
          <w:lang w:val="en-CA"/>
        </w:rPr>
        <w:t>re</w:t>
      </w:r>
      <w:r w:rsidRPr="00E60984">
        <w:rPr>
          <w:lang w:val="en-CA"/>
        </w:rPr>
        <w:t xml:space="preserve"> a person, other than an on-duty police officer, dies, sustains a serious injury or is injured by a firearm used by a police officer during a police intervention or while the person is in police custody. That is the type of investigation the Court must </w:t>
      </w:r>
      <w:r w:rsidR="006B7FB3">
        <w:rPr>
          <w:lang w:val="en-CA"/>
        </w:rPr>
        <w:t>consider</w:t>
      </w:r>
      <w:r w:rsidRPr="00E60984">
        <w:rPr>
          <w:lang w:val="en-CA"/>
        </w:rPr>
        <w:t>.</w:t>
      </w:r>
    </w:p>
    <w:p w14:paraId="3C797903" w14:textId="15FB840B" w:rsidR="00A17C43" w:rsidRPr="00E60984" w:rsidRDefault="00CC72E4" w:rsidP="005F15BF">
      <w:pPr>
        <w:pStyle w:val="Paragraphe"/>
        <w:spacing w:before="240" w:line="240" w:lineRule="auto"/>
        <w:rPr>
          <w:lang w:val="en-CA"/>
        </w:rPr>
      </w:pPr>
      <w:r w:rsidRPr="00E60984">
        <w:rPr>
          <w:lang w:val="en-CA"/>
        </w:rPr>
        <w:t xml:space="preserve">In these cases, the </w:t>
      </w:r>
      <w:r w:rsidRPr="00E60984">
        <w:rPr>
          <w:i/>
          <w:lang w:val="en-CA"/>
        </w:rPr>
        <w:t>Regulation</w:t>
      </w:r>
      <w:r w:rsidRPr="00E60984">
        <w:rPr>
          <w:lang w:val="en-CA"/>
        </w:rPr>
        <w:t xml:space="preserve"> states that a police officer who witnessed the occurrence and the police officer involved in the occurrence must:</w:t>
      </w:r>
    </w:p>
    <w:p w14:paraId="1B243169" w14:textId="5AC16B0F" w:rsidR="00A17C43" w:rsidRPr="00E60984" w:rsidRDefault="00CC72E4" w:rsidP="0088587E">
      <w:pPr>
        <w:pStyle w:val="Paragraphe"/>
        <w:numPr>
          <w:ilvl w:val="1"/>
          <w:numId w:val="24"/>
        </w:numPr>
        <w:spacing w:after="0" w:line="240" w:lineRule="auto"/>
        <w:ind w:left="851" w:firstLine="0"/>
        <w:rPr>
          <w:lang w:val="en-CA"/>
        </w:rPr>
      </w:pPr>
      <w:r w:rsidRPr="00E60984">
        <w:rPr>
          <w:lang w:val="en-CA"/>
        </w:rPr>
        <w:t>withdraw from the scene as soon as possible;</w:t>
      </w:r>
    </w:p>
    <w:p w14:paraId="568845AF" w14:textId="6D4BA91F" w:rsidR="00A17C43" w:rsidRPr="00E60984" w:rsidRDefault="00CC72E4" w:rsidP="0088587E">
      <w:pPr>
        <w:pStyle w:val="Paragraphe"/>
        <w:numPr>
          <w:ilvl w:val="1"/>
          <w:numId w:val="24"/>
        </w:numPr>
        <w:spacing w:after="0" w:line="240" w:lineRule="auto"/>
        <w:ind w:left="851" w:firstLine="0"/>
        <w:rPr>
          <w:lang w:val="en-CA"/>
        </w:rPr>
      </w:pPr>
      <w:r w:rsidRPr="00E60984">
        <w:rPr>
          <w:lang w:val="en-CA"/>
        </w:rPr>
        <w:lastRenderedPageBreak/>
        <w:t>refrain from communicating with another police officer involved or witness police officer in connection with the occurrence until the police officer has drawn up their account and met with BEI investigators;</w:t>
      </w:r>
      <w:r w:rsidR="00DE2A80" w:rsidRPr="00E60984">
        <w:rPr>
          <w:lang w:val="en-CA"/>
        </w:rPr>
        <w:t xml:space="preserve"> </w:t>
      </w:r>
    </w:p>
    <w:p w14:paraId="44E641C9" w14:textId="31AAA8A0" w:rsidR="00A17C43" w:rsidRPr="00E60984" w:rsidRDefault="00CC72E4" w:rsidP="0088587E">
      <w:pPr>
        <w:pStyle w:val="Paragraphe"/>
        <w:numPr>
          <w:ilvl w:val="1"/>
          <w:numId w:val="24"/>
        </w:numPr>
        <w:spacing w:after="0" w:line="240" w:lineRule="auto"/>
        <w:ind w:left="851" w:firstLine="0"/>
        <w:rPr>
          <w:lang w:val="en-CA"/>
        </w:rPr>
      </w:pPr>
      <w:r w:rsidRPr="00E60984">
        <w:rPr>
          <w:lang w:val="en-CA"/>
        </w:rPr>
        <w:t>draw up independently, without consultation and influence, an accurate, detailed and comprehensive account of the facts that took place during the occurrence and sign it;</w:t>
      </w:r>
      <w:r w:rsidR="00DE2A80" w:rsidRPr="00E60984">
        <w:rPr>
          <w:lang w:val="en-CA"/>
        </w:rPr>
        <w:t xml:space="preserve"> </w:t>
      </w:r>
    </w:p>
    <w:p w14:paraId="5076957C" w14:textId="11CC6F1B" w:rsidR="00A17C43" w:rsidRPr="00E60984" w:rsidRDefault="00CC72E4" w:rsidP="0088587E">
      <w:pPr>
        <w:pStyle w:val="Paragraphe"/>
        <w:numPr>
          <w:ilvl w:val="1"/>
          <w:numId w:val="24"/>
        </w:numPr>
        <w:spacing w:after="0" w:line="240" w:lineRule="auto"/>
        <w:ind w:left="851" w:firstLine="0"/>
        <w:rPr>
          <w:lang w:val="en-CA"/>
        </w:rPr>
      </w:pPr>
      <w:r w:rsidRPr="00E60984">
        <w:rPr>
          <w:lang w:val="en-CA"/>
        </w:rPr>
        <w:t>submit it to the BEI within 24 hours of the occurrence; and</w:t>
      </w:r>
      <w:r w:rsidR="00DE2A80" w:rsidRPr="00E60984">
        <w:rPr>
          <w:lang w:val="en-CA"/>
        </w:rPr>
        <w:t xml:space="preserve"> </w:t>
      </w:r>
    </w:p>
    <w:p w14:paraId="70518B3D" w14:textId="578DC08B" w:rsidR="00A17C43" w:rsidRPr="00E60984" w:rsidRDefault="00CC72E4" w:rsidP="000B14BE">
      <w:pPr>
        <w:pStyle w:val="Paragraphe"/>
        <w:numPr>
          <w:ilvl w:val="1"/>
          <w:numId w:val="24"/>
        </w:numPr>
        <w:spacing w:before="240" w:line="240" w:lineRule="auto"/>
        <w:ind w:left="851" w:firstLine="0"/>
        <w:rPr>
          <w:lang w:val="en-CA"/>
        </w:rPr>
      </w:pPr>
      <w:r w:rsidRPr="00E60984">
        <w:rPr>
          <w:lang w:val="en-CA"/>
        </w:rPr>
        <w:t>meet with BEI investigators and remain available for the investigation purposes.</w:t>
      </w:r>
      <w:r w:rsidRPr="00E60984">
        <w:rPr>
          <w:rStyle w:val="Appelnotedebasdep"/>
          <w:lang w:val="en-CA"/>
        </w:rPr>
        <w:footnoteReference w:id="77"/>
      </w:r>
      <w:r w:rsidR="00DE2A80" w:rsidRPr="00E60984">
        <w:rPr>
          <w:lang w:val="en-CA"/>
        </w:rPr>
        <w:t xml:space="preserve"> </w:t>
      </w:r>
    </w:p>
    <w:p w14:paraId="03579129" w14:textId="62E50B7B" w:rsidR="00A17C43" w:rsidRPr="00E60984" w:rsidRDefault="006B7FB3" w:rsidP="000B14BE">
      <w:pPr>
        <w:pStyle w:val="Paragraphe"/>
        <w:spacing w:before="240" w:line="240" w:lineRule="auto"/>
        <w:rPr>
          <w:lang w:val="en-CA"/>
        </w:rPr>
      </w:pPr>
      <w:r>
        <w:rPr>
          <w:lang w:val="en-CA"/>
        </w:rPr>
        <w:t xml:space="preserve">For </w:t>
      </w:r>
      <w:r w:rsidR="00CC72E4" w:rsidRPr="00E60984">
        <w:rPr>
          <w:lang w:val="en-CA"/>
        </w:rPr>
        <w:t>th</w:t>
      </w:r>
      <w:r>
        <w:rPr>
          <w:lang w:val="en-CA"/>
        </w:rPr>
        <w:t>e</w:t>
      </w:r>
      <w:r w:rsidR="00CC72E4" w:rsidRPr="00E60984">
        <w:rPr>
          <w:lang w:val="en-CA"/>
        </w:rPr>
        <w:t>s</w:t>
      </w:r>
      <w:r>
        <w:rPr>
          <w:lang w:val="en-CA"/>
        </w:rPr>
        <w:t>e</w:t>
      </w:r>
      <w:r w:rsidR="00CC72E4" w:rsidRPr="00E60984">
        <w:rPr>
          <w:lang w:val="en-CA"/>
        </w:rPr>
        <w:t xml:space="preserve"> </w:t>
      </w:r>
      <w:r>
        <w:rPr>
          <w:lang w:val="en-CA"/>
        </w:rPr>
        <w:t>purposes</w:t>
      </w:r>
      <w:r w:rsidR="00CC72E4" w:rsidRPr="00E60984">
        <w:rPr>
          <w:lang w:val="en-CA"/>
        </w:rPr>
        <w:t>, a police officer “involved” is a police officer present at an occurrence and whose actions or decisions could have contributed to the death, serious injuries or injuries by a firearm used by a police officer.</w:t>
      </w:r>
      <w:r w:rsidR="00DE2A80" w:rsidRPr="00E60984">
        <w:rPr>
          <w:lang w:val="en-CA"/>
        </w:rPr>
        <w:t xml:space="preserve"> </w:t>
      </w:r>
      <w:r w:rsidR="00CC72E4" w:rsidRPr="00E60984">
        <w:rPr>
          <w:lang w:val="en-CA"/>
        </w:rPr>
        <w:t>A “witness” police officer is a police officer in whose presence the occurrence took place, without being a police officer involved.</w:t>
      </w:r>
      <w:r w:rsidR="00CC72E4" w:rsidRPr="00E60984">
        <w:rPr>
          <w:rStyle w:val="Appelnotedebasdep"/>
          <w:lang w:val="en-CA"/>
        </w:rPr>
        <w:footnoteReference w:id="78"/>
      </w:r>
    </w:p>
    <w:p w14:paraId="516877E2" w14:textId="5F5B2307" w:rsidR="00A17C43" w:rsidRPr="00E60984" w:rsidRDefault="00CC72E4" w:rsidP="005F15BF">
      <w:pPr>
        <w:pStyle w:val="Paragraphe"/>
        <w:spacing w:before="240" w:line="240" w:lineRule="auto"/>
        <w:rPr>
          <w:lang w:val="en-CA"/>
        </w:rPr>
      </w:pPr>
      <w:r w:rsidRPr="00E60984">
        <w:rPr>
          <w:lang w:val="en-CA"/>
        </w:rPr>
        <w:t xml:space="preserve">The principal BEI investigator must determine the police officer’s status as witness police officer or police officer involved before meeting with </w:t>
      </w:r>
      <w:r w:rsidR="004E5219">
        <w:rPr>
          <w:lang w:val="en-CA"/>
        </w:rPr>
        <w:t>the</w:t>
      </w:r>
      <w:r w:rsidRPr="00E60984">
        <w:rPr>
          <w:lang w:val="en-CA"/>
        </w:rPr>
        <w:t xml:space="preserve"> police officer and notify the police officer of that status in writing as soon as possible as well as of any change in status in the course of the investigation.</w:t>
      </w:r>
      <w:r w:rsidRPr="00E60984">
        <w:rPr>
          <w:rStyle w:val="Appelnotedebasdep"/>
          <w:lang w:val="en-CA"/>
        </w:rPr>
        <w:footnoteReference w:id="79"/>
      </w:r>
      <w:r w:rsidR="00DE2A80" w:rsidRPr="00E60984">
        <w:rPr>
          <w:lang w:val="en-CA"/>
        </w:rPr>
        <w:t xml:space="preserve"> </w:t>
      </w:r>
      <w:r w:rsidR="007861F7" w:rsidRPr="00E60984">
        <w:rPr>
          <w:lang w:val="en-CA"/>
        </w:rPr>
        <w:t>Police officers involved are usually met within 48 hours of the occurrence, whereas witness police officers are met within 24 hours of the occurrence.</w:t>
      </w:r>
      <w:r w:rsidR="007861F7" w:rsidRPr="00E60984">
        <w:rPr>
          <w:rStyle w:val="Appelnotedebasdep"/>
          <w:lang w:val="en-CA"/>
        </w:rPr>
        <w:footnoteReference w:id="80"/>
      </w:r>
    </w:p>
    <w:p w14:paraId="2FCBF677" w14:textId="0F66300B" w:rsidR="00A17C43" w:rsidRPr="00E60984" w:rsidRDefault="007861F7" w:rsidP="005F15BF">
      <w:pPr>
        <w:pStyle w:val="Paragraphe"/>
        <w:spacing w:line="240" w:lineRule="auto"/>
        <w:rPr>
          <w:lang w:val="en-CA"/>
        </w:rPr>
      </w:pPr>
      <w:r w:rsidRPr="00E60984">
        <w:rPr>
          <w:lang w:val="en-CA"/>
        </w:rPr>
        <w:t>A BEI investigation has precedence over any other police investigation into the occurrence; that being</w:t>
      </w:r>
      <w:r w:rsidR="004E5219">
        <w:rPr>
          <w:lang w:val="en-CA"/>
        </w:rPr>
        <w:t xml:space="preserve"> so</w:t>
      </w:r>
      <w:r w:rsidRPr="00E60984">
        <w:rPr>
          <w:lang w:val="en-CA"/>
        </w:rPr>
        <w:t>, all police forces involved must cooperate with each other.</w:t>
      </w:r>
      <w:r w:rsidRPr="00E60984">
        <w:rPr>
          <w:rStyle w:val="Appelnotedebasdep"/>
          <w:lang w:val="en-CA"/>
        </w:rPr>
        <w:footnoteReference w:id="81"/>
      </w:r>
      <w:r w:rsidR="00DE2A80" w:rsidRPr="00E60984">
        <w:rPr>
          <w:lang w:val="en-CA"/>
        </w:rPr>
        <w:t xml:space="preserve"> </w:t>
      </w:r>
      <w:r w:rsidRPr="00E60984">
        <w:rPr>
          <w:lang w:val="en-CA"/>
        </w:rPr>
        <w:t xml:space="preserve">Moreover, the director of the police force involved must take the necessary measures to secure the scene of the occurrence, prevent the police officers </w:t>
      </w:r>
      <w:r w:rsidR="003608AB">
        <w:rPr>
          <w:lang w:val="en-CA"/>
        </w:rPr>
        <w:t>at issue</w:t>
      </w:r>
      <w:r w:rsidRPr="00E60984">
        <w:rPr>
          <w:lang w:val="en-CA"/>
        </w:rPr>
        <w:t xml:space="preserve"> from communicating with one another until they have submitted their accounts</w:t>
      </w:r>
      <w:r w:rsidR="004E5219">
        <w:rPr>
          <w:lang w:val="en-CA"/>
        </w:rPr>
        <w:t>,</w:t>
      </w:r>
      <w:r w:rsidRPr="00E60984">
        <w:rPr>
          <w:lang w:val="en-CA"/>
        </w:rPr>
        <w:t xml:space="preserve"> and provide the BEI with the information relevant to the investigation.</w:t>
      </w:r>
      <w:r w:rsidRPr="00E60984">
        <w:rPr>
          <w:rStyle w:val="Appelnotedebasdep"/>
          <w:lang w:val="en-CA"/>
        </w:rPr>
        <w:footnoteReference w:id="82"/>
      </w:r>
    </w:p>
    <w:p w14:paraId="3EBAF325" w14:textId="191CAC43" w:rsidR="00A17C43" w:rsidRPr="00E60984" w:rsidRDefault="007861F7" w:rsidP="005F15BF">
      <w:pPr>
        <w:pStyle w:val="Paragraphe"/>
        <w:spacing w:line="240" w:lineRule="auto"/>
        <w:rPr>
          <w:lang w:val="en-CA"/>
        </w:rPr>
      </w:pPr>
      <w:r w:rsidRPr="00E60984">
        <w:rPr>
          <w:lang w:val="en-CA"/>
        </w:rPr>
        <w:t xml:space="preserve">The investigation must be </w:t>
      </w:r>
      <w:r w:rsidR="00FD75C8">
        <w:rPr>
          <w:lang w:val="en-CA"/>
        </w:rPr>
        <w:t>brought to a close</w:t>
      </w:r>
      <w:r w:rsidR="00FD75C8" w:rsidRPr="00E60984">
        <w:rPr>
          <w:lang w:val="en-CA"/>
        </w:rPr>
        <w:t xml:space="preserve"> </w:t>
      </w:r>
      <w:r w:rsidR="00FD75C8">
        <w:rPr>
          <w:lang w:val="en-CA"/>
        </w:rPr>
        <w:t>swiftly</w:t>
      </w:r>
      <w:r w:rsidRPr="00E60984">
        <w:rPr>
          <w:lang w:val="en-CA"/>
        </w:rPr>
        <w:t xml:space="preserve">, unless the BEI director </w:t>
      </w:r>
      <w:r w:rsidR="00FD75C8">
        <w:rPr>
          <w:lang w:val="en-CA"/>
        </w:rPr>
        <w:t>concludes</w:t>
      </w:r>
      <w:r w:rsidRPr="00E60984">
        <w:rPr>
          <w:lang w:val="en-CA"/>
        </w:rPr>
        <w:t xml:space="preserve"> that the police intervention did not contribute to the death or </w:t>
      </w:r>
      <w:r w:rsidR="00050A47">
        <w:rPr>
          <w:lang w:val="en-CA"/>
        </w:rPr>
        <w:t xml:space="preserve">to the </w:t>
      </w:r>
      <w:r w:rsidRPr="00E60984">
        <w:rPr>
          <w:lang w:val="en-CA"/>
        </w:rPr>
        <w:t xml:space="preserve">serious injury, which means that an investigation may be </w:t>
      </w:r>
      <w:r w:rsidR="00FD75C8">
        <w:rPr>
          <w:lang w:val="en-CA"/>
        </w:rPr>
        <w:t>closed</w:t>
      </w:r>
      <w:r w:rsidR="00FD75C8" w:rsidRPr="00E60984">
        <w:rPr>
          <w:lang w:val="en-CA"/>
        </w:rPr>
        <w:t xml:space="preserve"> </w:t>
      </w:r>
      <w:r w:rsidRPr="00E60984">
        <w:rPr>
          <w:lang w:val="en-CA"/>
        </w:rPr>
        <w:t>in certain cases of suicide, for example.</w:t>
      </w:r>
      <w:r w:rsidRPr="00E60984">
        <w:rPr>
          <w:rStyle w:val="Appelnotedebasdep"/>
          <w:lang w:val="en-CA"/>
        </w:rPr>
        <w:footnoteReference w:id="83"/>
      </w:r>
    </w:p>
    <w:p w14:paraId="250EA9F6" w14:textId="24E42A80" w:rsidR="00A17C43" w:rsidRPr="00E60984" w:rsidRDefault="007861F7" w:rsidP="005F15BF">
      <w:pPr>
        <w:pStyle w:val="Paragraphe"/>
        <w:spacing w:line="240" w:lineRule="auto"/>
        <w:rPr>
          <w:lang w:val="en-CA"/>
        </w:rPr>
      </w:pPr>
      <w:r w:rsidRPr="00E60984">
        <w:rPr>
          <w:lang w:val="en-CA"/>
        </w:rPr>
        <w:lastRenderedPageBreak/>
        <w:t xml:space="preserve">Once the BEI investigation has been terminated, the investigation file </w:t>
      </w:r>
      <w:r w:rsidRPr="00E60984">
        <w:rPr>
          <w:u w:val="single"/>
          <w:lang w:val="en-CA"/>
        </w:rPr>
        <w:t>must</w:t>
      </w:r>
      <w:r w:rsidRPr="00E60984">
        <w:rPr>
          <w:lang w:val="en-CA"/>
        </w:rPr>
        <w:t xml:space="preserve"> be sent to the DCPP.</w:t>
      </w:r>
      <w:r w:rsidRPr="00E60984">
        <w:rPr>
          <w:rStyle w:val="Appelnotedebasdep"/>
          <w:lang w:val="en-CA"/>
        </w:rPr>
        <w:footnoteReference w:id="84"/>
      </w:r>
      <w:r w:rsidR="00DE2A80" w:rsidRPr="00E60984">
        <w:rPr>
          <w:lang w:val="en-CA"/>
        </w:rPr>
        <w:t xml:space="preserve"> </w:t>
      </w:r>
      <w:r w:rsidRPr="00E60984">
        <w:rPr>
          <w:lang w:val="en-CA"/>
        </w:rPr>
        <w:t xml:space="preserve">The DCPP is </w:t>
      </w:r>
      <w:r w:rsidR="00256D7A">
        <w:rPr>
          <w:lang w:val="en-CA"/>
        </w:rPr>
        <w:t xml:space="preserve">then </w:t>
      </w:r>
      <w:r w:rsidRPr="00E60984">
        <w:rPr>
          <w:lang w:val="en-CA"/>
        </w:rPr>
        <w:t>charged with deciding whether to lay criminal charges against the police officer involved.</w:t>
      </w:r>
      <w:r w:rsidRPr="00E60984">
        <w:rPr>
          <w:rStyle w:val="Appelnotedebasdep"/>
          <w:lang w:val="en-CA"/>
        </w:rPr>
        <w:footnoteReference w:id="85"/>
      </w:r>
    </w:p>
    <w:p w14:paraId="3E9AFBD6" w14:textId="69269714" w:rsidR="00A17C43" w:rsidRPr="00E60984" w:rsidRDefault="007861F7" w:rsidP="005F15BF">
      <w:pPr>
        <w:pStyle w:val="Paragraphe"/>
        <w:spacing w:line="240" w:lineRule="auto"/>
        <w:rPr>
          <w:lang w:val="en-CA"/>
        </w:rPr>
      </w:pPr>
      <w:r w:rsidRPr="00E60984">
        <w:rPr>
          <w:lang w:val="en-CA"/>
        </w:rPr>
        <w:t xml:space="preserve">Where appropriate, the investigation report </w:t>
      </w:r>
      <w:r w:rsidR="00256D7A">
        <w:rPr>
          <w:lang w:val="en-CA"/>
        </w:rPr>
        <w:t>may</w:t>
      </w:r>
      <w:r w:rsidRPr="00E60984">
        <w:rPr>
          <w:lang w:val="en-CA"/>
        </w:rPr>
        <w:t xml:space="preserve"> also be sent to the coroner, the Police Ethics Commissioner, the internal affairs of the police force of which the police officer involved is a member or the Public Protector in order for them to process it.</w:t>
      </w:r>
      <w:r w:rsidRPr="00E60984">
        <w:rPr>
          <w:rStyle w:val="Appelnotedebasdep"/>
          <w:lang w:val="en-CA"/>
        </w:rPr>
        <w:footnoteReference w:id="86"/>
      </w:r>
      <w:r w:rsidR="00DE2A80" w:rsidRPr="00E60984">
        <w:rPr>
          <w:lang w:val="en-CA"/>
        </w:rPr>
        <w:t xml:space="preserve"> </w:t>
      </w:r>
    </w:p>
    <w:p w14:paraId="5ABC26CB" w14:textId="22F3A3AB" w:rsidR="00A17C43" w:rsidRPr="00E60984" w:rsidRDefault="00E6201C" w:rsidP="005F15BF">
      <w:pPr>
        <w:pStyle w:val="Paragraphe"/>
        <w:spacing w:line="240" w:lineRule="auto"/>
        <w:rPr>
          <w:lang w:val="en-CA"/>
        </w:rPr>
      </w:pPr>
      <w:r>
        <w:rPr>
          <w:lang w:val="en-CA"/>
        </w:rPr>
        <w:t>Moreover</w:t>
      </w:r>
      <w:r w:rsidR="00EB6D88" w:rsidRPr="00E60984">
        <w:rPr>
          <w:lang w:val="en-CA"/>
        </w:rPr>
        <w:t xml:space="preserve">, </w:t>
      </w:r>
      <w:r w:rsidR="009B2894">
        <w:rPr>
          <w:lang w:val="en-CA"/>
        </w:rPr>
        <w:t xml:space="preserve">the </w:t>
      </w:r>
      <w:r w:rsidR="00EB6D88" w:rsidRPr="00E60984">
        <w:rPr>
          <w:lang w:val="en-CA"/>
        </w:rPr>
        <w:t>BEI reports to the public, primarily on the status of its activities at least twice yearly</w:t>
      </w:r>
      <w:r w:rsidR="00EB6D88" w:rsidRPr="00E60984">
        <w:rPr>
          <w:rStyle w:val="Appelnotedebasdep"/>
          <w:lang w:val="en-CA"/>
        </w:rPr>
        <w:footnoteReference w:id="87"/>
      </w:r>
      <w:r w:rsidR="00EB6D88" w:rsidRPr="00E60984">
        <w:rPr>
          <w:lang w:val="en-CA"/>
        </w:rPr>
        <w:t xml:space="preserve"> and by </w:t>
      </w:r>
      <w:r w:rsidR="009B2894">
        <w:rPr>
          <w:lang w:val="en-CA"/>
        </w:rPr>
        <w:t>submitt</w:t>
      </w:r>
      <w:r w:rsidR="00EB6D88" w:rsidRPr="00E60984">
        <w:rPr>
          <w:lang w:val="en-CA"/>
        </w:rPr>
        <w:t xml:space="preserve">ing an annual report </w:t>
      </w:r>
      <w:r w:rsidR="009B2894">
        <w:rPr>
          <w:lang w:val="en-CA"/>
        </w:rPr>
        <w:t>to be tabled in</w:t>
      </w:r>
      <w:r w:rsidR="00EB6D88" w:rsidRPr="00E60984">
        <w:rPr>
          <w:lang w:val="en-CA"/>
        </w:rPr>
        <w:t xml:space="preserve"> the National Assembly.</w:t>
      </w:r>
      <w:r w:rsidR="00EB6D88" w:rsidRPr="00E60984">
        <w:rPr>
          <w:rStyle w:val="Appelnotedebasdep"/>
          <w:lang w:val="en-CA"/>
        </w:rPr>
        <w:footnoteReference w:id="88"/>
      </w:r>
      <w:r w:rsidR="00DE2A80" w:rsidRPr="00E60984">
        <w:rPr>
          <w:lang w:val="en-CA"/>
        </w:rPr>
        <w:t xml:space="preserve"> </w:t>
      </w:r>
      <w:r w:rsidR="009B2894">
        <w:rPr>
          <w:lang w:val="en-CA"/>
        </w:rPr>
        <w:t>D</w:t>
      </w:r>
      <w:r w:rsidR="009B2894" w:rsidRPr="00E60984">
        <w:rPr>
          <w:lang w:val="en-CA"/>
        </w:rPr>
        <w:t xml:space="preserve">uring its investigation, </w:t>
      </w:r>
      <w:r w:rsidR="009B2894">
        <w:rPr>
          <w:lang w:val="en-CA"/>
        </w:rPr>
        <w:t>t</w:t>
      </w:r>
      <w:r w:rsidR="00EB6D88" w:rsidRPr="00E60984">
        <w:rPr>
          <w:lang w:val="en-CA"/>
        </w:rPr>
        <w:t>he BEI also communicates with the public on the conduct of the investigation,</w:t>
      </w:r>
      <w:r w:rsidR="00EB6D88" w:rsidRPr="00E60984">
        <w:rPr>
          <w:rStyle w:val="Appelnotedebasdep"/>
          <w:lang w:val="en-CA"/>
        </w:rPr>
        <w:footnoteReference w:id="89"/>
      </w:r>
      <w:r w:rsidR="00EB6D88" w:rsidRPr="00E60984">
        <w:rPr>
          <w:lang w:val="en-CA"/>
        </w:rPr>
        <w:t xml:space="preserve"> and with the persons injured following the occurrence and with the members of the families involved.</w:t>
      </w:r>
      <w:r w:rsidR="00EB6D88" w:rsidRPr="00E60984">
        <w:rPr>
          <w:rStyle w:val="Appelnotedebasdep"/>
          <w:lang w:val="en-CA"/>
        </w:rPr>
        <w:footnoteReference w:id="90"/>
      </w:r>
      <w:r w:rsidR="00DE2A80" w:rsidRPr="00E60984">
        <w:rPr>
          <w:lang w:val="en-CA"/>
        </w:rPr>
        <w:t xml:space="preserve"> </w:t>
      </w:r>
      <w:r w:rsidR="00EB6D88" w:rsidRPr="00E60984">
        <w:rPr>
          <w:lang w:val="en-CA"/>
        </w:rPr>
        <w:t xml:space="preserve">Moreover, the other police forces must </w:t>
      </w:r>
      <w:r w:rsidR="009B2894">
        <w:rPr>
          <w:lang w:val="en-CA"/>
        </w:rPr>
        <w:t xml:space="preserve">make </w:t>
      </w:r>
      <w:r w:rsidR="00EB6D88" w:rsidRPr="00E60984">
        <w:rPr>
          <w:lang w:val="en-CA"/>
        </w:rPr>
        <w:t xml:space="preserve">sure that their own communications </w:t>
      </w:r>
      <w:r w:rsidR="009B2894">
        <w:rPr>
          <w:lang w:val="en-CA"/>
        </w:rPr>
        <w:t xml:space="preserve">made to </w:t>
      </w:r>
      <w:r w:rsidR="00EB6D88" w:rsidRPr="00E60984">
        <w:rPr>
          <w:lang w:val="en-CA"/>
        </w:rPr>
        <w:t>the public and the parties involved do not impede the BEI investigation.</w:t>
      </w:r>
      <w:r w:rsidR="00EB6D88" w:rsidRPr="00E60984">
        <w:rPr>
          <w:rStyle w:val="Appelnotedebasdep"/>
          <w:lang w:val="en-CA"/>
        </w:rPr>
        <w:footnoteReference w:id="91"/>
      </w:r>
      <w:r w:rsidR="00DE2A80" w:rsidRPr="00E60984">
        <w:rPr>
          <w:lang w:val="en-CA"/>
        </w:rPr>
        <w:t xml:space="preserve"> </w:t>
      </w:r>
    </w:p>
    <w:p w14:paraId="7F2922B8" w14:textId="79CCED8F" w:rsidR="00A17C43" w:rsidRPr="00E60984" w:rsidRDefault="00EB6D88" w:rsidP="005F15BF">
      <w:pPr>
        <w:pStyle w:val="Paragraphe"/>
        <w:spacing w:line="240" w:lineRule="auto"/>
        <w:rPr>
          <w:lang w:val="en-CA"/>
        </w:rPr>
      </w:pPr>
      <w:r w:rsidRPr="00E60984">
        <w:rPr>
          <w:lang w:val="en-CA"/>
        </w:rPr>
        <w:t>The extrinsic evidence reveals the following.</w:t>
      </w:r>
      <w:r w:rsidR="00DE2A80" w:rsidRPr="00E60984">
        <w:rPr>
          <w:lang w:val="en-CA"/>
        </w:rPr>
        <w:t xml:space="preserve"> </w:t>
      </w:r>
    </w:p>
    <w:p w14:paraId="6825D90A" w14:textId="1B816ABA" w:rsidR="00A17C43" w:rsidRPr="00E60984" w:rsidRDefault="00C143A7" w:rsidP="005F15BF">
      <w:pPr>
        <w:pStyle w:val="Paragraphe"/>
        <w:spacing w:line="240" w:lineRule="auto"/>
        <w:rPr>
          <w:lang w:val="en-CA"/>
        </w:rPr>
      </w:pPr>
      <w:bookmarkStart w:id="23" w:name="_Hlk151800339"/>
      <w:r w:rsidRPr="00E60984">
        <w:rPr>
          <w:lang w:val="en-CA"/>
        </w:rPr>
        <w:t xml:space="preserve">As previously noted, the AGQ acknowledges that when the BEI investigates following a complaint, the police officer involved must be </w:t>
      </w:r>
      <w:r w:rsidR="009B2894">
        <w:rPr>
          <w:lang w:val="en-CA"/>
        </w:rPr>
        <w:t>treated</w:t>
      </w:r>
      <w:r w:rsidRPr="00E60984">
        <w:rPr>
          <w:lang w:val="en-CA"/>
        </w:rPr>
        <w:t xml:space="preserve"> as a suspect in a criminal investigation and </w:t>
      </w:r>
      <w:r w:rsidR="00E05CFF">
        <w:rPr>
          <w:lang w:val="en-CA"/>
        </w:rPr>
        <w:t xml:space="preserve">then </w:t>
      </w:r>
      <w:r w:rsidRPr="00E60984">
        <w:rPr>
          <w:lang w:val="en-CA"/>
        </w:rPr>
        <w:t xml:space="preserve">enjoys all the criminal law protections under the </w:t>
      </w:r>
      <w:r w:rsidRPr="00E60984">
        <w:rPr>
          <w:i/>
          <w:lang w:val="en-CA"/>
        </w:rPr>
        <w:t>Criminal Code</w:t>
      </w:r>
      <w:r w:rsidRPr="00E60984">
        <w:rPr>
          <w:lang w:val="en-CA"/>
        </w:rPr>
        <w:t xml:space="preserve"> and the common law as soon as the investigation is launched. </w:t>
      </w:r>
      <w:bookmarkEnd w:id="23"/>
      <w:r w:rsidRPr="00E60984">
        <w:rPr>
          <w:lang w:val="en-CA"/>
        </w:rPr>
        <w:t>This is expressly stated in a BEI report:</w:t>
      </w:r>
      <w:r w:rsidRPr="00E60984">
        <w:rPr>
          <w:rStyle w:val="Appelnotedebasdep"/>
          <w:lang w:val="en-CA"/>
        </w:rPr>
        <w:footnoteReference w:id="92"/>
      </w:r>
    </w:p>
    <w:p w14:paraId="0DD5D3B5" w14:textId="57A50BBF" w:rsidR="00C143A7" w:rsidRPr="00E60984" w:rsidRDefault="00C143A7" w:rsidP="005F15BF">
      <w:pPr>
        <w:pStyle w:val="Citationenretrait"/>
        <w:spacing w:line="240" w:lineRule="auto"/>
        <w:rPr>
          <w:lang w:val="en-CA"/>
        </w:rPr>
      </w:pPr>
      <w:r w:rsidRPr="00E60984">
        <w:rPr>
          <w:rFonts w:cs="Arial"/>
          <w:lang w:val="en-CA"/>
        </w:rPr>
        <w:t>[</w:t>
      </w:r>
      <w:r w:rsidRPr="00E60984">
        <w:rPr>
          <w:rFonts w:cs="Arial"/>
          <w:smallCaps/>
          <w:lang w:val="en-CA"/>
        </w:rPr>
        <w:t>translation</w:t>
      </w:r>
      <w:r w:rsidRPr="00E60984">
        <w:rPr>
          <w:rFonts w:cs="Arial"/>
          <w:lang w:val="en-CA"/>
        </w:rPr>
        <w:t>]</w:t>
      </w:r>
    </w:p>
    <w:p w14:paraId="0F043991" w14:textId="2304F65F" w:rsidR="00A17C43" w:rsidRPr="00E60984" w:rsidRDefault="00C143A7" w:rsidP="005F15BF">
      <w:pPr>
        <w:pStyle w:val="Citationenretrait"/>
        <w:spacing w:line="240" w:lineRule="auto"/>
        <w:rPr>
          <w:lang w:val="en-CA"/>
        </w:rPr>
      </w:pPr>
      <w:r w:rsidRPr="00E60984">
        <w:rPr>
          <w:lang w:val="en-CA"/>
        </w:rPr>
        <w:t xml:space="preserve">In allegations of criminal offences, citizens file a complaint concerning </w:t>
      </w:r>
      <w:r w:rsidR="009B2894">
        <w:rPr>
          <w:lang w:val="en-CA"/>
        </w:rPr>
        <w:t xml:space="preserve">the </w:t>
      </w:r>
      <w:r w:rsidR="00E05CFF">
        <w:rPr>
          <w:lang w:val="en-CA"/>
        </w:rPr>
        <w:t xml:space="preserve">specific </w:t>
      </w:r>
      <w:r w:rsidRPr="00E60984">
        <w:rPr>
          <w:lang w:val="en-CA"/>
        </w:rPr>
        <w:t xml:space="preserve">illegal </w:t>
      </w:r>
      <w:r w:rsidR="009B2894">
        <w:rPr>
          <w:lang w:val="en-CA"/>
        </w:rPr>
        <w:t xml:space="preserve">conduct </w:t>
      </w:r>
      <w:r w:rsidRPr="00E60984">
        <w:rPr>
          <w:lang w:val="en-CA"/>
        </w:rPr>
        <w:t>of a police officer.</w:t>
      </w:r>
      <w:r w:rsidR="00DE2A80" w:rsidRPr="00E60984">
        <w:rPr>
          <w:lang w:val="en-CA"/>
        </w:rPr>
        <w:t xml:space="preserve"> </w:t>
      </w:r>
      <w:r w:rsidRPr="00E60984">
        <w:rPr>
          <w:lang w:val="en-CA"/>
        </w:rPr>
        <w:t>The police officer is therefore suspected of having committed a criminal offence.</w:t>
      </w:r>
      <w:r w:rsidR="00DE2A80" w:rsidRPr="00E60984">
        <w:rPr>
          <w:lang w:val="en-CA"/>
        </w:rPr>
        <w:t xml:space="preserve"> </w:t>
      </w:r>
      <w:r w:rsidR="009B2894">
        <w:rPr>
          <w:lang w:val="en-CA"/>
        </w:rPr>
        <w:t>A</w:t>
      </w:r>
      <w:r w:rsidR="009B2894" w:rsidRPr="00E60984">
        <w:rPr>
          <w:lang w:val="en-CA"/>
        </w:rPr>
        <w:t xml:space="preserve">s soon as the file is opened, </w:t>
      </w:r>
      <w:r w:rsidR="009B2894">
        <w:rPr>
          <w:lang w:val="en-CA"/>
        </w:rPr>
        <w:t>t</w:t>
      </w:r>
      <w:r w:rsidRPr="00E60984">
        <w:rPr>
          <w:lang w:val="en-CA"/>
        </w:rPr>
        <w:t>he BEI must comply ... with all the legal obligations that apply to a criminal investigation, like any other police force.</w:t>
      </w:r>
    </w:p>
    <w:p w14:paraId="3021167D" w14:textId="1A472C64" w:rsidR="00A17C43" w:rsidRPr="00E60984" w:rsidRDefault="00C143A7" w:rsidP="00936B81">
      <w:pPr>
        <w:pStyle w:val="Paragraphe"/>
        <w:spacing w:before="240" w:line="240" w:lineRule="auto"/>
        <w:rPr>
          <w:lang w:val="en-CA"/>
        </w:rPr>
      </w:pPr>
      <w:r w:rsidRPr="00E60984">
        <w:rPr>
          <w:lang w:val="en-CA"/>
        </w:rPr>
        <w:lastRenderedPageBreak/>
        <w:t>This same report states that when the BEI investigates a police officer following a death or serious injury during a police intervention, the purpose of the investigation is also to determine whether a criminal offence was committed:</w:t>
      </w:r>
      <w:r w:rsidRPr="00E60984">
        <w:rPr>
          <w:rStyle w:val="Appelnotedebasdep"/>
          <w:lang w:val="en-CA"/>
        </w:rPr>
        <w:footnoteReference w:id="93"/>
      </w:r>
    </w:p>
    <w:p w14:paraId="599405BA" w14:textId="1EACA3D0" w:rsidR="00C143A7" w:rsidRPr="00E60984" w:rsidRDefault="00C143A7" w:rsidP="005F15BF">
      <w:pPr>
        <w:pStyle w:val="Citationenretrait"/>
        <w:spacing w:line="240" w:lineRule="auto"/>
        <w:rPr>
          <w:lang w:val="en-CA"/>
        </w:rPr>
      </w:pPr>
      <w:r w:rsidRPr="00E60984">
        <w:rPr>
          <w:rFonts w:cs="Arial"/>
          <w:lang w:val="en-CA"/>
        </w:rPr>
        <w:t>[</w:t>
      </w:r>
      <w:r w:rsidRPr="00E60984">
        <w:rPr>
          <w:rFonts w:cs="Arial"/>
          <w:smallCaps/>
          <w:lang w:val="en-CA"/>
        </w:rPr>
        <w:t>translation</w:t>
      </w:r>
      <w:r w:rsidRPr="00E60984">
        <w:rPr>
          <w:rFonts w:cs="Arial"/>
          <w:lang w:val="en-CA"/>
        </w:rPr>
        <w:t>]</w:t>
      </w:r>
    </w:p>
    <w:p w14:paraId="006896B3" w14:textId="41689376" w:rsidR="00A17C43" w:rsidRPr="00E60984" w:rsidRDefault="00C143A7" w:rsidP="005F15BF">
      <w:pPr>
        <w:pStyle w:val="Citationenretrait"/>
        <w:spacing w:line="240" w:lineRule="auto"/>
        <w:rPr>
          <w:lang w:val="en-CA"/>
        </w:rPr>
      </w:pPr>
      <w:r w:rsidRPr="00E60984">
        <w:rPr>
          <w:lang w:val="en-CA"/>
        </w:rPr>
        <w:t>The situation is different for independent investigations.</w:t>
      </w:r>
      <w:r w:rsidR="00DE2A80" w:rsidRPr="00E60984">
        <w:rPr>
          <w:lang w:val="en-CA"/>
        </w:rPr>
        <w:t xml:space="preserve"> </w:t>
      </w:r>
      <w:r w:rsidRPr="00E60984">
        <w:rPr>
          <w:lang w:val="en-CA"/>
        </w:rPr>
        <w:t>Contrary to the public’s image of a traditional criminal investigation, the investigation does not start with a known crime that has been committed to identify and gather evidence against a suspect.</w:t>
      </w:r>
      <w:r w:rsidR="00DE2A80" w:rsidRPr="00E60984">
        <w:rPr>
          <w:lang w:val="en-CA"/>
        </w:rPr>
        <w:t xml:space="preserve"> </w:t>
      </w:r>
      <w:r w:rsidRPr="00E60984">
        <w:rPr>
          <w:lang w:val="en-CA"/>
        </w:rPr>
        <w:t xml:space="preserve">The players and </w:t>
      </w:r>
      <w:r w:rsidR="00AD1910">
        <w:rPr>
          <w:lang w:val="en-CA"/>
        </w:rPr>
        <w:t>outlines</w:t>
      </w:r>
      <w:r w:rsidRPr="00E60984">
        <w:rPr>
          <w:lang w:val="en-CA"/>
        </w:rPr>
        <w:t xml:space="preserve"> of the occurrence are already known, so </w:t>
      </w:r>
      <w:r w:rsidRPr="00E60984">
        <w:rPr>
          <w:u w:val="single"/>
          <w:lang w:val="en-CA"/>
        </w:rPr>
        <w:t>the only issue is to determine whether a criminal offence was committed</w:t>
      </w:r>
      <w:r w:rsidRPr="00E60984">
        <w:rPr>
          <w:lang w:val="en-CA"/>
        </w:rPr>
        <w:t>.</w:t>
      </w:r>
    </w:p>
    <w:p w14:paraId="476A09F9" w14:textId="2C0028D8" w:rsidR="00A17C43" w:rsidRPr="00E60984" w:rsidRDefault="00C143A7" w:rsidP="00AD1D58">
      <w:pPr>
        <w:pStyle w:val="Citationenretrait"/>
        <w:spacing w:before="0" w:line="240" w:lineRule="auto"/>
        <w:jc w:val="right"/>
        <w:rPr>
          <w:lang w:val="en-CA"/>
        </w:rPr>
      </w:pPr>
      <w:r w:rsidRPr="00E60984">
        <w:rPr>
          <w:lang w:val="en-CA"/>
        </w:rPr>
        <w:t>[Emphasis added.]</w:t>
      </w:r>
    </w:p>
    <w:p w14:paraId="4A0D7118" w14:textId="2D5B4DE7" w:rsidR="00A17C43" w:rsidRPr="00E60984" w:rsidRDefault="007B4907" w:rsidP="005F15BF">
      <w:pPr>
        <w:pStyle w:val="Paragraphe"/>
        <w:spacing w:line="240" w:lineRule="auto"/>
        <w:rPr>
          <w:lang w:val="en-CA"/>
        </w:rPr>
      </w:pPr>
      <w:r>
        <w:rPr>
          <w:lang w:val="en-CA"/>
        </w:rPr>
        <w:t>I</w:t>
      </w:r>
      <w:r w:rsidR="00C143A7" w:rsidRPr="00E60984">
        <w:rPr>
          <w:lang w:val="en-CA"/>
        </w:rPr>
        <w:t xml:space="preserve">n </w:t>
      </w:r>
      <w:r w:rsidR="00AD1910">
        <w:rPr>
          <w:lang w:val="en-CA"/>
        </w:rPr>
        <w:t>that</w:t>
      </w:r>
      <w:r w:rsidR="00AD1910" w:rsidRPr="00E60984">
        <w:rPr>
          <w:lang w:val="en-CA"/>
        </w:rPr>
        <w:t xml:space="preserve"> </w:t>
      </w:r>
      <w:r w:rsidR="00C143A7" w:rsidRPr="00E60984">
        <w:rPr>
          <w:lang w:val="en-CA"/>
        </w:rPr>
        <w:t xml:space="preserve">case, </w:t>
      </w:r>
      <w:r>
        <w:rPr>
          <w:lang w:val="en-CA"/>
        </w:rPr>
        <w:t xml:space="preserve">however, </w:t>
      </w:r>
      <w:r w:rsidR="00C143A7" w:rsidRPr="00E60984">
        <w:rPr>
          <w:lang w:val="en-CA"/>
        </w:rPr>
        <w:t xml:space="preserve">according to the BEI report, </w:t>
      </w:r>
      <w:r w:rsidR="00C143A7" w:rsidRPr="00E60984">
        <w:rPr>
          <w:rFonts w:cs="Arial"/>
          <w:lang w:val="en-CA"/>
        </w:rPr>
        <w:t>[</w:t>
      </w:r>
      <w:r w:rsidR="00C143A7" w:rsidRPr="00E60984">
        <w:rPr>
          <w:rFonts w:cs="Arial"/>
          <w:smallCaps/>
          <w:lang w:val="en-CA"/>
        </w:rPr>
        <w:t>translation</w:t>
      </w:r>
      <w:r w:rsidR="00C143A7" w:rsidRPr="00E60984">
        <w:rPr>
          <w:rFonts w:cs="Arial"/>
          <w:lang w:val="en-CA"/>
        </w:rPr>
        <w:t>]</w:t>
      </w:r>
      <w:r w:rsidR="00C143A7" w:rsidRPr="00E60984">
        <w:rPr>
          <w:lang w:val="en-CA"/>
        </w:rPr>
        <w:t xml:space="preserve"> “when the investigation begins, contrary to an investigation into an allegation of criminal offence, the police officer is not a suspect and is not </w:t>
      </w:r>
      <w:r>
        <w:rPr>
          <w:lang w:val="en-CA"/>
        </w:rPr>
        <w:t xml:space="preserve">the subject of </w:t>
      </w:r>
      <w:r w:rsidR="00C143A7" w:rsidRPr="00E60984">
        <w:rPr>
          <w:lang w:val="en-CA"/>
        </w:rPr>
        <w:t>an</w:t>
      </w:r>
      <w:r>
        <w:rPr>
          <w:lang w:val="en-CA"/>
        </w:rPr>
        <w:t>y</w:t>
      </w:r>
      <w:r w:rsidR="00C143A7" w:rsidRPr="00E60984">
        <w:rPr>
          <w:lang w:val="en-CA"/>
        </w:rPr>
        <w:t xml:space="preserve"> allegation of criminal offence”.</w:t>
      </w:r>
      <w:r w:rsidR="00C143A7" w:rsidRPr="00E60984">
        <w:rPr>
          <w:rStyle w:val="Appelnotedebasdep"/>
          <w:lang w:val="en-CA"/>
        </w:rPr>
        <w:footnoteReference w:id="94"/>
      </w:r>
      <w:r w:rsidR="00DE2A80" w:rsidRPr="00E60984">
        <w:rPr>
          <w:lang w:val="en-CA"/>
        </w:rPr>
        <w:t xml:space="preserve"> </w:t>
      </w:r>
      <w:r w:rsidR="00C143A7" w:rsidRPr="00E60984">
        <w:rPr>
          <w:lang w:val="en-CA"/>
        </w:rPr>
        <w:t>That being</w:t>
      </w:r>
      <w:r>
        <w:rPr>
          <w:lang w:val="en-CA"/>
        </w:rPr>
        <w:t xml:space="preserve"> so</w:t>
      </w:r>
      <w:r w:rsidR="00C143A7" w:rsidRPr="00E60984">
        <w:rPr>
          <w:lang w:val="en-CA"/>
        </w:rPr>
        <w:t xml:space="preserve">, the BEI report adds that if evidence obtained during the </w:t>
      </w:r>
      <w:r>
        <w:rPr>
          <w:lang w:val="en-CA"/>
        </w:rPr>
        <w:t xml:space="preserve">course of the </w:t>
      </w:r>
      <w:r w:rsidR="00C143A7" w:rsidRPr="00E60984">
        <w:rPr>
          <w:lang w:val="en-CA"/>
        </w:rPr>
        <w:t xml:space="preserve">investigation </w:t>
      </w:r>
      <w:r>
        <w:rPr>
          <w:lang w:val="en-CA"/>
        </w:rPr>
        <w:t xml:space="preserve">appears to indicate </w:t>
      </w:r>
      <w:r w:rsidR="00C143A7" w:rsidRPr="00E60984">
        <w:rPr>
          <w:lang w:val="en-CA"/>
        </w:rPr>
        <w:t xml:space="preserve">that a police officer may have committed a criminal offence, BEI investigators must treat the officer as a suspect and the officer </w:t>
      </w:r>
      <w:r w:rsidR="00AD1910">
        <w:rPr>
          <w:lang w:val="en-CA"/>
        </w:rPr>
        <w:t xml:space="preserve">is </w:t>
      </w:r>
      <w:r w:rsidR="00C143A7" w:rsidRPr="00E60984">
        <w:rPr>
          <w:lang w:val="en-CA"/>
        </w:rPr>
        <w:t xml:space="preserve">then </w:t>
      </w:r>
      <w:r w:rsidR="00AD1910">
        <w:rPr>
          <w:lang w:val="en-CA"/>
        </w:rPr>
        <w:t>afforded</w:t>
      </w:r>
      <w:r w:rsidR="00C143A7" w:rsidRPr="00E60984">
        <w:rPr>
          <w:lang w:val="en-CA"/>
        </w:rPr>
        <w:t>, and only as of that point, all the protection</w:t>
      </w:r>
      <w:r>
        <w:rPr>
          <w:lang w:val="en-CA"/>
        </w:rPr>
        <w:t>s</w:t>
      </w:r>
      <w:r w:rsidR="00C143A7" w:rsidRPr="00E60984">
        <w:rPr>
          <w:lang w:val="en-CA"/>
        </w:rPr>
        <w:t xml:space="preserve"> </w:t>
      </w:r>
      <w:r>
        <w:rPr>
          <w:lang w:val="en-CA"/>
        </w:rPr>
        <w:t xml:space="preserve">granted </w:t>
      </w:r>
      <w:r w:rsidR="00C143A7" w:rsidRPr="00E60984">
        <w:rPr>
          <w:lang w:val="en-CA"/>
        </w:rPr>
        <w:t>by the criminal law to a suspect in a criminal matter.</w:t>
      </w:r>
      <w:r w:rsidR="00C143A7" w:rsidRPr="00E60984">
        <w:rPr>
          <w:rStyle w:val="Appelnotedebasdep"/>
          <w:lang w:val="en-CA"/>
        </w:rPr>
        <w:footnoteReference w:id="95"/>
      </w:r>
    </w:p>
    <w:p w14:paraId="00B89391" w14:textId="6E6A1167" w:rsidR="00A17C43" w:rsidRPr="00E60984" w:rsidRDefault="00C143A7" w:rsidP="005F15BF">
      <w:pPr>
        <w:pStyle w:val="Paragraphe"/>
        <w:spacing w:line="240" w:lineRule="auto"/>
        <w:rPr>
          <w:lang w:val="en-CA"/>
        </w:rPr>
      </w:pPr>
      <w:r w:rsidRPr="00E60984">
        <w:rPr>
          <w:lang w:val="en-CA"/>
        </w:rPr>
        <w:t xml:space="preserve">Moreover, during parliamentary debates on the </w:t>
      </w:r>
      <w:r w:rsidR="00AD1910">
        <w:rPr>
          <w:lang w:val="en-CA"/>
        </w:rPr>
        <w:t>adoption</w:t>
      </w:r>
      <w:r w:rsidR="00AD1910" w:rsidRPr="00E60984">
        <w:rPr>
          <w:lang w:val="en-CA"/>
        </w:rPr>
        <w:t xml:space="preserve"> </w:t>
      </w:r>
      <w:r w:rsidRPr="00E60984">
        <w:rPr>
          <w:lang w:val="en-CA"/>
        </w:rPr>
        <w:t xml:space="preserve">in principle of the amendments to the </w:t>
      </w:r>
      <w:r w:rsidRPr="00E60984">
        <w:rPr>
          <w:i/>
          <w:lang w:val="en-CA"/>
        </w:rPr>
        <w:t>Police Act</w:t>
      </w:r>
      <w:r w:rsidRPr="00E60984">
        <w:rPr>
          <w:lang w:val="en-CA"/>
        </w:rPr>
        <w:t xml:space="preserve"> </w:t>
      </w:r>
      <w:r w:rsidR="00C9534B">
        <w:rPr>
          <w:lang w:val="en-CA"/>
        </w:rPr>
        <w:t>leading to</w:t>
      </w:r>
      <w:r w:rsidRPr="00E60984">
        <w:rPr>
          <w:lang w:val="en-CA"/>
        </w:rPr>
        <w:t xml:space="preserve"> the </w:t>
      </w:r>
      <w:r w:rsidR="00C9534B">
        <w:rPr>
          <w:lang w:val="en-CA"/>
        </w:rPr>
        <w:t xml:space="preserve">BEI’s </w:t>
      </w:r>
      <w:r w:rsidRPr="00E60984">
        <w:rPr>
          <w:lang w:val="en-CA"/>
        </w:rPr>
        <w:t>creation, the minister responsible stated the following about the mandate of this new police force during an investigation into a police officer’s involvement in an injury or death that occurred during a police intervention:</w:t>
      </w:r>
      <w:r w:rsidRPr="00E60984">
        <w:rPr>
          <w:rStyle w:val="Appelnotedebasdep"/>
          <w:lang w:val="en-CA"/>
        </w:rPr>
        <w:footnoteReference w:id="96"/>
      </w:r>
    </w:p>
    <w:p w14:paraId="3DA47FB2" w14:textId="6C3CAEB6" w:rsidR="00365BAB" w:rsidRDefault="00365BAB" w:rsidP="005F15BF">
      <w:pPr>
        <w:pStyle w:val="Citationenretrait"/>
        <w:spacing w:line="240" w:lineRule="auto"/>
        <w:rPr>
          <w:lang w:val="en-CA"/>
        </w:rPr>
      </w:pPr>
      <w:r w:rsidRPr="00E60984">
        <w:rPr>
          <w:rFonts w:cs="Arial"/>
          <w:lang w:val="en-CA"/>
        </w:rPr>
        <w:t>[</w:t>
      </w:r>
      <w:r w:rsidRPr="00E60984">
        <w:rPr>
          <w:rFonts w:cs="Arial"/>
          <w:smallCaps/>
          <w:lang w:val="en-CA"/>
        </w:rPr>
        <w:t>translation</w:t>
      </w:r>
      <w:r w:rsidRPr="00E60984">
        <w:rPr>
          <w:rFonts w:cs="Arial"/>
          <w:lang w:val="en-CA"/>
        </w:rPr>
        <w:t>]</w:t>
      </w:r>
    </w:p>
    <w:p w14:paraId="4401E017" w14:textId="052477F1" w:rsidR="00A17C43" w:rsidRPr="00E60984" w:rsidRDefault="00C143A7" w:rsidP="005F15BF">
      <w:pPr>
        <w:pStyle w:val="Citationenretrait"/>
        <w:spacing w:line="240" w:lineRule="auto"/>
        <w:rPr>
          <w:lang w:val="en-CA"/>
        </w:rPr>
      </w:pPr>
      <w:r w:rsidRPr="00E60984">
        <w:rPr>
          <w:lang w:val="en-CA"/>
        </w:rPr>
        <w:t xml:space="preserve">It gives me great pleasure to speak here today </w:t>
      </w:r>
      <w:r w:rsidR="006C0027">
        <w:rPr>
          <w:lang w:val="en-CA"/>
        </w:rPr>
        <w:t>for</w:t>
      </w:r>
      <w:r w:rsidR="006C0027" w:rsidRPr="00E60984">
        <w:rPr>
          <w:lang w:val="en-CA"/>
        </w:rPr>
        <w:t xml:space="preserve"> </w:t>
      </w:r>
      <w:r w:rsidRPr="00E60984">
        <w:rPr>
          <w:lang w:val="en-CA"/>
        </w:rPr>
        <w:t xml:space="preserve">the </w:t>
      </w:r>
      <w:r w:rsidR="006C0027">
        <w:rPr>
          <w:lang w:val="en-CA"/>
        </w:rPr>
        <w:t>adoption</w:t>
      </w:r>
      <w:r w:rsidR="006C0027" w:rsidRPr="00E60984">
        <w:rPr>
          <w:lang w:val="en-CA"/>
        </w:rPr>
        <w:t xml:space="preserve"> </w:t>
      </w:r>
      <w:r w:rsidRPr="00E60984">
        <w:rPr>
          <w:lang w:val="en-CA"/>
        </w:rPr>
        <w:t xml:space="preserve">in principle of Bill 12, the </w:t>
      </w:r>
      <w:r w:rsidRPr="00E60984">
        <w:rPr>
          <w:i/>
          <w:lang w:val="en-CA"/>
        </w:rPr>
        <w:t>Act to amend the Police Act as concerns independent investigations</w:t>
      </w:r>
      <w:r w:rsidRPr="00E60984">
        <w:rPr>
          <w:lang w:val="en-CA"/>
        </w:rPr>
        <w:t>.</w:t>
      </w:r>
      <w:r w:rsidR="00DE2A80" w:rsidRPr="00E60984">
        <w:rPr>
          <w:lang w:val="en-CA"/>
        </w:rPr>
        <w:t xml:space="preserve"> </w:t>
      </w:r>
      <w:r w:rsidRPr="00E60984">
        <w:rPr>
          <w:u w:val="single"/>
          <w:lang w:val="en-CA"/>
        </w:rPr>
        <w:t xml:space="preserve">The purpose of independent investigations is to verify whether there is evidence </w:t>
      </w:r>
      <w:r w:rsidR="00E80902">
        <w:rPr>
          <w:u w:val="single"/>
          <w:lang w:val="en-CA"/>
        </w:rPr>
        <w:t>indicat</w:t>
      </w:r>
      <w:r w:rsidRPr="00E60984">
        <w:rPr>
          <w:u w:val="single"/>
          <w:lang w:val="en-CA"/>
        </w:rPr>
        <w:t xml:space="preserve">ing </w:t>
      </w:r>
      <w:r w:rsidR="00E80902">
        <w:rPr>
          <w:u w:val="single"/>
          <w:lang w:val="en-CA"/>
        </w:rPr>
        <w:t xml:space="preserve">that </w:t>
      </w:r>
      <w:r w:rsidRPr="00E60984">
        <w:rPr>
          <w:u w:val="single"/>
          <w:lang w:val="en-CA"/>
        </w:rPr>
        <w:t xml:space="preserve">a criminal offence </w:t>
      </w:r>
      <w:r w:rsidR="00E80902">
        <w:rPr>
          <w:u w:val="single"/>
          <w:lang w:val="en-CA"/>
        </w:rPr>
        <w:t xml:space="preserve">has been committed </w:t>
      </w:r>
      <w:r w:rsidRPr="00E60984">
        <w:rPr>
          <w:u w:val="single"/>
          <w:lang w:val="en-CA"/>
        </w:rPr>
        <w:t>by police officers involved in an occurrence.</w:t>
      </w:r>
      <w:r w:rsidR="00DE2A80" w:rsidRPr="00E60984">
        <w:rPr>
          <w:lang w:val="en-CA"/>
        </w:rPr>
        <w:t xml:space="preserve"> </w:t>
      </w:r>
      <w:r w:rsidRPr="00E60984">
        <w:rPr>
          <w:lang w:val="en-CA"/>
        </w:rPr>
        <w:t xml:space="preserve">They are therefore not intended to verify whether there has been a derogation </w:t>
      </w:r>
      <w:r w:rsidR="006C0027">
        <w:rPr>
          <w:lang w:val="en-CA"/>
        </w:rPr>
        <w:t>to</w:t>
      </w:r>
      <w:r w:rsidR="006C0027" w:rsidRPr="00E60984">
        <w:rPr>
          <w:lang w:val="en-CA"/>
        </w:rPr>
        <w:t xml:space="preserve"> </w:t>
      </w:r>
      <w:r w:rsidRPr="00E60984">
        <w:rPr>
          <w:lang w:val="en-CA"/>
        </w:rPr>
        <w:t xml:space="preserve">the </w:t>
      </w:r>
      <w:r w:rsidRPr="00E60984">
        <w:rPr>
          <w:i/>
          <w:lang w:val="en-CA"/>
        </w:rPr>
        <w:t>Code of Ethics of Québec Police Officers</w:t>
      </w:r>
      <w:r w:rsidRPr="00E60984">
        <w:rPr>
          <w:lang w:val="en-CA"/>
        </w:rPr>
        <w:t xml:space="preserve">, which is subject to a separate process, or breaches of the disciplinary code, which fall within the aegis of internal police force investigations. Thus, the bureau will be charged with investigating every case where a person other than an on-duty police officer dies, </w:t>
      </w:r>
      <w:r w:rsidRPr="00E60984">
        <w:rPr>
          <w:lang w:val="en-CA"/>
        </w:rPr>
        <w:lastRenderedPageBreak/>
        <w:t xml:space="preserve">sustains serious injuries or </w:t>
      </w:r>
      <w:r w:rsidR="00E80902">
        <w:rPr>
          <w:lang w:val="en-CA"/>
        </w:rPr>
        <w:t xml:space="preserve">gunshot wounds </w:t>
      </w:r>
      <w:r w:rsidRPr="00E60984">
        <w:rPr>
          <w:lang w:val="en-CA"/>
        </w:rPr>
        <w:t>following a police intervention or while the person is in police custody.</w:t>
      </w:r>
    </w:p>
    <w:p w14:paraId="16FEB7F6" w14:textId="31F36E94" w:rsidR="00A17C43" w:rsidRPr="00E60984" w:rsidRDefault="00C143A7" w:rsidP="00AD1D58">
      <w:pPr>
        <w:pStyle w:val="Citationenretrait"/>
        <w:spacing w:before="0" w:line="240" w:lineRule="auto"/>
        <w:jc w:val="right"/>
        <w:rPr>
          <w:lang w:val="en-CA"/>
        </w:rPr>
      </w:pPr>
      <w:r w:rsidRPr="00E60984">
        <w:rPr>
          <w:lang w:val="en-CA"/>
        </w:rPr>
        <w:t>[Emphasis added.]</w:t>
      </w:r>
    </w:p>
    <w:p w14:paraId="44E422FF" w14:textId="65F7C295" w:rsidR="00A17C43" w:rsidRPr="00E60984" w:rsidRDefault="00C143A7" w:rsidP="005F15BF">
      <w:pPr>
        <w:pStyle w:val="Paragraphe"/>
        <w:spacing w:line="240" w:lineRule="auto"/>
        <w:rPr>
          <w:lang w:val="en-CA"/>
        </w:rPr>
      </w:pPr>
      <w:bookmarkStart w:id="24" w:name="_Hlk154477058"/>
      <w:r w:rsidRPr="00E60984">
        <w:rPr>
          <w:lang w:val="en-CA"/>
        </w:rPr>
        <w:t xml:space="preserve">The analysis of the intrinsic and extrinsic evidence supports the conclusion that the pith and substance of these provisions is to ensure that an investigation following an occurrence involving a police officer that </w:t>
      </w:r>
      <w:r w:rsidR="00CE7347">
        <w:rPr>
          <w:lang w:val="en-CA"/>
        </w:rPr>
        <w:t>might</w:t>
      </w:r>
      <w:r w:rsidRPr="00E60984">
        <w:rPr>
          <w:lang w:val="en-CA"/>
        </w:rPr>
        <w:t xml:space="preserve"> result in criminal charges against the officer</w:t>
      </w:r>
      <w:r w:rsidR="00CE7347">
        <w:rPr>
          <w:lang w:val="en-CA"/>
        </w:rPr>
        <w:t>,</w:t>
      </w:r>
      <w:r w:rsidRPr="00E60984">
        <w:rPr>
          <w:lang w:val="en-CA"/>
        </w:rPr>
        <w:t xml:space="preserve"> or</w:t>
      </w:r>
      <w:r w:rsidR="00CE7347">
        <w:rPr>
          <w:lang w:val="en-CA"/>
        </w:rPr>
        <w:t xml:space="preserve"> one</w:t>
      </w:r>
      <w:r w:rsidRPr="00E60984">
        <w:rPr>
          <w:lang w:val="en-CA"/>
        </w:rPr>
        <w:t xml:space="preserve"> following a complaint against a police officer that may also result in charges, </w:t>
      </w:r>
      <w:r w:rsidR="00407D91">
        <w:rPr>
          <w:lang w:val="en-CA"/>
        </w:rPr>
        <w:t>is</w:t>
      </w:r>
      <w:r w:rsidRPr="00E60984">
        <w:rPr>
          <w:lang w:val="en-CA"/>
        </w:rPr>
        <w:t xml:space="preserve"> conducted exclusively by an independent police force </w:t>
      </w:r>
      <w:r w:rsidR="00407D91" w:rsidRPr="00407D91">
        <w:rPr>
          <w:lang w:val="en-CA"/>
        </w:rPr>
        <w:t>ov</w:t>
      </w:r>
      <w:r w:rsidR="00407D91">
        <w:rPr>
          <w:lang w:val="en-CA"/>
        </w:rPr>
        <w:t>erseen</w:t>
      </w:r>
      <w:r w:rsidRPr="00E60984">
        <w:rPr>
          <w:lang w:val="en-CA"/>
        </w:rPr>
        <w:t xml:space="preserve"> by civilians </w:t>
      </w:r>
      <w:r w:rsidR="00407D91">
        <w:rPr>
          <w:lang w:val="en-CA"/>
        </w:rPr>
        <w:t xml:space="preserve">and is </w:t>
      </w:r>
      <w:r w:rsidR="007C7283">
        <w:rPr>
          <w:lang w:val="en-CA"/>
        </w:rPr>
        <w:t>quick</w:t>
      </w:r>
      <w:r w:rsidRPr="00E60984">
        <w:rPr>
          <w:lang w:val="en-CA"/>
        </w:rPr>
        <w:t>, eff</w:t>
      </w:r>
      <w:r w:rsidR="00407D91">
        <w:rPr>
          <w:lang w:val="en-CA"/>
        </w:rPr>
        <w:t>ective</w:t>
      </w:r>
      <w:r w:rsidRPr="00E60984">
        <w:rPr>
          <w:lang w:val="en-CA"/>
        </w:rPr>
        <w:t>, impartial, independent, and transparent to maintain public confidence in both the administration of justice and the Quebec police forces.</w:t>
      </w:r>
      <w:r w:rsidR="00DE2A80" w:rsidRPr="00E60984">
        <w:rPr>
          <w:lang w:val="en-CA"/>
        </w:rPr>
        <w:t xml:space="preserve"> </w:t>
      </w:r>
    </w:p>
    <w:p w14:paraId="7F1F672D" w14:textId="43818EAA" w:rsidR="00A17C43" w:rsidRPr="00E60984" w:rsidRDefault="00C143A7" w:rsidP="005F15BF">
      <w:pPr>
        <w:pStyle w:val="Paragraphe"/>
        <w:spacing w:line="240" w:lineRule="auto"/>
        <w:rPr>
          <w:lang w:val="en-CA"/>
        </w:rPr>
      </w:pPr>
      <w:r w:rsidRPr="00E60984">
        <w:rPr>
          <w:lang w:val="en-CA"/>
        </w:rPr>
        <w:t xml:space="preserve">While the purpose of the BEI investigation is also to shed light on the events </w:t>
      </w:r>
      <w:r w:rsidR="00407D91">
        <w:rPr>
          <w:lang w:val="en-CA"/>
        </w:rPr>
        <w:t xml:space="preserve">leading to </w:t>
      </w:r>
      <w:r w:rsidRPr="00E60984">
        <w:rPr>
          <w:lang w:val="en-CA"/>
        </w:rPr>
        <w:t xml:space="preserve">the death or injuries in which police officers were involved and to inform the public about these events, it is </w:t>
      </w:r>
      <w:r w:rsidR="00A27A14">
        <w:rPr>
          <w:lang w:val="en-CA"/>
        </w:rPr>
        <w:t xml:space="preserve">nevertheless </w:t>
      </w:r>
      <w:r w:rsidRPr="00E60984">
        <w:rPr>
          <w:lang w:val="en-CA"/>
        </w:rPr>
        <w:t>essentially a criminal investigation because its ultimate purpose is to determine whether a criminal offence was committed by the police officer involved.</w:t>
      </w:r>
    </w:p>
    <w:p w14:paraId="72C621AE" w14:textId="2C5242AD" w:rsidR="00A17C43" w:rsidRPr="00E60984" w:rsidRDefault="00A27A14" w:rsidP="005F15BF">
      <w:pPr>
        <w:pStyle w:val="Paragraphe"/>
        <w:spacing w:line="240" w:lineRule="auto"/>
        <w:rPr>
          <w:lang w:val="en-CA"/>
        </w:rPr>
      </w:pPr>
      <w:r>
        <w:rPr>
          <w:lang w:val="en-CA"/>
        </w:rPr>
        <w:t xml:space="preserve">Therefore, </w:t>
      </w:r>
      <w:r w:rsidR="00C143A7" w:rsidRPr="00E60984">
        <w:rPr>
          <w:lang w:val="en-CA"/>
        </w:rPr>
        <w:t>I do not accept the AGQ’s argument that it is not a criminal investigation because the BEI investigates an “occurrence” involving a police officer and the investigation only becomes a criminal investigation once it reveal</w:t>
      </w:r>
      <w:r>
        <w:rPr>
          <w:lang w:val="en-CA"/>
        </w:rPr>
        <w:t>s</w:t>
      </w:r>
      <w:r w:rsidR="00C143A7" w:rsidRPr="00E60984">
        <w:rPr>
          <w:lang w:val="en-CA"/>
        </w:rPr>
        <w:t xml:space="preserve"> that the police officer involved is a suspect for the purposes of a criminal charge. </w:t>
      </w:r>
      <w:r w:rsidR="00DE2A80" w:rsidRPr="00E60984">
        <w:rPr>
          <w:lang w:val="en-CA"/>
        </w:rPr>
        <w:t xml:space="preserve"> </w:t>
      </w:r>
    </w:p>
    <w:p w14:paraId="360705A0" w14:textId="7FBE1B4F" w:rsidR="00A17C43" w:rsidRPr="00E60984" w:rsidRDefault="00716E23" w:rsidP="005F15BF">
      <w:pPr>
        <w:pStyle w:val="Paragraphe"/>
        <w:spacing w:line="240" w:lineRule="auto"/>
        <w:rPr>
          <w:lang w:val="en-CA"/>
        </w:rPr>
      </w:pPr>
      <w:r w:rsidRPr="00E60984">
        <w:rPr>
          <w:lang w:val="en-CA"/>
        </w:rPr>
        <w:t xml:space="preserve">First, all kinds of criminal investigations conducted by police forces </w:t>
      </w:r>
      <w:r w:rsidR="00C62457">
        <w:rPr>
          <w:lang w:val="en-CA"/>
        </w:rPr>
        <w:t xml:space="preserve">involve occurrences </w:t>
      </w:r>
      <w:r w:rsidRPr="00E60984">
        <w:rPr>
          <w:lang w:val="en-CA"/>
        </w:rPr>
        <w:t xml:space="preserve">where no suspect </w:t>
      </w:r>
      <w:r w:rsidR="00C62457">
        <w:rPr>
          <w:lang w:val="en-CA"/>
        </w:rPr>
        <w:t xml:space="preserve">has been </w:t>
      </w:r>
      <w:r w:rsidRPr="00E60984">
        <w:rPr>
          <w:lang w:val="en-CA"/>
        </w:rPr>
        <w:t xml:space="preserve">identified, which does not make them any less a </w:t>
      </w:r>
      <w:r w:rsidR="00C62457" w:rsidRPr="00E60984">
        <w:rPr>
          <w:lang w:val="en-CA"/>
        </w:rPr>
        <w:t xml:space="preserve">police </w:t>
      </w:r>
      <w:r w:rsidRPr="00E60984">
        <w:rPr>
          <w:lang w:val="en-CA"/>
        </w:rPr>
        <w:t>criminal investigation.</w:t>
      </w:r>
      <w:r w:rsidR="00DE2A80" w:rsidRPr="00E60984">
        <w:rPr>
          <w:lang w:val="en-CA"/>
        </w:rPr>
        <w:t xml:space="preserve"> </w:t>
      </w:r>
      <w:r w:rsidRPr="00E60984">
        <w:rPr>
          <w:lang w:val="en-CA"/>
        </w:rPr>
        <w:t xml:space="preserve">For example, when a </w:t>
      </w:r>
      <w:r w:rsidR="00F303A7" w:rsidRPr="00E60984">
        <w:rPr>
          <w:lang w:val="en-CA"/>
        </w:rPr>
        <w:t>cadaver</w:t>
      </w:r>
      <w:r w:rsidRPr="00E60984">
        <w:rPr>
          <w:lang w:val="en-CA"/>
        </w:rPr>
        <w:t xml:space="preserve"> bearing marks of violence is </w:t>
      </w:r>
      <w:r w:rsidR="00C62457">
        <w:rPr>
          <w:lang w:val="en-CA"/>
        </w:rPr>
        <w:t>discovered</w:t>
      </w:r>
      <w:r w:rsidRPr="00E60984">
        <w:rPr>
          <w:lang w:val="en-CA"/>
        </w:rPr>
        <w:t xml:space="preserve">, a </w:t>
      </w:r>
      <w:r w:rsidR="00C62457">
        <w:rPr>
          <w:lang w:val="en-CA"/>
        </w:rPr>
        <w:t xml:space="preserve">police </w:t>
      </w:r>
      <w:r w:rsidRPr="00E60984">
        <w:rPr>
          <w:lang w:val="en-CA"/>
        </w:rPr>
        <w:t>criminal investigation may be launched even though no suspect has been identified.</w:t>
      </w:r>
      <w:r w:rsidR="00DE2A80" w:rsidRPr="00E60984">
        <w:rPr>
          <w:lang w:val="en-CA"/>
        </w:rPr>
        <w:t xml:space="preserve"> </w:t>
      </w:r>
      <w:r w:rsidRPr="00E60984">
        <w:rPr>
          <w:lang w:val="en-CA"/>
        </w:rPr>
        <w:t xml:space="preserve">It </w:t>
      </w:r>
      <w:r w:rsidR="000E1D67">
        <w:rPr>
          <w:lang w:val="en-CA"/>
        </w:rPr>
        <w:t>remains</w:t>
      </w:r>
      <w:r w:rsidR="00C62457">
        <w:rPr>
          <w:lang w:val="en-CA"/>
        </w:rPr>
        <w:t xml:space="preserve"> </w:t>
      </w:r>
      <w:r w:rsidRPr="00E60984">
        <w:rPr>
          <w:lang w:val="en-CA"/>
        </w:rPr>
        <w:t xml:space="preserve">a criminal investigation </w:t>
      </w:r>
      <w:r w:rsidR="00C62457">
        <w:rPr>
          <w:lang w:val="en-CA"/>
        </w:rPr>
        <w:t xml:space="preserve">even if </w:t>
      </w:r>
      <w:r w:rsidRPr="00E60984">
        <w:rPr>
          <w:lang w:val="en-CA"/>
        </w:rPr>
        <w:t xml:space="preserve">the investigation subsequently reveals that </w:t>
      </w:r>
      <w:r w:rsidR="00C62457">
        <w:rPr>
          <w:lang w:val="en-CA"/>
        </w:rPr>
        <w:t xml:space="preserve">the death </w:t>
      </w:r>
      <w:r w:rsidR="000E1D67">
        <w:rPr>
          <w:lang w:val="en-CA"/>
        </w:rPr>
        <w:t xml:space="preserve">was </w:t>
      </w:r>
      <w:r w:rsidR="00C62457">
        <w:rPr>
          <w:lang w:val="en-CA"/>
        </w:rPr>
        <w:t>not</w:t>
      </w:r>
      <w:r w:rsidR="000E1D67">
        <w:rPr>
          <w:lang w:val="en-CA"/>
        </w:rPr>
        <w:t xml:space="preserve"> the</w:t>
      </w:r>
      <w:r w:rsidR="00C62457">
        <w:rPr>
          <w:lang w:val="en-CA"/>
        </w:rPr>
        <w:t xml:space="preserve"> result </w:t>
      </w:r>
      <w:r w:rsidR="000E1D67">
        <w:rPr>
          <w:lang w:val="en-CA"/>
        </w:rPr>
        <w:t xml:space="preserve">of </w:t>
      </w:r>
      <w:r w:rsidRPr="00E60984">
        <w:rPr>
          <w:lang w:val="en-CA"/>
        </w:rPr>
        <w:t>criminal activity.</w:t>
      </w:r>
      <w:r w:rsidR="00DE2A80" w:rsidRPr="00E60984">
        <w:rPr>
          <w:lang w:val="en-CA"/>
        </w:rPr>
        <w:t xml:space="preserve"> </w:t>
      </w:r>
    </w:p>
    <w:p w14:paraId="466F96E1" w14:textId="656D965F" w:rsidR="00A17C43" w:rsidRPr="00E60984" w:rsidRDefault="00716E23" w:rsidP="005F15BF">
      <w:pPr>
        <w:pStyle w:val="Paragraphe"/>
        <w:spacing w:line="240" w:lineRule="auto"/>
        <w:rPr>
          <w:lang w:val="en-CA"/>
        </w:rPr>
      </w:pPr>
      <w:r w:rsidRPr="00E60984">
        <w:rPr>
          <w:lang w:val="en-CA"/>
        </w:rPr>
        <w:t xml:space="preserve">Moreover, </w:t>
      </w:r>
      <w:r w:rsidR="000A534B">
        <w:rPr>
          <w:lang w:val="en-CA"/>
        </w:rPr>
        <w:t>while</w:t>
      </w:r>
      <w:r w:rsidR="000A534B" w:rsidRPr="00E60984">
        <w:rPr>
          <w:lang w:val="en-CA"/>
        </w:rPr>
        <w:t xml:space="preserve"> </w:t>
      </w:r>
      <w:r w:rsidRPr="00E60984">
        <w:rPr>
          <w:lang w:val="en-CA"/>
        </w:rPr>
        <w:t xml:space="preserve">the end result of the BEI’s investigation may be a decision by the DCPP not to lay criminal charges </w:t>
      </w:r>
      <w:r w:rsidR="00C62457">
        <w:rPr>
          <w:lang w:val="en-CA"/>
        </w:rPr>
        <w:t>–</w:t>
      </w:r>
      <w:r w:rsidRPr="00E60984">
        <w:rPr>
          <w:lang w:val="en-CA"/>
        </w:rPr>
        <w:t xml:space="preserve"> which happens most of the time </w:t>
      </w:r>
      <w:r w:rsidR="00C62457">
        <w:rPr>
          <w:lang w:val="en-CA"/>
        </w:rPr>
        <w:t>–</w:t>
      </w:r>
      <w:r w:rsidRPr="00E60984">
        <w:rPr>
          <w:lang w:val="en-CA"/>
        </w:rPr>
        <w:t xml:space="preserve"> the fact remains that the ultimate purpose of the BEI investigation is to prepare and submit an investigation report to the DCPP so that </w:t>
      </w:r>
      <w:r w:rsidR="00C62457">
        <w:rPr>
          <w:lang w:val="en-CA"/>
        </w:rPr>
        <w:t xml:space="preserve">the DCPP </w:t>
      </w:r>
      <w:r w:rsidRPr="00E60984">
        <w:rPr>
          <w:lang w:val="en-CA"/>
        </w:rPr>
        <w:t>may decide whether to lay criminal charges against a police officer involved.</w:t>
      </w:r>
      <w:r w:rsidR="00DE2A80" w:rsidRPr="00E60984">
        <w:rPr>
          <w:lang w:val="en-CA"/>
        </w:rPr>
        <w:t xml:space="preserve"> </w:t>
      </w:r>
      <w:r w:rsidRPr="00E60984">
        <w:rPr>
          <w:lang w:val="en-CA"/>
        </w:rPr>
        <w:t>It is clearly a</w:t>
      </w:r>
      <w:r w:rsidR="000A534B">
        <w:rPr>
          <w:lang w:val="en-CA"/>
        </w:rPr>
        <w:t>n</w:t>
      </w:r>
      <w:r w:rsidRPr="00E60984">
        <w:rPr>
          <w:lang w:val="en-CA"/>
        </w:rPr>
        <w:t xml:space="preserve"> investigation</w:t>
      </w:r>
      <w:r w:rsidR="000A534B">
        <w:rPr>
          <w:lang w:val="en-CA"/>
        </w:rPr>
        <w:t xml:space="preserve"> that is criminal in nature</w:t>
      </w:r>
      <w:r w:rsidRPr="00E60984">
        <w:rPr>
          <w:lang w:val="en-CA"/>
        </w:rPr>
        <w:t>.</w:t>
      </w:r>
      <w:r w:rsidR="00DE2A80" w:rsidRPr="00E60984">
        <w:rPr>
          <w:lang w:val="en-CA"/>
        </w:rPr>
        <w:t xml:space="preserve"> </w:t>
      </w:r>
      <w:r w:rsidRPr="00E60984">
        <w:rPr>
          <w:lang w:val="en-CA"/>
        </w:rPr>
        <w:t xml:space="preserve">In this regard, many criminal investigations by the police do not necessarily </w:t>
      </w:r>
      <w:r w:rsidR="00C62457">
        <w:rPr>
          <w:lang w:val="en-CA"/>
        </w:rPr>
        <w:t xml:space="preserve">end </w:t>
      </w:r>
      <w:r w:rsidR="000A534B">
        <w:rPr>
          <w:lang w:val="en-CA"/>
        </w:rPr>
        <w:t>with</w:t>
      </w:r>
      <w:r w:rsidRPr="00E60984">
        <w:rPr>
          <w:lang w:val="en-CA"/>
        </w:rPr>
        <w:t xml:space="preserve"> criminal charges.</w:t>
      </w:r>
    </w:p>
    <w:p w14:paraId="41FC01B7" w14:textId="7D9C2AE7" w:rsidR="00A17C43" w:rsidRPr="00E60984" w:rsidRDefault="00716E23" w:rsidP="005F15BF">
      <w:pPr>
        <w:pStyle w:val="Paragraphe"/>
        <w:spacing w:line="240" w:lineRule="auto"/>
        <w:rPr>
          <w:lang w:val="en-CA"/>
        </w:rPr>
      </w:pPr>
      <w:r w:rsidRPr="00E60984">
        <w:rPr>
          <w:lang w:val="en-CA"/>
        </w:rPr>
        <w:t xml:space="preserve">Last, the idea that a police force </w:t>
      </w:r>
      <w:r w:rsidR="00F072F7">
        <w:rPr>
          <w:lang w:val="en-CA"/>
        </w:rPr>
        <w:t>could</w:t>
      </w:r>
      <w:r w:rsidR="00F072F7" w:rsidRPr="00E60984">
        <w:rPr>
          <w:lang w:val="en-CA"/>
        </w:rPr>
        <w:t xml:space="preserve"> </w:t>
      </w:r>
      <w:r w:rsidRPr="00E60984">
        <w:rPr>
          <w:lang w:val="en-CA"/>
        </w:rPr>
        <w:t xml:space="preserve">conduct an administrative investigation that </w:t>
      </w:r>
      <w:r w:rsidR="00F072F7">
        <w:rPr>
          <w:lang w:val="en-CA"/>
        </w:rPr>
        <w:t>could</w:t>
      </w:r>
      <w:r w:rsidRPr="00E60984">
        <w:rPr>
          <w:lang w:val="en-CA"/>
        </w:rPr>
        <w:t xml:space="preserve"> </w:t>
      </w:r>
      <w:r w:rsidR="00FE569F">
        <w:rPr>
          <w:lang w:val="en-CA"/>
        </w:rPr>
        <w:t xml:space="preserve">become </w:t>
      </w:r>
      <w:r w:rsidRPr="00E60984">
        <w:rPr>
          <w:lang w:val="en-CA"/>
        </w:rPr>
        <w:t>a criminal investigation depending on the evidence gathered is not only hard to conceive, but also a serious threat to rights and freedoms.</w:t>
      </w:r>
      <w:r w:rsidR="00DE2A80" w:rsidRPr="00E60984">
        <w:rPr>
          <w:lang w:val="en-CA"/>
        </w:rPr>
        <w:t xml:space="preserve"> </w:t>
      </w:r>
      <w:r w:rsidRPr="00E60984">
        <w:rPr>
          <w:lang w:val="en-CA"/>
        </w:rPr>
        <w:t>Police forces are not commissions of inquiry</w:t>
      </w:r>
      <w:r w:rsidR="00F303A7" w:rsidRPr="00E60984">
        <w:rPr>
          <w:lang w:val="en-CA"/>
        </w:rPr>
        <w:t>,</w:t>
      </w:r>
      <w:r w:rsidRPr="00E60984">
        <w:rPr>
          <w:lang w:val="en-CA"/>
        </w:rPr>
        <w:t xml:space="preserve"> and their role does not concern administrative or social policy issues.</w:t>
      </w:r>
      <w:r w:rsidR="00DE2A80" w:rsidRPr="00E60984">
        <w:rPr>
          <w:lang w:val="en-CA"/>
        </w:rPr>
        <w:t xml:space="preserve"> </w:t>
      </w:r>
      <w:r w:rsidRPr="00E60984">
        <w:rPr>
          <w:lang w:val="en-CA"/>
        </w:rPr>
        <w:t xml:space="preserve">By their very nature, police forces perform duties related to the control and </w:t>
      </w:r>
      <w:r w:rsidR="00FE569F">
        <w:rPr>
          <w:lang w:val="en-CA"/>
        </w:rPr>
        <w:t>re</w:t>
      </w:r>
      <w:r w:rsidRPr="00E60984">
        <w:rPr>
          <w:lang w:val="en-CA"/>
        </w:rPr>
        <w:t>pression of crime.</w:t>
      </w:r>
      <w:r w:rsidR="00DE2A80" w:rsidRPr="00E60984">
        <w:rPr>
          <w:lang w:val="en-CA"/>
        </w:rPr>
        <w:t xml:space="preserve"> </w:t>
      </w:r>
      <w:r w:rsidRPr="00E60984">
        <w:rPr>
          <w:lang w:val="en-CA"/>
        </w:rPr>
        <w:t xml:space="preserve">That is why the law, including the </w:t>
      </w:r>
      <w:r w:rsidRPr="00E60984">
        <w:rPr>
          <w:i/>
          <w:lang w:val="en-CA"/>
        </w:rPr>
        <w:t>Criminal Code</w:t>
      </w:r>
      <w:r w:rsidRPr="00E60984">
        <w:rPr>
          <w:lang w:val="en-CA"/>
        </w:rPr>
        <w:t xml:space="preserve">, grants </w:t>
      </w:r>
      <w:r w:rsidR="00FE569F">
        <w:rPr>
          <w:lang w:val="en-CA"/>
        </w:rPr>
        <w:t>their</w:t>
      </w:r>
      <w:r w:rsidRPr="00E60984">
        <w:rPr>
          <w:lang w:val="en-CA"/>
        </w:rPr>
        <w:t xml:space="preserve"> </w:t>
      </w:r>
      <w:r w:rsidRPr="00E60984">
        <w:rPr>
          <w:lang w:val="en-CA"/>
        </w:rPr>
        <w:lastRenderedPageBreak/>
        <w:t>members vast powers.</w:t>
      </w:r>
      <w:r w:rsidR="00DE2A80" w:rsidRPr="00E60984">
        <w:rPr>
          <w:lang w:val="en-CA"/>
        </w:rPr>
        <w:t xml:space="preserve"> </w:t>
      </w:r>
      <w:r w:rsidRPr="00E60984">
        <w:rPr>
          <w:lang w:val="en-CA"/>
        </w:rPr>
        <w:t>Th</w:t>
      </w:r>
      <w:r w:rsidR="00FE569F">
        <w:rPr>
          <w:lang w:val="en-CA"/>
        </w:rPr>
        <w:t>is</w:t>
      </w:r>
      <w:r w:rsidRPr="00E60984">
        <w:rPr>
          <w:lang w:val="en-CA"/>
        </w:rPr>
        <w:t xml:space="preserve"> is also </w:t>
      </w:r>
      <w:r w:rsidR="00FE569F">
        <w:rPr>
          <w:lang w:val="en-CA"/>
        </w:rPr>
        <w:t xml:space="preserve">expressly stated in </w:t>
      </w:r>
      <w:r w:rsidRPr="00E60984">
        <w:rPr>
          <w:lang w:val="en-CA"/>
        </w:rPr>
        <w:t xml:space="preserve">section 48 of the </w:t>
      </w:r>
      <w:r w:rsidRPr="00E60984">
        <w:rPr>
          <w:i/>
          <w:lang w:val="en-CA"/>
        </w:rPr>
        <w:t>Police Act</w:t>
      </w:r>
      <w:r w:rsidR="00FE569F">
        <w:rPr>
          <w:i/>
          <w:lang w:val="en-CA"/>
        </w:rPr>
        <w:t>,</w:t>
      </w:r>
      <w:r w:rsidRPr="00E60984">
        <w:rPr>
          <w:lang w:val="en-CA"/>
        </w:rPr>
        <w:t xml:space="preserve"> </w:t>
      </w:r>
      <w:r w:rsidR="00FE569F">
        <w:rPr>
          <w:lang w:val="en-CA"/>
        </w:rPr>
        <w:t xml:space="preserve">which </w:t>
      </w:r>
      <w:r w:rsidRPr="00E60984">
        <w:rPr>
          <w:lang w:val="en-CA"/>
        </w:rPr>
        <w:t xml:space="preserve">defines the mission of police forces, including </w:t>
      </w:r>
      <w:r w:rsidR="00FE569F">
        <w:rPr>
          <w:lang w:val="en-CA"/>
        </w:rPr>
        <w:t xml:space="preserve">that of </w:t>
      </w:r>
      <w:r w:rsidRPr="00E60984">
        <w:rPr>
          <w:lang w:val="en-CA"/>
        </w:rPr>
        <w:t>the BEI, as being to maintain peace and public security and to repress crime.</w:t>
      </w:r>
      <w:r w:rsidRPr="00E60984">
        <w:rPr>
          <w:rStyle w:val="Appelnotedebasdep"/>
          <w:lang w:val="en-CA"/>
        </w:rPr>
        <w:footnoteReference w:id="97"/>
      </w:r>
    </w:p>
    <w:p w14:paraId="7BDAAA5C" w14:textId="4ED48C60" w:rsidR="00A17C43" w:rsidRPr="00E60984" w:rsidRDefault="00716E23" w:rsidP="005F15BF">
      <w:pPr>
        <w:pStyle w:val="Paragraphe"/>
        <w:spacing w:line="240" w:lineRule="auto"/>
        <w:rPr>
          <w:lang w:val="en-CA"/>
        </w:rPr>
      </w:pPr>
      <w:r w:rsidRPr="00E60984">
        <w:rPr>
          <w:lang w:val="en-CA"/>
        </w:rPr>
        <w:t>In conclusion, BEI investigations are essentially criminal in nature.</w:t>
      </w:r>
    </w:p>
    <w:bookmarkEnd w:id="24"/>
    <w:p w14:paraId="0EC6864F" w14:textId="77CEB308" w:rsidR="00A17C43" w:rsidRPr="00E60984" w:rsidRDefault="00716E23" w:rsidP="009378E5">
      <w:pPr>
        <w:pStyle w:val="Paragraphe"/>
        <w:numPr>
          <w:ilvl w:val="0"/>
          <w:numId w:val="0"/>
        </w:numPr>
        <w:spacing w:before="240" w:line="240" w:lineRule="auto"/>
        <w:ind w:left="720"/>
        <w:rPr>
          <w:i/>
          <w:iCs/>
          <w:u w:val="single"/>
          <w:lang w:val="en-CA"/>
        </w:rPr>
      </w:pPr>
      <w:r w:rsidRPr="00E60984">
        <w:rPr>
          <w:i/>
          <w:iCs/>
          <w:u w:val="single"/>
          <w:lang w:val="en-CA"/>
        </w:rPr>
        <w:t xml:space="preserve">Do criminal law and procedure govern the conduct of </w:t>
      </w:r>
      <w:r w:rsidR="00FE569F">
        <w:rPr>
          <w:i/>
          <w:iCs/>
          <w:u w:val="single"/>
          <w:lang w:val="en-CA"/>
        </w:rPr>
        <w:t xml:space="preserve">these </w:t>
      </w:r>
      <w:r w:rsidRPr="00E60984">
        <w:rPr>
          <w:i/>
          <w:iCs/>
          <w:u w:val="single"/>
          <w:lang w:val="en-CA"/>
        </w:rPr>
        <w:t>investigations?</w:t>
      </w:r>
    </w:p>
    <w:p w14:paraId="711B33FA" w14:textId="0905C68F" w:rsidR="00A17C43" w:rsidRPr="00FE569F" w:rsidRDefault="00FE569F" w:rsidP="005F15BF">
      <w:pPr>
        <w:numPr>
          <w:ilvl w:val="0"/>
          <w:numId w:val="18"/>
        </w:numPr>
        <w:tabs>
          <w:tab w:val="clear" w:pos="720"/>
          <w:tab w:val="num" w:pos="360"/>
        </w:tabs>
        <w:spacing w:before="120" w:after="120" w:line="240" w:lineRule="auto"/>
        <w:jc w:val="both"/>
        <w:rPr>
          <w:kern w:val="28"/>
          <w:lang w:val="en-CA"/>
        </w:rPr>
      </w:pPr>
      <w:r w:rsidRPr="00FE569F">
        <w:rPr>
          <w:kern w:val="28"/>
          <w:lang w:val="en-CA"/>
        </w:rPr>
        <w:t xml:space="preserve">The creation of a police force to conduct investigations that might lead to criminal charges falls under the provincial power over the administration of justice under section </w:t>
      </w:r>
      <w:r w:rsidR="00DE2A80" w:rsidRPr="00FE569F">
        <w:rPr>
          <w:kern w:val="28"/>
          <w:lang w:val="en-CA"/>
        </w:rPr>
        <w:t xml:space="preserve">92(14) </w:t>
      </w:r>
      <w:r>
        <w:rPr>
          <w:kern w:val="28"/>
          <w:lang w:val="en-CA"/>
        </w:rPr>
        <w:t xml:space="preserve">of the </w:t>
      </w:r>
      <w:r w:rsidRPr="00FE569F">
        <w:rPr>
          <w:i/>
          <w:iCs/>
          <w:kern w:val="28"/>
          <w:lang w:val="en-CA"/>
        </w:rPr>
        <w:t>Constitution Act,</w:t>
      </w:r>
      <w:r>
        <w:rPr>
          <w:kern w:val="28"/>
          <w:lang w:val="en-CA"/>
        </w:rPr>
        <w:t xml:space="preserve"> </w:t>
      </w:r>
      <w:r w:rsidR="00DE2A80" w:rsidRPr="00FE569F">
        <w:rPr>
          <w:i/>
          <w:iCs/>
          <w:kern w:val="28"/>
          <w:lang w:val="en-CA"/>
        </w:rPr>
        <w:t>1867</w:t>
      </w:r>
      <w:r w:rsidR="00DE2A80" w:rsidRPr="00FE569F">
        <w:rPr>
          <w:kern w:val="28"/>
          <w:lang w:val="en-CA"/>
        </w:rPr>
        <w:t xml:space="preserve">. </w:t>
      </w:r>
      <w:r w:rsidRPr="00FE569F">
        <w:rPr>
          <w:kern w:val="28"/>
          <w:lang w:val="en-CA"/>
        </w:rPr>
        <w:t xml:space="preserve">As Dickson J. stated in </w:t>
      </w:r>
      <w:r w:rsidR="00153AEF" w:rsidRPr="00FE569F">
        <w:rPr>
          <w:i/>
          <w:iCs/>
          <w:lang w:val="en-CA"/>
        </w:rPr>
        <w:t xml:space="preserve">Di </w:t>
      </w:r>
      <w:proofErr w:type="spellStart"/>
      <w:r w:rsidR="00153AEF" w:rsidRPr="00FE569F">
        <w:rPr>
          <w:i/>
          <w:iCs/>
          <w:lang w:val="en-CA"/>
        </w:rPr>
        <w:t>Iorio</w:t>
      </w:r>
      <w:proofErr w:type="spellEnd"/>
      <w:r w:rsidR="00153AEF" w:rsidRPr="00FE569F">
        <w:rPr>
          <w:i/>
          <w:iCs/>
          <w:lang w:val="en-CA"/>
        </w:rPr>
        <w:t xml:space="preserve"> v. Warden of the Montreal Jail:</w:t>
      </w:r>
      <w:r w:rsidR="00DE2A80" w:rsidRPr="00E60984">
        <w:rPr>
          <w:kern w:val="28"/>
          <w:vertAlign w:val="superscript"/>
          <w:lang w:val="en-CA"/>
        </w:rPr>
        <w:footnoteReference w:id="98"/>
      </w:r>
      <w:r w:rsidR="00DE2A80" w:rsidRPr="00FE569F">
        <w:rPr>
          <w:i/>
          <w:iCs/>
          <w:kern w:val="28"/>
          <w:lang w:val="en-CA"/>
        </w:rPr>
        <w:t xml:space="preserve"> </w:t>
      </w:r>
    </w:p>
    <w:p w14:paraId="3BA5EF43" w14:textId="3BDB26C6" w:rsidR="00A17C43" w:rsidRPr="00E60984" w:rsidRDefault="00153AEF" w:rsidP="005F15BF">
      <w:pPr>
        <w:pStyle w:val="Citationenretrait"/>
        <w:spacing w:line="240" w:lineRule="auto"/>
        <w:rPr>
          <w:lang w:val="en-CA" w:eastAsia="fr-CA"/>
        </w:rPr>
      </w:pPr>
      <w:r w:rsidRPr="00E60984">
        <w:rPr>
          <w:rFonts w:cs="Arial"/>
          <w:color w:val="000000"/>
          <w:lang w:val="en-CA"/>
        </w:rPr>
        <w:t>Both the federal and provincial governments have accepted for over a century the status of the provincial governments to administer criminal justice within their respective boundaries. The provincial mandate in that field has consistently been recognized as part and parcel of the responsibility of a provincial government for public order within the province</w:t>
      </w:r>
      <w:r w:rsidR="00DE2A80" w:rsidRPr="00E60984">
        <w:rPr>
          <w:lang w:val="en-CA"/>
        </w:rPr>
        <w:t>.</w:t>
      </w:r>
    </w:p>
    <w:p w14:paraId="67D8B77A" w14:textId="2FF133E4" w:rsidR="00A17C43" w:rsidRPr="00E60984" w:rsidRDefault="00153AEF" w:rsidP="005F15BF">
      <w:pPr>
        <w:pStyle w:val="Citationenretrait"/>
        <w:spacing w:line="240" w:lineRule="auto"/>
        <w:rPr>
          <w:lang w:val="en-CA"/>
        </w:rPr>
      </w:pPr>
      <w:r w:rsidRPr="00E60984">
        <w:rPr>
          <w:rFonts w:cs="Arial"/>
          <w:color w:val="000000"/>
          <w:lang w:val="en-CA"/>
        </w:rPr>
        <w:t xml:space="preserve">Under head 92(14) of our Constitution, as I understand it, law enforcement is primarily the responsibility of the Province and in all provinces the Attorney General is the chief law enforcement officer of the Crown. He has broad responsibilities for most aspects of the Administration of Justice. </w:t>
      </w:r>
      <w:r w:rsidRPr="00E60984">
        <w:rPr>
          <w:rFonts w:cs="Arial"/>
          <w:color w:val="000000"/>
          <w:u w:val="single"/>
          <w:lang w:val="en-CA"/>
        </w:rPr>
        <w:t xml:space="preserve">Among these within the field of criminal justice, are the court system, the police, criminal investigation and prosecutions, and corrections. The provincial police are answerable only to the Attorney General as are the provincial Crown Attorneys who conduct the great majority of criminal </w:t>
      </w:r>
      <w:r w:rsidRPr="00A96B2F">
        <w:rPr>
          <w:rFonts w:cs="Arial"/>
          <w:color w:val="000000"/>
          <w:u w:val="single"/>
          <w:lang w:val="en-CA"/>
        </w:rPr>
        <w:t>prosecutions</w:t>
      </w:r>
      <w:r w:rsidRPr="00E60984">
        <w:rPr>
          <w:rFonts w:cs="Arial"/>
          <w:color w:val="000000"/>
          <w:u w:val="single"/>
          <w:lang w:val="en-CA"/>
        </w:rPr>
        <w:t xml:space="preserve"> in Canada</w:t>
      </w:r>
      <w:r w:rsidR="00DE2A80" w:rsidRPr="00E60984">
        <w:rPr>
          <w:lang w:val="en-CA"/>
        </w:rPr>
        <w:t>.</w:t>
      </w:r>
      <w:r w:rsidR="00A96B2F">
        <w:rPr>
          <w:lang w:val="en-CA"/>
        </w:rPr>
        <w:t xml:space="preserve"> </w:t>
      </w:r>
    </w:p>
    <w:p w14:paraId="0003B0DF" w14:textId="2D13AB69" w:rsidR="00A17C43" w:rsidRPr="00E60984" w:rsidRDefault="00C143A7" w:rsidP="00AD1D58">
      <w:pPr>
        <w:pStyle w:val="Citationenretrait"/>
        <w:spacing w:before="0" w:line="240" w:lineRule="auto"/>
        <w:jc w:val="right"/>
        <w:rPr>
          <w:lang w:val="en-CA"/>
        </w:rPr>
      </w:pPr>
      <w:r w:rsidRPr="00E60984">
        <w:rPr>
          <w:lang w:val="en-CA"/>
        </w:rPr>
        <w:t>[Emphasis added.]</w:t>
      </w:r>
    </w:p>
    <w:p w14:paraId="28A4FD8E" w14:textId="2F9A8A7A" w:rsidR="00A17C43" w:rsidRPr="00E60984" w:rsidRDefault="00124903" w:rsidP="005F15BF">
      <w:pPr>
        <w:numPr>
          <w:ilvl w:val="0"/>
          <w:numId w:val="18"/>
        </w:numPr>
        <w:tabs>
          <w:tab w:val="clear" w:pos="720"/>
          <w:tab w:val="num" w:pos="360"/>
        </w:tabs>
        <w:spacing w:before="120" w:after="120" w:line="240" w:lineRule="auto"/>
        <w:jc w:val="both"/>
        <w:rPr>
          <w:kern w:val="28"/>
          <w:lang w:val="en-CA"/>
        </w:rPr>
      </w:pPr>
      <w:r w:rsidRPr="00E60984">
        <w:rPr>
          <w:kern w:val="28"/>
          <w:lang w:val="en-CA"/>
        </w:rPr>
        <w:t xml:space="preserve">Provincial </w:t>
      </w:r>
      <w:r w:rsidR="00477D0C">
        <w:rPr>
          <w:kern w:val="28"/>
          <w:lang w:val="en-CA"/>
        </w:rPr>
        <w:t>jurisdiction</w:t>
      </w:r>
      <w:r w:rsidR="00FE569F">
        <w:rPr>
          <w:kern w:val="28"/>
          <w:lang w:val="en-CA"/>
        </w:rPr>
        <w:t xml:space="preserve"> </w:t>
      </w:r>
      <w:r w:rsidRPr="00E60984">
        <w:rPr>
          <w:kern w:val="28"/>
          <w:lang w:val="en-CA"/>
        </w:rPr>
        <w:t>over the administration of justice therefore does include the organization and management of police forces created by provincial legislation, which includes the appointment, control, and discipline of municipal and provincial police officers.</w:t>
      </w:r>
      <w:r w:rsidRPr="00E60984">
        <w:rPr>
          <w:kern w:val="28"/>
          <w:vertAlign w:val="superscript"/>
          <w:lang w:val="en-CA"/>
        </w:rPr>
        <w:footnoteReference w:id="99"/>
      </w:r>
      <w:r w:rsidR="00DE2A80" w:rsidRPr="00E60984">
        <w:rPr>
          <w:kern w:val="28"/>
          <w:lang w:val="en-CA"/>
        </w:rPr>
        <w:t xml:space="preserve"> </w:t>
      </w:r>
    </w:p>
    <w:p w14:paraId="5CA0004F" w14:textId="61238CCD" w:rsidR="00A17C43" w:rsidRPr="00E60984" w:rsidRDefault="00124903" w:rsidP="005F15BF">
      <w:pPr>
        <w:numPr>
          <w:ilvl w:val="0"/>
          <w:numId w:val="18"/>
        </w:numPr>
        <w:tabs>
          <w:tab w:val="clear" w:pos="720"/>
          <w:tab w:val="num" w:pos="360"/>
        </w:tabs>
        <w:spacing w:before="120" w:after="120" w:line="240" w:lineRule="auto"/>
        <w:jc w:val="both"/>
        <w:rPr>
          <w:kern w:val="28"/>
          <w:lang w:val="en-CA"/>
        </w:rPr>
      </w:pPr>
      <w:r w:rsidRPr="00E60984">
        <w:rPr>
          <w:kern w:val="28"/>
          <w:lang w:val="en-CA"/>
        </w:rPr>
        <w:t xml:space="preserve">Even though the line between federal </w:t>
      </w:r>
      <w:r w:rsidR="00477D0C">
        <w:rPr>
          <w:kern w:val="28"/>
          <w:lang w:val="en-CA"/>
        </w:rPr>
        <w:t>power</w:t>
      </w:r>
      <w:r w:rsidRPr="00E60984">
        <w:rPr>
          <w:kern w:val="28"/>
          <w:lang w:val="en-CA"/>
        </w:rPr>
        <w:t xml:space="preserve"> over criminal law and procedure and provincial </w:t>
      </w:r>
      <w:r w:rsidR="00477D0C">
        <w:rPr>
          <w:kern w:val="28"/>
          <w:lang w:val="en-CA"/>
        </w:rPr>
        <w:t xml:space="preserve">power </w:t>
      </w:r>
      <w:r w:rsidRPr="00E60984">
        <w:rPr>
          <w:kern w:val="28"/>
          <w:lang w:val="en-CA"/>
        </w:rPr>
        <w:t xml:space="preserve">over the administration of justice </w:t>
      </w:r>
      <w:r w:rsidR="00477D0C">
        <w:rPr>
          <w:kern w:val="28"/>
          <w:lang w:val="en-CA"/>
        </w:rPr>
        <w:t>may</w:t>
      </w:r>
      <w:r w:rsidRPr="00E60984">
        <w:rPr>
          <w:kern w:val="28"/>
          <w:lang w:val="en-CA"/>
        </w:rPr>
        <w:t xml:space="preserve"> be porous,</w:t>
      </w:r>
      <w:r w:rsidRPr="00E60984">
        <w:rPr>
          <w:kern w:val="28"/>
          <w:vertAlign w:val="superscript"/>
          <w:lang w:val="en-CA"/>
        </w:rPr>
        <w:footnoteReference w:id="100"/>
      </w:r>
      <w:r w:rsidRPr="00E60984">
        <w:rPr>
          <w:kern w:val="28"/>
          <w:lang w:val="en-CA"/>
        </w:rPr>
        <w:t xml:space="preserve"> when a provincial police force conducts an investigation to determine whether criminal charges should be laid, the investigation is governed by </w:t>
      </w:r>
      <w:r w:rsidR="00A6003F">
        <w:rPr>
          <w:kern w:val="28"/>
          <w:lang w:val="en-CA"/>
        </w:rPr>
        <w:t>the</w:t>
      </w:r>
      <w:r w:rsidR="00A6003F" w:rsidRPr="00E60984">
        <w:rPr>
          <w:kern w:val="28"/>
          <w:lang w:val="en-CA"/>
        </w:rPr>
        <w:t xml:space="preserve"> </w:t>
      </w:r>
      <w:r w:rsidRPr="00E60984">
        <w:rPr>
          <w:kern w:val="28"/>
          <w:lang w:val="en-CA"/>
        </w:rPr>
        <w:t xml:space="preserve">law and procedure </w:t>
      </w:r>
      <w:r w:rsidR="00A6003F">
        <w:rPr>
          <w:kern w:val="28"/>
          <w:lang w:val="en-CA"/>
        </w:rPr>
        <w:t xml:space="preserve">that applies </w:t>
      </w:r>
      <w:r w:rsidRPr="00E60984">
        <w:rPr>
          <w:kern w:val="28"/>
          <w:lang w:val="en-CA"/>
        </w:rPr>
        <w:t xml:space="preserve">under the </w:t>
      </w:r>
      <w:r w:rsidRPr="00E60984">
        <w:rPr>
          <w:i/>
          <w:kern w:val="28"/>
          <w:lang w:val="en-CA"/>
        </w:rPr>
        <w:lastRenderedPageBreak/>
        <w:t>Criminal Code</w:t>
      </w:r>
      <w:r w:rsidRPr="00E60984">
        <w:rPr>
          <w:kern w:val="28"/>
          <w:lang w:val="en-CA"/>
        </w:rPr>
        <w:t xml:space="preserve"> and the common law. Dickson C.J., then Chief Justice of Canada, said the following </w:t>
      </w:r>
      <w:r w:rsidR="00A6003F">
        <w:rPr>
          <w:kern w:val="28"/>
          <w:lang w:val="en-CA"/>
        </w:rPr>
        <w:t>on the subject</w:t>
      </w:r>
      <w:r w:rsidRPr="00E60984">
        <w:rPr>
          <w:kern w:val="28"/>
          <w:lang w:val="en-CA"/>
        </w:rPr>
        <w:t xml:space="preserve"> in </w:t>
      </w:r>
      <w:r w:rsidRPr="00E60984">
        <w:rPr>
          <w:i/>
          <w:kern w:val="28"/>
          <w:lang w:val="en-CA"/>
        </w:rPr>
        <w:t>O’Hara v. British Columbia</w:t>
      </w:r>
      <w:r w:rsidRPr="00E60984">
        <w:rPr>
          <w:kern w:val="28"/>
          <w:lang w:val="en-CA"/>
        </w:rPr>
        <w:t>:</w:t>
      </w:r>
      <w:r w:rsidRPr="00E60984">
        <w:rPr>
          <w:rStyle w:val="Appelnotedebasdep"/>
          <w:kern w:val="28"/>
          <w:lang w:val="en-CA"/>
        </w:rPr>
        <w:footnoteReference w:id="101"/>
      </w:r>
    </w:p>
    <w:p w14:paraId="0138C88F" w14:textId="3230D200" w:rsidR="00A17C43" w:rsidRPr="00E60984" w:rsidRDefault="00DE2A80" w:rsidP="005F15BF">
      <w:pPr>
        <w:pStyle w:val="Citationenretrait"/>
        <w:spacing w:line="240" w:lineRule="auto"/>
        <w:rPr>
          <w:lang w:val="en-CA"/>
        </w:rPr>
      </w:pPr>
      <w:r w:rsidRPr="00E60984">
        <w:rPr>
          <w:lang w:val="en-CA"/>
        </w:rPr>
        <w:t xml:space="preserve">… </w:t>
      </w:r>
      <w:r w:rsidR="00153AEF" w:rsidRPr="00E60984">
        <w:rPr>
          <w:color w:val="000000"/>
          <w:spacing w:val="-3"/>
          <w:u w:val="single"/>
          <w:lang w:val="en-CA"/>
        </w:rPr>
        <w:t>A province must respect federal jurisdiction over criminal law and criminal procedure</w:t>
      </w:r>
      <w:r w:rsidR="00153AEF" w:rsidRPr="00E60984">
        <w:rPr>
          <w:color w:val="000000"/>
          <w:spacing w:val="-3"/>
          <w:lang w:val="en-CA"/>
        </w:rPr>
        <w:t>. For example, a province may not compel a person charged with a criminal offence to testify as a witness before a provincial inquiry into the circumstances giving rise to that charge: </w:t>
      </w:r>
      <w:proofErr w:type="spellStart"/>
      <w:r w:rsidR="00153AEF" w:rsidRPr="00E60984">
        <w:rPr>
          <w:i/>
          <w:iCs/>
          <w:color w:val="000000"/>
          <w:spacing w:val="-3"/>
          <w:lang w:val="en-CA"/>
        </w:rPr>
        <w:t>Batary</w:t>
      </w:r>
      <w:proofErr w:type="spellEnd"/>
      <w:r w:rsidR="00153AEF" w:rsidRPr="00E60984">
        <w:rPr>
          <w:i/>
          <w:iCs/>
          <w:color w:val="000000"/>
          <w:spacing w:val="-3"/>
          <w:lang w:val="en-CA"/>
        </w:rPr>
        <w:t xml:space="preserve"> v. Attorney General for Saskatchewan</w:t>
      </w:r>
      <w:r w:rsidR="00153AEF" w:rsidRPr="00E60984">
        <w:rPr>
          <w:color w:val="000000"/>
          <w:spacing w:val="-3"/>
          <w:lang w:val="en-CA"/>
        </w:rPr>
        <w:t xml:space="preserve">, [1965] S.C.R. 465. </w:t>
      </w:r>
      <w:r w:rsidR="00153AEF" w:rsidRPr="00E60984">
        <w:rPr>
          <w:color w:val="000000"/>
          <w:spacing w:val="-3"/>
          <w:u w:val="single"/>
          <w:lang w:val="en-CA"/>
        </w:rPr>
        <w:t>Nor may a province enact legislation enabling a police officer to summon a suspect before an official and submit that suspect to a compulsory examination under oath with respect to his involvement in a crime solely for the purpose of gathering sufficient evidence to lay criminal charges</w:t>
      </w:r>
      <w:r w:rsidR="00153AEF" w:rsidRPr="00E60984">
        <w:rPr>
          <w:color w:val="000000"/>
          <w:spacing w:val="-3"/>
          <w:lang w:val="en-CA"/>
        </w:rPr>
        <w:t>. See </w:t>
      </w:r>
      <w:r w:rsidR="00153AEF" w:rsidRPr="00E60984">
        <w:rPr>
          <w:i/>
          <w:iCs/>
          <w:color w:val="000000"/>
          <w:spacing w:val="-3"/>
          <w:lang w:val="en-CA"/>
        </w:rPr>
        <w:t>Attorney General of Canada v. Canadian National Transportation, Ltd.</w:t>
      </w:r>
      <w:r w:rsidR="00153AEF" w:rsidRPr="00E60984">
        <w:rPr>
          <w:color w:val="000000"/>
          <w:spacing w:val="-3"/>
          <w:lang w:val="en-CA"/>
        </w:rPr>
        <w:t>,</w:t>
      </w:r>
      <w:r w:rsidR="00153AEF" w:rsidRPr="00E60984">
        <w:rPr>
          <w:i/>
          <w:iCs/>
          <w:color w:val="000000"/>
          <w:spacing w:val="-3"/>
          <w:lang w:val="en-CA"/>
        </w:rPr>
        <w:t> supra</w:t>
      </w:r>
      <w:r w:rsidR="00153AEF" w:rsidRPr="00E60984">
        <w:rPr>
          <w:color w:val="000000"/>
          <w:spacing w:val="-3"/>
          <w:lang w:val="en-CA"/>
        </w:rPr>
        <w:t>.</w:t>
      </w:r>
    </w:p>
    <w:p w14:paraId="7A72B651" w14:textId="319C76A2" w:rsidR="00A17C43" w:rsidRPr="00E60984" w:rsidRDefault="00C143A7" w:rsidP="00AD1D58">
      <w:pPr>
        <w:pStyle w:val="Citationenretrait"/>
        <w:spacing w:before="0" w:line="240" w:lineRule="auto"/>
        <w:jc w:val="right"/>
        <w:rPr>
          <w:kern w:val="28"/>
          <w:lang w:val="en-CA"/>
        </w:rPr>
      </w:pPr>
      <w:r w:rsidRPr="00E60984">
        <w:rPr>
          <w:lang w:val="en-CA"/>
        </w:rPr>
        <w:t>[Emphasis added.]</w:t>
      </w:r>
    </w:p>
    <w:p w14:paraId="1DC92D40" w14:textId="3E357614" w:rsidR="00A17C43" w:rsidRPr="00E60984" w:rsidRDefault="00124903" w:rsidP="00936B81">
      <w:pPr>
        <w:numPr>
          <w:ilvl w:val="0"/>
          <w:numId w:val="18"/>
        </w:numPr>
        <w:tabs>
          <w:tab w:val="clear" w:pos="720"/>
          <w:tab w:val="num" w:pos="360"/>
        </w:tabs>
        <w:spacing w:before="240" w:after="120" w:line="240" w:lineRule="auto"/>
        <w:jc w:val="both"/>
        <w:rPr>
          <w:kern w:val="28"/>
          <w:lang w:val="en-CA"/>
        </w:rPr>
      </w:pPr>
      <w:r w:rsidRPr="00E60984">
        <w:rPr>
          <w:kern w:val="28"/>
          <w:lang w:val="en-CA"/>
        </w:rPr>
        <w:t xml:space="preserve">Moreover, in </w:t>
      </w:r>
      <w:r w:rsidRPr="00E60984">
        <w:rPr>
          <w:i/>
          <w:kern w:val="28"/>
          <w:lang w:val="en-CA"/>
        </w:rPr>
        <w:t xml:space="preserve">Starr v. </w:t>
      </w:r>
      <w:proofErr w:type="spellStart"/>
      <w:r w:rsidRPr="00E60984">
        <w:rPr>
          <w:i/>
          <w:kern w:val="28"/>
          <w:lang w:val="en-CA"/>
        </w:rPr>
        <w:t>Houlden</w:t>
      </w:r>
      <w:proofErr w:type="spellEnd"/>
      <w:r w:rsidRPr="00E60984">
        <w:rPr>
          <w:kern w:val="28"/>
          <w:lang w:val="en-CA"/>
        </w:rPr>
        <w:t>, Lamer J. cited with approval the following excerpt from a judgment of the Court of Appeal for Ontario:</w:t>
      </w:r>
      <w:r w:rsidRPr="00E60984">
        <w:rPr>
          <w:rStyle w:val="Appelnotedebasdep"/>
          <w:kern w:val="28"/>
          <w:lang w:val="en-CA"/>
        </w:rPr>
        <w:footnoteReference w:id="102"/>
      </w:r>
    </w:p>
    <w:p w14:paraId="49D9BDF3" w14:textId="5D47C9B0" w:rsidR="00A17C43" w:rsidRPr="00E60984" w:rsidRDefault="00153AEF" w:rsidP="005F15BF">
      <w:pPr>
        <w:pStyle w:val="Citationenretrait"/>
        <w:spacing w:line="240" w:lineRule="auto"/>
        <w:rPr>
          <w:rFonts w:ascii="TmsRmn 12pt" w:hAnsi="TmsRmn 12pt"/>
          <w:lang w:val="en-CA" w:eastAsia="fr-CA"/>
        </w:rPr>
      </w:pPr>
      <w:r w:rsidRPr="00E60984">
        <w:rPr>
          <w:color w:val="000000"/>
          <w:spacing w:val="-3"/>
          <w:lang w:val="en-CA"/>
        </w:rPr>
        <w:t xml:space="preserve">It is well established that a Province may create provincial agencies such as coroners, fire </w:t>
      </w:r>
      <w:proofErr w:type="spellStart"/>
      <w:r w:rsidRPr="00E60984">
        <w:rPr>
          <w:color w:val="000000"/>
          <w:spacing w:val="-3"/>
          <w:lang w:val="en-CA"/>
        </w:rPr>
        <w:t>marshalls</w:t>
      </w:r>
      <w:proofErr w:type="spellEnd"/>
      <w:r w:rsidRPr="00E60984">
        <w:rPr>
          <w:color w:val="000000"/>
          <w:spacing w:val="-3"/>
          <w:lang w:val="en-CA"/>
        </w:rPr>
        <w:t>, securities commissions and commissions of inquiry and endow them with the power to summon witnesses and compel them to give evidence under oath in an inquiry conducted for a valid provincial purpose, notwithstanding that any witness required to give evidence may potentially be a defendant in a subsequent criminal proceeding</w:t>
      </w:r>
      <w:r w:rsidR="00DE2A80" w:rsidRPr="00E60984">
        <w:rPr>
          <w:lang w:val="en-CA" w:eastAsia="fr-CA"/>
        </w:rPr>
        <w:t xml:space="preserve"> . . .</w:t>
      </w:r>
    </w:p>
    <w:p w14:paraId="4158FAFA" w14:textId="3F118636" w:rsidR="00A17C43" w:rsidRPr="00E60984" w:rsidRDefault="00153AEF" w:rsidP="005F15BF">
      <w:pPr>
        <w:pStyle w:val="Citationenretrait"/>
        <w:spacing w:line="240" w:lineRule="auto"/>
        <w:rPr>
          <w:rFonts w:ascii="TmsRmn 12pt" w:hAnsi="TmsRmn 12pt"/>
          <w:lang w:val="en-CA" w:eastAsia="fr-CA"/>
        </w:rPr>
      </w:pPr>
      <w:r w:rsidRPr="00E60984">
        <w:rPr>
          <w:color w:val="000000"/>
          <w:spacing w:val="-3"/>
          <w:lang w:val="en-CA"/>
        </w:rPr>
        <w:t>The investigation of most crime is, however, conducted by the police acting principally under their common law powers and statutory powers of search and seizure and electronic surveillance, occasionally assisted in their investigation by the fruits of inquiries such as those mentioned above. The police are entitled to question any person, whether suspected or not, in order to ascertain whether a crime has been committed, and if so, to discover the person who committed it. The police, while they are entitled to question suspects have, in general, no power however, to compel answers</w:t>
      </w:r>
      <w:r w:rsidR="00DE2A80" w:rsidRPr="00E60984">
        <w:rPr>
          <w:lang w:val="en-CA" w:eastAsia="fr-CA"/>
        </w:rPr>
        <w:t>.</w:t>
      </w:r>
    </w:p>
    <w:p w14:paraId="0DA131A6" w14:textId="4D32D4E4" w:rsidR="00A17C43" w:rsidRPr="00E60984" w:rsidRDefault="00153AEF" w:rsidP="005F15BF">
      <w:pPr>
        <w:pStyle w:val="Citationenretrait"/>
        <w:spacing w:line="240" w:lineRule="auto"/>
        <w:rPr>
          <w:lang w:val="en-CA" w:eastAsia="fr-CA"/>
        </w:rPr>
      </w:pPr>
      <w:r w:rsidRPr="00E60984">
        <w:rPr>
          <w:color w:val="000000"/>
          <w:spacing w:val="-3"/>
          <w:u w:val="single"/>
          <w:lang w:val="en-CA"/>
        </w:rPr>
        <w:t>Notwithstanding the overlapping between </w:t>
      </w:r>
      <w:r w:rsidRPr="00E60984">
        <w:rPr>
          <w:rStyle w:val="reflex2-link"/>
          <w:color w:val="000000"/>
          <w:spacing w:val="-3"/>
          <w:u w:val="single"/>
          <w:lang w:val="en-CA"/>
        </w:rPr>
        <w:t>s. 91(27)</w:t>
      </w:r>
      <w:r w:rsidRPr="00E60984">
        <w:rPr>
          <w:color w:val="000000"/>
          <w:spacing w:val="-3"/>
          <w:u w:val="single"/>
          <w:lang w:val="en-CA"/>
        </w:rPr>
        <w:t> and </w:t>
      </w:r>
      <w:r w:rsidRPr="00E60984">
        <w:rPr>
          <w:rStyle w:val="reflex2-link"/>
          <w:color w:val="000000"/>
          <w:spacing w:val="-3"/>
          <w:u w:val="single"/>
          <w:lang w:val="en-CA"/>
        </w:rPr>
        <w:t>s. 92(14)</w:t>
      </w:r>
      <w:r w:rsidRPr="00E60984">
        <w:rPr>
          <w:color w:val="000000"/>
          <w:spacing w:val="-3"/>
          <w:u w:val="single"/>
          <w:lang w:val="en-CA"/>
        </w:rPr>
        <w:t>, manifestly it would not be within provincial competence to enact legislation enabling a police officer to summon a suspect before an official and submit the suspect to compulsory examination under oath with respect to his involvement in a crime. Even though such legislation might be described as legislation in relation to the investigation of offences and thus appear to fall within the category of the administration of justice, such legislation in pith and substance would be legislation in relation to criminal procedure and thus within the</w:t>
      </w:r>
      <w:r w:rsidRPr="00E60984">
        <w:rPr>
          <w:rFonts w:ascii="Book Antiqua" w:hAnsi="Book Antiqua"/>
          <w:i/>
          <w:iCs/>
          <w:color w:val="000000"/>
          <w:spacing w:val="-3"/>
          <w:u w:val="single"/>
          <w:lang w:val="en-CA"/>
        </w:rPr>
        <w:t> </w:t>
      </w:r>
      <w:r w:rsidRPr="00E60984">
        <w:rPr>
          <w:rFonts w:cs="Arial"/>
          <w:i/>
          <w:iCs/>
          <w:color w:val="000000"/>
          <w:spacing w:val="-3"/>
          <w:u w:val="single"/>
          <w:lang w:val="en-CA"/>
        </w:rPr>
        <w:t>exclusive</w:t>
      </w:r>
      <w:r w:rsidRPr="00E60984">
        <w:rPr>
          <w:color w:val="000000"/>
          <w:spacing w:val="-3"/>
          <w:u w:val="single"/>
          <w:lang w:val="en-CA"/>
        </w:rPr>
        <w:t> competence of Parliament</w:t>
      </w:r>
      <w:r w:rsidRPr="00565A81">
        <w:rPr>
          <w:color w:val="000000"/>
          <w:spacing w:val="-3"/>
          <w:lang w:val="en-CA"/>
        </w:rPr>
        <w:t>.</w:t>
      </w:r>
      <w:r w:rsidR="00DE2A80" w:rsidRPr="00E60984">
        <w:rPr>
          <w:lang w:val="en-CA" w:eastAsia="fr-CA"/>
        </w:rPr>
        <w:t>  [</w:t>
      </w:r>
      <w:r w:rsidRPr="00E60984">
        <w:rPr>
          <w:lang w:val="en-CA" w:eastAsia="fr-CA"/>
        </w:rPr>
        <w:t>Emphasis added.</w:t>
      </w:r>
      <w:r w:rsidR="00DE2A80" w:rsidRPr="00E60984">
        <w:rPr>
          <w:lang w:val="en-CA" w:eastAsia="fr-CA"/>
        </w:rPr>
        <w:t>]</w:t>
      </w:r>
    </w:p>
    <w:p w14:paraId="7BFA6533" w14:textId="34FF7E8F" w:rsidR="00A17C43" w:rsidRPr="00E60984" w:rsidRDefault="00DE2A80" w:rsidP="005F15BF">
      <w:pPr>
        <w:pStyle w:val="Citationenretrait"/>
        <w:spacing w:line="240" w:lineRule="auto"/>
        <w:jc w:val="right"/>
        <w:rPr>
          <w:rFonts w:ascii="TmsRmn 12pt" w:hAnsi="TmsRmn 12pt"/>
          <w:lang w:val="en-CA" w:eastAsia="fr-CA"/>
        </w:rPr>
      </w:pPr>
      <w:r w:rsidRPr="00E60984">
        <w:rPr>
          <w:lang w:val="en-CA" w:eastAsia="fr-CA"/>
        </w:rPr>
        <w:lastRenderedPageBreak/>
        <w:t>[</w:t>
      </w:r>
      <w:r w:rsidR="00153AEF" w:rsidRPr="00E60984">
        <w:rPr>
          <w:lang w:val="en-CA" w:eastAsia="fr-CA"/>
        </w:rPr>
        <w:t>Emphasis added by</w:t>
      </w:r>
      <w:r w:rsidRPr="00E60984">
        <w:rPr>
          <w:lang w:val="en-CA" w:eastAsia="fr-CA"/>
        </w:rPr>
        <w:t xml:space="preserve"> Lamer</w:t>
      </w:r>
      <w:r w:rsidR="00153AEF" w:rsidRPr="00E60984">
        <w:rPr>
          <w:lang w:val="en-CA" w:eastAsia="fr-CA"/>
        </w:rPr>
        <w:t xml:space="preserve"> J.</w:t>
      </w:r>
      <w:r w:rsidRPr="00E60984">
        <w:rPr>
          <w:lang w:val="en-CA" w:eastAsia="fr-CA"/>
        </w:rPr>
        <w:t>]</w:t>
      </w:r>
    </w:p>
    <w:p w14:paraId="500942B2" w14:textId="66C04F3D" w:rsidR="00A17C43" w:rsidRPr="00E60984" w:rsidRDefault="00124903" w:rsidP="009378E5">
      <w:pPr>
        <w:pStyle w:val="Paragraphe"/>
        <w:spacing w:before="240" w:line="240" w:lineRule="auto"/>
        <w:rPr>
          <w:lang w:val="en-CA"/>
        </w:rPr>
      </w:pPr>
      <w:proofErr w:type="spellStart"/>
      <w:r w:rsidRPr="00E60984">
        <w:rPr>
          <w:color w:val="000000"/>
          <w:lang w:val="en-CA"/>
        </w:rPr>
        <w:t>Iacobucci</w:t>
      </w:r>
      <w:proofErr w:type="spellEnd"/>
      <w:r w:rsidRPr="00E60984">
        <w:rPr>
          <w:color w:val="000000"/>
          <w:lang w:val="en-CA"/>
        </w:rPr>
        <w:t xml:space="preserve"> J. made similar remarks in </w:t>
      </w:r>
      <w:r w:rsidRPr="00E60984">
        <w:rPr>
          <w:i/>
          <w:color w:val="000000"/>
          <w:lang w:val="en-CA"/>
        </w:rPr>
        <w:t>R. v. White</w:t>
      </w:r>
      <w:r w:rsidRPr="00E60984">
        <w:rPr>
          <w:color w:val="000000"/>
          <w:lang w:val="en-CA"/>
        </w:rPr>
        <w:t>:</w:t>
      </w:r>
      <w:r w:rsidRPr="00E60984">
        <w:rPr>
          <w:rStyle w:val="Appelnotedebasdep"/>
          <w:lang w:val="en-CA"/>
        </w:rPr>
        <w:footnoteReference w:id="103"/>
      </w:r>
      <w:r w:rsidR="00DE2A80" w:rsidRPr="00E60984">
        <w:rPr>
          <w:color w:val="000000"/>
          <w:kern w:val="0"/>
          <w:sz w:val="27"/>
          <w:szCs w:val="27"/>
          <w:lang w:val="en-CA"/>
        </w:rPr>
        <w:t xml:space="preserve"> </w:t>
      </w:r>
    </w:p>
    <w:p w14:paraId="0E509988" w14:textId="1611B589" w:rsidR="00A17C43" w:rsidRPr="00E60984" w:rsidRDefault="00153AEF" w:rsidP="00936B81">
      <w:pPr>
        <w:pStyle w:val="Citationenretrait"/>
        <w:rPr>
          <w:lang w:val="en-CA"/>
        </w:rPr>
      </w:pPr>
      <w:r w:rsidRPr="00E60984">
        <w:rPr>
          <w:color w:val="000000"/>
          <w:szCs w:val="22"/>
          <w:lang w:val="en-CA"/>
        </w:rPr>
        <w:t>The provinces are entitled to inquire into factual circumstances that may involve the commission of a criminal offence, but their jurisdiction does not extend so far as to trench upon the federal power under </w:t>
      </w:r>
      <w:r w:rsidRPr="00E60984">
        <w:rPr>
          <w:szCs w:val="22"/>
          <w:lang w:val="en-CA"/>
        </w:rPr>
        <w:t>s. 91(27)</w:t>
      </w:r>
      <w:r w:rsidRPr="00E60984">
        <w:rPr>
          <w:color w:val="000000"/>
          <w:szCs w:val="22"/>
          <w:lang w:val="en-CA"/>
        </w:rPr>
        <w:t> of the </w:t>
      </w:r>
      <w:r w:rsidRPr="00E60984">
        <w:rPr>
          <w:i/>
          <w:iCs/>
          <w:color w:val="000000"/>
          <w:szCs w:val="22"/>
          <w:lang w:val="en-CA"/>
        </w:rPr>
        <w:t>Constitution Act, 1867</w:t>
      </w:r>
      <w:r w:rsidRPr="00E60984">
        <w:rPr>
          <w:color w:val="000000"/>
          <w:szCs w:val="22"/>
          <w:lang w:val="en-CA"/>
        </w:rPr>
        <w:t> over the criminal law:  see, e.g., </w:t>
      </w:r>
      <w:r w:rsidRPr="00E60984">
        <w:rPr>
          <w:i/>
          <w:iCs/>
          <w:color w:val="000000"/>
          <w:szCs w:val="22"/>
          <w:lang w:val="en-CA"/>
        </w:rPr>
        <w:t xml:space="preserve">Starr v. </w:t>
      </w:r>
      <w:proofErr w:type="spellStart"/>
      <w:r w:rsidRPr="00E60984">
        <w:rPr>
          <w:i/>
          <w:iCs/>
          <w:color w:val="000000"/>
          <w:szCs w:val="22"/>
          <w:lang w:val="en-CA"/>
        </w:rPr>
        <w:t>Houlden</w:t>
      </w:r>
      <w:proofErr w:type="spellEnd"/>
      <w:r w:rsidRPr="00E60984">
        <w:rPr>
          <w:color w:val="000000"/>
          <w:szCs w:val="22"/>
          <w:lang w:val="en-CA"/>
        </w:rPr>
        <w:t>, [1990] 1 S.C.R. 1366</w:t>
      </w:r>
      <w:r w:rsidR="00DE2A80" w:rsidRPr="00E60984">
        <w:rPr>
          <w:szCs w:val="22"/>
          <w:lang w:val="en-CA"/>
        </w:rPr>
        <w:t>.</w:t>
      </w:r>
    </w:p>
    <w:p w14:paraId="451EBB57" w14:textId="7A6EE893" w:rsidR="00A17C43" w:rsidRPr="00E60984" w:rsidRDefault="00C143A7" w:rsidP="00936B81">
      <w:pPr>
        <w:pStyle w:val="Citationenretrait"/>
        <w:spacing w:before="0" w:line="240" w:lineRule="auto"/>
        <w:jc w:val="right"/>
        <w:rPr>
          <w:lang w:val="en-CA"/>
        </w:rPr>
      </w:pPr>
      <w:r w:rsidRPr="00E60984">
        <w:rPr>
          <w:lang w:val="en-CA"/>
        </w:rPr>
        <w:t>[Emphasis added.]</w:t>
      </w:r>
    </w:p>
    <w:p w14:paraId="4705D6A4" w14:textId="136CF1AC" w:rsidR="00A17C43" w:rsidRPr="00E60984" w:rsidRDefault="00124903" w:rsidP="00936B81">
      <w:pPr>
        <w:pStyle w:val="Paragraphe"/>
        <w:spacing w:before="240" w:line="240" w:lineRule="auto"/>
        <w:rPr>
          <w:lang w:val="en-CA"/>
        </w:rPr>
      </w:pPr>
      <w:r w:rsidRPr="00E60984">
        <w:rPr>
          <w:lang w:val="en-CA"/>
        </w:rPr>
        <w:t xml:space="preserve">BEI investigations must therefore comply with the criminal law and procedure set out in the </w:t>
      </w:r>
      <w:r w:rsidRPr="00E60984">
        <w:rPr>
          <w:i/>
          <w:lang w:val="en-CA"/>
        </w:rPr>
        <w:t>Criminal Code</w:t>
      </w:r>
      <w:r w:rsidRPr="00E60984">
        <w:rPr>
          <w:lang w:val="en-CA"/>
        </w:rPr>
        <w:t xml:space="preserve"> and the </w:t>
      </w:r>
      <w:r w:rsidR="002E7952">
        <w:rPr>
          <w:lang w:val="en-CA"/>
        </w:rPr>
        <w:t xml:space="preserve">applicable </w:t>
      </w:r>
      <w:r w:rsidRPr="00E60984">
        <w:rPr>
          <w:lang w:val="en-CA"/>
        </w:rPr>
        <w:t>common law.</w:t>
      </w:r>
      <w:r w:rsidR="00DE2A80" w:rsidRPr="00E60984">
        <w:rPr>
          <w:lang w:val="en-CA"/>
        </w:rPr>
        <w:t xml:space="preserve"> </w:t>
      </w:r>
    </w:p>
    <w:p w14:paraId="460829D8" w14:textId="3D4E9F01" w:rsidR="00A17C43" w:rsidRPr="00E60984" w:rsidRDefault="00124903" w:rsidP="005F15BF">
      <w:pPr>
        <w:pStyle w:val="Paragraphe"/>
        <w:spacing w:line="240" w:lineRule="auto"/>
        <w:rPr>
          <w:lang w:val="en-CA"/>
        </w:rPr>
      </w:pPr>
      <w:r w:rsidRPr="00E60984">
        <w:rPr>
          <w:lang w:val="en-CA"/>
        </w:rPr>
        <w:t>That being so, this does not mean that the provincial legislat</w:t>
      </w:r>
      <w:r w:rsidR="0087677B">
        <w:rPr>
          <w:lang w:val="en-CA"/>
        </w:rPr>
        <w:t>u</w:t>
      </w:r>
      <w:r w:rsidRPr="00E60984">
        <w:rPr>
          <w:lang w:val="en-CA"/>
        </w:rPr>
        <w:t>r</w:t>
      </w:r>
      <w:r w:rsidR="0087677B">
        <w:rPr>
          <w:lang w:val="en-CA"/>
        </w:rPr>
        <w:t>e</w:t>
      </w:r>
      <w:r w:rsidRPr="00E60984">
        <w:rPr>
          <w:lang w:val="en-CA"/>
        </w:rPr>
        <w:t xml:space="preserve"> cannot legislate on investigations conducted by a police force, such as the BEI.</w:t>
      </w:r>
      <w:r w:rsidR="00DE2A80" w:rsidRPr="00E60984">
        <w:rPr>
          <w:lang w:val="en-CA"/>
        </w:rPr>
        <w:t xml:space="preserve"> </w:t>
      </w:r>
      <w:r w:rsidRPr="00E60984">
        <w:rPr>
          <w:lang w:val="en-CA"/>
        </w:rPr>
        <w:t>It may certainly do so.</w:t>
      </w:r>
      <w:r w:rsidR="00DE2A80" w:rsidRPr="00E60984">
        <w:rPr>
          <w:lang w:val="en-CA"/>
        </w:rPr>
        <w:t xml:space="preserve"> </w:t>
      </w:r>
      <w:r w:rsidRPr="00E60984">
        <w:rPr>
          <w:lang w:val="en-CA"/>
        </w:rPr>
        <w:t xml:space="preserve">However, this provincial legislation can </w:t>
      </w:r>
      <w:r w:rsidR="00BD46DA">
        <w:rPr>
          <w:lang w:val="en-CA"/>
        </w:rPr>
        <w:t xml:space="preserve">neither </w:t>
      </w:r>
      <w:r w:rsidRPr="00E60984">
        <w:rPr>
          <w:lang w:val="en-CA"/>
        </w:rPr>
        <w:t xml:space="preserve">contradict </w:t>
      </w:r>
      <w:r w:rsidR="00BD46DA">
        <w:rPr>
          <w:lang w:val="en-CA"/>
        </w:rPr>
        <w:t>n</w:t>
      </w:r>
      <w:r w:rsidRPr="00E60984">
        <w:rPr>
          <w:lang w:val="en-CA"/>
        </w:rPr>
        <w:t xml:space="preserve">or quash the rules and principles of criminal law and procedure, which fall under </w:t>
      </w:r>
      <w:r w:rsidR="00BD46DA">
        <w:rPr>
          <w:lang w:val="en-CA"/>
        </w:rPr>
        <w:t xml:space="preserve">Parliament’s </w:t>
      </w:r>
      <w:r w:rsidRPr="00E60984">
        <w:rPr>
          <w:lang w:val="en-CA"/>
        </w:rPr>
        <w:t>exclusive jurisdiction.</w:t>
      </w:r>
      <w:r w:rsidR="00DE2A80" w:rsidRPr="00E60984">
        <w:rPr>
          <w:lang w:val="en-CA"/>
        </w:rPr>
        <w:t xml:space="preserve"> </w:t>
      </w:r>
    </w:p>
    <w:p w14:paraId="423A1C42" w14:textId="25D8E16C" w:rsidR="00A17C43" w:rsidRPr="00E60984" w:rsidRDefault="00124903" w:rsidP="009378E5">
      <w:pPr>
        <w:pStyle w:val="Paragraphe"/>
        <w:numPr>
          <w:ilvl w:val="0"/>
          <w:numId w:val="0"/>
        </w:numPr>
        <w:spacing w:before="240" w:line="240" w:lineRule="auto"/>
        <w:ind w:left="720"/>
        <w:rPr>
          <w:i/>
          <w:iCs/>
          <w:u w:val="single"/>
          <w:lang w:val="en-CA"/>
        </w:rPr>
      </w:pPr>
      <w:r w:rsidRPr="00E60984">
        <w:rPr>
          <w:i/>
          <w:iCs/>
          <w:u w:val="single"/>
          <w:lang w:val="en-CA"/>
        </w:rPr>
        <w:t>Are the impugned regulatory provisions inconsistent with criminal law or procedure?</w:t>
      </w:r>
    </w:p>
    <w:p w14:paraId="4A5AF32E" w14:textId="2091FFC3" w:rsidR="00A17C43" w:rsidRPr="00E60984" w:rsidRDefault="00124903" w:rsidP="005F15BF">
      <w:pPr>
        <w:pStyle w:val="Paragraphe"/>
        <w:spacing w:line="240" w:lineRule="auto"/>
        <w:rPr>
          <w:lang w:val="en-CA"/>
        </w:rPr>
      </w:pPr>
      <w:r w:rsidRPr="00E60984">
        <w:rPr>
          <w:lang w:val="en-CA"/>
        </w:rPr>
        <w:t xml:space="preserve">The Court must now determine whether the impugned provisions are inconsistent with criminal law </w:t>
      </w:r>
      <w:r w:rsidR="00BD46DA">
        <w:rPr>
          <w:lang w:val="en-CA"/>
        </w:rPr>
        <w:t>or</w:t>
      </w:r>
      <w:r w:rsidRPr="00E60984">
        <w:rPr>
          <w:lang w:val="en-CA"/>
        </w:rPr>
        <w:t xml:space="preserve"> procedure, as the incidental appellants </w:t>
      </w:r>
      <w:r w:rsidR="00BD46DA">
        <w:rPr>
          <w:lang w:val="en-CA"/>
        </w:rPr>
        <w:t>claim</w:t>
      </w:r>
      <w:r w:rsidRPr="00E60984">
        <w:rPr>
          <w:lang w:val="en-CA"/>
        </w:rPr>
        <w:t>.</w:t>
      </w:r>
      <w:r w:rsidR="00DE2A80" w:rsidRPr="00E60984">
        <w:rPr>
          <w:lang w:val="en-CA"/>
        </w:rPr>
        <w:t xml:space="preserve"> </w:t>
      </w:r>
      <w:r w:rsidRPr="00E60984">
        <w:rPr>
          <w:lang w:val="en-CA"/>
        </w:rPr>
        <w:t>Each impugned provision will be analyzed in turn.</w:t>
      </w:r>
    </w:p>
    <w:p w14:paraId="1E30186F" w14:textId="1F6603C5" w:rsidR="00A17C43" w:rsidRPr="00E60984" w:rsidRDefault="00124903" w:rsidP="005F15BF">
      <w:pPr>
        <w:pStyle w:val="Paragraphe"/>
        <w:numPr>
          <w:ilvl w:val="0"/>
          <w:numId w:val="0"/>
        </w:numPr>
        <w:spacing w:line="240" w:lineRule="auto"/>
        <w:ind w:left="1440"/>
        <w:rPr>
          <w:i/>
          <w:iCs/>
          <w:lang w:val="en-CA"/>
        </w:rPr>
      </w:pPr>
      <w:bookmarkStart w:id="26" w:name="_Hlk163138943"/>
      <w:r w:rsidRPr="00E60984">
        <w:rPr>
          <w:i/>
          <w:iCs/>
          <w:lang w:val="en-CA"/>
        </w:rPr>
        <w:t xml:space="preserve">Withdrawal of witness police officers and police officers involved </w:t>
      </w:r>
      <w:r w:rsidR="008A2577" w:rsidRPr="00E60984">
        <w:rPr>
          <w:i/>
          <w:iCs/>
          <w:lang w:val="en-CA"/>
        </w:rPr>
        <w:t xml:space="preserve">from the scene </w:t>
      </w:r>
      <w:r w:rsidRPr="00E60984">
        <w:rPr>
          <w:i/>
          <w:iCs/>
          <w:lang w:val="en-CA"/>
        </w:rPr>
        <w:t>and priority of BEI investigation</w:t>
      </w:r>
    </w:p>
    <w:bookmarkEnd w:id="26"/>
    <w:p w14:paraId="3626234E" w14:textId="53D8494C" w:rsidR="00A17C43" w:rsidRPr="00E60984" w:rsidRDefault="008A2577" w:rsidP="005F15BF">
      <w:pPr>
        <w:pStyle w:val="Paragraphe"/>
        <w:spacing w:line="240" w:lineRule="auto"/>
        <w:rPr>
          <w:lang w:val="en-CA"/>
        </w:rPr>
      </w:pPr>
      <w:r>
        <w:rPr>
          <w:lang w:val="en-CA"/>
        </w:rPr>
        <w:t>Pursuant to</w:t>
      </w:r>
      <w:r w:rsidR="004A357D" w:rsidRPr="00E60984">
        <w:rPr>
          <w:lang w:val="en-CA"/>
        </w:rPr>
        <w:t xml:space="preserve"> subparagraph </w:t>
      </w:r>
      <w:r>
        <w:rPr>
          <w:lang w:val="en-CA"/>
        </w:rPr>
        <w:t>(</w:t>
      </w:r>
      <w:r w:rsidR="004A357D" w:rsidRPr="00E60984">
        <w:rPr>
          <w:lang w:val="en-CA"/>
        </w:rPr>
        <w:t>1</w:t>
      </w:r>
      <w:r>
        <w:rPr>
          <w:lang w:val="en-CA"/>
        </w:rPr>
        <w:t>)</w:t>
      </w:r>
      <w:r w:rsidR="004A357D" w:rsidRPr="00E60984">
        <w:rPr>
          <w:lang w:val="en-CA"/>
        </w:rPr>
        <w:t xml:space="preserve"> of the first paragraph of section 1 of the </w:t>
      </w:r>
      <w:r w:rsidR="004A357D" w:rsidRPr="00E60984">
        <w:rPr>
          <w:i/>
          <w:lang w:val="en-CA"/>
        </w:rPr>
        <w:t>Regulation</w:t>
      </w:r>
      <w:r w:rsidR="004A357D" w:rsidRPr="00E60984">
        <w:rPr>
          <w:lang w:val="en-CA"/>
        </w:rPr>
        <w:t>, the police officer involved and the witness police officer must withdraw from the scene</w:t>
      </w:r>
      <w:r w:rsidR="00227181">
        <w:rPr>
          <w:lang w:val="en-CA"/>
        </w:rPr>
        <w:t>.</w:t>
      </w:r>
      <w:r w:rsidR="004A357D" w:rsidRPr="00E60984">
        <w:rPr>
          <w:lang w:val="en-CA"/>
        </w:rPr>
        <w:t xml:space="preserve"> </w:t>
      </w:r>
      <w:r w:rsidR="00227181">
        <w:rPr>
          <w:lang w:val="en-CA"/>
        </w:rPr>
        <w:t>S</w:t>
      </w:r>
      <w:r w:rsidR="004A357D" w:rsidRPr="00E60984">
        <w:rPr>
          <w:lang w:val="en-CA"/>
        </w:rPr>
        <w:t xml:space="preserve">ection 3 of the </w:t>
      </w:r>
      <w:r w:rsidR="004A357D" w:rsidRPr="00E60984">
        <w:rPr>
          <w:i/>
          <w:iCs/>
          <w:lang w:val="en-CA"/>
        </w:rPr>
        <w:t>Regulation</w:t>
      </w:r>
      <w:r w:rsidR="004A357D" w:rsidRPr="00E60984">
        <w:rPr>
          <w:lang w:val="en-CA"/>
        </w:rPr>
        <w:t xml:space="preserve"> grants priority to the BEI investigation.</w:t>
      </w:r>
      <w:r w:rsidR="00DE2A80" w:rsidRPr="00E60984">
        <w:rPr>
          <w:lang w:val="en-CA"/>
        </w:rPr>
        <w:t xml:space="preserve"> </w:t>
      </w:r>
    </w:p>
    <w:p w14:paraId="70253E06" w14:textId="359F35BB" w:rsidR="00A17C43" w:rsidRPr="00E60984" w:rsidRDefault="004A357D" w:rsidP="005F15BF">
      <w:pPr>
        <w:pStyle w:val="Paragraphe"/>
        <w:spacing w:line="240" w:lineRule="auto"/>
        <w:rPr>
          <w:lang w:val="en-CA"/>
        </w:rPr>
      </w:pPr>
      <w:r w:rsidRPr="00E60984">
        <w:rPr>
          <w:lang w:val="en-CA"/>
        </w:rPr>
        <w:t xml:space="preserve">These provisions raise no concern </w:t>
      </w:r>
      <w:r w:rsidR="00351B4A">
        <w:rPr>
          <w:lang w:val="en-CA"/>
        </w:rPr>
        <w:t xml:space="preserve">with respect to </w:t>
      </w:r>
      <w:r w:rsidRPr="00E60984">
        <w:rPr>
          <w:lang w:val="en-CA"/>
        </w:rPr>
        <w:t>their constitutional</w:t>
      </w:r>
      <w:r w:rsidR="00BA663A">
        <w:rPr>
          <w:lang w:val="en-CA"/>
        </w:rPr>
        <w:t xml:space="preserve"> valid</w:t>
      </w:r>
      <w:r w:rsidRPr="00E60984">
        <w:rPr>
          <w:lang w:val="en-CA"/>
        </w:rPr>
        <w:t>ity under the division of powers.</w:t>
      </w:r>
      <w:r w:rsidR="00DE2A80" w:rsidRPr="00E60984">
        <w:rPr>
          <w:lang w:val="en-CA"/>
        </w:rPr>
        <w:t xml:space="preserve"> </w:t>
      </w:r>
      <w:r w:rsidRPr="00E60984">
        <w:rPr>
          <w:lang w:val="en-CA"/>
        </w:rPr>
        <w:t xml:space="preserve">They are clearly measures </w:t>
      </w:r>
      <w:r w:rsidR="00227181">
        <w:rPr>
          <w:lang w:val="en-CA"/>
        </w:rPr>
        <w:t>for</w:t>
      </w:r>
      <w:r w:rsidR="00227181" w:rsidRPr="00E60984">
        <w:rPr>
          <w:lang w:val="en-CA"/>
        </w:rPr>
        <w:t xml:space="preserve"> </w:t>
      </w:r>
      <w:r w:rsidRPr="00E60984">
        <w:rPr>
          <w:lang w:val="en-CA"/>
        </w:rPr>
        <w:t xml:space="preserve">the organization of police services in the province that were enacted to </w:t>
      </w:r>
      <w:r w:rsidR="00227181">
        <w:rPr>
          <w:lang w:val="en-CA"/>
        </w:rPr>
        <w:t xml:space="preserve">ensure the preservation </w:t>
      </w:r>
      <w:r w:rsidRPr="00E60984">
        <w:rPr>
          <w:lang w:val="en-CA"/>
        </w:rPr>
        <w:t xml:space="preserve">evidence and to </w:t>
      </w:r>
      <w:r w:rsidR="00351B4A">
        <w:rPr>
          <w:lang w:val="en-CA"/>
        </w:rPr>
        <w:t>encourage</w:t>
      </w:r>
      <w:r w:rsidRPr="00E60984">
        <w:rPr>
          <w:lang w:val="en-CA"/>
        </w:rPr>
        <w:t xml:space="preserve"> harmonious and ordered cooperation between the police forces concerned.</w:t>
      </w:r>
      <w:r w:rsidR="00DE2A80" w:rsidRPr="00E60984">
        <w:rPr>
          <w:lang w:val="en-CA"/>
        </w:rPr>
        <w:t xml:space="preserve"> </w:t>
      </w:r>
    </w:p>
    <w:p w14:paraId="5FC97273" w14:textId="0B707E29" w:rsidR="00A17C43" w:rsidRPr="00E60984" w:rsidRDefault="004A357D" w:rsidP="005F15BF">
      <w:pPr>
        <w:pStyle w:val="Paragraphe"/>
        <w:spacing w:line="240" w:lineRule="auto"/>
        <w:rPr>
          <w:lang w:val="en-CA"/>
        </w:rPr>
      </w:pPr>
      <w:r w:rsidRPr="00E60984">
        <w:rPr>
          <w:lang w:val="en-CA"/>
        </w:rPr>
        <w:t xml:space="preserve">The incidental appellants have failed to convince </w:t>
      </w:r>
      <w:r w:rsidR="00227181">
        <w:rPr>
          <w:lang w:val="en-CA"/>
        </w:rPr>
        <w:t>the Court</w:t>
      </w:r>
      <w:r w:rsidR="00227181" w:rsidRPr="00E60984">
        <w:rPr>
          <w:lang w:val="en-CA"/>
        </w:rPr>
        <w:t xml:space="preserve"> </w:t>
      </w:r>
      <w:r w:rsidRPr="00E60984">
        <w:rPr>
          <w:lang w:val="en-CA"/>
        </w:rPr>
        <w:t xml:space="preserve">that they are measures that infringe criminal law or procedure, especially </w:t>
      </w:r>
      <w:r w:rsidR="00351B4A">
        <w:rPr>
          <w:lang w:val="en-CA"/>
        </w:rPr>
        <w:t xml:space="preserve">since </w:t>
      </w:r>
      <w:r w:rsidRPr="00E60984">
        <w:rPr>
          <w:lang w:val="en-CA"/>
        </w:rPr>
        <w:t xml:space="preserve">they have not precisely identified </w:t>
      </w:r>
      <w:r w:rsidRPr="00E60984">
        <w:rPr>
          <w:lang w:val="en-CA"/>
        </w:rPr>
        <w:lastRenderedPageBreak/>
        <w:t>which aspect of criminal law or procedure is</w:t>
      </w:r>
      <w:r w:rsidR="00227181">
        <w:rPr>
          <w:lang w:val="en-CA"/>
        </w:rPr>
        <w:t xml:space="preserve"> alleged to be</w:t>
      </w:r>
      <w:r w:rsidRPr="00E60984">
        <w:rPr>
          <w:lang w:val="en-CA"/>
        </w:rPr>
        <w:t xml:space="preserve"> inconsistent with these </w:t>
      </w:r>
      <w:r w:rsidR="00351B4A">
        <w:rPr>
          <w:lang w:val="en-CA"/>
        </w:rPr>
        <w:t xml:space="preserve">regulatory </w:t>
      </w:r>
      <w:r w:rsidRPr="00E60984">
        <w:rPr>
          <w:lang w:val="en-CA"/>
        </w:rPr>
        <w:t>provisions.</w:t>
      </w:r>
    </w:p>
    <w:p w14:paraId="4E3892CC" w14:textId="1EBF5F2B" w:rsidR="00A17C43" w:rsidRPr="00E60984" w:rsidRDefault="004A357D" w:rsidP="00AC4D24">
      <w:pPr>
        <w:pStyle w:val="Paragraphe"/>
        <w:numPr>
          <w:ilvl w:val="0"/>
          <w:numId w:val="0"/>
        </w:numPr>
        <w:spacing w:before="240" w:line="240" w:lineRule="auto"/>
        <w:ind w:left="1440"/>
        <w:rPr>
          <w:i/>
          <w:iCs/>
          <w:lang w:val="en-CA"/>
        </w:rPr>
      </w:pPr>
      <w:r w:rsidRPr="00E60984">
        <w:rPr>
          <w:i/>
          <w:iCs/>
          <w:lang w:val="en-CA"/>
        </w:rPr>
        <w:t>Obligation of the police officer involved to draw up an account of the occurrence and submit it to the BEI</w:t>
      </w:r>
      <w:r w:rsidR="00DE2A80" w:rsidRPr="00E60984">
        <w:rPr>
          <w:i/>
          <w:iCs/>
          <w:lang w:val="en-CA"/>
        </w:rPr>
        <w:t xml:space="preserve"> </w:t>
      </w:r>
    </w:p>
    <w:p w14:paraId="6B6480F6" w14:textId="27A19E4D" w:rsidR="00A17C43" w:rsidRPr="00E60984" w:rsidRDefault="00344A2E" w:rsidP="005F15BF">
      <w:pPr>
        <w:pStyle w:val="Paragraphe"/>
        <w:spacing w:line="240" w:lineRule="auto"/>
        <w:rPr>
          <w:lang w:val="en-CA"/>
        </w:rPr>
      </w:pPr>
      <w:r>
        <w:rPr>
          <w:lang w:val="en-CA"/>
        </w:rPr>
        <w:t>S</w:t>
      </w:r>
      <w:r w:rsidR="004A357D" w:rsidRPr="00E60984">
        <w:rPr>
          <w:lang w:val="en-CA"/>
        </w:rPr>
        <w:t xml:space="preserve">ubparagraph (2) of the first paragraph of section 1 of the </w:t>
      </w:r>
      <w:r w:rsidR="004A357D" w:rsidRPr="00E60984">
        <w:rPr>
          <w:i/>
          <w:iCs/>
          <w:lang w:val="en-CA"/>
        </w:rPr>
        <w:t>Regulation</w:t>
      </w:r>
      <w:r>
        <w:rPr>
          <w:lang w:val="en-CA"/>
        </w:rPr>
        <w:t xml:space="preserve"> compels</w:t>
      </w:r>
      <w:r w:rsidR="004A357D" w:rsidRPr="00E60984">
        <w:rPr>
          <w:lang w:val="en-CA"/>
        </w:rPr>
        <w:t xml:space="preserve"> the police officer involved and the witness police officer </w:t>
      </w:r>
      <w:r>
        <w:rPr>
          <w:lang w:val="en-CA"/>
        </w:rPr>
        <w:t>to</w:t>
      </w:r>
      <w:r w:rsidRPr="00E60984">
        <w:rPr>
          <w:lang w:val="en-CA"/>
        </w:rPr>
        <w:t xml:space="preserve"> </w:t>
      </w:r>
      <w:r w:rsidR="004A357D" w:rsidRPr="00E60984">
        <w:rPr>
          <w:lang w:val="en-CA"/>
        </w:rPr>
        <w:t>draw up an account of the occurrence and submit it to the BEI.</w:t>
      </w:r>
      <w:r w:rsidR="00DE2A80" w:rsidRPr="00E60984">
        <w:rPr>
          <w:lang w:val="en-CA"/>
        </w:rPr>
        <w:t xml:space="preserve"> </w:t>
      </w:r>
      <w:r w:rsidR="004A357D" w:rsidRPr="00E60984">
        <w:rPr>
          <w:lang w:val="en-CA"/>
        </w:rPr>
        <w:t xml:space="preserve">This provision clearly does not conflict with criminal law or procedure </w:t>
      </w:r>
      <w:r w:rsidR="00351B4A">
        <w:rPr>
          <w:lang w:val="en-CA"/>
        </w:rPr>
        <w:t xml:space="preserve">when applied to a </w:t>
      </w:r>
      <w:r w:rsidR="004A357D" w:rsidRPr="00E60984">
        <w:rPr>
          <w:lang w:val="en-CA"/>
        </w:rPr>
        <w:t>witness police officer and the incidental appellants do not challenge this measure with respect to th</w:t>
      </w:r>
      <w:r>
        <w:rPr>
          <w:lang w:val="en-CA"/>
        </w:rPr>
        <w:t>o</w:t>
      </w:r>
      <w:r w:rsidR="004A357D" w:rsidRPr="00E60984">
        <w:rPr>
          <w:lang w:val="en-CA"/>
        </w:rPr>
        <w:t>se police officers.</w:t>
      </w:r>
      <w:r w:rsidR="00DE2A80" w:rsidRPr="00E60984">
        <w:rPr>
          <w:lang w:val="en-CA"/>
        </w:rPr>
        <w:t xml:space="preserve"> </w:t>
      </w:r>
    </w:p>
    <w:p w14:paraId="09B449F1" w14:textId="1AFE7CA4" w:rsidR="00A17C43" w:rsidRPr="00E60984" w:rsidRDefault="004A357D" w:rsidP="005F15BF">
      <w:pPr>
        <w:pStyle w:val="Paragraphe"/>
        <w:spacing w:line="240" w:lineRule="auto"/>
        <w:rPr>
          <w:lang w:val="en-CA"/>
        </w:rPr>
      </w:pPr>
      <w:r w:rsidRPr="00E60984">
        <w:rPr>
          <w:lang w:val="en-CA"/>
        </w:rPr>
        <w:t xml:space="preserve">What </w:t>
      </w:r>
      <w:r w:rsidR="00351B4A">
        <w:rPr>
          <w:lang w:val="en-CA"/>
        </w:rPr>
        <w:t>of</w:t>
      </w:r>
      <w:r w:rsidRPr="00E60984">
        <w:rPr>
          <w:lang w:val="en-CA"/>
        </w:rPr>
        <w:t xml:space="preserve"> the police officer involved?</w:t>
      </w:r>
      <w:r w:rsidR="00DE2A80" w:rsidRPr="00E60984">
        <w:rPr>
          <w:lang w:val="en-CA"/>
        </w:rPr>
        <w:t xml:space="preserve"> </w:t>
      </w:r>
      <w:r w:rsidRPr="00E60984">
        <w:rPr>
          <w:lang w:val="en-CA"/>
        </w:rPr>
        <w:t xml:space="preserve">This police officer is </w:t>
      </w:r>
      <w:r w:rsidR="00344A2E">
        <w:rPr>
          <w:lang w:val="en-CA"/>
        </w:rPr>
        <w:t>assuredly</w:t>
      </w:r>
      <w:r w:rsidR="00344A2E" w:rsidRPr="00E60984">
        <w:rPr>
          <w:lang w:val="en-CA"/>
        </w:rPr>
        <w:t xml:space="preserve"> </w:t>
      </w:r>
      <w:r w:rsidRPr="00E60984">
        <w:rPr>
          <w:lang w:val="en-CA"/>
        </w:rPr>
        <w:t xml:space="preserve">the </w:t>
      </w:r>
      <w:r w:rsidR="00344A2E">
        <w:rPr>
          <w:lang w:val="en-CA"/>
        </w:rPr>
        <w:t>subject</w:t>
      </w:r>
      <w:r w:rsidR="00344A2E" w:rsidRPr="00E60984">
        <w:rPr>
          <w:lang w:val="en-CA"/>
        </w:rPr>
        <w:t xml:space="preserve"> </w:t>
      </w:r>
      <w:r w:rsidRPr="00E60984">
        <w:rPr>
          <w:lang w:val="en-CA"/>
        </w:rPr>
        <w:t>of the BEI investigation, whose very purpose is to determine whether criminal charges should be laid against the officer following the occurrence.</w:t>
      </w:r>
      <w:r w:rsidR="00DE2A80" w:rsidRPr="00E60984">
        <w:rPr>
          <w:lang w:val="en-CA"/>
        </w:rPr>
        <w:t xml:space="preserve"> </w:t>
      </w:r>
      <w:r w:rsidRPr="00E60984">
        <w:rPr>
          <w:lang w:val="en-CA"/>
        </w:rPr>
        <w:t xml:space="preserve">According to the incidental appellants, this provision of the </w:t>
      </w:r>
      <w:r w:rsidRPr="00E60984">
        <w:rPr>
          <w:i/>
          <w:iCs/>
          <w:lang w:val="en-CA"/>
        </w:rPr>
        <w:t>Regulation</w:t>
      </w:r>
      <w:r w:rsidRPr="00E60984">
        <w:rPr>
          <w:lang w:val="en-CA"/>
        </w:rPr>
        <w:t xml:space="preserve"> </w:t>
      </w:r>
      <w:r w:rsidR="00344A2E">
        <w:rPr>
          <w:lang w:val="en-CA"/>
        </w:rPr>
        <w:t xml:space="preserve">allegedly </w:t>
      </w:r>
      <w:r w:rsidR="00005068">
        <w:rPr>
          <w:lang w:val="en-CA"/>
        </w:rPr>
        <w:t>excludes</w:t>
      </w:r>
      <w:r w:rsidR="00344A2E" w:rsidRPr="00E60984">
        <w:rPr>
          <w:lang w:val="en-CA"/>
        </w:rPr>
        <w:t xml:space="preserve"> </w:t>
      </w:r>
      <w:r w:rsidRPr="00E60984">
        <w:rPr>
          <w:lang w:val="en-CA"/>
        </w:rPr>
        <w:t xml:space="preserve">the </w:t>
      </w:r>
      <w:r w:rsidR="00351B4A" w:rsidRPr="00E60984">
        <w:rPr>
          <w:lang w:val="en-CA"/>
        </w:rPr>
        <w:t xml:space="preserve">common law </w:t>
      </w:r>
      <w:r w:rsidR="007D171E">
        <w:rPr>
          <w:lang w:val="en-CA"/>
        </w:rPr>
        <w:t>rule</w:t>
      </w:r>
      <w:r w:rsidRPr="00E60984">
        <w:rPr>
          <w:lang w:val="en-CA"/>
        </w:rPr>
        <w:t xml:space="preserve"> </w:t>
      </w:r>
      <w:r w:rsidR="00351B4A">
        <w:rPr>
          <w:lang w:val="en-CA"/>
        </w:rPr>
        <w:t xml:space="preserve">of criminal law </w:t>
      </w:r>
      <w:r w:rsidRPr="00E60984">
        <w:rPr>
          <w:lang w:val="en-CA"/>
        </w:rPr>
        <w:t>that individual</w:t>
      </w:r>
      <w:r w:rsidR="00351B4A">
        <w:rPr>
          <w:lang w:val="en-CA"/>
        </w:rPr>
        <w:t>s</w:t>
      </w:r>
      <w:r w:rsidRPr="00E60984">
        <w:rPr>
          <w:lang w:val="en-CA"/>
        </w:rPr>
        <w:t xml:space="preserve"> can refuse to incriminate themselves.</w:t>
      </w:r>
      <w:r w:rsidR="00DE2A80" w:rsidRPr="00E60984">
        <w:rPr>
          <w:lang w:val="en-CA"/>
        </w:rPr>
        <w:t xml:space="preserve"> </w:t>
      </w:r>
    </w:p>
    <w:p w14:paraId="64855DAB" w14:textId="52815D20" w:rsidR="00A17C43" w:rsidRPr="00E60984" w:rsidRDefault="00005068" w:rsidP="005F15BF">
      <w:pPr>
        <w:pStyle w:val="Paragraphe"/>
        <w:spacing w:line="240" w:lineRule="auto"/>
        <w:rPr>
          <w:lang w:val="en-CA"/>
        </w:rPr>
      </w:pPr>
      <w:r>
        <w:rPr>
          <w:lang w:val="en-CA"/>
        </w:rPr>
        <w:t>T</w:t>
      </w:r>
      <w:r w:rsidR="004A357D" w:rsidRPr="00E60984">
        <w:rPr>
          <w:lang w:val="en-CA"/>
        </w:rPr>
        <w:t xml:space="preserve">his common law </w:t>
      </w:r>
      <w:r w:rsidR="007D171E">
        <w:rPr>
          <w:lang w:val="en-CA"/>
        </w:rPr>
        <w:t>rule</w:t>
      </w:r>
      <w:r w:rsidR="004A357D" w:rsidRPr="00E60984">
        <w:rPr>
          <w:lang w:val="en-CA"/>
        </w:rPr>
        <w:t xml:space="preserve"> is one of fundamental justice</w:t>
      </w:r>
      <w:r>
        <w:rPr>
          <w:lang w:val="en-CA"/>
        </w:rPr>
        <w:t>,</w:t>
      </w:r>
      <w:r w:rsidR="004A357D" w:rsidRPr="00E60984">
        <w:rPr>
          <w:lang w:val="en-CA"/>
        </w:rPr>
        <w:t xml:space="preserve"> </w:t>
      </w:r>
      <w:r>
        <w:rPr>
          <w:lang w:val="en-CA"/>
        </w:rPr>
        <w:t xml:space="preserve">however, </w:t>
      </w:r>
      <w:r w:rsidR="004A357D" w:rsidRPr="00E60984">
        <w:rPr>
          <w:lang w:val="en-CA"/>
        </w:rPr>
        <w:t xml:space="preserve">that is </w:t>
      </w:r>
      <w:r>
        <w:rPr>
          <w:lang w:val="en-CA"/>
        </w:rPr>
        <w:t>in essence</w:t>
      </w:r>
      <w:r w:rsidRPr="00E60984">
        <w:rPr>
          <w:lang w:val="en-CA"/>
        </w:rPr>
        <w:t xml:space="preserve"> </w:t>
      </w:r>
      <w:r w:rsidR="004A357D" w:rsidRPr="00E60984">
        <w:rPr>
          <w:lang w:val="en-CA"/>
        </w:rPr>
        <w:t xml:space="preserve">protected </w:t>
      </w:r>
      <w:r>
        <w:rPr>
          <w:lang w:val="en-CA"/>
        </w:rPr>
        <w:t>under</w:t>
      </w:r>
      <w:r w:rsidRPr="00E60984">
        <w:rPr>
          <w:lang w:val="en-CA"/>
        </w:rPr>
        <w:t xml:space="preserve"> </w:t>
      </w:r>
      <w:r w:rsidR="004A357D" w:rsidRPr="00E60984">
        <w:rPr>
          <w:lang w:val="en-CA"/>
        </w:rPr>
        <w:t xml:space="preserve">section 7 of the </w:t>
      </w:r>
      <w:r w:rsidR="004A357D" w:rsidRPr="00E60984">
        <w:rPr>
          <w:i/>
          <w:lang w:val="en-CA"/>
        </w:rPr>
        <w:t>Canadian Charter</w:t>
      </w:r>
      <w:r w:rsidR="004A357D" w:rsidRPr="00E60984">
        <w:rPr>
          <w:lang w:val="en-CA"/>
        </w:rPr>
        <w:t>.</w:t>
      </w:r>
      <w:r w:rsidR="00DE2A80" w:rsidRPr="00E60984">
        <w:rPr>
          <w:lang w:val="en-CA"/>
        </w:rPr>
        <w:t xml:space="preserve"> </w:t>
      </w:r>
      <w:r w:rsidR="004A357D" w:rsidRPr="00E60984">
        <w:rPr>
          <w:lang w:val="en-CA"/>
        </w:rPr>
        <w:t xml:space="preserve">Therefore, the common law </w:t>
      </w:r>
      <w:r w:rsidR="007D171E">
        <w:rPr>
          <w:lang w:val="en-CA"/>
        </w:rPr>
        <w:t>rule</w:t>
      </w:r>
      <w:r w:rsidR="007D171E" w:rsidRPr="00E60984">
        <w:rPr>
          <w:lang w:val="en-CA"/>
        </w:rPr>
        <w:t xml:space="preserve"> </w:t>
      </w:r>
      <w:r w:rsidR="004A357D" w:rsidRPr="00E60984">
        <w:rPr>
          <w:lang w:val="en-CA"/>
        </w:rPr>
        <w:t xml:space="preserve">and the </w:t>
      </w:r>
      <w:r w:rsidR="004A357D" w:rsidRPr="00E60984">
        <w:rPr>
          <w:i/>
          <w:lang w:val="en-CA"/>
        </w:rPr>
        <w:t>Canadian Charter</w:t>
      </w:r>
      <w:r w:rsidR="007D171E">
        <w:rPr>
          <w:iCs/>
          <w:lang w:val="en-CA"/>
        </w:rPr>
        <w:t xml:space="preserve"> overlap</w:t>
      </w:r>
      <w:r w:rsidR="004A357D" w:rsidRPr="00E60984">
        <w:rPr>
          <w:lang w:val="en-CA"/>
        </w:rPr>
        <w:t>.</w:t>
      </w:r>
      <w:r w:rsidR="00DE2A80" w:rsidRPr="00E60984">
        <w:rPr>
          <w:lang w:val="en-CA"/>
        </w:rPr>
        <w:t xml:space="preserve"> </w:t>
      </w:r>
      <w:r w:rsidR="007D171E">
        <w:rPr>
          <w:lang w:val="en-CA"/>
        </w:rPr>
        <w:t xml:space="preserve">Insofar as </w:t>
      </w:r>
      <w:r w:rsidR="004B6AE5" w:rsidRPr="00E60984">
        <w:rPr>
          <w:lang w:val="en-CA"/>
        </w:rPr>
        <w:t>the obligation imposed on the police officer involved by the impugned provision</w:t>
      </w:r>
      <w:r>
        <w:rPr>
          <w:lang w:val="en-CA"/>
        </w:rPr>
        <w:t xml:space="preserve"> of the </w:t>
      </w:r>
      <w:r w:rsidRPr="00565A81">
        <w:rPr>
          <w:i/>
          <w:iCs/>
          <w:lang w:val="en-CA"/>
        </w:rPr>
        <w:t>Regulation</w:t>
      </w:r>
      <w:r w:rsidR="004B6AE5" w:rsidRPr="00E60984">
        <w:rPr>
          <w:lang w:val="en-CA"/>
        </w:rPr>
        <w:t xml:space="preserve"> </w:t>
      </w:r>
      <w:r>
        <w:rPr>
          <w:lang w:val="en-CA"/>
        </w:rPr>
        <w:t xml:space="preserve">is inconsistent </w:t>
      </w:r>
      <w:r w:rsidR="004B6AE5" w:rsidRPr="00E60984">
        <w:rPr>
          <w:lang w:val="en-CA"/>
        </w:rPr>
        <w:t xml:space="preserve">with the common law </w:t>
      </w:r>
      <w:r>
        <w:rPr>
          <w:lang w:val="en-CA"/>
        </w:rPr>
        <w:t>rule</w:t>
      </w:r>
      <w:r w:rsidR="004B6AE5" w:rsidRPr="00E60984">
        <w:rPr>
          <w:lang w:val="en-CA"/>
        </w:rPr>
        <w:t xml:space="preserve">, it will also be contrary to section 7 of the </w:t>
      </w:r>
      <w:r w:rsidR="004B6AE5" w:rsidRPr="00E60984">
        <w:rPr>
          <w:i/>
          <w:lang w:val="en-CA"/>
        </w:rPr>
        <w:t>Canadian Charter</w:t>
      </w:r>
      <w:r w:rsidR="004B6AE5" w:rsidRPr="00E60984">
        <w:rPr>
          <w:lang w:val="en-CA"/>
        </w:rPr>
        <w:t xml:space="preserve"> and </w:t>
      </w:r>
      <w:r w:rsidR="004B6AE5" w:rsidRPr="00E60984">
        <w:rPr>
          <w:i/>
          <w:lang w:val="en-CA"/>
        </w:rPr>
        <w:t>ultra vires</w:t>
      </w:r>
      <w:r w:rsidR="004B6AE5" w:rsidRPr="00E60984">
        <w:rPr>
          <w:lang w:val="en-CA"/>
        </w:rPr>
        <w:t xml:space="preserve"> provincial </w:t>
      </w:r>
      <w:r w:rsidR="007D171E">
        <w:rPr>
          <w:lang w:val="en-CA"/>
        </w:rPr>
        <w:t>power</w:t>
      </w:r>
      <w:r w:rsidR="004B6AE5" w:rsidRPr="00E60984">
        <w:rPr>
          <w:lang w:val="en-CA"/>
        </w:rPr>
        <w:t>.</w:t>
      </w:r>
      <w:r w:rsidR="00DE2A80" w:rsidRPr="00E60984">
        <w:rPr>
          <w:lang w:val="en-CA"/>
        </w:rPr>
        <w:t xml:space="preserve"> </w:t>
      </w:r>
      <w:r w:rsidR="004B6AE5" w:rsidRPr="00E60984">
        <w:rPr>
          <w:i/>
          <w:iCs/>
          <w:lang w:val="en-CA"/>
        </w:rPr>
        <w:t>Vice versa</w:t>
      </w:r>
      <w:r w:rsidR="004B6AE5" w:rsidRPr="00E60984">
        <w:rPr>
          <w:lang w:val="en-CA"/>
        </w:rPr>
        <w:t xml:space="preserve">, if the impugned provision is consistent with the common law </w:t>
      </w:r>
      <w:r w:rsidR="007D171E">
        <w:rPr>
          <w:lang w:val="en-CA"/>
        </w:rPr>
        <w:t>rule</w:t>
      </w:r>
      <w:r w:rsidR="004B6AE5" w:rsidRPr="00E60984">
        <w:rPr>
          <w:lang w:val="en-CA"/>
        </w:rPr>
        <w:t xml:space="preserve">, it </w:t>
      </w:r>
      <w:r w:rsidR="007D171E">
        <w:rPr>
          <w:lang w:val="en-CA"/>
        </w:rPr>
        <w:t xml:space="preserve">will </w:t>
      </w:r>
      <w:r w:rsidR="004B6AE5" w:rsidRPr="00E60984">
        <w:rPr>
          <w:lang w:val="en-CA"/>
        </w:rPr>
        <w:t xml:space="preserve">then be consistent with section 7 of the </w:t>
      </w:r>
      <w:r w:rsidR="004B6AE5" w:rsidRPr="00E60984">
        <w:rPr>
          <w:i/>
          <w:lang w:val="en-CA"/>
        </w:rPr>
        <w:t>Canadian Charter</w:t>
      </w:r>
      <w:r w:rsidR="004B6AE5" w:rsidRPr="00E60984">
        <w:rPr>
          <w:lang w:val="en-CA"/>
        </w:rPr>
        <w:t xml:space="preserve"> and </w:t>
      </w:r>
      <w:r w:rsidR="004B6AE5" w:rsidRPr="00E60984">
        <w:rPr>
          <w:i/>
          <w:lang w:val="en-CA"/>
        </w:rPr>
        <w:t>intra vires</w:t>
      </w:r>
      <w:r w:rsidR="004B6AE5" w:rsidRPr="00E60984">
        <w:rPr>
          <w:lang w:val="en-CA"/>
        </w:rPr>
        <w:t xml:space="preserve"> provincial </w:t>
      </w:r>
      <w:r w:rsidR="007D171E">
        <w:rPr>
          <w:lang w:val="en-CA"/>
        </w:rPr>
        <w:t>power</w:t>
      </w:r>
      <w:r w:rsidR="004B6AE5" w:rsidRPr="00E60984">
        <w:rPr>
          <w:lang w:val="en-CA"/>
        </w:rPr>
        <w:t>.</w:t>
      </w:r>
    </w:p>
    <w:p w14:paraId="6B674F05" w14:textId="59394C9E" w:rsidR="00A17C43" w:rsidRPr="00E60984" w:rsidRDefault="004B6AE5" w:rsidP="005F15BF">
      <w:pPr>
        <w:pStyle w:val="Paragraphe"/>
        <w:spacing w:line="240" w:lineRule="auto"/>
        <w:rPr>
          <w:lang w:val="en-CA"/>
        </w:rPr>
      </w:pPr>
      <w:r w:rsidRPr="00E60984">
        <w:rPr>
          <w:lang w:val="en-CA"/>
        </w:rPr>
        <w:t xml:space="preserve">Because the analysis on the division of powers and the analysis under the </w:t>
      </w:r>
      <w:r w:rsidRPr="00E60984">
        <w:rPr>
          <w:i/>
          <w:lang w:val="en-CA"/>
        </w:rPr>
        <w:t>Canadian Charter</w:t>
      </w:r>
      <w:r w:rsidRPr="00E60984">
        <w:rPr>
          <w:lang w:val="en-CA"/>
        </w:rPr>
        <w:t xml:space="preserve"> largely overlap, it is preferable to analyze the validity of the regulatory obligation imposed on the police officer involved from the perspective of the </w:t>
      </w:r>
      <w:r w:rsidRPr="00E60984">
        <w:rPr>
          <w:i/>
          <w:lang w:val="en-CA"/>
        </w:rPr>
        <w:t>Canadian Charter</w:t>
      </w:r>
      <w:r w:rsidRPr="00E60984">
        <w:rPr>
          <w:lang w:val="en-CA"/>
        </w:rPr>
        <w:t>.</w:t>
      </w:r>
      <w:r w:rsidR="00DE2A80" w:rsidRPr="00E60984">
        <w:rPr>
          <w:lang w:val="en-CA"/>
        </w:rPr>
        <w:t xml:space="preserve"> </w:t>
      </w:r>
    </w:p>
    <w:p w14:paraId="754F7437" w14:textId="770A47EA" w:rsidR="00A17C43" w:rsidRPr="00E60984" w:rsidRDefault="004B6AE5" w:rsidP="00AC4D24">
      <w:pPr>
        <w:pStyle w:val="Paragraphe"/>
        <w:numPr>
          <w:ilvl w:val="0"/>
          <w:numId w:val="0"/>
        </w:numPr>
        <w:spacing w:before="240" w:line="240" w:lineRule="auto"/>
        <w:ind w:left="1440"/>
        <w:rPr>
          <w:i/>
          <w:iCs/>
          <w:lang w:val="en-CA"/>
        </w:rPr>
      </w:pPr>
      <w:bookmarkStart w:id="27" w:name="_Hlk154393296"/>
      <w:r w:rsidRPr="00E60984">
        <w:rPr>
          <w:i/>
          <w:iCs/>
          <w:lang w:val="en-CA"/>
        </w:rPr>
        <w:t>Caution to the police officer involved during the</w:t>
      </w:r>
      <w:r w:rsidR="007D171E">
        <w:rPr>
          <w:i/>
          <w:iCs/>
          <w:lang w:val="en-CA"/>
        </w:rPr>
        <w:t>ir</w:t>
      </w:r>
      <w:r w:rsidRPr="00E60984">
        <w:rPr>
          <w:i/>
          <w:iCs/>
          <w:lang w:val="en-CA"/>
        </w:rPr>
        <w:t xml:space="preserve"> meeting with BEI investigators</w:t>
      </w:r>
    </w:p>
    <w:p w14:paraId="042A567F" w14:textId="66E8E1F6" w:rsidR="00A17C43" w:rsidRPr="00E60984" w:rsidRDefault="002B0F53" w:rsidP="005F15BF">
      <w:pPr>
        <w:pStyle w:val="Paragraphe"/>
        <w:spacing w:line="240" w:lineRule="auto"/>
        <w:rPr>
          <w:lang w:val="en-CA"/>
        </w:rPr>
      </w:pPr>
      <w:bookmarkStart w:id="28" w:name="_Hlk154393345"/>
      <w:bookmarkEnd w:id="27"/>
      <w:r>
        <w:rPr>
          <w:lang w:val="en-CA"/>
        </w:rPr>
        <w:t>S</w:t>
      </w:r>
      <w:r w:rsidR="004B6AE5" w:rsidRPr="00E60984">
        <w:rPr>
          <w:lang w:val="en-CA"/>
        </w:rPr>
        <w:t xml:space="preserve">ubparagraph </w:t>
      </w:r>
      <w:r w:rsidR="00027FF9">
        <w:rPr>
          <w:lang w:val="en-CA"/>
        </w:rPr>
        <w:t>(</w:t>
      </w:r>
      <w:r w:rsidR="004B6AE5" w:rsidRPr="00E60984">
        <w:rPr>
          <w:lang w:val="en-CA"/>
        </w:rPr>
        <w:t>3</w:t>
      </w:r>
      <w:r w:rsidR="00027FF9">
        <w:rPr>
          <w:lang w:val="en-CA"/>
        </w:rPr>
        <w:t>)</w:t>
      </w:r>
      <w:r w:rsidR="004B6AE5" w:rsidRPr="00E60984">
        <w:rPr>
          <w:lang w:val="en-CA"/>
        </w:rPr>
        <w:t xml:space="preserve"> of the first paragraph of section 1 of the </w:t>
      </w:r>
      <w:r w:rsidR="004B6AE5" w:rsidRPr="00E60984">
        <w:rPr>
          <w:i/>
          <w:lang w:val="en-CA"/>
        </w:rPr>
        <w:t>Regulation</w:t>
      </w:r>
      <w:r>
        <w:rPr>
          <w:lang w:val="en-CA"/>
        </w:rPr>
        <w:t xml:space="preserve"> compels</w:t>
      </w:r>
      <w:r w:rsidR="004B6AE5" w:rsidRPr="00E60984">
        <w:rPr>
          <w:lang w:val="en-CA"/>
        </w:rPr>
        <w:t xml:space="preserve"> witness police officer</w:t>
      </w:r>
      <w:r w:rsidR="00027FF9">
        <w:rPr>
          <w:lang w:val="en-CA"/>
        </w:rPr>
        <w:t>s</w:t>
      </w:r>
      <w:r w:rsidR="004B6AE5" w:rsidRPr="00E60984">
        <w:rPr>
          <w:lang w:val="en-CA"/>
        </w:rPr>
        <w:t xml:space="preserve"> and police officer</w:t>
      </w:r>
      <w:r w:rsidR="00027FF9">
        <w:rPr>
          <w:lang w:val="en-CA"/>
        </w:rPr>
        <w:t>s</w:t>
      </w:r>
      <w:r w:rsidR="004B6AE5" w:rsidRPr="00E60984">
        <w:rPr>
          <w:lang w:val="en-CA"/>
        </w:rPr>
        <w:t xml:space="preserve"> involved </w:t>
      </w:r>
      <w:r w:rsidR="00182045">
        <w:rPr>
          <w:lang w:val="en-CA"/>
        </w:rPr>
        <w:t>to</w:t>
      </w:r>
      <w:r w:rsidR="00182045" w:rsidRPr="00E60984">
        <w:rPr>
          <w:lang w:val="en-CA"/>
        </w:rPr>
        <w:t xml:space="preserve"> </w:t>
      </w:r>
      <w:r w:rsidR="004B6AE5" w:rsidRPr="00E60984">
        <w:rPr>
          <w:lang w:val="en-CA"/>
        </w:rPr>
        <w:t>meet with BEI investigators.</w:t>
      </w:r>
      <w:r w:rsidR="00DE2A80" w:rsidRPr="00E60984">
        <w:rPr>
          <w:lang w:val="en-CA"/>
        </w:rPr>
        <w:t xml:space="preserve"> </w:t>
      </w:r>
      <w:r w:rsidR="004B6AE5" w:rsidRPr="00E60984">
        <w:rPr>
          <w:lang w:val="en-CA"/>
        </w:rPr>
        <w:t>The incidental appellants do not contest the witness police officers</w:t>
      </w:r>
      <w:r w:rsidR="00027FF9">
        <w:rPr>
          <w:lang w:val="en-CA"/>
        </w:rPr>
        <w:t>’ obligation</w:t>
      </w:r>
      <w:r w:rsidR="004B6AE5" w:rsidRPr="00E60984">
        <w:rPr>
          <w:lang w:val="en-CA"/>
        </w:rPr>
        <w:t xml:space="preserve"> to meet with BEI investigators and answer their questions.</w:t>
      </w:r>
      <w:r w:rsidR="00DE2A80" w:rsidRPr="00E60984">
        <w:rPr>
          <w:lang w:val="en-CA"/>
        </w:rPr>
        <w:t xml:space="preserve"> </w:t>
      </w:r>
      <w:r w:rsidR="00027FF9">
        <w:rPr>
          <w:lang w:val="en-CA"/>
        </w:rPr>
        <w:t>Moreover</w:t>
      </w:r>
      <w:r w:rsidR="004B6AE5" w:rsidRPr="00E60984">
        <w:rPr>
          <w:lang w:val="en-CA"/>
        </w:rPr>
        <w:t>, the AGQ acknowledges that a police officer involved has no obligation to answer investigators’ questions.</w:t>
      </w:r>
    </w:p>
    <w:p w14:paraId="67450AFE" w14:textId="7E960E4F" w:rsidR="00A17C43" w:rsidRPr="00E60984" w:rsidRDefault="004B6AE5" w:rsidP="005F15BF">
      <w:pPr>
        <w:pStyle w:val="Paragraphe"/>
        <w:spacing w:line="240" w:lineRule="auto"/>
        <w:rPr>
          <w:lang w:val="en-CA"/>
        </w:rPr>
      </w:pPr>
      <w:r w:rsidRPr="00E60984">
        <w:rPr>
          <w:lang w:val="en-CA"/>
        </w:rPr>
        <w:t xml:space="preserve">Without questioning the </w:t>
      </w:r>
      <w:r w:rsidR="00A71E3F">
        <w:rPr>
          <w:lang w:val="en-CA"/>
        </w:rPr>
        <w:t xml:space="preserve">obligation of the </w:t>
      </w:r>
      <w:r w:rsidRPr="00E60984">
        <w:rPr>
          <w:lang w:val="en-CA"/>
        </w:rPr>
        <w:t>police officer involved</w:t>
      </w:r>
      <w:r w:rsidR="00027FF9">
        <w:rPr>
          <w:lang w:val="en-CA"/>
        </w:rPr>
        <w:t xml:space="preserve"> </w:t>
      </w:r>
      <w:r w:rsidRPr="00E60984">
        <w:rPr>
          <w:lang w:val="en-CA"/>
        </w:rPr>
        <w:t xml:space="preserve">to attend </w:t>
      </w:r>
      <w:r w:rsidR="00027FF9">
        <w:rPr>
          <w:lang w:val="en-CA"/>
        </w:rPr>
        <w:t xml:space="preserve">at </w:t>
      </w:r>
      <w:r w:rsidRPr="00E60984">
        <w:rPr>
          <w:lang w:val="en-CA"/>
        </w:rPr>
        <w:t>an interview with BEI investigators, the incidental appellants</w:t>
      </w:r>
      <w:r w:rsidR="001363D9">
        <w:rPr>
          <w:lang w:val="en-CA"/>
        </w:rPr>
        <w:t xml:space="preserve"> nevertheless</w:t>
      </w:r>
      <w:r w:rsidRPr="00E60984">
        <w:rPr>
          <w:lang w:val="en-CA"/>
        </w:rPr>
        <w:t xml:space="preserve"> argue that this provision is </w:t>
      </w:r>
      <w:r w:rsidRPr="00E60984">
        <w:rPr>
          <w:i/>
          <w:iCs/>
          <w:lang w:val="en-CA"/>
        </w:rPr>
        <w:t>ultra vires</w:t>
      </w:r>
      <w:r w:rsidRPr="00E60984">
        <w:rPr>
          <w:lang w:val="en-CA"/>
        </w:rPr>
        <w:t xml:space="preserve"> provincial jurisdiction because the police officer involved is not </w:t>
      </w:r>
      <w:r w:rsidRPr="00E60984">
        <w:rPr>
          <w:lang w:val="en-CA"/>
        </w:rPr>
        <w:lastRenderedPageBreak/>
        <w:t xml:space="preserve">obliged under the common law to participate in an interview during a police investigation unless they </w:t>
      </w:r>
      <w:r w:rsidR="00027FF9">
        <w:rPr>
          <w:lang w:val="en-CA"/>
        </w:rPr>
        <w:t xml:space="preserve">have been </w:t>
      </w:r>
      <w:r w:rsidRPr="00E60984">
        <w:rPr>
          <w:lang w:val="en-CA"/>
        </w:rPr>
        <w:t xml:space="preserve">cautioned </w:t>
      </w:r>
      <w:r w:rsidR="00027FF9">
        <w:rPr>
          <w:lang w:val="en-CA"/>
        </w:rPr>
        <w:t xml:space="preserve">on </w:t>
      </w:r>
      <w:r w:rsidRPr="00E60984">
        <w:rPr>
          <w:lang w:val="en-CA"/>
        </w:rPr>
        <w:t>how their statements might be used.</w:t>
      </w:r>
    </w:p>
    <w:bookmarkEnd w:id="28"/>
    <w:p w14:paraId="5EC3AFB4" w14:textId="6C67A30D" w:rsidR="00A17C43" w:rsidRPr="00E60984" w:rsidRDefault="004B6AE5" w:rsidP="005F15BF">
      <w:pPr>
        <w:pStyle w:val="Paragraphe"/>
        <w:spacing w:line="240" w:lineRule="auto"/>
        <w:rPr>
          <w:lang w:val="en-CA"/>
        </w:rPr>
      </w:pPr>
      <w:r w:rsidRPr="00E60984">
        <w:rPr>
          <w:lang w:val="en-CA"/>
        </w:rPr>
        <w:t xml:space="preserve">In this instance, the incidental appellants’ argument is based on the </w:t>
      </w:r>
      <w:r w:rsidRPr="00E60984">
        <w:rPr>
          <w:i/>
          <w:lang w:val="en-CA"/>
        </w:rPr>
        <w:t>Canadian Charter</w:t>
      </w:r>
      <w:r w:rsidRPr="00E60984">
        <w:rPr>
          <w:lang w:val="en-CA"/>
        </w:rPr>
        <w:t xml:space="preserve"> rather than the division of powers.</w:t>
      </w:r>
      <w:r w:rsidR="00DE2A80" w:rsidRPr="00E60984">
        <w:rPr>
          <w:lang w:val="en-CA"/>
        </w:rPr>
        <w:t xml:space="preserve"> </w:t>
      </w:r>
      <w:r w:rsidRPr="00E60984">
        <w:rPr>
          <w:lang w:val="en-CA"/>
        </w:rPr>
        <w:t xml:space="preserve">Indeed, the incidental appellants suggest that the regulatory provision </w:t>
      </w:r>
      <w:r w:rsidR="00027FF9">
        <w:rPr>
          <w:lang w:val="en-CA"/>
        </w:rPr>
        <w:t xml:space="preserve">in question </w:t>
      </w:r>
      <w:r w:rsidR="0039715E">
        <w:rPr>
          <w:lang w:val="en-CA"/>
        </w:rPr>
        <w:t>would be</w:t>
      </w:r>
      <w:r w:rsidR="0039715E" w:rsidRPr="00E60984">
        <w:rPr>
          <w:lang w:val="en-CA"/>
        </w:rPr>
        <w:t xml:space="preserve"> </w:t>
      </w:r>
      <w:r w:rsidRPr="00E60984">
        <w:rPr>
          <w:i/>
          <w:lang w:val="en-CA"/>
        </w:rPr>
        <w:t>intra vires</w:t>
      </w:r>
      <w:r w:rsidRPr="00E60984">
        <w:rPr>
          <w:lang w:val="en-CA"/>
        </w:rPr>
        <w:t xml:space="preserve"> provincial </w:t>
      </w:r>
      <w:r w:rsidR="00027FF9">
        <w:rPr>
          <w:lang w:val="en-CA"/>
        </w:rPr>
        <w:t>power</w:t>
      </w:r>
      <w:r w:rsidRPr="00E60984">
        <w:rPr>
          <w:lang w:val="en-CA"/>
        </w:rPr>
        <w:t xml:space="preserve"> if accompanied by a caution.</w:t>
      </w:r>
      <w:r w:rsidR="00DE2A80" w:rsidRPr="00E60984">
        <w:rPr>
          <w:lang w:val="en-CA"/>
        </w:rPr>
        <w:t xml:space="preserve"> </w:t>
      </w:r>
    </w:p>
    <w:p w14:paraId="143868C8" w14:textId="2B9289AF" w:rsidR="00A17C43" w:rsidRPr="00E60984" w:rsidRDefault="004B6AE5" w:rsidP="005F15BF">
      <w:pPr>
        <w:pStyle w:val="Paragraphe"/>
        <w:spacing w:line="240" w:lineRule="auto"/>
        <w:rPr>
          <w:lang w:val="en-CA"/>
        </w:rPr>
      </w:pPr>
      <w:r w:rsidRPr="00E60984">
        <w:rPr>
          <w:lang w:val="en-CA"/>
        </w:rPr>
        <w:t>The presumption of constitutional</w:t>
      </w:r>
      <w:r w:rsidR="0039715E">
        <w:rPr>
          <w:lang w:val="en-CA"/>
        </w:rPr>
        <w:t xml:space="preserve"> validity</w:t>
      </w:r>
      <w:r w:rsidRPr="00E60984">
        <w:rPr>
          <w:lang w:val="en-CA"/>
        </w:rPr>
        <w:t xml:space="preserve"> assumes that the legislat</w:t>
      </w:r>
      <w:r w:rsidR="0087677B">
        <w:rPr>
          <w:lang w:val="en-CA"/>
        </w:rPr>
        <w:t>ure</w:t>
      </w:r>
      <w:r w:rsidRPr="00E60984">
        <w:rPr>
          <w:lang w:val="en-CA"/>
        </w:rPr>
        <w:t xml:space="preserve">, in this instance the Quebec government, </w:t>
      </w:r>
      <w:r w:rsidR="00027FF9">
        <w:rPr>
          <w:lang w:val="en-CA"/>
        </w:rPr>
        <w:t xml:space="preserve">does </w:t>
      </w:r>
      <w:r w:rsidRPr="00E60984">
        <w:rPr>
          <w:lang w:val="en-CA"/>
        </w:rPr>
        <w:t xml:space="preserve">not intend to exceed its powers under the </w:t>
      </w:r>
      <w:r w:rsidRPr="00E60984">
        <w:rPr>
          <w:i/>
          <w:lang w:val="en-CA"/>
        </w:rPr>
        <w:t>Constitution Act, 1867</w:t>
      </w:r>
      <w:r w:rsidRPr="00E60984">
        <w:rPr>
          <w:lang w:val="en-CA"/>
        </w:rPr>
        <w:t>.</w:t>
      </w:r>
      <w:r w:rsidR="00DE2A80" w:rsidRPr="00E60984">
        <w:rPr>
          <w:lang w:val="en-CA"/>
        </w:rPr>
        <w:t xml:space="preserve"> </w:t>
      </w:r>
      <w:r w:rsidRPr="00E60984">
        <w:rPr>
          <w:lang w:val="en-CA"/>
        </w:rPr>
        <w:t>Th</w:t>
      </w:r>
      <w:r w:rsidR="00027FF9">
        <w:rPr>
          <w:lang w:val="en-CA"/>
        </w:rPr>
        <w:t>erefore</w:t>
      </w:r>
      <w:r w:rsidRPr="00E60984">
        <w:rPr>
          <w:lang w:val="en-CA"/>
        </w:rPr>
        <w:t xml:space="preserve">, if the impugned regulatory provision may be read so that its application is limited to subjects falling within provincial </w:t>
      </w:r>
      <w:r w:rsidR="00027FF9">
        <w:rPr>
          <w:lang w:val="en-CA"/>
        </w:rPr>
        <w:t>jurisdiction</w:t>
      </w:r>
      <w:r w:rsidRPr="00E60984">
        <w:rPr>
          <w:lang w:val="en-CA"/>
        </w:rPr>
        <w:t xml:space="preserve">, that is the interpretation that </w:t>
      </w:r>
      <w:r w:rsidR="00027FF9">
        <w:rPr>
          <w:lang w:val="en-CA"/>
        </w:rPr>
        <w:t xml:space="preserve">must </w:t>
      </w:r>
      <w:r w:rsidRPr="00E60984">
        <w:rPr>
          <w:lang w:val="en-CA"/>
        </w:rPr>
        <w:t>prevail.</w:t>
      </w:r>
      <w:r w:rsidR="00DE2A80" w:rsidRPr="00E60984">
        <w:rPr>
          <w:lang w:val="en-CA"/>
        </w:rPr>
        <w:t xml:space="preserve"> </w:t>
      </w:r>
      <w:r w:rsidRPr="00E60984">
        <w:rPr>
          <w:lang w:val="en-CA"/>
        </w:rPr>
        <w:t xml:space="preserve">Insofar as the obligation set out in subparagraph (3) of the first paragraph of section 1 of the </w:t>
      </w:r>
      <w:r w:rsidRPr="00E60984">
        <w:rPr>
          <w:i/>
          <w:lang w:val="en-CA"/>
        </w:rPr>
        <w:t>Regulation</w:t>
      </w:r>
      <w:r w:rsidRPr="00E60984">
        <w:rPr>
          <w:lang w:val="en-CA"/>
        </w:rPr>
        <w:t xml:space="preserve"> may be understood as implicitly requiring the appropriate caution </w:t>
      </w:r>
      <w:r w:rsidR="00027FF9">
        <w:rPr>
          <w:lang w:val="en-CA"/>
        </w:rPr>
        <w:t xml:space="preserve">if </w:t>
      </w:r>
      <w:r w:rsidRPr="00E60984">
        <w:rPr>
          <w:lang w:val="en-CA"/>
        </w:rPr>
        <w:t>the circumstances</w:t>
      </w:r>
      <w:r w:rsidR="00027FF9">
        <w:rPr>
          <w:lang w:val="en-CA"/>
        </w:rPr>
        <w:t xml:space="preserve"> so demand</w:t>
      </w:r>
      <w:r w:rsidRPr="00E60984">
        <w:rPr>
          <w:lang w:val="en-CA"/>
        </w:rPr>
        <w:t xml:space="preserve">, it will be </w:t>
      </w:r>
      <w:r w:rsidRPr="00E60984">
        <w:rPr>
          <w:i/>
          <w:lang w:val="en-CA"/>
        </w:rPr>
        <w:t>intra vires</w:t>
      </w:r>
      <w:r w:rsidRPr="00E60984">
        <w:rPr>
          <w:lang w:val="en-CA"/>
        </w:rPr>
        <w:t>.</w:t>
      </w:r>
    </w:p>
    <w:p w14:paraId="531872B5" w14:textId="07D36DB8" w:rsidR="00A17C43" w:rsidRPr="00E60984" w:rsidRDefault="00DE2A80" w:rsidP="005F15BF">
      <w:pPr>
        <w:pStyle w:val="Paragraphe"/>
        <w:spacing w:line="240" w:lineRule="auto"/>
        <w:rPr>
          <w:lang w:val="en-CA"/>
        </w:rPr>
      </w:pPr>
      <w:r w:rsidRPr="00E60984">
        <w:rPr>
          <w:lang w:val="en-CA"/>
        </w:rPr>
        <w:t xml:space="preserve"> </w:t>
      </w:r>
      <w:r w:rsidR="004B6AE5" w:rsidRPr="00E60984">
        <w:rPr>
          <w:lang w:val="en-CA"/>
        </w:rPr>
        <w:t xml:space="preserve">The question of whether this caution is required will </w:t>
      </w:r>
      <w:r w:rsidR="00965CC8" w:rsidRPr="00E60984">
        <w:rPr>
          <w:lang w:val="en-CA"/>
        </w:rPr>
        <w:t>therefore</w:t>
      </w:r>
      <w:r w:rsidR="004B6AE5" w:rsidRPr="00E60984">
        <w:rPr>
          <w:lang w:val="en-CA"/>
        </w:rPr>
        <w:t xml:space="preserve"> be analyzed below in the discussion on its consistency with the </w:t>
      </w:r>
      <w:r w:rsidR="004B6AE5" w:rsidRPr="00E60984">
        <w:rPr>
          <w:i/>
          <w:lang w:val="en-CA"/>
        </w:rPr>
        <w:t>Canadian Charter</w:t>
      </w:r>
      <w:r w:rsidR="004B6AE5" w:rsidRPr="00E60984">
        <w:rPr>
          <w:lang w:val="en-CA"/>
        </w:rPr>
        <w:t>.</w:t>
      </w:r>
    </w:p>
    <w:p w14:paraId="6BF5707A" w14:textId="5A53F2BA" w:rsidR="00A17C43" w:rsidRPr="00E60984" w:rsidRDefault="00BB6C25" w:rsidP="005F15BF">
      <w:pPr>
        <w:pStyle w:val="Paragraphe"/>
        <w:numPr>
          <w:ilvl w:val="0"/>
          <w:numId w:val="0"/>
        </w:numPr>
        <w:spacing w:line="240" w:lineRule="auto"/>
        <w:ind w:left="720" w:firstLine="720"/>
        <w:rPr>
          <w:i/>
          <w:iCs/>
          <w:lang w:val="en-CA"/>
        </w:rPr>
      </w:pPr>
      <w:r w:rsidRPr="00E60984">
        <w:rPr>
          <w:i/>
          <w:iCs/>
          <w:lang w:val="en-CA"/>
        </w:rPr>
        <w:t>Giv</w:t>
      </w:r>
      <w:r w:rsidR="00965CC8" w:rsidRPr="00E60984">
        <w:rPr>
          <w:i/>
          <w:iCs/>
          <w:lang w:val="en-CA"/>
        </w:rPr>
        <w:t>ing documents</w:t>
      </w:r>
    </w:p>
    <w:p w14:paraId="41E8F9A6" w14:textId="6C106E29" w:rsidR="00A17C43" w:rsidRPr="00E60984" w:rsidRDefault="001F3EB3" w:rsidP="005F15BF">
      <w:pPr>
        <w:pStyle w:val="Paragraphe"/>
        <w:spacing w:line="240" w:lineRule="auto"/>
        <w:rPr>
          <w:lang w:val="en-CA"/>
        </w:rPr>
      </w:pPr>
      <w:r>
        <w:rPr>
          <w:lang w:val="en-CA"/>
        </w:rPr>
        <w:t>S</w:t>
      </w:r>
      <w:r w:rsidR="00965CC8" w:rsidRPr="00E60984">
        <w:rPr>
          <w:lang w:val="en-CA"/>
        </w:rPr>
        <w:t xml:space="preserve">ubparagraph (4) of the first paragraph of section 2 of the </w:t>
      </w:r>
      <w:r w:rsidR="00965CC8" w:rsidRPr="00E60984">
        <w:rPr>
          <w:i/>
          <w:lang w:val="en-CA"/>
        </w:rPr>
        <w:t>Regulation</w:t>
      </w:r>
      <w:r>
        <w:rPr>
          <w:lang w:val="en-CA"/>
        </w:rPr>
        <w:t xml:space="preserve"> compels</w:t>
      </w:r>
      <w:r w:rsidR="00965CC8" w:rsidRPr="00E60984">
        <w:rPr>
          <w:lang w:val="en-CA"/>
        </w:rPr>
        <w:t xml:space="preserve"> the director of the police force involved </w:t>
      </w:r>
      <w:r>
        <w:rPr>
          <w:lang w:val="en-CA"/>
        </w:rPr>
        <w:t>to</w:t>
      </w:r>
      <w:r w:rsidRPr="00E60984">
        <w:rPr>
          <w:lang w:val="en-CA"/>
        </w:rPr>
        <w:t xml:space="preserve"> </w:t>
      </w:r>
      <w:r w:rsidR="00965CC8" w:rsidRPr="00E60984">
        <w:rPr>
          <w:lang w:val="en-CA"/>
        </w:rPr>
        <w:t xml:space="preserve">give </w:t>
      </w:r>
      <w:r w:rsidR="00BA663A">
        <w:rPr>
          <w:lang w:val="en-CA"/>
        </w:rPr>
        <w:t xml:space="preserve">the </w:t>
      </w:r>
      <w:r w:rsidR="00965CC8" w:rsidRPr="00E60984">
        <w:rPr>
          <w:lang w:val="en-CA"/>
        </w:rPr>
        <w:t>BEI investigators any document in connection with the occurrence involving a police officer.</w:t>
      </w:r>
    </w:p>
    <w:p w14:paraId="21BE1C90" w14:textId="5C52C0D0" w:rsidR="00A17C43" w:rsidRPr="00E60984" w:rsidRDefault="00965CC8" w:rsidP="005F15BF">
      <w:pPr>
        <w:pStyle w:val="Paragraphe"/>
        <w:spacing w:line="240" w:lineRule="auto"/>
        <w:rPr>
          <w:lang w:val="en-CA"/>
        </w:rPr>
      </w:pPr>
      <w:r w:rsidRPr="00E60984">
        <w:rPr>
          <w:lang w:val="en-CA"/>
        </w:rPr>
        <w:t xml:space="preserve">The respondents </w:t>
      </w:r>
      <w:r w:rsidR="008D1AF7" w:rsidRPr="00E60984">
        <w:rPr>
          <w:lang w:val="en-CA"/>
        </w:rPr>
        <w:t>improperly</w:t>
      </w:r>
      <w:r w:rsidRPr="00E60984">
        <w:rPr>
          <w:lang w:val="en-CA"/>
        </w:rPr>
        <w:t xml:space="preserve"> argue, </w:t>
      </w:r>
      <w:r w:rsidR="00BA663A">
        <w:rPr>
          <w:lang w:val="en-CA"/>
        </w:rPr>
        <w:t xml:space="preserve">indeed </w:t>
      </w:r>
      <w:r w:rsidRPr="00E60984">
        <w:rPr>
          <w:lang w:val="en-CA"/>
        </w:rPr>
        <w:t xml:space="preserve">for the first time, that this provision is unconstitutional under the division of powers. Only the </w:t>
      </w:r>
      <w:r w:rsidR="00BA663A">
        <w:rPr>
          <w:lang w:val="en-CA"/>
        </w:rPr>
        <w:t xml:space="preserve">provision’s </w:t>
      </w:r>
      <w:r w:rsidRPr="00E60984">
        <w:rPr>
          <w:lang w:val="en-CA"/>
        </w:rPr>
        <w:t>constitutional</w:t>
      </w:r>
      <w:r w:rsidR="00432B57">
        <w:rPr>
          <w:lang w:val="en-CA"/>
        </w:rPr>
        <w:t xml:space="preserve"> invalidity</w:t>
      </w:r>
      <w:r w:rsidRPr="00E60984">
        <w:rPr>
          <w:lang w:val="en-CA"/>
        </w:rPr>
        <w:t xml:space="preserve"> </w:t>
      </w:r>
      <w:r w:rsidRPr="00E60984">
        <w:rPr>
          <w:u w:val="single"/>
          <w:lang w:val="en-CA"/>
        </w:rPr>
        <w:t xml:space="preserve">under the </w:t>
      </w:r>
      <w:r w:rsidRPr="00E60984">
        <w:rPr>
          <w:i/>
          <w:u w:val="single"/>
          <w:lang w:val="en-CA"/>
        </w:rPr>
        <w:t>Canadian Charter</w:t>
      </w:r>
      <w:r w:rsidRPr="00E60984">
        <w:rPr>
          <w:lang w:val="en-CA"/>
        </w:rPr>
        <w:t xml:space="preserve"> was </w:t>
      </w:r>
      <w:r w:rsidR="008D1AF7" w:rsidRPr="00E60984">
        <w:rPr>
          <w:lang w:val="en-CA"/>
        </w:rPr>
        <w:t xml:space="preserve">properly </w:t>
      </w:r>
      <w:r w:rsidRPr="00E60984">
        <w:rPr>
          <w:lang w:val="en-CA"/>
        </w:rPr>
        <w:t>raised.</w:t>
      </w:r>
      <w:r w:rsidR="00DE2A80" w:rsidRPr="00E60984">
        <w:rPr>
          <w:lang w:val="en-CA"/>
        </w:rPr>
        <w:t xml:space="preserve"> </w:t>
      </w:r>
      <w:r w:rsidRPr="00E60984">
        <w:rPr>
          <w:lang w:val="en-CA"/>
        </w:rPr>
        <w:t>In the application for judicial review before the Superior Court, the provision was mentioned, among other regulatory provisions, as encroaching on federal jurisdiction.</w:t>
      </w:r>
      <w:r w:rsidRPr="00E60984">
        <w:rPr>
          <w:rStyle w:val="Appelnotedebasdep"/>
          <w:lang w:val="en-CA"/>
        </w:rPr>
        <w:footnoteReference w:id="104"/>
      </w:r>
      <w:r w:rsidR="00DE2A80" w:rsidRPr="00E60984">
        <w:rPr>
          <w:lang w:val="en-CA"/>
        </w:rPr>
        <w:t xml:space="preserve"> </w:t>
      </w:r>
      <w:r w:rsidRPr="00E60984">
        <w:rPr>
          <w:lang w:val="en-CA"/>
        </w:rPr>
        <w:t xml:space="preserve">Subsequently, however, there was no analysis </w:t>
      </w:r>
      <w:r w:rsidR="00BA663A">
        <w:rPr>
          <w:lang w:val="en-CA"/>
        </w:rPr>
        <w:t xml:space="preserve">in the application </w:t>
      </w:r>
      <w:r w:rsidRPr="00E60984">
        <w:rPr>
          <w:lang w:val="en-CA"/>
        </w:rPr>
        <w:t xml:space="preserve">of the </w:t>
      </w:r>
      <w:r w:rsidR="00BA663A">
        <w:rPr>
          <w:lang w:val="en-CA"/>
        </w:rPr>
        <w:t xml:space="preserve">provision’s </w:t>
      </w:r>
      <w:r w:rsidRPr="00E60984">
        <w:rPr>
          <w:lang w:val="en-CA"/>
        </w:rPr>
        <w:t>constitutional</w:t>
      </w:r>
      <w:r w:rsidR="00BA663A">
        <w:rPr>
          <w:lang w:val="en-CA"/>
        </w:rPr>
        <w:t xml:space="preserve"> validity</w:t>
      </w:r>
      <w:r w:rsidRPr="00E60984">
        <w:rPr>
          <w:lang w:val="en-CA"/>
        </w:rPr>
        <w:t xml:space="preserve"> under the division of powers and no conclusion in this regard.</w:t>
      </w:r>
      <w:r w:rsidR="00DE2A80" w:rsidRPr="00E60984">
        <w:rPr>
          <w:lang w:val="en-CA"/>
        </w:rPr>
        <w:t xml:space="preserve"> </w:t>
      </w:r>
      <w:r w:rsidRPr="00E60984">
        <w:rPr>
          <w:lang w:val="en-CA"/>
        </w:rPr>
        <w:t>Nor was the issue raised at the hearing before the Superior Court.</w:t>
      </w:r>
      <w:r w:rsidR="00DE2A80" w:rsidRPr="00E60984">
        <w:rPr>
          <w:lang w:val="en-CA"/>
        </w:rPr>
        <w:t xml:space="preserve"> </w:t>
      </w:r>
      <w:r w:rsidRPr="00E60984">
        <w:rPr>
          <w:lang w:val="en-CA"/>
        </w:rPr>
        <w:t xml:space="preserve">Only the issue of the provision’s validity under the </w:t>
      </w:r>
      <w:r w:rsidRPr="00E60984">
        <w:rPr>
          <w:i/>
          <w:lang w:val="en-CA"/>
        </w:rPr>
        <w:t>Canadian Charter</w:t>
      </w:r>
      <w:r w:rsidRPr="00E60984">
        <w:rPr>
          <w:lang w:val="en-CA"/>
        </w:rPr>
        <w:t xml:space="preserve"> was raised.</w:t>
      </w:r>
    </w:p>
    <w:p w14:paraId="155A9030" w14:textId="5EEB7FD8" w:rsidR="00A17C43" w:rsidRPr="00E60984" w:rsidRDefault="00965CC8" w:rsidP="005F15BF">
      <w:pPr>
        <w:pStyle w:val="Paragraphe"/>
        <w:spacing w:line="240" w:lineRule="auto"/>
        <w:rPr>
          <w:lang w:val="en-CA"/>
        </w:rPr>
      </w:pPr>
      <w:r w:rsidRPr="00E60984">
        <w:rPr>
          <w:lang w:val="en-CA"/>
        </w:rPr>
        <w:t>The AGQ rightly argues that the incidental appellants are barred from raising the provision’s constitutional invalidity on appeal under the division of powers.</w:t>
      </w:r>
      <w:r w:rsidR="00DE2A80" w:rsidRPr="00E60984">
        <w:rPr>
          <w:lang w:val="en-CA"/>
        </w:rPr>
        <w:t xml:space="preserve"> </w:t>
      </w:r>
      <w:r w:rsidR="008D1AF7" w:rsidRPr="00E60984">
        <w:rPr>
          <w:lang w:val="en-CA"/>
        </w:rPr>
        <w:t xml:space="preserve">Indeed, the conditions are not met </w:t>
      </w:r>
      <w:r w:rsidR="00BA663A">
        <w:rPr>
          <w:lang w:val="en-CA"/>
        </w:rPr>
        <w:t xml:space="preserve">for </w:t>
      </w:r>
      <w:r w:rsidR="008D1AF7" w:rsidRPr="00E60984">
        <w:rPr>
          <w:lang w:val="en-CA"/>
        </w:rPr>
        <w:t>the Court to exercise its discretion to authorize raising the issue of the provision’s validity under the division of powers for the first time on appeal.</w:t>
      </w:r>
      <w:r w:rsidR="00DE2A80" w:rsidRPr="00E60984">
        <w:rPr>
          <w:lang w:val="en-CA"/>
        </w:rPr>
        <w:t xml:space="preserve"> </w:t>
      </w:r>
      <w:r w:rsidR="008D1AF7" w:rsidRPr="00E60984">
        <w:rPr>
          <w:lang w:val="en-CA"/>
        </w:rPr>
        <w:t xml:space="preserve">The incidental appellants have offered no justification for why they are raising this issue for the first time, </w:t>
      </w:r>
      <w:r w:rsidR="00432B57">
        <w:rPr>
          <w:lang w:val="en-CA"/>
        </w:rPr>
        <w:t>despite having</w:t>
      </w:r>
      <w:r w:rsidR="008D1AF7" w:rsidRPr="00E60984">
        <w:rPr>
          <w:lang w:val="en-CA"/>
        </w:rPr>
        <w:t xml:space="preserve"> the burden of proving that no prejudice </w:t>
      </w:r>
      <w:r w:rsidR="00432B57">
        <w:rPr>
          <w:lang w:val="en-CA"/>
        </w:rPr>
        <w:t>would</w:t>
      </w:r>
      <w:r w:rsidR="00432B57" w:rsidRPr="00E60984">
        <w:rPr>
          <w:lang w:val="en-CA"/>
        </w:rPr>
        <w:t xml:space="preserve"> </w:t>
      </w:r>
      <w:r w:rsidR="008D1AF7" w:rsidRPr="00E60984">
        <w:rPr>
          <w:lang w:val="en-CA"/>
        </w:rPr>
        <w:t xml:space="preserve">result if it </w:t>
      </w:r>
      <w:r w:rsidR="00432B57">
        <w:rPr>
          <w:lang w:val="en-CA"/>
        </w:rPr>
        <w:t>were</w:t>
      </w:r>
      <w:r w:rsidR="00432B57" w:rsidRPr="00E60984">
        <w:rPr>
          <w:lang w:val="en-CA"/>
        </w:rPr>
        <w:t xml:space="preserve"> </w:t>
      </w:r>
      <w:r w:rsidR="00127938">
        <w:rPr>
          <w:lang w:val="en-CA"/>
        </w:rPr>
        <w:t xml:space="preserve">considered </w:t>
      </w:r>
      <w:r w:rsidR="008D1AF7" w:rsidRPr="00E60984">
        <w:rPr>
          <w:lang w:val="en-CA"/>
        </w:rPr>
        <w:t>by the Court.</w:t>
      </w:r>
      <w:r w:rsidR="008D1AF7" w:rsidRPr="00E60984">
        <w:rPr>
          <w:rStyle w:val="Appelnotedebasdep"/>
          <w:lang w:val="en-CA"/>
        </w:rPr>
        <w:footnoteReference w:id="105"/>
      </w:r>
      <w:r w:rsidR="00DE2A80" w:rsidRPr="00E60984">
        <w:rPr>
          <w:lang w:val="en-CA"/>
        </w:rPr>
        <w:t xml:space="preserve"> </w:t>
      </w:r>
    </w:p>
    <w:p w14:paraId="4E5A4D0A" w14:textId="1FA9E76F" w:rsidR="00A17C43" w:rsidRPr="00E60984" w:rsidRDefault="00BB6C25" w:rsidP="00F46856">
      <w:pPr>
        <w:pStyle w:val="Paragraphe"/>
        <w:numPr>
          <w:ilvl w:val="0"/>
          <w:numId w:val="0"/>
        </w:numPr>
        <w:spacing w:before="240" w:line="240" w:lineRule="auto"/>
        <w:rPr>
          <w:i/>
          <w:iCs/>
          <w:u w:val="single"/>
          <w:lang w:val="en-CA"/>
        </w:rPr>
      </w:pPr>
      <w:r w:rsidRPr="00E60984">
        <w:rPr>
          <w:b/>
          <w:bCs/>
          <w:u w:val="single"/>
          <w:lang w:val="en-CA"/>
        </w:rPr>
        <w:lastRenderedPageBreak/>
        <w:t xml:space="preserve">PART TWO: CONSISTENCY OF THE IMPUGNED PROVISIONS WITH THE </w:t>
      </w:r>
      <w:r w:rsidRPr="00E60984">
        <w:rPr>
          <w:b/>
          <w:bCs/>
          <w:i/>
          <w:u w:val="single"/>
          <w:lang w:val="en-CA"/>
        </w:rPr>
        <w:t>CANADIAN CHARTER</w:t>
      </w:r>
    </w:p>
    <w:p w14:paraId="794A5D09" w14:textId="48DBA131" w:rsidR="00A17C43" w:rsidRPr="00E60984" w:rsidRDefault="00BB6C25" w:rsidP="005F15BF">
      <w:pPr>
        <w:pStyle w:val="Paragraphe"/>
        <w:spacing w:line="240" w:lineRule="auto"/>
        <w:rPr>
          <w:lang w:val="en-CA"/>
        </w:rPr>
      </w:pPr>
      <w:r w:rsidRPr="00051F53">
        <w:rPr>
          <w:lang w:val="en-CA"/>
        </w:rPr>
        <w:t xml:space="preserve">Section 7 of the </w:t>
      </w:r>
      <w:r w:rsidRPr="00051F53">
        <w:rPr>
          <w:i/>
          <w:lang w:val="en-CA"/>
        </w:rPr>
        <w:t>Canadian Charter</w:t>
      </w:r>
      <w:r w:rsidRPr="00051F53">
        <w:rPr>
          <w:lang w:val="en-CA"/>
        </w:rPr>
        <w:t xml:space="preserve"> reads</w:t>
      </w:r>
      <w:r w:rsidRPr="00E60984">
        <w:rPr>
          <w:lang w:val="en-C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3725B0" w:rsidRPr="00E60984" w14:paraId="3BD56C6D" w14:textId="100DAD7F" w:rsidTr="00470979">
        <w:tc>
          <w:tcPr>
            <w:tcW w:w="4676" w:type="dxa"/>
          </w:tcPr>
          <w:p w14:paraId="1221F58A" w14:textId="77777777" w:rsidR="003725B0" w:rsidRPr="00E60984" w:rsidRDefault="003725B0" w:rsidP="00127938">
            <w:pPr>
              <w:pStyle w:val="Paragraphe"/>
              <w:numPr>
                <w:ilvl w:val="0"/>
                <w:numId w:val="0"/>
              </w:numPr>
              <w:spacing w:after="0" w:line="240" w:lineRule="auto"/>
              <w:ind w:left="739" w:right="168"/>
              <w:rPr>
                <w:rFonts w:cs="Arial"/>
                <w:sz w:val="22"/>
                <w:szCs w:val="22"/>
                <w:lang w:val="en-CA"/>
              </w:rPr>
            </w:pPr>
            <w:r w:rsidRPr="00E60984">
              <w:rPr>
                <w:rFonts w:cs="Arial"/>
                <w:b/>
                <w:bCs/>
                <w:sz w:val="22"/>
                <w:szCs w:val="22"/>
                <w:lang w:val="en-CA"/>
              </w:rPr>
              <w:t>7.</w:t>
            </w:r>
            <w:r w:rsidRPr="00E60984">
              <w:rPr>
                <w:rFonts w:cs="Arial"/>
                <w:sz w:val="22"/>
                <w:szCs w:val="22"/>
                <w:lang w:val="en-CA"/>
              </w:rPr>
              <w:t xml:space="preserve"> Everyone has the right to life, liberty and security of the person and the right not to be deprived thereof except in accordance with the principles of fundamental justice.</w:t>
            </w:r>
          </w:p>
        </w:tc>
        <w:tc>
          <w:tcPr>
            <w:tcW w:w="4676" w:type="dxa"/>
          </w:tcPr>
          <w:p w14:paraId="77C59D73" w14:textId="02840137" w:rsidR="003725B0" w:rsidRPr="006815E9" w:rsidRDefault="003725B0" w:rsidP="003725B0">
            <w:pPr>
              <w:pStyle w:val="Paragraphe"/>
              <w:numPr>
                <w:ilvl w:val="0"/>
                <w:numId w:val="0"/>
              </w:numPr>
              <w:spacing w:after="0" w:line="240" w:lineRule="auto"/>
              <w:ind w:left="113" w:right="680"/>
              <w:rPr>
                <w:rFonts w:cs="Arial"/>
                <w:b/>
                <w:bCs/>
                <w:sz w:val="22"/>
                <w:szCs w:val="22"/>
              </w:rPr>
            </w:pPr>
            <w:r w:rsidRPr="006815E9">
              <w:rPr>
                <w:rStyle w:val="sectionlabel"/>
                <w:rFonts w:cs="Arial"/>
                <w:b/>
                <w:bCs/>
                <w:sz w:val="22"/>
                <w:szCs w:val="22"/>
                <w:shd w:val="clear" w:color="auto" w:fill="FFFFFF"/>
              </w:rPr>
              <w:t>7.</w:t>
            </w:r>
            <w:r w:rsidRPr="006815E9">
              <w:rPr>
                <w:rStyle w:val="sectionlabel"/>
                <w:b/>
                <w:bCs/>
              </w:rPr>
              <w:t xml:space="preserve"> </w:t>
            </w:r>
            <w:r w:rsidRPr="006815E9">
              <w:rPr>
                <w:rFonts w:cs="Arial"/>
                <w:sz w:val="22"/>
                <w:szCs w:val="22"/>
                <w:shd w:val="clear" w:color="auto" w:fill="FFFFFF"/>
              </w:rPr>
              <w:t>Chacun a droit à la vie, à la liberté et à la sécurité de sa personne; il ne peut être porté atteinte à ce droit qu’en conformité avec les principes de justice fondamentale.</w:t>
            </w:r>
          </w:p>
        </w:tc>
      </w:tr>
    </w:tbl>
    <w:p w14:paraId="05AD5B68" w14:textId="0169D1A6" w:rsidR="00A17C43" w:rsidRPr="00E60984" w:rsidRDefault="001A2D69" w:rsidP="00936B81">
      <w:pPr>
        <w:pStyle w:val="Paragraphe"/>
        <w:spacing w:before="240" w:line="240" w:lineRule="auto"/>
        <w:rPr>
          <w:lang w:val="en-CA"/>
        </w:rPr>
      </w:pPr>
      <w:r w:rsidRPr="00E60984">
        <w:rPr>
          <w:lang w:val="en-CA"/>
        </w:rPr>
        <w:t xml:space="preserve">Sections 8 to 14 of the </w:t>
      </w:r>
      <w:r w:rsidRPr="00E60984">
        <w:rPr>
          <w:i/>
          <w:lang w:val="en-CA"/>
        </w:rPr>
        <w:t>Canadian Charter</w:t>
      </w:r>
      <w:r w:rsidRPr="00E60984">
        <w:rPr>
          <w:lang w:val="en-CA"/>
        </w:rPr>
        <w:t xml:space="preserve"> a</w:t>
      </w:r>
      <w:r w:rsidR="0075368D">
        <w:rPr>
          <w:lang w:val="en-CA"/>
        </w:rPr>
        <w:t>re intended to prevent</w:t>
      </w:r>
      <w:r w:rsidRPr="00E60984">
        <w:rPr>
          <w:lang w:val="en-CA"/>
        </w:rPr>
        <w:t xml:space="preserve"> specific </w:t>
      </w:r>
      <w:r w:rsidR="00051F53">
        <w:rPr>
          <w:lang w:val="en-CA"/>
        </w:rPr>
        <w:t>violations</w:t>
      </w:r>
      <w:r w:rsidR="00051F53" w:rsidRPr="00E60984">
        <w:rPr>
          <w:lang w:val="en-CA"/>
        </w:rPr>
        <w:t xml:space="preserve"> </w:t>
      </w:r>
      <w:r w:rsidRPr="00E60984">
        <w:rPr>
          <w:lang w:val="en-CA"/>
        </w:rPr>
        <w:t>of the right to life, liberty and security of the person in breach of the principles of fundamental justice, but these provisions are not an exhaustive list of th</w:t>
      </w:r>
      <w:r w:rsidR="00051F53">
        <w:rPr>
          <w:lang w:val="en-CA"/>
        </w:rPr>
        <w:t>o</w:t>
      </w:r>
      <w:r w:rsidRPr="00E60984">
        <w:rPr>
          <w:lang w:val="en-CA"/>
        </w:rPr>
        <w:t>se principles.</w:t>
      </w:r>
      <w:r w:rsidR="00DE2A80" w:rsidRPr="00E60984">
        <w:rPr>
          <w:lang w:val="en-CA"/>
        </w:rPr>
        <w:t xml:space="preserve"> </w:t>
      </w:r>
      <w:r w:rsidRPr="00E60984">
        <w:rPr>
          <w:lang w:val="en-CA"/>
        </w:rPr>
        <w:t xml:space="preserve">They are merely particular manifestations of the principles of </w:t>
      </w:r>
      <w:r w:rsidR="0075368D" w:rsidRPr="00E60984">
        <w:rPr>
          <w:lang w:val="en-CA"/>
        </w:rPr>
        <w:t xml:space="preserve">fundamental </w:t>
      </w:r>
      <w:r w:rsidRPr="00E60984">
        <w:rPr>
          <w:lang w:val="en-CA"/>
        </w:rPr>
        <w:t xml:space="preserve">justice </w:t>
      </w:r>
      <w:r w:rsidR="0075368D">
        <w:rPr>
          <w:lang w:val="en-CA"/>
        </w:rPr>
        <w:t xml:space="preserve">that </w:t>
      </w:r>
      <w:r w:rsidRPr="00E60984">
        <w:rPr>
          <w:lang w:val="en-CA"/>
        </w:rPr>
        <w:t>protect the right to life, liberty</w:t>
      </w:r>
      <w:r w:rsidR="00051F53">
        <w:rPr>
          <w:lang w:val="en-CA"/>
        </w:rPr>
        <w:t>,</w:t>
      </w:r>
      <w:r w:rsidRPr="00E60984">
        <w:rPr>
          <w:lang w:val="en-CA"/>
        </w:rPr>
        <w:t xml:space="preserve"> and security of the person.</w:t>
      </w:r>
      <w:r w:rsidR="00DE2A80" w:rsidRPr="00E60984">
        <w:rPr>
          <w:lang w:val="en-CA"/>
        </w:rPr>
        <w:t xml:space="preserve"> </w:t>
      </w:r>
      <w:r w:rsidRPr="00E60984">
        <w:rPr>
          <w:lang w:val="en-CA"/>
        </w:rPr>
        <w:t xml:space="preserve">Section 7 </w:t>
      </w:r>
      <w:r w:rsidR="0075368D">
        <w:rPr>
          <w:lang w:val="en-CA"/>
        </w:rPr>
        <w:t>constitutionalizes</w:t>
      </w:r>
      <w:r w:rsidRPr="00E60984">
        <w:rPr>
          <w:lang w:val="en-CA"/>
        </w:rPr>
        <w:t xml:space="preserve"> other principles of </w:t>
      </w:r>
      <w:r w:rsidR="0075368D">
        <w:rPr>
          <w:lang w:val="en-CA"/>
        </w:rPr>
        <w:t xml:space="preserve">fundamental </w:t>
      </w:r>
      <w:r w:rsidRPr="00E60984">
        <w:rPr>
          <w:lang w:val="en-CA"/>
        </w:rPr>
        <w:t xml:space="preserve">justice that are not otherwise </w:t>
      </w:r>
      <w:r w:rsidR="0075368D">
        <w:rPr>
          <w:lang w:val="en-CA"/>
        </w:rPr>
        <w:t xml:space="preserve">set out </w:t>
      </w:r>
      <w:r w:rsidRPr="00E60984">
        <w:rPr>
          <w:lang w:val="en-CA"/>
        </w:rPr>
        <w:t xml:space="preserve">in the </w:t>
      </w:r>
      <w:r w:rsidRPr="00E60984">
        <w:rPr>
          <w:i/>
          <w:lang w:val="en-CA"/>
        </w:rPr>
        <w:t>Canadian Charter</w:t>
      </w:r>
      <w:r w:rsidRPr="00E60984">
        <w:rPr>
          <w:lang w:val="en-CA"/>
        </w:rPr>
        <w:t>, but that are just as important.</w:t>
      </w:r>
    </w:p>
    <w:p w14:paraId="66985508" w14:textId="7874273D" w:rsidR="00A17C43" w:rsidRPr="00E60984" w:rsidRDefault="001A2D69" w:rsidP="005F15BF">
      <w:pPr>
        <w:pStyle w:val="Paragraphe"/>
        <w:spacing w:line="240" w:lineRule="auto"/>
        <w:rPr>
          <w:lang w:val="en-CA"/>
        </w:rPr>
      </w:pPr>
      <w:r w:rsidRPr="00E60984">
        <w:rPr>
          <w:lang w:val="en-CA"/>
        </w:rPr>
        <w:t xml:space="preserve">In </w:t>
      </w:r>
      <w:r w:rsidRPr="00E60984">
        <w:rPr>
          <w:i/>
          <w:lang w:val="en-CA"/>
        </w:rPr>
        <w:t>Re B.C. Motor Vehicle Act</w:t>
      </w:r>
      <w:r w:rsidRPr="00E60984">
        <w:rPr>
          <w:lang w:val="en-CA"/>
        </w:rPr>
        <w:t>,</w:t>
      </w:r>
      <w:r w:rsidRPr="00E60984">
        <w:rPr>
          <w:rStyle w:val="Appelnotedebasdep"/>
          <w:lang w:val="en-CA"/>
        </w:rPr>
        <w:footnoteReference w:id="106"/>
      </w:r>
      <w:r w:rsidRPr="00E60984">
        <w:rPr>
          <w:lang w:val="en-CA"/>
        </w:rPr>
        <w:t xml:space="preserve"> the Supreme Court was asked to interpret section 7 of the </w:t>
      </w:r>
      <w:r w:rsidRPr="00E60984">
        <w:rPr>
          <w:i/>
          <w:lang w:val="en-CA"/>
        </w:rPr>
        <w:t>Canadian Charter</w:t>
      </w:r>
      <w:r w:rsidRPr="00E60984">
        <w:rPr>
          <w:lang w:val="en-CA"/>
        </w:rPr>
        <w:t xml:space="preserve"> for the first time.</w:t>
      </w:r>
      <w:r w:rsidR="00DE2A80" w:rsidRPr="00E60984">
        <w:rPr>
          <w:lang w:val="en-CA"/>
        </w:rPr>
        <w:t xml:space="preserve"> </w:t>
      </w:r>
      <w:r w:rsidRPr="00E60984">
        <w:rPr>
          <w:lang w:val="en-CA"/>
        </w:rPr>
        <w:t xml:space="preserve">Lamer J. stated that the expression “principles of fundamental justice” </w:t>
      </w:r>
      <w:r w:rsidR="001322B4">
        <w:rPr>
          <w:lang w:val="en-CA"/>
        </w:rPr>
        <w:t>found</w:t>
      </w:r>
      <w:r w:rsidRPr="00E60984">
        <w:rPr>
          <w:lang w:val="en-CA"/>
        </w:rPr>
        <w:t xml:space="preserve"> therein refers to the basic tenets of our legal system that lie in the inherent domain of the judiciary as guardian of the Canadian justice system.</w:t>
      </w:r>
      <w:r w:rsidRPr="00E60984">
        <w:rPr>
          <w:rStyle w:val="Appelnotedebasdep"/>
          <w:lang w:val="en-CA"/>
        </w:rPr>
        <w:footnoteReference w:id="107"/>
      </w:r>
      <w:r w:rsidR="00DE2A80" w:rsidRPr="00E60984">
        <w:rPr>
          <w:lang w:val="en-CA"/>
        </w:rPr>
        <w:t xml:space="preserve"> </w:t>
      </w:r>
      <w:r w:rsidRPr="00E60984">
        <w:rPr>
          <w:lang w:val="en-CA"/>
        </w:rPr>
        <w:t>Whether a</w:t>
      </w:r>
      <w:r w:rsidR="001322B4">
        <w:rPr>
          <w:lang w:val="en-CA"/>
        </w:rPr>
        <w:t>ny</w:t>
      </w:r>
      <w:r w:rsidRPr="00E60984">
        <w:rPr>
          <w:lang w:val="en-CA"/>
        </w:rPr>
        <w:t xml:space="preserve"> given principle may be </w:t>
      </w:r>
      <w:r w:rsidR="001322B4">
        <w:rPr>
          <w:lang w:val="en-CA"/>
        </w:rPr>
        <w:t xml:space="preserve">said to be </w:t>
      </w:r>
      <w:r w:rsidRPr="00E60984">
        <w:rPr>
          <w:lang w:val="en-CA"/>
        </w:rPr>
        <w:t xml:space="preserve">a principle of fundamental justice within the meaning of section 7 of the </w:t>
      </w:r>
      <w:r w:rsidRPr="00E60984">
        <w:rPr>
          <w:i/>
          <w:lang w:val="en-CA"/>
        </w:rPr>
        <w:t>Canadian Charter</w:t>
      </w:r>
      <w:r w:rsidRPr="00E60984">
        <w:rPr>
          <w:lang w:val="en-CA"/>
        </w:rPr>
        <w:t xml:space="preserve"> </w:t>
      </w:r>
      <w:r w:rsidR="001322B4">
        <w:rPr>
          <w:lang w:val="en-CA"/>
        </w:rPr>
        <w:t xml:space="preserve">will rest upon </w:t>
      </w:r>
      <w:r w:rsidRPr="00E60984">
        <w:rPr>
          <w:lang w:val="en-CA"/>
        </w:rPr>
        <w:t xml:space="preserve">an analysis of the </w:t>
      </w:r>
      <w:r w:rsidR="001322B4">
        <w:rPr>
          <w:lang w:val="en-CA"/>
        </w:rPr>
        <w:t xml:space="preserve">principle’s </w:t>
      </w:r>
      <w:r w:rsidRPr="00E60984">
        <w:rPr>
          <w:lang w:val="en-CA"/>
        </w:rPr>
        <w:t>nature, sources, rationale and essential role within the judicial process and the Canadian legal system.</w:t>
      </w:r>
      <w:r w:rsidR="00DE2A80" w:rsidRPr="00E60984">
        <w:rPr>
          <w:lang w:val="en-CA"/>
        </w:rPr>
        <w:t xml:space="preserve"> </w:t>
      </w:r>
      <w:r w:rsidRPr="00E60984">
        <w:rPr>
          <w:lang w:val="en-CA"/>
        </w:rPr>
        <w:t>Consequently, the expression “principles of fundamental justice” cannot be given a</w:t>
      </w:r>
      <w:r w:rsidR="001322B4">
        <w:rPr>
          <w:lang w:val="en-CA"/>
        </w:rPr>
        <w:t>ny</w:t>
      </w:r>
      <w:r w:rsidRPr="00E60984">
        <w:rPr>
          <w:lang w:val="en-CA"/>
        </w:rPr>
        <w:t xml:space="preserve"> </w:t>
      </w:r>
      <w:r w:rsidR="001322B4">
        <w:rPr>
          <w:lang w:val="en-CA"/>
        </w:rPr>
        <w:t xml:space="preserve">exhaustive </w:t>
      </w:r>
      <w:r w:rsidRPr="00E60984">
        <w:rPr>
          <w:lang w:val="en-CA"/>
        </w:rPr>
        <w:t>content or precise definition</w:t>
      </w:r>
      <w:r w:rsidR="004B346B">
        <w:rPr>
          <w:lang w:val="en-CA"/>
        </w:rPr>
        <w:t>,</w:t>
      </w:r>
      <w:r w:rsidR="001322B4">
        <w:rPr>
          <w:lang w:val="en-CA"/>
        </w:rPr>
        <w:t xml:space="preserve"> but </w:t>
      </w:r>
      <w:r w:rsidR="004B346B">
        <w:rPr>
          <w:lang w:val="en-CA"/>
        </w:rPr>
        <w:t xml:space="preserve">will </w:t>
      </w:r>
      <w:r w:rsidRPr="00E60984">
        <w:rPr>
          <w:lang w:val="en-CA"/>
        </w:rPr>
        <w:t xml:space="preserve">take on concrete meaning as the courts </w:t>
      </w:r>
      <w:r w:rsidR="001322B4">
        <w:rPr>
          <w:lang w:val="en-CA"/>
        </w:rPr>
        <w:t xml:space="preserve">address alleged violations </w:t>
      </w:r>
      <w:r w:rsidRPr="00E60984">
        <w:rPr>
          <w:lang w:val="en-CA"/>
        </w:rPr>
        <w:t>of section 7.</w:t>
      </w:r>
      <w:r w:rsidR="00DE2A80" w:rsidRPr="00E60984">
        <w:rPr>
          <w:lang w:val="en-CA"/>
        </w:rPr>
        <w:t xml:space="preserve"> </w:t>
      </w:r>
    </w:p>
    <w:p w14:paraId="7D031335" w14:textId="2679B045" w:rsidR="00A17C43" w:rsidRPr="00E60984" w:rsidRDefault="001A2D69" w:rsidP="005F15BF">
      <w:pPr>
        <w:pStyle w:val="Paragraphe"/>
        <w:spacing w:line="240" w:lineRule="auto"/>
        <w:rPr>
          <w:lang w:val="en-CA"/>
        </w:rPr>
      </w:pPr>
      <w:r w:rsidRPr="00E60984">
        <w:rPr>
          <w:lang w:val="en-CA"/>
        </w:rPr>
        <w:t xml:space="preserve">The case law after </w:t>
      </w:r>
      <w:r w:rsidRPr="00E60984">
        <w:rPr>
          <w:i/>
          <w:lang w:val="en-CA"/>
        </w:rPr>
        <w:t>Re B.C. Motor Vehicle Act</w:t>
      </w:r>
      <w:r w:rsidRPr="00E60984">
        <w:rPr>
          <w:lang w:val="en-CA"/>
        </w:rPr>
        <w:t xml:space="preserve"> developed three tests to elevate a principle to</w:t>
      </w:r>
      <w:r w:rsidR="00B9363C">
        <w:rPr>
          <w:lang w:val="en-CA"/>
        </w:rPr>
        <w:t xml:space="preserve"> the ranks of</w:t>
      </w:r>
      <w:r w:rsidRPr="00E60984">
        <w:rPr>
          <w:lang w:val="en-CA"/>
        </w:rPr>
        <w:t xml:space="preserve"> </w:t>
      </w:r>
      <w:r w:rsidR="00FF48AD">
        <w:rPr>
          <w:lang w:val="en-CA"/>
        </w:rPr>
        <w:t xml:space="preserve">a </w:t>
      </w:r>
      <w:r w:rsidRPr="00E60984">
        <w:rPr>
          <w:lang w:val="en-CA"/>
        </w:rPr>
        <w:t>principle of fundamental justice.</w:t>
      </w:r>
      <w:r w:rsidRPr="00E60984">
        <w:rPr>
          <w:rStyle w:val="Appelnotedebasdep"/>
          <w:lang w:val="en-CA"/>
        </w:rPr>
        <w:footnoteReference w:id="108"/>
      </w:r>
      <w:r w:rsidR="00DE2A80" w:rsidRPr="00E60984">
        <w:rPr>
          <w:lang w:val="en-CA"/>
        </w:rPr>
        <w:t xml:space="preserve"> </w:t>
      </w:r>
      <w:r w:rsidR="00EE4522" w:rsidRPr="00E60984">
        <w:rPr>
          <w:lang w:val="en-CA"/>
        </w:rPr>
        <w:t xml:space="preserve">First, the principle alleged must be </w:t>
      </w:r>
      <w:r w:rsidR="00FF48AD">
        <w:rPr>
          <w:lang w:val="en-CA"/>
        </w:rPr>
        <w:t xml:space="preserve">a </w:t>
      </w:r>
      <w:r w:rsidR="00EE4522" w:rsidRPr="00E60984">
        <w:rPr>
          <w:lang w:val="en-CA"/>
        </w:rPr>
        <w:t>legal</w:t>
      </w:r>
      <w:r w:rsidR="00FF48AD">
        <w:rPr>
          <w:lang w:val="en-CA"/>
        </w:rPr>
        <w:t xml:space="preserve"> principle</w:t>
      </w:r>
      <w:r w:rsidR="00EE4522" w:rsidRPr="00E60984">
        <w:rPr>
          <w:lang w:val="en-CA"/>
        </w:rPr>
        <w:t xml:space="preserve">; it must be </w:t>
      </w:r>
      <w:r w:rsidR="00DF7B49">
        <w:rPr>
          <w:lang w:val="en-CA"/>
        </w:rPr>
        <w:t xml:space="preserve">an </w:t>
      </w:r>
      <w:r w:rsidR="00EE4522" w:rsidRPr="00E60984">
        <w:rPr>
          <w:lang w:val="en-CA"/>
        </w:rPr>
        <w:t xml:space="preserve">essential </w:t>
      </w:r>
      <w:r w:rsidR="00DF7B49">
        <w:rPr>
          <w:lang w:val="en-CA"/>
        </w:rPr>
        <w:t>element of a system for</w:t>
      </w:r>
      <w:r w:rsidR="00AE3D08">
        <w:rPr>
          <w:lang w:val="en-CA"/>
        </w:rPr>
        <w:t xml:space="preserve"> </w:t>
      </w:r>
      <w:r w:rsidR="00EE4522" w:rsidRPr="00E60984">
        <w:rPr>
          <w:lang w:val="en-CA"/>
        </w:rPr>
        <w:t xml:space="preserve">the administration of justice </w:t>
      </w:r>
      <w:r w:rsidR="00DF7B49">
        <w:rPr>
          <w:lang w:val="en-CA"/>
        </w:rPr>
        <w:t>which is founded up</w:t>
      </w:r>
      <w:r w:rsidR="00EE4522" w:rsidRPr="00E60984">
        <w:rPr>
          <w:lang w:val="en-CA"/>
        </w:rPr>
        <w:t xml:space="preserve">on a belief in the dignity and </w:t>
      </w:r>
      <w:r w:rsidR="00DF7B49">
        <w:rPr>
          <w:lang w:val="en-CA"/>
        </w:rPr>
        <w:t xml:space="preserve">worth </w:t>
      </w:r>
      <w:r w:rsidR="00EE4522" w:rsidRPr="00E60984">
        <w:rPr>
          <w:lang w:val="en-CA"/>
        </w:rPr>
        <w:t xml:space="preserve">of </w:t>
      </w:r>
      <w:r w:rsidR="00DF7B49">
        <w:rPr>
          <w:lang w:val="en-CA"/>
        </w:rPr>
        <w:t xml:space="preserve">the </w:t>
      </w:r>
      <w:r w:rsidR="00EE4522" w:rsidRPr="00E60984">
        <w:rPr>
          <w:lang w:val="en-CA"/>
        </w:rPr>
        <w:t xml:space="preserve">human </w:t>
      </w:r>
      <w:r w:rsidR="00DF7B49">
        <w:rPr>
          <w:lang w:val="en-CA"/>
        </w:rPr>
        <w:t xml:space="preserve">person </w:t>
      </w:r>
      <w:r w:rsidR="00EE4522" w:rsidRPr="00E60984">
        <w:rPr>
          <w:lang w:val="en-CA"/>
        </w:rPr>
        <w:t xml:space="preserve">and a </w:t>
      </w:r>
      <w:r w:rsidR="00DF7B49">
        <w:rPr>
          <w:lang w:val="en-CA"/>
        </w:rPr>
        <w:t xml:space="preserve">foundational requirement for the dispensation </w:t>
      </w:r>
      <w:r w:rsidR="00EE4522" w:rsidRPr="00E60984">
        <w:rPr>
          <w:lang w:val="en-CA"/>
        </w:rPr>
        <w:t>of justice.</w:t>
      </w:r>
      <w:r w:rsidR="00DE2A80" w:rsidRPr="00E60984">
        <w:rPr>
          <w:lang w:val="en-CA"/>
        </w:rPr>
        <w:t xml:space="preserve"> </w:t>
      </w:r>
      <w:r w:rsidR="00EE4522" w:rsidRPr="00E60984">
        <w:rPr>
          <w:lang w:val="en-CA"/>
        </w:rPr>
        <w:t xml:space="preserve">Second, </w:t>
      </w:r>
      <w:r w:rsidR="00AE3D08">
        <w:rPr>
          <w:lang w:val="en-CA"/>
        </w:rPr>
        <w:t>there must be sufficient consensus that the alleged</w:t>
      </w:r>
      <w:r w:rsidR="00EE4522" w:rsidRPr="00E60984">
        <w:rPr>
          <w:lang w:val="en-CA"/>
        </w:rPr>
        <w:t xml:space="preserve"> principle </w:t>
      </w:r>
      <w:r w:rsidR="00FF48AD">
        <w:rPr>
          <w:lang w:val="en-CA"/>
        </w:rPr>
        <w:t xml:space="preserve">is vital </w:t>
      </w:r>
      <w:r w:rsidR="00EE4522" w:rsidRPr="00E60984">
        <w:rPr>
          <w:lang w:val="en-CA"/>
        </w:rPr>
        <w:t>or fundamental.</w:t>
      </w:r>
      <w:r w:rsidR="00DE2A80" w:rsidRPr="00E60984">
        <w:rPr>
          <w:lang w:val="en-CA"/>
        </w:rPr>
        <w:t xml:space="preserve"> </w:t>
      </w:r>
      <w:r w:rsidR="00EE4522" w:rsidRPr="00E60984">
        <w:rPr>
          <w:lang w:val="en-CA"/>
        </w:rPr>
        <w:t xml:space="preserve">Last, </w:t>
      </w:r>
      <w:r w:rsidR="00EE4522" w:rsidRPr="00E60984">
        <w:rPr>
          <w:lang w:val="en-CA"/>
        </w:rPr>
        <w:lastRenderedPageBreak/>
        <w:t xml:space="preserve">it must be </w:t>
      </w:r>
      <w:r w:rsidR="00AE3D08">
        <w:rPr>
          <w:lang w:val="en-CA"/>
        </w:rPr>
        <w:t xml:space="preserve">capable of being identified with </w:t>
      </w:r>
      <w:r w:rsidR="00EE4522" w:rsidRPr="00E60984">
        <w:rPr>
          <w:lang w:val="en-CA"/>
        </w:rPr>
        <w:t>precis</w:t>
      </w:r>
      <w:r w:rsidR="00AE3D08">
        <w:rPr>
          <w:lang w:val="en-CA"/>
        </w:rPr>
        <w:t>ion</w:t>
      </w:r>
      <w:r w:rsidR="00EE4522" w:rsidRPr="00E60984">
        <w:rPr>
          <w:lang w:val="en-CA"/>
        </w:rPr>
        <w:t xml:space="preserve"> and applied to </w:t>
      </w:r>
      <w:r w:rsidR="00AE3D08">
        <w:rPr>
          <w:lang w:val="en-CA"/>
        </w:rPr>
        <w:t xml:space="preserve">yield predictable </w:t>
      </w:r>
      <w:r w:rsidR="00EE4522" w:rsidRPr="00E60984">
        <w:rPr>
          <w:lang w:val="en-CA"/>
        </w:rPr>
        <w:t xml:space="preserve">results </w:t>
      </w:r>
      <w:r w:rsidR="00DF7B49">
        <w:rPr>
          <w:lang w:val="en-CA"/>
        </w:rPr>
        <w:t>and</w:t>
      </w:r>
      <w:r w:rsidR="00EE4522" w:rsidRPr="00E60984">
        <w:rPr>
          <w:lang w:val="en-CA"/>
        </w:rPr>
        <w:t xml:space="preserve"> provide a </w:t>
      </w:r>
      <w:r w:rsidR="00DF7B49">
        <w:rPr>
          <w:lang w:val="en-CA"/>
        </w:rPr>
        <w:t xml:space="preserve">justiciable </w:t>
      </w:r>
      <w:r w:rsidR="00EE4522" w:rsidRPr="00E60984">
        <w:rPr>
          <w:lang w:val="en-CA"/>
        </w:rPr>
        <w:t>standard.</w:t>
      </w:r>
    </w:p>
    <w:p w14:paraId="7A04C964" w14:textId="2546E4C0" w:rsidR="00A17C43" w:rsidRPr="00E60984" w:rsidRDefault="00EE4522" w:rsidP="005F15BF">
      <w:pPr>
        <w:pStyle w:val="Paragraphe"/>
        <w:spacing w:line="240" w:lineRule="auto"/>
        <w:rPr>
          <w:lang w:val="en-CA"/>
        </w:rPr>
      </w:pPr>
      <w:r w:rsidRPr="00E60984">
        <w:rPr>
          <w:lang w:val="en-CA"/>
        </w:rPr>
        <w:t>The Supreme Court added that laws that impinge on life, liberty or security of the person must not be arbitrary, overbroad, or have consequences that are disproportionate to their object.</w:t>
      </w:r>
      <w:r w:rsidRPr="00E60984">
        <w:rPr>
          <w:rStyle w:val="Appelnotedebasdep"/>
          <w:lang w:val="en-CA"/>
        </w:rPr>
        <w:footnoteReference w:id="109"/>
      </w:r>
      <w:r w:rsidRPr="00E60984">
        <w:rPr>
          <w:lang w:val="en-CA"/>
        </w:rPr>
        <w:t xml:space="preserve"> It is understood that the </w:t>
      </w:r>
      <w:r w:rsidR="00CC634D" w:rsidRPr="00E60984">
        <w:rPr>
          <w:lang w:val="en-CA"/>
        </w:rPr>
        <w:t>s</w:t>
      </w:r>
      <w:r w:rsidRPr="00E60984">
        <w:rPr>
          <w:lang w:val="en-CA"/>
        </w:rPr>
        <w:t>tate cannot save a law from overbreadth for reasons of administrative convenience.</w:t>
      </w:r>
      <w:r w:rsidRPr="00E60984">
        <w:rPr>
          <w:rStyle w:val="Appelnotedebasdep"/>
          <w:lang w:val="en-CA"/>
        </w:rPr>
        <w:footnoteReference w:id="110"/>
      </w:r>
      <w:r w:rsidR="00DE2A80" w:rsidRPr="00E60984">
        <w:rPr>
          <w:lang w:val="en-CA"/>
        </w:rPr>
        <w:t xml:space="preserve"> </w:t>
      </w:r>
      <w:r w:rsidRPr="00E60984">
        <w:rPr>
          <w:lang w:val="en-CA"/>
        </w:rPr>
        <w:t>In short, the analysis under section 7 is qualitative and the fundamental question is whether the provision in question deprives a person of the right to life, liberty</w:t>
      </w:r>
      <w:r w:rsidR="00B9363C">
        <w:rPr>
          <w:lang w:val="en-CA"/>
        </w:rPr>
        <w:t>,</w:t>
      </w:r>
      <w:r w:rsidRPr="00E60984">
        <w:rPr>
          <w:lang w:val="en-CA"/>
        </w:rPr>
        <w:t xml:space="preserve"> or security of the person in a manner that is disproportionate, overbroad, or arbitrary.</w:t>
      </w:r>
      <w:r w:rsidR="00DE2A80" w:rsidRPr="00E60984">
        <w:rPr>
          <w:lang w:val="en-CA"/>
        </w:rPr>
        <w:t xml:space="preserve"> </w:t>
      </w:r>
      <w:r w:rsidRPr="00E60984">
        <w:rPr>
          <w:lang w:val="en-CA"/>
        </w:rPr>
        <w:t>To this end, determining the purpose of the impugned provision is vital to the analysis.</w:t>
      </w:r>
    </w:p>
    <w:p w14:paraId="24AF0C52" w14:textId="1B231A8B" w:rsidR="00A17C43" w:rsidRPr="00E60984" w:rsidRDefault="00EE4522" w:rsidP="005F15BF">
      <w:pPr>
        <w:pStyle w:val="Paragraphe"/>
        <w:spacing w:line="240" w:lineRule="auto"/>
        <w:rPr>
          <w:lang w:val="en-CA"/>
        </w:rPr>
      </w:pPr>
      <w:r w:rsidRPr="00E60984">
        <w:rPr>
          <w:lang w:val="en-CA"/>
        </w:rPr>
        <w:t xml:space="preserve">With these general principles in mind, the Court will analyze whether the impugned regulatory provisions are consistent with the </w:t>
      </w:r>
      <w:r w:rsidRPr="00E60984">
        <w:rPr>
          <w:i/>
          <w:lang w:val="en-CA"/>
        </w:rPr>
        <w:t>Canadian Charter</w:t>
      </w:r>
      <w:r w:rsidRPr="00E60984">
        <w:rPr>
          <w:lang w:val="en-CA"/>
        </w:rPr>
        <w:t>.</w:t>
      </w:r>
    </w:p>
    <w:p w14:paraId="6A787D87" w14:textId="0F5C8352" w:rsidR="00A17C43" w:rsidRPr="00E60984" w:rsidRDefault="00EE4522" w:rsidP="0016561B">
      <w:pPr>
        <w:pStyle w:val="Paragraphe"/>
        <w:numPr>
          <w:ilvl w:val="0"/>
          <w:numId w:val="0"/>
        </w:numPr>
        <w:spacing w:before="240" w:line="240" w:lineRule="auto"/>
        <w:ind w:left="720"/>
        <w:rPr>
          <w:i/>
          <w:iCs/>
          <w:u w:val="single"/>
          <w:lang w:val="en-CA"/>
        </w:rPr>
      </w:pPr>
      <w:bookmarkStart w:id="31" w:name="_Hlk154490992"/>
      <w:r w:rsidRPr="00E60984">
        <w:rPr>
          <w:i/>
          <w:iCs/>
          <w:u w:val="single"/>
          <w:lang w:val="en-CA"/>
        </w:rPr>
        <w:t>Obligation of the police officer involved to draw up an account of the occurrence and submit it to the BEI</w:t>
      </w:r>
    </w:p>
    <w:bookmarkEnd w:id="31"/>
    <w:p w14:paraId="2B7498C8" w14:textId="09FE9700" w:rsidR="00A17C43" w:rsidRPr="00E60984" w:rsidRDefault="006A7004" w:rsidP="0016561B">
      <w:pPr>
        <w:pStyle w:val="Paragraphe"/>
        <w:spacing w:line="240" w:lineRule="auto"/>
        <w:rPr>
          <w:lang w:val="en-CA"/>
        </w:rPr>
      </w:pPr>
      <w:r w:rsidRPr="00E60984">
        <w:rPr>
          <w:lang w:val="en-CA"/>
        </w:rPr>
        <w:t xml:space="preserve">As previously stated, </w:t>
      </w:r>
      <w:r w:rsidR="00CF06B4">
        <w:rPr>
          <w:lang w:val="en-CA"/>
        </w:rPr>
        <w:t>pursuant to</w:t>
      </w:r>
      <w:r w:rsidRPr="00E60984">
        <w:rPr>
          <w:lang w:val="en-CA"/>
        </w:rPr>
        <w:t xml:space="preserve"> subparagraph (2) of the first paragraph of section 1 of the </w:t>
      </w:r>
      <w:r w:rsidRPr="00E60984">
        <w:rPr>
          <w:i/>
          <w:lang w:val="en-CA"/>
        </w:rPr>
        <w:t>Regulation</w:t>
      </w:r>
      <w:r w:rsidRPr="00E60984">
        <w:rPr>
          <w:lang w:val="en-CA"/>
        </w:rPr>
        <w:t>, the police officer involved must draw up an account of the occurrence and submit it to the BEI.</w:t>
      </w:r>
      <w:r w:rsidR="00DE2A80" w:rsidRPr="00E60984">
        <w:rPr>
          <w:lang w:val="en-CA"/>
        </w:rPr>
        <w:t xml:space="preserve"> </w:t>
      </w:r>
      <w:r w:rsidRPr="00E60984">
        <w:rPr>
          <w:lang w:val="en-CA"/>
        </w:rPr>
        <w:t xml:space="preserve">Because the </w:t>
      </w:r>
      <w:r w:rsidR="00F837DF">
        <w:rPr>
          <w:lang w:val="en-CA"/>
        </w:rPr>
        <w:t xml:space="preserve">conduct </w:t>
      </w:r>
      <w:r w:rsidRPr="00E60984">
        <w:rPr>
          <w:lang w:val="en-CA"/>
        </w:rPr>
        <w:t xml:space="preserve">of the police officer involved is the subject of the BEI investigation and because the </w:t>
      </w:r>
      <w:r w:rsidR="00F837DF">
        <w:rPr>
          <w:lang w:val="en-CA"/>
        </w:rPr>
        <w:t xml:space="preserve">ultimate </w:t>
      </w:r>
      <w:r w:rsidRPr="00E60984">
        <w:rPr>
          <w:lang w:val="en-CA"/>
        </w:rPr>
        <w:t xml:space="preserve">purpose of this investigation is to determine whether criminal charges should be laid against the police officer, the legislative obligation to draw up an account for the </w:t>
      </w:r>
      <w:r w:rsidR="00F837DF">
        <w:rPr>
          <w:lang w:val="en-CA"/>
        </w:rPr>
        <w:t xml:space="preserve">purpose of this </w:t>
      </w:r>
      <w:r w:rsidRPr="00E60984">
        <w:rPr>
          <w:lang w:val="en-CA"/>
        </w:rPr>
        <w:t>investigation appears, at first glance, to infringe the police officer’s right to silence and</w:t>
      </w:r>
      <w:r w:rsidR="007B6DE8">
        <w:rPr>
          <w:lang w:val="en-CA"/>
        </w:rPr>
        <w:t xml:space="preserve"> the right</w:t>
      </w:r>
      <w:r w:rsidRPr="00E60984">
        <w:rPr>
          <w:lang w:val="en-CA"/>
        </w:rPr>
        <w:t xml:space="preserve"> against self-incrimination.</w:t>
      </w:r>
    </w:p>
    <w:p w14:paraId="33160A59" w14:textId="38700B84" w:rsidR="00A17C43" w:rsidRPr="00E60984" w:rsidRDefault="006A7004" w:rsidP="005F15BF">
      <w:pPr>
        <w:pStyle w:val="Paragraphe"/>
        <w:spacing w:before="240" w:line="240" w:lineRule="auto"/>
        <w:rPr>
          <w:lang w:val="en-CA"/>
        </w:rPr>
      </w:pPr>
      <w:r w:rsidRPr="00E60984">
        <w:rPr>
          <w:lang w:val="en-CA"/>
        </w:rPr>
        <w:t xml:space="preserve">The right to silence is closely entwined with the principle </w:t>
      </w:r>
      <w:r w:rsidR="00F837DF">
        <w:rPr>
          <w:lang w:val="en-CA"/>
        </w:rPr>
        <w:t>against self-</w:t>
      </w:r>
      <w:r w:rsidRPr="00E60984">
        <w:rPr>
          <w:lang w:val="en-CA"/>
        </w:rPr>
        <w:t>incriminat</w:t>
      </w:r>
      <w:r w:rsidR="00F837DF">
        <w:rPr>
          <w:lang w:val="en-CA"/>
        </w:rPr>
        <w:t>ion</w:t>
      </w:r>
      <w:r w:rsidRPr="00E60984">
        <w:rPr>
          <w:lang w:val="en-CA"/>
        </w:rPr>
        <w:t>.</w:t>
      </w:r>
      <w:r w:rsidRPr="00E60984">
        <w:rPr>
          <w:rStyle w:val="Appelnotedebasdep"/>
          <w:lang w:val="en-CA"/>
        </w:rPr>
        <w:footnoteReference w:id="111"/>
      </w:r>
      <w:r w:rsidR="00DE2A80" w:rsidRPr="00E60984">
        <w:rPr>
          <w:lang w:val="en-CA"/>
        </w:rPr>
        <w:t xml:space="preserve"> </w:t>
      </w:r>
      <w:r w:rsidRPr="00E60984">
        <w:rPr>
          <w:lang w:val="en-CA"/>
        </w:rPr>
        <w:t>Therefore, a suspect cannot be used as a source of information about his or her own criminal conduct.</w:t>
      </w:r>
      <w:r w:rsidRPr="00E60984">
        <w:rPr>
          <w:rStyle w:val="Appelnotedebasdep"/>
          <w:lang w:val="en-CA"/>
        </w:rPr>
        <w:footnoteReference w:id="112"/>
      </w:r>
      <w:r w:rsidR="00DE2A80" w:rsidRPr="00E60984">
        <w:rPr>
          <w:lang w:val="en-CA"/>
        </w:rPr>
        <w:t xml:space="preserve"> </w:t>
      </w:r>
      <w:r w:rsidRPr="00E60984">
        <w:rPr>
          <w:lang w:val="en-CA"/>
        </w:rPr>
        <w:t>The principle against self-incrimination is manifested in several constitutional and common law rules that apply both before and after a criminal trial.</w:t>
      </w:r>
      <w:r w:rsidR="00DE2A80" w:rsidRPr="00E60984">
        <w:rPr>
          <w:lang w:val="en-CA"/>
        </w:rPr>
        <w:t xml:space="preserve"> </w:t>
      </w:r>
    </w:p>
    <w:p w14:paraId="6F97BC11" w14:textId="6818C0B3" w:rsidR="00A17C43" w:rsidRPr="00E60984" w:rsidRDefault="006A7004" w:rsidP="00E77527">
      <w:pPr>
        <w:pStyle w:val="Paragraphe"/>
        <w:keepNext/>
        <w:spacing w:line="240" w:lineRule="auto"/>
        <w:rPr>
          <w:lang w:val="en-CA"/>
        </w:rPr>
      </w:pPr>
      <w:r w:rsidRPr="00E60984">
        <w:rPr>
          <w:lang w:val="en-CA"/>
        </w:rPr>
        <w:t xml:space="preserve">During a trial, the principle is reflected in the protection provided under section 11(c) of the </w:t>
      </w:r>
      <w:r w:rsidRPr="00E60984">
        <w:rPr>
          <w:i/>
          <w:lang w:val="en-CA"/>
        </w:rPr>
        <w:t>Canadian Charter</w:t>
      </w:r>
      <w:r w:rsidRPr="00E60984">
        <w:rPr>
          <w:lang w:val="en-CA"/>
        </w:rPr>
        <w:t xml:space="preserve"> whereby the accused cannot be compelled to testify, the presumption of innocence </w:t>
      </w:r>
      <w:r w:rsidR="004223A3">
        <w:rPr>
          <w:lang w:val="en-CA"/>
        </w:rPr>
        <w:t>under</w:t>
      </w:r>
      <w:r w:rsidRPr="00E60984">
        <w:rPr>
          <w:lang w:val="en-CA"/>
        </w:rPr>
        <w:t xml:space="preserve"> section 11(d), and the Crown’s burden to prove its case </w:t>
      </w:r>
      <w:r w:rsidRPr="00E60984">
        <w:rPr>
          <w:lang w:val="en-CA"/>
        </w:rPr>
        <w:lastRenderedPageBreak/>
        <w:t xml:space="preserve">beyond a reasonable doubt, </w:t>
      </w:r>
      <w:r w:rsidR="004223A3">
        <w:rPr>
          <w:lang w:val="en-CA"/>
        </w:rPr>
        <w:t>as well as</w:t>
      </w:r>
      <w:r w:rsidR="004223A3" w:rsidRPr="00E60984">
        <w:rPr>
          <w:lang w:val="en-CA"/>
        </w:rPr>
        <w:t xml:space="preserve"> </w:t>
      </w:r>
      <w:r w:rsidRPr="00E60984">
        <w:rPr>
          <w:lang w:val="en-CA"/>
        </w:rPr>
        <w:t xml:space="preserve">in the protection under section 13 of the </w:t>
      </w:r>
      <w:r w:rsidRPr="00E60984">
        <w:rPr>
          <w:i/>
          <w:lang w:val="en-CA"/>
        </w:rPr>
        <w:t>Canadian Charter</w:t>
      </w:r>
      <w:r w:rsidRPr="00E60984">
        <w:rPr>
          <w:lang w:val="en-CA"/>
        </w:rPr>
        <w:t xml:space="preserve"> prohibiting incriminating testimony given in any proceedings from being used to incriminate that witness in any other proceedings.</w:t>
      </w:r>
      <w:r w:rsidRPr="00E60984">
        <w:rPr>
          <w:rStyle w:val="Appelnotedebasdep"/>
          <w:lang w:val="en-CA"/>
        </w:rPr>
        <w:footnoteReference w:id="113"/>
      </w:r>
    </w:p>
    <w:p w14:paraId="2B16B9CF" w14:textId="06B205F3" w:rsidR="00A17C43" w:rsidRPr="00E60984" w:rsidRDefault="006A7004" w:rsidP="005F15BF">
      <w:pPr>
        <w:pStyle w:val="Paragraphe"/>
        <w:spacing w:before="240" w:line="240" w:lineRule="auto"/>
        <w:rPr>
          <w:lang w:val="en-CA"/>
        </w:rPr>
      </w:pPr>
      <w:r w:rsidRPr="00E60984">
        <w:rPr>
          <w:lang w:val="en-CA"/>
        </w:rPr>
        <w:t>Before trial, the law allows suspects to remain silent when questioned by the police and imposes no general duty to disclose with respect to the police.</w:t>
      </w:r>
      <w:r w:rsidRPr="00E60984">
        <w:rPr>
          <w:rStyle w:val="Appelnotedebasdep"/>
          <w:lang w:val="en-CA"/>
        </w:rPr>
        <w:footnoteReference w:id="114"/>
      </w:r>
      <w:r w:rsidR="00DE2A80" w:rsidRPr="00E60984">
        <w:rPr>
          <w:lang w:val="en-CA"/>
        </w:rPr>
        <w:t xml:space="preserve"> </w:t>
      </w:r>
      <w:r w:rsidRPr="00E60984">
        <w:rPr>
          <w:lang w:val="en-CA"/>
        </w:rPr>
        <w:t xml:space="preserve">Residual protection against self-incrimination is also provided under section 7 of the </w:t>
      </w:r>
      <w:r w:rsidRPr="00E60984">
        <w:rPr>
          <w:i/>
          <w:lang w:val="en-CA"/>
        </w:rPr>
        <w:t>Canadian Charter</w:t>
      </w:r>
      <w:r w:rsidRPr="00E60984">
        <w:rPr>
          <w:lang w:val="en-CA"/>
        </w:rPr>
        <w:t>.</w:t>
      </w:r>
      <w:r w:rsidRPr="00E60984">
        <w:rPr>
          <w:rStyle w:val="Appelnotedebasdep"/>
          <w:lang w:val="en-CA"/>
        </w:rPr>
        <w:footnoteReference w:id="115"/>
      </w:r>
      <w:r w:rsidR="00DE2A80" w:rsidRPr="00E60984">
        <w:rPr>
          <w:lang w:val="en-CA"/>
        </w:rPr>
        <w:t xml:space="preserve"> </w:t>
      </w:r>
      <w:r w:rsidR="0095472D">
        <w:rPr>
          <w:lang w:val="en-CA"/>
        </w:rPr>
        <w:t>T</w:t>
      </w:r>
      <w:r w:rsidRPr="00E60984">
        <w:rPr>
          <w:lang w:val="en-CA"/>
        </w:rPr>
        <w:t>he section 7 protection</w:t>
      </w:r>
      <w:r w:rsidR="0095472D">
        <w:rPr>
          <w:lang w:val="en-CA"/>
        </w:rPr>
        <w:t>, however,</w:t>
      </w:r>
      <w:r w:rsidRPr="00E60984">
        <w:rPr>
          <w:lang w:val="en-CA"/>
        </w:rPr>
        <w:t xml:space="preserve"> </w:t>
      </w:r>
      <w:r w:rsidR="0095472D">
        <w:rPr>
          <w:lang w:val="en-CA"/>
        </w:rPr>
        <w:t>is context-</w:t>
      </w:r>
      <w:r w:rsidRPr="00E60984">
        <w:rPr>
          <w:lang w:val="en-CA"/>
        </w:rPr>
        <w:t>depend</w:t>
      </w:r>
      <w:r w:rsidR="0095472D">
        <w:rPr>
          <w:lang w:val="en-CA"/>
        </w:rPr>
        <w:t>ent</w:t>
      </w:r>
      <w:r w:rsidRPr="00E60984">
        <w:rPr>
          <w:lang w:val="en-CA"/>
        </w:rPr>
        <w:t xml:space="preserve"> and </w:t>
      </w:r>
      <w:r w:rsidR="0095472D">
        <w:rPr>
          <w:lang w:val="en-CA"/>
        </w:rPr>
        <w:t xml:space="preserve">does </w:t>
      </w:r>
      <w:r w:rsidRPr="00E60984">
        <w:rPr>
          <w:lang w:val="en-CA"/>
        </w:rPr>
        <w:t xml:space="preserve">not </w:t>
      </w:r>
      <w:r w:rsidR="0095472D">
        <w:rPr>
          <w:lang w:val="en-CA"/>
        </w:rPr>
        <w:t xml:space="preserve">provide </w:t>
      </w:r>
      <w:r w:rsidRPr="00E60984">
        <w:rPr>
          <w:lang w:val="en-CA"/>
        </w:rPr>
        <w:t xml:space="preserve">absolute </w:t>
      </w:r>
      <w:r w:rsidR="0095472D">
        <w:rPr>
          <w:lang w:val="en-CA"/>
        </w:rPr>
        <w:t xml:space="preserve">protection </w:t>
      </w:r>
      <w:r w:rsidRPr="00E60984">
        <w:rPr>
          <w:lang w:val="en-CA"/>
        </w:rPr>
        <w:t>against all uses of information that has been compelled by statute or otherwise.</w:t>
      </w:r>
      <w:r w:rsidR="00DE2A80" w:rsidRPr="00E60984">
        <w:rPr>
          <w:lang w:val="en-CA"/>
        </w:rPr>
        <w:t xml:space="preserve"> </w:t>
      </w:r>
      <w:r w:rsidRPr="00E60984">
        <w:rPr>
          <w:lang w:val="en-CA"/>
        </w:rPr>
        <w:t xml:space="preserve">Therefore, one should not automatically accept that section 7 of the </w:t>
      </w:r>
      <w:r w:rsidRPr="00E60984">
        <w:rPr>
          <w:i/>
          <w:lang w:val="en-CA"/>
        </w:rPr>
        <w:t>Canadian Charter</w:t>
      </w:r>
      <w:r w:rsidRPr="00E60984">
        <w:rPr>
          <w:lang w:val="en-CA"/>
        </w:rPr>
        <w:t xml:space="preserve"> comprises a broad right against self-incrimination on an abstract level.</w:t>
      </w:r>
      <w:r w:rsidRPr="00E60984">
        <w:rPr>
          <w:rStyle w:val="Appelnotedebasdep"/>
          <w:lang w:val="en-CA"/>
        </w:rPr>
        <w:footnoteReference w:id="116"/>
      </w:r>
    </w:p>
    <w:p w14:paraId="21E307C1" w14:textId="1996DD27" w:rsidR="00A17C43" w:rsidRPr="00E60984" w:rsidRDefault="004223A3" w:rsidP="005F15BF">
      <w:pPr>
        <w:pStyle w:val="Paragraphe"/>
        <w:spacing w:line="240" w:lineRule="auto"/>
        <w:rPr>
          <w:lang w:val="en-CA"/>
        </w:rPr>
      </w:pPr>
      <w:r>
        <w:rPr>
          <w:lang w:val="en-CA"/>
        </w:rPr>
        <w:t>Thus</w:t>
      </w:r>
      <w:r w:rsidR="00CC634D" w:rsidRPr="00E60984">
        <w:rPr>
          <w:lang w:val="en-CA"/>
        </w:rPr>
        <w:t>, the legislat</w:t>
      </w:r>
      <w:r w:rsidR="0087677B">
        <w:rPr>
          <w:lang w:val="en-CA"/>
        </w:rPr>
        <w:t>u</w:t>
      </w:r>
      <w:r w:rsidR="00CC634D" w:rsidRPr="00E60984">
        <w:rPr>
          <w:lang w:val="en-CA"/>
        </w:rPr>
        <w:t>r</w:t>
      </w:r>
      <w:r w:rsidR="0087677B">
        <w:rPr>
          <w:lang w:val="en-CA"/>
        </w:rPr>
        <w:t>e</w:t>
      </w:r>
      <w:r w:rsidR="00CC634D" w:rsidRPr="00E60984">
        <w:rPr>
          <w:lang w:val="en-CA"/>
        </w:rPr>
        <w:t xml:space="preserve"> has included obligations in certain statutes for individuals to account for their activities when th</w:t>
      </w:r>
      <w:r>
        <w:rPr>
          <w:lang w:val="en-CA"/>
        </w:rPr>
        <w:t>ose activities</w:t>
      </w:r>
      <w:r w:rsidR="00CC634D" w:rsidRPr="00E60984">
        <w:rPr>
          <w:lang w:val="en-CA"/>
        </w:rPr>
        <w:t xml:space="preserve"> are regulated by the state.</w:t>
      </w:r>
      <w:r w:rsidR="00DE2A80" w:rsidRPr="00E60984">
        <w:rPr>
          <w:lang w:val="en-CA"/>
        </w:rPr>
        <w:t xml:space="preserve"> </w:t>
      </w:r>
      <w:r w:rsidR="00CC634D" w:rsidRPr="00E60984">
        <w:rPr>
          <w:lang w:val="en-CA"/>
        </w:rPr>
        <w:t>In most cases, individuals may not refuse to account according to law by raising an abstract right against self-incrimination.</w:t>
      </w:r>
      <w:r w:rsidR="00DE2A80" w:rsidRPr="00E60984">
        <w:rPr>
          <w:lang w:val="en-CA"/>
        </w:rPr>
        <w:t xml:space="preserve"> </w:t>
      </w:r>
      <w:r w:rsidR="0087677B">
        <w:rPr>
          <w:lang w:val="en-CA"/>
        </w:rPr>
        <w:t>T</w:t>
      </w:r>
      <w:r w:rsidR="00CC634D" w:rsidRPr="00E60984">
        <w:rPr>
          <w:lang w:val="en-CA"/>
        </w:rPr>
        <w:t>he question</w:t>
      </w:r>
      <w:r>
        <w:rPr>
          <w:lang w:val="en-CA"/>
        </w:rPr>
        <w:t>, however,</w:t>
      </w:r>
      <w:r w:rsidR="00CC634D" w:rsidRPr="00E60984">
        <w:rPr>
          <w:lang w:val="en-CA"/>
        </w:rPr>
        <w:t xml:space="preserve"> </w:t>
      </w:r>
      <w:r>
        <w:rPr>
          <w:lang w:val="en-CA"/>
        </w:rPr>
        <w:t xml:space="preserve">then becomes </w:t>
      </w:r>
      <w:r w:rsidR="00CC634D" w:rsidRPr="00E60984">
        <w:rPr>
          <w:lang w:val="en-CA"/>
        </w:rPr>
        <w:t>whether these accounts are admissible in criminal proceedings.</w:t>
      </w:r>
      <w:r w:rsidR="00DE2A80" w:rsidRPr="00E60984">
        <w:rPr>
          <w:lang w:val="en-CA"/>
        </w:rPr>
        <w:t xml:space="preserve"> </w:t>
      </w:r>
      <w:r w:rsidR="00CC634D" w:rsidRPr="00E60984">
        <w:rPr>
          <w:lang w:val="en-CA"/>
        </w:rPr>
        <w:t>Depending on the circumstances, the courts have admitted certain types of mandatory accounts during a criminal trial and excluded them at other times.</w:t>
      </w:r>
      <w:r w:rsidR="00CC634D" w:rsidRPr="00E60984">
        <w:rPr>
          <w:rStyle w:val="Appelnotedebasdep"/>
          <w:lang w:val="en-CA"/>
        </w:rPr>
        <w:footnoteReference w:id="117"/>
      </w:r>
      <w:r w:rsidR="00DE2A80" w:rsidRPr="00E60984">
        <w:rPr>
          <w:lang w:val="en-CA"/>
        </w:rPr>
        <w:t xml:space="preserve"> </w:t>
      </w:r>
    </w:p>
    <w:p w14:paraId="1DAD2A84" w14:textId="4EA62E2C" w:rsidR="00A17C43" w:rsidRPr="00E60984" w:rsidRDefault="00CC634D" w:rsidP="005F15BF">
      <w:pPr>
        <w:pStyle w:val="Paragraphe"/>
        <w:spacing w:line="240" w:lineRule="auto"/>
        <w:rPr>
          <w:lang w:val="en-CA"/>
        </w:rPr>
      </w:pPr>
      <w:r w:rsidRPr="00E60984">
        <w:rPr>
          <w:lang w:val="en-CA"/>
        </w:rPr>
        <w:t>In other words, while the common law rule allows, in principle, any individual to refuse to give oral or written statements to the police that incriminate them in a criminal proceeding,</w:t>
      </w:r>
      <w:r w:rsidRPr="00E60984">
        <w:rPr>
          <w:rStyle w:val="Appelnotedebasdep"/>
          <w:lang w:val="en-CA"/>
        </w:rPr>
        <w:footnoteReference w:id="118"/>
      </w:r>
      <w:r w:rsidRPr="00E60984">
        <w:rPr>
          <w:lang w:val="en-CA"/>
        </w:rPr>
        <w:t xml:space="preserve"> the application of this rule is highly complex when a law compels an individual to make a statement.</w:t>
      </w:r>
      <w:r w:rsidR="00DE2A80" w:rsidRPr="00E60984">
        <w:rPr>
          <w:lang w:val="en-CA"/>
        </w:rPr>
        <w:t xml:space="preserve"> </w:t>
      </w:r>
    </w:p>
    <w:p w14:paraId="1744D4A9" w14:textId="3C56DFE5" w:rsidR="00A17C43" w:rsidRPr="00E60984" w:rsidRDefault="00CC634D" w:rsidP="005F15BF">
      <w:pPr>
        <w:pStyle w:val="Paragraphe"/>
        <w:spacing w:line="240" w:lineRule="auto"/>
        <w:rPr>
          <w:lang w:val="en-CA"/>
        </w:rPr>
      </w:pPr>
      <w:r w:rsidRPr="00E60984">
        <w:rPr>
          <w:lang w:val="en-CA"/>
        </w:rPr>
        <w:t xml:space="preserve">The situation is not the same, however, when the individual in question is the </w:t>
      </w:r>
      <w:r w:rsidR="0087677B">
        <w:rPr>
          <w:lang w:val="en-CA"/>
        </w:rPr>
        <w:t xml:space="preserve">very </w:t>
      </w:r>
      <w:r w:rsidRPr="00E60984">
        <w:rPr>
          <w:lang w:val="en-CA"/>
        </w:rPr>
        <w:t>subject of a criminal investigation</w:t>
      </w:r>
      <w:r w:rsidR="0087677B">
        <w:rPr>
          <w:lang w:val="en-CA"/>
        </w:rPr>
        <w:t>,</w:t>
      </w:r>
      <w:r w:rsidRPr="00E60984">
        <w:rPr>
          <w:lang w:val="en-CA"/>
        </w:rPr>
        <w:t xml:space="preserve"> because the relationship between the state and the individual is</w:t>
      </w:r>
      <w:r w:rsidR="00C45A7B">
        <w:rPr>
          <w:lang w:val="en-CA"/>
        </w:rPr>
        <w:t xml:space="preserve"> then</w:t>
      </w:r>
      <w:r w:rsidRPr="00E60984">
        <w:rPr>
          <w:lang w:val="en-CA"/>
        </w:rPr>
        <w:t xml:space="preserve"> aimed at </w:t>
      </w:r>
      <w:r w:rsidR="00A75812" w:rsidRPr="00E60984">
        <w:rPr>
          <w:lang w:val="en-CA"/>
        </w:rPr>
        <w:t xml:space="preserve">potentially </w:t>
      </w:r>
      <w:r w:rsidRPr="00E60984">
        <w:rPr>
          <w:lang w:val="en-CA"/>
        </w:rPr>
        <w:t>depriving the individual of liberty.</w:t>
      </w:r>
      <w:r w:rsidR="00DE2A80" w:rsidRPr="00E60984">
        <w:rPr>
          <w:lang w:val="en-CA"/>
        </w:rPr>
        <w:t xml:space="preserve"> </w:t>
      </w:r>
      <w:r w:rsidRPr="00E60984">
        <w:rPr>
          <w:lang w:val="en-CA"/>
        </w:rPr>
        <w:t xml:space="preserve">In </w:t>
      </w:r>
      <w:r w:rsidRPr="00E60984">
        <w:rPr>
          <w:i/>
          <w:lang w:val="en-CA"/>
        </w:rPr>
        <w:t>R. v. Jarvis</w:t>
      </w:r>
      <w:r w:rsidRPr="00E60984">
        <w:rPr>
          <w:lang w:val="en-CA"/>
        </w:rPr>
        <w:t>,</w:t>
      </w:r>
      <w:r w:rsidRPr="00E60984">
        <w:rPr>
          <w:rStyle w:val="Appelnotedebasdep"/>
          <w:lang w:val="en-CA"/>
        </w:rPr>
        <w:footnoteReference w:id="119"/>
      </w:r>
      <w:r w:rsidRPr="00E60984">
        <w:rPr>
          <w:lang w:val="en-CA"/>
        </w:rPr>
        <w:t xml:space="preserve"> the Supreme Court stated that “where the predominant purpose of a particular inquiry is the determination of penal liability, </w:t>
      </w:r>
      <w:r w:rsidRPr="00E60984">
        <w:rPr>
          <w:rFonts w:cs="Arial"/>
          <w:lang w:val="en-CA"/>
        </w:rPr>
        <w:t>[state]</w:t>
      </w:r>
      <w:r w:rsidRPr="00E60984">
        <w:rPr>
          <w:lang w:val="en-CA"/>
        </w:rPr>
        <w:t xml:space="preserve"> officials must relinquish the authority to use the inspection and requirement powers”.</w:t>
      </w:r>
      <w:r w:rsidRPr="00E60984">
        <w:rPr>
          <w:rStyle w:val="Appelnotedebasdep"/>
          <w:lang w:val="en-CA"/>
        </w:rPr>
        <w:footnoteReference w:id="120"/>
      </w:r>
      <w:r w:rsidR="00DE2A80" w:rsidRPr="00E60984">
        <w:rPr>
          <w:lang w:val="en-CA"/>
        </w:rPr>
        <w:t xml:space="preserve"> </w:t>
      </w:r>
    </w:p>
    <w:p w14:paraId="469F0E8B" w14:textId="692420BA" w:rsidR="00A17C43" w:rsidRPr="00E60984" w:rsidRDefault="00CC634D" w:rsidP="005F15BF">
      <w:pPr>
        <w:pStyle w:val="Paragraphe"/>
        <w:spacing w:line="240" w:lineRule="auto"/>
        <w:rPr>
          <w:lang w:val="en-CA"/>
        </w:rPr>
      </w:pPr>
      <w:r w:rsidRPr="00E60984">
        <w:rPr>
          <w:lang w:val="en-CA"/>
        </w:rPr>
        <w:lastRenderedPageBreak/>
        <w:t xml:space="preserve">The question that often arises in such cases is at what point is the </w:t>
      </w:r>
      <w:r w:rsidR="00A75812">
        <w:rPr>
          <w:lang w:val="en-CA"/>
        </w:rPr>
        <w:t xml:space="preserve">line </w:t>
      </w:r>
      <w:r w:rsidRPr="00E60984">
        <w:rPr>
          <w:lang w:val="en-CA"/>
        </w:rPr>
        <w:t>between the administrative investigation and the criminal investigation crossed.</w:t>
      </w:r>
      <w:r w:rsidR="00DE2A80" w:rsidRPr="00E60984">
        <w:rPr>
          <w:lang w:val="en-CA"/>
        </w:rPr>
        <w:t xml:space="preserve"> </w:t>
      </w:r>
      <w:r w:rsidRPr="00E60984">
        <w:rPr>
          <w:lang w:val="en-CA"/>
        </w:rPr>
        <w:t xml:space="preserve">This </w:t>
      </w:r>
      <w:r w:rsidR="00A75812">
        <w:rPr>
          <w:lang w:val="en-CA"/>
        </w:rPr>
        <w:t xml:space="preserve">line </w:t>
      </w:r>
      <w:r w:rsidRPr="00E60984">
        <w:rPr>
          <w:lang w:val="en-CA"/>
        </w:rPr>
        <w:t>is generally established when the state agents reasonably believe that an offence has been committed, but this last requirement is not necessarily determinative.</w:t>
      </w:r>
      <w:r w:rsidR="00DE2A80" w:rsidRPr="00E60984">
        <w:rPr>
          <w:lang w:val="en-CA"/>
        </w:rPr>
        <w:t xml:space="preserve"> </w:t>
      </w:r>
      <w:r w:rsidRPr="00E60984">
        <w:rPr>
          <w:lang w:val="en-CA"/>
        </w:rPr>
        <w:t>All the circumstances must also be considered, including whether the state conduct suggests that they are pursuing a criminal investigation or an administrative one and whether the evidence sought during the investigation is relevant to an administrative or a criminal investigation.</w:t>
      </w:r>
      <w:r w:rsidRPr="00E60984">
        <w:rPr>
          <w:rStyle w:val="Appelnotedebasdep"/>
          <w:lang w:val="en-CA"/>
        </w:rPr>
        <w:footnoteReference w:id="121"/>
      </w:r>
      <w:r w:rsidR="00DE2A80" w:rsidRPr="00E60984">
        <w:rPr>
          <w:lang w:val="en-CA"/>
        </w:rPr>
        <w:t xml:space="preserve"> </w:t>
      </w:r>
    </w:p>
    <w:p w14:paraId="5EFDB858" w14:textId="73A44FE1" w:rsidR="00A17C43" w:rsidRPr="00E60984" w:rsidRDefault="00CC634D" w:rsidP="005F15BF">
      <w:pPr>
        <w:pStyle w:val="Paragraphe"/>
        <w:spacing w:line="240" w:lineRule="auto"/>
        <w:rPr>
          <w:lang w:val="en-CA"/>
        </w:rPr>
      </w:pPr>
      <w:r w:rsidRPr="00E60984">
        <w:rPr>
          <w:lang w:val="en-CA"/>
        </w:rPr>
        <w:t>What is the case here?</w:t>
      </w:r>
    </w:p>
    <w:p w14:paraId="4695FD9B" w14:textId="2703D00E" w:rsidR="00A17C43" w:rsidRPr="00E60984" w:rsidRDefault="00CC634D" w:rsidP="005F15BF">
      <w:pPr>
        <w:pStyle w:val="Paragraphe"/>
        <w:spacing w:line="240" w:lineRule="auto"/>
        <w:rPr>
          <w:lang w:val="en-CA"/>
        </w:rPr>
      </w:pPr>
      <w:r w:rsidRPr="00E60984">
        <w:rPr>
          <w:lang w:val="en-CA"/>
        </w:rPr>
        <w:t xml:space="preserve">There is no doubt that police officers must draw up an account of an occurrence, even if the police officer is involved within the meaning of the </w:t>
      </w:r>
      <w:r w:rsidRPr="00E60984">
        <w:rPr>
          <w:i/>
          <w:lang w:val="en-CA"/>
        </w:rPr>
        <w:t>Regulation</w:t>
      </w:r>
      <w:r w:rsidRPr="00E60984">
        <w:rPr>
          <w:lang w:val="en-CA"/>
        </w:rPr>
        <w:t>.</w:t>
      </w:r>
      <w:r w:rsidR="00DE2A80" w:rsidRPr="00E60984">
        <w:rPr>
          <w:lang w:val="en-CA"/>
        </w:rPr>
        <w:t xml:space="preserve"> </w:t>
      </w:r>
      <w:r w:rsidRPr="00E60984">
        <w:rPr>
          <w:lang w:val="en-CA"/>
        </w:rPr>
        <w:t xml:space="preserve">As </w:t>
      </w:r>
      <w:proofErr w:type="spellStart"/>
      <w:r w:rsidRPr="00E60984">
        <w:rPr>
          <w:lang w:val="en-CA"/>
        </w:rPr>
        <w:t>Mo</w:t>
      </w:r>
      <w:r w:rsidR="00E15691" w:rsidRPr="00E60984">
        <w:rPr>
          <w:lang w:val="en-CA"/>
        </w:rPr>
        <w:t>l</w:t>
      </w:r>
      <w:r w:rsidRPr="00E60984">
        <w:rPr>
          <w:lang w:val="en-CA"/>
        </w:rPr>
        <w:t>daver</w:t>
      </w:r>
      <w:proofErr w:type="spellEnd"/>
      <w:r w:rsidRPr="00E60984">
        <w:rPr>
          <w:lang w:val="en-CA"/>
        </w:rPr>
        <w:t xml:space="preserve"> J. </w:t>
      </w:r>
      <w:r w:rsidR="00D41635">
        <w:rPr>
          <w:lang w:val="en-CA"/>
        </w:rPr>
        <w:t>noted</w:t>
      </w:r>
      <w:r w:rsidR="00D41635" w:rsidRPr="00E60984">
        <w:rPr>
          <w:lang w:val="en-CA"/>
        </w:rPr>
        <w:t xml:space="preserve"> </w:t>
      </w:r>
      <w:r w:rsidRPr="00E60984">
        <w:rPr>
          <w:lang w:val="en-CA"/>
        </w:rPr>
        <w:t xml:space="preserve">in </w:t>
      </w:r>
      <w:r w:rsidRPr="00E60984">
        <w:rPr>
          <w:i/>
          <w:lang w:val="en-CA"/>
        </w:rPr>
        <w:t>Wood v. Schaeffer</w:t>
      </w:r>
      <w:r w:rsidRPr="00E60984">
        <w:rPr>
          <w:lang w:val="en-CA"/>
        </w:rPr>
        <w:t>, “such a duty to prepare notes is, at a minimum, implicit in an officer’s duty to assist in the laying of charges and in prosecutions”.</w:t>
      </w:r>
      <w:r w:rsidRPr="00E60984">
        <w:rPr>
          <w:rStyle w:val="Appelnotedebasdep"/>
          <w:lang w:val="en-CA"/>
        </w:rPr>
        <w:footnoteReference w:id="122"/>
      </w:r>
      <w:r w:rsidR="00DE2A80" w:rsidRPr="00E60984">
        <w:rPr>
          <w:lang w:val="en-CA"/>
        </w:rPr>
        <w:t xml:space="preserve"> </w:t>
      </w:r>
      <w:r w:rsidRPr="00E60984">
        <w:rPr>
          <w:lang w:val="en-CA"/>
        </w:rPr>
        <w:t>That being so, because the BEI investigation is a criminal one in that its purpose is to determine whether criminal charges should be laid against the police officer involved, the officer’s obligation to draw up an account must be reconciled with their right to silence during a criminal investigation that directly concerns the</w:t>
      </w:r>
      <w:r w:rsidR="00D41635">
        <w:rPr>
          <w:lang w:val="en-CA"/>
        </w:rPr>
        <w:t>m</w:t>
      </w:r>
      <w:r w:rsidRPr="00E60984">
        <w:rPr>
          <w:lang w:val="en-CA"/>
        </w:rPr>
        <w:t>.</w:t>
      </w:r>
    </w:p>
    <w:p w14:paraId="032F03E5" w14:textId="18C87A81" w:rsidR="00A17C43" w:rsidRPr="00E60984" w:rsidRDefault="00CC634D" w:rsidP="005F15BF">
      <w:pPr>
        <w:pStyle w:val="Paragraphe"/>
        <w:spacing w:line="240" w:lineRule="auto"/>
        <w:rPr>
          <w:lang w:val="en-CA"/>
        </w:rPr>
      </w:pPr>
      <w:r w:rsidRPr="00E60984">
        <w:rPr>
          <w:lang w:val="en-CA"/>
        </w:rPr>
        <w:t xml:space="preserve">Here, contrary to the situation in </w:t>
      </w:r>
      <w:r w:rsidRPr="00E60984">
        <w:rPr>
          <w:i/>
          <w:lang w:val="en-CA"/>
        </w:rPr>
        <w:t>R. v. White</w:t>
      </w:r>
      <w:r w:rsidRPr="00E60984">
        <w:rPr>
          <w:lang w:val="en-CA"/>
        </w:rPr>
        <w:t xml:space="preserve">, the </w:t>
      </w:r>
      <w:r w:rsidRPr="00E60984">
        <w:rPr>
          <w:i/>
          <w:lang w:val="en-CA"/>
        </w:rPr>
        <w:t>Regulation</w:t>
      </w:r>
      <w:r w:rsidRPr="00E60984">
        <w:rPr>
          <w:lang w:val="en-CA"/>
        </w:rPr>
        <w:t xml:space="preserve"> </w:t>
      </w:r>
      <w:r w:rsidR="003E543D">
        <w:rPr>
          <w:lang w:val="en-CA"/>
        </w:rPr>
        <w:t>requires</w:t>
      </w:r>
      <w:r w:rsidRPr="00E60984">
        <w:rPr>
          <w:lang w:val="en-CA"/>
        </w:rPr>
        <w:t xml:space="preserve"> the police officer involved to draw up an account in the context of a police investigation whose ultimate purpose is precisely to de</w:t>
      </w:r>
      <w:r w:rsidR="003E543D">
        <w:rPr>
          <w:lang w:val="en-CA"/>
        </w:rPr>
        <w:t>cide</w:t>
      </w:r>
      <w:r w:rsidRPr="00E60984">
        <w:rPr>
          <w:lang w:val="en-CA"/>
        </w:rPr>
        <w:t xml:space="preserve"> whether criminal proceedings should be brought against the officer.</w:t>
      </w:r>
      <w:r w:rsidR="00DE2A80" w:rsidRPr="00E60984">
        <w:rPr>
          <w:lang w:val="en-CA"/>
        </w:rPr>
        <w:t xml:space="preserve"> </w:t>
      </w:r>
      <w:r w:rsidRPr="00E60984">
        <w:rPr>
          <w:lang w:val="en-CA"/>
        </w:rPr>
        <w:t xml:space="preserve">Even though the Supreme Court acknowledged in </w:t>
      </w:r>
      <w:r w:rsidRPr="00E60984">
        <w:rPr>
          <w:i/>
          <w:lang w:val="en-CA"/>
        </w:rPr>
        <w:t>Wood v. Schaeffer</w:t>
      </w:r>
      <w:r w:rsidRPr="00E60984">
        <w:rPr>
          <w:rStyle w:val="Appelnotedebasdep"/>
          <w:lang w:val="en-CA"/>
        </w:rPr>
        <w:footnoteReference w:id="123"/>
      </w:r>
      <w:r w:rsidRPr="00E60984">
        <w:rPr>
          <w:lang w:val="en-CA"/>
        </w:rPr>
        <w:t xml:space="preserve"> that a province may impose this obligation on a police officer, it was in the context of a provincial regulation prohibiting the </w:t>
      </w:r>
      <w:r w:rsidR="003E543D">
        <w:rPr>
          <w:lang w:val="en-CA"/>
        </w:rPr>
        <w:t xml:space="preserve">account of the </w:t>
      </w:r>
      <w:r w:rsidRPr="00E60984">
        <w:rPr>
          <w:lang w:val="en-CA"/>
        </w:rPr>
        <w:t>police officer involved</w:t>
      </w:r>
      <w:r w:rsidR="003E543D">
        <w:rPr>
          <w:lang w:val="en-CA"/>
        </w:rPr>
        <w:t xml:space="preserve"> </w:t>
      </w:r>
      <w:r w:rsidRPr="00E60984">
        <w:rPr>
          <w:lang w:val="en-CA"/>
        </w:rPr>
        <w:t>from being submitted to the investigators</w:t>
      </w:r>
      <w:r w:rsidR="003E543D">
        <w:rPr>
          <w:lang w:val="en-CA"/>
        </w:rPr>
        <w:t xml:space="preserve"> and</w:t>
      </w:r>
      <w:r w:rsidRPr="00E60984">
        <w:rPr>
          <w:lang w:val="en-CA"/>
        </w:rPr>
        <w:t xml:space="preserve"> where the constitutional validity of this </w:t>
      </w:r>
      <w:r w:rsidR="00E15691" w:rsidRPr="00E60984">
        <w:rPr>
          <w:lang w:val="en-CA"/>
        </w:rPr>
        <w:t>obligation</w:t>
      </w:r>
      <w:r w:rsidRPr="00E60984">
        <w:rPr>
          <w:lang w:val="en-CA"/>
        </w:rPr>
        <w:t xml:space="preserve"> was not questioned.</w:t>
      </w:r>
    </w:p>
    <w:p w14:paraId="3DB520D6" w14:textId="14190D77" w:rsidR="00A17C43" w:rsidRPr="00E60984" w:rsidRDefault="00CC634D" w:rsidP="005F15BF">
      <w:pPr>
        <w:pStyle w:val="Paragraphe"/>
        <w:spacing w:line="240" w:lineRule="auto"/>
        <w:rPr>
          <w:lang w:val="en-CA"/>
        </w:rPr>
      </w:pPr>
      <w:r w:rsidRPr="00E60984">
        <w:rPr>
          <w:lang w:val="en-CA"/>
        </w:rPr>
        <w:t xml:space="preserve">While it is indisputable that a police officer involved has a professional duty to draw up an account of the occurrence, I am nevertheless of the view that the officer should not </w:t>
      </w:r>
      <w:r w:rsidR="003E543D">
        <w:rPr>
          <w:lang w:val="en-CA"/>
        </w:rPr>
        <w:t xml:space="preserve">be required </w:t>
      </w:r>
      <w:r w:rsidRPr="00E60984">
        <w:rPr>
          <w:lang w:val="en-CA"/>
        </w:rPr>
        <w:t>to submit their report to the BEI, even though the officer may do so voluntarily.</w:t>
      </w:r>
      <w:r w:rsidR="00DE2A80" w:rsidRPr="00E60984">
        <w:rPr>
          <w:lang w:val="en-CA"/>
        </w:rPr>
        <w:t xml:space="preserve"> </w:t>
      </w:r>
      <w:r w:rsidRPr="00E60984">
        <w:rPr>
          <w:lang w:val="en-CA"/>
        </w:rPr>
        <w:t xml:space="preserve">To decide otherwise would be to ignore the constitutional rights of the police officer involved as an individual who is </w:t>
      </w:r>
      <w:r w:rsidR="00A40B3A">
        <w:rPr>
          <w:lang w:val="en-CA"/>
        </w:rPr>
        <w:t xml:space="preserve">under </w:t>
      </w:r>
      <w:r w:rsidRPr="00E60984">
        <w:rPr>
          <w:lang w:val="en-CA"/>
        </w:rPr>
        <w:t>criminal investigation.</w:t>
      </w:r>
      <w:r w:rsidR="00DE2A80" w:rsidRPr="00E60984">
        <w:rPr>
          <w:lang w:val="en-CA"/>
        </w:rPr>
        <w:t xml:space="preserve"> </w:t>
      </w:r>
      <w:r w:rsidRPr="00E60984">
        <w:rPr>
          <w:lang w:val="en-CA"/>
        </w:rPr>
        <w:t xml:space="preserve">This is the appropriate way to reconcile </w:t>
      </w:r>
      <w:r w:rsidR="00A40B3A">
        <w:rPr>
          <w:lang w:val="en-CA"/>
        </w:rPr>
        <w:t xml:space="preserve">both </w:t>
      </w:r>
      <w:r w:rsidRPr="00E60984">
        <w:rPr>
          <w:lang w:val="en-CA"/>
        </w:rPr>
        <w:t xml:space="preserve">the professional duties of the police officer involved in an occurrence that potentially </w:t>
      </w:r>
      <w:r w:rsidR="009719B4">
        <w:rPr>
          <w:lang w:val="en-CA"/>
        </w:rPr>
        <w:t xml:space="preserve">incurs </w:t>
      </w:r>
      <w:r w:rsidRPr="00E60984">
        <w:rPr>
          <w:lang w:val="en-CA"/>
        </w:rPr>
        <w:t>the officer’s criminal responsibility and their constitutional rights during a criminal investigation that directly concerns them.</w:t>
      </w:r>
      <w:r w:rsidR="00DE2A80" w:rsidRPr="00E60984">
        <w:rPr>
          <w:lang w:val="en-CA"/>
        </w:rPr>
        <w:t xml:space="preserve"> </w:t>
      </w:r>
      <w:r w:rsidRPr="00E60984">
        <w:rPr>
          <w:lang w:val="en-CA"/>
        </w:rPr>
        <w:t xml:space="preserve">As Lamer C.J. stated in </w:t>
      </w:r>
      <w:r w:rsidRPr="00E60984">
        <w:rPr>
          <w:i/>
          <w:lang w:val="en-CA"/>
        </w:rPr>
        <w:t>R. v. Jones</w:t>
      </w:r>
      <w:r w:rsidRPr="00E60984">
        <w:rPr>
          <w:lang w:val="en-CA"/>
        </w:rPr>
        <w:t>:</w:t>
      </w:r>
      <w:r w:rsidRPr="00E60984">
        <w:rPr>
          <w:rStyle w:val="Appelnotedebasdep"/>
          <w:lang w:val="en-CA"/>
        </w:rPr>
        <w:footnoteReference w:id="124"/>
      </w:r>
    </w:p>
    <w:p w14:paraId="68B997DF" w14:textId="3C19227F" w:rsidR="00A17C43" w:rsidRPr="00E60984" w:rsidRDefault="00CC634D" w:rsidP="005F15BF">
      <w:pPr>
        <w:pStyle w:val="Citationenretrait"/>
        <w:spacing w:line="240" w:lineRule="auto"/>
        <w:rPr>
          <w:lang w:val="en-CA"/>
        </w:rPr>
      </w:pPr>
      <w:r w:rsidRPr="00E60984">
        <w:rPr>
          <w:lang w:val="en-CA"/>
        </w:rPr>
        <w:lastRenderedPageBreak/>
        <w:t>Any state action that coerces an individual to furnish evidence against him- or herself in a proceeding in which the individual and the state are adversaries violates the principle against self-incrimination.</w:t>
      </w:r>
      <w:r w:rsidR="00DE2A80" w:rsidRPr="00E60984">
        <w:rPr>
          <w:lang w:val="en-CA"/>
        </w:rPr>
        <w:t xml:space="preserve"> </w:t>
      </w:r>
      <w:r w:rsidRPr="00E60984">
        <w:rPr>
          <w:lang w:val="en-CA"/>
        </w:rPr>
        <w:t>Coercion, it should be noted, means the denial of free and informed consent.</w:t>
      </w:r>
    </w:p>
    <w:p w14:paraId="33042698" w14:textId="7D4F9DE6" w:rsidR="00A17C43" w:rsidRPr="00E60984" w:rsidRDefault="00CC634D" w:rsidP="00532B93">
      <w:pPr>
        <w:pStyle w:val="Paragraphe"/>
        <w:spacing w:before="240" w:line="240" w:lineRule="auto"/>
        <w:rPr>
          <w:lang w:val="en-CA"/>
        </w:rPr>
      </w:pPr>
      <w:r w:rsidRPr="00E60984">
        <w:rPr>
          <w:lang w:val="en-CA"/>
        </w:rPr>
        <w:t xml:space="preserve">It is </w:t>
      </w:r>
      <w:r w:rsidR="009719B4">
        <w:rPr>
          <w:lang w:val="en-CA"/>
        </w:rPr>
        <w:t>not insignificant</w:t>
      </w:r>
      <w:r w:rsidR="009719B4" w:rsidRPr="00E60984">
        <w:rPr>
          <w:lang w:val="en-CA"/>
        </w:rPr>
        <w:t xml:space="preserve"> </w:t>
      </w:r>
      <w:r w:rsidRPr="00E60984">
        <w:rPr>
          <w:lang w:val="en-CA"/>
        </w:rPr>
        <w:t>to note that it was this reconciliation of rights that was adopted in other provincial laws in Canada concerning investigations similar to those conducted by the BEI. I will return to this.</w:t>
      </w:r>
    </w:p>
    <w:p w14:paraId="4149743A" w14:textId="6C8D734D" w:rsidR="00A17C43" w:rsidRPr="00E60984" w:rsidRDefault="00CC634D" w:rsidP="00532B93">
      <w:pPr>
        <w:pStyle w:val="Paragraphe"/>
        <w:numPr>
          <w:ilvl w:val="0"/>
          <w:numId w:val="0"/>
        </w:numPr>
        <w:spacing w:before="240" w:line="240" w:lineRule="auto"/>
        <w:ind w:left="720"/>
        <w:rPr>
          <w:i/>
          <w:iCs/>
          <w:u w:val="single"/>
          <w:lang w:val="en-CA"/>
        </w:rPr>
      </w:pPr>
      <w:r w:rsidRPr="00E60984">
        <w:rPr>
          <w:i/>
          <w:iCs/>
          <w:u w:val="single"/>
          <w:lang w:val="en-CA"/>
        </w:rPr>
        <w:t>Caution to the police officer involved during meetings with BEI investigators</w:t>
      </w:r>
    </w:p>
    <w:p w14:paraId="39FCBB33" w14:textId="05312F4C" w:rsidR="00A17C43" w:rsidRPr="00E60984" w:rsidRDefault="00CF06B4" w:rsidP="005F15BF">
      <w:pPr>
        <w:pStyle w:val="Paragraphe"/>
        <w:spacing w:line="240" w:lineRule="auto"/>
        <w:rPr>
          <w:lang w:val="en-CA"/>
        </w:rPr>
      </w:pPr>
      <w:r>
        <w:rPr>
          <w:lang w:val="en-CA"/>
        </w:rPr>
        <w:t>Pursuant to</w:t>
      </w:r>
      <w:r w:rsidR="00CC634D" w:rsidRPr="00E60984">
        <w:rPr>
          <w:lang w:val="en-CA"/>
        </w:rPr>
        <w:t xml:space="preserve"> subparagraph </w:t>
      </w:r>
      <w:r>
        <w:rPr>
          <w:lang w:val="en-CA"/>
        </w:rPr>
        <w:t>(</w:t>
      </w:r>
      <w:r w:rsidR="00CC634D" w:rsidRPr="00E60984">
        <w:rPr>
          <w:lang w:val="en-CA"/>
        </w:rPr>
        <w:t>3</w:t>
      </w:r>
      <w:r>
        <w:rPr>
          <w:lang w:val="en-CA"/>
        </w:rPr>
        <w:t>)</w:t>
      </w:r>
      <w:r w:rsidR="00CC634D" w:rsidRPr="00E60984">
        <w:rPr>
          <w:lang w:val="en-CA"/>
        </w:rPr>
        <w:t xml:space="preserve"> of the first paragraph of section 1 of the </w:t>
      </w:r>
      <w:r w:rsidR="00CC634D" w:rsidRPr="00E60984">
        <w:rPr>
          <w:i/>
          <w:lang w:val="en-CA"/>
        </w:rPr>
        <w:t>Regulation</w:t>
      </w:r>
      <w:r w:rsidR="00CC634D" w:rsidRPr="00E60984">
        <w:rPr>
          <w:lang w:val="en-CA"/>
        </w:rPr>
        <w:t>, the police officer involved must meet with BEI investigators.</w:t>
      </w:r>
      <w:r w:rsidR="00DE2A80" w:rsidRPr="00E60984">
        <w:rPr>
          <w:lang w:val="en-CA"/>
        </w:rPr>
        <w:t xml:space="preserve"> </w:t>
      </w:r>
      <w:r w:rsidR="00CC634D" w:rsidRPr="00E60984">
        <w:rPr>
          <w:lang w:val="en-CA"/>
        </w:rPr>
        <w:t xml:space="preserve">However, while acknowledging that the police officer involved </w:t>
      </w:r>
      <w:r w:rsidR="00A40B3A">
        <w:rPr>
          <w:lang w:val="en-CA"/>
        </w:rPr>
        <w:t xml:space="preserve">does not have to </w:t>
      </w:r>
      <w:r w:rsidR="00CC634D" w:rsidRPr="00E60984">
        <w:rPr>
          <w:lang w:val="en-CA"/>
        </w:rPr>
        <w:t xml:space="preserve">answer the BEI investigators’ questions, the AGQ argues that the investigators </w:t>
      </w:r>
      <w:r w:rsidR="00A40B3A">
        <w:rPr>
          <w:lang w:val="en-CA"/>
        </w:rPr>
        <w:t xml:space="preserve">do </w:t>
      </w:r>
      <w:r w:rsidR="00CC634D" w:rsidRPr="00E60984">
        <w:rPr>
          <w:lang w:val="en-CA"/>
        </w:rPr>
        <w:t xml:space="preserve">not </w:t>
      </w:r>
      <w:r w:rsidR="00A40B3A">
        <w:rPr>
          <w:lang w:val="en-CA"/>
        </w:rPr>
        <w:t xml:space="preserve">have </w:t>
      </w:r>
      <w:r w:rsidR="00CC634D" w:rsidRPr="00E60984">
        <w:rPr>
          <w:lang w:val="en-CA"/>
        </w:rPr>
        <w:t xml:space="preserve">to caution the police officer involved </w:t>
      </w:r>
      <w:r w:rsidR="00A40B3A">
        <w:rPr>
          <w:lang w:val="en-CA"/>
        </w:rPr>
        <w:t xml:space="preserve">at the start of </w:t>
      </w:r>
      <w:r w:rsidR="00CC634D" w:rsidRPr="00E60984">
        <w:rPr>
          <w:lang w:val="en-CA"/>
        </w:rPr>
        <w:t>the interview.</w:t>
      </w:r>
      <w:r w:rsidR="00DE2A80" w:rsidRPr="00E60984">
        <w:rPr>
          <w:lang w:val="en-CA"/>
        </w:rPr>
        <w:t xml:space="preserve"> </w:t>
      </w:r>
      <w:r w:rsidR="00CC634D" w:rsidRPr="00E60984">
        <w:rPr>
          <w:lang w:val="en-CA"/>
        </w:rPr>
        <w:t>What is the case here?</w:t>
      </w:r>
      <w:r w:rsidR="00DE2A80" w:rsidRPr="00E60984">
        <w:rPr>
          <w:lang w:val="en-CA"/>
        </w:rPr>
        <w:t xml:space="preserve"> </w:t>
      </w:r>
    </w:p>
    <w:p w14:paraId="2FA65D1C" w14:textId="21C8E6BC" w:rsidR="00A17C43" w:rsidRPr="00E60984" w:rsidRDefault="00CC634D" w:rsidP="005F15BF">
      <w:pPr>
        <w:pStyle w:val="Paragraphe"/>
        <w:spacing w:line="240" w:lineRule="auto"/>
        <w:rPr>
          <w:lang w:val="en-CA"/>
        </w:rPr>
      </w:pPr>
      <w:r w:rsidRPr="00E60984">
        <w:rPr>
          <w:lang w:val="en-CA"/>
        </w:rPr>
        <w:t xml:space="preserve">The confessions rule, a common law rule, protects an individual’s right to silence at all times during a police investigation whether or not the interviewee is in detention, whereas the residual </w:t>
      </w:r>
      <w:r w:rsidRPr="00E60984">
        <w:rPr>
          <w:i/>
          <w:lang w:val="en-CA"/>
        </w:rPr>
        <w:t>Canadian Charter</w:t>
      </w:r>
      <w:r w:rsidRPr="00E60984">
        <w:rPr>
          <w:lang w:val="en-CA"/>
        </w:rPr>
        <w:t xml:space="preserve"> protections of s</w:t>
      </w:r>
      <w:r w:rsidR="00E15691" w:rsidRPr="00E60984">
        <w:rPr>
          <w:lang w:val="en-CA"/>
        </w:rPr>
        <w:t>ection</w:t>
      </w:r>
      <w:r w:rsidRPr="00E60984">
        <w:rPr>
          <w:lang w:val="en-CA"/>
        </w:rPr>
        <w:t xml:space="preserve"> 7 generally arise only on detention.</w:t>
      </w:r>
      <w:r w:rsidRPr="00E60984">
        <w:rPr>
          <w:rStyle w:val="Appelnotedebasdep"/>
          <w:lang w:val="en-CA"/>
        </w:rPr>
        <w:footnoteReference w:id="125"/>
      </w:r>
      <w:r w:rsidR="00DE2A80" w:rsidRPr="00E60984">
        <w:rPr>
          <w:lang w:val="en-CA"/>
        </w:rPr>
        <w:t xml:space="preserve"> </w:t>
      </w:r>
    </w:p>
    <w:p w14:paraId="1C4EBCE3" w14:textId="0A4C27BE" w:rsidR="00A17C43" w:rsidRPr="00E60984" w:rsidRDefault="00B40933" w:rsidP="005F15BF">
      <w:pPr>
        <w:pStyle w:val="Paragraphe"/>
        <w:spacing w:line="240" w:lineRule="auto"/>
        <w:rPr>
          <w:lang w:val="en-CA"/>
        </w:rPr>
      </w:pPr>
      <w:r w:rsidRPr="00E60984">
        <w:rPr>
          <w:lang w:val="en-CA"/>
        </w:rPr>
        <w:t>Therefore, when an individual questioned by the police becomes a “suspect” for the purpose of the criminal investigation – rather than a witness – a caution on the voluntariness of a statement is required.</w:t>
      </w:r>
      <w:r w:rsidRPr="00E60984">
        <w:rPr>
          <w:rStyle w:val="Appelnotedebasdep"/>
          <w:lang w:val="en-CA"/>
        </w:rPr>
        <w:footnoteReference w:id="126"/>
      </w:r>
      <w:r w:rsidR="00DE2A80" w:rsidRPr="00E60984">
        <w:rPr>
          <w:lang w:val="en-CA"/>
        </w:rPr>
        <w:t xml:space="preserve"> </w:t>
      </w:r>
      <w:r w:rsidR="00477D29">
        <w:rPr>
          <w:lang w:val="en-CA"/>
        </w:rPr>
        <w:t>A</w:t>
      </w:r>
      <w:r w:rsidRPr="00E60984">
        <w:rPr>
          <w:lang w:val="en-CA"/>
        </w:rPr>
        <w:t>n individual detained by the police, whether or not a suspect, is always entitled to a caution.</w:t>
      </w:r>
      <w:r w:rsidRPr="00E60984">
        <w:rPr>
          <w:rStyle w:val="Appelnotedebasdep"/>
          <w:lang w:val="en-CA"/>
        </w:rPr>
        <w:footnoteReference w:id="127"/>
      </w:r>
    </w:p>
    <w:p w14:paraId="13B10F68" w14:textId="24379856" w:rsidR="00A17C43" w:rsidRPr="00E60984" w:rsidRDefault="00B40933" w:rsidP="005F15BF">
      <w:pPr>
        <w:pStyle w:val="Paragraphe"/>
        <w:spacing w:line="240" w:lineRule="auto"/>
        <w:rPr>
          <w:lang w:val="en-CA"/>
        </w:rPr>
      </w:pPr>
      <w:r w:rsidRPr="00E60984">
        <w:rPr>
          <w:lang w:val="en-CA"/>
        </w:rPr>
        <w:t xml:space="preserve">In this case, the </w:t>
      </w:r>
      <w:r w:rsidRPr="00CF06B4">
        <w:rPr>
          <w:i/>
          <w:iCs/>
          <w:lang w:val="en-CA"/>
        </w:rPr>
        <w:t>Regulation</w:t>
      </w:r>
      <w:r w:rsidRPr="00E60984">
        <w:rPr>
          <w:lang w:val="en-CA"/>
        </w:rPr>
        <w:t xml:space="preserve"> </w:t>
      </w:r>
      <w:r w:rsidR="00A40B3A">
        <w:rPr>
          <w:lang w:val="en-CA"/>
        </w:rPr>
        <w:t>requires</w:t>
      </w:r>
      <w:r w:rsidR="00CF06B4">
        <w:rPr>
          <w:lang w:val="en-CA"/>
        </w:rPr>
        <w:t xml:space="preserve"> </w:t>
      </w:r>
      <w:r w:rsidRPr="00E60984">
        <w:rPr>
          <w:lang w:val="en-CA"/>
        </w:rPr>
        <w:t>the police officer involved to attend an interview with BEI investigators.</w:t>
      </w:r>
      <w:r w:rsidR="00DE2A80" w:rsidRPr="00E60984">
        <w:rPr>
          <w:lang w:val="en-CA"/>
        </w:rPr>
        <w:t xml:space="preserve"> </w:t>
      </w:r>
      <w:r w:rsidRPr="00E60984">
        <w:rPr>
          <w:lang w:val="en-CA"/>
        </w:rPr>
        <w:t>I</w:t>
      </w:r>
      <w:r w:rsidR="00477D29">
        <w:rPr>
          <w:lang w:val="en-CA"/>
        </w:rPr>
        <w:t>t should be</w:t>
      </w:r>
      <w:r w:rsidRPr="00E60984">
        <w:rPr>
          <w:lang w:val="en-CA"/>
        </w:rPr>
        <w:t xml:space="preserve"> recall</w:t>
      </w:r>
      <w:r w:rsidR="00477D29">
        <w:rPr>
          <w:lang w:val="en-CA"/>
        </w:rPr>
        <w:t>ed</w:t>
      </w:r>
      <w:r w:rsidRPr="00E60984">
        <w:rPr>
          <w:lang w:val="en-CA"/>
        </w:rPr>
        <w:t xml:space="preserve"> once more that the police officer involved is the very subject of the BEI’s criminal investigation.</w:t>
      </w:r>
      <w:r w:rsidR="00DE2A80" w:rsidRPr="00E60984">
        <w:rPr>
          <w:lang w:val="en-CA"/>
        </w:rPr>
        <w:t xml:space="preserve"> </w:t>
      </w:r>
      <w:r w:rsidRPr="00E60984">
        <w:rPr>
          <w:lang w:val="en-CA"/>
        </w:rPr>
        <w:t xml:space="preserve">The effect of this legal obligation to </w:t>
      </w:r>
      <w:r w:rsidR="00421262">
        <w:rPr>
          <w:lang w:val="en-CA"/>
        </w:rPr>
        <w:t xml:space="preserve">attend </w:t>
      </w:r>
      <w:r w:rsidR="00477D29">
        <w:rPr>
          <w:lang w:val="en-CA"/>
        </w:rPr>
        <w:t xml:space="preserve">at </w:t>
      </w:r>
      <w:r w:rsidR="00421262">
        <w:rPr>
          <w:lang w:val="en-CA"/>
        </w:rPr>
        <w:t xml:space="preserve">an </w:t>
      </w:r>
      <w:r w:rsidRPr="00E60984">
        <w:rPr>
          <w:lang w:val="en-CA"/>
        </w:rPr>
        <w:t>interview, combined with the fact that the subject of the investigation is the potential criminal responsibility of the police officer involved, means that the police officer is legally detained during the interview with BEI investigators.</w:t>
      </w:r>
      <w:r w:rsidR="00DE2A80" w:rsidRPr="00E60984">
        <w:rPr>
          <w:lang w:val="en-CA"/>
        </w:rPr>
        <w:t xml:space="preserve"> </w:t>
      </w:r>
      <w:r w:rsidRPr="00E60984">
        <w:rPr>
          <w:lang w:val="en-CA"/>
        </w:rPr>
        <w:t xml:space="preserve">As a result, the police officer involved is entitled to a caution as soon as the interview </w:t>
      </w:r>
      <w:r w:rsidR="00421262">
        <w:rPr>
          <w:lang w:val="en-CA"/>
        </w:rPr>
        <w:t>starts</w:t>
      </w:r>
      <w:r w:rsidRPr="00E60984">
        <w:rPr>
          <w:lang w:val="en-CA"/>
        </w:rPr>
        <w:t>.</w:t>
      </w:r>
    </w:p>
    <w:p w14:paraId="0AA8D270" w14:textId="5160DB72" w:rsidR="00A17C43" w:rsidRPr="00E60984" w:rsidRDefault="00B40933" w:rsidP="005F15BF">
      <w:pPr>
        <w:pStyle w:val="Paragraphe"/>
        <w:spacing w:line="240" w:lineRule="auto"/>
        <w:rPr>
          <w:lang w:val="en-CA"/>
        </w:rPr>
      </w:pPr>
      <w:r w:rsidRPr="00E60984">
        <w:rPr>
          <w:lang w:val="en-CA"/>
        </w:rPr>
        <w:t xml:space="preserve">When an individual is legally required to comply with a direction or demand by the police, especially when the goal is to determine the individual’s criminal responsibility, it </w:t>
      </w:r>
      <w:r w:rsidR="00477D29">
        <w:rPr>
          <w:lang w:val="en-CA"/>
        </w:rPr>
        <w:t>must be likened</w:t>
      </w:r>
      <w:r w:rsidR="00477D29" w:rsidRPr="00E60984">
        <w:rPr>
          <w:lang w:val="en-CA"/>
        </w:rPr>
        <w:t xml:space="preserve"> </w:t>
      </w:r>
      <w:r w:rsidRPr="00E60984">
        <w:rPr>
          <w:lang w:val="en-CA"/>
        </w:rPr>
        <w:t>to a detention.</w:t>
      </w:r>
      <w:r w:rsidRPr="00E60984">
        <w:rPr>
          <w:rStyle w:val="Appelnotedebasdep"/>
          <w:lang w:val="en-CA"/>
        </w:rPr>
        <w:footnoteReference w:id="128"/>
      </w:r>
      <w:r w:rsidR="00DE2A80" w:rsidRPr="00E60984">
        <w:rPr>
          <w:lang w:val="en-CA"/>
        </w:rPr>
        <w:t xml:space="preserve"> </w:t>
      </w:r>
      <w:r w:rsidRPr="00E60984">
        <w:rPr>
          <w:lang w:val="en-CA"/>
        </w:rPr>
        <w:t xml:space="preserve">This is clearly the case for the police officer involved </w:t>
      </w:r>
      <w:r w:rsidRPr="00E60984">
        <w:rPr>
          <w:lang w:val="en-CA"/>
        </w:rPr>
        <w:lastRenderedPageBreak/>
        <w:t>with respect to the mandatory interview with BEI investigators.</w:t>
      </w:r>
      <w:r w:rsidR="00DE2A80" w:rsidRPr="00E60984">
        <w:rPr>
          <w:lang w:val="en-CA"/>
        </w:rPr>
        <w:t xml:space="preserve"> </w:t>
      </w:r>
      <w:r w:rsidRPr="00E60984">
        <w:rPr>
          <w:lang w:val="en-CA"/>
        </w:rPr>
        <w:t>Therefore, the police officer involved must be cautioned, as the trial judge held.</w:t>
      </w:r>
    </w:p>
    <w:p w14:paraId="099DDB5F" w14:textId="5BBC281B" w:rsidR="00A17C43" w:rsidRPr="00E60984" w:rsidRDefault="00B40933" w:rsidP="00532B93">
      <w:pPr>
        <w:pStyle w:val="Paragraphe"/>
        <w:numPr>
          <w:ilvl w:val="0"/>
          <w:numId w:val="0"/>
        </w:numPr>
        <w:spacing w:before="240" w:line="240" w:lineRule="auto"/>
        <w:ind w:left="720"/>
        <w:rPr>
          <w:i/>
          <w:u w:val="single"/>
          <w:lang w:val="en-CA"/>
        </w:rPr>
      </w:pPr>
      <w:r w:rsidRPr="00E60984">
        <w:rPr>
          <w:i/>
          <w:u w:val="single"/>
          <w:lang w:val="en-CA"/>
        </w:rPr>
        <w:t xml:space="preserve">Section </w:t>
      </w:r>
      <w:r w:rsidR="00A2675B" w:rsidRPr="00E60984">
        <w:rPr>
          <w:i/>
          <w:u w:val="single"/>
          <w:lang w:val="en-CA"/>
        </w:rPr>
        <w:t>1</w:t>
      </w:r>
      <w:r w:rsidRPr="00E60984">
        <w:rPr>
          <w:i/>
          <w:u w:val="single"/>
          <w:lang w:val="en-CA"/>
        </w:rPr>
        <w:t xml:space="preserve"> of the </w:t>
      </w:r>
      <w:r w:rsidRPr="00565A81">
        <w:rPr>
          <w:i/>
          <w:u w:val="single"/>
          <w:lang w:val="en-CA"/>
        </w:rPr>
        <w:t>Canadian Charter</w:t>
      </w:r>
    </w:p>
    <w:p w14:paraId="07F58656" w14:textId="4E4543DC" w:rsidR="00A17C43" w:rsidRPr="00E60984" w:rsidRDefault="00A2675B" w:rsidP="005F15BF">
      <w:pPr>
        <w:pStyle w:val="Paragraphe"/>
        <w:spacing w:line="240" w:lineRule="auto"/>
        <w:rPr>
          <w:lang w:val="en-CA"/>
        </w:rPr>
      </w:pPr>
      <w:r w:rsidRPr="00E60984">
        <w:rPr>
          <w:lang w:val="en-CA"/>
        </w:rPr>
        <w:t>The AGQ argues that if any of the impugned provisions</w:t>
      </w:r>
      <w:r w:rsidR="007A49FC">
        <w:rPr>
          <w:lang w:val="en-CA"/>
        </w:rPr>
        <w:t xml:space="preserve"> of the </w:t>
      </w:r>
      <w:r w:rsidR="007A49FC" w:rsidRPr="00565A81">
        <w:rPr>
          <w:i/>
          <w:iCs/>
          <w:lang w:val="en-CA"/>
        </w:rPr>
        <w:t>Regulation</w:t>
      </w:r>
      <w:r w:rsidRPr="00E60984">
        <w:rPr>
          <w:lang w:val="en-CA"/>
        </w:rPr>
        <w:t xml:space="preserve"> limit the rights guaranteed </w:t>
      </w:r>
      <w:r w:rsidR="007A49FC">
        <w:rPr>
          <w:lang w:val="en-CA"/>
        </w:rPr>
        <w:t>under</w:t>
      </w:r>
      <w:r w:rsidR="007A49FC" w:rsidRPr="00E60984">
        <w:rPr>
          <w:lang w:val="en-CA"/>
        </w:rPr>
        <w:t xml:space="preserve"> </w:t>
      </w:r>
      <w:r w:rsidRPr="00E60984">
        <w:rPr>
          <w:lang w:val="en-CA"/>
        </w:rPr>
        <w:t xml:space="preserve">the </w:t>
      </w:r>
      <w:r w:rsidRPr="00E60984">
        <w:rPr>
          <w:i/>
          <w:lang w:val="en-CA"/>
        </w:rPr>
        <w:t>Canadian Charter</w:t>
      </w:r>
      <w:r w:rsidRPr="00E60984">
        <w:rPr>
          <w:lang w:val="en-CA"/>
        </w:rPr>
        <w:t xml:space="preserve">, these limits are reasonable and justified in a free and democratic society, given that the purpose of these provisions is to maintain public confidence in the police </w:t>
      </w:r>
      <w:r w:rsidR="00421262">
        <w:rPr>
          <w:lang w:val="en-CA"/>
        </w:rPr>
        <w:t xml:space="preserve">through </w:t>
      </w:r>
      <w:r w:rsidRPr="00E60984">
        <w:rPr>
          <w:lang w:val="en-CA"/>
        </w:rPr>
        <w:t>an independent and transparent investigation, which is a pressing and substantial legislative objective.</w:t>
      </w:r>
      <w:r w:rsidRPr="00E60984">
        <w:rPr>
          <w:rStyle w:val="Appelnotedebasdep"/>
          <w:lang w:val="en-CA"/>
        </w:rPr>
        <w:footnoteReference w:id="129"/>
      </w:r>
      <w:r w:rsidR="00DE2A80" w:rsidRPr="00E60984">
        <w:rPr>
          <w:lang w:val="en-CA"/>
        </w:rPr>
        <w:t xml:space="preserve"> </w:t>
      </w:r>
      <w:r w:rsidRPr="00E60984">
        <w:rPr>
          <w:lang w:val="en-CA"/>
        </w:rPr>
        <w:t xml:space="preserve">Moreover, the AGQ claims that if the right to silence or </w:t>
      </w:r>
      <w:r w:rsidR="00C63663">
        <w:rPr>
          <w:lang w:val="en-CA"/>
        </w:rPr>
        <w:t xml:space="preserve">the one </w:t>
      </w:r>
      <w:r w:rsidRPr="00E60984">
        <w:rPr>
          <w:lang w:val="en-CA"/>
        </w:rPr>
        <w:t xml:space="preserve">against self-incrimination </w:t>
      </w:r>
      <w:r w:rsidR="00421262">
        <w:rPr>
          <w:lang w:val="en-CA"/>
        </w:rPr>
        <w:t>i</w:t>
      </w:r>
      <w:r w:rsidRPr="00E60984">
        <w:rPr>
          <w:lang w:val="en-CA"/>
        </w:rPr>
        <w:t>s impaired, this impairment is minimal because the police officer involved has immunity from the evidence and derivative evidence</w:t>
      </w:r>
      <w:r w:rsidR="00C63663">
        <w:rPr>
          <w:lang w:val="en-CA"/>
        </w:rPr>
        <w:t xml:space="preserve"> being used,</w:t>
      </w:r>
      <w:r w:rsidRPr="00E60984">
        <w:rPr>
          <w:lang w:val="en-CA"/>
        </w:rPr>
        <w:t xml:space="preserve"> if the BEI investigation </w:t>
      </w:r>
      <w:r w:rsidR="00421262">
        <w:rPr>
          <w:lang w:val="en-CA"/>
        </w:rPr>
        <w:t xml:space="preserve">results in </w:t>
      </w:r>
      <w:r w:rsidRPr="00E60984">
        <w:rPr>
          <w:lang w:val="en-CA"/>
        </w:rPr>
        <w:t>a criminal trial.</w:t>
      </w:r>
      <w:r w:rsidRPr="00E60984">
        <w:rPr>
          <w:rStyle w:val="Appelnotedebasdep"/>
          <w:lang w:val="en-CA"/>
        </w:rPr>
        <w:footnoteReference w:id="130"/>
      </w:r>
    </w:p>
    <w:p w14:paraId="712F34E8" w14:textId="01B28541" w:rsidR="00A17C43" w:rsidRPr="00E60984" w:rsidRDefault="00A2675B" w:rsidP="005F15BF">
      <w:pPr>
        <w:pStyle w:val="Paragraphe"/>
        <w:spacing w:line="240" w:lineRule="auto"/>
        <w:rPr>
          <w:lang w:val="en-CA"/>
        </w:rPr>
      </w:pPr>
      <w:r w:rsidRPr="00E60984">
        <w:rPr>
          <w:lang w:val="en-CA"/>
        </w:rPr>
        <w:t>The AGQ’s arguments are rejected.</w:t>
      </w:r>
    </w:p>
    <w:p w14:paraId="3B0D93CE" w14:textId="28CC03E3" w:rsidR="00A17C43" w:rsidRPr="00E60984" w:rsidRDefault="00A2675B" w:rsidP="005F15BF">
      <w:pPr>
        <w:pStyle w:val="Paragraphe"/>
        <w:spacing w:line="240" w:lineRule="auto"/>
        <w:rPr>
          <w:lang w:val="en-CA"/>
        </w:rPr>
      </w:pPr>
      <w:r w:rsidRPr="00E60984">
        <w:rPr>
          <w:lang w:val="en-CA"/>
        </w:rPr>
        <w:t xml:space="preserve">The right to silence and against self-incrimination form part of the basic tenets of Canadian law and were constitutionalized, </w:t>
      </w:r>
      <w:r w:rsidR="00C63663">
        <w:rPr>
          <w:lang w:val="en-CA"/>
        </w:rPr>
        <w:t>namely,</w:t>
      </w:r>
      <w:r w:rsidR="00C63663" w:rsidRPr="00E60984">
        <w:rPr>
          <w:lang w:val="en-CA"/>
        </w:rPr>
        <w:t xml:space="preserve"> </w:t>
      </w:r>
      <w:r w:rsidRPr="00E60984">
        <w:rPr>
          <w:lang w:val="en-CA"/>
        </w:rPr>
        <w:t xml:space="preserve">under section 7 of the </w:t>
      </w:r>
      <w:r w:rsidRPr="00E60984">
        <w:rPr>
          <w:i/>
          <w:lang w:val="en-CA"/>
        </w:rPr>
        <w:t>Canadian Charter</w:t>
      </w:r>
      <w:r w:rsidRPr="00E60984">
        <w:rPr>
          <w:lang w:val="en-CA"/>
        </w:rPr>
        <w:t>.</w:t>
      </w:r>
      <w:r w:rsidRPr="00E60984">
        <w:rPr>
          <w:rStyle w:val="Appelnotedebasdep"/>
          <w:lang w:val="en-CA"/>
        </w:rPr>
        <w:footnoteReference w:id="131"/>
      </w:r>
      <w:r w:rsidR="00DE2A80" w:rsidRPr="00E60984">
        <w:rPr>
          <w:lang w:val="en-CA"/>
        </w:rPr>
        <w:t xml:space="preserve"> </w:t>
      </w:r>
      <w:r w:rsidRPr="00E60984">
        <w:rPr>
          <w:lang w:val="en-CA"/>
        </w:rPr>
        <w:t xml:space="preserve">Moreover, section 1 of the </w:t>
      </w:r>
      <w:r w:rsidRPr="00E60984">
        <w:rPr>
          <w:i/>
          <w:lang w:val="en-CA"/>
        </w:rPr>
        <w:t>Canadian Charter</w:t>
      </w:r>
      <w:r w:rsidRPr="00E60984">
        <w:rPr>
          <w:lang w:val="en-CA"/>
        </w:rPr>
        <w:t xml:space="preserve"> has a special relationship with section 7.</w:t>
      </w:r>
      <w:r w:rsidR="00DE2A80" w:rsidRPr="00E60984">
        <w:rPr>
          <w:lang w:val="en-CA"/>
        </w:rPr>
        <w:t xml:space="preserve"> </w:t>
      </w:r>
      <w:r w:rsidR="004F12D8" w:rsidRPr="00E60984">
        <w:rPr>
          <w:lang w:val="en-CA"/>
        </w:rPr>
        <w:t>A violation of the rights to life, liberty</w:t>
      </w:r>
      <w:r w:rsidR="00C63663">
        <w:rPr>
          <w:lang w:val="en-CA"/>
        </w:rPr>
        <w:t>,</w:t>
      </w:r>
      <w:r w:rsidR="004F12D8" w:rsidRPr="00E60984">
        <w:rPr>
          <w:lang w:val="en-CA"/>
        </w:rPr>
        <w:t xml:space="preserve"> or security of the person guaranteed by section 7 of the </w:t>
      </w:r>
      <w:r w:rsidR="004F12D8" w:rsidRPr="00E60984">
        <w:rPr>
          <w:i/>
          <w:lang w:val="en-CA"/>
        </w:rPr>
        <w:t>Canadian Charter</w:t>
      </w:r>
      <w:r w:rsidR="004F12D8" w:rsidRPr="00E60984">
        <w:rPr>
          <w:lang w:val="en-CA"/>
        </w:rPr>
        <w:t xml:space="preserve"> </w:t>
      </w:r>
      <w:r w:rsidR="00A778F2">
        <w:rPr>
          <w:lang w:val="en-CA"/>
        </w:rPr>
        <w:t>will</w:t>
      </w:r>
      <w:r w:rsidR="004F12D8" w:rsidRPr="00E60984">
        <w:rPr>
          <w:lang w:val="en-CA"/>
        </w:rPr>
        <w:t xml:space="preserve"> rarely </w:t>
      </w:r>
      <w:r w:rsidR="00A778F2">
        <w:rPr>
          <w:lang w:val="en-CA"/>
        </w:rPr>
        <w:t xml:space="preserve">be </w:t>
      </w:r>
      <w:r w:rsidR="004F12D8" w:rsidRPr="00E60984">
        <w:rPr>
          <w:lang w:val="en-CA"/>
        </w:rPr>
        <w:t>considered reasonable or justifiable in a free and democratic society.</w:t>
      </w:r>
      <w:r w:rsidR="004F12D8" w:rsidRPr="00E60984">
        <w:rPr>
          <w:rStyle w:val="Appelnotedebasdep"/>
          <w:lang w:val="en-CA"/>
        </w:rPr>
        <w:footnoteReference w:id="132"/>
      </w:r>
      <w:r w:rsidR="00DE2A80" w:rsidRPr="00E60984">
        <w:rPr>
          <w:lang w:val="en-CA"/>
        </w:rPr>
        <w:t xml:space="preserve"> </w:t>
      </w:r>
      <w:r w:rsidR="004F12D8" w:rsidRPr="00E60984">
        <w:rPr>
          <w:lang w:val="en-CA"/>
        </w:rPr>
        <w:t xml:space="preserve">Therefore, the constitutional protections under section 7 of the </w:t>
      </w:r>
      <w:r w:rsidR="004F12D8" w:rsidRPr="00E60984">
        <w:rPr>
          <w:i/>
          <w:lang w:val="en-CA"/>
        </w:rPr>
        <w:t>Canadian Charter</w:t>
      </w:r>
      <w:r w:rsidR="004F12D8" w:rsidRPr="00E60984">
        <w:rPr>
          <w:lang w:val="en-CA"/>
        </w:rPr>
        <w:t xml:space="preserve"> are only exceptionally outweighed by section 1.</w:t>
      </w:r>
      <w:r w:rsidR="004F12D8" w:rsidRPr="00E60984">
        <w:rPr>
          <w:rStyle w:val="Appelnotedebasdep"/>
          <w:lang w:val="en-CA"/>
        </w:rPr>
        <w:footnoteReference w:id="133"/>
      </w:r>
      <w:r w:rsidR="00DE2A80" w:rsidRPr="00E60984">
        <w:rPr>
          <w:lang w:val="en-CA"/>
        </w:rPr>
        <w:t xml:space="preserve"> </w:t>
      </w:r>
      <w:r w:rsidR="004F12D8" w:rsidRPr="00E60984">
        <w:rPr>
          <w:lang w:val="en-CA"/>
        </w:rPr>
        <w:t xml:space="preserve">As an example of exceptional circumstances, Lamer J., in </w:t>
      </w:r>
      <w:r w:rsidR="004F12D8" w:rsidRPr="00E60984">
        <w:rPr>
          <w:i/>
          <w:lang w:val="en-CA"/>
        </w:rPr>
        <w:t>Re B.C. Motor Vehicle Act</w:t>
      </w:r>
      <w:r w:rsidR="004F12D8" w:rsidRPr="00E60984">
        <w:rPr>
          <w:lang w:val="en-CA"/>
        </w:rPr>
        <w:t xml:space="preserve">, </w:t>
      </w:r>
      <w:r w:rsidR="00D060E0" w:rsidRPr="00E60984">
        <w:rPr>
          <w:lang w:val="en-CA"/>
        </w:rPr>
        <w:t>referred</w:t>
      </w:r>
      <w:r w:rsidR="004F12D8" w:rsidRPr="00E60984">
        <w:rPr>
          <w:lang w:val="en-CA"/>
        </w:rPr>
        <w:t xml:space="preserve"> to “natural disasters, the outbreak of war, epidemics, and the like”.</w:t>
      </w:r>
      <w:r w:rsidR="004F12D8" w:rsidRPr="00E60984">
        <w:rPr>
          <w:vertAlign w:val="superscript"/>
          <w:lang w:val="en-CA"/>
        </w:rPr>
        <w:footnoteReference w:id="134"/>
      </w:r>
      <w:r w:rsidR="00DE2A80" w:rsidRPr="00E60984">
        <w:rPr>
          <w:lang w:val="en-CA"/>
        </w:rPr>
        <w:t xml:space="preserve"> </w:t>
      </w:r>
      <w:r w:rsidR="004F12D8" w:rsidRPr="00E60984">
        <w:rPr>
          <w:lang w:val="en-CA"/>
        </w:rPr>
        <w:t xml:space="preserve">On their own, the exceptional circumstances required appear to relate </w:t>
      </w:r>
      <w:r w:rsidR="001B1E5F">
        <w:rPr>
          <w:lang w:val="en-CA"/>
        </w:rPr>
        <w:t xml:space="preserve">primarily </w:t>
      </w:r>
      <w:r w:rsidR="004F12D8" w:rsidRPr="00E60984">
        <w:rPr>
          <w:lang w:val="en-CA"/>
        </w:rPr>
        <w:t xml:space="preserve">to </w:t>
      </w:r>
      <w:r w:rsidR="001B1E5F">
        <w:rPr>
          <w:lang w:val="en-CA"/>
        </w:rPr>
        <w:t xml:space="preserve">circumstances of </w:t>
      </w:r>
      <w:r w:rsidR="004F12D8" w:rsidRPr="00E60984">
        <w:rPr>
          <w:lang w:val="en-CA"/>
        </w:rPr>
        <w:t>urgen</w:t>
      </w:r>
      <w:r w:rsidR="001B1E5F">
        <w:rPr>
          <w:lang w:val="en-CA"/>
        </w:rPr>
        <w:t>cy</w:t>
      </w:r>
      <w:r w:rsidR="004F12D8" w:rsidRPr="00E60984">
        <w:rPr>
          <w:lang w:val="en-CA"/>
        </w:rPr>
        <w:t>.</w:t>
      </w:r>
      <w:r w:rsidR="004F12D8" w:rsidRPr="00E60984">
        <w:rPr>
          <w:vertAlign w:val="superscript"/>
          <w:lang w:val="en-CA"/>
        </w:rPr>
        <w:footnoteReference w:id="135"/>
      </w:r>
    </w:p>
    <w:p w14:paraId="12EC127E" w14:textId="68E397F5" w:rsidR="00A17C43" w:rsidRPr="00E60984" w:rsidRDefault="001B1E5F" w:rsidP="005F15BF">
      <w:pPr>
        <w:pStyle w:val="Paragraphe"/>
        <w:spacing w:line="240" w:lineRule="auto"/>
        <w:rPr>
          <w:lang w:val="en-CA"/>
        </w:rPr>
      </w:pPr>
      <w:r>
        <w:rPr>
          <w:lang w:val="en-CA"/>
        </w:rPr>
        <w:t>Moreover</w:t>
      </w:r>
      <w:r w:rsidR="004F12D8" w:rsidRPr="00E60984">
        <w:rPr>
          <w:lang w:val="en-CA"/>
        </w:rPr>
        <w:t xml:space="preserve">, the AGQ’s </w:t>
      </w:r>
      <w:r w:rsidR="005E374D">
        <w:rPr>
          <w:lang w:val="en-CA"/>
        </w:rPr>
        <w:t>claim</w:t>
      </w:r>
      <w:r w:rsidR="005E374D" w:rsidRPr="00E60984">
        <w:rPr>
          <w:lang w:val="en-CA"/>
        </w:rPr>
        <w:t xml:space="preserve"> </w:t>
      </w:r>
      <w:r w:rsidR="004F12D8" w:rsidRPr="00E60984">
        <w:rPr>
          <w:lang w:val="en-CA"/>
        </w:rPr>
        <w:t xml:space="preserve">that the occurrence report of the police officer involved cannot be used against the officer in a </w:t>
      </w:r>
      <w:r>
        <w:rPr>
          <w:lang w:val="en-CA"/>
        </w:rPr>
        <w:t xml:space="preserve">future </w:t>
      </w:r>
      <w:r w:rsidR="004F12D8" w:rsidRPr="00E60984">
        <w:rPr>
          <w:lang w:val="en-CA"/>
        </w:rPr>
        <w:t xml:space="preserve">criminal trial </w:t>
      </w:r>
      <w:r w:rsidR="00C053A4">
        <w:rPr>
          <w:lang w:val="en-CA"/>
        </w:rPr>
        <w:t>does</w:t>
      </w:r>
      <w:r w:rsidR="00C053A4" w:rsidRPr="00E60984">
        <w:rPr>
          <w:lang w:val="en-CA"/>
        </w:rPr>
        <w:t xml:space="preserve"> </w:t>
      </w:r>
      <w:r w:rsidR="004F12D8" w:rsidRPr="00E60984">
        <w:rPr>
          <w:lang w:val="en-CA"/>
        </w:rPr>
        <w:t xml:space="preserve">not </w:t>
      </w:r>
      <w:r w:rsidR="00C053A4">
        <w:rPr>
          <w:lang w:val="en-CA"/>
        </w:rPr>
        <w:t xml:space="preserve">seem to be </w:t>
      </w:r>
      <w:r w:rsidR="004F12D8" w:rsidRPr="00E60984">
        <w:rPr>
          <w:lang w:val="en-CA"/>
        </w:rPr>
        <w:t>as straightforward as the AGQ suggests.</w:t>
      </w:r>
      <w:r w:rsidR="00DE2A80" w:rsidRPr="00E60984">
        <w:rPr>
          <w:lang w:val="en-CA"/>
        </w:rPr>
        <w:t xml:space="preserve"> </w:t>
      </w:r>
      <w:r w:rsidR="004F12D8" w:rsidRPr="00E60984">
        <w:rPr>
          <w:lang w:val="en-CA"/>
        </w:rPr>
        <w:t>In any event, it is not for the Court to decide in advance whether such a report is admissible during a criminal trial of the police officer involved.</w:t>
      </w:r>
      <w:r w:rsidR="00DE2A80" w:rsidRPr="00E60984">
        <w:rPr>
          <w:lang w:val="en-CA"/>
        </w:rPr>
        <w:t xml:space="preserve"> </w:t>
      </w:r>
      <w:r w:rsidR="004F12D8" w:rsidRPr="00E60984">
        <w:rPr>
          <w:lang w:val="en-CA"/>
        </w:rPr>
        <w:t xml:space="preserve">Regardless of the report’s admissibility </w:t>
      </w:r>
      <w:r>
        <w:rPr>
          <w:lang w:val="en-CA"/>
        </w:rPr>
        <w:t>in</w:t>
      </w:r>
      <w:r w:rsidR="004F12D8" w:rsidRPr="00E60984">
        <w:rPr>
          <w:lang w:val="en-CA"/>
        </w:rPr>
        <w:t xml:space="preserve"> a </w:t>
      </w:r>
      <w:r w:rsidR="005E374D">
        <w:rPr>
          <w:lang w:val="en-CA"/>
        </w:rPr>
        <w:t>possible</w:t>
      </w:r>
      <w:r w:rsidR="005E374D" w:rsidRPr="00E60984">
        <w:rPr>
          <w:lang w:val="en-CA"/>
        </w:rPr>
        <w:t xml:space="preserve"> </w:t>
      </w:r>
      <w:r w:rsidR="004F12D8" w:rsidRPr="00E60984">
        <w:rPr>
          <w:lang w:val="en-CA"/>
        </w:rPr>
        <w:t xml:space="preserve">criminal trial, the issue here </w:t>
      </w:r>
      <w:r w:rsidR="004F12D8" w:rsidRPr="00E60984">
        <w:rPr>
          <w:lang w:val="en-CA"/>
        </w:rPr>
        <w:lastRenderedPageBreak/>
        <w:t xml:space="preserve">is the rights of the police officer involved to silence and against self-incrimination guaranteed by the common law and the </w:t>
      </w:r>
      <w:r w:rsidR="004F12D8" w:rsidRPr="00E60984">
        <w:rPr>
          <w:i/>
          <w:lang w:val="en-CA"/>
        </w:rPr>
        <w:t>Canadian Charter</w:t>
      </w:r>
      <w:r w:rsidR="004F12D8" w:rsidRPr="00E60984">
        <w:rPr>
          <w:lang w:val="en-CA"/>
        </w:rPr>
        <w:t>.</w:t>
      </w:r>
    </w:p>
    <w:p w14:paraId="058E1849" w14:textId="2AB2FB33" w:rsidR="00A17C43" w:rsidRPr="00E60984" w:rsidRDefault="00713885" w:rsidP="005F15BF">
      <w:pPr>
        <w:pStyle w:val="Paragraphe"/>
        <w:spacing w:line="240" w:lineRule="auto"/>
        <w:rPr>
          <w:lang w:val="en-CA"/>
        </w:rPr>
      </w:pPr>
      <w:r w:rsidRPr="00E60984">
        <w:rPr>
          <w:lang w:val="en-CA"/>
        </w:rPr>
        <w:t xml:space="preserve">The AGQ has also failed to convince </w:t>
      </w:r>
      <w:r w:rsidR="005E374D">
        <w:rPr>
          <w:lang w:val="en-CA"/>
        </w:rPr>
        <w:t>this Court</w:t>
      </w:r>
      <w:r w:rsidR="005E374D" w:rsidRPr="00E60984">
        <w:rPr>
          <w:lang w:val="en-CA"/>
        </w:rPr>
        <w:t xml:space="preserve"> </w:t>
      </w:r>
      <w:r w:rsidRPr="00E60984">
        <w:rPr>
          <w:lang w:val="en-CA"/>
        </w:rPr>
        <w:t xml:space="preserve">that the obligation of the police officer involved to submit their account to the BEI or the </w:t>
      </w:r>
      <w:r w:rsidR="005E374D">
        <w:rPr>
          <w:lang w:val="en-CA"/>
        </w:rPr>
        <w:t>absence of a</w:t>
      </w:r>
      <w:r w:rsidRPr="00E60984">
        <w:rPr>
          <w:lang w:val="en-CA"/>
        </w:rPr>
        <w:t xml:space="preserve"> caution during the interview with BEI investigators </w:t>
      </w:r>
      <w:r w:rsidR="003854C0">
        <w:rPr>
          <w:lang w:val="en-CA"/>
        </w:rPr>
        <w:t xml:space="preserve">are </w:t>
      </w:r>
      <w:r w:rsidRPr="00E60984">
        <w:rPr>
          <w:lang w:val="en-CA"/>
        </w:rPr>
        <w:t xml:space="preserve">truly necessary to ensure that the investigation </w:t>
      </w:r>
      <w:r w:rsidR="007C7283">
        <w:rPr>
          <w:lang w:val="en-CA"/>
        </w:rPr>
        <w:t xml:space="preserve">is </w:t>
      </w:r>
      <w:r w:rsidRPr="00E60984">
        <w:rPr>
          <w:lang w:val="en-CA"/>
        </w:rPr>
        <w:t xml:space="preserve">quick, effective, impartial, independent, and transparent </w:t>
      </w:r>
      <w:r w:rsidR="007C7283">
        <w:rPr>
          <w:lang w:val="en-CA"/>
        </w:rPr>
        <w:t xml:space="preserve">or </w:t>
      </w:r>
      <w:r w:rsidRPr="00E60984">
        <w:rPr>
          <w:lang w:val="en-CA"/>
        </w:rPr>
        <w:t>to maintain public confidence in both the administration of justice and the Quebec police forces.</w:t>
      </w:r>
      <w:r w:rsidR="00DE2A80" w:rsidRPr="00E60984">
        <w:rPr>
          <w:lang w:val="en-CA"/>
        </w:rPr>
        <w:t xml:space="preserve"> </w:t>
      </w:r>
      <w:r w:rsidRPr="00E60984">
        <w:rPr>
          <w:lang w:val="en-CA"/>
        </w:rPr>
        <w:t xml:space="preserve">In fact, the other Canadian provinces </w:t>
      </w:r>
      <w:r w:rsidR="007C7283">
        <w:rPr>
          <w:lang w:val="en-CA"/>
        </w:rPr>
        <w:t>that</w:t>
      </w:r>
      <w:r w:rsidRPr="00E60984">
        <w:rPr>
          <w:lang w:val="en-CA"/>
        </w:rPr>
        <w:t xml:space="preserve"> adopted similar investigation measures do not require such obligations of the police officer involved and there is no evidence in the record to suggest that it </w:t>
      </w:r>
      <w:r w:rsidR="007C7283">
        <w:rPr>
          <w:lang w:val="en-CA"/>
        </w:rPr>
        <w:t>adversely affects</w:t>
      </w:r>
      <w:r w:rsidRPr="00E60984">
        <w:rPr>
          <w:lang w:val="en-CA"/>
        </w:rPr>
        <w:t xml:space="preserve"> these investigations or undermines public confidence.</w:t>
      </w:r>
    </w:p>
    <w:p w14:paraId="374657F3" w14:textId="1EE3429B" w:rsidR="00A17C43" w:rsidRPr="00E60984" w:rsidRDefault="00713885" w:rsidP="005F15BF">
      <w:pPr>
        <w:pStyle w:val="Paragraphe"/>
        <w:spacing w:line="240" w:lineRule="auto"/>
        <w:rPr>
          <w:lang w:val="en-CA"/>
        </w:rPr>
      </w:pPr>
      <w:r w:rsidRPr="00E60984">
        <w:rPr>
          <w:lang w:val="en-CA"/>
        </w:rPr>
        <w:t>For example, the Ontario law creating the Special Investigations Unit, the BEI equivalent, states that “</w:t>
      </w:r>
      <w:r w:rsidRPr="00E60984">
        <w:rPr>
          <w:rFonts w:cs="Arial"/>
          <w:lang w:val="en-CA"/>
        </w:rPr>
        <w:t>[</w:t>
      </w:r>
      <w:r w:rsidRPr="00E60984">
        <w:rPr>
          <w:lang w:val="en-CA"/>
        </w:rPr>
        <w:t>n</w:t>
      </w:r>
      <w:r w:rsidRPr="00E60984">
        <w:rPr>
          <w:rFonts w:cs="Arial"/>
          <w:lang w:val="en-CA"/>
        </w:rPr>
        <w:t>]</w:t>
      </w:r>
      <w:r w:rsidRPr="00E60984">
        <w:rPr>
          <w:lang w:val="en-CA"/>
        </w:rPr>
        <w:t>o person shall give to an investigator the original or a copy of any incident notes of a subject official respecting the incident”.</w:t>
      </w:r>
      <w:r w:rsidRPr="00E60984">
        <w:rPr>
          <w:rStyle w:val="Appelnotedebasdep"/>
          <w:lang w:val="en-CA"/>
        </w:rPr>
        <w:footnoteReference w:id="136"/>
      </w:r>
      <w:r w:rsidR="00DE2A80" w:rsidRPr="00E60984">
        <w:rPr>
          <w:lang w:val="en-CA"/>
        </w:rPr>
        <w:t xml:space="preserve"> </w:t>
      </w:r>
      <w:r w:rsidRPr="00E60984">
        <w:rPr>
          <w:lang w:val="en-CA"/>
        </w:rPr>
        <w:t xml:space="preserve">Furthermore, the unit director must return to the police force the notes of the police officer who was initially a witness but </w:t>
      </w:r>
      <w:r w:rsidR="001F5E36">
        <w:rPr>
          <w:lang w:val="en-CA"/>
        </w:rPr>
        <w:t xml:space="preserve">whose status </w:t>
      </w:r>
      <w:r w:rsidRPr="00E60984">
        <w:rPr>
          <w:lang w:val="en-CA"/>
        </w:rPr>
        <w:t>bec</w:t>
      </w:r>
      <w:r w:rsidR="001F5E36">
        <w:rPr>
          <w:lang w:val="en-CA"/>
        </w:rPr>
        <w:t>o</w:t>
      </w:r>
      <w:r w:rsidRPr="00E60984">
        <w:rPr>
          <w:lang w:val="en-CA"/>
        </w:rPr>
        <w:t>me</w:t>
      </w:r>
      <w:r w:rsidR="001F5E36">
        <w:rPr>
          <w:lang w:val="en-CA"/>
        </w:rPr>
        <w:t>s</w:t>
      </w:r>
      <w:r w:rsidRPr="00E60984">
        <w:rPr>
          <w:lang w:val="en-CA"/>
        </w:rPr>
        <w:t xml:space="preserve"> </w:t>
      </w:r>
      <w:r w:rsidR="001F5E36">
        <w:rPr>
          <w:lang w:val="en-CA"/>
        </w:rPr>
        <w:t xml:space="preserve">that of </w:t>
      </w:r>
      <w:r w:rsidRPr="00E60984">
        <w:rPr>
          <w:lang w:val="en-CA"/>
        </w:rPr>
        <w:t>involved.</w:t>
      </w:r>
      <w:r w:rsidRPr="00E60984">
        <w:rPr>
          <w:rStyle w:val="Appelnotedebasdep"/>
          <w:lang w:val="en-CA"/>
        </w:rPr>
        <w:footnoteReference w:id="137"/>
      </w:r>
      <w:r w:rsidR="00DE2A80" w:rsidRPr="00E60984">
        <w:rPr>
          <w:lang w:val="en-CA"/>
        </w:rPr>
        <w:t xml:space="preserve"> </w:t>
      </w:r>
      <w:r w:rsidRPr="00E60984">
        <w:rPr>
          <w:lang w:val="en-CA"/>
        </w:rPr>
        <w:t xml:space="preserve">Under the Ontario statute, only the witness police officer </w:t>
      </w:r>
      <w:r w:rsidR="001F5E36">
        <w:rPr>
          <w:lang w:val="en-CA"/>
        </w:rPr>
        <w:t>must</w:t>
      </w:r>
      <w:r w:rsidRPr="00E60984">
        <w:rPr>
          <w:lang w:val="en-CA"/>
        </w:rPr>
        <w:t xml:space="preserve"> attend an interview requested by the Special Investigations Unit to answer questions from investigators.</w:t>
      </w:r>
      <w:r w:rsidRPr="00E60984">
        <w:rPr>
          <w:rStyle w:val="Appelnotedebasdep"/>
          <w:lang w:val="en-CA"/>
        </w:rPr>
        <w:footnoteReference w:id="138"/>
      </w:r>
      <w:r w:rsidR="00DE2A80" w:rsidRPr="00E60984">
        <w:rPr>
          <w:lang w:val="en-CA"/>
        </w:rPr>
        <w:t xml:space="preserve"> </w:t>
      </w:r>
      <w:r w:rsidRPr="00E60984">
        <w:rPr>
          <w:lang w:val="en-CA"/>
        </w:rPr>
        <w:t xml:space="preserve">Once again, if the witness police officer’s status changes to involved, the Special Investigations Unit director must </w:t>
      </w:r>
      <w:r w:rsidR="001F5E36">
        <w:rPr>
          <w:lang w:val="en-CA"/>
        </w:rPr>
        <w:t>give the police officer</w:t>
      </w:r>
      <w:r w:rsidRPr="00E60984">
        <w:rPr>
          <w:lang w:val="en-CA"/>
        </w:rPr>
        <w:t xml:space="preserve"> the original and all copies of the record</w:t>
      </w:r>
      <w:r w:rsidR="001447AF">
        <w:rPr>
          <w:lang w:val="en-CA"/>
        </w:rPr>
        <w:t>ing</w:t>
      </w:r>
      <w:r w:rsidRPr="00E60984">
        <w:rPr>
          <w:lang w:val="en-CA"/>
        </w:rPr>
        <w:t xml:space="preserve"> of the interview.</w:t>
      </w:r>
      <w:r w:rsidRPr="00E60984">
        <w:rPr>
          <w:rStyle w:val="Appelnotedebasdep"/>
          <w:lang w:val="en-CA"/>
        </w:rPr>
        <w:footnoteReference w:id="139"/>
      </w:r>
    </w:p>
    <w:p w14:paraId="20A8DE4B" w14:textId="4D210186" w:rsidR="00A17C43" w:rsidRPr="00E60984" w:rsidRDefault="00713885" w:rsidP="005F15BF">
      <w:pPr>
        <w:pStyle w:val="Paragraphe"/>
        <w:spacing w:line="240" w:lineRule="auto"/>
        <w:rPr>
          <w:lang w:val="en-CA"/>
        </w:rPr>
      </w:pPr>
      <w:r w:rsidRPr="00E60984">
        <w:rPr>
          <w:lang w:val="en-CA"/>
        </w:rPr>
        <w:t>In Nova Scotia, the provincial legislat</w:t>
      </w:r>
      <w:r w:rsidR="0087677B">
        <w:rPr>
          <w:lang w:val="en-CA"/>
        </w:rPr>
        <w:t>u</w:t>
      </w:r>
      <w:r w:rsidRPr="00E60984">
        <w:rPr>
          <w:lang w:val="en-CA"/>
        </w:rPr>
        <w:t>r</w:t>
      </w:r>
      <w:r w:rsidR="0087677B">
        <w:rPr>
          <w:lang w:val="en-CA"/>
        </w:rPr>
        <w:t>e</w:t>
      </w:r>
      <w:r w:rsidRPr="00E60984">
        <w:rPr>
          <w:lang w:val="en-CA"/>
        </w:rPr>
        <w:t xml:space="preserve"> established the Serious Incident Response Team (SIRT) to investigate incidents in which the actions of a police officer may have resulted in the death, serious injury or sexual assault of any person.</w:t>
      </w:r>
      <w:r w:rsidRPr="00E60984">
        <w:rPr>
          <w:rStyle w:val="Appelnotedebasdep"/>
          <w:lang w:val="en-CA"/>
        </w:rPr>
        <w:footnoteReference w:id="140"/>
      </w:r>
      <w:r w:rsidR="00DE2A80" w:rsidRPr="00E60984">
        <w:rPr>
          <w:lang w:val="en-CA"/>
        </w:rPr>
        <w:t xml:space="preserve"> </w:t>
      </w:r>
      <w:r w:rsidRPr="00E60984">
        <w:rPr>
          <w:lang w:val="en-CA"/>
        </w:rPr>
        <w:t>The regulation governing SIRT investigations states that, contrary to a witness police officer,</w:t>
      </w:r>
      <w:r w:rsidRPr="00E60984">
        <w:rPr>
          <w:rStyle w:val="Appelnotedebasdep"/>
          <w:lang w:val="en-CA"/>
        </w:rPr>
        <w:footnoteReference w:id="141"/>
      </w:r>
      <w:r w:rsidRPr="00E60984">
        <w:rPr>
          <w:lang w:val="en-CA"/>
        </w:rPr>
        <w:t xml:space="preserve"> a police officer involved is not required to provide their incident notes and no other person may do so without the officer’s </w:t>
      </w:r>
      <w:r w:rsidR="004C503D">
        <w:rPr>
          <w:lang w:val="en-CA"/>
        </w:rPr>
        <w:t>consent</w:t>
      </w:r>
      <w:r w:rsidRPr="00E60984">
        <w:rPr>
          <w:lang w:val="en-CA"/>
        </w:rPr>
        <w:t>.</w:t>
      </w:r>
      <w:r w:rsidRPr="00E60984">
        <w:rPr>
          <w:rStyle w:val="Appelnotedebasdep"/>
          <w:lang w:val="en-CA"/>
        </w:rPr>
        <w:footnoteReference w:id="142"/>
      </w:r>
      <w:r w:rsidR="00DE2A80" w:rsidRPr="00E60984">
        <w:rPr>
          <w:lang w:val="en-CA"/>
        </w:rPr>
        <w:t xml:space="preserve"> </w:t>
      </w:r>
      <w:r w:rsidRPr="00E60984">
        <w:rPr>
          <w:lang w:val="en-CA"/>
        </w:rPr>
        <w:t>The regulation states that only a witness police officer must attend at an interview with SIRT investigators and answer questions.</w:t>
      </w:r>
      <w:r w:rsidRPr="00E60984">
        <w:rPr>
          <w:rStyle w:val="Appelnotedebasdep"/>
          <w:lang w:val="en-CA"/>
        </w:rPr>
        <w:footnoteReference w:id="143"/>
      </w:r>
      <w:r w:rsidR="00DE2A80" w:rsidRPr="00E60984">
        <w:rPr>
          <w:lang w:val="en-CA"/>
        </w:rPr>
        <w:t xml:space="preserve"> </w:t>
      </w:r>
      <w:r w:rsidRPr="00E60984">
        <w:rPr>
          <w:lang w:val="en-CA"/>
        </w:rPr>
        <w:t xml:space="preserve">If there is a change </w:t>
      </w:r>
      <w:r w:rsidR="00FE42CB">
        <w:rPr>
          <w:lang w:val="en-CA"/>
        </w:rPr>
        <w:t>of</w:t>
      </w:r>
      <w:r w:rsidRPr="00E60984">
        <w:rPr>
          <w:lang w:val="en-CA"/>
        </w:rPr>
        <w:t xml:space="preserve"> status from witness police officer to police officer involved, the </w:t>
      </w:r>
      <w:r w:rsidR="00FE42CB">
        <w:rPr>
          <w:lang w:val="en-CA"/>
        </w:rPr>
        <w:t xml:space="preserve">original </w:t>
      </w:r>
      <w:r w:rsidRPr="00E60984">
        <w:rPr>
          <w:lang w:val="en-CA"/>
        </w:rPr>
        <w:t xml:space="preserve">and all copies of the </w:t>
      </w:r>
      <w:r w:rsidR="00FE42CB">
        <w:rPr>
          <w:lang w:val="en-CA"/>
        </w:rPr>
        <w:t>record</w:t>
      </w:r>
      <w:r w:rsidR="004C503D">
        <w:rPr>
          <w:lang w:val="en-CA"/>
        </w:rPr>
        <w:t>ing</w:t>
      </w:r>
      <w:r w:rsidR="00FE42CB">
        <w:rPr>
          <w:lang w:val="en-CA"/>
        </w:rPr>
        <w:t xml:space="preserve"> of the </w:t>
      </w:r>
      <w:r w:rsidRPr="00E60984">
        <w:rPr>
          <w:lang w:val="en-CA"/>
        </w:rPr>
        <w:t xml:space="preserve">interview are given to the police officer and the </w:t>
      </w:r>
      <w:r w:rsidR="001F5E36">
        <w:rPr>
          <w:lang w:val="en-CA"/>
        </w:rPr>
        <w:t xml:space="preserve">original and </w:t>
      </w:r>
      <w:r w:rsidRPr="00E60984">
        <w:rPr>
          <w:lang w:val="en-CA"/>
        </w:rPr>
        <w:t xml:space="preserve">all copies of the </w:t>
      </w:r>
      <w:r w:rsidR="001F5E36">
        <w:rPr>
          <w:lang w:val="en-CA"/>
        </w:rPr>
        <w:t xml:space="preserve">incident </w:t>
      </w:r>
      <w:r w:rsidRPr="00E60984">
        <w:rPr>
          <w:lang w:val="en-CA"/>
        </w:rPr>
        <w:t xml:space="preserve">notes are given to the </w:t>
      </w:r>
      <w:r w:rsidR="00FE42CB">
        <w:rPr>
          <w:lang w:val="en-CA"/>
        </w:rPr>
        <w:t xml:space="preserve">chief </w:t>
      </w:r>
      <w:r w:rsidRPr="00E60984">
        <w:rPr>
          <w:lang w:val="en-CA"/>
        </w:rPr>
        <w:t>of the officer’s police force.</w:t>
      </w:r>
      <w:r w:rsidRPr="00E60984">
        <w:rPr>
          <w:rStyle w:val="Appelnotedebasdep"/>
          <w:lang w:val="en-CA"/>
        </w:rPr>
        <w:footnoteReference w:id="144"/>
      </w:r>
      <w:r w:rsidR="00DE2A80" w:rsidRPr="00E60984">
        <w:rPr>
          <w:lang w:val="en-CA"/>
        </w:rPr>
        <w:t xml:space="preserve"> </w:t>
      </w:r>
    </w:p>
    <w:p w14:paraId="0964B4FF" w14:textId="50174E34" w:rsidR="00A17C43" w:rsidRPr="00E60984" w:rsidRDefault="00713885" w:rsidP="005F15BF">
      <w:pPr>
        <w:pStyle w:val="Paragraphe"/>
        <w:spacing w:line="240" w:lineRule="auto"/>
        <w:rPr>
          <w:lang w:val="en-CA"/>
        </w:rPr>
      </w:pPr>
      <w:r w:rsidRPr="00E60984">
        <w:rPr>
          <w:lang w:val="en-CA"/>
        </w:rPr>
        <w:t xml:space="preserve">In Alberta, in the event of death or serious injury following a police intervention, the regulation states that a </w:t>
      </w:r>
      <w:r w:rsidR="003F2C45">
        <w:rPr>
          <w:lang w:val="en-CA"/>
        </w:rPr>
        <w:t xml:space="preserve">police </w:t>
      </w:r>
      <w:r w:rsidRPr="00E60984">
        <w:rPr>
          <w:lang w:val="en-CA"/>
        </w:rPr>
        <w:t>officer</w:t>
      </w:r>
      <w:r w:rsidR="003F2C45">
        <w:rPr>
          <w:lang w:val="en-CA"/>
        </w:rPr>
        <w:t xml:space="preserve"> involved</w:t>
      </w:r>
      <w:r w:rsidRPr="00E60984">
        <w:rPr>
          <w:lang w:val="en-CA"/>
        </w:rPr>
        <w:t xml:space="preserve"> is not required to provide their incident notes </w:t>
      </w:r>
      <w:r w:rsidRPr="00E60984">
        <w:rPr>
          <w:lang w:val="en-CA"/>
        </w:rPr>
        <w:lastRenderedPageBreak/>
        <w:t xml:space="preserve">and no other person may provide them to the investigating police </w:t>
      </w:r>
      <w:r w:rsidR="00FE42CB">
        <w:rPr>
          <w:lang w:val="en-CA"/>
        </w:rPr>
        <w:t xml:space="preserve">service </w:t>
      </w:r>
      <w:r w:rsidRPr="00E60984">
        <w:rPr>
          <w:lang w:val="en-CA"/>
        </w:rPr>
        <w:t xml:space="preserve">without the officer’s </w:t>
      </w:r>
      <w:r w:rsidR="00FE42CB">
        <w:rPr>
          <w:lang w:val="en-CA"/>
        </w:rPr>
        <w:t xml:space="preserve">express </w:t>
      </w:r>
      <w:r w:rsidRPr="00E60984">
        <w:rPr>
          <w:lang w:val="en-CA"/>
        </w:rPr>
        <w:t>permission.</w:t>
      </w:r>
      <w:r w:rsidRPr="00E60984">
        <w:rPr>
          <w:rStyle w:val="Appelnotedebasdep"/>
          <w:lang w:val="en-CA"/>
        </w:rPr>
        <w:footnoteReference w:id="145"/>
      </w:r>
      <w:r w:rsidR="00DE2A80" w:rsidRPr="00E60984">
        <w:rPr>
          <w:lang w:val="en-CA"/>
        </w:rPr>
        <w:t xml:space="preserve"> </w:t>
      </w:r>
      <w:r w:rsidRPr="00E60984">
        <w:rPr>
          <w:lang w:val="en-CA"/>
        </w:rPr>
        <w:t>Once again, only the witness officer must provide their notes and attend at an interview with investigators and answer</w:t>
      </w:r>
      <w:r w:rsidR="003F2C45">
        <w:rPr>
          <w:lang w:val="en-CA"/>
        </w:rPr>
        <w:t xml:space="preserve"> their</w:t>
      </w:r>
      <w:r w:rsidRPr="00E60984">
        <w:rPr>
          <w:lang w:val="en-CA"/>
        </w:rPr>
        <w:t xml:space="preserve"> questions.</w:t>
      </w:r>
      <w:r w:rsidRPr="00E60984">
        <w:rPr>
          <w:rStyle w:val="Appelnotedebasdep"/>
          <w:lang w:val="en-CA"/>
        </w:rPr>
        <w:footnoteReference w:id="146"/>
      </w:r>
      <w:r w:rsidR="00DE2A80" w:rsidRPr="00E60984">
        <w:rPr>
          <w:lang w:val="en-CA"/>
        </w:rPr>
        <w:t xml:space="preserve"> </w:t>
      </w:r>
      <w:r w:rsidRPr="00E60984">
        <w:rPr>
          <w:lang w:val="en-CA"/>
        </w:rPr>
        <w:t xml:space="preserve">Last, should the status of a witness officer </w:t>
      </w:r>
      <w:r w:rsidR="00FE42CB">
        <w:rPr>
          <w:lang w:val="en-CA"/>
        </w:rPr>
        <w:t xml:space="preserve">change to </w:t>
      </w:r>
      <w:r w:rsidR="003F2C45">
        <w:rPr>
          <w:lang w:val="en-CA"/>
        </w:rPr>
        <w:t xml:space="preserve">police </w:t>
      </w:r>
      <w:r w:rsidRPr="00E60984">
        <w:rPr>
          <w:lang w:val="en-CA"/>
        </w:rPr>
        <w:t>officer</w:t>
      </w:r>
      <w:r w:rsidR="003F2C45">
        <w:rPr>
          <w:lang w:val="en-CA"/>
        </w:rPr>
        <w:t xml:space="preserve"> involved</w:t>
      </w:r>
      <w:r w:rsidRPr="00E60984">
        <w:rPr>
          <w:lang w:val="en-CA"/>
        </w:rPr>
        <w:t xml:space="preserve">, the officer will be given the </w:t>
      </w:r>
      <w:r w:rsidR="00FE42CB">
        <w:rPr>
          <w:lang w:val="en-CA"/>
        </w:rPr>
        <w:t xml:space="preserve">original </w:t>
      </w:r>
      <w:r w:rsidRPr="00E60984">
        <w:rPr>
          <w:lang w:val="en-CA"/>
        </w:rPr>
        <w:t xml:space="preserve">and all copies of the </w:t>
      </w:r>
      <w:r w:rsidR="00FE42CB">
        <w:rPr>
          <w:lang w:val="en-CA"/>
        </w:rPr>
        <w:t xml:space="preserve">record of the </w:t>
      </w:r>
      <w:r w:rsidRPr="00E60984">
        <w:rPr>
          <w:lang w:val="en-CA"/>
        </w:rPr>
        <w:t>interview and the</w:t>
      </w:r>
      <w:r w:rsidR="00FE42CB">
        <w:rPr>
          <w:lang w:val="en-CA"/>
        </w:rPr>
        <w:t>ir</w:t>
      </w:r>
      <w:r w:rsidRPr="00E60984">
        <w:rPr>
          <w:lang w:val="en-CA"/>
        </w:rPr>
        <w:t xml:space="preserve"> </w:t>
      </w:r>
      <w:r w:rsidR="00FE42CB">
        <w:rPr>
          <w:lang w:val="en-CA"/>
        </w:rPr>
        <w:t xml:space="preserve">chief of </w:t>
      </w:r>
      <w:r w:rsidRPr="00E60984">
        <w:rPr>
          <w:lang w:val="en-CA"/>
        </w:rPr>
        <w:t>police will be given the officer’s incident notes.</w:t>
      </w:r>
      <w:r w:rsidRPr="00E60984">
        <w:rPr>
          <w:rStyle w:val="Appelnotedebasdep"/>
          <w:lang w:val="en-CA"/>
        </w:rPr>
        <w:footnoteReference w:id="147"/>
      </w:r>
    </w:p>
    <w:p w14:paraId="778054A1" w14:textId="175EA44B" w:rsidR="00A17C43" w:rsidRPr="00E60984" w:rsidRDefault="00585FAE" w:rsidP="005F15BF">
      <w:pPr>
        <w:pStyle w:val="Paragraphe"/>
        <w:spacing w:line="240" w:lineRule="auto"/>
        <w:rPr>
          <w:lang w:val="en-CA"/>
        </w:rPr>
      </w:pPr>
      <w:r w:rsidRPr="00E60984">
        <w:rPr>
          <w:lang w:val="en-CA"/>
        </w:rPr>
        <w:t xml:space="preserve">Although Quebec is not bound by the approach in other Canadian provinces, the fact that they can successfully conduct independent investigations into police officers involved without requiring </w:t>
      </w:r>
      <w:r w:rsidR="00787206">
        <w:rPr>
          <w:lang w:val="en-CA"/>
        </w:rPr>
        <w:t xml:space="preserve">them to </w:t>
      </w:r>
      <w:r w:rsidRPr="00E60984">
        <w:rPr>
          <w:lang w:val="en-CA"/>
        </w:rPr>
        <w:t xml:space="preserve">provide their incident reports for the purpose of the investigations into them or attend at interviews with investigators supports the conclusion that the AGQ’s </w:t>
      </w:r>
      <w:r w:rsidR="00787206">
        <w:rPr>
          <w:lang w:val="en-CA"/>
        </w:rPr>
        <w:t xml:space="preserve">justification </w:t>
      </w:r>
      <w:r w:rsidRPr="00E60984">
        <w:rPr>
          <w:lang w:val="en-CA"/>
        </w:rPr>
        <w:t>is not convincing and cannot be accepted.</w:t>
      </w:r>
    </w:p>
    <w:p w14:paraId="113B94F5" w14:textId="65310B06" w:rsidR="00A17C43" w:rsidRPr="00E60984" w:rsidRDefault="00585FAE" w:rsidP="009B7A8F">
      <w:pPr>
        <w:pStyle w:val="Paragraphe"/>
        <w:numPr>
          <w:ilvl w:val="0"/>
          <w:numId w:val="0"/>
        </w:numPr>
        <w:spacing w:before="240" w:line="240" w:lineRule="auto"/>
        <w:rPr>
          <w:b/>
          <w:bCs/>
          <w:u w:val="single"/>
          <w:lang w:val="en-CA"/>
        </w:rPr>
      </w:pPr>
      <w:r w:rsidRPr="00E60984">
        <w:rPr>
          <w:b/>
          <w:bCs/>
          <w:u w:val="single"/>
          <w:lang w:val="en-CA"/>
        </w:rPr>
        <w:t>PART THREE: VALIDITY OF THE IMPUGNED PROVISIONS WITH RESPECT TO THE PRINCIPLES OF STATUTORY INTERPRETATION AND THOSE OF ADMINISTRATIVE LAW</w:t>
      </w:r>
    </w:p>
    <w:p w14:paraId="35CE4735" w14:textId="2CA25217" w:rsidR="00A17C43" w:rsidRPr="00E60984" w:rsidRDefault="00124903" w:rsidP="005F15BF">
      <w:pPr>
        <w:pStyle w:val="Paragraphe"/>
        <w:numPr>
          <w:ilvl w:val="0"/>
          <w:numId w:val="0"/>
        </w:numPr>
        <w:spacing w:line="240" w:lineRule="auto"/>
        <w:ind w:left="720"/>
        <w:rPr>
          <w:i/>
          <w:iCs/>
          <w:u w:val="single"/>
          <w:lang w:val="en-CA"/>
        </w:rPr>
      </w:pPr>
      <w:r w:rsidRPr="00E60984">
        <w:rPr>
          <w:i/>
          <w:iCs/>
          <w:u w:val="single"/>
          <w:lang w:val="en-CA"/>
        </w:rPr>
        <w:t xml:space="preserve">Withdrawal of witness police officers and police officers involved </w:t>
      </w:r>
      <w:r w:rsidR="00CF06B4" w:rsidRPr="00E60984">
        <w:rPr>
          <w:i/>
          <w:iCs/>
          <w:u w:val="single"/>
          <w:lang w:val="en-CA"/>
        </w:rPr>
        <w:t xml:space="preserve">from the scene </w:t>
      </w:r>
      <w:r w:rsidRPr="00E60984">
        <w:rPr>
          <w:i/>
          <w:iCs/>
          <w:u w:val="single"/>
          <w:lang w:val="en-CA"/>
        </w:rPr>
        <w:t>and priority of BEI investigation</w:t>
      </w:r>
    </w:p>
    <w:p w14:paraId="458E8BAE" w14:textId="4ED7F4E0" w:rsidR="00A17C43" w:rsidRPr="00E60984" w:rsidRDefault="00585FAE" w:rsidP="005F15BF">
      <w:pPr>
        <w:pStyle w:val="Paragraphe"/>
        <w:spacing w:line="240" w:lineRule="auto"/>
        <w:rPr>
          <w:lang w:val="en-CA"/>
        </w:rPr>
      </w:pPr>
      <w:r w:rsidRPr="00E60984">
        <w:rPr>
          <w:lang w:val="en-CA"/>
        </w:rPr>
        <w:t xml:space="preserve">The incidental appellants argue that the precedence of the BEI investigation over other parallel police investigations into the same </w:t>
      </w:r>
      <w:r w:rsidR="00DE39A2">
        <w:rPr>
          <w:lang w:val="en-CA"/>
        </w:rPr>
        <w:t xml:space="preserve">occurrence </w:t>
      </w:r>
      <w:r w:rsidRPr="00E60984">
        <w:rPr>
          <w:lang w:val="en-CA"/>
        </w:rPr>
        <w:t xml:space="preserve">or closely related </w:t>
      </w:r>
      <w:r w:rsidR="00DE39A2">
        <w:rPr>
          <w:lang w:val="en-CA"/>
        </w:rPr>
        <w:t>occurrence</w:t>
      </w:r>
      <w:r w:rsidR="009C3404">
        <w:rPr>
          <w:lang w:val="en-CA"/>
        </w:rPr>
        <w:t>s</w:t>
      </w:r>
      <w:r w:rsidRPr="00E60984">
        <w:rPr>
          <w:lang w:val="en-CA"/>
        </w:rPr>
        <w:t xml:space="preserve">, as provided in section 3 of the </w:t>
      </w:r>
      <w:r w:rsidRPr="00CF06B4">
        <w:rPr>
          <w:i/>
          <w:iCs/>
          <w:lang w:val="en-CA"/>
        </w:rPr>
        <w:t>Regulation</w:t>
      </w:r>
      <w:r w:rsidRPr="00E60984">
        <w:rPr>
          <w:lang w:val="en-CA"/>
        </w:rPr>
        <w:t xml:space="preserve">, and the obligation of witness police officers and police officers involved to withdraw from the scene of the occurrence, as provided in subparagraph (1) of the first paragraph of section 1 of the </w:t>
      </w:r>
      <w:r w:rsidRPr="00E60984">
        <w:rPr>
          <w:i/>
          <w:lang w:val="en-CA"/>
        </w:rPr>
        <w:t>Regulation</w:t>
      </w:r>
      <w:r w:rsidRPr="00E60984">
        <w:rPr>
          <w:lang w:val="en-CA"/>
        </w:rPr>
        <w:t xml:space="preserve">, are: (a) </w:t>
      </w:r>
      <w:r w:rsidRPr="00E60984">
        <w:rPr>
          <w:i/>
          <w:lang w:val="en-CA"/>
        </w:rPr>
        <w:t>ultra vires</w:t>
      </w:r>
      <w:r w:rsidRPr="00E60984">
        <w:rPr>
          <w:lang w:val="en-CA"/>
        </w:rPr>
        <w:t xml:space="preserve"> the regulatory powers granted the government under section 289.4 of the </w:t>
      </w:r>
      <w:r w:rsidRPr="00E60984">
        <w:rPr>
          <w:i/>
          <w:lang w:val="en-CA"/>
        </w:rPr>
        <w:t>Police Act</w:t>
      </w:r>
      <w:r w:rsidRPr="00E60984">
        <w:rPr>
          <w:lang w:val="en-CA"/>
        </w:rPr>
        <w:t xml:space="preserve">; (b) </w:t>
      </w:r>
      <w:r w:rsidR="00DE39A2">
        <w:rPr>
          <w:lang w:val="en-CA"/>
        </w:rPr>
        <w:t>inconsistent</w:t>
      </w:r>
      <w:r w:rsidRPr="00E60984">
        <w:rPr>
          <w:lang w:val="en-CA"/>
        </w:rPr>
        <w:t xml:space="preserve"> with section 48 of the </w:t>
      </w:r>
      <w:r w:rsidRPr="00E60984">
        <w:rPr>
          <w:i/>
          <w:lang w:val="en-CA"/>
        </w:rPr>
        <w:t>Police Act</w:t>
      </w:r>
      <w:r w:rsidRPr="00E60984">
        <w:rPr>
          <w:lang w:val="en-CA"/>
        </w:rPr>
        <w:t>; and (c) violate the rules governing the independence of the police</w:t>
      </w:r>
      <w:r w:rsidR="00A271DE">
        <w:rPr>
          <w:lang w:val="en-CA"/>
        </w:rPr>
        <w:t xml:space="preserve"> force</w:t>
      </w:r>
      <w:r w:rsidRPr="00E60984">
        <w:rPr>
          <w:lang w:val="en-CA"/>
        </w:rPr>
        <w:t xml:space="preserve"> in relation to the executive branch of government and the rule of law.</w:t>
      </w:r>
    </w:p>
    <w:p w14:paraId="08915A5F" w14:textId="68A4769C" w:rsidR="00A17C43" w:rsidRPr="00E60984" w:rsidRDefault="00585FAE" w:rsidP="005F15BF">
      <w:pPr>
        <w:pStyle w:val="Paragraphe"/>
        <w:spacing w:line="240" w:lineRule="auto"/>
        <w:rPr>
          <w:lang w:val="en-CA"/>
        </w:rPr>
      </w:pPr>
      <w:r w:rsidRPr="00E60984">
        <w:rPr>
          <w:lang w:val="en-CA"/>
        </w:rPr>
        <w:t>Let us deal with these arguments in turn.</w:t>
      </w:r>
    </w:p>
    <w:p w14:paraId="4B449EEA" w14:textId="4460FB9A" w:rsidR="00A17C43" w:rsidRPr="00E60984" w:rsidRDefault="00585FAE" w:rsidP="005F15BF">
      <w:pPr>
        <w:pStyle w:val="Paragraphe"/>
        <w:spacing w:line="240" w:lineRule="auto"/>
        <w:rPr>
          <w:lang w:val="en-CA"/>
        </w:rPr>
      </w:pPr>
      <w:r w:rsidRPr="00E60984">
        <w:rPr>
          <w:lang w:val="en-CA"/>
        </w:rPr>
        <w:t xml:space="preserve">Section 289.4 of the </w:t>
      </w:r>
      <w:r w:rsidRPr="00E60984">
        <w:rPr>
          <w:i/>
          <w:lang w:val="en-CA"/>
        </w:rPr>
        <w:t>Police Act</w:t>
      </w:r>
      <w:r w:rsidRPr="00E60984">
        <w:rPr>
          <w:lang w:val="en-CA"/>
        </w:rPr>
        <w:t xml:space="preserve"> is the enabling legislative provision of the </w:t>
      </w:r>
      <w:r w:rsidRPr="00E60984">
        <w:rPr>
          <w:i/>
          <w:lang w:val="en-CA"/>
        </w:rPr>
        <w:t>Regulation</w:t>
      </w:r>
      <w:r w:rsidRPr="00E60984">
        <w:rPr>
          <w:lang w:val="en-CA"/>
        </w:rPr>
        <w:t>.</w:t>
      </w:r>
      <w:r w:rsidR="00DE2A80" w:rsidRPr="00E60984">
        <w:rPr>
          <w:lang w:val="en-CA"/>
        </w:rPr>
        <w:t xml:space="preserve"> </w:t>
      </w:r>
      <w:r w:rsidR="00401C26" w:rsidRPr="00E60984">
        <w:rPr>
          <w:lang w:val="en-CA"/>
        </w:rPr>
        <w:t xml:space="preserve">That provision grants the government broad regulatory powers </w:t>
      </w:r>
      <w:r w:rsidR="00C63CA2">
        <w:rPr>
          <w:lang w:val="en-CA"/>
        </w:rPr>
        <w:t xml:space="preserve">over </w:t>
      </w:r>
      <w:r w:rsidR="00401C26" w:rsidRPr="00E60984">
        <w:rPr>
          <w:lang w:val="en-CA"/>
        </w:rPr>
        <w:t>both the conduct of BEI investigations and the obligations of police officers involved and witness police officers, as well as the director of the police force involved.</w:t>
      </w:r>
    </w:p>
    <w:p w14:paraId="22915DE3" w14:textId="6B38929E" w:rsidR="00A17C43" w:rsidRPr="00E60984" w:rsidRDefault="00401C26" w:rsidP="005F15BF">
      <w:pPr>
        <w:pStyle w:val="Paragraphe"/>
        <w:spacing w:before="240" w:line="240" w:lineRule="auto"/>
        <w:rPr>
          <w:lang w:val="en-CA"/>
        </w:rPr>
      </w:pPr>
      <w:r w:rsidRPr="00E60984">
        <w:rPr>
          <w:i/>
          <w:lang w:val="en-CA"/>
        </w:rPr>
        <w:t>Katz Group Canada Inc. v. Ontario (Health and Long</w:t>
      </w:r>
      <w:r w:rsidRPr="00E60984">
        <w:rPr>
          <w:rFonts w:ascii="Cambria Math" w:hAnsi="Cambria Math" w:cs="Cambria Math"/>
          <w:i/>
          <w:lang w:val="en-CA"/>
        </w:rPr>
        <w:t>‑</w:t>
      </w:r>
      <w:r w:rsidRPr="00E60984">
        <w:rPr>
          <w:i/>
          <w:lang w:val="en-CA"/>
        </w:rPr>
        <w:t>Term Care)</w:t>
      </w:r>
      <w:r w:rsidRPr="00E60984">
        <w:rPr>
          <w:color w:val="000000"/>
          <w:lang w:val="en-CA"/>
        </w:rPr>
        <w:t xml:space="preserve"> (</w:t>
      </w:r>
      <w:r w:rsidR="00C117F8" w:rsidRPr="00E60984">
        <w:rPr>
          <w:color w:val="000000"/>
          <w:lang w:val="en-CA"/>
        </w:rPr>
        <w:t>“</w:t>
      </w:r>
      <w:r w:rsidRPr="00E60984">
        <w:rPr>
          <w:i/>
          <w:color w:val="000000"/>
          <w:lang w:val="en-CA"/>
        </w:rPr>
        <w:t>Katz</w:t>
      </w:r>
      <w:r w:rsidRPr="00E60984">
        <w:rPr>
          <w:color w:val="000000"/>
          <w:lang w:val="en-CA"/>
        </w:rPr>
        <w:t>”) state</w:t>
      </w:r>
      <w:r w:rsidR="00C63CA2">
        <w:rPr>
          <w:color w:val="000000"/>
          <w:lang w:val="en-CA"/>
        </w:rPr>
        <w:t>d</w:t>
      </w:r>
      <w:r w:rsidRPr="00E60984">
        <w:rPr>
          <w:color w:val="000000"/>
          <w:lang w:val="en-CA"/>
        </w:rPr>
        <w:t xml:space="preserve"> that “</w:t>
      </w:r>
      <w:r w:rsidRPr="00E60984">
        <w:rPr>
          <w:rFonts w:cs="Arial"/>
          <w:color w:val="000000"/>
          <w:lang w:val="en-CA"/>
        </w:rPr>
        <w:t>[</w:t>
      </w:r>
      <w:r w:rsidRPr="00E60984">
        <w:rPr>
          <w:color w:val="000000"/>
          <w:lang w:val="en-CA"/>
        </w:rPr>
        <w:t>a</w:t>
      </w:r>
      <w:r w:rsidRPr="00E60984">
        <w:rPr>
          <w:rFonts w:cs="Arial"/>
          <w:color w:val="000000"/>
          <w:lang w:val="en-CA"/>
        </w:rPr>
        <w:t>]</w:t>
      </w:r>
      <w:r w:rsidRPr="00E60984">
        <w:rPr>
          <w:color w:val="000000"/>
          <w:lang w:val="en-CA"/>
        </w:rPr>
        <w:t xml:space="preserve"> successful challenge to the </w:t>
      </w:r>
      <w:r w:rsidRPr="00C63CA2">
        <w:rPr>
          <w:i/>
          <w:iCs/>
          <w:color w:val="000000"/>
          <w:lang w:val="en-CA"/>
        </w:rPr>
        <w:t>vires</w:t>
      </w:r>
      <w:r w:rsidRPr="00E60984">
        <w:rPr>
          <w:color w:val="000000"/>
          <w:lang w:val="en-CA"/>
        </w:rPr>
        <w:t xml:space="preserve"> of regulations requires that they be shown to be </w:t>
      </w:r>
      <w:r w:rsidRPr="00E60984">
        <w:rPr>
          <w:color w:val="000000"/>
          <w:lang w:val="en-CA"/>
        </w:rPr>
        <w:lastRenderedPageBreak/>
        <w:t>inconsistent with the objective of the enabling statute or the scope of the statutory mandate”.</w:t>
      </w:r>
      <w:r w:rsidR="00DE2A80" w:rsidRPr="00E60984">
        <w:rPr>
          <w:rStyle w:val="Appelnotedebasdep"/>
          <w:color w:val="000000"/>
          <w:lang w:val="en-CA"/>
        </w:rPr>
        <w:footnoteReference w:id="148"/>
      </w:r>
      <w:r w:rsidR="00DE2A80" w:rsidRPr="00E60984">
        <w:rPr>
          <w:color w:val="000000"/>
          <w:lang w:val="en-CA"/>
        </w:rPr>
        <w:t xml:space="preserve">  </w:t>
      </w:r>
    </w:p>
    <w:p w14:paraId="3DCB9000" w14:textId="0D7A5FF6" w:rsidR="00A17C43" w:rsidRPr="00E60984" w:rsidRDefault="00401C26" w:rsidP="005F15BF">
      <w:pPr>
        <w:pStyle w:val="Paragraphe"/>
        <w:spacing w:line="240" w:lineRule="auto"/>
        <w:rPr>
          <w:lang w:val="en-CA"/>
        </w:rPr>
      </w:pPr>
      <w:r w:rsidRPr="00E60984">
        <w:rPr>
          <w:color w:val="000000"/>
          <w:lang w:val="en-CA"/>
        </w:rPr>
        <w:t>Regulations benefit from a presumption of validity.</w:t>
      </w:r>
      <w:r w:rsidR="00DE2A80" w:rsidRPr="00E60984">
        <w:rPr>
          <w:color w:val="000000"/>
          <w:lang w:val="en-CA"/>
        </w:rPr>
        <w:t xml:space="preserve"> </w:t>
      </w:r>
      <w:r w:rsidRPr="00E60984">
        <w:rPr>
          <w:color w:val="000000"/>
          <w:lang w:val="en-CA"/>
        </w:rPr>
        <w:t>This presumption has two aspects: it places the burden on challengers to demonstrate the invalidity of regulations, rather than on regulatory bodies to justify them;</w:t>
      </w:r>
      <w:r w:rsidR="00DE2A80" w:rsidRPr="00E60984">
        <w:rPr>
          <w:color w:val="000000"/>
          <w:lang w:val="en-CA"/>
        </w:rPr>
        <w:t xml:space="preserve"> </w:t>
      </w:r>
      <w:r w:rsidRPr="00E60984">
        <w:rPr>
          <w:color w:val="000000"/>
          <w:lang w:val="en-CA"/>
        </w:rPr>
        <w:t xml:space="preserve">and it favours an interpretative approach that reconciles the regulation with its enabling statute so that, where possible, the regulation is construed in a manner which renders </w:t>
      </w:r>
      <w:r w:rsidR="00C63CA2">
        <w:rPr>
          <w:color w:val="000000"/>
          <w:lang w:val="en-CA"/>
        </w:rPr>
        <w:t>the enabling provision</w:t>
      </w:r>
      <w:r w:rsidRPr="00E60984">
        <w:rPr>
          <w:color w:val="000000"/>
          <w:lang w:val="en-CA"/>
        </w:rPr>
        <w:t xml:space="preserve"> </w:t>
      </w:r>
      <w:r w:rsidRPr="00E60984">
        <w:rPr>
          <w:i/>
          <w:color w:val="000000"/>
          <w:lang w:val="en-CA"/>
        </w:rPr>
        <w:t>intra vires</w:t>
      </w:r>
      <w:r w:rsidRPr="00E60984">
        <w:rPr>
          <w:color w:val="000000"/>
          <w:lang w:val="en-CA"/>
        </w:rPr>
        <w:t>.</w:t>
      </w:r>
      <w:r w:rsidRPr="00E60984">
        <w:rPr>
          <w:rStyle w:val="Appelnotedebasdep"/>
          <w:color w:val="000000"/>
          <w:lang w:val="en-CA"/>
        </w:rPr>
        <w:footnoteReference w:id="149"/>
      </w:r>
      <w:r w:rsidR="00DE2A80" w:rsidRPr="00E60984">
        <w:rPr>
          <w:color w:val="000000"/>
          <w:lang w:val="en-CA"/>
        </w:rPr>
        <w:t xml:space="preserve"> </w:t>
      </w:r>
    </w:p>
    <w:p w14:paraId="4560353A" w14:textId="6A33F9B8" w:rsidR="00A17C43" w:rsidRPr="00E60984" w:rsidRDefault="00C117F8" w:rsidP="005F15BF">
      <w:pPr>
        <w:pStyle w:val="Paragraphe"/>
        <w:spacing w:line="240" w:lineRule="auto"/>
        <w:rPr>
          <w:lang w:val="en-CA"/>
        </w:rPr>
      </w:pPr>
      <w:r w:rsidRPr="00E60984">
        <w:rPr>
          <w:color w:val="000000"/>
          <w:lang w:val="en-CA"/>
        </w:rPr>
        <w:t xml:space="preserve">Consequently, they must be “irrelevant”, “extraneous” or “completely unrelated” to the statutory purpose to be found to be </w:t>
      </w:r>
      <w:r w:rsidRPr="00E60984">
        <w:rPr>
          <w:i/>
          <w:color w:val="000000"/>
          <w:lang w:val="en-CA"/>
        </w:rPr>
        <w:t>ultra vires</w:t>
      </w:r>
      <w:r w:rsidRPr="00E60984">
        <w:rPr>
          <w:color w:val="000000"/>
          <w:lang w:val="en-CA"/>
        </w:rPr>
        <w:t xml:space="preserve"> on the basis of inconsistency with statutory purpose.</w:t>
      </w:r>
      <w:r w:rsidRPr="00E60984">
        <w:rPr>
          <w:rStyle w:val="Appelnotedebasdep"/>
          <w:color w:val="000000"/>
          <w:lang w:val="en-CA"/>
        </w:rPr>
        <w:footnoteReference w:id="150"/>
      </w:r>
      <w:r w:rsidR="00DE2A80" w:rsidRPr="00E60984">
        <w:rPr>
          <w:color w:val="000000"/>
          <w:lang w:val="en-CA"/>
        </w:rPr>
        <w:t xml:space="preserve"> </w:t>
      </w:r>
      <w:r w:rsidRPr="00E60984">
        <w:rPr>
          <w:rStyle w:val="highlight"/>
          <w:color w:val="000000"/>
          <w:lang w:val="en-CA"/>
        </w:rPr>
        <w:t xml:space="preserve">In effect, although it is possible to strike down regulations as </w:t>
      </w:r>
      <w:r w:rsidRPr="00A65A88">
        <w:rPr>
          <w:rStyle w:val="highlight"/>
          <w:i/>
          <w:iCs/>
          <w:color w:val="000000"/>
          <w:lang w:val="en-CA"/>
        </w:rPr>
        <w:t>ultra vires</w:t>
      </w:r>
      <w:r w:rsidRPr="00E60984">
        <w:rPr>
          <w:rStyle w:val="highlight"/>
          <w:color w:val="000000"/>
          <w:lang w:val="en-CA"/>
        </w:rPr>
        <w:t xml:space="preserve"> on this basis, “it would take an egregious case to warrant such action”.</w:t>
      </w:r>
      <w:r w:rsidRPr="00E60984">
        <w:rPr>
          <w:rStyle w:val="Appelnotedebasdep"/>
          <w:color w:val="000000"/>
          <w:lang w:val="en-CA"/>
        </w:rPr>
        <w:footnoteReference w:id="151"/>
      </w:r>
      <w:r w:rsidR="00DE2A80" w:rsidRPr="00E60984">
        <w:rPr>
          <w:color w:val="000000"/>
          <w:lang w:val="en-CA"/>
        </w:rPr>
        <w:t> </w:t>
      </w:r>
    </w:p>
    <w:p w14:paraId="16E6DB1F" w14:textId="3AB7D6F1" w:rsidR="00A17C43" w:rsidRPr="00E60984" w:rsidRDefault="00C117F8" w:rsidP="005F15BF">
      <w:pPr>
        <w:pStyle w:val="Paragraphe"/>
        <w:spacing w:line="240" w:lineRule="auto"/>
        <w:rPr>
          <w:lang w:val="en-CA"/>
        </w:rPr>
      </w:pPr>
      <w:r w:rsidRPr="00E60984">
        <w:rPr>
          <w:lang w:val="en-CA"/>
        </w:rPr>
        <w:t>That is clearly not the case here.</w:t>
      </w:r>
      <w:r w:rsidR="00DE2A80" w:rsidRPr="00E60984">
        <w:rPr>
          <w:lang w:val="en-CA"/>
        </w:rPr>
        <w:t xml:space="preserve"> </w:t>
      </w:r>
      <w:r w:rsidRPr="00E60984">
        <w:rPr>
          <w:lang w:val="en-CA"/>
        </w:rPr>
        <w:t xml:space="preserve">First, it should be recalled the section 289.4 of the </w:t>
      </w:r>
      <w:r w:rsidRPr="00E60984">
        <w:rPr>
          <w:i/>
          <w:lang w:val="en-CA"/>
        </w:rPr>
        <w:t>Police Act</w:t>
      </w:r>
      <w:r w:rsidRPr="00E60984">
        <w:rPr>
          <w:lang w:val="en-CA"/>
        </w:rPr>
        <w:t xml:space="preserve"> authorizes a regulation concerning BEI investigations and that investigations must be impartial, independent, and transparent.</w:t>
      </w:r>
      <w:r w:rsidR="00DE2A80" w:rsidRPr="00E60984">
        <w:rPr>
          <w:lang w:val="en-CA"/>
        </w:rPr>
        <w:t xml:space="preserve"> </w:t>
      </w:r>
      <w:r w:rsidRPr="00E60984">
        <w:rPr>
          <w:lang w:val="en-CA"/>
        </w:rPr>
        <w:t>Furthermore, the government regulation may also determine “the obligations of the police officers involved in the occurrence, the police officers who witnessed the occurrence and the director of the police force involved.”</w:t>
      </w:r>
      <w:r w:rsidR="00DE2A80" w:rsidRPr="00E60984">
        <w:rPr>
          <w:lang w:val="en-CA"/>
        </w:rPr>
        <w:t xml:space="preserve"> </w:t>
      </w:r>
      <w:r w:rsidRPr="00E60984">
        <w:rPr>
          <w:lang w:val="en-CA"/>
        </w:rPr>
        <w:t xml:space="preserve">In this context, the obligation </w:t>
      </w:r>
      <w:r w:rsidR="00A948AF">
        <w:rPr>
          <w:lang w:val="en-CA"/>
        </w:rPr>
        <w:t>o</w:t>
      </w:r>
      <w:r w:rsidRPr="00E60984">
        <w:rPr>
          <w:lang w:val="en-CA"/>
        </w:rPr>
        <w:t>f witness police officers and police officers involved to withdraw from the scene</w:t>
      </w:r>
      <w:r w:rsidR="00A948AF">
        <w:rPr>
          <w:lang w:val="en-CA"/>
        </w:rPr>
        <w:t>,</w:t>
      </w:r>
      <w:r w:rsidRPr="00E60984">
        <w:rPr>
          <w:lang w:val="en-CA"/>
        </w:rPr>
        <w:t xml:space="preserve"> set out in subparagraph (1) of the first paragraph of section 1 of the </w:t>
      </w:r>
      <w:r w:rsidRPr="00E60984">
        <w:rPr>
          <w:i/>
          <w:lang w:val="en-CA"/>
        </w:rPr>
        <w:t>Regulation</w:t>
      </w:r>
      <w:r w:rsidR="00A948AF">
        <w:rPr>
          <w:i/>
          <w:lang w:val="en-CA"/>
        </w:rPr>
        <w:t>,</w:t>
      </w:r>
      <w:r w:rsidRPr="00E60984">
        <w:rPr>
          <w:lang w:val="en-CA"/>
        </w:rPr>
        <w:t xml:space="preserve"> is clearly </w:t>
      </w:r>
      <w:r w:rsidRPr="00E60984">
        <w:rPr>
          <w:i/>
          <w:lang w:val="en-CA"/>
        </w:rPr>
        <w:t>intra vires</w:t>
      </w:r>
      <w:r w:rsidRPr="00E60984">
        <w:rPr>
          <w:lang w:val="en-CA"/>
        </w:rPr>
        <w:t xml:space="preserve"> the government’s regulatory powers.</w:t>
      </w:r>
      <w:r w:rsidR="00DE2A80" w:rsidRPr="00E60984">
        <w:rPr>
          <w:lang w:val="en-CA"/>
        </w:rPr>
        <w:t xml:space="preserve"> </w:t>
      </w:r>
    </w:p>
    <w:p w14:paraId="31710110" w14:textId="50E03830" w:rsidR="00A17C43" w:rsidRPr="00E60984" w:rsidRDefault="00350CDD" w:rsidP="005F15BF">
      <w:pPr>
        <w:pStyle w:val="Paragraphe"/>
        <w:spacing w:line="240" w:lineRule="auto"/>
        <w:rPr>
          <w:lang w:val="en-CA"/>
        </w:rPr>
      </w:pPr>
      <w:r w:rsidRPr="00E60984">
        <w:rPr>
          <w:lang w:val="en-CA"/>
        </w:rPr>
        <w:t>Indeed, this rule is not completely foreign to the purpose of the enabling legislative provision.</w:t>
      </w:r>
      <w:r w:rsidR="00DE2A80" w:rsidRPr="00E60984">
        <w:rPr>
          <w:lang w:val="en-CA"/>
        </w:rPr>
        <w:t xml:space="preserve"> </w:t>
      </w:r>
      <w:r w:rsidRPr="00F45933">
        <w:rPr>
          <w:lang w:val="en-CA"/>
        </w:rPr>
        <w:t xml:space="preserve">On the contrary, </w:t>
      </w:r>
      <w:r w:rsidR="00A948AF" w:rsidRPr="00F45933">
        <w:rPr>
          <w:lang w:val="en-CA"/>
        </w:rPr>
        <w:t>it</w:t>
      </w:r>
      <w:r w:rsidRPr="00F45933">
        <w:rPr>
          <w:lang w:val="en-CA"/>
        </w:rPr>
        <w:t xml:space="preserve"> is in line with the </w:t>
      </w:r>
      <w:r w:rsidR="00A948AF" w:rsidRPr="00F45933">
        <w:rPr>
          <w:lang w:val="en-CA"/>
        </w:rPr>
        <w:t xml:space="preserve">recommendation in the </w:t>
      </w:r>
      <w:r w:rsidR="00050F25" w:rsidRPr="00F45933">
        <w:rPr>
          <w:lang w:val="en-CA"/>
        </w:rPr>
        <w:t>Ombudsman</w:t>
      </w:r>
      <w:r w:rsidRPr="00F45933">
        <w:rPr>
          <w:lang w:val="en-CA"/>
        </w:rPr>
        <w:t xml:space="preserve">’s </w:t>
      </w:r>
      <w:r w:rsidR="00A948AF" w:rsidRPr="00F45933">
        <w:rPr>
          <w:lang w:val="en-CA"/>
        </w:rPr>
        <w:t>R</w:t>
      </w:r>
      <w:r w:rsidRPr="00F45933">
        <w:rPr>
          <w:lang w:val="en-CA"/>
        </w:rPr>
        <w:t xml:space="preserve">eport </w:t>
      </w:r>
      <w:r w:rsidR="00A948AF" w:rsidRPr="00F45933">
        <w:rPr>
          <w:lang w:val="en-CA"/>
        </w:rPr>
        <w:t xml:space="preserve">to </w:t>
      </w:r>
      <w:r w:rsidRPr="00F45933">
        <w:rPr>
          <w:lang w:val="en-CA"/>
        </w:rPr>
        <w:t>creat</w:t>
      </w:r>
      <w:r w:rsidR="00A948AF" w:rsidRPr="00F45933">
        <w:rPr>
          <w:lang w:val="en-CA"/>
        </w:rPr>
        <w:t>e</w:t>
      </w:r>
      <w:r w:rsidRPr="00F45933">
        <w:rPr>
          <w:lang w:val="en-CA"/>
        </w:rPr>
        <w:t xml:space="preserve"> an </w:t>
      </w:r>
      <w:r w:rsidRPr="00863D60">
        <w:rPr>
          <w:lang w:val="en-CA"/>
        </w:rPr>
        <w:t>obligation</w:t>
      </w:r>
      <w:r w:rsidRPr="00E60984">
        <w:rPr>
          <w:lang w:val="en-CA"/>
        </w:rPr>
        <w:t xml:space="preserve"> </w:t>
      </w:r>
      <w:r w:rsidR="00F45933">
        <w:rPr>
          <w:lang w:val="en-CA"/>
        </w:rPr>
        <w:t xml:space="preserve">on the part of </w:t>
      </w:r>
      <w:r w:rsidRPr="00E60984">
        <w:rPr>
          <w:lang w:val="en-CA"/>
        </w:rPr>
        <w:t xml:space="preserve">the police force involved to preserve the integrity of the evidence and scene </w:t>
      </w:r>
      <w:r w:rsidR="00050F25">
        <w:rPr>
          <w:lang w:val="en-CA"/>
        </w:rPr>
        <w:t xml:space="preserve">pending the arrival of </w:t>
      </w:r>
      <w:r w:rsidRPr="00E60984">
        <w:rPr>
          <w:lang w:val="en-CA"/>
        </w:rPr>
        <w:t>independent investigators.</w:t>
      </w:r>
      <w:r w:rsidRPr="00E60984">
        <w:rPr>
          <w:rStyle w:val="Appelnotedebasdep"/>
          <w:lang w:val="en-CA"/>
        </w:rPr>
        <w:footnoteReference w:id="152"/>
      </w:r>
      <w:r w:rsidR="00DE2A80" w:rsidRPr="00E60984">
        <w:rPr>
          <w:lang w:val="en-CA"/>
        </w:rPr>
        <w:t xml:space="preserve"> </w:t>
      </w:r>
      <w:r w:rsidRPr="00E60984">
        <w:rPr>
          <w:lang w:val="en-CA"/>
        </w:rPr>
        <w:t xml:space="preserve">As previously noted, the purpose of this provision is to preserve the evidence, </w:t>
      </w:r>
      <w:r w:rsidR="00A948AF">
        <w:rPr>
          <w:lang w:val="en-CA"/>
        </w:rPr>
        <w:t>primarily</w:t>
      </w:r>
      <w:r w:rsidRPr="00E60984">
        <w:rPr>
          <w:lang w:val="en-CA"/>
        </w:rPr>
        <w:t xml:space="preserve"> to ensure </w:t>
      </w:r>
      <w:r w:rsidR="00A948AF">
        <w:rPr>
          <w:lang w:val="en-CA"/>
        </w:rPr>
        <w:t xml:space="preserve">an impartial </w:t>
      </w:r>
      <w:r w:rsidRPr="00E60984">
        <w:rPr>
          <w:lang w:val="en-CA"/>
        </w:rPr>
        <w:t>investigation and public confidence in it.</w:t>
      </w:r>
      <w:r w:rsidR="00DE2A80" w:rsidRPr="00E60984">
        <w:rPr>
          <w:lang w:val="en-CA"/>
        </w:rPr>
        <w:t xml:space="preserve"> </w:t>
      </w:r>
      <w:r w:rsidRPr="00E60984">
        <w:rPr>
          <w:lang w:val="en-CA"/>
        </w:rPr>
        <w:t xml:space="preserve">This provision is therefore </w:t>
      </w:r>
      <w:r w:rsidRPr="00E60984">
        <w:rPr>
          <w:i/>
          <w:lang w:val="en-CA"/>
        </w:rPr>
        <w:t>intra vires</w:t>
      </w:r>
      <w:r w:rsidRPr="00E60984">
        <w:rPr>
          <w:lang w:val="en-CA"/>
        </w:rPr>
        <w:t xml:space="preserve"> the regulatory powers set out in the </w:t>
      </w:r>
      <w:r w:rsidRPr="00E60984">
        <w:rPr>
          <w:i/>
          <w:lang w:val="en-CA"/>
        </w:rPr>
        <w:t>Police Act</w:t>
      </w:r>
      <w:r w:rsidRPr="00E60984">
        <w:rPr>
          <w:lang w:val="en-CA"/>
        </w:rPr>
        <w:t>.</w:t>
      </w:r>
      <w:r w:rsidR="00DE2A80" w:rsidRPr="00E60984">
        <w:rPr>
          <w:i/>
          <w:iCs/>
          <w:lang w:val="en-CA"/>
        </w:rPr>
        <w:t xml:space="preserve"> </w:t>
      </w:r>
    </w:p>
    <w:p w14:paraId="5742A39E" w14:textId="4279D6F4" w:rsidR="00A17C43" w:rsidRPr="00E60984" w:rsidRDefault="00350CDD" w:rsidP="005F15BF">
      <w:pPr>
        <w:pStyle w:val="Paragraphe"/>
        <w:spacing w:line="240" w:lineRule="auto"/>
        <w:rPr>
          <w:lang w:val="en-CA"/>
        </w:rPr>
      </w:pPr>
      <w:r w:rsidRPr="00E60984">
        <w:rPr>
          <w:lang w:val="en-CA"/>
        </w:rPr>
        <w:t xml:space="preserve">The same is true for section 3 of the </w:t>
      </w:r>
      <w:r w:rsidRPr="00E60984">
        <w:rPr>
          <w:i/>
          <w:lang w:val="en-CA"/>
        </w:rPr>
        <w:t>Regulation</w:t>
      </w:r>
      <w:r w:rsidRPr="00E60984">
        <w:rPr>
          <w:lang w:val="en-CA"/>
        </w:rPr>
        <w:t xml:space="preserve"> requiring the BEI and the other police forces conducting parallel investigations to cooperate and </w:t>
      </w:r>
      <w:r w:rsidR="00A948AF">
        <w:rPr>
          <w:lang w:val="en-CA"/>
        </w:rPr>
        <w:t xml:space="preserve">giving </w:t>
      </w:r>
      <w:r w:rsidRPr="00E60984">
        <w:rPr>
          <w:lang w:val="en-CA"/>
        </w:rPr>
        <w:t xml:space="preserve">the BEI investigation precedence over these other police forces with regard to the evidence, testimonies, and control of the scene of the occurrence. This provision prevents potential misunderstandings between the BEI and other police forces involved and ensures that </w:t>
      </w:r>
      <w:r w:rsidRPr="00E60984">
        <w:rPr>
          <w:lang w:val="en-CA"/>
        </w:rPr>
        <w:lastRenderedPageBreak/>
        <w:t xml:space="preserve">the BEI has access to all the essential elements to </w:t>
      </w:r>
      <w:r w:rsidR="001611B6">
        <w:rPr>
          <w:lang w:val="en-CA"/>
        </w:rPr>
        <w:t xml:space="preserve">carry out </w:t>
      </w:r>
      <w:r w:rsidRPr="00E60984">
        <w:rPr>
          <w:lang w:val="en-CA"/>
        </w:rPr>
        <w:t>its investigation.</w:t>
      </w:r>
      <w:r w:rsidR="00DE2A80" w:rsidRPr="00E60984">
        <w:rPr>
          <w:lang w:val="en-CA"/>
        </w:rPr>
        <w:t xml:space="preserve"> </w:t>
      </w:r>
      <w:r w:rsidR="00040DA9">
        <w:rPr>
          <w:lang w:val="en-CA"/>
        </w:rPr>
        <w:t>In fact, t</w:t>
      </w:r>
      <w:r w:rsidRPr="00E60984">
        <w:rPr>
          <w:lang w:val="en-CA"/>
        </w:rPr>
        <w:t xml:space="preserve">he </w:t>
      </w:r>
      <w:r w:rsidR="00050F25">
        <w:rPr>
          <w:lang w:val="en-CA"/>
        </w:rPr>
        <w:t>Ombudsman</w:t>
      </w:r>
      <w:r w:rsidRPr="00E60984">
        <w:rPr>
          <w:lang w:val="en-CA"/>
        </w:rPr>
        <w:t xml:space="preserve">’s </w:t>
      </w:r>
      <w:r w:rsidR="001611B6">
        <w:rPr>
          <w:lang w:val="en-CA"/>
        </w:rPr>
        <w:t>R</w:t>
      </w:r>
      <w:r w:rsidRPr="00E60984">
        <w:rPr>
          <w:lang w:val="en-CA"/>
        </w:rPr>
        <w:t>eport recommended this precedence.</w:t>
      </w:r>
      <w:r w:rsidRPr="00E60984">
        <w:rPr>
          <w:rStyle w:val="Appelnotedebasdep"/>
          <w:lang w:val="en-CA"/>
        </w:rPr>
        <w:footnoteReference w:id="153"/>
      </w:r>
    </w:p>
    <w:p w14:paraId="328BD850" w14:textId="7D08EAB8" w:rsidR="00A17C43" w:rsidRPr="00E60984" w:rsidRDefault="00350CDD" w:rsidP="005F15BF">
      <w:pPr>
        <w:pStyle w:val="Paragraphe"/>
        <w:spacing w:line="240" w:lineRule="auto"/>
        <w:rPr>
          <w:lang w:val="en-CA"/>
        </w:rPr>
      </w:pPr>
      <w:r w:rsidRPr="00E60984">
        <w:rPr>
          <w:lang w:val="en-CA"/>
        </w:rPr>
        <w:t xml:space="preserve">Section 48 of the </w:t>
      </w:r>
      <w:r w:rsidRPr="00E60984">
        <w:rPr>
          <w:i/>
          <w:lang w:val="en-CA"/>
        </w:rPr>
        <w:t>Police Act</w:t>
      </w:r>
      <w:r w:rsidRPr="00E60984">
        <w:rPr>
          <w:lang w:val="en-CA"/>
        </w:rPr>
        <w:t xml:space="preserve"> states that the mission of police forces and police officers is to maintain peace, order and public security and to prevent and repress crime.</w:t>
      </w:r>
      <w:r w:rsidR="00DE2A80" w:rsidRPr="00E60984">
        <w:rPr>
          <w:lang w:val="en-CA"/>
        </w:rPr>
        <w:t xml:space="preserve"> </w:t>
      </w:r>
      <w:r w:rsidRPr="00E60984">
        <w:rPr>
          <w:lang w:val="en-CA"/>
        </w:rPr>
        <w:t>In pursuing th</w:t>
      </w:r>
      <w:r w:rsidR="00EA6584">
        <w:rPr>
          <w:lang w:val="en-CA"/>
        </w:rPr>
        <w:t>eir</w:t>
      </w:r>
      <w:r w:rsidRPr="00E60984">
        <w:rPr>
          <w:lang w:val="en-CA"/>
        </w:rPr>
        <w:t xml:space="preserve"> mission, they must act in collaboration and in partnership with the persons and various stakeholders from the communities concerned by their mission</w:t>
      </w:r>
      <w:r w:rsidR="00EA6584">
        <w:rPr>
          <w:lang w:val="en-CA"/>
        </w:rPr>
        <w:t xml:space="preserve">, among others, </w:t>
      </w:r>
      <w:r w:rsidRPr="00E60984">
        <w:rPr>
          <w:lang w:val="en-CA"/>
        </w:rPr>
        <w:t xml:space="preserve">to foster the complementarity and effectiveness of their interventions. The incidental appellants argue that the priority granted to BEI investigations by the </w:t>
      </w:r>
      <w:r w:rsidRPr="00E60984">
        <w:rPr>
          <w:i/>
          <w:lang w:val="en-CA"/>
        </w:rPr>
        <w:t>Regulation</w:t>
      </w:r>
      <w:r w:rsidRPr="00E60984">
        <w:rPr>
          <w:lang w:val="en-CA"/>
        </w:rPr>
        <w:t xml:space="preserve"> is contrary to this legislative provision.</w:t>
      </w:r>
    </w:p>
    <w:p w14:paraId="39F64ED4" w14:textId="682F2FDF" w:rsidR="00A17C43" w:rsidRPr="00E60984" w:rsidRDefault="00350CDD" w:rsidP="005F15BF">
      <w:pPr>
        <w:pStyle w:val="Paragraphe"/>
        <w:spacing w:before="240" w:line="240" w:lineRule="auto"/>
        <w:rPr>
          <w:lang w:val="en-CA"/>
        </w:rPr>
      </w:pPr>
      <w:r w:rsidRPr="00E60984">
        <w:rPr>
          <w:lang w:val="en-CA"/>
        </w:rPr>
        <w:t xml:space="preserve">Nothing in the evidence supports the conclusion that the precedence of the BEI investigation </w:t>
      </w:r>
      <w:r w:rsidR="00EA6584">
        <w:rPr>
          <w:lang w:val="en-CA"/>
        </w:rPr>
        <w:t>adversely affects</w:t>
      </w:r>
      <w:r w:rsidRPr="00E60984">
        <w:rPr>
          <w:lang w:val="en-CA"/>
        </w:rPr>
        <w:t xml:space="preserve"> parallel police investigations or that section 48 of the </w:t>
      </w:r>
      <w:r w:rsidRPr="00E60984">
        <w:rPr>
          <w:i/>
          <w:lang w:val="en-CA"/>
        </w:rPr>
        <w:t>Police Act</w:t>
      </w:r>
      <w:r w:rsidRPr="00E60984">
        <w:rPr>
          <w:lang w:val="en-CA"/>
        </w:rPr>
        <w:t xml:space="preserve"> </w:t>
      </w:r>
      <w:r w:rsidR="00630F94">
        <w:rPr>
          <w:lang w:val="en-CA"/>
        </w:rPr>
        <w:t xml:space="preserve">might </w:t>
      </w:r>
      <w:r w:rsidR="00EA6584">
        <w:rPr>
          <w:lang w:val="en-CA"/>
        </w:rPr>
        <w:t xml:space="preserve">be </w:t>
      </w:r>
      <w:r w:rsidRPr="00E60984">
        <w:rPr>
          <w:lang w:val="en-CA"/>
        </w:rPr>
        <w:t>breached due to a BEI investigation.</w:t>
      </w:r>
      <w:r w:rsidR="00DE2A80" w:rsidRPr="00E60984">
        <w:rPr>
          <w:lang w:val="en-CA"/>
        </w:rPr>
        <w:t xml:space="preserve"> </w:t>
      </w:r>
      <w:r w:rsidRPr="00E60984">
        <w:rPr>
          <w:lang w:val="en-CA"/>
        </w:rPr>
        <w:t>The incidental appellants’ argument to the contrary is not based on any evidence and therefore cannot be accepted.</w:t>
      </w:r>
    </w:p>
    <w:p w14:paraId="393AE5B8" w14:textId="47A6975B" w:rsidR="00A17C43" w:rsidRPr="00E60984" w:rsidRDefault="00350CDD" w:rsidP="005F15BF">
      <w:pPr>
        <w:pStyle w:val="Paragraphe"/>
        <w:spacing w:line="240" w:lineRule="auto"/>
        <w:rPr>
          <w:lang w:val="en-CA"/>
        </w:rPr>
      </w:pPr>
      <w:r w:rsidRPr="00E60984">
        <w:rPr>
          <w:lang w:val="en-CA"/>
        </w:rPr>
        <w:t xml:space="preserve">Nor can </w:t>
      </w:r>
      <w:r w:rsidR="00EA6584">
        <w:rPr>
          <w:lang w:val="en-CA"/>
        </w:rPr>
        <w:t xml:space="preserve">the Court accept </w:t>
      </w:r>
      <w:r w:rsidRPr="00E60984">
        <w:rPr>
          <w:lang w:val="en-CA"/>
        </w:rPr>
        <w:t>the arguments of the incidental appellants with respect to the rules governing the independence of police forces in relation to the executive branch of government and the rule of law.</w:t>
      </w:r>
      <w:r w:rsidR="00DE2A80" w:rsidRPr="00E60984">
        <w:rPr>
          <w:lang w:val="en-CA"/>
        </w:rPr>
        <w:t xml:space="preserve"> </w:t>
      </w:r>
      <w:r w:rsidRPr="00E60984">
        <w:rPr>
          <w:lang w:val="en-CA"/>
        </w:rPr>
        <w:t xml:space="preserve">Indeed, aside from stating it, the incidental appellants </w:t>
      </w:r>
      <w:r w:rsidR="00EA6584">
        <w:rPr>
          <w:lang w:val="en-CA"/>
        </w:rPr>
        <w:t>offer</w:t>
      </w:r>
      <w:r w:rsidRPr="00E60984">
        <w:rPr>
          <w:lang w:val="en-CA"/>
        </w:rPr>
        <w:t xml:space="preserve"> no explanation as to the basis of their arguments in this regard.</w:t>
      </w:r>
    </w:p>
    <w:p w14:paraId="238BA15B" w14:textId="41C35179" w:rsidR="00A17C43" w:rsidRPr="00E60984" w:rsidRDefault="00350CDD" w:rsidP="005F15BF">
      <w:pPr>
        <w:pStyle w:val="Paragraphe"/>
        <w:spacing w:line="240" w:lineRule="auto"/>
        <w:rPr>
          <w:lang w:val="en-CA"/>
        </w:rPr>
      </w:pPr>
      <w:r w:rsidRPr="00E60984">
        <w:rPr>
          <w:lang w:val="en-CA"/>
        </w:rPr>
        <w:t xml:space="preserve">It should be noted that the unwritten constitutional principles, including the rule of law, cannot on their own serve as the basis </w:t>
      </w:r>
      <w:r w:rsidR="00630F94">
        <w:rPr>
          <w:lang w:val="en-CA"/>
        </w:rPr>
        <w:t>for</w:t>
      </w:r>
      <w:r w:rsidR="00630F94" w:rsidRPr="00E60984">
        <w:rPr>
          <w:lang w:val="en-CA"/>
        </w:rPr>
        <w:t xml:space="preserve"> </w:t>
      </w:r>
      <w:r w:rsidR="00EA6584">
        <w:rPr>
          <w:lang w:val="en-CA"/>
        </w:rPr>
        <w:t xml:space="preserve">a </w:t>
      </w:r>
      <w:r w:rsidRPr="00E60984">
        <w:rPr>
          <w:lang w:val="en-CA"/>
        </w:rPr>
        <w:t>declar</w:t>
      </w:r>
      <w:r w:rsidR="00EA6584">
        <w:rPr>
          <w:lang w:val="en-CA"/>
        </w:rPr>
        <w:t>ation</w:t>
      </w:r>
      <w:r w:rsidRPr="00E60984">
        <w:rPr>
          <w:lang w:val="en-CA"/>
        </w:rPr>
        <w:t xml:space="preserve"> </w:t>
      </w:r>
      <w:r w:rsidR="00EA6584">
        <w:rPr>
          <w:lang w:val="en-CA"/>
        </w:rPr>
        <w:t xml:space="preserve">that </w:t>
      </w:r>
      <w:r w:rsidRPr="00E60984">
        <w:rPr>
          <w:lang w:val="en-CA"/>
        </w:rPr>
        <w:t xml:space="preserve">a legislative measure </w:t>
      </w:r>
      <w:r w:rsidR="00EA6584">
        <w:rPr>
          <w:lang w:val="en-CA"/>
        </w:rPr>
        <w:t xml:space="preserve">is </w:t>
      </w:r>
      <w:r w:rsidRPr="00E60984">
        <w:rPr>
          <w:lang w:val="en-CA"/>
        </w:rPr>
        <w:t>invalid under section</w:t>
      </w:r>
      <w:r w:rsidR="00DE2A80" w:rsidRPr="00E60984">
        <w:rPr>
          <w:lang w:val="en-CA"/>
        </w:rPr>
        <w:t xml:space="preserve"> </w:t>
      </w:r>
      <w:r w:rsidRPr="00E60984">
        <w:rPr>
          <w:lang w:val="en-CA"/>
        </w:rPr>
        <w:t xml:space="preserve">52(1) of the </w:t>
      </w:r>
      <w:r w:rsidRPr="00E60984">
        <w:rPr>
          <w:i/>
          <w:lang w:val="en-CA"/>
        </w:rPr>
        <w:t>Constitution Act, 1982</w:t>
      </w:r>
      <w:r w:rsidRPr="00E60984">
        <w:rPr>
          <w:lang w:val="en-CA"/>
        </w:rPr>
        <w:t>.</w:t>
      </w:r>
      <w:r w:rsidRPr="00E60984">
        <w:rPr>
          <w:vertAlign w:val="superscript"/>
          <w:lang w:val="en-CA"/>
        </w:rPr>
        <w:footnoteReference w:id="154"/>
      </w:r>
      <w:r w:rsidR="00DE2A80" w:rsidRPr="00E60984">
        <w:rPr>
          <w:lang w:val="en-CA"/>
        </w:rPr>
        <w:t xml:space="preserve"> </w:t>
      </w:r>
      <w:r w:rsidRPr="00E60984">
        <w:rPr>
          <w:lang w:val="en-CA"/>
        </w:rPr>
        <w:t>Moreover, the principle of police independence must be understood as the absence of partisan pressure in police affairs.</w:t>
      </w:r>
      <w:r w:rsidRPr="00E60984">
        <w:rPr>
          <w:rStyle w:val="Appelnotedebasdep"/>
          <w:lang w:val="en-CA"/>
        </w:rPr>
        <w:footnoteReference w:id="155"/>
      </w:r>
      <w:r w:rsidR="007A6DE7" w:rsidRPr="00E60984">
        <w:rPr>
          <w:lang w:val="en-CA"/>
        </w:rPr>
        <w:t xml:space="preserve"> </w:t>
      </w:r>
      <w:r w:rsidRPr="00E60984">
        <w:rPr>
          <w:lang w:val="en-CA"/>
        </w:rPr>
        <w:t>That is not the case here given that the impugned provisions cannot be reasonably characterized as partisan pressure.</w:t>
      </w:r>
    </w:p>
    <w:p w14:paraId="3EB9EDE9" w14:textId="4841282E" w:rsidR="00A17C43" w:rsidRPr="00E60984" w:rsidRDefault="00350CDD" w:rsidP="006E1C6F">
      <w:pPr>
        <w:pStyle w:val="Paragraphe"/>
        <w:numPr>
          <w:ilvl w:val="0"/>
          <w:numId w:val="0"/>
        </w:numPr>
        <w:spacing w:before="240" w:line="240" w:lineRule="auto"/>
        <w:ind w:left="720"/>
        <w:rPr>
          <w:i/>
          <w:iCs/>
          <w:u w:val="single"/>
          <w:lang w:val="en-CA"/>
        </w:rPr>
      </w:pPr>
      <w:r w:rsidRPr="00E60984">
        <w:rPr>
          <w:i/>
          <w:iCs/>
          <w:u w:val="single"/>
          <w:lang w:val="en-CA"/>
        </w:rPr>
        <w:t>BEI directive on call</w:t>
      </w:r>
      <w:r w:rsidR="00AB4F70">
        <w:rPr>
          <w:i/>
          <w:iCs/>
          <w:u w:val="single"/>
          <w:lang w:val="en-CA"/>
        </w:rPr>
        <w:t>ing</w:t>
      </w:r>
      <w:r w:rsidRPr="00E60984">
        <w:rPr>
          <w:i/>
          <w:iCs/>
          <w:u w:val="single"/>
          <w:lang w:val="en-CA"/>
        </w:rPr>
        <w:t xml:space="preserve"> cards</w:t>
      </w:r>
    </w:p>
    <w:p w14:paraId="7DE8D2EA" w14:textId="76352E4F" w:rsidR="00A17C43" w:rsidRPr="00E60984" w:rsidRDefault="00350CDD" w:rsidP="005F15BF">
      <w:pPr>
        <w:pStyle w:val="Paragraphe"/>
        <w:spacing w:line="240" w:lineRule="auto"/>
        <w:rPr>
          <w:lang w:val="en-CA"/>
        </w:rPr>
      </w:pPr>
      <w:r w:rsidRPr="00E60984">
        <w:rPr>
          <w:lang w:val="en-CA"/>
        </w:rPr>
        <w:t>The incidental appellants also ask the Court to declare that the BEI cannot prohibit witness police officers and police officers involved from having access to what is known as the “call</w:t>
      </w:r>
      <w:r w:rsidR="00AB4F70">
        <w:rPr>
          <w:lang w:val="en-CA"/>
        </w:rPr>
        <w:t>ing</w:t>
      </w:r>
      <w:r w:rsidRPr="00E60984">
        <w:rPr>
          <w:lang w:val="en-CA"/>
        </w:rPr>
        <w:t xml:space="preserve"> card” when they draw up their accounts of the occurrence in accordance with subparagraph (2) of the first paragraph of section 1 of the </w:t>
      </w:r>
      <w:r w:rsidRPr="00E60984">
        <w:rPr>
          <w:i/>
          <w:lang w:val="en-CA"/>
        </w:rPr>
        <w:t>Regulation</w:t>
      </w:r>
      <w:r w:rsidRPr="00E60984">
        <w:rPr>
          <w:lang w:val="en-CA"/>
        </w:rPr>
        <w:t>.</w:t>
      </w:r>
      <w:r w:rsidR="00DE2A80" w:rsidRPr="00E60984">
        <w:rPr>
          <w:lang w:val="en-CA"/>
        </w:rPr>
        <w:t xml:space="preserve"> </w:t>
      </w:r>
      <w:r w:rsidRPr="00E60984">
        <w:rPr>
          <w:lang w:val="en-CA"/>
        </w:rPr>
        <w:t xml:space="preserve">They allege that the trial judge refused to grant their application in this </w:t>
      </w:r>
      <w:r w:rsidR="004B7258">
        <w:rPr>
          <w:lang w:val="en-CA"/>
        </w:rPr>
        <w:t>regard</w:t>
      </w:r>
      <w:r w:rsidRPr="00E60984">
        <w:rPr>
          <w:lang w:val="en-CA"/>
        </w:rPr>
        <w:t>.</w:t>
      </w:r>
      <w:r w:rsidR="00DE2A80" w:rsidRPr="00E60984">
        <w:rPr>
          <w:lang w:val="en-CA"/>
        </w:rPr>
        <w:t xml:space="preserve"> </w:t>
      </w:r>
      <w:r w:rsidRPr="00E60984">
        <w:rPr>
          <w:lang w:val="en-CA"/>
        </w:rPr>
        <w:t>Note that the “call</w:t>
      </w:r>
      <w:r w:rsidR="00AB4F70">
        <w:rPr>
          <w:lang w:val="en-CA"/>
        </w:rPr>
        <w:t>ing</w:t>
      </w:r>
      <w:r w:rsidRPr="00E60984">
        <w:rPr>
          <w:lang w:val="en-CA"/>
        </w:rPr>
        <w:t xml:space="preserve"> card” contains information gathered by the police force involved during a police intervention.</w:t>
      </w:r>
      <w:r w:rsidR="00DE2A80" w:rsidRPr="00E60984">
        <w:rPr>
          <w:lang w:val="en-CA"/>
        </w:rPr>
        <w:t xml:space="preserve"> </w:t>
      </w:r>
    </w:p>
    <w:p w14:paraId="67F061F4" w14:textId="4C90A0A1" w:rsidR="00A17C43" w:rsidRPr="00E60984" w:rsidRDefault="00350CDD" w:rsidP="005F15BF">
      <w:pPr>
        <w:pStyle w:val="Paragraphe"/>
        <w:spacing w:line="240" w:lineRule="auto"/>
        <w:rPr>
          <w:lang w:val="en-CA"/>
        </w:rPr>
      </w:pPr>
      <w:r w:rsidRPr="00E60984">
        <w:rPr>
          <w:lang w:val="en-CA"/>
        </w:rPr>
        <w:lastRenderedPageBreak/>
        <w:t xml:space="preserve">With respect, this question is related to the conduct of the BEI police investigation and raises no constitutional </w:t>
      </w:r>
      <w:r w:rsidR="004B7258">
        <w:rPr>
          <w:lang w:val="en-CA"/>
        </w:rPr>
        <w:t xml:space="preserve">issue </w:t>
      </w:r>
      <w:r w:rsidRPr="00E60984">
        <w:rPr>
          <w:lang w:val="en-CA"/>
        </w:rPr>
        <w:t xml:space="preserve">or </w:t>
      </w:r>
      <w:r w:rsidR="004B7258">
        <w:rPr>
          <w:lang w:val="en-CA"/>
        </w:rPr>
        <w:t xml:space="preserve">even a </w:t>
      </w:r>
      <w:r w:rsidRPr="00E60984">
        <w:rPr>
          <w:lang w:val="en-CA"/>
        </w:rPr>
        <w:t xml:space="preserve">legal issue. The BEI can conduct its investigation as it </w:t>
      </w:r>
      <w:r w:rsidR="004B7258">
        <w:rPr>
          <w:lang w:val="en-CA"/>
        </w:rPr>
        <w:t>sees</w:t>
      </w:r>
      <w:r w:rsidRPr="00E60984">
        <w:rPr>
          <w:lang w:val="en-CA"/>
        </w:rPr>
        <w:t xml:space="preserve"> fit and it is not for the courts to manage these investigations in place of this independent police force.</w:t>
      </w:r>
    </w:p>
    <w:p w14:paraId="0BEAACBA" w14:textId="728F43AA" w:rsidR="00A17C43" w:rsidRPr="00E60984" w:rsidRDefault="00350CDD" w:rsidP="006E1C6F">
      <w:pPr>
        <w:pStyle w:val="Paragraphe"/>
        <w:numPr>
          <w:ilvl w:val="0"/>
          <w:numId w:val="0"/>
        </w:numPr>
        <w:spacing w:before="240" w:line="240" w:lineRule="auto"/>
        <w:rPr>
          <w:b/>
          <w:bCs/>
          <w:u w:val="single"/>
          <w:lang w:val="en-CA"/>
        </w:rPr>
      </w:pPr>
      <w:r w:rsidRPr="00E60984">
        <w:rPr>
          <w:b/>
          <w:bCs/>
          <w:u w:val="single"/>
          <w:lang w:val="en-CA"/>
        </w:rPr>
        <w:t>CONCLUSION</w:t>
      </w:r>
    </w:p>
    <w:p w14:paraId="44F1224D" w14:textId="60D52D64" w:rsidR="00A17C43" w:rsidRPr="00E60984" w:rsidRDefault="00350CDD" w:rsidP="00936B81">
      <w:pPr>
        <w:pStyle w:val="Paragraphe"/>
        <w:spacing w:after="0" w:line="240" w:lineRule="auto"/>
        <w:rPr>
          <w:lang w:val="en-CA"/>
        </w:rPr>
      </w:pPr>
      <w:r w:rsidRPr="00E60984">
        <w:rPr>
          <w:lang w:val="en-CA"/>
        </w:rPr>
        <w:t>For these reasons, I propose that the Court dismiss the principal appeal and the incidental appeal, without legal costs, as was the case at trial.</w:t>
      </w:r>
    </w:p>
    <w:tbl>
      <w:tblPr>
        <w:tblW w:w="9360" w:type="dxa"/>
        <w:tblInd w:w="70" w:type="dxa"/>
        <w:tblLayout w:type="fixed"/>
        <w:tblCellMar>
          <w:left w:w="70" w:type="dxa"/>
          <w:right w:w="70" w:type="dxa"/>
        </w:tblCellMar>
        <w:tblLook w:val="0000" w:firstRow="0" w:lastRow="0" w:firstColumn="0" w:lastColumn="0" w:noHBand="0" w:noVBand="0"/>
      </w:tblPr>
      <w:tblGrid>
        <w:gridCol w:w="4735"/>
        <w:gridCol w:w="4625"/>
      </w:tblGrid>
      <w:tr w:rsidR="006E799E" w:rsidRPr="00565A81" w14:paraId="19D98733" w14:textId="77777777" w:rsidTr="00976654">
        <w:trPr>
          <w:cantSplit/>
          <w:trHeight w:val="513"/>
        </w:trPr>
        <w:tc>
          <w:tcPr>
            <w:tcW w:w="9360" w:type="dxa"/>
            <w:gridSpan w:val="2"/>
          </w:tcPr>
          <w:p w14:paraId="71BDCFCB" w14:textId="77777777" w:rsidR="00A17C43" w:rsidRPr="00E60984" w:rsidRDefault="00A17C43" w:rsidP="00976654">
            <w:pPr>
              <w:rPr>
                <w:lang w:val="en-CA"/>
              </w:rPr>
            </w:pPr>
          </w:p>
        </w:tc>
      </w:tr>
      <w:tr w:rsidR="006E799E" w:rsidRPr="00565A81" w14:paraId="08F1B1DB" w14:textId="77777777" w:rsidTr="00976654">
        <w:tblPrEx>
          <w:tblCellMar>
            <w:left w:w="0" w:type="dxa"/>
            <w:right w:w="0" w:type="dxa"/>
          </w:tblCellMar>
        </w:tblPrEx>
        <w:trPr>
          <w:cantSplit/>
          <w:trHeight w:val="277"/>
        </w:trPr>
        <w:tc>
          <w:tcPr>
            <w:tcW w:w="4735" w:type="dxa"/>
            <w:vMerge w:val="restart"/>
          </w:tcPr>
          <w:p w14:paraId="49246B18" w14:textId="77777777" w:rsidR="00A17C43" w:rsidRPr="00E60984" w:rsidRDefault="00A17C43" w:rsidP="00976654">
            <w:pPr>
              <w:rPr>
                <w:lang w:val="en-CA"/>
              </w:rPr>
            </w:pPr>
          </w:p>
        </w:tc>
        <w:tc>
          <w:tcPr>
            <w:tcW w:w="4625" w:type="dxa"/>
            <w:tcBorders>
              <w:bottom w:val="single" w:sz="8" w:space="0" w:color="auto"/>
            </w:tcBorders>
          </w:tcPr>
          <w:p w14:paraId="152D6112" w14:textId="77777777" w:rsidR="00A17C43" w:rsidRPr="00E60984" w:rsidRDefault="00A17C43" w:rsidP="00976654">
            <w:pPr>
              <w:rPr>
                <w:lang w:val="en-CA"/>
              </w:rPr>
            </w:pPr>
          </w:p>
        </w:tc>
      </w:tr>
      <w:tr w:rsidR="006E799E" w:rsidRPr="00E60984" w14:paraId="639292D3" w14:textId="77777777" w:rsidTr="00976654">
        <w:tblPrEx>
          <w:tblCellMar>
            <w:left w:w="0" w:type="dxa"/>
            <w:right w:w="0" w:type="dxa"/>
          </w:tblCellMar>
        </w:tblPrEx>
        <w:trPr>
          <w:cantSplit/>
          <w:trHeight w:val="276"/>
        </w:trPr>
        <w:tc>
          <w:tcPr>
            <w:tcW w:w="4735" w:type="dxa"/>
            <w:vMerge/>
          </w:tcPr>
          <w:p w14:paraId="3B40C885" w14:textId="77777777" w:rsidR="00A17C43" w:rsidRPr="00E60984" w:rsidRDefault="00A17C43" w:rsidP="00976654">
            <w:pPr>
              <w:rPr>
                <w:lang w:val="en-CA"/>
              </w:rPr>
            </w:pPr>
          </w:p>
        </w:tc>
        <w:tc>
          <w:tcPr>
            <w:tcW w:w="4625" w:type="dxa"/>
          </w:tcPr>
          <w:p w14:paraId="3F59655E" w14:textId="29B3FB0B" w:rsidR="00A17C43" w:rsidRPr="006815E9" w:rsidRDefault="00FE3921" w:rsidP="00976654">
            <w:r w:rsidRPr="006815E9">
              <w:t>ROBERT M. MAINVILLE, J.A.</w:t>
            </w:r>
          </w:p>
        </w:tc>
      </w:tr>
    </w:tbl>
    <w:p w14:paraId="5B18D7E2" w14:textId="77777777" w:rsidR="00792D11" w:rsidRPr="006815E9" w:rsidRDefault="00792D11">
      <w:pPr>
        <w:spacing w:line="240" w:lineRule="auto"/>
        <w:rPr>
          <w:kern w:val="28"/>
        </w:rPr>
      </w:pPr>
      <w:r w:rsidRPr="006815E9">
        <w:br w:type="page"/>
      </w:r>
    </w:p>
    <w:p w14:paraId="6FCB660F" w14:textId="2F729DB4" w:rsidR="00A17C43" w:rsidRPr="00E60984" w:rsidRDefault="00983702" w:rsidP="00A17C43">
      <w:pPr>
        <w:pStyle w:val="Paragraphe"/>
        <w:numPr>
          <w:ilvl w:val="0"/>
          <w:numId w:val="0"/>
        </w:numPr>
        <w:jc w:val="center"/>
        <w:rPr>
          <w:lang w:val="en-CA"/>
        </w:rPr>
      </w:pPr>
      <w:r w:rsidRPr="00E60984">
        <w:rPr>
          <w:lang w:val="en-CA"/>
        </w:rPr>
        <w:lastRenderedPageBreak/>
        <w:t>SCHEDULE</w:t>
      </w:r>
    </w:p>
    <w:p w14:paraId="69173380" w14:textId="0576E392" w:rsidR="00A17C43" w:rsidRPr="00E60984" w:rsidRDefault="00983702" w:rsidP="00A17C43">
      <w:pPr>
        <w:pStyle w:val="Paragraphe"/>
        <w:numPr>
          <w:ilvl w:val="0"/>
          <w:numId w:val="0"/>
        </w:numPr>
        <w:spacing w:line="240" w:lineRule="auto"/>
        <w:rPr>
          <w:lang w:val="en-CA"/>
        </w:rPr>
      </w:pPr>
      <w:r w:rsidRPr="00E60984">
        <w:rPr>
          <w:lang w:val="en-CA"/>
        </w:rPr>
        <w:t>Excerpts from the</w:t>
      </w:r>
      <w:r w:rsidR="00DE2A80" w:rsidRPr="00E60984">
        <w:rPr>
          <w:lang w:val="en-CA"/>
        </w:rPr>
        <w:t xml:space="preserve"> </w:t>
      </w:r>
      <w:r w:rsidR="00142823" w:rsidRPr="00E60984">
        <w:rPr>
          <w:i/>
          <w:iCs/>
          <w:lang w:val="en-CA"/>
        </w:rPr>
        <w:t xml:space="preserve">Regulation respecting the conduct of the investigations of the Bureau des </w:t>
      </w:r>
      <w:proofErr w:type="spellStart"/>
      <w:r w:rsidR="00142823" w:rsidRPr="00E60984">
        <w:rPr>
          <w:i/>
          <w:iCs/>
          <w:lang w:val="en-CA"/>
        </w:rPr>
        <w:t>enquêtes</w:t>
      </w:r>
      <w:proofErr w:type="spellEnd"/>
      <w:r w:rsidR="00142823" w:rsidRPr="00E60984">
        <w:rPr>
          <w:i/>
          <w:iCs/>
          <w:lang w:val="en-CA"/>
        </w:rPr>
        <w:t xml:space="preserve"> </w:t>
      </w:r>
      <w:proofErr w:type="spellStart"/>
      <w:r w:rsidR="00142823" w:rsidRPr="00E60984">
        <w:rPr>
          <w:i/>
          <w:iCs/>
          <w:lang w:val="en-CA"/>
        </w:rPr>
        <w:t>indépendantes</w:t>
      </w:r>
      <w:proofErr w:type="spellEnd"/>
      <w:r w:rsidR="00DE2A80" w:rsidRPr="00E60984">
        <w:rPr>
          <w:lang w:val="en-CA"/>
        </w:rPr>
        <w:t xml:space="preserve">, </w:t>
      </w:r>
      <w:proofErr w:type="spellStart"/>
      <w:r w:rsidRPr="00E60984">
        <w:rPr>
          <w:lang w:val="en-CA"/>
        </w:rPr>
        <w:t>CQLR</w:t>
      </w:r>
      <w:proofErr w:type="spellEnd"/>
      <w:r w:rsidR="00DE2A80" w:rsidRPr="00E60984">
        <w:rPr>
          <w:lang w:val="en-CA"/>
        </w:rPr>
        <w:t>, c. P-13.1, r. 1.1.</w:t>
      </w:r>
    </w:p>
    <w:p w14:paraId="3A1F9EA0" w14:textId="77777777" w:rsidR="00A17C43" w:rsidRPr="00E60984" w:rsidRDefault="00A17C43" w:rsidP="00A17C43">
      <w:pPr>
        <w:pStyle w:val="Paragraphe"/>
        <w:numPr>
          <w:ilvl w:val="0"/>
          <w:numId w:val="0"/>
        </w:numPr>
        <w:spacing w:line="240" w:lineRule="auto"/>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983702" w:rsidRPr="00E60984" w14:paraId="2E20AF0D" w14:textId="512A75DD" w:rsidTr="00693E78">
        <w:tc>
          <w:tcPr>
            <w:tcW w:w="4676" w:type="dxa"/>
          </w:tcPr>
          <w:p w14:paraId="0F5C92C8" w14:textId="66A8DA27" w:rsidR="00983702" w:rsidRPr="00E60984" w:rsidRDefault="00000000" w:rsidP="006815E9">
            <w:pPr>
              <w:shd w:val="clear" w:color="auto" w:fill="FFFFFF"/>
              <w:spacing w:line="240" w:lineRule="auto"/>
              <w:ind w:left="739" w:right="173"/>
              <w:jc w:val="both"/>
              <w:rPr>
                <w:rFonts w:cs="Arial"/>
                <w:sz w:val="22"/>
                <w:szCs w:val="22"/>
                <w:lang w:val="en-CA" w:eastAsia="fr-CA"/>
              </w:rPr>
            </w:pPr>
            <w:hyperlink r:id="rId14" w:anchor="se:1" w:history="1">
              <w:r w:rsidR="00983702" w:rsidRPr="00E60984">
                <w:rPr>
                  <w:rFonts w:cs="Arial"/>
                  <w:b/>
                  <w:bCs/>
                  <w:sz w:val="22"/>
                  <w:szCs w:val="22"/>
                  <w:lang w:val="en-CA" w:eastAsia="fr-CA"/>
                </w:rPr>
                <w:t>1.</w:t>
              </w:r>
            </w:hyperlink>
            <w:r w:rsidR="00983702" w:rsidRPr="00E60984">
              <w:rPr>
                <w:rFonts w:cs="Arial"/>
                <w:sz w:val="22"/>
                <w:szCs w:val="22"/>
                <w:lang w:val="en-CA" w:eastAsia="fr-CA"/>
              </w:rPr>
              <w:t> A police officer involved and a witness police officer must, where a person, other than an on-duty police officer, dies, sustains a serious injury or is injured by a firearm used by a police officer during a police intervention or while the person is in police custody:</w:t>
            </w:r>
          </w:p>
          <w:p w14:paraId="6D77CE2E"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282DBE83"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(1)  withdraw from the scene of the occurrence as soon as possible;</w:t>
            </w:r>
          </w:p>
          <w:p w14:paraId="7DF26E8B"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5887CB39"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 xml:space="preserve">(2)  draw up independently, in particular without consultations and influence, an accurate, detailed and comprehensive account of the facts that took place during the occurrence, sign the account and submit it to the investigators of the Bureau des </w:t>
            </w:r>
            <w:proofErr w:type="spellStart"/>
            <w:r w:rsidRPr="00E60984">
              <w:rPr>
                <w:rFonts w:cs="Arial"/>
                <w:sz w:val="22"/>
                <w:szCs w:val="22"/>
                <w:lang w:val="en-CA" w:eastAsia="fr-CA"/>
              </w:rPr>
              <w:t>enquêtes</w:t>
            </w:r>
            <w:proofErr w:type="spellEnd"/>
            <w:r w:rsidRPr="00E60984">
              <w:rPr>
                <w:rFonts w:cs="Arial"/>
                <w:sz w:val="22"/>
                <w:szCs w:val="22"/>
                <w:lang w:val="en-CA" w:eastAsia="fr-CA"/>
              </w:rPr>
              <w:t xml:space="preserve"> </w:t>
            </w:r>
            <w:proofErr w:type="spellStart"/>
            <w:r w:rsidRPr="00E60984">
              <w:rPr>
                <w:rFonts w:cs="Arial"/>
                <w:sz w:val="22"/>
                <w:szCs w:val="22"/>
                <w:lang w:val="en-CA" w:eastAsia="fr-CA"/>
              </w:rPr>
              <w:t>indépendantes</w:t>
            </w:r>
            <w:proofErr w:type="spellEnd"/>
            <w:r w:rsidRPr="00E60984">
              <w:rPr>
                <w:rFonts w:cs="Arial"/>
                <w:sz w:val="22"/>
                <w:szCs w:val="22"/>
                <w:lang w:val="en-CA" w:eastAsia="fr-CA"/>
              </w:rPr>
              <w:t xml:space="preserve"> within 24 hours of the occurrence, unless the director of the Bureau grants a time extension;</w:t>
            </w:r>
          </w:p>
          <w:p w14:paraId="6C8C25F1"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57987F64"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(3)  meet with the investigators of the Bureau.</w:t>
            </w:r>
          </w:p>
          <w:p w14:paraId="105C0E73"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36A31391"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(4)  refrain from communicating with another police officer involved or witness police officer in connection with the occurrence until the police officer has submitted the account and met with the investigators of the Bureau; and</w:t>
            </w:r>
          </w:p>
          <w:p w14:paraId="29326796"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0DBCAB07"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(5)  remain available for the investigation purposes.</w:t>
            </w:r>
          </w:p>
          <w:p w14:paraId="19F9F49A"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25296F3F"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 xml:space="preserve">A police officer involved is a police officer present at an occurrence </w:t>
            </w:r>
            <w:r w:rsidRPr="00E60984">
              <w:rPr>
                <w:rFonts w:cs="Arial"/>
                <w:sz w:val="22"/>
                <w:szCs w:val="22"/>
                <w:lang w:val="en-CA" w:eastAsia="fr-CA"/>
              </w:rPr>
              <w:lastRenderedPageBreak/>
              <w:t>referred to in the first paragraph and whose actions or decisions could have contributed to the death, serious injuries or injuries by a firearm used by a police officer. A witness police officer is a police officer in whose presence such an occurrence took place, without being a police officer involved.</w:t>
            </w:r>
          </w:p>
          <w:p w14:paraId="419D7950"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5143B918"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Constitutes a serious injury any physical injury that could lead to death or that results in serious physical consequences.</w:t>
            </w:r>
          </w:p>
        </w:tc>
        <w:tc>
          <w:tcPr>
            <w:tcW w:w="4676" w:type="dxa"/>
          </w:tcPr>
          <w:p w14:paraId="529243F2"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b/>
                <w:bCs/>
                <w:sz w:val="22"/>
                <w:szCs w:val="22"/>
                <w:lang w:eastAsia="fr-CA"/>
              </w:rPr>
              <w:lastRenderedPageBreak/>
              <w:t>1.</w:t>
            </w:r>
            <w:r w:rsidRPr="006815E9">
              <w:rPr>
                <w:rFonts w:cs="Arial"/>
                <w:sz w:val="22"/>
                <w:szCs w:val="22"/>
                <w:lang w:eastAsia="fr-CA"/>
              </w:rPr>
              <w:t> Un policier impliqué et un policier témoin doivent, lorsqu’une personne, autre qu’un policier en devoir, décède, subit une blessure grave ou est blessée par une arme à feu utilisée par un policier, lors d’une intervention policière ou lors de sa détention par un corps de police:</w:t>
            </w:r>
          </w:p>
          <w:p w14:paraId="5045713B"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1315C7DE"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1°  se retirer de la scène de l’événement dès que possible;</w:t>
            </w:r>
          </w:p>
          <w:p w14:paraId="45A1448C"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56CF91D7"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2°  rédiger de manière indépendante, notamment sans consultation et sans influence, un compte rendu exact, détaillé et exhaustif portant notamment sur les faits survenus lors de l’événement, le signer et le remettre aux enquêteurs du Bureau des enquêtes indépendantes dans les 24 heures suivant l’événement, à moins que le directeur du Bureau ne lui accorde un délai supplémentaire;</w:t>
            </w:r>
          </w:p>
          <w:p w14:paraId="741ABCEB"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40CE7F14"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3°  rencontrer les enquêteurs du Bureau;</w:t>
            </w:r>
          </w:p>
          <w:p w14:paraId="4CEDF7E8"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604C70B9"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4°  s’abstenir de communiquer avec un autre policier impliqué ou témoin au sujet de l’événement jusqu’à ce qu’il ait remis son compte rendu et qu’il ait rencontré les enquêteurs du Bureau;</w:t>
            </w:r>
          </w:p>
          <w:p w14:paraId="6F8D4331"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1957B4C6"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54BEE113"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5°  rester disponible aux fins de l’enquête.</w:t>
            </w:r>
          </w:p>
          <w:p w14:paraId="39CD8B3E"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1D638E3C"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 xml:space="preserve">Un policier impliqué est un policier présent lors d’un événement visé au </w:t>
            </w:r>
            <w:r w:rsidRPr="006815E9">
              <w:rPr>
                <w:rFonts w:cs="Arial"/>
                <w:sz w:val="22"/>
                <w:szCs w:val="22"/>
                <w:lang w:eastAsia="fr-CA"/>
              </w:rPr>
              <w:lastRenderedPageBreak/>
              <w:t>premier alinéa et dont les actions ou les décisions pourraient avoir contribué au décès, aux blessures graves ou aux blessures causées par une arme à feu utilisée par un policier. Un policier témoin est un policier en présence de qui s’est déroulé un tel événement, mais qui n’est pas un policier impliqué.</w:t>
            </w:r>
          </w:p>
          <w:p w14:paraId="0F545CEE"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327DD4BA"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Constitue une blessure grave toute blessure physique pouvant entraîner la mort ou résultant en des conséquences physiques importantes.</w:t>
            </w:r>
          </w:p>
          <w:p w14:paraId="64F88FAD" w14:textId="77777777" w:rsidR="00983702" w:rsidRPr="006815E9" w:rsidRDefault="00983702" w:rsidP="006815E9">
            <w:pPr>
              <w:shd w:val="clear" w:color="auto" w:fill="FFFFFF"/>
              <w:spacing w:line="240" w:lineRule="auto"/>
              <w:ind w:left="178" w:right="597"/>
              <w:jc w:val="both"/>
            </w:pPr>
          </w:p>
        </w:tc>
      </w:tr>
      <w:tr w:rsidR="00983702" w:rsidRPr="00E60984" w14:paraId="69D0133A" w14:textId="2EACCB5F" w:rsidTr="00693E78">
        <w:tc>
          <w:tcPr>
            <w:tcW w:w="4676" w:type="dxa"/>
          </w:tcPr>
          <w:p w14:paraId="23BEE230" w14:textId="3C2E1519" w:rsidR="00983702" w:rsidRPr="00E60984" w:rsidRDefault="00000000" w:rsidP="006815E9">
            <w:pPr>
              <w:shd w:val="clear" w:color="auto" w:fill="FFFFFF"/>
              <w:spacing w:line="240" w:lineRule="auto"/>
              <w:ind w:left="739" w:right="173"/>
              <w:jc w:val="both"/>
              <w:rPr>
                <w:rFonts w:cs="Arial"/>
                <w:sz w:val="22"/>
                <w:szCs w:val="22"/>
                <w:lang w:val="en-CA" w:eastAsia="fr-CA"/>
              </w:rPr>
            </w:pPr>
            <w:hyperlink r:id="rId15" w:anchor="se:2" w:history="1">
              <w:r w:rsidR="00983702" w:rsidRPr="00E60984">
                <w:rPr>
                  <w:rFonts w:cs="Arial"/>
                  <w:b/>
                  <w:bCs/>
                  <w:sz w:val="22"/>
                  <w:szCs w:val="22"/>
                  <w:lang w:val="en-CA" w:eastAsia="fr-CA"/>
                </w:rPr>
                <w:t>2.</w:t>
              </w:r>
            </w:hyperlink>
            <w:r w:rsidR="00983702" w:rsidRPr="00E60984">
              <w:rPr>
                <w:rFonts w:cs="Arial"/>
                <w:sz w:val="22"/>
                <w:szCs w:val="22"/>
                <w:lang w:val="en-CA" w:eastAsia="fr-CA"/>
              </w:rPr>
              <w:t> A director of a police force involved must</w:t>
            </w:r>
          </w:p>
          <w:p w14:paraId="6CF8098D"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02935652"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(1)  take the necessary measures to secure the scene of the occurrence and to ensure preservation of the evidence and the premises’ integrity until the arrival of the investigators of the Bureau;</w:t>
            </w:r>
          </w:p>
          <w:p w14:paraId="69633113"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1D5E82F8"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(2)  take reasonable measures to prevent the police officers involved or witness police officers from communicating with one another in connection with the occurrence until they have submitted their accounts to the investigators of the Bureau and met with them;</w:t>
            </w:r>
          </w:p>
          <w:p w14:paraId="4DD31F23"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375E60A6" w14:textId="77777777" w:rsidR="00983702" w:rsidRPr="00E60984" w:rsidRDefault="00983702" w:rsidP="006815E9">
            <w:pPr>
              <w:shd w:val="clear" w:color="auto" w:fill="FFFFFF"/>
              <w:spacing w:after="120" w:line="240" w:lineRule="exact"/>
              <w:ind w:left="739" w:right="173"/>
              <w:jc w:val="both"/>
              <w:rPr>
                <w:rFonts w:cs="Arial"/>
                <w:sz w:val="22"/>
                <w:szCs w:val="22"/>
                <w:lang w:val="en-CA" w:eastAsia="fr-CA"/>
              </w:rPr>
            </w:pPr>
            <w:r w:rsidRPr="00E60984">
              <w:rPr>
                <w:rFonts w:cs="Arial"/>
                <w:sz w:val="22"/>
                <w:szCs w:val="22"/>
                <w:lang w:val="en-CA" w:eastAsia="fr-CA"/>
              </w:rPr>
              <w:t>(3)  send to the director of the Bureau the name of the person deceased or injured and the nature of the person’s injuries, the names of the persons present at the occurrence, the parameters and limits of the scene of the occurrence, the evidence collected so as to preserve it, as well as any other information collected in connection with the occurrence;</w:t>
            </w:r>
          </w:p>
          <w:p w14:paraId="3F70AD1B" w14:textId="77777777" w:rsidR="00983702" w:rsidRPr="00E60984" w:rsidRDefault="00983702" w:rsidP="006815E9">
            <w:pPr>
              <w:shd w:val="clear" w:color="auto" w:fill="FFFFFF"/>
              <w:spacing w:after="120" w:line="240" w:lineRule="exact"/>
              <w:ind w:left="739" w:right="173"/>
              <w:jc w:val="both"/>
              <w:rPr>
                <w:rFonts w:cs="Arial"/>
                <w:sz w:val="22"/>
                <w:szCs w:val="22"/>
                <w:lang w:val="en-CA" w:eastAsia="fr-CA"/>
              </w:rPr>
            </w:pPr>
          </w:p>
          <w:p w14:paraId="3AAE9F77"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lastRenderedPageBreak/>
              <w:t>(4)  give the investigators of the Bureau any document in connection with the occurrence;</w:t>
            </w:r>
          </w:p>
          <w:p w14:paraId="582865EE"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20DB432A"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(5)  make sure that the communications made to the public about the occurrence do not impede the Bureau’s investigation; and</w:t>
            </w:r>
          </w:p>
          <w:p w14:paraId="16AC64B9"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6EA0C51A"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(6)  take the necessary measures so that the director of the Bureau may ensure the communications related to the independent investigation with the person seriously injured or injured by a firearm used by a police officer during a police intervention or while the person is in police custody and with the family members of that person or of a person who died during such an occurrence.</w:t>
            </w:r>
          </w:p>
          <w:p w14:paraId="28B6639E"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781870E6"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p>
          <w:p w14:paraId="5CB012DA" w14:textId="77777777" w:rsidR="00983702" w:rsidRPr="00E60984" w:rsidRDefault="00983702" w:rsidP="006815E9">
            <w:pPr>
              <w:shd w:val="clear" w:color="auto" w:fill="FFFFFF"/>
              <w:spacing w:line="240" w:lineRule="auto"/>
              <w:ind w:left="739" w:right="173"/>
              <w:jc w:val="both"/>
              <w:rPr>
                <w:rFonts w:cs="Arial"/>
                <w:sz w:val="22"/>
                <w:szCs w:val="22"/>
                <w:lang w:val="en-CA" w:eastAsia="fr-CA"/>
              </w:rPr>
            </w:pPr>
            <w:r w:rsidRPr="00E60984">
              <w:rPr>
                <w:rFonts w:cs="Arial"/>
                <w:sz w:val="22"/>
                <w:szCs w:val="22"/>
                <w:lang w:val="en-CA" w:eastAsia="fr-CA"/>
              </w:rPr>
              <w:t>A police force involved is a police force counting among its members or exercising authority over, as the case may be, the police officers who are involved in the occurrence or who witness it.</w:t>
            </w:r>
          </w:p>
        </w:tc>
        <w:tc>
          <w:tcPr>
            <w:tcW w:w="4676" w:type="dxa"/>
          </w:tcPr>
          <w:p w14:paraId="2056BB3D"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b/>
                <w:bCs/>
                <w:sz w:val="22"/>
                <w:szCs w:val="22"/>
                <w:lang w:eastAsia="fr-CA"/>
              </w:rPr>
              <w:lastRenderedPageBreak/>
              <w:t>2.</w:t>
            </w:r>
            <w:r w:rsidRPr="006815E9">
              <w:rPr>
                <w:rFonts w:cs="Arial"/>
                <w:sz w:val="22"/>
                <w:szCs w:val="22"/>
                <w:lang w:eastAsia="fr-CA"/>
              </w:rPr>
              <w:t> Un directeur d’un corps de police impliqué doit:</w:t>
            </w:r>
          </w:p>
          <w:p w14:paraId="3A59DA91"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2422CA7D"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1°  prendre les mesures nécessaires pour sécuriser la scène de l’événement et pour s’assurer de la conservation de la preuve et de l’intégrité des lieux jusqu’à l’arrivée des enquêteurs du Bureau;</w:t>
            </w:r>
          </w:p>
          <w:p w14:paraId="65BEE0C5"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66C1CAB8"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2°  prendre les mesures raisonnables pour éviter que les policiers impliqués ou témoins communiquent entre eux au sujet de l’événement jusqu’à ce qu’ils aient remis leur compte rendu aux enquêteurs du Bureau et qu’ils les aient rencontrés;</w:t>
            </w:r>
          </w:p>
          <w:p w14:paraId="338AD6ED"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70641305"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4A3A8740"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3°  transmettre au directeur du Bureau l’identité de la personne décédée ou blessée ainsi que la nature de ses blessures, l’identité des personnes présentes lors de l’événement, les paramètres et les limites de la scène de l’événement, les éléments de preuve recueillis afin d’en assurer la conservation ainsi que tout autre renseignement recueilli relatif à l’événement;</w:t>
            </w:r>
          </w:p>
          <w:p w14:paraId="42637366"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7C4EDF07"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lastRenderedPageBreak/>
              <w:t>4°  remettre aux enquêteurs du Bureau tout document en lien avec l’événement;</w:t>
            </w:r>
          </w:p>
          <w:p w14:paraId="78CEFA9D"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3771489B"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5°  s’assurer que les communications faites au public au sujet de l’événement ne nuisent pas à l’enquête du Bureau;</w:t>
            </w:r>
          </w:p>
          <w:p w14:paraId="0FFB279F"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312BB2EA" w14:textId="77777777" w:rsidR="00983702" w:rsidRPr="006815E9" w:rsidRDefault="00983702" w:rsidP="006815E9">
            <w:pPr>
              <w:shd w:val="clear" w:color="auto" w:fill="FFFFFF"/>
              <w:spacing w:line="240" w:lineRule="auto"/>
              <w:ind w:left="178" w:right="597"/>
              <w:jc w:val="both"/>
              <w:rPr>
                <w:rFonts w:cs="Arial"/>
                <w:sz w:val="22"/>
                <w:szCs w:val="22"/>
                <w:lang w:eastAsia="fr-CA"/>
              </w:rPr>
            </w:pPr>
            <w:r w:rsidRPr="006815E9">
              <w:rPr>
                <w:rFonts w:cs="Arial"/>
                <w:sz w:val="22"/>
                <w:szCs w:val="22"/>
                <w:lang w:eastAsia="fr-CA"/>
              </w:rPr>
              <w:t>6°  prendre les mesures nécessaires afin que le directeur du Bureau puisse assurer les communications relatives à l’enquête indépendante avec la personne blessée gravement ou blessée par une arme à feu utilisée par un policier, lors d’une intervention policière ou lors de sa détention par un corps de police, et avec les membres de la famille de celle-ci ou d’une personne décédée lors d’un tel événement.</w:t>
            </w:r>
          </w:p>
          <w:p w14:paraId="747B7EAA" w14:textId="77777777" w:rsidR="00983702" w:rsidRPr="006815E9" w:rsidRDefault="00983702" w:rsidP="006815E9">
            <w:pPr>
              <w:shd w:val="clear" w:color="auto" w:fill="FFFFFF"/>
              <w:spacing w:line="240" w:lineRule="auto"/>
              <w:ind w:left="178" w:right="597"/>
              <w:jc w:val="both"/>
              <w:rPr>
                <w:rFonts w:cs="Arial"/>
                <w:sz w:val="22"/>
                <w:szCs w:val="22"/>
                <w:lang w:eastAsia="fr-CA"/>
              </w:rPr>
            </w:pPr>
          </w:p>
          <w:p w14:paraId="3602C817" w14:textId="40B740C9" w:rsidR="00983702" w:rsidRPr="006815E9" w:rsidRDefault="00983702" w:rsidP="006815E9">
            <w:pPr>
              <w:shd w:val="clear" w:color="auto" w:fill="FFFFFF"/>
              <w:spacing w:line="240" w:lineRule="auto"/>
              <w:ind w:left="178" w:right="597"/>
              <w:jc w:val="both"/>
            </w:pPr>
            <w:r w:rsidRPr="006815E9">
              <w:rPr>
                <w:rFonts w:cs="Arial"/>
                <w:sz w:val="22"/>
                <w:szCs w:val="22"/>
                <w:lang w:eastAsia="fr-CA"/>
              </w:rPr>
              <w:t>Un corps de police impliqué est un corps de police dont sont membres ou sous l’autorité de qui agissent, selon le cas, les policiers impliqués dans l’événement ou qui en sont témoins.</w:t>
            </w:r>
          </w:p>
        </w:tc>
      </w:tr>
      <w:tr w:rsidR="00983702" w:rsidRPr="00E60984" w14:paraId="7C191A34" w14:textId="23C2E643" w:rsidTr="00693E78">
        <w:tc>
          <w:tcPr>
            <w:tcW w:w="4676" w:type="dxa"/>
          </w:tcPr>
          <w:p w14:paraId="096829D2" w14:textId="2A9C2CF4" w:rsidR="00983702" w:rsidRPr="00E60984" w:rsidRDefault="00000000" w:rsidP="006815E9">
            <w:pPr>
              <w:pStyle w:val="Paragraphe"/>
              <w:numPr>
                <w:ilvl w:val="0"/>
                <w:numId w:val="0"/>
              </w:numPr>
              <w:spacing w:line="240" w:lineRule="auto"/>
              <w:ind w:left="739" w:right="173"/>
              <w:rPr>
                <w:i/>
                <w:iCs/>
                <w:sz w:val="22"/>
                <w:szCs w:val="22"/>
                <w:lang w:val="en-CA"/>
              </w:rPr>
            </w:pPr>
            <w:hyperlink r:id="rId16" w:anchor="se:3" w:history="1">
              <w:r w:rsidR="00983702" w:rsidRPr="00E60984">
                <w:rPr>
                  <w:rStyle w:val="label-section"/>
                  <w:rFonts w:cs="Arial"/>
                  <w:b/>
                  <w:bCs/>
                  <w:sz w:val="22"/>
                  <w:szCs w:val="22"/>
                  <w:shd w:val="clear" w:color="auto" w:fill="FFFFFF"/>
                  <w:lang w:val="en-CA"/>
                </w:rPr>
                <w:t>3.</w:t>
              </w:r>
            </w:hyperlink>
            <w:r w:rsidR="00983702" w:rsidRPr="00E60984">
              <w:rPr>
                <w:rFonts w:cs="Arial"/>
                <w:sz w:val="22"/>
                <w:szCs w:val="22"/>
                <w:shd w:val="clear" w:color="auto" w:fill="FFFFFF"/>
                <w:lang w:val="en-CA"/>
              </w:rPr>
              <w:t> </w:t>
            </w:r>
            <w:r w:rsidR="00983702" w:rsidRPr="00E60984">
              <w:rPr>
                <w:rStyle w:val="subsection"/>
                <w:rFonts w:cs="Arial"/>
                <w:sz w:val="22"/>
                <w:szCs w:val="22"/>
                <w:shd w:val="clear" w:color="auto" w:fill="FFFFFF"/>
                <w:lang w:val="en-CA"/>
              </w:rPr>
              <w:t>The Bureau and any other police force conducting parallel investigations based on common evidence or testimonies must cooperate with each other. Despite the foregoing, the Bureau has precedence over the police force with regard to the evidence, testimonies and control of the scene of the occurrence.</w:t>
            </w:r>
          </w:p>
        </w:tc>
        <w:tc>
          <w:tcPr>
            <w:tcW w:w="4676" w:type="dxa"/>
          </w:tcPr>
          <w:p w14:paraId="07084BE5" w14:textId="513D30C4" w:rsidR="00983702" w:rsidRPr="006815E9" w:rsidRDefault="00983702" w:rsidP="006815E9">
            <w:pPr>
              <w:pStyle w:val="Paragraphe"/>
              <w:numPr>
                <w:ilvl w:val="0"/>
                <w:numId w:val="0"/>
              </w:numPr>
              <w:spacing w:line="240" w:lineRule="auto"/>
              <w:ind w:left="178" w:right="597"/>
            </w:pPr>
            <w:r w:rsidRPr="006815E9">
              <w:rPr>
                <w:rStyle w:val="label-section"/>
                <w:rFonts w:cs="Arial"/>
                <w:b/>
                <w:bCs/>
                <w:sz w:val="22"/>
                <w:szCs w:val="22"/>
                <w:shd w:val="clear" w:color="auto" w:fill="FFFFFF"/>
              </w:rPr>
              <w:t>3.</w:t>
            </w:r>
            <w:r w:rsidRPr="006815E9">
              <w:rPr>
                <w:rFonts w:cs="Arial"/>
                <w:sz w:val="22"/>
                <w:szCs w:val="22"/>
                <w:shd w:val="clear" w:color="auto" w:fill="FFFFFF"/>
              </w:rPr>
              <w:t> </w:t>
            </w:r>
            <w:r w:rsidRPr="006815E9">
              <w:rPr>
                <w:rStyle w:val="subsection"/>
                <w:rFonts w:cs="Arial"/>
                <w:sz w:val="22"/>
                <w:szCs w:val="22"/>
                <w:shd w:val="clear" w:color="auto" w:fill="FFFFFF"/>
              </w:rPr>
              <w:t>Le Bureau et tout autre corps de police qui mènent parallèlement une enquête basée sur des éléments de preuve ou des témoins communs doivent collaborer entre eux. Toutefois, le Bureau a préséance sur ce corps de police quant aux éléments de preuve, aux témoignages et au contrôle de la scène de l’événement.</w:t>
            </w:r>
          </w:p>
        </w:tc>
      </w:tr>
      <w:tr w:rsidR="00983702" w:rsidRPr="00E60984" w14:paraId="2433DB35" w14:textId="64544277" w:rsidTr="00693E78">
        <w:tc>
          <w:tcPr>
            <w:tcW w:w="4676" w:type="dxa"/>
          </w:tcPr>
          <w:p w14:paraId="78DF28F9" w14:textId="710EFA7F" w:rsidR="00983702" w:rsidRPr="00E60984" w:rsidRDefault="00000000" w:rsidP="006815E9">
            <w:pPr>
              <w:pStyle w:val="Paragraphe"/>
              <w:numPr>
                <w:ilvl w:val="0"/>
                <w:numId w:val="0"/>
              </w:numPr>
              <w:spacing w:line="240" w:lineRule="auto"/>
              <w:ind w:left="739" w:right="173"/>
              <w:rPr>
                <w:i/>
                <w:iCs/>
                <w:sz w:val="22"/>
                <w:szCs w:val="22"/>
                <w:lang w:val="en-CA"/>
              </w:rPr>
            </w:pPr>
            <w:hyperlink r:id="rId17" w:anchor="se:7" w:history="1">
              <w:r w:rsidR="00983702" w:rsidRPr="00E60984">
                <w:rPr>
                  <w:rStyle w:val="label-section"/>
                  <w:rFonts w:cs="Arial"/>
                  <w:b/>
                  <w:bCs/>
                  <w:sz w:val="22"/>
                  <w:szCs w:val="22"/>
                  <w:shd w:val="clear" w:color="auto" w:fill="FFFFFF"/>
                  <w:lang w:val="en-CA"/>
                </w:rPr>
                <w:t>7.</w:t>
              </w:r>
            </w:hyperlink>
            <w:r w:rsidR="00983702" w:rsidRPr="00E60984">
              <w:rPr>
                <w:rFonts w:cs="Arial"/>
                <w:sz w:val="22"/>
                <w:szCs w:val="22"/>
                <w:shd w:val="clear" w:color="auto" w:fill="FFFFFF"/>
                <w:lang w:val="en-CA"/>
              </w:rPr>
              <w:t> </w:t>
            </w:r>
            <w:r w:rsidR="00983702" w:rsidRPr="00E60984">
              <w:rPr>
                <w:rStyle w:val="subsection"/>
                <w:rFonts w:cs="Arial"/>
                <w:sz w:val="22"/>
                <w:szCs w:val="22"/>
                <w:shd w:val="clear" w:color="auto" w:fill="FFFFFF"/>
                <w:lang w:val="en-CA"/>
              </w:rPr>
              <w:t xml:space="preserve">The principal investigator must, before meeting with a police officer involved or a witness police officer, determine the police officer’s status and, as soon as possible, notify the police officer of that status in writing. The principal investigator must also inform the police officer of any </w:t>
            </w:r>
            <w:r w:rsidR="00983702" w:rsidRPr="00E60984">
              <w:rPr>
                <w:rStyle w:val="subsection"/>
                <w:rFonts w:cs="Arial"/>
                <w:sz w:val="22"/>
                <w:szCs w:val="22"/>
                <w:shd w:val="clear" w:color="auto" w:fill="FFFFFF"/>
                <w:lang w:val="en-CA"/>
              </w:rPr>
              <w:lastRenderedPageBreak/>
              <w:t>change in status in the course of the investigation and notify the police officer of the change in writing as soon as possible. The principal investigator also informs the director of the police force involved of the status of the police officer and of any change in their status.</w:t>
            </w:r>
          </w:p>
        </w:tc>
        <w:tc>
          <w:tcPr>
            <w:tcW w:w="4676" w:type="dxa"/>
          </w:tcPr>
          <w:p w14:paraId="3384AF90" w14:textId="77777777" w:rsidR="00983702" w:rsidRPr="006815E9" w:rsidRDefault="00983702" w:rsidP="006815E9">
            <w:pPr>
              <w:pStyle w:val="Paragraphe"/>
              <w:numPr>
                <w:ilvl w:val="0"/>
                <w:numId w:val="0"/>
              </w:numPr>
              <w:spacing w:line="240" w:lineRule="auto"/>
              <w:ind w:left="178" w:right="597"/>
              <w:rPr>
                <w:rStyle w:val="subsection"/>
                <w:rFonts w:cs="Arial"/>
                <w:kern w:val="0"/>
                <w:sz w:val="22"/>
                <w:szCs w:val="22"/>
                <w:shd w:val="clear" w:color="auto" w:fill="FFFFFF"/>
              </w:rPr>
            </w:pPr>
            <w:r w:rsidRPr="006815E9">
              <w:rPr>
                <w:rStyle w:val="label-section"/>
                <w:rFonts w:cs="Arial"/>
                <w:b/>
                <w:bCs/>
                <w:sz w:val="22"/>
                <w:szCs w:val="22"/>
                <w:shd w:val="clear" w:color="auto" w:fill="FFFFFF"/>
              </w:rPr>
              <w:lastRenderedPageBreak/>
              <w:t>7.</w:t>
            </w:r>
            <w:r w:rsidRPr="006815E9">
              <w:rPr>
                <w:rFonts w:cs="Arial"/>
                <w:sz w:val="22"/>
                <w:szCs w:val="22"/>
                <w:shd w:val="clear" w:color="auto" w:fill="FFFFFF"/>
              </w:rPr>
              <w:t> </w:t>
            </w:r>
            <w:r w:rsidRPr="006815E9">
              <w:rPr>
                <w:rStyle w:val="subsection"/>
                <w:rFonts w:cs="Arial"/>
                <w:sz w:val="22"/>
                <w:szCs w:val="22"/>
                <w:shd w:val="clear" w:color="auto" w:fill="FFFFFF"/>
              </w:rPr>
              <w:t xml:space="preserve">L’enquêteur principal doit, avant de rencontrer un policier impliqué ou un policier témoin, déterminer son statut et, dans les meilleurs délais, l’en aviser par écrit. Il doit, de même, informer ce policier dès qu’il y a changement de son statut en cours d’enquête et l’en aviser par écrit dans </w:t>
            </w:r>
            <w:r w:rsidRPr="006815E9">
              <w:rPr>
                <w:rStyle w:val="subsection"/>
                <w:rFonts w:cs="Arial"/>
                <w:sz w:val="22"/>
                <w:szCs w:val="22"/>
                <w:shd w:val="clear" w:color="auto" w:fill="FFFFFF"/>
              </w:rPr>
              <w:lastRenderedPageBreak/>
              <w:t>les meilleurs délais. Il avise également le directeur du corps de police impliqué du statut de ce policier et de tout changement de ce statut.</w:t>
            </w:r>
          </w:p>
          <w:p w14:paraId="0F86CADE" w14:textId="77777777" w:rsidR="00983702" w:rsidRPr="006815E9" w:rsidRDefault="00983702" w:rsidP="006815E9">
            <w:pPr>
              <w:pStyle w:val="Paragraphe"/>
              <w:numPr>
                <w:ilvl w:val="0"/>
                <w:numId w:val="0"/>
              </w:numPr>
              <w:spacing w:line="240" w:lineRule="auto"/>
              <w:ind w:left="178" w:right="597"/>
            </w:pPr>
          </w:p>
        </w:tc>
      </w:tr>
      <w:tr w:rsidR="00983702" w:rsidRPr="00E60984" w14:paraId="6A288FAF" w14:textId="41214EE3" w:rsidTr="00693E78">
        <w:tc>
          <w:tcPr>
            <w:tcW w:w="4676" w:type="dxa"/>
          </w:tcPr>
          <w:p w14:paraId="21F25EB8" w14:textId="3E4A4C5E" w:rsidR="00983702" w:rsidRPr="00E60984" w:rsidRDefault="00000000" w:rsidP="006815E9">
            <w:pPr>
              <w:pStyle w:val="Paragraphe"/>
              <w:numPr>
                <w:ilvl w:val="0"/>
                <w:numId w:val="0"/>
              </w:numPr>
              <w:spacing w:line="240" w:lineRule="auto"/>
              <w:ind w:left="739" w:right="173"/>
              <w:rPr>
                <w:i/>
                <w:iCs/>
                <w:sz w:val="22"/>
                <w:szCs w:val="22"/>
                <w:lang w:val="en-CA"/>
              </w:rPr>
            </w:pPr>
            <w:hyperlink r:id="rId18" w:anchor="se:9" w:history="1">
              <w:r w:rsidR="00983702" w:rsidRPr="00E60984">
                <w:rPr>
                  <w:rStyle w:val="label-section"/>
                  <w:rFonts w:cs="Arial"/>
                  <w:b/>
                  <w:bCs/>
                  <w:sz w:val="22"/>
                  <w:szCs w:val="22"/>
                  <w:shd w:val="clear" w:color="auto" w:fill="FFFFFF"/>
                  <w:lang w:val="en-CA"/>
                </w:rPr>
                <w:t>9.</w:t>
              </w:r>
            </w:hyperlink>
            <w:r w:rsidR="00983702" w:rsidRPr="00E60984">
              <w:rPr>
                <w:rFonts w:cs="Arial"/>
                <w:sz w:val="22"/>
                <w:szCs w:val="22"/>
                <w:shd w:val="clear" w:color="auto" w:fill="FFFFFF"/>
                <w:lang w:val="en-CA"/>
              </w:rPr>
              <w:t> </w:t>
            </w:r>
            <w:r w:rsidR="00983702" w:rsidRPr="00E60984">
              <w:rPr>
                <w:rStyle w:val="subsection"/>
                <w:rFonts w:cs="Arial"/>
                <w:sz w:val="22"/>
                <w:szCs w:val="22"/>
                <w:shd w:val="clear" w:color="auto" w:fill="FFFFFF"/>
                <w:lang w:val="en-CA"/>
              </w:rPr>
              <w:t>The investigators of the Bureau assigned to an investigation must meet with all the police officers involved within 48 hours of their arrival on the scene of the occurrence and with all the witness police officers within 24 hours of their arrival, unless the director of the Bureau grants a time extension.</w:t>
            </w:r>
          </w:p>
        </w:tc>
        <w:tc>
          <w:tcPr>
            <w:tcW w:w="4676" w:type="dxa"/>
          </w:tcPr>
          <w:p w14:paraId="35DC22B2" w14:textId="044FF16C" w:rsidR="00983702" w:rsidRPr="006815E9" w:rsidRDefault="00983702" w:rsidP="006815E9">
            <w:pPr>
              <w:pStyle w:val="Paragraphe"/>
              <w:numPr>
                <w:ilvl w:val="0"/>
                <w:numId w:val="0"/>
              </w:numPr>
              <w:spacing w:line="240" w:lineRule="auto"/>
              <w:ind w:left="178" w:right="597"/>
            </w:pPr>
            <w:r w:rsidRPr="006815E9">
              <w:rPr>
                <w:rFonts w:cs="Arial"/>
                <w:b/>
                <w:bCs/>
                <w:sz w:val="22"/>
                <w:szCs w:val="22"/>
                <w:lang w:eastAsia="fr-CA"/>
              </w:rPr>
              <w:t>9.</w:t>
            </w:r>
            <w:r w:rsidRPr="006815E9">
              <w:rPr>
                <w:rFonts w:cs="Arial"/>
                <w:sz w:val="22"/>
                <w:szCs w:val="22"/>
                <w:lang w:eastAsia="fr-CA"/>
              </w:rPr>
              <w:t> Les enquêteurs du Bureau assignés à une enquête doivent rencontrer tous les policiers impliqués dans les 48 heures suivant leur arrivée sur les lieux de l’événement et tous les policiers témoins dans les 24 heures de celle-ci, à moins que le directeur du Bureau n’accorde un délai supplémentaire.</w:t>
            </w:r>
          </w:p>
        </w:tc>
      </w:tr>
      <w:tr w:rsidR="00983702" w:rsidRPr="00E60984" w14:paraId="31E148E9" w14:textId="592BE466" w:rsidTr="00693E78">
        <w:tc>
          <w:tcPr>
            <w:tcW w:w="4676" w:type="dxa"/>
          </w:tcPr>
          <w:p w14:paraId="448B5FA6" w14:textId="0FD322E7" w:rsidR="00983702" w:rsidRPr="00E60984" w:rsidRDefault="00000000" w:rsidP="006815E9">
            <w:pPr>
              <w:pStyle w:val="Paragraphe"/>
              <w:numPr>
                <w:ilvl w:val="0"/>
                <w:numId w:val="0"/>
              </w:numPr>
              <w:spacing w:line="240" w:lineRule="auto"/>
              <w:ind w:left="739" w:right="173"/>
              <w:rPr>
                <w:i/>
                <w:iCs/>
                <w:sz w:val="22"/>
                <w:szCs w:val="22"/>
                <w:lang w:val="en-CA"/>
              </w:rPr>
            </w:pPr>
            <w:hyperlink r:id="rId19" w:anchor="se:11" w:history="1">
              <w:r w:rsidR="00983702" w:rsidRPr="00E60984">
                <w:rPr>
                  <w:rStyle w:val="label-section"/>
                  <w:rFonts w:cs="Arial"/>
                  <w:b/>
                  <w:bCs/>
                  <w:sz w:val="22"/>
                  <w:szCs w:val="22"/>
                  <w:shd w:val="clear" w:color="auto" w:fill="FFFFFF"/>
                  <w:lang w:val="en-CA"/>
                </w:rPr>
                <w:t>11.</w:t>
              </w:r>
            </w:hyperlink>
            <w:r w:rsidR="00983702" w:rsidRPr="00E60984">
              <w:rPr>
                <w:rFonts w:cs="Arial"/>
                <w:sz w:val="22"/>
                <w:szCs w:val="22"/>
                <w:shd w:val="clear" w:color="auto" w:fill="FFFFFF"/>
                <w:lang w:val="en-CA"/>
              </w:rPr>
              <w:t> </w:t>
            </w:r>
            <w:r w:rsidR="00983702" w:rsidRPr="00E60984">
              <w:rPr>
                <w:rStyle w:val="subsection"/>
                <w:rFonts w:cs="Arial"/>
                <w:sz w:val="22"/>
                <w:szCs w:val="22"/>
                <w:shd w:val="clear" w:color="auto" w:fill="FFFFFF"/>
                <w:lang w:val="en-CA"/>
              </w:rPr>
              <w:t>Insofar as it does not impede the director’s investigation or a parallel investigation, the director of the Bureau informs the public, in particular, of the beginning of an investigation, its conduct and the transmission of the investigation record to the Director of Criminal and Penal Prosecutions and, if applicable, to the coroner.</w:t>
            </w:r>
          </w:p>
        </w:tc>
        <w:tc>
          <w:tcPr>
            <w:tcW w:w="4676" w:type="dxa"/>
          </w:tcPr>
          <w:p w14:paraId="03E5FFD0" w14:textId="09ED6200" w:rsidR="00983702" w:rsidRPr="006815E9" w:rsidRDefault="00983702" w:rsidP="006815E9">
            <w:pPr>
              <w:pStyle w:val="Paragraphe"/>
              <w:numPr>
                <w:ilvl w:val="0"/>
                <w:numId w:val="0"/>
              </w:numPr>
              <w:spacing w:line="240" w:lineRule="auto"/>
              <w:ind w:left="178" w:right="597"/>
            </w:pPr>
            <w:r w:rsidRPr="006815E9">
              <w:rPr>
                <w:rStyle w:val="label-section"/>
                <w:rFonts w:cs="Arial"/>
                <w:b/>
                <w:bCs/>
                <w:sz w:val="22"/>
                <w:szCs w:val="22"/>
                <w:shd w:val="clear" w:color="auto" w:fill="FFFFFF"/>
              </w:rPr>
              <w:t>11.</w:t>
            </w:r>
            <w:r w:rsidRPr="006815E9">
              <w:rPr>
                <w:rFonts w:cs="Arial"/>
                <w:sz w:val="22"/>
                <w:szCs w:val="22"/>
                <w:shd w:val="clear" w:color="auto" w:fill="FFFFFF"/>
              </w:rPr>
              <w:t> </w:t>
            </w:r>
            <w:r w:rsidRPr="006815E9">
              <w:rPr>
                <w:rStyle w:val="subsection"/>
                <w:rFonts w:cs="Arial"/>
                <w:sz w:val="22"/>
                <w:szCs w:val="22"/>
                <w:shd w:val="clear" w:color="auto" w:fill="FFFFFF"/>
              </w:rPr>
              <w:t>Dans la mesure où cela ne nuit pas à son enquête ou à une enquête parallèle, le directeur du Bureau informe le public, notamment du début d’une enquête, de son déroulement et de la transmission du dossier d’enquête au directeur des poursuites criminelles et pénales et, s’il y a lieu, au coroner.</w:t>
            </w:r>
          </w:p>
        </w:tc>
      </w:tr>
      <w:tr w:rsidR="00983702" w:rsidRPr="00E60984" w14:paraId="6EA48528" w14:textId="2993917A" w:rsidTr="00693E78">
        <w:tc>
          <w:tcPr>
            <w:tcW w:w="4676" w:type="dxa"/>
          </w:tcPr>
          <w:p w14:paraId="429BD0C2" w14:textId="3AD71C26" w:rsidR="00983702" w:rsidRPr="00E60984" w:rsidRDefault="00000000" w:rsidP="006815E9">
            <w:pPr>
              <w:pStyle w:val="Paragraphe"/>
              <w:numPr>
                <w:ilvl w:val="0"/>
                <w:numId w:val="0"/>
              </w:numPr>
              <w:spacing w:line="240" w:lineRule="auto"/>
              <w:ind w:left="739" w:right="173"/>
              <w:rPr>
                <w:sz w:val="22"/>
                <w:szCs w:val="22"/>
                <w:lang w:val="en-CA"/>
              </w:rPr>
            </w:pPr>
            <w:hyperlink r:id="rId20" w:anchor="se:12" w:history="1">
              <w:r w:rsidR="00983702" w:rsidRPr="00E60984">
                <w:rPr>
                  <w:rStyle w:val="label-section"/>
                  <w:rFonts w:cs="Arial"/>
                  <w:b/>
                  <w:bCs/>
                  <w:sz w:val="22"/>
                  <w:szCs w:val="22"/>
                  <w:shd w:val="clear" w:color="auto" w:fill="FFFFFF"/>
                  <w:lang w:val="en-CA"/>
                </w:rPr>
                <w:t>12.</w:t>
              </w:r>
            </w:hyperlink>
            <w:r w:rsidR="00983702" w:rsidRPr="00E60984">
              <w:rPr>
                <w:rFonts w:cs="Arial"/>
                <w:sz w:val="22"/>
                <w:szCs w:val="22"/>
                <w:shd w:val="clear" w:color="auto" w:fill="FFFFFF"/>
                <w:lang w:val="en-CA"/>
              </w:rPr>
              <w:t> </w:t>
            </w:r>
            <w:r w:rsidR="00983702" w:rsidRPr="00E60984">
              <w:rPr>
                <w:rStyle w:val="subsection"/>
                <w:rFonts w:cs="Arial"/>
                <w:sz w:val="22"/>
                <w:szCs w:val="22"/>
                <w:shd w:val="clear" w:color="auto" w:fill="FFFFFF"/>
                <w:lang w:val="en-CA"/>
              </w:rPr>
              <w:t>The director of the Bureau ensures the communications with the person seriously injured or injured by a firearm used by a police officer during a police intervention or while the person is in police custody and with the family members of that person or of a person who died during such an occurrence. The director communicates to them all relevant information regarding the independent investigation process insofar as it does not impede the investigation.</w:t>
            </w:r>
          </w:p>
        </w:tc>
        <w:tc>
          <w:tcPr>
            <w:tcW w:w="4676" w:type="dxa"/>
          </w:tcPr>
          <w:p w14:paraId="1D40B0AA" w14:textId="72D56274" w:rsidR="00983702" w:rsidRPr="006815E9" w:rsidRDefault="00983702" w:rsidP="006815E9">
            <w:pPr>
              <w:pStyle w:val="Paragraphe"/>
              <w:numPr>
                <w:ilvl w:val="0"/>
                <w:numId w:val="0"/>
              </w:numPr>
              <w:spacing w:line="240" w:lineRule="auto"/>
              <w:ind w:left="178" w:right="597"/>
            </w:pPr>
            <w:r w:rsidRPr="006815E9">
              <w:rPr>
                <w:rStyle w:val="label-section"/>
                <w:rFonts w:cs="Arial"/>
                <w:b/>
                <w:bCs/>
                <w:sz w:val="22"/>
                <w:szCs w:val="22"/>
                <w:shd w:val="clear" w:color="auto" w:fill="FFFFFF"/>
              </w:rPr>
              <w:t>12.</w:t>
            </w:r>
            <w:r w:rsidRPr="006815E9">
              <w:rPr>
                <w:rFonts w:cs="Arial"/>
                <w:sz w:val="22"/>
                <w:szCs w:val="22"/>
                <w:shd w:val="clear" w:color="auto" w:fill="FFFFFF"/>
              </w:rPr>
              <w:t> </w:t>
            </w:r>
            <w:r w:rsidRPr="006815E9">
              <w:rPr>
                <w:rStyle w:val="subsection"/>
                <w:rFonts w:cs="Arial"/>
                <w:sz w:val="22"/>
                <w:szCs w:val="22"/>
                <w:shd w:val="clear" w:color="auto" w:fill="FFFFFF"/>
              </w:rPr>
              <w:t>Le directeur du Bureau assure les communications avec la personne blessée gravement ou blessée par une arme à feu utilisée par un policier, lors d’une intervention policière ou lors de sa détention par un corps de police, et avec les membres de la famille de celle-ci ou d’une personne décédée lors d’un tel événement. Le directeur leur communique toute information pertinente relative au processus d’enquête indépendante dans la mesure où cela ne nuit pas à l’enquête.</w:t>
            </w:r>
          </w:p>
        </w:tc>
      </w:tr>
      <w:bookmarkEnd w:id="5"/>
    </w:tbl>
    <w:p w14:paraId="4EA5C492" w14:textId="77777777" w:rsidR="00A17C43" w:rsidRPr="006815E9" w:rsidRDefault="00A17C43" w:rsidP="006E1C6F">
      <w:pPr>
        <w:pStyle w:val="Paragraphe"/>
        <w:numPr>
          <w:ilvl w:val="0"/>
          <w:numId w:val="0"/>
        </w:numPr>
      </w:pPr>
    </w:p>
    <w:sectPr w:rsidR="00A17C43" w:rsidRPr="006815E9" w:rsidSect="0088587E">
      <w:headerReference w:type="default" r:id="rId21"/>
      <w:pgSz w:w="12242" w:h="15842" w:code="1"/>
      <w:pgMar w:top="1440" w:right="1008" w:bottom="1276" w:left="1872" w:header="1440" w:footer="79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DC5A" w14:textId="77777777" w:rsidR="0055418A" w:rsidRDefault="0055418A">
      <w:pPr>
        <w:spacing w:line="240" w:lineRule="auto"/>
      </w:pPr>
      <w:r>
        <w:separator/>
      </w:r>
    </w:p>
  </w:endnote>
  <w:endnote w:type="continuationSeparator" w:id="0">
    <w:p w14:paraId="6C22EBCF" w14:textId="77777777" w:rsidR="0055418A" w:rsidRDefault="0055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Rmn 12p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F8D7" w14:textId="77777777" w:rsidR="00FE3921" w:rsidRDefault="00FE39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CF4" w14:textId="03F9AA79" w:rsidR="00FE3921" w:rsidRPr="00FE3921" w:rsidRDefault="00FE3921" w:rsidP="00FE3921">
    <w:pPr>
      <w:jc w:val="right"/>
      <w:rPr>
        <w:rFonts w:cs="Arial"/>
        <w:lang w:val="en-CA"/>
      </w:rPr>
    </w:pPr>
    <w:r w:rsidRPr="00FE3921">
      <w:rPr>
        <w:rStyle w:val="normaltextrun"/>
        <w:rFonts w:cs="Arial"/>
        <w:color w:val="000000"/>
        <w:szCs w:val="22"/>
        <w:bdr w:val="none" w:sz="0" w:space="0" w:color="auto" w:frame="1"/>
        <w:lang w:val="en-CA"/>
      </w:rPr>
      <w:t>English translation of the judgment of the Court by SOQUIJ</w:t>
    </w:r>
  </w:p>
  <w:p w14:paraId="16738E06" w14:textId="77777777" w:rsidR="00FE3921" w:rsidRPr="00FE3921" w:rsidRDefault="00FE3921">
    <w:pPr>
      <w:pStyle w:val="Pieddepage"/>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FB74" w14:textId="77777777" w:rsidR="00FE3921" w:rsidRDefault="00FE39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97B8" w14:textId="77777777" w:rsidR="0055418A" w:rsidRDefault="0055418A">
      <w:r>
        <w:separator/>
      </w:r>
    </w:p>
  </w:footnote>
  <w:footnote w:type="continuationSeparator" w:id="0">
    <w:p w14:paraId="619C4980" w14:textId="77777777" w:rsidR="0055418A" w:rsidRDefault="0055418A">
      <w:r>
        <w:continuationSeparator/>
      </w:r>
    </w:p>
  </w:footnote>
  <w:footnote w:id="1">
    <w:p w14:paraId="01DE0F5D" w14:textId="4BA5C473" w:rsidR="00FE3921" w:rsidRPr="00C22ECF" w:rsidRDefault="00FE3921" w:rsidP="00FE3921">
      <w:pPr>
        <w:pStyle w:val="Notedebasdepage"/>
      </w:pPr>
      <w:r w:rsidRPr="00C56B18">
        <w:rPr>
          <w:rStyle w:val="Appelnotedebasdep"/>
          <w:lang w:val="en-CA"/>
        </w:rPr>
        <w:footnoteRef/>
      </w:r>
      <w:r w:rsidRPr="00C22ECF">
        <w:t xml:space="preserve"> </w:t>
      </w:r>
      <w:r w:rsidRPr="00C22ECF">
        <w:tab/>
      </w:r>
      <w:r w:rsidRPr="00C22ECF">
        <w:rPr>
          <w:i/>
          <w:iCs/>
        </w:rPr>
        <w:t xml:space="preserve">Fédération des policiers et policières municipaux du Québec c. </w:t>
      </w:r>
      <w:r w:rsidR="00A71E3F" w:rsidRPr="00962558">
        <w:rPr>
          <w:i/>
          <w:iCs/>
        </w:rPr>
        <w:t xml:space="preserve">Procureur général </w:t>
      </w:r>
      <w:r w:rsidRPr="00C22ECF">
        <w:rPr>
          <w:i/>
          <w:iCs/>
        </w:rPr>
        <w:t>du Québec</w:t>
      </w:r>
      <w:r w:rsidRPr="00565A81">
        <w:t>,</w:t>
      </w:r>
      <w:r w:rsidRPr="00C22ECF">
        <w:t xml:space="preserve"> 2022 QCCS 2201 (the </w:t>
      </w:r>
      <w:r w:rsidR="00C56B18" w:rsidRPr="00C22ECF">
        <w:t>“</w:t>
      </w:r>
      <w:r w:rsidRPr="00C22ECF">
        <w:t xml:space="preserve">trial </w:t>
      </w:r>
      <w:proofErr w:type="spellStart"/>
      <w:r w:rsidRPr="00C22ECF">
        <w:t>judgment</w:t>
      </w:r>
      <w:proofErr w:type="spellEnd"/>
      <w:r w:rsidR="00C56B18" w:rsidRPr="00C22ECF">
        <w:t>”</w:t>
      </w:r>
      <w:r w:rsidRPr="00C22ECF">
        <w:t>).</w:t>
      </w:r>
    </w:p>
  </w:footnote>
  <w:footnote w:id="2">
    <w:p w14:paraId="2D8C25CC" w14:textId="199695DB" w:rsidR="00FE3921" w:rsidRPr="00C56B18" w:rsidRDefault="00FE3921" w:rsidP="00FE3921">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9D69BC" w:rsidRPr="00350CDD">
        <w:rPr>
          <w:i/>
          <w:iCs/>
          <w:lang w:val="en-CA"/>
        </w:rPr>
        <w:t>Police Act</w:t>
      </w:r>
      <w:r w:rsidRPr="00350CDD">
        <w:rPr>
          <w:lang w:val="en-CA"/>
        </w:rPr>
        <w:t xml:space="preserve">, </w:t>
      </w:r>
      <w:r w:rsidR="009D69BC" w:rsidRPr="00350CDD">
        <w:rPr>
          <w:lang w:val="en-CA"/>
        </w:rPr>
        <w:t>CQLR</w:t>
      </w:r>
      <w:r w:rsidRPr="00350CDD">
        <w:rPr>
          <w:lang w:val="en-CA"/>
        </w:rPr>
        <w:t xml:space="preserve">, c. P-13.1, </w:t>
      </w:r>
      <w:r w:rsidR="00142823" w:rsidRPr="00350CDD">
        <w:rPr>
          <w:lang w:val="en-CA"/>
        </w:rPr>
        <w:t>s</w:t>
      </w:r>
      <w:r w:rsidR="00D4387F" w:rsidRPr="00350CDD">
        <w:rPr>
          <w:lang w:val="en-CA"/>
        </w:rPr>
        <w:t>s</w:t>
      </w:r>
      <w:r w:rsidR="00142823" w:rsidRPr="00350CDD">
        <w:rPr>
          <w:lang w:val="en-CA"/>
        </w:rPr>
        <w:t>.</w:t>
      </w:r>
      <w:r w:rsidRPr="00C56B18">
        <w:rPr>
          <w:lang w:val="en-CA"/>
        </w:rPr>
        <w:t xml:space="preserve"> 286 </w:t>
      </w:r>
      <w:r w:rsidR="00D4387F" w:rsidRPr="00C56B18">
        <w:rPr>
          <w:lang w:val="en-CA"/>
        </w:rPr>
        <w:t>to</w:t>
      </w:r>
      <w:r w:rsidRPr="00C56B18">
        <w:rPr>
          <w:lang w:val="en-CA"/>
        </w:rPr>
        <w:t xml:space="preserve"> 289.27.</w:t>
      </w:r>
    </w:p>
  </w:footnote>
  <w:footnote w:id="3">
    <w:p w14:paraId="6C1E51CA" w14:textId="2D36FDFE" w:rsidR="00FE3921" w:rsidRPr="00C56B18" w:rsidRDefault="00FE3921" w:rsidP="00FE3921">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142823" w:rsidRPr="00350CDD">
        <w:rPr>
          <w:i/>
          <w:iCs/>
          <w:lang w:val="en-CA"/>
        </w:rPr>
        <w:t xml:space="preserve">Regulation respecting the conduct of the investigations of the Bureau des </w:t>
      </w:r>
      <w:proofErr w:type="spellStart"/>
      <w:r w:rsidR="00142823" w:rsidRPr="00350CDD">
        <w:rPr>
          <w:i/>
          <w:iCs/>
          <w:lang w:val="en-CA"/>
        </w:rPr>
        <w:t>enquêtes</w:t>
      </w:r>
      <w:proofErr w:type="spellEnd"/>
      <w:r w:rsidR="00142823" w:rsidRPr="00350CDD">
        <w:rPr>
          <w:i/>
          <w:iCs/>
          <w:lang w:val="en-CA"/>
        </w:rPr>
        <w:t xml:space="preserve"> </w:t>
      </w:r>
      <w:proofErr w:type="spellStart"/>
      <w:r w:rsidR="00142823" w:rsidRPr="00350CDD">
        <w:rPr>
          <w:i/>
          <w:iCs/>
          <w:lang w:val="en-CA"/>
        </w:rPr>
        <w:t>indépendantes</w:t>
      </w:r>
      <w:proofErr w:type="spellEnd"/>
      <w:r w:rsidRPr="00350CDD">
        <w:rPr>
          <w:lang w:val="en-CA"/>
        </w:rPr>
        <w:t xml:space="preserve">, </w:t>
      </w:r>
      <w:proofErr w:type="spellStart"/>
      <w:r w:rsidR="009D69BC" w:rsidRPr="00350CDD">
        <w:rPr>
          <w:lang w:val="en-CA"/>
        </w:rPr>
        <w:t>CQLR</w:t>
      </w:r>
      <w:proofErr w:type="spellEnd"/>
      <w:r w:rsidRPr="00350CDD">
        <w:rPr>
          <w:lang w:val="en-CA"/>
        </w:rPr>
        <w:t>, c. P-13.1, r. 1.1.</w:t>
      </w:r>
    </w:p>
  </w:footnote>
  <w:footnote w:id="4">
    <w:p w14:paraId="2ED1D1BA" w14:textId="5C3D66D0" w:rsidR="00FE3921" w:rsidRPr="00C56B18" w:rsidRDefault="00FE3921" w:rsidP="00FE3921">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142823" w:rsidRPr="00350CDD">
        <w:rPr>
          <w:i/>
          <w:iCs/>
          <w:lang w:val="en-CA"/>
        </w:rPr>
        <w:t>Supra</w:t>
      </w:r>
      <w:r w:rsidR="00142823" w:rsidRPr="00350CDD">
        <w:rPr>
          <w:lang w:val="en-CA"/>
        </w:rPr>
        <w:t xml:space="preserve"> note 1</w:t>
      </w:r>
      <w:r w:rsidRPr="00350CDD">
        <w:rPr>
          <w:lang w:val="en-CA"/>
        </w:rPr>
        <w:t xml:space="preserve"> </w:t>
      </w:r>
      <w:r w:rsidR="00142823" w:rsidRPr="00350CDD">
        <w:rPr>
          <w:lang w:val="en-CA"/>
        </w:rPr>
        <w:t xml:space="preserve">at </w:t>
      </w:r>
      <w:r w:rsidRPr="00350CDD">
        <w:rPr>
          <w:lang w:val="en-CA"/>
        </w:rPr>
        <w:t>par</w:t>
      </w:r>
      <w:r w:rsidR="00142823" w:rsidRPr="00350CDD">
        <w:rPr>
          <w:lang w:val="en-CA"/>
        </w:rPr>
        <w:t>as</w:t>
      </w:r>
      <w:r w:rsidRPr="00350CDD">
        <w:rPr>
          <w:lang w:val="en-CA"/>
        </w:rPr>
        <w:t>.</w:t>
      </w:r>
      <w:r w:rsidRPr="00C56B18">
        <w:rPr>
          <w:lang w:val="en-CA"/>
        </w:rPr>
        <w:t xml:space="preserve"> 82</w:t>
      </w:r>
      <w:r w:rsidR="00142823" w:rsidRPr="00C56B18">
        <w:rPr>
          <w:lang w:val="en-CA"/>
        </w:rPr>
        <w:t>–</w:t>
      </w:r>
      <w:r w:rsidRPr="00C56B18">
        <w:rPr>
          <w:lang w:val="en-CA"/>
        </w:rPr>
        <w:t>87.</w:t>
      </w:r>
    </w:p>
  </w:footnote>
  <w:footnote w:id="5">
    <w:p w14:paraId="2CF11DBA" w14:textId="58001104" w:rsidR="00386FFF" w:rsidRPr="00C56B18" w:rsidRDefault="00386FFF" w:rsidP="00386FFF">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9D69BC" w:rsidRPr="00350CDD">
        <w:rPr>
          <w:i/>
          <w:iCs/>
          <w:lang w:val="en-CA"/>
        </w:rPr>
        <w:t>Police Act</w:t>
      </w:r>
      <w:r w:rsidRPr="00350CDD">
        <w:rPr>
          <w:i/>
          <w:iCs/>
          <w:lang w:val="en-CA"/>
        </w:rPr>
        <w:t xml:space="preserve">, </w:t>
      </w:r>
      <w:r w:rsidR="009D69BC" w:rsidRPr="00350CDD">
        <w:rPr>
          <w:lang w:val="en-CA"/>
        </w:rPr>
        <w:t>CQLR</w:t>
      </w:r>
      <w:r w:rsidRPr="00350CDD">
        <w:rPr>
          <w:lang w:val="en-CA"/>
        </w:rPr>
        <w:t xml:space="preserve">, c. P-13.1, </w:t>
      </w:r>
      <w:r w:rsidR="00142823" w:rsidRPr="00350CDD">
        <w:rPr>
          <w:lang w:val="en-CA"/>
        </w:rPr>
        <w:t>s</w:t>
      </w:r>
      <w:r w:rsidRPr="00350CDD">
        <w:rPr>
          <w:lang w:val="en-CA"/>
        </w:rPr>
        <w:t>.</w:t>
      </w:r>
      <w:r w:rsidRPr="00C56B18">
        <w:rPr>
          <w:lang w:val="en-CA"/>
        </w:rPr>
        <w:t xml:space="preserve"> 48.</w:t>
      </w:r>
    </w:p>
  </w:footnote>
  <w:footnote w:id="6">
    <w:p w14:paraId="090C5DE5" w14:textId="33024EF9" w:rsidR="00386FFF" w:rsidRPr="00C56B18" w:rsidRDefault="00386FFF" w:rsidP="00386FFF">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142823" w:rsidRPr="00350CDD">
        <w:rPr>
          <w:lang w:val="en-CA"/>
        </w:rPr>
        <w:t>Sections</w:t>
      </w:r>
      <w:r w:rsidRPr="00350CDD">
        <w:rPr>
          <w:lang w:val="en-CA"/>
        </w:rPr>
        <w:t xml:space="preserve"> 25(1) </w:t>
      </w:r>
      <w:r w:rsidR="00142823" w:rsidRPr="00350CDD">
        <w:rPr>
          <w:lang w:val="en-CA"/>
        </w:rPr>
        <w:t>and</w:t>
      </w:r>
      <w:r w:rsidRPr="00350CDD">
        <w:rPr>
          <w:lang w:val="en-CA"/>
        </w:rPr>
        <w:t xml:space="preserve"> 26 </w:t>
      </w:r>
      <w:r w:rsidR="009D69BC" w:rsidRPr="00350CDD">
        <w:rPr>
          <w:i/>
          <w:iCs/>
          <w:lang w:val="en-CA"/>
        </w:rPr>
        <w:t>Criminal Code</w:t>
      </w:r>
      <w:r w:rsidRPr="00350CDD">
        <w:rPr>
          <w:i/>
          <w:iCs/>
          <w:lang w:val="en-CA"/>
        </w:rPr>
        <w:t xml:space="preserve"> </w:t>
      </w:r>
      <w:r w:rsidRPr="00350CDD">
        <w:rPr>
          <w:lang w:val="en-CA"/>
        </w:rPr>
        <w:t>(</w:t>
      </w:r>
      <w:r w:rsidR="00C56B18" w:rsidRPr="00350CDD">
        <w:rPr>
          <w:lang w:val="en-CA"/>
        </w:rPr>
        <w:t>“</w:t>
      </w:r>
      <w:r w:rsidRPr="00350CDD">
        <w:rPr>
          <w:i/>
          <w:iCs/>
          <w:spacing w:val="-20"/>
          <w:lang w:val="en-CA"/>
        </w:rPr>
        <w:t>C</w:t>
      </w:r>
      <w:r w:rsidR="00D4387F" w:rsidRPr="00350CDD">
        <w:rPr>
          <w:i/>
          <w:iCs/>
          <w:spacing w:val="-20"/>
          <w:lang w:val="en-CA"/>
        </w:rPr>
        <w:t>r</w:t>
      </w:r>
      <w:r w:rsidRPr="00350CDD">
        <w:rPr>
          <w:i/>
          <w:iCs/>
          <w:spacing w:val="-20"/>
          <w:lang w:val="en-CA"/>
        </w:rPr>
        <w:t>.</w:t>
      </w:r>
      <w:r w:rsidR="00D4387F" w:rsidRPr="00350CDD">
        <w:rPr>
          <w:i/>
          <w:iCs/>
          <w:spacing w:val="-20"/>
          <w:lang w:val="en-CA"/>
        </w:rPr>
        <w:t xml:space="preserve"> C</w:t>
      </w:r>
      <w:r w:rsidRPr="00350CDD">
        <w:rPr>
          <w:i/>
          <w:iCs/>
          <w:spacing w:val="-20"/>
          <w:lang w:val="en-CA"/>
        </w:rPr>
        <w:t>.</w:t>
      </w:r>
      <w:r w:rsidR="00C56B18">
        <w:rPr>
          <w:spacing w:val="-20"/>
          <w:lang w:val="en-CA"/>
        </w:rPr>
        <w:t>”</w:t>
      </w:r>
      <w:r w:rsidRPr="00350CDD">
        <w:rPr>
          <w:lang w:val="en-CA"/>
        </w:rPr>
        <w:t xml:space="preserve">); </w:t>
      </w:r>
      <w:r w:rsidR="00142823" w:rsidRPr="00350CDD">
        <w:rPr>
          <w:lang w:val="en-CA"/>
        </w:rPr>
        <w:t>s.</w:t>
      </w:r>
      <w:r w:rsidRPr="00C56B18">
        <w:rPr>
          <w:lang w:val="en-CA"/>
        </w:rPr>
        <w:t xml:space="preserve"> </w:t>
      </w:r>
      <w:r w:rsidRPr="00350CDD">
        <w:rPr>
          <w:lang w:val="en-CA"/>
        </w:rPr>
        <w:t xml:space="preserve">2 </w:t>
      </w:r>
      <w:r w:rsidR="00D4387F" w:rsidRPr="00350CDD">
        <w:rPr>
          <w:i/>
          <w:iCs/>
          <w:spacing w:val="-20"/>
          <w:lang w:val="en-CA"/>
        </w:rPr>
        <w:t>Cr. C.</w:t>
      </w:r>
      <w:r w:rsidRPr="00350CDD">
        <w:rPr>
          <w:lang w:val="en-CA"/>
        </w:rPr>
        <w:t>, d</w:t>
      </w:r>
      <w:r w:rsidR="00142823" w:rsidRPr="00350CDD">
        <w:rPr>
          <w:lang w:val="en-CA"/>
        </w:rPr>
        <w:t>e</w:t>
      </w:r>
      <w:r w:rsidRPr="00350CDD">
        <w:rPr>
          <w:lang w:val="en-CA"/>
        </w:rPr>
        <w:t xml:space="preserve">finition </w:t>
      </w:r>
      <w:r w:rsidR="00142823" w:rsidRPr="00350CDD">
        <w:rPr>
          <w:lang w:val="en-CA"/>
        </w:rPr>
        <w:t xml:space="preserve">of </w:t>
      </w:r>
      <w:r w:rsidR="00C56B18" w:rsidRPr="00350CDD">
        <w:rPr>
          <w:lang w:val="en-CA"/>
        </w:rPr>
        <w:t>“</w:t>
      </w:r>
      <w:r w:rsidR="00142823" w:rsidRPr="00350CDD">
        <w:rPr>
          <w:lang w:val="en-CA"/>
        </w:rPr>
        <w:t>peace officer</w:t>
      </w:r>
      <w:r w:rsidR="00C56B18" w:rsidRPr="00350CDD">
        <w:rPr>
          <w:lang w:val="en-CA"/>
        </w:rPr>
        <w:t>”</w:t>
      </w:r>
      <w:r w:rsidRPr="00350CDD">
        <w:rPr>
          <w:lang w:val="en-CA"/>
        </w:rPr>
        <w:t>.</w:t>
      </w:r>
    </w:p>
  </w:footnote>
  <w:footnote w:id="7">
    <w:p w14:paraId="349D733D" w14:textId="2668D68D" w:rsidR="009D69BC" w:rsidRPr="00C22ECF" w:rsidRDefault="009D69BC" w:rsidP="009D69BC">
      <w:pPr>
        <w:pStyle w:val="Notedebasdepage"/>
        <w:rPr>
          <w:i/>
          <w:iCs/>
        </w:rPr>
      </w:pPr>
      <w:r w:rsidRPr="00C56B18">
        <w:rPr>
          <w:rStyle w:val="Appelnotedebasdep"/>
          <w:lang w:val="en-CA"/>
        </w:rPr>
        <w:footnoteRef/>
      </w:r>
      <w:r w:rsidRPr="00C22ECF">
        <w:t xml:space="preserve"> </w:t>
      </w:r>
      <w:r w:rsidRPr="00C22ECF">
        <w:tab/>
      </w:r>
      <w:r w:rsidR="00142823" w:rsidRPr="00350CDD">
        <w:t>Section</w:t>
      </w:r>
      <w:r w:rsidRPr="00350CDD">
        <w:t xml:space="preserve"> 25(3) </w:t>
      </w:r>
      <w:r w:rsidR="00D4387F" w:rsidRPr="00350CDD">
        <w:rPr>
          <w:i/>
          <w:iCs/>
          <w:spacing w:val="-20"/>
        </w:rPr>
        <w:t>Cr. C.</w:t>
      </w:r>
    </w:p>
  </w:footnote>
  <w:footnote w:id="8">
    <w:p w14:paraId="29F36281" w14:textId="392595ED" w:rsidR="009D69BC" w:rsidRPr="00C22ECF" w:rsidRDefault="009D69BC" w:rsidP="009D69BC">
      <w:pPr>
        <w:pStyle w:val="Notedebasdepage"/>
        <w:rPr>
          <w:i/>
          <w:iCs/>
        </w:rPr>
      </w:pPr>
      <w:r w:rsidRPr="00C56B18">
        <w:rPr>
          <w:rStyle w:val="Appelnotedebasdep"/>
          <w:lang w:val="en-CA"/>
        </w:rPr>
        <w:footnoteRef/>
      </w:r>
      <w:r w:rsidRPr="00C22ECF">
        <w:t xml:space="preserve"> </w:t>
      </w:r>
      <w:r w:rsidRPr="00C22ECF">
        <w:tab/>
      </w:r>
      <w:r w:rsidR="00142823" w:rsidRPr="00350CDD">
        <w:t>Section</w:t>
      </w:r>
      <w:r w:rsidRPr="00350CDD">
        <w:t xml:space="preserve"> 25(4) </w:t>
      </w:r>
      <w:r w:rsidR="00D4387F" w:rsidRPr="00350CDD">
        <w:rPr>
          <w:i/>
          <w:iCs/>
          <w:spacing w:val="-20"/>
        </w:rPr>
        <w:t>Cr. C.</w:t>
      </w:r>
    </w:p>
  </w:footnote>
  <w:footnote w:id="9">
    <w:p w14:paraId="57170BD0" w14:textId="71197A1C" w:rsidR="00142823" w:rsidRPr="00C22ECF" w:rsidRDefault="00142823" w:rsidP="00142823">
      <w:pPr>
        <w:pStyle w:val="Notedebasdepage"/>
      </w:pPr>
      <w:r w:rsidRPr="00C56B18">
        <w:rPr>
          <w:rStyle w:val="Appelnotedebasdep"/>
          <w:lang w:val="en-CA"/>
        </w:rPr>
        <w:footnoteRef/>
      </w:r>
      <w:r w:rsidRPr="00C22ECF">
        <w:t xml:space="preserve"> </w:t>
      </w:r>
      <w:r w:rsidRPr="00C22ECF">
        <w:tab/>
      </w:r>
      <w:r w:rsidRPr="00350CDD">
        <w:t xml:space="preserve">Section 117.07 </w:t>
      </w:r>
      <w:r w:rsidR="00D4387F" w:rsidRPr="00350CDD">
        <w:rPr>
          <w:i/>
          <w:iCs/>
          <w:spacing w:val="-20"/>
        </w:rPr>
        <w:t>Cr. C.</w:t>
      </w:r>
    </w:p>
  </w:footnote>
  <w:footnote w:id="10">
    <w:p w14:paraId="7C0E0979" w14:textId="1C07D498" w:rsidR="00142823" w:rsidRPr="00C22ECF" w:rsidRDefault="00142823" w:rsidP="00142823">
      <w:pPr>
        <w:pStyle w:val="Notedebasdepage"/>
        <w:rPr>
          <w:i/>
          <w:iCs/>
        </w:rPr>
      </w:pPr>
      <w:r w:rsidRPr="00C56B18">
        <w:rPr>
          <w:rStyle w:val="Appelnotedebasdep"/>
          <w:lang w:val="en-CA"/>
        </w:rPr>
        <w:footnoteRef/>
      </w:r>
      <w:r w:rsidRPr="00C22ECF">
        <w:t xml:space="preserve"> </w:t>
      </w:r>
      <w:r w:rsidRPr="00C22ECF">
        <w:tab/>
      </w:r>
      <w:r w:rsidRPr="00350CDD">
        <w:t xml:space="preserve">Sections 31, 495, 495.1 </w:t>
      </w:r>
      <w:r w:rsidR="00D4387F" w:rsidRPr="00350CDD">
        <w:rPr>
          <w:i/>
          <w:iCs/>
          <w:spacing w:val="-20"/>
        </w:rPr>
        <w:t>Cr. C.</w:t>
      </w:r>
    </w:p>
  </w:footnote>
  <w:footnote w:id="11">
    <w:p w14:paraId="675F471F" w14:textId="34CF964C" w:rsidR="00142823" w:rsidRPr="00C56B18" w:rsidRDefault="00142823" w:rsidP="00142823">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Sections 529, 529.1, 529.3 and 529.4 </w:t>
      </w:r>
      <w:r w:rsidR="00D4387F" w:rsidRPr="00350CDD">
        <w:rPr>
          <w:i/>
          <w:iCs/>
          <w:spacing w:val="-20"/>
          <w:lang w:val="en-CA"/>
        </w:rPr>
        <w:t>Cr. C.</w:t>
      </w:r>
    </w:p>
  </w:footnote>
  <w:footnote w:id="12">
    <w:p w14:paraId="4E5D7EA4" w14:textId="77777777" w:rsidR="0055542E" w:rsidRPr="00C56B18" w:rsidRDefault="0055542E" w:rsidP="0055542E">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Section 129 </w:t>
      </w:r>
      <w:r w:rsidRPr="00350CDD">
        <w:rPr>
          <w:i/>
          <w:iCs/>
          <w:spacing w:val="-20"/>
          <w:lang w:val="en-CA"/>
        </w:rPr>
        <w:t>Cr. C.</w:t>
      </w:r>
    </w:p>
  </w:footnote>
  <w:footnote w:id="13">
    <w:p w14:paraId="45F8B367" w14:textId="77777777" w:rsidR="0055542E" w:rsidRPr="00C56B18" w:rsidRDefault="0055542E" w:rsidP="0055542E">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Sections 270, 270.01, 270.02 and 270.03 </w:t>
      </w:r>
      <w:r w:rsidRPr="00350CDD">
        <w:rPr>
          <w:i/>
          <w:iCs/>
          <w:spacing w:val="-20"/>
          <w:lang w:val="en-CA"/>
        </w:rPr>
        <w:t>Cr. C.</w:t>
      </w:r>
    </w:p>
  </w:footnote>
  <w:footnote w:id="14">
    <w:p w14:paraId="41128AED" w14:textId="77777777" w:rsidR="0055542E" w:rsidRPr="00C56B18" w:rsidRDefault="0055542E" w:rsidP="0055542E">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Section 270.1 </w:t>
      </w:r>
      <w:r w:rsidRPr="00350CDD">
        <w:rPr>
          <w:i/>
          <w:iCs/>
          <w:spacing w:val="-20"/>
          <w:lang w:val="en-CA"/>
        </w:rPr>
        <w:t>Cr. C.</w:t>
      </w:r>
    </w:p>
  </w:footnote>
  <w:footnote w:id="15">
    <w:p w14:paraId="72C0B3CA" w14:textId="77777777"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12" w:name="_Hlk163196858"/>
      <w:r w:rsidRPr="00350CDD">
        <w:rPr>
          <w:i/>
          <w:iCs/>
          <w:lang w:val="en-CA"/>
        </w:rPr>
        <w:t xml:space="preserve">Police Act, </w:t>
      </w:r>
      <w:r w:rsidRPr="00350CDD">
        <w:rPr>
          <w:lang w:val="en-CA"/>
        </w:rPr>
        <w:t>CQLR, c. P-13.1.</w:t>
      </w:r>
      <w:bookmarkEnd w:id="12"/>
    </w:p>
  </w:footnote>
  <w:footnote w:id="16">
    <w:p w14:paraId="63A6A6B0" w14:textId="77777777"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i/>
          <w:iCs/>
          <w:lang w:val="en-CA"/>
        </w:rPr>
        <w:t>Code of Ethics of Québec Police Officers</w:t>
      </w:r>
      <w:r w:rsidRPr="00C56B18">
        <w:rPr>
          <w:lang w:val="en-CA"/>
        </w:rPr>
        <w:t xml:space="preserve">, CQLR, c. P-13.1, r. 1; </w:t>
      </w:r>
      <w:r w:rsidRPr="00C56B18">
        <w:rPr>
          <w:i/>
          <w:iCs/>
          <w:lang w:val="en-CA"/>
        </w:rPr>
        <w:t>By-law respecting the internal discipline of members of the specialized anti-corruption police force</w:t>
      </w:r>
      <w:r w:rsidRPr="00C56B18">
        <w:rPr>
          <w:lang w:val="en-CA"/>
        </w:rPr>
        <w:t xml:space="preserve">, CQLR, c. P-13.1, r. 2.001; </w:t>
      </w:r>
      <w:r w:rsidRPr="00C56B18">
        <w:rPr>
          <w:i/>
          <w:iCs/>
          <w:lang w:val="en-CA"/>
        </w:rPr>
        <w:t>By-law respecting the internal discipline of members of the Sûreté du Québec</w:t>
      </w:r>
      <w:r w:rsidRPr="00C56B18">
        <w:rPr>
          <w:lang w:val="en-CA"/>
        </w:rPr>
        <w:t xml:space="preserve">, CQLR, c. P-13.1, r. 2.01; </w:t>
      </w:r>
      <w:r w:rsidRPr="00C56B18">
        <w:rPr>
          <w:i/>
          <w:iCs/>
          <w:lang w:val="en-CA"/>
        </w:rPr>
        <w:t>By-law respecting the internal discipline of police officers of Ville de Montréal</w:t>
      </w:r>
      <w:r w:rsidRPr="00C56B18">
        <w:rPr>
          <w:lang w:val="en-CA"/>
        </w:rPr>
        <w:t>, CQLR, c. P-13.1, r. 2.02.</w:t>
      </w:r>
    </w:p>
  </w:footnote>
  <w:footnote w:id="17">
    <w:p w14:paraId="19B3A39C" w14:textId="77777777"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13" w:name="_Hlk163107187"/>
      <w:r w:rsidRPr="00350CDD">
        <w:rPr>
          <w:i/>
          <w:iCs/>
          <w:lang w:val="en-CA"/>
        </w:rPr>
        <w:t xml:space="preserve">Police Act, </w:t>
      </w:r>
      <w:r w:rsidRPr="00350CDD">
        <w:rPr>
          <w:lang w:val="en-CA"/>
        </w:rPr>
        <w:t>CQLR, c. P-13.1</w:t>
      </w:r>
      <w:bookmarkEnd w:id="13"/>
      <w:r w:rsidRPr="00350CDD">
        <w:rPr>
          <w:lang w:val="en-CA"/>
        </w:rPr>
        <w:t>, s.</w:t>
      </w:r>
      <w:r w:rsidRPr="00C56B18">
        <w:rPr>
          <w:lang w:val="en-CA"/>
        </w:rPr>
        <w:t xml:space="preserve"> </w:t>
      </w:r>
      <w:r w:rsidRPr="00350CDD">
        <w:rPr>
          <w:lang w:val="en-CA"/>
        </w:rPr>
        <w:t>64 and ss.</w:t>
      </w:r>
      <w:r w:rsidRPr="00C56B18">
        <w:rPr>
          <w:lang w:val="en-CA"/>
        </w:rPr>
        <w:t xml:space="preserve"> 256–259.</w:t>
      </w:r>
    </w:p>
  </w:footnote>
  <w:footnote w:id="18">
    <w:p w14:paraId="1F2FDD41" w14:textId="39DFFD4A"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ss.</w:t>
      </w:r>
      <w:r w:rsidRPr="00C56B18">
        <w:rPr>
          <w:lang w:val="en-CA"/>
        </w:rPr>
        <w:t xml:space="preserve"> 143, 166 to 178.</w:t>
      </w:r>
    </w:p>
  </w:footnote>
  <w:footnote w:id="19">
    <w:p w14:paraId="2462DC74" w14:textId="0574C355"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w:t>
      </w:r>
      <w:r w:rsidRPr="00C56B18">
        <w:rPr>
          <w:lang w:val="en-CA"/>
        </w:rPr>
        <w:t xml:space="preserve"> 64.</w:t>
      </w:r>
    </w:p>
  </w:footnote>
  <w:footnote w:id="20">
    <w:p w14:paraId="3C0F9868" w14:textId="7873B8ED"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w:t>
      </w:r>
      <w:r w:rsidRPr="00C56B18">
        <w:rPr>
          <w:lang w:val="en-CA"/>
        </w:rPr>
        <w:t xml:space="preserve"> 258.</w:t>
      </w:r>
    </w:p>
  </w:footnote>
  <w:footnote w:id="21">
    <w:p w14:paraId="762F310E" w14:textId="167AC045"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Ibid </w:t>
      </w:r>
      <w:r w:rsidR="002300E2" w:rsidRPr="002300E2">
        <w:rPr>
          <w:lang w:val="en-CA"/>
        </w:rPr>
        <w:t>at</w:t>
      </w:r>
      <w:r w:rsidR="002300E2">
        <w:rPr>
          <w:i/>
          <w:iCs/>
          <w:lang w:val="en-CA"/>
        </w:rPr>
        <w:t xml:space="preserve"> </w:t>
      </w:r>
      <w:r w:rsidRPr="00350CDD">
        <w:rPr>
          <w:lang w:val="en-CA"/>
        </w:rPr>
        <w:t>s.</w:t>
      </w:r>
      <w:r w:rsidRPr="00C56B18">
        <w:rPr>
          <w:lang w:val="en-CA"/>
        </w:rPr>
        <w:t xml:space="preserve"> </w:t>
      </w:r>
      <w:r w:rsidRPr="00350CDD">
        <w:rPr>
          <w:lang w:val="en-CA"/>
        </w:rPr>
        <w:t xml:space="preserve">64 </w:t>
      </w:r>
      <w:r w:rsidRPr="00350CDD">
        <w:rPr>
          <w:i/>
          <w:iCs/>
          <w:lang w:val="en-CA"/>
        </w:rPr>
        <w:t>in fine,</w:t>
      </w:r>
      <w:r w:rsidRPr="00350CDD">
        <w:rPr>
          <w:lang w:val="en-CA"/>
        </w:rPr>
        <w:t xml:space="preserve"> ss.</w:t>
      </w:r>
      <w:r w:rsidRPr="00C56B18">
        <w:rPr>
          <w:lang w:val="en-CA"/>
        </w:rPr>
        <w:t xml:space="preserve"> </w:t>
      </w:r>
      <w:r w:rsidRPr="00350CDD">
        <w:rPr>
          <w:lang w:val="en-CA"/>
        </w:rPr>
        <w:t>286 and 289.</w:t>
      </w:r>
    </w:p>
  </w:footnote>
  <w:footnote w:id="22">
    <w:p w14:paraId="46B1E6DD" w14:textId="6C54564C"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w:t>
      </w:r>
      <w:r w:rsidRPr="00C56B18">
        <w:rPr>
          <w:lang w:val="en-CA"/>
        </w:rPr>
        <w:t xml:space="preserve"> </w:t>
      </w:r>
      <w:r w:rsidRPr="00350CDD">
        <w:rPr>
          <w:lang w:val="en-CA"/>
        </w:rPr>
        <w:t xml:space="preserve">286 </w:t>
      </w:r>
      <w:r w:rsidRPr="00350CDD">
        <w:rPr>
          <w:i/>
          <w:iCs/>
          <w:lang w:val="en-CA"/>
        </w:rPr>
        <w:t>in fine</w:t>
      </w:r>
      <w:r w:rsidRPr="00350CDD">
        <w:rPr>
          <w:lang w:val="en-CA"/>
        </w:rPr>
        <w:t xml:space="preserve"> and s.</w:t>
      </w:r>
      <w:r w:rsidRPr="00C56B18">
        <w:rPr>
          <w:lang w:val="en-CA"/>
        </w:rPr>
        <w:t xml:space="preserve"> </w:t>
      </w:r>
      <w:r w:rsidRPr="00350CDD">
        <w:rPr>
          <w:lang w:val="en-CA"/>
        </w:rPr>
        <w:t>289.1, para. 2.</w:t>
      </w:r>
    </w:p>
  </w:footnote>
  <w:footnote w:id="23">
    <w:p w14:paraId="375A66BE" w14:textId="14B3E903"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w:t>
      </w:r>
      <w:r w:rsidRPr="00C56B18">
        <w:rPr>
          <w:lang w:val="en-CA"/>
        </w:rPr>
        <w:t xml:space="preserve"> 178. For a fuller description of the ethics system applica</w:t>
      </w:r>
      <w:r w:rsidR="00604E99">
        <w:rPr>
          <w:lang w:val="en-CA"/>
        </w:rPr>
        <w:t>ble</w:t>
      </w:r>
      <w:r w:rsidRPr="00C56B18">
        <w:rPr>
          <w:lang w:val="en-CA"/>
        </w:rPr>
        <w:t xml:space="preserve"> to Quebec police officers, see André </w:t>
      </w:r>
      <w:proofErr w:type="spellStart"/>
      <w:r w:rsidRPr="00C56B18">
        <w:rPr>
          <w:lang w:val="en-CA"/>
        </w:rPr>
        <w:t>Fiset</w:t>
      </w:r>
      <w:proofErr w:type="spellEnd"/>
      <w:r w:rsidRPr="00C56B18">
        <w:rPr>
          <w:lang w:val="en-CA"/>
        </w:rPr>
        <w:t xml:space="preserve">, David Coderre, Patrick J. Verret &amp; </w:t>
      </w:r>
      <w:proofErr w:type="spellStart"/>
      <w:r w:rsidRPr="00C56B18">
        <w:rPr>
          <w:lang w:val="en-CA"/>
        </w:rPr>
        <w:t>Eliane</w:t>
      </w:r>
      <w:proofErr w:type="spellEnd"/>
      <w:r w:rsidRPr="00C56B18">
        <w:rPr>
          <w:lang w:val="en-CA"/>
        </w:rPr>
        <w:t xml:space="preserve"> Beaudry, </w:t>
      </w:r>
      <w:proofErr w:type="spellStart"/>
      <w:r w:rsidRPr="00C56B18">
        <w:rPr>
          <w:i/>
          <w:iCs/>
          <w:lang w:val="en-CA"/>
        </w:rPr>
        <w:t>Traité</w:t>
      </w:r>
      <w:proofErr w:type="spellEnd"/>
      <w:r w:rsidRPr="00C56B18">
        <w:rPr>
          <w:i/>
          <w:iCs/>
          <w:lang w:val="en-CA"/>
        </w:rPr>
        <w:t xml:space="preserve"> de </w:t>
      </w:r>
      <w:proofErr w:type="spellStart"/>
      <w:r w:rsidRPr="00C56B18">
        <w:rPr>
          <w:i/>
          <w:iCs/>
          <w:lang w:val="en-CA"/>
        </w:rPr>
        <w:t>déontologie</w:t>
      </w:r>
      <w:proofErr w:type="spellEnd"/>
      <w:r w:rsidRPr="00C56B18">
        <w:rPr>
          <w:i/>
          <w:iCs/>
          <w:lang w:val="en-CA"/>
        </w:rPr>
        <w:t xml:space="preserve"> </w:t>
      </w:r>
      <w:proofErr w:type="spellStart"/>
      <w:r w:rsidRPr="00C56B18">
        <w:rPr>
          <w:i/>
          <w:iCs/>
          <w:lang w:val="en-CA"/>
        </w:rPr>
        <w:t>policière</w:t>
      </w:r>
      <w:proofErr w:type="spellEnd"/>
      <w:r w:rsidRPr="00C56B18">
        <w:rPr>
          <w:i/>
          <w:iCs/>
          <w:lang w:val="en-CA"/>
        </w:rPr>
        <w:t xml:space="preserve"> au Québec</w:t>
      </w:r>
      <w:r w:rsidRPr="00C56B18">
        <w:rPr>
          <w:lang w:val="en-CA"/>
        </w:rPr>
        <w:t>, 3</w:t>
      </w:r>
      <w:r w:rsidRPr="00A71E3F">
        <w:rPr>
          <w:lang w:val="en-CA"/>
        </w:rPr>
        <w:t>rd</w:t>
      </w:r>
      <w:r w:rsidRPr="00C56B18">
        <w:rPr>
          <w:lang w:val="en-CA"/>
        </w:rPr>
        <w:t xml:space="preserve"> ed. (Montreal: Yvon Blais, 2019).</w:t>
      </w:r>
    </w:p>
  </w:footnote>
  <w:footnote w:id="24">
    <w:p w14:paraId="008F032D" w14:textId="729BE650"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002300E2">
        <w:rPr>
          <w:i/>
          <w:iCs/>
          <w:lang w:val="en-CA"/>
        </w:rPr>
        <w:t xml:space="preserve"> </w:t>
      </w:r>
      <w:r w:rsidR="002300E2" w:rsidRPr="002300E2">
        <w:rPr>
          <w:lang w:val="en-CA"/>
        </w:rPr>
        <w:t>at</w:t>
      </w:r>
      <w:r w:rsidRPr="00350CDD">
        <w:rPr>
          <w:lang w:val="en-CA"/>
        </w:rPr>
        <w:t xml:space="preserve"> s.</w:t>
      </w:r>
      <w:r w:rsidRPr="00C56B18">
        <w:rPr>
          <w:lang w:val="en-CA"/>
        </w:rPr>
        <w:t xml:space="preserve"> 194.</w:t>
      </w:r>
    </w:p>
  </w:footnote>
  <w:footnote w:id="25">
    <w:p w14:paraId="14DC7BCD" w14:textId="62738F72"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ss.</w:t>
      </w:r>
      <w:r w:rsidRPr="00C56B18">
        <w:rPr>
          <w:lang w:val="en-CA"/>
        </w:rPr>
        <w:t xml:space="preserve"> 233 and 234.</w:t>
      </w:r>
    </w:p>
  </w:footnote>
  <w:footnote w:id="26">
    <w:p w14:paraId="1F8EF30D" w14:textId="13270CDB" w:rsidR="0055542E" w:rsidRPr="00C56B18" w:rsidRDefault="0055542E" w:rsidP="0055542E">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ss.</w:t>
      </w:r>
      <w:r w:rsidRPr="00C56B18">
        <w:rPr>
          <w:lang w:val="en-CA"/>
        </w:rPr>
        <w:t xml:space="preserve"> 241 and 252 to 254.</w:t>
      </w:r>
    </w:p>
  </w:footnote>
  <w:footnote w:id="27">
    <w:p w14:paraId="2E9770D5" w14:textId="27F9CEAE" w:rsidR="00C22ECF" w:rsidRPr="00C56B18" w:rsidRDefault="00C22ECF" w:rsidP="00C22ECF">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2300E2">
        <w:rPr>
          <w:lang w:val="en-CA"/>
        </w:rPr>
        <w:t xml:space="preserve">at </w:t>
      </w:r>
      <w:r w:rsidRPr="00350CDD">
        <w:rPr>
          <w:lang w:val="en-CA"/>
        </w:rPr>
        <w:t>s.</w:t>
      </w:r>
      <w:r w:rsidRPr="00C56B18">
        <w:rPr>
          <w:lang w:val="en-CA"/>
        </w:rPr>
        <w:t xml:space="preserve"> </w:t>
      </w:r>
      <w:r w:rsidRPr="00350CDD">
        <w:rPr>
          <w:lang w:val="en-CA"/>
        </w:rPr>
        <w:t>289, emphasis added.</w:t>
      </w:r>
    </w:p>
  </w:footnote>
  <w:footnote w:id="28">
    <w:p w14:paraId="6FBF402D" w14:textId="5D1738E2" w:rsidR="00BE0378" w:rsidRPr="00C56B18" w:rsidRDefault="00BE0378" w:rsidP="00BE0378">
      <w:pPr>
        <w:pStyle w:val="Notedebasdepage"/>
        <w:rPr>
          <w:lang w:val="en-CA"/>
        </w:rPr>
      </w:pPr>
      <w:r w:rsidRPr="00C56B18">
        <w:rPr>
          <w:rStyle w:val="Appelnotedebasdep"/>
          <w:lang w:val="en-CA"/>
        </w:rPr>
        <w:footnoteRef/>
      </w:r>
      <w:r w:rsidRPr="00C56B18">
        <w:rPr>
          <w:lang w:val="en-CA"/>
        </w:rPr>
        <w:t xml:space="preserve"> </w:t>
      </w:r>
      <w:r w:rsidRPr="00C56B18">
        <w:rPr>
          <w:lang w:val="en-CA"/>
        </w:rPr>
        <w:tab/>
        <w:t xml:space="preserve">Exhibit PGQ-8: </w:t>
      </w:r>
      <w:r w:rsidR="00050F25">
        <w:rPr>
          <w:lang w:val="en-CA"/>
        </w:rPr>
        <w:t>Ombudsman</w:t>
      </w:r>
      <w:r w:rsidRPr="00C56B18">
        <w:rPr>
          <w:lang w:val="en-CA"/>
        </w:rPr>
        <w:t xml:space="preserve">, </w:t>
      </w:r>
      <w:r w:rsidRPr="00C56B18">
        <w:rPr>
          <w:i/>
          <w:iCs/>
          <w:lang w:val="en-CA"/>
        </w:rPr>
        <w:t>The Québec Investigative Procedure for Incidents Involving Police Officers – For a Credible, Transparent, and Impartial Process That Inspires Confidence and Respect</w:t>
      </w:r>
      <w:r w:rsidRPr="00C56B18">
        <w:rPr>
          <w:lang w:val="en-CA"/>
        </w:rPr>
        <w:t>, February 2010.</w:t>
      </w:r>
    </w:p>
  </w:footnote>
  <w:footnote w:id="29">
    <w:p w14:paraId="3B52C1BC" w14:textId="1AD68198"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w:t>
      </w:r>
      <w:r w:rsidRPr="00726519">
        <w:rPr>
          <w:lang w:val="en-CA"/>
        </w:rPr>
        <w:t>t 1</w:t>
      </w:r>
      <w:r w:rsidR="00FD4A18" w:rsidRPr="00726519">
        <w:rPr>
          <w:lang w:val="en-CA"/>
        </w:rPr>
        <w:t>6</w:t>
      </w:r>
      <w:r w:rsidRPr="00726519">
        <w:rPr>
          <w:lang w:val="en-CA"/>
        </w:rPr>
        <w:t>–2</w:t>
      </w:r>
      <w:r w:rsidR="00726519" w:rsidRPr="00726519">
        <w:rPr>
          <w:lang w:val="en-CA"/>
        </w:rPr>
        <w:t>2</w:t>
      </w:r>
      <w:r w:rsidRPr="00350CDD">
        <w:rPr>
          <w:lang w:val="en-CA"/>
        </w:rPr>
        <w:t>.</w:t>
      </w:r>
    </w:p>
  </w:footnote>
  <w:footnote w:id="30">
    <w:p w14:paraId="504E83CE" w14:textId="48CE33F0"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w:t>
      </w:r>
      <w:r w:rsidRPr="00726519">
        <w:rPr>
          <w:lang w:val="en-CA"/>
        </w:rPr>
        <w:t>2</w:t>
      </w:r>
      <w:r w:rsidR="00726519" w:rsidRPr="00726519">
        <w:rPr>
          <w:lang w:val="en-CA"/>
        </w:rPr>
        <w:t>3</w:t>
      </w:r>
      <w:r w:rsidRPr="00726519">
        <w:rPr>
          <w:lang w:val="en-CA"/>
        </w:rPr>
        <w:t>–2</w:t>
      </w:r>
      <w:r w:rsidR="00726519" w:rsidRPr="00726519">
        <w:rPr>
          <w:lang w:val="en-CA"/>
        </w:rPr>
        <w:t>5</w:t>
      </w:r>
      <w:r w:rsidRPr="00350CDD">
        <w:rPr>
          <w:lang w:val="en-CA"/>
        </w:rPr>
        <w:t>.</w:t>
      </w:r>
    </w:p>
  </w:footnote>
  <w:footnote w:id="31">
    <w:p w14:paraId="24A6476C" w14:textId="744860AB"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w:t>
      </w:r>
      <w:r w:rsidRPr="009838B1">
        <w:rPr>
          <w:lang w:val="en-CA"/>
        </w:rPr>
        <w:t>2</w:t>
      </w:r>
      <w:r w:rsidR="00726519" w:rsidRPr="009838B1">
        <w:rPr>
          <w:lang w:val="en-CA"/>
        </w:rPr>
        <w:t>5</w:t>
      </w:r>
      <w:r w:rsidRPr="009838B1">
        <w:rPr>
          <w:lang w:val="en-CA"/>
        </w:rPr>
        <w:t>–</w:t>
      </w:r>
      <w:r w:rsidR="003425F8" w:rsidRPr="009838B1">
        <w:rPr>
          <w:lang w:val="en-CA"/>
        </w:rPr>
        <w:t>2</w:t>
      </w:r>
      <w:r w:rsidR="00726519" w:rsidRPr="009838B1">
        <w:rPr>
          <w:lang w:val="en-CA"/>
        </w:rPr>
        <w:t>6</w:t>
      </w:r>
      <w:r w:rsidRPr="009838B1">
        <w:rPr>
          <w:lang w:val="en-CA"/>
        </w:rPr>
        <w:t>.</w:t>
      </w:r>
    </w:p>
  </w:footnote>
  <w:footnote w:id="32">
    <w:p w14:paraId="221F7664" w14:textId="77B2135E"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w:t>
      </w:r>
      <w:r w:rsidRPr="00ED4468">
        <w:rPr>
          <w:lang w:val="en-CA"/>
        </w:rPr>
        <w:t>2</w:t>
      </w:r>
      <w:r w:rsidR="00ED4468" w:rsidRPr="00ED4468">
        <w:rPr>
          <w:lang w:val="en-CA"/>
        </w:rPr>
        <w:t>6</w:t>
      </w:r>
      <w:r w:rsidRPr="00ED4468">
        <w:rPr>
          <w:lang w:val="en-CA"/>
        </w:rPr>
        <w:t>–</w:t>
      </w:r>
      <w:r w:rsidR="00ED4468" w:rsidRPr="00ED4468">
        <w:rPr>
          <w:lang w:val="en-CA"/>
        </w:rPr>
        <w:t>28</w:t>
      </w:r>
      <w:r w:rsidRPr="00350CDD">
        <w:rPr>
          <w:lang w:val="en-CA"/>
        </w:rPr>
        <w:t>.</w:t>
      </w:r>
    </w:p>
  </w:footnote>
  <w:footnote w:id="33">
    <w:p w14:paraId="302D611C" w14:textId="43EE1F47"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w:t>
      </w:r>
      <w:r w:rsidR="00ED4468">
        <w:rPr>
          <w:lang w:val="en-CA"/>
        </w:rPr>
        <w:t>28</w:t>
      </w:r>
      <w:r w:rsidRPr="00ED4468">
        <w:rPr>
          <w:lang w:val="en-CA"/>
        </w:rPr>
        <w:t>–4</w:t>
      </w:r>
      <w:r w:rsidR="00ED4468" w:rsidRPr="00ED4468">
        <w:rPr>
          <w:lang w:val="en-CA"/>
        </w:rPr>
        <w:t>1</w:t>
      </w:r>
      <w:r w:rsidRPr="00ED4468">
        <w:rPr>
          <w:lang w:val="en-CA"/>
        </w:rPr>
        <w:t>.</w:t>
      </w:r>
    </w:p>
  </w:footnote>
  <w:footnote w:id="34">
    <w:p w14:paraId="4EEF4901" w14:textId="77E37105" w:rsidR="00B35D2D" w:rsidRPr="00C56B18" w:rsidRDefault="00B35D2D" w:rsidP="00B35D2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w:t>
      </w:r>
      <w:r w:rsidRPr="00ED4468">
        <w:rPr>
          <w:lang w:val="en-CA"/>
        </w:rPr>
        <w:t>4</w:t>
      </w:r>
      <w:r w:rsidR="00ED4468" w:rsidRPr="00ED4468">
        <w:rPr>
          <w:lang w:val="en-CA"/>
        </w:rPr>
        <w:t>1</w:t>
      </w:r>
      <w:r w:rsidRPr="00ED4468">
        <w:rPr>
          <w:lang w:val="en-CA"/>
        </w:rPr>
        <w:t>–</w:t>
      </w:r>
      <w:r w:rsidR="00ED4468" w:rsidRPr="00ED4468">
        <w:rPr>
          <w:lang w:val="en-CA"/>
        </w:rPr>
        <w:t>5</w:t>
      </w:r>
      <w:r w:rsidRPr="00ED4468">
        <w:rPr>
          <w:lang w:val="en-CA"/>
        </w:rPr>
        <w:t>6.</w:t>
      </w:r>
    </w:p>
  </w:footnote>
  <w:footnote w:id="35">
    <w:p w14:paraId="44EC7F0D" w14:textId="527C988A" w:rsidR="004A6A03" w:rsidRPr="00C56B18" w:rsidRDefault="004A6A03" w:rsidP="004A6A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i/>
          <w:iCs/>
          <w:lang w:val="en-CA"/>
        </w:rPr>
        <w:t>Act to amend the Police Act as concerns independent investigations</w:t>
      </w:r>
      <w:r w:rsidRPr="00C56B18">
        <w:rPr>
          <w:lang w:val="en-CA"/>
        </w:rPr>
        <w:t xml:space="preserve">, S.Q. </w:t>
      </w:r>
      <w:r w:rsidRPr="00350CDD">
        <w:rPr>
          <w:lang w:val="en-CA"/>
        </w:rPr>
        <w:t>2013, c. 6.</w:t>
      </w:r>
      <w:r w:rsidRPr="00C56B18">
        <w:rPr>
          <w:lang w:val="en-CA"/>
        </w:rPr>
        <w:t xml:space="preserve"> Legislative amendments to the </w:t>
      </w:r>
      <w:r w:rsidRPr="00C56B18">
        <w:rPr>
          <w:i/>
          <w:iCs/>
          <w:lang w:val="en-CA"/>
        </w:rPr>
        <w:t>Police Act</w:t>
      </w:r>
      <w:r w:rsidRPr="00C56B18">
        <w:rPr>
          <w:lang w:val="en-CA"/>
        </w:rPr>
        <w:t xml:space="preserve"> provisions </w:t>
      </w:r>
      <w:r w:rsidR="0058256F">
        <w:rPr>
          <w:lang w:val="en-CA"/>
        </w:rPr>
        <w:t>concerning</w:t>
      </w:r>
      <w:r w:rsidRPr="00C56B18">
        <w:rPr>
          <w:lang w:val="en-CA"/>
        </w:rPr>
        <w:t xml:space="preserve"> BEI investigations were also subsequently enacted, primarily under the </w:t>
      </w:r>
      <w:r w:rsidRPr="00C56B18">
        <w:rPr>
          <w:i/>
          <w:iCs/>
          <w:lang w:val="en-CA"/>
        </w:rPr>
        <w:t xml:space="preserve">Act to increase the jurisdiction and independence of the Anti-Corruption Commissioner and the Bureau des </w:t>
      </w:r>
      <w:proofErr w:type="spellStart"/>
      <w:r w:rsidRPr="00C56B18">
        <w:rPr>
          <w:i/>
          <w:iCs/>
          <w:lang w:val="en-CA"/>
        </w:rPr>
        <w:t>enquêtes</w:t>
      </w:r>
      <w:proofErr w:type="spellEnd"/>
      <w:r w:rsidRPr="00C56B18">
        <w:rPr>
          <w:i/>
          <w:iCs/>
          <w:lang w:val="en-CA"/>
        </w:rPr>
        <w:t xml:space="preserve"> </w:t>
      </w:r>
      <w:proofErr w:type="spellStart"/>
      <w:r w:rsidRPr="00C56B18">
        <w:rPr>
          <w:i/>
          <w:iCs/>
          <w:lang w:val="en-CA"/>
        </w:rPr>
        <w:t>indépendantes</w:t>
      </w:r>
      <w:proofErr w:type="spellEnd"/>
      <w:r w:rsidRPr="00C56B18">
        <w:rPr>
          <w:i/>
          <w:iCs/>
          <w:lang w:val="en-CA"/>
        </w:rPr>
        <w:t xml:space="preserve"> and expand the power of the Director of Criminal and Penal Prosecutions to grant certain benefits to cooperating witnesses</w:t>
      </w:r>
      <w:r w:rsidRPr="00C56B18">
        <w:rPr>
          <w:lang w:val="en-CA"/>
        </w:rPr>
        <w:t xml:space="preserve">, S.Q. </w:t>
      </w:r>
      <w:r w:rsidRPr="00350CDD">
        <w:rPr>
          <w:lang w:val="en-CA"/>
        </w:rPr>
        <w:t>2018, c. 1, s.</w:t>
      </w:r>
      <w:r w:rsidR="00E405C7">
        <w:rPr>
          <w:lang w:val="en-CA"/>
        </w:rPr>
        <w:t> </w:t>
      </w:r>
      <w:r w:rsidRPr="00C56B18">
        <w:rPr>
          <w:lang w:val="en-CA"/>
        </w:rPr>
        <w:t xml:space="preserve">35 and the </w:t>
      </w:r>
      <w:r w:rsidRPr="00C56B18">
        <w:rPr>
          <w:i/>
          <w:iCs/>
          <w:lang w:val="en-CA"/>
        </w:rPr>
        <w:t>Act to amend various provisions relating to public security and to enact the Act to assist in locating missing persons</w:t>
      </w:r>
      <w:r w:rsidRPr="00C56B18">
        <w:rPr>
          <w:lang w:val="en-CA"/>
        </w:rPr>
        <w:t xml:space="preserve">, S.Q. </w:t>
      </w:r>
      <w:r w:rsidRPr="00350CDD">
        <w:rPr>
          <w:lang w:val="en-CA"/>
        </w:rPr>
        <w:t>2023, c. 20, ss.</w:t>
      </w:r>
      <w:r w:rsidRPr="00C56B18">
        <w:rPr>
          <w:lang w:val="en-CA"/>
        </w:rPr>
        <w:t xml:space="preserve"> 90 to 94.</w:t>
      </w:r>
    </w:p>
  </w:footnote>
  <w:footnote w:id="36">
    <w:p w14:paraId="13199FE9" w14:textId="77777777" w:rsidR="004A6A03" w:rsidRPr="00C56B18" w:rsidRDefault="004A6A03" w:rsidP="004A6A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s.</w:t>
      </w:r>
      <w:r w:rsidRPr="00C56B18">
        <w:rPr>
          <w:lang w:val="en-CA"/>
        </w:rPr>
        <w:t xml:space="preserve"> 289.4.</w:t>
      </w:r>
    </w:p>
  </w:footnote>
  <w:footnote w:id="37">
    <w:p w14:paraId="2A22DA10" w14:textId="77777777" w:rsidR="004A6A03" w:rsidRPr="00C56B18" w:rsidRDefault="004A6A03" w:rsidP="004A6A03">
      <w:pPr>
        <w:pStyle w:val="Notedebasdepage"/>
        <w:tabs>
          <w:tab w:val="left" w:pos="1134"/>
        </w:tabs>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Order in Council 405-2016 concerning the</w:t>
      </w:r>
      <w:r w:rsidRPr="00350CDD">
        <w:rPr>
          <w:lang w:val="en-CA"/>
        </w:rPr>
        <w:t xml:space="preserve"> </w:t>
      </w:r>
      <w:r w:rsidRPr="00350CDD">
        <w:rPr>
          <w:i/>
          <w:iCs/>
          <w:lang w:val="en-CA"/>
        </w:rPr>
        <w:t xml:space="preserve">Regulation respecting the conduct of the investigations of the Bureau des </w:t>
      </w:r>
      <w:proofErr w:type="spellStart"/>
      <w:r w:rsidRPr="00350CDD">
        <w:rPr>
          <w:i/>
          <w:iCs/>
          <w:lang w:val="en-CA"/>
        </w:rPr>
        <w:t>enquêtes</w:t>
      </w:r>
      <w:proofErr w:type="spellEnd"/>
      <w:r w:rsidRPr="00350CDD">
        <w:rPr>
          <w:i/>
          <w:iCs/>
          <w:lang w:val="en-CA"/>
        </w:rPr>
        <w:t xml:space="preserve"> </w:t>
      </w:r>
      <w:proofErr w:type="spellStart"/>
      <w:r w:rsidRPr="00350CDD">
        <w:rPr>
          <w:i/>
          <w:iCs/>
          <w:lang w:val="en-CA"/>
        </w:rPr>
        <w:t>indépendantes</w:t>
      </w:r>
      <w:proofErr w:type="spellEnd"/>
      <w:r w:rsidRPr="00350CDD">
        <w:rPr>
          <w:lang w:val="en-CA"/>
        </w:rPr>
        <w:t xml:space="preserve">, (2016) </w:t>
      </w:r>
      <w:r w:rsidRPr="00740835">
        <w:rPr>
          <w:lang w:val="en-CA"/>
        </w:rPr>
        <w:t>148 G.O.Q. II, 2237</w:t>
      </w:r>
      <w:r w:rsidRPr="00350CDD">
        <w:rPr>
          <w:lang w:val="en-CA"/>
        </w:rPr>
        <w:t>.</w:t>
      </w:r>
    </w:p>
  </w:footnote>
  <w:footnote w:id="38">
    <w:p w14:paraId="421D14E1" w14:textId="77777777" w:rsidR="004A6A03" w:rsidRPr="00C56B18" w:rsidRDefault="004A6A03" w:rsidP="004A6A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14" w:name="_Hlk163112020"/>
      <w:r w:rsidRPr="00350CDD">
        <w:rPr>
          <w:i/>
          <w:iCs/>
          <w:lang w:val="en-CA"/>
        </w:rPr>
        <w:t xml:space="preserve">Regulation respecting the conduct of the investigations of the Bureau des </w:t>
      </w:r>
      <w:proofErr w:type="spellStart"/>
      <w:r w:rsidRPr="00350CDD">
        <w:rPr>
          <w:i/>
          <w:iCs/>
          <w:lang w:val="en-CA"/>
        </w:rPr>
        <w:t>enquêtes</w:t>
      </w:r>
      <w:proofErr w:type="spellEnd"/>
      <w:r w:rsidRPr="00350CDD">
        <w:rPr>
          <w:i/>
          <w:iCs/>
          <w:lang w:val="en-CA"/>
        </w:rPr>
        <w:t xml:space="preserve"> </w:t>
      </w:r>
      <w:proofErr w:type="spellStart"/>
      <w:r w:rsidRPr="00350CDD">
        <w:rPr>
          <w:i/>
          <w:iCs/>
          <w:lang w:val="en-CA"/>
        </w:rPr>
        <w:t>indépendantes</w:t>
      </w:r>
      <w:proofErr w:type="spellEnd"/>
      <w:r w:rsidRPr="00350CDD">
        <w:rPr>
          <w:lang w:val="en-CA"/>
        </w:rPr>
        <w:t xml:space="preserve">, </w:t>
      </w:r>
      <w:proofErr w:type="spellStart"/>
      <w:r w:rsidRPr="00350CDD">
        <w:rPr>
          <w:lang w:val="en-CA"/>
        </w:rPr>
        <w:t>CQLR</w:t>
      </w:r>
      <w:proofErr w:type="spellEnd"/>
      <w:r w:rsidRPr="00350CDD">
        <w:rPr>
          <w:lang w:val="en-CA"/>
        </w:rPr>
        <w:t>, c. P-13.1, r. 1.1.</w:t>
      </w:r>
      <w:bookmarkEnd w:id="14"/>
    </w:p>
  </w:footnote>
  <w:footnote w:id="39">
    <w:p w14:paraId="54F05670" w14:textId="353675AB" w:rsidR="004A6A03" w:rsidRPr="00C22ECF" w:rsidRDefault="004A6A03" w:rsidP="004A6A03">
      <w:pPr>
        <w:pStyle w:val="Notedebasdepage"/>
      </w:pPr>
      <w:r w:rsidRPr="00C56B18">
        <w:rPr>
          <w:rStyle w:val="Appelnotedebasdep"/>
          <w:lang w:val="en-CA"/>
        </w:rPr>
        <w:footnoteRef/>
      </w:r>
      <w:r w:rsidRPr="00C22ECF">
        <w:t xml:space="preserve"> </w:t>
      </w:r>
      <w:r w:rsidRPr="00C22ECF">
        <w:tab/>
        <w:t xml:space="preserve">Exhibit PGQ-2: Madeleine Giauque, </w:t>
      </w:r>
      <w:r w:rsidRPr="00C22ECF">
        <w:rPr>
          <w:i/>
          <w:iCs/>
        </w:rPr>
        <w:t>Rapport du Bureau des enquêtes indépendantes</w:t>
      </w:r>
      <w:r w:rsidRPr="00C22ECF">
        <w:t xml:space="preserve"> </w:t>
      </w:r>
      <w:r w:rsidRPr="00C22ECF">
        <w:rPr>
          <w:i/>
          <w:iCs/>
        </w:rPr>
        <w:t>(Loi modifiant la Loi sur la police concernant les enquêtes indépendantes, 2013, chapitre 6, article 10)</w:t>
      </w:r>
      <w:r w:rsidRPr="00C22ECF">
        <w:t xml:space="preserve"> </w:t>
      </w:r>
      <w:r w:rsidR="00A80C94">
        <w:t>(</w:t>
      </w:r>
      <w:r w:rsidRPr="00C22ECF">
        <w:t>Québec</w:t>
      </w:r>
      <w:r w:rsidR="00A80C94">
        <w:t>:</w:t>
      </w:r>
      <w:r w:rsidRPr="00C22ECF">
        <w:t xml:space="preserve"> Publications du Québec, 2019</w:t>
      </w:r>
      <w:r w:rsidR="00A80C94">
        <w:t>)</w:t>
      </w:r>
      <w:r w:rsidRPr="00C22ECF">
        <w:t xml:space="preserve"> at 22.</w:t>
      </w:r>
    </w:p>
  </w:footnote>
  <w:footnote w:id="40">
    <w:p w14:paraId="5B3E7AEB" w14:textId="0C70E725" w:rsidR="004A6A03" w:rsidRPr="00C56B18" w:rsidRDefault="004A6A03" w:rsidP="004A6A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23.</w:t>
      </w:r>
      <w:r w:rsidRPr="00C56B18">
        <w:rPr>
          <w:lang w:val="en-CA"/>
        </w:rPr>
        <w:t xml:space="preserve"> See also the testimony of </w:t>
      </w:r>
      <w:proofErr w:type="spellStart"/>
      <w:r w:rsidRPr="00C56B18">
        <w:rPr>
          <w:lang w:val="en-CA"/>
        </w:rPr>
        <w:t>Mélissa</w:t>
      </w:r>
      <w:proofErr w:type="spellEnd"/>
      <w:r w:rsidRPr="00C56B18">
        <w:rPr>
          <w:lang w:val="en-CA"/>
        </w:rPr>
        <w:t xml:space="preserve">-Amélie Plourde, BEI representative, reproduced in the hearing transcript of May </w:t>
      </w:r>
      <w:r w:rsidR="00A80C94">
        <w:rPr>
          <w:lang w:val="en-CA"/>
        </w:rPr>
        <w:t xml:space="preserve">10, </w:t>
      </w:r>
      <w:r w:rsidRPr="00C56B18">
        <w:rPr>
          <w:lang w:val="en-CA"/>
        </w:rPr>
        <w:t>2022, at 78, line 21</w:t>
      </w:r>
      <w:r w:rsidR="00F23B0B">
        <w:rPr>
          <w:lang w:val="en-CA"/>
        </w:rPr>
        <w:t>,</w:t>
      </w:r>
      <w:r w:rsidRPr="00C56B18">
        <w:rPr>
          <w:lang w:val="en-CA"/>
        </w:rPr>
        <w:t xml:space="preserve"> to 80, line 17.</w:t>
      </w:r>
    </w:p>
  </w:footnote>
  <w:footnote w:id="41">
    <w:p w14:paraId="36CC8660" w14:textId="151EDE59" w:rsidR="00F93267" w:rsidRPr="00C22ECF" w:rsidRDefault="00F93267" w:rsidP="00F93267">
      <w:pPr>
        <w:pStyle w:val="Notedebasdepage"/>
      </w:pPr>
      <w:r w:rsidRPr="00C56B18">
        <w:rPr>
          <w:rStyle w:val="Appelnotedebasdep"/>
          <w:lang w:val="en-CA"/>
        </w:rPr>
        <w:footnoteRef/>
      </w:r>
      <w:r w:rsidRPr="00C22ECF">
        <w:t xml:space="preserve"> </w:t>
      </w:r>
      <w:r w:rsidRPr="00C22ECF">
        <w:tab/>
      </w:r>
      <w:r w:rsidRPr="00350CDD">
        <w:t xml:space="preserve">Exhibit PGQ-2: Madeleine Giauque, </w:t>
      </w:r>
      <w:r w:rsidRPr="00350CDD">
        <w:rPr>
          <w:i/>
          <w:iCs/>
        </w:rPr>
        <w:t>Rapport du Bureau des enquêtes indépendantes</w:t>
      </w:r>
      <w:r w:rsidRPr="00350CDD">
        <w:t xml:space="preserve"> </w:t>
      </w:r>
      <w:r w:rsidRPr="00350CDD">
        <w:rPr>
          <w:i/>
          <w:iCs/>
        </w:rPr>
        <w:t xml:space="preserve">(Loi modifiant la </w:t>
      </w:r>
      <w:r w:rsidRPr="00C22ECF">
        <w:rPr>
          <w:i/>
          <w:iCs/>
        </w:rPr>
        <w:t>Loi sur la police</w:t>
      </w:r>
      <w:r w:rsidRPr="00350CDD">
        <w:rPr>
          <w:i/>
          <w:iCs/>
        </w:rPr>
        <w:t xml:space="preserve"> concernant les enquêtes indépendantes, 2013, chapitre 6, article 10)</w:t>
      </w:r>
      <w:r w:rsidRPr="00350CDD">
        <w:t xml:space="preserve"> </w:t>
      </w:r>
      <w:r w:rsidR="00A80C94">
        <w:t>(</w:t>
      </w:r>
      <w:r w:rsidR="00A80C94" w:rsidRPr="00C22ECF">
        <w:t>Québec</w:t>
      </w:r>
      <w:r w:rsidR="00A80C94">
        <w:t>:</w:t>
      </w:r>
      <w:r w:rsidR="00A80C94" w:rsidRPr="00C22ECF">
        <w:t xml:space="preserve"> Publications du Québec, 2019</w:t>
      </w:r>
      <w:r w:rsidR="00A80C94">
        <w:t xml:space="preserve">) </w:t>
      </w:r>
      <w:r w:rsidRPr="00350CDD">
        <w:t>at 7.</w:t>
      </w:r>
    </w:p>
  </w:footnote>
  <w:footnote w:id="42">
    <w:p w14:paraId="1DE3DE5C" w14:textId="2C7769A4" w:rsidR="00F93267" w:rsidRPr="00C56B18" w:rsidRDefault="00F93267" w:rsidP="00F9326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8.</w:t>
      </w:r>
    </w:p>
  </w:footnote>
  <w:footnote w:id="43">
    <w:p w14:paraId="3964747B" w14:textId="77777777"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Trial judgment at para.</w:t>
      </w:r>
      <w:r w:rsidRPr="00C56B18">
        <w:rPr>
          <w:lang w:val="en-CA"/>
        </w:rPr>
        <w:t xml:space="preserve"> 25.</w:t>
      </w:r>
    </w:p>
  </w:footnote>
  <w:footnote w:id="44">
    <w:p w14:paraId="3636B3FE" w14:textId="77777777"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Wood v. Schaeffer</w:t>
      </w:r>
      <w:r w:rsidRPr="00350CDD">
        <w:rPr>
          <w:lang w:val="en-CA"/>
        </w:rPr>
        <w:t>, 2013 SCC 71, [2013] S.C.R.</w:t>
      </w:r>
      <w:r w:rsidRPr="00C56B18">
        <w:rPr>
          <w:lang w:val="en-CA"/>
        </w:rPr>
        <w:t xml:space="preserve"> 1053.</w:t>
      </w:r>
    </w:p>
  </w:footnote>
  <w:footnote w:id="45">
    <w:p w14:paraId="46BEDFFC" w14:textId="77777777"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Trial judgment at paras.</w:t>
      </w:r>
      <w:r w:rsidRPr="00C56B18">
        <w:rPr>
          <w:lang w:val="en-CA"/>
        </w:rPr>
        <w:t xml:space="preserve"> </w:t>
      </w:r>
      <w:r w:rsidRPr="00350CDD">
        <w:rPr>
          <w:lang w:val="en-CA"/>
        </w:rPr>
        <w:t>26 and 32.</w:t>
      </w:r>
    </w:p>
  </w:footnote>
  <w:footnote w:id="46">
    <w:p w14:paraId="38CF3B73" w14:textId="6AEE354C"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w:t>
      </w:r>
      <w:r w:rsidRPr="00350CDD">
        <w:rPr>
          <w:lang w:val="en-CA"/>
        </w:rPr>
        <w:t>32, emphasis in the original.</w:t>
      </w:r>
    </w:p>
  </w:footnote>
  <w:footnote w:id="47">
    <w:p w14:paraId="34B54685" w14:textId="4DE19FA6"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00C20080">
        <w:rPr>
          <w:lang w:val="en-CA"/>
        </w:rPr>
        <w:t>,</w:t>
      </w:r>
      <w:r w:rsidRPr="00350CDD">
        <w:rPr>
          <w:lang w:val="en-CA"/>
        </w:rPr>
        <w:t xml:space="preserve"> question preceding paragraph 48.</w:t>
      </w:r>
    </w:p>
  </w:footnote>
  <w:footnote w:id="48">
    <w:p w14:paraId="6777B612" w14:textId="77777777"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Wood v. Schaeffer</w:t>
      </w:r>
      <w:r w:rsidRPr="00350CDD">
        <w:rPr>
          <w:lang w:val="en-CA"/>
        </w:rPr>
        <w:t>, 2013 SCC 71, [2013] S.C.R.</w:t>
      </w:r>
      <w:r w:rsidRPr="00C56B18">
        <w:rPr>
          <w:lang w:val="en-CA"/>
        </w:rPr>
        <w:t xml:space="preserve"> 1053.</w:t>
      </w:r>
    </w:p>
  </w:footnote>
  <w:footnote w:id="49">
    <w:p w14:paraId="7AA494AD" w14:textId="77777777"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Trial judgment at paras.</w:t>
      </w:r>
      <w:r w:rsidRPr="00C56B18">
        <w:rPr>
          <w:lang w:val="en-CA"/>
        </w:rPr>
        <w:t xml:space="preserve"> 48–52.</w:t>
      </w:r>
    </w:p>
  </w:footnote>
  <w:footnote w:id="50">
    <w:p w14:paraId="047B1984" w14:textId="420A486E"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w:t>
      </w:r>
      <w:r w:rsidRPr="00350CDD">
        <w:rPr>
          <w:lang w:val="en-CA"/>
        </w:rPr>
        <w:t>53 and 55.</w:t>
      </w:r>
    </w:p>
  </w:footnote>
  <w:footnote w:id="51">
    <w:p w14:paraId="733E0802" w14:textId="76E8A772"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56.</w:t>
      </w:r>
    </w:p>
  </w:footnote>
  <w:footnote w:id="52">
    <w:p w14:paraId="6ADCA258" w14:textId="1524E13F"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00C27664">
        <w:rPr>
          <w:i/>
          <w:iCs/>
          <w:lang w:val="en-CA"/>
        </w:rPr>
        <w:t>,</w:t>
      </w:r>
      <w:r w:rsidR="003062EA">
        <w:rPr>
          <w:lang w:val="en-CA"/>
        </w:rPr>
        <w:t xml:space="preserve"> </w:t>
      </w:r>
      <w:r w:rsidRPr="00350CDD">
        <w:rPr>
          <w:lang w:val="en-CA"/>
        </w:rPr>
        <w:t>question preceding para.</w:t>
      </w:r>
      <w:r w:rsidRPr="00C56B18">
        <w:rPr>
          <w:lang w:val="en-CA"/>
        </w:rPr>
        <w:t xml:space="preserve"> 57.</w:t>
      </w:r>
    </w:p>
  </w:footnote>
  <w:footnote w:id="53">
    <w:p w14:paraId="72D52DB2" w14:textId="523A55FB"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57–60.</w:t>
      </w:r>
    </w:p>
  </w:footnote>
  <w:footnote w:id="54">
    <w:p w14:paraId="4BFBB4D7" w14:textId="074CBC54" w:rsidR="006832DD" w:rsidRPr="00C56B18" w:rsidRDefault="006832DD" w:rsidP="006832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61.</w:t>
      </w:r>
    </w:p>
  </w:footnote>
  <w:footnote w:id="55">
    <w:p w14:paraId="0833668A" w14:textId="121F35A4" w:rsidR="00A17C43" w:rsidRPr="005534A4" w:rsidRDefault="00DE2A80" w:rsidP="00A17C4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00142823" w:rsidRPr="00350CDD">
        <w:rPr>
          <w:i/>
          <w:iCs/>
          <w:lang w:val="en-CA"/>
        </w:rPr>
        <w:t>Ibid</w:t>
      </w:r>
      <w:r w:rsidR="00C27664">
        <w:rPr>
          <w:lang w:val="en-CA"/>
        </w:rPr>
        <w:t>,</w:t>
      </w:r>
      <w:r w:rsidR="003062EA">
        <w:rPr>
          <w:lang w:val="en-CA"/>
        </w:rPr>
        <w:t xml:space="preserve"> </w:t>
      </w:r>
      <w:r w:rsidRPr="00350CDD">
        <w:rPr>
          <w:lang w:val="en-CA"/>
        </w:rPr>
        <w:t xml:space="preserve">question </w:t>
      </w:r>
      <w:r w:rsidR="00153AEF" w:rsidRPr="00350CDD">
        <w:rPr>
          <w:lang w:val="en-CA"/>
        </w:rPr>
        <w:t xml:space="preserve">before </w:t>
      </w:r>
      <w:r w:rsidRPr="00350CDD">
        <w:rPr>
          <w:lang w:val="en-CA"/>
        </w:rPr>
        <w:t>par</w:t>
      </w:r>
      <w:r w:rsidR="00153AEF" w:rsidRPr="00350CDD">
        <w:rPr>
          <w:lang w:val="en-CA"/>
        </w:rPr>
        <w:t>a</w:t>
      </w:r>
      <w:r w:rsidRPr="00350CDD">
        <w:rPr>
          <w:lang w:val="en-CA"/>
        </w:rPr>
        <w:t>.</w:t>
      </w:r>
      <w:r w:rsidRPr="00C56B18">
        <w:rPr>
          <w:lang w:val="en-CA"/>
        </w:rPr>
        <w:t xml:space="preserve"> 62.</w:t>
      </w:r>
    </w:p>
  </w:footnote>
  <w:footnote w:id="56">
    <w:p w14:paraId="21D52950" w14:textId="62753F49" w:rsidR="008D3AF9" w:rsidRPr="00C56B18" w:rsidRDefault="008D3AF9" w:rsidP="008D3AF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62–70.</w:t>
      </w:r>
    </w:p>
  </w:footnote>
  <w:footnote w:id="57">
    <w:p w14:paraId="03436463" w14:textId="4709BBAB" w:rsidR="008D3AF9" w:rsidRPr="00C56B18" w:rsidRDefault="008D3AF9" w:rsidP="008D3AF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75.</w:t>
      </w:r>
    </w:p>
  </w:footnote>
  <w:footnote w:id="58">
    <w:p w14:paraId="77D1E5FF" w14:textId="5B717B64" w:rsidR="008D3AF9" w:rsidRPr="00C56B18" w:rsidRDefault="008D3AF9" w:rsidP="008D3AF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77.</w:t>
      </w:r>
    </w:p>
  </w:footnote>
  <w:footnote w:id="59">
    <w:p w14:paraId="7F6CF8A4" w14:textId="50ED6570" w:rsidR="008D3AF9" w:rsidRPr="00C56B18" w:rsidRDefault="008D3AF9" w:rsidP="008D3AF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w:t>
      </w:r>
      <w:r w:rsidRPr="00350CDD">
        <w:rPr>
          <w:lang w:val="en-CA"/>
        </w:rPr>
        <w:t xml:space="preserve">78, </w:t>
      </w:r>
      <w:r w:rsidR="00C27664">
        <w:rPr>
          <w:lang w:val="en-CA"/>
        </w:rPr>
        <w:t>emphasis</w:t>
      </w:r>
      <w:r w:rsidR="00C27664" w:rsidRPr="00350CDD">
        <w:rPr>
          <w:lang w:val="en-CA"/>
        </w:rPr>
        <w:t xml:space="preserve"> </w:t>
      </w:r>
      <w:r w:rsidRPr="00350CDD">
        <w:rPr>
          <w:lang w:val="en-CA"/>
        </w:rPr>
        <w:t>in the original.</w:t>
      </w:r>
    </w:p>
  </w:footnote>
  <w:footnote w:id="60">
    <w:p w14:paraId="1FFE30DC" w14:textId="7E99D0C6" w:rsidR="008D3AF9" w:rsidRPr="00C56B18" w:rsidRDefault="008D3AF9" w:rsidP="008D3AF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w:t>
      </w:r>
      <w:r w:rsidRPr="00350CDD">
        <w:rPr>
          <w:lang w:val="en-CA"/>
        </w:rPr>
        <w:t xml:space="preserve">79–80, </w:t>
      </w:r>
      <w:r w:rsidR="00B961D5">
        <w:rPr>
          <w:lang w:val="en-CA"/>
        </w:rPr>
        <w:t>emphasis</w:t>
      </w:r>
      <w:r w:rsidR="00B961D5" w:rsidRPr="00350CDD">
        <w:rPr>
          <w:lang w:val="en-CA"/>
        </w:rPr>
        <w:t xml:space="preserve"> </w:t>
      </w:r>
      <w:r w:rsidRPr="00350CDD">
        <w:rPr>
          <w:lang w:val="en-CA"/>
        </w:rPr>
        <w:t>in the original.</w:t>
      </w:r>
    </w:p>
  </w:footnote>
  <w:footnote w:id="61">
    <w:p w14:paraId="56A861DB" w14:textId="04B0B9F2" w:rsidR="005534A4" w:rsidRPr="00C56B18" w:rsidRDefault="005534A4" w:rsidP="005534A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Brief of appellant </w:t>
      </w:r>
      <w:r w:rsidR="00A80C94">
        <w:rPr>
          <w:lang w:val="en-CA"/>
        </w:rPr>
        <w:t>A</w:t>
      </w:r>
      <w:r w:rsidRPr="00350CDD">
        <w:rPr>
          <w:lang w:val="en-CA"/>
        </w:rPr>
        <w:t>GQ at 3 and 4, paras.</w:t>
      </w:r>
      <w:r w:rsidRPr="00C56B18">
        <w:rPr>
          <w:lang w:val="en-CA"/>
        </w:rPr>
        <w:t xml:space="preserve"> </w:t>
      </w:r>
      <w:r w:rsidRPr="00350CDD">
        <w:rPr>
          <w:lang w:val="en-CA"/>
        </w:rPr>
        <w:t>12 to 16.</w:t>
      </w:r>
    </w:p>
  </w:footnote>
  <w:footnote w:id="62">
    <w:p w14:paraId="1C15667C" w14:textId="77777777" w:rsidR="005534A4" w:rsidRPr="00C56B18" w:rsidRDefault="005534A4" w:rsidP="005534A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Brief of incidental appellants at 32–33.</w:t>
      </w:r>
    </w:p>
  </w:footnote>
  <w:footnote w:id="63">
    <w:p w14:paraId="6B1F35C7" w14:textId="77777777" w:rsidR="00441067" w:rsidRPr="00C56B18" w:rsidRDefault="00441067" w:rsidP="0044106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Starr v. </w:t>
      </w:r>
      <w:proofErr w:type="spellStart"/>
      <w:r w:rsidRPr="00350CDD">
        <w:rPr>
          <w:i/>
          <w:iCs/>
          <w:lang w:val="en-CA"/>
        </w:rPr>
        <w:t>Houlden</w:t>
      </w:r>
      <w:proofErr w:type="spellEnd"/>
      <w:r w:rsidRPr="00350CDD">
        <w:rPr>
          <w:lang w:val="en-CA"/>
        </w:rPr>
        <w:t>, [1990] 1 S.C.R.</w:t>
      </w:r>
      <w:r w:rsidRPr="00C56B18">
        <w:rPr>
          <w:lang w:val="en-CA"/>
        </w:rPr>
        <w:t xml:space="preserve"> 1366.</w:t>
      </w:r>
    </w:p>
  </w:footnote>
  <w:footnote w:id="64">
    <w:p w14:paraId="0FCC277F" w14:textId="7174EE74" w:rsidR="00441067" w:rsidRPr="00C56B18" w:rsidRDefault="00441067" w:rsidP="0044106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i/>
          <w:iCs/>
          <w:lang w:val="en-CA"/>
        </w:rPr>
        <w:t>Ibid</w:t>
      </w:r>
      <w:r w:rsidRPr="00C56B18">
        <w:rPr>
          <w:lang w:val="en-CA"/>
        </w:rPr>
        <w:t xml:space="preserve"> at 1396–1397, citing </w:t>
      </w:r>
      <w:r w:rsidRPr="00C56B18">
        <w:rPr>
          <w:i/>
          <w:iCs/>
          <w:lang w:val="en-CA"/>
        </w:rPr>
        <w:t>R. v. Hoffmann-La-Roche Ltd.</w:t>
      </w:r>
      <w:r w:rsidRPr="00C56B18">
        <w:rPr>
          <w:lang w:val="en-CA"/>
        </w:rPr>
        <w:t xml:space="preserve"> </w:t>
      </w:r>
      <w:r w:rsidRPr="00350CDD">
        <w:rPr>
          <w:lang w:val="en-CA"/>
        </w:rPr>
        <w:t>(1981), 33 O.R.</w:t>
      </w:r>
      <w:r w:rsidRPr="00C56B18">
        <w:rPr>
          <w:lang w:val="en-CA"/>
        </w:rPr>
        <w:t xml:space="preserve"> </w:t>
      </w:r>
      <w:r w:rsidRPr="00350CDD">
        <w:rPr>
          <w:lang w:val="en-CA"/>
        </w:rPr>
        <w:t>(2d) 694 at 724, 1981 CanLII 1690.</w:t>
      </w:r>
      <w:r w:rsidRPr="00C56B18">
        <w:rPr>
          <w:lang w:val="en-CA"/>
        </w:rPr>
        <w:t xml:space="preserve"> </w:t>
      </w:r>
      <w:r w:rsidRPr="00350CDD">
        <w:rPr>
          <w:lang w:val="en-CA"/>
        </w:rPr>
        <w:t xml:space="preserve">See also </w:t>
      </w:r>
      <w:r w:rsidRPr="00350CDD">
        <w:rPr>
          <w:i/>
          <w:iCs/>
          <w:lang w:val="en-CA"/>
        </w:rPr>
        <w:t>O’Hara v. British Columbia</w:t>
      </w:r>
      <w:r w:rsidRPr="00350CDD">
        <w:rPr>
          <w:lang w:val="en-CA"/>
        </w:rPr>
        <w:t>, [1987] 2 S.C.R.</w:t>
      </w:r>
      <w:r w:rsidRPr="00C56B18">
        <w:rPr>
          <w:lang w:val="en-CA"/>
        </w:rPr>
        <w:t xml:space="preserve"> 591 at 611–612 (at para. 23).</w:t>
      </w:r>
    </w:p>
  </w:footnote>
  <w:footnote w:id="65">
    <w:p w14:paraId="21B3A711" w14:textId="5E748D96" w:rsidR="002E3A6D" w:rsidRPr="00C56B18" w:rsidRDefault="002E3A6D" w:rsidP="002E3A6D">
      <w:pPr>
        <w:pStyle w:val="Notedebasdepage"/>
        <w:rPr>
          <w:lang w:val="en-CA"/>
        </w:rPr>
      </w:pPr>
      <w:r w:rsidRPr="00C56B18">
        <w:rPr>
          <w:rStyle w:val="Appelnotedebasdep"/>
          <w:lang w:val="en-CA"/>
        </w:rPr>
        <w:footnoteRef/>
      </w:r>
      <w:r w:rsidRPr="00C56B18">
        <w:rPr>
          <w:lang w:val="en-CA"/>
        </w:rPr>
        <w:t xml:space="preserve"> </w:t>
      </w:r>
      <w:r w:rsidRPr="00C56B18">
        <w:rPr>
          <w:lang w:val="en-CA"/>
        </w:rPr>
        <w:tab/>
        <w:t xml:space="preserve">Brief of the incidental respondent </w:t>
      </w:r>
      <w:r>
        <w:rPr>
          <w:lang w:val="en-CA"/>
        </w:rPr>
        <w:t>A</w:t>
      </w:r>
      <w:r w:rsidRPr="00350CDD">
        <w:rPr>
          <w:lang w:val="en-CA"/>
        </w:rPr>
        <w:t>GQ at para.</w:t>
      </w:r>
      <w:r w:rsidRPr="00C56B18">
        <w:rPr>
          <w:lang w:val="en-CA"/>
        </w:rPr>
        <w:t xml:space="preserve"> 86.</w:t>
      </w:r>
    </w:p>
  </w:footnote>
  <w:footnote w:id="66">
    <w:p w14:paraId="7CB26A6A" w14:textId="717C81FD" w:rsidR="002E3A6D" w:rsidRPr="00C56B18" w:rsidRDefault="002E3A6D" w:rsidP="002E3A6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92.</w:t>
      </w:r>
    </w:p>
  </w:footnote>
  <w:footnote w:id="67">
    <w:p w14:paraId="7504C1C3" w14:textId="55194B2A" w:rsidR="003725B0" w:rsidRPr="00C56B18" w:rsidRDefault="003725B0" w:rsidP="003725B0">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17" w:name="_Hlk163739774"/>
      <w:r w:rsidRPr="00350CDD">
        <w:rPr>
          <w:i/>
          <w:iCs/>
          <w:lang w:val="en-CA"/>
        </w:rPr>
        <w:t>Murray</w:t>
      </w:r>
      <w:r w:rsidRPr="00350CDD">
        <w:rPr>
          <w:rFonts w:ascii="Cambria Math" w:hAnsi="Cambria Math" w:cs="Cambria Math"/>
          <w:i/>
          <w:iCs/>
          <w:lang w:val="en-CA"/>
        </w:rPr>
        <w:t>‐</w:t>
      </w:r>
      <w:r w:rsidRPr="00350CDD">
        <w:rPr>
          <w:i/>
          <w:iCs/>
          <w:lang w:val="en-CA"/>
        </w:rPr>
        <w:t>Hall v. Quebec (Attorney General)</w:t>
      </w:r>
      <w:r w:rsidRPr="00350CDD">
        <w:rPr>
          <w:lang w:val="en-CA"/>
        </w:rPr>
        <w:t>,</w:t>
      </w:r>
      <w:r w:rsidRPr="00350CDD">
        <w:rPr>
          <w:i/>
          <w:iCs/>
          <w:lang w:val="en-CA"/>
        </w:rPr>
        <w:t xml:space="preserve"> </w:t>
      </w:r>
      <w:r w:rsidRPr="00350CDD">
        <w:rPr>
          <w:lang w:val="en-CA"/>
        </w:rPr>
        <w:t xml:space="preserve">2023 SCC 10 </w:t>
      </w:r>
      <w:bookmarkEnd w:id="17"/>
      <w:r w:rsidRPr="00350CDD">
        <w:rPr>
          <w:lang w:val="en-CA"/>
        </w:rPr>
        <w:t>at paras.</w:t>
      </w:r>
      <w:r w:rsidRPr="00C56B18">
        <w:rPr>
          <w:lang w:val="en-CA"/>
        </w:rPr>
        <w:t xml:space="preserve"> </w:t>
      </w:r>
      <w:r w:rsidRPr="00350CDD">
        <w:rPr>
          <w:lang w:val="en-CA"/>
        </w:rPr>
        <w:t>21–27 and 30</w:t>
      </w:r>
      <w:r w:rsidR="00402171">
        <w:rPr>
          <w:lang w:val="en-CA"/>
        </w:rPr>
        <w:t>–</w:t>
      </w:r>
      <w:r w:rsidRPr="00350CDD">
        <w:rPr>
          <w:lang w:val="en-CA"/>
        </w:rPr>
        <w:t>34.</w:t>
      </w:r>
    </w:p>
  </w:footnote>
  <w:footnote w:id="68">
    <w:p w14:paraId="4F2EBEC5" w14:textId="77777777" w:rsidR="003725B0" w:rsidRPr="00C56B18" w:rsidRDefault="003725B0" w:rsidP="003725B0">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18" w:name="_Hlk151791460"/>
      <w:r w:rsidRPr="00350CDD">
        <w:rPr>
          <w:i/>
          <w:iCs/>
          <w:lang w:val="en-CA"/>
        </w:rPr>
        <w:t>Police Act</w:t>
      </w:r>
      <w:r w:rsidRPr="00350CDD">
        <w:rPr>
          <w:lang w:val="en-CA"/>
        </w:rPr>
        <w:t>, CQLR, c. P-13.1, s.</w:t>
      </w:r>
      <w:r w:rsidRPr="00C56B18">
        <w:rPr>
          <w:lang w:val="en-CA"/>
        </w:rPr>
        <w:t xml:space="preserve"> 289.6.</w:t>
      </w:r>
      <w:bookmarkEnd w:id="18"/>
    </w:p>
  </w:footnote>
  <w:footnote w:id="69">
    <w:p w14:paraId="28308FC2" w14:textId="06F7F05F" w:rsidR="003725B0" w:rsidRPr="00C56B18" w:rsidRDefault="003725B0" w:rsidP="003725B0">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Ibid </w:t>
      </w:r>
      <w:r w:rsidR="003062EA" w:rsidRPr="003062EA">
        <w:rPr>
          <w:lang w:val="en-CA"/>
        </w:rPr>
        <w:t>at</w:t>
      </w:r>
      <w:r w:rsidR="003062EA">
        <w:rPr>
          <w:i/>
          <w:iCs/>
          <w:lang w:val="en-CA"/>
        </w:rPr>
        <w:t xml:space="preserve"> </w:t>
      </w:r>
      <w:r w:rsidRPr="00350CDD">
        <w:rPr>
          <w:lang w:val="en-CA"/>
        </w:rPr>
        <w:t>s.</w:t>
      </w:r>
      <w:r w:rsidRPr="00C56B18">
        <w:rPr>
          <w:lang w:val="en-CA"/>
        </w:rPr>
        <w:t xml:space="preserve"> </w:t>
      </w:r>
      <w:r w:rsidRPr="00350CDD">
        <w:rPr>
          <w:lang w:val="en-CA"/>
        </w:rPr>
        <w:t>289.1, para. 1.</w:t>
      </w:r>
    </w:p>
  </w:footnote>
  <w:footnote w:id="70">
    <w:p w14:paraId="7119CE55" w14:textId="49C3D371"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w:t>
      </w:r>
      <w:r w:rsidRPr="00350CDD">
        <w:rPr>
          <w:lang w:val="en-CA"/>
        </w:rPr>
        <w:t>289.1, para. 2.</w:t>
      </w:r>
    </w:p>
  </w:footnote>
  <w:footnote w:id="71">
    <w:p w14:paraId="4A7EBA71" w14:textId="0873472A"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289.3.</w:t>
      </w:r>
    </w:p>
  </w:footnote>
  <w:footnote w:id="72">
    <w:p w14:paraId="71CE9BD7" w14:textId="2DF8F07B" w:rsidR="00CC72E4" w:rsidRPr="00A80C94" w:rsidRDefault="00CC72E4" w:rsidP="00CC72E4">
      <w:pPr>
        <w:pStyle w:val="Notedebasdepage"/>
      </w:pPr>
      <w:r w:rsidRPr="00C56B18">
        <w:rPr>
          <w:rStyle w:val="Appelnotedebasdep"/>
          <w:lang w:val="en-CA"/>
        </w:rPr>
        <w:footnoteRef/>
      </w:r>
      <w:r w:rsidRPr="00A80C94">
        <w:t xml:space="preserve"> </w:t>
      </w:r>
      <w:r w:rsidRPr="00A80C94">
        <w:tab/>
      </w:r>
      <w:proofErr w:type="spellStart"/>
      <w:r w:rsidRPr="00A80C94">
        <w:rPr>
          <w:i/>
          <w:iCs/>
        </w:rPr>
        <w:t>Ibid</w:t>
      </w:r>
      <w:proofErr w:type="spellEnd"/>
      <w:r w:rsidRPr="00A80C94">
        <w:t xml:space="preserve"> </w:t>
      </w:r>
      <w:r w:rsidR="003062EA" w:rsidRPr="00A80C94">
        <w:t xml:space="preserve">at </w:t>
      </w:r>
      <w:proofErr w:type="spellStart"/>
      <w:r w:rsidRPr="00A80C94">
        <w:t>s</w:t>
      </w:r>
      <w:r w:rsidR="00A80C94" w:rsidRPr="00A80C94">
        <w:t>s</w:t>
      </w:r>
      <w:proofErr w:type="spellEnd"/>
      <w:r w:rsidRPr="00A80C94">
        <w:t>. 289 and 289.6.</w:t>
      </w:r>
      <w:bookmarkStart w:id="19" w:name="_Hlk151799441"/>
      <w:bookmarkEnd w:id="19"/>
    </w:p>
  </w:footnote>
  <w:footnote w:id="73">
    <w:p w14:paraId="1CC92537" w14:textId="422E57B4" w:rsidR="00CC72E4" w:rsidRPr="00C22ECF" w:rsidRDefault="00CC72E4" w:rsidP="00CC72E4">
      <w:pPr>
        <w:pStyle w:val="Notedebasdepage"/>
      </w:pPr>
      <w:r w:rsidRPr="00C56B18">
        <w:rPr>
          <w:rStyle w:val="Appelnotedebasdep"/>
          <w:lang w:val="en-CA"/>
        </w:rPr>
        <w:footnoteRef/>
      </w:r>
      <w:r w:rsidRPr="00C22ECF">
        <w:t xml:space="preserve"> </w:t>
      </w:r>
      <w:r w:rsidRPr="00C22ECF">
        <w:tab/>
        <w:t xml:space="preserve">Exhibit PGQ-2: Madeleine Giauque, </w:t>
      </w:r>
      <w:r w:rsidRPr="00C22ECF">
        <w:rPr>
          <w:i/>
          <w:iCs/>
        </w:rPr>
        <w:t>Rapport du Bureau des enquêtes indépendantes</w:t>
      </w:r>
      <w:r w:rsidRPr="00C22ECF">
        <w:t xml:space="preserve"> </w:t>
      </w:r>
      <w:r w:rsidRPr="00C22ECF">
        <w:rPr>
          <w:i/>
          <w:iCs/>
        </w:rPr>
        <w:t>(Loi modifiant la Loi sur la police concernant les enquêtes indépendantes, 2013, chapitre 6, article 10)</w:t>
      </w:r>
      <w:r w:rsidRPr="00C22ECF">
        <w:t xml:space="preserve"> </w:t>
      </w:r>
      <w:r>
        <w:t>(</w:t>
      </w:r>
      <w:r w:rsidRPr="00C22ECF">
        <w:t>Québec</w:t>
      </w:r>
      <w:r>
        <w:t>:</w:t>
      </w:r>
      <w:r w:rsidRPr="00C22ECF">
        <w:t xml:space="preserve"> Publications du Québec, 2019</w:t>
      </w:r>
      <w:r>
        <w:t>)</w:t>
      </w:r>
      <w:r w:rsidRPr="00C22ECF">
        <w:t xml:space="preserve"> at 4.</w:t>
      </w:r>
    </w:p>
  </w:footnote>
  <w:footnote w:id="74">
    <w:p w14:paraId="7BB46881" w14:textId="691FF719"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w:t>
      </w:r>
      <w:r w:rsidRPr="00350CDD">
        <w:rPr>
          <w:lang w:val="en-CA"/>
        </w:rPr>
        <w:t>289.5, para. 2.</w:t>
      </w:r>
    </w:p>
  </w:footnote>
  <w:footnote w:id="75">
    <w:p w14:paraId="58D060D0" w14:textId="4A06F862"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w:t>
      </w:r>
      <w:r w:rsidRPr="00350CDD">
        <w:rPr>
          <w:lang w:val="en-CA"/>
        </w:rPr>
        <w:t>289.9, para. 2.</w:t>
      </w:r>
    </w:p>
  </w:footnote>
  <w:footnote w:id="76">
    <w:p w14:paraId="21994F2B" w14:textId="7D3261CB"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ss.</w:t>
      </w:r>
      <w:r w:rsidRPr="00C56B18">
        <w:rPr>
          <w:lang w:val="en-CA"/>
        </w:rPr>
        <w:t xml:space="preserve"> </w:t>
      </w:r>
      <w:r w:rsidRPr="00350CDD">
        <w:rPr>
          <w:lang w:val="en-CA"/>
        </w:rPr>
        <w:t>289.11, para. 1 and 289.10, para. 2.</w:t>
      </w:r>
    </w:p>
  </w:footnote>
  <w:footnote w:id="77">
    <w:p w14:paraId="1C2E5D43" w14:textId="05299EC7"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20" w:name="_Hlk151791205"/>
      <w:r w:rsidRPr="00350CDD">
        <w:rPr>
          <w:i/>
          <w:iCs/>
          <w:lang w:val="en-CA"/>
        </w:rPr>
        <w:t xml:space="preserve">Regulation respecting the conduct of the investigations of the Bureau des </w:t>
      </w:r>
      <w:proofErr w:type="spellStart"/>
      <w:r w:rsidRPr="00350CDD">
        <w:rPr>
          <w:i/>
          <w:iCs/>
          <w:lang w:val="en-CA"/>
        </w:rPr>
        <w:t>enquêtes</w:t>
      </w:r>
      <w:proofErr w:type="spellEnd"/>
      <w:r w:rsidRPr="00350CDD">
        <w:rPr>
          <w:i/>
          <w:iCs/>
          <w:lang w:val="en-CA"/>
        </w:rPr>
        <w:t xml:space="preserve"> </w:t>
      </w:r>
      <w:proofErr w:type="spellStart"/>
      <w:r w:rsidRPr="00350CDD">
        <w:rPr>
          <w:i/>
          <w:iCs/>
          <w:lang w:val="en-CA"/>
        </w:rPr>
        <w:t>indépendantes</w:t>
      </w:r>
      <w:proofErr w:type="spellEnd"/>
      <w:r w:rsidRPr="00350CDD">
        <w:rPr>
          <w:lang w:val="en-CA"/>
        </w:rPr>
        <w:t xml:space="preserve">, </w:t>
      </w:r>
      <w:proofErr w:type="spellStart"/>
      <w:r w:rsidRPr="00350CDD">
        <w:rPr>
          <w:lang w:val="en-CA"/>
        </w:rPr>
        <w:t>CQLR</w:t>
      </w:r>
      <w:proofErr w:type="spellEnd"/>
      <w:r w:rsidRPr="00350CDD">
        <w:rPr>
          <w:lang w:val="en-CA"/>
        </w:rPr>
        <w:t>, c. P-13.1, r. 1.1, s.</w:t>
      </w:r>
      <w:r w:rsidRPr="00C56B18">
        <w:rPr>
          <w:lang w:val="en-CA"/>
        </w:rPr>
        <w:t xml:space="preserve"> </w:t>
      </w:r>
      <w:r w:rsidRPr="00350CDD">
        <w:rPr>
          <w:lang w:val="en-CA"/>
        </w:rPr>
        <w:t>1, para. 1.</w:t>
      </w:r>
      <w:bookmarkEnd w:id="20"/>
    </w:p>
  </w:footnote>
  <w:footnote w:id="78">
    <w:p w14:paraId="598917B6" w14:textId="32C7C8C9"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w:t>
      </w:r>
      <w:r w:rsidRPr="00350CDD">
        <w:rPr>
          <w:lang w:val="en-CA"/>
        </w:rPr>
        <w:t>1, para. 2.</w:t>
      </w:r>
    </w:p>
  </w:footnote>
  <w:footnote w:id="79">
    <w:p w14:paraId="7B8CFFA2" w14:textId="1836B549" w:rsidR="00CC72E4" w:rsidRPr="00C56B18" w:rsidRDefault="00CC72E4" w:rsidP="00CC72E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21" w:name="_Hlk151792761"/>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7.</w:t>
      </w:r>
      <w:bookmarkEnd w:id="21"/>
    </w:p>
  </w:footnote>
  <w:footnote w:id="80">
    <w:p w14:paraId="659D06C6" w14:textId="235A230D"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9.</w:t>
      </w:r>
    </w:p>
  </w:footnote>
  <w:footnote w:id="81">
    <w:p w14:paraId="4888C381" w14:textId="0E823BD9"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3.</w:t>
      </w:r>
    </w:p>
  </w:footnote>
  <w:footnote w:id="82">
    <w:p w14:paraId="7C1E6E65" w14:textId="1EF5D795"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2.</w:t>
      </w:r>
    </w:p>
  </w:footnote>
  <w:footnote w:id="83">
    <w:p w14:paraId="06094023" w14:textId="77777777"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CQLR, c. P-13.1, s.</w:t>
      </w:r>
      <w:r w:rsidRPr="00C56B18">
        <w:rPr>
          <w:lang w:val="en-CA"/>
        </w:rPr>
        <w:t xml:space="preserve"> 289.1.1.</w:t>
      </w:r>
    </w:p>
  </w:footnote>
  <w:footnote w:id="84">
    <w:p w14:paraId="374536CF" w14:textId="2CBECFD3"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289.3.1.</w:t>
      </w:r>
    </w:p>
  </w:footnote>
  <w:footnote w:id="85">
    <w:p w14:paraId="54ED99F5" w14:textId="77777777"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rFonts w:cs="Arial"/>
          <w:i/>
          <w:iCs/>
          <w:color w:val="212529"/>
          <w:shd w:val="clear" w:color="auto" w:fill="FFFFFF"/>
          <w:lang w:val="en-CA"/>
        </w:rPr>
        <w:t>Act respecting the Director of Criminal and Penal Prosecutions</w:t>
      </w:r>
      <w:r w:rsidRPr="00350CDD">
        <w:rPr>
          <w:lang w:val="en-CA"/>
        </w:rPr>
        <w:t>, CQLR, c. D-9.1.1, s.</w:t>
      </w:r>
      <w:r w:rsidRPr="00C56B18">
        <w:rPr>
          <w:lang w:val="en-CA"/>
        </w:rPr>
        <w:t xml:space="preserve"> 13.</w:t>
      </w:r>
    </w:p>
  </w:footnote>
  <w:footnote w:id="86">
    <w:p w14:paraId="1738D0A3" w14:textId="77777777" w:rsidR="007861F7" w:rsidRPr="00C56B18" w:rsidRDefault="007861F7" w:rsidP="007861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CQLR, c. P-13.1, s.</w:t>
      </w:r>
      <w:r w:rsidRPr="00C56B18">
        <w:rPr>
          <w:lang w:val="en-CA"/>
        </w:rPr>
        <w:t xml:space="preserve"> 289.3.1.</w:t>
      </w:r>
    </w:p>
  </w:footnote>
  <w:footnote w:id="87">
    <w:p w14:paraId="4544686C" w14:textId="77777777" w:rsidR="00EB6D88" w:rsidRPr="00C56B18" w:rsidRDefault="00EB6D88" w:rsidP="00EB6D8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CQLR, c. P-13.1, s.</w:t>
      </w:r>
      <w:r w:rsidRPr="00C56B18">
        <w:rPr>
          <w:lang w:val="en-CA"/>
        </w:rPr>
        <w:t xml:space="preserve"> 289.22.</w:t>
      </w:r>
    </w:p>
  </w:footnote>
  <w:footnote w:id="88">
    <w:p w14:paraId="245823D8" w14:textId="03D4886E" w:rsidR="00EB6D88" w:rsidRPr="00C56B18" w:rsidRDefault="00EB6D88" w:rsidP="00EB6D8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289.27.</w:t>
      </w:r>
    </w:p>
  </w:footnote>
  <w:footnote w:id="89">
    <w:p w14:paraId="05EAFC7A" w14:textId="77777777" w:rsidR="00EB6D88" w:rsidRPr="00C56B18" w:rsidRDefault="00EB6D88" w:rsidP="00EB6D8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Regulation respecting the conduct of the investigations of the Bureau des </w:t>
      </w:r>
      <w:proofErr w:type="spellStart"/>
      <w:r w:rsidRPr="00350CDD">
        <w:rPr>
          <w:i/>
          <w:iCs/>
          <w:lang w:val="en-CA"/>
        </w:rPr>
        <w:t>enquêtes</w:t>
      </w:r>
      <w:proofErr w:type="spellEnd"/>
      <w:r w:rsidRPr="00350CDD">
        <w:rPr>
          <w:i/>
          <w:iCs/>
          <w:lang w:val="en-CA"/>
        </w:rPr>
        <w:t xml:space="preserve"> </w:t>
      </w:r>
      <w:proofErr w:type="spellStart"/>
      <w:r w:rsidRPr="00350CDD">
        <w:rPr>
          <w:i/>
          <w:iCs/>
          <w:lang w:val="en-CA"/>
        </w:rPr>
        <w:t>indépendantes</w:t>
      </w:r>
      <w:proofErr w:type="spellEnd"/>
      <w:r w:rsidRPr="00350CDD">
        <w:rPr>
          <w:lang w:val="en-CA"/>
        </w:rPr>
        <w:t xml:space="preserve">, </w:t>
      </w:r>
      <w:proofErr w:type="spellStart"/>
      <w:r w:rsidRPr="00350CDD">
        <w:rPr>
          <w:lang w:val="en-CA"/>
        </w:rPr>
        <w:t>CQLR</w:t>
      </w:r>
      <w:proofErr w:type="spellEnd"/>
      <w:r w:rsidRPr="00350CDD">
        <w:rPr>
          <w:lang w:val="en-CA"/>
        </w:rPr>
        <w:t>, c. P-13.1, r. 1.1, ss.</w:t>
      </w:r>
      <w:r w:rsidRPr="00C56B18">
        <w:rPr>
          <w:lang w:val="en-CA"/>
        </w:rPr>
        <w:t xml:space="preserve"> </w:t>
      </w:r>
      <w:r w:rsidRPr="00350CDD">
        <w:rPr>
          <w:lang w:val="en-CA"/>
        </w:rPr>
        <w:t>10 and 11.</w:t>
      </w:r>
    </w:p>
  </w:footnote>
  <w:footnote w:id="90">
    <w:p w14:paraId="58231E8A" w14:textId="6D85F4AC" w:rsidR="00EB6D88" w:rsidRPr="00C56B18" w:rsidRDefault="00EB6D88" w:rsidP="00EB6D8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3062EA">
        <w:rPr>
          <w:lang w:val="en-CA"/>
        </w:rPr>
        <w:t xml:space="preserve">at </w:t>
      </w:r>
      <w:r w:rsidRPr="00350CDD">
        <w:rPr>
          <w:lang w:val="en-CA"/>
        </w:rPr>
        <w:t>s.</w:t>
      </w:r>
      <w:r w:rsidRPr="00C56B18">
        <w:rPr>
          <w:lang w:val="en-CA"/>
        </w:rPr>
        <w:t xml:space="preserve"> 12.</w:t>
      </w:r>
    </w:p>
  </w:footnote>
  <w:footnote w:id="91">
    <w:p w14:paraId="2A7064C8" w14:textId="1F755FDE" w:rsidR="00EB6D88" w:rsidRPr="00124903" w:rsidRDefault="00EB6D88" w:rsidP="00EB6D88">
      <w:pPr>
        <w:pStyle w:val="Notedebasdepage"/>
      </w:pPr>
      <w:r w:rsidRPr="00C56B18">
        <w:rPr>
          <w:rStyle w:val="Appelnotedebasdep"/>
          <w:lang w:val="en-CA"/>
        </w:rPr>
        <w:footnoteRef/>
      </w:r>
      <w:r w:rsidRPr="00C56B18">
        <w:rPr>
          <w:lang w:val="en-CA"/>
        </w:rPr>
        <w:t xml:space="preserve"> </w:t>
      </w:r>
      <w:r w:rsidRPr="00C56B18">
        <w:rPr>
          <w:lang w:val="en-CA"/>
        </w:rPr>
        <w:tab/>
      </w:r>
      <w:bookmarkStart w:id="22" w:name="_Hlk151792764"/>
      <w:r w:rsidRPr="00350CDD">
        <w:rPr>
          <w:i/>
          <w:iCs/>
          <w:lang w:val="en-CA"/>
        </w:rPr>
        <w:t>Ibid</w:t>
      </w:r>
      <w:r w:rsidRPr="00350CDD">
        <w:rPr>
          <w:lang w:val="en-CA"/>
        </w:rPr>
        <w:t xml:space="preserve"> </w:t>
      </w:r>
      <w:bookmarkEnd w:id="22"/>
      <w:r w:rsidR="003062EA">
        <w:rPr>
          <w:lang w:val="en-CA"/>
        </w:rPr>
        <w:t xml:space="preserve">at </w:t>
      </w:r>
      <w:r w:rsidRPr="00350CDD">
        <w:rPr>
          <w:lang w:val="en-CA"/>
        </w:rPr>
        <w:t>s.</w:t>
      </w:r>
      <w:r w:rsidRPr="00C56B18">
        <w:rPr>
          <w:lang w:val="en-CA"/>
        </w:rPr>
        <w:t xml:space="preserve"> </w:t>
      </w:r>
      <w:r w:rsidRPr="00350CDD">
        <w:rPr>
          <w:lang w:val="en-CA"/>
        </w:rPr>
        <w:t xml:space="preserve">2, para. </w:t>
      </w:r>
      <w:r w:rsidRPr="00350CDD">
        <w:t xml:space="preserve">1, </w:t>
      </w:r>
      <w:proofErr w:type="spellStart"/>
      <w:r w:rsidRPr="00350CDD">
        <w:t>subparas</w:t>
      </w:r>
      <w:proofErr w:type="spellEnd"/>
      <w:r w:rsidRPr="00350CDD">
        <w:t>.</w:t>
      </w:r>
      <w:r w:rsidRPr="00124903">
        <w:t xml:space="preserve"> </w:t>
      </w:r>
      <w:r w:rsidR="009B2894">
        <w:t>(</w:t>
      </w:r>
      <w:r w:rsidRPr="00350CDD">
        <w:t>5</w:t>
      </w:r>
      <w:r w:rsidR="009B2894">
        <w:t>)</w:t>
      </w:r>
      <w:r w:rsidRPr="00350CDD">
        <w:t xml:space="preserve"> and </w:t>
      </w:r>
      <w:r w:rsidR="009B2894">
        <w:t>(</w:t>
      </w:r>
      <w:r w:rsidRPr="00350CDD">
        <w:t>6</w:t>
      </w:r>
      <w:r w:rsidR="009B2894">
        <w:t>)</w:t>
      </w:r>
      <w:r w:rsidRPr="00350CDD">
        <w:t xml:space="preserve"> and s.</w:t>
      </w:r>
      <w:r w:rsidRPr="00124903">
        <w:t xml:space="preserve"> 4.</w:t>
      </w:r>
    </w:p>
  </w:footnote>
  <w:footnote w:id="92">
    <w:p w14:paraId="2167005A" w14:textId="691F0D67" w:rsidR="00C143A7" w:rsidRPr="00C22ECF" w:rsidRDefault="00C143A7" w:rsidP="00C143A7">
      <w:pPr>
        <w:pStyle w:val="Notedebasdepage"/>
      </w:pPr>
      <w:r w:rsidRPr="00C56B18">
        <w:rPr>
          <w:rStyle w:val="Appelnotedebasdep"/>
          <w:lang w:val="en-CA"/>
        </w:rPr>
        <w:footnoteRef/>
      </w:r>
      <w:r w:rsidRPr="00C22ECF">
        <w:t xml:space="preserve"> </w:t>
      </w:r>
      <w:r w:rsidRPr="00C22ECF">
        <w:tab/>
      </w:r>
      <w:r w:rsidRPr="00350CDD">
        <w:t xml:space="preserve">Exhibit PGQ-2: Madeleine Giauque, </w:t>
      </w:r>
      <w:r w:rsidRPr="00350CDD">
        <w:rPr>
          <w:i/>
          <w:iCs/>
        </w:rPr>
        <w:t>Rapport du Bureau des enquêtes indépendantes</w:t>
      </w:r>
      <w:r w:rsidRPr="00350CDD">
        <w:t xml:space="preserve"> </w:t>
      </w:r>
      <w:r w:rsidRPr="00350CDD">
        <w:rPr>
          <w:i/>
          <w:iCs/>
        </w:rPr>
        <w:t>(Loi modifiant la Loi sur la police concernant les enquêtes indépendantes, 2013, chapitre 6, article 10)</w:t>
      </w:r>
      <w:r w:rsidRPr="00350CDD">
        <w:t xml:space="preserve"> </w:t>
      </w:r>
      <w:r w:rsidR="00A80C94">
        <w:t>(</w:t>
      </w:r>
      <w:r w:rsidR="00A80C94" w:rsidRPr="00C22ECF">
        <w:t>Québec</w:t>
      </w:r>
      <w:r w:rsidR="00A80C94">
        <w:t>:</w:t>
      </w:r>
      <w:r w:rsidR="00A80C94" w:rsidRPr="00C22ECF">
        <w:t xml:space="preserve"> Publications du Québec, 2019</w:t>
      </w:r>
      <w:r w:rsidR="00A80C94">
        <w:t>)</w:t>
      </w:r>
      <w:r w:rsidRPr="00350CDD">
        <w:t xml:space="preserve"> at 7.</w:t>
      </w:r>
    </w:p>
  </w:footnote>
  <w:footnote w:id="93">
    <w:p w14:paraId="594AA8C8" w14:textId="77777777" w:rsidR="00C143A7" w:rsidRPr="00C56B18" w:rsidRDefault="00C143A7" w:rsidP="00C143A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p>
  </w:footnote>
  <w:footnote w:id="94">
    <w:p w14:paraId="6282161E" w14:textId="77777777" w:rsidR="00C143A7" w:rsidRPr="00C56B18" w:rsidRDefault="00C143A7" w:rsidP="00C143A7">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p>
  </w:footnote>
  <w:footnote w:id="95">
    <w:p w14:paraId="775AB5ED" w14:textId="507F0470" w:rsidR="00C143A7" w:rsidRPr="00C56B18" w:rsidRDefault="00C143A7" w:rsidP="00C143A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8.</w:t>
      </w:r>
    </w:p>
  </w:footnote>
  <w:footnote w:id="96">
    <w:p w14:paraId="06C67792" w14:textId="253D34DF" w:rsidR="00C143A7" w:rsidRPr="00C56B18" w:rsidRDefault="00C143A7" w:rsidP="00C143A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 xml:space="preserve">Exhibit PGQ-7A: </w:t>
      </w:r>
      <w:r w:rsidR="00E80902">
        <w:rPr>
          <w:lang w:val="en-CA"/>
        </w:rPr>
        <w:t xml:space="preserve">Quebec, </w:t>
      </w:r>
      <w:r w:rsidRPr="00176813">
        <w:rPr>
          <w:lang w:val="en-CA"/>
        </w:rPr>
        <w:t xml:space="preserve">National Assembly, </w:t>
      </w:r>
      <w:r w:rsidRPr="00176813">
        <w:rPr>
          <w:i/>
          <w:iCs/>
          <w:lang w:val="en-CA"/>
        </w:rPr>
        <w:t xml:space="preserve">Journal des </w:t>
      </w:r>
      <w:proofErr w:type="spellStart"/>
      <w:r w:rsidRPr="00176813">
        <w:rPr>
          <w:i/>
          <w:iCs/>
          <w:lang w:val="en-CA"/>
        </w:rPr>
        <w:t>débats</w:t>
      </w:r>
      <w:proofErr w:type="spellEnd"/>
      <w:r w:rsidRPr="00176813">
        <w:rPr>
          <w:lang w:val="en-CA"/>
        </w:rPr>
        <w:t xml:space="preserve">, 40-1, </w:t>
      </w:r>
      <w:r w:rsidR="00176813" w:rsidRPr="00176813">
        <w:rPr>
          <w:lang w:val="en-CA"/>
        </w:rPr>
        <w:t>V</w:t>
      </w:r>
      <w:r w:rsidRPr="00176813">
        <w:rPr>
          <w:lang w:val="en-CA"/>
        </w:rPr>
        <w:t xml:space="preserve">ol. 43, </w:t>
      </w:r>
      <w:r w:rsidR="00176813" w:rsidRPr="00176813">
        <w:rPr>
          <w:lang w:val="en-CA"/>
        </w:rPr>
        <w:t>No.</w:t>
      </w:r>
      <w:r w:rsidRPr="00176813">
        <w:rPr>
          <w:lang w:val="en-CA"/>
        </w:rPr>
        <w:t xml:space="preserve"> 31, </w:t>
      </w:r>
      <w:r w:rsidR="00E80902" w:rsidRPr="00176813">
        <w:rPr>
          <w:lang w:val="en-CA"/>
        </w:rPr>
        <w:t>(</w:t>
      </w:r>
      <w:r w:rsidRPr="00176813">
        <w:rPr>
          <w:lang w:val="en-CA"/>
        </w:rPr>
        <w:t>20 March 2013</w:t>
      </w:r>
      <w:r w:rsidR="00E80902" w:rsidRPr="00176813">
        <w:rPr>
          <w:lang w:val="en-CA"/>
        </w:rPr>
        <w:t xml:space="preserve">) </w:t>
      </w:r>
      <w:r w:rsidRPr="00176813">
        <w:rPr>
          <w:lang w:val="en-CA"/>
        </w:rPr>
        <w:t>at 2064</w:t>
      </w:r>
      <w:r w:rsidRPr="00C56B18">
        <w:rPr>
          <w:lang w:val="en-CA"/>
        </w:rPr>
        <w:t xml:space="preserve"> (S. </w:t>
      </w:r>
      <w:r w:rsidRPr="00350CDD">
        <w:rPr>
          <w:lang w:val="en-CA"/>
        </w:rPr>
        <w:t>Bergeron).</w:t>
      </w:r>
    </w:p>
  </w:footnote>
  <w:footnote w:id="97">
    <w:p w14:paraId="2380BCEA" w14:textId="77777777" w:rsidR="00716E23" w:rsidRPr="00C56B18" w:rsidRDefault="00716E23" w:rsidP="00716E2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CQLR, c. P-13.1, s.</w:t>
      </w:r>
      <w:r w:rsidRPr="00C56B18">
        <w:rPr>
          <w:lang w:val="en-CA"/>
        </w:rPr>
        <w:t xml:space="preserve"> 48.</w:t>
      </w:r>
    </w:p>
  </w:footnote>
  <w:footnote w:id="98">
    <w:p w14:paraId="3F5FD465" w14:textId="24AEAC2B" w:rsidR="00A17C43" w:rsidRPr="00C56B18" w:rsidRDefault="00DE2A80" w:rsidP="00A17C4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Di </w:t>
      </w:r>
      <w:proofErr w:type="spellStart"/>
      <w:r w:rsidRPr="00350CDD">
        <w:rPr>
          <w:i/>
          <w:iCs/>
          <w:lang w:val="en-CA"/>
        </w:rPr>
        <w:t>Iorio</w:t>
      </w:r>
      <w:proofErr w:type="spellEnd"/>
      <w:r w:rsidRPr="00350CDD">
        <w:rPr>
          <w:i/>
          <w:iCs/>
          <w:lang w:val="en-CA"/>
        </w:rPr>
        <w:t xml:space="preserve"> </w:t>
      </w:r>
      <w:r w:rsidR="00153AEF" w:rsidRPr="00350CDD">
        <w:rPr>
          <w:i/>
          <w:iCs/>
          <w:lang w:val="en-CA"/>
        </w:rPr>
        <w:t>v</w:t>
      </w:r>
      <w:r w:rsidRPr="00350CDD">
        <w:rPr>
          <w:i/>
          <w:iCs/>
          <w:lang w:val="en-CA"/>
        </w:rPr>
        <w:t xml:space="preserve">. </w:t>
      </w:r>
      <w:r w:rsidR="00153AEF" w:rsidRPr="00350CDD">
        <w:rPr>
          <w:i/>
          <w:iCs/>
          <w:lang w:val="en-CA"/>
        </w:rPr>
        <w:t>Warden of the Montreal Jail</w:t>
      </w:r>
      <w:r w:rsidRPr="00350CDD">
        <w:rPr>
          <w:lang w:val="en-CA"/>
        </w:rPr>
        <w:t xml:space="preserve">, [1978] 1 </w:t>
      </w:r>
      <w:r w:rsidR="00153AEF" w:rsidRPr="00350CDD">
        <w:rPr>
          <w:lang w:val="en-CA"/>
        </w:rPr>
        <w:t>S.C.R.</w:t>
      </w:r>
      <w:r w:rsidRPr="00C56B18">
        <w:rPr>
          <w:lang w:val="en-CA"/>
        </w:rPr>
        <w:t xml:space="preserve"> </w:t>
      </w:r>
      <w:r w:rsidRPr="00350CDD">
        <w:rPr>
          <w:lang w:val="en-CA"/>
        </w:rPr>
        <w:t xml:space="preserve">152 </w:t>
      </w:r>
      <w:r w:rsidR="00153AEF" w:rsidRPr="00350CDD">
        <w:rPr>
          <w:lang w:val="en-CA"/>
        </w:rPr>
        <w:t>at</w:t>
      </w:r>
      <w:r w:rsidRPr="00350CDD">
        <w:rPr>
          <w:lang w:val="en-CA"/>
        </w:rPr>
        <w:t xml:space="preserve"> 205.</w:t>
      </w:r>
      <w:r w:rsidRPr="00C56B18">
        <w:rPr>
          <w:lang w:val="en-CA"/>
        </w:rPr>
        <w:t xml:space="preserve"> </w:t>
      </w:r>
    </w:p>
  </w:footnote>
  <w:footnote w:id="99">
    <w:p w14:paraId="22CEB66D" w14:textId="225D0CC9" w:rsidR="00124903" w:rsidRPr="00C56B18" w:rsidRDefault="00124903" w:rsidP="00124903">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O’Hara v. British Columbia</w:t>
      </w:r>
      <w:r w:rsidRPr="00350CDD">
        <w:rPr>
          <w:lang w:val="en-CA"/>
        </w:rPr>
        <w:t>, [1987] 2 S.C.R.</w:t>
      </w:r>
      <w:r w:rsidRPr="00C56B18">
        <w:rPr>
          <w:lang w:val="en-CA"/>
        </w:rPr>
        <w:t xml:space="preserve"> </w:t>
      </w:r>
      <w:r w:rsidRPr="00350CDD">
        <w:rPr>
          <w:lang w:val="en-CA"/>
        </w:rPr>
        <w:t xml:space="preserve">591 at 606–608; </w:t>
      </w:r>
      <w:proofErr w:type="spellStart"/>
      <w:r w:rsidRPr="00350CDD">
        <w:rPr>
          <w:i/>
          <w:iCs/>
          <w:lang w:val="en-CA"/>
        </w:rPr>
        <w:t>Bisaillon</w:t>
      </w:r>
      <w:proofErr w:type="spellEnd"/>
      <w:r w:rsidRPr="00350CDD">
        <w:rPr>
          <w:i/>
          <w:iCs/>
          <w:lang w:val="en-CA"/>
        </w:rPr>
        <w:t xml:space="preserve"> </w:t>
      </w:r>
      <w:r w:rsidR="004A357D" w:rsidRPr="00350CDD">
        <w:rPr>
          <w:i/>
          <w:iCs/>
          <w:lang w:val="en-CA"/>
        </w:rPr>
        <w:t>v</w:t>
      </w:r>
      <w:r w:rsidRPr="00350CDD">
        <w:rPr>
          <w:i/>
          <w:iCs/>
          <w:lang w:val="en-CA"/>
        </w:rPr>
        <w:t>. Keable</w:t>
      </w:r>
      <w:r w:rsidRPr="00350CDD">
        <w:rPr>
          <w:lang w:val="en-CA"/>
        </w:rPr>
        <w:t>, [1983] 2 S.C.R.</w:t>
      </w:r>
      <w:r w:rsidRPr="00C56B18">
        <w:rPr>
          <w:lang w:val="en-CA"/>
        </w:rPr>
        <w:t xml:space="preserve"> </w:t>
      </w:r>
      <w:r w:rsidRPr="00350CDD">
        <w:rPr>
          <w:lang w:val="en-CA"/>
        </w:rPr>
        <w:t>60 at 79.</w:t>
      </w:r>
      <w:r w:rsidRPr="00C56B18">
        <w:rPr>
          <w:lang w:val="en-CA"/>
        </w:rPr>
        <w:t xml:space="preserve"> See also by analogy</w:t>
      </w:r>
      <w:r w:rsidRPr="00350CDD">
        <w:rPr>
          <w:lang w:val="en-CA"/>
        </w:rPr>
        <w:t xml:space="preserve"> </w:t>
      </w:r>
      <w:r w:rsidRPr="00350CDD">
        <w:rPr>
          <w:i/>
          <w:iCs/>
          <w:lang w:val="en-CA"/>
        </w:rPr>
        <w:t>Krieger v. Law Society of Alberta</w:t>
      </w:r>
      <w:r w:rsidRPr="00350CDD">
        <w:rPr>
          <w:lang w:val="en-CA"/>
        </w:rPr>
        <w:t>, 2002 SCC 65, [2002] 3 S.C.R.</w:t>
      </w:r>
      <w:r w:rsidRPr="00C56B18">
        <w:rPr>
          <w:lang w:val="en-CA"/>
        </w:rPr>
        <w:t xml:space="preserve"> </w:t>
      </w:r>
      <w:r w:rsidRPr="00350CDD">
        <w:rPr>
          <w:lang w:val="en-CA"/>
        </w:rPr>
        <w:t>372.</w:t>
      </w:r>
    </w:p>
  </w:footnote>
  <w:footnote w:id="100">
    <w:p w14:paraId="7424CAC2" w14:textId="77777777" w:rsidR="00124903" w:rsidRPr="00C56B18" w:rsidRDefault="00124903" w:rsidP="001249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Di </w:t>
      </w:r>
      <w:proofErr w:type="spellStart"/>
      <w:r w:rsidRPr="00350CDD">
        <w:rPr>
          <w:i/>
          <w:iCs/>
          <w:lang w:val="en-CA"/>
        </w:rPr>
        <w:t>Iorio</w:t>
      </w:r>
      <w:proofErr w:type="spellEnd"/>
      <w:r w:rsidRPr="00350CDD">
        <w:rPr>
          <w:i/>
          <w:iCs/>
          <w:lang w:val="en-CA"/>
        </w:rPr>
        <w:t xml:space="preserve"> v. Warden of the Montreal Jail</w:t>
      </w:r>
      <w:r w:rsidRPr="00350CDD">
        <w:rPr>
          <w:lang w:val="en-CA"/>
        </w:rPr>
        <w:t>, [1978] 1 S.C.R.</w:t>
      </w:r>
      <w:r w:rsidRPr="00C56B18">
        <w:rPr>
          <w:lang w:val="en-CA"/>
        </w:rPr>
        <w:t xml:space="preserve"> </w:t>
      </w:r>
      <w:r w:rsidRPr="00350CDD">
        <w:rPr>
          <w:lang w:val="en-CA"/>
        </w:rPr>
        <w:t>152 at 207.</w:t>
      </w:r>
      <w:r w:rsidRPr="00C56B18">
        <w:rPr>
          <w:lang w:val="en-CA"/>
        </w:rPr>
        <w:t xml:space="preserve"> </w:t>
      </w:r>
    </w:p>
  </w:footnote>
  <w:footnote w:id="101">
    <w:p w14:paraId="07ED0171" w14:textId="77777777" w:rsidR="00124903" w:rsidRPr="00C56B18" w:rsidRDefault="00124903" w:rsidP="001249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O’Hara v. British Columbia</w:t>
      </w:r>
      <w:r w:rsidRPr="00350CDD">
        <w:rPr>
          <w:lang w:val="en-CA"/>
        </w:rPr>
        <w:t>, [1987] 2 S.C.R.</w:t>
      </w:r>
      <w:r w:rsidRPr="00C56B18">
        <w:rPr>
          <w:lang w:val="en-CA"/>
        </w:rPr>
        <w:t xml:space="preserve"> </w:t>
      </w:r>
      <w:r w:rsidRPr="00350CDD">
        <w:rPr>
          <w:lang w:val="en-CA"/>
        </w:rPr>
        <w:t>591 at 607.</w:t>
      </w:r>
    </w:p>
  </w:footnote>
  <w:footnote w:id="102">
    <w:p w14:paraId="73BB059D" w14:textId="77777777" w:rsidR="00124903" w:rsidRPr="00C56B18" w:rsidRDefault="00124903" w:rsidP="001249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Starr v. </w:t>
      </w:r>
      <w:proofErr w:type="spellStart"/>
      <w:r w:rsidRPr="00350CDD">
        <w:rPr>
          <w:i/>
          <w:iCs/>
          <w:lang w:val="en-CA"/>
        </w:rPr>
        <w:t>Houlden</w:t>
      </w:r>
      <w:proofErr w:type="spellEnd"/>
      <w:r w:rsidRPr="00350CDD">
        <w:rPr>
          <w:lang w:val="en-CA"/>
        </w:rPr>
        <w:t>, [1990] 1 S.C.R.</w:t>
      </w:r>
      <w:r w:rsidRPr="00C56B18">
        <w:rPr>
          <w:lang w:val="en-CA"/>
        </w:rPr>
        <w:t xml:space="preserve"> 1366 at 1397–1398, citing the remarks of Martin J. in </w:t>
      </w:r>
      <w:r w:rsidRPr="00C56B18">
        <w:rPr>
          <w:i/>
          <w:iCs/>
          <w:lang w:val="en-CA"/>
        </w:rPr>
        <w:t>R. v. Hoffmann-Laroche Ltd</w:t>
      </w:r>
      <w:r w:rsidRPr="00C56B18">
        <w:rPr>
          <w:lang w:val="en-CA"/>
        </w:rPr>
        <w:t xml:space="preserve">. </w:t>
      </w:r>
      <w:r w:rsidRPr="00350CDD">
        <w:rPr>
          <w:color w:val="000000"/>
          <w:spacing w:val="-3"/>
          <w:lang w:val="en-CA"/>
        </w:rPr>
        <w:t>(1981), 33 O.R.</w:t>
      </w:r>
      <w:r w:rsidRPr="00C56B18">
        <w:rPr>
          <w:color w:val="000000"/>
          <w:spacing w:val="-3"/>
          <w:lang w:val="en-CA"/>
        </w:rPr>
        <w:t xml:space="preserve"> </w:t>
      </w:r>
      <w:r w:rsidRPr="00350CDD">
        <w:rPr>
          <w:color w:val="000000"/>
          <w:spacing w:val="-3"/>
          <w:lang w:val="en-CA"/>
        </w:rPr>
        <w:t xml:space="preserve">(2d) 694 at 724, </w:t>
      </w:r>
      <w:r w:rsidRPr="00350CDD">
        <w:rPr>
          <w:lang w:val="en-CA"/>
        </w:rPr>
        <w:t>1981 CanLII 1690</w:t>
      </w:r>
      <w:r w:rsidRPr="00350CDD">
        <w:rPr>
          <w:color w:val="000000"/>
          <w:spacing w:val="-3"/>
          <w:lang w:val="en-CA"/>
        </w:rPr>
        <w:t>.</w:t>
      </w:r>
      <w:r w:rsidRPr="00C56B18">
        <w:rPr>
          <w:color w:val="000000"/>
          <w:spacing w:val="-3"/>
          <w:lang w:val="en-CA"/>
        </w:rPr>
        <w:t xml:space="preserve"> </w:t>
      </w:r>
    </w:p>
  </w:footnote>
  <w:footnote w:id="103">
    <w:p w14:paraId="4D967566" w14:textId="77777777" w:rsidR="00124903" w:rsidRPr="00C56B18" w:rsidRDefault="00124903" w:rsidP="0012490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bookmarkStart w:id="25" w:name="_Hlk151889185"/>
      <w:r w:rsidRPr="00350CDD">
        <w:rPr>
          <w:i/>
          <w:iCs/>
          <w:lang w:val="en-CA"/>
        </w:rPr>
        <w:t>R. v. White</w:t>
      </w:r>
      <w:r w:rsidRPr="00350CDD">
        <w:rPr>
          <w:lang w:val="en-CA"/>
        </w:rPr>
        <w:t>, [1999] 2 S.C.R.</w:t>
      </w:r>
      <w:r w:rsidRPr="00C56B18">
        <w:rPr>
          <w:lang w:val="en-CA"/>
        </w:rPr>
        <w:t xml:space="preserve"> </w:t>
      </w:r>
      <w:r w:rsidRPr="00350CDD">
        <w:rPr>
          <w:lang w:val="en-CA"/>
        </w:rPr>
        <w:t>417 at para.</w:t>
      </w:r>
      <w:r w:rsidRPr="00C56B18">
        <w:rPr>
          <w:lang w:val="en-CA"/>
        </w:rPr>
        <w:t xml:space="preserve"> 72.</w:t>
      </w:r>
      <w:bookmarkEnd w:id="25"/>
    </w:p>
  </w:footnote>
  <w:footnote w:id="104">
    <w:p w14:paraId="100A83C0" w14:textId="77777777" w:rsidR="00965CC8" w:rsidRPr="00C56B18" w:rsidRDefault="00965CC8" w:rsidP="00965CC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lang w:val="en-CA"/>
        </w:rPr>
        <w:t>Application for judicial review and originating application dated June 10, 2019, at para.</w:t>
      </w:r>
      <w:r w:rsidRPr="00C56B18">
        <w:rPr>
          <w:lang w:val="en-CA"/>
        </w:rPr>
        <w:t xml:space="preserve"> 1.</w:t>
      </w:r>
    </w:p>
  </w:footnote>
  <w:footnote w:id="105">
    <w:p w14:paraId="607BC140" w14:textId="77777777" w:rsidR="008D1AF7" w:rsidRPr="00C56B18" w:rsidRDefault="008D1AF7" w:rsidP="008D1AF7">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shd w:val="clear" w:color="auto" w:fill="FFFFFF"/>
          <w:lang w:val="en-CA"/>
        </w:rPr>
        <w:t>Guindon v. Canada</w:t>
      </w:r>
      <w:r w:rsidRPr="00350CDD">
        <w:rPr>
          <w:shd w:val="clear" w:color="auto" w:fill="FFFFFF"/>
          <w:lang w:val="en-CA"/>
        </w:rPr>
        <w:t>, 2015 SCC 41 at paras.</w:t>
      </w:r>
      <w:r w:rsidRPr="00C56B18">
        <w:rPr>
          <w:shd w:val="clear" w:color="auto" w:fill="FFFFFF"/>
          <w:lang w:val="en-CA"/>
        </w:rPr>
        <w:t xml:space="preserve"> 20–23.</w:t>
      </w:r>
    </w:p>
  </w:footnote>
  <w:footnote w:id="106">
    <w:p w14:paraId="153F9DB9" w14:textId="77777777" w:rsidR="001A2D69" w:rsidRPr="00C56B18" w:rsidRDefault="001A2D69" w:rsidP="001A2D6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Re B.C. Motor Vehicle Act,</w:t>
      </w:r>
      <w:r w:rsidRPr="00350CDD">
        <w:rPr>
          <w:lang w:val="en-CA"/>
        </w:rPr>
        <w:t xml:space="preserve"> [1985] 2 S.C.R.</w:t>
      </w:r>
      <w:r w:rsidRPr="00C56B18">
        <w:rPr>
          <w:lang w:val="en-CA"/>
        </w:rPr>
        <w:t xml:space="preserve"> 486.</w:t>
      </w:r>
    </w:p>
  </w:footnote>
  <w:footnote w:id="107">
    <w:p w14:paraId="5F227922" w14:textId="53E664F3" w:rsidR="001A2D69" w:rsidRPr="00C56B18" w:rsidRDefault="001A2D69" w:rsidP="001A2D6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512–513.</w:t>
      </w:r>
    </w:p>
  </w:footnote>
  <w:footnote w:id="108">
    <w:p w14:paraId="6AAD7197" w14:textId="5824E0EA" w:rsidR="001A2D69" w:rsidRPr="00C56B18" w:rsidRDefault="001A2D69" w:rsidP="001A2D69">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Malmo-Levine; R. v. Caine</w:t>
      </w:r>
      <w:r w:rsidRPr="00350CDD">
        <w:rPr>
          <w:lang w:val="en-CA"/>
        </w:rPr>
        <w:t>, [2003] 3 S.C.R.</w:t>
      </w:r>
      <w:r w:rsidRPr="00C56B18">
        <w:rPr>
          <w:lang w:val="en-CA"/>
        </w:rPr>
        <w:t xml:space="preserve"> </w:t>
      </w:r>
      <w:r w:rsidRPr="00350CDD">
        <w:rPr>
          <w:lang w:val="en-CA"/>
        </w:rPr>
        <w:t>571 at paras.</w:t>
      </w:r>
      <w:r w:rsidRPr="00C56B18">
        <w:rPr>
          <w:lang w:val="en-CA"/>
        </w:rPr>
        <w:t xml:space="preserve"> </w:t>
      </w:r>
      <w:r w:rsidRPr="00350CDD">
        <w:rPr>
          <w:lang w:val="en-CA"/>
        </w:rPr>
        <w:t xml:space="preserve">110–129; </w:t>
      </w:r>
      <w:r w:rsidRPr="00350CDD">
        <w:rPr>
          <w:i/>
          <w:iCs/>
          <w:lang w:val="en-CA"/>
        </w:rPr>
        <w:t>Canadian Foundation for Children, Youth and the Law v. Canada (Attorney General)</w:t>
      </w:r>
      <w:r w:rsidRPr="00350CDD">
        <w:rPr>
          <w:lang w:val="en-CA"/>
        </w:rPr>
        <w:t>, [2004] 1 S.C.R.</w:t>
      </w:r>
      <w:r w:rsidRPr="00C56B18">
        <w:rPr>
          <w:lang w:val="en-CA"/>
        </w:rPr>
        <w:t xml:space="preserve"> </w:t>
      </w:r>
      <w:r w:rsidRPr="00350CDD">
        <w:rPr>
          <w:lang w:val="en-CA"/>
        </w:rPr>
        <w:t>76 at paras.</w:t>
      </w:r>
      <w:r w:rsidRPr="00C56B18">
        <w:rPr>
          <w:lang w:val="en-CA"/>
        </w:rPr>
        <w:t xml:space="preserve"> </w:t>
      </w:r>
      <w:r w:rsidRPr="00350CDD">
        <w:rPr>
          <w:lang w:val="en-CA"/>
        </w:rPr>
        <w:t xml:space="preserve">8–12; </w:t>
      </w:r>
      <w:r w:rsidRPr="00C56B18">
        <w:rPr>
          <w:rFonts w:cs="Arial"/>
          <w:i/>
          <w:iCs/>
          <w:color w:val="212529"/>
          <w:shd w:val="clear" w:color="auto" w:fill="FFFFFF"/>
          <w:lang w:val="en-CA"/>
        </w:rPr>
        <w:t>Application under s. 83.28 of the Criminal Code (Re),</w:t>
      </w:r>
      <w:r w:rsidRPr="00C56B18">
        <w:rPr>
          <w:rFonts w:ascii="Open Sans" w:hAnsi="Open Sans" w:cs="Open Sans"/>
          <w:color w:val="212529"/>
          <w:sz w:val="21"/>
          <w:szCs w:val="21"/>
          <w:shd w:val="clear" w:color="auto" w:fill="FFFFFF"/>
          <w:lang w:val="en-CA"/>
        </w:rPr>
        <w:t> </w:t>
      </w:r>
      <w:r w:rsidRPr="00350CDD">
        <w:rPr>
          <w:lang w:val="en-CA"/>
        </w:rPr>
        <w:t>[2004] 2 S.C.R.</w:t>
      </w:r>
      <w:r w:rsidRPr="00C56B18">
        <w:rPr>
          <w:lang w:val="en-CA"/>
        </w:rPr>
        <w:t xml:space="preserve"> </w:t>
      </w:r>
      <w:r w:rsidRPr="00350CDD">
        <w:rPr>
          <w:lang w:val="en-CA"/>
        </w:rPr>
        <w:t>248 at para.</w:t>
      </w:r>
      <w:r w:rsidRPr="00C56B18">
        <w:rPr>
          <w:lang w:val="en-CA"/>
        </w:rPr>
        <w:t xml:space="preserve"> </w:t>
      </w:r>
      <w:r w:rsidRPr="00350CDD">
        <w:rPr>
          <w:lang w:val="en-CA"/>
        </w:rPr>
        <w:t xml:space="preserve">68; </w:t>
      </w:r>
      <w:r w:rsidRPr="00350CDD">
        <w:rPr>
          <w:i/>
          <w:iCs/>
          <w:lang w:val="en-CA"/>
        </w:rPr>
        <w:t>R. v. D.B.</w:t>
      </w:r>
      <w:r w:rsidRPr="00350CDD">
        <w:rPr>
          <w:lang w:val="en-CA"/>
        </w:rPr>
        <w:t>, 2008 SCC 25, [2008] 2 S.C.R.</w:t>
      </w:r>
      <w:r w:rsidRPr="00C56B18">
        <w:rPr>
          <w:lang w:val="en-CA"/>
        </w:rPr>
        <w:t xml:space="preserve"> </w:t>
      </w:r>
      <w:r w:rsidRPr="00350CDD">
        <w:rPr>
          <w:lang w:val="en-CA"/>
        </w:rPr>
        <w:t>3 at para.</w:t>
      </w:r>
      <w:r w:rsidRPr="00C56B18">
        <w:rPr>
          <w:lang w:val="en-CA"/>
        </w:rPr>
        <w:t xml:space="preserve"> </w:t>
      </w:r>
      <w:r w:rsidRPr="00350CDD">
        <w:rPr>
          <w:lang w:val="en-CA"/>
        </w:rPr>
        <w:t xml:space="preserve">46; </w:t>
      </w:r>
      <w:r w:rsidRPr="00350CDD">
        <w:rPr>
          <w:i/>
          <w:iCs/>
          <w:lang w:val="en-CA"/>
        </w:rPr>
        <w:t>Canada (Prime Minister) v. Khadr</w:t>
      </w:r>
      <w:r w:rsidRPr="00350CDD">
        <w:rPr>
          <w:lang w:val="en-CA"/>
        </w:rPr>
        <w:t>, 2010 SCC 3, [2010] 1 S.C.R.</w:t>
      </w:r>
      <w:r w:rsidRPr="00C56B18">
        <w:rPr>
          <w:lang w:val="en-CA"/>
        </w:rPr>
        <w:t xml:space="preserve"> </w:t>
      </w:r>
      <w:r w:rsidRPr="00350CDD">
        <w:rPr>
          <w:lang w:val="en-CA"/>
        </w:rPr>
        <w:t>44 at para.</w:t>
      </w:r>
      <w:r w:rsidRPr="00C56B18">
        <w:rPr>
          <w:lang w:val="en-CA"/>
        </w:rPr>
        <w:t xml:space="preserve"> 23.</w:t>
      </w:r>
    </w:p>
  </w:footnote>
  <w:footnote w:id="109">
    <w:p w14:paraId="490E05AE" w14:textId="1B9618EC" w:rsidR="00EE4522" w:rsidRPr="00C56B18" w:rsidRDefault="00EE4522" w:rsidP="00EE4522">
      <w:pPr>
        <w:pStyle w:val="Notedebasdepage"/>
        <w:rPr>
          <w:lang w:val="en-CA"/>
        </w:rPr>
      </w:pPr>
      <w:r w:rsidRPr="00C56B18">
        <w:rPr>
          <w:rStyle w:val="Appelnotedebasdep"/>
          <w:lang w:val="en-CA"/>
        </w:rPr>
        <w:footnoteRef/>
      </w:r>
      <w:r w:rsidRPr="00C56B18">
        <w:rPr>
          <w:lang w:val="en-CA"/>
        </w:rPr>
        <w:t xml:space="preserve">  </w:t>
      </w:r>
      <w:bookmarkStart w:id="29" w:name="_Hlk152166524"/>
      <w:r w:rsidRPr="00350CDD">
        <w:rPr>
          <w:i/>
          <w:iCs/>
          <w:lang w:val="en-CA"/>
        </w:rPr>
        <w:t>Canada (Attorney General) v. Bedford</w:t>
      </w:r>
      <w:r w:rsidRPr="00350CDD">
        <w:rPr>
          <w:lang w:val="en-CA"/>
        </w:rPr>
        <w:t>, 2013 SCC 72, [2013] 3 S.C.R.</w:t>
      </w:r>
      <w:r w:rsidRPr="00C56B18">
        <w:rPr>
          <w:lang w:val="en-CA"/>
        </w:rPr>
        <w:t xml:space="preserve"> </w:t>
      </w:r>
      <w:r w:rsidRPr="00350CDD">
        <w:rPr>
          <w:lang w:val="en-CA"/>
        </w:rPr>
        <w:t>1101 at para.</w:t>
      </w:r>
      <w:r w:rsidRPr="00C56B18">
        <w:rPr>
          <w:lang w:val="en-CA"/>
        </w:rPr>
        <w:t xml:space="preserve"> </w:t>
      </w:r>
      <w:r w:rsidRPr="00350CDD">
        <w:rPr>
          <w:lang w:val="en-CA"/>
        </w:rPr>
        <w:t xml:space="preserve">105; </w:t>
      </w:r>
      <w:bookmarkEnd w:id="29"/>
      <w:r w:rsidRPr="00350CDD">
        <w:rPr>
          <w:i/>
          <w:iCs/>
          <w:lang w:val="en-CA"/>
        </w:rPr>
        <w:t>Carter v. Canada (Attorney General)</w:t>
      </w:r>
      <w:r w:rsidRPr="00350CDD">
        <w:rPr>
          <w:lang w:val="en-CA"/>
        </w:rPr>
        <w:t>, 2015 SCC 5, [2015] 1 S.C.R.</w:t>
      </w:r>
      <w:r w:rsidRPr="00C56B18">
        <w:rPr>
          <w:lang w:val="en-CA"/>
        </w:rPr>
        <w:t xml:space="preserve"> </w:t>
      </w:r>
      <w:r w:rsidRPr="00350CDD">
        <w:rPr>
          <w:lang w:val="en-CA"/>
        </w:rPr>
        <w:t>331 at para.</w:t>
      </w:r>
      <w:r w:rsidRPr="00C56B18">
        <w:rPr>
          <w:lang w:val="en-CA"/>
        </w:rPr>
        <w:t xml:space="preserve"> </w:t>
      </w:r>
      <w:r w:rsidRPr="00350CDD">
        <w:rPr>
          <w:lang w:val="en-CA"/>
        </w:rPr>
        <w:t xml:space="preserve">72; </w:t>
      </w:r>
      <w:bookmarkStart w:id="30" w:name="_Hlk152166554"/>
      <w:r w:rsidRPr="00350CDD">
        <w:rPr>
          <w:i/>
          <w:iCs/>
          <w:lang w:val="en-CA"/>
        </w:rPr>
        <w:t xml:space="preserve">R. v. </w:t>
      </w:r>
      <w:proofErr w:type="spellStart"/>
      <w:r w:rsidRPr="00350CDD">
        <w:rPr>
          <w:i/>
          <w:iCs/>
          <w:lang w:val="en-CA"/>
        </w:rPr>
        <w:t>Safarzadeh-Markhali</w:t>
      </w:r>
      <w:proofErr w:type="spellEnd"/>
      <w:r w:rsidRPr="00350CDD">
        <w:rPr>
          <w:lang w:val="en-CA"/>
        </w:rPr>
        <w:t>, 2016 SCC 14, [2016] 1 S.C.R.</w:t>
      </w:r>
      <w:r w:rsidRPr="00C56B18">
        <w:rPr>
          <w:lang w:val="en-CA"/>
        </w:rPr>
        <w:t xml:space="preserve"> </w:t>
      </w:r>
      <w:r w:rsidRPr="00350CDD">
        <w:rPr>
          <w:lang w:val="en-CA"/>
        </w:rPr>
        <w:t>180 at para.</w:t>
      </w:r>
      <w:r w:rsidRPr="00C56B18">
        <w:rPr>
          <w:lang w:val="en-CA"/>
        </w:rPr>
        <w:t xml:space="preserve"> 22.</w:t>
      </w:r>
      <w:bookmarkEnd w:id="30"/>
    </w:p>
  </w:footnote>
  <w:footnote w:id="110">
    <w:p w14:paraId="73356847" w14:textId="6846C96F" w:rsidR="00EE4522" w:rsidRPr="00C56B18" w:rsidRDefault="00EE4522" w:rsidP="00EE4522">
      <w:pPr>
        <w:pStyle w:val="Notedebasdepage"/>
        <w:rPr>
          <w:lang w:val="en-CA"/>
        </w:rPr>
      </w:pPr>
      <w:r w:rsidRPr="00C56B18">
        <w:rPr>
          <w:rStyle w:val="Appelnotedebasdep"/>
          <w:lang w:val="en-CA"/>
        </w:rPr>
        <w:footnoteRef/>
      </w:r>
      <w:r w:rsidRPr="00C56B18">
        <w:rPr>
          <w:lang w:val="en-CA"/>
        </w:rPr>
        <w:t xml:space="preserve">  </w:t>
      </w:r>
      <w:r w:rsidRPr="00350CDD">
        <w:rPr>
          <w:i/>
          <w:iCs/>
          <w:lang w:val="en-CA"/>
        </w:rPr>
        <w:t>R. v. Ndhlovu</w:t>
      </w:r>
      <w:r w:rsidRPr="00350CDD">
        <w:rPr>
          <w:lang w:val="en-CA"/>
        </w:rPr>
        <w:t>, 2022 SCC 38 at paras.</w:t>
      </w:r>
      <w:r w:rsidRPr="00C56B18">
        <w:rPr>
          <w:lang w:val="en-CA"/>
        </w:rPr>
        <w:t xml:space="preserve"> </w:t>
      </w:r>
      <w:r w:rsidRPr="00350CDD">
        <w:rPr>
          <w:lang w:val="en-CA"/>
        </w:rPr>
        <w:t>103–108;</w:t>
      </w:r>
      <w:r w:rsidRPr="00350CDD">
        <w:rPr>
          <w:i/>
          <w:iCs/>
          <w:lang w:val="en-CA"/>
        </w:rPr>
        <w:t xml:space="preserve"> Canada (Attorney General) v. Bedford</w:t>
      </w:r>
      <w:r w:rsidRPr="00350CDD">
        <w:rPr>
          <w:lang w:val="en-CA"/>
        </w:rPr>
        <w:t>, 2013 SCC 72, [2013] 3 S.C.R.</w:t>
      </w:r>
      <w:r w:rsidRPr="00C56B18">
        <w:rPr>
          <w:lang w:val="en-CA"/>
        </w:rPr>
        <w:t xml:space="preserve"> </w:t>
      </w:r>
      <w:r w:rsidRPr="00350CDD">
        <w:rPr>
          <w:lang w:val="en-CA"/>
        </w:rPr>
        <w:t>1101 at para.</w:t>
      </w:r>
      <w:r w:rsidRPr="00C56B18">
        <w:rPr>
          <w:lang w:val="en-CA"/>
        </w:rPr>
        <w:t xml:space="preserve"> </w:t>
      </w:r>
      <w:r w:rsidRPr="00350CDD">
        <w:rPr>
          <w:lang w:val="en-CA"/>
        </w:rPr>
        <w:t>113;</w:t>
      </w:r>
      <w:r w:rsidRPr="00350CDD">
        <w:rPr>
          <w:i/>
          <w:iCs/>
          <w:lang w:val="en-CA"/>
        </w:rPr>
        <w:t xml:space="preserve"> R. v. </w:t>
      </w:r>
      <w:proofErr w:type="spellStart"/>
      <w:r w:rsidRPr="00350CDD">
        <w:rPr>
          <w:i/>
          <w:iCs/>
          <w:lang w:val="en-CA"/>
        </w:rPr>
        <w:t>Safarzadeh-Markhali</w:t>
      </w:r>
      <w:proofErr w:type="spellEnd"/>
      <w:r w:rsidRPr="00350CDD">
        <w:rPr>
          <w:lang w:val="en-CA"/>
        </w:rPr>
        <w:t>, 2016 SCC 14, [2016] 1 S.C.R.</w:t>
      </w:r>
      <w:r w:rsidRPr="00C56B18">
        <w:rPr>
          <w:lang w:val="en-CA"/>
        </w:rPr>
        <w:t xml:space="preserve"> </w:t>
      </w:r>
      <w:r w:rsidRPr="00350CDD">
        <w:rPr>
          <w:lang w:val="en-CA"/>
        </w:rPr>
        <w:t>180 at para.</w:t>
      </w:r>
      <w:r w:rsidRPr="00C56B18">
        <w:rPr>
          <w:lang w:val="en-CA"/>
        </w:rPr>
        <w:t xml:space="preserve"> 53.</w:t>
      </w:r>
    </w:p>
  </w:footnote>
  <w:footnote w:id="111">
    <w:p w14:paraId="2486B232" w14:textId="77777777" w:rsidR="006A7004" w:rsidRPr="00C56B18" w:rsidRDefault="006A7004" w:rsidP="006A700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rFonts w:cs="Arial"/>
          <w:i/>
          <w:iCs/>
          <w:color w:val="212529"/>
          <w:shd w:val="clear" w:color="auto" w:fill="FFFFFF"/>
          <w:lang w:val="en-CA"/>
        </w:rPr>
        <w:t>Application under s. 83.28 of the Criminal Code (Re),</w:t>
      </w:r>
      <w:r w:rsidRPr="00C56B18">
        <w:rPr>
          <w:rFonts w:ascii="Open Sans" w:hAnsi="Open Sans" w:cs="Open Sans"/>
          <w:color w:val="212529"/>
          <w:sz w:val="21"/>
          <w:szCs w:val="21"/>
          <w:shd w:val="clear" w:color="auto" w:fill="FFFFFF"/>
          <w:lang w:val="en-CA"/>
        </w:rPr>
        <w:t> </w:t>
      </w:r>
      <w:r w:rsidRPr="00350CDD">
        <w:rPr>
          <w:lang w:val="en-CA"/>
        </w:rPr>
        <w:t>2004 SCC 42, [2004] 2 S.C.R.</w:t>
      </w:r>
      <w:r w:rsidRPr="00C56B18">
        <w:rPr>
          <w:lang w:val="en-CA"/>
        </w:rPr>
        <w:t xml:space="preserve"> </w:t>
      </w:r>
      <w:r w:rsidRPr="00350CDD">
        <w:rPr>
          <w:lang w:val="en-CA"/>
        </w:rPr>
        <w:t>248 at para.</w:t>
      </w:r>
      <w:r w:rsidRPr="00C56B18">
        <w:rPr>
          <w:lang w:val="en-CA"/>
        </w:rPr>
        <w:t xml:space="preserve"> 69.</w:t>
      </w:r>
    </w:p>
  </w:footnote>
  <w:footnote w:id="112">
    <w:p w14:paraId="41B013BE" w14:textId="77777777" w:rsidR="006A7004" w:rsidRPr="00C56B18" w:rsidRDefault="006A7004" w:rsidP="006A7004">
      <w:pPr>
        <w:pStyle w:val="Notedebasdepage"/>
        <w:rPr>
          <w:i/>
          <w:iCs/>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 xml:space="preserve">R. v. J.J., </w:t>
      </w:r>
      <w:r w:rsidRPr="00350CDD">
        <w:rPr>
          <w:lang w:val="en-CA"/>
        </w:rPr>
        <w:t>2022 SCC 28 at paras.</w:t>
      </w:r>
      <w:r w:rsidRPr="00C56B18">
        <w:rPr>
          <w:lang w:val="en-CA"/>
        </w:rPr>
        <w:t xml:space="preserve"> 144–145.</w:t>
      </w:r>
    </w:p>
  </w:footnote>
  <w:footnote w:id="113">
    <w:p w14:paraId="3A586649" w14:textId="63599F71" w:rsidR="006A7004" w:rsidRPr="00C56B18" w:rsidRDefault="006A7004" w:rsidP="006A700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145.</w:t>
      </w:r>
    </w:p>
  </w:footnote>
  <w:footnote w:id="114">
    <w:p w14:paraId="1FF151B7" w14:textId="323444AB" w:rsidR="006A7004" w:rsidRPr="00C56B18" w:rsidRDefault="006A7004" w:rsidP="006A700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w:t>
      </w:r>
      <w:r w:rsidRPr="00350CDD">
        <w:rPr>
          <w:lang w:val="en-CA"/>
        </w:rPr>
        <w:t xml:space="preserve">145, referring to </w:t>
      </w:r>
      <w:r w:rsidRPr="00350CDD">
        <w:rPr>
          <w:i/>
          <w:iCs/>
          <w:color w:val="000000"/>
          <w:lang w:val="en-CA"/>
        </w:rPr>
        <w:t>R. v. P.</w:t>
      </w:r>
      <w:r w:rsidRPr="00C56B18">
        <w:rPr>
          <w:i/>
          <w:iCs/>
          <w:color w:val="000000"/>
          <w:lang w:val="en-CA"/>
        </w:rPr>
        <w:t xml:space="preserve"> </w:t>
      </w:r>
      <w:r w:rsidRPr="00350CDD">
        <w:rPr>
          <w:i/>
          <w:iCs/>
          <w:color w:val="000000"/>
          <w:lang w:val="en-CA"/>
        </w:rPr>
        <w:t>(M.B.)</w:t>
      </w:r>
      <w:r w:rsidRPr="00350CDD">
        <w:rPr>
          <w:color w:val="000000"/>
          <w:lang w:val="en-CA"/>
        </w:rPr>
        <w:t>, [1994] 1 S.C.R.</w:t>
      </w:r>
      <w:r w:rsidRPr="00C56B18">
        <w:rPr>
          <w:color w:val="000000"/>
          <w:lang w:val="en-CA"/>
        </w:rPr>
        <w:t xml:space="preserve"> </w:t>
      </w:r>
      <w:r w:rsidRPr="00350CDD">
        <w:rPr>
          <w:color w:val="000000"/>
          <w:lang w:val="en-CA"/>
        </w:rPr>
        <w:t>555</w:t>
      </w:r>
      <w:r w:rsidRPr="00350CDD">
        <w:rPr>
          <w:lang w:val="en-CA"/>
        </w:rPr>
        <w:t xml:space="preserve"> at</w:t>
      </w:r>
      <w:r w:rsidRPr="00350CDD">
        <w:rPr>
          <w:color w:val="000000"/>
          <w:lang w:val="en-CA"/>
        </w:rPr>
        <w:t> 578; </w:t>
      </w:r>
      <w:r w:rsidRPr="00350CDD">
        <w:rPr>
          <w:i/>
          <w:iCs/>
          <w:color w:val="000000"/>
          <w:lang w:val="en-CA"/>
        </w:rPr>
        <w:t>R. v. Singh</w:t>
      </w:r>
      <w:r w:rsidRPr="00350CDD">
        <w:rPr>
          <w:color w:val="000000"/>
          <w:lang w:val="en-CA"/>
        </w:rPr>
        <w:t>, 2007 SCC 48, [2007] 3 S.C.R.</w:t>
      </w:r>
      <w:r w:rsidRPr="00C56B18">
        <w:rPr>
          <w:color w:val="000000"/>
          <w:lang w:val="en-CA"/>
        </w:rPr>
        <w:t xml:space="preserve"> </w:t>
      </w:r>
      <w:r w:rsidRPr="00350CDD">
        <w:rPr>
          <w:color w:val="000000"/>
          <w:lang w:val="en-CA"/>
        </w:rPr>
        <w:t>405 at para.</w:t>
      </w:r>
      <w:r w:rsidRPr="00C56B18">
        <w:rPr>
          <w:color w:val="000000"/>
          <w:lang w:val="en-CA"/>
        </w:rPr>
        <w:t> 21.</w:t>
      </w:r>
    </w:p>
  </w:footnote>
  <w:footnote w:id="115">
    <w:p w14:paraId="391A2177" w14:textId="6828FB69" w:rsidR="006A7004" w:rsidRPr="00C56B18" w:rsidRDefault="006A7004" w:rsidP="006A700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146.</w:t>
      </w:r>
    </w:p>
  </w:footnote>
  <w:footnote w:id="116">
    <w:p w14:paraId="31A38273" w14:textId="77777777" w:rsidR="006A7004" w:rsidRPr="00C56B18" w:rsidRDefault="006A7004" w:rsidP="006A7004">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color w:val="000000"/>
          <w:lang w:val="en-CA"/>
        </w:rPr>
        <w:t>R. v. White</w:t>
      </w:r>
      <w:r w:rsidRPr="00350CDD">
        <w:rPr>
          <w:color w:val="000000"/>
          <w:lang w:val="en-CA"/>
        </w:rPr>
        <w:t>, [1999] 2 S.C.R.</w:t>
      </w:r>
      <w:r w:rsidRPr="00C56B18">
        <w:rPr>
          <w:color w:val="000000"/>
          <w:lang w:val="en-CA"/>
        </w:rPr>
        <w:t xml:space="preserve"> </w:t>
      </w:r>
      <w:r w:rsidRPr="00350CDD">
        <w:rPr>
          <w:color w:val="000000"/>
          <w:lang w:val="en-CA"/>
        </w:rPr>
        <w:t xml:space="preserve">417 at </w:t>
      </w:r>
      <w:r w:rsidRPr="00350CDD">
        <w:rPr>
          <w:lang w:val="en-CA"/>
        </w:rPr>
        <w:t>para.</w:t>
      </w:r>
      <w:r w:rsidRPr="00C56B18">
        <w:rPr>
          <w:lang w:val="en-CA"/>
        </w:rPr>
        <w:t xml:space="preserve"> </w:t>
      </w:r>
      <w:r w:rsidRPr="00350CDD">
        <w:rPr>
          <w:lang w:val="en-CA"/>
        </w:rPr>
        <w:t xml:space="preserve">45; </w:t>
      </w:r>
      <w:r w:rsidRPr="00C56B18">
        <w:rPr>
          <w:rFonts w:cs="Arial"/>
          <w:i/>
          <w:iCs/>
          <w:color w:val="212529"/>
          <w:shd w:val="clear" w:color="auto" w:fill="FFFFFF"/>
          <w:lang w:val="en-CA"/>
        </w:rPr>
        <w:t>Thomson Newspapers Ltd. v. Canada (Director of Investigation and Research, Restrictive Trade Practices Commission),</w:t>
      </w:r>
      <w:r w:rsidRPr="00350CDD">
        <w:rPr>
          <w:color w:val="000000"/>
          <w:lang w:val="en-CA"/>
        </w:rPr>
        <w:t xml:space="preserve"> [1990] 1 S.C.R.</w:t>
      </w:r>
      <w:r w:rsidRPr="00C56B18">
        <w:rPr>
          <w:color w:val="000000"/>
          <w:lang w:val="en-CA"/>
        </w:rPr>
        <w:t xml:space="preserve"> </w:t>
      </w:r>
      <w:r w:rsidRPr="00350CDD">
        <w:rPr>
          <w:color w:val="000000"/>
          <w:lang w:val="en-CA"/>
        </w:rPr>
        <w:t>425 at</w:t>
      </w:r>
      <w:r w:rsidRPr="00350CDD">
        <w:rPr>
          <w:lang w:val="en-CA"/>
        </w:rPr>
        <w:t xml:space="preserve"> 538.</w:t>
      </w:r>
    </w:p>
  </w:footnote>
  <w:footnote w:id="117">
    <w:p w14:paraId="5555B211" w14:textId="77777777"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Fitzpatrick</w:t>
      </w:r>
      <w:r w:rsidRPr="00350CDD">
        <w:rPr>
          <w:lang w:val="en-CA"/>
        </w:rPr>
        <w:t>, [1995] 4 S.C.R.</w:t>
      </w:r>
      <w:r w:rsidRPr="00C56B18">
        <w:rPr>
          <w:lang w:val="en-CA"/>
        </w:rPr>
        <w:t xml:space="preserve"> </w:t>
      </w:r>
      <w:r w:rsidRPr="00350CDD">
        <w:rPr>
          <w:lang w:val="en-CA"/>
        </w:rPr>
        <w:t xml:space="preserve">154; </w:t>
      </w:r>
      <w:r w:rsidRPr="00350CDD">
        <w:rPr>
          <w:i/>
          <w:iCs/>
          <w:lang w:val="en-CA"/>
        </w:rPr>
        <w:t>R. v. White</w:t>
      </w:r>
      <w:r w:rsidRPr="00350CDD">
        <w:rPr>
          <w:lang w:val="en-CA"/>
        </w:rPr>
        <w:t>,</w:t>
      </w:r>
      <w:r w:rsidRPr="00350CDD">
        <w:rPr>
          <w:color w:val="000000"/>
          <w:lang w:val="en-CA"/>
        </w:rPr>
        <w:t xml:space="preserve"> [1999] 2 S.C.R.</w:t>
      </w:r>
      <w:r w:rsidRPr="00C56B18">
        <w:rPr>
          <w:color w:val="000000"/>
          <w:lang w:val="en-CA"/>
        </w:rPr>
        <w:t xml:space="preserve"> 417.</w:t>
      </w:r>
    </w:p>
  </w:footnote>
  <w:footnote w:id="118">
    <w:p w14:paraId="0F7CC08F" w14:textId="77777777"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J.J.</w:t>
      </w:r>
      <w:r w:rsidRPr="00350CDD">
        <w:rPr>
          <w:lang w:val="en-CA"/>
        </w:rPr>
        <w:t>, 2022 SCC 28 at paras.</w:t>
      </w:r>
      <w:r w:rsidRPr="00C56B18">
        <w:rPr>
          <w:lang w:val="en-CA"/>
        </w:rPr>
        <w:t xml:space="preserve"> </w:t>
      </w:r>
      <w:r w:rsidRPr="00350CDD">
        <w:rPr>
          <w:lang w:val="en-CA"/>
        </w:rPr>
        <w:t xml:space="preserve">144–145; </w:t>
      </w:r>
      <w:r w:rsidRPr="00350CDD">
        <w:rPr>
          <w:i/>
          <w:iCs/>
          <w:lang w:val="en-CA"/>
        </w:rPr>
        <w:t>R. v. Jones</w:t>
      </w:r>
      <w:r w:rsidRPr="00350CDD">
        <w:rPr>
          <w:lang w:val="en-CA"/>
        </w:rPr>
        <w:t>, [1994] 2 S.C.R.</w:t>
      </w:r>
      <w:r w:rsidRPr="00C56B18">
        <w:rPr>
          <w:lang w:val="en-CA"/>
        </w:rPr>
        <w:t xml:space="preserve"> </w:t>
      </w:r>
      <w:r w:rsidRPr="00350CDD">
        <w:rPr>
          <w:lang w:val="en-CA"/>
        </w:rPr>
        <w:t xml:space="preserve">229 at 248–249 (dissenting reasons of Lamer C.J.); </w:t>
      </w:r>
      <w:r w:rsidRPr="00350CDD">
        <w:rPr>
          <w:i/>
          <w:iCs/>
          <w:lang w:val="en-CA"/>
        </w:rPr>
        <w:t>R. v. Hébert</w:t>
      </w:r>
      <w:r w:rsidRPr="00350CDD">
        <w:rPr>
          <w:lang w:val="en-CA"/>
        </w:rPr>
        <w:t>, [1990] 2 S.C.R.</w:t>
      </w:r>
      <w:r w:rsidRPr="00C56B18">
        <w:rPr>
          <w:lang w:val="en-CA"/>
        </w:rPr>
        <w:t xml:space="preserve"> </w:t>
      </w:r>
      <w:r w:rsidRPr="00350CDD">
        <w:rPr>
          <w:lang w:val="en-CA"/>
        </w:rPr>
        <w:t xml:space="preserve">151 at 176–178; </w:t>
      </w:r>
      <w:r w:rsidRPr="00350CDD">
        <w:rPr>
          <w:i/>
          <w:iCs/>
          <w:lang w:val="en-CA"/>
        </w:rPr>
        <w:t>R. v. Liew</w:t>
      </w:r>
      <w:r w:rsidRPr="00350CDD">
        <w:rPr>
          <w:lang w:val="en-CA"/>
        </w:rPr>
        <w:t>, [1999] 3 S.C.R.</w:t>
      </w:r>
      <w:r w:rsidRPr="00C56B18">
        <w:rPr>
          <w:lang w:val="en-CA"/>
        </w:rPr>
        <w:t xml:space="preserve"> </w:t>
      </w:r>
      <w:r w:rsidRPr="00350CDD">
        <w:rPr>
          <w:lang w:val="en-CA"/>
        </w:rPr>
        <w:t>227 at paras.</w:t>
      </w:r>
      <w:r w:rsidRPr="00C56B18">
        <w:rPr>
          <w:lang w:val="en-CA"/>
        </w:rPr>
        <w:t xml:space="preserve"> </w:t>
      </w:r>
      <w:r w:rsidRPr="00350CDD">
        <w:rPr>
          <w:lang w:val="en-CA"/>
        </w:rPr>
        <w:t xml:space="preserve">37–40; </w:t>
      </w:r>
      <w:r w:rsidRPr="00350CDD">
        <w:rPr>
          <w:i/>
          <w:iCs/>
          <w:lang w:val="en-CA"/>
        </w:rPr>
        <w:t>R. v. Singh</w:t>
      </w:r>
      <w:r w:rsidRPr="00350CDD">
        <w:rPr>
          <w:lang w:val="en-CA"/>
        </w:rPr>
        <w:t>, 2007 SCC 48 at paras.</w:t>
      </w:r>
      <w:r w:rsidRPr="00C56B18">
        <w:rPr>
          <w:lang w:val="en-CA"/>
        </w:rPr>
        <w:t xml:space="preserve"> 43–46. </w:t>
      </w:r>
    </w:p>
  </w:footnote>
  <w:footnote w:id="119">
    <w:p w14:paraId="601B298A" w14:textId="77777777"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Jarvis</w:t>
      </w:r>
      <w:r w:rsidRPr="00350CDD">
        <w:rPr>
          <w:lang w:val="en-CA"/>
        </w:rPr>
        <w:t>, [2002] 3 S.C.R.</w:t>
      </w:r>
      <w:r w:rsidRPr="00C56B18">
        <w:rPr>
          <w:lang w:val="en-CA"/>
        </w:rPr>
        <w:t xml:space="preserve"> 757.</w:t>
      </w:r>
    </w:p>
  </w:footnote>
  <w:footnote w:id="120">
    <w:p w14:paraId="3CAF486E" w14:textId="657CF15A"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54.</w:t>
      </w:r>
    </w:p>
  </w:footnote>
  <w:footnote w:id="121">
    <w:p w14:paraId="03E973D0" w14:textId="048D226D"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89–94.</w:t>
      </w:r>
    </w:p>
  </w:footnote>
  <w:footnote w:id="122">
    <w:p w14:paraId="70433D26" w14:textId="77777777"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Wood v. Schaeffer</w:t>
      </w:r>
      <w:r w:rsidRPr="00350CDD">
        <w:rPr>
          <w:lang w:val="en-CA"/>
        </w:rPr>
        <w:t>, 2013 SCC 71, [2013] 3 S.C.R.</w:t>
      </w:r>
      <w:r w:rsidRPr="00C56B18">
        <w:rPr>
          <w:lang w:val="en-CA"/>
        </w:rPr>
        <w:t xml:space="preserve"> </w:t>
      </w:r>
      <w:r w:rsidRPr="00350CDD">
        <w:rPr>
          <w:lang w:val="en-CA"/>
        </w:rPr>
        <w:t>1053</w:t>
      </w:r>
      <w:r w:rsidRPr="00350CDD">
        <w:rPr>
          <w:i/>
          <w:iCs/>
          <w:lang w:val="en-CA"/>
        </w:rPr>
        <w:t xml:space="preserve"> </w:t>
      </w:r>
      <w:r w:rsidRPr="00350CDD">
        <w:rPr>
          <w:lang w:val="en-CA"/>
        </w:rPr>
        <w:t>at</w:t>
      </w:r>
      <w:r w:rsidRPr="00350CDD">
        <w:rPr>
          <w:i/>
          <w:iCs/>
          <w:lang w:val="en-CA"/>
        </w:rPr>
        <w:t xml:space="preserve"> </w:t>
      </w:r>
      <w:r w:rsidRPr="00350CDD">
        <w:rPr>
          <w:lang w:val="en-CA"/>
        </w:rPr>
        <w:t>para.</w:t>
      </w:r>
      <w:r w:rsidRPr="00C56B18">
        <w:rPr>
          <w:lang w:val="en-CA"/>
        </w:rPr>
        <w:t xml:space="preserve"> 67.</w:t>
      </w:r>
    </w:p>
  </w:footnote>
  <w:footnote w:id="123">
    <w:p w14:paraId="3B340C59" w14:textId="77777777"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p>
  </w:footnote>
  <w:footnote w:id="124">
    <w:p w14:paraId="4E72F956" w14:textId="7EAA8DE6" w:rsidR="00CC634D" w:rsidRPr="00C56B18" w:rsidRDefault="00CC634D" w:rsidP="00CC634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Jones</w:t>
      </w:r>
      <w:r w:rsidRPr="00350CDD">
        <w:rPr>
          <w:lang w:val="en-CA"/>
        </w:rPr>
        <w:t>, [1994] 2 S.C.R.</w:t>
      </w:r>
      <w:r w:rsidRPr="00C56B18">
        <w:rPr>
          <w:lang w:val="en-CA"/>
        </w:rPr>
        <w:t xml:space="preserve"> </w:t>
      </w:r>
      <w:r w:rsidRPr="00350CDD">
        <w:rPr>
          <w:lang w:val="en-CA"/>
        </w:rPr>
        <w:t>229 at 249.</w:t>
      </w:r>
      <w:r w:rsidRPr="00C56B18">
        <w:rPr>
          <w:lang w:val="en-CA"/>
        </w:rPr>
        <w:t xml:space="preserve"> </w:t>
      </w:r>
      <w:r w:rsidRPr="00350CDD">
        <w:rPr>
          <w:lang w:val="en-CA"/>
        </w:rPr>
        <w:t xml:space="preserve">See also </w:t>
      </w:r>
      <w:r w:rsidRPr="00350CDD">
        <w:rPr>
          <w:i/>
          <w:iCs/>
          <w:lang w:val="en-CA"/>
        </w:rPr>
        <w:t>R. v. Hebert</w:t>
      </w:r>
      <w:r w:rsidRPr="00350CDD">
        <w:rPr>
          <w:lang w:val="en-CA"/>
        </w:rPr>
        <w:t>, [1990] 2 S.C.R.</w:t>
      </w:r>
      <w:r w:rsidRPr="00C56B18">
        <w:rPr>
          <w:lang w:val="en-CA"/>
        </w:rPr>
        <w:t xml:space="preserve"> </w:t>
      </w:r>
      <w:r w:rsidRPr="00350CDD">
        <w:rPr>
          <w:lang w:val="en-CA"/>
        </w:rPr>
        <w:t>151 at 176–178.</w:t>
      </w:r>
    </w:p>
  </w:footnote>
  <w:footnote w:id="125">
    <w:p w14:paraId="6A0E5CF5" w14:textId="77777777" w:rsidR="00CC634D" w:rsidRPr="00C56B18" w:rsidRDefault="00CC634D" w:rsidP="00CC634D">
      <w:pPr>
        <w:pStyle w:val="Notedebasdepage"/>
        <w:rPr>
          <w:lang w:val="en-CA"/>
        </w:rPr>
      </w:pPr>
      <w:r w:rsidRPr="00C56B18">
        <w:rPr>
          <w:rStyle w:val="Appelnotedebasdep"/>
          <w:lang w:val="en-CA"/>
        </w:rPr>
        <w:footnoteRef/>
      </w:r>
      <w:r w:rsidRPr="00C22ECF">
        <w:t xml:space="preserve"> </w:t>
      </w:r>
      <w:r w:rsidRPr="00C22ECF">
        <w:tab/>
      </w:r>
      <w:bookmarkStart w:id="32" w:name="_Hlk154397782"/>
      <w:r w:rsidRPr="00350CDD">
        <w:rPr>
          <w:i/>
          <w:iCs/>
        </w:rPr>
        <w:t>R. v. Tessier</w:t>
      </w:r>
      <w:r w:rsidRPr="00350CDD">
        <w:t>, 2022 SCC 35 at paras.</w:t>
      </w:r>
      <w:r w:rsidRPr="00C22ECF">
        <w:t xml:space="preserve"> </w:t>
      </w:r>
      <w:bookmarkEnd w:id="32"/>
      <w:r w:rsidRPr="00C56B18">
        <w:rPr>
          <w:lang w:val="en-CA"/>
        </w:rPr>
        <w:t>39 and 55.</w:t>
      </w:r>
    </w:p>
  </w:footnote>
  <w:footnote w:id="126">
    <w:p w14:paraId="00B40937" w14:textId="1906CA3D" w:rsidR="00B40933" w:rsidRPr="00C56B18" w:rsidRDefault="00B40933" w:rsidP="00B4093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w:t>
      </w:r>
      <w:r w:rsidRPr="00350CDD">
        <w:rPr>
          <w:lang w:val="en-CA"/>
        </w:rPr>
        <w:t>59 and 65.</w:t>
      </w:r>
    </w:p>
  </w:footnote>
  <w:footnote w:id="127">
    <w:p w14:paraId="0C8ADE70" w14:textId="0E7DBF03" w:rsidR="00B40933" w:rsidRPr="00C56B18" w:rsidRDefault="00B40933" w:rsidP="00B4093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79.</w:t>
      </w:r>
    </w:p>
  </w:footnote>
  <w:footnote w:id="128">
    <w:p w14:paraId="38CCDBFB" w14:textId="77777777" w:rsidR="00B40933" w:rsidRPr="00C56B18" w:rsidRDefault="00B40933" w:rsidP="00B4093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Grant</w:t>
      </w:r>
      <w:r w:rsidRPr="00350CDD">
        <w:rPr>
          <w:lang w:val="en-CA"/>
        </w:rPr>
        <w:t>, 2009 SCC 32, [2009] 2 S.C.R.</w:t>
      </w:r>
      <w:r w:rsidRPr="00C56B18">
        <w:rPr>
          <w:lang w:val="en-CA"/>
        </w:rPr>
        <w:t xml:space="preserve"> </w:t>
      </w:r>
      <w:r w:rsidRPr="00350CDD">
        <w:rPr>
          <w:lang w:val="en-CA"/>
        </w:rPr>
        <w:t>353 at paras.</w:t>
      </w:r>
      <w:r w:rsidRPr="00C56B18">
        <w:rPr>
          <w:lang w:val="en-CA"/>
        </w:rPr>
        <w:t xml:space="preserve"> </w:t>
      </w:r>
      <w:r w:rsidRPr="00350CDD">
        <w:rPr>
          <w:lang w:val="en-CA"/>
        </w:rPr>
        <w:t xml:space="preserve">30 and 34; </w:t>
      </w:r>
      <w:r w:rsidRPr="00350CDD">
        <w:rPr>
          <w:i/>
          <w:iCs/>
          <w:lang w:val="en-CA"/>
        </w:rPr>
        <w:t>R. v. Le</w:t>
      </w:r>
      <w:r w:rsidRPr="00350CDD">
        <w:rPr>
          <w:lang w:val="en-CA"/>
        </w:rPr>
        <w:t>, 2019 SCC 34, [2019] 2 S.C.R.</w:t>
      </w:r>
      <w:r w:rsidRPr="00C56B18">
        <w:rPr>
          <w:lang w:val="en-CA"/>
        </w:rPr>
        <w:t xml:space="preserve"> 692</w:t>
      </w:r>
      <w:r w:rsidRPr="00C56B18">
        <w:rPr>
          <w:i/>
          <w:iCs/>
          <w:lang w:val="en-CA"/>
        </w:rPr>
        <w:t xml:space="preserve"> </w:t>
      </w:r>
      <w:r w:rsidRPr="00C56B18">
        <w:rPr>
          <w:lang w:val="en-CA"/>
        </w:rPr>
        <w:t>at</w:t>
      </w:r>
      <w:r w:rsidRPr="00C56B18">
        <w:rPr>
          <w:i/>
          <w:iCs/>
          <w:lang w:val="en-CA"/>
        </w:rPr>
        <w:t xml:space="preserve"> </w:t>
      </w:r>
      <w:r w:rsidRPr="00C56B18">
        <w:rPr>
          <w:lang w:val="en-CA"/>
        </w:rPr>
        <w:t xml:space="preserve">para. </w:t>
      </w:r>
      <w:r w:rsidRPr="00350CDD">
        <w:rPr>
          <w:lang w:val="en-CA"/>
        </w:rPr>
        <w:t xml:space="preserve">25; </w:t>
      </w:r>
      <w:r w:rsidRPr="00350CDD">
        <w:rPr>
          <w:i/>
          <w:iCs/>
          <w:lang w:val="en-CA"/>
        </w:rPr>
        <w:t>R. v. Tessier</w:t>
      </w:r>
      <w:r w:rsidRPr="00350CDD">
        <w:rPr>
          <w:lang w:val="en-CA"/>
        </w:rPr>
        <w:t>, 2022 SCC 35 at para.</w:t>
      </w:r>
      <w:r w:rsidRPr="00C56B18">
        <w:rPr>
          <w:lang w:val="en-CA"/>
        </w:rPr>
        <w:t xml:space="preserve"> 105.</w:t>
      </w:r>
    </w:p>
  </w:footnote>
  <w:footnote w:id="129">
    <w:p w14:paraId="07B30667" w14:textId="77777777" w:rsidR="00A2675B" w:rsidRPr="00C56B18" w:rsidRDefault="00A2675B" w:rsidP="00A2675B">
      <w:pPr>
        <w:pStyle w:val="Notedebasdepage"/>
        <w:rPr>
          <w:lang w:val="en-CA"/>
        </w:rPr>
      </w:pPr>
      <w:r w:rsidRPr="00C56B18">
        <w:rPr>
          <w:rStyle w:val="Appelnotedebasdep"/>
          <w:lang w:val="en-CA"/>
        </w:rPr>
        <w:footnoteRef/>
      </w:r>
      <w:r w:rsidRPr="00C56B18">
        <w:rPr>
          <w:lang w:val="en-CA"/>
        </w:rPr>
        <w:t xml:space="preserve"> </w:t>
      </w:r>
      <w:r w:rsidRPr="00C56B18">
        <w:rPr>
          <w:lang w:val="en-CA"/>
        </w:rPr>
        <w:tab/>
        <w:t>Brief of the appellant A</w:t>
      </w:r>
      <w:r w:rsidRPr="00350CDD">
        <w:rPr>
          <w:lang w:val="en-CA"/>
        </w:rPr>
        <w:t>GQ at paras.</w:t>
      </w:r>
      <w:r w:rsidRPr="00C56B18">
        <w:rPr>
          <w:lang w:val="en-CA"/>
        </w:rPr>
        <w:t xml:space="preserve"> 85–92.</w:t>
      </w:r>
    </w:p>
  </w:footnote>
  <w:footnote w:id="130">
    <w:p w14:paraId="55285BC0" w14:textId="1B98C259" w:rsidR="00A2675B" w:rsidRPr="00C56B18" w:rsidRDefault="00A2675B" w:rsidP="00A2675B">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paras.</w:t>
      </w:r>
      <w:r w:rsidRPr="00C56B18">
        <w:rPr>
          <w:lang w:val="en-CA"/>
        </w:rPr>
        <w:t xml:space="preserve"> 93–98.</w:t>
      </w:r>
    </w:p>
  </w:footnote>
  <w:footnote w:id="131">
    <w:p w14:paraId="78A1B8EC" w14:textId="77777777" w:rsidR="00A2675B" w:rsidRPr="00C56B18" w:rsidRDefault="00A2675B" w:rsidP="00A2675B">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Singh</w:t>
      </w:r>
      <w:r w:rsidRPr="00350CDD">
        <w:rPr>
          <w:lang w:val="en-CA"/>
        </w:rPr>
        <w:t>, 2007 SCC 48, [2007] 3 S.C.R.</w:t>
      </w:r>
      <w:r w:rsidRPr="00C56B18">
        <w:rPr>
          <w:lang w:val="en-CA"/>
        </w:rPr>
        <w:t xml:space="preserve"> </w:t>
      </w:r>
      <w:r w:rsidRPr="00350CDD">
        <w:rPr>
          <w:lang w:val="en-CA"/>
        </w:rPr>
        <w:t>405 at paras.</w:t>
      </w:r>
      <w:r w:rsidRPr="00C56B18">
        <w:rPr>
          <w:lang w:val="en-CA"/>
        </w:rPr>
        <w:t xml:space="preserve"> </w:t>
      </w:r>
      <w:r w:rsidRPr="00350CDD">
        <w:rPr>
          <w:lang w:val="en-CA"/>
        </w:rPr>
        <w:t xml:space="preserve">21 and 34; </w:t>
      </w:r>
      <w:r w:rsidRPr="00350CDD">
        <w:rPr>
          <w:i/>
          <w:iCs/>
          <w:lang w:val="en-CA"/>
        </w:rPr>
        <w:t>R. v. White</w:t>
      </w:r>
      <w:r w:rsidRPr="00350CDD">
        <w:rPr>
          <w:lang w:val="en-CA"/>
        </w:rPr>
        <w:t>, [1999] 2 S.C.R.</w:t>
      </w:r>
      <w:r w:rsidRPr="00C56B18">
        <w:rPr>
          <w:lang w:val="en-CA"/>
        </w:rPr>
        <w:t xml:space="preserve"> </w:t>
      </w:r>
      <w:r w:rsidRPr="00350CDD">
        <w:rPr>
          <w:lang w:val="en-CA"/>
        </w:rPr>
        <w:t>417 at para.</w:t>
      </w:r>
      <w:r w:rsidRPr="00C56B18">
        <w:rPr>
          <w:lang w:val="en-CA"/>
        </w:rPr>
        <w:t xml:space="preserve"> 44.</w:t>
      </w:r>
    </w:p>
  </w:footnote>
  <w:footnote w:id="132">
    <w:p w14:paraId="2091BF93" w14:textId="6B1C2422" w:rsidR="004F12D8" w:rsidRPr="00C56B18" w:rsidRDefault="004F12D8" w:rsidP="004F12D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Re B.C. Motor Vehicle Act</w:t>
      </w:r>
      <w:r w:rsidRPr="00350CDD">
        <w:rPr>
          <w:lang w:val="en-CA"/>
        </w:rPr>
        <w:t xml:space="preserve"> [1985] 2 S.C.R.</w:t>
      </w:r>
      <w:r w:rsidRPr="00C56B18">
        <w:rPr>
          <w:lang w:val="en-CA"/>
        </w:rPr>
        <w:t xml:space="preserve"> 486 at 518 (majority reasons of Lamer J.) a</w:t>
      </w:r>
      <w:r w:rsidR="0042386F">
        <w:rPr>
          <w:lang w:val="en-CA"/>
        </w:rPr>
        <w:t>t</w:t>
      </w:r>
      <w:r w:rsidRPr="00C56B18">
        <w:rPr>
          <w:lang w:val="en-CA"/>
        </w:rPr>
        <w:t xml:space="preserve"> 523–524 (dissenting reasons of Wilson J.); </w:t>
      </w:r>
      <w:r w:rsidRPr="00C56B18">
        <w:rPr>
          <w:i/>
          <w:iCs/>
          <w:lang w:val="en-CA"/>
        </w:rPr>
        <w:t>Carter v. Canada (Attorney General)</w:t>
      </w:r>
      <w:r w:rsidRPr="00C56B18">
        <w:rPr>
          <w:lang w:val="en-CA"/>
        </w:rPr>
        <w:t xml:space="preserve">, 2015 SCC 5, [2015] 1 S.C.R. </w:t>
      </w:r>
      <w:r w:rsidRPr="00350CDD">
        <w:rPr>
          <w:lang w:val="en-CA"/>
        </w:rPr>
        <w:t>331 at para.</w:t>
      </w:r>
      <w:r w:rsidRPr="00C56B18">
        <w:rPr>
          <w:lang w:val="en-CA"/>
        </w:rPr>
        <w:t xml:space="preserve"> 95.</w:t>
      </w:r>
    </w:p>
  </w:footnote>
  <w:footnote w:id="133">
    <w:p w14:paraId="7076ED28" w14:textId="77777777" w:rsidR="004F12D8" w:rsidRPr="00C56B18" w:rsidRDefault="004F12D8" w:rsidP="004F12D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Brown</w:t>
      </w:r>
      <w:r w:rsidRPr="00350CDD">
        <w:rPr>
          <w:lang w:val="en-CA"/>
        </w:rPr>
        <w:t>, 2022 SCC 18 at para.</w:t>
      </w:r>
      <w:r w:rsidRPr="00C56B18">
        <w:rPr>
          <w:lang w:val="en-CA"/>
        </w:rPr>
        <w:t xml:space="preserve"> </w:t>
      </w:r>
      <w:r w:rsidRPr="00350CDD">
        <w:rPr>
          <w:lang w:val="en-CA"/>
        </w:rPr>
        <w:t xml:space="preserve">166; </w:t>
      </w:r>
      <w:r w:rsidRPr="00350CDD">
        <w:rPr>
          <w:i/>
          <w:iCs/>
          <w:color w:val="000000"/>
          <w:lang w:val="en-CA"/>
        </w:rPr>
        <w:t>Charkaoui v. Canada (Citizenship and Immigration)</w:t>
      </w:r>
      <w:r w:rsidRPr="00350CDD">
        <w:rPr>
          <w:color w:val="000000"/>
          <w:lang w:val="en-CA"/>
        </w:rPr>
        <w:t>, 2007 SCC 9, [2007] 1 S.C.R.</w:t>
      </w:r>
      <w:r w:rsidRPr="00C56B18">
        <w:rPr>
          <w:color w:val="000000"/>
          <w:lang w:val="en-CA"/>
        </w:rPr>
        <w:t xml:space="preserve"> </w:t>
      </w:r>
      <w:r w:rsidRPr="00350CDD">
        <w:rPr>
          <w:color w:val="000000"/>
          <w:lang w:val="en-CA"/>
        </w:rPr>
        <w:t>350 at para.</w:t>
      </w:r>
      <w:r w:rsidRPr="00C56B18">
        <w:rPr>
          <w:lang w:val="en-CA"/>
        </w:rPr>
        <w:t xml:space="preserve"> </w:t>
      </w:r>
      <w:r w:rsidRPr="00350CDD">
        <w:rPr>
          <w:lang w:val="en-CA"/>
        </w:rPr>
        <w:t xml:space="preserve">66; </w:t>
      </w:r>
      <w:r w:rsidRPr="00350CDD">
        <w:rPr>
          <w:i/>
          <w:iCs/>
          <w:lang w:val="en-CA"/>
        </w:rPr>
        <w:t>Godbout v. Longueuil (City)</w:t>
      </w:r>
      <w:r w:rsidRPr="00350CDD">
        <w:rPr>
          <w:lang w:val="en-CA"/>
        </w:rPr>
        <w:t>, [1997] 3 S.C.R.</w:t>
      </w:r>
      <w:r w:rsidRPr="00C56B18">
        <w:rPr>
          <w:lang w:val="en-CA"/>
        </w:rPr>
        <w:t xml:space="preserve"> 844 at para. 91.</w:t>
      </w:r>
    </w:p>
  </w:footnote>
  <w:footnote w:id="134">
    <w:p w14:paraId="5120E454" w14:textId="77777777" w:rsidR="004F12D8" w:rsidRPr="00C56B18" w:rsidRDefault="004F12D8" w:rsidP="004F12D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Re B.C. Motor Vehicle Act,</w:t>
      </w:r>
      <w:r w:rsidRPr="00350CDD">
        <w:rPr>
          <w:lang w:val="en-CA"/>
        </w:rPr>
        <w:t xml:space="preserve"> [1985] 2 S.C.R.</w:t>
      </w:r>
      <w:r w:rsidRPr="00C56B18">
        <w:rPr>
          <w:lang w:val="en-CA"/>
        </w:rPr>
        <w:t xml:space="preserve"> </w:t>
      </w:r>
      <w:r w:rsidRPr="00350CDD">
        <w:rPr>
          <w:lang w:val="en-CA"/>
        </w:rPr>
        <w:t>486 at 518.</w:t>
      </w:r>
    </w:p>
  </w:footnote>
  <w:footnote w:id="135">
    <w:p w14:paraId="168E36F9" w14:textId="77777777" w:rsidR="004F12D8" w:rsidRPr="00C56B18" w:rsidRDefault="004F12D8" w:rsidP="004F12D8">
      <w:pPr>
        <w:pStyle w:val="Notedebasdepage"/>
        <w:rPr>
          <w:lang w:val="en-CA"/>
        </w:rPr>
      </w:pPr>
      <w:r w:rsidRPr="00C56B18">
        <w:rPr>
          <w:rStyle w:val="Appelnotedebasdep"/>
          <w:lang w:val="en-CA"/>
        </w:rPr>
        <w:footnoteRef/>
      </w:r>
      <w:r w:rsidRPr="00C22ECF">
        <w:t xml:space="preserve"> </w:t>
      </w:r>
      <w:r w:rsidRPr="00C22ECF">
        <w:tab/>
      </w:r>
      <w:r w:rsidRPr="00350CDD">
        <w:t xml:space="preserve">Henri Brun, Guy Tremblay &amp; Eugénie Brouillet, </w:t>
      </w:r>
      <w:r w:rsidRPr="00350CDD">
        <w:rPr>
          <w:i/>
        </w:rPr>
        <w:t>Droit constitutionnel</w:t>
      </w:r>
      <w:r w:rsidRPr="00350CDD">
        <w:t xml:space="preserve">, 6th </w:t>
      </w:r>
      <w:proofErr w:type="spellStart"/>
      <w:r w:rsidRPr="00350CDD">
        <w:t>ed</w:t>
      </w:r>
      <w:proofErr w:type="spellEnd"/>
      <w:r w:rsidRPr="00350CDD">
        <w:t xml:space="preserve">. </w:t>
      </w:r>
      <w:r w:rsidRPr="00350CDD">
        <w:rPr>
          <w:lang w:val="en-CA"/>
        </w:rPr>
        <w:t>(</w:t>
      </w:r>
      <w:proofErr w:type="spellStart"/>
      <w:r w:rsidRPr="00350CDD">
        <w:rPr>
          <w:lang w:val="en-CA"/>
        </w:rPr>
        <w:t>Cowansville</w:t>
      </w:r>
      <w:proofErr w:type="spellEnd"/>
      <w:r w:rsidRPr="00350CDD">
        <w:rPr>
          <w:lang w:val="en-CA"/>
        </w:rPr>
        <w:t xml:space="preserve">, Qc: Yvon </w:t>
      </w:r>
      <w:proofErr w:type="spellStart"/>
      <w:r w:rsidRPr="00350CDD">
        <w:rPr>
          <w:lang w:val="en-CA"/>
        </w:rPr>
        <w:t>Blais</w:t>
      </w:r>
      <w:proofErr w:type="spellEnd"/>
      <w:r w:rsidRPr="00350CDD">
        <w:rPr>
          <w:lang w:val="en-CA"/>
        </w:rPr>
        <w:t>, 2014) at para.</w:t>
      </w:r>
      <w:r w:rsidRPr="00C56B18">
        <w:rPr>
          <w:lang w:val="en-CA"/>
        </w:rPr>
        <w:t xml:space="preserve"> XII-6.24.</w:t>
      </w:r>
    </w:p>
  </w:footnote>
  <w:footnote w:id="136">
    <w:p w14:paraId="7B3ED10B" w14:textId="77777777"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154B3E">
        <w:rPr>
          <w:rFonts w:cs="Arial"/>
          <w:i/>
          <w:iCs/>
          <w:color w:val="212529"/>
          <w:shd w:val="clear" w:color="auto" w:fill="FFFFFF"/>
          <w:lang w:val="en-CA"/>
        </w:rPr>
        <w:t>Special Investigations Unit Act</w:t>
      </w:r>
      <w:r w:rsidRPr="00154B3E">
        <w:rPr>
          <w:lang w:val="en-CA"/>
        </w:rPr>
        <w:t>, S.O. 2019, c. 1, Schedule 5, s. 24(1).</w:t>
      </w:r>
      <w:r w:rsidRPr="00C56B18">
        <w:rPr>
          <w:lang w:val="en-CA"/>
        </w:rPr>
        <w:t xml:space="preserve"> </w:t>
      </w:r>
    </w:p>
  </w:footnote>
  <w:footnote w:id="137">
    <w:p w14:paraId="17C2451C" w14:textId="011D3E04"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24(2).</w:t>
      </w:r>
    </w:p>
  </w:footnote>
  <w:footnote w:id="138">
    <w:p w14:paraId="5F8333D6" w14:textId="7012A3F1"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00244DBA">
        <w:rPr>
          <w:lang w:val="en-CA"/>
        </w:rPr>
        <w:t>s</w:t>
      </w:r>
      <w:r w:rsidRPr="00350CDD">
        <w:rPr>
          <w:lang w:val="en-CA"/>
        </w:rPr>
        <w:t>s.</w:t>
      </w:r>
      <w:r w:rsidRPr="00C56B18">
        <w:rPr>
          <w:lang w:val="en-CA"/>
        </w:rPr>
        <w:t xml:space="preserve"> 22, 25(1) and (2).</w:t>
      </w:r>
    </w:p>
  </w:footnote>
  <w:footnote w:id="139">
    <w:p w14:paraId="3757BA9B" w14:textId="27370C3A"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25(7).</w:t>
      </w:r>
    </w:p>
  </w:footnote>
  <w:footnote w:id="140">
    <w:p w14:paraId="4789FE13" w14:textId="16284A44"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Act</w:t>
      </w:r>
      <w:r w:rsidRPr="00350CDD">
        <w:rPr>
          <w:lang w:val="en-CA"/>
        </w:rPr>
        <w:t>, S.N.S.</w:t>
      </w:r>
      <w:r w:rsidRPr="00C56B18">
        <w:rPr>
          <w:lang w:val="en-CA"/>
        </w:rPr>
        <w:t xml:space="preserve"> </w:t>
      </w:r>
      <w:r w:rsidRPr="00350CDD">
        <w:rPr>
          <w:lang w:val="en-CA"/>
        </w:rPr>
        <w:t>2004, c. 31, s</w:t>
      </w:r>
      <w:r w:rsidR="00244DBA">
        <w:rPr>
          <w:lang w:val="en-CA"/>
        </w:rPr>
        <w:t>s</w:t>
      </w:r>
      <w:r w:rsidRPr="00350CDD">
        <w:rPr>
          <w:lang w:val="en-CA"/>
        </w:rPr>
        <w:t>.</w:t>
      </w:r>
      <w:r w:rsidRPr="00C56B18">
        <w:rPr>
          <w:lang w:val="en-CA"/>
        </w:rPr>
        <w:t xml:space="preserve"> 26A, 26I(1)(a).</w:t>
      </w:r>
    </w:p>
  </w:footnote>
  <w:footnote w:id="141">
    <w:p w14:paraId="72CCF107" w14:textId="77777777"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i/>
          <w:iCs/>
          <w:lang w:val="en-CA"/>
        </w:rPr>
        <w:t>Serious Incident Response Team Regulations</w:t>
      </w:r>
      <w:r w:rsidRPr="00C56B18">
        <w:rPr>
          <w:lang w:val="en-CA"/>
        </w:rPr>
        <w:t>, S.N.S.</w:t>
      </w:r>
      <w:r w:rsidRPr="00C56B18">
        <w:rPr>
          <w:i/>
          <w:iCs/>
          <w:lang w:val="en-CA"/>
        </w:rPr>
        <w:t xml:space="preserve"> </w:t>
      </w:r>
      <w:r w:rsidRPr="00350CDD">
        <w:rPr>
          <w:lang w:val="en-CA"/>
        </w:rPr>
        <w:t>2004, c. 31, s.</w:t>
      </w:r>
      <w:r w:rsidRPr="00C56B18">
        <w:rPr>
          <w:lang w:val="en-CA"/>
        </w:rPr>
        <w:t xml:space="preserve"> 6(3). </w:t>
      </w:r>
    </w:p>
  </w:footnote>
  <w:footnote w:id="142">
    <w:p w14:paraId="34DA0A00" w14:textId="1FA8DAB7"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6(5).</w:t>
      </w:r>
    </w:p>
  </w:footnote>
  <w:footnote w:id="143">
    <w:p w14:paraId="03096B92" w14:textId="149289A9"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7(2).</w:t>
      </w:r>
    </w:p>
  </w:footnote>
  <w:footnote w:id="144">
    <w:p w14:paraId="2F2B3387" w14:textId="50B40813"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8(2).</w:t>
      </w:r>
    </w:p>
  </w:footnote>
  <w:footnote w:id="145">
    <w:p w14:paraId="1136049F" w14:textId="77777777"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Police Service Regulation</w:t>
      </w:r>
      <w:r w:rsidRPr="00350CDD">
        <w:rPr>
          <w:lang w:val="en-CA"/>
        </w:rPr>
        <w:t>, Alta Reg. 356/1990, s.</w:t>
      </w:r>
      <w:r w:rsidRPr="00C56B18">
        <w:rPr>
          <w:lang w:val="en-CA"/>
        </w:rPr>
        <w:t xml:space="preserve"> 10.4(6).</w:t>
      </w:r>
    </w:p>
  </w:footnote>
  <w:footnote w:id="146">
    <w:p w14:paraId="168CB365" w14:textId="3625EDAE"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ss.</w:t>
      </w:r>
      <w:r w:rsidRPr="00C56B18">
        <w:rPr>
          <w:lang w:val="en-CA"/>
        </w:rPr>
        <w:t xml:space="preserve"> 10.4(2) </w:t>
      </w:r>
      <w:r>
        <w:rPr>
          <w:lang w:val="en-CA"/>
        </w:rPr>
        <w:t>and</w:t>
      </w:r>
      <w:r w:rsidRPr="00C56B18">
        <w:rPr>
          <w:lang w:val="en-CA"/>
        </w:rPr>
        <w:t xml:space="preserve"> 10.5(1).</w:t>
      </w:r>
    </w:p>
  </w:footnote>
  <w:footnote w:id="147">
    <w:p w14:paraId="5726A844" w14:textId="490D23D3" w:rsidR="00713885" w:rsidRPr="00C56B18" w:rsidRDefault="00713885" w:rsidP="00713885">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w:t>
      </w:r>
      <w:r w:rsidR="00154B3E">
        <w:rPr>
          <w:lang w:val="en-CA"/>
        </w:rPr>
        <w:t xml:space="preserve">at </w:t>
      </w:r>
      <w:r w:rsidRPr="00350CDD">
        <w:rPr>
          <w:lang w:val="en-CA"/>
        </w:rPr>
        <w:t>s.</w:t>
      </w:r>
      <w:r w:rsidRPr="00C56B18">
        <w:rPr>
          <w:lang w:val="en-CA"/>
        </w:rPr>
        <w:t xml:space="preserve"> 10.6(3).</w:t>
      </w:r>
    </w:p>
  </w:footnote>
  <w:footnote w:id="148">
    <w:p w14:paraId="4B375E32" w14:textId="369D554E" w:rsidR="00A17C43" w:rsidRPr="00C56B18" w:rsidRDefault="00DE2A80" w:rsidP="00A17C43">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color w:val="000000"/>
          <w:lang w:val="en-CA"/>
        </w:rPr>
        <w:t xml:space="preserve">Katz Group Canada Inc. </w:t>
      </w:r>
      <w:r w:rsidR="00983702" w:rsidRPr="00350CDD">
        <w:rPr>
          <w:i/>
          <w:iCs/>
          <w:color w:val="000000"/>
          <w:lang w:val="en-CA"/>
        </w:rPr>
        <w:t>v</w:t>
      </w:r>
      <w:r w:rsidRPr="00350CDD">
        <w:rPr>
          <w:i/>
          <w:iCs/>
          <w:color w:val="000000"/>
          <w:lang w:val="en-CA"/>
        </w:rPr>
        <w:t>. Ontario (</w:t>
      </w:r>
      <w:r w:rsidR="00983702" w:rsidRPr="00350CDD">
        <w:rPr>
          <w:i/>
          <w:iCs/>
          <w:color w:val="000000"/>
          <w:lang w:val="en-CA"/>
        </w:rPr>
        <w:t>Health and Long-Term Care</w:t>
      </w:r>
      <w:r w:rsidRPr="00350CDD">
        <w:rPr>
          <w:i/>
          <w:iCs/>
          <w:color w:val="000000"/>
          <w:lang w:val="en-CA"/>
        </w:rPr>
        <w:t>)</w:t>
      </w:r>
      <w:r w:rsidRPr="00350CDD">
        <w:rPr>
          <w:color w:val="000000"/>
          <w:lang w:val="en-CA"/>
        </w:rPr>
        <w:t>, 2013 </w:t>
      </w:r>
      <w:r w:rsidR="00153AEF" w:rsidRPr="00350CDD">
        <w:rPr>
          <w:color w:val="000000"/>
          <w:lang w:val="en-CA"/>
        </w:rPr>
        <w:t>SCC</w:t>
      </w:r>
      <w:r w:rsidRPr="00350CDD">
        <w:rPr>
          <w:color w:val="000000"/>
          <w:lang w:val="en-CA"/>
        </w:rPr>
        <w:t xml:space="preserve"> 64, [2013] 3 </w:t>
      </w:r>
      <w:r w:rsidR="00153AEF" w:rsidRPr="00350CDD">
        <w:rPr>
          <w:color w:val="000000"/>
          <w:lang w:val="en-CA"/>
        </w:rPr>
        <w:t>S.C.R.</w:t>
      </w:r>
      <w:r w:rsidRPr="00C56B18">
        <w:rPr>
          <w:color w:val="000000"/>
          <w:lang w:val="en-CA"/>
        </w:rPr>
        <w:t xml:space="preserve"> </w:t>
      </w:r>
      <w:r w:rsidRPr="00350CDD">
        <w:rPr>
          <w:color w:val="000000"/>
          <w:lang w:val="en-CA"/>
        </w:rPr>
        <w:t xml:space="preserve">810 </w:t>
      </w:r>
      <w:r w:rsidR="00983702" w:rsidRPr="00350CDD">
        <w:rPr>
          <w:color w:val="000000"/>
          <w:lang w:val="en-CA"/>
        </w:rPr>
        <w:t xml:space="preserve">at </w:t>
      </w:r>
      <w:r w:rsidRPr="00350CDD">
        <w:rPr>
          <w:color w:val="000000"/>
          <w:lang w:val="en-CA"/>
        </w:rPr>
        <w:t>par</w:t>
      </w:r>
      <w:r w:rsidR="00983702" w:rsidRPr="00350CDD">
        <w:rPr>
          <w:color w:val="000000"/>
          <w:lang w:val="en-CA"/>
        </w:rPr>
        <w:t>a</w:t>
      </w:r>
      <w:r w:rsidRPr="00350CDD">
        <w:rPr>
          <w:color w:val="000000"/>
          <w:lang w:val="en-CA"/>
        </w:rPr>
        <w:t>.</w:t>
      </w:r>
      <w:r w:rsidRPr="00C56B18">
        <w:rPr>
          <w:color w:val="000000"/>
          <w:lang w:val="en-CA"/>
        </w:rPr>
        <w:t xml:space="preserve"> 24.</w:t>
      </w:r>
    </w:p>
  </w:footnote>
  <w:footnote w:id="149">
    <w:p w14:paraId="7D8AFB72" w14:textId="4266821B" w:rsidR="00401C26" w:rsidRPr="00C56B18" w:rsidRDefault="00401C26" w:rsidP="00401C26">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color w:val="000000"/>
          <w:lang w:val="en-CA"/>
        </w:rPr>
        <w:t>Ibid</w:t>
      </w:r>
      <w:r w:rsidRPr="00350CDD">
        <w:rPr>
          <w:color w:val="000000"/>
          <w:lang w:val="en-CA"/>
        </w:rPr>
        <w:t xml:space="preserve"> at para.</w:t>
      </w:r>
      <w:r w:rsidRPr="00C56B18">
        <w:rPr>
          <w:color w:val="000000"/>
          <w:lang w:val="en-CA"/>
        </w:rPr>
        <w:t xml:space="preserve"> 25.</w:t>
      </w:r>
    </w:p>
  </w:footnote>
  <w:footnote w:id="150">
    <w:p w14:paraId="3A3D600D" w14:textId="3F9AA20A" w:rsidR="00C117F8" w:rsidRPr="00C56B18" w:rsidRDefault="00C117F8" w:rsidP="00C117F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r w:rsidRPr="00350CDD">
        <w:rPr>
          <w:lang w:val="en-CA"/>
        </w:rPr>
        <w:t xml:space="preserve"> at para.</w:t>
      </w:r>
      <w:r w:rsidRPr="00C56B18">
        <w:rPr>
          <w:lang w:val="en-CA"/>
        </w:rPr>
        <w:t xml:space="preserve"> 28.</w:t>
      </w:r>
    </w:p>
  </w:footnote>
  <w:footnote w:id="151">
    <w:p w14:paraId="3C75293D" w14:textId="22B5D3F8" w:rsidR="00C117F8" w:rsidRPr="00C56B18" w:rsidRDefault="00C117F8" w:rsidP="00C117F8">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C56B18">
        <w:rPr>
          <w:i/>
          <w:iCs/>
          <w:lang w:val="en-CA"/>
        </w:rPr>
        <w:t>Ibid</w:t>
      </w:r>
      <w:r w:rsidR="00244DBA">
        <w:rPr>
          <w:i/>
          <w:iCs/>
          <w:lang w:val="en-CA"/>
        </w:rPr>
        <w:t>,</w:t>
      </w:r>
      <w:r w:rsidRPr="00C56B18">
        <w:rPr>
          <w:lang w:val="en-CA"/>
        </w:rPr>
        <w:t xml:space="preserve"> citing </w:t>
      </w:r>
      <w:r w:rsidRPr="00C56B18">
        <w:rPr>
          <w:i/>
          <w:iCs/>
          <w:color w:val="000000"/>
          <w:lang w:val="en-CA"/>
        </w:rPr>
        <w:t>Thorne’s Hardware Ltd. v. The Queen</w:t>
      </w:r>
      <w:r w:rsidRPr="00C56B18">
        <w:rPr>
          <w:color w:val="000000"/>
          <w:lang w:val="en-CA"/>
        </w:rPr>
        <w:t xml:space="preserve">, [1983] 1 S.C.R. </w:t>
      </w:r>
      <w:r w:rsidRPr="00350CDD">
        <w:rPr>
          <w:color w:val="000000"/>
          <w:lang w:val="en-CA"/>
        </w:rPr>
        <w:t>106</w:t>
      </w:r>
      <w:r w:rsidRPr="00350CDD">
        <w:rPr>
          <w:lang w:val="en-CA"/>
        </w:rPr>
        <w:t xml:space="preserve"> at 111.</w:t>
      </w:r>
    </w:p>
  </w:footnote>
  <w:footnote w:id="152">
    <w:p w14:paraId="114D5589" w14:textId="64AC2518" w:rsidR="00350CDD" w:rsidRPr="00C56B18" w:rsidRDefault="00350CDD" w:rsidP="00350CDD">
      <w:pPr>
        <w:pStyle w:val="Notedebasdepage"/>
        <w:rPr>
          <w:lang w:val="en-CA"/>
        </w:rPr>
      </w:pPr>
      <w:r w:rsidRPr="00C56B18">
        <w:rPr>
          <w:rStyle w:val="Appelnotedebasdep"/>
          <w:lang w:val="en-CA"/>
        </w:rPr>
        <w:footnoteRef/>
      </w:r>
      <w:r w:rsidRPr="00C56B18">
        <w:rPr>
          <w:lang w:val="en-CA"/>
        </w:rPr>
        <w:t xml:space="preserve"> </w:t>
      </w:r>
      <w:r w:rsidRPr="00C56B18">
        <w:rPr>
          <w:lang w:val="en-CA"/>
        </w:rPr>
        <w:tab/>
        <w:t xml:space="preserve">Exhibit PGQ-8: </w:t>
      </w:r>
      <w:r w:rsidR="001D0AAA" w:rsidRPr="00EA6584">
        <w:rPr>
          <w:lang w:val="en-CA"/>
        </w:rPr>
        <w:t>Ombudsman</w:t>
      </w:r>
      <w:r w:rsidRPr="00EA6584">
        <w:rPr>
          <w:lang w:val="en-CA"/>
        </w:rPr>
        <w:t xml:space="preserve">, </w:t>
      </w:r>
      <w:r w:rsidRPr="00EA6584">
        <w:rPr>
          <w:i/>
          <w:iCs/>
          <w:lang w:val="en-CA"/>
        </w:rPr>
        <w:t>The Québec Investigative Procedure for Incidents Involving Police Officers – For a Credible, Transparent, and Impartial Process That Inspires Confidence and Respect</w:t>
      </w:r>
      <w:r w:rsidRPr="00EA6584">
        <w:rPr>
          <w:lang w:val="en-CA"/>
        </w:rPr>
        <w:t>, February 2010 at 2</w:t>
      </w:r>
      <w:r w:rsidR="00EA6584" w:rsidRPr="00EA6584">
        <w:rPr>
          <w:lang w:val="en-CA"/>
        </w:rPr>
        <w:t>1</w:t>
      </w:r>
      <w:r w:rsidRPr="00C56B18">
        <w:rPr>
          <w:lang w:val="en-CA"/>
        </w:rPr>
        <w:t>.</w:t>
      </w:r>
    </w:p>
  </w:footnote>
  <w:footnote w:id="153">
    <w:p w14:paraId="202B3AC2" w14:textId="77777777" w:rsidR="00350CDD" w:rsidRPr="00C56B18" w:rsidRDefault="00350CDD" w:rsidP="00350C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Ibid.</w:t>
      </w:r>
    </w:p>
  </w:footnote>
  <w:footnote w:id="154">
    <w:p w14:paraId="2FCC5C73" w14:textId="77777777" w:rsidR="00350CDD" w:rsidRPr="00C56B18" w:rsidRDefault="00350CDD" w:rsidP="00350C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Toronto (City) v. Ontario (Attorney General)</w:t>
      </w:r>
      <w:r w:rsidRPr="00350CDD">
        <w:rPr>
          <w:lang w:val="en-CA"/>
        </w:rPr>
        <w:t>, 2021 SCC 34 at paras.</w:t>
      </w:r>
      <w:r w:rsidRPr="00C56B18">
        <w:rPr>
          <w:lang w:val="en-CA"/>
        </w:rPr>
        <w:t xml:space="preserve"> </w:t>
      </w:r>
      <w:r w:rsidRPr="00350CDD">
        <w:rPr>
          <w:lang w:val="en-CA"/>
        </w:rPr>
        <w:t>5, 51 and 63.</w:t>
      </w:r>
    </w:p>
  </w:footnote>
  <w:footnote w:id="155">
    <w:p w14:paraId="303E222C" w14:textId="77777777" w:rsidR="00350CDD" w:rsidRPr="00C56B18" w:rsidRDefault="00350CDD" w:rsidP="00350CDD">
      <w:pPr>
        <w:pStyle w:val="Notedebasdepage"/>
        <w:rPr>
          <w:lang w:val="en-CA"/>
        </w:rPr>
      </w:pPr>
      <w:r w:rsidRPr="00C56B18">
        <w:rPr>
          <w:rStyle w:val="Appelnotedebasdep"/>
          <w:lang w:val="en-CA"/>
        </w:rPr>
        <w:footnoteRef/>
      </w:r>
      <w:r w:rsidRPr="00C56B18">
        <w:rPr>
          <w:lang w:val="en-CA"/>
        </w:rPr>
        <w:t xml:space="preserve"> </w:t>
      </w:r>
      <w:r w:rsidRPr="00C56B18">
        <w:rPr>
          <w:lang w:val="en-CA"/>
        </w:rPr>
        <w:tab/>
      </w:r>
      <w:r w:rsidRPr="00350CDD">
        <w:rPr>
          <w:i/>
          <w:iCs/>
          <w:lang w:val="en-CA"/>
        </w:rPr>
        <w:t>R. v. Campbell</w:t>
      </w:r>
      <w:r w:rsidRPr="00350CDD">
        <w:rPr>
          <w:lang w:val="en-CA"/>
        </w:rPr>
        <w:t>, [1999] 1 S.C.R.</w:t>
      </w:r>
      <w:r w:rsidRPr="00C56B18">
        <w:rPr>
          <w:lang w:val="en-CA"/>
        </w:rPr>
        <w:t xml:space="preserve"> </w:t>
      </w:r>
      <w:r w:rsidRPr="00350CDD">
        <w:rPr>
          <w:lang w:val="en-CA"/>
        </w:rPr>
        <w:t>565 at paras.</w:t>
      </w:r>
      <w:r w:rsidRPr="00C56B18">
        <w:rPr>
          <w:lang w:val="en-CA"/>
        </w:rPr>
        <w:t xml:space="preserve"> </w:t>
      </w:r>
      <w:r w:rsidRPr="00350CDD">
        <w:rPr>
          <w:lang w:val="en-CA"/>
        </w:rPr>
        <w:t xml:space="preserve">29, 32–33; </w:t>
      </w:r>
      <w:r w:rsidRPr="00350CDD">
        <w:rPr>
          <w:i/>
          <w:iCs/>
          <w:lang w:val="en-CA"/>
        </w:rPr>
        <w:t>Smith v. Ontario (Attorney General)</w:t>
      </w:r>
      <w:r w:rsidRPr="00350CDD">
        <w:rPr>
          <w:lang w:val="en-CA"/>
        </w:rPr>
        <w:t>, 2019 ONCA 651 at paras.</w:t>
      </w:r>
      <w:r w:rsidRPr="00C56B18">
        <w:rPr>
          <w:lang w:val="en-CA"/>
        </w:rPr>
        <w:t xml:space="preserve"> 38–64, in particular paras. 48–49.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79A9" w14:textId="77777777" w:rsidR="00FE3921" w:rsidRDefault="00FE39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C5FD" w14:textId="0EBC9A50" w:rsidR="00A17C43" w:rsidRDefault="00DE2A80" w:rsidP="00ED136F">
    <w:pPr>
      <w:tabs>
        <w:tab w:val="center" w:pos="4709"/>
        <w:tab w:val="right" w:pos="9360"/>
      </w:tabs>
      <w:spacing w:line="360" w:lineRule="auto"/>
      <w:ind w:right="524"/>
    </w:pPr>
    <w:r>
      <w:t xml:space="preserve">500-09-030114-227 </w:t>
    </w:r>
    <w:r>
      <w:tab/>
    </w:r>
    <w:r>
      <w:tab/>
    </w:r>
    <w:r w:rsidR="00FE3921" w:rsidRPr="00350CDD">
      <w:t>PAGE:</w:t>
    </w:r>
    <w:r>
      <w:t xml:space="preserve"> </w:t>
    </w:r>
    <w:r>
      <w:fldChar w:fldCharType="begin"/>
    </w:r>
    <w:r>
      <w:instrText xml:space="preserve"> PAGE </w:instrText>
    </w:r>
    <w:r>
      <w:fldChar w:fldCharType="separate"/>
    </w:r>
    <w:r>
      <w:t>1</w:t>
    </w:r>
    <w:r>
      <w:fldChar w:fldCharType="end"/>
    </w:r>
  </w:p>
  <w:p w14:paraId="60A66764" w14:textId="77777777" w:rsidR="00A17C43" w:rsidRDefault="00A17C43" w:rsidP="00ED136F">
    <w:pPr>
      <w:tabs>
        <w:tab w:val="center" w:pos="4709"/>
        <w:tab w:val="right" w:pos="9360"/>
      </w:tabs>
      <w:spacing w:line="360" w:lineRule="auto"/>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9303" w14:textId="77777777" w:rsidR="00FE3921" w:rsidRDefault="00FE392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3B2C" w14:textId="5AF4E54E" w:rsidR="007E33E4" w:rsidRDefault="00DE2A80" w:rsidP="00DB2119">
    <w:pPr>
      <w:tabs>
        <w:tab w:val="center" w:pos="4709"/>
        <w:tab w:val="right" w:pos="9360"/>
      </w:tabs>
      <w:spacing w:line="360" w:lineRule="auto"/>
      <w:ind w:right="524"/>
    </w:pPr>
    <w:bookmarkStart w:id="33" w:name="EntDossier"/>
    <w:r>
      <w:t>500-09-030114-227</w:t>
    </w:r>
    <w:bookmarkEnd w:id="33"/>
    <w:r>
      <w:t xml:space="preserve"> </w:t>
    </w:r>
    <w:r>
      <w:tab/>
    </w:r>
    <w:r>
      <w:tab/>
    </w:r>
    <w:r w:rsidR="00FE3921" w:rsidRPr="00350CDD">
      <w:t>PAGE:</w:t>
    </w:r>
    <w:r>
      <w:t xml:space="preserve"> </w:t>
    </w:r>
    <w:r>
      <w:fldChar w:fldCharType="begin"/>
    </w:r>
    <w:r>
      <w:instrText xml:space="preserve"> PAGE </w:instrText>
    </w:r>
    <w:r>
      <w:fldChar w:fldCharType="separate"/>
    </w:r>
    <w:r w:rsidR="008D18FC">
      <w:rPr>
        <w:noProof/>
      </w:rPr>
      <w:t>2</w:t>
    </w:r>
    <w:r>
      <w:fldChar w:fldCharType="end"/>
    </w:r>
  </w:p>
  <w:p w14:paraId="492EF2A8"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E454D56"/>
    <w:multiLevelType w:val="hybridMultilevel"/>
    <w:tmpl w:val="992C981A"/>
    <w:lvl w:ilvl="0" w:tplc="92BCDCEC">
      <w:start w:val="1"/>
      <w:numFmt w:val="lowerLetter"/>
      <w:lvlText w:val="%1)"/>
      <w:lvlJc w:val="left"/>
      <w:pPr>
        <w:ind w:left="1080" w:hanging="360"/>
      </w:pPr>
      <w:rPr>
        <w:rFonts w:hint="default"/>
      </w:rPr>
    </w:lvl>
    <w:lvl w:ilvl="1" w:tplc="CE562F82" w:tentative="1">
      <w:start w:val="1"/>
      <w:numFmt w:val="lowerLetter"/>
      <w:lvlText w:val="%2."/>
      <w:lvlJc w:val="left"/>
      <w:pPr>
        <w:ind w:left="1800" w:hanging="360"/>
      </w:pPr>
    </w:lvl>
    <w:lvl w:ilvl="2" w:tplc="EA3A4238" w:tentative="1">
      <w:start w:val="1"/>
      <w:numFmt w:val="lowerRoman"/>
      <w:lvlText w:val="%3."/>
      <w:lvlJc w:val="right"/>
      <w:pPr>
        <w:ind w:left="2520" w:hanging="180"/>
      </w:pPr>
    </w:lvl>
    <w:lvl w:ilvl="3" w:tplc="B58ADCC6" w:tentative="1">
      <w:start w:val="1"/>
      <w:numFmt w:val="decimal"/>
      <w:lvlText w:val="%4."/>
      <w:lvlJc w:val="left"/>
      <w:pPr>
        <w:ind w:left="3240" w:hanging="360"/>
      </w:pPr>
    </w:lvl>
    <w:lvl w:ilvl="4" w:tplc="318C5610" w:tentative="1">
      <w:start w:val="1"/>
      <w:numFmt w:val="lowerLetter"/>
      <w:lvlText w:val="%5."/>
      <w:lvlJc w:val="left"/>
      <w:pPr>
        <w:ind w:left="3960" w:hanging="360"/>
      </w:pPr>
    </w:lvl>
    <w:lvl w:ilvl="5" w:tplc="1F2E8496" w:tentative="1">
      <w:start w:val="1"/>
      <w:numFmt w:val="lowerRoman"/>
      <w:lvlText w:val="%6."/>
      <w:lvlJc w:val="right"/>
      <w:pPr>
        <w:ind w:left="4680" w:hanging="180"/>
      </w:pPr>
    </w:lvl>
    <w:lvl w:ilvl="6" w:tplc="FFF63852" w:tentative="1">
      <w:start w:val="1"/>
      <w:numFmt w:val="decimal"/>
      <w:lvlText w:val="%7."/>
      <w:lvlJc w:val="left"/>
      <w:pPr>
        <w:ind w:left="5400" w:hanging="360"/>
      </w:pPr>
    </w:lvl>
    <w:lvl w:ilvl="7" w:tplc="288E54BC" w:tentative="1">
      <w:start w:val="1"/>
      <w:numFmt w:val="lowerLetter"/>
      <w:lvlText w:val="%8."/>
      <w:lvlJc w:val="left"/>
      <w:pPr>
        <w:ind w:left="6120" w:hanging="360"/>
      </w:pPr>
    </w:lvl>
    <w:lvl w:ilvl="8" w:tplc="079E8AE0" w:tentative="1">
      <w:start w:val="1"/>
      <w:numFmt w:val="lowerRoman"/>
      <w:lvlText w:val="%9."/>
      <w:lvlJc w:val="right"/>
      <w:pPr>
        <w:ind w:left="6840" w:hanging="180"/>
      </w:pPr>
    </w:lvl>
  </w:abstractNum>
  <w:abstractNum w:abstractNumId="12" w15:restartNumberingAfterBreak="0">
    <w:nsid w:val="47721DD3"/>
    <w:multiLevelType w:val="hybridMultilevel"/>
    <w:tmpl w:val="098A436C"/>
    <w:lvl w:ilvl="0" w:tplc="F4307F1A">
      <w:start w:val="1"/>
      <w:numFmt w:val="lowerLetter"/>
      <w:lvlText w:val="%1)"/>
      <w:lvlJc w:val="left"/>
      <w:pPr>
        <w:ind w:left="1080" w:hanging="360"/>
      </w:pPr>
      <w:rPr>
        <w:rFonts w:hint="default"/>
      </w:rPr>
    </w:lvl>
    <w:lvl w:ilvl="1" w:tplc="9530C168" w:tentative="1">
      <w:start w:val="1"/>
      <w:numFmt w:val="lowerLetter"/>
      <w:lvlText w:val="%2."/>
      <w:lvlJc w:val="left"/>
      <w:pPr>
        <w:ind w:left="1800" w:hanging="360"/>
      </w:pPr>
    </w:lvl>
    <w:lvl w:ilvl="2" w:tplc="5F72F8C4" w:tentative="1">
      <w:start w:val="1"/>
      <w:numFmt w:val="lowerRoman"/>
      <w:lvlText w:val="%3."/>
      <w:lvlJc w:val="right"/>
      <w:pPr>
        <w:ind w:left="2520" w:hanging="180"/>
      </w:pPr>
    </w:lvl>
    <w:lvl w:ilvl="3" w:tplc="09F08344" w:tentative="1">
      <w:start w:val="1"/>
      <w:numFmt w:val="decimal"/>
      <w:lvlText w:val="%4."/>
      <w:lvlJc w:val="left"/>
      <w:pPr>
        <w:ind w:left="3240" w:hanging="360"/>
      </w:pPr>
    </w:lvl>
    <w:lvl w:ilvl="4" w:tplc="528E7722" w:tentative="1">
      <w:start w:val="1"/>
      <w:numFmt w:val="lowerLetter"/>
      <w:lvlText w:val="%5."/>
      <w:lvlJc w:val="left"/>
      <w:pPr>
        <w:ind w:left="3960" w:hanging="360"/>
      </w:pPr>
    </w:lvl>
    <w:lvl w:ilvl="5" w:tplc="DBCA5A5A" w:tentative="1">
      <w:start w:val="1"/>
      <w:numFmt w:val="lowerRoman"/>
      <w:lvlText w:val="%6."/>
      <w:lvlJc w:val="right"/>
      <w:pPr>
        <w:ind w:left="4680" w:hanging="180"/>
      </w:pPr>
    </w:lvl>
    <w:lvl w:ilvl="6" w:tplc="85849DD6" w:tentative="1">
      <w:start w:val="1"/>
      <w:numFmt w:val="decimal"/>
      <w:lvlText w:val="%7."/>
      <w:lvlJc w:val="left"/>
      <w:pPr>
        <w:ind w:left="5400" w:hanging="360"/>
      </w:pPr>
    </w:lvl>
    <w:lvl w:ilvl="7" w:tplc="93C0C644" w:tentative="1">
      <w:start w:val="1"/>
      <w:numFmt w:val="lowerLetter"/>
      <w:lvlText w:val="%8."/>
      <w:lvlJc w:val="left"/>
      <w:pPr>
        <w:ind w:left="6120" w:hanging="360"/>
      </w:pPr>
    </w:lvl>
    <w:lvl w:ilvl="8" w:tplc="B10EF246" w:tentative="1">
      <w:start w:val="1"/>
      <w:numFmt w:val="lowerRoman"/>
      <w:lvlText w:val="%9."/>
      <w:lvlJc w:val="right"/>
      <w:pPr>
        <w:ind w:left="6840" w:hanging="180"/>
      </w:pPr>
    </w:lvl>
  </w:abstractNum>
  <w:abstractNum w:abstractNumId="13"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0D71B2B"/>
    <w:multiLevelType w:val="hybridMultilevel"/>
    <w:tmpl w:val="5C0219E6"/>
    <w:lvl w:ilvl="0" w:tplc="77DEDE42">
      <w:start w:val="1"/>
      <w:numFmt w:val="decimal"/>
      <w:lvlText w:val="%1)"/>
      <w:lvlJc w:val="left"/>
      <w:pPr>
        <w:ind w:left="1800" w:hanging="360"/>
      </w:pPr>
      <w:rPr>
        <w:rFonts w:hint="default"/>
      </w:rPr>
    </w:lvl>
    <w:lvl w:ilvl="1" w:tplc="31EEC1F6">
      <w:start w:val="1"/>
      <w:numFmt w:val="lowerLetter"/>
      <w:lvlText w:val="%2)"/>
      <w:lvlJc w:val="left"/>
      <w:pPr>
        <w:ind w:left="2520" w:hanging="360"/>
      </w:pPr>
      <w:rPr>
        <w:rFonts w:hint="default"/>
      </w:rPr>
    </w:lvl>
    <w:lvl w:ilvl="2" w:tplc="98043E00" w:tentative="1">
      <w:start w:val="1"/>
      <w:numFmt w:val="lowerRoman"/>
      <w:lvlText w:val="%3."/>
      <w:lvlJc w:val="right"/>
      <w:pPr>
        <w:ind w:left="3240" w:hanging="180"/>
      </w:pPr>
    </w:lvl>
    <w:lvl w:ilvl="3" w:tplc="EF94BC9C" w:tentative="1">
      <w:start w:val="1"/>
      <w:numFmt w:val="decimal"/>
      <w:lvlText w:val="%4."/>
      <w:lvlJc w:val="left"/>
      <w:pPr>
        <w:ind w:left="3960" w:hanging="360"/>
      </w:pPr>
    </w:lvl>
    <w:lvl w:ilvl="4" w:tplc="4DE0DE64" w:tentative="1">
      <w:start w:val="1"/>
      <w:numFmt w:val="lowerLetter"/>
      <w:lvlText w:val="%5."/>
      <w:lvlJc w:val="left"/>
      <w:pPr>
        <w:ind w:left="4680" w:hanging="360"/>
      </w:pPr>
    </w:lvl>
    <w:lvl w:ilvl="5" w:tplc="39DC3FDA" w:tentative="1">
      <w:start w:val="1"/>
      <w:numFmt w:val="lowerRoman"/>
      <w:lvlText w:val="%6."/>
      <w:lvlJc w:val="right"/>
      <w:pPr>
        <w:ind w:left="5400" w:hanging="180"/>
      </w:pPr>
    </w:lvl>
    <w:lvl w:ilvl="6" w:tplc="E202E342" w:tentative="1">
      <w:start w:val="1"/>
      <w:numFmt w:val="decimal"/>
      <w:lvlText w:val="%7."/>
      <w:lvlJc w:val="left"/>
      <w:pPr>
        <w:ind w:left="6120" w:hanging="360"/>
      </w:pPr>
    </w:lvl>
    <w:lvl w:ilvl="7" w:tplc="D9702B0E" w:tentative="1">
      <w:start w:val="1"/>
      <w:numFmt w:val="lowerLetter"/>
      <w:lvlText w:val="%8."/>
      <w:lvlJc w:val="left"/>
      <w:pPr>
        <w:ind w:left="6840" w:hanging="360"/>
      </w:pPr>
    </w:lvl>
    <w:lvl w:ilvl="8" w:tplc="397A5DC0" w:tentative="1">
      <w:start w:val="1"/>
      <w:numFmt w:val="lowerRoman"/>
      <w:lvlText w:val="%9."/>
      <w:lvlJc w:val="right"/>
      <w:pPr>
        <w:ind w:left="7560" w:hanging="180"/>
      </w:pPr>
    </w:lvl>
  </w:abstractNum>
  <w:abstractNum w:abstractNumId="15" w15:restartNumberingAfterBreak="0">
    <w:nsid w:val="54016EC7"/>
    <w:multiLevelType w:val="hybridMultilevel"/>
    <w:tmpl w:val="680AB946"/>
    <w:lvl w:ilvl="0" w:tplc="AE488DC0">
      <w:start w:val="1"/>
      <w:numFmt w:val="decimal"/>
      <w:lvlText w:val="%1."/>
      <w:lvlJc w:val="left"/>
      <w:pPr>
        <w:ind w:left="720" w:hanging="360"/>
      </w:pPr>
      <w:rPr>
        <w:rFonts w:hint="default"/>
      </w:rPr>
    </w:lvl>
    <w:lvl w:ilvl="1" w:tplc="6DE45C5E" w:tentative="1">
      <w:start w:val="1"/>
      <w:numFmt w:val="lowerLetter"/>
      <w:lvlText w:val="%2."/>
      <w:lvlJc w:val="left"/>
      <w:pPr>
        <w:ind w:left="1440" w:hanging="360"/>
      </w:pPr>
    </w:lvl>
    <w:lvl w:ilvl="2" w:tplc="D7708C7E" w:tentative="1">
      <w:start w:val="1"/>
      <w:numFmt w:val="lowerRoman"/>
      <w:lvlText w:val="%3."/>
      <w:lvlJc w:val="right"/>
      <w:pPr>
        <w:ind w:left="2160" w:hanging="180"/>
      </w:pPr>
    </w:lvl>
    <w:lvl w:ilvl="3" w:tplc="48F8AF58" w:tentative="1">
      <w:start w:val="1"/>
      <w:numFmt w:val="decimal"/>
      <w:lvlText w:val="%4."/>
      <w:lvlJc w:val="left"/>
      <w:pPr>
        <w:ind w:left="2880" w:hanging="360"/>
      </w:pPr>
    </w:lvl>
    <w:lvl w:ilvl="4" w:tplc="54722D16" w:tentative="1">
      <w:start w:val="1"/>
      <w:numFmt w:val="lowerLetter"/>
      <w:lvlText w:val="%5."/>
      <w:lvlJc w:val="left"/>
      <w:pPr>
        <w:ind w:left="3600" w:hanging="360"/>
      </w:pPr>
    </w:lvl>
    <w:lvl w:ilvl="5" w:tplc="2916B2D8" w:tentative="1">
      <w:start w:val="1"/>
      <w:numFmt w:val="lowerRoman"/>
      <w:lvlText w:val="%6."/>
      <w:lvlJc w:val="right"/>
      <w:pPr>
        <w:ind w:left="4320" w:hanging="180"/>
      </w:pPr>
    </w:lvl>
    <w:lvl w:ilvl="6" w:tplc="7BC00014" w:tentative="1">
      <w:start w:val="1"/>
      <w:numFmt w:val="decimal"/>
      <w:lvlText w:val="%7."/>
      <w:lvlJc w:val="left"/>
      <w:pPr>
        <w:ind w:left="5040" w:hanging="360"/>
      </w:pPr>
    </w:lvl>
    <w:lvl w:ilvl="7" w:tplc="694013F0" w:tentative="1">
      <w:start w:val="1"/>
      <w:numFmt w:val="lowerLetter"/>
      <w:lvlText w:val="%8."/>
      <w:lvlJc w:val="left"/>
      <w:pPr>
        <w:ind w:left="5760" w:hanging="360"/>
      </w:pPr>
    </w:lvl>
    <w:lvl w:ilvl="8" w:tplc="3C5E3200" w:tentative="1">
      <w:start w:val="1"/>
      <w:numFmt w:val="lowerRoman"/>
      <w:lvlText w:val="%9."/>
      <w:lvlJc w:val="right"/>
      <w:pPr>
        <w:ind w:left="6480" w:hanging="180"/>
      </w:pPr>
    </w:lvl>
  </w:abstractNum>
  <w:abstractNum w:abstractNumId="16" w15:restartNumberingAfterBreak="0">
    <w:nsid w:val="5D804679"/>
    <w:multiLevelType w:val="hybridMultilevel"/>
    <w:tmpl w:val="32125C0A"/>
    <w:lvl w:ilvl="0" w:tplc="1A42D674">
      <w:start w:val="1"/>
      <w:numFmt w:val="lowerLetter"/>
      <w:lvlText w:val="%1)"/>
      <w:lvlJc w:val="left"/>
      <w:pPr>
        <w:ind w:left="1512" w:hanging="360"/>
      </w:pPr>
    </w:lvl>
    <w:lvl w:ilvl="1" w:tplc="7E7E1E0E">
      <w:start w:val="1"/>
      <w:numFmt w:val="lowerLetter"/>
      <w:lvlText w:val="(%2)"/>
      <w:lvlJc w:val="left"/>
      <w:pPr>
        <w:ind w:left="2232" w:hanging="360"/>
      </w:pPr>
      <w:rPr>
        <w:rFonts w:hint="default"/>
      </w:rPr>
    </w:lvl>
    <w:lvl w:ilvl="2" w:tplc="F8B02636" w:tentative="1">
      <w:start w:val="1"/>
      <w:numFmt w:val="lowerRoman"/>
      <w:lvlText w:val="%3."/>
      <w:lvlJc w:val="right"/>
      <w:pPr>
        <w:ind w:left="2952" w:hanging="180"/>
      </w:pPr>
    </w:lvl>
    <w:lvl w:ilvl="3" w:tplc="28128998" w:tentative="1">
      <w:start w:val="1"/>
      <w:numFmt w:val="decimal"/>
      <w:lvlText w:val="%4."/>
      <w:lvlJc w:val="left"/>
      <w:pPr>
        <w:ind w:left="3672" w:hanging="360"/>
      </w:pPr>
    </w:lvl>
    <w:lvl w:ilvl="4" w:tplc="0F42ADEA" w:tentative="1">
      <w:start w:val="1"/>
      <w:numFmt w:val="lowerLetter"/>
      <w:lvlText w:val="%5."/>
      <w:lvlJc w:val="left"/>
      <w:pPr>
        <w:ind w:left="4392" w:hanging="360"/>
      </w:pPr>
    </w:lvl>
    <w:lvl w:ilvl="5" w:tplc="5B5A121A" w:tentative="1">
      <w:start w:val="1"/>
      <w:numFmt w:val="lowerRoman"/>
      <w:lvlText w:val="%6."/>
      <w:lvlJc w:val="right"/>
      <w:pPr>
        <w:ind w:left="5112" w:hanging="180"/>
      </w:pPr>
    </w:lvl>
    <w:lvl w:ilvl="6" w:tplc="E58258B4" w:tentative="1">
      <w:start w:val="1"/>
      <w:numFmt w:val="decimal"/>
      <w:lvlText w:val="%7."/>
      <w:lvlJc w:val="left"/>
      <w:pPr>
        <w:ind w:left="5832" w:hanging="360"/>
      </w:pPr>
    </w:lvl>
    <w:lvl w:ilvl="7" w:tplc="85905BF2" w:tentative="1">
      <w:start w:val="1"/>
      <w:numFmt w:val="lowerLetter"/>
      <w:lvlText w:val="%8."/>
      <w:lvlJc w:val="left"/>
      <w:pPr>
        <w:ind w:left="6552" w:hanging="360"/>
      </w:pPr>
    </w:lvl>
    <w:lvl w:ilvl="8" w:tplc="D2023646" w:tentative="1">
      <w:start w:val="1"/>
      <w:numFmt w:val="lowerRoman"/>
      <w:lvlText w:val="%9."/>
      <w:lvlJc w:val="right"/>
      <w:pPr>
        <w:ind w:left="7272" w:hanging="180"/>
      </w:pPr>
    </w:lvl>
  </w:abstractNum>
  <w:abstractNum w:abstractNumId="17"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F040F77"/>
    <w:multiLevelType w:val="hybridMultilevel"/>
    <w:tmpl w:val="7EAADA3C"/>
    <w:lvl w:ilvl="0" w:tplc="A0B81924">
      <w:start w:val="289"/>
      <w:numFmt w:val="bullet"/>
      <w:lvlText w:val="-"/>
      <w:lvlJc w:val="left"/>
      <w:pPr>
        <w:ind w:left="1080" w:hanging="360"/>
      </w:pPr>
      <w:rPr>
        <w:rFonts w:ascii="Arial" w:eastAsia="Times New Roman" w:hAnsi="Arial" w:cs="Arial" w:hint="default"/>
      </w:rPr>
    </w:lvl>
    <w:lvl w:ilvl="1" w:tplc="DB3E8AAC" w:tentative="1">
      <w:start w:val="1"/>
      <w:numFmt w:val="bullet"/>
      <w:lvlText w:val="o"/>
      <w:lvlJc w:val="left"/>
      <w:pPr>
        <w:ind w:left="1800" w:hanging="360"/>
      </w:pPr>
      <w:rPr>
        <w:rFonts w:ascii="Courier New" w:hAnsi="Courier New" w:cs="Courier New" w:hint="default"/>
      </w:rPr>
    </w:lvl>
    <w:lvl w:ilvl="2" w:tplc="644AED34" w:tentative="1">
      <w:start w:val="1"/>
      <w:numFmt w:val="bullet"/>
      <w:lvlText w:val=""/>
      <w:lvlJc w:val="left"/>
      <w:pPr>
        <w:ind w:left="2520" w:hanging="360"/>
      </w:pPr>
      <w:rPr>
        <w:rFonts w:ascii="Wingdings" w:hAnsi="Wingdings" w:hint="default"/>
      </w:rPr>
    </w:lvl>
    <w:lvl w:ilvl="3" w:tplc="6BECC606" w:tentative="1">
      <w:start w:val="1"/>
      <w:numFmt w:val="bullet"/>
      <w:lvlText w:val=""/>
      <w:lvlJc w:val="left"/>
      <w:pPr>
        <w:ind w:left="3240" w:hanging="360"/>
      </w:pPr>
      <w:rPr>
        <w:rFonts w:ascii="Symbol" w:hAnsi="Symbol" w:hint="default"/>
      </w:rPr>
    </w:lvl>
    <w:lvl w:ilvl="4" w:tplc="7BBA310C" w:tentative="1">
      <w:start w:val="1"/>
      <w:numFmt w:val="bullet"/>
      <w:lvlText w:val="o"/>
      <w:lvlJc w:val="left"/>
      <w:pPr>
        <w:ind w:left="3960" w:hanging="360"/>
      </w:pPr>
      <w:rPr>
        <w:rFonts w:ascii="Courier New" w:hAnsi="Courier New" w:cs="Courier New" w:hint="default"/>
      </w:rPr>
    </w:lvl>
    <w:lvl w:ilvl="5" w:tplc="EBFCC8F6" w:tentative="1">
      <w:start w:val="1"/>
      <w:numFmt w:val="bullet"/>
      <w:lvlText w:val=""/>
      <w:lvlJc w:val="left"/>
      <w:pPr>
        <w:ind w:left="4680" w:hanging="360"/>
      </w:pPr>
      <w:rPr>
        <w:rFonts w:ascii="Wingdings" w:hAnsi="Wingdings" w:hint="default"/>
      </w:rPr>
    </w:lvl>
    <w:lvl w:ilvl="6" w:tplc="36642BAA" w:tentative="1">
      <w:start w:val="1"/>
      <w:numFmt w:val="bullet"/>
      <w:lvlText w:val=""/>
      <w:lvlJc w:val="left"/>
      <w:pPr>
        <w:ind w:left="5400" w:hanging="360"/>
      </w:pPr>
      <w:rPr>
        <w:rFonts w:ascii="Symbol" w:hAnsi="Symbol" w:hint="default"/>
      </w:rPr>
    </w:lvl>
    <w:lvl w:ilvl="7" w:tplc="753AB128" w:tentative="1">
      <w:start w:val="1"/>
      <w:numFmt w:val="bullet"/>
      <w:lvlText w:val="o"/>
      <w:lvlJc w:val="left"/>
      <w:pPr>
        <w:ind w:left="6120" w:hanging="360"/>
      </w:pPr>
      <w:rPr>
        <w:rFonts w:ascii="Courier New" w:hAnsi="Courier New" w:cs="Courier New" w:hint="default"/>
      </w:rPr>
    </w:lvl>
    <w:lvl w:ilvl="8" w:tplc="D6A06740" w:tentative="1">
      <w:start w:val="1"/>
      <w:numFmt w:val="bullet"/>
      <w:lvlText w:val=""/>
      <w:lvlJc w:val="left"/>
      <w:pPr>
        <w:ind w:left="6840" w:hanging="360"/>
      </w:pPr>
      <w:rPr>
        <w:rFonts w:ascii="Wingdings" w:hAnsi="Wingdings" w:hint="default"/>
      </w:rPr>
    </w:lvl>
  </w:abstractNum>
  <w:num w:numId="1" w16cid:durableId="140773287">
    <w:abstractNumId w:val="17"/>
  </w:num>
  <w:num w:numId="2" w16cid:durableId="953176524">
    <w:abstractNumId w:val="17"/>
  </w:num>
  <w:num w:numId="3" w16cid:durableId="285626381">
    <w:abstractNumId w:val="17"/>
  </w:num>
  <w:num w:numId="4" w16cid:durableId="1313752965">
    <w:abstractNumId w:val="8"/>
  </w:num>
  <w:num w:numId="5" w16cid:durableId="1098015781">
    <w:abstractNumId w:val="3"/>
  </w:num>
  <w:num w:numId="6" w16cid:durableId="375473492">
    <w:abstractNumId w:val="2"/>
  </w:num>
  <w:num w:numId="7" w16cid:durableId="385882826">
    <w:abstractNumId w:val="1"/>
  </w:num>
  <w:num w:numId="8" w16cid:durableId="249968846">
    <w:abstractNumId w:val="0"/>
  </w:num>
  <w:num w:numId="9" w16cid:durableId="229729490">
    <w:abstractNumId w:val="9"/>
  </w:num>
  <w:num w:numId="10" w16cid:durableId="1655641466">
    <w:abstractNumId w:val="7"/>
  </w:num>
  <w:num w:numId="11" w16cid:durableId="2107263915">
    <w:abstractNumId w:val="6"/>
  </w:num>
  <w:num w:numId="12" w16cid:durableId="845677741">
    <w:abstractNumId w:val="5"/>
  </w:num>
  <w:num w:numId="13" w16cid:durableId="508836303">
    <w:abstractNumId w:val="4"/>
  </w:num>
  <w:num w:numId="14" w16cid:durableId="884294203">
    <w:abstractNumId w:val="17"/>
  </w:num>
  <w:num w:numId="15" w16cid:durableId="481436136">
    <w:abstractNumId w:val="17"/>
  </w:num>
  <w:num w:numId="16" w16cid:durableId="1566261652">
    <w:abstractNumId w:val="17"/>
  </w:num>
  <w:num w:numId="17" w16cid:durableId="1842037986">
    <w:abstractNumId w:val="13"/>
  </w:num>
  <w:num w:numId="18" w16cid:durableId="2053532073">
    <w:abstractNumId w:val="10"/>
  </w:num>
  <w:num w:numId="19" w16cid:durableId="1709721964">
    <w:abstractNumId w:val="15"/>
  </w:num>
  <w:num w:numId="20" w16cid:durableId="1902862886">
    <w:abstractNumId w:val="14"/>
  </w:num>
  <w:num w:numId="21" w16cid:durableId="1349214408">
    <w:abstractNumId w:val="18"/>
  </w:num>
  <w:num w:numId="22" w16cid:durableId="642078924">
    <w:abstractNumId w:val="12"/>
  </w:num>
  <w:num w:numId="23" w16cid:durableId="1383866609">
    <w:abstractNumId w:val="11"/>
  </w:num>
  <w:num w:numId="24" w16cid:durableId="1504080168">
    <w:abstractNumId w:val="16"/>
  </w:num>
  <w:num w:numId="25" w16cid:durableId="1800340136">
    <w:abstractNumId w:val="10"/>
  </w:num>
  <w:num w:numId="26" w16cid:durableId="1530878103">
    <w:abstractNumId w:val="10"/>
  </w:num>
  <w:num w:numId="27" w16cid:durableId="692270256">
    <w:abstractNumId w:val="10"/>
  </w:num>
  <w:num w:numId="28" w16cid:durableId="1789083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NBChoix" w:val="3"/>
    <w:docVar w:name="MotifJuge1" w:val="MOTIFS DU JUGE"/>
    <w:docVar w:name="MotifJuge2" w:val="MOTIFS DE LA JUGE"/>
    <w:docVar w:name="MotifJuge3" w:val="MOTIFS DU JUGE"/>
    <w:docVar w:name="NomFamJuge1" w:val="MAINVILLE"/>
    <w:docVar w:name="NomFamJuge2" w:val="BAUDOUIN"/>
    <w:docVar w:name="NomFamJuge3" w:val="BACHAND"/>
    <w:docVar w:name="NomFamJuge4" w:val="MAILHOT"/>
    <w:docVar w:name="NomFamJuge5" w:val="BAUDOUIN"/>
    <w:docVar w:name="QteJuge1" w:val=", J.C.A."/>
    <w:docVar w:name="QteJuge2" w:val=", J.C.A."/>
    <w:docVar w:name="QteJuge3" w:val=", J.C.A."/>
    <w:docVar w:name="stPremiereFois" w:val="Non"/>
  </w:docVars>
  <w:rsids>
    <w:rsidRoot w:val="002E3C5D"/>
    <w:rsid w:val="00005068"/>
    <w:rsid w:val="000131E1"/>
    <w:rsid w:val="000166F0"/>
    <w:rsid w:val="00020E81"/>
    <w:rsid w:val="00022364"/>
    <w:rsid w:val="000252F0"/>
    <w:rsid w:val="00027FF9"/>
    <w:rsid w:val="00030C73"/>
    <w:rsid w:val="00040DA9"/>
    <w:rsid w:val="0004394C"/>
    <w:rsid w:val="00044F94"/>
    <w:rsid w:val="00046DFF"/>
    <w:rsid w:val="00050A47"/>
    <w:rsid w:val="00050F25"/>
    <w:rsid w:val="00051F53"/>
    <w:rsid w:val="00053691"/>
    <w:rsid w:val="00055ECE"/>
    <w:rsid w:val="00073DB0"/>
    <w:rsid w:val="00081587"/>
    <w:rsid w:val="00083D17"/>
    <w:rsid w:val="00086473"/>
    <w:rsid w:val="00095C20"/>
    <w:rsid w:val="000A22E0"/>
    <w:rsid w:val="000A534B"/>
    <w:rsid w:val="000A6F8A"/>
    <w:rsid w:val="000A7516"/>
    <w:rsid w:val="000B14BE"/>
    <w:rsid w:val="000B31BE"/>
    <w:rsid w:val="000B384B"/>
    <w:rsid w:val="000B42AF"/>
    <w:rsid w:val="000D3C75"/>
    <w:rsid w:val="000D4EFA"/>
    <w:rsid w:val="000E1D67"/>
    <w:rsid w:val="000E33DF"/>
    <w:rsid w:val="000E4EE0"/>
    <w:rsid w:val="000E745E"/>
    <w:rsid w:val="0010268B"/>
    <w:rsid w:val="00110B53"/>
    <w:rsid w:val="00110F5B"/>
    <w:rsid w:val="00112321"/>
    <w:rsid w:val="00117914"/>
    <w:rsid w:val="00124903"/>
    <w:rsid w:val="00127938"/>
    <w:rsid w:val="0013028C"/>
    <w:rsid w:val="001322B4"/>
    <w:rsid w:val="001363D9"/>
    <w:rsid w:val="00136E44"/>
    <w:rsid w:val="00142823"/>
    <w:rsid w:val="00143F19"/>
    <w:rsid w:val="001440E9"/>
    <w:rsid w:val="001447AF"/>
    <w:rsid w:val="00153AEF"/>
    <w:rsid w:val="00154B3E"/>
    <w:rsid w:val="0015610F"/>
    <w:rsid w:val="00160B31"/>
    <w:rsid w:val="001611B6"/>
    <w:rsid w:val="0016561B"/>
    <w:rsid w:val="0017109D"/>
    <w:rsid w:val="00176813"/>
    <w:rsid w:val="00177EF0"/>
    <w:rsid w:val="00181F56"/>
    <w:rsid w:val="00182045"/>
    <w:rsid w:val="001833B3"/>
    <w:rsid w:val="00184781"/>
    <w:rsid w:val="00185A02"/>
    <w:rsid w:val="00190FA7"/>
    <w:rsid w:val="00191C13"/>
    <w:rsid w:val="001970F3"/>
    <w:rsid w:val="001972F2"/>
    <w:rsid w:val="001A2D69"/>
    <w:rsid w:val="001A7FB6"/>
    <w:rsid w:val="001B1E5F"/>
    <w:rsid w:val="001C1B7E"/>
    <w:rsid w:val="001D0AAA"/>
    <w:rsid w:val="001D0E14"/>
    <w:rsid w:val="001E5252"/>
    <w:rsid w:val="001F04E1"/>
    <w:rsid w:val="001F3EB3"/>
    <w:rsid w:val="001F4C00"/>
    <w:rsid w:val="001F5E36"/>
    <w:rsid w:val="001F63B6"/>
    <w:rsid w:val="00205DC4"/>
    <w:rsid w:val="0021548E"/>
    <w:rsid w:val="00220148"/>
    <w:rsid w:val="00223018"/>
    <w:rsid w:val="00227181"/>
    <w:rsid w:val="002273F5"/>
    <w:rsid w:val="002300E2"/>
    <w:rsid w:val="00230CDA"/>
    <w:rsid w:val="002423CA"/>
    <w:rsid w:val="002427D1"/>
    <w:rsid w:val="00244DBA"/>
    <w:rsid w:val="002461DE"/>
    <w:rsid w:val="00251E26"/>
    <w:rsid w:val="00253BEB"/>
    <w:rsid w:val="00256D7A"/>
    <w:rsid w:val="002614A7"/>
    <w:rsid w:val="002700C4"/>
    <w:rsid w:val="002706D6"/>
    <w:rsid w:val="00275FBE"/>
    <w:rsid w:val="0028131C"/>
    <w:rsid w:val="002851C4"/>
    <w:rsid w:val="00290DC8"/>
    <w:rsid w:val="002975D6"/>
    <w:rsid w:val="002A089F"/>
    <w:rsid w:val="002B0F53"/>
    <w:rsid w:val="002B4A07"/>
    <w:rsid w:val="002B4BD6"/>
    <w:rsid w:val="002B4E33"/>
    <w:rsid w:val="002C12F5"/>
    <w:rsid w:val="002C4107"/>
    <w:rsid w:val="002C74CB"/>
    <w:rsid w:val="002D1014"/>
    <w:rsid w:val="002D5BD2"/>
    <w:rsid w:val="002E1F0E"/>
    <w:rsid w:val="002E229C"/>
    <w:rsid w:val="002E3A6D"/>
    <w:rsid w:val="002E3C5D"/>
    <w:rsid w:val="002E51F1"/>
    <w:rsid w:val="002E6527"/>
    <w:rsid w:val="002E7952"/>
    <w:rsid w:val="002E7A50"/>
    <w:rsid w:val="002F1350"/>
    <w:rsid w:val="002F182E"/>
    <w:rsid w:val="002F6136"/>
    <w:rsid w:val="00305AA2"/>
    <w:rsid w:val="003062EA"/>
    <w:rsid w:val="00307FDB"/>
    <w:rsid w:val="00322DE0"/>
    <w:rsid w:val="0032363D"/>
    <w:rsid w:val="00327717"/>
    <w:rsid w:val="0033190E"/>
    <w:rsid w:val="00336B83"/>
    <w:rsid w:val="003425F8"/>
    <w:rsid w:val="00343FAB"/>
    <w:rsid w:val="00344A2E"/>
    <w:rsid w:val="00350CDD"/>
    <w:rsid w:val="00351674"/>
    <w:rsid w:val="00351B4A"/>
    <w:rsid w:val="00352361"/>
    <w:rsid w:val="00354FD3"/>
    <w:rsid w:val="003608AB"/>
    <w:rsid w:val="00361325"/>
    <w:rsid w:val="00365BAB"/>
    <w:rsid w:val="003725B0"/>
    <w:rsid w:val="00374888"/>
    <w:rsid w:val="00374E40"/>
    <w:rsid w:val="00382D1B"/>
    <w:rsid w:val="003854C0"/>
    <w:rsid w:val="00386FFF"/>
    <w:rsid w:val="003918F8"/>
    <w:rsid w:val="0039715E"/>
    <w:rsid w:val="00397488"/>
    <w:rsid w:val="003B1499"/>
    <w:rsid w:val="003B5876"/>
    <w:rsid w:val="003D02FF"/>
    <w:rsid w:val="003D16A9"/>
    <w:rsid w:val="003D18DB"/>
    <w:rsid w:val="003D487D"/>
    <w:rsid w:val="003E3239"/>
    <w:rsid w:val="003E3E3C"/>
    <w:rsid w:val="003E543D"/>
    <w:rsid w:val="003E77FF"/>
    <w:rsid w:val="003E7F04"/>
    <w:rsid w:val="003F2C45"/>
    <w:rsid w:val="003F5176"/>
    <w:rsid w:val="003F7B55"/>
    <w:rsid w:val="00401C26"/>
    <w:rsid w:val="00402171"/>
    <w:rsid w:val="00403AE9"/>
    <w:rsid w:val="00404A7C"/>
    <w:rsid w:val="00407D91"/>
    <w:rsid w:val="00421262"/>
    <w:rsid w:val="004223A3"/>
    <w:rsid w:val="0042386F"/>
    <w:rsid w:val="00423DF1"/>
    <w:rsid w:val="00425A15"/>
    <w:rsid w:val="00426B40"/>
    <w:rsid w:val="00430C58"/>
    <w:rsid w:val="00432B57"/>
    <w:rsid w:val="004331C4"/>
    <w:rsid w:val="0043564D"/>
    <w:rsid w:val="00441067"/>
    <w:rsid w:val="00441C25"/>
    <w:rsid w:val="00446452"/>
    <w:rsid w:val="00452F28"/>
    <w:rsid w:val="00453AF9"/>
    <w:rsid w:val="00461D1F"/>
    <w:rsid w:val="00471D32"/>
    <w:rsid w:val="00472DC8"/>
    <w:rsid w:val="00477D0C"/>
    <w:rsid w:val="00477D29"/>
    <w:rsid w:val="004802EC"/>
    <w:rsid w:val="004839DD"/>
    <w:rsid w:val="004852FF"/>
    <w:rsid w:val="00485D74"/>
    <w:rsid w:val="004A0F5B"/>
    <w:rsid w:val="004A29F1"/>
    <w:rsid w:val="004A357D"/>
    <w:rsid w:val="004A6641"/>
    <w:rsid w:val="004A6A03"/>
    <w:rsid w:val="004B1E94"/>
    <w:rsid w:val="004B33FF"/>
    <w:rsid w:val="004B346B"/>
    <w:rsid w:val="004B6AE5"/>
    <w:rsid w:val="004B7258"/>
    <w:rsid w:val="004B7516"/>
    <w:rsid w:val="004B7F16"/>
    <w:rsid w:val="004C3F6E"/>
    <w:rsid w:val="004C503D"/>
    <w:rsid w:val="004D2F69"/>
    <w:rsid w:val="004E4FBA"/>
    <w:rsid w:val="004E5219"/>
    <w:rsid w:val="004F020F"/>
    <w:rsid w:val="004F12D8"/>
    <w:rsid w:val="004F760A"/>
    <w:rsid w:val="005131F1"/>
    <w:rsid w:val="0051484F"/>
    <w:rsid w:val="00516B3E"/>
    <w:rsid w:val="005262C9"/>
    <w:rsid w:val="00531D70"/>
    <w:rsid w:val="00532B93"/>
    <w:rsid w:val="00536D8A"/>
    <w:rsid w:val="00540F98"/>
    <w:rsid w:val="00541C01"/>
    <w:rsid w:val="005445A9"/>
    <w:rsid w:val="005534A4"/>
    <w:rsid w:val="0055418A"/>
    <w:rsid w:val="0055542E"/>
    <w:rsid w:val="00565A81"/>
    <w:rsid w:val="00566BF6"/>
    <w:rsid w:val="00571F0E"/>
    <w:rsid w:val="0058256F"/>
    <w:rsid w:val="00583434"/>
    <w:rsid w:val="0058349F"/>
    <w:rsid w:val="00585FAE"/>
    <w:rsid w:val="00597201"/>
    <w:rsid w:val="005A78BF"/>
    <w:rsid w:val="005B6B4C"/>
    <w:rsid w:val="005C7516"/>
    <w:rsid w:val="005D1522"/>
    <w:rsid w:val="005E374D"/>
    <w:rsid w:val="005F15BF"/>
    <w:rsid w:val="005F39B9"/>
    <w:rsid w:val="005F5F5F"/>
    <w:rsid w:val="005F742E"/>
    <w:rsid w:val="00604E99"/>
    <w:rsid w:val="00610F36"/>
    <w:rsid w:val="00624770"/>
    <w:rsid w:val="00630F94"/>
    <w:rsid w:val="00633977"/>
    <w:rsid w:val="006377D7"/>
    <w:rsid w:val="0064000A"/>
    <w:rsid w:val="0064250B"/>
    <w:rsid w:val="00646BDE"/>
    <w:rsid w:val="00655104"/>
    <w:rsid w:val="006644E6"/>
    <w:rsid w:val="00671D3D"/>
    <w:rsid w:val="00673A04"/>
    <w:rsid w:val="006815E9"/>
    <w:rsid w:val="006826AA"/>
    <w:rsid w:val="006832DD"/>
    <w:rsid w:val="0068356A"/>
    <w:rsid w:val="006A0DB0"/>
    <w:rsid w:val="006A2849"/>
    <w:rsid w:val="006A6629"/>
    <w:rsid w:val="006A7004"/>
    <w:rsid w:val="006B06CF"/>
    <w:rsid w:val="006B249E"/>
    <w:rsid w:val="006B7FB3"/>
    <w:rsid w:val="006C0027"/>
    <w:rsid w:val="006C42C6"/>
    <w:rsid w:val="006D1729"/>
    <w:rsid w:val="006D4EF4"/>
    <w:rsid w:val="006E1C6F"/>
    <w:rsid w:val="006E310B"/>
    <w:rsid w:val="006E480A"/>
    <w:rsid w:val="006E5151"/>
    <w:rsid w:val="006E5E27"/>
    <w:rsid w:val="006E799E"/>
    <w:rsid w:val="00703ECD"/>
    <w:rsid w:val="00710ED8"/>
    <w:rsid w:val="00713885"/>
    <w:rsid w:val="00716E23"/>
    <w:rsid w:val="00726519"/>
    <w:rsid w:val="0073127C"/>
    <w:rsid w:val="007316CC"/>
    <w:rsid w:val="00740835"/>
    <w:rsid w:val="00740A17"/>
    <w:rsid w:val="007462D6"/>
    <w:rsid w:val="0074738B"/>
    <w:rsid w:val="0075181E"/>
    <w:rsid w:val="0075320B"/>
    <w:rsid w:val="0075368D"/>
    <w:rsid w:val="00757654"/>
    <w:rsid w:val="0076062E"/>
    <w:rsid w:val="007621CD"/>
    <w:rsid w:val="00771140"/>
    <w:rsid w:val="007861F7"/>
    <w:rsid w:val="00787206"/>
    <w:rsid w:val="00792D11"/>
    <w:rsid w:val="007953F3"/>
    <w:rsid w:val="0079799A"/>
    <w:rsid w:val="007A251E"/>
    <w:rsid w:val="007A49FC"/>
    <w:rsid w:val="007A6DE7"/>
    <w:rsid w:val="007A7803"/>
    <w:rsid w:val="007B003A"/>
    <w:rsid w:val="007B061E"/>
    <w:rsid w:val="007B48D5"/>
    <w:rsid w:val="007B4907"/>
    <w:rsid w:val="007B6DE8"/>
    <w:rsid w:val="007C7283"/>
    <w:rsid w:val="007D057B"/>
    <w:rsid w:val="007D087C"/>
    <w:rsid w:val="007D171E"/>
    <w:rsid w:val="007D3DC0"/>
    <w:rsid w:val="007E22F5"/>
    <w:rsid w:val="007E24B6"/>
    <w:rsid w:val="007E33E4"/>
    <w:rsid w:val="007E4CC9"/>
    <w:rsid w:val="007E504B"/>
    <w:rsid w:val="00800D23"/>
    <w:rsid w:val="00816273"/>
    <w:rsid w:val="0082717B"/>
    <w:rsid w:val="00827B04"/>
    <w:rsid w:val="0083032E"/>
    <w:rsid w:val="00836FBA"/>
    <w:rsid w:val="00841907"/>
    <w:rsid w:val="0086036A"/>
    <w:rsid w:val="008620D9"/>
    <w:rsid w:val="00863D60"/>
    <w:rsid w:val="00864265"/>
    <w:rsid w:val="008653A3"/>
    <w:rsid w:val="008657A2"/>
    <w:rsid w:val="00866645"/>
    <w:rsid w:val="008667EB"/>
    <w:rsid w:val="00867DB5"/>
    <w:rsid w:val="0087636D"/>
    <w:rsid w:val="0087677B"/>
    <w:rsid w:val="00882210"/>
    <w:rsid w:val="0088587E"/>
    <w:rsid w:val="00886D42"/>
    <w:rsid w:val="00897A63"/>
    <w:rsid w:val="008A2577"/>
    <w:rsid w:val="008A6185"/>
    <w:rsid w:val="008A7985"/>
    <w:rsid w:val="008B6FCB"/>
    <w:rsid w:val="008C1FE9"/>
    <w:rsid w:val="008C2086"/>
    <w:rsid w:val="008C634F"/>
    <w:rsid w:val="008C7DCE"/>
    <w:rsid w:val="008D18FC"/>
    <w:rsid w:val="008D1AF7"/>
    <w:rsid w:val="008D398B"/>
    <w:rsid w:val="008D3AF9"/>
    <w:rsid w:val="008D7E49"/>
    <w:rsid w:val="008E0E9F"/>
    <w:rsid w:val="008E1A6C"/>
    <w:rsid w:val="008E375E"/>
    <w:rsid w:val="008F20E8"/>
    <w:rsid w:val="008F2BDA"/>
    <w:rsid w:val="008F33E5"/>
    <w:rsid w:val="008F364A"/>
    <w:rsid w:val="008F3F53"/>
    <w:rsid w:val="008F61E5"/>
    <w:rsid w:val="00904CD1"/>
    <w:rsid w:val="00906349"/>
    <w:rsid w:val="00913E03"/>
    <w:rsid w:val="00913E08"/>
    <w:rsid w:val="0092244C"/>
    <w:rsid w:val="009229E9"/>
    <w:rsid w:val="00926953"/>
    <w:rsid w:val="00930467"/>
    <w:rsid w:val="00932703"/>
    <w:rsid w:val="00936469"/>
    <w:rsid w:val="00936920"/>
    <w:rsid w:val="00936B81"/>
    <w:rsid w:val="009378E5"/>
    <w:rsid w:val="009400B7"/>
    <w:rsid w:val="00941801"/>
    <w:rsid w:val="00947321"/>
    <w:rsid w:val="0095472D"/>
    <w:rsid w:val="00954AF5"/>
    <w:rsid w:val="00954DC2"/>
    <w:rsid w:val="00957B92"/>
    <w:rsid w:val="00962558"/>
    <w:rsid w:val="00963A42"/>
    <w:rsid w:val="00965CC8"/>
    <w:rsid w:val="0096640C"/>
    <w:rsid w:val="00970966"/>
    <w:rsid w:val="009719B4"/>
    <w:rsid w:val="00974442"/>
    <w:rsid w:val="00976654"/>
    <w:rsid w:val="00983702"/>
    <w:rsid w:val="009838B1"/>
    <w:rsid w:val="009914A4"/>
    <w:rsid w:val="009940EB"/>
    <w:rsid w:val="009B13AC"/>
    <w:rsid w:val="009B2894"/>
    <w:rsid w:val="009B6161"/>
    <w:rsid w:val="009B7A8F"/>
    <w:rsid w:val="009C3404"/>
    <w:rsid w:val="009C4D72"/>
    <w:rsid w:val="009C4DBA"/>
    <w:rsid w:val="009D656D"/>
    <w:rsid w:val="009D69BC"/>
    <w:rsid w:val="009F1F69"/>
    <w:rsid w:val="009F3E85"/>
    <w:rsid w:val="009F693B"/>
    <w:rsid w:val="00A03C9E"/>
    <w:rsid w:val="00A041B8"/>
    <w:rsid w:val="00A11A28"/>
    <w:rsid w:val="00A17C43"/>
    <w:rsid w:val="00A17EEF"/>
    <w:rsid w:val="00A23BF4"/>
    <w:rsid w:val="00A2593B"/>
    <w:rsid w:val="00A2675B"/>
    <w:rsid w:val="00A271DE"/>
    <w:rsid w:val="00A27A14"/>
    <w:rsid w:val="00A30DCB"/>
    <w:rsid w:val="00A34E05"/>
    <w:rsid w:val="00A3519F"/>
    <w:rsid w:val="00A40B3A"/>
    <w:rsid w:val="00A43D8B"/>
    <w:rsid w:val="00A454F1"/>
    <w:rsid w:val="00A45FB1"/>
    <w:rsid w:val="00A543CC"/>
    <w:rsid w:val="00A6003F"/>
    <w:rsid w:val="00A65A88"/>
    <w:rsid w:val="00A70365"/>
    <w:rsid w:val="00A71E3F"/>
    <w:rsid w:val="00A72BA4"/>
    <w:rsid w:val="00A7415A"/>
    <w:rsid w:val="00A75812"/>
    <w:rsid w:val="00A77048"/>
    <w:rsid w:val="00A778F2"/>
    <w:rsid w:val="00A80C94"/>
    <w:rsid w:val="00A82566"/>
    <w:rsid w:val="00A848CB"/>
    <w:rsid w:val="00A93CFF"/>
    <w:rsid w:val="00A941A2"/>
    <w:rsid w:val="00A946F5"/>
    <w:rsid w:val="00A948AF"/>
    <w:rsid w:val="00A94E51"/>
    <w:rsid w:val="00A95428"/>
    <w:rsid w:val="00A96B2F"/>
    <w:rsid w:val="00AB07BE"/>
    <w:rsid w:val="00AB1B89"/>
    <w:rsid w:val="00AB4F70"/>
    <w:rsid w:val="00AB704A"/>
    <w:rsid w:val="00AB7DD2"/>
    <w:rsid w:val="00AC0169"/>
    <w:rsid w:val="00AC4D24"/>
    <w:rsid w:val="00AD06A2"/>
    <w:rsid w:val="00AD1910"/>
    <w:rsid w:val="00AD1D42"/>
    <w:rsid w:val="00AD1D58"/>
    <w:rsid w:val="00AD324B"/>
    <w:rsid w:val="00AE1AA2"/>
    <w:rsid w:val="00AE3D08"/>
    <w:rsid w:val="00AE72B6"/>
    <w:rsid w:val="00AF0C7C"/>
    <w:rsid w:val="00AF1E06"/>
    <w:rsid w:val="00B00B9F"/>
    <w:rsid w:val="00B01D86"/>
    <w:rsid w:val="00B07E4E"/>
    <w:rsid w:val="00B11FD1"/>
    <w:rsid w:val="00B1295C"/>
    <w:rsid w:val="00B137E9"/>
    <w:rsid w:val="00B151FE"/>
    <w:rsid w:val="00B30EA2"/>
    <w:rsid w:val="00B35D2D"/>
    <w:rsid w:val="00B3658D"/>
    <w:rsid w:val="00B36ED3"/>
    <w:rsid w:val="00B408DE"/>
    <w:rsid w:val="00B40933"/>
    <w:rsid w:val="00B4287D"/>
    <w:rsid w:val="00B513C9"/>
    <w:rsid w:val="00B56EF4"/>
    <w:rsid w:val="00B70485"/>
    <w:rsid w:val="00B74361"/>
    <w:rsid w:val="00B82A13"/>
    <w:rsid w:val="00B9363C"/>
    <w:rsid w:val="00B961D5"/>
    <w:rsid w:val="00BA0DAC"/>
    <w:rsid w:val="00BA663A"/>
    <w:rsid w:val="00BB2407"/>
    <w:rsid w:val="00BB318B"/>
    <w:rsid w:val="00BB684B"/>
    <w:rsid w:val="00BB6C25"/>
    <w:rsid w:val="00BC082F"/>
    <w:rsid w:val="00BC4163"/>
    <w:rsid w:val="00BC567C"/>
    <w:rsid w:val="00BD1B37"/>
    <w:rsid w:val="00BD46DA"/>
    <w:rsid w:val="00BE0378"/>
    <w:rsid w:val="00BE7976"/>
    <w:rsid w:val="00BF7C2C"/>
    <w:rsid w:val="00C02656"/>
    <w:rsid w:val="00C02AF8"/>
    <w:rsid w:val="00C053A4"/>
    <w:rsid w:val="00C117F8"/>
    <w:rsid w:val="00C118F5"/>
    <w:rsid w:val="00C135A9"/>
    <w:rsid w:val="00C143A7"/>
    <w:rsid w:val="00C17E01"/>
    <w:rsid w:val="00C20080"/>
    <w:rsid w:val="00C22ECF"/>
    <w:rsid w:val="00C27664"/>
    <w:rsid w:val="00C30120"/>
    <w:rsid w:val="00C31AC4"/>
    <w:rsid w:val="00C408AF"/>
    <w:rsid w:val="00C409BE"/>
    <w:rsid w:val="00C40AB6"/>
    <w:rsid w:val="00C423CA"/>
    <w:rsid w:val="00C42B3F"/>
    <w:rsid w:val="00C42BD7"/>
    <w:rsid w:val="00C45A7B"/>
    <w:rsid w:val="00C50CDE"/>
    <w:rsid w:val="00C52DD2"/>
    <w:rsid w:val="00C56B18"/>
    <w:rsid w:val="00C62457"/>
    <w:rsid w:val="00C63663"/>
    <w:rsid w:val="00C63CA2"/>
    <w:rsid w:val="00C652ED"/>
    <w:rsid w:val="00C72061"/>
    <w:rsid w:val="00C755CC"/>
    <w:rsid w:val="00C7793C"/>
    <w:rsid w:val="00C77E93"/>
    <w:rsid w:val="00C939A8"/>
    <w:rsid w:val="00C9534B"/>
    <w:rsid w:val="00C959DD"/>
    <w:rsid w:val="00C96974"/>
    <w:rsid w:val="00C97145"/>
    <w:rsid w:val="00CB58F8"/>
    <w:rsid w:val="00CB7208"/>
    <w:rsid w:val="00CC634D"/>
    <w:rsid w:val="00CC72E4"/>
    <w:rsid w:val="00CC74F6"/>
    <w:rsid w:val="00CD317A"/>
    <w:rsid w:val="00CD543D"/>
    <w:rsid w:val="00CE59C6"/>
    <w:rsid w:val="00CE7347"/>
    <w:rsid w:val="00CE7EC8"/>
    <w:rsid w:val="00CF06B4"/>
    <w:rsid w:val="00CF1455"/>
    <w:rsid w:val="00CF4914"/>
    <w:rsid w:val="00CF6777"/>
    <w:rsid w:val="00CF6D87"/>
    <w:rsid w:val="00D010FD"/>
    <w:rsid w:val="00D02812"/>
    <w:rsid w:val="00D04E39"/>
    <w:rsid w:val="00D060E0"/>
    <w:rsid w:val="00D15C42"/>
    <w:rsid w:val="00D16F0C"/>
    <w:rsid w:val="00D20056"/>
    <w:rsid w:val="00D26D3F"/>
    <w:rsid w:val="00D343D7"/>
    <w:rsid w:val="00D34E60"/>
    <w:rsid w:val="00D41635"/>
    <w:rsid w:val="00D4387F"/>
    <w:rsid w:val="00D44EA4"/>
    <w:rsid w:val="00D4550E"/>
    <w:rsid w:val="00D528BE"/>
    <w:rsid w:val="00D65E36"/>
    <w:rsid w:val="00D70388"/>
    <w:rsid w:val="00D70FE4"/>
    <w:rsid w:val="00D87072"/>
    <w:rsid w:val="00D9058A"/>
    <w:rsid w:val="00DA5F82"/>
    <w:rsid w:val="00DB076E"/>
    <w:rsid w:val="00DB2119"/>
    <w:rsid w:val="00DB355D"/>
    <w:rsid w:val="00DC05BC"/>
    <w:rsid w:val="00DD0310"/>
    <w:rsid w:val="00DD1677"/>
    <w:rsid w:val="00DD38E7"/>
    <w:rsid w:val="00DD3A24"/>
    <w:rsid w:val="00DE1081"/>
    <w:rsid w:val="00DE2A80"/>
    <w:rsid w:val="00DE39A2"/>
    <w:rsid w:val="00DF13A0"/>
    <w:rsid w:val="00DF2FC0"/>
    <w:rsid w:val="00DF3516"/>
    <w:rsid w:val="00DF7B49"/>
    <w:rsid w:val="00E03C07"/>
    <w:rsid w:val="00E05CFF"/>
    <w:rsid w:val="00E15691"/>
    <w:rsid w:val="00E20E3C"/>
    <w:rsid w:val="00E36290"/>
    <w:rsid w:val="00E37EEC"/>
    <w:rsid w:val="00E405C7"/>
    <w:rsid w:val="00E45F44"/>
    <w:rsid w:val="00E5493A"/>
    <w:rsid w:val="00E55986"/>
    <w:rsid w:val="00E57D72"/>
    <w:rsid w:val="00E60984"/>
    <w:rsid w:val="00E6201C"/>
    <w:rsid w:val="00E623E5"/>
    <w:rsid w:val="00E65034"/>
    <w:rsid w:val="00E70EBD"/>
    <w:rsid w:val="00E73161"/>
    <w:rsid w:val="00E77527"/>
    <w:rsid w:val="00E80902"/>
    <w:rsid w:val="00E81E61"/>
    <w:rsid w:val="00E848B4"/>
    <w:rsid w:val="00E85E36"/>
    <w:rsid w:val="00E91417"/>
    <w:rsid w:val="00E916AF"/>
    <w:rsid w:val="00E93A23"/>
    <w:rsid w:val="00E94329"/>
    <w:rsid w:val="00E97B8B"/>
    <w:rsid w:val="00EA28AD"/>
    <w:rsid w:val="00EA6197"/>
    <w:rsid w:val="00EA6584"/>
    <w:rsid w:val="00EB051D"/>
    <w:rsid w:val="00EB1377"/>
    <w:rsid w:val="00EB6D88"/>
    <w:rsid w:val="00EC1E33"/>
    <w:rsid w:val="00EC6E71"/>
    <w:rsid w:val="00EC6F5B"/>
    <w:rsid w:val="00ED136F"/>
    <w:rsid w:val="00ED2D50"/>
    <w:rsid w:val="00ED4468"/>
    <w:rsid w:val="00ED6F65"/>
    <w:rsid w:val="00EE4522"/>
    <w:rsid w:val="00EF02C5"/>
    <w:rsid w:val="00F00051"/>
    <w:rsid w:val="00F044E6"/>
    <w:rsid w:val="00F0544E"/>
    <w:rsid w:val="00F07022"/>
    <w:rsid w:val="00F072F7"/>
    <w:rsid w:val="00F1119E"/>
    <w:rsid w:val="00F14418"/>
    <w:rsid w:val="00F16415"/>
    <w:rsid w:val="00F23B0B"/>
    <w:rsid w:val="00F273A5"/>
    <w:rsid w:val="00F303A7"/>
    <w:rsid w:val="00F33E30"/>
    <w:rsid w:val="00F35A34"/>
    <w:rsid w:val="00F365B1"/>
    <w:rsid w:val="00F40882"/>
    <w:rsid w:val="00F428D0"/>
    <w:rsid w:val="00F43281"/>
    <w:rsid w:val="00F43559"/>
    <w:rsid w:val="00F43BCC"/>
    <w:rsid w:val="00F45933"/>
    <w:rsid w:val="00F46856"/>
    <w:rsid w:val="00F5272B"/>
    <w:rsid w:val="00F52B28"/>
    <w:rsid w:val="00F5789B"/>
    <w:rsid w:val="00F61E5F"/>
    <w:rsid w:val="00F6328C"/>
    <w:rsid w:val="00F75AAB"/>
    <w:rsid w:val="00F75C76"/>
    <w:rsid w:val="00F8055A"/>
    <w:rsid w:val="00F82E8B"/>
    <w:rsid w:val="00F82FF4"/>
    <w:rsid w:val="00F837DF"/>
    <w:rsid w:val="00F905B0"/>
    <w:rsid w:val="00F91FBC"/>
    <w:rsid w:val="00F92794"/>
    <w:rsid w:val="00F93267"/>
    <w:rsid w:val="00FB3D81"/>
    <w:rsid w:val="00FC1475"/>
    <w:rsid w:val="00FC5682"/>
    <w:rsid w:val="00FC720B"/>
    <w:rsid w:val="00FD1046"/>
    <w:rsid w:val="00FD4A18"/>
    <w:rsid w:val="00FD75C8"/>
    <w:rsid w:val="00FE3921"/>
    <w:rsid w:val="00FE3FE9"/>
    <w:rsid w:val="00FE42CB"/>
    <w:rsid w:val="00FE569F"/>
    <w:rsid w:val="00FE6A10"/>
    <w:rsid w:val="00FF48AD"/>
    <w:rsid w:val="00FF4E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6E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Footnote Text Char Char Char,Footnote Text Char Char1,Footnote Text Char1 Char,Footnote Text Char2,fn"/>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styleId="Paragraphedeliste">
    <w:name w:val="List Paragraph"/>
    <w:basedOn w:val="Normal"/>
    <w:uiPriority w:val="34"/>
    <w:qFormat/>
    <w:rsid w:val="00671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en">
    <w:name w:val="Hyperlink"/>
    <w:basedOn w:val="Policepardfaut"/>
    <w:uiPriority w:val="99"/>
    <w:unhideWhenUsed/>
    <w:rsid w:val="00A17C43"/>
    <w:rPr>
      <w:color w:val="0000FF"/>
      <w:u w:val="single"/>
    </w:rPr>
  </w:style>
  <w:style w:type="character" w:customStyle="1" w:styleId="label-section">
    <w:name w:val="label-section"/>
    <w:basedOn w:val="Policepardfaut"/>
    <w:rsid w:val="00A17C43"/>
  </w:style>
  <w:style w:type="character" w:customStyle="1" w:styleId="subsection">
    <w:name w:val="subsection"/>
    <w:basedOn w:val="Policepardfaut"/>
    <w:rsid w:val="00A17C43"/>
  </w:style>
  <w:style w:type="character" w:styleId="Marquedecommentaire">
    <w:name w:val="annotation reference"/>
    <w:basedOn w:val="Policepardfaut"/>
    <w:uiPriority w:val="99"/>
    <w:semiHidden/>
    <w:unhideWhenUsed/>
    <w:rsid w:val="00A17C43"/>
    <w:rPr>
      <w:sz w:val="16"/>
      <w:szCs w:val="16"/>
    </w:rPr>
  </w:style>
  <w:style w:type="paragraph" w:styleId="Commentaire">
    <w:name w:val="annotation text"/>
    <w:basedOn w:val="Normal"/>
    <w:link w:val="CommentaireCar"/>
    <w:uiPriority w:val="99"/>
    <w:unhideWhenUsed/>
    <w:rsid w:val="00A17C43"/>
    <w:pPr>
      <w:spacing w:line="240" w:lineRule="auto"/>
    </w:pPr>
    <w:rPr>
      <w:sz w:val="20"/>
    </w:rPr>
  </w:style>
  <w:style w:type="character" w:customStyle="1" w:styleId="CommentaireCar">
    <w:name w:val="Commentaire Car"/>
    <w:basedOn w:val="Policepardfaut"/>
    <w:link w:val="Commentaire"/>
    <w:uiPriority w:val="99"/>
    <w:rsid w:val="00A17C4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A17C43"/>
    <w:rPr>
      <w:b/>
      <w:bCs/>
    </w:rPr>
  </w:style>
  <w:style w:type="character" w:customStyle="1" w:styleId="ObjetducommentaireCar">
    <w:name w:val="Objet du commentaire Car"/>
    <w:basedOn w:val="CommentaireCar"/>
    <w:link w:val="Objetducommentaire"/>
    <w:uiPriority w:val="99"/>
    <w:semiHidden/>
    <w:rsid w:val="00A17C43"/>
    <w:rPr>
      <w:rFonts w:ascii="Arial" w:hAnsi="Arial"/>
      <w:b/>
      <w:bCs/>
      <w:lang w:eastAsia="fr-FR"/>
    </w:rPr>
  </w:style>
  <w:style w:type="character" w:customStyle="1" w:styleId="solexhl">
    <w:name w:val="solexhl"/>
    <w:basedOn w:val="Policepardfaut"/>
    <w:rsid w:val="00A17C43"/>
  </w:style>
  <w:style w:type="character" w:customStyle="1" w:styleId="NotedebasdepageCar">
    <w:name w:val="Note de bas de page Car"/>
    <w:aliases w:val=" Char1 Char1 Char Char Car, Char1 Char1 Char1 Car, Char1 Char2 Char Car, Char1 Char3 Car,Footnote Text Char Char Char Car,Footnote Text Char Char1 Car,Footnote Text Char1 Char Car,Footnote Text Char2 Car,fn Car"/>
    <w:basedOn w:val="Policepardfaut"/>
    <w:link w:val="Notedebasdepage"/>
    <w:rsid w:val="00A17C43"/>
    <w:rPr>
      <w:rFonts w:ascii="Arial" w:hAnsi="Arial"/>
      <w:lang w:eastAsia="fr-FR"/>
    </w:rPr>
  </w:style>
  <w:style w:type="paragraph" w:customStyle="1" w:styleId="para">
    <w:name w:val="para"/>
    <w:basedOn w:val="Normal"/>
    <w:rsid w:val="00A17C43"/>
    <w:pPr>
      <w:spacing w:before="100" w:beforeAutospacing="1" w:after="100" w:afterAutospacing="1" w:line="240" w:lineRule="auto"/>
    </w:pPr>
    <w:rPr>
      <w:rFonts w:ascii="Times New Roman" w:hAnsi="Times New Roman"/>
      <w:szCs w:val="24"/>
      <w:lang w:eastAsia="fr-CA"/>
    </w:rPr>
  </w:style>
  <w:style w:type="character" w:customStyle="1" w:styleId="ParagrapheCar">
    <w:name w:val="Paragraphe Car"/>
    <w:link w:val="Paragraphe"/>
    <w:qFormat/>
    <w:locked/>
    <w:rsid w:val="00A17C43"/>
    <w:rPr>
      <w:rFonts w:ascii="Arial" w:hAnsi="Arial"/>
      <w:kern w:val="28"/>
      <w:sz w:val="24"/>
      <w:lang w:eastAsia="fr-FR"/>
    </w:rPr>
  </w:style>
  <w:style w:type="character" w:customStyle="1" w:styleId="sectionlabel">
    <w:name w:val="sectionlabel"/>
    <w:basedOn w:val="Policepardfaut"/>
    <w:rsid w:val="00A17C43"/>
  </w:style>
  <w:style w:type="character" w:customStyle="1" w:styleId="highlight">
    <w:name w:val="highlight"/>
    <w:basedOn w:val="Policepardfaut"/>
    <w:rsid w:val="00A17C43"/>
  </w:style>
  <w:style w:type="paragraph" w:styleId="Rvision">
    <w:name w:val="Revision"/>
    <w:hidden/>
    <w:uiPriority w:val="99"/>
    <w:semiHidden/>
    <w:rsid w:val="00A17C43"/>
    <w:rPr>
      <w:rFonts w:ascii="Arial" w:hAnsi="Arial"/>
      <w:sz w:val="24"/>
      <w:lang w:eastAsia="fr-FR"/>
    </w:rPr>
  </w:style>
  <w:style w:type="character" w:customStyle="1" w:styleId="Mentionnonrsolue1">
    <w:name w:val="Mention non résolue1"/>
    <w:basedOn w:val="Policepardfaut"/>
    <w:uiPriority w:val="99"/>
    <w:semiHidden/>
    <w:unhideWhenUsed/>
    <w:rsid w:val="00A17C43"/>
    <w:rPr>
      <w:color w:val="605E5C"/>
      <w:shd w:val="clear" w:color="auto" w:fill="E1DFDD"/>
    </w:rPr>
  </w:style>
  <w:style w:type="character" w:customStyle="1" w:styleId="italic">
    <w:name w:val="italic"/>
    <w:basedOn w:val="Policepardfaut"/>
    <w:rsid w:val="00A17C43"/>
  </w:style>
  <w:style w:type="character" w:customStyle="1" w:styleId="normaltextrun">
    <w:name w:val="normaltextrun"/>
    <w:basedOn w:val="Policepardfaut"/>
    <w:rsid w:val="00FE3921"/>
  </w:style>
  <w:style w:type="character" w:styleId="Mentionnonrsolue">
    <w:name w:val="Unresolved Mention"/>
    <w:basedOn w:val="Policepardfaut"/>
    <w:uiPriority w:val="99"/>
    <w:semiHidden/>
    <w:unhideWhenUsed/>
    <w:rsid w:val="00FE3921"/>
    <w:rPr>
      <w:color w:val="605E5C"/>
      <w:shd w:val="clear" w:color="auto" w:fill="E1DFDD"/>
    </w:rPr>
  </w:style>
  <w:style w:type="character" w:customStyle="1" w:styleId="reflex2-link">
    <w:name w:val="reflex2-link"/>
    <w:basedOn w:val="Policepardfaut"/>
    <w:rsid w:val="0015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quebec.gouv.qc.ca/en/document/cr/P-13.1,%20r.%201.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squebec.gouv.qc.ca/en/document/cr/P-13.1,%20r.%201.1" TargetMode="External"/><Relationship Id="rId2" Type="http://schemas.openxmlformats.org/officeDocument/2006/relationships/numbering" Target="numbering.xml"/><Relationship Id="rId16" Type="http://schemas.openxmlformats.org/officeDocument/2006/relationships/hyperlink" Target="https://www.legisquebec.gouv.qc.ca/en/document/cr/P-13.1,%20r.%201.1" TargetMode="External"/><Relationship Id="rId20" Type="http://schemas.openxmlformats.org/officeDocument/2006/relationships/hyperlink" Target="https://www.legisquebec.gouv.qc.ca/en/document/cr/P-13.1,%20r.%2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quebec.gouv.qc.ca/en/document/cr/P-13.1,%20r.%201.1"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isquebec.gouv.qc.ca/en/document/cr/P-13.1,%20r.%20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quebec.gouv.qc.ca/en/document/cr/P-13.1,%20r.%201.1"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132BF-387D-4845-AD46-E5991C69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14030</Words>
  <Characters>77171</Characters>
  <Application>Microsoft Office Word</Application>
  <DocSecurity>0</DocSecurity>
  <Lines>643</Lines>
  <Paragraphs>182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2024-09-25T14:00:00Z</dcterms:created>
  <dcterms:modified xsi:type="dcterms:W3CDTF">2024-09-25T14:00:00Z</dcterms:modified>
</cp:coreProperties>
</file>