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48A8" w14:textId="77777777" w:rsidR="00371529" w:rsidRPr="00F92FD9" w:rsidRDefault="00371529" w:rsidP="00371529">
      <w:pPr>
        <w:pStyle w:val="zSoquijdatRepertorie"/>
        <w:rPr>
          <w:rFonts w:eastAsia="Calibri" w:cs="Arial"/>
          <w:szCs w:val="24"/>
          <w:lang w:val="en-CA"/>
        </w:rPr>
      </w:pPr>
      <w:r w:rsidRPr="00F92FD9">
        <w:rPr>
          <w:rFonts w:eastAsia="Calibri" w:cs="Arial"/>
          <w:szCs w:val="24"/>
          <w:lang w:val="en-CA"/>
        </w:rPr>
        <w:t>English Translation of the Judgment of the Court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444"/>
        <w:gridCol w:w="2196"/>
      </w:tblGrid>
      <w:tr w:rsidR="00371529" w:rsidRPr="00A2050E" w14:paraId="4F7558EA" w14:textId="77777777" w:rsidTr="00F92FD9">
        <w:tc>
          <w:tcPr>
            <w:tcW w:w="7074" w:type="dxa"/>
            <w:gridSpan w:val="2"/>
            <w:tcBorders>
              <w:top w:val="nil"/>
              <w:left w:val="nil"/>
              <w:bottom w:val="nil"/>
              <w:right w:val="nil"/>
            </w:tcBorders>
            <w:shd w:val="clear" w:color="auto" w:fill="auto"/>
          </w:tcPr>
          <w:p w14:paraId="2648280E" w14:textId="77777777" w:rsidR="00371529" w:rsidRPr="00F92FD9" w:rsidRDefault="00371529" w:rsidP="00371529">
            <w:pPr>
              <w:pStyle w:val="zSoquijdatRepertorie"/>
              <w:rPr>
                <w:rFonts w:eastAsia="Calibri" w:cs="Arial"/>
                <w:szCs w:val="24"/>
                <w:lang w:val="en-CA"/>
              </w:rPr>
            </w:pPr>
            <w:r w:rsidRPr="00F92FD9">
              <w:rPr>
                <w:rFonts w:eastAsia="Calibri" w:cs="Arial"/>
                <w:szCs w:val="24"/>
              </w:rPr>
              <w:t>Droit de la famille — 24292</w:t>
            </w:r>
          </w:p>
        </w:tc>
        <w:tc>
          <w:tcPr>
            <w:tcW w:w="2196" w:type="dxa"/>
            <w:tcBorders>
              <w:top w:val="nil"/>
              <w:left w:val="nil"/>
              <w:bottom w:val="nil"/>
              <w:right w:val="nil"/>
            </w:tcBorders>
            <w:shd w:val="clear" w:color="auto" w:fill="auto"/>
          </w:tcPr>
          <w:p w14:paraId="39355E74" w14:textId="77777777" w:rsidR="00371529" w:rsidRPr="00F92FD9" w:rsidRDefault="00371529" w:rsidP="00F92FD9">
            <w:pPr>
              <w:pStyle w:val="zSoquijdatRefNeutre"/>
              <w:jc w:val="right"/>
              <w:rPr>
                <w:rFonts w:eastAsia="Calibri" w:cs="Arial"/>
                <w:szCs w:val="24"/>
                <w:lang w:val="en-CA"/>
              </w:rPr>
            </w:pPr>
            <w:r w:rsidRPr="00F92FD9">
              <w:rPr>
                <w:rFonts w:eastAsia="Calibri" w:cs="Arial"/>
                <w:szCs w:val="24"/>
              </w:rPr>
              <w:t>2024 QCCA 297</w:t>
            </w:r>
          </w:p>
        </w:tc>
      </w:tr>
      <w:tr w:rsidR="00345703" w:rsidRPr="00A2050E" w14:paraId="4451BD2E" w14:textId="77777777" w:rsidTr="00F92FD9">
        <w:tc>
          <w:tcPr>
            <w:tcW w:w="9270" w:type="dxa"/>
            <w:gridSpan w:val="3"/>
            <w:tcBorders>
              <w:top w:val="nil"/>
              <w:left w:val="nil"/>
              <w:bottom w:val="nil"/>
              <w:right w:val="nil"/>
            </w:tcBorders>
            <w:shd w:val="clear" w:color="auto" w:fill="auto"/>
          </w:tcPr>
          <w:p w14:paraId="63E0DB81" w14:textId="77777777" w:rsidR="00DF7D37" w:rsidRPr="00F92FD9" w:rsidRDefault="00E6418F" w:rsidP="00C02B72">
            <w:pPr>
              <w:pStyle w:val="zSoquijlblCour"/>
              <w:rPr>
                <w:rFonts w:eastAsia="Calibri" w:cs="Arial"/>
                <w:szCs w:val="24"/>
                <w:lang w:val="en-CA"/>
              </w:rPr>
            </w:pPr>
            <w:r w:rsidRPr="00F92FD9">
              <w:rPr>
                <w:rFonts w:eastAsia="Calibri" w:cs="Arial"/>
                <w:bCs/>
                <w:szCs w:val="24"/>
                <w:lang w:val="en-CA"/>
              </w:rPr>
              <w:t>COURT OF APPEAL</w:t>
            </w:r>
          </w:p>
        </w:tc>
      </w:tr>
      <w:tr w:rsidR="00345703" w:rsidRPr="00A2050E" w14:paraId="5C6F7DF7" w14:textId="77777777" w:rsidTr="00F92FD9">
        <w:tc>
          <w:tcPr>
            <w:tcW w:w="9270" w:type="dxa"/>
            <w:gridSpan w:val="3"/>
            <w:tcBorders>
              <w:top w:val="nil"/>
              <w:left w:val="nil"/>
              <w:bottom w:val="nil"/>
              <w:right w:val="nil"/>
            </w:tcBorders>
            <w:shd w:val="clear" w:color="auto" w:fill="auto"/>
          </w:tcPr>
          <w:p w14:paraId="0ED354F9" w14:textId="77777777" w:rsidR="00DF7D37" w:rsidRPr="00F92FD9" w:rsidRDefault="00E6418F" w:rsidP="00447A05">
            <w:pPr>
              <w:pStyle w:val="zSoquijlblPays"/>
              <w:rPr>
                <w:lang w:val="en-CA"/>
              </w:rPr>
            </w:pPr>
            <w:r w:rsidRPr="00F92FD9">
              <w:rPr>
                <w:lang w:val="en-CA"/>
              </w:rPr>
              <w:t>CANADA</w:t>
            </w:r>
          </w:p>
        </w:tc>
      </w:tr>
      <w:tr w:rsidR="00345703" w:rsidRPr="00A2050E" w14:paraId="4DE4F04D" w14:textId="77777777" w:rsidTr="00F92FD9">
        <w:tc>
          <w:tcPr>
            <w:tcW w:w="9270" w:type="dxa"/>
            <w:gridSpan w:val="3"/>
            <w:tcBorders>
              <w:top w:val="nil"/>
              <w:left w:val="nil"/>
              <w:bottom w:val="nil"/>
              <w:right w:val="nil"/>
            </w:tcBorders>
            <w:shd w:val="clear" w:color="auto" w:fill="auto"/>
          </w:tcPr>
          <w:p w14:paraId="3C405EB2" w14:textId="77777777" w:rsidR="00DF7D37" w:rsidRPr="00F92FD9" w:rsidRDefault="00E6418F" w:rsidP="00447A05">
            <w:pPr>
              <w:pStyle w:val="zSoquijlblProvince"/>
              <w:rPr>
                <w:lang w:val="en-CA"/>
              </w:rPr>
            </w:pPr>
            <w:r w:rsidRPr="00F92FD9">
              <w:rPr>
                <w:lang w:val="en-CA"/>
              </w:rPr>
              <w:t>PROVINCE OF QUEBEC</w:t>
            </w:r>
          </w:p>
          <w:p w14:paraId="0C7DB712" w14:textId="77777777" w:rsidR="00834B09" w:rsidRPr="00F92FD9" w:rsidRDefault="00E6418F" w:rsidP="00447A05">
            <w:pPr>
              <w:pStyle w:val="zSoquijlblProvince"/>
              <w:rPr>
                <w:lang w:val="en-CA"/>
              </w:rPr>
            </w:pPr>
            <w:r w:rsidRPr="00F92FD9">
              <w:rPr>
                <w:lang w:val="en-CA"/>
              </w:rPr>
              <w:t>REGISTRY OF MONTREAL</w:t>
            </w:r>
          </w:p>
        </w:tc>
      </w:tr>
      <w:tr w:rsidR="00345703" w:rsidRPr="00A2050E" w14:paraId="4EC18EB6" w14:textId="77777777" w:rsidTr="00F92FD9">
        <w:tc>
          <w:tcPr>
            <w:tcW w:w="9270" w:type="dxa"/>
            <w:gridSpan w:val="3"/>
            <w:tcBorders>
              <w:top w:val="nil"/>
              <w:left w:val="nil"/>
              <w:bottom w:val="nil"/>
              <w:right w:val="nil"/>
            </w:tcBorders>
            <w:shd w:val="clear" w:color="auto" w:fill="auto"/>
          </w:tcPr>
          <w:p w14:paraId="62E38DBE" w14:textId="77777777" w:rsidR="00F55CD4" w:rsidRPr="00F92FD9" w:rsidRDefault="00F55CD4" w:rsidP="00F92FD9">
            <w:pPr>
              <w:ind w:left="-108"/>
              <w:rPr>
                <w:rFonts w:eastAsia="Calibri" w:cs="Arial"/>
                <w:szCs w:val="24"/>
                <w:lang w:val="en-CA"/>
              </w:rPr>
            </w:pPr>
          </w:p>
        </w:tc>
      </w:tr>
      <w:tr w:rsidR="00345703" w:rsidRPr="00A2050E" w14:paraId="35B486B3" w14:textId="77777777" w:rsidTr="00F92FD9">
        <w:tc>
          <w:tcPr>
            <w:tcW w:w="630" w:type="dxa"/>
            <w:tcBorders>
              <w:top w:val="nil"/>
              <w:left w:val="nil"/>
              <w:bottom w:val="nil"/>
              <w:right w:val="nil"/>
            </w:tcBorders>
            <w:shd w:val="clear" w:color="auto" w:fill="auto"/>
          </w:tcPr>
          <w:p w14:paraId="728CAA0A" w14:textId="77777777" w:rsidR="00803B9C" w:rsidRPr="00F92FD9" w:rsidRDefault="00E6418F" w:rsidP="00F92FD9">
            <w:pPr>
              <w:pStyle w:val="zSoquijlblNoDossier"/>
              <w:ind w:left="-108"/>
              <w:rPr>
                <w:lang w:val="en-CA"/>
              </w:rPr>
            </w:pPr>
            <w:r w:rsidRPr="00F92FD9">
              <w:rPr>
                <w:lang w:val="en-CA"/>
              </w:rPr>
              <w:t xml:space="preserve">No.:  </w:t>
            </w:r>
          </w:p>
        </w:tc>
        <w:tc>
          <w:tcPr>
            <w:tcW w:w="8640" w:type="dxa"/>
            <w:gridSpan w:val="2"/>
            <w:tcBorders>
              <w:top w:val="nil"/>
              <w:left w:val="nil"/>
              <w:bottom w:val="nil"/>
              <w:right w:val="nil"/>
            </w:tcBorders>
            <w:shd w:val="clear" w:color="auto" w:fill="auto"/>
          </w:tcPr>
          <w:p w14:paraId="19643E3E" w14:textId="77777777" w:rsidR="00803B9C" w:rsidRPr="00F92FD9" w:rsidRDefault="00E6418F" w:rsidP="00392DCA">
            <w:pPr>
              <w:pStyle w:val="zSoquijdatNoDossier"/>
              <w:rPr>
                <w:lang w:val="en-CA"/>
              </w:rPr>
            </w:pPr>
            <w:bookmarkStart w:id="0" w:name="NoDossier"/>
            <w:r w:rsidRPr="00F92FD9">
              <w:rPr>
                <w:lang w:val="en-CA"/>
              </w:rPr>
              <w:t>500-09-030643-233</w:t>
            </w:r>
            <w:bookmarkEnd w:id="0"/>
          </w:p>
        </w:tc>
      </w:tr>
      <w:tr w:rsidR="00345703" w:rsidRPr="00A2050E" w14:paraId="43EB14F0" w14:textId="77777777" w:rsidTr="00F92FD9">
        <w:tc>
          <w:tcPr>
            <w:tcW w:w="9270" w:type="dxa"/>
            <w:gridSpan w:val="3"/>
            <w:tcBorders>
              <w:top w:val="nil"/>
              <w:left w:val="nil"/>
              <w:bottom w:val="nil"/>
              <w:right w:val="nil"/>
            </w:tcBorders>
            <w:shd w:val="clear" w:color="auto" w:fill="auto"/>
          </w:tcPr>
          <w:p w14:paraId="69A04104" w14:textId="77777777" w:rsidR="00EC57E1" w:rsidRPr="00F92FD9" w:rsidRDefault="00E6418F" w:rsidP="00392DCA">
            <w:pPr>
              <w:pStyle w:val="zSoquijdatNoDossierAnt"/>
              <w:rPr>
                <w:lang w:val="en-CA"/>
              </w:rPr>
            </w:pPr>
            <w:r w:rsidRPr="00F92FD9">
              <w:rPr>
                <w:lang w:val="en-CA"/>
              </w:rPr>
              <w:t xml:space="preserve">        (</w:t>
            </w:r>
            <w:bookmarkStart w:id="1" w:name="DossierAnt"/>
            <w:r w:rsidRPr="00F92FD9">
              <w:rPr>
                <w:lang w:val="en-CA"/>
              </w:rPr>
              <w:t>760-12-026122-196</w:t>
            </w:r>
            <w:bookmarkEnd w:id="1"/>
            <w:r w:rsidRPr="00F92FD9">
              <w:rPr>
                <w:lang w:val="en-CA"/>
              </w:rPr>
              <w:t>)</w:t>
            </w:r>
          </w:p>
        </w:tc>
      </w:tr>
      <w:tr w:rsidR="00345703" w:rsidRPr="00A2050E" w14:paraId="086E5BFC" w14:textId="77777777" w:rsidTr="00F92FD9">
        <w:tc>
          <w:tcPr>
            <w:tcW w:w="9270" w:type="dxa"/>
            <w:gridSpan w:val="3"/>
            <w:tcBorders>
              <w:top w:val="nil"/>
              <w:left w:val="nil"/>
              <w:bottom w:val="single" w:sz="4" w:space="0" w:color="auto"/>
              <w:right w:val="nil"/>
            </w:tcBorders>
            <w:shd w:val="clear" w:color="auto" w:fill="auto"/>
          </w:tcPr>
          <w:p w14:paraId="2C8F16E7" w14:textId="77777777" w:rsidR="00EC57E1" w:rsidRPr="00F92FD9" w:rsidRDefault="00EC57E1">
            <w:pPr>
              <w:rPr>
                <w:rFonts w:eastAsia="Calibri" w:cs="Arial"/>
                <w:szCs w:val="24"/>
                <w:lang w:val="en-CA"/>
              </w:rPr>
            </w:pPr>
          </w:p>
        </w:tc>
      </w:tr>
      <w:tr w:rsidR="00345703" w:rsidRPr="00A2050E" w14:paraId="789EF1CE" w14:textId="77777777" w:rsidTr="00F92FD9">
        <w:tc>
          <w:tcPr>
            <w:tcW w:w="9270" w:type="dxa"/>
            <w:gridSpan w:val="3"/>
            <w:tcBorders>
              <w:top w:val="single" w:sz="4" w:space="0" w:color="auto"/>
              <w:left w:val="nil"/>
              <w:bottom w:val="nil"/>
              <w:right w:val="nil"/>
            </w:tcBorders>
            <w:shd w:val="clear" w:color="auto" w:fill="auto"/>
          </w:tcPr>
          <w:p w14:paraId="0CCB91A4" w14:textId="77777777" w:rsidR="00EC57E1" w:rsidRPr="00F92FD9" w:rsidRDefault="00EC57E1">
            <w:pPr>
              <w:rPr>
                <w:rFonts w:eastAsia="Calibri" w:cs="Arial"/>
                <w:szCs w:val="24"/>
                <w:lang w:val="en-CA"/>
              </w:rPr>
            </w:pPr>
          </w:p>
        </w:tc>
      </w:tr>
      <w:tr w:rsidR="00345703" w:rsidRPr="00A2050E" w14:paraId="55021925" w14:textId="77777777" w:rsidTr="00F92FD9">
        <w:tc>
          <w:tcPr>
            <w:tcW w:w="9270" w:type="dxa"/>
            <w:gridSpan w:val="3"/>
            <w:tcBorders>
              <w:top w:val="nil"/>
              <w:left w:val="nil"/>
              <w:bottom w:val="nil"/>
              <w:right w:val="nil"/>
            </w:tcBorders>
            <w:shd w:val="clear" w:color="auto" w:fill="auto"/>
          </w:tcPr>
          <w:p w14:paraId="04AF52A4" w14:textId="77777777" w:rsidR="00EC57E1" w:rsidRPr="00F92FD9" w:rsidRDefault="00E6418F" w:rsidP="00A8271F">
            <w:pPr>
              <w:pStyle w:val="zSoquijlblTypeDocument"/>
              <w:rPr>
                <w:rFonts w:eastAsia="Calibri" w:cs="Arial"/>
                <w:szCs w:val="24"/>
                <w:lang w:val="en-CA"/>
              </w:rPr>
            </w:pPr>
            <w:r w:rsidRPr="00F92FD9">
              <w:rPr>
                <w:rFonts w:eastAsia="Calibri" w:cs="Arial"/>
                <w:szCs w:val="24"/>
                <w:lang w:val="en-CA"/>
              </w:rPr>
              <w:t>MINUTES OF THE HEARING</w:t>
            </w:r>
          </w:p>
        </w:tc>
      </w:tr>
      <w:tr w:rsidR="00345703" w:rsidRPr="00A2050E" w14:paraId="2031F30F" w14:textId="77777777" w:rsidTr="00F92FD9">
        <w:tc>
          <w:tcPr>
            <w:tcW w:w="9270" w:type="dxa"/>
            <w:gridSpan w:val="3"/>
            <w:tcBorders>
              <w:top w:val="nil"/>
              <w:left w:val="nil"/>
              <w:bottom w:val="single" w:sz="4" w:space="0" w:color="auto"/>
              <w:right w:val="nil"/>
            </w:tcBorders>
            <w:shd w:val="clear" w:color="auto" w:fill="auto"/>
          </w:tcPr>
          <w:p w14:paraId="4C8B89CA" w14:textId="77777777" w:rsidR="00EC57E1" w:rsidRPr="00F92FD9" w:rsidRDefault="00EC57E1">
            <w:pPr>
              <w:rPr>
                <w:rFonts w:eastAsia="Calibri" w:cs="Arial"/>
                <w:szCs w:val="24"/>
                <w:lang w:val="en-CA"/>
              </w:rPr>
            </w:pPr>
          </w:p>
        </w:tc>
      </w:tr>
    </w:tbl>
    <w:p w14:paraId="374656C6" w14:textId="77777777" w:rsidR="00E01CAD" w:rsidRPr="00A2050E" w:rsidRDefault="00E6418F" w:rsidP="00887EEB">
      <w:pPr>
        <w:tabs>
          <w:tab w:val="left" w:pos="630"/>
        </w:tabs>
        <w:spacing w:line="240" w:lineRule="auto"/>
        <w:jc w:val="both"/>
        <w:rPr>
          <w:rFonts w:cs="Arial"/>
          <w:szCs w:val="24"/>
          <w:lang w:val="en-CA"/>
        </w:rPr>
      </w:pPr>
      <w:r w:rsidRPr="00A2050E">
        <w:rPr>
          <w:rFonts w:cs="Arial"/>
          <w:szCs w:val="24"/>
          <w:lang w:val="en-CA"/>
        </w:rPr>
        <w:fldChar w:fldCharType="begin"/>
      </w:r>
      <w:r w:rsidRPr="00A2050E">
        <w:rPr>
          <w:rFonts w:cs="Arial"/>
          <w:szCs w:val="24"/>
          <w:lang w:val="en-CA"/>
        </w:rPr>
        <w:instrText xml:space="preserve"> REF ORDONNANCE_DE \h </w:instrText>
      </w:r>
      <w:r w:rsidRPr="00A2050E">
        <w:rPr>
          <w:rFonts w:cs="Arial"/>
          <w:szCs w:val="24"/>
          <w:lang w:val="en-CA"/>
        </w:rPr>
      </w:r>
      <w:r w:rsidR="00000000">
        <w:rPr>
          <w:rFonts w:cs="Arial"/>
          <w:szCs w:val="24"/>
          <w:lang w:val="en-CA"/>
        </w:rPr>
        <w:fldChar w:fldCharType="separate"/>
      </w:r>
      <w:r w:rsidRPr="00A2050E">
        <w:rPr>
          <w:rFonts w:cs="Arial"/>
          <w:szCs w:val="24"/>
          <w:lang w:val="en-CA"/>
        </w:rPr>
        <w:fldChar w:fldCharType="end"/>
      </w:r>
    </w:p>
    <w:p w14:paraId="207BB8FB" w14:textId="77777777" w:rsidR="000949A6" w:rsidRPr="00F92FD9" w:rsidRDefault="00E6418F" w:rsidP="00887EEB">
      <w:pPr>
        <w:tabs>
          <w:tab w:val="left" w:pos="630"/>
        </w:tabs>
        <w:spacing w:line="240" w:lineRule="auto"/>
        <w:jc w:val="both"/>
        <w:rPr>
          <w:rFonts w:ascii="Calibri" w:hAnsi="Calibri" w:cs="Calibri"/>
          <w:b/>
          <w:bCs/>
          <w:color w:val="000000"/>
          <w:szCs w:val="24"/>
          <w:lang w:val="en-CA"/>
        </w:rPr>
      </w:pPr>
      <w:r w:rsidRPr="00F92FD9">
        <w:rPr>
          <w:rFonts w:ascii="Calibri" w:hAnsi="Calibri" w:cs="Calibri"/>
          <w:b/>
          <w:bCs/>
          <w:color w:val="000000"/>
          <w:szCs w:val="24"/>
          <w:u w:val="single"/>
          <w:lang w:val="en-CA"/>
        </w:rPr>
        <w:t>WARNING:</w:t>
      </w:r>
      <w:r w:rsidRPr="00F92FD9">
        <w:rPr>
          <w:rFonts w:ascii="Calibri" w:hAnsi="Calibri" w:cs="Calibri"/>
          <w:b/>
          <w:bCs/>
          <w:color w:val="000000"/>
          <w:szCs w:val="24"/>
          <w:lang w:val="en-CA"/>
        </w:rPr>
        <w:t xml:space="preserve"> Disclosure and circulation prohibited: The </w:t>
      </w:r>
      <w:r w:rsidRPr="00F92FD9">
        <w:rPr>
          <w:rFonts w:ascii="Calibri" w:hAnsi="Calibri" w:cs="Calibri"/>
          <w:b/>
          <w:bCs/>
          <w:i/>
          <w:iCs/>
          <w:color w:val="000000"/>
          <w:szCs w:val="24"/>
          <w:lang w:val="en-CA"/>
        </w:rPr>
        <w:t>Code of Civil Procedure</w:t>
      </w:r>
      <w:r w:rsidRPr="00F92FD9">
        <w:rPr>
          <w:rFonts w:ascii="Calibri" w:hAnsi="Calibri" w:cs="Calibri"/>
          <w:b/>
          <w:bCs/>
          <w:color w:val="000000"/>
          <w:szCs w:val="24"/>
          <w:lang w:val="en-CA"/>
        </w:rPr>
        <w:t xml:space="preserve"> (</w:t>
      </w:r>
      <w:r w:rsidR="007634C1" w:rsidRPr="00F92FD9">
        <w:rPr>
          <w:rFonts w:ascii="Calibri" w:hAnsi="Calibri" w:cs="Calibri"/>
          <w:b/>
          <w:bCs/>
          <w:color w:val="000000"/>
          <w:szCs w:val="24"/>
          <w:lang w:val="en-CA"/>
        </w:rPr>
        <w:t>“</w:t>
      </w:r>
      <w:r w:rsidRPr="00F92FD9">
        <w:rPr>
          <w:rFonts w:ascii="Calibri" w:hAnsi="Calibri" w:cs="Calibri"/>
          <w:b/>
          <w:bCs/>
          <w:i/>
          <w:iCs/>
          <w:color w:val="000000"/>
          <w:szCs w:val="24"/>
          <w:lang w:val="en-CA"/>
        </w:rPr>
        <w:t>C.C.P</w:t>
      </w:r>
      <w:r w:rsidRPr="00F92FD9">
        <w:rPr>
          <w:rFonts w:ascii="Calibri" w:hAnsi="Calibri" w:cs="Calibri"/>
          <w:b/>
          <w:bCs/>
          <w:color w:val="000000"/>
          <w:szCs w:val="24"/>
          <w:lang w:val="en-CA"/>
        </w:rPr>
        <w:t>.</w:t>
      </w:r>
      <w:r w:rsidR="007634C1" w:rsidRPr="00F92FD9">
        <w:rPr>
          <w:rFonts w:ascii="Calibri" w:hAnsi="Calibri" w:cs="Calibri"/>
          <w:b/>
          <w:bCs/>
          <w:color w:val="000000"/>
          <w:szCs w:val="24"/>
          <w:lang w:val="en-CA"/>
        </w:rPr>
        <w:t>”</w:t>
      </w:r>
      <w:r w:rsidRPr="00F92FD9">
        <w:rPr>
          <w:rFonts w:ascii="Calibri" w:hAnsi="Calibri" w:cs="Calibri"/>
          <w:b/>
          <w:bCs/>
          <w:color w:val="000000"/>
          <w:szCs w:val="24"/>
          <w:lang w:val="en-CA"/>
        </w:rPr>
        <w:t xml:space="preserve">) provides that, except as authorized by the court, no person shall disclose or circulate any information that would allow a party or a child whose interests are at stake in a proceeding in a family matter to be identified (art. 16 </w:t>
      </w:r>
      <w:r w:rsidRPr="00F92FD9">
        <w:rPr>
          <w:rFonts w:ascii="Calibri" w:hAnsi="Calibri" w:cs="Calibri"/>
          <w:b/>
          <w:bCs/>
          <w:i/>
          <w:iCs/>
          <w:color w:val="000000"/>
          <w:szCs w:val="24"/>
          <w:lang w:val="en-CA"/>
        </w:rPr>
        <w:t>C.C.P.</w:t>
      </w:r>
      <w:r w:rsidRPr="00F92FD9">
        <w:rPr>
          <w:rFonts w:ascii="Calibri" w:hAnsi="Calibri" w:cs="Calibri"/>
          <w:b/>
          <w:bCs/>
          <w:color w:val="000000"/>
          <w:szCs w:val="24"/>
          <w:lang w:val="en-CA"/>
        </w:rPr>
        <w:t>).</w:t>
      </w:r>
    </w:p>
    <w:p w14:paraId="457440DC" w14:textId="77777777" w:rsidR="000308CD" w:rsidRPr="00A2050E" w:rsidRDefault="000308CD" w:rsidP="00887EEB">
      <w:pPr>
        <w:tabs>
          <w:tab w:val="left" w:pos="630"/>
        </w:tabs>
        <w:spacing w:line="240" w:lineRule="auto"/>
        <w:jc w:val="both"/>
        <w:rPr>
          <w:rFonts w:cs="Arial"/>
          <w:szCs w:val="24"/>
          <w:lang w:val="en-CA"/>
        </w:rPr>
      </w:pPr>
    </w:p>
    <w:tbl>
      <w:tblPr>
        <w:tblW w:w="0" w:type="auto"/>
        <w:tblLook w:val="04A0" w:firstRow="1" w:lastRow="0" w:firstColumn="1" w:lastColumn="0" w:noHBand="0" w:noVBand="1"/>
      </w:tblPr>
      <w:tblGrid>
        <w:gridCol w:w="4045"/>
        <w:gridCol w:w="5215"/>
      </w:tblGrid>
      <w:tr w:rsidR="00345703" w:rsidRPr="00A2050E" w14:paraId="09CA4066" w14:textId="77777777" w:rsidTr="00F92FD9">
        <w:tc>
          <w:tcPr>
            <w:tcW w:w="4045" w:type="dxa"/>
            <w:shd w:val="clear" w:color="auto" w:fill="auto"/>
          </w:tcPr>
          <w:p w14:paraId="17E9234C" w14:textId="77777777" w:rsidR="00E01CAD" w:rsidRPr="00F92FD9" w:rsidRDefault="00E6418F" w:rsidP="00DC384E">
            <w:pPr>
              <w:pStyle w:val="zSoquijdatDateJugement"/>
              <w:rPr>
                <w:lang w:val="en-CA"/>
              </w:rPr>
            </w:pPr>
            <w:r w:rsidRPr="00F92FD9">
              <w:rPr>
                <w:lang w:val="en-CA"/>
              </w:rPr>
              <w:t>DATE: March 8, 2024</w:t>
            </w:r>
          </w:p>
        </w:tc>
        <w:tc>
          <w:tcPr>
            <w:tcW w:w="5215" w:type="dxa"/>
            <w:shd w:val="clear" w:color="auto" w:fill="auto"/>
          </w:tcPr>
          <w:p w14:paraId="65FBD93F" w14:textId="77777777" w:rsidR="00E01CAD" w:rsidRPr="00F92FD9" w:rsidRDefault="00E01CAD" w:rsidP="00F92FD9">
            <w:pPr>
              <w:tabs>
                <w:tab w:val="left" w:pos="630"/>
              </w:tabs>
              <w:spacing w:line="240" w:lineRule="auto"/>
              <w:jc w:val="both"/>
              <w:rPr>
                <w:rFonts w:eastAsia="Calibri" w:cs="Arial"/>
                <w:szCs w:val="24"/>
                <w:lang w:val="en-CA"/>
              </w:rPr>
            </w:pPr>
          </w:p>
        </w:tc>
      </w:tr>
      <w:tr w:rsidR="00345703" w:rsidRPr="00A2050E" w14:paraId="6C2FC2A3" w14:textId="77777777" w:rsidTr="00F92FD9">
        <w:tc>
          <w:tcPr>
            <w:tcW w:w="4045" w:type="dxa"/>
            <w:shd w:val="clear" w:color="auto" w:fill="auto"/>
          </w:tcPr>
          <w:p w14:paraId="2F153BDC" w14:textId="77777777" w:rsidR="00E01CAD" w:rsidRPr="00F92FD9" w:rsidRDefault="00E01CAD" w:rsidP="00F92FD9">
            <w:pPr>
              <w:tabs>
                <w:tab w:val="left" w:pos="630"/>
              </w:tabs>
              <w:spacing w:line="240" w:lineRule="auto"/>
              <w:jc w:val="both"/>
              <w:rPr>
                <w:rFonts w:eastAsia="Calibri" w:cs="Arial"/>
                <w:szCs w:val="24"/>
                <w:lang w:val="en-CA"/>
              </w:rPr>
            </w:pPr>
          </w:p>
        </w:tc>
        <w:tc>
          <w:tcPr>
            <w:tcW w:w="5215" w:type="dxa"/>
            <w:shd w:val="clear" w:color="auto" w:fill="auto"/>
          </w:tcPr>
          <w:p w14:paraId="5CA6203E" w14:textId="77777777" w:rsidR="00E01CAD" w:rsidRPr="00F92FD9" w:rsidRDefault="00E01CAD" w:rsidP="00F92FD9">
            <w:pPr>
              <w:tabs>
                <w:tab w:val="left" w:pos="630"/>
              </w:tabs>
              <w:spacing w:line="240" w:lineRule="auto"/>
              <w:jc w:val="both"/>
              <w:rPr>
                <w:rFonts w:eastAsia="Calibri" w:cs="Arial"/>
                <w:szCs w:val="24"/>
                <w:lang w:val="en-CA"/>
              </w:rPr>
            </w:pPr>
          </w:p>
        </w:tc>
      </w:tr>
      <w:tr w:rsidR="00345703" w:rsidRPr="00A2050E" w14:paraId="2D5364B3" w14:textId="77777777" w:rsidTr="00F92FD9">
        <w:tc>
          <w:tcPr>
            <w:tcW w:w="4045" w:type="dxa"/>
            <w:shd w:val="clear" w:color="auto" w:fill="auto"/>
          </w:tcPr>
          <w:p w14:paraId="7F4AD86E" w14:textId="77777777" w:rsidR="00E01CAD" w:rsidRPr="00F92FD9" w:rsidRDefault="00E6418F" w:rsidP="00F92FD9">
            <w:pPr>
              <w:pStyle w:val="zSoquijdatQteJuge"/>
              <w:ind w:left="-108"/>
              <w:rPr>
                <w:lang w:val="en-CA"/>
              </w:rPr>
            </w:pPr>
            <w:r w:rsidRPr="00F92FD9">
              <w:rPr>
                <w:lang w:val="en-CA"/>
              </w:rPr>
              <w:t>PANEL: THE HONOURABLE</w:t>
            </w:r>
          </w:p>
        </w:tc>
        <w:tc>
          <w:tcPr>
            <w:tcW w:w="5215" w:type="dxa"/>
            <w:shd w:val="clear" w:color="auto" w:fill="auto"/>
          </w:tcPr>
          <w:p w14:paraId="755DDF7B" w14:textId="77777777" w:rsidR="00E01CAD" w:rsidRPr="00F92FD9" w:rsidRDefault="00E6418F" w:rsidP="00E21494">
            <w:pPr>
              <w:pStyle w:val="zSoquijdatJuge1"/>
              <w:rPr>
                <w:lang w:val="en-CA"/>
              </w:rPr>
            </w:pPr>
            <w:bookmarkStart w:id="2" w:name="NomJuge1"/>
            <w:r w:rsidRPr="00F92FD9">
              <w:rPr>
                <w:lang w:val="en-CA"/>
              </w:rPr>
              <w:t>JULIE DUTIL, J.A.</w:t>
            </w:r>
            <w:bookmarkEnd w:id="2"/>
          </w:p>
        </w:tc>
      </w:tr>
      <w:tr w:rsidR="00345703" w:rsidRPr="00A2050E" w14:paraId="15B01364" w14:textId="77777777" w:rsidTr="00F92FD9">
        <w:tc>
          <w:tcPr>
            <w:tcW w:w="4045" w:type="dxa"/>
            <w:shd w:val="clear" w:color="auto" w:fill="auto"/>
          </w:tcPr>
          <w:p w14:paraId="734AF9F8" w14:textId="77777777" w:rsidR="00E01CAD" w:rsidRPr="00F92FD9" w:rsidRDefault="00E01CAD" w:rsidP="00F92FD9">
            <w:pPr>
              <w:tabs>
                <w:tab w:val="left" w:pos="630"/>
              </w:tabs>
              <w:spacing w:line="240" w:lineRule="auto"/>
              <w:jc w:val="both"/>
              <w:rPr>
                <w:rFonts w:eastAsia="Calibri" w:cs="Arial"/>
                <w:szCs w:val="24"/>
                <w:lang w:val="en-CA"/>
              </w:rPr>
            </w:pPr>
          </w:p>
        </w:tc>
        <w:tc>
          <w:tcPr>
            <w:tcW w:w="5215" w:type="dxa"/>
            <w:shd w:val="clear" w:color="auto" w:fill="auto"/>
          </w:tcPr>
          <w:p w14:paraId="1E64A238" w14:textId="77777777" w:rsidR="00E01CAD" w:rsidRPr="00F92FD9" w:rsidRDefault="00E6418F" w:rsidP="00E21494">
            <w:pPr>
              <w:pStyle w:val="zSoquijdatJuge2"/>
              <w:rPr>
                <w:lang w:val="en-CA"/>
              </w:rPr>
            </w:pPr>
            <w:bookmarkStart w:id="3" w:name="NomJuge2"/>
            <w:r w:rsidRPr="00F92FD9">
              <w:rPr>
                <w:lang w:val="en-CA"/>
              </w:rPr>
              <w:t>SUZANNE GAGNÉ, J.A.</w:t>
            </w:r>
            <w:bookmarkEnd w:id="3"/>
          </w:p>
        </w:tc>
      </w:tr>
      <w:tr w:rsidR="00345703" w:rsidRPr="00A2050E" w14:paraId="252B5F8B" w14:textId="77777777" w:rsidTr="00F92FD9">
        <w:tc>
          <w:tcPr>
            <w:tcW w:w="4045" w:type="dxa"/>
            <w:shd w:val="clear" w:color="auto" w:fill="auto"/>
          </w:tcPr>
          <w:p w14:paraId="1EE49D06" w14:textId="77777777" w:rsidR="00E01CAD" w:rsidRPr="00F92FD9" w:rsidRDefault="00E01CAD" w:rsidP="00F92FD9">
            <w:pPr>
              <w:tabs>
                <w:tab w:val="left" w:pos="630"/>
              </w:tabs>
              <w:spacing w:line="240" w:lineRule="auto"/>
              <w:jc w:val="both"/>
              <w:rPr>
                <w:rFonts w:eastAsia="Calibri" w:cs="Arial"/>
                <w:szCs w:val="24"/>
                <w:lang w:val="en-CA"/>
              </w:rPr>
            </w:pPr>
          </w:p>
        </w:tc>
        <w:tc>
          <w:tcPr>
            <w:tcW w:w="5215" w:type="dxa"/>
            <w:shd w:val="clear" w:color="auto" w:fill="auto"/>
          </w:tcPr>
          <w:p w14:paraId="4368C3C6" w14:textId="77777777" w:rsidR="00E01CAD" w:rsidRPr="00F92FD9" w:rsidRDefault="00E6418F" w:rsidP="00E21494">
            <w:pPr>
              <w:pStyle w:val="zSoquijdatJuge3"/>
            </w:pPr>
            <w:bookmarkStart w:id="4" w:name="NomJuge3"/>
            <w:r w:rsidRPr="00F92FD9">
              <w:t>LORI RENÉE WEITZMAN, J.A.</w:t>
            </w:r>
            <w:bookmarkEnd w:id="4"/>
          </w:p>
        </w:tc>
      </w:tr>
    </w:tbl>
    <w:p w14:paraId="0BFD1E75" w14:textId="77777777" w:rsidR="00887EEB" w:rsidRPr="00A2050E" w:rsidRDefault="00887EEB" w:rsidP="000949A6">
      <w:pPr>
        <w:tabs>
          <w:tab w:val="left" w:pos="0"/>
        </w:tabs>
        <w:spacing w:line="240" w:lineRule="auto"/>
        <w:jc w:val="both"/>
        <w:rPr>
          <w:rFonts w:cs="Arial"/>
          <w:szCs w:val="24"/>
        </w:rPr>
      </w:pPr>
      <w:bookmarkStart w:id="5" w:name="Faillite"/>
      <w:bookmarkEnd w:id="5"/>
    </w:p>
    <w:p w14:paraId="08862282" w14:textId="77777777" w:rsidR="00887EEB" w:rsidRPr="00A2050E" w:rsidRDefault="00887EEB" w:rsidP="00887EEB">
      <w:pPr>
        <w:spacing w:line="240" w:lineRule="auto"/>
        <w:jc w:val="both"/>
        <w:rPr>
          <w:rFonts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830"/>
      </w:tblGrid>
      <w:tr w:rsidR="00345703" w:rsidRPr="00A2050E" w14:paraId="284F2EEC" w14:textId="77777777" w:rsidTr="00F92FD9">
        <w:tc>
          <w:tcPr>
            <w:tcW w:w="4435" w:type="dxa"/>
            <w:shd w:val="clear" w:color="auto" w:fill="auto"/>
          </w:tcPr>
          <w:p w14:paraId="1CE68AF4" w14:textId="77777777" w:rsidR="00887EEB" w:rsidRPr="00F92FD9" w:rsidRDefault="00E6418F" w:rsidP="00FA7F32">
            <w:pPr>
              <w:pStyle w:val="zSoquijdatQtePartieDem"/>
              <w:rPr>
                <w:lang w:val="en-CA"/>
              </w:rPr>
            </w:pPr>
            <w:r w:rsidRPr="00F92FD9">
              <w:rPr>
                <w:lang w:val="en-CA"/>
              </w:rPr>
              <w:t>APPELLANT/INCIDENTAL RESPONDENT</w:t>
            </w:r>
          </w:p>
        </w:tc>
        <w:tc>
          <w:tcPr>
            <w:tcW w:w="4830" w:type="dxa"/>
            <w:shd w:val="clear" w:color="auto" w:fill="auto"/>
            <w:vAlign w:val="center"/>
          </w:tcPr>
          <w:p w14:paraId="536D6F2F" w14:textId="77777777" w:rsidR="00887EEB" w:rsidRPr="00F92FD9" w:rsidRDefault="00E6418F" w:rsidP="00C551F8">
            <w:pPr>
              <w:pStyle w:val="zSoquijlblProcureurDem"/>
              <w:rPr>
                <w:lang w:val="en-CA"/>
              </w:rPr>
            </w:pPr>
            <w:r w:rsidRPr="00F92FD9">
              <w:rPr>
                <w:lang w:val="en-CA"/>
              </w:rPr>
              <w:t>COUNSEL</w:t>
            </w:r>
          </w:p>
        </w:tc>
      </w:tr>
      <w:tr w:rsidR="00345703" w:rsidRPr="00A2050E" w14:paraId="734B39EC" w14:textId="77777777" w:rsidTr="00F92FD9">
        <w:tc>
          <w:tcPr>
            <w:tcW w:w="4435" w:type="dxa"/>
            <w:shd w:val="clear" w:color="auto" w:fill="auto"/>
          </w:tcPr>
          <w:p w14:paraId="00C7ED34" w14:textId="77777777" w:rsidR="00887EEB" w:rsidRPr="00F92FD9" w:rsidRDefault="00887EEB" w:rsidP="00F92FD9">
            <w:pPr>
              <w:tabs>
                <w:tab w:val="center" w:pos="2162"/>
              </w:tabs>
              <w:spacing w:line="240" w:lineRule="auto"/>
              <w:jc w:val="center"/>
              <w:rPr>
                <w:b/>
                <w:lang w:val="en-CA"/>
              </w:rPr>
            </w:pPr>
          </w:p>
          <w:p w14:paraId="10E392B9" w14:textId="77777777" w:rsidR="00033ACA" w:rsidRPr="00F92FD9" w:rsidRDefault="00B36FB8" w:rsidP="00F92FD9">
            <w:pPr>
              <w:pStyle w:val="zSoquijdatNomPartieDem"/>
              <w:tabs>
                <w:tab w:val="center" w:pos="2412"/>
              </w:tabs>
              <w:rPr>
                <w:lang w:val="en-CA"/>
              </w:rPr>
            </w:pPr>
            <w:bookmarkStart w:id="6" w:name="App"/>
            <w:r w:rsidRPr="00F92FD9">
              <w:rPr>
                <w:caps/>
                <w:lang w:val="en-CA"/>
              </w:rPr>
              <w:t xml:space="preserve">D. </w:t>
            </w:r>
            <w:bookmarkEnd w:id="6"/>
            <w:r w:rsidRPr="00F92FD9">
              <w:rPr>
                <w:caps/>
                <w:lang w:val="en-CA"/>
              </w:rPr>
              <w:t>E.</w:t>
            </w:r>
          </w:p>
        </w:tc>
        <w:tc>
          <w:tcPr>
            <w:tcW w:w="4830" w:type="dxa"/>
            <w:shd w:val="clear" w:color="auto" w:fill="auto"/>
          </w:tcPr>
          <w:p w14:paraId="05808AD8" w14:textId="77777777" w:rsidR="00887EEB" w:rsidRPr="00F92FD9" w:rsidRDefault="00887EEB" w:rsidP="00F92FD9">
            <w:pPr>
              <w:spacing w:line="240" w:lineRule="auto"/>
              <w:jc w:val="center"/>
              <w:rPr>
                <w:rFonts w:cs="Arial"/>
                <w:szCs w:val="24"/>
              </w:rPr>
            </w:pPr>
          </w:p>
          <w:p w14:paraId="2F5B31F6" w14:textId="77777777" w:rsidR="00887EEB" w:rsidRPr="00A2050E" w:rsidRDefault="00E6418F" w:rsidP="00F92FD9">
            <w:pPr>
              <w:pStyle w:val="zSoquijdatNomProcureurDem"/>
              <w:spacing w:before="0" w:after="0"/>
            </w:pPr>
            <w:r w:rsidRPr="00A2050E">
              <w:t xml:space="preserve">Mtre </w:t>
            </w:r>
            <w:bookmarkStart w:id="7" w:name="Avocat_app"/>
            <w:r w:rsidR="00834B09" w:rsidRPr="00F92FD9">
              <w:rPr>
                <w:caps/>
              </w:rPr>
              <w:t xml:space="preserve">Julie Grant </w:t>
            </w:r>
            <w:bookmarkEnd w:id="7"/>
          </w:p>
          <w:p w14:paraId="58987003" w14:textId="77777777" w:rsidR="00887EEB" w:rsidRPr="00F92FD9" w:rsidRDefault="00E6418F" w:rsidP="00834B09">
            <w:pPr>
              <w:pStyle w:val="zSoquijdatCabinetProcureurDem"/>
              <w:rPr>
                <w:lang w:val="fr-CA"/>
              </w:rPr>
            </w:pPr>
            <w:r w:rsidRPr="00F92FD9">
              <w:rPr>
                <w:lang w:val="fr-CA"/>
              </w:rPr>
              <w:t>(</w:t>
            </w:r>
            <w:bookmarkStart w:id="8" w:name="Bureau_Avocat_app"/>
            <w:r w:rsidRPr="00F92FD9">
              <w:rPr>
                <w:i/>
                <w:iCs/>
                <w:lang w:val="fr-CA"/>
              </w:rPr>
              <w:t>Dunton, Rainville</w:t>
            </w:r>
            <w:bookmarkEnd w:id="8"/>
            <w:r w:rsidRPr="00F92FD9">
              <w:rPr>
                <w:lang w:val="fr-CA"/>
              </w:rPr>
              <w:t>)</w:t>
            </w:r>
          </w:p>
          <w:p w14:paraId="6B0E09C7" w14:textId="77777777" w:rsidR="00887EEB" w:rsidRPr="00F92FD9" w:rsidRDefault="00887EEB" w:rsidP="00F92FD9">
            <w:pPr>
              <w:spacing w:line="240" w:lineRule="auto"/>
              <w:jc w:val="center"/>
              <w:rPr>
                <w:rFonts w:cs="Arial"/>
                <w:szCs w:val="24"/>
              </w:rPr>
            </w:pPr>
            <w:bookmarkStart w:id="9" w:name="Présent_app"/>
            <w:bookmarkEnd w:id="9"/>
          </w:p>
          <w:p w14:paraId="149A01FE" w14:textId="77777777" w:rsidR="00887EEB" w:rsidRPr="00F92FD9" w:rsidRDefault="00887EEB" w:rsidP="00F92FD9">
            <w:pPr>
              <w:spacing w:line="240" w:lineRule="auto"/>
              <w:jc w:val="center"/>
              <w:rPr>
                <w:rFonts w:cs="Arial"/>
                <w:szCs w:val="24"/>
              </w:rPr>
            </w:pPr>
          </w:p>
        </w:tc>
      </w:tr>
      <w:tr w:rsidR="00345703" w:rsidRPr="00A2050E" w14:paraId="1AA9E339" w14:textId="77777777" w:rsidTr="00F92FD9">
        <w:tc>
          <w:tcPr>
            <w:tcW w:w="4435" w:type="dxa"/>
            <w:shd w:val="clear" w:color="auto" w:fill="auto"/>
          </w:tcPr>
          <w:p w14:paraId="27FA0BF8" w14:textId="77777777" w:rsidR="00887EEB" w:rsidRPr="00F92FD9" w:rsidRDefault="00E6418F" w:rsidP="00FA7F32">
            <w:pPr>
              <w:pStyle w:val="zSoquijdatQtePartieDef"/>
              <w:rPr>
                <w:lang w:val="en-CA"/>
              </w:rPr>
            </w:pPr>
            <w:r w:rsidRPr="00F92FD9">
              <w:rPr>
                <w:lang w:val="en-CA"/>
              </w:rPr>
              <w:t>RESPONDENT/INCIDENTAL APPELLANT</w:t>
            </w:r>
          </w:p>
        </w:tc>
        <w:tc>
          <w:tcPr>
            <w:tcW w:w="4830" w:type="dxa"/>
            <w:shd w:val="clear" w:color="auto" w:fill="auto"/>
            <w:vAlign w:val="center"/>
          </w:tcPr>
          <w:p w14:paraId="3EA9FF09" w14:textId="77777777" w:rsidR="00887EEB" w:rsidRPr="00F92FD9" w:rsidRDefault="00E6418F" w:rsidP="00C551F8">
            <w:pPr>
              <w:pStyle w:val="zSoquijlblProcureurDef"/>
              <w:rPr>
                <w:lang w:val="en-CA"/>
              </w:rPr>
            </w:pPr>
            <w:r w:rsidRPr="00F92FD9">
              <w:rPr>
                <w:lang w:val="en-CA"/>
              </w:rPr>
              <w:t>COUNSEL</w:t>
            </w:r>
          </w:p>
        </w:tc>
      </w:tr>
      <w:tr w:rsidR="00345703" w:rsidRPr="00A2050E" w14:paraId="644383D2" w14:textId="77777777" w:rsidTr="00F92FD9">
        <w:tc>
          <w:tcPr>
            <w:tcW w:w="4435" w:type="dxa"/>
            <w:shd w:val="clear" w:color="auto" w:fill="auto"/>
          </w:tcPr>
          <w:p w14:paraId="027ECB37" w14:textId="77777777" w:rsidR="00887EEB" w:rsidRPr="00F92FD9" w:rsidRDefault="00887EEB" w:rsidP="00F92FD9">
            <w:pPr>
              <w:spacing w:line="240" w:lineRule="auto"/>
              <w:jc w:val="center"/>
              <w:rPr>
                <w:b/>
                <w:lang w:val="en-CA"/>
              </w:rPr>
            </w:pPr>
          </w:p>
          <w:p w14:paraId="5546B7B9" w14:textId="77777777" w:rsidR="00F12661" w:rsidRPr="00F92FD9" w:rsidRDefault="00B36FB8" w:rsidP="00F92FD9">
            <w:pPr>
              <w:pStyle w:val="zSoquijdatNomPartieDef"/>
              <w:tabs>
                <w:tab w:val="center" w:pos="2412"/>
              </w:tabs>
              <w:rPr>
                <w:lang w:val="en-CA"/>
              </w:rPr>
            </w:pPr>
            <w:bookmarkStart w:id="10" w:name="Intimé"/>
            <w:r w:rsidRPr="00F92FD9">
              <w:rPr>
                <w:caps/>
                <w:lang w:val="en-CA"/>
              </w:rPr>
              <w:t xml:space="preserve">C. </w:t>
            </w:r>
            <w:bookmarkEnd w:id="10"/>
            <w:r w:rsidRPr="00F92FD9">
              <w:rPr>
                <w:caps/>
                <w:lang w:val="en-CA"/>
              </w:rPr>
              <w:t>H.</w:t>
            </w:r>
          </w:p>
        </w:tc>
        <w:tc>
          <w:tcPr>
            <w:tcW w:w="4830" w:type="dxa"/>
            <w:shd w:val="clear" w:color="auto" w:fill="auto"/>
          </w:tcPr>
          <w:p w14:paraId="15031DA3" w14:textId="77777777" w:rsidR="00887EEB" w:rsidRPr="00F92FD9" w:rsidRDefault="00887EEB" w:rsidP="00F92FD9">
            <w:pPr>
              <w:spacing w:line="240" w:lineRule="auto"/>
              <w:jc w:val="center"/>
              <w:rPr>
                <w:rFonts w:cs="Arial"/>
                <w:szCs w:val="24"/>
              </w:rPr>
            </w:pPr>
          </w:p>
          <w:p w14:paraId="3394B023" w14:textId="77777777" w:rsidR="00887EEB" w:rsidRPr="00F92FD9" w:rsidRDefault="00E6418F" w:rsidP="00F92FD9">
            <w:pPr>
              <w:pStyle w:val="zSoquijdatNomProcureurDef"/>
              <w:spacing w:before="0" w:after="0"/>
              <w:rPr>
                <w:caps/>
              </w:rPr>
            </w:pPr>
            <w:r w:rsidRPr="00A2050E">
              <w:t xml:space="preserve">Mtre </w:t>
            </w:r>
            <w:bookmarkStart w:id="11" w:name="Avocat_int"/>
            <w:r w:rsidR="00834B09" w:rsidRPr="00F92FD9">
              <w:rPr>
                <w:caps/>
              </w:rPr>
              <w:t>Valérie Assouline</w:t>
            </w:r>
            <w:bookmarkEnd w:id="11"/>
          </w:p>
          <w:p w14:paraId="6A35F1D9" w14:textId="77777777" w:rsidR="00356877" w:rsidRPr="00A2050E" w:rsidRDefault="00E6418F" w:rsidP="00F92FD9">
            <w:pPr>
              <w:pStyle w:val="zSoquijdatNomProcureurDef"/>
              <w:spacing w:before="0" w:after="0"/>
            </w:pPr>
            <w:r w:rsidRPr="00A2050E">
              <w:t>Mtre REBECCA LEVASSEUR</w:t>
            </w:r>
          </w:p>
          <w:p w14:paraId="328C0872" w14:textId="77777777" w:rsidR="00887EEB" w:rsidRPr="00F92FD9" w:rsidRDefault="00E6418F" w:rsidP="00F92FD9">
            <w:pPr>
              <w:pStyle w:val="zSoquijdatCabinetProcureurDef"/>
              <w:spacing w:before="0" w:after="0"/>
              <w:rPr>
                <w:lang w:val="en-CA"/>
              </w:rPr>
            </w:pPr>
            <w:r w:rsidRPr="00F92FD9">
              <w:rPr>
                <w:lang w:val="en-CA"/>
              </w:rPr>
              <w:t>(</w:t>
            </w:r>
            <w:bookmarkStart w:id="12" w:name="Bureau_Avocat_int"/>
            <w:r w:rsidRPr="00F92FD9">
              <w:rPr>
                <w:i/>
                <w:iCs/>
                <w:lang w:val="en-CA"/>
              </w:rPr>
              <w:t>SOS Avocats</w:t>
            </w:r>
            <w:bookmarkEnd w:id="12"/>
            <w:r w:rsidRPr="00F92FD9">
              <w:rPr>
                <w:lang w:val="en-CA"/>
              </w:rPr>
              <w:t>)</w:t>
            </w:r>
          </w:p>
          <w:p w14:paraId="412CC57F" w14:textId="77777777" w:rsidR="00887EEB" w:rsidRPr="00F92FD9" w:rsidRDefault="00887EEB" w:rsidP="00F92FD9">
            <w:pPr>
              <w:spacing w:line="240" w:lineRule="auto"/>
              <w:jc w:val="center"/>
              <w:rPr>
                <w:rFonts w:cs="Arial"/>
                <w:szCs w:val="24"/>
                <w:lang w:val="en-CA"/>
              </w:rPr>
            </w:pPr>
            <w:bookmarkStart w:id="13" w:name="Présent_int"/>
            <w:bookmarkEnd w:id="13"/>
          </w:p>
          <w:p w14:paraId="6DA168EF" w14:textId="77777777" w:rsidR="00887EEB" w:rsidRPr="00F92FD9" w:rsidRDefault="00887EEB" w:rsidP="00F92FD9">
            <w:pPr>
              <w:spacing w:line="240" w:lineRule="auto"/>
              <w:jc w:val="center"/>
              <w:rPr>
                <w:rFonts w:cs="Arial"/>
                <w:szCs w:val="24"/>
                <w:lang w:val="en-CA"/>
              </w:rPr>
            </w:pPr>
          </w:p>
        </w:tc>
      </w:tr>
    </w:tbl>
    <w:p w14:paraId="0D24F7D1" w14:textId="77777777" w:rsidR="00887EEB" w:rsidRPr="00A2050E" w:rsidRDefault="00887EEB" w:rsidP="00887EEB">
      <w:pPr>
        <w:spacing w:line="240" w:lineRule="auto"/>
        <w:jc w:val="both"/>
        <w:rPr>
          <w:rFonts w:cs="Arial"/>
          <w:szCs w:val="24"/>
          <w:lang w:val="en-CA"/>
        </w:rPr>
      </w:pPr>
    </w:p>
    <w:p w14:paraId="5E43CF50" w14:textId="77777777" w:rsidR="001C2EE1" w:rsidRPr="00A2050E" w:rsidRDefault="00E6418F">
      <w:pPr>
        <w:rPr>
          <w:lang w:val="en-CA"/>
        </w:rPr>
      </w:pPr>
      <w:r w:rsidRPr="00A2050E">
        <w:rPr>
          <w:lang w:val="en-CA"/>
        </w:rPr>
        <w:br w:type="page"/>
      </w:r>
    </w:p>
    <w:tbl>
      <w:tblPr>
        <w:tblW w:w="0" w:type="auto"/>
        <w:tblLook w:val="04A0" w:firstRow="1" w:lastRow="0" w:firstColumn="1" w:lastColumn="0" w:noHBand="0" w:noVBand="1"/>
      </w:tblPr>
      <w:tblGrid>
        <w:gridCol w:w="9270"/>
      </w:tblGrid>
      <w:tr w:rsidR="00345703" w:rsidRPr="00A2050E" w14:paraId="26A7F8FD" w14:textId="77777777" w:rsidTr="00F92FD9">
        <w:tc>
          <w:tcPr>
            <w:tcW w:w="9270" w:type="dxa"/>
            <w:shd w:val="clear" w:color="auto" w:fill="auto"/>
          </w:tcPr>
          <w:p w14:paraId="6A75075A" w14:textId="77777777" w:rsidR="00887EEB" w:rsidRPr="00F92FD9" w:rsidRDefault="00E6418F" w:rsidP="00F92FD9">
            <w:pPr>
              <w:spacing w:line="240" w:lineRule="auto"/>
              <w:ind w:left="-108"/>
              <w:jc w:val="both"/>
              <w:rPr>
                <w:lang w:val="en-CA"/>
              </w:rPr>
            </w:pPr>
            <w:r w:rsidRPr="00F92FD9">
              <w:rPr>
                <w:lang w:val="en-CA"/>
              </w:rPr>
              <w:t xml:space="preserve">On appeal from a judgment rendered on </w:t>
            </w:r>
            <w:bookmarkStart w:id="14" w:name="jugement_PI"/>
            <w:bookmarkEnd w:id="14"/>
            <w:r w:rsidRPr="00F92FD9">
              <w:rPr>
                <w:lang w:val="en-CA"/>
              </w:rPr>
              <w:t xml:space="preserve">June 20, 2023 (corrected on July 11, 2023) by the Honourable </w:t>
            </w:r>
            <w:bookmarkStart w:id="15" w:name="juge_PI"/>
            <w:bookmarkEnd w:id="15"/>
            <w:r w:rsidRPr="00F92FD9">
              <w:rPr>
                <w:lang w:val="en-CA"/>
              </w:rPr>
              <w:t>Madam Justice Janick Perreault of the Superior Court</w:t>
            </w:r>
            <w:bookmarkStart w:id="16" w:name="Cour"/>
            <w:bookmarkEnd w:id="16"/>
            <w:r w:rsidRPr="00F92FD9">
              <w:rPr>
                <w:lang w:val="en-CA"/>
              </w:rPr>
              <w:t xml:space="preserve">, District of </w:t>
            </w:r>
            <w:bookmarkStart w:id="17" w:name="District"/>
            <w:bookmarkEnd w:id="17"/>
            <w:r w:rsidRPr="00F92FD9">
              <w:rPr>
                <w:lang w:val="en-CA"/>
              </w:rPr>
              <w:t>Beauharnois.</w:t>
            </w:r>
          </w:p>
        </w:tc>
      </w:tr>
    </w:tbl>
    <w:p w14:paraId="1507CDF7" w14:textId="77777777" w:rsidR="00887EEB" w:rsidRPr="00A2050E" w:rsidRDefault="00887EEB" w:rsidP="00887EEB">
      <w:pPr>
        <w:spacing w:line="240" w:lineRule="auto"/>
        <w:jc w:val="both"/>
        <w:rPr>
          <w:rFonts w:cs="Arial"/>
          <w:szCs w:val="24"/>
          <w:lang w:val="en-CA"/>
        </w:rPr>
      </w:pPr>
    </w:p>
    <w:tbl>
      <w:tblPr>
        <w:tblW w:w="9360" w:type="dxa"/>
        <w:tblLook w:val="04A0" w:firstRow="1" w:lastRow="0" w:firstColumn="1" w:lastColumn="0" w:noHBand="0" w:noVBand="1"/>
      </w:tblPr>
      <w:tblGrid>
        <w:gridCol w:w="3119"/>
        <w:gridCol w:w="6241"/>
      </w:tblGrid>
      <w:tr w:rsidR="00345703" w:rsidRPr="00A2050E" w14:paraId="2368E10B" w14:textId="77777777" w:rsidTr="00F92FD9">
        <w:tc>
          <w:tcPr>
            <w:tcW w:w="3119" w:type="dxa"/>
            <w:shd w:val="clear" w:color="auto" w:fill="auto"/>
          </w:tcPr>
          <w:p w14:paraId="67753E37" w14:textId="77777777" w:rsidR="00887EEB" w:rsidRPr="00F92FD9" w:rsidRDefault="00E6418F" w:rsidP="00F92FD9">
            <w:pPr>
              <w:spacing w:line="240" w:lineRule="auto"/>
              <w:ind w:left="-108"/>
              <w:jc w:val="both"/>
              <w:rPr>
                <w:rFonts w:cs="Arial"/>
                <w:kern w:val="28"/>
                <w:szCs w:val="24"/>
                <w:lang w:val="en-CA"/>
              </w:rPr>
            </w:pPr>
            <w:r w:rsidRPr="00F92FD9">
              <w:rPr>
                <w:rFonts w:cs="Arial"/>
                <w:kern w:val="28"/>
                <w:szCs w:val="24"/>
                <w:lang w:val="en-CA"/>
              </w:rPr>
              <w:t>NATURE OF THE APPEAL:</w:t>
            </w:r>
          </w:p>
        </w:tc>
        <w:tc>
          <w:tcPr>
            <w:tcW w:w="6241" w:type="dxa"/>
            <w:shd w:val="clear" w:color="auto" w:fill="auto"/>
            <w:vAlign w:val="center"/>
          </w:tcPr>
          <w:p w14:paraId="17E0BABF" w14:textId="77777777" w:rsidR="00887EEB" w:rsidRPr="00F92FD9" w:rsidRDefault="00E6418F" w:rsidP="00F92FD9">
            <w:pPr>
              <w:spacing w:line="240" w:lineRule="auto"/>
              <w:jc w:val="both"/>
              <w:rPr>
                <w:rFonts w:cs="Arial"/>
                <w:b/>
                <w:bCs/>
                <w:kern w:val="28"/>
                <w:szCs w:val="24"/>
                <w:lang w:val="en-CA"/>
              </w:rPr>
            </w:pPr>
            <w:bookmarkStart w:id="18" w:name="Nature"/>
            <w:bookmarkEnd w:id="18"/>
            <w:r w:rsidRPr="00F92FD9">
              <w:rPr>
                <w:rFonts w:cs="Arial"/>
                <w:b/>
                <w:bCs/>
                <w:kern w:val="28"/>
                <w:szCs w:val="24"/>
                <w:lang w:val="en-CA"/>
              </w:rPr>
              <w:t>Divorce – Family patrimony – Incidental appeal.</w:t>
            </w:r>
          </w:p>
        </w:tc>
      </w:tr>
    </w:tbl>
    <w:p w14:paraId="098E2A8E" w14:textId="77777777" w:rsidR="00887EEB" w:rsidRPr="00A2050E" w:rsidRDefault="00887EEB" w:rsidP="00887EEB">
      <w:pPr>
        <w:spacing w:line="240" w:lineRule="auto"/>
        <w:jc w:val="both"/>
        <w:rPr>
          <w:rFonts w:cs="Arial"/>
          <w:szCs w:val="24"/>
          <w:lang w:val="en-CA"/>
        </w:rPr>
      </w:pPr>
    </w:p>
    <w:tbl>
      <w:tblPr>
        <w:tblW w:w="936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103"/>
        <w:gridCol w:w="4257"/>
      </w:tblGrid>
      <w:tr w:rsidR="00345703" w:rsidRPr="00A2050E" w14:paraId="2D212A4E" w14:textId="77777777" w:rsidTr="00834B09">
        <w:trPr>
          <w:cantSplit/>
          <w:trHeight w:val="397"/>
        </w:trPr>
        <w:tc>
          <w:tcPr>
            <w:tcW w:w="5103" w:type="dxa"/>
            <w:tcBorders>
              <w:top w:val="single" w:sz="4" w:space="0" w:color="auto"/>
              <w:bottom w:val="single" w:sz="4" w:space="0" w:color="auto"/>
              <w:right w:val="single" w:sz="4" w:space="0" w:color="auto"/>
            </w:tcBorders>
            <w:vAlign w:val="center"/>
          </w:tcPr>
          <w:p w14:paraId="2E034EF9" w14:textId="77777777" w:rsidR="00887EEB" w:rsidRPr="00A2050E" w:rsidRDefault="00E6418F" w:rsidP="00887EEB">
            <w:pPr>
              <w:spacing w:before="120" w:after="120" w:line="240" w:lineRule="auto"/>
              <w:rPr>
                <w:rFonts w:cs="Arial"/>
                <w:szCs w:val="24"/>
                <w:lang w:val="en-CA"/>
              </w:rPr>
            </w:pPr>
            <w:bookmarkStart w:id="19" w:name="Greffier"/>
            <w:bookmarkEnd w:id="19"/>
            <w:r w:rsidRPr="00A2050E">
              <w:rPr>
                <w:rFonts w:cs="Arial"/>
                <w:szCs w:val="24"/>
                <w:lang w:val="en-CA"/>
              </w:rPr>
              <w:t xml:space="preserve">Clerk at the hearing: </w:t>
            </w:r>
            <w:bookmarkStart w:id="20" w:name="Nom_greffier"/>
            <w:bookmarkEnd w:id="20"/>
            <w:r w:rsidRPr="00A2050E">
              <w:rPr>
                <w:rFonts w:cs="Arial"/>
                <w:szCs w:val="24"/>
                <w:lang w:val="en-CA"/>
              </w:rPr>
              <w:t>Sarah-Maude Lalande</w:t>
            </w:r>
          </w:p>
        </w:tc>
        <w:tc>
          <w:tcPr>
            <w:tcW w:w="4257" w:type="dxa"/>
            <w:tcBorders>
              <w:left w:val="single" w:sz="4" w:space="0" w:color="auto"/>
            </w:tcBorders>
            <w:vAlign w:val="center"/>
          </w:tcPr>
          <w:p w14:paraId="4FF96193" w14:textId="77777777" w:rsidR="00887EEB" w:rsidRPr="00F92FD9" w:rsidRDefault="00E6418F" w:rsidP="00887EEB">
            <w:pPr>
              <w:spacing w:line="240" w:lineRule="auto"/>
              <w:jc w:val="both"/>
              <w:rPr>
                <w:rFonts w:eastAsia="Calibri" w:cs="Arial"/>
                <w:szCs w:val="24"/>
                <w:lang w:val="en-CA" w:eastAsia="en-US"/>
              </w:rPr>
            </w:pPr>
            <w:r w:rsidRPr="00A2050E">
              <w:rPr>
                <w:rFonts w:cs="Arial"/>
                <w:szCs w:val="24"/>
                <w:lang w:val="en-CA"/>
              </w:rPr>
              <w:t xml:space="preserve">Courtroom: </w:t>
            </w:r>
            <w:bookmarkStart w:id="21" w:name="Salle"/>
            <w:bookmarkEnd w:id="21"/>
            <w:r w:rsidR="00834B09" w:rsidRPr="00A2050E">
              <w:rPr>
                <w:rFonts w:cs="Arial"/>
                <w:szCs w:val="24"/>
                <w:lang w:val="en-CA"/>
              </w:rPr>
              <w:t>Pierre-Basile-Mignault</w:t>
            </w:r>
            <w:r w:rsidRPr="00A2050E">
              <w:rPr>
                <w:rFonts w:cs="Arial"/>
                <w:szCs w:val="24"/>
                <w:lang w:val="en-CA"/>
              </w:rPr>
              <w:fldChar w:fldCharType="begin"/>
            </w:r>
            <w:r w:rsidRPr="00A2050E">
              <w:rPr>
                <w:rFonts w:cs="Arial"/>
                <w:szCs w:val="24"/>
                <w:lang w:val="en-CA"/>
              </w:rPr>
              <w:instrText xml:space="preserve">  </w:instrText>
            </w:r>
            <w:r w:rsidRPr="00A2050E">
              <w:rPr>
                <w:rFonts w:cs="Arial"/>
                <w:szCs w:val="24"/>
                <w:lang w:val="en-CA"/>
              </w:rPr>
              <w:fldChar w:fldCharType="end"/>
            </w:r>
          </w:p>
        </w:tc>
      </w:tr>
    </w:tbl>
    <w:p w14:paraId="6C60CD5F" w14:textId="77777777" w:rsidR="000308CD" w:rsidRPr="00A2050E" w:rsidRDefault="000308CD">
      <w:pPr>
        <w:spacing w:line="240" w:lineRule="auto"/>
        <w:rPr>
          <w:rFonts w:cs="Arial"/>
          <w:szCs w:val="24"/>
          <w:lang w:val="en-CA"/>
        </w:rPr>
      </w:pPr>
    </w:p>
    <w:p w14:paraId="58B3A9F3" w14:textId="77777777" w:rsidR="000308CD" w:rsidRPr="00A2050E" w:rsidRDefault="00E6418F">
      <w:pPr>
        <w:spacing w:line="240" w:lineRule="auto"/>
        <w:rPr>
          <w:rFonts w:cs="Arial"/>
          <w:szCs w:val="24"/>
          <w:lang w:val="en-CA"/>
        </w:rPr>
      </w:pPr>
      <w:r w:rsidRPr="00A2050E">
        <w:rPr>
          <w:rFonts w:cs="Arial"/>
          <w:szCs w:val="24"/>
          <w:lang w:val="en-CA"/>
        </w:rPr>
        <w:br w:type="page"/>
      </w:r>
    </w:p>
    <w:p w14:paraId="7F8BB39A" w14:textId="77777777" w:rsidR="00E44A1C" w:rsidRPr="00A2050E" w:rsidRDefault="00E44A1C">
      <w:pPr>
        <w:spacing w:line="240" w:lineRule="auto"/>
        <w:rPr>
          <w:rFonts w:cs="Arial"/>
          <w:szCs w:val="24"/>
          <w:lang w:val="en-CA"/>
        </w:rPr>
      </w:pPr>
    </w:p>
    <w:tbl>
      <w:tblPr>
        <w:tblW w:w="93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345703" w:rsidRPr="00A2050E" w14:paraId="283B6446" w14:textId="77777777" w:rsidTr="00F92FD9">
        <w:tc>
          <w:tcPr>
            <w:tcW w:w="9360" w:type="dxa"/>
            <w:shd w:val="clear" w:color="auto" w:fill="auto"/>
            <w:vAlign w:val="center"/>
          </w:tcPr>
          <w:p w14:paraId="2D762377" w14:textId="77777777" w:rsidR="00887EEB" w:rsidRPr="00F92FD9" w:rsidRDefault="00E6418F" w:rsidP="00F92FD9">
            <w:pPr>
              <w:spacing w:before="240" w:after="240" w:line="240" w:lineRule="auto"/>
              <w:jc w:val="center"/>
              <w:rPr>
                <w:lang w:val="en-CA"/>
              </w:rPr>
            </w:pPr>
            <w:r w:rsidRPr="00F92FD9">
              <w:rPr>
                <w:lang w:val="en-CA"/>
              </w:rPr>
              <w:t>HEARING</w:t>
            </w:r>
          </w:p>
        </w:tc>
      </w:tr>
    </w:tbl>
    <w:p w14:paraId="09829552" w14:textId="77777777" w:rsidR="00F92FD9" w:rsidRPr="00F92FD9" w:rsidRDefault="00F92FD9" w:rsidP="00F92FD9">
      <w:pPr>
        <w:rPr>
          <w:vanish/>
        </w:rPr>
      </w:pPr>
    </w:p>
    <w:tbl>
      <w:tblPr>
        <w:tblW w:w="936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8100"/>
      </w:tblGrid>
      <w:tr w:rsidR="00345703" w:rsidRPr="00A2050E" w14:paraId="63F465EA" w14:textId="77777777" w:rsidTr="00FB3369">
        <w:trPr>
          <w:trHeight w:val="260"/>
        </w:trPr>
        <w:tc>
          <w:tcPr>
            <w:tcW w:w="1260" w:type="dxa"/>
            <w:tcBorders>
              <w:top w:val="nil"/>
              <w:bottom w:val="single" w:sz="4" w:space="0" w:color="auto"/>
              <w:right w:val="nil"/>
            </w:tcBorders>
          </w:tcPr>
          <w:p w14:paraId="71A70DA1" w14:textId="77777777" w:rsidR="00887EEB" w:rsidRPr="00A2050E" w:rsidRDefault="00887EEB" w:rsidP="00887EEB">
            <w:pPr>
              <w:spacing w:before="120" w:after="120" w:line="240" w:lineRule="auto"/>
              <w:jc w:val="both"/>
              <w:rPr>
                <w:rFonts w:cs="Arial"/>
                <w:szCs w:val="24"/>
                <w:lang w:val="en-CA"/>
              </w:rPr>
            </w:pPr>
          </w:p>
        </w:tc>
        <w:tc>
          <w:tcPr>
            <w:tcW w:w="8100" w:type="dxa"/>
            <w:tcBorders>
              <w:top w:val="nil"/>
              <w:left w:val="nil"/>
              <w:bottom w:val="single" w:sz="4" w:space="0" w:color="auto"/>
            </w:tcBorders>
          </w:tcPr>
          <w:p w14:paraId="30C2C516" w14:textId="77777777" w:rsidR="00834B09" w:rsidRPr="00A2050E" w:rsidRDefault="00E6418F" w:rsidP="00FF7A67">
            <w:pPr>
              <w:spacing w:before="120" w:after="120" w:line="240" w:lineRule="auto"/>
              <w:jc w:val="both"/>
              <w:rPr>
                <w:rFonts w:cs="Arial"/>
                <w:iCs/>
                <w:szCs w:val="24"/>
                <w:lang w:val="en-CA" w:eastAsia="fr-CA"/>
              </w:rPr>
            </w:pPr>
            <w:r w:rsidRPr="00A2050E">
              <w:rPr>
                <w:rFonts w:cs="Arial"/>
                <w:b/>
                <w:bCs/>
                <w:iCs/>
                <w:szCs w:val="24"/>
                <w:lang w:val="en-CA" w:eastAsia="fr-CA"/>
              </w:rPr>
              <w:t xml:space="preserve">Continuation </w:t>
            </w:r>
            <w:r w:rsidRPr="00A2050E">
              <w:rPr>
                <w:rFonts w:cs="Arial"/>
                <w:iCs/>
                <w:szCs w:val="24"/>
                <w:lang w:val="en-CA" w:eastAsia="fr-CA"/>
              </w:rPr>
              <w:t xml:space="preserve">of the hearing of March 7, 2024. Counsel were excused from appearing in Court. </w:t>
            </w:r>
          </w:p>
          <w:p w14:paraId="3B0FB08A" w14:textId="77777777" w:rsidR="00342110" w:rsidRPr="00A2050E" w:rsidRDefault="00E6418F" w:rsidP="00FF7A67">
            <w:pPr>
              <w:spacing w:before="120" w:after="120" w:line="240" w:lineRule="auto"/>
              <w:jc w:val="both"/>
              <w:rPr>
                <w:rFonts w:cs="Arial"/>
                <w:szCs w:val="24"/>
                <w:lang w:val="en-CA"/>
              </w:rPr>
            </w:pPr>
            <w:r w:rsidRPr="00A2050E">
              <w:rPr>
                <w:rFonts w:cs="Arial"/>
                <w:b/>
                <w:bCs/>
                <w:szCs w:val="24"/>
                <w:lang w:val="en-CA"/>
              </w:rPr>
              <w:t>BY THE COURT:</w:t>
            </w:r>
            <w:r w:rsidRPr="00A2050E">
              <w:rPr>
                <w:rFonts w:cs="Arial"/>
                <w:szCs w:val="24"/>
                <w:lang w:val="en-CA"/>
              </w:rPr>
              <w:t xml:space="preserve"> Judgment – see page 4.</w:t>
            </w:r>
          </w:p>
        </w:tc>
      </w:tr>
      <w:tr w:rsidR="00345703" w:rsidRPr="00A2050E" w14:paraId="3B119A99" w14:textId="77777777" w:rsidTr="00FB3369">
        <w:trPr>
          <w:trHeight w:val="251"/>
        </w:trPr>
        <w:tc>
          <w:tcPr>
            <w:tcW w:w="1260" w:type="dxa"/>
            <w:tcBorders>
              <w:top w:val="single" w:sz="4" w:space="0" w:color="auto"/>
              <w:bottom w:val="nil"/>
              <w:right w:val="nil"/>
            </w:tcBorders>
          </w:tcPr>
          <w:p w14:paraId="31F69C4C" w14:textId="77777777" w:rsidR="00887EEB" w:rsidRPr="00A2050E" w:rsidRDefault="00887EEB" w:rsidP="00FF7A67">
            <w:pPr>
              <w:spacing w:line="240" w:lineRule="auto"/>
              <w:rPr>
                <w:rFonts w:cs="Arial"/>
                <w:szCs w:val="24"/>
                <w:lang w:val="en-CA"/>
              </w:rPr>
            </w:pPr>
          </w:p>
        </w:tc>
        <w:tc>
          <w:tcPr>
            <w:tcW w:w="8100" w:type="dxa"/>
            <w:tcBorders>
              <w:top w:val="single" w:sz="4" w:space="0" w:color="auto"/>
              <w:left w:val="nil"/>
            </w:tcBorders>
          </w:tcPr>
          <w:p w14:paraId="5CD6E4BA" w14:textId="77777777" w:rsidR="00887EEB" w:rsidRPr="00A2050E" w:rsidRDefault="00887EEB" w:rsidP="00887EEB">
            <w:pPr>
              <w:spacing w:before="120" w:after="120" w:line="240" w:lineRule="auto"/>
              <w:jc w:val="both"/>
              <w:rPr>
                <w:rFonts w:cs="Arial"/>
                <w:szCs w:val="24"/>
                <w:lang w:val="en-CA"/>
              </w:rPr>
            </w:pPr>
          </w:p>
        </w:tc>
      </w:tr>
    </w:tbl>
    <w:p w14:paraId="2D64B00E" w14:textId="77777777" w:rsidR="00887EEB" w:rsidRPr="00A2050E" w:rsidRDefault="00887EEB" w:rsidP="00887EEB">
      <w:pPr>
        <w:spacing w:line="240" w:lineRule="auto"/>
        <w:rPr>
          <w:rFonts w:cs="Arial"/>
          <w:szCs w:val="24"/>
          <w:lang w:val="en-CA"/>
        </w:rPr>
      </w:pPr>
    </w:p>
    <w:tbl>
      <w:tblPr>
        <w:tblW w:w="0" w:type="auto"/>
        <w:tblLook w:val="04A0" w:firstRow="1" w:lastRow="0" w:firstColumn="1" w:lastColumn="0" w:noHBand="0" w:noVBand="1"/>
      </w:tblPr>
      <w:tblGrid>
        <w:gridCol w:w="5103"/>
      </w:tblGrid>
      <w:tr w:rsidR="00345703" w:rsidRPr="00A2050E" w14:paraId="72012A56" w14:textId="77777777" w:rsidTr="00F92FD9">
        <w:tc>
          <w:tcPr>
            <w:tcW w:w="5103" w:type="dxa"/>
            <w:tcBorders>
              <w:bottom w:val="single" w:sz="4" w:space="0" w:color="auto"/>
            </w:tcBorders>
            <w:shd w:val="clear" w:color="auto" w:fill="auto"/>
          </w:tcPr>
          <w:p w14:paraId="0AC2E613" w14:textId="77777777" w:rsidR="00887EEB" w:rsidRPr="00F92FD9" w:rsidRDefault="00887EEB" w:rsidP="00F92FD9">
            <w:pPr>
              <w:spacing w:line="240" w:lineRule="auto"/>
              <w:jc w:val="both"/>
              <w:rPr>
                <w:rFonts w:cs="Arial"/>
                <w:szCs w:val="24"/>
                <w:lang w:val="en-CA"/>
              </w:rPr>
            </w:pPr>
          </w:p>
        </w:tc>
      </w:tr>
      <w:tr w:rsidR="00345703" w:rsidRPr="00A2050E" w14:paraId="7D20FAD1" w14:textId="77777777" w:rsidTr="00F92FD9">
        <w:tc>
          <w:tcPr>
            <w:tcW w:w="5103" w:type="dxa"/>
            <w:tcBorders>
              <w:top w:val="single" w:sz="4" w:space="0" w:color="auto"/>
            </w:tcBorders>
            <w:shd w:val="clear" w:color="auto" w:fill="auto"/>
          </w:tcPr>
          <w:p w14:paraId="31C2115D" w14:textId="77777777" w:rsidR="00887EEB" w:rsidRPr="00F92FD9" w:rsidRDefault="00E6418F" w:rsidP="00F92FD9">
            <w:pPr>
              <w:spacing w:line="240" w:lineRule="auto"/>
              <w:jc w:val="both"/>
              <w:rPr>
                <w:rFonts w:cs="Arial"/>
                <w:szCs w:val="24"/>
                <w:lang w:val="en-CA"/>
              </w:rPr>
            </w:pPr>
            <w:r w:rsidRPr="00F92FD9">
              <w:rPr>
                <w:rFonts w:cs="Arial"/>
                <w:szCs w:val="24"/>
                <w:lang w:val="en-CA"/>
              </w:rPr>
              <w:t>Sarah-Maude Lalande</w:t>
            </w:r>
            <w:r w:rsidRPr="00F92FD9">
              <w:rPr>
                <w:rFonts w:cs="Arial"/>
                <w:szCs w:val="24"/>
                <w:lang w:val="en-CA"/>
              </w:rPr>
              <w:fldChar w:fldCharType="begin"/>
            </w:r>
            <w:r w:rsidRPr="00F92FD9">
              <w:rPr>
                <w:rFonts w:cs="Arial"/>
                <w:szCs w:val="24"/>
                <w:lang w:val="en-CA"/>
              </w:rPr>
              <w:instrText xml:space="preserve"> REF Nom_greffier \h  \* MERGEFORMAT </w:instrText>
            </w:r>
            <w:r w:rsidRPr="00F92FD9">
              <w:rPr>
                <w:rFonts w:cs="Arial"/>
                <w:szCs w:val="24"/>
                <w:lang w:val="en-CA"/>
              </w:rPr>
            </w:r>
            <w:r w:rsidR="00000000" w:rsidRPr="00F92FD9">
              <w:rPr>
                <w:rFonts w:cs="Arial"/>
                <w:szCs w:val="24"/>
                <w:lang w:val="en-CA"/>
              </w:rPr>
              <w:fldChar w:fldCharType="separate"/>
            </w:r>
            <w:r w:rsidRPr="00F92FD9">
              <w:rPr>
                <w:rFonts w:cs="Arial"/>
                <w:szCs w:val="24"/>
                <w:lang w:val="en-CA"/>
              </w:rPr>
              <w:fldChar w:fldCharType="end"/>
            </w:r>
            <w:r w:rsidRPr="00F92FD9">
              <w:rPr>
                <w:rFonts w:cs="Arial"/>
                <w:szCs w:val="24"/>
                <w:lang w:val="en-CA"/>
              </w:rPr>
              <w:t xml:space="preserve">, Clerk at the hearing </w:t>
            </w:r>
            <w:r w:rsidRPr="00F92FD9">
              <w:rPr>
                <w:rFonts w:cs="Arial"/>
                <w:szCs w:val="24"/>
                <w:lang w:val="en-CA"/>
              </w:rPr>
              <w:fldChar w:fldCharType="begin"/>
            </w:r>
            <w:r w:rsidRPr="00F92FD9">
              <w:rPr>
                <w:rFonts w:cs="Arial"/>
                <w:szCs w:val="24"/>
                <w:lang w:val="en-CA"/>
              </w:rPr>
              <w:instrText xml:space="preserve"> REF Greffier \h  \* MERGEFORMAT </w:instrText>
            </w:r>
            <w:r w:rsidRPr="00F92FD9">
              <w:rPr>
                <w:rFonts w:cs="Arial"/>
                <w:szCs w:val="24"/>
                <w:lang w:val="en-CA"/>
              </w:rPr>
            </w:r>
            <w:r w:rsidR="00000000" w:rsidRPr="00F92FD9">
              <w:rPr>
                <w:rFonts w:cs="Arial"/>
                <w:szCs w:val="24"/>
                <w:lang w:val="en-CA"/>
              </w:rPr>
              <w:fldChar w:fldCharType="separate"/>
            </w:r>
            <w:r w:rsidRPr="00F92FD9">
              <w:rPr>
                <w:rFonts w:cs="Arial"/>
                <w:szCs w:val="24"/>
                <w:lang w:val="en-CA"/>
              </w:rPr>
              <w:fldChar w:fldCharType="end"/>
            </w:r>
          </w:p>
        </w:tc>
      </w:tr>
    </w:tbl>
    <w:p w14:paraId="7543228D" w14:textId="77777777" w:rsidR="002C7179" w:rsidRPr="00A2050E" w:rsidRDefault="002C7179" w:rsidP="002C7179">
      <w:pPr>
        <w:spacing w:after="160" w:line="259" w:lineRule="auto"/>
        <w:rPr>
          <w:rFonts w:cs="Arial"/>
          <w:szCs w:val="24"/>
          <w:lang w:val="en-CA"/>
        </w:rPr>
      </w:pPr>
    </w:p>
    <w:p w14:paraId="2B917A87" w14:textId="77777777" w:rsidR="002C7179" w:rsidRPr="00A2050E" w:rsidRDefault="00E6418F">
      <w:pPr>
        <w:spacing w:line="240" w:lineRule="auto"/>
        <w:rPr>
          <w:rFonts w:cs="Arial"/>
          <w:szCs w:val="24"/>
          <w:lang w:val="en-CA"/>
        </w:rPr>
      </w:pPr>
      <w:r w:rsidRPr="00A2050E">
        <w:rPr>
          <w:rFonts w:cs="Arial"/>
          <w:szCs w:val="24"/>
          <w:lang w:val="en-CA"/>
        </w:rPr>
        <w:br w:type="page"/>
      </w:r>
    </w:p>
    <w:tbl>
      <w:tblPr>
        <w:tblW w:w="9360" w:type="dxa"/>
        <w:tblBorders>
          <w:top w:val="single" w:sz="8" w:space="0" w:color="auto"/>
          <w:bottom w:val="single" w:sz="8" w:space="0" w:color="auto"/>
        </w:tblBorders>
        <w:tblLook w:val="04A0" w:firstRow="1" w:lastRow="0" w:firstColumn="1" w:lastColumn="0" w:noHBand="0" w:noVBand="1"/>
      </w:tblPr>
      <w:tblGrid>
        <w:gridCol w:w="9360"/>
      </w:tblGrid>
      <w:tr w:rsidR="00345703" w:rsidRPr="00A2050E" w14:paraId="7F36D7A3" w14:textId="77777777" w:rsidTr="00F92FD9">
        <w:tc>
          <w:tcPr>
            <w:tcW w:w="9360" w:type="dxa"/>
            <w:shd w:val="clear" w:color="auto" w:fill="auto"/>
            <w:vAlign w:val="center"/>
          </w:tcPr>
          <w:p w14:paraId="071657E6" w14:textId="77777777" w:rsidR="00887EEB" w:rsidRPr="00F92FD9" w:rsidRDefault="00E6418F" w:rsidP="00F92FD9">
            <w:pPr>
              <w:spacing w:before="240" w:after="240" w:line="240" w:lineRule="exact"/>
              <w:jc w:val="center"/>
              <w:rPr>
                <w:lang w:val="en-CA"/>
              </w:rPr>
            </w:pPr>
            <w:r w:rsidRPr="00F92FD9">
              <w:rPr>
                <w:lang w:val="en-CA"/>
              </w:rPr>
              <w:t>JUDGMENT</w:t>
            </w:r>
          </w:p>
        </w:tc>
      </w:tr>
    </w:tbl>
    <w:p w14:paraId="75FB742F" w14:textId="77777777" w:rsidR="00887EEB" w:rsidRPr="00A2050E" w:rsidRDefault="00887EEB" w:rsidP="00887EEB">
      <w:pPr>
        <w:spacing w:line="240" w:lineRule="auto"/>
        <w:jc w:val="both"/>
        <w:rPr>
          <w:lang w:val="en-CA"/>
        </w:rPr>
      </w:pPr>
    </w:p>
    <w:p w14:paraId="4AA52589" w14:textId="77777777" w:rsidR="00887EEB" w:rsidRPr="00F92FD9" w:rsidRDefault="00E6418F" w:rsidP="000308CD">
      <w:pPr>
        <w:tabs>
          <w:tab w:val="left" w:pos="630"/>
        </w:tabs>
        <w:spacing w:line="240" w:lineRule="auto"/>
        <w:jc w:val="both"/>
        <w:rPr>
          <w:rFonts w:ascii="Calibri" w:hAnsi="Calibri" w:cs="Calibri"/>
          <w:b/>
          <w:bCs/>
          <w:color w:val="000000"/>
          <w:szCs w:val="24"/>
          <w:lang w:val="en-CA"/>
        </w:rPr>
      </w:pPr>
      <w:bookmarkStart w:id="22" w:name="ORDONNANCE_DE"/>
      <w:bookmarkEnd w:id="22"/>
      <w:r w:rsidRPr="00F92FD9">
        <w:rPr>
          <w:rFonts w:ascii="Calibri" w:hAnsi="Calibri" w:cs="Calibri"/>
          <w:b/>
          <w:bCs/>
          <w:color w:val="000000"/>
          <w:szCs w:val="24"/>
          <w:u w:val="single"/>
          <w:lang w:val="en-CA"/>
        </w:rPr>
        <w:t>WARNING:</w:t>
      </w:r>
      <w:r w:rsidRPr="00F92FD9">
        <w:rPr>
          <w:rFonts w:ascii="Calibri" w:hAnsi="Calibri" w:cs="Calibri"/>
          <w:b/>
          <w:bCs/>
          <w:color w:val="000000"/>
          <w:szCs w:val="24"/>
          <w:lang w:val="en-CA"/>
        </w:rPr>
        <w:t xml:space="preserve"> Disclosure and circulation prohibited: The </w:t>
      </w:r>
      <w:r w:rsidRPr="00F92FD9">
        <w:rPr>
          <w:rFonts w:ascii="Calibri" w:hAnsi="Calibri" w:cs="Calibri"/>
          <w:b/>
          <w:bCs/>
          <w:i/>
          <w:iCs/>
          <w:color w:val="000000"/>
          <w:szCs w:val="24"/>
          <w:lang w:val="en-CA"/>
        </w:rPr>
        <w:t>Code of Civil Procedure</w:t>
      </w:r>
      <w:r w:rsidRPr="00F92FD9">
        <w:rPr>
          <w:rFonts w:ascii="Calibri" w:hAnsi="Calibri" w:cs="Calibri"/>
          <w:b/>
          <w:bCs/>
          <w:color w:val="000000"/>
          <w:szCs w:val="24"/>
          <w:lang w:val="en-CA"/>
        </w:rPr>
        <w:t xml:space="preserve"> (</w:t>
      </w:r>
      <w:r w:rsidR="007634C1" w:rsidRPr="00F92FD9">
        <w:rPr>
          <w:rFonts w:ascii="Calibri" w:hAnsi="Calibri" w:cs="Calibri"/>
          <w:b/>
          <w:bCs/>
          <w:color w:val="000000"/>
          <w:szCs w:val="24"/>
          <w:lang w:val="en-CA"/>
        </w:rPr>
        <w:t>“</w:t>
      </w:r>
      <w:r w:rsidRPr="00F92FD9">
        <w:rPr>
          <w:rFonts w:ascii="Calibri" w:hAnsi="Calibri" w:cs="Calibri"/>
          <w:b/>
          <w:bCs/>
          <w:i/>
          <w:iCs/>
          <w:color w:val="000000"/>
          <w:szCs w:val="24"/>
          <w:lang w:val="en-CA"/>
        </w:rPr>
        <w:t>C.C.P</w:t>
      </w:r>
      <w:r w:rsidRPr="00F92FD9">
        <w:rPr>
          <w:rFonts w:ascii="Calibri" w:hAnsi="Calibri" w:cs="Calibri"/>
          <w:b/>
          <w:bCs/>
          <w:color w:val="000000"/>
          <w:szCs w:val="24"/>
          <w:lang w:val="en-CA"/>
        </w:rPr>
        <w:t>.</w:t>
      </w:r>
      <w:r w:rsidR="007634C1" w:rsidRPr="00F92FD9">
        <w:rPr>
          <w:rFonts w:ascii="Calibri" w:hAnsi="Calibri" w:cs="Calibri"/>
          <w:b/>
          <w:bCs/>
          <w:color w:val="000000"/>
          <w:szCs w:val="24"/>
          <w:lang w:val="en-CA"/>
        </w:rPr>
        <w:t>”</w:t>
      </w:r>
      <w:r w:rsidRPr="00F92FD9">
        <w:rPr>
          <w:rFonts w:ascii="Calibri" w:hAnsi="Calibri" w:cs="Calibri"/>
          <w:b/>
          <w:bCs/>
          <w:color w:val="000000"/>
          <w:szCs w:val="24"/>
          <w:lang w:val="en-CA"/>
        </w:rPr>
        <w:t xml:space="preserve">) provides that, except as authorized by the court, no person shall disclose or circulate any information that would allow a party or a child whose interests are at stake in a proceeding in a family matter to be identified (art. 16 </w:t>
      </w:r>
      <w:r w:rsidRPr="00F92FD9">
        <w:rPr>
          <w:rFonts w:ascii="Calibri" w:hAnsi="Calibri" w:cs="Calibri"/>
          <w:b/>
          <w:bCs/>
          <w:i/>
          <w:iCs/>
          <w:color w:val="000000"/>
          <w:szCs w:val="24"/>
          <w:lang w:val="en-CA"/>
        </w:rPr>
        <w:t>C.C.P.</w:t>
      </w:r>
      <w:r w:rsidRPr="00F92FD9">
        <w:rPr>
          <w:rFonts w:ascii="Calibri" w:hAnsi="Calibri" w:cs="Calibri"/>
          <w:b/>
          <w:bCs/>
          <w:color w:val="000000"/>
          <w:szCs w:val="24"/>
          <w:lang w:val="en-CA"/>
        </w:rPr>
        <w:t>).</w:t>
      </w:r>
    </w:p>
    <w:p w14:paraId="3C9DD95A" w14:textId="77777777" w:rsidR="00887EEB" w:rsidRPr="00A2050E" w:rsidRDefault="00887EEB" w:rsidP="00887EEB">
      <w:pPr>
        <w:spacing w:line="240" w:lineRule="auto"/>
        <w:jc w:val="both"/>
        <w:rPr>
          <w:lang w:val="en-CA"/>
        </w:rPr>
      </w:pPr>
    </w:p>
    <w:p w14:paraId="0EA830B5" w14:textId="77777777" w:rsidR="008E0C24" w:rsidRPr="00A2050E" w:rsidRDefault="00E6418F" w:rsidP="008E0C24">
      <w:pPr>
        <w:pStyle w:val="paraParagraphe"/>
        <w:widowControl/>
        <w:numPr>
          <w:ilvl w:val="0"/>
          <w:numId w:val="1"/>
        </w:numPr>
        <w:tabs>
          <w:tab w:val="clear" w:pos="360"/>
          <w:tab w:val="left" w:pos="720"/>
        </w:tabs>
        <w:spacing w:line="280" w:lineRule="exact"/>
        <w:rPr>
          <w:lang w:val="en-CA"/>
        </w:rPr>
      </w:pPr>
      <w:r w:rsidRPr="00A2050E">
        <w:rPr>
          <w:lang w:val="en-CA"/>
        </w:rPr>
        <w:t>The Superior Court judgment granted the parties</w:t>
      </w:r>
      <w:r w:rsidR="007634C1" w:rsidRPr="00A2050E">
        <w:rPr>
          <w:lang w:val="en-CA"/>
        </w:rPr>
        <w:t>’</w:t>
      </w:r>
      <w:r w:rsidRPr="00A2050E">
        <w:rPr>
          <w:lang w:val="en-CA"/>
        </w:rPr>
        <w:t xml:space="preserve"> divorce and ruled on the accessory measures, including the partition of the family patrimony and the dissolution of the partnership of acquests.</w:t>
      </w:r>
      <w:r w:rsidRPr="00A2050E">
        <w:rPr>
          <w:rStyle w:val="Appelnotedebasdep"/>
          <w:lang w:val="en-CA"/>
        </w:rPr>
        <w:footnoteReference w:id="2"/>
      </w:r>
    </w:p>
    <w:p w14:paraId="65614F84" w14:textId="77777777" w:rsidR="008E0C24" w:rsidRPr="00A2050E" w:rsidRDefault="00E6418F" w:rsidP="008E0C24">
      <w:pPr>
        <w:pStyle w:val="paraParagraphe"/>
        <w:widowControl/>
        <w:numPr>
          <w:ilvl w:val="0"/>
          <w:numId w:val="1"/>
        </w:numPr>
        <w:tabs>
          <w:tab w:val="clear" w:pos="360"/>
          <w:tab w:val="left" w:pos="720"/>
        </w:tabs>
        <w:spacing w:line="280" w:lineRule="exact"/>
        <w:rPr>
          <w:lang w:val="en-CA"/>
        </w:rPr>
      </w:pPr>
      <w:r w:rsidRPr="00A2050E">
        <w:rPr>
          <w:lang w:val="en-CA"/>
        </w:rPr>
        <w:t>Both parties are dissatisfied with the judgment. Mr. </w:t>
      </w:r>
      <w:r w:rsidR="00B36FB8" w:rsidRPr="00A2050E">
        <w:rPr>
          <w:lang w:val="en-CA"/>
        </w:rPr>
        <w:t>E</w:t>
      </w:r>
      <w:r w:rsidR="00B36FB8">
        <w:rPr>
          <w:lang w:val="en-CA"/>
        </w:rPr>
        <w:t>.</w:t>
      </w:r>
      <w:r w:rsidR="00B36FB8" w:rsidRPr="00A2050E">
        <w:rPr>
          <w:lang w:val="en-CA"/>
        </w:rPr>
        <w:t>’</w:t>
      </w:r>
      <w:r w:rsidR="00B36FB8">
        <w:rPr>
          <w:lang w:val="en-CA"/>
        </w:rPr>
        <w:t>s</w:t>
      </w:r>
      <w:r w:rsidR="00B36FB8" w:rsidRPr="00A2050E">
        <w:rPr>
          <w:lang w:val="en-CA"/>
        </w:rPr>
        <w:t xml:space="preserve"> </w:t>
      </w:r>
      <w:r w:rsidRPr="00A2050E">
        <w:rPr>
          <w:lang w:val="en-CA"/>
        </w:rPr>
        <w:t>appeal raises the following questions:</w:t>
      </w:r>
    </w:p>
    <w:p w14:paraId="61346AE5" w14:textId="77777777" w:rsidR="008E0C24" w:rsidRPr="00A2050E" w:rsidRDefault="00E6418F" w:rsidP="008E0C24">
      <w:pPr>
        <w:pStyle w:val="citationenretrait0"/>
        <w:numPr>
          <w:ilvl w:val="0"/>
          <w:numId w:val="20"/>
        </w:numPr>
        <w:rPr>
          <w:lang w:val="en-CA"/>
        </w:rPr>
      </w:pPr>
      <w:r w:rsidRPr="00A2050E">
        <w:rPr>
          <w:lang w:val="en-CA"/>
        </w:rPr>
        <w:t>Did the Judge err in law by not providing sufficient motives for her decision?</w:t>
      </w:r>
    </w:p>
    <w:p w14:paraId="32F5BB45" w14:textId="77777777" w:rsidR="008E0C24" w:rsidRPr="00A2050E" w:rsidRDefault="00E6418F" w:rsidP="008E0C24">
      <w:pPr>
        <w:pStyle w:val="citationenretrait0"/>
        <w:numPr>
          <w:ilvl w:val="0"/>
          <w:numId w:val="20"/>
        </w:numPr>
        <w:rPr>
          <w:lang w:val="en-CA"/>
        </w:rPr>
      </w:pPr>
      <w:r w:rsidRPr="00A2050E">
        <w:rPr>
          <w:lang w:val="en-CA"/>
        </w:rPr>
        <w:t>Did the Judge err in law by deciding that the amount of $54,678.47, representing 50% of the common charges owed by the Respondent, to the Appellant, since March 2019, would not be deducted from the proceeds of sale of the co-owned residence?</w:t>
      </w:r>
    </w:p>
    <w:p w14:paraId="181E0502" w14:textId="77777777" w:rsidR="008E0C24" w:rsidRPr="00A2050E" w:rsidRDefault="00E6418F" w:rsidP="008E0C24">
      <w:pPr>
        <w:pStyle w:val="citationenretrait0"/>
        <w:numPr>
          <w:ilvl w:val="0"/>
          <w:numId w:val="20"/>
        </w:numPr>
        <w:rPr>
          <w:lang w:val="en-CA"/>
        </w:rPr>
      </w:pPr>
      <w:r w:rsidRPr="00A2050E">
        <w:rPr>
          <w:lang w:val="en-CA"/>
        </w:rPr>
        <w:t>Did the Judge also err in law by deciding that the renovation costs, amounting to $20,000.00, would not be taken into account in the partition calculation?</w:t>
      </w:r>
    </w:p>
    <w:p w14:paraId="52B2E761" w14:textId="77777777" w:rsidR="008E0C24" w:rsidRPr="00A2050E" w:rsidRDefault="00E6418F" w:rsidP="008E0C24">
      <w:pPr>
        <w:pStyle w:val="citationenretrait0"/>
        <w:jc w:val="right"/>
        <w:rPr>
          <w:lang w:val="en-CA"/>
        </w:rPr>
      </w:pPr>
      <w:r w:rsidRPr="00A2050E">
        <w:rPr>
          <w:lang w:val="en-CA"/>
        </w:rPr>
        <w:t>[Reference omitted]</w:t>
      </w:r>
    </w:p>
    <w:p w14:paraId="34636348" w14:textId="77777777" w:rsidR="008E0C24" w:rsidRPr="00A2050E" w:rsidRDefault="00E6418F" w:rsidP="008E0C24">
      <w:pPr>
        <w:pStyle w:val="paraParagraphe"/>
        <w:widowControl/>
        <w:numPr>
          <w:ilvl w:val="0"/>
          <w:numId w:val="1"/>
        </w:numPr>
        <w:tabs>
          <w:tab w:val="clear" w:pos="360"/>
          <w:tab w:val="left" w:pos="720"/>
        </w:tabs>
        <w:spacing w:line="280" w:lineRule="exact"/>
        <w:rPr>
          <w:lang w:val="en-CA"/>
        </w:rPr>
      </w:pPr>
      <w:r w:rsidRPr="00A2050E">
        <w:rPr>
          <w:lang w:val="en-CA"/>
        </w:rPr>
        <w:t xml:space="preserve">In her incidental appeal, Ms. </w:t>
      </w:r>
      <w:r w:rsidR="00B36FB8" w:rsidRPr="00A2050E">
        <w:rPr>
          <w:lang w:val="en-CA"/>
        </w:rPr>
        <w:t>H</w:t>
      </w:r>
      <w:r w:rsidR="00B36FB8">
        <w:rPr>
          <w:lang w:val="en-CA"/>
        </w:rPr>
        <w:t>.</w:t>
      </w:r>
      <w:r w:rsidR="00B36FB8" w:rsidRPr="00A2050E">
        <w:rPr>
          <w:lang w:val="en-CA"/>
        </w:rPr>
        <w:t xml:space="preserve"> </w:t>
      </w:r>
      <w:r w:rsidRPr="00A2050E">
        <w:rPr>
          <w:lang w:val="en-CA"/>
        </w:rPr>
        <w:t>submits that the judge erred:</w:t>
      </w:r>
    </w:p>
    <w:p w14:paraId="63E4A256" w14:textId="77777777" w:rsidR="008E0C24" w:rsidRPr="00A2050E" w:rsidRDefault="00E6418F" w:rsidP="008E0C24">
      <w:pPr>
        <w:pStyle w:val="paraParagraphe"/>
        <w:widowControl/>
        <w:numPr>
          <w:ilvl w:val="0"/>
          <w:numId w:val="19"/>
        </w:numPr>
        <w:tabs>
          <w:tab w:val="left" w:pos="720"/>
        </w:tabs>
        <w:spacing w:line="280" w:lineRule="exact"/>
        <w:rPr>
          <w:lang w:val="en-CA"/>
        </w:rPr>
      </w:pPr>
      <w:r w:rsidRPr="00A2050E">
        <w:rPr>
          <w:lang w:val="en-CA"/>
        </w:rPr>
        <w:t>By refusing to deduct an amount of $20,462 used to acquire the first family residence prior to the marriage;</w:t>
      </w:r>
    </w:p>
    <w:p w14:paraId="5534ADA2" w14:textId="77777777" w:rsidR="008E0C24" w:rsidRPr="00A2050E" w:rsidRDefault="00E6418F" w:rsidP="008E0C24">
      <w:pPr>
        <w:pStyle w:val="paraParagraphe"/>
        <w:widowControl/>
        <w:numPr>
          <w:ilvl w:val="0"/>
          <w:numId w:val="19"/>
        </w:numPr>
        <w:tabs>
          <w:tab w:val="left" w:pos="720"/>
        </w:tabs>
        <w:spacing w:line="280" w:lineRule="exact"/>
        <w:rPr>
          <w:lang w:val="en-CA"/>
        </w:rPr>
      </w:pPr>
      <w:r w:rsidRPr="00A2050E">
        <w:rPr>
          <w:lang w:val="en-CA"/>
        </w:rPr>
        <w:t>By deciding that Mr. </w:t>
      </w:r>
      <w:r w:rsidR="00B36FB8" w:rsidRPr="00A2050E">
        <w:rPr>
          <w:lang w:val="en-CA"/>
        </w:rPr>
        <w:t>E</w:t>
      </w:r>
      <w:r w:rsidR="00B36FB8">
        <w:rPr>
          <w:lang w:val="en-CA"/>
        </w:rPr>
        <w:t>.</w:t>
      </w:r>
      <w:r w:rsidR="00B36FB8" w:rsidRPr="00A2050E">
        <w:rPr>
          <w:lang w:val="en-CA"/>
        </w:rPr>
        <w:t xml:space="preserve"> </w:t>
      </w:r>
      <w:r w:rsidRPr="00A2050E">
        <w:rPr>
          <w:lang w:val="en-CA"/>
        </w:rPr>
        <w:t>did not owe her an indemnity for the use and exclusive enjoyment of the family residence since March 2019;</w:t>
      </w:r>
    </w:p>
    <w:p w14:paraId="60F60B5F" w14:textId="77777777" w:rsidR="008E0C24" w:rsidRPr="00A2050E" w:rsidRDefault="00E6418F" w:rsidP="008E0C24">
      <w:pPr>
        <w:pStyle w:val="paraParagraphe"/>
        <w:widowControl/>
        <w:numPr>
          <w:ilvl w:val="0"/>
          <w:numId w:val="19"/>
        </w:numPr>
        <w:tabs>
          <w:tab w:val="left" w:pos="720"/>
        </w:tabs>
        <w:spacing w:line="280" w:lineRule="exact"/>
        <w:rPr>
          <w:lang w:val="en-CA"/>
        </w:rPr>
      </w:pPr>
      <w:r w:rsidRPr="00A2050E">
        <w:rPr>
          <w:lang w:val="en-CA"/>
        </w:rPr>
        <w:t xml:space="preserve">By refusing to deduct from her acquests an amount of $31,719 </w:t>
      </w:r>
      <w:r w:rsidR="006C3660" w:rsidRPr="00A503A8">
        <w:rPr>
          <w:lang w:val="en-CA"/>
        </w:rPr>
        <w:t xml:space="preserve">that </w:t>
      </w:r>
      <w:r w:rsidRPr="00A2050E">
        <w:rPr>
          <w:lang w:val="en-CA"/>
        </w:rPr>
        <w:t>she inherited from her father.</w:t>
      </w:r>
    </w:p>
    <w:p w14:paraId="5A1F2E73" w14:textId="77777777" w:rsidR="008E0C24" w:rsidRPr="00A2050E" w:rsidRDefault="00E6418F" w:rsidP="008E0C24">
      <w:pPr>
        <w:pStyle w:val="paraParagraphe"/>
        <w:widowControl/>
        <w:numPr>
          <w:ilvl w:val="0"/>
          <w:numId w:val="1"/>
        </w:numPr>
        <w:tabs>
          <w:tab w:val="clear" w:pos="360"/>
          <w:tab w:val="left" w:pos="720"/>
        </w:tabs>
        <w:spacing w:line="280" w:lineRule="exact"/>
        <w:rPr>
          <w:lang w:val="en-CA"/>
        </w:rPr>
      </w:pPr>
      <w:r w:rsidRPr="00A2050E">
        <w:rPr>
          <w:lang w:val="en-CA"/>
        </w:rPr>
        <w:lastRenderedPageBreak/>
        <w:t>For the following reasons, the Court is of the opinion that both appeals must fail.</w:t>
      </w:r>
    </w:p>
    <w:p w14:paraId="7945E40A" w14:textId="77777777" w:rsidR="008E0C24" w:rsidRPr="00A2050E" w:rsidRDefault="00456D8C" w:rsidP="008C6FF1">
      <w:pPr>
        <w:pStyle w:val="paraParagraphe"/>
        <w:keepNext/>
        <w:widowControl/>
        <w:tabs>
          <w:tab w:val="left" w:pos="720"/>
        </w:tabs>
        <w:spacing w:line="280" w:lineRule="exact"/>
        <w:rPr>
          <w:b/>
          <w:bCs/>
          <w:i/>
          <w:iCs/>
          <w:lang w:val="en-CA"/>
        </w:rPr>
      </w:pPr>
      <w:r w:rsidRPr="00A2050E">
        <w:rPr>
          <w:b/>
          <w:bCs/>
          <w:i/>
          <w:iCs/>
          <w:lang w:val="en-CA"/>
        </w:rPr>
        <w:t>Common expenses, cost of renovations, and indemnity for the use and exclusive enjoyment of the family residence</w:t>
      </w:r>
    </w:p>
    <w:p w14:paraId="094A53EA" w14:textId="77777777" w:rsidR="008E0C24" w:rsidRPr="00A2050E" w:rsidRDefault="00E6418F" w:rsidP="008E0C24">
      <w:pPr>
        <w:pStyle w:val="paraParagraphe"/>
        <w:widowControl/>
        <w:numPr>
          <w:ilvl w:val="0"/>
          <w:numId w:val="1"/>
        </w:numPr>
        <w:tabs>
          <w:tab w:val="clear" w:pos="360"/>
          <w:tab w:val="left" w:pos="720"/>
        </w:tabs>
        <w:spacing w:line="280" w:lineRule="exact"/>
        <w:rPr>
          <w:lang w:val="en-CA"/>
        </w:rPr>
      </w:pPr>
      <w:r w:rsidRPr="00A2050E">
        <w:rPr>
          <w:lang w:val="en-CA"/>
        </w:rPr>
        <w:t>After deciding that the net value of the family residence would be established as at the date of the sale, the judge refused to make adjustments to reflect the fact that Mr. </w:t>
      </w:r>
      <w:r w:rsidR="00B36FB8" w:rsidRPr="00A2050E">
        <w:rPr>
          <w:lang w:val="en-CA"/>
        </w:rPr>
        <w:t>E</w:t>
      </w:r>
      <w:r w:rsidR="00B36FB8">
        <w:rPr>
          <w:lang w:val="en-CA"/>
        </w:rPr>
        <w:t>.</w:t>
      </w:r>
      <w:r w:rsidR="00B36FB8" w:rsidRPr="00A2050E">
        <w:rPr>
          <w:lang w:val="en-CA"/>
        </w:rPr>
        <w:t xml:space="preserve"> </w:t>
      </w:r>
      <w:r w:rsidRPr="00A2050E">
        <w:rPr>
          <w:lang w:val="en-CA"/>
        </w:rPr>
        <w:t>had borne all of the common expenses for nearly four years (from March 2019 to February 2023). She granted him the use and exclusive enjoyment of the family residence until its sale and ordered him to continue paying the common expenses on his own. In short, she dismissed Mr. </w:t>
      </w:r>
      <w:r w:rsidR="00B36FB8" w:rsidRPr="00A2050E">
        <w:rPr>
          <w:lang w:val="en-CA"/>
        </w:rPr>
        <w:t>E</w:t>
      </w:r>
      <w:r w:rsidR="00B36FB8">
        <w:rPr>
          <w:lang w:val="en-CA"/>
        </w:rPr>
        <w:t>.</w:t>
      </w:r>
      <w:r w:rsidR="00B36FB8" w:rsidRPr="00A2050E">
        <w:rPr>
          <w:lang w:val="en-CA"/>
        </w:rPr>
        <w:t>’</w:t>
      </w:r>
      <w:r w:rsidR="00B36FB8">
        <w:rPr>
          <w:lang w:val="en-CA"/>
        </w:rPr>
        <w:t>s</w:t>
      </w:r>
      <w:r w:rsidR="00B36FB8" w:rsidRPr="00A2050E">
        <w:rPr>
          <w:lang w:val="en-CA"/>
        </w:rPr>
        <w:t xml:space="preserve"> </w:t>
      </w:r>
      <w:r w:rsidRPr="00A2050E">
        <w:rPr>
          <w:lang w:val="en-CA"/>
        </w:rPr>
        <w:t>claim based on art. 1019 </w:t>
      </w:r>
      <w:r w:rsidRPr="00A2050E">
        <w:rPr>
          <w:i/>
          <w:iCs/>
          <w:lang w:val="en-CA"/>
        </w:rPr>
        <w:t>C.C.Q.</w:t>
      </w:r>
      <w:r w:rsidRPr="00A2050E">
        <w:rPr>
          <w:lang w:val="en-CA"/>
        </w:rPr>
        <w:t>, which may</w:t>
      </w:r>
      <w:r w:rsidR="00A46870" w:rsidRPr="00A2050E">
        <w:rPr>
          <w:lang w:val="en-CA"/>
        </w:rPr>
        <w:t>, at first glance,</w:t>
      </w:r>
      <w:r w:rsidRPr="00A2050E">
        <w:rPr>
          <w:lang w:val="en-CA"/>
        </w:rPr>
        <w:t xml:space="preserve"> seem unfair because Ms. </w:t>
      </w:r>
      <w:r w:rsidR="00B36FB8" w:rsidRPr="00A2050E">
        <w:rPr>
          <w:lang w:val="en-CA"/>
        </w:rPr>
        <w:t>H</w:t>
      </w:r>
      <w:r w:rsidR="00B36FB8">
        <w:rPr>
          <w:lang w:val="en-CA"/>
        </w:rPr>
        <w:t>.</w:t>
      </w:r>
      <w:r w:rsidR="00B36FB8" w:rsidRPr="00A2050E">
        <w:rPr>
          <w:lang w:val="en-CA"/>
        </w:rPr>
        <w:t xml:space="preserve"> </w:t>
      </w:r>
      <w:r w:rsidRPr="00A2050E">
        <w:rPr>
          <w:lang w:val="en-CA"/>
        </w:rPr>
        <w:t>will benefit from the increase in value at the time of the home</w:t>
      </w:r>
      <w:r w:rsidR="007634C1" w:rsidRPr="00A2050E">
        <w:rPr>
          <w:lang w:val="en-CA"/>
        </w:rPr>
        <w:t>’</w:t>
      </w:r>
      <w:r w:rsidRPr="00A2050E">
        <w:rPr>
          <w:lang w:val="en-CA"/>
        </w:rPr>
        <w:t>s sale.</w:t>
      </w:r>
    </w:p>
    <w:p w14:paraId="0381EA4A" w14:textId="77777777" w:rsidR="008E0C24" w:rsidRPr="00A2050E" w:rsidRDefault="00E6418F" w:rsidP="008E0C24">
      <w:pPr>
        <w:pStyle w:val="paraParagraphe"/>
        <w:widowControl/>
        <w:numPr>
          <w:ilvl w:val="0"/>
          <w:numId w:val="1"/>
        </w:numPr>
        <w:tabs>
          <w:tab w:val="clear" w:pos="360"/>
          <w:tab w:val="left" w:pos="720"/>
        </w:tabs>
        <w:spacing w:line="280" w:lineRule="exact"/>
        <w:rPr>
          <w:lang w:val="en-CA"/>
        </w:rPr>
      </w:pPr>
      <w:r w:rsidRPr="00A2050E">
        <w:rPr>
          <w:lang w:val="en-CA"/>
        </w:rPr>
        <w:t>The judge also dismissed Ms. </w:t>
      </w:r>
      <w:r w:rsidR="00B36FB8" w:rsidRPr="00A2050E">
        <w:rPr>
          <w:lang w:val="en-CA"/>
        </w:rPr>
        <w:t>H</w:t>
      </w:r>
      <w:r w:rsidR="00B36FB8">
        <w:rPr>
          <w:lang w:val="en-CA"/>
        </w:rPr>
        <w:t>.</w:t>
      </w:r>
      <w:r w:rsidR="00B36FB8" w:rsidRPr="00A2050E">
        <w:rPr>
          <w:lang w:val="en-CA"/>
        </w:rPr>
        <w:t xml:space="preserve">’s </w:t>
      </w:r>
      <w:r w:rsidRPr="00A2050E">
        <w:rPr>
          <w:lang w:val="en-CA"/>
        </w:rPr>
        <w:t>claim based on art. 1016 </w:t>
      </w:r>
      <w:r w:rsidRPr="00A2050E">
        <w:rPr>
          <w:i/>
          <w:iCs/>
          <w:lang w:val="en-CA"/>
        </w:rPr>
        <w:t>C.C.Q.</w:t>
      </w:r>
      <w:r w:rsidRPr="00A2050E">
        <w:rPr>
          <w:lang w:val="en-CA"/>
        </w:rPr>
        <w:t xml:space="preserve"> (indemnity for the use and exclusive enjoyment of the home) because the claim was </w:t>
      </w:r>
      <w:r w:rsidR="006C3660" w:rsidRPr="00A2050E">
        <w:rPr>
          <w:lang w:val="en-CA"/>
        </w:rPr>
        <w:t>tardy</w:t>
      </w:r>
      <w:r w:rsidRPr="00A2050E">
        <w:rPr>
          <w:lang w:val="en-CA"/>
        </w:rPr>
        <w:t xml:space="preserve">, while pointing out that Ms. </w:t>
      </w:r>
      <w:r w:rsidR="00B36FB8" w:rsidRPr="00A2050E">
        <w:rPr>
          <w:lang w:val="en-CA"/>
        </w:rPr>
        <w:t>H</w:t>
      </w:r>
      <w:r w:rsidR="00B36FB8">
        <w:rPr>
          <w:lang w:val="en-CA"/>
        </w:rPr>
        <w:t>.</w:t>
      </w:r>
      <w:r w:rsidR="00B36FB8" w:rsidRPr="00A2050E">
        <w:rPr>
          <w:lang w:val="en-CA"/>
        </w:rPr>
        <w:t xml:space="preserve"> </w:t>
      </w:r>
      <w:r w:rsidRPr="00A2050E">
        <w:rPr>
          <w:lang w:val="en-CA"/>
        </w:rPr>
        <w:t>was not contributing to the common expenses. On this subject, she stated the following:</w:t>
      </w:r>
    </w:p>
    <w:p w14:paraId="2A05C7CA" w14:textId="77777777" w:rsidR="008E0C24" w:rsidRPr="00A2050E" w:rsidRDefault="00E6418F" w:rsidP="008E0C24">
      <w:pPr>
        <w:pStyle w:val="citationenretrait0"/>
        <w:rPr>
          <w:lang w:val="en-CA"/>
        </w:rPr>
      </w:pPr>
      <w:r w:rsidRPr="00A2050E">
        <w:rPr>
          <w:lang w:val="en-CA"/>
        </w:rPr>
        <w:t>[80]  Moreover, the Mother never assumed her share of the payments related to the building. Only the Father assumed the payment of all expenses relating to the house. If an indemnity were to be granted in favour of the Mother, all of the costs assumed by the Father up to the date of trial would have to be taken into account, which would significantly dilute the claim. The law does not allow one to obtain only the advantages of co-ownership and to be exempted from the intrinsic obligations of co-ownership.</w:t>
      </w:r>
      <w:r w:rsidRPr="00A2050E">
        <w:rPr>
          <w:rStyle w:val="Appelnotedebasdep"/>
          <w:lang w:val="en-CA"/>
        </w:rPr>
        <w:footnoteReference w:id="3"/>
      </w:r>
    </w:p>
    <w:p w14:paraId="3ACE5EFC" w14:textId="77777777" w:rsidR="008E0C24" w:rsidRPr="00A2050E" w:rsidRDefault="00E6418F" w:rsidP="008E0C24">
      <w:pPr>
        <w:pStyle w:val="citationenretrait0"/>
        <w:jc w:val="right"/>
        <w:rPr>
          <w:lang w:val="en-CA"/>
        </w:rPr>
      </w:pPr>
      <w:r w:rsidRPr="00A2050E">
        <w:rPr>
          <w:lang w:val="en-CA"/>
        </w:rPr>
        <w:t>[Reference omitted]</w:t>
      </w:r>
    </w:p>
    <w:p w14:paraId="1A1EB1C8" w14:textId="77777777" w:rsidR="008E0C24" w:rsidRPr="00A2050E" w:rsidRDefault="00E6418F" w:rsidP="008E0C24">
      <w:pPr>
        <w:pStyle w:val="paraParagraphe"/>
        <w:widowControl/>
        <w:numPr>
          <w:ilvl w:val="0"/>
          <w:numId w:val="1"/>
        </w:numPr>
        <w:tabs>
          <w:tab w:val="clear" w:pos="360"/>
          <w:tab w:val="left" w:pos="720"/>
        </w:tabs>
        <w:spacing w:line="280" w:lineRule="exact"/>
        <w:rPr>
          <w:lang w:val="en-CA"/>
        </w:rPr>
      </w:pPr>
      <w:r w:rsidRPr="00A2050E">
        <w:rPr>
          <w:lang w:val="en-CA"/>
        </w:rPr>
        <w:t xml:space="preserve">At paragraph 6 of the corrected judgment, the judge confirmed that she intended to effect a </w:t>
      </w:r>
      <w:r w:rsidR="00A2050E" w:rsidRPr="00A2050E">
        <w:rPr>
          <w:lang w:val="en-CA"/>
        </w:rPr>
        <w:t>form</w:t>
      </w:r>
      <w:r w:rsidRPr="00A2050E">
        <w:rPr>
          <w:lang w:val="en-CA"/>
        </w:rPr>
        <w:t>of compensation</w:t>
      </w:r>
      <w:r w:rsidR="00774C72" w:rsidRPr="00A2050E">
        <w:rPr>
          <w:lang w:val="en-CA"/>
        </w:rPr>
        <w:t>, stating that</w:t>
      </w:r>
      <w:r w:rsidRPr="00A2050E">
        <w:rPr>
          <w:lang w:val="en-CA"/>
        </w:rPr>
        <w:t xml:space="preserve"> </w:t>
      </w:r>
      <w:r w:rsidR="007634C1" w:rsidRPr="00A2050E">
        <w:rPr>
          <w:lang w:val="en-CA"/>
        </w:rPr>
        <w:t>“</w:t>
      </w:r>
      <w:r w:rsidRPr="00A2050E">
        <w:rPr>
          <w:lang w:val="en-CA"/>
        </w:rPr>
        <w:t>the claim of this sum was taken into consideration in rejecting the Applicant</w:t>
      </w:r>
      <w:r w:rsidR="007634C1" w:rsidRPr="00A2050E">
        <w:rPr>
          <w:lang w:val="en-CA"/>
        </w:rPr>
        <w:t>’</w:t>
      </w:r>
      <w:r w:rsidRPr="00A2050E">
        <w:rPr>
          <w:lang w:val="en-CA"/>
        </w:rPr>
        <w:t>s request for an allowance for his occupation of the family residence</w:t>
      </w:r>
      <w:r w:rsidR="007634C1" w:rsidRPr="00A2050E">
        <w:rPr>
          <w:lang w:val="en-CA"/>
        </w:rPr>
        <w:t>”</w:t>
      </w:r>
      <w:r w:rsidRPr="00A2050E">
        <w:rPr>
          <w:lang w:val="en-CA"/>
        </w:rPr>
        <w:t>.</w:t>
      </w:r>
    </w:p>
    <w:p w14:paraId="2696FD08" w14:textId="77777777" w:rsidR="008E0C24" w:rsidRPr="00A2050E" w:rsidRDefault="001D3656" w:rsidP="008E0C24">
      <w:pPr>
        <w:pStyle w:val="paraParagraphe"/>
        <w:widowControl/>
        <w:numPr>
          <w:ilvl w:val="0"/>
          <w:numId w:val="1"/>
        </w:numPr>
        <w:tabs>
          <w:tab w:val="clear" w:pos="360"/>
          <w:tab w:val="left" w:pos="720"/>
        </w:tabs>
        <w:spacing w:line="280" w:lineRule="exact"/>
        <w:rPr>
          <w:lang w:val="en-CA"/>
        </w:rPr>
      </w:pPr>
      <w:r w:rsidRPr="00A2050E">
        <w:rPr>
          <w:lang w:val="en-CA"/>
        </w:rPr>
        <w:t xml:space="preserve">Despite the judge not expressing it </w:t>
      </w:r>
      <w:r w:rsidR="00CB45E3" w:rsidRPr="00A2050E">
        <w:rPr>
          <w:lang w:val="en-CA"/>
        </w:rPr>
        <w:t>in so many words</w:t>
      </w:r>
      <w:r w:rsidRPr="00A2050E">
        <w:rPr>
          <w:lang w:val="en-CA"/>
        </w:rPr>
        <w:t>, the practical effect of the judgment was to award Ms. </w:t>
      </w:r>
      <w:r w:rsidR="00B36FB8">
        <w:rPr>
          <w:lang w:val="en-CA"/>
        </w:rPr>
        <w:t>H.</w:t>
      </w:r>
      <w:r w:rsidR="00B36FB8" w:rsidRPr="00A2050E">
        <w:rPr>
          <w:lang w:val="en-CA"/>
        </w:rPr>
        <w:t xml:space="preserve"> </w:t>
      </w:r>
      <w:r w:rsidRPr="00A2050E">
        <w:rPr>
          <w:lang w:val="en-CA"/>
        </w:rPr>
        <w:t xml:space="preserve">an indemnity equal to half of the common expenses </w:t>
      </w:r>
      <w:r w:rsidR="00CB45E3" w:rsidRPr="00A2050E">
        <w:rPr>
          <w:lang w:val="en-CA"/>
        </w:rPr>
        <w:t xml:space="preserve">as of </w:t>
      </w:r>
      <w:r w:rsidRPr="00A2050E">
        <w:rPr>
          <w:lang w:val="en-CA"/>
        </w:rPr>
        <w:t>March 2019, which is approximately $1,163 per month.</w:t>
      </w:r>
      <w:r w:rsidRPr="00A2050E">
        <w:rPr>
          <w:rStyle w:val="Appelnotedebasdep"/>
          <w:lang w:val="en-CA"/>
        </w:rPr>
        <w:footnoteReference w:id="4"/>
      </w:r>
    </w:p>
    <w:p w14:paraId="0975D84D" w14:textId="77777777" w:rsidR="008E0C24" w:rsidRPr="00A2050E" w:rsidRDefault="00E6418F" w:rsidP="008E0C24">
      <w:pPr>
        <w:pStyle w:val="paraParagraphe"/>
        <w:widowControl/>
        <w:numPr>
          <w:ilvl w:val="0"/>
          <w:numId w:val="1"/>
        </w:numPr>
        <w:tabs>
          <w:tab w:val="clear" w:pos="360"/>
          <w:tab w:val="left" w:pos="720"/>
        </w:tabs>
        <w:spacing w:line="280" w:lineRule="exact"/>
        <w:rPr>
          <w:lang w:val="en-CA"/>
        </w:rPr>
      </w:pPr>
      <w:r w:rsidRPr="00A2050E">
        <w:rPr>
          <w:lang w:val="en-CA"/>
        </w:rPr>
        <w:t>Considering the context of the breakup and the judge</w:t>
      </w:r>
      <w:r w:rsidR="007634C1" w:rsidRPr="00A2050E">
        <w:rPr>
          <w:lang w:val="en-CA"/>
        </w:rPr>
        <w:t>’</w:t>
      </w:r>
      <w:r w:rsidRPr="00A2050E">
        <w:rPr>
          <w:lang w:val="en-CA"/>
        </w:rPr>
        <w:t>s very broad discretionary power,</w:t>
      </w:r>
      <w:r w:rsidRPr="00A2050E">
        <w:rPr>
          <w:rStyle w:val="Appelnotedebasdep"/>
          <w:lang w:val="en-CA"/>
        </w:rPr>
        <w:footnoteReference w:id="5"/>
      </w:r>
      <w:r w:rsidRPr="00A2050E">
        <w:rPr>
          <w:lang w:val="en-CA"/>
        </w:rPr>
        <w:t xml:space="preserve"> there is no reason to intervene. </w:t>
      </w:r>
      <w:r w:rsidR="001D3656" w:rsidRPr="00A2050E">
        <w:rPr>
          <w:lang w:val="en-CA"/>
        </w:rPr>
        <w:t xml:space="preserve">Although the judge did not state </w:t>
      </w:r>
      <w:r w:rsidRPr="00A2050E">
        <w:rPr>
          <w:lang w:val="en-CA"/>
        </w:rPr>
        <w:t xml:space="preserve">it clearly, </w:t>
      </w:r>
      <w:r w:rsidR="001D3656" w:rsidRPr="00A2050E">
        <w:rPr>
          <w:lang w:val="en-CA"/>
        </w:rPr>
        <w:t xml:space="preserve">she </w:t>
      </w:r>
      <w:r w:rsidRPr="00A2050E">
        <w:rPr>
          <w:lang w:val="en-CA"/>
        </w:rPr>
        <w:lastRenderedPageBreak/>
        <w:t xml:space="preserve">considered that half of the common expenses served in lieu of an indemnity, notwithstanding that Ms. </w:t>
      </w:r>
      <w:r w:rsidR="00B36FB8" w:rsidRPr="00A2050E">
        <w:rPr>
          <w:lang w:val="en-CA"/>
        </w:rPr>
        <w:t>H</w:t>
      </w:r>
      <w:r w:rsidR="00B36FB8">
        <w:rPr>
          <w:lang w:val="en-CA"/>
        </w:rPr>
        <w:t>.</w:t>
      </w:r>
      <w:r w:rsidR="00B36FB8" w:rsidRPr="00A2050E">
        <w:rPr>
          <w:lang w:val="en-CA"/>
        </w:rPr>
        <w:t xml:space="preserve">’s </w:t>
      </w:r>
      <w:r w:rsidRPr="00A2050E">
        <w:rPr>
          <w:lang w:val="en-CA"/>
        </w:rPr>
        <w:t>claim was late. This solution seems fair in the circumstances. Indeed, Mr. </w:t>
      </w:r>
      <w:r w:rsidR="00B36FB8" w:rsidRPr="00A2050E">
        <w:rPr>
          <w:lang w:val="en-CA"/>
        </w:rPr>
        <w:t>E</w:t>
      </w:r>
      <w:r w:rsidR="00B36FB8">
        <w:rPr>
          <w:lang w:val="en-CA"/>
        </w:rPr>
        <w:t>.</w:t>
      </w:r>
      <w:r w:rsidR="00B36FB8" w:rsidRPr="00A2050E">
        <w:rPr>
          <w:lang w:val="en-CA"/>
        </w:rPr>
        <w:t xml:space="preserve"> </w:t>
      </w:r>
      <w:r w:rsidRPr="00A2050E">
        <w:rPr>
          <w:lang w:val="en-CA"/>
        </w:rPr>
        <w:t>is liable for an indemnity.</w:t>
      </w:r>
      <w:r w:rsidRPr="00A2050E">
        <w:rPr>
          <w:rStyle w:val="Appelnotedebasdep"/>
          <w:lang w:val="en-CA"/>
        </w:rPr>
        <w:footnoteReference w:id="6"/>
      </w:r>
      <w:r w:rsidRPr="00A2050E">
        <w:rPr>
          <w:lang w:val="en-CA"/>
        </w:rPr>
        <w:t xml:space="preserve"> As for Ms. </w:t>
      </w:r>
      <w:r w:rsidR="00B36FB8" w:rsidRPr="00A2050E">
        <w:rPr>
          <w:lang w:val="en-CA"/>
        </w:rPr>
        <w:t>H</w:t>
      </w:r>
      <w:r w:rsidR="00B36FB8">
        <w:rPr>
          <w:lang w:val="en-CA"/>
        </w:rPr>
        <w:t>.</w:t>
      </w:r>
      <w:r w:rsidRPr="00A2050E">
        <w:rPr>
          <w:lang w:val="en-CA"/>
        </w:rPr>
        <w:t>, she cannot reasonably expect to benefit from the increase in value of the home without contributing to the common expenses relating thereto.</w:t>
      </w:r>
      <w:r w:rsidRPr="00A2050E">
        <w:rPr>
          <w:rStyle w:val="Appelnotedebasdep"/>
          <w:lang w:val="en-CA"/>
        </w:rPr>
        <w:footnoteReference w:id="7"/>
      </w:r>
    </w:p>
    <w:p w14:paraId="08F7C4E3" w14:textId="77777777" w:rsidR="008E0C24" w:rsidRPr="00A2050E" w:rsidRDefault="00E6418F" w:rsidP="008E0C24">
      <w:pPr>
        <w:pStyle w:val="paraParagraphe"/>
        <w:widowControl/>
        <w:numPr>
          <w:ilvl w:val="0"/>
          <w:numId w:val="1"/>
        </w:numPr>
        <w:tabs>
          <w:tab w:val="clear" w:pos="360"/>
          <w:tab w:val="left" w:pos="720"/>
        </w:tabs>
        <w:spacing w:line="280" w:lineRule="exact"/>
        <w:rPr>
          <w:lang w:val="en-CA"/>
        </w:rPr>
      </w:pPr>
      <w:r w:rsidRPr="00A2050E">
        <w:rPr>
          <w:lang w:val="en-CA"/>
        </w:rPr>
        <w:t>As for the cost of the renovation work, admittedly</w:t>
      </w:r>
      <w:r w:rsidR="001B55E5" w:rsidRPr="00A2050E">
        <w:rPr>
          <w:lang w:val="en-CA"/>
        </w:rPr>
        <w:t>,</w:t>
      </w:r>
      <w:r w:rsidRPr="00A2050E">
        <w:rPr>
          <w:lang w:val="en-CA"/>
        </w:rPr>
        <w:t xml:space="preserve"> the judge did not mention it. It can be inferred from paragraphs 138 and 143 of the judgment under appeal that the judge dismissed this claim, but her reasons are silent as to her grounds for this conclusion. Consequently, the Court itself must consider the evidence.</w:t>
      </w:r>
      <w:r w:rsidRPr="00A2050E">
        <w:rPr>
          <w:rStyle w:val="Appelnotedebasdep"/>
          <w:lang w:val="en-CA"/>
        </w:rPr>
        <w:footnoteReference w:id="8"/>
      </w:r>
      <w:r w:rsidRPr="00A2050E">
        <w:rPr>
          <w:lang w:val="en-CA"/>
        </w:rPr>
        <w:t xml:space="preserve"> Contrary to Mr.</w:t>
      </w:r>
      <w:r w:rsidR="00B82F59" w:rsidRPr="00A2050E">
        <w:rPr>
          <w:lang w:val="en-CA"/>
        </w:rPr>
        <w:t> </w:t>
      </w:r>
      <w:r w:rsidR="00B36FB8" w:rsidRPr="00A2050E">
        <w:rPr>
          <w:lang w:val="en-CA"/>
        </w:rPr>
        <w:t>E</w:t>
      </w:r>
      <w:r w:rsidR="00B36FB8">
        <w:rPr>
          <w:lang w:val="en-CA"/>
        </w:rPr>
        <w:t>.</w:t>
      </w:r>
      <w:r w:rsidR="00B36FB8" w:rsidRPr="00A2050E">
        <w:rPr>
          <w:lang w:val="en-CA"/>
        </w:rPr>
        <w:t>’</w:t>
      </w:r>
      <w:r w:rsidR="00B36FB8">
        <w:rPr>
          <w:lang w:val="en-CA"/>
        </w:rPr>
        <w:t>s</w:t>
      </w:r>
      <w:r w:rsidR="00B36FB8" w:rsidRPr="00A2050E">
        <w:rPr>
          <w:lang w:val="en-CA"/>
        </w:rPr>
        <w:t xml:space="preserve"> </w:t>
      </w:r>
      <w:r w:rsidRPr="00A2050E">
        <w:rPr>
          <w:lang w:val="en-CA"/>
        </w:rPr>
        <w:t>argument, the</w:t>
      </w:r>
      <w:r w:rsidR="00B82F59" w:rsidRPr="00A2050E">
        <w:rPr>
          <w:lang w:val="en-CA"/>
        </w:rPr>
        <w:t xml:space="preserve"> evidence</w:t>
      </w:r>
      <w:r w:rsidRPr="00A2050E">
        <w:rPr>
          <w:rStyle w:val="Appelnotedebasdep"/>
          <w:lang w:val="en-CA"/>
        </w:rPr>
        <w:footnoteReference w:id="9"/>
      </w:r>
      <w:r w:rsidRPr="00A2050E">
        <w:rPr>
          <w:lang w:val="en-CA"/>
        </w:rPr>
        <w:t xml:space="preserve"> does not show that the renovations added 18.75% to the value of the residence, nor that they cost $20,000. It can even be inferred from Ms. </w:t>
      </w:r>
      <w:r w:rsidR="00B36FB8" w:rsidRPr="00A2050E">
        <w:rPr>
          <w:lang w:val="en-CA"/>
        </w:rPr>
        <w:t>H</w:t>
      </w:r>
      <w:r w:rsidR="00B36FB8">
        <w:rPr>
          <w:lang w:val="en-CA"/>
        </w:rPr>
        <w:t>.</w:t>
      </w:r>
      <w:r w:rsidR="00B36FB8" w:rsidRPr="00A2050E">
        <w:rPr>
          <w:lang w:val="en-CA"/>
        </w:rPr>
        <w:t xml:space="preserve">’s </w:t>
      </w:r>
      <w:r w:rsidRPr="00A2050E">
        <w:rPr>
          <w:lang w:val="en-CA"/>
        </w:rPr>
        <w:t>testimony that the cost of the renovation work is covered by the partial agreement on the accessory measures signed by the parties.</w:t>
      </w:r>
      <w:r w:rsidRPr="00A2050E">
        <w:rPr>
          <w:rStyle w:val="Appelnotedebasdep"/>
          <w:lang w:val="en-CA"/>
        </w:rPr>
        <w:footnoteReference w:id="10"/>
      </w:r>
    </w:p>
    <w:p w14:paraId="2448F3CF" w14:textId="77777777" w:rsidR="008E0C24" w:rsidRPr="00A2050E" w:rsidRDefault="00E6418F" w:rsidP="008E0C24">
      <w:pPr>
        <w:pStyle w:val="paraParagraphe"/>
        <w:keepNext/>
        <w:widowControl/>
        <w:tabs>
          <w:tab w:val="left" w:pos="720"/>
        </w:tabs>
        <w:spacing w:line="280" w:lineRule="exact"/>
        <w:rPr>
          <w:b/>
          <w:bCs/>
          <w:i/>
          <w:iCs/>
          <w:lang w:val="en-CA"/>
        </w:rPr>
      </w:pPr>
      <w:r w:rsidRPr="00A2050E">
        <w:rPr>
          <w:b/>
          <w:bCs/>
          <w:i/>
          <w:iCs/>
          <w:lang w:val="en-CA"/>
        </w:rPr>
        <w:t>Deduction of an amount of $20,462 used to acquire the first family residence</w:t>
      </w:r>
    </w:p>
    <w:p w14:paraId="1DBE20A5" w14:textId="77777777" w:rsidR="008E0C24" w:rsidRPr="00A2050E" w:rsidRDefault="00E6418F" w:rsidP="008E0C24">
      <w:pPr>
        <w:pStyle w:val="paraParagraphe"/>
        <w:widowControl/>
        <w:numPr>
          <w:ilvl w:val="0"/>
          <w:numId w:val="1"/>
        </w:numPr>
        <w:tabs>
          <w:tab w:val="clear" w:pos="360"/>
          <w:tab w:val="left" w:pos="720"/>
        </w:tabs>
        <w:spacing w:line="280" w:lineRule="exact"/>
        <w:rPr>
          <w:lang w:val="en-CA"/>
        </w:rPr>
      </w:pPr>
      <w:r w:rsidRPr="00A2050E">
        <w:rPr>
          <w:lang w:val="en-CA"/>
        </w:rPr>
        <w:t xml:space="preserve">On this point, the judge found that Ms. </w:t>
      </w:r>
      <w:r w:rsidR="00B36FB8" w:rsidRPr="00A2050E">
        <w:rPr>
          <w:lang w:val="en-CA"/>
        </w:rPr>
        <w:t>H</w:t>
      </w:r>
      <w:r w:rsidR="00B36FB8">
        <w:rPr>
          <w:lang w:val="en-CA"/>
        </w:rPr>
        <w:t>.</w:t>
      </w:r>
      <w:r w:rsidR="00B36FB8" w:rsidRPr="00A2050E">
        <w:rPr>
          <w:lang w:val="en-CA"/>
        </w:rPr>
        <w:t xml:space="preserve"> </w:t>
      </w:r>
      <w:r w:rsidRPr="00A2050E">
        <w:rPr>
          <w:lang w:val="en-CA"/>
        </w:rPr>
        <w:t>had not discharged her burden of proof and that her claim was late.</w:t>
      </w:r>
    </w:p>
    <w:p w14:paraId="21F7289E" w14:textId="77777777" w:rsidR="008E0C24" w:rsidRPr="00A2050E" w:rsidRDefault="00E6418F" w:rsidP="008E0C24">
      <w:pPr>
        <w:pStyle w:val="paraParagraphe"/>
        <w:widowControl/>
        <w:numPr>
          <w:ilvl w:val="0"/>
          <w:numId w:val="1"/>
        </w:numPr>
        <w:tabs>
          <w:tab w:val="clear" w:pos="360"/>
          <w:tab w:val="left" w:pos="720"/>
        </w:tabs>
        <w:spacing w:line="280" w:lineRule="exact"/>
        <w:rPr>
          <w:lang w:val="en-CA"/>
        </w:rPr>
      </w:pPr>
      <w:r w:rsidRPr="00A2050E">
        <w:rPr>
          <w:lang w:val="en-CA"/>
        </w:rPr>
        <w:t xml:space="preserve">There is no reviewable error in this finding. Ms. </w:t>
      </w:r>
      <w:r w:rsidR="00B36FB8" w:rsidRPr="00A2050E">
        <w:rPr>
          <w:lang w:val="en-CA"/>
        </w:rPr>
        <w:t>H</w:t>
      </w:r>
      <w:r w:rsidR="00B36FB8">
        <w:rPr>
          <w:lang w:val="en-CA"/>
        </w:rPr>
        <w:t>.</w:t>
      </w:r>
      <w:r w:rsidR="00B36FB8" w:rsidRPr="00A2050E">
        <w:rPr>
          <w:lang w:val="en-CA"/>
        </w:rPr>
        <w:t xml:space="preserve"> </w:t>
      </w:r>
      <w:r w:rsidRPr="00A2050E">
        <w:rPr>
          <w:lang w:val="en-CA"/>
        </w:rPr>
        <w:t xml:space="preserve">did not establish the net value of the first family residence at the time of the marriage. </w:t>
      </w:r>
      <w:r w:rsidR="00EF0C92" w:rsidRPr="00A2050E">
        <w:rPr>
          <w:lang w:val="en-CA"/>
        </w:rPr>
        <w:t>Moreover</w:t>
      </w:r>
      <w:r w:rsidRPr="00A2050E">
        <w:rPr>
          <w:lang w:val="en-CA"/>
        </w:rPr>
        <w:t xml:space="preserve">, both parties testified that Ms. </w:t>
      </w:r>
      <w:r w:rsidR="00B36FB8" w:rsidRPr="00A2050E">
        <w:rPr>
          <w:lang w:val="en-CA"/>
        </w:rPr>
        <w:t>H</w:t>
      </w:r>
      <w:r w:rsidR="00B36FB8">
        <w:rPr>
          <w:lang w:val="en-CA"/>
        </w:rPr>
        <w:t>.</w:t>
      </w:r>
      <w:r w:rsidR="00B36FB8" w:rsidRPr="00A2050E">
        <w:rPr>
          <w:lang w:val="en-CA"/>
        </w:rPr>
        <w:t xml:space="preserve"> </w:t>
      </w:r>
      <w:r w:rsidRPr="00A2050E">
        <w:rPr>
          <w:lang w:val="en-CA"/>
        </w:rPr>
        <w:t>had kept part of the proceeds of sale of this house. Their testimonies are contradictory on the amount, but the evidence as a whole supports Mr.</w:t>
      </w:r>
      <w:r w:rsidR="00EF0C92" w:rsidRPr="00A2050E">
        <w:rPr>
          <w:lang w:val="en-CA"/>
        </w:rPr>
        <w:t> </w:t>
      </w:r>
      <w:r w:rsidR="00B36FB8" w:rsidRPr="00A2050E">
        <w:rPr>
          <w:lang w:val="en-CA"/>
        </w:rPr>
        <w:t>E</w:t>
      </w:r>
      <w:r w:rsidR="00B36FB8">
        <w:rPr>
          <w:lang w:val="en-CA"/>
        </w:rPr>
        <w:t>.</w:t>
      </w:r>
      <w:r w:rsidR="00B36FB8" w:rsidRPr="00A2050E">
        <w:rPr>
          <w:lang w:val="en-CA"/>
        </w:rPr>
        <w:t>’</w:t>
      </w:r>
      <w:r w:rsidR="00B36FB8">
        <w:rPr>
          <w:lang w:val="en-CA"/>
        </w:rPr>
        <w:t>s</w:t>
      </w:r>
      <w:r w:rsidR="00B36FB8" w:rsidRPr="00A2050E">
        <w:rPr>
          <w:lang w:val="en-CA"/>
        </w:rPr>
        <w:t xml:space="preserve"> </w:t>
      </w:r>
      <w:r w:rsidRPr="00A2050E">
        <w:rPr>
          <w:lang w:val="en-CA"/>
        </w:rPr>
        <w:t xml:space="preserve">claim that Ms. </w:t>
      </w:r>
      <w:r w:rsidR="00B36FB8" w:rsidRPr="00A2050E">
        <w:rPr>
          <w:lang w:val="en-CA"/>
        </w:rPr>
        <w:t>H</w:t>
      </w:r>
      <w:r w:rsidR="00B36FB8">
        <w:rPr>
          <w:lang w:val="en-CA"/>
        </w:rPr>
        <w:t>.</w:t>
      </w:r>
      <w:r w:rsidR="00B36FB8" w:rsidRPr="00A2050E">
        <w:rPr>
          <w:lang w:val="en-CA"/>
        </w:rPr>
        <w:t xml:space="preserve"> </w:t>
      </w:r>
      <w:r w:rsidRPr="00A2050E">
        <w:rPr>
          <w:lang w:val="en-CA"/>
        </w:rPr>
        <w:t>was fully reimbursed for her investment.</w:t>
      </w:r>
    </w:p>
    <w:p w14:paraId="21DE049A" w14:textId="77777777" w:rsidR="008E0C24" w:rsidRPr="00A2050E" w:rsidRDefault="00E6418F" w:rsidP="008C6FF1">
      <w:pPr>
        <w:pStyle w:val="paraParagraphe"/>
        <w:keepNext/>
        <w:widowControl/>
        <w:tabs>
          <w:tab w:val="left" w:pos="720"/>
        </w:tabs>
        <w:spacing w:line="280" w:lineRule="exact"/>
        <w:rPr>
          <w:b/>
          <w:bCs/>
          <w:i/>
          <w:iCs/>
          <w:lang w:val="en-CA"/>
        </w:rPr>
      </w:pPr>
      <w:r w:rsidRPr="00A2050E">
        <w:rPr>
          <w:b/>
          <w:bCs/>
          <w:i/>
          <w:iCs/>
          <w:lang w:val="en-CA"/>
        </w:rPr>
        <w:t>Deduction of an amount of $31,719 originating from an inheritance</w:t>
      </w:r>
    </w:p>
    <w:p w14:paraId="5D633B32" w14:textId="77777777" w:rsidR="008E0C24" w:rsidRPr="00A2050E" w:rsidRDefault="00E6418F" w:rsidP="008E0C24">
      <w:pPr>
        <w:pStyle w:val="paraParagraphe"/>
        <w:widowControl/>
        <w:numPr>
          <w:ilvl w:val="0"/>
          <w:numId w:val="1"/>
        </w:numPr>
        <w:tabs>
          <w:tab w:val="clear" w:pos="360"/>
          <w:tab w:val="left" w:pos="720"/>
        </w:tabs>
        <w:spacing w:line="280" w:lineRule="exact"/>
        <w:rPr>
          <w:lang w:val="en-CA"/>
        </w:rPr>
      </w:pPr>
      <w:r w:rsidRPr="00A2050E">
        <w:rPr>
          <w:lang w:val="en-CA"/>
        </w:rPr>
        <w:t xml:space="preserve">According to art. 459 </w:t>
      </w:r>
      <w:r w:rsidRPr="00A2050E">
        <w:rPr>
          <w:i/>
          <w:iCs/>
          <w:lang w:val="en-CA"/>
        </w:rPr>
        <w:t>C.C.Q.</w:t>
      </w:r>
      <w:r w:rsidRPr="00A2050E">
        <w:rPr>
          <w:lang w:val="en-CA"/>
        </w:rPr>
        <w:t xml:space="preserve">, </w:t>
      </w:r>
      <w:r w:rsidR="007634C1" w:rsidRPr="00A2050E">
        <w:rPr>
          <w:lang w:val="en-CA"/>
        </w:rPr>
        <w:t>“</w:t>
      </w:r>
      <w:r w:rsidRPr="00A2050E">
        <w:rPr>
          <w:lang w:val="en-CA"/>
        </w:rPr>
        <w:t>[a]ll property is presumed to constitute an acquest, […] unless it is established that it is private property</w:t>
      </w:r>
      <w:r w:rsidR="007634C1" w:rsidRPr="00A2050E">
        <w:rPr>
          <w:lang w:val="en-CA"/>
        </w:rPr>
        <w:t>”</w:t>
      </w:r>
      <w:r w:rsidRPr="00A2050E">
        <w:rPr>
          <w:lang w:val="en-CA"/>
        </w:rPr>
        <w:t xml:space="preserve">. Thus, the burden of </w:t>
      </w:r>
      <w:r w:rsidRPr="00A2050E">
        <w:rPr>
          <w:lang w:val="en-CA"/>
        </w:rPr>
        <w:lastRenderedPageBreak/>
        <w:t>proving that property should be classified as private property lies on the party wishing to rely on this classification.</w:t>
      </w:r>
      <w:r w:rsidRPr="00A2050E">
        <w:rPr>
          <w:rStyle w:val="Appelnotedebasdep"/>
          <w:lang w:val="en-CA"/>
        </w:rPr>
        <w:footnoteReference w:id="11"/>
      </w:r>
    </w:p>
    <w:p w14:paraId="42E2D04B" w14:textId="77777777" w:rsidR="008E0C24" w:rsidRPr="00A2050E" w:rsidRDefault="00E6418F" w:rsidP="008E0C24">
      <w:pPr>
        <w:pStyle w:val="paraParagraphe"/>
        <w:widowControl/>
        <w:numPr>
          <w:ilvl w:val="0"/>
          <w:numId w:val="1"/>
        </w:numPr>
        <w:tabs>
          <w:tab w:val="clear" w:pos="360"/>
          <w:tab w:val="left" w:pos="720"/>
        </w:tabs>
        <w:spacing w:line="280" w:lineRule="exact"/>
        <w:rPr>
          <w:lang w:val="en-CA"/>
        </w:rPr>
      </w:pPr>
      <w:r w:rsidRPr="00A2050E">
        <w:rPr>
          <w:lang w:val="en-CA"/>
        </w:rPr>
        <w:t xml:space="preserve">In the case at bar, the judge concluded that Ms. </w:t>
      </w:r>
      <w:r w:rsidR="00B36FB8" w:rsidRPr="00A2050E">
        <w:rPr>
          <w:lang w:val="en-CA"/>
        </w:rPr>
        <w:t>H</w:t>
      </w:r>
      <w:r w:rsidR="00B36FB8">
        <w:rPr>
          <w:lang w:val="en-CA"/>
        </w:rPr>
        <w:t>.</w:t>
      </w:r>
      <w:r w:rsidR="00B36FB8" w:rsidRPr="00A2050E">
        <w:rPr>
          <w:lang w:val="en-CA"/>
        </w:rPr>
        <w:t xml:space="preserve"> </w:t>
      </w:r>
      <w:r w:rsidRPr="00A2050E">
        <w:rPr>
          <w:lang w:val="en-CA"/>
        </w:rPr>
        <w:t xml:space="preserve">had not proved that part of the funds in her bank account came from the inheritance she </w:t>
      </w:r>
      <w:r w:rsidR="001279EC" w:rsidRPr="00A2050E">
        <w:rPr>
          <w:lang w:val="en-CA"/>
        </w:rPr>
        <w:t xml:space="preserve">had </w:t>
      </w:r>
      <w:r w:rsidRPr="00A2050E">
        <w:rPr>
          <w:lang w:val="en-CA"/>
        </w:rPr>
        <w:t>received from her father. The judge explained as follows:</w:t>
      </w:r>
    </w:p>
    <w:p w14:paraId="125DB300" w14:textId="77777777" w:rsidR="008E0C24" w:rsidRPr="00A2050E" w:rsidRDefault="00E6418F" w:rsidP="008E0C24">
      <w:pPr>
        <w:pStyle w:val="citationenretrait0"/>
        <w:rPr>
          <w:lang w:val="en-CA"/>
        </w:rPr>
      </w:pPr>
      <w:r w:rsidRPr="00A2050E">
        <w:rPr>
          <w:lang w:val="en-CA"/>
        </w:rPr>
        <w:t>[100]  Even if it is accepted that the Mother received an inheritance, how can the composition of the balance of this account on the day of the parties</w:t>
      </w:r>
      <w:r w:rsidR="007634C1" w:rsidRPr="00A2050E">
        <w:rPr>
          <w:lang w:val="en-CA"/>
        </w:rPr>
        <w:t>’</w:t>
      </w:r>
      <w:r w:rsidRPr="00A2050E">
        <w:rPr>
          <w:lang w:val="en-CA"/>
        </w:rPr>
        <w:t xml:space="preserve"> separation be determined, given the many transactions that took place? There is considerable confusion here.</w:t>
      </w:r>
    </w:p>
    <w:p w14:paraId="2FA8D41A" w14:textId="77777777" w:rsidR="008E0C24" w:rsidRPr="00A2050E" w:rsidRDefault="00E6418F" w:rsidP="008E0C24">
      <w:pPr>
        <w:pStyle w:val="citationenretrait0"/>
        <w:rPr>
          <w:lang w:val="en-CA"/>
        </w:rPr>
      </w:pPr>
      <w:r w:rsidRPr="00A2050E">
        <w:rPr>
          <w:lang w:val="en-CA"/>
        </w:rPr>
        <w:t>[101]  However, for a party to be able to recover his or her own property, it must still exist on the date of partition and be identifiable. The money must be held separately, identified clearly and cannot have been co-mingled with other monies. This is not the case here. She has not shown that the inheritance deposited in her account was still partially in existence at the time of the separation, let alone what the balance would be.</w:t>
      </w:r>
      <w:r w:rsidRPr="00A2050E">
        <w:rPr>
          <w:rStyle w:val="Appelnotedebasdep"/>
          <w:lang w:val="en-CA"/>
        </w:rPr>
        <w:footnoteReference w:id="12"/>
      </w:r>
    </w:p>
    <w:p w14:paraId="7ADDBFC2" w14:textId="77777777" w:rsidR="008E0C24" w:rsidRPr="00A2050E" w:rsidRDefault="00E6418F" w:rsidP="008E0C24">
      <w:pPr>
        <w:pStyle w:val="paraParagraphe"/>
        <w:widowControl/>
        <w:numPr>
          <w:ilvl w:val="0"/>
          <w:numId w:val="1"/>
        </w:numPr>
        <w:tabs>
          <w:tab w:val="clear" w:pos="360"/>
          <w:tab w:val="left" w:pos="720"/>
        </w:tabs>
        <w:spacing w:line="280" w:lineRule="exact"/>
        <w:rPr>
          <w:lang w:val="en-CA"/>
        </w:rPr>
      </w:pPr>
      <w:r w:rsidRPr="00A2050E">
        <w:rPr>
          <w:lang w:val="en-CA"/>
        </w:rPr>
        <w:t xml:space="preserve">The evidence supports this finding, and Ms. </w:t>
      </w:r>
      <w:r w:rsidR="00B36FB8" w:rsidRPr="00A2050E">
        <w:rPr>
          <w:lang w:val="en-CA"/>
        </w:rPr>
        <w:t>H</w:t>
      </w:r>
      <w:r w:rsidR="00B36FB8">
        <w:rPr>
          <w:lang w:val="en-CA"/>
        </w:rPr>
        <w:t>.</w:t>
      </w:r>
      <w:r w:rsidR="00B36FB8" w:rsidRPr="00A2050E">
        <w:rPr>
          <w:lang w:val="en-CA"/>
        </w:rPr>
        <w:t xml:space="preserve"> </w:t>
      </w:r>
      <w:r w:rsidRPr="00A2050E">
        <w:rPr>
          <w:lang w:val="en-CA"/>
        </w:rPr>
        <w:t>has not shown any error that would warrant the Court</w:t>
      </w:r>
      <w:r w:rsidR="007634C1" w:rsidRPr="00A2050E">
        <w:rPr>
          <w:lang w:val="en-CA"/>
        </w:rPr>
        <w:t>’</w:t>
      </w:r>
      <w:r w:rsidRPr="00A2050E">
        <w:rPr>
          <w:lang w:val="en-CA"/>
        </w:rPr>
        <w:t>s intervention.</w:t>
      </w:r>
    </w:p>
    <w:p w14:paraId="28127F45" w14:textId="77777777" w:rsidR="008E0C24" w:rsidRPr="00A2050E" w:rsidRDefault="00E6418F" w:rsidP="008E0C24">
      <w:pPr>
        <w:pStyle w:val="ParagrapheGras"/>
        <w:keepNext/>
        <w:widowControl/>
        <w:spacing w:line="280" w:lineRule="exact"/>
        <w:rPr>
          <w:lang w:val="en-CA"/>
        </w:rPr>
      </w:pPr>
      <w:r w:rsidRPr="00A2050E">
        <w:rPr>
          <w:lang w:val="en-CA"/>
        </w:rPr>
        <w:t>FOR THESE REASONS, THE COURT:</w:t>
      </w:r>
    </w:p>
    <w:p w14:paraId="68A95567" w14:textId="77777777" w:rsidR="00E51293" w:rsidRPr="00A2050E" w:rsidRDefault="00E6418F" w:rsidP="008C6FF1">
      <w:pPr>
        <w:pStyle w:val="paraParagraphe"/>
        <w:keepNext/>
        <w:widowControl/>
        <w:numPr>
          <w:ilvl w:val="0"/>
          <w:numId w:val="1"/>
        </w:numPr>
        <w:tabs>
          <w:tab w:val="clear" w:pos="360"/>
        </w:tabs>
        <w:spacing w:line="280" w:lineRule="exact"/>
        <w:rPr>
          <w:lang w:val="en-CA"/>
        </w:rPr>
      </w:pPr>
      <w:r w:rsidRPr="00A2050E">
        <w:rPr>
          <w:b/>
          <w:bCs/>
          <w:lang w:val="en-CA"/>
        </w:rPr>
        <w:t xml:space="preserve">DISMISSES </w:t>
      </w:r>
      <w:r w:rsidRPr="00A2050E">
        <w:rPr>
          <w:lang w:val="en-CA"/>
        </w:rPr>
        <w:t xml:space="preserve">the principal appeal and the incidental appeal, without legal costs given the nature of the </w:t>
      </w:r>
      <w:r w:rsidR="000E258F" w:rsidRPr="00A2050E">
        <w:rPr>
          <w:lang w:val="en-CA"/>
        </w:rPr>
        <w:t>matter</w:t>
      </w:r>
      <w:r w:rsidRPr="00A2050E">
        <w:rPr>
          <w:lang w:val="en-CA"/>
        </w:rPr>
        <w:t>.</w:t>
      </w:r>
    </w:p>
    <w:p w14:paraId="433E3A5E" w14:textId="77777777" w:rsidR="008C6FF1" w:rsidRPr="00A2050E" w:rsidRDefault="008C6FF1" w:rsidP="008C6FF1">
      <w:pPr>
        <w:pStyle w:val="paraParagraphe"/>
        <w:keepNext/>
        <w:widowControl/>
        <w:spacing w:line="280" w:lineRule="exact"/>
        <w:rPr>
          <w:lang w:val="en-CA"/>
        </w:rPr>
      </w:pPr>
    </w:p>
    <w:tbl>
      <w:tblPr>
        <w:tblW w:w="9360" w:type="dxa"/>
        <w:tblLayout w:type="fixed"/>
        <w:tblCellMar>
          <w:left w:w="70" w:type="dxa"/>
          <w:right w:w="70" w:type="dxa"/>
        </w:tblCellMar>
        <w:tblLook w:val="0000" w:firstRow="0" w:lastRow="0" w:firstColumn="0" w:lastColumn="0" w:noHBand="0" w:noVBand="0"/>
      </w:tblPr>
      <w:tblGrid>
        <w:gridCol w:w="4500"/>
        <w:gridCol w:w="4860"/>
      </w:tblGrid>
      <w:tr w:rsidR="00345703" w:rsidRPr="00A2050E" w14:paraId="68E4FA7B" w14:textId="77777777" w:rsidTr="00FB3369">
        <w:tc>
          <w:tcPr>
            <w:tcW w:w="4500" w:type="dxa"/>
          </w:tcPr>
          <w:p w14:paraId="4551FBD8" w14:textId="77777777" w:rsidR="00887EEB" w:rsidRPr="00A2050E" w:rsidRDefault="00887EEB" w:rsidP="00887EEB">
            <w:pPr>
              <w:keepNext/>
              <w:spacing w:line="240" w:lineRule="auto"/>
              <w:jc w:val="both"/>
              <w:rPr>
                <w:rFonts w:cs="Arial"/>
                <w:szCs w:val="24"/>
                <w:lang w:val="en-CA"/>
              </w:rPr>
            </w:pPr>
          </w:p>
        </w:tc>
        <w:tc>
          <w:tcPr>
            <w:tcW w:w="4860" w:type="dxa"/>
            <w:tcBorders>
              <w:top w:val="single" w:sz="4" w:space="0" w:color="auto"/>
            </w:tcBorders>
          </w:tcPr>
          <w:p w14:paraId="7537632F" w14:textId="77777777" w:rsidR="00887EEB" w:rsidRPr="00A2050E" w:rsidRDefault="00E6418F" w:rsidP="00887EEB">
            <w:pPr>
              <w:keepNext/>
              <w:spacing w:line="240" w:lineRule="auto"/>
              <w:rPr>
                <w:rFonts w:cs="Arial"/>
                <w:caps/>
                <w:szCs w:val="24"/>
                <w:lang w:val="en-CA"/>
              </w:rPr>
            </w:pPr>
            <w:r w:rsidRPr="00A2050E">
              <w:rPr>
                <w:rFonts w:cs="Arial"/>
                <w:caps/>
                <w:szCs w:val="24"/>
                <w:lang w:val="en-CA"/>
              </w:rPr>
              <w:fldChar w:fldCharType="begin"/>
            </w:r>
            <w:r w:rsidRPr="00A2050E">
              <w:rPr>
                <w:rFonts w:cs="Arial"/>
                <w:caps/>
                <w:szCs w:val="24"/>
                <w:lang w:val="en-CA"/>
              </w:rPr>
              <w:instrText xml:space="preserve"> REF NomJuge1 \h  \* MERGEFORMAT </w:instrText>
            </w:r>
            <w:r w:rsidRPr="00A2050E">
              <w:rPr>
                <w:rFonts w:cs="Arial"/>
                <w:caps/>
                <w:szCs w:val="24"/>
                <w:lang w:val="en-CA"/>
              </w:rPr>
            </w:r>
            <w:r w:rsidRPr="00A2050E">
              <w:rPr>
                <w:rFonts w:cs="Arial"/>
                <w:caps/>
                <w:szCs w:val="24"/>
                <w:lang w:val="en-CA"/>
              </w:rPr>
              <w:fldChar w:fldCharType="separate"/>
            </w:r>
            <w:r w:rsidR="00753EB2" w:rsidRPr="00A2050E">
              <w:rPr>
                <w:lang w:val="en-CA"/>
              </w:rPr>
              <w:t>JULIE DUTIL, J.A.</w:t>
            </w:r>
            <w:r w:rsidRPr="00A2050E">
              <w:rPr>
                <w:rFonts w:cs="Arial"/>
                <w:caps/>
                <w:szCs w:val="24"/>
                <w:lang w:val="en-CA"/>
              </w:rPr>
              <w:fldChar w:fldCharType="end"/>
            </w:r>
          </w:p>
        </w:tc>
      </w:tr>
    </w:tbl>
    <w:p w14:paraId="336A3CFE" w14:textId="77777777" w:rsidR="00887EEB" w:rsidRPr="00A2050E" w:rsidRDefault="00887EEB" w:rsidP="00887EEB">
      <w:pPr>
        <w:keepNext/>
        <w:spacing w:line="240" w:lineRule="auto"/>
        <w:jc w:val="both"/>
        <w:rPr>
          <w:rFonts w:cs="Arial"/>
          <w:szCs w:val="24"/>
          <w:lang w:val="en-CA"/>
        </w:rPr>
      </w:pPr>
    </w:p>
    <w:p w14:paraId="0DB29CDD" w14:textId="77777777" w:rsidR="00887EEB" w:rsidRPr="00A2050E" w:rsidRDefault="00887EEB" w:rsidP="00887EEB">
      <w:pPr>
        <w:keepNext/>
        <w:spacing w:line="240" w:lineRule="auto"/>
        <w:jc w:val="both"/>
        <w:rPr>
          <w:rFonts w:cs="Arial"/>
          <w:szCs w:val="24"/>
          <w:lang w:val="en-CA"/>
        </w:rPr>
      </w:pPr>
    </w:p>
    <w:tbl>
      <w:tblPr>
        <w:tblW w:w="9360" w:type="dxa"/>
        <w:tblLayout w:type="fixed"/>
        <w:tblCellMar>
          <w:left w:w="70" w:type="dxa"/>
          <w:right w:w="70" w:type="dxa"/>
        </w:tblCellMar>
        <w:tblLook w:val="0000" w:firstRow="0" w:lastRow="0" w:firstColumn="0" w:lastColumn="0" w:noHBand="0" w:noVBand="0"/>
      </w:tblPr>
      <w:tblGrid>
        <w:gridCol w:w="4500"/>
        <w:gridCol w:w="4860"/>
      </w:tblGrid>
      <w:tr w:rsidR="00345703" w:rsidRPr="00A2050E" w14:paraId="5762DDD5" w14:textId="77777777" w:rsidTr="00FB3369">
        <w:tc>
          <w:tcPr>
            <w:tcW w:w="4500" w:type="dxa"/>
          </w:tcPr>
          <w:p w14:paraId="183893CB" w14:textId="77777777" w:rsidR="00887EEB" w:rsidRPr="00A2050E" w:rsidRDefault="00887EEB" w:rsidP="00887EEB">
            <w:pPr>
              <w:keepNext/>
              <w:spacing w:line="240" w:lineRule="auto"/>
              <w:jc w:val="both"/>
              <w:rPr>
                <w:rFonts w:cs="Arial"/>
                <w:szCs w:val="24"/>
                <w:lang w:val="en-CA"/>
              </w:rPr>
            </w:pPr>
          </w:p>
        </w:tc>
        <w:tc>
          <w:tcPr>
            <w:tcW w:w="4860" w:type="dxa"/>
            <w:tcBorders>
              <w:top w:val="single" w:sz="4" w:space="0" w:color="auto"/>
            </w:tcBorders>
          </w:tcPr>
          <w:p w14:paraId="4D8A8D7D" w14:textId="77777777" w:rsidR="00887EEB" w:rsidRPr="00A2050E" w:rsidRDefault="00E6418F" w:rsidP="00887EEB">
            <w:pPr>
              <w:keepNext/>
              <w:spacing w:line="240" w:lineRule="auto"/>
              <w:rPr>
                <w:rFonts w:cs="Arial"/>
                <w:caps/>
                <w:szCs w:val="24"/>
                <w:lang w:val="en-CA"/>
              </w:rPr>
            </w:pPr>
            <w:r w:rsidRPr="00A2050E">
              <w:rPr>
                <w:rFonts w:cs="Arial"/>
                <w:caps/>
                <w:szCs w:val="24"/>
                <w:lang w:val="en-CA"/>
              </w:rPr>
              <w:fldChar w:fldCharType="begin"/>
            </w:r>
            <w:r w:rsidRPr="00A2050E">
              <w:rPr>
                <w:rFonts w:cs="Arial"/>
                <w:caps/>
                <w:szCs w:val="24"/>
                <w:lang w:val="en-CA"/>
              </w:rPr>
              <w:instrText xml:space="preserve"> REF NomJuge2 \h  \* MERGEFORMAT </w:instrText>
            </w:r>
            <w:r w:rsidRPr="00A2050E">
              <w:rPr>
                <w:rFonts w:cs="Arial"/>
                <w:caps/>
                <w:szCs w:val="24"/>
                <w:lang w:val="en-CA"/>
              </w:rPr>
            </w:r>
            <w:r w:rsidRPr="00A2050E">
              <w:rPr>
                <w:rFonts w:cs="Arial"/>
                <w:caps/>
                <w:szCs w:val="24"/>
                <w:lang w:val="en-CA"/>
              </w:rPr>
              <w:fldChar w:fldCharType="separate"/>
            </w:r>
            <w:r w:rsidR="00753EB2" w:rsidRPr="00A2050E">
              <w:rPr>
                <w:lang w:val="en-CA"/>
              </w:rPr>
              <w:t>SUZANNE GAGNÉ, J.A.</w:t>
            </w:r>
            <w:r w:rsidRPr="00A2050E">
              <w:rPr>
                <w:rFonts w:cs="Arial"/>
                <w:caps/>
                <w:szCs w:val="24"/>
                <w:lang w:val="en-CA"/>
              </w:rPr>
              <w:fldChar w:fldCharType="end"/>
            </w:r>
          </w:p>
        </w:tc>
      </w:tr>
    </w:tbl>
    <w:p w14:paraId="06E52407" w14:textId="77777777" w:rsidR="00887EEB" w:rsidRPr="00A2050E" w:rsidRDefault="00887EEB" w:rsidP="00887EEB">
      <w:pPr>
        <w:keepNext/>
        <w:spacing w:line="240" w:lineRule="auto"/>
        <w:jc w:val="both"/>
        <w:rPr>
          <w:rFonts w:cs="Arial"/>
          <w:szCs w:val="24"/>
          <w:lang w:val="en-CA"/>
        </w:rPr>
      </w:pPr>
    </w:p>
    <w:p w14:paraId="1FA3C662" w14:textId="77777777" w:rsidR="00887EEB" w:rsidRPr="00A2050E" w:rsidRDefault="00887EEB" w:rsidP="00887EEB">
      <w:pPr>
        <w:keepNext/>
        <w:spacing w:line="240" w:lineRule="auto"/>
        <w:jc w:val="both"/>
        <w:rPr>
          <w:rFonts w:cs="Arial"/>
          <w:szCs w:val="24"/>
          <w:lang w:val="en-CA"/>
        </w:rPr>
      </w:pPr>
    </w:p>
    <w:tbl>
      <w:tblPr>
        <w:tblW w:w="9360" w:type="dxa"/>
        <w:tblLayout w:type="fixed"/>
        <w:tblCellMar>
          <w:left w:w="70" w:type="dxa"/>
          <w:right w:w="70" w:type="dxa"/>
        </w:tblCellMar>
        <w:tblLook w:val="0000" w:firstRow="0" w:lastRow="0" w:firstColumn="0" w:lastColumn="0" w:noHBand="0" w:noVBand="0"/>
      </w:tblPr>
      <w:tblGrid>
        <w:gridCol w:w="4500"/>
        <w:gridCol w:w="4860"/>
      </w:tblGrid>
      <w:tr w:rsidR="00345703" w:rsidRPr="007634C1" w14:paraId="15E242CC" w14:textId="77777777" w:rsidTr="00FB3369">
        <w:tc>
          <w:tcPr>
            <w:tcW w:w="4500" w:type="dxa"/>
          </w:tcPr>
          <w:p w14:paraId="68FE6D06" w14:textId="77777777" w:rsidR="00887EEB" w:rsidRPr="00A2050E" w:rsidRDefault="00887EEB" w:rsidP="00887EEB">
            <w:pPr>
              <w:keepNext/>
              <w:spacing w:line="240" w:lineRule="auto"/>
              <w:jc w:val="both"/>
              <w:rPr>
                <w:rFonts w:cs="Arial"/>
                <w:szCs w:val="24"/>
                <w:lang w:val="en-CA"/>
              </w:rPr>
            </w:pPr>
          </w:p>
        </w:tc>
        <w:tc>
          <w:tcPr>
            <w:tcW w:w="4860" w:type="dxa"/>
            <w:tcBorders>
              <w:top w:val="single" w:sz="4" w:space="0" w:color="auto"/>
            </w:tcBorders>
          </w:tcPr>
          <w:p w14:paraId="03A96DB4" w14:textId="77777777" w:rsidR="00887EEB" w:rsidRPr="00B64C1B" w:rsidRDefault="00E6418F" w:rsidP="00887EEB">
            <w:pPr>
              <w:keepNext/>
              <w:spacing w:line="240" w:lineRule="auto"/>
              <w:rPr>
                <w:rFonts w:cs="Arial"/>
                <w:caps/>
                <w:szCs w:val="24"/>
              </w:rPr>
            </w:pPr>
            <w:r w:rsidRPr="00A2050E">
              <w:rPr>
                <w:rFonts w:cs="Arial"/>
                <w:caps/>
                <w:szCs w:val="24"/>
                <w:lang w:val="en-CA"/>
              </w:rPr>
              <w:fldChar w:fldCharType="begin"/>
            </w:r>
            <w:r w:rsidRPr="00A2050E">
              <w:rPr>
                <w:rFonts w:cs="Arial"/>
                <w:caps/>
                <w:szCs w:val="24"/>
              </w:rPr>
              <w:instrText xml:space="preserve"> REF NomJuge3 \h  \* MERGEFORMAT </w:instrText>
            </w:r>
            <w:r w:rsidRPr="00A2050E">
              <w:rPr>
                <w:rFonts w:cs="Arial"/>
                <w:caps/>
                <w:szCs w:val="24"/>
                <w:lang w:val="en-CA"/>
              </w:rPr>
            </w:r>
            <w:r w:rsidRPr="00A2050E">
              <w:rPr>
                <w:rFonts w:cs="Arial"/>
                <w:caps/>
                <w:szCs w:val="24"/>
                <w:lang w:val="en-CA"/>
              </w:rPr>
              <w:fldChar w:fldCharType="separate"/>
            </w:r>
            <w:r w:rsidR="00753EB2" w:rsidRPr="00A2050E">
              <w:t>LORI RENÉE WEITZMAN, J.A.</w:t>
            </w:r>
            <w:r w:rsidRPr="00A2050E">
              <w:rPr>
                <w:rFonts w:cs="Arial"/>
                <w:caps/>
                <w:szCs w:val="24"/>
                <w:lang w:val="en-CA"/>
              </w:rPr>
              <w:fldChar w:fldCharType="end"/>
            </w:r>
          </w:p>
        </w:tc>
      </w:tr>
    </w:tbl>
    <w:p w14:paraId="24294CA0" w14:textId="77777777" w:rsidR="005B4976" w:rsidRPr="00B64C1B" w:rsidRDefault="005B4976" w:rsidP="008C6FF1">
      <w:pPr>
        <w:pStyle w:val="Paragraphe"/>
        <w:numPr>
          <w:ilvl w:val="0"/>
          <w:numId w:val="0"/>
        </w:numPr>
      </w:pPr>
    </w:p>
    <w:sectPr w:rsidR="005B4976" w:rsidRPr="00B64C1B" w:rsidSect="00A2697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2" w:h="15842" w:code="1"/>
      <w:pgMar w:top="720" w:right="1352" w:bottom="1296" w:left="1620" w:header="1440" w:footer="792" w:gutter="0"/>
      <w:pgNumType w:start="1"/>
      <w:cols w:space="720"/>
      <w:formProt w:val="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BC"/>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1802" w14:textId="77777777" w:rsidR="008D04C1" w:rsidRDefault="008D04C1">
      <w:pPr>
        <w:spacing w:line="240" w:lineRule="auto"/>
      </w:pPr>
      <w:r>
        <w:separator/>
      </w:r>
    </w:p>
  </w:endnote>
  <w:endnote w:type="continuationSeparator" w:id="0">
    <w:p w14:paraId="16162D1F" w14:textId="77777777" w:rsidR="008D04C1" w:rsidRDefault="008D04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B419" w14:textId="77777777" w:rsidR="00241A86" w:rsidRDefault="00241A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B71A" w14:textId="77777777" w:rsidR="00241A86" w:rsidRDefault="00241A8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1ED3" w14:textId="77777777" w:rsidR="00241A86" w:rsidRDefault="00241A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40B3" w14:textId="77777777" w:rsidR="008D04C1" w:rsidRDefault="008D04C1">
      <w:r>
        <w:separator/>
      </w:r>
    </w:p>
  </w:footnote>
  <w:footnote w:type="continuationSeparator" w:id="0">
    <w:p w14:paraId="1611C8D8" w14:textId="77777777" w:rsidR="008D04C1" w:rsidRDefault="008D04C1">
      <w:r>
        <w:continuationSeparator/>
      </w:r>
    </w:p>
    <w:p w14:paraId="4352B453" w14:textId="77777777" w:rsidR="008D04C1" w:rsidRDefault="008D04C1"/>
    <w:p w14:paraId="56DCB449" w14:textId="77777777" w:rsidR="008D04C1" w:rsidRDefault="008D04C1"/>
  </w:footnote>
  <w:footnote w:type="continuationNotice" w:id="1">
    <w:p w14:paraId="6B2A6E1E" w14:textId="77777777" w:rsidR="008D04C1" w:rsidRDefault="008D04C1">
      <w:pPr>
        <w:spacing w:line="240" w:lineRule="auto"/>
      </w:pPr>
    </w:p>
  </w:footnote>
  <w:footnote w:id="2">
    <w:p w14:paraId="710BF013" w14:textId="77777777" w:rsidR="008E0C24" w:rsidRPr="0048320B" w:rsidRDefault="00E6418F" w:rsidP="008E0C24">
      <w:pPr>
        <w:pStyle w:val="Notedebasdepage"/>
        <w:rPr>
          <w:lang w:val="en-CA"/>
        </w:rPr>
      </w:pPr>
      <w:r w:rsidRPr="0048320B">
        <w:rPr>
          <w:rStyle w:val="Appelnotedebasdep"/>
          <w:lang w:val="en-CA"/>
        </w:rPr>
        <w:footnoteRef/>
      </w:r>
      <w:r w:rsidRPr="0048320B">
        <w:rPr>
          <w:lang w:val="en-CA"/>
        </w:rPr>
        <w:tab/>
      </w:r>
      <w:r w:rsidR="00B36FB8">
        <w:rPr>
          <w:i/>
          <w:iCs/>
          <w:lang w:val="en-CA"/>
        </w:rPr>
        <w:t>C.H.</w:t>
      </w:r>
      <w:r w:rsidR="00B36FB8" w:rsidRPr="0048320B">
        <w:rPr>
          <w:i/>
          <w:iCs/>
          <w:lang w:val="en-CA"/>
        </w:rPr>
        <w:t xml:space="preserve"> </w:t>
      </w:r>
      <w:r w:rsidRPr="0048320B">
        <w:rPr>
          <w:i/>
          <w:iCs/>
          <w:lang w:val="en-CA"/>
        </w:rPr>
        <w:t xml:space="preserve">v. </w:t>
      </w:r>
      <w:r w:rsidR="00B36FB8">
        <w:rPr>
          <w:i/>
          <w:iCs/>
          <w:lang w:val="en-CA"/>
        </w:rPr>
        <w:t>D.E.</w:t>
      </w:r>
      <w:r w:rsidRPr="0048320B">
        <w:rPr>
          <w:lang w:val="en-CA"/>
        </w:rPr>
        <w:t>, Beauharnois Sup. Ct., No. 760-12-026122-196, June 20, 2023 (corrected on July 11, 2023), Perreault, J.S.C. [Judgment under appeal].</w:t>
      </w:r>
    </w:p>
  </w:footnote>
  <w:footnote w:id="3">
    <w:p w14:paraId="7205F70B" w14:textId="77777777" w:rsidR="008E0C24" w:rsidRPr="0048320B" w:rsidRDefault="00E6418F" w:rsidP="008E0C24">
      <w:pPr>
        <w:pStyle w:val="Notedebasdepage"/>
        <w:rPr>
          <w:lang w:val="en-CA"/>
        </w:rPr>
      </w:pPr>
      <w:r w:rsidRPr="0048320B">
        <w:rPr>
          <w:rStyle w:val="Appelnotedebasdep"/>
          <w:lang w:val="en-CA"/>
        </w:rPr>
        <w:footnoteRef/>
      </w:r>
      <w:r w:rsidRPr="0048320B">
        <w:rPr>
          <w:lang w:val="en-CA"/>
        </w:rPr>
        <w:t xml:space="preserve"> </w:t>
      </w:r>
      <w:r w:rsidRPr="0048320B">
        <w:rPr>
          <w:lang w:val="en-CA"/>
        </w:rPr>
        <w:tab/>
        <w:t>Judgment under appeal, para. 80.</w:t>
      </w:r>
    </w:p>
  </w:footnote>
  <w:footnote w:id="4">
    <w:p w14:paraId="69E361CC" w14:textId="77777777" w:rsidR="008E0C24" w:rsidRPr="0048320B" w:rsidRDefault="00E6418F" w:rsidP="008E0C24">
      <w:pPr>
        <w:pStyle w:val="Notedebasdepage"/>
        <w:rPr>
          <w:lang w:val="en-CA"/>
        </w:rPr>
      </w:pPr>
      <w:r w:rsidRPr="0048320B">
        <w:rPr>
          <w:rStyle w:val="Appelnotedebasdep"/>
          <w:lang w:val="en-CA"/>
        </w:rPr>
        <w:footnoteRef/>
      </w:r>
      <w:r w:rsidRPr="0048320B">
        <w:rPr>
          <w:lang w:val="en-CA"/>
        </w:rPr>
        <w:tab/>
        <w:t>The amount of $54,678 covers a period of 47 months (from March 2019 to February 2023).</w:t>
      </w:r>
    </w:p>
  </w:footnote>
  <w:footnote w:id="5">
    <w:p w14:paraId="532BB23D" w14:textId="77777777" w:rsidR="008E0C24" w:rsidRPr="00B64C1B" w:rsidRDefault="00E6418F" w:rsidP="008E0C24">
      <w:pPr>
        <w:pStyle w:val="Notedebasdepage"/>
      </w:pPr>
      <w:r w:rsidRPr="0048320B">
        <w:rPr>
          <w:rStyle w:val="Appelnotedebasdep"/>
          <w:lang w:val="en-CA"/>
        </w:rPr>
        <w:footnoteRef/>
      </w:r>
      <w:r w:rsidRPr="00B64C1B">
        <w:tab/>
      </w:r>
      <w:r w:rsidRPr="00B64C1B">
        <w:rPr>
          <w:i/>
          <w:iCs/>
        </w:rPr>
        <w:t>Droit de la famille — 163076</w:t>
      </w:r>
      <w:r w:rsidRPr="00B64C1B">
        <w:t>, 2016 QCCA 2040, para. 39.</w:t>
      </w:r>
    </w:p>
  </w:footnote>
  <w:footnote w:id="6">
    <w:p w14:paraId="4E61B3EA" w14:textId="77777777" w:rsidR="008E0C24" w:rsidRPr="00B64C1B" w:rsidRDefault="00E6418F" w:rsidP="008E0C24">
      <w:pPr>
        <w:pStyle w:val="Notedebasdepage"/>
      </w:pPr>
      <w:r w:rsidRPr="0048320B">
        <w:rPr>
          <w:rStyle w:val="Appelnotedebasdep"/>
          <w:lang w:val="en-CA"/>
        </w:rPr>
        <w:footnoteRef/>
      </w:r>
      <w:r w:rsidRPr="00B64C1B">
        <w:tab/>
        <w:t xml:space="preserve">Art. 1016 </w:t>
      </w:r>
      <w:r w:rsidRPr="00B64C1B">
        <w:rPr>
          <w:i/>
          <w:iCs/>
        </w:rPr>
        <w:t>C.C.Q.</w:t>
      </w:r>
    </w:p>
  </w:footnote>
  <w:footnote w:id="7">
    <w:p w14:paraId="153FE51D" w14:textId="77777777" w:rsidR="008E0C24" w:rsidRPr="00B64C1B" w:rsidRDefault="00E6418F" w:rsidP="008E0C24">
      <w:pPr>
        <w:pStyle w:val="Notedebasdepage"/>
      </w:pPr>
      <w:r w:rsidRPr="0048320B">
        <w:rPr>
          <w:rStyle w:val="Appelnotedebasdep"/>
          <w:lang w:val="en-CA"/>
        </w:rPr>
        <w:footnoteRef/>
      </w:r>
      <w:r w:rsidRPr="00B64C1B">
        <w:tab/>
        <w:t xml:space="preserve">Art. 1019 </w:t>
      </w:r>
      <w:r w:rsidRPr="00B64C1B">
        <w:rPr>
          <w:i/>
          <w:iCs/>
        </w:rPr>
        <w:t>C.C.Q.</w:t>
      </w:r>
      <w:r w:rsidRPr="00B64C1B">
        <w:t xml:space="preserve"> See also: </w:t>
      </w:r>
      <w:r w:rsidRPr="00B64C1B">
        <w:rPr>
          <w:i/>
          <w:iCs/>
        </w:rPr>
        <w:t>Droit de la famille — 20471</w:t>
      </w:r>
      <w:r w:rsidRPr="00B64C1B">
        <w:t xml:space="preserve">, </w:t>
      </w:r>
      <w:r w:rsidRPr="00B64C1B">
        <w:rPr>
          <w:rStyle w:val="Hyperlien"/>
          <w:color w:val="auto"/>
          <w:u w:val="none"/>
        </w:rPr>
        <w:t>2020 QCCA 478</w:t>
      </w:r>
      <w:r w:rsidRPr="00B64C1B">
        <w:t xml:space="preserve">, paras. 26-30; </w:t>
      </w:r>
      <w:r w:rsidRPr="00B64C1B">
        <w:rPr>
          <w:i/>
          <w:iCs/>
        </w:rPr>
        <w:t>Droit de la famille — 121389</w:t>
      </w:r>
      <w:r w:rsidRPr="00B64C1B">
        <w:t>, 2012 QCCA 1071, paras. 7-8.</w:t>
      </w:r>
    </w:p>
  </w:footnote>
  <w:footnote w:id="8">
    <w:p w14:paraId="4F45397D" w14:textId="77777777" w:rsidR="00587CB7" w:rsidRPr="0048320B" w:rsidRDefault="00E6418F">
      <w:pPr>
        <w:pStyle w:val="Notedebasdepage"/>
        <w:rPr>
          <w:lang w:val="en-CA"/>
        </w:rPr>
      </w:pPr>
      <w:r w:rsidRPr="0048320B">
        <w:rPr>
          <w:rStyle w:val="Appelnotedebasdep"/>
          <w:lang w:val="en-CA"/>
        </w:rPr>
        <w:footnoteRef/>
      </w:r>
      <w:r w:rsidRPr="00B64C1B">
        <w:t xml:space="preserve"> </w:t>
      </w:r>
      <w:r w:rsidRPr="00B64C1B">
        <w:tab/>
      </w:r>
      <w:r w:rsidRPr="00B64C1B">
        <w:rPr>
          <w:i/>
          <w:iCs/>
        </w:rPr>
        <w:t>Droit de la famille — 091541</w:t>
      </w:r>
      <w:r w:rsidRPr="00B64C1B">
        <w:t xml:space="preserve">, 2009 QCCA 1268, para. </w:t>
      </w:r>
      <w:r w:rsidRPr="0048320B">
        <w:rPr>
          <w:lang w:val="en-CA"/>
        </w:rPr>
        <w:t>60.</w:t>
      </w:r>
    </w:p>
  </w:footnote>
  <w:footnote w:id="9">
    <w:p w14:paraId="2DBB53D7" w14:textId="77777777" w:rsidR="008E0C24" w:rsidRPr="0048320B" w:rsidRDefault="00E6418F" w:rsidP="008E0C24">
      <w:pPr>
        <w:pStyle w:val="Notedebasdepage"/>
        <w:rPr>
          <w:lang w:val="en-CA"/>
        </w:rPr>
      </w:pPr>
      <w:r w:rsidRPr="0048320B">
        <w:rPr>
          <w:rStyle w:val="Appelnotedebasdep"/>
          <w:lang w:val="en-CA"/>
        </w:rPr>
        <w:footnoteRef/>
      </w:r>
      <w:r w:rsidRPr="0048320B">
        <w:rPr>
          <w:lang w:val="en-CA"/>
        </w:rPr>
        <w:tab/>
        <w:t xml:space="preserve">Mr. </w:t>
      </w:r>
      <w:r w:rsidR="00B36FB8" w:rsidRPr="0048320B">
        <w:rPr>
          <w:lang w:val="en-CA"/>
        </w:rPr>
        <w:t>E</w:t>
      </w:r>
      <w:r w:rsidR="00B36FB8">
        <w:rPr>
          <w:lang w:val="en-CA"/>
        </w:rPr>
        <w:t>.</w:t>
      </w:r>
      <w:r w:rsidR="00B36FB8" w:rsidRPr="0048320B">
        <w:rPr>
          <w:lang w:val="en-CA"/>
        </w:rPr>
        <w:t xml:space="preserve"> </w:t>
      </w:r>
      <w:r w:rsidRPr="0048320B">
        <w:rPr>
          <w:lang w:val="en-CA"/>
        </w:rPr>
        <w:t>essentially relies on exhibit D-2F, Home Market Assessment (per realtors: May 13, 2020 and July 30, 2021) and Municipal Evaluation.</w:t>
      </w:r>
    </w:p>
  </w:footnote>
  <w:footnote w:id="10">
    <w:p w14:paraId="068C3A5F" w14:textId="77777777" w:rsidR="008E0C24" w:rsidRPr="0048320B" w:rsidRDefault="00E6418F" w:rsidP="008E0C24">
      <w:pPr>
        <w:pStyle w:val="Notedebasdepage"/>
        <w:rPr>
          <w:lang w:val="en-CA"/>
        </w:rPr>
      </w:pPr>
      <w:r w:rsidRPr="0048320B">
        <w:rPr>
          <w:rStyle w:val="Appelnotedebasdep"/>
          <w:lang w:val="en-CA"/>
        </w:rPr>
        <w:footnoteRef/>
      </w:r>
      <w:r w:rsidRPr="0048320B">
        <w:rPr>
          <w:lang w:val="en-CA"/>
        </w:rPr>
        <w:tab/>
        <w:t xml:space="preserve">Section 6 of that agreement states: </w:t>
      </w:r>
      <w:r w:rsidR="007634C1" w:rsidRPr="0048320B">
        <w:rPr>
          <w:lang w:val="en-CA"/>
        </w:rPr>
        <w:t>“</w:t>
      </w:r>
      <w:r w:rsidRPr="0048320B">
        <w:rPr>
          <w:lang w:val="en-CA"/>
        </w:rPr>
        <w:t xml:space="preserve">6. With regards to the former family residence, the parties have however agreed that the joint personal line of credit, used by the parties for renovations and totalling </w:t>
      </w:r>
      <w:r w:rsidRPr="0048320B">
        <w:rPr>
          <w:b/>
          <w:bCs/>
          <w:lang w:val="en-CA"/>
        </w:rPr>
        <w:t>$ 60 000.00</w:t>
      </w:r>
      <w:r w:rsidRPr="0048320B">
        <w:rPr>
          <w:lang w:val="en-CA"/>
        </w:rPr>
        <w:t xml:space="preserve"> be equally partitioned and taken into account in the calculation of the net value of the said property, in all cases</w:t>
      </w:r>
      <w:r w:rsidR="007634C1" w:rsidRPr="0048320B">
        <w:rPr>
          <w:lang w:val="en-CA"/>
        </w:rPr>
        <w:t>”</w:t>
      </w:r>
      <w:r w:rsidRPr="0048320B">
        <w:rPr>
          <w:lang w:val="en-CA"/>
        </w:rPr>
        <w:t xml:space="preserve"> [Bold in the original].</w:t>
      </w:r>
    </w:p>
  </w:footnote>
  <w:footnote w:id="11">
    <w:p w14:paraId="4CA80B21" w14:textId="77777777" w:rsidR="008E0C24" w:rsidRPr="0048320B" w:rsidRDefault="00E6418F" w:rsidP="008E0C24">
      <w:pPr>
        <w:pStyle w:val="Notedebasdepage"/>
        <w:rPr>
          <w:lang w:val="en-CA"/>
        </w:rPr>
      </w:pPr>
      <w:r w:rsidRPr="0048320B">
        <w:rPr>
          <w:rStyle w:val="Appelnotedebasdep"/>
          <w:lang w:val="en-CA"/>
        </w:rPr>
        <w:footnoteRef/>
      </w:r>
      <w:r w:rsidRPr="00B64C1B">
        <w:tab/>
      </w:r>
      <w:r w:rsidRPr="00B64C1B">
        <w:rPr>
          <w:i/>
          <w:iCs/>
        </w:rPr>
        <w:t>Droit de la famille — 191077</w:t>
      </w:r>
      <w:r w:rsidRPr="00B64C1B">
        <w:t xml:space="preserve">, 2019 QCCA 1003, para. </w:t>
      </w:r>
      <w:r w:rsidRPr="0048320B">
        <w:rPr>
          <w:lang w:val="en-CA"/>
        </w:rPr>
        <w:t>11.</w:t>
      </w:r>
    </w:p>
  </w:footnote>
  <w:footnote w:id="12">
    <w:p w14:paraId="65BFC8CD" w14:textId="77777777" w:rsidR="008E0C24" w:rsidRDefault="00E6418F" w:rsidP="008E0C24">
      <w:pPr>
        <w:pStyle w:val="Notedebasdepage"/>
      </w:pPr>
      <w:r w:rsidRPr="0048320B">
        <w:rPr>
          <w:rStyle w:val="Appelnotedebasdep"/>
          <w:lang w:val="en-CA"/>
        </w:rPr>
        <w:footnoteRef/>
      </w:r>
      <w:r w:rsidRPr="0048320B">
        <w:rPr>
          <w:lang w:val="en-CA"/>
        </w:rPr>
        <w:t xml:space="preserve"> </w:t>
      </w:r>
      <w:r w:rsidRPr="0048320B">
        <w:rPr>
          <w:lang w:val="en-CA"/>
        </w:rPr>
        <w:tab/>
        <w:t>Judgment under appeal, paras. 100-101.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B1DB" w14:textId="77777777" w:rsidR="00241A86" w:rsidRDefault="00241A8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0" w:type="dxa"/>
      <w:tblCellMar>
        <w:left w:w="28" w:type="dxa"/>
      </w:tblCellMar>
      <w:tblLook w:val="04A0" w:firstRow="1" w:lastRow="0" w:firstColumn="1" w:lastColumn="0" w:noHBand="0" w:noVBand="1"/>
    </w:tblPr>
    <w:tblGrid>
      <w:gridCol w:w="7383"/>
      <w:gridCol w:w="2157"/>
    </w:tblGrid>
    <w:tr w:rsidR="00345703" w14:paraId="1F7B9F91" w14:textId="77777777" w:rsidTr="00F92FD9">
      <w:tc>
        <w:tcPr>
          <w:tcW w:w="7383" w:type="dxa"/>
          <w:shd w:val="clear" w:color="auto" w:fill="auto"/>
        </w:tcPr>
        <w:p w14:paraId="14F437F6" w14:textId="77777777" w:rsidR="004D106E" w:rsidRPr="00F92FD9" w:rsidRDefault="00E6418F" w:rsidP="00F92FD9">
          <w:pPr>
            <w:tabs>
              <w:tab w:val="left" w:pos="442"/>
              <w:tab w:val="center" w:pos="4709"/>
              <w:tab w:val="right" w:pos="9360"/>
            </w:tabs>
            <w:ind w:right="524"/>
            <w:rPr>
              <w:rFonts w:eastAsia="Calibri" w:cs="Arial"/>
              <w:szCs w:val="24"/>
            </w:rPr>
          </w:pPr>
          <w:bookmarkStart w:id="23" w:name="EntDossier"/>
          <w:r w:rsidRPr="00F92FD9">
            <w:rPr>
              <w:rFonts w:eastAsia="Calibri" w:cs="Arial"/>
              <w:szCs w:val="24"/>
              <w:lang w:val="en-CA"/>
            </w:rPr>
            <w:t>500-09-030643-233</w:t>
          </w:r>
          <w:bookmarkEnd w:id="23"/>
        </w:p>
      </w:tc>
      <w:tc>
        <w:tcPr>
          <w:tcW w:w="2157" w:type="dxa"/>
          <w:shd w:val="clear" w:color="auto" w:fill="auto"/>
        </w:tcPr>
        <w:p w14:paraId="78138253" w14:textId="77777777" w:rsidR="004D106E" w:rsidRPr="00F92FD9" w:rsidRDefault="00E6418F" w:rsidP="00F92FD9">
          <w:pPr>
            <w:tabs>
              <w:tab w:val="left" w:pos="442"/>
              <w:tab w:val="center" w:pos="4709"/>
              <w:tab w:val="right" w:pos="9360"/>
            </w:tabs>
            <w:ind w:right="159"/>
            <w:jc w:val="right"/>
            <w:rPr>
              <w:rFonts w:eastAsia="Calibri" w:cs="Arial"/>
              <w:szCs w:val="24"/>
            </w:rPr>
          </w:pPr>
          <w:r w:rsidRPr="00F92FD9">
            <w:rPr>
              <w:rFonts w:eastAsia="Calibri" w:cs="Arial"/>
              <w:szCs w:val="24"/>
              <w:lang w:val="en-CA"/>
            </w:rPr>
            <w:tab/>
            <w:t xml:space="preserve">PAGE: </w:t>
          </w:r>
          <w:r w:rsidRPr="00F92FD9">
            <w:rPr>
              <w:rFonts w:eastAsia="Calibri" w:cs="Arial"/>
              <w:szCs w:val="24"/>
            </w:rPr>
            <w:fldChar w:fldCharType="begin"/>
          </w:r>
          <w:r w:rsidRPr="00F92FD9">
            <w:rPr>
              <w:rFonts w:eastAsia="Calibri" w:cs="Arial"/>
              <w:szCs w:val="24"/>
            </w:rPr>
            <w:instrText xml:space="preserve"> PAGE </w:instrText>
          </w:r>
          <w:r w:rsidRPr="00F92FD9">
            <w:rPr>
              <w:rFonts w:eastAsia="Calibri" w:cs="Arial"/>
              <w:szCs w:val="24"/>
            </w:rPr>
            <w:fldChar w:fldCharType="separate"/>
          </w:r>
          <w:r w:rsidR="00BC14B8" w:rsidRPr="00F92FD9">
            <w:rPr>
              <w:rFonts w:eastAsia="Calibri" w:cs="Arial"/>
              <w:noProof/>
              <w:szCs w:val="24"/>
            </w:rPr>
            <w:t>4</w:t>
          </w:r>
          <w:r w:rsidRPr="00F92FD9">
            <w:rPr>
              <w:rFonts w:eastAsia="Calibri" w:cs="Arial"/>
              <w:szCs w:val="24"/>
            </w:rPr>
            <w:fldChar w:fldCharType="end"/>
          </w:r>
        </w:p>
      </w:tc>
    </w:tr>
  </w:tbl>
  <w:p w14:paraId="64A5496D" w14:textId="77777777" w:rsidR="004D106E" w:rsidRDefault="00E6418F" w:rsidP="00CD58FC">
    <w:pPr>
      <w:tabs>
        <w:tab w:val="left" w:pos="442"/>
        <w:tab w:val="center" w:pos="4709"/>
        <w:tab w:val="right" w:pos="9360"/>
      </w:tabs>
      <w:ind w:right="524"/>
    </w:pPr>
    <w:r>
      <w:rPr>
        <w:lang w:val="en-CA"/>
      </w:rPr>
      <w:tab/>
    </w:r>
  </w:p>
  <w:p w14:paraId="33FECCF0" w14:textId="77777777" w:rsidR="004D106E" w:rsidRDefault="004D106E">
    <w:pPr>
      <w:tabs>
        <w:tab w:val="center" w:pos="4709"/>
        <w:tab w:val="right" w:pos="9090"/>
      </w:tabs>
      <w:ind w:right="524"/>
    </w:pPr>
  </w:p>
  <w:p w14:paraId="5108F412" w14:textId="77777777" w:rsidR="004D106E" w:rsidRDefault="004D10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6C73" w14:textId="77777777" w:rsidR="00241A86" w:rsidRDefault="00241A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BB52DE"/>
    <w:multiLevelType w:val="multilevel"/>
    <w:tmpl w:val="5C103B16"/>
    <w:lvl w:ilvl="0">
      <w:start w:val="1"/>
      <w:numFmt w:val="decimal"/>
      <w:pStyle w:val="Paragraphe"/>
      <w:lvlText w:val="[%1]"/>
      <w:lvlJc w:val="left"/>
      <w:pPr>
        <w:tabs>
          <w:tab w:val="num" w:pos="990"/>
        </w:tabs>
        <w:ind w:left="270" w:firstLine="0"/>
      </w:pPr>
      <w:rPr>
        <w:rFonts w:cs="Times New Roman"/>
        <w:b w:val="0"/>
        <w:bCs w:val="0"/>
        <w:i w:val="0"/>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55DB6F50"/>
    <w:multiLevelType w:val="hybridMultilevel"/>
    <w:tmpl w:val="92DEE8E0"/>
    <w:lvl w:ilvl="0" w:tplc="3C26EBAC">
      <w:start w:val="1"/>
      <w:numFmt w:val="upperLetter"/>
      <w:lvlText w:val="%1."/>
      <w:lvlJc w:val="left"/>
      <w:pPr>
        <w:ind w:left="1080" w:hanging="360"/>
      </w:pPr>
      <w:rPr>
        <w:rFonts w:hint="default"/>
      </w:rPr>
    </w:lvl>
    <w:lvl w:ilvl="1" w:tplc="B81C8D22" w:tentative="1">
      <w:start w:val="1"/>
      <w:numFmt w:val="lowerLetter"/>
      <w:lvlText w:val="%2."/>
      <w:lvlJc w:val="left"/>
      <w:pPr>
        <w:ind w:left="1800" w:hanging="360"/>
      </w:pPr>
    </w:lvl>
    <w:lvl w:ilvl="2" w:tplc="BAF85AAE" w:tentative="1">
      <w:start w:val="1"/>
      <w:numFmt w:val="lowerRoman"/>
      <w:lvlText w:val="%3."/>
      <w:lvlJc w:val="right"/>
      <w:pPr>
        <w:ind w:left="2520" w:hanging="180"/>
      </w:pPr>
    </w:lvl>
    <w:lvl w:ilvl="3" w:tplc="4238BF20" w:tentative="1">
      <w:start w:val="1"/>
      <w:numFmt w:val="decimal"/>
      <w:lvlText w:val="%4."/>
      <w:lvlJc w:val="left"/>
      <w:pPr>
        <w:ind w:left="3240" w:hanging="360"/>
      </w:pPr>
    </w:lvl>
    <w:lvl w:ilvl="4" w:tplc="BC80127C" w:tentative="1">
      <w:start w:val="1"/>
      <w:numFmt w:val="lowerLetter"/>
      <w:lvlText w:val="%5."/>
      <w:lvlJc w:val="left"/>
      <w:pPr>
        <w:ind w:left="3960" w:hanging="360"/>
      </w:pPr>
    </w:lvl>
    <w:lvl w:ilvl="5" w:tplc="66AE8EC8" w:tentative="1">
      <w:start w:val="1"/>
      <w:numFmt w:val="lowerRoman"/>
      <w:lvlText w:val="%6."/>
      <w:lvlJc w:val="right"/>
      <w:pPr>
        <w:ind w:left="4680" w:hanging="180"/>
      </w:pPr>
    </w:lvl>
    <w:lvl w:ilvl="6" w:tplc="2CD2F3A8" w:tentative="1">
      <w:start w:val="1"/>
      <w:numFmt w:val="decimal"/>
      <w:lvlText w:val="%7."/>
      <w:lvlJc w:val="left"/>
      <w:pPr>
        <w:ind w:left="5400" w:hanging="360"/>
      </w:pPr>
    </w:lvl>
    <w:lvl w:ilvl="7" w:tplc="238041D8" w:tentative="1">
      <w:start w:val="1"/>
      <w:numFmt w:val="lowerLetter"/>
      <w:lvlText w:val="%8."/>
      <w:lvlJc w:val="left"/>
      <w:pPr>
        <w:ind w:left="6120" w:hanging="360"/>
      </w:pPr>
    </w:lvl>
    <w:lvl w:ilvl="8" w:tplc="816C6E04" w:tentative="1">
      <w:start w:val="1"/>
      <w:numFmt w:val="lowerRoman"/>
      <w:lvlText w:val="%9."/>
      <w:lvlJc w:val="right"/>
      <w:pPr>
        <w:ind w:left="6840" w:hanging="180"/>
      </w:pPr>
    </w:lvl>
  </w:abstractNum>
  <w:abstractNum w:abstractNumId="13"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78C44006"/>
    <w:multiLevelType w:val="hybridMultilevel"/>
    <w:tmpl w:val="D88E6BEA"/>
    <w:lvl w:ilvl="0" w:tplc="040A6A70">
      <w:start w:val="1"/>
      <w:numFmt w:val="bullet"/>
      <w:lvlText w:val=""/>
      <w:lvlJc w:val="left"/>
      <w:pPr>
        <w:ind w:left="720" w:hanging="360"/>
      </w:pPr>
      <w:rPr>
        <w:rFonts w:ascii="Symbol" w:hAnsi="Symbol" w:hint="default"/>
      </w:rPr>
    </w:lvl>
    <w:lvl w:ilvl="1" w:tplc="BF628CB6" w:tentative="1">
      <w:start w:val="1"/>
      <w:numFmt w:val="lowerLetter"/>
      <w:lvlText w:val="%2."/>
      <w:lvlJc w:val="left"/>
      <w:pPr>
        <w:ind w:left="1440" w:hanging="360"/>
      </w:pPr>
    </w:lvl>
    <w:lvl w:ilvl="2" w:tplc="A4CEEA32" w:tentative="1">
      <w:start w:val="1"/>
      <w:numFmt w:val="lowerRoman"/>
      <w:lvlText w:val="%3."/>
      <w:lvlJc w:val="right"/>
      <w:pPr>
        <w:ind w:left="2160" w:hanging="180"/>
      </w:pPr>
    </w:lvl>
    <w:lvl w:ilvl="3" w:tplc="301062EA" w:tentative="1">
      <w:start w:val="1"/>
      <w:numFmt w:val="decimal"/>
      <w:lvlText w:val="%4."/>
      <w:lvlJc w:val="left"/>
      <w:pPr>
        <w:ind w:left="2880" w:hanging="360"/>
      </w:pPr>
    </w:lvl>
    <w:lvl w:ilvl="4" w:tplc="08920250" w:tentative="1">
      <w:start w:val="1"/>
      <w:numFmt w:val="lowerLetter"/>
      <w:lvlText w:val="%5."/>
      <w:lvlJc w:val="left"/>
      <w:pPr>
        <w:ind w:left="3600" w:hanging="360"/>
      </w:pPr>
    </w:lvl>
    <w:lvl w:ilvl="5" w:tplc="F9C0D68A" w:tentative="1">
      <w:start w:val="1"/>
      <w:numFmt w:val="lowerRoman"/>
      <w:lvlText w:val="%6."/>
      <w:lvlJc w:val="right"/>
      <w:pPr>
        <w:ind w:left="4320" w:hanging="180"/>
      </w:pPr>
    </w:lvl>
    <w:lvl w:ilvl="6" w:tplc="F84AE4E2" w:tentative="1">
      <w:start w:val="1"/>
      <w:numFmt w:val="decimal"/>
      <w:lvlText w:val="%7."/>
      <w:lvlJc w:val="left"/>
      <w:pPr>
        <w:ind w:left="5040" w:hanging="360"/>
      </w:pPr>
    </w:lvl>
    <w:lvl w:ilvl="7" w:tplc="669844E6" w:tentative="1">
      <w:start w:val="1"/>
      <w:numFmt w:val="lowerLetter"/>
      <w:lvlText w:val="%8."/>
      <w:lvlJc w:val="left"/>
      <w:pPr>
        <w:ind w:left="5760" w:hanging="360"/>
      </w:pPr>
    </w:lvl>
    <w:lvl w:ilvl="8" w:tplc="A7E68E24" w:tentative="1">
      <w:start w:val="1"/>
      <w:numFmt w:val="lowerRoman"/>
      <w:lvlText w:val="%9."/>
      <w:lvlJc w:val="right"/>
      <w:pPr>
        <w:ind w:left="6480" w:hanging="180"/>
      </w:pPr>
    </w:lvl>
  </w:abstractNum>
  <w:num w:numId="1" w16cid:durableId="270823988">
    <w:abstractNumId w:val="13"/>
  </w:num>
  <w:num w:numId="2" w16cid:durableId="65497494">
    <w:abstractNumId w:val="13"/>
  </w:num>
  <w:num w:numId="3" w16cid:durableId="1719358341">
    <w:abstractNumId w:val="13"/>
  </w:num>
  <w:num w:numId="4" w16cid:durableId="1810631325">
    <w:abstractNumId w:val="8"/>
  </w:num>
  <w:num w:numId="5" w16cid:durableId="1255822502">
    <w:abstractNumId w:val="3"/>
  </w:num>
  <w:num w:numId="6" w16cid:durableId="755785431">
    <w:abstractNumId w:val="2"/>
  </w:num>
  <w:num w:numId="7" w16cid:durableId="545798092">
    <w:abstractNumId w:val="1"/>
  </w:num>
  <w:num w:numId="8" w16cid:durableId="1220748132">
    <w:abstractNumId w:val="0"/>
  </w:num>
  <w:num w:numId="9" w16cid:durableId="1912619829">
    <w:abstractNumId w:val="9"/>
  </w:num>
  <w:num w:numId="10" w16cid:durableId="461386330">
    <w:abstractNumId w:val="7"/>
  </w:num>
  <w:num w:numId="11" w16cid:durableId="1607153491">
    <w:abstractNumId w:val="6"/>
  </w:num>
  <w:num w:numId="12" w16cid:durableId="399206982">
    <w:abstractNumId w:val="5"/>
  </w:num>
  <w:num w:numId="13" w16cid:durableId="1135756304">
    <w:abstractNumId w:val="4"/>
  </w:num>
  <w:num w:numId="14" w16cid:durableId="1341161437">
    <w:abstractNumId w:val="13"/>
  </w:num>
  <w:num w:numId="15" w16cid:durableId="432432392">
    <w:abstractNumId w:val="13"/>
  </w:num>
  <w:num w:numId="16" w16cid:durableId="627049018">
    <w:abstractNumId w:val="13"/>
  </w:num>
  <w:num w:numId="17" w16cid:durableId="717559115">
    <w:abstractNumId w:val="11"/>
  </w:num>
  <w:num w:numId="18" w16cid:durableId="2144302585">
    <w:abstractNumId w:val="10"/>
  </w:num>
  <w:num w:numId="19" w16cid:durableId="700400452">
    <w:abstractNumId w:val="14"/>
  </w:num>
  <w:num w:numId="20" w16cid:durableId="951521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3C6EEF3-9CEA-4830-818E-A69667679959}"/>
    <w:docVar w:name="dgnword-eventsink" w:val="818388032"/>
    <w:docVar w:name="inNBChoix" w:val="3"/>
    <w:docVar w:name="MotifJuge1" w:val="MOTIFS DE LA JUGE"/>
    <w:docVar w:name="MotifJuge2" w:val="MOTIFS DU JUGE"/>
    <w:docVar w:name="MotifJuge3" w:val="MOTIFS DU JUGE"/>
    <w:docVar w:name="NbrJugeSais" w:val="3"/>
    <w:docVar w:name="NomFamJuge1" w:val="ST-PIERRE"/>
    <w:docVar w:name="NomFamJuge2" w:val="SCHRAGER"/>
    <w:docVar w:name="NomFamJuge3" w:val="HEALY"/>
    <w:docVar w:name="NomFamJuge4" w:val="MAILHOT"/>
    <w:docVar w:name="NomFamJuge5" w:val="BAUDOUIN"/>
    <w:docVar w:name="QteJuge1" w:val=", J.C.A."/>
    <w:docVar w:name="QteJuge2" w:val=", J.C.A."/>
    <w:docVar w:name="QteJuge3" w:val=", J.C.A."/>
    <w:docVar w:name="stPremiereFois" w:val="Non"/>
  </w:docVars>
  <w:rsids>
    <w:rsidRoot w:val="004D37E3"/>
    <w:rsid w:val="00005741"/>
    <w:rsid w:val="000250C2"/>
    <w:rsid w:val="000308CD"/>
    <w:rsid w:val="00033ACA"/>
    <w:rsid w:val="000614D8"/>
    <w:rsid w:val="00075207"/>
    <w:rsid w:val="00080D1F"/>
    <w:rsid w:val="00082F0A"/>
    <w:rsid w:val="00084297"/>
    <w:rsid w:val="00090BAD"/>
    <w:rsid w:val="000949A6"/>
    <w:rsid w:val="00094DC3"/>
    <w:rsid w:val="000B054D"/>
    <w:rsid w:val="000B3F39"/>
    <w:rsid w:val="000B60BA"/>
    <w:rsid w:val="000C54D9"/>
    <w:rsid w:val="000D5528"/>
    <w:rsid w:val="000E258F"/>
    <w:rsid w:val="000E3231"/>
    <w:rsid w:val="000F74B3"/>
    <w:rsid w:val="001009B2"/>
    <w:rsid w:val="00103275"/>
    <w:rsid w:val="00104397"/>
    <w:rsid w:val="00106BD1"/>
    <w:rsid w:val="001279EC"/>
    <w:rsid w:val="00130BBC"/>
    <w:rsid w:val="00135014"/>
    <w:rsid w:val="00137252"/>
    <w:rsid w:val="001433C6"/>
    <w:rsid w:val="00146ED1"/>
    <w:rsid w:val="00151498"/>
    <w:rsid w:val="00156F49"/>
    <w:rsid w:val="00160465"/>
    <w:rsid w:val="00175437"/>
    <w:rsid w:val="00185E41"/>
    <w:rsid w:val="00186B64"/>
    <w:rsid w:val="00187994"/>
    <w:rsid w:val="001933CB"/>
    <w:rsid w:val="001A4667"/>
    <w:rsid w:val="001A7C22"/>
    <w:rsid w:val="001B1B44"/>
    <w:rsid w:val="001B55E5"/>
    <w:rsid w:val="001B6F3B"/>
    <w:rsid w:val="001C2EE1"/>
    <w:rsid w:val="001C6261"/>
    <w:rsid w:val="001D338B"/>
    <w:rsid w:val="001D3656"/>
    <w:rsid w:val="001E13E3"/>
    <w:rsid w:val="0021091C"/>
    <w:rsid w:val="00213603"/>
    <w:rsid w:val="00215559"/>
    <w:rsid w:val="002159AA"/>
    <w:rsid w:val="0021600B"/>
    <w:rsid w:val="00221170"/>
    <w:rsid w:val="0022417B"/>
    <w:rsid w:val="0023213C"/>
    <w:rsid w:val="00240B45"/>
    <w:rsid w:val="00241A86"/>
    <w:rsid w:val="002443A8"/>
    <w:rsid w:val="00247403"/>
    <w:rsid w:val="00263A55"/>
    <w:rsid w:val="00266D03"/>
    <w:rsid w:val="002745AE"/>
    <w:rsid w:val="0028024E"/>
    <w:rsid w:val="00293750"/>
    <w:rsid w:val="002A0B7A"/>
    <w:rsid w:val="002A295B"/>
    <w:rsid w:val="002A3F0E"/>
    <w:rsid w:val="002B4BE1"/>
    <w:rsid w:val="002C1B95"/>
    <w:rsid w:val="002C4107"/>
    <w:rsid w:val="002C7179"/>
    <w:rsid w:val="002E540C"/>
    <w:rsid w:val="002E7403"/>
    <w:rsid w:val="003041AF"/>
    <w:rsid w:val="00315497"/>
    <w:rsid w:val="00317A57"/>
    <w:rsid w:val="00320C2D"/>
    <w:rsid w:val="00322707"/>
    <w:rsid w:val="0033020E"/>
    <w:rsid w:val="00335475"/>
    <w:rsid w:val="00342110"/>
    <w:rsid w:val="00345703"/>
    <w:rsid w:val="00356877"/>
    <w:rsid w:val="00371529"/>
    <w:rsid w:val="0037521E"/>
    <w:rsid w:val="003822C1"/>
    <w:rsid w:val="003847F3"/>
    <w:rsid w:val="0039120A"/>
    <w:rsid w:val="00392D3D"/>
    <w:rsid w:val="00392DCA"/>
    <w:rsid w:val="00393065"/>
    <w:rsid w:val="003B4D11"/>
    <w:rsid w:val="003B65F2"/>
    <w:rsid w:val="003C1A78"/>
    <w:rsid w:val="003E168B"/>
    <w:rsid w:val="003E43C8"/>
    <w:rsid w:val="003E5AF3"/>
    <w:rsid w:val="003F40FD"/>
    <w:rsid w:val="003F41C1"/>
    <w:rsid w:val="00424BE3"/>
    <w:rsid w:val="00431FA5"/>
    <w:rsid w:val="004331C4"/>
    <w:rsid w:val="00447A05"/>
    <w:rsid w:val="004505FD"/>
    <w:rsid w:val="004546D6"/>
    <w:rsid w:val="00456D8C"/>
    <w:rsid w:val="004630AB"/>
    <w:rsid w:val="0046488A"/>
    <w:rsid w:val="0048320B"/>
    <w:rsid w:val="0049788A"/>
    <w:rsid w:val="004B06B4"/>
    <w:rsid w:val="004D106E"/>
    <w:rsid w:val="004D10FD"/>
    <w:rsid w:val="004D37E3"/>
    <w:rsid w:val="004D3CB0"/>
    <w:rsid w:val="004D5DC4"/>
    <w:rsid w:val="004D74FD"/>
    <w:rsid w:val="004F15FC"/>
    <w:rsid w:val="004F69BB"/>
    <w:rsid w:val="00501E09"/>
    <w:rsid w:val="0050767E"/>
    <w:rsid w:val="005244DB"/>
    <w:rsid w:val="00540690"/>
    <w:rsid w:val="0054437A"/>
    <w:rsid w:val="005464FB"/>
    <w:rsid w:val="005504D5"/>
    <w:rsid w:val="005654A8"/>
    <w:rsid w:val="00566BF6"/>
    <w:rsid w:val="00571913"/>
    <w:rsid w:val="00587CB7"/>
    <w:rsid w:val="00593339"/>
    <w:rsid w:val="005A4C24"/>
    <w:rsid w:val="005B4976"/>
    <w:rsid w:val="005D1522"/>
    <w:rsid w:val="005D29E7"/>
    <w:rsid w:val="005F0450"/>
    <w:rsid w:val="006022D0"/>
    <w:rsid w:val="00602E1E"/>
    <w:rsid w:val="006162F3"/>
    <w:rsid w:val="00636033"/>
    <w:rsid w:val="00637D6F"/>
    <w:rsid w:val="0065602B"/>
    <w:rsid w:val="00673774"/>
    <w:rsid w:val="00692E06"/>
    <w:rsid w:val="006B7D0D"/>
    <w:rsid w:val="006C3660"/>
    <w:rsid w:val="006C6451"/>
    <w:rsid w:val="006D1CB1"/>
    <w:rsid w:val="006E12E8"/>
    <w:rsid w:val="006F22B1"/>
    <w:rsid w:val="00702C6D"/>
    <w:rsid w:val="00706367"/>
    <w:rsid w:val="00711DD5"/>
    <w:rsid w:val="007149F6"/>
    <w:rsid w:val="00717901"/>
    <w:rsid w:val="0073154F"/>
    <w:rsid w:val="00734481"/>
    <w:rsid w:val="00737171"/>
    <w:rsid w:val="007377D2"/>
    <w:rsid w:val="00740A17"/>
    <w:rsid w:val="00747420"/>
    <w:rsid w:val="007519EA"/>
    <w:rsid w:val="00752373"/>
    <w:rsid w:val="00753EB2"/>
    <w:rsid w:val="007547CE"/>
    <w:rsid w:val="00757467"/>
    <w:rsid w:val="007634C1"/>
    <w:rsid w:val="007645F7"/>
    <w:rsid w:val="00767B9D"/>
    <w:rsid w:val="0077096E"/>
    <w:rsid w:val="00770C57"/>
    <w:rsid w:val="00774C72"/>
    <w:rsid w:val="007818B0"/>
    <w:rsid w:val="007953F3"/>
    <w:rsid w:val="007B663C"/>
    <w:rsid w:val="007C678F"/>
    <w:rsid w:val="007D13F3"/>
    <w:rsid w:val="007D632A"/>
    <w:rsid w:val="007E57DF"/>
    <w:rsid w:val="007F2157"/>
    <w:rsid w:val="007F2FB2"/>
    <w:rsid w:val="00803B9C"/>
    <w:rsid w:val="00827B04"/>
    <w:rsid w:val="00831C53"/>
    <w:rsid w:val="00834B09"/>
    <w:rsid w:val="00836D3E"/>
    <w:rsid w:val="008430CA"/>
    <w:rsid w:val="00847132"/>
    <w:rsid w:val="00850063"/>
    <w:rsid w:val="00854C3E"/>
    <w:rsid w:val="00862E32"/>
    <w:rsid w:val="008757BD"/>
    <w:rsid w:val="00882210"/>
    <w:rsid w:val="00883311"/>
    <w:rsid w:val="00887EEB"/>
    <w:rsid w:val="00893C15"/>
    <w:rsid w:val="008A1AD8"/>
    <w:rsid w:val="008A77D9"/>
    <w:rsid w:val="008C6FF1"/>
    <w:rsid w:val="008D04C1"/>
    <w:rsid w:val="008D2FB6"/>
    <w:rsid w:val="008E0C24"/>
    <w:rsid w:val="008E0ED5"/>
    <w:rsid w:val="008E36F0"/>
    <w:rsid w:val="008F2A17"/>
    <w:rsid w:val="008F2ACD"/>
    <w:rsid w:val="008F364A"/>
    <w:rsid w:val="00907492"/>
    <w:rsid w:val="0093677F"/>
    <w:rsid w:val="00950F4A"/>
    <w:rsid w:val="00950FA6"/>
    <w:rsid w:val="0095228A"/>
    <w:rsid w:val="00953B63"/>
    <w:rsid w:val="009542F2"/>
    <w:rsid w:val="00954DC2"/>
    <w:rsid w:val="00996C51"/>
    <w:rsid w:val="009A2428"/>
    <w:rsid w:val="009B77AF"/>
    <w:rsid w:val="009C3ACF"/>
    <w:rsid w:val="009D1618"/>
    <w:rsid w:val="009D2AC5"/>
    <w:rsid w:val="009E2B19"/>
    <w:rsid w:val="009E7F55"/>
    <w:rsid w:val="009F0E98"/>
    <w:rsid w:val="00A00FEB"/>
    <w:rsid w:val="00A12875"/>
    <w:rsid w:val="00A1747E"/>
    <w:rsid w:val="00A2050E"/>
    <w:rsid w:val="00A26979"/>
    <w:rsid w:val="00A34B32"/>
    <w:rsid w:val="00A44163"/>
    <w:rsid w:val="00A449F2"/>
    <w:rsid w:val="00A46870"/>
    <w:rsid w:val="00A62FEE"/>
    <w:rsid w:val="00A6345D"/>
    <w:rsid w:val="00A641B2"/>
    <w:rsid w:val="00A65E08"/>
    <w:rsid w:val="00A8271F"/>
    <w:rsid w:val="00A95E02"/>
    <w:rsid w:val="00AA0AE4"/>
    <w:rsid w:val="00AA69C7"/>
    <w:rsid w:val="00AA6B06"/>
    <w:rsid w:val="00AC26C0"/>
    <w:rsid w:val="00AC5BB3"/>
    <w:rsid w:val="00AE1C2E"/>
    <w:rsid w:val="00AE35C8"/>
    <w:rsid w:val="00AE5630"/>
    <w:rsid w:val="00AF38CF"/>
    <w:rsid w:val="00AF5327"/>
    <w:rsid w:val="00B020FA"/>
    <w:rsid w:val="00B03FFA"/>
    <w:rsid w:val="00B119FE"/>
    <w:rsid w:val="00B15536"/>
    <w:rsid w:val="00B323E7"/>
    <w:rsid w:val="00B367AC"/>
    <w:rsid w:val="00B36FB8"/>
    <w:rsid w:val="00B451C3"/>
    <w:rsid w:val="00B64C1B"/>
    <w:rsid w:val="00B71E57"/>
    <w:rsid w:val="00B757D0"/>
    <w:rsid w:val="00B82A13"/>
    <w:rsid w:val="00B82F59"/>
    <w:rsid w:val="00BB0501"/>
    <w:rsid w:val="00BB483F"/>
    <w:rsid w:val="00BB5FFC"/>
    <w:rsid w:val="00BC14B8"/>
    <w:rsid w:val="00BD1289"/>
    <w:rsid w:val="00BD31B6"/>
    <w:rsid w:val="00BE1C8F"/>
    <w:rsid w:val="00BE2FA2"/>
    <w:rsid w:val="00BF09C1"/>
    <w:rsid w:val="00BF1A06"/>
    <w:rsid w:val="00BF37FD"/>
    <w:rsid w:val="00C02B72"/>
    <w:rsid w:val="00C1429C"/>
    <w:rsid w:val="00C30F2F"/>
    <w:rsid w:val="00C40A6B"/>
    <w:rsid w:val="00C42513"/>
    <w:rsid w:val="00C47029"/>
    <w:rsid w:val="00C47211"/>
    <w:rsid w:val="00C477EB"/>
    <w:rsid w:val="00C551F8"/>
    <w:rsid w:val="00C617FC"/>
    <w:rsid w:val="00C6394F"/>
    <w:rsid w:val="00C915E4"/>
    <w:rsid w:val="00C92E57"/>
    <w:rsid w:val="00C96021"/>
    <w:rsid w:val="00CA5121"/>
    <w:rsid w:val="00CB45E3"/>
    <w:rsid w:val="00CC7EE5"/>
    <w:rsid w:val="00CD58FC"/>
    <w:rsid w:val="00D16D0E"/>
    <w:rsid w:val="00D26AB1"/>
    <w:rsid w:val="00D37C07"/>
    <w:rsid w:val="00D57393"/>
    <w:rsid w:val="00D57AC7"/>
    <w:rsid w:val="00D63F55"/>
    <w:rsid w:val="00D67052"/>
    <w:rsid w:val="00DA4F1A"/>
    <w:rsid w:val="00DA63B5"/>
    <w:rsid w:val="00DB2A53"/>
    <w:rsid w:val="00DB348F"/>
    <w:rsid w:val="00DC223B"/>
    <w:rsid w:val="00DC384E"/>
    <w:rsid w:val="00DD3A24"/>
    <w:rsid w:val="00DE3438"/>
    <w:rsid w:val="00DF3EE2"/>
    <w:rsid w:val="00DF49F6"/>
    <w:rsid w:val="00DF7B9E"/>
    <w:rsid w:val="00DF7D37"/>
    <w:rsid w:val="00E01CAD"/>
    <w:rsid w:val="00E06061"/>
    <w:rsid w:val="00E0743F"/>
    <w:rsid w:val="00E21494"/>
    <w:rsid w:val="00E22228"/>
    <w:rsid w:val="00E25C04"/>
    <w:rsid w:val="00E311DC"/>
    <w:rsid w:val="00E345D2"/>
    <w:rsid w:val="00E44A1C"/>
    <w:rsid w:val="00E50F09"/>
    <w:rsid w:val="00E51293"/>
    <w:rsid w:val="00E55CDF"/>
    <w:rsid w:val="00E630AB"/>
    <w:rsid w:val="00E6418F"/>
    <w:rsid w:val="00E735D9"/>
    <w:rsid w:val="00E85342"/>
    <w:rsid w:val="00E904AB"/>
    <w:rsid w:val="00EB395F"/>
    <w:rsid w:val="00EB5D01"/>
    <w:rsid w:val="00EC2D0A"/>
    <w:rsid w:val="00EC57E1"/>
    <w:rsid w:val="00EF0C92"/>
    <w:rsid w:val="00F050F0"/>
    <w:rsid w:val="00F12661"/>
    <w:rsid w:val="00F1760F"/>
    <w:rsid w:val="00F257C5"/>
    <w:rsid w:val="00F30443"/>
    <w:rsid w:val="00F3537E"/>
    <w:rsid w:val="00F37C82"/>
    <w:rsid w:val="00F44D2D"/>
    <w:rsid w:val="00F47DB9"/>
    <w:rsid w:val="00F55B40"/>
    <w:rsid w:val="00F55CD4"/>
    <w:rsid w:val="00F7072E"/>
    <w:rsid w:val="00F72BD0"/>
    <w:rsid w:val="00F853BE"/>
    <w:rsid w:val="00F903C2"/>
    <w:rsid w:val="00F92FD9"/>
    <w:rsid w:val="00F933A4"/>
    <w:rsid w:val="00F943C5"/>
    <w:rsid w:val="00F95FC5"/>
    <w:rsid w:val="00FA7F32"/>
    <w:rsid w:val="00FB0AFC"/>
    <w:rsid w:val="00FB18BD"/>
    <w:rsid w:val="00FB250A"/>
    <w:rsid w:val="00FB3369"/>
    <w:rsid w:val="00FB3A36"/>
    <w:rsid w:val="00FB48E1"/>
    <w:rsid w:val="00FC1957"/>
    <w:rsid w:val="00FC5931"/>
    <w:rsid w:val="00FE17D7"/>
    <w:rsid w:val="00FE7348"/>
    <w:rsid w:val="00FF7A6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15C43"/>
  <w15:chartTrackingRefBased/>
  <w15:docId w15:val="{6F97D9BA-2C98-43A3-A4B1-1AB438ED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rsid w:val="00E06061"/>
    <w:pPr>
      <w:numPr>
        <w:numId w:val="18"/>
      </w:numPr>
      <w:tabs>
        <w:tab w:val="clear" w:pos="990"/>
      </w:tabs>
      <w:spacing w:before="120" w:after="120" w:line="240" w:lineRule="auto"/>
      <w:ind w:left="0"/>
      <w:jc w:val="both"/>
    </w:pPr>
  </w:style>
  <w:style w:type="paragraph" w:customStyle="1" w:styleId="Citationenretrait">
    <w:name w:val="Citation en retrait"/>
    <w:basedOn w:val="Normal"/>
    <w:link w:val="CitationenretraitCar"/>
    <w:qFormat/>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qFormat/>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rsid w:val="00447A05"/>
    <w:pPr>
      <w:ind w:left="-108"/>
    </w:pPr>
    <w:rPr>
      <w:rFonts w:eastAsia="Calibri" w:cs="Arial"/>
      <w:szCs w:val="24"/>
    </w:rPr>
  </w:style>
  <w:style w:type="paragraph" w:customStyle="1" w:styleId="zSoquijlblProvince">
    <w:name w:val="zSoquij_lblProvince"/>
    <w:basedOn w:val="Normal"/>
    <w:rsid w:val="00447A05"/>
    <w:pPr>
      <w:ind w:left="-108"/>
    </w:pPr>
    <w:rPr>
      <w:rFonts w:eastAsia="Calibri" w:cs="Arial"/>
      <w:szCs w:val="24"/>
    </w:rPr>
  </w:style>
  <w:style w:type="paragraph" w:customStyle="1" w:styleId="zSoquijlblGreffe">
    <w:name w:val="zSoquij_lblGreffe"/>
    <w:basedOn w:val="Normal"/>
    <w:rsid w:val="00F933A4"/>
    <w:pPr>
      <w:ind w:left="-108"/>
    </w:pPr>
    <w:rPr>
      <w:rFonts w:eastAsia="Calibri" w:cs="Arial"/>
      <w:szCs w:val="24"/>
    </w:rPr>
  </w:style>
  <w:style w:type="paragraph" w:customStyle="1" w:styleId="zSoquijdatGreffe">
    <w:name w:val="zSoquij_datGreffe"/>
    <w:basedOn w:val="Normal"/>
    <w:rsid w:val="00F95FC5"/>
    <w:pPr>
      <w:ind w:left="-108"/>
    </w:pPr>
    <w:rPr>
      <w:rFonts w:eastAsia="Calibri" w:cs="Arial"/>
      <w:szCs w:val="24"/>
    </w:r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rsid w:val="00392DCA"/>
    <w:rPr>
      <w:rFonts w:eastAsia="Calibri" w:cs="Arial"/>
      <w:szCs w:val="24"/>
    </w:rPr>
  </w:style>
  <w:style w:type="paragraph" w:customStyle="1" w:styleId="zSoquijdatNoDossier">
    <w:name w:val="zSoquij_datNoDossier"/>
    <w:basedOn w:val="Normal"/>
    <w:rsid w:val="00160465"/>
    <w:pPr>
      <w:ind w:left="-108"/>
    </w:pPr>
    <w:rPr>
      <w:rFonts w:eastAsia="Calibri" w:cs="Arial"/>
      <w:szCs w:val="24"/>
    </w:rPr>
  </w:style>
  <w:style w:type="paragraph" w:customStyle="1" w:styleId="zSoquijdatNoDossierAnt">
    <w:name w:val="zSoquij_datNoDossierAnt"/>
    <w:basedOn w:val="Normal"/>
    <w:rsid w:val="00160465"/>
    <w:pPr>
      <w:ind w:left="-108"/>
    </w:pPr>
    <w:rPr>
      <w:rFonts w:eastAsia="Calibri" w:cs="Arial"/>
      <w:szCs w:val="24"/>
    </w:rPr>
  </w:style>
  <w:style w:type="paragraph" w:customStyle="1" w:styleId="zSoquijdatDateJugement">
    <w:name w:val="zSoquij_datDateJugement"/>
    <w:basedOn w:val="Normal"/>
    <w:rsid w:val="00160465"/>
    <w:pPr>
      <w:ind w:left="-108"/>
    </w:pPr>
    <w:rPr>
      <w:rFonts w:eastAsia="Calibri" w:cs="Arial"/>
      <w:szCs w:val="24"/>
    </w:rPr>
  </w:style>
  <w:style w:type="paragraph" w:customStyle="1" w:styleId="zSoquijlblDateJugement">
    <w:name w:val="zSoquij_lblDateJugement"/>
    <w:basedOn w:val="Normal"/>
  </w:style>
  <w:style w:type="paragraph" w:customStyle="1" w:styleId="zSoquijlblJuge">
    <w:name w:val="zSoquij_lblJuge"/>
    <w:basedOn w:val="Normal"/>
    <w:rsid w:val="00DC384E"/>
    <w:pPr>
      <w:ind w:left="-108"/>
    </w:pPr>
    <w:rPr>
      <w:rFonts w:eastAsia="Calibri" w:cs="Arial"/>
      <w:szCs w:val="24"/>
    </w:rPr>
  </w:style>
  <w:style w:type="paragraph" w:customStyle="1" w:styleId="zSoquijdatQteJuge">
    <w:name w:val="zSoquij_datQteJuge"/>
    <w:basedOn w:val="Normal"/>
    <w:rsid w:val="00FB0AFC"/>
    <w:rPr>
      <w:rFonts w:eastAsia="Calibri" w:cs="Arial"/>
      <w:szCs w:val="24"/>
    </w:rPr>
  </w:style>
  <w:style w:type="paragraph" w:customStyle="1" w:styleId="zSoquijdatJuge1">
    <w:name w:val="zSoquij_datJuge_1"/>
    <w:basedOn w:val="Normal"/>
    <w:qFormat/>
    <w:rsid w:val="00FB0AFC"/>
    <w:pPr>
      <w:ind w:left="-103"/>
    </w:pPr>
    <w:rPr>
      <w:rFonts w:eastAsia="Calibri" w:cs="Arial"/>
      <w:szCs w:val="24"/>
    </w:rPr>
  </w:style>
  <w:style w:type="paragraph" w:customStyle="1" w:styleId="zSoquijdatNomPartieDem">
    <w:name w:val="zSoquij_datNomPartieDem"/>
    <w:basedOn w:val="Normal"/>
    <w:rsid w:val="00F12661"/>
    <w:pPr>
      <w:jc w:val="center"/>
    </w:pPr>
    <w:rPr>
      <w:b/>
      <w:bCs/>
    </w:rPr>
  </w:style>
  <w:style w:type="paragraph" w:customStyle="1" w:styleId="zSoquijdatQtePartieDem">
    <w:name w:val="zSoquij_datQtePartieDem"/>
    <w:basedOn w:val="Normal"/>
    <w:rsid w:val="00FA7F32"/>
    <w:pPr>
      <w:spacing w:before="120" w:after="120" w:line="240" w:lineRule="auto"/>
      <w:jc w:val="center"/>
    </w:pPr>
    <w:rPr>
      <w:rFonts w:cs="Arial"/>
      <w:kern w:val="28"/>
      <w:szCs w:val="24"/>
    </w:rPr>
  </w:style>
  <w:style w:type="paragraph" w:customStyle="1" w:styleId="zSoquijlblLienParties">
    <w:name w:val="zSoquij_lblLienParties"/>
    <w:basedOn w:val="Normal"/>
  </w:style>
  <w:style w:type="paragraph" w:customStyle="1" w:styleId="zSoquijdatNomPartieDef">
    <w:name w:val="zSoquij_datNomPartieDef"/>
    <w:basedOn w:val="Normal"/>
    <w:rsid w:val="007519EA"/>
    <w:pPr>
      <w:jc w:val="center"/>
    </w:pPr>
    <w:rPr>
      <w:b/>
      <w:bCs/>
    </w:rPr>
  </w:style>
  <w:style w:type="paragraph" w:customStyle="1" w:styleId="zSoquijdatQtePartieDef">
    <w:name w:val="zSoquij_datQtePartieDef"/>
    <w:basedOn w:val="Normal"/>
    <w:rsid w:val="00FA7F32"/>
    <w:pPr>
      <w:spacing w:before="120" w:after="120" w:line="240" w:lineRule="auto"/>
      <w:jc w:val="center"/>
    </w:pPr>
    <w:rPr>
      <w:rFonts w:cs="Arial"/>
      <w:kern w:val="28"/>
      <w:szCs w:val="24"/>
    </w:r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rsid w:val="00C551F8"/>
    <w:pPr>
      <w:spacing w:before="40" w:after="40" w:line="240" w:lineRule="auto"/>
      <w:jc w:val="center"/>
    </w:pPr>
    <w:rPr>
      <w:rFonts w:cs="Arial"/>
      <w:kern w:val="28"/>
      <w:szCs w:val="24"/>
    </w:rPr>
  </w:style>
  <w:style w:type="paragraph" w:customStyle="1" w:styleId="zSoquijlblProcureurDef">
    <w:name w:val="zSoquij_lblProcureurDef"/>
    <w:basedOn w:val="Normal"/>
    <w:rsid w:val="00C551F8"/>
    <w:pPr>
      <w:spacing w:before="40" w:after="40" w:line="240" w:lineRule="auto"/>
      <w:jc w:val="center"/>
    </w:pPr>
    <w:rPr>
      <w:rFonts w:cs="Arial"/>
      <w:kern w:val="28"/>
      <w:szCs w:val="24"/>
    </w:rPr>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qFormat/>
    <w:pPr>
      <w:widowControl w:val="0"/>
      <w:numPr>
        <w:ilvl w:val="1"/>
        <w:numId w:val="18"/>
      </w:numPr>
      <w:spacing w:after="120"/>
      <w:jc w:val="both"/>
    </w:pPr>
    <w:rPr>
      <w:kern w:val="28"/>
    </w:rPr>
  </w:style>
  <w:style w:type="paragraph" w:customStyle="1" w:styleId="zSoquijdatNomProcureurDem">
    <w:name w:val="zSoquij_datNomProcureurDem"/>
    <w:basedOn w:val="zSoquijlblProcureurDem"/>
    <w:rsid w:val="00F12661"/>
    <w:pPr>
      <w:keepNext/>
    </w:pPr>
  </w:style>
  <w:style w:type="paragraph" w:customStyle="1" w:styleId="zSoquijdatNomProcureurDef">
    <w:name w:val="zSoquij_datNomProcureurDef"/>
    <w:basedOn w:val="zSoquijlblProcureurDef"/>
    <w:rsid w:val="002E7403"/>
    <w:pPr>
      <w:keepNext/>
    </w:pPr>
  </w:style>
  <w:style w:type="paragraph" w:customStyle="1" w:styleId="zSoquijdatCabinetProcureurDem">
    <w:name w:val="zSoquij_datCabinetProcureurDem"/>
    <w:basedOn w:val="Normal"/>
    <w:rsid w:val="00F12661"/>
    <w:pPr>
      <w:keepNext/>
      <w:jc w:val="center"/>
    </w:pPr>
    <w:rPr>
      <w:lang w:val="es-ES"/>
    </w:rPr>
  </w:style>
  <w:style w:type="paragraph" w:customStyle="1" w:styleId="zSoquijdatCabinetProcureurDef">
    <w:name w:val="zSoquij_datCabinetProcureurDef"/>
    <w:basedOn w:val="zSoquijlblProcureurDef"/>
    <w:rsid w:val="002E7403"/>
    <w:pPr>
      <w:keepNext/>
    </w:pPr>
    <w:rPr>
      <w:lang w:val="es-ES"/>
    </w:r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link w:val="TableaudroiteanglaisCar"/>
    <w:pPr>
      <w:ind w:left="144" w:right="720"/>
      <w:jc w:val="both"/>
    </w:pPr>
    <w:rPr>
      <w:lang w:val="en-CA"/>
    </w:rPr>
  </w:style>
  <w:style w:type="paragraph" w:customStyle="1" w:styleId="Tableaugauchefranais">
    <w:name w:val="Tableau gauche français"/>
    <w:basedOn w:val="Normal"/>
    <w:link w:val="TableaugauchefranaisCar"/>
    <w:pPr>
      <w:ind w:left="720" w:right="144"/>
    </w:pPr>
    <w:rPr>
      <w:sz w:val="22"/>
    </w:rPr>
  </w:style>
  <w:style w:type="character" w:styleId="Appelnotedebasdep">
    <w:name w:val="footnote reference"/>
    <w:qFormat/>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character" w:customStyle="1" w:styleId="NotedebasdepageCar">
    <w:name w:val="Note de bas de page Car"/>
    <w:link w:val="Notedebasdepage"/>
    <w:rsid w:val="00FB3A36"/>
    <w:rPr>
      <w:rFonts w:ascii="Arial" w:hAnsi="Arial"/>
      <w:lang w:eastAsia="fr-FR"/>
    </w:rPr>
  </w:style>
  <w:style w:type="character" w:customStyle="1" w:styleId="ParagrapheCar">
    <w:name w:val="Paragraphe Car"/>
    <w:link w:val="Paragraphe"/>
    <w:qFormat/>
    <w:rsid w:val="00E06061"/>
    <w:rPr>
      <w:rFonts w:ascii="Arial" w:hAnsi="Arial"/>
      <w:sz w:val="24"/>
      <w:lang w:eastAsia="fr-FR"/>
    </w:rPr>
  </w:style>
  <w:style w:type="paragraph" w:styleId="Textedebulles">
    <w:name w:val="Balloon Text"/>
    <w:basedOn w:val="Normal"/>
    <w:link w:val="TextedebullesCar"/>
    <w:uiPriority w:val="99"/>
    <w:semiHidden/>
    <w:unhideWhenUsed/>
    <w:rsid w:val="00082F0A"/>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082F0A"/>
    <w:rPr>
      <w:rFonts w:ascii="Segoe UI" w:hAnsi="Segoe UI" w:cs="Segoe UI"/>
      <w:sz w:val="18"/>
      <w:szCs w:val="18"/>
      <w:lang w:eastAsia="fr-FR"/>
    </w:rPr>
  </w:style>
  <w:style w:type="character" w:styleId="Hyperlien">
    <w:name w:val="Hyperlink"/>
    <w:uiPriority w:val="99"/>
    <w:rsid w:val="00711DD5"/>
    <w:rPr>
      <w:noProof w:val="0"/>
      <w:color w:val="0000FF"/>
      <w:u w:val="single"/>
      <w:lang w:val="fr-CA"/>
    </w:rPr>
  </w:style>
  <w:style w:type="character" w:customStyle="1" w:styleId="TableaugauchefranaisCar">
    <w:name w:val="Tableau gauche français Car"/>
    <w:link w:val="Tableaugauchefranais"/>
    <w:rsid w:val="00711DD5"/>
    <w:rPr>
      <w:rFonts w:ascii="Arial" w:hAnsi="Arial"/>
      <w:sz w:val="22"/>
      <w:lang w:eastAsia="fr-FR"/>
    </w:rPr>
  </w:style>
  <w:style w:type="character" w:customStyle="1" w:styleId="TableaudroiteanglaisCar">
    <w:name w:val="Tableau droite anglais Car"/>
    <w:link w:val="Tableaudroiteanglais"/>
    <w:rsid w:val="00711DD5"/>
    <w:rPr>
      <w:rFonts w:ascii="Arial" w:hAnsi="Arial"/>
      <w:sz w:val="22"/>
      <w:lang w:val="en-CA" w:eastAsia="fr-FR"/>
    </w:rPr>
  </w:style>
  <w:style w:type="character" w:customStyle="1" w:styleId="CitationenretraitCar">
    <w:name w:val="Citation en retrait Car"/>
    <w:link w:val="Citationenretrait"/>
    <w:rsid w:val="00711DD5"/>
    <w:rPr>
      <w:rFonts w:ascii="Arial" w:hAnsi="Arial"/>
      <w:kern w:val="24"/>
      <w:sz w:val="22"/>
      <w:lang w:eastAsia="fr-FR"/>
    </w:rPr>
  </w:style>
  <w:style w:type="character" w:styleId="Marquedecommentaire">
    <w:name w:val="annotation reference"/>
    <w:uiPriority w:val="99"/>
    <w:semiHidden/>
    <w:unhideWhenUsed/>
    <w:rsid w:val="00711DD5"/>
    <w:rPr>
      <w:sz w:val="16"/>
      <w:szCs w:val="16"/>
    </w:rPr>
  </w:style>
  <w:style w:type="paragraph" w:styleId="Commentaire">
    <w:name w:val="annotation text"/>
    <w:basedOn w:val="Normal"/>
    <w:link w:val="CommentaireCar"/>
    <w:uiPriority w:val="99"/>
    <w:semiHidden/>
    <w:unhideWhenUsed/>
    <w:rsid w:val="00711DD5"/>
    <w:pPr>
      <w:spacing w:line="240" w:lineRule="auto"/>
    </w:pPr>
    <w:rPr>
      <w:sz w:val="20"/>
    </w:rPr>
  </w:style>
  <w:style w:type="character" w:customStyle="1" w:styleId="CommentaireCar">
    <w:name w:val="Commentaire Car"/>
    <w:link w:val="Commentaire"/>
    <w:uiPriority w:val="99"/>
    <w:semiHidden/>
    <w:rsid w:val="00711DD5"/>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711DD5"/>
    <w:rPr>
      <w:b/>
      <w:bCs/>
    </w:rPr>
  </w:style>
  <w:style w:type="character" w:customStyle="1" w:styleId="ObjetducommentaireCar">
    <w:name w:val="Objet du commentaire Car"/>
    <w:link w:val="Objetducommentaire"/>
    <w:uiPriority w:val="99"/>
    <w:semiHidden/>
    <w:rsid w:val="00711DD5"/>
    <w:rPr>
      <w:rFonts w:ascii="Arial" w:hAnsi="Arial"/>
      <w:b/>
      <w:bCs/>
      <w:lang w:eastAsia="fr-FR"/>
    </w:rPr>
  </w:style>
  <w:style w:type="table" w:styleId="Grilledutableau">
    <w:name w:val="Table Grid"/>
    <w:basedOn w:val="TableauNormal"/>
    <w:uiPriority w:val="39"/>
    <w:rsid w:val="002C1B95"/>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1009B2"/>
    <w:rPr>
      <w:color w:val="808080"/>
    </w:rPr>
  </w:style>
  <w:style w:type="table" w:customStyle="1" w:styleId="Grilledutableau1">
    <w:name w:val="Grille du tableau1"/>
    <w:basedOn w:val="TableauNormal"/>
    <w:next w:val="Grilledutableau"/>
    <w:uiPriority w:val="39"/>
    <w:rsid w:val="00887EEB"/>
    <w:rPr>
      <w:rFonts w:ascii="Arial" w:hAnsi="Arial"/>
      <w:sz w:val="24"/>
    </w:rPr>
    <w:tblPr>
      <w:tblBorders>
        <w:top w:val="single" w:sz="4" w:space="0" w:color="auto"/>
        <w:bottom w:val="single" w:sz="4" w:space="0" w:color="auto"/>
      </w:tblBorders>
    </w:tblPr>
  </w:style>
  <w:style w:type="paragraph" w:customStyle="1" w:styleId="zSoquijdatNomPartieMec">
    <w:name w:val="zSoquij_datNomPartieMec"/>
    <w:basedOn w:val="Normal"/>
    <w:qFormat/>
    <w:rsid w:val="002E7403"/>
    <w:pPr>
      <w:spacing w:line="240" w:lineRule="auto"/>
      <w:jc w:val="center"/>
    </w:pPr>
    <w:rPr>
      <w:b/>
      <w:bCs/>
    </w:rPr>
  </w:style>
  <w:style w:type="paragraph" w:customStyle="1" w:styleId="zSoquijdatNomProcureurMec">
    <w:name w:val="zSoquij_datNomProcureurMec"/>
    <w:basedOn w:val="Normal"/>
    <w:qFormat/>
    <w:rsid w:val="00F3537E"/>
    <w:pPr>
      <w:spacing w:line="240" w:lineRule="auto"/>
      <w:jc w:val="center"/>
    </w:pPr>
  </w:style>
  <w:style w:type="paragraph" w:customStyle="1" w:styleId="zSoquijdatCabinetProcureurMec">
    <w:name w:val="zSoquij_datCabinetProcureurMec"/>
    <w:basedOn w:val="Normal"/>
    <w:qFormat/>
    <w:rsid w:val="00F3537E"/>
    <w:pPr>
      <w:spacing w:line="240" w:lineRule="auto"/>
      <w:jc w:val="center"/>
    </w:pPr>
    <w:rPr>
      <w:lang w:val="es-ES"/>
    </w:rPr>
  </w:style>
  <w:style w:type="paragraph" w:customStyle="1" w:styleId="zSoquijdatJuge2">
    <w:name w:val="zSoquij_datJuge_2"/>
    <w:basedOn w:val="zSoquijdatJuge1"/>
    <w:qFormat/>
    <w:rsid w:val="00836D3E"/>
  </w:style>
  <w:style w:type="paragraph" w:customStyle="1" w:styleId="zSoquijdatJuge3">
    <w:name w:val="zSoquij_datJuge_3"/>
    <w:basedOn w:val="zSoquijdatJuge1"/>
    <w:qFormat/>
    <w:rsid w:val="00836D3E"/>
  </w:style>
  <w:style w:type="paragraph" w:customStyle="1" w:styleId="zSoquijdatQtePartieMec">
    <w:name w:val="zSoquij_datQtePartieMec"/>
    <w:basedOn w:val="zSoquijdatQtePartieDem"/>
    <w:qFormat/>
    <w:rsid w:val="00C551F8"/>
  </w:style>
  <w:style w:type="paragraph" w:customStyle="1" w:styleId="zSoquijlblProcureurMec">
    <w:name w:val="zSoquij_lblProcureurMec"/>
    <w:basedOn w:val="zSoquijlblProcureurDef"/>
    <w:qFormat/>
    <w:rsid w:val="00C551F8"/>
  </w:style>
  <w:style w:type="paragraph" w:customStyle="1" w:styleId="paraParagraphe">
    <w:name w:val="_para Paragraphe"/>
    <w:basedOn w:val="Normal"/>
    <w:rsid w:val="008E0C24"/>
    <w:pPr>
      <w:widowControl w:val="0"/>
      <w:spacing w:before="120" w:after="120" w:line="240" w:lineRule="auto"/>
      <w:jc w:val="both"/>
    </w:pPr>
    <w:rPr>
      <w:kern w:val="28"/>
    </w:rPr>
  </w:style>
  <w:style w:type="paragraph" w:customStyle="1" w:styleId="citationenretrait0">
    <w:name w:val="citation en retrait"/>
    <w:rsid w:val="008E0C24"/>
    <w:pPr>
      <w:spacing w:before="120" w:after="120" w:line="280" w:lineRule="exact"/>
      <w:ind w:left="720" w:right="720"/>
      <w:jc w:val="both"/>
    </w:pPr>
    <w:rPr>
      <w:rFonts w:ascii="Arial" w:hAnsi="Arial"/>
      <w:kern w:val="24"/>
      <w:sz w:val="22"/>
      <w:lang w:eastAsia="fr-FR"/>
    </w:rPr>
  </w:style>
  <w:style w:type="paragraph" w:customStyle="1" w:styleId="ParagrapheGras">
    <w:name w:val="Paragraphe + Gras"/>
    <w:basedOn w:val="paraParagraphe"/>
    <w:rsid w:val="008E0C24"/>
    <w:rPr>
      <w:b/>
      <w:bCs/>
    </w:rPr>
  </w:style>
  <w:style w:type="paragraph" w:styleId="Rvision">
    <w:name w:val="Revision"/>
    <w:hidden/>
    <w:uiPriority w:val="99"/>
    <w:semiHidden/>
    <w:rsid w:val="00E904AB"/>
    <w:rPr>
      <w:rFonts w:ascii="Arial" w:hAnsi="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770F2B928FDB48896B0941B624CC9E" ma:contentTypeVersion="19" ma:contentTypeDescription="Crée un document." ma:contentTypeScope="" ma:versionID="b46ecfb704b2c57c9e71e211b73ea7fb">
  <xsd:schema xmlns:xsd="http://www.w3.org/2001/XMLSchema" xmlns:xs="http://www.w3.org/2001/XMLSchema" xmlns:p="http://schemas.microsoft.com/office/2006/metadata/properties" xmlns:ns2="dca0bc24-81a7-447d-9f55-b1d7a29c61b2" xmlns:ns3="4dfbed45-abbb-4b63-a31e-d7ffeeefdcae" targetNamespace="http://schemas.microsoft.com/office/2006/metadata/properties" ma:root="true" ma:fieldsID="1925627f6109fd819f7275e34af869bf" ns2:_="" ns3:_="">
    <xsd:import namespace="dca0bc24-81a7-447d-9f55-b1d7a29c61b2"/>
    <xsd:import namespace="4dfbed45-abbb-4b63-a31e-d7ffeeefdcae"/>
    <xsd:element name="properties">
      <xsd:complexType>
        <xsd:sequence>
          <xsd:element name="documentManagement">
            <xsd:complexType>
              <xsd:all>
                <xsd:element ref="ns2:PublishingStartDate" minOccurs="0"/>
                <xsd:element ref="ns2:PublishingExpirationDate" minOccurs="0"/>
                <xsd:element ref="ns3:Auteur_x0020_du_x0020_document" minOccurs="0"/>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0bc24-81a7-447d-9f55-b1d7a29c61b2"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 ma:format="DateTime" ma:internalName="PublishingStartDate" ma:readOnly="false">
      <xsd:simpleType>
        <xsd:restriction base="dms:Unknown"/>
      </xsd:simpleType>
    </xsd:element>
    <xsd:element name="PublishingExpirationDate" ma:index="5" nillable="true" ma:displayName="Date de fin de planification" ma:description="" ma:format="DateTime" ma:internalName="PublishingExpirationDate" ma:readOnly="false">
      <xsd:simpleType>
        <xsd:restriction base="dms:Unknow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b9b14b7a-cac8-4449-987a-68cfb39174c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fbed45-abbb-4b63-a31e-d7ffeeefdcae" elementFormDefault="qualified">
    <xsd:import namespace="http://schemas.microsoft.com/office/2006/documentManagement/types"/>
    <xsd:import namespace="http://schemas.microsoft.com/office/infopath/2007/PartnerControls"/>
    <xsd:element name="Auteur_x0020_du_x0020_document" ma:index="6" nillable="true" ma:displayName="Auteur du document" ma:description="Auteur principal" ma:internalName="Auteur_x0020_du_x0020_document" ma:readOnly="false">
      <xsd:simpleType>
        <xsd:restriction base="dms:Text">
          <xsd:maxLength value="255"/>
        </xsd:restriction>
      </xsd:simpleType>
    </xsd:element>
    <xsd:element name="TaxCatchAll" ma:index="16" nillable="true" ma:displayName="Taxonomy Catch All Column" ma:hidden="true" ma:list="{39410d8e-a21d-4875-85bf-1e0e21b676a4}" ma:internalName="TaxCatchAll" ma:showField="CatchAllData" ma:web="4dfbed45-abbb-4b63-a31e-d7ffeeefdc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dca0bc24-81a7-447d-9f55-b1d7a29c61b2" xsi:nil="true"/>
    <PublishingExpirationDate xmlns="dca0bc24-81a7-447d-9f55-b1d7a29c61b2" xsi:nil="true"/>
    <Auteur_x0020_du_x0020_document xmlns="4dfbed45-abbb-4b63-a31e-d7ffeeefdcae" xsi:nil="true"/>
    <lcf76f155ced4ddcb4097134ff3c332f xmlns="dca0bc24-81a7-447d-9f55-b1d7a29c61b2">
      <Terms xmlns="http://schemas.microsoft.com/office/infopath/2007/PartnerControls"/>
    </lcf76f155ced4ddcb4097134ff3c332f>
    <TaxCatchAll xmlns="4dfbed45-abbb-4b63-a31e-d7ffeeefdcae"/>
  </documentManagement>
</p:properties>
</file>

<file path=customXml/itemProps1.xml><?xml version="1.0" encoding="utf-8"?>
<ds:datastoreItem xmlns:ds="http://schemas.openxmlformats.org/officeDocument/2006/customXml" ds:itemID="{9CD4D526-A7BF-41BD-9919-DD1E5C695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0bc24-81a7-447d-9f55-b1d7a29c61b2"/>
    <ds:schemaRef ds:uri="4dfbed45-abbb-4b63-a31e-d7ffeeefd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5EAAE-8313-487C-A9D0-999B0649ED87}">
  <ds:schemaRefs>
    <ds:schemaRef ds:uri="http://schemas.openxmlformats.org/officeDocument/2006/bibliography"/>
  </ds:schemaRefs>
</ds:datastoreItem>
</file>

<file path=customXml/itemProps3.xml><?xml version="1.0" encoding="utf-8"?>
<ds:datastoreItem xmlns:ds="http://schemas.openxmlformats.org/officeDocument/2006/customXml" ds:itemID="{09D256C5-2120-47CD-9705-4C0C5831D503}">
  <ds:schemaRefs>
    <ds:schemaRef ds:uri="http://schemas.microsoft.com/sharepoint/v3/contenttype/forms"/>
  </ds:schemaRefs>
</ds:datastoreItem>
</file>

<file path=customXml/itemProps4.xml><?xml version="1.0" encoding="utf-8"?>
<ds:datastoreItem xmlns:ds="http://schemas.openxmlformats.org/officeDocument/2006/customXml" ds:itemID="{26B2B416-D5E3-4712-B256-D7A34FE22F4A}">
  <ds:schemaRefs>
    <ds:schemaRef ds:uri="http://schemas.microsoft.com/office/2006/metadata/properties"/>
    <ds:schemaRef ds:uri="http://schemas.microsoft.com/office/infopath/2007/PartnerControls"/>
    <ds:schemaRef ds:uri="dca0bc24-81a7-447d-9f55-b1d7a29c61b2"/>
    <ds:schemaRef ds:uri="4dfbed45-abbb-4b63-a31e-d7ffeeefdc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1330</Words>
  <Characters>7315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PROJET DE JUGEMENT (10 MAI 2018)</vt:lpstr>
    </vt:vector>
  </TitlesOfParts>
  <Manager>Patrice Tardif</Manager>
  <Company>MJQ</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JUGEMENT (10 MAI 2018)</dc:title>
  <dc:subject/>
  <dc:creator>Lyne Stromei</dc:creator>
  <cp:keywords/>
  <cp:lastModifiedBy>Gauthier, François</cp:lastModifiedBy>
  <cp:revision>2</cp:revision>
  <cp:lastPrinted>2020-02-25T15:47:00Z</cp:lastPrinted>
  <dcterms:created xsi:type="dcterms:W3CDTF">2024-10-08T11:56:00Z</dcterms:created>
  <dcterms:modified xsi:type="dcterms:W3CDTF">2024-10-08T11:56:00Z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0x01010050770F2B928FDB48896B0941B624CC9E</vt:lpwstr>
  </property>
  <property fmtid="{D5CDD505-2E9C-101B-9397-08002B2CF9AE}" pid="3" name="Langue">
    <vt:lpwstr>Fra</vt:lpwstr>
  </property>
  <property fmtid="{D5CDD505-2E9C-101B-9397-08002B2CF9AE}" pid="4" name="NbrJuge">
    <vt:i4>3</vt:i4>
  </property>
  <property fmtid="{D5CDD505-2E9C-101B-9397-08002B2CF9AE}" pid="5" name="NbrJugeObli">
    <vt:bool>true</vt:bool>
  </property>
  <property fmtid="{D5CDD505-2E9C-101B-9397-08002B2CF9AE}" pid="6" name="Soquij_Cour">
    <vt:lpwstr>CA</vt:lpwstr>
  </property>
  <property fmtid="{D5CDD505-2E9C-101B-9397-08002B2CF9AE}" pid="7" name="Soquij_DateModification">
    <vt:lpwstr>26-09-2019</vt:lpwstr>
  </property>
  <property fmtid="{D5CDD505-2E9C-101B-9397-08002B2CF9AE}" pid="8" name="Soquij_Langue">
    <vt:lpwstr>Fra</vt:lpwstr>
  </property>
  <property fmtid="{D5CDD505-2E9C-101B-9397-08002B2CF9AE}" pid="9" name="Soquij_Modele">
    <vt:lpwstr>Edj</vt:lpwstr>
  </property>
  <property fmtid="{D5CDD505-2E9C-101B-9397-08002B2CF9AE}" pid="10" name="Soquij_ModifiePar">
    <vt:lpwstr>renste</vt:lpwstr>
  </property>
  <property fmtid="{D5CDD505-2E9C-101B-9397-08002B2CF9AE}" pid="11" name="Soquij_Version">
    <vt:lpwstr>1.6</vt:lpwstr>
  </property>
  <property fmtid="{D5CDD505-2E9C-101B-9397-08002B2CF9AE}" pid="12" name="_ExtendedDescription">
    <vt:lpwstr/>
  </property>
</Properties>
</file>