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000" w:firstRow="0" w:lastRow="0" w:firstColumn="0" w:lastColumn="0" w:noHBand="0" w:noVBand="0"/>
      </w:tblPr>
      <w:tblGrid>
        <w:gridCol w:w="1030"/>
        <w:gridCol w:w="320"/>
        <w:gridCol w:w="270"/>
        <w:gridCol w:w="2350"/>
        <w:gridCol w:w="3402"/>
        <w:gridCol w:w="1988"/>
      </w:tblGrid>
      <w:tr w:rsidR="008F364A" w14:paraId="13A09A56" w14:textId="77777777" w:rsidTr="008D18FC">
        <w:trPr>
          <w:trHeight w:val="248"/>
        </w:trPr>
        <w:tc>
          <w:tcPr>
            <w:tcW w:w="7372" w:type="dxa"/>
            <w:gridSpan w:val="5"/>
          </w:tcPr>
          <w:p w14:paraId="5CE5A5E5" w14:textId="3521FC1E" w:rsidR="008F364A" w:rsidRPr="00BA3B7C" w:rsidRDefault="00BA3B7C" w:rsidP="00BA3B7C">
            <w:pPr>
              <w:pStyle w:val="zSoquijdatRepertorie"/>
              <w:rPr>
                <w:rFonts w:cs="Arial"/>
              </w:rPr>
            </w:pPr>
            <w:r>
              <w:rPr>
                <w:rFonts w:cs="Arial"/>
              </w:rPr>
              <w:t>Procureur général du Québec c. Luamba</w:t>
            </w:r>
          </w:p>
        </w:tc>
        <w:tc>
          <w:tcPr>
            <w:tcW w:w="1988" w:type="dxa"/>
          </w:tcPr>
          <w:p w14:paraId="711A28EA" w14:textId="533C4FB3" w:rsidR="008F364A" w:rsidRPr="00DD2B92" w:rsidRDefault="00DD2B92" w:rsidP="00DD2B92">
            <w:pPr>
              <w:pStyle w:val="zSoquijdatRefNeutre"/>
              <w:jc w:val="right"/>
              <w:rPr>
                <w:rFonts w:cs="Arial"/>
              </w:rPr>
            </w:pPr>
            <w:r w:rsidRPr="00DD2B92">
              <w:rPr>
                <w:rFonts w:cs="Arial"/>
              </w:rPr>
              <w:t>2024 QCCA 1387</w:t>
            </w:r>
          </w:p>
        </w:tc>
      </w:tr>
      <w:tr w:rsidR="008F364A" w14:paraId="2379AA60" w14:textId="77777777" w:rsidTr="008D18FC">
        <w:trPr>
          <w:trHeight w:val="247"/>
        </w:trPr>
        <w:tc>
          <w:tcPr>
            <w:tcW w:w="9360" w:type="dxa"/>
            <w:gridSpan w:val="6"/>
          </w:tcPr>
          <w:p w14:paraId="134D9C81" w14:textId="77777777" w:rsidR="008F364A" w:rsidRDefault="00740A17">
            <w:pPr>
              <w:pStyle w:val="zSoquijlblCour"/>
            </w:pPr>
            <w:r>
              <w:t>COUR D’APPEL</w:t>
            </w:r>
          </w:p>
        </w:tc>
      </w:tr>
      <w:tr w:rsidR="008F364A" w14:paraId="7FDB5CB8" w14:textId="77777777" w:rsidTr="008D18FC">
        <w:trPr>
          <w:trHeight w:val="540"/>
        </w:trPr>
        <w:tc>
          <w:tcPr>
            <w:tcW w:w="9360" w:type="dxa"/>
            <w:gridSpan w:val="6"/>
          </w:tcPr>
          <w:p w14:paraId="0D89F07B" w14:textId="77777777" w:rsidR="008F364A" w:rsidRDefault="008F364A">
            <w:pPr>
              <w:pStyle w:val="zSoquijdatDivision"/>
            </w:pPr>
          </w:p>
        </w:tc>
      </w:tr>
      <w:tr w:rsidR="008F364A" w14:paraId="7B0FA6B8" w14:textId="77777777" w:rsidTr="008D18FC">
        <w:tc>
          <w:tcPr>
            <w:tcW w:w="9360" w:type="dxa"/>
            <w:gridSpan w:val="6"/>
          </w:tcPr>
          <w:p w14:paraId="1D810E55" w14:textId="77777777" w:rsidR="008F364A" w:rsidRDefault="00740A17">
            <w:pPr>
              <w:pStyle w:val="zSoquijlblPays"/>
            </w:pPr>
            <w:r>
              <w:t>CANADA</w:t>
            </w:r>
          </w:p>
        </w:tc>
      </w:tr>
      <w:tr w:rsidR="008F364A" w14:paraId="06EDEA3E" w14:textId="77777777" w:rsidTr="008D18FC">
        <w:tc>
          <w:tcPr>
            <w:tcW w:w="9360" w:type="dxa"/>
            <w:gridSpan w:val="6"/>
          </w:tcPr>
          <w:p w14:paraId="45928ED0" w14:textId="77777777" w:rsidR="008F364A" w:rsidRDefault="00740A17">
            <w:pPr>
              <w:pStyle w:val="zSoquijlblProvince"/>
            </w:pPr>
            <w:r>
              <w:t>PROVINCE DE QUÉBEC</w:t>
            </w:r>
          </w:p>
          <w:p w14:paraId="227BEADD" w14:textId="04589AFD" w:rsidR="00C44A6F" w:rsidRDefault="00941BCF">
            <w:pPr>
              <w:pStyle w:val="zSoquijlblProvince"/>
            </w:pPr>
            <w:r>
              <w:t>GREFFE</w:t>
            </w:r>
            <w:r w:rsidR="00C44A6F">
              <w:t xml:space="preserve"> DE MONTRÉAL</w:t>
            </w:r>
          </w:p>
        </w:tc>
      </w:tr>
      <w:tr w:rsidR="008F364A" w14:paraId="5F10E877" w14:textId="77777777" w:rsidTr="00DE4925">
        <w:tc>
          <w:tcPr>
            <w:tcW w:w="1350" w:type="dxa"/>
            <w:gridSpan w:val="2"/>
          </w:tcPr>
          <w:p w14:paraId="70400AB6" w14:textId="44D4B7F4" w:rsidR="008F364A" w:rsidRDefault="008F364A" w:rsidP="00C44A6F">
            <w:pPr>
              <w:pStyle w:val="zSoquijlblGreffe"/>
            </w:pPr>
          </w:p>
          <w:p w14:paraId="63E7DF2D" w14:textId="77777777" w:rsidR="008F364A" w:rsidRDefault="008F364A">
            <w:pPr>
              <w:pStyle w:val="zSoquijlblGreffe"/>
            </w:pPr>
          </w:p>
        </w:tc>
        <w:tc>
          <w:tcPr>
            <w:tcW w:w="8010" w:type="dxa"/>
            <w:gridSpan w:val="4"/>
          </w:tcPr>
          <w:p w14:paraId="5169B350" w14:textId="721DEE3A" w:rsidR="008F364A" w:rsidRDefault="008F364A">
            <w:pPr>
              <w:pStyle w:val="zSoquijdatGreffe"/>
            </w:pPr>
          </w:p>
        </w:tc>
      </w:tr>
      <w:tr w:rsidR="008F364A" w14:paraId="694B35B3" w14:textId="77777777" w:rsidTr="008D18FC">
        <w:tc>
          <w:tcPr>
            <w:tcW w:w="1030" w:type="dxa"/>
          </w:tcPr>
          <w:p w14:paraId="26B3065B" w14:textId="77777777" w:rsidR="008F364A" w:rsidRDefault="00740A17">
            <w:pPr>
              <w:pStyle w:val="zSoquijlblNoDossier"/>
            </w:pPr>
            <w:r>
              <w:t>N° :</w:t>
            </w:r>
          </w:p>
        </w:tc>
        <w:tc>
          <w:tcPr>
            <w:tcW w:w="8330" w:type="dxa"/>
            <w:gridSpan w:val="5"/>
          </w:tcPr>
          <w:p w14:paraId="3D07A4D4" w14:textId="77777777" w:rsidR="008F364A" w:rsidRDefault="009238E1">
            <w:pPr>
              <w:pStyle w:val="zSoquijdatNoDossier"/>
            </w:pPr>
            <w:bookmarkStart w:id="0" w:name="NoDossier"/>
            <w:r>
              <w:t>500-09-030301-220</w:t>
            </w:r>
            <w:bookmarkEnd w:id="0"/>
          </w:p>
        </w:tc>
      </w:tr>
      <w:tr w:rsidR="009238E1" w14:paraId="1D43E1AC" w14:textId="77777777" w:rsidTr="008D18FC">
        <w:tc>
          <w:tcPr>
            <w:tcW w:w="9360" w:type="dxa"/>
            <w:gridSpan w:val="6"/>
          </w:tcPr>
          <w:p w14:paraId="05580852" w14:textId="77777777" w:rsidR="009238E1" w:rsidRDefault="009238E1" w:rsidP="009238E1">
            <w:pPr>
              <w:pStyle w:val="zSoquijdatNoDossierAnt"/>
            </w:pPr>
            <w:r>
              <w:t>(500-17-114387-205)</w:t>
            </w:r>
          </w:p>
        </w:tc>
      </w:tr>
      <w:tr w:rsidR="008F364A" w14:paraId="24EEE884" w14:textId="77777777" w:rsidTr="008D18FC">
        <w:tc>
          <w:tcPr>
            <w:tcW w:w="9360" w:type="dxa"/>
            <w:gridSpan w:val="6"/>
          </w:tcPr>
          <w:p w14:paraId="50353995" w14:textId="77777777" w:rsidR="008F364A" w:rsidRDefault="008F364A"/>
        </w:tc>
      </w:tr>
      <w:tr w:rsidR="008F364A" w14:paraId="56A09986" w14:textId="77777777" w:rsidTr="008D18FC">
        <w:tc>
          <w:tcPr>
            <w:tcW w:w="1030" w:type="dxa"/>
          </w:tcPr>
          <w:p w14:paraId="7C5ACC31" w14:textId="77777777" w:rsidR="008F364A" w:rsidRPr="00454EA1" w:rsidRDefault="00740A17">
            <w:pPr>
              <w:pStyle w:val="zSoquijlblDateJugement"/>
            </w:pPr>
            <w:r w:rsidRPr="00454EA1">
              <w:t>DATE :</w:t>
            </w:r>
          </w:p>
        </w:tc>
        <w:tc>
          <w:tcPr>
            <w:tcW w:w="8330" w:type="dxa"/>
            <w:gridSpan w:val="5"/>
          </w:tcPr>
          <w:p w14:paraId="42587580" w14:textId="6AA3F4B7" w:rsidR="008F364A" w:rsidRPr="00B7643E" w:rsidRDefault="00707E00" w:rsidP="002748FE">
            <w:pPr>
              <w:pStyle w:val="zSoquijdatDateJugement"/>
              <w:jc w:val="both"/>
              <w:rPr>
                <w:highlight w:val="yellow"/>
              </w:rPr>
            </w:pPr>
            <w:r w:rsidRPr="00707E00">
              <w:t>23 octobre 2024</w:t>
            </w:r>
          </w:p>
        </w:tc>
      </w:tr>
      <w:tr w:rsidR="008F364A" w14:paraId="1597F592" w14:textId="77777777" w:rsidTr="008D18FC">
        <w:tc>
          <w:tcPr>
            <w:tcW w:w="9360" w:type="dxa"/>
            <w:gridSpan w:val="6"/>
            <w:tcBorders>
              <w:bottom w:val="single" w:sz="8" w:space="0" w:color="auto"/>
            </w:tcBorders>
          </w:tcPr>
          <w:p w14:paraId="6A2E8457" w14:textId="77777777" w:rsidR="008F364A" w:rsidRDefault="008F364A"/>
        </w:tc>
      </w:tr>
      <w:tr w:rsidR="008F364A" w14:paraId="06BC276F" w14:textId="77777777" w:rsidTr="008D18FC">
        <w:tc>
          <w:tcPr>
            <w:tcW w:w="9360" w:type="dxa"/>
            <w:gridSpan w:val="6"/>
            <w:tcBorders>
              <w:top w:val="single" w:sz="8" w:space="0" w:color="auto"/>
            </w:tcBorders>
          </w:tcPr>
          <w:p w14:paraId="01B48E1A" w14:textId="77777777" w:rsidR="008F364A" w:rsidRDefault="008F364A"/>
        </w:tc>
      </w:tr>
      <w:tr w:rsidR="008F364A" w14:paraId="3E3E7B8A" w14:textId="77777777" w:rsidTr="008D18FC">
        <w:tc>
          <w:tcPr>
            <w:tcW w:w="1620" w:type="dxa"/>
            <w:gridSpan w:val="3"/>
          </w:tcPr>
          <w:p w14:paraId="7B417256" w14:textId="77777777" w:rsidR="008F364A" w:rsidRDefault="00B70485" w:rsidP="00423DF1">
            <w:pPr>
              <w:pStyle w:val="zSoquijlblJuge"/>
              <w:ind w:right="-142"/>
            </w:pPr>
            <w:bookmarkStart w:id="1" w:name="FORMATION"/>
            <w:r>
              <w:t>FORMATION</w:t>
            </w:r>
            <w:r w:rsidR="00B513C9">
              <w:t> </w:t>
            </w:r>
            <w:r w:rsidR="00740A17">
              <w:t>:</w:t>
            </w:r>
            <w:bookmarkEnd w:id="1"/>
          </w:p>
        </w:tc>
        <w:tc>
          <w:tcPr>
            <w:tcW w:w="2350" w:type="dxa"/>
          </w:tcPr>
          <w:p w14:paraId="18CC5A1A" w14:textId="77777777" w:rsidR="008F364A" w:rsidRDefault="00740A17">
            <w:pPr>
              <w:pStyle w:val="zSoquijdatQteJuge"/>
            </w:pPr>
            <w:bookmarkStart w:id="2" w:name="Honorables"/>
            <w:r>
              <w:t>LES HONORABLES</w:t>
            </w:r>
            <w:bookmarkEnd w:id="2"/>
          </w:p>
        </w:tc>
        <w:tc>
          <w:tcPr>
            <w:tcW w:w="5390" w:type="dxa"/>
            <w:gridSpan w:val="2"/>
          </w:tcPr>
          <w:p w14:paraId="72A94E5D" w14:textId="77777777" w:rsidR="008F364A" w:rsidRDefault="009238E1">
            <w:pPr>
              <w:pStyle w:val="zSoquijdatJuge"/>
            </w:pPr>
            <w:bookmarkStart w:id="3" w:name="NomJuge1"/>
            <w:r>
              <w:t>JULIE DUTIL, J.C.A.</w:t>
            </w:r>
            <w:bookmarkEnd w:id="3"/>
          </w:p>
          <w:p w14:paraId="64304B75" w14:textId="77777777" w:rsidR="008F364A" w:rsidRDefault="009238E1">
            <w:pPr>
              <w:pStyle w:val="zSoquijdatJuge"/>
            </w:pPr>
            <w:bookmarkStart w:id="4" w:name="NomJuge2"/>
            <w:r>
              <w:t>SUZANNE GAGNÉ, J.C.A.</w:t>
            </w:r>
            <w:bookmarkEnd w:id="4"/>
          </w:p>
          <w:p w14:paraId="2BCBA325" w14:textId="77777777" w:rsidR="005A78BF" w:rsidRDefault="009238E1" w:rsidP="009238E1">
            <w:pPr>
              <w:pStyle w:val="zSoquijdatJuge"/>
              <w:rPr>
                <w:lang w:val="de-DE"/>
              </w:rPr>
            </w:pPr>
            <w:bookmarkStart w:id="5" w:name="_Hlt520513784"/>
            <w:bookmarkStart w:id="6" w:name="NomJuge3"/>
            <w:bookmarkEnd w:id="5"/>
            <w:r>
              <w:t>LORI RENÉE WEITZMAN, J.C.A.</w:t>
            </w:r>
            <w:bookmarkEnd w:id="6"/>
          </w:p>
        </w:tc>
      </w:tr>
      <w:tr w:rsidR="008F364A" w14:paraId="31E3A730" w14:textId="77777777" w:rsidTr="008D18FC">
        <w:tc>
          <w:tcPr>
            <w:tcW w:w="9360" w:type="dxa"/>
            <w:gridSpan w:val="6"/>
            <w:tcBorders>
              <w:bottom w:val="single" w:sz="8" w:space="0" w:color="auto"/>
            </w:tcBorders>
          </w:tcPr>
          <w:p w14:paraId="7E162057" w14:textId="77777777" w:rsidR="008F364A" w:rsidRDefault="008F364A">
            <w:pPr>
              <w:rPr>
                <w:lang w:val="de-DE"/>
              </w:rPr>
            </w:pPr>
          </w:p>
        </w:tc>
      </w:tr>
      <w:tr w:rsidR="008F364A" w14:paraId="3EC3393A" w14:textId="77777777" w:rsidTr="008D18FC">
        <w:tc>
          <w:tcPr>
            <w:tcW w:w="9360" w:type="dxa"/>
            <w:gridSpan w:val="6"/>
          </w:tcPr>
          <w:p w14:paraId="0591A067" w14:textId="77777777" w:rsidR="008F364A" w:rsidRDefault="008F364A">
            <w:pPr>
              <w:pStyle w:val="zSoquijlblTitrePartie"/>
              <w:rPr>
                <w:lang w:val="de-DE"/>
              </w:rPr>
            </w:pPr>
          </w:p>
        </w:tc>
      </w:tr>
      <w:tr w:rsidR="008F364A" w14:paraId="15E6C7C8" w14:textId="77777777" w:rsidTr="008D18FC">
        <w:tc>
          <w:tcPr>
            <w:tcW w:w="9360" w:type="dxa"/>
            <w:gridSpan w:val="6"/>
          </w:tcPr>
          <w:p w14:paraId="62774D8B" w14:textId="15DEE37B" w:rsidR="008F364A" w:rsidRDefault="009238E1">
            <w:pPr>
              <w:pStyle w:val="zSoquijdatNomPartieDem"/>
              <w:rPr>
                <w:lang w:val="de-DE"/>
              </w:rPr>
            </w:pPr>
            <w:r>
              <w:t>PROCUREUR GÉNÉRAL DU QUÉBEC</w:t>
            </w:r>
          </w:p>
        </w:tc>
      </w:tr>
      <w:tr w:rsidR="008F364A" w14:paraId="5DBB880E" w14:textId="77777777" w:rsidTr="008D18FC">
        <w:tc>
          <w:tcPr>
            <w:tcW w:w="9360" w:type="dxa"/>
            <w:gridSpan w:val="6"/>
          </w:tcPr>
          <w:p w14:paraId="518B07EA" w14:textId="4447CE6D" w:rsidR="008F364A" w:rsidRDefault="009238E1">
            <w:pPr>
              <w:pStyle w:val="zSoquijdatQtePartieDem"/>
              <w:rPr>
                <w:lang w:val="de-DE"/>
              </w:rPr>
            </w:pPr>
            <w:r>
              <w:t xml:space="preserve">APPELANT – défendeur </w:t>
            </w:r>
          </w:p>
        </w:tc>
      </w:tr>
      <w:tr w:rsidR="008F364A" w14:paraId="2AC2CCAF" w14:textId="77777777" w:rsidTr="008D18FC">
        <w:tc>
          <w:tcPr>
            <w:tcW w:w="9360" w:type="dxa"/>
            <w:gridSpan w:val="6"/>
          </w:tcPr>
          <w:p w14:paraId="7E5F5813" w14:textId="77777777" w:rsidR="008F364A" w:rsidRDefault="00740A17">
            <w:pPr>
              <w:pStyle w:val="zSoquijlblLienParties"/>
              <w:rPr>
                <w:lang w:val="en-CA"/>
              </w:rPr>
            </w:pPr>
            <w:r>
              <w:rPr>
                <w:lang w:val="en-CA"/>
              </w:rPr>
              <w:t>c.</w:t>
            </w:r>
          </w:p>
        </w:tc>
      </w:tr>
      <w:tr w:rsidR="008F364A" w14:paraId="5D164286" w14:textId="77777777" w:rsidTr="008D18FC">
        <w:tc>
          <w:tcPr>
            <w:tcW w:w="9360" w:type="dxa"/>
            <w:gridSpan w:val="6"/>
          </w:tcPr>
          <w:p w14:paraId="0E33321D" w14:textId="77777777" w:rsidR="008F364A" w:rsidRDefault="008F364A">
            <w:pPr>
              <w:rPr>
                <w:lang w:val="en-CA"/>
              </w:rPr>
            </w:pPr>
          </w:p>
        </w:tc>
      </w:tr>
      <w:tr w:rsidR="008F364A" w14:paraId="1D513FF9" w14:textId="77777777" w:rsidTr="008D18FC">
        <w:tc>
          <w:tcPr>
            <w:tcW w:w="9360" w:type="dxa"/>
            <w:gridSpan w:val="6"/>
          </w:tcPr>
          <w:p w14:paraId="3A02ED2A" w14:textId="217BEAE0" w:rsidR="008F364A" w:rsidRDefault="009238E1">
            <w:pPr>
              <w:pStyle w:val="zSoquijdatNomPartieDef"/>
              <w:rPr>
                <w:lang w:val="en-CA"/>
              </w:rPr>
            </w:pPr>
            <w:r>
              <w:t>JOSEPH-CHRISTOPHER LUAMBA</w:t>
            </w:r>
          </w:p>
        </w:tc>
      </w:tr>
      <w:tr w:rsidR="008F364A" w14:paraId="6BFE1AC4" w14:textId="77777777" w:rsidTr="008D18FC">
        <w:tc>
          <w:tcPr>
            <w:tcW w:w="9360" w:type="dxa"/>
            <w:gridSpan w:val="6"/>
          </w:tcPr>
          <w:p w14:paraId="510FF385" w14:textId="53A1C406" w:rsidR="008F364A" w:rsidRDefault="009238E1">
            <w:pPr>
              <w:pStyle w:val="zSoquijdatQtePartieDef"/>
              <w:rPr>
                <w:lang w:val="en-CA"/>
              </w:rPr>
            </w:pPr>
            <w:r>
              <w:t>INTIMÉ – demandeur</w:t>
            </w:r>
          </w:p>
        </w:tc>
      </w:tr>
      <w:tr w:rsidR="00C01CC0" w14:paraId="50D0B589" w14:textId="77777777" w:rsidTr="008D18FC">
        <w:tc>
          <w:tcPr>
            <w:tcW w:w="9360" w:type="dxa"/>
            <w:gridSpan w:val="6"/>
          </w:tcPr>
          <w:p w14:paraId="6431427E" w14:textId="0ECFA600" w:rsidR="00C01CC0" w:rsidRDefault="00116A16" w:rsidP="00C01CC0">
            <w:pPr>
              <w:pStyle w:val="zSoquijdatQtePartieDef"/>
              <w:ind w:left="0"/>
            </w:pPr>
            <w:r>
              <w:t>e</w:t>
            </w:r>
            <w:r w:rsidR="00C01CC0">
              <w:t>t</w:t>
            </w:r>
          </w:p>
        </w:tc>
      </w:tr>
      <w:tr w:rsidR="00C01CC0" w14:paraId="479532D9" w14:textId="77777777" w:rsidTr="008D18FC">
        <w:tc>
          <w:tcPr>
            <w:tcW w:w="9360" w:type="dxa"/>
            <w:gridSpan w:val="6"/>
          </w:tcPr>
          <w:p w14:paraId="7E636E8E" w14:textId="75E474EB" w:rsidR="00C01CC0" w:rsidRPr="00C01CC0" w:rsidRDefault="00C01CC0" w:rsidP="00C01CC0">
            <w:pPr>
              <w:pStyle w:val="zSoquijdatQtePartieDef"/>
              <w:ind w:left="0"/>
              <w:rPr>
                <w:b/>
                <w:bCs/>
              </w:rPr>
            </w:pPr>
            <w:r w:rsidRPr="00C01CC0">
              <w:rPr>
                <w:b/>
                <w:bCs/>
              </w:rPr>
              <w:t>ASSOCIATION CANADIENNE DES LIBERTÉS CIVILES</w:t>
            </w:r>
          </w:p>
        </w:tc>
      </w:tr>
      <w:tr w:rsidR="00C01CC0" w14:paraId="400F4D44" w14:textId="77777777" w:rsidTr="008D18FC">
        <w:tc>
          <w:tcPr>
            <w:tcW w:w="9360" w:type="dxa"/>
            <w:gridSpan w:val="6"/>
          </w:tcPr>
          <w:p w14:paraId="67F1BDE8" w14:textId="167C68AA" w:rsidR="00C01CC0" w:rsidRDefault="00C01CC0">
            <w:pPr>
              <w:pStyle w:val="zSoquijdatQtePartieDef"/>
            </w:pPr>
            <w:r>
              <w:t xml:space="preserve">INTIMÉE – </w:t>
            </w:r>
            <w:r w:rsidR="004E6BE0">
              <w:t>intervenante</w:t>
            </w:r>
          </w:p>
        </w:tc>
      </w:tr>
      <w:tr w:rsidR="009238E1" w14:paraId="6E9980D7" w14:textId="77777777" w:rsidTr="008D18FC">
        <w:tc>
          <w:tcPr>
            <w:tcW w:w="9360" w:type="dxa"/>
            <w:gridSpan w:val="6"/>
          </w:tcPr>
          <w:p w14:paraId="51456751" w14:textId="0629838A" w:rsidR="009238E1" w:rsidRDefault="00116A16" w:rsidP="009238E1">
            <w:pPr>
              <w:rPr>
                <w:lang w:val="en-CA"/>
              </w:rPr>
            </w:pPr>
            <w:r>
              <w:rPr>
                <w:lang w:val="en-CA"/>
              </w:rPr>
              <w:t>e</w:t>
            </w:r>
            <w:r w:rsidR="009238E1">
              <w:rPr>
                <w:lang w:val="en-CA"/>
              </w:rPr>
              <w:t>t</w:t>
            </w:r>
          </w:p>
        </w:tc>
      </w:tr>
      <w:tr w:rsidR="009238E1" w:rsidRPr="009238E1" w14:paraId="57354A8D" w14:textId="77777777" w:rsidTr="008D18FC">
        <w:tc>
          <w:tcPr>
            <w:tcW w:w="9360" w:type="dxa"/>
            <w:gridSpan w:val="6"/>
          </w:tcPr>
          <w:p w14:paraId="11F09FF6" w14:textId="4F61E46C" w:rsidR="009238E1" w:rsidRPr="009238E1" w:rsidRDefault="009238E1" w:rsidP="009238E1">
            <w:pPr>
              <w:pStyle w:val="zSoquijdatNomPartieDef"/>
            </w:pPr>
            <w:r w:rsidRPr="009238E1">
              <w:t>PROCUREUR GÉNÉRAL DU CANADA</w:t>
            </w:r>
          </w:p>
        </w:tc>
      </w:tr>
      <w:tr w:rsidR="009238E1" w:rsidRPr="009238E1" w14:paraId="09A68F07" w14:textId="77777777" w:rsidTr="008D18FC">
        <w:tc>
          <w:tcPr>
            <w:tcW w:w="9360" w:type="dxa"/>
            <w:gridSpan w:val="6"/>
          </w:tcPr>
          <w:p w14:paraId="3279E72E" w14:textId="0D6ED8CB" w:rsidR="009238E1" w:rsidRPr="009238E1" w:rsidRDefault="009238E1" w:rsidP="009238E1">
            <w:pPr>
              <w:pStyle w:val="zSoquijdatQtePartieDef"/>
            </w:pPr>
            <w:r w:rsidRPr="009238E1">
              <w:t>MIS EN CAUSE – défendeur</w:t>
            </w:r>
          </w:p>
        </w:tc>
      </w:tr>
      <w:tr w:rsidR="009238E1" w:rsidRPr="009238E1" w14:paraId="0609CAFB" w14:textId="77777777" w:rsidTr="008D18FC">
        <w:tc>
          <w:tcPr>
            <w:tcW w:w="9360" w:type="dxa"/>
            <w:gridSpan w:val="6"/>
          </w:tcPr>
          <w:p w14:paraId="6B5A660C" w14:textId="5C594DBC" w:rsidR="009238E1" w:rsidRPr="009238E1" w:rsidRDefault="00116A16" w:rsidP="009238E1">
            <w:r>
              <w:t>e</w:t>
            </w:r>
            <w:r w:rsidR="00451BFE" w:rsidRPr="009238E1">
              <w:t>t</w:t>
            </w:r>
          </w:p>
        </w:tc>
      </w:tr>
      <w:tr w:rsidR="009238E1" w:rsidRPr="00707E00" w14:paraId="222A4E8D" w14:textId="77777777" w:rsidTr="008D18FC">
        <w:tc>
          <w:tcPr>
            <w:tcW w:w="9360" w:type="dxa"/>
            <w:gridSpan w:val="6"/>
          </w:tcPr>
          <w:p w14:paraId="40BCB2F6" w14:textId="079CF4CC" w:rsidR="009238E1" w:rsidRPr="00E51D09" w:rsidRDefault="009238E1" w:rsidP="009238E1">
            <w:pPr>
              <w:pStyle w:val="zSoquijdatNomPartieDef"/>
              <w:rPr>
                <w:lang w:val="en-CA"/>
              </w:rPr>
            </w:pPr>
            <w:r w:rsidRPr="00E51D09">
              <w:rPr>
                <w:lang w:val="en-CA"/>
              </w:rPr>
              <w:t>CANADIAN ASSOCIATION OF BLACK LAWYERS</w:t>
            </w:r>
          </w:p>
        </w:tc>
      </w:tr>
      <w:tr w:rsidR="009238E1" w:rsidRPr="009238E1" w14:paraId="3FED01B6" w14:textId="77777777" w:rsidTr="008D18FC">
        <w:tc>
          <w:tcPr>
            <w:tcW w:w="9360" w:type="dxa"/>
            <w:gridSpan w:val="6"/>
          </w:tcPr>
          <w:p w14:paraId="4C144021" w14:textId="2367DE99" w:rsidR="009238E1" w:rsidRPr="009238E1" w:rsidRDefault="009238E1" w:rsidP="009238E1">
            <w:pPr>
              <w:pStyle w:val="zSoquijdatQtePartieDef"/>
            </w:pPr>
            <w:r w:rsidRPr="009238E1">
              <w:t>MISE EN CAUSE – intervenante</w:t>
            </w:r>
          </w:p>
        </w:tc>
      </w:tr>
      <w:tr w:rsidR="00C01CC0" w:rsidRPr="009238E1" w14:paraId="7BCFCFD3" w14:textId="77777777" w:rsidTr="008D18FC">
        <w:tc>
          <w:tcPr>
            <w:tcW w:w="9360" w:type="dxa"/>
            <w:gridSpan w:val="6"/>
          </w:tcPr>
          <w:p w14:paraId="23367915" w14:textId="0F23A696" w:rsidR="00C01CC0" w:rsidRPr="009238E1" w:rsidRDefault="00116A16" w:rsidP="00C01CC0">
            <w:pPr>
              <w:pStyle w:val="zSoquijdatQtePartieDef"/>
              <w:ind w:left="0"/>
            </w:pPr>
            <w:r>
              <w:t>e</w:t>
            </w:r>
            <w:r w:rsidR="00C01CC0">
              <w:t>t</w:t>
            </w:r>
          </w:p>
        </w:tc>
      </w:tr>
      <w:tr w:rsidR="00C01CC0" w:rsidRPr="009238E1" w14:paraId="4B3A0023" w14:textId="77777777" w:rsidTr="008D18FC">
        <w:tc>
          <w:tcPr>
            <w:tcW w:w="9360" w:type="dxa"/>
            <w:gridSpan w:val="6"/>
          </w:tcPr>
          <w:p w14:paraId="75E5EC1C" w14:textId="77777777" w:rsidR="00C01CC0" w:rsidRDefault="00C01CC0" w:rsidP="00C01CC0">
            <w:pPr>
              <w:pStyle w:val="zSoquijdatNomPartieDef"/>
            </w:pPr>
            <w:r>
              <w:t>BRITISH COLUMBIA CIVIL LIBERTIES ASSOCIATION</w:t>
            </w:r>
          </w:p>
          <w:p w14:paraId="109FE383" w14:textId="77777777" w:rsidR="00C01CC0" w:rsidRDefault="00C01CC0" w:rsidP="00C01CC0">
            <w:pPr>
              <w:pStyle w:val="zSoquijdatNomPartieDef"/>
            </w:pPr>
            <w:r>
              <w:t>CLINIQUE JURIDIQUE DE SAINT-MICHEL</w:t>
            </w:r>
          </w:p>
          <w:p w14:paraId="787C14E1" w14:textId="1856DA64" w:rsidR="00C01CC0" w:rsidRPr="00C01CC0" w:rsidRDefault="00C01CC0" w:rsidP="00C01CC0">
            <w:pPr>
              <w:pStyle w:val="zSoquijdatQtePartieDef"/>
              <w:ind w:left="0"/>
              <w:rPr>
                <w:b/>
                <w:bCs/>
              </w:rPr>
            </w:pPr>
            <w:r w:rsidRPr="00C01CC0">
              <w:rPr>
                <w:b/>
                <w:bCs/>
              </w:rPr>
              <w:t xml:space="preserve">COMMISSION DES DROITS DE LA PERSONNE ET </w:t>
            </w:r>
            <w:r w:rsidR="004E6BE0">
              <w:rPr>
                <w:b/>
                <w:bCs/>
              </w:rPr>
              <w:t xml:space="preserve">DES DROITS </w:t>
            </w:r>
            <w:r w:rsidRPr="00C01CC0">
              <w:rPr>
                <w:b/>
                <w:bCs/>
              </w:rPr>
              <w:t>DE LA JEUNESSE</w:t>
            </w:r>
          </w:p>
        </w:tc>
      </w:tr>
      <w:tr w:rsidR="00C01CC0" w:rsidRPr="009238E1" w14:paraId="369EE7A4" w14:textId="77777777" w:rsidTr="008D18FC">
        <w:tc>
          <w:tcPr>
            <w:tcW w:w="9360" w:type="dxa"/>
            <w:gridSpan w:val="6"/>
          </w:tcPr>
          <w:p w14:paraId="5590FF4C" w14:textId="5CEA50E3" w:rsidR="00C01CC0" w:rsidRPr="009238E1" w:rsidRDefault="00C01CC0" w:rsidP="009238E1">
            <w:pPr>
              <w:pStyle w:val="zSoquijdatQtePartieDef"/>
            </w:pPr>
            <w:r>
              <w:t>INTERVENANTES</w:t>
            </w:r>
          </w:p>
        </w:tc>
      </w:tr>
    </w:tbl>
    <w:p w14:paraId="1214EF88" w14:textId="77777777" w:rsidR="002E46A6" w:rsidRDefault="002E46A6">
      <w:pPr>
        <w:sectPr w:rsidR="002E46A6" w:rsidSect="00D757DC">
          <w:headerReference w:type="even" r:id="rId8"/>
          <w:headerReference w:type="default" r:id="rId9"/>
          <w:footerReference w:type="even" r:id="rId10"/>
          <w:footerReference w:type="default" r:id="rId11"/>
          <w:headerReference w:type="first" r:id="rId12"/>
          <w:footerReference w:type="first" r:id="rId13"/>
          <w:pgSz w:w="12242" w:h="15842" w:code="1"/>
          <w:pgMar w:top="1440" w:right="1008" w:bottom="1440" w:left="1872" w:header="1440" w:footer="792" w:gutter="0"/>
          <w:cols w:space="720"/>
          <w:formProt w:val="0"/>
          <w:titlePg/>
        </w:sectPr>
      </w:pPr>
    </w:p>
    <w:tbl>
      <w:tblPr>
        <w:tblW w:w="9360" w:type="dxa"/>
        <w:tblLayout w:type="fixed"/>
        <w:tblCellMar>
          <w:left w:w="0" w:type="dxa"/>
          <w:right w:w="0" w:type="dxa"/>
        </w:tblCellMar>
        <w:tblLook w:val="0000" w:firstRow="0" w:lastRow="0" w:firstColumn="0" w:lastColumn="0" w:noHBand="0" w:noVBand="0"/>
      </w:tblPr>
      <w:tblGrid>
        <w:gridCol w:w="9360"/>
      </w:tblGrid>
      <w:tr w:rsidR="002E46A6" w14:paraId="65F3810F" w14:textId="77777777" w:rsidTr="008930CE">
        <w:tc>
          <w:tcPr>
            <w:tcW w:w="9360" w:type="dxa"/>
          </w:tcPr>
          <w:p w14:paraId="6E664F0C" w14:textId="77777777" w:rsidR="002E46A6" w:rsidRDefault="002E46A6" w:rsidP="008930CE">
            <w:pPr>
              <w:rPr>
                <w:lang w:val="en-CA"/>
              </w:rPr>
            </w:pPr>
          </w:p>
        </w:tc>
      </w:tr>
      <w:tr w:rsidR="002E46A6" w14:paraId="41242A9F" w14:textId="77777777" w:rsidTr="008930CE">
        <w:tc>
          <w:tcPr>
            <w:tcW w:w="9360" w:type="dxa"/>
            <w:tcBorders>
              <w:top w:val="single" w:sz="4" w:space="0" w:color="auto"/>
            </w:tcBorders>
          </w:tcPr>
          <w:p w14:paraId="49AB0679" w14:textId="77777777" w:rsidR="002E46A6" w:rsidRDefault="002E46A6" w:rsidP="008930CE">
            <w:pPr>
              <w:rPr>
                <w:lang w:val="en-CA"/>
              </w:rPr>
            </w:pPr>
          </w:p>
        </w:tc>
      </w:tr>
      <w:tr w:rsidR="002E46A6" w14:paraId="164F86D9" w14:textId="77777777" w:rsidTr="008930CE">
        <w:tc>
          <w:tcPr>
            <w:tcW w:w="9360" w:type="dxa"/>
          </w:tcPr>
          <w:p w14:paraId="2383E75C" w14:textId="77777777" w:rsidR="002E46A6" w:rsidRDefault="002E46A6" w:rsidP="008930CE">
            <w:pPr>
              <w:pStyle w:val="zSoquijlblTypeDocument"/>
            </w:pPr>
            <w:r>
              <w:t>TABLE DES MATIÈRES</w:t>
            </w:r>
          </w:p>
        </w:tc>
      </w:tr>
      <w:tr w:rsidR="002E46A6" w14:paraId="6414C34D" w14:textId="77777777" w:rsidTr="008930CE">
        <w:tc>
          <w:tcPr>
            <w:tcW w:w="9360" w:type="dxa"/>
            <w:tcBorders>
              <w:bottom w:val="single" w:sz="8" w:space="0" w:color="auto"/>
            </w:tcBorders>
          </w:tcPr>
          <w:p w14:paraId="03F4DED2" w14:textId="77777777" w:rsidR="002E46A6" w:rsidRDefault="002E46A6" w:rsidP="008930CE"/>
        </w:tc>
      </w:tr>
    </w:tbl>
    <w:p w14:paraId="136F9DBF" w14:textId="2BF552E8" w:rsidR="002E46A6" w:rsidRDefault="002E46A6"/>
    <w:p w14:paraId="511EF6D9" w14:textId="77777777" w:rsidR="00724621" w:rsidRDefault="00724621"/>
    <w:p w14:paraId="2CEA68A4" w14:textId="6C12F4C8" w:rsidR="00D757DC" w:rsidRDefault="005273D9">
      <w:pPr>
        <w:pStyle w:val="TM1"/>
        <w:rPr>
          <w:rFonts w:asciiTheme="minorHAnsi" w:eastAsiaTheme="minorEastAsia" w:hAnsiTheme="minorHAnsi" w:cstheme="minorBidi"/>
          <w:b w:val="0"/>
          <w:caps w:val="0"/>
          <w:noProof/>
          <w:kern w:val="2"/>
          <w:sz w:val="22"/>
          <w:szCs w:val="22"/>
          <w:lang w:eastAsia="fr-CA"/>
          <w14:ligatures w14:val="standardContextual"/>
        </w:rPr>
      </w:pPr>
      <w:r>
        <w:t>I.</w:t>
      </w:r>
      <w:r>
        <w:tab/>
        <w:t>CONTEXTE</w:t>
      </w:r>
      <w:r>
        <w:tab/>
        <w:t>5</w:t>
      </w:r>
      <w:r w:rsidR="001F707F" w:rsidRPr="00FC21C6">
        <w:fldChar w:fldCharType="begin"/>
      </w:r>
      <w:r w:rsidR="001F707F" w:rsidRPr="00FC21C6">
        <w:instrText xml:space="preserve"> TOC \o "1-4" \h \z \u </w:instrText>
      </w:r>
      <w:r w:rsidR="001F707F" w:rsidRPr="00FC21C6">
        <w:fldChar w:fldCharType="separate"/>
      </w:r>
      <w:hyperlink w:anchor="_Toc180397453" w:history="1"/>
    </w:p>
    <w:p w14:paraId="37BD2B9A" w14:textId="3D830DFB" w:rsidR="00D757DC" w:rsidRDefault="00DD2B92">
      <w:pPr>
        <w:pStyle w:val="TM1"/>
        <w:rPr>
          <w:rFonts w:asciiTheme="minorHAnsi" w:eastAsiaTheme="minorEastAsia" w:hAnsiTheme="minorHAnsi" w:cstheme="minorBidi"/>
          <w:b w:val="0"/>
          <w:caps w:val="0"/>
          <w:noProof/>
          <w:kern w:val="2"/>
          <w:sz w:val="22"/>
          <w:szCs w:val="22"/>
          <w:lang w:eastAsia="fr-CA"/>
          <w14:ligatures w14:val="standardContextual"/>
        </w:rPr>
      </w:pPr>
      <w:hyperlink w:anchor="_Toc180397454" w:history="1">
        <w:r w:rsidR="005273D9">
          <w:rPr>
            <w:rStyle w:val="Hyperlien"/>
            <w:noProof/>
          </w:rPr>
          <w:t>II.</w:t>
        </w:r>
        <w:r w:rsidR="005273D9">
          <w:rPr>
            <w:rStyle w:val="Hyperlien"/>
            <w:noProof/>
          </w:rPr>
          <w:tab/>
          <w:t>RÈGLE DE COMMON LAW ET ART. 636 C.S.R.</w:t>
        </w:r>
        <w:r w:rsidR="005273D9">
          <w:rPr>
            <w:rStyle w:val="Hyperlien"/>
            <w:noProof/>
          </w:rPr>
          <w:tab/>
          <w:t>7</w:t>
        </w:r>
      </w:hyperlink>
    </w:p>
    <w:p w14:paraId="6F3E8C7B" w14:textId="3BA4AFAB"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55" w:history="1">
        <w:r w:rsidR="005273D9">
          <w:rPr>
            <w:rStyle w:val="Hyperlien"/>
            <w:noProof/>
          </w:rPr>
          <w:t>A.</w:t>
        </w:r>
        <w:r w:rsidR="005273D9">
          <w:rPr>
            <w:rStyle w:val="Hyperlien"/>
            <w:noProof/>
          </w:rPr>
          <w:tab/>
          <w:t>L’arrêt Ladouceur</w:t>
        </w:r>
        <w:r w:rsidR="005273D9">
          <w:rPr>
            <w:rStyle w:val="Hyperlien"/>
            <w:noProof/>
          </w:rPr>
          <w:tab/>
          <w:t>7</w:t>
        </w:r>
      </w:hyperlink>
    </w:p>
    <w:p w14:paraId="4DA04D35" w14:textId="280F71A3"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56" w:history="1">
        <w:r w:rsidR="005273D9">
          <w:rPr>
            <w:rStyle w:val="Hyperlien"/>
            <w:noProof/>
          </w:rPr>
          <w:t>B.</w:t>
        </w:r>
        <w:r w:rsidR="005273D9">
          <w:rPr>
            <w:rStyle w:val="Hyperlien"/>
            <w:noProof/>
          </w:rPr>
          <w:tab/>
          <w:t>L’article 636 C.s.r.</w:t>
        </w:r>
        <w:r w:rsidR="005273D9">
          <w:rPr>
            <w:rStyle w:val="Hyperlien"/>
            <w:noProof/>
          </w:rPr>
          <w:tab/>
          <w:t>13</w:t>
        </w:r>
      </w:hyperlink>
    </w:p>
    <w:p w14:paraId="19BED448" w14:textId="269FB211" w:rsidR="00D757DC" w:rsidRDefault="00DD2B92">
      <w:pPr>
        <w:pStyle w:val="TM1"/>
        <w:rPr>
          <w:rFonts w:asciiTheme="minorHAnsi" w:eastAsiaTheme="minorEastAsia" w:hAnsiTheme="minorHAnsi" w:cstheme="minorBidi"/>
          <w:b w:val="0"/>
          <w:caps w:val="0"/>
          <w:noProof/>
          <w:kern w:val="2"/>
          <w:sz w:val="22"/>
          <w:szCs w:val="22"/>
          <w:lang w:eastAsia="fr-CA"/>
          <w14:ligatures w14:val="standardContextual"/>
        </w:rPr>
      </w:pPr>
      <w:hyperlink w:anchor="_Toc180397457" w:history="1">
        <w:r w:rsidR="005273D9">
          <w:rPr>
            <w:rStyle w:val="Hyperlien"/>
            <w:noProof/>
          </w:rPr>
          <w:t>III.</w:t>
        </w:r>
        <w:r w:rsidR="005273D9">
          <w:rPr>
            <w:rStyle w:val="Hyperlien"/>
            <w:noProof/>
          </w:rPr>
          <w:tab/>
          <w:t>JUGEMENT DE PREMIÈRE INSTANCE</w:t>
        </w:r>
        <w:r w:rsidR="005273D9">
          <w:rPr>
            <w:rStyle w:val="Hyperlien"/>
            <w:noProof/>
          </w:rPr>
          <w:tab/>
          <w:t>15</w:t>
        </w:r>
      </w:hyperlink>
    </w:p>
    <w:p w14:paraId="48E28275" w14:textId="3CA82864"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58" w:history="1">
        <w:r w:rsidR="005273D9">
          <w:rPr>
            <w:rStyle w:val="Hyperlien"/>
            <w:noProof/>
          </w:rPr>
          <w:t>A.</w:t>
        </w:r>
        <w:r w:rsidR="005273D9">
          <w:rPr>
            <w:rStyle w:val="Hyperlien"/>
            <w:noProof/>
          </w:rPr>
          <w:tab/>
          <w:t>L’arrêt Ladouceur et la règle du stare decisis</w:t>
        </w:r>
        <w:r w:rsidR="005273D9">
          <w:rPr>
            <w:rStyle w:val="Hyperlien"/>
            <w:noProof/>
          </w:rPr>
          <w:tab/>
          <w:t>15</w:t>
        </w:r>
      </w:hyperlink>
    </w:p>
    <w:p w14:paraId="34B3941A" w14:textId="312204B6"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59" w:history="1">
        <w:r w:rsidR="005273D9">
          <w:rPr>
            <w:rStyle w:val="Hyperlien"/>
            <w:noProof/>
          </w:rPr>
          <w:t>B.</w:t>
        </w:r>
        <w:r w:rsidR="005273D9">
          <w:rPr>
            <w:rStyle w:val="Hyperlien"/>
            <w:noProof/>
          </w:rPr>
          <w:tab/>
          <w:t>L’article 9 de la Charte</w:t>
        </w:r>
        <w:r w:rsidR="005273D9">
          <w:rPr>
            <w:rStyle w:val="Hyperlien"/>
            <w:noProof/>
          </w:rPr>
          <w:tab/>
          <w:t>16</w:t>
        </w:r>
      </w:hyperlink>
    </w:p>
    <w:p w14:paraId="68457BDD" w14:textId="18A93F75"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60" w:history="1">
        <w:r w:rsidR="005273D9">
          <w:rPr>
            <w:rStyle w:val="Hyperlien"/>
            <w:noProof/>
          </w:rPr>
          <w:t>C.</w:t>
        </w:r>
        <w:r w:rsidR="005273D9">
          <w:rPr>
            <w:rStyle w:val="Hyperlien"/>
            <w:noProof/>
          </w:rPr>
          <w:tab/>
          <w:t>L’article 7 de la Charte</w:t>
        </w:r>
        <w:r w:rsidR="005273D9">
          <w:rPr>
            <w:rStyle w:val="Hyperlien"/>
            <w:noProof/>
          </w:rPr>
          <w:tab/>
          <w:t>16</w:t>
        </w:r>
      </w:hyperlink>
    </w:p>
    <w:p w14:paraId="4CADC5FF" w14:textId="43DF5A26"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61" w:history="1">
        <w:r w:rsidR="005273D9">
          <w:rPr>
            <w:rStyle w:val="Hyperlien"/>
            <w:noProof/>
          </w:rPr>
          <w:t>D.</w:t>
        </w:r>
        <w:r w:rsidR="005273D9">
          <w:rPr>
            <w:rStyle w:val="Hyperlien"/>
            <w:noProof/>
          </w:rPr>
          <w:tab/>
          <w:t>Le paragraphe 15(1) de la Charte</w:t>
        </w:r>
        <w:r w:rsidR="005273D9">
          <w:rPr>
            <w:rStyle w:val="Hyperlien"/>
            <w:noProof/>
          </w:rPr>
          <w:tab/>
          <w:t>16</w:t>
        </w:r>
      </w:hyperlink>
    </w:p>
    <w:p w14:paraId="41919304" w14:textId="088E767E"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62" w:history="1">
        <w:r w:rsidR="005273D9">
          <w:rPr>
            <w:rStyle w:val="Hyperlien"/>
            <w:noProof/>
          </w:rPr>
          <w:t>E.</w:t>
        </w:r>
        <w:r w:rsidR="005273D9">
          <w:rPr>
            <w:rStyle w:val="Hyperlien"/>
            <w:noProof/>
          </w:rPr>
          <w:tab/>
          <w:t>La réparation</w:t>
        </w:r>
        <w:r w:rsidR="005273D9">
          <w:rPr>
            <w:rStyle w:val="Hyperlien"/>
            <w:noProof/>
          </w:rPr>
          <w:tab/>
          <w:t>17</w:t>
        </w:r>
      </w:hyperlink>
    </w:p>
    <w:p w14:paraId="08C1CFF5" w14:textId="1677DAF9" w:rsidR="00D757DC" w:rsidRDefault="00DD2B92">
      <w:pPr>
        <w:pStyle w:val="TM1"/>
        <w:rPr>
          <w:rFonts w:asciiTheme="minorHAnsi" w:eastAsiaTheme="minorEastAsia" w:hAnsiTheme="minorHAnsi" w:cstheme="minorBidi"/>
          <w:b w:val="0"/>
          <w:caps w:val="0"/>
          <w:noProof/>
          <w:kern w:val="2"/>
          <w:sz w:val="22"/>
          <w:szCs w:val="22"/>
          <w:lang w:eastAsia="fr-CA"/>
          <w14:ligatures w14:val="standardContextual"/>
        </w:rPr>
      </w:pPr>
      <w:hyperlink w:anchor="_Toc180397463" w:history="1">
        <w:r w:rsidR="005273D9">
          <w:rPr>
            <w:rStyle w:val="Hyperlien"/>
            <w:noProof/>
          </w:rPr>
          <w:t>IV.</w:t>
        </w:r>
        <w:r w:rsidR="005273D9">
          <w:rPr>
            <w:rStyle w:val="Hyperlien"/>
            <w:noProof/>
          </w:rPr>
          <w:tab/>
          <w:t>QUESTIONS EN LITIGE</w:t>
        </w:r>
        <w:r w:rsidR="005273D9">
          <w:rPr>
            <w:rStyle w:val="Hyperlien"/>
            <w:noProof/>
          </w:rPr>
          <w:tab/>
          <w:t>17</w:t>
        </w:r>
      </w:hyperlink>
    </w:p>
    <w:p w14:paraId="0E5392C5" w14:textId="32383CB3" w:rsidR="00D757DC" w:rsidRDefault="00DD2B92">
      <w:pPr>
        <w:pStyle w:val="TM1"/>
        <w:rPr>
          <w:rFonts w:asciiTheme="minorHAnsi" w:eastAsiaTheme="minorEastAsia" w:hAnsiTheme="minorHAnsi" w:cstheme="minorBidi"/>
          <w:b w:val="0"/>
          <w:caps w:val="0"/>
          <w:noProof/>
          <w:kern w:val="2"/>
          <w:sz w:val="22"/>
          <w:szCs w:val="22"/>
          <w:lang w:eastAsia="fr-CA"/>
          <w14:ligatures w14:val="standardContextual"/>
        </w:rPr>
      </w:pPr>
      <w:hyperlink w:anchor="_Toc180397464" w:history="1">
        <w:r w:rsidR="005273D9">
          <w:rPr>
            <w:rStyle w:val="Hyperlien"/>
            <w:noProof/>
          </w:rPr>
          <w:t>V.</w:t>
        </w:r>
        <w:r w:rsidR="005273D9">
          <w:rPr>
            <w:rStyle w:val="Hyperlien"/>
            <w:noProof/>
          </w:rPr>
          <w:tab/>
          <w:t>ANALYSE</w:t>
        </w:r>
        <w:r w:rsidR="005273D9">
          <w:rPr>
            <w:rStyle w:val="Hyperlien"/>
            <w:noProof/>
          </w:rPr>
          <w:tab/>
          <w:t>18</w:t>
        </w:r>
      </w:hyperlink>
    </w:p>
    <w:p w14:paraId="37323BDA" w14:textId="1133FE1A"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65" w:history="1">
        <w:r w:rsidR="005273D9">
          <w:rPr>
            <w:rStyle w:val="Hyperlien"/>
            <w:noProof/>
          </w:rPr>
          <w:t>A.</w:t>
        </w:r>
        <w:r w:rsidR="005273D9">
          <w:rPr>
            <w:rStyle w:val="Hyperlien"/>
            <w:noProof/>
          </w:rPr>
          <w:tab/>
          <w:t>Le juge a-t-il erré en concluant que la règle de droit contestée occasionne le profilage racial?</w:t>
        </w:r>
        <w:r w:rsidR="005273D9">
          <w:rPr>
            <w:rStyle w:val="Hyperlien"/>
            <w:noProof/>
          </w:rPr>
          <w:tab/>
          <w:t>18</w:t>
        </w:r>
      </w:hyperlink>
    </w:p>
    <w:p w14:paraId="1D2EDB16" w14:textId="4DA9CF33"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66" w:history="1">
        <w:r w:rsidR="005273D9">
          <w:rPr>
            <w:rStyle w:val="Hyperlien"/>
            <w:noProof/>
          </w:rPr>
          <w:t>B.</w:t>
        </w:r>
        <w:r w:rsidR="005273D9">
          <w:rPr>
            <w:rStyle w:val="Hyperlien"/>
            <w:noProof/>
          </w:rPr>
          <w:tab/>
          <w:t>Le juge a-t-il erré en concluant qu’il pouvait réexaminer l’arrêt Ladouceur?</w:t>
        </w:r>
        <w:r w:rsidR="005273D9">
          <w:rPr>
            <w:rStyle w:val="Hyperlien"/>
            <w:noProof/>
          </w:rPr>
          <w:tab/>
          <w:t>29</w:t>
        </w:r>
      </w:hyperlink>
    </w:p>
    <w:p w14:paraId="29979A02" w14:textId="446FFFF1"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67" w:history="1">
        <w:r w:rsidR="005273D9">
          <w:rPr>
            <w:rStyle w:val="Hyperlien"/>
            <w:noProof/>
          </w:rPr>
          <w:t>C.</w:t>
        </w:r>
        <w:r w:rsidR="005273D9">
          <w:rPr>
            <w:rStyle w:val="Hyperlien"/>
            <w:noProof/>
          </w:rPr>
          <w:tab/>
          <w:t>Le juge a-t-il erré en concluant que la règle de droit contestée porte une atteinte injustifiée à l’art. 9 de la Charte?</w:t>
        </w:r>
        <w:r w:rsidR="005273D9">
          <w:rPr>
            <w:rStyle w:val="Hyperlien"/>
            <w:noProof/>
          </w:rPr>
          <w:tab/>
          <w:t>36</w:t>
        </w:r>
      </w:hyperlink>
    </w:p>
    <w:p w14:paraId="37FC0F5A" w14:textId="6E0F30FF" w:rsidR="00D757DC" w:rsidRDefault="00DD2B92">
      <w:pPr>
        <w:pStyle w:val="TM3"/>
        <w:rPr>
          <w:rFonts w:asciiTheme="minorHAnsi" w:eastAsiaTheme="minorEastAsia" w:hAnsiTheme="minorHAnsi" w:cstheme="minorBidi"/>
          <w:b w:val="0"/>
          <w:noProof/>
          <w:kern w:val="2"/>
          <w:sz w:val="22"/>
          <w:szCs w:val="22"/>
          <w:lang w:eastAsia="fr-CA"/>
          <w14:ligatures w14:val="standardContextual"/>
        </w:rPr>
      </w:pPr>
      <w:hyperlink w:anchor="_Toc180397468" w:history="1">
        <w:r w:rsidR="005273D9">
          <w:rPr>
            <w:rStyle w:val="Hyperlien"/>
            <w:noProof/>
          </w:rPr>
          <w:t>1.</w:t>
        </w:r>
        <w:r w:rsidR="005273D9">
          <w:rPr>
            <w:rStyle w:val="Hyperlien"/>
            <w:noProof/>
          </w:rPr>
          <w:tab/>
          <w:t>L’atteinte</w:t>
        </w:r>
        <w:r w:rsidR="005273D9">
          <w:rPr>
            <w:rStyle w:val="Hyperlien"/>
            <w:noProof/>
          </w:rPr>
          <w:tab/>
          <w:t>36</w:t>
        </w:r>
      </w:hyperlink>
    </w:p>
    <w:p w14:paraId="5BE5B441" w14:textId="0470B727" w:rsidR="00D757DC" w:rsidRDefault="00DD2B92">
      <w:pPr>
        <w:pStyle w:val="TM3"/>
        <w:rPr>
          <w:rFonts w:asciiTheme="minorHAnsi" w:eastAsiaTheme="minorEastAsia" w:hAnsiTheme="minorHAnsi" w:cstheme="minorBidi"/>
          <w:b w:val="0"/>
          <w:noProof/>
          <w:kern w:val="2"/>
          <w:sz w:val="22"/>
          <w:szCs w:val="22"/>
          <w:lang w:eastAsia="fr-CA"/>
          <w14:ligatures w14:val="standardContextual"/>
        </w:rPr>
      </w:pPr>
      <w:hyperlink w:anchor="_Toc180397469" w:history="1">
        <w:r w:rsidR="005273D9">
          <w:rPr>
            <w:rStyle w:val="Hyperlien"/>
            <w:noProof/>
          </w:rPr>
          <w:t>2.</w:t>
        </w:r>
        <w:r w:rsidR="005273D9">
          <w:rPr>
            <w:rStyle w:val="Hyperlien"/>
            <w:noProof/>
          </w:rPr>
          <w:tab/>
          <w:t>La justification de l’atteinte</w:t>
        </w:r>
        <w:r w:rsidR="005273D9">
          <w:rPr>
            <w:rStyle w:val="Hyperlien"/>
            <w:noProof/>
          </w:rPr>
          <w:tab/>
          <w:t>37</w:t>
        </w:r>
      </w:hyperlink>
    </w:p>
    <w:p w14:paraId="1641032C" w14:textId="6F130E9E" w:rsidR="00D757DC" w:rsidRDefault="00DD2B92">
      <w:pPr>
        <w:pStyle w:val="TM4"/>
        <w:rPr>
          <w:rFonts w:asciiTheme="minorHAnsi" w:eastAsiaTheme="minorEastAsia" w:hAnsiTheme="minorHAnsi" w:cstheme="minorBidi"/>
          <w:i w:val="0"/>
          <w:noProof/>
          <w:kern w:val="2"/>
          <w:sz w:val="22"/>
          <w:szCs w:val="22"/>
          <w:lang w:eastAsia="fr-CA"/>
          <w14:ligatures w14:val="standardContextual"/>
        </w:rPr>
      </w:pPr>
      <w:hyperlink w:anchor="_Toc180397470" w:history="1">
        <w:r w:rsidR="005273D9">
          <w:rPr>
            <w:rStyle w:val="Hyperlien"/>
            <w:noProof/>
          </w:rPr>
          <w:t>a)</w:t>
        </w:r>
        <w:r w:rsidR="005273D9">
          <w:rPr>
            <w:rStyle w:val="Hyperlien"/>
            <w:noProof/>
          </w:rPr>
          <w:tab/>
          <w:t>Objectif urgent et réel</w:t>
        </w:r>
        <w:r w:rsidR="005273D9">
          <w:rPr>
            <w:rStyle w:val="Hyperlien"/>
            <w:noProof/>
          </w:rPr>
          <w:tab/>
          <w:t>38</w:t>
        </w:r>
      </w:hyperlink>
    </w:p>
    <w:p w14:paraId="5723757E" w14:textId="21A1C601" w:rsidR="00D757DC" w:rsidRDefault="00DD2B92">
      <w:pPr>
        <w:pStyle w:val="TM4"/>
        <w:rPr>
          <w:rFonts w:asciiTheme="minorHAnsi" w:eastAsiaTheme="minorEastAsia" w:hAnsiTheme="minorHAnsi" w:cstheme="minorBidi"/>
          <w:i w:val="0"/>
          <w:noProof/>
          <w:kern w:val="2"/>
          <w:sz w:val="22"/>
          <w:szCs w:val="22"/>
          <w:lang w:eastAsia="fr-CA"/>
          <w14:ligatures w14:val="standardContextual"/>
        </w:rPr>
      </w:pPr>
      <w:hyperlink w:anchor="_Toc180397471" w:history="1">
        <w:r w:rsidR="005273D9">
          <w:rPr>
            <w:rStyle w:val="Hyperlien"/>
            <w:noProof/>
          </w:rPr>
          <w:t>b)</w:t>
        </w:r>
        <w:r w:rsidR="005273D9">
          <w:rPr>
            <w:rStyle w:val="Hyperlien"/>
            <w:noProof/>
          </w:rPr>
          <w:tab/>
          <w:t>Lien rationnel</w:t>
        </w:r>
        <w:r w:rsidR="005273D9">
          <w:rPr>
            <w:rStyle w:val="Hyperlien"/>
            <w:noProof/>
          </w:rPr>
          <w:tab/>
          <w:t>39</w:t>
        </w:r>
      </w:hyperlink>
    </w:p>
    <w:p w14:paraId="065F39B2" w14:textId="6D7338E6" w:rsidR="00D757DC" w:rsidRDefault="00DD2B92">
      <w:pPr>
        <w:pStyle w:val="TM4"/>
        <w:rPr>
          <w:rFonts w:asciiTheme="minorHAnsi" w:eastAsiaTheme="minorEastAsia" w:hAnsiTheme="minorHAnsi" w:cstheme="minorBidi"/>
          <w:i w:val="0"/>
          <w:noProof/>
          <w:kern w:val="2"/>
          <w:sz w:val="22"/>
          <w:szCs w:val="22"/>
          <w:lang w:eastAsia="fr-CA"/>
          <w14:ligatures w14:val="standardContextual"/>
        </w:rPr>
      </w:pPr>
      <w:hyperlink w:anchor="_Toc180397472" w:history="1">
        <w:r w:rsidR="005273D9">
          <w:rPr>
            <w:rStyle w:val="Hyperlien"/>
            <w:noProof/>
          </w:rPr>
          <w:t>c)</w:t>
        </w:r>
        <w:r w:rsidR="005273D9">
          <w:rPr>
            <w:rStyle w:val="Hyperlien"/>
            <w:noProof/>
          </w:rPr>
          <w:tab/>
          <w:t>Atteinte minimale</w:t>
        </w:r>
        <w:r w:rsidR="005273D9">
          <w:rPr>
            <w:rStyle w:val="Hyperlien"/>
            <w:noProof/>
          </w:rPr>
          <w:tab/>
          <w:t>42</w:t>
        </w:r>
      </w:hyperlink>
    </w:p>
    <w:p w14:paraId="0E3509C1" w14:textId="4A9428AE" w:rsidR="00D757DC" w:rsidRDefault="00DD2B92">
      <w:pPr>
        <w:pStyle w:val="TM4"/>
        <w:rPr>
          <w:rFonts w:asciiTheme="minorHAnsi" w:eastAsiaTheme="minorEastAsia" w:hAnsiTheme="minorHAnsi" w:cstheme="minorBidi"/>
          <w:i w:val="0"/>
          <w:noProof/>
          <w:kern w:val="2"/>
          <w:sz w:val="22"/>
          <w:szCs w:val="22"/>
          <w:lang w:eastAsia="fr-CA"/>
          <w14:ligatures w14:val="standardContextual"/>
        </w:rPr>
      </w:pPr>
      <w:hyperlink w:anchor="_Toc180397473" w:history="1">
        <w:r w:rsidR="005273D9">
          <w:rPr>
            <w:rStyle w:val="Hyperlien"/>
            <w:noProof/>
          </w:rPr>
          <w:t>d)</w:t>
        </w:r>
        <w:r w:rsidR="005273D9">
          <w:rPr>
            <w:rStyle w:val="Hyperlien"/>
            <w:noProof/>
          </w:rPr>
          <w:tab/>
          <w:t>Mise en balance des effets bénéfiques et préjudiciables</w:t>
        </w:r>
        <w:r w:rsidR="005273D9">
          <w:rPr>
            <w:rStyle w:val="Hyperlien"/>
            <w:noProof/>
          </w:rPr>
          <w:tab/>
          <w:t>46</w:t>
        </w:r>
      </w:hyperlink>
    </w:p>
    <w:p w14:paraId="23C3EB69" w14:textId="07FFBC9B"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74" w:history="1">
        <w:r w:rsidR="005273D9">
          <w:rPr>
            <w:rStyle w:val="Hyperlien"/>
            <w:noProof/>
          </w:rPr>
          <w:t>D.</w:t>
        </w:r>
        <w:r w:rsidR="005273D9">
          <w:rPr>
            <w:rStyle w:val="Hyperlien"/>
            <w:noProof/>
          </w:rPr>
          <w:tab/>
          <w:t>Le juge a-t-il erré en concluant que la règle de droit contestée porte une atteinte injustifiée à l’art. 7 de la Charte?</w:t>
        </w:r>
        <w:r w:rsidR="005273D9">
          <w:rPr>
            <w:rStyle w:val="Hyperlien"/>
            <w:noProof/>
          </w:rPr>
          <w:tab/>
          <w:t>47</w:t>
        </w:r>
      </w:hyperlink>
    </w:p>
    <w:p w14:paraId="2E2ADAC3" w14:textId="242AFAA5"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75" w:history="1">
        <w:r w:rsidR="005273D9">
          <w:rPr>
            <w:rStyle w:val="Hyperlien"/>
            <w:noProof/>
          </w:rPr>
          <w:t>E.</w:t>
        </w:r>
        <w:r w:rsidR="005273D9">
          <w:rPr>
            <w:rStyle w:val="Hyperlien"/>
            <w:noProof/>
          </w:rPr>
          <w:tab/>
          <w:t>Le juge a-t-il erré en concluant que la règle de droit contestée porte une atteinte injustifiée au par. 15(1) de la Charte?</w:t>
        </w:r>
        <w:r w:rsidR="005273D9">
          <w:rPr>
            <w:rStyle w:val="Hyperlien"/>
            <w:noProof/>
          </w:rPr>
          <w:tab/>
          <w:t>48</w:t>
        </w:r>
      </w:hyperlink>
    </w:p>
    <w:p w14:paraId="3D17267C" w14:textId="2E72A3AE" w:rsidR="00D757DC" w:rsidRDefault="00DD2B92">
      <w:pPr>
        <w:pStyle w:val="TM3"/>
        <w:rPr>
          <w:rFonts w:asciiTheme="minorHAnsi" w:eastAsiaTheme="minorEastAsia" w:hAnsiTheme="minorHAnsi" w:cstheme="minorBidi"/>
          <w:b w:val="0"/>
          <w:noProof/>
          <w:kern w:val="2"/>
          <w:sz w:val="22"/>
          <w:szCs w:val="22"/>
          <w:lang w:eastAsia="fr-CA"/>
          <w14:ligatures w14:val="standardContextual"/>
        </w:rPr>
      </w:pPr>
      <w:hyperlink w:anchor="_Toc180397476" w:history="1">
        <w:r w:rsidR="005273D9">
          <w:rPr>
            <w:rStyle w:val="Hyperlien"/>
            <w:noProof/>
          </w:rPr>
          <w:t>1.</w:t>
        </w:r>
        <w:r w:rsidR="005273D9">
          <w:rPr>
            <w:rStyle w:val="Hyperlien"/>
            <w:noProof/>
          </w:rPr>
          <w:tab/>
          <w:t>L’atteinte</w:t>
        </w:r>
        <w:r w:rsidR="005273D9">
          <w:rPr>
            <w:rStyle w:val="Hyperlien"/>
            <w:noProof/>
          </w:rPr>
          <w:tab/>
          <w:t>48</w:t>
        </w:r>
      </w:hyperlink>
    </w:p>
    <w:p w14:paraId="3C2C2D00" w14:textId="73DFB93E" w:rsidR="00D757DC" w:rsidRDefault="00DD2B92">
      <w:pPr>
        <w:pStyle w:val="TM4"/>
        <w:rPr>
          <w:rFonts w:asciiTheme="minorHAnsi" w:eastAsiaTheme="minorEastAsia" w:hAnsiTheme="minorHAnsi" w:cstheme="minorBidi"/>
          <w:i w:val="0"/>
          <w:noProof/>
          <w:kern w:val="2"/>
          <w:sz w:val="22"/>
          <w:szCs w:val="22"/>
          <w:lang w:eastAsia="fr-CA"/>
          <w14:ligatures w14:val="standardContextual"/>
        </w:rPr>
      </w:pPr>
      <w:hyperlink w:anchor="_Toc180397477" w:history="1">
        <w:r w:rsidR="005273D9">
          <w:rPr>
            <w:rStyle w:val="Hyperlien"/>
            <w:noProof/>
          </w:rPr>
          <w:t>a)</w:t>
        </w:r>
        <w:r w:rsidR="005273D9">
          <w:rPr>
            <w:rStyle w:val="Hyperlien"/>
            <w:noProof/>
          </w:rPr>
          <w:tab/>
          <w:t>Première étape : démontrer que la loi crée, à première vue ou par son effet, une distinction fondée sur un motif protégé</w:t>
        </w:r>
        <w:r w:rsidR="005273D9">
          <w:rPr>
            <w:rStyle w:val="Hyperlien"/>
            <w:noProof/>
          </w:rPr>
          <w:tab/>
          <w:t>54</w:t>
        </w:r>
      </w:hyperlink>
    </w:p>
    <w:p w14:paraId="05C73D8F" w14:textId="6A4D846D" w:rsidR="00D757DC" w:rsidRDefault="00DD2B92">
      <w:pPr>
        <w:pStyle w:val="TM4"/>
        <w:rPr>
          <w:rFonts w:asciiTheme="minorHAnsi" w:eastAsiaTheme="minorEastAsia" w:hAnsiTheme="minorHAnsi" w:cstheme="minorBidi"/>
          <w:i w:val="0"/>
          <w:noProof/>
          <w:kern w:val="2"/>
          <w:sz w:val="22"/>
          <w:szCs w:val="22"/>
          <w:lang w:eastAsia="fr-CA"/>
          <w14:ligatures w14:val="standardContextual"/>
        </w:rPr>
      </w:pPr>
      <w:hyperlink w:anchor="_Toc180397478" w:history="1">
        <w:r w:rsidR="005273D9">
          <w:rPr>
            <w:rStyle w:val="Hyperlien"/>
            <w:noProof/>
          </w:rPr>
          <w:t>b)</w:t>
        </w:r>
        <w:r w:rsidR="005273D9">
          <w:rPr>
            <w:rStyle w:val="Hyperlien"/>
            <w:noProof/>
          </w:rPr>
          <w:tab/>
          <w:t>Deuxième étape : démontrer que la loi impose un fardeau ou nie un avantage d’une manière qui a pour effet de renforcer, de perpétuer ou d’accentuer le désavantage</w:t>
        </w:r>
        <w:r w:rsidR="005273D9">
          <w:rPr>
            <w:rStyle w:val="Hyperlien"/>
            <w:noProof/>
          </w:rPr>
          <w:tab/>
          <w:t>60</w:t>
        </w:r>
      </w:hyperlink>
    </w:p>
    <w:p w14:paraId="47914149" w14:textId="77C2E8B1" w:rsidR="00D757DC" w:rsidRDefault="00DD2B92">
      <w:pPr>
        <w:pStyle w:val="TM3"/>
        <w:rPr>
          <w:rFonts w:asciiTheme="minorHAnsi" w:eastAsiaTheme="minorEastAsia" w:hAnsiTheme="minorHAnsi" w:cstheme="minorBidi"/>
          <w:b w:val="0"/>
          <w:noProof/>
          <w:kern w:val="2"/>
          <w:sz w:val="22"/>
          <w:szCs w:val="22"/>
          <w:lang w:eastAsia="fr-CA"/>
          <w14:ligatures w14:val="standardContextual"/>
        </w:rPr>
      </w:pPr>
      <w:hyperlink w:anchor="_Toc180397479" w:history="1">
        <w:r w:rsidR="005273D9">
          <w:rPr>
            <w:rStyle w:val="Hyperlien"/>
            <w:noProof/>
          </w:rPr>
          <w:t>2.</w:t>
        </w:r>
        <w:r w:rsidR="005273D9">
          <w:rPr>
            <w:rStyle w:val="Hyperlien"/>
            <w:noProof/>
          </w:rPr>
          <w:tab/>
          <w:t>La justification de l’atteinte</w:t>
        </w:r>
        <w:r w:rsidR="005273D9">
          <w:rPr>
            <w:rStyle w:val="Hyperlien"/>
            <w:noProof/>
          </w:rPr>
          <w:tab/>
          <w:t>66</w:t>
        </w:r>
      </w:hyperlink>
    </w:p>
    <w:p w14:paraId="2A82590D" w14:textId="5A7C6A5F" w:rsidR="00D757DC" w:rsidRDefault="00DD2B92">
      <w:pPr>
        <w:pStyle w:val="TM2"/>
        <w:rPr>
          <w:rFonts w:asciiTheme="minorHAnsi" w:eastAsiaTheme="minorEastAsia" w:hAnsiTheme="minorHAnsi" w:cstheme="minorBidi"/>
          <w:b w:val="0"/>
          <w:smallCaps w:val="0"/>
          <w:noProof/>
          <w:kern w:val="2"/>
          <w:sz w:val="22"/>
          <w:szCs w:val="22"/>
          <w:lang w:eastAsia="fr-CA"/>
          <w14:ligatures w14:val="standardContextual"/>
        </w:rPr>
      </w:pPr>
      <w:hyperlink w:anchor="_Toc180397480" w:history="1">
        <w:r w:rsidR="005273D9">
          <w:rPr>
            <w:rStyle w:val="Hyperlien"/>
            <w:noProof/>
          </w:rPr>
          <w:t>F.</w:t>
        </w:r>
        <w:r w:rsidR="005273D9">
          <w:rPr>
            <w:rStyle w:val="Hyperlien"/>
            <w:noProof/>
          </w:rPr>
          <w:tab/>
          <w:t>Le juge a-t-il erré au chapitre de la réparation?</w:t>
        </w:r>
        <w:r w:rsidR="005273D9">
          <w:rPr>
            <w:rStyle w:val="Hyperlien"/>
            <w:noProof/>
          </w:rPr>
          <w:tab/>
          <w:t>69</w:t>
        </w:r>
      </w:hyperlink>
    </w:p>
    <w:p w14:paraId="659EFECB" w14:textId="77EC866C" w:rsidR="00D757DC" w:rsidRDefault="00DD2B92">
      <w:pPr>
        <w:pStyle w:val="TM1"/>
        <w:rPr>
          <w:rFonts w:asciiTheme="minorHAnsi" w:eastAsiaTheme="minorEastAsia" w:hAnsiTheme="minorHAnsi" w:cstheme="minorBidi"/>
          <w:b w:val="0"/>
          <w:caps w:val="0"/>
          <w:noProof/>
          <w:kern w:val="2"/>
          <w:sz w:val="22"/>
          <w:szCs w:val="22"/>
          <w:lang w:eastAsia="fr-CA"/>
          <w14:ligatures w14:val="standardContextual"/>
        </w:rPr>
      </w:pPr>
      <w:hyperlink w:anchor="_Toc180397481" w:history="1">
        <w:r w:rsidR="005273D9">
          <w:rPr>
            <w:rStyle w:val="Hyperlien"/>
            <w:noProof/>
          </w:rPr>
          <w:t>VI.</w:t>
        </w:r>
        <w:r w:rsidR="005273D9">
          <w:rPr>
            <w:rStyle w:val="Hyperlien"/>
            <w:noProof/>
          </w:rPr>
          <w:tab/>
          <w:t>CONCLUSION</w:t>
        </w:r>
        <w:r w:rsidR="005273D9">
          <w:rPr>
            <w:rStyle w:val="Hyperlien"/>
            <w:noProof/>
          </w:rPr>
          <w:tab/>
          <w:t>70</w:t>
        </w:r>
      </w:hyperlink>
    </w:p>
    <w:p w14:paraId="3AD79451" w14:textId="1FA19EFE" w:rsidR="002E46A6" w:rsidRPr="00FC21C6" w:rsidRDefault="001F707F">
      <w:r w:rsidRPr="00FC21C6">
        <w:rPr>
          <w:b/>
          <w:caps/>
        </w:rPr>
        <w:fldChar w:fldCharType="end"/>
      </w:r>
    </w:p>
    <w:p w14:paraId="2545F0AA" w14:textId="77777777" w:rsidR="002E46A6" w:rsidRPr="00FC21C6" w:rsidRDefault="002E46A6">
      <w:pPr>
        <w:sectPr w:rsidR="002E46A6" w:rsidRPr="00FC21C6" w:rsidSect="00D757DC">
          <w:headerReference w:type="first" r:id="rId14"/>
          <w:pgSz w:w="12242" w:h="15842" w:code="1"/>
          <w:pgMar w:top="1440" w:right="1008" w:bottom="1440" w:left="1872" w:header="1440" w:footer="792" w:gutter="0"/>
          <w:cols w:space="720"/>
          <w:formProt w:val="0"/>
          <w:titlePg/>
        </w:sectPr>
      </w:pPr>
    </w:p>
    <w:tbl>
      <w:tblPr>
        <w:tblW w:w="9360" w:type="dxa"/>
        <w:tblLayout w:type="fixed"/>
        <w:tblCellMar>
          <w:left w:w="0" w:type="dxa"/>
          <w:right w:w="0" w:type="dxa"/>
        </w:tblCellMar>
        <w:tblLook w:val="0000" w:firstRow="0" w:lastRow="0" w:firstColumn="0" w:lastColumn="0" w:noHBand="0" w:noVBand="0"/>
      </w:tblPr>
      <w:tblGrid>
        <w:gridCol w:w="9360"/>
      </w:tblGrid>
      <w:tr w:rsidR="008F364A" w:rsidRPr="00FC21C6" w14:paraId="0CF91869" w14:textId="77777777" w:rsidTr="008D18FC">
        <w:tc>
          <w:tcPr>
            <w:tcW w:w="9360" w:type="dxa"/>
          </w:tcPr>
          <w:p w14:paraId="0E55CF29" w14:textId="77777777" w:rsidR="008F364A" w:rsidRPr="00FC21C6" w:rsidRDefault="008F364A"/>
        </w:tc>
      </w:tr>
      <w:tr w:rsidR="008F364A" w:rsidRPr="00FC21C6" w14:paraId="2D809671" w14:textId="77777777" w:rsidTr="008D18FC">
        <w:tc>
          <w:tcPr>
            <w:tcW w:w="9360" w:type="dxa"/>
            <w:tcBorders>
              <w:top w:val="single" w:sz="8" w:space="0" w:color="auto"/>
            </w:tcBorders>
          </w:tcPr>
          <w:p w14:paraId="4B2A36AE" w14:textId="77777777" w:rsidR="008F364A" w:rsidRPr="00FC21C6" w:rsidRDefault="008F364A">
            <w:bookmarkStart w:id="8" w:name="Arret"/>
          </w:p>
        </w:tc>
      </w:tr>
      <w:tr w:rsidR="008F364A" w:rsidRPr="00FC21C6" w14:paraId="6FEC3276" w14:textId="77777777" w:rsidTr="008D18FC">
        <w:tc>
          <w:tcPr>
            <w:tcW w:w="9360" w:type="dxa"/>
          </w:tcPr>
          <w:p w14:paraId="39182FBD" w14:textId="77777777" w:rsidR="008F364A" w:rsidRPr="00FC21C6" w:rsidRDefault="009238E1">
            <w:pPr>
              <w:pStyle w:val="zSoquijlblTypeDocument"/>
            </w:pPr>
            <w:bookmarkStart w:id="9" w:name="TitreDocument"/>
            <w:r w:rsidRPr="00FC21C6">
              <w:t>ARRÊT</w:t>
            </w:r>
            <w:bookmarkEnd w:id="9"/>
          </w:p>
        </w:tc>
      </w:tr>
      <w:tr w:rsidR="008F364A" w:rsidRPr="00FC21C6" w14:paraId="0DD7EF67" w14:textId="77777777" w:rsidTr="008D18FC">
        <w:tc>
          <w:tcPr>
            <w:tcW w:w="9360" w:type="dxa"/>
            <w:tcBorders>
              <w:bottom w:val="single" w:sz="8" w:space="0" w:color="auto"/>
            </w:tcBorders>
          </w:tcPr>
          <w:p w14:paraId="5358B9AC" w14:textId="77777777" w:rsidR="008F364A" w:rsidRPr="00FC21C6" w:rsidRDefault="008F364A"/>
        </w:tc>
      </w:tr>
      <w:tr w:rsidR="008F364A" w:rsidRPr="00FC21C6" w14:paraId="3C6E43FE" w14:textId="77777777" w:rsidTr="008D18FC">
        <w:tc>
          <w:tcPr>
            <w:tcW w:w="9360" w:type="dxa"/>
            <w:tcBorders>
              <w:top w:val="single" w:sz="8" w:space="0" w:color="auto"/>
            </w:tcBorders>
          </w:tcPr>
          <w:p w14:paraId="3007F5D2" w14:textId="77777777" w:rsidR="008F364A" w:rsidRPr="00FC21C6" w:rsidRDefault="008F364A"/>
        </w:tc>
      </w:tr>
    </w:tbl>
    <w:p w14:paraId="2ADF9409" w14:textId="362ED290" w:rsidR="005A1C52" w:rsidRPr="00FC21C6" w:rsidRDefault="002331CB" w:rsidP="009E7E68">
      <w:pPr>
        <w:pStyle w:val="Paragraphe"/>
        <w:spacing w:before="240" w:line="280" w:lineRule="exact"/>
      </w:pPr>
      <w:bookmarkStart w:id="10" w:name="_Hlk179547277"/>
      <w:r w:rsidRPr="00FC21C6">
        <w:t xml:space="preserve">Le présent pourvoi </w:t>
      </w:r>
      <w:r w:rsidR="005A1C52" w:rsidRPr="00FC21C6">
        <w:t xml:space="preserve">porte sur la validité constitutionnelle du pouvoir des policiers d’intercepter des véhicules routiers </w:t>
      </w:r>
      <w:r w:rsidRPr="00FC21C6">
        <w:t xml:space="preserve">de façon aléatoire, en dehors d’un programme structuré et sans motif de croire ou de soupçonner qu’une infraction a été commise, pouvoir </w:t>
      </w:r>
      <w:r w:rsidR="00440D0D" w:rsidRPr="00FC21C6">
        <w:t>validé</w:t>
      </w:r>
      <w:r w:rsidR="005A1C52" w:rsidRPr="00FC21C6">
        <w:t xml:space="preserve"> par la Cour suprême dans l’arrêt </w:t>
      </w:r>
      <w:r w:rsidR="005A1C52" w:rsidRPr="00FC21C6">
        <w:rPr>
          <w:i/>
          <w:iCs/>
        </w:rPr>
        <w:t>R. c. Ladouceur</w:t>
      </w:r>
      <w:r w:rsidR="005A1C52" w:rsidRPr="00FC21C6">
        <w:rPr>
          <w:szCs w:val="24"/>
          <w:vertAlign w:val="superscript"/>
        </w:rPr>
        <w:footnoteReference w:id="1"/>
      </w:r>
      <w:r w:rsidR="005A1C52" w:rsidRPr="00FC21C6">
        <w:t xml:space="preserve"> et codifié à l’art. 636 du </w:t>
      </w:r>
      <w:r w:rsidR="005A1C52" w:rsidRPr="00FC21C6">
        <w:rPr>
          <w:i/>
          <w:iCs/>
        </w:rPr>
        <w:t>Code de la sécurité routière</w:t>
      </w:r>
      <w:r w:rsidR="005A1C52" w:rsidRPr="00FC21C6">
        <w:rPr>
          <w:szCs w:val="24"/>
          <w:vertAlign w:val="superscript"/>
        </w:rPr>
        <w:footnoteReference w:id="2"/>
      </w:r>
      <w:r w:rsidR="005A1C52" w:rsidRPr="00FC21C6">
        <w:t>.</w:t>
      </w:r>
      <w:r w:rsidR="00786076" w:rsidRPr="00FC21C6">
        <w:t xml:space="preserve"> </w:t>
      </w:r>
    </w:p>
    <w:bookmarkEnd w:id="10"/>
    <w:p w14:paraId="5E3EF156" w14:textId="77ACFB91" w:rsidR="005A1C52" w:rsidRPr="00FC21C6" w:rsidRDefault="005A1C52" w:rsidP="00FB1C7A">
      <w:pPr>
        <w:pStyle w:val="Paragraphe"/>
        <w:spacing w:line="280" w:lineRule="exact"/>
      </w:pPr>
      <w:r w:rsidRPr="00FC21C6">
        <w:t>Dans un jugement étoffé et soigneusement rédigé</w:t>
      </w:r>
      <w:r w:rsidRPr="00FC21C6">
        <w:rPr>
          <w:szCs w:val="24"/>
          <w:vertAlign w:val="superscript"/>
        </w:rPr>
        <w:footnoteReference w:id="3"/>
      </w:r>
      <w:r w:rsidRPr="00FC21C6">
        <w:t>, le juge</w:t>
      </w:r>
      <w:r w:rsidR="00116A16">
        <w:t xml:space="preserve"> Michel Yergeau de la Cour supérieure</w:t>
      </w:r>
      <w:r w:rsidRPr="00FC21C6">
        <w:t xml:space="preserve"> conclut que la règle de common law reconnue dans l’arrêt </w:t>
      </w:r>
      <w:r w:rsidRPr="00FC21C6">
        <w:rPr>
          <w:i/>
          <w:iCs/>
        </w:rPr>
        <w:t xml:space="preserve">Ladouceur </w:t>
      </w:r>
      <w:r w:rsidRPr="00FC21C6">
        <w:t xml:space="preserve">et l’art. 636 </w:t>
      </w:r>
      <w:r w:rsidRPr="00FC21C6">
        <w:rPr>
          <w:i/>
          <w:iCs/>
        </w:rPr>
        <w:t>C.s.r.</w:t>
      </w:r>
      <w:r w:rsidR="00E720F6" w:rsidRPr="00FC21C6">
        <w:rPr>
          <w:rStyle w:val="Appelnotedebasdep"/>
          <w:szCs w:val="24"/>
        </w:rPr>
        <w:footnoteReference w:id="4"/>
      </w:r>
      <w:r w:rsidR="00E720F6" w:rsidRPr="00FC21C6">
        <w:t xml:space="preserve"> </w:t>
      </w:r>
      <w:r w:rsidRPr="00FC21C6">
        <w:t xml:space="preserve">portent atteinte aux art. 7 et 9 ainsi qu’au par. 15(1) de la </w:t>
      </w:r>
      <w:r w:rsidRPr="00FC21C6">
        <w:rPr>
          <w:i/>
          <w:iCs/>
        </w:rPr>
        <w:t>Charte canadienne des droits et libertés</w:t>
      </w:r>
      <w:r w:rsidRPr="00FC21C6">
        <w:rPr>
          <w:szCs w:val="24"/>
          <w:vertAlign w:val="superscript"/>
        </w:rPr>
        <w:footnoteReference w:id="5"/>
      </w:r>
      <w:r w:rsidRPr="00FC21C6">
        <w:t xml:space="preserve"> et que ces atteintes ne sont pas justifiées selon l’article premier de la </w:t>
      </w:r>
      <w:r w:rsidRPr="00FC21C6">
        <w:rPr>
          <w:i/>
          <w:iCs/>
        </w:rPr>
        <w:t>Charte</w:t>
      </w:r>
      <w:r w:rsidRPr="00FC21C6">
        <w:t>. Il déclare inopérante l</w:t>
      </w:r>
      <w:r w:rsidR="00CB48BA" w:rsidRPr="00FC21C6">
        <w:t>a</w:t>
      </w:r>
      <w:r w:rsidRPr="00FC21C6">
        <w:t xml:space="preserve"> règle de droit contestée et suspend pour six mois la prise d’effet de cette déclaration, sauf en ce qui concerne les dossiers en cours dans lesquels </w:t>
      </w:r>
      <w:r w:rsidRPr="00FC21C6">
        <w:rPr>
          <w:rFonts w:cs="Arial"/>
        </w:rPr>
        <w:t>l</w:t>
      </w:r>
      <w:r w:rsidR="00CB48BA" w:rsidRPr="00FC21C6">
        <w:rPr>
          <w:rFonts w:cs="Arial"/>
        </w:rPr>
        <w:t>a</w:t>
      </w:r>
      <w:r w:rsidRPr="00FC21C6">
        <w:rPr>
          <w:rFonts w:cs="Arial"/>
        </w:rPr>
        <w:t xml:space="preserve"> même règle de droit </w:t>
      </w:r>
      <w:r w:rsidR="00440D0D" w:rsidRPr="00FC21C6">
        <w:rPr>
          <w:rFonts w:cs="Arial"/>
        </w:rPr>
        <w:t>est</w:t>
      </w:r>
      <w:r w:rsidRPr="00FC21C6">
        <w:rPr>
          <w:rFonts w:cs="Arial"/>
        </w:rPr>
        <w:t xml:space="preserve"> contestée.</w:t>
      </w:r>
    </w:p>
    <w:p w14:paraId="2FBD68CE" w14:textId="5B37FFB9" w:rsidR="005A1C52" w:rsidRPr="00FC21C6" w:rsidRDefault="005A1C52" w:rsidP="00FB1C7A">
      <w:pPr>
        <w:pStyle w:val="Paragraphe"/>
        <w:spacing w:line="280" w:lineRule="exact"/>
      </w:pPr>
      <w:bookmarkStart w:id="11" w:name="_Hlk179550168"/>
      <w:r w:rsidRPr="00FC21C6">
        <w:t xml:space="preserve">Le </w:t>
      </w:r>
      <w:r w:rsidR="00AA255F" w:rsidRPr="00FC21C6">
        <w:t xml:space="preserve">procureur </w:t>
      </w:r>
      <w:r w:rsidRPr="00FC21C6">
        <w:t xml:space="preserve">général du Québec (« PGQ ») </w:t>
      </w:r>
      <w:bookmarkEnd w:id="11"/>
      <w:r w:rsidRPr="00FC21C6">
        <w:t>fait appel de chacune de ces conclusions. Il reproche au juge de première instance d’avoir erré en droit en concluant que le profilage racial est un effet de</w:t>
      </w:r>
      <w:r w:rsidR="00CB48BA" w:rsidRPr="00FC21C6">
        <w:t xml:space="preserve"> la</w:t>
      </w:r>
      <w:r w:rsidRPr="00FC21C6">
        <w:t xml:space="preserve"> règle de droit contestée, en écartant l’arrêt </w:t>
      </w:r>
      <w:r w:rsidRPr="00FC21C6">
        <w:rPr>
          <w:i/>
          <w:iCs/>
        </w:rPr>
        <w:t>Ladouceur</w:t>
      </w:r>
      <w:r w:rsidRPr="00FC21C6">
        <w:t>, en déterminant que l</w:t>
      </w:r>
      <w:r w:rsidR="00CB48BA" w:rsidRPr="00FC21C6">
        <w:t>a</w:t>
      </w:r>
      <w:r w:rsidRPr="00FC21C6">
        <w:t xml:space="preserve"> règle de droit contestée enfrei</w:t>
      </w:r>
      <w:r w:rsidR="00CB48BA" w:rsidRPr="00FC21C6">
        <w:t>nt</w:t>
      </w:r>
      <w:r w:rsidRPr="00FC21C6">
        <w:t xml:space="preserve"> les art. 7 et 9 et le par. 15(1)</w:t>
      </w:r>
      <w:r w:rsidR="001D0968" w:rsidRPr="00FC21C6">
        <w:t xml:space="preserve"> </w:t>
      </w:r>
      <w:r w:rsidRPr="00FC21C6">
        <w:t>de</w:t>
      </w:r>
      <w:r w:rsidR="001D0968" w:rsidRPr="00FC21C6">
        <w:t xml:space="preserve"> </w:t>
      </w:r>
      <w:r w:rsidRPr="00FC21C6">
        <w:t>la</w:t>
      </w:r>
      <w:r w:rsidR="001D0968" w:rsidRPr="00FC21C6">
        <w:t xml:space="preserve"> </w:t>
      </w:r>
      <w:r w:rsidRPr="00FC21C6">
        <w:rPr>
          <w:i/>
          <w:iCs/>
        </w:rPr>
        <w:t>Charte</w:t>
      </w:r>
      <w:r w:rsidRPr="00FC21C6">
        <w:t xml:space="preserve"> et ne peu</w:t>
      </w:r>
      <w:r w:rsidR="00CB48BA" w:rsidRPr="00FC21C6">
        <w:t>t</w:t>
      </w:r>
      <w:r w:rsidRPr="00FC21C6">
        <w:t xml:space="preserve"> être sauvegardée par l’application de l’article premier et, enfin, en déclarant ce</w:t>
      </w:r>
      <w:r w:rsidR="00CB48BA" w:rsidRPr="00FC21C6">
        <w:t>tte</w:t>
      </w:r>
      <w:r w:rsidRPr="00FC21C6">
        <w:t xml:space="preserve"> règle de droit inopérante en </w:t>
      </w:r>
      <w:r w:rsidR="002C674F" w:rsidRPr="00FC21C6">
        <w:t>application</w:t>
      </w:r>
      <w:r w:rsidRPr="00FC21C6">
        <w:t xml:space="preserve"> du par. 52(1) de la </w:t>
      </w:r>
      <w:r w:rsidRPr="00FC21C6">
        <w:rPr>
          <w:i/>
          <w:iCs/>
        </w:rPr>
        <w:t>Loi constitutionnelle de 1982</w:t>
      </w:r>
      <w:r w:rsidRPr="00FC21C6">
        <w:rPr>
          <w:szCs w:val="24"/>
          <w:vertAlign w:val="superscript"/>
        </w:rPr>
        <w:footnoteReference w:id="6"/>
      </w:r>
      <w:r w:rsidRPr="00FC21C6">
        <w:t xml:space="preserve">. Subsidiairement, le PGQ soutient que le juge aurait dû suspendre la prise d’effet de cette déclaration d’inopérabilité pendant </w:t>
      </w:r>
      <w:r w:rsidR="005715DD" w:rsidRPr="00FC21C6">
        <w:t>12 </w:t>
      </w:r>
      <w:r w:rsidRPr="00FC21C6">
        <w:t xml:space="preserve">mois. </w:t>
      </w:r>
    </w:p>
    <w:p w14:paraId="106A6448" w14:textId="60247041" w:rsidR="005A1C52" w:rsidRPr="00FC21C6" w:rsidRDefault="005A1C52" w:rsidP="00FB1C7A">
      <w:pPr>
        <w:pStyle w:val="Paragraphe"/>
        <w:spacing w:line="280" w:lineRule="exact"/>
      </w:pPr>
      <w:r w:rsidRPr="00FC21C6">
        <w:t>Les intimés, Joseph-Christopher Luamba et l’Association canadienne des libertés civiles (« ACLC »)</w:t>
      </w:r>
      <w:r w:rsidRPr="00FC21C6">
        <w:rPr>
          <w:vertAlign w:val="superscript"/>
        </w:rPr>
        <w:footnoteReference w:id="7"/>
      </w:r>
      <w:r w:rsidRPr="00FC21C6">
        <w:t>, défendent les conclusions du jugement de première instance et demandent à la Cour de rejeter le pourvoi. Leurs prétentions reçoivent l’appui d’une mise en cause, la Canadian Association of Black Lawyers (« CABL »)</w:t>
      </w:r>
      <w:r w:rsidR="00017360" w:rsidRPr="00FC21C6">
        <w:t xml:space="preserve">. Le débat en appel est par ailleurs enrichi </w:t>
      </w:r>
      <w:r w:rsidR="00857FC0" w:rsidRPr="00FC21C6">
        <w:rPr>
          <w:rFonts w:cs="Arial"/>
        </w:rPr>
        <w:t xml:space="preserve">par la participation </w:t>
      </w:r>
      <w:r w:rsidRPr="00FC21C6">
        <w:rPr>
          <w:rFonts w:cs="Arial"/>
        </w:rPr>
        <w:t xml:space="preserve">de </w:t>
      </w:r>
      <w:r w:rsidRPr="00FC21C6">
        <w:t>trois intervenantes, la British Columbia Civil Liberties Association (« BCCLA »), la Clinique juridique de Saint-Michel (« CJSM ») et la Commission des droits de la personne et des droits de la jeunesse (« CDPDJ »)</w:t>
      </w:r>
      <w:r w:rsidRPr="00FC21C6">
        <w:rPr>
          <w:vertAlign w:val="superscript"/>
        </w:rPr>
        <w:footnoteReference w:id="8"/>
      </w:r>
      <w:r w:rsidRPr="00FC21C6">
        <w:t xml:space="preserve">. </w:t>
      </w:r>
    </w:p>
    <w:p w14:paraId="5C95CF88" w14:textId="77777777" w:rsidR="005A1C52" w:rsidRPr="00FC21C6" w:rsidRDefault="005A1C52" w:rsidP="00FB1C7A">
      <w:pPr>
        <w:pStyle w:val="Paragraphe"/>
        <w:spacing w:line="280" w:lineRule="exact"/>
      </w:pPr>
      <w:r w:rsidRPr="00FC21C6">
        <w:t>Le procureur général du Canada (« PGC »), qui prêtait main-forte au PGQ en première instance, ne participe pas au débat en appel.</w:t>
      </w:r>
    </w:p>
    <w:p w14:paraId="73DBD3B8" w14:textId="32F4794C" w:rsidR="00EB1873" w:rsidRPr="00FC21C6" w:rsidRDefault="00EB1873" w:rsidP="00FB1C7A">
      <w:pPr>
        <w:pStyle w:val="Paragraphe"/>
        <w:spacing w:line="280" w:lineRule="exact"/>
      </w:pPr>
      <w:r w:rsidRPr="00FC21C6">
        <w:t xml:space="preserve">Pour les motifs qui suivent, la Cour conclut qu’il y a lieu de confirmer le jugement de première instance, sauf </w:t>
      </w:r>
      <w:r w:rsidR="002C674F" w:rsidRPr="00FC21C6">
        <w:t>en ce qui concerne</w:t>
      </w:r>
      <w:r w:rsidRPr="00FC21C6">
        <w:t xml:space="preserve"> la déclaration d’inopérabilité de la règle de common law</w:t>
      </w:r>
      <w:r w:rsidR="002331CB" w:rsidRPr="00FC21C6">
        <w:t xml:space="preserve"> et sans qu’il soit </w:t>
      </w:r>
      <w:r w:rsidR="00860A4C" w:rsidRPr="00FC21C6">
        <w:t>nécessaire de</w:t>
      </w:r>
      <w:r w:rsidR="00C874C4" w:rsidRPr="00FC21C6">
        <w:t xml:space="preserve"> se prononcer sur l’atteinte au droit garanti par l’art.</w:t>
      </w:r>
      <w:r w:rsidR="00262774" w:rsidRPr="00FC21C6">
        <w:t> </w:t>
      </w:r>
      <w:r w:rsidR="00C874C4" w:rsidRPr="00FC21C6">
        <w:t xml:space="preserve">7 de la </w:t>
      </w:r>
      <w:r w:rsidR="00C874C4" w:rsidRPr="00FC21C6">
        <w:rPr>
          <w:i/>
          <w:iCs/>
        </w:rPr>
        <w:t>Charte</w:t>
      </w:r>
      <w:r w:rsidRPr="00FC21C6">
        <w:t xml:space="preserve">. </w:t>
      </w:r>
    </w:p>
    <w:p w14:paraId="7A478924" w14:textId="64B2542F" w:rsidR="005A1C52" w:rsidRPr="00FC21C6" w:rsidRDefault="000B3736" w:rsidP="000B3736">
      <w:pPr>
        <w:pStyle w:val="Titre1"/>
      </w:pPr>
      <w:bookmarkStart w:id="12" w:name="_Toc177390711"/>
      <w:bookmarkStart w:id="13" w:name="_Toc180397453"/>
      <w:r w:rsidRPr="00FC21C6">
        <w:t>I.</w:t>
      </w:r>
      <w:r w:rsidRPr="00FC21C6">
        <w:tab/>
      </w:r>
      <w:r w:rsidR="005A1C52" w:rsidRPr="00FC21C6">
        <w:t>CONTEXTE</w:t>
      </w:r>
      <w:bookmarkEnd w:id="12"/>
      <w:bookmarkEnd w:id="13"/>
    </w:p>
    <w:p w14:paraId="18930764" w14:textId="0D41FC74" w:rsidR="00EB1873" w:rsidRPr="00FC21C6" w:rsidRDefault="00EB1873" w:rsidP="00FB1C7A">
      <w:pPr>
        <w:pStyle w:val="Paragraphe"/>
        <w:spacing w:line="280" w:lineRule="exact"/>
      </w:pPr>
      <w:r w:rsidRPr="00FC21C6">
        <w:t>L’intimé, M. Luamba, est un jeune étudiant d’origine haïtienne vivant à Montréal</w:t>
      </w:r>
      <w:r w:rsidR="007D1E99" w:rsidRPr="00FC21C6">
        <w:t>. Détenteur</w:t>
      </w:r>
      <w:r w:rsidRPr="00FC21C6">
        <w:t xml:space="preserve"> d’un permis de conduire depuis 2019</w:t>
      </w:r>
      <w:r w:rsidR="007D1E99" w:rsidRPr="00FC21C6">
        <w:t xml:space="preserve">, il a été intercepté au volant </w:t>
      </w:r>
      <w:r w:rsidRPr="00FC21C6">
        <w:t xml:space="preserve">à trois reprises en l’espace d’un </w:t>
      </w:r>
      <w:r w:rsidR="007D1E99" w:rsidRPr="00FC21C6">
        <w:t xml:space="preserve">peu plus d’un </w:t>
      </w:r>
      <w:r w:rsidRPr="00FC21C6">
        <w:t xml:space="preserve">an. </w:t>
      </w:r>
      <w:r w:rsidR="004B5A3C" w:rsidRPr="00FC21C6">
        <w:t>À chaque fois, o</w:t>
      </w:r>
      <w:r w:rsidRPr="00FC21C6">
        <w:t>n lui a demandé de s’identifier et il fut libéré sans qu’une contravention lui soit remise.</w:t>
      </w:r>
    </w:p>
    <w:p w14:paraId="4DDC24B9" w14:textId="3DE6BFB0" w:rsidR="00EB1873" w:rsidRPr="00FC21C6" w:rsidRDefault="007D1E99" w:rsidP="00FB1C7A">
      <w:pPr>
        <w:pStyle w:val="Paragraphe"/>
        <w:spacing w:line="280" w:lineRule="exact"/>
      </w:pPr>
      <w:r w:rsidRPr="00FC21C6">
        <w:t>Estimant avoir été victime de profilage racial lors de ces interceptions, M.</w:t>
      </w:r>
      <w:r w:rsidR="00941814" w:rsidRPr="00FC21C6">
        <w:t> </w:t>
      </w:r>
      <w:r w:rsidRPr="00FC21C6">
        <w:t xml:space="preserve">Luamba intente en novembre 2020 un recours par lequel il </w:t>
      </w:r>
      <w:r w:rsidR="00EB1873" w:rsidRPr="00FC21C6">
        <w:t xml:space="preserve">attaque la validité constitutionnelle de la règle de common law </w:t>
      </w:r>
      <w:r w:rsidR="00746758" w:rsidRPr="00FC21C6">
        <w:t xml:space="preserve">octroyant aux policiers </w:t>
      </w:r>
      <w:r w:rsidRPr="00FC21C6">
        <w:t xml:space="preserve">« le pouvoir d’intercepter un véhicule automobile et son conducteur sans motif raisonnable de croire ou de soupçonner qu’une infraction a été commise » </w:t>
      </w:r>
      <w:r w:rsidR="00EB1873" w:rsidRPr="00FC21C6">
        <w:t>et de l’art</w:t>
      </w:r>
      <w:r w:rsidR="002C674F" w:rsidRPr="00FC21C6">
        <w:t>.</w:t>
      </w:r>
      <w:r w:rsidR="00EB1873" w:rsidRPr="00FC21C6">
        <w:t xml:space="preserve"> 636 </w:t>
      </w:r>
      <w:r w:rsidR="00EB1873" w:rsidRPr="00FC21C6">
        <w:rPr>
          <w:i/>
          <w:iCs/>
        </w:rPr>
        <w:t>C.s.r</w:t>
      </w:r>
      <w:r w:rsidR="00EB1873" w:rsidRPr="00FC21C6">
        <w:t>.</w:t>
      </w:r>
      <w:r w:rsidR="00C9546A">
        <w:t>,</w:t>
      </w:r>
      <w:r w:rsidR="00594ABD" w:rsidRPr="00FC21C6">
        <w:t xml:space="preserve"> </w:t>
      </w:r>
      <w:r w:rsidRPr="00FC21C6">
        <w:t xml:space="preserve">dans la mesure où celui-ci </w:t>
      </w:r>
      <w:r w:rsidR="002C674F" w:rsidRPr="00FC21C6">
        <w:t>reprend essentiellement</w:t>
      </w:r>
      <w:r w:rsidRPr="00FC21C6">
        <w:t xml:space="preserve"> cette règle de common law</w:t>
      </w:r>
      <w:r w:rsidRPr="00FC21C6">
        <w:rPr>
          <w:vertAlign w:val="superscript"/>
        </w:rPr>
        <w:footnoteReference w:id="9"/>
      </w:r>
      <w:r w:rsidRPr="00FC21C6">
        <w:t>.</w:t>
      </w:r>
      <w:r w:rsidR="004B5A3C" w:rsidRPr="00FC21C6">
        <w:t xml:space="preserve"> </w:t>
      </w:r>
    </w:p>
    <w:p w14:paraId="25652A22" w14:textId="38C0EE12" w:rsidR="005A1C52" w:rsidRPr="00FC21C6" w:rsidRDefault="005A1C52" w:rsidP="00FB1C7A">
      <w:pPr>
        <w:pStyle w:val="Paragraphe"/>
        <w:spacing w:line="280" w:lineRule="exact"/>
      </w:pPr>
      <w:r w:rsidRPr="00FC21C6">
        <w:t>Le litige ne met pas en cause les interceptions routières faites dans le cadre d’un programme structuré (p</w:t>
      </w:r>
      <w:r w:rsidR="002C674F" w:rsidRPr="00FC21C6">
        <w:t>.</w:t>
      </w:r>
      <w:r w:rsidRPr="00FC21C6">
        <w:t xml:space="preserve"> ex., un programme de contrôles routiers ponctuels</w:t>
      </w:r>
      <w:r w:rsidR="00D95A04">
        <w:t xml:space="preserve"> tel </w:t>
      </w:r>
      <w:r w:rsidR="00B702BE">
        <w:t>un barrage routier</w:t>
      </w:r>
      <w:r w:rsidRPr="00FC21C6">
        <w:t>). Il ne vise pas non plus les interceptions faites par des agents de la paix autres que des policiers</w:t>
      </w:r>
      <w:r w:rsidRPr="00FC21C6">
        <w:rPr>
          <w:vertAlign w:val="superscript"/>
        </w:rPr>
        <w:footnoteReference w:id="10"/>
      </w:r>
      <w:r w:rsidRPr="00FC21C6">
        <w:t xml:space="preserve">. Bref, </w:t>
      </w:r>
      <w:r w:rsidR="00EB1873" w:rsidRPr="00FC21C6">
        <w:t xml:space="preserve">il ne concerne qu’une pratique </w:t>
      </w:r>
      <w:r w:rsidR="008021E9" w:rsidRPr="00FC21C6">
        <w:t>bien précise</w:t>
      </w:r>
      <w:r w:rsidR="00EB1873" w:rsidRPr="00FC21C6">
        <w:t xml:space="preserve">, soit l’interception </w:t>
      </w:r>
      <w:r w:rsidR="00AD427A" w:rsidRPr="00FC21C6">
        <w:t xml:space="preserve">par un policier </w:t>
      </w:r>
      <w:r w:rsidR="00EB1873" w:rsidRPr="00FC21C6">
        <w:t xml:space="preserve">du conducteur d’un véhicule automobile de façon totalement discrétionnaire. Le juge de première instance </w:t>
      </w:r>
      <w:r w:rsidR="00440D0D" w:rsidRPr="00FC21C6">
        <w:t>précise</w:t>
      </w:r>
      <w:r w:rsidR="00EB1873" w:rsidRPr="00FC21C6">
        <w:t xml:space="preserve"> </w:t>
      </w:r>
      <w:r w:rsidR="00AD427A" w:rsidRPr="00FC21C6">
        <w:t xml:space="preserve">en ces termes </w:t>
      </w:r>
      <w:r w:rsidR="00EB1873" w:rsidRPr="00FC21C6">
        <w:t>ce qui est visé</w:t>
      </w:r>
      <w:r w:rsidR="004915F3" w:rsidRPr="00FC21C6">
        <w:t> </w:t>
      </w:r>
      <w:r w:rsidRPr="00FC21C6">
        <w:t>:</w:t>
      </w:r>
    </w:p>
    <w:p w14:paraId="350E1E2A" w14:textId="73188D23" w:rsidR="005A1C52" w:rsidRPr="00FC21C6" w:rsidRDefault="005A1C52" w:rsidP="00D51EF8">
      <w:pPr>
        <w:pStyle w:val="Citationenretrait"/>
      </w:pPr>
      <w:r w:rsidRPr="00FC21C6">
        <w:t>[22]</w:t>
      </w:r>
      <w:r w:rsidR="00AD427A" w:rsidRPr="00FC21C6">
        <w:tab/>
      </w:r>
      <w:r w:rsidRPr="00FC21C6">
        <w:t>Ce jugement ne porte donc que sur une pratique policière spécifique : l’interception sur un chemin public par la police du conducteur d’un véhicule automobile de façon totalement discrétionnaire, sans motif réel ou même sans un simple soupçon d’infraction, à des fins de vérification et de contrôle dans un objectif de sécurité routière, hors du cadre d’un programme structuré et d’une façon non régie ou encadrée par une règle de droit. […]</w:t>
      </w:r>
    </w:p>
    <w:p w14:paraId="79A7F37E" w14:textId="45DA3CEA" w:rsidR="005A1C52" w:rsidRPr="00FC21C6" w:rsidRDefault="005A1C52" w:rsidP="005A1C52">
      <w:pPr>
        <w:spacing w:before="120" w:after="120"/>
        <w:ind w:left="1440" w:right="720"/>
        <w:jc w:val="right"/>
        <w:rPr>
          <w:kern w:val="24"/>
          <w:sz w:val="22"/>
          <w:szCs w:val="22"/>
        </w:rPr>
      </w:pPr>
      <w:r w:rsidRPr="00FC21C6">
        <w:rPr>
          <w:kern w:val="24"/>
          <w:sz w:val="22"/>
          <w:szCs w:val="22"/>
        </w:rPr>
        <w:t>[Renvoi et caractères gras</w:t>
      </w:r>
      <w:r w:rsidR="00AD427A" w:rsidRPr="00FC21C6">
        <w:rPr>
          <w:kern w:val="24"/>
          <w:sz w:val="22"/>
          <w:szCs w:val="22"/>
        </w:rPr>
        <w:t xml:space="preserve"> omis</w:t>
      </w:r>
      <w:r w:rsidRPr="00FC21C6">
        <w:rPr>
          <w:kern w:val="24"/>
          <w:sz w:val="22"/>
          <w:szCs w:val="22"/>
        </w:rPr>
        <w:t>]</w:t>
      </w:r>
    </w:p>
    <w:p w14:paraId="3B35187E" w14:textId="347F5720" w:rsidR="005A1C52" w:rsidRPr="00FC21C6" w:rsidRDefault="005A1C52" w:rsidP="00FB1C7A">
      <w:pPr>
        <w:pStyle w:val="Paragraphe"/>
        <w:spacing w:line="280" w:lineRule="exact"/>
      </w:pPr>
      <w:r w:rsidRPr="00FC21C6">
        <w:t>Le juge désigne ce dont il est question en l’occurrence par le vocable « interception routière sans motif réel »</w:t>
      </w:r>
      <w:r w:rsidRPr="00FC21C6">
        <w:rPr>
          <w:vertAlign w:val="superscript"/>
        </w:rPr>
        <w:footnoteReference w:id="11"/>
      </w:r>
      <w:r w:rsidRPr="00FC21C6">
        <w:t xml:space="preserve">. Dans le présent arrêt, la Cour utilisera plutôt l’expression « interception routière sans motif requis », laquelle est plus neutre et axée sur les conditions (ou l’absence de conditions) d’exercice du pouvoir d’interception </w:t>
      </w:r>
      <w:r w:rsidR="001F1AA6">
        <w:t>qui est en cause</w:t>
      </w:r>
      <w:r w:rsidR="00206951" w:rsidRPr="00FC21C6">
        <w:t xml:space="preserve"> ici</w:t>
      </w:r>
      <w:r w:rsidRPr="00FC21C6">
        <w:t>.</w:t>
      </w:r>
    </w:p>
    <w:p w14:paraId="7EF96D04" w14:textId="2A57A20E" w:rsidR="005A1C52" w:rsidRPr="00FC21C6" w:rsidRDefault="005A1C52" w:rsidP="00FB1C7A">
      <w:pPr>
        <w:pStyle w:val="Paragraphe"/>
        <w:spacing w:line="280" w:lineRule="exact"/>
      </w:pPr>
      <w:r w:rsidRPr="00FC21C6">
        <w:t>Comme mentionné précédemment, le juge conclut que l</w:t>
      </w:r>
      <w:r w:rsidR="00CB48BA" w:rsidRPr="00FC21C6">
        <w:t>a</w:t>
      </w:r>
      <w:r w:rsidRPr="00FC21C6">
        <w:t xml:space="preserve"> règle de droit contestée </w:t>
      </w:r>
      <w:r w:rsidR="00CB48BA" w:rsidRPr="00FC21C6">
        <w:t xml:space="preserve">est </w:t>
      </w:r>
      <w:r w:rsidRPr="00FC21C6">
        <w:t>incompatible avec le droit à la protection contre la détention arbitraire (</w:t>
      </w:r>
      <w:r w:rsidRPr="00FC21C6">
        <w:rPr>
          <w:i/>
          <w:iCs/>
        </w:rPr>
        <w:t>Charte</w:t>
      </w:r>
      <w:r w:rsidRPr="00FC21C6">
        <w:t>, art.</w:t>
      </w:r>
      <w:r w:rsidR="00262774" w:rsidRPr="00FC21C6">
        <w:t> </w:t>
      </w:r>
      <w:r w:rsidRPr="00FC21C6">
        <w:t>9), le droit à la liberté et à la sécurité de la personne (</w:t>
      </w:r>
      <w:r w:rsidRPr="00FC21C6">
        <w:rPr>
          <w:i/>
          <w:iCs/>
        </w:rPr>
        <w:t>Charte</w:t>
      </w:r>
      <w:r w:rsidRPr="00FC21C6">
        <w:t>, art. 7) ainsi qu’avec le droit à l’égalité (</w:t>
      </w:r>
      <w:r w:rsidRPr="00FC21C6">
        <w:rPr>
          <w:i/>
          <w:iCs/>
        </w:rPr>
        <w:t>Charte</w:t>
      </w:r>
      <w:r w:rsidRPr="00FC21C6">
        <w:t>, par. 15(1)) et qu’elle ne peu</w:t>
      </w:r>
      <w:r w:rsidR="00CB48BA" w:rsidRPr="00FC21C6">
        <w:t>t</w:t>
      </w:r>
      <w:r w:rsidRPr="00FC21C6">
        <w:t xml:space="preserve"> être sauvegardée par l’application de l’article premier. Il souscrit ainsi à la position des intimés voulant que </w:t>
      </w:r>
      <w:r w:rsidR="00CB48BA" w:rsidRPr="00FC21C6">
        <w:t>la règle de common law</w:t>
      </w:r>
      <w:r w:rsidR="00CB48BA" w:rsidRPr="00FC21C6">
        <w:rPr>
          <w:i/>
          <w:iCs/>
        </w:rPr>
        <w:t xml:space="preserve"> </w:t>
      </w:r>
      <w:r w:rsidR="00CB48BA" w:rsidRPr="00FC21C6">
        <w:t xml:space="preserve">établie dans </w:t>
      </w:r>
      <w:r w:rsidR="00EA3F91" w:rsidRPr="00FC21C6">
        <w:t xml:space="preserve">l’arrêt </w:t>
      </w:r>
      <w:r w:rsidR="00CB48BA" w:rsidRPr="00FC21C6">
        <w:rPr>
          <w:i/>
          <w:iCs/>
        </w:rPr>
        <w:t>Ladouceur</w:t>
      </w:r>
      <w:r w:rsidR="00CB48BA" w:rsidRPr="00FC21C6">
        <w:t xml:space="preserve"> et l’art. 636 </w:t>
      </w:r>
      <w:r w:rsidR="00CB48BA" w:rsidRPr="00FC21C6">
        <w:rPr>
          <w:i/>
          <w:iCs/>
        </w:rPr>
        <w:t>C.s.r</w:t>
      </w:r>
      <w:r w:rsidR="00CB48BA" w:rsidRPr="00FC21C6">
        <w:t>.</w:t>
      </w:r>
      <w:r w:rsidRPr="00FC21C6">
        <w:t xml:space="preserve"> « ont été peu à peu perverti</w:t>
      </w:r>
      <w:r w:rsidR="00EA3F91" w:rsidRPr="00FC21C6">
        <w:t>[s]</w:t>
      </w:r>
      <w:r w:rsidRPr="00FC21C6">
        <w:t xml:space="preserve"> et détourné</w:t>
      </w:r>
      <w:r w:rsidR="00EA3F91" w:rsidRPr="00FC21C6">
        <w:t>[s]</w:t>
      </w:r>
      <w:r w:rsidRPr="00FC21C6">
        <w:t xml:space="preserve"> de leur fin première, c’est-à-dire la sécurité routière »</w:t>
      </w:r>
      <w:r w:rsidRPr="00FC21C6">
        <w:rPr>
          <w:vertAlign w:val="superscript"/>
        </w:rPr>
        <w:footnoteReference w:id="12"/>
      </w:r>
      <w:r w:rsidRPr="00FC21C6">
        <w:t>, pour devenir « </w:t>
      </w:r>
      <w:r w:rsidRPr="00FC21C6">
        <w:rPr>
          <w:rFonts w:cs="Arial"/>
          <w:color w:val="000000"/>
        </w:rPr>
        <w:t>un sauf-conduit permettant aux policiers d’exercer une forme de profilage racial à l’égard des conducteurs noirs »</w:t>
      </w:r>
      <w:r w:rsidRPr="00FC21C6">
        <w:rPr>
          <w:rFonts w:cs="Arial"/>
          <w:color w:val="000000"/>
          <w:vertAlign w:val="superscript"/>
        </w:rPr>
        <w:footnoteReference w:id="13"/>
      </w:r>
      <w:r w:rsidRPr="00FC21C6">
        <w:rPr>
          <w:rFonts w:cs="Arial"/>
          <w:color w:val="000000"/>
        </w:rPr>
        <w:t xml:space="preserve">, </w:t>
      </w:r>
      <w:r w:rsidR="00DF293E">
        <w:rPr>
          <w:rFonts w:cs="Arial"/>
          <w:color w:val="000000"/>
        </w:rPr>
        <w:t>entraînant</w:t>
      </w:r>
      <w:r w:rsidRPr="00FC21C6">
        <w:rPr>
          <w:rFonts w:cs="Arial"/>
          <w:color w:val="000000"/>
        </w:rPr>
        <w:t xml:space="preserve"> des violations répétées – et </w:t>
      </w:r>
      <w:r w:rsidR="00860A4C" w:rsidRPr="00FC21C6">
        <w:rPr>
          <w:rFonts w:cs="Arial"/>
          <w:color w:val="000000"/>
        </w:rPr>
        <w:t>injustifiées</w:t>
      </w:r>
      <w:r w:rsidR="00DF293E">
        <w:rPr>
          <w:rFonts w:cs="Arial"/>
          <w:color w:val="000000"/>
        </w:rPr>
        <w:t> </w:t>
      </w:r>
      <w:r w:rsidRPr="00FC21C6">
        <w:rPr>
          <w:rFonts w:cs="Arial"/>
          <w:color w:val="000000"/>
        </w:rPr>
        <w:t>– des droits fondamentaux de ces personnes.</w:t>
      </w:r>
      <w:r w:rsidRPr="00FC21C6">
        <w:rPr>
          <w:rFonts w:ascii="Times New Roman" w:hAnsi="Times New Roman"/>
          <w:szCs w:val="24"/>
          <w:lang w:eastAsia="fr-CA"/>
        </w:rPr>
        <w:t xml:space="preserve"> </w:t>
      </w:r>
    </w:p>
    <w:p w14:paraId="41D82B17" w14:textId="5AF5E0BE" w:rsidR="005A1C52" w:rsidRPr="00FC21C6" w:rsidRDefault="005A1C52" w:rsidP="00FB1C7A">
      <w:pPr>
        <w:pStyle w:val="Paragraphe"/>
        <w:spacing w:line="280" w:lineRule="exact"/>
      </w:pPr>
      <w:r w:rsidRPr="00FC21C6">
        <w:t xml:space="preserve">En première instance, les intimés ont fait entendre de nombreuses personnes noires ayant vécu des interceptions routières sans motif requis. Plusieurs de ces témoins ont affirmé avoir été victimes de profilage racial dans ce contexte et ont expliqué les conséquences néfastes que ces expériences avaient eues sur eux ou sur leurs proches. La preuve offerte par ces témoins, à laquelle le juge a accordé foi, n’est pas remise en cause en appel. En effet, le PGQ ne conteste pas que ces personnes </w:t>
      </w:r>
      <w:r w:rsidR="00440D0D" w:rsidRPr="00FC21C6">
        <w:t>o</w:t>
      </w:r>
      <w:r w:rsidRPr="00FC21C6">
        <w:t xml:space="preserve">nt pu vivre du profilage racial dans le cadre d’interceptions routières sans motif requis ni que ces expériences </w:t>
      </w:r>
      <w:r w:rsidR="00440D0D" w:rsidRPr="00FC21C6">
        <w:t>o</w:t>
      </w:r>
      <w:r w:rsidRPr="00FC21C6">
        <w:t>nt pu avoir de sérieuses conséquences négatives sur elles, sur leurs proches ou sur leur entourage</w:t>
      </w:r>
      <w:r w:rsidRPr="00FC21C6">
        <w:rPr>
          <w:vertAlign w:val="superscript"/>
        </w:rPr>
        <w:footnoteReference w:id="14"/>
      </w:r>
      <w:r w:rsidRPr="00FC21C6">
        <w:t>. Il soutient toutefois que le profilage racial ne découle pas de</w:t>
      </w:r>
      <w:r w:rsidR="00CB48BA" w:rsidRPr="00FC21C6">
        <w:t xml:space="preserve"> la</w:t>
      </w:r>
      <w:r w:rsidRPr="00FC21C6">
        <w:t xml:space="preserve"> règle de droit contestée, mais résulte plutôt d’actes dérogatoires commis par des policiers dans l’exercice du pouvoir que leur confère</w:t>
      </w:r>
      <w:r w:rsidR="00B47CCC" w:rsidRPr="00FC21C6">
        <w:t xml:space="preserve"> </w:t>
      </w:r>
      <w:r w:rsidR="003A1B1E" w:rsidRPr="00FC21C6">
        <w:t>cette règle</w:t>
      </w:r>
      <w:r w:rsidRPr="00FC21C6">
        <w:t>.</w:t>
      </w:r>
    </w:p>
    <w:p w14:paraId="1CF9D5EB" w14:textId="645A980B" w:rsidR="005A1C52" w:rsidRPr="00FC21C6" w:rsidRDefault="005A1C52" w:rsidP="00FB1C7A">
      <w:pPr>
        <w:pStyle w:val="Paragraphe"/>
        <w:spacing w:line="280" w:lineRule="exact"/>
      </w:pPr>
      <w:r w:rsidRPr="00FC21C6">
        <w:t xml:space="preserve">Pour le PGQ, la preuve relative au profilage racial est donc sans pertinence quant à l’issue du litige. </w:t>
      </w:r>
      <w:r w:rsidR="00943858" w:rsidRPr="00FC21C6">
        <w:t>Il</w:t>
      </w:r>
      <w:r w:rsidRPr="00FC21C6">
        <w:t xml:space="preserve"> ne conteste d’ailleurs pas réellement la façon dont le juge a défini le profilage racial aux fins de son analyse, encore qu’il attaque les conclusions que celui-ci en a tirées (notamment quant à la qualification du profilage racial comme fait social nouveau survenu depuis l’arrêt </w:t>
      </w:r>
      <w:r w:rsidRPr="00FC21C6">
        <w:rPr>
          <w:i/>
          <w:iCs/>
        </w:rPr>
        <w:t>Ladouceur</w:t>
      </w:r>
      <w:r w:rsidRPr="00FC21C6">
        <w:t>).</w:t>
      </w:r>
    </w:p>
    <w:p w14:paraId="37905391" w14:textId="3542BE11" w:rsidR="005A1C52" w:rsidRPr="000B3736" w:rsidRDefault="000B3736" w:rsidP="000B3736">
      <w:pPr>
        <w:pStyle w:val="Titre1"/>
      </w:pPr>
      <w:bookmarkStart w:id="14" w:name="_Toc177390712"/>
      <w:bookmarkStart w:id="15" w:name="_Toc180397454"/>
      <w:r w:rsidRPr="000B3736">
        <w:t>II.</w:t>
      </w:r>
      <w:r w:rsidRPr="000B3736">
        <w:tab/>
      </w:r>
      <w:r w:rsidR="00CB48BA" w:rsidRPr="000B3736">
        <w:t>règle de</w:t>
      </w:r>
      <w:r w:rsidR="004A7773">
        <w:t xml:space="preserve"> Common Law et </w:t>
      </w:r>
      <w:r w:rsidR="00CB48BA" w:rsidRPr="000B3736">
        <w:t xml:space="preserve">art. 636 </w:t>
      </w:r>
      <w:r w:rsidR="00CB48BA" w:rsidRPr="000B3736">
        <w:rPr>
          <w:i/>
          <w:iCs/>
        </w:rPr>
        <w:t>c.s.r</w:t>
      </w:r>
      <w:bookmarkEnd w:id="14"/>
      <w:r w:rsidR="00941814">
        <w:rPr>
          <w:i/>
          <w:iCs/>
        </w:rPr>
        <w:t>.</w:t>
      </w:r>
      <w:bookmarkEnd w:id="15"/>
    </w:p>
    <w:p w14:paraId="36E2A82F" w14:textId="55B178A2" w:rsidR="005A1C52" w:rsidRPr="00C87EC1" w:rsidRDefault="005A1C52" w:rsidP="00FB1C7A">
      <w:pPr>
        <w:pStyle w:val="Paragraphe"/>
        <w:spacing w:line="280" w:lineRule="exact"/>
      </w:pPr>
      <w:bookmarkStart w:id="16" w:name="_Ref177747821"/>
      <w:r w:rsidRPr="00C87EC1">
        <w:t xml:space="preserve">Avant d’aborder le jugement entrepris et les questions en litige, il convient de présenter généralement </w:t>
      </w:r>
      <w:r w:rsidR="007B6CA8">
        <w:t xml:space="preserve">les </w:t>
      </w:r>
      <w:r w:rsidR="00260FAC">
        <w:t xml:space="preserve">deux </w:t>
      </w:r>
      <w:r w:rsidR="007B6CA8">
        <w:t>règles de droit</w:t>
      </w:r>
      <w:r w:rsidR="00860A4C">
        <w:t xml:space="preserve"> </w:t>
      </w:r>
      <w:r w:rsidR="00260FAC">
        <w:t xml:space="preserve">qui furent </w:t>
      </w:r>
      <w:r w:rsidRPr="00C87EC1">
        <w:t>contestée</w:t>
      </w:r>
      <w:r w:rsidR="007B6CA8">
        <w:t>s</w:t>
      </w:r>
      <w:r w:rsidR="00260FAC">
        <w:t xml:space="preserve"> par l’intimé</w:t>
      </w:r>
      <w:r w:rsidR="00B702BE">
        <w:t xml:space="preserve"> en première instance</w:t>
      </w:r>
      <w:r w:rsidR="00AC203A" w:rsidRPr="00C87EC1">
        <w:t xml:space="preserve"> et, plus particulièrement, </w:t>
      </w:r>
      <w:r w:rsidR="00C874C4" w:rsidRPr="00C87EC1">
        <w:t>d’</w:t>
      </w:r>
      <w:r w:rsidR="00540798" w:rsidRPr="00C87EC1">
        <w:t>examin</w:t>
      </w:r>
      <w:r w:rsidR="00C874C4" w:rsidRPr="00C87EC1">
        <w:t>er d’un peu plus près</w:t>
      </w:r>
      <w:r w:rsidR="00540798" w:rsidRPr="00C87EC1">
        <w:t xml:space="preserve"> le fondement de</w:t>
      </w:r>
      <w:r w:rsidRPr="00C87EC1">
        <w:t xml:space="preserve"> l’arrêt </w:t>
      </w:r>
      <w:r w:rsidRPr="00C87EC1">
        <w:rPr>
          <w:i/>
          <w:iCs/>
        </w:rPr>
        <w:t>Ladouceur</w:t>
      </w:r>
      <w:r w:rsidR="00540798" w:rsidRPr="00C87EC1">
        <w:rPr>
          <w:i/>
          <w:iCs/>
        </w:rPr>
        <w:t>.</w:t>
      </w:r>
      <w:bookmarkEnd w:id="16"/>
      <w:r w:rsidR="00540798" w:rsidRPr="00C87EC1">
        <w:t xml:space="preserve"> </w:t>
      </w:r>
    </w:p>
    <w:p w14:paraId="305AE9FE" w14:textId="3D061030" w:rsidR="005A1C52" w:rsidRPr="00C87EC1" w:rsidRDefault="000B3736" w:rsidP="002E559C">
      <w:pPr>
        <w:pStyle w:val="Titre2"/>
      </w:pPr>
      <w:bookmarkStart w:id="17" w:name="_Toc177390713"/>
      <w:bookmarkStart w:id="18" w:name="_Toc180397455"/>
      <w:r w:rsidRPr="000B3736">
        <w:t>A.</w:t>
      </w:r>
      <w:r w:rsidRPr="000B3736">
        <w:tab/>
      </w:r>
      <w:r w:rsidR="00540798" w:rsidRPr="00C87EC1">
        <w:t>L’arrêt</w:t>
      </w:r>
      <w:r w:rsidR="005A1C52" w:rsidRPr="00C87EC1">
        <w:t xml:space="preserve"> </w:t>
      </w:r>
      <w:r w:rsidR="005A1C52" w:rsidRPr="000B3736">
        <w:rPr>
          <w:i/>
          <w:iCs/>
        </w:rPr>
        <w:t>Ladouceur</w:t>
      </w:r>
      <w:bookmarkEnd w:id="17"/>
      <w:bookmarkEnd w:id="18"/>
    </w:p>
    <w:p w14:paraId="7F031532" w14:textId="134DD960" w:rsidR="00540798" w:rsidRPr="00C87EC1" w:rsidRDefault="00540798" w:rsidP="00FB1C7A">
      <w:pPr>
        <w:pStyle w:val="Paragraphe"/>
        <w:spacing w:before="60" w:after="60" w:line="280" w:lineRule="exact"/>
      </w:pPr>
      <w:r w:rsidRPr="00C87EC1">
        <w:t xml:space="preserve">Le juge et les parties au débat ont adopté la position selon laquelle la Cour suprême, dans l’arrêt </w:t>
      </w:r>
      <w:r w:rsidRPr="00C87EC1">
        <w:rPr>
          <w:i/>
          <w:iCs/>
        </w:rPr>
        <w:t>Ladouceur,</w:t>
      </w:r>
      <w:r w:rsidRPr="00C87EC1">
        <w:t xml:space="preserve"> a reconnu l’existence d’une règle de</w:t>
      </w:r>
      <w:r w:rsidRPr="00C87EC1">
        <w:rPr>
          <w:i/>
          <w:iCs/>
        </w:rPr>
        <w:t xml:space="preserve"> </w:t>
      </w:r>
      <w:r w:rsidRPr="004E322D">
        <w:t>common law</w:t>
      </w:r>
      <w:r w:rsidRPr="00C87EC1">
        <w:t xml:space="preserve"> </w:t>
      </w:r>
      <w:r w:rsidRPr="00375905">
        <w:t>« octroyant aux policiers le pouvoir de procéder à l’interception au hasard d’un véhicule routier et de son conducteur sans motif raisonnable de croire ou de soupçonner qu’une infraction a été commise, lorsque cette interception ne fait pas partie d’un programme structuré »</w:t>
      </w:r>
      <w:r w:rsidRPr="00375905">
        <w:rPr>
          <w:rStyle w:val="Appelnotedebasdep"/>
        </w:rPr>
        <w:footnoteReference w:id="15"/>
      </w:r>
      <w:r w:rsidRPr="00375905">
        <w:t xml:space="preserve">. Dans </w:t>
      </w:r>
      <w:r w:rsidR="005D053C">
        <w:t>le dispositif de son jugement</w:t>
      </w:r>
      <w:r w:rsidRPr="00375905">
        <w:t>, le juge a déclaré inopérants tant l’art</w:t>
      </w:r>
      <w:r w:rsidR="00D44460">
        <w:t>. </w:t>
      </w:r>
      <w:r w:rsidRPr="00375905">
        <w:t xml:space="preserve">636 </w:t>
      </w:r>
      <w:r w:rsidRPr="00375905">
        <w:rPr>
          <w:i/>
          <w:iCs/>
        </w:rPr>
        <w:t>C.s.r.</w:t>
      </w:r>
      <w:r w:rsidRPr="00375905">
        <w:t xml:space="preserve"> que « </w:t>
      </w:r>
      <w:r w:rsidRPr="00375905">
        <w:rPr>
          <w:rFonts w:cs="Arial"/>
          <w:color w:val="000000"/>
        </w:rPr>
        <w:t xml:space="preserve">la règle de </w:t>
      </w:r>
      <w:r w:rsidRPr="004A7773">
        <w:rPr>
          <w:rFonts w:cs="Arial"/>
          <w:color w:val="000000"/>
        </w:rPr>
        <w:t>common law</w:t>
      </w:r>
      <w:r w:rsidRPr="00375905">
        <w:rPr>
          <w:rFonts w:cs="Arial"/>
          <w:i/>
          <w:iCs/>
          <w:color w:val="000000"/>
        </w:rPr>
        <w:t xml:space="preserve"> </w:t>
      </w:r>
      <w:r w:rsidRPr="00375905">
        <w:rPr>
          <w:rFonts w:cs="Arial"/>
          <w:color w:val="000000"/>
        </w:rPr>
        <w:t xml:space="preserve">établie </w:t>
      </w:r>
      <w:r w:rsidRPr="00375905">
        <w:t xml:space="preserve">par </w:t>
      </w:r>
      <w:r w:rsidRPr="00375905">
        <w:rPr>
          <w:i/>
          <w:iCs/>
        </w:rPr>
        <w:t>Ladouceur</w:t>
      </w:r>
      <w:r w:rsidRPr="00375905">
        <w:t> »</w:t>
      </w:r>
      <w:r w:rsidRPr="00375905">
        <w:rPr>
          <w:rStyle w:val="Appelnotedebasdep"/>
        </w:rPr>
        <w:footnoteReference w:id="16"/>
      </w:r>
      <w:r w:rsidRPr="00375905">
        <w:t>.</w:t>
      </w:r>
    </w:p>
    <w:p w14:paraId="709EBD2B" w14:textId="77D02601" w:rsidR="001C7091" w:rsidRDefault="00540798" w:rsidP="00FB1C7A">
      <w:pPr>
        <w:pStyle w:val="Paragraphe"/>
        <w:spacing w:line="280" w:lineRule="exact"/>
      </w:pPr>
      <w:r w:rsidRPr="00C87EC1">
        <w:t xml:space="preserve">À la suite de </w:t>
      </w:r>
      <w:r w:rsidR="001C7091">
        <w:t>l’audition du présent pourvoi</w:t>
      </w:r>
      <w:r w:rsidRPr="00C87EC1">
        <w:t xml:space="preserve">, </w:t>
      </w:r>
      <w:r w:rsidR="00C874C4" w:rsidRPr="00C87EC1">
        <w:t xml:space="preserve">la Cour a </w:t>
      </w:r>
      <w:r w:rsidR="00C874C4" w:rsidRPr="00604656">
        <w:t>invité</w:t>
      </w:r>
      <w:r w:rsidR="00C874C4" w:rsidRPr="00C87EC1">
        <w:t xml:space="preserve"> les parties</w:t>
      </w:r>
      <w:r w:rsidRPr="00C87EC1">
        <w:t xml:space="preserve"> à déposer une argumentation écrite supplémentaire </w:t>
      </w:r>
      <w:r w:rsidR="000E53D6" w:rsidRPr="00C87EC1">
        <w:t>portant sur</w:t>
      </w:r>
      <w:r w:rsidRPr="00C87EC1">
        <w:t xml:space="preserve"> la question suivante :</w:t>
      </w:r>
    </w:p>
    <w:p w14:paraId="34511FAB" w14:textId="565A45BA" w:rsidR="00540798" w:rsidRPr="00303A27" w:rsidRDefault="00540798" w:rsidP="00604656">
      <w:pPr>
        <w:pStyle w:val="Citationenretrait"/>
      </w:pPr>
      <w:r w:rsidRPr="000473DD">
        <w:rPr>
          <w:kern w:val="0"/>
        </w:rPr>
        <w:t>L</w:t>
      </w:r>
      <w:r w:rsidRPr="000473DD">
        <w:t xml:space="preserve">’arrêt </w:t>
      </w:r>
      <w:r w:rsidRPr="00303A27">
        <w:rPr>
          <w:i/>
          <w:iCs/>
        </w:rPr>
        <w:t>Ladouceur</w:t>
      </w:r>
      <w:r w:rsidRPr="00303A27">
        <w:t xml:space="preserve"> reconnaît-il l’existence d’un pouvoir de common law d’interception routière sans motif réel, hors du cadre d’un programme structuré? Plus précisément, où trouve-t-on, dans l’arrêt </w:t>
      </w:r>
      <w:r w:rsidRPr="009C61A5">
        <w:rPr>
          <w:i/>
          <w:iCs/>
        </w:rPr>
        <w:t>Ladouceur</w:t>
      </w:r>
      <w:r w:rsidRPr="00303A27">
        <w:t xml:space="preserve">, un élargissement de la règle de common law établie par l’arrêt </w:t>
      </w:r>
      <w:r w:rsidRPr="00303A27">
        <w:rPr>
          <w:i/>
          <w:iCs/>
        </w:rPr>
        <w:t>Dedman</w:t>
      </w:r>
      <w:r w:rsidR="00104AA3">
        <w:rPr>
          <w:i/>
          <w:iCs/>
        </w:rPr>
        <w:t xml:space="preserve"> </w:t>
      </w:r>
      <w:r w:rsidRPr="00303A27">
        <w:rPr>
          <w:i/>
          <w:iCs/>
        </w:rPr>
        <w:t>c. La Reine</w:t>
      </w:r>
      <w:r w:rsidRPr="00303A27">
        <w:t>, [1985] 2 R.C.S. 2? Cette règle de common law, rappelons-le, « autorise l’arrêt de véhicules au hasard pour les fins visées par le programme R.I.D.E. » (</w:t>
      </w:r>
      <w:r w:rsidRPr="00303A27">
        <w:rPr>
          <w:i/>
          <w:iCs/>
        </w:rPr>
        <w:t>Dedman</w:t>
      </w:r>
      <w:r w:rsidRPr="00303A27">
        <w:t>, p. 36).</w:t>
      </w:r>
    </w:p>
    <w:p w14:paraId="59075B50" w14:textId="593F532D" w:rsidR="00540798" w:rsidRPr="00C87EC1" w:rsidRDefault="00540798" w:rsidP="00FB1C7A">
      <w:pPr>
        <w:pStyle w:val="Paragraphe"/>
        <w:spacing w:line="280" w:lineRule="exact"/>
      </w:pPr>
      <w:r w:rsidRPr="00C87EC1">
        <w:t xml:space="preserve">Pour </w:t>
      </w:r>
      <w:r w:rsidR="00C874C4" w:rsidRPr="00C87EC1">
        <w:t>répondre à cette</w:t>
      </w:r>
      <w:r w:rsidRPr="00C87EC1">
        <w:t xml:space="preserve"> question, il est nécessaire d’examiner </w:t>
      </w:r>
      <w:r w:rsidRPr="00604656">
        <w:t>attentivement</w:t>
      </w:r>
      <w:r w:rsidRPr="00C87EC1">
        <w:t xml:space="preserve"> les arrêts </w:t>
      </w:r>
      <w:r w:rsidRPr="00C87EC1">
        <w:rPr>
          <w:i/>
          <w:iCs/>
        </w:rPr>
        <w:t>Dedman</w:t>
      </w:r>
      <w:r w:rsidR="00133669">
        <w:rPr>
          <w:i/>
          <w:iCs/>
        </w:rPr>
        <w:t xml:space="preserve"> c. La Reine</w:t>
      </w:r>
      <w:r w:rsidR="001C7091" w:rsidRPr="00C87EC1">
        <w:rPr>
          <w:rStyle w:val="Appelnotedebasdep"/>
        </w:rPr>
        <w:footnoteReference w:id="17"/>
      </w:r>
      <w:r w:rsidRPr="00C87EC1">
        <w:t xml:space="preserve">, </w:t>
      </w:r>
      <w:r w:rsidR="00133669" w:rsidRPr="00133669">
        <w:rPr>
          <w:i/>
          <w:iCs/>
        </w:rPr>
        <w:t>R. c.</w:t>
      </w:r>
      <w:r w:rsidR="00133669">
        <w:t xml:space="preserve"> </w:t>
      </w:r>
      <w:r w:rsidRPr="00C87EC1">
        <w:rPr>
          <w:i/>
          <w:iCs/>
        </w:rPr>
        <w:t>Husfky</w:t>
      </w:r>
      <w:r w:rsidR="001C7091" w:rsidRPr="001C7091">
        <w:rPr>
          <w:rStyle w:val="Appelnotedebasdep"/>
        </w:rPr>
        <w:footnoteReference w:id="18"/>
      </w:r>
      <w:r w:rsidRPr="001C7091">
        <w:t xml:space="preserve"> </w:t>
      </w:r>
      <w:r w:rsidRPr="00C87EC1">
        <w:t xml:space="preserve">et </w:t>
      </w:r>
      <w:r w:rsidRPr="00C87EC1">
        <w:rPr>
          <w:i/>
          <w:iCs/>
        </w:rPr>
        <w:t xml:space="preserve">Ladouceur </w:t>
      </w:r>
      <w:r w:rsidRPr="00C87EC1">
        <w:t>afin de définir, dans chaque cas, ce dont la Cour suprême</w:t>
      </w:r>
      <w:r w:rsidR="000E53D6" w:rsidRPr="00C87EC1">
        <w:t xml:space="preserve"> était saisie</w:t>
      </w:r>
      <w:r w:rsidRPr="00C87EC1">
        <w:t xml:space="preserve">. </w:t>
      </w:r>
    </w:p>
    <w:p w14:paraId="0A46F53A" w14:textId="63DF6ACE" w:rsidR="00540798" w:rsidRPr="00941354" w:rsidRDefault="00540798" w:rsidP="00FB1C7A">
      <w:pPr>
        <w:pStyle w:val="Paragraphe"/>
        <w:spacing w:line="280" w:lineRule="exact"/>
      </w:pPr>
      <w:r w:rsidRPr="00941354">
        <w:t xml:space="preserve">C’est dans l’arrêt </w:t>
      </w:r>
      <w:r w:rsidRPr="00941354">
        <w:rPr>
          <w:i/>
          <w:iCs/>
        </w:rPr>
        <w:t>Dedman</w:t>
      </w:r>
      <w:r w:rsidR="00EF3487" w:rsidRPr="00941354">
        <w:t>, rendu en 1985,</w:t>
      </w:r>
      <w:r w:rsidRPr="00941354">
        <w:t xml:space="preserve"> que la Cour suprême s</w:t>
      </w:r>
      <w:r w:rsidR="00C874C4" w:rsidRPr="00941354">
        <w:t>e</w:t>
      </w:r>
      <w:r w:rsidRPr="00941354">
        <w:t xml:space="preserve"> </w:t>
      </w:r>
      <w:r w:rsidRPr="00604656">
        <w:t>prononce</w:t>
      </w:r>
      <w:r w:rsidRPr="00941354">
        <w:t xml:space="preserve"> </w:t>
      </w:r>
      <w:r w:rsidR="001C7091" w:rsidRPr="00941354">
        <w:t xml:space="preserve">pour la </w:t>
      </w:r>
      <w:r w:rsidRPr="00941354">
        <w:t xml:space="preserve">première fois sur l’existence d’un pouvoir d’interception </w:t>
      </w:r>
      <w:r w:rsidR="00612ED0">
        <w:t xml:space="preserve">routière </w:t>
      </w:r>
      <w:r w:rsidRPr="00941354">
        <w:t>au hasard. Sous la plume du juge Le</w:t>
      </w:r>
      <w:r w:rsidR="001C7091" w:rsidRPr="00941354">
        <w:t> </w:t>
      </w:r>
      <w:r w:rsidRPr="00941354">
        <w:t>Dain, la majorité conclu</w:t>
      </w:r>
      <w:r w:rsidR="009E0345" w:rsidRPr="00941354">
        <w:t>t</w:t>
      </w:r>
      <w:r w:rsidRPr="00941354">
        <w:t xml:space="preserve"> que la common law autorise l’interception de véhicules </w:t>
      </w:r>
      <w:r w:rsidR="00CB48BA" w:rsidRPr="00941354">
        <w:t>« </w:t>
      </w:r>
      <w:r w:rsidRPr="00941354">
        <w:t xml:space="preserve">au hasard </w:t>
      </w:r>
      <w:r w:rsidR="00CB48BA" w:rsidRPr="00941354">
        <w:t>pour les</w:t>
      </w:r>
      <w:r w:rsidRPr="00941354">
        <w:t xml:space="preserve"> </w:t>
      </w:r>
      <w:r w:rsidR="003834F6" w:rsidRPr="00941354">
        <w:t xml:space="preserve">fins </w:t>
      </w:r>
      <w:r w:rsidRPr="00941354">
        <w:t>visées par un programme de promotion de la sobriété au volant</w:t>
      </w:r>
      <w:r w:rsidR="00436F0D">
        <w:t> </w:t>
      </w:r>
      <w:r w:rsidR="00CB48BA" w:rsidRPr="00941354">
        <w:t>»</w:t>
      </w:r>
      <w:r w:rsidRPr="00941354">
        <w:rPr>
          <w:rStyle w:val="Appelnotedebasdep"/>
          <w:szCs w:val="24"/>
        </w:rPr>
        <w:footnoteReference w:id="19"/>
      </w:r>
      <w:r w:rsidRPr="00941354">
        <w:t xml:space="preserve"> (en l’occurrence, un programme appelé « R.I.D.E. »</w:t>
      </w:r>
      <w:r w:rsidRPr="00941354">
        <w:rPr>
          <w:rStyle w:val="Appelnotedebasdep"/>
          <w:szCs w:val="24"/>
        </w:rPr>
        <w:footnoteReference w:id="20"/>
      </w:r>
      <w:r w:rsidRPr="00941354">
        <w:t xml:space="preserve"> implanté dans la province de l’Ontario). L’objectif de ce programme </w:t>
      </w:r>
      <w:r w:rsidR="000E53D6" w:rsidRPr="00941354">
        <w:rPr>
          <w:kern w:val="0"/>
        </w:rPr>
        <w:t>était</w:t>
      </w:r>
      <w:r w:rsidRPr="00941354">
        <w:rPr>
          <w:kern w:val="0"/>
        </w:rPr>
        <w:t xml:space="preserve"> de « déceler, décourager et diminuer la conduite avec facultés affaiblies »</w:t>
      </w:r>
      <w:r w:rsidRPr="00941354">
        <w:rPr>
          <w:kern w:val="0"/>
          <w:vertAlign w:val="superscript"/>
        </w:rPr>
        <w:footnoteReference w:id="21"/>
      </w:r>
      <w:r w:rsidRPr="00941354">
        <w:rPr>
          <w:kern w:val="0"/>
        </w:rPr>
        <w:t xml:space="preserve">. </w:t>
      </w:r>
      <w:r w:rsidR="001C7091" w:rsidRPr="00941354">
        <w:rPr>
          <w:kern w:val="0"/>
        </w:rPr>
        <w:t>Dans le cadre de celui-ci, l</w:t>
      </w:r>
      <w:r w:rsidRPr="00941354">
        <w:rPr>
          <w:kern w:val="0"/>
        </w:rPr>
        <w:t>es policiers choisiss</w:t>
      </w:r>
      <w:r w:rsidR="000E53D6" w:rsidRPr="00941354">
        <w:rPr>
          <w:kern w:val="0"/>
        </w:rPr>
        <w:t>ai</w:t>
      </w:r>
      <w:r w:rsidRPr="00941354">
        <w:rPr>
          <w:kern w:val="0"/>
        </w:rPr>
        <w:t>ent un endroit où ils cro</w:t>
      </w:r>
      <w:r w:rsidR="000E53D6" w:rsidRPr="00941354">
        <w:rPr>
          <w:kern w:val="0"/>
        </w:rPr>
        <w:t>ya</w:t>
      </w:r>
      <w:r w:rsidRPr="00941354">
        <w:rPr>
          <w:kern w:val="0"/>
        </w:rPr>
        <w:t>ient pouvoir intercepter plusieurs conducteurs avec les facultés affaiblies</w:t>
      </w:r>
      <w:r w:rsidR="001C7091" w:rsidRPr="00941354">
        <w:rPr>
          <w:kern w:val="0"/>
        </w:rPr>
        <w:t xml:space="preserve"> et s’y postaient pour effectuer des interceptions au hasard</w:t>
      </w:r>
      <w:r w:rsidRPr="00941354">
        <w:rPr>
          <w:kern w:val="0"/>
        </w:rPr>
        <w:t>.</w:t>
      </w:r>
      <w:r w:rsidR="001C7091" w:rsidRPr="00941354">
        <w:rPr>
          <w:kern w:val="0"/>
        </w:rPr>
        <w:t xml:space="preserve"> Ils demandaient ensuite à chaque conducteur intercepté de leur présenter son permis de conduire et une preuve d’assurance, tout en prenant note de l’état général du conducteur et de son véhicule. </w:t>
      </w:r>
      <w:r w:rsidR="00AE0005">
        <w:rPr>
          <w:kern w:val="0"/>
        </w:rPr>
        <w:t>Cette demande</w:t>
      </w:r>
      <w:r w:rsidR="001C7091" w:rsidRPr="00941354">
        <w:rPr>
          <w:kern w:val="0"/>
        </w:rPr>
        <w:t xml:space="preserve"> avait pour but de leur permettre de prendre contact ou d’engager la conversation avec le conducteur et de déceler s’il avait bu. </w:t>
      </w:r>
      <w:r w:rsidR="000473DD">
        <w:rPr>
          <w:kern w:val="0"/>
        </w:rPr>
        <w:t xml:space="preserve">Il est à noter que </w:t>
      </w:r>
      <w:r w:rsidR="000473DD">
        <w:t>l</w:t>
      </w:r>
      <w:r w:rsidR="001C7091" w:rsidRPr="00941354">
        <w:t xml:space="preserve">es agents affectés au programme R.I.D.E. </w:t>
      </w:r>
      <w:r w:rsidR="000D3244">
        <w:t>étaient</w:t>
      </w:r>
      <w:r w:rsidR="001C7091" w:rsidRPr="00941354">
        <w:t xml:space="preserve"> dotés d’alcootests approuvés, de manière à pouvoir demander un échantillon d’haleine « s’ils estim</w:t>
      </w:r>
      <w:r w:rsidR="000D3244">
        <w:t>[ai</w:t>
      </w:r>
      <w:r w:rsidR="001C7091" w:rsidRPr="00941354">
        <w:t>ent</w:t>
      </w:r>
      <w:r w:rsidR="000D3244">
        <w:t>]</w:t>
      </w:r>
      <w:r w:rsidR="001C7091" w:rsidRPr="00941354">
        <w:t xml:space="preserve"> avoir des motifs de faire une telle demande »</w:t>
      </w:r>
      <w:r w:rsidR="001C7091" w:rsidRPr="00941354">
        <w:rPr>
          <w:rStyle w:val="Appelnotedebasdep"/>
          <w:szCs w:val="24"/>
        </w:rPr>
        <w:footnoteReference w:id="22"/>
      </w:r>
      <w:r w:rsidR="001C7091" w:rsidRPr="00941354">
        <w:t xml:space="preserve"> à la suite de leur conversation ou prise de contact avec le conducteur.</w:t>
      </w:r>
      <w:r w:rsidRPr="00941354">
        <w:rPr>
          <w:kern w:val="0"/>
        </w:rPr>
        <w:t xml:space="preserve"> </w:t>
      </w:r>
    </w:p>
    <w:p w14:paraId="5F3A761B" w14:textId="4F8B4EC1" w:rsidR="00540798" w:rsidRPr="00736B8B" w:rsidRDefault="00540798" w:rsidP="00FB1C7A">
      <w:pPr>
        <w:pStyle w:val="Paragraphe"/>
        <w:spacing w:line="280" w:lineRule="exact"/>
      </w:pPr>
      <w:r>
        <w:t xml:space="preserve">À l’époque des faits à l’origine de cette affaire, la </w:t>
      </w:r>
      <w:r w:rsidRPr="001E1391">
        <w:rPr>
          <w:i/>
          <w:iCs/>
        </w:rPr>
        <w:t>Charte</w:t>
      </w:r>
      <w:r>
        <w:t xml:space="preserve"> n’était pas </w:t>
      </w:r>
      <w:r w:rsidRPr="00D51EF8">
        <w:t>encore</w:t>
      </w:r>
      <w:r>
        <w:t xml:space="preserve"> </w:t>
      </w:r>
      <w:r w:rsidRPr="00604656">
        <w:t>entrée</w:t>
      </w:r>
      <w:r>
        <w:t xml:space="preserve"> en vigueur et aucune loi n'autorisait le programme R.I.D.E. Le juge Le Dain, pour la </w:t>
      </w:r>
      <w:r w:rsidR="00A863AC">
        <w:t>majorité</w:t>
      </w:r>
      <w:r>
        <w:t xml:space="preserve">, applique le critère </w:t>
      </w:r>
      <w:r w:rsidRPr="00003A20">
        <w:t xml:space="preserve">énoncé par le juge Ashworth de la Cour d’appel de l’Angleterre dans l’arrêt </w:t>
      </w:r>
      <w:r w:rsidR="00941354" w:rsidRPr="00941354">
        <w:rPr>
          <w:i/>
          <w:iCs/>
        </w:rPr>
        <w:t xml:space="preserve">R. v. </w:t>
      </w:r>
      <w:r w:rsidRPr="00003A20">
        <w:rPr>
          <w:i/>
          <w:iCs/>
        </w:rPr>
        <w:t>Waterfield</w:t>
      </w:r>
      <w:r w:rsidRPr="00056B7E">
        <w:rPr>
          <w:rStyle w:val="Appelnotedebasdep"/>
        </w:rPr>
        <w:footnoteReference w:id="23"/>
      </w:r>
      <w:r>
        <w:rPr>
          <w:i/>
          <w:iCs/>
        </w:rPr>
        <w:t xml:space="preserve"> </w:t>
      </w:r>
      <w:r w:rsidRPr="00736B8B">
        <w:t>et</w:t>
      </w:r>
      <w:r>
        <w:t xml:space="preserve"> </w:t>
      </w:r>
      <w:r w:rsidRPr="00736B8B">
        <w:t xml:space="preserve">détermine </w:t>
      </w:r>
      <w:r>
        <w:t xml:space="preserve">qu’en vertu de la </w:t>
      </w:r>
      <w:r w:rsidRPr="00910D03">
        <w:t>common law</w:t>
      </w:r>
      <w:r>
        <w:t xml:space="preserve">, </w:t>
      </w:r>
      <w:r w:rsidRPr="00736B8B">
        <w:t>la police a le pouvoir d’intercepter un véhicule</w:t>
      </w:r>
      <w:r>
        <w:t xml:space="preserve"> </w:t>
      </w:r>
      <w:r w:rsidR="00D44460">
        <w:t>pour les besoins</w:t>
      </w:r>
      <w:r w:rsidRPr="00736B8B">
        <w:t xml:space="preserve"> de ce programme</w:t>
      </w:r>
      <w:r>
        <w:t xml:space="preserve">. Il ne se prononce pas sur l’existence ou non, en </w:t>
      </w:r>
      <w:r w:rsidRPr="00F80A5E">
        <w:t>common law</w:t>
      </w:r>
      <w:r>
        <w:t>, d’un pouvoir d’interception au hasard en cours de patrouille, soit en dehors d’un programme structuré, afin d’effectuer des vérifications de routine.</w:t>
      </w:r>
    </w:p>
    <w:p w14:paraId="60D1C0F3" w14:textId="63778FB0" w:rsidR="00540798" w:rsidRPr="00D30990" w:rsidRDefault="00540798" w:rsidP="00FB1C7A">
      <w:pPr>
        <w:pStyle w:val="Paragraphe"/>
        <w:spacing w:line="280" w:lineRule="exact"/>
      </w:pPr>
      <w:r>
        <w:t xml:space="preserve">Trois ans plus tard, dans l’arrêt </w:t>
      </w:r>
      <w:r w:rsidRPr="00CE768E">
        <w:rPr>
          <w:i/>
          <w:iCs/>
        </w:rPr>
        <w:t>Hufsky</w:t>
      </w:r>
      <w:r>
        <w:t xml:space="preserve">, la Cour suprême examine la question de la constitutionnalité de l’interception au hasard d’un véhicule </w:t>
      </w:r>
      <w:r w:rsidRPr="00D30990">
        <w:t xml:space="preserve">par un agent de police alors qu’il effectue des </w:t>
      </w:r>
      <w:r>
        <w:t>« </w:t>
      </w:r>
      <w:r w:rsidRPr="00D30990">
        <w:t>contrôles routiers ponctuels</w:t>
      </w:r>
      <w:r>
        <w:t xml:space="preserve"> », à un endroit déterminé, </w:t>
      </w:r>
      <w:r w:rsidRPr="00941354">
        <w:t>« afin de vérifier les permis de conduire et la preuve d’assurance, l’état mécanique des véhicules et l’état ou la “sobriété” des conducteurs »</w:t>
      </w:r>
      <w:r w:rsidRPr="00941354">
        <w:rPr>
          <w:vertAlign w:val="superscript"/>
        </w:rPr>
        <w:footnoteReference w:id="24"/>
      </w:r>
      <w:r w:rsidRPr="00941354">
        <w:t xml:space="preserve">. </w:t>
      </w:r>
      <w:r>
        <w:t xml:space="preserve">Le ministère public plaidait que </w:t>
      </w:r>
      <w:r w:rsidRPr="00D30990">
        <w:rPr>
          <w:rFonts w:cs="Arial"/>
          <w:szCs w:val="24"/>
        </w:rPr>
        <w:t>ces « contrôles routiers ponctuels » étaient autorisés par l</w:t>
      </w:r>
      <w:r w:rsidRPr="00D30990">
        <w:t xml:space="preserve">e par. 189a(1) du </w:t>
      </w:r>
      <w:r w:rsidRPr="00D30990">
        <w:rPr>
          <w:i/>
          <w:iCs/>
        </w:rPr>
        <w:t>Code de la route</w:t>
      </w:r>
      <w:r w:rsidRPr="00D30990">
        <w:t xml:space="preserve"> de l’Ontario</w:t>
      </w:r>
      <w:r w:rsidRPr="00D30990">
        <w:rPr>
          <w:vertAlign w:val="superscript"/>
        </w:rPr>
        <w:footnoteReference w:id="25"/>
      </w:r>
      <w:r w:rsidRPr="00D30990">
        <w:t>, lequel était alors libellé de la façon suivante :</w:t>
      </w:r>
      <w:r w:rsidRPr="00D30990">
        <w:rPr>
          <w:rFonts w:cs="Arial"/>
          <w:szCs w:val="24"/>
        </w:rPr>
        <w:t xml:space="preserve"> </w:t>
      </w:r>
    </w:p>
    <w:tbl>
      <w:tblPr>
        <w:tblW w:w="0" w:type="auto"/>
        <w:tblCellMar>
          <w:left w:w="70" w:type="dxa"/>
          <w:right w:w="70" w:type="dxa"/>
        </w:tblCellMar>
        <w:tblLook w:val="0000" w:firstRow="0" w:lastRow="0" w:firstColumn="0" w:lastColumn="0" w:noHBand="0" w:noVBand="0"/>
      </w:tblPr>
      <w:tblGrid>
        <w:gridCol w:w="4682"/>
        <w:gridCol w:w="4680"/>
      </w:tblGrid>
      <w:tr w:rsidR="00540798" w:rsidRPr="00707E00" w14:paraId="2E36768B" w14:textId="77777777" w:rsidTr="00543BED">
        <w:tc>
          <w:tcPr>
            <w:tcW w:w="4682" w:type="dxa"/>
          </w:tcPr>
          <w:p w14:paraId="69E40DA1" w14:textId="77777777" w:rsidR="00540798" w:rsidRPr="00D30990" w:rsidRDefault="00540798" w:rsidP="00543BED">
            <w:pPr>
              <w:spacing w:before="60" w:after="60"/>
              <w:ind w:left="720" w:right="142"/>
              <w:jc w:val="both"/>
              <w:rPr>
                <w:rFonts w:cs="Arial"/>
                <w:sz w:val="22"/>
                <w:szCs w:val="22"/>
              </w:rPr>
            </w:pPr>
            <w:r w:rsidRPr="00D30990">
              <w:rPr>
                <w:b/>
                <w:bCs/>
                <w:sz w:val="22"/>
              </w:rPr>
              <w:t>189a(1).</w:t>
            </w:r>
            <w:r w:rsidRPr="00D30990">
              <w:rPr>
                <w:sz w:val="22"/>
              </w:rPr>
              <w:t xml:space="preserve"> Un agent de police, dans l’exercice légitime de ses fonctions, peut exiger du conducteur d’un véhicule automobile qu’il s’arrête. Si tel est le cas, le conducteur obtempère immédiatement à la demande de l’agent identifiable à première vue comme tel.</w:t>
            </w:r>
          </w:p>
        </w:tc>
        <w:tc>
          <w:tcPr>
            <w:tcW w:w="4680" w:type="dxa"/>
            <w:shd w:val="clear" w:color="auto" w:fill="auto"/>
          </w:tcPr>
          <w:p w14:paraId="6CEBD425" w14:textId="77777777" w:rsidR="00540798" w:rsidRPr="00D30990" w:rsidRDefault="00540798" w:rsidP="00543BED">
            <w:pPr>
              <w:spacing w:before="60" w:after="60"/>
              <w:ind w:left="142" w:right="720"/>
              <w:jc w:val="both"/>
              <w:rPr>
                <w:sz w:val="22"/>
                <w:lang w:val="en-CA"/>
              </w:rPr>
            </w:pPr>
            <w:r w:rsidRPr="00D30990">
              <w:rPr>
                <w:b/>
                <w:bCs/>
                <w:sz w:val="22"/>
                <w:lang w:val="en-CA"/>
              </w:rPr>
              <w:t>189a(1).</w:t>
            </w:r>
            <w:r w:rsidRPr="00D30990">
              <w:rPr>
                <w:sz w:val="22"/>
                <w:lang w:val="en-CA"/>
              </w:rPr>
              <w:t xml:space="preserve"> A police officer, in the lawful execution of his duties and responsibilities, may require the driver of a motor vehicle to stop and the driver of a motor vehicle, when signalled or requested to stop by a police officer who is readily identifiable as such, shall immediately come to a safe stop.</w:t>
            </w:r>
          </w:p>
        </w:tc>
      </w:tr>
    </w:tbl>
    <w:p w14:paraId="7A6E89EF" w14:textId="61A7DF04" w:rsidR="00540798" w:rsidRPr="00C87EC1" w:rsidRDefault="00EF3487" w:rsidP="00EE4679">
      <w:pPr>
        <w:pStyle w:val="Paragraphe"/>
        <w:spacing w:before="240" w:line="280" w:lineRule="exact"/>
      </w:pPr>
      <w:bookmarkStart w:id="22" w:name="_Hlk162442036"/>
      <w:r>
        <w:t>L</w:t>
      </w:r>
      <w:r w:rsidR="00540798" w:rsidRPr="00003A20">
        <w:t>e ministère public</w:t>
      </w:r>
      <w:r w:rsidR="00540798" w:rsidRPr="006A1C4B">
        <w:t xml:space="preserve"> </w:t>
      </w:r>
      <w:r w:rsidR="00540798" w:rsidRPr="00003A20">
        <w:t xml:space="preserve">n’a pas prétendu qu’il </w:t>
      </w:r>
      <w:r w:rsidR="000E53D6">
        <w:t>existait</w:t>
      </w:r>
      <w:r w:rsidR="00540798" w:rsidRPr="00003A20">
        <w:t xml:space="preserve"> un pouvoir fédéral d’origine législative d’intercepter au </w:t>
      </w:r>
      <w:r w:rsidR="00540798" w:rsidRPr="00BD1277">
        <w:t>hasard</w:t>
      </w:r>
      <w:r w:rsidR="00540798" w:rsidRPr="00003A20">
        <w:t xml:space="preserve"> et</w:t>
      </w:r>
      <w:r w:rsidR="00540798" w:rsidRPr="00003A20">
        <w:rPr>
          <w:b/>
          <w:bCs/>
        </w:rPr>
        <w:t xml:space="preserve"> </w:t>
      </w:r>
      <w:r w:rsidR="00540798" w:rsidRPr="00003A20">
        <w:t xml:space="preserve">ne s’est </w:t>
      </w:r>
      <w:r w:rsidR="00540798" w:rsidRPr="00C87EC1">
        <w:t xml:space="preserve">pas fondé non plus sur « le pouvoir de </w:t>
      </w:r>
      <w:r w:rsidR="00540798" w:rsidRPr="00F80A5E">
        <w:t>common law</w:t>
      </w:r>
      <w:r w:rsidR="00540798" w:rsidRPr="00C87EC1">
        <w:rPr>
          <w:i/>
          <w:iCs/>
        </w:rPr>
        <w:t xml:space="preserve"> </w:t>
      </w:r>
      <w:r w:rsidR="00540798" w:rsidRPr="00C87EC1">
        <w:t xml:space="preserve">d’arrêter [un automobiliste] au hasard, reconnu dans l’arrêt </w:t>
      </w:r>
      <w:r w:rsidR="00540798" w:rsidRPr="00C87EC1">
        <w:rPr>
          <w:i/>
          <w:iCs/>
        </w:rPr>
        <w:t>Dedman</w:t>
      </w:r>
      <w:r w:rsidR="00540798" w:rsidRPr="00C87EC1">
        <w:t> »</w:t>
      </w:r>
      <w:r w:rsidR="00540798" w:rsidRPr="00C87EC1">
        <w:rPr>
          <w:rStyle w:val="Appelnotedebasdep"/>
        </w:rPr>
        <w:footnoteReference w:id="26"/>
      </w:r>
      <w:r w:rsidR="00540798" w:rsidRPr="00C87EC1">
        <w:t xml:space="preserve">. Il s’est plutôt référé au raisonnement suivi dans cet arrêt pour faire valoir que le pouvoir d’interception conféré par le par. 189a(1) du </w:t>
      </w:r>
      <w:r w:rsidR="00540798" w:rsidRPr="00C87EC1">
        <w:rPr>
          <w:i/>
          <w:iCs/>
        </w:rPr>
        <w:t>Code de la route</w:t>
      </w:r>
      <w:r w:rsidR="00540798" w:rsidRPr="00C87EC1">
        <w:t xml:space="preserve"> </w:t>
      </w:r>
      <w:r w:rsidR="00EC382F">
        <w:t xml:space="preserve">de l’Ontario </w:t>
      </w:r>
      <w:r w:rsidR="00540798" w:rsidRPr="00C87EC1">
        <w:t xml:space="preserve">était valide sur le plan constitutionnel. </w:t>
      </w:r>
      <w:bookmarkEnd w:id="22"/>
    </w:p>
    <w:p w14:paraId="7DAE950D" w14:textId="4D3B4A8E" w:rsidR="00540798" w:rsidRPr="00941354" w:rsidRDefault="00540798" w:rsidP="00FB1C7A">
      <w:pPr>
        <w:pStyle w:val="Paragraphe"/>
        <w:spacing w:line="280" w:lineRule="exact"/>
      </w:pPr>
      <w:r w:rsidRPr="00941354">
        <w:t>L’appelant, qui était accusé d</w:t>
      </w:r>
      <w:r w:rsidR="004F3E35">
        <w:t>’avoir</w:t>
      </w:r>
      <w:r w:rsidRPr="00941354">
        <w:t xml:space="preserve"> refus</w:t>
      </w:r>
      <w:r w:rsidR="004F3E35">
        <w:t>é</w:t>
      </w:r>
      <w:r w:rsidRPr="00941354">
        <w:t xml:space="preserve"> de fournir un échantillon d’haleine pour un alcootest (contrairement au par. 234.1(2) </w:t>
      </w:r>
      <w:r w:rsidRPr="00941354">
        <w:rPr>
          <w:i/>
          <w:iCs/>
        </w:rPr>
        <w:t>C.cr</w:t>
      </w:r>
      <w:r w:rsidRPr="00941354">
        <w:t>.</w:t>
      </w:r>
      <w:r w:rsidR="004F3E35">
        <w:t xml:space="preserve"> en vigueur à l’époque</w:t>
      </w:r>
      <w:r w:rsidRPr="00941354">
        <w:t>),</w:t>
      </w:r>
      <w:r w:rsidR="00EB1873" w:rsidRPr="00941354">
        <w:t xml:space="preserve"> </w:t>
      </w:r>
      <w:r w:rsidRPr="00941354">
        <w:t>prétendait, entre autres, que « la procédure [d’interception] au hasard et de contrôles routiers ponctuels »</w:t>
      </w:r>
      <w:r w:rsidRPr="00941354">
        <w:rPr>
          <w:rStyle w:val="Appelnotedebasdep"/>
        </w:rPr>
        <w:footnoteReference w:id="27"/>
      </w:r>
      <w:r w:rsidRPr="00941354">
        <w:t xml:space="preserve"> permise par le par. 189a(1) portait atteinte au droit à la protection contre la détention arbitraire garanti par l’art. 9 de la </w:t>
      </w:r>
      <w:r w:rsidRPr="00941354">
        <w:rPr>
          <w:i/>
          <w:iCs/>
        </w:rPr>
        <w:t>Charte</w:t>
      </w:r>
      <w:r w:rsidRPr="00941354">
        <w:t xml:space="preserve">. Le juge Le Dain, pour la Cour, </w:t>
      </w:r>
      <w:r w:rsidRPr="00941354">
        <w:rPr>
          <w:kern w:val="0"/>
        </w:rPr>
        <w:t xml:space="preserve">détermine que </w:t>
      </w:r>
      <w:r w:rsidR="005C4BBD">
        <w:rPr>
          <w:kern w:val="0"/>
        </w:rPr>
        <w:t xml:space="preserve">la détention résultant de </w:t>
      </w:r>
      <w:r w:rsidRPr="00941354">
        <w:rPr>
          <w:kern w:val="0"/>
        </w:rPr>
        <w:t xml:space="preserve">« l’arrêt au hasard du véhicule de l’appelant </w:t>
      </w:r>
      <w:r w:rsidR="0063031C" w:rsidRPr="00941354">
        <w:rPr>
          <w:kern w:val="0"/>
        </w:rPr>
        <w:t>pour les</w:t>
      </w:r>
      <w:r w:rsidRPr="00941354">
        <w:rPr>
          <w:kern w:val="0"/>
        </w:rPr>
        <w:t xml:space="preserve"> fins d’un contrôle routier ponctuel, quoique d’une durée relativement brève »</w:t>
      </w:r>
      <w:r w:rsidRPr="00941354">
        <w:rPr>
          <w:kern w:val="0"/>
          <w:vertAlign w:val="superscript"/>
        </w:rPr>
        <w:footnoteReference w:id="28"/>
      </w:r>
      <w:r w:rsidRPr="00941354">
        <w:rPr>
          <w:kern w:val="0"/>
        </w:rPr>
        <w:t>, est nécessairement arbitraire puisqu’il n’</w:t>
      </w:r>
      <w:r w:rsidR="009E0345" w:rsidRPr="00941354">
        <w:rPr>
          <w:kern w:val="0"/>
        </w:rPr>
        <w:t>existe</w:t>
      </w:r>
      <w:r w:rsidRPr="00941354">
        <w:rPr>
          <w:kern w:val="0"/>
        </w:rPr>
        <w:t xml:space="preserve"> « aucun critère de sélection des conducteurs à qui on demanderait de s’arrêter et de se soumettre au contrôle routier ponctuel »</w:t>
      </w:r>
      <w:r w:rsidRPr="00941354">
        <w:rPr>
          <w:kern w:val="0"/>
          <w:vertAlign w:val="superscript"/>
        </w:rPr>
        <w:footnoteReference w:id="29"/>
      </w:r>
      <w:r w:rsidRPr="00941354">
        <w:rPr>
          <w:kern w:val="0"/>
        </w:rPr>
        <w:t>. Le juge Le</w:t>
      </w:r>
      <w:r w:rsidR="005C4BBD">
        <w:rPr>
          <w:kern w:val="0"/>
        </w:rPr>
        <w:t> </w:t>
      </w:r>
      <w:r w:rsidRPr="00941354">
        <w:rPr>
          <w:kern w:val="0"/>
        </w:rPr>
        <w:t xml:space="preserve">Dain conclut cependant que l’atteinte se justifie </w:t>
      </w:r>
      <w:r w:rsidR="004F3E35">
        <w:rPr>
          <w:kern w:val="0"/>
        </w:rPr>
        <w:t>au regard</w:t>
      </w:r>
      <w:r w:rsidRPr="00941354">
        <w:rPr>
          <w:kern w:val="0"/>
        </w:rPr>
        <w:t xml:space="preserve"> de l’article premier de la </w:t>
      </w:r>
      <w:r w:rsidRPr="00941354">
        <w:rPr>
          <w:i/>
          <w:iCs/>
          <w:kern w:val="0"/>
        </w:rPr>
        <w:t>Charte</w:t>
      </w:r>
      <w:r w:rsidRPr="00941354">
        <w:rPr>
          <w:kern w:val="0"/>
        </w:rPr>
        <w:t>.</w:t>
      </w:r>
    </w:p>
    <w:p w14:paraId="2D98FE0C" w14:textId="6C0421FB" w:rsidR="00540798" w:rsidRPr="00C87EC1" w:rsidRDefault="00A52AF0" w:rsidP="00FB1C7A">
      <w:pPr>
        <w:pStyle w:val="Paragraphe"/>
        <w:spacing w:line="280" w:lineRule="exact"/>
      </w:pPr>
      <w:r w:rsidRPr="00941354">
        <w:t>D</w:t>
      </w:r>
      <w:r w:rsidR="00540798" w:rsidRPr="00941354">
        <w:t xml:space="preserve">ans l’arrêt </w:t>
      </w:r>
      <w:r w:rsidR="00540798" w:rsidRPr="00941354">
        <w:rPr>
          <w:i/>
          <w:iCs/>
        </w:rPr>
        <w:t>Ladouceur</w:t>
      </w:r>
      <w:r w:rsidR="00540798" w:rsidRPr="00941354">
        <w:t>, la Cour</w:t>
      </w:r>
      <w:r w:rsidR="00540798" w:rsidRPr="00C87EC1">
        <w:t xml:space="preserve"> suprême est de </w:t>
      </w:r>
      <w:r w:rsidR="00540798" w:rsidRPr="00D51EF8">
        <w:t>nouveau</w:t>
      </w:r>
      <w:r w:rsidR="00540798" w:rsidRPr="00C87EC1">
        <w:t xml:space="preserve"> saisie de la question de la constitutionnalité du par. 189a(1) du </w:t>
      </w:r>
      <w:r w:rsidR="00540798" w:rsidRPr="00C87EC1">
        <w:rPr>
          <w:i/>
          <w:iCs/>
        </w:rPr>
        <w:t>Code de la route</w:t>
      </w:r>
      <w:r w:rsidR="00540798" w:rsidRPr="00C87EC1">
        <w:t xml:space="preserve"> ontarien. L’arrêt est rendu deux ans après </w:t>
      </w:r>
      <w:r w:rsidR="00540798" w:rsidRPr="00C87EC1">
        <w:rPr>
          <w:i/>
          <w:iCs/>
        </w:rPr>
        <w:t>Hufsky</w:t>
      </w:r>
      <w:r w:rsidR="00540798" w:rsidRPr="00C87EC1">
        <w:t>. Cette fois, l’interception en cause a été faite à partir d’une voiture de police en patrouille et non d’un point fixe</w:t>
      </w:r>
      <w:r w:rsidR="005C4BBD">
        <w:t xml:space="preserve"> dans le cadre d’un programme structuré</w:t>
      </w:r>
      <w:r w:rsidR="00540798" w:rsidRPr="00C87EC1">
        <w:t xml:space="preserve">, </w:t>
      </w:r>
      <w:r w:rsidR="009E0345" w:rsidRPr="00C87EC1">
        <w:t>contrairement aux circonstances</w:t>
      </w:r>
      <w:r w:rsidR="00ED33C2" w:rsidRPr="00C87EC1">
        <w:t xml:space="preserve"> examinées dans les</w:t>
      </w:r>
      <w:r w:rsidR="009E0345" w:rsidRPr="00C87EC1">
        <w:t xml:space="preserve"> </w:t>
      </w:r>
      <w:r w:rsidR="00540798" w:rsidRPr="00C87EC1">
        <w:t xml:space="preserve">arrêts </w:t>
      </w:r>
      <w:r w:rsidR="00540798" w:rsidRPr="00C87EC1">
        <w:rPr>
          <w:i/>
          <w:iCs/>
        </w:rPr>
        <w:t>Dedman</w:t>
      </w:r>
      <w:r w:rsidR="00540798" w:rsidRPr="00C87EC1">
        <w:t xml:space="preserve"> et</w:t>
      </w:r>
      <w:r w:rsidR="00540798" w:rsidRPr="00C87EC1">
        <w:rPr>
          <w:i/>
          <w:iCs/>
        </w:rPr>
        <w:t xml:space="preserve"> Hufsky</w:t>
      </w:r>
      <w:r w:rsidR="00540798" w:rsidRPr="00C87EC1">
        <w:t xml:space="preserve">. </w:t>
      </w:r>
    </w:p>
    <w:p w14:paraId="6156E29B" w14:textId="5ED6799B" w:rsidR="00540798" w:rsidRPr="00C87EC1" w:rsidRDefault="00540798" w:rsidP="00FB1C7A">
      <w:pPr>
        <w:pStyle w:val="Paragraphe"/>
        <w:spacing w:line="280" w:lineRule="exact"/>
      </w:pPr>
      <w:r w:rsidRPr="00C87EC1">
        <w:t>La Cour, à l’unanimité, conclut que le par. 189a(1)</w:t>
      </w:r>
      <w:r w:rsidRPr="00C87EC1">
        <w:rPr>
          <w:b/>
          <w:bCs/>
        </w:rPr>
        <w:t xml:space="preserve"> </w:t>
      </w:r>
      <w:r w:rsidRPr="00C87EC1">
        <w:t xml:space="preserve">porte </w:t>
      </w:r>
      <w:r w:rsidRPr="00D51EF8">
        <w:t>atteinte</w:t>
      </w:r>
      <w:r w:rsidRPr="00C87EC1">
        <w:t xml:space="preserve"> à l’art. 9</w:t>
      </w:r>
      <w:r w:rsidRPr="00C87EC1">
        <w:rPr>
          <w:b/>
          <w:bCs/>
        </w:rPr>
        <w:t xml:space="preserve"> </w:t>
      </w:r>
      <w:r w:rsidRPr="00C87EC1">
        <w:t xml:space="preserve">de la </w:t>
      </w:r>
      <w:r w:rsidRPr="00C87EC1">
        <w:rPr>
          <w:i/>
          <w:iCs/>
        </w:rPr>
        <w:t>Charte</w:t>
      </w:r>
      <w:r w:rsidR="00E74166">
        <w:t>,</w:t>
      </w:r>
      <w:r w:rsidRPr="00C87EC1">
        <w:rPr>
          <w:i/>
          <w:iCs/>
        </w:rPr>
        <w:t xml:space="preserve"> </w:t>
      </w:r>
      <w:r w:rsidRPr="00C87EC1">
        <w:t xml:space="preserve">dans la mesure où il permet ce type d’interception routière sans motif. Selon les juges majoritaires, cette atteinte est toutefois justifiée au regard de l’article premier de la </w:t>
      </w:r>
      <w:r w:rsidRPr="00C87EC1">
        <w:rPr>
          <w:i/>
          <w:iCs/>
        </w:rPr>
        <w:t>Charte</w:t>
      </w:r>
      <w:r w:rsidRPr="00C87EC1">
        <w:t>.</w:t>
      </w:r>
    </w:p>
    <w:p w14:paraId="5D4042C0" w14:textId="508B217A" w:rsidR="00540798" w:rsidRPr="00C87EC1" w:rsidRDefault="00540798" w:rsidP="00FB1C7A">
      <w:pPr>
        <w:pStyle w:val="Paragraphe"/>
        <w:spacing w:line="280" w:lineRule="exact"/>
      </w:pPr>
      <w:r w:rsidRPr="00C87EC1">
        <w:t>Il ressort de ces trois arrêts que seul</w:t>
      </w:r>
      <w:r w:rsidRPr="00C87EC1">
        <w:rPr>
          <w:i/>
          <w:iCs/>
        </w:rPr>
        <w:t xml:space="preserve"> Dedman</w:t>
      </w:r>
      <w:r w:rsidRPr="00C87EC1">
        <w:t xml:space="preserve"> se prononce sur </w:t>
      </w:r>
      <w:r w:rsidRPr="00D51EF8">
        <w:t>l’existence</w:t>
      </w:r>
      <w:r w:rsidRPr="00C87EC1">
        <w:t xml:space="preserve"> d’un pouvoir policier de </w:t>
      </w:r>
      <w:r w:rsidRPr="000473DD">
        <w:t>common law</w:t>
      </w:r>
      <w:r w:rsidRPr="00C87EC1">
        <w:t xml:space="preserve">. Dans les arrêts </w:t>
      </w:r>
      <w:r w:rsidRPr="00C87EC1">
        <w:rPr>
          <w:i/>
          <w:iCs/>
        </w:rPr>
        <w:t xml:space="preserve">Hufsky </w:t>
      </w:r>
      <w:r w:rsidRPr="00C87EC1">
        <w:t xml:space="preserve">et </w:t>
      </w:r>
      <w:r w:rsidRPr="00C87EC1">
        <w:rPr>
          <w:i/>
          <w:iCs/>
        </w:rPr>
        <w:t>Ladouceur</w:t>
      </w:r>
      <w:r w:rsidRPr="00C87EC1">
        <w:t>, l</w:t>
      </w:r>
      <w:r w:rsidR="004F3E35">
        <w:t>’analyse de l</w:t>
      </w:r>
      <w:r w:rsidRPr="00C87EC1">
        <w:t xml:space="preserve">a Cour suprême </w:t>
      </w:r>
      <w:r w:rsidR="004F3E35">
        <w:t>portait sur</w:t>
      </w:r>
      <w:r w:rsidRPr="00C87EC1">
        <w:t xml:space="preserve"> une disposition législative, soit le par. 189a(1)</w:t>
      </w:r>
      <w:r w:rsidR="00E74166">
        <w:t xml:space="preserve"> du </w:t>
      </w:r>
      <w:r w:rsidR="00E74166" w:rsidRPr="00E74166">
        <w:rPr>
          <w:i/>
          <w:iCs/>
        </w:rPr>
        <w:t>Code de la route</w:t>
      </w:r>
      <w:r w:rsidR="00E74166">
        <w:t xml:space="preserve"> de l’Ontario</w:t>
      </w:r>
      <w:r w:rsidRPr="00C87EC1">
        <w:t xml:space="preserve">. Il n’était pas nécessaire pour la Cour de déterminer s’il existait un pouvoir policier de </w:t>
      </w:r>
      <w:r w:rsidRPr="00910D03">
        <w:t>common law</w:t>
      </w:r>
      <w:r w:rsidR="00E74166">
        <w:t xml:space="preserve"> équivalent à celui conféré par cette disposition</w:t>
      </w:r>
      <w:r w:rsidRPr="00C87EC1">
        <w:t xml:space="preserve">. </w:t>
      </w:r>
    </w:p>
    <w:p w14:paraId="054DB5EA" w14:textId="3A16770E" w:rsidR="00540798" w:rsidRPr="00941354" w:rsidRDefault="00540798" w:rsidP="00FB1C7A">
      <w:pPr>
        <w:pStyle w:val="Paragraphe"/>
        <w:spacing w:line="280" w:lineRule="exact"/>
      </w:pPr>
      <w:r w:rsidRPr="00C87EC1">
        <w:t xml:space="preserve">Il est vrai que certains passages de l’arrêt </w:t>
      </w:r>
      <w:r w:rsidRPr="00C87EC1">
        <w:rPr>
          <w:i/>
          <w:iCs/>
        </w:rPr>
        <w:t>Ladouceur</w:t>
      </w:r>
      <w:r w:rsidRPr="00C87EC1">
        <w:t xml:space="preserve"> </w:t>
      </w:r>
      <w:r w:rsidRPr="00D51EF8">
        <w:t>peuvent</w:t>
      </w:r>
      <w:r w:rsidRPr="00C87EC1">
        <w:t xml:space="preserve"> sembler ambigus quant à la règle de </w:t>
      </w:r>
      <w:r w:rsidRPr="00FF4DA0">
        <w:t>common</w:t>
      </w:r>
      <w:r w:rsidRPr="00910D03">
        <w:t xml:space="preserve"> law</w:t>
      </w:r>
      <w:r w:rsidRPr="00C87EC1">
        <w:t xml:space="preserve"> établie dans </w:t>
      </w:r>
      <w:r w:rsidRPr="00C87EC1">
        <w:rPr>
          <w:i/>
          <w:iCs/>
        </w:rPr>
        <w:t>Dedman</w:t>
      </w:r>
      <w:r w:rsidRPr="00C87EC1">
        <w:t>. Il en est ainsi lorsque le juge Cory</w:t>
      </w:r>
      <w:r w:rsidR="00556CCE">
        <w:t>, qui écrit pour la majorité,</w:t>
      </w:r>
      <w:r w:rsidRPr="00C87EC1">
        <w:t xml:space="preserve"> mentionne que dans les dossiers </w:t>
      </w:r>
      <w:r w:rsidRPr="00C87EC1">
        <w:rPr>
          <w:i/>
          <w:iCs/>
        </w:rPr>
        <w:t>Ladouceur</w:t>
      </w:r>
      <w:r w:rsidRPr="00C87EC1">
        <w:t xml:space="preserve"> et </w:t>
      </w:r>
      <w:r w:rsidRPr="00C87EC1">
        <w:rPr>
          <w:i/>
          <w:iCs/>
        </w:rPr>
        <w:t>Hufsky</w:t>
      </w:r>
      <w:r w:rsidRPr="00C87EC1">
        <w:t xml:space="preserve">, les actes des policiers « étaient autorisés </w:t>
      </w:r>
      <w:r w:rsidRPr="00C87EC1">
        <w:rPr>
          <w:u w:val="single"/>
        </w:rPr>
        <w:t>principalement</w:t>
      </w:r>
      <w:r w:rsidRPr="00C87EC1">
        <w:t xml:space="preserve"> par le par. 189a(1) du </w:t>
      </w:r>
      <w:r w:rsidRPr="00C87EC1">
        <w:rPr>
          <w:i/>
          <w:iCs/>
        </w:rPr>
        <w:t>Code de la route</w:t>
      </w:r>
      <w:r w:rsidRPr="00C87EC1">
        <w:t xml:space="preserve"> qui leur accordait un pouvoir discrétionnaire absolu d’interpeller des automobilistes à la condition que ce soit dans l’exercice légitime de leurs fonctions »</w:t>
      </w:r>
      <w:r w:rsidRPr="00C87EC1">
        <w:rPr>
          <w:vertAlign w:val="superscript"/>
        </w:rPr>
        <w:footnoteReference w:id="30"/>
      </w:r>
      <w:r w:rsidRPr="00C87EC1">
        <w:t xml:space="preserve">. L’emploi du mot « principalement » pourrait laisser entendre que les actes policiers en cause auraient aussi été autorisés par une autre règle de droit. Cette formulation appuie ainsi l’idée selon laquelle les policiers auraient, en vertu de la </w:t>
      </w:r>
      <w:r w:rsidRPr="00910D03">
        <w:t>common law</w:t>
      </w:r>
      <w:r w:rsidRPr="00C87EC1">
        <w:t>, le pouvoir d’intercepter des véhicules au hasard pour effectuer des contrôles routiers à des endroits fixes et prédéterminés (</w:t>
      </w:r>
      <w:r w:rsidRPr="00C87EC1">
        <w:rPr>
          <w:i/>
          <w:iCs/>
        </w:rPr>
        <w:t>cf</w:t>
      </w:r>
      <w:r w:rsidRPr="00C87EC1">
        <w:t xml:space="preserve">. arrêt </w:t>
      </w:r>
      <w:r w:rsidRPr="00C87EC1">
        <w:rPr>
          <w:i/>
          <w:iCs/>
        </w:rPr>
        <w:t>Hufsky</w:t>
      </w:r>
      <w:r w:rsidRPr="00C87EC1">
        <w:t>) ou des vérifications de routine à partir d’une voiture en patrouille (</w:t>
      </w:r>
      <w:r w:rsidRPr="00C87EC1">
        <w:rPr>
          <w:i/>
          <w:iCs/>
        </w:rPr>
        <w:t>cf</w:t>
      </w:r>
      <w:r w:rsidRPr="00C87EC1">
        <w:t xml:space="preserve">. arrêt </w:t>
      </w:r>
      <w:r w:rsidRPr="00C87EC1">
        <w:rPr>
          <w:i/>
          <w:iCs/>
        </w:rPr>
        <w:t>Ladouceur</w:t>
      </w:r>
      <w:r w:rsidRPr="00C87EC1">
        <w:t xml:space="preserve">). Un autre </w:t>
      </w:r>
      <w:r w:rsidR="0076734B">
        <w:t xml:space="preserve">extrait des motifs du juge </w:t>
      </w:r>
      <w:r w:rsidR="0076734B" w:rsidRPr="00941354">
        <w:t xml:space="preserve">Cory </w:t>
      </w:r>
      <w:r w:rsidRPr="00941354">
        <w:t>peut porter à confusion à cet égard :</w:t>
      </w:r>
    </w:p>
    <w:p w14:paraId="114896A5" w14:textId="77777777" w:rsidR="00540798" w:rsidRPr="00941354" w:rsidRDefault="00540798" w:rsidP="00604656">
      <w:pPr>
        <w:pStyle w:val="Citationenretrait"/>
        <w:spacing w:after="0"/>
      </w:pPr>
      <w:r w:rsidRPr="00941354">
        <w:t xml:space="preserve">Le pouvoir d’un agent de police d’intercepter des véhicules automobiles au hasard découle du par. 189a (1) du </w:t>
      </w:r>
      <w:r w:rsidRPr="00941354">
        <w:rPr>
          <w:i/>
          <w:iCs/>
        </w:rPr>
        <w:t>Code de la route</w:t>
      </w:r>
      <w:r w:rsidRPr="00941354">
        <w:t xml:space="preserve"> et est donc prescript par une règle de droit. Voir </w:t>
      </w:r>
      <w:r w:rsidRPr="00941354">
        <w:rPr>
          <w:i/>
          <w:iCs/>
        </w:rPr>
        <w:t>Hufsky,</w:t>
      </w:r>
      <w:r w:rsidRPr="00941354">
        <w:t xml:space="preserve"> précité, à la p. 634. </w:t>
      </w:r>
      <w:r w:rsidRPr="00941354">
        <w:rPr>
          <w:u w:val="single"/>
        </w:rPr>
        <w:t xml:space="preserve">Ce pouvoir a également été justifié par notre Cour dans l’arrêt </w:t>
      </w:r>
      <w:r w:rsidRPr="00941354">
        <w:rPr>
          <w:i/>
          <w:iCs/>
          <w:u w:val="single"/>
        </w:rPr>
        <w:t>Dedman,</w:t>
      </w:r>
      <w:r w:rsidRPr="00941354">
        <w:rPr>
          <w:u w:val="single"/>
        </w:rPr>
        <w:t xml:space="preserve"> précité, comme étant prescrit par la common law</w:t>
      </w:r>
      <w:r w:rsidRPr="0099220A">
        <w:t>.</w:t>
      </w:r>
      <w:r w:rsidRPr="00941354">
        <w:rPr>
          <w:vertAlign w:val="superscript"/>
        </w:rPr>
        <w:footnoteReference w:id="31"/>
      </w:r>
    </w:p>
    <w:p w14:paraId="28C7FA1B" w14:textId="77777777" w:rsidR="00540798" w:rsidRPr="00C87EC1" w:rsidRDefault="00540798" w:rsidP="00604656">
      <w:pPr>
        <w:spacing w:after="60"/>
        <w:ind w:left="720" w:right="720"/>
        <w:jc w:val="right"/>
        <w:rPr>
          <w:rFonts w:cs="Arial"/>
          <w:kern w:val="28"/>
          <w:sz w:val="22"/>
          <w:szCs w:val="18"/>
        </w:rPr>
      </w:pPr>
      <w:r w:rsidRPr="00941354">
        <w:rPr>
          <w:rFonts w:cs="Arial"/>
          <w:color w:val="000000"/>
          <w:spacing w:val="-3"/>
          <w:kern w:val="28"/>
          <w:sz w:val="22"/>
          <w:szCs w:val="18"/>
        </w:rPr>
        <w:t>[Soulignement ajouté]</w:t>
      </w:r>
    </w:p>
    <w:p w14:paraId="1AD2A033" w14:textId="467B43BB" w:rsidR="00540798" w:rsidRPr="00C87EC1" w:rsidRDefault="00540798" w:rsidP="00FB1C7A">
      <w:pPr>
        <w:pStyle w:val="Paragraphe"/>
        <w:spacing w:line="280" w:lineRule="exact"/>
      </w:pPr>
      <w:r w:rsidRPr="00C87EC1">
        <w:t xml:space="preserve">Ces passages de l’arrêt </w:t>
      </w:r>
      <w:r w:rsidRPr="00C87EC1">
        <w:rPr>
          <w:i/>
          <w:iCs/>
        </w:rPr>
        <w:t>Ladouceur</w:t>
      </w:r>
      <w:r w:rsidRPr="00C87EC1">
        <w:t xml:space="preserve"> peuvent toutefois être qualifiés d’</w:t>
      </w:r>
      <w:r w:rsidR="00F739E6">
        <w:t>observations incidentes</w:t>
      </w:r>
      <w:r w:rsidRPr="00C87EC1">
        <w:t>. Comme le souligne le juge Green, de la Cour d’appel de Terre-Neuve-et</w:t>
      </w:r>
      <w:r w:rsidRPr="00C87EC1">
        <w:noBreakHyphen/>
        <w:t xml:space="preserve">Labrador, dans l’arrêt </w:t>
      </w:r>
      <w:r w:rsidR="004E5B14" w:rsidRPr="004E5B14">
        <w:rPr>
          <w:i/>
          <w:iCs/>
        </w:rPr>
        <w:t>R. v.</w:t>
      </w:r>
      <w:r w:rsidR="004E5B14">
        <w:t xml:space="preserve"> </w:t>
      </w:r>
      <w:r w:rsidRPr="00C87EC1">
        <w:rPr>
          <w:i/>
          <w:iCs/>
        </w:rPr>
        <w:t>Griffin</w:t>
      </w:r>
      <w:r w:rsidRPr="00C87EC1">
        <w:rPr>
          <w:color w:val="000000"/>
          <w:vertAlign w:val="superscript"/>
        </w:rPr>
        <w:footnoteReference w:id="32"/>
      </w:r>
      <w:r w:rsidRPr="00C87EC1">
        <w:t xml:space="preserve">, le pouvoir d’interception en cause dans </w:t>
      </w:r>
      <w:r w:rsidRPr="00C87EC1">
        <w:rPr>
          <w:i/>
          <w:iCs/>
        </w:rPr>
        <w:t>Ladouceur</w:t>
      </w:r>
      <w:r w:rsidRPr="00C87EC1">
        <w:t xml:space="preserve"> </w:t>
      </w:r>
      <w:r w:rsidR="005E0B69">
        <w:t>était d’origine législative</w:t>
      </w:r>
      <w:r w:rsidRPr="00C87EC1">
        <w:t xml:space="preserve"> et il n’était pas nécessaire pour la Cour suprême de s’en remettre aux pouvoirs de </w:t>
      </w:r>
      <w:r w:rsidRPr="00062DE3">
        <w:t>common law</w:t>
      </w:r>
      <w:r w:rsidRPr="00C87EC1">
        <w:t xml:space="preserve"> pour trancher le litige. Il mentionne ceci :</w:t>
      </w:r>
      <w:r w:rsidRPr="00C87EC1">
        <w:rPr>
          <w:i/>
          <w:iCs/>
          <w:color w:val="000000"/>
        </w:rPr>
        <w:t xml:space="preserve"> </w:t>
      </w:r>
    </w:p>
    <w:p w14:paraId="1D587575" w14:textId="3B38F796" w:rsidR="00540798" w:rsidRPr="00941354" w:rsidRDefault="005E0B69" w:rsidP="00D51EF8">
      <w:pPr>
        <w:pStyle w:val="Citationenretrait"/>
        <w:rPr>
          <w:lang w:val="en-CA" w:eastAsia="fr-CA"/>
        </w:rPr>
      </w:pPr>
      <w:r>
        <w:rPr>
          <w:lang w:val="en-CA"/>
        </w:rPr>
        <w:t xml:space="preserve">[…] </w:t>
      </w:r>
      <w:r w:rsidR="00540798" w:rsidRPr="00941354">
        <w:rPr>
          <w:lang w:val="en-CA"/>
        </w:rPr>
        <w:t>In</w:t>
      </w:r>
      <w:r w:rsidR="00A92FBC" w:rsidRPr="00941354">
        <w:rPr>
          <w:lang w:val="en-CA"/>
        </w:rPr>
        <w:t xml:space="preserve"> </w:t>
      </w:r>
      <w:r w:rsidR="00540798" w:rsidRPr="00941354">
        <w:rPr>
          <w:i/>
          <w:iCs/>
          <w:lang w:val="en-CA"/>
        </w:rPr>
        <w:t>Dedman</w:t>
      </w:r>
      <w:r w:rsidR="00540798" w:rsidRPr="00941354">
        <w:rPr>
          <w:lang w:val="en-CA"/>
        </w:rPr>
        <w:t>, the court held that a random stop, conducted as part of an organized programme designed to deter and detect impaired driving was still within the general scope of police duties and was not an unjustifiable use of power associated with the performance of those duties. Thus, in the context of an organized stopping programme, random stops of motorists are authorized at common law. In</w:t>
      </w:r>
      <w:r w:rsidR="00A92FBC" w:rsidRPr="00941354">
        <w:rPr>
          <w:lang w:val="en-CA"/>
        </w:rPr>
        <w:t xml:space="preserve"> </w:t>
      </w:r>
      <w:r w:rsidR="00540798" w:rsidRPr="00941354">
        <w:rPr>
          <w:i/>
          <w:iCs/>
          <w:lang w:val="en-CA"/>
        </w:rPr>
        <w:t>Ladouceur</w:t>
      </w:r>
      <w:r w:rsidR="00540798" w:rsidRPr="00941354">
        <w:rPr>
          <w:lang w:val="en-CA"/>
        </w:rPr>
        <w:t xml:space="preserve">, a 5:4 majority of the Supreme Court recognized that the power of the police to conduct random stops of motorists for the purpose of investigating drinking-driving offences could be extended to random roving stops that depended solely upon the decision of </w:t>
      </w:r>
      <w:r w:rsidR="009E2B10" w:rsidRPr="00941354">
        <w:rPr>
          <w:lang w:val="en-CA"/>
        </w:rPr>
        <w:t xml:space="preserve">the </w:t>
      </w:r>
      <w:r w:rsidR="00540798" w:rsidRPr="00941354">
        <w:rPr>
          <w:lang w:val="en-CA"/>
        </w:rPr>
        <w:t xml:space="preserve">individual officer outside of any organized programme. </w:t>
      </w:r>
      <w:r w:rsidR="00540798" w:rsidRPr="00941354">
        <w:rPr>
          <w:u w:val="single"/>
          <w:lang w:val="en-CA"/>
        </w:rPr>
        <w:t>In</w:t>
      </w:r>
      <w:r w:rsidR="00A92FBC" w:rsidRPr="00941354">
        <w:rPr>
          <w:u w:val="single"/>
          <w:lang w:val="en-CA"/>
        </w:rPr>
        <w:t xml:space="preserve"> </w:t>
      </w:r>
      <w:r w:rsidR="00540798" w:rsidRPr="00941354">
        <w:rPr>
          <w:i/>
          <w:iCs/>
          <w:u w:val="single"/>
          <w:lang w:val="en-CA"/>
        </w:rPr>
        <w:t>Ladouceur</w:t>
      </w:r>
      <w:r w:rsidR="00540798" w:rsidRPr="00941354">
        <w:rPr>
          <w:u w:val="single"/>
          <w:lang w:val="en-CA"/>
        </w:rPr>
        <w:t>, however, the authority for this came from statute</w:t>
      </w:r>
      <w:r w:rsidR="00540798" w:rsidRPr="00941354">
        <w:rPr>
          <w:lang w:val="en-CA"/>
        </w:rPr>
        <w:t>: what was then s. 189a(1) of the Ontario</w:t>
      </w:r>
      <w:r w:rsidR="00A92FBC" w:rsidRPr="00941354">
        <w:rPr>
          <w:lang w:val="en-CA"/>
        </w:rPr>
        <w:t xml:space="preserve"> </w:t>
      </w:r>
      <w:r w:rsidR="00540798" w:rsidRPr="00941354">
        <w:rPr>
          <w:i/>
          <w:iCs/>
          <w:lang w:val="en-CA"/>
        </w:rPr>
        <w:t>Highway Traffic Act</w:t>
      </w:r>
      <w:r w:rsidR="00540798" w:rsidRPr="00941354">
        <w:rPr>
          <w:lang w:val="en-CA"/>
        </w:rPr>
        <w:t>. Cory, J. also stated, however, in</w:t>
      </w:r>
      <w:r w:rsidR="00A92FBC" w:rsidRPr="00941354">
        <w:rPr>
          <w:lang w:val="en-CA"/>
        </w:rPr>
        <w:t xml:space="preserve"> </w:t>
      </w:r>
      <w:r w:rsidR="00540798" w:rsidRPr="00941354">
        <w:rPr>
          <w:i/>
          <w:iCs/>
          <w:lang w:val="en-CA"/>
        </w:rPr>
        <w:t>obiter</w:t>
      </w:r>
      <w:r w:rsidR="00A92FBC" w:rsidRPr="00941354">
        <w:rPr>
          <w:lang w:val="en-CA"/>
        </w:rPr>
        <w:t xml:space="preserve"> </w:t>
      </w:r>
      <w:r w:rsidR="00540798" w:rsidRPr="00941354">
        <w:rPr>
          <w:lang w:val="en-CA"/>
        </w:rPr>
        <w:t>that:</w:t>
      </w:r>
    </w:p>
    <w:p w14:paraId="659ED46E" w14:textId="1E8DDB0D" w:rsidR="00540798" w:rsidRPr="00941354" w:rsidRDefault="00540798" w:rsidP="00540798">
      <w:pPr>
        <w:spacing w:before="60" w:after="60" w:line="240" w:lineRule="auto"/>
        <w:ind w:left="1440" w:right="1440"/>
        <w:jc w:val="both"/>
        <w:rPr>
          <w:rFonts w:cs="Arial"/>
          <w:sz w:val="20"/>
          <w:lang w:val="en-CA"/>
        </w:rPr>
      </w:pPr>
      <w:r w:rsidRPr="00941354">
        <w:rPr>
          <w:rFonts w:cs="Arial"/>
          <w:sz w:val="20"/>
          <w:lang w:val="en-CA"/>
        </w:rPr>
        <w:t>The power of a police officer to stop motor vehicles at random is derived from s. 189a(1) of the</w:t>
      </w:r>
      <w:r w:rsidR="00A92FBC" w:rsidRPr="00941354">
        <w:rPr>
          <w:rFonts w:cs="Arial"/>
          <w:sz w:val="20"/>
          <w:lang w:val="en-CA"/>
        </w:rPr>
        <w:t xml:space="preserve"> </w:t>
      </w:r>
      <w:r w:rsidRPr="00941354">
        <w:rPr>
          <w:rFonts w:cs="Arial"/>
          <w:i/>
          <w:iCs/>
          <w:sz w:val="20"/>
          <w:lang w:val="en-CA"/>
        </w:rPr>
        <w:t>Highway Traffic Act</w:t>
      </w:r>
      <w:r w:rsidR="00A92FBC" w:rsidRPr="00941354">
        <w:rPr>
          <w:rFonts w:cs="Arial"/>
          <w:sz w:val="20"/>
          <w:lang w:val="en-CA"/>
        </w:rPr>
        <w:t xml:space="preserve"> </w:t>
      </w:r>
      <w:r w:rsidRPr="00941354">
        <w:rPr>
          <w:rFonts w:cs="Arial"/>
          <w:sz w:val="20"/>
          <w:lang w:val="en-CA"/>
        </w:rPr>
        <w:t>and is thus prescribed by law...</w:t>
      </w:r>
      <w:r w:rsidR="00A92FBC" w:rsidRPr="00941354">
        <w:rPr>
          <w:rFonts w:cs="Arial"/>
          <w:sz w:val="20"/>
          <w:lang w:val="en-CA"/>
        </w:rPr>
        <w:t xml:space="preserve"> </w:t>
      </w:r>
      <w:r w:rsidRPr="00941354">
        <w:rPr>
          <w:rFonts w:cs="Arial"/>
          <w:i/>
          <w:iCs/>
          <w:sz w:val="20"/>
          <w:lang w:val="en-CA"/>
        </w:rPr>
        <w:t>The authority also has been justified by this court in its decision in</w:t>
      </w:r>
      <w:r w:rsidR="00A92FBC" w:rsidRPr="00941354">
        <w:rPr>
          <w:rFonts w:cs="Arial"/>
          <w:i/>
          <w:iCs/>
          <w:sz w:val="20"/>
          <w:lang w:val="en-CA"/>
        </w:rPr>
        <w:t xml:space="preserve"> </w:t>
      </w:r>
      <w:r w:rsidRPr="00941354">
        <w:rPr>
          <w:rFonts w:cs="Arial"/>
          <w:i/>
          <w:iCs/>
          <w:sz w:val="20"/>
          <w:lang w:val="en-CA"/>
        </w:rPr>
        <w:t>Dedman</w:t>
      </w:r>
      <w:r w:rsidR="009E2B10" w:rsidRPr="00941354">
        <w:rPr>
          <w:rFonts w:cs="Arial"/>
          <w:i/>
          <w:iCs/>
          <w:sz w:val="20"/>
          <w:lang w:val="en-CA"/>
        </w:rPr>
        <w:t>,</w:t>
      </w:r>
      <w:r w:rsidRPr="00941354">
        <w:rPr>
          <w:rFonts w:cs="Arial"/>
          <w:i/>
          <w:iCs/>
          <w:sz w:val="20"/>
          <w:lang w:val="en-CA"/>
        </w:rPr>
        <w:t xml:space="preserve"> supra, as a prescription of the common law</w:t>
      </w:r>
      <w:r w:rsidRPr="00941354">
        <w:rPr>
          <w:rFonts w:cs="Arial"/>
          <w:sz w:val="20"/>
          <w:lang w:val="en-CA"/>
        </w:rPr>
        <w:t>. [Emphasis added]</w:t>
      </w:r>
    </w:p>
    <w:p w14:paraId="19487261" w14:textId="16C1287B" w:rsidR="00540798" w:rsidRPr="00941354" w:rsidRDefault="00540798" w:rsidP="0068310A">
      <w:pPr>
        <w:pStyle w:val="Citationenretrait"/>
        <w:keepNext/>
        <w:rPr>
          <w:lang w:val="en-CA"/>
        </w:rPr>
      </w:pPr>
      <w:r w:rsidRPr="00941354">
        <w:rPr>
          <w:u w:val="single"/>
          <w:lang w:val="en-CA"/>
        </w:rPr>
        <w:t>It was suggested in argument that this statement amounted to an extension of the </w:t>
      </w:r>
      <w:r w:rsidRPr="00941354">
        <w:rPr>
          <w:i/>
          <w:iCs/>
          <w:u w:val="single"/>
          <w:lang w:val="en-CA"/>
        </w:rPr>
        <w:t>Dedman</w:t>
      </w:r>
      <w:r w:rsidRPr="00941354">
        <w:rPr>
          <w:u w:val="single"/>
          <w:lang w:val="en-CA"/>
        </w:rPr>
        <w:t> common law authorization from organized random stops to roving random stops. I do not accept that this is so. Reliance on common law authorization was not necessary for the decision in</w:t>
      </w:r>
      <w:r w:rsidR="00A92FBC" w:rsidRPr="00941354">
        <w:rPr>
          <w:u w:val="single"/>
          <w:lang w:val="en-CA"/>
        </w:rPr>
        <w:t xml:space="preserve"> </w:t>
      </w:r>
      <w:r w:rsidRPr="00941354">
        <w:rPr>
          <w:i/>
          <w:iCs/>
          <w:u w:val="single"/>
          <w:lang w:val="en-CA"/>
        </w:rPr>
        <w:t>Ladouceur</w:t>
      </w:r>
      <w:r w:rsidR="00A92FBC" w:rsidRPr="00941354">
        <w:rPr>
          <w:u w:val="single"/>
          <w:lang w:val="en-CA"/>
        </w:rPr>
        <w:t xml:space="preserve"> </w:t>
      </w:r>
      <w:r w:rsidRPr="00941354">
        <w:rPr>
          <w:u w:val="single"/>
          <w:lang w:val="en-CA"/>
        </w:rPr>
        <w:t>and indeed was only commented on incidentally</w:t>
      </w:r>
      <w:r w:rsidRPr="00941354">
        <w:rPr>
          <w:lang w:val="en-CA"/>
        </w:rPr>
        <w:t>. The discussion at this point in Cory, J.'s judgment occurred in relation to the power of a police officer to stop vehicles at random generally without particularizing, at that point in the discussion, whether the types of stops being talked about were organized or roving.</w:t>
      </w:r>
      <w:r w:rsidR="00A92FBC" w:rsidRPr="00941354">
        <w:rPr>
          <w:lang w:val="en-CA"/>
        </w:rPr>
        <w:t xml:space="preserve"> </w:t>
      </w:r>
      <w:r w:rsidRPr="00941354">
        <w:rPr>
          <w:u w:val="single"/>
          <w:lang w:val="en-CA"/>
        </w:rPr>
        <w:t>In that context, the reference to</w:t>
      </w:r>
      <w:r w:rsidR="00A92FBC" w:rsidRPr="00941354">
        <w:rPr>
          <w:u w:val="single"/>
          <w:lang w:val="en-CA"/>
        </w:rPr>
        <w:t xml:space="preserve"> </w:t>
      </w:r>
      <w:r w:rsidRPr="00941354">
        <w:rPr>
          <w:i/>
          <w:iCs/>
          <w:u w:val="single"/>
          <w:lang w:val="en-CA"/>
        </w:rPr>
        <w:t>Dedman</w:t>
      </w:r>
      <w:r w:rsidR="00A92FBC" w:rsidRPr="00941354">
        <w:rPr>
          <w:u w:val="single"/>
          <w:lang w:val="en-CA"/>
        </w:rPr>
        <w:t xml:space="preserve"> </w:t>
      </w:r>
      <w:r w:rsidRPr="00941354">
        <w:rPr>
          <w:u w:val="single"/>
          <w:lang w:val="en-CA"/>
        </w:rPr>
        <w:t>can only be taken as a re-affirmation of what</w:t>
      </w:r>
      <w:r w:rsidR="00A92FBC" w:rsidRPr="00941354">
        <w:rPr>
          <w:u w:val="single"/>
          <w:lang w:val="en-CA"/>
        </w:rPr>
        <w:t xml:space="preserve"> </w:t>
      </w:r>
      <w:r w:rsidRPr="00941354">
        <w:rPr>
          <w:i/>
          <w:iCs/>
          <w:u w:val="single"/>
          <w:lang w:val="en-CA"/>
        </w:rPr>
        <w:t>Dedman</w:t>
      </w:r>
      <w:r w:rsidR="00A92FBC" w:rsidRPr="00941354">
        <w:rPr>
          <w:u w:val="single"/>
          <w:lang w:val="en-CA"/>
        </w:rPr>
        <w:t xml:space="preserve"> </w:t>
      </w:r>
      <w:r w:rsidRPr="00941354">
        <w:rPr>
          <w:u w:val="single"/>
          <w:lang w:val="en-CA"/>
        </w:rPr>
        <w:t>actually decided, namely, that organized random stops were authorized at common law</w:t>
      </w:r>
      <w:r w:rsidRPr="00941354">
        <w:rPr>
          <w:lang w:val="en-CA"/>
        </w:rPr>
        <w:t>.</w:t>
      </w:r>
      <w:r w:rsidRPr="00941354">
        <w:rPr>
          <w:vertAlign w:val="superscript"/>
        </w:rPr>
        <w:footnoteReference w:id="33"/>
      </w:r>
    </w:p>
    <w:p w14:paraId="0B58B4BB" w14:textId="77777777" w:rsidR="00540798" w:rsidRPr="00A92FBC" w:rsidRDefault="00540798" w:rsidP="0068310A">
      <w:pPr>
        <w:pStyle w:val="Citationenretrait"/>
        <w:keepNext/>
        <w:jc w:val="right"/>
      </w:pPr>
      <w:r w:rsidRPr="00941354">
        <w:t>[Soulignements ajoutés]</w:t>
      </w:r>
    </w:p>
    <w:p w14:paraId="651A13F7" w14:textId="6B941700" w:rsidR="00540798" w:rsidRPr="00C87EC1" w:rsidRDefault="00540798" w:rsidP="00FB1C7A">
      <w:pPr>
        <w:pStyle w:val="Paragraphe"/>
        <w:spacing w:line="280" w:lineRule="exact"/>
      </w:pPr>
      <w:r w:rsidRPr="00C87EC1">
        <w:t xml:space="preserve">Certes, le raisonnement suivi par la Cour suprême dans l’arrêt </w:t>
      </w:r>
      <w:r w:rsidRPr="00C87EC1">
        <w:rPr>
          <w:i/>
          <w:iCs/>
        </w:rPr>
        <w:t>Ladouceur</w:t>
      </w:r>
      <w:r w:rsidRPr="00C87EC1">
        <w:t xml:space="preserve"> (et dans l’arrêt </w:t>
      </w:r>
      <w:r w:rsidRPr="00C87EC1">
        <w:rPr>
          <w:i/>
          <w:iCs/>
        </w:rPr>
        <w:t>Hufsky</w:t>
      </w:r>
      <w:r w:rsidRPr="00C87EC1">
        <w:t xml:space="preserve">) rejoint celui du juge Le Dain dans l’arrêt </w:t>
      </w:r>
      <w:r w:rsidRPr="00C87EC1">
        <w:rPr>
          <w:i/>
          <w:iCs/>
        </w:rPr>
        <w:t>Dedman</w:t>
      </w:r>
      <w:r w:rsidRPr="00C87EC1">
        <w:t xml:space="preserve">. Cela s’explique probablement par le fait que le deuxième volet du critère de l’arrêt </w:t>
      </w:r>
      <w:r w:rsidRPr="00C87EC1">
        <w:rPr>
          <w:i/>
          <w:iCs/>
        </w:rPr>
        <w:t>Waterfield</w:t>
      </w:r>
      <w:r w:rsidRPr="00C87EC1">
        <w:t xml:space="preserve"> appliqué dans l’arrêt </w:t>
      </w:r>
      <w:r w:rsidRPr="00C87EC1">
        <w:rPr>
          <w:i/>
          <w:iCs/>
        </w:rPr>
        <w:t>Dedman</w:t>
      </w:r>
      <w:r w:rsidRPr="00C87EC1">
        <w:t xml:space="preserve"> </w:t>
      </w:r>
      <w:r w:rsidRPr="00EE0168">
        <w:t xml:space="preserve">– </w:t>
      </w:r>
      <w:r w:rsidR="00842379" w:rsidRPr="00EE0168">
        <w:t>volet</w:t>
      </w:r>
      <w:r w:rsidRPr="00EE0168">
        <w:t xml:space="preserve"> qui</w:t>
      </w:r>
      <w:r w:rsidRPr="00C87EC1">
        <w:t xml:space="preserve"> consiste à déterminer si la co</w:t>
      </w:r>
      <w:r w:rsidRPr="00C87EC1">
        <w:rPr>
          <w:color w:val="000000"/>
        </w:rPr>
        <w:t xml:space="preserve">nduite des policiers est </w:t>
      </w:r>
      <w:r w:rsidRPr="00C87EC1">
        <w:rPr>
          <w:i/>
          <w:iCs/>
          <w:color w:val="000000"/>
        </w:rPr>
        <w:t>raisonnablement nécessaire</w:t>
      </w:r>
      <w:r w:rsidRPr="00C87EC1">
        <w:rPr>
          <w:color w:val="000000"/>
        </w:rPr>
        <w:t xml:space="preserve"> pour accomplir un devoir policier – </w:t>
      </w:r>
      <w:r w:rsidRPr="00C87EC1">
        <w:t xml:space="preserve">présente des similitudes avec le critère de justification applicable </w:t>
      </w:r>
      <w:r w:rsidR="005E0B69">
        <w:t>selon</w:t>
      </w:r>
      <w:r w:rsidRPr="00C87EC1">
        <w:t xml:space="preserve"> l’article premier de la </w:t>
      </w:r>
      <w:r w:rsidRPr="00C87EC1">
        <w:rPr>
          <w:i/>
          <w:iCs/>
        </w:rPr>
        <w:t>Charte</w:t>
      </w:r>
      <w:r w:rsidRPr="00C87EC1">
        <w:t xml:space="preserve">. Les facteurs considérés par le juge Le Dain dans l’application de ce volet du critère de l’arrêt </w:t>
      </w:r>
      <w:r w:rsidRPr="00C87EC1">
        <w:rPr>
          <w:i/>
          <w:iCs/>
        </w:rPr>
        <w:t>Waterfield</w:t>
      </w:r>
      <w:r w:rsidRPr="00C87EC1">
        <w:t xml:space="preserve"> (nature de la </w:t>
      </w:r>
      <w:r w:rsidR="00240AD5">
        <w:t>« </w:t>
      </w:r>
      <w:r w:rsidRPr="00C87EC1">
        <w:t>liberté</w:t>
      </w:r>
      <w:r w:rsidR="00240AD5">
        <w:t> »</w:t>
      </w:r>
      <w:r w:rsidRPr="00C87EC1">
        <w:t xml:space="preserve"> individuelle entravée et ampleur de l’atteinte à cette liberté, importance de l’objet public poursuivi, nécessité de l’atteinte pour l’accomplissement du devoir policier) recoupent en effet les facteurs devant être pris en compte dans le cadre d’une analyse </w:t>
      </w:r>
      <w:r w:rsidR="00B51346">
        <w:t>fondée sur</w:t>
      </w:r>
      <w:r w:rsidRPr="00C87EC1">
        <w:t xml:space="preserve"> l’article premier. Dans l’arrêt </w:t>
      </w:r>
      <w:r w:rsidRPr="00C87EC1">
        <w:rPr>
          <w:i/>
          <w:iCs/>
        </w:rPr>
        <w:t>Fleming</w:t>
      </w:r>
      <w:r w:rsidRPr="00C87EC1">
        <w:t>, la Cour suprême reconnaît d’ailleurs expressément la similitude entre les deux cadres d’analyse :</w:t>
      </w:r>
    </w:p>
    <w:p w14:paraId="347CE71D" w14:textId="12DAB25E" w:rsidR="00540798" w:rsidRPr="00C87EC1" w:rsidRDefault="00540798" w:rsidP="001D27C5">
      <w:pPr>
        <w:pStyle w:val="Citationenretrait"/>
        <w:spacing w:after="0"/>
      </w:pPr>
      <w:r w:rsidRPr="00C87EC1">
        <w:t>[</w:t>
      </w:r>
      <w:bookmarkStart w:id="24" w:name="par54"/>
      <w:r w:rsidRPr="00C87EC1">
        <w:t>54</w:t>
      </w:r>
      <w:bookmarkEnd w:id="24"/>
      <w:r w:rsidRPr="00C87EC1">
        <w:t>]</w:t>
      </w:r>
      <w:r w:rsidRPr="00C87EC1">
        <w:tab/>
      </w:r>
      <w:r w:rsidRPr="00A92FBC">
        <w:rPr>
          <w:u w:val="single"/>
        </w:rPr>
        <w:t>Il est possible de dresser des parallèles évidents entre certains concepts qui jouent un rôle important dans le contexte de la justification au regard de la </w:t>
      </w:r>
      <w:r w:rsidRPr="00A92FBC">
        <w:rPr>
          <w:i/>
          <w:iCs/>
          <w:u w:val="single"/>
        </w:rPr>
        <w:t>Charte</w:t>
      </w:r>
      <w:r w:rsidRPr="00A92FBC">
        <w:rPr>
          <w:u w:val="single"/>
        </w:rPr>
        <w:t> — comme ceux de l’atteinte minimale et de la proportionnalité — et la doctrine des pouvoirs accessoires</w:t>
      </w:r>
      <w:r w:rsidRPr="00C87EC1">
        <w:t xml:space="preserve"> […]. Par exemple, les trois facteurs énoncés</w:t>
      </w:r>
      <w:r w:rsidR="00E17DFD">
        <w:t xml:space="preserve"> </w:t>
      </w:r>
      <w:r w:rsidRPr="00C87EC1">
        <w:rPr>
          <w:rStyle w:val="reflex"/>
          <w:color w:val="000000"/>
          <w:szCs w:val="22"/>
        </w:rPr>
        <w:t>dans l’arrêt </w:t>
      </w:r>
      <w:r w:rsidRPr="00C87EC1">
        <w:rPr>
          <w:rStyle w:val="reflex"/>
          <w:i/>
          <w:iCs/>
          <w:color w:val="000000"/>
          <w:szCs w:val="22"/>
        </w:rPr>
        <w:t>MacDonald</w:t>
      </w:r>
      <w:r w:rsidRPr="00C87EC1">
        <w:rPr>
          <w:rStyle w:val="Appelnotedebasdep"/>
          <w:szCs w:val="22"/>
        </w:rPr>
        <w:footnoteReference w:id="34"/>
      </w:r>
      <w:r w:rsidR="00A92FBC">
        <w:t xml:space="preserve"> </w:t>
      </w:r>
      <w:r w:rsidRPr="00C87EC1">
        <w:t>exigent une évaluation de la proportionnalité. En outre, selon le concept de la nécessité raisonnable, il ne doit pas être possible dans les circonstances de recourir à d’autres mesures moins intrusives. Si les policiers peuvent accomplir leur devoir d’une manière qui porte moins atteinte à la liberté, le pouvoir invoqué n’est clairement pas raisonnablement nécessaire (</w:t>
      </w:r>
      <w:r w:rsidRPr="00C87EC1">
        <w:rPr>
          <w:rStyle w:val="reflex"/>
          <w:szCs w:val="22"/>
        </w:rPr>
        <w:t>voir </w:t>
      </w:r>
      <w:r w:rsidRPr="00C87EC1">
        <w:rPr>
          <w:rStyle w:val="reflex"/>
          <w:i/>
          <w:iCs/>
          <w:szCs w:val="22"/>
        </w:rPr>
        <w:t>Clayton</w:t>
      </w:r>
      <w:r w:rsidRPr="00C87EC1">
        <w:t>, par. </w:t>
      </w:r>
      <w:r w:rsidRPr="00C87EC1">
        <w:rPr>
          <w:rStyle w:val="solexhl"/>
          <w:szCs w:val="22"/>
        </w:rPr>
        <w:t>21</w:t>
      </w:r>
      <w:r w:rsidRPr="00C87EC1">
        <w:t>).</w:t>
      </w:r>
      <w:r w:rsidRPr="00C87EC1">
        <w:rPr>
          <w:rStyle w:val="Appelnotedebasdep"/>
          <w:szCs w:val="22"/>
        </w:rPr>
        <w:footnoteReference w:id="35"/>
      </w:r>
    </w:p>
    <w:p w14:paraId="36BB0B18" w14:textId="77777777" w:rsidR="00540798" w:rsidRPr="00C87EC1" w:rsidRDefault="00540798" w:rsidP="001D27C5">
      <w:pPr>
        <w:pStyle w:val="Citationenretrait"/>
        <w:spacing w:before="0"/>
        <w:jc w:val="right"/>
      </w:pPr>
      <w:r w:rsidRPr="00C87EC1">
        <w:t>[Soulignement ajouté]</w:t>
      </w:r>
    </w:p>
    <w:p w14:paraId="40A55D1A" w14:textId="77777777" w:rsidR="00540798" w:rsidRPr="00C87EC1" w:rsidRDefault="00540798" w:rsidP="00FB1C7A">
      <w:pPr>
        <w:pStyle w:val="Paragraphe"/>
        <w:spacing w:line="280" w:lineRule="exact"/>
      </w:pPr>
      <w:r w:rsidRPr="00C87EC1">
        <w:t xml:space="preserve">Il pourrait donc être tentant de conclure que, dans l’arrêt </w:t>
      </w:r>
      <w:r w:rsidRPr="00C87EC1">
        <w:rPr>
          <w:i/>
          <w:iCs/>
        </w:rPr>
        <w:t>Ladouceur</w:t>
      </w:r>
      <w:r w:rsidRPr="00C87EC1">
        <w:t xml:space="preserve">, la Cour suprême a </w:t>
      </w:r>
      <w:r w:rsidRPr="00C87EC1">
        <w:rPr>
          <w:i/>
          <w:iCs/>
        </w:rPr>
        <w:t>implicitement</w:t>
      </w:r>
      <w:r w:rsidRPr="00C87EC1">
        <w:t xml:space="preserve"> élargi le pouvoir policier de common law établi par l’arrêt </w:t>
      </w:r>
      <w:r w:rsidRPr="00C87EC1">
        <w:rPr>
          <w:i/>
          <w:iCs/>
        </w:rPr>
        <w:t>Dedman</w:t>
      </w:r>
      <w:r w:rsidRPr="00C87EC1">
        <w:t xml:space="preserve">, ou encore que, par analogie, les motifs du juge Cory dans </w:t>
      </w:r>
      <w:r w:rsidRPr="00C87EC1">
        <w:rPr>
          <w:i/>
          <w:iCs/>
        </w:rPr>
        <w:t>Ladouceur</w:t>
      </w:r>
      <w:r w:rsidRPr="00C87EC1">
        <w:t xml:space="preserve"> devraient être interprétés comme satisfaisant au critère de l’arrêt </w:t>
      </w:r>
      <w:r w:rsidRPr="00C87EC1">
        <w:rPr>
          <w:i/>
          <w:iCs/>
        </w:rPr>
        <w:t>Waterfield</w:t>
      </w:r>
      <w:r w:rsidRPr="00C87EC1">
        <w:t xml:space="preserve">. </w:t>
      </w:r>
    </w:p>
    <w:p w14:paraId="6560F704" w14:textId="77777777" w:rsidR="00EB1873" w:rsidRPr="00C87EC1" w:rsidRDefault="00540798" w:rsidP="00FB1C7A">
      <w:pPr>
        <w:pStyle w:val="Paragraphe"/>
        <w:spacing w:line="280" w:lineRule="exact"/>
      </w:pPr>
      <w:r w:rsidRPr="00C87EC1">
        <w:t xml:space="preserve">Selon la Cour, une telle approche doit toutefois être rejetée. </w:t>
      </w:r>
    </w:p>
    <w:p w14:paraId="229BA40A" w14:textId="03A15A2B" w:rsidR="00540798" w:rsidRPr="00C87EC1" w:rsidRDefault="00540798" w:rsidP="00FB1C7A">
      <w:pPr>
        <w:pStyle w:val="Paragraphe"/>
        <w:spacing w:line="280" w:lineRule="exact"/>
      </w:pPr>
      <w:r w:rsidRPr="00C87EC1">
        <w:t xml:space="preserve">La reconnaissance de pouvoirs policiers en </w:t>
      </w:r>
      <w:r w:rsidRPr="00D2481A">
        <w:t>common law</w:t>
      </w:r>
      <w:r w:rsidRPr="00C87EC1">
        <w:t xml:space="preserve"> est bien encadrée. Dans </w:t>
      </w:r>
      <w:r w:rsidRPr="00941354">
        <w:t xml:space="preserve">l’arrêt </w:t>
      </w:r>
      <w:r w:rsidRPr="00941354">
        <w:rPr>
          <w:i/>
          <w:iCs/>
        </w:rPr>
        <w:t>Fleming</w:t>
      </w:r>
      <w:r w:rsidRPr="00941354">
        <w:t>, la juge Côté</w:t>
      </w:r>
      <w:r w:rsidR="00D908B0">
        <w:t>, pour la Cour</w:t>
      </w:r>
      <w:r w:rsidR="000D6240">
        <w:t xml:space="preserve"> suprême</w:t>
      </w:r>
      <w:r w:rsidR="00D908B0">
        <w:t>,</w:t>
      </w:r>
      <w:r w:rsidRPr="00941354">
        <w:t xml:space="preserve"> appelle à la prudence avant de se prononcer sur l’existence de tels pouvoirs. Elle mentionne que « </w:t>
      </w:r>
      <w:r w:rsidRPr="00941354">
        <w:rPr>
          <w:color w:val="000000"/>
        </w:rPr>
        <w:t>la primauté du droit exige que ces pouvoirs policiers soient strictement limités afin de protéger les libertés individuelles</w:t>
      </w:r>
      <w:r w:rsidRPr="00941354">
        <w:t> »</w:t>
      </w:r>
      <w:r w:rsidRPr="00941354">
        <w:rPr>
          <w:vertAlign w:val="superscript"/>
        </w:rPr>
        <w:footnoteReference w:id="36"/>
      </w:r>
      <w:r w:rsidRPr="00941354">
        <w:t>. Puisque l’établissement et la restriction de ceux-ci relèvent des législateurs, « </w:t>
      </w:r>
      <w:r w:rsidRPr="00941354">
        <w:rPr>
          <w:color w:val="000000"/>
        </w:rPr>
        <w:t xml:space="preserve">les tribunaux doivent agir avec prudence lorsqu’ils sont appelés à se prononcer sur l’existence en </w:t>
      </w:r>
      <w:r w:rsidRPr="00243269">
        <w:rPr>
          <w:color w:val="000000"/>
        </w:rPr>
        <w:t>common law</w:t>
      </w:r>
      <w:r w:rsidRPr="00941354">
        <w:rPr>
          <w:color w:val="000000"/>
        </w:rPr>
        <w:t xml:space="preserve"> de pouvoirs policiers proposés</w:t>
      </w:r>
      <w:r w:rsidRPr="00941354">
        <w:t> »</w:t>
      </w:r>
      <w:r w:rsidRPr="00941354">
        <w:rPr>
          <w:vertAlign w:val="superscript"/>
        </w:rPr>
        <w:footnoteReference w:id="37"/>
      </w:r>
      <w:r w:rsidRPr="00941354">
        <w:t>. Cependant, les tribunaux « </w:t>
      </w:r>
      <w:r w:rsidRPr="00941354">
        <w:rPr>
          <w:color w:val="000000"/>
        </w:rPr>
        <w:t xml:space="preserve">ne peuvent abdiquer le rôle qui leur incombe d’adapter progressivement des règles de common law </w:t>
      </w:r>
      <w:r w:rsidRPr="00941354">
        <w:rPr>
          <w:color w:val="000000"/>
          <w:u w:val="single"/>
        </w:rPr>
        <w:t>lorsqu’il existe des lacunes législatives</w:t>
      </w:r>
      <w:r w:rsidRPr="00243269">
        <w:rPr>
          <w:color w:val="000000"/>
        </w:rPr>
        <w:t> </w:t>
      </w:r>
      <w:r w:rsidRPr="00941354">
        <w:rPr>
          <w:color w:val="000000"/>
        </w:rPr>
        <w:t>»</w:t>
      </w:r>
      <w:r w:rsidRPr="00941354">
        <w:rPr>
          <w:color w:val="000000"/>
          <w:vertAlign w:val="superscript"/>
        </w:rPr>
        <w:footnoteReference w:id="38"/>
      </w:r>
      <w:r w:rsidR="00FE5B62" w:rsidRPr="00941354">
        <w:rPr>
          <w:color w:val="000000"/>
        </w:rPr>
        <w:t>.</w:t>
      </w:r>
      <w:r w:rsidRPr="00941354">
        <w:rPr>
          <w:color w:val="000000"/>
        </w:rPr>
        <w:t xml:space="preserve"> Or, il vaut de souligner que</w:t>
      </w:r>
      <w:r w:rsidR="007B6CA8">
        <w:rPr>
          <w:color w:val="000000"/>
        </w:rPr>
        <w:t>,</w:t>
      </w:r>
      <w:r w:rsidRPr="00941354">
        <w:rPr>
          <w:color w:val="000000"/>
        </w:rPr>
        <w:t xml:space="preserve"> dans les arrêts </w:t>
      </w:r>
      <w:r w:rsidRPr="00941354">
        <w:rPr>
          <w:i/>
          <w:iCs/>
          <w:color w:val="000000"/>
        </w:rPr>
        <w:t xml:space="preserve">Hufsky </w:t>
      </w:r>
      <w:r w:rsidRPr="00941354">
        <w:rPr>
          <w:color w:val="000000"/>
        </w:rPr>
        <w:t xml:space="preserve">et </w:t>
      </w:r>
      <w:r w:rsidRPr="00941354">
        <w:rPr>
          <w:i/>
          <w:iCs/>
          <w:color w:val="000000"/>
        </w:rPr>
        <w:t>Ladouceur</w:t>
      </w:r>
      <w:r w:rsidRPr="00941354">
        <w:rPr>
          <w:color w:val="000000"/>
        </w:rPr>
        <w:t>, il n’y avait pas de lacune législative à combler</w:t>
      </w:r>
      <w:r w:rsidR="007B6CA8">
        <w:rPr>
          <w:color w:val="000000"/>
        </w:rPr>
        <w:t xml:space="preserve"> </w:t>
      </w:r>
      <w:r w:rsidRPr="00941354">
        <w:rPr>
          <w:color w:val="000000"/>
        </w:rPr>
        <w:t>puisque le pouvoir policier</w:t>
      </w:r>
      <w:r w:rsidR="003D5356">
        <w:rPr>
          <w:color w:val="000000"/>
        </w:rPr>
        <w:t xml:space="preserve"> contesté</w:t>
      </w:r>
      <w:r w:rsidRPr="00941354">
        <w:rPr>
          <w:color w:val="000000"/>
        </w:rPr>
        <w:t xml:space="preserve"> était fondé sur </w:t>
      </w:r>
      <w:r w:rsidR="00C2155A">
        <w:rPr>
          <w:color w:val="000000"/>
        </w:rPr>
        <w:t>le par</w:t>
      </w:r>
      <w:r w:rsidRPr="00941354">
        <w:rPr>
          <w:color w:val="000000"/>
        </w:rPr>
        <w:t>.</w:t>
      </w:r>
      <w:r w:rsidR="00C2155A">
        <w:rPr>
          <w:color w:val="000000"/>
        </w:rPr>
        <w:t> </w:t>
      </w:r>
      <w:r w:rsidRPr="00941354">
        <w:rPr>
          <w:color w:val="000000"/>
        </w:rPr>
        <w:t xml:space="preserve">189a(1) du </w:t>
      </w:r>
      <w:r w:rsidRPr="00941354">
        <w:rPr>
          <w:i/>
          <w:iCs/>
          <w:color w:val="000000"/>
        </w:rPr>
        <w:t>Code de la route</w:t>
      </w:r>
      <w:r w:rsidR="00B51346">
        <w:rPr>
          <w:color w:val="000000"/>
        </w:rPr>
        <w:t xml:space="preserve"> ontarien</w:t>
      </w:r>
      <w:r w:rsidRPr="00941354">
        <w:rPr>
          <w:color w:val="000000"/>
        </w:rPr>
        <w:t>.</w:t>
      </w:r>
      <w:r w:rsidRPr="00C87EC1">
        <w:rPr>
          <w:color w:val="000000"/>
        </w:rPr>
        <w:t xml:space="preserve"> </w:t>
      </w:r>
      <w:r w:rsidR="00B51346">
        <w:rPr>
          <w:color w:val="000000"/>
        </w:rPr>
        <w:t>C</w:t>
      </w:r>
      <w:r w:rsidR="00F51CBD">
        <w:rPr>
          <w:color w:val="000000"/>
        </w:rPr>
        <w:t xml:space="preserve">’est donc à ce </w:t>
      </w:r>
      <w:r w:rsidR="00B51346">
        <w:rPr>
          <w:color w:val="000000"/>
        </w:rPr>
        <w:t xml:space="preserve">pouvoir d’origine législative </w:t>
      </w:r>
      <w:r w:rsidR="00F51CBD">
        <w:rPr>
          <w:color w:val="000000"/>
        </w:rPr>
        <w:t xml:space="preserve">que s’intéressaient ces deux arrêts </w:t>
      </w:r>
      <w:r w:rsidR="00B51346">
        <w:rPr>
          <w:color w:val="000000"/>
        </w:rPr>
        <w:t>et non à une règle issue de la common law.</w:t>
      </w:r>
    </w:p>
    <w:p w14:paraId="0DE764E7" w14:textId="0FF5B080" w:rsidR="00540798" w:rsidRPr="00C87EC1" w:rsidRDefault="00540798" w:rsidP="00FB1C7A">
      <w:pPr>
        <w:pStyle w:val="Paragraphe"/>
        <w:spacing w:line="280" w:lineRule="exact"/>
      </w:pPr>
      <w:bookmarkStart w:id="25" w:name="_Ref177747832"/>
      <w:r w:rsidRPr="00C87EC1">
        <w:t xml:space="preserve">La Cour conclut que l’arrêt </w:t>
      </w:r>
      <w:r w:rsidRPr="00C87EC1">
        <w:rPr>
          <w:i/>
          <w:iCs/>
        </w:rPr>
        <w:t>Dedman</w:t>
      </w:r>
      <w:r w:rsidRPr="00C87EC1">
        <w:t xml:space="preserve"> a reconnu un pouvoir policier de </w:t>
      </w:r>
      <w:r w:rsidRPr="00C023B9">
        <w:t>common law</w:t>
      </w:r>
      <w:r w:rsidRPr="00C87EC1">
        <w:t xml:space="preserve"> limité, à savoir celui d’intercepter des véhicules au hasard dans le cadre d’un programme structuré (« aux fins visées par le programme R.I.D.E. »). La Cour est en outre d’avis que l’arrêt </w:t>
      </w:r>
      <w:r w:rsidRPr="00C87EC1">
        <w:rPr>
          <w:i/>
          <w:iCs/>
        </w:rPr>
        <w:t>Ladouceur</w:t>
      </w:r>
      <w:r w:rsidRPr="00C87EC1">
        <w:t xml:space="preserve"> n’a pas élargi </w:t>
      </w:r>
      <w:r w:rsidR="00B51346">
        <w:t>c</w:t>
      </w:r>
      <w:r w:rsidRPr="00C87EC1">
        <w:t xml:space="preserve">e pouvoir policier de </w:t>
      </w:r>
      <w:r w:rsidRPr="00C023B9">
        <w:t>common law</w:t>
      </w:r>
      <w:r w:rsidRPr="00941354">
        <w:t xml:space="preserve">. </w:t>
      </w:r>
      <w:r w:rsidR="00C25FBE" w:rsidRPr="00941354">
        <w:t xml:space="preserve">La décision de la majorité dans cette affaire est fondée sur la légalité des « interceptions </w:t>
      </w:r>
      <w:r w:rsidR="00932AA6" w:rsidRPr="00941354">
        <w:t>au</w:t>
      </w:r>
      <w:r w:rsidR="00C25FBE" w:rsidRPr="00941354">
        <w:t xml:space="preserve"> cours d’une patrouille qui sont autorisées par la loi </w:t>
      </w:r>
      <w:r w:rsidR="00C25FBE" w:rsidRPr="007B6CA8">
        <w:t>»</w:t>
      </w:r>
      <w:r w:rsidR="00C25FBE" w:rsidRPr="007B6CA8">
        <w:rPr>
          <w:rStyle w:val="Appelnotedebasdep"/>
        </w:rPr>
        <w:footnoteReference w:id="39"/>
      </w:r>
      <w:r w:rsidR="00C25FBE" w:rsidRPr="007B6CA8">
        <w:t xml:space="preserve">. </w:t>
      </w:r>
      <w:r w:rsidR="00211886" w:rsidRPr="007B6CA8">
        <w:t>En conséquence, les conclusions du jugement de première instance relatives à la règle de common law seront modifiées</w:t>
      </w:r>
      <w:r w:rsidR="00211886" w:rsidRPr="007B6CA8">
        <w:rPr>
          <w:rStyle w:val="Appelnotedebasdep"/>
        </w:rPr>
        <w:footnoteReference w:id="40"/>
      </w:r>
      <w:r w:rsidR="00211886" w:rsidRPr="007B6CA8">
        <w:t>.</w:t>
      </w:r>
      <w:r w:rsidR="00211886" w:rsidRPr="00211886">
        <w:t xml:space="preserve"> </w:t>
      </w:r>
      <w:bookmarkEnd w:id="25"/>
    </w:p>
    <w:p w14:paraId="5E18A85F" w14:textId="7A70658B" w:rsidR="005A1C52" w:rsidRPr="000B3736" w:rsidRDefault="000B3736" w:rsidP="002E559C">
      <w:pPr>
        <w:pStyle w:val="Titre2"/>
        <w:rPr>
          <w:iCs/>
        </w:rPr>
      </w:pPr>
      <w:bookmarkStart w:id="27" w:name="_Toc177390714"/>
      <w:bookmarkStart w:id="28" w:name="_Toc180397456"/>
      <w:r w:rsidRPr="000B3736">
        <w:t>B.</w:t>
      </w:r>
      <w:r w:rsidRPr="000B3736">
        <w:tab/>
      </w:r>
      <w:r w:rsidR="001F707F" w:rsidRPr="001F707F">
        <w:t>L’a</w:t>
      </w:r>
      <w:r w:rsidR="005A1C52" w:rsidRPr="000B3736">
        <w:t xml:space="preserve">rticle </w:t>
      </w:r>
      <w:r w:rsidR="005A1C52" w:rsidRPr="00C87EC1">
        <w:t>636</w:t>
      </w:r>
      <w:r w:rsidR="005A1C52" w:rsidRPr="000B3736">
        <w:t xml:space="preserve"> </w:t>
      </w:r>
      <w:r w:rsidR="005A1C52" w:rsidRPr="000B3736">
        <w:rPr>
          <w:i/>
        </w:rPr>
        <w:t>C.s.r.</w:t>
      </w:r>
      <w:bookmarkEnd w:id="27"/>
      <w:bookmarkEnd w:id="28"/>
    </w:p>
    <w:p w14:paraId="73003A85" w14:textId="39BD6F5E" w:rsidR="005A1C52" w:rsidRPr="00C87EC1" w:rsidRDefault="005A1C52" w:rsidP="00FB1C7A">
      <w:pPr>
        <w:pStyle w:val="Paragraphe"/>
        <w:spacing w:line="280" w:lineRule="exact"/>
      </w:pPr>
      <w:r w:rsidRPr="00C87EC1">
        <w:t xml:space="preserve">L’article 636 </w:t>
      </w:r>
      <w:r w:rsidRPr="00C87EC1">
        <w:rPr>
          <w:i/>
          <w:iCs/>
        </w:rPr>
        <w:t>C.s.r.</w:t>
      </w:r>
      <w:r w:rsidRPr="00C87EC1">
        <w:t xml:space="preserve"> est</w:t>
      </w:r>
      <w:r w:rsidR="00540798" w:rsidRPr="00C87EC1">
        <w:t xml:space="preserve"> donc la seule règle </w:t>
      </w:r>
      <w:r w:rsidR="00206951">
        <w:t xml:space="preserve">de droit </w:t>
      </w:r>
      <w:r w:rsidR="00540798" w:rsidRPr="00C87EC1">
        <w:t>contestée qui doit être examinée par la Cour. Il s’agit de la</w:t>
      </w:r>
      <w:r w:rsidRPr="00C87EC1">
        <w:t xml:space="preserve"> disposition législative qui confère aux policiers québécois le pouvoir de procéder à des interceptions routières sans motif de croire </w:t>
      </w:r>
      <w:r w:rsidR="00DB29FC">
        <w:t xml:space="preserve">ou de soupçonner </w:t>
      </w:r>
      <w:r w:rsidRPr="00C87EC1">
        <w:t xml:space="preserve">qu’une infraction a été commise. Il énonce </w:t>
      </w:r>
      <w:r w:rsidR="000E53D6" w:rsidRPr="00C87EC1">
        <w:t>ceci</w:t>
      </w:r>
      <w:r w:rsidRPr="00C87EC1">
        <w:t> :</w:t>
      </w:r>
    </w:p>
    <w:tbl>
      <w:tblPr>
        <w:tblW w:w="0" w:type="auto"/>
        <w:tblCellMar>
          <w:left w:w="70" w:type="dxa"/>
          <w:right w:w="70" w:type="dxa"/>
        </w:tblCellMar>
        <w:tblLook w:val="0000" w:firstRow="0" w:lastRow="0" w:firstColumn="0" w:lastColumn="0" w:noHBand="0" w:noVBand="0"/>
      </w:tblPr>
      <w:tblGrid>
        <w:gridCol w:w="4682"/>
        <w:gridCol w:w="4680"/>
      </w:tblGrid>
      <w:tr w:rsidR="005A1C52" w:rsidRPr="00C87EC1" w14:paraId="412DAF6A" w14:textId="77777777" w:rsidTr="00FE2F81">
        <w:trPr>
          <w:trHeight w:val="2686"/>
        </w:trPr>
        <w:tc>
          <w:tcPr>
            <w:tcW w:w="4682" w:type="dxa"/>
          </w:tcPr>
          <w:p w14:paraId="6AD203BD" w14:textId="77777777" w:rsidR="005A1C52" w:rsidRPr="00C87EC1" w:rsidRDefault="005A1C52" w:rsidP="005A1C52">
            <w:pPr>
              <w:spacing w:before="120" w:after="120"/>
              <w:ind w:left="720" w:right="142"/>
              <w:jc w:val="both"/>
              <w:rPr>
                <w:rFonts w:cs="Arial"/>
                <w:sz w:val="22"/>
                <w:szCs w:val="22"/>
              </w:rPr>
            </w:pPr>
            <w:r w:rsidRPr="00C87EC1">
              <w:rPr>
                <w:b/>
                <w:bCs/>
                <w:sz w:val="22"/>
              </w:rPr>
              <w:t>636.</w:t>
            </w:r>
            <w:r w:rsidRPr="00C87EC1">
              <w:rPr>
                <w:sz w:val="22"/>
              </w:rPr>
              <w:t xml:space="preserve"> </w:t>
            </w:r>
            <w:r w:rsidRPr="00C87EC1">
              <w:rPr>
                <w:rFonts w:cs="Arial"/>
                <w:sz w:val="22"/>
                <w:szCs w:val="22"/>
              </w:rPr>
              <w:t xml:space="preserve">Un agent de la paix, identifiable à première vue comme tel, peut, dans le cadre des fonctions qu’il exerce en vertu du présent code, des ententes conclues en vertu de l’article 519.65 et de la </w:t>
            </w:r>
            <w:r w:rsidRPr="00243269">
              <w:rPr>
                <w:rFonts w:cs="Arial"/>
                <w:i/>
                <w:iCs/>
                <w:sz w:val="22"/>
                <w:szCs w:val="22"/>
              </w:rPr>
              <w:t>Loi concernant les propriétaires, les exploitants et les conducteurs de véhicules lourds</w:t>
            </w:r>
            <w:r w:rsidRPr="00C87EC1">
              <w:rPr>
                <w:rFonts w:cs="Arial"/>
                <w:sz w:val="22"/>
                <w:szCs w:val="22"/>
              </w:rPr>
              <w:t xml:space="preserve"> (chapitre P-30.3), exiger que le conducteur d’un véhicule routier immobilise son véhicule. Le conducteur doit se conformer sans délai à cette exigence.</w:t>
            </w:r>
          </w:p>
        </w:tc>
        <w:tc>
          <w:tcPr>
            <w:tcW w:w="4680" w:type="dxa"/>
            <w:shd w:val="clear" w:color="auto" w:fill="auto"/>
          </w:tcPr>
          <w:p w14:paraId="15E65A94" w14:textId="77777777" w:rsidR="005A1C52" w:rsidRPr="00C87EC1" w:rsidRDefault="005A1C52" w:rsidP="005A1C52">
            <w:pPr>
              <w:spacing w:before="120" w:after="120"/>
              <w:ind w:left="142" w:right="720"/>
              <w:jc w:val="both"/>
              <w:rPr>
                <w:sz w:val="22"/>
                <w:lang w:val="en-CA"/>
              </w:rPr>
            </w:pPr>
            <w:r w:rsidRPr="00C87EC1">
              <w:rPr>
                <w:b/>
                <w:bCs/>
                <w:sz w:val="22"/>
                <w:lang w:val="en-CA"/>
              </w:rPr>
              <w:t>636.</w:t>
            </w:r>
            <w:r w:rsidRPr="00C87EC1">
              <w:rPr>
                <w:sz w:val="22"/>
                <w:lang w:val="en-CA"/>
              </w:rPr>
              <w:t xml:space="preserve"> </w:t>
            </w:r>
            <w:r w:rsidRPr="00C87EC1">
              <w:rPr>
                <w:rFonts w:cs="Arial"/>
                <w:sz w:val="22"/>
                <w:szCs w:val="22"/>
                <w:lang w:val="en-CA"/>
              </w:rPr>
              <w:t xml:space="preserve">Every peace officer recognizable as such at first sight may, in the performance of his duties under this Code, agreements entered into under section 519.65 and the </w:t>
            </w:r>
            <w:r w:rsidRPr="00243269">
              <w:rPr>
                <w:rFonts w:cs="Arial"/>
                <w:i/>
                <w:iCs/>
                <w:sz w:val="22"/>
                <w:szCs w:val="22"/>
                <w:lang w:val="en-CA"/>
              </w:rPr>
              <w:t>Act respecting owners, operators and drivers of heavy vehicles</w:t>
            </w:r>
            <w:r w:rsidRPr="00C87EC1">
              <w:rPr>
                <w:rFonts w:cs="Arial"/>
                <w:sz w:val="22"/>
                <w:szCs w:val="22"/>
                <w:lang w:val="en-CA"/>
              </w:rPr>
              <w:t xml:space="preserve"> (chapter P-30.3), require the driver of a road vehicle to stop his vehicle. The driver must comply with this requirement without delay.</w:t>
            </w:r>
          </w:p>
        </w:tc>
      </w:tr>
    </w:tbl>
    <w:p w14:paraId="10AF5292" w14:textId="782064B1" w:rsidR="005A1C52" w:rsidRPr="00C87EC1" w:rsidRDefault="00EB1873" w:rsidP="00674FD8">
      <w:pPr>
        <w:pStyle w:val="Paragraphe"/>
        <w:spacing w:before="240" w:line="280" w:lineRule="exact"/>
      </w:pPr>
      <w:r w:rsidRPr="00C87EC1">
        <w:t>Dans l’arrêt</w:t>
      </w:r>
      <w:r w:rsidR="005A1C52" w:rsidRPr="00C87EC1">
        <w:t xml:space="preserve"> </w:t>
      </w:r>
      <w:r w:rsidR="005A1C52" w:rsidRPr="00C87EC1">
        <w:rPr>
          <w:i/>
          <w:iCs/>
        </w:rPr>
        <w:t>R. c. Soucisse</w:t>
      </w:r>
      <w:r w:rsidR="005A1C52" w:rsidRPr="00C87EC1">
        <w:rPr>
          <w:vertAlign w:val="superscript"/>
        </w:rPr>
        <w:footnoteReference w:id="41"/>
      </w:r>
      <w:r w:rsidR="005A1C52" w:rsidRPr="00C87EC1">
        <w:t xml:space="preserve">, </w:t>
      </w:r>
      <w:r w:rsidR="00C11A99" w:rsidRPr="00C87EC1">
        <w:t xml:space="preserve">le </w:t>
      </w:r>
      <w:r w:rsidR="009E0345" w:rsidRPr="00C87EC1">
        <w:t xml:space="preserve">juge </w:t>
      </w:r>
      <w:r w:rsidR="005A1C52" w:rsidRPr="00C87EC1">
        <w:t>Steinberg détermine que l’art.</w:t>
      </w:r>
      <w:r w:rsidR="00523FDE">
        <w:t> </w:t>
      </w:r>
      <w:r w:rsidR="005A1C52" w:rsidRPr="00C87EC1">
        <w:t>636</w:t>
      </w:r>
      <w:r w:rsidR="00523FDE">
        <w:t> </w:t>
      </w:r>
      <w:r w:rsidR="005A1C52" w:rsidRPr="00C87EC1">
        <w:rPr>
          <w:i/>
          <w:iCs/>
        </w:rPr>
        <w:t>C.s.r.</w:t>
      </w:r>
      <w:r w:rsidR="005A1C52" w:rsidRPr="00C87EC1">
        <w:t xml:space="preserve"> est très s</w:t>
      </w:r>
      <w:r w:rsidR="00B51346">
        <w:t>emblable</w:t>
      </w:r>
      <w:r w:rsidR="005A1C52" w:rsidRPr="00C87EC1">
        <w:t xml:space="preserve"> à la disposition analysée par la Cour suprême dans </w:t>
      </w:r>
      <w:r w:rsidR="005A1C52" w:rsidRPr="00C87EC1">
        <w:rPr>
          <w:i/>
          <w:iCs/>
        </w:rPr>
        <w:t>Ladouceur</w:t>
      </w:r>
      <w:r w:rsidR="005A1C52" w:rsidRPr="00C87EC1">
        <w:t xml:space="preserve">. Il en conclut que les enseignements de la Cour suprême dans cet arrêt sont directement transposables à l’art. 636, lequel doit par conséquent être jugé valide sur le plan constitutionnel : </w:t>
      </w:r>
    </w:p>
    <w:p w14:paraId="30FF7572" w14:textId="77777777" w:rsidR="005A1C52" w:rsidRPr="003C7AF4" w:rsidRDefault="005A1C52" w:rsidP="00243269">
      <w:pPr>
        <w:pStyle w:val="Citationenretrait"/>
        <w:rPr>
          <w:lang w:val="en-CA"/>
        </w:rPr>
      </w:pPr>
      <w:r w:rsidRPr="003C7AF4">
        <w:rPr>
          <w:lang w:val="en-CA"/>
        </w:rPr>
        <w:t xml:space="preserve">In both cases the provision is incorporated into a law respecting highway safety, the police officer must be recognizable as such, and must be acting in the performance of his duties. Despite minor variances in the text, the similarity is so striking, that it compels the conclusion that the finding of the Supreme Court in </w:t>
      </w:r>
      <w:r w:rsidRPr="003C7AF4">
        <w:rPr>
          <w:i/>
          <w:iCs/>
          <w:lang w:val="en-CA"/>
        </w:rPr>
        <w:t>Ladouceur</w:t>
      </w:r>
      <w:r w:rsidRPr="003C7AF4">
        <w:rPr>
          <w:lang w:val="en-CA"/>
        </w:rPr>
        <w:t xml:space="preserve"> applies equally to section 636 of the </w:t>
      </w:r>
      <w:r w:rsidRPr="003C7AF4">
        <w:rPr>
          <w:i/>
          <w:iCs/>
          <w:lang w:val="en-CA"/>
        </w:rPr>
        <w:t>Highway Safety Code</w:t>
      </w:r>
      <w:r w:rsidRPr="003C7AF4">
        <w:rPr>
          <w:lang w:val="en-CA"/>
        </w:rPr>
        <w:t xml:space="preserve">, and that section 636 is a justifiable infringement of section 9 of the Charter. Accordingly, section 636 of the </w:t>
      </w:r>
      <w:r w:rsidRPr="00D2326F">
        <w:rPr>
          <w:i/>
          <w:iCs/>
          <w:lang w:val="en-CA"/>
        </w:rPr>
        <w:t>Highway</w:t>
      </w:r>
      <w:r w:rsidRPr="00243269">
        <w:rPr>
          <w:i/>
          <w:iCs/>
          <w:lang w:val="en-CA"/>
        </w:rPr>
        <w:t xml:space="preserve"> </w:t>
      </w:r>
      <w:r w:rsidRPr="003C7AF4">
        <w:rPr>
          <w:i/>
          <w:iCs/>
          <w:lang w:val="en-CA"/>
        </w:rPr>
        <w:t>Safety Code</w:t>
      </w:r>
      <w:r w:rsidRPr="003C7AF4">
        <w:rPr>
          <w:lang w:val="en-CA"/>
        </w:rPr>
        <w:t xml:space="preserve"> is valid.</w:t>
      </w:r>
      <w:r w:rsidRPr="003C7AF4">
        <w:rPr>
          <w:szCs w:val="18"/>
          <w:vertAlign w:val="superscript"/>
        </w:rPr>
        <w:footnoteReference w:id="42"/>
      </w:r>
    </w:p>
    <w:p w14:paraId="35CC2486" w14:textId="2272DAF6" w:rsidR="00353DE6" w:rsidRPr="00C87EC1" w:rsidRDefault="00353DE6" w:rsidP="00FB1C7A">
      <w:pPr>
        <w:pStyle w:val="Paragraphe"/>
        <w:spacing w:line="280" w:lineRule="exact"/>
      </w:pPr>
      <w:r w:rsidRPr="00C87EC1">
        <w:t xml:space="preserve">Le juge Steinberg rejette par ailleurs la prétention voulant que la vérification de la sobriété </w:t>
      </w:r>
      <w:r w:rsidR="00A5477B">
        <w:t>des</w:t>
      </w:r>
      <w:r w:rsidR="00A5477B" w:rsidRPr="00C87EC1">
        <w:t xml:space="preserve"> </w:t>
      </w:r>
      <w:r w:rsidRPr="00C87EC1">
        <w:t>conducteur</w:t>
      </w:r>
      <w:r w:rsidR="00A5477B">
        <w:t>s</w:t>
      </w:r>
      <w:r w:rsidRPr="00C87EC1">
        <w:t xml:space="preserve"> ne soit pas permise en vertu de l’art. 636. Selon lui, </w:t>
      </w:r>
      <w:r w:rsidRPr="00C87EC1">
        <w:rPr>
          <w:rFonts w:cs="Arial"/>
          <w:color w:val="000000"/>
        </w:rPr>
        <w:t>la vérification de la sobriété d</w:t>
      </w:r>
      <w:r w:rsidR="00A5477B">
        <w:rPr>
          <w:rFonts w:cs="Arial"/>
          <w:color w:val="000000"/>
        </w:rPr>
        <w:t>es</w:t>
      </w:r>
      <w:r w:rsidRPr="00C87EC1">
        <w:rPr>
          <w:rFonts w:cs="Arial"/>
          <w:color w:val="000000"/>
        </w:rPr>
        <w:t xml:space="preserve"> conducteur</w:t>
      </w:r>
      <w:r w:rsidR="00A5477B">
        <w:rPr>
          <w:rFonts w:cs="Arial"/>
          <w:color w:val="000000"/>
        </w:rPr>
        <w:t>s</w:t>
      </w:r>
      <w:r w:rsidRPr="00C87EC1">
        <w:rPr>
          <w:rFonts w:cs="Arial"/>
          <w:color w:val="000000"/>
        </w:rPr>
        <w:t xml:space="preserve"> est directement liée aux objectifs visés par le</w:t>
      </w:r>
      <w:r w:rsidR="007B3975">
        <w:rPr>
          <w:rFonts w:cs="Arial"/>
          <w:color w:val="000000"/>
        </w:rPr>
        <w:t> </w:t>
      </w:r>
      <w:r w:rsidRPr="00C87EC1">
        <w:rPr>
          <w:rFonts w:cs="Arial"/>
          <w:i/>
          <w:iCs/>
          <w:color w:val="000000"/>
        </w:rPr>
        <w:t>C.s.r</w:t>
      </w:r>
      <w:r w:rsidRPr="00C87EC1">
        <w:rPr>
          <w:rFonts w:cs="Arial"/>
          <w:color w:val="000000"/>
        </w:rPr>
        <w:t>.</w:t>
      </w:r>
      <w:r w:rsidRPr="00C87EC1">
        <w:rPr>
          <w:rFonts w:cs="Arial"/>
          <w:color w:val="000000"/>
          <w:vertAlign w:val="superscript"/>
        </w:rPr>
        <w:footnoteReference w:id="43"/>
      </w:r>
      <w:r w:rsidR="001D27C5">
        <w:rPr>
          <w:rFonts w:cs="Arial"/>
          <w:color w:val="000000"/>
        </w:rPr>
        <w:t>.</w:t>
      </w:r>
    </w:p>
    <w:p w14:paraId="55051239" w14:textId="14E37AC5" w:rsidR="005A1C52" w:rsidRPr="005A1C52" w:rsidRDefault="005A1C52" w:rsidP="00FB1C7A">
      <w:pPr>
        <w:pStyle w:val="Paragraphe"/>
        <w:spacing w:line="280" w:lineRule="exact"/>
      </w:pPr>
      <w:r w:rsidRPr="00C87EC1">
        <w:t>Il vaut de noter qu’à l’origine</w:t>
      </w:r>
      <w:r w:rsidR="00523FDE">
        <w:t>,</w:t>
      </w:r>
      <w:r w:rsidRPr="00C87EC1">
        <w:t xml:space="preserve"> l’art. 636 </w:t>
      </w:r>
      <w:r w:rsidRPr="00C87EC1">
        <w:rPr>
          <w:i/>
          <w:iCs/>
        </w:rPr>
        <w:t>C.s.r.</w:t>
      </w:r>
      <w:r w:rsidRPr="00C87EC1">
        <w:t xml:space="preserve"> assujettissait le pouvoir d’interception (ou de remisage) d’un véhicule par un agent de la paix à l’exigence que celui-ci ait « un motif raisonnable de croire qu’une infraction [au </w:t>
      </w:r>
      <w:r w:rsidRPr="00C87EC1">
        <w:rPr>
          <w:i/>
          <w:iCs/>
        </w:rPr>
        <w:t>C.s.r</w:t>
      </w:r>
      <w:r w:rsidRPr="00C87EC1">
        <w:t>.] a été commise et que les circonstances l’exigent »</w:t>
      </w:r>
      <w:r w:rsidRPr="00C87EC1">
        <w:rPr>
          <w:vertAlign w:val="superscript"/>
        </w:rPr>
        <w:footnoteReference w:id="44"/>
      </w:r>
      <w:r w:rsidRPr="00C87EC1">
        <w:t>. Le législateur québécois a retiré cette exigence du libellé de l’art.</w:t>
      </w:r>
      <w:r w:rsidR="008C24D5">
        <w:t> </w:t>
      </w:r>
      <w:r w:rsidRPr="00C87EC1">
        <w:t>636 en 1990</w:t>
      </w:r>
      <w:r w:rsidRPr="00C87EC1">
        <w:rPr>
          <w:vertAlign w:val="superscript"/>
        </w:rPr>
        <w:footnoteReference w:id="45"/>
      </w:r>
      <w:r w:rsidRPr="00C87EC1">
        <w:t xml:space="preserve">, quelques mois après le prononcé de l’arrêt </w:t>
      </w:r>
      <w:r w:rsidRPr="00C87EC1">
        <w:rPr>
          <w:i/>
          <w:iCs/>
        </w:rPr>
        <w:t>Ladouceur</w:t>
      </w:r>
      <w:r w:rsidRPr="00C87EC1">
        <w:t xml:space="preserve">, </w:t>
      </w:r>
      <w:r w:rsidR="00EB1873" w:rsidRPr="00C87EC1">
        <w:t xml:space="preserve">et ce, </w:t>
      </w:r>
      <w:r w:rsidRPr="00C87EC1">
        <w:t xml:space="preserve">afin de </w:t>
      </w:r>
      <w:r w:rsidR="002F4238">
        <w:t>refléter les</w:t>
      </w:r>
      <w:r w:rsidRPr="00C87EC1">
        <w:t xml:space="preserve"> enseignements de </w:t>
      </w:r>
      <w:r w:rsidR="00CB48BA" w:rsidRPr="00C87EC1">
        <w:t>ce</w:t>
      </w:r>
      <w:r w:rsidR="000E5406">
        <w:t>t arrêt</w:t>
      </w:r>
      <w:r w:rsidR="00353DE6" w:rsidRPr="00C87EC1">
        <w:t>.</w:t>
      </w:r>
      <w:r w:rsidRPr="00C87EC1">
        <w:t xml:space="preserve"> </w:t>
      </w:r>
      <w:r w:rsidRPr="00C87EC1">
        <w:rPr>
          <w:rFonts w:cs="Arial"/>
          <w:color w:val="000000"/>
        </w:rPr>
        <w:t>Le libellé de l’art.</w:t>
      </w:r>
      <w:r w:rsidR="008C24D5">
        <w:rPr>
          <w:rFonts w:cs="Arial"/>
          <w:color w:val="000000"/>
        </w:rPr>
        <w:t xml:space="preserve"> </w:t>
      </w:r>
      <w:r w:rsidRPr="00C87EC1">
        <w:rPr>
          <w:rFonts w:cs="Arial"/>
          <w:color w:val="000000"/>
        </w:rPr>
        <w:t xml:space="preserve">636 a </w:t>
      </w:r>
      <w:r w:rsidR="00C11A99" w:rsidRPr="00C87EC1">
        <w:rPr>
          <w:rFonts w:cs="Arial"/>
          <w:color w:val="000000"/>
        </w:rPr>
        <w:t xml:space="preserve">par la suite </w:t>
      </w:r>
      <w:r w:rsidR="000E5406">
        <w:rPr>
          <w:rFonts w:cs="Arial"/>
          <w:color w:val="000000"/>
        </w:rPr>
        <w:t xml:space="preserve">été </w:t>
      </w:r>
      <w:r w:rsidRPr="00C87EC1">
        <w:rPr>
          <w:rFonts w:cs="Arial"/>
          <w:color w:val="000000"/>
        </w:rPr>
        <w:t>modifié à quelques reprises pour préciser les fonctions dans le cadre</w:t>
      </w:r>
      <w:r w:rsidRPr="005A1C52">
        <w:rPr>
          <w:rFonts w:cs="Arial"/>
          <w:color w:val="000000"/>
        </w:rPr>
        <w:t xml:space="preserve"> desquelles un agent de la paix peut exercer le pouvoir discrétionnaire que cette disposition lui confère. Ces dernières modifications de l’art.</w:t>
      </w:r>
      <w:r w:rsidRPr="005A1C52">
        <w:t> </w:t>
      </w:r>
      <w:r w:rsidRPr="005A1C52">
        <w:rPr>
          <w:rFonts w:cs="Arial"/>
          <w:color w:val="000000"/>
        </w:rPr>
        <w:t>636 sont sans pertinence quant à l’issue du pourvoi</w:t>
      </w:r>
      <w:r w:rsidRPr="005A1C52">
        <w:rPr>
          <w:rFonts w:cs="Arial"/>
          <w:color w:val="000000"/>
          <w:vertAlign w:val="superscript"/>
        </w:rPr>
        <w:footnoteReference w:id="46"/>
      </w:r>
      <w:r w:rsidRPr="005A1C52">
        <w:rPr>
          <w:rFonts w:cs="Arial"/>
          <w:color w:val="000000"/>
        </w:rPr>
        <w:t>.</w:t>
      </w:r>
    </w:p>
    <w:p w14:paraId="3E990360" w14:textId="67C75574" w:rsidR="005A1C52" w:rsidRPr="00C726A1" w:rsidRDefault="000B3736" w:rsidP="000B3736">
      <w:pPr>
        <w:pStyle w:val="Titre1"/>
      </w:pPr>
      <w:bookmarkStart w:id="30" w:name="_Toc177390715"/>
      <w:bookmarkStart w:id="31" w:name="_Toc180397457"/>
      <w:r w:rsidRPr="000B3736">
        <w:t>III.</w:t>
      </w:r>
      <w:r w:rsidRPr="000B3736">
        <w:tab/>
      </w:r>
      <w:r w:rsidR="005A1C52" w:rsidRPr="00C726A1">
        <w:t>Jugement de</w:t>
      </w:r>
      <w:r w:rsidR="00C65530">
        <w:t xml:space="preserve"> PREMIÈRE INSTANCE</w:t>
      </w:r>
      <w:bookmarkEnd w:id="30"/>
      <w:bookmarkEnd w:id="31"/>
    </w:p>
    <w:p w14:paraId="5AF03266" w14:textId="77777777" w:rsidR="005A1C52" w:rsidRPr="005A1C52" w:rsidRDefault="005A1C52" w:rsidP="00FB1C7A">
      <w:pPr>
        <w:pStyle w:val="Paragraphe"/>
        <w:spacing w:line="280" w:lineRule="exact"/>
      </w:pPr>
      <w:r w:rsidRPr="005A1C52">
        <w:t>Dans un imposant jugement de 169 pages, le juge analyse soigneusement la preuve et les questions de droit qui lui sont soumises. Il est utile d’en faire un bref résumé.</w:t>
      </w:r>
    </w:p>
    <w:p w14:paraId="2D0F5624" w14:textId="2DF48A00" w:rsidR="005A1C52" w:rsidRPr="00C726A1" w:rsidRDefault="000B3736" w:rsidP="002E559C">
      <w:pPr>
        <w:pStyle w:val="Titre2"/>
      </w:pPr>
      <w:bookmarkStart w:id="32" w:name="_Toc177390716"/>
      <w:bookmarkStart w:id="33" w:name="_Toc180397458"/>
      <w:r w:rsidRPr="000B3736">
        <w:t>A.</w:t>
      </w:r>
      <w:r w:rsidRPr="000B3736">
        <w:tab/>
      </w:r>
      <w:r w:rsidR="00434C7C">
        <w:t>L’a</w:t>
      </w:r>
      <w:r w:rsidR="005A1C52" w:rsidRPr="00434C7C">
        <w:t xml:space="preserve">rrêt </w:t>
      </w:r>
      <w:r w:rsidR="005A1C52" w:rsidRPr="00523FDE">
        <w:rPr>
          <w:i/>
          <w:iCs/>
        </w:rPr>
        <w:t>Ladouceur</w:t>
      </w:r>
      <w:r w:rsidR="005A1C52" w:rsidRPr="00C726A1">
        <w:t xml:space="preserve"> et </w:t>
      </w:r>
      <w:r w:rsidR="00434C7C">
        <w:t xml:space="preserve">la règle du </w:t>
      </w:r>
      <w:r w:rsidR="005A1C52" w:rsidRPr="00C726A1">
        <w:rPr>
          <w:i/>
          <w:iCs/>
        </w:rPr>
        <w:t>stare decisis</w:t>
      </w:r>
      <w:bookmarkEnd w:id="32"/>
      <w:bookmarkEnd w:id="33"/>
    </w:p>
    <w:p w14:paraId="40686517" w14:textId="3D4F3722" w:rsidR="005A1C52" w:rsidRPr="005A1C52" w:rsidRDefault="005A1C52" w:rsidP="00FB1C7A">
      <w:pPr>
        <w:pStyle w:val="Paragraphe"/>
        <w:spacing w:line="280" w:lineRule="exact"/>
      </w:pPr>
      <w:r w:rsidRPr="005A1C52">
        <w:t xml:space="preserve">Le juge détermine qu’il peut réexaminer les conclusions </w:t>
      </w:r>
      <w:r w:rsidR="000E5406">
        <w:t>auxquelles est arrivée</w:t>
      </w:r>
      <w:r w:rsidRPr="005A1C52">
        <w:t xml:space="preserve"> la Cour suprême dans l’arrêt </w:t>
      </w:r>
      <w:r w:rsidRPr="005A1C52">
        <w:rPr>
          <w:i/>
          <w:iCs/>
        </w:rPr>
        <w:t>Ladouceur</w:t>
      </w:r>
      <w:r w:rsidRPr="005A1C52">
        <w:t xml:space="preserve">, les deux exceptions </w:t>
      </w:r>
      <w:r w:rsidR="00B54DA8">
        <w:t>à la règle</w:t>
      </w:r>
      <w:r w:rsidR="00B54DA8" w:rsidRPr="005A1C52">
        <w:t xml:space="preserve"> </w:t>
      </w:r>
      <w:r w:rsidRPr="005A1C52">
        <w:t xml:space="preserve">du </w:t>
      </w:r>
      <w:r w:rsidRPr="005A1C52">
        <w:rPr>
          <w:i/>
          <w:iCs/>
        </w:rPr>
        <w:t>stare decisis</w:t>
      </w:r>
      <w:r w:rsidRPr="005A1C52">
        <w:t xml:space="preserve"> </w:t>
      </w:r>
      <w:r w:rsidR="00B61D26" w:rsidRPr="002D1820">
        <w:t>vertical</w:t>
      </w:r>
      <w:r w:rsidR="00B61D26">
        <w:t xml:space="preserve"> </w:t>
      </w:r>
      <w:r w:rsidRPr="005A1C52">
        <w:t xml:space="preserve">énoncées dans l’arrêt </w:t>
      </w:r>
      <w:r w:rsidRPr="005A1C52">
        <w:rPr>
          <w:i/>
          <w:iCs/>
        </w:rPr>
        <w:t>Canada (Procureur général) c. Bedford</w:t>
      </w:r>
      <w:r w:rsidRPr="005A1C52">
        <w:rPr>
          <w:vertAlign w:val="superscript"/>
        </w:rPr>
        <w:footnoteReference w:id="47"/>
      </w:r>
      <w:r w:rsidRPr="005A1C52">
        <w:t xml:space="preserve"> – nouvelle question de droit ou modification importante de la situation ou de la preuve – étant </w:t>
      </w:r>
      <w:r w:rsidR="000E5406">
        <w:t>présen</w:t>
      </w:r>
      <w:r w:rsidRPr="005A1C52">
        <w:t>tes.</w:t>
      </w:r>
      <w:r w:rsidR="00EB12AA">
        <w:t xml:space="preserve"> Il est d’avis que </w:t>
      </w:r>
      <w:r w:rsidR="00EB1873">
        <w:t xml:space="preserve">les </w:t>
      </w:r>
      <w:r w:rsidR="00EB12AA">
        <w:t>questions juridiques fondées sur l’art. 7 et le par.</w:t>
      </w:r>
      <w:r w:rsidR="00EB12AA" w:rsidRPr="005A1C52">
        <w:t> 15(1)</w:t>
      </w:r>
      <w:r w:rsidR="007E466D">
        <w:t xml:space="preserve"> </w:t>
      </w:r>
      <w:r w:rsidR="00EB12AA" w:rsidRPr="005A1C52">
        <w:t xml:space="preserve">de la </w:t>
      </w:r>
      <w:r w:rsidR="00EB12AA" w:rsidRPr="005A1C52">
        <w:rPr>
          <w:i/>
          <w:iCs/>
        </w:rPr>
        <w:t>Charte</w:t>
      </w:r>
      <w:r w:rsidR="00EB12AA" w:rsidRPr="005A1C52">
        <w:t xml:space="preserve"> </w:t>
      </w:r>
      <w:r w:rsidR="00EB1873">
        <w:t xml:space="preserve">sont </w:t>
      </w:r>
      <w:r w:rsidR="00EB12AA" w:rsidRPr="005A1C52">
        <w:t xml:space="preserve">nouvelles au sens de l’arrêt </w:t>
      </w:r>
      <w:r w:rsidR="00EB12AA" w:rsidRPr="005A1C52">
        <w:rPr>
          <w:i/>
          <w:iCs/>
        </w:rPr>
        <w:t>Bedford</w:t>
      </w:r>
      <w:r w:rsidR="00EB12AA">
        <w:t>. En outre,</w:t>
      </w:r>
      <w:r w:rsidR="00ED71E0">
        <w:t xml:space="preserve"> en ce qui concerne l</w:t>
      </w:r>
      <w:r w:rsidR="003B224D">
        <w:t xml:space="preserve">a justification de l’atteinte à </w:t>
      </w:r>
      <w:r w:rsidR="00ED71E0">
        <w:t xml:space="preserve">l’art. 9 de la </w:t>
      </w:r>
      <w:r w:rsidR="00ED71E0" w:rsidRPr="00ED71E0">
        <w:rPr>
          <w:i/>
          <w:iCs/>
        </w:rPr>
        <w:t>Charte</w:t>
      </w:r>
      <w:r w:rsidR="00ED71E0" w:rsidRPr="00ED71E0">
        <w:t>,</w:t>
      </w:r>
      <w:r w:rsidR="00EB12AA" w:rsidRPr="00ED71E0">
        <w:t xml:space="preserve"> </w:t>
      </w:r>
      <w:r w:rsidR="00EB12AA" w:rsidRPr="005A1C52">
        <w:t xml:space="preserve">l’évolution des faits sociaux depuis l’arrêt </w:t>
      </w:r>
      <w:r w:rsidR="00EB12AA" w:rsidRPr="005A1C52">
        <w:rPr>
          <w:i/>
          <w:iCs/>
        </w:rPr>
        <w:t>Ladouceur</w:t>
      </w:r>
      <w:r w:rsidR="00EB12AA" w:rsidRPr="005A1C52">
        <w:t xml:space="preserve"> change radicalement la donne et justifie aussi de revoir ce précédent</w:t>
      </w:r>
      <w:r w:rsidR="00C11A99">
        <w:t>.</w:t>
      </w:r>
    </w:p>
    <w:p w14:paraId="429410C3" w14:textId="1535DD99" w:rsidR="005A1C52" w:rsidRPr="00EB70A2" w:rsidRDefault="000B3736" w:rsidP="002E559C">
      <w:pPr>
        <w:pStyle w:val="Titre2"/>
      </w:pPr>
      <w:bookmarkStart w:id="34" w:name="_Toc177390717"/>
      <w:bookmarkStart w:id="35" w:name="_Toc180397459"/>
      <w:r w:rsidRPr="000B3736">
        <w:t>B.</w:t>
      </w:r>
      <w:r w:rsidRPr="000B3736">
        <w:tab/>
      </w:r>
      <w:r w:rsidR="00434C7C">
        <w:t>L’a</w:t>
      </w:r>
      <w:r w:rsidR="005A1C52" w:rsidRPr="00C726A1">
        <w:t xml:space="preserve">rticle 9 de la </w:t>
      </w:r>
      <w:r w:rsidR="005A1C52" w:rsidRPr="00C726A1">
        <w:rPr>
          <w:i/>
          <w:iCs/>
        </w:rPr>
        <w:t>Charte</w:t>
      </w:r>
      <w:bookmarkEnd w:id="34"/>
      <w:bookmarkEnd w:id="35"/>
    </w:p>
    <w:p w14:paraId="66911738" w14:textId="6D821A44" w:rsidR="005A1C52" w:rsidRPr="00FC21C6" w:rsidRDefault="005A1C52" w:rsidP="00FB1C7A">
      <w:pPr>
        <w:pStyle w:val="Paragraphe"/>
        <w:spacing w:line="280" w:lineRule="exact"/>
      </w:pPr>
      <w:r w:rsidRPr="005A1C52">
        <w:rPr>
          <w:shd w:val="clear" w:color="auto" w:fill="FFFFFF"/>
        </w:rPr>
        <w:t xml:space="preserve">À l’instar de la Cour suprême dans </w:t>
      </w:r>
      <w:r w:rsidRPr="005A1C52">
        <w:rPr>
          <w:i/>
          <w:iCs/>
          <w:shd w:val="clear" w:color="auto" w:fill="FFFFFF"/>
        </w:rPr>
        <w:t>Ladouceur</w:t>
      </w:r>
      <w:r w:rsidRPr="005A1C52">
        <w:rPr>
          <w:shd w:val="clear" w:color="auto" w:fill="FFFFFF"/>
        </w:rPr>
        <w:t xml:space="preserve">, le juge conclut que l’interception routière sans motif requis viole </w:t>
      </w:r>
      <w:r w:rsidRPr="005A1C52">
        <w:rPr>
          <w:color w:val="000000"/>
        </w:rPr>
        <w:t xml:space="preserve">le droit à la protection contre la détention arbitraire </w:t>
      </w:r>
      <w:r w:rsidRPr="004303BE">
        <w:rPr>
          <w:color w:val="000000"/>
        </w:rPr>
        <w:t>garanti par</w:t>
      </w:r>
      <w:r w:rsidRPr="004303BE">
        <w:rPr>
          <w:shd w:val="clear" w:color="auto" w:fill="FFFFFF"/>
        </w:rPr>
        <w:t xml:space="preserve"> l’art. 9 de</w:t>
      </w:r>
      <w:r w:rsidR="007E466D">
        <w:rPr>
          <w:shd w:val="clear" w:color="auto" w:fill="FFFFFF"/>
        </w:rPr>
        <w:t xml:space="preserve"> </w:t>
      </w:r>
      <w:r w:rsidRPr="004303BE">
        <w:rPr>
          <w:shd w:val="clear" w:color="auto" w:fill="FFFFFF"/>
        </w:rPr>
        <w:t>la</w:t>
      </w:r>
      <w:r w:rsidR="007E466D">
        <w:rPr>
          <w:shd w:val="clear" w:color="auto" w:fill="FFFFFF"/>
        </w:rPr>
        <w:t xml:space="preserve"> </w:t>
      </w:r>
      <w:r w:rsidRPr="004303BE">
        <w:rPr>
          <w:i/>
          <w:iCs/>
          <w:shd w:val="clear" w:color="auto" w:fill="FFFFFF"/>
        </w:rPr>
        <w:t>Charte</w:t>
      </w:r>
      <w:r w:rsidRPr="004303BE">
        <w:rPr>
          <w:shd w:val="clear" w:color="auto" w:fill="FFFFFF"/>
        </w:rPr>
        <w:t xml:space="preserve">. Pour </w:t>
      </w:r>
      <w:r w:rsidR="00EB12AA" w:rsidRPr="004303BE">
        <w:rPr>
          <w:shd w:val="clear" w:color="auto" w:fill="FFFFFF"/>
        </w:rPr>
        <w:t>lui</w:t>
      </w:r>
      <w:r w:rsidRPr="004303BE">
        <w:rPr>
          <w:shd w:val="clear" w:color="auto" w:fill="FFFFFF"/>
        </w:rPr>
        <w:t xml:space="preserve">, il ne fait donc aucun doute que </w:t>
      </w:r>
      <w:r w:rsidRPr="004303BE">
        <w:rPr>
          <w:color w:val="000000"/>
        </w:rPr>
        <w:t>l’art.</w:t>
      </w:r>
      <w:r w:rsidR="007E466D">
        <w:rPr>
          <w:color w:val="000000"/>
        </w:rPr>
        <w:t xml:space="preserve"> </w:t>
      </w:r>
      <w:r w:rsidRPr="004303BE">
        <w:rPr>
          <w:color w:val="000000"/>
        </w:rPr>
        <w:t xml:space="preserve">9 de la </w:t>
      </w:r>
      <w:r w:rsidRPr="004303BE">
        <w:rPr>
          <w:i/>
          <w:iCs/>
          <w:color w:val="000000"/>
        </w:rPr>
        <w:t>Charte</w:t>
      </w:r>
      <w:r w:rsidRPr="004303BE">
        <w:rPr>
          <w:color w:val="000000"/>
        </w:rPr>
        <w:t xml:space="preserve"> « a été enfreint à répétition » en l’espèce</w:t>
      </w:r>
      <w:r w:rsidRPr="004303BE">
        <w:rPr>
          <w:rFonts w:cs="Arial"/>
          <w:color w:val="000000"/>
          <w:vertAlign w:val="superscript"/>
        </w:rPr>
        <w:footnoteReference w:id="48"/>
      </w:r>
      <w:r w:rsidRPr="004303BE">
        <w:rPr>
          <w:color w:val="000000"/>
        </w:rPr>
        <w:t>.</w:t>
      </w:r>
      <w:r w:rsidR="00EB12AA" w:rsidRPr="004303BE">
        <w:t xml:space="preserve"> </w:t>
      </w:r>
      <w:r w:rsidR="00EB12AA" w:rsidRPr="004303BE">
        <w:rPr>
          <w:shd w:val="clear" w:color="auto" w:fill="FFFFFF"/>
        </w:rPr>
        <w:t>Par ailleurs, il détermine que</w:t>
      </w:r>
      <w:r w:rsidRPr="004303BE">
        <w:rPr>
          <w:shd w:val="clear" w:color="auto" w:fill="FFFFFF"/>
        </w:rPr>
        <w:t xml:space="preserve"> cette atteinte n’est pas le résultat d’une application dérogatoire</w:t>
      </w:r>
      <w:r w:rsidR="00D52724" w:rsidRPr="004303BE">
        <w:rPr>
          <w:shd w:val="clear" w:color="auto" w:fill="FFFFFF"/>
        </w:rPr>
        <w:t xml:space="preserve"> par les policiers</w:t>
      </w:r>
      <w:r w:rsidRPr="004303BE">
        <w:rPr>
          <w:shd w:val="clear" w:color="auto" w:fill="FFFFFF"/>
        </w:rPr>
        <w:t xml:space="preserve"> d</w:t>
      </w:r>
      <w:r w:rsidR="00CB48BA" w:rsidRPr="004303BE">
        <w:rPr>
          <w:shd w:val="clear" w:color="auto" w:fill="FFFFFF"/>
        </w:rPr>
        <w:t xml:space="preserve">e </w:t>
      </w:r>
      <w:r w:rsidR="00CB48BA" w:rsidRPr="00FC21C6">
        <w:rPr>
          <w:shd w:val="clear" w:color="auto" w:fill="FFFFFF"/>
        </w:rPr>
        <w:t>la</w:t>
      </w:r>
      <w:r w:rsidRPr="00FC21C6">
        <w:rPr>
          <w:shd w:val="clear" w:color="auto" w:fill="FFFFFF"/>
        </w:rPr>
        <w:t xml:space="preserve"> règle de droit contestée, mais </w:t>
      </w:r>
      <w:r w:rsidR="000E5406" w:rsidRPr="00FC21C6">
        <w:rPr>
          <w:shd w:val="clear" w:color="auto" w:fill="FFFFFF"/>
        </w:rPr>
        <w:t xml:space="preserve">qu’elle </w:t>
      </w:r>
      <w:r w:rsidRPr="00FC21C6">
        <w:rPr>
          <w:shd w:val="clear" w:color="auto" w:fill="FFFFFF"/>
        </w:rPr>
        <w:t>découle plutôt de</w:t>
      </w:r>
      <w:r w:rsidR="00CB48BA" w:rsidRPr="00FC21C6">
        <w:rPr>
          <w:shd w:val="clear" w:color="auto" w:fill="FFFFFF"/>
        </w:rPr>
        <w:t xml:space="preserve"> la</w:t>
      </w:r>
      <w:r w:rsidRPr="00FC21C6">
        <w:rPr>
          <w:shd w:val="clear" w:color="auto" w:fill="FFFFFF"/>
        </w:rPr>
        <w:t xml:space="preserve"> règle elle</w:t>
      </w:r>
      <w:r w:rsidRPr="00FC21C6">
        <w:rPr>
          <w:shd w:val="clear" w:color="auto" w:fill="FFFFFF"/>
        </w:rPr>
        <w:noBreakHyphen/>
        <w:t xml:space="preserve">même. </w:t>
      </w:r>
      <w:r w:rsidR="00EB12AA" w:rsidRPr="00FC21C6">
        <w:t>Pour le juge,</w:t>
      </w:r>
      <w:r w:rsidRPr="00FC21C6">
        <w:rPr>
          <w:shd w:val="clear" w:color="auto" w:fill="FFFFFF"/>
        </w:rPr>
        <w:t xml:space="preserve"> l’atteinte au droit garanti par l’art. 9 ne peut être justifiée </w:t>
      </w:r>
      <w:r w:rsidR="000E5406" w:rsidRPr="00FC21C6">
        <w:rPr>
          <w:shd w:val="clear" w:color="auto" w:fill="FFFFFF"/>
        </w:rPr>
        <w:t>par</w:t>
      </w:r>
      <w:r w:rsidRPr="00FC21C6">
        <w:rPr>
          <w:shd w:val="clear" w:color="auto" w:fill="FFFFFF"/>
        </w:rPr>
        <w:t xml:space="preserve"> l’article premier de la </w:t>
      </w:r>
      <w:r w:rsidRPr="00FC21C6">
        <w:rPr>
          <w:i/>
          <w:iCs/>
          <w:shd w:val="clear" w:color="auto" w:fill="FFFFFF"/>
        </w:rPr>
        <w:t>Charte</w:t>
      </w:r>
      <w:r w:rsidRPr="00FC21C6">
        <w:rPr>
          <w:shd w:val="clear" w:color="auto" w:fill="FFFFFF"/>
        </w:rPr>
        <w:t xml:space="preserve">. </w:t>
      </w:r>
    </w:p>
    <w:p w14:paraId="6734B85A" w14:textId="6654EE42" w:rsidR="005A1C52" w:rsidRPr="00FC21C6" w:rsidRDefault="005A1C52" w:rsidP="00FB1C7A">
      <w:pPr>
        <w:pStyle w:val="Paragraphe"/>
        <w:spacing w:line="280" w:lineRule="exact"/>
      </w:pPr>
      <w:r w:rsidRPr="00FC21C6">
        <w:t>Bien que cette conclusion suffise pour décider du litige, le juge estime utile de poursuivre son analyse</w:t>
      </w:r>
      <w:r w:rsidR="000E5406" w:rsidRPr="00FC21C6">
        <w:t xml:space="preserve"> au regard</w:t>
      </w:r>
      <w:r w:rsidRPr="00FC21C6">
        <w:t xml:space="preserve"> de l’art. 7 et du par. 15(1) de la </w:t>
      </w:r>
      <w:r w:rsidRPr="00FC21C6">
        <w:rPr>
          <w:i/>
          <w:iCs/>
        </w:rPr>
        <w:t>Charte</w:t>
      </w:r>
      <w:r w:rsidR="00EB1873" w:rsidRPr="00FC21C6">
        <w:rPr>
          <w:rStyle w:val="Appelnotedebasdep"/>
        </w:rPr>
        <w:footnoteReference w:id="49"/>
      </w:r>
      <w:r w:rsidRPr="00FC21C6">
        <w:t>.</w:t>
      </w:r>
    </w:p>
    <w:p w14:paraId="6C913BF2" w14:textId="301DD037" w:rsidR="005A1C52" w:rsidRPr="00FC21C6" w:rsidRDefault="000B3736" w:rsidP="002E559C">
      <w:pPr>
        <w:pStyle w:val="Titre2"/>
      </w:pPr>
      <w:bookmarkStart w:id="36" w:name="_Toc177390718"/>
      <w:bookmarkStart w:id="37" w:name="_Toc180397460"/>
      <w:r w:rsidRPr="00FC21C6">
        <w:t>C.</w:t>
      </w:r>
      <w:r w:rsidRPr="00FC21C6">
        <w:tab/>
      </w:r>
      <w:r w:rsidR="00434C7C" w:rsidRPr="00FC21C6">
        <w:t>L’a</w:t>
      </w:r>
      <w:r w:rsidR="005A1C52" w:rsidRPr="00FC21C6">
        <w:t xml:space="preserve">rticle 7 de la </w:t>
      </w:r>
      <w:r w:rsidR="005A1C52" w:rsidRPr="00FC21C6">
        <w:rPr>
          <w:i/>
          <w:iCs/>
        </w:rPr>
        <w:t>Charte</w:t>
      </w:r>
      <w:bookmarkEnd w:id="36"/>
      <w:bookmarkEnd w:id="37"/>
    </w:p>
    <w:p w14:paraId="1AB5984B" w14:textId="681A1244" w:rsidR="005A1C52" w:rsidRPr="004303BE" w:rsidRDefault="005A1C52" w:rsidP="00D80997">
      <w:pPr>
        <w:pStyle w:val="Paragraphe"/>
        <w:spacing w:line="280" w:lineRule="exact"/>
      </w:pPr>
      <w:r w:rsidRPr="00FC21C6">
        <w:t xml:space="preserve">Le juge </w:t>
      </w:r>
      <w:r w:rsidR="00EB12AA" w:rsidRPr="00FC21C6">
        <w:t>est d’avis</w:t>
      </w:r>
      <w:r w:rsidRPr="00FC21C6">
        <w:t xml:space="preserve"> que l</w:t>
      </w:r>
      <w:r w:rsidR="00CB48BA" w:rsidRPr="00FC21C6">
        <w:t>a</w:t>
      </w:r>
      <w:r w:rsidRPr="00FC21C6">
        <w:t xml:space="preserve"> règle de droit contestée enfrei</w:t>
      </w:r>
      <w:r w:rsidR="00CB48BA" w:rsidRPr="00FC21C6">
        <w:t>n</w:t>
      </w:r>
      <w:r w:rsidRPr="00FC21C6">
        <w:t xml:space="preserve">t les droits à la liberté et à la sécurité de la personne garantis par l’art. 7 de la </w:t>
      </w:r>
      <w:r w:rsidRPr="00FC21C6">
        <w:rPr>
          <w:i/>
          <w:iCs/>
        </w:rPr>
        <w:t>Charte</w:t>
      </w:r>
      <w:r w:rsidRPr="00FC21C6">
        <w:t xml:space="preserve">. Il précise que la forme de liberté dont il est question ici doit être distinguée de celle qui est protégée </w:t>
      </w:r>
      <w:r w:rsidR="000E5406" w:rsidRPr="00FC21C6">
        <w:t>par</w:t>
      </w:r>
      <w:r w:rsidRPr="00FC21C6">
        <w:t xml:space="preserve"> l’art.</w:t>
      </w:r>
      <w:r w:rsidR="00654940" w:rsidRPr="00FC21C6">
        <w:t> </w:t>
      </w:r>
      <w:r w:rsidRPr="00FC21C6">
        <w:t>9</w:t>
      </w:r>
      <w:r w:rsidRPr="00FC21C6">
        <w:rPr>
          <w:i/>
          <w:iCs/>
        </w:rPr>
        <w:t> </w:t>
      </w:r>
      <w:r w:rsidRPr="00FC21C6">
        <w:t>: alors que « l’article 9 s’intéresse à la liberté physique, l’article 7 s’attache plutôt […] à la</w:t>
      </w:r>
      <w:r w:rsidRPr="004303BE">
        <w:t xml:space="preserve"> liberté de faire des choix personnels en tant qu’individu »</w:t>
      </w:r>
      <w:r w:rsidRPr="004303BE">
        <w:rPr>
          <w:vertAlign w:val="superscript"/>
        </w:rPr>
        <w:footnoteReference w:id="50"/>
      </w:r>
      <w:r w:rsidRPr="004303BE">
        <w:t>. Selon le juge, il ne fait aucun doute que l</w:t>
      </w:r>
      <w:r w:rsidR="00CB48BA" w:rsidRPr="004303BE">
        <w:t>a</w:t>
      </w:r>
      <w:r w:rsidRPr="004303BE">
        <w:t xml:space="preserve"> règle de droit contestée contrevient au droit des personnes noires « de vivre leur vie comme elles l’entendent et de se déplacer au volant d’un véhicule pour répondre à leurs besoins sans être harcelées par la police au seul motif de la couleur de leur peau »</w:t>
      </w:r>
      <w:r w:rsidRPr="004303BE">
        <w:rPr>
          <w:vertAlign w:val="superscript"/>
        </w:rPr>
        <w:footnoteReference w:id="51"/>
      </w:r>
      <w:r w:rsidRPr="004303BE">
        <w:t xml:space="preserve">. </w:t>
      </w:r>
    </w:p>
    <w:p w14:paraId="5A6B2DC8" w14:textId="46262B83" w:rsidR="00EB12AA" w:rsidRPr="00C87EC1" w:rsidRDefault="005A1C52" w:rsidP="00D80997">
      <w:pPr>
        <w:pStyle w:val="Paragraphe"/>
        <w:spacing w:line="280" w:lineRule="exact"/>
      </w:pPr>
      <w:r w:rsidRPr="00C87EC1">
        <w:t>Le juge détermine que l’atteinte aux droits fondamentaux découlant de</w:t>
      </w:r>
      <w:r w:rsidR="00CB48BA" w:rsidRPr="00C87EC1">
        <w:t xml:space="preserve"> la</w:t>
      </w:r>
      <w:r w:rsidRPr="00C87EC1">
        <w:t xml:space="preserve"> règle de droit contestée n’est pas conforme </w:t>
      </w:r>
      <w:r w:rsidRPr="00C87EC1">
        <w:rPr>
          <w:shd w:val="clear" w:color="auto" w:fill="FFFFFF"/>
        </w:rPr>
        <w:t xml:space="preserve">aux principes de justice fondamentale. </w:t>
      </w:r>
      <w:r w:rsidR="00EB1873" w:rsidRPr="00C87EC1">
        <w:t xml:space="preserve">Il </w:t>
      </w:r>
      <w:r w:rsidRPr="00C87EC1">
        <w:t xml:space="preserve">conclut </w:t>
      </w:r>
      <w:r w:rsidR="00D52724">
        <w:t xml:space="preserve">encore une fois </w:t>
      </w:r>
      <w:r w:rsidRPr="00C87EC1">
        <w:t xml:space="preserve">que cette atteinte ne peut se justifier </w:t>
      </w:r>
      <w:r w:rsidR="000E5406">
        <w:t>selon</w:t>
      </w:r>
      <w:r w:rsidRPr="00C87EC1">
        <w:t xml:space="preserve"> l’article premier.</w:t>
      </w:r>
    </w:p>
    <w:p w14:paraId="2AF16C7D" w14:textId="58DCBC5B" w:rsidR="005A1C52" w:rsidRPr="00EB70A2" w:rsidRDefault="000B3736" w:rsidP="002E559C">
      <w:pPr>
        <w:pStyle w:val="Titre2"/>
      </w:pPr>
      <w:bookmarkStart w:id="38" w:name="_Toc177390719"/>
      <w:bookmarkStart w:id="39" w:name="_Toc180397461"/>
      <w:r w:rsidRPr="000B3736">
        <w:t>D.</w:t>
      </w:r>
      <w:r w:rsidRPr="000B3736">
        <w:tab/>
      </w:r>
      <w:r w:rsidR="00434C7C" w:rsidRPr="00C87EC1">
        <w:t>Le p</w:t>
      </w:r>
      <w:r w:rsidR="005A1C52" w:rsidRPr="00C87EC1">
        <w:t xml:space="preserve">aragraphe 15(1) de la </w:t>
      </w:r>
      <w:r w:rsidR="005A1C52" w:rsidRPr="00C87EC1">
        <w:rPr>
          <w:i/>
          <w:iCs/>
        </w:rPr>
        <w:t>Charte</w:t>
      </w:r>
      <w:bookmarkEnd w:id="38"/>
      <w:bookmarkEnd w:id="39"/>
    </w:p>
    <w:p w14:paraId="0ADBBE5F" w14:textId="28FC0CB3" w:rsidR="005A1C52" w:rsidRPr="004303BE" w:rsidRDefault="00C11A99" w:rsidP="00D80997">
      <w:pPr>
        <w:pStyle w:val="Paragraphe"/>
        <w:spacing w:line="280" w:lineRule="exact"/>
      </w:pPr>
      <w:r w:rsidRPr="004303BE">
        <w:t>Selon le juge,</w:t>
      </w:r>
      <w:r w:rsidR="005A1C52" w:rsidRPr="004303BE">
        <w:t xml:space="preserve"> l</w:t>
      </w:r>
      <w:r w:rsidR="00CB48BA" w:rsidRPr="004303BE">
        <w:t>a</w:t>
      </w:r>
      <w:r w:rsidR="005A1C52" w:rsidRPr="004303BE">
        <w:t xml:space="preserve"> règle de droit contestée </w:t>
      </w:r>
      <w:r w:rsidR="00CB48BA" w:rsidRPr="004303BE">
        <w:t xml:space="preserve">est </w:t>
      </w:r>
      <w:r w:rsidR="005A1C52" w:rsidRPr="004303BE">
        <w:t>incompatible avec le</w:t>
      </w:r>
      <w:r w:rsidR="001008C9" w:rsidRPr="004303BE">
        <w:t xml:space="preserve"> droit à l’égalité garanti par le</w:t>
      </w:r>
      <w:r w:rsidR="005A1C52" w:rsidRPr="004303BE">
        <w:t xml:space="preserve"> par.</w:t>
      </w:r>
      <w:r w:rsidR="007E466D">
        <w:rPr>
          <w:rFonts w:cs="Arial"/>
          <w:szCs w:val="24"/>
        </w:rPr>
        <w:t xml:space="preserve"> </w:t>
      </w:r>
      <w:r w:rsidR="005A1C52" w:rsidRPr="004303BE">
        <w:t xml:space="preserve">15(1) de la </w:t>
      </w:r>
      <w:r w:rsidR="005A1C52" w:rsidRPr="004303BE">
        <w:rPr>
          <w:i/>
          <w:iCs/>
        </w:rPr>
        <w:t>Charte</w:t>
      </w:r>
      <w:r w:rsidR="005A1C52" w:rsidRPr="004303BE">
        <w:t xml:space="preserve">. </w:t>
      </w:r>
      <w:r w:rsidRPr="004303BE">
        <w:t>Ce</w:t>
      </w:r>
      <w:r w:rsidR="00CB48BA" w:rsidRPr="004303BE">
        <w:t>tte</w:t>
      </w:r>
      <w:r w:rsidR="005A1C52" w:rsidRPr="004303BE">
        <w:t xml:space="preserve"> règle </w:t>
      </w:r>
      <w:r w:rsidR="00CB48BA" w:rsidRPr="004303BE">
        <w:t xml:space="preserve">est </w:t>
      </w:r>
      <w:r w:rsidR="005A1C52" w:rsidRPr="004303BE">
        <w:t xml:space="preserve">discriminatoire puisque même si elle </w:t>
      </w:r>
      <w:r w:rsidR="00CB48BA" w:rsidRPr="004303BE">
        <w:t>est</w:t>
      </w:r>
      <w:r w:rsidR="005A1C52" w:rsidRPr="004303BE">
        <w:t xml:space="preserve"> neutre en apparence, elle entraîne un effet préjudiciable disproportionné sur les personnes noires, un groupe protégé, et elle leur </w:t>
      </w:r>
      <w:r w:rsidR="005A1C52" w:rsidRPr="004303BE">
        <w:rPr>
          <w:rFonts w:cs="Arial"/>
          <w:szCs w:val="24"/>
        </w:rPr>
        <w:t>impose un fardeau ou les prive d’un avantage d’une manière qui a pour effet de renforcer « les désavantages systémiques ou historiques avec lesquels les collectivités noires doivent vivre et composer »</w:t>
      </w:r>
      <w:r w:rsidR="005A1C52" w:rsidRPr="004303BE">
        <w:rPr>
          <w:rFonts w:cs="Arial"/>
          <w:szCs w:val="24"/>
          <w:vertAlign w:val="superscript"/>
        </w:rPr>
        <w:footnoteReference w:id="52"/>
      </w:r>
      <w:r w:rsidR="005A1C52" w:rsidRPr="004303BE">
        <w:rPr>
          <w:rFonts w:cs="Arial"/>
          <w:szCs w:val="24"/>
        </w:rPr>
        <w:t>.</w:t>
      </w:r>
    </w:p>
    <w:p w14:paraId="2B22F683" w14:textId="200AD251" w:rsidR="005A1C52" w:rsidRPr="004303BE" w:rsidRDefault="005A1C52" w:rsidP="00D80997">
      <w:pPr>
        <w:pStyle w:val="Paragraphe"/>
        <w:spacing w:line="280" w:lineRule="exact"/>
        <w:rPr>
          <w:szCs w:val="24"/>
        </w:rPr>
      </w:pPr>
      <w:r w:rsidRPr="004303BE">
        <w:rPr>
          <w:szCs w:val="24"/>
          <w:shd w:val="clear" w:color="auto" w:fill="FFFFFF"/>
        </w:rPr>
        <w:t>Le juge conclut que l</w:t>
      </w:r>
      <w:r w:rsidR="00CB48BA" w:rsidRPr="004303BE">
        <w:rPr>
          <w:szCs w:val="24"/>
          <w:shd w:val="clear" w:color="auto" w:fill="FFFFFF"/>
        </w:rPr>
        <w:t>a</w:t>
      </w:r>
      <w:r w:rsidRPr="004303BE">
        <w:rPr>
          <w:szCs w:val="24"/>
          <w:shd w:val="clear" w:color="auto" w:fill="FFFFFF"/>
        </w:rPr>
        <w:t xml:space="preserve"> règle de droit contestée ne peu</w:t>
      </w:r>
      <w:r w:rsidR="00CB48BA" w:rsidRPr="004303BE">
        <w:rPr>
          <w:szCs w:val="24"/>
          <w:shd w:val="clear" w:color="auto" w:fill="FFFFFF"/>
        </w:rPr>
        <w:t xml:space="preserve">t </w:t>
      </w:r>
      <w:r w:rsidRPr="004303BE">
        <w:rPr>
          <w:szCs w:val="24"/>
          <w:shd w:val="clear" w:color="auto" w:fill="FFFFFF"/>
        </w:rPr>
        <w:t>être sauvegardée par l’application de l’article premier, le PGQ n’ayant pas établi « que la pertinence de la règle de droit et son fondement rationnel justifient de [la] maintenir en état »</w:t>
      </w:r>
      <w:r w:rsidRPr="004303BE">
        <w:rPr>
          <w:rFonts w:cs="Arial"/>
          <w:szCs w:val="24"/>
          <w:shd w:val="clear" w:color="auto" w:fill="FFFFFF"/>
          <w:vertAlign w:val="superscript"/>
        </w:rPr>
        <w:footnoteReference w:id="53"/>
      </w:r>
      <w:r w:rsidRPr="004303BE">
        <w:rPr>
          <w:szCs w:val="24"/>
          <w:shd w:val="clear" w:color="auto" w:fill="FFFFFF"/>
        </w:rPr>
        <w:t xml:space="preserve"> malgré son caractère discriminatoire.</w:t>
      </w:r>
    </w:p>
    <w:p w14:paraId="7757DBAC" w14:textId="7CA379D3" w:rsidR="005A1C52" w:rsidRPr="00C87EC1" w:rsidRDefault="000B3736" w:rsidP="002E559C">
      <w:pPr>
        <w:pStyle w:val="Titre2"/>
      </w:pPr>
      <w:bookmarkStart w:id="40" w:name="_Toc177390720"/>
      <w:bookmarkStart w:id="41" w:name="_Toc180397462"/>
      <w:r w:rsidRPr="000B3736">
        <w:t>E.</w:t>
      </w:r>
      <w:r w:rsidRPr="000B3736">
        <w:tab/>
      </w:r>
      <w:r w:rsidR="00C11A99" w:rsidRPr="00C87EC1">
        <w:t xml:space="preserve">La </w:t>
      </w:r>
      <w:r w:rsidR="00C11A99" w:rsidRPr="000B3736">
        <w:t>r</w:t>
      </w:r>
      <w:r w:rsidR="005A1C52" w:rsidRPr="000B3736">
        <w:t>éparation</w:t>
      </w:r>
      <w:bookmarkEnd w:id="40"/>
      <w:bookmarkEnd w:id="41"/>
    </w:p>
    <w:p w14:paraId="00935EC2" w14:textId="1314BBFF" w:rsidR="005A1C52" w:rsidRPr="004303BE" w:rsidRDefault="00EB12AA" w:rsidP="00D80997">
      <w:pPr>
        <w:pStyle w:val="Paragraphe"/>
        <w:spacing w:line="280" w:lineRule="exact"/>
      </w:pPr>
      <w:r w:rsidRPr="004303BE">
        <w:t xml:space="preserve">Le juge </w:t>
      </w:r>
      <w:r w:rsidR="00C11A99" w:rsidRPr="004303BE">
        <w:t xml:space="preserve">estime </w:t>
      </w:r>
      <w:r w:rsidR="005A1C52" w:rsidRPr="004303BE">
        <w:t>que la réparation appropriée relève de l’art.</w:t>
      </w:r>
      <w:r w:rsidR="005A1C52" w:rsidRPr="004303BE">
        <w:rPr>
          <w:rFonts w:cs="Arial"/>
          <w:szCs w:val="24"/>
          <w:shd w:val="clear" w:color="auto" w:fill="FFFFFF"/>
        </w:rPr>
        <w:t> </w:t>
      </w:r>
      <w:r w:rsidR="005A1C52" w:rsidRPr="004303BE">
        <w:t xml:space="preserve">52 de la </w:t>
      </w:r>
      <w:r w:rsidR="005A1C52" w:rsidRPr="004303BE">
        <w:rPr>
          <w:i/>
          <w:iCs/>
        </w:rPr>
        <w:t>Loi constitutionnelle de 1982</w:t>
      </w:r>
      <w:r w:rsidR="005A1C52" w:rsidRPr="004303BE">
        <w:t xml:space="preserve"> plutôt que de l’art. 24 de la </w:t>
      </w:r>
      <w:r w:rsidR="005A1C52" w:rsidRPr="004303BE">
        <w:rPr>
          <w:i/>
          <w:iCs/>
        </w:rPr>
        <w:t>Charte</w:t>
      </w:r>
      <w:r w:rsidR="005A1C52" w:rsidRPr="004303BE">
        <w:t xml:space="preserve">. De fait, </w:t>
      </w:r>
      <w:r w:rsidRPr="004303BE">
        <w:t>il</w:t>
      </w:r>
      <w:r w:rsidR="005A1C52" w:rsidRPr="004303BE">
        <w:t xml:space="preserve"> conclut que « la seule issue possible »</w:t>
      </w:r>
      <w:r w:rsidR="005A1C52" w:rsidRPr="004303BE">
        <w:rPr>
          <w:vertAlign w:val="superscript"/>
        </w:rPr>
        <w:footnoteReference w:id="54"/>
      </w:r>
      <w:r w:rsidR="005A1C52" w:rsidRPr="004303BE">
        <w:t xml:space="preserve"> consiste à déclarer l</w:t>
      </w:r>
      <w:r w:rsidR="00CB48BA" w:rsidRPr="004303BE">
        <w:t>a</w:t>
      </w:r>
      <w:r w:rsidR="005A1C52" w:rsidRPr="004303BE">
        <w:t xml:space="preserve"> règle de droit contestée inopérante en application du par.</w:t>
      </w:r>
      <w:r w:rsidR="007E466D">
        <w:rPr>
          <w:rFonts w:cs="Arial"/>
          <w:szCs w:val="24"/>
          <w:shd w:val="clear" w:color="auto" w:fill="FFFFFF"/>
        </w:rPr>
        <w:t xml:space="preserve"> </w:t>
      </w:r>
      <w:r w:rsidR="005A1C52" w:rsidRPr="004303BE">
        <w:t xml:space="preserve">52(1) de la </w:t>
      </w:r>
      <w:r w:rsidR="005A1C52" w:rsidRPr="004303BE">
        <w:rPr>
          <w:i/>
          <w:iCs/>
        </w:rPr>
        <w:t>Loi constitutionnelle de 1982</w:t>
      </w:r>
      <w:r w:rsidR="005A1C52" w:rsidRPr="004303BE">
        <w:t xml:space="preserve">. Il </w:t>
      </w:r>
      <w:r w:rsidRPr="004303BE">
        <w:t>suspend toutefois</w:t>
      </w:r>
      <w:r w:rsidR="005A1C52" w:rsidRPr="004303BE">
        <w:t xml:space="preserve"> la prise d’effet de son jugement pour </w:t>
      </w:r>
      <w:r w:rsidR="00C65530" w:rsidRPr="004303BE">
        <w:t xml:space="preserve">une période de six mois afin de </w:t>
      </w:r>
      <w:r w:rsidR="005A1C52" w:rsidRPr="004303BE">
        <w:t>permettre au législateur de remédier à la situation (le cas échéant) et aux autorités concernées d’« informer […] les effectifs policiers et [de] mettre en place une mesure de contrôle moins attentatoire des droits des membres des collectivités racisées »</w:t>
      </w:r>
      <w:r w:rsidR="005A1C52" w:rsidRPr="004303BE">
        <w:rPr>
          <w:vertAlign w:val="superscript"/>
        </w:rPr>
        <w:footnoteReference w:id="55"/>
      </w:r>
      <w:r w:rsidR="005A1C52" w:rsidRPr="004303BE">
        <w:t>.</w:t>
      </w:r>
    </w:p>
    <w:p w14:paraId="30A6E2F6" w14:textId="158175E0" w:rsidR="005A1C52" w:rsidRPr="00C87EC1" w:rsidRDefault="000B3736" w:rsidP="000B3736">
      <w:pPr>
        <w:pStyle w:val="Titre1"/>
      </w:pPr>
      <w:bookmarkStart w:id="42" w:name="_Toc177390721"/>
      <w:bookmarkStart w:id="43" w:name="_Toc180397463"/>
      <w:r w:rsidRPr="000B3736">
        <w:t>IV.</w:t>
      </w:r>
      <w:r w:rsidRPr="000B3736">
        <w:tab/>
      </w:r>
      <w:r w:rsidR="005A1C52" w:rsidRPr="000B3736">
        <w:t>Questions</w:t>
      </w:r>
      <w:r w:rsidR="005A1C52" w:rsidRPr="00C87EC1">
        <w:t xml:space="preserve"> en litige</w:t>
      </w:r>
      <w:bookmarkEnd w:id="42"/>
      <w:bookmarkEnd w:id="43"/>
    </w:p>
    <w:p w14:paraId="0D5DD0D6" w14:textId="66ED2349" w:rsidR="005A1C52" w:rsidRPr="00C87EC1" w:rsidRDefault="005A1C52" w:rsidP="00D80997">
      <w:pPr>
        <w:pStyle w:val="Paragraphe"/>
        <w:spacing w:line="280" w:lineRule="exact"/>
      </w:pPr>
      <w:r w:rsidRPr="00C87EC1">
        <w:t xml:space="preserve">Les parties soulèvent </w:t>
      </w:r>
      <w:r w:rsidR="00D20C36">
        <w:t xml:space="preserve">un grand nombre </w:t>
      </w:r>
      <w:r w:rsidRPr="00C87EC1">
        <w:t xml:space="preserve">de questions et </w:t>
      </w:r>
      <w:r w:rsidR="00D20C36">
        <w:t xml:space="preserve">de </w:t>
      </w:r>
      <w:r w:rsidRPr="00C87EC1">
        <w:t>moyens en appel, chacune – ou</w:t>
      </w:r>
      <w:r w:rsidR="009238C6">
        <w:t xml:space="preserve"> </w:t>
      </w:r>
      <w:r w:rsidRPr="00C87EC1">
        <w:t>presque – y allant de sa propre formulation. En substance, les questions que pose le pourvoi sont les suivantes :</w:t>
      </w:r>
    </w:p>
    <w:p w14:paraId="63215C12" w14:textId="1146F125" w:rsidR="005A1C52" w:rsidRPr="00FC21C6" w:rsidRDefault="005A1C52" w:rsidP="00E42A0B">
      <w:pPr>
        <w:pStyle w:val="Paragraphedeliste"/>
        <w:numPr>
          <w:ilvl w:val="0"/>
          <w:numId w:val="47"/>
        </w:numPr>
        <w:spacing w:before="120" w:after="120"/>
        <w:contextualSpacing w:val="0"/>
        <w:jc w:val="both"/>
        <w:rPr>
          <w:kern w:val="28"/>
        </w:rPr>
      </w:pPr>
      <w:r w:rsidRPr="00C87EC1">
        <w:rPr>
          <w:rFonts w:cs="Arial"/>
          <w:kern w:val="28"/>
        </w:rPr>
        <w:t xml:space="preserve">Le juge a-t-il erré en concluant que </w:t>
      </w:r>
      <w:r w:rsidR="0002618B" w:rsidRPr="00FC21C6">
        <w:rPr>
          <w:rFonts w:cs="Arial"/>
          <w:kern w:val="28"/>
        </w:rPr>
        <w:t xml:space="preserve">la règle de droit contestée </w:t>
      </w:r>
      <w:r w:rsidR="004D1C96" w:rsidRPr="00FC21C6">
        <w:rPr>
          <w:rFonts w:cs="Arial"/>
          <w:kern w:val="28"/>
        </w:rPr>
        <w:t>occasionne</w:t>
      </w:r>
      <w:r w:rsidR="0002618B" w:rsidRPr="00FC21C6">
        <w:rPr>
          <w:rFonts w:cs="Arial"/>
          <w:kern w:val="28"/>
        </w:rPr>
        <w:t xml:space="preserve"> </w:t>
      </w:r>
      <w:r w:rsidR="00244629" w:rsidRPr="00FC21C6">
        <w:rPr>
          <w:rFonts w:cs="Arial"/>
          <w:kern w:val="28"/>
        </w:rPr>
        <w:t>le</w:t>
      </w:r>
      <w:r w:rsidRPr="00FC21C6">
        <w:rPr>
          <w:rFonts w:cs="Arial"/>
          <w:kern w:val="28"/>
        </w:rPr>
        <w:t xml:space="preserve"> profilage racial</w:t>
      </w:r>
      <w:r w:rsidR="004C4128" w:rsidRPr="00FC21C6">
        <w:rPr>
          <w:rFonts w:cs="Arial"/>
          <w:kern w:val="28"/>
        </w:rPr>
        <w:t>?</w:t>
      </w:r>
    </w:p>
    <w:p w14:paraId="11D61B2F" w14:textId="0A775A9D" w:rsidR="005A1C52" w:rsidRPr="00C87EC1" w:rsidRDefault="005A1C52" w:rsidP="00E42A0B">
      <w:pPr>
        <w:pStyle w:val="Paragraphedeliste"/>
        <w:numPr>
          <w:ilvl w:val="0"/>
          <w:numId w:val="47"/>
        </w:numPr>
        <w:spacing w:before="120" w:after="120"/>
        <w:contextualSpacing w:val="0"/>
        <w:jc w:val="both"/>
        <w:rPr>
          <w:kern w:val="28"/>
        </w:rPr>
      </w:pPr>
      <w:r w:rsidRPr="00C87EC1">
        <w:rPr>
          <w:rFonts w:cs="Arial"/>
          <w:kern w:val="28"/>
        </w:rPr>
        <w:t xml:space="preserve">Le juge a-t-il erré en concluant qu’il pouvait réexaminer </w:t>
      </w:r>
      <w:r w:rsidR="00ED6126">
        <w:rPr>
          <w:rFonts w:cs="Arial"/>
          <w:kern w:val="28"/>
        </w:rPr>
        <w:t>l’arrêt</w:t>
      </w:r>
      <w:r w:rsidR="00116A16" w:rsidRPr="00C87EC1">
        <w:rPr>
          <w:rFonts w:cs="Arial"/>
          <w:kern w:val="28"/>
        </w:rPr>
        <w:t xml:space="preserve"> </w:t>
      </w:r>
      <w:r w:rsidRPr="00C87EC1">
        <w:rPr>
          <w:rFonts w:cs="Arial"/>
          <w:i/>
          <w:iCs/>
          <w:kern w:val="28"/>
        </w:rPr>
        <w:t>Ladouceur</w:t>
      </w:r>
      <w:r w:rsidRPr="00C87EC1">
        <w:rPr>
          <w:rFonts w:cs="Arial"/>
          <w:kern w:val="28"/>
        </w:rPr>
        <w:t>?</w:t>
      </w:r>
    </w:p>
    <w:p w14:paraId="5DDDA6CD" w14:textId="185C3707" w:rsidR="005A1C52" w:rsidRDefault="005A1C52" w:rsidP="00E42A0B">
      <w:pPr>
        <w:pStyle w:val="Paragraphedeliste"/>
        <w:numPr>
          <w:ilvl w:val="0"/>
          <w:numId w:val="47"/>
        </w:numPr>
        <w:spacing w:before="120" w:after="120"/>
        <w:contextualSpacing w:val="0"/>
        <w:jc w:val="both"/>
        <w:rPr>
          <w:kern w:val="28"/>
        </w:rPr>
      </w:pPr>
      <w:bookmarkStart w:id="44" w:name="_Hlk176514322"/>
      <w:r w:rsidRPr="00C87EC1">
        <w:rPr>
          <w:rFonts w:cs="Arial"/>
          <w:kern w:val="28"/>
        </w:rPr>
        <w:t>Si</w:t>
      </w:r>
      <w:r w:rsidR="00C65530" w:rsidRPr="00C87EC1">
        <w:rPr>
          <w:rFonts w:cs="Arial"/>
          <w:kern w:val="28"/>
        </w:rPr>
        <w:t xml:space="preserve"> la Cour répond par la négative </w:t>
      </w:r>
      <w:r w:rsidR="00EF5BE8">
        <w:rPr>
          <w:rFonts w:cs="Arial"/>
          <w:kern w:val="28"/>
        </w:rPr>
        <w:t>aux deux questions précédentes</w:t>
      </w:r>
      <w:r w:rsidR="00F80A5E">
        <w:rPr>
          <w:rFonts w:cs="Arial"/>
          <w:kern w:val="28"/>
        </w:rPr>
        <w:t>,</w:t>
      </w:r>
      <w:r w:rsidRPr="00C87EC1">
        <w:rPr>
          <w:rFonts w:cs="Arial"/>
          <w:kern w:val="28"/>
        </w:rPr>
        <w:t xml:space="preserve"> le juge </w:t>
      </w:r>
      <w:r w:rsidRPr="00C87EC1">
        <w:rPr>
          <w:kern w:val="28"/>
        </w:rPr>
        <w:t>a</w:t>
      </w:r>
      <w:r w:rsidR="00953A4A">
        <w:rPr>
          <w:kern w:val="28"/>
        </w:rPr>
        <w:noBreakHyphen/>
      </w:r>
      <w:r w:rsidRPr="00C87EC1">
        <w:rPr>
          <w:kern w:val="28"/>
        </w:rPr>
        <w:t>t</w:t>
      </w:r>
      <w:r w:rsidR="00953A4A">
        <w:rPr>
          <w:kern w:val="28"/>
        </w:rPr>
        <w:noBreakHyphen/>
      </w:r>
      <w:r w:rsidRPr="00C87EC1">
        <w:rPr>
          <w:kern w:val="28"/>
        </w:rPr>
        <w:t>il erré en concluant que l</w:t>
      </w:r>
      <w:r w:rsidR="00FF55B8">
        <w:rPr>
          <w:kern w:val="28"/>
        </w:rPr>
        <w:t>a</w:t>
      </w:r>
      <w:r w:rsidRPr="00C87EC1">
        <w:rPr>
          <w:kern w:val="28"/>
        </w:rPr>
        <w:t xml:space="preserve"> règle de droit contestée porte une atteinte injustifiée à l’art. 9 de la </w:t>
      </w:r>
      <w:r w:rsidRPr="00C87EC1">
        <w:rPr>
          <w:i/>
          <w:iCs/>
          <w:kern w:val="28"/>
        </w:rPr>
        <w:t>Charte</w:t>
      </w:r>
      <w:r w:rsidRPr="00C87EC1">
        <w:rPr>
          <w:kern w:val="28"/>
        </w:rPr>
        <w:t>?</w:t>
      </w:r>
    </w:p>
    <w:p w14:paraId="1B54E050" w14:textId="07A72460" w:rsidR="005A1C52" w:rsidRPr="00C87EC1" w:rsidRDefault="005A1C52" w:rsidP="00E42A0B">
      <w:pPr>
        <w:pStyle w:val="Paragraphedeliste"/>
        <w:numPr>
          <w:ilvl w:val="0"/>
          <w:numId w:val="47"/>
        </w:numPr>
        <w:spacing w:before="120" w:after="120"/>
        <w:contextualSpacing w:val="0"/>
        <w:jc w:val="both"/>
        <w:rPr>
          <w:kern w:val="28"/>
        </w:rPr>
      </w:pPr>
      <w:bookmarkStart w:id="45" w:name="_Hlk176514416"/>
      <w:bookmarkEnd w:id="44"/>
      <w:r w:rsidRPr="00C87EC1">
        <w:rPr>
          <w:rFonts w:cs="Arial"/>
          <w:kern w:val="28"/>
        </w:rPr>
        <w:t>Le juge a-t-il erré en concluant que l</w:t>
      </w:r>
      <w:r w:rsidR="0032484D" w:rsidRPr="00C87EC1">
        <w:rPr>
          <w:rFonts w:cs="Arial"/>
          <w:kern w:val="28"/>
        </w:rPr>
        <w:t>a</w:t>
      </w:r>
      <w:r w:rsidRPr="00C87EC1">
        <w:rPr>
          <w:rFonts w:cs="Arial"/>
          <w:kern w:val="28"/>
        </w:rPr>
        <w:t xml:space="preserve"> règle de droit contestée porte une atteinte injustifiée à l’art.</w:t>
      </w:r>
      <w:r w:rsidRPr="00C87EC1">
        <w:rPr>
          <w:kern w:val="28"/>
        </w:rPr>
        <w:t> </w:t>
      </w:r>
      <w:r w:rsidRPr="00C87EC1">
        <w:rPr>
          <w:rFonts w:cs="Arial"/>
          <w:kern w:val="28"/>
        </w:rPr>
        <w:t xml:space="preserve">7 de la </w:t>
      </w:r>
      <w:r w:rsidRPr="004F5FF2">
        <w:rPr>
          <w:rFonts w:cs="Arial"/>
          <w:i/>
          <w:iCs/>
          <w:kern w:val="28"/>
        </w:rPr>
        <w:t>Charte</w:t>
      </w:r>
      <w:r w:rsidRPr="00C87EC1">
        <w:rPr>
          <w:rFonts w:cs="Arial"/>
          <w:kern w:val="28"/>
        </w:rPr>
        <w:t>?</w:t>
      </w:r>
    </w:p>
    <w:p w14:paraId="222E2EBD" w14:textId="222E4CE4" w:rsidR="005A1C52" w:rsidRPr="00C87EC1" w:rsidRDefault="005A1C52" w:rsidP="00E42A0B">
      <w:pPr>
        <w:pStyle w:val="Paragraphedeliste"/>
        <w:numPr>
          <w:ilvl w:val="0"/>
          <w:numId w:val="47"/>
        </w:numPr>
        <w:spacing w:before="120" w:after="120"/>
        <w:contextualSpacing w:val="0"/>
        <w:jc w:val="both"/>
        <w:rPr>
          <w:kern w:val="28"/>
        </w:rPr>
      </w:pPr>
      <w:bookmarkStart w:id="46" w:name="_Hlk176514548"/>
      <w:bookmarkEnd w:id="45"/>
      <w:r w:rsidRPr="00C87EC1">
        <w:rPr>
          <w:rFonts w:cs="Arial"/>
          <w:kern w:val="28"/>
        </w:rPr>
        <w:t xml:space="preserve">Le juge a-t-il erré </w:t>
      </w:r>
      <w:bookmarkStart w:id="47" w:name="_Hlk176514471"/>
      <w:r w:rsidRPr="00C87EC1">
        <w:rPr>
          <w:rFonts w:cs="Arial"/>
          <w:kern w:val="28"/>
        </w:rPr>
        <w:t>en concluant que l</w:t>
      </w:r>
      <w:r w:rsidR="0032484D" w:rsidRPr="00C87EC1">
        <w:rPr>
          <w:rFonts w:cs="Arial"/>
          <w:kern w:val="28"/>
        </w:rPr>
        <w:t>a</w:t>
      </w:r>
      <w:r w:rsidRPr="00C87EC1">
        <w:rPr>
          <w:rFonts w:cs="Arial"/>
          <w:kern w:val="28"/>
        </w:rPr>
        <w:t xml:space="preserve"> règle de droit contestée porte une atteinte injustifiée au par.</w:t>
      </w:r>
      <w:r w:rsidRPr="00C87EC1">
        <w:rPr>
          <w:kern w:val="28"/>
        </w:rPr>
        <w:t> </w:t>
      </w:r>
      <w:r w:rsidRPr="00C87EC1">
        <w:rPr>
          <w:rFonts w:cs="Arial"/>
          <w:kern w:val="28"/>
        </w:rPr>
        <w:t xml:space="preserve">15(1) de la </w:t>
      </w:r>
      <w:r w:rsidRPr="00C87EC1">
        <w:rPr>
          <w:rFonts w:cs="Arial"/>
          <w:i/>
          <w:iCs/>
          <w:kern w:val="28"/>
        </w:rPr>
        <w:t>Charte</w:t>
      </w:r>
      <w:r w:rsidRPr="00C87EC1">
        <w:rPr>
          <w:rFonts w:cs="Arial"/>
          <w:kern w:val="28"/>
        </w:rPr>
        <w:t xml:space="preserve">? </w:t>
      </w:r>
    </w:p>
    <w:bookmarkEnd w:id="46"/>
    <w:bookmarkEnd w:id="47"/>
    <w:p w14:paraId="460A5F11" w14:textId="4374C350" w:rsidR="005A1C52" w:rsidRPr="00A87466" w:rsidRDefault="005A1C52" w:rsidP="00E42A0B">
      <w:pPr>
        <w:pStyle w:val="Paragraphedeliste"/>
        <w:numPr>
          <w:ilvl w:val="0"/>
          <w:numId w:val="47"/>
        </w:numPr>
        <w:spacing w:before="120" w:after="120"/>
        <w:contextualSpacing w:val="0"/>
        <w:jc w:val="both"/>
        <w:rPr>
          <w:rFonts w:cs="Arial"/>
          <w:kern w:val="28"/>
        </w:rPr>
      </w:pPr>
      <w:r w:rsidRPr="00A87466">
        <w:rPr>
          <w:rFonts w:cs="Arial"/>
          <w:kern w:val="28"/>
        </w:rPr>
        <w:t xml:space="preserve">Le juge a-t-il erré en déclarant </w:t>
      </w:r>
      <w:r w:rsidR="0032484D" w:rsidRPr="00A87466">
        <w:rPr>
          <w:rFonts w:cs="Arial"/>
          <w:kern w:val="28"/>
        </w:rPr>
        <w:t>la règle de droit inopérante</w:t>
      </w:r>
      <w:r w:rsidRPr="00A87466">
        <w:rPr>
          <w:rFonts w:cs="Arial"/>
          <w:kern w:val="28"/>
        </w:rPr>
        <w:t xml:space="preserve"> et en suspendant la prise d'effet de cette déclaration pendant six mois?</w:t>
      </w:r>
    </w:p>
    <w:p w14:paraId="411F43F8" w14:textId="1F6A2988" w:rsidR="005A1C52" w:rsidRPr="00C87EC1" w:rsidRDefault="000B3736" w:rsidP="000B3736">
      <w:pPr>
        <w:pStyle w:val="Titre1"/>
      </w:pPr>
      <w:bookmarkStart w:id="48" w:name="_Toc177390722"/>
      <w:bookmarkStart w:id="49" w:name="_Toc180397464"/>
      <w:r w:rsidRPr="000B3736">
        <w:t>V.</w:t>
      </w:r>
      <w:r w:rsidRPr="000B3736">
        <w:tab/>
      </w:r>
      <w:r w:rsidR="005A1C52" w:rsidRPr="000B3736">
        <w:t>Analyse</w:t>
      </w:r>
      <w:bookmarkEnd w:id="48"/>
      <w:bookmarkEnd w:id="49"/>
    </w:p>
    <w:p w14:paraId="677F56BC" w14:textId="53ADA73C" w:rsidR="005A1C52" w:rsidRPr="00C87EC1" w:rsidRDefault="000B3736" w:rsidP="002E559C">
      <w:pPr>
        <w:pStyle w:val="Titre2"/>
      </w:pPr>
      <w:bookmarkStart w:id="50" w:name="_Toc180397465"/>
      <w:r w:rsidRPr="000B3736">
        <w:t>A.</w:t>
      </w:r>
      <w:r w:rsidRPr="000B3736">
        <w:tab/>
      </w:r>
      <w:r w:rsidR="005A1C52" w:rsidRPr="002E559C">
        <w:t xml:space="preserve">Le juge a-t-il erré en concluant que </w:t>
      </w:r>
      <w:r w:rsidR="001C692A" w:rsidRPr="00FC21C6">
        <w:t>la règle de droit contestée</w:t>
      </w:r>
      <w:r w:rsidR="001C692A" w:rsidRPr="002E559C">
        <w:t xml:space="preserve"> occasionne </w:t>
      </w:r>
      <w:r w:rsidR="005A1C52" w:rsidRPr="002E559C">
        <w:t>le profilage racial</w:t>
      </w:r>
      <w:r w:rsidR="004C4128" w:rsidRPr="002E559C">
        <w:t>?</w:t>
      </w:r>
      <w:bookmarkEnd w:id="50"/>
    </w:p>
    <w:p w14:paraId="6FE1EA9E" w14:textId="55C20880" w:rsidR="005A1C52" w:rsidRPr="00C87EC1" w:rsidRDefault="005A1C52" w:rsidP="00D80997">
      <w:pPr>
        <w:pStyle w:val="Paragraphe"/>
        <w:spacing w:line="280" w:lineRule="exact"/>
      </w:pPr>
      <w:r w:rsidRPr="00C87EC1">
        <w:t xml:space="preserve">Le PGQ soutient que le juge a commis une erreur en déterminant que le profilage racial est </w:t>
      </w:r>
      <w:r w:rsidR="00CC1906">
        <w:t xml:space="preserve">un effet de </w:t>
      </w:r>
      <w:r w:rsidR="00CB48BA" w:rsidRPr="00C87EC1">
        <w:t>la</w:t>
      </w:r>
      <w:r w:rsidR="00DA4EF6" w:rsidRPr="00C87EC1">
        <w:t xml:space="preserve"> règle </w:t>
      </w:r>
      <w:r w:rsidR="004C4128" w:rsidRPr="00C87EC1">
        <w:t>de droit contestée</w:t>
      </w:r>
      <w:r w:rsidRPr="00C87EC1">
        <w:t xml:space="preserve"> et non </w:t>
      </w:r>
      <w:r w:rsidR="00CC1906">
        <w:t>de</w:t>
      </w:r>
      <w:r w:rsidRPr="00C87EC1">
        <w:t xml:space="preserve"> l’application dérogatoire de </w:t>
      </w:r>
      <w:r w:rsidR="00C11A99" w:rsidRPr="00C87EC1">
        <w:t xml:space="preserve">celle-ci </w:t>
      </w:r>
      <w:r w:rsidRPr="00C87EC1">
        <w:t>par les policiers. Il plaide que</w:t>
      </w:r>
      <w:r w:rsidR="00C65530" w:rsidRPr="00C87EC1">
        <w:t>,</w:t>
      </w:r>
      <w:r w:rsidRPr="00C87EC1">
        <w:t xml:space="preserve"> </w:t>
      </w:r>
      <w:r w:rsidR="00C65530" w:rsidRPr="00C87EC1">
        <w:t xml:space="preserve">selon </w:t>
      </w:r>
      <w:r w:rsidR="00C11A99" w:rsidRPr="00C87EC1">
        <w:t>ce</w:t>
      </w:r>
      <w:r w:rsidR="00CB48BA" w:rsidRPr="00C87EC1">
        <w:t>tte</w:t>
      </w:r>
      <w:r w:rsidR="00DA4EF6" w:rsidRPr="00C87EC1">
        <w:t xml:space="preserve"> règle</w:t>
      </w:r>
      <w:r w:rsidR="00C65530" w:rsidRPr="00C87EC1">
        <w:t>,</w:t>
      </w:r>
      <w:r w:rsidRPr="00C87EC1">
        <w:t xml:space="preserve"> le pouvoir d’interception </w:t>
      </w:r>
      <w:r w:rsidR="00D20C36">
        <w:t>se limite</w:t>
      </w:r>
      <w:r w:rsidRPr="00C87EC1">
        <w:t xml:space="preserve"> à des fins très précises liées à la sécurité routière, soit la vérification de la sobriété du conducteur, de la validité de son permis de conduire, de </w:t>
      </w:r>
      <w:r w:rsidR="00F55D9C">
        <w:t>sa preuve d’</w:t>
      </w:r>
      <w:r w:rsidRPr="00C87EC1">
        <w:t>assurance et de l’état mécanique du véhicule</w:t>
      </w:r>
      <w:r w:rsidR="009E0345" w:rsidRPr="00C87EC1">
        <w:rPr>
          <w:rStyle w:val="Appelnotedebasdep"/>
        </w:rPr>
        <w:footnoteReference w:id="56"/>
      </w:r>
      <w:r w:rsidRPr="00C87EC1">
        <w:t>. Elle n’autorise pas les interceptions à d’autres fins (par exemple, afin de mener une enquête criminelle) ni le profilage racial</w:t>
      </w:r>
      <w:r w:rsidR="00932905">
        <w:t>.</w:t>
      </w:r>
    </w:p>
    <w:p w14:paraId="48F2B0A6" w14:textId="4FD85E21" w:rsidR="005A1C52" w:rsidRPr="00C87EC1" w:rsidRDefault="005A1C52" w:rsidP="00D80997">
      <w:pPr>
        <w:pStyle w:val="Paragraphe"/>
        <w:spacing w:line="280" w:lineRule="exact"/>
      </w:pPr>
      <w:r w:rsidRPr="00C87EC1">
        <w:t xml:space="preserve">Selon le PGQ, il s’agit d’une erreur de droit sur une question cruciale qui emporte l’ensemble de l’appel puisque si le profilage racial n’est pas un effet </w:t>
      </w:r>
      <w:r w:rsidR="00DA4EF6" w:rsidRPr="00C87EC1">
        <w:t>de</w:t>
      </w:r>
      <w:r w:rsidR="00CB48BA" w:rsidRPr="00C87EC1">
        <w:t xml:space="preserve"> la</w:t>
      </w:r>
      <w:r w:rsidRPr="00C87EC1">
        <w:t xml:space="preserve"> règle de droit</w:t>
      </w:r>
      <w:r w:rsidR="00F55D9C">
        <w:t xml:space="preserve"> contestée</w:t>
      </w:r>
      <w:r w:rsidRPr="002D1820">
        <w:t xml:space="preserve">, </w:t>
      </w:r>
      <w:r w:rsidR="00ED46C7" w:rsidRPr="002D1820">
        <w:t>on ne peut conclure</w:t>
      </w:r>
      <w:r w:rsidR="00975616" w:rsidRPr="002D1820">
        <w:t xml:space="preserve"> que</w:t>
      </w:r>
      <w:r w:rsidR="00975616">
        <w:t xml:space="preserve"> </w:t>
      </w:r>
      <w:r w:rsidRPr="00C87EC1">
        <w:t xml:space="preserve">celle-ci porte atteinte aux droits protégés par les </w:t>
      </w:r>
      <w:r w:rsidR="00052CF1" w:rsidRPr="00C87EC1">
        <w:t>art</w:t>
      </w:r>
      <w:r w:rsidR="00052CF1">
        <w:t>.</w:t>
      </w:r>
      <w:r w:rsidR="007B3975">
        <w:t> </w:t>
      </w:r>
      <w:r w:rsidRPr="00C87EC1">
        <w:t xml:space="preserve">7 et 15 de la </w:t>
      </w:r>
      <w:r w:rsidRPr="00C87EC1">
        <w:rPr>
          <w:i/>
          <w:iCs/>
        </w:rPr>
        <w:t>Charte</w:t>
      </w:r>
      <w:r w:rsidRPr="00C87EC1">
        <w:t xml:space="preserve">. En outre, si </w:t>
      </w:r>
      <w:r w:rsidR="00DD4114">
        <w:t>le profilage</w:t>
      </w:r>
      <w:r w:rsidR="00DE5E3F">
        <w:t xml:space="preserve"> racial</w:t>
      </w:r>
      <w:r w:rsidR="00DD4114">
        <w:t xml:space="preserve"> n’est pas un effet de la </w:t>
      </w:r>
      <w:r w:rsidR="00052CF1">
        <w:t>règle de droit contestée</w:t>
      </w:r>
      <w:r w:rsidRPr="00C87EC1">
        <w:t xml:space="preserve">, il ne constitue pas non plus un effet préjudiciable </w:t>
      </w:r>
      <w:r w:rsidR="00DA4EF6" w:rsidRPr="00C87EC1">
        <w:t>de</w:t>
      </w:r>
      <w:r w:rsidR="00CB48BA" w:rsidRPr="00C87EC1">
        <w:t xml:space="preserve"> </w:t>
      </w:r>
      <w:r w:rsidR="00052CF1">
        <w:t>celle-ci</w:t>
      </w:r>
      <w:r w:rsidRPr="00C87EC1">
        <w:t xml:space="preserve"> dans l’analyse de la justification de l’atteinte au droit protégé par l’art</w:t>
      </w:r>
      <w:r w:rsidR="00052CF1">
        <w:t>.</w:t>
      </w:r>
      <w:r w:rsidR="001F4C1F">
        <w:t> </w:t>
      </w:r>
      <w:r w:rsidRPr="00C87EC1">
        <w:t xml:space="preserve">9 de la </w:t>
      </w:r>
      <w:r w:rsidRPr="00C87EC1">
        <w:rPr>
          <w:i/>
          <w:iCs/>
        </w:rPr>
        <w:t>Charte</w:t>
      </w:r>
      <w:r w:rsidRPr="00C87EC1">
        <w:t xml:space="preserve">. En conséquence, la preuve du profilage racial sur la justification n’est pas pertinente et ne peut changer la donne au sens des arrêts </w:t>
      </w:r>
      <w:r w:rsidRPr="00C87EC1">
        <w:rPr>
          <w:i/>
          <w:iCs/>
        </w:rPr>
        <w:t>Bedford</w:t>
      </w:r>
      <w:r w:rsidR="003672FF" w:rsidRPr="003672FF">
        <w:rPr>
          <w:rStyle w:val="Appelnotedebasdep"/>
        </w:rPr>
        <w:footnoteReference w:id="57"/>
      </w:r>
      <w:r w:rsidRPr="00C87EC1">
        <w:t xml:space="preserve">, </w:t>
      </w:r>
      <w:r w:rsidRPr="00C87EC1">
        <w:rPr>
          <w:i/>
          <w:iCs/>
        </w:rPr>
        <w:t>Carter</w:t>
      </w:r>
      <w:r w:rsidR="004303BE">
        <w:rPr>
          <w:i/>
          <w:iCs/>
        </w:rPr>
        <w:t xml:space="preserve"> c. Canada (Procureur général)</w:t>
      </w:r>
      <w:r w:rsidR="003672FF" w:rsidRPr="003672FF">
        <w:rPr>
          <w:rStyle w:val="Appelnotedebasdep"/>
        </w:rPr>
        <w:footnoteReference w:id="58"/>
      </w:r>
      <w:r w:rsidRPr="003672FF">
        <w:t xml:space="preserve"> </w:t>
      </w:r>
      <w:r w:rsidRPr="00C87EC1">
        <w:t xml:space="preserve">et </w:t>
      </w:r>
      <w:r w:rsidR="004303BE" w:rsidRPr="004303BE">
        <w:rPr>
          <w:i/>
          <w:iCs/>
        </w:rPr>
        <w:t>R. c</w:t>
      </w:r>
      <w:r w:rsidR="004303BE">
        <w:t xml:space="preserve">. </w:t>
      </w:r>
      <w:r w:rsidRPr="00C87EC1">
        <w:rPr>
          <w:i/>
          <w:iCs/>
        </w:rPr>
        <w:t>Comeau</w:t>
      </w:r>
      <w:r w:rsidR="003672FF" w:rsidRPr="003672FF">
        <w:rPr>
          <w:rStyle w:val="Appelnotedebasdep"/>
        </w:rPr>
        <w:footnoteReference w:id="59"/>
      </w:r>
      <w:r w:rsidR="00F17D56">
        <w:t xml:space="preserve"> </w:t>
      </w:r>
      <w:r w:rsidR="00052CF1">
        <w:t xml:space="preserve">de </w:t>
      </w:r>
      <w:r w:rsidR="007B3975">
        <w:t xml:space="preserve">façon </w:t>
      </w:r>
      <w:r w:rsidR="00052CF1">
        <w:t xml:space="preserve">à permettre le réexamen de </w:t>
      </w:r>
      <w:r w:rsidRPr="00C87EC1">
        <w:t xml:space="preserve">l’arrêt </w:t>
      </w:r>
      <w:r w:rsidRPr="00C87EC1">
        <w:rPr>
          <w:i/>
          <w:iCs/>
        </w:rPr>
        <w:t>Ladouceur</w:t>
      </w:r>
      <w:r w:rsidRPr="00C87EC1">
        <w:t xml:space="preserve">. </w:t>
      </w:r>
    </w:p>
    <w:p w14:paraId="55C7C920" w14:textId="1CD1C461" w:rsidR="005A1C52" w:rsidRPr="00C87EC1" w:rsidRDefault="005A1C52" w:rsidP="00D80997">
      <w:pPr>
        <w:pStyle w:val="Paragraphe"/>
        <w:spacing w:line="280" w:lineRule="exact"/>
      </w:pPr>
      <w:r w:rsidRPr="00C87EC1">
        <w:t xml:space="preserve">Puisque la Cour conclut que l’arrêt </w:t>
      </w:r>
      <w:r w:rsidRPr="00C87EC1">
        <w:rPr>
          <w:i/>
          <w:iCs/>
        </w:rPr>
        <w:t xml:space="preserve">Ladouceur </w:t>
      </w:r>
      <w:r w:rsidRPr="00C87EC1">
        <w:t>n’a pas élargi la règle de</w:t>
      </w:r>
      <w:r w:rsidRPr="00C87EC1">
        <w:rPr>
          <w:i/>
          <w:iCs/>
        </w:rPr>
        <w:t xml:space="preserve"> </w:t>
      </w:r>
      <w:r w:rsidRPr="00C023B9">
        <w:t>common law</w:t>
      </w:r>
      <w:r w:rsidRPr="00C87EC1">
        <w:t xml:space="preserve"> établie dans l’arrêt </w:t>
      </w:r>
      <w:r w:rsidRPr="00C87EC1">
        <w:rPr>
          <w:i/>
          <w:iCs/>
        </w:rPr>
        <w:t>Dedman</w:t>
      </w:r>
      <w:r w:rsidRPr="00C87EC1">
        <w:t xml:space="preserve">, laquelle ne vise que les interceptions </w:t>
      </w:r>
      <w:r w:rsidR="00DD4114">
        <w:t xml:space="preserve">effectuées </w:t>
      </w:r>
      <w:r w:rsidRPr="00C87EC1">
        <w:t>dans le cadre d’un programme structuré,</w:t>
      </w:r>
      <w:r w:rsidR="00052CF1">
        <w:t xml:space="preserve"> ce qui n’est pas le cas en l’espèce,</w:t>
      </w:r>
      <w:r w:rsidRPr="00C87EC1">
        <w:t xml:space="preserve"> l’analyse</w:t>
      </w:r>
      <w:r w:rsidR="00C016E5">
        <w:t xml:space="preserve"> de l’ensemble des questions en litige</w:t>
      </w:r>
      <w:r w:rsidRPr="00C87EC1">
        <w:t xml:space="preserve"> ne portera que sur l’art</w:t>
      </w:r>
      <w:r w:rsidR="00052CF1">
        <w:t>.</w:t>
      </w:r>
      <w:r w:rsidRPr="00C87EC1">
        <w:t xml:space="preserve"> 636 </w:t>
      </w:r>
      <w:r w:rsidRPr="00C87EC1">
        <w:rPr>
          <w:i/>
          <w:iCs/>
        </w:rPr>
        <w:t>C.s.r</w:t>
      </w:r>
      <w:r w:rsidRPr="00C87EC1">
        <w:t xml:space="preserve">. </w:t>
      </w:r>
    </w:p>
    <w:p w14:paraId="6C7BC656" w14:textId="346D89CA" w:rsidR="005A1C52" w:rsidRPr="00DD6FD3" w:rsidRDefault="005A1C52" w:rsidP="00DD6FD3">
      <w:pPr>
        <w:spacing w:before="120" w:after="120"/>
        <w:jc w:val="center"/>
        <w:rPr>
          <w:sz w:val="28"/>
          <w:szCs w:val="28"/>
        </w:rPr>
      </w:pPr>
      <w:r w:rsidRPr="00DD6FD3">
        <w:rPr>
          <w:sz w:val="28"/>
          <w:szCs w:val="28"/>
        </w:rPr>
        <w:t>*</w:t>
      </w:r>
      <w:r w:rsidR="00DD6FD3">
        <w:rPr>
          <w:sz w:val="28"/>
          <w:szCs w:val="28"/>
        </w:rPr>
        <w:t xml:space="preserve"> </w:t>
      </w:r>
      <w:r w:rsidRPr="00DD6FD3">
        <w:rPr>
          <w:sz w:val="28"/>
          <w:szCs w:val="28"/>
        </w:rPr>
        <w:t>*</w:t>
      </w:r>
      <w:r w:rsidR="00DD6FD3">
        <w:rPr>
          <w:sz w:val="28"/>
          <w:szCs w:val="28"/>
        </w:rPr>
        <w:t xml:space="preserve"> </w:t>
      </w:r>
      <w:r w:rsidRPr="00DD6FD3">
        <w:rPr>
          <w:sz w:val="28"/>
          <w:szCs w:val="28"/>
        </w:rPr>
        <w:t>*</w:t>
      </w:r>
    </w:p>
    <w:p w14:paraId="6374B8CB" w14:textId="7C907F7F" w:rsidR="005A1C52" w:rsidRPr="00C87EC1" w:rsidRDefault="005A1C52" w:rsidP="00D80997">
      <w:pPr>
        <w:pStyle w:val="Paragraphe"/>
        <w:spacing w:line="280" w:lineRule="exact"/>
      </w:pPr>
      <w:r w:rsidRPr="00C87EC1">
        <w:t>La question de savoir si l’art</w:t>
      </w:r>
      <w:r w:rsidR="00052CF1">
        <w:t>.</w:t>
      </w:r>
      <w:r w:rsidRPr="00C87EC1">
        <w:t xml:space="preserve"> 636 </w:t>
      </w:r>
      <w:r w:rsidRPr="00C87EC1">
        <w:rPr>
          <w:i/>
          <w:iCs/>
        </w:rPr>
        <w:t>C.s.r</w:t>
      </w:r>
      <w:r w:rsidRPr="00C87EC1">
        <w:t xml:space="preserve">. est la source du profilage racial dans les interceptions routières sans motif requis est déterminante </w:t>
      </w:r>
      <w:r w:rsidR="00BA6858" w:rsidRPr="00C87EC1">
        <w:t>sur</w:t>
      </w:r>
      <w:r w:rsidRPr="00C87EC1">
        <w:t xml:space="preserve"> l’issue du pourvoi. Le PGQ ne conteste pas la preuve selon laquelle il y a du profilage racial lors d’interceptions routières effectuées en vertu de l’art</w:t>
      </w:r>
      <w:r w:rsidR="00052CF1">
        <w:t>.</w:t>
      </w:r>
      <w:r w:rsidRPr="00C87EC1">
        <w:t xml:space="preserve"> 636 </w:t>
      </w:r>
      <w:r w:rsidRPr="00C87EC1">
        <w:rPr>
          <w:i/>
          <w:iCs/>
        </w:rPr>
        <w:t>C.s.r.</w:t>
      </w:r>
      <w:r w:rsidRPr="00C87EC1">
        <w:t xml:space="preserve">, mais, à son avis, cela n’entraîne pas l’invalidité constitutionnelle de la disposition, car c’est le comportement illégal des policiers </w:t>
      </w:r>
      <w:r w:rsidR="00641F2D">
        <w:t xml:space="preserve">dans son application </w:t>
      </w:r>
      <w:r w:rsidRPr="00C87EC1">
        <w:t xml:space="preserve">qui en est la cause. La distinction est importante </w:t>
      </w:r>
      <w:r w:rsidR="00713AAF">
        <w:t>au chapitre de</w:t>
      </w:r>
      <w:r w:rsidRPr="00C87EC1">
        <w:t xml:space="preserve"> la réparation</w:t>
      </w:r>
      <w:r w:rsidR="00F80A5E">
        <w:t>.</w:t>
      </w:r>
    </w:p>
    <w:p w14:paraId="0FE21ECA" w14:textId="780BD2BE" w:rsidR="005A1C52" w:rsidRPr="00C87EC1" w:rsidRDefault="005A1C52" w:rsidP="00D80997">
      <w:pPr>
        <w:pStyle w:val="Paragraphe"/>
        <w:spacing w:line="280" w:lineRule="exact"/>
      </w:pPr>
      <w:r w:rsidRPr="00C87EC1">
        <w:t xml:space="preserve">En effet, on distingue deux types d’atteintes à la </w:t>
      </w:r>
      <w:r w:rsidRPr="00C87EC1">
        <w:rPr>
          <w:i/>
          <w:iCs/>
        </w:rPr>
        <w:t>Charte,</w:t>
      </w:r>
      <w:r w:rsidRPr="00C87EC1">
        <w:t xml:space="preserve"> soit celle causée par une règle de droit incompatible avec la </w:t>
      </w:r>
      <w:r w:rsidRPr="00C87EC1">
        <w:rPr>
          <w:i/>
          <w:iCs/>
        </w:rPr>
        <w:t>Charte</w:t>
      </w:r>
      <w:r w:rsidRPr="00C87EC1">
        <w:t xml:space="preserve"> et celle découlant d’une application dérogatoire d’une règle de droit par ailleurs valide</w:t>
      </w:r>
      <w:r w:rsidRPr="00C87EC1">
        <w:rPr>
          <w:rStyle w:val="Appelnotedebasdep"/>
        </w:rPr>
        <w:footnoteReference w:id="60"/>
      </w:r>
      <w:r w:rsidRPr="00C87EC1">
        <w:t>. Ce n’est que le premier type d’atteinte qui peut entraîner l’invalidité d’une règle de droit et fonder une réparation en vertu du par.</w:t>
      </w:r>
      <w:r w:rsidR="00E17DFD">
        <w:t> </w:t>
      </w:r>
      <w:r w:rsidRPr="00C87EC1">
        <w:t xml:space="preserve">52(1) de la </w:t>
      </w:r>
      <w:r w:rsidRPr="00C87EC1">
        <w:rPr>
          <w:i/>
          <w:iCs/>
        </w:rPr>
        <w:t>Loi constitutionnelle de 1982</w:t>
      </w:r>
      <w:r w:rsidRPr="00C87EC1">
        <w:rPr>
          <w:rStyle w:val="Appelnotedebasdep"/>
        </w:rPr>
        <w:footnoteReference w:id="61"/>
      </w:r>
      <w:r w:rsidRPr="00C87EC1">
        <w:t>. Quant au deuxième type d’atteinte, il ne concerne que la validité d’un acte ou d’une décision de l’État. Or, en principe, le comportement inapproprié (illégal) des représentants de l’État ne saurait rendre inconstitutionnelle une règle de droit par ailleurs constitutionnelle</w:t>
      </w:r>
      <w:r w:rsidRPr="00C87EC1">
        <w:rPr>
          <w:rStyle w:val="Appelnotedebasdep"/>
        </w:rPr>
        <w:footnoteReference w:id="62"/>
      </w:r>
      <w:r w:rsidRPr="00C87EC1">
        <w:t xml:space="preserve">. La réparation, dans ce cas, découle de </w:t>
      </w:r>
      <w:r w:rsidR="00052CF1" w:rsidRPr="00C87EC1">
        <w:t>l’art</w:t>
      </w:r>
      <w:r w:rsidR="00052CF1">
        <w:t>. </w:t>
      </w:r>
      <w:r w:rsidRPr="00C87EC1">
        <w:t xml:space="preserve">24 de la </w:t>
      </w:r>
      <w:r w:rsidRPr="00C87EC1">
        <w:rPr>
          <w:i/>
          <w:iCs/>
        </w:rPr>
        <w:t>Charte</w:t>
      </w:r>
      <w:r w:rsidRPr="00C87EC1">
        <w:rPr>
          <w:rStyle w:val="Appelnotedebasdep"/>
        </w:rPr>
        <w:footnoteReference w:id="63"/>
      </w:r>
      <w:r w:rsidRPr="00C87EC1">
        <w:t xml:space="preserve">. Il est donc essentiel de déterminer quel type d’atteinte est en cause en l’espèce. </w:t>
      </w:r>
    </w:p>
    <w:p w14:paraId="70C3D318" w14:textId="195A61CB" w:rsidR="005A1C52" w:rsidRPr="00C87EC1" w:rsidRDefault="005A1C52" w:rsidP="00D80997">
      <w:pPr>
        <w:pStyle w:val="Paragraphe"/>
        <w:spacing w:line="280" w:lineRule="exact"/>
      </w:pPr>
      <w:r w:rsidRPr="00C87EC1">
        <w:t>Le PGQ soutient que</w:t>
      </w:r>
      <w:r w:rsidR="00BA6858" w:rsidRPr="00C87EC1">
        <w:t>,</w:t>
      </w:r>
      <w:r w:rsidRPr="00C87EC1">
        <w:t xml:space="preserve"> dans l’examen de la constitutionnalité de la règle de droit</w:t>
      </w:r>
      <w:r w:rsidR="00EE3B89">
        <w:t xml:space="preserve"> contestée</w:t>
      </w:r>
      <w:r w:rsidRPr="00C87EC1">
        <w:t>, l’effet analysé doit être celui occasionné par une application légitime et régulière de celle</w:t>
      </w:r>
      <w:r w:rsidRPr="00C87EC1">
        <w:noBreakHyphen/>
        <w:t>ci. Si le profilage racial est le résultat d’un comportement fautif des policiers, la réparation doit être celle prévue à l’art</w:t>
      </w:r>
      <w:r w:rsidR="009238C6">
        <w:t>.</w:t>
      </w:r>
      <w:r w:rsidR="00052CF1">
        <w:t> </w:t>
      </w:r>
      <w:r w:rsidRPr="00C87EC1">
        <w:t xml:space="preserve">24 de la </w:t>
      </w:r>
      <w:r w:rsidRPr="00C87EC1">
        <w:rPr>
          <w:i/>
          <w:iCs/>
        </w:rPr>
        <w:t>Charte</w:t>
      </w:r>
      <w:r w:rsidR="00F25FB7">
        <w:t>,</w:t>
      </w:r>
      <w:r w:rsidRPr="00C87EC1">
        <w:t xml:space="preserve"> et non une déclaration d’inopérabilité en vertu de l’art</w:t>
      </w:r>
      <w:r w:rsidR="00052CF1">
        <w:t>. </w:t>
      </w:r>
      <w:r w:rsidRPr="00C87EC1">
        <w:t xml:space="preserve">52 de la </w:t>
      </w:r>
      <w:r w:rsidRPr="00C87EC1">
        <w:rPr>
          <w:i/>
          <w:iCs/>
        </w:rPr>
        <w:t>Loi constitutionnelle de 1982</w:t>
      </w:r>
      <w:r w:rsidRPr="00C87EC1">
        <w:t>.</w:t>
      </w:r>
    </w:p>
    <w:p w14:paraId="238623E6" w14:textId="3CB2D64B" w:rsidR="005A1C52" w:rsidRPr="00C87EC1" w:rsidRDefault="005A1C52" w:rsidP="00241521">
      <w:pPr>
        <w:pStyle w:val="Paragraphe"/>
        <w:spacing w:line="280" w:lineRule="exact"/>
      </w:pPr>
      <w:r w:rsidRPr="00C87EC1">
        <w:t xml:space="preserve">La Cour ne partage pas ce point de vue. </w:t>
      </w:r>
      <w:r w:rsidR="00932905">
        <w:t>La question de savoir si l’art.</w:t>
      </w:r>
      <w:r w:rsidR="00241521">
        <w:t> </w:t>
      </w:r>
      <w:r w:rsidR="00932905">
        <w:t>636</w:t>
      </w:r>
      <w:r w:rsidR="00241521">
        <w:t> </w:t>
      </w:r>
      <w:r w:rsidR="00932905" w:rsidRPr="00593B67">
        <w:rPr>
          <w:i/>
          <w:iCs/>
        </w:rPr>
        <w:t>C.s.r</w:t>
      </w:r>
      <w:r w:rsidR="00932905">
        <w:t xml:space="preserve">. est en lui-même un vecteur de profilage racial, et donc la source des violations alléguées de la </w:t>
      </w:r>
      <w:r w:rsidR="00932905" w:rsidRPr="00417765">
        <w:rPr>
          <w:i/>
          <w:iCs/>
        </w:rPr>
        <w:t>Charte</w:t>
      </w:r>
      <w:r w:rsidR="00932905">
        <w:t xml:space="preserve">, n’est pas </w:t>
      </w:r>
      <w:r w:rsidR="00D748F2">
        <w:t>seulement une</w:t>
      </w:r>
      <w:r w:rsidR="00932905">
        <w:t xml:space="preserve"> question de droit, mais bien une question mixte de droit et de fait</w:t>
      </w:r>
      <w:r w:rsidR="00D748F2">
        <w:t xml:space="preserve">, car il faut examiner les effets de l’application de la disposition pour déterminer sa validité constitutionnelle. </w:t>
      </w:r>
      <w:r w:rsidRPr="00C87EC1">
        <w:t xml:space="preserve">Le juge n’a pas commis d’erreur </w:t>
      </w:r>
      <w:r w:rsidR="00D748F2">
        <w:t>à cet égard.</w:t>
      </w:r>
      <w:r w:rsidR="007A1C2C">
        <w:t xml:space="preserve"> </w:t>
      </w:r>
      <w:r w:rsidRPr="00C87EC1">
        <w:t xml:space="preserve">Même si </w:t>
      </w:r>
      <w:r w:rsidR="00D748F2">
        <w:t xml:space="preserve">l’art. 636 </w:t>
      </w:r>
      <w:r w:rsidR="00D748F2" w:rsidRPr="00593B67">
        <w:rPr>
          <w:i/>
          <w:iCs/>
        </w:rPr>
        <w:t>C.s.r</w:t>
      </w:r>
      <w:r w:rsidR="00D748F2">
        <w:t>.</w:t>
      </w:r>
      <w:r w:rsidRPr="00C87EC1">
        <w:t xml:space="preserve"> n’autorise pas expressément les interceptions routières fondées sur le profilage racial, la preuve a démontré que son effet est de permettre à celui</w:t>
      </w:r>
      <w:r w:rsidRPr="00C87EC1">
        <w:noBreakHyphen/>
        <w:t>ci de s’immiscer dans l’exercice du pouvoir discrétionnaire qu’</w:t>
      </w:r>
      <w:r w:rsidR="0001368F">
        <w:t>il</w:t>
      </w:r>
      <w:r w:rsidRPr="00C87EC1">
        <w:t xml:space="preserve"> confère aux policiers. C’est donc l’art</w:t>
      </w:r>
      <w:r w:rsidR="00052CF1">
        <w:t>. </w:t>
      </w:r>
      <w:r w:rsidRPr="00C87EC1">
        <w:t xml:space="preserve">636 </w:t>
      </w:r>
      <w:r w:rsidRPr="007A1C2C">
        <w:rPr>
          <w:i/>
          <w:iCs/>
        </w:rPr>
        <w:t>C.s.r.</w:t>
      </w:r>
      <w:r w:rsidRPr="00C87EC1">
        <w:t xml:space="preserve"> qui est la source des violations alléguées de la </w:t>
      </w:r>
      <w:r w:rsidRPr="007A1C2C">
        <w:rPr>
          <w:i/>
          <w:iCs/>
        </w:rPr>
        <w:t>Charte</w:t>
      </w:r>
      <w:r w:rsidRPr="00C87EC1">
        <w:t xml:space="preserve">. </w:t>
      </w:r>
    </w:p>
    <w:p w14:paraId="6C1C02D9" w14:textId="528CADC7" w:rsidR="005A1C52" w:rsidRPr="00C87EC1" w:rsidRDefault="005A1C52" w:rsidP="00D80997">
      <w:pPr>
        <w:pStyle w:val="Paragraphe"/>
        <w:spacing w:line="280" w:lineRule="exact"/>
      </w:pPr>
      <w:r w:rsidRPr="00C87EC1">
        <w:t xml:space="preserve">Lorsqu’une loi prévoit l’exercice d’un pouvoir </w:t>
      </w:r>
      <w:r w:rsidRPr="00DD6FD3">
        <w:t>discrétionnaire</w:t>
      </w:r>
      <w:r w:rsidRPr="00C87EC1">
        <w:t xml:space="preserve">, il faut, dans la mesure du possible, l’interpréter et l’appliquer de manière compatible avec la </w:t>
      </w:r>
      <w:r w:rsidRPr="00C87EC1">
        <w:rPr>
          <w:i/>
          <w:iCs/>
        </w:rPr>
        <w:t>Charte</w:t>
      </w:r>
      <w:r w:rsidRPr="00C87EC1">
        <w:rPr>
          <w:rStyle w:val="Appelnotedebasdep"/>
        </w:rPr>
        <w:footnoteReference w:id="64"/>
      </w:r>
      <w:r w:rsidRPr="00C87EC1">
        <w:t xml:space="preserve">. Cela n’est toutefois pas toujours </w:t>
      </w:r>
      <w:r w:rsidR="00834D4B">
        <w:t>possible</w:t>
      </w:r>
      <w:r w:rsidRPr="00C87EC1">
        <w:t xml:space="preserve">. En effet, ce ne sont pas toutes les règles de droit attributives d’un pouvoir discrétionnaire qui peuvent être interprétées comme étant conformes à la </w:t>
      </w:r>
      <w:r w:rsidRPr="00C87EC1">
        <w:rPr>
          <w:i/>
          <w:iCs/>
        </w:rPr>
        <w:t>Charte</w:t>
      </w:r>
      <w:r w:rsidRPr="00C87EC1">
        <w:rPr>
          <w:rStyle w:val="Appelnotedebasdep"/>
        </w:rPr>
        <w:footnoteReference w:id="65"/>
      </w:r>
      <w:r w:rsidRPr="00C87EC1">
        <w:t>. Il arrive qu</w:t>
      </w:r>
      <w:r w:rsidR="00B421A4">
        <w:t>’il</w:t>
      </w:r>
      <w:r w:rsidRPr="00C87EC1">
        <w:t xml:space="preserve"> soit impossible de conclure que le législateur n’avait pas l’intention d’autoriser la conduite attentatoire</w:t>
      </w:r>
      <w:r w:rsidRPr="00C87EC1">
        <w:rPr>
          <w:rStyle w:val="Appelnotedebasdep"/>
        </w:rPr>
        <w:footnoteReference w:id="66"/>
      </w:r>
      <w:r w:rsidRPr="00C87EC1">
        <w:t>, ou encore d’interpréter une disposition législative</w:t>
      </w:r>
      <w:r w:rsidR="00B421A4">
        <w:t xml:space="preserve"> (de manière à la garder dans les limites de la constitutionnalité)</w:t>
      </w:r>
      <w:r w:rsidRPr="00C87EC1">
        <w:t xml:space="preserve"> sans empiéter sur le rôle de celui-ci. Le juge Dickson s’exprime ainsi à cet égard</w:t>
      </w:r>
      <w:r w:rsidR="00B16A65">
        <w:t xml:space="preserve"> </w:t>
      </w:r>
      <w:r w:rsidRPr="00C87EC1">
        <w:t xml:space="preserve">dans l’arrêt </w:t>
      </w:r>
      <w:r w:rsidRPr="00C87EC1">
        <w:rPr>
          <w:i/>
          <w:iCs/>
        </w:rPr>
        <w:t>Hunter c. Southam inc.</w:t>
      </w:r>
      <w:r w:rsidRPr="00C87EC1">
        <w:t> :</w:t>
      </w:r>
    </w:p>
    <w:p w14:paraId="09A625F0" w14:textId="77777777" w:rsidR="005A1C52" w:rsidRPr="00C87EC1" w:rsidRDefault="005A1C52" w:rsidP="005A1C52">
      <w:pPr>
        <w:pStyle w:val="Citationenretrait"/>
      </w:pPr>
      <w:r w:rsidRPr="004253D8">
        <w:t>Même si les tribunaux sont les gardiens de la Constitution et des droits qu’elle confère aux particuliers, il incombe à la législature d’adopter des lois qui contiennent les garanties appropriées permettant de satisfaire aux exigences de la Constitution. Il n’appartient pas aux tribunaux d’ajouter les détails qui rendent constitutionnelles les lacunes législatives.</w:t>
      </w:r>
      <w:r w:rsidRPr="004253D8">
        <w:rPr>
          <w:rStyle w:val="Appelnotedebasdep"/>
          <w:szCs w:val="18"/>
        </w:rPr>
        <w:footnoteReference w:id="67"/>
      </w:r>
    </w:p>
    <w:p w14:paraId="460A1944" w14:textId="6784241C" w:rsidR="005A1C52" w:rsidRPr="00C87EC1" w:rsidRDefault="005A1C52" w:rsidP="00D80997">
      <w:pPr>
        <w:pStyle w:val="Paragraphe"/>
        <w:spacing w:line="280" w:lineRule="exact"/>
      </w:pPr>
      <w:r w:rsidRPr="00C87EC1">
        <w:t xml:space="preserve">Il arrive donc que des dispositions législatives ou des règles de droit prévoyant un pouvoir discrétionnaire portent nécessairement atteinte aux droits garantis par la </w:t>
      </w:r>
      <w:r w:rsidRPr="00C87EC1">
        <w:rPr>
          <w:i/>
          <w:iCs/>
        </w:rPr>
        <w:t xml:space="preserve">Charte, </w:t>
      </w:r>
      <w:r w:rsidRPr="00C87EC1">
        <w:t>et ce, même si elles n’autorisent pas expressément une telle atteinte</w:t>
      </w:r>
      <w:r w:rsidRPr="00C87EC1">
        <w:rPr>
          <w:rStyle w:val="Appelnotedebasdep"/>
        </w:rPr>
        <w:footnoteReference w:id="68"/>
      </w:r>
      <w:r w:rsidRPr="00C87EC1">
        <w:t xml:space="preserve">. </w:t>
      </w:r>
      <w:r w:rsidR="00DB22EB" w:rsidRPr="00CB32A5">
        <w:t>Dans</w:t>
      </w:r>
      <w:r w:rsidR="00DB22EB">
        <w:t xml:space="preserve"> de tels cas, </w:t>
      </w:r>
      <w:r w:rsidR="00DB22EB" w:rsidRPr="00CB32A5">
        <w:t xml:space="preserve">c’est </w:t>
      </w:r>
      <w:r w:rsidR="00DB22EB">
        <w:t xml:space="preserve">généralement </w:t>
      </w:r>
      <w:r w:rsidR="00DB22EB" w:rsidRPr="00CB32A5">
        <w:t xml:space="preserve">la loi ou la règle de droit elle-même qui doit être examinée au regard de la </w:t>
      </w:r>
      <w:r w:rsidR="00DB22EB" w:rsidRPr="007B48D5">
        <w:rPr>
          <w:i/>
          <w:iCs/>
        </w:rPr>
        <w:t>Charte</w:t>
      </w:r>
      <w:r w:rsidR="00DB22EB" w:rsidRPr="00CB32A5">
        <w:rPr>
          <w:rStyle w:val="Appelnotedebasdep"/>
        </w:rPr>
        <w:footnoteReference w:id="69"/>
      </w:r>
      <w:r w:rsidR="00DB22EB" w:rsidRPr="00CB32A5">
        <w:t>.</w:t>
      </w:r>
    </w:p>
    <w:p w14:paraId="77398AD9" w14:textId="1D95D2F5" w:rsidR="005A1C52" w:rsidRPr="00C87EC1" w:rsidRDefault="005A1C52" w:rsidP="00D80997">
      <w:pPr>
        <w:pStyle w:val="Paragraphe"/>
        <w:spacing w:line="280" w:lineRule="exact"/>
      </w:pPr>
      <w:r w:rsidRPr="00C87EC1">
        <w:t>Le fait que la loi ou la règle de droit contestée co</w:t>
      </w:r>
      <w:r w:rsidRPr="004253D8">
        <w:t xml:space="preserve">nfère à un agent ou mandataire de l’État le pouvoir discrétionnaire de ne pas l’appliquer « dans les cas où il estime que son application entraînerait une violation de la </w:t>
      </w:r>
      <w:r w:rsidRPr="004253D8">
        <w:rPr>
          <w:i/>
          <w:iCs/>
        </w:rPr>
        <w:t>Charte</w:t>
      </w:r>
      <w:r w:rsidRPr="004253D8">
        <w:t> »</w:t>
      </w:r>
      <w:r w:rsidRPr="004253D8">
        <w:rPr>
          <w:rStyle w:val="Appelnotedebasdep"/>
        </w:rPr>
        <w:footnoteReference w:id="70"/>
      </w:r>
      <w:r w:rsidRPr="00C87EC1">
        <w:t xml:space="preserve"> ne suffit pas en soi à en assurer la sauvegarde</w:t>
      </w:r>
      <w:r w:rsidRPr="00C87EC1">
        <w:rPr>
          <w:rStyle w:val="Appelnotedebasdep"/>
        </w:rPr>
        <w:footnoteReference w:id="71"/>
      </w:r>
      <w:r w:rsidRPr="00C87EC1">
        <w:t xml:space="preserve">. Les arrêts </w:t>
      </w:r>
      <w:r w:rsidR="00EB1873" w:rsidRPr="00C87EC1">
        <w:rPr>
          <w:i/>
          <w:iCs/>
        </w:rPr>
        <w:t>Morgentaler</w:t>
      </w:r>
      <w:r w:rsidR="00EB1873" w:rsidRPr="00C87EC1">
        <w:rPr>
          <w:rStyle w:val="Appelnotedebasdep"/>
        </w:rPr>
        <w:footnoteReference w:id="72"/>
      </w:r>
      <w:r w:rsidR="00DD6FD3">
        <w:t>,</w:t>
      </w:r>
      <w:r w:rsidR="00EB1873" w:rsidRPr="00C87EC1">
        <w:t xml:space="preserve"> </w:t>
      </w:r>
      <w:r w:rsidR="00EB1873" w:rsidRPr="00C87EC1">
        <w:rPr>
          <w:i/>
          <w:iCs/>
        </w:rPr>
        <w:t>Hunter</w:t>
      </w:r>
      <w:r w:rsidR="00EB1873" w:rsidRPr="00C87EC1">
        <w:t xml:space="preserve">, </w:t>
      </w:r>
      <w:r w:rsidRPr="00C87EC1">
        <w:rPr>
          <w:i/>
          <w:iCs/>
        </w:rPr>
        <w:t>Bain</w:t>
      </w:r>
      <w:r w:rsidR="008F72C5">
        <w:rPr>
          <w:i/>
          <w:iCs/>
        </w:rPr>
        <w:t xml:space="preserve"> </w:t>
      </w:r>
      <w:r w:rsidR="00EB1873" w:rsidRPr="008F72C5">
        <w:t>et</w:t>
      </w:r>
      <w:r w:rsidRPr="00C87EC1">
        <w:rPr>
          <w:i/>
          <w:iCs/>
        </w:rPr>
        <w:t xml:space="preserve"> Nur</w:t>
      </w:r>
      <w:r w:rsidRPr="00C87EC1">
        <w:rPr>
          <w:rStyle w:val="Appelnotedebasdep"/>
        </w:rPr>
        <w:footnoteReference w:id="73"/>
      </w:r>
      <w:r w:rsidRPr="00C87EC1">
        <w:t xml:space="preserve">, sur lesquels s’appuie le juge de première </w:t>
      </w:r>
      <w:r w:rsidRPr="002D1820">
        <w:t>instance,</w:t>
      </w:r>
      <w:r w:rsidRPr="00C87EC1">
        <w:t xml:space="preserve"> illustrent ces principes.</w:t>
      </w:r>
    </w:p>
    <w:p w14:paraId="75908F6E" w14:textId="15A65037" w:rsidR="005A1C52" w:rsidRPr="00A55BD9" w:rsidRDefault="005A1C52" w:rsidP="00D80997">
      <w:pPr>
        <w:pStyle w:val="Paragraphe"/>
        <w:spacing w:line="280" w:lineRule="exact"/>
      </w:pPr>
      <w:r w:rsidRPr="00C87EC1">
        <w:t xml:space="preserve">Dans l’arrêt </w:t>
      </w:r>
      <w:r w:rsidRPr="00C87EC1">
        <w:rPr>
          <w:i/>
          <w:iCs/>
        </w:rPr>
        <w:t>Morgentaler</w:t>
      </w:r>
      <w:r w:rsidRPr="00C87EC1">
        <w:t xml:space="preserve">, la Cour suprême devait déterminer si les dispositions du </w:t>
      </w:r>
      <w:r w:rsidRPr="00C87EC1">
        <w:rPr>
          <w:i/>
          <w:iCs/>
        </w:rPr>
        <w:t>Code criminel</w:t>
      </w:r>
      <w:r w:rsidRPr="00C87EC1">
        <w:t xml:space="preserve"> sur l’avortement violaient </w:t>
      </w:r>
      <w:r w:rsidR="00834D4B" w:rsidRPr="00C87EC1">
        <w:t>l’art</w:t>
      </w:r>
      <w:r w:rsidR="00834D4B">
        <w:t>. </w:t>
      </w:r>
      <w:r w:rsidRPr="00C87EC1">
        <w:t xml:space="preserve">7 de la </w:t>
      </w:r>
      <w:r w:rsidRPr="00C87EC1">
        <w:rPr>
          <w:i/>
          <w:iCs/>
        </w:rPr>
        <w:t>Charte</w:t>
      </w:r>
      <w:r w:rsidRPr="00C87EC1">
        <w:t xml:space="preserve">. La Cour a analysé les effets de </w:t>
      </w:r>
      <w:r w:rsidR="00834D4B" w:rsidRPr="00C87EC1">
        <w:t>l’art</w:t>
      </w:r>
      <w:r w:rsidR="00834D4B">
        <w:t>. </w:t>
      </w:r>
      <w:r w:rsidRPr="00C87EC1">
        <w:t xml:space="preserve">251 </w:t>
      </w:r>
      <w:r w:rsidRPr="00C87EC1">
        <w:rPr>
          <w:i/>
          <w:iCs/>
        </w:rPr>
        <w:t>C.cr.</w:t>
      </w:r>
      <w:r w:rsidRPr="00C87EC1">
        <w:t>, lequel</w:t>
      </w:r>
      <w:r w:rsidR="00DB22EB">
        <w:t xml:space="preserve">, à l’époque, </w:t>
      </w:r>
      <w:r w:rsidR="00545AA9">
        <w:t>criminalisait</w:t>
      </w:r>
      <w:r w:rsidR="00DB22EB">
        <w:t xml:space="preserve"> l’avortement et</w:t>
      </w:r>
      <w:r w:rsidRPr="00C87EC1">
        <w:t xml:space="preserve"> prévoyait une </w:t>
      </w:r>
      <w:r w:rsidR="00545AA9">
        <w:t xml:space="preserve">« défense » </w:t>
      </w:r>
      <w:r w:rsidRPr="00C87EC1">
        <w:t xml:space="preserve">pour </w:t>
      </w:r>
      <w:r w:rsidRPr="00A55BD9">
        <w:t>les avortements thérapeutiques. Le juge en chef Dickson, pour la majorité, mentionne que « comme c’est souvent le cas en matière d’interprétation, la simple lecture des dispositions législatives ne dit pas tout. Pour comprendre la nature et la portée véritables de l’art. 251, il est nécessaire d’examiner l’application pratique des dispositions »</w:t>
      </w:r>
      <w:r w:rsidRPr="00A55BD9">
        <w:rPr>
          <w:rStyle w:val="Appelnotedebasdep"/>
        </w:rPr>
        <w:footnoteReference w:id="74"/>
      </w:r>
      <w:r w:rsidRPr="00A55BD9">
        <w:t xml:space="preserve">. </w:t>
      </w:r>
    </w:p>
    <w:p w14:paraId="45DB5EAE" w14:textId="1D7A1401" w:rsidR="005A1C52" w:rsidRPr="00A55BD9" w:rsidRDefault="005A1C52" w:rsidP="00D80997">
      <w:pPr>
        <w:pStyle w:val="Paragraphe"/>
        <w:spacing w:line="280" w:lineRule="exact"/>
      </w:pPr>
      <w:r w:rsidRPr="00A55BD9">
        <w:t>Le juge en chef Dickson examine</w:t>
      </w:r>
      <w:r w:rsidR="00F22428" w:rsidRPr="00A55BD9">
        <w:t xml:space="preserve"> donc</w:t>
      </w:r>
      <w:r w:rsidRPr="00A55BD9">
        <w:t xml:space="preserve"> la preuve de l’application de la loi à travers le Canada. Il reconnaît qu’une « application injuste de la loi peut être imputable à des forces externes qui n’ont rien à voir avec la loi elle-même »</w:t>
      </w:r>
      <w:r w:rsidRPr="00A55BD9">
        <w:rPr>
          <w:rStyle w:val="Appelnotedebasdep"/>
        </w:rPr>
        <w:footnoteReference w:id="75"/>
      </w:r>
      <w:r w:rsidRPr="00A55BD9">
        <w:t>.</w:t>
      </w:r>
      <w:r w:rsidRPr="00C87EC1">
        <w:t xml:space="preserve"> Il conclut cependant de la preuve qu’un grand nombre des problèmes les plus graves </w:t>
      </w:r>
      <w:r w:rsidR="00545AA9">
        <w:t>dans</w:t>
      </w:r>
      <w:r w:rsidRPr="00C87EC1">
        <w:t xml:space="preserve"> </w:t>
      </w:r>
      <w:r w:rsidRPr="00A55BD9">
        <w:t xml:space="preserve">l’application de </w:t>
      </w:r>
      <w:r w:rsidR="00834D4B" w:rsidRPr="00A55BD9">
        <w:t>l’art</w:t>
      </w:r>
      <w:r w:rsidR="00834D4B">
        <w:t>.</w:t>
      </w:r>
      <w:r w:rsidR="00834D4B" w:rsidRPr="00A55BD9">
        <w:t> </w:t>
      </w:r>
      <w:r w:rsidRPr="00A55BD9">
        <w:t>251</w:t>
      </w:r>
      <w:r w:rsidR="00241521">
        <w:t> </w:t>
      </w:r>
      <w:r w:rsidRPr="00A55BD9">
        <w:rPr>
          <w:i/>
          <w:iCs/>
        </w:rPr>
        <w:t>C.cr</w:t>
      </w:r>
      <w:r w:rsidR="00F22428" w:rsidRPr="00A55BD9">
        <w:rPr>
          <w:i/>
          <w:iCs/>
        </w:rPr>
        <w:t>.</w:t>
      </w:r>
      <w:r w:rsidR="00545AA9" w:rsidRPr="00A55BD9">
        <w:t xml:space="preserve"> résultent d</w:t>
      </w:r>
      <w:r w:rsidR="00834D4B">
        <w:t>’</w:t>
      </w:r>
      <w:r w:rsidR="00545AA9" w:rsidRPr="00A55BD9">
        <w:t>exigences administratives et de procédures établies par la loi elle-même</w:t>
      </w:r>
      <w:r w:rsidRPr="00A55BD9">
        <w:t>. Il note ceci :</w:t>
      </w:r>
    </w:p>
    <w:p w14:paraId="0BCC0C76" w14:textId="516EA54B" w:rsidR="005A1C52" w:rsidRPr="00C87EC1" w:rsidRDefault="005A1C52" w:rsidP="005A1C52">
      <w:pPr>
        <w:pStyle w:val="Citationenretrait"/>
      </w:pPr>
      <w:r w:rsidRPr="00A55BD9">
        <w:t>En d’autres termes, l’obligation du par. 251(4), neutre en apparence, qu’au moins quatre médecins soient disponibles pour autoriser et pratiquer un avortement, signifie en pratique qu’il serait absolument impossible d’obtenir un avortement dans près du quart de tous les hôpitaux au Canada.</w:t>
      </w:r>
      <w:r w:rsidRPr="00A55BD9">
        <w:rPr>
          <w:rStyle w:val="Appelnotedebasdep"/>
        </w:rPr>
        <w:footnoteReference w:id="76"/>
      </w:r>
    </w:p>
    <w:p w14:paraId="2E06B6C7" w14:textId="24555011" w:rsidR="005A1C52" w:rsidRPr="00C87EC1" w:rsidRDefault="00923624" w:rsidP="00D80997">
      <w:pPr>
        <w:pStyle w:val="Paragraphe"/>
        <w:spacing w:line="280" w:lineRule="exact"/>
      </w:pPr>
      <w:r>
        <w:t xml:space="preserve">D’autres exigences administratives et procédurales </w:t>
      </w:r>
      <w:r w:rsidR="00834D4B">
        <w:t xml:space="preserve">découlant </w:t>
      </w:r>
      <w:r>
        <w:t>du par. 251(4)</w:t>
      </w:r>
      <w:r w:rsidR="00965267">
        <w:t> </w:t>
      </w:r>
      <w:r w:rsidR="00965267" w:rsidRPr="00965267">
        <w:rPr>
          <w:i/>
          <w:iCs/>
        </w:rPr>
        <w:t>C.cr</w:t>
      </w:r>
      <w:r w:rsidR="00965267">
        <w:t>.</w:t>
      </w:r>
      <w:r>
        <w:t xml:space="preserve"> réduisaient la possibilité d’obtenir des avortements thérapeutiques, incluant notamment </w:t>
      </w:r>
      <w:r w:rsidR="005A1C52" w:rsidRPr="00C87EC1">
        <w:t>l’absence d’une norme adéquate permettant de guider les comités de médecins dans la décision d’autoriser ou non un avortement</w:t>
      </w:r>
      <w:r w:rsidR="00260CE1">
        <w:t xml:space="preserve"> thérapeutique</w:t>
      </w:r>
      <w:r w:rsidR="005A1C52" w:rsidRPr="00C87EC1">
        <w:t xml:space="preserve">. </w:t>
      </w:r>
      <w:r>
        <w:t xml:space="preserve">En vertu du </w:t>
      </w:r>
      <w:r w:rsidR="00260CE1">
        <w:t>par. 251(4)</w:t>
      </w:r>
      <w:r>
        <w:t xml:space="preserve">, </w:t>
      </w:r>
      <w:r w:rsidR="00260CE1">
        <w:rPr>
          <w:color w:val="000000"/>
          <w:spacing w:val="-3"/>
        </w:rPr>
        <w:t>le comité de l'avortement thérapeutique pouvait autoriser un avortement thérapeutique dans les cas où il estimait que la poursuite de la grossesse pourrait mettre en danger la « vie ou la santé » de la femme enceinte</w:t>
      </w:r>
      <w:r w:rsidR="00260CE1">
        <w:t xml:space="preserve">. </w:t>
      </w:r>
      <w:r>
        <w:t>Or, l</w:t>
      </w:r>
      <w:r w:rsidR="005A1C52" w:rsidRPr="00C87EC1">
        <w:t xml:space="preserve">e terme « santé » employé au par. 251(4) n’étant pas défini, il était ambigu et les comités à travers le pays </w:t>
      </w:r>
      <w:r w:rsidR="00834D4B">
        <w:t xml:space="preserve">le définissaient et </w:t>
      </w:r>
      <w:r w:rsidR="005A1C52" w:rsidRPr="00C87EC1">
        <w:t>l’appliquaient de façon fort différente</w:t>
      </w:r>
      <w:r w:rsidR="005A1C52" w:rsidRPr="00C87EC1">
        <w:rPr>
          <w:rStyle w:val="Appelnotedebasdep"/>
        </w:rPr>
        <w:footnoteReference w:id="77"/>
      </w:r>
      <w:r w:rsidR="005A1C52" w:rsidRPr="00C87EC1">
        <w:t xml:space="preserve">. La Cour a conclu que les </w:t>
      </w:r>
      <w:r w:rsidR="00DA4EF6" w:rsidRPr="00C87EC1">
        <w:t>divers</w:t>
      </w:r>
      <w:r w:rsidR="005A1C52" w:rsidRPr="00C87EC1">
        <w:t xml:space="preserve"> problèmes d’application de cet article pour l’obtention d’avortements thérapeutiques – </w:t>
      </w:r>
      <w:r w:rsidR="00834D4B">
        <w:t>y compris</w:t>
      </w:r>
      <w:r w:rsidR="005A1C52" w:rsidRPr="00C87EC1">
        <w:t xml:space="preserve"> l’absence d</w:t>
      </w:r>
      <w:r w:rsidR="00834D4B">
        <w:t>’un</w:t>
      </w:r>
      <w:r w:rsidR="005A1C52" w:rsidRPr="00C87EC1">
        <w:t xml:space="preserve">e norme </w:t>
      </w:r>
      <w:r w:rsidR="00834D4B">
        <w:t xml:space="preserve">juridique </w:t>
      </w:r>
      <w:r w:rsidR="005A1C52" w:rsidRPr="00C87EC1">
        <w:t xml:space="preserve">claire </w:t>
      </w:r>
      <w:r w:rsidR="00834D4B">
        <w:t xml:space="preserve">devant être </w:t>
      </w:r>
      <w:r w:rsidR="005A1C52" w:rsidRPr="00C87EC1">
        <w:t>appliqu</w:t>
      </w:r>
      <w:r w:rsidR="00834D4B">
        <w:t>ée</w:t>
      </w:r>
      <w:r w:rsidR="005A1C52" w:rsidRPr="00C87EC1">
        <w:t xml:space="preserve"> par les comités de médecins – </w:t>
      </w:r>
      <w:r w:rsidR="00834D4B">
        <w:t>entraîn</w:t>
      </w:r>
      <w:r w:rsidR="005A1C52" w:rsidRPr="00C87EC1">
        <w:t>aient un manquement aux principes de justice fondamentale</w:t>
      </w:r>
      <w:r w:rsidR="005A1C52" w:rsidRPr="00C87EC1">
        <w:rPr>
          <w:rStyle w:val="Appelnotedebasdep"/>
        </w:rPr>
        <w:footnoteReference w:id="78"/>
      </w:r>
      <w:r w:rsidR="005A1C52" w:rsidRPr="00C87EC1">
        <w:t>.</w:t>
      </w:r>
    </w:p>
    <w:p w14:paraId="529EB4B4" w14:textId="2860085A" w:rsidR="005A1C52" w:rsidRPr="00C87EC1" w:rsidRDefault="005A1C52" w:rsidP="00D80997">
      <w:pPr>
        <w:pStyle w:val="Paragraphe"/>
        <w:spacing w:line="280" w:lineRule="exact"/>
      </w:pPr>
      <w:r w:rsidRPr="00C87EC1">
        <w:t xml:space="preserve">Dans l’arrêt </w:t>
      </w:r>
      <w:r w:rsidRPr="00C87EC1">
        <w:rPr>
          <w:i/>
          <w:iCs/>
        </w:rPr>
        <w:t>Hunter</w:t>
      </w:r>
      <w:r w:rsidRPr="00C87EC1">
        <w:t>, il s’agissait de déterminer si les par.</w:t>
      </w:r>
      <w:r w:rsidR="002C32A7">
        <w:t> </w:t>
      </w:r>
      <w:r w:rsidRPr="00C87EC1">
        <w:t xml:space="preserve">10(3) et 10(1) de la </w:t>
      </w:r>
      <w:r w:rsidRPr="00C87EC1">
        <w:rPr>
          <w:i/>
          <w:iCs/>
        </w:rPr>
        <w:t>Loi relative aux enquêtes sur les coalitions</w:t>
      </w:r>
      <w:r w:rsidRPr="00C87EC1">
        <w:rPr>
          <w:rStyle w:val="Appelnotedebasdep"/>
        </w:rPr>
        <w:footnoteReference w:id="79"/>
      </w:r>
      <w:r w:rsidRPr="00C87EC1">
        <w:t xml:space="preserve"> étaient incompatibles avec l’art</w:t>
      </w:r>
      <w:r w:rsidR="00834D4B">
        <w:t>.</w:t>
      </w:r>
      <w:r w:rsidR="002C32A7">
        <w:t> </w:t>
      </w:r>
      <w:r w:rsidRPr="00C87EC1">
        <w:t xml:space="preserve">8 de la </w:t>
      </w:r>
      <w:r w:rsidRPr="00C87EC1">
        <w:rPr>
          <w:i/>
          <w:iCs/>
        </w:rPr>
        <w:t>Charte</w:t>
      </w:r>
      <w:r w:rsidRPr="00C87EC1">
        <w:t>. La Cour suprême a jugé que le pouvoir discrétionnaire que ces dispositions conféraient à la Commission sur les pratiques restrictives du commerce était inconstitutionnel puisqu’il ne prévoyait aucun critère objectif pour la délivrance d’une autorisation préalable de procéder à une fouille, une perquisition ou une saisie</w:t>
      </w:r>
      <w:r w:rsidRPr="00C87EC1">
        <w:rPr>
          <w:rStyle w:val="Appelnotedebasdep"/>
        </w:rPr>
        <w:footnoteReference w:id="80"/>
      </w:r>
      <w:r w:rsidRPr="00C87EC1">
        <w:t>. Le juge Dickson</w:t>
      </w:r>
      <w:r w:rsidR="00BF04C0">
        <w:t xml:space="preserve"> (tel qu’il était alors)</w:t>
      </w:r>
      <w:r w:rsidRPr="00C87EC1">
        <w:t>, pour la Cour, mentionne qu’il incombe à la législature d’adopter les lois qui contiennent les garanties appropriées permettant de satisfaire aux exigences de la Constitution</w:t>
      </w:r>
      <w:r w:rsidRPr="00C87EC1">
        <w:rPr>
          <w:rStyle w:val="Appelnotedebasdep"/>
        </w:rPr>
        <w:footnoteReference w:id="81"/>
      </w:r>
      <w:r w:rsidRPr="00C87EC1">
        <w:t>.</w:t>
      </w:r>
    </w:p>
    <w:p w14:paraId="2D873103" w14:textId="1810D115" w:rsidR="005A1C52" w:rsidRPr="00C87EC1" w:rsidRDefault="005A1C52" w:rsidP="00D80997">
      <w:pPr>
        <w:pStyle w:val="Paragraphe"/>
        <w:spacing w:line="280" w:lineRule="exact"/>
      </w:pPr>
      <w:r w:rsidRPr="00C87EC1">
        <w:t xml:space="preserve">Dans l’arrêt </w:t>
      </w:r>
      <w:r w:rsidRPr="00C87EC1">
        <w:rPr>
          <w:i/>
          <w:iCs/>
        </w:rPr>
        <w:t>Bain</w:t>
      </w:r>
      <w:r w:rsidRPr="00C87EC1">
        <w:t xml:space="preserve">, la Cour suprême devait déterminer si les dispositions du </w:t>
      </w:r>
      <w:r w:rsidRPr="00C87EC1">
        <w:rPr>
          <w:i/>
          <w:iCs/>
        </w:rPr>
        <w:t>Code criminel</w:t>
      </w:r>
      <w:r w:rsidRPr="00C87EC1">
        <w:t xml:space="preserve"> régissant les récusations péremptoires et les mises à l’écart des </w:t>
      </w:r>
      <w:r w:rsidRPr="00A55BD9">
        <w:t>candidats jurés étaient incompatibles avec l’al.</w:t>
      </w:r>
      <w:r w:rsidR="002C32A7">
        <w:t> </w:t>
      </w:r>
      <w:r w:rsidRPr="00A55BD9">
        <w:t>11</w:t>
      </w:r>
      <w:r w:rsidRPr="00A55BD9">
        <w:rPr>
          <w:i/>
          <w:iCs/>
        </w:rPr>
        <w:t>d</w:t>
      </w:r>
      <w:r w:rsidRPr="00A55BD9">
        <w:t xml:space="preserve">) de la </w:t>
      </w:r>
      <w:r w:rsidRPr="00A55BD9">
        <w:rPr>
          <w:i/>
          <w:iCs/>
        </w:rPr>
        <w:t>Charte</w:t>
      </w:r>
      <w:r w:rsidRPr="00A55BD9">
        <w:t>, qui protège le droit d’un accusé « d’être présumé innocent tant qu’il n’est pas déclaré coupable, conformément à la loi, par un tribunal indépendant et impartial à l’issue d’un procès public et équitable</w:t>
      </w:r>
      <w:r w:rsidR="00B15E69" w:rsidRPr="00A55BD9">
        <w:t> </w:t>
      </w:r>
      <w:r w:rsidRPr="00A55BD9">
        <w:t>».</w:t>
      </w:r>
      <w:r w:rsidRPr="00C87EC1">
        <w:t xml:space="preserve"> En vertu de ces dispositions, le ministère public possédait le pouvoir discrétionnaire de mettre à l’écart des candidats jurés sans donner de motifs, et ce, dans un rapport de</w:t>
      </w:r>
      <w:r w:rsidR="002C32A7">
        <w:t> </w:t>
      </w:r>
      <w:r w:rsidRPr="00C87EC1">
        <w:t>4,25</w:t>
      </w:r>
      <w:r w:rsidR="002C32A7">
        <w:t> </w:t>
      </w:r>
      <w:r w:rsidRPr="00C87EC1">
        <w:t>contre</w:t>
      </w:r>
      <w:r w:rsidR="002C32A7">
        <w:t> </w:t>
      </w:r>
      <w:r w:rsidRPr="00C87EC1">
        <w:t xml:space="preserve">1 en sa faveur, </w:t>
      </w:r>
      <w:r w:rsidR="008E195F">
        <w:t>lorsque l’on comparait</w:t>
      </w:r>
      <w:r w:rsidR="008E195F" w:rsidRPr="00C87EC1">
        <w:t xml:space="preserve"> </w:t>
      </w:r>
      <w:r w:rsidRPr="00C87EC1">
        <w:t xml:space="preserve">ce pouvoir avec le droit de l’accusé de récuser péremptoirement des candidats jurés. </w:t>
      </w:r>
      <w:r w:rsidR="008E195F">
        <w:t>Dans son examen de la constitutionnalité des dispositions contestées, l</w:t>
      </w:r>
      <w:r w:rsidRPr="00C87EC1">
        <w:t xml:space="preserve">a Cour a considéré la manière irrégulière et inconstitutionnelle dont le ministère public pouvait utiliser son pouvoir discrétionnaire, soit dans le but de constituer un jury qui lui serait favorable. </w:t>
      </w:r>
      <w:r w:rsidR="002D3AA6">
        <w:t>La majorité</w:t>
      </w:r>
      <w:r w:rsidR="002D3AA6" w:rsidRPr="00C87EC1">
        <w:t xml:space="preserve"> </w:t>
      </w:r>
      <w:r w:rsidRPr="00C87EC1">
        <w:t>a conclu que la protection des droits fondamentaux ne doit pas reposer sur la confiance que le détenteur du pouvoir discrétionnaire agira de façon exemplaire. Le juge Cory</w:t>
      </w:r>
      <w:r w:rsidR="008E195F">
        <w:t>, pour la majorité,</w:t>
      </w:r>
      <w:r w:rsidRPr="00C87EC1">
        <w:t xml:space="preserve"> écrit ceci</w:t>
      </w:r>
      <w:r w:rsidR="008E195F">
        <w:t xml:space="preserve"> à ce propos</w:t>
      </w:r>
      <w:r w:rsidRPr="00C87EC1">
        <w:t> :</w:t>
      </w:r>
    </w:p>
    <w:p w14:paraId="36700ED7" w14:textId="77777777" w:rsidR="005A1C52" w:rsidRPr="00A55BD9" w:rsidRDefault="005A1C52" w:rsidP="00EB1873">
      <w:pPr>
        <w:pStyle w:val="Citationenretrait"/>
        <w:rPr>
          <w:lang w:eastAsia="fr-CA"/>
        </w:rPr>
      </w:pPr>
      <w:r w:rsidRPr="00A55BD9">
        <w:rPr>
          <w:lang w:eastAsia="fr-CA"/>
        </w:rPr>
        <w:t xml:space="preserve">Il se peut bien qu'il ne soit pas possible de prouver que le juré sélectionné après que le ministère public a exercé ses mises à l'écart et ses récusations péremptoires est de fait partial. Néanmoins, le nombre beaucoup plus élevé de choix accordé au ministère public crée une impression profonde d'injustice dans le processus de sélection des jurés. Le jury est celui qui prend la décision finale. Le sort de l'accusé repose entre ses mains. Le jury ne devrait pas, par suite de la manière dont ses membres sont sélectionnés, sembler favoriser le ministère public au détriment de l'accusé. L'équité devrait être le principe directeur de la justice et la marque des procès criminels. Toutefois, tant que la disposition contestée du </w:t>
      </w:r>
      <w:r w:rsidRPr="00A55BD9">
        <w:rPr>
          <w:i/>
          <w:iCs/>
          <w:lang w:eastAsia="fr-CA"/>
        </w:rPr>
        <w:t xml:space="preserve">Code </w:t>
      </w:r>
      <w:r w:rsidRPr="00A55BD9">
        <w:rPr>
          <w:lang w:eastAsia="fr-CA"/>
        </w:rPr>
        <w:t>continue d'accorder au ministère public le pouvoir de sélectionner des jurés qui semblent lui être favorables, tout le processus du procès sera entaché d'une apparence d'injustice évidente et accablante. Les membres de la société seront laissés dans le doute quant au bien-fondé du processus qui permet au ministère public de disposer de quatre fois plus de choix que l'accusé dans la sélection des jurés.</w:t>
      </w:r>
    </w:p>
    <w:p w14:paraId="03F62447" w14:textId="77777777" w:rsidR="005A1C52" w:rsidRPr="00C87EC1" w:rsidRDefault="005A1C52" w:rsidP="00DD6FD3">
      <w:pPr>
        <w:pStyle w:val="Citationenretrait"/>
        <w:rPr>
          <w:lang w:eastAsia="fr-CA"/>
        </w:rPr>
      </w:pPr>
      <w:r w:rsidRPr="00A55BD9">
        <w:rPr>
          <w:lang w:eastAsia="fr-CA"/>
        </w:rPr>
        <w:t xml:space="preserve">Malheureusement, il semblerait que, chaque fois que le ministère public se voit accorder par la loi un pouvoir qui peut être utilisé de façon abusive, il le sera en effet à l'occasion. </w:t>
      </w:r>
      <w:r w:rsidRPr="00A55BD9">
        <w:rPr>
          <w:u w:val="single"/>
          <w:lang w:eastAsia="fr-CA"/>
        </w:rPr>
        <w:t>La protection des droits fondamentaux ne devrait pas être fondée sur la confiance à l'égard du comportement exemplaire permanent du ministère public, chose qu'il n'est pas possible de surveiller ni de maîtriser. Il serait préférable que la disposition législative incriminée soit abolie</w:t>
      </w:r>
      <w:r w:rsidRPr="00A55BD9">
        <w:rPr>
          <w:lang w:eastAsia="fr-CA"/>
        </w:rPr>
        <w:t>.</w:t>
      </w:r>
      <w:r w:rsidRPr="00A55BD9">
        <w:rPr>
          <w:rStyle w:val="Appelnotedebasdep"/>
          <w:lang w:eastAsia="fr-CA"/>
        </w:rPr>
        <w:footnoteReference w:id="82"/>
      </w:r>
    </w:p>
    <w:p w14:paraId="14DA66ED" w14:textId="77777777" w:rsidR="005A1C52" w:rsidRPr="00C87EC1" w:rsidRDefault="005A1C52" w:rsidP="005A1C52">
      <w:pPr>
        <w:pStyle w:val="Citationenretrait"/>
        <w:ind w:firstLine="720"/>
        <w:jc w:val="right"/>
        <w:rPr>
          <w:lang w:eastAsia="fr-CA"/>
        </w:rPr>
      </w:pPr>
      <w:r w:rsidRPr="00A55BD9">
        <w:rPr>
          <w:lang w:eastAsia="fr-CA"/>
        </w:rPr>
        <w:t>[Soulignement ajouté]</w:t>
      </w:r>
    </w:p>
    <w:p w14:paraId="19AB4F3E" w14:textId="0FF1C60C" w:rsidR="005A1C52" w:rsidRPr="00C87EC1" w:rsidRDefault="005A1C52" w:rsidP="00D80997">
      <w:pPr>
        <w:pStyle w:val="Paragraphe"/>
        <w:spacing w:line="280" w:lineRule="exact"/>
      </w:pPr>
      <w:r w:rsidRPr="00C87EC1">
        <w:t xml:space="preserve">La Cour suprême, à la majorité, déclare donc les </w:t>
      </w:r>
      <w:r w:rsidR="002D3AA6">
        <w:t>dispositions contestées</w:t>
      </w:r>
      <w:r w:rsidRPr="00C87EC1">
        <w:t xml:space="preserve"> inconstitutionnel</w:t>
      </w:r>
      <w:r w:rsidR="002D3AA6">
        <w:t>le</w:t>
      </w:r>
      <w:r w:rsidRPr="00C87EC1">
        <w:t>s parce qu’</w:t>
      </w:r>
      <w:r w:rsidR="002D3AA6">
        <w:t>elles</w:t>
      </w:r>
      <w:r w:rsidRPr="00C87EC1">
        <w:t xml:space="preserve"> permettent la formation d’un jury qui semble favorable au ministère public, ce qui est incompatible avec l’al. 11</w:t>
      </w:r>
      <w:r w:rsidRPr="00C87EC1">
        <w:rPr>
          <w:i/>
          <w:iCs/>
        </w:rPr>
        <w:t>d</w:t>
      </w:r>
      <w:r w:rsidRPr="00C87EC1">
        <w:t xml:space="preserve">) de la </w:t>
      </w:r>
      <w:r w:rsidRPr="00C87EC1">
        <w:rPr>
          <w:i/>
          <w:iCs/>
        </w:rPr>
        <w:t>Charte</w:t>
      </w:r>
      <w:r w:rsidRPr="00C87EC1">
        <w:rPr>
          <w:rStyle w:val="Appelnotedebasdep"/>
        </w:rPr>
        <w:footnoteReference w:id="83"/>
      </w:r>
      <w:r w:rsidRPr="00C87EC1">
        <w:t>.</w:t>
      </w:r>
    </w:p>
    <w:p w14:paraId="5C0BB964" w14:textId="2F5B4C80" w:rsidR="005A1C52" w:rsidRDefault="005A1C52" w:rsidP="00D80997">
      <w:pPr>
        <w:pStyle w:val="Paragraphe"/>
        <w:spacing w:line="280" w:lineRule="exact"/>
      </w:pPr>
      <w:r w:rsidRPr="00C87EC1">
        <w:t xml:space="preserve">L’arrêt </w:t>
      </w:r>
      <w:r w:rsidRPr="00C87EC1">
        <w:rPr>
          <w:i/>
          <w:iCs/>
        </w:rPr>
        <w:t>Nur</w:t>
      </w:r>
      <w:r w:rsidRPr="00C87EC1">
        <w:t xml:space="preserve"> </w:t>
      </w:r>
      <w:r w:rsidR="00A662E4">
        <w:t>illustre</w:t>
      </w:r>
      <w:r w:rsidR="00A662E4" w:rsidRPr="00C87EC1">
        <w:t xml:space="preserve"> </w:t>
      </w:r>
      <w:r w:rsidRPr="00C87EC1">
        <w:t>également le principe voulant</w:t>
      </w:r>
      <w:r>
        <w:t xml:space="preserve"> qu</w:t>
      </w:r>
      <w:r w:rsidR="00AE0005">
        <w:t xml:space="preserve">e </w:t>
      </w:r>
      <w:r w:rsidR="00F27D28">
        <w:t xml:space="preserve">la </w:t>
      </w:r>
      <w:r w:rsidR="00CC1906">
        <w:t xml:space="preserve">simple </w:t>
      </w:r>
      <w:r w:rsidR="00F27D28">
        <w:t>possibilité qu’un agent de l’État ne recour</w:t>
      </w:r>
      <w:r w:rsidR="00BD59C3">
        <w:t>e</w:t>
      </w:r>
      <w:r w:rsidR="00F27D28">
        <w:t xml:space="preserve"> pas à son pouvoir discrétionnaire – et ne porte donc pas atteinte aux droits fondamentaux – </w:t>
      </w:r>
      <w:r w:rsidR="00F35079">
        <w:t>est</w:t>
      </w:r>
      <w:r>
        <w:t xml:space="preserve"> </w:t>
      </w:r>
      <w:r w:rsidR="00F35079">
        <w:t>in</w:t>
      </w:r>
      <w:r>
        <w:t>suffisant</w:t>
      </w:r>
      <w:r w:rsidR="00F27D28">
        <w:t>e</w:t>
      </w:r>
      <w:r w:rsidR="00AE0005">
        <w:t xml:space="preserve"> pour qu’une disposition </w:t>
      </w:r>
      <w:r w:rsidR="00F27D28">
        <w:t xml:space="preserve">incompatible avec les droits garantis par la </w:t>
      </w:r>
      <w:r w:rsidR="00F27D28" w:rsidRPr="00CC1906">
        <w:rPr>
          <w:i/>
          <w:iCs/>
        </w:rPr>
        <w:t>Charte</w:t>
      </w:r>
      <w:r w:rsidR="00F27D28">
        <w:t xml:space="preserve"> </w:t>
      </w:r>
      <w:r>
        <w:t>soit valide constitutionnellement</w:t>
      </w:r>
      <w:r>
        <w:rPr>
          <w:rStyle w:val="Appelnotedebasdep"/>
        </w:rPr>
        <w:footnoteReference w:id="84"/>
      </w:r>
      <w:r>
        <w:t>.</w:t>
      </w:r>
    </w:p>
    <w:p w14:paraId="48D41030" w14:textId="230E81FF" w:rsidR="005A1C52" w:rsidRPr="00F72052" w:rsidRDefault="005A1C52" w:rsidP="00D80997">
      <w:pPr>
        <w:pStyle w:val="Paragraphe"/>
        <w:spacing w:line="280" w:lineRule="exact"/>
      </w:pPr>
      <w:r>
        <w:t>En l’espèce, l’art</w:t>
      </w:r>
      <w:r w:rsidR="00F27D28">
        <w:t>. </w:t>
      </w:r>
      <w:r>
        <w:t xml:space="preserve">636 </w:t>
      </w:r>
      <w:r w:rsidRPr="00434820">
        <w:rPr>
          <w:i/>
          <w:iCs/>
        </w:rPr>
        <w:t>C.s.r</w:t>
      </w:r>
      <w:r>
        <w:t xml:space="preserve">. ne prévoit aucun critère ou norme qui pourrait encadrer le travail des policiers dans la sélection des conducteurs à intercepter. Il n’y a aucun motif </w:t>
      </w:r>
      <w:r w:rsidR="00F27D28">
        <w:t xml:space="preserve">objectif </w:t>
      </w:r>
      <w:r>
        <w:t>ni balise objective pouvant les guider dans l’exercice de leur pouvoir discrétionnaire</w:t>
      </w:r>
      <w:r w:rsidR="0083470E">
        <w:t>.</w:t>
      </w:r>
      <w:r>
        <w:t xml:space="preserve"> Voilà </w:t>
      </w:r>
      <w:r w:rsidR="00834211">
        <w:t xml:space="preserve">d’ailleurs précisément </w:t>
      </w:r>
      <w:r>
        <w:t xml:space="preserve">pourquoi, dans l’arrêt </w:t>
      </w:r>
      <w:r w:rsidRPr="00012280">
        <w:rPr>
          <w:i/>
          <w:iCs/>
        </w:rPr>
        <w:t>Ladouceur</w:t>
      </w:r>
      <w:r>
        <w:t xml:space="preserve">, la Cour </w:t>
      </w:r>
      <w:r w:rsidRPr="00FC2ED3">
        <w:t>suprême conclu</w:t>
      </w:r>
      <w:r w:rsidR="00BA6858">
        <w:t>t</w:t>
      </w:r>
      <w:r>
        <w:t xml:space="preserve"> au caractère arbitraire de</w:t>
      </w:r>
      <w:r w:rsidRPr="00FC2ED3">
        <w:t xml:space="preserve"> </w:t>
      </w:r>
      <w:r>
        <w:t xml:space="preserve">la détention permise par </w:t>
      </w:r>
      <w:r w:rsidRPr="00FC2ED3">
        <w:t>le par.</w:t>
      </w:r>
      <w:r w:rsidR="003F6493">
        <w:t> </w:t>
      </w:r>
      <w:r w:rsidRPr="00FC2ED3">
        <w:t xml:space="preserve">189a(1) du </w:t>
      </w:r>
      <w:r w:rsidRPr="004D7ED2">
        <w:rPr>
          <w:i/>
          <w:iCs/>
        </w:rPr>
        <w:t>Code de la route</w:t>
      </w:r>
      <w:r w:rsidRPr="00FC2ED3">
        <w:t xml:space="preserve"> de l’Ontario</w:t>
      </w:r>
      <w:r w:rsidR="00834211">
        <w:rPr>
          <w:rStyle w:val="Appelnotedebasdep"/>
        </w:rPr>
        <w:footnoteReference w:id="85"/>
      </w:r>
      <w:r w:rsidR="00CB5F34">
        <w:t xml:space="preserve">, </w:t>
      </w:r>
      <w:r w:rsidRPr="00FC2ED3">
        <w:t>disposition</w:t>
      </w:r>
      <w:r w:rsidR="00CB5F34">
        <w:t xml:space="preserve"> jugée</w:t>
      </w:r>
      <w:r w:rsidRPr="00FC2ED3">
        <w:t xml:space="preserve"> équivalente à l’art.</w:t>
      </w:r>
      <w:r w:rsidR="003F6493">
        <w:t> </w:t>
      </w:r>
      <w:r w:rsidRPr="00FC2ED3">
        <w:t xml:space="preserve">636 </w:t>
      </w:r>
      <w:r w:rsidRPr="004D7ED2">
        <w:rPr>
          <w:i/>
          <w:iCs/>
        </w:rPr>
        <w:t>C.s.r</w:t>
      </w:r>
      <w:r w:rsidRPr="00F72052">
        <w:t>.</w:t>
      </w:r>
      <w:r w:rsidRPr="00F72052">
        <w:rPr>
          <w:rStyle w:val="Appelnotedebasdep"/>
        </w:rPr>
        <w:footnoteReference w:id="86"/>
      </w:r>
      <w:r w:rsidR="00387233">
        <w:t>.</w:t>
      </w:r>
    </w:p>
    <w:p w14:paraId="1B1338FD" w14:textId="75340B36" w:rsidR="005066CA" w:rsidRPr="00A55BD9" w:rsidRDefault="005A1C52" w:rsidP="00D80997">
      <w:pPr>
        <w:pStyle w:val="Paragraphe"/>
        <w:spacing w:line="280" w:lineRule="exact"/>
      </w:pPr>
      <w:r>
        <w:rPr>
          <w:rFonts w:cs="Arial"/>
          <w:szCs w:val="24"/>
        </w:rPr>
        <w:t xml:space="preserve">Dans les faits, </w:t>
      </w:r>
      <w:r>
        <w:t>m</w:t>
      </w:r>
      <w:r w:rsidRPr="00187FE1">
        <w:t>ême si</w:t>
      </w:r>
      <w:r>
        <w:t xml:space="preserve"> l’art. 636 </w:t>
      </w:r>
      <w:r w:rsidRPr="00434820">
        <w:rPr>
          <w:i/>
          <w:iCs/>
        </w:rPr>
        <w:t>C.s.r</w:t>
      </w:r>
      <w:r>
        <w:t>.</w:t>
      </w:r>
      <w:r w:rsidRPr="00187FE1">
        <w:t xml:space="preserve"> n’autorise pas expressément les interceptions routières sans motif requis fondées sur le profilage racial, </w:t>
      </w:r>
      <w:r>
        <w:t>il a nécessairement pour effet de permettre à ce</w:t>
      </w:r>
      <w:r w:rsidR="00F27D28">
        <w:t xml:space="preserve"> dernier</w:t>
      </w:r>
      <w:r>
        <w:t xml:space="preserve"> de s’immiscer dans l’exercice du pouvoir qu</w:t>
      </w:r>
      <w:r w:rsidR="00834211">
        <w:t>’il</w:t>
      </w:r>
      <w:r>
        <w:t xml:space="preserve"> octroie aux policiers. L’exigence –</w:t>
      </w:r>
      <w:r w:rsidR="00F00484">
        <w:t> </w:t>
      </w:r>
      <w:r>
        <w:t>d’origine prétorienne</w:t>
      </w:r>
      <w:r>
        <w:rPr>
          <w:rStyle w:val="Appelnotedebasdep"/>
          <w:rFonts w:cs="Arial"/>
          <w:szCs w:val="24"/>
        </w:rPr>
        <w:footnoteReference w:id="87"/>
      </w:r>
      <w:r w:rsidR="00F00484">
        <w:t> </w:t>
      </w:r>
      <w:r>
        <w:t xml:space="preserve">– que ce pouvoir soit exercé dans la poursuite d’un objectif lié à la sécurité routière ne suffit pas à empêcher le profilage racial de jouer un rôle dans la sélection des </w:t>
      </w:r>
      <w:r w:rsidRPr="00A55BD9">
        <w:t xml:space="preserve">conducteurs. </w:t>
      </w:r>
    </w:p>
    <w:p w14:paraId="0A7DD9A2" w14:textId="16782AEB" w:rsidR="005A1C52" w:rsidRPr="00A55BD9" w:rsidRDefault="00DA4EF6" w:rsidP="00D80997">
      <w:pPr>
        <w:pStyle w:val="Paragraphe"/>
        <w:spacing w:line="280" w:lineRule="exact"/>
      </w:pPr>
      <w:r w:rsidRPr="00A55BD9">
        <w:t>La</w:t>
      </w:r>
      <w:r w:rsidR="005A1C52" w:rsidRPr="00A55BD9">
        <w:t xml:space="preserve"> Cour suprême, dans l’arrêt </w:t>
      </w:r>
      <w:r w:rsidR="005A1C52" w:rsidRPr="00A55BD9">
        <w:rPr>
          <w:i/>
          <w:iCs/>
        </w:rPr>
        <w:t>Québec (Commission des droits de la personne et des droits de la jeunesse) c. Bombardier Inc. (Bombardier Aéronautique Centre de formation)</w:t>
      </w:r>
      <w:r w:rsidR="005A1C52" w:rsidRPr="00A55BD9">
        <w:t>,</w:t>
      </w:r>
      <w:r w:rsidR="005A1C52" w:rsidRPr="00A55BD9">
        <w:rPr>
          <w:i/>
          <w:iCs/>
        </w:rPr>
        <w:t xml:space="preserve"> </w:t>
      </w:r>
      <w:r w:rsidR="005A1C52" w:rsidRPr="00A55BD9">
        <w:t xml:space="preserve">explique ainsi ce qu’est le profilage racial : </w:t>
      </w:r>
    </w:p>
    <w:p w14:paraId="1912C750" w14:textId="634420FD" w:rsidR="005A1C52" w:rsidRPr="00A55BD9" w:rsidRDefault="005A1C52" w:rsidP="005A1C52">
      <w:pPr>
        <w:pStyle w:val="Citationenretrait"/>
      </w:pPr>
      <w:r w:rsidRPr="00A55BD9">
        <w:t>[33]</w:t>
      </w:r>
      <w:r w:rsidRPr="00A55BD9">
        <w:tab/>
        <w:t xml:space="preserve">[…] </w:t>
      </w:r>
      <w:r w:rsidRPr="00A55BD9">
        <w:rPr>
          <w:color w:val="000000"/>
        </w:rPr>
        <w:t>D’abord élaboré à l’occasion de certains recours intentés contre des services policiers pour abus de pouvoir, le concept de profilage racial a depuis été étendu à d’autres contextes</w:t>
      </w:r>
      <w:r w:rsidR="005066CA" w:rsidRPr="00A55BD9">
        <w:rPr>
          <w:color w:val="000000"/>
        </w:rPr>
        <w:t> </w:t>
      </w:r>
      <w:r w:rsidRPr="00A55BD9">
        <w:rPr>
          <w:color w:val="000000"/>
        </w:rPr>
        <w:t>:</w:t>
      </w:r>
    </w:p>
    <w:p w14:paraId="00750908" w14:textId="726ACE44" w:rsidR="005A1C52" w:rsidRPr="00BA65D3" w:rsidRDefault="005A1C52" w:rsidP="00BA65D3">
      <w:pPr>
        <w:pStyle w:val="Citationenretrait"/>
        <w:ind w:left="1440"/>
        <w:rPr>
          <w:sz w:val="20"/>
        </w:rPr>
      </w:pPr>
      <w:r w:rsidRPr="00BA65D3">
        <w:rPr>
          <w:sz w:val="20"/>
        </w:rPr>
        <w:t>Le profilage racial désigne toute action prise par une ou des personnes en situation d’autorité à l’égard d’une personne ou d’un groupe de personnes,</w:t>
      </w:r>
      <w:r w:rsidR="00DD6FD3" w:rsidRPr="00BA65D3">
        <w:rPr>
          <w:sz w:val="20"/>
        </w:rPr>
        <w:t xml:space="preserve"> </w:t>
      </w:r>
      <w:r w:rsidRPr="00BA65D3">
        <w:rPr>
          <w:sz w:val="20"/>
        </w:rPr>
        <w:t>pour des raisons de sûreté, de sécurité ou de protection du public, qui repose sur des facteurs d’appartenance réelle ou présumée, tels [</w:t>
      </w:r>
      <w:r w:rsidRPr="00783A75">
        <w:rPr>
          <w:i/>
          <w:iCs/>
          <w:sz w:val="20"/>
        </w:rPr>
        <w:t>sic</w:t>
      </w:r>
      <w:r w:rsidRPr="00BA65D3">
        <w:rPr>
          <w:sz w:val="20"/>
        </w:rPr>
        <w:t>] la race, la couleur, l’origine ethnique ou nationale ou la religion, sans motif réel ou soupçon raisonnable, et qui a pour effet d’exposer la personne à un examen ou à un traitement différent.</w:t>
      </w:r>
    </w:p>
    <w:p w14:paraId="24E81787" w14:textId="77777777" w:rsidR="005A1C52" w:rsidRPr="007A2C41" w:rsidRDefault="005A1C52" w:rsidP="007A2C41">
      <w:pPr>
        <w:pStyle w:val="Citationenretrait"/>
        <w:spacing w:after="0"/>
        <w:ind w:left="1440"/>
        <w:rPr>
          <w:rFonts w:cs="Arial"/>
          <w:color w:val="000000"/>
          <w:sz w:val="20"/>
        </w:rPr>
      </w:pPr>
      <w:r w:rsidRPr="007A2C41">
        <w:rPr>
          <w:sz w:val="20"/>
        </w:rPr>
        <w:t>Le profilage racial inclut aussi toute action de personnes en situation d’autorité qui appliquent une mesure de façon disproportionnée sur des segments de la population du fait, notamment, de leur appartenance</w:t>
      </w:r>
      <w:r w:rsidRPr="007A2C41">
        <w:rPr>
          <w:rFonts w:cs="Arial"/>
          <w:color w:val="000000"/>
          <w:sz w:val="20"/>
        </w:rPr>
        <w:t xml:space="preserve"> raciale, ethnique ou nationale ou religieuse, réelle ou présumée.</w:t>
      </w:r>
      <w:r w:rsidRPr="007A2C41">
        <w:rPr>
          <w:rStyle w:val="Appelnotedebasdep"/>
          <w:rFonts w:cs="Arial"/>
          <w:color w:val="000000"/>
          <w:sz w:val="20"/>
        </w:rPr>
        <w:footnoteReference w:id="88"/>
      </w:r>
    </w:p>
    <w:p w14:paraId="76DB628B" w14:textId="77777777" w:rsidR="005A1C52" w:rsidRPr="00605FDB" w:rsidRDefault="005A1C52" w:rsidP="007A2C41">
      <w:pPr>
        <w:pStyle w:val="Citationenretrait"/>
        <w:spacing w:before="0"/>
        <w:jc w:val="right"/>
      </w:pPr>
      <w:r w:rsidRPr="00A55BD9">
        <w:t>[Soulignements omis]</w:t>
      </w:r>
    </w:p>
    <w:p w14:paraId="5960654B" w14:textId="4510F4D3" w:rsidR="005A1C52" w:rsidRPr="009A1631" w:rsidRDefault="007C1BB0" w:rsidP="00D80997">
      <w:pPr>
        <w:pStyle w:val="Paragraphe"/>
        <w:spacing w:line="280" w:lineRule="exact"/>
      </w:pPr>
      <w:r>
        <w:t xml:space="preserve">Il importe de préciser </w:t>
      </w:r>
      <w:r w:rsidR="005A1C52">
        <w:t xml:space="preserve">que le profilage racial découle souvent d’un comportement inconscient plutôt que d’un racisme revendiqué, comme le soulignait la Cour dans l’arrêt </w:t>
      </w:r>
      <w:r w:rsidR="005A1C52" w:rsidRPr="00063EA9">
        <w:rPr>
          <w:i/>
          <w:iCs/>
        </w:rPr>
        <w:t>Pierre-Louis c. Québec (Ville de</w:t>
      </w:r>
      <w:r w:rsidR="005A1C52">
        <w:t>)</w:t>
      </w:r>
      <w:r w:rsidR="005A1C52">
        <w:rPr>
          <w:rStyle w:val="Appelnotedebasdep"/>
        </w:rPr>
        <w:footnoteReference w:id="89"/>
      </w:r>
      <w:r w:rsidR="005A1C52">
        <w:t>. Voici comment l’experte de M.</w:t>
      </w:r>
      <w:r w:rsidR="00DD6FD3">
        <w:t> </w:t>
      </w:r>
      <w:r w:rsidR="005A1C52">
        <w:t xml:space="preserve">Luamba, Marie-Ève Sylvestre, </w:t>
      </w:r>
      <w:r w:rsidR="00924DF8">
        <w:t xml:space="preserve">dont la </w:t>
      </w:r>
      <w:r w:rsidR="005A1C52">
        <w:t xml:space="preserve">preuve </w:t>
      </w:r>
      <w:r w:rsidR="00924DF8">
        <w:t xml:space="preserve">ne fut pas </w:t>
      </w:r>
      <w:r w:rsidR="005A1C52" w:rsidRPr="009A1631">
        <w:t>contredite par le PGQ, s’exprime à ce sujet</w:t>
      </w:r>
      <w:r w:rsidR="00924DF8" w:rsidRPr="009A1631">
        <w:t> </w:t>
      </w:r>
      <w:r w:rsidR="005A1C52" w:rsidRPr="009A1631">
        <w:t xml:space="preserve">: </w:t>
      </w:r>
    </w:p>
    <w:p w14:paraId="621ADAF7" w14:textId="77777777" w:rsidR="005A1C52" w:rsidRPr="009A1631" w:rsidRDefault="005A1C52" w:rsidP="005A1C52">
      <w:pPr>
        <w:pStyle w:val="Citationenretrait"/>
        <w:rPr>
          <w:lang w:eastAsia="fr-CA"/>
        </w:rPr>
      </w:pPr>
      <w:r w:rsidRPr="009A1631">
        <w:rPr>
          <w:lang w:eastAsia="fr-CA"/>
        </w:rPr>
        <w:t xml:space="preserve">Il est essentiel de noter que le profilage prend souvent des formes subtiles et insidieuses plutôt que d’être le fait de comportements intentionnels et explicites. En d’autres mots, il n’est pas nécessaire que la personne en autorité soit explicitement raciste ou ait des motivations racistes pour qu’il y ait profilage. De fait, le profilage peut exister même en l’absence de valeurs racistes promues par des individus au sein d’une organisation. C’est ainsi que l’on constate aussi l’existence de profilage lorsque les actions, pratiques et décisions d’une personne en autorité ont des </w:t>
      </w:r>
      <w:r w:rsidRPr="009A1631">
        <w:rPr>
          <w:i/>
          <w:iCs/>
          <w:lang w:eastAsia="fr-CA"/>
        </w:rPr>
        <w:t xml:space="preserve">effets </w:t>
      </w:r>
      <w:r w:rsidRPr="009A1631">
        <w:rPr>
          <w:lang w:eastAsia="fr-CA"/>
        </w:rPr>
        <w:t>disproportionnés sur des groupes identifiés et ciblés.</w:t>
      </w:r>
      <w:r w:rsidRPr="009A1631">
        <w:rPr>
          <w:rStyle w:val="Appelnotedebasdep"/>
          <w:lang w:eastAsia="fr-CA"/>
        </w:rPr>
        <w:footnoteReference w:id="90"/>
      </w:r>
    </w:p>
    <w:p w14:paraId="2D747279" w14:textId="5DF8D497" w:rsidR="008455E6" w:rsidRPr="009A1631" w:rsidRDefault="008455E6" w:rsidP="008455E6">
      <w:pPr>
        <w:pStyle w:val="Citationenretrait"/>
        <w:jc w:val="right"/>
        <w:rPr>
          <w:lang w:eastAsia="fr-CA"/>
        </w:rPr>
      </w:pPr>
      <w:r w:rsidRPr="009A1631">
        <w:rPr>
          <w:lang w:eastAsia="fr-CA"/>
        </w:rPr>
        <w:t>[Italiques dans l’original]</w:t>
      </w:r>
    </w:p>
    <w:p w14:paraId="3B4F2513" w14:textId="77777777" w:rsidR="005A1C52" w:rsidRPr="009A1631" w:rsidRDefault="005A1C52" w:rsidP="00D80997">
      <w:pPr>
        <w:pStyle w:val="Paragraphe"/>
        <w:spacing w:line="280" w:lineRule="exact"/>
      </w:pPr>
      <w:r w:rsidRPr="009A1631">
        <w:t>Le profilage racial peut aussi exister « indépendamment du fait que la conduite policière […] pourrait être justifiée hormis le recours aux stéréotypes négatifs fondés sur la race »</w:t>
      </w:r>
      <w:r w:rsidRPr="009A1631">
        <w:rPr>
          <w:rStyle w:val="Appelnotedebasdep"/>
        </w:rPr>
        <w:footnoteReference w:id="91"/>
      </w:r>
      <w:r w:rsidRPr="009A1631">
        <w:t>.</w:t>
      </w:r>
    </w:p>
    <w:p w14:paraId="664E2098" w14:textId="3F347DDE" w:rsidR="005A1C52" w:rsidRDefault="00924DF8" w:rsidP="00D80997">
      <w:pPr>
        <w:pStyle w:val="Paragraphe"/>
        <w:spacing w:line="280" w:lineRule="exact"/>
      </w:pPr>
      <w:r>
        <w:t>En l’espèce, l</w:t>
      </w:r>
      <w:r w:rsidR="005A1C52">
        <w:t>e juge de première instance conclut que c’est le pouvoir discrétionnaire accordé aux policiers par l’art. 636 </w:t>
      </w:r>
      <w:r w:rsidR="005A1C52" w:rsidRPr="00E861EB">
        <w:rPr>
          <w:i/>
          <w:iCs/>
        </w:rPr>
        <w:t>C.s.r</w:t>
      </w:r>
      <w:r w:rsidR="005A1C52">
        <w:t>. qui permet au profilage racial de s’i</w:t>
      </w:r>
      <w:r w:rsidR="001674E7">
        <w:t>mmiscer</w:t>
      </w:r>
      <w:r w:rsidR="005A1C52">
        <w:t xml:space="preserve"> dans la sélection des conducteurs à intercepter. Selon le juge, l’exercice de ce pouvoir ne repose que sur l’intuition</w:t>
      </w:r>
      <w:r w:rsidR="00DE03AA">
        <w:t xml:space="preserve"> (ou le « flair policier »)</w:t>
      </w:r>
      <w:r w:rsidR="005A1C52">
        <w:t xml:space="preserve"> et il est impossible de déterminer le processus mental menant à la sélection d’un conducteur</w:t>
      </w:r>
      <w:r w:rsidR="0055671D">
        <w:t xml:space="preserve"> donné</w:t>
      </w:r>
      <w:r w:rsidR="005A1C52">
        <w:t xml:space="preserve">. Le profilage racial peut ainsi </w:t>
      </w:r>
      <w:r w:rsidR="00244629">
        <w:t>su</w:t>
      </w:r>
      <w:r w:rsidR="001674E7">
        <w:t>r</w:t>
      </w:r>
      <w:r w:rsidR="00244629">
        <w:t>venir</w:t>
      </w:r>
      <w:r w:rsidR="005A1C52">
        <w:t xml:space="preserve"> de façon inconsciente :</w:t>
      </w:r>
      <w:r w:rsidR="005A1C52" w:rsidRPr="00050BE4">
        <w:t xml:space="preserve"> </w:t>
      </w:r>
    </w:p>
    <w:p w14:paraId="5E454720" w14:textId="77777777" w:rsidR="005A1C52" w:rsidRPr="0006256C" w:rsidRDefault="005A1C52" w:rsidP="005A1C52">
      <w:pPr>
        <w:pStyle w:val="Citationenretrait"/>
        <w:rPr>
          <w:lang w:eastAsia="fr-CA"/>
        </w:rPr>
      </w:pPr>
      <w:r w:rsidRPr="0006256C">
        <w:rPr>
          <w:lang w:eastAsia="fr-CA"/>
        </w:rPr>
        <w:t>[632]</w:t>
      </w:r>
      <w:r>
        <w:rPr>
          <w:rFonts w:ascii="Times New Roman" w:hAnsi="Times New Roman"/>
          <w:sz w:val="12"/>
          <w:szCs w:val="12"/>
          <w:lang w:eastAsia="fr-CA"/>
        </w:rPr>
        <w:tab/>
      </w:r>
      <w:r w:rsidRPr="0006256C">
        <w:rPr>
          <w:lang w:eastAsia="fr-CA"/>
        </w:rPr>
        <w:t xml:space="preserve">En fait, le pouvoir discrétionnaire de priver momentanément un citoyen de sa liberté dans ce cadre est le plus arbitraire et le moins filtré qui soit. Ramené à sa plus simple expression, il ne repose que sur l’intuition puisqu’il n’exige ni motif réel, ni soupçon. Il est le produit d’un processus mental insondable. Il peut s’exercer sans laisser de trace comme on l’a vu. Il ne connait aucun encadrement précis si ce n’est de rappeler aux policiers que le profilage racial est interdit. Même le nouveau chapitre du Guide de pratiques policières (section 2.1.7, Interpellation policière) ne s’y attaque pas spécifiquement. Il est de fait illusoire d’identifier ce qui déclenche chez les policiers l’intuition qui mènera à une </w:t>
      </w:r>
      <w:r w:rsidRPr="00E81386">
        <w:t>interception</w:t>
      </w:r>
      <w:r w:rsidRPr="0006256C">
        <w:rPr>
          <w:lang w:eastAsia="fr-CA"/>
        </w:rPr>
        <w:t xml:space="preserve"> routière plutôt qu’à une autre. Le profilage racial s’exerce ainsi de façon insidieuse, sans que le policier ne soit pour autant mû par des valeurs racistes. Pour les victimes, la preuve de cette disposition d’esprit est quasi-insurmontable si ce n’est en ayant recours à une liste d’indicateurs de profilage racial et à une preuve circonstancielle quand c’est possible.</w:t>
      </w:r>
    </w:p>
    <w:p w14:paraId="22C683A6" w14:textId="45DF6DB9" w:rsidR="005A1C52" w:rsidRPr="0006256C" w:rsidRDefault="005A1C52" w:rsidP="005A1C52">
      <w:pPr>
        <w:pStyle w:val="Citationenretrait"/>
        <w:rPr>
          <w:lang w:eastAsia="fr-CA"/>
        </w:rPr>
      </w:pPr>
      <w:r w:rsidRPr="0006256C">
        <w:rPr>
          <w:lang w:eastAsia="fr-CA"/>
        </w:rPr>
        <w:t>[633]</w:t>
      </w:r>
      <w:r>
        <w:rPr>
          <w:rFonts w:ascii="Times New Roman" w:hAnsi="Times New Roman"/>
          <w:sz w:val="12"/>
          <w:szCs w:val="12"/>
          <w:lang w:eastAsia="fr-CA"/>
        </w:rPr>
        <w:tab/>
      </w:r>
      <w:r w:rsidRPr="0006256C">
        <w:rPr>
          <w:lang w:eastAsia="fr-CA"/>
        </w:rPr>
        <w:t>Tous ces facteurs sont inhérents à la règle de droit qui autorise les</w:t>
      </w:r>
      <w:r>
        <w:rPr>
          <w:lang w:eastAsia="fr-CA"/>
        </w:rPr>
        <w:t xml:space="preserve"> </w:t>
      </w:r>
      <w:r w:rsidRPr="0006256C">
        <w:rPr>
          <w:i/>
          <w:iCs/>
          <w:lang w:eastAsia="fr-CA"/>
        </w:rPr>
        <w:t>interceptions routières sans motif réel</w:t>
      </w:r>
      <w:r>
        <w:rPr>
          <w:lang w:eastAsia="fr-CA"/>
        </w:rPr>
        <w:t xml:space="preserve"> </w:t>
      </w:r>
      <w:r w:rsidRPr="0006256C">
        <w:rPr>
          <w:lang w:eastAsia="fr-CA"/>
        </w:rPr>
        <w:t>en dehors d’un programme structuré. Elle devient ainsi par elle-même et en elle-même un vecteur de profilage racial</w:t>
      </w:r>
      <w:r w:rsidR="007509D8">
        <w:rPr>
          <w:rFonts w:ascii="Times New Roman" w:hAnsi="Times New Roman"/>
          <w:sz w:val="12"/>
          <w:szCs w:val="12"/>
          <w:lang w:eastAsia="fr-CA"/>
        </w:rPr>
        <w:t> </w:t>
      </w:r>
      <w:r>
        <w:rPr>
          <w:lang w:eastAsia="fr-CA"/>
        </w:rPr>
        <w:t>[…]</w:t>
      </w:r>
      <w:r w:rsidRPr="0006256C">
        <w:rPr>
          <w:lang w:eastAsia="fr-CA"/>
        </w:rPr>
        <w:t>.</w:t>
      </w:r>
    </w:p>
    <w:p w14:paraId="34B535CC" w14:textId="77777777" w:rsidR="005A1C52" w:rsidRPr="0006256C" w:rsidRDefault="005A1C52" w:rsidP="005A1C52">
      <w:pPr>
        <w:pStyle w:val="Citationenretrait"/>
        <w:jc w:val="right"/>
        <w:rPr>
          <w:lang w:eastAsia="fr-CA"/>
        </w:rPr>
      </w:pPr>
      <w:r w:rsidRPr="0006256C">
        <w:rPr>
          <w:lang w:eastAsia="fr-CA"/>
        </w:rPr>
        <w:t>[Caractères gras et renvoi omis]</w:t>
      </w:r>
    </w:p>
    <w:p w14:paraId="5A11E80A" w14:textId="4B3E4B2D" w:rsidR="001A3EF8" w:rsidRPr="00C87EC1" w:rsidRDefault="00DE03AA" w:rsidP="00D80997">
      <w:pPr>
        <w:pStyle w:val="Paragraphe"/>
        <w:spacing w:line="280" w:lineRule="exact"/>
      </w:pPr>
      <w:r>
        <w:t>Comme le souligne le juge, l</w:t>
      </w:r>
      <w:r w:rsidR="005A1C52">
        <w:t xml:space="preserve">a preuve du profilage racial est très complexe à faire. Par exemple, même si un policier qui procède à l’interception d’un conducteur noir ne lui </w:t>
      </w:r>
      <w:r w:rsidR="005A1C52" w:rsidRPr="0057385A">
        <w:t xml:space="preserve">pose aucune question ne cadrant pas avec le </w:t>
      </w:r>
      <w:r w:rsidR="005A1C52" w:rsidRPr="0057385A">
        <w:rPr>
          <w:i/>
          <w:iCs/>
        </w:rPr>
        <w:t>C</w:t>
      </w:r>
      <w:r w:rsidR="00D16687" w:rsidRPr="0057385A">
        <w:rPr>
          <w:i/>
          <w:iCs/>
        </w:rPr>
        <w:t>.s.r.</w:t>
      </w:r>
      <w:r w:rsidR="005A1C52" w:rsidRPr="0057385A">
        <w:t xml:space="preserve"> et respecte</w:t>
      </w:r>
      <w:r w:rsidRPr="0057385A">
        <w:t xml:space="preserve"> par ailleurs</w:t>
      </w:r>
      <w:r w:rsidR="005A1C52" w:rsidRPr="0057385A">
        <w:t xml:space="preserve"> la lettre de la</w:t>
      </w:r>
      <w:r w:rsidR="005A1C52">
        <w:t xml:space="preserve"> loi, le profilage racial peut avoir joué un rôle dans </w:t>
      </w:r>
      <w:r>
        <w:t xml:space="preserve">son </w:t>
      </w:r>
      <w:r w:rsidR="005A1C52">
        <w:t>choix d</w:t>
      </w:r>
      <w:r>
        <w:t>’intercepter ce conducteur</w:t>
      </w:r>
      <w:r w:rsidR="005A1C52">
        <w:t>. En raison de l’absence totale de critère</w:t>
      </w:r>
      <w:r w:rsidR="001674E7">
        <w:t>s</w:t>
      </w:r>
      <w:r w:rsidR="005A1C52">
        <w:t xml:space="preserve"> régissant la sélection des </w:t>
      </w:r>
      <w:r w:rsidR="0023217E">
        <w:t xml:space="preserve">conducteurs et des </w:t>
      </w:r>
      <w:r w:rsidR="005A1C52">
        <w:t xml:space="preserve">véhicules, des motifs de profilage racial présents même de façon inconsciente peuvent </w:t>
      </w:r>
      <w:r w:rsidR="00327394">
        <w:t xml:space="preserve">influer sur </w:t>
      </w:r>
      <w:r w:rsidR="005A1C52">
        <w:t xml:space="preserve">cette sélection. Dans plusieurs cas, les policiers ne sont pas conscients que la race du conducteur </w:t>
      </w:r>
      <w:r w:rsidR="00297D9F">
        <w:t>a</w:t>
      </w:r>
      <w:r w:rsidR="005A1C52">
        <w:t xml:space="preserve"> joué un rôle dans l’interception d</w:t>
      </w:r>
      <w:r w:rsidR="001674E7">
        <w:t>u</w:t>
      </w:r>
      <w:r w:rsidR="005A1C52">
        <w:t xml:space="preserve"> véhicule</w:t>
      </w:r>
      <w:r w:rsidR="005A1C52">
        <w:rPr>
          <w:rStyle w:val="Appelnotedebasdep"/>
        </w:rPr>
        <w:footnoteReference w:id="92"/>
      </w:r>
      <w:r w:rsidR="005A1C52">
        <w:t>. D’ailleurs,</w:t>
      </w:r>
      <w:r w:rsidR="00DA4EF6">
        <w:t xml:space="preserve"> </w:t>
      </w:r>
      <w:r w:rsidR="005A1C52">
        <w:t xml:space="preserve">selon l’expert </w:t>
      </w:r>
      <w:r w:rsidR="00C03C66" w:rsidRPr="00C87EC1">
        <w:t xml:space="preserve">Massimiliano </w:t>
      </w:r>
      <w:r w:rsidR="005A1C52" w:rsidRPr="00C87EC1">
        <w:t>Mulone, retenu par M.</w:t>
      </w:r>
      <w:r w:rsidR="00656014">
        <w:t> </w:t>
      </w:r>
      <w:r w:rsidR="005A1C52" w:rsidRPr="00C87EC1">
        <w:t xml:space="preserve">Luamba, </w:t>
      </w:r>
      <w:r w:rsidR="001674E7">
        <w:t>une</w:t>
      </w:r>
      <w:r w:rsidR="005A1C52" w:rsidRPr="00C87EC1">
        <w:t xml:space="preserve"> très grande majorité de policiers croi</w:t>
      </w:r>
      <w:r w:rsidR="001674E7">
        <w:t>en</w:t>
      </w:r>
      <w:r w:rsidR="005A1C52" w:rsidRPr="00C87EC1">
        <w:t>t que leur travail n’est pas influencé par le profilage racial</w:t>
      </w:r>
      <w:r w:rsidR="005A1C52" w:rsidRPr="00C87EC1">
        <w:rPr>
          <w:rStyle w:val="Appelnotedebasdep"/>
        </w:rPr>
        <w:footnoteReference w:id="93"/>
      </w:r>
      <w:r w:rsidR="005A1C52" w:rsidRPr="00C87EC1">
        <w:t>.</w:t>
      </w:r>
    </w:p>
    <w:p w14:paraId="1E4F99D6" w14:textId="2304C8B4" w:rsidR="005A1C52" w:rsidRPr="00AE35D5" w:rsidRDefault="005A1C52" w:rsidP="00D80997">
      <w:pPr>
        <w:pStyle w:val="Paragraphe"/>
        <w:spacing w:line="280" w:lineRule="exact"/>
      </w:pPr>
      <w:r w:rsidRPr="00AE35D5">
        <w:t xml:space="preserve">La preuve d’expert et la littérature scientifique démontrent pourtant que le profilage racial joue un rôle dans les interceptions routières sans motif requis. </w:t>
      </w:r>
      <w:r w:rsidR="00ED33C2" w:rsidRPr="00AE35D5">
        <w:t xml:space="preserve">Comme nous le verrons </w:t>
      </w:r>
      <w:r w:rsidR="00BA5E8A" w:rsidRPr="00AE35D5">
        <w:t xml:space="preserve">plus en détail </w:t>
      </w:r>
      <w:r w:rsidR="00C86D55" w:rsidRPr="00AE35D5">
        <w:t xml:space="preserve">dans </w:t>
      </w:r>
      <w:r w:rsidR="00ED33C2" w:rsidRPr="00AE35D5">
        <w:t>la section</w:t>
      </w:r>
      <w:r w:rsidR="00197FC4" w:rsidRPr="00AE35D5">
        <w:t xml:space="preserve"> de l’arrêt</w:t>
      </w:r>
      <w:r w:rsidR="00ED33C2" w:rsidRPr="00AE35D5">
        <w:t xml:space="preserve"> portant sur l’art</w:t>
      </w:r>
      <w:r w:rsidR="00923E52">
        <w:t>. </w:t>
      </w:r>
      <w:r w:rsidR="00ED33C2" w:rsidRPr="00AE35D5">
        <w:t xml:space="preserve">15 de la </w:t>
      </w:r>
      <w:r w:rsidR="00ED33C2" w:rsidRPr="00AE35D5">
        <w:rPr>
          <w:i/>
          <w:iCs/>
        </w:rPr>
        <w:t>Charte</w:t>
      </w:r>
      <w:r w:rsidR="00C726A1" w:rsidRPr="00AE35D5">
        <w:rPr>
          <w:rStyle w:val="Appelnotedebasdep"/>
        </w:rPr>
        <w:footnoteReference w:id="94"/>
      </w:r>
      <w:r w:rsidR="00ED33C2" w:rsidRPr="00AE35D5">
        <w:t>,</w:t>
      </w:r>
      <w:r w:rsidRPr="00AE35D5">
        <w:t xml:space="preserve"> l’expert Mulone</w:t>
      </w:r>
      <w:r w:rsidR="00C726A1" w:rsidRPr="00AE35D5">
        <w:t xml:space="preserve"> explique que </w:t>
      </w:r>
      <w:r w:rsidRPr="00AE35D5">
        <w:t>les populations non blanches, et en particulier les populations noires, « sont systématiquement plus interpellées et/ou interceptées</w:t>
      </w:r>
      <w:r w:rsidR="00484BF3">
        <w:rPr>
          <w:rStyle w:val="Appelnotedebasdep"/>
        </w:rPr>
        <w:footnoteReference w:id="95"/>
      </w:r>
      <w:r w:rsidRPr="00AE35D5">
        <w:t>, quel que soit l’endroit où l’on porte le regard, et ce, parfois dans des proportions très importantes (surtout lorsque l’on se concentre sur les jeunes hommes dans les analyses) »</w:t>
      </w:r>
      <w:r w:rsidRPr="00AE35D5">
        <w:rPr>
          <w:rStyle w:val="Appelnotedebasdep"/>
        </w:rPr>
        <w:footnoteReference w:id="96"/>
      </w:r>
      <w:r w:rsidRPr="00AE35D5">
        <w:t>. Selon lui, ces disparités ne peuvent être expliquées par une participation différentielle présumée des personnes noires à la criminalité</w:t>
      </w:r>
      <w:r w:rsidR="00C03C66" w:rsidRPr="00AE35D5">
        <w:t xml:space="preserve">. </w:t>
      </w:r>
      <w:r w:rsidR="00297D9F" w:rsidRPr="00AE35D5">
        <w:t>Ainsi, «</w:t>
      </w:r>
      <w:r w:rsidRPr="00AE35D5">
        <w:t> où que l’on regarde, quelle que soit la manière dont on regarde (données policières, sondages auprès de la population, témoignages de citoyens, type d’intervention, etc.), quelle que soit l’époque que l’on étudie, les résultats sont les mêmes : les personnes noires sont visées de manière disproportionnée par les forces de l’ordre »</w:t>
      </w:r>
      <w:r w:rsidRPr="00AE35D5">
        <w:rPr>
          <w:rStyle w:val="Appelnotedebasdep"/>
        </w:rPr>
        <w:footnoteReference w:id="97"/>
      </w:r>
      <w:r w:rsidRPr="00AE35D5">
        <w:t xml:space="preserve">. </w:t>
      </w:r>
      <w:r w:rsidR="00246607" w:rsidRPr="00AE35D5">
        <w:t>Il ajoute que r</w:t>
      </w:r>
      <w:r w:rsidRPr="00AE35D5">
        <w:t>ien ne permet de penser que « les disproportions mises en lumière par les études récentes au Canada pourraient s’expliquer par l’existence d’une majorité de policiers qui abordent leur quart de travail avec la ferme intention de discriminer des personnes du fait de leur identité racisée »</w:t>
      </w:r>
      <w:r w:rsidRPr="00AE35D5">
        <w:rPr>
          <w:rStyle w:val="Appelnotedebasdep"/>
        </w:rPr>
        <w:footnoteReference w:id="98"/>
      </w:r>
      <w:r w:rsidRPr="00AE35D5">
        <w:t>.</w:t>
      </w:r>
    </w:p>
    <w:p w14:paraId="6ECD5F4F" w14:textId="09946BA6" w:rsidR="005A1C52" w:rsidRPr="00C87EC1" w:rsidRDefault="005A1C52" w:rsidP="00D80997">
      <w:pPr>
        <w:pStyle w:val="Paragraphe"/>
        <w:spacing w:line="280" w:lineRule="exact"/>
      </w:pPr>
      <w:r w:rsidRPr="00C87EC1">
        <w:t>L</w:t>
      </w:r>
      <w:r w:rsidR="002748FE" w:rsidRPr="00C87EC1">
        <w:t>a</w:t>
      </w:r>
      <w:r w:rsidRPr="00C87EC1">
        <w:t xml:space="preserve"> preuve retenue par le juge confirme que le profilage racial est souvent inconscient et que l’exercice du pouvoir discrétionnaire des policiers d’effectuer des interceptions sans motif requis le favorise. L’expert Mulone explique par ailleurs en détail comment les biais cognitifs et les contraintes structurelles associées au fonctionnement du travail policier </w:t>
      </w:r>
      <w:r w:rsidR="009E2EC5">
        <w:t>facilite</w:t>
      </w:r>
      <w:r w:rsidR="000E7B69">
        <w:t>nt</w:t>
      </w:r>
      <w:r w:rsidR="009E2EC5" w:rsidRPr="00C87EC1">
        <w:t xml:space="preserve"> </w:t>
      </w:r>
      <w:r w:rsidRPr="00C87EC1">
        <w:t>le profilage racial. Il mentionne entre autres ceci :</w:t>
      </w:r>
    </w:p>
    <w:p w14:paraId="57CE5F38" w14:textId="0FBE0E1F" w:rsidR="005A1C52" w:rsidRPr="000679EA" w:rsidRDefault="005A1C52" w:rsidP="005A1C52">
      <w:pPr>
        <w:pStyle w:val="Citationenretrait"/>
        <w:rPr>
          <w:szCs w:val="22"/>
        </w:rPr>
      </w:pPr>
      <w:r w:rsidRPr="000679EA">
        <w:rPr>
          <w:szCs w:val="22"/>
        </w:rPr>
        <w:t xml:space="preserve">En mêlant ces deux formes d’explications […] on comprend bien comment le travail policier peut produire des discriminations raciales, et ce, sans que les policiers en soient conscients. Il existe en effet, dans l’organisation du travail de la police, des incitatifs qui, bien que n’étant nullement nourris par des valeurs racistes, poussent les policiers à intervenir dans des situations où leur jugement est en partie déterminé par des préjugés. Et les pratiques d’interpellation et d’interception, basées en partie sur une prédiction, sont particulièrement sensibles à ces biais, parce qu’elles ne sont pas forcément générées par un acte délictueux aisément identifiable. Si l’on revient à la distinction que la Commission ontarienne des droits de la personne fait </w:t>
      </w:r>
      <w:r w:rsidRPr="00AE35D5">
        <w:rPr>
          <w:szCs w:val="22"/>
        </w:rPr>
        <w:t>entre</w:t>
      </w:r>
      <w:r w:rsidRPr="000679EA">
        <w:rPr>
          <w:szCs w:val="22"/>
        </w:rPr>
        <w:t xml:space="preserve"> le profilage racial et le profilage criminel</w:t>
      </w:r>
      <w:r w:rsidR="00466552">
        <w:rPr>
          <w:rStyle w:val="Appelnotedebasdep"/>
          <w:szCs w:val="22"/>
        </w:rPr>
        <w:footnoteReference w:id="99"/>
      </w:r>
      <w:r w:rsidRPr="000679EA">
        <w:rPr>
          <w:szCs w:val="22"/>
        </w:rPr>
        <w:t>, on se trouve ici dans des situations où les preuves observables de commission d’un acte délictueux sont généralement faibles, voire absentes (c’est même ce qui définit l’interpellation et une partie des interceptions), laissant le jeu libre aux « présomptions stéréotypées », surtout lorsqu’on considère que ces dernières sont pour la plupart inconscientes.</w:t>
      </w:r>
      <w:r w:rsidRPr="000679EA">
        <w:rPr>
          <w:rStyle w:val="Appelnotedebasdep"/>
          <w:szCs w:val="22"/>
        </w:rPr>
        <w:footnoteReference w:id="100"/>
      </w:r>
    </w:p>
    <w:p w14:paraId="2327DB8F" w14:textId="77777777" w:rsidR="005A1C52" w:rsidRPr="000679EA" w:rsidRDefault="005A1C52" w:rsidP="005A1C52">
      <w:pPr>
        <w:pStyle w:val="Citationenretrait"/>
        <w:rPr>
          <w:szCs w:val="22"/>
        </w:rPr>
      </w:pPr>
      <w:r w:rsidRPr="000679EA">
        <w:rPr>
          <w:szCs w:val="22"/>
        </w:rPr>
        <w:t>[…]</w:t>
      </w:r>
    </w:p>
    <w:p w14:paraId="4B1ECC39" w14:textId="39ED1686" w:rsidR="005A1C52" w:rsidRPr="000679EA" w:rsidRDefault="005A1C52" w:rsidP="005A1C52">
      <w:pPr>
        <w:pStyle w:val="Citationenretrait"/>
        <w:rPr>
          <w:szCs w:val="22"/>
        </w:rPr>
      </w:pPr>
      <w:r w:rsidRPr="000679EA">
        <w:rPr>
          <w:szCs w:val="22"/>
        </w:rPr>
        <w:t xml:space="preserve">[…] [C]ertaines pratiques [policières] sont plus susceptibles d’être sensibles à ces biais. C’est le cas de l’interpellation et de l’interception parce que, dans ces deux cas, les faits observables à partir desquels la décision d’intervenir se prend sont forcément moins évidents que </w:t>
      </w:r>
      <w:r w:rsidR="00172E96" w:rsidRPr="000679EA">
        <w:rPr>
          <w:szCs w:val="22"/>
        </w:rPr>
        <w:t>lorsque</w:t>
      </w:r>
      <w:r w:rsidRPr="000679EA">
        <w:rPr>
          <w:szCs w:val="22"/>
        </w:rPr>
        <w:t xml:space="preserve"> la commission d’une infraction </w:t>
      </w:r>
      <w:r w:rsidR="00172E96" w:rsidRPr="000679EA">
        <w:rPr>
          <w:szCs w:val="22"/>
        </w:rPr>
        <w:t xml:space="preserve">est </w:t>
      </w:r>
      <w:r w:rsidRPr="000679EA">
        <w:rPr>
          <w:szCs w:val="22"/>
        </w:rPr>
        <w:t>observée.</w:t>
      </w:r>
    </w:p>
    <w:p w14:paraId="778D8749" w14:textId="4887E545" w:rsidR="005A1C52" w:rsidRPr="000679EA" w:rsidRDefault="005A1C52" w:rsidP="005A1C52">
      <w:pPr>
        <w:pStyle w:val="Citationenretrait"/>
        <w:rPr>
          <w:szCs w:val="22"/>
        </w:rPr>
      </w:pPr>
      <w:r w:rsidRPr="000679EA">
        <w:rPr>
          <w:szCs w:val="22"/>
        </w:rPr>
        <w:t>Je l’ai dit, ces discriminations sont très insidieuses, car elles découlent en partie de processus cognitifs implicites et donc inconscients. Il n’y a donc pas forcément volonté de cibler un groupe plutôt qu’un autre, mais en permettant (et parfois en encourageant) des pratiques qui sont trop aisément influencées par ces biais inconscients, on ouvre la porte à des disparités de traitement au sein de la population canadienne.</w:t>
      </w:r>
      <w:r w:rsidR="003C4C59">
        <w:rPr>
          <w:szCs w:val="22"/>
        </w:rPr>
        <w:t xml:space="preserve"> </w:t>
      </w:r>
      <w:r w:rsidR="00923E52">
        <w:rPr>
          <w:szCs w:val="22"/>
        </w:rPr>
        <w:t>[…]</w:t>
      </w:r>
      <w:r w:rsidRPr="000679EA">
        <w:rPr>
          <w:rStyle w:val="Appelnotedebasdep"/>
          <w:szCs w:val="22"/>
        </w:rPr>
        <w:footnoteReference w:id="101"/>
      </w:r>
    </w:p>
    <w:p w14:paraId="0B8C00E5" w14:textId="778CCB94" w:rsidR="005A1C52" w:rsidRPr="00C87EC1" w:rsidRDefault="005A1C52" w:rsidP="00D80997">
      <w:pPr>
        <w:pStyle w:val="Paragraphe"/>
        <w:spacing w:line="280" w:lineRule="exact"/>
      </w:pPr>
      <w:r w:rsidRPr="00C87EC1">
        <w:t>L’experte Marie-Ève Sylvestre en arrive à la même conclusion</w:t>
      </w:r>
      <w:r w:rsidR="00564ED7">
        <w:t> : l</w:t>
      </w:r>
      <w:r w:rsidRPr="00C87EC1">
        <w:t>es policiers sont plus susceptibles d’être influencés par des stéréotypes racistes lorsqu’ils agissent de façon proactive</w:t>
      </w:r>
      <w:r w:rsidR="00564ED7">
        <w:t>,</w:t>
      </w:r>
      <w:r w:rsidRPr="00C87EC1">
        <w:t xml:space="preserve"> ou encore lorsqu’ils sont justifiés d’agir en se fondant sur des critères </w:t>
      </w:r>
      <w:r w:rsidR="007640BF">
        <w:t xml:space="preserve">ou </w:t>
      </w:r>
      <w:r w:rsidR="00923E52">
        <w:t>des « </w:t>
      </w:r>
      <w:r w:rsidRPr="00C87EC1">
        <w:t xml:space="preserve">soupçons </w:t>
      </w:r>
      <w:r w:rsidR="007640BF">
        <w:t xml:space="preserve">flous et </w:t>
      </w:r>
      <w:r w:rsidRPr="00C87EC1">
        <w:t>mal définis »</w:t>
      </w:r>
      <w:r w:rsidRPr="00C87EC1">
        <w:rPr>
          <w:rStyle w:val="Appelnotedebasdep"/>
        </w:rPr>
        <w:footnoteReference w:id="102"/>
      </w:r>
      <w:r w:rsidRPr="00C87EC1">
        <w:t>.</w:t>
      </w:r>
    </w:p>
    <w:p w14:paraId="55AA25D9" w14:textId="77777777" w:rsidR="00F360B7" w:rsidRPr="00F360B7" w:rsidRDefault="00BA5E8A" w:rsidP="00F360B7">
      <w:pPr>
        <w:pStyle w:val="Paragraphe"/>
        <w:spacing w:line="280" w:lineRule="exact"/>
      </w:pPr>
      <w:r w:rsidRPr="00C87EC1">
        <w:t>L</w:t>
      </w:r>
      <w:r w:rsidR="005A1C52" w:rsidRPr="00C87EC1">
        <w:t>a position du PGQ selon laquelle le profilage racial n</w:t>
      </w:r>
      <w:r w:rsidR="00564ED7">
        <w:t>’est pas un effet</w:t>
      </w:r>
      <w:r w:rsidR="005A1C52" w:rsidRPr="00C87EC1">
        <w:t xml:space="preserve"> de la règle de droit</w:t>
      </w:r>
      <w:r w:rsidR="006A551D">
        <w:t xml:space="preserve"> contestée</w:t>
      </w:r>
      <w:r w:rsidRPr="00C87EC1">
        <w:t xml:space="preserve"> ne peut donc être retenue</w:t>
      </w:r>
      <w:r w:rsidR="005A1C52" w:rsidRPr="00C87EC1">
        <w:t xml:space="preserve">. </w:t>
      </w:r>
      <w:r w:rsidR="00621344">
        <w:t>L</w:t>
      </w:r>
      <w:r w:rsidR="00FB3CD2" w:rsidRPr="009E5064">
        <w:t>es</w:t>
      </w:r>
      <w:r w:rsidR="005A1C52" w:rsidRPr="009E5064">
        <w:t xml:space="preserve"> données disponibles depuis l’arrêt </w:t>
      </w:r>
      <w:r w:rsidR="005A1C52" w:rsidRPr="009E5064">
        <w:rPr>
          <w:i/>
          <w:iCs/>
        </w:rPr>
        <w:t>Ladouceur</w:t>
      </w:r>
      <w:r w:rsidR="00621344">
        <w:rPr>
          <w:rFonts w:cs="Arial"/>
          <w:color w:val="000000"/>
        </w:rPr>
        <w:t xml:space="preserve"> révèlent que </w:t>
      </w:r>
      <w:r w:rsidR="009E5064">
        <w:rPr>
          <w:rFonts w:cs="Arial"/>
          <w:color w:val="000000"/>
        </w:rPr>
        <w:t>l</w:t>
      </w:r>
      <w:r w:rsidR="005A1C52" w:rsidRPr="009E5064">
        <w:rPr>
          <w:rFonts w:cs="Arial"/>
          <w:color w:val="000000"/>
        </w:rPr>
        <w:t xml:space="preserve">es raisons </w:t>
      </w:r>
      <w:r w:rsidR="009E5064">
        <w:rPr>
          <w:rFonts w:cs="Arial"/>
          <w:color w:val="000000"/>
        </w:rPr>
        <w:t xml:space="preserve">de procéder à une interception routière sans motif requis </w:t>
      </w:r>
      <w:r w:rsidR="005A1C52" w:rsidRPr="009E5064">
        <w:rPr>
          <w:rFonts w:cs="Arial"/>
          <w:color w:val="000000"/>
        </w:rPr>
        <w:t>relatives « </w:t>
      </w:r>
      <w:r w:rsidR="005A1C52" w:rsidRPr="009E5064">
        <w:rPr>
          <w:color w:val="000000"/>
          <w:spacing w:val="-3"/>
        </w:rPr>
        <w:t>à la conduite d</w:t>
      </w:r>
      <w:r w:rsidR="009E5064">
        <w:rPr>
          <w:color w:val="000000"/>
          <w:spacing w:val="-3"/>
        </w:rPr>
        <w:t>’</w:t>
      </w:r>
      <w:r w:rsidR="005A1C52" w:rsidRPr="009E5064">
        <w:rPr>
          <w:color w:val="000000"/>
          <w:spacing w:val="-3"/>
        </w:rPr>
        <w:t>une automobile comme la vérification du permis de conduire, des assurances et de la sobriété du conducteur ainsi que de l</w:t>
      </w:r>
      <w:r w:rsidR="009E5064">
        <w:rPr>
          <w:color w:val="000000"/>
          <w:spacing w:val="-3"/>
        </w:rPr>
        <w:t>’</w:t>
      </w:r>
      <w:r w:rsidR="005A1C52" w:rsidRPr="009E5064">
        <w:rPr>
          <w:color w:val="000000"/>
          <w:spacing w:val="-3"/>
        </w:rPr>
        <w:t>état mécanique du véhicule »</w:t>
      </w:r>
      <w:r w:rsidR="005A1C52" w:rsidRPr="009E5064">
        <w:rPr>
          <w:rStyle w:val="Appelnotedebasdep"/>
          <w:color w:val="000000"/>
          <w:spacing w:val="-3"/>
        </w:rPr>
        <w:footnoteReference w:id="103"/>
      </w:r>
      <w:r w:rsidR="009E5064">
        <w:rPr>
          <w:color w:val="000000"/>
          <w:spacing w:val="-3"/>
        </w:rPr>
        <w:t xml:space="preserve"> ne suffisent pas </w:t>
      </w:r>
      <w:r w:rsidR="005A1C52" w:rsidRPr="009E5064">
        <w:rPr>
          <w:color w:val="000000"/>
          <w:spacing w:val="-3"/>
        </w:rPr>
        <w:t>à empêcher le profilage racial de s’immiscer dans ce type d’interception.</w:t>
      </w:r>
      <w:r w:rsidR="005A1C52" w:rsidRPr="000679EA">
        <w:rPr>
          <w:color w:val="000000"/>
          <w:spacing w:val="-3"/>
        </w:rPr>
        <w:t xml:space="preserve"> Le profilage racial dans les interceptions routières sans motif requis est causé par le fait que</w:t>
      </w:r>
      <w:r w:rsidR="005A1C52" w:rsidRPr="00C87EC1">
        <w:rPr>
          <w:color w:val="000000"/>
          <w:spacing w:val="-3"/>
        </w:rPr>
        <w:t xml:space="preserve"> l’art</w:t>
      </w:r>
      <w:r w:rsidR="00923E52">
        <w:rPr>
          <w:color w:val="000000"/>
          <w:spacing w:val="-3"/>
        </w:rPr>
        <w:t>.</w:t>
      </w:r>
      <w:r w:rsidR="0054194E">
        <w:rPr>
          <w:color w:val="000000"/>
          <w:spacing w:val="-3"/>
        </w:rPr>
        <w:t> </w:t>
      </w:r>
      <w:r w:rsidR="005A1C52" w:rsidRPr="00C87EC1">
        <w:rPr>
          <w:color w:val="000000"/>
          <w:spacing w:val="-3"/>
        </w:rPr>
        <w:t>636</w:t>
      </w:r>
      <w:r w:rsidR="0054194E">
        <w:rPr>
          <w:color w:val="000000"/>
          <w:spacing w:val="-3"/>
        </w:rPr>
        <w:t> </w:t>
      </w:r>
      <w:r w:rsidR="005A1C52" w:rsidRPr="00C87EC1">
        <w:rPr>
          <w:i/>
          <w:iCs/>
          <w:color w:val="000000"/>
          <w:spacing w:val="-3"/>
        </w:rPr>
        <w:t xml:space="preserve">C.s.r. </w:t>
      </w:r>
      <w:r w:rsidR="005A1C52" w:rsidRPr="00C87EC1">
        <w:rPr>
          <w:color w:val="000000"/>
          <w:spacing w:val="-3"/>
        </w:rPr>
        <w:t xml:space="preserve">ne comporte aucun critère permettant d’encadrer l’exercice du pouvoir discrétionnaire qu’il confère aux policiers. En l’occurrence, </w:t>
      </w:r>
      <w:r w:rsidR="005A1C52" w:rsidRPr="00C87EC1">
        <w:t>le</w:t>
      </w:r>
      <w:r w:rsidR="005A1C52" w:rsidRPr="00C87EC1">
        <w:rPr>
          <w:color w:val="000000"/>
          <w:spacing w:val="-3"/>
        </w:rPr>
        <w:t xml:space="preserve"> problème réside dans l’absence de limites adéquates</w:t>
      </w:r>
      <w:r w:rsidR="00FB3CD2">
        <w:rPr>
          <w:color w:val="000000"/>
          <w:spacing w:val="-3"/>
        </w:rPr>
        <w:t xml:space="preserve"> dans la loi</w:t>
      </w:r>
      <w:r w:rsidR="005A1C52" w:rsidRPr="00C87EC1">
        <w:rPr>
          <w:color w:val="000000"/>
          <w:spacing w:val="-3"/>
        </w:rPr>
        <w:t xml:space="preserve"> quant à l’exercice de ce pouvoir. </w:t>
      </w:r>
      <w:r w:rsidR="004B2556" w:rsidRPr="00C87EC1">
        <w:rPr>
          <w:color w:val="000000"/>
          <w:spacing w:val="-3"/>
        </w:rPr>
        <w:t xml:space="preserve">C’est cette </w:t>
      </w:r>
      <w:r w:rsidR="005A1C52" w:rsidRPr="00C87EC1">
        <w:rPr>
          <w:color w:val="000000"/>
          <w:spacing w:val="-3"/>
        </w:rPr>
        <w:t xml:space="preserve">absence de balises suffisantes </w:t>
      </w:r>
      <w:r w:rsidR="00F360B7">
        <w:rPr>
          <w:color w:val="000000"/>
          <w:spacing w:val="-3"/>
        </w:rPr>
        <w:t xml:space="preserve">à l’article 636 </w:t>
      </w:r>
      <w:r w:rsidR="00F360B7" w:rsidRPr="00F360B7">
        <w:rPr>
          <w:i/>
          <w:iCs/>
          <w:color w:val="000000"/>
          <w:spacing w:val="-3"/>
        </w:rPr>
        <w:t>C.s.r.</w:t>
      </w:r>
      <w:r w:rsidR="005A1C52" w:rsidRPr="00C87EC1">
        <w:rPr>
          <w:color w:val="000000"/>
          <w:spacing w:val="-3"/>
        </w:rPr>
        <w:t xml:space="preserve"> </w:t>
      </w:r>
      <w:r w:rsidR="004B2556" w:rsidRPr="00C87EC1">
        <w:rPr>
          <w:color w:val="000000"/>
          <w:spacing w:val="-3"/>
        </w:rPr>
        <w:t>qui</w:t>
      </w:r>
      <w:r w:rsidR="00AB7617">
        <w:rPr>
          <w:color w:val="000000"/>
          <w:spacing w:val="-3"/>
        </w:rPr>
        <w:t>, en favorisant le profilage racial,</w:t>
      </w:r>
      <w:r w:rsidR="007B6CA8">
        <w:rPr>
          <w:color w:val="000000"/>
          <w:spacing w:val="-3"/>
        </w:rPr>
        <w:t xml:space="preserve"> </w:t>
      </w:r>
      <w:r w:rsidR="004B2556" w:rsidRPr="00C87EC1">
        <w:rPr>
          <w:color w:val="000000"/>
          <w:spacing w:val="-3"/>
        </w:rPr>
        <w:t xml:space="preserve">est </w:t>
      </w:r>
      <w:r w:rsidR="005A1C52" w:rsidRPr="00C87EC1">
        <w:rPr>
          <w:color w:val="000000"/>
          <w:spacing w:val="-3"/>
        </w:rPr>
        <w:t xml:space="preserve">la source des violations alléguées de la </w:t>
      </w:r>
      <w:r w:rsidR="005A1C52" w:rsidRPr="00C87EC1">
        <w:rPr>
          <w:i/>
          <w:iCs/>
          <w:color w:val="000000"/>
          <w:spacing w:val="-3"/>
        </w:rPr>
        <w:t>Charte</w:t>
      </w:r>
      <w:r w:rsidR="005A1C52" w:rsidRPr="00C87EC1">
        <w:rPr>
          <w:color w:val="000000"/>
          <w:spacing w:val="-3"/>
        </w:rPr>
        <w:t>.</w:t>
      </w:r>
    </w:p>
    <w:p w14:paraId="48D8DB90" w14:textId="5452A503" w:rsidR="005A1C52" w:rsidRPr="00C87EC1" w:rsidRDefault="000F29F2" w:rsidP="00F360B7">
      <w:pPr>
        <w:pStyle w:val="Paragraphe"/>
        <w:spacing w:line="280" w:lineRule="exact"/>
      </w:pPr>
      <w:r w:rsidRPr="00F360B7">
        <w:rPr>
          <w:color w:val="000000"/>
          <w:spacing w:val="-3"/>
        </w:rPr>
        <w:t xml:space="preserve"> </w:t>
      </w:r>
      <w:r w:rsidR="00F360B7">
        <w:t>À</w:t>
      </w:r>
      <w:r w:rsidRPr="00F360B7">
        <w:rPr>
          <w:color w:val="000000"/>
          <w:spacing w:val="-3"/>
        </w:rPr>
        <w:t xml:space="preserve"> cet égard, </w:t>
      </w:r>
      <w:r w:rsidRPr="00C87EC1">
        <w:t xml:space="preserve">le cas d’espèce doit être distingué de l’arrêt </w:t>
      </w:r>
      <w:bookmarkStart w:id="56" w:name="_Hlk177750511"/>
      <w:r w:rsidRPr="00F360B7">
        <w:rPr>
          <w:i/>
          <w:iCs/>
        </w:rPr>
        <w:t>Little Sisters</w:t>
      </w:r>
      <w:r w:rsidR="001C3FF0" w:rsidRPr="00F360B7">
        <w:rPr>
          <w:i/>
          <w:iCs/>
        </w:rPr>
        <w:t xml:space="preserve"> Book and Art Emporium c. Canada (Ministre de la Justice)</w:t>
      </w:r>
      <w:bookmarkEnd w:id="56"/>
      <w:r w:rsidRPr="00C87EC1">
        <w:rPr>
          <w:rStyle w:val="Appelnotedebasdep"/>
        </w:rPr>
        <w:footnoteReference w:id="104"/>
      </w:r>
      <w:r w:rsidRPr="00C87EC1">
        <w:t xml:space="preserve"> que le PGQ invoque au soutien de sa position. </w:t>
      </w:r>
      <w:r w:rsidR="00A72B5A">
        <w:t>L</w:t>
      </w:r>
      <w:r w:rsidR="005A1C52" w:rsidRPr="00C87EC1">
        <w:t xml:space="preserve">es dispositions contestées dans </w:t>
      </w:r>
      <w:r w:rsidR="00EB1873" w:rsidRPr="00F360B7">
        <w:rPr>
          <w:i/>
          <w:iCs/>
        </w:rPr>
        <w:t>Little Sisters</w:t>
      </w:r>
      <w:r w:rsidR="005A1C52" w:rsidRPr="00C87EC1">
        <w:t xml:space="preserve"> prévoyaient des balises suffisantes pour encadrer le pouvoir discrétionnaire qu’elles conféraient aux agents de l’État (douaniers). Selon la majorité, ces dispositions énonçaient en effet une norme appropriée pour encadrer le pouvoir discrétionnaire des agents des douanes, notamment p</w:t>
      </w:r>
      <w:r w:rsidR="001950F9">
        <w:t xml:space="preserve">arce </w:t>
      </w:r>
      <w:r w:rsidR="005A1C52" w:rsidRPr="00C87EC1">
        <w:t>qu’elles renvoyaient à la définition de l’obscénité prévue au par. 163(8)</w:t>
      </w:r>
      <w:r w:rsidR="00BD276D">
        <w:t> </w:t>
      </w:r>
      <w:r w:rsidR="005A1C52" w:rsidRPr="00F360B7">
        <w:rPr>
          <w:i/>
          <w:iCs/>
        </w:rPr>
        <w:t>C.cr</w:t>
      </w:r>
      <w:r w:rsidR="005A1C52" w:rsidRPr="00C87EC1">
        <w:t xml:space="preserve">. </w:t>
      </w:r>
      <w:r w:rsidR="00330C92">
        <w:t>Contrairement à ce qui était allégué, r</w:t>
      </w:r>
      <w:r w:rsidR="005A1C52" w:rsidRPr="00C87EC1">
        <w:t>ien dans la législation applicable ou dans ses effets nécessaires ne prévoyait ou n’encourageait une quelconque différence de traitement fondée sur l’orientation sexuelle, la définition de l’obscénité s’appliquant sans distinction au matériel érotique homosexuel et au matériel érotique hétérosexuel</w:t>
      </w:r>
      <w:r w:rsidR="005A1C52" w:rsidRPr="00C87EC1">
        <w:rPr>
          <w:rStyle w:val="Appelnotedebasdep"/>
          <w:szCs w:val="24"/>
        </w:rPr>
        <w:footnoteReference w:id="105"/>
      </w:r>
      <w:r w:rsidR="005A1C52" w:rsidRPr="00C87EC1">
        <w:t xml:space="preserve">. Les violations alléguées de la </w:t>
      </w:r>
      <w:r w:rsidR="005A1C52" w:rsidRPr="00F360B7">
        <w:rPr>
          <w:i/>
          <w:iCs/>
        </w:rPr>
        <w:t>Charte</w:t>
      </w:r>
      <w:r w:rsidR="005A1C52" w:rsidRPr="00C87EC1">
        <w:t xml:space="preserve"> résultaient de l’administration des douanes et non de la loi elle</w:t>
      </w:r>
      <w:r w:rsidR="005A1C52" w:rsidRPr="00C87EC1">
        <w:noBreakHyphen/>
        <w:t xml:space="preserve">même. La distinction était faite au niveau administratif, dans la mise en œuvre de la législation. </w:t>
      </w:r>
    </w:p>
    <w:p w14:paraId="426C0698" w14:textId="03F112F0" w:rsidR="005A1C52" w:rsidRPr="002D1820" w:rsidRDefault="005A1C52" w:rsidP="00A037E0">
      <w:pPr>
        <w:pStyle w:val="Paragraphe"/>
        <w:spacing w:line="280" w:lineRule="exact"/>
      </w:pPr>
      <w:r w:rsidRPr="002D1820">
        <w:t xml:space="preserve">Par contraste, </w:t>
      </w:r>
      <w:r w:rsidR="001950F9" w:rsidRPr="002D1820">
        <w:t xml:space="preserve">l’art. </w:t>
      </w:r>
      <w:r w:rsidRPr="002D1820">
        <w:t xml:space="preserve">636 </w:t>
      </w:r>
      <w:r w:rsidRPr="002D1820">
        <w:rPr>
          <w:i/>
          <w:iCs/>
        </w:rPr>
        <w:t>C.s.r</w:t>
      </w:r>
      <w:r w:rsidRPr="002D1820">
        <w:t xml:space="preserve">. confère un pouvoir discrétionnaire absolu aux policiers en ne prévoyant aucun critère, exprès ou </w:t>
      </w:r>
      <w:r w:rsidR="00AE1E01" w:rsidRPr="002D1820">
        <w:t>tacite</w:t>
      </w:r>
      <w:r w:rsidRPr="002D1820">
        <w:t>, pour l’encadrer</w:t>
      </w:r>
      <w:r w:rsidR="00AE1E01" w:rsidRPr="002D1820">
        <w:rPr>
          <w:rStyle w:val="Appelnotedebasdep"/>
        </w:rPr>
        <w:footnoteReference w:id="106"/>
      </w:r>
      <w:r w:rsidRPr="002D1820">
        <w:t>. Même lorsque les policiers agissent dans un objectif de sécurité routière, le profilage racial peut s’immiscer dans l’exercice de ce pouvoir discrétionnaire. Le juge de première instance ne commet</w:t>
      </w:r>
      <w:r w:rsidR="00BD276D" w:rsidRPr="002D1820">
        <w:t xml:space="preserve"> donc</w:t>
      </w:r>
      <w:r w:rsidRPr="002D1820">
        <w:t xml:space="preserve"> aucune erreur lorsqu’il </w:t>
      </w:r>
      <w:r w:rsidR="001621D7" w:rsidRPr="002D1820">
        <w:t>conclut que le problème découle de la règle de droit</w:t>
      </w:r>
      <w:r w:rsidR="001E3F84" w:rsidRPr="002D1820">
        <w:t xml:space="preserve"> contestée</w:t>
      </w:r>
      <w:r w:rsidR="001621D7" w:rsidRPr="002D1820">
        <w:t xml:space="preserve"> et non d’une application dérogatoire de celle-ci</w:t>
      </w:r>
      <w:r w:rsidR="000F7CCD" w:rsidRPr="002D1820">
        <w:t>.</w:t>
      </w:r>
    </w:p>
    <w:p w14:paraId="4E43BC9F" w14:textId="690F4640" w:rsidR="005A1C52" w:rsidRPr="00C87EC1" w:rsidRDefault="005A1C52" w:rsidP="00A037E0">
      <w:pPr>
        <w:pStyle w:val="Paragraphe"/>
        <w:spacing w:line="280" w:lineRule="exact"/>
      </w:pPr>
      <w:r w:rsidRPr="00C87EC1">
        <w:t xml:space="preserve">Ce moyen d’appel est </w:t>
      </w:r>
      <w:r w:rsidR="009D0FDB">
        <w:t>par conséquent</w:t>
      </w:r>
      <w:r w:rsidR="009D0FDB" w:rsidRPr="00C87EC1">
        <w:t xml:space="preserve"> </w:t>
      </w:r>
      <w:r w:rsidRPr="00C87EC1">
        <w:t>rejeté.</w:t>
      </w:r>
    </w:p>
    <w:p w14:paraId="60A01E42" w14:textId="4D533756" w:rsidR="004C7B2F" w:rsidRPr="002748FE" w:rsidRDefault="002F0F69" w:rsidP="002E559C">
      <w:pPr>
        <w:pStyle w:val="Titre2"/>
      </w:pPr>
      <w:bookmarkStart w:id="57" w:name="_Toc180397466"/>
      <w:r w:rsidRPr="002F0F69">
        <w:t>B.</w:t>
      </w:r>
      <w:r w:rsidRPr="002F0F69">
        <w:tab/>
      </w:r>
      <w:r w:rsidR="004C7B2F" w:rsidRPr="002748FE">
        <w:t xml:space="preserve">Le juge a-t-il erré en concluant qu’il pouvait réexaminer </w:t>
      </w:r>
      <w:r w:rsidR="00116A16">
        <w:t>l’a</w:t>
      </w:r>
      <w:r w:rsidR="00CD4880">
        <w:t xml:space="preserve">rrêt </w:t>
      </w:r>
      <w:r w:rsidR="004C7B2F" w:rsidRPr="002748FE">
        <w:rPr>
          <w:i/>
          <w:iCs/>
        </w:rPr>
        <w:t>Ladouceur</w:t>
      </w:r>
      <w:r w:rsidR="004C7B2F" w:rsidRPr="002748FE">
        <w:t>?</w:t>
      </w:r>
      <w:bookmarkEnd w:id="57"/>
    </w:p>
    <w:p w14:paraId="37785CD8" w14:textId="72A23944" w:rsidR="0032484D" w:rsidRPr="000679EA" w:rsidRDefault="0032484D" w:rsidP="00A037E0">
      <w:pPr>
        <w:pStyle w:val="Paragraphe"/>
        <w:spacing w:line="280" w:lineRule="exact"/>
        <w:rPr>
          <w:szCs w:val="24"/>
        </w:rPr>
      </w:pPr>
      <w:bookmarkStart w:id="58" w:name="_Ref177748296"/>
      <w:r w:rsidRPr="000679EA">
        <w:rPr>
          <w:szCs w:val="24"/>
        </w:rPr>
        <w:t xml:space="preserve">La règle du </w:t>
      </w:r>
      <w:r w:rsidRPr="000679EA">
        <w:rPr>
          <w:i/>
          <w:iCs/>
          <w:szCs w:val="24"/>
        </w:rPr>
        <w:t>stare decisis</w:t>
      </w:r>
      <w:r w:rsidRPr="000679EA">
        <w:rPr>
          <w:szCs w:val="24"/>
        </w:rPr>
        <w:t xml:space="preserve"> exige que les tribunaux suivent les précédents émanant de juridictions équivalentes</w:t>
      </w:r>
      <w:r w:rsidR="004234CB">
        <w:rPr>
          <w:szCs w:val="24"/>
        </w:rPr>
        <w:t xml:space="preserve"> (</w:t>
      </w:r>
      <w:r w:rsidR="004234CB" w:rsidRPr="004234CB">
        <w:rPr>
          <w:i/>
          <w:iCs/>
          <w:szCs w:val="24"/>
        </w:rPr>
        <w:t>stare decisis</w:t>
      </w:r>
      <w:r w:rsidR="004234CB">
        <w:rPr>
          <w:szCs w:val="24"/>
        </w:rPr>
        <w:t xml:space="preserve"> horizontal)</w:t>
      </w:r>
      <w:r w:rsidRPr="000679EA">
        <w:rPr>
          <w:szCs w:val="24"/>
        </w:rPr>
        <w:t xml:space="preserve"> ou supérieures</w:t>
      </w:r>
      <w:r w:rsidR="004234CB">
        <w:rPr>
          <w:szCs w:val="24"/>
        </w:rPr>
        <w:t xml:space="preserve"> (</w:t>
      </w:r>
      <w:r w:rsidR="004234CB" w:rsidRPr="004234CB">
        <w:rPr>
          <w:i/>
          <w:iCs/>
          <w:szCs w:val="24"/>
        </w:rPr>
        <w:t>stare decisis</w:t>
      </w:r>
      <w:r w:rsidR="004234CB">
        <w:rPr>
          <w:szCs w:val="24"/>
        </w:rPr>
        <w:t xml:space="preserve"> vertical)</w:t>
      </w:r>
      <w:r w:rsidRPr="000679EA">
        <w:rPr>
          <w:rStyle w:val="Appelnotedebasdep"/>
          <w:szCs w:val="24"/>
        </w:rPr>
        <w:footnoteReference w:id="107"/>
      </w:r>
      <w:r w:rsidRPr="000679EA">
        <w:rPr>
          <w:szCs w:val="24"/>
        </w:rPr>
        <w:t xml:space="preserve">. Cette règle ne s’applique qu’à la </w:t>
      </w:r>
      <w:r w:rsidRPr="000679EA">
        <w:rPr>
          <w:i/>
          <w:iCs/>
          <w:szCs w:val="24"/>
        </w:rPr>
        <w:t xml:space="preserve">ratio decidendi </w:t>
      </w:r>
      <w:r w:rsidRPr="000679EA">
        <w:rPr>
          <w:szCs w:val="24"/>
        </w:rPr>
        <w:t>d’une affaire</w:t>
      </w:r>
      <w:r w:rsidRPr="000679EA">
        <w:rPr>
          <w:rStyle w:val="Appelnotedebasdep"/>
          <w:szCs w:val="24"/>
        </w:rPr>
        <w:footnoteReference w:id="108"/>
      </w:r>
      <w:r w:rsidRPr="000679EA">
        <w:rPr>
          <w:szCs w:val="24"/>
        </w:rPr>
        <w:t>.</w:t>
      </w:r>
      <w:bookmarkEnd w:id="58"/>
      <w:r w:rsidR="00986B86">
        <w:rPr>
          <w:szCs w:val="24"/>
        </w:rPr>
        <w:t xml:space="preserve"> En l’espèce, </w:t>
      </w:r>
      <w:r w:rsidR="00B54619">
        <w:rPr>
          <w:szCs w:val="24"/>
        </w:rPr>
        <w:t>la question touche uniquement l</w:t>
      </w:r>
      <w:r w:rsidR="00986B86">
        <w:rPr>
          <w:szCs w:val="24"/>
        </w:rPr>
        <w:t xml:space="preserve">’application du </w:t>
      </w:r>
      <w:r w:rsidR="00986B86" w:rsidRPr="00986B86">
        <w:rPr>
          <w:i/>
          <w:iCs/>
          <w:szCs w:val="24"/>
        </w:rPr>
        <w:t>stare decisis</w:t>
      </w:r>
      <w:r w:rsidR="00986B86">
        <w:rPr>
          <w:szCs w:val="24"/>
        </w:rPr>
        <w:t xml:space="preserve"> vertical</w:t>
      </w:r>
      <w:r w:rsidR="003D0629">
        <w:rPr>
          <w:i/>
          <w:iCs/>
          <w:szCs w:val="24"/>
        </w:rPr>
        <w:t xml:space="preserve">, </w:t>
      </w:r>
      <w:r w:rsidR="003D0629" w:rsidRPr="003D0629">
        <w:rPr>
          <w:szCs w:val="24"/>
        </w:rPr>
        <w:t>l’arrêt</w:t>
      </w:r>
      <w:r w:rsidR="003D0629">
        <w:rPr>
          <w:i/>
          <w:iCs/>
          <w:szCs w:val="24"/>
        </w:rPr>
        <w:t xml:space="preserve"> Ladouceur </w:t>
      </w:r>
      <w:r w:rsidR="003D0629">
        <w:rPr>
          <w:szCs w:val="24"/>
        </w:rPr>
        <w:t>provenant d’un tribunal hiérarchiquement supérieur</w:t>
      </w:r>
      <w:r w:rsidR="00986B86">
        <w:rPr>
          <w:szCs w:val="24"/>
        </w:rPr>
        <w:t>.</w:t>
      </w:r>
    </w:p>
    <w:p w14:paraId="1F8E9E3E" w14:textId="2AD5CBBE" w:rsidR="0032484D" w:rsidRPr="00597BBB" w:rsidRDefault="0032484D" w:rsidP="00A037E0">
      <w:pPr>
        <w:pStyle w:val="Paragraphe"/>
        <w:spacing w:line="280" w:lineRule="exact"/>
      </w:pPr>
      <w:r w:rsidRPr="000679EA">
        <w:rPr>
          <w:szCs w:val="24"/>
        </w:rPr>
        <w:t xml:space="preserve">La </w:t>
      </w:r>
      <w:r w:rsidRPr="000679EA">
        <w:rPr>
          <w:i/>
          <w:iCs/>
          <w:szCs w:val="24"/>
        </w:rPr>
        <w:t>ratio decidendi</w:t>
      </w:r>
      <w:r w:rsidRPr="000679EA">
        <w:rPr>
          <w:szCs w:val="24"/>
        </w:rPr>
        <w:t xml:space="preserve"> de l’arrêt </w:t>
      </w:r>
      <w:r w:rsidRPr="000679EA">
        <w:rPr>
          <w:i/>
          <w:iCs/>
          <w:szCs w:val="24"/>
        </w:rPr>
        <w:t xml:space="preserve">Ladouceur </w:t>
      </w:r>
      <w:bookmarkStart w:id="59" w:name="_Hlk171972464"/>
      <w:r w:rsidRPr="000679EA">
        <w:rPr>
          <w:szCs w:val="24"/>
        </w:rPr>
        <w:t>peut s’énoncer comme suit : 1)</w:t>
      </w:r>
      <w:r w:rsidR="00F27BB8">
        <w:rPr>
          <w:szCs w:val="24"/>
        </w:rPr>
        <w:t> </w:t>
      </w:r>
      <w:r w:rsidRPr="000679EA">
        <w:rPr>
          <w:szCs w:val="24"/>
        </w:rPr>
        <w:t>un pouvoir d’interception routière sans motif requis constitue une détention arbitraire et contrevient à l’art</w:t>
      </w:r>
      <w:r w:rsidR="002F7ECB">
        <w:rPr>
          <w:szCs w:val="24"/>
        </w:rPr>
        <w:t>.</w:t>
      </w:r>
      <w:r w:rsidRPr="000679EA">
        <w:rPr>
          <w:szCs w:val="24"/>
        </w:rPr>
        <w:t xml:space="preserve"> 9 de la </w:t>
      </w:r>
      <w:r w:rsidRPr="000679EA">
        <w:rPr>
          <w:i/>
          <w:iCs/>
          <w:szCs w:val="24"/>
        </w:rPr>
        <w:t>Charte</w:t>
      </w:r>
      <w:r w:rsidR="007A66CA">
        <w:rPr>
          <w:szCs w:val="24"/>
        </w:rPr>
        <w:t>;</w:t>
      </w:r>
      <w:r w:rsidRPr="000679EA">
        <w:rPr>
          <w:szCs w:val="24"/>
        </w:rPr>
        <w:t xml:space="preserve"> et 2) cette atteinte est justifiée </w:t>
      </w:r>
      <w:r w:rsidR="002F7ECB">
        <w:rPr>
          <w:szCs w:val="24"/>
        </w:rPr>
        <w:t>selon</w:t>
      </w:r>
      <w:r w:rsidRPr="000679EA">
        <w:rPr>
          <w:szCs w:val="24"/>
        </w:rPr>
        <w:t xml:space="preserve"> l’article premier de la </w:t>
      </w:r>
      <w:r w:rsidRPr="000679EA">
        <w:rPr>
          <w:i/>
          <w:iCs/>
          <w:szCs w:val="24"/>
        </w:rPr>
        <w:t>Charte</w:t>
      </w:r>
      <w:r w:rsidRPr="000679EA">
        <w:rPr>
          <w:rStyle w:val="Appelnotedebasdep"/>
          <w:szCs w:val="24"/>
        </w:rPr>
        <w:footnoteReference w:id="109"/>
      </w:r>
      <w:r w:rsidRPr="000679EA">
        <w:rPr>
          <w:szCs w:val="24"/>
        </w:rPr>
        <w:t xml:space="preserve">. </w:t>
      </w:r>
      <w:bookmarkEnd w:id="59"/>
      <w:r w:rsidRPr="000679EA">
        <w:rPr>
          <w:szCs w:val="24"/>
        </w:rPr>
        <w:t>Ainsi, la constitutionnalité du pouvoir d’interception sans motif</w:t>
      </w:r>
      <w:r w:rsidRPr="00597BBB">
        <w:t xml:space="preserve"> requis </w:t>
      </w:r>
      <w:r w:rsidRPr="00597BBB">
        <w:rPr>
          <w:u w:val="single"/>
        </w:rPr>
        <w:t>au regard des art</w:t>
      </w:r>
      <w:r w:rsidR="00621344">
        <w:rPr>
          <w:u w:val="single"/>
        </w:rPr>
        <w:t>.</w:t>
      </w:r>
      <w:r w:rsidR="00F27BB8">
        <w:rPr>
          <w:u w:val="single"/>
        </w:rPr>
        <w:t> </w:t>
      </w:r>
      <w:r w:rsidRPr="00597BBB">
        <w:rPr>
          <w:u w:val="single"/>
        </w:rPr>
        <w:t xml:space="preserve">7 et 15 de la </w:t>
      </w:r>
      <w:r w:rsidRPr="00597BBB">
        <w:rPr>
          <w:i/>
          <w:iCs/>
          <w:u w:val="single"/>
        </w:rPr>
        <w:t>Charte</w:t>
      </w:r>
      <w:r w:rsidRPr="00597BBB">
        <w:t xml:space="preserve"> ne fait l’objet d’aucun précédent contraignant et ne requiert pas l’application de la règle du </w:t>
      </w:r>
      <w:r w:rsidRPr="00597BBB">
        <w:rPr>
          <w:i/>
          <w:iCs/>
        </w:rPr>
        <w:t>stare decisis</w:t>
      </w:r>
      <w:r w:rsidRPr="00597BBB">
        <w:t>.</w:t>
      </w:r>
    </w:p>
    <w:p w14:paraId="3D5966D9" w14:textId="024E638D" w:rsidR="0032484D" w:rsidRPr="00597BBB" w:rsidRDefault="0032484D" w:rsidP="00A037E0">
      <w:pPr>
        <w:pStyle w:val="Paragraphe"/>
        <w:spacing w:line="280" w:lineRule="exact"/>
      </w:pPr>
      <w:r w:rsidRPr="00597BBB">
        <w:t xml:space="preserve">Plus précisément, seule la </w:t>
      </w:r>
      <w:r w:rsidRPr="00876EC9">
        <w:t>constitutionnalité</w:t>
      </w:r>
      <w:r w:rsidRPr="00597BBB">
        <w:t xml:space="preserve"> du par. 189a(1) du </w:t>
      </w:r>
      <w:r w:rsidRPr="00597BBB">
        <w:rPr>
          <w:i/>
          <w:iCs/>
        </w:rPr>
        <w:t xml:space="preserve">Code de la route </w:t>
      </w:r>
      <w:r w:rsidRPr="00597BBB">
        <w:t>de l’Ontario au regard de l’art</w:t>
      </w:r>
      <w:r w:rsidR="002F7ECB">
        <w:t>.</w:t>
      </w:r>
      <w:r w:rsidRPr="00597BBB">
        <w:t xml:space="preserve"> 9 de la </w:t>
      </w:r>
      <w:r w:rsidRPr="00597BBB">
        <w:rPr>
          <w:i/>
          <w:iCs/>
        </w:rPr>
        <w:t>Charte</w:t>
      </w:r>
      <w:r w:rsidRPr="00597BBB">
        <w:t xml:space="preserve"> a fait l’objet d’un examen par la Cour suprême</w:t>
      </w:r>
      <w:r w:rsidR="00FC1706">
        <w:t xml:space="preserve"> dans </w:t>
      </w:r>
      <w:r w:rsidR="00FC1706" w:rsidRPr="00FC1706">
        <w:rPr>
          <w:i/>
          <w:iCs/>
        </w:rPr>
        <w:t>Ladouceur</w:t>
      </w:r>
      <w:r w:rsidRPr="00597BBB">
        <w:t xml:space="preserve">, </w:t>
      </w:r>
      <w:r w:rsidR="002F7ECB" w:rsidRPr="00597BBB">
        <w:t>l’art</w:t>
      </w:r>
      <w:r w:rsidR="002F7ECB">
        <w:t>. </w:t>
      </w:r>
      <w:r w:rsidRPr="00597BBB">
        <w:t xml:space="preserve">15 de la </w:t>
      </w:r>
      <w:r w:rsidRPr="00597BBB">
        <w:rPr>
          <w:i/>
          <w:iCs/>
        </w:rPr>
        <w:t>Charte</w:t>
      </w:r>
      <w:r w:rsidRPr="00597BBB">
        <w:t xml:space="preserve"> n’étant pas entré en vigueur au moment des faits de </w:t>
      </w:r>
      <w:r w:rsidR="00FC1706">
        <w:t>cette affaire</w:t>
      </w:r>
      <w:r w:rsidRPr="00597BBB">
        <w:rPr>
          <w:rStyle w:val="Appelnotedebasdep"/>
        </w:rPr>
        <w:footnoteReference w:id="110"/>
      </w:r>
      <w:r w:rsidRPr="00597BBB">
        <w:t>. Il est ainsi clair que l’argument de M.</w:t>
      </w:r>
      <w:r w:rsidR="00FC1706">
        <w:t> </w:t>
      </w:r>
      <w:r w:rsidRPr="00597BBB">
        <w:t>Luamba fondé sur l’art</w:t>
      </w:r>
      <w:r w:rsidR="00FC1706">
        <w:t>. </w:t>
      </w:r>
      <w:r w:rsidRPr="00597BBB">
        <w:t xml:space="preserve">15 de la </w:t>
      </w:r>
      <w:r w:rsidRPr="00597BBB">
        <w:rPr>
          <w:i/>
          <w:iCs/>
        </w:rPr>
        <w:t xml:space="preserve">Charte </w:t>
      </w:r>
      <w:r w:rsidRPr="00597BBB">
        <w:t>constitue une nouvelle question de droit, tel que l’a conclu le juge de première instance</w:t>
      </w:r>
      <w:r w:rsidRPr="00597BBB">
        <w:rPr>
          <w:rStyle w:val="Appelnotedebasdep"/>
        </w:rPr>
        <w:footnoteReference w:id="111"/>
      </w:r>
      <w:r w:rsidRPr="00597BBB">
        <w:t xml:space="preserve">. </w:t>
      </w:r>
    </w:p>
    <w:p w14:paraId="29CB60C2" w14:textId="17F6A7B3" w:rsidR="0032484D" w:rsidRPr="000679EA" w:rsidRDefault="0032484D" w:rsidP="00A037E0">
      <w:pPr>
        <w:pStyle w:val="Paragraphe"/>
        <w:spacing w:line="280" w:lineRule="exact"/>
        <w:rPr>
          <w:szCs w:val="24"/>
        </w:rPr>
      </w:pPr>
      <w:r w:rsidRPr="000679EA">
        <w:rPr>
          <w:szCs w:val="24"/>
        </w:rPr>
        <w:t>Pour ce qui est de l’argument fondé sur l’art</w:t>
      </w:r>
      <w:r w:rsidR="00621344">
        <w:rPr>
          <w:szCs w:val="24"/>
        </w:rPr>
        <w:t>.</w:t>
      </w:r>
      <w:r w:rsidR="002F7ECB">
        <w:rPr>
          <w:szCs w:val="24"/>
        </w:rPr>
        <w:t> </w:t>
      </w:r>
      <w:r w:rsidRPr="000679EA">
        <w:rPr>
          <w:szCs w:val="24"/>
        </w:rPr>
        <w:t xml:space="preserve">7 de la </w:t>
      </w:r>
      <w:r w:rsidRPr="000679EA">
        <w:rPr>
          <w:i/>
          <w:iCs/>
          <w:szCs w:val="24"/>
        </w:rPr>
        <w:t>Charte</w:t>
      </w:r>
      <w:r w:rsidRPr="000679EA">
        <w:rPr>
          <w:szCs w:val="24"/>
        </w:rPr>
        <w:t xml:space="preserve">, bien que la Cour suprême en fasse mention dans la formulation des questions constitutionnelles, les motifs de la majorité précisent </w:t>
      </w:r>
      <w:r w:rsidR="003D04B6">
        <w:rPr>
          <w:szCs w:val="24"/>
        </w:rPr>
        <w:t xml:space="preserve">qu’il n’est pas nécessaire de se prononcer sur cette question </w:t>
      </w:r>
      <w:r w:rsidRPr="00FA0A1D">
        <w:rPr>
          <w:szCs w:val="24"/>
        </w:rPr>
        <w:t>en raison des conclusions auxquelles elle parvient sur l’art</w:t>
      </w:r>
      <w:r w:rsidR="002F7ECB">
        <w:rPr>
          <w:szCs w:val="24"/>
        </w:rPr>
        <w:t>. </w:t>
      </w:r>
      <w:r w:rsidRPr="00FA0A1D">
        <w:rPr>
          <w:szCs w:val="24"/>
        </w:rPr>
        <w:t>9</w:t>
      </w:r>
      <w:r w:rsidR="00FA0A1D" w:rsidRPr="00D876FF">
        <w:rPr>
          <w:rStyle w:val="Appelnotedebasdep"/>
          <w:szCs w:val="24"/>
        </w:rPr>
        <w:footnoteReference w:id="112"/>
      </w:r>
      <w:r w:rsidRPr="00D876FF">
        <w:rPr>
          <w:szCs w:val="24"/>
        </w:rPr>
        <w:t xml:space="preserve">. </w:t>
      </w:r>
      <w:r w:rsidR="00D876FF" w:rsidRPr="00D876FF">
        <w:rPr>
          <w:rStyle w:val="cf01"/>
          <w:rFonts w:ascii="Arial" w:hAnsi="Arial" w:cs="Arial"/>
          <w:sz w:val="24"/>
          <w:szCs w:val="24"/>
        </w:rPr>
        <w:t xml:space="preserve">Une lecture globale de l’arrêt </w:t>
      </w:r>
      <w:r w:rsidR="00D876FF" w:rsidRPr="00D876FF">
        <w:rPr>
          <w:rStyle w:val="cf11"/>
          <w:rFonts w:ascii="Arial" w:hAnsi="Arial" w:cs="Arial"/>
          <w:sz w:val="24"/>
          <w:szCs w:val="24"/>
        </w:rPr>
        <w:t xml:space="preserve">Ladouceur </w:t>
      </w:r>
      <w:r w:rsidR="00D876FF" w:rsidRPr="00D876FF">
        <w:rPr>
          <w:rStyle w:val="cf01"/>
          <w:rFonts w:ascii="Arial" w:hAnsi="Arial" w:cs="Arial"/>
          <w:sz w:val="24"/>
          <w:szCs w:val="24"/>
        </w:rPr>
        <w:t>permet donc de conclure que la prétention fondée sur l’art</w:t>
      </w:r>
      <w:r w:rsidR="002F7ECB">
        <w:rPr>
          <w:rStyle w:val="cf01"/>
          <w:rFonts w:ascii="Arial" w:hAnsi="Arial" w:cs="Arial"/>
          <w:sz w:val="24"/>
          <w:szCs w:val="24"/>
        </w:rPr>
        <w:t>. </w:t>
      </w:r>
      <w:r w:rsidR="00D876FF" w:rsidRPr="00D876FF">
        <w:rPr>
          <w:rStyle w:val="cf01"/>
          <w:rFonts w:ascii="Arial" w:hAnsi="Arial" w:cs="Arial"/>
          <w:sz w:val="24"/>
          <w:szCs w:val="24"/>
        </w:rPr>
        <w:t>7 n’a pas été tranchée au mérite dans cette affaire</w:t>
      </w:r>
      <w:r w:rsidR="00211886">
        <w:rPr>
          <w:rStyle w:val="cf01"/>
          <w:rFonts w:ascii="Arial" w:hAnsi="Arial" w:cs="Arial"/>
          <w:sz w:val="24"/>
          <w:szCs w:val="24"/>
        </w:rPr>
        <w:t>.</w:t>
      </w:r>
      <w:r w:rsidR="0052617C">
        <w:rPr>
          <w:rStyle w:val="cf01"/>
          <w:rFonts w:ascii="Arial" w:hAnsi="Arial" w:cs="Arial"/>
          <w:sz w:val="24"/>
          <w:szCs w:val="24"/>
        </w:rPr>
        <w:t xml:space="preserve"> </w:t>
      </w:r>
      <w:r w:rsidR="00BA4D5F">
        <w:rPr>
          <w:szCs w:val="24"/>
        </w:rPr>
        <w:t xml:space="preserve">Par conséquent, </w:t>
      </w:r>
      <w:r w:rsidRPr="000679EA">
        <w:rPr>
          <w:szCs w:val="24"/>
        </w:rPr>
        <w:t xml:space="preserve">le juge </w:t>
      </w:r>
      <w:r w:rsidR="00D33326">
        <w:rPr>
          <w:szCs w:val="24"/>
        </w:rPr>
        <w:t xml:space="preserve">avait raison de la </w:t>
      </w:r>
      <w:r w:rsidRPr="000679EA">
        <w:rPr>
          <w:szCs w:val="24"/>
        </w:rPr>
        <w:t>qualifier de « nouvelle question de droit</w:t>
      </w:r>
      <w:r w:rsidR="00991E90" w:rsidRPr="000679EA">
        <w:rPr>
          <w:szCs w:val="24"/>
        </w:rPr>
        <w:t> </w:t>
      </w:r>
      <w:r w:rsidRPr="000679EA">
        <w:rPr>
          <w:szCs w:val="24"/>
        </w:rPr>
        <w:t>»</w:t>
      </w:r>
      <w:r w:rsidR="00991E90" w:rsidRPr="000679EA">
        <w:rPr>
          <w:rStyle w:val="Appelnotedebasdep"/>
          <w:szCs w:val="24"/>
        </w:rPr>
        <w:footnoteReference w:id="113"/>
      </w:r>
      <w:r w:rsidRPr="000679EA">
        <w:rPr>
          <w:szCs w:val="24"/>
        </w:rPr>
        <w:t>.</w:t>
      </w:r>
    </w:p>
    <w:p w14:paraId="7A4BC8B7" w14:textId="3ACC3CD8" w:rsidR="0032484D" w:rsidRPr="00597BBB" w:rsidRDefault="0032484D" w:rsidP="00A037E0">
      <w:pPr>
        <w:pStyle w:val="Paragraphe"/>
        <w:spacing w:line="280" w:lineRule="exact"/>
      </w:pPr>
      <w:r w:rsidRPr="00597BBB">
        <w:t xml:space="preserve">Quant aux arguments fondés sur </w:t>
      </w:r>
      <w:r w:rsidRPr="00876EC9">
        <w:t>l’art</w:t>
      </w:r>
      <w:r w:rsidR="002F7ECB">
        <w:t>. </w:t>
      </w:r>
      <w:r w:rsidRPr="00597BBB">
        <w:t xml:space="preserve">9 de la </w:t>
      </w:r>
      <w:r w:rsidRPr="00597BBB">
        <w:rPr>
          <w:i/>
          <w:iCs/>
        </w:rPr>
        <w:t xml:space="preserve">Charte </w:t>
      </w:r>
      <w:r w:rsidRPr="00597BBB">
        <w:t xml:space="preserve">et sur la justification </w:t>
      </w:r>
      <w:r w:rsidR="00BC0DEC">
        <w:t xml:space="preserve">de l’atteinte à l’art. 9 </w:t>
      </w:r>
      <w:r w:rsidR="002F7ECB">
        <w:t>au regard</w:t>
      </w:r>
      <w:r w:rsidRPr="00597BBB">
        <w:t xml:space="preserve"> de l’article premier, le juge reconna</w:t>
      </w:r>
      <w:r w:rsidR="005238C6">
        <w:t>î</w:t>
      </w:r>
      <w:r w:rsidRPr="00597BBB">
        <w:t xml:space="preserve">t que la règle du </w:t>
      </w:r>
      <w:r w:rsidRPr="00597BBB">
        <w:rPr>
          <w:i/>
          <w:iCs/>
        </w:rPr>
        <w:t xml:space="preserve">stare decisis </w:t>
      </w:r>
      <w:r w:rsidR="00BC0DEC">
        <w:t xml:space="preserve">vertical </w:t>
      </w:r>
      <w:r w:rsidRPr="00597BBB">
        <w:t>lui impos</w:t>
      </w:r>
      <w:r w:rsidR="002F7ECB">
        <w:t>e</w:t>
      </w:r>
      <w:r w:rsidRPr="00597BBB">
        <w:t xml:space="preserve"> </w:t>
      </w:r>
      <w:r w:rsidR="00991E90">
        <w:t>de suivre</w:t>
      </w:r>
      <w:r w:rsidR="00991E90" w:rsidRPr="00597BBB">
        <w:t xml:space="preserve"> </w:t>
      </w:r>
      <w:r w:rsidRPr="00597BBB">
        <w:t xml:space="preserve">le raisonnement de l’arrêt </w:t>
      </w:r>
      <w:r w:rsidRPr="00597BBB">
        <w:rPr>
          <w:i/>
          <w:iCs/>
        </w:rPr>
        <w:t>Ladouceur</w:t>
      </w:r>
      <w:r w:rsidRPr="00597BBB">
        <w:rPr>
          <w:rStyle w:val="Appelnotedebasdep"/>
        </w:rPr>
        <w:footnoteReference w:id="114"/>
      </w:r>
      <w:r w:rsidRPr="00597BBB">
        <w:t xml:space="preserve">. Toutefois, en application des exceptions à la règle prévues par la Cour suprême dans les arrêts </w:t>
      </w:r>
      <w:bookmarkStart w:id="61" w:name="_Hlk171432040"/>
      <w:r w:rsidRPr="00597BBB">
        <w:rPr>
          <w:i/>
          <w:iCs/>
        </w:rPr>
        <w:t>Bedford</w:t>
      </w:r>
      <w:bookmarkEnd w:id="61"/>
      <w:r w:rsidRPr="00597BBB">
        <w:rPr>
          <w:i/>
          <w:iCs/>
        </w:rPr>
        <w:t>,</w:t>
      </w:r>
      <w:r w:rsidR="009F5B8B">
        <w:rPr>
          <w:i/>
          <w:iCs/>
        </w:rPr>
        <w:t xml:space="preserve"> </w:t>
      </w:r>
      <w:r w:rsidRPr="00597BBB">
        <w:rPr>
          <w:i/>
          <w:iCs/>
        </w:rPr>
        <w:t>Carter</w:t>
      </w:r>
      <w:r w:rsidRPr="00597BBB">
        <w:t xml:space="preserve"> et </w:t>
      </w:r>
      <w:r w:rsidRPr="00597BBB">
        <w:rPr>
          <w:i/>
          <w:iCs/>
        </w:rPr>
        <w:t>Comeau</w:t>
      </w:r>
      <w:r w:rsidRPr="00ED2B5B">
        <w:t>,</w:t>
      </w:r>
      <w:r w:rsidRPr="00597BBB">
        <w:rPr>
          <w:i/>
          <w:iCs/>
        </w:rPr>
        <w:t xml:space="preserve"> </w:t>
      </w:r>
      <w:r w:rsidRPr="00597BBB">
        <w:t>il s’autoris</w:t>
      </w:r>
      <w:r w:rsidR="002F7ECB">
        <w:t>e</w:t>
      </w:r>
      <w:r w:rsidRPr="00597BBB">
        <w:t xml:space="preserve"> à réexaminer ce précédent en ce qui concerne le volet de l’application de l'article premier de la </w:t>
      </w:r>
      <w:r w:rsidRPr="00597BBB">
        <w:rPr>
          <w:i/>
          <w:iCs/>
        </w:rPr>
        <w:t>Charte.</w:t>
      </w:r>
    </w:p>
    <w:p w14:paraId="4860174E" w14:textId="6D727E8B" w:rsidR="0032484D" w:rsidRPr="00597BBB" w:rsidRDefault="0032484D" w:rsidP="00A037E0">
      <w:pPr>
        <w:pStyle w:val="Paragraphe"/>
        <w:spacing w:line="280" w:lineRule="exact"/>
      </w:pPr>
      <w:r w:rsidRPr="00597BBB">
        <w:t>Selon ces arrêts,</w:t>
      </w:r>
      <w:r w:rsidR="00C03C66">
        <w:t xml:space="preserve"> </w:t>
      </w:r>
      <w:r w:rsidRPr="00597BBB">
        <w:t xml:space="preserve">un tribunal inférieur peut réexaminer un </w:t>
      </w:r>
      <w:r w:rsidRPr="009C7F2D">
        <w:t>précédent</w:t>
      </w:r>
      <w:r w:rsidRPr="00597BBB">
        <w:t xml:space="preserve"> contraignant d’un tribunal supérieur dans deux situations</w:t>
      </w:r>
      <w:r w:rsidR="002F7ECB">
        <w:t> :</w:t>
      </w:r>
      <w:r w:rsidR="000E26D5">
        <w:t xml:space="preserve"> </w:t>
      </w:r>
      <w:r w:rsidRPr="00597BBB">
        <w:t>(1) lorsqu’une nouvelle question juridique est soulevée; (2) lorsqu’une modification de la situation ou de la preuve « change radicalement la donne</w:t>
      </w:r>
      <w:r w:rsidR="00F65BEC">
        <w:t> »</w:t>
      </w:r>
      <w:r w:rsidRPr="00597BBB">
        <w:rPr>
          <w:rStyle w:val="Appelnotedebasdep"/>
        </w:rPr>
        <w:footnoteReference w:id="115"/>
      </w:r>
      <w:r w:rsidRPr="00597BBB">
        <w:t>.</w:t>
      </w:r>
      <w:bookmarkStart w:id="64" w:name="_Hlk159881474"/>
    </w:p>
    <w:p w14:paraId="296AEADF" w14:textId="4B9A9E0A" w:rsidR="0032484D" w:rsidRPr="00597BBB" w:rsidRDefault="0032484D" w:rsidP="00A037E0">
      <w:pPr>
        <w:pStyle w:val="Paragraphe"/>
        <w:spacing w:line="280" w:lineRule="exact"/>
      </w:pPr>
      <w:r w:rsidRPr="00597BBB">
        <w:t>La barre doit être élevée afin de justifier le réexamen d’un précédent contraignant</w:t>
      </w:r>
      <w:r w:rsidRPr="00597BBB">
        <w:rPr>
          <w:rStyle w:val="Appelnotedebasdep"/>
        </w:rPr>
        <w:footnoteReference w:id="116"/>
      </w:r>
      <w:r w:rsidR="00991E90">
        <w:t>,</w:t>
      </w:r>
      <w:r w:rsidRPr="00597BBB">
        <w:t xml:space="preserve"> puisqu’il s’agit d’une exception extraordinaire au principe du </w:t>
      </w:r>
      <w:r w:rsidRPr="00597BBB">
        <w:rPr>
          <w:i/>
          <w:iCs/>
        </w:rPr>
        <w:t>stare decisis</w:t>
      </w:r>
      <w:r w:rsidRPr="00597BBB">
        <w:rPr>
          <w:rStyle w:val="Appelnotedebasdep"/>
        </w:rPr>
        <w:footnoteReference w:id="117"/>
      </w:r>
      <w:r w:rsidRPr="00597BBB">
        <w:t xml:space="preserve">. Comme </w:t>
      </w:r>
      <w:r w:rsidRPr="00597BBB">
        <w:rPr>
          <w:rFonts w:cs="Arial"/>
        </w:rPr>
        <w:t xml:space="preserve">la Cour le souligne dans l’arrêt </w:t>
      </w:r>
      <w:r w:rsidRPr="00597BBB">
        <w:rPr>
          <w:rFonts w:cs="Arial"/>
          <w:i/>
          <w:iCs/>
        </w:rPr>
        <w:t>Organisation mondiale sikhe du Canada c. Procureur général du Québec</w:t>
      </w:r>
      <w:r w:rsidRPr="00597BBB">
        <w:rPr>
          <w:rFonts w:cs="Arial"/>
        </w:rPr>
        <w:t> :</w:t>
      </w:r>
    </w:p>
    <w:p w14:paraId="05C13732" w14:textId="791E80F7" w:rsidR="0032484D" w:rsidRDefault="0032484D" w:rsidP="009C7F2D">
      <w:pPr>
        <w:pStyle w:val="Citationenretrait"/>
      </w:pPr>
      <w:r w:rsidRPr="00597BBB">
        <w:t>[</w:t>
      </w:r>
      <w:bookmarkStart w:id="66" w:name="par264"/>
      <w:bookmarkEnd w:id="66"/>
      <w:r w:rsidRPr="00597BBB">
        <w:t>264]</w:t>
      </w:r>
      <w:r w:rsidR="009C7F2D">
        <w:tab/>
      </w:r>
      <w:r w:rsidRPr="00597BBB">
        <w:t>Le critère de « la question juridique nouvelle » est exigeant. En matière constitutionnelle, il peut s’agir de nouvelles questions de droit en lien avec les chartes qui n’ont pas été avancées ou considérées dans le précédent que l’on cherche à réexaminer, ou encore d’arguments soulevés par suite d’une évolution importante du droit. Comme l’écrit la Cour suprême, sous la plume de la juge en chef McLachlin,</w:t>
      </w:r>
      <w:r w:rsidR="009C7F2D">
        <w:t xml:space="preserve"> </w:t>
      </w:r>
      <w:r w:rsidRPr="00597BBB">
        <w:rPr>
          <w:rStyle w:val="reflex"/>
          <w:rFonts w:cs="Arial"/>
          <w:szCs w:val="22"/>
        </w:rPr>
        <w:t>dans l’arrêt</w:t>
      </w:r>
      <w:r w:rsidR="009C7F2D">
        <w:rPr>
          <w:rStyle w:val="reflex"/>
          <w:rFonts w:cs="Arial"/>
          <w:szCs w:val="22"/>
        </w:rPr>
        <w:t xml:space="preserve"> </w:t>
      </w:r>
      <w:r w:rsidRPr="00597BBB">
        <w:rPr>
          <w:rStyle w:val="reflex"/>
          <w:rFonts w:cs="Arial"/>
          <w:i/>
          <w:iCs/>
          <w:szCs w:val="22"/>
        </w:rPr>
        <w:t>Bedford</w:t>
      </w:r>
      <w:r w:rsidRPr="00597BBB">
        <w:t>, un tribunal de juridiction inférieure « peut se pencher puis se</w:t>
      </w:r>
      <w:r w:rsidR="009C7F2D">
        <w:t xml:space="preserve"> </w:t>
      </w:r>
      <w:r w:rsidRPr="00597BBB">
        <w:t>prononcer</w:t>
      </w:r>
      <w:r w:rsidR="009C7F2D">
        <w:t xml:space="preserve"> </w:t>
      </w:r>
      <w:r w:rsidRPr="00597BBB">
        <w:t>sur une prétention d’ordre constitutionnel qui n’a pas été invoquée dans l’affaire antérieure; il s’agit alors d’une nouvelle question de droit. De même, le sujet peut être réexaminé lorsque de nouvelles questions de droit sont soulevées par suite d’une évolution importante du droit […] »</w:t>
      </w:r>
      <w:bookmarkEnd w:id="64"/>
      <w:r w:rsidRPr="00597BBB">
        <w:t>.</w:t>
      </w:r>
    </w:p>
    <w:p w14:paraId="5E218CC1" w14:textId="77777777" w:rsidR="00991E90" w:rsidRDefault="00991E90" w:rsidP="00991E90">
      <w:pPr>
        <w:pStyle w:val="Citationenretrait"/>
      </w:pPr>
      <w:r>
        <w:t>[…]</w:t>
      </w:r>
    </w:p>
    <w:p w14:paraId="47CAF8B7" w14:textId="03134B8A" w:rsidR="00991E90" w:rsidRPr="00991E90" w:rsidRDefault="00991E90" w:rsidP="00991E90">
      <w:pPr>
        <w:pStyle w:val="Citationenretrait"/>
      </w:pPr>
      <w:r>
        <w:rPr>
          <w:rFonts w:cs="Arial"/>
          <w:color w:val="000000"/>
        </w:rPr>
        <w:t>[</w:t>
      </w:r>
      <w:bookmarkStart w:id="67" w:name="par300"/>
      <w:r>
        <w:rPr>
          <w:rFonts w:cs="Arial"/>
          <w:color w:val="000000"/>
        </w:rPr>
        <w:t>300</w:t>
      </w:r>
      <w:bookmarkEnd w:id="67"/>
      <w:r>
        <w:rPr>
          <w:rFonts w:cs="Arial"/>
          <w:color w:val="000000"/>
        </w:rPr>
        <w:t>]</w:t>
      </w:r>
      <w:r>
        <w:rPr>
          <w:color w:val="000000"/>
          <w:sz w:val="14"/>
          <w:szCs w:val="14"/>
        </w:rPr>
        <w:tab/>
      </w:r>
      <w:r>
        <w:rPr>
          <w:rFonts w:cs="Arial"/>
          <w:color w:val="000000"/>
        </w:rPr>
        <w:t>L’exception au principe du</w:t>
      </w:r>
      <w:r w:rsidR="0035596D">
        <w:rPr>
          <w:rFonts w:cs="Arial"/>
          <w:color w:val="000000"/>
        </w:rPr>
        <w:t xml:space="preserve"> </w:t>
      </w:r>
      <w:r>
        <w:rPr>
          <w:rFonts w:cs="Arial"/>
          <w:i/>
          <w:iCs/>
          <w:color w:val="000000"/>
        </w:rPr>
        <w:t>stare decisis</w:t>
      </w:r>
      <w:r w:rsidR="0035596D">
        <w:rPr>
          <w:rFonts w:cs="Arial"/>
          <w:color w:val="000000"/>
        </w:rPr>
        <w:t xml:space="preserve"> </w:t>
      </w:r>
      <w:r>
        <w:rPr>
          <w:rFonts w:cs="Arial"/>
          <w:color w:val="000000"/>
        </w:rPr>
        <w:t>relative à la modification de la situation ou de la preuve qui change radicalement la donne est également de portée restreinte</w:t>
      </w:r>
      <w:r w:rsidRPr="00991E90">
        <w:rPr>
          <w:rFonts w:cs="Arial"/>
          <w:color w:val="000000"/>
        </w:rPr>
        <w:t> </w:t>
      </w:r>
      <w:r>
        <w:rPr>
          <w:rFonts w:cs="Arial"/>
          <w:color w:val="000000"/>
        </w:rPr>
        <w:t>:</w:t>
      </w:r>
    </w:p>
    <w:p w14:paraId="0926AF19" w14:textId="77894016" w:rsidR="00991E90" w:rsidRDefault="00991E90" w:rsidP="0035596D">
      <w:pPr>
        <w:pStyle w:val="paranondepar-altn0"/>
        <w:spacing w:before="120" w:beforeAutospacing="0" w:after="0" w:afterAutospacing="0" w:line="280" w:lineRule="atLeast"/>
        <w:ind w:left="1440" w:right="1440"/>
        <w:jc w:val="both"/>
        <w:rPr>
          <w:rFonts w:ascii="Arial" w:hAnsi="Arial" w:cs="Arial"/>
          <w:color w:val="000000"/>
          <w:sz w:val="20"/>
          <w:szCs w:val="20"/>
        </w:rPr>
      </w:pPr>
      <w:r w:rsidRPr="00991E90">
        <w:rPr>
          <w:rFonts w:ascii="Arial" w:hAnsi="Arial" w:cs="Arial"/>
          <w:color w:val="000000"/>
          <w:sz w:val="20"/>
          <w:szCs w:val="20"/>
        </w:rPr>
        <w:t>[31]</w:t>
      </w:r>
      <w:r>
        <w:rPr>
          <w:rFonts w:ascii="Arial" w:hAnsi="Arial" w:cs="Arial"/>
          <w:color w:val="000000"/>
          <w:sz w:val="20"/>
          <w:szCs w:val="20"/>
        </w:rPr>
        <w:tab/>
      </w:r>
      <w:r w:rsidRPr="00991E90">
        <w:rPr>
          <w:rFonts w:ascii="Arial" w:hAnsi="Arial" w:cs="Arial"/>
          <w:color w:val="000000"/>
          <w:sz w:val="20"/>
          <w:szCs w:val="20"/>
        </w:rPr>
        <w:t>Non seulement l’exception est</w:t>
      </w:r>
      <w:r w:rsidRPr="00991E90">
        <w:rPr>
          <w:rFonts w:ascii="Arial" w:hAnsi="Arial" w:cs="Arial"/>
          <w:color w:val="000000"/>
          <w:sz w:val="20"/>
          <w:szCs w:val="20"/>
        </w:rPr>
        <w:noBreakHyphen/>
        <w:t>elle restreinte — la preuve doit « change[r] radicalement la donne » —, mais il ne s’agit pas d’une invitation générale à réexaminer les précédents qui font autorité sur le fondement de </w:t>
      </w:r>
      <w:r w:rsidRPr="00991E90">
        <w:rPr>
          <w:rFonts w:ascii="Arial" w:hAnsi="Arial" w:cs="Arial"/>
          <w:i/>
          <w:iCs/>
          <w:color w:val="000000"/>
          <w:sz w:val="20"/>
          <w:szCs w:val="20"/>
        </w:rPr>
        <w:t>n’importe quel </w:t>
      </w:r>
      <w:r w:rsidRPr="00991E90">
        <w:rPr>
          <w:rFonts w:ascii="Arial" w:hAnsi="Arial" w:cs="Arial"/>
          <w:color w:val="000000"/>
          <w:sz w:val="20"/>
          <w:szCs w:val="20"/>
        </w:rPr>
        <w:t>type de preuve.</w:t>
      </w:r>
      <w:r w:rsidR="0035596D">
        <w:rPr>
          <w:rFonts w:ascii="Arial" w:hAnsi="Arial" w:cs="Arial"/>
          <w:color w:val="000000"/>
          <w:sz w:val="20"/>
          <w:szCs w:val="20"/>
        </w:rPr>
        <w:t xml:space="preserve"> </w:t>
      </w:r>
      <w:r>
        <w:rPr>
          <w:rFonts w:ascii="Arial" w:hAnsi="Arial" w:cs="Arial"/>
          <w:color w:val="000000"/>
          <w:sz w:val="20"/>
          <w:szCs w:val="20"/>
        </w:rPr>
        <w:t>[…]</w:t>
      </w:r>
      <w:r w:rsidR="00801648">
        <w:rPr>
          <w:rStyle w:val="Appelnotedebasdep"/>
          <w:rFonts w:ascii="Arial" w:hAnsi="Arial" w:cs="Arial"/>
          <w:color w:val="000000"/>
          <w:sz w:val="20"/>
          <w:szCs w:val="20"/>
        </w:rPr>
        <w:footnoteReference w:id="118"/>
      </w:r>
    </w:p>
    <w:p w14:paraId="7932C075" w14:textId="471A70E2" w:rsidR="00A94B65" w:rsidRPr="00A94B65" w:rsidRDefault="00A94B65" w:rsidP="00F27BB8">
      <w:pPr>
        <w:pStyle w:val="paranondepar-altn0"/>
        <w:spacing w:before="0" w:beforeAutospacing="0" w:after="120" w:afterAutospacing="0" w:line="280" w:lineRule="atLeast"/>
        <w:ind w:left="720" w:right="720"/>
        <w:jc w:val="right"/>
        <w:rPr>
          <w:rFonts w:ascii="Arial" w:hAnsi="Arial" w:cs="Arial"/>
          <w:color w:val="000000"/>
          <w:sz w:val="22"/>
          <w:szCs w:val="22"/>
        </w:rPr>
      </w:pPr>
      <w:r w:rsidRPr="00A94B65">
        <w:rPr>
          <w:rFonts w:ascii="Arial" w:hAnsi="Arial" w:cs="Arial"/>
          <w:color w:val="000000"/>
          <w:sz w:val="22"/>
          <w:szCs w:val="22"/>
        </w:rPr>
        <w:t>[Renvois omis]</w:t>
      </w:r>
    </w:p>
    <w:p w14:paraId="5E49127E" w14:textId="03B8611C" w:rsidR="00176D0A" w:rsidRDefault="0032484D" w:rsidP="00A037E0">
      <w:pPr>
        <w:pStyle w:val="Paragraphe"/>
        <w:spacing w:line="280" w:lineRule="exact"/>
      </w:pPr>
      <w:r w:rsidRPr="00597BBB">
        <w:t xml:space="preserve">Il ne suffira pas de qualifier différemment une atteinte à un droit fondamental </w:t>
      </w:r>
      <w:r w:rsidR="00621344">
        <w:t>pour qu’elle</w:t>
      </w:r>
      <w:r w:rsidRPr="00597BBB">
        <w:t xml:space="preserve"> constitue une nouvell</w:t>
      </w:r>
      <w:r w:rsidRPr="00F412FF">
        <w:t xml:space="preserve">e question de droit. </w:t>
      </w:r>
    </w:p>
    <w:p w14:paraId="606F25E5" w14:textId="2BBC1404" w:rsidR="0032484D" w:rsidRPr="00597BBB" w:rsidRDefault="00E96547" w:rsidP="00A037E0">
      <w:pPr>
        <w:pStyle w:val="Paragraphe"/>
        <w:spacing w:line="280" w:lineRule="exact"/>
      </w:pPr>
      <w:r>
        <w:t xml:space="preserve">Quant à la seconde </w:t>
      </w:r>
      <w:r w:rsidR="007F14A0">
        <w:t>situation permettant de réexaminer un précédent</w:t>
      </w:r>
      <w:r w:rsidR="00F45783">
        <w:t>,</w:t>
      </w:r>
      <w:r w:rsidR="0032484D" w:rsidRPr="00F412FF">
        <w:t xml:space="preserve"> «</w:t>
      </w:r>
      <w:r w:rsidR="00107D66" w:rsidRPr="00F412FF">
        <w:t> </w:t>
      </w:r>
      <w:r w:rsidR="0032484D" w:rsidRPr="00F412FF">
        <w:t>ni une preuve actualisée, ni l’évolution des mentalités et des points de vue n’équiva</w:t>
      </w:r>
      <w:r w:rsidR="0032484D" w:rsidRPr="00F412FF">
        <w:rPr>
          <w:rFonts w:cs="Arial"/>
        </w:rPr>
        <w:t>[udront]</w:t>
      </w:r>
      <w:r w:rsidR="0032484D" w:rsidRPr="00F412FF">
        <w:t xml:space="preserve"> à une modification de la situation ou de la preuve qui change radicalement la donne</w:t>
      </w:r>
      <w:r w:rsidR="00107D66" w:rsidRPr="00F412FF">
        <w:t> </w:t>
      </w:r>
      <w:r w:rsidR="0032484D" w:rsidRPr="00F412FF">
        <w:t>»</w:t>
      </w:r>
      <w:r w:rsidR="0032484D" w:rsidRPr="00F412FF">
        <w:rPr>
          <w:rStyle w:val="Appelnotedebasdep"/>
        </w:rPr>
        <w:footnoteReference w:id="119"/>
      </w:r>
      <w:r w:rsidR="0032484D" w:rsidRPr="00F412FF">
        <w:t xml:space="preserve"> </w:t>
      </w:r>
      <w:r w:rsidR="007F14A0">
        <w:t xml:space="preserve">quant à </w:t>
      </w:r>
      <w:r w:rsidR="0032484D" w:rsidRPr="00F412FF">
        <w:t>la manière dont les juristes comprennent la question juridique en cause</w:t>
      </w:r>
      <w:r w:rsidR="0032484D" w:rsidRPr="00F412FF">
        <w:rPr>
          <w:rStyle w:val="Appelnotedebasdep"/>
        </w:rPr>
        <w:footnoteReference w:id="120"/>
      </w:r>
      <w:r w:rsidR="0032484D" w:rsidRPr="00F412FF">
        <w:t xml:space="preserve">. La Cour suprême envisage </w:t>
      </w:r>
      <w:r w:rsidR="00BA5E8A" w:rsidRPr="00F412FF">
        <w:t>la possibilité</w:t>
      </w:r>
      <w:r w:rsidR="0032484D" w:rsidRPr="00F412FF">
        <w:t xml:space="preserve"> pour un tribunal de s’écarter d’un précédent dans des circonstances établissant une évolution importante des faits législatifs et sociaux fondamentaux qui change radicalement la donne. Dans</w:t>
      </w:r>
      <w:r w:rsidR="00CB716E" w:rsidRPr="00F412FF">
        <w:t xml:space="preserve"> l’arrêt</w:t>
      </w:r>
      <w:r w:rsidR="0032484D" w:rsidRPr="00F412FF">
        <w:rPr>
          <w:i/>
          <w:iCs/>
        </w:rPr>
        <w:t xml:space="preserve"> Comeau</w:t>
      </w:r>
      <w:r w:rsidR="00CB716E" w:rsidRPr="00F412FF">
        <w:t xml:space="preserve">, </w:t>
      </w:r>
      <w:r w:rsidR="0032484D" w:rsidRPr="00F412FF">
        <w:t>elle écrit :</w:t>
      </w:r>
    </w:p>
    <w:p w14:paraId="230DACE4" w14:textId="13011150" w:rsidR="0032484D" w:rsidRPr="00597BBB" w:rsidRDefault="0032484D" w:rsidP="00107D66">
      <w:pPr>
        <w:pStyle w:val="Citationenretrait"/>
        <w:rPr>
          <w:i/>
          <w:iCs/>
        </w:rPr>
      </w:pPr>
      <w:r w:rsidRPr="00597BBB">
        <w:t>[31]</w:t>
      </w:r>
      <w:r w:rsidR="008E08EE">
        <w:tab/>
      </w:r>
      <w:r w:rsidRPr="00597BBB">
        <w:t>[…] la preuve d’une évolution importante des faits législatifs et sociaux fondamentaux — « qui intéressent la société en général » — constitue un type de preuve qui peut radicalement changer la donne dans le débat juridique visé</w:t>
      </w:r>
      <w:r w:rsidR="00F86023">
        <w:t> :</w:t>
      </w:r>
      <w:r w:rsidRPr="00597BBB">
        <w:t xml:space="preserve"> </w:t>
      </w:r>
      <w:r w:rsidRPr="00CB716E">
        <w:rPr>
          <w:i/>
          <w:iCs/>
        </w:rPr>
        <w:t>Bedford</w:t>
      </w:r>
      <w:r w:rsidRPr="00597BBB">
        <w:t xml:space="preserve">, par. 48-49; </w:t>
      </w:r>
      <w:r w:rsidRPr="00CB716E">
        <w:rPr>
          <w:i/>
          <w:iCs/>
        </w:rPr>
        <w:t>Carter</w:t>
      </w:r>
      <w:r w:rsidRPr="00597BBB">
        <w:t>, par. 47. Ainsi, il a été jugé que l’exception s’applique lorsque le contexte social sous-jacent qui encadrait le débat juridique original examiné a profondément changé.</w:t>
      </w:r>
    </w:p>
    <w:p w14:paraId="5EAE737A" w14:textId="2F4C52D5" w:rsidR="0032484D" w:rsidRPr="00597BBB" w:rsidRDefault="0032484D" w:rsidP="00107D66">
      <w:pPr>
        <w:pStyle w:val="Citationenretrait"/>
        <w:rPr>
          <w:i/>
          <w:iCs/>
        </w:rPr>
      </w:pPr>
      <w:r w:rsidRPr="00597BBB">
        <w:t>[3</w:t>
      </w:r>
      <w:r w:rsidR="008E08EE">
        <w:t>2</w:t>
      </w:r>
      <w:r w:rsidRPr="00597BBB">
        <w:t>]</w:t>
      </w:r>
      <w:r w:rsidR="008E08EE">
        <w:tab/>
      </w:r>
      <w:r w:rsidRPr="00597BBB">
        <w:t xml:space="preserve">Dans </w:t>
      </w:r>
      <w:r w:rsidRPr="008E08EE">
        <w:rPr>
          <w:i/>
          <w:iCs/>
        </w:rPr>
        <w:t>Carter</w:t>
      </w:r>
      <w:r w:rsidRPr="00597BBB">
        <w:t xml:space="preserve">, par exemple, de nouveaux éléments de preuve relatifs aux préjudices associés à l’interdiction de l’aide médicale à mourir, aux attitudes du public envers cette aide et aux mesures qui peuvent être mises en place pour limiter le risque étaient pertinents. Compte tenu du cadre juridique qui existait alors, il était impossible de connaître cette preuve, ou alors celle-ci n’était pas pertinente, au moment où l’arrêt </w:t>
      </w:r>
      <w:r w:rsidRPr="008E08EE">
        <w:rPr>
          <w:i/>
          <w:iCs/>
        </w:rPr>
        <w:t>Rodriguez c. Colombie-Britannique (Procureur général)</w:t>
      </w:r>
      <w:r w:rsidRPr="00597BBB">
        <w:t xml:space="preserve">, [1993] 3 R.C.S. 519, a été rendu. Ces nouveaux faits législatifs et sociaux n’ont pas simplement fourni une autre réponse à la question posée dans </w:t>
      </w:r>
      <w:r w:rsidRPr="008E08EE">
        <w:rPr>
          <w:i/>
          <w:iCs/>
        </w:rPr>
        <w:t>Rodriguez</w:t>
      </w:r>
      <w:r w:rsidRPr="00597BBB">
        <w:t>. Ils ont plutôt changé radicalement la donne quant à la façon dont la Cour pouvait évaluer la nature des intérêts opposés en jeu.</w:t>
      </w:r>
    </w:p>
    <w:p w14:paraId="4E9512F4" w14:textId="19811F40" w:rsidR="00F076A3" w:rsidRDefault="00F076A3" w:rsidP="00A037E0">
      <w:pPr>
        <w:pStyle w:val="Paragraphe"/>
        <w:spacing w:line="280" w:lineRule="exact"/>
      </w:pPr>
      <w:r>
        <w:t xml:space="preserve">En l’espèce, le juge de première instance </w:t>
      </w:r>
      <w:r w:rsidR="0019773A">
        <w:t>note qu’il est « acquis » que les interceptions routières sans motif requis « </w:t>
      </w:r>
      <w:r w:rsidR="0019773A">
        <w:rPr>
          <w:rFonts w:cs="Arial"/>
          <w:color w:val="000000"/>
        </w:rPr>
        <w:t>constituent une forme de détention arbitraire »</w:t>
      </w:r>
      <w:r w:rsidR="0019773A">
        <w:rPr>
          <w:rStyle w:val="Appelnotedebasdep"/>
          <w:rFonts w:cs="Arial"/>
          <w:color w:val="000000"/>
        </w:rPr>
        <w:footnoteReference w:id="121"/>
      </w:r>
      <w:r w:rsidR="0019773A">
        <w:rPr>
          <w:rFonts w:cs="Arial"/>
          <w:color w:val="000000"/>
        </w:rPr>
        <w:t xml:space="preserve"> contraire à l’art. 9 de la </w:t>
      </w:r>
      <w:r w:rsidR="0019773A" w:rsidRPr="0019773A">
        <w:rPr>
          <w:rFonts w:cs="Arial"/>
          <w:i/>
          <w:iCs/>
          <w:color w:val="000000"/>
        </w:rPr>
        <w:t>Charte</w:t>
      </w:r>
      <w:r w:rsidR="0019773A">
        <w:t xml:space="preserve">. En ce qui concerne la justification de l’atteinte en vertu de l’article premier, il </w:t>
      </w:r>
      <w:r>
        <w:t xml:space="preserve">conclut que le critère de la nouvelle question juridique est </w:t>
      </w:r>
      <w:r w:rsidR="0067465E">
        <w:t>satisfait</w:t>
      </w:r>
      <w:r w:rsidR="0019773A">
        <w:t>, puisque le dossier pose « </w:t>
      </w:r>
      <w:r w:rsidR="0019773A">
        <w:rPr>
          <w:rFonts w:cs="Arial"/>
          <w:color w:val="000000"/>
        </w:rPr>
        <w:t>la question sous un angle différent en se fondant sur l’évolution des données et du contexte »</w:t>
      </w:r>
      <w:r w:rsidR="0019773A">
        <w:rPr>
          <w:rStyle w:val="Appelnotedebasdep"/>
          <w:rFonts w:cs="Arial"/>
          <w:color w:val="000000"/>
        </w:rPr>
        <w:footnoteReference w:id="122"/>
      </w:r>
      <w:r w:rsidR="0019773A">
        <w:rPr>
          <w:rFonts w:cs="Arial"/>
          <w:color w:val="000000"/>
        </w:rPr>
        <w:t>.</w:t>
      </w:r>
    </w:p>
    <w:p w14:paraId="1F11A0F6" w14:textId="06161C7A" w:rsidR="00832E4A" w:rsidRPr="00597BBB" w:rsidRDefault="00832E4A" w:rsidP="00A037E0">
      <w:pPr>
        <w:pStyle w:val="Paragraphe"/>
        <w:spacing w:line="280" w:lineRule="exact"/>
      </w:pPr>
      <w:r>
        <w:t>Le juge conclut par ailleurs que « </w:t>
      </w:r>
      <w:r>
        <w:rPr>
          <w:rFonts w:cs="Arial"/>
          <w:color w:val="000000"/>
        </w:rPr>
        <w:t>les faits sociaux et les données ont varié au fil du temps avec pour effet de modifier le contexte et de changer “la donne”, par rapport à ceux prévalant lorsque l’affaire</w:t>
      </w:r>
      <w:r w:rsidR="00DF3B04">
        <w:rPr>
          <w:rFonts w:cs="Arial"/>
          <w:color w:val="000000"/>
        </w:rPr>
        <w:t xml:space="preserve"> </w:t>
      </w:r>
      <w:r>
        <w:rPr>
          <w:rFonts w:cs="Arial"/>
          <w:i/>
          <w:iCs/>
          <w:color w:val="000000"/>
        </w:rPr>
        <w:t>Ladouceur</w:t>
      </w:r>
      <w:r w:rsidR="00DF3B04">
        <w:rPr>
          <w:rFonts w:cs="Arial"/>
          <w:color w:val="000000"/>
        </w:rPr>
        <w:t xml:space="preserve"> </w:t>
      </w:r>
      <w:r>
        <w:rPr>
          <w:rFonts w:cs="Arial"/>
          <w:color w:val="000000"/>
        </w:rPr>
        <w:t>a été entendue »</w:t>
      </w:r>
      <w:r>
        <w:rPr>
          <w:rStyle w:val="Appelnotedebasdep"/>
          <w:rFonts w:cs="Arial"/>
          <w:color w:val="000000"/>
        </w:rPr>
        <w:footnoteReference w:id="123"/>
      </w:r>
      <w:r>
        <w:rPr>
          <w:rFonts w:cs="Arial"/>
          <w:color w:val="000000"/>
        </w:rPr>
        <w:t>.</w:t>
      </w:r>
    </w:p>
    <w:p w14:paraId="08020562" w14:textId="6BBCDF2A" w:rsidR="0032484D" w:rsidRPr="00597BBB" w:rsidRDefault="00832E4A" w:rsidP="00A037E0">
      <w:pPr>
        <w:pStyle w:val="Paragraphe"/>
        <w:spacing w:line="280" w:lineRule="exact"/>
      </w:pPr>
      <w:r>
        <w:t xml:space="preserve">Pour le </w:t>
      </w:r>
      <w:r w:rsidR="0032484D" w:rsidRPr="00597BBB">
        <w:t>PGQ</w:t>
      </w:r>
      <w:r>
        <w:t xml:space="preserve">, il y a là une erreur qui justifie l’intervention de la Cour. À son avis, </w:t>
      </w:r>
      <w:r w:rsidR="0032484D" w:rsidRPr="00597BBB">
        <w:t xml:space="preserve">la réalité du profilage racial est </w:t>
      </w:r>
      <w:r w:rsidR="0032484D" w:rsidRPr="00107D66">
        <w:t>bien</w:t>
      </w:r>
      <w:r w:rsidR="0032484D" w:rsidRPr="00597BBB">
        <w:t xml:space="preserve"> connue depuis longtemps au Canada</w:t>
      </w:r>
      <w:r w:rsidR="000C5FEC">
        <w:t>,</w:t>
      </w:r>
      <w:r w:rsidR="00F025D8">
        <w:t xml:space="preserve"> </w:t>
      </w:r>
      <w:r w:rsidR="0032484D" w:rsidRPr="00597BBB">
        <w:t>même si ce terme</w:t>
      </w:r>
      <w:r>
        <w:t>,</w:t>
      </w:r>
      <w:r w:rsidR="0032484D" w:rsidRPr="00597BBB">
        <w:t xml:space="preserve"> maintenant consacré</w:t>
      </w:r>
      <w:r>
        <w:t>,</w:t>
      </w:r>
      <w:r w:rsidR="0032484D" w:rsidRPr="00597BBB">
        <w:t xml:space="preserve"> n’était pas encore </w:t>
      </w:r>
      <w:r w:rsidR="003E5A2F">
        <w:t xml:space="preserve">en usage </w:t>
      </w:r>
      <w:r w:rsidR="0032484D" w:rsidRPr="00597BBB">
        <w:t xml:space="preserve">à l’époque de l’arrêt </w:t>
      </w:r>
      <w:r w:rsidR="0032484D" w:rsidRPr="00597BBB">
        <w:rPr>
          <w:i/>
          <w:iCs/>
        </w:rPr>
        <w:t>Ladouceur</w:t>
      </w:r>
      <w:r w:rsidR="0032484D" w:rsidRPr="00597BBB">
        <w:t>. Par conséquent, il soutient que le juge se trompe en décidant que la preuve administrée devant lui a pour effet de «</w:t>
      </w:r>
      <w:r>
        <w:t> </w:t>
      </w:r>
      <w:r w:rsidR="0032484D" w:rsidRPr="00597BBB">
        <w:t>changer radicalement la donne</w:t>
      </w:r>
      <w:r>
        <w:t> </w:t>
      </w:r>
      <w:r w:rsidR="0032484D" w:rsidRPr="00597BBB">
        <w:t>».</w:t>
      </w:r>
    </w:p>
    <w:p w14:paraId="50953341" w14:textId="320F6462" w:rsidR="0032484D" w:rsidRPr="00597BBB" w:rsidRDefault="0032484D" w:rsidP="00A037E0">
      <w:pPr>
        <w:pStyle w:val="Paragraphe"/>
        <w:spacing w:line="280" w:lineRule="exact"/>
      </w:pPr>
      <w:r w:rsidRPr="00597BBB">
        <w:t xml:space="preserve">La Cour n’est pas d’accord. Au contraire, eu égard à l’ensemble de la preuve </w:t>
      </w:r>
      <w:r w:rsidRPr="00597BBB">
        <w:rPr>
          <w:rFonts w:cs="Arial"/>
          <w:color w:val="000000"/>
        </w:rPr>
        <w:t>qualitative, quantitative, statistique et d’expert</w:t>
      </w:r>
      <w:r w:rsidRPr="00597BBB">
        <w:t xml:space="preserve"> entendue,</w:t>
      </w:r>
      <w:r w:rsidRPr="00597BBB">
        <w:rPr>
          <w:rFonts w:cs="Arial"/>
          <w:color w:val="000000"/>
        </w:rPr>
        <w:t xml:space="preserve"> le</w:t>
      </w:r>
      <w:r w:rsidRPr="00597BBB">
        <w:t xml:space="preserve"> juge</w:t>
      </w:r>
      <w:r w:rsidR="00735A6A">
        <w:t xml:space="preserve"> n’a pas erré en concluant </w:t>
      </w:r>
      <w:r w:rsidR="00BA5E8A">
        <w:t>à</w:t>
      </w:r>
      <w:r w:rsidRPr="00597BBB">
        <w:t xml:space="preserve"> une nouvelle réalité bien </w:t>
      </w:r>
      <w:r w:rsidRPr="00391801">
        <w:t xml:space="preserve">documentée </w:t>
      </w:r>
      <w:r w:rsidR="001048E7" w:rsidRPr="00391801">
        <w:t>au cours des</w:t>
      </w:r>
      <w:r w:rsidRPr="00391801">
        <w:t xml:space="preserve"> vingt</w:t>
      </w:r>
      <w:r w:rsidRPr="00597BBB">
        <w:t xml:space="preserve"> dernières années, </w:t>
      </w:r>
      <w:r w:rsidR="00E17CB0">
        <w:t>laquelle</w:t>
      </w:r>
      <w:r w:rsidR="00E17CB0" w:rsidRPr="00597BBB">
        <w:t xml:space="preserve"> </w:t>
      </w:r>
      <w:r w:rsidRPr="00597BBB">
        <w:t>change radicalement la donne.</w:t>
      </w:r>
    </w:p>
    <w:p w14:paraId="06DC165D" w14:textId="7CFEDB99" w:rsidR="0032484D" w:rsidRPr="00597BBB" w:rsidRDefault="0032484D" w:rsidP="00A037E0">
      <w:pPr>
        <w:pStyle w:val="Paragraphe"/>
        <w:spacing w:line="280" w:lineRule="exact"/>
      </w:pPr>
      <w:r w:rsidRPr="00597BBB">
        <w:t xml:space="preserve">Le juge fait une analyse détaillée de la preuve testimoniale </w:t>
      </w:r>
      <w:r w:rsidRPr="00107D66">
        <w:t>présentée</w:t>
      </w:r>
      <w:r w:rsidRPr="00597BBB">
        <w:t xml:space="preserve"> par M.</w:t>
      </w:r>
      <w:r w:rsidR="00BA5E8A">
        <w:t> </w:t>
      </w:r>
      <w:r w:rsidRPr="00597BBB">
        <w:t>Luamba et par plusieurs autres « personnes noires ayant vécu des expériences d’</w:t>
      </w:r>
      <w:r w:rsidRPr="00597BBB">
        <w:rPr>
          <w:i/>
          <w:iCs/>
        </w:rPr>
        <w:t>interceptions routières sans</w:t>
      </w:r>
      <w:r w:rsidRPr="00597BBB">
        <w:t xml:space="preserve"> </w:t>
      </w:r>
      <w:r w:rsidRPr="00597BBB">
        <w:rPr>
          <w:i/>
          <w:iCs/>
        </w:rPr>
        <w:t>motif réel</w:t>
      </w:r>
      <w:r w:rsidRPr="00597BBB">
        <w:t> »</w:t>
      </w:r>
      <w:r w:rsidRPr="00391801">
        <w:rPr>
          <w:rStyle w:val="Appelnotedebasdep"/>
        </w:rPr>
        <w:footnoteReference w:id="124"/>
      </w:r>
      <w:r w:rsidRPr="00391801">
        <w:t>.</w:t>
      </w:r>
    </w:p>
    <w:p w14:paraId="4452A7C8" w14:textId="52B9FEC4" w:rsidR="0032484D" w:rsidRPr="00597BBB" w:rsidRDefault="003F4868" w:rsidP="00A037E0">
      <w:pPr>
        <w:pStyle w:val="Paragraphe"/>
        <w:spacing w:line="280" w:lineRule="exact"/>
      </w:pPr>
      <w:r w:rsidRPr="00391801">
        <w:t>Il</w:t>
      </w:r>
      <w:r w:rsidR="0032484D" w:rsidRPr="00597BBB">
        <w:t xml:space="preserve"> retient que ce groupe de témoins </w:t>
      </w:r>
      <w:r w:rsidR="0032484D" w:rsidRPr="00107D66">
        <w:t>est</w:t>
      </w:r>
      <w:r w:rsidR="0032484D" w:rsidRPr="00597BBB">
        <w:t xml:space="preserve"> suffisant en nombre « pour jeter un éclairage diversifié sur les interceptions routières de conducteurs noirs, dégager des traits communs et conclure à une pratique policière qui ne peut être, une fois ces traits communs mis en lumière, qu’associée au profilage racial »</w:t>
      </w:r>
      <w:r w:rsidR="0032484D" w:rsidRPr="00597BBB">
        <w:rPr>
          <w:rStyle w:val="Appelnotedebasdep"/>
          <w:rFonts w:cs="Arial"/>
        </w:rPr>
        <w:footnoteReference w:id="125"/>
      </w:r>
      <w:r w:rsidR="0032484D" w:rsidRPr="00597BBB">
        <w:t xml:space="preserve">. </w:t>
      </w:r>
      <w:r w:rsidRPr="00391801">
        <w:t>Selon lui,</w:t>
      </w:r>
      <w:r w:rsidR="0032484D" w:rsidRPr="00597BBB">
        <w:t xml:space="preserve"> cette preuve qualitative est crédible et concluante quant à l’existence du profilage racial</w:t>
      </w:r>
      <w:r w:rsidR="0032484D" w:rsidRPr="00597BBB">
        <w:rPr>
          <w:rStyle w:val="Appelnotedebasdep"/>
        </w:rPr>
        <w:footnoteReference w:id="126"/>
      </w:r>
      <w:r w:rsidR="0032484D" w:rsidRPr="00597BBB">
        <w:t xml:space="preserve">. </w:t>
      </w:r>
    </w:p>
    <w:p w14:paraId="31FB6DC3" w14:textId="347C92C8" w:rsidR="0032484D" w:rsidRPr="00597BBB" w:rsidRDefault="0032484D" w:rsidP="00A037E0">
      <w:pPr>
        <w:pStyle w:val="Paragraphe"/>
        <w:spacing w:line="280" w:lineRule="exact"/>
        <w:rPr>
          <w:rFonts w:cs="Arial"/>
          <w:color w:val="000000"/>
        </w:rPr>
      </w:pPr>
      <w:r w:rsidRPr="00597BBB">
        <w:t xml:space="preserve">Quant à la preuve quantitative, la </w:t>
      </w:r>
      <w:r w:rsidRPr="00107D66">
        <w:t>preuve</w:t>
      </w:r>
      <w:r w:rsidRPr="00597BBB">
        <w:t xml:space="preserve"> documentaire et la preuve d’expert, elle rejoint celle étudiée par la Cour suprême dans l’arrêt </w:t>
      </w:r>
      <w:r w:rsidRPr="00597BBB">
        <w:rPr>
          <w:i/>
          <w:iCs/>
        </w:rPr>
        <w:t>Le</w:t>
      </w:r>
      <w:r w:rsidRPr="00597BBB">
        <w:t>, analysé par le juge</w:t>
      </w:r>
      <w:r w:rsidRPr="00597BBB">
        <w:rPr>
          <w:rStyle w:val="Appelnotedebasdep"/>
        </w:rPr>
        <w:footnoteReference w:id="127"/>
      </w:r>
      <w:r w:rsidRPr="00597BBB">
        <w:t xml:space="preserve">, où </w:t>
      </w:r>
      <w:r w:rsidRPr="00597BBB">
        <w:rPr>
          <w:rFonts w:cs="Arial"/>
          <w:color w:val="000000"/>
        </w:rPr>
        <w:t>la Cour suprême reconna</w:t>
      </w:r>
      <w:r w:rsidR="00521AE6">
        <w:rPr>
          <w:rFonts w:cs="Arial"/>
          <w:color w:val="000000"/>
        </w:rPr>
        <w:t>î</w:t>
      </w:r>
      <w:r w:rsidRPr="00597BBB">
        <w:rPr>
          <w:rFonts w:cs="Arial"/>
          <w:color w:val="000000"/>
        </w:rPr>
        <w:t>t «</w:t>
      </w:r>
      <w:r w:rsidR="00521AE6">
        <w:rPr>
          <w:rFonts w:cs="Arial"/>
          <w:color w:val="000000"/>
        </w:rPr>
        <w:t> </w:t>
      </w:r>
      <w:r w:rsidRPr="00597BBB">
        <w:rPr>
          <w:rFonts w:cs="Arial"/>
          <w:color w:val="000000"/>
        </w:rPr>
        <w:t>l’existence d’un nombre disproportionné d’interventions policières auprès des collectivités racialisées et à faible revenu »</w:t>
      </w:r>
      <w:r w:rsidRPr="00597BBB">
        <w:rPr>
          <w:rStyle w:val="Appelnotedebasdep"/>
          <w:rFonts w:cs="Arial"/>
          <w:color w:val="000000"/>
        </w:rPr>
        <w:footnoteReference w:id="128"/>
      </w:r>
      <w:r w:rsidR="005238C6">
        <w:rPr>
          <w:rFonts w:cs="Arial"/>
          <w:color w:val="000000"/>
        </w:rPr>
        <w:t xml:space="preserve">. </w:t>
      </w:r>
      <w:r w:rsidR="0050144B">
        <w:rPr>
          <w:rFonts w:cs="Arial"/>
          <w:color w:val="000000"/>
        </w:rPr>
        <w:t xml:space="preserve">À cet égard, </w:t>
      </w:r>
      <w:r w:rsidR="00521AE6">
        <w:rPr>
          <w:rFonts w:cs="Arial"/>
          <w:color w:val="000000"/>
        </w:rPr>
        <w:t>c</w:t>
      </w:r>
      <w:r w:rsidRPr="00597BBB">
        <w:rPr>
          <w:rFonts w:cs="Arial"/>
          <w:color w:val="000000"/>
        </w:rPr>
        <w:t xml:space="preserve">omme l’explique le juge Cournoyer, alors </w:t>
      </w:r>
      <w:r w:rsidR="00521AE6">
        <w:rPr>
          <w:rFonts w:cs="Arial"/>
          <w:color w:val="000000"/>
        </w:rPr>
        <w:t>de</w:t>
      </w:r>
      <w:r w:rsidRPr="00597BBB">
        <w:rPr>
          <w:rFonts w:cs="Arial"/>
          <w:color w:val="000000"/>
        </w:rPr>
        <w:t xml:space="preserve"> la Cour supérieure</w:t>
      </w:r>
      <w:r w:rsidR="00521AE6">
        <w:rPr>
          <w:rFonts w:cs="Arial"/>
          <w:color w:val="000000"/>
        </w:rPr>
        <w:t xml:space="preserve">, dans l’affaire </w:t>
      </w:r>
      <w:r w:rsidR="00521AE6" w:rsidRPr="00521AE6">
        <w:rPr>
          <w:rFonts w:cs="Arial"/>
          <w:i/>
          <w:iCs/>
          <w:color w:val="000000"/>
        </w:rPr>
        <w:t>Dorfeuille</w:t>
      </w:r>
      <w:r w:rsidRPr="00597BBB">
        <w:rPr>
          <w:rFonts w:cs="Arial"/>
          <w:color w:val="000000"/>
        </w:rPr>
        <w:t> :</w:t>
      </w:r>
    </w:p>
    <w:p w14:paraId="15AE9DF8" w14:textId="08185246" w:rsidR="0032484D" w:rsidRPr="00597BBB" w:rsidRDefault="0032484D" w:rsidP="009C4E92">
      <w:pPr>
        <w:pStyle w:val="Citationenretrait"/>
      </w:pPr>
      <w:r w:rsidRPr="00597BBB">
        <w:t>[</w:t>
      </w:r>
      <w:bookmarkStart w:id="68" w:name="par32"/>
      <w:r w:rsidRPr="00597BBB">
        <w:t>32</w:t>
      </w:r>
      <w:bookmarkEnd w:id="68"/>
      <w:r w:rsidRPr="00597BBB">
        <w:t>]</w:t>
      </w:r>
      <w:r w:rsidR="00107D66">
        <w:tab/>
      </w:r>
      <w:r w:rsidRPr="00597BBB">
        <w:t xml:space="preserve">Même si la question du </w:t>
      </w:r>
      <w:r w:rsidRPr="009C4E92">
        <w:t>profilage</w:t>
      </w:r>
      <w:r w:rsidRPr="00597BBB">
        <w:t xml:space="preserve"> racial a fait l’objet de nombreux commentaires dans la jurisprudence antérieure de la Cour suprême, l’arrêt </w:t>
      </w:r>
      <w:r w:rsidRPr="00597BBB">
        <w:rPr>
          <w:i/>
          <w:iCs/>
        </w:rPr>
        <w:t>R. c. Le</w:t>
      </w:r>
      <w:r w:rsidR="00107D66">
        <w:rPr>
          <w:i/>
          <w:iCs/>
        </w:rPr>
        <w:t xml:space="preserve"> </w:t>
      </w:r>
      <w:r w:rsidRPr="00597BBB">
        <w:t>représente la première décision substantielle sur la question du profilage racial entourant les interventions policières.</w:t>
      </w:r>
    </w:p>
    <w:p w14:paraId="79351C7F" w14:textId="40652789" w:rsidR="0032484D" w:rsidRPr="00597BBB" w:rsidRDefault="0032484D" w:rsidP="00F27BB8">
      <w:pPr>
        <w:pStyle w:val="Citationenretrait"/>
        <w:spacing w:after="0"/>
      </w:pPr>
      <w:r w:rsidRPr="00597BBB">
        <w:t>[</w:t>
      </w:r>
      <w:bookmarkStart w:id="69" w:name="par33"/>
      <w:r w:rsidRPr="00597BBB">
        <w:t>33</w:t>
      </w:r>
      <w:bookmarkEnd w:id="69"/>
      <w:r w:rsidRPr="00597BBB">
        <w:t>]</w:t>
      </w:r>
      <w:r w:rsidR="00107D66">
        <w:tab/>
      </w:r>
      <w:r w:rsidRPr="00597BBB">
        <w:t>Bien que divisée sur l’issue du pourvoi, la Cour prend unanimement connaissance d’office de l’existence du profilage racial lors d’interventions policières.</w:t>
      </w:r>
      <w:r w:rsidR="00013341" w:rsidRPr="00597BBB">
        <w:rPr>
          <w:rStyle w:val="Appelnotedebasdep"/>
          <w:rFonts w:cs="Arial"/>
          <w:szCs w:val="22"/>
        </w:rPr>
        <w:footnoteReference w:id="129"/>
      </w:r>
    </w:p>
    <w:p w14:paraId="059330E5" w14:textId="11C40B69" w:rsidR="0032484D" w:rsidRPr="00597BBB" w:rsidRDefault="00107D66" w:rsidP="00F27BB8">
      <w:pPr>
        <w:pStyle w:val="Citationenretrait"/>
        <w:spacing w:before="0"/>
        <w:jc w:val="right"/>
      </w:pPr>
      <w:r>
        <w:rPr>
          <w:rFonts w:cs="Arial"/>
        </w:rPr>
        <w:t>[</w:t>
      </w:r>
      <w:r>
        <w:t>R</w:t>
      </w:r>
      <w:r w:rsidR="00AD207B">
        <w:t>envois omis</w:t>
      </w:r>
      <w:r>
        <w:rPr>
          <w:rFonts w:cs="Arial"/>
        </w:rPr>
        <w:t>]</w:t>
      </w:r>
    </w:p>
    <w:p w14:paraId="5351B915" w14:textId="4018D047" w:rsidR="0032484D" w:rsidRPr="00597BBB" w:rsidRDefault="00050A39" w:rsidP="00A037E0">
      <w:pPr>
        <w:pStyle w:val="Paragraphe"/>
        <w:spacing w:line="280" w:lineRule="exact"/>
      </w:pPr>
      <w:r>
        <w:t>P</w:t>
      </w:r>
      <w:r w:rsidR="0032484D" w:rsidRPr="00597BBB">
        <w:t>lusieurs études quantitatives américaines</w:t>
      </w:r>
      <w:r w:rsidR="009D5F92">
        <w:t xml:space="preserve"> </w:t>
      </w:r>
      <w:r w:rsidR="00AB7617">
        <w:t xml:space="preserve">postérieures à </w:t>
      </w:r>
      <w:r w:rsidR="00AB7617" w:rsidRPr="003D04B6">
        <w:rPr>
          <w:i/>
          <w:iCs/>
        </w:rPr>
        <w:t>Ladouceur</w:t>
      </w:r>
      <w:r w:rsidR="0032484D" w:rsidRPr="00597BBB">
        <w:t xml:space="preserve"> se sont penchées sur le profilage racial dans le cadre d’interceptions routières et ont permis d’illustrer les disparités de traitement de l’action policière à l’encontre des minorités visibles</w:t>
      </w:r>
      <w:r w:rsidR="0032484D" w:rsidRPr="00621344">
        <w:rPr>
          <w:rStyle w:val="Appelnotedebasdep"/>
        </w:rPr>
        <w:footnoteReference w:id="130"/>
      </w:r>
      <w:r w:rsidR="0032484D" w:rsidRPr="00621344">
        <w:t>.</w:t>
      </w:r>
      <w:r w:rsidR="0032484D" w:rsidRPr="00597BBB">
        <w:t xml:space="preserve"> </w:t>
      </w:r>
      <w:r>
        <w:t xml:space="preserve">De même, </w:t>
      </w:r>
      <w:r w:rsidR="0032484D" w:rsidRPr="00597BBB">
        <w:t>de nombreuses études au Canada se sont intéressées au profilage racial dans la manière dont il teinte tant les interpellations</w:t>
      </w:r>
      <w:r w:rsidR="0032484D" w:rsidRPr="00597BBB">
        <w:rPr>
          <w:rStyle w:val="Appelnotedebasdep"/>
        </w:rPr>
        <w:footnoteReference w:id="131"/>
      </w:r>
      <w:r w:rsidR="0032484D" w:rsidRPr="00597BBB">
        <w:t xml:space="preserve"> que les interceptions routières</w:t>
      </w:r>
      <w:r w:rsidR="0032484D" w:rsidRPr="00597BBB">
        <w:rPr>
          <w:rStyle w:val="Appelnotedebasdep"/>
        </w:rPr>
        <w:footnoteReference w:id="132"/>
      </w:r>
      <w:r w:rsidR="0032484D" w:rsidRPr="00597BBB">
        <w:t xml:space="preserve">. </w:t>
      </w:r>
    </w:p>
    <w:p w14:paraId="1856A7F5" w14:textId="4F25286B" w:rsidR="0032484D" w:rsidRPr="00C87EC1" w:rsidRDefault="0032484D" w:rsidP="00A037E0">
      <w:pPr>
        <w:pStyle w:val="Paragraphe"/>
        <w:spacing w:line="280" w:lineRule="exact"/>
      </w:pPr>
      <w:r w:rsidRPr="00597BBB">
        <w:t xml:space="preserve">La littérature canadienne permet </w:t>
      </w:r>
      <w:r w:rsidRPr="00A35DAD">
        <w:t>aujourd’hui</w:t>
      </w:r>
      <w:r w:rsidRPr="00597BBB">
        <w:t xml:space="preserve"> de constater de manière manifeste la </w:t>
      </w:r>
      <w:r w:rsidRPr="00C87EC1">
        <w:t>surreprésentation des personnes noires et d</w:t>
      </w:r>
      <w:r w:rsidR="00841681">
        <w:t>es membres d</w:t>
      </w:r>
      <w:r w:rsidRPr="00C87EC1">
        <w:t xml:space="preserve">’autres groupes racisés dans les interceptions routières. </w:t>
      </w:r>
      <w:r w:rsidRPr="00C87EC1">
        <w:rPr>
          <w:szCs w:val="24"/>
        </w:rPr>
        <w:t>Comme l’expose l’expert Mulone</w:t>
      </w:r>
      <w:r w:rsidR="00521AE6">
        <w:rPr>
          <w:szCs w:val="24"/>
        </w:rPr>
        <w:t xml:space="preserve"> dans</w:t>
      </w:r>
      <w:r w:rsidR="0051708C">
        <w:rPr>
          <w:szCs w:val="24"/>
        </w:rPr>
        <w:t xml:space="preserve"> </w:t>
      </w:r>
      <w:r w:rsidR="005D7210">
        <w:rPr>
          <w:szCs w:val="24"/>
        </w:rPr>
        <w:t>l’</w:t>
      </w:r>
      <w:r w:rsidR="0051708C">
        <w:rPr>
          <w:szCs w:val="24"/>
        </w:rPr>
        <w:t>extrait de</w:t>
      </w:r>
      <w:r w:rsidR="00521AE6">
        <w:rPr>
          <w:szCs w:val="24"/>
        </w:rPr>
        <w:t xml:space="preserve"> son rapport</w:t>
      </w:r>
      <w:r w:rsidR="00E96547">
        <w:rPr>
          <w:szCs w:val="24"/>
        </w:rPr>
        <w:t xml:space="preserve"> cité </w:t>
      </w:r>
      <w:r w:rsidR="008764FE">
        <w:rPr>
          <w:szCs w:val="24"/>
        </w:rPr>
        <w:t>précédemment</w:t>
      </w:r>
      <w:r w:rsidR="00841681">
        <w:rPr>
          <w:szCs w:val="24"/>
        </w:rPr>
        <w:t> </w:t>
      </w:r>
      <w:r w:rsidRPr="00C87EC1">
        <w:rPr>
          <w:szCs w:val="24"/>
        </w:rPr>
        <w:t>:</w:t>
      </w:r>
    </w:p>
    <w:p w14:paraId="4F761F39" w14:textId="75C20EBF" w:rsidR="0032484D" w:rsidRPr="00C87EC1" w:rsidRDefault="00521AE6" w:rsidP="00A35DAD">
      <w:pPr>
        <w:pStyle w:val="Citationenretrait"/>
        <w:rPr>
          <w:i/>
          <w:iCs/>
        </w:rPr>
      </w:pPr>
      <w:r w:rsidRPr="008F3D6A">
        <w:rPr>
          <w:rFonts w:cs="Arial"/>
        </w:rPr>
        <w:t>[…]</w:t>
      </w:r>
      <w:r w:rsidR="0032484D" w:rsidRPr="008F3D6A">
        <w:rPr>
          <w:rFonts w:cs="Arial"/>
        </w:rPr>
        <w:t xml:space="preserve"> </w:t>
      </w:r>
      <w:r w:rsidR="0032484D" w:rsidRPr="008F3D6A">
        <w:t>dans le cas des discriminations raciales par la police au Canada, la convergence des résultats est extrêmement forte : où que l’on regarde, quelle que soit la manière dont on regarde (données policières, sondages auprès de la population, témoignages de citoyens, type d’intervention, etc.), quelle que soit l’époque que l’on étudie, les résultats sont les mêmes : les personnes noires sont visées de manière disproportionnée par les forces de l’ordre au Canada.</w:t>
      </w:r>
      <w:r w:rsidR="00947D88" w:rsidRPr="008F3D6A">
        <w:rPr>
          <w:rStyle w:val="Appelnotedebasdep"/>
          <w:szCs w:val="22"/>
        </w:rPr>
        <w:footnoteReference w:id="133"/>
      </w:r>
    </w:p>
    <w:p w14:paraId="01989C0C" w14:textId="2B5925D9" w:rsidR="0032484D" w:rsidRPr="00AE35D5" w:rsidRDefault="0032484D" w:rsidP="00A037E0">
      <w:pPr>
        <w:pStyle w:val="Paragraphe"/>
        <w:spacing w:line="280" w:lineRule="exact"/>
        <w:rPr>
          <w:szCs w:val="24"/>
        </w:rPr>
      </w:pPr>
      <w:r w:rsidRPr="00AE35D5">
        <w:rPr>
          <w:szCs w:val="24"/>
        </w:rPr>
        <w:t xml:space="preserve">Le rapport d’expertise de </w:t>
      </w:r>
      <w:r w:rsidR="00C03C66" w:rsidRPr="00AE35D5">
        <w:rPr>
          <w:szCs w:val="24"/>
        </w:rPr>
        <w:t xml:space="preserve">Mme </w:t>
      </w:r>
      <w:r w:rsidRPr="00AE35D5">
        <w:rPr>
          <w:szCs w:val="24"/>
        </w:rPr>
        <w:t xml:space="preserve">Sylvestre fait par ailleurs entrevoir la multiplicité des articles contemporains discutant de la notion de profilage racial et exposant </w:t>
      </w:r>
      <w:r w:rsidR="00534EA0">
        <w:rPr>
          <w:szCs w:val="24"/>
        </w:rPr>
        <w:t>ses</w:t>
      </w:r>
      <w:r w:rsidR="00534EA0" w:rsidRPr="00AE35D5">
        <w:rPr>
          <w:szCs w:val="24"/>
        </w:rPr>
        <w:t xml:space="preserve"> </w:t>
      </w:r>
      <w:r w:rsidRPr="00AE35D5">
        <w:rPr>
          <w:szCs w:val="24"/>
        </w:rPr>
        <w:t xml:space="preserve">conséquences </w:t>
      </w:r>
      <w:r w:rsidR="003E5A2F" w:rsidRPr="00AE35D5">
        <w:rPr>
          <w:szCs w:val="24"/>
        </w:rPr>
        <w:t>personnel</w:t>
      </w:r>
      <w:r w:rsidR="003E5A2F">
        <w:rPr>
          <w:szCs w:val="24"/>
        </w:rPr>
        <w:t>les</w:t>
      </w:r>
      <w:r w:rsidR="003E5A2F" w:rsidRPr="00AE35D5">
        <w:rPr>
          <w:szCs w:val="24"/>
        </w:rPr>
        <w:t xml:space="preserve"> </w:t>
      </w:r>
      <w:r w:rsidR="003E5A2F">
        <w:rPr>
          <w:szCs w:val="24"/>
        </w:rPr>
        <w:t xml:space="preserve">et </w:t>
      </w:r>
      <w:r w:rsidR="003E5A2F" w:rsidRPr="00AE35D5">
        <w:rPr>
          <w:szCs w:val="24"/>
        </w:rPr>
        <w:t>professionnel</w:t>
      </w:r>
      <w:r w:rsidR="003E5A2F">
        <w:rPr>
          <w:szCs w:val="24"/>
        </w:rPr>
        <w:t>le</w:t>
      </w:r>
      <w:r w:rsidR="003E5A2F" w:rsidRPr="00AE35D5">
        <w:rPr>
          <w:szCs w:val="24"/>
        </w:rPr>
        <w:t xml:space="preserve">s </w:t>
      </w:r>
      <w:r w:rsidRPr="00AE35D5">
        <w:rPr>
          <w:szCs w:val="24"/>
        </w:rPr>
        <w:t>sur celles et ceux qui en sont victimes</w:t>
      </w:r>
      <w:r w:rsidRPr="00AE35D5">
        <w:rPr>
          <w:rStyle w:val="Appelnotedebasdep"/>
          <w:szCs w:val="24"/>
        </w:rPr>
        <w:footnoteReference w:id="134"/>
      </w:r>
      <w:r w:rsidRPr="00AE35D5">
        <w:rPr>
          <w:szCs w:val="24"/>
        </w:rPr>
        <w:t>.</w:t>
      </w:r>
    </w:p>
    <w:p w14:paraId="56A73B58" w14:textId="2D3C6971" w:rsidR="0032484D" w:rsidRPr="00597BBB" w:rsidRDefault="0032484D" w:rsidP="00A037E0">
      <w:pPr>
        <w:pStyle w:val="Paragraphe"/>
        <w:spacing w:line="280" w:lineRule="exact"/>
      </w:pPr>
      <w:bookmarkStart w:id="76" w:name="_Hlk158799760"/>
      <w:r w:rsidRPr="00597BBB">
        <w:t xml:space="preserve">La revue de la littérature contemporaine sur la </w:t>
      </w:r>
      <w:r w:rsidRPr="00A35DAD">
        <w:t>question</w:t>
      </w:r>
      <w:r w:rsidRPr="00597BBB">
        <w:t xml:space="preserve"> du profilage racial</w:t>
      </w:r>
      <w:r w:rsidR="00246AA6">
        <w:t xml:space="preserve"> </w:t>
      </w:r>
      <w:r w:rsidRPr="00597BBB">
        <w:t>permettait au juge de dégager les constats suivants</w:t>
      </w:r>
      <w:r w:rsidR="00E01E6F">
        <w:t> </w:t>
      </w:r>
      <w:r w:rsidRPr="00597BBB">
        <w:t>:</w:t>
      </w:r>
    </w:p>
    <w:bookmarkEnd w:id="76"/>
    <w:p w14:paraId="689C87A5" w14:textId="4B6EE5EA" w:rsidR="0032484D" w:rsidRPr="00597BBB" w:rsidRDefault="0032484D" w:rsidP="00A037E0">
      <w:pPr>
        <w:pStyle w:val="Paragraphe"/>
        <w:numPr>
          <w:ilvl w:val="0"/>
          <w:numId w:val="28"/>
        </w:numPr>
        <w:spacing w:line="280" w:lineRule="exact"/>
      </w:pPr>
      <w:r w:rsidRPr="00597BBB">
        <w:t>La notion de «</w:t>
      </w:r>
      <w:r w:rsidR="001D25D1">
        <w:t> </w:t>
      </w:r>
      <w:r w:rsidRPr="00597BBB">
        <w:t xml:space="preserve">profilage racial » fait maintenant partie intégrante de la littérature et </w:t>
      </w:r>
      <w:r w:rsidR="00F153B6">
        <w:t xml:space="preserve">a </w:t>
      </w:r>
      <w:r w:rsidRPr="00597BBB">
        <w:t>fait l’objet de discussions approfondies</w:t>
      </w:r>
      <w:r w:rsidRPr="00597BBB">
        <w:rPr>
          <w:rStyle w:val="Appelnotedebasdep"/>
        </w:rPr>
        <w:footnoteReference w:id="135"/>
      </w:r>
      <w:r w:rsidRPr="00597BBB">
        <w:t>. Elle constitue désormais un sujet d’étude distinct de la notion beaucoup plus large de «</w:t>
      </w:r>
      <w:r w:rsidR="00F65BEC">
        <w:t> </w:t>
      </w:r>
      <w:r w:rsidRPr="00597BBB">
        <w:t>discrimination raciale</w:t>
      </w:r>
      <w:r w:rsidR="00F65BEC">
        <w:t> </w:t>
      </w:r>
      <w:r w:rsidRPr="00597BBB">
        <w:t xml:space="preserve">» employée à l’époque de l’arrêt </w:t>
      </w:r>
      <w:r w:rsidRPr="00597BBB">
        <w:rPr>
          <w:i/>
          <w:iCs/>
        </w:rPr>
        <w:t>Ladouceur</w:t>
      </w:r>
      <w:r w:rsidRPr="00597BBB">
        <w:rPr>
          <w:rStyle w:val="Appelnotedebasdep"/>
        </w:rPr>
        <w:footnoteReference w:id="136"/>
      </w:r>
      <w:r w:rsidRPr="00597BBB">
        <w:t xml:space="preserve">. Les études qui en traitent ciblent </w:t>
      </w:r>
      <w:r w:rsidR="006E060E">
        <w:t>plus particulièrement</w:t>
      </w:r>
      <w:r w:rsidRPr="00597BBB">
        <w:t xml:space="preserve"> le processus de sélection des conducteurs</w:t>
      </w:r>
      <w:r w:rsidR="00F153B6">
        <w:t xml:space="preserve"> qui font l’objet des interceptions routières </w:t>
      </w:r>
      <w:r w:rsidR="001D25D1">
        <w:t>« </w:t>
      </w:r>
      <w:r w:rsidR="00F153B6">
        <w:t>aléatoires</w:t>
      </w:r>
      <w:r w:rsidR="006E060E">
        <w:t> »</w:t>
      </w:r>
      <w:r w:rsidRPr="00597BBB">
        <w:t>;</w:t>
      </w:r>
    </w:p>
    <w:p w14:paraId="580CA0BA" w14:textId="77777777" w:rsidR="0032484D" w:rsidRPr="00597BBB" w:rsidRDefault="0032484D" w:rsidP="00A037E0">
      <w:pPr>
        <w:pStyle w:val="Paragraphe"/>
        <w:numPr>
          <w:ilvl w:val="0"/>
          <w:numId w:val="28"/>
        </w:numPr>
        <w:spacing w:line="280" w:lineRule="exact"/>
      </w:pPr>
      <w:r w:rsidRPr="00597BBB">
        <w:t>Des données de nature quantitative sont désormais disponibles et permettent de brosser un portrait plus objectif de la réalité. Il n’est plus seulement question d’anecdotes relatées dans des rapports : de nombreuses études permettent d’établir statistiquement la prévalence substantiellement accrue des interceptions routières envers les personnes noires, et ce, avec des données empiriques;</w:t>
      </w:r>
    </w:p>
    <w:p w14:paraId="777EECF6" w14:textId="77777777" w:rsidR="0032484D" w:rsidRPr="00597BBB" w:rsidRDefault="0032484D" w:rsidP="00A037E0">
      <w:pPr>
        <w:pStyle w:val="Paragraphe"/>
        <w:numPr>
          <w:ilvl w:val="0"/>
          <w:numId w:val="28"/>
        </w:numPr>
        <w:spacing w:line="280" w:lineRule="exact"/>
      </w:pPr>
      <w:r w:rsidRPr="00597BBB">
        <w:t>Les interceptions routières sont aujourd’hui spécifiquement étudiées dans un contexte canadien;</w:t>
      </w:r>
    </w:p>
    <w:p w14:paraId="7F10BADA" w14:textId="6F22A3D4" w:rsidR="0032484D" w:rsidRPr="00597BBB" w:rsidRDefault="0032484D" w:rsidP="00A037E0">
      <w:pPr>
        <w:pStyle w:val="Paragraphe"/>
        <w:numPr>
          <w:ilvl w:val="0"/>
          <w:numId w:val="28"/>
        </w:numPr>
        <w:spacing w:line="280" w:lineRule="exact"/>
      </w:pPr>
      <w:r w:rsidRPr="00597BBB">
        <w:t xml:space="preserve">Les conséquences du profilage racial sur les personnes qui en sont victimes ont été plus largement documentées et démontrent le préjudice subi </w:t>
      </w:r>
      <w:r w:rsidR="00886027">
        <w:t xml:space="preserve">par </w:t>
      </w:r>
      <w:r w:rsidR="00F153B6">
        <w:t>c</w:t>
      </w:r>
      <w:r w:rsidR="00886027">
        <w:t>elles</w:t>
      </w:r>
      <w:r w:rsidR="00F153B6">
        <w:t>-ci</w:t>
      </w:r>
      <w:r w:rsidR="00886027">
        <w:t xml:space="preserve">, </w:t>
      </w:r>
      <w:r w:rsidRPr="00597BBB">
        <w:t>notamment en raison de la fréquence des interceptions.</w:t>
      </w:r>
    </w:p>
    <w:p w14:paraId="3FDD2772" w14:textId="01A5EAAC" w:rsidR="0032484D" w:rsidRPr="00597BBB" w:rsidRDefault="0032484D" w:rsidP="00A037E0">
      <w:pPr>
        <w:pStyle w:val="Paragraphe"/>
        <w:spacing w:line="280" w:lineRule="exact"/>
      </w:pPr>
      <w:bookmarkStart w:id="77" w:name="_Ref178176080"/>
      <w:r w:rsidRPr="00597BBB">
        <w:t>Rappelons que</w:t>
      </w:r>
      <w:r w:rsidR="005D7ED9">
        <w:t>,</w:t>
      </w:r>
      <w:r w:rsidRPr="00597BBB">
        <w:t xml:space="preserve"> dans l’arrêt </w:t>
      </w:r>
      <w:r w:rsidRPr="00597BBB">
        <w:rPr>
          <w:i/>
          <w:iCs/>
        </w:rPr>
        <w:t xml:space="preserve">Ladouceur, </w:t>
      </w:r>
      <w:r w:rsidRPr="00597BBB">
        <w:t xml:space="preserve">le juge </w:t>
      </w:r>
      <w:r w:rsidRPr="00775A18">
        <w:t>Cory</w:t>
      </w:r>
      <w:r w:rsidRPr="00597BBB">
        <w:t xml:space="preserve"> affirm</w:t>
      </w:r>
      <w:r w:rsidR="005D7ED9">
        <w:t>e</w:t>
      </w:r>
      <w:r w:rsidRPr="00597BBB">
        <w:t xml:space="preserve"> que «</w:t>
      </w:r>
      <w:r w:rsidR="00484BF3">
        <w:t> </w:t>
      </w:r>
      <w:r w:rsidRPr="00597BBB">
        <w:rPr>
          <w:rFonts w:cs="Arial"/>
        </w:rPr>
        <w:t>[c]</w:t>
      </w:r>
      <w:r w:rsidRPr="00597BBB">
        <w:t>es interpellations sont et doivent être relativement brèves et n</w:t>
      </w:r>
      <w:r w:rsidR="00F153B6">
        <w:t>’</w:t>
      </w:r>
      <w:r w:rsidRPr="00597BBB">
        <w:t>exigent la présentation que de quelques documents. L</w:t>
      </w:r>
      <w:r w:rsidR="00F153B6">
        <w:t>’</w:t>
      </w:r>
      <w:r w:rsidRPr="00597BBB">
        <w:t>inconvénient causé au conducteur est minime</w:t>
      </w:r>
      <w:r w:rsidR="00484BF3">
        <w:t> </w:t>
      </w:r>
      <w:r w:rsidRPr="00597BBB">
        <w:t>»</w:t>
      </w:r>
      <w:r w:rsidRPr="00597BBB">
        <w:rPr>
          <w:rStyle w:val="Appelnotedebasdep"/>
        </w:rPr>
        <w:footnoteReference w:id="137"/>
      </w:r>
      <w:r w:rsidRPr="00597BBB">
        <w:t xml:space="preserve">. Or, en l’espèce, la preuve administrée en première instance permet de constater que l’inconvénient considéré comme « minime » dans </w:t>
      </w:r>
      <w:r w:rsidRPr="00597BBB">
        <w:rPr>
          <w:i/>
          <w:iCs/>
        </w:rPr>
        <w:t>Ladouceur</w:t>
      </w:r>
      <w:r w:rsidRPr="00597BBB">
        <w:t xml:space="preserve"> ne cadre aucunement avec la réalité d’aujourd’hui. La littérature contemporaine illustre les conséquences considérables du profilage racial sur </w:t>
      </w:r>
      <w:r w:rsidR="00560102">
        <w:t xml:space="preserve">le plan humain pour </w:t>
      </w:r>
      <w:r w:rsidRPr="00597BBB">
        <w:t>les conducteurs</w:t>
      </w:r>
      <w:r w:rsidR="00560102">
        <w:t xml:space="preserve"> et conductrices</w:t>
      </w:r>
      <w:r w:rsidRPr="00597BBB">
        <w:t xml:space="preserve"> qui en sont victimes : maux de tête, colère, insomnie, traumatisme, problèmes de concentration, perte d’appétit, dépression, anxiété, panique, absences au travail, détresse psychologique, etc</w:t>
      </w:r>
      <w:r w:rsidR="00775A18">
        <w:t>.</w:t>
      </w:r>
      <w:r w:rsidRPr="00597BBB">
        <w:rPr>
          <w:rStyle w:val="Appelnotedebasdep"/>
        </w:rPr>
        <w:footnoteReference w:id="138"/>
      </w:r>
      <w:r w:rsidRPr="00597BBB">
        <w:t>.</w:t>
      </w:r>
      <w:bookmarkEnd w:id="77"/>
    </w:p>
    <w:p w14:paraId="223F09C5" w14:textId="04DF755F" w:rsidR="0032484D" w:rsidRPr="00597BBB" w:rsidRDefault="0032484D" w:rsidP="00FB0B43">
      <w:pPr>
        <w:pStyle w:val="Paragraphe"/>
        <w:spacing w:line="280" w:lineRule="exact"/>
      </w:pPr>
      <w:r w:rsidRPr="00597BBB">
        <w:t xml:space="preserve">De plus, dans l’arrêt </w:t>
      </w:r>
      <w:r w:rsidRPr="00597BBB">
        <w:rPr>
          <w:i/>
          <w:iCs/>
        </w:rPr>
        <w:t xml:space="preserve">Ladouceur, </w:t>
      </w:r>
      <w:r w:rsidRPr="00597BBB">
        <w:t xml:space="preserve">le juge Cory estime que les </w:t>
      </w:r>
      <w:r w:rsidRPr="00775A18">
        <w:t>craintes</w:t>
      </w:r>
      <w:r w:rsidRPr="00597BBB">
        <w:t xml:space="preserve"> qu’il y ait des abus dans l’exercice </w:t>
      </w:r>
      <w:r w:rsidR="005B154D">
        <w:t xml:space="preserve">par les policiers </w:t>
      </w:r>
      <w:r w:rsidRPr="00597BBB">
        <w:t>de leur pouvoir discrétionnaire «</w:t>
      </w:r>
      <w:r w:rsidR="00484BF3">
        <w:t> </w:t>
      </w:r>
      <w:r w:rsidRPr="00597BBB">
        <w:t>ne sont pas fondées. Il y a déjà des mécanismes en place pour empêcher les abus. Les policiers ne peuvent interpeller des personnes que pour des motifs fondés sur la loi</w:t>
      </w:r>
      <w:r w:rsidR="00484BF3">
        <w:t> </w:t>
      </w:r>
      <w:r w:rsidRPr="00597BBB">
        <w:t>»</w:t>
      </w:r>
      <w:r w:rsidRPr="00597BBB">
        <w:rPr>
          <w:rStyle w:val="Appelnotedebasdep"/>
        </w:rPr>
        <w:footnoteReference w:id="139"/>
      </w:r>
      <w:r w:rsidRPr="00597BBB">
        <w:t xml:space="preserve">. Or, l’ensemble de la littérature contemporaine et la preuve </w:t>
      </w:r>
      <w:r w:rsidR="005D7ED9">
        <w:t>administrée en première instance</w:t>
      </w:r>
      <w:r w:rsidRPr="00597BBB">
        <w:t xml:space="preserve"> exposent malheureusement un portrait différent de la situation : le profilage racial s’entremêle avec des préoccupations légitimes de lutte à la criminalité et de sécurité routière</w:t>
      </w:r>
      <w:r w:rsidRPr="00597BBB">
        <w:rPr>
          <w:rStyle w:val="Appelnotedebasdep"/>
        </w:rPr>
        <w:footnoteReference w:id="140"/>
      </w:r>
      <w:r w:rsidR="00345D4A">
        <w:t>,</w:t>
      </w:r>
      <w:r w:rsidRPr="00597BBB">
        <w:t xml:space="preserve"> de sorte que, combiné </w:t>
      </w:r>
      <w:r w:rsidR="003F4868" w:rsidRPr="00391801">
        <w:t>à</w:t>
      </w:r>
      <w:r w:rsidRPr="00391801">
        <w:t xml:space="preserve"> l’absence</w:t>
      </w:r>
      <w:r w:rsidRPr="00597BBB">
        <w:t xml:space="preserve"> d’exigence de moti</w:t>
      </w:r>
      <w:r w:rsidR="00560102">
        <w:t>fs justifiant</w:t>
      </w:r>
      <w:r w:rsidRPr="00597BBB">
        <w:t xml:space="preserve"> une interception, le pouvoir codifié à l’art</w:t>
      </w:r>
      <w:r w:rsidR="00560102">
        <w:t>.</w:t>
      </w:r>
      <w:r w:rsidRPr="00597BBB">
        <w:t xml:space="preserve"> 636 </w:t>
      </w:r>
      <w:r w:rsidRPr="00597BBB">
        <w:rPr>
          <w:i/>
          <w:iCs/>
        </w:rPr>
        <w:t xml:space="preserve">C.s.r. </w:t>
      </w:r>
      <w:r w:rsidRPr="00597BBB">
        <w:t xml:space="preserve">ouvre la porte à de nombreux abus documentés. </w:t>
      </w:r>
    </w:p>
    <w:p w14:paraId="67669DBC" w14:textId="3D889204" w:rsidR="0032484D" w:rsidRPr="00597BBB" w:rsidRDefault="0032484D" w:rsidP="00FB0B43">
      <w:pPr>
        <w:pStyle w:val="Paragraphe"/>
        <w:spacing w:line="280" w:lineRule="exact"/>
      </w:pPr>
      <w:r w:rsidRPr="00597BBB">
        <w:t xml:space="preserve">Dans l’arrêt </w:t>
      </w:r>
      <w:r w:rsidRPr="00597BBB">
        <w:rPr>
          <w:i/>
          <w:iCs/>
        </w:rPr>
        <w:t>Comeau</w:t>
      </w:r>
      <w:r w:rsidRPr="00597BBB">
        <w:t xml:space="preserve">, la Cour suprême souligne que l’exception </w:t>
      </w:r>
      <w:r w:rsidRPr="00775A18">
        <w:t>relative</w:t>
      </w:r>
      <w:r w:rsidRPr="00597BBB">
        <w:t xml:space="preserve"> à la </w:t>
      </w:r>
      <w:r w:rsidR="00C167A5">
        <w:t xml:space="preserve">nouvelle preuve s’appliquant à la </w:t>
      </w:r>
      <w:r w:rsidRPr="00597BBB">
        <w:t xml:space="preserve">règle du </w:t>
      </w:r>
      <w:r w:rsidRPr="00597BBB">
        <w:rPr>
          <w:i/>
          <w:iCs/>
        </w:rPr>
        <w:t>stare decisis</w:t>
      </w:r>
      <w:r w:rsidRPr="00597BBB">
        <w:t xml:space="preserve"> «</w:t>
      </w:r>
      <w:r w:rsidR="00775A18">
        <w:t> </w:t>
      </w:r>
      <w:r w:rsidRPr="00597BBB">
        <w:t>s’applique lorsque le contexte social sous-jacent qui encadrait le débat juridique original examiné a profondément changé</w:t>
      </w:r>
      <w:r w:rsidR="00775A18">
        <w:t> </w:t>
      </w:r>
      <w:r w:rsidRPr="00597BBB">
        <w:t>»</w:t>
      </w:r>
      <w:r w:rsidRPr="00597BBB">
        <w:rPr>
          <w:rStyle w:val="Appelnotedebasdep"/>
        </w:rPr>
        <w:footnoteReference w:id="141"/>
      </w:r>
      <w:r w:rsidRPr="00597BBB">
        <w:rPr>
          <w:i/>
          <w:iCs/>
        </w:rPr>
        <w:t xml:space="preserve">. </w:t>
      </w:r>
      <w:r w:rsidRPr="00597BBB">
        <w:t xml:space="preserve">En l’espèce, le juge </w:t>
      </w:r>
      <w:r w:rsidR="00C167A5">
        <w:t>aborde</w:t>
      </w:r>
      <w:r w:rsidRPr="00597BBB">
        <w:t xml:space="preserve"> les changements </w:t>
      </w:r>
      <w:r w:rsidR="00C167A5">
        <w:t>intervenus dans le</w:t>
      </w:r>
      <w:r w:rsidRPr="00597BBB">
        <w:t xml:space="preserve"> contexte social depuis l’arrêt </w:t>
      </w:r>
      <w:r w:rsidRPr="00597BBB">
        <w:rPr>
          <w:i/>
          <w:iCs/>
        </w:rPr>
        <w:t>Ladouceur</w:t>
      </w:r>
      <w:r w:rsidRPr="00597BBB">
        <w:t xml:space="preserve"> et constate que les enjeux du profilage racial n’étaient pas suffisamment connus lorsque la Cour suprême a statué. Il écrit</w:t>
      </w:r>
      <w:r w:rsidR="00947D88">
        <w:t> </w:t>
      </w:r>
      <w:r w:rsidRPr="00597BBB">
        <w:t xml:space="preserve">: </w:t>
      </w:r>
    </w:p>
    <w:p w14:paraId="66BE26F6" w14:textId="7D957B64" w:rsidR="0032484D" w:rsidRPr="00597BBB" w:rsidRDefault="0032484D" w:rsidP="00775A18">
      <w:pPr>
        <w:pStyle w:val="Citationenretrait"/>
        <w:rPr>
          <w:lang w:eastAsia="fr-CA"/>
        </w:rPr>
      </w:pPr>
      <w:r w:rsidRPr="00597BBB">
        <w:rPr>
          <w:szCs w:val="24"/>
          <w:lang w:eastAsia="fr-CA"/>
        </w:rPr>
        <w:t>[</w:t>
      </w:r>
      <w:bookmarkStart w:id="78" w:name="par50"/>
      <w:r w:rsidRPr="00597BBB">
        <w:rPr>
          <w:szCs w:val="24"/>
          <w:lang w:eastAsia="fr-CA"/>
        </w:rPr>
        <w:t>50</w:t>
      </w:r>
      <w:bookmarkEnd w:id="78"/>
      <w:r w:rsidRPr="00597BBB">
        <w:rPr>
          <w:szCs w:val="24"/>
          <w:lang w:eastAsia="fr-CA"/>
        </w:rPr>
        <w:t>]</w:t>
      </w:r>
      <w:r w:rsidR="00775A18">
        <w:rPr>
          <w:rFonts w:ascii="Times New Roman" w:hAnsi="Times New Roman"/>
          <w:sz w:val="14"/>
          <w:szCs w:val="14"/>
          <w:lang w:eastAsia="fr-CA"/>
        </w:rPr>
        <w:tab/>
      </w:r>
      <w:r w:rsidRPr="00597BBB">
        <w:rPr>
          <w:lang w:eastAsia="fr-CA"/>
        </w:rPr>
        <w:t>Tel qu’on le définit maintenant, le profilage racial était inconnu en 1990 au moment où a été rendu l’arrêt</w:t>
      </w:r>
      <w:r w:rsidR="00775A18">
        <w:rPr>
          <w:i/>
          <w:iCs/>
          <w:lang w:eastAsia="fr-CA"/>
        </w:rPr>
        <w:t xml:space="preserve"> </w:t>
      </w:r>
      <w:r w:rsidRPr="00597BBB">
        <w:rPr>
          <w:i/>
          <w:iCs/>
          <w:lang w:eastAsia="fr-CA"/>
        </w:rPr>
        <w:t>Ladouceur</w:t>
      </w:r>
      <w:r w:rsidRPr="00597BBB">
        <w:rPr>
          <w:lang w:eastAsia="fr-CA"/>
        </w:rPr>
        <w:t>, lequel occupe ici une place centrale puisque c’est lui qui a établi la règle de</w:t>
      </w:r>
      <w:r w:rsidR="00775A18">
        <w:rPr>
          <w:lang w:eastAsia="fr-CA"/>
        </w:rPr>
        <w:t xml:space="preserve"> </w:t>
      </w:r>
      <w:r w:rsidRPr="00597BBB">
        <w:rPr>
          <w:i/>
          <w:iCs/>
          <w:lang w:eastAsia="fr-CA"/>
        </w:rPr>
        <w:t>common law</w:t>
      </w:r>
      <w:r w:rsidR="00775A18">
        <w:rPr>
          <w:i/>
          <w:iCs/>
          <w:lang w:eastAsia="fr-CA"/>
        </w:rPr>
        <w:t xml:space="preserve"> </w:t>
      </w:r>
      <w:r w:rsidRPr="00597BBB">
        <w:rPr>
          <w:lang w:eastAsia="fr-CA"/>
        </w:rPr>
        <w:t>dont le demandeur attaque aujourd’hui la constitutionnalité. Tout au plus retrouve-t-on dans cet arrêt-clé les deux brefs passages suivants, le premier pour le compte de la minorité sous la plume du juge Sopinka, le second souscrit au nom de la majorité des juges de la Cour sous celle du juge Cory :</w:t>
      </w:r>
    </w:p>
    <w:p w14:paraId="27E99A43" w14:textId="38C97293" w:rsidR="0032484D" w:rsidRPr="00312F44" w:rsidRDefault="0032484D" w:rsidP="00312F44">
      <w:pPr>
        <w:pStyle w:val="Citationenretrait"/>
        <w:ind w:left="1440"/>
        <w:rPr>
          <w:sz w:val="20"/>
        </w:rPr>
      </w:pPr>
      <w:r w:rsidRPr="00312F44">
        <w:rPr>
          <w:sz w:val="20"/>
        </w:rPr>
        <w:t>Par contre, l'interception au hasard d'un véhicule au cours d'une patrouille permettrait à un agent de police d'intercepter n'importe quel véhicule, n'importe quand, n'importe où. La décision pourrait reposer sur un caprice. Chacun des agents de police aura des motifs différents. Certains auront tendance à arrêter les conducteurs plus jeunes, d'autres les voitures plus vieilles, et ainsi de suite.</w:t>
      </w:r>
      <w:r w:rsidR="00CB75DE" w:rsidRPr="00312F44">
        <w:rPr>
          <w:sz w:val="20"/>
        </w:rPr>
        <w:t xml:space="preserve"> </w:t>
      </w:r>
      <w:r w:rsidRPr="00312F44">
        <w:rPr>
          <w:sz w:val="20"/>
          <w:u w:val="single"/>
        </w:rPr>
        <w:t>Comme le souligne le juge Tarnopolsky, des considérations raciales peuvent aussi entrer en ligne de compte</w:t>
      </w:r>
      <w:r w:rsidRPr="00312F44">
        <w:rPr>
          <w:sz w:val="20"/>
        </w:rPr>
        <w:t>. Mon collègue dit que, dans ces circonstances, il serait possible de prouver l'existence d'une violation de la</w:t>
      </w:r>
      <w:r w:rsidR="00CB75DE" w:rsidRPr="00312F44">
        <w:rPr>
          <w:sz w:val="20"/>
        </w:rPr>
        <w:t xml:space="preserve"> </w:t>
      </w:r>
      <w:r w:rsidRPr="00312F44">
        <w:rPr>
          <w:i/>
          <w:iCs/>
          <w:sz w:val="20"/>
        </w:rPr>
        <w:t>Charte</w:t>
      </w:r>
      <w:r w:rsidRPr="00312F44">
        <w:rPr>
          <w:sz w:val="20"/>
        </w:rPr>
        <w:t>. Cependant, s'il n'est pas nécessaire de fournir quelque motif que ce soit, ni même d'en avoir, comment pourra-t-on savoir?</w:t>
      </w:r>
    </w:p>
    <w:p w14:paraId="47CFCF96" w14:textId="0C87DDA0" w:rsidR="0032484D" w:rsidRPr="00312F44" w:rsidRDefault="0032484D" w:rsidP="00B60060">
      <w:pPr>
        <w:pStyle w:val="Citationenretrait"/>
        <w:spacing w:after="0"/>
        <w:ind w:left="1440"/>
        <w:rPr>
          <w:sz w:val="20"/>
        </w:rPr>
      </w:pPr>
      <w:r w:rsidRPr="00312F44">
        <w:rPr>
          <w:sz w:val="20"/>
        </w:rPr>
        <w:t>Finalement, il faut démontrer que la vérification de routine ne porte pas atteinte gravement au droit garanti par l'art. 9 au point de l'emporter sur l'objectif législatif. Ce qui nous préoccupe à ce stade-ci, c'est la perception du risque d'abus de ce pouvoir par les fonctionnaires chargés d'appliquer la loi.</w:t>
      </w:r>
      <w:r w:rsidR="00CB75DE" w:rsidRPr="00312F44">
        <w:rPr>
          <w:sz w:val="20"/>
        </w:rPr>
        <w:t xml:space="preserve"> </w:t>
      </w:r>
      <w:r w:rsidRPr="00312F44">
        <w:rPr>
          <w:sz w:val="20"/>
          <w:u w:val="single"/>
        </w:rPr>
        <w:t>À mon avis, ces craintes ne sont pas fondées</w:t>
      </w:r>
      <w:r w:rsidRPr="00312F44">
        <w:rPr>
          <w:sz w:val="20"/>
        </w:rPr>
        <w:t>. Il y a déjà des mécanismes en place pour empêcher les abus.</w:t>
      </w:r>
      <w:bookmarkStart w:id="79" w:name="_ftnref32"/>
      <w:r w:rsidR="00947D88" w:rsidRPr="00312F44" w:rsidDel="00947D88">
        <w:rPr>
          <w:sz w:val="20"/>
        </w:rPr>
        <w:t xml:space="preserve"> </w:t>
      </w:r>
      <w:bookmarkEnd w:id="79"/>
    </w:p>
    <w:p w14:paraId="0A5B7FC4" w14:textId="77777777" w:rsidR="0032484D" w:rsidRPr="00597BBB" w:rsidRDefault="0032484D" w:rsidP="00B60060">
      <w:pPr>
        <w:spacing w:after="120" w:line="240" w:lineRule="auto"/>
        <w:ind w:left="1426" w:right="720"/>
        <w:jc w:val="right"/>
        <w:rPr>
          <w:rFonts w:cs="Arial"/>
          <w:sz w:val="20"/>
          <w:lang w:eastAsia="fr-CA"/>
        </w:rPr>
      </w:pPr>
      <w:r w:rsidRPr="00597BBB">
        <w:rPr>
          <w:rFonts w:cs="Arial"/>
          <w:sz w:val="20"/>
          <w:lang w:eastAsia="fr-CA"/>
        </w:rPr>
        <w:t>(Le Tribunal souligne)</w:t>
      </w:r>
    </w:p>
    <w:p w14:paraId="7341469C" w14:textId="631742A2" w:rsidR="0032484D" w:rsidRDefault="0032484D" w:rsidP="00F27BB8">
      <w:pPr>
        <w:pStyle w:val="Citationenretrait"/>
        <w:spacing w:after="0"/>
        <w:rPr>
          <w:lang w:eastAsia="fr-CA"/>
        </w:rPr>
      </w:pPr>
      <w:r w:rsidRPr="00597BBB">
        <w:rPr>
          <w:lang w:eastAsia="fr-CA"/>
        </w:rPr>
        <w:t>[</w:t>
      </w:r>
      <w:bookmarkStart w:id="80" w:name="par51"/>
      <w:r w:rsidRPr="00597BBB">
        <w:rPr>
          <w:lang w:eastAsia="fr-CA"/>
        </w:rPr>
        <w:t>51</w:t>
      </w:r>
      <w:bookmarkEnd w:id="80"/>
      <w:r w:rsidRPr="00597BBB">
        <w:rPr>
          <w:lang w:eastAsia="fr-CA"/>
        </w:rPr>
        <w:t>]</w:t>
      </w:r>
      <w:r w:rsidR="004171F3">
        <w:rPr>
          <w:rFonts w:ascii="Times New Roman" w:hAnsi="Times New Roman"/>
          <w:lang w:eastAsia="fr-CA"/>
        </w:rPr>
        <w:tab/>
      </w:r>
      <w:r w:rsidRPr="00597BBB">
        <w:rPr>
          <w:lang w:eastAsia="fr-CA"/>
        </w:rPr>
        <w:t>Mis bout à bout, ces deux passages de</w:t>
      </w:r>
      <w:r w:rsidR="004171F3">
        <w:rPr>
          <w:lang w:eastAsia="fr-CA"/>
        </w:rPr>
        <w:t xml:space="preserve"> </w:t>
      </w:r>
      <w:r w:rsidRPr="00597BBB">
        <w:rPr>
          <w:i/>
          <w:iCs/>
          <w:lang w:eastAsia="fr-CA"/>
        </w:rPr>
        <w:t>Ladouceur</w:t>
      </w:r>
      <w:r w:rsidR="004171F3">
        <w:rPr>
          <w:i/>
          <w:iCs/>
          <w:lang w:eastAsia="fr-CA"/>
        </w:rPr>
        <w:t xml:space="preserve"> </w:t>
      </w:r>
      <w:r w:rsidRPr="00597BBB">
        <w:rPr>
          <w:lang w:eastAsia="fr-CA"/>
        </w:rPr>
        <w:t>mettent en lumière le fait qu’au moment où la Cour suprême s’est prononcée, les risques du profilage racial, s’ils étaient pressentis, n’étaient pas encore suffisamment connus pour que le plus haut tribunal s’y arrête.</w:t>
      </w:r>
    </w:p>
    <w:p w14:paraId="02E912D9" w14:textId="5154DAE9" w:rsidR="00947D88" w:rsidRPr="00597BBB" w:rsidRDefault="00947D88" w:rsidP="00F27BB8">
      <w:pPr>
        <w:pStyle w:val="Citationenretrait"/>
        <w:spacing w:before="0"/>
        <w:jc w:val="right"/>
        <w:rPr>
          <w:lang w:eastAsia="fr-CA"/>
        </w:rPr>
      </w:pPr>
      <w:r>
        <w:rPr>
          <w:lang w:eastAsia="fr-CA"/>
        </w:rPr>
        <w:t>[Renvoi omis]</w:t>
      </w:r>
    </w:p>
    <w:p w14:paraId="2A3EC8A8" w14:textId="78E59E5B" w:rsidR="0032484D" w:rsidRPr="00597BBB" w:rsidRDefault="0032484D" w:rsidP="00FB0B43">
      <w:pPr>
        <w:pStyle w:val="Paragraphe"/>
        <w:spacing w:line="280" w:lineRule="exact"/>
      </w:pPr>
      <w:r w:rsidRPr="00597BBB">
        <w:t xml:space="preserve">Le PGQ ne </w:t>
      </w:r>
      <w:r w:rsidRPr="008F3D6A">
        <w:t xml:space="preserve">fait voir aucune erreur manifeste et déterminante dans les conclusions du juge qui le mènent à affirmer « que les faits sociaux et les données ont varié au fil du temps avec pour effet de modifier le contexte et de changer </w:t>
      </w:r>
      <w:r w:rsidR="00C167A5" w:rsidRPr="005C628E">
        <w:rPr>
          <w:rFonts w:cs="Arial"/>
          <w:color w:val="000000"/>
        </w:rPr>
        <w:t>“</w:t>
      </w:r>
      <w:r w:rsidRPr="008F3D6A">
        <w:t>la donne</w:t>
      </w:r>
      <w:r w:rsidR="00C167A5" w:rsidRPr="005C628E">
        <w:rPr>
          <w:rFonts w:cs="Arial"/>
          <w:color w:val="000000"/>
        </w:rPr>
        <w:t>”</w:t>
      </w:r>
      <w:r w:rsidRPr="008F3D6A">
        <w:t xml:space="preserve"> par rapport à ceux prévalant lorsque l’affaire </w:t>
      </w:r>
      <w:r w:rsidRPr="008F3D6A">
        <w:rPr>
          <w:i/>
          <w:iCs/>
        </w:rPr>
        <w:t>Ladouceur</w:t>
      </w:r>
      <w:r w:rsidRPr="008F3D6A">
        <w:t xml:space="preserve"> a été entendue</w:t>
      </w:r>
      <w:r w:rsidR="00021D65">
        <w:t> </w:t>
      </w:r>
      <w:r w:rsidRPr="008F3D6A">
        <w:t>»</w:t>
      </w:r>
      <w:r w:rsidRPr="008F3D6A">
        <w:rPr>
          <w:rStyle w:val="Appelnotedebasdep"/>
        </w:rPr>
        <w:footnoteReference w:id="142"/>
      </w:r>
      <w:r w:rsidRPr="008F3D6A">
        <w:t xml:space="preserve">, et que « le profilage racial, selon les paramètres qui le distinguent du racisme proprement dit […], était inconnu de la Cour suprême au moment de décider de l’affaire </w:t>
      </w:r>
      <w:r w:rsidRPr="008F3D6A">
        <w:rPr>
          <w:i/>
          <w:iCs/>
        </w:rPr>
        <w:t>Ladouceur</w:t>
      </w:r>
      <w:r w:rsidRPr="008F3D6A">
        <w:t> »</w:t>
      </w:r>
      <w:r w:rsidRPr="008F3D6A">
        <w:rPr>
          <w:rStyle w:val="Appelnotedebasdep"/>
        </w:rPr>
        <w:footnoteReference w:id="143"/>
      </w:r>
      <w:r w:rsidRPr="008F3D6A">
        <w:t>.</w:t>
      </w:r>
      <w:r w:rsidRPr="00597BBB">
        <w:t xml:space="preserve"> </w:t>
      </w:r>
    </w:p>
    <w:p w14:paraId="31259231" w14:textId="31BFD37F" w:rsidR="0032484D" w:rsidRPr="008F3D6A" w:rsidRDefault="0032484D" w:rsidP="00FB0B43">
      <w:pPr>
        <w:pStyle w:val="Paragraphe"/>
        <w:spacing w:line="280" w:lineRule="exact"/>
        <w:rPr>
          <w:szCs w:val="24"/>
        </w:rPr>
      </w:pPr>
      <w:bookmarkStart w:id="81" w:name="_Ref177748306"/>
      <w:r w:rsidRPr="008F3D6A">
        <w:rPr>
          <w:szCs w:val="24"/>
        </w:rPr>
        <w:t xml:space="preserve">En effet, </w:t>
      </w:r>
      <w:r w:rsidR="00534EA0">
        <w:rPr>
          <w:szCs w:val="24"/>
        </w:rPr>
        <w:t xml:space="preserve">le juge conclut </w:t>
      </w:r>
      <w:r w:rsidR="000228C6">
        <w:rPr>
          <w:szCs w:val="24"/>
        </w:rPr>
        <w:t>à</w:t>
      </w:r>
      <w:r w:rsidR="00534EA0">
        <w:rPr>
          <w:szCs w:val="24"/>
        </w:rPr>
        <w:t xml:space="preserve"> bon droit que </w:t>
      </w:r>
      <w:r w:rsidRPr="008F3D6A">
        <w:rPr>
          <w:szCs w:val="24"/>
        </w:rPr>
        <w:t>les risques de profilage racial, s’ils étaient alors pressentis, n’étaient pas encore suffisamment connus</w:t>
      </w:r>
      <w:r w:rsidR="00C03C66" w:rsidRPr="008F3D6A">
        <w:rPr>
          <w:szCs w:val="24"/>
        </w:rPr>
        <w:t xml:space="preserve">. </w:t>
      </w:r>
      <w:r w:rsidR="00534EA0">
        <w:rPr>
          <w:szCs w:val="24"/>
        </w:rPr>
        <w:t>Il</w:t>
      </w:r>
      <w:r w:rsidRPr="008F3D6A">
        <w:rPr>
          <w:szCs w:val="24"/>
        </w:rPr>
        <w:t xml:space="preserve"> était </w:t>
      </w:r>
      <w:r w:rsidR="00C03C66" w:rsidRPr="008F3D6A">
        <w:rPr>
          <w:szCs w:val="24"/>
        </w:rPr>
        <w:t xml:space="preserve">donc </w:t>
      </w:r>
      <w:r w:rsidRPr="008F3D6A">
        <w:rPr>
          <w:szCs w:val="24"/>
        </w:rPr>
        <w:t xml:space="preserve">bien fondé </w:t>
      </w:r>
      <w:r w:rsidR="00292D55">
        <w:rPr>
          <w:szCs w:val="24"/>
        </w:rPr>
        <w:t>à</w:t>
      </w:r>
      <w:r w:rsidRPr="008F3D6A">
        <w:rPr>
          <w:szCs w:val="24"/>
        </w:rPr>
        <w:t xml:space="preserve"> réexaminer l’arrêt </w:t>
      </w:r>
      <w:r w:rsidRPr="008F3D6A">
        <w:rPr>
          <w:i/>
          <w:iCs/>
          <w:szCs w:val="24"/>
        </w:rPr>
        <w:t>Ladouceur</w:t>
      </w:r>
      <w:r w:rsidRPr="008F3D6A">
        <w:rPr>
          <w:szCs w:val="24"/>
        </w:rPr>
        <w:t>, et, partant, la justification d</w:t>
      </w:r>
      <w:r w:rsidR="00C167A5">
        <w:rPr>
          <w:szCs w:val="24"/>
        </w:rPr>
        <w:t>u</w:t>
      </w:r>
      <w:r w:rsidRPr="008F3D6A">
        <w:rPr>
          <w:szCs w:val="24"/>
        </w:rPr>
        <w:t xml:space="preserve"> pouvoir d’interception routière sans motif requis au regard de l’article premier de la </w:t>
      </w:r>
      <w:r w:rsidRPr="008F3D6A">
        <w:rPr>
          <w:i/>
          <w:iCs/>
          <w:szCs w:val="24"/>
        </w:rPr>
        <w:t>Charte</w:t>
      </w:r>
      <w:r w:rsidRPr="008F3D6A">
        <w:rPr>
          <w:szCs w:val="24"/>
        </w:rPr>
        <w:t>.</w:t>
      </w:r>
      <w:bookmarkEnd w:id="81"/>
      <w:r w:rsidRPr="008F3D6A">
        <w:rPr>
          <w:szCs w:val="24"/>
        </w:rPr>
        <w:t xml:space="preserve"> </w:t>
      </w:r>
    </w:p>
    <w:p w14:paraId="029C2005" w14:textId="772663EB" w:rsidR="004C7B2F" w:rsidRPr="00F97692" w:rsidRDefault="00F97692" w:rsidP="002E559C">
      <w:pPr>
        <w:pStyle w:val="Titre2"/>
      </w:pPr>
      <w:bookmarkStart w:id="82" w:name="_Toc180397467"/>
      <w:r w:rsidRPr="00F97692">
        <w:t>C.</w:t>
      </w:r>
      <w:r w:rsidRPr="00F97692">
        <w:tab/>
      </w:r>
      <w:r w:rsidR="005D7ED9" w:rsidRPr="00C87EC1">
        <w:t>L</w:t>
      </w:r>
      <w:r w:rsidR="0032484D" w:rsidRPr="00C87EC1">
        <w:t>e juge a-t-il erré en concluant que l</w:t>
      </w:r>
      <w:r w:rsidR="00F26E70">
        <w:t>a</w:t>
      </w:r>
      <w:r w:rsidR="0032484D" w:rsidRPr="00C87EC1">
        <w:t xml:space="preserve"> règle de droit contestée porte une atteinte injustifiée à l’art. 9 de la </w:t>
      </w:r>
      <w:r w:rsidR="0032484D" w:rsidRPr="00D6651F">
        <w:rPr>
          <w:i/>
          <w:iCs/>
        </w:rPr>
        <w:t>Charte</w:t>
      </w:r>
      <w:r w:rsidR="0032484D" w:rsidRPr="00C87EC1">
        <w:t>?</w:t>
      </w:r>
      <w:bookmarkEnd w:id="82"/>
    </w:p>
    <w:p w14:paraId="6EA15E4F" w14:textId="0F1B2333" w:rsidR="00D6651F" w:rsidRPr="00D6651F" w:rsidRDefault="00F97692" w:rsidP="00FB0B43">
      <w:pPr>
        <w:pStyle w:val="Titre3"/>
        <w:spacing w:line="280" w:lineRule="exact"/>
      </w:pPr>
      <w:bookmarkStart w:id="83" w:name="_Toc180397468"/>
      <w:r w:rsidRPr="00F97692">
        <w:t>1.</w:t>
      </w:r>
      <w:r w:rsidRPr="00F97692">
        <w:tab/>
      </w:r>
      <w:r w:rsidR="000B3736">
        <w:t>L’a</w:t>
      </w:r>
      <w:r w:rsidR="00D6651F">
        <w:t>tteinte</w:t>
      </w:r>
      <w:bookmarkEnd w:id="83"/>
    </w:p>
    <w:p w14:paraId="7048B361" w14:textId="5944CA64" w:rsidR="00211F21" w:rsidRPr="00C87EC1" w:rsidRDefault="00211F21" w:rsidP="00FB0B43">
      <w:pPr>
        <w:pStyle w:val="Paragraphe"/>
        <w:spacing w:line="280" w:lineRule="exact"/>
      </w:pPr>
      <w:bookmarkStart w:id="84" w:name="_Ref178072375"/>
      <w:r w:rsidRPr="00C87EC1">
        <w:rPr>
          <w:shd w:val="clear" w:color="auto" w:fill="FFFFFF"/>
        </w:rPr>
        <w:t xml:space="preserve">À l’instar de la Cour suprême dans </w:t>
      </w:r>
      <w:r w:rsidRPr="00C87EC1">
        <w:rPr>
          <w:i/>
          <w:iCs/>
          <w:shd w:val="clear" w:color="auto" w:fill="FFFFFF"/>
        </w:rPr>
        <w:t>Ladouceur</w:t>
      </w:r>
      <w:r w:rsidRPr="00C87EC1">
        <w:rPr>
          <w:shd w:val="clear" w:color="auto" w:fill="FFFFFF"/>
        </w:rPr>
        <w:t xml:space="preserve">, le </w:t>
      </w:r>
      <w:r w:rsidRPr="00CB75DE">
        <w:t>juge</w:t>
      </w:r>
      <w:r w:rsidRPr="00C87EC1">
        <w:rPr>
          <w:shd w:val="clear" w:color="auto" w:fill="FFFFFF"/>
        </w:rPr>
        <w:t xml:space="preserve"> conclut que le pouvoir d’interception routière sans motif requis viole </w:t>
      </w:r>
      <w:r w:rsidRPr="00C87EC1">
        <w:rPr>
          <w:color w:val="000000"/>
        </w:rPr>
        <w:t>le droit à la protection contre la détention arbitraire garanti par</w:t>
      </w:r>
      <w:r w:rsidRPr="00C87EC1">
        <w:rPr>
          <w:shd w:val="clear" w:color="auto" w:fill="FFFFFF"/>
        </w:rPr>
        <w:t xml:space="preserve"> l’art. 9</w:t>
      </w:r>
      <w:r w:rsidR="009C4E92">
        <w:rPr>
          <w:shd w:val="clear" w:color="auto" w:fill="FFFFFF"/>
        </w:rPr>
        <w:t xml:space="preserve"> </w:t>
      </w:r>
      <w:r w:rsidRPr="00C87EC1">
        <w:rPr>
          <w:shd w:val="clear" w:color="auto" w:fill="FFFFFF"/>
        </w:rPr>
        <w:t>de</w:t>
      </w:r>
      <w:r w:rsidR="009C4E92">
        <w:rPr>
          <w:shd w:val="clear" w:color="auto" w:fill="FFFFFF"/>
        </w:rPr>
        <w:t xml:space="preserve"> </w:t>
      </w:r>
      <w:r w:rsidRPr="00C87EC1">
        <w:rPr>
          <w:shd w:val="clear" w:color="auto" w:fill="FFFFFF"/>
        </w:rPr>
        <w:t>la</w:t>
      </w:r>
      <w:r w:rsidR="009C4E92">
        <w:rPr>
          <w:shd w:val="clear" w:color="auto" w:fill="FFFFFF"/>
        </w:rPr>
        <w:t xml:space="preserve"> </w:t>
      </w:r>
      <w:r w:rsidRPr="00C87EC1">
        <w:rPr>
          <w:i/>
          <w:iCs/>
          <w:shd w:val="clear" w:color="auto" w:fill="FFFFFF"/>
        </w:rPr>
        <w:t>Charte</w:t>
      </w:r>
      <w:r w:rsidRPr="00C87EC1">
        <w:rPr>
          <w:rStyle w:val="Appelnotedebasdep"/>
          <w:shd w:val="clear" w:color="auto" w:fill="FFFFFF"/>
        </w:rPr>
        <w:footnoteReference w:id="144"/>
      </w:r>
      <w:r w:rsidRPr="00C87EC1">
        <w:rPr>
          <w:i/>
          <w:iCs/>
          <w:shd w:val="clear" w:color="auto" w:fill="FFFFFF"/>
        </w:rPr>
        <w:t>.</w:t>
      </w:r>
      <w:r w:rsidRPr="00C87EC1">
        <w:rPr>
          <w:shd w:val="clear" w:color="auto" w:fill="FFFFFF"/>
        </w:rPr>
        <w:t xml:space="preserve"> Il note que, selon la jurisprudence</w:t>
      </w:r>
      <w:r w:rsidRPr="00C87EC1">
        <w:rPr>
          <w:rStyle w:val="Appelnotedebasdep"/>
          <w:shd w:val="clear" w:color="auto" w:fill="FFFFFF"/>
        </w:rPr>
        <w:footnoteReference w:id="145"/>
      </w:r>
      <w:r w:rsidRPr="00C87EC1">
        <w:rPr>
          <w:shd w:val="clear" w:color="auto" w:fill="FFFFFF"/>
        </w:rPr>
        <w:t xml:space="preserve">, </w:t>
      </w:r>
      <w:r w:rsidRPr="00C87EC1">
        <w:rPr>
          <w:rFonts w:cs="Arial"/>
          <w:color w:val="000000"/>
        </w:rPr>
        <w:t>intercepter un véhicule automobile et ordonner au conducteur de s’immobiliser à des fins de vérification équivaut à le priver de sa liberté par contrainte</w:t>
      </w:r>
      <w:r w:rsidR="00EC09D7">
        <w:rPr>
          <w:rFonts w:cs="Arial"/>
          <w:color w:val="000000"/>
        </w:rPr>
        <w:t>,</w:t>
      </w:r>
      <w:r w:rsidRPr="00C87EC1">
        <w:rPr>
          <w:rFonts w:cs="Arial"/>
          <w:color w:val="000000"/>
        </w:rPr>
        <w:t xml:space="preserve"> dans la mesure où il y a une responsabilité pénale associée au refus d’obtempérer</w:t>
      </w:r>
      <w:r w:rsidRPr="00C87EC1">
        <w:rPr>
          <w:rStyle w:val="Appelnotedebasdep"/>
          <w:rFonts w:cs="Arial"/>
          <w:color w:val="000000"/>
        </w:rPr>
        <w:footnoteReference w:id="146"/>
      </w:r>
      <w:r w:rsidRPr="00C87EC1">
        <w:rPr>
          <w:rFonts w:cs="Arial"/>
          <w:color w:val="000000"/>
        </w:rPr>
        <w:t xml:space="preserve">. Par conséquent, il </w:t>
      </w:r>
      <w:r w:rsidRPr="00C87EC1">
        <w:rPr>
          <w:shd w:val="clear" w:color="auto" w:fill="FFFFFF"/>
        </w:rPr>
        <w:t>détermine que l’interception autorisée par l’art</w:t>
      </w:r>
      <w:r w:rsidR="00D45606">
        <w:rPr>
          <w:shd w:val="clear" w:color="auto" w:fill="FFFFFF"/>
        </w:rPr>
        <w:t>.</w:t>
      </w:r>
      <w:r w:rsidRPr="00C87EC1">
        <w:rPr>
          <w:shd w:val="clear" w:color="auto" w:fill="FFFFFF"/>
        </w:rPr>
        <w:t xml:space="preserve"> 636 </w:t>
      </w:r>
      <w:r w:rsidRPr="00C87EC1">
        <w:rPr>
          <w:i/>
          <w:iCs/>
          <w:shd w:val="clear" w:color="auto" w:fill="FFFFFF"/>
        </w:rPr>
        <w:t>C.s.r</w:t>
      </w:r>
      <w:r w:rsidRPr="00C87EC1">
        <w:rPr>
          <w:shd w:val="clear" w:color="auto" w:fill="FFFFFF"/>
        </w:rPr>
        <w:t xml:space="preserve">. constitue une forme de détention en ce que « des conséquences </w:t>
      </w:r>
      <w:r w:rsidRPr="00914AAE">
        <w:t>juridiques</w:t>
      </w:r>
      <w:r w:rsidRPr="00C87EC1">
        <w:rPr>
          <w:shd w:val="clear" w:color="auto" w:fill="FFFFFF"/>
        </w:rPr>
        <w:t xml:space="preserve"> sérieuses sont associées au fait de ne pas obtempérer »</w:t>
      </w:r>
      <w:r w:rsidRPr="00C87EC1">
        <w:rPr>
          <w:rStyle w:val="Appelnotedebasdep"/>
          <w:rFonts w:cs="Arial"/>
          <w:szCs w:val="24"/>
          <w:shd w:val="clear" w:color="auto" w:fill="FFFFFF"/>
        </w:rPr>
        <w:footnoteReference w:id="147"/>
      </w:r>
      <w:r w:rsidRPr="00C87EC1">
        <w:rPr>
          <w:shd w:val="clear" w:color="auto" w:fill="FFFFFF"/>
        </w:rPr>
        <w:t>. Il est également d’accord avec la position exprimée par la Cour suprême dans</w:t>
      </w:r>
      <w:r w:rsidRPr="00C87EC1">
        <w:rPr>
          <w:i/>
          <w:iCs/>
          <w:shd w:val="clear" w:color="auto" w:fill="FFFFFF"/>
        </w:rPr>
        <w:t xml:space="preserve"> Ladouceur</w:t>
      </w:r>
      <w:r w:rsidRPr="00C87EC1">
        <w:rPr>
          <w:shd w:val="clear" w:color="auto" w:fill="FFFFFF"/>
        </w:rPr>
        <w:t xml:space="preserve"> selon laquelle cette détention est arbitraire. En effet, puisqu’il n’existe aucun critère pour guider les policiers quant au choix des conducteurs à intercepter, ce choix est laissé à leur </w:t>
      </w:r>
      <w:r w:rsidRPr="008F3D6A">
        <w:rPr>
          <w:shd w:val="clear" w:color="auto" w:fill="FFFFFF"/>
        </w:rPr>
        <w:t xml:space="preserve">entière discrétion. </w:t>
      </w:r>
      <w:bookmarkStart w:id="86" w:name="_Hlk177572026"/>
      <w:r w:rsidR="00790E46" w:rsidRPr="008F3D6A">
        <w:rPr>
          <w:shd w:val="clear" w:color="auto" w:fill="FFFFFF"/>
        </w:rPr>
        <w:t xml:space="preserve">Or, </w:t>
      </w:r>
      <w:r w:rsidR="00790E46" w:rsidRPr="008F3D6A">
        <w:t>« [u]n pouvoir discrétionnaire est arbitraire s’il n’y a pas de critère, exprès ou tacite, qui en régit l’exercice »</w:t>
      </w:r>
      <w:r w:rsidR="00790E46" w:rsidRPr="008F3D6A">
        <w:rPr>
          <w:rStyle w:val="Appelnotedebasdep"/>
        </w:rPr>
        <w:footnoteReference w:id="148"/>
      </w:r>
      <w:r w:rsidR="00790E46" w:rsidRPr="008F3D6A">
        <w:t>.</w:t>
      </w:r>
      <w:bookmarkEnd w:id="84"/>
      <w:r w:rsidR="00790E46" w:rsidRPr="00BE5C05">
        <w:t xml:space="preserve"> </w:t>
      </w:r>
    </w:p>
    <w:p w14:paraId="5A920209" w14:textId="1DA25156" w:rsidR="00211F21" w:rsidRPr="00176D0A" w:rsidRDefault="00F733FA" w:rsidP="00FB0B43">
      <w:pPr>
        <w:pStyle w:val="Paragraphe"/>
        <w:spacing w:line="280" w:lineRule="exact"/>
        <w:rPr>
          <w:shd w:val="clear" w:color="auto" w:fill="FFFFFF"/>
        </w:rPr>
      </w:pPr>
      <w:bookmarkStart w:id="87" w:name="_Ref178072381"/>
      <w:bookmarkStart w:id="88" w:name="_Hlk177571150"/>
      <w:bookmarkEnd w:id="86"/>
      <w:r w:rsidRPr="00C87EC1">
        <w:t>Le PGQ ne remet pas en cause la conclusion</w:t>
      </w:r>
      <w:r w:rsidR="00802FC9">
        <w:t xml:space="preserve"> du juge</w:t>
      </w:r>
      <w:r w:rsidRPr="00C87EC1">
        <w:t xml:space="preserve"> sur </w:t>
      </w:r>
      <w:r w:rsidRPr="00914AAE">
        <w:t>l’atteinte</w:t>
      </w:r>
      <w:r w:rsidRPr="00C87EC1">
        <w:t xml:space="preserve"> à l’art</w:t>
      </w:r>
      <w:r w:rsidR="00D45606">
        <w:t>.</w:t>
      </w:r>
      <w:r w:rsidRPr="00C87EC1">
        <w:t xml:space="preserve"> 9 de la </w:t>
      </w:r>
      <w:r w:rsidRPr="00C87EC1">
        <w:rPr>
          <w:i/>
          <w:iCs/>
        </w:rPr>
        <w:t>Charte</w:t>
      </w:r>
      <w:r w:rsidR="00FB434F">
        <w:t>. Il n’y a donc pas lieu de s’y attarder plus longuement.</w:t>
      </w:r>
      <w:r w:rsidR="00802FC9">
        <w:t xml:space="preserve"> L’atteinte étant admise, il </w:t>
      </w:r>
      <w:r w:rsidR="003F4868" w:rsidRPr="00391801">
        <w:t>s’agit</w:t>
      </w:r>
      <w:r w:rsidR="00802FC9">
        <w:t xml:space="preserve"> de déterminer si celle-ci est justifiée au regard de l’article premier.</w:t>
      </w:r>
      <w:bookmarkEnd w:id="87"/>
    </w:p>
    <w:p w14:paraId="2707730A" w14:textId="198828F5" w:rsidR="00D6651F" w:rsidRPr="00C87EC1" w:rsidRDefault="00D6651F" w:rsidP="00FB0B43">
      <w:pPr>
        <w:pStyle w:val="Titre3"/>
        <w:spacing w:line="280" w:lineRule="exact"/>
      </w:pPr>
      <w:bookmarkStart w:id="89" w:name="_Toc180397469"/>
      <w:bookmarkEnd w:id="88"/>
      <w:r w:rsidRPr="000B3736">
        <w:t>2.</w:t>
      </w:r>
      <w:r w:rsidRPr="000B3736">
        <w:tab/>
      </w:r>
      <w:r w:rsidR="000B3736">
        <w:t>La j</w:t>
      </w:r>
      <w:r>
        <w:t>ustification de l’atteinte</w:t>
      </w:r>
      <w:bookmarkEnd w:id="89"/>
    </w:p>
    <w:p w14:paraId="2E64F906" w14:textId="1EDE8485" w:rsidR="00211F21" w:rsidRPr="00914AAE" w:rsidRDefault="00211F21" w:rsidP="00FB0B43">
      <w:pPr>
        <w:pStyle w:val="Paragraphe"/>
        <w:spacing w:line="280" w:lineRule="exact"/>
      </w:pPr>
      <w:r w:rsidRPr="00914AAE">
        <w:t xml:space="preserve">L’arrêt </w:t>
      </w:r>
      <w:r w:rsidR="005A2944" w:rsidRPr="005A2944">
        <w:rPr>
          <w:i/>
          <w:iCs/>
        </w:rPr>
        <w:t>R. c.</w:t>
      </w:r>
      <w:r w:rsidR="005A2944">
        <w:t xml:space="preserve"> </w:t>
      </w:r>
      <w:r w:rsidRPr="00914AAE">
        <w:rPr>
          <w:i/>
          <w:iCs/>
        </w:rPr>
        <w:t>Oakes</w:t>
      </w:r>
      <w:r w:rsidR="008F3D6A" w:rsidRPr="008F3D6A">
        <w:rPr>
          <w:rStyle w:val="Appelnotedebasdep"/>
        </w:rPr>
        <w:footnoteReference w:id="149"/>
      </w:r>
      <w:r w:rsidRPr="00914AAE">
        <w:t xml:space="preserve"> énonce le </w:t>
      </w:r>
      <w:r w:rsidR="00D45606">
        <w:t>critère</w:t>
      </w:r>
      <w:r w:rsidRPr="00914AAE">
        <w:t xml:space="preserve"> permettant de déterminer si une violation de la </w:t>
      </w:r>
      <w:r w:rsidRPr="007D0519">
        <w:rPr>
          <w:i/>
          <w:iCs/>
        </w:rPr>
        <w:t>Charte</w:t>
      </w:r>
      <w:r w:rsidRPr="00914AAE">
        <w:t xml:space="preserve"> est justifiée dans le cadre d’une société libre et démocratique. La Cour suprême</w:t>
      </w:r>
      <w:r w:rsidR="00313C8F">
        <w:t xml:space="preserve"> </w:t>
      </w:r>
      <w:r w:rsidRPr="00914AAE">
        <w:t xml:space="preserve">l’a récemment résumé comme suit dans l’arrêt </w:t>
      </w:r>
      <w:r w:rsidRPr="00914AAE">
        <w:rPr>
          <w:i/>
          <w:iCs/>
        </w:rPr>
        <w:t>R. c. Ndhlovu</w:t>
      </w:r>
      <w:r w:rsidR="00313C8F">
        <w:rPr>
          <w:i/>
          <w:iCs/>
        </w:rPr>
        <w:t> </w:t>
      </w:r>
      <w:r w:rsidR="00313C8F">
        <w:t>:</w:t>
      </w:r>
    </w:p>
    <w:p w14:paraId="72B22847" w14:textId="6EFF4331" w:rsidR="00211F21" w:rsidRPr="008F3D6A" w:rsidRDefault="005238C6" w:rsidP="00211F21">
      <w:pPr>
        <w:pStyle w:val="Citationenretrait"/>
        <w:rPr>
          <w:rFonts w:cs="Arial"/>
        </w:rPr>
      </w:pPr>
      <w:r w:rsidRPr="008F3D6A">
        <w:rPr>
          <w:rFonts w:cs="Arial"/>
        </w:rPr>
        <w:t>[119]</w:t>
      </w:r>
      <w:r w:rsidR="00313C8F" w:rsidRPr="008F3D6A">
        <w:rPr>
          <w:rFonts w:cs="Arial"/>
        </w:rPr>
        <w:tab/>
      </w:r>
      <w:r w:rsidR="00211F21" w:rsidRPr="008F3D6A">
        <w:rPr>
          <w:rFonts w:cs="Arial"/>
        </w:rPr>
        <w:t xml:space="preserve">Une violation de la </w:t>
      </w:r>
      <w:r w:rsidR="00211F21" w:rsidRPr="008F3D6A">
        <w:rPr>
          <w:rFonts w:cs="Arial"/>
          <w:i/>
          <w:iCs/>
        </w:rPr>
        <w:t xml:space="preserve">Charte </w:t>
      </w:r>
      <w:r w:rsidR="00211F21" w:rsidRPr="008F3D6A">
        <w:rPr>
          <w:rFonts w:cs="Arial"/>
        </w:rPr>
        <w:t>est justifiée en vertu de l’article premier lorsque l’objet de la loi contestée «</w:t>
      </w:r>
      <w:r w:rsidR="00F8508D" w:rsidRPr="008F3D6A">
        <w:rPr>
          <w:rFonts w:cs="Arial"/>
        </w:rPr>
        <w:t> </w:t>
      </w:r>
      <w:r w:rsidR="00211F21" w:rsidRPr="008F3D6A">
        <w:rPr>
          <w:rFonts w:cs="Arial"/>
        </w:rPr>
        <w:t>est urgent et réel et que les moyens choisis sont proportionnels à cet objet</w:t>
      </w:r>
      <w:r w:rsidR="00F8508D" w:rsidRPr="008F3D6A">
        <w:rPr>
          <w:rFonts w:cs="Arial"/>
        </w:rPr>
        <w:t> </w:t>
      </w:r>
      <w:r w:rsidR="00211F21" w:rsidRPr="008F3D6A">
        <w:rPr>
          <w:rFonts w:cs="Arial"/>
        </w:rPr>
        <w:t>» (</w:t>
      </w:r>
      <w:r w:rsidR="00211F21" w:rsidRPr="008F3D6A">
        <w:rPr>
          <w:rFonts w:cs="Arial"/>
          <w:i/>
          <w:iCs/>
        </w:rPr>
        <w:t>Carter,</w:t>
      </w:r>
      <w:r w:rsidR="00211F21" w:rsidRPr="008F3D6A">
        <w:rPr>
          <w:rFonts w:cs="Arial"/>
        </w:rPr>
        <w:t xml:space="preserve"> par. 94). Une loi est proportionnée à son objet si les moyens adoptés sont rationnellement liés à cet objet, si la loi porte atteinte de façon minimale au droit en question, et si les effets bénéfiques de la loi l’emportent sur ses effets préjudiciables (</w:t>
      </w:r>
      <w:r w:rsidR="00211F21" w:rsidRPr="008F3D6A">
        <w:rPr>
          <w:rFonts w:cs="Arial"/>
          <w:i/>
          <w:iCs/>
        </w:rPr>
        <w:t>R. c. Oakes</w:t>
      </w:r>
      <w:r w:rsidR="00211F21" w:rsidRPr="008F3D6A">
        <w:rPr>
          <w:rFonts w:cs="Arial"/>
        </w:rPr>
        <w:t>, [1986] 1 R.C.S. 103, p.</w:t>
      </w:r>
      <w:r w:rsidR="00F8508D" w:rsidRPr="008F3D6A">
        <w:rPr>
          <w:rFonts w:cs="Arial"/>
        </w:rPr>
        <w:t> </w:t>
      </w:r>
      <w:r w:rsidR="00211F21" w:rsidRPr="008F3D6A">
        <w:rPr>
          <w:rFonts w:cs="Arial"/>
        </w:rPr>
        <w:t>136</w:t>
      </w:r>
      <w:r w:rsidR="00211F21" w:rsidRPr="008F3D6A">
        <w:rPr>
          <w:rFonts w:ascii="Cambria Math" w:hAnsi="Cambria Math" w:cs="Cambria Math"/>
        </w:rPr>
        <w:t>‑</w:t>
      </w:r>
      <w:r w:rsidR="00211F21" w:rsidRPr="008F3D6A">
        <w:rPr>
          <w:rFonts w:cs="Arial"/>
        </w:rPr>
        <w:t>140). L’analyse est axée sur les mesures attentatoires et non sur l’ensemble du régime législatif.</w:t>
      </w:r>
      <w:r w:rsidR="005C6060" w:rsidRPr="008F3D6A">
        <w:rPr>
          <w:rFonts w:cs="Arial"/>
        </w:rPr>
        <w:t xml:space="preserve"> […]</w:t>
      </w:r>
      <w:r w:rsidR="00FA561A" w:rsidRPr="003E587D">
        <w:rPr>
          <w:rStyle w:val="Appelnotedebasdep"/>
        </w:rPr>
        <w:footnoteReference w:id="150"/>
      </w:r>
    </w:p>
    <w:p w14:paraId="29407396" w14:textId="60332959" w:rsidR="005A2944" w:rsidRPr="00802FC9" w:rsidRDefault="00D45606" w:rsidP="00FB0B43">
      <w:pPr>
        <w:pStyle w:val="Paragraphe"/>
        <w:spacing w:line="280" w:lineRule="exact"/>
        <w:rPr>
          <w:szCs w:val="24"/>
          <w:shd w:val="clear" w:color="auto" w:fill="FFFFFF"/>
        </w:rPr>
      </w:pPr>
      <w:r>
        <w:rPr>
          <w:szCs w:val="24"/>
          <w:shd w:val="clear" w:color="auto" w:fill="FFFFFF"/>
        </w:rPr>
        <w:t>En ce qui concerne</w:t>
      </w:r>
      <w:r w:rsidR="005A2944" w:rsidRPr="00802FC9" w:rsidDel="003D1959">
        <w:rPr>
          <w:szCs w:val="24"/>
          <w:shd w:val="clear" w:color="auto" w:fill="FFFFFF"/>
        </w:rPr>
        <w:t xml:space="preserve"> le premier volet du </w:t>
      </w:r>
      <w:r>
        <w:rPr>
          <w:szCs w:val="24"/>
          <w:shd w:val="clear" w:color="auto" w:fill="FFFFFF"/>
        </w:rPr>
        <w:t>critère</w:t>
      </w:r>
      <w:r w:rsidRPr="00802FC9" w:rsidDel="003D1959">
        <w:rPr>
          <w:szCs w:val="24"/>
          <w:shd w:val="clear" w:color="auto" w:fill="FFFFFF"/>
        </w:rPr>
        <w:t xml:space="preserve"> </w:t>
      </w:r>
      <w:r w:rsidR="005A2944" w:rsidRPr="00802FC9" w:rsidDel="003D1959">
        <w:rPr>
          <w:szCs w:val="24"/>
          <w:shd w:val="clear" w:color="auto" w:fill="FFFFFF"/>
        </w:rPr>
        <w:t xml:space="preserve">énoncé dans l’arrêt </w:t>
      </w:r>
      <w:r w:rsidR="005A2944" w:rsidRPr="00802FC9" w:rsidDel="003D1959">
        <w:rPr>
          <w:i/>
          <w:iCs/>
          <w:szCs w:val="24"/>
          <w:shd w:val="clear" w:color="auto" w:fill="FFFFFF"/>
        </w:rPr>
        <w:t>Oakes</w:t>
      </w:r>
      <w:r w:rsidR="005A2944" w:rsidRPr="00802FC9">
        <w:rPr>
          <w:kern w:val="24"/>
          <w:szCs w:val="24"/>
        </w:rPr>
        <w:t xml:space="preserve">, le juge retient </w:t>
      </w:r>
      <w:r w:rsidR="005A2944" w:rsidRPr="00802FC9" w:rsidDel="003D1959">
        <w:rPr>
          <w:szCs w:val="24"/>
          <w:shd w:val="clear" w:color="auto" w:fill="FFFFFF"/>
        </w:rPr>
        <w:t xml:space="preserve">que l’objectif poursuivi par l’art. 636 </w:t>
      </w:r>
      <w:r w:rsidR="005A2944" w:rsidRPr="00802FC9" w:rsidDel="003D1959">
        <w:rPr>
          <w:i/>
          <w:iCs/>
          <w:szCs w:val="24"/>
          <w:shd w:val="clear" w:color="auto" w:fill="FFFFFF"/>
        </w:rPr>
        <w:t>C.s.r</w:t>
      </w:r>
      <w:r w:rsidR="005A2944" w:rsidRPr="00802FC9" w:rsidDel="003D1959">
        <w:rPr>
          <w:szCs w:val="24"/>
          <w:shd w:val="clear" w:color="auto" w:fill="FFFFFF"/>
        </w:rPr>
        <w:t>. est d’</w:t>
      </w:r>
      <w:r w:rsidR="005A2944" w:rsidRPr="00802FC9" w:rsidDel="003D1959">
        <w:rPr>
          <w:color w:val="222222"/>
          <w:szCs w:val="24"/>
          <w:shd w:val="clear" w:color="auto" w:fill="FFFFFF"/>
        </w:rPr>
        <w:t>assurer la sécurité routière, en répondant aux préoccupations du législateur liées à cet objectif, soit</w:t>
      </w:r>
      <w:r w:rsidR="004A3796">
        <w:rPr>
          <w:color w:val="222222"/>
          <w:szCs w:val="24"/>
          <w:shd w:val="clear" w:color="auto" w:fill="FFFFFF"/>
        </w:rPr>
        <w:t> </w:t>
      </w:r>
      <w:r w:rsidR="005A2944" w:rsidRPr="00802FC9" w:rsidDel="003D1959">
        <w:rPr>
          <w:color w:val="222222"/>
          <w:szCs w:val="24"/>
          <w:shd w:val="clear" w:color="auto" w:fill="FFFFFF"/>
        </w:rPr>
        <w:t>: réduire</w:t>
      </w:r>
      <w:r w:rsidR="005A2944" w:rsidRPr="00802FC9" w:rsidDel="003D1959">
        <w:rPr>
          <w:szCs w:val="24"/>
          <w:shd w:val="clear" w:color="auto" w:fill="FFFFFF"/>
        </w:rPr>
        <w:t xml:space="preserve"> le nombre d’infractions et d’accidents de la route ainsi que le nombre de décès qui y sont attribuables</w:t>
      </w:r>
      <w:r w:rsidR="00021D65">
        <w:rPr>
          <w:szCs w:val="24"/>
          <w:shd w:val="clear" w:color="auto" w:fill="FFFFFF"/>
        </w:rPr>
        <w:t>,</w:t>
      </w:r>
      <w:r w:rsidR="005A2944" w:rsidRPr="00802FC9" w:rsidDel="003D1959">
        <w:rPr>
          <w:szCs w:val="24"/>
          <w:shd w:val="clear" w:color="auto" w:fill="FFFFFF"/>
        </w:rPr>
        <w:t xml:space="preserve"> réduire les coûts d’indemnisation des assureurs et combattre la conduite avec les facultés affaiblies. Il conclut que le PGQ a fait une preuve convaincante que </w:t>
      </w:r>
      <w:r w:rsidR="000228C6">
        <w:rPr>
          <w:szCs w:val="24"/>
          <w:shd w:val="clear" w:color="auto" w:fill="FFFFFF"/>
        </w:rPr>
        <w:t>c</w:t>
      </w:r>
      <w:r w:rsidR="005A2944" w:rsidRPr="00802FC9" w:rsidDel="003D1959">
        <w:rPr>
          <w:szCs w:val="24"/>
          <w:shd w:val="clear" w:color="auto" w:fill="FFFFFF"/>
        </w:rPr>
        <w:t>es préoccupations demeurent urgentes et réelles</w:t>
      </w:r>
      <w:r w:rsidR="005A2944" w:rsidRPr="00802FC9">
        <w:rPr>
          <w:rStyle w:val="Appelnotedebasdep"/>
          <w:szCs w:val="24"/>
          <w:shd w:val="clear" w:color="auto" w:fill="FFFFFF"/>
        </w:rPr>
        <w:footnoteReference w:id="151"/>
      </w:r>
      <w:r w:rsidR="005A2944" w:rsidRPr="00802FC9">
        <w:rPr>
          <w:szCs w:val="24"/>
          <w:shd w:val="clear" w:color="auto" w:fill="FFFFFF"/>
        </w:rPr>
        <w:t>.</w:t>
      </w:r>
    </w:p>
    <w:p w14:paraId="50E0D99D" w14:textId="791278BC" w:rsidR="0040523D" w:rsidRPr="005A2944" w:rsidRDefault="0040523D" w:rsidP="00FB0B43">
      <w:pPr>
        <w:pStyle w:val="Paragraphe"/>
        <w:spacing w:line="280" w:lineRule="exact"/>
      </w:pPr>
      <w:r w:rsidRPr="00C87EC1" w:rsidDel="003D1959">
        <w:rPr>
          <w:shd w:val="clear" w:color="auto" w:fill="FFFFFF"/>
        </w:rPr>
        <w:t xml:space="preserve">Quant au deuxième volet, le juge estime que le PGQ ne parvient pas à démontrer que la restriction </w:t>
      </w:r>
      <w:r w:rsidR="00D45606">
        <w:rPr>
          <w:shd w:val="clear" w:color="auto" w:fill="FFFFFF"/>
        </w:rPr>
        <w:t xml:space="preserve">au droit garanti </w:t>
      </w:r>
      <w:r w:rsidRPr="00C87EC1" w:rsidDel="003D1959">
        <w:rPr>
          <w:shd w:val="clear" w:color="auto" w:fill="FFFFFF"/>
        </w:rPr>
        <w:t>à l’art. 9 est proportionnée à l’objectif poursuivi.</w:t>
      </w:r>
      <w:r>
        <w:rPr>
          <w:shd w:val="clear" w:color="auto" w:fill="FFFFFF"/>
        </w:rPr>
        <w:t xml:space="preserve"> À son avis, les </w:t>
      </w:r>
      <w:r w:rsidRPr="00C87EC1" w:rsidDel="003D1959">
        <w:rPr>
          <w:shd w:val="clear" w:color="auto" w:fill="FFFFFF"/>
        </w:rPr>
        <w:t xml:space="preserve">données sur lesquelles la majorité a fondé sa décision dans </w:t>
      </w:r>
      <w:r w:rsidRPr="00C87EC1" w:rsidDel="003D1959">
        <w:rPr>
          <w:i/>
          <w:iCs/>
          <w:shd w:val="clear" w:color="auto" w:fill="FFFFFF"/>
        </w:rPr>
        <w:t>Ladouceur</w:t>
      </w:r>
      <w:r w:rsidRPr="00C87EC1" w:rsidDel="003D1959">
        <w:rPr>
          <w:shd w:val="clear" w:color="auto" w:fill="FFFFFF"/>
        </w:rPr>
        <w:t xml:space="preserve"> ont vieilli et doivent être écartées</w:t>
      </w:r>
      <w:r>
        <w:rPr>
          <w:rStyle w:val="Appelnotedebasdep"/>
          <w:shd w:val="clear" w:color="auto" w:fill="FFFFFF"/>
        </w:rPr>
        <w:footnoteReference w:id="152"/>
      </w:r>
      <w:r>
        <w:rPr>
          <w:shd w:val="clear" w:color="auto" w:fill="FFFFFF"/>
        </w:rPr>
        <w:t>.</w:t>
      </w:r>
    </w:p>
    <w:p w14:paraId="7B5B9587" w14:textId="38B61893" w:rsidR="005A2944" w:rsidRDefault="0040523D" w:rsidP="00FB0B43">
      <w:pPr>
        <w:pStyle w:val="Paragraphe"/>
        <w:spacing w:line="280" w:lineRule="exact"/>
        <w:rPr>
          <w:color w:val="000000" w:themeColor="text1"/>
          <w:shd w:val="clear" w:color="auto" w:fill="FFFFFF"/>
        </w:rPr>
      </w:pPr>
      <w:r w:rsidRPr="00C87EC1" w:rsidDel="003D1959">
        <w:rPr>
          <w:shd w:val="clear" w:color="auto" w:fill="FFFFFF"/>
        </w:rPr>
        <w:t xml:space="preserve">Selon le juge, puisque le PGQ n’a pas rempli </w:t>
      </w:r>
      <w:r w:rsidRPr="00914AAE" w:rsidDel="003D1959">
        <w:t>son</w:t>
      </w:r>
      <w:r w:rsidRPr="00C87EC1" w:rsidDel="003D1959">
        <w:rPr>
          <w:shd w:val="clear" w:color="auto" w:fill="FFFFFF"/>
        </w:rPr>
        <w:t xml:space="preserve"> fardeau d’établir une corrélation entre le recours aux interceptions routières sans motif requis et l’amélioration du bilan de la route, il</w:t>
      </w:r>
      <w:r w:rsidR="0096638E">
        <w:rPr>
          <w:shd w:val="clear" w:color="auto" w:fill="FFFFFF"/>
        </w:rPr>
        <w:t xml:space="preserve"> ne fait pas la démonstration</w:t>
      </w:r>
      <w:r w:rsidR="000228C6">
        <w:rPr>
          <w:shd w:val="clear" w:color="auto" w:fill="FFFFFF"/>
        </w:rPr>
        <w:t xml:space="preserve"> que</w:t>
      </w:r>
      <w:r w:rsidR="00FA14DC">
        <w:rPr>
          <w:shd w:val="clear" w:color="auto" w:fill="FFFFFF"/>
        </w:rPr>
        <w:t xml:space="preserve"> </w:t>
      </w:r>
      <w:r w:rsidR="008920F2">
        <w:rPr>
          <w:shd w:val="clear" w:color="auto" w:fill="FFFFFF"/>
        </w:rPr>
        <w:t xml:space="preserve">la </w:t>
      </w:r>
      <w:r w:rsidR="00FA14DC">
        <w:rPr>
          <w:shd w:val="clear" w:color="auto" w:fill="FFFFFF"/>
        </w:rPr>
        <w:t xml:space="preserve">règle de droit contestée porte une atteinte minimale au droit garanti et que </w:t>
      </w:r>
      <w:r w:rsidR="008920F2">
        <w:rPr>
          <w:shd w:val="clear" w:color="auto" w:fill="FFFFFF"/>
        </w:rPr>
        <w:t xml:space="preserve">ses </w:t>
      </w:r>
      <w:r w:rsidR="00FA14DC">
        <w:rPr>
          <w:shd w:val="clear" w:color="auto" w:fill="FFFFFF"/>
        </w:rPr>
        <w:t xml:space="preserve">effets bénéfiques l’emportent sur </w:t>
      </w:r>
      <w:r w:rsidR="008920F2">
        <w:rPr>
          <w:shd w:val="clear" w:color="auto" w:fill="FFFFFF"/>
        </w:rPr>
        <w:t xml:space="preserve">ses </w:t>
      </w:r>
      <w:r w:rsidR="00FA14DC">
        <w:rPr>
          <w:shd w:val="clear" w:color="auto" w:fill="FFFFFF"/>
        </w:rPr>
        <w:t>effets négatifs</w:t>
      </w:r>
      <w:r w:rsidRPr="00C87EC1" w:rsidDel="003D1959">
        <w:rPr>
          <w:shd w:val="clear" w:color="auto" w:fill="FFFFFF"/>
        </w:rPr>
        <w:t xml:space="preserve">. </w:t>
      </w:r>
      <w:r w:rsidRPr="00C87EC1" w:rsidDel="003D1959">
        <w:rPr>
          <w:color w:val="000000" w:themeColor="text1"/>
          <w:shd w:val="clear" w:color="auto" w:fill="FFFFFF"/>
        </w:rPr>
        <w:t xml:space="preserve">Ainsi, il décide que </w:t>
      </w:r>
      <w:r>
        <w:rPr>
          <w:color w:val="000000" w:themeColor="text1"/>
          <w:shd w:val="clear" w:color="auto" w:fill="FFFFFF"/>
        </w:rPr>
        <w:t>la règle de droit contestée</w:t>
      </w:r>
      <w:r w:rsidRPr="00C87EC1" w:rsidDel="003D1959">
        <w:rPr>
          <w:color w:val="000000" w:themeColor="text1"/>
          <w:shd w:val="clear" w:color="auto" w:fill="FFFFFF"/>
        </w:rPr>
        <w:t xml:space="preserve"> ne peut être sauvegardée par l’application de l’article premier.</w:t>
      </w:r>
    </w:p>
    <w:p w14:paraId="37CAE8C3" w14:textId="37EB4818" w:rsidR="00802FC9" w:rsidRDefault="00802FC9" w:rsidP="00FB0B43">
      <w:pPr>
        <w:pStyle w:val="Paragraphe"/>
        <w:spacing w:line="280" w:lineRule="exact"/>
        <w:rPr>
          <w:shd w:val="clear" w:color="auto" w:fill="FFFFFF"/>
        </w:rPr>
      </w:pPr>
      <w:r>
        <w:t xml:space="preserve">Le PGQ soutient </w:t>
      </w:r>
      <w:r w:rsidRPr="00C87EC1">
        <w:t xml:space="preserve">que le juge a erré en concluant que </w:t>
      </w:r>
      <w:r w:rsidRPr="00C87EC1">
        <w:rPr>
          <w:shd w:val="clear" w:color="auto" w:fill="FFFFFF"/>
        </w:rPr>
        <w:t>l’atteinte ne peut être justifiée au regard de l’article premier</w:t>
      </w:r>
      <w:r>
        <w:rPr>
          <w:shd w:val="clear" w:color="auto" w:fill="FFFFFF"/>
        </w:rPr>
        <w:t xml:space="preserve">, chacun des </w:t>
      </w:r>
      <w:r w:rsidR="00D45606">
        <w:rPr>
          <w:shd w:val="clear" w:color="auto" w:fill="FFFFFF"/>
        </w:rPr>
        <w:t xml:space="preserve">volets du </w:t>
      </w:r>
      <w:r>
        <w:rPr>
          <w:shd w:val="clear" w:color="auto" w:fill="FFFFFF"/>
        </w:rPr>
        <w:t>critère</w:t>
      </w:r>
      <w:r w:rsidR="00D45606">
        <w:rPr>
          <w:shd w:val="clear" w:color="auto" w:fill="FFFFFF"/>
        </w:rPr>
        <w:t xml:space="preserve"> </w:t>
      </w:r>
      <w:r>
        <w:rPr>
          <w:shd w:val="clear" w:color="auto" w:fill="FFFFFF"/>
        </w:rPr>
        <w:t xml:space="preserve">de l’arrêt </w:t>
      </w:r>
      <w:r w:rsidRPr="00802FC9">
        <w:rPr>
          <w:i/>
          <w:iCs/>
          <w:shd w:val="clear" w:color="auto" w:fill="FFFFFF"/>
        </w:rPr>
        <w:t>Oakes</w:t>
      </w:r>
      <w:r>
        <w:rPr>
          <w:shd w:val="clear" w:color="auto" w:fill="FFFFFF"/>
        </w:rPr>
        <w:t xml:space="preserve"> étant ici </w:t>
      </w:r>
      <w:r w:rsidR="00D45606">
        <w:rPr>
          <w:shd w:val="clear" w:color="auto" w:fill="FFFFFF"/>
        </w:rPr>
        <w:t>rempli</w:t>
      </w:r>
      <w:r w:rsidRPr="00C87EC1">
        <w:rPr>
          <w:shd w:val="clear" w:color="auto" w:fill="FFFFFF"/>
        </w:rPr>
        <w:t>.</w:t>
      </w:r>
    </w:p>
    <w:p w14:paraId="7E5041F3" w14:textId="77777777" w:rsidR="00802FC9" w:rsidRPr="00F733FA" w:rsidRDefault="00802FC9" w:rsidP="00FB0B43">
      <w:pPr>
        <w:pStyle w:val="Paragraphe"/>
        <w:spacing w:line="280" w:lineRule="exact"/>
        <w:rPr>
          <w:shd w:val="clear" w:color="auto" w:fill="FFFFFF"/>
        </w:rPr>
      </w:pPr>
      <w:r>
        <w:rPr>
          <w:shd w:val="clear" w:color="auto" w:fill="FFFFFF"/>
        </w:rPr>
        <w:t>Qu’en est-il?</w:t>
      </w:r>
    </w:p>
    <w:p w14:paraId="0B85EA3B" w14:textId="3442C1F9" w:rsidR="00211F21" w:rsidRPr="00FC6D0C" w:rsidRDefault="00211F21" w:rsidP="00FB0B43">
      <w:pPr>
        <w:pStyle w:val="Titre4"/>
      </w:pPr>
      <w:bookmarkStart w:id="90" w:name="_Toc180397470"/>
      <w:r w:rsidRPr="00FC6D0C">
        <w:t xml:space="preserve">Objectif </w:t>
      </w:r>
      <w:r w:rsidR="00F82DC8">
        <w:t>urgent et réel</w:t>
      </w:r>
      <w:bookmarkEnd w:id="90"/>
    </w:p>
    <w:p w14:paraId="72CA1E01" w14:textId="6C907BAD" w:rsidR="00C03C66" w:rsidRPr="00391801" w:rsidRDefault="00C03C66" w:rsidP="00FB0B43">
      <w:pPr>
        <w:pStyle w:val="Paragraphe"/>
        <w:spacing w:line="280" w:lineRule="exact"/>
      </w:pPr>
      <w:bookmarkStart w:id="91" w:name="_Ref178079702"/>
      <w:r w:rsidRPr="00C03C66">
        <w:t xml:space="preserve">Le premier volet de </w:t>
      </w:r>
      <w:r w:rsidRPr="00313C8F">
        <w:t>l’analyse</w:t>
      </w:r>
      <w:r w:rsidRPr="00C03C66">
        <w:t xml:space="preserve"> </w:t>
      </w:r>
      <w:r w:rsidRPr="00313C8F">
        <w:t>consiste</w:t>
      </w:r>
      <w:r w:rsidRPr="00C03C66">
        <w:t xml:space="preserve"> à formuler l’objectif législatif de la </w:t>
      </w:r>
      <w:r w:rsidRPr="00391801">
        <w:t xml:space="preserve">mesure attentatoire et à déterminer si celui-ci est </w:t>
      </w:r>
      <w:r w:rsidR="00F82DC8" w:rsidRPr="00391801">
        <w:t>urgent et réel</w:t>
      </w:r>
      <w:r w:rsidRPr="00391801">
        <w:t xml:space="preserve">. Ce critère est peu exigeant et il est généralement </w:t>
      </w:r>
      <w:r w:rsidR="00D23C81" w:rsidRPr="00391801">
        <w:t>rempli</w:t>
      </w:r>
      <w:r w:rsidRPr="00391801">
        <w:t>.</w:t>
      </w:r>
      <w:bookmarkEnd w:id="91"/>
    </w:p>
    <w:p w14:paraId="4FACE342" w14:textId="0DC5CF74" w:rsidR="00C03C66" w:rsidRDefault="00211F21" w:rsidP="00FB0B43">
      <w:pPr>
        <w:pStyle w:val="Paragraphe"/>
        <w:spacing w:line="280" w:lineRule="exact"/>
      </w:pPr>
      <w:r>
        <w:t xml:space="preserve">L’objectif doit être défini avec un niveau approprié de </w:t>
      </w:r>
      <w:r w:rsidRPr="00313C8F">
        <w:t>généralité</w:t>
      </w:r>
      <w:r>
        <w:t xml:space="preserve">. L’importance de l’objectif risque d’être exagérée si celui-ci est formulé trop largement. À l’inverse, une définition trop étroite </w:t>
      </w:r>
      <w:r w:rsidR="00D45606">
        <w:t xml:space="preserve">de l’objectif </w:t>
      </w:r>
      <w:r>
        <w:t xml:space="preserve">risque de simplement constituer une répétition du moyen choisi par le législateur pour </w:t>
      </w:r>
      <w:r w:rsidR="00D45606">
        <w:t xml:space="preserve">y </w:t>
      </w:r>
      <w:r>
        <w:t>parvenir</w:t>
      </w:r>
      <w:r w:rsidR="003E587D">
        <w:rPr>
          <w:rStyle w:val="Appelnotedebasdep"/>
        </w:rPr>
        <w:footnoteReference w:id="153"/>
      </w:r>
      <w:r>
        <w:t xml:space="preserve">. </w:t>
      </w:r>
    </w:p>
    <w:p w14:paraId="38023CE4" w14:textId="6A86CF29" w:rsidR="00211F21" w:rsidRDefault="00211F21" w:rsidP="00FB0B43">
      <w:pPr>
        <w:pStyle w:val="Paragraphe"/>
        <w:spacing w:line="280" w:lineRule="exact"/>
      </w:pPr>
      <w:r>
        <w:t xml:space="preserve">La formulation de l’objectif d’une disposition législative se </w:t>
      </w:r>
      <w:r w:rsidRPr="00313C8F">
        <w:t>rattache</w:t>
      </w:r>
      <w:r>
        <w:t xml:space="preserve"> à l’intention du législateur </w:t>
      </w:r>
      <w:r w:rsidRPr="00B91DDB">
        <w:t>à l’époque de</w:t>
      </w:r>
      <w:r>
        <w:t xml:space="preserve"> son adoption</w:t>
      </w:r>
      <w:r w:rsidR="003E587D">
        <w:rPr>
          <w:rStyle w:val="Appelnotedebasdep"/>
        </w:rPr>
        <w:footnoteReference w:id="154"/>
      </w:r>
      <w:r>
        <w:t xml:space="preserve">. En l’espèce, l’Assemblée nationale du Québec a modifié </w:t>
      </w:r>
      <w:r w:rsidR="00D45606">
        <w:t xml:space="preserve">l’art. </w:t>
      </w:r>
      <w:r>
        <w:t xml:space="preserve">636 </w:t>
      </w:r>
      <w:r w:rsidRPr="00C03C66">
        <w:rPr>
          <w:i/>
          <w:iCs/>
        </w:rPr>
        <w:t xml:space="preserve">C.s.r. </w:t>
      </w:r>
      <w:r>
        <w:t xml:space="preserve">pour en retirer l’exigence des motifs raisonnables </w:t>
      </w:r>
      <w:r w:rsidRPr="00741482">
        <w:t>de croire qu'une infraction a été commise</w:t>
      </w:r>
      <w:r>
        <w:t xml:space="preserve">, et ce, à peine </w:t>
      </w:r>
      <w:r w:rsidR="00D45606">
        <w:t>six</w:t>
      </w:r>
      <w:r>
        <w:t xml:space="preserve"> mois après le prononcé de l’arrêt </w:t>
      </w:r>
      <w:r w:rsidRPr="00C03C66">
        <w:rPr>
          <w:i/>
          <w:iCs/>
        </w:rPr>
        <w:t>Ladouceur</w:t>
      </w:r>
      <w:r w:rsidR="003E587D" w:rsidRPr="006E0A51">
        <w:rPr>
          <w:rStyle w:val="Appelnotedebasdep"/>
        </w:rPr>
        <w:footnoteReference w:id="155"/>
      </w:r>
      <w:r w:rsidRPr="00C03C66">
        <w:rPr>
          <w:i/>
          <w:iCs/>
        </w:rPr>
        <w:t>.</w:t>
      </w:r>
      <w:r>
        <w:t xml:space="preserve"> Les débats parlementaires entourant la modification font précisément référence à cet arrêt</w:t>
      </w:r>
      <w:r>
        <w:rPr>
          <w:rStyle w:val="Appelnotedebasdep"/>
        </w:rPr>
        <w:footnoteReference w:id="156"/>
      </w:r>
      <w:r>
        <w:t xml:space="preserve">. Renvoyant à ces </w:t>
      </w:r>
      <w:r w:rsidR="00BC1422">
        <w:t xml:space="preserve">débats </w:t>
      </w:r>
      <w:r>
        <w:t xml:space="preserve">et aux arrêts </w:t>
      </w:r>
      <w:r w:rsidRPr="00C03C66">
        <w:rPr>
          <w:i/>
          <w:iCs/>
        </w:rPr>
        <w:t xml:space="preserve">Hufsky </w:t>
      </w:r>
      <w:r>
        <w:t xml:space="preserve">et </w:t>
      </w:r>
      <w:r w:rsidRPr="00C03C66">
        <w:rPr>
          <w:i/>
          <w:iCs/>
        </w:rPr>
        <w:t>Ladouceur,</w:t>
      </w:r>
      <w:r>
        <w:t xml:space="preserve"> le juge de première instance cerne correctement l’objectif de la </w:t>
      </w:r>
      <w:r w:rsidR="00BC1422">
        <w:t>disposition </w:t>
      </w:r>
      <w:r>
        <w:t>:</w:t>
      </w:r>
    </w:p>
    <w:p w14:paraId="48E6BB16" w14:textId="3B2A9C9F" w:rsidR="00211F21" w:rsidRDefault="00211F21" w:rsidP="00313C8F">
      <w:pPr>
        <w:pStyle w:val="Citationenretrait"/>
        <w:rPr>
          <w:rFonts w:cs="Arial"/>
          <w:i/>
          <w:iCs/>
        </w:rPr>
      </w:pPr>
      <w:bookmarkStart w:id="92" w:name="_Hlk172297032"/>
      <w:r>
        <w:t>[692]</w:t>
      </w:r>
      <w:r w:rsidR="00E23169">
        <w:tab/>
      </w:r>
      <w:r w:rsidRPr="0093436B">
        <w:t xml:space="preserve">Assurer la sécurité routière, réduire le nombre d’infractions et d’accidents graves de la route, diminuer le nombre de décès reliés à ces derniers, réduire les coûts d’indemnisation des assureurs publics ou privés, combattre l’intoxication au volant qui représente encore aujourd’hui une cause importante d’accidents de la route </w:t>
      </w:r>
      <w:bookmarkEnd w:id="92"/>
      <w:r w:rsidRPr="0093436B">
        <w:rPr>
          <w:rFonts w:cs="Arial"/>
        </w:rPr>
        <w:t>[…].</w:t>
      </w:r>
    </w:p>
    <w:p w14:paraId="56A4270A" w14:textId="77777777" w:rsidR="00211F21" w:rsidRDefault="00211F21" w:rsidP="00FB0B43">
      <w:pPr>
        <w:pStyle w:val="Paragraphe"/>
        <w:spacing w:line="280" w:lineRule="exact"/>
      </w:pPr>
      <w:bookmarkStart w:id="93" w:name="_Hlk159417420"/>
      <w:r>
        <w:t xml:space="preserve">Au Québec, de 2015 à 2019, les accidents attribuables à l’alcool </w:t>
      </w:r>
      <w:r w:rsidRPr="00313C8F">
        <w:t>ont</w:t>
      </w:r>
      <w:r>
        <w:t xml:space="preserve"> causé en moyenne 85 décès et 220 blessés graves annuellement</w:t>
      </w:r>
      <w:r>
        <w:rPr>
          <w:rStyle w:val="Appelnotedebasdep"/>
        </w:rPr>
        <w:footnoteReference w:id="157"/>
      </w:r>
      <w:r>
        <w:t xml:space="preserve">. Il est parfaitement légitime que le législateur se dote de moyens pour enrayer les comportements routiers problématiques. </w:t>
      </w:r>
    </w:p>
    <w:p w14:paraId="727A819F" w14:textId="1AD4AF59" w:rsidR="00211F21" w:rsidRDefault="00211F21" w:rsidP="00FB0B43">
      <w:pPr>
        <w:pStyle w:val="Paragraphe"/>
        <w:spacing w:line="280" w:lineRule="exact"/>
      </w:pPr>
      <w:r>
        <w:t xml:space="preserve">La jurisprudence confirme par ailleurs que la </w:t>
      </w:r>
      <w:r w:rsidRPr="00313C8F">
        <w:t>sécurité</w:t>
      </w:r>
      <w:r>
        <w:t xml:space="preserve"> routière</w:t>
      </w:r>
      <w:r>
        <w:rPr>
          <w:rStyle w:val="Appelnotedebasdep"/>
        </w:rPr>
        <w:footnoteReference w:id="158"/>
      </w:r>
      <w:r>
        <w:t>, la lutte contre l’alcool au volant</w:t>
      </w:r>
      <w:r>
        <w:rPr>
          <w:rStyle w:val="Appelnotedebasdep"/>
        </w:rPr>
        <w:footnoteReference w:id="159"/>
      </w:r>
      <w:r>
        <w:t xml:space="preserve"> et l’intégrité du système de délivrance de permis</w:t>
      </w:r>
      <w:r>
        <w:rPr>
          <w:rStyle w:val="Appelnotedebasdep"/>
        </w:rPr>
        <w:footnoteReference w:id="160"/>
      </w:r>
      <w:r>
        <w:t xml:space="preserve"> sont des objectifs </w:t>
      </w:r>
      <w:r w:rsidR="00C04470">
        <w:t xml:space="preserve">urgents </w:t>
      </w:r>
      <w:r>
        <w:t xml:space="preserve">et </w:t>
      </w:r>
      <w:r w:rsidR="00C04470">
        <w:t>réels</w:t>
      </w:r>
      <w:r>
        <w:rPr>
          <w:rStyle w:val="Appelnotedebasdep"/>
        </w:rPr>
        <w:footnoteReference w:id="161"/>
      </w:r>
      <w:r>
        <w:t xml:space="preserve">. </w:t>
      </w:r>
      <w:bookmarkEnd w:id="93"/>
      <w:r>
        <w:t>Il est</w:t>
      </w:r>
      <w:r w:rsidR="00E37DF5">
        <w:t xml:space="preserve"> donc</w:t>
      </w:r>
      <w:r>
        <w:t xml:space="preserve"> sans contredit que l’objectif de l’art. 636 </w:t>
      </w:r>
      <w:r w:rsidRPr="004672A5">
        <w:rPr>
          <w:i/>
          <w:iCs/>
        </w:rPr>
        <w:t>C.s.r.</w:t>
      </w:r>
      <w:r>
        <w:t xml:space="preserve"> est lui aussi urgent</w:t>
      </w:r>
      <w:r w:rsidR="00F82DC8">
        <w:t xml:space="preserve"> et réel</w:t>
      </w:r>
      <w:r>
        <w:t>.</w:t>
      </w:r>
    </w:p>
    <w:p w14:paraId="00A72D09" w14:textId="6235A0EE" w:rsidR="00211F21" w:rsidRPr="00AE72D4" w:rsidRDefault="00211F21" w:rsidP="00FB0B43">
      <w:pPr>
        <w:pStyle w:val="Titre4"/>
      </w:pPr>
      <w:bookmarkStart w:id="94" w:name="_Toc180397471"/>
      <w:r>
        <w:t>Lien rationnel</w:t>
      </w:r>
      <w:bookmarkEnd w:id="94"/>
    </w:p>
    <w:p w14:paraId="7C4C0389" w14:textId="684F58CB" w:rsidR="002B3938" w:rsidRPr="008F3D6A" w:rsidRDefault="00211F21" w:rsidP="00FB0B43">
      <w:pPr>
        <w:pStyle w:val="Paragraphe"/>
        <w:spacing w:line="280" w:lineRule="exact"/>
      </w:pPr>
      <w:r w:rsidRPr="008F3D6A">
        <w:t>Quant au critère du lien rationnel, il «</w:t>
      </w:r>
      <w:bookmarkStart w:id="95" w:name="_Hlk172466760"/>
      <w:r w:rsidR="00313C8F" w:rsidRPr="008F3D6A">
        <w:t> </w:t>
      </w:r>
      <w:r w:rsidRPr="008F3D6A">
        <w:t>consiste à déterminer si, pour le législateur, la disposition représente un moyen rationnel d’atteindre son objectif</w:t>
      </w:r>
      <w:bookmarkEnd w:id="95"/>
      <w:r w:rsidR="00313C8F" w:rsidRPr="008F3D6A">
        <w:t> </w:t>
      </w:r>
      <w:r w:rsidRPr="008F3D6A">
        <w:t>»</w:t>
      </w:r>
      <w:r w:rsidRPr="008F3D6A">
        <w:rPr>
          <w:rStyle w:val="Appelnotedebasdep"/>
        </w:rPr>
        <w:footnoteReference w:id="162"/>
      </w:r>
      <w:r w:rsidRPr="008F3D6A">
        <w:t>. Le critère applicable ne requiert « que l’existence d’</w:t>
      </w:r>
      <w:r w:rsidRPr="008F3D6A">
        <w:rPr>
          <w:i/>
          <w:iCs/>
        </w:rPr>
        <w:t>un</w:t>
      </w:r>
      <w:r w:rsidRPr="008F3D6A">
        <w:t xml:space="preserve"> lien rationnel et non une parfaite correspondance</w:t>
      </w:r>
      <w:r w:rsidR="00DD2852" w:rsidRPr="008F3D6A">
        <w:t> </w:t>
      </w:r>
      <w:r w:rsidRPr="008F3D6A">
        <w:t>»</w:t>
      </w:r>
      <w:r w:rsidRPr="008F3D6A">
        <w:rPr>
          <w:rStyle w:val="Appelnotedebasdep"/>
        </w:rPr>
        <w:footnoteReference w:id="163"/>
      </w:r>
      <w:r w:rsidRPr="008F3D6A">
        <w:t>.</w:t>
      </w:r>
    </w:p>
    <w:p w14:paraId="28777243" w14:textId="6D07EBD0" w:rsidR="00211F21" w:rsidRDefault="00211F21" w:rsidP="00FB0B43">
      <w:pPr>
        <w:pStyle w:val="Paragraphe"/>
        <w:spacing w:line="280" w:lineRule="exact"/>
      </w:pPr>
      <w:r>
        <w:t xml:space="preserve">L’analyse </w:t>
      </w:r>
      <w:r w:rsidR="00015C88">
        <w:t xml:space="preserve">commande </w:t>
      </w:r>
      <w:r>
        <w:t>«</w:t>
      </w:r>
      <w:r w:rsidR="00DD2852">
        <w:t> </w:t>
      </w:r>
      <w:r w:rsidRPr="00DF0BF9">
        <w:t>une certaine déférence</w:t>
      </w:r>
      <w:r>
        <w:t> »</w:t>
      </w:r>
      <w:r w:rsidRPr="00DF0BF9">
        <w:t xml:space="preserve"> </w:t>
      </w:r>
      <w:r w:rsidR="00E37DF5">
        <w:t>envers le</w:t>
      </w:r>
      <w:r w:rsidR="00E37DF5" w:rsidRPr="00DF0BF9">
        <w:t xml:space="preserve"> </w:t>
      </w:r>
      <w:r w:rsidRPr="00DF0BF9">
        <w:t xml:space="preserve">législateur </w:t>
      </w:r>
      <w:r>
        <w:t>face aux moyens choisis afin de faire progresser</w:t>
      </w:r>
      <w:r w:rsidRPr="00DF0BF9">
        <w:t xml:space="preserve"> un intérêt pressant de l’État</w:t>
      </w:r>
      <w:r>
        <w:rPr>
          <w:rStyle w:val="Appelnotedebasdep"/>
        </w:rPr>
        <w:footnoteReference w:id="164"/>
      </w:r>
      <w:r>
        <w:t xml:space="preserve">. Dans l’arrêt </w:t>
      </w:r>
      <w:r w:rsidRPr="00391801">
        <w:rPr>
          <w:i/>
          <w:iCs/>
        </w:rPr>
        <w:t>RJR</w:t>
      </w:r>
      <w:r w:rsidR="00D23C81" w:rsidRPr="00391801">
        <w:rPr>
          <w:i/>
          <w:iCs/>
        </w:rPr>
        <w:noBreakHyphen/>
      </w:r>
      <w:r w:rsidRPr="00391801">
        <w:rPr>
          <w:i/>
          <w:iCs/>
        </w:rPr>
        <w:t>MacDonald</w:t>
      </w:r>
      <w:r w:rsidR="00DD2852">
        <w:rPr>
          <w:i/>
          <w:iCs/>
        </w:rPr>
        <w:t xml:space="preserve"> </w:t>
      </w:r>
      <w:r w:rsidR="00DD2852" w:rsidRPr="006A1FC7">
        <w:rPr>
          <w:i/>
          <w:iCs/>
        </w:rPr>
        <w:t>Inc.</w:t>
      </w:r>
      <w:r w:rsidR="00DD2852">
        <w:rPr>
          <w:i/>
          <w:iCs/>
        </w:rPr>
        <w:t xml:space="preserve"> </w:t>
      </w:r>
      <w:r w:rsidR="00DD2852" w:rsidRPr="006A1FC7">
        <w:rPr>
          <w:i/>
          <w:iCs/>
        </w:rPr>
        <w:t>c.</w:t>
      </w:r>
      <w:r w:rsidR="00DD2852">
        <w:rPr>
          <w:i/>
          <w:iCs/>
        </w:rPr>
        <w:t xml:space="preserve"> </w:t>
      </w:r>
      <w:r w:rsidR="00DD2852" w:rsidRPr="006A1FC7">
        <w:rPr>
          <w:i/>
          <w:iCs/>
        </w:rPr>
        <w:t>Canada (Procureur général)</w:t>
      </w:r>
      <w:r>
        <w:t>, une majorité de la Cour suprême souligne d’ailleurs que cette déférence s’impose tout particulièrement lorsqu’une loi vise à modifier un comportement au sein de la société :</w:t>
      </w:r>
    </w:p>
    <w:p w14:paraId="09672C77" w14:textId="1355AAEA" w:rsidR="00211F21" w:rsidRPr="006A7565" w:rsidRDefault="00211F21" w:rsidP="00F11F05">
      <w:pPr>
        <w:pStyle w:val="Citationenretrait"/>
        <w:rPr>
          <w:i/>
          <w:iCs/>
        </w:rPr>
      </w:pPr>
      <w:r w:rsidRPr="008F3D6A">
        <w:rPr>
          <w:rFonts w:cs="Arial"/>
        </w:rPr>
        <w:t>[154]</w:t>
      </w:r>
      <w:r w:rsidR="00F11F05" w:rsidRPr="008F3D6A">
        <w:rPr>
          <w:rFonts w:cs="Arial"/>
          <w:i/>
          <w:iCs/>
        </w:rPr>
        <w:tab/>
      </w:r>
      <w:r w:rsidR="00AA77D6" w:rsidRPr="008F3D6A">
        <w:rPr>
          <w:rFonts w:cs="Arial"/>
        </w:rPr>
        <w:t xml:space="preserve">[…] </w:t>
      </w:r>
      <w:r w:rsidRPr="008F3D6A">
        <w:t>Par contre, dans les cas où une loi vise une modification du comportement humain, comme dans le cas de la</w:t>
      </w:r>
      <w:r w:rsidR="00F11F05" w:rsidRPr="008F3D6A">
        <w:t xml:space="preserve"> </w:t>
      </w:r>
      <w:r w:rsidRPr="008F3D6A">
        <w:rPr>
          <w:i/>
          <w:iCs/>
        </w:rPr>
        <w:t>Loi réglementant les produits du tabac</w:t>
      </w:r>
      <w:r w:rsidRPr="008F3D6A">
        <w:t>, le lien causal pourrait bien ne pas être mesurable du point de vue scientifique. Dans ces cas, notre Cour s'est montrée disposée à reconnaître l'existence d'un lien causal entre la violation et l'avantage recherché sur le fondement de la raison ou de la logique, sans insister sur la nécessité d'une preuve directe de lien entre la mesure attentatoire et l'objectif législatif</w:t>
      </w:r>
      <w:r w:rsidR="002B3938" w:rsidRPr="008F3D6A">
        <w:t> </w:t>
      </w:r>
      <w:r w:rsidRPr="008F3D6A">
        <w:t>:</w:t>
      </w:r>
      <w:r w:rsidR="00F11F05" w:rsidRPr="008F3D6A">
        <w:t xml:space="preserve"> </w:t>
      </w:r>
      <w:r w:rsidRPr="008F3D6A">
        <w:rPr>
          <w:i/>
          <w:iCs/>
        </w:rPr>
        <w:t>R. c. Keegstra</w:t>
      </w:r>
      <w:r w:rsidRPr="008F3D6A">
        <w:t>,</w:t>
      </w:r>
      <w:r w:rsidR="00F11F05" w:rsidRPr="008F3D6A">
        <w:t xml:space="preserve"> </w:t>
      </w:r>
      <w:r w:rsidR="00E23169" w:rsidRPr="008F3D6A">
        <w:t>[</w:t>
      </w:r>
      <w:r w:rsidRPr="008F3D6A">
        <w:t>1990] 3 R.C.S. 697, aux pp.</w:t>
      </w:r>
      <w:r w:rsidR="00F11F05" w:rsidRPr="008F3D6A">
        <w:t xml:space="preserve"> </w:t>
      </w:r>
      <w:r w:rsidRPr="008F3D6A">
        <w:t>768 et 777;</w:t>
      </w:r>
      <w:r w:rsidR="00F11F05" w:rsidRPr="008F3D6A">
        <w:t xml:space="preserve"> </w:t>
      </w:r>
      <w:r w:rsidRPr="008F3D6A">
        <w:rPr>
          <w:i/>
          <w:iCs/>
        </w:rPr>
        <w:t>R. c. Butler</w:t>
      </w:r>
      <w:r w:rsidRPr="008F3D6A">
        <w:t>,</w:t>
      </w:r>
      <w:r w:rsidR="00F11F05" w:rsidRPr="008F3D6A">
        <w:t xml:space="preserve"> </w:t>
      </w:r>
      <w:r w:rsidRPr="008F3D6A">
        <w:t>[1992] 1 R.C.S. 452, à la p.</w:t>
      </w:r>
      <w:r w:rsidR="00883B2A" w:rsidRPr="008F3D6A">
        <w:t> </w:t>
      </w:r>
      <w:r w:rsidRPr="008F3D6A">
        <w:t>503.</w:t>
      </w:r>
      <w:r w:rsidR="007A3AA0">
        <w:t xml:space="preserve"> </w:t>
      </w:r>
      <w:r w:rsidR="00883B2A" w:rsidRPr="008F3D6A">
        <w:t>[…]</w:t>
      </w:r>
      <w:r w:rsidR="00E31069" w:rsidRPr="006A7565">
        <w:rPr>
          <w:rStyle w:val="Appelnotedebasdep"/>
          <w:szCs w:val="22"/>
        </w:rPr>
        <w:footnoteReference w:id="165"/>
      </w:r>
    </w:p>
    <w:p w14:paraId="59946A14" w14:textId="4B85A1E6" w:rsidR="002B3938" w:rsidRDefault="002B3938" w:rsidP="00FB0B43">
      <w:pPr>
        <w:pStyle w:val="Paragraphe"/>
        <w:spacing w:line="280" w:lineRule="exact"/>
      </w:pPr>
      <w:r>
        <w:rPr>
          <w:color w:val="000000"/>
        </w:rPr>
        <w:t>Au bout du compte, le législateur doit établir « qu’il est raisonnable de supposer que la restriction peut contribuer à la réalisation de l’objectif, et non qu’elle y contribuera effectivement »</w:t>
      </w:r>
      <w:r>
        <w:rPr>
          <w:rStyle w:val="Appelnotedebasdep"/>
          <w:color w:val="000000"/>
        </w:rPr>
        <w:footnoteReference w:id="166"/>
      </w:r>
      <w:r>
        <w:rPr>
          <w:color w:val="000000"/>
        </w:rPr>
        <w:t>.</w:t>
      </w:r>
    </w:p>
    <w:p w14:paraId="56219214" w14:textId="2D29DE98" w:rsidR="00211F21" w:rsidRDefault="00211F21" w:rsidP="00FB0B43">
      <w:pPr>
        <w:pStyle w:val="Paragraphe"/>
        <w:spacing w:line="280" w:lineRule="exact"/>
      </w:pPr>
      <w:r>
        <w:t>La question en l’espèce est de déterminer si</w:t>
      </w:r>
      <w:r w:rsidRPr="00CC3491">
        <w:t xml:space="preserve"> </w:t>
      </w:r>
      <w:r>
        <w:t xml:space="preserve">le pouvoir d’interception routière sans motif requis prévu à </w:t>
      </w:r>
      <w:r w:rsidR="0007702D">
        <w:t xml:space="preserve">l’art. </w:t>
      </w:r>
      <w:r>
        <w:t xml:space="preserve">636 </w:t>
      </w:r>
      <w:r w:rsidRPr="004F6796">
        <w:rPr>
          <w:i/>
          <w:iCs/>
        </w:rPr>
        <w:t>C.s.r.</w:t>
      </w:r>
      <w:r>
        <w:t xml:space="preserve"> constitue un moyen rationnel d’assurer la sécurité routière et, plus précisément, de </w:t>
      </w:r>
      <w:r w:rsidRPr="00CC3491">
        <w:t xml:space="preserve">réduire le </w:t>
      </w:r>
      <w:r w:rsidRPr="00F11F05">
        <w:t>nombre</w:t>
      </w:r>
      <w:r>
        <w:t xml:space="preserve"> </w:t>
      </w:r>
      <w:r w:rsidRPr="00CC3491">
        <w:t xml:space="preserve">d’accidents graves de la route, </w:t>
      </w:r>
      <w:r w:rsidR="00E37DF5">
        <w:t xml:space="preserve">de </w:t>
      </w:r>
      <w:r w:rsidRPr="00CC3491">
        <w:t>diminuer le nombre de décès</w:t>
      </w:r>
      <w:r w:rsidR="00E37DF5">
        <w:t xml:space="preserve"> et de blessures</w:t>
      </w:r>
      <w:r w:rsidRPr="00CC3491">
        <w:t xml:space="preserve"> reliés à ces derniers, </w:t>
      </w:r>
      <w:r w:rsidR="00E37DF5">
        <w:t xml:space="preserve">de </w:t>
      </w:r>
      <w:r w:rsidRPr="00CC3491">
        <w:t xml:space="preserve">réduire les coûts d’indemnisation des assureurs publics ou privés </w:t>
      </w:r>
      <w:r>
        <w:t xml:space="preserve">et </w:t>
      </w:r>
      <w:r w:rsidR="00E37DF5">
        <w:t xml:space="preserve">de </w:t>
      </w:r>
      <w:r w:rsidRPr="00CC3491">
        <w:t>combattre l’intoxication au volant</w:t>
      </w:r>
      <w:r>
        <w:t>.</w:t>
      </w:r>
    </w:p>
    <w:p w14:paraId="60EDFE57" w14:textId="34CCC317" w:rsidR="00211F21" w:rsidRDefault="00211F21" w:rsidP="00FB0B43">
      <w:pPr>
        <w:pStyle w:val="Paragraphe"/>
        <w:spacing w:line="280" w:lineRule="exact"/>
      </w:pPr>
      <w:r>
        <w:t xml:space="preserve">Dans l’arrêt </w:t>
      </w:r>
      <w:r w:rsidRPr="00091F7D">
        <w:rPr>
          <w:i/>
          <w:iCs/>
        </w:rPr>
        <w:t>Ladouceur</w:t>
      </w:r>
      <w:r>
        <w:t xml:space="preserve">, le juge Cory </w:t>
      </w:r>
      <w:r w:rsidR="00E37DF5">
        <w:t xml:space="preserve">conclut </w:t>
      </w:r>
      <w:r>
        <w:t xml:space="preserve">que les </w:t>
      </w:r>
      <w:r w:rsidRPr="00F11F05">
        <w:t>interceptions</w:t>
      </w:r>
      <w:r>
        <w:t xml:space="preserve"> au hasard revêtent un lien rationnel avec la sécurité routière</w:t>
      </w:r>
      <w:r>
        <w:rPr>
          <w:rStyle w:val="Appelnotedebasdep"/>
        </w:rPr>
        <w:footnoteReference w:id="167"/>
      </w:r>
      <w:r>
        <w:t xml:space="preserve">. </w:t>
      </w:r>
      <w:r w:rsidR="00997FCA">
        <w:t>Selon lui, l</w:t>
      </w:r>
      <w:r>
        <w:t xml:space="preserve">a vérification </w:t>
      </w:r>
      <w:r w:rsidRPr="00F11F05">
        <w:t>aléatoire</w:t>
      </w:r>
      <w:r>
        <w:t xml:space="preserve"> du permis, laquelle est rendue possible par la disposition attaquée, est susceptible de dissuader les conducteurs sans permis de prendre le volant. Les policiers pourront par ailleurs intercepter ceux qui choisissent tout de même de conduire illégalement.</w:t>
      </w:r>
    </w:p>
    <w:p w14:paraId="25433583" w14:textId="158012C2" w:rsidR="00211F21" w:rsidRDefault="006E0A51" w:rsidP="00FB0B43">
      <w:pPr>
        <w:pStyle w:val="Paragraphe"/>
        <w:spacing w:line="280" w:lineRule="exact"/>
      </w:pPr>
      <w:r>
        <w:t>Dans son analyse de la justification de l’atteinte au droit garanti par l’art. 9, l</w:t>
      </w:r>
      <w:r w:rsidR="00997FCA">
        <w:t xml:space="preserve">e juge de première instance </w:t>
      </w:r>
      <w:r>
        <w:t>se dit</w:t>
      </w:r>
      <w:r w:rsidR="00997FCA">
        <w:t xml:space="preserve"> en désaccord avec cette conclusion. </w:t>
      </w:r>
      <w:r w:rsidR="00211F21">
        <w:t xml:space="preserve">Pour </w:t>
      </w:r>
      <w:r w:rsidR="00997FCA">
        <w:t>lui</w:t>
      </w:r>
      <w:r w:rsidR="00211F21">
        <w:t xml:space="preserve">, la démonstration que le moyen </w:t>
      </w:r>
      <w:r w:rsidR="00211F21" w:rsidRPr="00F11F05">
        <w:t>retenu</w:t>
      </w:r>
      <w:r w:rsidR="00211F21">
        <w:t xml:space="preserve"> par le législateur est rationnellement lié à son objet n’a pas été faite : </w:t>
      </w:r>
    </w:p>
    <w:p w14:paraId="1E689744" w14:textId="2D725998" w:rsidR="00211F21" w:rsidRDefault="00211F21" w:rsidP="00F11F05">
      <w:pPr>
        <w:pStyle w:val="Citationenretrait"/>
      </w:pPr>
      <w:r w:rsidRPr="00D062A2">
        <w:t>[693]</w:t>
      </w:r>
      <w:r w:rsidR="00F11F05" w:rsidRPr="00D062A2">
        <w:tab/>
      </w:r>
      <w:r w:rsidR="00882FA8" w:rsidRPr="00D062A2">
        <w:t xml:space="preserve">[…] </w:t>
      </w:r>
      <w:r w:rsidRPr="00D062A2">
        <w:t xml:space="preserve">Dans le présent cas, il n’y a pas de preuve particularisée démontrant le lien entre le type d’interpellation qu’autorise l’arrêt </w:t>
      </w:r>
      <w:r w:rsidRPr="00D062A2">
        <w:rPr>
          <w:i/>
          <w:iCs/>
        </w:rPr>
        <w:t xml:space="preserve">Ladouceur </w:t>
      </w:r>
      <w:r w:rsidRPr="00D062A2">
        <w:t xml:space="preserve">et la diminution progressive depuis 1990 du nombre d’accidents de la route ou d’infractions au </w:t>
      </w:r>
      <w:r w:rsidRPr="00D062A2">
        <w:rPr>
          <w:i/>
          <w:iCs/>
        </w:rPr>
        <w:t>Code de la sécurité routière</w:t>
      </w:r>
      <w:r w:rsidRPr="00D062A2">
        <w:t xml:space="preserve"> ou au </w:t>
      </w:r>
      <w:r w:rsidRPr="00D062A2">
        <w:rPr>
          <w:i/>
          <w:iCs/>
        </w:rPr>
        <w:t>Code criminel</w:t>
      </w:r>
      <w:r w:rsidRPr="00D062A2">
        <w:t xml:space="preserve">. Il n’y a pas non plus de preuve démontrant que mettre fin aux </w:t>
      </w:r>
      <w:r w:rsidRPr="00D062A2">
        <w:rPr>
          <w:i/>
          <w:iCs/>
        </w:rPr>
        <w:t>interceptions routières sans motif réel</w:t>
      </w:r>
      <w:r w:rsidRPr="00D062A2">
        <w:t xml:space="preserve"> entrainerait une remontée des accidents routiers graves liés à l’alcool, à la drogue ou à l’absence de permis de conduire</w:t>
      </w:r>
      <w:r w:rsidR="00882FA8" w:rsidRPr="00D062A2">
        <w:t>. […]</w:t>
      </w:r>
    </w:p>
    <w:p w14:paraId="4D4F00FD" w14:textId="5084A7E2" w:rsidR="00D23C81" w:rsidRPr="006A7565" w:rsidRDefault="00D23C81" w:rsidP="00D23C81">
      <w:pPr>
        <w:pStyle w:val="Citationenretrait"/>
        <w:jc w:val="right"/>
      </w:pPr>
      <w:r w:rsidRPr="00391801">
        <w:t>[Italiques dans l’original]</w:t>
      </w:r>
    </w:p>
    <w:p w14:paraId="1CD28B79" w14:textId="5E662210" w:rsidR="00211F21" w:rsidRDefault="00211F21" w:rsidP="00FB0B43">
      <w:pPr>
        <w:pStyle w:val="Paragraphe"/>
        <w:spacing w:line="280" w:lineRule="exact"/>
      </w:pPr>
      <w:r>
        <w:t xml:space="preserve">Avec égards, le juge se </w:t>
      </w:r>
      <w:r w:rsidRPr="00F11F05">
        <w:t>méprend</w:t>
      </w:r>
      <w:r>
        <w:t xml:space="preserve"> sur l’analyse du critère du lien rationnel. Ce critère est peu exigeant</w:t>
      </w:r>
      <w:r>
        <w:rPr>
          <w:rStyle w:val="Appelnotedebasdep"/>
        </w:rPr>
        <w:footnoteReference w:id="168"/>
      </w:r>
      <w:r>
        <w:t xml:space="preserve"> et </w:t>
      </w:r>
      <w:r w:rsidRPr="00D062A2">
        <w:t xml:space="preserve">n’imposait pas au PGQ le fardeau de démontrer avec précision une corrélation entre la mesure attentatoire et « le fléchissement des infractions au </w:t>
      </w:r>
      <w:r w:rsidRPr="00D062A2">
        <w:rPr>
          <w:i/>
          <w:iCs/>
        </w:rPr>
        <w:t>Code criminel</w:t>
      </w:r>
      <w:r w:rsidRPr="00D062A2">
        <w:t xml:space="preserve"> et au </w:t>
      </w:r>
      <w:r w:rsidRPr="00D062A2">
        <w:rPr>
          <w:i/>
          <w:iCs/>
        </w:rPr>
        <w:t>Code de la sécurité routière</w:t>
      </w:r>
      <w:r w:rsidRPr="00D062A2">
        <w:t> »</w:t>
      </w:r>
      <w:r w:rsidRPr="00D062A2">
        <w:rPr>
          <w:rStyle w:val="Appelnotedebasdep"/>
        </w:rPr>
        <w:footnoteReference w:id="169"/>
      </w:r>
      <w:r w:rsidRPr="00D062A2">
        <w:t>. Comme la Cour suprême</w:t>
      </w:r>
      <w:r>
        <w:t xml:space="preserve"> l’affirme dans l’arrêt </w:t>
      </w:r>
      <w:r w:rsidRPr="00D062A2">
        <w:rPr>
          <w:i/>
          <w:iCs/>
        </w:rPr>
        <w:t>Carter</w:t>
      </w:r>
      <w:r w:rsidRPr="00D062A2">
        <w:t>, «</w:t>
      </w:r>
      <w:r w:rsidR="00F11F05" w:rsidRPr="00D062A2">
        <w:t> </w:t>
      </w:r>
      <w:r w:rsidRPr="00D062A2">
        <w:t>lorsqu’une activité pose certains risques, la prohiber constitue un moyen rationnel de réduire les risques »</w:t>
      </w:r>
      <w:r w:rsidRPr="00D062A2">
        <w:rPr>
          <w:rStyle w:val="Appelnotedebasdep"/>
        </w:rPr>
        <w:footnoteReference w:id="170"/>
      </w:r>
      <w:r w:rsidRPr="00D062A2">
        <w:t>.</w:t>
      </w:r>
      <w:r>
        <w:t xml:space="preserve"> </w:t>
      </w:r>
    </w:p>
    <w:p w14:paraId="543D752D" w14:textId="57B174E5" w:rsidR="00211F21" w:rsidRDefault="001460A0" w:rsidP="00FB0B43">
      <w:pPr>
        <w:pStyle w:val="Paragraphe"/>
        <w:spacing w:line="280" w:lineRule="exact"/>
      </w:pPr>
      <w:r>
        <w:t>Par ailleurs, e</w:t>
      </w:r>
      <w:r w:rsidR="00211F21">
        <w:t>n toute logique</w:t>
      </w:r>
      <w:bookmarkStart w:id="97" w:name="_Hlk176507279"/>
      <w:r w:rsidR="00211F21">
        <w:t>,</w:t>
      </w:r>
      <w:r>
        <w:t xml:space="preserve"> l’on peut penser que</w:t>
      </w:r>
      <w:r w:rsidR="00211F21">
        <w:t xml:space="preserve"> les stratégies de </w:t>
      </w:r>
      <w:r w:rsidR="00211F21" w:rsidRPr="00F11F05">
        <w:t>détection</w:t>
      </w:r>
      <w:r w:rsidR="00211F21">
        <w:t xml:space="preserve"> de l’alcool au volant contribuent à dissuader les conducteurs téméraires de prendre le volant en situation d’intoxication</w:t>
      </w:r>
      <w:bookmarkEnd w:id="97"/>
      <w:r w:rsidR="00211F21">
        <w:rPr>
          <w:rStyle w:val="Appelnotedebasdep"/>
        </w:rPr>
        <w:footnoteReference w:id="171"/>
      </w:r>
      <w:r w:rsidR="00211F21">
        <w:t>.</w:t>
      </w:r>
    </w:p>
    <w:p w14:paraId="54C51F7B" w14:textId="520F8D2A" w:rsidR="00211F21" w:rsidRPr="00D062A2" w:rsidRDefault="00211F21" w:rsidP="00FB0B43">
      <w:pPr>
        <w:pStyle w:val="Paragraphe"/>
        <w:spacing w:line="280" w:lineRule="exact"/>
      </w:pPr>
      <w:r>
        <w:t xml:space="preserve">La Cour suprême reconnaît dans l’arrêt </w:t>
      </w:r>
      <w:r w:rsidR="00D062A2" w:rsidRPr="00D062A2">
        <w:rPr>
          <w:i/>
          <w:iCs/>
        </w:rPr>
        <w:t>R. c.</w:t>
      </w:r>
      <w:r w:rsidR="00D062A2">
        <w:t xml:space="preserve"> </w:t>
      </w:r>
      <w:r>
        <w:rPr>
          <w:i/>
          <w:iCs/>
        </w:rPr>
        <w:t>Brown</w:t>
      </w:r>
      <w:r w:rsidR="00031AD6">
        <w:rPr>
          <w:rStyle w:val="Appelnotedebasdep"/>
        </w:rPr>
        <w:footnoteReference w:id="172"/>
      </w:r>
      <w:r>
        <w:rPr>
          <w:i/>
          <w:iCs/>
        </w:rPr>
        <w:t xml:space="preserve"> </w:t>
      </w:r>
      <w:r>
        <w:t xml:space="preserve">que la </w:t>
      </w:r>
      <w:r w:rsidRPr="00F11F05">
        <w:t>dissuasion</w:t>
      </w:r>
      <w:r>
        <w:t xml:space="preserve"> est susceptible de permettre l’établissement d’un lien rationnel entre le moyen et l’objectif d’une mesure attentatoire, et ce, même si l’efficacité de cette dissuasion est limitée. Dans cette affaire, il était question de la constitutionnalité de </w:t>
      </w:r>
      <w:r w:rsidR="0007702D">
        <w:t xml:space="preserve">l’art. </w:t>
      </w:r>
      <w:r>
        <w:t>33.1</w:t>
      </w:r>
      <w:r w:rsidR="000C60C8">
        <w:t xml:space="preserve"> </w:t>
      </w:r>
      <w:r w:rsidR="000C60C8" w:rsidRPr="000C60C8">
        <w:rPr>
          <w:i/>
          <w:iCs/>
        </w:rPr>
        <w:t>C.cr.</w:t>
      </w:r>
      <w:r w:rsidRPr="000C60C8">
        <w:t>,</w:t>
      </w:r>
      <w:r>
        <w:rPr>
          <w:i/>
          <w:iCs/>
        </w:rPr>
        <w:t xml:space="preserve"> </w:t>
      </w:r>
      <w:r>
        <w:t>lequel avait pour effet d’exclure l’intoxication volontaire s’apparentant à l’automatisme comme moyen de défense face à des accusations d’infractions violentes lorsque l’accusé s’écart</w:t>
      </w:r>
      <w:r w:rsidR="0007702D">
        <w:t>ait</w:t>
      </w:r>
      <w:r>
        <w:t xml:space="preserve"> de façon marquée </w:t>
      </w:r>
      <w:r w:rsidR="000C61E2">
        <w:t xml:space="preserve">de la </w:t>
      </w:r>
      <w:r>
        <w:t>norme de diligence raisonnable</w:t>
      </w:r>
      <w:r w:rsidR="000C61E2">
        <w:t xml:space="preserve"> énoncée au par. 33.1(2)</w:t>
      </w:r>
      <w:r>
        <w:rPr>
          <w:rStyle w:val="Appelnotedebasdep"/>
        </w:rPr>
        <w:footnoteReference w:id="173"/>
      </w:r>
      <w:r>
        <w:t xml:space="preserve">. Concluant que </w:t>
      </w:r>
      <w:r w:rsidR="00866B49">
        <w:t>l’art. 33.1 </w:t>
      </w:r>
      <w:r w:rsidR="00866B49" w:rsidRPr="00866B49">
        <w:rPr>
          <w:i/>
          <w:iCs/>
        </w:rPr>
        <w:t>C.cr</w:t>
      </w:r>
      <w:r w:rsidR="00866B49">
        <w:t>.</w:t>
      </w:r>
      <w:r>
        <w:t xml:space="preserve"> porte atteinte </w:t>
      </w:r>
      <w:r w:rsidR="000C60C8">
        <w:t>à l’art. </w:t>
      </w:r>
      <w:r>
        <w:t xml:space="preserve">7 et </w:t>
      </w:r>
      <w:r w:rsidR="000C60C8">
        <w:t>à l’al. </w:t>
      </w:r>
      <w:r>
        <w:t>11</w:t>
      </w:r>
      <w:r w:rsidRPr="000C61E2">
        <w:rPr>
          <w:i/>
          <w:iCs/>
        </w:rPr>
        <w:t>d</w:t>
      </w:r>
      <w:r>
        <w:t xml:space="preserve">) de la </w:t>
      </w:r>
      <w:r>
        <w:rPr>
          <w:i/>
          <w:iCs/>
        </w:rPr>
        <w:t xml:space="preserve">Charte, </w:t>
      </w:r>
      <w:r>
        <w:t>la Cour se penche sur le critère du lien rationnel</w:t>
      </w:r>
      <w:r w:rsidR="00EA5877">
        <w:t>,</w:t>
      </w:r>
      <w:r>
        <w:t xml:space="preserve"> qu’elle résume ainsi : </w:t>
      </w:r>
      <w:r w:rsidRPr="00D062A2">
        <w:t>«</w:t>
      </w:r>
      <w:r w:rsidR="000C61E2" w:rsidRPr="00D062A2">
        <w:t> [i]</w:t>
      </w:r>
      <w:r w:rsidRPr="00D062A2">
        <w:t xml:space="preserve">l doit y avoir </w:t>
      </w:r>
      <w:r w:rsidR="0007702D" w:rsidRPr="005C628E">
        <w:rPr>
          <w:rFonts w:cs="Arial"/>
          <w:color w:val="000000"/>
        </w:rPr>
        <w:t>“</w:t>
      </w:r>
      <w:r w:rsidRPr="00D062A2">
        <w:t>un lien causal, fondé sur la raison ou la logique, entre la violation et l’avantage recherché</w:t>
      </w:r>
      <w:r w:rsidR="0007702D" w:rsidRPr="005C628E">
        <w:rPr>
          <w:rFonts w:cs="Arial"/>
          <w:color w:val="000000"/>
        </w:rPr>
        <w:t>”</w:t>
      </w:r>
      <w:r w:rsidR="006E0A51" w:rsidRPr="00D062A2">
        <w:rPr>
          <w:rFonts w:cs="Arial"/>
        </w:rPr>
        <w:t> </w:t>
      </w:r>
      <w:r w:rsidRPr="00D062A2">
        <w:t>»</w:t>
      </w:r>
      <w:r w:rsidRPr="00D062A2">
        <w:rPr>
          <w:rStyle w:val="Appelnotedebasdep"/>
        </w:rPr>
        <w:footnoteReference w:id="174"/>
      </w:r>
      <w:r w:rsidRPr="00D062A2">
        <w:t>. La Cour applique ensuite ce critère :</w:t>
      </w:r>
    </w:p>
    <w:p w14:paraId="29558D3F" w14:textId="6E26B3CA" w:rsidR="00211F21" w:rsidRPr="00D062A2" w:rsidRDefault="00211F21" w:rsidP="00F11F05">
      <w:pPr>
        <w:pStyle w:val="Citationenretrait"/>
        <w:rPr>
          <w:i/>
          <w:iCs/>
        </w:rPr>
      </w:pPr>
      <w:r w:rsidRPr="007A3AA0">
        <w:t>[131]</w:t>
      </w:r>
      <w:r w:rsidR="00F11F05" w:rsidRPr="00D062A2">
        <w:tab/>
      </w:r>
      <w:r w:rsidRPr="00D062A2">
        <w:rPr>
          <w:u w:val="single"/>
        </w:rPr>
        <w:t>Je reconnais la critique du juge Paciocco selon laquelle l’art. 33.1 ne produit pas d’effet dissuasif significatif</w:t>
      </w:r>
      <w:r w:rsidRPr="00D062A2">
        <w:t xml:space="preserve"> appuyant l’objectif de protection visé par le Parlement. Dans l’arrêt </w:t>
      </w:r>
      <w:r w:rsidRPr="00D062A2">
        <w:rPr>
          <w:i/>
          <w:iCs/>
        </w:rPr>
        <w:t>Sullivan</w:t>
      </w:r>
      <w:r w:rsidRPr="00D062A2">
        <w:t>, le juge Paciocco écrit que, [</w:t>
      </w:r>
      <w:r w:rsidRPr="00D062A2">
        <w:rPr>
          <w:smallCaps/>
        </w:rPr>
        <w:t>traduction</w:t>
      </w:r>
      <w:r w:rsidRPr="00D062A2">
        <w:t>] «</w:t>
      </w:r>
      <w:r w:rsidR="007A3AA0">
        <w:t> </w:t>
      </w:r>
      <w:r w:rsidRPr="00D062A2">
        <w:t>[p]our être efficace, la dissuasion exige que l’on puisse prévoir [...] des conséquences pénales » (par.</w:t>
      </w:r>
      <w:r w:rsidR="00BD4E52">
        <w:t xml:space="preserve"> </w:t>
      </w:r>
      <w:r w:rsidRPr="00D062A2">
        <w:t>121). [</w:t>
      </w:r>
      <w:r w:rsidRPr="00D062A2">
        <w:rPr>
          <w:smallCaps/>
        </w:rPr>
        <w:t>traduction</w:t>
      </w:r>
      <w:r w:rsidRPr="00D062A2">
        <w:t>] «</w:t>
      </w:r>
      <w:r w:rsidR="00BD4E52">
        <w:t> </w:t>
      </w:r>
      <w:r w:rsidRPr="00D062A2">
        <w:t>Je ne suis pas convaincu</w:t>
      </w:r>
      <w:r w:rsidR="00BD4E52">
        <w:t> </w:t>
      </w:r>
      <w:r w:rsidRPr="00D062A2">
        <w:t>», poursuit</w:t>
      </w:r>
      <w:r w:rsidRPr="00D062A2">
        <w:rPr>
          <w:rFonts w:ascii="Cambria Math" w:hAnsi="Cambria Math" w:cs="Cambria Math"/>
        </w:rPr>
        <w:t>‑</w:t>
      </w:r>
      <w:r w:rsidRPr="00D062A2">
        <w:t xml:space="preserve">il, </w:t>
      </w:r>
      <w:r w:rsidRPr="00D062A2">
        <w:rPr>
          <w:rFonts w:cs="Arial"/>
        </w:rPr>
        <w:t>«</w:t>
      </w:r>
      <w:r w:rsidRPr="00D062A2">
        <w:t> qu</w:t>
      </w:r>
      <w:r w:rsidRPr="00D062A2">
        <w:rPr>
          <w:rFonts w:cs="Arial"/>
        </w:rPr>
        <w:t>’</w:t>
      </w:r>
      <w:r w:rsidRPr="00D062A2">
        <w:t>une personne raisonnable anticiperait le risque que, en s</w:t>
      </w:r>
      <w:r w:rsidRPr="00D062A2">
        <w:rPr>
          <w:rFonts w:cs="Arial"/>
        </w:rPr>
        <w:t>’</w:t>
      </w:r>
      <w:r w:rsidRPr="00D062A2">
        <w:t>intoxiquant volontairement, elle puisse se retrouver dans un état d’automatisme et commettre involontairement un acte violent</w:t>
      </w:r>
      <w:r w:rsidR="00BD4E52">
        <w:t> </w:t>
      </w:r>
      <w:r w:rsidRPr="00D062A2">
        <w:t>» (</w:t>
      </w:r>
      <w:r w:rsidRPr="00D062A2">
        <w:rPr>
          <w:i/>
          <w:iCs/>
        </w:rPr>
        <w:t>ibid</w:t>
      </w:r>
      <w:r w:rsidRPr="00D062A2">
        <w:t>.).</w:t>
      </w:r>
    </w:p>
    <w:p w14:paraId="52188260" w14:textId="02949D33" w:rsidR="00211F21" w:rsidRPr="00D062A2" w:rsidRDefault="00211F21" w:rsidP="00F11F05">
      <w:pPr>
        <w:pStyle w:val="Citationenretrait"/>
        <w:rPr>
          <w:i/>
          <w:iCs/>
          <w:u w:val="single"/>
        </w:rPr>
      </w:pPr>
      <w:r w:rsidRPr="00D062A2">
        <w:t>[132]</w:t>
      </w:r>
      <w:r w:rsidR="00F11F05" w:rsidRPr="00D062A2">
        <w:rPr>
          <w:i/>
          <w:iCs/>
        </w:rPr>
        <w:tab/>
      </w:r>
      <w:r w:rsidRPr="00D062A2">
        <w:t xml:space="preserve">[…] Il est raisonnable que le Parlement s’attende à ce </w:t>
      </w:r>
      <w:r w:rsidRPr="00D062A2">
        <w:rPr>
          <w:u w:val="single"/>
        </w:rPr>
        <w:t>que cette disposition ait un modeste effet dissuasif</w:t>
      </w:r>
      <w:r w:rsidRPr="00D062A2">
        <w:t xml:space="preserve"> sur ces individus. Cet effet dissuasif agit «</w:t>
      </w:r>
      <w:r w:rsidR="00E23169" w:rsidRPr="00D062A2">
        <w:t> </w:t>
      </w:r>
      <w:r w:rsidRPr="00D062A2">
        <w:t>en amont</w:t>
      </w:r>
      <w:r w:rsidR="00E23169" w:rsidRPr="00D062A2">
        <w:t> </w:t>
      </w:r>
      <w:r w:rsidRPr="00D062A2">
        <w:t xml:space="preserve">», comme l’écrit le professeur Parent (p. 187), en dissuadant ceux qui envisagent de s’intoxiquer à un degré aussi extrême. </w:t>
      </w:r>
      <w:r w:rsidRPr="00D062A2">
        <w:rPr>
          <w:u w:val="single"/>
        </w:rPr>
        <w:t>En conséquence, il existe un lien rationnel entre l’art. 33.1 et son objectif de protection</w:t>
      </w:r>
      <w:r w:rsidRPr="00FB0B43">
        <w:t>.</w:t>
      </w:r>
      <w:r w:rsidR="00013FC2">
        <w:rPr>
          <w:rStyle w:val="Appelnotedebasdep"/>
        </w:rPr>
        <w:footnoteReference w:id="175"/>
      </w:r>
    </w:p>
    <w:p w14:paraId="114E8A93" w14:textId="19497575" w:rsidR="00211F21" w:rsidRDefault="00211F21" w:rsidP="003A14E5">
      <w:pPr>
        <w:pStyle w:val="Citationenretrait"/>
        <w:spacing w:before="0"/>
        <w:jc w:val="right"/>
        <w:rPr>
          <w:i/>
          <w:iCs/>
        </w:rPr>
      </w:pPr>
      <w:r w:rsidRPr="00D062A2">
        <w:t>[Soulignements ajoutés]</w:t>
      </w:r>
    </w:p>
    <w:p w14:paraId="50488AE8" w14:textId="631FA54B" w:rsidR="00211F21" w:rsidRDefault="00211F21" w:rsidP="00FB0B43">
      <w:pPr>
        <w:pStyle w:val="Paragraphe"/>
        <w:spacing w:line="280" w:lineRule="exact"/>
      </w:pPr>
      <w:r>
        <w:t xml:space="preserve">Par ailleurs, bien que la preuve d’un fléchissement des </w:t>
      </w:r>
      <w:r w:rsidRPr="00F11F05">
        <w:t>infractions</w:t>
      </w:r>
      <w:r>
        <w:t xml:space="preserve"> en matière de conduite </w:t>
      </w:r>
      <w:r w:rsidR="00AC55BE">
        <w:t xml:space="preserve">avec les facultés </w:t>
      </w:r>
      <w:r>
        <w:t>affaiblie</w:t>
      </w:r>
      <w:r w:rsidR="00AC55BE">
        <w:t>s</w:t>
      </w:r>
      <w:r>
        <w:t xml:space="preserve"> puisse servir à démontrer l’existence d’un lien rationnel, l’absence d’une telle preuve n’est pas décisive. En effet, un fléchissement des infractions routières pourrait également vouloir dire que le pouvoir policier ne permet pas une détection efficace et qu’il ne contribue en conséquence que peu ou pas à l’accomplissement de l’objectif législatif. L’expertise </w:t>
      </w:r>
      <w:r w:rsidRPr="00C87EC1">
        <w:t xml:space="preserve">de </w:t>
      </w:r>
      <w:r w:rsidR="00C03C66" w:rsidRPr="00C87EC1">
        <w:t>Mme</w:t>
      </w:r>
      <w:r w:rsidRPr="00C87EC1">
        <w:t xml:space="preserve"> Sylvestre souligne la complexité se rattachant à l’évaluation du caractère dissuasif des</w:t>
      </w:r>
      <w:r w:rsidRPr="00C87EC1">
        <w:rPr>
          <w:i/>
          <w:iCs/>
        </w:rPr>
        <w:t xml:space="preserve"> </w:t>
      </w:r>
      <w:r w:rsidR="00484BF3">
        <w:t>interceptions</w:t>
      </w:r>
      <w:r w:rsidR="00A00B4A">
        <w:t xml:space="preserve"> routières</w:t>
      </w:r>
      <w:r w:rsidR="0007702D">
        <w:t xml:space="preserve">, car </w:t>
      </w:r>
      <w:r w:rsidRPr="00C87EC1">
        <w:t>il est difficile d’isoler la variable pertinente</w:t>
      </w:r>
      <w:r w:rsidRPr="00C87EC1">
        <w:rPr>
          <w:rStyle w:val="Appelnotedebasdep"/>
        </w:rPr>
        <w:footnoteReference w:id="176"/>
      </w:r>
      <w:r w:rsidRPr="00C87EC1">
        <w:t xml:space="preserve">. </w:t>
      </w:r>
      <w:r w:rsidR="00FB614F">
        <w:t>I</w:t>
      </w:r>
      <w:r w:rsidR="00163E84">
        <w:t>l demeure néanmoins logique</w:t>
      </w:r>
      <w:r w:rsidRPr="00C87EC1">
        <w:rPr>
          <w:i/>
          <w:iCs/>
        </w:rPr>
        <w:t xml:space="preserve"> </w:t>
      </w:r>
      <w:r w:rsidRPr="00C87EC1">
        <w:t xml:space="preserve">de penser que les stratégies de détection de l’alcool au volant contribuent à dissuader les conducteurs téméraires de prendre le volant </w:t>
      </w:r>
      <w:r w:rsidR="00F34FF4">
        <w:t>lorsque leur</w:t>
      </w:r>
      <w:r w:rsidR="0007702D">
        <w:t>s facultés sont</w:t>
      </w:r>
      <w:r w:rsidR="00F34FF4">
        <w:t xml:space="preserve"> affaiblie</w:t>
      </w:r>
      <w:r w:rsidR="0007702D">
        <w:t>s</w:t>
      </w:r>
      <w:r w:rsidRPr="00C87EC1">
        <w:t>, tel que le sou</w:t>
      </w:r>
      <w:r w:rsidR="0007702D">
        <w:t>tient</w:t>
      </w:r>
      <w:r w:rsidRPr="00C87EC1">
        <w:t xml:space="preserve"> l’expert</w:t>
      </w:r>
      <w:r>
        <w:t xml:space="preserve"> Beirness</w:t>
      </w:r>
      <w:r>
        <w:rPr>
          <w:rStyle w:val="Appelnotedebasdep"/>
        </w:rPr>
        <w:footnoteReference w:id="177"/>
      </w:r>
      <w:r>
        <w:t xml:space="preserve">. </w:t>
      </w:r>
    </w:p>
    <w:p w14:paraId="0A05CBE3" w14:textId="49F91B1B" w:rsidR="00211F21" w:rsidRDefault="00211F21" w:rsidP="00571F09">
      <w:pPr>
        <w:pStyle w:val="Paragraphe"/>
        <w:spacing w:line="280" w:lineRule="exact"/>
      </w:pPr>
      <w:r>
        <w:t xml:space="preserve">Ajoutons que le pouvoir d’interception aléatoire vise non seulement à détecter </w:t>
      </w:r>
      <w:r w:rsidR="00341795">
        <w:t>l</w:t>
      </w:r>
      <w:r>
        <w:t xml:space="preserve">es conducteurs en état d’ébriété, mais également </w:t>
      </w:r>
      <w:r w:rsidR="00341795">
        <w:t>l</w:t>
      </w:r>
      <w:r>
        <w:t xml:space="preserve">es conducteurs sans permis ou assurance valides ainsi que </w:t>
      </w:r>
      <w:r w:rsidR="00341795">
        <w:t>l</w:t>
      </w:r>
      <w:r>
        <w:t xml:space="preserve">es véhicules en mauvais état mécanique. En toute logique, chaque interception susceptible de mener à une telle détection contribue à assurer la sécurité routière. </w:t>
      </w:r>
    </w:p>
    <w:p w14:paraId="1B6B82A2" w14:textId="051255EA" w:rsidR="00211F21" w:rsidRPr="00147C3A" w:rsidRDefault="00341795" w:rsidP="00571F09">
      <w:pPr>
        <w:pStyle w:val="Paragraphe"/>
        <w:spacing w:line="280" w:lineRule="exact"/>
      </w:pPr>
      <w:r>
        <w:t>Par conséquent,</w:t>
      </w:r>
      <w:r w:rsidR="00211F21">
        <w:t xml:space="preserve"> </w:t>
      </w:r>
      <w:r>
        <w:t>l</w:t>
      </w:r>
      <w:r w:rsidR="00211F21">
        <w:t>a Cour est d’avis</w:t>
      </w:r>
      <w:r w:rsidR="00211F21" w:rsidRPr="00B258C0">
        <w:t xml:space="preserve"> </w:t>
      </w:r>
      <w:r w:rsidR="00211F21">
        <w:t>que</w:t>
      </w:r>
      <w:r w:rsidR="00211F21" w:rsidRPr="000A3255">
        <w:t xml:space="preserve"> l</w:t>
      </w:r>
      <w:r w:rsidR="00211F21">
        <w:t>e pouvoir d’interception sans motif requis</w:t>
      </w:r>
      <w:r w:rsidR="00211F21" w:rsidRPr="000A3255">
        <w:t xml:space="preserve"> </w:t>
      </w:r>
      <w:r w:rsidR="005D7ED9" w:rsidRPr="00F11F05">
        <w:t>constitue</w:t>
      </w:r>
      <w:r w:rsidR="00211F21" w:rsidRPr="000A3255">
        <w:t xml:space="preserve"> un moyen rationnel d</w:t>
      </w:r>
      <w:r w:rsidR="00211F21">
        <w:t xml:space="preserve">e contribuer à l’objectif législatif de sécurité routière. </w:t>
      </w:r>
    </w:p>
    <w:p w14:paraId="067F390D" w14:textId="138197B3" w:rsidR="00211F21" w:rsidRPr="00FC6D0C" w:rsidRDefault="00211F21" w:rsidP="00571F09">
      <w:pPr>
        <w:pStyle w:val="Titre4"/>
      </w:pPr>
      <w:bookmarkStart w:id="98" w:name="_Toc180397472"/>
      <w:r w:rsidRPr="00FC6D0C">
        <w:t>Atteinte minimale</w:t>
      </w:r>
      <w:bookmarkEnd w:id="98"/>
      <w:r w:rsidRPr="00FC6D0C">
        <w:t xml:space="preserve"> </w:t>
      </w:r>
    </w:p>
    <w:p w14:paraId="59BC640A" w14:textId="441257CC" w:rsidR="00211F21" w:rsidRDefault="00D23C81" w:rsidP="00571F09">
      <w:pPr>
        <w:pStyle w:val="Paragraphe"/>
        <w:spacing w:line="280" w:lineRule="exact"/>
      </w:pPr>
      <w:r w:rsidRPr="00391801">
        <w:t>Le</w:t>
      </w:r>
      <w:r w:rsidR="00211F21" w:rsidRPr="00391801">
        <w:t xml:space="preserve"> critère de l’atteinte minimal</w:t>
      </w:r>
      <w:r w:rsidRPr="00391801">
        <w:t xml:space="preserve">e consiste à </w:t>
      </w:r>
      <w:r w:rsidR="00211F21" w:rsidRPr="00391801">
        <w:t>déterminer s’il existe des moyens moins</w:t>
      </w:r>
      <w:r w:rsidR="00211F21" w:rsidRPr="00D062A2">
        <w:t xml:space="preserve"> attentatoires d’atteindre l’objectif législatif «</w:t>
      </w:r>
      <w:r w:rsidR="00621E73" w:rsidRPr="00D062A2">
        <w:t> </w:t>
      </w:r>
      <w:r w:rsidR="00211F21" w:rsidRPr="00D062A2">
        <w:t>de façon réelle et substantielle »</w:t>
      </w:r>
      <w:r w:rsidR="00211F21" w:rsidRPr="00D062A2">
        <w:rPr>
          <w:rStyle w:val="Appelnotedebasdep"/>
        </w:rPr>
        <w:footnoteReference w:id="178"/>
      </w:r>
      <w:r w:rsidR="00211F21" w:rsidRPr="00D062A2">
        <w:t xml:space="preserve"> et </w:t>
      </w:r>
      <w:r w:rsidR="00211F21" w:rsidRPr="00D062A2">
        <w:rPr>
          <w:kern w:val="0"/>
        </w:rPr>
        <w:t>si « la restriction du droit est raisonnablement adaptée à l’objectif »</w:t>
      </w:r>
      <w:r w:rsidR="00211F21" w:rsidRPr="00D062A2">
        <w:rPr>
          <w:rStyle w:val="Appelnotedebasdep"/>
          <w:kern w:val="0"/>
        </w:rPr>
        <w:footnoteReference w:id="179"/>
      </w:r>
      <w:r w:rsidR="00211F21" w:rsidRPr="00D062A2">
        <w:rPr>
          <w:kern w:val="0"/>
        </w:rPr>
        <w:t xml:space="preserve">. </w:t>
      </w:r>
      <w:r w:rsidR="00211F21" w:rsidRPr="00D062A2">
        <w:t xml:space="preserve">Il s’agit d’une étape cruciale dans l’analyse </w:t>
      </w:r>
      <w:r w:rsidR="0007702D">
        <w:t xml:space="preserve">effectuée au regard </w:t>
      </w:r>
      <w:r w:rsidR="00211F21" w:rsidRPr="00D062A2">
        <w:t xml:space="preserve">de l’article premier de la </w:t>
      </w:r>
      <w:r w:rsidR="00211F21" w:rsidRPr="00D062A2">
        <w:rPr>
          <w:i/>
          <w:iCs/>
        </w:rPr>
        <w:t>Charte</w:t>
      </w:r>
      <w:r w:rsidR="00211F21" w:rsidRPr="00D062A2">
        <w:t xml:space="preserve">. En effet, ce critère est déterminant dans une proportion significative – voire dans la majorité – des litiges en matière de </w:t>
      </w:r>
      <w:r w:rsidR="00211F21" w:rsidRPr="00D062A2">
        <w:rPr>
          <w:i/>
          <w:iCs/>
        </w:rPr>
        <w:t xml:space="preserve">Charte </w:t>
      </w:r>
      <w:r w:rsidR="00211F21" w:rsidRPr="00D062A2">
        <w:t>où une règle de droit est invalidée</w:t>
      </w:r>
      <w:r w:rsidR="00211F21" w:rsidRPr="00D062A2">
        <w:rPr>
          <w:rStyle w:val="Appelnotedebasdep"/>
        </w:rPr>
        <w:footnoteReference w:id="180"/>
      </w:r>
      <w:r w:rsidR="00211F21" w:rsidRPr="00D062A2">
        <w:t>.</w:t>
      </w:r>
      <w:r w:rsidR="00211F21">
        <w:t xml:space="preserve"> </w:t>
      </w:r>
    </w:p>
    <w:p w14:paraId="2B56B5F1" w14:textId="68B87DBF" w:rsidR="00211F21" w:rsidRPr="007C28D2" w:rsidRDefault="00211F21" w:rsidP="00571F09">
      <w:pPr>
        <w:pStyle w:val="Paragraphe"/>
        <w:spacing w:line="280" w:lineRule="exact"/>
      </w:pPr>
      <w:r>
        <w:t>Bien que</w:t>
      </w:r>
      <w:r w:rsidRPr="00E05CC1">
        <w:t xml:space="preserve"> le gouvernement ne soit pas tenu</w:t>
      </w:r>
      <w:r>
        <w:t xml:space="preserve"> </w:t>
      </w:r>
      <w:r w:rsidRPr="00E05CC1">
        <w:t xml:space="preserve">de </w:t>
      </w:r>
      <w:r w:rsidRPr="00F11F05">
        <w:t>recourir</w:t>
      </w:r>
      <w:r w:rsidRPr="00E05CC1">
        <w:t xml:space="preserve"> au </w:t>
      </w:r>
      <w:r w:rsidRPr="00C87EC1">
        <w:t>moyen le moins attentatoire possible pour réaliser son objectif</w:t>
      </w:r>
      <w:r w:rsidRPr="00C87EC1">
        <w:rPr>
          <w:rStyle w:val="Appelnotedebasdep"/>
        </w:rPr>
        <w:footnoteReference w:id="181"/>
      </w:r>
      <w:r w:rsidRPr="00C87EC1">
        <w:t xml:space="preserve">, il </w:t>
      </w:r>
      <w:r w:rsidR="00D42317">
        <w:t xml:space="preserve">lui </w:t>
      </w:r>
      <w:r w:rsidRPr="00C87EC1">
        <w:t>incombe tout de même de démontrer que le moyen utilisé pour atteindre l’objectif de sécurité routière est nécessaire</w:t>
      </w:r>
      <w:r>
        <w:t xml:space="preserve"> et que l’atteinte aux droits constitutionnels est minimale</w:t>
      </w:r>
      <w:r>
        <w:rPr>
          <w:rStyle w:val="Appelnotedebasdep"/>
        </w:rPr>
        <w:footnoteReference w:id="182"/>
      </w:r>
      <w:r>
        <w:t xml:space="preserve">. Or, </w:t>
      </w:r>
      <w:r w:rsidR="00D42317">
        <w:t>en l’espèce, le PGQ</w:t>
      </w:r>
      <w:r>
        <w:t xml:space="preserve"> ne présente aucun argument </w:t>
      </w:r>
      <w:r w:rsidR="003E0827">
        <w:t xml:space="preserve">ni aucune preuve </w:t>
      </w:r>
      <w:r>
        <w:t xml:space="preserve">sur l’atteinte minimale, </w:t>
      </w:r>
      <w:r w:rsidR="003F500C">
        <w:t xml:space="preserve">que ce soit </w:t>
      </w:r>
      <w:r>
        <w:t>dans sa dé</w:t>
      </w:r>
      <w:r w:rsidRPr="007C28D2">
        <w:t>claration d’appel, dans son mémoire d’appel</w:t>
      </w:r>
      <w:r w:rsidR="003F500C" w:rsidRPr="007C28D2">
        <w:t xml:space="preserve"> ou </w:t>
      </w:r>
      <w:r w:rsidRPr="007C28D2">
        <w:t>à l’audience.</w:t>
      </w:r>
      <w:bookmarkStart w:id="99" w:name="_Hlk159511128"/>
    </w:p>
    <w:p w14:paraId="388E9E04" w14:textId="511B02D2" w:rsidR="00211F21" w:rsidRPr="007C28D2" w:rsidRDefault="00211F21" w:rsidP="00571F09">
      <w:pPr>
        <w:pStyle w:val="Paragraphe"/>
        <w:spacing w:line="280" w:lineRule="exact"/>
        <w:rPr>
          <w:szCs w:val="24"/>
        </w:rPr>
      </w:pPr>
      <w:r w:rsidRPr="007C28D2">
        <w:rPr>
          <w:szCs w:val="24"/>
        </w:rPr>
        <w:t xml:space="preserve">Le PGQ s’en remet essentiellement aux conclusions de la majorité de la Cour suprême dans </w:t>
      </w:r>
      <w:r w:rsidRPr="007C28D2">
        <w:rPr>
          <w:i/>
          <w:iCs/>
          <w:szCs w:val="24"/>
        </w:rPr>
        <w:t>Ladouceur</w:t>
      </w:r>
      <w:r w:rsidRPr="007C28D2">
        <w:rPr>
          <w:szCs w:val="24"/>
        </w:rPr>
        <w:t xml:space="preserve"> selon lesquelles </w:t>
      </w:r>
      <w:r w:rsidR="00E90AE6" w:rsidRPr="007C28D2">
        <w:rPr>
          <w:szCs w:val="24"/>
        </w:rPr>
        <w:t xml:space="preserve">(1) </w:t>
      </w:r>
      <w:r w:rsidRPr="007C28D2">
        <w:rPr>
          <w:szCs w:val="24"/>
        </w:rPr>
        <w:t>l’interception des véhicules constitue «</w:t>
      </w:r>
      <w:r w:rsidR="00F11F05" w:rsidRPr="007C28D2">
        <w:rPr>
          <w:szCs w:val="24"/>
        </w:rPr>
        <w:t> </w:t>
      </w:r>
      <w:r w:rsidRPr="007C28D2">
        <w:rPr>
          <w:szCs w:val="24"/>
        </w:rPr>
        <w:t>la seule façon de vérifier le permis de conduire et l</w:t>
      </w:r>
      <w:r w:rsidR="00E90AE6" w:rsidRPr="007C28D2">
        <w:rPr>
          <w:szCs w:val="24"/>
        </w:rPr>
        <w:t>’</w:t>
      </w:r>
      <w:r w:rsidRPr="007C28D2">
        <w:rPr>
          <w:szCs w:val="24"/>
        </w:rPr>
        <w:t>assurance d</w:t>
      </w:r>
      <w:r w:rsidR="00E90AE6" w:rsidRPr="007C28D2">
        <w:rPr>
          <w:szCs w:val="24"/>
        </w:rPr>
        <w:t>’</w:t>
      </w:r>
      <w:r w:rsidRPr="007C28D2">
        <w:rPr>
          <w:szCs w:val="24"/>
        </w:rPr>
        <w:t>un conducteur, l</w:t>
      </w:r>
      <w:r w:rsidR="00E90AE6" w:rsidRPr="007C28D2">
        <w:rPr>
          <w:szCs w:val="24"/>
        </w:rPr>
        <w:t>’</w:t>
      </w:r>
      <w:r w:rsidRPr="007C28D2">
        <w:rPr>
          <w:szCs w:val="24"/>
        </w:rPr>
        <w:t>état mécanique d</w:t>
      </w:r>
      <w:r w:rsidR="00E90AE6" w:rsidRPr="007C28D2">
        <w:rPr>
          <w:szCs w:val="24"/>
        </w:rPr>
        <w:t>’</w:t>
      </w:r>
      <w:r w:rsidRPr="007C28D2">
        <w:rPr>
          <w:szCs w:val="24"/>
        </w:rPr>
        <w:t>un véhicule ou la sobriété d</w:t>
      </w:r>
      <w:r w:rsidR="00E90AE6" w:rsidRPr="007C28D2">
        <w:rPr>
          <w:szCs w:val="24"/>
        </w:rPr>
        <w:t>’</w:t>
      </w:r>
      <w:r w:rsidRPr="007C28D2">
        <w:rPr>
          <w:szCs w:val="24"/>
        </w:rPr>
        <w:t>un conducteur</w:t>
      </w:r>
      <w:r w:rsidR="00F11F05" w:rsidRPr="007C28D2">
        <w:rPr>
          <w:szCs w:val="24"/>
        </w:rPr>
        <w:t> </w:t>
      </w:r>
      <w:r w:rsidRPr="007C28D2">
        <w:rPr>
          <w:szCs w:val="24"/>
        </w:rPr>
        <w:t>»</w:t>
      </w:r>
      <w:r w:rsidRPr="007C28D2">
        <w:rPr>
          <w:rStyle w:val="Appelnotedebasdep"/>
          <w:szCs w:val="24"/>
        </w:rPr>
        <w:footnoteReference w:id="183"/>
      </w:r>
      <w:r w:rsidR="00E90AE6" w:rsidRPr="007C28D2">
        <w:rPr>
          <w:szCs w:val="24"/>
        </w:rPr>
        <w:t>;</w:t>
      </w:r>
      <w:r w:rsidRPr="007C28D2">
        <w:rPr>
          <w:szCs w:val="24"/>
        </w:rPr>
        <w:t xml:space="preserve"> et </w:t>
      </w:r>
      <w:r w:rsidR="00E90AE6" w:rsidRPr="007C28D2">
        <w:rPr>
          <w:szCs w:val="24"/>
        </w:rPr>
        <w:t>(2)</w:t>
      </w:r>
      <w:r w:rsidR="007A3AA0">
        <w:rPr>
          <w:szCs w:val="24"/>
        </w:rPr>
        <w:t> </w:t>
      </w:r>
      <w:r w:rsidRPr="007C28D2">
        <w:rPr>
          <w:szCs w:val="24"/>
        </w:rPr>
        <w:t>seules les interceptions effectuées «</w:t>
      </w:r>
      <w:r w:rsidR="008B7F3F" w:rsidRPr="007C28D2">
        <w:rPr>
          <w:szCs w:val="24"/>
        </w:rPr>
        <w:t> </w:t>
      </w:r>
      <w:r w:rsidRPr="007C28D2">
        <w:rPr>
          <w:szCs w:val="24"/>
        </w:rPr>
        <w:t>au hasard</w:t>
      </w:r>
      <w:r w:rsidR="008B7F3F" w:rsidRPr="007C28D2">
        <w:rPr>
          <w:szCs w:val="24"/>
        </w:rPr>
        <w:t> </w:t>
      </w:r>
      <w:r w:rsidRPr="007C28D2">
        <w:rPr>
          <w:szCs w:val="24"/>
        </w:rPr>
        <w:t xml:space="preserve">» font naître un véritable risque de détection des conducteurs sans permis et permettent donc de les </w:t>
      </w:r>
      <w:r w:rsidR="00E90AE6" w:rsidRPr="007C28D2">
        <w:rPr>
          <w:szCs w:val="24"/>
        </w:rPr>
        <w:t xml:space="preserve">garder </w:t>
      </w:r>
      <w:r w:rsidRPr="007C28D2">
        <w:rPr>
          <w:szCs w:val="24"/>
        </w:rPr>
        <w:t>hors de la route</w:t>
      </w:r>
      <w:r w:rsidRPr="007C28D2">
        <w:rPr>
          <w:rStyle w:val="Appelnotedebasdep"/>
          <w:szCs w:val="24"/>
        </w:rPr>
        <w:footnoteReference w:id="184"/>
      </w:r>
      <w:r w:rsidRPr="007C28D2">
        <w:rPr>
          <w:szCs w:val="24"/>
        </w:rPr>
        <w:t xml:space="preserve">. Également, dans l’arrêt </w:t>
      </w:r>
      <w:r w:rsidRPr="007C28D2">
        <w:rPr>
          <w:i/>
          <w:iCs/>
          <w:szCs w:val="24"/>
        </w:rPr>
        <w:t>Ladouceur,</w:t>
      </w:r>
      <w:r w:rsidRPr="007C28D2">
        <w:rPr>
          <w:szCs w:val="24"/>
        </w:rPr>
        <w:t xml:space="preserve"> le juge Cory note que les interceptions effectuées dans le cadre d’un programme structuré – tel qu’un barrage routier – ne dissuaderaient pas les conducteurs avec autant d’acuité qu’un pouvoir d’interception «</w:t>
      </w:r>
      <w:r w:rsidR="00E90AE6" w:rsidRPr="007C28D2">
        <w:rPr>
          <w:szCs w:val="24"/>
        </w:rPr>
        <w:t> </w:t>
      </w:r>
      <w:r w:rsidRPr="007C28D2">
        <w:rPr>
          <w:szCs w:val="24"/>
        </w:rPr>
        <w:t>au hasard</w:t>
      </w:r>
      <w:r w:rsidR="00E90AE6" w:rsidRPr="007C28D2">
        <w:rPr>
          <w:szCs w:val="24"/>
        </w:rPr>
        <w:t> </w:t>
      </w:r>
      <w:r w:rsidRPr="007C28D2">
        <w:rPr>
          <w:szCs w:val="24"/>
        </w:rPr>
        <w:t>» puisqu’un barrage est souvent visible de loin et s’effectue à des endroits connus, ce qui permet</w:t>
      </w:r>
      <w:r w:rsidR="00E90AE6" w:rsidRPr="007C28D2">
        <w:rPr>
          <w:szCs w:val="24"/>
        </w:rPr>
        <w:t>trait</w:t>
      </w:r>
      <w:r w:rsidRPr="007C28D2">
        <w:rPr>
          <w:szCs w:val="24"/>
        </w:rPr>
        <w:t xml:space="preserve"> aux conducteurs téméraires d’y échapper</w:t>
      </w:r>
      <w:r w:rsidRPr="007C28D2">
        <w:rPr>
          <w:rStyle w:val="Appelnotedebasdep"/>
          <w:szCs w:val="24"/>
        </w:rPr>
        <w:footnoteReference w:id="185"/>
      </w:r>
      <w:r w:rsidRPr="007C28D2">
        <w:rPr>
          <w:szCs w:val="24"/>
        </w:rPr>
        <w:t xml:space="preserve">. De plus, </w:t>
      </w:r>
      <w:r w:rsidR="003F500C" w:rsidRPr="007C28D2">
        <w:rPr>
          <w:szCs w:val="24"/>
        </w:rPr>
        <w:t>selon lui</w:t>
      </w:r>
      <w:r w:rsidRPr="007C28D2">
        <w:rPr>
          <w:szCs w:val="24"/>
        </w:rPr>
        <w:t xml:space="preserve">, il serait plus difficile d’implanter des programmes structurés </w:t>
      </w:r>
      <w:r w:rsidR="00625D60" w:rsidRPr="007C28D2">
        <w:rPr>
          <w:szCs w:val="24"/>
        </w:rPr>
        <w:t xml:space="preserve">efficaces </w:t>
      </w:r>
      <w:r w:rsidR="004B2DB4">
        <w:rPr>
          <w:szCs w:val="24"/>
        </w:rPr>
        <w:t>dans les</w:t>
      </w:r>
      <w:r w:rsidR="004B2DB4" w:rsidRPr="007C28D2">
        <w:rPr>
          <w:szCs w:val="24"/>
        </w:rPr>
        <w:t xml:space="preserve"> </w:t>
      </w:r>
      <w:r w:rsidRPr="007C28D2">
        <w:rPr>
          <w:szCs w:val="24"/>
        </w:rPr>
        <w:t>régions rurales</w:t>
      </w:r>
      <w:r w:rsidRPr="007C28D2">
        <w:rPr>
          <w:rStyle w:val="Appelnotedebasdep"/>
          <w:szCs w:val="24"/>
        </w:rPr>
        <w:footnoteReference w:id="186"/>
      </w:r>
      <w:r w:rsidRPr="007C28D2">
        <w:rPr>
          <w:szCs w:val="24"/>
        </w:rPr>
        <w:t>. Enfin, un pouvoir d’interception ne pouvant être utilisé qu’en présence de motifs précis ne revêtirait pas le même caractère dissuasif</w:t>
      </w:r>
      <w:r w:rsidRPr="007C28D2">
        <w:rPr>
          <w:rStyle w:val="Appelnotedebasdep"/>
          <w:szCs w:val="24"/>
        </w:rPr>
        <w:footnoteReference w:id="187"/>
      </w:r>
      <w:r w:rsidRPr="007C28D2">
        <w:rPr>
          <w:szCs w:val="24"/>
        </w:rPr>
        <w:t xml:space="preserve">. </w:t>
      </w:r>
      <w:bookmarkEnd w:id="99"/>
    </w:p>
    <w:p w14:paraId="5250D386" w14:textId="0411607A" w:rsidR="00211F21" w:rsidRPr="00AE35D5" w:rsidRDefault="00211F21" w:rsidP="00571F09">
      <w:pPr>
        <w:pStyle w:val="Paragraphe"/>
        <w:spacing w:line="280" w:lineRule="exact"/>
        <w:rPr>
          <w:szCs w:val="24"/>
        </w:rPr>
      </w:pPr>
      <w:r w:rsidRPr="00AE35D5">
        <w:rPr>
          <w:szCs w:val="24"/>
        </w:rPr>
        <w:t>Ces considérations ne peuvent plus être retenues aujourd’hui. Comme expliqué ci-haut</w:t>
      </w:r>
      <w:r w:rsidRPr="00AE35D5">
        <w:rPr>
          <w:rStyle w:val="Appelnotedebasdep"/>
          <w:szCs w:val="24"/>
        </w:rPr>
        <w:footnoteReference w:id="188"/>
      </w:r>
      <w:r w:rsidRPr="00AE35D5">
        <w:rPr>
          <w:szCs w:val="24"/>
        </w:rPr>
        <w:t xml:space="preserve">, la preuve déposée en première instance en lien avec le profilage racial oblige la Cour à réexaminer les conclusions de l’arrêt </w:t>
      </w:r>
      <w:r w:rsidRPr="00AE35D5">
        <w:rPr>
          <w:i/>
          <w:iCs/>
          <w:szCs w:val="24"/>
        </w:rPr>
        <w:t>Ladouceur</w:t>
      </w:r>
      <w:r w:rsidRPr="00AE35D5">
        <w:rPr>
          <w:szCs w:val="24"/>
        </w:rPr>
        <w:t xml:space="preserve">. Notamment, contrairement à ce qu’affirmait à l’époque le juge Cory, on ne peut plus considérer que </w:t>
      </w:r>
      <w:r w:rsidR="00491FE8">
        <w:rPr>
          <w:szCs w:val="24"/>
        </w:rPr>
        <w:t>l</w:t>
      </w:r>
      <w:r w:rsidRPr="00AE35D5">
        <w:rPr>
          <w:szCs w:val="24"/>
        </w:rPr>
        <w:t>es interceptions</w:t>
      </w:r>
      <w:r w:rsidR="00491FE8">
        <w:rPr>
          <w:szCs w:val="24"/>
        </w:rPr>
        <w:t xml:space="preserve"> routières sans motif requis</w:t>
      </w:r>
      <w:r w:rsidRPr="00AE35D5">
        <w:rPr>
          <w:szCs w:val="24"/>
        </w:rPr>
        <w:t xml:space="preserve"> sont « relativement brèves »</w:t>
      </w:r>
      <w:r w:rsidRPr="00AE35D5">
        <w:rPr>
          <w:color w:val="000000"/>
          <w:spacing w:val="-3"/>
          <w:szCs w:val="24"/>
        </w:rPr>
        <w:t xml:space="preserve"> et que « </w:t>
      </w:r>
      <w:r w:rsidR="002B385A" w:rsidRPr="00AE35D5">
        <w:rPr>
          <w:color w:val="000000"/>
          <w:spacing w:val="-3"/>
          <w:szCs w:val="24"/>
        </w:rPr>
        <w:t>[</w:t>
      </w:r>
      <w:r w:rsidRPr="00AE35D5">
        <w:rPr>
          <w:color w:val="000000"/>
          <w:spacing w:val="-3"/>
          <w:szCs w:val="24"/>
        </w:rPr>
        <w:t>l</w:t>
      </w:r>
      <w:r w:rsidR="0007702D">
        <w:rPr>
          <w:color w:val="000000"/>
          <w:spacing w:val="-3"/>
          <w:szCs w:val="24"/>
        </w:rPr>
        <w:t>’</w:t>
      </w:r>
      <w:r w:rsidR="002B385A" w:rsidRPr="00AE35D5">
        <w:rPr>
          <w:color w:val="000000"/>
          <w:spacing w:val="-3"/>
          <w:szCs w:val="24"/>
        </w:rPr>
        <w:t>]</w:t>
      </w:r>
      <w:r w:rsidRPr="00AE35D5">
        <w:rPr>
          <w:color w:val="000000"/>
          <w:spacing w:val="-3"/>
          <w:szCs w:val="24"/>
        </w:rPr>
        <w:t>inconvénient causé au conducteur est minime »</w:t>
      </w:r>
      <w:r w:rsidRPr="00AE35D5">
        <w:rPr>
          <w:rStyle w:val="Appelnotedebasdep"/>
          <w:szCs w:val="24"/>
        </w:rPr>
        <w:footnoteReference w:id="189"/>
      </w:r>
      <w:r w:rsidR="00DA64A9" w:rsidRPr="00AE35D5">
        <w:rPr>
          <w:color w:val="000000"/>
          <w:spacing w:val="-3"/>
          <w:szCs w:val="24"/>
        </w:rPr>
        <w:t>, de sorte qu</w:t>
      </w:r>
      <w:r w:rsidR="0048051D" w:rsidRPr="00AE35D5">
        <w:rPr>
          <w:color w:val="000000"/>
          <w:spacing w:val="-3"/>
          <w:szCs w:val="24"/>
        </w:rPr>
        <w:t>e la loi qui les autorise satisfait au critère de l’atteinte minimale</w:t>
      </w:r>
      <w:r w:rsidRPr="00AE35D5">
        <w:rPr>
          <w:color w:val="000000"/>
          <w:spacing w:val="-3"/>
          <w:szCs w:val="24"/>
        </w:rPr>
        <w:t>.</w:t>
      </w:r>
    </w:p>
    <w:p w14:paraId="01CF8DE1" w14:textId="466FBFE5" w:rsidR="00211F21" w:rsidRPr="008C48BF" w:rsidRDefault="0048051D" w:rsidP="00571F09">
      <w:pPr>
        <w:pStyle w:val="Paragraphe"/>
        <w:spacing w:line="280" w:lineRule="exact"/>
      </w:pPr>
      <w:r>
        <w:t>L</w:t>
      </w:r>
      <w:r w:rsidR="00211F21">
        <w:t xml:space="preserve">a possibilité d’envisager une </w:t>
      </w:r>
      <w:r w:rsidR="0007702D">
        <w:t xml:space="preserve">autre </w:t>
      </w:r>
      <w:r w:rsidR="00211F21">
        <w:t xml:space="preserve">disposition </w:t>
      </w:r>
      <w:r w:rsidR="00211F21" w:rsidRPr="00F11F05">
        <w:t>législative</w:t>
      </w:r>
      <w:r w:rsidR="00211F21">
        <w:t xml:space="preserve"> qui permettrait d’atteindre de façon </w:t>
      </w:r>
      <w:r w:rsidR="00211F21" w:rsidRPr="00272ABC">
        <w:rPr>
          <w:i/>
          <w:iCs/>
        </w:rPr>
        <w:t>substantielle</w:t>
      </w:r>
      <w:r w:rsidR="00211F21">
        <w:t xml:space="preserve"> l’objectif visé par l’art</w:t>
      </w:r>
      <w:r>
        <w:t>. </w:t>
      </w:r>
      <w:r w:rsidR="00211F21">
        <w:t>636</w:t>
      </w:r>
      <w:r>
        <w:t> </w:t>
      </w:r>
      <w:r w:rsidR="00211F21" w:rsidRPr="00C87EC1">
        <w:rPr>
          <w:i/>
          <w:iCs/>
        </w:rPr>
        <w:t>C</w:t>
      </w:r>
      <w:r w:rsidR="00C03C66" w:rsidRPr="00C87EC1">
        <w:rPr>
          <w:i/>
          <w:iCs/>
        </w:rPr>
        <w:t>.</w:t>
      </w:r>
      <w:r w:rsidR="00211F21" w:rsidRPr="00C87EC1">
        <w:rPr>
          <w:i/>
          <w:iCs/>
        </w:rPr>
        <w:t>s</w:t>
      </w:r>
      <w:r w:rsidR="00C03C66" w:rsidRPr="00C87EC1">
        <w:rPr>
          <w:i/>
          <w:iCs/>
        </w:rPr>
        <w:t>.</w:t>
      </w:r>
      <w:r w:rsidR="00211F21" w:rsidRPr="00C87EC1">
        <w:rPr>
          <w:i/>
          <w:iCs/>
        </w:rPr>
        <w:t>r</w:t>
      </w:r>
      <w:r w:rsidR="00211F21" w:rsidRPr="00C87EC1">
        <w:t>, tout en limitant le recours possible au profilage racial</w:t>
      </w:r>
      <w:r>
        <w:t>,</w:t>
      </w:r>
      <w:r w:rsidR="00211F21" w:rsidRPr="00C87EC1">
        <w:t xml:space="preserve"> démontre que l’atteinte n’est pas minimale. Soulignons qu’il n’est pas nécessaire d</w:t>
      </w:r>
      <w:r w:rsidR="0007702D">
        <w:t>e définir</w:t>
      </w:r>
      <w:r w:rsidR="00211F21" w:rsidRPr="00C87EC1">
        <w:t xml:space="preserve"> une solution de rechange qui atteindrait</w:t>
      </w:r>
      <w:r w:rsidR="00211F21">
        <w:t xml:space="preserve"> l’objectif exactement dans la même mesure que la règle de droit </w:t>
      </w:r>
      <w:r w:rsidR="00931BB2">
        <w:t>contestée</w:t>
      </w:r>
      <w:r w:rsidR="00211F21">
        <w:rPr>
          <w:rStyle w:val="Appelnotedebasdep"/>
        </w:rPr>
        <w:footnoteReference w:id="190"/>
      </w:r>
      <w:r w:rsidR="00211F21">
        <w:t>.</w:t>
      </w:r>
    </w:p>
    <w:p w14:paraId="1282AE2F" w14:textId="28853ED1" w:rsidR="00211F21" w:rsidRPr="00C87EC1" w:rsidRDefault="00211F21" w:rsidP="00571F09">
      <w:pPr>
        <w:pStyle w:val="Paragraphe"/>
        <w:spacing w:line="280" w:lineRule="exact"/>
      </w:pPr>
      <w:r>
        <w:t>E</w:t>
      </w:r>
      <w:r w:rsidRPr="009C2758">
        <w:t>n l’espèce</w:t>
      </w:r>
      <w:r>
        <w:t>,</w:t>
      </w:r>
      <w:r w:rsidRPr="00096104">
        <w:t xml:space="preserve"> </w:t>
      </w:r>
      <w:r w:rsidRPr="009C2758">
        <w:t xml:space="preserve">le juge </w:t>
      </w:r>
      <w:r>
        <w:t xml:space="preserve">conclut que la preuve administrée n’établit pas </w:t>
      </w:r>
      <w:r w:rsidR="006F476C" w:rsidRPr="00616F94">
        <w:t>l’</w:t>
      </w:r>
      <w:r w:rsidRPr="00616F94">
        <w:t>e</w:t>
      </w:r>
      <w:r>
        <w:t>fficacité</w:t>
      </w:r>
      <w:r w:rsidR="0048051D">
        <w:t xml:space="preserve"> accrue</w:t>
      </w:r>
      <w:r>
        <w:t xml:space="preserve"> </w:t>
      </w:r>
      <w:r w:rsidR="0048051D">
        <w:t xml:space="preserve">des interceptions sans motif requis par rapport aux </w:t>
      </w:r>
      <w:r>
        <w:t>barrages routiers</w:t>
      </w:r>
      <w:r w:rsidR="00C03C66" w:rsidRPr="00C87EC1">
        <w:t>.</w:t>
      </w:r>
      <w:r w:rsidRPr="00C87EC1">
        <w:t xml:space="preserve"> </w:t>
      </w:r>
      <w:r w:rsidR="00C03C66" w:rsidRPr="00C87EC1">
        <w:t>Il écrit</w:t>
      </w:r>
      <w:r w:rsidRPr="00C87EC1">
        <w:t> :</w:t>
      </w:r>
    </w:p>
    <w:p w14:paraId="3A60F274" w14:textId="7C44F072" w:rsidR="00211F21" w:rsidRPr="007C28D2" w:rsidRDefault="00211F21" w:rsidP="00F11F05">
      <w:pPr>
        <w:pStyle w:val="Citationenretrait"/>
      </w:pPr>
      <w:r w:rsidRPr="007C28D2">
        <w:t>[684]</w:t>
      </w:r>
      <w:r w:rsidR="00F11F05" w:rsidRPr="007C28D2">
        <w:rPr>
          <w:sz w:val="14"/>
          <w:szCs w:val="14"/>
        </w:rPr>
        <w:tab/>
      </w:r>
      <w:r w:rsidRPr="007C28D2">
        <w:t>La preuve de la défense ne permet pas non plus d’établir en quoi la mise en place de barrages routiers de façon systématique ne permettrait pas d’atteindre les mêmes résultats que les</w:t>
      </w:r>
      <w:r w:rsidR="00F11F05" w:rsidRPr="007C28D2">
        <w:t xml:space="preserve"> </w:t>
      </w:r>
      <w:r w:rsidRPr="007C28D2">
        <w:rPr>
          <w:i/>
          <w:iCs/>
        </w:rPr>
        <w:t>interceptions routières sans motif réel</w:t>
      </w:r>
      <w:r w:rsidRPr="007C28D2">
        <w:t>, comme le propose l’ACLC qui produit en ce sens un rapport de recherche du</w:t>
      </w:r>
      <w:r w:rsidR="00F11F05" w:rsidRPr="007C28D2">
        <w:t xml:space="preserve"> </w:t>
      </w:r>
      <w:r w:rsidRPr="007C28D2">
        <w:rPr>
          <w:i/>
          <w:iCs/>
        </w:rPr>
        <w:t>Insurance Institute for Highway Safety</w:t>
      </w:r>
      <w:r w:rsidRPr="007C28D2">
        <w:t>, basé en Virginie, et dont la conclusion principale se lit ainsi :</w:t>
      </w:r>
    </w:p>
    <w:p w14:paraId="34423185" w14:textId="77777777" w:rsidR="00211F21" w:rsidRPr="007A3AA0" w:rsidRDefault="00211F21" w:rsidP="007A3AA0">
      <w:pPr>
        <w:pStyle w:val="Citationenretrait"/>
        <w:ind w:left="1440" w:right="1442"/>
        <w:rPr>
          <w:sz w:val="20"/>
          <w:lang w:val="en-CA"/>
        </w:rPr>
      </w:pPr>
      <w:r w:rsidRPr="007A3AA0">
        <w:rPr>
          <w:sz w:val="20"/>
          <w:lang w:val="en-CA"/>
        </w:rPr>
        <w:t xml:space="preserve">This study demonstrated that a sobriety checkpoint enforcement program using only three to five police officers can be a very effective deterrent against drinking and driving in jurisdictions that are much more rural in nature. These checkpoints can be maintained over a long period of time without outside funding. Because of the simplicity and ease with which these checkpoints were conducted, police administration in the experimental communities have embraced the concept and continued the program after the conclusion of the formal research study. This is particularly important in more rural communities with fewer staff resources, but it also may be appropriate on certain roadways in more urban areas. </w:t>
      </w:r>
    </w:p>
    <w:p w14:paraId="710D6EC2" w14:textId="0CEC1154" w:rsidR="00E23169" w:rsidRPr="00E73B95" w:rsidRDefault="00E23169" w:rsidP="0048051D">
      <w:pPr>
        <w:pStyle w:val="Paragraphe"/>
        <w:numPr>
          <w:ilvl w:val="0"/>
          <w:numId w:val="0"/>
        </w:numPr>
        <w:spacing w:line="240" w:lineRule="auto"/>
        <w:ind w:left="720" w:right="720"/>
        <w:jc w:val="right"/>
        <w:rPr>
          <w:sz w:val="22"/>
          <w:szCs w:val="22"/>
        </w:rPr>
      </w:pPr>
      <w:r w:rsidRPr="00E73B95">
        <w:rPr>
          <w:sz w:val="22"/>
          <w:szCs w:val="22"/>
        </w:rPr>
        <w:t>[Renvoi omis</w:t>
      </w:r>
      <w:r w:rsidR="006C3AF7" w:rsidRPr="00E73B95">
        <w:rPr>
          <w:sz w:val="22"/>
          <w:szCs w:val="22"/>
        </w:rPr>
        <w:t>; italiques dans l’original</w:t>
      </w:r>
      <w:r w:rsidRPr="00E73B95">
        <w:rPr>
          <w:sz w:val="22"/>
          <w:szCs w:val="22"/>
        </w:rPr>
        <w:t>]</w:t>
      </w:r>
    </w:p>
    <w:p w14:paraId="476F611C" w14:textId="1FC2875B" w:rsidR="00211F21" w:rsidRPr="00FA14DC" w:rsidRDefault="0048051D" w:rsidP="00571F09">
      <w:pPr>
        <w:pStyle w:val="Paragraphe"/>
        <w:spacing w:line="280" w:lineRule="exact"/>
      </w:pPr>
      <w:r w:rsidRPr="007C28D2">
        <w:rPr>
          <w:color w:val="000000"/>
          <w:spacing w:val="-3"/>
        </w:rPr>
        <w:t xml:space="preserve">Cette conclusion du juge trouve écho dans les motifs dissidents du juge Sopinka dans l’arrêt </w:t>
      </w:r>
      <w:r w:rsidRPr="007C28D2">
        <w:rPr>
          <w:i/>
          <w:iCs/>
          <w:color w:val="000000"/>
          <w:spacing w:val="-3"/>
        </w:rPr>
        <w:t>Ladouceur</w:t>
      </w:r>
      <w:r w:rsidRPr="007C28D2">
        <w:rPr>
          <w:color w:val="000000"/>
          <w:spacing w:val="-3"/>
        </w:rPr>
        <w:t xml:space="preserve">. En effet, </w:t>
      </w:r>
      <w:r w:rsidR="0033402D" w:rsidRPr="007C28D2">
        <w:rPr>
          <w:color w:val="000000"/>
          <w:spacing w:val="-3"/>
        </w:rPr>
        <w:t>pour</w:t>
      </w:r>
      <w:r w:rsidR="00AC1899" w:rsidRPr="007C28D2">
        <w:rPr>
          <w:color w:val="000000"/>
          <w:spacing w:val="-3"/>
        </w:rPr>
        <w:t xml:space="preserve"> </w:t>
      </w:r>
      <w:r w:rsidR="00211F21" w:rsidRPr="007C28D2">
        <w:rPr>
          <w:color w:val="000000"/>
          <w:spacing w:val="-3"/>
        </w:rPr>
        <w:t xml:space="preserve">le juge Sopinka, </w:t>
      </w:r>
      <w:r w:rsidR="00211F21" w:rsidRPr="007C28D2">
        <w:t xml:space="preserve">le pouvoir absolu </w:t>
      </w:r>
      <w:r w:rsidR="00086840">
        <w:t>d’intercepter</w:t>
      </w:r>
      <w:r w:rsidR="00085219">
        <w:t xml:space="preserve"> au hasard </w:t>
      </w:r>
      <w:r w:rsidR="00086840">
        <w:t>un conducteur</w:t>
      </w:r>
      <w:r w:rsidR="00085219">
        <w:t xml:space="preserve"> au cours d’une patrouille</w:t>
      </w:r>
      <w:r w:rsidR="00E73B95">
        <w:t xml:space="preserve"> </w:t>
      </w:r>
      <w:r w:rsidR="00211F21" w:rsidRPr="007C28D2">
        <w:t>n’est pas un « ajout nécessaire aux nombreuses méthodes d’application des lois déjà disponibles</w:t>
      </w:r>
      <w:r w:rsidRPr="007C28D2">
        <w:t> »</w:t>
      </w:r>
      <w:r w:rsidR="00211F21" w:rsidRPr="007C28D2">
        <w:rPr>
          <w:rStyle w:val="Appelnotedebasdep"/>
        </w:rPr>
        <w:footnoteReference w:id="191"/>
      </w:r>
      <w:r w:rsidR="00211F21" w:rsidRPr="007C28D2">
        <w:t xml:space="preserve">. Il note que les </w:t>
      </w:r>
      <w:r w:rsidR="00211F21" w:rsidRPr="007C28D2">
        <w:rPr>
          <w:color w:val="000000"/>
          <w:spacing w:val="-3"/>
        </w:rPr>
        <w:t>programmes structurés de contrôles routiers ponctuels (</w:t>
      </w:r>
      <w:r w:rsidR="00211F21">
        <w:rPr>
          <w:color w:val="000000"/>
          <w:spacing w:val="-3"/>
        </w:rPr>
        <w:t>qui atteignent</w:t>
      </w:r>
      <w:r w:rsidR="00211F21" w:rsidRPr="00AA5C2C">
        <w:rPr>
          <w:color w:val="000000"/>
          <w:spacing w:val="-3"/>
        </w:rPr>
        <w:t xml:space="preserve"> </w:t>
      </w:r>
      <w:r w:rsidR="00211F21">
        <w:rPr>
          <w:color w:val="000000"/>
          <w:spacing w:val="-3"/>
        </w:rPr>
        <w:t>déjà, selon lui, « </w:t>
      </w:r>
      <w:r w:rsidR="000908BC">
        <w:rPr>
          <w:color w:val="000000"/>
          <w:spacing w:val="-3"/>
        </w:rPr>
        <w:t xml:space="preserve">les </w:t>
      </w:r>
      <w:r w:rsidR="00211F21">
        <w:rPr>
          <w:color w:val="000000"/>
          <w:spacing w:val="-3"/>
        </w:rPr>
        <w:t>limites extrêmes de l</w:t>
      </w:r>
      <w:r w:rsidR="002120D0">
        <w:rPr>
          <w:color w:val="000000"/>
          <w:spacing w:val="-3"/>
        </w:rPr>
        <w:t>’</w:t>
      </w:r>
      <w:r w:rsidR="00211F21">
        <w:rPr>
          <w:color w:val="000000"/>
          <w:spacing w:val="-3"/>
        </w:rPr>
        <w:t>article premier »</w:t>
      </w:r>
      <w:r w:rsidR="000908BC">
        <w:rPr>
          <w:rStyle w:val="Appelnotedebasdep"/>
          <w:color w:val="000000"/>
          <w:spacing w:val="-3"/>
        </w:rPr>
        <w:footnoteReference w:id="192"/>
      </w:r>
      <w:r>
        <w:rPr>
          <w:color w:val="000000"/>
          <w:spacing w:val="-3"/>
        </w:rPr>
        <w:t>)</w:t>
      </w:r>
      <w:r w:rsidR="00211F21">
        <w:rPr>
          <w:color w:val="000000"/>
          <w:spacing w:val="-3"/>
        </w:rPr>
        <w:t xml:space="preserve"> permettent de servir les fins de l'application de la loi tout en étant moins envahissants et moins susceptibles de donner lieu à des abus que le pouvoir absolu qu'on cherche à justifier.</w:t>
      </w:r>
      <w:r w:rsidR="00190A40">
        <w:rPr>
          <w:color w:val="000000"/>
          <w:spacing w:val="-3"/>
        </w:rPr>
        <w:t xml:space="preserve"> </w:t>
      </w:r>
      <w:r w:rsidR="00190A40" w:rsidRPr="00FA14DC">
        <w:rPr>
          <w:color w:val="000000"/>
          <w:spacing w:val="-3"/>
        </w:rPr>
        <w:t>La Cour est d’avis que le passage du temps a démontré que les craintes du juge Sopinka étaient fondées.</w:t>
      </w:r>
    </w:p>
    <w:p w14:paraId="16ED50BB" w14:textId="51CBDAC3" w:rsidR="00211F21" w:rsidRPr="00391801" w:rsidRDefault="00BA00D1" w:rsidP="00571F09">
      <w:pPr>
        <w:pStyle w:val="Paragraphe"/>
        <w:spacing w:line="280" w:lineRule="exact"/>
      </w:pPr>
      <w:r w:rsidRPr="00391801">
        <w:t xml:space="preserve">Notons par ailleurs que </w:t>
      </w:r>
      <w:r w:rsidR="00211F21" w:rsidRPr="00391801">
        <w:t>les policiers disposent aussi d’autres pouvoirs leur permettant d’intervenir auprès de conducteurs pour des considérations de sécurité routière ou publique. Par exemple, ils peuvent validement intercepter un véhicule en vertu de leur pouvoir de détention aux fins d’enquête lorsqu’ils ont des motifs raisonnables de soupçonner qu</w:t>
      </w:r>
      <w:r w:rsidRPr="00391801">
        <w:t>’un</w:t>
      </w:r>
      <w:r w:rsidR="00211F21" w:rsidRPr="00391801">
        <w:t xml:space="preserve"> conducteur est impliqué dans un crime donné et qu’il est nécessaire de le détenir</w:t>
      </w:r>
      <w:r w:rsidR="00211F21" w:rsidRPr="00391801">
        <w:rPr>
          <w:rStyle w:val="Appelnotedebasdep"/>
        </w:rPr>
        <w:footnoteReference w:id="193"/>
      </w:r>
      <w:r w:rsidR="00211F21" w:rsidRPr="00391801">
        <w:t>. La doctrine des pouvoirs accessoires issue de la common law autorise également l’interception d’un véhicule lorsque cela «</w:t>
      </w:r>
      <w:r w:rsidRPr="00391801">
        <w:t> </w:t>
      </w:r>
      <w:r w:rsidR="00211F21" w:rsidRPr="00391801">
        <w:t>est raisonnablement nécessaire eu égard à l’ensemble des circonstances »</w:t>
      </w:r>
      <w:r w:rsidR="00211F21" w:rsidRPr="00391801">
        <w:rPr>
          <w:rStyle w:val="Appelnotedebasdep"/>
        </w:rPr>
        <w:footnoteReference w:id="194"/>
      </w:r>
      <w:r w:rsidR="00211F21" w:rsidRPr="00391801">
        <w:t xml:space="preserve">. L’unique </w:t>
      </w:r>
      <w:r w:rsidRPr="00391801">
        <w:t>« </w:t>
      </w:r>
      <w:r w:rsidR="00211F21" w:rsidRPr="00391801">
        <w:t>ajout</w:t>
      </w:r>
      <w:r w:rsidRPr="00391801">
        <w:t> » de</w:t>
      </w:r>
      <w:r w:rsidR="008764FE" w:rsidRPr="00391801">
        <w:t xml:space="preserve"> </w:t>
      </w:r>
      <w:r w:rsidR="002120D0" w:rsidRPr="00391801">
        <w:t>l’art.</w:t>
      </w:r>
      <w:r w:rsidR="00C13395" w:rsidRPr="00391801">
        <w:t> </w:t>
      </w:r>
      <w:r w:rsidR="00211F21" w:rsidRPr="00391801">
        <w:t>636</w:t>
      </w:r>
      <w:r w:rsidR="00C13395" w:rsidRPr="00391801">
        <w:t> </w:t>
      </w:r>
      <w:r w:rsidR="00211F21" w:rsidRPr="00391801">
        <w:rPr>
          <w:i/>
          <w:iCs/>
        </w:rPr>
        <w:t>C.s.r.</w:t>
      </w:r>
      <w:r w:rsidR="00211F21" w:rsidRPr="00391801">
        <w:t xml:space="preserve"> est d’habiliter les </w:t>
      </w:r>
      <w:r w:rsidR="001266A2" w:rsidRPr="00391801">
        <w:t>policiers</w:t>
      </w:r>
      <w:r w:rsidR="00211F21" w:rsidRPr="00391801">
        <w:t xml:space="preserve"> à contrôler les conducteurs sans motif requis</w:t>
      </w:r>
      <w:r w:rsidR="006F476C" w:rsidRPr="00391801">
        <w:t>, en dehors d’un programme structuré</w:t>
      </w:r>
      <w:r w:rsidR="00211F21" w:rsidRPr="00391801">
        <w:rPr>
          <w:i/>
          <w:iCs/>
        </w:rPr>
        <w:t>.</w:t>
      </w:r>
      <w:r w:rsidR="00211F21" w:rsidRPr="00391801">
        <w:t xml:space="preserve"> </w:t>
      </w:r>
    </w:p>
    <w:p w14:paraId="293EDC71" w14:textId="21E393BA" w:rsidR="00211F21" w:rsidRDefault="00211F21" w:rsidP="00571F09">
      <w:pPr>
        <w:pStyle w:val="Paragraphe"/>
        <w:spacing w:line="280" w:lineRule="exact"/>
      </w:pPr>
      <w:r>
        <w:t>N’ayant offert aucune justification sur la nécessité</w:t>
      </w:r>
      <w:r w:rsidR="00F360B7">
        <w:t xml:space="preserve"> </w:t>
      </w:r>
      <w:r w:rsidR="002120D0">
        <w:t xml:space="preserve">d’octroyer </w:t>
      </w:r>
      <w:r w:rsidR="005B13B6">
        <w:t xml:space="preserve">aux policiers </w:t>
      </w:r>
      <w:r w:rsidR="002120D0">
        <w:t>un</w:t>
      </w:r>
      <w:r>
        <w:t xml:space="preserve"> pouvoir discrétionnaire presque illimité, le PGQ ne fait pas la démonstration que le juge fait erreur en concluant que d’autres stratégies pour </w:t>
      </w:r>
      <w:r w:rsidRPr="00404F0A">
        <w:t>atteindre</w:t>
      </w:r>
      <w:r>
        <w:t xml:space="preserve"> l’objectif</w:t>
      </w:r>
      <w:r w:rsidR="00D3414E">
        <w:t xml:space="preserve"> législatif</w:t>
      </w:r>
      <w:r>
        <w:t xml:space="preserve"> sont disponibles et permettent d’arriver au même résultat</w:t>
      </w:r>
      <w:r>
        <w:rPr>
          <w:rStyle w:val="Appelnotedebasdep"/>
        </w:rPr>
        <w:footnoteReference w:id="195"/>
      </w:r>
      <w:r>
        <w:t xml:space="preserve"> (</w:t>
      </w:r>
      <w:r w:rsidR="002120D0">
        <w:t>comme</w:t>
      </w:r>
      <w:r>
        <w:t xml:space="preserve"> des barrages routiers, des programmes de sécurité routière désignés et encadrés, des initiatives de sensibilisation du public et des méthodologies p</w:t>
      </w:r>
      <w:r w:rsidR="002120D0">
        <w:t>ermettant de</w:t>
      </w:r>
      <w:r>
        <w:t xml:space="preserve"> s’assurer que les interceptions </w:t>
      </w:r>
      <w:r w:rsidR="00A5038C">
        <w:t>sont</w:t>
      </w:r>
      <w:r>
        <w:t xml:space="preserve"> réellement aléatoires plutôt que discriminatoires).</w:t>
      </w:r>
    </w:p>
    <w:p w14:paraId="6B9BB1F7" w14:textId="2722C3BB" w:rsidR="00211F21" w:rsidRPr="007C28D2" w:rsidRDefault="00211F21" w:rsidP="00571F09">
      <w:pPr>
        <w:pStyle w:val="Paragraphe"/>
        <w:spacing w:line="280" w:lineRule="exact"/>
      </w:pPr>
      <w:r w:rsidRPr="007C28D2">
        <w:t>En définitive, le juge ne commet</w:t>
      </w:r>
      <w:r w:rsidR="00BA00D1" w:rsidRPr="007C28D2">
        <w:t xml:space="preserve"> donc</w:t>
      </w:r>
      <w:r w:rsidRPr="007C28D2">
        <w:t xml:space="preserve"> aucune erreur lorsqu’il conclut :</w:t>
      </w:r>
    </w:p>
    <w:p w14:paraId="4F07458B" w14:textId="7402D467" w:rsidR="00211F21" w:rsidRDefault="00211F21" w:rsidP="00F11F05">
      <w:pPr>
        <w:pStyle w:val="Citationenretrait"/>
      </w:pPr>
      <w:r w:rsidRPr="007C28D2">
        <w:t>[772]</w:t>
      </w:r>
      <w:r w:rsidR="00E23169" w:rsidRPr="007C28D2">
        <w:tab/>
      </w:r>
      <w:r w:rsidRPr="007C28D2">
        <w:t>En aucune façon le ministère public n’a-t-il pu démontrer que d’autres moyens, moins susceptibles de laisser libre cour</w:t>
      </w:r>
      <w:r w:rsidR="00A5038C">
        <w:t>s</w:t>
      </w:r>
      <w:r w:rsidRPr="007C28D2">
        <w:t xml:space="preserve"> au profilage racial, ne permettraient pas d’atteindre le même résultat. Il aurait été difficile de le faire puisque, comme on l’a vu précédemment, la part contributoire des </w:t>
      </w:r>
      <w:r w:rsidRPr="007C28D2">
        <w:rPr>
          <w:i/>
          <w:iCs/>
        </w:rPr>
        <w:t>interceptions routières sans motif réel</w:t>
      </w:r>
      <w:r w:rsidR="00F11F05" w:rsidRPr="007C28D2">
        <w:t xml:space="preserve"> </w:t>
      </w:r>
      <w:r w:rsidRPr="007C28D2">
        <w:t>dans l’atteinte des objectifs de sécurité routière ou de réduction des accidents de la route ou des infractions au</w:t>
      </w:r>
      <w:r w:rsidR="00D87A9D" w:rsidRPr="007C28D2">
        <w:t xml:space="preserve"> </w:t>
      </w:r>
      <w:r w:rsidRPr="007C28D2">
        <w:rPr>
          <w:i/>
          <w:iCs/>
        </w:rPr>
        <w:t>C.s.r.</w:t>
      </w:r>
      <w:r w:rsidR="00D87A9D" w:rsidRPr="007C28D2">
        <w:rPr>
          <w:i/>
          <w:iCs/>
        </w:rPr>
        <w:t xml:space="preserve"> </w:t>
      </w:r>
      <w:r w:rsidRPr="007C28D2">
        <w:t>ou au</w:t>
      </w:r>
      <w:r w:rsidR="00D87A9D" w:rsidRPr="007C28D2">
        <w:t xml:space="preserve"> </w:t>
      </w:r>
      <w:r w:rsidRPr="007C28D2">
        <w:rPr>
          <w:i/>
          <w:iCs/>
        </w:rPr>
        <w:t>Code criminel</w:t>
      </w:r>
      <w:r w:rsidR="00D87A9D" w:rsidRPr="007C28D2">
        <w:rPr>
          <w:i/>
          <w:iCs/>
        </w:rPr>
        <w:t xml:space="preserve"> </w:t>
      </w:r>
      <w:r w:rsidRPr="007C28D2">
        <w:t>n’a pas été établie. C’est au ministère public qu’il revenait de prouver l’absence de moyens moins attentatoires d’atteindre de façon réelle et substantielle l’objectif de sécurité routière. Il n’a pas réussi à assumer ce fardeau.</w:t>
      </w:r>
    </w:p>
    <w:p w14:paraId="50EBD306" w14:textId="77550B52" w:rsidR="00D63DDA" w:rsidRPr="00215615" w:rsidRDefault="00D63DDA" w:rsidP="00D63DDA">
      <w:pPr>
        <w:pStyle w:val="Citationenretrait"/>
        <w:jc w:val="right"/>
      </w:pPr>
      <w:r>
        <w:t>[Italiques dans l’original]</w:t>
      </w:r>
    </w:p>
    <w:p w14:paraId="5CD88C04" w14:textId="511C6DE7" w:rsidR="00211F21" w:rsidRDefault="00211F21" w:rsidP="00571F09">
      <w:pPr>
        <w:pStyle w:val="Paragraphe"/>
        <w:spacing w:line="280" w:lineRule="exact"/>
      </w:pPr>
      <w:bookmarkStart w:id="101" w:name="_Ref178079717"/>
      <w:r w:rsidRPr="00215615">
        <w:t xml:space="preserve">Le PGQ ayant échoué à démontrer que le moyen utilisé pour atteindre l’objectif </w:t>
      </w:r>
      <w:r w:rsidR="00BA00D1">
        <w:t>poursuivi par l’art.</w:t>
      </w:r>
      <w:r w:rsidR="00A5038C">
        <w:t xml:space="preserve"> </w:t>
      </w:r>
      <w:r w:rsidR="00BA00D1">
        <w:t>636</w:t>
      </w:r>
      <w:r w:rsidR="00A5038C">
        <w:t xml:space="preserve"> </w:t>
      </w:r>
      <w:r w:rsidR="00BA00D1" w:rsidRPr="00BA00D1">
        <w:rPr>
          <w:i/>
          <w:iCs/>
        </w:rPr>
        <w:t>C.s.r</w:t>
      </w:r>
      <w:r w:rsidR="00BA00D1">
        <w:t>.</w:t>
      </w:r>
      <w:r w:rsidRPr="00215615">
        <w:t xml:space="preserve"> ne constitue pas une atteinte minimale au droit fondamenta</w:t>
      </w:r>
      <w:r w:rsidR="00BA00D1">
        <w:t>l garanti par l’art.</w:t>
      </w:r>
      <w:r w:rsidR="00A5038C">
        <w:t xml:space="preserve"> </w:t>
      </w:r>
      <w:r w:rsidR="00BA00D1">
        <w:t xml:space="preserve">9 de la </w:t>
      </w:r>
      <w:r w:rsidR="00BA00D1" w:rsidRPr="00BA00D1">
        <w:rPr>
          <w:i/>
          <w:iCs/>
        </w:rPr>
        <w:t>Charte</w:t>
      </w:r>
      <w:r w:rsidRPr="006345FB">
        <w:t>, ce</w:t>
      </w:r>
      <w:r w:rsidR="002120D0">
        <w:t>tte atteinte ne peut se justifier</w:t>
      </w:r>
      <w:r w:rsidRPr="006345FB">
        <w:t xml:space="preserve"> au regard de l’article premier de la </w:t>
      </w:r>
      <w:r w:rsidRPr="006345FB">
        <w:rPr>
          <w:i/>
          <w:iCs/>
        </w:rPr>
        <w:t>Charte</w:t>
      </w:r>
      <w:r w:rsidRPr="006345FB">
        <w:t>.</w:t>
      </w:r>
      <w:bookmarkEnd w:id="101"/>
      <w:r w:rsidRPr="00215615">
        <w:t xml:space="preserve"> </w:t>
      </w:r>
    </w:p>
    <w:p w14:paraId="2809FAF0" w14:textId="31C0674B" w:rsidR="00211F21" w:rsidRPr="00AE72D4" w:rsidRDefault="00211F21" w:rsidP="00571F09">
      <w:pPr>
        <w:pStyle w:val="Titre4"/>
      </w:pPr>
      <w:bookmarkStart w:id="102" w:name="_Toc180397473"/>
      <w:r>
        <w:t xml:space="preserve">Mise en balance </w:t>
      </w:r>
      <w:bookmarkStart w:id="103" w:name="_Hlk176509038"/>
      <w:r>
        <w:t xml:space="preserve">des </w:t>
      </w:r>
      <w:bookmarkStart w:id="104" w:name="_Hlk176506965"/>
      <w:r>
        <w:t>effets bénéfiques et préjudiciables</w:t>
      </w:r>
      <w:bookmarkEnd w:id="102"/>
      <w:bookmarkEnd w:id="104"/>
    </w:p>
    <w:bookmarkEnd w:id="103"/>
    <w:p w14:paraId="21EC83DC" w14:textId="709243C2" w:rsidR="00211F21" w:rsidRPr="001D26B4" w:rsidRDefault="00211F21" w:rsidP="00571F09">
      <w:pPr>
        <w:pStyle w:val="Paragraphe"/>
        <w:spacing w:line="280" w:lineRule="exact"/>
        <w:rPr>
          <w:u w:val="single"/>
        </w:rPr>
      </w:pPr>
      <w:r>
        <w:t xml:space="preserve">Ce </w:t>
      </w:r>
      <w:r w:rsidRPr="001D26B4">
        <w:t xml:space="preserve">dernier critère </w:t>
      </w:r>
      <w:r w:rsidRPr="00D87A9D">
        <w:t>consiste</w:t>
      </w:r>
      <w:r w:rsidRPr="001D26B4">
        <w:t xml:space="preserve"> à </w:t>
      </w:r>
      <w:bookmarkStart w:id="105" w:name="_Hlk159686679"/>
      <w:r w:rsidRPr="001D26B4">
        <w:t>«</w:t>
      </w:r>
      <w:r w:rsidR="000107B0">
        <w:t> </w:t>
      </w:r>
      <w:r w:rsidRPr="001D26B4">
        <w:t xml:space="preserve">soupeser l’atteinte portée aux droits du demandeur au regard des avantages pour la société de la mesure contestée, en se demandant si </w:t>
      </w:r>
      <w:r w:rsidR="00F9285B" w:rsidRPr="005C628E">
        <w:rPr>
          <w:rFonts w:cs="Arial"/>
          <w:color w:val="000000"/>
        </w:rPr>
        <w:t>“</w:t>
      </w:r>
      <w:r w:rsidRPr="001D26B4">
        <w:t>les avantages découlant de la limitation [aux droits du demandeur] sont proportionnels aux effets préjudiciables</w:t>
      </w:r>
      <w:r w:rsidR="00F9285B" w:rsidRPr="005C628E">
        <w:rPr>
          <w:rFonts w:cs="Arial"/>
          <w:color w:val="000000"/>
        </w:rPr>
        <w:t>”</w:t>
      </w:r>
      <w:r w:rsidR="000107B0">
        <w:rPr>
          <w:rFonts w:cs="Arial"/>
        </w:rPr>
        <w:t> </w:t>
      </w:r>
      <w:r w:rsidRPr="001D26B4">
        <w:t>»</w:t>
      </w:r>
      <w:r w:rsidRPr="001D26B4">
        <w:rPr>
          <w:vertAlign w:val="superscript"/>
        </w:rPr>
        <w:footnoteReference w:id="196"/>
      </w:r>
      <w:r w:rsidRPr="001D26B4">
        <w:t xml:space="preserve">. </w:t>
      </w:r>
      <w:bookmarkEnd w:id="105"/>
    </w:p>
    <w:p w14:paraId="098B4B05" w14:textId="4263D4B1" w:rsidR="00211F21" w:rsidRPr="00215615" w:rsidRDefault="00C303EF" w:rsidP="00571F09">
      <w:pPr>
        <w:pStyle w:val="Paragraphe"/>
        <w:spacing w:line="280" w:lineRule="exact"/>
        <w:rPr>
          <w:u w:val="single"/>
        </w:rPr>
      </w:pPr>
      <w:r>
        <w:t>U</w:t>
      </w:r>
      <w:r w:rsidR="00211F21">
        <w:t>ne fois décidé qu</w:t>
      </w:r>
      <w:r w:rsidR="00A5038C">
        <w:t>e le</w:t>
      </w:r>
      <w:r w:rsidR="00211F21">
        <w:t xml:space="preserve"> critère de l’atteinte </w:t>
      </w:r>
      <w:r w:rsidR="00211F21" w:rsidRPr="00D87A9D">
        <w:t>minimale</w:t>
      </w:r>
      <w:r w:rsidR="00A5038C">
        <w:t xml:space="preserve"> n’est pas rempli</w:t>
      </w:r>
      <w:r w:rsidR="00211F21">
        <w:t>, il n’est pas nécessaire de poursuivre avec l</w:t>
      </w:r>
      <w:r w:rsidR="000D0E9B">
        <w:t>a mise en</w:t>
      </w:r>
      <w:r w:rsidR="00211F21">
        <w:t xml:space="preserve"> balance des </w:t>
      </w:r>
      <w:r w:rsidR="00211F21" w:rsidRPr="001F24A8">
        <w:t>effets bénéfiques et préjudiciables</w:t>
      </w:r>
      <w:r w:rsidR="00211F21">
        <w:t xml:space="preserve"> afin de trancher la question de la justification au regard de l’article premier de la </w:t>
      </w:r>
      <w:r w:rsidR="00211F21">
        <w:rPr>
          <w:i/>
          <w:iCs/>
        </w:rPr>
        <w:t>Charte</w:t>
      </w:r>
      <w:r w:rsidR="00211F21" w:rsidRPr="00FC63D7">
        <w:rPr>
          <w:rStyle w:val="Appelnotedebasdep"/>
        </w:rPr>
        <w:footnoteReference w:id="197"/>
      </w:r>
      <w:r w:rsidR="00211F21">
        <w:t>.</w:t>
      </w:r>
    </w:p>
    <w:p w14:paraId="3FC9A5DB" w14:textId="015CBAC1" w:rsidR="00211F21" w:rsidRPr="00FA14DC" w:rsidRDefault="00C303EF" w:rsidP="00571F09">
      <w:pPr>
        <w:pStyle w:val="Paragraphe"/>
        <w:spacing w:line="280" w:lineRule="exact"/>
        <w:rPr>
          <w:rFonts w:cs="Arial"/>
          <w:szCs w:val="24"/>
          <w:u w:val="single"/>
        </w:rPr>
      </w:pPr>
      <w:bookmarkStart w:id="106" w:name="_Ref178079918"/>
      <w:r w:rsidRPr="00FA14DC">
        <w:t>Q</w:t>
      </w:r>
      <w:r w:rsidR="00211F21" w:rsidRPr="00FA14DC">
        <w:t>uelques constats s’imposent</w:t>
      </w:r>
      <w:r w:rsidRPr="00FA14DC">
        <w:t xml:space="preserve"> néanmoins</w:t>
      </w:r>
      <w:r w:rsidR="00211F21" w:rsidRPr="00FA14DC">
        <w:t xml:space="preserve">. Premièrement, bien que la Cour conclue à l’existence d’un lien rationnel entre la </w:t>
      </w:r>
      <w:r w:rsidR="008764FE" w:rsidRPr="00FA14DC">
        <w:t xml:space="preserve">disposition </w:t>
      </w:r>
      <w:r w:rsidR="00211F21" w:rsidRPr="00FA14DC">
        <w:t>législative</w:t>
      </w:r>
      <w:r w:rsidR="0002597E" w:rsidRPr="00FA14DC">
        <w:t xml:space="preserve"> contestée</w:t>
      </w:r>
      <w:r w:rsidR="00211F21" w:rsidRPr="00FA14DC">
        <w:t xml:space="preserve"> et ses objectifs, cette conclusion n’altère aucunement celle du juge sur l’absence de preuve convaincante concernant les effets bénéfiques de </w:t>
      </w:r>
      <w:r w:rsidR="004F1676">
        <w:t>cette</w:t>
      </w:r>
      <w:r w:rsidR="004F1676" w:rsidRPr="00FA14DC">
        <w:t xml:space="preserve"> </w:t>
      </w:r>
      <w:r w:rsidR="00211F21" w:rsidRPr="00FA14DC">
        <w:t>disposition législative</w:t>
      </w:r>
      <w:r w:rsidR="00211F21" w:rsidRPr="00FA14DC">
        <w:rPr>
          <w:rFonts w:cs="Arial"/>
          <w:szCs w:val="24"/>
        </w:rPr>
        <w:t xml:space="preserve">. </w:t>
      </w:r>
      <w:r w:rsidR="0002597E" w:rsidRPr="00FA14DC">
        <w:rPr>
          <w:rFonts w:cs="Arial"/>
          <w:szCs w:val="24"/>
        </w:rPr>
        <w:t>Le juge</w:t>
      </w:r>
      <w:r w:rsidR="00211F21" w:rsidRPr="00FA14DC">
        <w:rPr>
          <w:rFonts w:cs="Arial"/>
          <w:szCs w:val="24"/>
        </w:rPr>
        <w:t xml:space="preserve"> explique </w:t>
      </w:r>
      <w:r w:rsidR="00211F21" w:rsidRPr="00FA14DC">
        <w:rPr>
          <w:rStyle w:val="cf01"/>
          <w:rFonts w:ascii="Arial" w:hAnsi="Arial" w:cs="Arial"/>
          <w:sz w:val="24"/>
          <w:szCs w:val="24"/>
        </w:rPr>
        <w:t>que le pouvoir d’interception sans motif requis revêt une efficacité limitée et que la preuve ne permet pas de constater, de façon concrète, la contribution de ce pouvoir à la sécurité routière</w:t>
      </w:r>
      <w:r w:rsidR="00211F21" w:rsidRPr="00FA14DC">
        <w:rPr>
          <w:rStyle w:val="Appelnotedebasdep"/>
          <w:rFonts w:cs="Arial"/>
          <w:szCs w:val="24"/>
        </w:rPr>
        <w:footnoteReference w:id="198"/>
      </w:r>
      <w:r w:rsidR="00211F21" w:rsidRPr="00FA14DC">
        <w:rPr>
          <w:rStyle w:val="cf01"/>
          <w:rFonts w:ascii="Arial" w:hAnsi="Arial" w:cs="Arial"/>
          <w:sz w:val="24"/>
          <w:szCs w:val="24"/>
        </w:rPr>
        <w:t xml:space="preserve">. Au contraire, écrit-il, le survol des statistiques déposées en preuve ne permet pas de « mettre le doigt sur une seule donnée permettant d’établir une corrélation entre le recours spécifique aux </w:t>
      </w:r>
      <w:r w:rsidR="00211F21" w:rsidRPr="00FA14DC">
        <w:rPr>
          <w:rStyle w:val="cf01"/>
          <w:rFonts w:ascii="Arial" w:hAnsi="Arial" w:cs="Arial"/>
          <w:i/>
          <w:iCs/>
          <w:sz w:val="24"/>
          <w:szCs w:val="24"/>
        </w:rPr>
        <w:t>interceptions routières sans motif réel</w:t>
      </w:r>
      <w:r w:rsidR="00211F21" w:rsidRPr="00FA14DC">
        <w:rPr>
          <w:rStyle w:val="cf01"/>
          <w:rFonts w:ascii="Arial" w:hAnsi="Arial" w:cs="Arial"/>
          <w:sz w:val="24"/>
          <w:szCs w:val="24"/>
        </w:rPr>
        <w:t xml:space="preserve"> et le fléchissement des infractions au </w:t>
      </w:r>
      <w:r w:rsidR="00211F21" w:rsidRPr="00FA14DC">
        <w:rPr>
          <w:rStyle w:val="cf01"/>
          <w:rFonts w:ascii="Arial" w:hAnsi="Arial" w:cs="Arial"/>
          <w:i/>
          <w:iCs/>
          <w:sz w:val="24"/>
          <w:szCs w:val="24"/>
        </w:rPr>
        <w:t>Code criminel</w:t>
      </w:r>
      <w:r w:rsidR="00211F21" w:rsidRPr="00FA14DC">
        <w:rPr>
          <w:rStyle w:val="cf01"/>
          <w:rFonts w:ascii="Arial" w:hAnsi="Arial" w:cs="Arial"/>
          <w:sz w:val="24"/>
          <w:szCs w:val="24"/>
        </w:rPr>
        <w:t xml:space="preserve"> et au </w:t>
      </w:r>
      <w:r w:rsidR="00211F21" w:rsidRPr="00FA14DC">
        <w:rPr>
          <w:rStyle w:val="cf01"/>
          <w:rFonts w:ascii="Arial" w:hAnsi="Arial" w:cs="Arial"/>
          <w:i/>
          <w:iCs/>
          <w:sz w:val="24"/>
          <w:szCs w:val="24"/>
        </w:rPr>
        <w:t>Code de la sécurité routière</w:t>
      </w:r>
      <w:r w:rsidR="00211F21" w:rsidRPr="00FA14DC">
        <w:rPr>
          <w:rStyle w:val="cf01"/>
          <w:rFonts w:ascii="Arial" w:hAnsi="Arial" w:cs="Arial"/>
          <w:sz w:val="24"/>
          <w:szCs w:val="24"/>
        </w:rPr>
        <w:t> »</w:t>
      </w:r>
      <w:r w:rsidR="00211F21" w:rsidRPr="00FA14DC">
        <w:rPr>
          <w:rStyle w:val="Appelnotedebasdep"/>
          <w:rFonts w:cs="Arial"/>
          <w:szCs w:val="24"/>
        </w:rPr>
        <w:footnoteReference w:id="199"/>
      </w:r>
      <w:r w:rsidR="00211F21" w:rsidRPr="00FA14DC">
        <w:rPr>
          <w:rStyle w:val="cf01"/>
          <w:rFonts w:ascii="Arial" w:hAnsi="Arial" w:cs="Arial"/>
          <w:sz w:val="24"/>
          <w:szCs w:val="24"/>
        </w:rPr>
        <w:t>.</w:t>
      </w:r>
      <w:bookmarkEnd w:id="106"/>
    </w:p>
    <w:p w14:paraId="35EC8E63" w14:textId="7B3AC353" w:rsidR="00211F21" w:rsidRPr="00571F09" w:rsidRDefault="00211F21" w:rsidP="00571F09">
      <w:pPr>
        <w:pStyle w:val="Paragraphe"/>
        <w:spacing w:line="280" w:lineRule="exact"/>
      </w:pPr>
      <w:bookmarkStart w:id="109" w:name="_Ref177748460"/>
      <w:r w:rsidRPr="00FA14DC">
        <w:t xml:space="preserve">Deuxièmement, </w:t>
      </w:r>
      <w:r w:rsidR="00F9285B" w:rsidRPr="00FA14DC">
        <w:t>quant aux</w:t>
      </w:r>
      <w:r w:rsidRPr="00FA14DC">
        <w:t xml:space="preserve"> effets préjudiciables, le juge expose de manière détaillée et percutante comment les considérations raciales négatives qui s’immiscent dans l’exercice du pouvoir discrétionnaire des policiers ont des </w:t>
      </w:r>
      <w:r w:rsidR="00F9285B" w:rsidRPr="00FA14DC">
        <w:t>répercussions</w:t>
      </w:r>
      <w:r w:rsidRPr="00FA14DC">
        <w:t xml:space="preserve"> important</w:t>
      </w:r>
      <w:r w:rsidR="00F9285B" w:rsidRPr="00FA14DC">
        <w:t>e</w:t>
      </w:r>
      <w:r w:rsidRPr="00FA14DC">
        <w:t>s sur les personnes noires, leur famille et leur entourage</w:t>
      </w:r>
      <w:r w:rsidRPr="00FA14DC">
        <w:rPr>
          <w:rStyle w:val="Appelnotedebasdep"/>
        </w:rPr>
        <w:footnoteReference w:id="200"/>
      </w:r>
      <w:r w:rsidRPr="00FA14DC">
        <w:t> :</w:t>
      </w:r>
      <w:bookmarkEnd w:id="109"/>
    </w:p>
    <w:p w14:paraId="09CAEA82" w14:textId="10D7D976" w:rsidR="00E23169" w:rsidRPr="00FA14DC" w:rsidRDefault="00E23169" w:rsidP="00571F09">
      <w:pPr>
        <w:pStyle w:val="Citationenretrait"/>
        <w:rPr>
          <w:szCs w:val="22"/>
        </w:rPr>
      </w:pPr>
      <w:r w:rsidRPr="00FA14DC">
        <w:rPr>
          <w:szCs w:val="22"/>
        </w:rPr>
        <w:t>[737]</w:t>
      </w:r>
      <w:r w:rsidRPr="00FA14DC">
        <w:rPr>
          <w:szCs w:val="22"/>
        </w:rPr>
        <w:tab/>
        <w:t>[…]</w:t>
      </w:r>
    </w:p>
    <w:p w14:paraId="4F1F3EE9" w14:textId="1BF58A0C" w:rsidR="00211F21" w:rsidRDefault="00211F21" w:rsidP="00E23169">
      <w:pPr>
        <w:pStyle w:val="Citationenretrait"/>
        <w:ind w:left="1440"/>
        <w:rPr>
          <w:szCs w:val="22"/>
        </w:rPr>
      </w:pPr>
      <w:r w:rsidRPr="00FA14DC">
        <w:rPr>
          <w:szCs w:val="22"/>
        </w:rPr>
        <w:t>h)</w:t>
      </w:r>
      <w:r w:rsidR="00D87A9D" w:rsidRPr="00FA14DC">
        <w:rPr>
          <w:szCs w:val="22"/>
        </w:rPr>
        <w:tab/>
      </w:r>
      <w:r w:rsidRPr="00FA14DC">
        <w:rPr>
          <w:szCs w:val="22"/>
        </w:rPr>
        <w:t>à la longue, les</w:t>
      </w:r>
      <w:r w:rsidR="00CC0558" w:rsidRPr="00FA14DC">
        <w:rPr>
          <w:szCs w:val="22"/>
        </w:rPr>
        <w:t xml:space="preserve"> </w:t>
      </w:r>
      <w:r w:rsidRPr="00FA14DC">
        <w:rPr>
          <w:i/>
          <w:iCs/>
          <w:szCs w:val="22"/>
        </w:rPr>
        <w:t>interceptions routières sans motif réel</w:t>
      </w:r>
      <w:r w:rsidR="00D87A9D" w:rsidRPr="00FA14DC">
        <w:rPr>
          <w:szCs w:val="22"/>
        </w:rPr>
        <w:t xml:space="preserve"> </w:t>
      </w:r>
      <w:r w:rsidRPr="00FA14DC">
        <w:rPr>
          <w:szCs w:val="22"/>
        </w:rPr>
        <w:t>qui ciblent de façon disproportionnée un segment de la population marquent à la fois le cœur et l’esprit des personnes noires interpellées, génèrent de la crainte et de l’humiliation chez les conducteurs noirs en général et dans leur entourage et engendrent à la fois de la méfiance envers les pouvoirs de la police et le sentiment d’être traités de façon différenciée et injuste;</w:t>
      </w:r>
      <w:r w:rsidR="009447C3" w:rsidRPr="00FA14DC">
        <w:rPr>
          <w:szCs w:val="22"/>
        </w:rPr>
        <w:t xml:space="preserve"> […]</w:t>
      </w:r>
    </w:p>
    <w:p w14:paraId="31043D7A" w14:textId="72E2FDC9" w:rsidR="008030C2" w:rsidRPr="00FA14DC" w:rsidRDefault="008030C2" w:rsidP="008030C2">
      <w:pPr>
        <w:pStyle w:val="Citationenretrait"/>
        <w:ind w:left="1440"/>
        <w:jc w:val="right"/>
        <w:rPr>
          <w:szCs w:val="22"/>
        </w:rPr>
      </w:pPr>
      <w:r>
        <w:rPr>
          <w:szCs w:val="22"/>
        </w:rPr>
        <w:t>[Italiques dans l’original]</w:t>
      </w:r>
    </w:p>
    <w:p w14:paraId="7CBD4D67" w14:textId="49D94092" w:rsidR="00211F21" w:rsidRPr="00FA14DC" w:rsidRDefault="00211F21" w:rsidP="00571F09">
      <w:pPr>
        <w:pStyle w:val="Paragraphe"/>
        <w:spacing w:line="280" w:lineRule="exact"/>
        <w:rPr>
          <w:u w:val="single"/>
        </w:rPr>
      </w:pPr>
      <w:bookmarkStart w:id="110" w:name="_Ref177748469"/>
      <w:r w:rsidRPr="00FA14DC">
        <w:t xml:space="preserve">Le juge souligne </w:t>
      </w:r>
      <w:r w:rsidR="0084618B">
        <w:t xml:space="preserve">par ailleurs </w:t>
      </w:r>
      <w:r w:rsidRPr="00FA14DC">
        <w:t>que le</w:t>
      </w:r>
      <w:r w:rsidR="00F9285B" w:rsidRPr="00FA14DC">
        <w:t>s</w:t>
      </w:r>
      <w:r w:rsidRPr="00FA14DC">
        <w:t xml:space="preserve"> interceptions </w:t>
      </w:r>
      <w:r w:rsidR="00F9285B" w:rsidRPr="00FA14DC">
        <w:t>sans</w:t>
      </w:r>
      <w:r w:rsidRPr="00FA14DC">
        <w:t xml:space="preserve"> motif</w:t>
      </w:r>
      <w:r w:rsidR="00F9285B" w:rsidRPr="00FA14DC">
        <w:t xml:space="preserve"> requis </w:t>
      </w:r>
      <w:r w:rsidR="001732B4">
        <w:t xml:space="preserve">résultant du </w:t>
      </w:r>
      <w:r w:rsidR="00F9285B" w:rsidRPr="00FA14DC">
        <w:t xml:space="preserve">profilage racial </w:t>
      </w:r>
      <w:r w:rsidRPr="00FA14DC">
        <w:t>sont particulièrement susceptibles de ne mener à la découverte d’aucune infraction</w:t>
      </w:r>
      <w:r w:rsidRPr="00FA14DC">
        <w:rPr>
          <w:rStyle w:val="Appelnotedebasdep"/>
        </w:rPr>
        <w:footnoteReference w:id="201"/>
      </w:r>
      <w:r w:rsidRPr="00FA14DC">
        <w:t xml:space="preserve">. Dans ces situations, le remède de l’exclusion d’éléments de preuve prévu </w:t>
      </w:r>
      <w:r w:rsidR="009447C3" w:rsidRPr="00FA14DC">
        <w:t xml:space="preserve">au </w:t>
      </w:r>
      <w:r w:rsidR="00F9285B" w:rsidRPr="00FA14DC">
        <w:t>par. </w:t>
      </w:r>
      <w:r w:rsidRPr="00FA14DC">
        <w:t xml:space="preserve">24(2) de la </w:t>
      </w:r>
      <w:r w:rsidRPr="00FA14DC">
        <w:rPr>
          <w:i/>
          <w:iCs/>
        </w:rPr>
        <w:t>Charte</w:t>
      </w:r>
      <w:r w:rsidRPr="00FA14DC">
        <w:t xml:space="preserve"> n’est d’aucune utilité (</w:t>
      </w:r>
      <w:r w:rsidR="00F9285B" w:rsidRPr="00FA14DC">
        <w:t>alors qu’il s’agissait de</w:t>
      </w:r>
      <w:r w:rsidRPr="00FA14DC">
        <w:t xml:space="preserve"> l’une des considérations retenues par la majorité dans l’arrêt </w:t>
      </w:r>
      <w:r w:rsidRPr="00FA14DC">
        <w:rPr>
          <w:i/>
          <w:iCs/>
        </w:rPr>
        <w:t>Ladouceur</w:t>
      </w:r>
      <w:r w:rsidR="009447C3" w:rsidRPr="00FA14DC">
        <w:rPr>
          <w:rStyle w:val="Appelnotedebasdep"/>
        </w:rPr>
        <w:footnoteReference w:id="202"/>
      </w:r>
      <w:r w:rsidRPr="00FA14DC">
        <w:t>).</w:t>
      </w:r>
      <w:bookmarkEnd w:id="110"/>
    </w:p>
    <w:p w14:paraId="054F63AE" w14:textId="595108A9" w:rsidR="00211F21" w:rsidRPr="00FA14DC" w:rsidRDefault="00211F21" w:rsidP="00571F09">
      <w:pPr>
        <w:pStyle w:val="Paragraphe"/>
        <w:spacing w:line="280" w:lineRule="exact"/>
        <w:rPr>
          <w:u w:val="single"/>
        </w:rPr>
      </w:pPr>
      <w:r w:rsidRPr="00FA14DC">
        <w:t>La mise en balance des effets bénéfiques et préjudiciables de l’art</w:t>
      </w:r>
      <w:r w:rsidR="009902E4" w:rsidRPr="00FA14DC">
        <w:t>.</w:t>
      </w:r>
      <w:r w:rsidR="00E23169" w:rsidRPr="00FA14DC">
        <w:t> </w:t>
      </w:r>
      <w:r w:rsidRPr="00FA14DC">
        <w:t>636</w:t>
      </w:r>
      <w:r w:rsidR="00E23169" w:rsidRPr="00FA14DC">
        <w:t> </w:t>
      </w:r>
      <w:r w:rsidRPr="00FA14DC">
        <w:rPr>
          <w:i/>
          <w:iCs/>
        </w:rPr>
        <w:t>C.s.r.</w:t>
      </w:r>
      <w:r w:rsidRPr="00FA14DC">
        <w:t xml:space="preserve"> ne permet donc pas de justifier la violation de l’art</w:t>
      </w:r>
      <w:r w:rsidR="00122A62" w:rsidRPr="00FA14DC">
        <w:t>. </w:t>
      </w:r>
      <w:r w:rsidRPr="00FA14DC">
        <w:t xml:space="preserve">9 de la </w:t>
      </w:r>
      <w:r w:rsidRPr="00FA14DC">
        <w:rPr>
          <w:i/>
          <w:iCs/>
        </w:rPr>
        <w:t>Charte</w:t>
      </w:r>
      <w:r w:rsidRPr="00FA14DC">
        <w:t xml:space="preserve"> par l’article premier</w:t>
      </w:r>
      <w:r w:rsidR="00C23BA3" w:rsidRPr="00FA14DC">
        <w:rPr>
          <w:rStyle w:val="Appelnotedebasdep"/>
        </w:rPr>
        <w:footnoteReference w:id="203"/>
      </w:r>
      <w:r w:rsidRPr="00FA14DC">
        <w:t>.</w:t>
      </w:r>
    </w:p>
    <w:p w14:paraId="0427C24C" w14:textId="4B7F9CC7" w:rsidR="004C7B2F" w:rsidRPr="00C87EC1" w:rsidRDefault="00211F21" w:rsidP="00571F09">
      <w:pPr>
        <w:pStyle w:val="Paragraphe"/>
        <w:spacing w:line="280" w:lineRule="exact"/>
      </w:pPr>
      <w:r w:rsidRPr="00C87EC1">
        <w:t xml:space="preserve">En conclusion, le juge de première instance était bien fondé </w:t>
      </w:r>
      <w:r w:rsidR="00292D55">
        <w:t>à</w:t>
      </w:r>
      <w:r w:rsidRPr="00C87EC1">
        <w:t xml:space="preserve"> </w:t>
      </w:r>
      <w:r w:rsidRPr="00EA1914">
        <w:t>statuer</w:t>
      </w:r>
      <w:r w:rsidRPr="00C87EC1">
        <w:t xml:space="preserve"> que </w:t>
      </w:r>
      <w:r w:rsidR="000D0E9B" w:rsidRPr="00C87EC1">
        <w:t>l’atteinte au droit garanti par l’art</w:t>
      </w:r>
      <w:r w:rsidR="00E47774">
        <w:t>. </w:t>
      </w:r>
      <w:r w:rsidR="000D0E9B" w:rsidRPr="00C87EC1">
        <w:t>9</w:t>
      </w:r>
      <w:r w:rsidRPr="00C87EC1">
        <w:t xml:space="preserve"> découlant de l’art</w:t>
      </w:r>
      <w:r w:rsidR="00E47774">
        <w:t>. </w:t>
      </w:r>
      <w:r w:rsidRPr="00C87EC1">
        <w:t xml:space="preserve">636 </w:t>
      </w:r>
      <w:r w:rsidRPr="00C87EC1">
        <w:rPr>
          <w:i/>
          <w:iCs/>
        </w:rPr>
        <w:t>C.s.r</w:t>
      </w:r>
      <w:r w:rsidRPr="00C87EC1">
        <w:t xml:space="preserve">. ne peut se justifier dans le cadre d’une société libre et démocratique au sens de l’article premier de la </w:t>
      </w:r>
      <w:r w:rsidRPr="00C87EC1">
        <w:rPr>
          <w:i/>
          <w:iCs/>
        </w:rPr>
        <w:t>Charte</w:t>
      </w:r>
      <w:r w:rsidRPr="00C87EC1">
        <w:rPr>
          <w:rStyle w:val="Appelnotedebasdep"/>
        </w:rPr>
        <w:footnoteReference w:id="204"/>
      </w:r>
      <w:r w:rsidRPr="00C87EC1">
        <w:t>.</w:t>
      </w:r>
    </w:p>
    <w:p w14:paraId="1F160F08" w14:textId="5074A6CC" w:rsidR="0032484D" w:rsidRPr="00C87EC1" w:rsidRDefault="00F97692" w:rsidP="002E559C">
      <w:pPr>
        <w:pStyle w:val="Titre2"/>
      </w:pPr>
      <w:bookmarkStart w:id="111" w:name="_Toc180397474"/>
      <w:r w:rsidRPr="00F97692">
        <w:t>D.</w:t>
      </w:r>
      <w:r w:rsidRPr="00F97692">
        <w:tab/>
      </w:r>
      <w:r w:rsidR="0032484D" w:rsidRPr="00C87EC1">
        <w:t xml:space="preserve">Le juge a-t-il erré en concluant que la règle de droit contestée porte une atteinte injustifiée à l’art. 7 de la </w:t>
      </w:r>
      <w:r w:rsidR="0032484D" w:rsidRPr="00C87EC1">
        <w:rPr>
          <w:i/>
          <w:iCs/>
        </w:rPr>
        <w:t>Charte</w:t>
      </w:r>
      <w:r w:rsidR="0032484D" w:rsidRPr="00C87EC1">
        <w:t>?</w:t>
      </w:r>
      <w:bookmarkEnd w:id="111"/>
    </w:p>
    <w:p w14:paraId="0F582FFC" w14:textId="501E439F" w:rsidR="001D459F" w:rsidRDefault="001D459F" w:rsidP="00571F09">
      <w:pPr>
        <w:pStyle w:val="Paragraphe"/>
        <w:spacing w:line="280" w:lineRule="exact"/>
      </w:pPr>
      <w:r>
        <w:t xml:space="preserve">Vu la conclusion à laquelle en vient la Cour sur </w:t>
      </w:r>
      <w:r w:rsidRPr="00EA1914">
        <w:t>l’atteinte</w:t>
      </w:r>
      <w:r>
        <w:t xml:space="preserve"> non justifiée au droit garanti par l’art. 9 de la </w:t>
      </w:r>
      <w:r w:rsidRPr="00483B2F">
        <w:rPr>
          <w:i/>
          <w:iCs/>
        </w:rPr>
        <w:t>Charte</w:t>
      </w:r>
      <w:r>
        <w:t xml:space="preserve">, il n’est pas nécessaire de </w:t>
      </w:r>
      <w:r w:rsidRPr="00C87EC1">
        <w:t xml:space="preserve">répondre </w:t>
      </w:r>
      <w:r w:rsidR="00DD623B" w:rsidRPr="00C87EC1">
        <w:t xml:space="preserve">à </w:t>
      </w:r>
      <w:r w:rsidRPr="00C87EC1">
        <w:t>cette question</w:t>
      </w:r>
      <w:r>
        <w:t>.</w:t>
      </w:r>
    </w:p>
    <w:p w14:paraId="45359BEE" w14:textId="1685A455" w:rsidR="001D459F" w:rsidRPr="007C28D2" w:rsidRDefault="001D459F" w:rsidP="00571F09">
      <w:pPr>
        <w:pStyle w:val="Paragraphe"/>
        <w:spacing w:line="280" w:lineRule="exact"/>
      </w:pPr>
      <w:r>
        <w:t>En effet, l’art. 9 garantit à chacun le droit à la protection contre la détention ou l’emprisonnement arbitraires. À l’instar des autres garanties juridiques prévues aux art.</w:t>
      </w:r>
      <w:r w:rsidR="009F2AEA">
        <w:t> </w:t>
      </w:r>
      <w:r>
        <w:t>8 et 10 à 14, il vise une atteinte spécifique au droit à la vie, à la liberté et à la sécurité de la personne qui n’est pas conforme aux principes de justice fondamentale</w:t>
      </w:r>
      <w:r>
        <w:rPr>
          <w:rStyle w:val="Appelnotedebasdep"/>
        </w:rPr>
        <w:footnoteReference w:id="205"/>
      </w:r>
      <w:r>
        <w:t>. Il est conçu « p</w:t>
      </w:r>
      <w:r w:rsidRPr="007C28D2">
        <w:t>our protéger, d’une manière précise et dans un contexte précis, le droit […] énoncé à l’art.</w:t>
      </w:r>
      <w:r w:rsidR="009F2AEA" w:rsidRPr="007C28D2">
        <w:t> </w:t>
      </w:r>
      <w:r w:rsidRPr="007C28D2">
        <w:t>7 »</w:t>
      </w:r>
      <w:r w:rsidRPr="007C28D2">
        <w:rPr>
          <w:rStyle w:val="Appelnotedebasdep"/>
        </w:rPr>
        <w:footnoteReference w:id="206"/>
      </w:r>
      <w:r w:rsidRPr="007C28D2">
        <w:t>.</w:t>
      </w:r>
    </w:p>
    <w:p w14:paraId="34ABDAF2" w14:textId="0C70399E" w:rsidR="001D459F" w:rsidRPr="007C28D2" w:rsidRDefault="001D459F" w:rsidP="00571F09">
      <w:pPr>
        <w:pStyle w:val="Paragraphe"/>
        <w:spacing w:line="280" w:lineRule="exact"/>
      </w:pPr>
      <w:r w:rsidRPr="007C28D2">
        <w:t xml:space="preserve">Autrement dit, et pour paraphraser le juge Lamer (tel était alors son titre) dans le </w:t>
      </w:r>
      <w:r w:rsidRPr="007C28D2">
        <w:rPr>
          <w:i/>
          <w:iCs/>
        </w:rPr>
        <w:t>Renvoi sur la Motor Vehicle Act</w:t>
      </w:r>
      <w:r w:rsidRPr="007C28D2">
        <w:t xml:space="preserve">, l’art. 9 </w:t>
      </w:r>
      <w:r w:rsidR="00FA14DC">
        <w:t>est une illustration d’une</w:t>
      </w:r>
      <w:r w:rsidRPr="007C28D2">
        <w:t xml:space="preserve"> atteinte au droit à la vie, à la liberté et à la sécurité de la personne qui va à l’encontre des principes de justice fondamentale</w:t>
      </w:r>
      <w:r w:rsidRPr="007C28D2">
        <w:rPr>
          <w:rStyle w:val="Appelnotedebasdep"/>
        </w:rPr>
        <w:footnoteReference w:id="207"/>
      </w:r>
      <w:r w:rsidRPr="007C28D2">
        <w:t>.</w:t>
      </w:r>
    </w:p>
    <w:p w14:paraId="3FFB3574" w14:textId="53540270" w:rsidR="001D459F" w:rsidRDefault="00391801" w:rsidP="00571F09">
      <w:pPr>
        <w:pStyle w:val="Paragraphe"/>
        <w:spacing w:line="280" w:lineRule="exact"/>
      </w:pPr>
      <w:r>
        <w:rPr>
          <w:color w:val="000000"/>
        </w:rPr>
        <w:t>Dans la mesure où</w:t>
      </w:r>
      <w:r w:rsidR="00B314EC" w:rsidRPr="00391801">
        <w:rPr>
          <w:color w:val="000000"/>
        </w:rPr>
        <w:t xml:space="preserve"> l’art. 9 illustre de manière plus précise et complète le droit garanti à l’art. 7 dans le contexte considéré en l’espèce</w:t>
      </w:r>
      <w:r w:rsidR="00A97A12" w:rsidRPr="00391801">
        <w:t>,</w:t>
      </w:r>
      <w:r w:rsidR="001D459F" w:rsidRPr="00391801">
        <w:t xml:space="preserve"> la conclusion de la Cour selon laquelle l’art. 636 </w:t>
      </w:r>
      <w:r w:rsidR="001D459F" w:rsidRPr="00391801">
        <w:rPr>
          <w:i/>
          <w:iCs/>
        </w:rPr>
        <w:t>C.s.r.</w:t>
      </w:r>
      <w:r w:rsidR="001D459F" w:rsidRPr="00391801">
        <w:t xml:space="preserve"> porte atteinte d’une manière non justifiée </w:t>
      </w:r>
      <w:r w:rsidR="007D6F71" w:rsidRPr="00391801">
        <w:t>à</w:t>
      </w:r>
      <w:r w:rsidR="001D459F" w:rsidRPr="00391801">
        <w:t xml:space="preserve"> l’art. 9 rend superflue toute</w:t>
      </w:r>
      <w:r w:rsidR="001D459F">
        <w:t xml:space="preserve"> analyse distincte au regard de l’art. 7</w:t>
      </w:r>
      <w:r w:rsidR="006657D1">
        <w:rPr>
          <w:rStyle w:val="Appelnotedebasdep"/>
        </w:rPr>
        <w:footnoteReference w:id="208"/>
      </w:r>
      <w:r w:rsidR="001D459F">
        <w:t>.</w:t>
      </w:r>
    </w:p>
    <w:p w14:paraId="233E7E2E" w14:textId="1D6F402D" w:rsidR="001D459F" w:rsidRDefault="001D459F" w:rsidP="00571F09">
      <w:pPr>
        <w:pStyle w:val="Paragraphe"/>
        <w:spacing w:line="280" w:lineRule="exact"/>
      </w:pPr>
      <w:r>
        <w:t xml:space="preserve">D’ailleurs, dans l’arrêt </w:t>
      </w:r>
      <w:r w:rsidRPr="005720F8">
        <w:rPr>
          <w:i/>
          <w:iCs/>
        </w:rPr>
        <w:t>Ladouceur</w:t>
      </w:r>
      <w:r>
        <w:t xml:space="preserve">, la Cour suprême n’a </w:t>
      </w:r>
      <w:r w:rsidRPr="00EA1914">
        <w:t>pas</w:t>
      </w:r>
      <w:r>
        <w:t xml:space="preserve"> jugé nécessaire de décider si les </w:t>
      </w:r>
      <w:r w:rsidR="00484BF3">
        <w:t xml:space="preserve">interceptions </w:t>
      </w:r>
      <w:r>
        <w:t>au hasard portaient atteinte à l’art</w:t>
      </w:r>
      <w:r w:rsidR="000B7EEC">
        <w:t>. </w:t>
      </w:r>
      <w:r>
        <w:t>7, étant donné qu’</w:t>
      </w:r>
      <w:r w:rsidR="006C3FFA">
        <w:t>elle</w:t>
      </w:r>
      <w:r>
        <w:t xml:space="preserve"> a déterminé qu</w:t>
      </w:r>
      <w:r w:rsidR="00AD69A9">
        <w:t>e celles-ci</w:t>
      </w:r>
      <w:r>
        <w:t xml:space="preserve"> viol</w:t>
      </w:r>
      <w:r w:rsidR="00AD69A9">
        <w:t>ai</w:t>
      </w:r>
      <w:r>
        <w:t>ent l’art.</w:t>
      </w:r>
      <w:r w:rsidR="00A97A12">
        <w:t> </w:t>
      </w:r>
      <w:r>
        <w:t xml:space="preserve">9 de la </w:t>
      </w:r>
      <w:r w:rsidRPr="001F1951">
        <w:rPr>
          <w:i/>
          <w:iCs/>
        </w:rPr>
        <w:t>Charte</w:t>
      </w:r>
      <w:r w:rsidR="00BA4D5F" w:rsidRPr="00427D07">
        <w:rPr>
          <w:rStyle w:val="Appelnotedebasdep"/>
        </w:rPr>
        <w:footnoteReference w:id="209"/>
      </w:r>
      <w:r>
        <w:t>.</w:t>
      </w:r>
    </w:p>
    <w:p w14:paraId="4F28558F" w14:textId="0C4ABB14" w:rsidR="0032484D" w:rsidRPr="001D459F" w:rsidRDefault="001D459F" w:rsidP="00571F09">
      <w:pPr>
        <w:pStyle w:val="Paragraphe"/>
        <w:spacing w:line="280" w:lineRule="exact"/>
      </w:pPr>
      <w:r>
        <w:t xml:space="preserve">En s’abstenant de répondre à cette question, la Cour n’émet </w:t>
      </w:r>
      <w:r w:rsidRPr="00EA1914">
        <w:t>aucune</w:t>
      </w:r>
      <w:r>
        <w:t xml:space="preserve"> opinion sur la justesse de l’analyse à laquelle le juge s’est livré.</w:t>
      </w:r>
    </w:p>
    <w:p w14:paraId="16C96953" w14:textId="6C7E377E" w:rsidR="004C7B2F" w:rsidRDefault="00F97692" w:rsidP="002E559C">
      <w:pPr>
        <w:pStyle w:val="Titre2"/>
      </w:pPr>
      <w:bookmarkStart w:id="112" w:name="_Toc177630885"/>
      <w:bookmarkStart w:id="113" w:name="_Toc180397475"/>
      <w:r w:rsidRPr="00F97692">
        <w:t>E.</w:t>
      </w:r>
      <w:r w:rsidRPr="00F97692">
        <w:tab/>
      </w:r>
      <w:r w:rsidR="004C7B2F" w:rsidRPr="002748FE">
        <w:t>Le juge a-t-i</w:t>
      </w:r>
      <w:r w:rsidR="004C7B2F" w:rsidRPr="0032484D">
        <w:t>l</w:t>
      </w:r>
      <w:r w:rsidR="0032484D" w:rsidRPr="0032484D">
        <w:rPr>
          <w:rFonts w:cs="Arial"/>
        </w:rPr>
        <w:t xml:space="preserve"> erré</w:t>
      </w:r>
      <w:r w:rsidR="0032484D">
        <w:rPr>
          <w:rFonts w:cs="Arial"/>
        </w:rPr>
        <w:t xml:space="preserve"> </w:t>
      </w:r>
      <w:r w:rsidR="0032484D" w:rsidRPr="0032484D">
        <w:t xml:space="preserve">en concluant </w:t>
      </w:r>
      <w:r w:rsidR="0032484D" w:rsidRPr="00C87EC1">
        <w:t xml:space="preserve">que la règle de droit contestée porte une atteinte injustifiée au par. 15(1) de la </w:t>
      </w:r>
      <w:r w:rsidR="0032484D" w:rsidRPr="00C87EC1">
        <w:rPr>
          <w:i/>
          <w:iCs/>
        </w:rPr>
        <w:t>Charte</w:t>
      </w:r>
      <w:r w:rsidR="0032484D" w:rsidRPr="00C87EC1">
        <w:t>?</w:t>
      </w:r>
      <w:bookmarkEnd w:id="112"/>
      <w:bookmarkEnd w:id="113"/>
    </w:p>
    <w:p w14:paraId="7EBBC604" w14:textId="622C73AA" w:rsidR="00F97692" w:rsidRPr="00F97692" w:rsidRDefault="00F97692" w:rsidP="00571F09">
      <w:pPr>
        <w:pStyle w:val="Titre3"/>
        <w:spacing w:line="280" w:lineRule="exact"/>
      </w:pPr>
      <w:bookmarkStart w:id="114" w:name="_Toc180397476"/>
      <w:r w:rsidRPr="00F97692">
        <w:t>1.</w:t>
      </w:r>
      <w:r w:rsidRPr="00F97692">
        <w:tab/>
      </w:r>
      <w:r>
        <w:t>L’atteinte</w:t>
      </w:r>
      <w:bookmarkEnd w:id="114"/>
    </w:p>
    <w:p w14:paraId="625D7005" w14:textId="0661D409" w:rsidR="001A3EF8" w:rsidRPr="00C87EC1" w:rsidRDefault="001A3EF8" w:rsidP="00571F09">
      <w:pPr>
        <w:pStyle w:val="Paragraphe"/>
        <w:spacing w:line="280" w:lineRule="exact"/>
      </w:pPr>
      <w:bookmarkStart w:id="115" w:name="_Ref177748113"/>
      <w:r w:rsidRPr="00C87EC1">
        <w:t xml:space="preserve">Le par. 15(1) de la </w:t>
      </w:r>
      <w:r w:rsidRPr="00C87EC1">
        <w:rPr>
          <w:i/>
          <w:iCs/>
        </w:rPr>
        <w:t>Charte</w:t>
      </w:r>
      <w:r w:rsidRPr="00C87EC1">
        <w:t xml:space="preserve"> garantit l’application égale de la loi sans discrimination :</w:t>
      </w:r>
      <w:bookmarkEnd w:id="115"/>
    </w:p>
    <w:tbl>
      <w:tblPr>
        <w:tblW w:w="0" w:type="auto"/>
        <w:tblCellMar>
          <w:left w:w="70" w:type="dxa"/>
          <w:right w:w="70" w:type="dxa"/>
        </w:tblCellMar>
        <w:tblLook w:val="0000" w:firstRow="0" w:lastRow="0" w:firstColumn="0" w:lastColumn="0" w:noHBand="0" w:noVBand="0"/>
      </w:tblPr>
      <w:tblGrid>
        <w:gridCol w:w="4683"/>
        <w:gridCol w:w="4679"/>
      </w:tblGrid>
      <w:tr w:rsidR="001A3EF8" w:rsidRPr="00707E00" w14:paraId="1E001E1E" w14:textId="77777777" w:rsidTr="003A26CD">
        <w:tc>
          <w:tcPr>
            <w:tcW w:w="4683" w:type="dxa"/>
          </w:tcPr>
          <w:p w14:paraId="359F5306" w14:textId="77777777" w:rsidR="001A3EF8" w:rsidRPr="00C87EC1" w:rsidRDefault="001A3EF8" w:rsidP="001A3EF8">
            <w:pPr>
              <w:spacing w:before="120" w:after="120"/>
              <w:ind w:left="720" w:right="142"/>
              <w:jc w:val="both"/>
              <w:rPr>
                <w:rFonts w:cs="Arial"/>
                <w:sz w:val="22"/>
              </w:rPr>
            </w:pPr>
            <w:r w:rsidRPr="00C87EC1">
              <w:rPr>
                <w:rFonts w:cs="Arial"/>
                <w:b/>
                <w:bCs/>
                <w:sz w:val="22"/>
              </w:rPr>
              <w:t>15.</w:t>
            </w:r>
            <w:r w:rsidRPr="00C87EC1">
              <w:rPr>
                <w:rFonts w:cs="Arial"/>
                <w:sz w:val="22"/>
              </w:rPr>
              <w:t xml:space="preserve"> </w:t>
            </w:r>
            <w:r w:rsidRPr="00C87EC1">
              <w:rPr>
                <w:rFonts w:cs="Arial"/>
                <w:b/>
                <w:bCs/>
                <w:sz w:val="22"/>
              </w:rPr>
              <w:t>(1)</w:t>
            </w:r>
            <w:r w:rsidRPr="00C87EC1">
              <w:rPr>
                <w:rFonts w:cs="Arial"/>
                <w:sz w:val="22"/>
                <w:shd w:val="clear" w:color="auto" w:fill="FFFFFF"/>
              </w:rPr>
              <w:t> La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déficiences mentales ou physiques.</w:t>
            </w:r>
          </w:p>
        </w:tc>
        <w:tc>
          <w:tcPr>
            <w:tcW w:w="4679" w:type="dxa"/>
          </w:tcPr>
          <w:p w14:paraId="3C40D38A" w14:textId="77777777" w:rsidR="001A3EF8" w:rsidRPr="00C87EC1" w:rsidRDefault="001A3EF8" w:rsidP="001A3EF8">
            <w:pPr>
              <w:spacing w:before="120" w:after="120"/>
              <w:ind w:left="142" w:right="720"/>
              <w:jc w:val="both"/>
              <w:rPr>
                <w:rFonts w:cs="Arial"/>
                <w:sz w:val="22"/>
                <w:lang w:val="en-CA"/>
              </w:rPr>
            </w:pPr>
            <w:r w:rsidRPr="00C87EC1">
              <w:rPr>
                <w:rFonts w:cs="Arial"/>
                <w:b/>
                <w:bCs/>
                <w:sz w:val="22"/>
                <w:lang w:val="en-CA"/>
              </w:rPr>
              <w:t>15.</w:t>
            </w:r>
            <w:r w:rsidRPr="00C87EC1">
              <w:rPr>
                <w:rFonts w:cs="Arial"/>
                <w:sz w:val="22"/>
                <w:lang w:val="en-CA"/>
              </w:rPr>
              <w:t xml:space="preserve"> </w:t>
            </w:r>
            <w:r w:rsidRPr="00C87EC1">
              <w:rPr>
                <w:rFonts w:cs="Arial"/>
                <w:b/>
                <w:bCs/>
                <w:sz w:val="22"/>
                <w:lang w:val="en-CA"/>
              </w:rPr>
              <w:t>(1)</w:t>
            </w:r>
            <w:r w:rsidRPr="00C87EC1">
              <w:rPr>
                <w:rFonts w:cs="Arial"/>
                <w:sz w:val="22"/>
                <w:shd w:val="clear" w:color="auto" w:fill="FFFFFF"/>
                <w:lang w:val="en-CA"/>
              </w:rPr>
              <w:t> 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w:t>
            </w:r>
          </w:p>
        </w:tc>
      </w:tr>
    </w:tbl>
    <w:p w14:paraId="0590153B" w14:textId="77777777" w:rsidR="001A3EF8" w:rsidRPr="001A3EF8" w:rsidRDefault="001A3EF8" w:rsidP="0002577C">
      <w:pPr>
        <w:pStyle w:val="Paragraphe"/>
        <w:spacing w:before="240" w:line="280" w:lineRule="exact"/>
      </w:pPr>
      <w:r w:rsidRPr="00C87EC1">
        <w:t xml:space="preserve">Il est bien établi que cette disposition de la </w:t>
      </w:r>
      <w:r w:rsidRPr="00C87EC1">
        <w:rPr>
          <w:i/>
          <w:iCs/>
        </w:rPr>
        <w:t>Charte</w:t>
      </w:r>
      <w:r w:rsidRPr="00C87EC1">
        <w:t xml:space="preserve"> protège l’égalité réelle</w:t>
      </w:r>
      <w:r w:rsidRPr="00C87EC1">
        <w:rPr>
          <w:vertAlign w:val="superscript"/>
        </w:rPr>
        <w:footnoteReference w:id="210"/>
      </w:r>
      <w:r w:rsidRPr="00C87EC1">
        <w:t>. Par</w:t>
      </w:r>
      <w:r w:rsidRPr="001A3EF8">
        <w:t xml:space="preserve"> contraste avec </w:t>
      </w:r>
      <w:r w:rsidRPr="007C28D2">
        <w:t>l’égalité formelle</w:t>
      </w:r>
      <w:r w:rsidRPr="007C28D2">
        <w:rPr>
          <w:color w:val="000000"/>
          <w:vertAlign w:val="superscript"/>
        </w:rPr>
        <w:footnoteReference w:id="211"/>
      </w:r>
      <w:r w:rsidRPr="007C28D2">
        <w:t>, l’égalité réelle « reconnaît que des désavantages systémiques persistants ont eu pour effet de restreindre les possibilités offertes aux membres de certains groupes de la société et elle vise à empêcher tout acte qui contribue à perpétuer ces désavantages »</w:t>
      </w:r>
      <w:r w:rsidRPr="007C28D2">
        <w:rPr>
          <w:color w:val="000000"/>
          <w:vertAlign w:val="superscript"/>
        </w:rPr>
        <w:footnoteReference w:id="212"/>
      </w:r>
      <w:r w:rsidRPr="007C28D2">
        <w:t>. Elle « repose sur l’idée que toute différence de traitement ne produira pas forcément une inégalité et qu’un traitement identique peut fréquemment engendrer de graves inégalités »</w:t>
      </w:r>
      <w:r w:rsidRPr="007C28D2">
        <w:rPr>
          <w:color w:val="000000"/>
          <w:vertAlign w:val="superscript"/>
        </w:rPr>
        <w:footnoteReference w:id="213"/>
      </w:r>
      <w:r w:rsidRPr="007C28D2">
        <w:t>. En d’autres termes, l’égalité réelle « n’admet pas la simple différence ou absence de différence comme justification d’un traitement différent »</w:t>
      </w:r>
      <w:r w:rsidRPr="007C28D2">
        <w:rPr>
          <w:color w:val="000000"/>
          <w:vertAlign w:val="superscript"/>
        </w:rPr>
        <w:footnoteReference w:id="214"/>
      </w:r>
      <w:r w:rsidRPr="007C28D2">
        <w:t>; contrairement à l’égalité formelle, elle « transcende les similitudes et distinctions apparentes »</w:t>
      </w:r>
      <w:r w:rsidRPr="007C28D2">
        <w:rPr>
          <w:color w:val="000000"/>
          <w:vertAlign w:val="superscript"/>
        </w:rPr>
        <w:footnoteReference w:id="215"/>
      </w:r>
      <w:r w:rsidRPr="007C28D2">
        <w:t>.</w:t>
      </w:r>
      <w:r w:rsidRPr="001A3EF8">
        <w:t xml:space="preserve"> </w:t>
      </w:r>
    </w:p>
    <w:p w14:paraId="038B31FC" w14:textId="656615BF" w:rsidR="001A3EF8" w:rsidRPr="007C28D2" w:rsidRDefault="001A3EF8" w:rsidP="00571F09">
      <w:pPr>
        <w:pStyle w:val="Paragraphe"/>
        <w:spacing w:line="280" w:lineRule="exact"/>
      </w:pPr>
      <w:r w:rsidRPr="007C28D2">
        <w:t xml:space="preserve">En application de </w:t>
      </w:r>
      <w:r w:rsidR="006C3FFA">
        <w:t>cette</w:t>
      </w:r>
      <w:r w:rsidR="006C3FFA" w:rsidRPr="007C28D2">
        <w:t xml:space="preserve"> </w:t>
      </w:r>
      <w:r w:rsidRPr="007C28D2">
        <w:t>« norme fondamentale »</w:t>
      </w:r>
      <w:r w:rsidRPr="007C28D2">
        <w:rPr>
          <w:color w:val="000000"/>
          <w:vertAlign w:val="superscript"/>
        </w:rPr>
        <w:footnoteReference w:id="216"/>
      </w:r>
      <w:r w:rsidRPr="007C28D2">
        <w:t xml:space="preserve"> d’égalité réelle, la Cour suprême reconnaît que le par. 15(1) offre non seulement une protection contre la discrimination directe, mais également contre la discrimination indirecte (ou « discrimination par suite d’un effet préjudiciable »)</w:t>
      </w:r>
      <w:r w:rsidRPr="007C28D2">
        <w:rPr>
          <w:color w:val="000000"/>
          <w:vertAlign w:val="superscript"/>
        </w:rPr>
        <w:footnoteReference w:id="217"/>
      </w:r>
      <w:r w:rsidRPr="007C28D2">
        <w:t xml:space="preserve">. Cette forme de discrimination « survient lorsqu’une loi en apparence neutre a une incidence disproportionnée sur des membres de groupes bénéficiant d’une protection </w:t>
      </w:r>
      <w:r w:rsidR="0084356A" w:rsidRPr="007C28D2">
        <w:t xml:space="preserve">contre la discrimination </w:t>
      </w:r>
      <w:r w:rsidRPr="007C28D2">
        <w:t>fondée sur un motif énuméré ou analogue »</w:t>
      </w:r>
      <w:r w:rsidRPr="007C28D2">
        <w:rPr>
          <w:vertAlign w:val="superscript"/>
        </w:rPr>
        <w:footnoteReference w:id="218"/>
      </w:r>
      <w:r w:rsidRPr="007C28D2">
        <w:t>. Plutôt que de cibler directement les membres d’un groupe protégé et de les soumettre à un traitement distinct, « la loi le fait indirectement »</w:t>
      </w:r>
      <w:r w:rsidRPr="007C28D2">
        <w:rPr>
          <w:vertAlign w:val="superscript"/>
        </w:rPr>
        <w:footnoteReference w:id="219"/>
      </w:r>
      <w:r w:rsidRPr="007C28D2">
        <w:t>.</w:t>
      </w:r>
    </w:p>
    <w:p w14:paraId="0E0930D8" w14:textId="38171F05" w:rsidR="001A3EF8" w:rsidRPr="001A3EF8" w:rsidRDefault="001A3EF8" w:rsidP="00571F09">
      <w:pPr>
        <w:pStyle w:val="Paragraphe"/>
        <w:spacing w:line="280" w:lineRule="exact"/>
      </w:pPr>
      <w:r w:rsidRPr="001A3EF8">
        <w:t xml:space="preserve">C’est cette forme de </w:t>
      </w:r>
      <w:r w:rsidRPr="00C87EC1">
        <w:t xml:space="preserve">discrimination </w:t>
      </w:r>
      <w:r w:rsidR="00A56FE2">
        <w:t xml:space="preserve">dont il </w:t>
      </w:r>
      <w:r w:rsidR="006409C7" w:rsidRPr="00C87EC1">
        <w:t>s’agit</w:t>
      </w:r>
      <w:r w:rsidRPr="00C87EC1">
        <w:t xml:space="preserve"> ici</w:t>
      </w:r>
      <w:r w:rsidRPr="001A3EF8">
        <w:t> : l</w:t>
      </w:r>
      <w:r w:rsidR="00F360B7">
        <w:t xml:space="preserve">’art. 636 </w:t>
      </w:r>
      <w:r w:rsidR="00F360B7" w:rsidRPr="00F360B7">
        <w:rPr>
          <w:i/>
          <w:iCs/>
        </w:rPr>
        <w:t>C.s.r</w:t>
      </w:r>
      <w:r w:rsidR="00F360B7">
        <w:t>.</w:t>
      </w:r>
      <w:r w:rsidRPr="001A3EF8">
        <w:t>, quoique neutre en apparence, aurait un effet disproportionné et discriminatoire sur les conducteurs de race noire.</w:t>
      </w:r>
    </w:p>
    <w:p w14:paraId="4A637F93" w14:textId="03F9D074" w:rsidR="001A3EF8" w:rsidRPr="000B559F" w:rsidRDefault="001A3EF8" w:rsidP="00571F09">
      <w:pPr>
        <w:pStyle w:val="Paragraphe"/>
        <w:spacing w:line="280" w:lineRule="exact"/>
      </w:pPr>
      <w:r w:rsidRPr="001A3EF8">
        <w:t xml:space="preserve">Le critère applicable pour statuer sur une demande </w:t>
      </w:r>
      <w:r w:rsidR="000B7EEC">
        <w:t>fondée sur le</w:t>
      </w:r>
      <w:r w:rsidRPr="001A3EF8">
        <w:t xml:space="preserve"> par. 15(1) de la </w:t>
      </w:r>
      <w:r w:rsidRPr="001A3EF8">
        <w:rPr>
          <w:i/>
          <w:iCs/>
        </w:rPr>
        <w:t>Charte</w:t>
      </w:r>
      <w:r w:rsidRPr="001A3EF8">
        <w:t xml:space="preserve"> a évolué au fil du temps</w:t>
      </w:r>
      <w:r w:rsidRPr="001A3EF8">
        <w:rPr>
          <w:vertAlign w:val="superscript"/>
        </w:rPr>
        <w:footnoteReference w:id="220"/>
      </w:r>
      <w:r w:rsidRPr="001A3EF8">
        <w:t xml:space="preserve">. </w:t>
      </w:r>
      <w:r w:rsidRPr="000B559F">
        <w:t>Dans</w:t>
      </w:r>
      <w:r w:rsidR="00F25741">
        <w:t xml:space="preserve"> l’arrêt</w:t>
      </w:r>
      <w:r w:rsidRPr="000B559F">
        <w:t xml:space="preserve"> </w:t>
      </w:r>
      <w:r w:rsidRPr="000B559F">
        <w:rPr>
          <w:i/>
          <w:iCs/>
        </w:rPr>
        <w:t>Sharma</w:t>
      </w:r>
      <w:r w:rsidRPr="000B559F">
        <w:t>, rendu peu de temps après le jugement de première instance, la Cour suprême vient clarifier l’état du droit sur la question</w:t>
      </w:r>
      <w:r w:rsidRPr="001A3EF8">
        <w:rPr>
          <w:vertAlign w:val="superscript"/>
        </w:rPr>
        <w:footnoteReference w:id="221"/>
      </w:r>
      <w:r w:rsidRPr="000B559F">
        <w:t xml:space="preserve">. Elle </w:t>
      </w:r>
      <w:r w:rsidR="00BA4D5F">
        <w:t xml:space="preserve">rappelle </w:t>
      </w:r>
      <w:r w:rsidRPr="000B559F">
        <w:t>d’abord le</w:t>
      </w:r>
      <w:r w:rsidR="00BA4D5F">
        <w:t>s</w:t>
      </w:r>
      <w:r w:rsidRPr="000B559F">
        <w:t xml:space="preserve"> deux volets </w:t>
      </w:r>
      <w:r w:rsidR="00BA4D5F">
        <w:t>du critère</w:t>
      </w:r>
      <w:r w:rsidRPr="000B559F">
        <w:t> :</w:t>
      </w:r>
    </w:p>
    <w:p w14:paraId="66220BCF" w14:textId="708AAF6B" w:rsidR="001A3EF8" w:rsidRPr="007C28D2" w:rsidRDefault="001A3EF8" w:rsidP="00EA1914">
      <w:pPr>
        <w:pStyle w:val="Citationenretrait"/>
      </w:pPr>
      <w:r w:rsidRPr="007C28D2">
        <w:t>[28]</w:t>
      </w:r>
      <w:r w:rsidR="00EA1914" w:rsidRPr="007C28D2">
        <w:tab/>
      </w:r>
      <w:r w:rsidRPr="007C28D2">
        <w:t>Le critère à deux volets applicable pour évaluer une demande fondée sur le par. 15(1) n’est pas en cause en l’espèce. Ce critère oblige le demandeur à démontrer que la loi ou la mesure de l’État contestée :</w:t>
      </w:r>
    </w:p>
    <w:p w14:paraId="432BE322" w14:textId="77777777" w:rsidR="001A3EF8" w:rsidRPr="007C28D2" w:rsidRDefault="001A3EF8" w:rsidP="001A3EF8">
      <w:pPr>
        <w:tabs>
          <w:tab w:val="left" w:pos="1560"/>
        </w:tabs>
        <w:spacing w:before="120" w:after="120"/>
        <w:ind w:left="1560" w:right="720" w:hanging="284"/>
        <w:jc w:val="both"/>
        <w:rPr>
          <w:kern w:val="24"/>
          <w:sz w:val="22"/>
        </w:rPr>
      </w:pPr>
      <w:r w:rsidRPr="007C28D2">
        <w:rPr>
          <w:kern w:val="24"/>
          <w:sz w:val="22"/>
        </w:rPr>
        <w:t>a)</w:t>
      </w:r>
      <w:r w:rsidRPr="007C28D2">
        <w:rPr>
          <w:kern w:val="24"/>
          <w:sz w:val="22"/>
        </w:rPr>
        <w:tab/>
        <w:t>crée, à première vue ou de par son effet, une distinction fondée sur un motif énuméré ou analogue;</w:t>
      </w:r>
    </w:p>
    <w:p w14:paraId="05B56E84" w14:textId="42087078" w:rsidR="001A3EF8" w:rsidRPr="007C28D2" w:rsidRDefault="001A3EF8" w:rsidP="001A3EF8">
      <w:pPr>
        <w:tabs>
          <w:tab w:val="left" w:pos="1560"/>
        </w:tabs>
        <w:spacing w:before="120" w:after="120"/>
        <w:ind w:left="1560" w:right="720" w:hanging="284"/>
        <w:jc w:val="both"/>
        <w:rPr>
          <w:kern w:val="24"/>
          <w:sz w:val="22"/>
        </w:rPr>
      </w:pPr>
      <w:r w:rsidRPr="007C28D2">
        <w:rPr>
          <w:kern w:val="24"/>
          <w:sz w:val="22"/>
        </w:rPr>
        <w:t>b) impose un fardeau ou nie un avantage d’une manière qui a pour effet de renforcer, de perpétuer ou d’accentuer le désavantage</w:t>
      </w:r>
      <w:r w:rsidR="0046117A" w:rsidRPr="007C28D2">
        <w:rPr>
          <w:kern w:val="24"/>
          <w:sz w:val="22"/>
        </w:rPr>
        <w:t xml:space="preserve"> […]</w:t>
      </w:r>
      <w:r w:rsidRPr="007C28D2">
        <w:rPr>
          <w:kern w:val="24"/>
          <w:sz w:val="22"/>
        </w:rPr>
        <w:t>.</w:t>
      </w:r>
    </w:p>
    <w:p w14:paraId="1C5D654B" w14:textId="77777777" w:rsidR="001A3EF8" w:rsidRPr="001A3EF8" w:rsidRDefault="001A3EF8" w:rsidP="00EA1914">
      <w:pPr>
        <w:pStyle w:val="Citationenretrait"/>
        <w:jc w:val="right"/>
      </w:pPr>
      <w:r w:rsidRPr="007C28D2">
        <w:t>[Renvois omis]</w:t>
      </w:r>
    </w:p>
    <w:p w14:paraId="4603AF95" w14:textId="386833FA" w:rsidR="001A3EF8" w:rsidRPr="007C28D2" w:rsidRDefault="001A3EF8" w:rsidP="00571F09">
      <w:pPr>
        <w:pStyle w:val="Paragraphe"/>
        <w:spacing w:line="280" w:lineRule="exact"/>
      </w:pPr>
      <w:r w:rsidRPr="007C28D2">
        <w:t>La forme de discrimination alléguée n’influe pas sur l’analyse : le même critère s’applique, « peu importe que la discrimination alléguée soit directe ou indirecte »</w:t>
      </w:r>
      <w:r w:rsidRPr="007C28D2">
        <w:rPr>
          <w:vertAlign w:val="superscript"/>
        </w:rPr>
        <w:footnoteReference w:id="222"/>
      </w:r>
      <w:r w:rsidRPr="007C28D2">
        <w:t>. La mise en application de ce critère est toutefois susceptible de poser des défis particuliers lorsqu’il est question de discrimination par suite d’un effet préjudiciable</w:t>
      </w:r>
      <w:r w:rsidRPr="007C28D2">
        <w:rPr>
          <w:vertAlign w:val="superscript"/>
        </w:rPr>
        <w:footnoteReference w:id="223"/>
      </w:r>
      <w:r w:rsidRPr="007C28D2">
        <w:t>. Pour limiter les difficultés, l’analyse effectuée à chacune des étapes doit demeurer distincte</w:t>
      </w:r>
      <w:r w:rsidRPr="007C28D2">
        <w:rPr>
          <w:szCs w:val="24"/>
          <w:vertAlign w:val="superscript"/>
        </w:rPr>
        <w:footnoteReference w:id="224"/>
      </w:r>
      <w:r w:rsidRPr="007C28D2">
        <w:rPr>
          <w:szCs w:val="24"/>
        </w:rPr>
        <w:t>.</w:t>
      </w:r>
    </w:p>
    <w:p w14:paraId="1673CFF5" w14:textId="7FBEE23B" w:rsidR="001A3EF8" w:rsidRPr="001A3EF8" w:rsidRDefault="001A3EF8" w:rsidP="00571F09">
      <w:pPr>
        <w:pStyle w:val="Paragraphe"/>
        <w:spacing w:line="280" w:lineRule="exact"/>
      </w:pPr>
      <w:r w:rsidRPr="001A3EF8">
        <w:t>La première étape consiste à se demander si la loi contestée crée un effet disproportionné sur les membres du groupe protégé par rapport aux personnes qui ne font pas partie de ce groupe</w:t>
      </w:r>
      <w:r w:rsidRPr="001A3EF8">
        <w:rPr>
          <w:vertAlign w:val="superscript"/>
        </w:rPr>
        <w:footnoteReference w:id="225"/>
      </w:r>
      <w:r w:rsidRPr="001A3EF8">
        <w:t xml:space="preserve">. </w:t>
      </w:r>
    </w:p>
    <w:p w14:paraId="73FDA1E6" w14:textId="2808B06B" w:rsidR="001A3EF8" w:rsidRPr="007C28D2" w:rsidRDefault="001A3EF8" w:rsidP="00571F09">
      <w:pPr>
        <w:pStyle w:val="Paragraphe"/>
        <w:spacing w:line="280" w:lineRule="exact"/>
      </w:pPr>
      <w:r w:rsidRPr="007C28D2">
        <w:t xml:space="preserve">Dans </w:t>
      </w:r>
      <w:r w:rsidRPr="007C28D2">
        <w:rPr>
          <w:i/>
          <w:iCs/>
        </w:rPr>
        <w:t>Sharma</w:t>
      </w:r>
      <w:r w:rsidRPr="007C28D2">
        <w:t>, la Cour suprême précise que « [l’]obligation de démontrer l’existence d’un effet disproportionné entraîne nécessairement un exercice de comparaison »</w:t>
      </w:r>
      <w:r w:rsidRPr="007C28D2">
        <w:rPr>
          <w:vertAlign w:val="superscript"/>
        </w:rPr>
        <w:footnoteReference w:id="226"/>
      </w:r>
      <w:r w:rsidRPr="007C28D2">
        <w:t>. Il n’est toutefois plus question d’exiger un « groupe de comparaison aux caractéristiques identiques »</w:t>
      </w:r>
      <w:r w:rsidRPr="007C28D2">
        <w:rPr>
          <w:vertAlign w:val="superscript"/>
        </w:rPr>
        <w:footnoteReference w:id="227"/>
      </w:r>
      <w:r w:rsidRPr="007C28D2">
        <w:t>. La comparaison s’établit « entre le groupe demandeur et d’autres groupes ou la population générale »</w:t>
      </w:r>
      <w:r w:rsidRPr="007C28D2">
        <w:rPr>
          <w:vertAlign w:val="superscript"/>
        </w:rPr>
        <w:footnoteReference w:id="228"/>
      </w:r>
      <w:r w:rsidRPr="007C28D2">
        <w:t>. L’exercice de comparaison doit permettre de constater que « le demandeur est traité différemment des autres, que ce soit directement ou indirectement »</w:t>
      </w:r>
      <w:r w:rsidRPr="007C28D2">
        <w:rPr>
          <w:vertAlign w:val="superscript"/>
        </w:rPr>
        <w:footnoteReference w:id="229"/>
      </w:r>
      <w:r w:rsidRPr="007C28D2">
        <w:t>.</w:t>
      </w:r>
    </w:p>
    <w:p w14:paraId="6438E1B9" w14:textId="1F891287" w:rsidR="001A3EF8" w:rsidRPr="007C28D2" w:rsidRDefault="001A3EF8" w:rsidP="00571F09">
      <w:pPr>
        <w:pStyle w:val="Paragraphe"/>
        <w:spacing w:line="280" w:lineRule="exact"/>
      </w:pPr>
      <w:r w:rsidRPr="007C28D2">
        <w:t>Dans les cas de discrimination par suite d’un effet préjudiciable, le demandeur doit démontrer un lien de causalité entre la loi contestée et l’effet discriminatoire</w:t>
      </w:r>
      <w:r w:rsidRPr="007C28D2">
        <w:rPr>
          <w:vertAlign w:val="superscript"/>
        </w:rPr>
        <w:footnoteReference w:id="230"/>
      </w:r>
      <w:r w:rsidRPr="007C28D2">
        <w:t>. Ce lien sera établi si le demandeur prouve que</w:t>
      </w:r>
      <w:r w:rsidR="00541231" w:rsidRPr="007C28D2">
        <w:t xml:space="preserve"> </w:t>
      </w:r>
      <w:r w:rsidRPr="007C28D2">
        <w:t xml:space="preserve">« la loi contestée </w:t>
      </w:r>
      <w:r w:rsidRPr="007C28D2">
        <w:rPr>
          <w:i/>
          <w:iCs/>
        </w:rPr>
        <w:t>crée</w:t>
      </w:r>
      <w:r w:rsidRPr="007C28D2">
        <w:t xml:space="preserve"> un effet disproportionné en raison d’une distinction fondée sur un motif protégé ou </w:t>
      </w:r>
      <w:r w:rsidRPr="007C28D2">
        <w:rPr>
          <w:i/>
          <w:iCs/>
        </w:rPr>
        <w:t>contribue</w:t>
      </w:r>
      <w:r w:rsidRPr="007C28D2">
        <w:t xml:space="preserve"> à cet effet »</w:t>
      </w:r>
      <w:r w:rsidRPr="007C28D2">
        <w:rPr>
          <w:vertAlign w:val="superscript"/>
        </w:rPr>
        <w:footnoteReference w:id="231"/>
      </w:r>
      <w:r w:rsidRPr="007C28D2">
        <w:t>.</w:t>
      </w:r>
    </w:p>
    <w:p w14:paraId="75386912" w14:textId="2AEF93E7" w:rsidR="001A3EF8" w:rsidRPr="001A3EF8" w:rsidRDefault="001A3EF8" w:rsidP="00571F09">
      <w:pPr>
        <w:pStyle w:val="Paragraphe"/>
        <w:spacing w:line="280" w:lineRule="exact"/>
      </w:pPr>
      <w:r w:rsidRPr="001A3EF8">
        <w:t>Deux types d’éléments de preuve sont utiles pour prouver l’effet disproportionné de la loi : les éléments de preuve portant sur « tous les éléments contextuels de la situation du groupe de demandeurs »</w:t>
      </w:r>
      <w:r w:rsidRPr="001A3EF8">
        <w:rPr>
          <w:vertAlign w:val="superscript"/>
        </w:rPr>
        <w:footnoteReference w:id="232"/>
      </w:r>
      <w:r w:rsidRPr="001A3EF8">
        <w:t xml:space="preserve"> et les éléments de preuve </w:t>
      </w:r>
      <w:r w:rsidR="00CA634E">
        <w:t xml:space="preserve">portant </w:t>
      </w:r>
      <w:r w:rsidRPr="001A3EF8">
        <w:t>sur les conséquences pratiques (réelles) de la loi sur le groupe</w:t>
      </w:r>
      <w:r w:rsidRPr="001A3EF8">
        <w:rPr>
          <w:vertAlign w:val="superscript"/>
        </w:rPr>
        <w:footnoteReference w:id="233"/>
      </w:r>
      <w:r w:rsidRPr="001A3EF8">
        <w:t>.</w:t>
      </w:r>
    </w:p>
    <w:p w14:paraId="1023C2D7" w14:textId="2ABF7FDD" w:rsidR="001A3EF8" w:rsidRPr="001A3EF8" w:rsidRDefault="001A3EF8" w:rsidP="00571F09">
      <w:pPr>
        <w:pStyle w:val="Paragraphe"/>
        <w:spacing w:line="280" w:lineRule="exact"/>
      </w:pPr>
      <w:r w:rsidRPr="001A3EF8">
        <w:t>Idéalement, les allégations de discrimination par suite d’un effet préjudiciable devraient être étayées par ces deux types d’éléments de preuve</w:t>
      </w:r>
      <w:r w:rsidRPr="001A3EF8">
        <w:rPr>
          <w:vertAlign w:val="superscript"/>
        </w:rPr>
        <w:footnoteReference w:id="234"/>
      </w:r>
      <w:r w:rsidRPr="001A3EF8">
        <w:t xml:space="preserve">. Dans </w:t>
      </w:r>
      <w:r w:rsidRPr="001A3EF8">
        <w:rPr>
          <w:i/>
          <w:iCs/>
        </w:rPr>
        <w:t>Sharma</w:t>
      </w:r>
      <w:r w:rsidRPr="001A3EF8">
        <w:t>, la Cour suprême énonce les facteurs dont les tribunaux devraient tenir compte pour décider si le demandeur s’est acquitté de son fardeau de preuve :</w:t>
      </w:r>
    </w:p>
    <w:p w14:paraId="46F669C7" w14:textId="77777777" w:rsidR="001A3EF8" w:rsidRPr="007C28D2" w:rsidRDefault="001A3EF8" w:rsidP="00541231">
      <w:pPr>
        <w:pStyle w:val="Citationenretrait"/>
      </w:pPr>
      <w:r w:rsidRPr="007C28D2">
        <w:t>[49]</w:t>
      </w:r>
      <w:r w:rsidRPr="007C28D2">
        <w:tab/>
        <w:t>[…] À cet égard, les tribunaux devraient tenir compte des facteurs suivants :</w:t>
      </w:r>
    </w:p>
    <w:p w14:paraId="7644CF8E" w14:textId="332E0A9D" w:rsidR="001A3EF8" w:rsidRPr="007C28D2" w:rsidRDefault="001A3EF8" w:rsidP="003E28E2">
      <w:pPr>
        <w:pStyle w:val="Citationenretrait"/>
      </w:pPr>
      <w:r w:rsidRPr="007C28D2">
        <w:t>a)</w:t>
      </w:r>
      <w:r w:rsidR="003E28E2">
        <w:rPr>
          <w:sz w:val="10"/>
          <w:szCs w:val="10"/>
        </w:rPr>
        <w:tab/>
      </w:r>
      <w:r w:rsidRPr="007C28D2">
        <w:t>Aucune forme particulière de preuve n’est requise.</w:t>
      </w:r>
    </w:p>
    <w:p w14:paraId="48DB79BD" w14:textId="08AF4810" w:rsidR="001A3EF8" w:rsidRPr="007C28D2" w:rsidRDefault="001A3EF8" w:rsidP="003E28E2">
      <w:pPr>
        <w:pStyle w:val="Citationenretrait"/>
        <w:ind w:left="1440" w:hanging="720"/>
      </w:pPr>
      <w:r w:rsidRPr="007C28D2">
        <w:t>b)</w:t>
      </w:r>
      <w:r w:rsidRPr="007C28D2">
        <w:rPr>
          <w:sz w:val="10"/>
          <w:szCs w:val="10"/>
        </w:rPr>
        <w:tab/>
      </w:r>
      <w:r w:rsidRPr="007C28D2">
        <w:t>Le demandeur n’a pas à démontrer que la loi ou la mesure de l’État contestée était la</w:t>
      </w:r>
      <w:r w:rsidR="003E28E2">
        <w:t xml:space="preserve"> </w:t>
      </w:r>
      <w:r w:rsidRPr="007C28D2">
        <w:rPr>
          <w:i/>
          <w:iCs/>
        </w:rPr>
        <w:t>seule</w:t>
      </w:r>
      <w:r w:rsidR="003E28E2">
        <w:t xml:space="preserve"> </w:t>
      </w:r>
      <w:r w:rsidRPr="007C28D2">
        <w:t>ou la</w:t>
      </w:r>
      <w:r w:rsidR="003E28E2">
        <w:t xml:space="preserve"> </w:t>
      </w:r>
      <w:r w:rsidRPr="007C28D2">
        <w:rPr>
          <w:i/>
          <w:iCs/>
        </w:rPr>
        <w:t>principale</w:t>
      </w:r>
      <w:r w:rsidR="003E28E2">
        <w:t xml:space="preserve"> </w:t>
      </w:r>
      <w:r w:rsidRPr="007C28D2">
        <w:t>cause de l’effet disproportionné; il lui suffit de démontrer que la loi était</w:t>
      </w:r>
      <w:r w:rsidR="003E28E2">
        <w:t xml:space="preserve"> </w:t>
      </w:r>
      <w:r w:rsidRPr="007C28D2">
        <w:rPr>
          <w:i/>
          <w:iCs/>
        </w:rPr>
        <w:t>une</w:t>
      </w:r>
      <w:r w:rsidR="003E28E2">
        <w:rPr>
          <w:i/>
          <w:iCs/>
        </w:rPr>
        <w:t xml:space="preserve"> </w:t>
      </w:r>
      <w:r w:rsidRPr="007C28D2">
        <w:t>cause (c’est</w:t>
      </w:r>
      <w:r w:rsidRPr="007C28D2">
        <w:noBreakHyphen/>
        <w:t>à</w:t>
      </w:r>
      <w:r w:rsidRPr="007C28D2">
        <w:noBreakHyphen/>
        <w:t>dire que la loi a créé l’effet disproportionné en question sur un groupe protégé</w:t>
      </w:r>
      <w:r w:rsidR="003E28E2">
        <w:t xml:space="preserve"> </w:t>
      </w:r>
      <w:r w:rsidRPr="007C28D2">
        <w:rPr>
          <w:i/>
          <w:iCs/>
        </w:rPr>
        <w:t>ou</w:t>
      </w:r>
      <w:r w:rsidR="003E28E2">
        <w:t xml:space="preserve"> </w:t>
      </w:r>
      <w:r w:rsidRPr="007C28D2">
        <w:rPr>
          <w:i/>
          <w:iCs/>
        </w:rPr>
        <w:t>y a contribué</w:t>
      </w:r>
      <w:r w:rsidRPr="007C28D2">
        <w:t>).</w:t>
      </w:r>
    </w:p>
    <w:p w14:paraId="26DA2AF1" w14:textId="77777777" w:rsidR="001A3EF8" w:rsidRPr="007C28D2" w:rsidRDefault="001A3EF8" w:rsidP="003779DA">
      <w:pPr>
        <w:pStyle w:val="Citationenretrait"/>
        <w:ind w:left="1440" w:hanging="720"/>
      </w:pPr>
      <w:r w:rsidRPr="007C28D2">
        <w:t>c)</w:t>
      </w:r>
      <w:r w:rsidRPr="007C28D2">
        <w:rPr>
          <w:sz w:val="10"/>
          <w:szCs w:val="10"/>
        </w:rPr>
        <w:tab/>
      </w:r>
      <w:r w:rsidRPr="007C28D2">
        <w:t>Le lien de causalité peut être établi par une inférence raisonnable. Selon la nature de la loi contestée ou de la mesure de l’État contestée, le lien de causalité peut être évident et ne nécessiter aucune preuve. Lorsque des éléments de preuve sont requis, les tribunaux doivent garder à l’esprit qu’il n’existe pas nécessairement de statistiques. Des témoignages d’experts, des études de cas ou d’autres preuves qualitatives peuvent suffire. Dans tous les cas, les tribunaux devraient examiner les éléments de preuve qui visent à démontrer l’existence d’un lien de causalité pour s’assurer qu’ils sont conformes aux normes associées à leur discipline.</w:t>
      </w:r>
    </w:p>
    <w:p w14:paraId="1AAE2CE1" w14:textId="715B924C" w:rsidR="001A3EF8" w:rsidRPr="007C28D2" w:rsidRDefault="001A3EF8" w:rsidP="003779DA">
      <w:pPr>
        <w:pStyle w:val="Citationenretrait"/>
        <w:ind w:left="1440" w:hanging="720"/>
      </w:pPr>
      <w:r w:rsidRPr="007C28D2">
        <w:t>d)</w:t>
      </w:r>
      <w:r w:rsidRPr="007C28D2">
        <w:rPr>
          <w:sz w:val="10"/>
          <w:szCs w:val="10"/>
        </w:rPr>
        <w:tab/>
      </w:r>
      <w:r w:rsidRPr="007C28D2">
        <w:t>Les tribunaux devraient examiner attentivement les preuves scientifiques</w:t>
      </w:r>
      <w:r w:rsidR="00E740B3">
        <w:t> </w:t>
      </w:r>
      <w:r w:rsidRPr="007C28D2">
        <w:t>[…].</w:t>
      </w:r>
    </w:p>
    <w:p w14:paraId="26FC7899" w14:textId="77777777" w:rsidR="001A3EF8" w:rsidRDefault="001A3EF8" w:rsidP="003779DA">
      <w:pPr>
        <w:pStyle w:val="Citationenretrait"/>
        <w:ind w:left="1440" w:hanging="720"/>
      </w:pPr>
      <w:r w:rsidRPr="007C28D2">
        <w:t>e)</w:t>
      </w:r>
      <w:r w:rsidRPr="007C28D2">
        <w:rPr>
          <w:sz w:val="10"/>
          <w:szCs w:val="10"/>
        </w:rPr>
        <w:tab/>
      </w:r>
      <w:r w:rsidRPr="007C28D2">
        <w:t>Si les preuves scientifiques sont nouvelles, les tribunaux ne devraient les admettre que si elles ont un [</w:t>
      </w:r>
      <w:r w:rsidRPr="007C28D2">
        <w:rPr>
          <w:smallCaps/>
        </w:rPr>
        <w:t>traduction</w:t>
      </w:r>
      <w:r w:rsidRPr="007C28D2">
        <w:t>] « fondement fiable » […].</w:t>
      </w:r>
    </w:p>
    <w:p w14:paraId="76E8D5AB" w14:textId="6D2EB3B9" w:rsidR="00E740B3" w:rsidRPr="001A3EF8" w:rsidRDefault="00E740B3" w:rsidP="00E740B3">
      <w:pPr>
        <w:pStyle w:val="Citationenretrait"/>
        <w:ind w:left="1440" w:hanging="720"/>
        <w:jc w:val="right"/>
      </w:pPr>
      <w:r>
        <w:t>[Italiques dans l’original]</w:t>
      </w:r>
    </w:p>
    <w:p w14:paraId="3EAB5CA6" w14:textId="7CA1D866" w:rsidR="001A3EF8" w:rsidRPr="001A3EF8" w:rsidRDefault="001A3EF8" w:rsidP="00571F09">
      <w:pPr>
        <w:pStyle w:val="Paragraphe"/>
        <w:spacing w:line="280" w:lineRule="exact"/>
      </w:pPr>
      <w:r w:rsidRPr="001A3EF8">
        <w:t xml:space="preserve">En somme, à la première étape, le demandeur doit démontrer que la disposition contestée crée un effet disproportionné pour un motif protégé sur le groupe de </w:t>
      </w:r>
      <w:r w:rsidRPr="00C87EC1">
        <w:t>demandeur</w:t>
      </w:r>
      <w:r w:rsidR="00DD623B" w:rsidRPr="00C87EC1">
        <w:t>s</w:t>
      </w:r>
      <w:r w:rsidRPr="00C87EC1">
        <w:t xml:space="preserve"> par rapport</w:t>
      </w:r>
      <w:r w:rsidRPr="001A3EF8">
        <w:t xml:space="preserve"> à d’autres groupes ou </w:t>
      </w:r>
      <w:r w:rsidR="00055A17">
        <w:t xml:space="preserve">qu’elle </w:t>
      </w:r>
      <w:r w:rsidRPr="001A3EF8">
        <w:t>contribue à cet effet</w:t>
      </w:r>
      <w:r w:rsidRPr="001A3EF8">
        <w:rPr>
          <w:vertAlign w:val="superscript"/>
        </w:rPr>
        <w:footnoteReference w:id="235"/>
      </w:r>
      <w:r w:rsidRPr="001A3EF8">
        <w:t>. Bien que ce fardeau ne soit pas excessif, le demandeur doit s’en acquitter</w:t>
      </w:r>
      <w:r w:rsidRPr="001A3EF8">
        <w:rPr>
          <w:vertAlign w:val="superscript"/>
        </w:rPr>
        <w:footnoteReference w:id="236"/>
      </w:r>
      <w:r w:rsidRPr="001A3EF8">
        <w:t>.</w:t>
      </w:r>
    </w:p>
    <w:p w14:paraId="4F0E28B1" w14:textId="271AAF8B" w:rsidR="001A3EF8" w:rsidRPr="007C28D2" w:rsidRDefault="001A3EF8" w:rsidP="00571F09">
      <w:pPr>
        <w:pStyle w:val="Paragraphe"/>
        <w:spacing w:line="280" w:lineRule="exact"/>
      </w:pPr>
      <w:r w:rsidRPr="007C28D2">
        <w:t>La deuxième étape de l’analyse oblige le demandeur à prouver que « la loi contestée impose un fardeau ou nie un avantage d’une manière qui a pour effet de renforcer, de perpétuer ou d’accentuer le désavantage subi par le groupe touché »</w:t>
      </w:r>
      <w:r w:rsidRPr="007C28D2">
        <w:rPr>
          <w:vertAlign w:val="superscript"/>
        </w:rPr>
        <w:footnoteReference w:id="237"/>
      </w:r>
      <w:r w:rsidRPr="007C28D2">
        <w:t>. Le fait de laisser subsister un tel désavantage ne suffit pas</w:t>
      </w:r>
      <w:r w:rsidRPr="007C28D2">
        <w:rPr>
          <w:vertAlign w:val="superscript"/>
        </w:rPr>
        <w:footnoteReference w:id="238"/>
      </w:r>
      <w:r w:rsidRPr="007C28D2">
        <w:t>. L’objectif à cette étape « est d’examiner l’effet du préjudice causé au groupe touché »</w:t>
      </w:r>
      <w:r w:rsidRPr="007C28D2">
        <w:rPr>
          <w:vertAlign w:val="superscript"/>
        </w:rPr>
        <w:footnoteReference w:id="239"/>
      </w:r>
      <w:r w:rsidRPr="007C28D2">
        <w:t>.</w:t>
      </w:r>
    </w:p>
    <w:p w14:paraId="6D3BE6B7" w14:textId="472BDFBD" w:rsidR="001A3EF8" w:rsidRPr="007C28D2" w:rsidRDefault="001A3EF8" w:rsidP="00512142">
      <w:pPr>
        <w:pStyle w:val="Paragraphe"/>
        <w:spacing w:line="280" w:lineRule="exact"/>
      </w:pPr>
      <w:r w:rsidRPr="007C28D2">
        <w:t xml:space="preserve">L’accent est donc mis « non pas sur la question de “savoir s’il existe une </w:t>
      </w:r>
      <w:r w:rsidRPr="00391801">
        <w:t>attitude</w:t>
      </w:r>
      <w:r w:rsidR="00B314EC" w:rsidRPr="00391801">
        <w:t> </w:t>
      </w:r>
      <w:r w:rsidRPr="00391801">
        <w:t>[…] discriminatoire” ou si une distinction “perpétue une attitude négative” à</w:t>
      </w:r>
      <w:r w:rsidRPr="007C28D2">
        <w:t xml:space="preserve"> l’endroit d’un groupe défavorisé, mais plutôt sur l’</w:t>
      </w:r>
      <w:r w:rsidRPr="007C28D2">
        <w:rPr>
          <w:i/>
          <w:iCs/>
        </w:rPr>
        <w:t>effet</w:t>
      </w:r>
      <w:r w:rsidRPr="007C28D2">
        <w:t xml:space="preserve"> discriminatoire de la distinction »</w:t>
      </w:r>
      <w:r w:rsidRPr="007C28D2">
        <w:rPr>
          <w:vertAlign w:val="superscript"/>
        </w:rPr>
        <w:footnoteReference w:id="240"/>
      </w:r>
      <w:r w:rsidRPr="007C28D2">
        <w:t xml:space="preserve">. Comme l’explique la juge Abella dans l’arrêt </w:t>
      </w:r>
      <w:r w:rsidRPr="007C28D2">
        <w:rPr>
          <w:i/>
          <w:iCs/>
        </w:rPr>
        <w:t>Québec (Procureur général) c. A.</w:t>
      </w:r>
      <w:r w:rsidRPr="007C28D2">
        <w:t xml:space="preserve"> : </w:t>
      </w:r>
    </w:p>
    <w:p w14:paraId="2E0EE135" w14:textId="6CC8B5B6" w:rsidR="001A3EF8" w:rsidRPr="001A3EF8" w:rsidRDefault="001A3EF8" w:rsidP="00541231">
      <w:pPr>
        <w:pStyle w:val="Citationenretrait"/>
      </w:pPr>
      <w:r w:rsidRPr="007C28D2">
        <w:t>[332]</w:t>
      </w:r>
      <w:r w:rsidRPr="007C28D2">
        <w:tab/>
        <w:t>À la base, l’art. 15 résulte d’une prise de conscience que certains groupes ont depuis longtemps été victimes de discrimination, et qu’il faut mettre fin à la perpétuation de cette discrimination. Les actes de l’État qui ont pour effet d’élargir, au lieu de rétrécir, l’écart entre le groupe historiquement défavorisé et le reste de la société sont discriminatoires. […]</w:t>
      </w:r>
      <w:r w:rsidR="00AB7AD2" w:rsidRPr="007C28D2">
        <w:rPr>
          <w:vertAlign w:val="superscript"/>
        </w:rPr>
        <w:footnoteReference w:id="241"/>
      </w:r>
    </w:p>
    <w:p w14:paraId="0BE2894C" w14:textId="77777777" w:rsidR="001A3EF8" w:rsidRPr="007C28D2" w:rsidRDefault="001A3EF8" w:rsidP="00512142">
      <w:pPr>
        <w:pStyle w:val="Paragraphe"/>
        <w:spacing w:line="280" w:lineRule="exact"/>
      </w:pPr>
      <w:r w:rsidRPr="007C28D2">
        <w:t>Le préjudice « peut prendre la forme d’une exclusion ou d’un désavantage économique, d’une exclusion sociale, de préjudices psychologiques, de préjudices physiques ou d’une exclusion politique »</w:t>
      </w:r>
      <w:r w:rsidRPr="007C28D2">
        <w:rPr>
          <w:vertAlign w:val="superscript"/>
        </w:rPr>
        <w:footnoteReference w:id="242"/>
      </w:r>
      <w:r w:rsidRPr="007C28D2">
        <w:t>. Il doit par ailleurs être apprécié au regard des désavantages historiques ou systémiques auxquels fait face le groupe protégé</w:t>
      </w:r>
      <w:r w:rsidRPr="007C28D2">
        <w:rPr>
          <w:vertAlign w:val="superscript"/>
        </w:rPr>
        <w:footnoteReference w:id="243"/>
      </w:r>
      <w:r w:rsidRPr="007C28D2">
        <w:t xml:space="preserve">. </w:t>
      </w:r>
    </w:p>
    <w:p w14:paraId="0CB9D053" w14:textId="77777777" w:rsidR="001A3EF8" w:rsidRPr="001A3EF8" w:rsidRDefault="001A3EF8" w:rsidP="00512142">
      <w:pPr>
        <w:pStyle w:val="Paragraphe"/>
        <w:spacing w:line="280" w:lineRule="exact"/>
      </w:pPr>
      <w:r w:rsidRPr="001A3EF8">
        <w:t>La loi doit avoir une incidence négative sur les membres du groupe ou entraîner une aggravation de leur situation :</w:t>
      </w:r>
    </w:p>
    <w:p w14:paraId="4F79BDF8" w14:textId="066E6194" w:rsidR="001A3EF8" w:rsidRPr="001A3EF8" w:rsidRDefault="001A3EF8" w:rsidP="00541231">
      <w:pPr>
        <w:pStyle w:val="Citationenretrait"/>
      </w:pPr>
      <w:r w:rsidRPr="007C28D2">
        <w:t>[</w:t>
      </w:r>
      <w:bookmarkStart w:id="116" w:name="par37"/>
      <w:r w:rsidRPr="007C28D2">
        <w:t>37</w:t>
      </w:r>
      <w:bookmarkEnd w:id="116"/>
      <w:r w:rsidRPr="007C28D2">
        <w:t>]</w:t>
      </w:r>
      <w:r w:rsidRPr="007C28D2">
        <w:tab/>
        <w:t>Qu’elle vise à déterminer si un désavantage est perpétué ou si un stéréotype est appliqué, l’analyse requise par l’</w:t>
      </w:r>
      <w:r w:rsidRPr="007C28D2">
        <w:rPr>
          <w:color w:val="000000"/>
          <w:szCs w:val="18"/>
        </w:rPr>
        <w:t>art.</w:t>
      </w:r>
      <w:r w:rsidR="00E04DC5">
        <w:rPr>
          <w:color w:val="000000"/>
          <w:szCs w:val="18"/>
        </w:rPr>
        <w:t xml:space="preserve"> </w:t>
      </w:r>
      <w:r w:rsidRPr="007C28D2">
        <w:rPr>
          <w:color w:val="000000"/>
          <w:szCs w:val="18"/>
        </w:rPr>
        <w:t>15</w:t>
      </w:r>
      <w:r w:rsidR="00541231" w:rsidRPr="007C28D2">
        <w:t xml:space="preserve"> </w:t>
      </w:r>
      <w:r w:rsidRPr="007C28D2">
        <w:t>appelle l’examen de la situation des membres du groupe et de l’incidence négative de la mesure sur eux. Il s’agit d’une analyse contextuelle, non formaliste, basée sur la situation véritable du groupe et sur le risque que la mesure contestée aggrave sa situation.</w:t>
      </w:r>
      <w:r w:rsidRPr="007C28D2">
        <w:rPr>
          <w:szCs w:val="18"/>
          <w:vertAlign w:val="superscript"/>
        </w:rPr>
        <w:footnoteReference w:id="244"/>
      </w:r>
    </w:p>
    <w:p w14:paraId="0C79A751" w14:textId="77777777" w:rsidR="001A3EF8" w:rsidRPr="007C28D2" w:rsidRDefault="001A3EF8" w:rsidP="00512142">
      <w:pPr>
        <w:pStyle w:val="Paragraphe"/>
        <w:spacing w:line="280" w:lineRule="exact"/>
      </w:pPr>
      <w:r w:rsidRPr="007C28D2">
        <w:t>La loi n’a toutefois pas à avoir en soi</w:t>
      </w:r>
      <w:r w:rsidRPr="007C28D2">
        <w:rPr>
          <w:i/>
          <w:iCs/>
        </w:rPr>
        <w:t xml:space="preserve"> </w:t>
      </w:r>
      <w:r w:rsidRPr="007C28D2">
        <w:t>« pour effet de créer des obstacles sociaux ou physiques de fond qui [rendent] une règle, une exigence ou un critère particulier désavantageux pour le groupe de demandeurs »</w:t>
      </w:r>
      <w:r w:rsidRPr="007C28D2">
        <w:rPr>
          <w:vertAlign w:val="superscript"/>
        </w:rPr>
        <w:footnoteReference w:id="245"/>
      </w:r>
      <w:r w:rsidRPr="007C28D2">
        <w:t>. En effet, « “</w:t>
      </w:r>
      <w:r w:rsidRPr="007C28D2">
        <w:rPr>
          <w:color w:val="000000"/>
        </w:rPr>
        <w:t xml:space="preserve">[i]l n’est pas nécessaire de conclure que la loi </w:t>
      </w:r>
      <w:r w:rsidRPr="007C28D2">
        <w:rPr>
          <w:i/>
          <w:iCs/>
          <w:color w:val="000000"/>
        </w:rPr>
        <w:t>crée</w:t>
      </w:r>
      <w:r w:rsidRPr="007C28D2">
        <w:rPr>
          <w:color w:val="000000"/>
        </w:rPr>
        <w:t xml:space="preserve"> la discrimination qui a cours dans la société” pour conclure à une violation de l’art. 15</w:t>
      </w:r>
      <w:r w:rsidRPr="007C28D2">
        <w:t> »</w:t>
      </w:r>
      <w:r w:rsidRPr="007C28D2">
        <w:rPr>
          <w:vertAlign w:val="superscript"/>
        </w:rPr>
        <w:footnoteReference w:id="246"/>
      </w:r>
      <w:r w:rsidRPr="007C28D2">
        <w:t>.</w:t>
      </w:r>
    </w:p>
    <w:p w14:paraId="32148832" w14:textId="4CBAADA6" w:rsidR="001A3EF8" w:rsidRPr="007C28D2" w:rsidRDefault="001A3EF8" w:rsidP="00512142">
      <w:pPr>
        <w:pStyle w:val="Paragraphe"/>
        <w:spacing w:line="280" w:lineRule="exact"/>
      </w:pPr>
      <w:r w:rsidRPr="007C28D2">
        <w:t xml:space="preserve">Les facteurs contextuels à </w:t>
      </w:r>
      <w:r w:rsidR="00BA4D5F">
        <w:t>considérer</w:t>
      </w:r>
      <w:r w:rsidR="001A5C0B">
        <w:t xml:space="preserve"> dans </w:t>
      </w:r>
      <w:r w:rsidRPr="007C28D2">
        <w:t>l’analyse varieront en fonction de la nature de chaque affaire. Il n’y a pas de « modèle rigide »</w:t>
      </w:r>
      <w:r w:rsidRPr="007C28D2">
        <w:rPr>
          <w:vertAlign w:val="superscript"/>
        </w:rPr>
        <w:footnoteReference w:id="247"/>
      </w:r>
      <w:r w:rsidRPr="007C28D2">
        <w:t xml:space="preserve"> ni de formule à suivre. La présence de préjugés et l’application de stéréotypes </w:t>
      </w:r>
      <w:r w:rsidR="004F733A">
        <w:t>peuvent</w:t>
      </w:r>
      <w:r w:rsidRPr="007C28D2">
        <w:t xml:space="preserve"> s’avérer « un indice éloquent »</w:t>
      </w:r>
      <w:r w:rsidRPr="007C28D2">
        <w:rPr>
          <w:vertAlign w:val="superscript"/>
        </w:rPr>
        <w:footnoteReference w:id="248"/>
      </w:r>
      <w:r w:rsidRPr="007C28D2">
        <w:t xml:space="preserve"> du désavantage et du caractère discriminatoire de la loi contestée, mais il ne s’agit pas d’un élément essentiel</w:t>
      </w:r>
      <w:r w:rsidRPr="007C28D2">
        <w:rPr>
          <w:vertAlign w:val="superscript"/>
        </w:rPr>
        <w:footnoteReference w:id="249"/>
      </w:r>
      <w:r w:rsidRPr="007C28D2">
        <w:t>. De même, « un demandeur n’est pas tenu de prouver que la distinction [créée par la loi] est arbitraire »</w:t>
      </w:r>
      <w:r w:rsidRPr="007C28D2">
        <w:rPr>
          <w:vertAlign w:val="superscript"/>
        </w:rPr>
        <w:footnoteReference w:id="250"/>
      </w:r>
      <w:r w:rsidRPr="007C28D2">
        <w:t xml:space="preserve">, encore que ce facteur puisse </w:t>
      </w:r>
      <w:r w:rsidR="001A5C0B">
        <w:t xml:space="preserve">lui </w:t>
      </w:r>
      <w:r w:rsidRPr="007C28D2">
        <w:t>aussi constituer un indice du caractère discriminatoire de la loi</w:t>
      </w:r>
      <w:r w:rsidRPr="007C28D2">
        <w:rPr>
          <w:vertAlign w:val="superscript"/>
        </w:rPr>
        <w:footnoteReference w:id="251"/>
      </w:r>
      <w:r w:rsidRPr="007C28D2">
        <w:t>.</w:t>
      </w:r>
    </w:p>
    <w:p w14:paraId="58B9C1BA" w14:textId="455DB5B1" w:rsidR="001A3EF8" w:rsidRPr="007C28D2" w:rsidRDefault="001A3EF8" w:rsidP="00512142">
      <w:pPr>
        <w:pStyle w:val="Paragraphe"/>
        <w:spacing w:line="280" w:lineRule="exact"/>
      </w:pPr>
      <w:r w:rsidRPr="007C28D2">
        <w:t xml:space="preserve">Toujours dans l’arrêt </w:t>
      </w:r>
      <w:r w:rsidRPr="007C28D2">
        <w:rPr>
          <w:i/>
          <w:iCs/>
        </w:rPr>
        <w:t>Sharma</w:t>
      </w:r>
      <w:r w:rsidRPr="007C28D2">
        <w:t>, la Cour suprême précise que la connaissance d’office peut jouer un rôle à cette étape</w:t>
      </w:r>
      <w:r w:rsidR="00A97A12" w:rsidRPr="007C28D2">
        <w:rPr>
          <w:rStyle w:val="Appelnotedebasdep"/>
        </w:rPr>
        <w:footnoteReference w:id="252"/>
      </w:r>
      <w:r w:rsidRPr="007C28D2">
        <w:t>. Qui plus est, « [l]es tribunaux peuvent inférer qu’une loi a pour effet de renforcer, de perpétuer ou d’accentuer un désavantage, lorsqu’une telle inférence est étayée par la preuve disponible »</w:t>
      </w:r>
      <w:r w:rsidRPr="007C28D2">
        <w:rPr>
          <w:vertAlign w:val="superscript"/>
        </w:rPr>
        <w:footnoteReference w:id="253"/>
      </w:r>
      <w:r w:rsidRPr="007C28D2">
        <w:t xml:space="preserve">. </w:t>
      </w:r>
    </w:p>
    <w:p w14:paraId="6949D50F" w14:textId="77777777" w:rsidR="001A3EF8" w:rsidRPr="00C87EC1" w:rsidRDefault="001A3EF8" w:rsidP="00512142">
      <w:pPr>
        <w:pStyle w:val="Paragraphe"/>
        <w:spacing w:line="280" w:lineRule="exact"/>
      </w:pPr>
      <w:r w:rsidRPr="00C87EC1">
        <w:t>Finalement, la Cour suprême invite les tribunaux à tenir compte du « contexte législatif plus large »</w:t>
      </w:r>
      <w:r w:rsidRPr="00C87EC1">
        <w:rPr>
          <w:vertAlign w:val="superscript"/>
        </w:rPr>
        <w:footnoteReference w:id="254"/>
      </w:r>
      <w:r w:rsidRPr="00C87EC1">
        <w:t xml:space="preserve"> pour déterminer si une distinction est discriminatoire. Les facteurs pertinents à cet égard comprennent « les objets du régime [législatif], la question de savoir si la politique est conçue dans l’intérêt de divers groupes, l’affectation des ressources, les objectifs d’intérêt public particuliers visés par le législateur et la question de savoir si les limites prévues par le régime tiennent compte de ces facteurs »</w:t>
      </w:r>
      <w:r w:rsidRPr="00C87EC1">
        <w:rPr>
          <w:vertAlign w:val="superscript"/>
        </w:rPr>
        <w:footnoteReference w:id="255"/>
      </w:r>
      <w:r w:rsidRPr="00C87EC1">
        <w:t>.</w:t>
      </w:r>
    </w:p>
    <w:p w14:paraId="507F8E25" w14:textId="12675F45" w:rsidR="001A3EF8" w:rsidRPr="00541231" w:rsidRDefault="001A3EF8" w:rsidP="00541231">
      <w:pPr>
        <w:spacing w:before="120" w:after="120"/>
        <w:jc w:val="center"/>
        <w:rPr>
          <w:kern w:val="28"/>
          <w:sz w:val="28"/>
          <w:szCs w:val="28"/>
        </w:rPr>
      </w:pPr>
      <w:r w:rsidRPr="00541231">
        <w:rPr>
          <w:kern w:val="28"/>
          <w:sz w:val="28"/>
          <w:szCs w:val="28"/>
        </w:rPr>
        <w:t>*</w:t>
      </w:r>
      <w:r w:rsidR="00541231">
        <w:rPr>
          <w:kern w:val="28"/>
          <w:sz w:val="28"/>
          <w:szCs w:val="28"/>
        </w:rPr>
        <w:t xml:space="preserve"> </w:t>
      </w:r>
      <w:r w:rsidRPr="00541231">
        <w:rPr>
          <w:kern w:val="28"/>
          <w:sz w:val="28"/>
          <w:szCs w:val="28"/>
        </w:rPr>
        <w:t>*</w:t>
      </w:r>
      <w:r w:rsidR="00541231">
        <w:rPr>
          <w:kern w:val="28"/>
          <w:sz w:val="28"/>
          <w:szCs w:val="28"/>
        </w:rPr>
        <w:t xml:space="preserve"> </w:t>
      </w:r>
      <w:r w:rsidRPr="00541231">
        <w:rPr>
          <w:kern w:val="28"/>
          <w:sz w:val="28"/>
          <w:szCs w:val="28"/>
        </w:rPr>
        <w:t>*</w:t>
      </w:r>
    </w:p>
    <w:p w14:paraId="487CF848" w14:textId="77777777" w:rsidR="001A3EF8" w:rsidRPr="00C87EC1" w:rsidRDefault="001A3EF8" w:rsidP="00512142">
      <w:pPr>
        <w:pStyle w:val="Paragraphe"/>
        <w:spacing w:line="280" w:lineRule="exact"/>
      </w:pPr>
      <w:r w:rsidRPr="00C87EC1">
        <w:t>Ces principes étant posés, qu’en est-il en l’espèce?</w:t>
      </w:r>
    </w:p>
    <w:p w14:paraId="7D4DCFFF" w14:textId="77777777" w:rsidR="001A3EF8" w:rsidRPr="00C87EC1" w:rsidRDefault="001A3EF8" w:rsidP="00512142">
      <w:pPr>
        <w:pStyle w:val="Paragraphe"/>
        <w:spacing w:line="280" w:lineRule="exact"/>
      </w:pPr>
      <w:r w:rsidRPr="00C87EC1">
        <w:t xml:space="preserve">Le juge conclut que les intimés se sont déchargés de leur fardeau de preuve à chacune des deux étapes, et donc que la règle de droit contestée porte atteinte au par. 15(1) de la </w:t>
      </w:r>
      <w:r w:rsidRPr="00C87EC1">
        <w:rPr>
          <w:i/>
          <w:iCs/>
        </w:rPr>
        <w:t>Charte</w:t>
      </w:r>
      <w:r w:rsidRPr="00C87EC1">
        <w:t>.</w:t>
      </w:r>
    </w:p>
    <w:p w14:paraId="2D3174C8" w14:textId="329FD039" w:rsidR="001A3EF8" w:rsidRPr="00C87EC1" w:rsidRDefault="001A3EF8" w:rsidP="00512142">
      <w:pPr>
        <w:pStyle w:val="Paragraphe"/>
        <w:spacing w:line="280" w:lineRule="exact"/>
      </w:pPr>
      <w:r w:rsidRPr="00C87EC1">
        <w:t xml:space="preserve">Le PGQ ne remet en cause ni les conclusions de fait du juge ni son analyse. Il se contente d’affirmer que </w:t>
      </w:r>
      <w:r w:rsidR="005B548F">
        <w:t xml:space="preserve">ce ne sont pas </w:t>
      </w:r>
      <w:r w:rsidRPr="00C87EC1">
        <w:t>toute</w:t>
      </w:r>
      <w:r w:rsidR="005B548F">
        <w:t>s les</w:t>
      </w:r>
      <w:r w:rsidRPr="00C87EC1">
        <w:t xml:space="preserve"> interception</w:t>
      </w:r>
      <w:r w:rsidR="005B548F">
        <w:t>s</w:t>
      </w:r>
      <w:r w:rsidRPr="00C87EC1">
        <w:t xml:space="preserve"> routière</w:t>
      </w:r>
      <w:r w:rsidR="005B548F">
        <w:t>s qui</w:t>
      </w:r>
      <w:r w:rsidRPr="00C87EC1">
        <w:t xml:space="preserve"> constitue</w:t>
      </w:r>
      <w:r w:rsidR="005B548F">
        <w:t>nt</w:t>
      </w:r>
      <w:r w:rsidRPr="00C87EC1">
        <w:t xml:space="preserve"> du profilage racial et que cette détermination doit être faite au cas par cas, en fonction du contexte propre à l’interception en cause. Cela rejoint son argumentation sur la première question en litige voulant que le profilage racial ne soit pas </w:t>
      </w:r>
      <w:r w:rsidR="00F367CE">
        <w:t>le résultat de</w:t>
      </w:r>
      <w:r w:rsidRPr="00C87EC1">
        <w:t xml:space="preserve"> la règle de droit contestée.</w:t>
      </w:r>
    </w:p>
    <w:p w14:paraId="5D59DBF8" w14:textId="26487224" w:rsidR="001A3EF8" w:rsidRPr="00C87EC1" w:rsidRDefault="001A3EF8" w:rsidP="00512142">
      <w:pPr>
        <w:pStyle w:val="Paragraphe"/>
        <w:spacing w:line="280" w:lineRule="exact"/>
      </w:pPr>
      <w:r w:rsidRPr="00C87EC1">
        <w:t xml:space="preserve">La Cour, on l’a vu, est d’avis que le juge n’a pas erré en concluant que </w:t>
      </w:r>
      <w:r w:rsidR="005B548F" w:rsidRPr="00C87EC1">
        <w:t>l’art</w:t>
      </w:r>
      <w:r w:rsidR="005B548F">
        <w:t>. </w:t>
      </w:r>
      <w:r w:rsidRPr="00C87EC1">
        <w:t>636</w:t>
      </w:r>
      <w:r w:rsidR="00897175">
        <w:t> </w:t>
      </w:r>
      <w:r w:rsidRPr="00C87EC1">
        <w:rPr>
          <w:i/>
          <w:iCs/>
        </w:rPr>
        <w:t>C.s.r.</w:t>
      </w:r>
      <w:r w:rsidRPr="00C87EC1">
        <w:t xml:space="preserve"> est en lui-même un vecteur de profilage racial. L’analyse du moyen d’appel fondé sur le par. 15(1) de la </w:t>
      </w:r>
      <w:r w:rsidRPr="00C87EC1">
        <w:rPr>
          <w:i/>
          <w:iCs/>
        </w:rPr>
        <w:t>Charte</w:t>
      </w:r>
      <w:r w:rsidRPr="00C87EC1">
        <w:t xml:space="preserve"> pourrait donc s’arrêter ici. Il convient néanmoins de dire quelques mots sur la preuve administrée en première instance, laquelle démontre de façon convaincante que les intimés se sont effectivement déchargés de leur fardeau à chacune des deux étapes de l’analyse.</w:t>
      </w:r>
    </w:p>
    <w:p w14:paraId="5B58A597" w14:textId="545EA60C" w:rsidR="001A3EF8" w:rsidRPr="00C87EC1" w:rsidRDefault="001A3EF8" w:rsidP="00270328">
      <w:pPr>
        <w:pStyle w:val="Titre4"/>
        <w:numPr>
          <w:ilvl w:val="0"/>
          <w:numId w:val="49"/>
        </w:numPr>
        <w:ind w:left="1491" w:hanging="357"/>
      </w:pPr>
      <w:bookmarkStart w:id="117" w:name="_Toc177390723"/>
      <w:bookmarkStart w:id="118" w:name="_Toc180397477"/>
      <w:r w:rsidRPr="00C87EC1">
        <w:t>Première étape : démontrer que la loi crée, à première vue ou par son effet, une distinction fondée sur un motif protégé</w:t>
      </w:r>
      <w:bookmarkEnd w:id="117"/>
      <w:bookmarkEnd w:id="118"/>
    </w:p>
    <w:p w14:paraId="72D56C4B" w14:textId="20D0B5EC" w:rsidR="001A3EF8" w:rsidRPr="00C87EC1" w:rsidRDefault="001A3EF8" w:rsidP="00512142">
      <w:pPr>
        <w:pStyle w:val="Paragraphe"/>
        <w:spacing w:line="280" w:lineRule="exact"/>
        <w:rPr>
          <w:rFonts w:cs="Arial"/>
          <w:szCs w:val="24"/>
        </w:rPr>
      </w:pPr>
      <w:r w:rsidRPr="00C87EC1">
        <w:rPr>
          <w:rFonts w:cs="Arial"/>
          <w:szCs w:val="24"/>
        </w:rPr>
        <w:t>Comme le note le juge de première instance, « </w:t>
      </w:r>
      <w:r w:rsidRPr="00C87EC1">
        <w:t>la règle de droit contestée est d’apparence neutre puisqu’elle permet à la police d’intercepter n’importe quel véhicule à l’aveugle, sans motif, ni soupçon, pour une vérification de routine</w:t>
      </w:r>
      <w:r w:rsidRPr="00C87EC1">
        <w:rPr>
          <w:rFonts w:cs="Arial"/>
          <w:szCs w:val="24"/>
        </w:rPr>
        <w:t> »</w:t>
      </w:r>
      <w:r w:rsidRPr="00C87EC1">
        <w:rPr>
          <w:rFonts w:cs="Arial"/>
          <w:szCs w:val="24"/>
          <w:vertAlign w:val="superscript"/>
        </w:rPr>
        <w:footnoteReference w:id="256"/>
      </w:r>
      <w:r w:rsidRPr="00C87EC1">
        <w:rPr>
          <w:rFonts w:cs="Arial"/>
          <w:szCs w:val="24"/>
        </w:rPr>
        <w:t>. Dans les faits, cependant, elle a une incidence nettement disproportionnée sur les conducteurs noirs (par rapport aux autres groupes de conducteurs, notamment les conducteurs blancs).</w:t>
      </w:r>
    </w:p>
    <w:p w14:paraId="00A85C4E" w14:textId="2DF61B77" w:rsidR="001A3EF8" w:rsidRPr="00C87EC1" w:rsidRDefault="003D379F" w:rsidP="00512142">
      <w:pPr>
        <w:pStyle w:val="Paragraphe"/>
        <w:spacing w:line="280" w:lineRule="exact"/>
      </w:pPr>
      <w:r>
        <w:t>Comme déjà mentionné</w:t>
      </w:r>
      <w:r w:rsidR="00A56FE2">
        <w:t xml:space="preserve">, </w:t>
      </w:r>
      <w:r w:rsidR="00664BDF">
        <w:t>l</w:t>
      </w:r>
      <w:r w:rsidR="001A3EF8" w:rsidRPr="00C87EC1">
        <w:t xml:space="preserve">a preuve de l’expert Mulone – non contredite par le PGQ – révèle que les </w:t>
      </w:r>
      <w:r w:rsidR="00273E10">
        <w:t>membres de la population</w:t>
      </w:r>
      <w:r w:rsidR="001A3EF8" w:rsidRPr="00C87EC1">
        <w:t xml:space="preserve"> noire</w:t>
      </w:r>
      <w:r w:rsidR="00AD3945">
        <w:t xml:space="preserve"> </w:t>
      </w:r>
      <w:r w:rsidR="001A3EF8" w:rsidRPr="00C87EC1">
        <w:t xml:space="preserve">sont systématiquement </w:t>
      </w:r>
      <w:r w:rsidR="00273E10">
        <w:t xml:space="preserve">plus </w:t>
      </w:r>
      <w:r w:rsidR="001A3EF8" w:rsidRPr="00C87EC1">
        <w:t>interceptés par la police</w:t>
      </w:r>
      <w:r w:rsidR="001A3EF8" w:rsidRPr="00C87EC1">
        <w:rPr>
          <w:vertAlign w:val="superscript"/>
        </w:rPr>
        <w:footnoteReference w:id="257"/>
      </w:r>
      <w:r w:rsidR="001A3EF8" w:rsidRPr="00C87EC1">
        <w:t>. Cet expert rapporte que les études établissant la surreprésentation des conducteurs noirs dans les interceptions routières (discrétionnaires) « sont si nombreuses et les résultats si convergents qu’un terme spécifique en a émergé dans le monde anglo</w:t>
      </w:r>
      <w:r w:rsidR="001A3EF8" w:rsidRPr="00C87EC1">
        <w:noBreakHyphen/>
        <w:t xml:space="preserve">saxon : </w:t>
      </w:r>
      <w:r w:rsidR="001A3EF8" w:rsidRPr="00C87EC1">
        <w:rPr>
          <w:i/>
          <w:iCs/>
        </w:rPr>
        <w:t>driving while Black </w:t>
      </w:r>
      <w:r w:rsidR="001A3EF8" w:rsidRPr="00C87EC1">
        <w:t>»</w:t>
      </w:r>
      <w:r w:rsidR="001A3EF8" w:rsidRPr="00C87EC1">
        <w:rPr>
          <w:vertAlign w:val="superscript"/>
        </w:rPr>
        <w:footnoteReference w:id="258"/>
      </w:r>
      <w:r w:rsidR="001A3EF8" w:rsidRPr="00C87EC1">
        <w:t xml:space="preserve">. </w:t>
      </w:r>
    </w:p>
    <w:p w14:paraId="55E9D4E8" w14:textId="740E8813" w:rsidR="001A3EF8" w:rsidRPr="00C87EC1" w:rsidRDefault="001A3EF8" w:rsidP="00512142">
      <w:pPr>
        <w:pStyle w:val="Paragraphe"/>
        <w:spacing w:line="280" w:lineRule="exact"/>
      </w:pPr>
      <w:r w:rsidRPr="00C87EC1">
        <w:t>L’expert Mulone s’appuie sur plusieurs études canadiennes récentes</w:t>
      </w:r>
      <w:r w:rsidRPr="00C87EC1">
        <w:rPr>
          <w:vertAlign w:val="superscript"/>
        </w:rPr>
        <w:footnoteReference w:id="259"/>
      </w:r>
      <w:r w:rsidRPr="00C87EC1">
        <w:t xml:space="preserve"> pour mettre en lumière la disparité de traitement des personnes noires dans les interpellations policières en général et dans les interceptions routières en particulier. À ce sujet, il est utile de souligner les résultats des études menées à Ottawa (2016/2019), à Montréal</w:t>
      </w:r>
      <w:r w:rsidR="00667D72">
        <w:t> </w:t>
      </w:r>
      <w:r w:rsidRPr="00C87EC1">
        <w:t xml:space="preserve">(2019) et à Repentigny (2021). </w:t>
      </w:r>
    </w:p>
    <w:p w14:paraId="0699A772" w14:textId="7784FEE3" w:rsidR="001A3EF8" w:rsidRPr="00C87EC1" w:rsidRDefault="001A3EF8" w:rsidP="00512142">
      <w:pPr>
        <w:pStyle w:val="Paragraphe"/>
        <w:spacing w:line="280" w:lineRule="exact"/>
      </w:pPr>
      <w:r w:rsidRPr="00C87EC1">
        <w:t>Les études menées à Ottawa font voir que le nombre total d’interceptions routières (« </w:t>
      </w:r>
      <w:r w:rsidRPr="00C87EC1">
        <w:rPr>
          <w:i/>
          <w:iCs/>
        </w:rPr>
        <w:t>traffic stops</w:t>
      </w:r>
      <w:r w:rsidRPr="00C87EC1">
        <w:t> ») effectuées sur le territoire de la ville a drastiquement chuté entre 2013 et 2018. Toutefois, la surreprésentation des personnes noires dans les interceptions (par rapport aux personnes blanches) est généralement demeurée stable dans le temps. Ainsi, entre</w:t>
      </w:r>
      <w:r w:rsidR="00541231">
        <w:t xml:space="preserve"> </w:t>
      </w:r>
      <w:r w:rsidRPr="00C87EC1">
        <w:t>2013</w:t>
      </w:r>
      <w:r w:rsidR="00541231">
        <w:t xml:space="preserve"> </w:t>
      </w:r>
      <w:r w:rsidRPr="00C87EC1">
        <w:t>et</w:t>
      </w:r>
      <w:r w:rsidR="00541231">
        <w:t xml:space="preserve"> </w:t>
      </w:r>
      <w:r w:rsidRPr="00C87EC1">
        <w:t>2015, les conducteurs noirs étaient</w:t>
      </w:r>
      <w:r w:rsidR="00541231">
        <w:t xml:space="preserve"> </w:t>
      </w:r>
      <w:r w:rsidRPr="00C87EC1">
        <w:t>2,3 fois plus souvent interceptés que les conducteurs blancs (relativement à leur poids démographique). Entre 2015 et 2018, ils étaient encore entre 2,2 et 2,3 fois plus interceptés que les conducteurs blancs</w:t>
      </w:r>
      <w:r w:rsidRPr="00C87EC1">
        <w:rPr>
          <w:vertAlign w:val="superscript"/>
        </w:rPr>
        <w:footnoteReference w:id="260"/>
      </w:r>
      <w:r w:rsidRPr="00C87EC1">
        <w:t>. Il est vrai que la disproportion des interceptions impliquant des conducteurs noirs a diminué chez les jeunes conducteurs (16</w:t>
      </w:r>
      <w:r w:rsidRPr="00C87EC1">
        <w:noBreakHyphen/>
        <w:t>24</w:t>
      </w:r>
      <w:r w:rsidR="00541231">
        <w:t xml:space="preserve"> </w:t>
      </w:r>
      <w:r w:rsidRPr="00C87EC1">
        <w:t>ans) au cours de la période pertinente, passant d’un coefficient de</w:t>
      </w:r>
      <w:r w:rsidR="00541231">
        <w:t xml:space="preserve"> </w:t>
      </w:r>
      <w:r w:rsidRPr="00C87EC1">
        <w:t xml:space="preserve">8,3 à 6,7 (par rapport à leur poids démographique). Néanmoins, la surreprésentation des jeunes conducteurs noirs dans les interceptions routières demeure </w:t>
      </w:r>
      <w:r w:rsidR="00BA4D5F">
        <w:t>d’une ampleur inacceptable (</w:t>
      </w:r>
      <w:r w:rsidRPr="00C87EC1">
        <w:t>« </w:t>
      </w:r>
      <w:r w:rsidRPr="00C87EC1">
        <w:rPr>
          <w:i/>
          <w:iCs/>
        </w:rPr>
        <w:t>unacceptably high</w:t>
      </w:r>
      <w:r w:rsidRPr="00C87EC1">
        <w:t> »</w:t>
      </w:r>
      <w:r w:rsidR="00BA4D5F">
        <w:t>)</w:t>
      </w:r>
      <w:r w:rsidRPr="00C87EC1">
        <w:rPr>
          <w:vertAlign w:val="superscript"/>
        </w:rPr>
        <w:footnoteReference w:id="261"/>
      </w:r>
      <w:r w:rsidRPr="00C87EC1">
        <w:t>.</w:t>
      </w:r>
    </w:p>
    <w:p w14:paraId="4FB97337" w14:textId="39A47EF2" w:rsidR="001A3EF8" w:rsidRPr="00C87EC1" w:rsidRDefault="001A3EF8" w:rsidP="00512142">
      <w:pPr>
        <w:pStyle w:val="Paragraphe"/>
        <w:spacing w:line="280" w:lineRule="exact"/>
      </w:pPr>
      <w:r w:rsidRPr="00C87EC1">
        <w:t xml:space="preserve">Les études menées à Montréal et à Repentigny portent </w:t>
      </w:r>
      <w:r w:rsidR="00273E10">
        <w:t>précisé</w:t>
      </w:r>
      <w:r w:rsidRPr="00C87EC1">
        <w:t>ment sur le rôle que joue l’identité racisée des personnes interpellées ou interceptées par la police. Elles s’appuient notamment sur des données statistiques récoltées auprès du Service de police de la ville de Montréal (« SPVM ») et du Service de police de la ville de Repentigny (« SPVR »). Les données montréalaises concernent presque exclusivement les interpellations (période de référence : 2014-2017), tandis que les données repentignoises concernent à la fois les interpellations et les interceptions routières (période de référence : 2016-2019).</w:t>
      </w:r>
    </w:p>
    <w:p w14:paraId="1885E4AB" w14:textId="56C0D876" w:rsidR="001A3EF8" w:rsidRPr="00C87EC1" w:rsidRDefault="001A3EF8" w:rsidP="00512142">
      <w:pPr>
        <w:pStyle w:val="Paragraphe"/>
        <w:spacing w:line="280" w:lineRule="exact"/>
      </w:pPr>
      <w:r w:rsidRPr="00C87EC1">
        <w:t>Dans le cadre de ces études, auxquelles l’expert Mulone a participé, les chercheurs ont développé deux indicateurs de suivi en matière de profilage racial : 1)</w:t>
      </w:r>
      <w:r w:rsidR="00CF2FDB">
        <w:t> </w:t>
      </w:r>
      <w:r w:rsidRPr="00C87EC1">
        <w:t>l’indice de disparité de chances</w:t>
      </w:r>
      <w:r w:rsidR="00572547">
        <w:t xml:space="preserve"> d’interpellation</w:t>
      </w:r>
      <w:r w:rsidRPr="00C87EC1">
        <w:t xml:space="preserve"> (« IDCI »), mesurant la disproportion entre la population des personnes interpellées (ou interceptées) et la population générale; et 2)</w:t>
      </w:r>
      <w:r w:rsidR="00CF2FDB">
        <w:t> </w:t>
      </w:r>
      <w:r w:rsidRPr="00C87EC1">
        <w:t>l’indice de « surinterpellation » en regard des infractions (« ISRI »), mesurant la disproportion observée dans les interpellations (ou interceptions) au regard du poids relatif de chaque groupe dans le total d’infractions enregistrées par la police</w:t>
      </w:r>
      <w:r w:rsidRPr="00C87EC1">
        <w:rPr>
          <w:vertAlign w:val="superscript"/>
        </w:rPr>
        <w:footnoteReference w:id="262"/>
      </w:r>
      <w:r w:rsidRPr="00C87EC1">
        <w:t>.</w:t>
      </w:r>
    </w:p>
    <w:p w14:paraId="63A225DF" w14:textId="77777777" w:rsidR="001A3EF8" w:rsidRPr="00391801" w:rsidRDefault="001A3EF8" w:rsidP="00512142">
      <w:pPr>
        <w:pStyle w:val="Paragraphe"/>
        <w:spacing w:line="280" w:lineRule="exact"/>
      </w:pPr>
      <w:r w:rsidRPr="00391801">
        <w:t>À Montréal, on constate que :</w:t>
      </w:r>
    </w:p>
    <w:p w14:paraId="5E93CD3A" w14:textId="1703FD9E" w:rsidR="001A3EF8" w:rsidRPr="00391801" w:rsidRDefault="001A3EF8" w:rsidP="001A3EF8">
      <w:pPr>
        <w:numPr>
          <w:ilvl w:val="0"/>
          <w:numId w:val="34"/>
        </w:numPr>
        <w:spacing w:before="120" w:after="120"/>
        <w:ind w:left="1077" w:right="720" w:hanging="357"/>
        <w:jc w:val="both"/>
        <w:rPr>
          <w:rFonts w:cs="Arial"/>
          <w:kern w:val="24"/>
          <w:sz w:val="22"/>
          <w:szCs w:val="22"/>
        </w:rPr>
      </w:pPr>
      <w:r w:rsidRPr="00391801">
        <w:rPr>
          <w:rFonts w:cs="Arial"/>
          <w:kern w:val="24"/>
          <w:sz w:val="22"/>
          <w:szCs w:val="22"/>
        </w:rPr>
        <w:t>Une personne noire a 4,24 fois plus de chances de se faire interpeller qu’une personne blanche (IDCI = 4,24)</w:t>
      </w:r>
      <w:r w:rsidR="00685E19" w:rsidRPr="00391801">
        <w:rPr>
          <w:rFonts w:cs="Arial"/>
          <w:kern w:val="24"/>
          <w:sz w:val="22"/>
          <w:szCs w:val="22"/>
        </w:rPr>
        <w:t>.</w:t>
      </w:r>
    </w:p>
    <w:p w14:paraId="67351584" w14:textId="27F2ED8D" w:rsidR="001A3EF8" w:rsidRPr="00391801" w:rsidRDefault="001A3EF8" w:rsidP="00512142">
      <w:pPr>
        <w:numPr>
          <w:ilvl w:val="0"/>
          <w:numId w:val="34"/>
        </w:numPr>
        <w:spacing w:before="120" w:after="120"/>
        <w:ind w:right="720"/>
        <w:jc w:val="both"/>
        <w:rPr>
          <w:rFonts w:cs="Arial"/>
          <w:kern w:val="24"/>
          <w:sz w:val="22"/>
          <w:szCs w:val="22"/>
        </w:rPr>
      </w:pPr>
      <w:r w:rsidRPr="00391801">
        <w:rPr>
          <w:rFonts w:cs="Arial"/>
          <w:kern w:val="24"/>
          <w:sz w:val="22"/>
          <w:szCs w:val="22"/>
        </w:rPr>
        <w:t>Ces disparités ne peuvent être expliquées par la participation présumée (issue des statistiques officielles de la criminalité) des personnes noires à la criminalité. En effet, ces personnes sont surinterpellées de 66% relativement à leur participation présumée aux infractions criminelles (ISRI = 1,66). Et elles sont surinterpellées de 137% relativement à leur participation présumée aux infractions aux règlements municipaux (ISRI = 2,37)</w:t>
      </w:r>
      <w:r w:rsidR="00685E19" w:rsidRPr="00391801">
        <w:rPr>
          <w:rFonts w:cs="Arial"/>
          <w:kern w:val="24"/>
          <w:sz w:val="22"/>
          <w:szCs w:val="22"/>
        </w:rPr>
        <w:t>.</w:t>
      </w:r>
    </w:p>
    <w:p w14:paraId="7A8754EC" w14:textId="06D24FDD" w:rsidR="001A3EF8" w:rsidRPr="00391801" w:rsidRDefault="001A3EF8" w:rsidP="001A3EF8">
      <w:pPr>
        <w:numPr>
          <w:ilvl w:val="0"/>
          <w:numId w:val="34"/>
        </w:numPr>
        <w:spacing w:before="120" w:after="120"/>
        <w:ind w:right="720"/>
        <w:jc w:val="both"/>
        <w:rPr>
          <w:rFonts w:cs="Arial"/>
          <w:kern w:val="24"/>
          <w:sz w:val="22"/>
          <w:szCs w:val="22"/>
        </w:rPr>
      </w:pPr>
      <w:r w:rsidRPr="00391801">
        <w:rPr>
          <w:rFonts w:cs="Arial"/>
          <w:kern w:val="24"/>
          <w:sz w:val="22"/>
          <w:szCs w:val="22"/>
        </w:rPr>
        <w:t>Bien que les disparités soient plus marquées chez les jeunes (entre</w:t>
      </w:r>
      <w:r w:rsidR="007518F1" w:rsidRPr="00391801">
        <w:rPr>
          <w:rFonts w:cs="Arial"/>
          <w:kern w:val="24"/>
          <w:sz w:val="22"/>
          <w:szCs w:val="22"/>
        </w:rPr>
        <w:t> </w:t>
      </w:r>
      <w:r w:rsidRPr="00391801">
        <w:rPr>
          <w:rFonts w:cs="Arial"/>
          <w:kern w:val="24"/>
          <w:sz w:val="22"/>
          <w:szCs w:val="22"/>
        </w:rPr>
        <w:t>15 et 34</w:t>
      </w:r>
      <w:r w:rsidR="00572547" w:rsidRPr="00391801">
        <w:rPr>
          <w:rFonts w:cs="Arial"/>
          <w:kern w:val="24"/>
          <w:sz w:val="22"/>
          <w:szCs w:val="22"/>
        </w:rPr>
        <w:t> </w:t>
      </w:r>
      <w:r w:rsidRPr="00391801">
        <w:rPr>
          <w:rFonts w:cs="Arial"/>
          <w:kern w:val="24"/>
          <w:sz w:val="22"/>
          <w:szCs w:val="22"/>
        </w:rPr>
        <w:t>ans) et chez les hommes, elles se caractérisent pour la population noire par une généralisation à tous les groupes d’âge et à tous les genres (en comparaison, les discriminations qui touchent la population arabe sont circonscrites aux jeunes hommes âgés entre 15 et 24 ans)</w:t>
      </w:r>
      <w:r w:rsidR="00685E19" w:rsidRPr="00391801">
        <w:rPr>
          <w:rFonts w:cs="Arial"/>
          <w:kern w:val="24"/>
          <w:sz w:val="22"/>
          <w:szCs w:val="22"/>
        </w:rPr>
        <w:t>.</w:t>
      </w:r>
    </w:p>
    <w:p w14:paraId="34D1D81F" w14:textId="5B1F3DCA" w:rsidR="001A3EF8" w:rsidRPr="00391801" w:rsidRDefault="001A3EF8" w:rsidP="001A3EF8">
      <w:pPr>
        <w:numPr>
          <w:ilvl w:val="0"/>
          <w:numId w:val="34"/>
        </w:numPr>
        <w:spacing w:before="120" w:after="120"/>
        <w:ind w:right="720"/>
        <w:jc w:val="both"/>
        <w:rPr>
          <w:rFonts w:cs="Arial"/>
          <w:kern w:val="24"/>
          <w:sz w:val="22"/>
          <w:szCs w:val="22"/>
        </w:rPr>
      </w:pPr>
      <w:r w:rsidRPr="00391801">
        <w:rPr>
          <w:rFonts w:cs="Arial"/>
          <w:kern w:val="24"/>
          <w:sz w:val="22"/>
          <w:szCs w:val="22"/>
        </w:rPr>
        <w:t>Les discriminations qui visent les personnes noires sont stables dans le temps, du moins en ce qui concerne les 4 années étudiées</w:t>
      </w:r>
      <w:r w:rsidR="00685E19" w:rsidRPr="00391801">
        <w:rPr>
          <w:rFonts w:cs="Arial"/>
          <w:kern w:val="24"/>
          <w:sz w:val="22"/>
          <w:szCs w:val="22"/>
        </w:rPr>
        <w:t>.</w:t>
      </w:r>
    </w:p>
    <w:p w14:paraId="715CF6CC" w14:textId="03926EB6" w:rsidR="001A3EF8" w:rsidRPr="00391801" w:rsidRDefault="001A3EF8" w:rsidP="001A3EF8">
      <w:pPr>
        <w:numPr>
          <w:ilvl w:val="0"/>
          <w:numId w:val="34"/>
        </w:numPr>
        <w:spacing w:before="120" w:after="120"/>
        <w:ind w:right="720"/>
        <w:jc w:val="both"/>
        <w:rPr>
          <w:rFonts w:cs="Arial"/>
          <w:kern w:val="24"/>
          <w:sz w:val="22"/>
          <w:szCs w:val="22"/>
        </w:rPr>
      </w:pPr>
      <w:r w:rsidRPr="00391801">
        <w:rPr>
          <w:rFonts w:cs="Arial"/>
          <w:kern w:val="24"/>
          <w:sz w:val="22"/>
          <w:szCs w:val="22"/>
        </w:rPr>
        <w:t>Les disparités sont aussi relativement stables sur le plan géographique […]</w:t>
      </w:r>
      <w:r w:rsidR="00685E19" w:rsidRPr="00391801">
        <w:rPr>
          <w:rFonts w:cs="Arial"/>
          <w:kern w:val="24"/>
          <w:sz w:val="22"/>
          <w:szCs w:val="22"/>
        </w:rPr>
        <w:t>.</w:t>
      </w:r>
    </w:p>
    <w:p w14:paraId="1674F2A3" w14:textId="652630DC" w:rsidR="001A3EF8" w:rsidRPr="00391801" w:rsidRDefault="001A3EF8" w:rsidP="001A3EF8">
      <w:pPr>
        <w:numPr>
          <w:ilvl w:val="0"/>
          <w:numId w:val="34"/>
        </w:numPr>
        <w:spacing w:before="120" w:after="120"/>
        <w:ind w:right="720"/>
        <w:jc w:val="both"/>
        <w:rPr>
          <w:rFonts w:ascii="Segoe UI" w:hAnsi="Segoe UI" w:cs="Segoe UI"/>
          <w:kern w:val="24"/>
          <w:sz w:val="22"/>
          <w:szCs w:val="22"/>
        </w:rPr>
      </w:pPr>
      <w:r w:rsidRPr="00391801">
        <w:rPr>
          <w:rFonts w:cs="Arial"/>
          <w:kern w:val="24"/>
          <w:sz w:val="22"/>
          <w:szCs w:val="22"/>
        </w:rPr>
        <w:t xml:space="preserve">Cela </w:t>
      </w:r>
      <w:r w:rsidR="005151AB" w:rsidRPr="00391801">
        <w:rPr>
          <w:rFonts w:cs="Arial"/>
          <w:kern w:val="24"/>
          <w:sz w:val="22"/>
          <w:szCs w:val="22"/>
        </w:rPr>
        <w:t xml:space="preserve">étant </w:t>
      </w:r>
      <w:r w:rsidRPr="00391801">
        <w:rPr>
          <w:rFonts w:cs="Arial"/>
          <w:kern w:val="24"/>
          <w:sz w:val="22"/>
          <w:szCs w:val="22"/>
        </w:rPr>
        <w:t>dit, il existe des variations importantes entre les différents quartiers</w:t>
      </w:r>
      <w:r w:rsidR="00CA3D30" w:rsidRPr="00391801">
        <w:rPr>
          <w:rFonts w:cs="Arial"/>
          <w:kern w:val="24"/>
          <w:sz w:val="22"/>
          <w:szCs w:val="22"/>
        </w:rPr>
        <w:t> </w:t>
      </w:r>
      <w:r w:rsidRPr="00391801">
        <w:rPr>
          <w:rFonts w:cs="Arial"/>
          <w:kern w:val="24"/>
          <w:sz w:val="22"/>
          <w:szCs w:val="22"/>
        </w:rPr>
        <w:t>[…]</w:t>
      </w:r>
      <w:r w:rsidR="00685E19" w:rsidRPr="00391801">
        <w:rPr>
          <w:rFonts w:cs="Arial"/>
          <w:kern w:val="24"/>
          <w:sz w:val="22"/>
          <w:szCs w:val="22"/>
        </w:rPr>
        <w:t>.</w:t>
      </w:r>
    </w:p>
    <w:p w14:paraId="1F8D1AE1" w14:textId="77777777" w:rsidR="001A3EF8" w:rsidRPr="00391801" w:rsidRDefault="001A3EF8" w:rsidP="001A3EF8">
      <w:pPr>
        <w:numPr>
          <w:ilvl w:val="0"/>
          <w:numId w:val="34"/>
        </w:numPr>
        <w:spacing w:before="120" w:after="120"/>
        <w:ind w:right="720"/>
        <w:jc w:val="both"/>
        <w:rPr>
          <w:rFonts w:cs="Arial"/>
          <w:kern w:val="24"/>
          <w:sz w:val="22"/>
          <w:szCs w:val="22"/>
        </w:rPr>
      </w:pPr>
      <w:r w:rsidRPr="00391801">
        <w:rPr>
          <w:rFonts w:cs="Arial"/>
          <w:kern w:val="24"/>
          <w:sz w:val="22"/>
          <w:szCs w:val="22"/>
        </w:rPr>
        <w:t>Si la criminalité ne semble pas être corrélée à ces variations, la diversité ethnoculturelle l’explique en partie. Ainsi, dans les quartiers peu divers, les personnes noires ont 7,91 fois plus de chances d’être interpellées que les personnes blanches, un taux qui redescend à 3,22 dans les quartiers très divers.</w:t>
      </w:r>
      <w:r w:rsidRPr="00391801">
        <w:rPr>
          <w:rFonts w:cs="Arial"/>
          <w:kern w:val="24"/>
          <w:sz w:val="22"/>
          <w:szCs w:val="22"/>
          <w:vertAlign w:val="superscript"/>
        </w:rPr>
        <w:footnoteReference w:id="263"/>
      </w:r>
    </w:p>
    <w:p w14:paraId="034CDE0B" w14:textId="77777777" w:rsidR="001A3EF8" w:rsidRPr="00C87EC1" w:rsidRDefault="001A3EF8" w:rsidP="00512142">
      <w:pPr>
        <w:pStyle w:val="Paragraphe"/>
        <w:spacing w:line="280" w:lineRule="exact"/>
      </w:pPr>
      <w:r w:rsidRPr="00C87EC1">
        <w:t>L’expert Mulone précise que même si l’étude de Montréal porte majoritairement sur les interpellations policières, « il y a tout lieu de croire que les disproportions qu’on observe dans les interpellations se reflètent à un degré divers dans les interceptions routières »</w:t>
      </w:r>
      <w:r w:rsidRPr="00C87EC1">
        <w:rPr>
          <w:vertAlign w:val="superscript"/>
        </w:rPr>
        <w:footnoteReference w:id="264"/>
      </w:r>
      <w:r w:rsidRPr="00C87EC1">
        <w:t>.</w:t>
      </w:r>
    </w:p>
    <w:p w14:paraId="36EEF73B" w14:textId="7B27CAB6" w:rsidR="001A3EF8" w:rsidRPr="00391801" w:rsidRDefault="001A3EF8" w:rsidP="00512142">
      <w:pPr>
        <w:pStyle w:val="Paragraphe"/>
        <w:spacing w:line="280" w:lineRule="exact"/>
      </w:pPr>
      <w:r w:rsidRPr="00391801">
        <w:t>Quant à l’étude menée à Repentigny, elle démontre que :</w:t>
      </w:r>
    </w:p>
    <w:p w14:paraId="088F64DC" w14:textId="375723F3" w:rsidR="001A3EF8" w:rsidRPr="00391801" w:rsidRDefault="001A3EF8" w:rsidP="001A3EF8">
      <w:pPr>
        <w:numPr>
          <w:ilvl w:val="0"/>
          <w:numId w:val="35"/>
        </w:numPr>
        <w:spacing w:before="120" w:after="120"/>
        <w:ind w:right="720"/>
        <w:jc w:val="both"/>
        <w:rPr>
          <w:rFonts w:cs="Arial"/>
          <w:kern w:val="24"/>
          <w:sz w:val="22"/>
          <w:szCs w:val="22"/>
        </w:rPr>
      </w:pPr>
      <w:r w:rsidRPr="00391801">
        <w:rPr>
          <w:rFonts w:cs="Arial"/>
          <w:kern w:val="24"/>
          <w:sz w:val="22"/>
          <w:szCs w:val="22"/>
        </w:rPr>
        <w:t>Une personne noire a entre 2,61 et 3,29 fois plus de chances d’être interpellée qu’une personne [blanche] (IDCI = 2,61 ou 3,29, selon le calcul de la population de référence)</w:t>
      </w:r>
      <w:r w:rsidR="00685E19" w:rsidRPr="00391801">
        <w:rPr>
          <w:rFonts w:cs="Arial"/>
          <w:kern w:val="24"/>
          <w:sz w:val="22"/>
          <w:szCs w:val="22"/>
        </w:rPr>
        <w:t>.</w:t>
      </w:r>
    </w:p>
    <w:p w14:paraId="001D0EE9" w14:textId="77777777" w:rsidR="001A3EF8" w:rsidRPr="00391801" w:rsidRDefault="001A3EF8" w:rsidP="001A3EF8">
      <w:pPr>
        <w:spacing w:before="120" w:after="120"/>
        <w:ind w:left="1440" w:right="720"/>
        <w:jc w:val="both"/>
        <w:rPr>
          <w:rFonts w:cs="Arial"/>
          <w:kern w:val="24"/>
          <w:sz w:val="22"/>
          <w:szCs w:val="22"/>
        </w:rPr>
      </w:pPr>
      <w:r w:rsidRPr="00391801">
        <w:rPr>
          <w:rFonts w:cs="Arial"/>
          <w:kern w:val="24"/>
          <w:sz w:val="22"/>
          <w:szCs w:val="22"/>
        </w:rPr>
        <w:t>[…]</w:t>
      </w:r>
    </w:p>
    <w:p w14:paraId="75D1C2F4" w14:textId="2E23042C" w:rsidR="001A3EF8" w:rsidRPr="00391801" w:rsidRDefault="001A3EF8" w:rsidP="001A3EF8">
      <w:pPr>
        <w:numPr>
          <w:ilvl w:val="0"/>
          <w:numId w:val="35"/>
        </w:numPr>
        <w:spacing w:before="120" w:after="120"/>
        <w:ind w:right="720"/>
        <w:jc w:val="both"/>
        <w:rPr>
          <w:rFonts w:cs="Arial"/>
          <w:kern w:val="24"/>
          <w:sz w:val="22"/>
          <w:szCs w:val="22"/>
        </w:rPr>
      </w:pPr>
      <w:r w:rsidRPr="00391801">
        <w:rPr>
          <w:rFonts w:cs="Arial"/>
          <w:kern w:val="24"/>
          <w:sz w:val="22"/>
          <w:szCs w:val="22"/>
        </w:rPr>
        <w:t>Peu importe le mode de calcul (en excluant la population flottante, en excluant les personnes avec des antécédents judiciaires, en excluant les interpellations faites autour des lieux d’intérêts comme les bars ou un motel, connus pour abriter des activités délinquantes, etc.), les personnes noires sont toujours entre deux fois et demie et trois fois plus à risque de se faire interpeller que les personnes blanches</w:t>
      </w:r>
      <w:r w:rsidR="00685E19" w:rsidRPr="00391801">
        <w:rPr>
          <w:rFonts w:cs="Arial"/>
          <w:kern w:val="24"/>
          <w:sz w:val="22"/>
          <w:szCs w:val="22"/>
        </w:rPr>
        <w:t>.</w:t>
      </w:r>
    </w:p>
    <w:p w14:paraId="0B310155" w14:textId="77777777" w:rsidR="001A3EF8" w:rsidRPr="00391801" w:rsidRDefault="001A3EF8" w:rsidP="001A3EF8">
      <w:pPr>
        <w:numPr>
          <w:ilvl w:val="0"/>
          <w:numId w:val="35"/>
        </w:numPr>
        <w:spacing w:before="120" w:after="120"/>
        <w:ind w:right="720"/>
        <w:jc w:val="both"/>
        <w:rPr>
          <w:rFonts w:cs="Arial"/>
          <w:kern w:val="24"/>
          <w:sz w:val="22"/>
          <w:szCs w:val="22"/>
        </w:rPr>
      </w:pPr>
      <w:r w:rsidRPr="00391801">
        <w:rPr>
          <w:rFonts w:cs="Arial"/>
          <w:kern w:val="24"/>
          <w:sz w:val="22"/>
          <w:szCs w:val="22"/>
        </w:rPr>
        <w:t>Comme à Montréal, la participation présumée à la criminalité des groupes concernés n’explique pas les disparités observées. En effet, les personnes noires sont surinterpellées de 61% en regard de leur participation présumée à la criminalité (ISRI = 1,61). Ce résultat est renforcé par le fait que la disparité de traitement reste relativement semblable si on exclut du calcul de l’IDCI les individus avec un casier judiciaire : les personnes noires sans casier judiciaire ont entre 2,43 et 3,07 fois plus de chances d’être interpellées que les personnes blanches sans casier judiciaire.</w:t>
      </w:r>
      <w:r w:rsidRPr="00391801">
        <w:rPr>
          <w:rFonts w:cs="Arial"/>
          <w:kern w:val="24"/>
          <w:sz w:val="22"/>
          <w:szCs w:val="22"/>
          <w:vertAlign w:val="superscript"/>
        </w:rPr>
        <w:footnoteReference w:id="265"/>
      </w:r>
    </w:p>
    <w:p w14:paraId="720CD0F3" w14:textId="77777777" w:rsidR="001A3EF8" w:rsidRPr="00C87EC1" w:rsidRDefault="001A3EF8" w:rsidP="001A3EF8">
      <w:pPr>
        <w:spacing w:before="120" w:after="120"/>
        <w:ind w:left="720" w:right="720"/>
        <w:jc w:val="right"/>
        <w:rPr>
          <w:rFonts w:cs="Arial"/>
          <w:kern w:val="24"/>
          <w:sz w:val="22"/>
          <w:szCs w:val="22"/>
        </w:rPr>
      </w:pPr>
      <w:r w:rsidRPr="00391801">
        <w:rPr>
          <w:rFonts w:cs="Arial"/>
          <w:kern w:val="24"/>
          <w:sz w:val="22"/>
          <w:szCs w:val="22"/>
        </w:rPr>
        <w:t>[Renvoi omis]</w:t>
      </w:r>
    </w:p>
    <w:p w14:paraId="70B8E785" w14:textId="35D3C973" w:rsidR="001A3EF8" w:rsidRPr="001A3EF8" w:rsidRDefault="001A3EF8" w:rsidP="00512142">
      <w:pPr>
        <w:pStyle w:val="Paragraphe"/>
        <w:spacing w:line="280" w:lineRule="exact"/>
      </w:pPr>
      <w:r w:rsidRPr="00C87EC1">
        <w:t>En définitive, l’expert Mulone conclut que « les personnes</w:t>
      </w:r>
      <w:r w:rsidRPr="001A3EF8">
        <w:t xml:space="preserve"> noires sont visées de manière disproportionnée par les forces de l’ordre au Canada »</w:t>
      </w:r>
      <w:r w:rsidRPr="001A3EF8">
        <w:rPr>
          <w:vertAlign w:val="superscript"/>
        </w:rPr>
        <w:footnoteReference w:id="266"/>
      </w:r>
      <w:r w:rsidRPr="001A3EF8">
        <w:t>, notamment dans le cadre des interceptions routières sans motif requis. Il souligne l’absence d’études montrant « des résultats contraires à ces fortes réitérations temporelle et géographique de</w:t>
      </w:r>
      <w:r w:rsidR="00F141ED">
        <w:t>[</w:t>
      </w:r>
      <w:r w:rsidRPr="001A3EF8">
        <w:t>s</w:t>
      </w:r>
      <w:r w:rsidR="00F141ED">
        <w:t>]</w:t>
      </w:r>
      <w:r w:rsidRPr="001A3EF8">
        <w:t xml:space="preserve"> disparités de traitement »</w:t>
      </w:r>
      <w:r w:rsidRPr="001A3EF8">
        <w:rPr>
          <w:vertAlign w:val="superscript"/>
        </w:rPr>
        <w:footnoteReference w:id="267"/>
      </w:r>
      <w:r w:rsidRPr="001A3EF8">
        <w:t xml:space="preserve"> vécues par les personnes noires. Il rejette sans ambages la « théorie de la pomme pourrie » : pour lui, il ne fait aucun doute que le problème est structurel (systémique) et relève du profilage racial</w:t>
      </w:r>
      <w:r w:rsidRPr="001A3EF8">
        <w:rPr>
          <w:vertAlign w:val="superscript"/>
        </w:rPr>
        <w:footnoteReference w:id="268"/>
      </w:r>
      <w:r w:rsidRPr="001A3EF8">
        <w:t>.</w:t>
      </w:r>
    </w:p>
    <w:p w14:paraId="0096D33B" w14:textId="14CE56BC" w:rsidR="001A3EF8" w:rsidRPr="001A3EF8" w:rsidRDefault="001A3EF8" w:rsidP="00512142">
      <w:pPr>
        <w:pStyle w:val="Paragraphe"/>
        <w:spacing w:line="280" w:lineRule="exact"/>
      </w:pPr>
      <w:r w:rsidRPr="001A3EF8">
        <w:t xml:space="preserve">La preuve </w:t>
      </w:r>
      <w:r w:rsidRPr="00C87EC1">
        <w:t xml:space="preserve">de l’experte Sylvestre va dans le même sens que celle de l’expert Mulone. </w:t>
      </w:r>
      <w:r w:rsidR="00C03C66" w:rsidRPr="00C87EC1">
        <w:t>Elle</w:t>
      </w:r>
      <w:r w:rsidRPr="00C87EC1">
        <w:t xml:space="preserve"> conclut elle aussi que les</w:t>
      </w:r>
      <w:r w:rsidRPr="001A3EF8">
        <w:t xml:space="preserve"> personnes noires sont davantage interceptées (et interpellées) que les personnes blanches et qu’elles font l’objet de profilage racial dans les interceptions routières sans motif requis</w:t>
      </w:r>
      <w:r w:rsidRPr="001A3EF8">
        <w:rPr>
          <w:vertAlign w:val="superscript"/>
        </w:rPr>
        <w:footnoteReference w:id="269"/>
      </w:r>
      <w:r w:rsidRPr="001A3EF8">
        <w:t>. À la lumière des résultats obtenus dans le cadre de son projet de recherche sur le profilage racial dans les interceptions routières, elle conclut à « une utilisation abusive du pouvoir discrétionnaire des policiers et [à] l’utilisation de prétextes et de ruses qui sont des indicateurs clairs de profilage racial »</w:t>
      </w:r>
      <w:r w:rsidRPr="001A3EF8">
        <w:rPr>
          <w:vertAlign w:val="superscript"/>
        </w:rPr>
        <w:footnoteReference w:id="270"/>
      </w:r>
      <w:r w:rsidRPr="001A3EF8">
        <w:t>.</w:t>
      </w:r>
    </w:p>
    <w:p w14:paraId="35321FED" w14:textId="77777777" w:rsidR="001A3EF8" w:rsidRPr="001A3EF8" w:rsidRDefault="001A3EF8" w:rsidP="00512142">
      <w:pPr>
        <w:pStyle w:val="Paragraphe"/>
        <w:spacing w:line="280" w:lineRule="exact"/>
      </w:pPr>
      <w:r w:rsidRPr="001A3EF8">
        <w:t>La preuve des experts Mulone et Sylvestre est également étayée par la preuve testimoniale offerte par M. Luamba et par plusieurs autres témoins ordinaires. Cette preuve, que le juge analyse en détail</w:t>
      </w:r>
      <w:r w:rsidRPr="001A3EF8">
        <w:rPr>
          <w:vertAlign w:val="superscript"/>
        </w:rPr>
        <w:footnoteReference w:id="271"/>
      </w:r>
      <w:r w:rsidRPr="001A3EF8">
        <w:t>, illustre concrètement les désavantages auxquels les personnes noires font face en tant que groupe dans leurs interactions avec la police (notamment lorsqu’il est question d’interceptions routières sans motif requis)</w:t>
      </w:r>
      <w:r w:rsidRPr="001A3EF8">
        <w:rPr>
          <w:vertAlign w:val="superscript"/>
        </w:rPr>
        <w:footnoteReference w:id="272"/>
      </w:r>
      <w:r w:rsidRPr="001A3EF8">
        <w:t>. Le juge qualifie cette preuve de crédible et « </w:t>
      </w:r>
      <w:r w:rsidRPr="001A3EF8">
        <w:rPr>
          <w:color w:val="000000"/>
        </w:rPr>
        <w:t>concluante sur l’existence du profilage racial</w:t>
      </w:r>
      <w:r w:rsidRPr="001A3EF8">
        <w:t> »</w:t>
      </w:r>
      <w:r w:rsidRPr="001A3EF8">
        <w:rPr>
          <w:vertAlign w:val="superscript"/>
        </w:rPr>
        <w:footnoteReference w:id="273"/>
      </w:r>
      <w:r w:rsidRPr="001A3EF8">
        <w:t>. Le PGQ, on l’a vu, ne remet pas en cause ces déterminations factuelles, lesquelles commandent un haut degré de déférence en appel</w:t>
      </w:r>
      <w:r w:rsidRPr="001A3EF8">
        <w:rPr>
          <w:vertAlign w:val="superscript"/>
        </w:rPr>
        <w:footnoteReference w:id="274"/>
      </w:r>
      <w:r w:rsidRPr="001A3EF8">
        <w:t>.</w:t>
      </w:r>
    </w:p>
    <w:p w14:paraId="5EFFA85B" w14:textId="6E336281" w:rsidR="001A3EF8" w:rsidRPr="001A3EF8" w:rsidRDefault="001A3EF8" w:rsidP="00512142">
      <w:pPr>
        <w:pStyle w:val="Paragraphe"/>
        <w:spacing w:line="280" w:lineRule="exact"/>
      </w:pPr>
      <w:r w:rsidRPr="001A3EF8">
        <w:t xml:space="preserve">Cette preuve quantitative et qualitative, non contredite par la preuve du PGQ, est renforcée par d’autres études qui montrent la façon dont le profilage racial teinte les </w:t>
      </w:r>
      <w:r w:rsidRPr="00391801">
        <w:t>interventions policières</w:t>
      </w:r>
      <w:r w:rsidRPr="00391801">
        <w:rPr>
          <w:vertAlign w:val="superscript"/>
        </w:rPr>
        <w:footnoteReference w:id="275"/>
      </w:r>
      <w:r w:rsidRPr="00391801">
        <w:t xml:space="preserve">. Elle trouve également </w:t>
      </w:r>
      <w:r w:rsidR="00457C47" w:rsidRPr="00391801">
        <w:t>appui</w:t>
      </w:r>
      <w:r w:rsidRPr="00391801">
        <w:t xml:space="preserve"> dans les rapports de commissions</w:t>
      </w:r>
      <w:r w:rsidRPr="001A3EF8">
        <w:t xml:space="preserve"> gouvernementales et dans la jurisprudence. Voici quelques exemples.</w:t>
      </w:r>
    </w:p>
    <w:p w14:paraId="10EA8790" w14:textId="77777777" w:rsidR="001A3EF8" w:rsidRPr="00C87EC1" w:rsidRDefault="001A3EF8" w:rsidP="00F5188D">
      <w:pPr>
        <w:pStyle w:val="Paragraphe"/>
        <w:spacing w:line="280" w:lineRule="exact"/>
      </w:pPr>
      <w:r w:rsidRPr="00C87EC1">
        <w:t>Dans un rapport publié en 2020, la Commission ontarienne des droits de la personne (« CODP ») conclut que les personnes noires sont largement surreprésentées dans les accusations relatives aux infractions de la route « hors de vue » (c.</w:t>
      </w:r>
      <w:r w:rsidRPr="00C87EC1">
        <w:noBreakHyphen/>
        <w:t>à</w:t>
      </w:r>
      <w:r w:rsidRPr="00C87EC1">
        <w:noBreakHyphen/>
        <w:t>d. les infractions qui sont constatées uniquement lorsqu’un agent de police décide de vérifier la plaque d’immatriculation d’un conducteur ou d’intercepter « aléatoirement » un véhicule). La CODP note qu’en proportion de leur représentation dans la population torontoise, les personnes noires sont quatre fois plus susceptibles d’être accusées d’une telle infraction</w:t>
      </w:r>
      <w:r w:rsidRPr="00C87EC1">
        <w:rPr>
          <w:vertAlign w:val="superscript"/>
        </w:rPr>
        <w:footnoteReference w:id="276"/>
      </w:r>
      <w:r w:rsidRPr="00C87EC1">
        <w:t>. Paradoxalement, elles sont aussi moins susceptibles d’être déclarées coupables de l’infraction qui leur est reprochée que les personnes blanches. Selon la CODP, ce constat étaye l’idée selon laquelle « en raison de préjugés raciaux, les personnes noires courent davantage le risque d’encourir des accusations de faible gravité et peu susceptibles d’aboutir à une condamnation »</w:t>
      </w:r>
      <w:r w:rsidRPr="00C87EC1">
        <w:rPr>
          <w:vertAlign w:val="superscript"/>
        </w:rPr>
        <w:footnoteReference w:id="277"/>
      </w:r>
      <w:r w:rsidRPr="00C87EC1">
        <w:t xml:space="preserve">. Ce constat réfute aussi l’argument selon lequel les disproportions observées pourraient s’expliquer par la plus grande propension des personnes noires à la criminalité. </w:t>
      </w:r>
    </w:p>
    <w:p w14:paraId="105F48AD" w14:textId="476AAAD6" w:rsidR="001A3EF8" w:rsidRPr="001A3EF8" w:rsidRDefault="001A3EF8" w:rsidP="00F5188D">
      <w:pPr>
        <w:pStyle w:val="Paragraphe"/>
        <w:spacing w:line="280" w:lineRule="exact"/>
      </w:pPr>
      <w:r w:rsidRPr="00C87EC1">
        <w:t>La CDPDJ arrive au même constat : les personnes noires sont surreprésentées dans les interpellations (ou interceptions)</w:t>
      </w:r>
      <w:r w:rsidR="00976FF5">
        <w:t xml:space="preserve"> policières</w:t>
      </w:r>
      <w:r w:rsidRPr="00C87EC1">
        <w:t>. Selon la CDPDJ, la disproportion est particulièrement marquée chez les jeunes</w:t>
      </w:r>
      <w:r w:rsidRPr="001A3EF8">
        <w:t xml:space="preserve"> </w:t>
      </w:r>
      <w:r w:rsidR="00572547">
        <w:t>N</w:t>
      </w:r>
      <w:r w:rsidRPr="001A3EF8">
        <w:t>oirs. La surreprésentation de ces derniers parmi les personnes interpellées (ou interceptées) par la police se serait d’ailleurs nettement accentuée avec la « lutte aux gangs de rue », l’une des priorités d’intervention du SPVM depuis le milieu des années 2000</w:t>
      </w:r>
      <w:r w:rsidRPr="001A3EF8">
        <w:rPr>
          <w:vertAlign w:val="superscript"/>
        </w:rPr>
        <w:footnoteReference w:id="278"/>
      </w:r>
      <w:r w:rsidRPr="001A3EF8">
        <w:t>.</w:t>
      </w:r>
    </w:p>
    <w:p w14:paraId="3273D284" w14:textId="6DF64794" w:rsidR="001A3EF8" w:rsidRPr="001A3EF8" w:rsidRDefault="001A3EF8" w:rsidP="00F5188D">
      <w:pPr>
        <w:pStyle w:val="Paragraphe"/>
        <w:spacing w:line="280" w:lineRule="exact"/>
      </w:pPr>
      <w:r w:rsidRPr="001A3EF8">
        <w:t xml:space="preserve">En terminant, rappelons que, dans l’arrêt </w:t>
      </w:r>
      <w:r w:rsidRPr="001A3EF8">
        <w:rPr>
          <w:i/>
          <w:iCs/>
        </w:rPr>
        <w:t>Le</w:t>
      </w:r>
      <w:r w:rsidRPr="001A3EF8">
        <w:t>, la Cour suprême reconnaît que « [l]es membres des minorités raciales font l’objet d’un nombre disproportionné de contacts avec la police et le système canadien de justice pénale »</w:t>
      </w:r>
      <w:r w:rsidRPr="001A3EF8">
        <w:rPr>
          <w:vertAlign w:val="superscript"/>
        </w:rPr>
        <w:footnoteReference w:id="279"/>
      </w:r>
      <w:r w:rsidRPr="001A3EF8">
        <w:t>.</w:t>
      </w:r>
    </w:p>
    <w:p w14:paraId="205FD83D" w14:textId="1203DFA5" w:rsidR="001A3EF8" w:rsidRPr="001A3EF8" w:rsidRDefault="001A3EF8" w:rsidP="00F5188D">
      <w:pPr>
        <w:pStyle w:val="Paragraphe"/>
        <w:spacing w:line="280" w:lineRule="exact"/>
      </w:pPr>
      <w:r w:rsidRPr="001A3EF8">
        <w:t>Ainsi, le juge ne commet pas d’erreur en répondant par l’affirmative à la question de savoir si la règle de droit contestée crée, par son effet, une distinction fondée sur un motif énuméré, soit la race</w:t>
      </w:r>
      <w:r w:rsidRPr="001A3EF8">
        <w:rPr>
          <w:vertAlign w:val="superscript"/>
        </w:rPr>
        <w:footnoteReference w:id="280"/>
      </w:r>
      <w:r w:rsidRPr="001A3EF8">
        <w:t xml:space="preserve">. La Cour fait sienne </w:t>
      </w:r>
      <w:r w:rsidR="00572547">
        <w:t>l</w:t>
      </w:r>
      <w:r w:rsidRPr="001A3EF8">
        <w:t>a conclusion à la</w:t>
      </w:r>
      <w:r w:rsidR="00572547">
        <w:t>quelle arrive le juge à la</w:t>
      </w:r>
      <w:r w:rsidRPr="001A3EF8">
        <w:t xml:space="preserve"> première étape de l’analyse :</w:t>
      </w:r>
    </w:p>
    <w:p w14:paraId="17F75E2D" w14:textId="1DF8BD63" w:rsidR="001A3EF8" w:rsidRPr="007C28D2" w:rsidRDefault="001A3EF8" w:rsidP="00CF2FDB">
      <w:pPr>
        <w:pStyle w:val="Citationenretrait"/>
      </w:pPr>
      <w:r w:rsidRPr="007C28D2">
        <w:t>[823]</w:t>
      </w:r>
      <w:r w:rsidR="00CF2FDB" w:rsidRPr="007C28D2">
        <w:tab/>
      </w:r>
      <w:r w:rsidRPr="007C28D2">
        <w:t xml:space="preserve">À cette première étape, le Tribunal conclut que la règle de droit, qui permet une sélection des conducteurs basée exclusivement sur l’intuition des policiers sans autre motif, a un effet préjudiciable considérant l’incidence disproportionnée des </w:t>
      </w:r>
      <w:r w:rsidRPr="007C28D2">
        <w:rPr>
          <w:i/>
          <w:iCs/>
        </w:rPr>
        <w:t>interceptions routières sans motif réel</w:t>
      </w:r>
      <w:r w:rsidRPr="007C28D2">
        <w:t xml:space="preserve"> sur les personnes noires. Le Tribunal par ailleurs n’a plus à déterminer si le demandeur a réussi ou non à prouver que les conducteurs noirs sont interpellés de la sorte sur la base de leur couleur de peau. La preuve de l’effet disproportionné sur la communauté protégée suffit.</w:t>
      </w:r>
    </w:p>
    <w:p w14:paraId="07E498CD" w14:textId="55DFAA6C" w:rsidR="001A3EF8" w:rsidRPr="001A3EF8" w:rsidRDefault="001A3EF8" w:rsidP="00CF2FDB">
      <w:pPr>
        <w:pStyle w:val="Citationenretrait"/>
        <w:jc w:val="right"/>
      </w:pPr>
      <w:r w:rsidRPr="007C28D2">
        <w:t xml:space="preserve">[Caractères gras </w:t>
      </w:r>
      <w:r w:rsidR="00C03C66" w:rsidRPr="007C28D2">
        <w:t>omis</w:t>
      </w:r>
      <w:r w:rsidR="00E927C7">
        <w:t>; italiques dans l’original</w:t>
      </w:r>
      <w:r w:rsidRPr="007C28D2">
        <w:t>]</w:t>
      </w:r>
    </w:p>
    <w:p w14:paraId="67C6A9A4" w14:textId="3AE8D641" w:rsidR="001A3EF8" w:rsidRPr="001A3EF8" w:rsidRDefault="001A3EF8" w:rsidP="00F5188D">
      <w:pPr>
        <w:pStyle w:val="Paragraphe"/>
        <w:spacing w:line="280" w:lineRule="exact"/>
      </w:pPr>
      <w:r w:rsidRPr="001A3EF8">
        <w:t xml:space="preserve">Comme on vient </w:t>
      </w:r>
      <w:r w:rsidRPr="00C87EC1">
        <w:t>de l</w:t>
      </w:r>
      <w:r w:rsidR="00C03C66" w:rsidRPr="00C87EC1">
        <w:t>e</w:t>
      </w:r>
      <w:r w:rsidRPr="00C87EC1">
        <w:t xml:space="preserve"> voir</w:t>
      </w:r>
      <w:r w:rsidRPr="001A3EF8">
        <w:t>, cette conclusion est amplement étayée par la preuve.</w:t>
      </w:r>
    </w:p>
    <w:p w14:paraId="4B66E91F" w14:textId="0F38261D" w:rsidR="001A3EF8" w:rsidRPr="001A3EF8" w:rsidRDefault="001A3EF8" w:rsidP="00270328">
      <w:pPr>
        <w:pStyle w:val="Titre4"/>
      </w:pPr>
      <w:bookmarkStart w:id="120" w:name="_Toc177390724"/>
      <w:bookmarkStart w:id="121" w:name="_Toc180397478"/>
      <w:r w:rsidRPr="001A3EF8">
        <w:t>Deuxième étape : démontrer que la loi impose un fardeau ou nie un avantage d’une manière qui a pour effet de renforcer, de perpétuer ou d’accentuer le désavantage</w:t>
      </w:r>
      <w:bookmarkEnd w:id="120"/>
      <w:bookmarkEnd w:id="121"/>
    </w:p>
    <w:p w14:paraId="460A1D5B" w14:textId="34E7758F" w:rsidR="001A3EF8" w:rsidRPr="001A3EF8" w:rsidRDefault="00A83A44" w:rsidP="00F5188D">
      <w:pPr>
        <w:pStyle w:val="Paragraphe"/>
        <w:spacing w:line="280" w:lineRule="exact"/>
      </w:pPr>
      <w:r>
        <w:t>Selon la Cour, l</w:t>
      </w:r>
      <w:r w:rsidR="001A3EF8" w:rsidRPr="001A3EF8">
        <w:t xml:space="preserve">a preuve démontre également que l’effet préjudiciable causé par </w:t>
      </w:r>
      <w:r w:rsidR="00F360B7">
        <w:t xml:space="preserve">l’art. 636 </w:t>
      </w:r>
      <w:r w:rsidR="00F360B7" w:rsidRPr="00F360B7">
        <w:rPr>
          <w:i/>
          <w:iCs/>
        </w:rPr>
        <w:t>C.s.r</w:t>
      </w:r>
      <w:r w:rsidR="00F360B7">
        <w:t>.</w:t>
      </w:r>
      <w:r w:rsidR="001A3EF8" w:rsidRPr="001A3EF8">
        <w:t xml:space="preserve"> renforce, perpétue et accentue le désavantage (historique et systémique) subi par les personnes noires.</w:t>
      </w:r>
    </w:p>
    <w:p w14:paraId="0D1516C3" w14:textId="4456F429" w:rsidR="001A3EF8" w:rsidRPr="001A3EF8" w:rsidRDefault="001A3EF8" w:rsidP="00F5188D">
      <w:pPr>
        <w:pStyle w:val="Paragraphe"/>
        <w:spacing w:line="280" w:lineRule="exact"/>
      </w:pPr>
      <w:r w:rsidRPr="001A3EF8">
        <w:t xml:space="preserve">Historiquement, les collectivités noires ont une perspective et une expérience </w:t>
      </w:r>
      <w:r w:rsidRPr="00391801">
        <w:t>différentes des pratiques policières tels que les contrôles « de routine » ou les</w:t>
      </w:r>
      <w:r w:rsidRPr="001A3EF8">
        <w:t xml:space="preserve"> interceptions routières « aléatoires ». Comme le </w:t>
      </w:r>
      <w:r w:rsidR="00A83A44">
        <w:t>souligne</w:t>
      </w:r>
      <w:r w:rsidR="00A83A44" w:rsidRPr="001A3EF8">
        <w:t xml:space="preserve"> </w:t>
      </w:r>
      <w:r w:rsidRPr="001A3EF8">
        <w:t xml:space="preserve">la CODP : </w:t>
      </w:r>
    </w:p>
    <w:p w14:paraId="7D16DD20" w14:textId="669A5368" w:rsidR="001A3EF8" w:rsidRPr="001A3EF8" w:rsidRDefault="001A3EF8" w:rsidP="00E12BFC">
      <w:pPr>
        <w:pStyle w:val="Citationenretrait"/>
      </w:pPr>
      <w:r w:rsidRPr="001A3EF8">
        <w:t>Peu de gens savent que les Noirs ont été considérés comme des « biens » jusqu’à tard dans les années 1800 ici au Canada. Le Canada a son propre passé esclavagiste, malgré l’appel lancé par le lieutenant</w:t>
      </w:r>
      <w:r w:rsidRPr="001A3EF8">
        <w:noBreakHyphen/>
        <w:t>gouverneur John Graves Simcoe en</w:t>
      </w:r>
      <w:r w:rsidR="00E12BFC">
        <w:t xml:space="preserve"> </w:t>
      </w:r>
      <w:r w:rsidRPr="001A3EF8">
        <w:t xml:space="preserve">1792 en vue de mettre fin à la « pratique » de l’esclavage. Des patrouilles sanctionnées par la </w:t>
      </w:r>
      <w:r w:rsidRPr="001A3EF8">
        <w:rPr>
          <w:i/>
          <w:iCs/>
        </w:rPr>
        <w:t>Fugitive Slave Act</w:t>
      </w:r>
      <w:r w:rsidRPr="001A3EF8">
        <w:t xml:space="preserve"> de</w:t>
      </w:r>
      <w:r w:rsidR="00E12BFC">
        <w:t xml:space="preserve"> </w:t>
      </w:r>
      <w:r w:rsidRPr="001A3EF8">
        <w:t>1850</w:t>
      </w:r>
      <w:r w:rsidR="00E12BFC">
        <w:t xml:space="preserve"> </w:t>
      </w:r>
      <w:r w:rsidRPr="001A3EF8">
        <w:t>du Congrès américain poursuivaient les esclaves et surveillaient les Noirs en général, aussi loin au nord que le Canada.</w:t>
      </w:r>
    </w:p>
    <w:p w14:paraId="712E0DDB" w14:textId="77777777" w:rsidR="001A3EF8" w:rsidRPr="001A3EF8" w:rsidRDefault="001A3EF8" w:rsidP="00E12BFC">
      <w:pPr>
        <w:pStyle w:val="Citationenretrait"/>
        <w:rPr>
          <w:highlight w:val="cyan"/>
        </w:rPr>
      </w:pPr>
      <w:r w:rsidRPr="001A3EF8">
        <w:t>C’est dans ce contexte historique que les relations des communautés noires avec la police se sont établies et ont initialement été définies.</w:t>
      </w:r>
      <w:r w:rsidRPr="001A3EF8">
        <w:rPr>
          <w:vertAlign w:val="superscript"/>
        </w:rPr>
        <w:footnoteReference w:id="281"/>
      </w:r>
    </w:p>
    <w:p w14:paraId="0ED686DE" w14:textId="515EAA89" w:rsidR="001A3EF8" w:rsidRPr="001A3EF8" w:rsidRDefault="001A3EF8" w:rsidP="00F5188D">
      <w:pPr>
        <w:pStyle w:val="Paragraphe"/>
        <w:spacing w:line="280" w:lineRule="exact"/>
      </w:pPr>
      <w:r w:rsidRPr="001A3EF8">
        <w:t>Il faut tenir compte de ce contexte pour bien comprendre comment l</w:t>
      </w:r>
      <w:r w:rsidR="00F360B7">
        <w:t xml:space="preserve">’art. 636 </w:t>
      </w:r>
      <w:r w:rsidR="00F360B7" w:rsidRPr="00F360B7">
        <w:rPr>
          <w:i/>
          <w:iCs/>
        </w:rPr>
        <w:t>C.s.r</w:t>
      </w:r>
      <w:r w:rsidR="00F360B7">
        <w:t>.</w:t>
      </w:r>
      <w:r w:rsidRPr="001A3EF8">
        <w:t xml:space="preserve"> renforce, perpétue et accentue le désavantage subi par les personnes noires. Cela est d’autant plus important que l’expérience subjective des personnes noires interpellées ou interceptées à répétition par la police a tendance à être minimisée</w:t>
      </w:r>
      <w:r w:rsidRPr="001A3EF8">
        <w:rPr>
          <w:vertAlign w:val="superscript"/>
        </w:rPr>
        <w:footnoteReference w:id="282"/>
      </w:r>
      <w:r w:rsidRPr="001A3EF8">
        <w:t xml:space="preserve">. Les effets du profilage racial (et de la « surinterpellation ») ne sont pourtant pas anodins pour les personnes (et les collectivités) noires. </w:t>
      </w:r>
    </w:p>
    <w:p w14:paraId="5700B34F" w14:textId="3E31B5D6" w:rsidR="001A3EF8" w:rsidRPr="001A3EF8" w:rsidRDefault="001A3EF8" w:rsidP="00F5188D">
      <w:pPr>
        <w:pStyle w:val="Paragraphe"/>
        <w:spacing w:line="280" w:lineRule="exact"/>
      </w:pPr>
      <w:bookmarkStart w:id="122" w:name="_Ref164957298"/>
      <w:r w:rsidRPr="001A3EF8">
        <w:t>La preuve d’expert, la littérature scientifique et les rapports de commissions gouvernementales démontrent que le profilage racial dans les interventions policières (dont les contrôles de routine ou les interceptions routières « aléatoires ») a des conséquences multiples et profondes pour les personnes ciblées</w:t>
      </w:r>
      <w:r w:rsidRPr="001A3EF8">
        <w:rPr>
          <w:vertAlign w:val="superscript"/>
        </w:rPr>
        <w:footnoteReference w:id="283"/>
      </w:r>
      <w:r w:rsidRPr="001A3EF8">
        <w:t>. Ces éléments de preuve établissent notamment que :</w:t>
      </w:r>
      <w:bookmarkEnd w:id="122"/>
      <w:r w:rsidRPr="001A3EF8">
        <w:t xml:space="preserve"> </w:t>
      </w:r>
    </w:p>
    <w:p w14:paraId="50EBD489" w14:textId="762B658F" w:rsidR="001A3EF8" w:rsidRPr="001A3EF8" w:rsidRDefault="001A3EF8" w:rsidP="00F5188D">
      <w:pPr>
        <w:numPr>
          <w:ilvl w:val="0"/>
          <w:numId w:val="31"/>
        </w:numPr>
        <w:spacing w:before="120" w:after="120"/>
        <w:ind w:left="714" w:hanging="357"/>
        <w:jc w:val="both"/>
        <w:rPr>
          <w:kern w:val="28"/>
        </w:rPr>
      </w:pPr>
      <w:r w:rsidRPr="001A3EF8">
        <w:rPr>
          <w:kern w:val="28"/>
        </w:rPr>
        <w:t>Les personnes noires « éprouvent souvent un sentiment d’humiliation, de peur, de colère, de frustration et d’impuissance en raison du profilage racial dont elles se sentent victimes »</w:t>
      </w:r>
      <w:r w:rsidRPr="001A3EF8">
        <w:rPr>
          <w:kern w:val="28"/>
          <w:vertAlign w:val="superscript"/>
        </w:rPr>
        <w:footnoteReference w:id="284"/>
      </w:r>
      <w:r w:rsidRPr="001A3EF8">
        <w:rPr>
          <w:kern w:val="28"/>
        </w:rPr>
        <w:t>. L’exposition fréquente à des interpellations, interceptions et fouilles policières peut avoir des conséquences négatives (et parfois durables) sur leur santé physique</w:t>
      </w:r>
      <w:r w:rsidRPr="001A3EF8">
        <w:rPr>
          <w:kern w:val="28"/>
          <w:vertAlign w:val="superscript"/>
        </w:rPr>
        <w:footnoteReference w:id="285"/>
      </w:r>
      <w:r w:rsidRPr="001A3EF8">
        <w:rPr>
          <w:kern w:val="28"/>
        </w:rPr>
        <w:t xml:space="preserve"> et sur leur santé mentale</w:t>
      </w:r>
      <w:r w:rsidRPr="001A3EF8">
        <w:rPr>
          <w:kern w:val="28"/>
          <w:vertAlign w:val="superscript"/>
        </w:rPr>
        <w:footnoteReference w:id="286"/>
      </w:r>
      <w:r w:rsidR="00646C7A">
        <w:rPr>
          <w:kern w:val="28"/>
        </w:rPr>
        <w:t>;</w:t>
      </w:r>
    </w:p>
    <w:p w14:paraId="024568C2" w14:textId="1798F599" w:rsidR="001A3EF8" w:rsidRPr="001A3EF8" w:rsidRDefault="001A3EF8" w:rsidP="00F5188D">
      <w:pPr>
        <w:numPr>
          <w:ilvl w:val="0"/>
          <w:numId w:val="31"/>
        </w:numPr>
        <w:spacing w:before="120" w:after="120"/>
        <w:ind w:left="714" w:hanging="357"/>
        <w:jc w:val="both"/>
        <w:rPr>
          <w:kern w:val="28"/>
        </w:rPr>
      </w:pPr>
      <w:r w:rsidRPr="001A3EF8">
        <w:rPr>
          <w:kern w:val="28"/>
        </w:rPr>
        <w:t>Les personnes noires qui subissent du profilage racial peuvent par exemple développer des traumatismes (voire un syndrome de stress post</w:t>
      </w:r>
      <w:r w:rsidRPr="001A3EF8">
        <w:rPr>
          <w:kern w:val="28"/>
        </w:rPr>
        <w:noBreakHyphen/>
        <w:t>traumatique)</w:t>
      </w:r>
      <w:r w:rsidRPr="001A3EF8">
        <w:rPr>
          <w:kern w:val="28"/>
          <w:vertAlign w:val="superscript"/>
        </w:rPr>
        <w:footnoteReference w:id="287"/>
      </w:r>
      <w:r w:rsidRPr="001A3EF8">
        <w:rPr>
          <w:kern w:val="28"/>
        </w:rPr>
        <w:t xml:space="preserve"> ou souffrir de dépression ou d’anxiété</w:t>
      </w:r>
      <w:r w:rsidRPr="001A3EF8">
        <w:rPr>
          <w:kern w:val="28"/>
          <w:vertAlign w:val="superscript"/>
        </w:rPr>
        <w:footnoteReference w:id="288"/>
      </w:r>
      <w:r w:rsidR="00646C7A">
        <w:rPr>
          <w:kern w:val="28"/>
        </w:rPr>
        <w:t>;</w:t>
      </w:r>
    </w:p>
    <w:p w14:paraId="3BD09DEA" w14:textId="022D309D" w:rsidR="001A3EF8" w:rsidRPr="001A3EF8" w:rsidRDefault="001A3EF8" w:rsidP="00F5188D">
      <w:pPr>
        <w:numPr>
          <w:ilvl w:val="0"/>
          <w:numId w:val="31"/>
        </w:numPr>
        <w:spacing w:before="120" w:after="120"/>
        <w:ind w:left="714" w:hanging="357"/>
        <w:jc w:val="both"/>
        <w:rPr>
          <w:rFonts w:cs="Arial"/>
          <w:kern w:val="28"/>
          <w:szCs w:val="24"/>
        </w:rPr>
      </w:pPr>
      <w:r w:rsidRPr="001A3EF8">
        <w:rPr>
          <w:rFonts w:cs="Arial"/>
          <w:kern w:val="28"/>
          <w:szCs w:val="24"/>
        </w:rPr>
        <w:t>De nombreuses familles racisées modifient « la façon dont [elles] élèvent leurs enfants afin de les préparer à réagir à de telles interactions avec la police, jugées inévitables »</w:t>
      </w:r>
      <w:r w:rsidRPr="001A3EF8">
        <w:rPr>
          <w:rFonts w:cs="Arial"/>
          <w:kern w:val="28"/>
          <w:szCs w:val="24"/>
          <w:vertAlign w:val="superscript"/>
        </w:rPr>
        <w:footnoteReference w:id="289"/>
      </w:r>
      <w:r w:rsidRPr="001A3EF8">
        <w:rPr>
          <w:rFonts w:cs="Arial"/>
          <w:kern w:val="28"/>
          <w:szCs w:val="24"/>
        </w:rPr>
        <w:t>. Plusieurs personnes développent par ailleurs des « stratégies » afin de se protéger contre le profilage racial et les interceptions arbitraires (</w:t>
      </w:r>
      <w:r w:rsidR="000B453A">
        <w:rPr>
          <w:rFonts w:cs="Arial"/>
          <w:kern w:val="28"/>
          <w:szCs w:val="24"/>
        </w:rPr>
        <w:t>p. </w:t>
      </w:r>
      <w:r w:rsidRPr="001A3EF8">
        <w:rPr>
          <w:rFonts w:cs="Arial"/>
          <w:kern w:val="28"/>
          <w:szCs w:val="24"/>
        </w:rPr>
        <w:t>ex. filmer les interceptions, éviter de se rendre dans certains quartiers ou de conduire certains modèles de voitures, faire preuve d’une extrême prudence et vigilance au volant, etc.)</w:t>
      </w:r>
      <w:r w:rsidRPr="001A3EF8">
        <w:rPr>
          <w:rFonts w:cs="Arial"/>
          <w:kern w:val="28"/>
          <w:szCs w:val="24"/>
          <w:vertAlign w:val="superscript"/>
        </w:rPr>
        <w:footnoteReference w:id="290"/>
      </w:r>
      <w:r w:rsidR="00646C7A">
        <w:rPr>
          <w:rFonts w:cs="Arial"/>
          <w:kern w:val="28"/>
          <w:szCs w:val="24"/>
        </w:rPr>
        <w:t>;</w:t>
      </w:r>
    </w:p>
    <w:p w14:paraId="4D46DFC5" w14:textId="30EB3398" w:rsidR="001A3EF8" w:rsidRPr="001A3EF8" w:rsidRDefault="001A3EF8" w:rsidP="00F5188D">
      <w:pPr>
        <w:numPr>
          <w:ilvl w:val="0"/>
          <w:numId w:val="31"/>
        </w:numPr>
        <w:spacing w:before="120" w:after="120"/>
        <w:ind w:left="714" w:hanging="357"/>
        <w:jc w:val="both"/>
        <w:rPr>
          <w:rFonts w:cs="Arial"/>
          <w:kern w:val="28"/>
          <w:szCs w:val="24"/>
        </w:rPr>
      </w:pPr>
      <w:r w:rsidRPr="001A3EF8">
        <w:rPr>
          <w:rFonts w:cs="Arial"/>
          <w:kern w:val="28"/>
          <w:szCs w:val="24"/>
        </w:rPr>
        <w:t>Le profilage racial mine la confiance des personnes noires envers la police et les institutions publiques</w:t>
      </w:r>
      <w:r w:rsidRPr="001A3EF8">
        <w:rPr>
          <w:rFonts w:cs="Arial"/>
          <w:kern w:val="28"/>
          <w:szCs w:val="24"/>
          <w:vertAlign w:val="superscript"/>
        </w:rPr>
        <w:footnoteReference w:id="291"/>
      </w:r>
      <w:r w:rsidRPr="001A3EF8">
        <w:rPr>
          <w:rFonts w:cs="Arial"/>
          <w:kern w:val="28"/>
          <w:szCs w:val="24"/>
        </w:rPr>
        <w:t>. Il crée un sentiment de méfiance, voire carrément d’hostilité</w:t>
      </w:r>
      <w:r w:rsidRPr="001A3EF8">
        <w:rPr>
          <w:rFonts w:cs="Arial"/>
          <w:kern w:val="28"/>
          <w:szCs w:val="24"/>
          <w:vertAlign w:val="superscript"/>
        </w:rPr>
        <w:footnoteReference w:id="292"/>
      </w:r>
      <w:r w:rsidRPr="001A3EF8">
        <w:rPr>
          <w:rFonts w:cs="Arial"/>
          <w:kern w:val="28"/>
          <w:szCs w:val="24"/>
        </w:rPr>
        <w:t>, envers les forces de l’ordre et le système judiciaire</w:t>
      </w:r>
      <w:r w:rsidRPr="001A3EF8">
        <w:rPr>
          <w:rFonts w:cs="Arial"/>
          <w:kern w:val="28"/>
          <w:szCs w:val="24"/>
          <w:vertAlign w:val="superscript"/>
        </w:rPr>
        <w:footnoteReference w:id="293"/>
      </w:r>
      <w:r w:rsidR="00646C7A">
        <w:rPr>
          <w:rFonts w:cs="Arial"/>
          <w:kern w:val="28"/>
          <w:szCs w:val="24"/>
        </w:rPr>
        <w:t>;</w:t>
      </w:r>
    </w:p>
    <w:p w14:paraId="3303572B" w14:textId="572AE7CE" w:rsidR="001A3EF8" w:rsidRPr="001A3EF8" w:rsidRDefault="001A3EF8" w:rsidP="00F5188D">
      <w:pPr>
        <w:numPr>
          <w:ilvl w:val="0"/>
          <w:numId w:val="31"/>
        </w:numPr>
        <w:spacing w:before="120" w:after="120"/>
        <w:ind w:left="714" w:hanging="357"/>
        <w:jc w:val="both"/>
        <w:rPr>
          <w:rFonts w:cs="Arial"/>
          <w:kern w:val="28"/>
          <w:szCs w:val="24"/>
        </w:rPr>
      </w:pPr>
      <w:r w:rsidRPr="001A3EF8">
        <w:rPr>
          <w:rFonts w:cs="Arial"/>
          <w:kern w:val="28"/>
          <w:szCs w:val="24"/>
        </w:rPr>
        <w:t>La perte de confiance dans la légitimité, l’intégrité et l’objectivité de la police et du système judiciaire peut mener certaines personnes à refuser de collaborer avec la police</w:t>
      </w:r>
      <w:r w:rsidRPr="001A3EF8">
        <w:rPr>
          <w:rFonts w:cs="Arial"/>
          <w:kern w:val="28"/>
          <w:szCs w:val="24"/>
          <w:vertAlign w:val="superscript"/>
        </w:rPr>
        <w:footnoteReference w:id="294"/>
      </w:r>
      <w:r w:rsidRPr="001A3EF8">
        <w:rPr>
          <w:rFonts w:cs="Arial"/>
          <w:kern w:val="28"/>
          <w:szCs w:val="24"/>
        </w:rPr>
        <w:t>, et même à développer des comportements antisociaux (</w:t>
      </w:r>
      <w:r w:rsidR="000B453A">
        <w:rPr>
          <w:rFonts w:cs="Arial"/>
          <w:kern w:val="28"/>
          <w:szCs w:val="24"/>
        </w:rPr>
        <w:t>p. </w:t>
      </w:r>
      <w:r w:rsidRPr="001A3EF8">
        <w:rPr>
          <w:rFonts w:cs="Arial"/>
          <w:kern w:val="28"/>
          <w:szCs w:val="24"/>
        </w:rPr>
        <w:t>ex. refus d’obéir à la loi ou participation au crime)</w:t>
      </w:r>
      <w:r w:rsidRPr="001A3EF8">
        <w:rPr>
          <w:rFonts w:cs="Arial"/>
          <w:kern w:val="28"/>
          <w:szCs w:val="24"/>
          <w:vertAlign w:val="superscript"/>
        </w:rPr>
        <w:footnoteReference w:id="295"/>
      </w:r>
      <w:r w:rsidRPr="001A3EF8">
        <w:rPr>
          <w:rFonts w:cs="Arial"/>
          <w:kern w:val="28"/>
          <w:szCs w:val="24"/>
        </w:rPr>
        <w:t>. En outre, les personnes qui craignent la police ou qui remettent en question sa légitimité sont moins susceptibles de faire appel à elle en cas de besoin</w:t>
      </w:r>
      <w:r w:rsidRPr="001A3EF8">
        <w:rPr>
          <w:rFonts w:cs="Arial"/>
          <w:kern w:val="28"/>
          <w:szCs w:val="24"/>
          <w:vertAlign w:val="superscript"/>
        </w:rPr>
        <w:footnoteReference w:id="296"/>
      </w:r>
      <w:r w:rsidRPr="001A3EF8">
        <w:rPr>
          <w:rFonts w:cs="Arial"/>
          <w:kern w:val="28"/>
          <w:szCs w:val="24"/>
        </w:rPr>
        <w:t>, « ce qui renforce leur vulnérabilité et augmente leurs taux de victimisation »</w:t>
      </w:r>
      <w:r w:rsidRPr="001A3EF8">
        <w:rPr>
          <w:rFonts w:cs="Arial"/>
          <w:kern w:val="28"/>
          <w:szCs w:val="24"/>
          <w:vertAlign w:val="superscript"/>
        </w:rPr>
        <w:footnoteReference w:id="297"/>
      </w:r>
      <w:r w:rsidR="00646C7A">
        <w:rPr>
          <w:rFonts w:cs="Arial"/>
          <w:kern w:val="28"/>
          <w:szCs w:val="24"/>
        </w:rPr>
        <w:t>;</w:t>
      </w:r>
    </w:p>
    <w:p w14:paraId="2233D4DB" w14:textId="71FCA2B1" w:rsidR="001A3EF8" w:rsidRPr="001A3EF8" w:rsidRDefault="001A3EF8" w:rsidP="00F5188D">
      <w:pPr>
        <w:numPr>
          <w:ilvl w:val="0"/>
          <w:numId w:val="31"/>
        </w:numPr>
        <w:spacing w:before="120" w:after="120"/>
        <w:ind w:left="714" w:hanging="357"/>
        <w:jc w:val="both"/>
        <w:rPr>
          <w:rFonts w:cs="Arial"/>
          <w:kern w:val="28"/>
          <w:szCs w:val="24"/>
        </w:rPr>
      </w:pPr>
      <w:r w:rsidRPr="001A3EF8">
        <w:rPr>
          <w:rFonts w:cs="Arial"/>
          <w:kern w:val="28"/>
          <w:szCs w:val="24"/>
        </w:rPr>
        <w:t>Le profilage racial a un effet négatif sur l’estime de soi des personnes noires</w:t>
      </w:r>
      <w:r w:rsidRPr="001A3EF8">
        <w:rPr>
          <w:rFonts w:cs="Arial"/>
          <w:kern w:val="28"/>
          <w:szCs w:val="24"/>
          <w:vertAlign w:val="superscript"/>
        </w:rPr>
        <w:footnoteReference w:id="298"/>
      </w:r>
      <w:r w:rsidRPr="001A3EF8">
        <w:rPr>
          <w:rFonts w:cs="Arial"/>
          <w:kern w:val="28"/>
          <w:szCs w:val="24"/>
        </w:rPr>
        <w:t xml:space="preserve"> (ex. sentiment d’être un « criminel », un « déchet »</w:t>
      </w:r>
      <w:r w:rsidRPr="001A3EF8">
        <w:rPr>
          <w:rFonts w:cs="Arial"/>
          <w:kern w:val="28"/>
          <w:szCs w:val="24"/>
          <w:vertAlign w:val="superscript"/>
        </w:rPr>
        <w:footnoteReference w:id="299"/>
      </w:r>
      <w:r w:rsidRPr="001A3EF8">
        <w:rPr>
          <w:rFonts w:cs="Arial"/>
          <w:kern w:val="28"/>
          <w:szCs w:val="24"/>
        </w:rPr>
        <w:t>, ou encore un « citoyen de seconde zone »</w:t>
      </w:r>
      <w:r w:rsidRPr="001A3EF8">
        <w:rPr>
          <w:rFonts w:cs="Arial"/>
          <w:kern w:val="28"/>
          <w:szCs w:val="24"/>
          <w:vertAlign w:val="superscript"/>
        </w:rPr>
        <w:footnoteReference w:id="300"/>
      </w:r>
      <w:r w:rsidRPr="001A3EF8">
        <w:rPr>
          <w:rFonts w:cs="Arial"/>
          <w:kern w:val="28"/>
          <w:szCs w:val="24"/>
        </w:rPr>
        <w:t xml:space="preserve">). Il peut aussi </w:t>
      </w:r>
      <w:r w:rsidR="000B453A">
        <w:rPr>
          <w:rFonts w:cs="Arial"/>
          <w:kern w:val="28"/>
          <w:szCs w:val="24"/>
        </w:rPr>
        <w:t xml:space="preserve">y </w:t>
      </w:r>
      <w:r w:rsidRPr="001A3EF8">
        <w:rPr>
          <w:rFonts w:cs="Arial"/>
          <w:kern w:val="28"/>
          <w:szCs w:val="24"/>
        </w:rPr>
        <w:t>avoir une incidence négative sur leur motivation à l’école ou au travail ainsi que sur leur accès à l’éducation ou à l’emploi</w:t>
      </w:r>
      <w:r w:rsidRPr="001A3EF8">
        <w:rPr>
          <w:rFonts w:cs="Arial"/>
          <w:kern w:val="28"/>
          <w:szCs w:val="24"/>
          <w:vertAlign w:val="superscript"/>
        </w:rPr>
        <w:footnoteReference w:id="301"/>
      </w:r>
      <w:r w:rsidR="00646C7A">
        <w:rPr>
          <w:rFonts w:cs="Arial"/>
          <w:kern w:val="28"/>
          <w:szCs w:val="24"/>
        </w:rPr>
        <w:t>;</w:t>
      </w:r>
    </w:p>
    <w:p w14:paraId="39798CEE" w14:textId="126C3830" w:rsidR="001A3EF8" w:rsidRPr="001A3EF8" w:rsidRDefault="001A3EF8" w:rsidP="00F5188D">
      <w:pPr>
        <w:numPr>
          <w:ilvl w:val="0"/>
          <w:numId w:val="31"/>
        </w:numPr>
        <w:spacing w:before="120" w:after="120"/>
        <w:ind w:left="714" w:hanging="357"/>
        <w:jc w:val="both"/>
        <w:rPr>
          <w:rFonts w:cs="Arial"/>
          <w:kern w:val="28"/>
          <w:szCs w:val="24"/>
        </w:rPr>
      </w:pPr>
      <w:r w:rsidRPr="001A3EF8">
        <w:rPr>
          <w:rFonts w:cs="Arial"/>
          <w:kern w:val="28"/>
          <w:szCs w:val="24"/>
        </w:rPr>
        <w:t>Le profilage racial amenuise le sentiment d’appartenance des membres de la communauté noire à la société québécoise</w:t>
      </w:r>
      <w:r w:rsidRPr="001A3EF8">
        <w:rPr>
          <w:rFonts w:cs="Arial"/>
          <w:kern w:val="28"/>
          <w:szCs w:val="24"/>
          <w:vertAlign w:val="superscript"/>
        </w:rPr>
        <w:footnoteReference w:id="302"/>
      </w:r>
      <w:r w:rsidRPr="001A3EF8">
        <w:rPr>
          <w:rFonts w:cs="Arial"/>
          <w:kern w:val="28"/>
          <w:szCs w:val="24"/>
        </w:rPr>
        <w:t>. La surinterpellation des personnes noires « produit ou accentue […] un désengagement civique (Lerman &amp; Weaver,</w:t>
      </w:r>
      <w:r w:rsidR="00ED04EB">
        <w:rPr>
          <w:rFonts w:cs="Arial"/>
          <w:kern w:val="28"/>
          <w:szCs w:val="24"/>
        </w:rPr>
        <w:t> </w:t>
      </w:r>
      <w:r w:rsidRPr="001A3EF8">
        <w:rPr>
          <w:rFonts w:cs="Arial"/>
          <w:kern w:val="28"/>
          <w:szCs w:val="24"/>
        </w:rPr>
        <w:t>2014) et ultimement accroît le sentiment d’insécurité chez les membres de la population ciblée (Livingstone, Rutland &amp; Alix, 2018; Livingstone, Meudec &amp; Harim,</w:t>
      </w:r>
      <w:r w:rsidR="00ED04EB">
        <w:rPr>
          <w:rFonts w:cs="Arial"/>
          <w:kern w:val="28"/>
          <w:szCs w:val="24"/>
        </w:rPr>
        <w:t> </w:t>
      </w:r>
      <w:r w:rsidRPr="001A3EF8">
        <w:rPr>
          <w:rFonts w:cs="Arial"/>
          <w:kern w:val="28"/>
          <w:szCs w:val="24"/>
        </w:rPr>
        <w:t>2020) »</w:t>
      </w:r>
      <w:r w:rsidRPr="001A3EF8">
        <w:rPr>
          <w:rFonts w:cs="Arial"/>
          <w:kern w:val="28"/>
          <w:szCs w:val="24"/>
          <w:vertAlign w:val="superscript"/>
        </w:rPr>
        <w:footnoteReference w:id="303"/>
      </w:r>
      <w:r w:rsidR="00646C7A">
        <w:rPr>
          <w:rFonts w:cs="Arial"/>
          <w:kern w:val="28"/>
          <w:szCs w:val="24"/>
        </w:rPr>
        <w:t>;</w:t>
      </w:r>
    </w:p>
    <w:p w14:paraId="07206938" w14:textId="7675122D" w:rsidR="001A3EF8" w:rsidRPr="001A3EF8" w:rsidRDefault="001A3EF8" w:rsidP="00F5188D">
      <w:pPr>
        <w:numPr>
          <w:ilvl w:val="0"/>
          <w:numId w:val="31"/>
        </w:numPr>
        <w:spacing w:before="120" w:after="120"/>
        <w:ind w:left="714" w:hanging="357"/>
        <w:jc w:val="both"/>
        <w:rPr>
          <w:rFonts w:cs="Arial"/>
          <w:kern w:val="28"/>
          <w:szCs w:val="24"/>
        </w:rPr>
      </w:pPr>
      <w:r w:rsidRPr="001A3EF8">
        <w:rPr>
          <w:rFonts w:cs="Arial"/>
          <w:kern w:val="28"/>
          <w:szCs w:val="24"/>
        </w:rPr>
        <w:t>Le profilage racial peut amener les personnes noires à intérioriser des stéréotypes négatifs à propos d’elles-mêmes et de la communauté noire</w:t>
      </w:r>
      <w:r w:rsidRPr="001A3EF8">
        <w:rPr>
          <w:rFonts w:cs="Arial"/>
          <w:kern w:val="28"/>
          <w:szCs w:val="24"/>
          <w:vertAlign w:val="superscript"/>
        </w:rPr>
        <w:footnoteReference w:id="304"/>
      </w:r>
      <w:r w:rsidR="00646C7A">
        <w:rPr>
          <w:rFonts w:cs="Arial"/>
          <w:kern w:val="28"/>
          <w:szCs w:val="24"/>
        </w:rPr>
        <w:t>;</w:t>
      </w:r>
    </w:p>
    <w:p w14:paraId="01714C42" w14:textId="2B4E4259" w:rsidR="001A3EF8" w:rsidRPr="001A3EF8" w:rsidRDefault="001A3EF8" w:rsidP="00F5188D">
      <w:pPr>
        <w:numPr>
          <w:ilvl w:val="0"/>
          <w:numId w:val="31"/>
        </w:numPr>
        <w:spacing w:before="120" w:after="120"/>
        <w:ind w:left="714" w:hanging="357"/>
        <w:jc w:val="both"/>
        <w:rPr>
          <w:rFonts w:cs="Arial"/>
          <w:kern w:val="28"/>
          <w:szCs w:val="24"/>
        </w:rPr>
      </w:pPr>
      <w:r w:rsidRPr="001A3EF8">
        <w:rPr>
          <w:rFonts w:cs="Arial"/>
          <w:kern w:val="28"/>
          <w:szCs w:val="24"/>
        </w:rPr>
        <w:t>Le profilage racial « pav[e] la voie à une judiciarisation accrue »</w:t>
      </w:r>
      <w:r w:rsidRPr="001A3EF8">
        <w:rPr>
          <w:rFonts w:cs="Arial"/>
          <w:kern w:val="28"/>
          <w:szCs w:val="24"/>
          <w:vertAlign w:val="superscript"/>
        </w:rPr>
        <w:footnoteReference w:id="305"/>
      </w:r>
      <w:r w:rsidRPr="001A3EF8">
        <w:rPr>
          <w:rFonts w:cs="Arial"/>
          <w:kern w:val="28"/>
          <w:szCs w:val="24"/>
        </w:rPr>
        <w:t xml:space="preserve"> des personnes noires et « renforce la marginalisation et l’exclusion sociale »</w:t>
      </w:r>
      <w:r w:rsidRPr="001A3EF8">
        <w:rPr>
          <w:rFonts w:cs="Arial"/>
          <w:kern w:val="28"/>
          <w:szCs w:val="24"/>
          <w:vertAlign w:val="superscript"/>
        </w:rPr>
        <w:footnoteReference w:id="306"/>
      </w:r>
      <w:r w:rsidRPr="001A3EF8">
        <w:rPr>
          <w:rFonts w:cs="Arial"/>
          <w:kern w:val="28"/>
          <w:szCs w:val="24"/>
        </w:rPr>
        <w:t xml:space="preserve"> des communautés noires</w:t>
      </w:r>
      <w:r w:rsidR="00646C7A">
        <w:rPr>
          <w:rFonts w:cs="Arial"/>
          <w:kern w:val="28"/>
          <w:szCs w:val="24"/>
        </w:rPr>
        <w:t>;</w:t>
      </w:r>
    </w:p>
    <w:p w14:paraId="72873B51" w14:textId="77777777" w:rsidR="001A3EF8" w:rsidRPr="001A3EF8" w:rsidRDefault="001A3EF8" w:rsidP="00F5188D">
      <w:pPr>
        <w:numPr>
          <w:ilvl w:val="0"/>
          <w:numId w:val="31"/>
        </w:numPr>
        <w:spacing w:before="120" w:after="120"/>
        <w:ind w:left="714" w:hanging="357"/>
        <w:jc w:val="both"/>
        <w:rPr>
          <w:rFonts w:cs="Arial"/>
          <w:kern w:val="28"/>
          <w:szCs w:val="24"/>
        </w:rPr>
      </w:pPr>
      <w:r w:rsidRPr="001A3EF8">
        <w:rPr>
          <w:kern w:val="28"/>
        </w:rPr>
        <w:t>Dans certains cas, les interceptions peuvent « dérap[er] vers des abus physiques »</w:t>
      </w:r>
      <w:r w:rsidRPr="001A3EF8">
        <w:rPr>
          <w:kern w:val="28"/>
          <w:vertAlign w:val="superscript"/>
        </w:rPr>
        <w:footnoteReference w:id="307"/>
      </w:r>
      <w:r w:rsidRPr="001A3EF8">
        <w:rPr>
          <w:kern w:val="28"/>
        </w:rPr>
        <w:t>. Fait à noter, les personnes noires sont fortement surreprésentées dans les interactions violentes avec la police</w:t>
      </w:r>
      <w:r w:rsidRPr="001A3EF8">
        <w:rPr>
          <w:kern w:val="28"/>
          <w:vertAlign w:val="superscript"/>
        </w:rPr>
        <w:footnoteReference w:id="308"/>
      </w:r>
      <w:r w:rsidRPr="001A3EF8">
        <w:rPr>
          <w:kern w:val="28"/>
        </w:rPr>
        <w:t>.</w:t>
      </w:r>
    </w:p>
    <w:p w14:paraId="48FB8D3C" w14:textId="20B69365" w:rsidR="001A3EF8" w:rsidRPr="001A3EF8" w:rsidRDefault="001A3EF8" w:rsidP="00F5188D">
      <w:pPr>
        <w:pStyle w:val="Paragraphe"/>
        <w:spacing w:line="280" w:lineRule="exact"/>
      </w:pPr>
      <w:bookmarkStart w:id="123" w:name="_Ref178176108"/>
      <w:r w:rsidRPr="001A3EF8">
        <w:t xml:space="preserve">Ici encore, la preuve trouve écho dans la jurisprudence. Dans l’arrêt </w:t>
      </w:r>
      <w:r w:rsidRPr="001A3EF8">
        <w:rPr>
          <w:i/>
          <w:iCs/>
        </w:rPr>
        <w:t>Le</w:t>
      </w:r>
      <w:r w:rsidRPr="001A3EF8">
        <w:t xml:space="preserve">, la Cour suprême reconnaît que « [l’]effet des interventions policières excessives à </w:t>
      </w:r>
      <w:r w:rsidRPr="001A3EF8">
        <w:rPr>
          <w:color w:val="000000"/>
        </w:rPr>
        <w:t>l’égard des minorités raciales et du fichage des membres de ces collectivités, en l’absence de tout soupçon raisonnable de la tenue d’une activité criminelle, constitue plus qu’un simple désagrément</w:t>
      </w:r>
      <w:r w:rsidRPr="001A3EF8">
        <w:t> »</w:t>
      </w:r>
      <w:r w:rsidRPr="001A3EF8">
        <w:rPr>
          <w:vertAlign w:val="superscript"/>
        </w:rPr>
        <w:footnoteReference w:id="309"/>
      </w:r>
      <w:r w:rsidRPr="001A3EF8">
        <w:t>. Selon la Cour</w:t>
      </w:r>
      <w:r w:rsidR="009D5F92">
        <w:t xml:space="preserve"> suprême</w:t>
      </w:r>
      <w:r w:rsidRPr="001A3EF8">
        <w:t>, ce type de pratique « </w:t>
      </w:r>
      <w:r w:rsidRPr="001A3EF8">
        <w:rPr>
          <w:color w:val="000000"/>
        </w:rPr>
        <w:t>a un effet néfaste sur la santé physique et mentale des personnes visées et a une incidence sur leurs possibilités d’emploi et d’éducation », en plus de « contribue[r] à l’exclusion sociale continue des minorités raciales, [de] favorise[r] une perte de confiance dans l’équité du système de justice pénale et [de] perpétue[r] la criminalisation »</w:t>
      </w:r>
      <w:r w:rsidRPr="001A3EF8">
        <w:rPr>
          <w:color w:val="000000"/>
          <w:vertAlign w:val="superscript"/>
        </w:rPr>
        <w:footnoteReference w:id="310"/>
      </w:r>
      <w:r w:rsidRPr="001A3EF8">
        <w:rPr>
          <w:color w:val="000000"/>
        </w:rPr>
        <w:t>.</w:t>
      </w:r>
      <w:bookmarkEnd w:id="123"/>
    </w:p>
    <w:p w14:paraId="75661115" w14:textId="6FDE9A47" w:rsidR="001A3EF8" w:rsidRPr="001A3EF8" w:rsidRDefault="001A3EF8" w:rsidP="00F5188D">
      <w:pPr>
        <w:pStyle w:val="Paragraphe"/>
        <w:spacing w:line="280" w:lineRule="exact"/>
      </w:pPr>
      <w:r w:rsidRPr="001A3EF8">
        <w:t xml:space="preserve">Quant à l’effet discriminatoire de la distinction, la preuve démontre que le profilage racial a pour effet de perpétuer et de renforcer la discrimination à l’égard des personnes noires. L’expert Mulone décrit bien la dynamique qui sous-tend les interventions policières proactives (comme les </w:t>
      </w:r>
      <w:r w:rsidR="0092090F">
        <w:t>interceptions</w:t>
      </w:r>
      <w:r w:rsidR="0092090F" w:rsidRPr="001A3EF8">
        <w:t xml:space="preserve"> </w:t>
      </w:r>
      <w:r w:rsidRPr="001A3EF8">
        <w:t xml:space="preserve">routières sans motif requis) et la « logique de cercle vicieux » qui fait en sorte que les discriminations raciales vont engendrer d’autres discriminations raciales. Il vaut de reproduire ce long passage de son rapport d’expertise : </w:t>
      </w:r>
    </w:p>
    <w:p w14:paraId="67AA4E1C" w14:textId="0856EB28" w:rsidR="001A3EF8" w:rsidRPr="001A3EF8" w:rsidRDefault="001A3EF8" w:rsidP="00E12BFC">
      <w:pPr>
        <w:pStyle w:val="Citationenretrait"/>
      </w:pPr>
      <w:r w:rsidRPr="001A3EF8">
        <w:t xml:space="preserve">L’interpellation et l’interception (ainsi que l’ensemble des pratiques proactives policières) sont fondamentalement un exercice de prédiction. Il s’agit de prédire si l’individu qui suscite la suspicion chez le policier est vraiment en train de cacher quelque chose, de mériter une intervention policière, ou pas. Parfois la prédiction s’avère juste. Parfois fausse (et le biais de confirmation, discuté plus haut, tend à faire en sorte que l’on se rappelle beaucoup plus des bonnes prédictions que de celles qui ont échoué). Ce qui est sûr par contre, c’est que les outils de prédiction conduisent à ce que Bernard Harcourt appelle un « effet de cliquet » (Harcourt, 2007; 2011). Cette prophétie autoréalisatrice se construit de la manière suivante : les policiers cherchent à « viser » le plus juste possible dans leur intervention (intervenir auprès de quelqu’un qui a effectivement quelque chose à se reprocher); pour savoir qui doit être ciblé en priorité, ils peuvent se référer aux statistiques policières de la criminalité (mais également à leur propre vécu, à ce qui leur a été enseigné, à leurs préjugés ou à d’autres éléments comme les </w:t>
      </w:r>
      <w:r w:rsidR="00525EFA">
        <w:t>circulaires</w:t>
      </w:r>
      <w:r w:rsidR="00525EFA" w:rsidRPr="001A3EF8">
        <w:t xml:space="preserve"> </w:t>
      </w:r>
      <w:r w:rsidRPr="001A3EF8">
        <w:t>qui sont diffusées quotidiennement […]); or, ces statistiques montrent que certains groupes racisés sont plus criminalisés que d’autres, et cette caractéristique visible devient l’un des critères pour cibler les « bonnes personnes »; comme on surveille plus un groupe (considéré comme plus criminel), on attrape forcément plus souvent des individus en provenance de ce groupe; à la fin de l’année, en regardant les statistiques, on se rend compte qu’on avait bien raison de cibler en priorité tel groupe plutôt que tel autre; en fait, leur participation aux statistiques de la criminalité devrait même avoir augmenté; dès lors, on va mettre encore plus de ressources pour cibler cette communauté.</w:t>
      </w:r>
    </w:p>
    <w:p w14:paraId="0B836F34" w14:textId="77777777" w:rsidR="001A3EF8" w:rsidRPr="001A3EF8" w:rsidRDefault="001A3EF8" w:rsidP="00E12BFC">
      <w:pPr>
        <w:pStyle w:val="Citationenretrait"/>
      </w:pPr>
      <w:r w:rsidRPr="001A3EF8">
        <w:t xml:space="preserve">Cette dynamique est importante à mettre de l’avant, et ce, pour au moins deux raisons. D’une part, parce qu’elle obéit à une logique de cercle vicieux et qu’à ce titre, elle est extrêmement difficile à briser. Ensuite, parce que tant qu’on n’agit pas activement contre elle, </w:t>
      </w:r>
      <w:r w:rsidRPr="001A3EF8">
        <w:rPr>
          <w:u w:val="single"/>
        </w:rPr>
        <w:t>elle va reproduire et accentuer des discriminations raciales existantes</w:t>
      </w:r>
      <w:r w:rsidRPr="001A3EF8">
        <w:t xml:space="preserve">. De la même manière qu’il est logique d’imaginer qu’on cherche à augmenter les interventions policières dans les endroits où la criminalité est plus élevée et/ou sérieuse (Tiratelli, Quinton &amp; Bradford, 2018), </w:t>
      </w:r>
      <w:r w:rsidRPr="001A3EF8">
        <w:rPr>
          <w:u w:val="single"/>
        </w:rPr>
        <w:t>un accroissement des interpellations et des interceptions sur une population donnée va forcément accroître le nombre d’infractions criminelles détectées</w:t>
      </w:r>
      <w:r w:rsidRPr="001A3EF8">
        <w:t xml:space="preserve"> (Hinkle &amp; Weisburd, 2008). </w:t>
      </w:r>
      <w:r w:rsidRPr="001A3EF8">
        <w:rPr>
          <w:u w:val="single"/>
        </w:rPr>
        <w:t>Ainsi, des pratiques discriminatoires vont engendrer des discriminations à leur tour. Autrement dit, les discriminations raciales vont justifier d’autres discriminations raciales</w:t>
      </w:r>
      <w:r w:rsidRPr="001A3EF8">
        <w:t xml:space="preserve"> (Balibar, 2007; Bessone, 2013).</w:t>
      </w:r>
      <w:r w:rsidRPr="001A3EF8">
        <w:rPr>
          <w:vertAlign w:val="superscript"/>
        </w:rPr>
        <w:footnoteReference w:id="311"/>
      </w:r>
    </w:p>
    <w:p w14:paraId="4C4DC800" w14:textId="77777777" w:rsidR="001A3EF8" w:rsidRPr="001A3EF8" w:rsidRDefault="001A3EF8" w:rsidP="003A14E5">
      <w:pPr>
        <w:pStyle w:val="Citationenretrait"/>
        <w:spacing w:before="0"/>
        <w:jc w:val="right"/>
      </w:pPr>
      <w:r w:rsidRPr="001A3EF8">
        <w:t>[Soulignements ajoutés]</w:t>
      </w:r>
    </w:p>
    <w:p w14:paraId="5EFE84FC" w14:textId="77777777" w:rsidR="001A3EF8" w:rsidRPr="001A3EF8" w:rsidRDefault="001A3EF8" w:rsidP="00F5188D">
      <w:pPr>
        <w:pStyle w:val="Paragraphe"/>
        <w:spacing w:line="280" w:lineRule="exact"/>
      </w:pPr>
      <w:r w:rsidRPr="001A3EF8">
        <w:t>Dans le même ordre d’idées, la CDPDJ relève que :</w:t>
      </w:r>
    </w:p>
    <w:p w14:paraId="6540A158" w14:textId="595EC8A0" w:rsidR="001A3EF8" w:rsidRPr="001A3EF8" w:rsidRDefault="001A3EF8" w:rsidP="003A14E5">
      <w:pPr>
        <w:pStyle w:val="Citationenretrait"/>
        <w:spacing w:after="0"/>
      </w:pPr>
      <w:r w:rsidRPr="001A3EF8">
        <w:t xml:space="preserve">[l]’application inégale et discriminatoire de la loi qui se fait dans le contexte de la sécurité publique donne une fausse image de la réalité. En conséquence, les personnes appartenant à une communauté « profilée » vont courir plus de risques d’être interpellées, arrêtées, traduites en justice et exposées à un traitement différent et inégal </w:t>
      </w:r>
      <w:r w:rsidR="00646C7A">
        <w:t>à</w:t>
      </w:r>
      <w:r w:rsidRPr="001A3EF8">
        <w:t xml:space="preserve"> toutes les étapes du processus judiciaire.</w:t>
      </w:r>
      <w:r w:rsidRPr="001A3EF8">
        <w:rPr>
          <w:vertAlign w:val="superscript"/>
        </w:rPr>
        <w:footnoteReference w:id="312"/>
      </w:r>
    </w:p>
    <w:p w14:paraId="7B7A9916" w14:textId="77777777" w:rsidR="001A3EF8" w:rsidRPr="001A3EF8" w:rsidRDefault="001A3EF8" w:rsidP="003A14E5">
      <w:pPr>
        <w:pStyle w:val="Citationenretrait"/>
        <w:spacing w:before="0"/>
        <w:jc w:val="right"/>
      </w:pPr>
      <w:r w:rsidRPr="001A3EF8">
        <w:t>[Renvoi omis]</w:t>
      </w:r>
    </w:p>
    <w:p w14:paraId="294FE551" w14:textId="77777777" w:rsidR="001A3EF8" w:rsidRPr="001A3EF8" w:rsidRDefault="001A3EF8" w:rsidP="00F5188D">
      <w:pPr>
        <w:pStyle w:val="Paragraphe"/>
        <w:spacing w:line="280" w:lineRule="exact"/>
      </w:pPr>
      <w:bookmarkStart w:id="124" w:name="_Ref164957303"/>
      <w:r w:rsidRPr="001A3EF8">
        <w:t>Le juge de première instance souligne, à bon droit, que « [c]e n’est pas au demandeur que revient le fardeau d’expliquer pourquoi la règle de droit a cette cascade d’effets ou d’établir la raison pour laquelle les personnes noires au volant ont à subir un désavantage particulier »</w:t>
      </w:r>
      <w:r w:rsidRPr="001A3EF8">
        <w:rPr>
          <w:vertAlign w:val="superscript"/>
        </w:rPr>
        <w:footnoteReference w:id="313"/>
      </w:r>
      <w:r w:rsidRPr="001A3EF8">
        <w:t>. Il suffit de constater que la règle de droit contestée, parce qu’elle « ouvre la porte à un traitement différencié des personnes de race noire au volant »</w:t>
      </w:r>
      <w:r w:rsidRPr="001A3EF8">
        <w:rPr>
          <w:vertAlign w:val="superscript"/>
        </w:rPr>
        <w:footnoteReference w:id="314"/>
      </w:r>
      <w:r w:rsidRPr="001A3EF8">
        <w:t>, a pour effet d’élargir l’écart entre les personnes noires (un groupe historiquement défavorisé) et le reste de la société</w:t>
      </w:r>
      <w:r w:rsidRPr="001A3EF8">
        <w:rPr>
          <w:vertAlign w:val="superscript"/>
        </w:rPr>
        <w:footnoteReference w:id="315"/>
      </w:r>
      <w:r w:rsidRPr="001A3EF8">
        <w:t>.</w:t>
      </w:r>
    </w:p>
    <w:bookmarkEnd w:id="124"/>
    <w:p w14:paraId="791D25DF" w14:textId="12F34032" w:rsidR="001A3EF8" w:rsidRPr="001A3EF8" w:rsidRDefault="001A3EF8" w:rsidP="00F5188D">
      <w:pPr>
        <w:pStyle w:val="Paragraphe"/>
        <w:spacing w:line="280" w:lineRule="exact"/>
      </w:pPr>
      <w:r w:rsidRPr="001A3EF8">
        <w:t xml:space="preserve">Tout comme le juge, la Cour en vient à la conclusion que les intimés </w:t>
      </w:r>
      <w:r w:rsidR="000B453A">
        <w:t xml:space="preserve">se sont acquittés du </w:t>
      </w:r>
      <w:r w:rsidRPr="001A3EF8">
        <w:t>fardeau qui était le leur à la deuxième étape de l’analyse.</w:t>
      </w:r>
    </w:p>
    <w:p w14:paraId="6E42C6DB" w14:textId="071F2F38" w:rsidR="001A3EF8" w:rsidRPr="003404D3" w:rsidRDefault="001A3EF8" w:rsidP="00F5188D">
      <w:pPr>
        <w:spacing w:before="120" w:after="120"/>
        <w:jc w:val="center"/>
        <w:rPr>
          <w:kern w:val="28"/>
          <w:sz w:val="28"/>
          <w:szCs w:val="28"/>
        </w:rPr>
      </w:pPr>
      <w:r w:rsidRPr="003404D3">
        <w:rPr>
          <w:kern w:val="28"/>
          <w:sz w:val="28"/>
          <w:szCs w:val="28"/>
        </w:rPr>
        <w:t>*</w:t>
      </w:r>
      <w:r w:rsidR="003404D3">
        <w:rPr>
          <w:kern w:val="28"/>
          <w:sz w:val="28"/>
          <w:szCs w:val="28"/>
        </w:rPr>
        <w:t xml:space="preserve"> </w:t>
      </w:r>
      <w:r w:rsidRPr="003404D3">
        <w:rPr>
          <w:kern w:val="28"/>
          <w:sz w:val="28"/>
          <w:szCs w:val="28"/>
        </w:rPr>
        <w:t>*</w:t>
      </w:r>
      <w:r w:rsidR="003404D3">
        <w:rPr>
          <w:kern w:val="28"/>
          <w:sz w:val="28"/>
          <w:szCs w:val="28"/>
        </w:rPr>
        <w:t xml:space="preserve"> </w:t>
      </w:r>
      <w:r w:rsidRPr="003404D3">
        <w:rPr>
          <w:kern w:val="28"/>
          <w:sz w:val="28"/>
          <w:szCs w:val="28"/>
        </w:rPr>
        <w:t>*</w:t>
      </w:r>
    </w:p>
    <w:p w14:paraId="12D3C0AA" w14:textId="78133194" w:rsidR="001A3EF8" w:rsidRPr="00C87EC1" w:rsidRDefault="001A3EF8" w:rsidP="00F5188D">
      <w:pPr>
        <w:pStyle w:val="Paragraphe"/>
        <w:spacing w:line="280" w:lineRule="exact"/>
      </w:pPr>
      <w:r w:rsidRPr="001A3EF8">
        <w:t xml:space="preserve">En résumé, une preuve abondante établit que l’art. 636 </w:t>
      </w:r>
      <w:r w:rsidRPr="001A3EF8">
        <w:rPr>
          <w:i/>
          <w:iCs/>
        </w:rPr>
        <w:t>C.s.r.</w:t>
      </w:r>
      <w:r w:rsidRPr="001A3EF8">
        <w:t xml:space="preserve"> a pour effet de créer une distinction fondée sur un motif énuméré au par. 15(1), soit la race</w:t>
      </w:r>
      <w:r w:rsidRPr="001A3EF8">
        <w:rPr>
          <w:szCs w:val="24"/>
          <w:vertAlign w:val="superscript"/>
        </w:rPr>
        <w:footnoteReference w:id="316"/>
      </w:r>
      <w:r w:rsidRPr="001A3EF8">
        <w:t>, et</w:t>
      </w:r>
      <w:r w:rsidR="00B424A5">
        <w:t xml:space="preserve"> qu’il</w:t>
      </w:r>
      <w:r w:rsidRPr="001A3EF8">
        <w:t xml:space="preserve"> agit d’une manière </w:t>
      </w:r>
      <w:r w:rsidRPr="00C87EC1">
        <w:t xml:space="preserve">qui </w:t>
      </w:r>
      <w:r w:rsidR="00C03C66" w:rsidRPr="00C87EC1">
        <w:t>a pour effet de</w:t>
      </w:r>
      <w:r w:rsidRPr="00C87EC1">
        <w:t xml:space="preserve"> renforcer, perpétuer ou accentuer le désavantage subi par les personnes de race noire.</w:t>
      </w:r>
      <w:r w:rsidR="00B424A5">
        <w:t xml:space="preserve"> L’atteinte au droit </w:t>
      </w:r>
      <w:r w:rsidR="0002485B">
        <w:t xml:space="preserve">à l’égalité </w:t>
      </w:r>
      <w:r w:rsidR="00B424A5">
        <w:t>garanti par le par. 15(1) est donc démontrée.</w:t>
      </w:r>
    </w:p>
    <w:p w14:paraId="6092EC08" w14:textId="30C549CA" w:rsidR="001A3EF8" w:rsidRPr="00C87EC1" w:rsidRDefault="001A3EF8" w:rsidP="00F5188D">
      <w:pPr>
        <w:pStyle w:val="Paragraphe"/>
        <w:spacing w:line="280" w:lineRule="exact"/>
      </w:pPr>
      <w:r w:rsidRPr="00C87EC1">
        <w:t xml:space="preserve">Il reste à déterminer si le PGQ a établi que </w:t>
      </w:r>
      <w:r w:rsidR="0002485B">
        <w:t xml:space="preserve">cette </w:t>
      </w:r>
      <w:r w:rsidRPr="00C87EC1">
        <w:t>atteinte au</w:t>
      </w:r>
      <w:r w:rsidR="00C03C66" w:rsidRPr="00C87EC1">
        <w:t xml:space="preserve"> droit protégé</w:t>
      </w:r>
      <w:r w:rsidRPr="00C87EC1">
        <w:t xml:space="preserve"> </w:t>
      </w:r>
      <w:r w:rsidR="000B453A">
        <w:t xml:space="preserve">par le </w:t>
      </w:r>
      <w:r w:rsidRPr="00C87EC1">
        <w:t>par.</w:t>
      </w:r>
      <w:r w:rsidR="000B453A">
        <w:t> </w:t>
      </w:r>
      <w:r w:rsidRPr="00C87EC1">
        <w:t xml:space="preserve">15(1) peut se justifier </w:t>
      </w:r>
      <w:r w:rsidR="000B453A">
        <w:t>au regard</w:t>
      </w:r>
      <w:r w:rsidRPr="00C87EC1">
        <w:t xml:space="preserve"> de l’article premier de la </w:t>
      </w:r>
      <w:r w:rsidRPr="00C87EC1">
        <w:rPr>
          <w:i/>
          <w:iCs/>
        </w:rPr>
        <w:t>Charte</w:t>
      </w:r>
      <w:r w:rsidRPr="00C87EC1">
        <w:t>.</w:t>
      </w:r>
    </w:p>
    <w:p w14:paraId="7F75EA89" w14:textId="44D71AD9" w:rsidR="001A3EF8" w:rsidRPr="001A3EF8" w:rsidRDefault="00F97692" w:rsidP="00F5188D">
      <w:pPr>
        <w:pStyle w:val="Titre3"/>
        <w:spacing w:line="280" w:lineRule="exact"/>
      </w:pPr>
      <w:bookmarkStart w:id="125" w:name="_Toc177390725"/>
      <w:bookmarkStart w:id="126" w:name="_Toc180397479"/>
      <w:r w:rsidRPr="00F97692">
        <w:t>2.</w:t>
      </w:r>
      <w:r w:rsidRPr="00F97692">
        <w:tab/>
      </w:r>
      <w:r w:rsidR="001A3EF8" w:rsidRPr="00C87EC1">
        <w:t>La justification</w:t>
      </w:r>
      <w:bookmarkEnd w:id="125"/>
      <w:r w:rsidR="00F26E70">
        <w:t xml:space="preserve"> de l’atteinte</w:t>
      </w:r>
      <w:bookmarkEnd w:id="126"/>
    </w:p>
    <w:p w14:paraId="69B37EBB" w14:textId="180B27F8" w:rsidR="001A3EF8" w:rsidRPr="001A3EF8" w:rsidRDefault="001A3EF8" w:rsidP="00F5188D">
      <w:pPr>
        <w:pStyle w:val="Paragraphe"/>
        <w:spacing w:line="280" w:lineRule="exact"/>
      </w:pPr>
      <w:r w:rsidRPr="001A3EF8">
        <w:t>Comme mentionné précédemment</w:t>
      </w:r>
      <w:r w:rsidR="006D1EFE">
        <w:rPr>
          <w:rStyle w:val="Appelnotedebasdep"/>
        </w:rPr>
        <w:footnoteReference w:id="317"/>
      </w:r>
      <w:r w:rsidRPr="001A3EF8">
        <w:t>, la Cour est d’avis que l’objectif de l’art. 636 </w:t>
      </w:r>
      <w:r w:rsidRPr="001A3EF8">
        <w:rPr>
          <w:i/>
          <w:iCs/>
        </w:rPr>
        <w:t>C.s.r.</w:t>
      </w:r>
      <w:r w:rsidRPr="001A3EF8">
        <w:t xml:space="preserve"> est urgent et réel et que le moyen choisi par le législateur, c’est-à-dire le fait d’autoriser les interceptions routières sans motif requis, présente un lien rationnel avec cet objectif. </w:t>
      </w:r>
      <w:r w:rsidR="000B453A">
        <w:t>Il n’est toutefois pas satisfait au</w:t>
      </w:r>
      <w:r w:rsidRPr="001A3EF8">
        <w:t xml:space="preserve"> critère de l’atteinte minimale.</w:t>
      </w:r>
    </w:p>
    <w:p w14:paraId="2611BA9B" w14:textId="77777777" w:rsidR="001A3EF8" w:rsidRPr="001A3EF8" w:rsidRDefault="001A3EF8" w:rsidP="00F5188D">
      <w:pPr>
        <w:pStyle w:val="Paragraphe"/>
        <w:spacing w:line="280" w:lineRule="exact"/>
      </w:pPr>
      <w:r w:rsidRPr="001A3EF8">
        <w:t>Bien que cette dernière conclusion permette de rejeter la défense de justification, il convient d’ajouter ceci au chapitre de la mise en balance des effets bénéfiques et préjudiciables en lien avec l’atteinte au droit à l’égalité.</w:t>
      </w:r>
    </w:p>
    <w:p w14:paraId="11308AA7" w14:textId="29FBCEA9" w:rsidR="001A3EF8" w:rsidRPr="001A3EF8" w:rsidRDefault="00457C47" w:rsidP="00F5188D">
      <w:pPr>
        <w:pStyle w:val="Paragraphe"/>
        <w:spacing w:line="280" w:lineRule="exact"/>
      </w:pPr>
      <w:bookmarkStart w:id="127" w:name="_Ref178071153"/>
      <w:r w:rsidRPr="00391801">
        <w:t>L</w:t>
      </w:r>
      <w:r w:rsidR="001A3EF8" w:rsidRPr="00391801">
        <w:t>es effets délétères de l</w:t>
      </w:r>
      <w:r w:rsidR="00F360B7" w:rsidRPr="00391801">
        <w:t xml:space="preserve">’art. 636 </w:t>
      </w:r>
      <w:r w:rsidR="00F360B7" w:rsidRPr="00391801">
        <w:rPr>
          <w:i/>
          <w:iCs/>
        </w:rPr>
        <w:t>C.s.r.</w:t>
      </w:r>
      <w:r w:rsidR="001A3EF8" w:rsidRPr="00391801">
        <w:t xml:space="preserve"> sur les conducteurs noirs sont nombreux et</w:t>
      </w:r>
      <w:r w:rsidR="001A3EF8" w:rsidRPr="001A3EF8">
        <w:t xml:space="preserve"> sérieux (problèmes de santé physique et mentale, sentiment d’exclusion, marginalisation et « surjudiciarisation », perte de confiance </w:t>
      </w:r>
      <w:r w:rsidR="00446C9B">
        <w:t>envers</w:t>
      </w:r>
      <w:r w:rsidR="001A3EF8" w:rsidRPr="001A3EF8">
        <w:t xml:space="preserve"> la police et le système de justice, désengagement civique, perpétuation et renforcement de stéréotypes racistes, etc.)</w:t>
      </w:r>
      <w:r w:rsidR="001A3EF8" w:rsidRPr="001A3EF8">
        <w:rPr>
          <w:vertAlign w:val="superscript"/>
        </w:rPr>
        <w:footnoteReference w:id="318"/>
      </w:r>
      <w:r w:rsidR="001A3EF8" w:rsidRPr="001A3EF8">
        <w:t>. Ces effets ne doivent pas être pris à la légère.</w:t>
      </w:r>
      <w:bookmarkEnd w:id="127"/>
    </w:p>
    <w:p w14:paraId="0E43E0F1" w14:textId="2A833BF3" w:rsidR="001A3EF8" w:rsidRPr="001A3EF8" w:rsidRDefault="001A3EF8" w:rsidP="00F5188D">
      <w:pPr>
        <w:pStyle w:val="Paragraphe"/>
        <w:spacing w:line="280" w:lineRule="exact"/>
      </w:pPr>
      <w:r w:rsidRPr="001A3EF8">
        <w:t xml:space="preserve">Le profilage racial et la « surinterpellation » des personnes noires entraînent </w:t>
      </w:r>
      <w:r w:rsidR="0002485B">
        <w:t xml:space="preserve">par ailleurs </w:t>
      </w:r>
      <w:r w:rsidRPr="001A3EF8">
        <w:t xml:space="preserve">des conséquences négatives pour la société dans son ensemble. Des études montrent l’existence d’un « lien clair » entre la confiance des membres du public </w:t>
      </w:r>
      <w:r w:rsidR="00446C9B">
        <w:t>envers</w:t>
      </w:r>
      <w:r w:rsidRPr="001A3EF8">
        <w:t xml:space="preserve"> les services policiers et la sécurité publique. La CODP note, par exemple, que « [l]es gens sont moins susceptibles de coopérer aux enquêtes policières et d’accepter de témoigner devant les tribunaux s’ils ont une perception négative des forces policières »</w:t>
      </w:r>
      <w:r w:rsidRPr="001A3EF8">
        <w:rPr>
          <w:vertAlign w:val="superscript"/>
        </w:rPr>
        <w:footnoteReference w:id="319"/>
      </w:r>
      <w:r w:rsidRPr="001A3EF8">
        <w:t xml:space="preserve">. Dans un autre rapport, la CODP fait observer que l’un des coûts sociaux du profilage racial est la méfiance accrue à l’égard de nos institutions : </w:t>
      </w:r>
    </w:p>
    <w:p w14:paraId="5D1940D6" w14:textId="77777777" w:rsidR="001A3EF8" w:rsidRPr="001A3EF8" w:rsidRDefault="001A3EF8" w:rsidP="003404D3">
      <w:pPr>
        <w:pStyle w:val="Citationenretrait"/>
      </w:pPr>
      <w:r w:rsidRPr="001A3EF8">
        <w:t>L’un des coûts sociaux du profilage racial est en lien étroit avec l’« atteinte à nos perspectives d’avenir » : c’est la méfiance prononcée qui grandit, tant chez les enfants que chez les adultes, à l’égard de nos principales institutions.</w:t>
      </w:r>
    </w:p>
    <w:p w14:paraId="2CD92FEE" w14:textId="54F011AF" w:rsidR="001A3EF8" w:rsidRPr="001A3EF8" w:rsidRDefault="001A3EF8" w:rsidP="003404D3">
      <w:pPr>
        <w:pStyle w:val="Citationenretrait"/>
      </w:pPr>
      <w:r w:rsidRPr="001A3EF8">
        <w:t xml:space="preserve">Nul ne peut contester que la confiance de la population dans les institutions et systèmes – système de justice pénale, maintien de l’ordre, contrôle douanier et frontalier et système scolaire - est une pierre d’angle de la démocratie et de toute société où règne </w:t>
      </w:r>
      <w:r w:rsidR="005B4203">
        <w:t>[</w:t>
      </w:r>
      <w:r w:rsidR="005B4203" w:rsidRPr="005B4203">
        <w:rPr>
          <w:i/>
          <w:iCs/>
        </w:rPr>
        <w:t>sic</w:t>
      </w:r>
      <w:r w:rsidR="005B4203">
        <w:t xml:space="preserve">] </w:t>
      </w:r>
      <w:r w:rsidRPr="001A3EF8">
        <w:t>l’ordre et l’harmonie. Toutes ces institutions exigent des citoyens une collaboration positive et coopérative, afin qu’elles puissent s’acquitter de leur mandat de façon optimale. Par exemple, un système de justice ne peut être fort que si les citoyens ont confiance en l’équité du processus; le maintien de l’ordre dans la collectivité se fonde sur la confiance des citoyens en la police et sur leur volonté de collaborer avec elle […].</w:t>
      </w:r>
      <w:r w:rsidRPr="001A3EF8">
        <w:rPr>
          <w:szCs w:val="18"/>
          <w:vertAlign w:val="superscript"/>
        </w:rPr>
        <w:footnoteReference w:id="320"/>
      </w:r>
    </w:p>
    <w:p w14:paraId="23107D4D" w14:textId="77777777" w:rsidR="001A3EF8" w:rsidRPr="001A3EF8" w:rsidRDefault="001A3EF8" w:rsidP="00F5188D">
      <w:pPr>
        <w:pStyle w:val="Paragraphe"/>
        <w:spacing w:line="280" w:lineRule="exact"/>
      </w:pPr>
      <w:r w:rsidRPr="001A3EF8">
        <w:t>L’expert Mulone souligne, quant à lui, que le déficit de légitimité de la police auprès de la population peut aussi mener à une augmentation des crimes violents (dans certains cas)</w:t>
      </w:r>
      <w:r w:rsidRPr="001A3EF8">
        <w:rPr>
          <w:vertAlign w:val="superscript"/>
        </w:rPr>
        <w:footnoteReference w:id="321"/>
      </w:r>
      <w:r w:rsidRPr="001A3EF8">
        <w:t>.</w:t>
      </w:r>
    </w:p>
    <w:p w14:paraId="4AA3C385" w14:textId="7E5F2BF5" w:rsidR="001A3EF8" w:rsidRPr="001A3EF8" w:rsidRDefault="001A3EF8" w:rsidP="00F5188D">
      <w:pPr>
        <w:pStyle w:val="Paragraphe"/>
        <w:spacing w:line="280" w:lineRule="exact"/>
      </w:pPr>
      <w:r w:rsidRPr="001A3EF8">
        <w:t xml:space="preserve">Par contraste, les effets bénéfiques de </w:t>
      </w:r>
      <w:r w:rsidR="00F360B7">
        <w:t xml:space="preserve">l’art. 636 </w:t>
      </w:r>
      <w:r w:rsidR="00F360B7" w:rsidRPr="00F360B7">
        <w:rPr>
          <w:i/>
          <w:iCs/>
        </w:rPr>
        <w:t>C.s.r.</w:t>
      </w:r>
      <w:r w:rsidRPr="001A3EF8">
        <w:t xml:space="preserve"> paraissent plutôt</w:t>
      </w:r>
      <w:r w:rsidR="00C74FA9">
        <w:t xml:space="preserve"> ténus</w:t>
      </w:r>
      <w:r w:rsidRPr="001A3EF8">
        <w:t>. Comme déjà mentionné</w:t>
      </w:r>
      <w:r w:rsidR="006D1EFE">
        <w:rPr>
          <w:rStyle w:val="Appelnotedebasdep"/>
        </w:rPr>
        <w:footnoteReference w:id="322"/>
      </w:r>
      <w:r w:rsidRPr="001A3EF8">
        <w:t xml:space="preserve">, le dossier tel que constitué ne comporte </w:t>
      </w:r>
      <w:r w:rsidRPr="00FC21C6">
        <w:rPr>
          <w:u w:val="single"/>
        </w:rPr>
        <w:t>aucun</w:t>
      </w:r>
      <w:r w:rsidRPr="001A3EF8">
        <w:t xml:space="preserve"> élément de preuve permettant de conclure que les interceptions routières sans motif requis sont un </w:t>
      </w:r>
      <w:r w:rsidRPr="00C87EC1">
        <w:t>moyen efficace d’assurer</w:t>
      </w:r>
      <w:r w:rsidRPr="001A3EF8">
        <w:t xml:space="preserve"> la sécurité routière</w:t>
      </w:r>
      <w:r w:rsidRPr="001A3EF8">
        <w:rPr>
          <w:vertAlign w:val="superscript"/>
        </w:rPr>
        <w:footnoteReference w:id="323"/>
      </w:r>
      <w:r w:rsidRPr="001A3EF8">
        <w:t>. Or, le PGQ avait le fardeau de faire la preuve « du bien visé par la loi par rapport à la gravité de la violation »</w:t>
      </w:r>
      <w:r w:rsidRPr="001A3EF8">
        <w:rPr>
          <w:vertAlign w:val="superscript"/>
        </w:rPr>
        <w:footnoteReference w:id="324"/>
      </w:r>
      <w:r w:rsidRPr="001A3EF8">
        <w:t>.</w:t>
      </w:r>
    </w:p>
    <w:p w14:paraId="0790A946" w14:textId="1A39E64E" w:rsidR="001A3EF8" w:rsidRPr="001A3EF8" w:rsidRDefault="001A3EF8" w:rsidP="00F5188D">
      <w:pPr>
        <w:pStyle w:val="Paragraphe"/>
        <w:spacing w:line="280" w:lineRule="exact"/>
      </w:pPr>
      <w:r w:rsidRPr="001A3EF8">
        <w:t>Il est vrai que, d’un point de vue</w:t>
      </w:r>
      <w:r w:rsidR="00455479">
        <w:t xml:space="preserve"> strictement</w:t>
      </w:r>
      <w:r w:rsidRPr="001A3EF8">
        <w:t xml:space="preserve"> logique, l’interception d’un seul conducteur en état d’ébriété ou sans permis est susceptible de contribuer à la sécurité routière en « chassant » ce conducteur de la route. Tout comme le juge Sopinka, dissident dans l’arrêt </w:t>
      </w:r>
      <w:r w:rsidRPr="001A3EF8">
        <w:rPr>
          <w:i/>
          <w:iCs/>
        </w:rPr>
        <w:t>Ladouceur</w:t>
      </w:r>
      <w:r w:rsidRPr="001A3EF8">
        <w:t>, la Cour s’interroge toutefois à savoir « [c]</w:t>
      </w:r>
      <w:r w:rsidRPr="001A3EF8">
        <w:rPr>
          <w:color w:val="000000"/>
          <w:spacing w:val="-3"/>
        </w:rPr>
        <w:t>ombien de conducteurs innocents » il faut intercepter pour « attraper » un seul conducteur délinquant</w:t>
      </w:r>
      <w:r w:rsidRPr="001A3EF8">
        <w:rPr>
          <w:color w:val="000000"/>
          <w:spacing w:val="-3"/>
          <w:vertAlign w:val="superscript"/>
        </w:rPr>
        <w:footnoteReference w:id="325"/>
      </w:r>
      <w:r w:rsidRPr="001A3EF8">
        <w:rPr>
          <w:color w:val="000000"/>
          <w:spacing w:val="-3"/>
        </w:rPr>
        <w:t>. Le PGQ n'a fourni aucune donnée à ce sujet.</w:t>
      </w:r>
    </w:p>
    <w:p w14:paraId="53BAA1BE" w14:textId="0570AF33" w:rsidR="001A3EF8" w:rsidRPr="001A3EF8" w:rsidRDefault="001A3EF8" w:rsidP="00F5188D">
      <w:pPr>
        <w:pStyle w:val="Paragraphe"/>
        <w:spacing w:line="280" w:lineRule="exact"/>
      </w:pPr>
      <w:r w:rsidRPr="001A3EF8">
        <w:t xml:space="preserve">La </w:t>
      </w:r>
      <w:r w:rsidR="00446C9B">
        <w:t>d</w:t>
      </w:r>
      <w:r w:rsidRPr="001A3EF8">
        <w:t>irectrice</w:t>
      </w:r>
      <w:r w:rsidR="00446C9B">
        <w:t xml:space="preserve"> générale</w:t>
      </w:r>
      <w:r w:rsidRPr="001A3EF8">
        <w:t xml:space="preserve"> de la recherche et du développement en sécurité routière de la Société de l’assurance automobile du Québec (« SAAQ »), Mme Lyne Vézina, admet d’ailleurs qu’elle ne sait pas s’il existe des statistiques ou des études démontrant un lien entre les interceptions routières sans motif requis et l’amélioration du bilan routier</w:t>
      </w:r>
      <w:r w:rsidRPr="001A3EF8">
        <w:rPr>
          <w:vertAlign w:val="superscript"/>
        </w:rPr>
        <w:footnoteReference w:id="326"/>
      </w:r>
      <w:r w:rsidRPr="001A3EF8">
        <w:t xml:space="preserve">. </w:t>
      </w:r>
    </w:p>
    <w:p w14:paraId="39DBE285" w14:textId="6CCDC97B" w:rsidR="001A3EF8" w:rsidRPr="001A3EF8" w:rsidRDefault="001A3EF8" w:rsidP="00F5188D">
      <w:pPr>
        <w:pStyle w:val="Paragraphe"/>
        <w:spacing w:line="280" w:lineRule="exact"/>
      </w:pPr>
      <w:r w:rsidRPr="001A3EF8">
        <w:rPr>
          <w:color w:val="000000"/>
          <w:spacing w:val="-3"/>
        </w:rPr>
        <w:t>De même, le</w:t>
      </w:r>
      <w:r w:rsidRPr="001A3EF8">
        <w:t xml:space="preserve"> dossier ne comporte aucune preuve quant à l’effet dissuasif des interceptions routières sans motif requis (par opposition aux interceptions effectuées</w:t>
      </w:r>
      <w:r w:rsidR="001E204C">
        <w:t xml:space="preserve"> à un point fixe</w:t>
      </w:r>
      <w:r w:rsidRPr="001A3EF8">
        <w:t xml:space="preserve"> dans le cadre de barrages routiers ou d’</w:t>
      </w:r>
      <w:r w:rsidR="00855A7C">
        <w:t xml:space="preserve">autres </w:t>
      </w:r>
      <w:r w:rsidRPr="001A3EF8">
        <w:t>opérations structurées).</w:t>
      </w:r>
    </w:p>
    <w:p w14:paraId="438DE2C1" w14:textId="7C296D97" w:rsidR="001A3EF8" w:rsidRPr="001A3EF8" w:rsidRDefault="001A3EF8" w:rsidP="00F5188D">
      <w:pPr>
        <w:pStyle w:val="Paragraphe"/>
        <w:spacing w:line="280" w:lineRule="exact"/>
      </w:pPr>
      <w:r w:rsidRPr="001A3EF8">
        <w:t xml:space="preserve">L’expert du PGQ, Douglas Beirness, concède qu’il ne </w:t>
      </w:r>
      <w:r w:rsidR="003404D3">
        <w:t>connaît</w:t>
      </w:r>
      <w:r w:rsidRPr="001A3EF8">
        <w:t xml:space="preserve"> aucune étude démontrant l’effet dissuasif des interceptions routières sans motif requis</w:t>
      </w:r>
      <w:r w:rsidRPr="001A3EF8">
        <w:rPr>
          <w:vertAlign w:val="superscript"/>
        </w:rPr>
        <w:footnoteReference w:id="327"/>
      </w:r>
      <w:r w:rsidRPr="001A3EF8">
        <w:t xml:space="preserve">. </w:t>
      </w:r>
      <w:r w:rsidR="00F7259B">
        <w:t>En fait, s</w:t>
      </w:r>
      <w:r w:rsidRPr="001A3EF8">
        <w:t>elon lui, les interceptions faites</w:t>
      </w:r>
      <w:r w:rsidR="001E204C">
        <w:t xml:space="preserve"> à un point fixe</w:t>
      </w:r>
      <w:r w:rsidRPr="001A3EF8">
        <w:t xml:space="preserve"> dans le cadre de barrages routiers ou d</w:t>
      </w:r>
      <w:r w:rsidR="009F0A4F">
        <w:t>’autres types d</w:t>
      </w:r>
      <w:r w:rsidRPr="001A3EF8">
        <w:t xml:space="preserve">e programmes structurés (opérations visibles, connues et/ou publicisées) permettent d’atteindre l’objectif de la dissuasion générale : </w:t>
      </w:r>
    </w:p>
    <w:p w14:paraId="3540E92B" w14:textId="77777777" w:rsidR="001A3EF8" w:rsidRPr="001A3EF8" w:rsidRDefault="001A3EF8" w:rsidP="00E46235">
      <w:pPr>
        <w:pStyle w:val="Citationenretrait"/>
        <w:rPr>
          <w:lang w:val="en-CA"/>
        </w:rPr>
      </w:pPr>
      <w:r w:rsidRPr="001A3EF8">
        <w:rPr>
          <w:lang w:val="en-CA"/>
        </w:rPr>
        <w:t>The value of the large checkpoint program is that you’re having an impact on drivers who are not stopped as well as those who are. The random patrol point is only having an impact on those drivers who are stopped.</w:t>
      </w:r>
      <w:r w:rsidRPr="001A3EF8">
        <w:rPr>
          <w:szCs w:val="18"/>
          <w:vertAlign w:val="superscript"/>
        </w:rPr>
        <w:footnoteReference w:id="328"/>
      </w:r>
    </w:p>
    <w:p w14:paraId="2466CC9B" w14:textId="4806DDF4" w:rsidR="003D04B6" w:rsidRDefault="001A3EF8" w:rsidP="00862D97">
      <w:pPr>
        <w:pStyle w:val="Paragraphe"/>
        <w:spacing w:line="280" w:lineRule="exact"/>
      </w:pPr>
      <w:r w:rsidRPr="001A3EF8">
        <w:t>Mme Vézina insiste elle aussi sur l’importance de la dissuasion, notamment en augmentant la perception du risque d’être intercepté (et la probabilité d’être effectivement intercepté). Elle souligne l’importance des « opérations nationales concertées avec les organisations policières »</w:t>
      </w:r>
      <w:r w:rsidRPr="001A3EF8">
        <w:rPr>
          <w:vertAlign w:val="superscript"/>
        </w:rPr>
        <w:footnoteReference w:id="329"/>
      </w:r>
      <w:r w:rsidRPr="001A3EF8">
        <w:t xml:space="preserve"> et de la « visibilité » des interceptions routières</w:t>
      </w:r>
      <w:r w:rsidRPr="001A3EF8">
        <w:rPr>
          <w:vertAlign w:val="superscript"/>
        </w:rPr>
        <w:footnoteReference w:id="330"/>
      </w:r>
      <w:r w:rsidRPr="001A3EF8">
        <w:t xml:space="preserve"> à cet égard. S</w:t>
      </w:r>
      <w:r w:rsidR="00446C9B">
        <w:t>on témoignage</w:t>
      </w:r>
      <w:r w:rsidRPr="001A3EF8">
        <w:t xml:space="preserve"> tend donc également à confirmer l’efficacité des barrages routiers et des </w:t>
      </w:r>
      <w:r w:rsidR="00F22CB1">
        <w:t>autres types d’</w:t>
      </w:r>
      <w:r w:rsidRPr="001A3EF8">
        <w:t xml:space="preserve">opérations d’interception structurées </w:t>
      </w:r>
      <w:r w:rsidR="009D5F92">
        <w:t>sans que l’on puisse de quelque façon conclure que les interceptions routières sans motif requis ont les mêmes effets bénéfiques.</w:t>
      </w:r>
      <w:r w:rsidR="00A72B5A">
        <w:t xml:space="preserve"> </w:t>
      </w:r>
      <w:bookmarkStart w:id="128" w:name="_Ref177748127"/>
    </w:p>
    <w:p w14:paraId="61FC6800" w14:textId="4EC63186" w:rsidR="001A3EF8" w:rsidRPr="001A3EF8" w:rsidRDefault="001A3EF8" w:rsidP="00862D97">
      <w:pPr>
        <w:pStyle w:val="Paragraphe"/>
        <w:spacing w:line="280" w:lineRule="exact"/>
      </w:pPr>
      <w:bookmarkStart w:id="129" w:name="_Ref180158645"/>
      <w:r w:rsidRPr="001A3EF8">
        <w:t>En définitive, la Cour ne peut conclure que les « avantages » des interceptions routières sans motif requis l’emportent sur le</w:t>
      </w:r>
      <w:r w:rsidR="00446C9B">
        <w:t>ur</w:t>
      </w:r>
      <w:r w:rsidRPr="001A3EF8">
        <w:t xml:space="preserve">s effets préjudiciables. L’atteinte au par. 15(1) de la </w:t>
      </w:r>
      <w:r w:rsidRPr="003D04B6">
        <w:rPr>
          <w:i/>
          <w:iCs/>
        </w:rPr>
        <w:t>Charte</w:t>
      </w:r>
      <w:r w:rsidRPr="001A3EF8">
        <w:t xml:space="preserve"> n’est donc pas justifiée au regard de l’article premier.</w:t>
      </w:r>
      <w:bookmarkEnd w:id="128"/>
      <w:bookmarkEnd w:id="129"/>
    </w:p>
    <w:p w14:paraId="27FFBD05" w14:textId="6D93EE15" w:rsidR="005A1C52" w:rsidRPr="0032484D" w:rsidRDefault="00F97692" w:rsidP="002E559C">
      <w:pPr>
        <w:pStyle w:val="Titre2"/>
      </w:pPr>
      <w:bookmarkStart w:id="130" w:name="_Toc180397480"/>
      <w:r w:rsidRPr="00F97692">
        <w:t>F.</w:t>
      </w:r>
      <w:r w:rsidRPr="00F97692">
        <w:tab/>
      </w:r>
      <w:r w:rsidR="004C7B2F" w:rsidRPr="0032484D">
        <w:t>Le juge a-t-il erré</w:t>
      </w:r>
      <w:r w:rsidR="00053353">
        <w:t xml:space="preserve"> au chapitre de la réparation?</w:t>
      </w:r>
      <w:bookmarkEnd w:id="130"/>
    </w:p>
    <w:p w14:paraId="718A5B62" w14:textId="48F3C3C0" w:rsidR="005A1C52" w:rsidRDefault="005A1C52" w:rsidP="00F5188D">
      <w:pPr>
        <w:pStyle w:val="Paragraphe"/>
        <w:spacing w:line="280" w:lineRule="exact"/>
      </w:pPr>
      <w:r>
        <w:t xml:space="preserve">La Cour ayant conclu que le profilage </w:t>
      </w:r>
      <w:r w:rsidRPr="00E46235">
        <w:t>racial</w:t>
      </w:r>
      <w:r>
        <w:t xml:space="preserve"> résulte de </w:t>
      </w:r>
      <w:r w:rsidR="00446C9B">
        <w:t xml:space="preserve">l’art. </w:t>
      </w:r>
      <w:r>
        <w:t>636</w:t>
      </w:r>
      <w:r w:rsidR="00BC0F59">
        <w:t> </w:t>
      </w:r>
      <w:r w:rsidRPr="005A1C52">
        <w:rPr>
          <w:i/>
          <w:iCs/>
        </w:rPr>
        <w:t>C.s.r</w:t>
      </w:r>
      <w:r>
        <w:t xml:space="preserve">., que ce dernier porte atteinte aux droits garantis par les </w:t>
      </w:r>
      <w:r w:rsidR="00446C9B">
        <w:t xml:space="preserve">art. </w:t>
      </w:r>
      <w:r>
        <w:t xml:space="preserve">9 et 15 de la </w:t>
      </w:r>
      <w:r w:rsidRPr="005A1C52">
        <w:rPr>
          <w:i/>
          <w:iCs/>
        </w:rPr>
        <w:t>Charte</w:t>
      </w:r>
      <w:r>
        <w:t xml:space="preserve"> et que </w:t>
      </w:r>
      <w:r w:rsidR="00EB1873">
        <w:t xml:space="preserve">cette atteinte </w:t>
      </w:r>
      <w:r>
        <w:t xml:space="preserve">ne peut se justifier </w:t>
      </w:r>
      <w:r w:rsidR="00446C9B">
        <w:t>selon</w:t>
      </w:r>
      <w:r>
        <w:t xml:space="preserve"> l’article premier, la réparation </w:t>
      </w:r>
      <w:r w:rsidRPr="00F17A4A">
        <w:t>appropriée</w:t>
      </w:r>
      <w:r>
        <w:t xml:space="preserve"> est une déclaration d’invalidité </w:t>
      </w:r>
      <w:r w:rsidR="00446C9B">
        <w:t>fondée sur le</w:t>
      </w:r>
      <w:r>
        <w:t xml:space="preserve"> par</w:t>
      </w:r>
      <w:r w:rsidR="003F384E">
        <w:t>.</w:t>
      </w:r>
      <w:r>
        <w:t xml:space="preserve"> 52 (1) de la </w:t>
      </w:r>
      <w:r w:rsidRPr="005A1C52">
        <w:rPr>
          <w:i/>
          <w:iCs/>
        </w:rPr>
        <w:t>Loi constitutionnelle de 1982</w:t>
      </w:r>
      <w:r>
        <w:t>.</w:t>
      </w:r>
    </w:p>
    <w:p w14:paraId="63E0BDE7" w14:textId="762C17ED" w:rsidR="005A1C52" w:rsidRDefault="005A1C52" w:rsidP="00F5188D">
      <w:pPr>
        <w:pStyle w:val="Paragraphe"/>
        <w:spacing w:line="280" w:lineRule="exact"/>
      </w:pPr>
      <w:r>
        <w:t xml:space="preserve">Le juge a suspendu la déclaration d’invalidité pour une période de </w:t>
      </w:r>
      <w:r w:rsidRPr="00E46235">
        <w:t>six</w:t>
      </w:r>
      <w:r>
        <w:t xml:space="preserve"> mois. Le PGQ demande à la Cour que la suspension soit plutôt de </w:t>
      </w:r>
      <w:r w:rsidR="003F384E">
        <w:t>douze</w:t>
      </w:r>
      <w:r>
        <w:t xml:space="preserve"> mois. Or, il ne fait valoir aucun argument qui pourrait justifier d’intervenir sur cette question.</w:t>
      </w:r>
    </w:p>
    <w:p w14:paraId="3FE23823" w14:textId="47E19DA0" w:rsidR="005A1C52" w:rsidRPr="00797014" w:rsidRDefault="005A1C52" w:rsidP="00F5188D">
      <w:pPr>
        <w:pStyle w:val="Paragraphe"/>
        <w:spacing w:line="280" w:lineRule="exact"/>
      </w:pPr>
      <w:r w:rsidRPr="00797014">
        <w:t xml:space="preserve">La suspension de la prise d’effet de la déclaration d’invalidité </w:t>
      </w:r>
      <w:r w:rsidRPr="00F17A4A">
        <w:t>d’une</w:t>
      </w:r>
      <w:r w:rsidRPr="00797014">
        <w:t xml:space="preserve"> loi ou d’une règle de droit est une mesure « extraordinaire »</w:t>
      </w:r>
      <w:r w:rsidRPr="00797014">
        <w:rPr>
          <w:vertAlign w:val="superscript"/>
        </w:rPr>
        <w:footnoteReference w:id="331"/>
      </w:r>
      <w:r w:rsidRPr="00797014">
        <w:t xml:space="preserve">, car elle a pour effet de maintenir en vigueur une loi ou une règle de droit qui porte atteinte à la </w:t>
      </w:r>
      <w:r w:rsidRPr="00797014">
        <w:rPr>
          <w:i/>
          <w:iCs/>
        </w:rPr>
        <w:t>Charte</w:t>
      </w:r>
      <w:r w:rsidRPr="00797014">
        <w:t xml:space="preserve">. Une telle </w:t>
      </w:r>
      <w:r w:rsidR="00A46A35">
        <w:t>suspension</w:t>
      </w:r>
      <w:r w:rsidRPr="00797014">
        <w:t xml:space="preserve"> ne devrait être </w:t>
      </w:r>
      <w:r w:rsidR="00A46A35">
        <w:t>accordée</w:t>
      </w:r>
      <w:r w:rsidRPr="00797014">
        <w:t xml:space="preserve"> qu’en de rares cas, soit seulement </w:t>
      </w:r>
      <w:r w:rsidRPr="00E46235">
        <w:t>lorsque</w:t>
      </w:r>
      <w:r w:rsidRPr="00797014">
        <w:t xml:space="preserve"> le gouvernement</w:t>
      </w:r>
      <w:r w:rsidRPr="00797014">
        <w:rPr>
          <w:vertAlign w:val="superscript"/>
        </w:rPr>
        <w:footnoteReference w:id="332"/>
      </w:r>
      <w:r w:rsidRPr="00797014">
        <w:t xml:space="preserve"> est en mesure de démontrer que « le risque que représente une déclaration avec effet immédiat sur un intérêt public identifiable, fondé sur la Constitution, l’emporte sur les conséquences néfastes de la suspension de l’effet de cette déclaration »</w:t>
      </w:r>
      <w:r w:rsidRPr="00797014">
        <w:rPr>
          <w:vertAlign w:val="superscript"/>
        </w:rPr>
        <w:footnoteReference w:id="333"/>
      </w:r>
      <w:r w:rsidRPr="00797014">
        <w:t>. Le gouvernement doit également « établir la durée que doit avoir la suspension de la prise d’effet d’une déclaration »</w:t>
      </w:r>
      <w:r w:rsidRPr="00797014">
        <w:rPr>
          <w:vertAlign w:val="superscript"/>
        </w:rPr>
        <w:footnoteReference w:id="334"/>
      </w:r>
      <w:r w:rsidRPr="00797014">
        <w:t xml:space="preserve">. </w:t>
      </w:r>
    </w:p>
    <w:p w14:paraId="64905BCC" w14:textId="14721F40" w:rsidR="005A1C52" w:rsidRPr="00797014" w:rsidRDefault="005A1C52" w:rsidP="00F5188D">
      <w:pPr>
        <w:pStyle w:val="Paragraphe"/>
        <w:spacing w:line="280" w:lineRule="exact"/>
      </w:pPr>
      <w:r w:rsidRPr="00797014">
        <w:t xml:space="preserve">La prorogation de la </w:t>
      </w:r>
      <w:r w:rsidR="00A46A35">
        <w:t xml:space="preserve">suspension de la </w:t>
      </w:r>
      <w:r w:rsidRPr="00797014">
        <w:t xml:space="preserve">prise d’effet d’une déclaration </w:t>
      </w:r>
      <w:r w:rsidRPr="00F17A4A">
        <w:t>d’invalidité</w:t>
      </w:r>
      <w:r w:rsidRPr="00797014">
        <w:t xml:space="preserve"> </w:t>
      </w:r>
      <w:r w:rsidRPr="00E46235">
        <w:t>constitutionnelle</w:t>
      </w:r>
      <w:r w:rsidRPr="00797014">
        <w:t xml:space="preserve"> « pose encore plus problème »</w:t>
      </w:r>
      <w:r w:rsidRPr="00797014">
        <w:rPr>
          <w:vertAlign w:val="superscript"/>
        </w:rPr>
        <w:footnoteReference w:id="335"/>
      </w:r>
      <w:r w:rsidRPr="00797014">
        <w:t xml:space="preserve">, en ce qu’elle perpétue </w:t>
      </w:r>
      <w:r w:rsidR="00862908">
        <w:t xml:space="preserve">encore </w:t>
      </w:r>
      <w:r w:rsidRPr="00797014">
        <w:t xml:space="preserve">davantage la violation de la </w:t>
      </w:r>
      <w:r w:rsidRPr="00797014">
        <w:rPr>
          <w:i/>
          <w:iCs/>
        </w:rPr>
        <w:t>Charte</w:t>
      </w:r>
      <w:r w:rsidRPr="00797014">
        <w:t xml:space="preserve">. Le gouvernement qui sollicite </w:t>
      </w:r>
      <w:r w:rsidR="00A46A35">
        <w:t>une telle</w:t>
      </w:r>
      <w:r w:rsidR="00A46A35" w:rsidRPr="00797014">
        <w:t xml:space="preserve"> </w:t>
      </w:r>
      <w:r w:rsidRPr="00797014">
        <w:t>prorogation doit établir l’existence de « circonstances exceptionnelles »</w:t>
      </w:r>
      <w:r w:rsidRPr="00797014">
        <w:rPr>
          <w:vertAlign w:val="superscript"/>
        </w:rPr>
        <w:footnoteReference w:id="336"/>
      </w:r>
      <w:r w:rsidRPr="00797014">
        <w:t xml:space="preserve"> ou de « raisons impérieuses »</w:t>
      </w:r>
      <w:r w:rsidRPr="00797014">
        <w:rPr>
          <w:vertAlign w:val="superscript"/>
        </w:rPr>
        <w:footnoteReference w:id="337"/>
      </w:r>
      <w:r w:rsidRPr="00797014">
        <w:t xml:space="preserve"> justifiant la prorogation. En l’occurrence, le PGQ ne </w:t>
      </w:r>
      <w:r w:rsidR="00A46A35">
        <w:t xml:space="preserve">s’est pas déchargé de </w:t>
      </w:r>
      <w:r w:rsidRPr="00797014">
        <w:t>ce fardeau.</w:t>
      </w:r>
    </w:p>
    <w:p w14:paraId="111E8D16" w14:textId="77777777" w:rsidR="005A1C52" w:rsidRDefault="005A1C52" w:rsidP="00F5188D">
      <w:pPr>
        <w:pStyle w:val="Paragraphe"/>
        <w:spacing w:line="280" w:lineRule="exact"/>
      </w:pPr>
      <w:r>
        <w:t xml:space="preserve">Ce moyen d’appel doit donc </w:t>
      </w:r>
      <w:r w:rsidRPr="00E46235">
        <w:t>également</w:t>
      </w:r>
      <w:r>
        <w:t xml:space="preserve"> échouer.</w:t>
      </w:r>
    </w:p>
    <w:p w14:paraId="42A720E2" w14:textId="792C21D9" w:rsidR="008E714F" w:rsidRPr="00540EDB" w:rsidRDefault="00F97692" w:rsidP="00F5188D">
      <w:pPr>
        <w:pStyle w:val="Titre1"/>
        <w:spacing w:line="280" w:lineRule="exact"/>
      </w:pPr>
      <w:bookmarkStart w:id="131" w:name="_Toc180397481"/>
      <w:r w:rsidRPr="00F97692">
        <w:t>VI.</w:t>
      </w:r>
      <w:r w:rsidRPr="00F97692">
        <w:tab/>
      </w:r>
      <w:r w:rsidR="004C7B2F" w:rsidRPr="009A3E30">
        <w:t>CONCLUSIO</w:t>
      </w:r>
      <w:r w:rsidR="00540EDB" w:rsidRPr="009A3E30">
        <w:t>N</w:t>
      </w:r>
      <w:bookmarkEnd w:id="131"/>
    </w:p>
    <w:p w14:paraId="783B4F15" w14:textId="055F0BAB" w:rsidR="008E714F" w:rsidRPr="00391801" w:rsidRDefault="00540EDB" w:rsidP="00F5188D">
      <w:pPr>
        <w:pStyle w:val="Paragraphe"/>
        <w:spacing w:line="280" w:lineRule="exact"/>
      </w:pPr>
      <w:r>
        <w:t xml:space="preserve">La Cour conclut que la règle de droit </w:t>
      </w:r>
      <w:r w:rsidR="00A46A35">
        <w:t xml:space="preserve">autorisant les interceptions routières sans motif requis en dehors de tout programme structuré, </w:t>
      </w:r>
      <w:r>
        <w:t>édictée à l’art</w:t>
      </w:r>
      <w:r w:rsidR="00A46A35">
        <w:t>. </w:t>
      </w:r>
      <w:r w:rsidRPr="00C87EC1">
        <w:t xml:space="preserve">636 </w:t>
      </w:r>
      <w:r w:rsidR="00C03C66" w:rsidRPr="00C87EC1">
        <w:rPr>
          <w:i/>
          <w:iCs/>
        </w:rPr>
        <w:t>C</w:t>
      </w:r>
      <w:r w:rsidRPr="00C87EC1">
        <w:rPr>
          <w:i/>
          <w:iCs/>
        </w:rPr>
        <w:t>.s.r</w:t>
      </w:r>
      <w:r w:rsidRPr="00C87EC1">
        <w:t>.</w:t>
      </w:r>
      <w:r w:rsidR="00A46A35">
        <w:t>,</w:t>
      </w:r>
      <w:r>
        <w:t xml:space="preserve"> </w:t>
      </w:r>
      <w:r w:rsidR="00BA4D5F">
        <w:t xml:space="preserve">entraîne le </w:t>
      </w:r>
      <w:r w:rsidR="00A46A35">
        <w:t>profilage racial.</w:t>
      </w:r>
      <w:r>
        <w:t xml:space="preserve"> Cette règle de droit viole les art</w:t>
      </w:r>
      <w:r w:rsidR="00A46A35">
        <w:t>. </w:t>
      </w:r>
      <w:r>
        <w:t xml:space="preserve">9 et 15 de la </w:t>
      </w:r>
      <w:r w:rsidRPr="002748FE">
        <w:rPr>
          <w:i/>
          <w:iCs/>
        </w:rPr>
        <w:t>Charte</w:t>
      </w:r>
      <w:r>
        <w:t xml:space="preserve"> et ne peut se justifier </w:t>
      </w:r>
      <w:r w:rsidR="00A46A35">
        <w:t>au regard</w:t>
      </w:r>
      <w:r>
        <w:t xml:space="preserve"> de l’article premier.</w:t>
      </w:r>
      <w:r w:rsidR="00862908">
        <w:t xml:space="preserve"> Il n’est pas nécessaire de déterminer si cette règle </w:t>
      </w:r>
      <w:r w:rsidR="00862908" w:rsidRPr="00391801">
        <w:t xml:space="preserve">de droit contrevient </w:t>
      </w:r>
      <w:r w:rsidR="00C0344C" w:rsidRPr="00391801">
        <w:t>également</w:t>
      </w:r>
      <w:r w:rsidR="00862908" w:rsidRPr="00391801">
        <w:t xml:space="preserve"> à l’art. 7 de la </w:t>
      </w:r>
      <w:r w:rsidR="00862908" w:rsidRPr="00391801">
        <w:rPr>
          <w:i/>
          <w:iCs/>
        </w:rPr>
        <w:t>Charte</w:t>
      </w:r>
      <w:r w:rsidR="00862908" w:rsidRPr="00391801">
        <w:t>.</w:t>
      </w:r>
    </w:p>
    <w:p w14:paraId="4104694D" w14:textId="79BDDC9C" w:rsidR="00F82200" w:rsidRPr="00E46235" w:rsidRDefault="00540EDB" w:rsidP="00F5188D">
      <w:pPr>
        <w:spacing w:before="120" w:after="120"/>
        <w:jc w:val="both"/>
        <w:rPr>
          <w:b/>
          <w:bCs/>
        </w:rPr>
      </w:pPr>
      <w:r w:rsidRPr="00E46235">
        <w:rPr>
          <w:b/>
          <w:bCs/>
        </w:rPr>
        <w:t>POUR CES MOTIFS, LA COUR :</w:t>
      </w:r>
    </w:p>
    <w:p w14:paraId="13176210" w14:textId="4F6CE853" w:rsidR="004C1A18" w:rsidRPr="001A3EF8" w:rsidRDefault="00540EDB" w:rsidP="00F5188D">
      <w:pPr>
        <w:pStyle w:val="Paragraphe"/>
        <w:spacing w:line="280" w:lineRule="exact"/>
      </w:pPr>
      <w:r w:rsidRPr="001A3EF8">
        <w:rPr>
          <w:b/>
          <w:bCs/>
        </w:rPr>
        <w:t>ACCUEILLE</w:t>
      </w:r>
      <w:r w:rsidRPr="001A3EF8">
        <w:t xml:space="preserve"> l’appel en partie</w:t>
      </w:r>
      <w:r w:rsidR="0040330D">
        <w:t>;</w:t>
      </w:r>
    </w:p>
    <w:p w14:paraId="3778C1C8" w14:textId="4585EBCF" w:rsidR="004C1A18" w:rsidRPr="001A3EF8" w:rsidRDefault="002748FE" w:rsidP="00F5188D">
      <w:pPr>
        <w:pStyle w:val="Paragraphe"/>
        <w:spacing w:line="280" w:lineRule="exact"/>
      </w:pPr>
      <w:r w:rsidRPr="001A3EF8">
        <w:rPr>
          <w:b/>
          <w:bCs/>
        </w:rPr>
        <w:t xml:space="preserve">INFIRME </w:t>
      </w:r>
      <w:r w:rsidRPr="001A3EF8">
        <w:t xml:space="preserve">en partie </w:t>
      </w:r>
      <w:r w:rsidR="004C1A18" w:rsidRPr="001A3EF8">
        <w:t>le jugement de première instance</w:t>
      </w:r>
      <w:r w:rsidR="001A3B08">
        <w:t>,</w:t>
      </w:r>
      <w:r w:rsidR="00540EDB" w:rsidRPr="001A3EF8">
        <w:t xml:space="preserve"> à la seule fin de modifier les paragraphes </w:t>
      </w:r>
      <w:r w:rsidR="004C1A18" w:rsidRPr="001A3EF8">
        <w:t>866</w:t>
      </w:r>
      <w:r w:rsidR="00594ABD">
        <w:t xml:space="preserve"> à 870</w:t>
      </w:r>
      <w:r w:rsidR="00540EDB" w:rsidRPr="001A3EF8">
        <w:t xml:space="preserve"> </w:t>
      </w:r>
      <w:r w:rsidR="004C1A18" w:rsidRPr="001A3EF8">
        <w:t>de la façon suivante</w:t>
      </w:r>
      <w:r w:rsidR="001A3B08">
        <w:t> </w:t>
      </w:r>
      <w:r w:rsidR="00540EDB" w:rsidRPr="001A3EF8">
        <w:t xml:space="preserve">: </w:t>
      </w:r>
    </w:p>
    <w:p w14:paraId="527F060F" w14:textId="30D0DBB0" w:rsidR="004C1A18" w:rsidRPr="003A14E5" w:rsidRDefault="00540EDB" w:rsidP="00F5188D">
      <w:pPr>
        <w:pStyle w:val="Citationenretrait"/>
        <w:rPr>
          <w:sz w:val="24"/>
          <w:szCs w:val="24"/>
        </w:rPr>
      </w:pPr>
      <w:r w:rsidRPr="003A14E5">
        <w:rPr>
          <w:sz w:val="24"/>
          <w:szCs w:val="24"/>
        </w:rPr>
        <w:t>[86</w:t>
      </w:r>
      <w:r w:rsidR="002748FE" w:rsidRPr="003A14E5">
        <w:rPr>
          <w:sz w:val="24"/>
          <w:szCs w:val="24"/>
        </w:rPr>
        <w:t>6</w:t>
      </w:r>
      <w:r w:rsidRPr="003A14E5">
        <w:rPr>
          <w:sz w:val="24"/>
          <w:szCs w:val="24"/>
        </w:rPr>
        <w:t>]</w:t>
      </w:r>
      <w:r w:rsidR="00E46235" w:rsidRPr="003A14E5">
        <w:rPr>
          <w:sz w:val="24"/>
          <w:szCs w:val="24"/>
        </w:rPr>
        <w:tab/>
      </w:r>
      <w:r w:rsidR="002748FE" w:rsidRPr="003A14E5">
        <w:rPr>
          <w:b/>
          <w:bCs/>
          <w:sz w:val="24"/>
          <w:szCs w:val="24"/>
        </w:rPr>
        <w:t xml:space="preserve">ACCUEILLE </w:t>
      </w:r>
      <w:r w:rsidR="002748FE" w:rsidRPr="003A14E5">
        <w:rPr>
          <w:sz w:val="24"/>
          <w:szCs w:val="24"/>
        </w:rPr>
        <w:t xml:space="preserve">en partie la </w:t>
      </w:r>
      <w:r w:rsidR="00A46A35" w:rsidRPr="003A14E5">
        <w:rPr>
          <w:sz w:val="24"/>
          <w:szCs w:val="24"/>
        </w:rPr>
        <w:t>D</w:t>
      </w:r>
      <w:r w:rsidR="002748FE" w:rsidRPr="003A14E5">
        <w:rPr>
          <w:sz w:val="24"/>
          <w:szCs w:val="24"/>
        </w:rPr>
        <w:t>emande introductive d’instance remodifiée;</w:t>
      </w:r>
    </w:p>
    <w:p w14:paraId="173496C3" w14:textId="1CDB6008" w:rsidR="002748FE" w:rsidRPr="00A24F50" w:rsidRDefault="002748FE" w:rsidP="00594ABD">
      <w:pPr>
        <w:pStyle w:val="Citationenretrait"/>
        <w:rPr>
          <w:sz w:val="24"/>
          <w:szCs w:val="24"/>
        </w:rPr>
      </w:pPr>
      <w:r w:rsidRPr="000B2D2F">
        <w:rPr>
          <w:sz w:val="24"/>
          <w:szCs w:val="24"/>
        </w:rPr>
        <w:t>[</w:t>
      </w:r>
      <w:r w:rsidR="00594ABD" w:rsidRPr="000B2D2F">
        <w:rPr>
          <w:sz w:val="24"/>
          <w:szCs w:val="24"/>
        </w:rPr>
        <w:t>867]</w:t>
      </w:r>
      <w:r w:rsidR="00A24F50">
        <w:rPr>
          <w:sz w:val="24"/>
          <w:szCs w:val="24"/>
        </w:rPr>
        <w:tab/>
      </w:r>
      <w:r w:rsidR="00594ABD" w:rsidRPr="00A24F50">
        <w:rPr>
          <w:b/>
          <w:sz w:val="24"/>
          <w:szCs w:val="24"/>
        </w:rPr>
        <w:t>DÉCLARE</w:t>
      </w:r>
      <w:r w:rsidR="00594ABD" w:rsidRPr="00A24F50">
        <w:rPr>
          <w:sz w:val="24"/>
          <w:szCs w:val="24"/>
        </w:rPr>
        <w:t xml:space="preserve"> que les conditions sont réunies pour réexaminer l’arrêt </w:t>
      </w:r>
      <w:r w:rsidR="00594ABD" w:rsidRPr="00A24F50">
        <w:rPr>
          <w:i/>
          <w:sz w:val="24"/>
          <w:szCs w:val="24"/>
        </w:rPr>
        <w:t>R. c. Ladouceur</w:t>
      </w:r>
      <w:r w:rsidR="00594ABD" w:rsidRPr="00A24F50">
        <w:rPr>
          <w:sz w:val="24"/>
          <w:szCs w:val="24"/>
        </w:rPr>
        <w:t>, [1990] 1 R.C.S. 1257;</w:t>
      </w:r>
    </w:p>
    <w:p w14:paraId="1CDE1AE6" w14:textId="7C6951F9" w:rsidR="00540EDB" w:rsidRPr="003A14E5" w:rsidRDefault="004C1A18" w:rsidP="00F5188D">
      <w:pPr>
        <w:pStyle w:val="Citationenretrait"/>
        <w:rPr>
          <w:sz w:val="24"/>
          <w:szCs w:val="24"/>
        </w:rPr>
      </w:pPr>
      <w:r w:rsidRPr="003A14E5">
        <w:rPr>
          <w:sz w:val="24"/>
          <w:szCs w:val="24"/>
        </w:rPr>
        <w:t>[868]</w:t>
      </w:r>
      <w:r w:rsidR="00E46235" w:rsidRPr="003A14E5">
        <w:rPr>
          <w:sz w:val="24"/>
          <w:szCs w:val="24"/>
        </w:rPr>
        <w:tab/>
      </w:r>
      <w:r w:rsidR="00540EDB" w:rsidRPr="003A14E5">
        <w:rPr>
          <w:b/>
          <w:bCs/>
          <w:sz w:val="24"/>
          <w:szCs w:val="24"/>
        </w:rPr>
        <w:t>DÉCLARE</w:t>
      </w:r>
      <w:r w:rsidR="00540EDB" w:rsidRPr="003A14E5">
        <w:rPr>
          <w:sz w:val="24"/>
          <w:szCs w:val="24"/>
        </w:rPr>
        <w:t xml:space="preserve"> </w:t>
      </w:r>
      <w:r w:rsidRPr="003A14E5">
        <w:rPr>
          <w:sz w:val="24"/>
          <w:szCs w:val="24"/>
        </w:rPr>
        <w:t xml:space="preserve">que </w:t>
      </w:r>
      <w:r w:rsidR="00540EDB" w:rsidRPr="003A14E5">
        <w:rPr>
          <w:sz w:val="24"/>
          <w:szCs w:val="24"/>
        </w:rPr>
        <w:t xml:space="preserve">l’article 636 du </w:t>
      </w:r>
      <w:r w:rsidR="00540EDB" w:rsidRPr="003A14E5">
        <w:rPr>
          <w:i/>
          <w:iCs/>
          <w:sz w:val="24"/>
          <w:szCs w:val="24"/>
        </w:rPr>
        <w:t>Code de la sécurité routière</w:t>
      </w:r>
      <w:r w:rsidR="00540EDB" w:rsidRPr="003A14E5">
        <w:rPr>
          <w:sz w:val="24"/>
          <w:szCs w:val="24"/>
        </w:rPr>
        <w:t xml:space="preserve"> viole les droits garantis par les articles 9 et 15 de la </w:t>
      </w:r>
      <w:r w:rsidR="00540EDB" w:rsidRPr="003A14E5">
        <w:rPr>
          <w:i/>
          <w:iCs/>
          <w:sz w:val="24"/>
          <w:szCs w:val="24"/>
        </w:rPr>
        <w:t>Charte canadienne des droits et libertés</w:t>
      </w:r>
      <w:r w:rsidR="00540EDB" w:rsidRPr="003A14E5">
        <w:rPr>
          <w:sz w:val="24"/>
          <w:szCs w:val="24"/>
        </w:rPr>
        <w:t>, sans pouvoir être justifié dans le cadre d’une société libre et démocratique</w:t>
      </w:r>
      <w:r w:rsidR="001A3B08" w:rsidRPr="003A14E5">
        <w:rPr>
          <w:sz w:val="24"/>
          <w:szCs w:val="24"/>
        </w:rPr>
        <w:t>,</w:t>
      </w:r>
      <w:r w:rsidRPr="003A14E5">
        <w:rPr>
          <w:sz w:val="24"/>
          <w:szCs w:val="24"/>
        </w:rPr>
        <w:t xml:space="preserve"> et qu’</w:t>
      </w:r>
      <w:r w:rsidR="002748FE" w:rsidRPr="003A14E5">
        <w:rPr>
          <w:sz w:val="24"/>
          <w:szCs w:val="24"/>
        </w:rPr>
        <w:t>il</w:t>
      </w:r>
      <w:r w:rsidRPr="003A14E5">
        <w:rPr>
          <w:sz w:val="24"/>
          <w:szCs w:val="24"/>
        </w:rPr>
        <w:t xml:space="preserve"> est de ce fait invalide</w:t>
      </w:r>
      <w:r w:rsidR="00540EDB" w:rsidRPr="003A14E5">
        <w:rPr>
          <w:sz w:val="24"/>
          <w:szCs w:val="24"/>
        </w:rPr>
        <w:t>;</w:t>
      </w:r>
    </w:p>
    <w:p w14:paraId="7B788AF3" w14:textId="09EF421A" w:rsidR="00540EDB" w:rsidRDefault="00540EDB" w:rsidP="00F5188D">
      <w:pPr>
        <w:pStyle w:val="Citationenretrait"/>
        <w:rPr>
          <w:sz w:val="24"/>
          <w:szCs w:val="24"/>
        </w:rPr>
      </w:pPr>
      <w:r w:rsidRPr="003A14E5">
        <w:rPr>
          <w:sz w:val="24"/>
          <w:szCs w:val="24"/>
        </w:rPr>
        <w:t>[869]</w:t>
      </w:r>
      <w:r w:rsidR="00E46235" w:rsidRPr="003A14E5">
        <w:rPr>
          <w:sz w:val="24"/>
          <w:szCs w:val="24"/>
        </w:rPr>
        <w:tab/>
      </w:r>
      <w:r w:rsidRPr="003A14E5">
        <w:rPr>
          <w:b/>
          <w:bCs/>
          <w:sz w:val="24"/>
          <w:szCs w:val="24"/>
        </w:rPr>
        <w:t>DÉCLARE</w:t>
      </w:r>
      <w:r w:rsidRPr="003A14E5">
        <w:rPr>
          <w:sz w:val="24"/>
          <w:szCs w:val="24"/>
        </w:rPr>
        <w:t xml:space="preserve"> inopérant l’article 636 du </w:t>
      </w:r>
      <w:r w:rsidRPr="003A14E5">
        <w:rPr>
          <w:i/>
          <w:iCs/>
          <w:sz w:val="24"/>
          <w:szCs w:val="24"/>
        </w:rPr>
        <w:t>Code de la sécurité routière</w:t>
      </w:r>
      <w:r w:rsidRPr="003A14E5">
        <w:rPr>
          <w:sz w:val="24"/>
          <w:szCs w:val="24"/>
        </w:rPr>
        <w:t>;</w:t>
      </w:r>
    </w:p>
    <w:p w14:paraId="6685FE69" w14:textId="07FC93BC" w:rsidR="00F82200" w:rsidRDefault="001A6F12" w:rsidP="00DC7CA8">
      <w:pPr>
        <w:pStyle w:val="Citationenretrait"/>
        <w:rPr>
          <w:sz w:val="24"/>
          <w:szCs w:val="24"/>
        </w:rPr>
      </w:pPr>
      <w:r>
        <w:rPr>
          <w:sz w:val="24"/>
          <w:szCs w:val="24"/>
        </w:rPr>
        <w:t>[870]</w:t>
      </w:r>
      <w:r w:rsidR="0030606F">
        <w:rPr>
          <w:sz w:val="24"/>
          <w:szCs w:val="24"/>
        </w:rPr>
        <w:tab/>
      </w:r>
      <w:r w:rsidR="004B0F0D" w:rsidRPr="003D04B6">
        <w:rPr>
          <w:b/>
          <w:bCs/>
          <w:sz w:val="24"/>
          <w:szCs w:val="24"/>
        </w:rPr>
        <w:t>SUSPEND</w:t>
      </w:r>
      <w:r w:rsidR="004B0F0D" w:rsidRPr="004B0F0D">
        <w:rPr>
          <w:b/>
          <w:bCs/>
          <w:szCs w:val="22"/>
        </w:rPr>
        <w:t> </w:t>
      </w:r>
      <w:r w:rsidR="004B0F0D" w:rsidRPr="003D04B6">
        <w:rPr>
          <w:sz w:val="24"/>
          <w:szCs w:val="24"/>
        </w:rPr>
        <w:t xml:space="preserve">pour six mois à compter de la notification de l’avis de jugement la prise d’effet de la déclaration d’inopérabilité, à l’exception de tout dossier judiciaire dans lequel l’article 636 du </w:t>
      </w:r>
      <w:r w:rsidR="004B0F0D" w:rsidRPr="003D04B6">
        <w:rPr>
          <w:i/>
          <w:iCs/>
          <w:sz w:val="24"/>
          <w:szCs w:val="24"/>
        </w:rPr>
        <w:t>Code de la sécurité routière</w:t>
      </w:r>
      <w:r w:rsidR="004B0F0D" w:rsidRPr="003D04B6">
        <w:rPr>
          <w:sz w:val="24"/>
          <w:szCs w:val="24"/>
        </w:rPr>
        <w:t xml:space="preserve"> a été contesté et dont les procédures sont encore en cours</w:t>
      </w:r>
      <w:r w:rsidR="0040330D">
        <w:rPr>
          <w:sz w:val="24"/>
          <w:szCs w:val="24"/>
        </w:rPr>
        <w:t>;</w:t>
      </w:r>
    </w:p>
    <w:p w14:paraId="746CD1AD" w14:textId="0277FA55" w:rsidR="0040330D" w:rsidRPr="00DC7CA8" w:rsidRDefault="0040330D" w:rsidP="0040330D">
      <w:pPr>
        <w:pStyle w:val="Paragraphe"/>
        <w:spacing w:line="280" w:lineRule="exact"/>
        <w:rPr>
          <w:szCs w:val="22"/>
        </w:rPr>
      </w:pPr>
      <w:r w:rsidRPr="0040330D">
        <w:rPr>
          <w:b/>
          <w:bCs/>
          <w:szCs w:val="22"/>
        </w:rPr>
        <w:t>LE</w:t>
      </w:r>
      <w:r>
        <w:rPr>
          <w:szCs w:val="22"/>
        </w:rPr>
        <w:t xml:space="preserve"> </w:t>
      </w:r>
      <w:r w:rsidRPr="0040330D">
        <w:rPr>
          <w:b/>
          <w:bCs/>
          <w:szCs w:val="22"/>
        </w:rPr>
        <w:t>TOUT</w:t>
      </w:r>
      <w:r>
        <w:rPr>
          <w:szCs w:val="22"/>
        </w:rPr>
        <w:t>, avec les frais de justice contre le procureur général du Québec.</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8F364A" w14:paraId="2B425A5D" w14:textId="77777777" w:rsidTr="003E3239">
        <w:trPr>
          <w:trHeight w:val="576"/>
        </w:trPr>
        <w:tc>
          <w:tcPr>
            <w:tcW w:w="9362" w:type="dxa"/>
            <w:gridSpan w:val="3"/>
            <w:tcBorders>
              <w:top w:val="nil"/>
              <w:bottom w:val="nil"/>
            </w:tcBorders>
          </w:tcPr>
          <w:p w14:paraId="62E2A0DE" w14:textId="77777777" w:rsidR="008F364A" w:rsidRDefault="008F364A">
            <w:pPr>
              <w:keepNext/>
            </w:pPr>
          </w:p>
        </w:tc>
      </w:tr>
      <w:tr w:rsidR="008F364A" w14:paraId="1735A779" w14:textId="77777777" w:rsidTr="00117914">
        <w:trPr>
          <w:trHeight w:val="283"/>
        </w:trPr>
        <w:tc>
          <w:tcPr>
            <w:tcW w:w="4682" w:type="dxa"/>
            <w:gridSpan w:val="2"/>
            <w:tcBorders>
              <w:top w:val="nil"/>
              <w:bottom w:val="nil"/>
            </w:tcBorders>
          </w:tcPr>
          <w:p w14:paraId="2B9162F9" w14:textId="77777777" w:rsidR="008F364A" w:rsidRDefault="008F364A">
            <w:pPr>
              <w:keepNext/>
            </w:pPr>
          </w:p>
        </w:tc>
        <w:tc>
          <w:tcPr>
            <w:tcW w:w="4680" w:type="dxa"/>
            <w:tcBorders>
              <w:top w:val="nil"/>
              <w:bottom w:val="single" w:sz="8" w:space="0" w:color="auto"/>
            </w:tcBorders>
          </w:tcPr>
          <w:p w14:paraId="038EC559" w14:textId="77777777" w:rsidR="008F364A" w:rsidRDefault="008F364A">
            <w:pPr>
              <w:keepNext/>
            </w:pPr>
          </w:p>
        </w:tc>
      </w:tr>
      <w:tr w:rsidR="008F364A" w14:paraId="2528EBEA" w14:textId="77777777" w:rsidTr="00117914">
        <w:trPr>
          <w:trHeight w:val="283"/>
        </w:trPr>
        <w:tc>
          <w:tcPr>
            <w:tcW w:w="4682" w:type="dxa"/>
            <w:gridSpan w:val="2"/>
            <w:tcBorders>
              <w:top w:val="nil"/>
            </w:tcBorders>
          </w:tcPr>
          <w:p w14:paraId="00669305" w14:textId="77777777" w:rsidR="008F364A" w:rsidRDefault="008F364A">
            <w:pPr>
              <w:keepNext/>
            </w:pPr>
          </w:p>
        </w:tc>
        <w:tc>
          <w:tcPr>
            <w:tcW w:w="4680" w:type="dxa"/>
            <w:tcBorders>
              <w:top w:val="single" w:sz="8" w:space="0" w:color="auto"/>
            </w:tcBorders>
          </w:tcPr>
          <w:p w14:paraId="7A22D3EC" w14:textId="0835C764" w:rsidR="008F364A" w:rsidRDefault="005273D9">
            <w:r>
              <w:t>JULIE DUTIL, J.C.A.</w:t>
            </w:r>
          </w:p>
        </w:tc>
      </w:tr>
      <w:tr w:rsidR="008F364A" w14:paraId="432B0576" w14:textId="77777777" w:rsidTr="00117914">
        <w:trPr>
          <w:trHeight w:val="283"/>
        </w:trPr>
        <w:tc>
          <w:tcPr>
            <w:tcW w:w="4682" w:type="dxa"/>
            <w:gridSpan w:val="2"/>
            <w:tcBorders>
              <w:top w:val="nil"/>
            </w:tcBorders>
          </w:tcPr>
          <w:p w14:paraId="2DEF3684" w14:textId="77777777" w:rsidR="008F364A" w:rsidRDefault="008F364A">
            <w:pPr>
              <w:keepNext/>
            </w:pPr>
            <w:bookmarkStart w:id="132" w:name="Signature2"/>
          </w:p>
        </w:tc>
        <w:tc>
          <w:tcPr>
            <w:tcW w:w="4680" w:type="dxa"/>
            <w:tcBorders>
              <w:top w:val="nil"/>
            </w:tcBorders>
          </w:tcPr>
          <w:p w14:paraId="4D0B3CDF" w14:textId="77777777" w:rsidR="008F364A" w:rsidRDefault="008F364A">
            <w:pPr>
              <w:keepNext/>
            </w:pPr>
          </w:p>
        </w:tc>
      </w:tr>
      <w:tr w:rsidR="008F364A" w14:paraId="718D4109" w14:textId="77777777" w:rsidTr="00117914">
        <w:trPr>
          <w:trHeight w:val="283"/>
        </w:trPr>
        <w:tc>
          <w:tcPr>
            <w:tcW w:w="4682" w:type="dxa"/>
            <w:gridSpan w:val="2"/>
            <w:tcBorders>
              <w:top w:val="nil"/>
              <w:bottom w:val="nil"/>
            </w:tcBorders>
          </w:tcPr>
          <w:p w14:paraId="647D6086" w14:textId="77777777" w:rsidR="008F364A" w:rsidRDefault="008F364A">
            <w:pPr>
              <w:keepNext/>
            </w:pPr>
          </w:p>
        </w:tc>
        <w:tc>
          <w:tcPr>
            <w:tcW w:w="4680" w:type="dxa"/>
            <w:tcBorders>
              <w:top w:val="nil"/>
              <w:bottom w:val="single" w:sz="8" w:space="0" w:color="auto"/>
            </w:tcBorders>
          </w:tcPr>
          <w:p w14:paraId="38ECDAA8" w14:textId="77777777" w:rsidR="008F364A" w:rsidRDefault="008F364A">
            <w:pPr>
              <w:keepNext/>
            </w:pPr>
          </w:p>
        </w:tc>
      </w:tr>
      <w:tr w:rsidR="008F364A" w14:paraId="1DAB95EE" w14:textId="77777777" w:rsidTr="00117914">
        <w:trPr>
          <w:trHeight w:val="283"/>
        </w:trPr>
        <w:tc>
          <w:tcPr>
            <w:tcW w:w="4682" w:type="dxa"/>
            <w:gridSpan w:val="2"/>
            <w:tcBorders>
              <w:top w:val="nil"/>
            </w:tcBorders>
          </w:tcPr>
          <w:p w14:paraId="5304E696" w14:textId="77777777" w:rsidR="008F364A" w:rsidRDefault="008F364A">
            <w:pPr>
              <w:keepNext/>
            </w:pPr>
          </w:p>
        </w:tc>
        <w:tc>
          <w:tcPr>
            <w:tcW w:w="4680" w:type="dxa"/>
            <w:tcBorders>
              <w:top w:val="single" w:sz="8" w:space="0" w:color="auto"/>
            </w:tcBorders>
          </w:tcPr>
          <w:p w14:paraId="7E0EED1E" w14:textId="2F896050" w:rsidR="008F364A" w:rsidRDefault="005273D9">
            <w:pPr>
              <w:keepNext/>
            </w:pPr>
            <w:r>
              <w:t>SUZANNE GAGNÉ, J.C.A.</w:t>
            </w:r>
          </w:p>
        </w:tc>
      </w:tr>
      <w:tr w:rsidR="008F364A" w14:paraId="0BB14203" w14:textId="77777777" w:rsidTr="00117914">
        <w:trPr>
          <w:trHeight w:val="283"/>
        </w:trPr>
        <w:tc>
          <w:tcPr>
            <w:tcW w:w="4682" w:type="dxa"/>
            <w:gridSpan w:val="2"/>
            <w:tcBorders>
              <w:top w:val="nil"/>
            </w:tcBorders>
          </w:tcPr>
          <w:p w14:paraId="5AA39304" w14:textId="77777777" w:rsidR="008F364A" w:rsidRDefault="008F364A">
            <w:pPr>
              <w:keepNext/>
            </w:pPr>
            <w:bookmarkStart w:id="133" w:name="Signature3"/>
            <w:bookmarkEnd w:id="132"/>
          </w:p>
        </w:tc>
        <w:tc>
          <w:tcPr>
            <w:tcW w:w="4680" w:type="dxa"/>
            <w:tcBorders>
              <w:top w:val="nil"/>
            </w:tcBorders>
          </w:tcPr>
          <w:p w14:paraId="504BEC33" w14:textId="77777777" w:rsidR="008F364A" w:rsidRDefault="008F364A">
            <w:pPr>
              <w:keepNext/>
            </w:pPr>
          </w:p>
        </w:tc>
      </w:tr>
      <w:tr w:rsidR="008F364A" w14:paraId="5A1EC41E" w14:textId="77777777" w:rsidTr="00117914">
        <w:trPr>
          <w:trHeight w:val="283"/>
        </w:trPr>
        <w:tc>
          <w:tcPr>
            <w:tcW w:w="4682" w:type="dxa"/>
            <w:gridSpan w:val="2"/>
            <w:tcBorders>
              <w:top w:val="nil"/>
              <w:bottom w:val="nil"/>
            </w:tcBorders>
          </w:tcPr>
          <w:p w14:paraId="2A3E2CA1" w14:textId="77777777" w:rsidR="008F364A" w:rsidRDefault="008F364A">
            <w:pPr>
              <w:keepNext/>
            </w:pPr>
          </w:p>
        </w:tc>
        <w:tc>
          <w:tcPr>
            <w:tcW w:w="4680" w:type="dxa"/>
            <w:tcBorders>
              <w:top w:val="nil"/>
              <w:bottom w:val="single" w:sz="8" w:space="0" w:color="auto"/>
            </w:tcBorders>
          </w:tcPr>
          <w:p w14:paraId="2E42F787" w14:textId="77777777" w:rsidR="008F364A" w:rsidRDefault="008F364A">
            <w:pPr>
              <w:keepNext/>
            </w:pPr>
          </w:p>
        </w:tc>
      </w:tr>
      <w:tr w:rsidR="008F364A" w14:paraId="14A8AB2F" w14:textId="77777777" w:rsidTr="00117914">
        <w:trPr>
          <w:trHeight w:val="283"/>
        </w:trPr>
        <w:tc>
          <w:tcPr>
            <w:tcW w:w="4682" w:type="dxa"/>
            <w:gridSpan w:val="2"/>
            <w:tcBorders>
              <w:top w:val="nil"/>
            </w:tcBorders>
          </w:tcPr>
          <w:p w14:paraId="69569713" w14:textId="77777777" w:rsidR="008F364A" w:rsidRDefault="008F364A">
            <w:pPr>
              <w:keepNext/>
            </w:pPr>
          </w:p>
        </w:tc>
        <w:tc>
          <w:tcPr>
            <w:tcW w:w="4680" w:type="dxa"/>
            <w:tcBorders>
              <w:top w:val="single" w:sz="8" w:space="0" w:color="auto"/>
            </w:tcBorders>
          </w:tcPr>
          <w:p w14:paraId="39EEAE7C" w14:textId="7CE46511" w:rsidR="008F364A" w:rsidRDefault="005273D9">
            <w:pPr>
              <w:keepNext/>
            </w:pPr>
            <w:r>
              <w:t>LORI RENÉE WEITZMAN, J.C.A.</w:t>
            </w:r>
          </w:p>
        </w:tc>
      </w:tr>
      <w:bookmarkEnd w:id="133"/>
      <w:tr w:rsidR="005A78BF" w14:paraId="337158EC" w14:textId="77777777" w:rsidTr="00E46235">
        <w:tc>
          <w:tcPr>
            <w:tcW w:w="9362" w:type="dxa"/>
            <w:gridSpan w:val="3"/>
            <w:tcBorders>
              <w:bottom w:val="nil"/>
            </w:tcBorders>
          </w:tcPr>
          <w:p w14:paraId="25BBDF46" w14:textId="77777777" w:rsidR="005A78BF" w:rsidRPr="00F82200" w:rsidRDefault="005A78BF" w:rsidP="005A78BF"/>
        </w:tc>
      </w:tr>
      <w:tr w:rsidR="005A78BF" w14:paraId="5B00EC04" w14:textId="77777777" w:rsidTr="00E46235">
        <w:tc>
          <w:tcPr>
            <w:tcW w:w="9362" w:type="dxa"/>
            <w:gridSpan w:val="3"/>
            <w:tcBorders>
              <w:top w:val="nil"/>
            </w:tcBorders>
          </w:tcPr>
          <w:p w14:paraId="2BE785A0" w14:textId="77777777" w:rsidR="005A78BF" w:rsidRDefault="009238E1" w:rsidP="005A78BF">
            <w:pPr>
              <w:pStyle w:val="zSoquijdatNomProcureurDem"/>
            </w:pPr>
            <w:r>
              <w:t>Me Michel Déom</w:t>
            </w:r>
          </w:p>
          <w:p w14:paraId="00874111" w14:textId="77777777" w:rsidR="009238E1" w:rsidRDefault="009238E1" w:rsidP="005A78BF">
            <w:pPr>
              <w:pStyle w:val="zSoquijdatNomProcureurDem"/>
            </w:pPr>
            <w:r>
              <w:t>Me Luc-Vincent Gendron-Bouchard</w:t>
            </w:r>
          </w:p>
          <w:p w14:paraId="1E6D1D12" w14:textId="4333FE2E" w:rsidR="00F32793" w:rsidRPr="00F82200" w:rsidRDefault="00F32793" w:rsidP="005A78BF">
            <w:pPr>
              <w:pStyle w:val="zSoquijdatNomProcureurDem"/>
            </w:pPr>
            <w:r>
              <w:t>Mme Aurélie Fortin, stagiaire en droit</w:t>
            </w:r>
          </w:p>
        </w:tc>
      </w:tr>
      <w:tr w:rsidR="005A78BF" w14:paraId="27019F64" w14:textId="77777777" w:rsidTr="00423DF1">
        <w:tc>
          <w:tcPr>
            <w:tcW w:w="9362" w:type="dxa"/>
            <w:gridSpan w:val="3"/>
          </w:tcPr>
          <w:p w14:paraId="4D6B434C" w14:textId="615E1516" w:rsidR="005A78BF" w:rsidRPr="009238E1" w:rsidRDefault="009238E1" w:rsidP="005A78BF">
            <w:pPr>
              <w:pStyle w:val="zSoquijdatCabinetProcureurDem"/>
              <w:rPr>
                <w:smallCaps/>
                <w:lang w:val="en-CA"/>
              </w:rPr>
            </w:pPr>
            <w:r>
              <w:rPr>
                <w:smallCaps/>
              </w:rPr>
              <w:t>bernard, roy (justice</w:t>
            </w:r>
            <w:r w:rsidR="00BF33E3">
              <w:rPr>
                <w:smallCaps/>
              </w:rPr>
              <w:t xml:space="preserve"> </w:t>
            </w:r>
            <w:r>
              <w:rPr>
                <w:smallCaps/>
              </w:rPr>
              <w:t>-</w:t>
            </w:r>
            <w:r w:rsidR="00BF33E3">
              <w:rPr>
                <w:smallCaps/>
              </w:rPr>
              <w:t xml:space="preserve"> </w:t>
            </w:r>
            <w:r>
              <w:rPr>
                <w:smallCaps/>
              </w:rPr>
              <w:t>québec)</w:t>
            </w:r>
          </w:p>
        </w:tc>
      </w:tr>
      <w:tr w:rsidR="005A78BF" w14:paraId="05A06635" w14:textId="77777777" w:rsidTr="00423DF1">
        <w:tc>
          <w:tcPr>
            <w:tcW w:w="9362" w:type="dxa"/>
            <w:gridSpan w:val="3"/>
          </w:tcPr>
          <w:p w14:paraId="044C7E92" w14:textId="1FFD2D46" w:rsidR="005A78BF" w:rsidRPr="00387233" w:rsidRDefault="009238E1" w:rsidP="005A78BF">
            <w:pPr>
              <w:pStyle w:val="zSoquijlblProcureurDem"/>
            </w:pPr>
            <w:r>
              <w:t>Pour l’appelant</w:t>
            </w:r>
            <w:r w:rsidR="00BF5BD3">
              <w:t xml:space="preserve"> procureur général du Québec</w:t>
            </w:r>
          </w:p>
        </w:tc>
      </w:tr>
      <w:tr w:rsidR="005A78BF" w14:paraId="72F39975" w14:textId="77777777" w:rsidTr="00F5188D">
        <w:tc>
          <w:tcPr>
            <w:tcW w:w="9362" w:type="dxa"/>
            <w:gridSpan w:val="3"/>
            <w:tcBorders>
              <w:bottom w:val="nil"/>
            </w:tcBorders>
          </w:tcPr>
          <w:p w14:paraId="757DB772" w14:textId="77777777" w:rsidR="005A78BF" w:rsidRPr="00387233" w:rsidRDefault="005A78BF" w:rsidP="005A78BF"/>
        </w:tc>
      </w:tr>
      <w:tr w:rsidR="005A78BF" w14:paraId="392F6DF9" w14:textId="77777777" w:rsidTr="00F5188D">
        <w:tc>
          <w:tcPr>
            <w:tcW w:w="9362" w:type="dxa"/>
            <w:gridSpan w:val="3"/>
            <w:tcBorders>
              <w:top w:val="nil"/>
            </w:tcBorders>
          </w:tcPr>
          <w:p w14:paraId="0652FFE3" w14:textId="07245355" w:rsidR="005A78BF" w:rsidRDefault="00D9164F" w:rsidP="005A78BF">
            <w:pPr>
              <w:pStyle w:val="zSoquijdatNomProcureurDef"/>
              <w:rPr>
                <w:lang w:val="en-CA"/>
              </w:rPr>
            </w:pPr>
            <w:r>
              <w:t>Me Mike Siméon</w:t>
            </w:r>
          </w:p>
        </w:tc>
      </w:tr>
      <w:tr w:rsidR="00684248" w:rsidRPr="00684248" w14:paraId="38DD9DA9" w14:textId="77777777" w:rsidTr="00423DF1">
        <w:tc>
          <w:tcPr>
            <w:tcW w:w="9362" w:type="dxa"/>
            <w:gridSpan w:val="3"/>
          </w:tcPr>
          <w:p w14:paraId="3B2FEE81" w14:textId="007314B4" w:rsidR="00684248" w:rsidRPr="00684248" w:rsidRDefault="00684248" w:rsidP="00684248">
            <w:pPr>
              <w:pStyle w:val="zSoquijdatCabinetProcureurDem"/>
              <w:rPr>
                <w:smallCaps/>
              </w:rPr>
            </w:pPr>
            <w:r>
              <w:rPr>
                <w:smallCaps/>
              </w:rPr>
              <w:t>mike siméon, avocat</w:t>
            </w:r>
          </w:p>
        </w:tc>
      </w:tr>
      <w:tr w:rsidR="005A78BF" w14:paraId="5FCD140C" w14:textId="77777777" w:rsidTr="00423DF1">
        <w:tc>
          <w:tcPr>
            <w:tcW w:w="9362" w:type="dxa"/>
            <w:gridSpan w:val="3"/>
          </w:tcPr>
          <w:p w14:paraId="7980DDE2" w14:textId="3F2ADACB" w:rsidR="005A78BF" w:rsidRPr="00387233" w:rsidRDefault="00D9164F" w:rsidP="005A78BF">
            <w:pPr>
              <w:pStyle w:val="zSoquijlblProcureurDef"/>
            </w:pPr>
            <w:r>
              <w:t>Pour l’intimé</w:t>
            </w:r>
            <w:r w:rsidR="00950A4F">
              <w:t xml:space="preserve"> Joseph-Christopher Luamba</w:t>
            </w:r>
          </w:p>
        </w:tc>
      </w:tr>
      <w:tr w:rsidR="00D9164F" w14:paraId="10C87BE4" w14:textId="77777777" w:rsidTr="00423DF1">
        <w:tc>
          <w:tcPr>
            <w:tcW w:w="9362" w:type="dxa"/>
            <w:gridSpan w:val="3"/>
          </w:tcPr>
          <w:p w14:paraId="27D42627" w14:textId="77777777" w:rsidR="00D9164F" w:rsidRPr="00387233" w:rsidRDefault="00D9164F" w:rsidP="005A78BF"/>
        </w:tc>
      </w:tr>
      <w:tr w:rsidR="00A24AB4" w:rsidRPr="00D9164F" w14:paraId="3DCABEDB" w14:textId="77777777" w:rsidTr="00423DF1">
        <w:tc>
          <w:tcPr>
            <w:tcW w:w="9362" w:type="dxa"/>
            <w:gridSpan w:val="3"/>
          </w:tcPr>
          <w:p w14:paraId="6853ED6E" w14:textId="5FCBD491" w:rsidR="00A24AB4" w:rsidRPr="000554CC" w:rsidRDefault="00A24AB4" w:rsidP="00A24AB4">
            <w:pPr>
              <w:pStyle w:val="zSoquijdatNomProcureurDef"/>
            </w:pPr>
            <w:r w:rsidRPr="000554CC">
              <w:t>Me Bruce Johnston</w:t>
            </w:r>
          </w:p>
          <w:p w14:paraId="76C87F0E" w14:textId="77777777" w:rsidR="00A24AB4" w:rsidRPr="000554CC" w:rsidRDefault="00A24AB4" w:rsidP="00A24AB4">
            <w:pPr>
              <w:pStyle w:val="zSoquijdatNomProcureurDef"/>
            </w:pPr>
            <w:r w:rsidRPr="000554CC">
              <w:t>Me Lex Gill</w:t>
            </w:r>
          </w:p>
          <w:p w14:paraId="510EBF39" w14:textId="04BF4416" w:rsidR="00A24AB4" w:rsidRPr="00D9164F" w:rsidRDefault="00A24AB4" w:rsidP="00A24AB4">
            <w:pPr>
              <w:pStyle w:val="zSoquijdatNomProcureurDef"/>
            </w:pPr>
            <w:r w:rsidRPr="000554CC">
              <w:t>Me Louis-Alexandre Hébert-Gosselin</w:t>
            </w:r>
          </w:p>
        </w:tc>
      </w:tr>
      <w:tr w:rsidR="00A24AB4" w:rsidRPr="00D9164F" w14:paraId="1FCAFB34" w14:textId="77777777" w:rsidTr="00423DF1">
        <w:tc>
          <w:tcPr>
            <w:tcW w:w="9362" w:type="dxa"/>
            <w:gridSpan w:val="3"/>
          </w:tcPr>
          <w:p w14:paraId="07DC0C27" w14:textId="38A3A72E" w:rsidR="00A24AB4" w:rsidRPr="00D9164F" w:rsidRDefault="00A24AB4" w:rsidP="00A24AB4">
            <w:pPr>
              <w:pStyle w:val="zSoquijdatNomProcureurDef"/>
            </w:pPr>
            <w:r w:rsidRPr="000554CC">
              <w:rPr>
                <w:smallCaps/>
              </w:rPr>
              <w:t xml:space="preserve">trudel johnston </w:t>
            </w:r>
            <w:r w:rsidRPr="000554CC">
              <w:rPr>
                <w:smallCaps/>
                <w:sz w:val="20"/>
              </w:rPr>
              <w:t xml:space="preserve">&amp; </w:t>
            </w:r>
            <w:r w:rsidRPr="000554CC">
              <w:rPr>
                <w:smallCaps/>
              </w:rPr>
              <w:t xml:space="preserve">lespérance </w:t>
            </w:r>
          </w:p>
        </w:tc>
      </w:tr>
      <w:tr w:rsidR="00A24AB4" w:rsidRPr="00D9164F" w14:paraId="3B91A66A" w14:textId="77777777" w:rsidTr="00423DF1">
        <w:tc>
          <w:tcPr>
            <w:tcW w:w="9362" w:type="dxa"/>
            <w:gridSpan w:val="3"/>
          </w:tcPr>
          <w:p w14:paraId="36D24444" w14:textId="6B6DB876" w:rsidR="00A24AB4" w:rsidRPr="00D9164F" w:rsidRDefault="00A24AB4" w:rsidP="00A24AB4">
            <w:pPr>
              <w:pStyle w:val="zSoquijdatNomProcureurDef"/>
            </w:pPr>
            <w:r w:rsidRPr="000554CC">
              <w:t>Pour l</w:t>
            </w:r>
            <w:r>
              <w:t>’intimée</w:t>
            </w:r>
            <w:r w:rsidR="00E73B4F">
              <w:t xml:space="preserve"> Association canadienne des libertés civiles</w:t>
            </w:r>
          </w:p>
        </w:tc>
      </w:tr>
      <w:tr w:rsidR="00A24AB4" w:rsidRPr="00D9164F" w14:paraId="6D18A6C2" w14:textId="77777777" w:rsidTr="00423DF1">
        <w:tc>
          <w:tcPr>
            <w:tcW w:w="9362" w:type="dxa"/>
            <w:gridSpan w:val="3"/>
          </w:tcPr>
          <w:p w14:paraId="4D7A6F9D" w14:textId="77777777" w:rsidR="00A24AB4" w:rsidRPr="00D9164F" w:rsidRDefault="00A24AB4" w:rsidP="00A24AB4">
            <w:pPr>
              <w:pStyle w:val="zSoquijdatNomProcureurDef"/>
            </w:pPr>
          </w:p>
        </w:tc>
      </w:tr>
      <w:tr w:rsidR="00A24AB4" w:rsidRPr="00D9164F" w14:paraId="641FC875" w14:textId="77777777" w:rsidTr="00423DF1">
        <w:tc>
          <w:tcPr>
            <w:tcW w:w="9362" w:type="dxa"/>
            <w:gridSpan w:val="3"/>
          </w:tcPr>
          <w:p w14:paraId="5848D1A0" w14:textId="03EDF900" w:rsidR="00A24AB4" w:rsidRPr="00D9164F" w:rsidRDefault="00A24AB4" w:rsidP="00A24AB4">
            <w:pPr>
              <w:pStyle w:val="zSoquijdatNomProcureurDef"/>
            </w:pPr>
            <w:r w:rsidRPr="00D9164F">
              <w:t xml:space="preserve">Me </w:t>
            </w:r>
            <w:r>
              <w:t>Joshua Wilner</w:t>
            </w:r>
          </w:p>
          <w:p w14:paraId="70FA3329" w14:textId="77777777" w:rsidR="00A24AB4" w:rsidRDefault="00A24AB4" w:rsidP="00A24AB4">
            <w:pPr>
              <w:pStyle w:val="zSoquijdatNomProcureurDef"/>
            </w:pPr>
            <w:r w:rsidRPr="00D9164F">
              <w:t xml:space="preserve">Me </w:t>
            </w:r>
            <w:r>
              <w:t>Claude Joyal</w:t>
            </w:r>
          </w:p>
          <w:p w14:paraId="76458582" w14:textId="2848EACF" w:rsidR="00A24AB4" w:rsidRPr="00D9164F" w:rsidRDefault="00A24AB4" w:rsidP="00A24AB4">
            <w:pPr>
              <w:pStyle w:val="zSoquijdatNomProcureurDef"/>
            </w:pPr>
            <w:r>
              <w:t>Me Rym Laoufi</w:t>
            </w:r>
          </w:p>
        </w:tc>
      </w:tr>
      <w:tr w:rsidR="00A24AB4" w:rsidRPr="00D9164F" w14:paraId="443D18C7" w14:textId="77777777" w:rsidTr="00423DF1">
        <w:tc>
          <w:tcPr>
            <w:tcW w:w="9362" w:type="dxa"/>
            <w:gridSpan w:val="3"/>
          </w:tcPr>
          <w:p w14:paraId="325A10A3" w14:textId="32F5A1B3" w:rsidR="00A24AB4" w:rsidRPr="00D9164F" w:rsidRDefault="00A24AB4" w:rsidP="00A24AB4">
            <w:pPr>
              <w:pStyle w:val="zSoquijdatCabinetProcureurDef"/>
              <w:rPr>
                <w:smallCaps/>
              </w:rPr>
            </w:pPr>
            <w:r w:rsidRPr="00D9164F">
              <w:rPr>
                <w:smallCaps/>
              </w:rPr>
              <w:t>ministère de la justice canada</w:t>
            </w:r>
          </w:p>
        </w:tc>
      </w:tr>
      <w:tr w:rsidR="00A24AB4" w:rsidRPr="00D9164F" w14:paraId="65968059" w14:textId="77777777" w:rsidTr="00423DF1">
        <w:tc>
          <w:tcPr>
            <w:tcW w:w="9362" w:type="dxa"/>
            <w:gridSpan w:val="3"/>
          </w:tcPr>
          <w:p w14:paraId="76EC62C8" w14:textId="2ABBE0E3" w:rsidR="00A24AB4" w:rsidRPr="00D9164F" w:rsidRDefault="00A24AB4" w:rsidP="00A24AB4">
            <w:pPr>
              <w:pStyle w:val="zSoquijlblProcureurDef"/>
            </w:pPr>
            <w:r w:rsidRPr="00D9164F">
              <w:t xml:space="preserve">Pour le </w:t>
            </w:r>
            <w:r>
              <w:t xml:space="preserve">mis en cause </w:t>
            </w:r>
            <w:r w:rsidRPr="00D9164F">
              <w:t xml:space="preserve">procureur général du </w:t>
            </w:r>
            <w:r>
              <w:t>Canada</w:t>
            </w:r>
          </w:p>
        </w:tc>
      </w:tr>
      <w:tr w:rsidR="00A24AB4" w14:paraId="615EF134" w14:textId="77777777" w:rsidTr="00423DF1">
        <w:tc>
          <w:tcPr>
            <w:tcW w:w="9362" w:type="dxa"/>
            <w:gridSpan w:val="3"/>
          </w:tcPr>
          <w:p w14:paraId="1C5E1BD8" w14:textId="77777777" w:rsidR="00A24AB4" w:rsidRPr="00F82200" w:rsidRDefault="00A24AB4" w:rsidP="00A24AB4"/>
        </w:tc>
      </w:tr>
      <w:tr w:rsidR="00A24AB4" w:rsidRPr="000554CC" w14:paraId="5DA39727" w14:textId="77777777" w:rsidTr="00423DF1">
        <w:tc>
          <w:tcPr>
            <w:tcW w:w="9362" w:type="dxa"/>
            <w:gridSpan w:val="3"/>
          </w:tcPr>
          <w:p w14:paraId="5A74BDDA" w14:textId="7C417D8D" w:rsidR="00A24AB4" w:rsidRPr="000554CC" w:rsidRDefault="00A24AB4" w:rsidP="00A24AB4">
            <w:pPr>
              <w:pStyle w:val="zSoquijdatNomProcureurDef"/>
            </w:pPr>
            <w:r w:rsidRPr="000554CC">
              <w:t>Me Karine Joizil</w:t>
            </w:r>
          </w:p>
          <w:p w14:paraId="066C2DC4" w14:textId="77777777" w:rsidR="00A24AB4" w:rsidRPr="000554CC" w:rsidRDefault="00A24AB4" w:rsidP="00A24AB4">
            <w:pPr>
              <w:pStyle w:val="zSoquijdatNomProcureurDef"/>
            </w:pPr>
            <w:r w:rsidRPr="000554CC">
              <w:t>Me Bianca Annie Marcelin</w:t>
            </w:r>
          </w:p>
          <w:p w14:paraId="12583986" w14:textId="34B856ED" w:rsidR="00A24AB4" w:rsidRPr="000554CC" w:rsidRDefault="00A24AB4" w:rsidP="00A24AB4">
            <w:pPr>
              <w:pStyle w:val="zSoquijdatNomProcureurDef"/>
            </w:pPr>
            <w:r w:rsidRPr="000554CC">
              <w:t>Me Sajeda Hed</w:t>
            </w:r>
            <w:r>
              <w:t>a</w:t>
            </w:r>
            <w:r w:rsidRPr="000554CC">
              <w:t>raly</w:t>
            </w:r>
          </w:p>
        </w:tc>
      </w:tr>
      <w:tr w:rsidR="00A24AB4" w:rsidRPr="000554CC" w14:paraId="30E1E157" w14:textId="77777777" w:rsidTr="00423DF1">
        <w:tc>
          <w:tcPr>
            <w:tcW w:w="9362" w:type="dxa"/>
            <w:gridSpan w:val="3"/>
          </w:tcPr>
          <w:p w14:paraId="67EAAC53" w14:textId="00F3361C" w:rsidR="00A24AB4" w:rsidRPr="000554CC" w:rsidRDefault="00A24AB4" w:rsidP="00A24AB4">
            <w:pPr>
              <w:pStyle w:val="zSoquijdatCabinetProcureurDef"/>
              <w:rPr>
                <w:smallCaps/>
              </w:rPr>
            </w:pPr>
            <w:r w:rsidRPr="000554CC">
              <w:rPr>
                <w:smallCaps/>
              </w:rPr>
              <w:t>m</w:t>
            </w:r>
            <w:r w:rsidRPr="00282E92">
              <w:t>c</w:t>
            </w:r>
            <w:r w:rsidRPr="000554CC">
              <w:rPr>
                <w:smallCaps/>
              </w:rPr>
              <w:t>carthy tétrault</w:t>
            </w:r>
          </w:p>
        </w:tc>
      </w:tr>
      <w:tr w:rsidR="00A24AB4" w:rsidRPr="000554CC" w14:paraId="4F2C8165" w14:textId="77777777" w:rsidTr="00A828C9">
        <w:tc>
          <w:tcPr>
            <w:tcW w:w="9362" w:type="dxa"/>
            <w:gridSpan w:val="3"/>
            <w:tcBorders>
              <w:bottom w:val="nil"/>
            </w:tcBorders>
          </w:tcPr>
          <w:p w14:paraId="648EA3BD" w14:textId="5939E7BC" w:rsidR="00A24AB4" w:rsidRPr="000554CC" w:rsidRDefault="00A24AB4" w:rsidP="00A24AB4">
            <w:pPr>
              <w:pStyle w:val="zSoquijlblProcureurDef"/>
            </w:pPr>
            <w:r w:rsidRPr="000554CC">
              <w:t>Pour la mise en cause Canadian Association of Black Lawyers</w:t>
            </w:r>
          </w:p>
        </w:tc>
      </w:tr>
      <w:tr w:rsidR="00A24AB4" w:rsidRPr="000554CC" w14:paraId="159F612F" w14:textId="77777777" w:rsidTr="00A828C9">
        <w:tc>
          <w:tcPr>
            <w:tcW w:w="9362" w:type="dxa"/>
            <w:gridSpan w:val="3"/>
            <w:tcBorders>
              <w:top w:val="nil"/>
              <w:bottom w:val="nil"/>
            </w:tcBorders>
          </w:tcPr>
          <w:p w14:paraId="021909F3" w14:textId="77777777" w:rsidR="00A24AB4" w:rsidRPr="000554CC" w:rsidRDefault="00A24AB4" w:rsidP="00A24AB4"/>
        </w:tc>
      </w:tr>
      <w:tr w:rsidR="00A24AB4" w:rsidRPr="000554CC" w14:paraId="7BB9F40E" w14:textId="77777777" w:rsidTr="0061658E">
        <w:tc>
          <w:tcPr>
            <w:tcW w:w="9362" w:type="dxa"/>
            <w:gridSpan w:val="3"/>
            <w:tcBorders>
              <w:top w:val="nil"/>
            </w:tcBorders>
          </w:tcPr>
          <w:p w14:paraId="113C0DCE" w14:textId="77777777" w:rsidR="00A24AB4" w:rsidRDefault="00A24AB4" w:rsidP="00A24AB4">
            <w:pPr>
              <w:pStyle w:val="zSoquijdatNomProcureurDef"/>
            </w:pPr>
            <w:r w:rsidRPr="000554CC">
              <w:t>Me Ivan da Fonseca</w:t>
            </w:r>
          </w:p>
          <w:p w14:paraId="190F5198" w14:textId="0E7B3E42" w:rsidR="00A24AB4" w:rsidRPr="000554CC" w:rsidRDefault="00A24AB4" w:rsidP="00A24AB4">
            <w:pPr>
              <w:pStyle w:val="zSoquijdatNomProcureurDef"/>
            </w:pPr>
            <w:r>
              <w:t>Me Claire K.A. Peacock</w:t>
            </w:r>
          </w:p>
        </w:tc>
      </w:tr>
      <w:tr w:rsidR="00A24AB4" w:rsidRPr="000554CC" w14:paraId="260A21AB" w14:textId="77777777" w:rsidTr="00423DF1">
        <w:tc>
          <w:tcPr>
            <w:tcW w:w="9362" w:type="dxa"/>
            <w:gridSpan w:val="3"/>
          </w:tcPr>
          <w:p w14:paraId="27D4B400" w14:textId="692BF457" w:rsidR="00A24AB4" w:rsidRPr="000554CC" w:rsidRDefault="00A24AB4" w:rsidP="00A24AB4">
            <w:pPr>
              <w:pStyle w:val="zSoquijdatCabinetProcureurDef"/>
              <w:rPr>
                <w:smallCaps/>
              </w:rPr>
            </w:pPr>
            <w:r>
              <w:rPr>
                <w:smallCaps/>
              </w:rPr>
              <w:t>delegatus services juridiques</w:t>
            </w:r>
          </w:p>
        </w:tc>
      </w:tr>
      <w:tr w:rsidR="00A24AB4" w:rsidRPr="000554CC" w14:paraId="22844ECC" w14:textId="77777777" w:rsidTr="000554CC">
        <w:tc>
          <w:tcPr>
            <w:tcW w:w="9362" w:type="dxa"/>
            <w:gridSpan w:val="3"/>
            <w:tcBorders>
              <w:bottom w:val="nil"/>
            </w:tcBorders>
          </w:tcPr>
          <w:p w14:paraId="6DBA6367" w14:textId="51E503B6" w:rsidR="00A24AB4" w:rsidRPr="000554CC" w:rsidRDefault="00A24AB4" w:rsidP="00A24AB4">
            <w:pPr>
              <w:pStyle w:val="zSoquijlblProcureurDef"/>
            </w:pPr>
            <w:r w:rsidRPr="000554CC">
              <w:t xml:space="preserve">Pour </w:t>
            </w:r>
            <w:r>
              <w:t>l’intervenante</w:t>
            </w:r>
            <w:r w:rsidRPr="000554CC">
              <w:t xml:space="preserve"> British Columbia Civil Liberties Association</w:t>
            </w:r>
          </w:p>
        </w:tc>
      </w:tr>
      <w:tr w:rsidR="00A24AB4" w:rsidRPr="000554CC" w14:paraId="62CEE53C" w14:textId="77777777" w:rsidTr="000554CC">
        <w:tc>
          <w:tcPr>
            <w:tcW w:w="9362" w:type="dxa"/>
            <w:gridSpan w:val="3"/>
            <w:tcBorders>
              <w:top w:val="nil"/>
            </w:tcBorders>
          </w:tcPr>
          <w:p w14:paraId="0F26E940" w14:textId="77777777" w:rsidR="00A24AB4" w:rsidRPr="000554CC" w:rsidRDefault="00A24AB4" w:rsidP="00A24AB4"/>
        </w:tc>
      </w:tr>
      <w:tr w:rsidR="00A24AB4" w:rsidRPr="000554CC" w14:paraId="608F2F38" w14:textId="77777777" w:rsidTr="00423DF1">
        <w:tc>
          <w:tcPr>
            <w:tcW w:w="9362" w:type="dxa"/>
            <w:gridSpan w:val="3"/>
          </w:tcPr>
          <w:p w14:paraId="363D1659" w14:textId="05FB47A9" w:rsidR="00A24AB4" w:rsidRPr="000554CC" w:rsidRDefault="00A24AB4" w:rsidP="00A24AB4">
            <w:pPr>
              <w:pStyle w:val="zSoquijdatNomProcureurDef"/>
            </w:pPr>
            <w:r w:rsidRPr="000554CC">
              <w:t>Me Fernando Belton</w:t>
            </w:r>
          </w:p>
        </w:tc>
      </w:tr>
      <w:tr w:rsidR="00A24AB4" w:rsidRPr="000554CC" w14:paraId="320413E4" w14:textId="77777777" w:rsidTr="00423DF1">
        <w:tc>
          <w:tcPr>
            <w:tcW w:w="9362" w:type="dxa"/>
            <w:gridSpan w:val="3"/>
          </w:tcPr>
          <w:p w14:paraId="70135DD8" w14:textId="1D80BE0D" w:rsidR="00A24AB4" w:rsidRPr="000554CC" w:rsidRDefault="00A24AB4" w:rsidP="00A24AB4">
            <w:pPr>
              <w:pStyle w:val="zSoquijdatCabinetProcureurDef"/>
              <w:rPr>
                <w:smallCaps/>
              </w:rPr>
            </w:pPr>
            <w:r w:rsidRPr="000554CC">
              <w:rPr>
                <w:smallCaps/>
              </w:rPr>
              <w:t>belton avocats</w:t>
            </w:r>
          </w:p>
        </w:tc>
      </w:tr>
      <w:tr w:rsidR="00A24AB4" w:rsidRPr="000554CC" w14:paraId="4EF30643" w14:textId="77777777" w:rsidTr="00423DF1">
        <w:tc>
          <w:tcPr>
            <w:tcW w:w="9362" w:type="dxa"/>
            <w:gridSpan w:val="3"/>
          </w:tcPr>
          <w:p w14:paraId="170C53AE" w14:textId="33A0C6F6" w:rsidR="00A24AB4" w:rsidRPr="000554CC" w:rsidRDefault="00A24AB4" w:rsidP="00A24AB4">
            <w:pPr>
              <w:pStyle w:val="zSoquijdatNomProcureurDef"/>
            </w:pPr>
            <w:r w:rsidRPr="000554CC">
              <w:t>Me Sarah Warda</w:t>
            </w:r>
            <w:r>
              <w:t xml:space="preserve"> El Alaoui</w:t>
            </w:r>
          </w:p>
        </w:tc>
      </w:tr>
      <w:tr w:rsidR="00A24AB4" w:rsidRPr="000554CC" w14:paraId="075B9984" w14:textId="77777777" w:rsidTr="00423DF1">
        <w:tc>
          <w:tcPr>
            <w:tcW w:w="9362" w:type="dxa"/>
            <w:gridSpan w:val="3"/>
          </w:tcPr>
          <w:p w14:paraId="27371634" w14:textId="2E0F96A8" w:rsidR="00A24AB4" w:rsidRPr="000554CC" w:rsidRDefault="00A24AB4" w:rsidP="00A24AB4">
            <w:pPr>
              <w:pStyle w:val="zSoquijdatCabinetProcureurDef"/>
              <w:rPr>
                <w:smallCaps/>
              </w:rPr>
            </w:pPr>
            <w:r w:rsidRPr="000554CC">
              <w:rPr>
                <w:smallCaps/>
              </w:rPr>
              <w:t>lafortune cadieux</w:t>
            </w:r>
          </w:p>
        </w:tc>
      </w:tr>
      <w:tr w:rsidR="00A24AB4" w:rsidRPr="000554CC" w14:paraId="691B5BA7" w14:textId="77777777" w:rsidTr="00423DF1">
        <w:tc>
          <w:tcPr>
            <w:tcW w:w="9362" w:type="dxa"/>
            <w:gridSpan w:val="3"/>
          </w:tcPr>
          <w:p w14:paraId="617BE55F" w14:textId="4EA0D3DE" w:rsidR="00A24AB4" w:rsidRPr="000554CC" w:rsidRDefault="00A24AB4" w:rsidP="00A24AB4">
            <w:pPr>
              <w:pStyle w:val="zSoquijlblProcureurDef"/>
            </w:pPr>
            <w:r w:rsidRPr="000554CC">
              <w:t xml:space="preserve">Pour </w:t>
            </w:r>
            <w:r>
              <w:t>l’intervenante</w:t>
            </w:r>
            <w:r w:rsidRPr="000554CC">
              <w:t xml:space="preserve"> Clinique juridique de Saint-Michel</w:t>
            </w:r>
          </w:p>
        </w:tc>
      </w:tr>
      <w:tr w:rsidR="00A24AB4" w:rsidRPr="000554CC" w14:paraId="5F69B4C1" w14:textId="77777777" w:rsidTr="00423DF1">
        <w:tc>
          <w:tcPr>
            <w:tcW w:w="9362" w:type="dxa"/>
            <w:gridSpan w:val="3"/>
          </w:tcPr>
          <w:p w14:paraId="1E95444B" w14:textId="77777777" w:rsidR="00A24AB4" w:rsidRPr="000554CC" w:rsidRDefault="00A24AB4" w:rsidP="00A24AB4"/>
        </w:tc>
      </w:tr>
      <w:tr w:rsidR="00A24AB4" w:rsidRPr="000554CC" w14:paraId="7046FBBA" w14:textId="77777777" w:rsidTr="00423DF1">
        <w:tc>
          <w:tcPr>
            <w:tcW w:w="9362" w:type="dxa"/>
            <w:gridSpan w:val="3"/>
          </w:tcPr>
          <w:p w14:paraId="6F2D11F4" w14:textId="4A3D3BB7" w:rsidR="00A24AB4" w:rsidRPr="000554CC" w:rsidRDefault="00A24AB4" w:rsidP="00A24AB4">
            <w:pPr>
              <w:pStyle w:val="zSoquijdatNomProcureurDef"/>
            </w:pPr>
            <w:r w:rsidRPr="000554CC">
              <w:t>Me Christine Campbell</w:t>
            </w:r>
          </w:p>
          <w:p w14:paraId="75484333" w14:textId="7BCEDE90" w:rsidR="00A24AB4" w:rsidRPr="000554CC" w:rsidRDefault="00A24AB4" w:rsidP="00A24AB4">
            <w:pPr>
              <w:pStyle w:val="zSoquijdatNomProcureurDef"/>
            </w:pPr>
            <w:r w:rsidRPr="000554CC">
              <w:t>Me Emma Tardieu</w:t>
            </w:r>
          </w:p>
        </w:tc>
      </w:tr>
      <w:tr w:rsidR="00A24AB4" w:rsidRPr="000554CC" w14:paraId="5CF121A4" w14:textId="77777777" w:rsidTr="00423DF1">
        <w:tc>
          <w:tcPr>
            <w:tcW w:w="9362" w:type="dxa"/>
            <w:gridSpan w:val="3"/>
          </w:tcPr>
          <w:p w14:paraId="6E3406AE" w14:textId="716AC8F2" w:rsidR="00A24AB4" w:rsidRPr="000554CC" w:rsidRDefault="00A24AB4" w:rsidP="00A24AB4">
            <w:pPr>
              <w:pStyle w:val="zSoquijdatCabinetProcureurDef"/>
              <w:rPr>
                <w:smallCaps/>
              </w:rPr>
            </w:pPr>
            <w:r w:rsidRPr="000554CC">
              <w:rPr>
                <w:smallCaps/>
              </w:rPr>
              <w:t>bitzakidis clément-major fournier</w:t>
            </w:r>
          </w:p>
        </w:tc>
      </w:tr>
      <w:tr w:rsidR="00A24AB4" w:rsidRPr="000554CC" w14:paraId="2805A955" w14:textId="77777777" w:rsidTr="00423DF1">
        <w:tc>
          <w:tcPr>
            <w:tcW w:w="9362" w:type="dxa"/>
            <w:gridSpan w:val="3"/>
          </w:tcPr>
          <w:p w14:paraId="29A48817" w14:textId="5C3B1148" w:rsidR="00A24AB4" w:rsidRPr="000554CC" w:rsidRDefault="00A24AB4" w:rsidP="00A24AB4">
            <w:pPr>
              <w:pStyle w:val="zSoquijlblProcureurDef"/>
            </w:pPr>
            <w:r w:rsidRPr="000554CC">
              <w:t xml:space="preserve">Pour </w:t>
            </w:r>
            <w:r>
              <w:t>l’intervenante</w:t>
            </w:r>
            <w:r w:rsidRPr="000554CC">
              <w:t xml:space="preserve"> Commission des droits de la personne et </w:t>
            </w:r>
            <w:r w:rsidR="004E2BD0">
              <w:t xml:space="preserve">des droits </w:t>
            </w:r>
            <w:r w:rsidRPr="000554CC">
              <w:t>de la jeunesse</w:t>
            </w:r>
          </w:p>
        </w:tc>
      </w:tr>
      <w:tr w:rsidR="00A24AB4" w14:paraId="287470F5" w14:textId="77777777" w:rsidTr="00BF33E3">
        <w:tc>
          <w:tcPr>
            <w:tcW w:w="9362" w:type="dxa"/>
            <w:gridSpan w:val="3"/>
            <w:tcBorders>
              <w:bottom w:val="nil"/>
            </w:tcBorders>
          </w:tcPr>
          <w:p w14:paraId="5986EE65" w14:textId="77777777" w:rsidR="00A24AB4" w:rsidRPr="00F82200" w:rsidRDefault="00A24AB4" w:rsidP="00A24AB4"/>
        </w:tc>
      </w:tr>
      <w:tr w:rsidR="00A24AB4" w14:paraId="1AC32400" w14:textId="77777777" w:rsidTr="00BF33E3">
        <w:tc>
          <w:tcPr>
            <w:tcW w:w="1997" w:type="dxa"/>
            <w:tcBorders>
              <w:top w:val="nil"/>
            </w:tcBorders>
          </w:tcPr>
          <w:p w14:paraId="161E3FCC" w14:textId="7FD59275" w:rsidR="00A24AB4" w:rsidRDefault="00A24AB4" w:rsidP="00A24AB4">
            <w:pPr>
              <w:pStyle w:val="zSoquijlblDateAudience"/>
            </w:pPr>
            <w:r>
              <w:t>Dates d’audience :</w:t>
            </w:r>
          </w:p>
        </w:tc>
        <w:tc>
          <w:tcPr>
            <w:tcW w:w="7365" w:type="dxa"/>
            <w:gridSpan w:val="2"/>
            <w:tcBorders>
              <w:top w:val="nil"/>
            </w:tcBorders>
          </w:tcPr>
          <w:p w14:paraId="218231F4" w14:textId="3F609BEC" w:rsidR="00A24AB4" w:rsidRDefault="00A24AB4" w:rsidP="00A24AB4">
            <w:pPr>
              <w:pStyle w:val="zSoquijdatDateAudience"/>
            </w:pPr>
            <w:r>
              <w:t xml:space="preserve"> 5 et 6 mars 2024</w:t>
            </w:r>
          </w:p>
        </w:tc>
      </w:tr>
      <w:bookmarkEnd w:id="8"/>
    </w:tbl>
    <w:p w14:paraId="4B48DCFB" w14:textId="77777777" w:rsidR="00740A17" w:rsidRDefault="00740A17" w:rsidP="009238E1"/>
    <w:sectPr w:rsidR="00740A17" w:rsidSect="00D757DC">
      <w:pgSz w:w="12242" w:h="15842" w:code="1"/>
      <w:pgMar w:top="1440" w:right="1008" w:bottom="1440" w:left="1872" w:header="1440" w:footer="792" w:gutter="0"/>
      <w:paperSrc w:first="4" w:other="4"/>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E36D" w14:textId="77777777" w:rsidR="000817A6" w:rsidRDefault="000817A6">
      <w:r>
        <w:separator/>
      </w:r>
    </w:p>
  </w:endnote>
  <w:endnote w:type="continuationSeparator" w:id="0">
    <w:p w14:paraId="0B170FBC" w14:textId="77777777" w:rsidR="000817A6" w:rsidRDefault="0008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97F6" w14:textId="77777777" w:rsidR="00077E95" w:rsidRDefault="00077E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21FE" w14:textId="77777777" w:rsidR="00077E95" w:rsidRDefault="00077E9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0116" w14:textId="77777777" w:rsidR="00077E95" w:rsidRDefault="00077E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25E6" w14:textId="77777777" w:rsidR="000817A6" w:rsidRDefault="000817A6">
      <w:r>
        <w:separator/>
      </w:r>
    </w:p>
  </w:footnote>
  <w:footnote w:type="continuationSeparator" w:id="0">
    <w:p w14:paraId="6AED0BE7" w14:textId="77777777" w:rsidR="000817A6" w:rsidRDefault="000817A6">
      <w:r>
        <w:continuationSeparator/>
      </w:r>
    </w:p>
  </w:footnote>
  <w:footnote w:id="1">
    <w:p w14:paraId="35F58CC1" w14:textId="4179D905" w:rsidR="005A1C52" w:rsidRPr="00504F98" w:rsidRDefault="005A1C52" w:rsidP="005A1C52">
      <w:pPr>
        <w:pStyle w:val="Notedebasdepage"/>
      </w:pPr>
      <w:r w:rsidRPr="00504F98">
        <w:rPr>
          <w:rStyle w:val="Appelnotedebasdep"/>
        </w:rPr>
        <w:footnoteRef/>
      </w:r>
      <w:r w:rsidRPr="00504F98">
        <w:t xml:space="preserve"> </w:t>
      </w:r>
      <w:r w:rsidRPr="00504F98">
        <w:tab/>
      </w:r>
      <w:r w:rsidRPr="00504F98">
        <w:rPr>
          <w:i/>
          <w:iCs/>
        </w:rPr>
        <w:t>R. c. Ladouceur</w:t>
      </w:r>
      <w:r w:rsidRPr="00504F98">
        <w:t xml:space="preserve">, </w:t>
      </w:r>
      <w:r w:rsidR="00FD5FE7" w:rsidRPr="00504F98">
        <w:rPr>
          <w:rFonts w:cs="Arial"/>
        </w:rPr>
        <w:t>[1990] 1 R.C.S. 1257</w:t>
      </w:r>
      <w:r w:rsidRPr="00504F98">
        <w:rPr>
          <w:rFonts w:cs="Arial"/>
        </w:rPr>
        <w:t xml:space="preserve"> </w:t>
      </w:r>
      <w:r w:rsidR="001821CE">
        <w:rPr>
          <w:rFonts w:cs="Arial"/>
        </w:rPr>
        <w:t>(</w:t>
      </w:r>
      <w:r w:rsidRPr="00504F98">
        <w:rPr>
          <w:rFonts w:cs="Arial"/>
          <w:i/>
          <w:iCs/>
        </w:rPr>
        <w:t>Ladouceur</w:t>
      </w:r>
      <w:r w:rsidR="001821CE">
        <w:rPr>
          <w:rFonts w:cs="Arial"/>
        </w:rPr>
        <w:t>)</w:t>
      </w:r>
      <w:r w:rsidRPr="00504F98">
        <w:rPr>
          <w:rFonts w:cs="Arial"/>
        </w:rPr>
        <w:t>.</w:t>
      </w:r>
    </w:p>
  </w:footnote>
  <w:footnote w:id="2">
    <w:p w14:paraId="2825864E" w14:textId="76A745A7" w:rsidR="005A1C52" w:rsidRPr="00504F98" w:rsidRDefault="005A1C52" w:rsidP="005A1C52">
      <w:pPr>
        <w:pStyle w:val="Notedebasdepage"/>
      </w:pPr>
      <w:r w:rsidRPr="00504F98">
        <w:rPr>
          <w:rStyle w:val="Appelnotedebasdep"/>
        </w:rPr>
        <w:footnoteRef/>
      </w:r>
      <w:r w:rsidRPr="00504F98">
        <w:t xml:space="preserve"> </w:t>
      </w:r>
      <w:r w:rsidRPr="00504F98">
        <w:tab/>
      </w:r>
      <w:r w:rsidR="00CA2189" w:rsidRPr="00C87EC1">
        <w:rPr>
          <w:i/>
          <w:iCs/>
        </w:rPr>
        <w:t>Code de la sécurité routière</w:t>
      </w:r>
      <w:r w:rsidR="00CA2189">
        <w:rPr>
          <w:i/>
          <w:iCs/>
        </w:rPr>
        <w:t>,</w:t>
      </w:r>
      <w:r w:rsidR="00CA2189" w:rsidRPr="00504F98">
        <w:t xml:space="preserve"> </w:t>
      </w:r>
      <w:r w:rsidRPr="00504F98">
        <w:t xml:space="preserve">RLRQ, c. C-24.2 </w:t>
      </w:r>
      <w:r w:rsidR="001821CE">
        <w:t>(</w:t>
      </w:r>
      <w:r w:rsidRPr="00504F98">
        <w:rPr>
          <w:i/>
          <w:iCs/>
        </w:rPr>
        <w:t>C.s.r</w:t>
      </w:r>
      <w:r w:rsidRPr="00504F98">
        <w:t>.</w:t>
      </w:r>
      <w:r w:rsidR="001821CE">
        <w:t>)</w:t>
      </w:r>
      <w:r w:rsidRPr="00504F98">
        <w:t>.</w:t>
      </w:r>
    </w:p>
  </w:footnote>
  <w:footnote w:id="3">
    <w:p w14:paraId="429E2F09" w14:textId="6EC1B386" w:rsidR="005A1C52" w:rsidRPr="00646D00" w:rsidRDefault="005A1C52" w:rsidP="005A1C52">
      <w:pPr>
        <w:pStyle w:val="Notedebasdepage"/>
      </w:pPr>
      <w:r w:rsidRPr="00504F98">
        <w:rPr>
          <w:rStyle w:val="Appelnotedebasdep"/>
        </w:rPr>
        <w:footnoteRef/>
      </w:r>
      <w:r w:rsidRPr="00504F98">
        <w:t xml:space="preserve"> </w:t>
      </w:r>
      <w:r w:rsidRPr="00504F98">
        <w:tab/>
      </w:r>
      <w:r w:rsidRPr="00504F98">
        <w:rPr>
          <w:i/>
          <w:iCs/>
        </w:rPr>
        <w:t>Luamba c. Procureur général du Québec</w:t>
      </w:r>
      <w:r w:rsidRPr="00504F98">
        <w:t xml:space="preserve">, </w:t>
      </w:r>
      <w:r w:rsidR="00141446" w:rsidRPr="00504F98">
        <w:t>2022 QCCS 3866</w:t>
      </w:r>
      <w:r w:rsidRPr="00504F98">
        <w:t xml:space="preserve"> </w:t>
      </w:r>
      <w:r w:rsidR="00162C0A">
        <w:t>(</w:t>
      </w:r>
      <w:r w:rsidR="00C9546A">
        <w:t>j</w:t>
      </w:r>
      <w:r w:rsidRPr="00504F98">
        <w:t>ugement de première instance</w:t>
      </w:r>
      <w:r w:rsidR="00162C0A">
        <w:t>)</w:t>
      </w:r>
      <w:r w:rsidRPr="00504F98">
        <w:t>.</w:t>
      </w:r>
    </w:p>
  </w:footnote>
  <w:footnote w:id="4">
    <w:p w14:paraId="5CEC8AD1" w14:textId="080E8C9C" w:rsidR="00E720F6" w:rsidRDefault="00E720F6" w:rsidP="00E720F6">
      <w:pPr>
        <w:pStyle w:val="Notedebasdepage"/>
      </w:pPr>
      <w:r w:rsidRPr="00504F98">
        <w:rPr>
          <w:rStyle w:val="Appelnotedebasdep"/>
        </w:rPr>
        <w:footnoteRef/>
      </w:r>
      <w:r w:rsidRPr="00504F98">
        <w:t xml:space="preserve"> </w:t>
      </w:r>
      <w:r w:rsidRPr="00504F98">
        <w:tab/>
        <w:t>Le</w:t>
      </w:r>
      <w:r w:rsidRPr="004F405D">
        <w:t xml:space="preserve"> juge de première instance utilise l’expression « règle de droit contestée » au singulier pour désigner « l</w:t>
      </w:r>
      <w:r w:rsidRPr="004F405D">
        <w:rPr>
          <w:rFonts w:cs="Arial"/>
          <w:color w:val="000000"/>
        </w:rPr>
        <w:t xml:space="preserve">’effet conjugué de la règle de </w:t>
      </w:r>
      <w:r w:rsidRPr="004F405D">
        <w:rPr>
          <w:rFonts w:cs="Arial"/>
          <w:i/>
          <w:iCs/>
          <w:color w:val="000000"/>
        </w:rPr>
        <w:t xml:space="preserve">common law </w:t>
      </w:r>
      <w:r w:rsidRPr="004F405D">
        <w:rPr>
          <w:rFonts w:cs="Arial"/>
          <w:color w:val="000000"/>
        </w:rPr>
        <w:t>et de l’article 636 </w:t>
      </w:r>
      <w:r w:rsidRPr="004F405D">
        <w:rPr>
          <w:rFonts w:cs="Arial"/>
          <w:i/>
          <w:iCs/>
          <w:color w:val="000000"/>
        </w:rPr>
        <w:t>C.s.r.</w:t>
      </w:r>
      <w:r w:rsidRPr="004F405D">
        <w:rPr>
          <w:rFonts w:cs="Arial"/>
          <w:color w:val="000000"/>
        </w:rPr>
        <w:t> » (</w:t>
      </w:r>
      <w:r w:rsidR="00C9546A">
        <w:rPr>
          <w:rFonts w:cs="Arial"/>
          <w:color w:val="000000"/>
        </w:rPr>
        <w:t>j</w:t>
      </w:r>
      <w:r w:rsidR="007A6BD4" w:rsidRPr="004F405D">
        <w:rPr>
          <w:rFonts w:cs="Arial"/>
          <w:color w:val="000000"/>
        </w:rPr>
        <w:t xml:space="preserve">ugement </w:t>
      </w:r>
      <w:r w:rsidRPr="004F405D">
        <w:rPr>
          <w:rFonts w:cs="Arial"/>
          <w:color w:val="000000"/>
        </w:rPr>
        <w:t xml:space="preserve">de première instance, </w:t>
      </w:r>
      <w:r>
        <w:rPr>
          <w:rFonts w:cs="Arial"/>
          <w:color w:val="000000"/>
        </w:rPr>
        <w:t>par. </w:t>
      </w:r>
      <w:r w:rsidRPr="004F405D">
        <w:rPr>
          <w:rFonts w:cs="Arial"/>
          <w:color w:val="000000"/>
        </w:rPr>
        <w:t>52). L</w:t>
      </w:r>
      <w:r>
        <w:rPr>
          <w:rFonts w:cs="Arial"/>
          <w:color w:val="000000"/>
        </w:rPr>
        <w:t>a majorité des</w:t>
      </w:r>
      <w:r w:rsidRPr="004F405D">
        <w:rPr>
          <w:rFonts w:cs="Arial"/>
          <w:color w:val="000000"/>
        </w:rPr>
        <w:t xml:space="preserve"> parties au débat en appel utilisent toutefois l’expression « règles de droit contestées » au pluriel.</w:t>
      </w:r>
      <w:r w:rsidR="00116A16">
        <w:rPr>
          <w:rFonts w:cs="Arial"/>
          <w:i/>
          <w:iCs/>
          <w:color w:val="000000"/>
        </w:rPr>
        <w:t xml:space="preserve"> </w:t>
      </w:r>
      <w:r w:rsidR="00116A16">
        <w:rPr>
          <w:rFonts w:cs="Arial"/>
          <w:color w:val="000000"/>
        </w:rPr>
        <w:t xml:space="preserve">Vu sa conclusion </w:t>
      </w:r>
      <w:r w:rsidR="00116A16" w:rsidRPr="007A7D40">
        <w:rPr>
          <w:rFonts w:cs="Arial"/>
          <w:color w:val="000000"/>
        </w:rPr>
        <w:t xml:space="preserve">sur l’inexistence d’une règle de common law autorisant les interceptions routières sans motif </w:t>
      </w:r>
      <w:r w:rsidR="00116A16" w:rsidRPr="008764FE">
        <w:rPr>
          <w:rFonts w:cs="Arial"/>
          <w:color w:val="000000"/>
        </w:rPr>
        <w:t xml:space="preserve">requis, </w:t>
      </w:r>
      <w:r w:rsidR="00116A16" w:rsidRPr="008764FE">
        <w:rPr>
          <w:rFonts w:cs="Arial"/>
          <w:i/>
          <w:iCs/>
          <w:color w:val="000000"/>
        </w:rPr>
        <w:t>infra</w:t>
      </w:r>
      <w:r w:rsidR="00116A16" w:rsidRPr="008764FE">
        <w:rPr>
          <w:rFonts w:cs="Arial"/>
          <w:color w:val="000000"/>
        </w:rPr>
        <w:t xml:space="preserve">, par. </w:t>
      </w:r>
      <w:r w:rsidR="00116A16" w:rsidRPr="008764FE">
        <w:rPr>
          <w:rFonts w:cs="Arial"/>
          <w:color w:val="000000"/>
        </w:rPr>
        <w:fldChar w:fldCharType="begin"/>
      </w:r>
      <w:r w:rsidR="00116A16" w:rsidRPr="008764FE">
        <w:rPr>
          <w:rFonts w:cs="Arial"/>
          <w:color w:val="000000"/>
        </w:rPr>
        <w:instrText xml:space="preserve"> REF _Ref177747821 \r \h  \* MERGEFORMAT </w:instrText>
      </w:r>
      <w:r w:rsidR="00116A16" w:rsidRPr="008764FE">
        <w:rPr>
          <w:rFonts w:cs="Arial"/>
          <w:color w:val="000000"/>
        </w:rPr>
      </w:r>
      <w:r w:rsidR="00116A16" w:rsidRPr="008764FE">
        <w:rPr>
          <w:rFonts w:cs="Arial"/>
          <w:color w:val="000000"/>
        </w:rPr>
        <w:fldChar w:fldCharType="separate"/>
      </w:r>
      <w:r w:rsidR="0040330D">
        <w:rPr>
          <w:rFonts w:cs="Arial"/>
          <w:color w:val="000000"/>
        </w:rPr>
        <w:t>[14]</w:t>
      </w:r>
      <w:r w:rsidR="00116A16" w:rsidRPr="008764FE">
        <w:rPr>
          <w:rFonts w:cs="Arial"/>
          <w:color w:val="000000"/>
        </w:rPr>
        <w:fldChar w:fldCharType="end"/>
      </w:r>
      <w:r w:rsidR="00116A16" w:rsidRPr="008764FE">
        <w:rPr>
          <w:rFonts w:cs="Arial"/>
          <w:color w:val="000000"/>
        </w:rPr>
        <w:t xml:space="preserve"> à </w:t>
      </w:r>
      <w:r w:rsidR="00116A16" w:rsidRPr="008764FE">
        <w:rPr>
          <w:rFonts w:cs="Arial"/>
          <w:color w:val="000000"/>
        </w:rPr>
        <w:fldChar w:fldCharType="begin"/>
      </w:r>
      <w:r w:rsidR="00116A16" w:rsidRPr="008764FE">
        <w:rPr>
          <w:rFonts w:cs="Arial"/>
          <w:color w:val="000000"/>
        </w:rPr>
        <w:instrText xml:space="preserve"> REF _Ref177747832 \r \h  \* MERGEFORMAT </w:instrText>
      </w:r>
      <w:r w:rsidR="00116A16" w:rsidRPr="008764FE">
        <w:rPr>
          <w:rFonts w:cs="Arial"/>
          <w:color w:val="000000"/>
        </w:rPr>
      </w:r>
      <w:r w:rsidR="00116A16" w:rsidRPr="008764FE">
        <w:rPr>
          <w:rFonts w:cs="Arial"/>
          <w:color w:val="000000"/>
        </w:rPr>
        <w:fldChar w:fldCharType="separate"/>
      </w:r>
      <w:r w:rsidR="0040330D">
        <w:rPr>
          <w:rFonts w:cs="Arial"/>
          <w:color w:val="000000"/>
        </w:rPr>
        <w:t>[32]</w:t>
      </w:r>
      <w:r w:rsidR="00116A16" w:rsidRPr="008764FE">
        <w:rPr>
          <w:rFonts w:cs="Arial"/>
          <w:color w:val="000000"/>
        </w:rPr>
        <w:fldChar w:fldCharType="end"/>
      </w:r>
      <w:r w:rsidR="00116A16" w:rsidRPr="008764FE">
        <w:rPr>
          <w:rFonts w:cs="Arial"/>
          <w:color w:val="000000"/>
        </w:rPr>
        <w:t>, la Cour utilisera l’expression « règle de droit contestée » au singulier</w:t>
      </w:r>
      <w:r w:rsidR="0029334F">
        <w:rPr>
          <w:rFonts w:cs="Arial"/>
          <w:color w:val="000000"/>
        </w:rPr>
        <w:t xml:space="preserve"> </w:t>
      </w:r>
      <w:r w:rsidR="00116A16">
        <w:rPr>
          <w:rFonts w:cs="Arial"/>
          <w:color w:val="000000"/>
        </w:rPr>
        <w:t>pour parler uniquement de l’art. 636 </w:t>
      </w:r>
      <w:r w:rsidR="00116A16" w:rsidRPr="002748FE">
        <w:rPr>
          <w:rFonts w:cs="Arial"/>
          <w:i/>
          <w:iCs/>
          <w:color w:val="000000"/>
        </w:rPr>
        <w:t>C.s.r.</w:t>
      </w:r>
    </w:p>
  </w:footnote>
  <w:footnote w:id="5">
    <w:p w14:paraId="308C6A8C" w14:textId="450B34D1" w:rsidR="005A1C52" w:rsidRDefault="005A1C52" w:rsidP="005A1C52">
      <w:pPr>
        <w:pStyle w:val="Notedebasdepage"/>
      </w:pPr>
      <w:r w:rsidRPr="00504F98">
        <w:rPr>
          <w:rStyle w:val="Appelnotedebasdep"/>
        </w:rPr>
        <w:footnoteRef/>
      </w:r>
      <w:r w:rsidRPr="00504F98">
        <w:t xml:space="preserve"> </w:t>
      </w:r>
      <w:r w:rsidRPr="00504F98">
        <w:tab/>
      </w:r>
      <w:r w:rsidR="00CA2189" w:rsidRPr="00C87EC1">
        <w:rPr>
          <w:i/>
          <w:iCs/>
        </w:rPr>
        <w:t>Charte canadienne des droits et libertés</w:t>
      </w:r>
      <w:r w:rsidR="00CA2189">
        <w:t>, p</w:t>
      </w:r>
      <w:r w:rsidRPr="00504F98">
        <w:t xml:space="preserve">artie I de la </w:t>
      </w:r>
      <w:r w:rsidRPr="00504F98">
        <w:rPr>
          <w:i/>
          <w:iCs/>
        </w:rPr>
        <w:t>Loi constitutionnelle de 1982</w:t>
      </w:r>
      <w:r w:rsidRPr="00504F98">
        <w:t xml:space="preserve">, constituant l’annexe B de la </w:t>
      </w:r>
      <w:r w:rsidRPr="00504F98">
        <w:rPr>
          <w:i/>
          <w:iCs/>
        </w:rPr>
        <w:t>Loi de 1982 sur le Canada</w:t>
      </w:r>
      <w:r w:rsidRPr="00504F98">
        <w:t xml:space="preserve"> (R.</w:t>
      </w:r>
      <w:r w:rsidRPr="00504F98">
        <w:noBreakHyphen/>
        <w:t xml:space="preserve">U.), 1982, c. 11 </w:t>
      </w:r>
      <w:r w:rsidR="009303CC">
        <w:t>(</w:t>
      </w:r>
      <w:r w:rsidRPr="00504F98">
        <w:rPr>
          <w:i/>
          <w:iCs/>
        </w:rPr>
        <w:t>Charte</w:t>
      </w:r>
      <w:r w:rsidR="009303CC">
        <w:t>)</w:t>
      </w:r>
      <w:r w:rsidRPr="00504F98">
        <w:t>.</w:t>
      </w:r>
    </w:p>
  </w:footnote>
  <w:footnote w:id="6">
    <w:p w14:paraId="15E043BF" w14:textId="69EEA13B" w:rsidR="005A1C52" w:rsidRPr="00BD72ED" w:rsidRDefault="005A1C52" w:rsidP="005A1C52">
      <w:pPr>
        <w:pStyle w:val="Notedebasdepage"/>
        <w:rPr>
          <w:highlight w:val="green"/>
        </w:rPr>
      </w:pPr>
      <w:r w:rsidRPr="00504F98">
        <w:rPr>
          <w:rStyle w:val="Appelnotedebasdep"/>
        </w:rPr>
        <w:footnoteRef/>
      </w:r>
      <w:r w:rsidRPr="00504F98">
        <w:t xml:space="preserve"> </w:t>
      </w:r>
      <w:r w:rsidRPr="00504F98">
        <w:tab/>
      </w:r>
      <w:r w:rsidR="002351D7" w:rsidRPr="002351D7">
        <w:rPr>
          <w:i/>
          <w:iCs/>
        </w:rPr>
        <w:t>Loi constitutionnelle de 1982</w:t>
      </w:r>
      <w:r w:rsidR="002351D7">
        <w:t>, c</w:t>
      </w:r>
      <w:r w:rsidRPr="00504F98">
        <w:rPr>
          <w:rFonts w:cs="Arial"/>
        </w:rPr>
        <w:t xml:space="preserve">onstituant l’annexe B de la </w:t>
      </w:r>
      <w:r w:rsidRPr="00504F98">
        <w:rPr>
          <w:rFonts w:cs="Arial"/>
          <w:i/>
          <w:iCs/>
        </w:rPr>
        <w:t xml:space="preserve">Loi de 1982 sur le Canada </w:t>
      </w:r>
      <w:r w:rsidRPr="00504F98">
        <w:rPr>
          <w:rFonts w:cs="Arial"/>
        </w:rPr>
        <w:t>(R.-U.), 1982, c.</w:t>
      </w:r>
      <w:r w:rsidR="002351D7">
        <w:rPr>
          <w:rFonts w:cs="Arial"/>
        </w:rPr>
        <w:t> </w:t>
      </w:r>
      <w:r w:rsidRPr="00504F98">
        <w:rPr>
          <w:rFonts w:cs="Arial"/>
        </w:rPr>
        <w:t>11</w:t>
      </w:r>
      <w:r w:rsidRPr="00504F98">
        <w:t xml:space="preserve"> </w:t>
      </w:r>
      <w:r w:rsidR="009303CC">
        <w:t>(</w:t>
      </w:r>
      <w:r w:rsidRPr="00504F98">
        <w:rPr>
          <w:i/>
          <w:iCs/>
        </w:rPr>
        <w:t>Loi constitutionnelle de 1982</w:t>
      </w:r>
      <w:r w:rsidR="009303CC">
        <w:t>)</w:t>
      </w:r>
      <w:r w:rsidRPr="00504F98">
        <w:t>.</w:t>
      </w:r>
    </w:p>
  </w:footnote>
  <w:footnote w:id="7">
    <w:p w14:paraId="5793A36B" w14:textId="2F0EAE6F" w:rsidR="005A1C52" w:rsidRPr="00BD72ED" w:rsidRDefault="005A1C52" w:rsidP="005A1C52">
      <w:pPr>
        <w:pStyle w:val="Notedebasdepage"/>
        <w:rPr>
          <w:highlight w:val="green"/>
        </w:rPr>
      </w:pPr>
      <w:r w:rsidRPr="00504F98">
        <w:rPr>
          <w:rStyle w:val="Appelnotedebasdep"/>
        </w:rPr>
        <w:footnoteRef/>
      </w:r>
      <w:r w:rsidRPr="00504F98">
        <w:t xml:space="preserve"> </w:t>
      </w:r>
      <w:r w:rsidRPr="00504F98">
        <w:tab/>
        <w:t xml:space="preserve">Initialement désignée comme mise en cause dans les procédures d’appel, l’ACLC a présenté une requête pour changer sa désignation </w:t>
      </w:r>
      <w:r w:rsidR="002C674F">
        <w:t>pour</w:t>
      </w:r>
      <w:r w:rsidRPr="00504F98">
        <w:t xml:space="preserve"> celle d’intimée. Cette requête a été accueillie le 19 septembre 2023 par un juge de la Cour : </w:t>
      </w:r>
      <w:r w:rsidRPr="00504F98">
        <w:rPr>
          <w:i/>
          <w:iCs/>
        </w:rPr>
        <w:t>Procureur général du Québec c. Luamba</w:t>
      </w:r>
      <w:r w:rsidRPr="00504F98">
        <w:t>, C.A. Montréal, n</w:t>
      </w:r>
      <w:r w:rsidRPr="00504F98">
        <w:rPr>
          <w:vertAlign w:val="superscript"/>
        </w:rPr>
        <w:t>o</w:t>
      </w:r>
      <w:r w:rsidRPr="00504F98">
        <w:t> 500-09-030301-220, 19</w:t>
      </w:r>
      <w:r w:rsidR="00D37FAD">
        <w:t xml:space="preserve"> </w:t>
      </w:r>
      <w:r w:rsidRPr="00504F98">
        <w:t>septembre</w:t>
      </w:r>
      <w:r w:rsidR="00D37FAD">
        <w:t xml:space="preserve"> </w:t>
      </w:r>
      <w:r w:rsidRPr="00504F98">
        <w:t>2023, Schrager, j.c.a.</w:t>
      </w:r>
    </w:p>
  </w:footnote>
  <w:footnote w:id="8">
    <w:p w14:paraId="55F12014" w14:textId="1C37B97C" w:rsidR="005A1C52" w:rsidRDefault="005A1C52" w:rsidP="005A1C52">
      <w:pPr>
        <w:pStyle w:val="Notedebasdepage"/>
      </w:pPr>
      <w:r w:rsidRPr="00504F98">
        <w:rPr>
          <w:rStyle w:val="Appelnotedebasdep"/>
        </w:rPr>
        <w:footnoteRef/>
      </w:r>
      <w:r w:rsidRPr="00504F98">
        <w:t xml:space="preserve"> </w:t>
      </w:r>
      <w:r w:rsidRPr="00504F98">
        <w:tab/>
        <w:t xml:space="preserve">La BCCLA, la CJSM et la CDPDJ ont été autorisées à intervenir au débat à titre amical : </w:t>
      </w:r>
      <w:r w:rsidRPr="00504F98">
        <w:rPr>
          <w:i/>
          <w:iCs/>
        </w:rPr>
        <w:t>Procureur général du Québec c. Luamba</w:t>
      </w:r>
      <w:r w:rsidRPr="00504F98">
        <w:t>, 2023 QCCA 1243 (Schrager, j.c.a.).</w:t>
      </w:r>
    </w:p>
  </w:footnote>
  <w:footnote w:id="9">
    <w:p w14:paraId="04CA69CF" w14:textId="32BDA821" w:rsidR="007D1E99" w:rsidRPr="00504F98" w:rsidRDefault="007D1E99" w:rsidP="007D1E99">
      <w:pPr>
        <w:pStyle w:val="Notedebasdepage"/>
      </w:pPr>
      <w:r w:rsidRPr="00504F98">
        <w:rPr>
          <w:rStyle w:val="Appelnotedebasdep"/>
        </w:rPr>
        <w:footnoteRef/>
      </w:r>
      <w:r w:rsidRPr="00504F98">
        <w:t xml:space="preserve"> </w:t>
      </w:r>
      <w:r w:rsidRPr="00504F98">
        <w:tab/>
        <w:t xml:space="preserve">Notons ici que M. Luamba contestait initialement la validité constitutionnelle du </w:t>
      </w:r>
      <w:r w:rsidR="008021E9" w:rsidRPr="00504F98">
        <w:t>par</w:t>
      </w:r>
      <w:r w:rsidR="008021E9">
        <w:t>. </w:t>
      </w:r>
      <w:r w:rsidRPr="00504F98">
        <w:t xml:space="preserve">320.27(2) du </w:t>
      </w:r>
      <w:r w:rsidRPr="00504F98">
        <w:rPr>
          <w:i/>
          <w:iCs/>
        </w:rPr>
        <w:t>Code criminel</w:t>
      </w:r>
      <w:r w:rsidRPr="00504F98">
        <w:t xml:space="preserve">, L.R.C. (1985), ch. C-46. Il s’est toutefois désisté de ce volet de sa demande lors des plaidoiries en première instance : </w:t>
      </w:r>
      <w:r w:rsidR="007A6BD4" w:rsidRPr="00504F98">
        <w:t>j</w:t>
      </w:r>
      <w:r w:rsidRPr="00504F98">
        <w:t>ugement de première instance, note infrapaginale</w:t>
      </w:r>
      <w:r w:rsidR="00D37FAD">
        <w:t> </w:t>
      </w:r>
      <w:r w:rsidRPr="00504F98">
        <w:t>5.</w:t>
      </w:r>
    </w:p>
  </w:footnote>
  <w:footnote w:id="10">
    <w:p w14:paraId="2A48437B" w14:textId="567CFC34" w:rsidR="005A1C52" w:rsidRPr="00966C3E" w:rsidRDefault="005A1C52" w:rsidP="005A1C52">
      <w:pPr>
        <w:pStyle w:val="Notedebasdepage"/>
      </w:pPr>
      <w:r w:rsidRPr="00504F98">
        <w:rPr>
          <w:rStyle w:val="Appelnotedebasdep"/>
        </w:rPr>
        <w:footnoteRef/>
      </w:r>
      <w:r w:rsidRPr="00504F98">
        <w:t xml:space="preserve"> </w:t>
      </w:r>
      <w:r w:rsidRPr="00504F98">
        <w:tab/>
      </w:r>
      <w:r w:rsidR="004D5E78" w:rsidRPr="004D5E78">
        <w:rPr>
          <w:i/>
          <w:iCs/>
        </w:rPr>
        <w:t>Id</w:t>
      </w:r>
      <w:r w:rsidR="004D5E78">
        <w:t>.</w:t>
      </w:r>
      <w:r w:rsidRPr="00504F98">
        <w:t>, par. 26.</w:t>
      </w:r>
    </w:p>
  </w:footnote>
  <w:footnote w:id="11">
    <w:p w14:paraId="20AA08A7" w14:textId="361B14CE" w:rsidR="005A1C52" w:rsidRPr="00E025E6" w:rsidRDefault="005A1C52" w:rsidP="005A1C52">
      <w:pPr>
        <w:pStyle w:val="Notedebasdepage"/>
      </w:pPr>
      <w:r w:rsidRPr="00E025E6">
        <w:rPr>
          <w:rStyle w:val="Appelnotedebasdep"/>
        </w:rPr>
        <w:footnoteRef/>
      </w:r>
      <w:r w:rsidRPr="00E025E6">
        <w:t xml:space="preserve"> </w:t>
      </w:r>
      <w:r w:rsidRPr="00E025E6">
        <w:tab/>
      </w:r>
      <w:r w:rsidR="009E7F69" w:rsidRPr="009E7F69">
        <w:rPr>
          <w:i/>
          <w:iCs/>
        </w:rPr>
        <w:t>Id</w:t>
      </w:r>
      <w:r w:rsidR="009E7F69">
        <w:t>.</w:t>
      </w:r>
      <w:r w:rsidR="00EA3F91" w:rsidRPr="00E025E6">
        <w:t>, par.</w:t>
      </w:r>
      <w:r w:rsidR="00EE4679">
        <w:t xml:space="preserve"> </w:t>
      </w:r>
      <w:r w:rsidR="00EA3F91" w:rsidRPr="00E025E6">
        <w:t>22</w:t>
      </w:r>
      <w:r w:rsidRPr="00E025E6">
        <w:t>.</w:t>
      </w:r>
    </w:p>
  </w:footnote>
  <w:footnote w:id="12">
    <w:p w14:paraId="361AA18C" w14:textId="48470C11" w:rsidR="005A1C52" w:rsidRDefault="005A1C52" w:rsidP="005A1C52">
      <w:pPr>
        <w:pStyle w:val="Notedebasdepage"/>
      </w:pPr>
      <w:r w:rsidRPr="00E025E6">
        <w:rPr>
          <w:rStyle w:val="Appelnotedebasdep"/>
        </w:rPr>
        <w:footnoteRef/>
      </w:r>
      <w:r w:rsidRPr="00E025E6">
        <w:t xml:space="preserve"> </w:t>
      </w:r>
      <w:r w:rsidRPr="00E025E6">
        <w:tab/>
      </w:r>
      <w:r w:rsidR="00E025E6" w:rsidRPr="00E025E6">
        <w:rPr>
          <w:i/>
          <w:iCs/>
        </w:rPr>
        <w:t>Id</w:t>
      </w:r>
      <w:r w:rsidR="00E025E6" w:rsidRPr="00E025E6">
        <w:t>.</w:t>
      </w:r>
      <w:r w:rsidRPr="00E025E6">
        <w:t>, par. 16.</w:t>
      </w:r>
    </w:p>
  </w:footnote>
  <w:footnote w:id="13">
    <w:p w14:paraId="36B43826" w14:textId="77777777" w:rsidR="005A1C52" w:rsidRPr="00EE498F" w:rsidRDefault="005A1C52" w:rsidP="005A1C52">
      <w:pPr>
        <w:pStyle w:val="Notedebasdepage"/>
      </w:pPr>
      <w:r w:rsidRPr="00EE498F">
        <w:rPr>
          <w:rStyle w:val="Appelnotedebasdep"/>
        </w:rPr>
        <w:footnoteRef/>
      </w:r>
      <w:r w:rsidRPr="00EE498F">
        <w:t xml:space="preserve"> </w:t>
      </w:r>
      <w:r w:rsidRPr="00EE498F">
        <w:tab/>
      </w:r>
      <w:r w:rsidRPr="00EE498F">
        <w:rPr>
          <w:i/>
          <w:iCs/>
        </w:rPr>
        <w:t>Id.</w:t>
      </w:r>
      <w:r w:rsidRPr="00EE498F">
        <w:t>, par. 18.</w:t>
      </w:r>
    </w:p>
  </w:footnote>
  <w:footnote w:id="14">
    <w:p w14:paraId="3ADADDCD" w14:textId="0E29708A" w:rsidR="005A1C52" w:rsidRDefault="005A1C52" w:rsidP="005A1C52">
      <w:pPr>
        <w:pStyle w:val="Notedebasdepage"/>
      </w:pPr>
      <w:r w:rsidRPr="00EE498F">
        <w:rPr>
          <w:rStyle w:val="Appelnotedebasdep"/>
        </w:rPr>
        <w:footnoteRef/>
      </w:r>
      <w:r w:rsidRPr="00EE498F">
        <w:t xml:space="preserve"> </w:t>
      </w:r>
      <w:r w:rsidRPr="00EE498F">
        <w:tab/>
        <w:t xml:space="preserve">Voir notamment : déclaration d’appel, 25 novembre 2022, par. </w:t>
      </w:r>
      <w:r w:rsidR="007A6BD4" w:rsidRPr="00EE498F">
        <w:t>13</w:t>
      </w:r>
      <w:r w:rsidRPr="00EE498F">
        <w:t>.</w:t>
      </w:r>
    </w:p>
  </w:footnote>
  <w:footnote w:id="15">
    <w:p w14:paraId="7A35F322" w14:textId="0C6753B9" w:rsidR="00540798" w:rsidRPr="00375905" w:rsidRDefault="00540798" w:rsidP="00540798">
      <w:pPr>
        <w:pStyle w:val="Notedebasdepage"/>
      </w:pPr>
      <w:r w:rsidRPr="00375905">
        <w:rPr>
          <w:rStyle w:val="Appelnotedebasdep"/>
        </w:rPr>
        <w:footnoteRef/>
      </w:r>
      <w:r w:rsidRPr="00375905">
        <w:t xml:space="preserve"> </w:t>
      </w:r>
      <w:r w:rsidRPr="00375905">
        <w:tab/>
        <w:t>Demande introductive d’instance modifiée, 2 février 2021, par. 47. Voir aussi : jugement de première instance, par. 22, 52</w:t>
      </w:r>
      <w:r w:rsidR="007A6BD4" w:rsidRPr="00375905">
        <w:t xml:space="preserve"> et</w:t>
      </w:r>
      <w:r w:rsidRPr="00375905">
        <w:t xml:space="preserve"> 54.</w:t>
      </w:r>
    </w:p>
  </w:footnote>
  <w:footnote w:id="16">
    <w:p w14:paraId="379CEA06" w14:textId="5A821FFC" w:rsidR="00540798" w:rsidRDefault="00540798" w:rsidP="00540798">
      <w:pPr>
        <w:pStyle w:val="Notedebasdepage"/>
      </w:pPr>
      <w:r w:rsidRPr="00375905">
        <w:rPr>
          <w:rStyle w:val="Appelnotedebasdep"/>
        </w:rPr>
        <w:footnoteRef/>
      </w:r>
      <w:r w:rsidRPr="00375905">
        <w:t xml:space="preserve"> </w:t>
      </w:r>
      <w:r w:rsidRPr="00375905">
        <w:tab/>
        <w:t>Jugement de première instance, par.</w:t>
      </w:r>
      <w:r w:rsidR="00EE4679">
        <w:t xml:space="preserve"> </w:t>
      </w:r>
      <w:r w:rsidRPr="00375905">
        <w:t>869.</w:t>
      </w:r>
    </w:p>
  </w:footnote>
  <w:footnote w:id="17">
    <w:p w14:paraId="1E162C25" w14:textId="0CFBE207" w:rsidR="001C7091" w:rsidRPr="00941354" w:rsidRDefault="001C7091" w:rsidP="001C7091">
      <w:pPr>
        <w:pStyle w:val="Notedebasdepage"/>
      </w:pPr>
      <w:r w:rsidRPr="00941354">
        <w:rPr>
          <w:rStyle w:val="Appelnotedebasdep"/>
        </w:rPr>
        <w:footnoteRef/>
      </w:r>
      <w:r w:rsidRPr="00941354">
        <w:t xml:space="preserve"> </w:t>
      </w:r>
      <w:r w:rsidRPr="00941354">
        <w:tab/>
      </w:r>
      <w:bookmarkStart w:id="19" w:name="_Hlk177749271"/>
      <w:r w:rsidRPr="00941354">
        <w:rPr>
          <w:i/>
          <w:iCs/>
        </w:rPr>
        <w:t>Dedman c. La Reine</w:t>
      </w:r>
      <w:r w:rsidRPr="00941354">
        <w:t>, [1985] 2 R.C.S. 2</w:t>
      </w:r>
      <w:r w:rsidR="00133669" w:rsidRPr="00941354">
        <w:t xml:space="preserve"> </w:t>
      </w:r>
      <w:r w:rsidR="003A5B22">
        <w:t>(</w:t>
      </w:r>
      <w:r w:rsidR="00133669" w:rsidRPr="00941354">
        <w:rPr>
          <w:i/>
          <w:iCs/>
        </w:rPr>
        <w:t>Dedman</w:t>
      </w:r>
      <w:r w:rsidR="003A5B22">
        <w:t>)</w:t>
      </w:r>
      <w:r w:rsidRPr="00941354">
        <w:t>.</w:t>
      </w:r>
      <w:bookmarkEnd w:id="19"/>
    </w:p>
  </w:footnote>
  <w:footnote w:id="18">
    <w:p w14:paraId="69B02869" w14:textId="33729EE1" w:rsidR="001C7091" w:rsidRPr="00941354" w:rsidRDefault="001C7091">
      <w:pPr>
        <w:pStyle w:val="Notedebasdepage"/>
      </w:pPr>
      <w:r w:rsidRPr="00941354">
        <w:rPr>
          <w:rStyle w:val="Appelnotedebasdep"/>
        </w:rPr>
        <w:footnoteRef/>
      </w:r>
      <w:r w:rsidRPr="00941354">
        <w:t xml:space="preserve"> </w:t>
      </w:r>
      <w:r w:rsidRPr="00941354">
        <w:tab/>
      </w:r>
      <w:bookmarkStart w:id="20" w:name="_Hlk177749323"/>
      <w:r w:rsidRPr="00941354">
        <w:rPr>
          <w:i/>
          <w:iCs/>
        </w:rPr>
        <w:t>R. c. Hufsky</w:t>
      </w:r>
      <w:r w:rsidRPr="00941354">
        <w:t>, [1988] 1 R.C.S. 621</w:t>
      </w:r>
      <w:r w:rsidR="00133669" w:rsidRPr="00941354">
        <w:t xml:space="preserve"> </w:t>
      </w:r>
      <w:r w:rsidR="003A5B22">
        <w:t>(</w:t>
      </w:r>
      <w:r w:rsidR="00133669" w:rsidRPr="00941354">
        <w:rPr>
          <w:i/>
          <w:iCs/>
        </w:rPr>
        <w:t>Hufsky</w:t>
      </w:r>
      <w:bookmarkEnd w:id="20"/>
      <w:r w:rsidR="003A5B22">
        <w:t>)</w:t>
      </w:r>
      <w:r w:rsidRPr="00941354">
        <w:t>.</w:t>
      </w:r>
    </w:p>
  </w:footnote>
  <w:footnote w:id="19">
    <w:p w14:paraId="7E8DC88C" w14:textId="75C7F77F" w:rsidR="00540798" w:rsidRPr="00941354" w:rsidRDefault="00540798" w:rsidP="00540798">
      <w:pPr>
        <w:pStyle w:val="Notedebasdepage"/>
      </w:pPr>
      <w:r w:rsidRPr="00941354">
        <w:rPr>
          <w:rStyle w:val="Appelnotedebasdep"/>
        </w:rPr>
        <w:footnoteRef/>
      </w:r>
      <w:r w:rsidRPr="00941354">
        <w:t xml:space="preserve"> </w:t>
      </w:r>
      <w:r w:rsidRPr="00941354">
        <w:tab/>
      </w:r>
      <w:r w:rsidR="001C7091" w:rsidRPr="00941354">
        <w:rPr>
          <w:i/>
          <w:iCs/>
        </w:rPr>
        <w:t>Dedman c. La Reine</w:t>
      </w:r>
      <w:r w:rsidR="001C7091" w:rsidRPr="00941354">
        <w:t>, [1985] 2 R.C.S. 2</w:t>
      </w:r>
      <w:r w:rsidRPr="00941354">
        <w:t>, p. 36.</w:t>
      </w:r>
    </w:p>
  </w:footnote>
  <w:footnote w:id="20">
    <w:p w14:paraId="2053A1B7" w14:textId="77777777" w:rsidR="00540798" w:rsidRPr="00941354" w:rsidRDefault="00540798" w:rsidP="00540798">
      <w:pPr>
        <w:pStyle w:val="Notedebasdepage"/>
        <w:rPr>
          <w:lang w:val="en-CA"/>
        </w:rPr>
      </w:pPr>
      <w:r w:rsidRPr="00941354">
        <w:rPr>
          <w:rStyle w:val="Appelnotedebasdep"/>
        </w:rPr>
        <w:footnoteRef/>
      </w:r>
      <w:r w:rsidRPr="00941354">
        <w:rPr>
          <w:lang w:val="en-CA"/>
        </w:rPr>
        <w:t xml:space="preserve"> </w:t>
      </w:r>
      <w:r w:rsidRPr="00941354">
        <w:rPr>
          <w:lang w:val="en-CA"/>
        </w:rPr>
        <w:tab/>
        <w:t xml:space="preserve">L’acronyme signifie </w:t>
      </w:r>
      <w:r w:rsidRPr="00941354">
        <w:rPr>
          <w:i/>
          <w:iCs/>
          <w:lang w:val="en-CA"/>
        </w:rPr>
        <w:t>Reduce Impaired Driving Everywhere</w:t>
      </w:r>
      <w:r w:rsidRPr="00941354">
        <w:rPr>
          <w:lang w:val="en-CA"/>
        </w:rPr>
        <w:t xml:space="preserve">. </w:t>
      </w:r>
    </w:p>
  </w:footnote>
  <w:footnote w:id="21">
    <w:p w14:paraId="436FB0E3" w14:textId="09AFA170" w:rsidR="00540798" w:rsidRPr="00941354" w:rsidRDefault="00540798" w:rsidP="00540798">
      <w:pPr>
        <w:pStyle w:val="Notedebasdepage"/>
      </w:pPr>
      <w:r w:rsidRPr="00941354">
        <w:rPr>
          <w:rStyle w:val="Appelnotedebasdep"/>
        </w:rPr>
        <w:footnoteRef/>
      </w:r>
      <w:r w:rsidRPr="00941354">
        <w:t xml:space="preserve"> </w:t>
      </w:r>
      <w:r w:rsidRPr="00941354">
        <w:tab/>
      </w:r>
      <w:r w:rsidRPr="00941354">
        <w:rPr>
          <w:i/>
          <w:iCs/>
        </w:rPr>
        <w:t>Dedman c. La Reine</w:t>
      </w:r>
      <w:r w:rsidRPr="00941354">
        <w:t>, [1985] 2 R.C.S. 2, p. 25, citant « l’exposé de la cause ».</w:t>
      </w:r>
    </w:p>
  </w:footnote>
  <w:footnote w:id="22">
    <w:p w14:paraId="5F32F72D" w14:textId="77777777" w:rsidR="001C7091" w:rsidRPr="00501F8C" w:rsidRDefault="001C7091" w:rsidP="001C7091">
      <w:pPr>
        <w:pStyle w:val="Notedebasdepage"/>
      </w:pPr>
      <w:r w:rsidRPr="00941354">
        <w:rPr>
          <w:rStyle w:val="Appelnotedebasdep"/>
        </w:rPr>
        <w:footnoteRef/>
      </w:r>
      <w:r w:rsidRPr="00941354">
        <w:t xml:space="preserve"> </w:t>
      </w:r>
      <w:r w:rsidRPr="00941354">
        <w:tab/>
      </w:r>
      <w:r w:rsidRPr="00941354">
        <w:rPr>
          <w:i/>
          <w:iCs/>
        </w:rPr>
        <w:t>Ibid</w:t>
      </w:r>
      <w:r w:rsidRPr="00941354">
        <w:t>.</w:t>
      </w:r>
    </w:p>
  </w:footnote>
  <w:footnote w:id="23">
    <w:p w14:paraId="2EE1D247" w14:textId="6031D92B" w:rsidR="00540798" w:rsidRPr="00941354" w:rsidRDefault="00540798" w:rsidP="00540798">
      <w:pPr>
        <w:pStyle w:val="Notedebasdepage"/>
      </w:pPr>
      <w:r w:rsidRPr="00941354">
        <w:rPr>
          <w:rStyle w:val="Appelnotedebasdep"/>
        </w:rPr>
        <w:footnoteRef/>
      </w:r>
      <w:r w:rsidRPr="00941354">
        <w:t xml:space="preserve"> </w:t>
      </w:r>
      <w:r w:rsidRPr="00941354">
        <w:tab/>
      </w:r>
      <w:bookmarkStart w:id="21" w:name="_Hlk177749378"/>
      <w:r w:rsidRPr="00941354">
        <w:rPr>
          <w:rFonts w:cs="Arial"/>
          <w:i/>
          <w:iCs/>
          <w:color w:val="000000"/>
        </w:rPr>
        <w:t>R. v. Waterfield</w:t>
      </w:r>
      <w:r w:rsidRPr="00941354">
        <w:rPr>
          <w:rFonts w:cs="Arial"/>
          <w:color w:val="000000"/>
        </w:rPr>
        <w:t xml:space="preserve">, </w:t>
      </w:r>
      <w:r w:rsidRPr="00941354">
        <w:rPr>
          <w:rStyle w:val="reflex3-missing"/>
          <w:rFonts w:cs="Arial"/>
          <w:color w:val="000000"/>
        </w:rPr>
        <w:t xml:space="preserve">[1963] 3 All E.R. 659 </w:t>
      </w:r>
      <w:bookmarkEnd w:id="21"/>
      <w:r w:rsidR="003A5B22">
        <w:t>(</w:t>
      </w:r>
      <w:r w:rsidRPr="00941354">
        <w:rPr>
          <w:i/>
          <w:iCs/>
        </w:rPr>
        <w:t>Waterfield</w:t>
      </w:r>
      <w:r w:rsidR="003A5B22">
        <w:t>)</w:t>
      </w:r>
      <w:r w:rsidRPr="00941354">
        <w:t xml:space="preserve">, </w:t>
      </w:r>
      <w:r w:rsidRPr="00941354">
        <w:rPr>
          <w:rStyle w:val="reflex3-missing"/>
          <w:rFonts w:cs="Arial"/>
          <w:color w:val="000000"/>
        </w:rPr>
        <w:t xml:space="preserve">p. 661, cité dans </w:t>
      </w:r>
      <w:r w:rsidRPr="00941354">
        <w:rPr>
          <w:i/>
          <w:iCs/>
        </w:rPr>
        <w:t>Dedman c. La Reine</w:t>
      </w:r>
      <w:r w:rsidRPr="00941354">
        <w:t>, [1985]</w:t>
      </w:r>
      <w:r w:rsidRPr="00941354">
        <w:rPr>
          <w:rFonts w:cs="Arial" w:hint="cs"/>
          <w:sz w:val="22"/>
          <w:szCs w:val="22"/>
        </w:rPr>
        <w:t> </w:t>
      </w:r>
      <w:r w:rsidRPr="00941354">
        <w:t>2</w:t>
      </w:r>
      <w:r w:rsidRPr="00941354">
        <w:rPr>
          <w:rFonts w:cs="Arial" w:hint="cs"/>
          <w:sz w:val="22"/>
          <w:szCs w:val="22"/>
        </w:rPr>
        <w:t> </w:t>
      </w:r>
      <w:r w:rsidRPr="00941354">
        <w:t>R.C.S.</w:t>
      </w:r>
      <w:r w:rsidRPr="00941354">
        <w:rPr>
          <w:rFonts w:cs="Arial" w:hint="cs"/>
          <w:sz w:val="22"/>
          <w:szCs w:val="22"/>
        </w:rPr>
        <w:t> </w:t>
      </w:r>
      <w:r w:rsidRPr="00941354">
        <w:t>2, p. 33 [soulignement ajouté] :</w:t>
      </w:r>
    </w:p>
    <w:p w14:paraId="284CB128" w14:textId="46915152" w:rsidR="00540798" w:rsidRPr="00941354" w:rsidRDefault="00540798" w:rsidP="00540798">
      <w:pPr>
        <w:pStyle w:val="Notedebasdepage"/>
        <w:ind w:left="720" w:right="720" w:firstLine="0"/>
        <w:rPr>
          <w:rFonts w:cs="Arial"/>
          <w:color w:val="000000"/>
          <w:sz w:val="18"/>
          <w:szCs w:val="18"/>
        </w:rPr>
      </w:pPr>
      <w:r w:rsidRPr="00941354">
        <w:rPr>
          <w:rFonts w:cs="Arial"/>
          <w:color w:val="000000"/>
          <w:sz w:val="18"/>
          <w:szCs w:val="18"/>
        </w:rPr>
        <w:t>[</w:t>
      </w:r>
      <w:r w:rsidR="00910D03" w:rsidRPr="00941354">
        <w:rPr>
          <w:rFonts w:cs="Arial"/>
          <w:smallCaps/>
          <w:color w:val="000000"/>
          <w:sz w:val="18"/>
          <w:szCs w:val="18"/>
        </w:rPr>
        <w:t>traduction</w:t>
      </w:r>
      <w:r w:rsidRPr="00941354">
        <w:rPr>
          <w:rFonts w:cs="Arial"/>
          <w:color w:val="000000"/>
          <w:sz w:val="18"/>
          <w:szCs w:val="18"/>
        </w:rPr>
        <w:t>]</w:t>
      </w:r>
      <w:r w:rsidR="00EE4679">
        <w:rPr>
          <w:rFonts w:cs="Arial"/>
          <w:color w:val="000000"/>
          <w:sz w:val="18"/>
          <w:szCs w:val="18"/>
        </w:rPr>
        <w:t xml:space="preserve"> </w:t>
      </w:r>
      <w:r w:rsidRPr="00941354">
        <w:rPr>
          <w:rFonts w:cs="Arial"/>
          <w:color w:val="000000"/>
          <w:sz w:val="18"/>
          <w:szCs w:val="18"/>
        </w:rPr>
        <w:t>Il serait difficile, de l</w:t>
      </w:r>
      <w:r w:rsidR="00D44460">
        <w:rPr>
          <w:rFonts w:cs="Arial"/>
          <w:color w:val="000000"/>
          <w:sz w:val="18"/>
          <w:szCs w:val="18"/>
        </w:rPr>
        <w:t>’</w:t>
      </w:r>
      <w:r w:rsidRPr="00941354">
        <w:rPr>
          <w:rFonts w:cs="Arial"/>
          <w:color w:val="000000"/>
          <w:sz w:val="18"/>
          <w:szCs w:val="18"/>
        </w:rPr>
        <w:t>avis de cette Cour, d</w:t>
      </w:r>
      <w:r w:rsidR="00D44460">
        <w:rPr>
          <w:rFonts w:cs="Arial"/>
          <w:color w:val="000000"/>
          <w:sz w:val="18"/>
          <w:szCs w:val="18"/>
        </w:rPr>
        <w:t>’</w:t>
      </w:r>
      <w:r w:rsidRPr="00941354">
        <w:rPr>
          <w:rFonts w:cs="Arial"/>
          <w:color w:val="000000"/>
          <w:sz w:val="18"/>
          <w:szCs w:val="18"/>
        </w:rPr>
        <w:t>enfermer en des limites rigoureuses les termes généraux dont on s</w:t>
      </w:r>
      <w:r w:rsidR="00D44460">
        <w:rPr>
          <w:rFonts w:cs="Arial"/>
          <w:color w:val="000000"/>
          <w:sz w:val="18"/>
          <w:szCs w:val="18"/>
        </w:rPr>
        <w:t>’</w:t>
      </w:r>
      <w:r w:rsidRPr="00941354">
        <w:rPr>
          <w:rFonts w:cs="Arial"/>
          <w:color w:val="000000"/>
          <w:sz w:val="18"/>
          <w:szCs w:val="18"/>
        </w:rPr>
        <w:t>est servi pour définir les fonctions des agents de police et au surplus c</w:t>
      </w:r>
      <w:r w:rsidR="00D44460">
        <w:rPr>
          <w:rFonts w:cs="Arial"/>
          <w:color w:val="000000"/>
          <w:sz w:val="18"/>
          <w:szCs w:val="18"/>
        </w:rPr>
        <w:t>’</w:t>
      </w:r>
      <w:r w:rsidRPr="00941354">
        <w:rPr>
          <w:rFonts w:cs="Arial"/>
          <w:color w:val="000000"/>
          <w:sz w:val="18"/>
          <w:szCs w:val="18"/>
        </w:rPr>
        <w:t xml:space="preserve">est inutile dans la présente affaire. </w:t>
      </w:r>
      <w:r w:rsidRPr="00941354">
        <w:rPr>
          <w:rFonts w:cs="Arial"/>
          <w:color w:val="000000"/>
          <w:sz w:val="18"/>
          <w:szCs w:val="18"/>
          <w:u w:val="single"/>
        </w:rPr>
        <w:t>Dans la plupart des cas, il est probablement plus facile de se demander ce que l</w:t>
      </w:r>
      <w:r w:rsidR="00D44460">
        <w:rPr>
          <w:rFonts w:cs="Arial"/>
          <w:color w:val="000000"/>
          <w:sz w:val="18"/>
          <w:szCs w:val="18"/>
          <w:u w:val="single"/>
        </w:rPr>
        <w:t>’</w:t>
      </w:r>
      <w:r w:rsidRPr="00941354">
        <w:rPr>
          <w:rFonts w:cs="Arial"/>
          <w:color w:val="000000"/>
          <w:sz w:val="18"/>
          <w:szCs w:val="18"/>
          <w:u w:val="single"/>
        </w:rPr>
        <w:t>agent faisait en réalité et notamment si sa conduite constitue de prime abord une atteinte illégale à la liberté personnelle ou à la propriété. Si tel est le cas, il y a lieu de rechercher a)</w:t>
      </w:r>
      <w:r w:rsidR="002E1AEE">
        <w:rPr>
          <w:rFonts w:cs="Arial"/>
          <w:color w:val="000000"/>
          <w:sz w:val="18"/>
          <w:szCs w:val="18"/>
          <w:u w:val="single"/>
        </w:rPr>
        <w:t> </w:t>
      </w:r>
      <w:r w:rsidRPr="00941354">
        <w:rPr>
          <w:rFonts w:cs="Arial"/>
          <w:color w:val="000000"/>
          <w:sz w:val="18"/>
          <w:szCs w:val="18"/>
          <w:u w:val="single"/>
        </w:rPr>
        <w:t>si cette conduite entre dans le cadre général d</w:t>
      </w:r>
      <w:r w:rsidR="00D44460">
        <w:rPr>
          <w:rFonts w:cs="Arial"/>
          <w:color w:val="000000"/>
          <w:sz w:val="18"/>
          <w:szCs w:val="18"/>
          <w:u w:val="single"/>
        </w:rPr>
        <w:t>’</w:t>
      </w:r>
      <w:r w:rsidRPr="00941354">
        <w:rPr>
          <w:rFonts w:cs="Arial"/>
          <w:color w:val="000000"/>
          <w:sz w:val="18"/>
          <w:szCs w:val="18"/>
          <w:u w:val="single"/>
        </w:rPr>
        <w:t xml:space="preserve">un devoir imposé par une loi ou reconnu par la </w:t>
      </w:r>
      <w:r w:rsidRPr="00941354">
        <w:rPr>
          <w:rFonts w:cs="Arial"/>
          <w:i/>
          <w:iCs/>
          <w:color w:val="000000"/>
          <w:sz w:val="18"/>
          <w:szCs w:val="18"/>
          <w:u w:val="single"/>
        </w:rPr>
        <w:t>common law</w:t>
      </w:r>
      <w:r w:rsidRPr="00941354">
        <w:rPr>
          <w:rFonts w:cs="Arial"/>
          <w:color w:val="000000"/>
          <w:sz w:val="18"/>
          <w:szCs w:val="18"/>
          <w:u w:val="single"/>
        </w:rPr>
        <w:t xml:space="preserve"> et b) si cette conduite, bien que dans le cadre général d</w:t>
      </w:r>
      <w:r w:rsidR="00D44460">
        <w:rPr>
          <w:rFonts w:cs="Arial"/>
          <w:color w:val="000000"/>
          <w:sz w:val="18"/>
          <w:szCs w:val="18"/>
          <w:u w:val="single"/>
        </w:rPr>
        <w:t>’</w:t>
      </w:r>
      <w:r w:rsidRPr="00941354">
        <w:rPr>
          <w:rFonts w:cs="Arial"/>
          <w:color w:val="000000"/>
          <w:sz w:val="18"/>
          <w:szCs w:val="18"/>
          <w:u w:val="single"/>
        </w:rPr>
        <w:t>un tel devoir, a comporté un emploi injustifiable du pouvoir relié à ce devoir</w:t>
      </w:r>
      <w:r w:rsidRPr="00941354">
        <w:rPr>
          <w:rFonts w:cs="Arial"/>
          <w:color w:val="000000"/>
          <w:sz w:val="18"/>
          <w:szCs w:val="18"/>
        </w:rPr>
        <w:t>. Ainsi, comme on peut affirmer en termes généraux que les agents de police ont le devoir d</w:t>
      </w:r>
      <w:r w:rsidR="00D44460">
        <w:rPr>
          <w:rFonts w:cs="Arial"/>
          <w:color w:val="000000"/>
          <w:sz w:val="18"/>
          <w:szCs w:val="18"/>
        </w:rPr>
        <w:t>’</w:t>
      </w:r>
      <w:r w:rsidRPr="00941354">
        <w:rPr>
          <w:rFonts w:cs="Arial"/>
          <w:color w:val="000000"/>
          <w:sz w:val="18"/>
          <w:szCs w:val="18"/>
        </w:rPr>
        <w:t>empêcher le crime et le devoir, lorsque le crime a été perpétré, de traduire le délinquant en justice, il est également évident, selon la jurisprudence, que, lorsque l</w:t>
      </w:r>
      <w:r w:rsidR="00D44460">
        <w:rPr>
          <w:rFonts w:cs="Arial"/>
          <w:color w:val="000000"/>
          <w:sz w:val="18"/>
          <w:szCs w:val="18"/>
        </w:rPr>
        <w:t>’</w:t>
      </w:r>
      <w:r w:rsidRPr="00941354">
        <w:rPr>
          <w:rFonts w:cs="Arial"/>
          <w:color w:val="000000"/>
          <w:sz w:val="18"/>
          <w:szCs w:val="18"/>
        </w:rPr>
        <w:t>accomplissement de ces devoirs généraux comporte des atteintes à la personne ou aux biens d</w:t>
      </w:r>
      <w:r w:rsidR="00D44460">
        <w:rPr>
          <w:rFonts w:cs="Arial"/>
          <w:color w:val="000000"/>
          <w:sz w:val="18"/>
          <w:szCs w:val="18"/>
        </w:rPr>
        <w:t>’</w:t>
      </w:r>
      <w:r w:rsidRPr="00941354">
        <w:rPr>
          <w:rFonts w:cs="Arial"/>
          <w:color w:val="000000"/>
          <w:sz w:val="18"/>
          <w:szCs w:val="18"/>
        </w:rPr>
        <w:t>un particulier, les pouvoirs des policiers ne sont pas illimités. […]</w:t>
      </w:r>
    </w:p>
    <w:p w14:paraId="21350A53" w14:textId="61410352" w:rsidR="00540798" w:rsidRPr="00941354" w:rsidRDefault="00540798" w:rsidP="00A52662">
      <w:pPr>
        <w:pStyle w:val="Notedebasdepage"/>
        <w:ind w:left="357" w:firstLine="0"/>
      </w:pPr>
      <w:r w:rsidRPr="00941354">
        <w:t xml:space="preserve">Ce critère, aussi appelé « doctrine des pouvoirs accessoires », a été précisé et appliqué par de nombreux arrêts ultérieurs. Voir notamment : </w:t>
      </w:r>
      <w:r w:rsidRPr="00941354">
        <w:rPr>
          <w:i/>
          <w:iCs/>
        </w:rPr>
        <w:t>Fleming c. Ontario</w:t>
      </w:r>
      <w:r w:rsidRPr="00941354">
        <w:t>, 2019 CSC 45</w:t>
      </w:r>
      <w:r w:rsidR="00910D03" w:rsidRPr="00941354">
        <w:t xml:space="preserve"> </w:t>
      </w:r>
      <w:r w:rsidR="003A5B22">
        <w:t>(</w:t>
      </w:r>
      <w:r w:rsidR="00910D03" w:rsidRPr="00941354">
        <w:rPr>
          <w:i/>
          <w:iCs/>
        </w:rPr>
        <w:t>Fleming</w:t>
      </w:r>
      <w:r w:rsidR="003A5B22">
        <w:t>)</w:t>
      </w:r>
      <w:r w:rsidRPr="00941354">
        <w:t xml:space="preserve">, par. 43 et s.; </w:t>
      </w:r>
      <w:r w:rsidRPr="00941354">
        <w:rPr>
          <w:i/>
          <w:iCs/>
        </w:rPr>
        <w:t>R. c. Reeves</w:t>
      </w:r>
      <w:r w:rsidRPr="00941354">
        <w:t>, 2018</w:t>
      </w:r>
      <w:r w:rsidR="002B653F">
        <w:t xml:space="preserve"> </w:t>
      </w:r>
      <w:r w:rsidRPr="00941354">
        <w:t>CSC</w:t>
      </w:r>
      <w:r w:rsidR="002B653F">
        <w:t xml:space="preserve"> </w:t>
      </w:r>
      <w:r w:rsidRPr="00941354">
        <w:t xml:space="preserve">56, par. 77-78 (motifs concordants du j. Moldaver); </w:t>
      </w:r>
      <w:r w:rsidRPr="00941354">
        <w:rPr>
          <w:i/>
          <w:iCs/>
        </w:rPr>
        <w:t>R. c. MacDonald</w:t>
      </w:r>
      <w:r w:rsidRPr="00941354">
        <w:t>, 2014 CSC 3.</w:t>
      </w:r>
    </w:p>
  </w:footnote>
  <w:footnote w:id="24">
    <w:p w14:paraId="60BBB4EF" w14:textId="1FF07862" w:rsidR="00540798" w:rsidRPr="006342EC" w:rsidRDefault="00540798" w:rsidP="00540798">
      <w:pPr>
        <w:pStyle w:val="Notedebasdepage"/>
      </w:pPr>
      <w:r w:rsidRPr="00941354">
        <w:rPr>
          <w:rStyle w:val="Appelnotedebasdep"/>
        </w:rPr>
        <w:footnoteRef/>
      </w:r>
      <w:r w:rsidRPr="00654940">
        <w:rPr>
          <w:lang w:val="en-CA"/>
        </w:rPr>
        <w:t xml:space="preserve"> </w:t>
      </w:r>
      <w:r w:rsidRPr="00654940">
        <w:rPr>
          <w:lang w:val="en-CA"/>
        </w:rPr>
        <w:tab/>
      </w:r>
      <w:r w:rsidR="00D44460" w:rsidRPr="00941354">
        <w:rPr>
          <w:i/>
          <w:iCs/>
          <w:lang w:val="en-CA"/>
        </w:rPr>
        <w:t>R. c. Hufsky</w:t>
      </w:r>
      <w:r w:rsidR="00D44460" w:rsidRPr="00941354">
        <w:rPr>
          <w:lang w:val="en-CA"/>
        </w:rPr>
        <w:t>, [1988] 1 R.C.S. 621</w:t>
      </w:r>
      <w:r w:rsidRPr="00D83C77">
        <w:rPr>
          <w:lang w:val="en-CA"/>
        </w:rPr>
        <w:t>, p. 625.</w:t>
      </w:r>
      <w:r w:rsidR="006342EC">
        <w:rPr>
          <w:lang w:val="en-CA"/>
        </w:rPr>
        <w:t xml:space="preserve"> </w:t>
      </w:r>
      <w:r w:rsidR="006342EC" w:rsidRPr="006342EC">
        <w:t>No</w:t>
      </w:r>
      <w:r w:rsidR="006342EC">
        <w:t>tons que l</w:t>
      </w:r>
      <w:r w:rsidR="006342EC" w:rsidRPr="00941354">
        <w:t xml:space="preserve">es faits à l’origine </w:t>
      </w:r>
      <w:r w:rsidR="006342EC">
        <w:t>de cette affaire</w:t>
      </w:r>
      <w:r w:rsidR="006342EC" w:rsidRPr="00941354">
        <w:t xml:space="preserve"> sont</w:t>
      </w:r>
      <w:r w:rsidR="006342EC">
        <w:t xml:space="preserve"> survenus après l’entrée en vigueur de la </w:t>
      </w:r>
      <w:r w:rsidR="006342EC" w:rsidRPr="00D30990">
        <w:rPr>
          <w:i/>
          <w:iCs/>
        </w:rPr>
        <w:t>Charte</w:t>
      </w:r>
      <w:r w:rsidR="006342EC">
        <w:t>.</w:t>
      </w:r>
    </w:p>
  </w:footnote>
  <w:footnote w:id="25">
    <w:p w14:paraId="1C191542" w14:textId="77777777" w:rsidR="00540798" w:rsidRPr="00941354" w:rsidRDefault="00540798" w:rsidP="00540798">
      <w:pPr>
        <w:pStyle w:val="Notedebasdepage"/>
      </w:pPr>
      <w:r w:rsidRPr="00941354">
        <w:rPr>
          <w:rStyle w:val="Appelnotedebasdep"/>
        </w:rPr>
        <w:footnoteRef/>
      </w:r>
      <w:r w:rsidRPr="00941354">
        <w:t xml:space="preserve"> </w:t>
      </w:r>
      <w:r w:rsidRPr="00941354">
        <w:tab/>
        <w:t xml:space="preserve">À l’époque, le </w:t>
      </w:r>
      <w:r w:rsidRPr="00941354">
        <w:rPr>
          <w:i/>
          <w:iCs/>
        </w:rPr>
        <w:t>Code de la route</w:t>
      </w:r>
      <w:r w:rsidRPr="00941354">
        <w:t>, L.R.O. 1980, c. 198.</w:t>
      </w:r>
    </w:p>
  </w:footnote>
  <w:footnote w:id="26">
    <w:p w14:paraId="0951560D" w14:textId="07F9AC49" w:rsidR="00540798" w:rsidRPr="00941354" w:rsidRDefault="00540798" w:rsidP="00540798">
      <w:pPr>
        <w:pStyle w:val="Notedebasdepage"/>
        <w:rPr>
          <w:lang w:val="en-CA"/>
        </w:rPr>
      </w:pPr>
      <w:r w:rsidRPr="00941354">
        <w:rPr>
          <w:rStyle w:val="Appelnotedebasdep"/>
        </w:rPr>
        <w:footnoteRef/>
      </w:r>
      <w:r w:rsidRPr="00941354">
        <w:rPr>
          <w:lang w:val="en-CA"/>
        </w:rPr>
        <w:t xml:space="preserve"> </w:t>
      </w:r>
      <w:r w:rsidRPr="00941354">
        <w:rPr>
          <w:lang w:val="en-CA"/>
        </w:rPr>
        <w:tab/>
      </w:r>
      <w:r w:rsidRPr="00941354">
        <w:rPr>
          <w:i/>
          <w:iCs/>
          <w:lang w:val="en-CA"/>
        </w:rPr>
        <w:t>R. c. Hufsky</w:t>
      </w:r>
      <w:r w:rsidRPr="00941354">
        <w:rPr>
          <w:lang w:val="en-CA"/>
        </w:rPr>
        <w:t>, [1988] 1 R.C.S. 621, p. 631.</w:t>
      </w:r>
    </w:p>
  </w:footnote>
  <w:footnote w:id="27">
    <w:p w14:paraId="105EF8BB" w14:textId="77777777" w:rsidR="00540798" w:rsidRPr="00941354" w:rsidRDefault="00540798" w:rsidP="00540798">
      <w:pPr>
        <w:pStyle w:val="Notedebasdepage"/>
        <w:rPr>
          <w:lang w:val="en-CA"/>
        </w:rPr>
      </w:pPr>
      <w:r w:rsidRPr="00941354">
        <w:rPr>
          <w:rStyle w:val="Appelnotedebasdep"/>
        </w:rPr>
        <w:footnoteRef/>
      </w:r>
      <w:r w:rsidRPr="00941354">
        <w:rPr>
          <w:lang w:val="en-CA"/>
        </w:rPr>
        <w:t xml:space="preserve"> </w:t>
      </w:r>
      <w:r w:rsidRPr="00941354">
        <w:rPr>
          <w:lang w:val="en-CA"/>
        </w:rPr>
        <w:tab/>
      </w:r>
      <w:r w:rsidRPr="00941354">
        <w:rPr>
          <w:i/>
          <w:iCs/>
          <w:lang w:val="en-CA"/>
        </w:rPr>
        <w:t>Id.</w:t>
      </w:r>
      <w:r w:rsidRPr="00941354">
        <w:rPr>
          <w:lang w:val="en-CA"/>
        </w:rPr>
        <w:t>, p. 628.</w:t>
      </w:r>
    </w:p>
  </w:footnote>
  <w:footnote w:id="28">
    <w:p w14:paraId="2678E6C4" w14:textId="6D69E0FD" w:rsidR="00540798" w:rsidRPr="00C82E7C" w:rsidRDefault="00540798" w:rsidP="00540798">
      <w:pPr>
        <w:pStyle w:val="Notedebasdepage"/>
        <w:rPr>
          <w:lang w:val="en-CA"/>
        </w:rPr>
      </w:pPr>
      <w:r w:rsidRPr="00941354">
        <w:rPr>
          <w:rStyle w:val="Appelnotedebasdep"/>
        </w:rPr>
        <w:footnoteRef/>
      </w:r>
      <w:r w:rsidRPr="00941354">
        <w:rPr>
          <w:lang w:val="en-CA"/>
        </w:rPr>
        <w:t xml:space="preserve"> </w:t>
      </w:r>
      <w:r w:rsidRPr="00941354">
        <w:rPr>
          <w:lang w:val="en-CA"/>
        </w:rPr>
        <w:tab/>
      </w:r>
      <w:r w:rsidR="001C71BA" w:rsidRPr="00941354">
        <w:rPr>
          <w:i/>
          <w:iCs/>
          <w:lang w:val="en-CA"/>
        </w:rPr>
        <w:t>Id.</w:t>
      </w:r>
      <w:r w:rsidRPr="00941354">
        <w:rPr>
          <w:lang w:val="en-CA"/>
        </w:rPr>
        <w:t>, p. 632.</w:t>
      </w:r>
    </w:p>
  </w:footnote>
  <w:footnote w:id="29">
    <w:p w14:paraId="0739B5F6" w14:textId="77777777" w:rsidR="00540798" w:rsidRPr="00941354" w:rsidRDefault="00540798" w:rsidP="00540798">
      <w:pPr>
        <w:pStyle w:val="Notedebasdepage"/>
        <w:rPr>
          <w:lang w:val="en-CA"/>
        </w:rPr>
      </w:pPr>
      <w:r w:rsidRPr="00941354">
        <w:rPr>
          <w:rStyle w:val="Appelnotedebasdep"/>
        </w:rPr>
        <w:footnoteRef/>
      </w:r>
      <w:r w:rsidRPr="00941354">
        <w:rPr>
          <w:lang w:val="en-CA"/>
        </w:rPr>
        <w:t xml:space="preserve"> </w:t>
      </w:r>
      <w:r w:rsidRPr="00941354">
        <w:rPr>
          <w:lang w:val="en-CA"/>
        </w:rPr>
        <w:tab/>
      </w:r>
      <w:r w:rsidRPr="00941354">
        <w:rPr>
          <w:i/>
          <w:iCs/>
          <w:lang w:val="en-CA"/>
        </w:rPr>
        <w:t>Id.</w:t>
      </w:r>
      <w:r w:rsidRPr="00941354">
        <w:rPr>
          <w:lang w:val="en-CA"/>
        </w:rPr>
        <w:t>, p. 633.</w:t>
      </w:r>
    </w:p>
  </w:footnote>
  <w:footnote w:id="30">
    <w:p w14:paraId="4C066027" w14:textId="571F4FE1" w:rsidR="00540798" w:rsidRPr="00244629" w:rsidRDefault="00540798" w:rsidP="00540798">
      <w:pPr>
        <w:pStyle w:val="Notedebasdepage"/>
        <w:rPr>
          <w:lang w:val="en-CA"/>
        </w:rPr>
      </w:pPr>
      <w:r w:rsidRPr="00941354">
        <w:rPr>
          <w:rStyle w:val="Appelnotedebasdep"/>
        </w:rPr>
        <w:footnoteRef/>
      </w:r>
      <w:r w:rsidRPr="00244629">
        <w:rPr>
          <w:lang w:val="en-CA"/>
        </w:rPr>
        <w:t xml:space="preserve"> </w:t>
      </w:r>
      <w:r w:rsidRPr="00244629">
        <w:rPr>
          <w:lang w:val="en-CA"/>
        </w:rPr>
        <w:tab/>
      </w:r>
      <w:r w:rsidR="004F3E35" w:rsidRPr="00244629">
        <w:rPr>
          <w:i/>
          <w:iCs/>
          <w:lang w:val="en-CA"/>
        </w:rPr>
        <w:t>R. c. Ladouceur</w:t>
      </w:r>
      <w:r w:rsidR="004F3E35" w:rsidRPr="00244629">
        <w:rPr>
          <w:lang w:val="en-CA"/>
        </w:rPr>
        <w:t>, [1990] 1 R.C.S. 1257</w:t>
      </w:r>
      <w:r w:rsidRPr="00244629">
        <w:rPr>
          <w:lang w:val="en-CA"/>
        </w:rPr>
        <w:t>, p. 1275-1276.</w:t>
      </w:r>
    </w:p>
  </w:footnote>
  <w:footnote w:id="31">
    <w:p w14:paraId="2BA3A471" w14:textId="77777777" w:rsidR="00540798" w:rsidRPr="00654940" w:rsidRDefault="00540798" w:rsidP="00540798">
      <w:pPr>
        <w:pStyle w:val="Notedebasdepage"/>
      </w:pPr>
      <w:r w:rsidRPr="00941354">
        <w:rPr>
          <w:rStyle w:val="Appelnotedebasdep"/>
        </w:rPr>
        <w:footnoteRef/>
      </w:r>
      <w:r w:rsidRPr="00654940">
        <w:t xml:space="preserve"> </w:t>
      </w:r>
      <w:r w:rsidRPr="00654940">
        <w:tab/>
      </w:r>
      <w:r w:rsidRPr="00654940">
        <w:rPr>
          <w:i/>
          <w:iCs/>
        </w:rPr>
        <w:t>Id.</w:t>
      </w:r>
      <w:r w:rsidRPr="00654940">
        <w:t>, p. 1278.</w:t>
      </w:r>
    </w:p>
  </w:footnote>
  <w:footnote w:id="32">
    <w:p w14:paraId="3FE84896" w14:textId="27659228" w:rsidR="00540798" w:rsidRDefault="00540798" w:rsidP="00540798">
      <w:pPr>
        <w:pStyle w:val="Notedebasdepage"/>
      </w:pPr>
      <w:r w:rsidRPr="00941354">
        <w:rPr>
          <w:rStyle w:val="Appelnotedebasdep"/>
        </w:rPr>
        <w:footnoteRef/>
      </w:r>
      <w:r w:rsidRPr="00654940">
        <w:t xml:space="preserve"> </w:t>
      </w:r>
      <w:r w:rsidRPr="00654940">
        <w:tab/>
      </w:r>
      <w:bookmarkStart w:id="23" w:name="_Hlk177749459"/>
      <w:r w:rsidRPr="00654940">
        <w:rPr>
          <w:i/>
          <w:iCs/>
        </w:rPr>
        <w:t>R. v. Griffin</w:t>
      </w:r>
      <w:r w:rsidRPr="00654940">
        <w:t xml:space="preserve"> (1996),</w:t>
      </w:r>
      <w:r w:rsidR="002B653F">
        <w:t xml:space="preserve"> </w:t>
      </w:r>
      <w:r w:rsidRPr="00654940">
        <w:t>111</w:t>
      </w:r>
      <w:r w:rsidR="006B6171" w:rsidRPr="00654940">
        <w:t> </w:t>
      </w:r>
      <w:r w:rsidRPr="00654940">
        <w:t>C.C.C.</w:t>
      </w:r>
      <w:r w:rsidR="002B653F">
        <w:t xml:space="preserve"> </w:t>
      </w:r>
      <w:r w:rsidRPr="00654940">
        <w:t>(3d)</w:t>
      </w:r>
      <w:r w:rsidR="002B653F">
        <w:t xml:space="preserve"> </w:t>
      </w:r>
      <w:r w:rsidRPr="00654940">
        <w:t>490 (C.A. N.L.)</w:t>
      </w:r>
      <w:r w:rsidRPr="00941354">
        <w:t>, demande d’autorisation d’appel à la Cour suprême rejetée, 24 avril 1997, n</w:t>
      </w:r>
      <w:r w:rsidRPr="00941354">
        <w:rPr>
          <w:vertAlign w:val="superscript"/>
        </w:rPr>
        <w:t>o</w:t>
      </w:r>
      <w:r w:rsidRPr="00941354">
        <w:t xml:space="preserve"> 25753.</w:t>
      </w:r>
      <w:bookmarkEnd w:id="23"/>
    </w:p>
  </w:footnote>
  <w:footnote w:id="33">
    <w:p w14:paraId="4D356B8C" w14:textId="14CF9C3B" w:rsidR="00540798" w:rsidRPr="00724621" w:rsidRDefault="00540798" w:rsidP="00540798">
      <w:pPr>
        <w:pStyle w:val="Notedebasdepage"/>
        <w:rPr>
          <w:lang w:val="en-CA"/>
        </w:rPr>
      </w:pPr>
      <w:r w:rsidRPr="002B653F">
        <w:rPr>
          <w:rStyle w:val="Appelnotedebasdep"/>
        </w:rPr>
        <w:footnoteRef/>
      </w:r>
      <w:r w:rsidRPr="00860A4C">
        <w:rPr>
          <w:lang w:val="en-CA"/>
        </w:rPr>
        <w:t xml:space="preserve"> </w:t>
      </w:r>
      <w:r w:rsidRPr="00860A4C">
        <w:rPr>
          <w:lang w:val="en-CA"/>
        </w:rPr>
        <w:tab/>
      </w:r>
      <w:r w:rsidR="009E2B10" w:rsidRPr="00860A4C">
        <w:rPr>
          <w:i/>
          <w:iCs/>
          <w:lang w:val="en-CA"/>
        </w:rPr>
        <w:t>Id.</w:t>
      </w:r>
      <w:r w:rsidRPr="00860A4C">
        <w:rPr>
          <w:lang w:val="en-CA"/>
        </w:rPr>
        <w:t>, p.</w:t>
      </w:r>
      <w:r w:rsidR="002B653F" w:rsidRPr="00860A4C">
        <w:rPr>
          <w:lang w:val="en-CA"/>
        </w:rPr>
        <w:t xml:space="preserve"> </w:t>
      </w:r>
      <w:r w:rsidRPr="00860A4C">
        <w:rPr>
          <w:lang w:val="en-CA"/>
        </w:rPr>
        <w:t>509. Voir cependant : Wayne Gorman, « Arbitrary Detentions and Random Stops »,</w:t>
      </w:r>
      <w:r w:rsidRPr="00724621">
        <w:rPr>
          <w:lang w:val="en-CA"/>
        </w:rPr>
        <w:t xml:space="preserve"> (1999) 41 </w:t>
      </w:r>
      <w:r w:rsidRPr="00724621">
        <w:rPr>
          <w:i/>
          <w:iCs/>
          <w:lang w:val="en-CA"/>
        </w:rPr>
        <w:t>C.L.Q.</w:t>
      </w:r>
      <w:r w:rsidRPr="00724621">
        <w:rPr>
          <w:lang w:val="en-CA"/>
        </w:rPr>
        <w:t> 41, p. 52.</w:t>
      </w:r>
    </w:p>
  </w:footnote>
  <w:footnote w:id="34">
    <w:p w14:paraId="34A3E3D7" w14:textId="5B38D866" w:rsidR="00540798" w:rsidRPr="00941354" w:rsidRDefault="00540798" w:rsidP="00540798">
      <w:pPr>
        <w:pStyle w:val="Notedebasdepage"/>
      </w:pPr>
      <w:r w:rsidRPr="00941354">
        <w:rPr>
          <w:rStyle w:val="Appelnotedebasdep"/>
        </w:rPr>
        <w:footnoteRef/>
      </w:r>
      <w:r w:rsidRPr="00941354">
        <w:t xml:space="preserve"> </w:t>
      </w:r>
      <w:r w:rsidRPr="00941354">
        <w:tab/>
        <w:t xml:space="preserve">Dans l’arrêt </w:t>
      </w:r>
      <w:r w:rsidRPr="00941354">
        <w:rPr>
          <w:i/>
          <w:iCs/>
        </w:rPr>
        <w:t>R. c. MacDonald</w:t>
      </w:r>
      <w:r w:rsidRPr="00941354">
        <w:t>, 2014</w:t>
      </w:r>
      <w:r w:rsidR="002B653F">
        <w:t xml:space="preserve"> </w:t>
      </w:r>
      <w:r w:rsidRPr="00941354">
        <w:t>CSC</w:t>
      </w:r>
      <w:r w:rsidR="002B653F">
        <w:t xml:space="preserve"> </w:t>
      </w:r>
      <w:r w:rsidRPr="00941354">
        <w:t xml:space="preserve">3, la Cour suprême a précisé, au par. 37, que les trois facteurs suivants doivent être soupesés pour déterminer s’il est satisfait au deuxième volet du critère de l’arrêt </w:t>
      </w:r>
      <w:r w:rsidRPr="00941354">
        <w:rPr>
          <w:i/>
          <w:iCs/>
        </w:rPr>
        <w:t>Waterfield</w:t>
      </w:r>
      <w:r w:rsidRPr="00941354">
        <w:t> :</w:t>
      </w:r>
    </w:p>
    <w:p w14:paraId="0E689071" w14:textId="6253406E" w:rsidR="00540798" w:rsidRPr="00941354" w:rsidRDefault="00540798" w:rsidP="00540798">
      <w:pPr>
        <w:pStyle w:val="citation-altc"/>
        <w:spacing w:before="0" w:beforeAutospacing="0" w:after="0" w:afterAutospacing="0"/>
        <w:ind w:left="720" w:right="720"/>
        <w:jc w:val="both"/>
        <w:rPr>
          <w:rFonts w:ascii="Arial" w:hAnsi="Arial" w:cs="Arial"/>
          <w:sz w:val="18"/>
          <w:szCs w:val="18"/>
        </w:rPr>
      </w:pPr>
      <w:r w:rsidRPr="00941354">
        <w:rPr>
          <w:rFonts w:ascii="Arial" w:hAnsi="Arial" w:cs="Arial"/>
          <w:sz w:val="18"/>
          <w:szCs w:val="18"/>
        </w:rPr>
        <w:t>1.  l’importance que présente l’accomplissement [du] devoir [policier] pour l’intérêt public</w:t>
      </w:r>
      <w:r w:rsidR="002B653F">
        <w:rPr>
          <w:rFonts w:ascii="Arial" w:hAnsi="Arial" w:cs="Arial"/>
          <w:sz w:val="18"/>
          <w:szCs w:val="18"/>
        </w:rPr>
        <w:t xml:space="preserve"> </w:t>
      </w:r>
      <w:r w:rsidRPr="00941354">
        <w:rPr>
          <w:rFonts w:ascii="Arial" w:hAnsi="Arial" w:cs="Arial"/>
          <w:sz w:val="18"/>
          <w:szCs w:val="18"/>
        </w:rPr>
        <w:t>(</w:t>
      </w:r>
      <w:r w:rsidRPr="00941354">
        <w:rPr>
          <w:rFonts w:ascii="Arial" w:hAnsi="Arial" w:cs="Arial"/>
          <w:i/>
          <w:iCs/>
          <w:sz w:val="18"/>
          <w:szCs w:val="18"/>
        </w:rPr>
        <w:t>Mann</w:t>
      </w:r>
      <w:r w:rsidRPr="00941354">
        <w:rPr>
          <w:rFonts w:ascii="Arial" w:hAnsi="Arial" w:cs="Arial"/>
          <w:sz w:val="18"/>
          <w:szCs w:val="18"/>
        </w:rPr>
        <w:t>, par. 39);</w:t>
      </w:r>
    </w:p>
    <w:p w14:paraId="5C79F0A7" w14:textId="77777777" w:rsidR="00540798" w:rsidRPr="00941354" w:rsidRDefault="00540798" w:rsidP="00540798">
      <w:pPr>
        <w:pStyle w:val="citation-altc"/>
        <w:spacing w:before="0" w:beforeAutospacing="0" w:after="0" w:afterAutospacing="0"/>
        <w:ind w:left="720" w:right="720"/>
        <w:jc w:val="both"/>
        <w:rPr>
          <w:rFonts w:ascii="Arial" w:hAnsi="Arial" w:cs="Arial"/>
          <w:sz w:val="18"/>
          <w:szCs w:val="18"/>
        </w:rPr>
      </w:pPr>
      <w:r w:rsidRPr="00941354">
        <w:rPr>
          <w:rFonts w:ascii="Arial" w:hAnsi="Arial" w:cs="Arial"/>
          <w:sz w:val="18"/>
          <w:szCs w:val="18"/>
        </w:rPr>
        <w:t>2.  la nécessité de l’atteinte à la liberté individuelle pour l’accomplissement de ce devoir (</w:t>
      </w:r>
      <w:r w:rsidRPr="00941354">
        <w:rPr>
          <w:rFonts w:ascii="Arial" w:hAnsi="Arial" w:cs="Arial"/>
          <w:i/>
          <w:iCs/>
          <w:sz w:val="18"/>
          <w:szCs w:val="18"/>
        </w:rPr>
        <w:t>Dedman</w:t>
      </w:r>
      <w:r w:rsidRPr="00941354">
        <w:rPr>
          <w:rFonts w:ascii="Arial" w:hAnsi="Arial" w:cs="Arial"/>
          <w:sz w:val="18"/>
          <w:szCs w:val="18"/>
        </w:rPr>
        <w:t>, p. 35; </w:t>
      </w:r>
      <w:r w:rsidRPr="00941354">
        <w:rPr>
          <w:rFonts w:ascii="Arial" w:hAnsi="Arial" w:cs="Arial"/>
          <w:i/>
          <w:iCs/>
          <w:sz w:val="18"/>
          <w:szCs w:val="18"/>
        </w:rPr>
        <w:t>Clayton</w:t>
      </w:r>
      <w:r w:rsidRPr="00941354">
        <w:rPr>
          <w:rFonts w:ascii="Arial" w:hAnsi="Arial" w:cs="Arial"/>
          <w:sz w:val="18"/>
          <w:szCs w:val="18"/>
        </w:rPr>
        <w:t>, par. 21, 26 et 31);</w:t>
      </w:r>
    </w:p>
    <w:p w14:paraId="4D1219F3" w14:textId="3925AA1C" w:rsidR="00540798" w:rsidRPr="00941354" w:rsidRDefault="00540798" w:rsidP="00540798">
      <w:pPr>
        <w:pStyle w:val="Notedebasdepage"/>
        <w:ind w:left="720" w:right="720" w:firstLine="0"/>
        <w:rPr>
          <w:rFonts w:cs="Arial"/>
          <w:sz w:val="18"/>
          <w:szCs w:val="18"/>
        </w:rPr>
      </w:pPr>
      <w:r w:rsidRPr="00941354">
        <w:rPr>
          <w:rFonts w:cs="Arial"/>
          <w:sz w:val="18"/>
          <w:szCs w:val="18"/>
        </w:rPr>
        <w:t>3.  l’ampleur de l’atteinte à la liberté individuelle (</w:t>
      </w:r>
      <w:r w:rsidRPr="00941354">
        <w:rPr>
          <w:rFonts w:cs="Arial"/>
          <w:i/>
          <w:iCs/>
          <w:sz w:val="18"/>
          <w:szCs w:val="18"/>
        </w:rPr>
        <w:t>Dedman</w:t>
      </w:r>
      <w:r w:rsidRPr="00941354">
        <w:rPr>
          <w:rFonts w:cs="Arial"/>
          <w:sz w:val="18"/>
          <w:szCs w:val="18"/>
        </w:rPr>
        <w:t>, p.</w:t>
      </w:r>
      <w:r w:rsidR="002B653F">
        <w:rPr>
          <w:rFonts w:cs="Arial"/>
          <w:sz w:val="18"/>
          <w:szCs w:val="18"/>
        </w:rPr>
        <w:t xml:space="preserve"> </w:t>
      </w:r>
      <w:r w:rsidRPr="00941354">
        <w:rPr>
          <w:rFonts w:cs="Arial"/>
          <w:sz w:val="18"/>
          <w:szCs w:val="18"/>
        </w:rPr>
        <w:t>35).</w:t>
      </w:r>
    </w:p>
  </w:footnote>
  <w:footnote w:id="35">
    <w:p w14:paraId="4A7A4C9A" w14:textId="4B60864A" w:rsidR="00540798" w:rsidRPr="00F57F6E" w:rsidRDefault="00540798" w:rsidP="00540798">
      <w:pPr>
        <w:pStyle w:val="Notedebasdepage"/>
        <w:rPr>
          <w:lang w:val="en-CA"/>
        </w:rPr>
      </w:pPr>
      <w:r w:rsidRPr="002B653F">
        <w:rPr>
          <w:rStyle w:val="Appelnotedebasdep"/>
        </w:rPr>
        <w:footnoteRef/>
      </w:r>
      <w:r w:rsidRPr="00860A4C">
        <w:rPr>
          <w:lang w:val="en-CA"/>
        </w:rPr>
        <w:t xml:space="preserve"> </w:t>
      </w:r>
      <w:r w:rsidRPr="00860A4C">
        <w:rPr>
          <w:lang w:val="en-CA"/>
        </w:rPr>
        <w:tab/>
      </w:r>
      <w:r w:rsidR="00A405FF" w:rsidRPr="00860A4C">
        <w:rPr>
          <w:i/>
          <w:iCs/>
          <w:lang w:val="en-CA"/>
        </w:rPr>
        <w:t>Fleming c. Ontario</w:t>
      </w:r>
      <w:r w:rsidR="00A405FF" w:rsidRPr="00860A4C">
        <w:rPr>
          <w:lang w:val="en-CA"/>
        </w:rPr>
        <w:t xml:space="preserve">, 2019 CSC 45. </w:t>
      </w:r>
      <w:r w:rsidRPr="00860A4C">
        <w:rPr>
          <w:lang w:val="en-CA"/>
        </w:rPr>
        <w:t xml:space="preserve">Voir aussi : John Burchill, </w:t>
      </w:r>
      <w:r w:rsidRPr="00860A4C">
        <w:rPr>
          <w:color w:val="000000"/>
          <w:lang w:val="en-CA"/>
        </w:rPr>
        <w:t>« A Horse Gallops Down a Street…Policing</w:t>
      </w:r>
      <w:r w:rsidRPr="00941354">
        <w:rPr>
          <w:color w:val="000000"/>
          <w:lang w:val="en-CA"/>
        </w:rPr>
        <w:t xml:space="preserve"> and the Resilience of the Common Law »</w:t>
      </w:r>
      <w:r w:rsidRPr="00941354">
        <w:rPr>
          <w:lang w:val="en-CA"/>
        </w:rPr>
        <w:t xml:space="preserve">, (2018) 41:1 </w:t>
      </w:r>
      <w:r w:rsidRPr="00941354">
        <w:rPr>
          <w:i/>
          <w:iCs/>
          <w:lang w:val="en-CA"/>
        </w:rPr>
        <w:t>Man.L.J.</w:t>
      </w:r>
      <w:r w:rsidRPr="00941354">
        <w:rPr>
          <w:lang w:val="en-CA"/>
        </w:rPr>
        <w:t xml:space="preserve"> 161, p. 175; </w:t>
      </w:r>
      <w:r w:rsidRPr="00941354">
        <w:rPr>
          <w:color w:val="000000"/>
          <w:lang w:val="en-CA"/>
        </w:rPr>
        <w:t>Richard Jochelson, « Ancillary Issues with</w:t>
      </w:r>
      <w:r w:rsidR="00586275">
        <w:rPr>
          <w:color w:val="000000"/>
          <w:lang w:val="en-CA"/>
        </w:rPr>
        <w:t xml:space="preserve"> </w:t>
      </w:r>
      <w:r w:rsidRPr="00941354">
        <w:rPr>
          <w:color w:val="000000"/>
          <w:lang w:val="en-CA"/>
        </w:rPr>
        <w:t>Oakes: The Development of the Waterfield Test and the Problem of Fundamental Constitutional Theory »</w:t>
      </w:r>
      <w:r w:rsidR="00854875" w:rsidRPr="00941354">
        <w:rPr>
          <w:color w:val="000000"/>
          <w:lang w:val="en-CA"/>
        </w:rPr>
        <w:t>, (2013)</w:t>
      </w:r>
      <w:r w:rsidRPr="00941354">
        <w:rPr>
          <w:color w:val="000000"/>
          <w:lang w:val="en-CA"/>
        </w:rPr>
        <w:t xml:space="preserve"> 43</w:t>
      </w:r>
      <w:r w:rsidR="00854875" w:rsidRPr="00941354">
        <w:rPr>
          <w:color w:val="000000"/>
          <w:lang w:val="en-CA"/>
        </w:rPr>
        <w:t>:3</w:t>
      </w:r>
      <w:r w:rsidR="00052230">
        <w:rPr>
          <w:color w:val="000000"/>
          <w:lang w:val="en-CA"/>
        </w:rPr>
        <w:t xml:space="preserve"> </w:t>
      </w:r>
      <w:r w:rsidRPr="00941354">
        <w:rPr>
          <w:i/>
          <w:iCs/>
          <w:color w:val="000000"/>
          <w:lang w:val="en-CA"/>
        </w:rPr>
        <w:t>R.D.</w:t>
      </w:r>
      <w:r w:rsidR="00052230">
        <w:rPr>
          <w:i/>
          <w:iCs/>
          <w:color w:val="000000"/>
          <w:lang w:val="en-CA"/>
        </w:rPr>
        <w:t xml:space="preserve"> </w:t>
      </w:r>
      <w:r w:rsidRPr="00941354">
        <w:rPr>
          <w:i/>
          <w:iCs/>
          <w:color w:val="000000"/>
          <w:lang w:val="en-CA"/>
        </w:rPr>
        <w:t>Ottawa</w:t>
      </w:r>
      <w:r w:rsidR="00052230">
        <w:rPr>
          <w:color w:val="000000"/>
          <w:lang w:val="en-CA"/>
        </w:rPr>
        <w:t xml:space="preserve"> </w:t>
      </w:r>
      <w:r w:rsidRPr="00941354">
        <w:rPr>
          <w:color w:val="000000"/>
          <w:lang w:val="en-CA"/>
        </w:rPr>
        <w:t>355, p. 366-367.</w:t>
      </w:r>
    </w:p>
  </w:footnote>
  <w:footnote w:id="36">
    <w:p w14:paraId="50D99B2B" w14:textId="4E929FEB" w:rsidR="00540798" w:rsidRPr="00941354" w:rsidRDefault="00540798" w:rsidP="00540798">
      <w:pPr>
        <w:pStyle w:val="Notedebasdepage"/>
      </w:pPr>
      <w:r w:rsidRPr="00941354">
        <w:rPr>
          <w:rStyle w:val="Appelnotedebasdep"/>
        </w:rPr>
        <w:footnoteRef/>
      </w:r>
      <w:r w:rsidRPr="00941354">
        <w:t xml:space="preserve"> </w:t>
      </w:r>
      <w:r w:rsidRPr="00941354">
        <w:tab/>
      </w:r>
      <w:r w:rsidRPr="00941354">
        <w:rPr>
          <w:i/>
          <w:iCs/>
        </w:rPr>
        <w:t>Fleming c. Ontario</w:t>
      </w:r>
      <w:r w:rsidRPr="00941354">
        <w:t>, 2019 CSC 45, par. 38.</w:t>
      </w:r>
    </w:p>
  </w:footnote>
  <w:footnote w:id="37">
    <w:p w14:paraId="472297B0" w14:textId="77777777" w:rsidR="00540798" w:rsidRPr="00941354" w:rsidRDefault="00540798" w:rsidP="00540798">
      <w:pPr>
        <w:pStyle w:val="Notedebasdepage"/>
      </w:pPr>
      <w:r w:rsidRPr="00941354">
        <w:rPr>
          <w:rStyle w:val="Appelnotedebasdep"/>
        </w:rPr>
        <w:footnoteRef/>
      </w:r>
      <w:r w:rsidRPr="00941354">
        <w:t xml:space="preserve"> </w:t>
      </w:r>
      <w:r w:rsidRPr="00941354">
        <w:tab/>
      </w:r>
      <w:r w:rsidRPr="00941354">
        <w:rPr>
          <w:i/>
          <w:iCs/>
        </w:rPr>
        <w:t>Id.</w:t>
      </w:r>
      <w:r w:rsidRPr="00941354">
        <w:t>, par. 41.</w:t>
      </w:r>
    </w:p>
  </w:footnote>
  <w:footnote w:id="38">
    <w:p w14:paraId="15221754" w14:textId="77777777" w:rsidR="00540798" w:rsidRPr="00C92E5C" w:rsidRDefault="00540798" w:rsidP="00540798">
      <w:pPr>
        <w:pStyle w:val="Notedebasdepage"/>
      </w:pPr>
      <w:r w:rsidRPr="00941354">
        <w:rPr>
          <w:rStyle w:val="Appelnotedebasdep"/>
        </w:rPr>
        <w:footnoteRef/>
      </w:r>
      <w:r w:rsidRPr="00941354">
        <w:t xml:space="preserve"> </w:t>
      </w:r>
      <w:r w:rsidRPr="00941354">
        <w:tab/>
      </w:r>
      <w:r w:rsidRPr="00941354">
        <w:rPr>
          <w:i/>
          <w:iCs/>
        </w:rPr>
        <w:t>Id.</w:t>
      </w:r>
      <w:r w:rsidRPr="00941354">
        <w:t>, par. 42 [soulignement ajouté].</w:t>
      </w:r>
    </w:p>
  </w:footnote>
  <w:footnote w:id="39">
    <w:p w14:paraId="05BB2EE6" w14:textId="5F8D4000" w:rsidR="00C25FBE" w:rsidRPr="00941354" w:rsidRDefault="00C25FBE">
      <w:pPr>
        <w:pStyle w:val="Notedebasdepage"/>
      </w:pPr>
      <w:r w:rsidRPr="00941354">
        <w:rPr>
          <w:rStyle w:val="Appelnotedebasdep"/>
        </w:rPr>
        <w:footnoteRef/>
      </w:r>
      <w:r w:rsidRPr="00941354">
        <w:t xml:space="preserve"> </w:t>
      </w:r>
      <w:r w:rsidRPr="00941354">
        <w:tab/>
      </w:r>
      <w:bookmarkStart w:id="26" w:name="_Hlk177749539"/>
      <w:r w:rsidRPr="00941354">
        <w:rPr>
          <w:i/>
          <w:iCs/>
        </w:rPr>
        <w:t>R. c. McColman</w:t>
      </w:r>
      <w:r w:rsidRPr="00941354">
        <w:t>, 2023</w:t>
      </w:r>
      <w:r w:rsidR="00586275">
        <w:t xml:space="preserve"> </w:t>
      </w:r>
      <w:r w:rsidRPr="00941354">
        <w:t>CSC</w:t>
      </w:r>
      <w:r w:rsidR="00586275">
        <w:t xml:space="preserve"> </w:t>
      </w:r>
      <w:r w:rsidRPr="00941354">
        <w:t>8, par.</w:t>
      </w:r>
      <w:r w:rsidR="00586275">
        <w:t xml:space="preserve"> </w:t>
      </w:r>
      <w:r w:rsidRPr="00941354">
        <w:t>29.</w:t>
      </w:r>
      <w:bookmarkEnd w:id="26"/>
    </w:p>
  </w:footnote>
  <w:footnote w:id="40">
    <w:p w14:paraId="1AAD2C94" w14:textId="0503ABC1" w:rsidR="00211886" w:rsidRDefault="00211886">
      <w:pPr>
        <w:pStyle w:val="Notedebasdepage"/>
      </w:pPr>
      <w:r>
        <w:rPr>
          <w:rStyle w:val="Appelnotedebasdep"/>
        </w:rPr>
        <w:footnoteRef/>
      </w:r>
      <w:r>
        <w:t xml:space="preserve"> </w:t>
      </w:r>
      <w:r>
        <w:tab/>
      </w:r>
      <w:r w:rsidRPr="00211886">
        <w:t xml:space="preserve">Les parties ont adopté la position erronée selon laquelle l’arrêt </w:t>
      </w:r>
      <w:r w:rsidRPr="007B6CA8">
        <w:rPr>
          <w:i/>
          <w:iCs/>
        </w:rPr>
        <w:t>Ladouceur</w:t>
      </w:r>
      <w:r w:rsidRPr="00211886">
        <w:t xml:space="preserve"> a reconnu l’existence d’un pouvoir policier de common law de procéder à des interceptions routières sans motif requis. Compte tenu de cette position, aucune d’entre elles n’a demandé à la Cour de déterminer si, dans les faits, un tel pouvoir existe en common law. La Cour ne se prononce donc pas sur cette question.</w:t>
      </w:r>
    </w:p>
  </w:footnote>
  <w:footnote w:id="41">
    <w:p w14:paraId="196212C9" w14:textId="25776570" w:rsidR="005A1C52" w:rsidRPr="00D45E3B" w:rsidRDefault="005A1C52" w:rsidP="005A1C52">
      <w:pPr>
        <w:pStyle w:val="Notedebasdepage"/>
      </w:pPr>
      <w:r w:rsidRPr="00941354">
        <w:rPr>
          <w:rStyle w:val="Appelnotedebasdep"/>
        </w:rPr>
        <w:footnoteRef/>
      </w:r>
      <w:r w:rsidRPr="00941354">
        <w:t xml:space="preserve"> </w:t>
      </w:r>
      <w:r w:rsidRPr="00941354">
        <w:tab/>
      </w:r>
      <w:r w:rsidRPr="00941354">
        <w:rPr>
          <w:i/>
          <w:iCs/>
        </w:rPr>
        <w:t>R. c. Soucisse</w:t>
      </w:r>
      <w:r w:rsidRPr="00941354">
        <w:t xml:space="preserve">, [1994] R.J.Q. 1546 (C.A.) </w:t>
      </w:r>
      <w:r w:rsidR="00452A94">
        <w:t>(</w:t>
      </w:r>
      <w:r w:rsidRPr="00941354">
        <w:rPr>
          <w:i/>
          <w:iCs/>
        </w:rPr>
        <w:t>Soucisse</w:t>
      </w:r>
      <w:r w:rsidR="00452A94">
        <w:t>)</w:t>
      </w:r>
      <w:r w:rsidRPr="00941354">
        <w:t>.</w:t>
      </w:r>
    </w:p>
  </w:footnote>
  <w:footnote w:id="42">
    <w:p w14:paraId="62777A51" w14:textId="77777777" w:rsidR="005A1C52" w:rsidRPr="003C7AF4" w:rsidRDefault="005A1C52" w:rsidP="005A1C52">
      <w:pPr>
        <w:pStyle w:val="Notedebasdepage"/>
      </w:pPr>
      <w:r w:rsidRPr="003C7AF4">
        <w:rPr>
          <w:rStyle w:val="Appelnotedebasdep"/>
        </w:rPr>
        <w:footnoteRef/>
      </w:r>
      <w:r w:rsidRPr="003C7AF4">
        <w:t xml:space="preserve"> </w:t>
      </w:r>
      <w:r w:rsidRPr="003C7AF4">
        <w:tab/>
      </w:r>
      <w:r w:rsidRPr="003C7AF4">
        <w:rPr>
          <w:i/>
          <w:iCs/>
        </w:rPr>
        <w:t>Id</w:t>
      </w:r>
      <w:r w:rsidRPr="003C7AF4">
        <w:t>., p. 1550-1551.</w:t>
      </w:r>
    </w:p>
  </w:footnote>
  <w:footnote w:id="43">
    <w:p w14:paraId="73A203B7" w14:textId="12D5C269" w:rsidR="00353DE6" w:rsidRDefault="00353DE6" w:rsidP="00353DE6">
      <w:pPr>
        <w:pStyle w:val="Notedebasdepage"/>
      </w:pPr>
      <w:r w:rsidRPr="003C7AF4">
        <w:rPr>
          <w:rStyle w:val="Appelnotedebasdep"/>
        </w:rPr>
        <w:footnoteRef/>
      </w:r>
      <w:r w:rsidRPr="003C7AF4">
        <w:t xml:space="preserve"> </w:t>
      </w:r>
      <w:r w:rsidRPr="003C7AF4">
        <w:tab/>
      </w:r>
      <w:r w:rsidRPr="003C7AF4">
        <w:rPr>
          <w:i/>
          <w:iCs/>
        </w:rPr>
        <w:t>Id.</w:t>
      </w:r>
      <w:r w:rsidRPr="003C7AF4">
        <w:t xml:space="preserve">, p. 1551. Voir aussi : </w:t>
      </w:r>
      <w:r w:rsidRPr="003C7AF4">
        <w:rPr>
          <w:i/>
          <w:iCs/>
        </w:rPr>
        <w:t>LSJPA – 1530</w:t>
      </w:r>
      <w:r w:rsidRPr="003C7AF4">
        <w:t>, 2015</w:t>
      </w:r>
      <w:r w:rsidR="008C24D5">
        <w:t xml:space="preserve"> </w:t>
      </w:r>
      <w:r w:rsidRPr="003C7AF4">
        <w:t>QCCA</w:t>
      </w:r>
      <w:r w:rsidR="008C24D5">
        <w:t xml:space="preserve"> </w:t>
      </w:r>
      <w:r w:rsidRPr="003C7AF4">
        <w:t>1315, par.</w:t>
      </w:r>
      <w:r w:rsidR="008C24D5">
        <w:t xml:space="preserve"> </w:t>
      </w:r>
      <w:r w:rsidRPr="003C7AF4">
        <w:t xml:space="preserve">28; </w:t>
      </w:r>
      <w:r w:rsidRPr="003C7AF4">
        <w:rPr>
          <w:i/>
          <w:iCs/>
        </w:rPr>
        <w:t>Éthier c. R</w:t>
      </w:r>
      <w:r w:rsidRPr="003C7AF4">
        <w:t>., 2022</w:t>
      </w:r>
      <w:r w:rsidR="00452A94">
        <w:t> </w:t>
      </w:r>
      <w:r w:rsidRPr="003C7AF4">
        <w:t>QCCS</w:t>
      </w:r>
      <w:r w:rsidR="00452A94">
        <w:t> </w:t>
      </w:r>
      <w:r w:rsidRPr="003C7AF4">
        <w:t>535, par. 72.</w:t>
      </w:r>
    </w:p>
  </w:footnote>
  <w:footnote w:id="44">
    <w:p w14:paraId="340F9013" w14:textId="2D8FE068" w:rsidR="005A1C52" w:rsidRPr="003C7AF4" w:rsidRDefault="005A1C52" w:rsidP="005A1C52">
      <w:pPr>
        <w:pStyle w:val="Notedebasdepage"/>
      </w:pPr>
      <w:r w:rsidRPr="003C7AF4">
        <w:rPr>
          <w:rStyle w:val="Appelnotedebasdep"/>
        </w:rPr>
        <w:footnoteRef/>
      </w:r>
      <w:r w:rsidRPr="003C7AF4">
        <w:t xml:space="preserve"> </w:t>
      </w:r>
      <w:r w:rsidRPr="003C7AF4">
        <w:tab/>
        <w:t xml:space="preserve">La version initiale de l’art. 636 </w:t>
      </w:r>
      <w:r w:rsidRPr="003C7AF4">
        <w:rPr>
          <w:i/>
          <w:iCs/>
        </w:rPr>
        <w:t>C.s.r.</w:t>
      </w:r>
      <w:r w:rsidRPr="003C7AF4">
        <w:t>, adoptée en 1986, prévoyait ainsi que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5A1C52" w:rsidRPr="00707E00" w14:paraId="5A17DF57" w14:textId="77777777" w:rsidTr="00B95EDB">
        <w:trPr>
          <w:jc w:val="center"/>
        </w:trPr>
        <w:tc>
          <w:tcPr>
            <w:tcW w:w="4032" w:type="dxa"/>
          </w:tcPr>
          <w:p w14:paraId="5416F2C8" w14:textId="77777777" w:rsidR="005A1C52" w:rsidRPr="003C7AF4" w:rsidRDefault="005A1C52" w:rsidP="00571B46">
            <w:pPr>
              <w:pStyle w:val="Tableaugauchefranais"/>
              <w:spacing w:line="240" w:lineRule="auto"/>
              <w:ind w:right="142"/>
              <w:jc w:val="both"/>
              <w:rPr>
                <w:sz w:val="18"/>
                <w:szCs w:val="16"/>
              </w:rPr>
            </w:pPr>
            <w:bookmarkStart w:id="29" w:name="_Hlk151555516"/>
            <w:r w:rsidRPr="003C7AF4">
              <w:rPr>
                <w:b/>
                <w:bCs/>
                <w:sz w:val="18"/>
                <w:szCs w:val="16"/>
              </w:rPr>
              <w:t>636</w:t>
            </w:r>
            <w:r w:rsidRPr="003C7AF4">
              <w:rPr>
                <w:sz w:val="18"/>
                <w:szCs w:val="16"/>
              </w:rPr>
              <w:t>. Tout agent de la paix qui, dans l’exécution des fonctions qui lui sont conférées en vertu du présent code, a un motif raisonnable de croire qu’une infraction à ce code a été commise et que les circonstances l’exigent, peut sans la permission du propriétaire, prendre possession d’un véhicule routier, le conduire et le remiser aux frais du propriétaire.</w:t>
            </w:r>
          </w:p>
        </w:tc>
        <w:tc>
          <w:tcPr>
            <w:tcW w:w="4032" w:type="dxa"/>
          </w:tcPr>
          <w:p w14:paraId="0F6CC03F" w14:textId="77777777" w:rsidR="005A1C52" w:rsidRPr="00A303BB" w:rsidRDefault="005A1C52" w:rsidP="00571B46">
            <w:pPr>
              <w:pStyle w:val="Tableaudroiteanglais"/>
              <w:spacing w:line="240" w:lineRule="auto"/>
              <w:ind w:left="142"/>
              <w:rPr>
                <w:sz w:val="18"/>
                <w:szCs w:val="18"/>
              </w:rPr>
            </w:pPr>
            <w:r w:rsidRPr="003C7AF4">
              <w:rPr>
                <w:b/>
                <w:bCs/>
                <w:sz w:val="18"/>
                <w:szCs w:val="18"/>
              </w:rPr>
              <w:t xml:space="preserve">636. </w:t>
            </w:r>
            <w:r w:rsidRPr="003C7AF4">
              <w:rPr>
                <w:rFonts w:cs="Arial"/>
                <w:sz w:val="18"/>
                <w:szCs w:val="18"/>
                <w:shd w:val="clear" w:color="auto" w:fill="FFFFFF"/>
              </w:rPr>
              <w:t>Every peace officer who, in the performance of the duties conferred on him under this Code, has reasonable cause to believe that an offence against this Code has been committed and that it is required by the circumstances, may, without the owner’s permission, take possession of a road vehicle, drive it and impound it at the expense of the owner.</w:t>
            </w:r>
          </w:p>
        </w:tc>
      </w:tr>
    </w:tbl>
    <w:bookmarkEnd w:id="29"/>
    <w:p w14:paraId="60DFFE1F" w14:textId="77777777" w:rsidR="005A1C52" w:rsidRPr="003C7AF4" w:rsidRDefault="005A1C52" w:rsidP="008C24D5">
      <w:pPr>
        <w:pStyle w:val="Notedebasdepage"/>
        <w:spacing w:before="60" w:after="60"/>
        <w:ind w:firstLine="0"/>
      </w:pPr>
      <w:r w:rsidRPr="003C7AF4">
        <w:t xml:space="preserve">De même, la version ultérieure de l’art. 636, adoptée en 1987, énonçait que :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5A1C52" w:rsidRPr="00707E00" w14:paraId="087DF2B9" w14:textId="77777777" w:rsidTr="00B95EDB">
        <w:trPr>
          <w:jc w:val="center"/>
        </w:trPr>
        <w:tc>
          <w:tcPr>
            <w:tcW w:w="4032" w:type="dxa"/>
          </w:tcPr>
          <w:p w14:paraId="0C24CC39" w14:textId="77777777" w:rsidR="005A1C52" w:rsidRPr="003C7AF4" w:rsidRDefault="005A1C52" w:rsidP="00571B46">
            <w:pPr>
              <w:spacing w:line="240" w:lineRule="auto"/>
              <w:ind w:left="720" w:right="142"/>
              <w:jc w:val="both"/>
              <w:rPr>
                <w:rFonts w:ascii="Times New Roman" w:hAnsi="Times New Roman"/>
                <w:sz w:val="18"/>
                <w:szCs w:val="18"/>
                <w:lang w:eastAsia="fr-CA"/>
              </w:rPr>
            </w:pPr>
            <w:r w:rsidRPr="003C7AF4">
              <w:rPr>
                <w:b/>
                <w:bCs/>
                <w:sz w:val="18"/>
                <w:szCs w:val="18"/>
              </w:rPr>
              <w:t>636</w:t>
            </w:r>
            <w:r w:rsidRPr="003C7AF4">
              <w:rPr>
                <w:sz w:val="18"/>
                <w:szCs w:val="18"/>
              </w:rPr>
              <w:t xml:space="preserve">. </w:t>
            </w:r>
            <w:r w:rsidRPr="003C7AF4">
              <w:rPr>
                <w:rFonts w:cs="Arial"/>
                <w:sz w:val="18"/>
                <w:szCs w:val="18"/>
                <w:shd w:val="clear" w:color="auto" w:fill="FFFFFF"/>
                <w:lang w:eastAsia="fr-CA"/>
              </w:rPr>
              <w:t>Tout agent de la paix qui, dans l’exercice des fonctions qui lui sont conférées en vertu du présent code, a un motif raisonnable de croire qu’une infraction à ce code a été commise et que les circonstances l’exigent, peut:</w:t>
            </w:r>
          </w:p>
          <w:p w14:paraId="7ABB5BD4" w14:textId="77777777" w:rsidR="005A1C52" w:rsidRPr="003C7AF4" w:rsidRDefault="005A1C52" w:rsidP="00571B46">
            <w:pPr>
              <w:shd w:val="clear" w:color="auto" w:fill="FFFFFF"/>
              <w:spacing w:line="240" w:lineRule="auto"/>
              <w:ind w:left="720" w:right="142"/>
              <w:jc w:val="both"/>
              <w:rPr>
                <w:rFonts w:cs="Arial"/>
                <w:sz w:val="18"/>
                <w:szCs w:val="18"/>
                <w:lang w:eastAsia="fr-CA"/>
              </w:rPr>
            </w:pPr>
            <w:r w:rsidRPr="003C7AF4">
              <w:rPr>
                <w:rFonts w:cs="Arial"/>
                <w:sz w:val="18"/>
                <w:szCs w:val="18"/>
                <w:lang w:eastAsia="fr-CA"/>
              </w:rPr>
              <w:t>1°  faire immobiliser un véhicule routier;</w:t>
            </w:r>
          </w:p>
          <w:p w14:paraId="00BECBE8" w14:textId="77777777" w:rsidR="005A1C52" w:rsidRPr="003C7AF4" w:rsidRDefault="005A1C52" w:rsidP="00571B46">
            <w:pPr>
              <w:shd w:val="clear" w:color="auto" w:fill="FFFFFF"/>
              <w:spacing w:line="240" w:lineRule="auto"/>
              <w:ind w:left="720" w:right="142"/>
              <w:jc w:val="both"/>
              <w:rPr>
                <w:rFonts w:cs="Arial"/>
                <w:sz w:val="22"/>
                <w:szCs w:val="22"/>
                <w:lang w:eastAsia="fr-CA"/>
              </w:rPr>
            </w:pPr>
            <w:r w:rsidRPr="003C7AF4">
              <w:rPr>
                <w:rFonts w:cs="Arial"/>
                <w:sz w:val="18"/>
                <w:szCs w:val="18"/>
                <w:lang w:eastAsia="fr-CA"/>
              </w:rPr>
              <w:t>2°  sans la permission du propriétaire, prendre possession d’un véhicule routier, le conduire et le remiser aux frais du propriétaire.</w:t>
            </w:r>
          </w:p>
        </w:tc>
        <w:tc>
          <w:tcPr>
            <w:tcW w:w="4032" w:type="dxa"/>
          </w:tcPr>
          <w:p w14:paraId="32A1285F" w14:textId="77777777" w:rsidR="005A1C52" w:rsidRPr="003C7AF4" w:rsidRDefault="005A1C52" w:rsidP="00571B46">
            <w:pPr>
              <w:spacing w:line="240" w:lineRule="auto"/>
              <w:ind w:left="142" w:right="720"/>
              <w:jc w:val="both"/>
              <w:rPr>
                <w:rFonts w:ascii="Times New Roman" w:hAnsi="Times New Roman"/>
                <w:sz w:val="18"/>
                <w:szCs w:val="18"/>
                <w:lang w:val="en-CA" w:eastAsia="fr-CA"/>
              </w:rPr>
            </w:pPr>
            <w:r w:rsidRPr="003C7AF4">
              <w:rPr>
                <w:b/>
                <w:bCs/>
                <w:sz w:val="18"/>
                <w:szCs w:val="18"/>
                <w:lang w:val="en-CA"/>
              </w:rPr>
              <w:t xml:space="preserve">636. </w:t>
            </w:r>
            <w:r w:rsidRPr="003C7AF4">
              <w:rPr>
                <w:rFonts w:cs="Arial"/>
                <w:sz w:val="18"/>
                <w:szCs w:val="18"/>
                <w:shd w:val="clear" w:color="auto" w:fill="FFFFFF"/>
                <w:lang w:val="en-CA" w:eastAsia="fr-CA"/>
              </w:rPr>
              <w:t> Every peace officer who, in the performance of the duties conferred on him under this Code, has reasonable cause to believe that an offence against this Code has been committed and that it is required by the circumstances, may</w:t>
            </w:r>
          </w:p>
          <w:p w14:paraId="6B969AFA" w14:textId="77777777" w:rsidR="005A1C52" w:rsidRPr="003C7AF4" w:rsidRDefault="005A1C52" w:rsidP="00571B46">
            <w:pPr>
              <w:shd w:val="clear" w:color="auto" w:fill="FFFFFF"/>
              <w:spacing w:line="240" w:lineRule="auto"/>
              <w:ind w:left="142" w:right="720"/>
              <w:jc w:val="both"/>
              <w:rPr>
                <w:rFonts w:cs="Arial"/>
                <w:sz w:val="18"/>
                <w:szCs w:val="18"/>
                <w:lang w:val="en-CA" w:eastAsia="fr-CA"/>
              </w:rPr>
            </w:pPr>
            <w:r w:rsidRPr="003C7AF4">
              <w:rPr>
                <w:rFonts w:cs="Arial"/>
                <w:sz w:val="18"/>
                <w:szCs w:val="18"/>
                <w:lang w:val="en-CA" w:eastAsia="fr-CA"/>
              </w:rPr>
              <w:t>(1)  stop a road vehicle;</w:t>
            </w:r>
          </w:p>
          <w:p w14:paraId="0BC465B1" w14:textId="77777777" w:rsidR="005A1C52" w:rsidRPr="003C7AF4" w:rsidRDefault="005A1C52" w:rsidP="00571B46">
            <w:pPr>
              <w:shd w:val="clear" w:color="auto" w:fill="FFFFFF"/>
              <w:spacing w:line="240" w:lineRule="auto"/>
              <w:ind w:left="142" w:right="720"/>
              <w:jc w:val="both"/>
              <w:rPr>
                <w:rFonts w:cs="Arial"/>
                <w:sz w:val="18"/>
                <w:szCs w:val="18"/>
                <w:lang w:val="en-CA" w:eastAsia="fr-CA"/>
              </w:rPr>
            </w:pPr>
            <w:r w:rsidRPr="003C7AF4">
              <w:rPr>
                <w:rFonts w:cs="Arial"/>
                <w:sz w:val="18"/>
                <w:szCs w:val="18"/>
                <w:lang w:val="en-CA" w:eastAsia="fr-CA"/>
              </w:rPr>
              <w:br/>
              <w:t>(2)  without the owner’s permission, take possession of a road vehicle, drive it and impound it at the expense of the owner.</w:t>
            </w:r>
          </w:p>
        </w:tc>
      </w:tr>
    </w:tbl>
    <w:p w14:paraId="62D55841" w14:textId="77777777" w:rsidR="005A1C52" w:rsidRPr="003C7AF4" w:rsidRDefault="005A1C52" w:rsidP="005A1C52">
      <w:pPr>
        <w:pStyle w:val="Notedebasdepage"/>
        <w:ind w:left="0" w:firstLine="0"/>
        <w:rPr>
          <w:sz w:val="2"/>
          <w:szCs w:val="2"/>
          <w:lang w:val="en-CA"/>
        </w:rPr>
      </w:pPr>
    </w:p>
  </w:footnote>
  <w:footnote w:id="45">
    <w:p w14:paraId="2DA7A688" w14:textId="5523C595" w:rsidR="005A1C52" w:rsidRPr="003C7AF4" w:rsidRDefault="005A1C52" w:rsidP="005A1C52">
      <w:pPr>
        <w:pStyle w:val="Notedebasdepage"/>
      </w:pPr>
      <w:r w:rsidRPr="003C7AF4">
        <w:rPr>
          <w:rStyle w:val="Appelnotedebasdep"/>
        </w:rPr>
        <w:footnoteRef/>
      </w:r>
      <w:r w:rsidRPr="003C7AF4">
        <w:t xml:space="preserve"> </w:t>
      </w:r>
      <w:r w:rsidRPr="003C7AF4">
        <w:tab/>
      </w:r>
      <w:r w:rsidRPr="003C7AF4">
        <w:rPr>
          <w:rFonts w:cs="Arial"/>
          <w:i/>
          <w:iCs/>
          <w:color w:val="000000"/>
        </w:rPr>
        <w:t>Loi modifiant le Code de la sécurité routière et d’autres dispositions législatives</w:t>
      </w:r>
      <w:r w:rsidRPr="003C7AF4">
        <w:rPr>
          <w:rFonts w:cs="Arial"/>
          <w:color w:val="000000"/>
        </w:rPr>
        <w:t>, L.Q.</w:t>
      </w:r>
      <w:r w:rsidR="00A5477B" w:rsidRPr="003C7AF4">
        <w:rPr>
          <w:rFonts w:cs="Arial"/>
          <w:color w:val="000000"/>
        </w:rPr>
        <w:t> 1990</w:t>
      </w:r>
      <w:r w:rsidRPr="003C7AF4">
        <w:rPr>
          <w:rFonts w:cs="Arial"/>
          <w:color w:val="000000"/>
        </w:rPr>
        <w:t>, c.</w:t>
      </w:r>
      <w:r w:rsidR="00A5477B" w:rsidRPr="003C7AF4">
        <w:rPr>
          <w:rFonts w:cs="Arial"/>
          <w:color w:val="000000"/>
        </w:rPr>
        <w:t> </w:t>
      </w:r>
      <w:r w:rsidRPr="003C7AF4">
        <w:rPr>
          <w:rFonts w:cs="Arial"/>
          <w:color w:val="000000"/>
        </w:rPr>
        <w:t>83, art.</w:t>
      </w:r>
      <w:r w:rsidR="006A1C4B">
        <w:rPr>
          <w:rFonts w:cs="Arial"/>
          <w:color w:val="000000"/>
        </w:rPr>
        <w:t> </w:t>
      </w:r>
      <w:r w:rsidRPr="003C7AF4">
        <w:rPr>
          <w:rFonts w:cs="Arial"/>
          <w:color w:val="000000"/>
        </w:rPr>
        <w:t>236. Cette disposition est entrée en vigueur le 1</w:t>
      </w:r>
      <w:r w:rsidRPr="003C7AF4">
        <w:rPr>
          <w:rFonts w:cs="Arial"/>
          <w:color w:val="000000"/>
          <w:vertAlign w:val="superscript"/>
        </w:rPr>
        <w:t>er</w:t>
      </w:r>
      <w:r w:rsidRPr="003C7AF4">
        <w:rPr>
          <w:rFonts w:cs="Arial"/>
          <w:color w:val="000000"/>
        </w:rPr>
        <w:t xml:space="preserve"> janvier 1991 : </w:t>
      </w:r>
      <w:r w:rsidRPr="003C7AF4">
        <w:rPr>
          <w:rFonts w:cs="Arial"/>
          <w:i/>
          <w:iCs/>
          <w:color w:val="000000"/>
        </w:rPr>
        <w:t>id</w:t>
      </w:r>
      <w:r w:rsidRPr="003C7AF4">
        <w:rPr>
          <w:rFonts w:cs="Arial"/>
          <w:color w:val="000000"/>
        </w:rPr>
        <w:t>., art. 263.</w:t>
      </w:r>
    </w:p>
  </w:footnote>
  <w:footnote w:id="46">
    <w:p w14:paraId="5B903946" w14:textId="7EDB9495" w:rsidR="005A1C52" w:rsidRPr="00BD57EE" w:rsidRDefault="005A1C52" w:rsidP="005A1C52">
      <w:pPr>
        <w:pStyle w:val="Notedebasdepage"/>
      </w:pPr>
      <w:r w:rsidRPr="003C7AF4">
        <w:rPr>
          <w:rStyle w:val="Appelnotedebasdep"/>
        </w:rPr>
        <w:footnoteRef/>
      </w:r>
      <w:r w:rsidRPr="003C7AF4">
        <w:t xml:space="preserve"> </w:t>
      </w:r>
      <w:r w:rsidRPr="003C7AF4">
        <w:tab/>
      </w:r>
      <w:r w:rsidR="000E5406">
        <w:t>Selon l</w:t>
      </w:r>
      <w:r w:rsidRPr="003C7AF4">
        <w:t xml:space="preserve">a version de l’art. 636 </w:t>
      </w:r>
      <w:r w:rsidRPr="003C7AF4">
        <w:rPr>
          <w:i/>
          <w:iCs/>
        </w:rPr>
        <w:t>C.s.r.</w:t>
      </w:r>
      <w:r w:rsidRPr="003C7AF4">
        <w:t xml:space="preserve"> qui fut modifiée </w:t>
      </w:r>
      <w:r w:rsidR="000E5406">
        <w:t>en</w:t>
      </w:r>
      <w:r w:rsidRPr="003C7AF4">
        <w:t xml:space="preserve"> 1990</w:t>
      </w:r>
      <w:r w:rsidR="000E5406">
        <w:t xml:space="preserve">, </w:t>
      </w:r>
      <w:r w:rsidRPr="003C7AF4">
        <w:t>un agent de la paix avait le pouvoir d’intercepter un véhicule « </w:t>
      </w:r>
      <w:r w:rsidRPr="003C7AF4">
        <w:rPr>
          <w:rFonts w:cs="Arial"/>
          <w:shd w:val="clear" w:color="auto" w:fill="FFFFFF"/>
        </w:rPr>
        <w:t>dans le cadre des fonctions qu’il exerce en vertu du présent code</w:t>
      </w:r>
      <w:r w:rsidRPr="003C7AF4">
        <w:t xml:space="preserve"> ». La dernière version de l’art. 636 prévoit </w:t>
      </w:r>
      <w:r w:rsidR="000E5406">
        <w:t xml:space="preserve">quant à elle </w:t>
      </w:r>
      <w:r w:rsidRPr="003C7AF4">
        <w:t>qu’un agent de la paix a ce pouvoir dans l</w:t>
      </w:r>
      <w:r w:rsidRPr="003C7AF4">
        <w:rPr>
          <w:rFonts w:cs="Arial"/>
          <w:szCs w:val="22"/>
        </w:rPr>
        <w:t xml:space="preserve">e cadre des fonctions qu’il exerce en vertu du </w:t>
      </w:r>
      <w:r w:rsidRPr="003C7AF4">
        <w:rPr>
          <w:rFonts w:cs="Arial"/>
          <w:i/>
          <w:iCs/>
          <w:szCs w:val="22"/>
        </w:rPr>
        <w:t>C.s.r</w:t>
      </w:r>
      <w:r w:rsidRPr="003C7AF4">
        <w:rPr>
          <w:rFonts w:cs="Arial"/>
          <w:szCs w:val="22"/>
        </w:rPr>
        <w:t xml:space="preserve">., des ententes conclues en vertu de l’art. 519.65 et de la </w:t>
      </w:r>
      <w:r w:rsidRPr="003C7AF4">
        <w:rPr>
          <w:rFonts w:cs="Arial"/>
          <w:i/>
          <w:iCs/>
          <w:szCs w:val="22"/>
        </w:rPr>
        <w:t>Loi concernant les propriétaires, les exploitants et les conducteurs de véhicules lourds</w:t>
      </w:r>
      <w:r w:rsidRPr="003C7AF4">
        <w:t>, RLRQ, c. P</w:t>
      </w:r>
      <w:r w:rsidRPr="003C7AF4">
        <w:noBreakHyphen/>
        <w:t>30.3.</w:t>
      </w:r>
    </w:p>
  </w:footnote>
  <w:footnote w:id="47">
    <w:p w14:paraId="51F97A25" w14:textId="333687A2" w:rsidR="005A1C52" w:rsidRPr="004303BE" w:rsidRDefault="005A1C52" w:rsidP="005A1C52">
      <w:pPr>
        <w:pStyle w:val="Notedebasdepage"/>
      </w:pPr>
      <w:r w:rsidRPr="004303BE">
        <w:rPr>
          <w:rStyle w:val="Appelnotedebasdep"/>
        </w:rPr>
        <w:footnoteRef/>
      </w:r>
      <w:r w:rsidRPr="004303BE">
        <w:t xml:space="preserve"> </w:t>
      </w:r>
      <w:r w:rsidRPr="004303BE">
        <w:tab/>
      </w:r>
      <w:r w:rsidRPr="004303BE">
        <w:rPr>
          <w:i/>
          <w:iCs/>
        </w:rPr>
        <w:t>Canada (Procureur général) c. Bedford</w:t>
      </w:r>
      <w:r w:rsidRPr="004303BE">
        <w:t>, 2013 CSC 72</w:t>
      </w:r>
      <w:r w:rsidR="0005611C" w:rsidRPr="004303BE">
        <w:t xml:space="preserve"> </w:t>
      </w:r>
      <w:r w:rsidR="00227CC4">
        <w:t>(</w:t>
      </w:r>
      <w:r w:rsidRPr="004303BE">
        <w:rPr>
          <w:i/>
          <w:iCs/>
        </w:rPr>
        <w:t>Bedford</w:t>
      </w:r>
      <w:r w:rsidR="00227CC4">
        <w:t>)</w:t>
      </w:r>
      <w:r w:rsidRPr="004303BE">
        <w:t>.</w:t>
      </w:r>
    </w:p>
  </w:footnote>
  <w:footnote w:id="48">
    <w:p w14:paraId="525AD011" w14:textId="68D3272D" w:rsidR="005A1C52" w:rsidRPr="004303BE" w:rsidRDefault="005A1C52" w:rsidP="005A1C52">
      <w:pPr>
        <w:pStyle w:val="Notedebasdepage"/>
      </w:pPr>
      <w:r w:rsidRPr="004303BE">
        <w:rPr>
          <w:rStyle w:val="Appelnotedebasdep"/>
        </w:rPr>
        <w:footnoteRef/>
      </w:r>
      <w:r w:rsidRPr="004303BE">
        <w:t xml:space="preserve"> </w:t>
      </w:r>
      <w:r w:rsidRPr="004303BE">
        <w:tab/>
      </w:r>
      <w:r w:rsidR="00C023B9" w:rsidRPr="004303BE">
        <w:t>Jugement de première instance</w:t>
      </w:r>
      <w:r w:rsidRPr="004303BE">
        <w:t>, par. 607.</w:t>
      </w:r>
    </w:p>
  </w:footnote>
  <w:footnote w:id="49">
    <w:p w14:paraId="3AB48865" w14:textId="156D58FE" w:rsidR="00EB1873" w:rsidRPr="00EB1873" w:rsidRDefault="00EB1873">
      <w:pPr>
        <w:pStyle w:val="Notedebasdepage"/>
      </w:pPr>
      <w:r w:rsidRPr="004303BE">
        <w:rPr>
          <w:rStyle w:val="Appelnotedebasdep"/>
        </w:rPr>
        <w:footnoteRef/>
      </w:r>
      <w:r w:rsidRPr="004303BE">
        <w:t xml:space="preserve"> </w:t>
      </w:r>
      <w:r w:rsidR="00C65530" w:rsidRPr="004303BE">
        <w:tab/>
      </w:r>
      <w:r w:rsidRPr="004303BE">
        <w:rPr>
          <w:i/>
          <w:iCs/>
        </w:rPr>
        <w:t>Id.</w:t>
      </w:r>
      <w:r w:rsidR="000E5406">
        <w:rPr>
          <w:i/>
          <w:iCs/>
        </w:rPr>
        <w:t>,</w:t>
      </w:r>
      <w:r w:rsidRPr="004303BE">
        <w:rPr>
          <w:i/>
          <w:iCs/>
        </w:rPr>
        <w:t xml:space="preserve"> </w:t>
      </w:r>
      <w:r w:rsidRPr="004303BE">
        <w:t>par. 705.</w:t>
      </w:r>
    </w:p>
  </w:footnote>
  <w:footnote w:id="50">
    <w:p w14:paraId="779CF459" w14:textId="77777777" w:rsidR="005A1C52" w:rsidRPr="004303BE" w:rsidRDefault="005A1C52" w:rsidP="005A1C52">
      <w:pPr>
        <w:pStyle w:val="Notedebasdepage"/>
      </w:pPr>
      <w:r w:rsidRPr="004303BE">
        <w:rPr>
          <w:rStyle w:val="Appelnotedebasdep"/>
        </w:rPr>
        <w:footnoteRef/>
      </w:r>
      <w:r w:rsidRPr="004303BE">
        <w:t xml:space="preserve"> </w:t>
      </w:r>
      <w:r w:rsidRPr="004303BE">
        <w:tab/>
      </w:r>
      <w:r w:rsidRPr="004303BE">
        <w:rPr>
          <w:i/>
          <w:iCs/>
        </w:rPr>
        <w:t>Id.</w:t>
      </w:r>
      <w:r w:rsidRPr="004303BE">
        <w:t>, par. 734.</w:t>
      </w:r>
    </w:p>
  </w:footnote>
  <w:footnote w:id="51">
    <w:p w14:paraId="5B56F01E" w14:textId="77777777" w:rsidR="005A1C52" w:rsidRPr="00966C3E" w:rsidRDefault="005A1C52" w:rsidP="005A1C52">
      <w:pPr>
        <w:pStyle w:val="Notedebasdepage"/>
      </w:pPr>
      <w:r w:rsidRPr="004303BE">
        <w:rPr>
          <w:rStyle w:val="Appelnotedebasdep"/>
        </w:rPr>
        <w:footnoteRef/>
      </w:r>
      <w:r w:rsidRPr="004303BE">
        <w:t xml:space="preserve"> </w:t>
      </w:r>
      <w:r w:rsidRPr="004303BE">
        <w:tab/>
      </w:r>
      <w:r w:rsidRPr="004303BE">
        <w:rPr>
          <w:i/>
          <w:iCs/>
        </w:rPr>
        <w:t>Id.</w:t>
      </w:r>
      <w:r w:rsidRPr="004303BE">
        <w:t>, par. 738.</w:t>
      </w:r>
    </w:p>
  </w:footnote>
  <w:footnote w:id="52">
    <w:p w14:paraId="0F790DB7" w14:textId="77777777" w:rsidR="005A1C52" w:rsidRPr="004303BE" w:rsidRDefault="005A1C52" w:rsidP="005A1C52">
      <w:pPr>
        <w:pStyle w:val="Notedebasdepage"/>
      </w:pPr>
      <w:r w:rsidRPr="004303BE">
        <w:rPr>
          <w:rStyle w:val="Appelnotedebasdep"/>
        </w:rPr>
        <w:footnoteRef/>
      </w:r>
      <w:r w:rsidRPr="004303BE">
        <w:t xml:space="preserve"> </w:t>
      </w:r>
      <w:r w:rsidRPr="004303BE">
        <w:tab/>
      </w:r>
      <w:r w:rsidRPr="004303BE">
        <w:rPr>
          <w:i/>
          <w:iCs/>
        </w:rPr>
        <w:t>Id.</w:t>
      </w:r>
      <w:r w:rsidRPr="004303BE">
        <w:t>, par. 828.</w:t>
      </w:r>
    </w:p>
  </w:footnote>
  <w:footnote w:id="53">
    <w:p w14:paraId="320FE40C" w14:textId="77777777" w:rsidR="005A1C52" w:rsidRPr="004303BE" w:rsidRDefault="005A1C52" w:rsidP="005A1C52">
      <w:pPr>
        <w:pStyle w:val="Notedebasdepage"/>
      </w:pPr>
      <w:r w:rsidRPr="004303BE">
        <w:rPr>
          <w:rStyle w:val="Appelnotedebasdep"/>
        </w:rPr>
        <w:footnoteRef/>
      </w:r>
      <w:r w:rsidRPr="004303BE">
        <w:t xml:space="preserve"> </w:t>
      </w:r>
      <w:r w:rsidRPr="004303BE">
        <w:tab/>
      </w:r>
      <w:r w:rsidRPr="004303BE">
        <w:rPr>
          <w:i/>
          <w:iCs/>
        </w:rPr>
        <w:t>Id.</w:t>
      </w:r>
      <w:r w:rsidRPr="004303BE">
        <w:t>, par. 831.</w:t>
      </w:r>
    </w:p>
  </w:footnote>
  <w:footnote w:id="54">
    <w:p w14:paraId="26AC6D8A" w14:textId="77777777" w:rsidR="005A1C52" w:rsidRPr="004303BE" w:rsidRDefault="005A1C52" w:rsidP="005A1C52">
      <w:pPr>
        <w:pStyle w:val="Notedebasdepage"/>
      </w:pPr>
      <w:r w:rsidRPr="004303BE">
        <w:rPr>
          <w:rStyle w:val="Appelnotedebasdep"/>
        </w:rPr>
        <w:footnoteRef/>
      </w:r>
      <w:r w:rsidRPr="004303BE">
        <w:t xml:space="preserve"> </w:t>
      </w:r>
      <w:r w:rsidRPr="004303BE">
        <w:tab/>
      </w:r>
      <w:r w:rsidRPr="004303BE">
        <w:rPr>
          <w:i/>
          <w:iCs/>
        </w:rPr>
        <w:t>Id.</w:t>
      </w:r>
      <w:r w:rsidRPr="004303BE">
        <w:t>, par. 847.</w:t>
      </w:r>
    </w:p>
  </w:footnote>
  <w:footnote w:id="55">
    <w:p w14:paraId="3FF2FE0E" w14:textId="77777777" w:rsidR="005A1C52" w:rsidRDefault="005A1C52" w:rsidP="005A1C52">
      <w:pPr>
        <w:pStyle w:val="Notedebasdepage"/>
      </w:pPr>
      <w:r w:rsidRPr="004303BE">
        <w:rPr>
          <w:rStyle w:val="Appelnotedebasdep"/>
        </w:rPr>
        <w:footnoteRef/>
      </w:r>
      <w:r w:rsidRPr="004303BE">
        <w:t xml:space="preserve"> </w:t>
      </w:r>
      <w:r w:rsidRPr="004303BE">
        <w:tab/>
      </w:r>
      <w:r w:rsidRPr="004303BE">
        <w:rPr>
          <w:i/>
          <w:iCs/>
        </w:rPr>
        <w:t>Id.</w:t>
      </w:r>
      <w:r w:rsidRPr="004303BE">
        <w:t>, par. 857.</w:t>
      </w:r>
    </w:p>
  </w:footnote>
  <w:footnote w:id="56">
    <w:p w14:paraId="16A06754" w14:textId="2A5619BC" w:rsidR="009E0345" w:rsidRDefault="009E0345">
      <w:pPr>
        <w:pStyle w:val="Notedebasdepage"/>
      </w:pPr>
      <w:r w:rsidRPr="004303BE">
        <w:rPr>
          <w:rStyle w:val="Appelnotedebasdep"/>
        </w:rPr>
        <w:footnoteRef/>
      </w:r>
      <w:r w:rsidRPr="004303BE">
        <w:tab/>
      </w:r>
      <w:r w:rsidR="00ED33C2" w:rsidRPr="004303BE">
        <w:t xml:space="preserve">Le PGQ s’appuie sur les arrêts suivants : </w:t>
      </w:r>
      <w:r w:rsidR="008975A8" w:rsidRPr="004303BE">
        <w:rPr>
          <w:i/>
          <w:iCs/>
        </w:rPr>
        <w:t xml:space="preserve">R. </w:t>
      </w:r>
      <w:r w:rsidR="008975A8" w:rsidRPr="004303BE">
        <w:t xml:space="preserve">c. </w:t>
      </w:r>
      <w:r w:rsidR="008975A8" w:rsidRPr="004303BE">
        <w:rPr>
          <w:i/>
          <w:iCs/>
        </w:rPr>
        <w:t>McColman</w:t>
      </w:r>
      <w:r w:rsidR="008975A8" w:rsidRPr="004303BE">
        <w:t>, 2023</w:t>
      </w:r>
      <w:r w:rsidR="007E466D">
        <w:t xml:space="preserve"> </w:t>
      </w:r>
      <w:r w:rsidR="008975A8" w:rsidRPr="004303BE">
        <w:t>CSC</w:t>
      </w:r>
      <w:r w:rsidR="007E466D">
        <w:t xml:space="preserve"> </w:t>
      </w:r>
      <w:r w:rsidR="008975A8" w:rsidRPr="004303BE">
        <w:t>8, par.</w:t>
      </w:r>
      <w:r w:rsidR="007E466D">
        <w:t xml:space="preserve"> </w:t>
      </w:r>
      <w:r w:rsidR="008975A8" w:rsidRPr="004303BE">
        <w:t xml:space="preserve">30; </w:t>
      </w:r>
      <w:bookmarkStart w:id="51" w:name="_Hlk177749735"/>
      <w:r w:rsidR="008975A8" w:rsidRPr="004303BE">
        <w:rPr>
          <w:i/>
          <w:iCs/>
        </w:rPr>
        <w:t xml:space="preserve">R. </w:t>
      </w:r>
      <w:r w:rsidR="008975A8" w:rsidRPr="004303BE">
        <w:t xml:space="preserve">c. </w:t>
      </w:r>
      <w:r w:rsidR="008975A8" w:rsidRPr="004303BE">
        <w:rPr>
          <w:i/>
          <w:iCs/>
        </w:rPr>
        <w:t>Nolet</w:t>
      </w:r>
      <w:r w:rsidR="008975A8" w:rsidRPr="004303BE">
        <w:t>, 2010</w:t>
      </w:r>
      <w:r w:rsidR="00C023B9" w:rsidRPr="004303BE">
        <w:t> </w:t>
      </w:r>
      <w:r w:rsidR="008975A8" w:rsidRPr="004303BE">
        <w:t>CSC</w:t>
      </w:r>
      <w:r w:rsidR="00C023B9" w:rsidRPr="004303BE">
        <w:t> </w:t>
      </w:r>
      <w:r w:rsidR="008975A8" w:rsidRPr="004303BE">
        <w:t>24, par.</w:t>
      </w:r>
      <w:r w:rsidR="007E466D">
        <w:t xml:space="preserve"> </w:t>
      </w:r>
      <w:r w:rsidR="008975A8" w:rsidRPr="004303BE">
        <w:t xml:space="preserve">3, 22 et 25; </w:t>
      </w:r>
      <w:r w:rsidR="008975A8" w:rsidRPr="004303BE">
        <w:rPr>
          <w:i/>
          <w:iCs/>
        </w:rPr>
        <w:t xml:space="preserve">R. </w:t>
      </w:r>
      <w:r w:rsidR="008975A8" w:rsidRPr="004303BE">
        <w:t xml:space="preserve">c. </w:t>
      </w:r>
      <w:r w:rsidR="008975A8" w:rsidRPr="004303BE">
        <w:rPr>
          <w:i/>
          <w:iCs/>
        </w:rPr>
        <w:t>Mellenthin</w:t>
      </w:r>
      <w:r w:rsidR="008975A8" w:rsidRPr="004303BE">
        <w:t>, [1992]</w:t>
      </w:r>
      <w:r w:rsidR="007E466D">
        <w:t xml:space="preserve"> </w:t>
      </w:r>
      <w:r w:rsidR="008975A8" w:rsidRPr="004303BE">
        <w:t>3</w:t>
      </w:r>
      <w:r w:rsidR="007E466D">
        <w:t xml:space="preserve"> </w:t>
      </w:r>
      <w:r w:rsidR="008975A8" w:rsidRPr="004303BE">
        <w:t>R.C.S.</w:t>
      </w:r>
      <w:r w:rsidR="007E466D">
        <w:t xml:space="preserve"> </w:t>
      </w:r>
      <w:r w:rsidR="008975A8" w:rsidRPr="004303BE">
        <w:t>615, p.</w:t>
      </w:r>
      <w:r w:rsidR="007E466D">
        <w:t xml:space="preserve"> </w:t>
      </w:r>
      <w:r w:rsidR="008975A8" w:rsidRPr="004303BE">
        <w:t>628-629.</w:t>
      </w:r>
      <w:bookmarkEnd w:id="51"/>
    </w:p>
  </w:footnote>
  <w:footnote w:id="57">
    <w:p w14:paraId="26BDA102" w14:textId="01D57465" w:rsidR="003672FF" w:rsidRDefault="003672FF">
      <w:pPr>
        <w:pStyle w:val="Notedebasdepage"/>
      </w:pPr>
      <w:r>
        <w:rPr>
          <w:rStyle w:val="Appelnotedebasdep"/>
        </w:rPr>
        <w:footnoteRef/>
      </w:r>
      <w:r>
        <w:t xml:space="preserve"> </w:t>
      </w:r>
      <w:r>
        <w:tab/>
      </w:r>
      <w:r w:rsidRPr="004303BE">
        <w:rPr>
          <w:i/>
          <w:iCs/>
        </w:rPr>
        <w:t>Canada (Procureur général) c. Bedford</w:t>
      </w:r>
      <w:r w:rsidRPr="004303BE">
        <w:t>, 2013</w:t>
      </w:r>
      <w:r w:rsidR="007E466D">
        <w:t xml:space="preserve"> </w:t>
      </w:r>
      <w:r w:rsidRPr="004303BE">
        <w:t>CSC</w:t>
      </w:r>
      <w:r w:rsidR="007E466D">
        <w:t xml:space="preserve"> </w:t>
      </w:r>
      <w:r w:rsidRPr="004303BE">
        <w:t>72</w:t>
      </w:r>
      <w:r>
        <w:t>.</w:t>
      </w:r>
    </w:p>
  </w:footnote>
  <w:footnote w:id="58">
    <w:p w14:paraId="5044CA57" w14:textId="6B50950F" w:rsidR="003672FF" w:rsidRDefault="003672FF">
      <w:pPr>
        <w:pStyle w:val="Notedebasdepage"/>
      </w:pPr>
      <w:r>
        <w:rPr>
          <w:rStyle w:val="Appelnotedebasdep"/>
        </w:rPr>
        <w:footnoteRef/>
      </w:r>
      <w:r>
        <w:t xml:space="preserve"> </w:t>
      </w:r>
      <w:r>
        <w:tab/>
      </w:r>
      <w:r w:rsidRPr="004303BE">
        <w:rPr>
          <w:i/>
          <w:iCs/>
        </w:rPr>
        <w:t>Carter c. Canada (Procureur général)</w:t>
      </w:r>
      <w:r w:rsidRPr="004303BE">
        <w:t>, 2015</w:t>
      </w:r>
      <w:r w:rsidR="007E466D">
        <w:t xml:space="preserve"> </w:t>
      </w:r>
      <w:r w:rsidRPr="004303BE">
        <w:t>CSC</w:t>
      </w:r>
      <w:r w:rsidR="007E466D">
        <w:t xml:space="preserve"> </w:t>
      </w:r>
      <w:r w:rsidRPr="004303BE">
        <w:t xml:space="preserve">5 </w:t>
      </w:r>
      <w:r w:rsidR="00227CC4">
        <w:t>(</w:t>
      </w:r>
      <w:r w:rsidRPr="004303BE">
        <w:rPr>
          <w:i/>
          <w:iCs/>
        </w:rPr>
        <w:t>Carter</w:t>
      </w:r>
      <w:r w:rsidR="00227CC4">
        <w:t>)</w:t>
      </w:r>
      <w:r w:rsidRPr="004303BE">
        <w:t>.</w:t>
      </w:r>
    </w:p>
  </w:footnote>
  <w:footnote w:id="59">
    <w:p w14:paraId="4103A444" w14:textId="561E651A" w:rsidR="003672FF" w:rsidRDefault="003672FF">
      <w:pPr>
        <w:pStyle w:val="Notedebasdepage"/>
      </w:pPr>
      <w:r>
        <w:rPr>
          <w:rStyle w:val="Appelnotedebasdep"/>
        </w:rPr>
        <w:footnoteRef/>
      </w:r>
      <w:r>
        <w:t xml:space="preserve"> </w:t>
      </w:r>
      <w:r>
        <w:tab/>
      </w:r>
      <w:bookmarkStart w:id="52" w:name="_Hlk177749818"/>
      <w:r w:rsidRPr="004303BE">
        <w:rPr>
          <w:i/>
          <w:iCs/>
        </w:rPr>
        <w:t>R. c. Comeau</w:t>
      </w:r>
      <w:r w:rsidRPr="004303BE">
        <w:t>, 2018</w:t>
      </w:r>
      <w:r w:rsidR="007E466D">
        <w:t xml:space="preserve"> </w:t>
      </w:r>
      <w:r w:rsidRPr="004303BE">
        <w:t>CSC</w:t>
      </w:r>
      <w:r w:rsidR="007E466D">
        <w:t xml:space="preserve"> </w:t>
      </w:r>
      <w:r w:rsidRPr="004303BE">
        <w:t xml:space="preserve">15 </w:t>
      </w:r>
      <w:r w:rsidR="00227CC4">
        <w:t>(</w:t>
      </w:r>
      <w:r w:rsidRPr="004303BE">
        <w:rPr>
          <w:i/>
          <w:iCs/>
        </w:rPr>
        <w:t>Comeau</w:t>
      </w:r>
      <w:r w:rsidR="00227CC4">
        <w:t>)</w:t>
      </w:r>
      <w:r w:rsidRPr="004303BE">
        <w:t>.</w:t>
      </w:r>
      <w:bookmarkEnd w:id="52"/>
    </w:p>
  </w:footnote>
  <w:footnote w:id="60">
    <w:p w14:paraId="6A282064" w14:textId="13197599" w:rsidR="005A1C52" w:rsidRPr="004253D8" w:rsidRDefault="005A1C52" w:rsidP="00227CC4">
      <w:pPr>
        <w:pStyle w:val="Notedebasdepage"/>
      </w:pPr>
      <w:r w:rsidRPr="004253D8">
        <w:rPr>
          <w:rStyle w:val="Appelnotedebasdep"/>
        </w:rPr>
        <w:footnoteRef/>
      </w:r>
      <w:r w:rsidRPr="004253D8">
        <w:t xml:space="preserve"> </w:t>
      </w:r>
      <w:r w:rsidRPr="004253D8">
        <w:tab/>
      </w:r>
      <w:bookmarkStart w:id="53" w:name="_Hlk177749849"/>
      <w:r w:rsidRPr="004253D8">
        <w:rPr>
          <w:i/>
          <w:iCs/>
        </w:rPr>
        <w:t>Eldridge c. Colombie-Britannique (Procureur général)</w:t>
      </w:r>
      <w:r w:rsidRPr="004253D8">
        <w:t>, [1997] 3 R.C.S. 624, par. 20.</w:t>
      </w:r>
    </w:p>
    <w:bookmarkEnd w:id="53"/>
  </w:footnote>
  <w:footnote w:id="61">
    <w:p w14:paraId="206F86E1" w14:textId="5345A767" w:rsidR="005A1C52" w:rsidRPr="004253D8" w:rsidRDefault="005A1C52" w:rsidP="005A1C52">
      <w:pPr>
        <w:pStyle w:val="Notedebasdepage"/>
      </w:pPr>
      <w:r w:rsidRPr="004253D8">
        <w:rPr>
          <w:rStyle w:val="Appelnotedebasdep"/>
        </w:rPr>
        <w:footnoteRef/>
      </w:r>
      <w:r w:rsidRPr="004253D8">
        <w:t xml:space="preserve"> </w:t>
      </w:r>
      <w:r w:rsidRPr="004253D8">
        <w:tab/>
      </w:r>
      <w:r w:rsidRPr="004253D8">
        <w:rPr>
          <w:i/>
          <w:iCs/>
        </w:rPr>
        <w:t>R. c. Ferguson</w:t>
      </w:r>
      <w:r w:rsidRPr="004253D8">
        <w:t>, 2008 CSC 6, par. 59.</w:t>
      </w:r>
    </w:p>
  </w:footnote>
  <w:footnote w:id="62">
    <w:p w14:paraId="71962473" w14:textId="4E59C7D3" w:rsidR="005A1C52" w:rsidRPr="004253D8" w:rsidRDefault="005A1C52" w:rsidP="005A1C52">
      <w:pPr>
        <w:pStyle w:val="Notedebasdepage"/>
      </w:pPr>
      <w:r w:rsidRPr="004253D8">
        <w:rPr>
          <w:rStyle w:val="Appelnotedebasdep"/>
        </w:rPr>
        <w:footnoteRef/>
      </w:r>
      <w:r w:rsidRPr="004253D8">
        <w:t xml:space="preserve"> </w:t>
      </w:r>
      <w:r w:rsidRPr="004253D8">
        <w:tab/>
      </w:r>
      <w:r w:rsidRPr="004253D8">
        <w:rPr>
          <w:i/>
          <w:iCs/>
        </w:rPr>
        <w:t>R. c. Khawaja</w:t>
      </w:r>
      <w:r w:rsidRPr="004253D8">
        <w:t xml:space="preserve">, 2012 CSC 69, par. 83. </w:t>
      </w:r>
    </w:p>
  </w:footnote>
  <w:footnote w:id="63">
    <w:p w14:paraId="28015141" w14:textId="5CD8F482" w:rsidR="005A1C52" w:rsidRDefault="005A1C52" w:rsidP="005A1C52">
      <w:pPr>
        <w:pStyle w:val="Notedebasdepage"/>
      </w:pPr>
      <w:r w:rsidRPr="004253D8">
        <w:rPr>
          <w:rStyle w:val="Appelnotedebasdep"/>
        </w:rPr>
        <w:footnoteRef/>
      </w:r>
      <w:r w:rsidRPr="004253D8">
        <w:t xml:space="preserve"> </w:t>
      </w:r>
      <w:r w:rsidRPr="004253D8">
        <w:tab/>
      </w:r>
      <w:r w:rsidRPr="004253D8">
        <w:rPr>
          <w:i/>
          <w:iCs/>
        </w:rPr>
        <w:t>R. c. Ferguson</w:t>
      </w:r>
      <w:r w:rsidRPr="004253D8">
        <w:t>, 2008</w:t>
      </w:r>
      <w:r w:rsidR="00241521">
        <w:t xml:space="preserve"> </w:t>
      </w:r>
      <w:r w:rsidRPr="004253D8">
        <w:t>CSC</w:t>
      </w:r>
      <w:r w:rsidR="00241521">
        <w:t xml:space="preserve"> </w:t>
      </w:r>
      <w:r w:rsidRPr="004253D8">
        <w:t>6, par.</w:t>
      </w:r>
      <w:r w:rsidR="00241521">
        <w:t xml:space="preserve"> </w:t>
      </w:r>
      <w:r w:rsidRPr="004253D8">
        <w:t xml:space="preserve">61; Henri Brun, Guy Tremblay et Eugénie Brouillet, </w:t>
      </w:r>
      <w:r w:rsidRPr="004253D8">
        <w:rPr>
          <w:i/>
          <w:iCs/>
        </w:rPr>
        <w:t>Droit constitutionnel</w:t>
      </w:r>
      <w:r w:rsidRPr="004253D8">
        <w:t>, 6</w:t>
      </w:r>
      <w:r w:rsidRPr="004253D8">
        <w:rPr>
          <w:vertAlign w:val="superscript"/>
        </w:rPr>
        <w:t>e</w:t>
      </w:r>
      <w:r w:rsidR="009979E1">
        <w:rPr>
          <w:vertAlign w:val="superscript"/>
        </w:rPr>
        <w:t> </w:t>
      </w:r>
      <w:r w:rsidRPr="004253D8">
        <w:t>éd., Cowansville, Yvon Blais, 2014, p.</w:t>
      </w:r>
      <w:r w:rsidR="009979E1">
        <w:t> </w:t>
      </w:r>
      <w:r w:rsidRPr="004253D8">
        <w:t>1053, n</w:t>
      </w:r>
      <w:r w:rsidRPr="004253D8">
        <w:rPr>
          <w:vertAlign w:val="superscript"/>
        </w:rPr>
        <w:t>o</w:t>
      </w:r>
      <w:r w:rsidR="009979E1">
        <w:rPr>
          <w:vertAlign w:val="superscript"/>
        </w:rPr>
        <w:t> </w:t>
      </w:r>
      <w:r w:rsidRPr="004253D8">
        <w:t>XII-4.42.</w:t>
      </w:r>
    </w:p>
  </w:footnote>
  <w:footnote w:id="64">
    <w:p w14:paraId="5596FFA8" w14:textId="7B057603" w:rsidR="005A1C52" w:rsidRPr="00C023B9" w:rsidRDefault="005A1C52" w:rsidP="005A1C52">
      <w:pPr>
        <w:pStyle w:val="Notedebasdepage"/>
        <w:rPr>
          <w:highlight w:val="green"/>
        </w:rPr>
      </w:pPr>
      <w:r w:rsidRPr="004253D8">
        <w:rPr>
          <w:rStyle w:val="Appelnotedebasdep"/>
        </w:rPr>
        <w:footnoteRef/>
      </w:r>
      <w:r w:rsidRPr="004253D8">
        <w:t xml:space="preserve"> </w:t>
      </w:r>
      <w:r w:rsidRPr="004253D8">
        <w:tab/>
      </w:r>
      <w:r w:rsidRPr="004253D8">
        <w:rPr>
          <w:i/>
          <w:iCs/>
        </w:rPr>
        <w:t>Eldridge c. Colombie-Britannique (Procureur général)</w:t>
      </w:r>
      <w:r w:rsidRPr="004253D8">
        <w:t>, [1997]</w:t>
      </w:r>
      <w:r w:rsidR="00241521">
        <w:t xml:space="preserve"> </w:t>
      </w:r>
      <w:r w:rsidRPr="004253D8">
        <w:t>3</w:t>
      </w:r>
      <w:r w:rsidR="00241521">
        <w:t xml:space="preserve"> </w:t>
      </w:r>
      <w:r w:rsidRPr="004253D8">
        <w:t>R.C.S.</w:t>
      </w:r>
      <w:r w:rsidR="00241521">
        <w:t xml:space="preserve"> </w:t>
      </w:r>
      <w:r w:rsidRPr="004253D8">
        <w:t>624, par.</w:t>
      </w:r>
      <w:r w:rsidR="00241521">
        <w:t xml:space="preserve"> </w:t>
      </w:r>
      <w:r w:rsidRPr="004253D8">
        <w:t xml:space="preserve">22. Voir aussi : </w:t>
      </w:r>
      <w:r w:rsidRPr="004253D8">
        <w:rPr>
          <w:i/>
          <w:iCs/>
        </w:rPr>
        <w:t>R. c. Adams</w:t>
      </w:r>
      <w:r w:rsidRPr="004253D8">
        <w:t>, [1996]</w:t>
      </w:r>
      <w:r w:rsidR="00241521">
        <w:t xml:space="preserve"> </w:t>
      </w:r>
      <w:r w:rsidRPr="004253D8">
        <w:t>3</w:t>
      </w:r>
      <w:r w:rsidR="00241521">
        <w:t xml:space="preserve"> </w:t>
      </w:r>
      <w:r w:rsidRPr="004253D8">
        <w:t>R.C.S.</w:t>
      </w:r>
      <w:r w:rsidR="00241521">
        <w:t xml:space="preserve"> </w:t>
      </w:r>
      <w:r w:rsidRPr="004253D8">
        <w:t>101, par.</w:t>
      </w:r>
      <w:r w:rsidR="00241521">
        <w:t xml:space="preserve"> </w:t>
      </w:r>
      <w:r w:rsidRPr="004253D8">
        <w:t xml:space="preserve">53; </w:t>
      </w:r>
      <w:r w:rsidRPr="004253D8">
        <w:rPr>
          <w:i/>
          <w:iCs/>
          <w:color w:val="000000"/>
        </w:rPr>
        <w:t>Slaight Communications Inc. c. Davidson</w:t>
      </w:r>
      <w:r w:rsidRPr="004253D8">
        <w:rPr>
          <w:color w:val="000000"/>
        </w:rPr>
        <w:t xml:space="preserve">, </w:t>
      </w:r>
      <w:r w:rsidRPr="004253D8">
        <w:t>[1989] 1 R.C.S. 1038, p.</w:t>
      </w:r>
      <w:r w:rsidR="009979E1">
        <w:t> </w:t>
      </w:r>
      <w:r w:rsidRPr="004253D8">
        <w:t>1077-1078.</w:t>
      </w:r>
    </w:p>
  </w:footnote>
  <w:footnote w:id="65">
    <w:p w14:paraId="1CDAB017" w14:textId="5F717E18" w:rsidR="005A1C52" w:rsidRPr="004253D8" w:rsidRDefault="005A1C52" w:rsidP="005A1C52">
      <w:pPr>
        <w:pStyle w:val="Notedebasdepage"/>
      </w:pPr>
      <w:r w:rsidRPr="004253D8">
        <w:rPr>
          <w:rStyle w:val="Appelnotedebasdep"/>
        </w:rPr>
        <w:footnoteRef/>
      </w:r>
      <w:r w:rsidRPr="004253D8">
        <w:t xml:space="preserve"> </w:t>
      </w:r>
      <w:r w:rsidRPr="004253D8">
        <w:tab/>
        <w:t xml:space="preserve">Voir par exemple : </w:t>
      </w:r>
      <w:r w:rsidRPr="004253D8">
        <w:rPr>
          <w:i/>
          <w:iCs/>
        </w:rPr>
        <w:t>Canada (Procureur général) c. Way</w:t>
      </w:r>
      <w:r w:rsidRPr="004253D8">
        <w:t>, 2015</w:t>
      </w:r>
      <w:r w:rsidR="00241521">
        <w:t xml:space="preserve"> </w:t>
      </w:r>
      <w:r w:rsidRPr="004253D8">
        <w:t>QCCA</w:t>
      </w:r>
      <w:r w:rsidR="00241521">
        <w:t xml:space="preserve"> </w:t>
      </w:r>
      <w:r w:rsidRPr="004253D8">
        <w:t>1576, par.</w:t>
      </w:r>
      <w:r w:rsidR="009979E1">
        <w:t> </w:t>
      </w:r>
      <w:r w:rsidRPr="004253D8">
        <w:t>61</w:t>
      </w:r>
      <w:r w:rsidR="009979E1">
        <w:t> </w:t>
      </w:r>
      <w:r w:rsidRPr="004253D8">
        <w:t>et</w:t>
      </w:r>
      <w:r w:rsidR="009979E1">
        <w:t> </w:t>
      </w:r>
      <w:r w:rsidRPr="004253D8">
        <w:t>72-73, désistement d’appel à la Cour suprême, 7 septembre 2016, n</w:t>
      </w:r>
      <w:r w:rsidRPr="004253D8">
        <w:rPr>
          <w:vertAlign w:val="superscript"/>
        </w:rPr>
        <w:t>o</w:t>
      </w:r>
      <w:r w:rsidRPr="004253D8">
        <w:t xml:space="preserve"> 36746.</w:t>
      </w:r>
    </w:p>
  </w:footnote>
  <w:footnote w:id="66">
    <w:p w14:paraId="0CA236F4" w14:textId="3B5435C1" w:rsidR="005A1C52" w:rsidRPr="00187FE1" w:rsidRDefault="005A1C52" w:rsidP="005A1C52">
      <w:pPr>
        <w:pStyle w:val="Notedebasdepage"/>
      </w:pPr>
      <w:r w:rsidRPr="004253D8">
        <w:rPr>
          <w:rStyle w:val="Appelnotedebasdep"/>
        </w:rPr>
        <w:footnoteRef/>
      </w:r>
      <w:r w:rsidRPr="004253D8">
        <w:t xml:space="preserve"> </w:t>
      </w:r>
      <w:r w:rsidRPr="004253D8">
        <w:tab/>
        <w:t>Voir par exemple</w:t>
      </w:r>
      <w:r w:rsidR="00834D4B">
        <w:t> </w:t>
      </w:r>
      <w:r w:rsidRPr="004253D8">
        <w:t xml:space="preserve">: </w:t>
      </w:r>
      <w:bookmarkStart w:id="54" w:name="_Hlk177749924"/>
      <w:r w:rsidRPr="004253D8">
        <w:rPr>
          <w:i/>
          <w:iCs/>
        </w:rPr>
        <w:t>R. c. Swain</w:t>
      </w:r>
      <w:r w:rsidRPr="004253D8">
        <w:t>, [1991] 1 R.C.S. 933, p. 1010-1013 (motifs du j. en chef Lamer)</w:t>
      </w:r>
      <w:bookmarkEnd w:id="54"/>
      <w:r w:rsidRPr="004253D8">
        <w:t>.</w:t>
      </w:r>
    </w:p>
  </w:footnote>
  <w:footnote w:id="67">
    <w:p w14:paraId="4622E4E3" w14:textId="1F0F9BE5" w:rsidR="005A1C52" w:rsidRPr="00C023B9" w:rsidRDefault="005A1C52" w:rsidP="005A1C52">
      <w:pPr>
        <w:pStyle w:val="Notedebasdepage"/>
        <w:rPr>
          <w:highlight w:val="green"/>
          <w:lang w:val="en-CA"/>
        </w:rPr>
      </w:pPr>
      <w:r w:rsidRPr="004253D8">
        <w:rPr>
          <w:rStyle w:val="Appelnotedebasdep"/>
        </w:rPr>
        <w:footnoteRef/>
      </w:r>
      <w:r w:rsidRPr="004253D8">
        <w:rPr>
          <w:lang w:val="en-CA"/>
        </w:rPr>
        <w:t xml:space="preserve"> </w:t>
      </w:r>
      <w:r w:rsidRPr="004253D8">
        <w:rPr>
          <w:lang w:val="en-CA"/>
        </w:rPr>
        <w:tab/>
      </w:r>
      <w:bookmarkStart w:id="55" w:name="_Hlk177749968"/>
      <w:r w:rsidRPr="004253D8">
        <w:rPr>
          <w:i/>
          <w:iCs/>
          <w:lang w:val="en-CA"/>
        </w:rPr>
        <w:t>Hunter c. Southam inc</w:t>
      </w:r>
      <w:r w:rsidRPr="004253D8">
        <w:rPr>
          <w:lang w:val="en-CA"/>
        </w:rPr>
        <w:t>., [1984] 2 R.C.S. 145</w:t>
      </w:r>
      <w:r w:rsidR="004253D8" w:rsidRPr="004253D8">
        <w:rPr>
          <w:lang w:val="en-CA"/>
        </w:rPr>
        <w:t xml:space="preserve"> </w:t>
      </w:r>
      <w:r w:rsidR="009979E1">
        <w:rPr>
          <w:lang w:val="en-CA"/>
        </w:rPr>
        <w:t>(</w:t>
      </w:r>
      <w:r w:rsidR="004253D8" w:rsidRPr="004253D8">
        <w:rPr>
          <w:i/>
          <w:iCs/>
          <w:lang w:val="en-CA"/>
        </w:rPr>
        <w:t>Hunter</w:t>
      </w:r>
      <w:r w:rsidR="009979E1">
        <w:rPr>
          <w:lang w:val="en-CA"/>
        </w:rPr>
        <w:t>)</w:t>
      </w:r>
      <w:r w:rsidRPr="004253D8">
        <w:rPr>
          <w:lang w:val="en-CA"/>
        </w:rPr>
        <w:t>,</w:t>
      </w:r>
      <w:bookmarkEnd w:id="55"/>
      <w:r w:rsidRPr="004253D8">
        <w:rPr>
          <w:lang w:val="en-CA"/>
        </w:rPr>
        <w:t xml:space="preserve"> p. 169.</w:t>
      </w:r>
    </w:p>
  </w:footnote>
  <w:footnote w:id="68">
    <w:p w14:paraId="43B3C5C9" w14:textId="489A121D" w:rsidR="005A1C52" w:rsidRDefault="005A1C52" w:rsidP="005A1C52">
      <w:pPr>
        <w:pStyle w:val="Notedebasdepage"/>
      </w:pPr>
      <w:r w:rsidRPr="008F72C5">
        <w:rPr>
          <w:rStyle w:val="Appelnotedebasdep"/>
        </w:rPr>
        <w:footnoteRef/>
      </w:r>
      <w:r w:rsidRPr="008F72C5">
        <w:t xml:space="preserve"> </w:t>
      </w:r>
      <w:r w:rsidRPr="008F72C5">
        <w:tab/>
      </w:r>
      <w:r w:rsidRPr="008F72C5">
        <w:rPr>
          <w:i/>
          <w:iCs/>
        </w:rPr>
        <w:t>Eldridge c. Colombie-Britannique (Procureur général)</w:t>
      </w:r>
      <w:r w:rsidRPr="008F72C5">
        <w:t xml:space="preserve">, [1997] 3 R.C.S. 624, par. 30. Voir par exemple : </w:t>
      </w:r>
      <w:r w:rsidRPr="008F72C5">
        <w:rPr>
          <w:i/>
          <w:iCs/>
        </w:rPr>
        <w:t>R. c. Morgentaler</w:t>
      </w:r>
      <w:r w:rsidRPr="008F72C5">
        <w:t>, [1988] 1 R.C.S. 30</w:t>
      </w:r>
      <w:r w:rsidR="008F72C5" w:rsidRPr="008F72C5">
        <w:t xml:space="preserve"> </w:t>
      </w:r>
      <w:r w:rsidR="009979E1">
        <w:t>(</w:t>
      </w:r>
      <w:r w:rsidR="008F72C5" w:rsidRPr="008F72C5">
        <w:rPr>
          <w:i/>
          <w:iCs/>
        </w:rPr>
        <w:t>Morgentaler</w:t>
      </w:r>
      <w:r w:rsidR="009979E1">
        <w:t>)</w:t>
      </w:r>
      <w:r w:rsidRPr="008F72C5">
        <w:t>, p. 60-62 et 64-73 (motifs du j. en chef Dickson) et p. 92 et s. (motifs du j. Beetz).</w:t>
      </w:r>
      <w:r>
        <w:t xml:space="preserve"> </w:t>
      </w:r>
    </w:p>
  </w:footnote>
  <w:footnote w:id="69">
    <w:p w14:paraId="418D7ED0" w14:textId="5F8ED960" w:rsidR="00DB22EB" w:rsidRPr="00C023B9" w:rsidRDefault="00DB22EB" w:rsidP="00DB22EB">
      <w:pPr>
        <w:pStyle w:val="Notedebasdepage"/>
        <w:rPr>
          <w:highlight w:val="green"/>
        </w:rPr>
      </w:pPr>
      <w:r w:rsidRPr="008F72C5">
        <w:rPr>
          <w:rStyle w:val="Appelnotedebasdep"/>
        </w:rPr>
        <w:footnoteRef/>
      </w:r>
      <w:r w:rsidRPr="008F72C5">
        <w:t xml:space="preserve"> </w:t>
      </w:r>
      <w:r w:rsidRPr="008F72C5">
        <w:tab/>
      </w:r>
      <w:r w:rsidRPr="008F72C5">
        <w:rPr>
          <w:i/>
          <w:iCs/>
        </w:rPr>
        <w:t>Eldridge c. Colombie-Britannique (Procureur général)</w:t>
      </w:r>
      <w:r w:rsidRPr="008F72C5">
        <w:t xml:space="preserve">, </w:t>
      </w:r>
      <w:r w:rsidRPr="003672FF">
        <w:t>[1997] 3 R.C.S. 624</w:t>
      </w:r>
      <w:r w:rsidRPr="008F72C5">
        <w:t>, par. 30.</w:t>
      </w:r>
    </w:p>
  </w:footnote>
  <w:footnote w:id="70">
    <w:p w14:paraId="62B78A62" w14:textId="6093C805" w:rsidR="005A1C52" w:rsidRPr="008F72C5" w:rsidRDefault="005A1C52" w:rsidP="005A1C52">
      <w:pPr>
        <w:pStyle w:val="Notedebasdepage"/>
      </w:pPr>
      <w:r w:rsidRPr="008F72C5">
        <w:rPr>
          <w:rStyle w:val="Appelnotedebasdep"/>
        </w:rPr>
        <w:footnoteRef/>
      </w:r>
      <w:r w:rsidRPr="008F72C5">
        <w:t xml:space="preserve"> </w:t>
      </w:r>
      <w:r w:rsidRPr="008F72C5">
        <w:tab/>
      </w:r>
      <w:r w:rsidRPr="008F72C5">
        <w:rPr>
          <w:i/>
          <w:iCs/>
        </w:rPr>
        <w:t>R. c. Smith</w:t>
      </w:r>
      <w:r w:rsidRPr="008F72C5">
        <w:t>, [1987] 1 R.C.S. 1045, p. 1078 (motifs majoritaires du j. Lamer, tel qu’il était alors).</w:t>
      </w:r>
    </w:p>
  </w:footnote>
  <w:footnote w:id="71">
    <w:p w14:paraId="3644ADB0" w14:textId="2BC1EF02" w:rsidR="005A1C52" w:rsidRPr="008F72C5" w:rsidRDefault="005A1C52" w:rsidP="005A1C52">
      <w:pPr>
        <w:pStyle w:val="Notedebasdepage"/>
      </w:pPr>
      <w:r w:rsidRPr="008F72C5">
        <w:rPr>
          <w:rStyle w:val="Appelnotedebasdep"/>
        </w:rPr>
        <w:footnoteRef/>
      </w:r>
      <w:r w:rsidRPr="008F72C5">
        <w:t xml:space="preserve"> </w:t>
      </w:r>
      <w:r w:rsidRPr="008F72C5">
        <w:tab/>
      </w:r>
      <w:r w:rsidRPr="008F72C5">
        <w:rPr>
          <w:i/>
          <w:iCs/>
        </w:rPr>
        <w:t>R. c. Appulonappa</w:t>
      </w:r>
      <w:r w:rsidRPr="008F72C5">
        <w:t>, 2015</w:t>
      </w:r>
      <w:r w:rsidR="0069158D">
        <w:t xml:space="preserve"> </w:t>
      </w:r>
      <w:r w:rsidRPr="008F72C5">
        <w:t>CSC</w:t>
      </w:r>
      <w:r w:rsidR="0069158D">
        <w:t xml:space="preserve"> </w:t>
      </w:r>
      <w:r w:rsidRPr="008F72C5">
        <w:t>59, par.</w:t>
      </w:r>
      <w:r w:rsidR="0069158D">
        <w:t xml:space="preserve"> </w:t>
      </w:r>
      <w:r w:rsidRPr="008F72C5">
        <w:t xml:space="preserve">74; </w:t>
      </w:r>
      <w:r w:rsidRPr="008F72C5">
        <w:rPr>
          <w:i/>
          <w:iCs/>
        </w:rPr>
        <w:t>R. c. Nur</w:t>
      </w:r>
      <w:r w:rsidRPr="008F72C5">
        <w:t>, 2015</w:t>
      </w:r>
      <w:r w:rsidR="0069158D">
        <w:t xml:space="preserve"> </w:t>
      </w:r>
      <w:r w:rsidRPr="008F72C5">
        <w:t>CSC</w:t>
      </w:r>
      <w:r w:rsidR="0069158D">
        <w:t xml:space="preserve"> </w:t>
      </w:r>
      <w:r w:rsidRPr="008F72C5">
        <w:t>15</w:t>
      </w:r>
      <w:r w:rsidR="008F72C5" w:rsidRPr="008F72C5">
        <w:t xml:space="preserve"> </w:t>
      </w:r>
      <w:r w:rsidR="009979E1">
        <w:t>(</w:t>
      </w:r>
      <w:r w:rsidR="008F72C5" w:rsidRPr="008F72C5">
        <w:rPr>
          <w:i/>
          <w:iCs/>
        </w:rPr>
        <w:t>Nur</w:t>
      </w:r>
      <w:r w:rsidR="009979E1">
        <w:t>)</w:t>
      </w:r>
      <w:r w:rsidRPr="008F72C5">
        <w:t>, par.</w:t>
      </w:r>
      <w:r w:rsidR="0069158D">
        <w:t xml:space="preserve"> </w:t>
      </w:r>
      <w:r w:rsidRPr="008F72C5">
        <w:t xml:space="preserve">87 et s.; </w:t>
      </w:r>
      <w:r w:rsidRPr="008F72C5">
        <w:rPr>
          <w:i/>
          <w:iCs/>
        </w:rPr>
        <w:t>R. c. Anderson</w:t>
      </w:r>
      <w:r w:rsidRPr="008F72C5">
        <w:t xml:space="preserve">, 2014 CSC 41, par. 17; </w:t>
      </w:r>
      <w:r w:rsidRPr="008F72C5">
        <w:rPr>
          <w:i/>
          <w:iCs/>
        </w:rPr>
        <w:t>R. c. Bain</w:t>
      </w:r>
      <w:r w:rsidRPr="008F72C5">
        <w:t>, [1992] 1 R.C.S. 91</w:t>
      </w:r>
      <w:r w:rsidR="008F72C5" w:rsidRPr="008F72C5">
        <w:t xml:space="preserve"> </w:t>
      </w:r>
      <w:r w:rsidR="009979E1">
        <w:t>(</w:t>
      </w:r>
      <w:r w:rsidR="008F72C5" w:rsidRPr="008F72C5">
        <w:rPr>
          <w:i/>
          <w:iCs/>
        </w:rPr>
        <w:t>Bain</w:t>
      </w:r>
      <w:r w:rsidR="009979E1">
        <w:t>)</w:t>
      </w:r>
      <w:r w:rsidRPr="008F72C5">
        <w:t>, p. 103-104.</w:t>
      </w:r>
    </w:p>
  </w:footnote>
  <w:footnote w:id="72">
    <w:p w14:paraId="02F8FE0C" w14:textId="0F52713B" w:rsidR="00EB1873" w:rsidRPr="0081765F" w:rsidRDefault="00EB1873" w:rsidP="00EB1873">
      <w:pPr>
        <w:pStyle w:val="Notedebasdepage"/>
        <w:rPr>
          <w:highlight w:val="green"/>
        </w:rPr>
      </w:pPr>
      <w:r w:rsidRPr="008F72C5">
        <w:rPr>
          <w:rStyle w:val="Appelnotedebasdep"/>
        </w:rPr>
        <w:footnoteRef/>
      </w:r>
      <w:r w:rsidRPr="0081765F">
        <w:t xml:space="preserve"> </w:t>
      </w:r>
      <w:r w:rsidRPr="0081765F">
        <w:tab/>
      </w:r>
      <w:r w:rsidRPr="0081765F">
        <w:rPr>
          <w:i/>
          <w:iCs/>
        </w:rPr>
        <w:t>R. c. Morgentaler</w:t>
      </w:r>
      <w:r w:rsidRPr="0081765F">
        <w:t>, [1988] 1 R.C.S. 30.</w:t>
      </w:r>
    </w:p>
  </w:footnote>
  <w:footnote w:id="73">
    <w:p w14:paraId="2EE0FE51" w14:textId="7433554E" w:rsidR="005A1C52" w:rsidRPr="0081765F" w:rsidRDefault="005A1C52" w:rsidP="005A1C52">
      <w:pPr>
        <w:pStyle w:val="Notedebasdepage"/>
      </w:pPr>
      <w:r w:rsidRPr="00A55BD9">
        <w:rPr>
          <w:rStyle w:val="Appelnotedebasdep"/>
        </w:rPr>
        <w:footnoteRef/>
      </w:r>
      <w:r w:rsidRPr="0081765F">
        <w:t xml:space="preserve"> </w:t>
      </w:r>
      <w:r w:rsidRPr="0081765F">
        <w:tab/>
      </w:r>
      <w:r w:rsidRPr="0081765F">
        <w:rPr>
          <w:i/>
          <w:iCs/>
        </w:rPr>
        <w:t>R. c. Nur</w:t>
      </w:r>
      <w:r w:rsidRPr="0081765F">
        <w:t>, 2015 CSC 15.</w:t>
      </w:r>
    </w:p>
  </w:footnote>
  <w:footnote w:id="74">
    <w:p w14:paraId="4DF71AEA" w14:textId="69700D23" w:rsidR="005A1C52" w:rsidRPr="0081765F" w:rsidRDefault="005A1C52" w:rsidP="005A1C52">
      <w:pPr>
        <w:pStyle w:val="Notedebasdepage"/>
      </w:pPr>
      <w:r w:rsidRPr="00A55BD9">
        <w:rPr>
          <w:rStyle w:val="Appelnotedebasdep"/>
        </w:rPr>
        <w:footnoteRef/>
      </w:r>
      <w:r w:rsidRPr="0081765F">
        <w:t xml:space="preserve"> </w:t>
      </w:r>
      <w:r w:rsidRPr="0081765F">
        <w:tab/>
      </w:r>
      <w:r w:rsidR="00834D4B" w:rsidRPr="0081765F">
        <w:rPr>
          <w:i/>
          <w:iCs/>
        </w:rPr>
        <w:t>R. c. Morgentaler</w:t>
      </w:r>
      <w:r w:rsidR="00834D4B" w:rsidRPr="0081765F">
        <w:t>, [1988] 1 R.C.S. 30</w:t>
      </w:r>
      <w:r w:rsidRPr="0081765F">
        <w:t>, p. 65.</w:t>
      </w:r>
    </w:p>
  </w:footnote>
  <w:footnote w:id="75">
    <w:p w14:paraId="1BD0605F" w14:textId="4B2A8155" w:rsidR="005A1C52" w:rsidRPr="0081765F" w:rsidRDefault="005A1C52" w:rsidP="005A1C52">
      <w:pPr>
        <w:pStyle w:val="Notedebasdepage"/>
      </w:pPr>
      <w:r w:rsidRPr="00A55BD9">
        <w:rPr>
          <w:rStyle w:val="Appelnotedebasdep"/>
        </w:rPr>
        <w:footnoteRef/>
      </w:r>
      <w:r w:rsidRPr="0081765F">
        <w:t xml:space="preserve"> </w:t>
      </w:r>
      <w:r w:rsidRPr="0081765F">
        <w:tab/>
      </w:r>
      <w:r w:rsidR="00A5477B" w:rsidRPr="0081765F">
        <w:rPr>
          <w:i/>
          <w:iCs/>
        </w:rPr>
        <w:t>Ibid</w:t>
      </w:r>
      <w:r w:rsidRPr="0081765F">
        <w:t xml:space="preserve">. </w:t>
      </w:r>
    </w:p>
  </w:footnote>
  <w:footnote w:id="76">
    <w:p w14:paraId="240DDC6D" w14:textId="39B2BEF7" w:rsidR="005A1C52" w:rsidRPr="0081765F" w:rsidRDefault="005A1C52" w:rsidP="005A1C52">
      <w:pPr>
        <w:pStyle w:val="Notedebasdepage"/>
      </w:pPr>
      <w:r w:rsidRPr="00A55BD9">
        <w:rPr>
          <w:rStyle w:val="Appelnotedebasdep"/>
        </w:rPr>
        <w:footnoteRef/>
      </w:r>
      <w:r w:rsidRPr="0081765F">
        <w:rPr>
          <w:i/>
          <w:iCs/>
        </w:rPr>
        <w:t xml:space="preserve"> </w:t>
      </w:r>
      <w:r w:rsidRPr="0081765F">
        <w:rPr>
          <w:i/>
          <w:iCs/>
        </w:rPr>
        <w:tab/>
      </w:r>
      <w:r w:rsidR="00A5477B" w:rsidRPr="0081765F">
        <w:rPr>
          <w:i/>
          <w:iCs/>
        </w:rPr>
        <w:t>Id.</w:t>
      </w:r>
      <w:r w:rsidRPr="0081765F">
        <w:t>, p.</w:t>
      </w:r>
      <w:r w:rsidR="0069158D">
        <w:t xml:space="preserve"> </w:t>
      </w:r>
      <w:r w:rsidRPr="0081765F">
        <w:t>66.</w:t>
      </w:r>
    </w:p>
  </w:footnote>
  <w:footnote w:id="77">
    <w:p w14:paraId="42CE191D" w14:textId="664CA4FF" w:rsidR="005A1C52" w:rsidRPr="00A55BD9" w:rsidRDefault="005A1C52" w:rsidP="005A1C52">
      <w:pPr>
        <w:pStyle w:val="Notedebasdepage"/>
        <w:rPr>
          <w:lang w:val="en-CA"/>
        </w:rPr>
      </w:pPr>
      <w:r w:rsidRPr="00A55BD9">
        <w:rPr>
          <w:rStyle w:val="Appelnotedebasdep"/>
        </w:rPr>
        <w:footnoteRef/>
      </w:r>
      <w:r w:rsidRPr="00A55BD9">
        <w:rPr>
          <w:lang w:val="en-CA"/>
        </w:rPr>
        <w:t xml:space="preserve"> </w:t>
      </w:r>
      <w:r w:rsidRPr="00A55BD9">
        <w:rPr>
          <w:lang w:val="en-CA"/>
        </w:rPr>
        <w:tab/>
      </w:r>
      <w:r w:rsidR="00A5477B" w:rsidRPr="00A55BD9">
        <w:rPr>
          <w:i/>
          <w:iCs/>
          <w:lang w:val="en-CA"/>
        </w:rPr>
        <w:t>Id.</w:t>
      </w:r>
      <w:r w:rsidRPr="00A55BD9">
        <w:rPr>
          <w:lang w:val="en-CA"/>
        </w:rPr>
        <w:t>, p.</w:t>
      </w:r>
      <w:r w:rsidR="0069158D">
        <w:rPr>
          <w:lang w:val="en-CA"/>
        </w:rPr>
        <w:t xml:space="preserve"> </w:t>
      </w:r>
      <w:r w:rsidRPr="00A55BD9">
        <w:rPr>
          <w:lang w:val="en-CA"/>
        </w:rPr>
        <w:t>68</w:t>
      </w:r>
      <w:r w:rsidRPr="00A55BD9">
        <w:rPr>
          <w:lang w:val="en-CA"/>
        </w:rPr>
        <w:noBreakHyphen/>
        <w:t>69.</w:t>
      </w:r>
    </w:p>
  </w:footnote>
  <w:footnote w:id="78">
    <w:p w14:paraId="77A64D5E" w14:textId="6D383F7A" w:rsidR="005A1C52" w:rsidRPr="00A55BD9" w:rsidRDefault="005A1C52" w:rsidP="005A1C52">
      <w:pPr>
        <w:pStyle w:val="Notedebasdepage"/>
        <w:rPr>
          <w:lang w:val="en-CA"/>
        </w:rPr>
      </w:pPr>
      <w:r w:rsidRPr="00A55BD9">
        <w:rPr>
          <w:rStyle w:val="Appelnotedebasdep"/>
        </w:rPr>
        <w:footnoteRef/>
      </w:r>
      <w:r w:rsidRPr="00A55BD9">
        <w:rPr>
          <w:lang w:val="en-CA"/>
        </w:rPr>
        <w:t xml:space="preserve"> </w:t>
      </w:r>
      <w:r w:rsidRPr="00A55BD9">
        <w:rPr>
          <w:lang w:val="en-CA"/>
        </w:rPr>
        <w:tab/>
      </w:r>
      <w:r w:rsidR="00A5477B" w:rsidRPr="00A55BD9">
        <w:rPr>
          <w:i/>
          <w:iCs/>
          <w:lang w:val="en-CA"/>
        </w:rPr>
        <w:t>Id.</w:t>
      </w:r>
      <w:r w:rsidRPr="00A55BD9">
        <w:rPr>
          <w:lang w:val="en-CA"/>
        </w:rPr>
        <w:t>, p.</w:t>
      </w:r>
      <w:r w:rsidR="00DF3B04">
        <w:rPr>
          <w:lang w:val="en-CA"/>
        </w:rPr>
        <w:t xml:space="preserve"> </w:t>
      </w:r>
      <w:r w:rsidRPr="00A55BD9">
        <w:rPr>
          <w:lang w:val="en-CA"/>
        </w:rPr>
        <w:t>69</w:t>
      </w:r>
      <w:r w:rsidRPr="00A55BD9">
        <w:rPr>
          <w:lang w:val="en-CA"/>
        </w:rPr>
        <w:noBreakHyphen/>
        <w:t>70.</w:t>
      </w:r>
    </w:p>
  </w:footnote>
  <w:footnote w:id="79">
    <w:p w14:paraId="20B58EA7" w14:textId="3AFC544E" w:rsidR="005A1C52" w:rsidRPr="00A55BD9" w:rsidRDefault="005A1C52" w:rsidP="005A1C52">
      <w:pPr>
        <w:pStyle w:val="Notedebasdepage"/>
        <w:rPr>
          <w:lang w:val="en-CA"/>
        </w:rPr>
      </w:pPr>
      <w:r w:rsidRPr="00A55BD9">
        <w:rPr>
          <w:rStyle w:val="Appelnotedebasdep"/>
        </w:rPr>
        <w:footnoteRef/>
      </w:r>
      <w:r w:rsidRPr="00A55BD9">
        <w:rPr>
          <w:lang w:val="en-CA"/>
        </w:rPr>
        <w:t xml:space="preserve"> </w:t>
      </w:r>
      <w:r w:rsidRPr="00A55BD9">
        <w:rPr>
          <w:lang w:val="en-CA"/>
        </w:rPr>
        <w:tab/>
        <w:t>S.R.C.</w:t>
      </w:r>
      <w:r w:rsidR="00DF3B04">
        <w:rPr>
          <w:lang w:val="en-CA"/>
        </w:rPr>
        <w:t xml:space="preserve"> </w:t>
      </w:r>
      <w:r w:rsidRPr="00A55BD9">
        <w:rPr>
          <w:lang w:val="en-CA"/>
        </w:rPr>
        <w:t>1970, ch.</w:t>
      </w:r>
      <w:r w:rsidR="00DF3B04">
        <w:rPr>
          <w:lang w:val="en-CA"/>
        </w:rPr>
        <w:t xml:space="preserve"> </w:t>
      </w:r>
      <w:r w:rsidRPr="00A55BD9">
        <w:rPr>
          <w:lang w:val="en-CA"/>
        </w:rPr>
        <w:t>C</w:t>
      </w:r>
      <w:r w:rsidRPr="00A55BD9">
        <w:rPr>
          <w:lang w:val="en-CA"/>
        </w:rPr>
        <w:noBreakHyphen/>
        <w:t>23.</w:t>
      </w:r>
    </w:p>
  </w:footnote>
  <w:footnote w:id="80">
    <w:p w14:paraId="702E706F" w14:textId="5F1FB48F" w:rsidR="005A1C52" w:rsidRPr="00A55BD9" w:rsidRDefault="005A1C52" w:rsidP="005A1C52">
      <w:pPr>
        <w:pStyle w:val="Notedebasdepage"/>
        <w:rPr>
          <w:lang w:val="en-CA"/>
        </w:rPr>
      </w:pPr>
      <w:r w:rsidRPr="00A55BD9">
        <w:rPr>
          <w:rStyle w:val="Appelnotedebasdep"/>
        </w:rPr>
        <w:footnoteRef/>
      </w:r>
      <w:r w:rsidRPr="00A55BD9">
        <w:rPr>
          <w:i/>
          <w:iCs/>
          <w:lang w:val="en-CA"/>
        </w:rPr>
        <w:t xml:space="preserve"> </w:t>
      </w:r>
      <w:r w:rsidRPr="00A55BD9">
        <w:rPr>
          <w:i/>
          <w:iCs/>
          <w:lang w:val="en-CA"/>
        </w:rPr>
        <w:tab/>
        <w:t>Hunter c. Southam inc</w:t>
      </w:r>
      <w:r w:rsidRPr="00A55BD9">
        <w:rPr>
          <w:lang w:val="en-CA"/>
        </w:rPr>
        <w:t>., [1984] 2 R.C.S. 145, p.</w:t>
      </w:r>
      <w:r w:rsidR="00DF3B04">
        <w:rPr>
          <w:lang w:val="en-CA"/>
        </w:rPr>
        <w:t xml:space="preserve"> </w:t>
      </w:r>
      <w:r w:rsidRPr="00A55BD9">
        <w:rPr>
          <w:lang w:val="en-CA"/>
        </w:rPr>
        <w:t>165</w:t>
      </w:r>
      <w:r w:rsidRPr="00A55BD9">
        <w:rPr>
          <w:lang w:val="en-CA"/>
        </w:rPr>
        <w:noBreakHyphen/>
        <w:t>168.</w:t>
      </w:r>
    </w:p>
  </w:footnote>
  <w:footnote w:id="81">
    <w:p w14:paraId="409C5560" w14:textId="3915E26A" w:rsidR="005A1C52" w:rsidRPr="00A55BD9" w:rsidRDefault="005A1C52" w:rsidP="005A1C52">
      <w:pPr>
        <w:pStyle w:val="Notedebasdepage"/>
      </w:pPr>
      <w:r w:rsidRPr="00A55BD9">
        <w:rPr>
          <w:rStyle w:val="Appelnotedebasdep"/>
        </w:rPr>
        <w:footnoteRef/>
      </w:r>
      <w:r w:rsidRPr="00A55BD9">
        <w:t xml:space="preserve"> </w:t>
      </w:r>
      <w:r w:rsidRPr="00A55BD9">
        <w:tab/>
      </w:r>
      <w:r w:rsidR="001F12A7" w:rsidRPr="00A55BD9">
        <w:rPr>
          <w:i/>
          <w:iCs/>
        </w:rPr>
        <w:t>Id.</w:t>
      </w:r>
      <w:r w:rsidRPr="00A55BD9">
        <w:rPr>
          <w:rStyle w:val="Hyperlien"/>
          <w:color w:val="auto"/>
          <w:u w:val="none"/>
        </w:rPr>
        <w:t>,</w:t>
      </w:r>
      <w:r w:rsidRPr="00A55BD9">
        <w:t xml:space="preserve"> p. 169</w:t>
      </w:r>
      <w:r w:rsidR="001F12A7" w:rsidRPr="00A55BD9">
        <w:t xml:space="preserve">. Voir </w:t>
      </w:r>
      <w:r w:rsidRPr="00A55BD9">
        <w:t>également</w:t>
      </w:r>
      <w:r w:rsidR="00314D06">
        <w:t> :</w:t>
      </w:r>
      <w:r w:rsidRPr="00A55BD9">
        <w:t xml:space="preserve"> </w:t>
      </w:r>
      <w:r w:rsidRPr="00A55BD9">
        <w:rPr>
          <w:i/>
          <w:iCs/>
        </w:rPr>
        <w:t>R.</w:t>
      </w:r>
      <w:r w:rsidR="001F12A7" w:rsidRPr="00A55BD9">
        <w:rPr>
          <w:i/>
          <w:iCs/>
        </w:rPr>
        <w:t xml:space="preserve"> </w:t>
      </w:r>
      <w:r w:rsidRPr="00A55BD9">
        <w:rPr>
          <w:i/>
          <w:iCs/>
        </w:rPr>
        <w:t>v. Canfield,</w:t>
      </w:r>
      <w:r w:rsidRPr="00A55BD9">
        <w:t xml:space="preserve"> 2020 ABCA 383, demande d’autorisation d’appel à la Cour suprême rejetée, 11 mars 2021, n</w:t>
      </w:r>
      <w:r w:rsidRPr="00A55BD9">
        <w:rPr>
          <w:vertAlign w:val="superscript"/>
        </w:rPr>
        <w:t>o</w:t>
      </w:r>
      <w:r w:rsidRPr="00A55BD9">
        <w:t> 39376.</w:t>
      </w:r>
    </w:p>
  </w:footnote>
  <w:footnote w:id="82">
    <w:p w14:paraId="0DAE9B97" w14:textId="38CC920E" w:rsidR="005A1C52" w:rsidRPr="00464A26" w:rsidRDefault="005A1C52" w:rsidP="005A1C52">
      <w:pPr>
        <w:pStyle w:val="Notedebasdepage"/>
      </w:pPr>
      <w:r w:rsidRPr="00A55BD9">
        <w:rPr>
          <w:rStyle w:val="Appelnotedebasdep"/>
        </w:rPr>
        <w:footnoteRef/>
      </w:r>
      <w:r w:rsidRPr="00A55BD9">
        <w:t xml:space="preserve"> </w:t>
      </w:r>
      <w:r w:rsidRPr="00A55BD9">
        <w:tab/>
      </w:r>
      <w:r w:rsidR="00AE0005" w:rsidRPr="008F72C5">
        <w:rPr>
          <w:i/>
          <w:iCs/>
        </w:rPr>
        <w:t>R. c. Bain</w:t>
      </w:r>
      <w:r w:rsidR="00AE0005" w:rsidRPr="008F72C5">
        <w:t xml:space="preserve">, [1992] 1 R.C.S. 91 </w:t>
      </w:r>
      <w:r w:rsidR="00AE0005">
        <w:t>(</w:t>
      </w:r>
      <w:r w:rsidR="00AE0005" w:rsidRPr="008F72C5">
        <w:rPr>
          <w:i/>
          <w:iCs/>
        </w:rPr>
        <w:t>Bain</w:t>
      </w:r>
      <w:r w:rsidR="00AE0005">
        <w:t>)</w:t>
      </w:r>
      <w:r w:rsidRPr="00A55BD9">
        <w:t>, p. 103.</w:t>
      </w:r>
    </w:p>
  </w:footnote>
  <w:footnote w:id="83">
    <w:p w14:paraId="7E93A1D4" w14:textId="4BE648A6" w:rsidR="005A1C52" w:rsidRPr="00A55BD9" w:rsidRDefault="005A1C52" w:rsidP="005A1C52">
      <w:pPr>
        <w:pStyle w:val="Notedebasdepage"/>
      </w:pPr>
      <w:r w:rsidRPr="00A55BD9">
        <w:rPr>
          <w:rStyle w:val="Appelnotedebasdep"/>
        </w:rPr>
        <w:footnoteRef/>
      </w:r>
      <w:r w:rsidRPr="00A55BD9">
        <w:t xml:space="preserve"> </w:t>
      </w:r>
      <w:r w:rsidRPr="00A55BD9">
        <w:tab/>
      </w:r>
      <w:r w:rsidR="003B01D3" w:rsidRPr="00A55BD9">
        <w:rPr>
          <w:i/>
          <w:iCs/>
        </w:rPr>
        <w:t>Id.</w:t>
      </w:r>
      <w:r w:rsidRPr="00A55BD9">
        <w:t>, p. 104 (motifs du j. Cory); voir aussi :</w:t>
      </w:r>
      <w:r w:rsidR="002D3AA6" w:rsidRPr="00A55BD9">
        <w:t xml:space="preserve"> </w:t>
      </w:r>
      <w:r w:rsidRPr="00A55BD9">
        <w:t>p. 156 (motifs du j. Stevenson).</w:t>
      </w:r>
    </w:p>
  </w:footnote>
  <w:footnote w:id="84">
    <w:p w14:paraId="00B44824" w14:textId="6611CBA4" w:rsidR="005A1C52" w:rsidRPr="00A55BD9" w:rsidRDefault="005A1C52" w:rsidP="005A1C52">
      <w:pPr>
        <w:pStyle w:val="Notedebasdepage"/>
      </w:pPr>
      <w:r w:rsidRPr="00A55BD9">
        <w:rPr>
          <w:rStyle w:val="Appelnotedebasdep"/>
        </w:rPr>
        <w:footnoteRef/>
      </w:r>
      <w:r w:rsidRPr="00A55BD9">
        <w:t xml:space="preserve"> </w:t>
      </w:r>
      <w:r w:rsidRPr="00A55BD9">
        <w:tab/>
      </w:r>
      <w:r w:rsidRPr="00A55BD9">
        <w:rPr>
          <w:i/>
          <w:iCs/>
        </w:rPr>
        <w:t>R. c. Nur</w:t>
      </w:r>
      <w:r w:rsidRPr="00A55BD9">
        <w:t>, 2015 CSC 15, par. 91.</w:t>
      </w:r>
    </w:p>
  </w:footnote>
  <w:footnote w:id="85">
    <w:p w14:paraId="26B56397" w14:textId="72360B5F" w:rsidR="00834211" w:rsidRPr="00A55BD9" w:rsidRDefault="00834211" w:rsidP="00834211">
      <w:pPr>
        <w:pStyle w:val="Notedebasdepage"/>
      </w:pPr>
      <w:r w:rsidRPr="00A55BD9">
        <w:rPr>
          <w:rStyle w:val="Appelnotedebasdep"/>
        </w:rPr>
        <w:footnoteRef/>
      </w:r>
      <w:r w:rsidRPr="00A55BD9">
        <w:t xml:space="preserve"> </w:t>
      </w:r>
      <w:r w:rsidRPr="00A55BD9">
        <w:tab/>
      </w:r>
      <w:r w:rsidRPr="00A55BD9">
        <w:rPr>
          <w:i/>
          <w:iCs/>
        </w:rPr>
        <w:t>R. c. Ladouceur</w:t>
      </w:r>
      <w:r w:rsidRPr="00A55BD9">
        <w:t xml:space="preserve">, </w:t>
      </w:r>
      <w:r w:rsidR="0081673F" w:rsidRPr="0081673F">
        <w:rPr>
          <w:rFonts w:cs="Arial"/>
        </w:rPr>
        <w:t>[1990] 1 R.C.S. 1257</w:t>
      </w:r>
      <w:r w:rsidRPr="00A55BD9">
        <w:t>, p. 1276.</w:t>
      </w:r>
    </w:p>
  </w:footnote>
  <w:footnote w:id="86">
    <w:p w14:paraId="1F4045F3" w14:textId="77777777" w:rsidR="005A1C52" w:rsidRDefault="005A1C52" w:rsidP="005A1C52">
      <w:pPr>
        <w:pStyle w:val="Notedebasdepage"/>
      </w:pPr>
      <w:r w:rsidRPr="00A55BD9">
        <w:rPr>
          <w:rStyle w:val="Appelnotedebasdep"/>
        </w:rPr>
        <w:footnoteRef/>
      </w:r>
      <w:r w:rsidRPr="00A55BD9">
        <w:t xml:space="preserve"> </w:t>
      </w:r>
      <w:r w:rsidRPr="00A55BD9">
        <w:tab/>
      </w:r>
      <w:r w:rsidRPr="00A55BD9">
        <w:rPr>
          <w:i/>
          <w:iCs/>
        </w:rPr>
        <w:t>R. c. Soucisse</w:t>
      </w:r>
      <w:r w:rsidRPr="00A55BD9">
        <w:t>, [1994] R.J.Q. 1546 (C.A.), p. 1550-1551.</w:t>
      </w:r>
      <w:r>
        <w:t xml:space="preserve"> </w:t>
      </w:r>
    </w:p>
  </w:footnote>
  <w:footnote w:id="87">
    <w:p w14:paraId="7FC84FF2" w14:textId="150F17D7" w:rsidR="005A1C52" w:rsidRDefault="005A1C52" w:rsidP="005A1C52">
      <w:pPr>
        <w:pStyle w:val="Notedebasdepage"/>
      </w:pPr>
      <w:r w:rsidRPr="009A1631">
        <w:rPr>
          <w:rStyle w:val="Appelnotedebasdep"/>
        </w:rPr>
        <w:footnoteRef/>
      </w:r>
      <w:r w:rsidRPr="009A1631">
        <w:t xml:space="preserve"> </w:t>
      </w:r>
      <w:r w:rsidRPr="009A1631">
        <w:tab/>
        <w:t xml:space="preserve">Voir notamment : </w:t>
      </w:r>
      <w:r w:rsidRPr="009A1631">
        <w:rPr>
          <w:i/>
          <w:iCs/>
        </w:rPr>
        <w:t>R. c. McColman</w:t>
      </w:r>
      <w:r w:rsidRPr="009A1631">
        <w:t>, 2023</w:t>
      </w:r>
      <w:r w:rsidR="00DF3B04">
        <w:t xml:space="preserve"> </w:t>
      </w:r>
      <w:r w:rsidRPr="009A1631">
        <w:t>CSC</w:t>
      </w:r>
      <w:r w:rsidR="00DF3B04">
        <w:t xml:space="preserve"> </w:t>
      </w:r>
      <w:r w:rsidRPr="009A1631">
        <w:t>8, par.</w:t>
      </w:r>
      <w:r w:rsidR="00DF3B04">
        <w:t xml:space="preserve"> </w:t>
      </w:r>
      <w:r w:rsidRPr="009A1631">
        <w:t xml:space="preserve">30; </w:t>
      </w:r>
      <w:r w:rsidRPr="009A1631">
        <w:rPr>
          <w:i/>
          <w:iCs/>
        </w:rPr>
        <w:t>R. c. Nolet</w:t>
      </w:r>
      <w:r w:rsidRPr="009A1631">
        <w:t>, 2010</w:t>
      </w:r>
      <w:r w:rsidR="00DF3B04">
        <w:t xml:space="preserve"> </w:t>
      </w:r>
      <w:r w:rsidRPr="009A1631">
        <w:t>CSC</w:t>
      </w:r>
      <w:r w:rsidR="00DF3B04">
        <w:t xml:space="preserve"> </w:t>
      </w:r>
      <w:r w:rsidRPr="009A1631">
        <w:t xml:space="preserve">24, par. 22; </w:t>
      </w:r>
      <w:r w:rsidRPr="009A1631">
        <w:rPr>
          <w:i/>
          <w:iCs/>
        </w:rPr>
        <w:t>R. c. Orbanski; R. c. Elias</w:t>
      </w:r>
      <w:r w:rsidRPr="009A1631">
        <w:t xml:space="preserve">, 2005 CSC 37, par. 41; </w:t>
      </w:r>
      <w:r w:rsidRPr="009A1631">
        <w:rPr>
          <w:i/>
          <w:iCs/>
        </w:rPr>
        <w:t>R. c. Mellenthin</w:t>
      </w:r>
      <w:r w:rsidRPr="009A1631">
        <w:t xml:space="preserve">, [1992] 3 R.C.S. 615, p. 624 et s.; </w:t>
      </w:r>
      <w:r w:rsidRPr="009A1631">
        <w:rPr>
          <w:i/>
          <w:iCs/>
        </w:rPr>
        <w:t>R. c. Ladouceur</w:t>
      </w:r>
      <w:r w:rsidRPr="009A1631">
        <w:t xml:space="preserve">, </w:t>
      </w:r>
      <w:r w:rsidRPr="009A1631">
        <w:rPr>
          <w:rFonts w:cs="Arial"/>
        </w:rPr>
        <w:t>[1990] 1 R.C.S. 1257</w:t>
      </w:r>
      <w:r w:rsidRPr="009A1631">
        <w:t xml:space="preserve">, p. 1287; </w:t>
      </w:r>
      <w:r w:rsidRPr="009A1631">
        <w:rPr>
          <w:i/>
          <w:iCs/>
        </w:rPr>
        <w:t>R. c. Soucisse</w:t>
      </w:r>
      <w:r w:rsidRPr="009A1631">
        <w:t>, [1994] R.J.Q. 1546 (C.A.), p. 1551.</w:t>
      </w:r>
    </w:p>
  </w:footnote>
  <w:footnote w:id="88">
    <w:p w14:paraId="42AFE5FF" w14:textId="10FD6038" w:rsidR="005A1C52" w:rsidRDefault="005A1C52" w:rsidP="005A1C52">
      <w:pPr>
        <w:pStyle w:val="Notedebasdepage"/>
      </w:pPr>
      <w:r w:rsidRPr="009A1631">
        <w:rPr>
          <w:rStyle w:val="Appelnotedebasdep"/>
        </w:rPr>
        <w:footnoteRef/>
      </w:r>
      <w:r w:rsidRPr="009A1631">
        <w:t xml:space="preserve"> </w:t>
      </w:r>
      <w:r w:rsidRPr="009A1631">
        <w:tab/>
      </w:r>
      <w:r w:rsidRPr="009A1631">
        <w:rPr>
          <w:i/>
          <w:iCs/>
        </w:rPr>
        <w:t xml:space="preserve">Québec (Commission des droits de la personne et des droits de la jeunesse) c. Bombardier Inc. (Bombardier Aéronautique Centre de formation), </w:t>
      </w:r>
      <w:r w:rsidRPr="009A1631">
        <w:t>2015 CSC 39</w:t>
      </w:r>
      <w:r w:rsidR="003D11FF" w:rsidRPr="009A1631">
        <w:t>. La citation est tirée de</w:t>
      </w:r>
      <w:r w:rsidRPr="009A1631">
        <w:t> : C</w:t>
      </w:r>
      <w:r w:rsidRPr="009A1631">
        <w:rPr>
          <w:color w:val="000000"/>
        </w:rPr>
        <w:t xml:space="preserve">ommission des droits de la personne et des droits de la jeunesse, </w:t>
      </w:r>
      <w:r w:rsidRPr="009A1631">
        <w:rPr>
          <w:i/>
          <w:iCs/>
          <w:color w:val="000000"/>
        </w:rPr>
        <w:t>Le profilage racial : mise en contexte et définition</w:t>
      </w:r>
      <w:r w:rsidRPr="009A1631">
        <w:rPr>
          <w:color w:val="000000"/>
        </w:rPr>
        <w:t xml:space="preserve"> (2005), p. 15</w:t>
      </w:r>
      <w:r w:rsidR="00C57FBC">
        <w:rPr>
          <w:color w:val="000000"/>
        </w:rPr>
        <w:t xml:space="preserve"> (</w:t>
      </w:r>
      <w:r w:rsidR="002F504C">
        <w:rPr>
          <w:color w:val="000000"/>
        </w:rPr>
        <w:t>p</w:t>
      </w:r>
      <w:r w:rsidR="002F504C" w:rsidRPr="000679EA">
        <w:t>ièce P-1, Rapport d’expertise de Massimiliano Mulone, 31 janvier 2022</w:t>
      </w:r>
      <w:r w:rsidR="002F504C">
        <w:t>, annexe MM</w:t>
      </w:r>
      <w:r w:rsidR="007A2C41">
        <w:noBreakHyphen/>
      </w:r>
      <w:r w:rsidR="002F504C">
        <w:t>53)</w:t>
      </w:r>
      <w:r w:rsidRPr="009A1631">
        <w:rPr>
          <w:color w:val="000000"/>
        </w:rPr>
        <w:t xml:space="preserve">. La Cour suprême a repris cette définition dans </w:t>
      </w:r>
      <w:r w:rsidRPr="009A1631">
        <w:rPr>
          <w:i/>
          <w:iCs/>
        </w:rPr>
        <w:t>R. c. Le</w:t>
      </w:r>
      <w:r w:rsidRPr="009A1631">
        <w:t>, 2019</w:t>
      </w:r>
      <w:r w:rsidR="00DF3B04">
        <w:t xml:space="preserve"> </w:t>
      </w:r>
      <w:r w:rsidRPr="009A1631">
        <w:t>CSC</w:t>
      </w:r>
      <w:r w:rsidR="00DF3B04">
        <w:t xml:space="preserve"> </w:t>
      </w:r>
      <w:r w:rsidRPr="009A1631">
        <w:t>34</w:t>
      </w:r>
      <w:r w:rsidR="009A1631">
        <w:t xml:space="preserve"> </w:t>
      </w:r>
      <w:r w:rsidR="009979E1">
        <w:t>(</w:t>
      </w:r>
      <w:r w:rsidR="009A1631" w:rsidRPr="009A1631">
        <w:rPr>
          <w:i/>
          <w:iCs/>
        </w:rPr>
        <w:t>Le</w:t>
      </w:r>
      <w:r w:rsidR="009979E1">
        <w:t>)</w:t>
      </w:r>
      <w:r w:rsidRPr="009A1631">
        <w:t>, par.</w:t>
      </w:r>
      <w:r w:rsidR="00DF3B04">
        <w:t xml:space="preserve"> </w:t>
      </w:r>
      <w:r w:rsidRPr="009A1631">
        <w:t>77. C’est aussi la définition qu’a retenue le juge en l’espèce : jugement de première instance, par.</w:t>
      </w:r>
      <w:r w:rsidR="00B2698F">
        <w:t> </w:t>
      </w:r>
      <w:r w:rsidRPr="009A1631">
        <w:t>38-41.</w:t>
      </w:r>
    </w:p>
  </w:footnote>
  <w:footnote w:id="89">
    <w:p w14:paraId="7117393B" w14:textId="5C526AFA" w:rsidR="005A1C52" w:rsidRPr="009A1631" w:rsidRDefault="005A1C52" w:rsidP="005A1C52">
      <w:pPr>
        <w:pStyle w:val="Notedebasdepage"/>
      </w:pPr>
      <w:r w:rsidRPr="009A1631">
        <w:rPr>
          <w:rStyle w:val="Appelnotedebasdep"/>
        </w:rPr>
        <w:footnoteRef/>
      </w:r>
      <w:r w:rsidRPr="009A1631">
        <w:t xml:space="preserve"> </w:t>
      </w:r>
      <w:r w:rsidRPr="009A1631">
        <w:tab/>
      </w:r>
      <w:r w:rsidRPr="009A1631">
        <w:rPr>
          <w:i/>
          <w:iCs/>
        </w:rPr>
        <w:t>Pierre-Louis c. Québec (Ville de)</w:t>
      </w:r>
      <w:r w:rsidRPr="009A1631">
        <w:t>, 2014 QCCA 1554, par. 59, demande d’autorisation d’appel à la Cour suprême rejetée, 16 juin 2015, n</w:t>
      </w:r>
      <w:r w:rsidRPr="009A1631">
        <w:rPr>
          <w:vertAlign w:val="superscript"/>
        </w:rPr>
        <w:t>o</w:t>
      </w:r>
      <w:r w:rsidRPr="009A1631">
        <w:rPr>
          <w:color w:val="000000"/>
          <w:spacing w:val="-3"/>
        </w:rPr>
        <w:t> </w:t>
      </w:r>
      <w:r w:rsidRPr="009A1631">
        <w:t xml:space="preserve">36055. Voir aussi : </w:t>
      </w:r>
      <w:r w:rsidRPr="009A1631">
        <w:rPr>
          <w:i/>
          <w:iCs/>
        </w:rPr>
        <w:t>R. v. Dudhi</w:t>
      </w:r>
      <w:r w:rsidRPr="009A1631">
        <w:t xml:space="preserve">, 2019 ONCA 665, par. 75; </w:t>
      </w:r>
      <w:r w:rsidRPr="009A1631">
        <w:rPr>
          <w:i/>
          <w:iCs/>
        </w:rPr>
        <w:t>Peart v. Peel Regional Police Services</w:t>
      </w:r>
      <w:r w:rsidR="00712A98" w:rsidRPr="009A1631">
        <w:t xml:space="preserve"> (2006)</w:t>
      </w:r>
      <w:r w:rsidRPr="009A1631">
        <w:t>,</w:t>
      </w:r>
      <w:r w:rsidR="00712A98" w:rsidRPr="009A1631">
        <w:t xml:space="preserve"> 43</w:t>
      </w:r>
      <w:r w:rsidR="00DF3B04">
        <w:t xml:space="preserve"> </w:t>
      </w:r>
      <w:r w:rsidR="00712A98" w:rsidRPr="009A1631">
        <w:t>C.R.</w:t>
      </w:r>
      <w:r w:rsidR="00DF3B04">
        <w:t xml:space="preserve"> </w:t>
      </w:r>
      <w:r w:rsidR="00712A98" w:rsidRPr="009A1631">
        <w:t>(6th)</w:t>
      </w:r>
      <w:r w:rsidR="00DF3B04">
        <w:t xml:space="preserve"> </w:t>
      </w:r>
      <w:r w:rsidR="00712A98" w:rsidRPr="009A1631">
        <w:t>175 (C.A. Ont.), par.</w:t>
      </w:r>
      <w:r w:rsidR="00DF3B04">
        <w:t xml:space="preserve"> </w:t>
      </w:r>
      <w:r w:rsidR="00712A98" w:rsidRPr="009A1631">
        <w:t>93</w:t>
      </w:r>
      <w:r w:rsidR="00DF3B04">
        <w:t xml:space="preserve"> </w:t>
      </w:r>
      <w:r w:rsidR="00712A98" w:rsidRPr="009A1631">
        <w:t>et</w:t>
      </w:r>
      <w:r w:rsidR="00DF3B04">
        <w:t xml:space="preserve"> </w:t>
      </w:r>
      <w:r w:rsidR="00712A98" w:rsidRPr="009A1631">
        <w:t>95</w:t>
      </w:r>
      <w:r w:rsidRPr="009A1631">
        <w:t>, demande d’autorisation d’appel à la Cour suprême rejetée, 29 mars 2007, n</w:t>
      </w:r>
      <w:r w:rsidRPr="009A1631">
        <w:rPr>
          <w:vertAlign w:val="superscript"/>
        </w:rPr>
        <w:t>o</w:t>
      </w:r>
      <w:r w:rsidRPr="009A1631">
        <w:t xml:space="preserve"> 31798; </w:t>
      </w:r>
      <w:r w:rsidRPr="009A1631">
        <w:rPr>
          <w:i/>
          <w:iCs/>
        </w:rPr>
        <w:t>R. v. Brown</w:t>
      </w:r>
      <w:r w:rsidRPr="009A1631">
        <w:t xml:space="preserve"> (2003), 173</w:t>
      </w:r>
      <w:r w:rsidR="000679EA">
        <w:t> </w:t>
      </w:r>
      <w:r w:rsidRPr="009A1631">
        <w:t>C.C.C.</w:t>
      </w:r>
      <w:r w:rsidR="000679EA">
        <w:t> </w:t>
      </w:r>
      <w:r w:rsidRPr="009A1631">
        <w:t>(3d)</w:t>
      </w:r>
      <w:r w:rsidR="000679EA">
        <w:t> </w:t>
      </w:r>
      <w:r w:rsidRPr="009A1631">
        <w:t>23 (C.A. Ont.), par. 8.</w:t>
      </w:r>
    </w:p>
  </w:footnote>
  <w:footnote w:id="90">
    <w:p w14:paraId="22FB8538" w14:textId="72628BC5" w:rsidR="005A1C52" w:rsidRPr="009A1631" w:rsidRDefault="005A1C52" w:rsidP="005A1C52">
      <w:pPr>
        <w:pStyle w:val="Notedebasdepage"/>
      </w:pPr>
      <w:r w:rsidRPr="009A1631">
        <w:rPr>
          <w:rStyle w:val="Appelnotedebasdep"/>
        </w:rPr>
        <w:footnoteRef/>
      </w:r>
      <w:r w:rsidRPr="009A1631">
        <w:t xml:space="preserve"> </w:t>
      </w:r>
      <w:r w:rsidRPr="009A1631">
        <w:tab/>
        <w:t xml:space="preserve">Pièce P-4, Rapport d’expertise de Marie-Ève Sylvestre, </w:t>
      </w:r>
      <w:r w:rsidR="00712A98" w:rsidRPr="009A1631">
        <w:t>7 février 2022</w:t>
      </w:r>
      <w:r w:rsidRPr="009A1631">
        <w:t>, p. 1</w:t>
      </w:r>
      <w:r w:rsidR="00712A98" w:rsidRPr="009A1631">
        <w:t>2</w:t>
      </w:r>
      <w:r w:rsidRPr="009A1631">
        <w:t>.</w:t>
      </w:r>
    </w:p>
  </w:footnote>
  <w:footnote w:id="91">
    <w:p w14:paraId="263287B1" w14:textId="0B9ECFC7" w:rsidR="005A1C52" w:rsidRDefault="005A1C52" w:rsidP="009979E1">
      <w:pPr>
        <w:pStyle w:val="Notedebasdepage"/>
      </w:pPr>
      <w:r w:rsidRPr="009A1631">
        <w:rPr>
          <w:rStyle w:val="Appelnotedebasdep"/>
        </w:rPr>
        <w:footnoteRef/>
      </w:r>
      <w:r w:rsidRPr="009A1631">
        <w:t xml:space="preserve"> </w:t>
      </w:r>
      <w:r w:rsidRPr="009A1631">
        <w:tab/>
      </w:r>
      <w:r w:rsidRPr="009A1631">
        <w:rPr>
          <w:i/>
          <w:iCs/>
        </w:rPr>
        <w:t>R. c. Dorfeuille</w:t>
      </w:r>
      <w:r w:rsidRPr="009A1631">
        <w:t>, 2020 QCCS 1499</w:t>
      </w:r>
      <w:r w:rsidR="009A1631" w:rsidRPr="009A1631">
        <w:t xml:space="preserve"> </w:t>
      </w:r>
      <w:r w:rsidR="009979E1">
        <w:t>(</w:t>
      </w:r>
      <w:r w:rsidR="009A1631" w:rsidRPr="009A1631">
        <w:rPr>
          <w:i/>
          <w:iCs/>
        </w:rPr>
        <w:t>Dorfeuille</w:t>
      </w:r>
      <w:r w:rsidR="009979E1">
        <w:t>)</w:t>
      </w:r>
      <w:r w:rsidRPr="009A1631">
        <w:t xml:space="preserve">, par. 46. Voir aussi : </w:t>
      </w:r>
      <w:r w:rsidRPr="009A1631">
        <w:rPr>
          <w:i/>
          <w:iCs/>
        </w:rPr>
        <w:t>R. c. Ngarukiye</w:t>
      </w:r>
      <w:r w:rsidRPr="009A1631">
        <w:t>, 2023</w:t>
      </w:r>
      <w:r w:rsidR="009979E1">
        <w:t> </w:t>
      </w:r>
      <w:r w:rsidRPr="009A1631">
        <w:t>QCCS</w:t>
      </w:r>
      <w:r w:rsidR="009979E1">
        <w:t> </w:t>
      </w:r>
      <w:r w:rsidRPr="009A1631">
        <w:t>4677, par.</w:t>
      </w:r>
      <w:r w:rsidR="009979E1">
        <w:t> </w:t>
      </w:r>
      <w:r w:rsidRPr="009A1631">
        <w:t xml:space="preserve">136; </w:t>
      </w:r>
      <w:r w:rsidRPr="009A1631">
        <w:rPr>
          <w:i/>
          <w:iCs/>
        </w:rPr>
        <w:t>R. v. Sitladeen</w:t>
      </w:r>
      <w:r w:rsidRPr="009A1631">
        <w:t>, 2021</w:t>
      </w:r>
      <w:r w:rsidR="009979E1">
        <w:t> </w:t>
      </w:r>
      <w:r w:rsidRPr="009A1631">
        <w:t>ONCA</w:t>
      </w:r>
      <w:r w:rsidR="009979E1">
        <w:t> </w:t>
      </w:r>
      <w:r w:rsidRPr="009A1631">
        <w:t>303, par.</w:t>
      </w:r>
      <w:r w:rsidR="009979E1">
        <w:t> </w:t>
      </w:r>
      <w:r w:rsidRPr="009A1631">
        <w:t xml:space="preserve">52; </w:t>
      </w:r>
      <w:r w:rsidRPr="009A1631">
        <w:rPr>
          <w:i/>
          <w:iCs/>
        </w:rPr>
        <w:t>R. v. Dudhi</w:t>
      </w:r>
      <w:r w:rsidRPr="009A1631">
        <w:t>, 2019</w:t>
      </w:r>
      <w:r w:rsidR="009979E1">
        <w:t> </w:t>
      </w:r>
      <w:r w:rsidRPr="009A1631">
        <w:t>ONCA</w:t>
      </w:r>
      <w:r w:rsidR="009979E1">
        <w:t> </w:t>
      </w:r>
      <w:r w:rsidRPr="009A1631">
        <w:t>665, par.</w:t>
      </w:r>
      <w:r w:rsidR="009979E1">
        <w:t> </w:t>
      </w:r>
      <w:r w:rsidRPr="009A1631">
        <w:t>62,</w:t>
      </w:r>
      <w:r w:rsidR="009979E1">
        <w:t> </w:t>
      </w:r>
      <w:r w:rsidRPr="009A1631">
        <w:t>64</w:t>
      </w:r>
      <w:r w:rsidR="009979E1">
        <w:t> </w:t>
      </w:r>
      <w:r w:rsidRPr="009A1631">
        <w:t>et</w:t>
      </w:r>
      <w:r w:rsidR="009979E1">
        <w:t> </w:t>
      </w:r>
      <w:r w:rsidRPr="009A1631">
        <w:t xml:space="preserve">85; </w:t>
      </w:r>
      <w:r w:rsidRPr="009A1631">
        <w:rPr>
          <w:i/>
          <w:iCs/>
        </w:rPr>
        <w:t>Peart v. Peel Regional Police Services</w:t>
      </w:r>
      <w:r w:rsidR="00712A98" w:rsidRPr="009A1631">
        <w:rPr>
          <w:i/>
          <w:iCs/>
        </w:rPr>
        <w:t xml:space="preserve"> </w:t>
      </w:r>
      <w:r w:rsidR="00712A98" w:rsidRPr="009A1631">
        <w:t xml:space="preserve">(2006), 43 C.R. (6th) 175 (C.A. Ont.), </w:t>
      </w:r>
      <w:r w:rsidRPr="009A1631">
        <w:t>par. 91</w:t>
      </w:r>
      <w:r w:rsidR="00712A98" w:rsidRPr="009A1631">
        <w:t> et 95</w:t>
      </w:r>
      <w:r w:rsidRPr="009A1631">
        <w:t>, demande d’autorisation d’appel à la Cour suprême rejetée, 29 mars 2007, n</w:t>
      </w:r>
      <w:r w:rsidRPr="009A1631">
        <w:rPr>
          <w:vertAlign w:val="superscript"/>
        </w:rPr>
        <w:t>o</w:t>
      </w:r>
      <w:r w:rsidRPr="009A1631">
        <w:t xml:space="preserve"> 31798; </w:t>
      </w:r>
      <w:r w:rsidR="000E654A" w:rsidRPr="009A1631">
        <w:t>p</w:t>
      </w:r>
      <w:r w:rsidRPr="009A1631">
        <w:t xml:space="preserve">ièce P-32, Commission des droits de la personne et des droits de la jeunesse (Québec), </w:t>
      </w:r>
      <w:r w:rsidRPr="004C26CA">
        <w:rPr>
          <w:i/>
          <w:iCs/>
        </w:rPr>
        <w:t>Profilage racial et discrimination systémique des jeunes racisés : Rapport de consultation sur le profilage racial et ses conséquences</w:t>
      </w:r>
      <w:r w:rsidRPr="009A1631">
        <w:t xml:space="preserve">, </w:t>
      </w:r>
      <w:r w:rsidR="000E654A" w:rsidRPr="009A1631">
        <w:t>m</w:t>
      </w:r>
      <w:r w:rsidRPr="009A1631">
        <w:t xml:space="preserve">ars 2011, </w:t>
      </w:r>
      <w:r w:rsidR="00712A98" w:rsidRPr="009A1631">
        <w:t>p. 10</w:t>
      </w:r>
      <w:r w:rsidRPr="009A1631">
        <w:t>.</w:t>
      </w:r>
    </w:p>
  </w:footnote>
  <w:footnote w:id="92">
    <w:p w14:paraId="7B8C5CAD" w14:textId="27813617" w:rsidR="005A1C52" w:rsidRPr="000679EA" w:rsidRDefault="005A1C52" w:rsidP="005A1C52">
      <w:pPr>
        <w:pStyle w:val="Notedebasdepage"/>
      </w:pPr>
      <w:r w:rsidRPr="000679EA">
        <w:rPr>
          <w:rStyle w:val="Appelnotedebasdep"/>
        </w:rPr>
        <w:footnoteRef/>
      </w:r>
      <w:r w:rsidRPr="00D83C77">
        <w:t xml:space="preserve"> </w:t>
      </w:r>
      <w:r w:rsidRPr="00D83C77">
        <w:tab/>
      </w:r>
      <w:r w:rsidR="00CC1906" w:rsidRPr="000679EA">
        <w:t>Pièce P-1, Rapport d’expertise de Massimiliano Mulone, 31 janvier 2022</w:t>
      </w:r>
      <w:r w:rsidR="00CC1906">
        <w:t xml:space="preserve">, annexe MM-48, </w:t>
      </w:r>
      <w:r w:rsidRPr="00D83C77">
        <w:t xml:space="preserve">David M. Tanovich, </w:t>
      </w:r>
      <w:r w:rsidRPr="00D83C77">
        <w:rPr>
          <w:i/>
          <w:iCs/>
        </w:rPr>
        <w:t>The Colour of Justice: Policing Race in Canada</w:t>
      </w:r>
      <w:r w:rsidRPr="00D83C77">
        <w:t xml:space="preserve">, Toronto, Irwin Law, 2006, p. 144. </w:t>
      </w:r>
      <w:r w:rsidRPr="000679EA">
        <w:t>Voir aussi</w:t>
      </w:r>
      <w:r w:rsidR="007509D8">
        <w:t> </w:t>
      </w:r>
      <w:r w:rsidRPr="000679EA">
        <w:t xml:space="preserve">: </w:t>
      </w:r>
      <w:r w:rsidRPr="000679EA">
        <w:rPr>
          <w:i/>
          <w:iCs/>
        </w:rPr>
        <w:t>R. v. Sitladeen</w:t>
      </w:r>
      <w:r w:rsidRPr="000679EA">
        <w:t>, 2021 ONCA 303, par. 54.</w:t>
      </w:r>
    </w:p>
  </w:footnote>
  <w:footnote w:id="93">
    <w:p w14:paraId="52CC4EB6" w14:textId="6BFA5E1B" w:rsidR="005A1C52" w:rsidRPr="000679EA" w:rsidRDefault="005A1C52" w:rsidP="005A1C52">
      <w:pPr>
        <w:pStyle w:val="Notedebasdepage"/>
      </w:pPr>
      <w:r w:rsidRPr="000679EA">
        <w:rPr>
          <w:rStyle w:val="Appelnotedebasdep"/>
        </w:rPr>
        <w:footnoteRef/>
      </w:r>
      <w:r w:rsidRPr="000679EA">
        <w:t xml:space="preserve"> </w:t>
      </w:r>
      <w:r w:rsidRPr="000679EA">
        <w:tab/>
        <w:t xml:space="preserve">Pièce P-1, Rapport d’expertise de Massimiliano Mulone, </w:t>
      </w:r>
      <w:r w:rsidR="00F6408A" w:rsidRPr="000679EA">
        <w:t xml:space="preserve">31 janvier 2022, </w:t>
      </w:r>
      <w:r w:rsidRPr="000679EA">
        <w:t xml:space="preserve">p. 16 et 29. </w:t>
      </w:r>
    </w:p>
  </w:footnote>
  <w:footnote w:id="94">
    <w:p w14:paraId="5C0EB02F" w14:textId="679EE478" w:rsidR="00C726A1" w:rsidRPr="000679EA" w:rsidRDefault="00C726A1">
      <w:pPr>
        <w:pStyle w:val="Notedebasdepage"/>
      </w:pPr>
      <w:r w:rsidRPr="000679EA">
        <w:rPr>
          <w:rStyle w:val="Appelnotedebasdep"/>
        </w:rPr>
        <w:footnoteRef/>
      </w:r>
      <w:r w:rsidRPr="000679EA">
        <w:t xml:space="preserve"> </w:t>
      </w:r>
      <w:r w:rsidR="00FF4DA0" w:rsidRPr="000679EA">
        <w:tab/>
      </w:r>
      <w:r w:rsidR="003E5F29" w:rsidRPr="000679EA">
        <w:rPr>
          <w:i/>
          <w:iCs/>
        </w:rPr>
        <w:t>Infra</w:t>
      </w:r>
      <w:r w:rsidRPr="000679EA">
        <w:t xml:space="preserve">, par. </w:t>
      </w:r>
      <w:r w:rsidR="000E654A" w:rsidRPr="000679EA">
        <w:fldChar w:fldCharType="begin"/>
      </w:r>
      <w:r w:rsidR="000E654A" w:rsidRPr="000679EA">
        <w:instrText xml:space="preserve"> REF _Ref177748113 \r \h  \* MERGEFORMAT </w:instrText>
      </w:r>
      <w:r w:rsidR="000E654A" w:rsidRPr="000679EA">
        <w:fldChar w:fldCharType="separate"/>
      </w:r>
      <w:r w:rsidR="0040330D">
        <w:t>[152]</w:t>
      </w:r>
      <w:r w:rsidR="000E654A" w:rsidRPr="000679EA">
        <w:fldChar w:fldCharType="end"/>
      </w:r>
      <w:r w:rsidR="000E654A" w:rsidRPr="000679EA">
        <w:t xml:space="preserve"> à </w:t>
      </w:r>
      <w:r w:rsidR="0035334A">
        <w:fldChar w:fldCharType="begin"/>
      </w:r>
      <w:r w:rsidR="0035334A">
        <w:instrText xml:space="preserve"> REF _Ref180158645 \r \h </w:instrText>
      </w:r>
      <w:r w:rsidR="0035334A">
        <w:fldChar w:fldCharType="separate"/>
      </w:r>
      <w:r w:rsidR="0040330D">
        <w:t>[216]</w:t>
      </w:r>
      <w:r w:rsidR="0035334A">
        <w:fldChar w:fldCharType="end"/>
      </w:r>
      <w:r w:rsidR="00F877A4" w:rsidRPr="000679EA">
        <w:t>.</w:t>
      </w:r>
    </w:p>
  </w:footnote>
  <w:footnote w:id="95">
    <w:p w14:paraId="6AE895C7" w14:textId="46ACFC5F" w:rsidR="00484BF3" w:rsidRPr="00484BF3" w:rsidRDefault="00484BF3">
      <w:pPr>
        <w:pStyle w:val="Notedebasdepage"/>
      </w:pPr>
      <w:r w:rsidRPr="00484BF3">
        <w:rPr>
          <w:rStyle w:val="Appelnotedebasdep"/>
        </w:rPr>
        <w:footnoteRef/>
      </w:r>
      <w:r w:rsidRPr="00484BF3">
        <w:t xml:space="preserve"> </w:t>
      </w:r>
      <w:r w:rsidRPr="00484BF3">
        <w:tab/>
      </w:r>
      <w:r w:rsidR="0035093A">
        <w:t>L</w:t>
      </w:r>
      <w:r w:rsidRPr="00484BF3">
        <w:rPr>
          <w:rFonts w:cs="Arial"/>
        </w:rPr>
        <w:t xml:space="preserve">’interpellation correspond à toute intervention où un </w:t>
      </w:r>
      <w:r>
        <w:rPr>
          <w:rFonts w:cs="Arial"/>
        </w:rPr>
        <w:t xml:space="preserve">policier </w:t>
      </w:r>
      <w:r w:rsidRPr="00484BF3">
        <w:rPr>
          <w:rFonts w:cs="Arial"/>
        </w:rPr>
        <w:t>cherche à collecter</w:t>
      </w:r>
      <w:r w:rsidR="00A254B0">
        <w:rPr>
          <w:rFonts w:cs="Arial"/>
        </w:rPr>
        <w:t xml:space="preserve"> « </w:t>
      </w:r>
      <w:r w:rsidRPr="00484BF3">
        <w:rPr>
          <w:rFonts w:cs="Arial"/>
        </w:rPr>
        <w:t xml:space="preserve">des informations sur un ou des individus […] dans un but opérationnel […], et ce, sans avoir le pouvoir de contraindre le citoyen de lui répondre » (pièce P-1, </w:t>
      </w:r>
      <w:r w:rsidRPr="00484BF3">
        <w:t>Rapport d’expertise de Massimiliano Mulone, 31</w:t>
      </w:r>
      <w:r w:rsidR="00D224FD">
        <w:t> </w:t>
      </w:r>
      <w:r w:rsidRPr="00484BF3">
        <w:t>janvier</w:t>
      </w:r>
      <w:r w:rsidR="00D224FD">
        <w:t> </w:t>
      </w:r>
      <w:r w:rsidRPr="00484BF3">
        <w:t xml:space="preserve">2022, </w:t>
      </w:r>
      <w:r w:rsidRPr="00484BF3">
        <w:rPr>
          <w:rFonts w:cs="Arial"/>
        </w:rPr>
        <w:t>p. 2). La demande d’information formulée par le policier n’implique en principe aucune obligation de la part du citoyen.</w:t>
      </w:r>
      <w:r w:rsidR="00A254B0">
        <w:rPr>
          <w:rFonts w:cs="Arial"/>
        </w:rPr>
        <w:t xml:space="preserve"> </w:t>
      </w:r>
      <w:r w:rsidR="00A254B0">
        <w:t xml:space="preserve">En règle générale, l’interpellation ne constitue pas une forme de détention visée par l’art. 9 de la </w:t>
      </w:r>
      <w:r w:rsidR="00A254B0" w:rsidRPr="00A254B0">
        <w:rPr>
          <w:i/>
          <w:iCs/>
        </w:rPr>
        <w:t>Charte</w:t>
      </w:r>
      <w:r w:rsidR="00A254B0">
        <w:t xml:space="preserve"> puisque, par définition, la personne interpellée est libre de partir. Il en va autrement de l’interception routière, qui implique une forme de contrainte (voir, à ce sujet : </w:t>
      </w:r>
      <w:r w:rsidR="00A254B0" w:rsidRPr="00A254B0">
        <w:rPr>
          <w:i/>
          <w:iCs/>
        </w:rPr>
        <w:t>infra</w:t>
      </w:r>
      <w:r w:rsidR="00A254B0">
        <w:t>, par. </w:t>
      </w:r>
      <w:r w:rsidR="00A254B0">
        <w:fldChar w:fldCharType="begin"/>
      </w:r>
      <w:r w:rsidR="00A254B0">
        <w:instrText xml:space="preserve"> REF _Ref178072375 \r \h </w:instrText>
      </w:r>
      <w:r w:rsidR="00A254B0">
        <w:fldChar w:fldCharType="separate"/>
      </w:r>
      <w:r w:rsidR="0040330D">
        <w:t>[103]</w:t>
      </w:r>
      <w:r w:rsidR="00A254B0">
        <w:fldChar w:fldCharType="end"/>
      </w:r>
      <w:r w:rsidR="00A254B0">
        <w:t xml:space="preserve"> et</w:t>
      </w:r>
      <w:r w:rsidR="00F65F14">
        <w:t> </w:t>
      </w:r>
      <w:r w:rsidR="00A254B0">
        <w:fldChar w:fldCharType="begin"/>
      </w:r>
      <w:r w:rsidR="00A254B0">
        <w:instrText xml:space="preserve"> REF _Ref178072381 \r \h </w:instrText>
      </w:r>
      <w:r w:rsidR="00A254B0">
        <w:fldChar w:fldCharType="separate"/>
      </w:r>
      <w:r w:rsidR="0040330D">
        <w:t>[104]</w:t>
      </w:r>
      <w:r w:rsidR="00A254B0">
        <w:fldChar w:fldCharType="end"/>
      </w:r>
      <w:r w:rsidR="00A254B0">
        <w:t>).</w:t>
      </w:r>
    </w:p>
  </w:footnote>
  <w:footnote w:id="96">
    <w:p w14:paraId="02F46B52" w14:textId="13D58EC9" w:rsidR="005A1C52" w:rsidRPr="000679EA" w:rsidRDefault="005A1C52" w:rsidP="005A1C52">
      <w:pPr>
        <w:pStyle w:val="Notedebasdepage"/>
      </w:pPr>
      <w:r w:rsidRPr="000679EA">
        <w:rPr>
          <w:rStyle w:val="Appelnotedebasdep"/>
        </w:rPr>
        <w:footnoteRef/>
      </w:r>
      <w:r w:rsidRPr="000679EA">
        <w:t xml:space="preserve"> </w:t>
      </w:r>
      <w:r w:rsidRPr="000679EA">
        <w:tab/>
      </w:r>
      <w:r w:rsidR="00F6408A" w:rsidRPr="000679EA">
        <w:t>Pièce P-1, Rapport d’expertise de Massimiliano Mulone, 31 janvier 2022, p. 16</w:t>
      </w:r>
      <w:r w:rsidRPr="000679EA">
        <w:t>.</w:t>
      </w:r>
    </w:p>
  </w:footnote>
  <w:footnote w:id="97">
    <w:p w14:paraId="75C5DC09" w14:textId="1AF6C9C0" w:rsidR="005A1C52" w:rsidRPr="00E22336" w:rsidRDefault="005A1C52" w:rsidP="005A1C52">
      <w:pPr>
        <w:pStyle w:val="Notedebasdepage"/>
        <w:rPr>
          <w:highlight w:val="green"/>
        </w:rPr>
      </w:pPr>
      <w:r w:rsidRPr="007509D8">
        <w:rPr>
          <w:rStyle w:val="Appelnotedebasdep"/>
        </w:rPr>
        <w:footnoteRef/>
      </w:r>
      <w:r w:rsidRPr="00387233">
        <w:rPr>
          <w:lang w:val="en-CA"/>
        </w:rPr>
        <w:t xml:space="preserve"> </w:t>
      </w:r>
      <w:r w:rsidRPr="00387233">
        <w:rPr>
          <w:lang w:val="en-CA"/>
        </w:rPr>
        <w:tab/>
      </w:r>
      <w:r w:rsidR="00F6408A" w:rsidRPr="00387233">
        <w:rPr>
          <w:i/>
          <w:iCs/>
          <w:lang w:val="en-CA"/>
        </w:rPr>
        <w:t>Id</w:t>
      </w:r>
      <w:r w:rsidR="00F6408A" w:rsidRPr="00387233">
        <w:rPr>
          <w:lang w:val="en-CA"/>
        </w:rPr>
        <w:t>.</w:t>
      </w:r>
      <w:r w:rsidRPr="00387233">
        <w:rPr>
          <w:lang w:val="en-CA"/>
        </w:rPr>
        <w:t>, p. 18. Voir aussi : Steven Penney, « Driving While Innocent: Curbing the Excesses of “Traffic Stop”</w:t>
      </w:r>
      <w:r w:rsidRPr="000679EA">
        <w:rPr>
          <w:lang w:val="en-CA"/>
        </w:rPr>
        <w:t xml:space="preserve"> Power », (2019) 24 </w:t>
      </w:r>
      <w:r w:rsidRPr="000679EA">
        <w:rPr>
          <w:i/>
          <w:iCs/>
          <w:lang w:val="en-CA"/>
        </w:rPr>
        <w:t xml:space="preserve">Rev. can. </w:t>
      </w:r>
      <w:r w:rsidRPr="000679EA">
        <w:rPr>
          <w:i/>
          <w:iCs/>
        </w:rPr>
        <w:t>D.P</w:t>
      </w:r>
      <w:r w:rsidRPr="000679EA">
        <w:t>. 339</w:t>
      </w:r>
      <w:r w:rsidR="00F6408A" w:rsidRPr="000679EA">
        <w:t>, p. 363-367</w:t>
      </w:r>
      <w:r w:rsidRPr="000679EA">
        <w:t>.</w:t>
      </w:r>
    </w:p>
  </w:footnote>
  <w:footnote w:id="98">
    <w:p w14:paraId="42974EC4" w14:textId="756781E1" w:rsidR="005A1C52" w:rsidRPr="000679EA" w:rsidRDefault="005A1C52" w:rsidP="005A1C52">
      <w:pPr>
        <w:pStyle w:val="Notedebasdepage"/>
      </w:pPr>
      <w:r w:rsidRPr="000679EA">
        <w:rPr>
          <w:rStyle w:val="Appelnotedebasdep"/>
        </w:rPr>
        <w:footnoteRef/>
      </w:r>
      <w:r w:rsidRPr="000679EA">
        <w:t xml:space="preserve"> </w:t>
      </w:r>
      <w:r w:rsidRPr="000679EA">
        <w:tab/>
      </w:r>
      <w:r w:rsidR="00F6408A" w:rsidRPr="000679EA">
        <w:t>Pièce P-1, Rapport d’expertise de Massimiliano Mulone, 31 janvier 2022, p. 23</w:t>
      </w:r>
      <w:r w:rsidRPr="000679EA">
        <w:t>.</w:t>
      </w:r>
    </w:p>
  </w:footnote>
  <w:footnote w:id="99">
    <w:p w14:paraId="5A419892" w14:textId="2A863CDA" w:rsidR="00466552" w:rsidRPr="009E2EC5" w:rsidRDefault="00466552" w:rsidP="00466552">
      <w:pPr>
        <w:autoSpaceDE w:val="0"/>
        <w:autoSpaceDN w:val="0"/>
        <w:adjustRightInd w:val="0"/>
        <w:spacing w:line="240" w:lineRule="auto"/>
        <w:ind w:left="357" w:hanging="357"/>
        <w:jc w:val="both"/>
        <w:rPr>
          <w:rFonts w:cs="Arial"/>
          <w:i/>
          <w:iCs/>
          <w:sz w:val="20"/>
          <w:lang w:eastAsia="fr-CA"/>
        </w:rPr>
      </w:pPr>
      <w:r w:rsidRPr="00F17D56">
        <w:rPr>
          <w:rStyle w:val="Appelnotedebasdep"/>
          <w:sz w:val="20"/>
        </w:rPr>
        <w:footnoteRef/>
      </w:r>
      <w:r w:rsidRPr="00F17D56">
        <w:rPr>
          <w:sz w:val="20"/>
        </w:rPr>
        <w:t xml:space="preserve"> </w:t>
      </w:r>
      <w:r w:rsidRPr="00F17D56">
        <w:rPr>
          <w:sz w:val="20"/>
        </w:rPr>
        <w:tab/>
      </w:r>
      <w:r w:rsidRPr="00F17D56">
        <w:rPr>
          <w:rFonts w:cs="Arial"/>
          <w:sz w:val="20"/>
        </w:rPr>
        <w:t xml:space="preserve">La Commission ontarienne </w:t>
      </w:r>
      <w:r>
        <w:rPr>
          <w:rFonts w:cs="Arial"/>
          <w:sz w:val="20"/>
        </w:rPr>
        <w:t xml:space="preserve">des droits de la personne </w:t>
      </w:r>
      <w:r w:rsidRPr="00F17D56">
        <w:rPr>
          <w:rFonts w:cs="Arial"/>
          <w:sz w:val="20"/>
        </w:rPr>
        <w:t xml:space="preserve">distingue ainsi le profilage racial du profilage criminel : </w:t>
      </w:r>
      <w:r w:rsidRPr="00F17D56">
        <w:rPr>
          <w:rFonts w:cs="Arial"/>
          <w:sz w:val="20"/>
          <w:lang w:eastAsia="fr-CA"/>
        </w:rPr>
        <w:t>«</w:t>
      </w:r>
      <w:r>
        <w:rPr>
          <w:rFonts w:cs="Arial"/>
          <w:sz w:val="20"/>
          <w:lang w:eastAsia="fr-CA"/>
        </w:rPr>
        <w:t> </w:t>
      </w:r>
      <w:r w:rsidRPr="00F17D56">
        <w:rPr>
          <w:rFonts w:cs="Arial"/>
          <w:sz w:val="20"/>
          <w:lang w:eastAsia="fr-CA"/>
        </w:rPr>
        <w:t xml:space="preserve">[...] le “profilage racial” se distingue du “profilage criminel”, lequel ne prend pas pour base des stéréotypes, mais se fonde sur un comportement réel ou sur des renseignements relatifs à une présumée activité de la part d’une personne qui répond à un certain signalement. En d’autres termes, le profilage criminel diffère du profilage racial, puisque le premier découle de preuves objectives d’un comportement délictueux, tandis que le second se fonde sur des présomptions stéréotypées » : </w:t>
      </w:r>
      <w:r w:rsidR="002F504C" w:rsidRPr="002F504C">
        <w:rPr>
          <w:rFonts w:cs="Arial"/>
          <w:sz w:val="20"/>
          <w:lang w:eastAsia="fr-CA"/>
        </w:rPr>
        <w:t xml:space="preserve">pièce P-4, </w:t>
      </w:r>
      <w:r w:rsidR="002F504C" w:rsidRPr="002F504C">
        <w:rPr>
          <w:sz w:val="20"/>
        </w:rPr>
        <w:t xml:space="preserve">Rapport d’expertise de Marie-Ève Sylvestre, 7 février 2022, </w:t>
      </w:r>
      <w:r w:rsidR="002F504C">
        <w:rPr>
          <w:sz w:val="20"/>
        </w:rPr>
        <w:t xml:space="preserve">annexe MES-055, </w:t>
      </w:r>
      <w:r w:rsidRPr="005C710F">
        <w:rPr>
          <w:rFonts w:cs="Arial"/>
          <w:sz w:val="20"/>
          <w:lang w:eastAsia="fr-CA"/>
        </w:rPr>
        <w:t xml:space="preserve">Commission ontarienne des droits de la personne, </w:t>
      </w:r>
      <w:r w:rsidRPr="005C710F">
        <w:rPr>
          <w:i/>
          <w:iCs/>
          <w:sz w:val="20"/>
        </w:rPr>
        <w:t>Un prix trop élevé : les coûts humains du profilage racial – Rapport d’enquête</w:t>
      </w:r>
      <w:r w:rsidRPr="005C710F">
        <w:rPr>
          <w:sz w:val="20"/>
        </w:rPr>
        <w:t>, 2003, p. 7</w:t>
      </w:r>
      <w:r w:rsidRPr="005C710F">
        <w:rPr>
          <w:rFonts w:cs="Arial"/>
          <w:sz w:val="20"/>
          <w:lang w:eastAsia="fr-CA"/>
        </w:rPr>
        <w:t>.</w:t>
      </w:r>
    </w:p>
  </w:footnote>
  <w:footnote w:id="100">
    <w:p w14:paraId="41B58B98" w14:textId="033016C2" w:rsidR="005A1C52" w:rsidRDefault="005A1C52" w:rsidP="005A1C52">
      <w:pPr>
        <w:pStyle w:val="Notedebasdepage"/>
      </w:pPr>
      <w:r w:rsidRPr="000679EA">
        <w:rPr>
          <w:rStyle w:val="Appelnotedebasdep"/>
        </w:rPr>
        <w:footnoteRef/>
      </w:r>
      <w:r w:rsidRPr="000679EA">
        <w:t xml:space="preserve"> </w:t>
      </w:r>
      <w:r w:rsidRPr="000679EA">
        <w:tab/>
      </w:r>
      <w:r w:rsidR="00F21C3C" w:rsidRPr="000679EA">
        <w:t>Pièce P-1, Rapport d’expertise de Massimiliano Mulone, 31 janvier 2022</w:t>
      </w:r>
      <w:r w:rsidRPr="000679EA">
        <w:t xml:space="preserve">, </w:t>
      </w:r>
      <w:r w:rsidR="00B75D6F" w:rsidRPr="000679EA">
        <w:t>p. 27.</w:t>
      </w:r>
      <w:r w:rsidR="00B75D6F">
        <w:t xml:space="preserve"> </w:t>
      </w:r>
    </w:p>
  </w:footnote>
  <w:footnote w:id="101">
    <w:p w14:paraId="6CB9309D" w14:textId="5F666BEC" w:rsidR="005A1C52" w:rsidRPr="000679EA" w:rsidRDefault="005A1C52" w:rsidP="005A1C52">
      <w:pPr>
        <w:pStyle w:val="Notedebasdepage"/>
      </w:pPr>
      <w:r w:rsidRPr="000679EA">
        <w:rPr>
          <w:rStyle w:val="Appelnotedebasdep"/>
        </w:rPr>
        <w:footnoteRef/>
      </w:r>
      <w:r w:rsidRPr="000679EA">
        <w:t xml:space="preserve"> </w:t>
      </w:r>
      <w:r w:rsidRPr="000679EA">
        <w:tab/>
      </w:r>
      <w:r w:rsidR="00172E96" w:rsidRPr="000679EA">
        <w:rPr>
          <w:i/>
          <w:iCs/>
        </w:rPr>
        <w:t>Id</w:t>
      </w:r>
      <w:r w:rsidR="00172E96" w:rsidRPr="000679EA">
        <w:t>.</w:t>
      </w:r>
      <w:r w:rsidRPr="000679EA">
        <w:t>, p. 29.</w:t>
      </w:r>
    </w:p>
  </w:footnote>
  <w:footnote w:id="102">
    <w:p w14:paraId="178AF48B" w14:textId="463B4671" w:rsidR="005A1C52" w:rsidRPr="000679EA" w:rsidRDefault="005A1C52" w:rsidP="005A1C52">
      <w:pPr>
        <w:pStyle w:val="Notedebasdepage"/>
      </w:pPr>
      <w:r w:rsidRPr="000679EA">
        <w:rPr>
          <w:rStyle w:val="Appelnotedebasdep"/>
        </w:rPr>
        <w:footnoteRef/>
      </w:r>
      <w:r w:rsidRPr="000679EA">
        <w:t xml:space="preserve"> </w:t>
      </w:r>
      <w:r w:rsidRPr="000679EA">
        <w:tab/>
        <w:t xml:space="preserve">Pièce P-4, Rapport d’expertise de Marie-Ève Sylvestre, </w:t>
      </w:r>
      <w:r w:rsidR="00172E96" w:rsidRPr="000679EA">
        <w:t xml:space="preserve">7 février 2022, </w:t>
      </w:r>
      <w:r w:rsidRPr="000679EA">
        <w:t>p. 17.</w:t>
      </w:r>
    </w:p>
  </w:footnote>
  <w:footnote w:id="103">
    <w:p w14:paraId="1017B094" w14:textId="7CD0CE44" w:rsidR="005A1C52" w:rsidRDefault="005A1C52" w:rsidP="005A1C52">
      <w:pPr>
        <w:pStyle w:val="Notedebasdepage"/>
      </w:pPr>
      <w:r w:rsidRPr="000679EA">
        <w:rPr>
          <w:rStyle w:val="Appelnotedebasdep"/>
        </w:rPr>
        <w:footnoteRef/>
      </w:r>
      <w:r w:rsidRPr="000679EA">
        <w:t xml:space="preserve"> </w:t>
      </w:r>
      <w:r w:rsidRPr="000679EA">
        <w:tab/>
      </w:r>
      <w:r w:rsidRPr="000679EA">
        <w:rPr>
          <w:i/>
          <w:iCs/>
        </w:rPr>
        <w:t>R. c. Ladouceur</w:t>
      </w:r>
      <w:r w:rsidRPr="000679EA">
        <w:t xml:space="preserve">, </w:t>
      </w:r>
      <w:r w:rsidRPr="000679EA">
        <w:rPr>
          <w:rFonts w:cs="Arial"/>
        </w:rPr>
        <w:t>[1990] 1 R.C.S. 1257</w:t>
      </w:r>
      <w:r w:rsidRPr="000679EA">
        <w:t>, p. 1287 (motifs majoritaires du j. Cory).</w:t>
      </w:r>
    </w:p>
  </w:footnote>
  <w:footnote w:id="104">
    <w:p w14:paraId="6D28FCC8" w14:textId="5EDE7310" w:rsidR="000F29F2" w:rsidRPr="000679EA" w:rsidRDefault="000F29F2" w:rsidP="000F29F2">
      <w:pPr>
        <w:pStyle w:val="Notedebasdepage"/>
        <w:rPr>
          <w:lang w:val="en-CA"/>
        </w:rPr>
      </w:pPr>
      <w:r w:rsidRPr="000679EA">
        <w:rPr>
          <w:rStyle w:val="Appelnotedebasdep"/>
        </w:rPr>
        <w:footnoteRef/>
      </w:r>
      <w:r w:rsidRPr="000679EA">
        <w:rPr>
          <w:lang w:val="en-CA"/>
        </w:rPr>
        <w:t xml:space="preserve"> </w:t>
      </w:r>
      <w:r w:rsidRPr="000679EA">
        <w:rPr>
          <w:lang w:val="en-CA"/>
        </w:rPr>
        <w:tab/>
      </w:r>
      <w:r w:rsidRPr="000679EA">
        <w:rPr>
          <w:i/>
          <w:iCs/>
          <w:lang w:val="en-CA"/>
        </w:rPr>
        <w:t>Little Sisters Book and Art Emporium c. Canada (Ministre de la Justice)</w:t>
      </w:r>
      <w:r w:rsidRPr="000679EA">
        <w:rPr>
          <w:lang w:val="en-CA"/>
        </w:rPr>
        <w:t>, 2000 CSC 69</w:t>
      </w:r>
      <w:r w:rsidR="001C3FF0" w:rsidRPr="000679EA">
        <w:rPr>
          <w:lang w:val="en-CA"/>
        </w:rPr>
        <w:t xml:space="preserve"> </w:t>
      </w:r>
      <w:r w:rsidR="009979E1">
        <w:rPr>
          <w:lang w:val="en-CA"/>
        </w:rPr>
        <w:t>(</w:t>
      </w:r>
      <w:r w:rsidR="001C3FF0" w:rsidRPr="000679EA">
        <w:rPr>
          <w:i/>
          <w:iCs/>
          <w:lang w:val="en-CA"/>
        </w:rPr>
        <w:t>Little Sisters</w:t>
      </w:r>
      <w:r w:rsidR="009979E1">
        <w:rPr>
          <w:lang w:val="en-CA"/>
        </w:rPr>
        <w:t>)</w:t>
      </w:r>
      <w:r w:rsidRPr="000679EA">
        <w:rPr>
          <w:lang w:val="en-CA"/>
        </w:rPr>
        <w:t>.</w:t>
      </w:r>
    </w:p>
  </w:footnote>
  <w:footnote w:id="105">
    <w:p w14:paraId="17491338" w14:textId="5F326AE5" w:rsidR="005A1C52" w:rsidRPr="00330C92" w:rsidRDefault="005A1C52" w:rsidP="005A1C52">
      <w:pPr>
        <w:pStyle w:val="Notedebasdepage"/>
      </w:pPr>
      <w:r w:rsidRPr="000679EA">
        <w:rPr>
          <w:rStyle w:val="Appelnotedebasdep"/>
        </w:rPr>
        <w:footnoteRef/>
      </w:r>
      <w:r w:rsidRPr="00330C92">
        <w:t xml:space="preserve"> </w:t>
      </w:r>
      <w:r w:rsidRPr="00330C92">
        <w:tab/>
      </w:r>
      <w:r w:rsidR="00682861">
        <w:rPr>
          <w:i/>
          <w:iCs/>
        </w:rPr>
        <w:t>Id.</w:t>
      </w:r>
      <w:r w:rsidRPr="00330C92">
        <w:t>, par. 125.</w:t>
      </w:r>
    </w:p>
  </w:footnote>
  <w:footnote w:id="106">
    <w:p w14:paraId="39F70D28" w14:textId="2934EABB" w:rsidR="00AE1E01" w:rsidRDefault="00AE1E01">
      <w:pPr>
        <w:pStyle w:val="Notedebasdepage"/>
      </w:pPr>
      <w:r>
        <w:rPr>
          <w:rStyle w:val="Appelnotedebasdep"/>
        </w:rPr>
        <w:footnoteRef/>
      </w:r>
      <w:r>
        <w:t xml:space="preserve"> </w:t>
      </w:r>
      <w:r>
        <w:tab/>
      </w:r>
      <w:r w:rsidR="00330C92" w:rsidRPr="00330C92">
        <w:rPr>
          <w:i/>
          <w:iCs/>
        </w:rPr>
        <w:t>Cf</w:t>
      </w:r>
      <w:r w:rsidR="00330C92">
        <w:t xml:space="preserve">. </w:t>
      </w:r>
      <w:r w:rsidR="00D430A8" w:rsidRPr="008F3D6A">
        <w:rPr>
          <w:i/>
          <w:iCs/>
        </w:rPr>
        <w:t>R. c. Husfky</w:t>
      </w:r>
      <w:r w:rsidR="00D430A8" w:rsidRPr="008F3D6A">
        <w:t xml:space="preserve">, [1988] 1 R.C.S. 621, p. 633, cité dans : </w:t>
      </w:r>
      <w:r w:rsidR="00D430A8" w:rsidRPr="008F3D6A">
        <w:rPr>
          <w:i/>
          <w:iCs/>
        </w:rPr>
        <w:t>R. c. Ladouceur</w:t>
      </w:r>
      <w:r w:rsidR="00D430A8" w:rsidRPr="008F3D6A">
        <w:t xml:space="preserve">, </w:t>
      </w:r>
      <w:r w:rsidR="00D430A8" w:rsidRPr="008F3D6A">
        <w:rPr>
          <w:rFonts w:cs="Arial"/>
        </w:rPr>
        <w:t>[1990] 1 R.C.S. 1257</w:t>
      </w:r>
      <w:r w:rsidR="00D430A8" w:rsidRPr="008F3D6A">
        <w:t>, p.</w:t>
      </w:r>
      <w:r w:rsidR="00330C92">
        <w:t> </w:t>
      </w:r>
      <w:r w:rsidR="00D430A8" w:rsidRPr="008F3D6A">
        <w:t>1277</w:t>
      </w:r>
      <w:r w:rsidR="00D430A8">
        <w:t>.</w:t>
      </w:r>
    </w:p>
  </w:footnote>
  <w:footnote w:id="107">
    <w:p w14:paraId="66B0EF4C" w14:textId="0EF1459D" w:rsidR="0032484D" w:rsidRPr="00AE1E01" w:rsidRDefault="0032484D" w:rsidP="0032484D">
      <w:pPr>
        <w:pStyle w:val="Notedebasdepage"/>
      </w:pPr>
      <w:r w:rsidRPr="000679EA">
        <w:rPr>
          <w:rStyle w:val="Appelnotedebasdep"/>
        </w:rPr>
        <w:footnoteRef/>
      </w:r>
      <w:r w:rsidRPr="00AE1E01">
        <w:t xml:space="preserve"> </w:t>
      </w:r>
      <w:r w:rsidR="00FF4DA0" w:rsidRPr="00AE1E01">
        <w:tab/>
      </w:r>
      <w:r w:rsidRPr="00AE1E01">
        <w:rPr>
          <w:i/>
          <w:iCs/>
        </w:rPr>
        <w:t>R. c. Kirkpatrick</w:t>
      </w:r>
      <w:r w:rsidRPr="00AE1E01">
        <w:t xml:space="preserve">, 2022 CSC 33, par. 178; </w:t>
      </w:r>
      <w:r w:rsidRPr="00AE1E01">
        <w:rPr>
          <w:i/>
          <w:iCs/>
        </w:rPr>
        <w:t xml:space="preserve">R. </w:t>
      </w:r>
      <w:r w:rsidR="00582BAD" w:rsidRPr="00AE1E01">
        <w:rPr>
          <w:i/>
          <w:iCs/>
        </w:rPr>
        <w:t>c</w:t>
      </w:r>
      <w:r w:rsidRPr="00AE1E01">
        <w:rPr>
          <w:i/>
          <w:iCs/>
        </w:rPr>
        <w:t>. Sullivan</w:t>
      </w:r>
      <w:r w:rsidRPr="00AE1E01">
        <w:t>, 2022 CSC 19, par</w:t>
      </w:r>
      <w:r w:rsidR="002F7ECB">
        <w:t>.</w:t>
      </w:r>
      <w:r w:rsidRPr="00AE1E01">
        <w:t xml:space="preserve"> 64.</w:t>
      </w:r>
    </w:p>
  </w:footnote>
  <w:footnote w:id="108">
    <w:p w14:paraId="23D95E15" w14:textId="6C8A3A53" w:rsidR="0032484D" w:rsidRPr="000679EA" w:rsidRDefault="0032484D" w:rsidP="0032484D">
      <w:pPr>
        <w:pStyle w:val="Notedebasdepage"/>
      </w:pPr>
      <w:r w:rsidRPr="000679EA">
        <w:rPr>
          <w:rStyle w:val="Appelnotedebasdep"/>
        </w:rPr>
        <w:footnoteRef/>
      </w:r>
      <w:r w:rsidRPr="000679EA">
        <w:t xml:space="preserve"> </w:t>
      </w:r>
      <w:r w:rsidR="00FF4DA0" w:rsidRPr="000679EA">
        <w:tab/>
      </w:r>
      <w:r w:rsidR="00582BAD" w:rsidRPr="000679EA">
        <w:rPr>
          <w:i/>
          <w:iCs/>
        </w:rPr>
        <w:t>R. c. Henry</w:t>
      </w:r>
      <w:r w:rsidR="00582BAD" w:rsidRPr="000679EA">
        <w:t>,</w:t>
      </w:r>
      <w:r w:rsidR="009979E1">
        <w:t xml:space="preserve"> </w:t>
      </w:r>
      <w:r w:rsidR="00582BAD" w:rsidRPr="000679EA">
        <w:t>2005</w:t>
      </w:r>
      <w:r w:rsidR="00AA51A8">
        <w:t xml:space="preserve"> </w:t>
      </w:r>
      <w:r w:rsidR="00582BAD" w:rsidRPr="000679EA">
        <w:t>CSC</w:t>
      </w:r>
      <w:r w:rsidR="00AA51A8">
        <w:t xml:space="preserve"> </w:t>
      </w:r>
      <w:r w:rsidR="00582BAD" w:rsidRPr="000679EA">
        <w:t>76, par.</w:t>
      </w:r>
      <w:r w:rsidR="00AA51A8">
        <w:t xml:space="preserve"> </w:t>
      </w:r>
      <w:r w:rsidR="00582BAD" w:rsidRPr="000679EA">
        <w:t xml:space="preserve">54-59; </w:t>
      </w:r>
      <w:r w:rsidRPr="000679EA">
        <w:rPr>
          <w:i/>
          <w:iCs/>
        </w:rPr>
        <w:t>R. c. Lapointe</w:t>
      </w:r>
      <w:r w:rsidRPr="000679EA">
        <w:t>, 2021</w:t>
      </w:r>
      <w:r w:rsidR="00AA51A8">
        <w:t xml:space="preserve"> </w:t>
      </w:r>
      <w:r w:rsidRPr="000679EA">
        <w:t>QCCA</w:t>
      </w:r>
      <w:r w:rsidR="00AA51A8">
        <w:t xml:space="preserve"> </w:t>
      </w:r>
      <w:r w:rsidRPr="000679EA">
        <w:t>360, par. 33</w:t>
      </w:r>
      <w:r w:rsidR="00582BAD" w:rsidRPr="000679EA">
        <w:t>, demande d’autorisation d’appel à la Cour suprême rejetée, 24 mars 2022, n</w:t>
      </w:r>
      <w:r w:rsidR="00582BAD" w:rsidRPr="000679EA">
        <w:rPr>
          <w:vertAlign w:val="superscript"/>
        </w:rPr>
        <w:t>o</w:t>
      </w:r>
      <w:r w:rsidR="00582BAD" w:rsidRPr="000679EA">
        <w:t xml:space="preserve"> 39655</w:t>
      </w:r>
      <w:r w:rsidRPr="000679EA">
        <w:t>.</w:t>
      </w:r>
    </w:p>
  </w:footnote>
  <w:footnote w:id="109">
    <w:p w14:paraId="64FB0C97" w14:textId="3B559756" w:rsidR="0032484D" w:rsidRPr="008F3C25" w:rsidRDefault="0032484D" w:rsidP="0032484D">
      <w:pPr>
        <w:pStyle w:val="Notedebasdepage"/>
      </w:pPr>
      <w:r w:rsidRPr="000679EA">
        <w:rPr>
          <w:rStyle w:val="Appelnotedebasdep"/>
        </w:rPr>
        <w:footnoteRef/>
      </w:r>
      <w:r w:rsidRPr="000679EA">
        <w:t xml:space="preserve"> </w:t>
      </w:r>
      <w:r w:rsidR="00FF4DA0" w:rsidRPr="000679EA">
        <w:tab/>
      </w:r>
      <w:r w:rsidRPr="000679EA">
        <w:rPr>
          <w:i/>
          <w:iCs/>
        </w:rPr>
        <w:t>R. c. Ladouceur</w:t>
      </w:r>
      <w:r w:rsidRPr="000679EA">
        <w:t xml:space="preserve">, </w:t>
      </w:r>
      <w:r w:rsidRPr="000679EA">
        <w:rPr>
          <w:rFonts w:cs="Arial"/>
        </w:rPr>
        <w:t>[1990] 1 R.C.S. 1257</w:t>
      </w:r>
      <w:r w:rsidRPr="000679EA">
        <w:t>, p. 1271.</w:t>
      </w:r>
    </w:p>
  </w:footnote>
  <w:footnote w:id="110">
    <w:p w14:paraId="52E53C64" w14:textId="3DCA3454" w:rsidR="0032484D" w:rsidRPr="001C42A2" w:rsidRDefault="0032484D" w:rsidP="00AF3BAE">
      <w:pPr>
        <w:pStyle w:val="Notedebasdepage"/>
      </w:pPr>
      <w:r w:rsidRPr="001C42A2">
        <w:rPr>
          <w:rStyle w:val="Appelnotedebasdep"/>
        </w:rPr>
        <w:footnoteRef/>
      </w:r>
      <w:r w:rsidRPr="001C42A2">
        <w:t xml:space="preserve"> </w:t>
      </w:r>
      <w:r w:rsidR="00FF4DA0" w:rsidRPr="001C42A2">
        <w:tab/>
      </w:r>
      <w:r w:rsidRPr="001C42A2">
        <w:rPr>
          <w:i/>
          <w:iCs/>
        </w:rPr>
        <w:t>Charte</w:t>
      </w:r>
      <w:r w:rsidRPr="001C42A2">
        <w:t xml:space="preserve">, </w:t>
      </w:r>
      <w:r w:rsidR="00AF3BAE" w:rsidRPr="001C42A2">
        <w:t>par</w:t>
      </w:r>
      <w:r w:rsidRPr="001C42A2">
        <w:t>.</w:t>
      </w:r>
      <w:r w:rsidR="00AF3BAE" w:rsidRPr="001C42A2">
        <w:t> </w:t>
      </w:r>
      <w:r w:rsidRPr="001C42A2">
        <w:t xml:space="preserve">32(2). </w:t>
      </w:r>
    </w:p>
  </w:footnote>
  <w:footnote w:id="111">
    <w:p w14:paraId="3F4AB3A0" w14:textId="2941E8A2" w:rsidR="0032484D" w:rsidRPr="001C42A2" w:rsidRDefault="0032484D" w:rsidP="0032484D">
      <w:pPr>
        <w:pStyle w:val="Notedebasdepage"/>
      </w:pPr>
      <w:r w:rsidRPr="001C42A2">
        <w:rPr>
          <w:rStyle w:val="Appelnotedebasdep"/>
        </w:rPr>
        <w:footnoteRef/>
      </w:r>
      <w:r w:rsidRPr="001C42A2">
        <w:t xml:space="preserve"> </w:t>
      </w:r>
      <w:r w:rsidR="00FF4DA0" w:rsidRPr="001C42A2">
        <w:tab/>
      </w:r>
      <w:r w:rsidRPr="001C42A2">
        <w:t xml:space="preserve">Jugement de première instance, par. 146. </w:t>
      </w:r>
    </w:p>
  </w:footnote>
  <w:footnote w:id="112">
    <w:p w14:paraId="5F977FC0" w14:textId="5185DC22" w:rsidR="00FA0A1D" w:rsidRPr="0081765F" w:rsidRDefault="00FA0A1D">
      <w:pPr>
        <w:pStyle w:val="Notedebasdepage"/>
      </w:pPr>
      <w:r w:rsidRPr="00FA0A1D">
        <w:rPr>
          <w:rStyle w:val="Appelnotedebasdep"/>
        </w:rPr>
        <w:footnoteRef/>
      </w:r>
      <w:r w:rsidRPr="00FA0A1D">
        <w:t xml:space="preserve"> </w:t>
      </w:r>
      <w:r w:rsidRPr="00FA0A1D">
        <w:tab/>
      </w:r>
      <w:r w:rsidRPr="00FA0A1D">
        <w:rPr>
          <w:i/>
          <w:iCs/>
        </w:rPr>
        <w:t>R. c. Ladouceur</w:t>
      </w:r>
      <w:r w:rsidRPr="00FA0A1D">
        <w:t xml:space="preserve">, </w:t>
      </w:r>
      <w:r w:rsidRPr="00FA0A1D">
        <w:rPr>
          <w:rFonts w:cs="Arial"/>
        </w:rPr>
        <w:t xml:space="preserve">[1990] 1 R.C.S. 1257, </w:t>
      </w:r>
      <w:r w:rsidRPr="00FA0A1D">
        <w:rPr>
          <w:rFonts w:cs="Arial"/>
          <w:color w:val="000000"/>
          <w:spacing w:val="-3"/>
        </w:rPr>
        <w:t>p. 1278</w:t>
      </w:r>
      <w:r w:rsidR="0081765F">
        <w:rPr>
          <w:szCs w:val="24"/>
        </w:rPr>
        <w:t>. Le juge Cory</w:t>
      </w:r>
      <w:r w:rsidR="00DE4111">
        <w:rPr>
          <w:szCs w:val="24"/>
        </w:rPr>
        <w:t>, pour la majorité,</w:t>
      </w:r>
      <w:r w:rsidR="0081765F">
        <w:rPr>
          <w:szCs w:val="24"/>
        </w:rPr>
        <w:t xml:space="preserve"> écrit : </w:t>
      </w:r>
      <w:r w:rsidR="0081765F" w:rsidRPr="0081765F">
        <w:t>« É</w:t>
      </w:r>
      <w:r w:rsidR="0081765F" w:rsidRPr="0081765F">
        <w:rPr>
          <w:rStyle w:val="cf01"/>
          <w:rFonts w:ascii="Arial" w:hAnsi="Arial" w:cs="Arial"/>
          <w:sz w:val="20"/>
          <w:szCs w:val="20"/>
        </w:rPr>
        <w:t>t</w:t>
      </w:r>
      <w:r w:rsidR="0081765F" w:rsidRPr="0081765F">
        <w:rPr>
          <w:rFonts w:cs="Arial"/>
          <w:color w:val="000000"/>
          <w:spacing w:val="-3"/>
        </w:rPr>
        <w:t>ant donné qu’il a été déterminé que les interpellations au hasard pour une vérification de routine violent l'art. 9</w:t>
      </w:r>
      <w:r w:rsidR="00DF3B04">
        <w:rPr>
          <w:rFonts w:cs="Arial"/>
          <w:color w:val="000000"/>
          <w:spacing w:val="-3"/>
        </w:rPr>
        <w:t xml:space="preserve"> </w:t>
      </w:r>
      <w:r w:rsidR="0081765F" w:rsidRPr="0081765F">
        <w:rPr>
          <w:rFonts w:cs="Arial"/>
          <w:color w:val="000000"/>
          <w:spacing w:val="-3"/>
        </w:rPr>
        <w:t>de la</w:t>
      </w:r>
      <w:r w:rsidR="00DF3B04">
        <w:rPr>
          <w:rFonts w:cs="Arial"/>
          <w:i/>
          <w:iCs/>
          <w:color w:val="000000"/>
          <w:spacing w:val="-3"/>
        </w:rPr>
        <w:t xml:space="preserve"> </w:t>
      </w:r>
      <w:r w:rsidR="0081765F" w:rsidRPr="0081765F">
        <w:rPr>
          <w:rFonts w:cs="Arial"/>
          <w:i/>
          <w:iCs/>
          <w:color w:val="000000"/>
          <w:spacing w:val="-3"/>
        </w:rPr>
        <w:t>Charte</w:t>
      </w:r>
      <w:r w:rsidR="0081765F" w:rsidRPr="0081765F">
        <w:rPr>
          <w:rFonts w:cs="Arial"/>
          <w:color w:val="000000"/>
          <w:spacing w:val="-3"/>
        </w:rPr>
        <w:t>, il n’est pas nécessaire de décider si ces interpellations au hasard portent atteinte à l’</w:t>
      </w:r>
      <w:r w:rsidR="0081765F" w:rsidRPr="0081765F">
        <w:rPr>
          <w:rStyle w:val="reflex2-link"/>
          <w:rFonts w:cs="Arial"/>
          <w:color w:val="000000"/>
          <w:spacing w:val="-3"/>
        </w:rPr>
        <w:t>art. 7</w:t>
      </w:r>
      <w:r w:rsidR="0081765F" w:rsidRPr="0081765F">
        <w:t> »</w:t>
      </w:r>
      <w:r w:rsidR="002E15C7">
        <w:t>.</w:t>
      </w:r>
    </w:p>
  </w:footnote>
  <w:footnote w:id="113">
    <w:p w14:paraId="58C22C46" w14:textId="646E33AB" w:rsidR="00991E90" w:rsidRPr="00FA0A1D" w:rsidRDefault="00991E90" w:rsidP="003A5B17">
      <w:pPr>
        <w:spacing w:line="240" w:lineRule="auto"/>
        <w:ind w:left="357" w:hanging="357"/>
        <w:jc w:val="both"/>
        <w:rPr>
          <w:rFonts w:cs="Arial"/>
          <w:color w:val="000000"/>
          <w:sz w:val="20"/>
          <w:lang w:eastAsia="fr-CA"/>
        </w:rPr>
      </w:pPr>
      <w:r w:rsidRPr="00FA0A1D">
        <w:rPr>
          <w:rStyle w:val="Appelnotedebasdep"/>
          <w:rFonts w:cs="Arial"/>
          <w:sz w:val="20"/>
        </w:rPr>
        <w:footnoteRef/>
      </w:r>
      <w:r w:rsidRPr="00FA0A1D">
        <w:rPr>
          <w:rFonts w:cs="Arial"/>
          <w:sz w:val="20"/>
        </w:rPr>
        <w:t xml:space="preserve"> </w:t>
      </w:r>
      <w:r w:rsidRPr="00FA0A1D">
        <w:rPr>
          <w:rFonts w:cs="Arial"/>
          <w:sz w:val="20"/>
        </w:rPr>
        <w:tab/>
      </w:r>
      <w:r w:rsidR="00FA0A1D" w:rsidRPr="00FA0A1D">
        <w:rPr>
          <w:sz w:val="20"/>
        </w:rPr>
        <w:t xml:space="preserve"> Jugement de première instance</w:t>
      </w:r>
      <w:r w:rsidRPr="00FA0A1D">
        <w:rPr>
          <w:rFonts w:cs="Arial"/>
          <w:sz w:val="20"/>
        </w:rPr>
        <w:t xml:space="preserve">, par. 141. </w:t>
      </w:r>
    </w:p>
  </w:footnote>
  <w:footnote w:id="114">
    <w:p w14:paraId="54530029" w14:textId="1791B088" w:rsidR="0032484D" w:rsidRDefault="0032484D" w:rsidP="0032484D">
      <w:pPr>
        <w:pStyle w:val="Notedebasdepage"/>
      </w:pPr>
      <w:r w:rsidRPr="001C42A2">
        <w:rPr>
          <w:rStyle w:val="Appelnotedebasdep"/>
        </w:rPr>
        <w:footnoteRef/>
      </w:r>
      <w:r w:rsidRPr="001C42A2">
        <w:t xml:space="preserve"> </w:t>
      </w:r>
      <w:r w:rsidR="00FF4DA0" w:rsidRPr="001C42A2">
        <w:tab/>
      </w:r>
      <w:r w:rsidR="00EA67F1" w:rsidRPr="001C42A2">
        <w:rPr>
          <w:i/>
          <w:iCs/>
        </w:rPr>
        <w:t>Id</w:t>
      </w:r>
      <w:r w:rsidR="00EA67F1" w:rsidRPr="001C42A2">
        <w:t>.</w:t>
      </w:r>
      <w:r w:rsidRPr="001C42A2">
        <w:t>, par. 87-123</w:t>
      </w:r>
      <w:r w:rsidR="00F877A4" w:rsidRPr="001C42A2">
        <w:t xml:space="preserve">. </w:t>
      </w:r>
      <w:r w:rsidRPr="001C42A2">
        <w:t xml:space="preserve">La règle du </w:t>
      </w:r>
      <w:r w:rsidRPr="001C42A2">
        <w:rPr>
          <w:i/>
          <w:iCs/>
        </w:rPr>
        <w:t>stare decisis</w:t>
      </w:r>
      <w:r w:rsidRPr="001C42A2">
        <w:t xml:space="preserve"> entre en ligne de compte ici, non seulement à la lumière de la </w:t>
      </w:r>
      <w:r w:rsidRPr="001C42A2">
        <w:rPr>
          <w:i/>
          <w:iCs/>
        </w:rPr>
        <w:t>ratio decidendi</w:t>
      </w:r>
      <w:r w:rsidRPr="001C42A2">
        <w:t xml:space="preserve"> de l’arrêt </w:t>
      </w:r>
      <w:r w:rsidRPr="001C42A2">
        <w:rPr>
          <w:i/>
          <w:iCs/>
        </w:rPr>
        <w:t>Ladouceur</w:t>
      </w:r>
      <w:r w:rsidRPr="001C42A2">
        <w:t xml:space="preserve">, mais également à l’égard de celle formulée par la Cour suprême dans un pourvoi connexe, </w:t>
      </w:r>
      <w:r w:rsidRPr="001C42A2">
        <w:rPr>
          <w:i/>
          <w:iCs/>
        </w:rPr>
        <w:t>R</w:t>
      </w:r>
      <w:r w:rsidR="00563884" w:rsidRPr="001C42A2">
        <w:rPr>
          <w:i/>
          <w:iCs/>
        </w:rPr>
        <w:t>.</w:t>
      </w:r>
      <w:r w:rsidRPr="001C42A2">
        <w:rPr>
          <w:i/>
          <w:iCs/>
        </w:rPr>
        <w:t xml:space="preserve"> c</w:t>
      </w:r>
      <w:r w:rsidR="00563884" w:rsidRPr="001C42A2">
        <w:rPr>
          <w:i/>
          <w:iCs/>
        </w:rPr>
        <w:t>.</w:t>
      </w:r>
      <w:r w:rsidRPr="001C42A2">
        <w:rPr>
          <w:i/>
          <w:iCs/>
        </w:rPr>
        <w:t xml:space="preserve"> Wilson,</w:t>
      </w:r>
      <w:r w:rsidRPr="001C42A2">
        <w:t xml:space="preserve"> [1990] 1 R.C.S. 1291, et par </w:t>
      </w:r>
      <w:r w:rsidR="00BB5345">
        <w:t>notre</w:t>
      </w:r>
      <w:r w:rsidRPr="001C42A2">
        <w:t xml:space="preserve"> Cour dans </w:t>
      </w:r>
      <w:r w:rsidRPr="001C42A2">
        <w:rPr>
          <w:i/>
          <w:iCs/>
        </w:rPr>
        <w:t>R. c.</w:t>
      </w:r>
      <w:r w:rsidRPr="001C42A2">
        <w:t xml:space="preserve"> </w:t>
      </w:r>
      <w:r w:rsidRPr="001C42A2">
        <w:rPr>
          <w:i/>
          <w:iCs/>
        </w:rPr>
        <w:t xml:space="preserve">Soucisse, </w:t>
      </w:r>
      <w:bookmarkStart w:id="60" w:name="_Hlk171962317"/>
      <w:r w:rsidR="00F877A4" w:rsidRPr="001C42A2">
        <w:t>[1994] R.J.Q. 1546 (C.A.)</w:t>
      </w:r>
      <w:bookmarkEnd w:id="60"/>
      <w:r w:rsidR="00EA67F1" w:rsidRPr="001C42A2">
        <w:t>.</w:t>
      </w:r>
    </w:p>
  </w:footnote>
  <w:footnote w:id="115">
    <w:p w14:paraId="0819B270" w14:textId="6E806EFF" w:rsidR="0032484D" w:rsidRPr="00F412FF" w:rsidRDefault="0032484D" w:rsidP="0032484D">
      <w:pPr>
        <w:pStyle w:val="Notedebasdepage"/>
      </w:pPr>
      <w:r w:rsidRPr="00F412FF">
        <w:rPr>
          <w:rStyle w:val="Appelnotedebasdep"/>
        </w:rPr>
        <w:footnoteRef/>
      </w:r>
      <w:r w:rsidRPr="00F412FF">
        <w:t xml:space="preserve"> </w:t>
      </w:r>
      <w:bookmarkStart w:id="62" w:name="_Hlk171950497"/>
      <w:bookmarkStart w:id="63" w:name="_Hlk158375715"/>
      <w:r w:rsidR="00FF4DA0" w:rsidRPr="00F412FF">
        <w:tab/>
      </w:r>
      <w:r w:rsidR="007F14A0" w:rsidRPr="00F412FF">
        <w:rPr>
          <w:i/>
          <w:iCs/>
        </w:rPr>
        <w:t>R. c. Comeau</w:t>
      </w:r>
      <w:r w:rsidR="007F14A0" w:rsidRPr="00F412FF">
        <w:t>, 2018 CSC 15</w:t>
      </w:r>
      <w:r w:rsidR="00991E90" w:rsidRPr="00F412FF">
        <w:t>, par.</w:t>
      </w:r>
      <w:r w:rsidR="00DF3B04">
        <w:t xml:space="preserve"> </w:t>
      </w:r>
      <w:r w:rsidR="00991E90" w:rsidRPr="00F412FF">
        <w:t xml:space="preserve">29; </w:t>
      </w:r>
      <w:r w:rsidR="00991E90" w:rsidRPr="00F412FF">
        <w:rPr>
          <w:i/>
          <w:iCs/>
        </w:rPr>
        <w:t>Carter c. Canada (Procureur général)</w:t>
      </w:r>
      <w:r w:rsidR="00991E90" w:rsidRPr="00F412FF">
        <w:t>, 2015 CSC 5</w:t>
      </w:r>
      <w:r w:rsidR="00991E90" w:rsidRPr="00F412FF">
        <w:rPr>
          <w:rStyle w:val="Hyperlien"/>
          <w:color w:val="auto"/>
          <w:u w:val="none"/>
        </w:rPr>
        <w:t>, par.</w:t>
      </w:r>
      <w:r w:rsidR="009C4E92">
        <w:rPr>
          <w:rStyle w:val="Hyperlien"/>
          <w:color w:val="auto"/>
          <w:u w:val="none"/>
        </w:rPr>
        <w:t> </w:t>
      </w:r>
      <w:r w:rsidR="00991E90" w:rsidRPr="00F412FF">
        <w:rPr>
          <w:rStyle w:val="Hyperlien"/>
          <w:color w:val="auto"/>
          <w:u w:val="none"/>
        </w:rPr>
        <w:t>44</w:t>
      </w:r>
      <w:r w:rsidR="00991E90" w:rsidRPr="00F412FF">
        <w:t xml:space="preserve">; </w:t>
      </w:r>
      <w:r w:rsidRPr="00F412FF">
        <w:rPr>
          <w:i/>
          <w:iCs/>
        </w:rPr>
        <w:t>Canada (Procureur général) c. Bedford</w:t>
      </w:r>
      <w:r w:rsidRPr="00F412FF">
        <w:t>, 2013 CSC 72</w:t>
      </w:r>
      <w:bookmarkEnd w:id="62"/>
      <w:r w:rsidRPr="00F412FF">
        <w:t>, par. 42</w:t>
      </w:r>
      <w:r w:rsidRPr="00F412FF">
        <w:rPr>
          <w:rStyle w:val="Hyperlien"/>
          <w:color w:val="auto"/>
          <w:u w:val="none"/>
        </w:rPr>
        <w:t>.</w:t>
      </w:r>
    </w:p>
    <w:bookmarkEnd w:id="63"/>
  </w:footnote>
  <w:footnote w:id="116">
    <w:p w14:paraId="5CDF2304" w14:textId="109DA35D" w:rsidR="0032484D" w:rsidRPr="00F412FF" w:rsidRDefault="0032484D" w:rsidP="0032484D">
      <w:pPr>
        <w:pStyle w:val="Notedebasdepage"/>
      </w:pPr>
      <w:r w:rsidRPr="00F412FF">
        <w:rPr>
          <w:rStyle w:val="Appelnotedebasdep"/>
        </w:rPr>
        <w:footnoteRef/>
      </w:r>
      <w:r w:rsidRPr="00F412FF">
        <w:t xml:space="preserve"> </w:t>
      </w:r>
      <w:r w:rsidR="00FF4DA0" w:rsidRPr="00F412FF">
        <w:tab/>
      </w:r>
      <w:r w:rsidRPr="00F412FF">
        <w:rPr>
          <w:i/>
          <w:iCs/>
        </w:rPr>
        <w:t>Canada (Procureur général) c. Bedford</w:t>
      </w:r>
      <w:r w:rsidRPr="00F412FF">
        <w:t>, 2013 CSC 72, par. 44.</w:t>
      </w:r>
    </w:p>
  </w:footnote>
  <w:footnote w:id="117">
    <w:p w14:paraId="774F305C" w14:textId="502F0F3E" w:rsidR="0032484D" w:rsidRPr="00F412FF" w:rsidRDefault="0032484D" w:rsidP="0032484D">
      <w:pPr>
        <w:pStyle w:val="Notedebasdepage"/>
      </w:pPr>
      <w:r w:rsidRPr="00F412FF">
        <w:rPr>
          <w:rStyle w:val="Appelnotedebasdep"/>
        </w:rPr>
        <w:footnoteRef/>
      </w:r>
      <w:r w:rsidRPr="00F412FF">
        <w:t xml:space="preserve"> </w:t>
      </w:r>
      <w:bookmarkStart w:id="65" w:name="_Hlk172284402"/>
      <w:r w:rsidR="00FF4DA0" w:rsidRPr="00F412FF">
        <w:tab/>
      </w:r>
      <w:r w:rsidRPr="00F412FF">
        <w:rPr>
          <w:i/>
          <w:iCs/>
        </w:rPr>
        <w:t>R. c. Comeau</w:t>
      </w:r>
      <w:r w:rsidRPr="00F412FF">
        <w:t>, 2018 CSC 15, par. 26.</w:t>
      </w:r>
      <w:bookmarkEnd w:id="65"/>
    </w:p>
  </w:footnote>
  <w:footnote w:id="118">
    <w:p w14:paraId="235383C0" w14:textId="04FDC825" w:rsidR="00801648" w:rsidRDefault="00801648">
      <w:pPr>
        <w:pStyle w:val="Notedebasdepage"/>
      </w:pPr>
      <w:r>
        <w:rPr>
          <w:rStyle w:val="Appelnotedebasdep"/>
        </w:rPr>
        <w:footnoteRef/>
      </w:r>
      <w:r>
        <w:t xml:space="preserve"> </w:t>
      </w:r>
      <w:r>
        <w:tab/>
      </w:r>
      <w:r w:rsidRPr="00F412FF">
        <w:rPr>
          <w:i/>
          <w:iCs/>
        </w:rPr>
        <w:t>Organisation mondiale sikhe du Canada c. Procureur général du Québec</w:t>
      </w:r>
      <w:r w:rsidRPr="00F412FF">
        <w:t>, 2024 QCCA 254, demandes d’autorisation d’appels et d’appel incident à la Cour suprême, n</w:t>
      </w:r>
      <w:r w:rsidRPr="00F412FF">
        <w:rPr>
          <w:vertAlign w:val="superscript"/>
        </w:rPr>
        <w:t>o</w:t>
      </w:r>
      <w:r w:rsidRPr="00F412FF">
        <w:t> 41231</w:t>
      </w:r>
      <w:r>
        <w:t xml:space="preserve">. </w:t>
      </w:r>
      <w:r w:rsidRPr="00F412FF">
        <w:t xml:space="preserve">La citation est tirée de l’arrêt </w:t>
      </w:r>
      <w:r w:rsidRPr="00F412FF">
        <w:rPr>
          <w:i/>
          <w:iCs/>
        </w:rPr>
        <w:t>R. c. Comeau</w:t>
      </w:r>
      <w:r w:rsidRPr="00F412FF">
        <w:t>, 2018 CSC 15</w:t>
      </w:r>
      <w:r>
        <w:t>, par. 31.</w:t>
      </w:r>
    </w:p>
  </w:footnote>
  <w:footnote w:id="119">
    <w:p w14:paraId="5E72A1FA" w14:textId="56AA579F" w:rsidR="0032484D" w:rsidRPr="00F412FF" w:rsidRDefault="0032484D" w:rsidP="0032484D">
      <w:pPr>
        <w:pStyle w:val="Notedebasdepage"/>
      </w:pPr>
      <w:r w:rsidRPr="00F412FF">
        <w:rPr>
          <w:rStyle w:val="Appelnotedebasdep"/>
        </w:rPr>
        <w:footnoteRef/>
      </w:r>
      <w:r w:rsidRPr="00F412FF">
        <w:t xml:space="preserve"> </w:t>
      </w:r>
      <w:r w:rsidR="00FF4DA0" w:rsidRPr="00F412FF">
        <w:tab/>
      </w:r>
      <w:r w:rsidRPr="00F412FF">
        <w:rPr>
          <w:i/>
          <w:iCs/>
        </w:rPr>
        <w:t>Canada (Procureur général) c. Bedford</w:t>
      </w:r>
      <w:r w:rsidRPr="00F412FF">
        <w:t xml:space="preserve">, 2013 CSC 72, par. 46. </w:t>
      </w:r>
    </w:p>
  </w:footnote>
  <w:footnote w:id="120">
    <w:p w14:paraId="6EBCE75B" w14:textId="254E9DFA" w:rsidR="0032484D" w:rsidRDefault="0032484D" w:rsidP="0032484D">
      <w:pPr>
        <w:pStyle w:val="Notedebasdepage"/>
      </w:pPr>
      <w:r w:rsidRPr="00F412FF">
        <w:rPr>
          <w:rStyle w:val="Appelnotedebasdep"/>
        </w:rPr>
        <w:footnoteRef/>
      </w:r>
      <w:r w:rsidRPr="00F412FF">
        <w:t xml:space="preserve"> </w:t>
      </w:r>
      <w:r w:rsidR="00FF4DA0" w:rsidRPr="00F412FF">
        <w:tab/>
      </w:r>
      <w:r w:rsidRPr="00F412FF">
        <w:rPr>
          <w:i/>
          <w:iCs/>
        </w:rPr>
        <w:t>R. c. Comeau</w:t>
      </w:r>
      <w:r w:rsidRPr="00F412FF">
        <w:t>, 2018 CSC 15, par. 34.</w:t>
      </w:r>
      <w:r>
        <w:t xml:space="preserve"> </w:t>
      </w:r>
    </w:p>
  </w:footnote>
  <w:footnote w:id="121">
    <w:p w14:paraId="6916212A" w14:textId="5BFA6E98" w:rsidR="0019773A" w:rsidRPr="00F412FF" w:rsidRDefault="0019773A">
      <w:pPr>
        <w:pStyle w:val="Notedebasdepage"/>
      </w:pPr>
      <w:r w:rsidRPr="00F412FF">
        <w:rPr>
          <w:rStyle w:val="Appelnotedebasdep"/>
        </w:rPr>
        <w:footnoteRef/>
      </w:r>
      <w:r w:rsidRPr="00F412FF">
        <w:t xml:space="preserve"> </w:t>
      </w:r>
      <w:r w:rsidRPr="00F412FF">
        <w:tab/>
        <w:t>Jugement de première instance, par.</w:t>
      </w:r>
      <w:r w:rsidR="00DF3B04">
        <w:t xml:space="preserve"> </w:t>
      </w:r>
      <w:r w:rsidRPr="00F412FF">
        <w:t>144.</w:t>
      </w:r>
    </w:p>
  </w:footnote>
  <w:footnote w:id="122">
    <w:p w14:paraId="648A1F7D" w14:textId="0B8B9C3C" w:rsidR="0019773A" w:rsidRPr="00F412FF" w:rsidRDefault="0019773A">
      <w:pPr>
        <w:pStyle w:val="Notedebasdepage"/>
      </w:pPr>
      <w:r w:rsidRPr="00F412FF">
        <w:rPr>
          <w:rStyle w:val="Appelnotedebasdep"/>
        </w:rPr>
        <w:footnoteRef/>
      </w:r>
      <w:r w:rsidRPr="00F412FF">
        <w:t xml:space="preserve"> </w:t>
      </w:r>
      <w:r w:rsidRPr="00F412FF">
        <w:tab/>
      </w:r>
      <w:r w:rsidR="00563884" w:rsidRPr="00F412FF">
        <w:rPr>
          <w:i/>
          <w:iCs/>
        </w:rPr>
        <w:t>Id</w:t>
      </w:r>
      <w:r w:rsidR="00563884" w:rsidRPr="00F412FF">
        <w:t>.</w:t>
      </w:r>
      <w:r w:rsidRPr="00F412FF">
        <w:t>, par.</w:t>
      </w:r>
      <w:r w:rsidR="00DF3B04">
        <w:t xml:space="preserve"> </w:t>
      </w:r>
      <w:r w:rsidRPr="00F412FF">
        <w:t>145.</w:t>
      </w:r>
    </w:p>
  </w:footnote>
  <w:footnote w:id="123">
    <w:p w14:paraId="696CB8CA" w14:textId="31F3CD7F" w:rsidR="00832E4A" w:rsidRPr="00F412FF" w:rsidRDefault="00832E4A">
      <w:pPr>
        <w:pStyle w:val="Notedebasdepage"/>
      </w:pPr>
      <w:r w:rsidRPr="00F412FF">
        <w:rPr>
          <w:rStyle w:val="Appelnotedebasdep"/>
        </w:rPr>
        <w:footnoteRef/>
      </w:r>
      <w:r w:rsidRPr="00F412FF">
        <w:t xml:space="preserve"> </w:t>
      </w:r>
      <w:r w:rsidRPr="00F412FF">
        <w:tab/>
      </w:r>
      <w:r w:rsidR="00563884" w:rsidRPr="00F412FF">
        <w:rPr>
          <w:i/>
          <w:iCs/>
        </w:rPr>
        <w:t>Id</w:t>
      </w:r>
      <w:r w:rsidR="00563884" w:rsidRPr="00F412FF">
        <w:t>.</w:t>
      </w:r>
      <w:r w:rsidRPr="00F412FF">
        <w:t>, par.</w:t>
      </w:r>
      <w:r w:rsidR="00DF3B04">
        <w:t xml:space="preserve"> </w:t>
      </w:r>
      <w:r w:rsidRPr="00F412FF">
        <w:t>148.</w:t>
      </w:r>
    </w:p>
  </w:footnote>
  <w:footnote w:id="124">
    <w:p w14:paraId="309E2E21" w14:textId="6C7C8535" w:rsidR="0032484D" w:rsidRPr="008F3D6A" w:rsidRDefault="0032484D" w:rsidP="00F877A4">
      <w:pPr>
        <w:pStyle w:val="citationenretrait0"/>
        <w:spacing w:before="0" w:beforeAutospacing="0" w:after="0" w:afterAutospacing="0"/>
        <w:ind w:left="357" w:hanging="357"/>
        <w:rPr>
          <w:rFonts w:ascii="Arial" w:hAnsi="Arial" w:cs="Arial"/>
          <w:sz w:val="20"/>
          <w:szCs w:val="20"/>
        </w:rPr>
      </w:pPr>
      <w:r w:rsidRPr="008F3D6A">
        <w:rPr>
          <w:rStyle w:val="Appelnotedebasdep"/>
          <w:rFonts w:ascii="Arial" w:hAnsi="Arial" w:cs="Arial"/>
          <w:sz w:val="20"/>
          <w:szCs w:val="20"/>
        </w:rPr>
        <w:footnoteRef/>
      </w:r>
      <w:r w:rsidRPr="008F3D6A">
        <w:rPr>
          <w:rFonts w:ascii="Arial" w:hAnsi="Arial" w:cs="Arial"/>
          <w:sz w:val="20"/>
          <w:szCs w:val="20"/>
        </w:rPr>
        <w:t xml:space="preserve"> </w:t>
      </w:r>
      <w:r w:rsidR="00FF4DA0" w:rsidRPr="008F3D6A">
        <w:rPr>
          <w:rFonts w:ascii="Arial" w:hAnsi="Arial" w:cs="Arial"/>
          <w:sz w:val="20"/>
          <w:szCs w:val="20"/>
        </w:rPr>
        <w:tab/>
      </w:r>
      <w:r w:rsidR="0031638F" w:rsidRPr="0031638F">
        <w:rPr>
          <w:rFonts w:ascii="Arial" w:hAnsi="Arial" w:cs="Arial"/>
          <w:i/>
          <w:iCs/>
          <w:sz w:val="20"/>
          <w:szCs w:val="20"/>
        </w:rPr>
        <w:t>Id</w:t>
      </w:r>
      <w:r w:rsidR="0031638F">
        <w:rPr>
          <w:rFonts w:ascii="Arial" w:hAnsi="Arial" w:cs="Arial"/>
          <w:sz w:val="20"/>
          <w:szCs w:val="20"/>
        </w:rPr>
        <w:t>.</w:t>
      </w:r>
      <w:r w:rsidRPr="008F3D6A">
        <w:rPr>
          <w:rFonts w:ascii="Arial" w:hAnsi="Arial" w:cs="Arial"/>
          <w:sz w:val="20"/>
          <w:szCs w:val="20"/>
        </w:rPr>
        <w:t>, par. 160</w:t>
      </w:r>
      <w:r w:rsidR="00563884" w:rsidRPr="008F3D6A">
        <w:rPr>
          <w:rFonts w:ascii="Arial" w:hAnsi="Arial" w:cs="Arial"/>
          <w:sz w:val="20"/>
          <w:szCs w:val="20"/>
        </w:rPr>
        <w:t xml:space="preserve"> </w:t>
      </w:r>
      <w:r w:rsidR="00A908EA">
        <w:rPr>
          <w:rFonts w:ascii="Arial" w:hAnsi="Arial" w:cs="Arial"/>
          <w:sz w:val="20"/>
          <w:szCs w:val="20"/>
        </w:rPr>
        <w:t xml:space="preserve">[italiques dans l’original] </w:t>
      </w:r>
      <w:r w:rsidR="00563884" w:rsidRPr="008F3D6A">
        <w:rPr>
          <w:rFonts w:ascii="Arial" w:hAnsi="Arial" w:cs="Arial"/>
          <w:sz w:val="20"/>
          <w:szCs w:val="20"/>
        </w:rPr>
        <w:t xml:space="preserve">(voir aussi </w:t>
      </w:r>
      <w:r w:rsidRPr="008F3D6A">
        <w:rPr>
          <w:rFonts w:ascii="Arial" w:hAnsi="Arial" w:cs="Arial"/>
          <w:sz w:val="20"/>
          <w:szCs w:val="20"/>
        </w:rPr>
        <w:t>les par. 161-370</w:t>
      </w:r>
      <w:r w:rsidR="00563884" w:rsidRPr="008F3D6A">
        <w:rPr>
          <w:rFonts w:ascii="Arial" w:hAnsi="Arial" w:cs="Arial"/>
          <w:sz w:val="20"/>
          <w:szCs w:val="20"/>
        </w:rPr>
        <w:t>)</w:t>
      </w:r>
      <w:r w:rsidRPr="008F3D6A">
        <w:rPr>
          <w:rFonts w:ascii="Arial" w:hAnsi="Arial" w:cs="Arial"/>
          <w:sz w:val="20"/>
          <w:szCs w:val="20"/>
        </w:rPr>
        <w:t>.</w:t>
      </w:r>
    </w:p>
  </w:footnote>
  <w:footnote w:id="125">
    <w:p w14:paraId="3F5C6B93" w14:textId="6E5DE4E0" w:rsidR="0032484D" w:rsidRPr="008F3D6A" w:rsidRDefault="0032484D" w:rsidP="00FF4DA0">
      <w:pPr>
        <w:pStyle w:val="Notedebasdepage"/>
        <w:rPr>
          <w:rFonts w:cs="Arial"/>
        </w:rPr>
      </w:pPr>
      <w:r w:rsidRPr="008F3D6A">
        <w:rPr>
          <w:rStyle w:val="Appelnotedebasdep"/>
          <w:rFonts w:cs="Arial"/>
        </w:rPr>
        <w:footnoteRef/>
      </w:r>
      <w:r w:rsidRPr="008F3D6A">
        <w:rPr>
          <w:rFonts w:cs="Arial"/>
        </w:rPr>
        <w:t xml:space="preserve"> </w:t>
      </w:r>
      <w:r w:rsidRPr="008F3D6A">
        <w:rPr>
          <w:rFonts w:cs="Arial"/>
        </w:rPr>
        <w:tab/>
      </w:r>
      <w:r w:rsidR="00563884" w:rsidRPr="008F3D6A">
        <w:rPr>
          <w:rFonts w:cs="Arial"/>
          <w:i/>
          <w:iCs/>
        </w:rPr>
        <w:t>Id</w:t>
      </w:r>
      <w:r w:rsidR="00563884" w:rsidRPr="008F3D6A">
        <w:rPr>
          <w:rFonts w:cs="Arial"/>
        </w:rPr>
        <w:t>., par.</w:t>
      </w:r>
      <w:r w:rsidR="00DF3B04">
        <w:rPr>
          <w:rFonts w:cs="Arial"/>
        </w:rPr>
        <w:t xml:space="preserve"> </w:t>
      </w:r>
      <w:r w:rsidR="00563884" w:rsidRPr="008F3D6A">
        <w:rPr>
          <w:rFonts w:cs="Arial"/>
        </w:rPr>
        <w:t>166</w:t>
      </w:r>
      <w:r w:rsidRPr="008F3D6A">
        <w:rPr>
          <w:rFonts w:cs="Arial"/>
          <w:i/>
          <w:iCs/>
        </w:rPr>
        <w:t>.</w:t>
      </w:r>
      <w:r w:rsidRPr="008F3D6A">
        <w:rPr>
          <w:rFonts w:cs="Arial"/>
        </w:rPr>
        <w:t xml:space="preserve"> [caractère gras omis].</w:t>
      </w:r>
    </w:p>
  </w:footnote>
  <w:footnote w:id="126">
    <w:p w14:paraId="5797BA19" w14:textId="77777777" w:rsidR="0032484D" w:rsidRPr="008F3D6A" w:rsidRDefault="0032484D" w:rsidP="00FF4DA0">
      <w:pPr>
        <w:pStyle w:val="Notedebasdepage"/>
        <w:rPr>
          <w:rFonts w:cs="Arial"/>
        </w:rPr>
      </w:pPr>
      <w:r w:rsidRPr="008F3D6A">
        <w:rPr>
          <w:rStyle w:val="Appelnotedebasdep"/>
          <w:rFonts w:cs="Arial"/>
        </w:rPr>
        <w:footnoteRef/>
      </w:r>
      <w:r w:rsidRPr="008F3D6A">
        <w:rPr>
          <w:rFonts w:cs="Arial"/>
        </w:rPr>
        <w:t xml:space="preserve"> </w:t>
      </w:r>
      <w:r w:rsidRPr="008F3D6A">
        <w:rPr>
          <w:rFonts w:cs="Arial"/>
        </w:rPr>
        <w:tab/>
      </w:r>
      <w:r w:rsidRPr="008F3D6A">
        <w:rPr>
          <w:rFonts w:cs="Arial"/>
          <w:i/>
          <w:iCs/>
        </w:rPr>
        <w:t>Id.</w:t>
      </w:r>
      <w:r w:rsidRPr="008F3D6A">
        <w:rPr>
          <w:rFonts w:cs="Arial"/>
        </w:rPr>
        <w:t>, par. 370.</w:t>
      </w:r>
    </w:p>
  </w:footnote>
  <w:footnote w:id="127">
    <w:p w14:paraId="769C5884" w14:textId="68792268" w:rsidR="0032484D" w:rsidRPr="008F3D6A" w:rsidRDefault="0032484D" w:rsidP="00FF4DA0">
      <w:pPr>
        <w:pStyle w:val="Notedebasdepage"/>
        <w:rPr>
          <w:rFonts w:cs="Arial"/>
        </w:rPr>
      </w:pPr>
      <w:r w:rsidRPr="008F3D6A">
        <w:rPr>
          <w:rStyle w:val="Appelnotedebasdep"/>
          <w:rFonts w:cs="Arial"/>
        </w:rPr>
        <w:footnoteRef/>
      </w:r>
      <w:r w:rsidRPr="008F3D6A">
        <w:rPr>
          <w:rFonts w:cs="Arial"/>
        </w:rPr>
        <w:t xml:space="preserve"> </w:t>
      </w:r>
      <w:r w:rsidRPr="0031638F">
        <w:rPr>
          <w:rFonts w:cs="Arial"/>
          <w:i/>
          <w:iCs/>
        </w:rPr>
        <w:tab/>
      </w:r>
      <w:r w:rsidR="0031638F" w:rsidRPr="0031638F">
        <w:rPr>
          <w:rFonts w:cs="Arial"/>
          <w:i/>
          <w:iCs/>
        </w:rPr>
        <w:t>Id</w:t>
      </w:r>
      <w:r w:rsidR="0031638F">
        <w:rPr>
          <w:rFonts w:cs="Arial"/>
        </w:rPr>
        <w:t>.</w:t>
      </w:r>
      <w:r w:rsidRPr="008F3D6A">
        <w:rPr>
          <w:rFonts w:cs="Arial"/>
        </w:rPr>
        <w:t>, par. 379-390</w:t>
      </w:r>
      <w:r w:rsidR="00563884" w:rsidRPr="008F3D6A">
        <w:rPr>
          <w:rFonts w:cs="Arial"/>
        </w:rPr>
        <w:t>.</w:t>
      </w:r>
    </w:p>
  </w:footnote>
  <w:footnote w:id="128">
    <w:p w14:paraId="66FCBC42" w14:textId="5A2C8148" w:rsidR="0032484D" w:rsidRPr="00FF4DA0" w:rsidRDefault="0032484D" w:rsidP="00FF4DA0">
      <w:pPr>
        <w:pStyle w:val="Notedebasdepage"/>
        <w:rPr>
          <w:rFonts w:cs="Arial"/>
        </w:rPr>
      </w:pPr>
      <w:r w:rsidRPr="008F3D6A">
        <w:rPr>
          <w:rStyle w:val="Appelnotedebasdep"/>
          <w:rFonts w:cs="Arial"/>
        </w:rPr>
        <w:footnoteRef/>
      </w:r>
      <w:r w:rsidRPr="008F3D6A">
        <w:rPr>
          <w:rFonts w:cs="Arial"/>
        </w:rPr>
        <w:t xml:space="preserve"> </w:t>
      </w:r>
      <w:r w:rsidRPr="008F3D6A">
        <w:rPr>
          <w:rFonts w:cs="Arial"/>
        </w:rPr>
        <w:tab/>
      </w:r>
      <w:r w:rsidRPr="008F3D6A">
        <w:rPr>
          <w:rFonts w:cs="Arial"/>
          <w:i/>
          <w:iCs/>
        </w:rPr>
        <w:t>R. c. Le</w:t>
      </w:r>
      <w:r w:rsidRPr="008F3D6A">
        <w:rPr>
          <w:rFonts w:cs="Arial"/>
        </w:rPr>
        <w:t>, 2019 CSC 34</w:t>
      </w:r>
      <w:r w:rsidR="00563884" w:rsidRPr="008F3D6A">
        <w:rPr>
          <w:rFonts w:cs="Arial"/>
        </w:rPr>
        <w:t>,</w:t>
      </w:r>
      <w:r w:rsidRPr="008F3D6A">
        <w:rPr>
          <w:rFonts w:cs="Arial"/>
        </w:rPr>
        <w:t xml:space="preserve"> par 97.</w:t>
      </w:r>
    </w:p>
  </w:footnote>
  <w:footnote w:id="129">
    <w:p w14:paraId="5CE7B558" w14:textId="5670BD92" w:rsidR="00013341" w:rsidRPr="008F3D6A" w:rsidRDefault="00013341" w:rsidP="00013341">
      <w:pPr>
        <w:pStyle w:val="Notedebasdepage"/>
        <w:rPr>
          <w:lang w:val="en-CA"/>
        </w:rPr>
      </w:pPr>
      <w:r w:rsidRPr="008F3D6A">
        <w:rPr>
          <w:rStyle w:val="Appelnotedebasdep"/>
        </w:rPr>
        <w:footnoteRef/>
      </w:r>
      <w:r w:rsidRPr="008F3D6A">
        <w:rPr>
          <w:lang w:val="en-CA"/>
        </w:rPr>
        <w:t xml:space="preserve"> </w:t>
      </w:r>
      <w:r w:rsidRPr="008F3D6A">
        <w:rPr>
          <w:lang w:val="en-CA"/>
        </w:rPr>
        <w:tab/>
      </w:r>
      <w:r w:rsidRPr="008F3D6A">
        <w:rPr>
          <w:rFonts w:cs="Arial"/>
          <w:i/>
          <w:iCs/>
          <w:color w:val="000000"/>
          <w:lang w:val="en-CA"/>
        </w:rPr>
        <w:t>R. c.</w:t>
      </w:r>
      <w:r w:rsidR="00CE1945">
        <w:rPr>
          <w:rFonts w:cs="Arial"/>
          <w:i/>
          <w:iCs/>
          <w:color w:val="000000"/>
          <w:lang w:val="en-CA"/>
        </w:rPr>
        <w:t xml:space="preserve"> </w:t>
      </w:r>
      <w:r w:rsidRPr="008F3D6A">
        <w:rPr>
          <w:rFonts w:cs="Arial"/>
          <w:i/>
          <w:iCs/>
          <w:color w:val="000000"/>
          <w:lang w:val="en-CA"/>
        </w:rPr>
        <w:t>Dorfeuille</w:t>
      </w:r>
      <w:r w:rsidRPr="008F3D6A">
        <w:rPr>
          <w:rFonts w:cs="Arial"/>
          <w:color w:val="000000"/>
          <w:lang w:val="en-CA"/>
        </w:rPr>
        <w:t>,</w:t>
      </w:r>
      <w:r w:rsidR="00DF3B04">
        <w:rPr>
          <w:rFonts w:cs="Arial"/>
          <w:color w:val="000000"/>
          <w:lang w:val="en-CA"/>
        </w:rPr>
        <w:t xml:space="preserve"> </w:t>
      </w:r>
      <w:r w:rsidRPr="008F3D6A">
        <w:rPr>
          <w:rFonts w:cs="Arial"/>
          <w:lang w:val="en-CA"/>
        </w:rPr>
        <w:t>2020</w:t>
      </w:r>
      <w:r w:rsidR="00DF3B04">
        <w:rPr>
          <w:rFonts w:cs="Arial"/>
          <w:lang w:val="en-CA"/>
        </w:rPr>
        <w:t xml:space="preserve"> </w:t>
      </w:r>
      <w:r w:rsidRPr="008F3D6A">
        <w:rPr>
          <w:rFonts w:cs="Arial"/>
          <w:lang w:val="en-CA"/>
        </w:rPr>
        <w:t>QCCS</w:t>
      </w:r>
      <w:r w:rsidR="00DF3B04">
        <w:rPr>
          <w:rFonts w:cs="Arial"/>
          <w:lang w:val="en-CA"/>
        </w:rPr>
        <w:t xml:space="preserve"> </w:t>
      </w:r>
      <w:r w:rsidRPr="008F3D6A">
        <w:rPr>
          <w:rFonts w:cs="Arial"/>
          <w:lang w:val="en-CA"/>
        </w:rPr>
        <w:t>1499</w:t>
      </w:r>
      <w:r w:rsidRPr="008F3D6A">
        <w:rPr>
          <w:rFonts w:cs="Arial"/>
          <w:color w:val="000000"/>
          <w:lang w:val="en-CA"/>
        </w:rPr>
        <w:t>.</w:t>
      </w:r>
    </w:p>
  </w:footnote>
  <w:footnote w:id="130">
    <w:p w14:paraId="0BB251D7" w14:textId="5DD70362" w:rsidR="0032484D" w:rsidRPr="00E976CF" w:rsidRDefault="0032484D" w:rsidP="00AD7674">
      <w:pPr>
        <w:pStyle w:val="Notedebasdepage"/>
        <w:ind w:left="357" w:hanging="357"/>
        <w:rPr>
          <w:lang w:val="en-CA"/>
        </w:rPr>
      </w:pPr>
      <w:r w:rsidRPr="008F3D6A">
        <w:rPr>
          <w:rStyle w:val="Appelnotedebasdep"/>
        </w:rPr>
        <w:footnoteRef/>
      </w:r>
      <w:r w:rsidRPr="008F3D6A">
        <w:rPr>
          <w:lang w:val="en-CA"/>
        </w:rPr>
        <w:t xml:space="preserve"> </w:t>
      </w:r>
      <w:bookmarkStart w:id="70" w:name="_Hlk178344968"/>
      <w:r w:rsidR="00FF4DA0" w:rsidRPr="008F3D6A">
        <w:rPr>
          <w:lang w:val="en-CA"/>
        </w:rPr>
        <w:tab/>
      </w:r>
      <w:r w:rsidR="001127E9">
        <w:rPr>
          <w:lang w:val="en-CA"/>
        </w:rPr>
        <w:t xml:space="preserve">Pièce P-1, </w:t>
      </w:r>
      <w:r w:rsidR="001127E9" w:rsidRPr="00621344">
        <w:rPr>
          <w:rStyle w:val="ui-provider"/>
          <w:lang w:val="en-CA"/>
        </w:rPr>
        <w:t xml:space="preserve">Rapport d’expertise de Massimiliano Mulone, 31 janvier 2022, </w:t>
      </w:r>
      <w:r w:rsidR="001127E9">
        <w:rPr>
          <w:rStyle w:val="ui-provider"/>
          <w:lang w:val="en-CA"/>
        </w:rPr>
        <w:t>a</w:t>
      </w:r>
      <w:r w:rsidR="001127E9" w:rsidRPr="00621344">
        <w:rPr>
          <w:rStyle w:val="ui-provider"/>
          <w:lang w:val="en-CA"/>
        </w:rPr>
        <w:t xml:space="preserve">nnexe MM-54, </w:t>
      </w:r>
      <w:r w:rsidR="00AD7674" w:rsidRPr="008F3D6A">
        <w:rPr>
          <w:lang w:val="en-CA"/>
        </w:rPr>
        <w:t xml:space="preserve">Patricia Warren </w:t>
      </w:r>
      <w:r w:rsidR="00AD7674" w:rsidRPr="008F3D6A">
        <w:rPr>
          <w:i/>
          <w:iCs/>
          <w:lang w:val="en-CA"/>
        </w:rPr>
        <w:t>et al</w:t>
      </w:r>
      <w:r w:rsidR="00AD7674" w:rsidRPr="008F3D6A">
        <w:rPr>
          <w:lang w:val="en-CA"/>
        </w:rPr>
        <w:t>., « Driving While Black: Bias Processes and Racial Disparity in Police Stops », (2006)</w:t>
      </w:r>
      <w:r w:rsidR="00CE1945">
        <w:rPr>
          <w:lang w:val="en-CA"/>
        </w:rPr>
        <w:t> </w:t>
      </w:r>
      <w:r w:rsidR="00AD7674" w:rsidRPr="008F3D6A">
        <w:rPr>
          <w:lang w:val="en-CA"/>
        </w:rPr>
        <w:t>44:3</w:t>
      </w:r>
      <w:r w:rsidR="00CE1945">
        <w:rPr>
          <w:lang w:val="en-CA"/>
        </w:rPr>
        <w:t> </w:t>
      </w:r>
      <w:r w:rsidR="00AD7674" w:rsidRPr="008F3D6A">
        <w:rPr>
          <w:i/>
          <w:iCs/>
          <w:lang w:val="en-CA"/>
        </w:rPr>
        <w:t>Criminology</w:t>
      </w:r>
      <w:r w:rsidR="00CE1945">
        <w:rPr>
          <w:i/>
          <w:iCs/>
          <w:lang w:val="en-CA"/>
        </w:rPr>
        <w:t> </w:t>
      </w:r>
      <w:r w:rsidR="00AD7674" w:rsidRPr="008F3D6A">
        <w:rPr>
          <w:lang w:val="en-CA"/>
        </w:rPr>
        <w:t>709</w:t>
      </w:r>
      <w:r w:rsidR="00621344">
        <w:rPr>
          <w:lang w:val="en-CA"/>
        </w:rPr>
        <w:t>,</w:t>
      </w:r>
      <w:r w:rsidR="00AD7674" w:rsidRPr="008F3D6A">
        <w:rPr>
          <w:lang w:val="en-CA"/>
        </w:rPr>
        <w:t xml:space="preserve"> </w:t>
      </w:r>
      <w:r w:rsidR="001127E9">
        <w:rPr>
          <w:rStyle w:val="ui-provider"/>
          <w:lang w:val="en-CA"/>
        </w:rPr>
        <w:t>a</w:t>
      </w:r>
      <w:r w:rsidR="001127E9" w:rsidRPr="005F450B">
        <w:rPr>
          <w:rStyle w:val="ui-provider"/>
          <w:lang w:val="en-CA"/>
        </w:rPr>
        <w:t>nnexe MM-</w:t>
      </w:r>
      <w:r w:rsidR="001127E9">
        <w:rPr>
          <w:rStyle w:val="ui-provider"/>
          <w:lang w:val="en-CA"/>
        </w:rPr>
        <w:t>38</w:t>
      </w:r>
      <w:r w:rsidR="001127E9" w:rsidRPr="005F450B">
        <w:rPr>
          <w:rStyle w:val="ui-provider"/>
          <w:lang w:val="en-CA"/>
        </w:rPr>
        <w:t xml:space="preserve">, </w:t>
      </w:r>
      <w:r w:rsidR="00AD7674" w:rsidRPr="008F3D6A">
        <w:rPr>
          <w:lang w:val="en-CA"/>
        </w:rPr>
        <w:t>Richard J. Lundman et Robert L. Kaufman, « Driving While Black: Effects of Race, Ethnicity, and Gender on Citizen Self-Reports of Traffic Stops and Police Actions », (2003)</w:t>
      </w:r>
      <w:r w:rsidR="00CE1945">
        <w:rPr>
          <w:lang w:val="en-CA"/>
        </w:rPr>
        <w:t> </w:t>
      </w:r>
      <w:r w:rsidR="00AD7674" w:rsidRPr="008F3D6A">
        <w:rPr>
          <w:lang w:val="en-CA"/>
        </w:rPr>
        <w:t>41:1 </w:t>
      </w:r>
      <w:r w:rsidR="00AD7674" w:rsidRPr="008F3D6A">
        <w:rPr>
          <w:i/>
          <w:iCs/>
          <w:lang w:val="en-CA"/>
        </w:rPr>
        <w:t>Criminology </w:t>
      </w:r>
      <w:r w:rsidR="00AD7674" w:rsidRPr="004D1C96">
        <w:rPr>
          <w:lang w:val="en-CA"/>
        </w:rPr>
        <w:t>195</w:t>
      </w:r>
      <w:bookmarkEnd w:id="70"/>
      <w:r w:rsidR="00621344">
        <w:rPr>
          <w:lang w:val="en-CA"/>
        </w:rPr>
        <w:t>,</w:t>
      </w:r>
      <w:r w:rsidR="00AD7674" w:rsidRPr="004D1C96">
        <w:rPr>
          <w:lang w:val="en-CA"/>
        </w:rPr>
        <w:t xml:space="preserve"> </w:t>
      </w:r>
      <w:r w:rsidR="004D1C96" w:rsidRPr="004D1C96">
        <w:rPr>
          <w:lang w:val="en-CA"/>
        </w:rPr>
        <w:t xml:space="preserve">et </w:t>
      </w:r>
      <w:r w:rsidR="001127E9" w:rsidRPr="004D1C96">
        <w:rPr>
          <w:lang w:val="en-CA"/>
        </w:rPr>
        <w:t>annexe MM-41,</w:t>
      </w:r>
      <w:r w:rsidR="001127E9">
        <w:rPr>
          <w:lang w:val="en-CA"/>
        </w:rPr>
        <w:t xml:space="preserve"> </w:t>
      </w:r>
      <w:bookmarkStart w:id="71" w:name="_Hlk178344922"/>
      <w:r w:rsidRPr="008F3D6A">
        <w:rPr>
          <w:lang w:val="en-CA"/>
        </w:rPr>
        <w:t>Albert J. Meehan et Michael C. Ponder, «</w:t>
      </w:r>
      <w:r w:rsidR="00AD7674" w:rsidRPr="008F3D6A">
        <w:rPr>
          <w:lang w:val="en-CA"/>
        </w:rPr>
        <w:t> </w:t>
      </w:r>
      <w:r w:rsidRPr="008F3D6A">
        <w:rPr>
          <w:lang w:val="en-CA"/>
        </w:rPr>
        <w:t>Race and Place: The Ecology of Racial Profiling African American Motorists</w:t>
      </w:r>
      <w:r w:rsidR="00AD7674" w:rsidRPr="008F3D6A">
        <w:rPr>
          <w:lang w:val="en-CA"/>
        </w:rPr>
        <w:t> </w:t>
      </w:r>
      <w:r w:rsidRPr="008F3D6A">
        <w:rPr>
          <w:lang w:val="en-CA"/>
        </w:rPr>
        <w:t>», (2002) 19</w:t>
      </w:r>
      <w:r w:rsidR="00AD7674" w:rsidRPr="008F3D6A">
        <w:rPr>
          <w:lang w:val="en-CA"/>
        </w:rPr>
        <w:t>:3</w:t>
      </w:r>
      <w:r w:rsidRPr="008F3D6A">
        <w:rPr>
          <w:lang w:val="en-CA"/>
        </w:rPr>
        <w:t xml:space="preserve"> </w:t>
      </w:r>
      <w:r w:rsidRPr="008F3D6A">
        <w:rPr>
          <w:i/>
          <w:iCs/>
          <w:lang w:val="en-CA"/>
        </w:rPr>
        <w:t>Justice Quarterly</w:t>
      </w:r>
      <w:r w:rsidRPr="008F3D6A">
        <w:rPr>
          <w:lang w:val="en-CA"/>
        </w:rPr>
        <w:t> 399</w:t>
      </w:r>
      <w:r w:rsidR="00AD7674" w:rsidRPr="008F3D6A">
        <w:rPr>
          <w:lang w:val="en-CA"/>
        </w:rPr>
        <w:t>.</w:t>
      </w:r>
      <w:bookmarkEnd w:id="71"/>
    </w:p>
  </w:footnote>
  <w:footnote w:id="131">
    <w:p w14:paraId="52FA5BBA" w14:textId="00CD98E9" w:rsidR="0032484D" w:rsidRPr="008F3D6A" w:rsidRDefault="0032484D" w:rsidP="002E7449">
      <w:pPr>
        <w:pStyle w:val="Notedebasdepage"/>
        <w:ind w:left="357" w:hanging="357"/>
      </w:pPr>
      <w:r w:rsidRPr="008F3D6A">
        <w:rPr>
          <w:rStyle w:val="Appelnotedebasdep"/>
        </w:rPr>
        <w:footnoteRef/>
      </w:r>
      <w:r w:rsidRPr="008F3D6A">
        <w:t xml:space="preserve"> </w:t>
      </w:r>
      <w:bookmarkStart w:id="72" w:name="_Hlk178344871"/>
      <w:r w:rsidR="00FF4DA0" w:rsidRPr="008F3D6A">
        <w:tab/>
      </w:r>
      <w:bookmarkStart w:id="73" w:name="_Hlk177721832"/>
      <w:r w:rsidR="002E7449" w:rsidRPr="008F3D6A">
        <w:t>Pièce P</w:t>
      </w:r>
      <w:r w:rsidR="002E7449" w:rsidRPr="008F3D6A">
        <w:noBreakHyphen/>
        <w:t xml:space="preserve">24, Service de Police de la Ville de Montréal (Victor Armony, Mariam Hassaoui et Massimiliano Mulone), </w:t>
      </w:r>
      <w:r w:rsidR="002E7449" w:rsidRPr="008F3D6A">
        <w:rPr>
          <w:i/>
          <w:iCs/>
        </w:rPr>
        <w:t>Les interpellations policières à la lumière des identités racisées des personnes interpellées : Analyse des données du Service de Police de la Ville de Montréal (SPVM) et élaboration d’indicateurs de suivi en matière de profilage racial</w:t>
      </w:r>
      <w:r w:rsidR="002E7449" w:rsidRPr="008F3D6A">
        <w:t xml:space="preserve">, août 2019; </w:t>
      </w:r>
      <w:bookmarkEnd w:id="72"/>
      <w:r w:rsidR="002E7449" w:rsidRPr="008F3D6A">
        <w:t>pièce P</w:t>
      </w:r>
      <w:r w:rsidR="002E7449" w:rsidRPr="008F3D6A">
        <w:noBreakHyphen/>
        <w:t xml:space="preserve">27, Nova Scotia Human Rights Commission (Dr. Scot Wortley), </w:t>
      </w:r>
      <w:r w:rsidR="002E7449" w:rsidRPr="008F3D6A">
        <w:rPr>
          <w:i/>
          <w:iCs/>
        </w:rPr>
        <w:t>Halifax, Nova Scotia: Street Check Report (and appendices)</w:t>
      </w:r>
      <w:r w:rsidR="002E7449" w:rsidRPr="008F3D6A">
        <w:t xml:space="preserve">, mars 2019; </w:t>
      </w:r>
      <w:r w:rsidR="00866890">
        <w:t>MM</w:t>
      </w:r>
      <w:r w:rsidR="0055394C">
        <w:noBreakHyphen/>
      </w:r>
      <w:r w:rsidR="00866890">
        <w:t xml:space="preserve">39, </w:t>
      </w:r>
      <w:r w:rsidRPr="008F3D6A">
        <w:t>Vancouver Police Department</w:t>
      </w:r>
      <w:r w:rsidR="00866890">
        <w:t xml:space="preserve"> (Drazen Manojlovic), </w:t>
      </w:r>
      <w:r w:rsidRPr="008F3D6A">
        <w:rPr>
          <w:i/>
          <w:iCs/>
        </w:rPr>
        <w:t>Understanding Street Checks: An Examination of a Proactive Policing Strategy</w:t>
      </w:r>
      <w:r w:rsidRPr="008F3D6A">
        <w:t xml:space="preserve">, Septembre 2018; </w:t>
      </w:r>
      <w:r w:rsidR="009902E4">
        <w:rPr>
          <w:rFonts w:cs="Arial"/>
        </w:rPr>
        <w:t xml:space="preserve">pièce P-4, </w:t>
      </w:r>
      <w:r w:rsidR="009902E4" w:rsidRPr="008F3D6A">
        <w:rPr>
          <w:rFonts w:eastAsiaTheme="minorHAnsi" w:cs="Arial"/>
          <w:szCs w:val="24"/>
          <w:lang w:eastAsia="en-US"/>
          <w14:ligatures w14:val="standardContextual"/>
        </w:rPr>
        <w:t xml:space="preserve">Rapport d’expertise de Marie-Ève Sylvestre, 7 février 2022, </w:t>
      </w:r>
      <w:r w:rsidR="009902E4">
        <w:rPr>
          <w:rFonts w:eastAsiaTheme="minorHAnsi" w:cs="Arial"/>
          <w:szCs w:val="24"/>
          <w:lang w:eastAsia="en-US"/>
          <w14:ligatures w14:val="standardContextual"/>
        </w:rPr>
        <w:t xml:space="preserve">annexe MES-080, </w:t>
      </w:r>
      <w:r w:rsidRPr="008F3D6A">
        <w:t xml:space="preserve">Curt Taylor Griffiths, Ruth Montgomery et Joshua J. Murphy, </w:t>
      </w:r>
      <w:r w:rsidRPr="008F3D6A">
        <w:rPr>
          <w:i/>
          <w:iCs/>
        </w:rPr>
        <w:t>City of Edmonton Street Checks Policy and Practice Review</w:t>
      </w:r>
      <w:r w:rsidRPr="008F3D6A">
        <w:t>, juin 2018</w:t>
      </w:r>
      <w:r w:rsidRPr="008F3D6A">
        <w:rPr>
          <w:rFonts w:cs="Arial"/>
        </w:rPr>
        <w:t>.</w:t>
      </w:r>
      <w:bookmarkEnd w:id="73"/>
    </w:p>
  </w:footnote>
  <w:footnote w:id="132">
    <w:p w14:paraId="699DD85E" w14:textId="74071373" w:rsidR="0032484D" w:rsidRPr="004D1C96" w:rsidRDefault="0032484D" w:rsidP="00F877A4">
      <w:pPr>
        <w:pStyle w:val="Notedebasdepage"/>
        <w:ind w:left="357" w:hanging="357"/>
      </w:pPr>
      <w:r w:rsidRPr="008F3D6A">
        <w:rPr>
          <w:rStyle w:val="Appelnotedebasdep"/>
        </w:rPr>
        <w:footnoteRef/>
      </w:r>
      <w:r w:rsidRPr="004D1C96">
        <w:t xml:space="preserve"> </w:t>
      </w:r>
      <w:r w:rsidR="00FF4DA0" w:rsidRPr="004D1C96">
        <w:tab/>
      </w:r>
      <w:r w:rsidR="004D1C96" w:rsidRPr="004D1C96">
        <w:t xml:space="preserve">Pièce P-1, </w:t>
      </w:r>
      <w:r w:rsidR="004D1C96" w:rsidRPr="004D1C96">
        <w:rPr>
          <w:rStyle w:val="ui-provider"/>
        </w:rPr>
        <w:t>Rapport d’expertise de Massimiliano Mulone, 31 janvier 2022,</w:t>
      </w:r>
      <w:r w:rsidR="004D1C96">
        <w:rPr>
          <w:rStyle w:val="ui-provider"/>
        </w:rPr>
        <w:t xml:space="preserve"> a</w:t>
      </w:r>
      <w:r w:rsidR="00560102" w:rsidRPr="004D1C96">
        <w:t xml:space="preserve">nnexe MM-19, </w:t>
      </w:r>
      <w:r w:rsidRPr="004D1C96">
        <w:t>Lorne Foster, Les</w:t>
      </w:r>
      <w:r w:rsidR="00FB3BE7" w:rsidRPr="004D1C96">
        <w:t>ley</w:t>
      </w:r>
      <w:r w:rsidRPr="004D1C96">
        <w:t xml:space="preserve"> Jacobs et Bobby Siu, </w:t>
      </w:r>
      <w:r w:rsidRPr="004D1C96">
        <w:rPr>
          <w:i/>
          <w:iCs/>
        </w:rPr>
        <w:t>Race Data and Traffic Stops in Ottawa, 2013-2015: A Report on Ottawa and the Police Districts</w:t>
      </w:r>
      <w:r w:rsidRPr="004D1C96">
        <w:t>, octobre 2016.</w:t>
      </w:r>
    </w:p>
  </w:footnote>
  <w:footnote w:id="133">
    <w:p w14:paraId="7E691348" w14:textId="28D4641B" w:rsidR="00947D88" w:rsidRPr="008F3D6A" w:rsidRDefault="00947D88" w:rsidP="00947D88">
      <w:pPr>
        <w:pStyle w:val="Notedebasdepage"/>
        <w:rPr>
          <w:rFonts w:cs="Arial"/>
        </w:rPr>
      </w:pPr>
      <w:r w:rsidRPr="008F3D6A">
        <w:rPr>
          <w:rStyle w:val="Appelnotedebasdep"/>
          <w:rFonts w:cs="Arial"/>
        </w:rPr>
        <w:footnoteRef/>
      </w:r>
      <w:r w:rsidRPr="008F3D6A">
        <w:rPr>
          <w:rFonts w:cs="Arial"/>
        </w:rPr>
        <w:t xml:space="preserve"> </w:t>
      </w:r>
      <w:r w:rsidRPr="008F3D6A">
        <w:rPr>
          <w:rFonts w:cs="Arial"/>
        </w:rPr>
        <w:tab/>
      </w:r>
      <w:r w:rsidR="006C0755">
        <w:rPr>
          <w:rFonts w:cs="Arial"/>
        </w:rPr>
        <w:t xml:space="preserve">Pièce P-1, </w:t>
      </w:r>
      <w:bookmarkStart w:id="74" w:name="_Hlk178344886"/>
      <w:r w:rsidRPr="008F3D6A">
        <w:rPr>
          <w:rFonts w:cs="Arial"/>
        </w:rPr>
        <w:t>Rapport d’expertise de Massimiliano Mulone, 31 janvier 202</w:t>
      </w:r>
      <w:r w:rsidR="00E46BAC" w:rsidRPr="008F3D6A">
        <w:rPr>
          <w:rFonts w:cs="Arial"/>
        </w:rPr>
        <w:t>2</w:t>
      </w:r>
      <w:r w:rsidRPr="008F3D6A">
        <w:rPr>
          <w:rFonts w:cs="Arial"/>
        </w:rPr>
        <w:t>, p. 18</w:t>
      </w:r>
      <w:bookmarkEnd w:id="74"/>
      <w:r w:rsidRPr="008F3D6A">
        <w:rPr>
          <w:rFonts w:cs="Arial"/>
        </w:rPr>
        <w:t>.</w:t>
      </w:r>
    </w:p>
  </w:footnote>
  <w:footnote w:id="134">
    <w:p w14:paraId="13998708" w14:textId="40C71EC0" w:rsidR="0032484D" w:rsidRPr="00AC7E76" w:rsidRDefault="0032484D" w:rsidP="0032484D">
      <w:pPr>
        <w:pStyle w:val="Notedebasdepage"/>
        <w:rPr>
          <w:rFonts w:cs="Arial"/>
        </w:rPr>
      </w:pPr>
      <w:r w:rsidRPr="008F3D6A">
        <w:rPr>
          <w:rStyle w:val="Appelnotedebasdep"/>
          <w:rFonts w:cs="Arial"/>
        </w:rPr>
        <w:footnoteRef/>
      </w:r>
      <w:r w:rsidRPr="008F3D6A">
        <w:rPr>
          <w:rFonts w:cs="Arial"/>
        </w:rPr>
        <w:t xml:space="preserve"> </w:t>
      </w:r>
      <w:r w:rsidR="00FF4DA0" w:rsidRPr="008F3D6A">
        <w:rPr>
          <w:rFonts w:cs="Arial"/>
        </w:rPr>
        <w:tab/>
      </w:r>
      <w:r w:rsidR="006C0755">
        <w:rPr>
          <w:rFonts w:cs="Arial"/>
        </w:rPr>
        <w:t xml:space="preserve">Pièce P-4, </w:t>
      </w:r>
      <w:bookmarkStart w:id="75" w:name="_Hlk178344901"/>
      <w:r w:rsidRPr="008F3D6A">
        <w:rPr>
          <w:rFonts w:eastAsiaTheme="minorHAnsi" w:cs="Arial"/>
          <w:szCs w:val="24"/>
          <w:lang w:eastAsia="en-US"/>
          <w14:ligatures w14:val="standardContextual"/>
        </w:rPr>
        <w:t>Rapport d’expertise de Marie-Ève Sylvestre, 7 février 2022, p. 49 à 54.</w:t>
      </w:r>
      <w:bookmarkEnd w:id="75"/>
      <w:r w:rsidRPr="00AC7E76">
        <w:rPr>
          <w:rFonts w:eastAsiaTheme="minorHAnsi" w:cs="Arial"/>
          <w:szCs w:val="24"/>
          <w:lang w:eastAsia="en-US"/>
          <w14:ligatures w14:val="standardContextual"/>
        </w:rPr>
        <w:t xml:space="preserve"> </w:t>
      </w:r>
    </w:p>
  </w:footnote>
  <w:footnote w:id="135">
    <w:p w14:paraId="03DDE8D8" w14:textId="27141096" w:rsidR="0032484D" w:rsidRPr="008F3D6A" w:rsidRDefault="0032484D" w:rsidP="00E01E6F">
      <w:pPr>
        <w:pStyle w:val="Notedebasdepage"/>
        <w:ind w:left="357" w:hanging="357"/>
        <w:rPr>
          <w:rFonts w:cs="Arial"/>
        </w:rPr>
      </w:pPr>
      <w:r w:rsidRPr="008F3D6A">
        <w:rPr>
          <w:rStyle w:val="Appelnotedebasdep"/>
          <w:rFonts w:cs="Arial"/>
        </w:rPr>
        <w:footnoteRef/>
      </w:r>
      <w:r w:rsidRPr="008F3D6A">
        <w:rPr>
          <w:rFonts w:cs="Arial"/>
        </w:rPr>
        <w:t xml:space="preserve"> </w:t>
      </w:r>
      <w:r w:rsidR="00FF4DA0" w:rsidRPr="008F3D6A">
        <w:rPr>
          <w:rFonts w:cs="Arial"/>
        </w:rPr>
        <w:tab/>
      </w:r>
      <w:r w:rsidRPr="008F3D6A">
        <w:rPr>
          <w:rFonts w:cs="Arial"/>
        </w:rPr>
        <w:t>Voir à cet effet l’éclairant rapport d’expertise de Marie-Ève Sylvestre</w:t>
      </w:r>
      <w:r w:rsidR="00E46BAC" w:rsidRPr="008F3D6A">
        <w:rPr>
          <w:rFonts w:cs="Arial"/>
        </w:rPr>
        <w:t>,</w:t>
      </w:r>
      <w:r w:rsidRPr="008F3D6A">
        <w:rPr>
          <w:rFonts w:cs="Arial"/>
        </w:rPr>
        <w:t xml:space="preserve"> qui discute en détail de la notion de profilage racial, de son apparition, de sa définition et de sa reconnaissance</w:t>
      </w:r>
      <w:r w:rsidR="00E46BAC" w:rsidRPr="008F3D6A">
        <w:rPr>
          <w:rFonts w:cs="Arial"/>
        </w:rPr>
        <w:t xml:space="preserve"> : </w:t>
      </w:r>
      <w:r w:rsidR="00E46BAC" w:rsidRPr="008F3D6A">
        <w:rPr>
          <w:rFonts w:cs="Arial"/>
          <w:i/>
          <w:iCs/>
        </w:rPr>
        <w:t>id</w:t>
      </w:r>
      <w:r w:rsidR="00E46BAC" w:rsidRPr="008F3D6A">
        <w:rPr>
          <w:rFonts w:cs="Arial"/>
        </w:rPr>
        <w:t>., p. 8-16</w:t>
      </w:r>
      <w:r w:rsidRPr="008F3D6A">
        <w:rPr>
          <w:rFonts w:cs="Arial"/>
        </w:rPr>
        <w:t>.</w:t>
      </w:r>
    </w:p>
  </w:footnote>
  <w:footnote w:id="136">
    <w:p w14:paraId="733A5D04" w14:textId="5AB4881D" w:rsidR="0032484D" w:rsidRPr="008F3D6A" w:rsidRDefault="0032484D" w:rsidP="00E01E6F">
      <w:pPr>
        <w:pStyle w:val="Notedebasdepage"/>
        <w:ind w:left="357" w:hanging="357"/>
      </w:pPr>
      <w:r w:rsidRPr="008F3D6A">
        <w:rPr>
          <w:rStyle w:val="Appelnotedebasdep"/>
          <w:rFonts w:cs="Arial"/>
        </w:rPr>
        <w:footnoteRef/>
      </w:r>
      <w:r w:rsidRPr="008F3D6A">
        <w:rPr>
          <w:rFonts w:cs="Arial"/>
          <w:color w:val="000000"/>
        </w:rPr>
        <w:t xml:space="preserve"> </w:t>
      </w:r>
      <w:r w:rsidR="00FF4DA0" w:rsidRPr="008F3D6A">
        <w:rPr>
          <w:rFonts w:cs="Arial"/>
          <w:color w:val="000000"/>
        </w:rPr>
        <w:tab/>
      </w:r>
      <w:r w:rsidRPr="008F3D6A">
        <w:rPr>
          <w:rFonts w:cs="Arial"/>
          <w:color w:val="000000"/>
        </w:rPr>
        <w:t xml:space="preserve">Le juge note que </w:t>
      </w:r>
      <w:r w:rsidR="00F153B6">
        <w:rPr>
          <w:rFonts w:cs="Arial"/>
          <w:color w:val="000000"/>
        </w:rPr>
        <w:t xml:space="preserve">le </w:t>
      </w:r>
      <w:r w:rsidRPr="008F3D6A">
        <w:rPr>
          <w:rFonts w:cs="Arial"/>
          <w:color w:val="000000"/>
        </w:rPr>
        <w:t xml:space="preserve">profilage racial est de nos jours bien </w:t>
      </w:r>
      <w:r w:rsidR="00F153B6">
        <w:rPr>
          <w:rFonts w:cs="Arial"/>
          <w:color w:val="000000"/>
        </w:rPr>
        <w:t>défini</w:t>
      </w:r>
      <w:r w:rsidRPr="008F3D6A">
        <w:rPr>
          <w:rFonts w:cs="Arial"/>
          <w:color w:val="000000"/>
        </w:rPr>
        <w:t xml:space="preserve"> et se distingue du racisme</w:t>
      </w:r>
      <w:r w:rsidR="00F153B6">
        <w:rPr>
          <w:rFonts w:cs="Arial"/>
          <w:color w:val="000000"/>
        </w:rPr>
        <w:t> </w:t>
      </w:r>
      <w:r w:rsidRPr="008F3D6A">
        <w:rPr>
          <w:rFonts w:cs="Arial"/>
          <w:color w:val="000000"/>
        </w:rPr>
        <w:t>:</w:t>
      </w:r>
      <w:r w:rsidRPr="008F3D6A">
        <w:rPr>
          <w:rFonts w:cs="Arial"/>
        </w:rPr>
        <w:t xml:space="preserve"> </w:t>
      </w:r>
      <w:r w:rsidR="00E46BAC" w:rsidRPr="008F3D6A">
        <w:rPr>
          <w:rFonts w:cs="Arial"/>
        </w:rPr>
        <w:t>j</w:t>
      </w:r>
      <w:r w:rsidRPr="008F3D6A">
        <w:rPr>
          <w:rFonts w:cs="Arial"/>
        </w:rPr>
        <w:t>ugement</w:t>
      </w:r>
      <w:r w:rsidR="00EA32C0" w:rsidRPr="008F3D6A">
        <w:rPr>
          <w:rFonts w:cs="Arial"/>
        </w:rPr>
        <w:t xml:space="preserve"> de première instance</w:t>
      </w:r>
      <w:r w:rsidRPr="008F3D6A">
        <w:rPr>
          <w:rFonts w:cs="Arial"/>
        </w:rPr>
        <w:t>, par. 391</w:t>
      </w:r>
      <w:r w:rsidR="00E46BAC" w:rsidRPr="008F3D6A">
        <w:rPr>
          <w:rFonts w:cs="Arial"/>
        </w:rPr>
        <w:t xml:space="preserve"> et</w:t>
      </w:r>
      <w:r w:rsidRPr="008F3D6A">
        <w:rPr>
          <w:rFonts w:cs="Arial"/>
        </w:rPr>
        <w:t xml:space="preserve"> 573.</w:t>
      </w:r>
    </w:p>
  </w:footnote>
  <w:footnote w:id="137">
    <w:p w14:paraId="210F4549" w14:textId="4153D55C" w:rsidR="0032484D" w:rsidRDefault="0032484D" w:rsidP="0032484D">
      <w:pPr>
        <w:pStyle w:val="Notedebasdepage"/>
      </w:pPr>
      <w:r w:rsidRPr="008F3D6A">
        <w:rPr>
          <w:rStyle w:val="Appelnotedebasdep"/>
        </w:rPr>
        <w:footnoteRef/>
      </w:r>
      <w:r w:rsidRPr="008F3D6A">
        <w:t xml:space="preserve"> </w:t>
      </w:r>
      <w:r w:rsidR="00FF4DA0" w:rsidRPr="008F3D6A">
        <w:tab/>
      </w:r>
      <w:r w:rsidRPr="008F3D6A">
        <w:rPr>
          <w:i/>
          <w:iCs/>
        </w:rPr>
        <w:t>R. c. Ladouceur</w:t>
      </w:r>
      <w:r w:rsidRPr="008F3D6A">
        <w:t>, [1990] 1 R.C.S. 1257, p. 1286.</w:t>
      </w:r>
      <w:r>
        <w:t xml:space="preserve"> </w:t>
      </w:r>
    </w:p>
  </w:footnote>
  <w:footnote w:id="138">
    <w:p w14:paraId="61E1CB79" w14:textId="1ACAE86F" w:rsidR="0032484D" w:rsidRPr="008F3D6A" w:rsidRDefault="0032484D" w:rsidP="00E01E6F">
      <w:pPr>
        <w:pStyle w:val="Notedebasdepage"/>
        <w:ind w:left="357" w:hanging="357"/>
      </w:pPr>
      <w:r w:rsidRPr="008F3D6A">
        <w:rPr>
          <w:rStyle w:val="Appelnotedebasdep"/>
        </w:rPr>
        <w:footnoteRef/>
      </w:r>
      <w:r w:rsidRPr="008F3D6A">
        <w:t xml:space="preserve"> </w:t>
      </w:r>
      <w:r w:rsidR="00FF4DA0" w:rsidRPr="008F3D6A">
        <w:tab/>
      </w:r>
      <w:r w:rsidR="007D0027" w:rsidRPr="008F3D6A">
        <w:t>Pièce P-4, Rapport d’expertise de Marie-Ève Sylvestre, 7 février 2022, p.</w:t>
      </w:r>
      <w:r w:rsidR="00021D65">
        <w:t xml:space="preserve"> </w:t>
      </w:r>
      <w:r w:rsidR="007D0027" w:rsidRPr="008F3D6A">
        <w:t>49-54.</w:t>
      </w:r>
      <w:r w:rsidRPr="008F3D6A">
        <w:t xml:space="preserve"> </w:t>
      </w:r>
      <w:r w:rsidR="007D0027" w:rsidRPr="008F3D6A">
        <w:t>V</w:t>
      </w:r>
      <w:r w:rsidRPr="008F3D6A">
        <w:t>oir également</w:t>
      </w:r>
      <w:r w:rsidR="007D0027" w:rsidRPr="008F3D6A">
        <w:t> :</w:t>
      </w:r>
      <w:r w:rsidRPr="008F3D6A">
        <w:t xml:space="preserve"> </w:t>
      </w:r>
      <w:r w:rsidRPr="008F3D6A">
        <w:rPr>
          <w:i/>
          <w:iCs/>
        </w:rPr>
        <w:t>R.</w:t>
      </w:r>
      <w:r w:rsidR="00021D65">
        <w:rPr>
          <w:i/>
          <w:iCs/>
        </w:rPr>
        <w:t> </w:t>
      </w:r>
      <w:r w:rsidRPr="008F3D6A">
        <w:rPr>
          <w:i/>
          <w:iCs/>
        </w:rPr>
        <w:t>c.</w:t>
      </w:r>
      <w:r w:rsidR="00021D65">
        <w:rPr>
          <w:i/>
          <w:iCs/>
        </w:rPr>
        <w:t> </w:t>
      </w:r>
      <w:r w:rsidRPr="008F3D6A">
        <w:rPr>
          <w:i/>
          <w:iCs/>
        </w:rPr>
        <w:t>Le</w:t>
      </w:r>
      <w:r w:rsidRPr="008F3D6A">
        <w:t xml:space="preserve">, 2019 CSC 34, par. 95. </w:t>
      </w:r>
    </w:p>
  </w:footnote>
  <w:footnote w:id="139">
    <w:p w14:paraId="2E47C583" w14:textId="75439D92" w:rsidR="0032484D" w:rsidRPr="008F3D6A" w:rsidRDefault="0032484D" w:rsidP="0032484D">
      <w:pPr>
        <w:pStyle w:val="Notedebasdepage"/>
      </w:pPr>
      <w:r w:rsidRPr="008F3D6A">
        <w:rPr>
          <w:rStyle w:val="Appelnotedebasdep"/>
        </w:rPr>
        <w:footnoteRef/>
      </w:r>
      <w:r w:rsidRPr="008F3D6A">
        <w:t xml:space="preserve"> </w:t>
      </w:r>
      <w:r w:rsidR="00FF4DA0" w:rsidRPr="008F3D6A">
        <w:tab/>
      </w:r>
      <w:r w:rsidRPr="008F3D6A">
        <w:rPr>
          <w:i/>
          <w:iCs/>
        </w:rPr>
        <w:t>R. c. Ladouceur</w:t>
      </w:r>
      <w:r w:rsidRPr="008F3D6A">
        <w:t>, [1990] 1 R.C.S. 1257, p. 1287.</w:t>
      </w:r>
    </w:p>
  </w:footnote>
  <w:footnote w:id="140">
    <w:p w14:paraId="1271034A" w14:textId="3AA0C9FB" w:rsidR="0032484D" w:rsidRPr="008F3D6A" w:rsidRDefault="0032484D" w:rsidP="00E01E6F">
      <w:pPr>
        <w:pStyle w:val="Notedebasdepage"/>
        <w:ind w:left="357" w:hanging="357"/>
        <w:rPr>
          <w:strike/>
        </w:rPr>
      </w:pPr>
      <w:r w:rsidRPr="008F3D6A">
        <w:rPr>
          <w:rStyle w:val="Appelnotedebasdep"/>
        </w:rPr>
        <w:footnoteRef/>
      </w:r>
      <w:r w:rsidRPr="008F3D6A">
        <w:t xml:space="preserve"> </w:t>
      </w:r>
      <w:r w:rsidR="00FF4DA0" w:rsidRPr="008F3D6A">
        <w:tab/>
      </w:r>
      <w:r w:rsidRPr="008F3D6A">
        <w:t>Le rapport d’expertise de Massimiliano Mulone témoigne d’une confusion qui peut survenir chez les forces de l’ordre entre profilage racial et profilage criminel</w:t>
      </w:r>
      <w:r w:rsidR="00130184" w:rsidRPr="008F3D6A">
        <w:t> : pièce P-1, Rapport d’expertise de Massimiliano Mulone, 31 janvier 2022, p.</w:t>
      </w:r>
      <w:r w:rsidR="00DF3B04">
        <w:t xml:space="preserve"> </w:t>
      </w:r>
      <w:r w:rsidR="00130184" w:rsidRPr="008F3D6A">
        <w:t>20.</w:t>
      </w:r>
    </w:p>
  </w:footnote>
  <w:footnote w:id="141">
    <w:p w14:paraId="1497F96A" w14:textId="5311EC77" w:rsidR="0032484D" w:rsidRDefault="0032484D" w:rsidP="0032484D">
      <w:pPr>
        <w:pStyle w:val="Notedebasdepage"/>
      </w:pPr>
      <w:r w:rsidRPr="008F3D6A">
        <w:rPr>
          <w:rStyle w:val="Appelnotedebasdep"/>
        </w:rPr>
        <w:footnoteRef/>
      </w:r>
      <w:r w:rsidRPr="008F3D6A">
        <w:t xml:space="preserve"> </w:t>
      </w:r>
      <w:r w:rsidR="00FF4DA0" w:rsidRPr="008F3D6A">
        <w:tab/>
      </w:r>
      <w:r w:rsidRPr="008F3D6A">
        <w:rPr>
          <w:i/>
          <w:iCs/>
        </w:rPr>
        <w:t>R. c. Comeau</w:t>
      </w:r>
      <w:r w:rsidRPr="008F3D6A">
        <w:t>, 2018 CSC 15, par. 31.</w:t>
      </w:r>
    </w:p>
  </w:footnote>
  <w:footnote w:id="142">
    <w:p w14:paraId="25480E95" w14:textId="01ADAAA6" w:rsidR="0032484D" w:rsidRPr="008F3D6A" w:rsidRDefault="0032484D" w:rsidP="0032484D">
      <w:pPr>
        <w:pStyle w:val="Notedebasdepage"/>
      </w:pPr>
      <w:r w:rsidRPr="008F3D6A">
        <w:rPr>
          <w:rStyle w:val="Appelnotedebasdep"/>
        </w:rPr>
        <w:footnoteRef/>
      </w:r>
      <w:r w:rsidRPr="008F3D6A">
        <w:t xml:space="preserve"> </w:t>
      </w:r>
      <w:r w:rsidR="00FF4DA0" w:rsidRPr="008F3D6A">
        <w:tab/>
      </w:r>
      <w:r w:rsidRPr="008F3D6A">
        <w:t>Jugement de première instance, par. 148.</w:t>
      </w:r>
    </w:p>
  </w:footnote>
  <w:footnote w:id="143">
    <w:p w14:paraId="58643103" w14:textId="6E2F0175" w:rsidR="0032484D" w:rsidRPr="0032484D" w:rsidRDefault="0032484D" w:rsidP="0032484D">
      <w:pPr>
        <w:pStyle w:val="Notedebasdepage"/>
      </w:pPr>
      <w:r w:rsidRPr="008F3D6A">
        <w:rPr>
          <w:rStyle w:val="Appelnotedebasdep"/>
        </w:rPr>
        <w:footnoteRef/>
      </w:r>
      <w:r w:rsidRPr="008F3D6A">
        <w:t xml:space="preserve"> </w:t>
      </w:r>
      <w:r w:rsidR="00FF4DA0" w:rsidRPr="008F3D6A">
        <w:tab/>
      </w:r>
      <w:r w:rsidRPr="008F3D6A">
        <w:rPr>
          <w:i/>
          <w:iCs/>
        </w:rPr>
        <w:t>Id.</w:t>
      </w:r>
      <w:r w:rsidRPr="008F3D6A">
        <w:t>, par. 573.</w:t>
      </w:r>
    </w:p>
  </w:footnote>
  <w:footnote w:id="144">
    <w:p w14:paraId="5CE7A7CD" w14:textId="7B360698" w:rsidR="00211F21" w:rsidRPr="008F3D6A" w:rsidRDefault="00211F21" w:rsidP="00211F21">
      <w:pPr>
        <w:pStyle w:val="Notedebasdepage"/>
      </w:pPr>
      <w:r w:rsidRPr="008F3D6A">
        <w:rPr>
          <w:rStyle w:val="Appelnotedebasdep"/>
        </w:rPr>
        <w:footnoteRef/>
      </w:r>
      <w:r w:rsidRPr="008F3D6A">
        <w:t xml:space="preserve"> </w:t>
      </w:r>
      <w:r w:rsidRPr="008F3D6A">
        <w:tab/>
        <w:t>C’est également ce qui est décidé précisément en lien avec l’art</w:t>
      </w:r>
      <w:r w:rsidR="00C167A5">
        <w:t>.</w:t>
      </w:r>
      <w:r w:rsidRPr="008F3D6A">
        <w:t xml:space="preserve"> 636 </w:t>
      </w:r>
      <w:r w:rsidRPr="005124FE">
        <w:rPr>
          <w:i/>
          <w:iCs/>
        </w:rPr>
        <w:t>C.s.r.</w:t>
      </w:r>
      <w:r w:rsidRPr="008F3D6A">
        <w:t xml:space="preserve"> dans l’arrêt </w:t>
      </w:r>
      <w:bookmarkStart w:id="85" w:name="_Hlk172283424"/>
      <w:r w:rsidRPr="008F3D6A">
        <w:rPr>
          <w:i/>
          <w:iCs/>
        </w:rPr>
        <w:t>R. c. Soucisse</w:t>
      </w:r>
      <w:r w:rsidRPr="008F3D6A">
        <w:t xml:space="preserve">, </w:t>
      </w:r>
      <w:bookmarkEnd w:id="85"/>
      <w:r w:rsidR="00D6651F" w:rsidRPr="008F3D6A">
        <w:t>[1994] R.J.Q. 1546 (C.A.)</w:t>
      </w:r>
      <w:r w:rsidRPr="008F3D6A">
        <w:t xml:space="preserve">, p. </w:t>
      </w:r>
      <w:r w:rsidR="001A5FD7" w:rsidRPr="008F3D6A">
        <w:t>1550-1551.</w:t>
      </w:r>
    </w:p>
  </w:footnote>
  <w:footnote w:id="145">
    <w:p w14:paraId="3E1D3B37" w14:textId="4585DCFC" w:rsidR="00211F21" w:rsidRPr="008F3D6A" w:rsidRDefault="00211F21" w:rsidP="00D60DF0">
      <w:pPr>
        <w:pStyle w:val="Notedebasdepage"/>
      </w:pPr>
      <w:r w:rsidRPr="008F3D6A">
        <w:rPr>
          <w:rStyle w:val="Appelnotedebasdep"/>
        </w:rPr>
        <w:footnoteRef/>
      </w:r>
      <w:r w:rsidRPr="008F3D6A">
        <w:t xml:space="preserve"> </w:t>
      </w:r>
      <w:r w:rsidRPr="008F3D6A">
        <w:tab/>
      </w:r>
      <w:r w:rsidR="003B364D" w:rsidRPr="008F3D6A">
        <w:rPr>
          <w:rFonts w:cs="Arial"/>
          <w:i/>
          <w:iCs/>
          <w:color w:val="000000"/>
        </w:rPr>
        <w:t>R. c. Grant</w:t>
      </w:r>
      <w:r w:rsidR="003B364D" w:rsidRPr="008F3D6A">
        <w:rPr>
          <w:rFonts w:cs="Arial"/>
          <w:color w:val="000000"/>
        </w:rPr>
        <w:t>, 2009</w:t>
      </w:r>
      <w:r w:rsidR="009C4E92">
        <w:rPr>
          <w:rFonts w:cs="Arial"/>
          <w:color w:val="000000"/>
        </w:rPr>
        <w:t xml:space="preserve"> </w:t>
      </w:r>
      <w:r w:rsidR="003B364D" w:rsidRPr="008F3D6A">
        <w:rPr>
          <w:rFonts w:cs="Arial"/>
          <w:color w:val="000000"/>
        </w:rPr>
        <w:t>CSC</w:t>
      </w:r>
      <w:r w:rsidR="009C4E92">
        <w:rPr>
          <w:rFonts w:cs="Arial"/>
          <w:color w:val="000000"/>
        </w:rPr>
        <w:t xml:space="preserve"> </w:t>
      </w:r>
      <w:r w:rsidR="003B364D" w:rsidRPr="008F3D6A">
        <w:rPr>
          <w:rFonts w:cs="Arial"/>
          <w:color w:val="000000"/>
        </w:rPr>
        <w:t xml:space="preserve">32; </w:t>
      </w:r>
      <w:r w:rsidR="003B364D" w:rsidRPr="008F3D6A">
        <w:rPr>
          <w:i/>
          <w:iCs/>
        </w:rPr>
        <w:t>R. c. Ladouceur</w:t>
      </w:r>
      <w:r w:rsidR="003B364D" w:rsidRPr="008F3D6A">
        <w:rPr>
          <w:rFonts w:cs="Arial"/>
          <w:color w:val="000000"/>
        </w:rPr>
        <w:t>, [1990]</w:t>
      </w:r>
      <w:r w:rsidR="009C4E92">
        <w:rPr>
          <w:rFonts w:cs="Arial"/>
          <w:color w:val="000000"/>
        </w:rPr>
        <w:t xml:space="preserve"> </w:t>
      </w:r>
      <w:r w:rsidR="003B364D" w:rsidRPr="008F3D6A">
        <w:rPr>
          <w:rFonts w:cs="Arial"/>
          <w:color w:val="000000"/>
        </w:rPr>
        <w:t>1</w:t>
      </w:r>
      <w:r w:rsidR="009C4E92">
        <w:rPr>
          <w:rFonts w:cs="Arial"/>
          <w:color w:val="000000"/>
        </w:rPr>
        <w:t xml:space="preserve"> </w:t>
      </w:r>
      <w:r w:rsidR="003B364D" w:rsidRPr="008F3D6A">
        <w:rPr>
          <w:rFonts w:cs="Arial"/>
          <w:color w:val="000000"/>
        </w:rPr>
        <w:t>R.C.S.</w:t>
      </w:r>
      <w:r w:rsidR="009C4E92">
        <w:rPr>
          <w:rFonts w:cs="Arial"/>
          <w:color w:val="000000"/>
        </w:rPr>
        <w:t xml:space="preserve"> </w:t>
      </w:r>
      <w:r w:rsidR="003B364D" w:rsidRPr="008F3D6A">
        <w:rPr>
          <w:rFonts w:cs="Arial"/>
          <w:color w:val="000000"/>
        </w:rPr>
        <w:t>1257, p.</w:t>
      </w:r>
      <w:r w:rsidR="009C4E92">
        <w:rPr>
          <w:rFonts w:cs="Arial"/>
          <w:color w:val="000000"/>
        </w:rPr>
        <w:t xml:space="preserve"> </w:t>
      </w:r>
      <w:r w:rsidR="003B364D" w:rsidRPr="008F3D6A">
        <w:rPr>
          <w:rFonts w:cs="Arial"/>
          <w:color w:val="000000"/>
        </w:rPr>
        <w:t xml:space="preserve">1287; </w:t>
      </w:r>
      <w:r w:rsidR="003B364D" w:rsidRPr="008F3D6A">
        <w:rPr>
          <w:i/>
          <w:iCs/>
        </w:rPr>
        <w:t>R. c. Hufsky</w:t>
      </w:r>
      <w:r w:rsidR="003B364D" w:rsidRPr="008F3D6A">
        <w:t>,</w:t>
      </w:r>
      <w:r w:rsidR="003B364D" w:rsidRPr="008F3D6A">
        <w:rPr>
          <w:i/>
          <w:iCs/>
        </w:rPr>
        <w:t xml:space="preserve"> </w:t>
      </w:r>
      <w:r w:rsidR="003B364D" w:rsidRPr="008F3D6A">
        <w:rPr>
          <w:rFonts w:cs="Arial"/>
          <w:color w:val="000000"/>
        </w:rPr>
        <w:t>[1988] 1 R.C.S.</w:t>
      </w:r>
      <w:r w:rsidR="00DF3B04">
        <w:rPr>
          <w:rFonts w:cs="Arial"/>
          <w:color w:val="000000"/>
        </w:rPr>
        <w:t xml:space="preserve">  </w:t>
      </w:r>
      <w:r w:rsidR="003B364D" w:rsidRPr="008F3D6A">
        <w:rPr>
          <w:rFonts w:cs="Arial"/>
          <w:color w:val="000000"/>
        </w:rPr>
        <w:t xml:space="preserve">621; </w:t>
      </w:r>
      <w:r w:rsidR="003B364D" w:rsidRPr="008F3D6A">
        <w:rPr>
          <w:i/>
          <w:iCs/>
        </w:rPr>
        <w:t xml:space="preserve">R. c. Thomsen, </w:t>
      </w:r>
      <w:r w:rsidR="003B364D" w:rsidRPr="008F3D6A">
        <w:rPr>
          <w:rFonts w:cs="Arial"/>
          <w:color w:val="000000"/>
        </w:rPr>
        <w:t>[1988]</w:t>
      </w:r>
      <w:r w:rsidR="009C4E92">
        <w:rPr>
          <w:rFonts w:cs="Arial"/>
          <w:color w:val="000000"/>
        </w:rPr>
        <w:t xml:space="preserve"> </w:t>
      </w:r>
      <w:r w:rsidR="003B364D" w:rsidRPr="008F3D6A">
        <w:rPr>
          <w:rFonts w:cs="Arial"/>
          <w:color w:val="000000"/>
        </w:rPr>
        <w:t>1</w:t>
      </w:r>
      <w:r w:rsidR="009C4E92">
        <w:rPr>
          <w:rFonts w:cs="Arial"/>
          <w:color w:val="000000"/>
        </w:rPr>
        <w:t xml:space="preserve"> </w:t>
      </w:r>
      <w:r w:rsidR="003B364D" w:rsidRPr="008F3D6A">
        <w:rPr>
          <w:rFonts w:cs="Arial"/>
          <w:color w:val="000000"/>
        </w:rPr>
        <w:t>R.C.S.</w:t>
      </w:r>
      <w:r w:rsidR="009C4E92">
        <w:rPr>
          <w:rFonts w:cs="Arial"/>
          <w:color w:val="000000"/>
        </w:rPr>
        <w:t xml:space="preserve"> </w:t>
      </w:r>
      <w:r w:rsidR="003B364D" w:rsidRPr="008F3D6A">
        <w:rPr>
          <w:rFonts w:cs="Arial"/>
          <w:color w:val="000000"/>
        </w:rPr>
        <w:t xml:space="preserve">640; </w:t>
      </w:r>
      <w:r w:rsidRPr="008F3D6A">
        <w:rPr>
          <w:i/>
          <w:iCs/>
        </w:rPr>
        <w:t>R.</w:t>
      </w:r>
      <w:r w:rsidR="003B364D" w:rsidRPr="008F3D6A">
        <w:rPr>
          <w:i/>
          <w:iCs/>
        </w:rPr>
        <w:t xml:space="preserve"> </w:t>
      </w:r>
      <w:r w:rsidRPr="008F3D6A">
        <w:rPr>
          <w:i/>
          <w:iCs/>
        </w:rPr>
        <w:t>c. Therens</w:t>
      </w:r>
      <w:r w:rsidRPr="008F3D6A">
        <w:t>,</w:t>
      </w:r>
      <w:r w:rsidR="00E01E6F" w:rsidRPr="008F3D6A">
        <w:t xml:space="preserve"> </w:t>
      </w:r>
      <w:r w:rsidRPr="008F3D6A">
        <w:t>[1985]</w:t>
      </w:r>
      <w:r w:rsidR="009C4E92">
        <w:t xml:space="preserve"> </w:t>
      </w:r>
      <w:r w:rsidRPr="008F3D6A">
        <w:t>1</w:t>
      </w:r>
      <w:r w:rsidR="009C4E92">
        <w:t xml:space="preserve"> </w:t>
      </w:r>
      <w:r w:rsidRPr="008F3D6A">
        <w:t>R.C.S.</w:t>
      </w:r>
      <w:r w:rsidR="009C4E92">
        <w:t xml:space="preserve"> </w:t>
      </w:r>
      <w:r w:rsidRPr="008F3D6A">
        <w:t>61</w:t>
      </w:r>
      <w:r w:rsidR="003B364D" w:rsidRPr="008F3D6A">
        <w:t>3</w:t>
      </w:r>
      <w:r w:rsidRPr="008F3D6A">
        <w:t xml:space="preserve">; </w:t>
      </w:r>
      <w:r w:rsidRPr="008F3D6A">
        <w:rPr>
          <w:i/>
          <w:iCs/>
        </w:rPr>
        <w:t>Trask c. La Reine</w:t>
      </w:r>
      <w:r w:rsidR="00E01E6F" w:rsidRPr="008F3D6A">
        <w:rPr>
          <w:i/>
          <w:iCs/>
        </w:rPr>
        <w:t>,</w:t>
      </w:r>
      <w:r w:rsidRPr="008F3D6A">
        <w:rPr>
          <w:rFonts w:cs="Arial"/>
          <w:color w:val="000000"/>
        </w:rPr>
        <w:t xml:space="preserve"> [1985]</w:t>
      </w:r>
      <w:r w:rsidR="00DF3B04">
        <w:rPr>
          <w:rFonts w:cs="Arial"/>
          <w:color w:val="000000"/>
        </w:rPr>
        <w:t xml:space="preserve"> </w:t>
      </w:r>
      <w:r w:rsidRPr="008F3D6A">
        <w:rPr>
          <w:rFonts w:cs="Arial"/>
          <w:color w:val="000000"/>
        </w:rPr>
        <w:t>1</w:t>
      </w:r>
      <w:r w:rsidR="00DF3B04">
        <w:rPr>
          <w:rFonts w:cs="Arial"/>
          <w:color w:val="000000"/>
        </w:rPr>
        <w:t xml:space="preserve"> </w:t>
      </w:r>
      <w:r w:rsidRPr="008F3D6A">
        <w:rPr>
          <w:rFonts w:cs="Arial"/>
          <w:color w:val="000000"/>
        </w:rPr>
        <w:t>R.C.S.</w:t>
      </w:r>
      <w:r w:rsidR="00DF3B04">
        <w:rPr>
          <w:rFonts w:cs="Arial"/>
          <w:color w:val="000000"/>
        </w:rPr>
        <w:t xml:space="preserve"> </w:t>
      </w:r>
      <w:r w:rsidRPr="008F3D6A">
        <w:rPr>
          <w:rFonts w:cs="Arial"/>
          <w:color w:val="000000"/>
        </w:rPr>
        <w:t xml:space="preserve">655; </w:t>
      </w:r>
      <w:r w:rsidRPr="008F3D6A">
        <w:rPr>
          <w:i/>
          <w:iCs/>
        </w:rPr>
        <w:t xml:space="preserve">Rahn c. La Reine, </w:t>
      </w:r>
      <w:r w:rsidRPr="008F3D6A">
        <w:rPr>
          <w:rFonts w:cs="Arial"/>
          <w:color w:val="000000"/>
        </w:rPr>
        <w:t>[1985]</w:t>
      </w:r>
      <w:r w:rsidR="00DF3B04">
        <w:rPr>
          <w:rFonts w:cs="Arial"/>
          <w:color w:val="000000"/>
        </w:rPr>
        <w:t xml:space="preserve"> </w:t>
      </w:r>
      <w:r w:rsidRPr="008F3D6A">
        <w:rPr>
          <w:rFonts w:cs="Arial"/>
          <w:color w:val="000000"/>
        </w:rPr>
        <w:t>1</w:t>
      </w:r>
      <w:r w:rsidR="00DF3B04">
        <w:rPr>
          <w:rFonts w:cs="Arial"/>
          <w:color w:val="000000"/>
        </w:rPr>
        <w:t xml:space="preserve"> </w:t>
      </w:r>
      <w:r w:rsidRPr="008F3D6A">
        <w:rPr>
          <w:rFonts w:cs="Arial"/>
          <w:color w:val="000000"/>
        </w:rPr>
        <w:t>R.C.S.</w:t>
      </w:r>
      <w:r w:rsidR="00DF3B04">
        <w:rPr>
          <w:rFonts w:cs="Arial"/>
          <w:color w:val="000000"/>
        </w:rPr>
        <w:t xml:space="preserve"> </w:t>
      </w:r>
      <w:r w:rsidRPr="008F3D6A">
        <w:rPr>
          <w:rFonts w:cs="Arial"/>
          <w:color w:val="000000"/>
        </w:rPr>
        <w:t>659;</w:t>
      </w:r>
      <w:r w:rsidRPr="008F3D6A">
        <w:t xml:space="preserve"> </w:t>
      </w:r>
      <w:r w:rsidRPr="008F3D6A">
        <w:rPr>
          <w:rFonts w:cs="Arial"/>
          <w:i/>
          <w:iCs/>
          <w:color w:val="000000"/>
        </w:rPr>
        <w:t>Hogan c. La Reine</w:t>
      </w:r>
      <w:r w:rsidRPr="008F3D6A">
        <w:rPr>
          <w:rFonts w:cs="Arial"/>
          <w:color w:val="000000"/>
        </w:rPr>
        <w:t>, [1975]</w:t>
      </w:r>
      <w:r w:rsidR="00E01E6F" w:rsidRPr="008F3D6A">
        <w:rPr>
          <w:rFonts w:cs="Arial"/>
          <w:color w:val="000000"/>
        </w:rPr>
        <w:t> </w:t>
      </w:r>
      <w:r w:rsidRPr="008F3D6A">
        <w:rPr>
          <w:rFonts w:cs="Arial"/>
          <w:color w:val="000000"/>
        </w:rPr>
        <w:t>2</w:t>
      </w:r>
      <w:r w:rsidR="00E01E6F" w:rsidRPr="008F3D6A">
        <w:rPr>
          <w:rFonts w:cs="Arial"/>
          <w:color w:val="000000"/>
        </w:rPr>
        <w:t> </w:t>
      </w:r>
      <w:r w:rsidRPr="008F3D6A">
        <w:rPr>
          <w:rFonts w:cs="Arial"/>
          <w:color w:val="000000"/>
        </w:rPr>
        <w:t>R.C.S.</w:t>
      </w:r>
      <w:r w:rsidR="00E01E6F" w:rsidRPr="008F3D6A">
        <w:rPr>
          <w:rFonts w:cs="Arial"/>
          <w:color w:val="000000"/>
        </w:rPr>
        <w:t> </w:t>
      </w:r>
      <w:r w:rsidRPr="008F3D6A">
        <w:rPr>
          <w:rFonts w:cs="Arial"/>
          <w:color w:val="000000"/>
        </w:rPr>
        <w:t xml:space="preserve">574, </w:t>
      </w:r>
      <w:r w:rsidR="00E01E6F" w:rsidRPr="008F3D6A">
        <w:rPr>
          <w:rFonts w:cs="Arial"/>
          <w:color w:val="000000"/>
        </w:rPr>
        <w:t xml:space="preserve">p. </w:t>
      </w:r>
      <w:r w:rsidRPr="008F3D6A">
        <w:rPr>
          <w:rFonts w:cs="Arial"/>
          <w:color w:val="000000"/>
        </w:rPr>
        <w:t>587</w:t>
      </w:r>
      <w:r w:rsidR="00D60DF0" w:rsidRPr="008F3D6A">
        <w:rPr>
          <w:rFonts w:cs="Arial"/>
          <w:color w:val="000000"/>
        </w:rPr>
        <w:t>.</w:t>
      </w:r>
    </w:p>
  </w:footnote>
  <w:footnote w:id="146">
    <w:p w14:paraId="02757B5C" w14:textId="0F4D52DD" w:rsidR="00211F21" w:rsidRPr="008F3D6A" w:rsidRDefault="00211F21" w:rsidP="00211F21">
      <w:pPr>
        <w:pStyle w:val="Notedebasdepage"/>
      </w:pPr>
      <w:r w:rsidRPr="008F3D6A">
        <w:rPr>
          <w:rStyle w:val="Appelnotedebasdep"/>
        </w:rPr>
        <w:footnoteRef/>
      </w:r>
      <w:r w:rsidRPr="008F3D6A">
        <w:t xml:space="preserve"> </w:t>
      </w:r>
      <w:r w:rsidR="00FF4DA0" w:rsidRPr="008F3D6A">
        <w:tab/>
      </w:r>
      <w:r w:rsidRPr="008F3D6A">
        <w:t xml:space="preserve">Jugement </w:t>
      </w:r>
      <w:r w:rsidR="00DD623B" w:rsidRPr="008F3D6A">
        <w:t xml:space="preserve">de première instance, </w:t>
      </w:r>
      <w:r w:rsidRPr="008F3D6A">
        <w:t>par. 604.</w:t>
      </w:r>
    </w:p>
  </w:footnote>
  <w:footnote w:id="147">
    <w:p w14:paraId="700A2BBF" w14:textId="6F9ADC76" w:rsidR="00211F21" w:rsidRPr="006E0A51" w:rsidRDefault="00211F21" w:rsidP="00211F21">
      <w:pPr>
        <w:pStyle w:val="Notedebasdepage"/>
      </w:pPr>
      <w:r w:rsidRPr="008F3D6A">
        <w:rPr>
          <w:rStyle w:val="Appelnotedebasdep"/>
        </w:rPr>
        <w:footnoteRef/>
      </w:r>
      <w:r w:rsidRPr="008F3D6A">
        <w:t xml:space="preserve"> </w:t>
      </w:r>
      <w:r w:rsidR="00FF4DA0" w:rsidRPr="008F3D6A">
        <w:tab/>
      </w:r>
      <w:r w:rsidRPr="008F3D6A">
        <w:rPr>
          <w:i/>
          <w:iCs/>
        </w:rPr>
        <w:t>Id.</w:t>
      </w:r>
      <w:r w:rsidRPr="008F3D6A">
        <w:t>, par. 605.</w:t>
      </w:r>
    </w:p>
  </w:footnote>
  <w:footnote w:id="148">
    <w:p w14:paraId="14004F0B" w14:textId="23013B40" w:rsidR="00790E46" w:rsidRDefault="00790E46" w:rsidP="00790E46">
      <w:pPr>
        <w:pStyle w:val="Notedebasdepage"/>
      </w:pPr>
      <w:r w:rsidRPr="008F3D6A">
        <w:rPr>
          <w:rStyle w:val="Appelnotedebasdep"/>
        </w:rPr>
        <w:footnoteRef/>
      </w:r>
      <w:r w:rsidRPr="008F3D6A">
        <w:t xml:space="preserve"> </w:t>
      </w:r>
      <w:r w:rsidRPr="008F3D6A">
        <w:tab/>
      </w:r>
      <w:r w:rsidRPr="008F3D6A">
        <w:rPr>
          <w:i/>
          <w:iCs/>
        </w:rPr>
        <w:t>R. c. Husfky</w:t>
      </w:r>
      <w:r w:rsidRPr="008F3D6A">
        <w:t xml:space="preserve">, </w:t>
      </w:r>
      <w:r w:rsidR="007C1A01" w:rsidRPr="008F3D6A">
        <w:t>[1988] 1 R.C.S. 621</w:t>
      </w:r>
      <w:r w:rsidRPr="008F3D6A">
        <w:t xml:space="preserve">, p. 633, cité dans : </w:t>
      </w:r>
      <w:r w:rsidRPr="008F3D6A">
        <w:rPr>
          <w:i/>
          <w:iCs/>
        </w:rPr>
        <w:t>R. c. Ladouceur</w:t>
      </w:r>
      <w:r w:rsidRPr="008F3D6A">
        <w:t xml:space="preserve">, </w:t>
      </w:r>
      <w:r w:rsidR="007C1A01" w:rsidRPr="008F3D6A">
        <w:rPr>
          <w:rFonts w:cs="Arial"/>
        </w:rPr>
        <w:t>[1990] 1 R.C.S. 1257</w:t>
      </w:r>
      <w:r w:rsidRPr="008F3D6A">
        <w:t xml:space="preserve">, p. 1277. Ce principe a été réitéré à plusieurs </w:t>
      </w:r>
      <w:r w:rsidR="000D2D38" w:rsidRPr="008F3D6A">
        <w:t>reprises</w:t>
      </w:r>
      <w:r w:rsidRPr="008F3D6A">
        <w:t xml:space="preserve">. Voir par exemple : </w:t>
      </w:r>
      <w:r w:rsidR="007C1A01" w:rsidRPr="008F3D6A">
        <w:rPr>
          <w:i/>
          <w:iCs/>
        </w:rPr>
        <w:t>R. c. Morales</w:t>
      </w:r>
      <w:r w:rsidR="007C1A01" w:rsidRPr="008F3D6A">
        <w:t xml:space="preserve">, [1992] 3 R.C.S. 711, p. 740; </w:t>
      </w:r>
      <w:r w:rsidRPr="008F3D6A">
        <w:rPr>
          <w:i/>
          <w:iCs/>
        </w:rPr>
        <w:t>R. c. Pearson</w:t>
      </w:r>
      <w:r w:rsidRPr="008F3D6A">
        <w:t xml:space="preserve">, </w:t>
      </w:r>
      <w:r w:rsidR="007C1A01" w:rsidRPr="008F3D6A">
        <w:t>[1992]</w:t>
      </w:r>
      <w:r w:rsidR="00E03AE0">
        <w:t xml:space="preserve"> </w:t>
      </w:r>
      <w:r w:rsidR="007C1A01" w:rsidRPr="008F3D6A">
        <w:t>3</w:t>
      </w:r>
      <w:r w:rsidR="00E03AE0">
        <w:t xml:space="preserve"> </w:t>
      </w:r>
      <w:r w:rsidR="007C1A01" w:rsidRPr="008F3D6A">
        <w:t>R.C.S.</w:t>
      </w:r>
      <w:r w:rsidR="00E03AE0">
        <w:t xml:space="preserve"> </w:t>
      </w:r>
      <w:r w:rsidR="007C1A01" w:rsidRPr="008F3D6A">
        <w:t>665</w:t>
      </w:r>
      <w:r w:rsidRPr="008F3D6A">
        <w:t>, p.</w:t>
      </w:r>
      <w:r w:rsidR="00E03AE0">
        <w:t xml:space="preserve"> </w:t>
      </w:r>
      <w:r w:rsidRPr="008F3D6A">
        <w:t xml:space="preserve">700; </w:t>
      </w:r>
      <w:r w:rsidRPr="008F3D6A">
        <w:rPr>
          <w:i/>
          <w:iCs/>
        </w:rPr>
        <w:t>LSJPA – 1530</w:t>
      </w:r>
      <w:r w:rsidRPr="008F3D6A">
        <w:t xml:space="preserve">, </w:t>
      </w:r>
      <w:r w:rsidR="007C1A01" w:rsidRPr="008F3D6A">
        <w:t>2015</w:t>
      </w:r>
      <w:r w:rsidR="00E03AE0">
        <w:t xml:space="preserve"> </w:t>
      </w:r>
      <w:r w:rsidR="007C1A01" w:rsidRPr="008F3D6A">
        <w:t>QCCA</w:t>
      </w:r>
      <w:r w:rsidR="00E03AE0">
        <w:t xml:space="preserve"> </w:t>
      </w:r>
      <w:r w:rsidR="007C1A01" w:rsidRPr="008F3D6A">
        <w:t>1315</w:t>
      </w:r>
      <w:r w:rsidRPr="008F3D6A">
        <w:t xml:space="preserve">, par. 19; </w:t>
      </w:r>
      <w:r w:rsidRPr="008F3D6A">
        <w:rPr>
          <w:i/>
          <w:iCs/>
        </w:rPr>
        <w:t>R.</w:t>
      </w:r>
      <w:r w:rsidR="00E03AE0">
        <w:rPr>
          <w:i/>
          <w:iCs/>
        </w:rPr>
        <w:t> </w:t>
      </w:r>
      <w:r w:rsidRPr="008F3D6A">
        <w:rPr>
          <w:i/>
          <w:iCs/>
        </w:rPr>
        <w:t>v.</w:t>
      </w:r>
      <w:r w:rsidR="00E03AE0">
        <w:rPr>
          <w:i/>
          <w:iCs/>
        </w:rPr>
        <w:t> </w:t>
      </w:r>
      <w:r w:rsidRPr="008F3D6A">
        <w:rPr>
          <w:i/>
          <w:iCs/>
        </w:rPr>
        <w:t>Donnelly</w:t>
      </w:r>
      <w:r w:rsidRPr="008F3D6A">
        <w:t xml:space="preserve">, </w:t>
      </w:r>
      <w:r w:rsidR="007C1A01" w:rsidRPr="008F3D6A">
        <w:t>2016</w:t>
      </w:r>
      <w:r w:rsidR="00E03AE0">
        <w:t xml:space="preserve"> </w:t>
      </w:r>
      <w:r w:rsidR="007C1A01" w:rsidRPr="008F3D6A">
        <w:t>ONCA</w:t>
      </w:r>
      <w:r w:rsidR="00E03AE0">
        <w:t xml:space="preserve"> </w:t>
      </w:r>
      <w:r w:rsidR="007C1A01" w:rsidRPr="008F3D6A">
        <w:t>988</w:t>
      </w:r>
      <w:r w:rsidRPr="008F3D6A">
        <w:t>, par. 70.</w:t>
      </w:r>
    </w:p>
  </w:footnote>
  <w:footnote w:id="149">
    <w:p w14:paraId="4067DECB" w14:textId="1AA63C3F" w:rsidR="008F3D6A" w:rsidRPr="00A4784E" w:rsidRDefault="008F3D6A">
      <w:pPr>
        <w:pStyle w:val="Notedebasdepage"/>
        <w:rPr>
          <w:lang w:val="en-CA"/>
        </w:rPr>
      </w:pPr>
      <w:r w:rsidRPr="008F3D6A">
        <w:rPr>
          <w:rStyle w:val="Appelnotedebasdep"/>
        </w:rPr>
        <w:footnoteRef/>
      </w:r>
      <w:r w:rsidRPr="00A4784E">
        <w:rPr>
          <w:lang w:val="en-CA"/>
        </w:rPr>
        <w:t xml:space="preserve"> </w:t>
      </w:r>
      <w:r w:rsidRPr="008F3D6A">
        <w:rPr>
          <w:lang w:val="en-CA"/>
        </w:rPr>
        <w:tab/>
      </w:r>
      <w:r w:rsidRPr="008F3D6A">
        <w:rPr>
          <w:i/>
          <w:iCs/>
          <w:lang w:val="en-CA"/>
        </w:rPr>
        <w:t>R. c. Oakes</w:t>
      </w:r>
      <w:r w:rsidRPr="008F3D6A">
        <w:rPr>
          <w:lang w:val="en-CA"/>
        </w:rPr>
        <w:t xml:space="preserve">, [1986] 1 R.C.S.103 </w:t>
      </w:r>
      <w:r w:rsidR="00CE1945">
        <w:rPr>
          <w:lang w:val="en-CA"/>
        </w:rPr>
        <w:t>(</w:t>
      </w:r>
      <w:r w:rsidRPr="008F3D6A">
        <w:rPr>
          <w:i/>
          <w:iCs/>
          <w:lang w:val="en-CA"/>
        </w:rPr>
        <w:t>Oakes</w:t>
      </w:r>
      <w:r w:rsidR="00CE1945">
        <w:rPr>
          <w:lang w:val="en-CA"/>
        </w:rPr>
        <w:t>)</w:t>
      </w:r>
      <w:r w:rsidRPr="008F3D6A">
        <w:rPr>
          <w:lang w:val="en-CA"/>
        </w:rPr>
        <w:t>.</w:t>
      </w:r>
    </w:p>
  </w:footnote>
  <w:footnote w:id="150">
    <w:p w14:paraId="51C18F88" w14:textId="1EEC1005" w:rsidR="00FA561A" w:rsidRPr="00A4784E" w:rsidRDefault="00FA561A" w:rsidP="00FA561A">
      <w:pPr>
        <w:pStyle w:val="Notedebasdepage"/>
        <w:rPr>
          <w:lang w:val="en-CA"/>
        </w:rPr>
      </w:pPr>
      <w:r w:rsidRPr="008F3D6A">
        <w:rPr>
          <w:rStyle w:val="Appelnotedebasdep"/>
        </w:rPr>
        <w:footnoteRef/>
      </w:r>
      <w:r w:rsidRPr="00A4784E">
        <w:rPr>
          <w:lang w:val="en-CA"/>
        </w:rPr>
        <w:t xml:space="preserve"> </w:t>
      </w:r>
      <w:r w:rsidRPr="00A4784E">
        <w:rPr>
          <w:lang w:val="en-CA"/>
        </w:rPr>
        <w:tab/>
      </w:r>
      <w:r w:rsidRPr="00A4784E">
        <w:rPr>
          <w:i/>
          <w:iCs/>
          <w:lang w:val="en-CA"/>
        </w:rPr>
        <w:t>R. c. Ndhlovu</w:t>
      </w:r>
      <w:r w:rsidRPr="00A4784E">
        <w:rPr>
          <w:lang w:val="en-CA"/>
        </w:rPr>
        <w:t xml:space="preserve">, 2022 CSC 38 </w:t>
      </w:r>
      <w:r w:rsidR="00CE1945">
        <w:rPr>
          <w:lang w:val="en-CA"/>
        </w:rPr>
        <w:t>(</w:t>
      </w:r>
      <w:r w:rsidRPr="00A4784E">
        <w:rPr>
          <w:i/>
          <w:iCs/>
          <w:lang w:val="en-CA"/>
        </w:rPr>
        <w:t>Ndhlovu</w:t>
      </w:r>
      <w:r w:rsidR="00CE1945">
        <w:rPr>
          <w:lang w:val="en-CA"/>
        </w:rPr>
        <w:t>)</w:t>
      </w:r>
      <w:r w:rsidRPr="00A4784E">
        <w:rPr>
          <w:lang w:val="en-CA"/>
        </w:rPr>
        <w:t>.</w:t>
      </w:r>
    </w:p>
  </w:footnote>
  <w:footnote w:id="151">
    <w:p w14:paraId="63D80A56" w14:textId="0AB4AAC6" w:rsidR="005A2944" w:rsidRPr="008F3D6A" w:rsidRDefault="005A2944">
      <w:pPr>
        <w:pStyle w:val="Notedebasdepage"/>
      </w:pPr>
      <w:r w:rsidRPr="008F3D6A">
        <w:rPr>
          <w:rStyle w:val="Appelnotedebasdep"/>
        </w:rPr>
        <w:footnoteRef/>
      </w:r>
      <w:r w:rsidRPr="008F3D6A">
        <w:t xml:space="preserve"> </w:t>
      </w:r>
      <w:r w:rsidRPr="008F3D6A">
        <w:tab/>
      </w:r>
      <w:r w:rsidR="001834B3" w:rsidRPr="008F3D6A">
        <w:t>Jugement de première instance, par.</w:t>
      </w:r>
      <w:r w:rsidR="00DF3B04">
        <w:t xml:space="preserve"> </w:t>
      </w:r>
      <w:r w:rsidR="001834B3" w:rsidRPr="008F3D6A">
        <w:t>692.</w:t>
      </w:r>
    </w:p>
  </w:footnote>
  <w:footnote w:id="152">
    <w:p w14:paraId="4592997D" w14:textId="6310434A" w:rsidR="0040523D" w:rsidRDefault="0040523D">
      <w:pPr>
        <w:pStyle w:val="Notedebasdepage"/>
      </w:pPr>
      <w:r w:rsidRPr="008F3D6A">
        <w:rPr>
          <w:rStyle w:val="Appelnotedebasdep"/>
        </w:rPr>
        <w:footnoteRef/>
      </w:r>
      <w:r w:rsidRPr="008F3D6A">
        <w:t xml:space="preserve"> </w:t>
      </w:r>
      <w:r w:rsidRPr="008F3D6A">
        <w:tab/>
      </w:r>
      <w:r w:rsidR="00C553E3" w:rsidRPr="008F3D6A">
        <w:rPr>
          <w:i/>
          <w:iCs/>
        </w:rPr>
        <w:t>Id</w:t>
      </w:r>
      <w:r w:rsidR="00C553E3" w:rsidRPr="008F3D6A">
        <w:t>.</w:t>
      </w:r>
      <w:r w:rsidRPr="008F3D6A">
        <w:t>, par.</w:t>
      </w:r>
      <w:r w:rsidR="00DF3B04">
        <w:t xml:space="preserve"> </w:t>
      </w:r>
      <w:r w:rsidRPr="008F3D6A">
        <w:t>693.</w:t>
      </w:r>
    </w:p>
  </w:footnote>
  <w:footnote w:id="153">
    <w:p w14:paraId="2B0267EC" w14:textId="46D5F475" w:rsidR="003E587D" w:rsidRPr="008F3D6A" w:rsidRDefault="003E587D">
      <w:pPr>
        <w:pStyle w:val="Notedebasdepage"/>
      </w:pPr>
      <w:r w:rsidRPr="008F3D6A">
        <w:rPr>
          <w:rStyle w:val="Appelnotedebasdep"/>
        </w:rPr>
        <w:footnoteRef/>
      </w:r>
      <w:r w:rsidRPr="008F3D6A">
        <w:t xml:space="preserve"> </w:t>
      </w:r>
      <w:r w:rsidRPr="008F3D6A">
        <w:tab/>
      </w:r>
      <w:r w:rsidR="007137B3" w:rsidRPr="008F3D6A">
        <w:rPr>
          <w:i/>
          <w:iCs/>
        </w:rPr>
        <w:t>Frank c. Canada (Procureur général)</w:t>
      </w:r>
      <w:r w:rsidR="007137B3" w:rsidRPr="008F3D6A">
        <w:t>, 2019 CSC 1, par.</w:t>
      </w:r>
      <w:r w:rsidR="00DF3B04">
        <w:t xml:space="preserve"> </w:t>
      </w:r>
      <w:r w:rsidR="007137B3" w:rsidRPr="008F3D6A">
        <w:t>46.</w:t>
      </w:r>
    </w:p>
  </w:footnote>
  <w:footnote w:id="154">
    <w:p w14:paraId="2E643E37" w14:textId="15B3B373" w:rsidR="003E587D" w:rsidRPr="008F3D6A" w:rsidRDefault="003E587D">
      <w:pPr>
        <w:pStyle w:val="Notedebasdepage"/>
      </w:pPr>
      <w:r w:rsidRPr="008F3D6A">
        <w:rPr>
          <w:rStyle w:val="Appelnotedebasdep"/>
        </w:rPr>
        <w:footnoteRef/>
      </w:r>
      <w:r w:rsidRPr="008F3D6A">
        <w:t xml:space="preserve"> </w:t>
      </w:r>
      <w:r w:rsidRPr="008F3D6A">
        <w:tab/>
      </w:r>
      <w:r w:rsidR="007137B3" w:rsidRPr="008F3D6A">
        <w:rPr>
          <w:i/>
          <w:iCs/>
        </w:rPr>
        <w:t>La Presse inc. c. Québec</w:t>
      </w:r>
      <w:r w:rsidR="007137B3" w:rsidRPr="008F3D6A">
        <w:t>, 2023 CSC 22, par.</w:t>
      </w:r>
      <w:r w:rsidR="00DF3B04">
        <w:t xml:space="preserve"> </w:t>
      </w:r>
      <w:r w:rsidR="007137B3" w:rsidRPr="008F3D6A">
        <w:t>50.</w:t>
      </w:r>
    </w:p>
  </w:footnote>
  <w:footnote w:id="155">
    <w:p w14:paraId="0DB50FD1" w14:textId="1A02BC93" w:rsidR="003E587D" w:rsidRPr="008F3D6A" w:rsidRDefault="003E587D">
      <w:pPr>
        <w:pStyle w:val="Notedebasdepage"/>
      </w:pPr>
      <w:r w:rsidRPr="008F3D6A">
        <w:rPr>
          <w:rStyle w:val="Appelnotedebasdep"/>
        </w:rPr>
        <w:footnoteRef/>
      </w:r>
      <w:r w:rsidRPr="008F3D6A">
        <w:t xml:space="preserve"> </w:t>
      </w:r>
      <w:r w:rsidRPr="008F3D6A">
        <w:tab/>
      </w:r>
      <w:r w:rsidR="007137B3" w:rsidRPr="008F3D6A">
        <w:rPr>
          <w:i/>
          <w:iCs/>
        </w:rPr>
        <w:t>Loi modifiant le Code de la sécurité routière et d’autres dispositions législatives</w:t>
      </w:r>
      <w:r w:rsidR="007137B3" w:rsidRPr="008F3D6A">
        <w:t>, L.</w:t>
      </w:r>
      <w:r w:rsidR="0097752A" w:rsidRPr="008F3D6A">
        <w:t>Q. </w:t>
      </w:r>
      <w:r w:rsidR="007137B3" w:rsidRPr="008F3D6A">
        <w:t>1990, c. 83, art. 236.</w:t>
      </w:r>
    </w:p>
  </w:footnote>
  <w:footnote w:id="156">
    <w:p w14:paraId="2B1512D7" w14:textId="31086ABB" w:rsidR="00211F21" w:rsidRDefault="00211F21" w:rsidP="00211F21">
      <w:pPr>
        <w:pStyle w:val="Notedebasdepage"/>
      </w:pPr>
      <w:r w:rsidRPr="008F3D6A">
        <w:rPr>
          <w:rStyle w:val="Appelnotedebasdep"/>
        </w:rPr>
        <w:footnoteRef/>
      </w:r>
      <w:r w:rsidRPr="008F3D6A">
        <w:t xml:space="preserve"> </w:t>
      </w:r>
      <w:r w:rsidR="00FF4DA0" w:rsidRPr="008F3D6A">
        <w:tab/>
      </w:r>
      <w:r w:rsidRPr="008F3D6A">
        <w:t xml:space="preserve">Assemblée nationale, Commission </w:t>
      </w:r>
      <w:r w:rsidR="0097752A" w:rsidRPr="008F3D6A">
        <w:t xml:space="preserve">permanente </w:t>
      </w:r>
      <w:r w:rsidRPr="008F3D6A">
        <w:t xml:space="preserve">de l’aménagement et des équipements, </w:t>
      </w:r>
      <w:r w:rsidRPr="008F3D6A">
        <w:rPr>
          <w:i/>
          <w:iCs/>
        </w:rPr>
        <w:t xml:space="preserve">Journal des débats, </w:t>
      </w:r>
      <w:r w:rsidRPr="008F3D6A">
        <w:t>34</w:t>
      </w:r>
      <w:r w:rsidRPr="008F3D6A">
        <w:rPr>
          <w:vertAlign w:val="superscript"/>
        </w:rPr>
        <w:t>e</w:t>
      </w:r>
      <w:r w:rsidRPr="008F3D6A">
        <w:t xml:space="preserve"> lég., 1</w:t>
      </w:r>
      <w:r w:rsidRPr="008F3D6A">
        <w:rPr>
          <w:vertAlign w:val="superscript"/>
        </w:rPr>
        <w:t>re</w:t>
      </w:r>
      <w:r w:rsidRPr="008F3D6A">
        <w:t xml:space="preserve"> sess., n</w:t>
      </w:r>
      <w:r w:rsidRPr="008F3D6A">
        <w:rPr>
          <w:vertAlign w:val="superscript"/>
        </w:rPr>
        <w:t>o</w:t>
      </w:r>
      <w:r w:rsidR="003C65DB" w:rsidRPr="008F3D6A">
        <w:rPr>
          <w:vertAlign w:val="superscript"/>
        </w:rPr>
        <w:t> </w:t>
      </w:r>
      <w:r w:rsidRPr="008F3D6A">
        <w:t>65, 18</w:t>
      </w:r>
      <w:r w:rsidR="00DF3B04">
        <w:t xml:space="preserve"> </w:t>
      </w:r>
      <w:r w:rsidRPr="008F3D6A">
        <w:t>décembre</w:t>
      </w:r>
      <w:r w:rsidR="00DF3B04">
        <w:t xml:space="preserve"> </w:t>
      </w:r>
      <w:r w:rsidRPr="008F3D6A">
        <w:t>1990, p.</w:t>
      </w:r>
      <w:r w:rsidR="00DF3B04">
        <w:t xml:space="preserve"> </w:t>
      </w:r>
      <w:r w:rsidRPr="008F3D6A">
        <w:t>3730-3731.</w:t>
      </w:r>
    </w:p>
  </w:footnote>
  <w:footnote w:id="157">
    <w:p w14:paraId="78C0ABEE" w14:textId="3D89BF18" w:rsidR="00211F21" w:rsidRPr="008F3D6A" w:rsidRDefault="00211F21" w:rsidP="00211F21">
      <w:pPr>
        <w:pStyle w:val="Notedebasdepage"/>
      </w:pPr>
      <w:r w:rsidRPr="008F3D6A">
        <w:rPr>
          <w:rStyle w:val="Appelnotedebasdep"/>
        </w:rPr>
        <w:footnoteRef/>
      </w:r>
      <w:r w:rsidRPr="008F3D6A">
        <w:t xml:space="preserve"> </w:t>
      </w:r>
      <w:r w:rsidR="00FF4DA0" w:rsidRPr="008F3D6A">
        <w:tab/>
      </w:r>
      <w:r w:rsidRPr="008F3D6A">
        <w:t xml:space="preserve">Pièce PGQ-16, Portrait alcool au volant SAAQ, 26 avril 2022, </w:t>
      </w:r>
      <w:r w:rsidR="00EE6683" w:rsidRPr="008F3D6A">
        <w:t>p. 2</w:t>
      </w:r>
      <w:r w:rsidRPr="008F3D6A">
        <w:t>.</w:t>
      </w:r>
    </w:p>
  </w:footnote>
  <w:footnote w:id="158">
    <w:p w14:paraId="1290BA28" w14:textId="5815CB20" w:rsidR="00211F21" w:rsidRPr="008F3D6A" w:rsidRDefault="00211F21" w:rsidP="00E01E6F">
      <w:pPr>
        <w:pStyle w:val="Notedebasdepage"/>
        <w:ind w:left="357" w:hanging="357"/>
        <w:rPr>
          <w:lang w:val="en-CA"/>
        </w:rPr>
      </w:pPr>
      <w:r w:rsidRPr="008F3D6A">
        <w:rPr>
          <w:rStyle w:val="Appelnotedebasdep"/>
        </w:rPr>
        <w:footnoteRef/>
      </w:r>
      <w:r w:rsidRPr="008F3D6A">
        <w:rPr>
          <w:lang w:val="en-CA"/>
        </w:rPr>
        <w:t xml:space="preserve"> </w:t>
      </w:r>
      <w:r w:rsidR="00FF4DA0" w:rsidRPr="008F3D6A">
        <w:rPr>
          <w:lang w:val="en-CA"/>
        </w:rPr>
        <w:tab/>
      </w:r>
      <w:r w:rsidRPr="008F3D6A">
        <w:rPr>
          <w:i/>
          <w:iCs/>
          <w:lang w:val="en-CA"/>
        </w:rPr>
        <w:t>Alberta c. Hutterian Brethren of Wilson Colony</w:t>
      </w:r>
      <w:r w:rsidRPr="008F3D6A">
        <w:rPr>
          <w:lang w:val="en-CA"/>
        </w:rPr>
        <w:t xml:space="preserve">, 2009 CSC 37, par. 45-47; </w:t>
      </w:r>
      <w:r w:rsidRPr="008F3D6A">
        <w:rPr>
          <w:i/>
          <w:iCs/>
          <w:lang w:val="en-CA"/>
        </w:rPr>
        <w:t>R. c. Hufsky</w:t>
      </w:r>
      <w:r w:rsidRPr="008F3D6A">
        <w:rPr>
          <w:lang w:val="en-CA"/>
        </w:rPr>
        <w:t>, [1988]</w:t>
      </w:r>
      <w:r w:rsidR="00E01E6F" w:rsidRPr="008F3D6A">
        <w:rPr>
          <w:lang w:val="en-CA"/>
        </w:rPr>
        <w:t> </w:t>
      </w:r>
      <w:r w:rsidRPr="008F3D6A">
        <w:rPr>
          <w:lang w:val="en-CA"/>
        </w:rPr>
        <w:t>1</w:t>
      </w:r>
      <w:r w:rsidR="00E01E6F" w:rsidRPr="008F3D6A">
        <w:rPr>
          <w:lang w:val="en-CA"/>
        </w:rPr>
        <w:t> </w:t>
      </w:r>
      <w:r w:rsidRPr="008F3D6A">
        <w:rPr>
          <w:lang w:val="en-CA"/>
        </w:rPr>
        <w:t>R.C.S.</w:t>
      </w:r>
      <w:r w:rsidR="00E01E6F" w:rsidRPr="008F3D6A">
        <w:rPr>
          <w:lang w:val="en-CA"/>
        </w:rPr>
        <w:t> </w:t>
      </w:r>
      <w:r w:rsidRPr="008F3D6A">
        <w:rPr>
          <w:lang w:val="en-CA"/>
        </w:rPr>
        <w:t>621, p</w:t>
      </w:r>
      <w:r w:rsidR="00260F69" w:rsidRPr="008F3D6A">
        <w:rPr>
          <w:lang w:val="en-CA"/>
        </w:rPr>
        <w:t>. 636</w:t>
      </w:r>
      <w:r w:rsidRPr="008F3D6A">
        <w:rPr>
          <w:lang w:val="en-CA"/>
        </w:rPr>
        <w:t>.</w:t>
      </w:r>
    </w:p>
  </w:footnote>
  <w:footnote w:id="159">
    <w:p w14:paraId="55424B33" w14:textId="289D3670" w:rsidR="00211F21" w:rsidRPr="008F3D6A" w:rsidRDefault="00211F21" w:rsidP="00E01E6F">
      <w:pPr>
        <w:pStyle w:val="Notedebasdepage"/>
        <w:ind w:left="357" w:hanging="357"/>
        <w:rPr>
          <w:lang w:val="en-CA"/>
        </w:rPr>
      </w:pPr>
      <w:r w:rsidRPr="008F3D6A">
        <w:rPr>
          <w:rStyle w:val="Appelnotedebasdep"/>
        </w:rPr>
        <w:footnoteRef/>
      </w:r>
      <w:r w:rsidRPr="008F3D6A">
        <w:rPr>
          <w:lang w:val="en-CA"/>
        </w:rPr>
        <w:t xml:space="preserve"> </w:t>
      </w:r>
      <w:r w:rsidR="00FF4DA0" w:rsidRPr="008F3D6A">
        <w:rPr>
          <w:lang w:val="en-CA"/>
        </w:rPr>
        <w:tab/>
      </w:r>
      <w:r w:rsidR="00EE6683" w:rsidRPr="008F3D6A">
        <w:rPr>
          <w:i/>
          <w:iCs/>
          <w:lang w:val="en-CA"/>
        </w:rPr>
        <w:t>Goodwin c. Colombie-Britannique (Superintendent of Motor Vehicles)</w:t>
      </w:r>
      <w:r w:rsidR="00EE6683" w:rsidRPr="008F3D6A">
        <w:rPr>
          <w:lang w:val="en-CA"/>
        </w:rPr>
        <w:t xml:space="preserve">, 2015 CSC 46, par. 80; </w:t>
      </w:r>
      <w:r w:rsidRPr="008F3D6A">
        <w:rPr>
          <w:i/>
          <w:iCs/>
          <w:lang w:val="en-CA"/>
        </w:rPr>
        <w:t>R.</w:t>
      </w:r>
      <w:r w:rsidR="00CB65D8">
        <w:rPr>
          <w:i/>
          <w:iCs/>
          <w:lang w:val="en-CA"/>
        </w:rPr>
        <w:t> </w:t>
      </w:r>
      <w:r w:rsidRPr="008F3D6A">
        <w:rPr>
          <w:i/>
          <w:iCs/>
          <w:lang w:val="en-CA"/>
        </w:rPr>
        <w:t>c.</w:t>
      </w:r>
      <w:r w:rsidR="00CB65D8">
        <w:rPr>
          <w:i/>
          <w:iCs/>
          <w:lang w:val="en-CA"/>
        </w:rPr>
        <w:t> </w:t>
      </w:r>
      <w:r w:rsidRPr="008F3D6A">
        <w:rPr>
          <w:i/>
          <w:iCs/>
          <w:lang w:val="en-CA"/>
        </w:rPr>
        <w:t>Orbanski; R. c. Elias</w:t>
      </w:r>
      <w:r w:rsidRPr="008F3D6A">
        <w:rPr>
          <w:lang w:val="en-CA"/>
        </w:rPr>
        <w:t>, 2005 CSC 37, par. 55.</w:t>
      </w:r>
    </w:p>
  </w:footnote>
  <w:footnote w:id="160">
    <w:p w14:paraId="6B4BC5FB" w14:textId="0E37514D" w:rsidR="00211F21" w:rsidRPr="008F3D6A" w:rsidRDefault="00211F21" w:rsidP="00E01E6F">
      <w:pPr>
        <w:pStyle w:val="Notedebasdepage"/>
        <w:ind w:left="357" w:hanging="357"/>
        <w:rPr>
          <w:lang w:val="en-CA"/>
        </w:rPr>
      </w:pPr>
      <w:r w:rsidRPr="008F3D6A">
        <w:rPr>
          <w:rStyle w:val="Appelnotedebasdep"/>
        </w:rPr>
        <w:footnoteRef/>
      </w:r>
      <w:r w:rsidRPr="008F3D6A">
        <w:rPr>
          <w:lang w:val="en-CA"/>
        </w:rPr>
        <w:t xml:space="preserve"> </w:t>
      </w:r>
      <w:r w:rsidR="00FF4DA0" w:rsidRPr="008F3D6A">
        <w:rPr>
          <w:lang w:val="en-CA"/>
        </w:rPr>
        <w:tab/>
      </w:r>
      <w:r w:rsidRPr="008F3D6A">
        <w:rPr>
          <w:i/>
          <w:iCs/>
          <w:lang w:val="en-CA"/>
        </w:rPr>
        <w:t>Alberta c. Hutterian Brethren of Wilson Colony</w:t>
      </w:r>
      <w:r w:rsidRPr="008F3D6A">
        <w:rPr>
          <w:lang w:val="en-CA"/>
        </w:rPr>
        <w:t>, 2009 CSC 37, par. 45-47.</w:t>
      </w:r>
    </w:p>
  </w:footnote>
  <w:footnote w:id="161">
    <w:p w14:paraId="54F721F2" w14:textId="2ECB3CAD" w:rsidR="00211F21" w:rsidRPr="008F3D6A" w:rsidRDefault="00211F21" w:rsidP="00211F21">
      <w:pPr>
        <w:pStyle w:val="Notedebasdepage"/>
      </w:pPr>
      <w:r w:rsidRPr="008F3D6A">
        <w:rPr>
          <w:rStyle w:val="Appelnotedebasdep"/>
        </w:rPr>
        <w:footnoteRef/>
      </w:r>
      <w:r w:rsidRPr="008F3D6A">
        <w:t xml:space="preserve"> </w:t>
      </w:r>
      <w:r w:rsidR="00FF4DA0" w:rsidRPr="008F3D6A">
        <w:tab/>
      </w:r>
      <w:r w:rsidRPr="008F3D6A">
        <w:rPr>
          <w:i/>
          <w:iCs/>
        </w:rPr>
        <w:t>R. c. Ladouceur</w:t>
      </w:r>
      <w:r w:rsidRPr="008F3D6A">
        <w:t xml:space="preserve">, [1990] 1 R.C.S. 1257, p. 1280. </w:t>
      </w:r>
    </w:p>
  </w:footnote>
  <w:footnote w:id="162">
    <w:p w14:paraId="27DE332E" w14:textId="0BDFCF1E" w:rsidR="00211F21" w:rsidRPr="008F3D6A" w:rsidRDefault="00211F21" w:rsidP="00211F21">
      <w:pPr>
        <w:pStyle w:val="Notedebasdepage"/>
      </w:pPr>
      <w:r w:rsidRPr="008F3D6A">
        <w:rPr>
          <w:rStyle w:val="Appelnotedebasdep"/>
        </w:rPr>
        <w:footnoteRef/>
      </w:r>
      <w:r w:rsidRPr="008F3D6A">
        <w:t xml:space="preserve"> </w:t>
      </w:r>
      <w:r w:rsidR="00FF4DA0" w:rsidRPr="008F3D6A">
        <w:tab/>
      </w:r>
      <w:r w:rsidRPr="008F3D6A">
        <w:rPr>
          <w:i/>
          <w:iCs/>
        </w:rPr>
        <w:t>Canada (Procureur général) c. Bedford</w:t>
      </w:r>
      <w:r w:rsidRPr="008F3D6A">
        <w:t>, 2013 CSC 72, par. 126</w:t>
      </w:r>
      <w:r w:rsidR="00260F69" w:rsidRPr="008F3D6A">
        <w:t>.</w:t>
      </w:r>
    </w:p>
  </w:footnote>
  <w:footnote w:id="163">
    <w:p w14:paraId="125E45A1" w14:textId="5B398F37" w:rsidR="00211F21" w:rsidRDefault="00211F21" w:rsidP="00211F21">
      <w:pPr>
        <w:pStyle w:val="Notedebasdepage"/>
      </w:pPr>
      <w:r w:rsidRPr="008F3D6A">
        <w:rPr>
          <w:rStyle w:val="Appelnotedebasdep"/>
        </w:rPr>
        <w:footnoteRef/>
      </w:r>
      <w:r w:rsidRPr="008F3D6A">
        <w:t xml:space="preserve"> </w:t>
      </w:r>
      <w:r w:rsidR="00FF4DA0" w:rsidRPr="008F3D6A">
        <w:tab/>
      </w:r>
      <w:r w:rsidRPr="008F3D6A">
        <w:rPr>
          <w:i/>
          <w:iCs/>
        </w:rPr>
        <w:t>R. c. Ndhlovu</w:t>
      </w:r>
      <w:r w:rsidRPr="008F3D6A">
        <w:t xml:space="preserve">, 2022 CSC 38, par. 121 </w:t>
      </w:r>
      <w:r w:rsidR="00E01E6F" w:rsidRPr="008F3D6A">
        <w:t>[</w:t>
      </w:r>
      <w:r w:rsidRPr="008F3D6A">
        <w:t>italiques dans l’original</w:t>
      </w:r>
      <w:r w:rsidR="00E01E6F" w:rsidRPr="008F3D6A">
        <w:t>]</w:t>
      </w:r>
      <w:r w:rsidRPr="008F3D6A">
        <w:t>.</w:t>
      </w:r>
      <w:r>
        <w:t xml:space="preserve"> </w:t>
      </w:r>
    </w:p>
  </w:footnote>
  <w:footnote w:id="164">
    <w:p w14:paraId="45A1E3C4" w14:textId="316CCC2E" w:rsidR="00211F21" w:rsidRPr="008F3D6A" w:rsidRDefault="00211F21" w:rsidP="00211F21">
      <w:pPr>
        <w:pStyle w:val="Notedebasdepage"/>
      </w:pPr>
      <w:r w:rsidRPr="008F3D6A">
        <w:rPr>
          <w:rStyle w:val="Appelnotedebasdep"/>
        </w:rPr>
        <w:footnoteRef/>
      </w:r>
      <w:r w:rsidRPr="008F3D6A">
        <w:t xml:space="preserve"> </w:t>
      </w:r>
      <w:r w:rsidR="00FF4DA0" w:rsidRPr="008F3D6A">
        <w:tab/>
      </w:r>
      <w:r w:rsidRPr="008F3D6A">
        <w:rPr>
          <w:i/>
          <w:iCs/>
        </w:rPr>
        <w:t>Lavoie c. Canada</w:t>
      </w:r>
      <w:r w:rsidRPr="008F3D6A">
        <w:t>, 2002 CSC 23, par. 59.</w:t>
      </w:r>
    </w:p>
  </w:footnote>
  <w:footnote w:id="165">
    <w:p w14:paraId="4E478495" w14:textId="51238774" w:rsidR="00E31069" w:rsidRPr="008F3D6A" w:rsidRDefault="00E31069" w:rsidP="00E31069">
      <w:pPr>
        <w:pStyle w:val="Notedebasdepage"/>
      </w:pPr>
      <w:r w:rsidRPr="008F3D6A">
        <w:rPr>
          <w:rStyle w:val="Appelnotedebasdep"/>
        </w:rPr>
        <w:footnoteRef/>
      </w:r>
      <w:r w:rsidRPr="008F3D6A">
        <w:t xml:space="preserve"> </w:t>
      </w:r>
      <w:r w:rsidRPr="008F3D6A">
        <w:tab/>
      </w:r>
      <w:r w:rsidRPr="008F3D6A">
        <w:rPr>
          <w:i/>
          <w:iCs/>
        </w:rPr>
        <w:t>RJR</w:t>
      </w:r>
      <w:r w:rsidRPr="008F3D6A">
        <w:rPr>
          <w:i/>
          <w:iCs/>
        </w:rPr>
        <w:noBreakHyphen/>
        <w:t>MacDonald</w:t>
      </w:r>
      <w:r w:rsidR="00CB65D8">
        <w:rPr>
          <w:i/>
          <w:iCs/>
        </w:rPr>
        <w:t xml:space="preserve"> </w:t>
      </w:r>
      <w:r w:rsidRPr="008F3D6A">
        <w:rPr>
          <w:i/>
          <w:iCs/>
        </w:rPr>
        <w:t>Inc.</w:t>
      </w:r>
      <w:r w:rsidR="00CB65D8">
        <w:rPr>
          <w:i/>
          <w:iCs/>
        </w:rPr>
        <w:t xml:space="preserve"> </w:t>
      </w:r>
      <w:r w:rsidRPr="008F3D6A">
        <w:rPr>
          <w:i/>
          <w:iCs/>
        </w:rPr>
        <w:t>c.</w:t>
      </w:r>
      <w:r w:rsidR="00CB65D8">
        <w:rPr>
          <w:i/>
          <w:iCs/>
        </w:rPr>
        <w:t xml:space="preserve"> </w:t>
      </w:r>
      <w:r w:rsidRPr="008F3D6A">
        <w:rPr>
          <w:i/>
          <w:iCs/>
        </w:rPr>
        <w:t>Canada (Procureur général)</w:t>
      </w:r>
      <w:r w:rsidRPr="008F3D6A">
        <w:t>, [1995] 3 R.C.S. 199.</w:t>
      </w:r>
    </w:p>
  </w:footnote>
  <w:footnote w:id="166">
    <w:p w14:paraId="48698206" w14:textId="54C5E546" w:rsidR="002B3938" w:rsidRDefault="002B3938" w:rsidP="002B3938">
      <w:pPr>
        <w:pStyle w:val="Notedebasdepage"/>
      </w:pPr>
      <w:r w:rsidRPr="008F3D6A">
        <w:rPr>
          <w:rStyle w:val="Appelnotedebasdep"/>
        </w:rPr>
        <w:footnoteRef/>
      </w:r>
      <w:r w:rsidRPr="008F3D6A">
        <w:rPr>
          <w:lang w:val="en-CA"/>
        </w:rPr>
        <w:t xml:space="preserve"> </w:t>
      </w:r>
      <w:r w:rsidRPr="008F3D6A">
        <w:rPr>
          <w:lang w:val="en-CA"/>
        </w:rPr>
        <w:tab/>
      </w:r>
      <w:r w:rsidRPr="008F3D6A">
        <w:rPr>
          <w:i/>
          <w:iCs/>
          <w:lang w:val="en-CA"/>
        </w:rPr>
        <w:t>Alberta c. Hutterian Brethren of Wilson Colony</w:t>
      </w:r>
      <w:r w:rsidRPr="008F3D6A">
        <w:rPr>
          <w:lang w:val="en-CA"/>
        </w:rPr>
        <w:t>, 2009 CSC 37, par.</w:t>
      </w:r>
      <w:r w:rsidR="00C13395">
        <w:rPr>
          <w:lang w:val="en-CA"/>
        </w:rPr>
        <w:t xml:space="preserve"> </w:t>
      </w:r>
      <w:r w:rsidRPr="008F3D6A">
        <w:rPr>
          <w:lang w:val="en-CA"/>
        </w:rPr>
        <w:t xml:space="preserve">48. </w:t>
      </w:r>
      <w:r w:rsidRPr="008F3D6A">
        <w:t xml:space="preserve">Voir aussi : </w:t>
      </w:r>
      <w:r w:rsidRPr="008F3D6A">
        <w:rPr>
          <w:i/>
          <w:iCs/>
        </w:rPr>
        <w:t>Société Radio</w:t>
      </w:r>
      <w:r w:rsidR="008F3D6A">
        <w:rPr>
          <w:i/>
          <w:iCs/>
        </w:rPr>
        <w:noBreakHyphen/>
      </w:r>
      <w:r w:rsidRPr="008F3D6A">
        <w:rPr>
          <w:i/>
          <w:iCs/>
        </w:rPr>
        <w:t>Canada c. Canada (Procureur général)</w:t>
      </w:r>
      <w:r w:rsidRPr="008F3D6A">
        <w:t>, 2011 CSC 2, par. 70.</w:t>
      </w:r>
    </w:p>
  </w:footnote>
  <w:footnote w:id="167">
    <w:p w14:paraId="4ADE0F8E" w14:textId="57A1CC52" w:rsidR="00211F21" w:rsidRPr="00D062A2" w:rsidRDefault="00211F21" w:rsidP="00211F21">
      <w:pPr>
        <w:pStyle w:val="Notedebasdepage"/>
      </w:pPr>
      <w:r w:rsidRPr="00D062A2">
        <w:rPr>
          <w:rStyle w:val="Appelnotedebasdep"/>
        </w:rPr>
        <w:footnoteRef/>
      </w:r>
      <w:r w:rsidRPr="00D062A2">
        <w:t xml:space="preserve"> </w:t>
      </w:r>
      <w:r w:rsidR="00FF4DA0" w:rsidRPr="00D062A2">
        <w:tab/>
      </w:r>
      <w:r w:rsidRPr="00D062A2">
        <w:rPr>
          <w:i/>
          <w:iCs/>
        </w:rPr>
        <w:t>R. c. Ladouceur</w:t>
      </w:r>
      <w:r w:rsidRPr="00D062A2">
        <w:t>, [1990] 1 R.C.S. 1257, p. 1283-1284.</w:t>
      </w:r>
    </w:p>
  </w:footnote>
  <w:footnote w:id="168">
    <w:p w14:paraId="74F50750" w14:textId="25AD504C" w:rsidR="00211F21" w:rsidRPr="00D062A2" w:rsidRDefault="00211F21" w:rsidP="00211F21">
      <w:pPr>
        <w:pStyle w:val="Notedebasdepage"/>
        <w:rPr>
          <w:lang w:val="en-CA"/>
        </w:rPr>
      </w:pPr>
      <w:r w:rsidRPr="00D062A2">
        <w:rPr>
          <w:rStyle w:val="Appelnotedebasdep"/>
        </w:rPr>
        <w:footnoteRef/>
      </w:r>
      <w:r w:rsidRPr="00D062A2">
        <w:rPr>
          <w:lang w:val="en-CA"/>
        </w:rPr>
        <w:t xml:space="preserve"> </w:t>
      </w:r>
      <w:r w:rsidR="00FF4DA0" w:rsidRPr="00D062A2">
        <w:rPr>
          <w:lang w:val="en-CA"/>
        </w:rPr>
        <w:tab/>
      </w:r>
      <w:r w:rsidRPr="00D062A2">
        <w:rPr>
          <w:i/>
          <w:iCs/>
          <w:lang w:val="en-CA"/>
        </w:rPr>
        <w:t>Little Sisters Book and Art Emporium c. Canada (Ministre de la Justice),</w:t>
      </w:r>
      <w:r w:rsidRPr="00D062A2">
        <w:rPr>
          <w:lang w:val="en-CA"/>
        </w:rPr>
        <w:t xml:space="preserve"> 2000 CSC 69, par. 228. </w:t>
      </w:r>
    </w:p>
  </w:footnote>
  <w:footnote w:id="169">
    <w:p w14:paraId="77268D0F" w14:textId="737B489A" w:rsidR="00211F21" w:rsidRDefault="00211F21" w:rsidP="00211F21">
      <w:pPr>
        <w:pStyle w:val="Notedebasdepage"/>
      </w:pPr>
      <w:r w:rsidRPr="00D062A2">
        <w:rPr>
          <w:rStyle w:val="Appelnotedebasdep"/>
        </w:rPr>
        <w:footnoteRef/>
      </w:r>
      <w:r w:rsidRPr="00D062A2">
        <w:t xml:space="preserve"> </w:t>
      </w:r>
      <w:r w:rsidR="00FF4DA0" w:rsidRPr="00D062A2">
        <w:tab/>
      </w:r>
      <w:r w:rsidRPr="00D062A2">
        <w:t xml:space="preserve">Jugement </w:t>
      </w:r>
      <w:r w:rsidR="00EA32C0" w:rsidRPr="00D062A2">
        <w:t xml:space="preserve">de première instance, </w:t>
      </w:r>
      <w:r w:rsidRPr="00D062A2">
        <w:t>par. 690.</w:t>
      </w:r>
    </w:p>
  </w:footnote>
  <w:footnote w:id="170">
    <w:p w14:paraId="1CFE622D" w14:textId="775B6DCA" w:rsidR="00211F21" w:rsidRPr="00D062A2" w:rsidRDefault="00211F21" w:rsidP="00211F21">
      <w:pPr>
        <w:pStyle w:val="Notedebasdepage"/>
      </w:pPr>
      <w:r w:rsidRPr="00D062A2">
        <w:rPr>
          <w:rStyle w:val="Appelnotedebasdep"/>
        </w:rPr>
        <w:footnoteRef/>
      </w:r>
      <w:r w:rsidRPr="00D062A2">
        <w:t xml:space="preserve"> </w:t>
      </w:r>
      <w:bookmarkStart w:id="96" w:name="_Hlk176358456"/>
      <w:r w:rsidR="00FF4DA0" w:rsidRPr="00D062A2">
        <w:tab/>
      </w:r>
      <w:r w:rsidRPr="00D062A2">
        <w:rPr>
          <w:i/>
          <w:iCs/>
        </w:rPr>
        <w:t>Carter c. Canada (Procureur général),</w:t>
      </w:r>
      <w:r w:rsidRPr="00D062A2">
        <w:t xml:space="preserve"> 2015 CSC 5, </w:t>
      </w:r>
      <w:bookmarkEnd w:id="96"/>
      <w:r w:rsidRPr="00D062A2">
        <w:t xml:space="preserve">par. 100. </w:t>
      </w:r>
      <w:r w:rsidR="00D72EA2" w:rsidRPr="00D062A2">
        <w:t xml:space="preserve">Voir aussi : </w:t>
      </w:r>
      <w:r w:rsidR="00D72EA2" w:rsidRPr="00D062A2">
        <w:rPr>
          <w:i/>
          <w:iCs/>
        </w:rPr>
        <w:t>Procureur général du Québec c. Gallant</w:t>
      </w:r>
      <w:r w:rsidR="00D72EA2" w:rsidRPr="00D062A2">
        <w:t>, 2021</w:t>
      </w:r>
      <w:r w:rsidR="00C13395">
        <w:t xml:space="preserve"> </w:t>
      </w:r>
      <w:r w:rsidR="00D72EA2" w:rsidRPr="00D062A2">
        <w:t>QCCA</w:t>
      </w:r>
      <w:r w:rsidR="00C13395">
        <w:t xml:space="preserve"> </w:t>
      </w:r>
      <w:r w:rsidR="00D72EA2" w:rsidRPr="00D062A2">
        <w:t>1701, par.</w:t>
      </w:r>
      <w:r w:rsidR="00C13395">
        <w:t xml:space="preserve"> </w:t>
      </w:r>
      <w:r w:rsidR="00D72EA2" w:rsidRPr="00D062A2">
        <w:t>211.</w:t>
      </w:r>
    </w:p>
  </w:footnote>
  <w:footnote w:id="171">
    <w:p w14:paraId="66091736" w14:textId="066D782A" w:rsidR="00211F21" w:rsidRPr="00D062A2" w:rsidRDefault="00211F21" w:rsidP="00E01E6F">
      <w:pPr>
        <w:pStyle w:val="Notedebasdepage"/>
        <w:ind w:left="357" w:hanging="357"/>
      </w:pPr>
      <w:r w:rsidRPr="00D062A2">
        <w:rPr>
          <w:rStyle w:val="Appelnotedebasdep"/>
        </w:rPr>
        <w:footnoteRef/>
      </w:r>
      <w:r w:rsidRPr="00D062A2">
        <w:t xml:space="preserve"> </w:t>
      </w:r>
      <w:r w:rsidR="00FF4DA0" w:rsidRPr="00D062A2">
        <w:tab/>
      </w:r>
      <w:r w:rsidRPr="00D062A2">
        <w:t>Voir par exemple</w:t>
      </w:r>
      <w:r w:rsidR="000B3EAB" w:rsidRPr="00D062A2">
        <w:t> :</w:t>
      </w:r>
      <w:r w:rsidRPr="00D062A2">
        <w:t xml:space="preserve"> </w:t>
      </w:r>
      <w:r w:rsidR="000B3EAB" w:rsidRPr="00D062A2">
        <w:t>p</w:t>
      </w:r>
      <w:r w:rsidRPr="00D062A2">
        <w:t xml:space="preserve">ièce PGQ-27, </w:t>
      </w:r>
      <w:r w:rsidR="000B3EAB" w:rsidRPr="00D062A2">
        <w:t xml:space="preserve">Rapport d’expertise de </w:t>
      </w:r>
      <w:r w:rsidRPr="00D062A2">
        <w:t xml:space="preserve">Douglas Beirness, Rapport d’expertise, </w:t>
      </w:r>
      <w:r w:rsidR="000B3EAB" w:rsidRPr="00D062A2">
        <w:t>19 </w:t>
      </w:r>
      <w:r w:rsidRPr="00D062A2">
        <w:t>mai</w:t>
      </w:r>
      <w:r w:rsidR="000B3EAB" w:rsidRPr="00D062A2">
        <w:t> </w:t>
      </w:r>
      <w:r w:rsidRPr="00D062A2">
        <w:t xml:space="preserve">2022. </w:t>
      </w:r>
    </w:p>
  </w:footnote>
  <w:footnote w:id="172">
    <w:p w14:paraId="6D9CC9FF" w14:textId="360CF736" w:rsidR="00031AD6" w:rsidRPr="00FA394E" w:rsidRDefault="00031AD6" w:rsidP="00031AD6">
      <w:pPr>
        <w:pStyle w:val="Notedebasdepage"/>
      </w:pPr>
      <w:r w:rsidRPr="00D062A2">
        <w:rPr>
          <w:rStyle w:val="Appelnotedebasdep"/>
        </w:rPr>
        <w:footnoteRef/>
      </w:r>
      <w:r w:rsidRPr="00FA394E">
        <w:t xml:space="preserve"> </w:t>
      </w:r>
      <w:r w:rsidRPr="00FA394E">
        <w:tab/>
      </w:r>
      <w:r w:rsidRPr="00FA394E">
        <w:rPr>
          <w:i/>
          <w:iCs/>
        </w:rPr>
        <w:t>R. c. Brown</w:t>
      </w:r>
      <w:r w:rsidRPr="00FA394E">
        <w:t xml:space="preserve">, 2022 CSC 18. </w:t>
      </w:r>
    </w:p>
  </w:footnote>
  <w:footnote w:id="173">
    <w:p w14:paraId="05CC5BAC" w14:textId="2D7AA359" w:rsidR="00211F21" w:rsidRPr="00D062A2" w:rsidRDefault="00211F21" w:rsidP="00211F21">
      <w:pPr>
        <w:pStyle w:val="Notedebasdepage"/>
      </w:pPr>
      <w:r w:rsidRPr="00D062A2">
        <w:rPr>
          <w:rStyle w:val="Appelnotedebasdep"/>
        </w:rPr>
        <w:footnoteRef/>
      </w:r>
      <w:r w:rsidRPr="00D062A2">
        <w:t xml:space="preserve"> </w:t>
      </w:r>
      <w:r w:rsidR="00B723D2" w:rsidRPr="00D062A2">
        <w:tab/>
      </w:r>
      <w:r w:rsidR="00031AD6">
        <w:rPr>
          <w:i/>
          <w:iCs/>
        </w:rPr>
        <w:t>Id.</w:t>
      </w:r>
      <w:r w:rsidRPr="00D062A2">
        <w:t xml:space="preserve">, par. 76. </w:t>
      </w:r>
    </w:p>
  </w:footnote>
  <w:footnote w:id="174">
    <w:p w14:paraId="0BE57BED" w14:textId="49D84832" w:rsidR="00211F21" w:rsidRPr="0059243A" w:rsidRDefault="00211F21" w:rsidP="00211F21">
      <w:pPr>
        <w:pStyle w:val="Notedebasdepage"/>
      </w:pPr>
      <w:r w:rsidRPr="00D062A2">
        <w:rPr>
          <w:rStyle w:val="Appelnotedebasdep"/>
        </w:rPr>
        <w:footnoteRef/>
      </w:r>
      <w:r w:rsidRPr="00D062A2">
        <w:t xml:space="preserve"> </w:t>
      </w:r>
      <w:r w:rsidR="00B723D2" w:rsidRPr="00D062A2">
        <w:tab/>
      </w:r>
      <w:r w:rsidR="000B3EAB" w:rsidRPr="00D062A2">
        <w:rPr>
          <w:i/>
          <w:iCs/>
        </w:rPr>
        <w:t>Id.</w:t>
      </w:r>
      <w:r w:rsidRPr="00D062A2">
        <w:t>, par. 128</w:t>
      </w:r>
      <w:r w:rsidR="0059243A" w:rsidRPr="00D062A2">
        <w:t>, citant</w:t>
      </w:r>
      <w:r w:rsidR="00BD4E52">
        <w:t xml:space="preserve"> : </w:t>
      </w:r>
      <w:r w:rsidR="0059243A" w:rsidRPr="00D062A2">
        <w:rPr>
          <w:i/>
          <w:iCs/>
        </w:rPr>
        <w:t>RJR</w:t>
      </w:r>
      <w:r w:rsidR="0059243A" w:rsidRPr="00D062A2">
        <w:rPr>
          <w:i/>
          <w:iCs/>
        </w:rPr>
        <w:noBreakHyphen/>
        <w:t>MacDonald</w:t>
      </w:r>
      <w:r w:rsidR="007A3AA0">
        <w:rPr>
          <w:i/>
          <w:iCs/>
        </w:rPr>
        <w:t xml:space="preserve"> </w:t>
      </w:r>
      <w:r w:rsidR="0059243A" w:rsidRPr="00D062A2">
        <w:rPr>
          <w:i/>
          <w:iCs/>
        </w:rPr>
        <w:t>Inc.</w:t>
      </w:r>
      <w:r w:rsidR="007A3AA0">
        <w:rPr>
          <w:i/>
          <w:iCs/>
        </w:rPr>
        <w:t xml:space="preserve"> </w:t>
      </w:r>
      <w:r w:rsidR="0059243A" w:rsidRPr="00D062A2">
        <w:rPr>
          <w:i/>
          <w:iCs/>
        </w:rPr>
        <w:t>c.</w:t>
      </w:r>
      <w:r w:rsidR="007A3AA0">
        <w:rPr>
          <w:i/>
          <w:iCs/>
        </w:rPr>
        <w:t xml:space="preserve"> </w:t>
      </w:r>
      <w:r w:rsidR="0059243A" w:rsidRPr="00D062A2">
        <w:rPr>
          <w:i/>
          <w:iCs/>
        </w:rPr>
        <w:t>Canada (Procureur général)</w:t>
      </w:r>
      <w:r w:rsidR="0059243A" w:rsidRPr="00D062A2">
        <w:t>, [1995] 3 R.C.S. 199, par. 153.</w:t>
      </w:r>
    </w:p>
  </w:footnote>
  <w:footnote w:id="175">
    <w:p w14:paraId="484097A0" w14:textId="77777777" w:rsidR="00013FC2" w:rsidRPr="00FA394E" w:rsidRDefault="00013FC2" w:rsidP="00013FC2">
      <w:pPr>
        <w:pStyle w:val="Notedebasdepage"/>
      </w:pPr>
      <w:r w:rsidRPr="00D062A2">
        <w:rPr>
          <w:rStyle w:val="Appelnotedebasdep"/>
        </w:rPr>
        <w:footnoteRef/>
      </w:r>
      <w:r w:rsidRPr="00FA394E">
        <w:t xml:space="preserve"> </w:t>
      </w:r>
      <w:r w:rsidRPr="00FA394E">
        <w:tab/>
      </w:r>
      <w:r w:rsidRPr="00FA394E">
        <w:rPr>
          <w:i/>
          <w:iCs/>
        </w:rPr>
        <w:t>R. c. Brown</w:t>
      </w:r>
      <w:r w:rsidRPr="00FA394E">
        <w:t xml:space="preserve">, 2022 CSC 18. </w:t>
      </w:r>
    </w:p>
  </w:footnote>
  <w:footnote w:id="176">
    <w:p w14:paraId="118C9534" w14:textId="6EF936A2" w:rsidR="00211F21" w:rsidRPr="00D062A2" w:rsidRDefault="00211F21" w:rsidP="00211F21">
      <w:pPr>
        <w:pStyle w:val="Notedebasdepage"/>
      </w:pPr>
      <w:r w:rsidRPr="00D062A2">
        <w:rPr>
          <w:rStyle w:val="Appelnotedebasdep"/>
        </w:rPr>
        <w:footnoteRef/>
      </w:r>
      <w:r w:rsidRPr="00D062A2">
        <w:t xml:space="preserve"> </w:t>
      </w:r>
      <w:r w:rsidR="00B723D2" w:rsidRPr="00D062A2">
        <w:tab/>
      </w:r>
      <w:r w:rsidRPr="00D062A2">
        <w:t>Pièce P-4, Rapport d’expertise de Marie-Ève Sylvestre, 7 février 2022,</w:t>
      </w:r>
      <w:r w:rsidR="008C3C72" w:rsidRPr="00D062A2">
        <w:t xml:space="preserve"> p.</w:t>
      </w:r>
      <w:r w:rsidR="00C13395">
        <w:t xml:space="preserve"> </w:t>
      </w:r>
      <w:r w:rsidR="008C3C72" w:rsidRPr="00D062A2">
        <w:t>39</w:t>
      </w:r>
      <w:r w:rsidRPr="00D062A2">
        <w:t xml:space="preserve">. </w:t>
      </w:r>
    </w:p>
  </w:footnote>
  <w:footnote w:id="177">
    <w:p w14:paraId="59449733" w14:textId="67A78786" w:rsidR="00211F21" w:rsidRPr="00D062A2" w:rsidRDefault="00211F21" w:rsidP="00E01E6F">
      <w:pPr>
        <w:pStyle w:val="Notedebasdepage"/>
        <w:ind w:left="357" w:hanging="357"/>
      </w:pPr>
      <w:r w:rsidRPr="00D062A2">
        <w:rPr>
          <w:rStyle w:val="Appelnotedebasdep"/>
        </w:rPr>
        <w:footnoteRef/>
      </w:r>
      <w:r w:rsidRPr="00D062A2">
        <w:t xml:space="preserve"> </w:t>
      </w:r>
      <w:r w:rsidR="00B723D2" w:rsidRPr="00D062A2">
        <w:tab/>
      </w:r>
      <w:r w:rsidRPr="00D062A2">
        <w:t xml:space="preserve">Pièce PGQ-27, </w:t>
      </w:r>
      <w:r w:rsidR="008C3C72" w:rsidRPr="00D062A2">
        <w:t xml:space="preserve">Rapport d’expertise de </w:t>
      </w:r>
      <w:r w:rsidRPr="00D062A2">
        <w:t xml:space="preserve">Douglas Beirness, </w:t>
      </w:r>
      <w:r w:rsidR="008C3C72" w:rsidRPr="00D062A2">
        <w:t xml:space="preserve">19 </w:t>
      </w:r>
      <w:r w:rsidRPr="00D062A2">
        <w:t>mai 2022</w:t>
      </w:r>
      <w:r w:rsidR="008C3C72" w:rsidRPr="00D062A2">
        <w:t>.</w:t>
      </w:r>
      <w:r w:rsidRPr="00D062A2">
        <w:t xml:space="preserve"> Pour sa part, l’expert Mulone estime que les pratiques policières basées sur la prédiction seraient inefficaces</w:t>
      </w:r>
      <w:r w:rsidR="008C3C72" w:rsidRPr="00D062A2">
        <w:t>,</w:t>
      </w:r>
      <w:r w:rsidRPr="00D062A2">
        <w:t xml:space="preserve"> puisque leur caractère ciblé délégitimerait les forces de l’ordre auprès des communautés visées et ferait en sorte que les groupes non surveillés de la population échappent plus facilement à la détection : </w:t>
      </w:r>
      <w:r w:rsidR="005B40ED">
        <w:t>p</w:t>
      </w:r>
      <w:r w:rsidRPr="00D062A2">
        <w:t xml:space="preserve">ièce P-1, Rapport d’expertise de Massimiliano Mulone, 31 janvier 2022, </w:t>
      </w:r>
      <w:r w:rsidR="008C3C72" w:rsidRPr="00D062A2">
        <w:t>p.</w:t>
      </w:r>
      <w:r w:rsidR="00C13395">
        <w:t xml:space="preserve"> </w:t>
      </w:r>
      <w:r w:rsidR="008C3C72" w:rsidRPr="00D062A2">
        <w:t>30-32</w:t>
      </w:r>
      <w:r w:rsidRPr="00D062A2">
        <w:t>.</w:t>
      </w:r>
    </w:p>
  </w:footnote>
  <w:footnote w:id="178">
    <w:p w14:paraId="376958EB" w14:textId="77C4E2CA" w:rsidR="00211F21" w:rsidRPr="001E0E9B" w:rsidRDefault="00211F21" w:rsidP="00211F21">
      <w:pPr>
        <w:pStyle w:val="Notedebasdepage"/>
      </w:pPr>
      <w:r w:rsidRPr="00D062A2">
        <w:rPr>
          <w:rStyle w:val="Appelnotedebasdep"/>
        </w:rPr>
        <w:footnoteRef/>
      </w:r>
      <w:r w:rsidRPr="00D062A2">
        <w:rPr>
          <w:lang w:val="en-CA"/>
        </w:rPr>
        <w:t xml:space="preserve"> </w:t>
      </w:r>
      <w:r w:rsidR="00B723D2" w:rsidRPr="00D062A2">
        <w:rPr>
          <w:lang w:val="en-CA"/>
        </w:rPr>
        <w:tab/>
      </w:r>
      <w:r w:rsidRPr="00D062A2">
        <w:rPr>
          <w:i/>
          <w:iCs/>
          <w:lang w:val="en-CA"/>
        </w:rPr>
        <w:t>Alberta c. Hutterian Brethren of Wilson Colony</w:t>
      </w:r>
      <w:r w:rsidRPr="00D062A2">
        <w:rPr>
          <w:lang w:val="en-CA"/>
        </w:rPr>
        <w:t>, 2009 CSC 37, par. 55</w:t>
      </w:r>
      <w:r w:rsidR="00577CBA" w:rsidRPr="00D062A2">
        <w:rPr>
          <w:lang w:val="en-CA"/>
        </w:rPr>
        <w:t>.</w:t>
      </w:r>
      <w:r w:rsidRPr="00D062A2">
        <w:rPr>
          <w:lang w:val="en-CA"/>
        </w:rPr>
        <w:t xml:space="preserve"> </w:t>
      </w:r>
      <w:r w:rsidR="00577CBA" w:rsidRPr="00D062A2">
        <w:t>V</w:t>
      </w:r>
      <w:r w:rsidRPr="00D062A2">
        <w:t>oir</w:t>
      </w:r>
      <w:r w:rsidR="00577CBA" w:rsidRPr="00D062A2">
        <w:t xml:space="preserve"> aussi :</w:t>
      </w:r>
      <w:r w:rsidRPr="00D062A2">
        <w:t xml:space="preserve"> </w:t>
      </w:r>
      <w:r w:rsidRPr="00D062A2">
        <w:rPr>
          <w:i/>
          <w:iCs/>
        </w:rPr>
        <w:t>R. c. K.R.J.,</w:t>
      </w:r>
      <w:r w:rsidRPr="00D062A2">
        <w:t xml:space="preserve"> 2016</w:t>
      </w:r>
      <w:r w:rsidR="00E01E6F" w:rsidRPr="00D062A2">
        <w:t> </w:t>
      </w:r>
      <w:r w:rsidRPr="00D062A2">
        <w:t>CSC</w:t>
      </w:r>
      <w:r w:rsidR="00E01E6F" w:rsidRPr="00D062A2">
        <w:t> </w:t>
      </w:r>
      <w:r w:rsidRPr="00D062A2">
        <w:t>31, par. 70.</w:t>
      </w:r>
    </w:p>
  </w:footnote>
  <w:footnote w:id="179">
    <w:p w14:paraId="5F84FD98" w14:textId="2803226C" w:rsidR="00211F21" w:rsidRPr="007C28D2" w:rsidRDefault="00211F21" w:rsidP="00211F21">
      <w:pPr>
        <w:pStyle w:val="Notedebasdepage"/>
      </w:pPr>
      <w:r w:rsidRPr="007C28D2">
        <w:rPr>
          <w:rStyle w:val="Appelnotedebasdep"/>
        </w:rPr>
        <w:footnoteRef/>
      </w:r>
      <w:r w:rsidRPr="007C28D2">
        <w:t xml:space="preserve"> </w:t>
      </w:r>
      <w:r w:rsidR="00B723D2" w:rsidRPr="007C28D2">
        <w:tab/>
      </w:r>
      <w:r w:rsidRPr="007C28D2">
        <w:rPr>
          <w:i/>
          <w:iCs/>
        </w:rPr>
        <w:t>Carter c. Canada (Procureur général),</w:t>
      </w:r>
      <w:r w:rsidRPr="007C28D2">
        <w:t xml:space="preserve"> 2015 CSC 5, par.</w:t>
      </w:r>
      <w:r w:rsidR="00C13395">
        <w:t xml:space="preserve"> </w:t>
      </w:r>
      <w:r w:rsidRPr="007C28D2">
        <w:t>102</w:t>
      </w:r>
      <w:r w:rsidR="00621E73" w:rsidRPr="007C28D2">
        <w:t>.</w:t>
      </w:r>
    </w:p>
  </w:footnote>
  <w:footnote w:id="180">
    <w:p w14:paraId="0C01A257" w14:textId="7B808486" w:rsidR="00211F21" w:rsidRPr="007C28D2" w:rsidRDefault="00211F21" w:rsidP="00E01E6F">
      <w:pPr>
        <w:pStyle w:val="Notedebasdepage"/>
        <w:ind w:left="357" w:hanging="357"/>
      </w:pPr>
      <w:r w:rsidRPr="007C28D2">
        <w:rPr>
          <w:rStyle w:val="Appelnotedebasdep"/>
        </w:rPr>
        <w:footnoteRef/>
      </w:r>
      <w:r w:rsidRPr="007C28D2">
        <w:t xml:space="preserve"> </w:t>
      </w:r>
      <w:r w:rsidR="00B723D2" w:rsidRPr="007C28D2">
        <w:tab/>
      </w:r>
      <w:r w:rsidR="0011027D" w:rsidRPr="007C28D2">
        <w:t xml:space="preserve">Errol P. Mendes, « Section 1 of the Charter after 30 Years: The Soul or the Dagger at its Heart? », dans </w:t>
      </w:r>
      <w:r w:rsidRPr="007C28D2">
        <w:t>Errol Mendes et Stéphane Beaulac</w:t>
      </w:r>
      <w:r w:rsidR="0011027D" w:rsidRPr="007C28D2">
        <w:t xml:space="preserve"> (dir.)</w:t>
      </w:r>
      <w:r w:rsidRPr="007C28D2">
        <w:t xml:space="preserve">, </w:t>
      </w:r>
      <w:r w:rsidRPr="007C28D2">
        <w:rPr>
          <w:i/>
          <w:iCs/>
        </w:rPr>
        <w:t>Charte canadienne des droits et libertés</w:t>
      </w:r>
      <w:r w:rsidRPr="007C28D2">
        <w:t>, 5</w:t>
      </w:r>
      <w:r w:rsidRPr="007C28D2">
        <w:rPr>
          <w:vertAlign w:val="superscript"/>
        </w:rPr>
        <w:t>e</w:t>
      </w:r>
      <w:r w:rsidRPr="007C28D2">
        <w:t xml:space="preserve"> éd</w:t>
      </w:r>
      <w:r w:rsidR="00122A62">
        <w:t>.</w:t>
      </w:r>
      <w:r w:rsidRPr="007C28D2">
        <w:t>, Markham</w:t>
      </w:r>
      <w:r w:rsidR="0011027D" w:rsidRPr="007C28D2">
        <w:t xml:space="preserve"> (Ont.)</w:t>
      </w:r>
      <w:r w:rsidRPr="007C28D2">
        <w:t>, LexisNexis, 2013,</w:t>
      </w:r>
      <w:r w:rsidR="0011027D" w:rsidRPr="007C28D2">
        <w:t xml:space="preserve"> 293,</w:t>
      </w:r>
      <w:r w:rsidRPr="007C28D2">
        <w:t xml:space="preserve"> p. 318</w:t>
      </w:r>
      <w:r w:rsidR="0011027D" w:rsidRPr="007C28D2">
        <w:t>.</w:t>
      </w:r>
      <w:r w:rsidRPr="007C28D2">
        <w:t xml:space="preserve"> La Cour suprême le reconnaît dans </w:t>
      </w:r>
      <w:r w:rsidRPr="007C28D2">
        <w:rPr>
          <w:i/>
          <w:iCs/>
        </w:rPr>
        <w:t>R. c. K.R.J.,</w:t>
      </w:r>
      <w:r w:rsidRPr="007C28D2">
        <w:t xml:space="preserve"> 2016</w:t>
      </w:r>
      <w:r w:rsidR="0011027D" w:rsidRPr="007C28D2">
        <w:t> </w:t>
      </w:r>
      <w:r w:rsidRPr="007C28D2">
        <w:t>CSC</w:t>
      </w:r>
      <w:r w:rsidR="0011027D" w:rsidRPr="007C28D2">
        <w:t> </w:t>
      </w:r>
      <w:r w:rsidRPr="007C28D2">
        <w:t xml:space="preserve">31, par. 79. </w:t>
      </w:r>
    </w:p>
  </w:footnote>
  <w:footnote w:id="181">
    <w:p w14:paraId="35BD8938" w14:textId="455A44D7" w:rsidR="00211F21" w:rsidRPr="007C28D2" w:rsidRDefault="00211F21" w:rsidP="00211F21">
      <w:pPr>
        <w:pStyle w:val="Notedebasdepage"/>
      </w:pPr>
      <w:r w:rsidRPr="007C28D2">
        <w:rPr>
          <w:rStyle w:val="Appelnotedebasdep"/>
        </w:rPr>
        <w:footnoteRef/>
      </w:r>
      <w:r w:rsidRPr="007C28D2">
        <w:t xml:space="preserve"> </w:t>
      </w:r>
      <w:r w:rsidR="00B723D2" w:rsidRPr="007C28D2">
        <w:tab/>
      </w:r>
      <w:r w:rsidR="00AC6325" w:rsidRPr="007C28D2">
        <w:rPr>
          <w:i/>
          <w:iCs/>
        </w:rPr>
        <w:t>Association de la police montée de l’Ontario c. Canada (Procureur général)</w:t>
      </w:r>
      <w:r w:rsidR="00AC6325" w:rsidRPr="007C28D2">
        <w:t>, 2015</w:t>
      </w:r>
      <w:r w:rsidR="00F537A6">
        <w:t> </w:t>
      </w:r>
      <w:r w:rsidR="00AC6325" w:rsidRPr="007C28D2">
        <w:t>CSC</w:t>
      </w:r>
      <w:r w:rsidR="00F537A6">
        <w:t> </w:t>
      </w:r>
      <w:r w:rsidR="00AC6325" w:rsidRPr="007C28D2">
        <w:t>1, par.</w:t>
      </w:r>
      <w:r w:rsidR="00F537A6">
        <w:t> </w:t>
      </w:r>
      <w:r w:rsidR="00AC6325" w:rsidRPr="007C28D2">
        <w:t xml:space="preserve">149; </w:t>
      </w:r>
      <w:r w:rsidRPr="007C28D2">
        <w:rPr>
          <w:i/>
          <w:iCs/>
        </w:rPr>
        <w:t>Canada (Procureur général) c. JTI-Macdonald Corp.,</w:t>
      </w:r>
      <w:r w:rsidRPr="007C28D2">
        <w:t xml:space="preserve"> 2007</w:t>
      </w:r>
      <w:r w:rsidR="00F537A6">
        <w:t> </w:t>
      </w:r>
      <w:r w:rsidRPr="007C28D2">
        <w:t>CSC</w:t>
      </w:r>
      <w:r w:rsidR="00F537A6">
        <w:t> </w:t>
      </w:r>
      <w:r w:rsidRPr="007C28D2">
        <w:t>30, par</w:t>
      </w:r>
      <w:r w:rsidR="00AC6325" w:rsidRPr="007C28D2">
        <w:t>.</w:t>
      </w:r>
      <w:r w:rsidRPr="007C28D2">
        <w:t xml:space="preserve"> 43.</w:t>
      </w:r>
    </w:p>
  </w:footnote>
  <w:footnote w:id="182">
    <w:p w14:paraId="43460A3A" w14:textId="5C6D827A" w:rsidR="00211F21" w:rsidRPr="007C28D2" w:rsidRDefault="00211F21" w:rsidP="00211F21">
      <w:pPr>
        <w:pStyle w:val="Notedebasdepage"/>
      </w:pPr>
      <w:r w:rsidRPr="007C28D2">
        <w:rPr>
          <w:rStyle w:val="Appelnotedebasdep"/>
        </w:rPr>
        <w:footnoteRef/>
      </w:r>
      <w:r w:rsidRPr="007C28D2">
        <w:t xml:space="preserve"> </w:t>
      </w:r>
      <w:r w:rsidR="00B723D2" w:rsidRPr="007C28D2">
        <w:tab/>
      </w:r>
      <w:r w:rsidRPr="007C28D2">
        <w:rPr>
          <w:i/>
          <w:iCs/>
        </w:rPr>
        <w:t>R. c. Ndhlovu</w:t>
      </w:r>
      <w:r w:rsidRPr="007C28D2">
        <w:t xml:space="preserve">, 2022 CSC 38, par. 118; </w:t>
      </w:r>
      <w:r w:rsidRPr="007C28D2">
        <w:rPr>
          <w:i/>
          <w:iCs/>
        </w:rPr>
        <w:t>R. c. Oakes</w:t>
      </w:r>
      <w:r w:rsidRPr="007C28D2">
        <w:t>, [1986] 1 R.C.S. 103, p</w:t>
      </w:r>
      <w:r w:rsidR="00D42317" w:rsidRPr="007C28D2">
        <w:t>.</w:t>
      </w:r>
      <w:r w:rsidR="00C13395">
        <w:t xml:space="preserve"> </w:t>
      </w:r>
      <w:r w:rsidR="00D42317" w:rsidRPr="007C28D2">
        <w:t>136</w:t>
      </w:r>
      <w:r w:rsidR="00D42317" w:rsidRPr="007C28D2">
        <w:noBreakHyphen/>
        <w:t>137</w:t>
      </w:r>
      <w:r w:rsidRPr="007C28D2">
        <w:t>.</w:t>
      </w:r>
    </w:p>
  </w:footnote>
  <w:footnote w:id="183">
    <w:p w14:paraId="71032796" w14:textId="424A5A3A" w:rsidR="00211F21" w:rsidRPr="007C28D2" w:rsidRDefault="00211F21" w:rsidP="00211F21">
      <w:pPr>
        <w:pStyle w:val="Notedebasdepage"/>
      </w:pPr>
      <w:r w:rsidRPr="007C28D2">
        <w:rPr>
          <w:rStyle w:val="Appelnotedebasdep"/>
        </w:rPr>
        <w:footnoteRef/>
      </w:r>
      <w:r w:rsidRPr="007C28D2">
        <w:t xml:space="preserve"> </w:t>
      </w:r>
      <w:r w:rsidR="00B723D2" w:rsidRPr="007C28D2">
        <w:tab/>
      </w:r>
      <w:r w:rsidRPr="007C28D2">
        <w:rPr>
          <w:i/>
          <w:iCs/>
        </w:rPr>
        <w:t>R. c. Ladouceur</w:t>
      </w:r>
      <w:r w:rsidRPr="007C28D2">
        <w:t>, [1990] 1 R.C.S. 1257, p. 1284.</w:t>
      </w:r>
    </w:p>
  </w:footnote>
  <w:footnote w:id="184">
    <w:p w14:paraId="2112A180" w14:textId="51C9E1E0" w:rsidR="00211F21" w:rsidRPr="00991D78" w:rsidRDefault="00211F21" w:rsidP="00211F21">
      <w:pPr>
        <w:pStyle w:val="Notedebasdepage"/>
        <w:rPr>
          <w:lang w:val="en-CA"/>
        </w:rPr>
      </w:pPr>
      <w:r w:rsidRPr="007C28D2">
        <w:rPr>
          <w:rStyle w:val="Appelnotedebasdep"/>
        </w:rPr>
        <w:footnoteRef/>
      </w:r>
      <w:r w:rsidRPr="007C28D2">
        <w:rPr>
          <w:lang w:val="en-CA"/>
        </w:rPr>
        <w:t xml:space="preserve"> </w:t>
      </w:r>
      <w:r w:rsidR="00B723D2" w:rsidRPr="007C28D2">
        <w:rPr>
          <w:lang w:val="en-CA"/>
        </w:rPr>
        <w:tab/>
      </w:r>
      <w:r w:rsidR="00991D78" w:rsidRPr="007C28D2">
        <w:rPr>
          <w:i/>
          <w:iCs/>
          <w:lang w:val="en-CA"/>
        </w:rPr>
        <w:t>Ibid</w:t>
      </w:r>
      <w:r w:rsidRPr="007C28D2">
        <w:rPr>
          <w:lang w:val="en-CA"/>
        </w:rPr>
        <w:t>.</w:t>
      </w:r>
    </w:p>
  </w:footnote>
  <w:footnote w:id="185">
    <w:p w14:paraId="62CA76A7" w14:textId="47AE6C95" w:rsidR="00211F21" w:rsidRPr="007C28D2" w:rsidRDefault="00211F21" w:rsidP="00211F21">
      <w:pPr>
        <w:pStyle w:val="Notedebasdepage"/>
        <w:rPr>
          <w:lang w:val="en-CA"/>
        </w:rPr>
      </w:pPr>
      <w:r w:rsidRPr="007C28D2">
        <w:rPr>
          <w:rStyle w:val="Appelnotedebasdep"/>
        </w:rPr>
        <w:footnoteRef/>
      </w:r>
      <w:r w:rsidRPr="007C28D2">
        <w:rPr>
          <w:lang w:val="en-CA"/>
        </w:rPr>
        <w:t xml:space="preserve"> </w:t>
      </w:r>
      <w:r w:rsidR="00B723D2" w:rsidRPr="007C28D2">
        <w:rPr>
          <w:lang w:val="en-CA"/>
        </w:rPr>
        <w:tab/>
      </w:r>
      <w:r w:rsidR="00991D78" w:rsidRPr="007C28D2">
        <w:rPr>
          <w:i/>
          <w:iCs/>
          <w:lang w:val="en-CA"/>
        </w:rPr>
        <w:t>Id</w:t>
      </w:r>
      <w:r w:rsidR="00991D78" w:rsidRPr="007C28D2">
        <w:rPr>
          <w:lang w:val="en-CA"/>
        </w:rPr>
        <w:t>.,</w:t>
      </w:r>
      <w:r w:rsidRPr="007C28D2">
        <w:rPr>
          <w:lang w:val="en-CA"/>
        </w:rPr>
        <w:t xml:space="preserve"> p. 1284-1285. </w:t>
      </w:r>
    </w:p>
  </w:footnote>
  <w:footnote w:id="186">
    <w:p w14:paraId="0C36C5A1" w14:textId="4BA12335" w:rsidR="00211F21" w:rsidRPr="007C28D2" w:rsidRDefault="00211F21" w:rsidP="00211F21">
      <w:pPr>
        <w:pStyle w:val="Notedebasdepage"/>
        <w:rPr>
          <w:lang w:val="en-CA"/>
        </w:rPr>
      </w:pPr>
      <w:r w:rsidRPr="007C28D2">
        <w:rPr>
          <w:rStyle w:val="Appelnotedebasdep"/>
        </w:rPr>
        <w:footnoteRef/>
      </w:r>
      <w:r w:rsidRPr="007C28D2">
        <w:rPr>
          <w:lang w:val="en-CA"/>
        </w:rPr>
        <w:t xml:space="preserve"> </w:t>
      </w:r>
      <w:r w:rsidR="00B723D2" w:rsidRPr="007C28D2">
        <w:rPr>
          <w:lang w:val="en-CA"/>
        </w:rPr>
        <w:tab/>
      </w:r>
      <w:r w:rsidR="00991D78" w:rsidRPr="007C28D2">
        <w:rPr>
          <w:i/>
          <w:iCs/>
          <w:lang w:val="en-CA"/>
        </w:rPr>
        <w:t>Id.</w:t>
      </w:r>
      <w:r w:rsidRPr="007C28D2">
        <w:rPr>
          <w:lang w:val="en-CA"/>
        </w:rPr>
        <w:t>, p. 1285.</w:t>
      </w:r>
    </w:p>
  </w:footnote>
  <w:footnote w:id="187">
    <w:p w14:paraId="2C48669D" w14:textId="567A5915" w:rsidR="00211F21" w:rsidRPr="007C28D2" w:rsidRDefault="00211F21" w:rsidP="00211F21">
      <w:pPr>
        <w:pStyle w:val="Notedebasdepage"/>
      </w:pPr>
      <w:r w:rsidRPr="007C28D2">
        <w:rPr>
          <w:rStyle w:val="Appelnotedebasdep"/>
        </w:rPr>
        <w:footnoteRef/>
      </w:r>
      <w:r w:rsidRPr="007C28D2">
        <w:t xml:space="preserve"> </w:t>
      </w:r>
      <w:r w:rsidR="00B723D2" w:rsidRPr="007C28D2">
        <w:tab/>
      </w:r>
      <w:r w:rsidR="00991D78" w:rsidRPr="007C28D2">
        <w:rPr>
          <w:i/>
          <w:iCs/>
        </w:rPr>
        <w:t>Ibid</w:t>
      </w:r>
      <w:r w:rsidRPr="007C28D2">
        <w:t>.</w:t>
      </w:r>
    </w:p>
  </w:footnote>
  <w:footnote w:id="188">
    <w:p w14:paraId="7095668E" w14:textId="045F6779" w:rsidR="00211F21" w:rsidRPr="007C28D2" w:rsidRDefault="00211F21" w:rsidP="00211F21">
      <w:pPr>
        <w:pStyle w:val="Notedebasdepage"/>
      </w:pPr>
      <w:r w:rsidRPr="007C28D2">
        <w:rPr>
          <w:rStyle w:val="Appelnotedebasdep"/>
        </w:rPr>
        <w:footnoteRef/>
      </w:r>
      <w:r w:rsidRPr="007C28D2">
        <w:t xml:space="preserve"> </w:t>
      </w:r>
      <w:r w:rsidR="00B723D2" w:rsidRPr="007C28D2">
        <w:tab/>
      </w:r>
      <w:r w:rsidR="00135898" w:rsidRPr="007C28D2">
        <w:rPr>
          <w:i/>
          <w:iCs/>
        </w:rPr>
        <w:t>Supra</w:t>
      </w:r>
      <w:r w:rsidR="00135898" w:rsidRPr="007C28D2">
        <w:t xml:space="preserve">, par. </w:t>
      </w:r>
      <w:r w:rsidR="00162410" w:rsidRPr="007C28D2">
        <w:fldChar w:fldCharType="begin"/>
      </w:r>
      <w:r w:rsidR="00162410" w:rsidRPr="007C28D2">
        <w:instrText xml:space="preserve"> REF _Ref177748296 \r \h  \* MERGEFORMAT </w:instrText>
      </w:r>
      <w:r w:rsidR="00162410" w:rsidRPr="007C28D2">
        <w:fldChar w:fldCharType="separate"/>
      </w:r>
      <w:r w:rsidR="0040330D">
        <w:t>[78]</w:t>
      </w:r>
      <w:r w:rsidR="00162410" w:rsidRPr="007C28D2">
        <w:fldChar w:fldCharType="end"/>
      </w:r>
      <w:r w:rsidR="00162410" w:rsidRPr="007C28D2">
        <w:t xml:space="preserve"> à </w:t>
      </w:r>
      <w:r w:rsidR="00162410" w:rsidRPr="007C28D2">
        <w:fldChar w:fldCharType="begin"/>
      </w:r>
      <w:r w:rsidR="00162410" w:rsidRPr="007C28D2">
        <w:instrText xml:space="preserve"> REF _Ref177748306 \r \h  \* MERGEFORMAT </w:instrText>
      </w:r>
      <w:r w:rsidR="00162410" w:rsidRPr="007C28D2">
        <w:fldChar w:fldCharType="separate"/>
      </w:r>
      <w:r w:rsidR="0040330D">
        <w:t>[102]</w:t>
      </w:r>
      <w:r w:rsidR="00162410" w:rsidRPr="007C28D2">
        <w:fldChar w:fldCharType="end"/>
      </w:r>
      <w:r w:rsidR="00135898" w:rsidRPr="007C28D2">
        <w:t>.</w:t>
      </w:r>
    </w:p>
  </w:footnote>
  <w:footnote w:id="189">
    <w:p w14:paraId="2E8C4767" w14:textId="58560A89" w:rsidR="00211F21" w:rsidRDefault="00211F21" w:rsidP="00211F21">
      <w:pPr>
        <w:pStyle w:val="Notedebasdepage"/>
      </w:pPr>
      <w:r w:rsidRPr="007C28D2">
        <w:rPr>
          <w:rStyle w:val="Appelnotedebasdep"/>
        </w:rPr>
        <w:footnoteRef/>
      </w:r>
      <w:r w:rsidRPr="007C28D2">
        <w:t xml:space="preserve"> </w:t>
      </w:r>
      <w:r w:rsidR="00B723D2" w:rsidRPr="007C28D2">
        <w:tab/>
      </w:r>
      <w:r w:rsidRPr="007C28D2">
        <w:rPr>
          <w:i/>
          <w:iCs/>
        </w:rPr>
        <w:t>R. c. Ladouceur</w:t>
      </w:r>
      <w:r w:rsidRPr="007C28D2">
        <w:t>, [1990] 1 R.C.S. 1257, p. 1286.</w:t>
      </w:r>
    </w:p>
  </w:footnote>
  <w:footnote w:id="190">
    <w:p w14:paraId="569C10F6" w14:textId="31D8F328" w:rsidR="00211F21" w:rsidRPr="007C28D2" w:rsidRDefault="00211F21" w:rsidP="00211F21">
      <w:pPr>
        <w:pStyle w:val="Notedebasdepage"/>
        <w:rPr>
          <w:lang w:val="en-CA"/>
        </w:rPr>
      </w:pPr>
      <w:r w:rsidRPr="007C28D2">
        <w:rPr>
          <w:rStyle w:val="Appelnotedebasdep"/>
        </w:rPr>
        <w:footnoteRef/>
      </w:r>
      <w:r w:rsidRPr="007C28D2">
        <w:rPr>
          <w:lang w:val="en-CA"/>
        </w:rPr>
        <w:t xml:space="preserve"> </w:t>
      </w:r>
      <w:r w:rsidR="00B723D2" w:rsidRPr="007C28D2">
        <w:rPr>
          <w:lang w:val="en-CA"/>
        </w:rPr>
        <w:tab/>
      </w:r>
      <w:r w:rsidRPr="007C28D2">
        <w:rPr>
          <w:i/>
          <w:iCs/>
          <w:lang w:val="en-CA"/>
        </w:rPr>
        <w:t>Alberta c. Hutterian Brethren of Wilson Colony</w:t>
      </w:r>
      <w:r w:rsidRPr="007C28D2">
        <w:rPr>
          <w:lang w:val="en-CA"/>
        </w:rPr>
        <w:t>, 2009 CSC 37, par. 55.</w:t>
      </w:r>
    </w:p>
  </w:footnote>
  <w:footnote w:id="191">
    <w:p w14:paraId="3C437F57" w14:textId="0AEECE02" w:rsidR="00211F21" w:rsidRDefault="00211F21" w:rsidP="00211F21">
      <w:pPr>
        <w:pStyle w:val="Notedebasdepage"/>
      </w:pPr>
      <w:r w:rsidRPr="007C28D2">
        <w:rPr>
          <w:rStyle w:val="Appelnotedebasdep"/>
        </w:rPr>
        <w:footnoteRef/>
      </w:r>
      <w:r w:rsidRPr="007C28D2">
        <w:t xml:space="preserve"> </w:t>
      </w:r>
      <w:r w:rsidR="00B723D2" w:rsidRPr="007C28D2">
        <w:tab/>
      </w:r>
      <w:r w:rsidRPr="007C28D2">
        <w:rPr>
          <w:i/>
          <w:iCs/>
        </w:rPr>
        <w:t>R. c. Ladouceur</w:t>
      </w:r>
      <w:r w:rsidRPr="007C28D2">
        <w:t>, [1990] 1 R.C.S. 1257, p. 1266.</w:t>
      </w:r>
    </w:p>
  </w:footnote>
  <w:footnote w:id="192">
    <w:p w14:paraId="7E1B77AD" w14:textId="0EA4E1C1" w:rsidR="000908BC" w:rsidRPr="007C28D2" w:rsidRDefault="000908BC">
      <w:pPr>
        <w:pStyle w:val="Notedebasdepage"/>
      </w:pPr>
      <w:r w:rsidRPr="007C28D2">
        <w:rPr>
          <w:rStyle w:val="Appelnotedebasdep"/>
        </w:rPr>
        <w:footnoteRef/>
      </w:r>
      <w:r w:rsidRPr="007C28D2">
        <w:t xml:space="preserve"> </w:t>
      </w:r>
      <w:r w:rsidRPr="007C28D2">
        <w:tab/>
      </w:r>
      <w:r w:rsidRPr="007C28D2">
        <w:rPr>
          <w:i/>
          <w:iCs/>
        </w:rPr>
        <w:t>Ibid.</w:t>
      </w:r>
    </w:p>
  </w:footnote>
  <w:footnote w:id="193">
    <w:p w14:paraId="0478FB82" w14:textId="11FDA45E" w:rsidR="00211F21" w:rsidRPr="007C28D2" w:rsidRDefault="00211F21" w:rsidP="003F5F36">
      <w:pPr>
        <w:pStyle w:val="Notedebasdepage"/>
        <w:ind w:left="357" w:hanging="357"/>
      </w:pPr>
      <w:r w:rsidRPr="007C28D2">
        <w:rPr>
          <w:rStyle w:val="Appelnotedebasdep"/>
        </w:rPr>
        <w:footnoteRef/>
      </w:r>
      <w:r w:rsidRPr="007C28D2">
        <w:t xml:space="preserve"> </w:t>
      </w:r>
      <w:r w:rsidR="00B723D2" w:rsidRPr="007C28D2">
        <w:tab/>
      </w:r>
      <w:r w:rsidRPr="007C28D2">
        <w:t xml:space="preserve">Hugues Parent, </w:t>
      </w:r>
      <w:r w:rsidRPr="007C28D2">
        <w:rPr>
          <w:i/>
          <w:iCs/>
        </w:rPr>
        <w:t>Traité de droit criminel</w:t>
      </w:r>
      <w:r w:rsidR="00671A29" w:rsidRPr="007C28D2">
        <w:rPr>
          <w:i/>
          <w:iCs/>
        </w:rPr>
        <w:t>,</w:t>
      </w:r>
      <w:r w:rsidR="00671A29" w:rsidRPr="007C28D2">
        <w:t xml:space="preserve"> t.</w:t>
      </w:r>
      <w:r w:rsidR="009902E4">
        <w:t> </w:t>
      </w:r>
      <w:r w:rsidR="00671A29" w:rsidRPr="007C28D2">
        <w:t>IV : « Les garanties juridiques », 2</w:t>
      </w:r>
      <w:r w:rsidR="00671A29" w:rsidRPr="007C28D2">
        <w:rPr>
          <w:vertAlign w:val="superscript"/>
        </w:rPr>
        <w:t>e</w:t>
      </w:r>
      <w:r w:rsidR="00671A29" w:rsidRPr="007C28D2">
        <w:t xml:space="preserve"> éd.,</w:t>
      </w:r>
      <w:r w:rsidRPr="007C28D2">
        <w:rPr>
          <w:i/>
          <w:iCs/>
        </w:rPr>
        <w:t xml:space="preserve"> </w:t>
      </w:r>
      <w:r w:rsidRPr="007C28D2">
        <w:t>Montréal, Wilson</w:t>
      </w:r>
      <w:r w:rsidR="00F537A6">
        <w:t> </w:t>
      </w:r>
      <w:r w:rsidRPr="007C28D2">
        <w:t>&amp; Lafleur, 2021, p. 524 et s.</w:t>
      </w:r>
    </w:p>
  </w:footnote>
  <w:footnote w:id="194">
    <w:p w14:paraId="305567F8" w14:textId="670C1E16" w:rsidR="00211F21" w:rsidRPr="007C28D2" w:rsidRDefault="00211F21" w:rsidP="00211F21">
      <w:pPr>
        <w:pStyle w:val="Notedebasdepage"/>
      </w:pPr>
      <w:r w:rsidRPr="007C28D2">
        <w:rPr>
          <w:rStyle w:val="Appelnotedebasdep"/>
        </w:rPr>
        <w:footnoteRef/>
      </w:r>
      <w:r w:rsidRPr="007C28D2">
        <w:t xml:space="preserve"> </w:t>
      </w:r>
      <w:r w:rsidR="00B723D2" w:rsidRPr="007C28D2">
        <w:tab/>
      </w:r>
      <w:r w:rsidR="00671A29" w:rsidRPr="007C28D2">
        <w:rPr>
          <w:i/>
          <w:iCs/>
        </w:rPr>
        <w:t>R. c. Aucoin</w:t>
      </w:r>
      <w:r w:rsidR="00671A29" w:rsidRPr="007C28D2">
        <w:t>, 2012 CSC 66, par. 36</w:t>
      </w:r>
      <w:r w:rsidR="00D91342" w:rsidRPr="007C28D2">
        <w:t>. Voir aussi :</w:t>
      </w:r>
      <w:r w:rsidR="00671A29" w:rsidRPr="007C28D2">
        <w:t xml:space="preserve"> </w:t>
      </w:r>
      <w:r w:rsidRPr="007C28D2">
        <w:rPr>
          <w:i/>
          <w:iCs/>
        </w:rPr>
        <w:t>R. c. Clayton</w:t>
      </w:r>
      <w:r w:rsidRPr="007C28D2">
        <w:t>, 2007 CSC 32, par. 32, 33 et 40</w:t>
      </w:r>
      <w:r w:rsidR="00D91342" w:rsidRPr="007C28D2">
        <w:t>-41</w:t>
      </w:r>
      <w:r w:rsidRPr="007C28D2">
        <w:t xml:space="preserve">. </w:t>
      </w:r>
    </w:p>
  </w:footnote>
  <w:footnote w:id="195">
    <w:p w14:paraId="4003AE39" w14:textId="15EA5768" w:rsidR="00211F21" w:rsidRDefault="00211F21" w:rsidP="00211F21">
      <w:pPr>
        <w:pStyle w:val="Notedebasdepage"/>
      </w:pPr>
      <w:r w:rsidRPr="007C28D2">
        <w:rPr>
          <w:rStyle w:val="Appelnotedebasdep"/>
        </w:rPr>
        <w:footnoteRef/>
      </w:r>
      <w:r w:rsidRPr="007C28D2">
        <w:t xml:space="preserve"> </w:t>
      </w:r>
      <w:bookmarkStart w:id="100" w:name="_Hlk176508264"/>
      <w:r w:rsidR="00B723D2" w:rsidRPr="007C28D2">
        <w:tab/>
      </w:r>
      <w:r w:rsidRPr="007C28D2">
        <w:t xml:space="preserve">Jugement de première instance, </w:t>
      </w:r>
      <w:bookmarkEnd w:id="100"/>
      <w:r w:rsidRPr="007C28D2">
        <w:t>par. 684, 702</w:t>
      </w:r>
      <w:r w:rsidR="00570E2E" w:rsidRPr="007C28D2">
        <w:t xml:space="preserve"> et</w:t>
      </w:r>
      <w:r w:rsidRPr="007C28D2">
        <w:t xml:space="preserve"> 772.</w:t>
      </w:r>
    </w:p>
  </w:footnote>
  <w:footnote w:id="196">
    <w:p w14:paraId="683F9BE5" w14:textId="472C7F4A" w:rsidR="00211F21" w:rsidRPr="007C28D2" w:rsidRDefault="00211F21" w:rsidP="00F537A6">
      <w:pPr>
        <w:pStyle w:val="Notedebasdepage"/>
      </w:pPr>
      <w:r w:rsidRPr="007C28D2">
        <w:rPr>
          <w:rStyle w:val="Appelnotedebasdep"/>
        </w:rPr>
        <w:footnoteRef/>
      </w:r>
      <w:r w:rsidRPr="007C28D2">
        <w:t xml:space="preserve"> </w:t>
      </w:r>
      <w:r w:rsidR="00B723D2" w:rsidRPr="007C28D2">
        <w:tab/>
      </w:r>
      <w:r w:rsidRPr="007C28D2">
        <w:rPr>
          <w:i/>
          <w:iCs/>
        </w:rPr>
        <w:t>R. c. Ndhlovu</w:t>
      </w:r>
      <w:r w:rsidRPr="007C28D2">
        <w:t>, 2022</w:t>
      </w:r>
      <w:r w:rsidR="00C13395">
        <w:t xml:space="preserve"> </w:t>
      </w:r>
      <w:r w:rsidRPr="007C28D2">
        <w:t>CSC</w:t>
      </w:r>
      <w:r w:rsidR="00C13395">
        <w:t xml:space="preserve"> </w:t>
      </w:r>
      <w:r w:rsidRPr="007C28D2">
        <w:t>38, par.</w:t>
      </w:r>
      <w:r w:rsidR="00C13395">
        <w:t xml:space="preserve"> </w:t>
      </w:r>
      <w:r w:rsidRPr="007C28D2">
        <w:t>130</w:t>
      </w:r>
      <w:r w:rsidR="00E8442A" w:rsidRPr="007C28D2">
        <w:t>, r</w:t>
      </w:r>
      <w:r w:rsidR="009428ED">
        <w:t>envoy</w:t>
      </w:r>
      <w:r w:rsidR="00E8442A" w:rsidRPr="007C28D2">
        <w:t xml:space="preserve">ant à : </w:t>
      </w:r>
      <w:r w:rsidR="00E8442A" w:rsidRPr="007C28D2">
        <w:rPr>
          <w:i/>
          <w:iCs/>
        </w:rPr>
        <w:t>R. c. K.R.J</w:t>
      </w:r>
      <w:r w:rsidR="00E8442A" w:rsidRPr="007C28D2">
        <w:t>., 2016</w:t>
      </w:r>
      <w:r w:rsidR="00C13395">
        <w:t xml:space="preserve"> </w:t>
      </w:r>
      <w:r w:rsidR="00E8442A" w:rsidRPr="007C28D2">
        <w:t>CSC</w:t>
      </w:r>
      <w:r w:rsidR="00C13395">
        <w:t xml:space="preserve"> </w:t>
      </w:r>
      <w:r w:rsidR="00E8442A" w:rsidRPr="007C28D2">
        <w:t>31, par.</w:t>
      </w:r>
      <w:r w:rsidR="00C13395">
        <w:t xml:space="preserve"> </w:t>
      </w:r>
      <w:r w:rsidR="00E8442A" w:rsidRPr="007C28D2">
        <w:t xml:space="preserve">77, citant </w:t>
      </w:r>
      <w:r w:rsidR="00E8442A" w:rsidRPr="007C28D2">
        <w:rPr>
          <w:i/>
          <w:iCs/>
        </w:rPr>
        <w:t>Thomson Newspapers Co. c. Canada (Procureur général)</w:t>
      </w:r>
      <w:r w:rsidR="00E8442A" w:rsidRPr="007C28D2">
        <w:t>, [1998]</w:t>
      </w:r>
      <w:r w:rsidR="00C13395">
        <w:t xml:space="preserve"> </w:t>
      </w:r>
      <w:r w:rsidR="00E8442A" w:rsidRPr="007C28D2">
        <w:t>1</w:t>
      </w:r>
      <w:r w:rsidR="00C13395">
        <w:t xml:space="preserve"> </w:t>
      </w:r>
      <w:r w:rsidR="00E8442A" w:rsidRPr="007C28D2">
        <w:t>R.C.S.</w:t>
      </w:r>
      <w:r w:rsidR="00C13395">
        <w:t xml:space="preserve"> </w:t>
      </w:r>
      <w:r w:rsidR="00E8442A" w:rsidRPr="007C28D2">
        <w:t>877, par.</w:t>
      </w:r>
      <w:r w:rsidR="00C13395">
        <w:t xml:space="preserve"> </w:t>
      </w:r>
      <w:r w:rsidR="00E8442A" w:rsidRPr="007C28D2">
        <w:t>125</w:t>
      </w:r>
      <w:r w:rsidRPr="007C28D2">
        <w:t xml:space="preserve">. </w:t>
      </w:r>
    </w:p>
  </w:footnote>
  <w:footnote w:id="197">
    <w:p w14:paraId="6B4C7C33" w14:textId="44704A53" w:rsidR="00211F21" w:rsidRPr="0096638E" w:rsidRDefault="00211F21" w:rsidP="00211F21">
      <w:pPr>
        <w:pStyle w:val="Notedebasdepage"/>
      </w:pPr>
      <w:r w:rsidRPr="0096638E">
        <w:rPr>
          <w:rStyle w:val="Appelnotedebasdep"/>
        </w:rPr>
        <w:footnoteRef/>
      </w:r>
      <w:r w:rsidRPr="0096638E">
        <w:t xml:space="preserve"> </w:t>
      </w:r>
      <w:r w:rsidR="00B723D2" w:rsidRPr="0096638E">
        <w:tab/>
      </w:r>
      <w:r w:rsidRPr="0096638E">
        <w:rPr>
          <w:i/>
          <w:iCs/>
        </w:rPr>
        <w:t>Carter c. Canada (Procureur général)</w:t>
      </w:r>
      <w:r w:rsidRPr="0096638E">
        <w:t xml:space="preserve">, 2015 CSC 5, par. 122. </w:t>
      </w:r>
    </w:p>
  </w:footnote>
  <w:footnote w:id="198">
    <w:p w14:paraId="7045B2D3" w14:textId="0B408A73" w:rsidR="00211F21" w:rsidRPr="00FA14DC" w:rsidRDefault="00211F21" w:rsidP="00211F21">
      <w:pPr>
        <w:pStyle w:val="Notedebasdepage"/>
      </w:pPr>
      <w:r w:rsidRPr="0096638E">
        <w:rPr>
          <w:rStyle w:val="Appelnotedebasdep"/>
        </w:rPr>
        <w:footnoteRef/>
      </w:r>
      <w:r w:rsidRPr="0096638E">
        <w:t xml:space="preserve"> </w:t>
      </w:r>
      <w:bookmarkStart w:id="107" w:name="_Hlk176508804"/>
      <w:bookmarkStart w:id="108" w:name="_Hlk176539837"/>
      <w:r w:rsidR="00B723D2" w:rsidRPr="0096638E">
        <w:tab/>
      </w:r>
      <w:r w:rsidRPr="0096638E">
        <w:t>Jugement</w:t>
      </w:r>
      <w:r w:rsidRPr="00FA14DC">
        <w:t xml:space="preserve"> de première instance</w:t>
      </w:r>
      <w:bookmarkEnd w:id="107"/>
      <w:r w:rsidRPr="00FA14DC">
        <w:t>, par. 681-697 et 772</w:t>
      </w:r>
      <w:bookmarkEnd w:id="108"/>
      <w:r w:rsidRPr="00FA14DC">
        <w:t>.</w:t>
      </w:r>
    </w:p>
  </w:footnote>
  <w:footnote w:id="199">
    <w:p w14:paraId="3CEA440F" w14:textId="37840DC3" w:rsidR="00211F21" w:rsidRPr="00FA14DC" w:rsidRDefault="00211F21" w:rsidP="00211F21">
      <w:pPr>
        <w:pStyle w:val="Notedebasdepage"/>
      </w:pPr>
      <w:r w:rsidRPr="00FA14DC">
        <w:rPr>
          <w:rStyle w:val="Appelnotedebasdep"/>
        </w:rPr>
        <w:footnoteRef/>
      </w:r>
      <w:r w:rsidRPr="00FA14DC">
        <w:t xml:space="preserve"> </w:t>
      </w:r>
      <w:r w:rsidR="00B723D2" w:rsidRPr="00FA14DC">
        <w:rPr>
          <w:i/>
          <w:iCs/>
        </w:rPr>
        <w:tab/>
      </w:r>
      <w:r w:rsidR="00AF71BF" w:rsidRPr="00FA14DC">
        <w:rPr>
          <w:i/>
          <w:iCs/>
        </w:rPr>
        <w:t>Id</w:t>
      </w:r>
      <w:r w:rsidR="00AF71BF" w:rsidRPr="00FA14DC">
        <w:t>.</w:t>
      </w:r>
      <w:r w:rsidRPr="00FA14DC">
        <w:t>, par. 690</w:t>
      </w:r>
      <w:r w:rsidR="00AF49FF">
        <w:t xml:space="preserve"> [italiques dans l’original]</w:t>
      </w:r>
      <w:r w:rsidRPr="00FA14DC">
        <w:t>.</w:t>
      </w:r>
    </w:p>
  </w:footnote>
  <w:footnote w:id="200">
    <w:p w14:paraId="0241D396" w14:textId="04A14BDD" w:rsidR="00211F21" w:rsidRPr="00FA14DC" w:rsidRDefault="00211F21" w:rsidP="00211F21">
      <w:pPr>
        <w:pStyle w:val="Notedebasdepage"/>
      </w:pPr>
      <w:r w:rsidRPr="00FA14DC">
        <w:rPr>
          <w:rStyle w:val="Appelnotedebasdep"/>
        </w:rPr>
        <w:footnoteRef/>
      </w:r>
      <w:r w:rsidRPr="00FA14DC">
        <w:t xml:space="preserve"> </w:t>
      </w:r>
      <w:r w:rsidR="00B723D2" w:rsidRPr="00FA14DC">
        <w:tab/>
      </w:r>
      <w:r w:rsidR="003C0B83" w:rsidRPr="00FA14DC">
        <w:t xml:space="preserve">Voir notamment : </w:t>
      </w:r>
      <w:r w:rsidR="003C0B83" w:rsidRPr="00FA14DC">
        <w:rPr>
          <w:i/>
          <w:iCs/>
        </w:rPr>
        <w:t>i</w:t>
      </w:r>
      <w:r w:rsidR="00AF71BF" w:rsidRPr="00FA14DC">
        <w:rPr>
          <w:i/>
          <w:iCs/>
        </w:rPr>
        <w:t>d</w:t>
      </w:r>
      <w:r w:rsidR="00AF71BF" w:rsidRPr="00FA14DC">
        <w:t>.</w:t>
      </w:r>
      <w:r w:rsidRPr="00FA14DC">
        <w:t xml:space="preserve">, par. </w:t>
      </w:r>
      <w:r w:rsidR="003C0B83" w:rsidRPr="00FA14DC">
        <w:t>438-440, 445-446, 455-460</w:t>
      </w:r>
      <w:r w:rsidRPr="00FA14DC">
        <w:t xml:space="preserve"> et 737.</w:t>
      </w:r>
    </w:p>
  </w:footnote>
  <w:footnote w:id="201">
    <w:p w14:paraId="7B5F1CCA" w14:textId="6D8DA095" w:rsidR="00211F21" w:rsidRPr="00FA14DC" w:rsidRDefault="00211F21" w:rsidP="00211F21">
      <w:pPr>
        <w:pStyle w:val="Notedebasdepage"/>
        <w:rPr>
          <w:rFonts w:cs="Arial"/>
        </w:rPr>
      </w:pPr>
      <w:r w:rsidRPr="00FA14DC">
        <w:rPr>
          <w:rStyle w:val="Appelnotedebasdep"/>
        </w:rPr>
        <w:footnoteRef/>
      </w:r>
      <w:r w:rsidRPr="00FA14DC">
        <w:t xml:space="preserve"> </w:t>
      </w:r>
      <w:r w:rsidR="00B723D2" w:rsidRPr="00FA14DC">
        <w:tab/>
      </w:r>
      <w:r w:rsidR="00AF71BF" w:rsidRPr="00FA14DC">
        <w:rPr>
          <w:i/>
          <w:iCs/>
        </w:rPr>
        <w:t>Id.</w:t>
      </w:r>
      <w:r w:rsidR="00AF71BF" w:rsidRPr="00FA14DC">
        <w:t xml:space="preserve">, </w:t>
      </w:r>
      <w:r w:rsidRPr="00FA14DC">
        <w:t>par. 839</w:t>
      </w:r>
      <w:r w:rsidR="00FA14DC" w:rsidRPr="00FA14DC">
        <w:t>; voir aussi</w:t>
      </w:r>
      <w:r w:rsidR="0084618B">
        <w:t xml:space="preserve"> : </w:t>
      </w:r>
      <w:r w:rsidR="00FA14DC">
        <w:t>Pièce P-1</w:t>
      </w:r>
      <w:r w:rsidRPr="00FA14DC">
        <w:t xml:space="preserve"> </w:t>
      </w:r>
      <w:r w:rsidR="00FA14DC" w:rsidRPr="00FA14DC">
        <w:rPr>
          <w:rStyle w:val="cf01"/>
          <w:rFonts w:ascii="Arial" w:hAnsi="Arial" w:cs="Arial"/>
          <w:sz w:val="20"/>
          <w:szCs w:val="20"/>
        </w:rPr>
        <w:t>Rapport d’expertise de Massimiliano Mulone, 31 janvier 2022, p.</w:t>
      </w:r>
      <w:r w:rsidR="0084618B">
        <w:rPr>
          <w:rStyle w:val="cf01"/>
          <w:rFonts w:ascii="Arial" w:hAnsi="Arial" w:cs="Arial"/>
          <w:sz w:val="20"/>
          <w:szCs w:val="20"/>
        </w:rPr>
        <w:t> </w:t>
      </w:r>
      <w:r w:rsidR="00FA14DC" w:rsidRPr="00FA14DC">
        <w:rPr>
          <w:rStyle w:val="cf01"/>
          <w:rFonts w:ascii="Arial" w:hAnsi="Arial" w:cs="Arial"/>
          <w:sz w:val="20"/>
          <w:szCs w:val="20"/>
        </w:rPr>
        <w:t>7.</w:t>
      </w:r>
    </w:p>
  </w:footnote>
  <w:footnote w:id="202">
    <w:p w14:paraId="40B68F93" w14:textId="77777777" w:rsidR="009447C3" w:rsidRPr="007C28D2" w:rsidRDefault="009447C3" w:rsidP="009447C3">
      <w:pPr>
        <w:pStyle w:val="Notedebasdepage"/>
      </w:pPr>
      <w:r w:rsidRPr="00FA14DC">
        <w:rPr>
          <w:rStyle w:val="Appelnotedebasdep"/>
        </w:rPr>
        <w:footnoteRef/>
      </w:r>
      <w:r w:rsidRPr="00FA14DC">
        <w:tab/>
      </w:r>
      <w:r w:rsidRPr="00FA14DC">
        <w:rPr>
          <w:i/>
          <w:iCs/>
        </w:rPr>
        <w:t>R. c. Ladouceur</w:t>
      </w:r>
      <w:r w:rsidRPr="00FA14DC">
        <w:t>, [1990] 1 R.C.S. 1257, p. 1287.</w:t>
      </w:r>
    </w:p>
  </w:footnote>
  <w:footnote w:id="203">
    <w:p w14:paraId="6C0900D9" w14:textId="709BEE77" w:rsidR="00C23BA3" w:rsidRDefault="00C23BA3">
      <w:pPr>
        <w:pStyle w:val="Notedebasdepage"/>
      </w:pPr>
      <w:r>
        <w:rPr>
          <w:rStyle w:val="Appelnotedebasdep"/>
        </w:rPr>
        <w:footnoteRef/>
      </w:r>
      <w:r>
        <w:t xml:space="preserve"> </w:t>
      </w:r>
      <w:r>
        <w:tab/>
        <w:t>La Cour reviendra plus en détail sur le critère de la mise en balance dans son analyse de la justification de l’atteinte au droit à l’égalité garanti par le par</w:t>
      </w:r>
      <w:r w:rsidR="000B7EEC">
        <w:t>.</w:t>
      </w:r>
      <w:r>
        <w:t xml:space="preserve"> 15(1) de la </w:t>
      </w:r>
      <w:r w:rsidRPr="00F025D8">
        <w:rPr>
          <w:i/>
          <w:iCs/>
        </w:rPr>
        <w:t>Charte</w:t>
      </w:r>
      <w:r>
        <w:t xml:space="preserve"> (</w:t>
      </w:r>
      <w:r w:rsidRPr="00C23BA3">
        <w:rPr>
          <w:i/>
          <w:iCs/>
        </w:rPr>
        <w:t>infra</w:t>
      </w:r>
      <w:r>
        <w:t xml:space="preserve">, par. </w:t>
      </w:r>
      <w:r>
        <w:fldChar w:fldCharType="begin"/>
      </w:r>
      <w:r>
        <w:instrText xml:space="preserve"> REF _Ref178071153 \r \h </w:instrText>
      </w:r>
      <w:r>
        <w:fldChar w:fldCharType="separate"/>
      </w:r>
      <w:r w:rsidR="0040330D">
        <w:t>[207]</w:t>
      </w:r>
      <w:r>
        <w:fldChar w:fldCharType="end"/>
      </w:r>
      <w:r>
        <w:t xml:space="preserve"> à </w:t>
      </w:r>
      <w:r w:rsidR="0035334A">
        <w:fldChar w:fldCharType="begin"/>
      </w:r>
      <w:r w:rsidR="0035334A">
        <w:instrText xml:space="preserve"> REF _Ref180158645 \r \h </w:instrText>
      </w:r>
      <w:r w:rsidR="0035334A">
        <w:fldChar w:fldCharType="separate"/>
      </w:r>
      <w:r w:rsidR="0040330D">
        <w:t>[216]</w:t>
      </w:r>
      <w:r w:rsidR="0035334A">
        <w:fldChar w:fldCharType="end"/>
      </w:r>
      <w:r>
        <w:t>).</w:t>
      </w:r>
    </w:p>
  </w:footnote>
  <w:footnote w:id="204">
    <w:p w14:paraId="601ED17A" w14:textId="27CA0FD2" w:rsidR="00211F21" w:rsidRDefault="00211F21" w:rsidP="00211F21">
      <w:pPr>
        <w:pStyle w:val="Notedebasdepage"/>
      </w:pPr>
      <w:r w:rsidRPr="007C28D2">
        <w:rPr>
          <w:rStyle w:val="Appelnotedebasdep"/>
        </w:rPr>
        <w:footnoteRef/>
      </w:r>
      <w:r w:rsidRPr="007C28D2">
        <w:t xml:space="preserve"> </w:t>
      </w:r>
      <w:r w:rsidR="00B723D2" w:rsidRPr="007C28D2">
        <w:tab/>
      </w:r>
      <w:r w:rsidRPr="007C28D2">
        <w:t>Jugement de première instance, par. 704.</w:t>
      </w:r>
      <w:r>
        <w:t xml:space="preserve"> </w:t>
      </w:r>
    </w:p>
  </w:footnote>
  <w:footnote w:id="205">
    <w:p w14:paraId="2ED59B33" w14:textId="2F8BA6AE" w:rsidR="001D459F" w:rsidRPr="007C28D2" w:rsidRDefault="001D459F" w:rsidP="001D459F">
      <w:pPr>
        <w:pStyle w:val="Notedebasdepage"/>
      </w:pPr>
      <w:r w:rsidRPr="007C28D2">
        <w:rPr>
          <w:rStyle w:val="Appelnotedebasdep"/>
        </w:rPr>
        <w:footnoteRef/>
      </w:r>
      <w:r w:rsidRPr="007C28D2">
        <w:tab/>
      </w:r>
      <w:r w:rsidRPr="007C28D2">
        <w:rPr>
          <w:i/>
          <w:iCs/>
        </w:rPr>
        <w:t>Renvoi sur la Motor Vehicle Act (C.-B.)</w:t>
      </w:r>
      <w:r w:rsidRPr="007C28D2">
        <w:t xml:space="preserve">, </w:t>
      </w:r>
      <w:r w:rsidR="00E244D7" w:rsidRPr="007C28D2">
        <w:t>[1985] 2 R.C.S. 486</w:t>
      </w:r>
      <w:r w:rsidRPr="007C28D2">
        <w:t xml:space="preserve">, </w:t>
      </w:r>
      <w:r w:rsidR="00E244D7" w:rsidRPr="007C28D2">
        <w:t>p. 502-503</w:t>
      </w:r>
      <w:r w:rsidRPr="007C28D2">
        <w:t>.</w:t>
      </w:r>
    </w:p>
  </w:footnote>
  <w:footnote w:id="206">
    <w:p w14:paraId="53AFC7BF" w14:textId="7E30263C" w:rsidR="001D459F" w:rsidRPr="007C28D2" w:rsidRDefault="001D459F" w:rsidP="001D459F">
      <w:pPr>
        <w:pStyle w:val="Notedebasdepage"/>
      </w:pPr>
      <w:r w:rsidRPr="007C28D2">
        <w:rPr>
          <w:rStyle w:val="Appelnotedebasdep"/>
        </w:rPr>
        <w:footnoteRef/>
      </w:r>
      <w:r w:rsidRPr="007C28D2">
        <w:tab/>
      </w:r>
      <w:r w:rsidRPr="007C28D2">
        <w:rPr>
          <w:i/>
          <w:iCs/>
        </w:rPr>
        <w:t>I</w:t>
      </w:r>
      <w:r w:rsidR="00E244D7" w:rsidRPr="007C28D2">
        <w:rPr>
          <w:i/>
          <w:iCs/>
        </w:rPr>
        <w:t>d.</w:t>
      </w:r>
      <w:r w:rsidR="00E244D7" w:rsidRPr="007C28D2">
        <w:t>, p.</w:t>
      </w:r>
      <w:r w:rsidR="00C13395">
        <w:t xml:space="preserve"> </w:t>
      </w:r>
      <w:r w:rsidR="00E244D7" w:rsidRPr="007C28D2">
        <w:t>502.</w:t>
      </w:r>
    </w:p>
  </w:footnote>
  <w:footnote w:id="207">
    <w:p w14:paraId="198ECA86" w14:textId="15439B4A" w:rsidR="001D459F" w:rsidRPr="007C28D2" w:rsidRDefault="001D459F" w:rsidP="001D459F">
      <w:pPr>
        <w:pStyle w:val="Notedebasdepage"/>
      </w:pPr>
      <w:r w:rsidRPr="007C28D2">
        <w:rPr>
          <w:rStyle w:val="Appelnotedebasdep"/>
        </w:rPr>
        <w:footnoteRef/>
      </w:r>
      <w:r w:rsidRPr="007C28D2">
        <w:tab/>
      </w:r>
      <w:r w:rsidR="009F3C2B" w:rsidRPr="007C28D2">
        <w:rPr>
          <w:i/>
          <w:iCs/>
        </w:rPr>
        <w:t>Ibid</w:t>
      </w:r>
      <w:r w:rsidRPr="007C28D2">
        <w:t>.</w:t>
      </w:r>
    </w:p>
  </w:footnote>
  <w:footnote w:id="208">
    <w:p w14:paraId="410564B0" w14:textId="7CB7507B" w:rsidR="006657D1" w:rsidRDefault="006657D1" w:rsidP="006657D1">
      <w:pPr>
        <w:pStyle w:val="Notedebasdepage"/>
      </w:pPr>
      <w:r w:rsidRPr="007C28D2">
        <w:rPr>
          <w:rStyle w:val="Appelnotedebasdep"/>
        </w:rPr>
        <w:footnoteRef/>
      </w:r>
      <w:r w:rsidRPr="007C28D2">
        <w:tab/>
        <w:t xml:space="preserve">C’est aussi la conclusion à laquelle en vient la Cour suprême dans l’arrêt </w:t>
      </w:r>
      <w:r w:rsidRPr="007C28D2">
        <w:rPr>
          <w:i/>
          <w:iCs/>
        </w:rPr>
        <w:t>R. c. Swain</w:t>
      </w:r>
      <w:r w:rsidRPr="007C28D2">
        <w:t>, [1991] 1 R.C.S.</w:t>
      </w:r>
      <w:r w:rsidR="00C13395">
        <w:t> </w:t>
      </w:r>
      <w:r w:rsidRPr="007C28D2">
        <w:t xml:space="preserve">933, p. 1012. Voir également, en lien avec une atteinte à l’art. 8 de la </w:t>
      </w:r>
      <w:r w:rsidRPr="007C28D2">
        <w:rPr>
          <w:i/>
          <w:iCs/>
        </w:rPr>
        <w:t>Charte</w:t>
      </w:r>
      <w:r w:rsidRPr="007C28D2">
        <w:t xml:space="preserve"> : </w:t>
      </w:r>
      <w:r w:rsidRPr="007C28D2">
        <w:rPr>
          <w:i/>
          <w:iCs/>
        </w:rPr>
        <w:t>R.</w:t>
      </w:r>
      <w:r w:rsidR="00C13395">
        <w:rPr>
          <w:i/>
          <w:iCs/>
        </w:rPr>
        <w:t> </w:t>
      </w:r>
      <w:r w:rsidRPr="007C28D2">
        <w:rPr>
          <w:i/>
          <w:iCs/>
        </w:rPr>
        <w:t>c.</w:t>
      </w:r>
      <w:r w:rsidR="00C13395">
        <w:rPr>
          <w:i/>
          <w:iCs/>
        </w:rPr>
        <w:t> </w:t>
      </w:r>
      <w:r w:rsidRPr="007C28D2">
        <w:rPr>
          <w:i/>
          <w:iCs/>
        </w:rPr>
        <w:t>Rodgers</w:t>
      </w:r>
      <w:r w:rsidRPr="007C28D2">
        <w:t>, 2006 CSC 15, par. 23-24.</w:t>
      </w:r>
    </w:p>
  </w:footnote>
  <w:footnote w:id="209">
    <w:p w14:paraId="4FFDB532" w14:textId="276010AB" w:rsidR="00BA4D5F" w:rsidRDefault="00BA4D5F">
      <w:pPr>
        <w:pStyle w:val="Notedebasdepage"/>
      </w:pPr>
      <w:r>
        <w:rPr>
          <w:rStyle w:val="Appelnotedebasdep"/>
        </w:rPr>
        <w:footnoteRef/>
      </w:r>
      <w:r>
        <w:t xml:space="preserve"> </w:t>
      </w:r>
      <w:r w:rsidRPr="00BA4D5F">
        <w:rPr>
          <w:i/>
          <w:iCs/>
        </w:rPr>
        <w:t>R. c. Ladouceur</w:t>
      </w:r>
      <w:r>
        <w:t>, [1990] 1 R.C.S. 1257, p. 1278.</w:t>
      </w:r>
    </w:p>
  </w:footnote>
  <w:footnote w:id="210">
    <w:p w14:paraId="01DB7A13" w14:textId="3454254B"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Fraser c. Canada (Procureur général)</w:t>
      </w:r>
      <w:r w:rsidRPr="007C28D2">
        <w:t>, 2020</w:t>
      </w:r>
      <w:r w:rsidR="0002577C">
        <w:t xml:space="preserve"> </w:t>
      </w:r>
      <w:r w:rsidRPr="007C28D2">
        <w:t>CSC</w:t>
      </w:r>
      <w:r w:rsidR="0002577C">
        <w:t xml:space="preserve"> </w:t>
      </w:r>
      <w:r w:rsidRPr="007C28D2">
        <w:t>28, par.</w:t>
      </w:r>
      <w:r w:rsidR="0002577C">
        <w:t xml:space="preserve"> </w:t>
      </w:r>
      <w:r w:rsidRPr="007C28D2">
        <w:t xml:space="preserve">40; </w:t>
      </w:r>
      <w:r w:rsidRPr="007C28D2">
        <w:rPr>
          <w:i/>
          <w:iCs/>
        </w:rPr>
        <w:t>Québec (Procureure générale) c. Alliance du personnel professionnel et technique de la santé et des services sociaux</w:t>
      </w:r>
      <w:r w:rsidRPr="007C28D2">
        <w:t>, 2018</w:t>
      </w:r>
      <w:r w:rsidR="0002577C">
        <w:t xml:space="preserve"> </w:t>
      </w:r>
      <w:r w:rsidRPr="007C28D2">
        <w:t>CSC</w:t>
      </w:r>
      <w:r w:rsidR="0002577C">
        <w:t xml:space="preserve"> </w:t>
      </w:r>
      <w:r w:rsidRPr="007C28D2">
        <w:t xml:space="preserve">17, par. 25; </w:t>
      </w:r>
      <w:r w:rsidRPr="007C28D2">
        <w:rPr>
          <w:i/>
          <w:iCs/>
        </w:rPr>
        <w:t>Première Nation de Kahkewistahaw c. Taypotat</w:t>
      </w:r>
      <w:r w:rsidRPr="007C28D2">
        <w:t>, 2015</w:t>
      </w:r>
      <w:r w:rsidR="0002577C">
        <w:t xml:space="preserve"> </w:t>
      </w:r>
      <w:r w:rsidRPr="007C28D2">
        <w:t>CSC</w:t>
      </w:r>
      <w:r w:rsidR="0002577C">
        <w:t xml:space="preserve"> </w:t>
      </w:r>
      <w:r w:rsidRPr="007C28D2">
        <w:t>30, par.</w:t>
      </w:r>
      <w:r w:rsidR="0002577C">
        <w:t xml:space="preserve"> </w:t>
      </w:r>
      <w:r w:rsidRPr="007C28D2">
        <w:t>17.</w:t>
      </w:r>
    </w:p>
  </w:footnote>
  <w:footnote w:id="211">
    <w:p w14:paraId="5BE6EDF6" w14:textId="3B086D0E" w:rsidR="001A3EF8" w:rsidRPr="007C28D2" w:rsidRDefault="001A3EF8" w:rsidP="001A3EF8">
      <w:pPr>
        <w:pStyle w:val="Notedebasdepage"/>
      </w:pPr>
      <w:r w:rsidRPr="007C28D2">
        <w:rPr>
          <w:rStyle w:val="Appelnotedebasdep"/>
        </w:rPr>
        <w:footnoteRef/>
      </w:r>
      <w:r w:rsidRPr="007C28D2">
        <w:t xml:space="preserve"> </w:t>
      </w:r>
      <w:r w:rsidRPr="007C28D2">
        <w:tab/>
        <w:t xml:space="preserve">Au sujet de l’égalité formelle, voir notamment : </w:t>
      </w:r>
      <w:r w:rsidRPr="007C28D2">
        <w:rPr>
          <w:i/>
          <w:iCs/>
        </w:rPr>
        <w:t>Ontario (Procureur général) c. G</w:t>
      </w:r>
      <w:r w:rsidRPr="007C28D2">
        <w:t>., 2020</w:t>
      </w:r>
      <w:r w:rsidR="0002577C">
        <w:t xml:space="preserve"> </w:t>
      </w:r>
      <w:r w:rsidRPr="007C28D2">
        <w:t>CSC</w:t>
      </w:r>
      <w:r w:rsidR="0002577C">
        <w:t xml:space="preserve"> </w:t>
      </w:r>
      <w:r w:rsidRPr="007C28D2">
        <w:t xml:space="preserve">38, par. 44; </w:t>
      </w:r>
      <w:r w:rsidRPr="007C28D2">
        <w:rPr>
          <w:i/>
          <w:iCs/>
        </w:rPr>
        <w:t>Withler c. Canada (Procureur général)</w:t>
      </w:r>
      <w:r w:rsidRPr="007C28D2">
        <w:t>, 2011</w:t>
      </w:r>
      <w:r w:rsidR="0002577C">
        <w:t xml:space="preserve"> </w:t>
      </w:r>
      <w:r w:rsidRPr="007C28D2">
        <w:t>CSC</w:t>
      </w:r>
      <w:r w:rsidR="0002577C">
        <w:t xml:space="preserve"> </w:t>
      </w:r>
      <w:r w:rsidRPr="007C28D2">
        <w:t xml:space="preserve">12, par. 2; </w:t>
      </w:r>
      <w:r w:rsidRPr="007C28D2">
        <w:rPr>
          <w:i/>
          <w:iCs/>
        </w:rPr>
        <w:t>Andrews c. Law Society of British Columbia</w:t>
      </w:r>
      <w:r w:rsidRPr="007C28D2">
        <w:t>, [1989]</w:t>
      </w:r>
      <w:r w:rsidR="0002577C">
        <w:t xml:space="preserve"> </w:t>
      </w:r>
      <w:r w:rsidRPr="007C28D2">
        <w:t>1</w:t>
      </w:r>
      <w:r w:rsidR="0002577C">
        <w:t xml:space="preserve"> </w:t>
      </w:r>
      <w:r w:rsidRPr="007C28D2">
        <w:t>R.C.S.</w:t>
      </w:r>
      <w:r w:rsidR="0002577C">
        <w:t xml:space="preserve"> </w:t>
      </w:r>
      <w:r w:rsidRPr="007C28D2">
        <w:t>143, p.</w:t>
      </w:r>
      <w:r w:rsidR="0002577C">
        <w:t xml:space="preserve"> </w:t>
      </w:r>
      <w:r w:rsidRPr="007C28D2">
        <w:t>166.</w:t>
      </w:r>
    </w:p>
  </w:footnote>
  <w:footnote w:id="212">
    <w:p w14:paraId="4543E603" w14:textId="0DD6F4FC"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Première Nation de Kahkewistahaw c. Taypotat</w:t>
      </w:r>
      <w:r w:rsidRPr="007C28D2">
        <w:t>, 2015</w:t>
      </w:r>
      <w:r w:rsidR="0002577C">
        <w:t xml:space="preserve"> </w:t>
      </w:r>
      <w:r w:rsidRPr="007C28D2">
        <w:t>CSC</w:t>
      </w:r>
      <w:r w:rsidR="0002577C">
        <w:t xml:space="preserve"> </w:t>
      </w:r>
      <w:r w:rsidRPr="007C28D2">
        <w:t>30, par.</w:t>
      </w:r>
      <w:r w:rsidR="0002577C">
        <w:t xml:space="preserve"> </w:t>
      </w:r>
      <w:r w:rsidRPr="007C28D2">
        <w:t>17.</w:t>
      </w:r>
    </w:p>
  </w:footnote>
  <w:footnote w:id="213">
    <w:p w14:paraId="58DBE44B" w14:textId="28797359" w:rsidR="001A3EF8" w:rsidRPr="007C28D2" w:rsidRDefault="001A3EF8" w:rsidP="007262F9">
      <w:pPr>
        <w:spacing w:line="240" w:lineRule="auto"/>
        <w:ind w:left="357" w:hanging="357"/>
        <w:jc w:val="both"/>
        <w:rPr>
          <w:sz w:val="20"/>
          <w:lang w:eastAsia="fr-CA"/>
        </w:rPr>
      </w:pPr>
      <w:r w:rsidRPr="007C28D2">
        <w:rPr>
          <w:rStyle w:val="Appelnotedebasdep"/>
          <w:sz w:val="20"/>
        </w:rPr>
        <w:footnoteRef/>
      </w:r>
      <w:r w:rsidRPr="007C28D2">
        <w:rPr>
          <w:sz w:val="20"/>
        </w:rPr>
        <w:t xml:space="preserve"> </w:t>
      </w:r>
      <w:r w:rsidRPr="007C28D2">
        <w:rPr>
          <w:sz w:val="20"/>
        </w:rPr>
        <w:tab/>
      </w:r>
      <w:r w:rsidRPr="007C28D2">
        <w:rPr>
          <w:i/>
          <w:iCs/>
          <w:sz w:val="20"/>
        </w:rPr>
        <w:t>Ibid</w:t>
      </w:r>
      <w:r w:rsidRPr="007C28D2">
        <w:rPr>
          <w:sz w:val="20"/>
        </w:rPr>
        <w:t xml:space="preserve">. Voir aussi : </w:t>
      </w:r>
      <w:r w:rsidRPr="007C28D2">
        <w:rPr>
          <w:i/>
          <w:iCs/>
          <w:sz w:val="20"/>
        </w:rPr>
        <w:t>Andrews c. Law Society of British Columbia</w:t>
      </w:r>
      <w:r w:rsidRPr="007C28D2">
        <w:rPr>
          <w:sz w:val="20"/>
        </w:rPr>
        <w:t>, [1989]</w:t>
      </w:r>
      <w:r w:rsidR="0002577C">
        <w:rPr>
          <w:sz w:val="20"/>
        </w:rPr>
        <w:t xml:space="preserve"> </w:t>
      </w:r>
      <w:r w:rsidRPr="007C28D2">
        <w:rPr>
          <w:sz w:val="20"/>
        </w:rPr>
        <w:t>1</w:t>
      </w:r>
      <w:r w:rsidR="0002577C">
        <w:rPr>
          <w:sz w:val="20"/>
        </w:rPr>
        <w:t xml:space="preserve"> </w:t>
      </w:r>
      <w:r w:rsidRPr="007C28D2">
        <w:rPr>
          <w:sz w:val="20"/>
        </w:rPr>
        <w:t>R.C.S.</w:t>
      </w:r>
      <w:r w:rsidR="0002577C">
        <w:rPr>
          <w:sz w:val="20"/>
        </w:rPr>
        <w:t xml:space="preserve"> </w:t>
      </w:r>
      <w:r w:rsidRPr="007C28D2">
        <w:rPr>
          <w:sz w:val="20"/>
        </w:rPr>
        <w:t>143, p. 164</w:t>
      </w:r>
      <w:r w:rsidRPr="007C28D2">
        <w:rPr>
          <w:sz w:val="20"/>
        </w:rPr>
        <w:noBreakHyphen/>
        <w:t xml:space="preserve">168; </w:t>
      </w:r>
      <w:r w:rsidRPr="007C28D2">
        <w:rPr>
          <w:i/>
          <w:iCs/>
          <w:sz w:val="20"/>
        </w:rPr>
        <w:t>Procureur général du Québec c. Centre de lutte contre l'oppression des genres</w:t>
      </w:r>
      <w:r w:rsidRPr="007C28D2">
        <w:rPr>
          <w:sz w:val="20"/>
        </w:rPr>
        <w:t>, 2024 QCCA 348, par. 111 (motifs majoritaires des j. Marcotte et Hogue) et 219 (motifs concordants du j. Hamilton).</w:t>
      </w:r>
    </w:p>
  </w:footnote>
  <w:footnote w:id="214">
    <w:p w14:paraId="06D1FDF9" w14:textId="14C772B5"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Withler c. Canada (Procureur général)</w:t>
      </w:r>
      <w:r w:rsidRPr="007C28D2">
        <w:t>, 2011</w:t>
      </w:r>
      <w:r w:rsidR="0002577C">
        <w:t xml:space="preserve"> </w:t>
      </w:r>
      <w:r w:rsidRPr="007C28D2">
        <w:t>CSC</w:t>
      </w:r>
      <w:r w:rsidR="0002577C">
        <w:t xml:space="preserve"> </w:t>
      </w:r>
      <w:r w:rsidRPr="007C28D2">
        <w:t>12, par. 39.</w:t>
      </w:r>
    </w:p>
  </w:footnote>
  <w:footnote w:id="215">
    <w:p w14:paraId="4108DC13" w14:textId="77777777"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Ibid</w:t>
      </w:r>
      <w:r w:rsidRPr="007C28D2">
        <w:t>.</w:t>
      </w:r>
    </w:p>
  </w:footnote>
  <w:footnote w:id="216">
    <w:p w14:paraId="0BEF9B99" w14:textId="0D776748" w:rsidR="001A3EF8" w:rsidRPr="007C28D2" w:rsidRDefault="001A3EF8" w:rsidP="001A3EF8">
      <w:pPr>
        <w:pStyle w:val="Notedebasdepage"/>
      </w:pPr>
      <w:r w:rsidRPr="007C28D2">
        <w:rPr>
          <w:rStyle w:val="Appelnotedebasdep"/>
        </w:rPr>
        <w:footnoteRef/>
      </w:r>
      <w:r w:rsidRPr="007C28D2">
        <w:t xml:space="preserve"> </w:t>
      </w:r>
      <w:r w:rsidRPr="007C28D2">
        <w:tab/>
      </w:r>
      <w:r w:rsidR="005F3641" w:rsidRPr="007C28D2">
        <w:rPr>
          <w:i/>
          <w:iCs/>
        </w:rPr>
        <w:t>Id.</w:t>
      </w:r>
      <w:r w:rsidRPr="007C28D2">
        <w:t>, par. 2.</w:t>
      </w:r>
    </w:p>
  </w:footnote>
  <w:footnote w:id="217">
    <w:p w14:paraId="0230F622" w14:textId="246B1A0A" w:rsidR="001A3EF8" w:rsidRDefault="001A3EF8" w:rsidP="001A3EF8">
      <w:pPr>
        <w:pStyle w:val="Notedebasdepage"/>
      </w:pPr>
      <w:r w:rsidRPr="007C28D2">
        <w:rPr>
          <w:rStyle w:val="Appelnotedebasdep"/>
        </w:rPr>
        <w:footnoteRef/>
      </w:r>
      <w:r w:rsidRPr="007C28D2">
        <w:t xml:space="preserve"> </w:t>
      </w:r>
      <w:r w:rsidRPr="007C28D2">
        <w:tab/>
        <w:t xml:space="preserve">Voir notamment : </w:t>
      </w:r>
      <w:r w:rsidRPr="007C28D2">
        <w:rPr>
          <w:i/>
          <w:iCs/>
        </w:rPr>
        <w:t>Fraser c. Canada (Procureur général)</w:t>
      </w:r>
      <w:r w:rsidRPr="007C28D2">
        <w:t>, 2020</w:t>
      </w:r>
      <w:r w:rsidR="0002577C">
        <w:t xml:space="preserve"> </w:t>
      </w:r>
      <w:r w:rsidRPr="007C28D2">
        <w:t>CSC</w:t>
      </w:r>
      <w:r w:rsidR="0002577C">
        <w:t xml:space="preserve"> </w:t>
      </w:r>
      <w:r w:rsidRPr="007C28D2">
        <w:t>28, par.</w:t>
      </w:r>
      <w:r w:rsidR="0002577C">
        <w:t xml:space="preserve"> </w:t>
      </w:r>
      <w:r w:rsidRPr="007C28D2">
        <w:t>43</w:t>
      </w:r>
      <w:r w:rsidR="00BE59BB" w:rsidRPr="007C28D2">
        <w:noBreakHyphen/>
      </w:r>
      <w:r w:rsidRPr="007C28D2">
        <w:t xml:space="preserve">45; </w:t>
      </w:r>
      <w:r w:rsidRPr="007C28D2">
        <w:rPr>
          <w:i/>
          <w:iCs/>
        </w:rPr>
        <w:t>Withler c. Canada (Procureur général)</w:t>
      </w:r>
      <w:r w:rsidRPr="007C28D2">
        <w:t>, 2011</w:t>
      </w:r>
      <w:r w:rsidR="0002577C">
        <w:t xml:space="preserve"> </w:t>
      </w:r>
      <w:r w:rsidRPr="007C28D2">
        <w:t>CSC</w:t>
      </w:r>
      <w:r w:rsidR="0002577C">
        <w:t xml:space="preserve"> </w:t>
      </w:r>
      <w:r w:rsidRPr="007C28D2">
        <w:t>12, par.</w:t>
      </w:r>
      <w:r w:rsidR="00A2570B">
        <w:t xml:space="preserve"> </w:t>
      </w:r>
      <w:r w:rsidRPr="007C28D2">
        <w:t xml:space="preserve">64; </w:t>
      </w:r>
      <w:r w:rsidRPr="007C28D2">
        <w:rPr>
          <w:i/>
          <w:iCs/>
        </w:rPr>
        <w:t>Eldridge c. Colombie</w:t>
      </w:r>
      <w:r w:rsidRPr="007C28D2">
        <w:rPr>
          <w:i/>
          <w:iCs/>
        </w:rPr>
        <w:noBreakHyphen/>
        <w:t>Britannique (Procureur général)</w:t>
      </w:r>
      <w:r w:rsidRPr="007C28D2">
        <w:t>, [1997] 3 R.C.S.</w:t>
      </w:r>
      <w:r w:rsidR="00A2570B">
        <w:t xml:space="preserve"> </w:t>
      </w:r>
      <w:r w:rsidRPr="007C28D2">
        <w:t>624, par.</w:t>
      </w:r>
      <w:r w:rsidR="00A2570B">
        <w:t xml:space="preserve"> </w:t>
      </w:r>
      <w:r w:rsidRPr="007C28D2">
        <w:t xml:space="preserve">61; </w:t>
      </w:r>
      <w:r w:rsidRPr="007C28D2">
        <w:rPr>
          <w:i/>
          <w:iCs/>
        </w:rPr>
        <w:t>Vriend c. Alberta</w:t>
      </w:r>
      <w:r w:rsidRPr="007C28D2">
        <w:t>, [1998]</w:t>
      </w:r>
      <w:r w:rsidR="00A2570B">
        <w:t xml:space="preserve"> </w:t>
      </w:r>
      <w:r w:rsidRPr="007C28D2">
        <w:t>1</w:t>
      </w:r>
      <w:r w:rsidR="00A2570B">
        <w:t xml:space="preserve"> </w:t>
      </w:r>
      <w:r w:rsidRPr="007C28D2">
        <w:t>R.C.S.</w:t>
      </w:r>
      <w:r w:rsidR="00A2570B">
        <w:t xml:space="preserve"> </w:t>
      </w:r>
      <w:r w:rsidRPr="007C28D2">
        <w:t>493, par.</w:t>
      </w:r>
      <w:r w:rsidR="00A2570B">
        <w:t xml:space="preserve"> </w:t>
      </w:r>
      <w:r w:rsidRPr="007C28D2">
        <w:t>82</w:t>
      </w:r>
      <w:r w:rsidRPr="007C28D2">
        <w:noBreakHyphen/>
        <w:t xml:space="preserve">83; </w:t>
      </w:r>
      <w:r w:rsidRPr="007C28D2">
        <w:rPr>
          <w:i/>
          <w:iCs/>
        </w:rPr>
        <w:t>Commission ontarienne des droits de la personne c. Simpson</w:t>
      </w:r>
      <w:r w:rsidRPr="007C28D2">
        <w:rPr>
          <w:i/>
          <w:iCs/>
        </w:rPr>
        <w:noBreakHyphen/>
        <w:t>Sears</w:t>
      </w:r>
      <w:r w:rsidR="00BE59BB" w:rsidRPr="007C28D2">
        <w:rPr>
          <w:i/>
          <w:iCs/>
        </w:rPr>
        <w:t xml:space="preserve"> Ltd.</w:t>
      </w:r>
      <w:r w:rsidRPr="007C28D2">
        <w:t>, [1985]</w:t>
      </w:r>
      <w:r w:rsidR="0002577C">
        <w:t xml:space="preserve"> </w:t>
      </w:r>
      <w:r w:rsidRPr="007C28D2">
        <w:t>2</w:t>
      </w:r>
      <w:r w:rsidR="0002577C">
        <w:t xml:space="preserve"> </w:t>
      </w:r>
      <w:r w:rsidRPr="007C28D2">
        <w:t>R.C.S.</w:t>
      </w:r>
      <w:r w:rsidR="0002577C">
        <w:t xml:space="preserve"> </w:t>
      </w:r>
      <w:r w:rsidRPr="007C28D2">
        <w:t>536, p.</w:t>
      </w:r>
      <w:r w:rsidR="0002577C">
        <w:t xml:space="preserve"> </w:t>
      </w:r>
      <w:r w:rsidRPr="007C28D2">
        <w:t>551.</w:t>
      </w:r>
    </w:p>
  </w:footnote>
  <w:footnote w:id="218">
    <w:p w14:paraId="2B5F16A6" w14:textId="73331B2B"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Fraser c. Canada (Procureur général)</w:t>
      </w:r>
      <w:r w:rsidRPr="007C28D2">
        <w:t>, 2020</w:t>
      </w:r>
      <w:r w:rsidR="00E04DC5">
        <w:t xml:space="preserve"> </w:t>
      </w:r>
      <w:r w:rsidRPr="007C28D2">
        <w:t>CSC</w:t>
      </w:r>
      <w:r w:rsidR="00E04DC5">
        <w:t xml:space="preserve"> </w:t>
      </w:r>
      <w:r w:rsidRPr="007C28D2">
        <w:t xml:space="preserve">28, par. 30. Voir aussi : </w:t>
      </w:r>
      <w:r w:rsidRPr="007C28D2">
        <w:rPr>
          <w:i/>
          <w:iCs/>
        </w:rPr>
        <w:t>Withler c. Canada (Procureur général)</w:t>
      </w:r>
      <w:r w:rsidRPr="007C28D2">
        <w:t>, 2011</w:t>
      </w:r>
      <w:r w:rsidR="00E04DC5">
        <w:t xml:space="preserve"> </w:t>
      </w:r>
      <w:r w:rsidRPr="007C28D2">
        <w:t>CSC</w:t>
      </w:r>
      <w:r w:rsidR="00E04DC5">
        <w:t xml:space="preserve"> </w:t>
      </w:r>
      <w:r w:rsidRPr="007C28D2">
        <w:t>12, par.</w:t>
      </w:r>
      <w:r w:rsidR="00E04DC5">
        <w:t xml:space="preserve"> </w:t>
      </w:r>
      <w:r w:rsidRPr="007C28D2">
        <w:t>64.</w:t>
      </w:r>
    </w:p>
  </w:footnote>
  <w:footnote w:id="219">
    <w:p w14:paraId="79F49CCB" w14:textId="57F154DF"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 c. Sharma</w:t>
      </w:r>
      <w:r w:rsidRPr="007C28D2">
        <w:t>, 2022 CSC 39</w:t>
      </w:r>
      <w:r w:rsidR="007C28D2" w:rsidRPr="007C28D2">
        <w:t xml:space="preserve"> </w:t>
      </w:r>
      <w:r w:rsidR="00F537A6">
        <w:t>(</w:t>
      </w:r>
      <w:r w:rsidR="007C28D2" w:rsidRPr="007C28D2">
        <w:rPr>
          <w:i/>
          <w:iCs/>
        </w:rPr>
        <w:t>Sharma</w:t>
      </w:r>
      <w:r w:rsidR="00F537A6">
        <w:t>)</w:t>
      </w:r>
      <w:r w:rsidRPr="007C28D2">
        <w:t>, par.</w:t>
      </w:r>
      <w:r w:rsidR="003E28E2">
        <w:t xml:space="preserve"> </w:t>
      </w:r>
      <w:r w:rsidRPr="007C28D2">
        <w:t xml:space="preserve">29. Voir aussi : </w:t>
      </w:r>
      <w:r w:rsidRPr="007C28D2">
        <w:rPr>
          <w:i/>
          <w:iCs/>
        </w:rPr>
        <w:t>Procureur général du Québec c. Kanyinda</w:t>
      </w:r>
      <w:r w:rsidRPr="007C28D2">
        <w:t>, 2024 QCCA 144, par.</w:t>
      </w:r>
      <w:r w:rsidR="00E04DC5">
        <w:t xml:space="preserve"> </w:t>
      </w:r>
      <w:r w:rsidRPr="007C28D2">
        <w:t>83, demande d’autorisation d’appel à la Cour suprême</w:t>
      </w:r>
      <w:r w:rsidR="00521205">
        <w:t xml:space="preserve"> accueillie</w:t>
      </w:r>
      <w:r w:rsidRPr="007C28D2">
        <w:t xml:space="preserve">, </w:t>
      </w:r>
      <w:r w:rsidR="00521205">
        <w:t xml:space="preserve">3 octobre 2024, </w:t>
      </w:r>
      <w:r w:rsidRPr="007C28D2">
        <w:t>n</w:t>
      </w:r>
      <w:r w:rsidRPr="007C28D2">
        <w:rPr>
          <w:vertAlign w:val="superscript"/>
        </w:rPr>
        <w:t>o</w:t>
      </w:r>
      <w:r w:rsidRPr="007C28D2">
        <w:t> 41210.</w:t>
      </w:r>
    </w:p>
  </w:footnote>
  <w:footnote w:id="220">
    <w:p w14:paraId="38301B52" w14:textId="77777777"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Cf</w:t>
      </w:r>
      <w:r w:rsidRPr="007C28D2">
        <w:t>. Jugement de première instance, par. 777-812.</w:t>
      </w:r>
    </w:p>
  </w:footnote>
  <w:footnote w:id="221">
    <w:p w14:paraId="43607CC4" w14:textId="21E8FDD8" w:rsidR="001A3EF8" w:rsidRDefault="001A3EF8" w:rsidP="001A3EF8">
      <w:pPr>
        <w:pStyle w:val="Notedebasdepage"/>
      </w:pPr>
      <w:r w:rsidRPr="007C28D2">
        <w:rPr>
          <w:rStyle w:val="Appelnotedebasdep"/>
        </w:rPr>
        <w:footnoteRef/>
      </w:r>
      <w:r w:rsidRPr="007C28D2">
        <w:tab/>
      </w:r>
      <w:r w:rsidR="00F25741" w:rsidRPr="007C28D2">
        <w:rPr>
          <w:i/>
          <w:iCs/>
        </w:rPr>
        <w:t xml:space="preserve"> R. c. Sharma</w:t>
      </w:r>
      <w:r w:rsidR="00F25741" w:rsidRPr="007C28D2">
        <w:t>, 2022</w:t>
      </w:r>
      <w:r w:rsidR="00E04DC5">
        <w:t xml:space="preserve"> </w:t>
      </w:r>
      <w:r w:rsidR="00F25741" w:rsidRPr="007C28D2">
        <w:t>CSC</w:t>
      </w:r>
      <w:r w:rsidR="00E04DC5">
        <w:t xml:space="preserve"> </w:t>
      </w:r>
      <w:r w:rsidR="00F25741" w:rsidRPr="007C28D2">
        <w:t>39</w:t>
      </w:r>
      <w:r w:rsidRPr="007C28D2">
        <w:t>, par. 33.</w:t>
      </w:r>
    </w:p>
  </w:footnote>
  <w:footnote w:id="222">
    <w:p w14:paraId="6225FFD1" w14:textId="11963203"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Fraser c. Canada (Procureur général)</w:t>
      </w:r>
      <w:r w:rsidRPr="007C28D2">
        <w:t>, 2020</w:t>
      </w:r>
      <w:r w:rsidR="00E04DC5">
        <w:t xml:space="preserve"> </w:t>
      </w:r>
      <w:r w:rsidRPr="007C28D2">
        <w:t>CSC</w:t>
      </w:r>
      <w:r w:rsidR="00E04DC5">
        <w:t xml:space="preserve"> </w:t>
      </w:r>
      <w:r w:rsidRPr="007C28D2">
        <w:t>28, par.</w:t>
      </w:r>
      <w:r w:rsidR="00E04DC5">
        <w:t xml:space="preserve"> </w:t>
      </w:r>
      <w:r w:rsidRPr="007C28D2">
        <w:t>48 (voir aussi le par.</w:t>
      </w:r>
      <w:r w:rsidR="00E04DC5">
        <w:t xml:space="preserve"> </w:t>
      </w:r>
      <w:r w:rsidRPr="007C28D2">
        <w:t>49).</w:t>
      </w:r>
    </w:p>
  </w:footnote>
  <w:footnote w:id="223">
    <w:p w14:paraId="66D3D714" w14:textId="642AC7EA"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 c. Sharma</w:t>
      </w:r>
      <w:r w:rsidRPr="007C28D2">
        <w:t>, 2022 CSC 39, par.</w:t>
      </w:r>
      <w:r w:rsidR="00E04DC5">
        <w:t xml:space="preserve"> </w:t>
      </w:r>
      <w:r w:rsidRPr="007C28D2">
        <w:t>29.</w:t>
      </w:r>
    </w:p>
  </w:footnote>
  <w:footnote w:id="224">
    <w:p w14:paraId="67EF1885" w14:textId="4BE99678"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par.</w:t>
      </w:r>
      <w:r w:rsidR="00E04DC5">
        <w:t xml:space="preserve"> </w:t>
      </w:r>
      <w:r w:rsidRPr="007C28D2">
        <w:t>30.</w:t>
      </w:r>
    </w:p>
  </w:footnote>
  <w:footnote w:id="225">
    <w:p w14:paraId="5A8C82A0" w14:textId="6E5D2621" w:rsidR="001A3EF8"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par. 31 et</w:t>
      </w:r>
      <w:r w:rsidR="0046117A" w:rsidRPr="007C28D2">
        <w:t xml:space="preserve"> </w:t>
      </w:r>
      <w:r w:rsidRPr="007C28D2">
        <w:t xml:space="preserve">40; </w:t>
      </w:r>
      <w:r w:rsidRPr="007C28D2">
        <w:rPr>
          <w:i/>
          <w:iCs/>
        </w:rPr>
        <w:t>Fraser c. Canada (Procureur général)</w:t>
      </w:r>
      <w:r w:rsidRPr="007C28D2">
        <w:t xml:space="preserve">, 2020 CSC 28, par. 52; </w:t>
      </w:r>
      <w:r w:rsidRPr="007C28D2">
        <w:rPr>
          <w:i/>
          <w:iCs/>
        </w:rPr>
        <w:t>Procureur général du Québec c. Kanyinda</w:t>
      </w:r>
      <w:r w:rsidRPr="007C28D2">
        <w:t>, 2024 QCCA 144, par. 84, demande d’autorisation d’appel à la Cour suprême</w:t>
      </w:r>
      <w:r w:rsidR="00521205">
        <w:t xml:space="preserve"> accueillie</w:t>
      </w:r>
      <w:r w:rsidRPr="007C28D2">
        <w:t>,</w:t>
      </w:r>
      <w:r w:rsidR="00521205">
        <w:t xml:space="preserve"> 3 octobre 2024,</w:t>
      </w:r>
      <w:r w:rsidRPr="007C28D2">
        <w:t xml:space="preserve"> n</w:t>
      </w:r>
      <w:r w:rsidRPr="007C28D2">
        <w:rPr>
          <w:vertAlign w:val="superscript"/>
        </w:rPr>
        <w:t>o</w:t>
      </w:r>
      <w:r w:rsidRPr="007C28D2">
        <w:t> 41210.</w:t>
      </w:r>
    </w:p>
  </w:footnote>
  <w:footnote w:id="226">
    <w:p w14:paraId="5B7C2BEF" w14:textId="68AFF222"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 c. Sharma</w:t>
      </w:r>
      <w:r w:rsidRPr="007C28D2">
        <w:t>, 2022 CSC 39, par. 41.</w:t>
      </w:r>
    </w:p>
  </w:footnote>
  <w:footnote w:id="227">
    <w:p w14:paraId="45AE5AAC" w14:textId="28852416" w:rsidR="001A3EF8" w:rsidRPr="007C28D2" w:rsidRDefault="001A3EF8" w:rsidP="001A3EF8">
      <w:pPr>
        <w:pStyle w:val="Notedebasdepage"/>
      </w:pPr>
      <w:r w:rsidRPr="007C28D2">
        <w:rPr>
          <w:rStyle w:val="Appelnotedebasdep"/>
        </w:rPr>
        <w:footnoteRef/>
      </w:r>
      <w:r w:rsidRPr="007C28D2">
        <w:t xml:space="preserve"> </w:t>
      </w:r>
      <w:r w:rsidRPr="007C28D2">
        <w:tab/>
      </w:r>
      <w:r w:rsidR="00FD2642" w:rsidRPr="007C28D2">
        <w:rPr>
          <w:i/>
          <w:iCs/>
        </w:rPr>
        <w:t>I</w:t>
      </w:r>
      <w:r w:rsidRPr="007C28D2">
        <w:rPr>
          <w:i/>
          <w:iCs/>
        </w:rPr>
        <w:t>bid.</w:t>
      </w:r>
      <w:r w:rsidRPr="007C28D2">
        <w:t xml:space="preserve">; </w:t>
      </w:r>
      <w:r w:rsidRPr="007C28D2">
        <w:rPr>
          <w:i/>
          <w:iCs/>
        </w:rPr>
        <w:t>Fraser c. Canada (Procureur général)</w:t>
      </w:r>
      <w:r w:rsidRPr="007C28D2">
        <w:t xml:space="preserve">, 2020 CSC 28, par. 94; </w:t>
      </w:r>
      <w:r w:rsidR="00CA634E">
        <w:rPr>
          <w:i/>
          <w:iCs/>
        </w:rPr>
        <w:t>Québec (Procureure générale) c.</w:t>
      </w:r>
      <w:r w:rsidR="004F733A">
        <w:rPr>
          <w:i/>
          <w:iCs/>
        </w:rPr>
        <w:t xml:space="preserve"> </w:t>
      </w:r>
      <w:r w:rsidRPr="007C28D2">
        <w:rPr>
          <w:i/>
          <w:iCs/>
        </w:rPr>
        <w:t>Alliance du personnel professionnel et technique de la santé et des services sociaux</w:t>
      </w:r>
      <w:r w:rsidRPr="007C28D2">
        <w:t xml:space="preserve">, 2018 CSC 17, par. 27; </w:t>
      </w:r>
      <w:r w:rsidRPr="007C28D2">
        <w:rPr>
          <w:i/>
          <w:iCs/>
        </w:rPr>
        <w:t>Withler c. Canada (Procureur général)</w:t>
      </w:r>
      <w:r w:rsidRPr="007C28D2">
        <w:t>, 2011 CSC 12, par. 5</w:t>
      </w:r>
      <w:r w:rsidR="00CA634E">
        <w:t>5-64</w:t>
      </w:r>
      <w:r w:rsidRPr="007C28D2">
        <w:t xml:space="preserve">; </w:t>
      </w:r>
      <w:r w:rsidRPr="007C28D2">
        <w:rPr>
          <w:i/>
          <w:iCs/>
        </w:rPr>
        <w:t>Procureure générale du Québec c. Association des juristes de l’État</w:t>
      </w:r>
      <w:r w:rsidRPr="007C28D2">
        <w:t>, 2017 QCCA 103, par. 35.</w:t>
      </w:r>
    </w:p>
  </w:footnote>
  <w:footnote w:id="228">
    <w:p w14:paraId="4CD95312" w14:textId="203E48AE"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 c. Sharma</w:t>
      </w:r>
      <w:r w:rsidRPr="007C28D2">
        <w:t>, 2022 CSC 39, par. 31.</w:t>
      </w:r>
    </w:p>
  </w:footnote>
  <w:footnote w:id="229">
    <w:p w14:paraId="4854CA88" w14:textId="01D15277" w:rsidR="001A3EF8"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par.</w:t>
      </w:r>
      <w:r w:rsidR="00E04DC5">
        <w:t xml:space="preserve"> </w:t>
      </w:r>
      <w:r w:rsidRPr="007C28D2">
        <w:t>41.</w:t>
      </w:r>
    </w:p>
  </w:footnote>
  <w:footnote w:id="230">
    <w:p w14:paraId="77EA99F2" w14:textId="21BD4228"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par.</w:t>
      </w:r>
      <w:r w:rsidR="00E04DC5">
        <w:t xml:space="preserve"> </w:t>
      </w:r>
      <w:r w:rsidRPr="007C28D2">
        <w:t>44.</w:t>
      </w:r>
    </w:p>
  </w:footnote>
  <w:footnote w:id="231">
    <w:p w14:paraId="7E20D13F" w14:textId="2D966EE4" w:rsidR="001A3EF8" w:rsidRPr="007C28D2" w:rsidRDefault="001A3EF8" w:rsidP="001A3EF8">
      <w:pPr>
        <w:pStyle w:val="Notedebasdepage"/>
      </w:pPr>
      <w:r w:rsidRPr="007C28D2">
        <w:rPr>
          <w:rStyle w:val="Appelnotedebasdep"/>
        </w:rPr>
        <w:footnoteRef/>
      </w:r>
      <w:r w:rsidRPr="007C28D2">
        <w:t xml:space="preserve"> </w:t>
      </w:r>
      <w:r w:rsidRPr="007C28D2">
        <w:tab/>
      </w:r>
      <w:r w:rsidR="008F260E" w:rsidRPr="007C28D2">
        <w:rPr>
          <w:i/>
          <w:iCs/>
        </w:rPr>
        <w:t>Id.</w:t>
      </w:r>
      <w:r w:rsidRPr="007C28D2">
        <w:t>, par.</w:t>
      </w:r>
      <w:r w:rsidR="00E04DC5">
        <w:t xml:space="preserve"> </w:t>
      </w:r>
      <w:r w:rsidRPr="007C28D2">
        <w:t>42 [italiques dans l’original].</w:t>
      </w:r>
    </w:p>
  </w:footnote>
  <w:footnote w:id="232">
    <w:p w14:paraId="4C08534D" w14:textId="5EDDE98E" w:rsidR="001A3EF8" w:rsidRPr="007C28D2" w:rsidRDefault="001A3EF8" w:rsidP="001A3EF8">
      <w:pPr>
        <w:pStyle w:val="Notedebasdepage"/>
      </w:pPr>
      <w:r w:rsidRPr="007C28D2">
        <w:rPr>
          <w:rStyle w:val="Appelnotedebasdep"/>
        </w:rPr>
        <w:footnoteRef/>
      </w:r>
      <w:r w:rsidRPr="007C28D2">
        <w:t xml:space="preserve"> </w:t>
      </w:r>
      <w:r w:rsidRPr="007C28D2">
        <w:tab/>
      </w:r>
      <w:r w:rsidR="003F5F36" w:rsidRPr="007C28D2">
        <w:rPr>
          <w:i/>
          <w:iCs/>
        </w:rPr>
        <w:t>Id.</w:t>
      </w:r>
      <w:r w:rsidRPr="007C28D2">
        <w:t>, par.</w:t>
      </w:r>
      <w:r w:rsidR="00E04DC5">
        <w:t xml:space="preserve"> </w:t>
      </w:r>
      <w:r w:rsidRPr="007C28D2">
        <w:t xml:space="preserve">49; </w:t>
      </w:r>
      <w:r w:rsidRPr="007C28D2">
        <w:rPr>
          <w:i/>
          <w:iCs/>
        </w:rPr>
        <w:t>Withler c. Canada (Procureur général)</w:t>
      </w:r>
      <w:r w:rsidRPr="007C28D2">
        <w:t xml:space="preserve">, 2011 CSC 12, par. 43. Les éléments de preuve relatifs à la situation du groupe peuvent provenir du demandeur (ou d’autres témoins ordinaires), de témoins experts ou d’un avis juridique : </w:t>
      </w:r>
      <w:r w:rsidRPr="007C28D2">
        <w:rPr>
          <w:i/>
          <w:iCs/>
        </w:rPr>
        <w:t>Fraser c. Canada (Procureur général)</w:t>
      </w:r>
      <w:r w:rsidRPr="007C28D2">
        <w:t>, 2020 CSC 28, par. 57.</w:t>
      </w:r>
    </w:p>
  </w:footnote>
  <w:footnote w:id="233">
    <w:p w14:paraId="76707CB9" w14:textId="56664F29"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 c. Sharma</w:t>
      </w:r>
      <w:r w:rsidRPr="007C28D2">
        <w:t xml:space="preserve">, 2022 CSC 39, par. 49. Les conséquences pratiques de la loi peuvent être démontrées à l’aide d’une preuve statistique, « surtout si le bassin de gens touchés négativement par un critère ou une norme compte </w:t>
      </w:r>
      <w:r w:rsidRPr="007C28D2">
        <w:rPr>
          <w:i/>
          <w:iCs/>
        </w:rPr>
        <w:t>à la fois</w:t>
      </w:r>
      <w:r w:rsidRPr="007C28D2">
        <w:t xml:space="preserve"> des membres d’un groupe protégé </w:t>
      </w:r>
      <w:r w:rsidRPr="007C28D2">
        <w:rPr>
          <w:i/>
          <w:iCs/>
        </w:rPr>
        <w:t>et</w:t>
      </w:r>
      <w:r w:rsidRPr="007C28D2">
        <w:t xml:space="preserve"> des membres des groupes plus avantagés » : </w:t>
      </w:r>
      <w:r w:rsidRPr="007C28D2">
        <w:rPr>
          <w:i/>
          <w:iCs/>
        </w:rPr>
        <w:t>Fraser c. Canada (Procureur général)</w:t>
      </w:r>
      <w:r w:rsidRPr="007C28D2">
        <w:t>, 2020 CSC 28, par. 58 [italiques dans l’original].</w:t>
      </w:r>
    </w:p>
  </w:footnote>
  <w:footnote w:id="234">
    <w:p w14:paraId="546DB78C" w14:textId="38E8200C" w:rsidR="001A3EF8" w:rsidRPr="006A160F" w:rsidRDefault="001A3EF8" w:rsidP="001A3EF8">
      <w:pPr>
        <w:pStyle w:val="Notedebasdepage"/>
        <w:rPr>
          <w:highlight w:val="green"/>
        </w:rPr>
      </w:pPr>
      <w:r w:rsidRPr="007C28D2">
        <w:rPr>
          <w:rStyle w:val="Appelnotedebasdep"/>
        </w:rPr>
        <w:footnoteRef/>
      </w:r>
      <w:r w:rsidRPr="007C28D2">
        <w:t xml:space="preserve"> </w:t>
      </w:r>
      <w:r w:rsidRPr="007C28D2">
        <w:tab/>
      </w:r>
      <w:r w:rsidRPr="007C28D2">
        <w:rPr>
          <w:i/>
          <w:iCs/>
        </w:rPr>
        <w:t>R. c. Sharma</w:t>
      </w:r>
      <w:r w:rsidRPr="007C28D2">
        <w:t xml:space="preserve">, 2022 CSC 39, par. 49. Mais ces deux types d’éléments de preuve ne sont pas toujours requis : </w:t>
      </w:r>
      <w:r w:rsidRPr="007C28D2">
        <w:rPr>
          <w:i/>
          <w:iCs/>
        </w:rPr>
        <w:t>Fraser c. Canada (Procureur général)</w:t>
      </w:r>
      <w:r w:rsidRPr="007C28D2">
        <w:t>, 2020 CSC 28, par. 61.</w:t>
      </w:r>
    </w:p>
  </w:footnote>
  <w:footnote w:id="235">
    <w:p w14:paraId="503D4B49" w14:textId="6B90000A" w:rsidR="001A3EF8" w:rsidRPr="007C28D2" w:rsidRDefault="001A3EF8" w:rsidP="001A3EF8">
      <w:pPr>
        <w:pStyle w:val="Notedebasdepage"/>
      </w:pPr>
      <w:r w:rsidRPr="007C28D2">
        <w:rPr>
          <w:rStyle w:val="Appelnotedebasdep"/>
        </w:rPr>
        <w:footnoteRef/>
      </w:r>
      <w:r w:rsidRPr="007C28D2">
        <w:t xml:space="preserve"> </w:t>
      </w:r>
      <w:r w:rsidRPr="007C28D2">
        <w:tab/>
      </w:r>
      <w:r w:rsidR="004B2392" w:rsidRPr="007C28D2">
        <w:rPr>
          <w:i/>
          <w:iCs/>
        </w:rPr>
        <w:t>R. c. Sharma</w:t>
      </w:r>
      <w:r w:rsidR="004B2392" w:rsidRPr="007C28D2">
        <w:t>, 2022</w:t>
      </w:r>
      <w:r w:rsidR="00E04DC5">
        <w:t xml:space="preserve"> </w:t>
      </w:r>
      <w:r w:rsidR="004B2392" w:rsidRPr="007C28D2">
        <w:t>CSC</w:t>
      </w:r>
      <w:r w:rsidR="00E04DC5">
        <w:t xml:space="preserve"> </w:t>
      </w:r>
      <w:r w:rsidR="004B2392" w:rsidRPr="007C28D2">
        <w:t>39</w:t>
      </w:r>
      <w:r w:rsidRPr="007C28D2">
        <w:t>, par. 50.</w:t>
      </w:r>
    </w:p>
  </w:footnote>
  <w:footnote w:id="236">
    <w:p w14:paraId="5A7DFCEB" w14:textId="77777777" w:rsidR="001A3EF8" w:rsidRPr="007C28D2" w:rsidRDefault="001A3EF8" w:rsidP="001A3EF8">
      <w:pPr>
        <w:pStyle w:val="Notedebasdepage"/>
      </w:pPr>
      <w:r w:rsidRPr="007C28D2">
        <w:rPr>
          <w:rStyle w:val="Appelnotedebasdep"/>
        </w:rPr>
        <w:footnoteRef/>
      </w:r>
      <w:r w:rsidRPr="007C28D2">
        <w:tab/>
      </w:r>
      <w:r w:rsidRPr="007C28D2">
        <w:rPr>
          <w:i/>
          <w:iCs/>
        </w:rPr>
        <w:t>Ibid</w:t>
      </w:r>
      <w:r w:rsidRPr="007C28D2">
        <w:t>.</w:t>
      </w:r>
    </w:p>
  </w:footnote>
  <w:footnote w:id="237">
    <w:p w14:paraId="2E5CB590" w14:textId="5786A714"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par.</w:t>
      </w:r>
      <w:r w:rsidR="00E04DC5">
        <w:t xml:space="preserve"> </w:t>
      </w:r>
      <w:r w:rsidRPr="007C28D2">
        <w:t>51.</w:t>
      </w:r>
    </w:p>
  </w:footnote>
  <w:footnote w:id="238">
    <w:p w14:paraId="35AE2842" w14:textId="0C247112" w:rsidR="001A3EF8" w:rsidRPr="007C28D2" w:rsidRDefault="001A3EF8" w:rsidP="001A3EF8">
      <w:pPr>
        <w:pStyle w:val="Notedebasdepage"/>
      </w:pPr>
      <w:r w:rsidRPr="007C28D2">
        <w:rPr>
          <w:rStyle w:val="Appelnotedebasdep"/>
        </w:rPr>
        <w:footnoteRef/>
      </w:r>
      <w:r w:rsidRPr="007C28D2">
        <w:tab/>
      </w:r>
      <w:r w:rsidR="00273263" w:rsidRPr="007C28D2">
        <w:rPr>
          <w:i/>
          <w:iCs/>
        </w:rPr>
        <w:t>Id</w:t>
      </w:r>
      <w:r w:rsidR="00273263" w:rsidRPr="007C28D2">
        <w:t>., par.</w:t>
      </w:r>
      <w:r w:rsidR="00E04DC5">
        <w:t xml:space="preserve"> </w:t>
      </w:r>
      <w:r w:rsidR="00273263" w:rsidRPr="007C28D2">
        <w:t>52</w:t>
      </w:r>
      <w:r w:rsidRPr="007C28D2">
        <w:t>.</w:t>
      </w:r>
    </w:p>
  </w:footnote>
  <w:footnote w:id="239">
    <w:p w14:paraId="754B48BC" w14:textId="13E55C7E" w:rsidR="001A3EF8" w:rsidRDefault="001A3EF8" w:rsidP="001A3EF8">
      <w:pPr>
        <w:pStyle w:val="Notedebasdepage"/>
      </w:pPr>
      <w:r w:rsidRPr="007C28D2">
        <w:rPr>
          <w:rStyle w:val="Appelnotedebasdep"/>
        </w:rPr>
        <w:footnoteRef/>
      </w:r>
      <w:r w:rsidRPr="007C28D2">
        <w:t xml:space="preserve"> </w:t>
      </w:r>
      <w:r w:rsidRPr="007C28D2">
        <w:tab/>
      </w:r>
      <w:r w:rsidRPr="007C28D2">
        <w:rPr>
          <w:i/>
          <w:iCs/>
        </w:rPr>
        <w:t>Fraser c. Canada (Procureur général)</w:t>
      </w:r>
      <w:r w:rsidRPr="007C28D2">
        <w:t>, 2020 CSC 28, par. 76.</w:t>
      </w:r>
    </w:p>
  </w:footnote>
  <w:footnote w:id="240">
    <w:p w14:paraId="64324F8D" w14:textId="77A93CC5" w:rsidR="001A3EF8" w:rsidRPr="007C28D2" w:rsidRDefault="001A3EF8" w:rsidP="001A3EF8">
      <w:pPr>
        <w:pStyle w:val="Notedebasdepage"/>
      </w:pPr>
      <w:r w:rsidRPr="007C28D2">
        <w:rPr>
          <w:rStyle w:val="Appelnotedebasdep"/>
        </w:rPr>
        <w:footnoteRef/>
      </w:r>
      <w:r w:rsidRPr="007C28D2">
        <w:t xml:space="preserve"> </w:t>
      </w:r>
      <w:r w:rsidRPr="007C28D2">
        <w:tab/>
      </w:r>
      <w:r w:rsidR="001A5C0B" w:rsidRPr="00B07443">
        <w:rPr>
          <w:i/>
          <w:iCs/>
        </w:rPr>
        <w:t>Québec (Procureure générale) c.</w:t>
      </w:r>
      <w:r w:rsidR="001A5C0B">
        <w:t xml:space="preserve"> </w:t>
      </w:r>
      <w:r w:rsidRPr="007C28D2">
        <w:rPr>
          <w:i/>
          <w:iCs/>
        </w:rPr>
        <w:t>Alliance du personnel professionnel et technique de la santé et des services sociaux</w:t>
      </w:r>
      <w:r w:rsidRPr="007C28D2">
        <w:t>, 2018 CSC 17, par. 28 [italiques dans l’original]</w:t>
      </w:r>
      <w:r w:rsidR="007C45A4" w:rsidRPr="007C28D2">
        <w:t xml:space="preserve">, citant </w:t>
      </w:r>
      <w:r w:rsidR="007C45A4" w:rsidRPr="007C28D2">
        <w:rPr>
          <w:i/>
          <w:iCs/>
        </w:rPr>
        <w:t>Québec (Procureur général) c. A.</w:t>
      </w:r>
      <w:r w:rsidR="007C45A4" w:rsidRPr="007C28D2">
        <w:t>, 2013 CSC 5, par. 327 et 330</w:t>
      </w:r>
      <w:r w:rsidRPr="007C28D2">
        <w:t xml:space="preserve">. De même, il n'est pas nécessaire de prouver l’existence d’un but ou d’une intention discriminatoire pour qu’il y ait atteinte au par. 15(1) : </w:t>
      </w:r>
      <w:r w:rsidRPr="007C28D2">
        <w:rPr>
          <w:i/>
          <w:iCs/>
        </w:rPr>
        <w:t>Eldridge c. Colombie</w:t>
      </w:r>
      <w:r w:rsidRPr="007C28D2">
        <w:rPr>
          <w:i/>
          <w:iCs/>
        </w:rPr>
        <w:noBreakHyphen/>
        <w:t>Britannique (Procureur général)</w:t>
      </w:r>
      <w:r w:rsidRPr="007C28D2">
        <w:t>, [1997] 3 R.C.S. 624, par. 62.</w:t>
      </w:r>
    </w:p>
  </w:footnote>
  <w:footnote w:id="241">
    <w:p w14:paraId="6AF0055E" w14:textId="77777777" w:rsidR="00AB7AD2" w:rsidRPr="007C28D2" w:rsidRDefault="00AB7AD2" w:rsidP="00AB7AD2">
      <w:pPr>
        <w:pStyle w:val="Notedebasdepage"/>
      </w:pPr>
      <w:r w:rsidRPr="007C28D2">
        <w:rPr>
          <w:rStyle w:val="Appelnotedebasdep"/>
        </w:rPr>
        <w:footnoteRef/>
      </w:r>
      <w:r w:rsidRPr="007C28D2">
        <w:t xml:space="preserve"> </w:t>
      </w:r>
      <w:r w:rsidRPr="007C28D2">
        <w:tab/>
      </w:r>
      <w:r w:rsidRPr="007C28D2">
        <w:rPr>
          <w:i/>
          <w:iCs/>
        </w:rPr>
        <w:t>Québec (Procureur général) c. A.</w:t>
      </w:r>
      <w:r w:rsidRPr="007C28D2">
        <w:t>, 2013 CSC 5.</w:t>
      </w:r>
    </w:p>
  </w:footnote>
  <w:footnote w:id="242">
    <w:p w14:paraId="4716F876" w14:textId="22E359C3"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 c. Sharma</w:t>
      </w:r>
      <w:r w:rsidRPr="007C28D2">
        <w:t>, 2022 CSC 39, par. 52.</w:t>
      </w:r>
    </w:p>
  </w:footnote>
  <w:footnote w:id="243">
    <w:p w14:paraId="57469E9B" w14:textId="4135F988" w:rsidR="001A3EF8" w:rsidRDefault="001A3EF8" w:rsidP="001A3EF8">
      <w:pPr>
        <w:pStyle w:val="Notedebasdepage"/>
      </w:pPr>
      <w:r w:rsidRPr="007C28D2">
        <w:rPr>
          <w:rStyle w:val="Appelnotedebasdep"/>
        </w:rPr>
        <w:footnoteRef/>
      </w:r>
      <w:r w:rsidRPr="007C28D2">
        <w:t xml:space="preserve"> </w:t>
      </w:r>
      <w:r w:rsidRPr="007C28D2">
        <w:tab/>
      </w:r>
      <w:r w:rsidRPr="007C28D2">
        <w:rPr>
          <w:i/>
          <w:iCs/>
        </w:rPr>
        <w:t>Ibid.</w:t>
      </w:r>
      <w:r w:rsidRPr="007C28D2">
        <w:t xml:space="preserve">; </w:t>
      </w:r>
      <w:r w:rsidRPr="007C28D2">
        <w:rPr>
          <w:i/>
          <w:iCs/>
        </w:rPr>
        <w:t>Ontario (Procureur général) c. G</w:t>
      </w:r>
      <w:r w:rsidRPr="007C28D2">
        <w:t xml:space="preserve">., 2020 CSC 38, par. 40; </w:t>
      </w:r>
      <w:r w:rsidRPr="007C28D2">
        <w:rPr>
          <w:i/>
          <w:iCs/>
        </w:rPr>
        <w:t>Fraser c. Canada (Procureur général)</w:t>
      </w:r>
      <w:r w:rsidRPr="007C28D2">
        <w:t xml:space="preserve">, 2020 CSC 28, par. 76; </w:t>
      </w:r>
      <w:r w:rsidRPr="007C28D2">
        <w:rPr>
          <w:i/>
          <w:iCs/>
        </w:rPr>
        <w:t>Centrale des syndicats du Québec c. Québec (Procureure générale)</w:t>
      </w:r>
      <w:r w:rsidRPr="007C28D2">
        <w:t>, 2018 CSC 18, par. 22.</w:t>
      </w:r>
    </w:p>
  </w:footnote>
  <w:footnote w:id="244">
    <w:p w14:paraId="4B3F950C" w14:textId="35D2966C"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Withler c. Canada (Procureur général)</w:t>
      </w:r>
      <w:r w:rsidRPr="007C28D2">
        <w:t xml:space="preserve">, 2011 CSC 12. Voir aussi : </w:t>
      </w:r>
      <w:r w:rsidRPr="007C28D2">
        <w:rPr>
          <w:i/>
          <w:iCs/>
        </w:rPr>
        <w:t>R. c. Sharma</w:t>
      </w:r>
      <w:r w:rsidRPr="007C28D2">
        <w:t>, 2022 CSC 39, par. 52.</w:t>
      </w:r>
    </w:p>
  </w:footnote>
  <w:footnote w:id="245">
    <w:p w14:paraId="6145C70C" w14:textId="08C67EF1"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Fraser c. Canada (Procureur général)</w:t>
      </w:r>
      <w:r w:rsidRPr="007C28D2">
        <w:t>, 2020 CSC 28, par. 71.</w:t>
      </w:r>
    </w:p>
  </w:footnote>
  <w:footnote w:id="246">
    <w:p w14:paraId="4CF20175" w14:textId="0A9FB975"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Centrale des syndicats du Québec c. Québec (Procureure générale)</w:t>
      </w:r>
      <w:r w:rsidRPr="007C28D2">
        <w:t xml:space="preserve">, 2018 CSC 18, par. 32, citant : </w:t>
      </w:r>
      <w:r w:rsidRPr="007C28D2">
        <w:rPr>
          <w:i/>
          <w:iCs/>
        </w:rPr>
        <w:t>Vriend c. Alberta</w:t>
      </w:r>
      <w:r w:rsidRPr="007C28D2">
        <w:t>, [1998] 1 R.C.S. 493, par. 84</w:t>
      </w:r>
      <w:r w:rsidR="00C201A1" w:rsidRPr="007C28D2">
        <w:t xml:space="preserve"> [italiques dans l’original]</w:t>
      </w:r>
      <w:r w:rsidRPr="007C28D2">
        <w:t>.</w:t>
      </w:r>
    </w:p>
  </w:footnote>
  <w:footnote w:id="247">
    <w:p w14:paraId="7B2EC722" w14:textId="63707BE3"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Fraser c. Canada (Procureur général)</w:t>
      </w:r>
      <w:r w:rsidRPr="007C28D2">
        <w:t>, 2020</w:t>
      </w:r>
      <w:r w:rsidR="006D3C5E">
        <w:t xml:space="preserve"> </w:t>
      </w:r>
      <w:r w:rsidRPr="007C28D2">
        <w:t>CSC</w:t>
      </w:r>
      <w:r w:rsidR="006D3C5E">
        <w:t xml:space="preserve"> </w:t>
      </w:r>
      <w:r w:rsidRPr="007C28D2">
        <w:t>28, par.</w:t>
      </w:r>
      <w:r w:rsidR="006D3C5E">
        <w:t xml:space="preserve"> </w:t>
      </w:r>
      <w:r w:rsidRPr="007C28D2">
        <w:t xml:space="preserve">76; </w:t>
      </w:r>
      <w:r w:rsidRPr="007C28D2">
        <w:rPr>
          <w:i/>
          <w:iCs/>
        </w:rPr>
        <w:t>Québec (Procureur général) c. A.</w:t>
      </w:r>
      <w:r w:rsidRPr="007C28D2">
        <w:t xml:space="preserve">, 2013 CSC 5, par. 331 (motifs dissidents quant au résultat de la j. Abella); </w:t>
      </w:r>
      <w:r w:rsidRPr="007C28D2">
        <w:rPr>
          <w:i/>
          <w:iCs/>
        </w:rPr>
        <w:t>Withler c. Canada (Procureur général)</w:t>
      </w:r>
      <w:r w:rsidRPr="007C28D2">
        <w:t>, 2011 CSC 12, par. 66.</w:t>
      </w:r>
    </w:p>
  </w:footnote>
  <w:footnote w:id="248">
    <w:p w14:paraId="4C9A5731" w14:textId="06627E50"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R.O. c. Ministre de l’Emploi et de la Solidarité sociale</w:t>
      </w:r>
      <w:r w:rsidRPr="007C28D2">
        <w:t>, 2021 QCCA 1185, par. 43, demande d’autorisation d’appel à la Cour suprême rejetée, 31 mars 2022, n</w:t>
      </w:r>
      <w:r w:rsidRPr="007C28D2">
        <w:rPr>
          <w:vertAlign w:val="superscript"/>
        </w:rPr>
        <w:t>o</w:t>
      </w:r>
      <w:r w:rsidRPr="007C28D2">
        <w:t xml:space="preserve"> 39880.</w:t>
      </w:r>
    </w:p>
  </w:footnote>
  <w:footnote w:id="249">
    <w:p w14:paraId="580FC5BF" w14:textId="2395487F"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Fraser c. Canada (Procureur général)</w:t>
      </w:r>
      <w:r w:rsidRPr="007C28D2">
        <w:t>, 2020 CSC 28, par. 78.</w:t>
      </w:r>
    </w:p>
  </w:footnote>
  <w:footnote w:id="250">
    <w:p w14:paraId="70220D25" w14:textId="60A51CB7" w:rsidR="001A3EF8" w:rsidRPr="007C28D2" w:rsidRDefault="001A3EF8" w:rsidP="001A3EF8">
      <w:pPr>
        <w:pStyle w:val="Notedebasdepage"/>
      </w:pPr>
      <w:r w:rsidRPr="007C28D2">
        <w:rPr>
          <w:rStyle w:val="Appelnotedebasdep"/>
        </w:rPr>
        <w:footnoteRef/>
      </w:r>
      <w:r w:rsidRPr="007C28D2">
        <w:t xml:space="preserve"> </w:t>
      </w:r>
      <w:r w:rsidRPr="007C28D2">
        <w:tab/>
      </w:r>
      <w:r w:rsidR="00AB0D49" w:rsidRPr="007C28D2">
        <w:rPr>
          <w:i/>
          <w:iCs/>
        </w:rPr>
        <w:t>Id.</w:t>
      </w:r>
      <w:r w:rsidRPr="007C28D2">
        <w:t>, par. 80.</w:t>
      </w:r>
    </w:p>
  </w:footnote>
  <w:footnote w:id="251">
    <w:p w14:paraId="655F3FB2" w14:textId="277B065F"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 c. Sharma</w:t>
      </w:r>
      <w:r w:rsidRPr="007C28D2">
        <w:t xml:space="preserve">, 2022 CSC 39, par. 53. Voir aussi : </w:t>
      </w:r>
      <w:r w:rsidRPr="007C28D2">
        <w:rPr>
          <w:i/>
          <w:iCs/>
        </w:rPr>
        <w:t>Dickson c. Vuntut Gwitchin First Nation</w:t>
      </w:r>
      <w:r w:rsidRPr="007C28D2">
        <w:t>, 2024 CSC 10, par. 202.</w:t>
      </w:r>
    </w:p>
  </w:footnote>
  <w:footnote w:id="252">
    <w:p w14:paraId="3710136E" w14:textId="70D08757" w:rsidR="00A97A12" w:rsidRDefault="00A97A12">
      <w:pPr>
        <w:pStyle w:val="Notedebasdepage"/>
      </w:pPr>
      <w:r w:rsidRPr="007C28D2">
        <w:rPr>
          <w:rStyle w:val="Appelnotedebasdep"/>
        </w:rPr>
        <w:footnoteRef/>
      </w:r>
      <w:r w:rsidRPr="007C28D2">
        <w:t xml:space="preserve"> </w:t>
      </w:r>
      <w:r w:rsidRPr="007C28D2">
        <w:tab/>
      </w:r>
      <w:r w:rsidRPr="007C28D2">
        <w:rPr>
          <w:i/>
          <w:iCs/>
        </w:rPr>
        <w:t>R. c. Sharma</w:t>
      </w:r>
      <w:r w:rsidRPr="007C28D2">
        <w:t>, 2022 CSC 39, par. 55 b).</w:t>
      </w:r>
    </w:p>
  </w:footnote>
  <w:footnote w:id="253">
    <w:p w14:paraId="121B883A" w14:textId="339E54DA" w:rsidR="001A3EF8" w:rsidRPr="007C28D2" w:rsidRDefault="001A3EF8" w:rsidP="001A3EF8">
      <w:pPr>
        <w:pStyle w:val="Notedebasdepage"/>
      </w:pPr>
      <w:r w:rsidRPr="007C28D2">
        <w:rPr>
          <w:rStyle w:val="Appelnotedebasdep"/>
        </w:rPr>
        <w:footnoteRef/>
      </w:r>
      <w:r w:rsidRPr="007C28D2">
        <w:t xml:space="preserve"> </w:t>
      </w:r>
      <w:r w:rsidRPr="007C28D2">
        <w:tab/>
      </w:r>
      <w:r w:rsidR="00AB0D49" w:rsidRPr="007C28D2">
        <w:rPr>
          <w:i/>
          <w:iCs/>
        </w:rPr>
        <w:t>Id.</w:t>
      </w:r>
      <w:r w:rsidRPr="007C28D2">
        <w:t>, par. 55 c) [italiques</w:t>
      </w:r>
      <w:r w:rsidR="00A97A12" w:rsidRPr="007C28D2">
        <w:t xml:space="preserve"> omis</w:t>
      </w:r>
      <w:r w:rsidRPr="007C28D2">
        <w:t xml:space="preserve">]. </w:t>
      </w:r>
      <w:r w:rsidRPr="007C28D2">
        <w:rPr>
          <w:i/>
          <w:iCs/>
        </w:rPr>
        <w:t>Cf. Law c. Canada (Ministre de l’Emploi et de l’Immigration)</w:t>
      </w:r>
      <w:r w:rsidRPr="007C28D2">
        <w:t>, [1999] 1 R.C.S. 497, par. 75.</w:t>
      </w:r>
    </w:p>
  </w:footnote>
  <w:footnote w:id="254">
    <w:p w14:paraId="4545D683" w14:textId="0BB7C01F"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 c. Sharma</w:t>
      </w:r>
      <w:r w:rsidRPr="007C28D2">
        <w:t>, 2022 CSC 39, par. 56.</w:t>
      </w:r>
    </w:p>
  </w:footnote>
  <w:footnote w:id="255">
    <w:p w14:paraId="23433755" w14:textId="77777777" w:rsidR="001A3EF8"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par. 59.</w:t>
      </w:r>
    </w:p>
  </w:footnote>
  <w:footnote w:id="256">
    <w:p w14:paraId="64AE8641" w14:textId="77777777" w:rsidR="001A3EF8" w:rsidRPr="007C28D2" w:rsidRDefault="001A3EF8" w:rsidP="001A3EF8">
      <w:pPr>
        <w:pStyle w:val="Notedebasdepage"/>
      </w:pPr>
      <w:r w:rsidRPr="007C28D2">
        <w:rPr>
          <w:rStyle w:val="Appelnotedebasdep"/>
        </w:rPr>
        <w:footnoteRef/>
      </w:r>
      <w:r w:rsidRPr="007C28D2">
        <w:t xml:space="preserve"> </w:t>
      </w:r>
      <w:r w:rsidRPr="007C28D2">
        <w:tab/>
        <w:t>Jugement de première instance, par. 815.</w:t>
      </w:r>
    </w:p>
  </w:footnote>
  <w:footnote w:id="257">
    <w:p w14:paraId="1661454E" w14:textId="5E098947" w:rsidR="001A3EF8" w:rsidRPr="007C28D2" w:rsidRDefault="001A3EF8" w:rsidP="001A3EF8">
      <w:pPr>
        <w:pStyle w:val="Notedebasdepage"/>
      </w:pPr>
      <w:r w:rsidRPr="007C28D2">
        <w:rPr>
          <w:rStyle w:val="Appelnotedebasdep"/>
        </w:rPr>
        <w:footnoteRef/>
      </w:r>
      <w:r w:rsidRPr="007C28D2">
        <w:t xml:space="preserve"> </w:t>
      </w:r>
      <w:r w:rsidRPr="007C28D2">
        <w:tab/>
        <w:t>Pièce P</w:t>
      </w:r>
      <w:r w:rsidRPr="007C28D2">
        <w:noBreakHyphen/>
        <w:t xml:space="preserve">1, Rapport d’expertise de Massimiliano Mulone, </w:t>
      </w:r>
      <w:r w:rsidR="00985D84" w:rsidRPr="007C28D2">
        <w:t>31 janvier 2022, p. 16</w:t>
      </w:r>
      <w:r w:rsidRPr="007C28D2">
        <w:t>.</w:t>
      </w:r>
    </w:p>
  </w:footnote>
  <w:footnote w:id="258">
    <w:p w14:paraId="2CAC8513" w14:textId="048B8C51" w:rsidR="001A3EF8" w:rsidRPr="001A3EF8" w:rsidRDefault="001A3EF8" w:rsidP="001A3EF8">
      <w:pPr>
        <w:pStyle w:val="Notedebasdepage"/>
      </w:pPr>
      <w:r w:rsidRPr="007C28D2">
        <w:rPr>
          <w:rStyle w:val="Appelnotedebasdep"/>
        </w:rPr>
        <w:footnoteRef/>
      </w:r>
      <w:r w:rsidRPr="007C28D2">
        <w:t xml:space="preserve"> </w:t>
      </w:r>
      <w:r w:rsidRPr="007C28D2">
        <w:rPr>
          <w:i/>
          <w:iCs/>
        </w:rPr>
        <w:tab/>
        <w:t>Id.</w:t>
      </w:r>
      <w:r w:rsidRPr="007C28D2">
        <w:t>, p. </w:t>
      </w:r>
      <w:r w:rsidR="00985D84" w:rsidRPr="007C28D2">
        <w:t>5</w:t>
      </w:r>
      <w:r w:rsidRPr="007C28D2">
        <w:t xml:space="preserve">. Voir aussi : </w:t>
      </w:r>
      <w:r w:rsidR="00221BED" w:rsidRPr="007C28D2">
        <w:t>p</w:t>
      </w:r>
      <w:r w:rsidRPr="007C28D2">
        <w:t>ièce P</w:t>
      </w:r>
      <w:r w:rsidRPr="007C28D2">
        <w:noBreakHyphen/>
        <w:t>4, Rapport d’expertise de Marie</w:t>
      </w:r>
      <w:r w:rsidRPr="007C28D2">
        <w:noBreakHyphen/>
        <w:t xml:space="preserve">Ève Sylvestre, </w:t>
      </w:r>
      <w:r w:rsidR="00985D84" w:rsidRPr="007C28D2">
        <w:t>7 février 2022</w:t>
      </w:r>
      <w:r w:rsidRPr="007C28D2">
        <w:t>, p. </w:t>
      </w:r>
      <w:r w:rsidR="00985D84" w:rsidRPr="007C28D2">
        <w:t>9</w:t>
      </w:r>
      <w:r w:rsidRPr="007C28D2">
        <w:t>.</w:t>
      </w:r>
    </w:p>
  </w:footnote>
  <w:footnote w:id="259">
    <w:p w14:paraId="7179E52B" w14:textId="3A54D2A6" w:rsidR="001A3EF8" w:rsidRPr="007C28D2" w:rsidRDefault="001A3EF8" w:rsidP="00221BED">
      <w:pPr>
        <w:pStyle w:val="Notedebasdepage"/>
      </w:pPr>
      <w:r w:rsidRPr="007C28D2">
        <w:rPr>
          <w:rStyle w:val="Appelnotedebasdep"/>
        </w:rPr>
        <w:footnoteRef/>
      </w:r>
      <w:r w:rsidRPr="007C28D2">
        <w:t xml:space="preserve"> </w:t>
      </w:r>
      <w:r w:rsidRPr="007C28D2">
        <w:tab/>
        <w:t xml:space="preserve">Voir : </w:t>
      </w:r>
      <w:r w:rsidR="00660419">
        <w:t>p</w:t>
      </w:r>
      <w:r w:rsidR="00023D00" w:rsidRPr="007C28D2">
        <w:t>ièce P</w:t>
      </w:r>
      <w:r w:rsidR="00023D00" w:rsidRPr="007C28D2">
        <w:noBreakHyphen/>
        <w:t xml:space="preserve">1, Rapport d’expertise de Massimiliano Mulone, 31 janvier 2022, annexes </w:t>
      </w:r>
      <w:r w:rsidR="006C0136" w:rsidRPr="00BA4E02">
        <w:t>MM</w:t>
      </w:r>
      <w:r w:rsidR="00E74780">
        <w:noBreakHyphen/>
      </w:r>
      <w:r w:rsidR="006C0136" w:rsidRPr="00BA4E02">
        <w:t xml:space="preserve">16, </w:t>
      </w:r>
      <w:r w:rsidR="00BA4E02" w:rsidRPr="00B17DD6">
        <w:t xml:space="preserve">Commission </w:t>
      </w:r>
      <w:r w:rsidR="00BA4E02">
        <w:t xml:space="preserve">ontarienne des droits de la personne, </w:t>
      </w:r>
      <w:r w:rsidR="00BA4E02">
        <w:rPr>
          <w:i/>
          <w:iCs/>
        </w:rPr>
        <w:t xml:space="preserve">Under suspicion: Research and consultation report on racial profiling in Toronto, </w:t>
      </w:r>
      <w:r w:rsidR="00BA4E02">
        <w:t xml:space="preserve">avril 2017, </w:t>
      </w:r>
      <w:r w:rsidR="00023D00" w:rsidRPr="00BA4E02">
        <w:t>MM</w:t>
      </w:r>
      <w:r w:rsidR="006C0136" w:rsidRPr="00BA4E02">
        <w:noBreakHyphen/>
      </w:r>
      <w:r w:rsidR="00023D00" w:rsidRPr="00BA4E02">
        <w:t>19</w:t>
      </w:r>
      <w:r w:rsidR="006C0136" w:rsidRPr="00BA4E02">
        <w:t xml:space="preserve">, </w:t>
      </w:r>
      <w:r w:rsidR="00BA4E02" w:rsidRPr="004D1C96">
        <w:t xml:space="preserve">Lorne Foster, Lesley Jacobs et Bobby Siu, </w:t>
      </w:r>
      <w:r w:rsidR="00BA4E02" w:rsidRPr="004D1C96">
        <w:rPr>
          <w:i/>
          <w:iCs/>
        </w:rPr>
        <w:t>Race Data and Traffic Stops in Ottawa, 2013-2015: A Report on Ottawa and the Police Districts</w:t>
      </w:r>
      <w:r w:rsidR="00BA4E02" w:rsidRPr="004D1C96">
        <w:t>, octobre 2016</w:t>
      </w:r>
      <w:r w:rsidR="00BA4E02">
        <w:t xml:space="preserve">, </w:t>
      </w:r>
      <w:r w:rsidR="006C0136" w:rsidRPr="00BA4E02">
        <w:t>MM</w:t>
      </w:r>
      <w:r w:rsidR="006C0136" w:rsidRPr="00BA4E02">
        <w:noBreakHyphen/>
        <w:t xml:space="preserve">25, </w:t>
      </w:r>
      <w:r w:rsidR="00BB06D3" w:rsidRPr="008F3D6A">
        <w:t xml:space="preserve">Curt Taylor Griffiths, Ruth Montgomery et Joshua J. Murphy, </w:t>
      </w:r>
      <w:r w:rsidR="00BB06D3" w:rsidRPr="008F3D6A">
        <w:rPr>
          <w:i/>
          <w:iCs/>
        </w:rPr>
        <w:t>City of Edmonton Street Checks Policy and Practice Review</w:t>
      </w:r>
      <w:r w:rsidR="00BB06D3" w:rsidRPr="008F3D6A">
        <w:t>, juin 2018</w:t>
      </w:r>
      <w:r w:rsidR="00BB06D3">
        <w:t xml:space="preserve">, </w:t>
      </w:r>
      <w:r w:rsidR="00023D00" w:rsidRPr="00BA4E02">
        <w:t>MM</w:t>
      </w:r>
      <w:r w:rsidR="00023D00" w:rsidRPr="00BA4E02">
        <w:noBreakHyphen/>
        <w:t>39</w:t>
      </w:r>
      <w:r w:rsidR="006C0136" w:rsidRPr="00BA4E02">
        <w:t>,</w:t>
      </w:r>
      <w:r w:rsidR="00BB06D3">
        <w:t xml:space="preserve"> </w:t>
      </w:r>
      <w:r w:rsidR="00866890">
        <w:t>Vancouver Police Department (</w:t>
      </w:r>
      <w:r w:rsidR="00BB06D3">
        <w:t>Drazen Manojlovic</w:t>
      </w:r>
      <w:r w:rsidR="00866890">
        <w:t>)</w:t>
      </w:r>
      <w:r w:rsidR="00BB06D3">
        <w:t xml:space="preserve">, </w:t>
      </w:r>
      <w:r w:rsidR="00BB06D3" w:rsidRPr="00B17DD6">
        <w:rPr>
          <w:i/>
          <w:iCs/>
        </w:rPr>
        <w:t>Understanding Street Checks</w:t>
      </w:r>
      <w:r w:rsidR="00BB06D3">
        <w:rPr>
          <w:i/>
          <w:iCs/>
        </w:rPr>
        <w:t>: An examination of a proactive policing strategy</w:t>
      </w:r>
      <w:r w:rsidR="00BB06D3">
        <w:t>, septembre 2018,</w:t>
      </w:r>
      <w:r w:rsidR="00023D00" w:rsidRPr="00BA4E02">
        <w:t xml:space="preserve"> </w:t>
      </w:r>
      <w:r w:rsidR="006C0136" w:rsidRPr="00BA4E02">
        <w:t>MM</w:t>
      </w:r>
      <w:r w:rsidR="008D4641">
        <w:noBreakHyphen/>
      </w:r>
      <w:r w:rsidR="006C0136" w:rsidRPr="00BA4E02">
        <w:t>56</w:t>
      </w:r>
      <w:r w:rsidR="00BB06D3">
        <w:t xml:space="preserve">, Scot Wortley, </w:t>
      </w:r>
      <w:r w:rsidR="00BB06D3">
        <w:rPr>
          <w:i/>
          <w:iCs/>
        </w:rPr>
        <w:t>Racial Disparity in Arrests and Charges: An analysis of arrest and charge data from the Toronto Police Service</w:t>
      </w:r>
      <w:r w:rsidR="00BB06D3">
        <w:t>, juillet 2020</w:t>
      </w:r>
      <w:r w:rsidR="006C0136" w:rsidRPr="00BA4E02">
        <w:t xml:space="preserve"> et MM-57</w:t>
      </w:r>
      <w:r w:rsidR="00BB06D3">
        <w:t xml:space="preserve">, Scot Wortley, </w:t>
      </w:r>
      <w:r w:rsidR="00BB06D3">
        <w:rPr>
          <w:i/>
          <w:iCs/>
        </w:rPr>
        <w:t>Use of force by the Toronto Police Service</w:t>
      </w:r>
      <w:r w:rsidR="00BB06D3">
        <w:t>, juillet 2020</w:t>
      </w:r>
      <w:r w:rsidR="00221BED" w:rsidRPr="00BA4E02">
        <w:t>;</w:t>
      </w:r>
      <w:r w:rsidR="00221BED" w:rsidRPr="007C28D2">
        <w:t xml:space="preserve"> </w:t>
      </w:r>
      <w:bookmarkStart w:id="119" w:name="_Hlk177721869"/>
      <w:r w:rsidR="00221BED" w:rsidRPr="007C28D2">
        <w:t xml:space="preserve">Victor Armony, Mariam Hassaoui et Massimiliano Mulone, </w:t>
      </w:r>
      <w:r w:rsidR="00221BED" w:rsidRPr="007C28D2">
        <w:rPr>
          <w:i/>
          <w:iCs/>
        </w:rPr>
        <w:t>Portrait de recherche sur les interpellations dans le dossier profilage : Rapport présenté au Service de police de la Ville de Repentigny (SPVR)</w:t>
      </w:r>
      <w:r w:rsidR="00221BED" w:rsidRPr="007C28D2">
        <w:t>, juin 2021 (en ligne); p</w:t>
      </w:r>
      <w:r w:rsidRPr="007C28D2">
        <w:t>ièce P</w:t>
      </w:r>
      <w:r w:rsidRPr="007C28D2">
        <w:noBreakHyphen/>
        <w:t xml:space="preserve">23, Ottawa Police Services Board and Ottawa Police Service (Dr. Lorne Foster and Dr. Les Jacobs), </w:t>
      </w:r>
      <w:r w:rsidRPr="007C28D2">
        <w:rPr>
          <w:i/>
          <w:iCs/>
        </w:rPr>
        <w:t>Traffic Stop Race Data Collection Project II – Progressing Towards Bias-Free Policing: Five Years of Race Data on Traffic Stops in Ottawa</w:t>
      </w:r>
      <w:r w:rsidRPr="007C28D2">
        <w:t xml:space="preserve">, </w:t>
      </w:r>
      <w:r w:rsidR="00023D00" w:rsidRPr="007C28D2">
        <w:t>n</w:t>
      </w:r>
      <w:r w:rsidRPr="007C28D2">
        <w:t xml:space="preserve">ovembre 2019; </w:t>
      </w:r>
      <w:r w:rsidR="00221BED" w:rsidRPr="007C28D2">
        <w:t>pièce P</w:t>
      </w:r>
      <w:r w:rsidR="00221BED" w:rsidRPr="007C28D2">
        <w:noBreakHyphen/>
        <w:t xml:space="preserve">24, Service de Police de la Ville de Montréal (Victor Armony, Mariam Hassaoui et Massimiliano Mulone), </w:t>
      </w:r>
      <w:r w:rsidR="00221BED" w:rsidRPr="007C28D2">
        <w:rPr>
          <w:i/>
          <w:iCs/>
        </w:rPr>
        <w:t>Les interpellations policières à la lumière des identités racisées des personnes interpellées : Analyse des données du Service de Police de la Ville de Montréal (SPVM) et élaboration d’indicateurs de suivi en matière de profilage racial</w:t>
      </w:r>
      <w:r w:rsidR="00221BED" w:rsidRPr="007C28D2">
        <w:t>, août 2019; pièce P</w:t>
      </w:r>
      <w:r w:rsidR="00221BED" w:rsidRPr="007C28D2">
        <w:noBreakHyphen/>
        <w:t xml:space="preserve">27, Nova Scotia Human Rights Commission (Dr. Scot Wortley), </w:t>
      </w:r>
      <w:r w:rsidR="00221BED" w:rsidRPr="007C28D2">
        <w:rPr>
          <w:i/>
          <w:iCs/>
        </w:rPr>
        <w:t>Halifax, Nova Scotia: Street Check Report (and appendices)</w:t>
      </w:r>
      <w:r w:rsidR="00221BED" w:rsidRPr="007C28D2">
        <w:t>, mars</w:t>
      </w:r>
      <w:r w:rsidR="008D4641">
        <w:t xml:space="preserve"> </w:t>
      </w:r>
      <w:r w:rsidR="00221BED" w:rsidRPr="007C28D2">
        <w:t>2019; p</w:t>
      </w:r>
      <w:r w:rsidRPr="007C28D2">
        <w:t xml:space="preserve">ièce P-29, Commission ontarienne des droits de la personne, </w:t>
      </w:r>
      <w:r w:rsidRPr="007C28D2">
        <w:rPr>
          <w:i/>
          <w:iCs/>
        </w:rPr>
        <w:t>Un impact collectif : Rapport provisoire relatif à l’enquête sur le profilage racial et la discrimination envers les personnes noires au sein du service de police de Toronto</w:t>
      </w:r>
      <w:r w:rsidRPr="007C28D2">
        <w:t xml:space="preserve">, </w:t>
      </w:r>
      <w:r w:rsidR="00221BED" w:rsidRPr="007C28D2">
        <w:t>n</w:t>
      </w:r>
      <w:r w:rsidRPr="007C28D2">
        <w:t xml:space="preserve">ovembre 2018; </w:t>
      </w:r>
      <w:r w:rsidR="00221BED" w:rsidRPr="007C28D2">
        <w:t>p</w:t>
      </w:r>
      <w:r w:rsidRPr="007C28D2">
        <w:t xml:space="preserve">ièce P-31, Commission ontarienne des droits de la personne, </w:t>
      </w:r>
      <w:r w:rsidRPr="007C28D2">
        <w:rPr>
          <w:i/>
          <w:iCs/>
        </w:rPr>
        <w:t>Pris à partie – Rapport de recherche sur le profilage racial en Ontario</w:t>
      </w:r>
      <w:r w:rsidRPr="007C28D2">
        <w:t xml:space="preserve">, </w:t>
      </w:r>
      <w:r w:rsidR="00221BED" w:rsidRPr="007C28D2">
        <w:t>a</w:t>
      </w:r>
      <w:r w:rsidRPr="007C28D2">
        <w:t>vril 2017</w:t>
      </w:r>
      <w:r w:rsidR="00221BED" w:rsidRPr="007C28D2">
        <w:t>.</w:t>
      </w:r>
      <w:r w:rsidRPr="007C28D2">
        <w:t xml:space="preserve"> </w:t>
      </w:r>
    </w:p>
    <w:bookmarkEnd w:id="119"/>
  </w:footnote>
  <w:footnote w:id="260">
    <w:p w14:paraId="6C599675" w14:textId="294B2508" w:rsidR="001A3EF8" w:rsidRPr="00186917" w:rsidRDefault="001A3EF8" w:rsidP="001A3EF8">
      <w:pPr>
        <w:pStyle w:val="Notedebasdepage"/>
        <w:rPr>
          <w:lang w:val="en-CA"/>
        </w:rPr>
      </w:pPr>
      <w:r w:rsidRPr="007C28D2">
        <w:rPr>
          <w:rStyle w:val="Appelnotedebasdep"/>
        </w:rPr>
        <w:footnoteRef/>
      </w:r>
      <w:r w:rsidRPr="007C28D2">
        <w:rPr>
          <w:lang w:val="en-CA"/>
        </w:rPr>
        <w:t xml:space="preserve"> </w:t>
      </w:r>
      <w:r w:rsidRPr="007C28D2">
        <w:rPr>
          <w:lang w:val="en-CA"/>
        </w:rPr>
        <w:tab/>
        <w:t>Pièce P</w:t>
      </w:r>
      <w:r w:rsidRPr="007C28D2">
        <w:rPr>
          <w:lang w:val="en-CA"/>
        </w:rPr>
        <w:noBreakHyphen/>
        <w:t xml:space="preserve">1, Rapport d’expertise de Massimiliano Mulone, </w:t>
      </w:r>
      <w:r w:rsidR="0066006F" w:rsidRPr="007C28D2">
        <w:rPr>
          <w:lang w:val="en-CA"/>
        </w:rPr>
        <w:t>31 janvier 2022, p. 7</w:t>
      </w:r>
      <w:r w:rsidRPr="007C28D2">
        <w:rPr>
          <w:lang w:val="en-CA"/>
        </w:rPr>
        <w:t xml:space="preserve">; </w:t>
      </w:r>
      <w:r w:rsidR="0066006F" w:rsidRPr="007C28D2">
        <w:rPr>
          <w:lang w:val="en-CA"/>
        </w:rPr>
        <w:t>p</w:t>
      </w:r>
      <w:r w:rsidRPr="007C28D2">
        <w:rPr>
          <w:lang w:val="en-CA"/>
        </w:rPr>
        <w:t>ièce P</w:t>
      </w:r>
      <w:r w:rsidRPr="007C28D2">
        <w:rPr>
          <w:lang w:val="en-CA"/>
        </w:rPr>
        <w:noBreakHyphen/>
        <w:t xml:space="preserve">23, Ottawa Police Services Board and Ottawa Police Service (Dr. Lorne Foster and Dr. Les Jacobs), </w:t>
      </w:r>
      <w:r w:rsidRPr="007C28D2">
        <w:rPr>
          <w:i/>
          <w:iCs/>
          <w:lang w:val="en-CA"/>
        </w:rPr>
        <w:t>Traffic Stop Race Data Collection Project II – Progressing Towards Bias-Free Policing: Five Years of Race Data on Traffic Stops in Ottawa</w:t>
      </w:r>
      <w:r w:rsidRPr="007C28D2">
        <w:rPr>
          <w:lang w:val="en-CA"/>
        </w:rPr>
        <w:t xml:space="preserve">, </w:t>
      </w:r>
      <w:r w:rsidR="0066006F" w:rsidRPr="007C28D2">
        <w:rPr>
          <w:lang w:val="en-CA"/>
        </w:rPr>
        <w:t>n</w:t>
      </w:r>
      <w:r w:rsidRPr="007C28D2">
        <w:rPr>
          <w:lang w:val="en-CA"/>
        </w:rPr>
        <w:t xml:space="preserve">ovembre 2019, </w:t>
      </w:r>
      <w:r w:rsidR="0066006F" w:rsidRPr="007C28D2">
        <w:rPr>
          <w:lang w:val="en-CA"/>
        </w:rPr>
        <w:t>p.</w:t>
      </w:r>
      <w:r w:rsidR="008D4641">
        <w:rPr>
          <w:lang w:val="en-CA"/>
        </w:rPr>
        <w:t xml:space="preserve"> </w:t>
      </w:r>
      <w:r w:rsidR="0066006F" w:rsidRPr="007C28D2">
        <w:rPr>
          <w:lang w:val="en-CA"/>
        </w:rPr>
        <w:t>40</w:t>
      </w:r>
      <w:r w:rsidRPr="007C28D2">
        <w:rPr>
          <w:lang w:val="en-CA"/>
        </w:rPr>
        <w:t>.</w:t>
      </w:r>
    </w:p>
  </w:footnote>
  <w:footnote w:id="261">
    <w:p w14:paraId="43EDFFD0" w14:textId="77B5C87A" w:rsidR="001A3EF8" w:rsidRPr="00572547" w:rsidRDefault="001A3EF8" w:rsidP="001A3EF8">
      <w:pPr>
        <w:pStyle w:val="Notedebasdepage"/>
        <w:rPr>
          <w:lang w:val="en-CA"/>
        </w:rPr>
      </w:pPr>
      <w:r w:rsidRPr="007C28D2">
        <w:rPr>
          <w:rStyle w:val="Appelnotedebasdep"/>
        </w:rPr>
        <w:footnoteRef/>
      </w:r>
      <w:r w:rsidRPr="00572547">
        <w:rPr>
          <w:lang w:val="en-CA"/>
        </w:rPr>
        <w:t xml:space="preserve"> </w:t>
      </w:r>
      <w:r w:rsidRPr="00572547">
        <w:rPr>
          <w:i/>
          <w:iCs/>
          <w:lang w:val="en-CA"/>
        </w:rPr>
        <w:tab/>
      </w:r>
      <w:r w:rsidR="00F86ED0">
        <w:rPr>
          <w:lang w:val="en-CA"/>
        </w:rPr>
        <w:t>P</w:t>
      </w:r>
      <w:r w:rsidR="00F86ED0" w:rsidRPr="007C28D2">
        <w:rPr>
          <w:lang w:val="en-CA"/>
        </w:rPr>
        <w:t>ièce P</w:t>
      </w:r>
      <w:r w:rsidR="00F86ED0" w:rsidRPr="007C28D2">
        <w:rPr>
          <w:lang w:val="en-CA"/>
        </w:rPr>
        <w:noBreakHyphen/>
        <w:t xml:space="preserve">23, Ottawa Police Services Board and Ottawa Police Service (Dr. Lorne Foster and Dr. Les Jacobs), </w:t>
      </w:r>
      <w:r w:rsidR="00F86ED0" w:rsidRPr="007C28D2">
        <w:rPr>
          <w:i/>
          <w:iCs/>
          <w:lang w:val="en-CA"/>
        </w:rPr>
        <w:t>Traffic Stop Race Data Collection Project II – Progressing Towards Bias-Free Policing: Five Years of Race Data on Traffic Stops in Ottawa</w:t>
      </w:r>
      <w:r w:rsidR="00F86ED0" w:rsidRPr="007C28D2">
        <w:rPr>
          <w:lang w:val="en-CA"/>
        </w:rPr>
        <w:t xml:space="preserve">, </w:t>
      </w:r>
      <w:r w:rsidR="005350B2">
        <w:rPr>
          <w:lang w:val="en-CA"/>
        </w:rPr>
        <w:t>novembre</w:t>
      </w:r>
      <w:r w:rsidR="00F86ED0" w:rsidRPr="007C28D2">
        <w:rPr>
          <w:lang w:val="en-CA"/>
        </w:rPr>
        <w:t xml:space="preserve"> 2019, </w:t>
      </w:r>
      <w:r w:rsidRPr="00572547">
        <w:rPr>
          <w:lang w:val="en-CA"/>
        </w:rPr>
        <w:t>p. </w:t>
      </w:r>
      <w:r w:rsidR="002E1FB0" w:rsidRPr="00572547">
        <w:rPr>
          <w:lang w:val="en-CA"/>
        </w:rPr>
        <w:t>41</w:t>
      </w:r>
      <w:r w:rsidRPr="00572547">
        <w:rPr>
          <w:lang w:val="en-CA"/>
        </w:rPr>
        <w:t>.</w:t>
      </w:r>
    </w:p>
  </w:footnote>
  <w:footnote w:id="262">
    <w:p w14:paraId="1C7BAB67" w14:textId="002F2AA4" w:rsidR="001A3EF8" w:rsidRPr="00074967" w:rsidRDefault="001A3EF8" w:rsidP="001A3EF8">
      <w:pPr>
        <w:pStyle w:val="Notedebasdepage"/>
      </w:pPr>
      <w:r w:rsidRPr="007C28D2">
        <w:rPr>
          <w:rStyle w:val="Appelnotedebasdep"/>
        </w:rPr>
        <w:footnoteRef/>
      </w:r>
      <w:r w:rsidRPr="007C28D2">
        <w:t xml:space="preserve"> </w:t>
      </w:r>
      <w:r w:rsidRPr="007C28D2">
        <w:tab/>
      </w:r>
      <w:r w:rsidR="002E1FB0" w:rsidRPr="007C28D2">
        <w:t>Pièce P</w:t>
      </w:r>
      <w:r w:rsidR="002E1FB0" w:rsidRPr="007C28D2">
        <w:noBreakHyphen/>
        <w:t>1, Rapport d’expertise de Massimiliano Mulone, 31 janvier 2022,</w:t>
      </w:r>
      <w:r w:rsidRPr="007C28D2">
        <w:t xml:space="preserve"> p. </w:t>
      </w:r>
      <w:r w:rsidR="002E1FB0" w:rsidRPr="007C28D2">
        <w:t>12-13.</w:t>
      </w:r>
    </w:p>
  </w:footnote>
  <w:footnote w:id="263">
    <w:p w14:paraId="4F6B43EB" w14:textId="2DB98B26"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w:t>
      </w:r>
      <w:r w:rsidR="007518F1">
        <w:t xml:space="preserve"> </w:t>
      </w:r>
      <w:r w:rsidR="00BD1C18" w:rsidRPr="007C28D2">
        <w:t>13-14.</w:t>
      </w:r>
    </w:p>
  </w:footnote>
  <w:footnote w:id="264">
    <w:p w14:paraId="61195C5F" w14:textId="4A4C1646" w:rsidR="001A3EF8" w:rsidRDefault="001A3EF8" w:rsidP="001A3EF8">
      <w:pPr>
        <w:pStyle w:val="Notedebasdepage"/>
      </w:pPr>
      <w:r w:rsidRPr="007C28D2">
        <w:rPr>
          <w:rStyle w:val="Appelnotedebasdep"/>
        </w:rPr>
        <w:footnoteRef/>
      </w:r>
      <w:r w:rsidRPr="007C28D2">
        <w:t xml:space="preserve"> </w:t>
      </w:r>
      <w:r w:rsidRPr="007C28D2">
        <w:tab/>
        <w:t>Témoignage de Massimiliano Mulone, 20 juin 2022.</w:t>
      </w:r>
    </w:p>
  </w:footnote>
  <w:footnote w:id="265">
    <w:p w14:paraId="24F985B9" w14:textId="143E0B6D" w:rsidR="001A3EF8" w:rsidRPr="007C28D2" w:rsidRDefault="001A3EF8" w:rsidP="004122F9">
      <w:pPr>
        <w:pStyle w:val="Notedebasdepage"/>
      </w:pPr>
      <w:r w:rsidRPr="007C28D2">
        <w:rPr>
          <w:rStyle w:val="Appelnotedebasdep"/>
        </w:rPr>
        <w:footnoteRef/>
      </w:r>
      <w:r w:rsidRPr="007C28D2">
        <w:t xml:space="preserve"> </w:t>
      </w:r>
      <w:r w:rsidRPr="007C28D2">
        <w:tab/>
        <w:t>Pièce P</w:t>
      </w:r>
      <w:r w:rsidRPr="007C28D2">
        <w:noBreakHyphen/>
        <w:t xml:space="preserve">1, Rapport d’expertise de Massimiliano Mulone, </w:t>
      </w:r>
      <w:r w:rsidR="004122F9" w:rsidRPr="007C28D2">
        <w:t>31 janvier 2022, p. 15-16.</w:t>
      </w:r>
    </w:p>
  </w:footnote>
  <w:footnote w:id="266">
    <w:p w14:paraId="138BE28D" w14:textId="0ECE6AEA"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w:t>
      </w:r>
      <w:r w:rsidR="007518F1">
        <w:t xml:space="preserve"> </w:t>
      </w:r>
      <w:r w:rsidR="005B0829" w:rsidRPr="007C28D2">
        <w:t>1</w:t>
      </w:r>
      <w:r w:rsidR="00671EED">
        <w:t>8</w:t>
      </w:r>
      <w:r w:rsidRPr="007C28D2">
        <w:t>.</w:t>
      </w:r>
    </w:p>
  </w:footnote>
  <w:footnote w:id="267">
    <w:p w14:paraId="787EF49D" w14:textId="77777777"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Ibid</w:t>
      </w:r>
      <w:r w:rsidRPr="007C28D2">
        <w:t>.</w:t>
      </w:r>
    </w:p>
  </w:footnote>
  <w:footnote w:id="268">
    <w:p w14:paraId="397B307C" w14:textId="6733A17E" w:rsidR="001A3EF8" w:rsidRDefault="001A3EF8" w:rsidP="001A3EF8">
      <w:pPr>
        <w:pStyle w:val="Notedebasdepage"/>
      </w:pPr>
      <w:r w:rsidRPr="007C28D2">
        <w:rPr>
          <w:rStyle w:val="Appelnotedebasdep"/>
        </w:rPr>
        <w:footnoteRef/>
      </w:r>
      <w:r w:rsidRPr="007C28D2">
        <w:t xml:space="preserve"> </w:t>
      </w:r>
      <w:r w:rsidRPr="007C28D2">
        <w:tab/>
        <w:t>Témoignage de Massimiliano Mulone, 20</w:t>
      </w:r>
      <w:r w:rsidR="00694B93">
        <w:t xml:space="preserve"> </w:t>
      </w:r>
      <w:r w:rsidRPr="007C28D2">
        <w:t>juin</w:t>
      </w:r>
      <w:r w:rsidR="00694B93">
        <w:t xml:space="preserve"> </w:t>
      </w:r>
      <w:r w:rsidRPr="007C28D2">
        <w:t xml:space="preserve">2022; </w:t>
      </w:r>
      <w:r w:rsidR="005B0829" w:rsidRPr="007C28D2">
        <w:t>p</w:t>
      </w:r>
      <w:r w:rsidRPr="007C28D2">
        <w:t>ièce P</w:t>
      </w:r>
      <w:r w:rsidRPr="007C28D2">
        <w:noBreakHyphen/>
        <w:t xml:space="preserve">24, Service de Police de la Ville de Montréal (Victor Armony, Mariam Hassaoui et Massimiliano Mulone), </w:t>
      </w:r>
      <w:r w:rsidRPr="007C28D2">
        <w:rPr>
          <w:i/>
          <w:iCs/>
        </w:rPr>
        <w:t>Les interpellations policières à la lumière des identités racisées des personnes interpellées : Analyse des données du Service de Police de la Ville de Montréal (SPVM) et élaboration d’indicateurs de suivi en matière de profilage racial</w:t>
      </w:r>
      <w:r w:rsidRPr="007C28D2">
        <w:t xml:space="preserve">, </w:t>
      </w:r>
      <w:r w:rsidR="005B0829" w:rsidRPr="007C28D2">
        <w:t>a</w:t>
      </w:r>
      <w:r w:rsidRPr="007C28D2">
        <w:t>oût</w:t>
      </w:r>
      <w:r w:rsidR="005B0829" w:rsidRPr="007C28D2">
        <w:t> </w:t>
      </w:r>
      <w:r w:rsidRPr="007C28D2">
        <w:t xml:space="preserve">2019, </w:t>
      </w:r>
      <w:r w:rsidR="005B0829" w:rsidRPr="007C28D2">
        <w:t>p. 20</w:t>
      </w:r>
      <w:r w:rsidRPr="007C28D2">
        <w:t xml:space="preserve">. Voir aussi : </w:t>
      </w:r>
      <w:r w:rsidR="005B0829" w:rsidRPr="007C28D2">
        <w:t>p</w:t>
      </w:r>
      <w:r w:rsidRPr="007C28D2">
        <w:t>ièce P</w:t>
      </w:r>
      <w:r w:rsidRPr="007C28D2">
        <w:noBreakHyphen/>
        <w:t xml:space="preserve">4, Rapport d’expertise de Marie-Ève Sylvestre, </w:t>
      </w:r>
      <w:r w:rsidR="005B0829" w:rsidRPr="007C28D2">
        <w:t>7 février 2022, p. 13.</w:t>
      </w:r>
    </w:p>
  </w:footnote>
  <w:footnote w:id="269">
    <w:p w14:paraId="45FFCBDB" w14:textId="08E415FC" w:rsidR="001A3EF8" w:rsidRPr="007C28D2" w:rsidRDefault="001A3EF8" w:rsidP="001A3EF8">
      <w:pPr>
        <w:pStyle w:val="Notedebasdepage"/>
      </w:pPr>
      <w:r w:rsidRPr="007C28D2">
        <w:rPr>
          <w:rStyle w:val="Appelnotedebasdep"/>
        </w:rPr>
        <w:footnoteRef/>
      </w:r>
      <w:r w:rsidRPr="007C28D2">
        <w:t xml:space="preserve"> </w:t>
      </w:r>
      <w:r w:rsidRPr="007C28D2">
        <w:tab/>
        <w:t>Pièce P</w:t>
      </w:r>
      <w:r w:rsidRPr="007C28D2">
        <w:noBreakHyphen/>
        <w:t xml:space="preserve">4, Rapport d’expertise de Marie-Ève Sylvestre, </w:t>
      </w:r>
      <w:r w:rsidR="005B0829" w:rsidRPr="007C28D2">
        <w:t>7 février 2022, p. 43 et s.</w:t>
      </w:r>
    </w:p>
  </w:footnote>
  <w:footnote w:id="270">
    <w:p w14:paraId="013C5CFD" w14:textId="67AC5892" w:rsidR="001A3EF8" w:rsidRPr="007C28D2" w:rsidRDefault="001A3EF8" w:rsidP="001A3EF8">
      <w:pPr>
        <w:pStyle w:val="Notedebasdepage"/>
      </w:pPr>
      <w:r w:rsidRPr="007C28D2">
        <w:rPr>
          <w:rStyle w:val="Appelnotedebasdep"/>
        </w:rPr>
        <w:footnoteRef/>
      </w:r>
      <w:r w:rsidRPr="007C28D2">
        <w:t xml:space="preserve"> </w:t>
      </w:r>
      <w:r w:rsidRPr="007C28D2">
        <w:tab/>
      </w:r>
      <w:r w:rsidR="00155FE9" w:rsidRPr="007C28D2">
        <w:rPr>
          <w:i/>
          <w:iCs/>
        </w:rPr>
        <w:t>Id</w:t>
      </w:r>
      <w:r w:rsidR="00155FE9" w:rsidRPr="007C28D2">
        <w:t>., p. 64</w:t>
      </w:r>
      <w:r w:rsidRPr="007C28D2">
        <w:t>.</w:t>
      </w:r>
    </w:p>
  </w:footnote>
  <w:footnote w:id="271">
    <w:p w14:paraId="03C813E1" w14:textId="77777777" w:rsidR="001A3EF8" w:rsidRPr="007C28D2" w:rsidRDefault="001A3EF8" w:rsidP="001A3EF8">
      <w:pPr>
        <w:pStyle w:val="Notedebasdepage"/>
      </w:pPr>
      <w:r w:rsidRPr="007C28D2">
        <w:rPr>
          <w:rStyle w:val="Appelnotedebasdep"/>
        </w:rPr>
        <w:footnoteRef/>
      </w:r>
      <w:r w:rsidRPr="007C28D2">
        <w:t xml:space="preserve"> </w:t>
      </w:r>
      <w:r w:rsidRPr="007C28D2">
        <w:tab/>
        <w:t>Jugement de première instance, par. 168</w:t>
      </w:r>
      <w:r w:rsidRPr="007C28D2">
        <w:noBreakHyphen/>
        <w:t>370.</w:t>
      </w:r>
    </w:p>
  </w:footnote>
  <w:footnote w:id="272">
    <w:p w14:paraId="2DAF5A89" w14:textId="4426E831" w:rsidR="001A3EF8" w:rsidRPr="007C28D2" w:rsidRDefault="001A3EF8" w:rsidP="001A3EF8">
      <w:pPr>
        <w:pStyle w:val="Notedebasdepage"/>
      </w:pPr>
      <w:r w:rsidRPr="007C28D2">
        <w:rPr>
          <w:rStyle w:val="Appelnotedebasdep"/>
        </w:rPr>
        <w:footnoteRef/>
      </w:r>
      <w:r w:rsidRPr="007C28D2">
        <w:t xml:space="preserve"> </w:t>
      </w:r>
      <w:r w:rsidRPr="007C28D2">
        <w:tab/>
        <w:t xml:space="preserve">Certaines décisions récentes des tribunaux inférieurs illustrent aussi le phénomène. Voir par exemple : </w:t>
      </w:r>
      <w:r w:rsidRPr="007C28D2">
        <w:rPr>
          <w:i/>
          <w:iCs/>
        </w:rPr>
        <w:t>R. c. Sale Nkouendji</w:t>
      </w:r>
      <w:r w:rsidRPr="007C28D2">
        <w:t>, 2024</w:t>
      </w:r>
      <w:r w:rsidR="006D3C5E">
        <w:t xml:space="preserve"> </w:t>
      </w:r>
      <w:r w:rsidRPr="007C28D2">
        <w:t>QCCM</w:t>
      </w:r>
      <w:r w:rsidR="006D3C5E">
        <w:t xml:space="preserve"> </w:t>
      </w:r>
      <w:r w:rsidRPr="007C28D2">
        <w:t>26</w:t>
      </w:r>
      <w:r w:rsidR="003334EF" w:rsidRPr="007C28D2">
        <w:t xml:space="preserve"> et </w:t>
      </w:r>
      <w:r w:rsidR="003334EF" w:rsidRPr="007C28D2">
        <w:rPr>
          <w:i/>
          <w:iCs/>
        </w:rPr>
        <w:t>Commission des droits de la personne et des droits de la jeunesse (DeBellefeuille) c. Ville de Longueuil</w:t>
      </w:r>
      <w:r w:rsidR="003334EF" w:rsidRPr="007C28D2">
        <w:t>, 2020 QCTDP 21</w:t>
      </w:r>
      <w:r w:rsidRPr="007C28D2">
        <w:t>.</w:t>
      </w:r>
    </w:p>
  </w:footnote>
  <w:footnote w:id="273">
    <w:p w14:paraId="3B30F6CB" w14:textId="490AAB07" w:rsidR="001A3EF8" w:rsidRPr="007C28D2" w:rsidRDefault="001A3EF8" w:rsidP="001A3EF8">
      <w:pPr>
        <w:pStyle w:val="Notedebasdepage"/>
      </w:pPr>
      <w:r w:rsidRPr="007C28D2">
        <w:rPr>
          <w:rStyle w:val="Appelnotedebasdep"/>
        </w:rPr>
        <w:footnoteRef/>
      </w:r>
      <w:r w:rsidRPr="007C28D2">
        <w:t xml:space="preserve"> </w:t>
      </w:r>
      <w:r w:rsidRPr="007C28D2">
        <w:tab/>
        <w:t>Jugement de première instance, par.</w:t>
      </w:r>
      <w:r w:rsidR="007518F1">
        <w:t xml:space="preserve"> </w:t>
      </w:r>
      <w:r w:rsidRPr="007C28D2">
        <w:t>370.</w:t>
      </w:r>
    </w:p>
  </w:footnote>
  <w:footnote w:id="274">
    <w:p w14:paraId="6078AD10" w14:textId="0FDDD5E5" w:rsidR="001A3EF8" w:rsidRDefault="001A3EF8" w:rsidP="001A3EF8">
      <w:pPr>
        <w:pStyle w:val="Notedebasdepage"/>
      </w:pPr>
      <w:r w:rsidRPr="007C28D2">
        <w:rPr>
          <w:rStyle w:val="Appelnotedebasdep"/>
        </w:rPr>
        <w:footnoteRef/>
      </w:r>
      <w:r w:rsidRPr="007C28D2">
        <w:t xml:space="preserve"> </w:t>
      </w:r>
      <w:r w:rsidRPr="007C28D2">
        <w:tab/>
        <w:t xml:space="preserve">Voir notamment : </w:t>
      </w:r>
      <w:r w:rsidRPr="007C28D2">
        <w:rPr>
          <w:i/>
          <w:iCs/>
        </w:rPr>
        <w:t>Eurobank Ergasias S.A. c. Bombardier inc</w:t>
      </w:r>
      <w:r w:rsidRPr="007C28D2">
        <w:t xml:space="preserve">., 2024 CSC 11, par. 91; </w:t>
      </w:r>
      <w:r w:rsidRPr="007C28D2">
        <w:rPr>
          <w:i/>
          <w:iCs/>
        </w:rPr>
        <w:t>Salomon c. Matte</w:t>
      </w:r>
      <w:r w:rsidRPr="007C28D2">
        <w:rPr>
          <w:i/>
          <w:iCs/>
        </w:rPr>
        <w:noBreakHyphen/>
        <w:t>Thompson</w:t>
      </w:r>
      <w:r w:rsidRPr="007C28D2">
        <w:t>, 2019 CSC 14, par. 32</w:t>
      </w:r>
      <w:r w:rsidRPr="007C28D2">
        <w:noBreakHyphen/>
        <w:t xml:space="preserve">33; </w:t>
      </w:r>
      <w:r w:rsidRPr="007C28D2">
        <w:rPr>
          <w:i/>
          <w:iCs/>
        </w:rPr>
        <w:t>Housen c. Nikolaisen</w:t>
      </w:r>
      <w:r w:rsidRPr="007C28D2">
        <w:t>, 2002 CSC 33, par. 10</w:t>
      </w:r>
      <w:r w:rsidRPr="007C28D2">
        <w:noBreakHyphen/>
        <w:t xml:space="preserve">37; </w:t>
      </w:r>
      <w:r w:rsidRPr="007C28D2">
        <w:rPr>
          <w:i/>
          <w:iCs/>
        </w:rPr>
        <w:t>J.G. c. Nadeau</w:t>
      </w:r>
      <w:r w:rsidRPr="007C28D2">
        <w:t>, 2016 QCCA 167, par. 76</w:t>
      </w:r>
      <w:r w:rsidRPr="007C28D2">
        <w:noBreakHyphen/>
        <w:t>77, demande d’autorisation d’appel à la Cour suprême rejetée, 2 mars 2017, n</w:t>
      </w:r>
      <w:r w:rsidRPr="007C28D2">
        <w:rPr>
          <w:vertAlign w:val="superscript"/>
        </w:rPr>
        <w:t>o</w:t>
      </w:r>
      <w:r w:rsidRPr="007C28D2">
        <w:t> 36924.</w:t>
      </w:r>
    </w:p>
  </w:footnote>
  <w:footnote w:id="275">
    <w:p w14:paraId="109422C5" w14:textId="4CFF9CE1" w:rsidR="001A3EF8" w:rsidRPr="007C28D2" w:rsidRDefault="001A3EF8" w:rsidP="001A3EF8">
      <w:pPr>
        <w:pStyle w:val="Notedebasdepage"/>
      </w:pPr>
      <w:r w:rsidRPr="007C28D2">
        <w:rPr>
          <w:rStyle w:val="Appelnotedebasdep"/>
        </w:rPr>
        <w:footnoteRef/>
      </w:r>
      <w:r w:rsidRPr="007C28D2">
        <w:t xml:space="preserve"> </w:t>
      </w:r>
      <w:r w:rsidRPr="007C28D2">
        <w:tab/>
        <w:t xml:space="preserve">Voir notamment : </w:t>
      </w:r>
      <w:r w:rsidR="007518F1">
        <w:t>p</w:t>
      </w:r>
      <w:r w:rsidR="00B17DD6" w:rsidRPr="007C28D2">
        <w:t>ièce P</w:t>
      </w:r>
      <w:r w:rsidR="00B17DD6" w:rsidRPr="007C28D2">
        <w:noBreakHyphen/>
        <w:t>4, Rapport d’expertise de Marie-Ève Sylvestre, 7 février 2022</w:t>
      </w:r>
      <w:r w:rsidR="00B17DD6">
        <w:t>, annexe MES</w:t>
      </w:r>
      <w:r w:rsidR="006D3C5E">
        <w:noBreakHyphen/>
      </w:r>
      <w:r w:rsidR="00B17DD6">
        <w:t xml:space="preserve">055, </w:t>
      </w:r>
      <w:r w:rsidRPr="00B17DD6">
        <w:rPr>
          <w:szCs w:val="16"/>
        </w:rPr>
        <w:t>Commission</w:t>
      </w:r>
      <w:r w:rsidRPr="007C28D2">
        <w:rPr>
          <w:szCs w:val="16"/>
        </w:rPr>
        <w:t xml:space="preserve"> ontarienne des droits de la personne, </w:t>
      </w:r>
      <w:r w:rsidRPr="007C28D2">
        <w:rPr>
          <w:i/>
          <w:iCs/>
          <w:szCs w:val="16"/>
        </w:rPr>
        <w:t>Un prix trop élevé : les coûts humains du profilage racial</w:t>
      </w:r>
      <w:r w:rsidRPr="007C28D2">
        <w:rPr>
          <w:szCs w:val="16"/>
        </w:rPr>
        <w:t xml:space="preserve"> </w:t>
      </w:r>
      <w:r w:rsidRPr="007C28D2">
        <w:rPr>
          <w:i/>
          <w:iCs/>
          <w:szCs w:val="16"/>
        </w:rPr>
        <w:t>– Rapport d’enquête</w:t>
      </w:r>
      <w:r w:rsidRPr="007C28D2">
        <w:rPr>
          <w:szCs w:val="16"/>
        </w:rPr>
        <w:t>, 2003, p. 11</w:t>
      </w:r>
      <w:r w:rsidRPr="007C28D2">
        <w:rPr>
          <w:szCs w:val="16"/>
        </w:rPr>
        <w:noBreakHyphen/>
        <w:t>12</w:t>
      </w:r>
      <w:r w:rsidR="00155FE9" w:rsidRPr="007C28D2">
        <w:rPr>
          <w:szCs w:val="16"/>
        </w:rPr>
        <w:t>.</w:t>
      </w:r>
    </w:p>
  </w:footnote>
  <w:footnote w:id="276">
    <w:p w14:paraId="1E069EE2" w14:textId="4C160DBE" w:rsidR="001A3EF8" w:rsidRPr="007C28D2" w:rsidRDefault="001A3EF8" w:rsidP="00155FE9">
      <w:pPr>
        <w:pStyle w:val="Notedebasdepage"/>
      </w:pPr>
      <w:r w:rsidRPr="007C28D2">
        <w:rPr>
          <w:rStyle w:val="Appelnotedebasdep"/>
        </w:rPr>
        <w:footnoteRef/>
      </w:r>
      <w:r w:rsidRPr="007C28D2">
        <w:t xml:space="preserve"> </w:t>
      </w:r>
      <w:r w:rsidRPr="007C28D2">
        <w:tab/>
        <w:t>Pièce P</w:t>
      </w:r>
      <w:r w:rsidRPr="007C28D2">
        <w:noBreakHyphen/>
        <w:t xml:space="preserve">19, Commission ontarienne des droits de la personne, </w:t>
      </w:r>
      <w:r w:rsidRPr="007C28D2">
        <w:rPr>
          <w:i/>
          <w:iCs/>
        </w:rPr>
        <w:t>Un impact disparate : Deuxième rapport provisoire relatif à l’Enquête de la Commission ontarienne des droits de la personne sur le profilage et la discrimination raciale par le service de police de Toronto</w:t>
      </w:r>
      <w:r w:rsidRPr="007C28D2">
        <w:t xml:space="preserve">, </w:t>
      </w:r>
      <w:r w:rsidR="00155FE9" w:rsidRPr="007C28D2">
        <w:t>a</w:t>
      </w:r>
      <w:r w:rsidRPr="007C28D2">
        <w:t xml:space="preserve">oût 2020, </w:t>
      </w:r>
      <w:r w:rsidR="00155FE9" w:rsidRPr="007C28D2">
        <w:t>p. 7.</w:t>
      </w:r>
    </w:p>
  </w:footnote>
  <w:footnote w:id="277">
    <w:p w14:paraId="7F0A0A3B" w14:textId="6DA1B4C4" w:rsidR="001A3EF8" w:rsidRDefault="001A3EF8" w:rsidP="001A3EF8">
      <w:pPr>
        <w:pStyle w:val="Notedebasdepage"/>
      </w:pPr>
      <w:r w:rsidRPr="007C28D2">
        <w:rPr>
          <w:rStyle w:val="Appelnotedebasdep"/>
        </w:rPr>
        <w:footnoteRef/>
      </w:r>
      <w:r w:rsidRPr="007C28D2">
        <w:t xml:space="preserve"> </w:t>
      </w:r>
      <w:r w:rsidRPr="007C28D2">
        <w:tab/>
      </w:r>
      <w:r w:rsidRPr="007C28D2">
        <w:rPr>
          <w:i/>
          <w:iCs/>
        </w:rPr>
        <w:t>I</w:t>
      </w:r>
      <w:r w:rsidR="00155FE9" w:rsidRPr="007C28D2">
        <w:rPr>
          <w:i/>
          <w:iCs/>
        </w:rPr>
        <w:t>d.</w:t>
      </w:r>
      <w:r w:rsidR="00155FE9" w:rsidRPr="007C28D2">
        <w:t>, p. 8</w:t>
      </w:r>
      <w:r w:rsidRPr="007C28D2">
        <w:t>.</w:t>
      </w:r>
    </w:p>
  </w:footnote>
  <w:footnote w:id="278">
    <w:p w14:paraId="3F377A3C" w14:textId="06142CA4" w:rsidR="001A3EF8" w:rsidRPr="007C28D2" w:rsidRDefault="001A3EF8" w:rsidP="001A3EF8">
      <w:pPr>
        <w:pStyle w:val="Notedebasdepage"/>
      </w:pPr>
      <w:r w:rsidRPr="007C28D2">
        <w:rPr>
          <w:rStyle w:val="Appelnotedebasdep"/>
        </w:rPr>
        <w:footnoteRef/>
      </w:r>
      <w:r w:rsidRPr="007C28D2">
        <w:t xml:space="preserve"> </w:t>
      </w:r>
      <w:r w:rsidRPr="007C28D2">
        <w:tab/>
        <w:t>Pièce</w:t>
      </w:r>
      <w:r w:rsidR="00251A6E">
        <w:t xml:space="preserve"> </w:t>
      </w:r>
      <w:r w:rsidRPr="007C28D2">
        <w:t xml:space="preserve">P-32, Commission des droits de la personne et des droits de la jeunesse (Québec), </w:t>
      </w:r>
      <w:r w:rsidRPr="007C28D2">
        <w:rPr>
          <w:i/>
          <w:iCs/>
        </w:rPr>
        <w:t>Profilage racial et discrimination systémique des jeunes racisés : Rapport de la consultation sur le profilage racial et ses conséquences</w:t>
      </w:r>
      <w:r w:rsidRPr="007C28D2">
        <w:t xml:space="preserve">, </w:t>
      </w:r>
      <w:r w:rsidR="00B2065E" w:rsidRPr="007C28D2">
        <w:t>m</w:t>
      </w:r>
      <w:r w:rsidRPr="007C28D2">
        <w:t xml:space="preserve">ars 2011, </w:t>
      </w:r>
      <w:r w:rsidR="00B2065E" w:rsidRPr="007C28D2">
        <w:t>p. 26</w:t>
      </w:r>
      <w:r w:rsidRPr="007C28D2">
        <w:t>.</w:t>
      </w:r>
    </w:p>
  </w:footnote>
  <w:footnote w:id="279">
    <w:p w14:paraId="4F0393DA" w14:textId="42C75622" w:rsidR="001A3EF8" w:rsidRPr="007C28D2" w:rsidRDefault="001A3EF8" w:rsidP="001A3EF8">
      <w:pPr>
        <w:pStyle w:val="Notedebasdepage"/>
      </w:pPr>
      <w:r w:rsidRPr="007C28D2">
        <w:rPr>
          <w:rStyle w:val="Appelnotedebasdep"/>
        </w:rPr>
        <w:footnoteRef/>
      </w:r>
      <w:r w:rsidRPr="007C28D2">
        <w:t xml:space="preserve"> </w:t>
      </w:r>
      <w:r w:rsidRPr="007C28D2">
        <w:tab/>
      </w:r>
      <w:r w:rsidR="00B2065E" w:rsidRPr="007C28D2">
        <w:rPr>
          <w:i/>
          <w:iCs/>
        </w:rPr>
        <w:t xml:space="preserve">R. c. Le, </w:t>
      </w:r>
      <w:r w:rsidR="00B2065E" w:rsidRPr="007C28D2">
        <w:t>2019</w:t>
      </w:r>
      <w:r w:rsidR="006D3C5E">
        <w:t xml:space="preserve"> </w:t>
      </w:r>
      <w:r w:rsidR="00B2065E" w:rsidRPr="007C28D2">
        <w:t>CSC</w:t>
      </w:r>
      <w:r w:rsidR="006D3C5E">
        <w:t xml:space="preserve"> </w:t>
      </w:r>
      <w:r w:rsidR="00B2065E" w:rsidRPr="007C28D2">
        <w:t>34</w:t>
      </w:r>
      <w:r w:rsidRPr="007C28D2">
        <w:t>, par.</w:t>
      </w:r>
      <w:r w:rsidR="006D3C5E">
        <w:t xml:space="preserve"> </w:t>
      </w:r>
      <w:r w:rsidRPr="007C28D2">
        <w:t>90, r</w:t>
      </w:r>
      <w:r w:rsidR="00572547">
        <w:t>envoy</w:t>
      </w:r>
      <w:r w:rsidRPr="007C28D2">
        <w:t>ant à : Robin T. Fitzgerald et Peter J. Carrington, « Disproportionate Minority Contact in Canada: Police and Visible Minority Youth », (2011) 53:4 </w:t>
      </w:r>
      <w:r w:rsidRPr="007C28D2">
        <w:rPr>
          <w:i/>
          <w:iCs/>
        </w:rPr>
        <w:t>Can. J. Crimin. &amp; Crim. Jus</w:t>
      </w:r>
      <w:r w:rsidRPr="007C28D2">
        <w:t xml:space="preserve">. 449, p. 450. </w:t>
      </w:r>
    </w:p>
  </w:footnote>
  <w:footnote w:id="280">
    <w:p w14:paraId="574BDF4C" w14:textId="77777777" w:rsidR="001A3EF8" w:rsidRPr="00B37D0D" w:rsidRDefault="001A3EF8" w:rsidP="001A3EF8">
      <w:pPr>
        <w:pStyle w:val="Notedebasdepage"/>
        <w:rPr>
          <w:highlight w:val="green"/>
        </w:rPr>
      </w:pPr>
      <w:r w:rsidRPr="007C28D2">
        <w:rPr>
          <w:rStyle w:val="Appelnotedebasdep"/>
        </w:rPr>
        <w:footnoteRef/>
      </w:r>
      <w:r w:rsidRPr="007C28D2">
        <w:tab/>
        <w:t>Jugement de première instance, par. 821.</w:t>
      </w:r>
    </w:p>
  </w:footnote>
  <w:footnote w:id="281">
    <w:p w14:paraId="7AA83386" w14:textId="03C9DB62" w:rsidR="001A3EF8" w:rsidRDefault="001A3EF8" w:rsidP="001A3EF8">
      <w:pPr>
        <w:pStyle w:val="Notedebasdepage"/>
      </w:pPr>
      <w:r w:rsidRPr="007C28D2">
        <w:rPr>
          <w:rStyle w:val="Appelnotedebasdep"/>
        </w:rPr>
        <w:footnoteRef/>
      </w:r>
      <w:r w:rsidRPr="007C28D2">
        <w:t xml:space="preserve"> </w:t>
      </w:r>
      <w:r w:rsidRPr="007C28D2">
        <w:tab/>
        <w:t xml:space="preserve">Pièce P-29, Commission ontarienne des droits de la personne, </w:t>
      </w:r>
      <w:r w:rsidRPr="007C28D2">
        <w:rPr>
          <w:i/>
          <w:iCs/>
        </w:rPr>
        <w:t>Un impact collectif : Rapport provisoire relatif à l’enquête sur le profilage racial et la discrimination envers les personnes noires au sein du service de police de Toronto</w:t>
      </w:r>
      <w:r w:rsidRPr="007C28D2">
        <w:t xml:space="preserve">, </w:t>
      </w:r>
      <w:r w:rsidR="009F6F3F" w:rsidRPr="007C28D2">
        <w:t>n</w:t>
      </w:r>
      <w:r w:rsidRPr="007C28D2">
        <w:t xml:space="preserve">ovembre 2018, citant : Michael H. Tulloch, </w:t>
      </w:r>
      <w:r w:rsidRPr="007C28D2">
        <w:rPr>
          <w:i/>
          <w:iCs/>
        </w:rPr>
        <w:t>Rapport de l’examen indépendant des organismes de surveillance de la police</w:t>
      </w:r>
      <w:r w:rsidRPr="007C28D2">
        <w:t xml:space="preserve">, Toronto, Imprimeur de la Reine pour l’Ontario, 2017, p. 31. Voir aussi : </w:t>
      </w:r>
      <w:r w:rsidR="009F6F3F" w:rsidRPr="007C28D2">
        <w:t>p</w:t>
      </w:r>
      <w:r w:rsidRPr="007C28D2">
        <w:t>ièce IN</w:t>
      </w:r>
      <w:r w:rsidRPr="007C28D2">
        <w:noBreakHyphen/>
        <w:t>3, Rapport d’expertise</w:t>
      </w:r>
      <w:r w:rsidR="009F6F3F" w:rsidRPr="007C28D2">
        <w:t xml:space="preserve"> de </w:t>
      </w:r>
      <w:r w:rsidRPr="007C28D2">
        <w:t>Robert S. Wright,</w:t>
      </w:r>
      <w:r w:rsidR="009F6F3F" w:rsidRPr="007C28D2">
        <w:t xml:space="preserve"> 1</w:t>
      </w:r>
      <w:r w:rsidR="009F6F3F" w:rsidRPr="007C28D2">
        <w:rPr>
          <w:vertAlign w:val="superscript"/>
        </w:rPr>
        <w:t>er</w:t>
      </w:r>
      <w:r w:rsidR="009F6F3F" w:rsidRPr="007C28D2">
        <w:t xml:space="preserve"> avril 2022, p. 2-3</w:t>
      </w:r>
      <w:r w:rsidRPr="007C28D2">
        <w:t>.</w:t>
      </w:r>
    </w:p>
  </w:footnote>
  <w:footnote w:id="282">
    <w:p w14:paraId="21CD9D4F" w14:textId="1E850B19" w:rsidR="001A3EF8" w:rsidRPr="007C28D2" w:rsidRDefault="001A3EF8" w:rsidP="001A3EF8">
      <w:pPr>
        <w:pStyle w:val="Notedebasdepage"/>
      </w:pPr>
      <w:r w:rsidRPr="007C28D2">
        <w:rPr>
          <w:rStyle w:val="Appelnotedebasdep"/>
        </w:rPr>
        <w:footnoteRef/>
      </w:r>
      <w:r w:rsidRPr="007C28D2">
        <w:t xml:space="preserve"> </w:t>
      </w:r>
      <w:r w:rsidRPr="007C28D2">
        <w:tab/>
        <w:t>Pièce P</w:t>
      </w:r>
      <w:r w:rsidRPr="007C28D2">
        <w:noBreakHyphen/>
        <w:t xml:space="preserve">1, Rapport d’expertise de Massimiliano Mulone, </w:t>
      </w:r>
      <w:r w:rsidR="009F6F3F" w:rsidRPr="007C28D2">
        <w:t>31 janvier 2022, p. 31-32</w:t>
      </w:r>
      <w:r w:rsidRPr="007C28D2">
        <w:t xml:space="preserve">; </w:t>
      </w:r>
      <w:r w:rsidR="009F6F3F" w:rsidRPr="007C28D2">
        <w:t>p</w:t>
      </w:r>
      <w:r w:rsidRPr="007C28D2">
        <w:t>ièce IN</w:t>
      </w:r>
      <w:r w:rsidRPr="007C28D2">
        <w:noBreakHyphen/>
        <w:t>3, Rapport d’expertise</w:t>
      </w:r>
      <w:r w:rsidR="009F6F3F" w:rsidRPr="007C28D2">
        <w:t xml:space="preserve"> de </w:t>
      </w:r>
      <w:r w:rsidRPr="007C28D2">
        <w:t xml:space="preserve">Robert S. Wright, </w:t>
      </w:r>
      <w:r w:rsidR="009F6F3F" w:rsidRPr="007C28D2">
        <w:t>1</w:t>
      </w:r>
      <w:r w:rsidR="009F6F3F" w:rsidRPr="007C28D2">
        <w:rPr>
          <w:vertAlign w:val="superscript"/>
        </w:rPr>
        <w:t>er</w:t>
      </w:r>
      <w:r w:rsidR="009F6F3F" w:rsidRPr="007C28D2">
        <w:t xml:space="preserve"> avril 2022, p. 13</w:t>
      </w:r>
      <w:r w:rsidRPr="007C28D2">
        <w:t>.</w:t>
      </w:r>
    </w:p>
  </w:footnote>
  <w:footnote w:id="283">
    <w:p w14:paraId="68189C77" w14:textId="4C646874" w:rsidR="001A3EF8" w:rsidRPr="007C28D2" w:rsidRDefault="001A3EF8" w:rsidP="001A3EF8">
      <w:pPr>
        <w:pStyle w:val="Notedebasdepage"/>
      </w:pPr>
      <w:r w:rsidRPr="007C28D2">
        <w:rPr>
          <w:rStyle w:val="Appelnotedebasdep"/>
        </w:rPr>
        <w:footnoteRef/>
      </w:r>
      <w:r w:rsidRPr="007C28D2">
        <w:t xml:space="preserve"> </w:t>
      </w:r>
      <w:r w:rsidRPr="007C28D2">
        <w:tab/>
      </w:r>
      <w:r w:rsidR="00B17DD6" w:rsidRPr="007C28D2">
        <w:t>Pièce P</w:t>
      </w:r>
      <w:r w:rsidR="00B17DD6" w:rsidRPr="007C28D2">
        <w:noBreakHyphen/>
        <w:t>4, Rapport d’expertise de Marie-Ève Sylvestre, 7 février 2022</w:t>
      </w:r>
      <w:r w:rsidR="00B17DD6">
        <w:t xml:space="preserve">, annexe MES-055, </w:t>
      </w:r>
      <w:r w:rsidRPr="007C28D2">
        <w:rPr>
          <w:szCs w:val="16"/>
        </w:rPr>
        <w:t xml:space="preserve">Commission ontarienne des droits de la personne, </w:t>
      </w:r>
      <w:r w:rsidRPr="007C28D2">
        <w:rPr>
          <w:i/>
          <w:iCs/>
          <w:szCs w:val="16"/>
        </w:rPr>
        <w:t>Un prix trop élevé : les coûts humains du profilage racial – Rapport d’enquête</w:t>
      </w:r>
      <w:r w:rsidRPr="007C28D2">
        <w:rPr>
          <w:szCs w:val="16"/>
        </w:rPr>
        <w:t>, 2003, p. 21 et s.</w:t>
      </w:r>
    </w:p>
  </w:footnote>
  <w:footnote w:id="284">
    <w:p w14:paraId="133766FC" w14:textId="02A7F74D" w:rsidR="001A3EF8" w:rsidRPr="007C28D2" w:rsidRDefault="001A3EF8" w:rsidP="00DE6666">
      <w:pPr>
        <w:pStyle w:val="Notedebasdepage"/>
      </w:pPr>
      <w:r w:rsidRPr="007C28D2">
        <w:rPr>
          <w:rStyle w:val="Appelnotedebasdep"/>
        </w:rPr>
        <w:footnoteRef/>
      </w:r>
      <w:r w:rsidRPr="007C28D2">
        <w:t xml:space="preserve"> </w:t>
      </w:r>
      <w:r w:rsidRPr="007C28D2">
        <w:tab/>
        <w:t xml:space="preserve">Pièce P-29, Commission ontarienne des droits de la personne, </w:t>
      </w:r>
      <w:r w:rsidRPr="007C28D2">
        <w:rPr>
          <w:i/>
          <w:iCs/>
        </w:rPr>
        <w:t>Un impact collectif : Rapport provisoire relatif à l’enquête sur le profilage racial et la discrimination envers les personnes noires au sein du service de police de Toronto</w:t>
      </w:r>
      <w:r w:rsidRPr="007C28D2">
        <w:t xml:space="preserve">, </w:t>
      </w:r>
      <w:r w:rsidR="009F6F3F" w:rsidRPr="007C28D2">
        <w:t>n</w:t>
      </w:r>
      <w:r w:rsidRPr="007C28D2">
        <w:t>ovembre 2018.</w:t>
      </w:r>
    </w:p>
  </w:footnote>
  <w:footnote w:id="285">
    <w:p w14:paraId="4F769EA6" w14:textId="5B20E711" w:rsidR="001A3EF8" w:rsidRPr="007C28D2" w:rsidRDefault="001A3EF8" w:rsidP="001A3EF8">
      <w:pPr>
        <w:pStyle w:val="Notedebasdepage"/>
      </w:pPr>
      <w:r w:rsidRPr="007C28D2">
        <w:rPr>
          <w:rStyle w:val="Appelnotedebasdep"/>
        </w:rPr>
        <w:footnoteRef/>
      </w:r>
      <w:r w:rsidRPr="007C28D2">
        <w:t xml:space="preserve"> </w:t>
      </w:r>
      <w:r w:rsidRPr="007C28D2">
        <w:tab/>
        <w:t xml:space="preserve">Pièce P-31, Commission ontarienne des droits de la personne, </w:t>
      </w:r>
      <w:r w:rsidRPr="007C28D2">
        <w:rPr>
          <w:i/>
          <w:iCs/>
        </w:rPr>
        <w:t>Pris à partie – Rapport de recherche sur le profilage racial en Ontario</w:t>
      </w:r>
      <w:r w:rsidRPr="007C28D2">
        <w:t xml:space="preserve">, </w:t>
      </w:r>
      <w:r w:rsidR="00DE6666" w:rsidRPr="007C28D2">
        <w:t>a</w:t>
      </w:r>
      <w:r w:rsidRPr="007C28D2">
        <w:t xml:space="preserve">vril 2017, </w:t>
      </w:r>
      <w:r w:rsidR="00DE6666" w:rsidRPr="007C28D2">
        <w:t>p. 9</w:t>
      </w:r>
      <w:r w:rsidR="000B453A">
        <w:t>8</w:t>
      </w:r>
      <w:r w:rsidR="00DE6666" w:rsidRPr="007C28D2">
        <w:t>.</w:t>
      </w:r>
    </w:p>
  </w:footnote>
  <w:footnote w:id="286">
    <w:p w14:paraId="14B11CA0" w14:textId="724635E2" w:rsidR="001A3EF8" w:rsidRDefault="001A3EF8" w:rsidP="001A3EF8">
      <w:pPr>
        <w:pStyle w:val="Notedebasdepage"/>
      </w:pPr>
      <w:r w:rsidRPr="007C28D2">
        <w:rPr>
          <w:rStyle w:val="Appelnotedebasdep"/>
        </w:rPr>
        <w:footnoteRef/>
      </w:r>
      <w:r w:rsidRPr="007C28D2">
        <w:t xml:space="preserve"> </w:t>
      </w:r>
      <w:r w:rsidRPr="007C28D2">
        <w:tab/>
        <w:t>Pièce P</w:t>
      </w:r>
      <w:r w:rsidRPr="007C28D2">
        <w:noBreakHyphen/>
        <w:t>4, Rapport d’expertise de Marie</w:t>
      </w:r>
      <w:r w:rsidRPr="007C28D2">
        <w:noBreakHyphen/>
        <w:t xml:space="preserve">Ève Sylvestre, </w:t>
      </w:r>
      <w:r w:rsidR="00DE6666" w:rsidRPr="007C28D2">
        <w:t>7 février 2022, p. 33 et 49-50</w:t>
      </w:r>
      <w:r w:rsidRPr="007C28D2">
        <w:t xml:space="preserve">; </w:t>
      </w:r>
      <w:r w:rsidR="00DE6666" w:rsidRPr="007C28D2">
        <w:t>p</w:t>
      </w:r>
      <w:r w:rsidRPr="007C28D2">
        <w:t>ièce P</w:t>
      </w:r>
      <w:r w:rsidR="007518F1">
        <w:noBreakHyphen/>
      </w:r>
      <w:r w:rsidRPr="007C28D2">
        <w:t xml:space="preserve">29, Commission ontarienne des droits de la personne, </w:t>
      </w:r>
      <w:r w:rsidRPr="007C28D2">
        <w:rPr>
          <w:i/>
          <w:iCs/>
        </w:rPr>
        <w:t>Un impact collectif : Rapport provisoire relatif à l’enquête sur le profilage racial et la discrimination envers les personnes noires au sein du service de police de Toronto</w:t>
      </w:r>
      <w:r w:rsidRPr="007C28D2">
        <w:t xml:space="preserve">, </w:t>
      </w:r>
      <w:r w:rsidR="00DE6666" w:rsidRPr="007C28D2">
        <w:t>n</w:t>
      </w:r>
      <w:r w:rsidRPr="007C28D2">
        <w:t>ovembre 2018.</w:t>
      </w:r>
    </w:p>
  </w:footnote>
  <w:footnote w:id="287">
    <w:p w14:paraId="69A3E330" w14:textId="056AE2A5" w:rsidR="001A3EF8" w:rsidRPr="007C28D2" w:rsidRDefault="001A3EF8" w:rsidP="001A3EF8">
      <w:pPr>
        <w:pStyle w:val="Notedebasdepage"/>
      </w:pPr>
      <w:r w:rsidRPr="007C28D2">
        <w:rPr>
          <w:rStyle w:val="Appelnotedebasdep"/>
        </w:rPr>
        <w:footnoteRef/>
      </w:r>
      <w:r w:rsidRPr="007C28D2">
        <w:t xml:space="preserve"> </w:t>
      </w:r>
      <w:r w:rsidRPr="007C28D2">
        <w:tab/>
      </w:r>
      <w:r w:rsidR="00D157BD" w:rsidRPr="007C28D2">
        <w:t>Pièce P</w:t>
      </w:r>
      <w:r w:rsidR="00D157BD" w:rsidRPr="007C28D2">
        <w:noBreakHyphen/>
        <w:t>4, Rapport d’expertise de Marie</w:t>
      </w:r>
      <w:r w:rsidR="00D157BD" w:rsidRPr="007C28D2">
        <w:noBreakHyphen/>
        <w:t>Ève Sylvestre, 7 février 2022, p.</w:t>
      </w:r>
      <w:r w:rsidR="007518F1">
        <w:t xml:space="preserve"> </w:t>
      </w:r>
      <w:r w:rsidR="00D157BD" w:rsidRPr="007C28D2">
        <w:t>33</w:t>
      </w:r>
      <w:r w:rsidRPr="007C28D2">
        <w:t xml:space="preserve">; </w:t>
      </w:r>
      <w:r w:rsidR="00D157BD" w:rsidRPr="007C28D2">
        <w:t>p</w:t>
      </w:r>
      <w:r w:rsidRPr="007C28D2">
        <w:t>ièce IN</w:t>
      </w:r>
      <w:r w:rsidRPr="007C28D2">
        <w:noBreakHyphen/>
        <w:t>3, Rapport d’expertise</w:t>
      </w:r>
      <w:r w:rsidR="00D157BD" w:rsidRPr="007C28D2">
        <w:t xml:space="preserve"> de </w:t>
      </w:r>
      <w:r w:rsidRPr="007C28D2">
        <w:t xml:space="preserve">Robert S. Wright, </w:t>
      </w:r>
      <w:r w:rsidR="00D157BD" w:rsidRPr="007C28D2">
        <w:t>1</w:t>
      </w:r>
      <w:r w:rsidR="00D157BD" w:rsidRPr="007C28D2">
        <w:rPr>
          <w:vertAlign w:val="superscript"/>
        </w:rPr>
        <w:t>er</w:t>
      </w:r>
      <w:r w:rsidR="00D157BD" w:rsidRPr="007C28D2">
        <w:t xml:space="preserve"> avril 2022, p.</w:t>
      </w:r>
      <w:r w:rsidR="007518F1">
        <w:t xml:space="preserve"> </w:t>
      </w:r>
      <w:r w:rsidR="00D157BD" w:rsidRPr="007C28D2">
        <w:t>6</w:t>
      </w:r>
      <w:r w:rsidRPr="007C28D2">
        <w:t xml:space="preserve">; </w:t>
      </w:r>
      <w:r w:rsidR="00D157BD" w:rsidRPr="007C28D2">
        <w:t>p</w:t>
      </w:r>
      <w:r w:rsidRPr="007C28D2">
        <w:t xml:space="preserve">ièce P-29, Commission ontarienne des droits de la personne, </w:t>
      </w:r>
      <w:r w:rsidRPr="007C28D2">
        <w:rPr>
          <w:i/>
          <w:iCs/>
        </w:rPr>
        <w:t>Un impact collectif : Rapport provisoire relatif à l’enquête sur le profilage racial et la discrimination envers les personnes noires au sein du service de police de Toronto</w:t>
      </w:r>
      <w:r w:rsidRPr="007C28D2">
        <w:t xml:space="preserve">, </w:t>
      </w:r>
      <w:r w:rsidR="00D157BD" w:rsidRPr="007C28D2">
        <w:t>n</w:t>
      </w:r>
      <w:r w:rsidRPr="007C28D2">
        <w:t>ovembre 2018.</w:t>
      </w:r>
    </w:p>
  </w:footnote>
  <w:footnote w:id="288">
    <w:p w14:paraId="4F4FAA10" w14:textId="3E5ED486" w:rsidR="001A3EF8" w:rsidRPr="007C28D2" w:rsidRDefault="001A3EF8" w:rsidP="001A3EF8">
      <w:pPr>
        <w:pStyle w:val="Notedebasdepage"/>
      </w:pPr>
      <w:r w:rsidRPr="007C28D2">
        <w:rPr>
          <w:rStyle w:val="Appelnotedebasdep"/>
        </w:rPr>
        <w:footnoteRef/>
      </w:r>
      <w:r w:rsidRPr="007C28D2">
        <w:t xml:space="preserve"> </w:t>
      </w:r>
      <w:r w:rsidRPr="007C28D2">
        <w:tab/>
      </w:r>
      <w:r w:rsidR="00D157BD" w:rsidRPr="007C28D2">
        <w:t>Pièce P</w:t>
      </w:r>
      <w:r w:rsidR="00D157BD" w:rsidRPr="007C28D2">
        <w:noBreakHyphen/>
        <w:t>4, Rapport d’expertise de Marie</w:t>
      </w:r>
      <w:r w:rsidR="00D157BD" w:rsidRPr="007C28D2">
        <w:noBreakHyphen/>
        <w:t>Ève Sylvestre, 7 février 2022,</w:t>
      </w:r>
      <w:r w:rsidRPr="007C28D2">
        <w:t xml:space="preserve"> p.</w:t>
      </w:r>
      <w:r w:rsidR="007518F1">
        <w:t xml:space="preserve"> </w:t>
      </w:r>
      <w:r w:rsidR="00D157BD" w:rsidRPr="007C28D2">
        <w:t>32 et 48</w:t>
      </w:r>
      <w:r w:rsidR="00B17DD6">
        <w:t>, et annexe MES</w:t>
      </w:r>
      <w:r w:rsidR="007518F1">
        <w:noBreakHyphen/>
      </w:r>
      <w:r w:rsidR="00B17DD6">
        <w:t>055,</w:t>
      </w:r>
      <w:r w:rsidRPr="007C28D2">
        <w:t xml:space="preserve"> </w:t>
      </w:r>
      <w:r w:rsidRPr="007C28D2">
        <w:rPr>
          <w:szCs w:val="16"/>
        </w:rPr>
        <w:t xml:space="preserve">Commission ontarienne des droits de la personne, </w:t>
      </w:r>
      <w:r w:rsidRPr="007C28D2">
        <w:rPr>
          <w:i/>
          <w:iCs/>
          <w:szCs w:val="16"/>
        </w:rPr>
        <w:t>Un prix trop élevé : les coûts humains du profilage racial</w:t>
      </w:r>
      <w:r w:rsidRPr="007C28D2">
        <w:rPr>
          <w:szCs w:val="16"/>
        </w:rPr>
        <w:t xml:space="preserve"> – Rapport d’enquête, 2003, p. 55.</w:t>
      </w:r>
    </w:p>
  </w:footnote>
  <w:footnote w:id="289">
    <w:p w14:paraId="3E3C0ACB" w14:textId="25E89D31" w:rsidR="001A3EF8" w:rsidRPr="007C28D2" w:rsidRDefault="001A3EF8" w:rsidP="001A3EF8">
      <w:pPr>
        <w:pStyle w:val="Notedebasdepage"/>
      </w:pPr>
      <w:r w:rsidRPr="007C28D2">
        <w:rPr>
          <w:rStyle w:val="Appelnotedebasdep"/>
        </w:rPr>
        <w:footnoteRef/>
      </w:r>
      <w:r w:rsidRPr="007C28D2">
        <w:t xml:space="preserve"> </w:t>
      </w:r>
      <w:r w:rsidR="00A87FC8" w:rsidRPr="007C28D2">
        <w:tab/>
      </w:r>
      <w:r w:rsidR="00D157BD" w:rsidRPr="007C28D2">
        <w:t>Pièce P</w:t>
      </w:r>
      <w:r w:rsidR="00D157BD" w:rsidRPr="007C28D2">
        <w:noBreakHyphen/>
        <w:t>4, Rapport d’expertise de Marie</w:t>
      </w:r>
      <w:r w:rsidR="00D157BD" w:rsidRPr="007C28D2">
        <w:noBreakHyphen/>
        <w:t>Ève Sylvestre, 7 février 2022</w:t>
      </w:r>
      <w:r w:rsidRPr="007C28D2">
        <w:t>, p. </w:t>
      </w:r>
      <w:r w:rsidR="002A5A3D" w:rsidRPr="007C28D2">
        <w:t>32</w:t>
      </w:r>
      <w:r w:rsidRPr="007C28D2">
        <w:t>.</w:t>
      </w:r>
    </w:p>
  </w:footnote>
  <w:footnote w:id="290">
    <w:p w14:paraId="2076E590" w14:textId="0104A2C0"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w:t>
      </w:r>
      <w:r w:rsidR="007518F1">
        <w:t xml:space="preserve"> </w:t>
      </w:r>
      <w:r w:rsidR="002A5A3D" w:rsidRPr="007C28D2">
        <w:t>55 e</w:t>
      </w:r>
      <w:r w:rsidRPr="007C28D2">
        <w:t xml:space="preserve">t s.; </w:t>
      </w:r>
      <w:r w:rsidR="002A5A3D" w:rsidRPr="007C28D2">
        <w:t>pi</w:t>
      </w:r>
      <w:r w:rsidRPr="007C28D2">
        <w:t xml:space="preserve">èce P-31, Commission ontarienne des droits de la personne, </w:t>
      </w:r>
      <w:r w:rsidRPr="007C28D2">
        <w:rPr>
          <w:i/>
          <w:iCs/>
        </w:rPr>
        <w:t>Pris à partie – Rapport de recherche sur le profilage racial en Ontario</w:t>
      </w:r>
      <w:r w:rsidRPr="007C28D2">
        <w:t xml:space="preserve">, </w:t>
      </w:r>
      <w:r w:rsidR="002A5A3D" w:rsidRPr="007C28D2">
        <w:t>a</w:t>
      </w:r>
      <w:r w:rsidRPr="007C28D2">
        <w:t xml:space="preserve">vril 2017, </w:t>
      </w:r>
      <w:r w:rsidR="00A87FC8" w:rsidRPr="007C28D2">
        <w:t>p. 99</w:t>
      </w:r>
      <w:r w:rsidRPr="007C28D2">
        <w:t>.</w:t>
      </w:r>
    </w:p>
  </w:footnote>
  <w:footnote w:id="291">
    <w:p w14:paraId="0C519AA9" w14:textId="7EB89C77" w:rsidR="001A3EF8" w:rsidRPr="007C28D2" w:rsidRDefault="001A3EF8" w:rsidP="001A3EF8">
      <w:pPr>
        <w:pStyle w:val="Notedebasdepage"/>
      </w:pPr>
      <w:r w:rsidRPr="007C28D2">
        <w:rPr>
          <w:rStyle w:val="Appelnotedebasdep"/>
        </w:rPr>
        <w:footnoteRef/>
      </w:r>
      <w:r w:rsidRPr="007C28D2">
        <w:t xml:space="preserve"> </w:t>
      </w:r>
      <w:r w:rsidRPr="007C28D2">
        <w:tab/>
      </w:r>
      <w:r w:rsidR="00A87FC8" w:rsidRPr="007C28D2">
        <w:t>Pièce P</w:t>
      </w:r>
      <w:r w:rsidR="00A87FC8" w:rsidRPr="007C28D2">
        <w:noBreakHyphen/>
        <w:t>4, Rapport d’expertise de Marie</w:t>
      </w:r>
      <w:r w:rsidR="00A87FC8" w:rsidRPr="007C28D2">
        <w:noBreakHyphen/>
        <w:t>Ève Sylvestre, 7 février 2022</w:t>
      </w:r>
      <w:r w:rsidRPr="007C28D2">
        <w:t>, p. </w:t>
      </w:r>
      <w:r w:rsidR="00A87FC8" w:rsidRPr="007C28D2">
        <w:t>49</w:t>
      </w:r>
      <w:r w:rsidR="00B17DD6">
        <w:t xml:space="preserve"> et annexe MES</w:t>
      </w:r>
      <w:r w:rsidR="007518F1">
        <w:noBreakHyphen/>
      </w:r>
      <w:r w:rsidR="00B17DD6">
        <w:t xml:space="preserve">055, </w:t>
      </w:r>
      <w:r w:rsidR="00B17DD6" w:rsidRPr="007C28D2">
        <w:rPr>
          <w:szCs w:val="16"/>
        </w:rPr>
        <w:t xml:space="preserve">Commission ontarienne des droits de la personne, </w:t>
      </w:r>
      <w:r w:rsidR="00B17DD6" w:rsidRPr="007C28D2">
        <w:rPr>
          <w:i/>
          <w:iCs/>
          <w:szCs w:val="16"/>
        </w:rPr>
        <w:t>Un prix trop élevé : les coûts humains du profilage racial</w:t>
      </w:r>
      <w:r w:rsidR="00B17DD6" w:rsidRPr="007C28D2">
        <w:rPr>
          <w:szCs w:val="16"/>
        </w:rPr>
        <w:t xml:space="preserve"> </w:t>
      </w:r>
      <w:r w:rsidR="00B17DD6" w:rsidRPr="007C28D2">
        <w:rPr>
          <w:i/>
          <w:iCs/>
          <w:szCs w:val="16"/>
        </w:rPr>
        <w:t>– Rapport d’enquête</w:t>
      </w:r>
      <w:r w:rsidR="00B17DD6" w:rsidRPr="007C28D2">
        <w:rPr>
          <w:szCs w:val="16"/>
        </w:rPr>
        <w:t>, 2003, p. 27 et s</w:t>
      </w:r>
      <w:r w:rsidR="00B17DD6">
        <w:rPr>
          <w:szCs w:val="16"/>
        </w:rPr>
        <w:t>.</w:t>
      </w:r>
      <w:r w:rsidRPr="007C28D2">
        <w:t xml:space="preserve">; </w:t>
      </w:r>
      <w:r w:rsidR="00A87FC8" w:rsidRPr="007C28D2">
        <w:t>p</w:t>
      </w:r>
      <w:r w:rsidRPr="007C28D2">
        <w:t>ièce P</w:t>
      </w:r>
      <w:r w:rsidRPr="007C28D2">
        <w:noBreakHyphen/>
        <w:t xml:space="preserve">1, Rapport d’expertise de Massimiliano Mulone, </w:t>
      </w:r>
      <w:r w:rsidR="00A87FC8" w:rsidRPr="007C28D2">
        <w:t>31</w:t>
      </w:r>
      <w:r w:rsidR="007518F1">
        <w:t> </w:t>
      </w:r>
      <w:r w:rsidR="00A87FC8" w:rsidRPr="007C28D2">
        <w:t>janvier</w:t>
      </w:r>
      <w:r w:rsidR="007518F1">
        <w:t> </w:t>
      </w:r>
      <w:r w:rsidR="00A87FC8" w:rsidRPr="007C28D2">
        <w:t>2022, p.</w:t>
      </w:r>
      <w:r w:rsidR="007518F1">
        <w:t xml:space="preserve"> </w:t>
      </w:r>
      <w:r w:rsidR="00A87FC8" w:rsidRPr="007C28D2">
        <w:t>11</w:t>
      </w:r>
      <w:r w:rsidRPr="007C28D2">
        <w:rPr>
          <w:szCs w:val="16"/>
        </w:rPr>
        <w:t>.</w:t>
      </w:r>
    </w:p>
  </w:footnote>
  <w:footnote w:id="292">
    <w:p w14:paraId="31A6F49A" w14:textId="373B4F01" w:rsidR="001A3EF8" w:rsidRPr="007C28D2" w:rsidRDefault="001A3EF8" w:rsidP="001A3EF8">
      <w:pPr>
        <w:pStyle w:val="Notedebasdepage"/>
      </w:pPr>
      <w:r w:rsidRPr="007C28D2">
        <w:rPr>
          <w:rStyle w:val="Appelnotedebasdep"/>
        </w:rPr>
        <w:footnoteRef/>
      </w:r>
      <w:r w:rsidRPr="007C28D2">
        <w:t xml:space="preserve"> </w:t>
      </w:r>
      <w:r w:rsidRPr="007C28D2">
        <w:tab/>
        <w:t>Pièce P</w:t>
      </w:r>
      <w:r w:rsidRPr="007C28D2">
        <w:noBreakHyphen/>
        <w:t>4, Rapport d’expertise de Marie</w:t>
      </w:r>
      <w:r w:rsidRPr="007C28D2">
        <w:noBreakHyphen/>
        <w:t xml:space="preserve">Ève Sylvestre, </w:t>
      </w:r>
      <w:r w:rsidR="00A87FC8" w:rsidRPr="007C28D2">
        <w:t>7 février 2022, p.</w:t>
      </w:r>
      <w:r w:rsidR="007518F1">
        <w:t xml:space="preserve"> </w:t>
      </w:r>
      <w:r w:rsidR="00A87FC8" w:rsidRPr="007C28D2">
        <w:t>32</w:t>
      </w:r>
      <w:r w:rsidRPr="007C28D2">
        <w:t>.</w:t>
      </w:r>
    </w:p>
  </w:footnote>
  <w:footnote w:id="293">
    <w:p w14:paraId="6D027C0D" w14:textId="7189E7E6" w:rsidR="001A3EF8" w:rsidRPr="001A3EF8"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w:t>
      </w:r>
      <w:r w:rsidR="007518F1">
        <w:t xml:space="preserve"> </w:t>
      </w:r>
      <w:r w:rsidR="00A87FC8" w:rsidRPr="007C28D2">
        <w:t>53</w:t>
      </w:r>
      <w:r w:rsidRPr="007C28D2">
        <w:t xml:space="preserve">; </w:t>
      </w:r>
      <w:r w:rsidR="00A87FC8" w:rsidRPr="007C28D2">
        <w:t>p</w:t>
      </w:r>
      <w:r w:rsidRPr="007C28D2">
        <w:t xml:space="preserve">ièce P-29, Commission ontarienne des droits de la personne, </w:t>
      </w:r>
      <w:r w:rsidRPr="00F6715B">
        <w:rPr>
          <w:i/>
          <w:iCs/>
        </w:rPr>
        <w:t>Un impact collectif : Rapport provisoire relatif à l’enquête sur le profilage racial et la discrimination envers les personnes noires au sein du service de police de Toronto</w:t>
      </w:r>
      <w:r w:rsidRPr="007C28D2">
        <w:t xml:space="preserve">, </w:t>
      </w:r>
      <w:r w:rsidR="00A87FC8" w:rsidRPr="007C28D2">
        <w:t>n</w:t>
      </w:r>
      <w:r w:rsidRPr="007C28D2">
        <w:t>ovembre 2018.</w:t>
      </w:r>
    </w:p>
  </w:footnote>
  <w:footnote w:id="294">
    <w:p w14:paraId="135E0333" w14:textId="12C40169" w:rsidR="001A3EF8" w:rsidRPr="007C28D2" w:rsidRDefault="001A3EF8" w:rsidP="001A3EF8">
      <w:pPr>
        <w:pStyle w:val="Notedebasdepage"/>
      </w:pPr>
      <w:r w:rsidRPr="007C28D2">
        <w:rPr>
          <w:rStyle w:val="Appelnotedebasdep"/>
        </w:rPr>
        <w:footnoteRef/>
      </w:r>
      <w:r w:rsidRPr="007C28D2">
        <w:t xml:space="preserve"> </w:t>
      </w:r>
      <w:r w:rsidRPr="007C28D2">
        <w:tab/>
      </w:r>
      <w:r w:rsidR="00A87FC8" w:rsidRPr="007C28D2">
        <w:t>Pièce P</w:t>
      </w:r>
      <w:r w:rsidR="00A87FC8" w:rsidRPr="007C28D2">
        <w:noBreakHyphen/>
        <w:t>4, Rapport d’expertise de Marie</w:t>
      </w:r>
      <w:r w:rsidR="00A87FC8" w:rsidRPr="007C28D2">
        <w:noBreakHyphen/>
        <w:t>Ève Sylvestre, 7 février 2022,</w:t>
      </w:r>
      <w:r w:rsidRPr="007C28D2">
        <w:t xml:space="preserve"> p. </w:t>
      </w:r>
      <w:r w:rsidR="00A87FC8" w:rsidRPr="007C28D2">
        <w:t>37</w:t>
      </w:r>
      <w:r w:rsidRPr="007C28D2">
        <w:t xml:space="preserve">; </w:t>
      </w:r>
      <w:r w:rsidR="00A87FC8" w:rsidRPr="007C28D2">
        <w:t>p</w:t>
      </w:r>
      <w:r w:rsidRPr="007C28D2">
        <w:t>ièce P</w:t>
      </w:r>
      <w:r w:rsidRPr="007C28D2">
        <w:noBreakHyphen/>
        <w:t xml:space="preserve">27, Nova Scotia Human Rights Commission (Dr. Scot Wortley), </w:t>
      </w:r>
      <w:r w:rsidRPr="005C3F4E">
        <w:rPr>
          <w:i/>
          <w:iCs/>
        </w:rPr>
        <w:t>Halifax, Nova Scotia: Street Checks Report (and appendices)</w:t>
      </w:r>
      <w:r w:rsidRPr="007C28D2">
        <w:t xml:space="preserve">, </w:t>
      </w:r>
      <w:r w:rsidR="00A87FC8" w:rsidRPr="007C28D2">
        <w:t>m</w:t>
      </w:r>
      <w:r w:rsidRPr="007C28D2">
        <w:t xml:space="preserve">ars 2019, </w:t>
      </w:r>
      <w:r w:rsidR="00A87FC8" w:rsidRPr="007C28D2">
        <w:t>p. 16</w:t>
      </w:r>
      <w:r w:rsidRPr="007C28D2">
        <w:t>.</w:t>
      </w:r>
    </w:p>
  </w:footnote>
  <w:footnote w:id="295">
    <w:p w14:paraId="18AD7467" w14:textId="2BDB176D" w:rsidR="001A3EF8" w:rsidRPr="007C28D2" w:rsidRDefault="001A3EF8" w:rsidP="001A3EF8">
      <w:pPr>
        <w:pStyle w:val="Notedebasdepage"/>
      </w:pPr>
      <w:r w:rsidRPr="007C28D2">
        <w:rPr>
          <w:rStyle w:val="Appelnotedebasdep"/>
        </w:rPr>
        <w:footnoteRef/>
      </w:r>
      <w:r w:rsidRPr="007C28D2">
        <w:t xml:space="preserve"> </w:t>
      </w:r>
      <w:r w:rsidRPr="007C28D2">
        <w:tab/>
      </w:r>
      <w:r w:rsidR="00A87FC8" w:rsidRPr="007C28D2">
        <w:t>Pièce P</w:t>
      </w:r>
      <w:r w:rsidR="00A87FC8" w:rsidRPr="007C28D2">
        <w:noBreakHyphen/>
        <w:t>4, Rapport d’expertise de Marie</w:t>
      </w:r>
      <w:r w:rsidR="00A87FC8" w:rsidRPr="007C28D2">
        <w:noBreakHyphen/>
        <w:t>Ève Sylvestre, 7 février 2022, p.</w:t>
      </w:r>
      <w:r w:rsidR="007518F1">
        <w:t xml:space="preserve"> </w:t>
      </w:r>
      <w:r w:rsidR="00A87FC8" w:rsidRPr="007C28D2">
        <w:t>32 et 37-38; pièc</w:t>
      </w:r>
      <w:r w:rsidRPr="007C28D2">
        <w:t>e IN</w:t>
      </w:r>
      <w:r w:rsidRPr="007C28D2">
        <w:noBreakHyphen/>
        <w:t>3, Rapport d’expertise</w:t>
      </w:r>
      <w:r w:rsidR="00A87FC8" w:rsidRPr="007C28D2">
        <w:t xml:space="preserve"> de</w:t>
      </w:r>
      <w:r w:rsidRPr="007C28D2">
        <w:t xml:space="preserve"> Robert S. Wright,</w:t>
      </w:r>
      <w:r w:rsidR="00A87FC8" w:rsidRPr="007C28D2">
        <w:t xml:space="preserve"> 1</w:t>
      </w:r>
      <w:r w:rsidR="00A87FC8" w:rsidRPr="007C28D2">
        <w:rPr>
          <w:vertAlign w:val="superscript"/>
        </w:rPr>
        <w:t>er</w:t>
      </w:r>
      <w:r w:rsidR="00A87FC8" w:rsidRPr="007C28D2">
        <w:t xml:space="preserve"> avril 2022, p.</w:t>
      </w:r>
      <w:r w:rsidR="007518F1">
        <w:t xml:space="preserve"> </w:t>
      </w:r>
      <w:r w:rsidR="00A87FC8" w:rsidRPr="007C28D2">
        <w:t>5</w:t>
      </w:r>
      <w:r w:rsidRPr="007C28D2">
        <w:t xml:space="preserve">; </w:t>
      </w:r>
      <w:r w:rsidR="00A87FC8" w:rsidRPr="007C28D2">
        <w:t>p</w:t>
      </w:r>
      <w:r w:rsidRPr="007C28D2">
        <w:t>ièce P</w:t>
      </w:r>
      <w:r w:rsidRPr="007C28D2">
        <w:noBreakHyphen/>
        <w:t xml:space="preserve">28, L’honorable Michael H. Tulloch, </w:t>
      </w:r>
      <w:r w:rsidRPr="007C28D2">
        <w:rPr>
          <w:i/>
          <w:iCs/>
        </w:rPr>
        <w:t>Rapport de l’examen indépendant des contrôles de routine</w:t>
      </w:r>
      <w:r w:rsidRPr="007C28D2">
        <w:t xml:space="preserve">, 2018, </w:t>
      </w:r>
      <w:r w:rsidR="00A87FC8" w:rsidRPr="007C28D2">
        <w:t>p</w:t>
      </w:r>
      <w:r w:rsidRPr="007C28D2">
        <w:t>ar.</w:t>
      </w:r>
      <w:r w:rsidR="007518F1">
        <w:t xml:space="preserve"> </w:t>
      </w:r>
      <w:r w:rsidRPr="007C28D2">
        <w:t>68.</w:t>
      </w:r>
    </w:p>
  </w:footnote>
  <w:footnote w:id="296">
    <w:p w14:paraId="515741B9" w14:textId="44B6C996" w:rsidR="001A3EF8" w:rsidRPr="007C28D2" w:rsidRDefault="001A3EF8" w:rsidP="001A3EF8">
      <w:pPr>
        <w:pStyle w:val="Notedebasdepage"/>
      </w:pPr>
      <w:r w:rsidRPr="007C28D2">
        <w:rPr>
          <w:rStyle w:val="Appelnotedebasdep"/>
        </w:rPr>
        <w:footnoteRef/>
      </w:r>
      <w:r w:rsidRPr="007C28D2">
        <w:t xml:space="preserve"> </w:t>
      </w:r>
      <w:r w:rsidRPr="007C28D2">
        <w:tab/>
      </w:r>
      <w:r w:rsidR="00B17DD6" w:rsidRPr="007C28D2">
        <w:t>Pièce P</w:t>
      </w:r>
      <w:r w:rsidR="00B17DD6" w:rsidRPr="007C28D2">
        <w:noBreakHyphen/>
        <w:t>4, Rapport d’expertise de Marie</w:t>
      </w:r>
      <w:r w:rsidR="00B17DD6" w:rsidRPr="007C28D2">
        <w:noBreakHyphen/>
        <w:t xml:space="preserve">Ève Sylvestre, 7 février 2022, </w:t>
      </w:r>
      <w:r w:rsidR="00B17DD6">
        <w:t xml:space="preserve">annexe MES-055, </w:t>
      </w:r>
      <w:r w:rsidRPr="007C28D2">
        <w:rPr>
          <w:szCs w:val="16"/>
        </w:rPr>
        <w:t xml:space="preserve">Commission ontarienne des droits de la personne, </w:t>
      </w:r>
      <w:r w:rsidRPr="007C28D2">
        <w:rPr>
          <w:i/>
          <w:iCs/>
          <w:szCs w:val="16"/>
        </w:rPr>
        <w:t>Un prix trop élevé : les coûts humains du profilage racial</w:t>
      </w:r>
      <w:r w:rsidRPr="007C28D2">
        <w:rPr>
          <w:szCs w:val="16"/>
        </w:rPr>
        <w:t xml:space="preserve"> </w:t>
      </w:r>
      <w:r w:rsidRPr="007C28D2">
        <w:rPr>
          <w:i/>
          <w:iCs/>
          <w:szCs w:val="16"/>
        </w:rPr>
        <w:t>– Rapport d’enquête</w:t>
      </w:r>
      <w:r w:rsidRPr="007C28D2">
        <w:rPr>
          <w:szCs w:val="16"/>
        </w:rPr>
        <w:t>, 2003, p. 32</w:t>
      </w:r>
      <w:r w:rsidR="00A87FC8" w:rsidRPr="007C28D2">
        <w:rPr>
          <w:szCs w:val="16"/>
        </w:rPr>
        <w:t>.</w:t>
      </w:r>
    </w:p>
  </w:footnote>
  <w:footnote w:id="297">
    <w:p w14:paraId="1B8139CA" w14:textId="34D77BE0" w:rsidR="001A3EF8" w:rsidRPr="007C28D2" w:rsidRDefault="001A3EF8" w:rsidP="001A3EF8">
      <w:pPr>
        <w:pStyle w:val="Notedebasdepage"/>
      </w:pPr>
      <w:r w:rsidRPr="007C28D2">
        <w:rPr>
          <w:rStyle w:val="Appelnotedebasdep"/>
        </w:rPr>
        <w:footnoteRef/>
      </w:r>
      <w:r w:rsidRPr="007C28D2">
        <w:t xml:space="preserve"> </w:t>
      </w:r>
      <w:r w:rsidRPr="007C28D2">
        <w:tab/>
      </w:r>
      <w:r w:rsidR="00A87FC8" w:rsidRPr="007C28D2">
        <w:t>Pièce P</w:t>
      </w:r>
      <w:r w:rsidR="00A87FC8" w:rsidRPr="007C28D2">
        <w:noBreakHyphen/>
        <w:t>4, Rapport d’expertise de Marie</w:t>
      </w:r>
      <w:r w:rsidR="00A87FC8" w:rsidRPr="007C28D2">
        <w:noBreakHyphen/>
        <w:t>Ève Sylvestre, 7 février 2022,</w:t>
      </w:r>
      <w:r w:rsidRPr="007C28D2">
        <w:t xml:space="preserve"> p.</w:t>
      </w:r>
      <w:r w:rsidR="007518F1">
        <w:t xml:space="preserve"> </w:t>
      </w:r>
      <w:r w:rsidR="00A87FC8" w:rsidRPr="007C28D2">
        <w:t>38</w:t>
      </w:r>
      <w:r w:rsidRPr="007C28D2">
        <w:t xml:space="preserve">. Voir aussi : </w:t>
      </w:r>
      <w:r w:rsidR="00A87FC8" w:rsidRPr="007C28D2">
        <w:t>p</w:t>
      </w:r>
      <w:r w:rsidRPr="007C28D2">
        <w:t>ièce IN</w:t>
      </w:r>
      <w:r w:rsidRPr="007C28D2">
        <w:noBreakHyphen/>
        <w:t>3, Rapport d’expertise</w:t>
      </w:r>
      <w:r w:rsidR="00A87FC8" w:rsidRPr="007C28D2">
        <w:t xml:space="preserve"> de</w:t>
      </w:r>
      <w:r w:rsidRPr="007C28D2">
        <w:t xml:space="preserve"> Robert S. Wright,</w:t>
      </w:r>
      <w:r w:rsidR="00A87FC8" w:rsidRPr="007C28D2">
        <w:t xml:space="preserve"> 1</w:t>
      </w:r>
      <w:r w:rsidR="00A87FC8" w:rsidRPr="007C28D2">
        <w:rPr>
          <w:vertAlign w:val="superscript"/>
        </w:rPr>
        <w:t>er</w:t>
      </w:r>
      <w:r w:rsidR="00A87FC8" w:rsidRPr="007C28D2">
        <w:t xml:space="preserve"> avril 2022, p.</w:t>
      </w:r>
      <w:r w:rsidR="007518F1">
        <w:t xml:space="preserve"> </w:t>
      </w:r>
      <w:r w:rsidR="00A87FC8" w:rsidRPr="007C28D2">
        <w:t>14; p</w:t>
      </w:r>
      <w:r w:rsidRPr="007C28D2">
        <w:t>ièce</w:t>
      </w:r>
      <w:r w:rsidR="007518F1">
        <w:t xml:space="preserve"> </w:t>
      </w:r>
      <w:r w:rsidRPr="007C28D2">
        <w:t xml:space="preserve">P-32, Commission des droits de la personne et des droits de la jeunesse (Québec), </w:t>
      </w:r>
      <w:r w:rsidRPr="007C28D2">
        <w:rPr>
          <w:i/>
          <w:iCs/>
        </w:rPr>
        <w:t>Profilage racial et discrimination systémique des jeunes racisés : Rapport de la consultation sur le profilage racial et ses conséquences</w:t>
      </w:r>
      <w:r w:rsidRPr="007C28D2">
        <w:t xml:space="preserve">, </w:t>
      </w:r>
      <w:r w:rsidR="00A87FC8" w:rsidRPr="007C28D2">
        <w:t>m</w:t>
      </w:r>
      <w:r w:rsidRPr="007C28D2">
        <w:t xml:space="preserve">ars 2011, </w:t>
      </w:r>
      <w:r w:rsidR="00A87FC8" w:rsidRPr="007C28D2">
        <w:t>p. 32</w:t>
      </w:r>
      <w:r w:rsidRPr="007C28D2">
        <w:t>.</w:t>
      </w:r>
    </w:p>
  </w:footnote>
  <w:footnote w:id="298">
    <w:p w14:paraId="4792BD38" w14:textId="0997EFA4" w:rsidR="001A3EF8" w:rsidRPr="007C28D2" w:rsidRDefault="001A3EF8" w:rsidP="001A3EF8">
      <w:pPr>
        <w:pStyle w:val="Notedebasdepage"/>
      </w:pPr>
      <w:r w:rsidRPr="007C28D2">
        <w:rPr>
          <w:rStyle w:val="Appelnotedebasdep"/>
        </w:rPr>
        <w:footnoteRef/>
      </w:r>
      <w:r w:rsidRPr="007C28D2">
        <w:t xml:space="preserve"> </w:t>
      </w:r>
      <w:r w:rsidRPr="007C28D2">
        <w:tab/>
        <w:t xml:space="preserve">Pièce P-32, </w:t>
      </w:r>
      <w:r w:rsidR="00A87FC8" w:rsidRPr="007C28D2">
        <w:t xml:space="preserve">Commission des droits de la personne et des droits de la jeunesse (Québec), </w:t>
      </w:r>
      <w:r w:rsidR="00A87FC8" w:rsidRPr="007C28D2">
        <w:rPr>
          <w:i/>
          <w:iCs/>
        </w:rPr>
        <w:t>Profilage racial et discrimination systémique des jeunes racisés : Rapport de la consultation sur le profilage racial et ses conséquences</w:t>
      </w:r>
      <w:r w:rsidR="00A87FC8" w:rsidRPr="007C28D2">
        <w:t>, mars 2011,</w:t>
      </w:r>
      <w:r w:rsidRPr="007C28D2">
        <w:t xml:space="preserve"> p. </w:t>
      </w:r>
      <w:r w:rsidR="00A87FC8" w:rsidRPr="007C28D2">
        <w:t>15 et 24</w:t>
      </w:r>
      <w:r w:rsidRPr="007C28D2">
        <w:t>.</w:t>
      </w:r>
    </w:p>
  </w:footnote>
  <w:footnote w:id="299">
    <w:p w14:paraId="6371E814" w14:textId="34152135" w:rsidR="001A3EF8" w:rsidRPr="007C28D2" w:rsidRDefault="001A3EF8" w:rsidP="001A3EF8">
      <w:pPr>
        <w:pStyle w:val="Notedebasdepage"/>
      </w:pPr>
      <w:r w:rsidRPr="007C28D2">
        <w:rPr>
          <w:rStyle w:val="Appelnotedebasdep"/>
        </w:rPr>
        <w:footnoteRef/>
      </w:r>
      <w:r w:rsidRPr="007C28D2">
        <w:t xml:space="preserve"> </w:t>
      </w:r>
      <w:r w:rsidRPr="007C28D2">
        <w:tab/>
      </w:r>
      <w:r w:rsidR="00A87FC8" w:rsidRPr="007C28D2">
        <w:t>Pièce P</w:t>
      </w:r>
      <w:r w:rsidR="00A87FC8" w:rsidRPr="007C28D2">
        <w:noBreakHyphen/>
        <w:t>4, Rapport d’expertise de Marie</w:t>
      </w:r>
      <w:r w:rsidR="00A87FC8" w:rsidRPr="007C28D2">
        <w:noBreakHyphen/>
        <w:t>Ève Sylvestre, 7 février 2022, p.</w:t>
      </w:r>
      <w:r w:rsidR="007518F1">
        <w:t xml:space="preserve"> </w:t>
      </w:r>
      <w:r w:rsidR="00A87FC8" w:rsidRPr="007C28D2">
        <w:t>50</w:t>
      </w:r>
      <w:r w:rsidRPr="007C28D2">
        <w:t>.</w:t>
      </w:r>
    </w:p>
  </w:footnote>
  <w:footnote w:id="300">
    <w:p w14:paraId="23E14632" w14:textId="57B1E588"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w:t>
      </w:r>
      <w:r w:rsidR="00E515B0">
        <w:t xml:space="preserve"> </w:t>
      </w:r>
      <w:r w:rsidR="00542755" w:rsidRPr="007C28D2">
        <w:t>53</w:t>
      </w:r>
      <w:r w:rsidRPr="007C28D2">
        <w:t>.</w:t>
      </w:r>
    </w:p>
  </w:footnote>
  <w:footnote w:id="301">
    <w:p w14:paraId="144EBA78" w14:textId="10F924E8"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Id.</w:t>
      </w:r>
      <w:r w:rsidRPr="007C28D2">
        <w:t>, p.</w:t>
      </w:r>
      <w:r w:rsidR="00182D0A">
        <w:t xml:space="preserve"> </w:t>
      </w:r>
      <w:r w:rsidR="00542755" w:rsidRPr="007C28D2">
        <w:t>32, 49 et 51</w:t>
      </w:r>
      <w:r w:rsidRPr="007C28D2">
        <w:t>.</w:t>
      </w:r>
    </w:p>
  </w:footnote>
  <w:footnote w:id="302">
    <w:p w14:paraId="2B5439F4" w14:textId="49B542F0" w:rsidR="001A3EF8" w:rsidRPr="007C28D2" w:rsidRDefault="001A3EF8" w:rsidP="001A3EF8">
      <w:pPr>
        <w:pStyle w:val="Notedebasdepage"/>
      </w:pPr>
      <w:r w:rsidRPr="007C28D2">
        <w:rPr>
          <w:rStyle w:val="Appelnotedebasdep"/>
        </w:rPr>
        <w:footnoteRef/>
      </w:r>
      <w:r w:rsidRPr="007C28D2">
        <w:t xml:space="preserve"> </w:t>
      </w:r>
      <w:r w:rsidRPr="007C28D2">
        <w:rPr>
          <w:i/>
          <w:iCs/>
        </w:rPr>
        <w:tab/>
      </w:r>
      <w:r w:rsidR="00542755" w:rsidRPr="007C28D2">
        <w:rPr>
          <w:i/>
          <w:iCs/>
        </w:rPr>
        <w:t>Id</w:t>
      </w:r>
      <w:r w:rsidR="00542755" w:rsidRPr="007C28D2">
        <w:t>.</w:t>
      </w:r>
      <w:r w:rsidRPr="007C28D2">
        <w:t>, p.</w:t>
      </w:r>
      <w:r w:rsidR="00182D0A">
        <w:t xml:space="preserve"> </w:t>
      </w:r>
      <w:r w:rsidR="00542755" w:rsidRPr="007C28D2">
        <w:t>49 et 53 et s.</w:t>
      </w:r>
      <w:r w:rsidRPr="007C28D2">
        <w:t xml:space="preserve">; </w:t>
      </w:r>
      <w:r w:rsidR="00542755" w:rsidRPr="007C28D2">
        <w:t>p</w:t>
      </w:r>
      <w:r w:rsidRPr="007C28D2">
        <w:t>ièce</w:t>
      </w:r>
      <w:r w:rsidR="00182D0A">
        <w:t xml:space="preserve"> </w:t>
      </w:r>
      <w:r w:rsidRPr="007C28D2">
        <w:t>P</w:t>
      </w:r>
      <w:r w:rsidRPr="007C28D2">
        <w:noBreakHyphen/>
        <w:t xml:space="preserve">32, Commission des droits de la personne et des droits de la jeunesse (Québec), </w:t>
      </w:r>
      <w:r w:rsidRPr="007C28D2">
        <w:rPr>
          <w:i/>
          <w:iCs/>
        </w:rPr>
        <w:t>Profilage racial et discrimination systémique des jeunes racisés : Rapport de la consultation</w:t>
      </w:r>
      <w:r w:rsidRPr="007C28D2">
        <w:t xml:space="preserve"> sur le profilage racial et ses conséquences, </w:t>
      </w:r>
      <w:r w:rsidR="00542755" w:rsidRPr="007C28D2">
        <w:t>m</w:t>
      </w:r>
      <w:r w:rsidRPr="007C28D2">
        <w:t>ars</w:t>
      </w:r>
      <w:r w:rsidR="00182D0A">
        <w:t xml:space="preserve"> </w:t>
      </w:r>
      <w:r w:rsidRPr="007C28D2">
        <w:t xml:space="preserve">2011, </w:t>
      </w:r>
      <w:r w:rsidR="00542755" w:rsidRPr="007C28D2">
        <w:t>p.</w:t>
      </w:r>
      <w:r w:rsidR="00182D0A">
        <w:t xml:space="preserve"> </w:t>
      </w:r>
      <w:r w:rsidR="00542755" w:rsidRPr="007C28D2">
        <w:t>15 et 24</w:t>
      </w:r>
      <w:r w:rsidRPr="007C28D2">
        <w:t xml:space="preserve">. Voir aussi : </w:t>
      </w:r>
      <w:r w:rsidR="00B17DD6">
        <w:t>p</w:t>
      </w:r>
      <w:r w:rsidR="00B17DD6" w:rsidRPr="007C28D2">
        <w:t>ièce P</w:t>
      </w:r>
      <w:r w:rsidR="00B17DD6" w:rsidRPr="007C28D2">
        <w:noBreakHyphen/>
        <w:t>4, Rapport d’expertise de Marie</w:t>
      </w:r>
      <w:r w:rsidR="00B17DD6" w:rsidRPr="007C28D2">
        <w:noBreakHyphen/>
        <w:t xml:space="preserve">Ève Sylvestre, 7 février 2022, </w:t>
      </w:r>
      <w:r w:rsidR="00B17DD6">
        <w:t xml:space="preserve">annexe MES-055, </w:t>
      </w:r>
      <w:r w:rsidRPr="007C28D2">
        <w:rPr>
          <w:szCs w:val="16"/>
        </w:rPr>
        <w:t xml:space="preserve">Commission ontarienne des droits de la personne, </w:t>
      </w:r>
      <w:r w:rsidRPr="007C28D2">
        <w:rPr>
          <w:i/>
          <w:iCs/>
          <w:szCs w:val="16"/>
        </w:rPr>
        <w:t>Un prix trop élevé : les coûts humains du profilage racial</w:t>
      </w:r>
      <w:r w:rsidRPr="007C28D2">
        <w:rPr>
          <w:szCs w:val="16"/>
        </w:rPr>
        <w:t xml:space="preserve"> </w:t>
      </w:r>
      <w:r w:rsidRPr="007C28D2">
        <w:rPr>
          <w:i/>
          <w:iCs/>
          <w:szCs w:val="16"/>
        </w:rPr>
        <w:t>– Rapport d’enquête</w:t>
      </w:r>
      <w:r w:rsidRPr="007C28D2">
        <w:rPr>
          <w:szCs w:val="16"/>
        </w:rPr>
        <w:t>, 2003, p. 36 et s.</w:t>
      </w:r>
    </w:p>
  </w:footnote>
  <w:footnote w:id="303">
    <w:p w14:paraId="59400D7F" w14:textId="2CD45AF2" w:rsidR="001A3EF8" w:rsidRPr="007C28D2" w:rsidRDefault="001A3EF8" w:rsidP="001A3EF8">
      <w:pPr>
        <w:pStyle w:val="Notedebasdepage"/>
      </w:pPr>
      <w:r w:rsidRPr="007C28D2">
        <w:rPr>
          <w:rStyle w:val="Appelnotedebasdep"/>
        </w:rPr>
        <w:footnoteRef/>
      </w:r>
      <w:r w:rsidRPr="007C28D2">
        <w:t xml:space="preserve"> </w:t>
      </w:r>
      <w:r w:rsidRPr="007C28D2">
        <w:tab/>
        <w:t>Pièce P</w:t>
      </w:r>
      <w:r w:rsidRPr="007C28D2">
        <w:noBreakHyphen/>
        <w:t xml:space="preserve">1, Rapport d’expertise de Massimiliano Mulone, </w:t>
      </w:r>
      <w:r w:rsidR="00542755" w:rsidRPr="007C28D2">
        <w:t>31 janvier 2022, p.</w:t>
      </w:r>
      <w:r w:rsidR="00182D0A">
        <w:t xml:space="preserve"> </w:t>
      </w:r>
      <w:r w:rsidR="00542755" w:rsidRPr="007C28D2">
        <w:t>32</w:t>
      </w:r>
      <w:r w:rsidRPr="007C28D2">
        <w:t>.</w:t>
      </w:r>
    </w:p>
  </w:footnote>
  <w:footnote w:id="304">
    <w:p w14:paraId="0952A266" w14:textId="62BBB078" w:rsidR="001A3EF8" w:rsidRPr="007C28D2" w:rsidRDefault="001A3EF8" w:rsidP="001A3EF8">
      <w:pPr>
        <w:pStyle w:val="Notedebasdepage"/>
      </w:pPr>
      <w:r w:rsidRPr="007C28D2">
        <w:rPr>
          <w:rStyle w:val="Appelnotedebasdep"/>
        </w:rPr>
        <w:footnoteRef/>
      </w:r>
      <w:r w:rsidRPr="007C28D2">
        <w:t xml:space="preserve"> </w:t>
      </w:r>
      <w:r w:rsidRPr="007C28D2">
        <w:tab/>
        <w:t xml:space="preserve">Pièce P-31, Commission ontarienne des droits de la personne, </w:t>
      </w:r>
      <w:r w:rsidRPr="007C28D2">
        <w:rPr>
          <w:i/>
          <w:iCs/>
        </w:rPr>
        <w:t>Pris à partie – Rapport de recherche sur le profilage racial en Ontario</w:t>
      </w:r>
      <w:r w:rsidRPr="007C28D2">
        <w:t xml:space="preserve">, </w:t>
      </w:r>
      <w:r w:rsidR="00542755" w:rsidRPr="007C28D2">
        <w:t>a</w:t>
      </w:r>
      <w:r w:rsidRPr="007C28D2">
        <w:t xml:space="preserve">vril 2017, </w:t>
      </w:r>
      <w:r w:rsidR="00542755" w:rsidRPr="007C28D2">
        <w:t>p.</w:t>
      </w:r>
      <w:r w:rsidR="00182D0A">
        <w:t xml:space="preserve"> </w:t>
      </w:r>
      <w:r w:rsidR="00542755" w:rsidRPr="007C28D2">
        <w:t>97</w:t>
      </w:r>
      <w:r w:rsidRPr="007C28D2">
        <w:t xml:space="preserve">; </w:t>
      </w:r>
      <w:r w:rsidR="00B17DD6">
        <w:t>p</w:t>
      </w:r>
      <w:r w:rsidR="00B17DD6" w:rsidRPr="007C28D2">
        <w:t>ièce P</w:t>
      </w:r>
      <w:r w:rsidR="00B17DD6" w:rsidRPr="007C28D2">
        <w:noBreakHyphen/>
        <w:t>4, Rapport d’expertise de Marie</w:t>
      </w:r>
      <w:r w:rsidR="00B17DD6" w:rsidRPr="007C28D2">
        <w:noBreakHyphen/>
        <w:t xml:space="preserve">Ève Sylvestre, 7 février 2022, </w:t>
      </w:r>
      <w:r w:rsidR="00B17DD6">
        <w:t xml:space="preserve">annexe MES-055, </w:t>
      </w:r>
      <w:r w:rsidRPr="007C28D2">
        <w:rPr>
          <w:szCs w:val="16"/>
        </w:rPr>
        <w:t xml:space="preserve">Commission ontarienne des droits de la personne, </w:t>
      </w:r>
      <w:r w:rsidRPr="007C28D2">
        <w:rPr>
          <w:i/>
          <w:iCs/>
          <w:szCs w:val="16"/>
        </w:rPr>
        <w:t>Un prix trop élevé : les coûts humains du profilage racial</w:t>
      </w:r>
      <w:r w:rsidRPr="007C28D2">
        <w:rPr>
          <w:szCs w:val="16"/>
        </w:rPr>
        <w:t xml:space="preserve"> </w:t>
      </w:r>
      <w:r w:rsidRPr="007C28D2">
        <w:rPr>
          <w:i/>
          <w:iCs/>
          <w:szCs w:val="16"/>
        </w:rPr>
        <w:t>– Rapport d’enquête</w:t>
      </w:r>
      <w:r w:rsidRPr="007C28D2">
        <w:rPr>
          <w:szCs w:val="16"/>
        </w:rPr>
        <w:t>, 2003, p. 41</w:t>
      </w:r>
      <w:r w:rsidR="00542755" w:rsidRPr="007C28D2">
        <w:rPr>
          <w:szCs w:val="16"/>
        </w:rPr>
        <w:noBreakHyphen/>
      </w:r>
      <w:r w:rsidRPr="007C28D2">
        <w:rPr>
          <w:szCs w:val="16"/>
        </w:rPr>
        <w:t>43.</w:t>
      </w:r>
    </w:p>
  </w:footnote>
  <w:footnote w:id="305">
    <w:p w14:paraId="422CCDB0" w14:textId="70FF50B0" w:rsidR="001A3EF8" w:rsidRPr="007C28D2" w:rsidRDefault="001A3EF8" w:rsidP="001A3EF8">
      <w:pPr>
        <w:pStyle w:val="Notedebasdepage"/>
      </w:pPr>
      <w:r w:rsidRPr="007C28D2">
        <w:rPr>
          <w:rStyle w:val="Appelnotedebasdep"/>
        </w:rPr>
        <w:footnoteRef/>
      </w:r>
      <w:r w:rsidRPr="007C28D2">
        <w:t xml:space="preserve"> </w:t>
      </w:r>
      <w:r w:rsidRPr="007C28D2">
        <w:tab/>
      </w:r>
      <w:r w:rsidR="00542755" w:rsidRPr="007C28D2">
        <w:t>Pièce P</w:t>
      </w:r>
      <w:r w:rsidR="00542755" w:rsidRPr="007C28D2">
        <w:noBreakHyphen/>
        <w:t>4, Rapport d’expertise de Marie</w:t>
      </w:r>
      <w:r w:rsidR="00542755" w:rsidRPr="007C28D2">
        <w:noBreakHyphen/>
        <w:t xml:space="preserve">Ève Sylvestre, 7 février 2022, </w:t>
      </w:r>
      <w:r w:rsidRPr="007C28D2">
        <w:t>p.</w:t>
      </w:r>
      <w:r w:rsidR="00182D0A">
        <w:t xml:space="preserve"> </w:t>
      </w:r>
      <w:r w:rsidR="00542755" w:rsidRPr="007C28D2">
        <w:t>33.</w:t>
      </w:r>
    </w:p>
  </w:footnote>
  <w:footnote w:id="306">
    <w:p w14:paraId="4BDBC057" w14:textId="70C3BC68" w:rsidR="001A3EF8" w:rsidRPr="007C28D2" w:rsidRDefault="001A3EF8" w:rsidP="001A3EF8">
      <w:pPr>
        <w:pStyle w:val="Notedebasdepage"/>
      </w:pPr>
      <w:r w:rsidRPr="007C28D2">
        <w:rPr>
          <w:rStyle w:val="Appelnotedebasdep"/>
        </w:rPr>
        <w:footnoteRef/>
      </w:r>
      <w:r w:rsidRPr="007C28D2">
        <w:t xml:space="preserve"> </w:t>
      </w:r>
      <w:r w:rsidRPr="007C28D2">
        <w:tab/>
        <w:t xml:space="preserve">Pièce P-29, Commission ontarienne des droits de la personne, </w:t>
      </w:r>
      <w:r w:rsidRPr="007C28D2">
        <w:rPr>
          <w:i/>
          <w:iCs/>
        </w:rPr>
        <w:t>Un impact collectif : Rapport provisoire relatif à l’enquête sur le profilage racial et la discrimination envers les personnes noires au sein du service de police de Toronto</w:t>
      </w:r>
      <w:r w:rsidRPr="007C28D2">
        <w:t xml:space="preserve">, </w:t>
      </w:r>
      <w:r w:rsidR="00542755" w:rsidRPr="007C28D2">
        <w:t>n</w:t>
      </w:r>
      <w:r w:rsidRPr="007C28D2">
        <w:t>ovembre 2018.</w:t>
      </w:r>
    </w:p>
  </w:footnote>
  <w:footnote w:id="307">
    <w:p w14:paraId="486E968E" w14:textId="37DAFEC1" w:rsidR="001A3EF8" w:rsidRPr="007C28D2" w:rsidRDefault="001A3EF8" w:rsidP="001A3EF8">
      <w:pPr>
        <w:pStyle w:val="Notedebasdepage"/>
      </w:pPr>
      <w:r w:rsidRPr="007C28D2">
        <w:rPr>
          <w:rStyle w:val="Appelnotedebasdep"/>
        </w:rPr>
        <w:footnoteRef/>
      </w:r>
      <w:r w:rsidRPr="007C28D2">
        <w:t xml:space="preserve"> </w:t>
      </w:r>
      <w:r w:rsidRPr="007C28D2">
        <w:tab/>
      </w:r>
      <w:r w:rsidR="00542755" w:rsidRPr="007C28D2">
        <w:t>Pièce P</w:t>
      </w:r>
      <w:r w:rsidR="00542755" w:rsidRPr="007C28D2">
        <w:noBreakHyphen/>
        <w:t>4, Rapport d’expertise de Marie</w:t>
      </w:r>
      <w:r w:rsidR="00542755" w:rsidRPr="007C28D2">
        <w:noBreakHyphen/>
        <w:t>Ève Sylvestre, 7 février 2022,</w:t>
      </w:r>
      <w:r w:rsidR="00F25910" w:rsidRPr="007C28D2">
        <w:t xml:space="preserve"> </w:t>
      </w:r>
      <w:r w:rsidRPr="007C28D2">
        <w:t>p.</w:t>
      </w:r>
      <w:r w:rsidR="00182D0A">
        <w:t xml:space="preserve"> </w:t>
      </w:r>
      <w:r w:rsidR="00542755" w:rsidRPr="007C28D2">
        <w:t>49</w:t>
      </w:r>
      <w:r w:rsidRPr="007C28D2">
        <w:t>.</w:t>
      </w:r>
    </w:p>
  </w:footnote>
  <w:footnote w:id="308">
    <w:p w14:paraId="5592B454" w14:textId="503D5C2D" w:rsidR="001A3EF8" w:rsidRPr="001A3EF8" w:rsidRDefault="001A3EF8" w:rsidP="001A3EF8">
      <w:pPr>
        <w:pStyle w:val="Notedebasdepage"/>
      </w:pPr>
      <w:r w:rsidRPr="007C28D2">
        <w:rPr>
          <w:rStyle w:val="Appelnotedebasdep"/>
        </w:rPr>
        <w:footnoteRef/>
      </w:r>
      <w:r w:rsidRPr="007C28D2">
        <w:t xml:space="preserve"> </w:t>
      </w:r>
      <w:r w:rsidRPr="007C28D2">
        <w:tab/>
      </w:r>
      <w:r w:rsidR="00542755" w:rsidRPr="007C28D2">
        <w:t>Pièce P</w:t>
      </w:r>
      <w:r w:rsidR="00542755" w:rsidRPr="007C28D2">
        <w:noBreakHyphen/>
        <w:t>1, Rapport d’expertise de Massimiliano Mulone, 31 janvier 2022,</w:t>
      </w:r>
      <w:r w:rsidRPr="007C28D2">
        <w:t xml:space="preserve"> p.</w:t>
      </w:r>
      <w:r w:rsidR="00182D0A">
        <w:t xml:space="preserve"> </w:t>
      </w:r>
      <w:r w:rsidR="00542755" w:rsidRPr="007C28D2">
        <w:t>8-9</w:t>
      </w:r>
      <w:r w:rsidRPr="007C28D2">
        <w:t xml:space="preserve">; </w:t>
      </w:r>
      <w:r w:rsidR="00542755" w:rsidRPr="007C28D2">
        <w:t>p</w:t>
      </w:r>
      <w:r w:rsidRPr="007C28D2">
        <w:t>ièce P</w:t>
      </w:r>
      <w:r w:rsidR="00182D0A">
        <w:noBreakHyphen/>
      </w:r>
      <w:r w:rsidRPr="007C28D2">
        <w:t xml:space="preserve">29, Commission ontarienne des droits de la personne, </w:t>
      </w:r>
      <w:r w:rsidRPr="007C28D2">
        <w:rPr>
          <w:i/>
          <w:iCs/>
        </w:rPr>
        <w:t>Un impact collectif : Rapport provisoire relatif à l’enquête sur le profilage racial et la discrimination envers les personnes noires au sein du service de police de Toronto</w:t>
      </w:r>
      <w:r w:rsidRPr="007C28D2">
        <w:t xml:space="preserve">, </w:t>
      </w:r>
      <w:r w:rsidR="00542755" w:rsidRPr="007C28D2">
        <w:t>n</w:t>
      </w:r>
      <w:r w:rsidRPr="007C28D2">
        <w:t>ovembre 2018.</w:t>
      </w:r>
    </w:p>
  </w:footnote>
  <w:footnote w:id="309">
    <w:p w14:paraId="781CE62F" w14:textId="4D93E98E"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 c. Le</w:t>
      </w:r>
      <w:r w:rsidRPr="007C28D2">
        <w:t>, 2019</w:t>
      </w:r>
      <w:r w:rsidR="00182D0A">
        <w:t xml:space="preserve"> </w:t>
      </w:r>
      <w:r w:rsidRPr="007C28D2">
        <w:t>CSC</w:t>
      </w:r>
      <w:r w:rsidR="00182D0A">
        <w:t xml:space="preserve"> </w:t>
      </w:r>
      <w:r w:rsidRPr="007C28D2">
        <w:t>34, par.</w:t>
      </w:r>
      <w:r w:rsidR="00182D0A">
        <w:t xml:space="preserve"> </w:t>
      </w:r>
      <w:r w:rsidRPr="007C28D2">
        <w:t>95.</w:t>
      </w:r>
    </w:p>
  </w:footnote>
  <w:footnote w:id="310">
    <w:p w14:paraId="07B799F4" w14:textId="5DC9AE0E" w:rsidR="001A3EF8" w:rsidRDefault="001A3EF8" w:rsidP="001A3EF8">
      <w:pPr>
        <w:pStyle w:val="Notedebasdepage"/>
      </w:pPr>
      <w:r w:rsidRPr="007C28D2">
        <w:rPr>
          <w:rStyle w:val="Appelnotedebasdep"/>
        </w:rPr>
        <w:footnoteRef/>
      </w:r>
      <w:r w:rsidRPr="007C28D2">
        <w:t xml:space="preserve"> </w:t>
      </w:r>
      <w:r w:rsidRPr="007C28D2">
        <w:tab/>
      </w:r>
      <w:r w:rsidR="003F5F36" w:rsidRPr="007C28D2">
        <w:rPr>
          <w:i/>
          <w:iCs/>
        </w:rPr>
        <w:t>Ibid</w:t>
      </w:r>
      <w:r w:rsidRPr="007C28D2">
        <w:t>. Dans cet arrêt, il est question du fichage (« </w:t>
      </w:r>
      <w:r w:rsidRPr="007C28D2">
        <w:rPr>
          <w:i/>
          <w:iCs/>
        </w:rPr>
        <w:t>carding</w:t>
      </w:r>
      <w:r w:rsidRPr="007C28D2">
        <w:t xml:space="preserve"> »), mais les commentaires de la Cour peuvent valoir en ce qui concerne les interpellations routières excessives à l’égard des personnes noires. Voir aussi : </w:t>
      </w:r>
      <w:r w:rsidRPr="007C28D2">
        <w:rPr>
          <w:i/>
          <w:iCs/>
        </w:rPr>
        <w:t>R. v. Morris</w:t>
      </w:r>
      <w:r w:rsidRPr="007C28D2">
        <w:t>, 2021</w:t>
      </w:r>
      <w:r w:rsidR="00182D0A">
        <w:t xml:space="preserve"> </w:t>
      </w:r>
      <w:r w:rsidRPr="007C28D2">
        <w:t>ONCA</w:t>
      </w:r>
      <w:r w:rsidR="00182D0A">
        <w:t xml:space="preserve"> </w:t>
      </w:r>
      <w:r w:rsidRPr="007C28D2">
        <w:t>680, par.</w:t>
      </w:r>
      <w:r w:rsidR="00182D0A">
        <w:t xml:space="preserve"> </w:t>
      </w:r>
      <w:r w:rsidRPr="007C28D2">
        <w:t xml:space="preserve">1; </w:t>
      </w:r>
      <w:r w:rsidRPr="007C28D2">
        <w:rPr>
          <w:i/>
          <w:iCs/>
        </w:rPr>
        <w:t>R. v. Dudhi</w:t>
      </w:r>
      <w:r w:rsidRPr="007C28D2">
        <w:t>, 2019</w:t>
      </w:r>
      <w:r w:rsidR="00182D0A">
        <w:t xml:space="preserve"> </w:t>
      </w:r>
      <w:r w:rsidRPr="007C28D2">
        <w:t>ONCA</w:t>
      </w:r>
      <w:r w:rsidR="00182D0A">
        <w:t xml:space="preserve"> </w:t>
      </w:r>
      <w:r w:rsidRPr="007C28D2">
        <w:t>665, par.</w:t>
      </w:r>
      <w:r w:rsidR="00182D0A">
        <w:t xml:space="preserve"> </w:t>
      </w:r>
      <w:r w:rsidRPr="007C28D2">
        <w:t xml:space="preserve">65, citant un passage de </w:t>
      </w:r>
      <w:r w:rsidR="00F25910" w:rsidRPr="007C28D2">
        <w:rPr>
          <w:i/>
          <w:iCs/>
        </w:rPr>
        <w:t xml:space="preserve">Peart v. Peel Regional Police Services </w:t>
      </w:r>
      <w:r w:rsidR="00F25910" w:rsidRPr="007C28D2">
        <w:t>(2006), 43</w:t>
      </w:r>
      <w:r w:rsidR="00182D0A">
        <w:t xml:space="preserve"> </w:t>
      </w:r>
      <w:r w:rsidR="00F25910" w:rsidRPr="007C28D2">
        <w:t>C.R.</w:t>
      </w:r>
      <w:r w:rsidR="00182D0A">
        <w:t xml:space="preserve"> </w:t>
      </w:r>
      <w:r w:rsidR="00F25910" w:rsidRPr="007C28D2">
        <w:t>(6th)</w:t>
      </w:r>
      <w:r w:rsidR="00182D0A">
        <w:t xml:space="preserve"> </w:t>
      </w:r>
      <w:r w:rsidR="00F25910" w:rsidRPr="007C28D2">
        <w:t>175 (C.A. Ont.),</w:t>
      </w:r>
      <w:r w:rsidRPr="007C28D2">
        <w:t xml:space="preserve"> demande d’autorisation d’appel à la Cour suprême rejetée, 29</w:t>
      </w:r>
      <w:r w:rsidR="00182D0A">
        <w:t xml:space="preserve"> </w:t>
      </w:r>
      <w:r w:rsidRPr="007C28D2">
        <w:t>mars</w:t>
      </w:r>
      <w:r w:rsidR="00182D0A">
        <w:t xml:space="preserve"> </w:t>
      </w:r>
      <w:r w:rsidRPr="007C28D2">
        <w:t>2007, n</w:t>
      </w:r>
      <w:r w:rsidRPr="007C28D2">
        <w:rPr>
          <w:vertAlign w:val="superscript"/>
        </w:rPr>
        <w:t>o</w:t>
      </w:r>
      <w:r w:rsidRPr="007C28D2">
        <w:t> 31798.</w:t>
      </w:r>
    </w:p>
  </w:footnote>
  <w:footnote w:id="311">
    <w:p w14:paraId="2999E94D" w14:textId="36BB0D72" w:rsidR="001A3EF8" w:rsidRPr="001A3EF8" w:rsidRDefault="001A3EF8" w:rsidP="001A3EF8">
      <w:pPr>
        <w:pStyle w:val="Notedebasdepage"/>
      </w:pPr>
      <w:r w:rsidRPr="007C28D2">
        <w:rPr>
          <w:rStyle w:val="Appelnotedebasdep"/>
        </w:rPr>
        <w:footnoteRef/>
      </w:r>
      <w:r w:rsidRPr="007C28D2">
        <w:t xml:space="preserve"> </w:t>
      </w:r>
      <w:r w:rsidRPr="007C28D2">
        <w:tab/>
        <w:t>Pièce P</w:t>
      </w:r>
      <w:r w:rsidRPr="007C28D2">
        <w:noBreakHyphen/>
        <w:t>1, Rapport d’expertise de Massimiliano Mulone,</w:t>
      </w:r>
      <w:r w:rsidR="00F25910" w:rsidRPr="007C28D2">
        <w:t xml:space="preserve"> 31 janvier 2022, p.</w:t>
      </w:r>
      <w:r w:rsidR="00182D0A">
        <w:t xml:space="preserve"> </w:t>
      </w:r>
      <w:r w:rsidR="00F25910" w:rsidRPr="007C28D2">
        <w:t>26-27</w:t>
      </w:r>
      <w:r w:rsidRPr="007C28D2">
        <w:t xml:space="preserve">. Voir aussi : </w:t>
      </w:r>
      <w:r w:rsidR="00F25910" w:rsidRPr="007C28D2">
        <w:t>p</w:t>
      </w:r>
      <w:r w:rsidRPr="007C28D2">
        <w:t>ièce P</w:t>
      </w:r>
      <w:r w:rsidRPr="007C28D2">
        <w:noBreakHyphen/>
        <w:t>4, Rapport d’expertise de Marie</w:t>
      </w:r>
      <w:r w:rsidRPr="007C28D2">
        <w:noBreakHyphen/>
        <w:t xml:space="preserve">Ève Sylvestre, </w:t>
      </w:r>
      <w:r w:rsidR="00F25910" w:rsidRPr="007C28D2">
        <w:t>7 février 2022, p.</w:t>
      </w:r>
      <w:r w:rsidR="00182D0A">
        <w:t xml:space="preserve"> </w:t>
      </w:r>
      <w:r w:rsidR="00F25910" w:rsidRPr="007C28D2">
        <w:t>14</w:t>
      </w:r>
      <w:r w:rsidRPr="007C28D2">
        <w:t>.</w:t>
      </w:r>
    </w:p>
  </w:footnote>
  <w:footnote w:id="312">
    <w:p w14:paraId="109809A4" w14:textId="2BD52C8D" w:rsidR="001A3EF8" w:rsidRPr="007C28D2" w:rsidRDefault="001A3EF8" w:rsidP="001A3EF8">
      <w:pPr>
        <w:pStyle w:val="Notedebasdepage"/>
      </w:pPr>
      <w:r w:rsidRPr="007C28D2">
        <w:rPr>
          <w:rStyle w:val="Appelnotedebasdep"/>
        </w:rPr>
        <w:footnoteRef/>
      </w:r>
      <w:r w:rsidRPr="007C28D2">
        <w:t xml:space="preserve"> </w:t>
      </w:r>
      <w:r w:rsidRPr="007C28D2">
        <w:tab/>
        <w:t>Pièce</w:t>
      </w:r>
      <w:r w:rsidR="00182D0A">
        <w:t xml:space="preserve"> </w:t>
      </w:r>
      <w:r w:rsidRPr="007C28D2">
        <w:t xml:space="preserve">P-32, Commission des droits de la personne et des droits de la jeunesse (Québec), </w:t>
      </w:r>
      <w:r w:rsidRPr="007C28D2">
        <w:rPr>
          <w:i/>
          <w:iCs/>
        </w:rPr>
        <w:t>Profilage racial et discrimination systémique des jeunes racisés : Rapport de la consultation sur le profilage racial et ses conséquences</w:t>
      </w:r>
      <w:r w:rsidRPr="007C28D2">
        <w:t xml:space="preserve">, </w:t>
      </w:r>
      <w:r w:rsidR="00F25910" w:rsidRPr="007C28D2">
        <w:t>m</w:t>
      </w:r>
      <w:r w:rsidRPr="007C28D2">
        <w:t>ars</w:t>
      </w:r>
      <w:r w:rsidR="00526144">
        <w:t xml:space="preserve"> </w:t>
      </w:r>
      <w:r w:rsidRPr="007C28D2">
        <w:t xml:space="preserve">2011, </w:t>
      </w:r>
      <w:r w:rsidR="00F25910" w:rsidRPr="007C28D2">
        <w:t>p. 26</w:t>
      </w:r>
      <w:r w:rsidRPr="007C28D2">
        <w:t>.</w:t>
      </w:r>
    </w:p>
  </w:footnote>
  <w:footnote w:id="313">
    <w:p w14:paraId="33B683D0" w14:textId="61E1B9D9" w:rsidR="001A3EF8" w:rsidRPr="007C28D2" w:rsidRDefault="001A3EF8" w:rsidP="001A3EF8">
      <w:pPr>
        <w:pStyle w:val="Notedebasdepage"/>
      </w:pPr>
      <w:r w:rsidRPr="007C28D2">
        <w:rPr>
          <w:rStyle w:val="Appelnotedebasdep"/>
        </w:rPr>
        <w:footnoteRef/>
      </w:r>
      <w:r w:rsidRPr="007C28D2">
        <w:t xml:space="preserve"> </w:t>
      </w:r>
      <w:r w:rsidR="00885364" w:rsidRPr="007C28D2">
        <w:tab/>
      </w:r>
      <w:r w:rsidRPr="007C28D2">
        <w:t>Jugement de première instance, par. 827.</w:t>
      </w:r>
    </w:p>
  </w:footnote>
  <w:footnote w:id="314">
    <w:p w14:paraId="7BEB94FB" w14:textId="26F2207D" w:rsidR="001A3EF8" w:rsidRPr="007C28D2" w:rsidRDefault="001A3EF8" w:rsidP="001A3EF8">
      <w:pPr>
        <w:pStyle w:val="Notedebasdepage"/>
      </w:pPr>
      <w:r w:rsidRPr="007C28D2">
        <w:rPr>
          <w:rStyle w:val="Appelnotedebasdep"/>
        </w:rPr>
        <w:footnoteRef/>
      </w:r>
      <w:r w:rsidR="00885364" w:rsidRPr="007C28D2">
        <w:t xml:space="preserve"> </w:t>
      </w:r>
      <w:r w:rsidRPr="007C28D2">
        <w:tab/>
      </w:r>
      <w:r w:rsidR="00D21CC1" w:rsidRPr="00D21CC1">
        <w:rPr>
          <w:i/>
          <w:iCs/>
        </w:rPr>
        <w:t>Id</w:t>
      </w:r>
      <w:r w:rsidR="00D21CC1">
        <w:t>.</w:t>
      </w:r>
      <w:r w:rsidRPr="007C28D2">
        <w:t>, par. 816.</w:t>
      </w:r>
    </w:p>
  </w:footnote>
  <w:footnote w:id="315">
    <w:p w14:paraId="17BF59E5" w14:textId="699CE5B4" w:rsidR="001A3EF8" w:rsidRPr="007C28D2" w:rsidRDefault="001A3EF8" w:rsidP="001A3EF8">
      <w:pPr>
        <w:pStyle w:val="Notedebasdepage"/>
      </w:pPr>
      <w:r w:rsidRPr="007C28D2">
        <w:rPr>
          <w:rStyle w:val="Appelnotedebasdep"/>
        </w:rPr>
        <w:footnoteRef/>
      </w:r>
      <w:r w:rsidR="00885364" w:rsidRPr="007C28D2">
        <w:t xml:space="preserve"> </w:t>
      </w:r>
      <w:r w:rsidRPr="007C28D2">
        <w:tab/>
      </w:r>
      <w:r w:rsidRPr="007C28D2">
        <w:rPr>
          <w:i/>
          <w:iCs/>
        </w:rPr>
        <w:t>Québec (Procureur général) c. A.</w:t>
      </w:r>
      <w:r w:rsidRPr="007C28D2">
        <w:t>, 2013 CSC 5, par. 332.</w:t>
      </w:r>
    </w:p>
  </w:footnote>
  <w:footnote w:id="316">
    <w:p w14:paraId="22E871A5" w14:textId="608369A4" w:rsidR="001A3EF8" w:rsidRDefault="001A3EF8" w:rsidP="001A3EF8">
      <w:pPr>
        <w:pStyle w:val="Notedebasdepage"/>
      </w:pPr>
      <w:r w:rsidRPr="007C28D2">
        <w:rPr>
          <w:rStyle w:val="Appelnotedebasdep"/>
        </w:rPr>
        <w:footnoteRef/>
      </w:r>
      <w:r w:rsidRPr="007C28D2">
        <w:t xml:space="preserve"> </w:t>
      </w:r>
      <w:r w:rsidRPr="007C28D2">
        <w:tab/>
        <w:t xml:space="preserve">L’on pourrait aussi soutenir que </w:t>
      </w:r>
      <w:r w:rsidR="00F360B7">
        <w:t xml:space="preserve">l’art. 636 </w:t>
      </w:r>
      <w:r w:rsidR="00F360B7" w:rsidRPr="00F360B7">
        <w:rPr>
          <w:i/>
          <w:iCs/>
        </w:rPr>
        <w:t>C</w:t>
      </w:r>
      <w:r w:rsidR="00F360B7">
        <w:rPr>
          <w:i/>
          <w:iCs/>
        </w:rPr>
        <w:t>.</w:t>
      </w:r>
      <w:r w:rsidR="00F360B7" w:rsidRPr="00F360B7">
        <w:rPr>
          <w:i/>
          <w:iCs/>
        </w:rPr>
        <w:t>s.r.</w:t>
      </w:r>
      <w:r w:rsidRPr="007C28D2">
        <w:t xml:space="preserve"> crée une distinction fondée sur la couleur (autre motif de discrimination interdit selon le par.</w:t>
      </w:r>
      <w:r w:rsidR="00182D0A">
        <w:t xml:space="preserve"> </w:t>
      </w:r>
      <w:r w:rsidRPr="007C28D2">
        <w:t xml:space="preserve">15(1) de la </w:t>
      </w:r>
      <w:r w:rsidRPr="007C28D2">
        <w:rPr>
          <w:i/>
          <w:iCs/>
        </w:rPr>
        <w:t>Charte</w:t>
      </w:r>
      <w:r w:rsidRPr="007C28D2">
        <w:t>).</w:t>
      </w:r>
    </w:p>
  </w:footnote>
  <w:footnote w:id="317">
    <w:p w14:paraId="2044715A" w14:textId="03CED02D" w:rsidR="006D1EFE" w:rsidRDefault="006D1EFE">
      <w:pPr>
        <w:pStyle w:val="Notedebasdepage"/>
      </w:pPr>
      <w:r>
        <w:rPr>
          <w:rStyle w:val="Appelnotedebasdep"/>
        </w:rPr>
        <w:footnoteRef/>
      </w:r>
      <w:r>
        <w:t xml:space="preserve"> </w:t>
      </w:r>
      <w:r>
        <w:tab/>
      </w:r>
      <w:r w:rsidR="008E6925">
        <w:t xml:space="preserve">Voir : </w:t>
      </w:r>
      <w:r w:rsidR="008E6925" w:rsidRPr="008E6925">
        <w:rPr>
          <w:i/>
          <w:iCs/>
        </w:rPr>
        <w:t>supra</w:t>
      </w:r>
      <w:r w:rsidR="008E6925">
        <w:t>, par.</w:t>
      </w:r>
      <w:r w:rsidR="00182D0A">
        <w:t xml:space="preserve"> </w:t>
      </w:r>
      <w:r w:rsidR="008E6925">
        <w:fldChar w:fldCharType="begin"/>
      </w:r>
      <w:r w:rsidR="008E6925">
        <w:instrText xml:space="preserve"> REF _Ref178079702 \r \h </w:instrText>
      </w:r>
      <w:r w:rsidR="008E6925">
        <w:fldChar w:fldCharType="separate"/>
      </w:r>
      <w:r w:rsidR="0040330D">
        <w:t>[111]</w:t>
      </w:r>
      <w:r w:rsidR="008E6925">
        <w:fldChar w:fldCharType="end"/>
      </w:r>
      <w:r w:rsidR="00182D0A">
        <w:t>-</w:t>
      </w:r>
      <w:r w:rsidR="008E6925">
        <w:fldChar w:fldCharType="begin"/>
      </w:r>
      <w:r w:rsidR="008E6925">
        <w:instrText xml:space="preserve"> REF _Ref178079717 \r \h </w:instrText>
      </w:r>
      <w:r w:rsidR="008E6925">
        <w:fldChar w:fldCharType="separate"/>
      </w:r>
      <w:r w:rsidR="0040330D">
        <w:t>[138]</w:t>
      </w:r>
      <w:r w:rsidR="008E6925">
        <w:fldChar w:fldCharType="end"/>
      </w:r>
      <w:r w:rsidR="008E6925">
        <w:t>.</w:t>
      </w:r>
    </w:p>
  </w:footnote>
  <w:footnote w:id="318">
    <w:p w14:paraId="4A5C9D69" w14:textId="39940979" w:rsidR="001A3EF8" w:rsidRDefault="001A3EF8" w:rsidP="001A3EF8">
      <w:pPr>
        <w:pStyle w:val="Notedebasdepage"/>
      </w:pPr>
      <w:r>
        <w:rPr>
          <w:rStyle w:val="Appelnotedebasdep"/>
        </w:rPr>
        <w:footnoteRef/>
      </w:r>
      <w:r>
        <w:t xml:space="preserve"> </w:t>
      </w:r>
      <w:r>
        <w:tab/>
      </w:r>
      <w:r w:rsidRPr="00162410">
        <w:t xml:space="preserve">Voir : </w:t>
      </w:r>
      <w:r w:rsidRPr="00162410">
        <w:rPr>
          <w:i/>
          <w:iCs/>
        </w:rPr>
        <w:t>supra</w:t>
      </w:r>
      <w:r w:rsidRPr="00162410">
        <w:t>, par.</w:t>
      </w:r>
      <w:r w:rsidR="0002415B">
        <w:t xml:space="preserve"> </w:t>
      </w:r>
      <w:r w:rsidR="0002415B">
        <w:fldChar w:fldCharType="begin"/>
      </w:r>
      <w:r w:rsidR="0002415B">
        <w:instrText xml:space="preserve"> REF _Ref178176080 \r \h </w:instrText>
      </w:r>
      <w:r w:rsidR="0002415B">
        <w:fldChar w:fldCharType="separate"/>
      </w:r>
      <w:r w:rsidR="0040330D">
        <w:t>[98]</w:t>
      </w:r>
      <w:r w:rsidR="0002415B">
        <w:fldChar w:fldCharType="end"/>
      </w:r>
      <w:r w:rsidR="0002415B">
        <w:t>,</w:t>
      </w:r>
      <w:r w:rsidRPr="00162410">
        <w:t xml:space="preserve"> </w:t>
      </w:r>
      <w:r w:rsidR="008E6925">
        <w:fldChar w:fldCharType="begin"/>
      </w:r>
      <w:r w:rsidR="008E6925">
        <w:instrText xml:space="preserve"> REF _Ref177748460 \r \h </w:instrText>
      </w:r>
      <w:r w:rsidR="008E6925">
        <w:fldChar w:fldCharType="separate"/>
      </w:r>
      <w:r w:rsidR="0040330D">
        <w:t>[142]</w:t>
      </w:r>
      <w:r w:rsidR="008E6925">
        <w:fldChar w:fldCharType="end"/>
      </w:r>
      <w:r w:rsidR="00182D0A">
        <w:t>-</w:t>
      </w:r>
      <w:r w:rsidR="008E6925">
        <w:fldChar w:fldCharType="begin"/>
      </w:r>
      <w:r w:rsidR="008E6925">
        <w:instrText xml:space="preserve"> REF _Ref177748469 \r \h </w:instrText>
      </w:r>
      <w:r w:rsidR="008E6925">
        <w:fldChar w:fldCharType="separate"/>
      </w:r>
      <w:r w:rsidR="0040330D">
        <w:t>[143]</w:t>
      </w:r>
      <w:r w:rsidR="008E6925">
        <w:fldChar w:fldCharType="end"/>
      </w:r>
      <w:r w:rsidR="0002415B">
        <w:t xml:space="preserve"> et </w:t>
      </w:r>
      <w:r w:rsidR="0002415B">
        <w:fldChar w:fldCharType="begin"/>
      </w:r>
      <w:r w:rsidR="0002415B">
        <w:instrText xml:space="preserve"> REF _Ref164957298 \r \h </w:instrText>
      </w:r>
      <w:r w:rsidR="0002415B">
        <w:fldChar w:fldCharType="separate"/>
      </w:r>
      <w:r w:rsidR="0040330D">
        <w:t>[197]</w:t>
      </w:r>
      <w:r w:rsidR="0002415B">
        <w:fldChar w:fldCharType="end"/>
      </w:r>
      <w:r w:rsidR="0002415B">
        <w:t>-</w:t>
      </w:r>
      <w:r w:rsidR="0002415B">
        <w:fldChar w:fldCharType="begin"/>
      </w:r>
      <w:r w:rsidR="0002415B">
        <w:instrText xml:space="preserve"> REF _Ref178176108 \r \h </w:instrText>
      </w:r>
      <w:r w:rsidR="0002415B">
        <w:fldChar w:fldCharType="separate"/>
      </w:r>
      <w:r w:rsidR="0040330D">
        <w:t>[198]</w:t>
      </w:r>
      <w:r w:rsidR="0002415B">
        <w:fldChar w:fldCharType="end"/>
      </w:r>
      <w:r w:rsidRPr="00162410">
        <w:t>.</w:t>
      </w:r>
    </w:p>
  </w:footnote>
  <w:footnote w:id="319">
    <w:p w14:paraId="5E0F9025" w14:textId="606B2588" w:rsidR="001A3EF8" w:rsidRPr="007C28D2" w:rsidRDefault="001A3EF8" w:rsidP="001A3EF8">
      <w:pPr>
        <w:pStyle w:val="Notedebasdepage"/>
      </w:pPr>
      <w:r w:rsidRPr="007C28D2">
        <w:rPr>
          <w:rStyle w:val="Appelnotedebasdep"/>
        </w:rPr>
        <w:footnoteRef/>
      </w:r>
      <w:r w:rsidRPr="007C28D2">
        <w:t xml:space="preserve"> </w:t>
      </w:r>
      <w:r w:rsidRPr="007C28D2">
        <w:tab/>
        <w:t xml:space="preserve">Pièce P-29, Commission ontarienne des droits de la personne, </w:t>
      </w:r>
      <w:r w:rsidRPr="007C28D2">
        <w:rPr>
          <w:i/>
          <w:iCs/>
        </w:rPr>
        <w:t>Un impact collectif : Rapport provisoire relatif à l’enquête sur le profilage racial et la discrimination envers les personnes noires au sein du service de police de Toronto</w:t>
      </w:r>
      <w:r w:rsidRPr="007C28D2">
        <w:t xml:space="preserve">, </w:t>
      </w:r>
      <w:r w:rsidR="00F25910" w:rsidRPr="007C28D2">
        <w:t>n</w:t>
      </w:r>
      <w:r w:rsidRPr="007C28D2">
        <w:t>ovembre 2018.</w:t>
      </w:r>
    </w:p>
  </w:footnote>
  <w:footnote w:id="320">
    <w:p w14:paraId="1619D4D4" w14:textId="55F3EC49" w:rsidR="001A3EF8" w:rsidRPr="007C28D2" w:rsidRDefault="001A3EF8" w:rsidP="001A3EF8">
      <w:pPr>
        <w:pStyle w:val="Notedebasdepage"/>
      </w:pPr>
      <w:r w:rsidRPr="007C28D2">
        <w:rPr>
          <w:rStyle w:val="Appelnotedebasdep"/>
        </w:rPr>
        <w:footnoteRef/>
      </w:r>
      <w:r w:rsidRPr="007C28D2">
        <w:t xml:space="preserve"> </w:t>
      </w:r>
      <w:r w:rsidRPr="007C28D2">
        <w:tab/>
      </w:r>
      <w:r w:rsidR="00B17DD6">
        <w:t>P</w:t>
      </w:r>
      <w:r w:rsidR="00B17DD6" w:rsidRPr="007C28D2">
        <w:t>ièce P</w:t>
      </w:r>
      <w:r w:rsidR="00B17DD6" w:rsidRPr="007C28D2">
        <w:noBreakHyphen/>
        <w:t>4, Rapport d’expertise de Marie</w:t>
      </w:r>
      <w:r w:rsidR="00B17DD6" w:rsidRPr="007C28D2">
        <w:noBreakHyphen/>
        <w:t xml:space="preserve">Ève Sylvestre, 7 février 2022, </w:t>
      </w:r>
      <w:r w:rsidR="00B17DD6">
        <w:t xml:space="preserve">annexe MES-055, </w:t>
      </w:r>
      <w:r w:rsidRPr="007C28D2">
        <w:rPr>
          <w:szCs w:val="16"/>
        </w:rPr>
        <w:t xml:space="preserve">Commission ontarienne des droits de la personne, </w:t>
      </w:r>
      <w:r w:rsidRPr="007C28D2">
        <w:rPr>
          <w:i/>
          <w:iCs/>
          <w:szCs w:val="16"/>
        </w:rPr>
        <w:t>Un prix trop élevé : les coûts humains du profilage racial – Rapport d’enquête</w:t>
      </w:r>
      <w:r w:rsidRPr="007C28D2">
        <w:rPr>
          <w:szCs w:val="16"/>
        </w:rPr>
        <w:t>, 2003, p.</w:t>
      </w:r>
      <w:r w:rsidR="00182D0A">
        <w:rPr>
          <w:szCs w:val="16"/>
        </w:rPr>
        <w:t xml:space="preserve"> </w:t>
      </w:r>
      <w:r w:rsidRPr="007C28D2">
        <w:rPr>
          <w:szCs w:val="16"/>
        </w:rPr>
        <w:t>27.</w:t>
      </w:r>
    </w:p>
  </w:footnote>
  <w:footnote w:id="321">
    <w:p w14:paraId="78068661" w14:textId="16CE4600" w:rsidR="001A3EF8" w:rsidRPr="00EA2388" w:rsidRDefault="001A3EF8" w:rsidP="001A3EF8">
      <w:pPr>
        <w:pStyle w:val="Notedebasdepage"/>
      </w:pPr>
      <w:r w:rsidRPr="007C28D2">
        <w:rPr>
          <w:rStyle w:val="Appelnotedebasdep"/>
        </w:rPr>
        <w:footnoteRef/>
      </w:r>
      <w:r w:rsidRPr="007C28D2">
        <w:t xml:space="preserve"> </w:t>
      </w:r>
      <w:r w:rsidRPr="007C28D2">
        <w:tab/>
        <w:t xml:space="preserve">Pièce P-1, Rapport d’expertise de Massimiliano Mulone, </w:t>
      </w:r>
      <w:r w:rsidR="00F25910" w:rsidRPr="007C28D2">
        <w:t>31 janvier 2022, p.</w:t>
      </w:r>
      <w:r w:rsidR="00182D0A">
        <w:t xml:space="preserve"> </w:t>
      </w:r>
      <w:r w:rsidR="00F25910" w:rsidRPr="007C28D2">
        <w:t>31.</w:t>
      </w:r>
      <w:r w:rsidRPr="007C28D2">
        <w:t xml:space="preserve"> Voir aussi : </w:t>
      </w:r>
      <w:r w:rsidR="00B17DD6">
        <w:t>p</w:t>
      </w:r>
      <w:r w:rsidR="00B17DD6" w:rsidRPr="007C28D2">
        <w:t>ièce P</w:t>
      </w:r>
      <w:r w:rsidR="00B17DD6" w:rsidRPr="007C28D2">
        <w:noBreakHyphen/>
        <w:t>4, Rapport d’expertise de Marie</w:t>
      </w:r>
      <w:r w:rsidR="00B17DD6" w:rsidRPr="007C28D2">
        <w:noBreakHyphen/>
        <w:t xml:space="preserve">Ève Sylvestre, 7 février 2022, </w:t>
      </w:r>
      <w:r w:rsidR="00B17DD6">
        <w:t xml:space="preserve">annexe MES-055, </w:t>
      </w:r>
      <w:r w:rsidRPr="007C28D2">
        <w:rPr>
          <w:szCs w:val="16"/>
        </w:rPr>
        <w:t xml:space="preserve">Commission ontarienne des droits de la personne, </w:t>
      </w:r>
      <w:r w:rsidRPr="007C28D2">
        <w:rPr>
          <w:i/>
          <w:iCs/>
          <w:szCs w:val="16"/>
        </w:rPr>
        <w:t>Un prix trop élevé : les coûts humains du profilage racial – Rapport d’enquête</w:t>
      </w:r>
      <w:r w:rsidRPr="007C28D2">
        <w:rPr>
          <w:szCs w:val="16"/>
        </w:rPr>
        <w:t>, 2003, p.</w:t>
      </w:r>
      <w:r w:rsidR="00182D0A">
        <w:rPr>
          <w:szCs w:val="16"/>
        </w:rPr>
        <w:t xml:space="preserve"> </w:t>
      </w:r>
      <w:r w:rsidRPr="007C28D2">
        <w:rPr>
          <w:szCs w:val="16"/>
        </w:rPr>
        <w:t>33-34</w:t>
      </w:r>
      <w:r w:rsidR="00F25910" w:rsidRPr="007C28D2">
        <w:rPr>
          <w:szCs w:val="16"/>
        </w:rPr>
        <w:t>.</w:t>
      </w:r>
    </w:p>
  </w:footnote>
  <w:footnote w:id="322">
    <w:p w14:paraId="69C9D6E2" w14:textId="43809B73" w:rsidR="006D1EFE" w:rsidRDefault="006D1EFE">
      <w:pPr>
        <w:pStyle w:val="Notedebasdepage"/>
      </w:pPr>
      <w:r>
        <w:rPr>
          <w:rStyle w:val="Appelnotedebasdep"/>
        </w:rPr>
        <w:footnoteRef/>
      </w:r>
      <w:r>
        <w:t xml:space="preserve"> </w:t>
      </w:r>
      <w:r>
        <w:tab/>
      </w:r>
      <w:r w:rsidR="008E6925">
        <w:t xml:space="preserve">Voir : </w:t>
      </w:r>
      <w:r w:rsidR="008E6925" w:rsidRPr="008E6925">
        <w:rPr>
          <w:i/>
          <w:iCs/>
        </w:rPr>
        <w:t>supra</w:t>
      </w:r>
      <w:r w:rsidR="008E6925">
        <w:t>, par.</w:t>
      </w:r>
      <w:r w:rsidR="00182D0A">
        <w:t xml:space="preserve"> </w:t>
      </w:r>
      <w:r w:rsidR="008E6925">
        <w:fldChar w:fldCharType="begin"/>
      </w:r>
      <w:r w:rsidR="008E6925">
        <w:instrText xml:space="preserve"> REF _Ref178079918 \r \h </w:instrText>
      </w:r>
      <w:r w:rsidR="008E6925">
        <w:fldChar w:fldCharType="separate"/>
      </w:r>
      <w:r w:rsidR="0040330D">
        <w:t>[141]</w:t>
      </w:r>
      <w:r w:rsidR="008E6925">
        <w:fldChar w:fldCharType="end"/>
      </w:r>
      <w:r w:rsidR="008E6925">
        <w:t>.</w:t>
      </w:r>
    </w:p>
  </w:footnote>
  <w:footnote w:id="323">
    <w:p w14:paraId="2D5E2E60" w14:textId="714243E3" w:rsidR="001A3EF8" w:rsidRPr="007C28D2" w:rsidRDefault="001A3EF8" w:rsidP="001A3EF8">
      <w:pPr>
        <w:pStyle w:val="Notedebasdepage"/>
      </w:pPr>
      <w:r w:rsidRPr="007C28D2">
        <w:rPr>
          <w:rStyle w:val="Appelnotedebasdep"/>
        </w:rPr>
        <w:footnoteRef/>
      </w:r>
      <w:r w:rsidRPr="007C28D2">
        <w:t xml:space="preserve"> </w:t>
      </w:r>
      <w:r w:rsidRPr="007C28D2">
        <w:tab/>
        <w:t xml:space="preserve">Voir, par analogie : </w:t>
      </w:r>
      <w:r w:rsidRPr="007C28D2">
        <w:rPr>
          <w:i/>
          <w:iCs/>
        </w:rPr>
        <w:t>R. c. Ndhlovu</w:t>
      </w:r>
      <w:r w:rsidRPr="007C28D2">
        <w:t>, 2022 CSC 38, par. 131 et s.</w:t>
      </w:r>
    </w:p>
  </w:footnote>
  <w:footnote w:id="324">
    <w:p w14:paraId="1125EB86" w14:textId="6264D720"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RJR</w:t>
      </w:r>
      <w:r w:rsidRPr="007C28D2">
        <w:rPr>
          <w:i/>
          <w:iCs/>
        </w:rPr>
        <w:noBreakHyphen/>
        <w:t>MacDonald Inc. c. Canada (Procureur général)</w:t>
      </w:r>
      <w:r w:rsidRPr="007C28D2">
        <w:t>, [1995]</w:t>
      </w:r>
      <w:r w:rsidR="00B722B4">
        <w:t xml:space="preserve"> </w:t>
      </w:r>
      <w:r w:rsidRPr="007C28D2">
        <w:t>3</w:t>
      </w:r>
      <w:r w:rsidR="00B722B4">
        <w:t xml:space="preserve"> </w:t>
      </w:r>
      <w:r w:rsidRPr="007C28D2">
        <w:t>R.C.S.</w:t>
      </w:r>
      <w:r w:rsidR="00B722B4">
        <w:t xml:space="preserve"> </w:t>
      </w:r>
      <w:r w:rsidRPr="007C28D2">
        <w:t>199, par.</w:t>
      </w:r>
      <w:r w:rsidR="00B722B4">
        <w:t xml:space="preserve"> </w:t>
      </w:r>
      <w:r w:rsidRPr="007C28D2">
        <w:t xml:space="preserve">129. Voir aussi : </w:t>
      </w:r>
      <w:r w:rsidRPr="007C28D2">
        <w:rPr>
          <w:i/>
          <w:iCs/>
        </w:rPr>
        <w:t>R.</w:t>
      </w:r>
      <w:r w:rsidR="000F07AE">
        <w:rPr>
          <w:i/>
          <w:iCs/>
        </w:rPr>
        <w:t> </w:t>
      </w:r>
      <w:r w:rsidRPr="007C28D2">
        <w:rPr>
          <w:i/>
          <w:iCs/>
        </w:rPr>
        <w:t>c.</w:t>
      </w:r>
      <w:r w:rsidR="000F07AE">
        <w:rPr>
          <w:i/>
          <w:iCs/>
        </w:rPr>
        <w:t> </w:t>
      </w:r>
      <w:r w:rsidRPr="007C28D2">
        <w:rPr>
          <w:i/>
          <w:iCs/>
        </w:rPr>
        <w:t>Bryan</w:t>
      </w:r>
      <w:r w:rsidRPr="007C28D2">
        <w:t>, 2007</w:t>
      </w:r>
      <w:r w:rsidR="00182D0A">
        <w:t xml:space="preserve"> </w:t>
      </w:r>
      <w:r w:rsidRPr="007C28D2">
        <w:t>CSC</w:t>
      </w:r>
      <w:r w:rsidR="00182D0A">
        <w:t xml:space="preserve"> </w:t>
      </w:r>
      <w:r w:rsidRPr="007C28D2">
        <w:t>12, par.</w:t>
      </w:r>
      <w:r w:rsidR="00182D0A">
        <w:t xml:space="preserve"> </w:t>
      </w:r>
      <w:r w:rsidRPr="007C28D2">
        <w:t>67.</w:t>
      </w:r>
    </w:p>
  </w:footnote>
  <w:footnote w:id="325">
    <w:p w14:paraId="1FF2840E" w14:textId="75598063" w:rsidR="001A3EF8" w:rsidRPr="007C28D2" w:rsidRDefault="001A3EF8" w:rsidP="001A3EF8">
      <w:pPr>
        <w:pStyle w:val="Notedebasdepage"/>
      </w:pPr>
      <w:r w:rsidRPr="007C28D2">
        <w:rPr>
          <w:rStyle w:val="Appelnotedebasdep"/>
        </w:rPr>
        <w:footnoteRef/>
      </w:r>
      <w:r w:rsidRPr="007C28D2">
        <w:t xml:space="preserve"> </w:t>
      </w:r>
      <w:r w:rsidRPr="007C28D2">
        <w:tab/>
      </w:r>
      <w:r w:rsidRPr="007C28D2">
        <w:rPr>
          <w:i/>
          <w:iCs/>
        </w:rPr>
        <w:t>R. c. Ladouceur</w:t>
      </w:r>
      <w:r w:rsidRPr="007C28D2">
        <w:t xml:space="preserve">, </w:t>
      </w:r>
      <w:r w:rsidRPr="007C28D2">
        <w:rPr>
          <w:rFonts w:cs="Arial"/>
        </w:rPr>
        <w:t>[1990] 1 R.C.S. 1257</w:t>
      </w:r>
      <w:r w:rsidRPr="007C28D2">
        <w:t>, p.</w:t>
      </w:r>
      <w:r w:rsidR="00BC0F59">
        <w:t xml:space="preserve"> </w:t>
      </w:r>
      <w:r w:rsidRPr="007C28D2">
        <w:t>1267.</w:t>
      </w:r>
    </w:p>
  </w:footnote>
  <w:footnote w:id="326">
    <w:p w14:paraId="35C0DDC9" w14:textId="01A9FC67" w:rsidR="001A3EF8" w:rsidRPr="001A3EF8" w:rsidRDefault="001A3EF8" w:rsidP="001A3EF8">
      <w:pPr>
        <w:pStyle w:val="Notedebasdepage"/>
      </w:pPr>
      <w:r w:rsidRPr="007C28D2">
        <w:rPr>
          <w:rStyle w:val="Appelnotedebasdep"/>
        </w:rPr>
        <w:footnoteRef/>
      </w:r>
      <w:r w:rsidRPr="007C28D2">
        <w:t xml:space="preserve"> </w:t>
      </w:r>
      <w:r w:rsidRPr="007C28D2">
        <w:tab/>
        <w:t>Témoignage de Lyne Vézina, 17 juin 2022.</w:t>
      </w:r>
    </w:p>
  </w:footnote>
  <w:footnote w:id="327">
    <w:p w14:paraId="4309338C" w14:textId="48F251FF" w:rsidR="001A3EF8" w:rsidRPr="007C28D2" w:rsidRDefault="001A3EF8" w:rsidP="001A3EF8">
      <w:pPr>
        <w:pStyle w:val="Notedebasdepage"/>
      </w:pPr>
      <w:r w:rsidRPr="007C28D2">
        <w:rPr>
          <w:rStyle w:val="Appelnotedebasdep"/>
        </w:rPr>
        <w:footnoteRef/>
      </w:r>
      <w:r w:rsidRPr="007C28D2">
        <w:t xml:space="preserve"> </w:t>
      </w:r>
      <w:r w:rsidRPr="007C28D2">
        <w:tab/>
        <w:t>Témoignage de Douglas Beirness, 14 juin 2022.</w:t>
      </w:r>
    </w:p>
  </w:footnote>
  <w:footnote w:id="328">
    <w:p w14:paraId="530B5F4B" w14:textId="5072F546" w:rsidR="001A3EF8" w:rsidRPr="007C28D2" w:rsidRDefault="001A3EF8" w:rsidP="001A3EF8">
      <w:pPr>
        <w:pStyle w:val="Notedebasdepage"/>
      </w:pPr>
      <w:r w:rsidRPr="007C28D2">
        <w:rPr>
          <w:rStyle w:val="Appelnotedebasdep"/>
        </w:rPr>
        <w:footnoteRef/>
      </w:r>
      <w:r w:rsidRPr="007C28D2">
        <w:t xml:space="preserve"> </w:t>
      </w:r>
      <w:r w:rsidRPr="007C28D2">
        <w:tab/>
      </w:r>
      <w:r w:rsidR="00F25910" w:rsidRPr="007C28D2">
        <w:rPr>
          <w:i/>
          <w:iCs/>
        </w:rPr>
        <w:t>Ibid</w:t>
      </w:r>
      <w:r w:rsidRPr="007C28D2">
        <w:t>.</w:t>
      </w:r>
    </w:p>
  </w:footnote>
  <w:footnote w:id="329">
    <w:p w14:paraId="7653AD7D" w14:textId="1C92235E" w:rsidR="001A3EF8" w:rsidRPr="007C28D2" w:rsidRDefault="001A3EF8" w:rsidP="001A3EF8">
      <w:pPr>
        <w:pStyle w:val="Notedebasdepage"/>
      </w:pPr>
      <w:r w:rsidRPr="007C28D2">
        <w:rPr>
          <w:rStyle w:val="Appelnotedebasdep"/>
        </w:rPr>
        <w:footnoteRef/>
      </w:r>
      <w:r w:rsidRPr="007C28D2">
        <w:t xml:space="preserve"> </w:t>
      </w:r>
      <w:r w:rsidRPr="007C28D2">
        <w:tab/>
        <w:t>Témoignage de Lyne Vézina, 17 juin 2022.</w:t>
      </w:r>
    </w:p>
  </w:footnote>
  <w:footnote w:id="330">
    <w:p w14:paraId="03338E2C" w14:textId="1B73AD1C" w:rsidR="001A3EF8" w:rsidRDefault="001A3EF8" w:rsidP="001A3EF8">
      <w:pPr>
        <w:pStyle w:val="Notedebasdepage"/>
      </w:pPr>
      <w:r w:rsidRPr="007C28D2">
        <w:rPr>
          <w:rStyle w:val="Appelnotedebasdep"/>
        </w:rPr>
        <w:footnoteRef/>
      </w:r>
      <w:r w:rsidRPr="007C28D2">
        <w:t xml:space="preserve"> </w:t>
      </w:r>
      <w:r w:rsidRPr="007C28D2">
        <w:tab/>
      </w:r>
      <w:r w:rsidRPr="007C28D2">
        <w:rPr>
          <w:i/>
          <w:iCs/>
        </w:rPr>
        <w:t>I</w:t>
      </w:r>
      <w:r w:rsidR="00F25910" w:rsidRPr="007C28D2">
        <w:rPr>
          <w:i/>
          <w:iCs/>
        </w:rPr>
        <w:t>bid</w:t>
      </w:r>
      <w:r w:rsidRPr="007C28D2">
        <w:t>.</w:t>
      </w:r>
    </w:p>
  </w:footnote>
  <w:footnote w:id="331">
    <w:p w14:paraId="6972FA8C" w14:textId="42F038D9" w:rsidR="005A1C52" w:rsidRPr="007C28D2" w:rsidRDefault="005A1C52" w:rsidP="005A1C52">
      <w:pPr>
        <w:pStyle w:val="Notedebasdepage"/>
      </w:pPr>
      <w:r w:rsidRPr="007C28D2">
        <w:rPr>
          <w:rStyle w:val="Appelnotedebasdep"/>
        </w:rPr>
        <w:footnoteRef/>
      </w:r>
      <w:r w:rsidRPr="007C28D2">
        <w:t xml:space="preserve"> </w:t>
      </w:r>
      <w:r w:rsidRPr="007C28D2">
        <w:tab/>
      </w:r>
      <w:r w:rsidRPr="007C28D2">
        <w:rPr>
          <w:i/>
          <w:iCs/>
        </w:rPr>
        <w:t>Carter c. Canada (Procureur général)</w:t>
      </w:r>
      <w:r w:rsidRPr="007C28D2">
        <w:t>, 2016 CSC 4, par. 2.</w:t>
      </w:r>
    </w:p>
  </w:footnote>
  <w:footnote w:id="332">
    <w:p w14:paraId="7B02B754" w14:textId="12A73D22" w:rsidR="005A1C52" w:rsidRPr="007C28D2" w:rsidRDefault="005A1C52" w:rsidP="005A1C52">
      <w:pPr>
        <w:pStyle w:val="Notedebasdepage"/>
      </w:pPr>
      <w:r w:rsidRPr="007C28D2">
        <w:rPr>
          <w:rStyle w:val="Appelnotedebasdep"/>
        </w:rPr>
        <w:footnoteRef/>
      </w:r>
      <w:r w:rsidRPr="007C28D2">
        <w:t xml:space="preserve"> </w:t>
      </w:r>
      <w:r w:rsidRPr="007C28D2">
        <w:tab/>
      </w:r>
      <w:r w:rsidRPr="007C28D2">
        <w:rPr>
          <w:i/>
          <w:iCs/>
        </w:rPr>
        <w:t>Ontario (Procureur général) c. G</w:t>
      </w:r>
      <w:r w:rsidRPr="007C28D2">
        <w:t xml:space="preserve">., 2020 CSC 38, par. 126. </w:t>
      </w:r>
    </w:p>
  </w:footnote>
  <w:footnote w:id="333">
    <w:p w14:paraId="324015FD" w14:textId="42D5A714" w:rsidR="005A1C52" w:rsidRPr="007C28D2" w:rsidRDefault="005A1C52" w:rsidP="005A1C52">
      <w:pPr>
        <w:pStyle w:val="Notedebasdepage"/>
      </w:pPr>
      <w:r w:rsidRPr="007C28D2">
        <w:rPr>
          <w:rStyle w:val="Appelnotedebasdep"/>
        </w:rPr>
        <w:footnoteRef/>
      </w:r>
      <w:r w:rsidRPr="007C28D2">
        <w:t xml:space="preserve"> </w:t>
      </w:r>
      <w:r w:rsidRPr="007C28D2">
        <w:tab/>
      </w:r>
      <w:r w:rsidR="003F5F36" w:rsidRPr="007C28D2">
        <w:rPr>
          <w:i/>
          <w:iCs/>
        </w:rPr>
        <w:t>Id.</w:t>
      </w:r>
      <w:r w:rsidRPr="007C28D2">
        <w:t>, par. 83.</w:t>
      </w:r>
    </w:p>
  </w:footnote>
  <w:footnote w:id="334">
    <w:p w14:paraId="5F986A24" w14:textId="4EB44E5E" w:rsidR="005A1C52" w:rsidRDefault="005A1C52" w:rsidP="005A1C52">
      <w:pPr>
        <w:pStyle w:val="Notedebasdepage"/>
      </w:pPr>
      <w:r w:rsidRPr="007C28D2">
        <w:rPr>
          <w:rStyle w:val="Appelnotedebasdep"/>
        </w:rPr>
        <w:footnoteRef/>
      </w:r>
      <w:r w:rsidRPr="007C28D2">
        <w:t xml:space="preserve"> </w:t>
      </w:r>
      <w:r w:rsidRPr="007C28D2">
        <w:tab/>
      </w:r>
      <w:r w:rsidR="003F5F36" w:rsidRPr="007C28D2">
        <w:rPr>
          <w:i/>
          <w:iCs/>
        </w:rPr>
        <w:t>Id.</w:t>
      </w:r>
      <w:r w:rsidRPr="007C28D2">
        <w:t>, par. 135.</w:t>
      </w:r>
    </w:p>
  </w:footnote>
  <w:footnote w:id="335">
    <w:p w14:paraId="752CE21C" w14:textId="236E4D16" w:rsidR="005A1C52" w:rsidRPr="007C28D2" w:rsidRDefault="005A1C52" w:rsidP="005A1C52">
      <w:pPr>
        <w:pStyle w:val="Notedebasdepage"/>
      </w:pPr>
      <w:r w:rsidRPr="007C28D2">
        <w:rPr>
          <w:rStyle w:val="Appelnotedebasdep"/>
        </w:rPr>
        <w:footnoteRef/>
      </w:r>
      <w:r w:rsidRPr="007C28D2">
        <w:t xml:space="preserve"> </w:t>
      </w:r>
      <w:r w:rsidRPr="007C28D2">
        <w:tab/>
      </w:r>
      <w:r w:rsidRPr="007C28D2">
        <w:rPr>
          <w:i/>
          <w:iCs/>
        </w:rPr>
        <w:t>Carter c. Canada (Procureur général)</w:t>
      </w:r>
      <w:r w:rsidRPr="007C28D2">
        <w:t>, 2016 CSC 4, par. 2.</w:t>
      </w:r>
    </w:p>
  </w:footnote>
  <w:footnote w:id="336">
    <w:p w14:paraId="55EB2FC0" w14:textId="3E12CA95" w:rsidR="005A1C52" w:rsidRPr="007C28D2" w:rsidRDefault="005A1C52" w:rsidP="005A1C52">
      <w:pPr>
        <w:pStyle w:val="Notedebasdepage"/>
        <w:rPr>
          <w:lang w:val="en-CA"/>
        </w:rPr>
      </w:pPr>
      <w:r w:rsidRPr="007C28D2">
        <w:rPr>
          <w:rStyle w:val="Appelnotedebasdep"/>
        </w:rPr>
        <w:footnoteRef/>
      </w:r>
      <w:r w:rsidRPr="007C28D2">
        <w:rPr>
          <w:lang w:val="en-CA"/>
        </w:rPr>
        <w:t xml:space="preserve"> </w:t>
      </w:r>
      <w:r w:rsidRPr="007C28D2">
        <w:rPr>
          <w:lang w:val="en-CA"/>
        </w:rPr>
        <w:tab/>
      </w:r>
      <w:r w:rsidR="003F5F36" w:rsidRPr="007C28D2">
        <w:rPr>
          <w:i/>
          <w:iCs/>
          <w:lang w:val="en-CA"/>
        </w:rPr>
        <w:t>Ibid</w:t>
      </w:r>
      <w:r w:rsidRPr="007C28D2">
        <w:rPr>
          <w:lang w:val="en-CA"/>
        </w:rPr>
        <w:t>.</w:t>
      </w:r>
    </w:p>
  </w:footnote>
  <w:footnote w:id="337">
    <w:p w14:paraId="3A93C206" w14:textId="7E0AC487" w:rsidR="005A1C52" w:rsidRDefault="005A1C52" w:rsidP="005A1C52">
      <w:pPr>
        <w:pStyle w:val="Notedebasdepage"/>
      </w:pPr>
      <w:r w:rsidRPr="007C28D2">
        <w:rPr>
          <w:rStyle w:val="Appelnotedebasdep"/>
        </w:rPr>
        <w:footnoteRef/>
      </w:r>
      <w:r w:rsidRPr="00C92AA2">
        <w:rPr>
          <w:lang w:val="en-CA"/>
        </w:rPr>
        <w:t xml:space="preserve"> </w:t>
      </w:r>
      <w:r w:rsidRPr="00C92AA2">
        <w:rPr>
          <w:lang w:val="en-CA"/>
        </w:rPr>
        <w:tab/>
      </w:r>
      <w:r w:rsidRPr="00C92AA2">
        <w:rPr>
          <w:i/>
          <w:iCs/>
          <w:lang w:val="en-CA"/>
        </w:rPr>
        <w:t>R. c. Powley</w:t>
      </w:r>
      <w:r w:rsidRPr="00C92AA2">
        <w:rPr>
          <w:lang w:val="en-CA"/>
        </w:rPr>
        <w:t>, 2003</w:t>
      </w:r>
      <w:r w:rsidR="00BC0F59">
        <w:rPr>
          <w:lang w:val="en-CA"/>
        </w:rPr>
        <w:t xml:space="preserve"> </w:t>
      </w:r>
      <w:r w:rsidRPr="00C92AA2">
        <w:rPr>
          <w:lang w:val="en-CA"/>
        </w:rPr>
        <w:t>CSC</w:t>
      </w:r>
      <w:r w:rsidR="00BC0F59">
        <w:rPr>
          <w:lang w:val="en-CA"/>
        </w:rPr>
        <w:t xml:space="preserve"> </w:t>
      </w:r>
      <w:r w:rsidRPr="00C92AA2">
        <w:rPr>
          <w:lang w:val="en-CA"/>
        </w:rPr>
        <w:t xml:space="preserve">43, par. 52. </w:t>
      </w:r>
      <w:r w:rsidRPr="007C28D2">
        <w:t xml:space="preserve">Voir aussi : </w:t>
      </w:r>
      <w:r w:rsidRPr="007C28D2">
        <w:rPr>
          <w:i/>
          <w:iCs/>
        </w:rPr>
        <w:t>Procureure générale du Canada c. Descheneaux</w:t>
      </w:r>
      <w:r w:rsidRPr="007C28D2">
        <w:t>, 2017</w:t>
      </w:r>
      <w:r w:rsidR="00F537A6">
        <w:t> </w:t>
      </w:r>
      <w:r w:rsidRPr="007C28D2">
        <w:t>QCCA</w:t>
      </w:r>
      <w:r w:rsidR="00F537A6">
        <w:t> </w:t>
      </w:r>
      <w:r w:rsidRPr="007C28D2">
        <w:t>1238, par.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8667" w14:textId="77777777" w:rsidR="00077E95" w:rsidRDefault="00077E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8F3B" w14:textId="77777777" w:rsidR="007E33E4" w:rsidRDefault="009238E1" w:rsidP="00DB2119">
    <w:pPr>
      <w:tabs>
        <w:tab w:val="center" w:pos="4709"/>
        <w:tab w:val="right" w:pos="9360"/>
      </w:tabs>
      <w:spacing w:line="360" w:lineRule="auto"/>
      <w:ind w:right="524"/>
    </w:pPr>
    <w:bookmarkStart w:id="7" w:name="EntDossier"/>
    <w:r>
      <w:t>500-09-030301-220</w:t>
    </w:r>
    <w:bookmarkEnd w:id="7"/>
    <w:r w:rsidR="007E33E4" w:rsidRPr="007462D6">
      <w:t xml:space="preserve"> </w:t>
    </w:r>
    <w:r w:rsidR="007E33E4">
      <w:tab/>
    </w:r>
    <w:r w:rsidR="007E33E4">
      <w:tab/>
      <w:t xml:space="preserve">PAGE : </w:t>
    </w:r>
    <w:r w:rsidR="007E33E4">
      <w:fldChar w:fldCharType="begin"/>
    </w:r>
    <w:r w:rsidR="007E33E4">
      <w:instrText xml:space="preserve"> PAGE </w:instrText>
    </w:r>
    <w:r w:rsidR="007E33E4">
      <w:fldChar w:fldCharType="separate"/>
    </w:r>
    <w:r w:rsidR="008D18FC">
      <w:rPr>
        <w:noProof/>
      </w:rPr>
      <w:t>2</w:t>
    </w:r>
    <w:r w:rsidR="007E33E4">
      <w:fldChar w:fldCharType="end"/>
    </w:r>
  </w:p>
  <w:p w14:paraId="1146C099" w14:textId="77777777" w:rsidR="007E33E4" w:rsidRDefault="007E33E4" w:rsidP="00DB2119">
    <w:pPr>
      <w:tabs>
        <w:tab w:val="center" w:pos="4709"/>
        <w:tab w:val="right" w:pos="9360"/>
      </w:tabs>
      <w:spacing w:line="360" w:lineRule="auto"/>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81F3" w14:textId="77777777" w:rsidR="00077E95" w:rsidRDefault="00077E9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DC5B" w14:textId="77777777" w:rsidR="00724621" w:rsidRDefault="00724621" w:rsidP="00724621">
    <w:pPr>
      <w:tabs>
        <w:tab w:val="center" w:pos="4709"/>
        <w:tab w:val="right" w:pos="9360"/>
      </w:tabs>
      <w:spacing w:line="360" w:lineRule="auto"/>
      <w:ind w:right="524"/>
    </w:pPr>
    <w:r>
      <w:t>500-09-030301-220</w:t>
    </w:r>
    <w:r w:rsidRPr="007462D6">
      <w:t xml:space="preserve"> </w:t>
    </w:r>
    <w:r>
      <w:tab/>
    </w:r>
    <w:r>
      <w:tab/>
      <w:t xml:space="preserve">PAGE : </w:t>
    </w:r>
    <w:r>
      <w:fldChar w:fldCharType="begin"/>
    </w:r>
    <w:r>
      <w:instrText xml:space="preserve"> PAGE </w:instrText>
    </w:r>
    <w:r>
      <w:fldChar w:fldCharType="separate"/>
    </w:r>
    <w:r>
      <w:t>5</w:t>
    </w:r>
    <w:r>
      <w:fldChar w:fldCharType="end"/>
    </w:r>
  </w:p>
  <w:p w14:paraId="1C1769A6" w14:textId="77777777" w:rsidR="00724621" w:rsidRDefault="00724621" w:rsidP="00724621">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E3EA1"/>
    <w:multiLevelType w:val="hybridMultilevel"/>
    <w:tmpl w:val="DD5E2402"/>
    <w:lvl w:ilvl="0" w:tplc="AA5C315C">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1" w15:restartNumberingAfterBreak="0">
    <w:nsid w:val="09D968D6"/>
    <w:multiLevelType w:val="hybridMultilevel"/>
    <w:tmpl w:val="3EC223CC"/>
    <w:lvl w:ilvl="0" w:tplc="E43A446C">
      <w:start w:val="16"/>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AD82EA0"/>
    <w:multiLevelType w:val="hybridMultilevel"/>
    <w:tmpl w:val="B382FA14"/>
    <w:lvl w:ilvl="0" w:tplc="9BD26C0E">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3" w15:restartNumberingAfterBreak="0">
    <w:nsid w:val="0BD1744F"/>
    <w:multiLevelType w:val="hybridMultilevel"/>
    <w:tmpl w:val="E3CC9E70"/>
    <w:lvl w:ilvl="0" w:tplc="A68E3CFA">
      <w:start w:val="1"/>
      <w:numFmt w:val="upperLetter"/>
      <w:lvlText w:val="%1)"/>
      <w:lvlJc w:val="left"/>
      <w:pPr>
        <w:ind w:left="785"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0CA41F00"/>
    <w:multiLevelType w:val="hybridMultilevel"/>
    <w:tmpl w:val="3C7492D2"/>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EF50013"/>
    <w:multiLevelType w:val="hybridMultilevel"/>
    <w:tmpl w:val="35B23580"/>
    <w:lvl w:ilvl="0" w:tplc="B394A8D2">
      <w:start w:val="1"/>
      <w:numFmt w:val="upperLetter"/>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6" w15:restartNumberingAfterBreak="0">
    <w:nsid w:val="15B9016B"/>
    <w:multiLevelType w:val="hybridMultilevel"/>
    <w:tmpl w:val="19B20F2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185414C0"/>
    <w:multiLevelType w:val="hybridMultilevel"/>
    <w:tmpl w:val="D0BA02DC"/>
    <w:lvl w:ilvl="0" w:tplc="D1B478C0">
      <w:start w:val="1"/>
      <w:numFmt w:val="upperRoman"/>
      <w:lvlText w:val="%1."/>
      <w:lvlJc w:val="left"/>
      <w:pPr>
        <w:ind w:left="1004" w:hanging="72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8" w15:restartNumberingAfterBreak="0">
    <w:nsid w:val="1C34287C"/>
    <w:multiLevelType w:val="hybridMultilevel"/>
    <w:tmpl w:val="9D4267CE"/>
    <w:lvl w:ilvl="0" w:tplc="C9486C96">
      <w:start w:val="1"/>
      <w:numFmt w:val="upperLetter"/>
      <w:lvlText w:val="%1."/>
      <w:lvlJc w:val="left"/>
      <w:pPr>
        <w:ind w:left="360" w:hanging="360"/>
      </w:pPr>
      <w:rPr>
        <w:i w:val="0"/>
        <w:iCs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1D002F29"/>
    <w:multiLevelType w:val="hybridMultilevel"/>
    <w:tmpl w:val="DE4CB1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DDB6E07"/>
    <w:multiLevelType w:val="hybridMultilevel"/>
    <w:tmpl w:val="1C84516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2AC30D7"/>
    <w:multiLevelType w:val="hybridMultilevel"/>
    <w:tmpl w:val="12B049CC"/>
    <w:lvl w:ilvl="0" w:tplc="0C0C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7FB483D"/>
    <w:multiLevelType w:val="hybridMultilevel"/>
    <w:tmpl w:val="150481A8"/>
    <w:lvl w:ilvl="0" w:tplc="61FA4D40">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3A476C12"/>
    <w:multiLevelType w:val="hybridMultilevel"/>
    <w:tmpl w:val="9FC60E06"/>
    <w:lvl w:ilvl="0" w:tplc="7222FD86">
      <w:numFmt w:val="bullet"/>
      <w:lvlText w:val="-"/>
      <w:lvlJc w:val="left"/>
      <w:pPr>
        <w:ind w:left="-708" w:hanging="360"/>
      </w:pPr>
      <w:rPr>
        <w:rFonts w:ascii="Arial" w:eastAsia="Times New Roman" w:hAnsi="Arial" w:cs="Arial" w:hint="default"/>
      </w:rPr>
    </w:lvl>
    <w:lvl w:ilvl="1" w:tplc="0C0C0003">
      <w:start w:val="1"/>
      <w:numFmt w:val="bullet"/>
      <w:lvlText w:val="o"/>
      <w:lvlJc w:val="left"/>
      <w:pPr>
        <w:ind w:left="12" w:hanging="360"/>
      </w:pPr>
      <w:rPr>
        <w:rFonts w:ascii="Courier New" w:hAnsi="Courier New" w:cs="Courier New" w:hint="default"/>
      </w:rPr>
    </w:lvl>
    <w:lvl w:ilvl="2" w:tplc="0C0C0005" w:tentative="1">
      <w:start w:val="1"/>
      <w:numFmt w:val="bullet"/>
      <w:lvlText w:val=""/>
      <w:lvlJc w:val="left"/>
      <w:pPr>
        <w:ind w:left="732" w:hanging="360"/>
      </w:pPr>
      <w:rPr>
        <w:rFonts w:ascii="Wingdings" w:hAnsi="Wingdings" w:hint="default"/>
      </w:rPr>
    </w:lvl>
    <w:lvl w:ilvl="3" w:tplc="0C0C0001" w:tentative="1">
      <w:start w:val="1"/>
      <w:numFmt w:val="bullet"/>
      <w:lvlText w:val=""/>
      <w:lvlJc w:val="left"/>
      <w:pPr>
        <w:ind w:left="1452" w:hanging="360"/>
      </w:pPr>
      <w:rPr>
        <w:rFonts w:ascii="Symbol" w:hAnsi="Symbol" w:hint="default"/>
      </w:rPr>
    </w:lvl>
    <w:lvl w:ilvl="4" w:tplc="0C0C0003" w:tentative="1">
      <w:start w:val="1"/>
      <w:numFmt w:val="bullet"/>
      <w:lvlText w:val="o"/>
      <w:lvlJc w:val="left"/>
      <w:pPr>
        <w:ind w:left="2172" w:hanging="360"/>
      </w:pPr>
      <w:rPr>
        <w:rFonts w:ascii="Courier New" w:hAnsi="Courier New" w:cs="Courier New" w:hint="default"/>
      </w:rPr>
    </w:lvl>
    <w:lvl w:ilvl="5" w:tplc="0C0C0005" w:tentative="1">
      <w:start w:val="1"/>
      <w:numFmt w:val="bullet"/>
      <w:lvlText w:val=""/>
      <w:lvlJc w:val="left"/>
      <w:pPr>
        <w:ind w:left="2892" w:hanging="360"/>
      </w:pPr>
      <w:rPr>
        <w:rFonts w:ascii="Wingdings" w:hAnsi="Wingdings" w:hint="default"/>
      </w:rPr>
    </w:lvl>
    <w:lvl w:ilvl="6" w:tplc="0C0C0001" w:tentative="1">
      <w:start w:val="1"/>
      <w:numFmt w:val="bullet"/>
      <w:lvlText w:val=""/>
      <w:lvlJc w:val="left"/>
      <w:pPr>
        <w:ind w:left="3612" w:hanging="360"/>
      </w:pPr>
      <w:rPr>
        <w:rFonts w:ascii="Symbol" w:hAnsi="Symbol" w:hint="default"/>
      </w:rPr>
    </w:lvl>
    <w:lvl w:ilvl="7" w:tplc="0C0C0003" w:tentative="1">
      <w:start w:val="1"/>
      <w:numFmt w:val="bullet"/>
      <w:lvlText w:val="o"/>
      <w:lvlJc w:val="left"/>
      <w:pPr>
        <w:ind w:left="4332" w:hanging="360"/>
      </w:pPr>
      <w:rPr>
        <w:rFonts w:ascii="Courier New" w:hAnsi="Courier New" w:cs="Courier New" w:hint="default"/>
      </w:rPr>
    </w:lvl>
    <w:lvl w:ilvl="8" w:tplc="0C0C0005" w:tentative="1">
      <w:start w:val="1"/>
      <w:numFmt w:val="bullet"/>
      <w:lvlText w:val=""/>
      <w:lvlJc w:val="left"/>
      <w:pPr>
        <w:ind w:left="5052" w:hanging="360"/>
      </w:pPr>
      <w:rPr>
        <w:rFonts w:ascii="Wingdings" w:hAnsi="Wingdings" w:hint="default"/>
      </w:rPr>
    </w:lvl>
  </w:abstractNum>
  <w:abstractNum w:abstractNumId="25" w15:restartNumberingAfterBreak="0">
    <w:nsid w:val="3C2F06F1"/>
    <w:multiLevelType w:val="hybridMultilevel"/>
    <w:tmpl w:val="8C8C3EBE"/>
    <w:lvl w:ilvl="0" w:tplc="C74EADE4">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6" w15:restartNumberingAfterBreak="0">
    <w:nsid w:val="3FA72926"/>
    <w:multiLevelType w:val="hybridMultilevel"/>
    <w:tmpl w:val="60260226"/>
    <w:lvl w:ilvl="0" w:tplc="E05E00B4">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431A0BB7"/>
    <w:multiLevelType w:val="hybridMultilevel"/>
    <w:tmpl w:val="89143FA8"/>
    <w:lvl w:ilvl="0" w:tplc="B908FC7A">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8" w15:restartNumberingAfterBreak="0">
    <w:nsid w:val="49324B40"/>
    <w:multiLevelType w:val="hybridMultilevel"/>
    <w:tmpl w:val="8DFEAC84"/>
    <w:lvl w:ilvl="0" w:tplc="8DB847D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C383C2F"/>
    <w:multiLevelType w:val="hybridMultilevel"/>
    <w:tmpl w:val="18CEE404"/>
    <w:lvl w:ilvl="0" w:tplc="E1E4960A">
      <w:start w:val="1"/>
      <w:numFmt w:val="lowerLetter"/>
      <w:pStyle w:val="Titre4"/>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4C3B3319"/>
    <w:multiLevelType w:val="hybridMultilevel"/>
    <w:tmpl w:val="A91AF0A0"/>
    <w:lvl w:ilvl="0" w:tplc="7D34C01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4F135474"/>
    <w:multiLevelType w:val="hybridMultilevel"/>
    <w:tmpl w:val="1D88592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3" w15:restartNumberingAfterBreak="0">
    <w:nsid w:val="513C448D"/>
    <w:multiLevelType w:val="hybridMultilevel"/>
    <w:tmpl w:val="A27E6484"/>
    <w:lvl w:ilvl="0" w:tplc="E67CD108">
      <w:start w:val="1"/>
      <w:numFmt w:val="upperLetter"/>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34" w15:restartNumberingAfterBreak="0">
    <w:nsid w:val="57FC2821"/>
    <w:multiLevelType w:val="hybridMultilevel"/>
    <w:tmpl w:val="8438E6F4"/>
    <w:lvl w:ilvl="0" w:tplc="61FA4D40">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5"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3AE4878"/>
    <w:multiLevelType w:val="hybridMultilevel"/>
    <w:tmpl w:val="5228578A"/>
    <w:lvl w:ilvl="0" w:tplc="2D1A8B1C">
      <w:start w:val="1"/>
      <w:numFmt w:val="upperLetter"/>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37" w15:restartNumberingAfterBreak="0">
    <w:nsid w:val="647F23AF"/>
    <w:multiLevelType w:val="hybridMultilevel"/>
    <w:tmpl w:val="6A1AC89E"/>
    <w:lvl w:ilvl="0" w:tplc="EAE85A74">
      <w:start w:val="1"/>
      <w:numFmt w:val="decimal"/>
      <w:lvlText w:val="%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8" w15:restartNumberingAfterBreak="0">
    <w:nsid w:val="714E0AF7"/>
    <w:multiLevelType w:val="hybridMultilevel"/>
    <w:tmpl w:val="54DA8348"/>
    <w:lvl w:ilvl="0" w:tplc="C7FEE952">
      <w:start w:val="1"/>
      <w:numFmt w:val="upperLetter"/>
      <w:lvlText w:val="%1)"/>
      <w:lvlJc w:val="left"/>
      <w:pPr>
        <w:ind w:left="1080" w:hanging="360"/>
      </w:pPr>
      <w:rPr>
        <w:rFonts w:ascii="Arial" w:eastAsia="Times New Roman"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23707FA"/>
    <w:multiLevelType w:val="hybridMultilevel"/>
    <w:tmpl w:val="8B1E868E"/>
    <w:lvl w:ilvl="0" w:tplc="15D0355C">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B095829"/>
    <w:multiLevelType w:val="hybridMultilevel"/>
    <w:tmpl w:val="793ED47C"/>
    <w:lvl w:ilvl="0" w:tplc="7ED8B2F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54660095">
    <w:abstractNumId w:val="35"/>
  </w:num>
  <w:num w:numId="2" w16cid:durableId="1724524572">
    <w:abstractNumId w:val="35"/>
  </w:num>
  <w:num w:numId="3" w16cid:durableId="326445556">
    <w:abstractNumId w:val="35"/>
  </w:num>
  <w:num w:numId="4" w16cid:durableId="1749426092">
    <w:abstractNumId w:val="8"/>
  </w:num>
  <w:num w:numId="5" w16cid:durableId="1219055617">
    <w:abstractNumId w:val="3"/>
  </w:num>
  <w:num w:numId="6" w16cid:durableId="143745417">
    <w:abstractNumId w:val="2"/>
  </w:num>
  <w:num w:numId="7" w16cid:durableId="1691174597">
    <w:abstractNumId w:val="1"/>
  </w:num>
  <w:num w:numId="8" w16cid:durableId="626351451">
    <w:abstractNumId w:val="0"/>
  </w:num>
  <w:num w:numId="9" w16cid:durableId="433131853">
    <w:abstractNumId w:val="9"/>
  </w:num>
  <w:num w:numId="10" w16cid:durableId="1527405632">
    <w:abstractNumId w:val="7"/>
  </w:num>
  <w:num w:numId="11" w16cid:durableId="1049888265">
    <w:abstractNumId w:val="6"/>
  </w:num>
  <w:num w:numId="12" w16cid:durableId="324433532">
    <w:abstractNumId w:val="5"/>
  </w:num>
  <w:num w:numId="13" w16cid:durableId="890966425">
    <w:abstractNumId w:val="4"/>
  </w:num>
  <w:num w:numId="14" w16cid:durableId="1704208438">
    <w:abstractNumId w:val="35"/>
  </w:num>
  <w:num w:numId="15" w16cid:durableId="1618488187">
    <w:abstractNumId w:val="35"/>
  </w:num>
  <w:num w:numId="16" w16cid:durableId="145516672">
    <w:abstractNumId w:val="35"/>
  </w:num>
  <w:num w:numId="17" w16cid:durableId="637228545">
    <w:abstractNumId w:val="29"/>
  </w:num>
  <w:num w:numId="18" w16cid:durableId="746537359">
    <w:abstractNumId w:val="20"/>
  </w:num>
  <w:num w:numId="19" w16cid:durableId="70976103">
    <w:abstractNumId w:val="18"/>
  </w:num>
  <w:num w:numId="20" w16cid:durableId="1493181648">
    <w:abstractNumId w:val="38"/>
  </w:num>
  <w:num w:numId="21" w16cid:durableId="658579642">
    <w:abstractNumId w:val="18"/>
    <w:lvlOverride w:ilvl="0">
      <w:startOverride w:val="1"/>
    </w:lvlOverride>
  </w:num>
  <w:num w:numId="22" w16cid:durableId="1221675321">
    <w:abstractNumId w:val="28"/>
  </w:num>
  <w:num w:numId="23" w16cid:durableId="1659116350">
    <w:abstractNumId w:val="31"/>
  </w:num>
  <w:num w:numId="24" w16cid:durableId="830869621">
    <w:abstractNumId w:val="39"/>
  </w:num>
  <w:num w:numId="25" w16cid:durableId="577130261">
    <w:abstractNumId w:val="16"/>
  </w:num>
  <w:num w:numId="26" w16cid:durableId="1517421612">
    <w:abstractNumId w:val="40"/>
  </w:num>
  <w:num w:numId="27" w16cid:durableId="1218205156">
    <w:abstractNumId w:val="13"/>
  </w:num>
  <w:num w:numId="28" w16cid:durableId="1554534863">
    <w:abstractNumId w:val="19"/>
  </w:num>
  <w:num w:numId="29" w16cid:durableId="157574461">
    <w:abstractNumId w:val="21"/>
  </w:num>
  <w:num w:numId="30" w16cid:durableId="804589826">
    <w:abstractNumId w:val="11"/>
  </w:num>
  <w:num w:numId="31" w16cid:durableId="862939435">
    <w:abstractNumId w:val="24"/>
  </w:num>
  <w:num w:numId="32" w16cid:durableId="1538810160">
    <w:abstractNumId w:val="14"/>
  </w:num>
  <w:num w:numId="33" w16cid:durableId="716707591">
    <w:abstractNumId w:val="26"/>
  </w:num>
  <w:num w:numId="34" w16cid:durableId="725684253">
    <w:abstractNumId w:val="23"/>
  </w:num>
  <w:num w:numId="35" w16cid:durableId="1537737523">
    <w:abstractNumId w:val="34"/>
  </w:num>
  <w:num w:numId="36" w16cid:durableId="1963995355">
    <w:abstractNumId w:val="32"/>
  </w:num>
  <w:num w:numId="37" w16cid:durableId="788083917">
    <w:abstractNumId w:val="17"/>
  </w:num>
  <w:num w:numId="38" w16cid:durableId="180362690">
    <w:abstractNumId w:val="15"/>
  </w:num>
  <w:num w:numId="39" w16cid:durableId="1827168326">
    <w:abstractNumId w:val="36"/>
  </w:num>
  <w:num w:numId="40" w16cid:durableId="649755121">
    <w:abstractNumId w:val="33"/>
  </w:num>
  <w:num w:numId="41" w16cid:durableId="1255675503">
    <w:abstractNumId w:val="12"/>
  </w:num>
  <w:num w:numId="42" w16cid:durableId="1859738311">
    <w:abstractNumId w:val="27"/>
  </w:num>
  <w:num w:numId="43" w16cid:durableId="558712215">
    <w:abstractNumId w:val="37"/>
  </w:num>
  <w:num w:numId="44" w16cid:durableId="345791619">
    <w:abstractNumId w:val="25"/>
  </w:num>
  <w:num w:numId="45" w16cid:durableId="936250070">
    <w:abstractNumId w:val="10"/>
  </w:num>
  <w:num w:numId="46" w16cid:durableId="908686943">
    <w:abstractNumId w:val="20"/>
  </w:num>
  <w:num w:numId="47" w16cid:durableId="1777365069">
    <w:abstractNumId w:val="22"/>
  </w:num>
  <w:num w:numId="48" w16cid:durableId="847250420">
    <w:abstractNumId w:val="30"/>
  </w:num>
  <w:num w:numId="49" w16cid:durableId="791169294">
    <w:abstractNumId w:val="30"/>
    <w:lvlOverride w:ilvl="0">
      <w:startOverride w:val="1"/>
    </w:lvlOverride>
  </w:num>
  <w:num w:numId="50" w16cid:durableId="6601627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23B46F-2B9F-46FC-B7DF-C563385C6BF8}"/>
    <w:docVar w:name="dgnword-eventsink" w:val="891591128"/>
    <w:docVar w:name="inNBChoix" w:val="3"/>
    <w:docVar w:name="MotifJuge1" w:val="MOTIFS DE LA JUGE"/>
    <w:docVar w:name="MotifJuge2" w:val="MOTIFS DE LA JUGE"/>
    <w:docVar w:name="MotifJuge3" w:val="MOTIFS DE LA JUGE"/>
    <w:docVar w:name="NomFamJuge1" w:val="DUTIL"/>
    <w:docVar w:name="NomFamJuge2" w:val="GAGNÉ"/>
    <w:docVar w:name="NomFamJuge3" w:val="WEITZMAN"/>
    <w:docVar w:name="NomFamJuge4" w:val="MAILHOT"/>
    <w:docVar w:name="NomFamJuge5" w:val="BAUDOUIN"/>
    <w:docVar w:name="QteJuge1" w:val=", J.C.A."/>
    <w:docVar w:name="QteJuge2" w:val=", J.C.A."/>
    <w:docVar w:name="QteJuge3" w:val=", J.C.A."/>
    <w:docVar w:name="stPremiereFois" w:val="Non"/>
  </w:docVars>
  <w:rsids>
    <w:rsidRoot w:val="009238E1"/>
    <w:rsid w:val="00001584"/>
    <w:rsid w:val="000107B0"/>
    <w:rsid w:val="000131E1"/>
    <w:rsid w:val="00013341"/>
    <w:rsid w:val="0001368F"/>
    <w:rsid w:val="00013FC2"/>
    <w:rsid w:val="00015C88"/>
    <w:rsid w:val="00017360"/>
    <w:rsid w:val="00021D65"/>
    <w:rsid w:val="000228C6"/>
    <w:rsid w:val="00022907"/>
    <w:rsid w:val="00023D00"/>
    <w:rsid w:val="0002415B"/>
    <w:rsid w:val="0002485B"/>
    <w:rsid w:val="0002577C"/>
    <w:rsid w:val="0002597E"/>
    <w:rsid w:val="0002618B"/>
    <w:rsid w:val="000266EB"/>
    <w:rsid w:val="00031A06"/>
    <w:rsid w:val="00031AD6"/>
    <w:rsid w:val="0004394C"/>
    <w:rsid w:val="000473DD"/>
    <w:rsid w:val="00050A39"/>
    <w:rsid w:val="00052230"/>
    <w:rsid w:val="00052CF1"/>
    <w:rsid w:val="00053353"/>
    <w:rsid w:val="0005361E"/>
    <w:rsid w:val="00053691"/>
    <w:rsid w:val="000554CC"/>
    <w:rsid w:val="00055A17"/>
    <w:rsid w:val="0005611C"/>
    <w:rsid w:val="00062591"/>
    <w:rsid w:val="00062B9C"/>
    <w:rsid w:val="00062DE3"/>
    <w:rsid w:val="00063D09"/>
    <w:rsid w:val="00066C0A"/>
    <w:rsid w:val="000679EA"/>
    <w:rsid w:val="0007702D"/>
    <w:rsid w:val="00077E95"/>
    <w:rsid w:val="000817A6"/>
    <w:rsid w:val="00085219"/>
    <w:rsid w:val="00086840"/>
    <w:rsid w:val="000908BC"/>
    <w:rsid w:val="000A4A99"/>
    <w:rsid w:val="000A7516"/>
    <w:rsid w:val="000B2D2F"/>
    <w:rsid w:val="000B3736"/>
    <w:rsid w:val="000B3EAB"/>
    <w:rsid w:val="000B42AF"/>
    <w:rsid w:val="000B4347"/>
    <w:rsid w:val="000B453A"/>
    <w:rsid w:val="000B559F"/>
    <w:rsid w:val="000B643E"/>
    <w:rsid w:val="000B7EEC"/>
    <w:rsid w:val="000C009D"/>
    <w:rsid w:val="000C5FEC"/>
    <w:rsid w:val="000C60C8"/>
    <w:rsid w:val="000C61E2"/>
    <w:rsid w:val="000C6C49"/>
    <w:rsid w:val="000D0E9B"/>
    <w:rsid w:val="000D2D38"/>
    <w:rsid w:val="000D3244"/>
    <w:rsid w:val="000D6240"/>
    <w:rsid w:val="000D659D"/>
    <w:rsid w:val="000E10E7"/>
    <w:rsid w:val="000E26D5"/>
    <w:rsid w:val="000E3444"/>
    <w:rsid w:val="000E3550"/>
    <w:rsid w:val="000E3AF5"/>
    <w:rsid w:val="000E53D6"/>
    <w:rsid w:val="000E5406"/>
    <w:rsid w:val="000E654A"/>
    <w:rsid w:val="000E7B69"/>
    <w:rsid w:val="000F07AE"/>
    <w:rsid w:val="000F1851"/>
    <w:rsid w:val="000F29F2"/>
    <w:rsid w:val="000F6337"/>
    <w:rsid w:val="000F7CCD"/>
    <w:rsid w:val="001008C9"/>
    <w:rsid w:val="0010123B"/>
    <w:rsid w:val="00102448"/>
    <w:rsid w:val="001048E7"/>
    <w:rsid w:val="00104AA3"/>
    <w:rsid w:val="00105D59"/>
    <w:rsid w:val="00107D66"/>
    <w:rsid w:val="0011027D"/>
    <w:rsid w:val="00110B53"/>
    <w:rsid w:val="00112321"/>
    <w:rsid w:val="001127E9"/>
    <w:rsid w:val="0011319E"/>
    <w:rsid w:val="001145F8"/>
    <w:rsid w:val="00116A16"/>
    <w:rsid w:val="00117914"/>
    <w:rsid w:val="001202F6"/>
    <w:rsid w:val="00120EEF"/>
    <w:rsid w:val="00122A62"/>
    <w:rsid w:val="001266A2"/>
    <w:rsid w:val="00127CE0"/>
    <w:rsid w:val="00130184"/>
    <w:rsid w:val="0013028C"/>
    <w:rsid w:val="00133669"/>
    <w:rsid w:val="00135898"/>
    <w:rsid w:val="00135FAB"/>
    <w:rsid w:val="00136C8F"/>
    <w:rsid w:val="00141446"/>
    <w:rsid w:val="00141A17"/>
    <w:rsid w:val="00143B85"/>
    <w:rsid w:val="001460A0"/>
    <w:rsid w:val="00153253"/>
    <w:rsid w:val="00155FE9"/>
    <w:rsid w:val="0015610F"/>
    <w:rsid w:val="00160B31"/>
    <w:rsid w:val="00161093"/>
    <w:rsid w:val="001621D7"/>
    <w:rsid w:val="00162410"/>
    <w:rsid w:val="00162C0A"/>
    <w:rsid w:val="00163E84"/>
    <w:rsid w:val="00164C20"/>
    <w:rsid w:val="00166314"/>
    <w:rsid w:val="001674E7"/>
    <w:rsid w:val="00172E96"/>
    <w:rsid w:val="001732B4"/>
    <w:rsid w:val="00173E14"/>
    <w:rsid w:val="00174C21"/>
    <w:rsid w:val="001752AA"/>
    <w:rsid w:val="00175419"/>
    <w:rsid w:val="00176D0A"/>
    <w:rsid w:val="001778F6"/>
    <w:rsid w:val="00180976"/>
    <w:rsid w:val="00181F56"/>
    <w:rsid w:val="001821CE"/>
    <w:rsid w:val="00182D0A"/>
    <w:rsid w:val="001834B3"/>
    <w:rsid w:val="00190A40"/>
    <w:rsid w:val="00190FA7"/>
    <w:rsid w:val="001950F9"/>
    <w:rsid w:val="001972F2"/>
    <w:rsid w:val="0019773A"/>
    <w:rsid w:val="00197EC2"/>
    <w:rsid w:val="00197FC4"/>
    <w:rsid w:val="001A2632"/>
    <w:rsid w:val="001A30A9"/>
    <w:rsid w:val="001A3B08"/>
    <w:rsid w:val="001A3EF8"/>
    <w:rsid w:val="001A5C0B"/>
    <w:rsid w:val="001A5FD7"/>
    <w:rsid w:val="001A6F12"/>
    <w:rsid w:val="001A7B35"/>
    <w:rsid w:val="001B07FD"/>
    <w:rsid w:val="001B1262"/>
    <w:rsid w:val="001B12FD"/>
    <w:rsid w:val="001B3697"/>
    <w:rsid w:val="001B3F02"/>
    <w:rsid w:val="001B493B"/>
    <w:rsid w:val="001C0BFB"/>
    <w:rsid w:val="001C3B2D"/>
    <w:rsid w:val="001C3FF0"/>
    <w:rsid w:val="001C42A2"/>
    <w:rsid w:val="001C6350"/>
    <w:rsid w:val="001C66AC"/>
    <w:rsid w:val="001C692A"/>
    <w:rsid w:val="001C7091"/>
    <w:rsid w:val="001C71BA"/>
    <w:rsid w:val="001C7BDE"/>
    <w:rsid w:val="001D02BC"/>
    <w:rsid w:val="001D0968"/>
    <w:rsid w:val="001D25D1"/>
    <w:rsid w:val="001D27C5"/>
    <w:rsid w:val="001D2B2A"/>
    <w:rsid w:val="001D3E96"/>
    <w:rsid w:val="001D459F"/>
    <w:rsid w:val="001D5302"/>
    <w:rsid w:val="001D60AD"/>
    <w:rsid w:val="001E204C"/>
    <w:rsid w:val="001E35D7"/>
    <w:rsid w:val="001E3F84"/>
    <w:rsid w:val="001E51F5"/>
    <w:rsid w:val="001F0E7D"/>
    <w:rsid w:val="001F12A7"/>
    <w:rsid w:val="001F1AA6"/>
    <w:rsid w:val="001F4C1F"/>
    <w:rsid w:val="001F700C"/>
    <w:rsid w:val="001F707F"/>
    <w:rsid w:val="00205DC4"/>
    <w:rsid w:val="00206951"/>
    <w:rsid w:val="00211886"/>
    <w:rsid w:val="00211F21"/>
    <w:rsid w:val="002120D0"/>
    <w:rsid w:val="002147EC"/>
    <w:rsid w:val="0021548E"/>
    <w:rsid w:val="00221BED"/>
    <w:rsid w:val="00223005"/>
    <w:rsid w:val="002273C4"/>
    <w:rsid w:val="002273F5"/>
    <w:rsid w:val="00227543"/>
    <w:rsid w:val="00227CC4"/>
    <w:rsid w:val="0023217E"/>
    <w:rsid w:val="002331CB"/>
    <w:rsid w:val="002351D7"/>
    <w:rsid w:val="002406F5"/>
    <w:rsid w:val="00240AD5"/>
    <w:rsid w:val="00241521"/>
    <w:rsid w:val="00243269"/>
    <w:rsid w:val="00244629"/>
    <w:rsid w:val="00246607"/>
    <w:rsid w:val="00246AA6"/>
    <w:rsid w:val="00251A6E"/>
    <w:rsid w:val="00251F0C"/>
    <w:rsid w:val="00257B08"/>
    <w:rsid w:val="00260CE1"/>
    <w:rsid w:val="00260F69"/>
    <w:rsid w:val="00260FAC"/>
    <w:rsid w:val="00262767"/>
    <w:rsid w:val="00262774"/>
    <w:rsid w:val="00270328"/>
    <w:rsid w:val="00272213"/>
    <w:rsid w:val="00273263"/>
    <w:rsid w:val="00273E10"/>
    <w:rsid w:val="002748FE"/>
    <w:rsid w:val="00281445"/>
    <w:rsid w:val="00281B5D"/>
    <w:rsid w:val="00282E92"/>
    <w:rsid w:val="0028334E"/>
    <w:rsid w:val="00292D55"/>
    <w:rsid w:val="0029334F"/>
    <w:rsid w:val="00294ACB"/>
    <w:rsid w:val="00296F35"/>
    <w:rsid w:val="0029734A"/>
    <w:rsid w:val="00297D9F"/>
    <w:rsid w:val="002A3566"/>
    <w:rsid w:val="002A5A3D"/>
    <w:rsid w:val="002B08F7"/>
    <w:rsid w:val="002B385A"/>
    <w:rsid w:val="002B3938"/>
    <w:rsid w:val="002B4A07"/>
    <w:rsid w:val="002B653F"/>
    <w:rsid w:val="002B7D25"/>
    <w:rsid w:val="002C32A7"/>
    <w:rsid w:val="002C3ABC"/>
    <w:rsid w:val="002C4107"/>
    <w:rsid w:val="002C674F"/>
    <w:rsid w:val="002D1820"/>
    <w:rsid w:val="002D2248"/>
    <w:rsid w:val="002D3AA6"/>
    <w:rsid w:val="002E076A"/>
    <w:rsid w:val="002E15C7"/>
    <w:rsid w:val="002E1AEE"/>
    <w:rsid w:val="002E1F0E"/>
    <w:rsid w:val="002E1FB0"/>
    <w:rsid w:val="002E229C"/>
    <w:rsid w:val="002E46A6"/>
    <w:rsid w:val="002E51F1"/>
    <w:rsid w:val="002E559C"/>
    <w:rsid w:val="002E7449"/>
    <w:rsid w:val="002F0F69"/>
    <w:rsid w:val="002F1350"/>
    <w:rsid w:val="002F4238"/>
    <w:rsid w:val="002F504C"/>
    <w:rsid w:val="002F6136"/>
    <w:rsid w:val="002F7117"/>
    <w:rsid w:val="002F7E60"/>
    <w:rsid w:val="002F7ECB"/>
    <w:rsid w:val="00303A27"/>
    <w:rsid w:val="0030606F"/>
    <w:rsid w:val="00306172"/>
    <w:rsid w:val="00307C69"/>
    <w:rsid w:val="00311F5C"/>
    <w:rsid w:val="00312F44"/>
    <w:rsid w:val="00313BA7"/>
    <w:rsid w:val="00313C8F"/>
    <w:rsid w:val="00314D06"/>
    <w:rsid w:val="0031638F"/>
    <w:rsid w:val="00322BF9"/>
    <w:rsid w:val="00322DE0"/>
    <w:rsid w:val="0032363D"/>
    <w:rsid w:val="0032484D"/>
    <w:rsid w:val="003254A2"/>
    <w:rsid w:val="00326281"/>
    <w:rsid w:val="00327394"/>
    <w:rsid w:val="00330C92"/>
    <w:rsid w:val="0033190E"/>
    <w:rsid w:val="003334EF"/>
    <w:rsid w:val="0033402D"/>
    <w:rsid w:val="003404D3"/>
    <w:rsid w:val="00341795"/>
    <w:rsid w:val="00345D4A"/>
    <w:rsid w:val="0035093A"/>
    <w:rsid w:val="0035334A"/>
    <w:rsid w:val="00353C0D"/>
    <w:rsid w:val="00353DE6"/>
    <w:rsid w:val="0035596D"/>
    <w:rsid w:val="00356ECE"/>
    <w:rsid w:val="0036027A"/>
    <w:rsid w:val="00361325"/>
    <w:rsid w:val="003672FF"/>
    <w:rsid w:val="0037430D"/>
    <w:rsid w:val="00374888"/>
    <w:rsid w:val="00374E40"/>
    <w:rsid w:val="00375905"/>
    <w:rsid w:val="00376217"/>
    <w:rsid w:val="00376858"/>
    <w:rsid w:val="00377535"/>
    <w:rsid w:val="003779B7"/>
    <w:rsid w:val="003779DA"/>
    <w:rsid w:val="003834F6"/>
    <w:rsid w:val="00384AAA"/>
    <w:rsid w:val="00387233"/>
    <w:rsid w:val="00391801"/>
    <w:rsid w:val="003A14E5"/>
    <w:rsid w:val="003A1B1E"/>
    <w:rsid w:val="003A5B17"/>
    <w:rsid w:val="003A5B22"/>
    <w:rsid w:val="003A684E"/>
    <w:rsid w:val="003B01D3"/>
    <w:rsid w:val="003B224D"/>
    <w:rsid w:val="003B364D"/>
    <w:rsid w:val="003B62CA"/>
    <w:rsid w:val="003B706B"/>
    <w:rsid w:val="003C0B83"/>
    <w:rsid w:val="003C4C59"/>
    <w:rsid w:val="003C65DB"/>
    <w:rsid w:val="003C7AF4"/>
    <w:rsid w:val="003D04B6"/>
    <w:rsid w:val="003D0590"/>
    <w:rsid w:val="003D0629"/>
    <w:rsid w:val="003D11FF"/>
    <w:rsid w:val="003D1959"/>
    <w:rsid w:val="003D379F"/>
    <w:rsid w:val="003D487D"/>
    <w:rsid w:val="003D5356"/>
    <w:rsid w:val="003D6F3F"/>
    <w:rsid w:val="003D772F"/>
    <w:rsid w:val="003E0827"/>
    <w:rsid w:val="003E28E2"/>
    <w:rsid w:val="003E3239"/>
    <w:rsid w:val="003E3317"/>
    <w:rsid w:val="003E3E3C"/>
    <w:rsid w:val="003E587D"/>
    <w:rsid w:val="003E5A2F"/>
    <w:rsid w:val="003E5F29"/>
    <w:rsid w:val="003F384E"/>
    <w:rsid w:val="003F4868"/>
    <w:rsid w:val="003F500C"/>
    <w:rsid w:val="003F5F36"/>
    <w:rsid w:val="003F6493"/>
    <w:rsid w:val="003F78B9"/>
    <w:rsid w:val="0040330D"/>
    <w:rsid w:val="0040523D"/>
    <w:rsid w:val="00410520"/>
    <w:rsid w:val="004120A4"/>
    <w:rsid w:val="004122F9"/>
    <w:rsid w:val="004139C9"/>
    <w:rsid w:val="004171F3"/>
    <w:rsid w:val="00417765"/>
    <w:rsid w:val="004234CB"/>
    <w:rsid w:val="00423DF1"/>
    <w:rsid w:val="004246C8"/>
    <w:rsid w:val="004253D8"/>
    <w:rsid w:val="00426264"/>
    <w:rsid w:val="004275C2"/>
    <w:rsid w:val="00427D07"/>
    <w:rsid w:val="004303BE"/>
    <w:rsid w:val="00430C58"/>
    <w:rsid w:val="00431685"/>
    <w:rsid w:val="004325BB"/>
    <w:rsid w:val="004331C4"/>
    <w:rsid w:val="0043374D"/>
    <w:rsid w:val="004346D5"/>
    <w:rsid w:val="00434C7C"/>
    <w:rsid w:val="004353A0"/>
    <w:rsid w:val="0043564D"/>
    <w:rsid w:val="00436F0D"/>
    <w:rsid w:val="00440D0D"/>
    <w:rsid w:val="00441C25"/>
    <w:rsid w:val="00443EF6"/>
    <w:rsid w:val="00446452"/>
    <w:rsid w:val="00446C9B"/>
    <w:rsid w:val="00451BFE"/>
    <w:rsid w:val="00452A94"/>
    <w:rsid w:val="00454EA1"/>
    <w:rsid w:val="00455479"/>
    <w:rsid w:val="00455A5E"/>
    <w:rsid w:val="00455C9A"/>
    <w:rsid w:val="00457C47"/>
    <w:rsid w:val="0046117A"/>
    <w:rsid w:val="0046446E"/>
    <w:rsid w:val="00466552"/>
    <w:rsid w:val="00472DC8"/>
    <w:rsid w:val="00473066"/>
    <w:rsid w:val="004802EC"/>
    <w:rsid w:val="0048051D"/>
    <w:rsid w:val="00484073"/>
    <w:rsid w:val="0048493F"/>
    <w:rsid w:val="00484B65"/>
    <w:rsid w:val="00484BF3"/>
    <w:rsid w:val="004915F3"/>
    <w:rsid w:val="00491FE8"/>
    <w:rsid w:val="00494C66"/>
    <w:rsid w:val="00496150"/>
    <w:rsid w:val="00497663"/>
    <w:rsid w:val="004A0ADF"/>
    <w:rsid w:val="004A29F1"/>
    <w:rsid w:val="004A3796"/>
    <w:rsid w:val="004A6641"/>
    <w:rsid w:val="004A7773"/>
    <w:rsid w:val="004B0F0D"/>
    <w:rsid w:val="004B154F"/>
    <w:rsid w:val="004B1E94"/>
    <w:rsid w:val="004B2392"/>
    <w:rsid w:val="004B2556"/>
    <w:rsid w:val="004B2DB4"/>
    <w:rsid w:val="004B33FF"/>
    <w:rsid w:val="004B492D"/>
    <w:rsid w:val="004B4DD5"/>
    <w:rsid w:val="004B5A3C"/>
    <w:rsid w:val="004B6646"/>
    <w:rsid w:val="004B7AF2"/>
    <w:rsid w:val="004C1A18"/>
    <w:rsid w:val="004C26CA"/>
    <w:rsid w:val="004C4128"/>
    <w:rsid w:val="004C58C3"/>
    <w:rsid w:val="004C7B2F"/>
    <w:rsid w:val="004C7D6E"/>
    <w:rsid w:val="004D1C96"/>
    <w:rsid w:val="004D1FB9"/>
    <w:rsid w:val="004D2F69"/>
    <w:rsid w:val="004D5E78"/>
    <w:rsid w:val="004E2BD0"/>
    <w:rsid w:val="004E322D"/>
    <w:rsid w:val="004E429F"/>
    <w:rsid w:val="004E4FBA"/>
    <w:rsid w:val="004E5B14"/>
    <w:rsid w:val="004E6BE0"/>
    <w:rsid w:val="004F1676"/>
    <w:rsid w:val="004F3E35"/>
    <w:rsid w:val="004F5FF2"/>
    <w:rsid w:val="004F733A"/>
    <w:rsid w:val="0050144B"/>
    <w:rsid w:val="005035B9"/>
    <w:rsid w:val="00504F98"/>
    <w:rsid w:val="005066CA"/>
    <w:rsid w:val="00512142"/>
    <w:rsid w:val="0051220A"/>
    <w:rsid w:val="005124FE"/>
    <w:rsid w:val="005131F1"/>
    <w:rsid w:val="0051484F"/>
    <w:rsid w:val="005151AB"/>
    <w:rsid w:val="00516B3E"/>
    <w:rsid w:val="0051708C"/>
    <w:rsid w:val="00520D93"/>
    <w:rsid w:val="00521205"/>
    <w:rsid w:val="005212F4"/>
    <w:rsid w:val="00521AE6"/>
    <w:rsid w:val="005238C6"/>
    <w:rsid w:val="00523FDE"/>
    <w:rsid w:val="00525DB5"/>
    <w:rsid w:val="00525EFA"/>
    <w:rsid w:val="00526144"/>
    <w:rsid w:val="0052617C"/>
    <w:rsid w:val="005262C9"/>
    <w:rsid w:val="005273D9"/>
    <w:rsid w:val="00531D70"/>
    <w:rsid w:val="00534EA0"/>
    <w:rsid w:val="00534FC2"/>
    <w:rsid w:val="005350B2"/>
    <w:rsid w:val="00540798"/>
    <w:rsid w:val="00540EDB"/>
    <w:rsid w:val="00541231"/>
    <w:rsid w:val="0054194E"/>
    <w:rsid w:val="00542755"/>
    <w:rsid w:val="00545AA9"/>
    <w:rsid w:val="00545EB1"/>
    <w:rsid w:val="00550EED"/>
    <w:rsid w:val="0055394C"/>
    <w:rsid w:val="0055671D"/>
    <w:rsid w:val="00556CCE"/>
    <w:rsid w:val="00560102"/>
    <w:rsid w:val="00563884"/>
    <w:rsid w:val="00564ED7"/>
    <w:rsid w:val="00566BF6"/>
    <w:rsid w:val="00570E2E"/>
    <w:rsid w:val="005715DD"/>
    <w:rsid w:val="00571B46"/>
    <w:rsid w:val="00571F09"/>
    <w:rsid w:val="00572547"/>
    <w:rsid w:val="0057385A"/>
    <w:rsid w:val="00575613"/>
    <w:rsid w:val="00575837"/>
    <w:rsid w:val="00576A1B"/>
    <w:rsid w:val="00577199"/>
    <w:rsid w:val="00577CBA"/>
    <w:rsid w:val="00582BAD"/>
    <w:rsid w:val="00583434"/>
    <w:rsid w:val="0058349F"/>
    <w:rsid w:val="005849B5"/>
    <w:rsid w:val="00586275"/>
    <w:rsid w:val="0059243A"/>
    <w:rsid w:val="00593B67"/>
    <w:rsid w:val="00594ABD"/>
    <w:rsid w:val="005A1C52"/>
    <w:rsid w:val="005A1EDA"/>
    <w:rsid w:val="005A2944"/>
    <w:rsid w:val="005A5670"/>
    <w:rsid w:val="005A78BF"/>
    <w:rsid w:val="005A7E6F"/>
    <w:rsid w:val="005B0829"/>
    <w:rsid w:val="005B13B6"/>
    <w:rsid w:val="005B154D"/>
    <w:rsid w:val="005B40ED"/>
    <w:rsid w:val="005B4203"/>
    <w:rsid w:val="005B4A9D"/>
    <w:rsid w:val="005B4CC1"/>
    <w:rsid w:val="005B548F"/>
    <w:rsid w:val="005B6B4C"/>
    <w:rsid w:val="005B7DB9"/>
    <w:rsid w:val="005C01D3"/>
    <w:rsid w:val="005C3F4E"/>
    <w:rsid w:val="005C4BBD"/>
    <w:rsid w:val="005C6060"/>
    <w:rsid w:val="005C647D"/>
    <w:rsid w:val="005C710F"/>
    <w:rsid w:val="005C7516"/>
    <w:rsid w:val="005D053C"/>
    <w:rsid w:val="005D1522"/>
    <w:rsid w:val="005D7210"/>
    <w:rsid w:val="005D7ED9"/>
    <w:rsid w:val="005E0B69"/>
    <w:rsid w:val="005E5B2C"/>
    <w:rsid w:val="005F2060"/>
    <w:rsid w:val="005F3641"/>
    <w:rsid w:val="005F41FD"/>
    <w:rsid w:val="005F540A"/>
    <w:rsid w:val="005F5F5F"/>
    <w:rsid w:val="00603516"/>
    <w:rsid w:val="00604656"/>
    <w:rsid w:val="006059DF"/>
    <w:rsid w:val="00607CA3"/>
    <w:rsid w:val="00612ED0"/>
    <w:rsid w:val="0061658E"/>
    <w:rsid w:val="0061671F"/>
    <w:rsid w:val="00616747"/>
    <w:rsid w:val="00616DFA"/>
    <w:rsid w:val="00616F94"/>
    <w:rsid w:val="0062036A"/>
    <w:rsid w:val="00621344"/>
    <w:rsid w:val="00621E73"/>
    <w:rsid w:val="00624770"/>
    <w:rsid w:val="00625D60"/>
    <w:rsid w:val="00627894"/>
    <w:rsid w:val="0063031C"/>
    <w:rsid w:val="00631EA9"/>
    <w:rsid w:val="006342EC"/>
    <w:rsid w:val="006354AE"/>
    <w:rsid w:val="006409C7"/>
    <w:rsid w:val="00641F2D"/>
    <w:rsid w:val="0064250B"/>
    <w:rsid w:val="0064307A"/>
    <w:rsid w:val="006455AB"/>
    <w:rsid w:val="00646C7A"/>
    <w:rsid w:val="00654940"/>
    <w:rsid w:val="00656014"/>
    <w:rsid w:val="00657E14"/>
    <w:rsid w:val="0066006F"/>
    <w:rsid w:val="00660419"/>
    <w:rsid w:val="006617CE"/>
    <w:rsid w:val="006630C4"/>
    <w:rsid w:val="00664BDF"/>
    <w:rsid w:val="006657D1"/>
    <w:rsid w:val="00667D72"/>
    <w:rsid w:val="00671A29"/>
    <w:rsid w:val="00671EED"/>
    <w:rsid w:val="0067465E"/>
    <w:rsid w:val="00674AD6"/>
    <w:rsid w:val="00674FD8"/>
    <w:rsid w:val="006772D4"/>
    <w:rsid w:val="00681AE7"/>
    <w:rsid w:val="006826AA"/>
    <w:rsid w:val="00682861"/>
    <w:rsid w:val="0068310A"/>
    <w:rsid w:val="0068356A"/>
    <w:rsid w:val="00684248"/>
    <w:rsid w:val="00685E19"/>
    <w:rsid w:val="006906AE"/>
    <w:rsid w:val="0069158D"/>
    <w:rsid w:val="00694B93"/>
    <w:rsid w:val="00697903"/>
    <w:rsid w:val="00697DDF"/>
    <w:rsid w:val="006A0468"/>
    <w:rsid w:val="006A0B2A"/>
    <w:rsid w:val="006A0D51"/>
    <w:rsid w:val="006A0DB0"/>
    <w:rsid w:val="006A160F"/>
    <w:rsid w:val="006A1C4B"/>
    <w:rsid w:val="006A551D"/>
    <w:rsid w:val="006A6629"/>
    <w:rsid w:val="006B6171"/>
    <w:rsid w:val="006B6193"/>
    <w:rsid w:val="006C0136"/>
    <w:rsid w:val="006C0755"/>
    <w:rsid w:val="006C3AF7"/>
    <w:rsid w:val="006C3FFA"/>
    <w:rsid w:val="006C4606"/>
    <w:rsid w:val="006C77A3"/>
    <w:rsid w:val="006C7E53"/>
    <w:rsid w:val="006D1EFE"/>
    <w:rsid w:val="006D3C5E"/>
    <w:rsid w:val="006E060E"/>
    <w:rsid w:val="006E0A51"/>
    <w:rsid w:val="006F2757"/>
    <w:rsid w:val="006F2BA0"/>
    <w:rsid w:val="006F476C"/>
    <w:rsid w:val="006F5D63"/>
    <w:rsid w:val="006F6FA1"/>
    <w:rsid w:val="007037B9"/>
    <w:rsid w:val="00705B79"/>
    <w:rsid w:val="00705DEB"/>
    <w:rsid w:val="00707C7E"/>
    <w:rsid w:val="00707E00"/>
    <w:rsid w:val="00712A98"/>
    <w:rsid w:val="007137B3"/>
    <w:rsid w:val="00713AAF"/>
    <w:rsid w:val="00722091"/>
    <w:rsid w:val="00724621"/>
    <w:rsid w:val="007248CB"/>
    <w:rsid w:val="007262F9"/>
    <w:rsid w:val="00735A6A"/>
    <w:rsid w:val="00740A17"/>
    <w:rsid w:val="00743C84"/>
    <w:rsid w:val="00744A8B"/>
    <w:rsid w:val="0074529C"/>
    <w:rsid w:val="007462D6"/>
    <w:rsid w:val="00746758"/>
    <w:rsid w:val="0074738B"/>
    <w:rsid w:val="007509D8"/>
    <w:rsid w:val="007518F1"/>
    <w:rsid w:val="0076062E"/>
    <w:rsid w:val="007620A0"/>
    <w:rsid w:val="007640BF"/>
    <w:rsid w:val="0076633F"/>
    <w:rsid w:val="00766C09"/>
    <w:rsid w:val="0076734B"/>
    <w:rsid w:val="0077477F"/>
    <w:rsid w:val="00775A18"/>
    <w:rsid w:val="007811CD"/>
    <w:rsid w:val="00782657"/>
    <w:rsid w:val="00783A75"/>
    <w:rsid w:val="00786076"/>
    <w:rsid w:val="00790E46"/>
    <w:rsid w:val="007953F3"/>
    <w:rsid w:val="00796689"/>
    <w:rsid w:val="007A1C2C"/>
    <w:rsid w:val="007A2C41"/>
    <w:rsid w:val="007A3AA0"/>
    <w:rsid w:val="007A66CA"/>
    <w:rsid w:val="007A6BD4"/>
    <w:rsid w:val="007A6DF0"/>
    <w:rsid w:val="007A7803"/>
    <w:rsid w:val="007A7D40"/>
    <w:rsid w:val="007B061E"/>
    <w:rsid w:val="007B3975"/>
    <w:rsid w:val="007B48D5"/>
    <w:rsid w:val="007B6CA8"/>
    <w:rsid w:val="007C1A01"/>
    <w:rsid w:val="007C1BB0"/>
    <w:rsid w:val="007C28D2"/>
    <w:rsid w:val="007C3F5E"/>
    <w:rsid w:val="007C45A4"/>
    <w:rsid w:val="007D0027"/>
    <w:rsid w:val="007D04A0"/>
    <w:rsid w:val="007D0519"/>
    <w:rsid w:val="007D059C"/>
    <w:rsid w:val="007D087C"/>
    <w:rsid w:val="007D1E99"/>
    <w:rsid w:val="007D37A4"/>
    <w:rsid w:val="007D6F71"/>
    <w:rsid w:val="007E0EFB"/>
    <w:rsid w:val="007E33E4"/>
    <w:rsid w:val="007E466D"/>
    <w:rsid w:val="007E4CC9"/>
    <w:rsid w:val="007F14A0"/>
    <w:rsid w:val="007F1883"/>
    <w:rsid w:val="007F245D"/>
    <w:rsid w:val="007F4E2A"/>
    <w:rsid w:val="007F511E"/>
    <w:rsid w:val="007F5AA1"/>
    <w:rsid w:val="007F5F65"/>
    <w:rsid w:val="00800D23"/>
    <w:rsid w:val="00801648"/>
    <w:rsid w:val="008021E9"/>
    <w:rsid w:val="00802FC9"/>
    <w:rsid w:val="008030C2"/>
    <w:rsid w:val="00815C5E"/>
    <w:rsid w:val="00816273"/>
    <w:rsid w:val="0081673F"/>
    <w:rsid w:val="0081765F"/>
    <w:rsid w:val="0082717B"/>
    <w:rsid w:val="00827B04"/>
    <w:rsid w:val="0083032E"/>
    <w:rsid w:val="0083082C"/>
    <w:rsid w:val="00832E4A"/>
    <w:rsid w:val="00834211"/>
    <w:rsid w:val="0083470E"/>
    <w:rsid w:val="00834D4B"/>
    <w:rsid w:val="00835884"/>
    <w:rsid w:val="008373DD"/>
    <w:rsid w:val="00840183"/>
    <w:rsid w:val="00841681"/>
    <w:rsid w:val="00841907"/>
    <w:rsid w:val="00842379"/>
    <w:rsid w:val="0084356A"/>
    <w:rsid w:val="00843AEE"/>
    <w:rsid w:val="008455E6"/>
    <w:rsid w:val="0084618B"/>
    <w:rsid w:val="00854875"/>
    <w:rsid w:val="00855A7C"/>
    <w:rsid w:val="00857FC0"/>
    <w:rsid w:val="0086036A"/>
    <w:rsid w:val="00860A4C"/>
    <w:rsid w:val="00861784"/>
    <w:rsid w:val="00862908"/>
    <w:rsid w:val="00863D8D"/>
    <w:rsid w:val="00864708"/>
    <w:rsid w:val="008653A3"/>
    <w:rsid w:val="008657A2"/>
    <w:rsid w:val="00866645"/>
    <w:rsid w:val="00866890"/>
    <w:rsid w:val="00866B49"/>
    <w:rsid w:val="00873E1B"/>
    <w:rsid w:val="00874453"/>
    <w:rsid w:val="0087586E"/>
    <w:rsid w:val="008762D6"/>
    <w:rsid w:val="008764FE"/>
    <w:rsid w:val="00876EC9"/>
    <w:rsid w:val="00880A06"/>
    <w:rsid w:val="00882210"/>
    <w:rsid w:val="00882FA8"/>
    <w:rsid w:val="00883B2A"/>
    <w:rsid w:val="00885353"/>
    <w:rsid w:val="00885364"/>
    <w:rsid w:val="00886027"/>
    <w:rsid w:val="008920F2"/>
    <w:rsid w:val="00895DF6"/>
    <w:rsid w:val="00897175"/>
    <w:rsid w:val="008975A8"/>
    <w:rsid w:val="008A31C0"/>
    <w:rsid w:val="008A3216"/>
    <w:rsid w:val="008A6185"/>
    <w:rsid w:val="008B0FB7"/>
    <w:rsid w:val="008B4094"/>
    <w:rsid w:val="008B4227"/>
    <w:rsid w:val="008B7F3F"/>
    <w:rsid w:val="008C1FE9"/>
    <w:rsid w:val="008C24D5"/>
    <w:rsid w:val="008C3C72"/>
    <w:rsid w:val="008C7DCE"/>
    <w:rsid w:val="008D162A"/>
    <w:rsid w:val="008D18FC"/>
    <w:rsid w:val="008D398B"/>
    <w:rsid w:val="008D4641"/>
    <w:rsid w:val="008D584F"/>
    <w:rsid w:val="008D653E"/>
    <w:rsid w:val="008D7E49"/>
    <w:rsid w:val="008E08EE"/>
    <w:rsid w:val="008E195F"/>
    <w:rsid w:val="008E572E"/>
    <w:rsid w:val="008E6925"/>
    <w:rsid w:val="008E714F"/>
    <w:rsid w:val="008F260E"/>
    <w:rsid w:val="008F364A"/>
    <w:rsid w:val="008F3D6A"/>
    <w:rsid w:val="008F3F53"/>
    <w:rsid w:val="008F5068"/>
    <w:rsid w:val="008F72C5"/>
    <w:rsid w:val="00900085"/>
    <w:rsid w:val="009010F0"/>
    <w:rsid w:val="00904204"/>
    <w:rsid w:val="009052A4"/>
    <w:rsid w:val="00910D03"/>
    <w:rsid w:val="00913E03"/>
    <w:rsid w:val="00914AAE"/>
    <w:rsid w:val="00916CD7"/>
    <w:rsid w:val="0092090F"/>
    <w:rsid w:val="00921CC7"/>
    <w:rsid w:val="009229E9"/>
    <w:rsid w:val="00923624"/>
    <w:rsid w:val="009238C6"/>
    <w:rsid w:val="009238E1"/>
    <w:rsid w:val="00923E52"/>
    <w:rsid w:val="00924DF8"/>
    <w:rsid w:val="00926953"/>
    <w:rsid w:val="009303CC"/>
    <w:rsid w:val="00931BB2"/>
    <w:rsid w:val="00932703"/>
    <w:rsid w:val="00932823"/>
    <w:rsid w:val="00932905"/>
    <w:rsid w:val="00932AA6"/>
    <w:rsid w:val="0093522A"/>
    <w:rsid w:val="00936469"/>
    <w:rsid w:val="009400B7"/>
    <w:rsid w:val="00940C75"/>
    <w:rsid w:val="00941354"/>
    <w:rsid w:val="00941814"/>
    <w:rsid w:val="00941BCF"/>
    <w:rsid w:val="009428ED"/>
    <w:rsid w:val="00943858"/>
    <w:rsid w:val="009447C3"/>
    <w:rsid w:val="00947D88"/>
    <w:rsid w:val="00950A4F"/>
    <w:rsid w:val="00953A4A"/>
    <w:rsid w:val="009541EC"/>
    <w:rsid w:val="00954D43"/>
    <w:rsid w:val="00954DC2"/>
    <w:rsid w:val="00954F32"/>
    <w:rsid w:val="00957B92"/>
    <w:rsid w:val="00960C3A"/>
    <w:rsid w:val="00965267"/>
    <w:rsid w:val="0096638E"/>
    <w:rsid w:val="00970966"/>
    <w:rsid w:val="00974442"/>
    <w:rsid w:val="00975616"/>
    <w:rsid w:val="00976FF5"/>
    <w:rsid w:val="0097752A"/>
    <w:rsid w:val="009822A2"/>
    <w:rsid w:val="00983C64"/>
    <w:rsid w:val="009848E8"/>
    <w:rsid w:val="00985013"/>
    <w:rsid w:val="00985D84"/>
    <w:rsid w:val="00986B86"/>
    <w:rsid w:val="009902E4"/>
    <w:rsid w:val="00991D78"/>
    <w:rsid w:val="00991E90"/>
    <w:rsid w:val="0099220A"/>
    <w:rsid w:val="0099554D"/>
    <w:rsid w:val="00996E34"/>
    <w:rsid w:val="00997922"/>
    <w:rsid w:val="009979E1"/>
    <w:rsid w:val="00997FCA"/>
    <w:rsid w:val="009A1631"/>
    <w:rsid w:val="009A3D8B"/>
    <w:rsid w:val="009A3E30"/>
    <w:rsid w:val="009A69DD"/>
    <w:rsid w:val="009B0F09"/>
    <w:rsid w:val="009B590A"/>
    <w:rsid w:val="009B7796"/>
    <w:rsid w:val="009C4E92"/>
    <w:rsid w:val="009C61A5"/>
    <w:rsid w:val="009C6B07"/>
    <w:rsid w:val="009C7F2D"/>
    <w:rsid w:val="009D0FDB"/>
    <w:rsid w:val="009D178B"/>
    <w:rsid w:val="009D49A8"/>
    <w:rsid w:val="009D5F92"/>
    <w:rsid w:val="009D7225"/>
    <w:rsid w:val="009E0345"/>
    <w:rsid w:val="009E1083"/>
    <w:rsid w:val="009E2B10"/>
    <w:rsid w:val="009E2EC5"/>
    <w:rsid w:val="009E5064"/>
    <w:rsid w:val="009E7E68"/>
    <w:rsid w:val="009E7F69"/>
    <w:rsid w:val="009F0A4F"/>
    <w:rsid w:val="009F1F69"/>
    <w:rsid w:val="009F295C"/>
    <w:rsid w:val="009F2AEA"/>
    <w:rsid w:val="009F3C2B"/>
    <w:rsid w:val="009F5B8B"/>
    <w:rsid w:val="009F6F3F"/>
    <w:rsid w:val="009F77FB"/>
    <w:rsid w:val="00A00701"/>
    <w:rsid w:val="00A00B4A"/>
    <w:rsid w:val="00A037E0"/>
    <w:rsid w:val="00A07AA3"/>
    <w:rsid w:val="00A13103"/>
    <w:rsid w:val="00A15EFD"/>
    <w:rsid w:val="00A205DF"/>
    <w:rsid w:val="00A23BF4"/>
    <w:rsid w:val="00A2425A"/>
    <w:rsid w:val="00A24AB4"/>
    <w:rsid w:val="00A24F50"/>
    <w:rsid w:val="00A254B0"/>
    <w:rsid w:val="00A2570B"/>
    <w:rsid w:val="00A2593B"/>
    <w:rsid w:val="00A33530"/>
    <w:rsid w:val="00A34E05"/>
    <w:rsid w:val="00A34E0C"/>
    <w:rsid w:val="00A35DAD"/>
    <w:rsid w:val="00A379E9"/>
    <w:rsid w:val="00A405FF"/>
    <w:rsid w:val="00A40BCD"/>
    <w:rsid w:val="00A43D8B"/>
    <w:rsid w:val="00A454F1"/>
    <w:rsid w:val="00A46A35"/>
    <w:rsid w:val="00A4784E"/>
    <w:rsid w:val="00A5038C"/>
    <w:rsid w:val="00A52662"/>
    <w:rsid w:val="00A52AF0"/>
    <w:rsid w:val="00A543CC"/>
    <w:rsid w:val="00A5477B"/>
    <w:rsid w:val="00A55BD9"/>
    <w:rsid w:val="00A56FE2"/>
    <w:rsid w:val="00A57FE1"/>
    <w:rsid w:val="00A662E4"/>
    <w:rsid w:val="00A72B5A"/>
    <w:rsid w:val="00A74D19"/>
    <w:rsid w:val="00A801FB"/>
    <w:rsid w:val="00A828C9"/>
    <w:rsid w:val="00A83A44"/>
    <w:rsid w:val="00A846A3"/>
    <w:rsid w:val="00A861FD"/>
    <w:rsid w:val="00A863AC"/>
    <w:rsid w:val="00A87466"/>
    <w:rsid w:val="00A8792C"/>
    <w:rsid w:val="00A87FC8"/>
    <w:rsid w:val="00A902A6"/>
    <w:rsid w:val="00A908EA"/>
    <w:rsid w:val="00A9296E"/>
    <w:rsid w:val="00A92FBC"/>
    <w:rsid w:val="00A93CFF"/>
    <w:rsid w:val="00A93E07"/>
    <w:rsid w:val="00A94863"/>
    <w:rsid w:val="00A94B65"/>
    <w:rsid w:val="00A97A12"/>
    <w:rsid w:val="00AA1131"/>
    <w:rsid w:val="00AA255F"/>
    <w:rsid w:val="00AA51A8"/>
    <w:rsid w:val="00AA77D6"/>
    <w:rsid w:val="00AB0D49"/>
    <w:rsid w:val="00AB0D4C"/>
    <w:rsid w:val="00AB7617"/>
    <w:rsid w:val="00AB7A17"/>
    <w:rsid w:val="00AB7AD2"/>
    <w:rsid w:val="00AB7DD2"/>
    <w:rsid w:val="00AC137D"/>
    <w:rsid w:val="00AC1899"/>
    <w:rsid w:val="00AC203A"/>
    <w:rsid w:val="00AC55BE"/>
    <w:rsid w:val="00AC5C69"/>
    <w:rsid w:val="00AC6325"/>
    <w:rsid w:val="00AC72C3"/>
    <w:rsid w:val="00AC7E76"/>
    <w:rsid w:val="00AD207B"/>
    <w:rsid w:val="00AD3945"/>
    <w:rsid w:val="00AD427A"/>
    <w:rsid w:val="00AD4E93"/>
    <w:rsid w:val="00AD5291"/>
    <w:rsid w:val="00AD53FE"/>
    <w:rsid w:val="00AD69A9"/>
    <w:rsid w:val="00AD745E"/>
    <w:rsid w:val="00AD7674"/>
    <w:rsid w:val="00AE0005"/>
    <w:rsid w:val="00AE1E01"/>
    <w:rsid w:val="00AE35D5"/>
    <w:rsid w:val="00AE4BD5"/>
    <w:rsid w:val="00AE597D"/>
    <w:rsid w:val="00AF0C7C"/>
    <w:rsid w:val="00AF3880"/>
    <w:rsid w:val="00AF3BAE"/>
    <w:rsid w:val="00AF49FF"/>
    <w:rsid w:val="00AF71BF"/>
    <w:rsid w:val="00B01D86"/>
    <w:rsid w:val="00B0791D"/>
    <w:rsid w:val="00B07E4E"/>
    <w:rsid w:val="00B11FD1"/>
    <w:rsid w:val="00B137E9"/>
    <w:rsid w:val="00B15E69"/>
    <w:rsid w:val="00B16A65"/>
    <w:rsid w:val="00B17DD6"/>
    <w:rsid w:val="00B2065E"/>
    <w:rsid w:val="00B2698F"/>
    <w:rsid w:val="00B30EA2"/>
    <w:rsid w:val="00B314EC"/>
    <w:rsid w:val="00B33613"/>
    <w:rsid w:val="00B34CC6"/>
    <w:rsid w:val="00B36ED3"/>
    <w:rsid w:val="00B37D0D"/>
    <w:rsid w:val="00B421A4"/>
    <w:rsid w:val="00B42472"/>
    <w:rsid w:val="00B424A5"/>
    <w:rsid w:val="00B445A3"/>
    <w:rsid w:val="00B47CCC"/>
    <w:rsid w:val="00B51346"/>
    <w:rsid w:val="00B513C9"/>
    <w:rsid w:val="00B54619"/>
    <w:rsid w:val="00B54DA8"/>
    <w:rsid w:val="00B56EF4"/>
    <w:rsid w:val="00B57B69"/>
    <w:rsid w:val="00B60060"/>
    <w:rsid w:val="00B60CCC"/>
    <w:rsid w:val="00B61D26"/>
    <w:rsid w:val="00B702BE"/>
    <w:rsid w:val="00B70485"/>
    <w:rsid w:val="00B722B4"/>
    <w:rsid w:val="00B723D2"/>
    <w:rsid w:val="00B7369C"/>
    <w:rsid w:val="00B75D6F"/>
    <w:rsid w:val="00B7643E"/>
    <w:rsid w:val="00B814BC"/>
    <w:rsid w:val="00B82A13"/>
    <w:rsid w:val="00B83309"/>
    <w:rsid w:val="00B840E6"/>
    <w:rsid w:val="00B8663B"/>
    <w:rsid w:val="00B87504"/>
    <w:rsid w:val="00B96BB0"/>
    <w:rsid w:val="00BA00D1"/>
    <w:rsid w:val="00BA1436"/>
    <w:rsid w:val="00BA3B7C"/>
    <w:rsid w:val="00BA4D5F"/>
    <w:rsid w:val="00BA4E02"/>
    <w:rsid w:val="00BA5E8A"/>
    <w:rsid w:val="00BA65D3"/>
    <w:rsid w:val="00BA6858"/>
    <w:rsid w:val="00BB0217"/>
    <w:rsid w:val="00BB06D3"/>
    <w:rsid w:val="00BB0ED0"/>
    <w:rsid w:val="00BB3DC7"/>
    <w:rsid w:val="00BB5345"/>
    <w:rsid w:val="00BC0DEC"/>
    <w:rsid w:val="00BC0F59"/>
    <w:rsid w:val="00BC1422"/>
    <w:rsid w:val="00BD13CA"/>
    <w:rsid w:val="00BD1C18"/>
    <w:rsid w:val="00BD276D"/>
    <w:rsid w:val="00BD4E52"/>
    <w:rsid w:val="00BD59C3"/>
    <w:rsid w:val="00BD6908"/>
    <w:rsid w:val="00BD6A73"/>
    <w:rsid w:val="00BD72ED"/>
    <w:rsid w:val="00BE59BB"/>
    <w:rsid w:val="00BF04C0"/>
    <w:rsid w:val="00BF33E3"/>
    <w:rsid w:val="00BF568C"/>
    <w:rsid w:val="00BF5BD3"/>
    <w:rsid w:val="00C016E5"/>
    <w:rsid w:val="00C01CC0"/>
    <w:rsid w:val="00C02250"/>
    <w:rsid w:val="00C023B9"/>
    <w:rsid w:val="00C02AF8"/>
    <w:rsid w:val="00C0344C"/>
    <w:rsid w:val="00C039F3"/>
    <w:rsid w:val="00C03C66"/>
    <w:rsid w:val="00C04384"/>
    <w:rsid w:val="00C04470"/>
    <w:rsid w:val="00C06CBF"/>
    <w:rsid w:val="00C11145"/>
    <w:rsid w:val="00C11A99"/>
    <w:rsid w:val="00C13395"/>
    <w:rsid w:val="00C167A5"/>
    <w:rsid w:val="00C17E01"/>
    <w:rsid w:val="00C201A1"/>
    <w:rsid w:val="00C21166"/>
    <w:rsid w:val="00C2155A"/>
    <w:rsid w:val="00C23BA3"/>
    <w:rsid w:val="00C2489F"/>
    <w:rsid w:val="00C25996"/>
    <w:rsid w:val="00C25FBE"/>
    <w:rsid w:val="00C303EF"/>
    <w:rsid w:val="00C31AC4"/>
    <w:rsid w:val="00C34B56"/>
    <w:rsid w:val="00C409BE"/>
    <w:rsid w:val="00C423CA"/>
    <w:rsid w:val="00C4244D"/>
    <w:rsid w:val="00C44A6F"/>
    <w:rsid w:val="00C52E2B"/>
    <w:rsid w:val="00C553E3"/>
    <w:rsid w:val="00C57F88"/>
    <w:rsid w:val="00C57FBC"/>
    <w:rsid w:val="00C652ED"/>
    <w:rsid w:val="00C65530"/>
    <w:rsid w:val="00C704E2"/>
    <w:rsid w:val="00C726A1"/>
    <w:rsid w:val="00C72769"/>
    <w:rsid w:val="00C72868"/>
    <w:rsid w:val="00C74FA9"/>
    <w:rsid w:val="00C7793C"/>
    <w:rsid w:val="00C806E3"/>
    <w:rsid w:val="00C8315D"/>
    <w:rsid w:val="00C8348C"/>
    <w:rsid w:val="00C86794"/>
    <w:rsid w:val="00C86D55"/>
    <w:rsid w:val="00C874C4"/>
    <w:rsid w:val="00C87EC1"/>
    <w:rsid w:val="00C92AA2"/>
    <w:rsid w:val="00C939A8"/>
    <w:rsid w:val="00C94BF1"/>
    <w:rsid w:val="00C9546A"/>
    <w:rsid w:val="00C9620E"/>
    <w:rsid w:val="00C97145"/>
    <w:rsid w:val="00C975B7"/>
    <w:rsid w:val="00C97DB2"/>
    <w:rsid w:val="00CA126A"/>
    <w:rsid w:val="00CA2189"/>
    <w:rsid w:val="00CA3911"/>
    <w:rsid w:val="00CA3D30"/>
    <w:rsid w:val="00CA5A77"/>
    <w:rsid w:val="00CA634E"/>
    <w:rsid w:val="00CA711E"/>
    <w:rsid w:val="00CB2048"/>
    <w:rsid w:val="00CB48BA"/>
    <w:rsid w:val="00CB5F34"/>
    <w:rsid w:val="00CB65D8"/>
    <w:rsid w:val="00CB716E"/>
    <w:rsid w:val="00CB75DE"/>
    <w:rsid w:val="00CB7CC1"/>
    <w:rsid w:val="00CC0558"/>
    <w:rsid w:val="00CC1906"/>
    <w:rsid w:val="00CC3D2E"/>
    <w:rsid w:val="00CD3FDF"/>
    <w:rsid w:val="00CD4880"/>
    <w:rsid w:val="00CE1602"/>
    <w:rsid w:val="00CE1945"/>
    <w:rsid w:val="00CE4D60"/>
    <w:rsid w:val="00CF154E"/>
    <w:rsid w:val="00CF1684"/>
    <w:rsid w:val="00CF1CC0"/>
    <w:rsid w:val="00CF2FDB"/>
    <w:rsid w:val="00CF30DA"/>
    <w:rsid w:val="00CF7E5E"/>
    <w:rsid w:val="00D010FD"/>
    <w:rsid w:val="00D02812"/>
    <w:rsid w:val="00D04C84"/>
    <w:rsid w:val="00D05BE5"/>
    <w:rsid w:val="00D062A2"/>
    <w:rsid w:val="00D127C8"/>
    <w:rsid w:val="00D157BD"/>
    <w:rsid w:val="00D16687"/>
    <w:rsid w:val="00D17255"/>
    <w:rsid w:val="00D20056"/>
    <w:rsid w:val="00D20C36"/>
    <w:rsid w:val="00D20DBB"/>
    <w:rsid w:val="00D21CC1"/>
    <w:rsid w:val="00D224FD"/>
    <w:rsid w:val="00D2326F"/>
    <w:rsid w:val="00D23BF1"/>
    <w:rsid w:val="00D23C81"/>
    <w:rsid w:val="00D2481A"/>
    <w:rsid w:val="00D273B5"/>
    <w:rsid w:val="00D2798F"/>
    <w:rsid w:val="00D33326"/>
    <w:rsid w:val="00D3414E"/>
    <w:rsid w:val="00D37FAD"/>
    <w:rsid w:val="00D42317"/>
    <w:rsid w:val="00D430A8"/>
    <w:rsid w:val="00D44460"/>
    <w:rsid w:val="00D45606"/>
    <w:rsid w:val="00D47E8D"/>
    <w:rsid w:val="00D51EF8"/>
    <w:rsid w:val="00D52724"/>
    <w:rsid w:val="00D52B50"/>
    <w:rsid w:val="00D53CAF"/>
    <w:rsid w:val="00D54701"/>
    <w:rsid w:val="00D60DF0"/>
    <w:rsid w:val="00D61728"/>
    <w:rsid w:val="00D62641"/>
    <w:rsid w:val="00D634F2"/>
    <w:rsid w:val="00D63DDA"/>
    <w:rsid w:val="00D6651F"/>
    <w:rsid w:val="00D6772D"/>
    <w:rsid w:val="00D72EA2"/>
    <w:rsid w:val="00D748F2"/>
    <w:rsid w:val="00D757D7"/>
    <w:rsid w:val="00D757DC"/>
    <w:rsid w:val="00D80997"/>
    <w:rsid w:val="00D8169F"/>
    <w:rsid w:val="00D83C77"/>
    <w:rsid w:val="00D84037"/>
    <w:rsid w:val="00D862A6"/>
    <w:rsid w:val="00D876FF"/>
    <w:rsid w:val="00D87A9D"/>
    <w:rsid w:val="00D908B0"/>
    <w:rsid w:val="00D91342"/>
    <w:rsid w:val="00D9164F"/>
    <w:rsid w:val="00D93BE9"/>
    <w:rsid w:val="00D95A04"/>
    <w:rsid w:val="00D96F18"/>
    <w:rsid w:val="00DA4EF6"/>
    <w:rsid w:val="00DA64A9"/>
    <w:rsid w:val="00DB2119"/>
    <w:rsid w:val="00DB22EB"/>
    <w:rsid w:val="00DB29FC"/>
    <w:rsid w:val="00DB5E93"/>
    <w:rsid w:val="00DB6FD0"/>
    <w:rsid w:val="00DC05BC"/>
    <w:rsid w:val="00DC422A"/>
    <w:rsid w:val="00DC7CA8"/>
    <w:rsid w:val="00DD2852"/>
    <w:rsid w:val="00DD2B92"/>
    <w:rsid w:val="00DD3A24"/>
    <w:rsid w:val="00DD3F8A"/>
    <w:rsid w:val="00DD4114"/>
    <w:rsid w:val="00DD4807"/>
    <w:rsid w:val="00DD623B"/>
    <w:rsid w:val="00DD6FD3"/>
    <w:rsid w:val="00DE03AA"/>
    <w:rsid w:val="00DE279F"/>
    <w:rsid w:val="00DE3519"/>
    <w:rsid w:val="00DE4111"/>
    <w:rsid w:val="00DE48B3"/>
    <w:rsid w:val="00DE4925"/>
    <w:rsid w:val="00DE5E3F"/>
    <w:rsid w:val="00DE6666"/>
    <w:rsid w:val="00DF293E"/>
    <w:rsid w:val="00DF3516"/>
    <w:rsid w:val="00DF3B04"/>
    <w:rsid w:val="00E001E2"/>
    <w:rsid w:val="00E01DC9"/>
    <w:rsid w:val="00E01E6F"/>
    <w:rsid w:val="00E025E6"/>
    <w:rsid w:val="00E02837"/>
    <w:rsid w:val="00E03AE0"/>
    <w:rsid w:val="00E03C07"/>
    <w:rsid w:val="00E04DC5"/>
    <w:rsid w:val="00E1131D"/>
    <w:rsid w:val="00E12BFC"/>
    <w:rsid w:val="00E12F24"/>
    <w:rsid w:val="00E172E6"/>
    <w:rsid w:val="00E17CB0"/>
    <w:rsid w:val="00E17DFD"/>
    <w:rsid w:val="00E20E3C"/>
    <w:rsid w:val="00E22336"/>
    <w:rsid w:val="00E23169"/>
    <w:rsid w:val="00E244D7"/>
    <w:rsid w:val="00E305F0"/>
    <w:rsid w:val="00E31069"/>
    <w:rsid w:val="00E327A8"/>
    <w:rsid w:val="00E36290"/>
    <w:rsid w:val="00E36689"/>
    <w:rsid w:val="00E37DF5"/>
    <w:rsid w:val="00E42A0B"/>
    <w:rsid w:val="00E46235"/>
    <w:rsid w:val="00E46BAC"/>
    <w:rsid w:val="00E46C32"/>
    <w:rsid w:val="00E47774"/>
    <w:rsid w:val="00E515B0"/>
    <w:rsid w:val="00E51D09"/>
    <w:rsid w:val="00E5536E"/>
    <w:rsid w:val="00E55797"/>
    <w:rsid w:val="00E57E86"/>
    <w:rsid w:val="00E57F13"/>
    <w:rsid w:val="00E6172B"/>
    <w:rsid w:val="00E62078"/>
    <w:rsid w:val="00E720F6"/>
    <w:rsid w:val="00E73B4F"/>
    <w:rsid w:val="00E73B95"/>
    <w:rsid w:val="00E740B3"/>
    <w:rsid w:val="00E74166"/>
    <w:rsid w:val="00E74780"/>
    <w:rsid w:val="00E81E61"/>
    <w:rsid w:val="00E820F2"/>
    <w:rsid w:val="00E839EB"/>
    <w:rsid w:val="00E8442A"/>
    <w:rsid w:val="00E848B4"/>
    <w:rsid w:val="00E90AE6"/>
    <w:rsid w:val="00E91417"/>
    <w:rsid w:val="00E927C7"/>
    <w:rsid w:val="00E93650"/>
    <w:rsid w:val="00E94329"/>
    <w:rsid w:val="00E96547"/>
    <w:rsid w:val="00EA1914"/>
    <w:rsid w:val="00EA219C"/>
    <w:rsid w:val="00EA236A"/>
    <w:rsid w:val="00EA32C0"/>
    <w:rsid w:val="00EA3F91"/>
    <w:rsid w:val="00EA5877"/>
    <w:rsid w:val="00EA67F1"/>
    <w:rsid w:val="00EB04C7"/>
    <w:rsid w:val="00EB12AA"/>
    <w:rsid w:val="00EB1377"/>
    <w:rsid w:val="00EB1873"/>
    <w:rsid w:val="00EB5C20"/>
    <w:rsid w:val="00EB659E"/>
    <w:rsid w:val="00EB70A2"/>
    <w:rsid w:val="00EC09D7"/>
    <w:rsid w:val="00EC1E33"/>
    <w:rsid w:val="00EC2DAD"/>
    <w:rsid w:val="00EC382F"/>
    <w:rsid w:val="00EC4244"/>
    <w:rsid w:val="00ED04EB"/>
    <w:rsid w:val="00ED2B5B"/>
    <w:rsid w:val="00ED33C2"/>
    <w:rsid w:val="00ED366B"/>
    <w:rsid w:val="00ED46C7"/>
    <w:rsid w:val="00ED6126"/>
    <w:rsid w:val="00ED71E0"/>
    <w:rsid w:val="00EE0168"/>
    <w:rsid w:val="00EE3B89"/>
    <w:rsid w:val="00EE4679"/>
    <w:rsid w:val="00EE48A8"/>
    <w:rsid w:val="00EE498F"/>
    <w:rsid w:val="00EE6683"/>
    <w:rsid w:val="00EE724F"/>
    <w:rsid w:val="00EF3487"/>
    <w:rsid w:val="00EF5BE8"/>
    <w:rsid w:val="00F00484"/>
    <w:rsid w:val="00F01923"/>
    <w:rsid w:val="00F025D8"/>
    <w:rsid w:val="00F043C2"/>
    <w:rsid w:val="00F04FAD"/>
    <w:rsid w:val="00F06B42"/>
    <w:rsid w:val="00F07022"/>
    <w:rsid w:val="00F076A3"/>
    <w:rsid w:val="00F1119E"/>
    <w:rsid w:val="00F11F05"/>
    <w:rsid w:val="00F141ED"/>
    <w:rsid w:val="00F153B6"/>
    <w:rsid w:val="00F17D56"/>
    <w:rsid w:val="00F21C3C"/>
    <w:rsid w:val="00F22428"/>
    <w:rsid w:val="00F22CB1"/>
    <w:rsid w:val="00F24DF2"/>
    <w:rsid w:val="00F25741"/>
    <w:rsid w:val="00F25910"/>
    <w:rsid w:val="00F25FB7"/>
    <w:rsid w:val="00F26177"/>
    <w:rsid w:val="00F26E70"/>
    <w:rsid w:val="00F27BB8"/>
    <w:rsid w:val="00F27D28"/>
    <w:rsid w:val="00F30769"/>
    <w:rsid w:val="00F31689"/>
    <w:rsid w:val="00F32793"/>
    <w:rsid w:val="00F33E30"/>
    <w:rsid w:val="00F34B01"/>
    <w:rsid w:val="00F34FF4"/>
    <w:rsid w:val="00F35079"/>
    <w:rsid w:val="00F35A34"/>
    <w:rsid w:val="00F360B7"/>
    <w:rsid w:val="00F367CE"/>
    <w:rsid w:val="00F37269"/>
    <w:rsid w:val="00F40882"/>
    <w:rsid w:val="00F412FF"/>
    <w:rsid w:val="00F4345B"/>
    <w:rsid w:val="00F43559"/>
    <w:rsid w:val="00F45783"/>
    <w:rsid w:val="00F513CB"/>
    <w:rsid w:val="00F5188D"/>
    <w:rsid w:val="00F51CBD"/>
    <w:rsid w:val="00F537A6"/>
    <w:rsid w:val="00F55D9C"/>
    <w:rsid w:val="00F5789B"/>
    <w:rsid w:val="00F61C1E"/>
    <w:rsid w:val="00F61F4D"/>
    <w:rsid w:val="00F6408A"/>
    <w:rsid w:val="00F65BEC"/>
    <w:rsid w:val="00F65F14"/>
    <w:rsid w:val="00F6715B"/>
    <w:rsid w:val="00F72052"/>
    <w:rsid w:val="00F7259B"/>
    <w:rsid w:val="00F72A5C"/>
    <w:rsid w:val="00F733FA"/>
    <w:rsid w:val="00F739E6"/>
    <w:rsid w:val="00F75057"/>
    <w:rsid w:val="00F75AAB"/>
    <w:rsid w:val="00F75C76"/>
    <w:rsid w:val="00F80A5E"/>
    <w:rsid w:val="00F82200"/>
    <w:rsid w:val="00F82DC8"/>
    <w:rsid w:val="00F84EB8"/>
    <w:rsid w:val="00F8508D"/>
    <w:rsid w:val="00F86023"/>
    <w:rsid w:val="00F86ED0"/>
    <w:rsid w:val="00F877A4"/>
    <w:rsid w:val="00F9285B"/>
    <w:rsid w:val="00F97692"/>
    <w:rsid w:val="00FA0A1D"/>
    <w:rsid w:val="00FA14DC"/>
    <w:rsid w:val="00FA394E"/>
    <w:rsid w:val="00FA45F9"/>
    <w:rsid w:val="00FA561A"/>
    <w:rsid w:val="00FB0B43"/>
    <w:rsid w:val="00FB1C7A"/>
    <w:rsid w:val="00FB3984"/>
    <w:rsid w:val="00FB3BE7"/>
    <w:rsid w:val="00FB3CD2"/>
    <w:rsid w:val="00FB434F"/>
    <w:rsid w:val="00FB614F"/>
    <w:rsid w:val="00FC1706"/>
    <w:rsid w:val="00FC21C6"/>
    <w:rsid w:val="00FC4843"/>
    <w:rsid w:val="00FC5BE0"/>
    <w:rsid w:val="00FC676C"/>
    <w:rsid w:val="00FC720B"/>
    <w:rsid w:val="00FD076F"/>
    <w:rsid w:val="00FD2642"/>
    <w:rsid w:val="00FD5FE7"/>
    <w:rsid w:val="00FE3FE9"/>
    <w:rsid w:val="00FE5537"/>
    <w:rsid w:val="00FE5B56"/>
    <w:rsid w:val="00FE5B62"/>
    <w:rsid w:val="00FE6A10"/>
    <w:rsid w:val="00FF4DA0"/>
    <w:rsid w:val="00FF55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54E67"/>
  <w15:chartTrackingRefBased/>
  <w15:docId w15:val="{F3B2E565-96D1-4843-928B-BD2D610E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rsid w:val="00916CD7"/>
    <w:pPr>
      <w:keepNext/>
      <w:spacing w:before="120" w:after="120" w:line="500" w:lineRule="exact"/>
      <w:outlineLvl w:val="0"/>
    </w:pPr>
    <w:rPr>
      <w:b/>
      <w:caps/>
      <w:kern w:val="28"/>
    </w:rPr>
  </w:style>
  <w:style w:type="paragraph" w:styleId="Titre2">
    <w:name w:val="heading 2"/>
    <w:basedOn w:val="Normal"/>
    <w:next w:val="Normal"/>
    <w:qFormat/>
    <w:rsid w:val="00916CD7"/>
    <w:pPr>
      <w:keepNext/>
      <w:spacing w:before="120" w:after="120"/>
      <w:ind w:left="720" w:hanging="720"/>
      <w:jc w:val="both"/>
      <w:outlineLvl w:val="1"/>
    </w:pPr>
    <w:rPr>
      <w:b/>
      <w:smallCaps/>
    </w:rPr>
  </w:style>
  <w:style w:type="paragraph" w:styleId="Titre3">
    <w:name w:val="heading 3"/>
    <w:basedOn w:val="Normal"/>
    <w:next w:val="Normal"/>
    <w:qFormat/>
    <w:rsid w:val="00916CD7"/>
    <w:pPr>
      <w:keepNext/>
      <w:spacing w:before="120" w:after="120" w:line="500" w:lineRule="exact"/>
      <w:outlineLvl w:val="2"/>
    </w:pPr>
    <w:rPr>
      <w:b/>
    </w:rPr>
  </w:style>
  <w:style w:type="paragraph" w:styleId="Titre4">
    <w:name w:val="heading 4"/>
    <w:basedOn w:val="Normal"/>
    <w:next w:val="Normal"/>
    <w:qFormat/>
    <w:rsid w:val="00270328"/>
    <w:pPr>
      <w:keepNext/>
      <w:numPr>
        <w:numId w:val="48"/>
      </w:numPr>
      <w:spacing w:before="120" w:after="120"/>
      <w:ind w:left="1491" w:hanging="357"/>
      <w:jc w:val="both"/>
      <w:outlineLvl w:val="3"/>
    </w:pPr>
    <w:rPr>
      <w:i/>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Char Char Char,Char Char,ft,Footnote text,ft2,fn,Char,Nota de rodapé,Char Char Char Char Char,Footnote Text Char Char Char Char Char,Footnote Text Char Char Char Char,Footnote reference,FA Fu,ft Char Ch,Footnotes,Footnote ak"/>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fr,Ref,de nota al pie,Char Char6 Char Char Char Char Char Char Char Char Char Char Char Char,Char6 Char Char Char Char Char Char Char Char Char Char Char Char Char,Footnote"/>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styleId="Hyperlien">
    <w:name w:val="Hyperlink"/>
    <w:uiPriority w:val="99"/>
    <w:rsid w:val="00F82200"/>
    <w:rPr>
      <w:noProof w:val="0"/>
      <w:color w:val="0000FF"/>
      <w:u w:val="single"/>
      <w:lang w:val="fr-CA"/>
    </w:rPr>
  </w:style>
  <w:style w:type="character" w:customStyle="1" w:styleId="ParagrapheCar">
    <w:name w:val="Paragraphe Car"/>
    <w:link w:val="Paragraphe"/>
    <w:rsid w:val="00F82200"/>
    <w:rPr>
      <w:rFonts w:ascii="Arial" w:hAnsi="Arial"/>
      <w:kern w:val="28"/>
      <w:sz w:val="24"/>
      <w:lang w:eastAsia="fr-FR"/>
    </w:rPr>
  </w:style>
  <w:style w:type="character" w:customStyle="1" w:styleId="NotedebasdepageCar">
    <w:name w:val="Note de bas de page Car"/>
    <w:aliases w:val="Char Char Char Car,Char Char Car,ft Car,Footnote text Car,ft2 Car,fn Car,Char Car,Nota de rodapé Car,Char Char Char Char Char Car,Footnote Text Char Char Char Char Char Car,Footnote Text Char Char Char Char Car,FA Fu Car"/>
    <w:basedOn w:val="Policepardfaut"/>
    <w:link w:val="Notedebasdepage"/>
    <w:rsid w:val="00F82200"/>
    <w:rPr>
      <w:rFonts w:ascii="Arial" w:hAnsi="Arial"/>
      <w:lang w:eastAsia="fr-FR"/>
    </w:rPr>
  </w:style>
  <w:style w:type="character" w:styleId="Marquedecommentaire">
    <w:name w:val="annotation reference"/>
    <w:basedOn w:val="Policepardfaut"/>
    <w:uiPriority w:val="99"/>
    <w:semiHidden/>
    <w:unhideWhenUsed/>
    <w:rsid w:val="005A1C52"/>
    <w:rPr>
      <w:sz w:val="16"/>
      <w:szCs w:val="16"/>
    </w:rPr>
  </w:style>
  <w:style w:type="paragraph" w:styleId="Commentaire">
    <w:name w:val="annotation text"/>
    <w:basedOn w:val="Normal"/>
    <w:link w:val="CommentaireCar"/>
    <w:uiPriority w:val="99"/>
    <w:unhideWhenUsed/>
    <w:rsid w:val="005A1C52"/>
    <w:pPr>
      <w:spacing w:line="240" w:lineRule="auto"/>
    </w:pPr>
    <w:rPr>
      <w:sz w:val="20"/>
    </w:rPr>
  </w:style>
  <w:style w:type="character" w:customStyle="1" w:styleId="CommentaireCar">
    <w:name w:val="Commentaire Car"/>
    <w:basedOn w:val="Policepardfaut"/>
    <w:link w:val="Commentaire"/>
    <w:uiPriority w:val="99"/>
    <w:rsid w:val="005A1C52"/>
    <w:rPr>
      <w:rFonts w:ascii="Arial" w:hAnsi="Arial"/>
      <w:lang w:eastAsia="fr-FR"/>
    </w:rPr>
  </w:style>
  <w:style w:type="paragraph" w:customStyle="1" w:styleId="citation-altc">
    <w:name w:val="citation-altc"/>
    <w:basedOn w:val="Normal"/>
    <w:rsid w:val="005A1C52"/>
    <w:pPr>
      <w:spacing w:before="100" w:beforeAutospacing="1" w:after="100" w:afterAutospacing="1" w:line="240" w:lineRule="auto"/>
    </w:pPr>
    <w:rPr>
      <w:rFonts w:ascii="Times New Roman" w:hAnsi="Times New Roman"/>
      <w:szCs w:val="24"/>
      <w:lang w:eastAsia="fr-CA"/>
    </w:rPr>
  </w:style>
  <w:style w:type="paragraph" w:styleId="Rvision">
    <w:name w:val="Revision"/>
    <w:hidden/>
    <w:uiPriority w:val="99"/>
    <w:semiHidden/>
    <w:rsid w:val="00540798"/>
    <w:rPr>
      <w:rFonts w:ascii="Arial" w:hAnsi="Arial"/>
      <w:sz w:val="24"/>
      <w:lang w:eastAsia="fr-FR"/>
    </w:rPr>
  </w:style>
  <w:style w:type="character" w:customStyle="1" w:styleId="reflex3-missing">
    <w:name w:val="reflex3-missing"/>
    <w:basedOn w:val="Policepardfaut"/>
    <w:rsid w:val="00540798"/>
  </w:style>
  <w:style w:type="paragraph" w:customStyle="1" w:styleId="Style1">
    <w:name w:val="Style1"/>
    <w:basedOn w:val="Paragraphe"/>
    <w:link w:val="Style1Car"/>
    <w:qFormat/>
    <w:rsid w:val="00540798"/>
    <w:pPr>
      <w:numPr>
        <w:numId w:val="0"/>
      </w:numPr>
      <w:tabs>
        <w:tab w:val="num" w:pos="720"/>
      </w:tabs>
      <w:spacing w:before="60" w:after="60" w:line="360" w:lineRule="auto"/>
    </w:pPr>
  </w:style>
  <w:style w:type="character" w:customStyle="1" w:styleId="Style1Car">
    <w:name w:val="Style1 Car"/>
    <w:basedOn w:val="Policepardfaut"/>
    <w:link w:val="Style1"/>
    <w:rsid w:val="00540798"/>
    <w:rPr>
      <w:rFonts w:ascii="Arial" w:hAnsi="Arial"/>
      <w:kern w:val="28"/>
      <w:sz w:val="24"/>
      <w:lang w:eastAsia="fr-FR"/>
    </w:rPr>
  </w:style>
  <w:style w:type="character" w:customStyle="1" w:styleId="reflex">
    <w:name w:val="reflex"/>
    <w:basedOn w:val="Policepardfaut"/>
    <w:rsid w:val="00540798"/>
  </w:style>
  <w:style w:type="character" w:customStyle="1" w:styleId="solexhl">
    <w:name w:val="solexhl"/>
    <w:basedOn w:val="Policepardfaut"/>
    <w:rsid w:val="00540798"/>
  </w:style>
  <w:style w:type="character" w:customStyle="1" w:styleId="cf01">
    <w:name w:val="cf01"/>
    <w:basedOn w:val="Policepardfaut"/>
    <w:rsid w:val="00AE597D"/>
    <w:rPr>
      <w:rFonts w:ascii="Segoe UI" w:hAnsi="Segoe UI" w:cs="Segoe UI" w:hint="default"/>
      <w:sz w:val="18"/>
      <w:szCs w:val="18"/>
    </w:rPr>
  </w:style>
  <w:style w:type="paragraph" w:styleId="Objetducommentaire">
    <w:name w:val="annotation subject"/>
    <w:basedOn w:val="Commentaire"/>
    <w:next w:val="Commentaire"/>
    <w:link w:val="ObjetducommentaireCar"/>
    <w:uiPriority w:val="99"/>
    <w:semiHidden/>
    <w:unhideWhenUsed/>
    <w:rsid w:val="00707C7E"/>
    <w:rPr>
      <w:b/>
      <w:bCs/>
    </w:rPr>
  </w:style>
  <w:style w:type="character" w:customStyle="1" w:styleId="ObjetducommentaireCar">
    <w:name w:val="Objet du commentaire Car"/>
    <w:basedOn w:val="CommentaireCar"/>
    <w:link w:val="Objetducommentaire"/>
    <w:uiPriority w:val="99"/>
    <w:semiHidden/>
    <w:rsid w:val="00707C7E"/>
    <w:rPr>
      <w:rFonts w:ascii="Arial" w:hAnsi="Arial"/>
      <w:b/>
      <w:bCs/>
      <w:lang w:eastAsia="fr-FR"/>
    </w:rPr>
  </w:style>
  <w:style w:type="paragraph" w:styleId="Paragraphedeliste">
    <w:name w:val="List Paragraph"/>
    <w:basedOn w:val="Normal"/>
    <w:uiPriority w:val="34"/>
    <w:qFormat/>
    <w:rsid w:val="004C7B2F"/>
    <w:pPr>
      <w:ind w:left="720"/>
      <w:contextualSpacing/>
    </w:pPr>
  </w:style>
  <w:style w:type="paragraph" w:styleId="Citation">
    <w:name w:val="Quote"/>
    <w:basedOn w:val="Normal"/>
    <w:next w:val="Normal"/>
    <w:link w:val="CitationCar"/>
    <w:uiPriority w:val="29"/>
    <w:qFormat/>
    <w:rsid w:val="0032484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32484D"/>
    <w:rPr>
      <w:rFonts w:ascii="Arial" w:hAnsi="Arial"/>
      <w:i/>
      <w:iCs/>
      <w:color w:val="404040" w:themeColor="text1" w:themeTint="BF"/>
      <w:sz w:val="24"/>
      <w:lang w:eastAsia="fr-FR"/>
    </w:rPr>
  </w:style>
  <w:style w:type="paragraph" w:customStyle="1" w:styleId="citationenretrait0">
    <w:name w:val="citationenretrait"/>
    <w:basedOn w:val="Normal"/>
    <w:rsid w:val="0032484D"/>
    <w:pPr>
      <w:spacing w:before="100" w:beforeAutospacing="1" w:after="100" w:afterAutospacing="1" w:line="240" w:lineRule="auto"/>
    </w:pPr>
    <w:rPr>
      <w:rFonts w:ascii="Times New Roman" w:hAnsi="Times New Roman"/>
      <w:szCs w:val="24"/>
      <w:lang w:eastAsia="fr-CA"/>
    </w:rPr>
  </w:style>
  <w:style w:type="character" w:customStyle="1" w:styleId="lawlabel">
    <w:name w:val="lawlabel"/>
    <w:basedOn w:val="Policepardfaut"/>
    <w:rsid w:val="001A3EF8"/>
  </w:style>
  <w:style w:type="character" w:customStyle="1" w:styleId="reflex2-link">
    <w:name w:val="reflex2-link"/>
    <w:basedOn w:val="Policepardfaut"/>
    <w:rsid w:val="001A3EF8"/>
  </w:style>
  <w:style w:type="character" w:customStyle="1" w:styleId="cf11">
    <w:name w:val="cf11"/>
    <w:basedOn w:val="Policepardfaut"/>
    <w:rsid w:val="001A3EF8"/>
    <w:rPr>
      <w:rFonts w:ascii="Segoe UI" w:hAnsi="Segoe UI" w:cs="Segoe UI" w:hint="default"/>
      <w:i/>
      <w:iCs/>
      <w:sz w:val="18"/>
      <w:szCs w:val="18"/>
    </w:rPr>
  </w:style>
  <w:style w:type="character" w:styleId="Lienvisit">
    <w:name w:val="FollowedHyperlink"/>
    <w:basedOn w:val="Policepardfaut"/>
    <w:uiPriority w:val="99"/>
    <w:semiHidden/>
    <w:unhideWhenUsed/>
    <w:rsid w:val="00FF4DA0"/>
    <w:rPr>
      <w:color w:val="954F72" w:themeColor="followedHyperlink"/>
      <w:u w:val="single"/>
    </w:rPr>
  </w:style>
  <w:style w:type="character" w:styleId="Appeldenotedefin">
    <w:name w:val="endnote reference"/>
    <w:basedOn w:val="Policepardfaut"/>
    <w:uiPriority w:val="99"/>
    <w:semiHidden/>
    <w:unhideWhenUsed/>
    <w:rsid w:val="00F877A4"/>
    <w:rPr>
      <w:vertAlign w:val="superscript"/>
    </w:rPr>
  </w:style>
  <w:style w:type="character" w:styleId="Mentionnonrsolue">
    <w:name w:val="Unresolved Mention"/>
    <w:basedOn w:val="Policepardfaut"/>
    <w:uiPriority w:val="99"/>
    <w:semiHidden/>
    <w:unhideWhenUsed/>
    <w:rsid w:val="00F043C2"/>
    <w:rPr>
      <w:color w:val="605E5C"/>
      <w:shd w:val="clear" w:color="auto" w:fill="E1DFDD"/>
    </w:rPr>
  </w:style>
  <w:style w:type="paragraph" w:styleId="TM1">
    <w:name w:val="toc 1"/>
    <w:basedOn w:val="Normal"/>
    <w:next w:val="Normal"/>
    <w:autoRedefine/>
    <w:uiPriority w:val="39"/>
    <w:unhideWhenUsed/>
    <w:rsid w:val="00116A16"/>
    <w:pPr>
      <w:tabs>
        <w:tab w:val="left" w:pos="480"/>
        <w:tab w:val="right" w:leader="dot" w:pos="9352"/>
      </w:tabs>
      <w:spacing w:after="120"/>
    </w:pPr>
    <w:rPr>
      <w:b/>
      <w:caps/>
    </w:rPr>
  </w:style>
  <w:style w:type="paragraph" w:styleId="TM2">
    <w:name w:val="toc 2"/>
    <w:basedOn w:val="Normal"/>
    <w:next w:val="Normal"/>
    <w:autoRedefine/>
    <w:uiPriority w:val="39"/>
    <w:unhideWhenUsed/>
    <w:rsid w:val="00116A16"/>
    <w:pPr>
      <w:tabs>
        <w:tab w:val="left" w:pos="964"/>
        <w:tab w:val="right" w:leader="dot" w:pos="9352"/>
      </w:tabs>
      <w:spacing w:after="120"/>
      <w:ind w:left="964" w:right="567" w:hanging="482"/>
    </w:pPr>
    <w:rPr>
      <w:b/>
      <w:smallCaps/>
    </w:rPr>
  </w:style>
  <w:style w:type="paragraph" w:styleId="TM3">
    <w:name w:val="toc 3"/>
    <w:basedOn w:val="Normal"/>
    <w:next w:val="Normal"/>
    <w:autoRedefine/>
    <w:uiPriority w:val="39"/>
    <w:unhideWhenUsed/>
    <w:rsid w:val="00116A16"/>
    <w:pPr>
      <w:tabs>
        <w:tab w:val="left" w:pos="1446"/>
        <w:tab w:val="right" w:leader="dot" w:pos="9352"/>
      </w:tabs>
      <w:spacing w:after="120"/>
      <w:ind w:left="1446" w:right="567" w:hanging="482"/>
    </w:pPr>
    <w:rPr>
      <w:b/>
    </w:rPr>
  </w:style>
  <w:style w:type="paragraph" w:styleId="TM4">
    <w:name w:val="toc 4"/>
    <w:basedOn w:val="Normal"/>
    <w:next w:val="Normal"/>
    <w:autoRedefine/>
    <w:uiPriority w:val="39"/>
    <w:unhideWhenUsed/>
    <w:rsid w:val="00270328"/>
    <w:pPr>
      <w:tabs>
        <w:tab w:val="left" w:pos="1928"/>
        <w:tab w:val="right" w:leader="dot" w:pos="9352"/>
      </w:tabs>
      <w:spacing w:after="120"/>
      <w:ind w:left="1928" w:right="567" w:hanging="482"/>
    </w:pPr>
    <w:rPr>
      <w:i/>
    </w:rPr>
  </w:style>
  <w:style w:type="paragraph" w:customStyle="1" w:styleId="paragraphe0">
    <w:name w:val="paragraphe"/>
    <w:basedOn w:val="Normal"/>
    <w:rsid w:val="00991E90"/>
    <w:pPr>
      <w:spacing w:before="100" w:beforeAutospacing="1" w:after="100" w:afterAutospacing="1" w:line="240" w:lineRule="auto"/>
    </w:pPr>
    <w:rPr>
      <w:rFonts w:ascii="Times New Roman" w:hAnsi="Times New Roman"/>
      <w:szCs w:val="24"/>
      <w:lang w:eastAsia="fr-CA"/>
    </w:rPr>
  </w:style>
  <w:style w:type="paragraph" w:customStyle="1" w:styleId="paranondepar-altn0">
    <w:name w:val="paranondepar-altn0"/>
    <w:basedOn w:val="Normal"/>
    <w:rsid w:val="00991E90"/>
    <w:pPr>
      <w:spacing w:before="100" w:beforeAutospacing="1" w:after="100" w:afterAutospacing="1" w:line="240" w:lineRule="auto"/>
    </w:pPr>
    <w:rPr>
      <w:rFonts w:ascii="Times New Roman" w:hAnsi="Times New Roman"/>
      <w:szCs w:val="24"/>
      <w:lang w:eastAsia="fr-CA"/>
    </w:rPr>
  </w:style>
  <w:style w:type="character" w:customStyle="1" w:styleId="ui-provider">
    <w:name w:val="ui-provider"/>
    <w:basedOn w:val="Policepardfaut"/>
    <w:rsid w:val="0011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226">
      <w:bodyDiv w:val="1"/>
      <w:marLeft w:val="0"/>
      <w:marRight w:val="0"/>
      <w:marTop w:val="0"/>
      <w:marBottom w:val="0"/>
      <w:divBdr>
        <w:top w:val="none" w:sz="0" w:space="0" w:color="auto"/>
        <w:left w:val="none" w:sz="0" w:space="0" w:color="auto"/>
        <w:bottom w:val="none" w:sz="0" w:space="0" w:color="auto"/>
        <w:right w:val="none" w:sz="0" w:space="0" w:color="auto"/>
      </w:divBdr>
    </w:div>
    <w:div w:id="472522158">
      <w:bodyDiv w:val="1"/>
      <w:marLeft w:val="0"/>
      <w:marRight w:val="0"/>
      <w:marTop w:val="0"/>
      <w:marBottom w:val="0"/>
      <w:divBdr>
        <w:top w:val="none" w:sz="0" w:space="0" w:color="auto"/>
        <w:left w:val="none" w:sz="0" w:space="0" w:color="auto"/>
        <w:bottom w:val="none" w:sz="0" w:space="0" w:color="auto"/>
        <w:right w:val="none" w:sz="0" w:space="0" w:color="auto"/>
      </w:divBdr>
      <w:divsChild>
        <w:div w:id="2021662282">
          <w:marLeft w:val="0"/>
          <w:marRight w:val="0"/>
          <w:marTop w:val="0"/>
          <w:marBottom w:val="0"/>
          <w:divBdr>
            <w:top w:val="none" w:sz="0" w:space="0" w:color="auto"/>
            <w:left w:val="none" w:sz="0" w:space="0" w:color="auto"/>
            <w:bottom w:val="none" w:sz="0" w:space="0" w:color="auto"/>
            <w:right w:val="none" w:sz="0" w:space="0" w:color="auto"/>
          </w:divBdr>
        </w:div>
      </w:divsChild>
    </w:div>
    <w:div w:id="1077438917">
      <w:bodyDiv w:val="1"/>
      <w:marLeft w:val="0"/>
      <w:marRight w:val="0"/>
      <w:marTop w:val="0"/>
      <w:marBottom w:val="0"/>
      <w:divBdr>
        <w:top w:val="none" w:sz="0" w:space="0" w:color="auto"/>
        <w:left w:val="none" w:sz="0" w:space="0" w:color="auto"/>
        <w:bottom w:val="none" w:sz="0" w:space="0" w:color="auto"/>
        <w:right w:val="none" w:sz="0" w:space="0" w:color="auto"/>
      </w:divBdr>
    </w:div>
    <w:div w:id="14830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22671</Words>
  <Characters>124696</Characters>
  <Application>Microsoft Office Word</Application>
  <DocSecurity>0</DocSecurity>
  <Lines>1039</Lines>
  <Paragraphs>294</Paragraphs>
  <ScaleCrop>false</ScaleCrop>
  <HeadingPairs>
    <vt:vector size="2" baseType="variant">
      <vt:variant>
        <vt:lpstr>Titre</vt:lpstr>
      </vt:variant>
      <vt:variant>
        <vt:i4>1</vt:i4>
      </vt:variant>
    </vt:vector>
  </HeadingPairs>
  <TitlesOfParts>
    <vt:vector size="1" baseType="lpstr">
      <vt:lpstr>Gabarit de jugement pour la cour d'appel</vt:lpstr>
    </vt:vector>
  </TitlesOfParts>
  <Manager>Patrice Tardif</Manager>
  <Company>MJQ</Company>
  <LinksUpToDate>false</LinksUpToDate>
  <CharactersWithSpaces>147073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subject/>
  <dc:creator>Paule Gagné</dc:creator>
  <cp:keywords/>
  <dc:description/>
  <cp:lastModifiedBy>Paillé, Pryscilla</cp:lastModifiedBy>
  <cp:revision>6</cp:revision>
  <cp:lastPrinted>2024-10-21T15:14:00Z</cp:lastPrinted>
  <dcterms:created xsi:type="dcterms:W3CDTF">2024-10-23T17:30:00Z</dcterms:created>
  <dcterms:modified xsi:type="dcterms:W3CDTF">2024-10-24T13:43:00Z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04-26-2001</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CA</vt:lpwstr>
  </property>
  <property fmtid="{D5CDD505-2E9C-101B-9397-08002B2CF9AE}" pid="7" name="Soquij_Langue">
    <vt:lpwstr>Fra</vt:lpwstr>
  </property>
</Properties>
</file>