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4DE7" w14:textId="068CD0ED" w:rsidR="006756D0" w:rsidRPr="00C14943" w:rsidRDefault="00C14943">
      <w:pPr>
        <w:rPr>
          <w:bCs/>
          <w:lang w:val="en-CA"/>
        </w:rPr>
      </w:pPr>
      <w:r w:rsidRPr="00C14943">
        <w:rPr>
          <w:bCs/>
          <w:lang w:val="en-CA"/>
        </w:rPr>
        <w:t>English translation of the judgment of the Court by SOQUIJ</w:t>
      </w:r>
    </w:p>
    <w:tbl>
      <w:tblPr>
        <w:tblW w:w="9630" w:type="dxa"/>
        <w:tblLayout w:type="fixed"/>
        <w:tblCellMar>
          <w:left w:w="0" w:type="dxa"/>
          <w:right w:w="0" w:type="dxa"/>
        </w:tblCellMar>
        <w:tblLook w:val="0000" w:firstRow="0" w:lastRow="0" w:firstColumn="0" w:lastColumn="0" w:noHBand="0" w:noVBand="0"/>
      </w:tblPr>
      <w:tblGrid>
        <w:gridCol w:w="1030"/>
        <w:gridCol w:w="680"/>
        <w:gridCol w:w="180"/>
        <w:gridCol w:w="2350"/>
        <w:gridCol w:w="3402"/>
        <w:gridCol w:w="1988"/>
      </w:tblGrid>
      <w:tr w:rsidR="008F364A" w14:paraId="1BEC426C" w14:textId="77777777" w:rsidTr="006A3A36">
        <w:trPr>
          <w:trHeight w:val="248"/>
        </w:trPr>
        <w:tc>
          <w:tcPr>
            <w:tcW w:w="7642" w:type="dxa"/>
            <w:gridSpan w:val="5"/>
          </w:tcPr>
          <w:p w14:paraId="283BB703" w14:textId="70BE64FB" w:rsidR="008F364A" w:rsidRPr="0066627F" w:rsidRDefault="00984D7D" w:rsidP="00984D7D">
            <w:pPr>
              <w:pStyle w:val="zSoquijdatRepertorie"/>
              <w:rPr>
                <w:rFonts w:cs="Arial"/>
                <w:smallCaps/>
              </w:rPr>
            </w:pPr>
            <w:r w:rsidRPr="0066627F">
              <w:rPr>
                <w:rFonts w:cs="Arial"/>
              </w:rPr>
              <w:t>Tshilumba c. R.</w:t>
            </w:r>
          </w:p>
        </w:tc>
        <w:tc>
          <w:tcPr>
            <w:tcW w:w="1988" w:type="dxa"/>
          </w:tcPr>
          <w:p w14:paraId="15E8B81F" w14:textId="28F58590" w:rsidR="008F364A" w:rsidRPr="0066627F" w:rsidRDefault="005E5222" w:rsidP="005E5222">
            <w:pPr>
              <w:pStyle w:val="zSoquijdatRefNeutre"/>
              <w:jc w:val="right"/>
              <w:rPr>
                <w:rFonts w:cs="Arial"/>
              </w:rPr>
            </w:pPr>
            <w:r w:rsidRPr="0066627F">
              <w:rPr>
                <w:rFonts w:cs="Arial"/>
              </w:rPr>
              <w:t>2022 QCCA 1591</w:t>
            </w:r>
          </w:p>
        </w:tc>
      </w:tr>
      <w:tr w:rsidR="008F364A" w:rsidRPr="001B22B0" w14:paraId="592EF877" w14:textId="77777777" w:rsidTr="006A3A36">
        <w:trPr>
          <w:trHeight w:val="247"/>
        </w:trPr>
        <w:tc>
          <w:tcPr>
            <w:tcW w:w="9630" w:type="dxa"/>
            <w:gridSpan w:val="6"/>
          </w:tcPr>
          <w:p w14:paraId="51BCF5CF" w14:textId="19CE14E4" w:rsidR="008F364A" w:rsidRPr="001B22B0" w:rsidRDefault="00740A17">
            <w:pPr>
              <w:pStyle w:val="zSoquijlblCour"/>
              <w:rPr>
                <w:lang w:val="en-CA"/>
              </w:rPr>
            </w:pPr>
            <w:r w:rsidRPr="001B22B0">
              <w:rPr>
                <w:lang w:val="en-CA"/>
              </w:rPr>
              <w:t>COUR</w:t>
            </w:r>
            <w:r w:rsidR="009B3A37">
              <w:rPr>
                <w:lang w:val="en-CA"/>
              </w:rPr>
              <w:t>T OF APPEAL</w:t>
            </w:r>
          </w:p>
        </w:tc>
      </w:tr>
      <w:tr w:rsidR="008F364A" w:rsidRPr="001B22B0" w14:paraId="3E2AAF15" w14:textId="77777777" w:rsidTr="006A3A36">
        <w:trPr>
          <w:trHeight w:val="540"/>
        </w:trPr>
        <w:tc>
          <w:tcPr>
            <w:tcW w:w="9630" w:type="dxa"/>
            <w:gridSpan w:val="6"/>
          </w:tcPr>
          <w:p w14:paraId="79FEC724" w14:textId="77777777" w:rsidR="008F364A" w:rsidRPr="001B22B0" w:rsidRDefault="008F364A">
            <w:pPr>
              <w:pStyle w:val="zSoquijdatDivision"/>
              <w:rPr>
                <w:lang w:val="en-CA"/>
              </w:rPr>
            </w:pPr>
          </w:p>
        </w:tc>
      </w:tr>
      <w:tr w:rsidR="008F364A" w:rsidRPr="001B22B0" w14:paraId="32D25F07" w14:textId="77777777" w:rsidTr="006A3A36">
        <w:tc>
          <w:tcPr>
            <w:tcW w:w="9630" w:type="dxa"/>
            <w:gridSpan w:val="6"/>
          </w:tcPr>
          <w:p w14:paraId="068B8DFA" w14:textId="77777777" w:rsidR="008F364A" w:rsidRPr="001B22B0" w:rsidRDefault="00740A17">
            <w:pPr>
              <w:pStyle w:val="zSoquijlblPays"/>
              <w:rPr>
                <w:lang w:val="en-CA"/>
              </w:rPr>
            </w:pPr>
            <w:r w:rsidRPr="001B22B0">
              <w:rPr>
                <w:lang w:val="en-CA"/>
              </w:rPr>
              <w:t>CANADA</w:t>
            </w:r>
          </w:p>
        </w:tc>
      </w:tr>
      <w:tr w:rsidR="008F364A" w:rsidRPr="001B22B0" w14:paraId="145A0BC8" w14:textId="77777777" w:rsidTr="006A3A36">
        <w:tc>
          <w:tcPr>
            <w:tcW w:w="9630" w:type="dxa"/>
            <w:gridSpan w:val="6"/>
          </w:tcPr>
          <w:p w14:paraId="4B9453A7" w14:textId="67FE3869" w:rsidR="008F364A" w:rsidRPr="001B22B0" w:rsidRDefault="00740A17">
            <w:pPr>
              <w:pStyle w:val="zSoquijlblProvince"/>
              <w:rPr>
                <w:lang w:val="en-CA"/>
              </w:rPr>
            </w:pPr>
            <w:r w:rsidRPr="001B22B0">
              <w:rPr>
                <w:lang w:val="en-CA"/>
              </w:rPr>
              <w:t xml:space="preserve">PROVINCE </w:t>
            </w:r>
            <w:r w:rsidR="009B3A37">
              <w:rPr>
                <w:lang w:val="en-CA"/>
              </w:rPr>
              <w:t>OF</w:t>
            </w:r>
            <w:r w:rsidRPr="001B22B0">
              <w:rPr>
                <w:lang w:val="en-CA"/>
              </w:rPr>
              <w:t xml:space="preserve"> QU</w:t>
            </w:r>
            <w:r w:rsidR="009B3A37">
              <w:rPr>
                <w:lang w:val="en-CA"/>
              </w:rPr>
              <w:t>E</w:t>
            </w:r>
            <w:r w:rsidRPr="001B22B0">
              <w:rPr>
                <w:lang w:val="en-CA"/>
              </w:rPr>
              <w:t>BEC</w:t>
            </w:r>
          </w:p>
        </w:tc>
      </w:tr>
      <w:tr w:rsidR="008F364A" w:rsidRPr="001B22B0" w14:paraId="51E9B1F0" w14:textId="77777777" w:rsidTr="006A3A36">
        <w:tc>
          <w:tcPr>
            <w:tcW w:w="1710" w:type="dxa"/>
            <w:gridSpan w:val="2"/>
          </w:tcPr>
          <w:p w14:paraId="5D82B086" w14:textId="201F2BE0" w:rsidR="008F364A" w:rsidRPr="001B22B0" w:rsidRDefault="006A3A36">
            <w:pPr>
              <w:pStyle w:val="zSoquijlblGreffe"/>
              <w:rPr>
                <w:lang w:val="en-CA"/>
              </w:rPr>
            </w:pPr>
            <w:r>
              <w:rPr>
                <w:lang w:val="en-CA"/>
              </w:rPr>
              <w:t xml:space="preserve">REGISTRY OF </w:t>
            </w:r>
          </w:p>
          <w:p w14:paraId="79BAFFB5" w14:textId="77777777" w:rsidR="008F364A" w:rsidRPr="001B22B0" w:rsidRDefault="008F364A">
            <w:pPr>
              <w:pStyle w:val="zSoquijlblGreffe"/>
              <w:rPr>
                <w:lang w:val="en-CA"/>
              </w:rPr>
            </w:pPr>
          </w:p>
        </w:tc>
        <w:tc>
          <w:tcPr>
            <w:tcW w:w="7920" w:type="dxa"/>
            <w:gridSpan w:val="4"/>
          </w:tcPr>
          <w:p w14:paraId="15F0CCB3" w14:textId="2DFA9DF1" w:rsidR="008F364A" w:rsidRPr="001B22B0" w:rsidRDefault="000C3BCE" w:rsidP="006A3A36">
            <w:pPr>
              <w:pStyle w:val="zSoquijdatGreffe"/>
              <w:ind w:left="90" w:hanging="90"/>
              <w:rPr>
                <w:lang w:val="en-CA"/>
              </w:rPr>
            </w:pPr>
            <w:bookmarkStart w:id="0" w:name="NomGreffe"/>
            <w:r w:rsidRPr="001B22B0">
              <w:rPr>
                <w:lang w:val="en-CA"/>
              </w:rPr>
              <w:t>MONTR</w:t>
            </w:r>
            <w:r w:rsidR="006A3A36">
              <w:rPr>
                <w:lang w:val="en-CA"/>
              </w:rPr>
              <w:t>E</w:t>
            </w:r>
            <w:r w:rsidRPr="001B22B0">
              <w:rPr>
                <w:lang w:val="en-CA"/>
              </w:rPr>
              <w:t>AL</w:t>
            </w:r>
            <w:bookmarkEnd w:id="0"/>
          </w:p>
        </w:tc>
      </w:tr>
      <w:tr w:rsidR="008F364A" w:rsidRPr="001B22B0" w14:paraId="1A6DB9E4" w14:textId="77777777" w:rsidTr="006A3A36">
        <w:tc>
          <w:tcPr>
            <w:tcW w:w="1030" w:type="dxa"/>
          </w:tcPr>
          <w:p w14:paraId="0D5C25E6" w14:textId="66688483" w:rsidR="008F364A" w:rsidRPr="001B22B0" w:rsidRDefault="00740A17">
            <w:pPr>
              <w:pStyle w:val="zSoquijlblNoDossier"/>
              <w:rPr>
                <w:lang w:val="en-CA"/>
              </w:rPr>
            </w:pPr>
            <w:r w:rsidRPr="001B22B0">
              <w:rPr>
                <w:lang w:val="en-CA"/>
              </w:rPr>
              <w:t>N</w:t>
            </w:r>
            <w:r w:rsidR="00777A02">
              <w:rPr>
                <w:lang w:val="en-CA"/>
              </w:rPr>
              <w:t>o.</w:t>
            </w:r>
            <w:r w:rsidRPr="001B22B0">
              <w:rPr>
                <w:lang w:val="en-CA"/>
              </w:rPr>
              <w:t>:</w:t>
            </w:r>
          </w:p>
        </w:tc>
        <w:tc>
          <w:tcPr>
            <w:tcW w:w="8600" w:type="dxa"/>
            <w:gridSpan w:val="5"/>
          </w:tcPr>
          <w:p w14:paraId="232696A3" w14:textId="77777777" w:rsidR="008F364A" w:rsidRPr="001B22B0" w:rsidRDefault="000C3BCE">
            <w:pPr>
              <w:pStyle w:val="zSoquijdatNoDossier"/>
              <w:rPr>
                <w:lang w:val="en-CA"/>
              </w:rPr>
            </w:pPr>
            <w:bookmarkStart w:id="1" w:name="NoDossier"/>
            <w:r w:rsidRPr="001B22B0">
              <w:rPr>
                <w:lang w:val="en-CA"/>
              </w:rPr>
              <w:t>500-10-006567-174</w:t>
            </w:r>
            <w:bookmarkEnd w:id="1"/>
          </w:p>
        </w:tc>
      </w:tr>
      <w:tr w:rsidR="000C3BCE" w:rsidRPr="001B22B0" w14:paraId="3CF5F928" w14:textId="77777777" w:rsidTr="006A3A36">
        <w:tc>
          <w:tcPr>
            <w:tcW w:w="9630" w:type="dxa"/>
            <w:gridSpan w:val="6"/>
          </w:tcPr>
          <w:p w14:paraId="7E812F06" w14:textId="77777777" w:rsidR="000C3BCE" w:rsidRPr="001B22B0" w:rsidRDefault="000C3BCE" w:rsidP="000C3BCE">
            <w:pPr>
              <w:pStyle w:val="zSoquijdatNoDossierAnt"/>
              <w:rPr>
                <w:lang w:val="en-CA"/>
              </w:rPr>
            </w:pPr>
            <w:r w:rsidRPr="001B22B0">
              <w:rPr>
                <w:lang w:val="en-CA"/>
              </w:rPr>
              <w:t>(500-01-136420-160)</w:t>
            </w:r>
          </w:p>
        </w:tc>
      </w:tr>
      <w:tr w:rsidR="008F364A" w:rsidRPr="001B22B0" w14:paraId="7B5D7725" w14:textId="77777777" w:rsidTr="006A3A36">
        <w:tc>
          <w:tcPr>
            <w:tcW w:w="9630" w:type="dxa"/>
            <w:gridSpan w:val="6"/>
          </w:tcPr>
          <w:p w14:paraId="436456A9" w14:textId="77777777" w:rsidR="008F364A" w:rsidRPr="001B22B0" w:rsidRDefault="008F364A">
            <w:pPr>
              <w:rPr>
                <w:lang w:val="en-CA"/>
              </w:rPr>
            </w:pPr>
          </w:p>
        </w:tc>
      </w:tr>
      <w:tr w:rsidR="008F364A" w:rsidRPr="001B22B0" w14:paraId="79A3E3E1" w14:textId="77777777" w:rsidTr="006A3A36">
        <w:tc>
          <w:tcPr>
            <w:tcW w:w="1030" w:type="dxa"/>
          </w:tcPr>
          <w:p w14:paraId="4BB0B9E8" w14:textId="6C245733" w:rsidR="008F364A" w:rsidRPr="001B22B0" w:rsidRDefault="00740A17">
            <w:pPr>
              <w:pStyle w:val="zSoquijlblDateJugement"/>
              <w:rPr>
                <w:lang w:val="en-CA"/>
              </w:rPr>
            </w:pPr>
            <w:r w:rsidRPr="001B22B0">
              <w:rPr>
                <w:lang w:val="en-CA"/>
              </w:rPr>
              <w:t>DATE:</w:t>
            </w:r>
          </w:p>
        </w:tc>
        <w:tc>
          <w:tcPr>
            <w:tcW w:w="8600" w:type="dxa"/>
            <w:gridSpan w:val="5"/>
          </w:tcPr>
          <w:p w14:paraId="55D8CFAC" w14:textId="41BF791D" w:rsidR="008F364A" w:rsidRPr="001B22B0" w:rsidRDefault="000B51C5" w:rsidP="00FB48B3">
            <w:pPr>
              <w:pStyle w:val="zSoquijdatDateJugement"/>
              <w:rPr>
                <w:lang w:val="en-CA"/>
              </w:rPr>
            </w:pPr>
            <w:r w:rsidRPr="001B22B0">
              <w:rPr>
                <w:lang w:val="en-CA"/>
              </w:rPr>
              <w:t xml:space="preserve"> </w:t>
            </w:r>
            <w:r w:rsidR="00777A02">
              <w:rPr>
                <w:lang w:val="en-CA"/>
              </w:rPr>
              <w:t xml:space="preserve">November </w:t>
            </w:r>
            <w:r w:rsidR="001A489F" w:rsidRPr="001B22B0">
              <w:rPr>
                <w:lang w:val="en-CA"/>
              </w:rPr>
              <w:t>28</w:t>
            </w:r>
            <w:r w:rsidR="00777A02">
              <w:rPr>
                <w:lang w:val="en-CA"/>
              </w:rPr>
              <w:t>,</w:t>
            </w:r>
            <w:r w:rsidR="001A489F" w:rsidRPr="001B22B0">
              <w:rPr>
                <w:lang w:val="en-CA"/>
              </w:rPr>
              <w:t xml:space="preserve"> 2022</w:t>
            </w:r>
          </w:p>
        </w:tc>
      </w:tr>
      <w:tr w:rsidR="008F364A" w:rsidRPr="001B22B0" w14:paraId="473029F4" w14:textId="77777777" w:rsidTr="006A3A36">
        <w:tc>
          <w:tcPr>
            <w:tcW w:w="9630" w:type="dxa"/>
            <w:gridSpan w:val="6"/>
            <w:tcBorders>
              <w:bottom w:val="single" w:sz="8" w:space="0" w:color="auto"/>
            </w:tcBorders>
          </w:tcPr>
          <w:p w14:paraId="1F6A2C3F" w14:textId="77777777" w:rsidR="008F364A" w:rsidRPr="001B22B0" w:rsidRDefault="008F364A">
            <w:pPr>
              <w:rPr>
                <w:lang w:val="en-CA"/>
              </w:rPr>
            </w:pPr>
          </w:p>
        </w:tc>
      </w:tr>
      <w:tr w:rsidR="008F364A" w:rsidRPr="001B22B0" w14:paraId="5C1A90E6" w14:textId="77777777" w:rsidTr="006A3A36">
        <w:tc>
          <w:tcPr>
            <w:tcW w:w="9630" w:type="dxa"/>
            <w:gridSpan w:val="6"/>
            <w:tcBorders>
              <w:top w:val="single" w:sz="8" w:space="0" w:color="auto"/>
            </w:tcBorders>
          </w:tcPr>
          <w:p w14:paraId="1DC650E8" w14:textId="77777777" w:rsidR="008F364A" w:rsidRPr="001B22B0" w:rsidRDefault="008F364A">
            <w:pPr>
              <w:rPr>
                <w:lang w:val="en-CA"/>
              </w:rPr>
            </w:pPr>
          </w:p>
        </w:tc>
      </w:tr>
      <w:tr w:rsidR="008F364A" w:rsidRPr="001B22B0" w14:paraId="3ED67978" w14:textId="77777777" w:rsidTr="006A3A36">
        <w:tc>
          <w:tcPr>
            <w:tcW w:w="1890" w:type="dxa"/>
            <w:gridSpan w:val="3"/>
          </w:tcPr>
          <w:p w14:paraId="02359F60" w14:textId="4482DF77" w:rsidR="008F364A" w:rsidRPr="001B22B0" w:rsidRDefault="006A3A36" w:rsidP="00423DF1">
            <w:pPr>
              <w:pStyle w:val="zSoquijlblJuge"/>
              <w:ind w:right="-142"/>
              <w:rPr>
                <w:lang w:val="en-CA"/>
              </w:rPr>
            </w:pPr>
            <w:bookmarkStart w:id="2" w:name="FORMATION"/>
            <w:r>
              <w:rPr>
                <w:lang w:val="en-CA"/>
              </w:rPr>
              <w:t>PANEL</w:t>
            </w:r>
            <w:r w:rsidR="00740A17" w:rsidRPr="001B22B0">
              <w:rPr>
                <w:lang w:val="en-CA"/>
              </w:rPr>
              <w:t>:</w:t>
            </w:r>
            <w:bookmarkEnd w:id="2"/>
          </w:p>
        </w:tc>
        <w:tc>
          <w:tcPr>
            <w:tcW w:w="2350" w:type="dxa"/>
          </w:tcPr>
          <w:p w14:paraId="5E2FD4DB" w14:textId="63068DEB" w:rsidR="008F364A" w:rsidRPr="001B22B0" w:rsidRDefault="006A3A36">
            <w:pPr>
              <w:pStyle w:val="zSoquijdatQteJuge"/>
              <w:rPr>
                <w:lang w:val="en-CA"/>
              </w:rPr>
            </w:pPr>
            <w:bookmarkStart w:id="3" w:name="Honorables"/>
            <w:r>
              <w:rPr>
                <w:lang w:val="en-CA"/>
              </w:rPr>
              <w:t>THE</w:t>
            </w:r>
            <w:r w:rsidR="00740A17" w:rsidRPr="001B22B0">
              <w:rPr>
                <w:lang w:val="en-CA"/>
              </w:rPr>
              <w:t xml:space="preserve"> HONO</w:t>
            </w:r>
            <w:r>
              <w:rPr>
                <w:lang w:val="en-CA"/>
              </w:rPr>
              <w:t>U</w:t>
            </w:r>
            <w:r w:rsidR="00740A17" w:rsidRPr="001B22B0">
              <w:rPr>
                <w:lang w:val="en-CA"/>
              </w:rPr>
              <w:t>RABLE</w:t>
            </w:r>
            <w:bookmarkEnd w:id="3"/>
          </w:p>
        </w:tc>
        <w:tc>
          <w:tcPr>
            <w:tcW w:w="5390" w:type="dxa"/>
            <w:gridSpan w:val="2"/>
          </w:tcPr>
          <w:p w14:paraId="6C05AB20" w14:textId="6A7966D1" w:rsidR="008F364A" w:rsidRPr="00C14943" w:rsidRDefault="000C3BCE">
            <w:pPr>
              <w:pStyle w:val="zSoquijdatJuge"/>
            </w:pPr>
            <w:bookmarkStart w:id="4" w:name="NomJuge1"/>
            <w:r w:rsidRPr="00C14943">
              <w:t>JULIE DUTIL, J.A.</w:t>
            </w:r>
            <w:bookmarkEnd w:id="4"/>
          </w:p>
          <w:p w14:paraId="3082EC1A" w14:textId="603637D5" w:rsidR="008F364A" w:rsidRPr="00C14943" w:rsidRDefault="00FA47F4">
            <w:pPr>
              <w:pStyle w:val="zSoquijdatJuge"/>
            </w:pPr>
            <w:bookmarkStart w:id="5" w:name="NomJuge2"/>
            <w:r w:rsidRPr="00C14943">
              <w:t>DOMINIQUE BÉLANGER</w:t>
            </w:r>
            <w:r w:rsidR="000C3BCE" w:rsidRPr="00C14943">
              <w:t>, J.A.</w:t>
            </w:r>
            <w:bookmarkEnd w:id="5"/>
          </w:p>
          <w:p w14:paraId="29A8767E" w14:textId="3E0D049D" w:rsidR="005A78BF" w:rsidRPr="001B22B0" w:rsidRDefault="000C3BCE" w:rsidP="000C3BCE">
            <w:pPr>
              <w:pStyle w:val="zSoquijdatJuge"/>
              <w:rPr>
                <w:lang w:val="en-CA"/>
              </w:rPr>
            </w:pPr>
            <w:bookmarkStart w:id="6" w:name="_Hlt520513784"/>
            <w:bookmarkStart w:id="7" w:name="NomJuge3"/>
            <w:bookmarkEnd w:id="6"/>
            <w:r w:rsidRPr="001B22B0">
              <w:rPr>
                <w:lang w:val="en-CA"/>
              </w:rPr>
              <w:t>GUY COURNOYER, J.A.</w:t>
            </w:r>
            <w:bookmarkEnd w:id="7"/>
          </w:p>
        </w:tc>
      </w:tr>
      <w:tr w:rsidR="008F364A" w:rsidRPr="001B22B0" w14:paraId="7CDF9F0C" w14:textId="77777777" w:rsidTr="006A3A36">
        <w:tc>
          <w:tcPr>
            <w:tcW w:w="9630" w:type="dxa"/>
            <w:gridSpan w:val="6"/>
            <w:tcBorders>
              <w:bottom w:val="single" w:sz="8" w:space="0" w:color="auto"/>
            </w:tcBorders>
          </w:tcPr>
          <w:p w14:paraId="44FEC530" w14:textId="77777777" w:rsidR="008F364A" w:rsidRPr="001B22B0" w:rsidRDefault="008F364A">
            <w:pPr>
              <w:rPr>
                <w:lang w:val="en-CA"/>
              </w:rPr>
            </w:pPr>
          </w:p>
        </w:tc>
      </w:tr>
      <w:tr w:rsidR="008F364A" w:rsidRPr="001B22B0" w14:paraId="63ECF9A6" w14:textId="77777777" w:rsidTr="006A3A36">
        <w:tc>
          <w:tcPr>
            <w:tcW w:w="9630" w:type="dxa"/>
            <w:gridSpan w:val="6"/>
          </w:tcPr>
          <w:p w14:paraId="29E57CAE" w14:textId="77777777" w:rsidR="008F364A" w:rsidRPr="001B22B0" w:rsidRDefault="008F364A">
            <w:pPr>
              <w:pStyle w:val="zSoquijlblTitrePartie"/>
              <w:rPr>
                <w:lang w:val="en-CA"/>
              </w:rPr>
            </w:pPr>
          </w:p>
        </w:tc>
      </w:tr>
      <w:tr w:rsidR="008F364A" w:rsidRPr="001B22B0" w14:paraId="42A90035" w14:textId="77777777" w:rsidTr="006A3A36">
        <w:tc>
          <w:tcPr>
            <w:tcW w:w="9630" w:type="dxa"/>
            <w:gridSpan w:val="6"/>
          </w:tcPr>
          <w:p w14:paraId="1532385D" w14:textId="77777777" w:rsidR="008F364A" w:rsidRPr="001B22B0" w:rsidRDefault="000C3BCE">
            <w:pPr>
              <w:pStyle w:val="zSoquijdatNomPartieDem"/>
              <w:rPr>
                <w:lang w:val="en-CA"/>
              </w:rPr>
            </w:pPr>
            <w:r w:rsidRPr="001B22B0">
              <w:rPr>
                <w:lang w:val="en-CA"/>
              </w:rPr>
              <w:t>RANDY TSHILUMBA</w:t>
            </w:r>
          </w:p>
        </w:tc>
      </w:tr>
      <w:tr w:rsidR="008F364A" w:rsidRPr="001B22B0" w14:paraId="22269844" w14:textId="77777777" w:rsidTr="006A3A36">
        <w:tc>
          <w:tcPr>
            <w:tcW w:w="9630" w:type="dxa"/>
            <w:gridSpan w:val="6"/>
          </w:tcPr>
          <w:p w14:paraId="6879C279" w14:textId="65316BA5" w:rsidR="008F364A" w:rsidRPr="001B22B0" w:rsidRDefault="000C3BCE">
            <w:pPr>
              <w:pStyle w:val="zSoquijdatQtePartieDem"/>
              <w:rPr>
                <w:lang w:val="en-CA"/>
              </w:rPr>
            </w:pPr>
            <w:r w:rsidRPr="001B22B0">
              <w:rPr>
                <w:lang w:val="en-CA"/>
              </w:rPr>
              <w:t>APPEL</w:t>
            </w:r>
            <w:r w:rsidR="00777A02">
              <w:rPr>
                <w:lang w:val="en-CA"/>
              </w:rPr>
              <w:t>L</w:t>
            </w:r>
            <w:r w:rsidRPr="001B22B0">
              <w:rPr>
                <w:lang w:val="en-CA"/>
              </w:rPr>
              <w:t xml:space="preserve">ANT – </w:t>
            </w:r>
            <w:r w:rsidR="00777A02">
              <w:rPr>
                <w:lang w:val="en-CA"/>
              </w:rPr>
              <w:t>A</w:t>
            </w:r>
            <w:r w:rsidRPr="001B22B0">
              <w:rPr>
                <w:lang w:val="en-CA"/>
              </w:rPr>
              <w:t>ccus</w:t>
            </w:r>
            <w:r w:rsidR="00777A02">
              <w:rPr>
                <w:lang w:val="en-CA"/>
              </w:rPr>
              <w:t>ed</w:t>
            </w:r>
            <w:r w:rsidRPr="001B22B0">
              <w:rPr>
                <w:lang w:val="en-CA"/>
              </w:rPr>
              <w:t xml:space="preserve"> </w:t>
            </w:r>
          </w:p>
        </w:tc>
      </w:tr>
      <w:tr w:rsidR="008F364A" w:rsidRPr="001B22B0" w14:paraId="10B8EBC1" w14:textId="77777777" w:rsidTr="006A3A36">
        <w:tc>
          <w:tcPr>
            <w:tcW w:w="9630" w:type="dxa"/>
            <w:gridSpan w:val="6"/>
          </w:tcPr>
          <w:p w14:paraId="3DAC294B" w14:textId="77D29880" w:rsidR="008F364A" w:rsidRPr="001B22B0" w:rsidRDefault="00777A02">
            <w:pPr>
              <w:pStyle w:val="zSoquijlblLienParties"/>
              <w:rPr>
                <w:lang w:val="en-CA"/>
              </w:rPr>
            </w:pPr>
            <w:r>
              <w:rPr>
                <w:lang w:val="en-CA"/>
              </w:rPr>
              <w:t>v</w:t>
            </w:r>
            <w:r w:rsidR="00740A17" w:rsidRPr="001B22B0">
              <w:rPr>
                <w:lang w:val="en-CA"/>
              </w:rPr>
              <w:t>.</w:t>
            </w:r>
          </w:p>
        </w:tc>
      </w:tr>
      <w:tr w:rsidR="008F364A" w:rsidRPr="001B22B0" w14:paraId="23A28BFC" w14:textId="77777777" w:rsidTr="006A3A36">
        <w:tc>
          <w:tcPr>
            <w:tcW w:w="9630" w:type="dxa"/>
            <w:gridSpan w:val="6"/>
          </w:tcPr>
          <w:p w14:paraId="213905DC" w14:textId="77777777" w:rsidR="008F364A" w:rsidRPr="001B22B0" w:rsidRDefault="008F364A">
            <w:pPr>
              <w:rPr>
                <w:lang w:val="en-CA"/>
              </w:rPr>
            </w:pPr>
          </w:p>
        </w:tc>
      </w:tr>
      <w:tr w:rsidR="008F364A" w:rsidRPr="001B22B0" w14:paraId="2D8F9038" w14:textId="77777777" w:rsidTr="006A3A36">
        <w:tc>
          <w:tcPr>
            <w:tcW w:w="9630" w:type="dxa"/>
            <w:gridSpan w:val="6"/>
          </w:tcPr>
          <w:p w14:paraId="2DE10BD4" w14:textId="4D03CFBD" w:rsidR="008F364A" w:rsidRPr="001B22B0" w:rsidRDefault="00777A02" w:rsidP="00467EB9">
            <w:pPr>
              <w:pStyle w:val="zSoquijdatNomPartieDef"/>
              <w:rPr>
                <w:lang w:val="en-CA"/>
              </w:rPr>
            </w:pPr>
            <w:r>
              <w:rPr>
                <w:lang w:val="en-CA"/>
              </w:rPr>
              <w:t>HIS MAJESTY THE KING</w:t>
            </w:r>
          </w:p>
        </w:tc>
      </w:tr>
      <w:tr w:rsidR="008F364A" w:rsidRPr="001B22B0" w14:paraId="4A77E4B9" w14:textId="77777777" w:rsidTr="006A3A36">
        <w:tc>
          <w:tcPr>
            <w:tcW w:w="9630" w:type="dxa"/>
            <w:gridSpan w:val="6"/>
          </w:tcPr>
          <w:p w14:paraId="779C83C4" w14:textId="27170A2B" w:rsidR="008F364A" w:rsidRPr="001B22B0" w:rsidRDefault="00777A02">
            <w:pPr>
              <w:pStyle w:val="zSoquijdatQtePartieDef"/>
              <w:rPr>
                <w:lang w:val="en-CA"/>
              </w:rPr>
            </w:pPr>
            <w:r>
              <w:rPr>
                <w:lang w:val="en-CA"/>
              </w:rPr>
              <w:t>RESPONDENT</w:t>
            </w:r>
            <w:r w:rsidR="000C3BCE" w:rsidRPr="001B22B0">
              <w:rPr>
                <w:lang w:val="en-CA"/>
              </w:rPr>
              <w:t xml:space="preserve"> – </w:t>
            </w:r>
            <w:r>
              <w:rPr>
                <w:lang w:val="en-CA"/>
              </w:rPr>
              <w:t>Prosecutor</w:t>
            </w:r>
            <w:r w:rsidR="000C3BCE" w:rsidRPr="001B22B0">
              <w:rPr>
                <w:lang w:val="en-CA"/>
              </w:rPr>
              <w:t xml:space="preserve"> </w:t>
            </w:r>
          </w:p>
        </w:tc>
      </w:tr>
      <w:tr w:rsidR="008F364A" w:rsidRPr="001B22B0" w14:paraId="15A10E35" w14:textId="77777777" w:rsidTr="006A3A36">
        <w:tc>
          <w:tcPr>
            <w:tcW w:w="9630" w:type="dxa"/>
            <w:gridSpan w:val="6"/>
          </w:tcPr>
          <w:p w14:paraId="748E640C" w14:textId="77777777" w:rsidR="008F364A" w:rsidRPr="001B22B0" w:rsidRDefault="008F364A">
            <w:pPr>
              <w:rPr>
                <w:lang w:val="en-CA"/>
              </w:rPr>
            </w:pPr>
          </w:p>
        </w:tc>
      </w:tr>
      <w:tr w:rsidR="008F364A" w:rsidRPr="001B22B0" w14:paraId="5873D677" w14:textId="77777777" w:rsidTr="006A3A36">
        <w:tc>
          <w:tcPr>
            <w:tcW w:w="9630" w:type="dxa"/>
            <w:gridSpan w:val="6"/>
            <w:tcBorders>
              <w:top w:val="single" w:sz="8" w:space="0" w:color="auto"/>
            </w:tcBorders>
          </w:tcPr>
          <w:p w14:paraId="5EAAC5D1" w14:textId="77777777" w:rsidR="008F364A" w:rsidRPr="001B22B0" w:rsidRDefault="008F364A">
            <w:pPr>
              <w:rPr>
                <w:lang w:val="en-CA"/>
              </w:rPr>
            </w:pPr>
            <w:bookmarkStart w:id="8" w:name="Arret"/>
          </w:p>
        </w:tc>
      </w:tr>
      <w:tr w:rsidR="008F364A" w:rsidRPr="001B22B0" w14:paraId="25A45744" w14:textId="77777777" w:rsidTr="006A3A36">
        <w:tc>
          <w:tcPr>
            <w:tcW w:w="9630" w:type="dxa"/>
            <w:gridSpan w:val="6"/>
          </w:tcPr>
          <w:p w14:paraId="6EF77083" w14:textId="5E7FE941" w:rsidR="008F364A" w:rsidRPr="001B22B0" w:rsidRDefault="00777A02">
            <w:pPr>
              <w:pStyle w:val="zSoquijlblTypeDocument"/>
              <w:rPr>
                <w:lang w:val="en-CA"/>
              </w:rPr>
            </w:pPr>
            <w:bookmarkStart w:id="9" w:name="TitreDocument"/>
            <w:r>
              <w:rPr>
                <w:lang w:val="en-CA"/>
              </w:rPr>
              <w:t>JUDGMENT</w:t>
            </w:r>
            <w:bookmarkEnd w:id="9"/>
          </w:p>
        </w:tc>
      </w:tr>
      <w:tr w:rsidR="008F364A" w:rsidRPr="001B22B0" w14:paraId="23C4D648" w14:textId="77777777" w:rsidTr="006A3A36">
        <w:tc>
          <w:tcPr>
            <w:tcW w:w="9630" w:type="dxa"/>
            <w:gridSpan w:val="6"/>
            <w:tcBorders>
              <w:bottom w:val="single" w:sz="8" w:space="0" w:color="auto"/>
            </w:tcBorders>
          </w:tcPr>
          <w:p w14:paraId="2CB480FB" w14:textId="77777777" w:rsidR="008F364A" w:rsidRPr="001B22B0" w:rsidRDefault="008F364A">
            <w:pPr>
              <w:rPr>
                <w:lang w:val="en-CA"/>
              </w:rPr>
            </w:pPr>
          </w:p>
        </w:tc>
      </w:tr>
      <w:tr w:rsidR="008F364A" w:rsidRPr="001B22B0" w14:paraId="03212C5E" w14:textId="77777777" w:rsidTr="006A3A36">
        <w:tc>
          <w:tcPr>
            <w:tcW w:w="9630" w:type="dxa"/>
            <w:gridSpan w:val="6"/>
            <w:tcBorders>
              <w:top w:val="single" w:sz="8" w:space="0" w:color="auto"/>
            </w:tcBorders>
          </w:tcPr>
          <w:p w14:paraId="515D4B5E" w14:textId="77777777" w:rsidR="008F364A" w:rsidRPr="001B22B0" w:rsidRDefault="008F364A">
            <w:pPr>
              <w:rPr>
                <w:lang w:val="en-CA"/>
              </w:rPr>
            </w:pPr>
          </w:p>
        </w:tc>
      </w:tr>
    </w:tbl>
    <w:p w14:paraId="4E226ABC" w14:textId="60BB9312" w:rsidR="006C022A" w:rsidRPr="001B22B0" w:rsidRDefault="001B22B0" w:rsidP="000B6E2B">
      <w:pPr>
        <w:pStyle w:val="Paragraphe"/>
        <w:spacing w:line="240" w:lineRule="auto"/>
        <w:rPr>
          <w:rFonts w:cs="Arial"/>
          <w:lang w:val="en-CA"/>
        </w:rPr>
      </w:pPr>
      <w:r w:rsidRPr="001B22B0">
        <w:rPr>
          <w:rFonts w:cs="Arial"/>
          <w:lang w:val="en-CA"/>
        </w:rPr>
        <w:t>The appellant appeals from a guilty verdict rendered on October 20, 2017</w:t>
      </w:r>
      <w:r w:rsidR="0098205D">
        <w:rPr>
          <w:rFonts w:cs="Arial"/>
          <w:lang w:val="en-CA"/>
        </w:rPr>
        <w:t>,</w:t>
      </w:r>
      <w:r w:rsidRPr="001B22B0">
        <w:rPr>
          <w:rFonts w:cs="Arial"/>
          <w:lang w:val="en-CA"/>
        </w:rPr>
        <w:t xml:space="preserve"> </w:t>
      </w:r>
      <w:r w:rsidR="0098205D">
        <w:rPr>
          <w:rFonts w:cs="Arial"/>
          <w:lang w:val="en-CA"/>
        </w:rPr>
        <w:t>after a trial by jury</w:t>
      </w:r>
      <w:r w:rsidRPr="001B22B0">
        <w:rPr>
          <w:rFonts w:cs="Arial"/>
          <w:lang w:val="en-CA"/>
        </w:rPr>
        <w:t xml:space="preserve"> presided over by the Honourable Hélène Di Salvo of the Superior Court, Criminal Division, District of Montreal, </w:t>
      </w:r>
      <w:r w:rsidR="006756D0">
        <w:rPr>
          <w:rFonts w:cs="Arial"/>
          <w:lang w:val="en-CA"/>
        </w:rPr>
        <w:t>finding</w:t>
      </w:r>
      <w:r w:rsidRPr="001B22B0">
        <w:rPr>
          <w:rFonts w:cs="Arial"/>
          <w:lang w:val="en-CA"/>
        </w:rPr>
        <w:t xml:space="preserve"> him guilty of having committed </w:t>
      </w:r>
      <w:r w:rsidR="00FD568D">
        <w:rPr>
          <w:rFonts w:cs="Arial"/>
          <w:lang w:val="en-CA"/>
        </w:rPr>
        <w:t>first degree</w:t>
      </w:r>
      <w:r w:rsidRPr="001B22B0">
        <w:rPr>
          <w:rFonts w:cs="Arial"/>
          <w:lang w:val="en-CA"/>
        </w:rPr>
        <w:t xml:space="preserve"> murder on April 10, 2016</w:t>
      </w:r>
      <w:r w:rsidR="006C022A" w:rsidRPr="001B22B0">
        <w:rPr>
          <w:rFonts w:cs="Arial"/>
          <w:lang w:val="en-CA"/>
        </w:rPr>
        <w:t>.</w:t>
      </w:r>
    </w:p>
    <w:p w14:paraId="6FB2E222" w14:textId="42725495" w:rsidR="00B67C8D" w:rsidRPr="001B22B0" w:rsidRDefault="001B22B0" w:rsidP="000B6E2B">
      <w:pPr>
        <w:pStyle w:val="Paragraphe"/>
        <w:numPr>
          <w:ilvl w:val="0"/>
          <w:numId w:val="0"/>
        </w:numPr>
        <w:spacing w:line="240" w:lineRule="auto"/>
        <w:rPr>
          <w:rFonts w:cs="Arial"/>
          <w:b/>
          <w:i/>
          <w:lang w:val="en-CA"/>
        </w:rPr>
      </w:pPr>
      <w:r>
        <w:rPr>
          <w:rFonts w:cs="Arial"/>
          <w:b/>
          <w:i/>
          <w:lang w:val="en-CA"/>
        </w:rPr>
        <w:t>O</w:t>
      </w:r>
      <w:r w:rsidR="00BB1A33">
        <w:rPr>
          <w:rFonts w:cs="Arial"/>
          <w:b/>
          <w:i/>
          <w:lang w:val="en-CA"/>
        </w:rPr>
        <w:t>VERVIEW</w:t>
      </w:r>
    </w:p>
    <w:p w14:paraId="36B5C059" w14:textId="5E8F7148" w:rsidR="00151C5D" w:rsidRPr="001B22B0" w:rsidRDefault="00F25CBE" w:rsidP="000B6E2B">
      <w:pPr>
        <w:pStyle w:val="Paragraphe"/>
        <w:spacing w:line="240" w:lineRule="auto"/>
        <w:rPr>
          <w:rFonts w:cs="Arial"/>
          <w:lang w:val="en-CA"/>
        </w:rPr>
      </w:pPr>
      <w:r w:rsidRPr="00F25CBE">
        <w:rPr>
          <w:rFonts w:cs="Arial"/>
          <w:lang w:val="en-CA"/>
        </w:rPr>
        <w:t xml:space="preserve">That day, the appellant caused the death of Clémence Beaulieu-Patry by stabbing her </w:t>
      </w:r>
      <w:r w:rsidR="00795B35">
        <w:rPr>
          <w:rFonts w:cs="Arial"/>
          <w:lang w:val="en-CA"/>
        </w:rPr>
        <w:t>multiple</w:t>
      </w:r>
      <w:r w:rsidRPr="00F25CBE">
        <w:rPr>
          <w:rFonts w:cs="Arial"/>
          <w:lang w:val="en-CA"/>
        </w:rPr>
        <w:t xml:space="preserve"> times </w:t>
      </w:r>
      <w:r>
        <w:rPr>
          <w:rFonts w:cs="Arial"/>
          <w:lang w:val="en-CA"/>
        </w:rPr>
        <w:t>at</w:t>
      </w:r>
      <w:r w:rsidRPr="00F25CBE">
        <w:rPr>
          <w:rFonts w:cs="Arial"/>
          <w:lang w:val="en-CA"/>
        </w:rPr>
        <w:t xml:space="preserve"> her workplace, a food supermarket, in full view of everyone</w:t>
      </w:r>
      <w:r w:rsidR="006D4068">
        <w:rPr>
          <w:rFonts w:cs="Arial"/>
          <w:lang w:val="en-CA"/>
        </w:rPr>
        <w:t>, a</w:t>
      </w:r>
      <w:r w:rsidRPr="00F25CBE">
        <w:rPr>
          <w:rFonts w:cs="Arial"/>
          <w:lang w:val="en-CA"/>
        </w:rPr>
        <w:t xml:space="preserve"> tragic </w:t>
      </w:r>
      <w:r>
        <w:rPr>
          <w:rFonts w:cs="Arial"/>
          <w:lang w:val="en-CA"/>
        </w:rPr>
        <w:t xml:space="preserve">and </w:t>
      </w:r>
      <w:r w:rsidR="006D4068">
        <w:rPr>
          <w:rFonts w:cs="Arial"/>
          <w:lang w:val="en-CA"/>
        </w:rPr>
        <w:t xml:space="preserve">extremely </w:t>
      </w:r>
      <w:r>
        <w:rPr>
          <w:rFonts w:cs="Arial"/>
          <w:lang w:val="en-CA"/>
        </w:rPr>
        <w:t>violent event</w:t>
      </w:r>
      <w:r w:rsidR="00BB0823" w:rsidRPr="001B22B0">
        <w:rPr>
          <w:rFonts w:cs="Arial"/>
          <w:lang w:val="en-CA"/>
        </w:rPr>
        <w:t>.</w:t>
      </w:r>
    </w:p>
    <w:p w14:paraId="75A0EE72" w14:textId="6DCD73CA" w:rsidR="00FB179A" w:rsidRPr="001B22B0" w:rsidRDefault="00F25CBE" w:rsidP="000B6E2B">
      <w:pPr>
        <w:pStyle w:val="Paragraphe"/>
        <w:spacing w:line="240" w:lineRule="auto"/>
        <w:rPr>
          <w:rFonts w:cs="Arial"/>
          <w:lang w:val="en-CA"/>
        </w:rPr>
      </w:pPr>
      <w:r w:rsidRPr="00F25CBE">
        <w:rPr>
          <w:rFonts w:cs="Arial"/>
          <w:lang w:val="en-CA"/>
        </w:rPr>
        <w:t xml:space="preserve">According to the appellant, the events can be explained by </w:t>
      </w:r>
      <w:r w:rsidR="00795B35">
        <w:rPr>
          <w:rFonts w:cs="Arial"/>
          <w:lang w:val="en-CA"/>
        </w:rPr>
        <w:t>his</w:t>
      </w:r>
      <w:r w:rsidRPr="00F25CBE">
        <w:rPr>
          <w:rFonts w:cs="Arial"/>
          <w:lang w:val="en-CA"/>
        </w:rPr>
        <w:t xml:space="preserve"> mental disorder manifested </w:t>
      </w:r>
      <w:r>
        <w:rPr>
          <w:rFonts w:cs="Arial"/>
          <w:lang w:val="en-CA"/>
        </w:rPr>
        <w:t>as</w:t>
      </w:r>
      <w:r w:rsidRPr="00F25CBE">
        <w:rPr>
          <w:rFonts w:cs="Arial"/>
          <w:lang w:val="en-CA"/>
        </w:rPr>
        <w:t xml:space="preserve"> a delusion of persecution </w:t>
      </w:r>
      <w:r w:rsidR="00013E71">
        <w:rPr>
          <w:rFonts w:cs="Arial"/>
          <w:lang w:val="en-CA"/>
        </w:rPr>
        <w:t xml:space="preserve">during </w:t>
      </w:r>
      <w:r w:rsidR="005165CE">
        <w:rPr>
          <w:rFonts w:cs="Arial"/>
          <w:lang w:val="en-CA"/>
        </w:rPr>
        <w:t>which</w:t>
      </w:r>
      <w:r w:rsidRPr="00F25CBE">
        <w:rPr>
          <w:rFonts w:cs="Arial"/>
          <w:lang w:val="en-CA"/>
        </w:rPr>
        <w:t xml:space="preserve"> his life was </w:t>
      </w:r>
      <w:r w:rsidR="004A22DC">
        <w:rPr>
          <w:rFonts w:cs="Arial"/>
          <w:lang w:val="en-CA"/>
        </w:rPr>
        <w:t>endangered</w:t>
      </w:r>
      <w:r w:rsidRPr="00F25CBE">
        <w:rPr>
          <w:rFonts w:cs="Arial"/>
          <w:lang w:val="en-CA"/>
        </w:rPr>
        <w:t xml:space="preserve"> by the </w:t>
      </w:r>
      <w:r w:rsidRPr="00F25CBE">
        <w:rPr>
          <w:rFonts w:cs="Arial"/>
          <w:lang w:val="en-CA"/>
        </w:rPr>
        <w:lastRenderedPageBreak/>
        <w:t xml:space="preserve">victim and her friends. This delusion prevented him from knowing that what he was doing was wrong. The </w:t>
      </w:r>
      <w:r w:rsidR="00795B35">
        <w:rPr>
          <w:rFonts w:cs="Arial"/>
          <w:lang w:val="en-CA"/>
        </w:rPr>
        <w:t>Crown</w:t>
      </w:r>
      <w:r w:rsidRPr="00F25CBE">
        <w:rPr>
          <w:rFonts w:cs="Arial"/>
          <w:lang w:val="en-CA"/>
        </w:rPr>
        <w:t xml:space="preserve"> maintains that it </w:t>
      </w:r>
      <w:r w:rsidR="00534CD5">
        <w:rPr>
          <w:rFonts w:cs="Arial"/>
          <w:lang w:val="en-CA"/>
        </w:rPr>
        <w:t>was</w:t>
      </w:r>
      <w:r w:rsidRPr="00F25CBE">
        <w:rPr>
          <w:rFonts w:cs="Arial"/>
          <w:lang w:val="en-CA"/>
        </w:rPr>
        <w:t xml:space="preserve"> an intentional, </w:t>
      </w:r>
      <w:r w:rsidR="00A6019D">
        <w:rPr>
          <w:rFonts w:cs="Arial"/>
          <w:lang w:val="en-CA"/>
        </w:rPr>
        <w:t>planned</w:t>
      </w:r>
      <w:r w:rsidRPr="00F25CBE">
        <w:rPr>
          <w:rFonts w:cs="Arial"/>
          <w:lang w:val="en-CA"/>
        </w:rPr>
        <w:t xml:space="preserve"> and deliberate homicide.</w:t>
      </w:r>
    </w:p>
    <w:p w14:paraId="39E87CA2" w14:textId="7DDFF8CD" w:rsidR="00AD0173" w:rsidRPr="001B22B0" w:rsidRDefault="006A3A36" w:rsidP="000B6E2B">
      <w:pPr>
        <w:pStyle w:val="Paragraphe"/>
        <w:spacing w:line="240" w:lineRule="auto"/>
        <w:rPr>
          <w:rFonts w:cs="Arial"/>
          <w:lang w:val="en-CA"/>
        </w:rPr>
      </w:pPr>
      <w:r>
        <w:rPr>
          <w:rFonts w:cs="Arial"/>
          <w:lang w:val="en-CA"/>
        </w:rPr>
        <w:t>In</w:t>
      </w:r>
      <w:r w:rsidR="00094251" w:rsidRPr="001B22B0">
        <w:rPr>
          <w:rFonts w:cs="Arial"/>
          <w:lang w:val="en-CA"/>
        </w:rPr>
        <w:t xml:space="preserve"> </w:t>
      </w:r>
      <w:r w:rsidR="00094251" w:rsidRPr="001B22B0">
        <w:rPr>
          <w:rFonts w:cs="Arial"/>
          <w:i/>
          <w:lang w:val="en-CA"/>
        </w:rPr>
        <w:t>Winko</w:t>
      </w:r>
      <w:r w:rsidR="00094251" w:rsidRPr="001B22B0">
        <w:rPr>
          <w:rFonts w:cs="Arial"/>
          <w:lang w:val="en-CA"/>
        </w:rPr>
        <w:t xml:space="preserve">, </w:t>
      </w:r>
      <w:r w:rsidRPr="0084783E">
        <w:rPr>
          <w:rFonts w:cs="Arial"/>
          <w:lang w:val="en-CA"/>
        </w:rPr>
        <w:t>Chief Justice</w:t>
      </w:r>
      <w:r w:rsidR="00094251" w:rsidRPr="0084783E">
        <w:rPr>
          <w:rFonts w:cs="Arial"/>
          <w:lang w:val="en-CA"/>
        </w:rPr>
        <w:t xml:space="preserve"> McLachlin expl</w:t>
      </w:r>
      <w:r w:rsidRPr="0084783E">
        <w:rPr>
          <w:rFonts w:cs="Arial"/>
          <w:lang w:val="en-CA"/>
        </w:rPr>
        <w:t>ain</w:t>
      </w:r>
      <w:r w:rsidR="00B25DBD">
        <w:rPr>
          <w:rFonts w:cs="Arial"/>
          <w:lang w:val="en-CA"/>
        </w:rPr>
        <w:t>ed</w:t>
      </w:r>
      <w:r w:rsidRPr="0084783E">
        <w:rPr>
          <w:rFonts w:cs="Arial"/>
          <w:lang w:val="en-CA"/>
        </w:rPr>
        <w:t xml:space="preserve"> that</w:t>
      </w:r>
      <w:r w:rsidR="00094251" w:rsidRPr="0084783E">
        <w:rPr>
          <w:rFonts w:cs="Arial"/>
          <w:lang w:val="en-CA"/>
        </w:rPr>
        <w:t xml:space="preserve">: </w:t>
      </w:r>
      <w:r w:rsidRPr="0066627F">
        <w:rPr>
          <w:rFonts w:cs="Arial"/>
          <w:lang w:val="en-CA"/>
        </w:rPr>
        <w:t>“</w:t>
      </w:r>
      <w:r w:rsidR="00795B35" w:rsidRPr="0066627F">
        <w:rPr>
          <w:rFonts w:cs="Arial"/>
          <w:lang w:val="en-CA"/>
        </w:rPr>
        <w:t>[i]</w:t>
      </w:r>
      <w:r w:rsidRPr="0066627F">
        <w:rPr>
          <w:rFonts w:cs="Arial"/>
          <w:lang w:val="en-CA"/>
        </w:rPr>
        <w:t>n every society there are those who commit criminal acts because of mental illness. The criminal law must find a way to deal with these people fairly, while protecting the public against further harms. The task is not an easy one”.</w:t>
      </w:r>
      <w:r w:rsidR="00094251" w:rsidRPr="0084783E">
        <w:rPr>
          <w:rStyle w:val="Appelnotedebasdep"/>
          <w:rFonts w:cs="Arial"/>
          <w:lang w:val="en-CA"/>
        </w:rPr>
        <w:footnoteReference w:id="1"/>
      </w:r>
    </w:p>
    <w:p w14:paraId="27021803" w14:textId="20AA56F4" w:rsidR="00094251" w:rsidRPr="001B22B0" w:rsidRDefault="00267CEE" w:rsidP="000B6E2B">
      <w:pPr>
        <w:pStyle w:val="Paragraphe"/>
        <w:spacing w:line="240" w:lineRule="auto"/>
        <w:rPr>
          <w:rFonts w:cs="Arial"/>
          <w:lang w:val="en-CA"/>
        </w:rPr>
      </w:pPr>
      <w:r>
        <w:rPr>
          <w:rFonts w:cs="Arial"/>
          <w:lang w:val="en-CA"/>
        </w:rPr>
        <w:t>The issue at</w:t>
      </w:r>
      <w:r w:rsidRPr="006A3A36">
        <w:rPr>
          <w:rFonts w:cs="Arial"/>
          <w:lang w:val="en-CA"/>
        </w:rPr>
        <w:t xml:space="preserve"> </w:t>
      </w:r>
      <w:r w:rsidR="006A3A36" w:rsidRPr="006A3A36">
        <w:rPr>
          <w:rFonts w:cs="Arial"/>
          <w:lang w:val="en-CA"/>
        </w:rPr>
        <w:t>trial</w:t>
      </w:r>
      <w:r>
        <w:rPr>
          <w:rFonts w:cs="Arial"/>
          <w:lang w:val="en-CA"/>
        </w:rPr>
        <w:t xml:space="preserve"> was </w:t>
      </w:r>
      <w:r w:rsidR="006A3A36" w:rsidRPr="006A3A36">
        <w:rPr>
          <w:rFonts w:cs="Arial"/>
          <w:lang w:val="en-CA"/>
        </w:rPr>
        <w:t xml:space="preserve">whether the </w:t>
      </w:r>
      <w:r w:rsidR="00795B35">
        <w:rPr>
          <w:rFonts w:cs="Arial"/>
          <w:lang w:val="en-CA"/>
        </w:rPr>
        <w:t xml:space="preserve">appellant’s </w:t>
      </w:r>
      <w:r w:rsidR="006A3A36" w:rsidRPr="006A3A36">
        <w:rPr>
          <w:rFonts w:cs="Arial"/>
          <w:lang w:val="en-CA"/>
        </w:rPr>
        <w:t>mental disorder</w:t>
      </w:r>
      <w:r>
        <w:rPr>
          <w:rFonts w:cs="Arial"/>
          <w:lang w:val="en-CA"/>
        </w:rPr>
        <w:t xml:space="preserve"> had</w:t>
      </w:r>
      <w:r w:rsidR="006A3A36" w:rsidRPr="006A3A36">
        <w:rPr>
          <w:rFonts w:cs="Arial"/>
          <w:lang w:val="en-CA"/>
        </w:rPr>
        <w:t xml:space="preserve"> deprived him of the capacity to know whether the </w:t>
      </w:r>
      <w:r w:rsidR="00B078EC">
        <w:rPr>
          <w:rFonts w:cs="Arial"/>
          <w:lang w:val="en-CA"/>
        </w:rPr>
        <w:t>acts</w:t>
      </w:r>
      <w:r>
        <w:rPr>
          <w:rFonts w:cs="Arial"/>
          <w:lang w:val="en-CA"/>
        </w:rPr>
        <w:t xml:space="preserve"> </w:t>
      </w:r>
      <w:r w:rsidR="00224D9B">
        <w:rPr>
          <w:rFonts w:cs="Arial"/>
          <w:lang w:val="en-CA"/>
        </w:rPr>
        <w:t>committed</w:t>
      </w:r>
      <w:r w:rsidR="006A3A36" w:rsidRPr="006A3A36">
        <w:rPr>
          <w:rFonts w:cs="Arial"/>
          <w:lang w:val="en-CA"/>
        </w:rPr>
        <w:t xml:space="preserve"> were wrong or whether </w:t>
      </w:r>
      <w:r w:rsidRPr="006A3A36">
        <w:rPr>
          <w:rFonts w:cs="Arial"/>
          <w:lang w:val="en-CA"/>
        </w:rPr>
        <w:t>th</w:t>
      </w:r>
      <w:r>
        <w:rPr>
          <w:rFonts w:cs="Arial"/>
          <w:lang w:val="en-CA"/>
        </w:rPr>
        <w:t>at</w:t>
      </w:r>
      <w:r w:rsidRPr="006A3A36">
        <w:rPr>
          <w:rFonts w:cs="Arial"/>
          <w:lang w:val="en-CA"/>
        </w:rPr>
        <w:t xml:space="preserve"> </w:t>
      </w:r>
      <w:r w:rsidR="006A3A36" w:rsidRPr="006A3A36">
        <w:rPr>
          <w:rFonts w:cs="Arial"/>
          <w:lang w:val="en-CA"/>
        </w:rPr>
        <w:t xml:space="preserve">disorder should raise a reasonable doubt </w:t>
      </w:r>
      <w:r>
        <w:rPr>
          <w:rFonts w:cs="Arial"/>
          <w:lang w:val="en-CA"/>
        </w:rPr>
        <w:t>as to the</w:t>
      </w:r>
      <w:r w:rsidR="006A3A36" w:rsidRPr="006A3A36">
        <w:rPr>
          <w:rFonts w:cs="Arial"/>
          <w:lang w:val="en-CA"/>
        </w:rPr>
        <w:t xml:space="preserve"> </w:t>
      </w:r>
      <w:r w:rsidR="00D31836">
        <w:rPr>
          <w:rFonts w:cs="Arial"/>
          <w:lang w:val="en-CA"/>
        </w:rPr>
        <w:t xml:space="preserve">requisite </w:t>
      </w:r>
      <w:r w:rsidR="006A3A36" w:rsidRPr="006A3A36">
        <w:rPr>
          <w:rFonts w:cs="Arial"/>
          <w:lang w:val="en-CA"/>
        </w:rPr>
        <w:t>intent for murder</w:t>
      </w:r>
      <w:r w:rsidR="00094251" w:rsidRPr="001B22B0">
        <w:rPr>
          <w:rFonts w:cs="Arial"/>
          <w:lang w:val="en-CA"/>
        </w:rPr>
        <w:t>.</w:t>
      </w:r>
    </w:p>
    <w:p w14:paraId="7AAD2705" w14:textId="5158A0A2" w:rsidR="00E12AA0" w:rsidRPr="001B22B0" w:rsidRDefault="00E947C1" w:rsidP="000B6E2B">
      <w:pPr>
        <w:pStyle w:val="Paragraphe"/>
        <w:spacing w:line="240" w:lineRule="auto"/>
        <w:rPr>
          <w:rFonts w:cs="Arial"/>
          <w:lang w:val="en-CA"/>
        </w:rPr>
      </w:pPr>
      <w:r w:rsidRPr="00E947C1">
        <w:rPr>
          <w:rFonts w:cs="Arial"/>
          <w:lang w:val="en-CA"/>
        </w:rPr>
        <w:t>The jury had to make this d</w:t>
      </w:r>
      <w:r>
        <w:rPr>
          <w:rFonts w:cs="Arial"/>
          <w:lang w:val="en-CA"/>
        </w:rPr>
        <w:t>ifficult</w:t>
      </w:r>
      <w:r w:rsidRPr="00E947C1">
        <w:rPr>
          <w:rFonts w:cs="Arial"/>
          <w:lang w:val="en-CA"/>
        </w:rPr>
        <w:t xml:space="preserve"> determination, </w:t>
      </w:r>
      <w:r>
        <w:rPr>
          <w:rFonts w:cs="Arial"/>
          <w:lang w:val="en-CA"/>
        </w:rPr>
        <w:t>guided</w:t>
      </w:r>
      <w:r w:rsidRPr="00E947C1">
        <w:rPr>
          <w:rFonts w:cs="Arial"/>
          <w:lang w:val="en-CA"/>
        </w:rPr>
        <w:t xml:space="preserve"> by </w:t>
      </w:r>
      <w:r w:rsidR="008717ED">
        <w:rPr>
          <w:rFonts w:cs="Arial"/>
          <w:lang w:val="en-CA"/>
        </w:rPr>
        <w:t>improper</w:t>
      </w:r>
      <w:r w:rsidR="008717ED" w:rsidRPr="00E947C1">
        <w:rPr>
          <w:rFonts w:cs="Arial"/>
          <w:lang w:val="en-CA"/>
        </w:rPr>
        <w:t xml:space="preserve"> </w:t>
      </w:r>
      <w:r w:rsidRPr="00E947C1">
        <w:rPr>
          <w:rFonts w:cs="Arial"/>
          <w:lang w:val="en-CA"/>
        </w:rPr>
        <w:t>instructions. As we will see, the appellant</w:t>
      </w:r>
      <w:r w:rsidR="002217EC">
        <w:rPr>
          <w:rFonts w:cs="Arial"/>
          <w:lang w:val="en-CA"/>
        </w:rPr>
        <w:t>’</w:t>
      </w:r>
      <w:r w:rsidRPr="00E947C1">
        <w:rPr>
          <w:rFonts w:cs="Arial"/>
          <w:lang w:val="en-CA"/>
        </w:rPr>
        <w:t xml:space="preserve">s main argument </w:t>
      </w:r>
      <w:r w:rsidR="00B90162">
        <w:rPr>
          <w:rFonts w:cs="Arial"/>
          <w:lang w:val="en-CA"/>
        </w:rPr>
        <w:t>concerns</w:t>
      </w:r>
      <w:r w:rsidRPr="00E947C1">
        <w:rPr>
          <w:rFonts w:cs="Arial"/>
          <w:lang w:val="en-CA"/>
        </w:rPr>
        <w:t xml:space="preserve"> the confusing and contradictory nature of the instructions </w:t>
      </w:r>
      <w:r w:rsidR="00B90162">
        <w:rPr>
          <w:rFonts w:cs="Arial"/>
          <w:lang w:val="en-CA"/>
        </w:rPr>
        <w:t>regarding</w:t>
      </w:r>
      <w:r w:rsidRPr="00E947C1">
        <w:rPr>
          <w:rFonts w:cs="Arial"/>
          <w:lang w:val="en-CA"/>
        </w:rPr>
        <w:t xml:space="preserve"> his </w:t>
      </w:r>
      <w:r w:rsidR="002E1013">
        <w:rPr>
          <w:rFonts w:cs="Arial"/>
          <w:lang w:val="en-CA"/>
        </w:rPr>
        <w:t xml:space="preserve">post-homicide </w:t>
      </w:r>
      <w:r w:rsidR="00EE5B02">
        <w:rPr>
          <w:rFonts w:cs="Arial"/>
          <w:lang w:val="en-CA"/>
        </w:rPr>
        <w:t>conduct</w:t>
      </w:r>
      <w:r w:rsidR="002E1013">
        <w:rPr>
          <w:rFonts w:cs="Arial"/>
          <w:lang w:val="en-CA"/>
        </w:rPr>
        <w:t>.</w:t>
      </w:r>
    </w:p>
    <w:p w14:paraId="5FBEEB18" w14:textId="4F04CC1B" w:rsidR="00E12AA0" w:rsidRPr="001B22B0" w:rsidRDefault="00245F83" w:rsidP="000B6E2B">
      <w:pPr>
        <w:pStyle w:val="Paragraphe"/>
        <w:spacing w:line="240" w:lineRule="auto"/>
        <w:rPr>
          <w:rFonts w:cs="Arial"/>
          <w:lang w:val="en-CA"/>
        </w:rPr>
      </w:pPr>
      <w:r w:rsidRPr="00245F83">
        <w:rPr>
          <w:rFonts w:cs="Arial"/>
          <w:lang w:val="en-CA"/>
        </w:rPr>
        <w:t>The appellant</w:t>
      </w:r>
      <w:r w:rsidR="002217EC">
        <w:rPr>
          <w:rFonts w:cs="Arial"/>
          <w:lang w:val="en-CA"/>
        </w:rPr>
        <w:t>’</w:t>
      </w:r>
      <w:r w:rsidRPr="00245F83">
        <w:rPr>
          <w:rFonts w:cs="Arial"/>
          <w:lang w:val="en-CA"/>
        </w:rPr>
        <w:t xml:space="preserve">s trial was held before the Supreme Court of Canada rendered its decision </w:t>
      </w:r>
      <w:r>
        <w:rPr>
          <w:rFonts w:cs="Arial"/>
          <w:lang w:val="en-CA"/>
        </w:rPr>
        <w:t xml:space="preserve">in </w:t>
      </w:r>
      <w:r w:rsidR="00EF337D" w:rsidRPr="001B22B0">
        <w:rPr>
          <w:rFonts w:cs="Arial"/>
          <w:i/>
          <w:lang w:val="en-CA"/>
        </w:rPr>
        <w:t>Calnen</w:t>
      </w:r>
      <w:r>
        <w:rPr>
          <w:rFonts w:cs="Arial"/>
          <w:iCs/>
          <w:lang w:val="en-CA"/>
        </w:rPr>
        <w:t>.</w:t>
      </w:r>
      <w:r w:rsidR="0062509B" w:rsidRPr="001B22B0">
        <w:rPr>
          <w:rStyle w:val="Appelnotedebasdep"/>
          <w:rFonts w:cs="Arial"/>
          <w:lang w:val="en-CA"/>
        </w:rPr>
        <w:footnoteReference w:id="2"/>
      </w:r>
      <w:r w:rsidR="0062509B" w:rsidRPr="001B22B0">
        <w:rPr>
          <w:rFonts w:cs="Arial"/>
          <w:lang w:val="en-CA"/>
        </w:rPr>
        <w:t xml:space="preserve"> </w:t>
      </w:r>
      <w:r w:rsidRPr="00245F83">
        <w:rPr>
          <w:rFonts w:cs="Arial"/>
          <w:lang w:val="en-CA"/>
        </w:rPr>
        <w:t xml:space="preserve">The trial judge and the parties did not </w:t>
      </w:r>
      <w:r w:rsidR="002217EC" w:rsidRPr="00245F83">
        <w:rPr>
          <w:rFonts w:cs="Arial"/>
          <w:lang w:val="en-CA"/>
        </w:rPr>
        <w:t xml:space="preserve">therefore </w:t>
      </w:r>
      <w:r w:rsidRPr="00245F83">
        <w:rPr>
          <w:rFonts w:cs="Arial"/>
          <w:lang w:val="en-CA"/>
        </w:rPr>
        <w:t xml:space="preserve">have </w:t>
      </w:r>
      <w:r w:rsidR="002217EC">
        <w:rPr>
          <w:rFonts w:cs="Arial"/>
          <w:lang w:val="en-CA"/>
        </w:rPr>
        <w:t>the benefit of</w:t>
      </w:r>
      <w:r w:rsidRPr="00245F83">
        <w:rPr>
          <w:rFonts w:cs="Arial"/>
          <w:lang w:val="en-CA"/>
        </w:rPr>
        <w:t xml:space="preserve"> the useful lessons of this decision</w:t>
      </w:r>
      <w:r w:rsidR="002217EC">
        <w:rPr>
          <w:rFonts w:cs="Arial"/>
          <w:lang w:val="en-CA"/>
        </w:rPr>
        <w:t>,</w:t>
      </w:r>
      <w:r w:rsidRPr="00245F83">
        <w:rPr>
          <w:rFonts w:cs="Arial"/>
          <w:lang w:val="en-CA"/>
        </w:rPr>
        <w:t xml:space="preserve"> which would </w:t>
      </w:r>
      <w:r>
        <w:rPr>
          <w:rFonts w:cs="Arial"/>
          <w:lang w:val="en-CA"/>
        </w:rPr>
        <w:t xml:space="preserve">have </w:t>
      </w:r>
      <w:r w:rsidRPr="00245F83">
        <w:rPr>
          <w:rFonts w:cs="Arial"/>
          <w:lang w:val="en-CA"/>
        </w:rPr>
        <w:t xml:space="preserve">undoubtedly </w:t>
      </w:r>
      <w:r>
        <w:rPr>
          <w:rFonts w:cs="Arial"/>
          <w:lang w:val="en-CA"/>
        </w:rPr>
        <w:t>s</w:t>
      </w:r>
      <w:r w:rsidRPr="00245F83">
        <w:rPr>
          <w:rFonts w:cs="Arial"/>
          <w:lang w:val="en-CA"/>
        </w:rPr>
        <w:t>implified the instructions given to the jury concerning the appellant</w:t>
      </w:r>
      <w:r w:rsidR="002217EC">
        <w:rPr>
          <w:rFonts w:cs="Arial"/>
          <w:lang w:val="en-CA"/>
        </w:rPr>
        <w:t>’</w:t>
      </w:r>
      <w:r w:rsidRPr="00245F83">
        <w:rPr>
          <w:rFonts w:cs="Arial"/>
          <w:lang w:val="en-CA"/>
        </w:rPr>
        <w:t xml:space="preserve">s </w:t>
      </w:r>
      <w:r w:rsidR="001C5FA4">
        <w:rPr>
          <w:rFonts w:cs="Arial"/>
          <w:lang w:val="en-CA"/>
        </w:rPr>
        <w:t xml:space="preserve">post-homicide </w:t>
      </w:r>
      <w:r w:rsidR="00EE5B02">
        <w:rPr>
          <w:rFonts w:cs="Arial"/>
          <w:lang w:val="en-CA"/>
        </w:rPr>
        <w:t>conduct</w:t>
      </w:r>
      <w:r w:rsidRPr="00245F83">
        <w:rPr>
          <w:rFonts w:cs="Arial"/>
          <w:lang w:val="en-CA"/>
        </w:rPr>
        <w:t xml:space="preserve">, </w:t>
      </w:r>
      <w:r>
        <w:rPr>
          <w:rFonts w:cs="Arial"/>
          <w:lang w:val="en-CA"/>
        </w:rPr>
        <w:t>although</w:t>
      </w:r>
      <w:r w:rsidRPr="00245F83">
        <w:rPr>
          <w:rFonts w:cs="Arial"/>
          <w:lang w:val="en-CA"/>
        </w:rPr>
        <w:t xml:space="preserve"> the case law </w:t>
      </w:r>
      <w:r>
        <w:rPr>
          <w:rFonts w:cs="Arial"/>
          <w:lang w:val="en-CA"/>
        </w:rPr>
        <w:t>was</w:t>
      </w:r>
      <w:r w:rsidRPr="00245F83">
        <w:rPr>
          <w:rFonts w:cs="Arial"/>
          <w:lang w:val="en-CA"/>
        </w:rPr>
        <w:t xml:space="preserve"> already </w:t>
      </w:r>
      <w:r>
        <w:rPr>
          <w:rFonts w:cs="Arial"/>
          <w:lang w:val="en-CA"/>
        </w:rPr>
        <w:t xml:space="preserve">moving in that </w:t>
      </w:r>
      <w:r w:rsidRPr="00245F83">
        <w:rPr>
          <w:rFonts w:cs="Arial"/>
          <w:lang w:val="en-CA"/>
        </w:rPr>
        <w:t>direction</w:t>
      </w:r>
      <w:r w:rsidR="00577C96" w:rsidRPr="001B22B0">
        <w:rPr>
          <w:rFonts w:cs="Arial"/>
          <w:lang w:val="en-CA"/>
        </w:rPr>
        <w:t>.</w:t>
      </w:r>
    </w:p>
    <w:p w14:paraId="3A4DD05C" w14:textId="061711C3" w:rsidR="004C1364" w:rsidRPr="001B22B0" w:rsidRDefault="00A47776" w:rsidP="000B6E2B">
      <w:pPr>
        <w:pStyle w:val="Paragraphe"/>
        <w:spacing w:line="240" w:lineRule="auto"/>
        <w:rPr>
          <w:rFonts w:cs="Arial"/>
          <w:lang w:val="en-CA"/>
        </w:rPr>
      </w:pPr>
      <w:r w:rsidRPr="00A47776">
        <w:rPr>
          <w:rFonts w:cs="Arial"/>
          <w:lang w:val="en-CA"/>
        </w:rPr>
        <w:t xml:space="preserve">That said, the Court </w:t>
      </w:r>
      <w:r>
        <w:rPr>
          <w:rFonts w:cs="Arial"/>
          <w:lang w:val="en-CA"/>
        </w:rPr>
        <w:t xml:space="preserve">cannot but </w:t>
      </w:r>
      <w:r w:rsidRPr="00A47776">
        <w:rPr>
          <w:rFonts w:cs="Arial"/>
          <w:lang w:val="en-CA"/>
        </w:rPr>
        <w:t xml:space="preserve">note that the instructions </w:t>
      </w:r>
      <w:r w:rsidR="00D62454">
        <w:rPr>
          <w:rFonts w:cs="Arial"/>
          <w:lang w:val="en-CA"/>
        </w:rPr>
        <w:t>given</w:t>
      </w:r>
      <w:r w:rsidRPr="00A47776">
        <w:rPr>
          <w:rFonts w:cs="Arial"/>
          <w:lang w:val="en-CA"/>
        </w:rPr>
        <w:t xml:space="preserve"> only orally to the jury were unduly </w:t>
      </w:r>
      <w:r w:rsidR="001C5FA4" w:rsidRPr="00A47776">
        <w:rPr>
          <w:rFonts w:cs="Arial"/>
          <w:lang w:val="en-CA"/>
        </w:rPr>
        <w:t>l</w:t>
      </w:r>
      <w:r w:rsidR="001C5FA4">
        <w:rPr>
          <w:rFonts w:cs="Arial"/>
          <w:lang w:val="en-CA"/>
        </w:rPr>
        <w:t>engthy</w:t>
      </w:r>
      <w:r w:rsidRPr="00A47776">
        <w:rPr>
          <w:rFonts w:cs="Arial"/>
          <w:lang w:val="en-CA"/>
        </w:rPr>
        <w:t xml:space="preserve">, unnecessarily complex, </w:t>
      </w:r>
      <w:r w:rsidR="003605B1">
        <w:rPr>
          <w:rFonts w:cs="Arial"/>
          <w:lang w:val="en-CA"/>
        </w:rPr>
        <w:t>and</w:t>
      </w:r>
      <w:r w:rsidRPr="00A47776">
        <w:rPr>
          <w:rFonts w:cs="Arial"/>
          <w:lang w:val="en-CA"/>
        </w:rPr>
        <w:t xml:space="preserve"> above all clearly contradictory and prejudicial to the appellant</w:t>
      </w:r>
      <w:r w:rsidR="00130AE0">
        <w:rPr>
          <w:rFonts w:cs="Arial"/>
          <w:lang w:val="en-CA"/>
        </w:rPr>
        <w:t>’</w:t>
      </w:r>
      <w:r w:rsidRPr="00A47776">
        <w:rPr>
          <w:rFonts w:cs="Arial"/>
          <w:lang w:val="en-CA"/>
        </w:rPr>
        <w:t>s position.</w:t>
      </w:r>
    </w:p>
    <w:p w14:paraId="563F2EB0" w14:textId="0C37B7FB" w:rsidR="005437DD" w:rsidRPr="001B22B0" w:rsidRDefault="00EF7D2B" w:rsidP="000B6E2B">
      <w:pPr>
        <w:pStyle w:val="Paragraphe"/>
        <w:spacing w:line="240" w:lineRule="auto"/>
        <w:rPr>
          <w:lang w:val="en-CA"/>
        </w:rPr>
      </w:pPr>
      <w:r>
        <w:rPr>
          <w:rFonts w:cs="Arial"/>
          <w:lang w:val="en-CA"/>
        </w:rPr>
        <w:t>T</w:t>
      </w:r>
      <w:r w:rsidRPr="00EF7D2B">
        <w:rPr>
          <w:rFonts w:cs="Arial"/>
          <w:lang w:val="en-CA"/>
        </w:rPr>
        <w:t xml:space="preserve">he instructions </w:t>
      </w:r>
      <w:r>
        <w:rPr>
          <w:rFonts w:cs="Arial"/>
          <w:lang w:val="en-CA"/>
        </w:rPr>
        <w:t>were supposed to</w:t>
      </w:r>
      <w:r w:rsidRPr="00EF7D2B">
        <w:rPr>
          <w:rFonts w:cs="Arial"/>
          <w:lang w:val="en-CA"/>
        </w:rPr>
        <w:t xml:space="preserve"> clarify and simplify the jury</w:t>
      </w:r>
      <w:r w:rsidR="00130AE0">
        <w:rPr>
          <w:rFonts w:cs="Arial"/>
          <w:lang w:val="en-CA"/>
        </w:rPr>
        <w:t>’</w:t>
      </w:r>
      <w:r w:rsidRPr="00EF7D2B">
        <w:rPr>
          <w:rFonts w:cs="Arial"/>
          <w:lang w:val="en-CA"/>
        </w:rPr>
        <w:t xml:space="preserve">s task. </w:t>
      </w:r>
      <w:r w:rsidR="00C02C26">
        <w:rPr>
          <w:rFonts w:cs="Arial"/>
          <w:lang w:val="en-CA"/>
        </w:rPr>
        <w:t>The jury required</w:t>
      </w:r>
      <w:r w:rsidRPr="00EF7D2B">
        <w:rPr>
          <w:rFonts w:cs="Arial"/>
          <w:lang w:val="en-CA"/>
        </w:rPr>
        <w:t xml:space="preserve"> clear and reconcilable </w:t>
      </w:r>
      <w:r w:rsidR="00086170">
        <w:rPr>
          <w:rFonts w:cs="Arial"/>
          <w:lang w:val="en-CA"/>
        </w:rPr>
        <w:t>instructions</w:t>
      </w:r>
      <w:r w:rsidRPr="00EF7D2B">
        <w:rPr>
          <w:rFonts w:cs="Arial"/>
          <w:lang w:val="en-CA"/>
        </w:rPr>
        <w:t xml:space="preserve">, a particularly crucial requirement in the care </w:t>
      </w:r>
      <w:r w:rsidR="00086170">
        <w:rPr>
          <w:rFonts w:cs="Arial"/>
          <w:lang w:val="en-CA"/>
        </w:rPr>
        <w:t>that</w:t>
      </w:r>
      <w:r w:rsidRPr="00EF7D2B">
        <w:rPr>
          <w:rFonts w:cs="Arial"/>
          <w:lang w:val="en-CA"/>
        </w:rPr>
        <w:t xml:space="preserve"> had to be taken in formulati</w:t>
      </w:r>
      <w:r w:rsidR="00086170">
        <w:rPr>
          <w:rFonts w:cs="Arial"/>
          <w:lang w:val="en-CA"/>
        </w:rPr>
        <w:t>ng</w:t>
      </w:r>
      <w:r w:rsidRPr="00EF7D2B">
        <w:rPr>
          <w:rFonts w:cs="Arial"/>
          <w:lang w:val="en-CA"/>
        </w:rPr>
        <w:t xml:space="preserve"> the </w:t>
      </w:r>
      <w:r w:rsidR="001C5FA4" w:rsidRPr="00EF7D2B">
        <w:rPr>
          <w:rFonts w:cs="Arial"/>
          <w:lang w:val="en-CA"/>
        </w:rPr>
        <w:t>correct</w:t>
      </w:r>
      <w:r w:rsidR="00DA63D4">
        <w:rPr>
          <w:rFonts w:cs="Arial"/>
          <w:lang w:val="en-CA"/>
        </w:rPr>
        <w:t>ive</w:t>
      </w:r>
      <w:r w:rsidR="001C5FA4" w:rsidRPr="00EF7D2B">
        <w:rPr>
          <w:rFonts w:cs="Arial"/>
          <w:lang w:val="en-CA"/>
        </w:rPr>
        <w:t xml:space="preserve"> </w:t>
      </w:r>
      <w:r w:rsidR="00086170">
        <w:rPr>
          <w:rFonts w:cs="Arial"/>
          <w:lang w:val="en-CA"/>
        </w:rPr>
        <w:t>instruction</w:t>
      </w:r>
      <w:r w:rsidR="001C5FA4">
        <w:rPr>
          <w:rFonts w:cs="Arial"/>
          <w:lang w:val="en-CA"/>
        </w:rPr>
        <w:t>s</w:t>
      </w:r>
      <w:r w:rsidRPr="00EF7D2B">
        <w:rPr>
          <w:rFonts w:cs="Arial"/>
          <w:lang w:val="en-CA"/>
        </w:rPr>
        <w:t xml:space="preserve"> requested by the parties concerning the </w:t>
      </w:r>
      <w:r w:rsidR="00086170">
        <w:rPr>
          <w:rFonts w:cs="Arial"/>
          <w:lang w:val="en-CA"/>
        </w:rPr>
        <w:t xml:space="preserve">appellant’s </w:t>
      </w:r>
      <w:r w:rsidR="001C5FA4">
        <w:rPr>
          <w:rFonts w:cs="Arial"/>
          <w:lang w:val="en-CA"/>
        </w:rPr>
        <w:t xml:space="preserve">post-homicide </w:t>
      </w:r>
      <w:r w:rsidR="004E603A">
        <w:rPr>
          <w:rFonts w:cs="Arial"/>
          <w:lang w:val="en-CA"/>
        </w:rPr>
        <w:t>conduct</w:t>
      </w:r>
      <w:r w:rsidR="005437DD" w:rsidRPr="001B22B0">
        <w:rPr>
          <w:rFonts w:cs="Arial"/>
          <w:lang w:val="en-CA"/>
        </w:rPr>
        <w:t>.</w:t>
      </w:r>
    </w:p>
    <w:p w14:paraId="50EF0AE6" w14:textId="11357ADC" w:rsidR="001966B9" w:rsidRPr="001B22B0" w:rsidRDefault="00C149A3" w:rsidP="000B6E2B">
      <w:pPr>
        <w:pStyle w:val="Paragraphe"/>
        <w:spacing w:line="240" w:lineRule="auto"/>
        <w:rPr>
          <w:lang w:val="en-CA"/>
        </w:rPr>
      </w:pPr>
      <w:r w:rsidRPr="00C149A3">
        <w:rPr>
          <w:lang w:val="en-CA"/>
        </w:rPr>
        <w:t xml:space="preserve">The structure of the instructions in general and the </w:t>
      </w:r>
      <w:r w:rsidR="001C5FA4">
        <w:rPr>
          <w:lang w:val="en-CA"/>
        </w:rPr>
        <w:t>correct</w:t>
      </w:r>
      <w:r w:rsidR="00DA63D4">
        <w:rPr>
          <w:lang w:val="en-CA"/>
        </w:rPr>
        <w:t>ive</w:t>
      </w:r>
      <w:r w:rsidR="001C5FA4" w:rsidRPr="00C149A3">
        <w:rPr>
          <w:lang w:val="en-CA"/>
        </w:rPr>
        <w:t xml:space="preserve"> </w:t>
      </w:r>
      <w:r w:rsidRPr="00C149A3">
        <w:rPr>
          <w:lang w:val="en-CA"/>
        </w:rPr>
        <w:t>instruction</w:t>
      </w:r>
      <w:r w:rsidR="001C5FA4">
        <w:rPr>
          <w:lang w:val="en-CA"/>
        </w:rPr>
        <w:t>s</w:t>
      </w:r>
      <w:r>
        <w:rPr>
          <w:lang w:val="en-CA"/>
        </w:rPr>
        <w:t xml:space="preserve"> according to which the </w:t>
      </w:r>
      <w:r w:rsidRPr="00C149A3">
        <w:rPr>
          <w:lang w:val="en-CA"/>
        </w:rPr>
        <w:t xml:space="preserve">after-the-fact conduct </w:t>
      </w:r>
      <w:r w:rsidRPr="00C149A3">
        <w:rPr>
          <w:i/>
          <w:iCs/>
          <w:lang w:val="en-CA"/>
        </w:rPr>
        <w:t>had no probative value</w:t>
      </w:r>
      <w:r w:rsidRPr="00C149A3">
        <w:rPr>
          <w:lang w:val="en-CA"/>
        </w:rPr>
        <w:t xml:space="preserve"> (except for one piece of evidence) in determining the appellant</w:t>
      </w:r>
      <w:r w:rsidR="00F10021">
        <w:rPr>
          <w:lang w:val="en-CA"/>
        </w:rPr>
        <w:t>’</w:t>
      </w:r>
      <w:r w:rsidRPr="00C149A3">
        <w:rPr>
          <w:lang w:val="en-CA"/>
        </w:rPr>
        <w:t xml:space="preserve">s guilt confused the fundamental issue of the trial, </w:t>
      </w:r>
      <w:r>
        <w:rPr>
          <w:lang w:val="en-CA"/>
        </w:rPr>
        <w:t xml:space="preserve">that is, </w:t>
      </w:r>
      <w:r w:rsidR="0089185E">
        <w:rPr>
          <w:lang w:val="en-CA"/>
        </w:rPr>
        <w:t>consideration of</w:t>
      </w:r>
      <w:r w:rsidR="0089185E" w:rsidRPr="00C149A3">
        <w:rPr>
          <w:lang w:val="en-CA"/>
        </w:rPr>
        <w:t xml:space="preserve"> </w:t>
      </w:r>
      <w:r w:rsidRPr="00C149A3">
        <w:rPr>
          <w:lang w:val="en-CA"/>
        </w:rPr>
        <w:t xml:space="preserve">the </w:t>
      </w:r>
      <w:r w:rsidR="00BC1817">
        <w:rPr>
          <w:lang w:val="en-CA"/>
        </w:rPr>
        <w:t xml:space="preserve">appellant’s </w:t>
      </w:r>
      <w:r w:rsidRPr="00C149A3">
        <w:rPr>
          <w:lang w:val="en-CA"/>
        </w:rPr>
        <w:t>uncontested mental disorder at all stages of the jury</w:t>
      </w:r>
      <w:r w:rsidR="00F10021">
        <w:rPr>
          <w:lang w:val="en-CA"/>
        </w:rPr>
        <w:t>’</w:t>
      </w:r>
      <w:r w:rsidRPr="00C149A3">
        <w:rPr>
          <w:lang w:val="en-CA"/>
        </w:rPr>
        <w:t>s deliberations (</w:t>
      </w:r>
      <w:r w:rsidR="00AD661B">
        <w:rPr>
          <w:lang w:val="en-CA"/>
        </w:rPr>
        <w:t xml:space="preserve">defence of </w:t>
      </w:r>
      <w:r w:rsidRPr="00C149A3">
        <w:rPr>
          <w:lang w:val="en-CA"/>
        </w:rPr>
        <w:t xml:space="preserve">mental disorder, </w:t>
      </w:r>
      <w:r w:rsidR="00FD568D">
        <w:rPr>
          <w:lang w:val="en-CA"/>
        </w:rPr>
        <w:t>second degree</w:t>
      </w:r>
      <w:r>
        <w:rPr>
          <w:lang w:val="en-CA"/>
        </w:rPr>
        <w:t xml:space="preserve"> </w:t>
      </w:r>
      <w:r w:rsidR="00BC1817">
        <w:rPr>
          <w:lang w:val="en-CA"/>
        </w:rPr>
        <w:t>murder</w:t>
      </w:r>
      <w:r w:rsidR="00AD661B">
        <w:rPr>
          <w:lang w:val="en-CA"/>
        </w:rPr>
        <w:t>,</w:t>
      </w:r>
      <w:r w:rsidR="00BC1817">
        <w:rPr>
          <w:lang w:val="en-CA"/>
        </w:rPr>
        <w:t xml:space="preserve"> </w:t>
      </w:r>
      <w:r w:rsidRPr="00C149A3">
        <w:rPr>
          <w:lang w:val="en-CA"/>
        </w:rPr>
        <w:t xml:space="preserve">and </w:t>
      </w:r>
      <w:r w:rsidR="00FD568D">
        <w:rPr>
          <w:lang w:val="en-CA"/>
        </w:rPr>
        <w:t>first degree</w:t>
      </w:r>
      <w:r w:rsidRPr="00C149A3">
        <w:rPr>
          <w:lang w:val="en-CA"/>
        </w:rPr>
        <w:t xml:space="preserve"> murder). </w:t>
      </w:r>
      <w:r w:rsidR="00A22F95">
        <w:rPr>
          <w:lang w:val="en-CA"/>
        </w:rPr>
        <w:t>A</w:t>
      </w:r>
      <w:r>
        <w:rPr>
          <w:lang w:val="en-CA"/>
        </w:rPr>
        <w:t>n instruction</w:t>
      </w:r>
      <w:r w:rsidRPr="00C149A3">
        <w:rPr>
          <w:lang w:val="en-CA"/>
        </w:rPr>
        <w:t xml:space="preserve"> according to which the after</w:t>
      </w:r>
      <w:r>
        <w:rPr>
          <w:lang w:val="en-CA"/>
        </w:rPr>
        <w:t>-</w:t>
      </w:r>
      <w:r w:rsidRPr="00C149A3">
        <w:rPr>
          <w:lang w:val="en-CA"/>
        </w:rPr>
        <w:t>the</w:t>
      </w:r>
      <w:r>
        <w:rPr>
          <w:lang w:val="en-CA"/>
        </w:rPr>
        <w:t>-</w:t>
      </w:r>
      <w:r w:rsidRPr="00C149A3">
        <w:rPr>
          <w:lang w:val="en-CA"/>
        </w:rPr>
        <w:t xml:space="preserve">fact </w:t>
      </w:r>
      <w:r>
        <w:rPr>
          <w:lang w:val="en-CA"/>
        </w:rPr>
        <w:t xml:space="preserve">conduct </w:t>
      </w:r>
      <w:r w:rsidRPr="00C149A3">
        <w:rPr>
          <w:lang w:val="en-CA"/>
        </w:rPr>
        <w:t xml:space="preserve">had no probative value </w:t>
      </w:r>
      <w:r w:rsidR="00EA530E">
        <w:rPr>
          <w:lang w:val="en-CA"/>
        </w:rPr>
        <w:t>will be called for only in limited</w:t>
      </w:r>
      <w:r w:rsidRPr="00C149A3">
        <w:rPr>
          <w:lang w:val="en-CA"/>
        </w:rPr>
        <w:t xml:space="preserve"> circumstances</w:t>
      </w:r>
      <w:r>
        <w:rPr>
          <w:lang w:val="en-CA"/>
        </w:rPr>
        <w:t>.</w:t>
      </w:r>
      <w:r w:rsidR="00993EB9" w:rsidRPr="001B22B0">
        <w:rPr>
          <w:rStyle w:val="Appelnotedebasdep"/>
          <w:lang w:val="en-CA"/>
        </w:rPr>
        <w:footnoteReference w:id="3"/>
      </w:r>
      <w:r w:rsidR="002A711C" w:rsidRPr="001B22B0">
        <w:rPr>
          <w:lang w:val="en-CA"/>
        </w:rPr>
        <w:t xml:space="preserve"> </w:t>
      </w:r>
      <w:r>
        <w:rPr>
          <w:lang w:val="en-CA"/>
        </w:rPr>
        <w:t xml:space="preserve">This was not the case </w:t>
      </w:r>
      <w:r>
        <w:rPr>
          <w:lang w:val="en-CA"/>
        </w:rPr>
        <w:lastRenderedPageBreak/>
        <w:t xml:space="preserve">here </w:t>
      </w:r>
      <w:r w:rsidRPr="00C149A3">
        <w:rPr>
          <w:lang w:val="en-CA"/>
        </w:rPr>
        <w:t xml:space="preserve">because this evidence had to be </w:t>
      </w:r>
      <w:r>
        <w:rPr>
          <w:lang w:val="en-CA"/>
        </w:rPr>
        <w:t>assessed as a whole</w:t>
      </w:r>
      <w:r w:rsidRPr="00C149A3">
        <w:rPr>
          <w:lang w:val="en-CA"/>
        </w:rPr>
        <w:t xml:space="preserve"> and not in a compartmentalized manner</w:t>
      </w:r>
      <w:r w:rsidR="009B1DF4" w:rsidRPr="001B22B0">
        <w:rPr>
          <w:lang w:val="en-CA"/>
        </w:rPr>
        <w:t>.</w:t>
      </w:r>
    </w:p>
    <w:p w14:paraId="7D820825" w14:textId="4AC749D6" w:rsidR="00596BDC" w:rsidRPr="001B22B0" w:rsidRDefault="00915985" w:rsidP="000B6E2B">
      <w:pPr>
        <w:pStyle w:val="Paragraphe"/>
        <w:spacing w:line="240" w:lineRule="auto"/>
        <w:rPr>
          <w:rFonts w:cs="Arial"/>
          <w:lang w:val="en-CA"/>
        </w:rPr>
      </w:pPr>
      <w:r>
        <w:rPr>
          <w:rFonts w:cs="Arial"/>
          <w:lang w:val="en-CA"/>
        </w:rPr>
        <w:t>T</w:t>
      </w:r>
      <w:r w:rsidRPr="00915985">
        <w:rPr>
          <w:rFonts w:cs="Arial"/>
          <w:lang w:val="en-CA"/>
        </w:rPr>
        <w:t xml:space="preserve">he </w:t>
      </w:r>
      <w:r w:rsidR="00EA530E" w:rsidRPr="00915985">
        <w:rPr>
          <w:rFonts w:cs="Arial"/>
          <w:lang w:val="en-CA"/>
        </w:rPr>
        <w:t>correcti</w:t>
      </w:r>
      <w:r w:rsidR="00EA530E">
        <w:rPr>
          <w:rFonts w:cs="Arial"/>
          <w:lang w:val="en-CA"/>
        </w:rPr>
        <w:t>ve</w:t>
      </w:r>
      <w:r w:rsidR="00EA530E" w:rsidRPr="00915985">
        <w:rPr>
          <w:rFonts w:cs="Arial"/>
          <w:lang w:val="en-CA"/>
        </w:rPr>
        <w:t xml:space="preserve"> </w:t>
      </w:r>
      <w:r w:rsidRPr="00915985">
        <w:rPr>
          <w:rFonts w:cs="Arial"/>
          <w:lang w:val="en-CA"/>
        </w:rPr>
        <w:t>instruction</w:t>
      </w:r>
      <w:r w:rsidR="00EA530E">
        <w:rPr>
          <w:rFonts w:cs="Arial"/>
          <w:lang w:val="en-CA"/>
        </w:rPr>
        <w:t>s</w:t>
      </w:r>
      <w:r w:rsidRPr="00915985">
        <w:rPr>
          <w:rFonts w:cs="Arial"/>
          <w:lang w:val="en-CA"/>
        </w:rPr>
        <w:t xml:space="preserve"> </w:t>
      </w:r>
      <w:r>
        <w:rPr>
          <w:rFonts w:cs="Arial"/>
          <w:lang w:val="en-CA"/>
        </w:rPr>
        <w:t>thus prevented</w:t>
      </w:r>
      <w:r w:rsidRPr="00915985">
        <w:rPr>
          <w:rFonts w:cs="Arial"/>
          <w:lang w:val="en-CA"/>
        </w:rPr>
        <w:t xml:space="preserve"> the jury </w:t>
      </w:r>
      <w:r>
        <w:rPr>
          <w:rFonts w:cs="Arial"/>
          <w:lang w:val="en-CA"/>
        </w:rPr>
        <w:t>from</w:t>
      </w:r>
      <w:r w:rsidRPr="00915985">
        <w:rPr>
          <w:rFonts w:cs="Arial"/>
          <w:lang w:val="en-CA"/>
        </w:rPr>
        <w:t xml:space="preserve"> considering all of the evidence </w:t>
      </w:r>
      <w:r>
        <w:rPr>
          <w:rFonts w:cs="Arial"/>
          <w:lang w:val="en-CA"/>
        </w:rPr>
        <w:t>concerning</w:t>
      </w:r>
      <w:r w:rsidRPr="00915985">
        <w:rPr>
          <w:rFonts w:cs="Arial"/>
          <w:lang w:val="en-CA"/>
        </w:rPr>
        <w:t xml:space="preserve"> the appellant</w:t>
      </w:r>
      <w:r w:rsidR="00464F5E">
        <w:rPr>
          <w:rFonts w:cs="Arial"/>
          <w:lang w:val="en-CA"/>
        </w:rPr>
        <w:t xml:space="preserve">’s </w:t>
      </w:r>
      <w:r w:rsidR="00EA530E">
        <w:rPr>
          <w:rFonts w:cs="Arial"/>
          <w:lang w:val="en-CA"/>
        </w:rPr>
        <w:t xml:space="preserve">post-homicide </w:t>
      </w:r>
      <w:r w:rsidR="00464F5E">
        <w:rPr>
          <w:rFonts w:cs="Arial"/>
          <w:lang w:val="en-CA"/>
        </w:rPr>
        <w:t>actions</w:t>
      </w:r>
      <w:r w:rsidRPr="00915985">
        <w:rPr>
          <w:rFonts w:cs="Arial"/>
          <w:lang w:val="en-CA"/>
        </w:rPr>
        <w:t xml:space="preserve"> to determine whether he intended to kill the victim and, if so, whether this murder </w:t>
      </w:r>
      <w:r>
        <w:rPr>
          <w:rFonts w:cs="Arial"/>
          <w:lang w:val="en-CA"/>
        </w:rPr>
        <w:t>was</w:t>
      </w:r>
      <w:r w:rsidRPr="00915985">
        <w:rPr>
          <w:rFonts w:cs="Arial"/>
          <w:lang w:val="en-CA"/>
        </w:rPr>
        <w:t xml:space="preserve"> </w:t>
      </w:r>
      <w:r w:rsidR="00A6019D">
        <w:rPr>
          <w:rFonts w:cs="Arial"/>
          <w:lang w:val="en-CA"/>
        </w:rPr>
        <w:t>planned</w:t>
      </w:r>
      <w:r w:rsidRPr="00915985">
        <w:rPr>
          <w:rFonts w:cs="Arial"/>
          <w:lang w:val="en-CA"/>
        </w:rPr>
        <w:t xml:space="preserve"> and deliberate. This evidence, including </w:t>
      </w:r>
      <w:r>
        <w:rPr>
          <w:rFonts w:cs="Arial"/>
          <w:lang w:val="en-CA"/>
        </w:rPr>
        <w:t>evidence</w:t>
      </w:r>
      <w:r w:rsidRPr="00915985">
        <w:rPr>
          <w:rFonts w:cs="Arial"/>
          <w:lang w:val="en-CA"/>
        </w:rPr>
        <w:t xml:space="preserve"> of the appellant</w:t>
      </w:r>
      <w:r w:rsidR="00F10021">
        <w:rPr>
          <w:rFonts w:cs="Arial"/>
          <w:lang w:val="en-CA"/>
        </w:rPr>
        <w:t>’</w:t>
      </w:r>
      <w:r w:rsidRPr="00915985">
        <w:rPr>
          <w:rFonts w:cs="Arial"/>
          <w:lang w:val="en-CA"/>
        </w:rPr>
        <w:t xml:space="preserve">s mental disorder, </w:t>
      </w:r>
      <w:r>
        <w:rPr>
          <w:rFonts w:cs="Arial"/>
          <w:lang w:val="en-CA"/>
        </w:rPr>
        <w:t>could have</w:t>
      </w:r>
      <w:r w:rsidRPr="00915985">
        <w:rPr>
          <w:rFonts w:cs="Arial"/>
          <w:lang w:val="en-CA"/>
        </w:rPr>
        <w:t xml:space="preserve"> raise</w:t>
      </w:r>
      <w:r>
        <w:rPr>
          <w:rFonts w:cs="Arial"/>
          <w:lang w:val="en-CA"/>
        </w:rPr>
        <w:t>d</w:t>
      </w:r>
      <w:r w:rsidRPr="00915985">
        <w:rPr>
          <w:rFonts w:cs="Arial"/>
          <w:lang w:val="en-CA"/>
        </w:rPr>
        <w:t xml:space="preserve"> a reasonable doubt </w:t>
      </w:r>
      <w:r w:rsidR="00F10021">
        <w:rPr>
          <w:rFonts w:cs="Arial"/>
          <w:lang w:val="en-CA"/>
        </w:rPr>
        <w:t>as to</w:t>
      </w:r>
      <w:r w:rsidRPr="00915985">
        <w:rPr>
          <w:rFonts w:cs="Arial"/>
          <w:lang w:val="en-CA"/>
        </w:rPr>
        <w:t xml:space="preserve"> his guilt, </w:t>
      </w:r>
      <w:r w:rsidR="00E876CD">
        <w:rPr>
          <w:rFonts w:cs="Arial"/>
          <w:lang w:val="en-CA"/>
        </w:rPr>
        <w:t xml:space="preserve">in regard to </w:t>
      </w:r>
      <w:r w:rsidRPr="00915985">
        <w:rPr>
          <w:rFonts w:cs="Arial"/>
          <w:lang w:val="en-CA"/>
        </w:rPr>
        <w:t xml:space="preserve">both </w:t>
      </w:r>
      <w:r w:rsidR="00FD568D">
        <w:rPr>
          <w:rFonts w:cs="Arial"/>
          <w:lang w:val="en-CA"/>
        </w:rPr>
        <w:t>second degree</w:t>
      </w:r>
      <w:r w:rsidRPr="00915985">
        <w:rPr>
          <w:rFonts w:cs="Arial"/>
          <w:lang w:val="en-CA"/>
        </w:rPr>
        <w:t xml:space="preserve"> </w:t>
      </w:r>
      <w:r>
        <w:rPr>
          <w:rFonts w:cs="Arial"/>
          <w:lang w:val="en-CA"/>
        </w:rPr>
        <w:t xml:space="preserve">murder </w:t>
      </w:r>
      <w:r w:rsidRPr="00915985">
        <w:rPr>
          <w:rFonts w:cs="Arial"/>
          <w:lang w:val="en-CA"/>
        </w:rPr>
        <w:t xml:space="preserve">and </w:t>
      </w:r>
      <w:r w:rsidR="00FD568D">
        <w:rPr>
          <w:rFonts w:cs="Arial"/>
          <w:lang w:val="en-CA"/>
        </w:rPr>
        <w:t>first degree</w:t>
      </w:r>
      <w:r w:rsidRPr="00915985">
        <w:rPr>
          <w:rFonts w:cs="Arial"/>
          <w:lang w:val="en-CA"/>
        </w:rPr>
        <w:t xml:space="preserve"> murder.</w:t>
      </w:r>
    </w:p>
    <w:p w14:paraId="220AB073" w14:textId="6FD2DC24" w:rsidR="00786CBA" w:rsidRPr="001B22B0" w:rsidRDefault="00915985" w:rsidP="000B6E2B">
      <w:pPr>
        <w:pStyle w:val="Paragraphe"/>
        <w:spacing w:line="240" w:lineRule="auto"/>
        <w:rPr>
          <w:rFonts w:cs="Arial"/>
          <w:lang w:val="en-CA"/>
        </w:rPr>
      </w:pPr>
      <w:r w:rsidRPr="00915985">
        <w:rPr>
          <w:rFonts w:cs="Arial"/>
          <w:lang w:val="en-CA"/>
        </w:rPr>
        <w:t>Although the jury</w:t>
      </w:r>
      <w:r w:rsidR="00E00008">
        <w:rPr>
          <w:rFonts w:cs="Arial"/>
          <w:lang w:val="en-CA"/>
        </w:rPr>
        <w:t>’</w:t>
      </w:r>
      <w:r w:rsidRPr="00915985">
        <w:rPr>
          <w:rFonts w:cs="Arial"/>
          <w:lang w:val="en-CA"/>
        </w:rPr>
        <w:t xml:space="preserve">s verdict cannot be characterized as unreasonable, the </w:t>
      </w:r>
      <w:r w:rsidR="00E00008">
        <w:rPr>
          <w:rFonts w:cs="Arial"/>
          <w:lang w:val="en-CA"/>
        </w:rPr>
        <w:t>contradictory</w:t>
      </w:r>
      <w:r w:rsidRPr="00915985">
        <w:rPr>
          <w:rFonts w:cs="Arial"/>
          <w:lang w:val="en-CA"/>
        </w:rPr>
        <w:t xml:space="preserve"> instructions </w:t>
      </w:r>
      <w:r>
        <w:rPr>
          <w:rFonts w:cs="Arial"/>
          <w:lang w:val="en-CA"/>
        </w:rPr>
        <w:t>concerning</w:t>
      </w:r>
      <w:r w:rsidRPr="00915985">
        <w:rPr>
          <w:rFonts w:cs="Arial"/>
          <w:lang w:val="en-CA"/>
        </w:rPr>
        <w:t xml:space="preserve"> the appellant</w:t>
      </w:r>
      <w:r w:rsidR="00357679">
        <w:rPr>
          <w:rFonts w:cs="Arial"/>
          <w:lang w:val="en-CA"/>
        </w:rPr>
        <w:t>’</w:t>
      </w:r>
      <w:r w:rsidRPr="00915985">
        <w:rPr>
          <w:rFonts w:cs="Arial"/>
          <w:lang w:val="en-CA"/>
        </w:rPr>
        <w:t>s</w:t>
      </w:r>
      <w:r w:rsidR="00E876CD">
        <w:rPr>
          <w:rFonts w:cs="Arial"/>
          <w:lang w:val="en-CA"/>
        </w:rPr>
        <w:t xml:space="preserve"> post-homicide</w:t>
      </w:r>
      <w:r w:rsidRPr="00915985">
        <w:rPr>
          <w:rFonts w:cs="Arial"/>
          <w:lang w:val="en-CA"/>
        </w:rPr>
        <w:t xml:space="preserve"> </w:t>
      </w:r>
      <w:r w:rsidR="004E603A">
        <w:rPr>
          <w:rFonts w:cs="Arial"/>
          <w:lang w:val="en-CA"/>
        </w:rPr>
        <w:t>conduct</w:t>
      </w:r>
      <w:r w:rsidR="00DF34C1">
        <w:rPr>
          <w:rFonts w:cs="Arial"/>
          <w:lang w:val="en-CA"/>
        </w:rPr>
        <w:t xml:space="preserve"> </w:t>
      </w:r>
      <w:r w:rsidRPr="00915985">
        <w:rPr>
          <w:rFonts w:cs="Arial"/>
          <w:lang w:val="en-CA"/>
        </w:rPr>
        <w:t xml:space="preserve">prevented the jury from properly assessing the sequence of events as a whole. Furthermore, the </w:t>
      </w:r>
      <w:r w:rsidR="0043548D">
        <w:rPr>
          <w:rFonts w:cs="Arial"/>
          <w:lang w:val="en-CA"/>
        </w:rPr>
        <w:t>Crown’s</w:t>
      </w:r>
      <w:r w:rsidRPr="00915985">
        <w:rPr>
          <w:rFonts w:cs="Arial"/>
          <w:lang w:val="en-CA"/>
        </w:rPr>
        <w:t xml:space="preserve"> </w:t>
      </w:r>
      <w:r w:rsidR="00135A39">
        <w:rPr>
          <w:rFonts w:cs="Arial"/>
          <w:lang w:val="en-CA"/>
        </w:rPr>
        <w:t>argument</w:t>
      </w:r>
      <w:r w:rsidRPr="00915985">
        <w:rPr>
          <w:rFonts w:cs="Arial"/>
          <w:lang w:val="en-CA"/>
        </w:rPr>
        <w:t xml:space="preserve"> invited the jury to engage in </w:t>
      </w:r>
      <w:r w:rsidR="00C8484A">
        <w:rPr>
          <w:rFonts w:cs="Arial"/>
          <w:lang w:val="en-CA"/>
        </w:rPr>
        <w:t>speculation</w:t>
      </w:r>
      <w:r w:rsidRPr="00915985">
        <w:rPr>
          <w:rFonts w:cs="Arial"/>
          <w:lang w:val="en-CA"/>
        </w:rPr>
        <w:t xml:space="preserve"> </w:t>
      </w:r>
      <w:r w:rsidR="00135A39">
        <w:rPr>
          <w:rFonts w:cs="Arial"/>
          <w:lang w:val="en-CA"/>
        </w:rPr>
        <w:t>about</w:t>
      </w:r>
      <w:r w:rsidRPr="00915985">
        <w:rPr>
          <w:rFonts w:cs="Arial"/>
          <w:lang w:val="en-CA"/>
        </w:rPr>
        <w:t xml:space="preserve"> </w:t>
      </w:r>
      <w:r w:rsidR="00B9335E">
        <w:rPr>
          <w:rFonts w:cs="Arial"/>
          <w:lang w:val="en-CA"/>
        </w:rPr>
        <w:t>assumptions</w:t>
      </w:r>
      <w:r w:rsidR="00B9335E" w:rsidRPr="00915985">
        <w:rPr>
          <w:rFonts w:cs="Arial"/>
          <w:lang w:val="en-CA"/>
        </w:rPr>
        <w:t xml:space="preserve"> </w:t>
      </w:r>
      <w:r w:rsidRPr="00915985">
        <w:rPr>
          <w:rFonts w:cs="Arial"/>
          <w:lang w:val="en-CA"/>
        </w:rPr>
        <w:t xml:space="preserve">that had no </w:t>
      </w:r>
      <w:r w:rsidR="00464F5E">
        <w:rPr>
          <w:rFonts w:cs="Arial"/>
          <w:lang w:val="en-CA"/>
        </w:rPr>
        <w:t xml:space="preserve">factual </w:t>
      </w:r>
      <w:r w:rsidRPr="00915985">
        <w:rPr>
          <w:rFonts w:cs="Arial"/>
          <w:lang w:val="en-CA"/>
        </w:rPr>
        <w:t>basis. For the following reasons, a new trial is necessary</w:t>
      </w:r>
      <w:r w:rsidR="00786CBA" w:rsidRPr="001B22B0">
        <w:rPr>
          <w:rFonts w:cs="Arial"/>
          <w:lang w:val="en-CA"/>
        </w:rPr>
        <w:t>.</w:t>
      </w:r>
    </w:p>
    <w:p w14:paraId="3519CBF7" w14:textId="243E45EB" w:rsidR="00FB179A" w:rsidRPr="001B22B0" w:rsidRDefault="00AA3303" w:rsidP="000B6E2B">
      <w:pPr>
        <w:pStyle w:val="Paragraphe"/>
        <w:numPr>
          <w:ilvl w:val="0"/>
          <w:numId w:val="0"/>
        </w:numPr>
        <w:spacing w:line="240" w:lineRule="auto"/>
        <w:rPr>
          <w:rFonts w:cs="Arial"/>
          <w:b/>
          <w:i/>
          <w:lang w:val="en-CA"/>
        </w:rPr>
      </w:pPr>
      <w:r w:rsidRPr="001B22B0">
        <w:rPr>
          <w:rFonts w:cs="Arial"/>
          <w:b/>
          <w:i/>
          <w:lang w:val="en-CA"/>
        </w:rPr>
        <w:t>BR</w:t>
      </w:r>
      <w:r w:rsidR="00A85751">
        <w:rPr>
          <w:rFonts w:cs="Arial"/>
          <w:b/>
          <w:i/>
          <w:lang w:val="en-CA"/>
        </w:rPr>
        <w:t>I</w:t>
      </w:r>
      <w:r w:rsidR="00464F5E">
        <w:rPr>
          <w:rFonts w:cs="Arial"/>
          <w:b/>
          <w:i/>
          <w:lang w:val="en-CA"/>
        </w:rPr>
        <w:t>E</w:t>
      </w:r>
      <w:r w:rsidR="00A85751">
        <w:rPr>
          <w:rFonts w:cs="Arial"/>
          <w:b/>
          <w:i/>
          <w:lang w:val="en-CA"/>
        </w:rPr>
        <w:t>F SUMMARY OF THE EVIDENCE</w:t>
      </w:r>
      <w:r w:rsidR="00E12AA0" w:rsidRPr="001B22B0">
        <w:rPr>
          <w:rFonts w:cs="Arial"/>
          <w:b/>
          <w:i/>
          <w:lang w:val="en-CA"/>
        </w:rPr>
        <w:t xml:space="preserve"> </w:t>
      </w:r>
    </w:p>
    <w:p w14:paraId="10F6FA72" w14:textId="7B0A7231" w:rsidR="00B23A21" w:rsidRPr="001B22B0" w:rsidRDefault="00A85751" w:rsidP="000B6E2B">
      <w:pPr>
        <w:pStyle w:val="Paragraphe"/>
        <w:spacing w:line="240" w:lineRule="auto"/>
        <w:rPr>
          <w:rFonts w:cs="Arial"/>
          <w:lang w:val="en-CA"/>
        </w:rPr>
      </w:pPr>
      <w:r w:rsidRPr="00A85751">
        <w:rPr>
          <w:rFonts w:cs="Arial"/>
          <w:lang w:val="en-CA"/>
        </w:rPr>
        <w:t xml:space="preserve">To fully understand the case and the </w:t>
      </w:r>
      <w:r w:rsidR="00AD661B">
        <w:rPr>
          <w:rFonts w:cs="Arial"/>
          <w:lang w:val="en-CA"/>
        </w:rPr>
        <w:t xml:space="preserve">defence of </w:t>
      </w:r>
      <w:r w:rsidRPr="00A85751">
        <w:rPr>
          <w:rFonts w:cs="Arial"/>
          <w:lang w:val="en-CA"/>
        </w:rPr>
        <w:t>mental disorder presented by the appellant, it is necessary to go back in time</w:t>
      </w:r>
      <w:r w:rsidR="00B23A21" w:rsidRPr="001B22B0">
        <w:rPr>
          <w:rFonts w:cs="Arial"/>
          <w:lang w:val="en-CA"/>
        </w:rPr>
        <w:t>.</w:t>
      </w:r>
    </w:p>
    <w:p w14:paraId="6DF2A035" w14:textId="570C4474" w:rsidR="00B23A21" w:rsidRPr="001B22B0" w:rsidRDefault="00DE2580" w:rsidP="000B6E2B">
      <w:pPr>
        <w:pStyle w:val="Paragraphe"/>
        <w:spacing w:line="240" w:lineRule="auto"/>
        <w:rPr>
          <w:rFonts w:cs="Arial"/>
          <w:lang w:val="en-CA"/>
        </w:rPr>
      </w:pPr>
      <w:r>
        <w:rPr>
          <w:rFonts w:cs="Arial"/>
          <w:lang w:val="en-CA"/>
        </w:rPr>
        <w:t>For</w:t>
      </w:r>
      <w:r w:rsidR="00A85751" w:rsidRPr="00A85751">
        <w:rPr>
          <w:rFonts w:cs="Arial"/>
          <w:lang w:val="en-CA"/>
        </w:rPr>
        <w:t xml:space="preserve"> the first four years of high school, the appellant </w:t>
      </w:r>
      <w:r w:rsidR="00511114">
        <w:rPr>
          <w:rFonts w:cs="Arial"/>
          <w:lang w:val="en-CA"/>
        </w:rPr>
        <w:t>attended</w:t>
      </w:r>
      <w:r w:rsidR="00A85751" w:rsidRPr="00A85751">
        <w:rPr>
          <w:rFonts w:cs="Arial"/>
          <w:lang w:val="en-CA"/>
        </w:rPr>
        <w:t xml:space="preserve"> the same school as the victim and four other girls. He </w:t>
      </w:r>
      <w:r w:rsidR="00A85751">
        <w:rPr>
          <w:rFonts w:cs="Arial"/>
          <w:lang w:val="en-CA"/>
        </w:rPr>
        <w:t>was</w:t>
      </w:r>
      <w:r w:rsidR="00A85751" w:rsidRPr="00A85751">
        <w:rPr>
          <w:rFonts w:cs="Arial"/>
          <w:lang w:val="en-CA"/>
        </w:rPr>
        <w:t xml:space="preserve"> not close to this group of friends. At the end of </w:t>
      </w:r>
      <w:r w:rsidR="00A85751">
        <w:rPr>
          <w:rFonts w:cs="Arial"/>
          <w:lang w:val="en-CA"/>
        </w:rPr>
        <w:t>Secondary IV</w:t>
      </w:r>
      <w:r w:rsidR="00A85751" w:rsidRPr="00A85751">
        <w:rPr>
          <w:rFonts w:cs="Arial"/>
          <w:lang w:val="en-CA"/>
        </w:rPr>
        <w:t>, changes appear</w:t>
      </w:r>
      <w:r w:rsidR="00A85751">
        <w:rPr>
          <w:rFonts w:cs="Arial"/>
          <w:lang w:val="en-CA"/>
        </w:rPr>
        <w:t>ed</w:t>
      </w:r>
      <w:r w:rsidR="00A85751" w:rsidRPr="00A85751">
        <w:rPr>
          <w:rFonts w:cs="Arial"/>
          <w:lang w:val="en-CA"/>
        </w:rPr>
        <w:t xml:space="preserve"> in his behavio</w:t>
      </w:r>
      <w:r w:rsidR="00A85751">
        <w:rPr>
          <w:rFonts w:cs="Arial"/>
          <w:lang w:val="en-CA"/>
        </w:rPr>
        <w:t>u</w:t>
      </w:r>
      <w:r w:rsidR="00A85751" w:rsidRPr="00A85751">
        <w:rPr>
          <w:rFonts w:cs="Arial"/>
          <w:lang w:val="en-CA"/>
        </w:rPr>
        <w:t>r. He isolate</w:t>
      </w:r>
      <w:r w:rsidR="00A85751">
        <w:rPr>
          <w:rFonts w:cs="Arial"/>
          <w:lang w:val="en-CA"/>
        </w:rPr>
        <w:t>d</w:t>
      </w:r>
      <w:r w:rsidR="00A85751" w:rsidRPr="00A85751">
        <w:rPr>
          <w:rFonts w:cs="Arial"/>
          <w:lang w:val="en-CA"/>
        </w:rPr>
        <w:t xml:space="preserve"> himself</w:t>
      </w:r>
      <w:r>
        <w:rPr>
          <w:rFonts w:cs="Arial"/>
          <w:lang w:val="en-CA"/>
        </w:rPr>
        <w:t>,</w:t>
      </w:r>
      <w:r w:rsidR="00A85751" w:rsidRPr="00A85751">
        <w:rPr>
          <w:rFonts w:cs="Arial"/>
          <w:lang w:val="en-CA"/>
        </w:rPr>
        <w:t xml:space="preserve"> and his grades </w:t>
      </w:r>
      <w:r>
        <w:rPr>
          <w:rFonts w:cs="Arial"/>
          <w:lang w:val="en-CA"/>
        </w:rPr>
        <w:t>began</w:t>
      </w:r>
      <w:r w:rsidR="00A85751" w:rsidRPr="00A85751">
        <w:rPr>
          <w:rFonts w:cs="Arial"/>
          <w:lang w:val="en-CA"/>
        </w:rPr>
        <w:t xml:space="preserve"> to </w:t>
      </w:r>
      <w:r w:rsidR="00464F5E">
        <w:rPr>
          <w:rFonts w:cs="Arial"/>
          <w:lang w:val="en-CA"/>
        </w:rPr>
        <w:t>fall</w:t>
      </w:r>
      <w:r w:rsidR="00A85751" w:rsidRPr="00A85751">
        <w:rPr>
          <w:rFonts w:cs="Arial"/>
          <w:lang w:val="en-CA"/>
        </w:rPr>
        <w:t xml:space="preserve">. He asked to change schools, which he did in </w:t>
      </w:r>
      <w:r w:rsidR="00A85751">
        <w:rPr>
          <w:rFonts w:cs="Arial"/>
          <w:lang w:val="en-CA"/>
        </w:rPr>
        <w:t>S</w:t>
      </w:r>
      <w:r w:rsidR="00A85751" w:rsidRPr="00A85751">
        <w:rPr>
          <w:rFonts w:cs="Arial"/>
          <w:lang w:val="en-CA"/>
        </w:rPr>
        <w:t xml:space="preserve">econdary </w:t>
      </w:r>
      <w:r w:rsidR="00A85751">
        <w:rPr>
          <w:rFonts w:cs="Arial"/>
          <w:lang w:val="en-CA"/>
        </w:rPr>
        <w:t>V</w:t>
      </w:r>
      <w:r w:rsidR="00A85751" w:rsidRPr="00A85751">
        <w:rPr>
          <w:rFonts w:cs="Arial"/>
          <w:lang w:val="en-CA"/>
        </w:rPr>
        <w:t>. At the same time, he developed stress and anxiety problems.</w:t>
      </w:r>
    </w:p>
    <w:p w14:paraId="0FF90552" w14:textId="0000EFAC" w:rsidR="00B23A21" w:rsidRPr="001B22B0" w:rsidRDefault="00A85751" w:rsidP="000B6E2B">
      <w:pPr>
        <w:pStyle w:val="Paragraphe"/>
        <w:spacing w:line="240" w:lineRule="auto"/>
        <w:rPr>
          <w:rFonts w:cs="Arial"/>
          <w:lang w:val="en-CA"/>
        </w:rPr>
      </w:pPr>
      <w:r w:rsidRPr="00A85751">
        <w:rPr>
          <w:rFonts w:cs="Arial"/>
          <w:lang w:val="en-CA"/>
        </w:rPr>
        <w:t>In September 2014, wh</w:t>
      </w:r>
      <w:r>
        <w:rPr>
          <w:rFonts w:cs="Arial"/>
          <w:lang w:val="en-CA"/>
        </w:rPr>
        <w:t>en he was</w:t>
      </w:r>
      <w:r w:rsidRPr="00A85751">
        <w:rPr>
          <w:rFonts w:cs="Arial"/>
          <w:lang w:val="en-CA"/>
        </w:rPr>
        <w:t xml:space="preserve"> a CEGEP student, he discovered a Facebook page where anonymous messages targeting people at his CEGEP were p</w:t>
      </w:r>
      <w:r>
        <w:rPr>
          <w:rFonts w:cs="Arial"/>
          <w:lang w:val="en-CA"/>
        </w:rPr>
        <w:t>osted</w:t>
      </w:r>
      <w:r w:rsidRPr="00A85751">
        <w:rPr>
          <w:rFonts w:cs="Arial"/>
          <w:lang w:val="en-CA"/>
        </w:rPr>
        <w:t xml:space="preserve">. He </w:t>
      </w:r>
      <w:r>
        <w:rPr>
          <w:rFonts w:cs="Arial"/>
          <w:lang w:val="en-CA"/>
        </w:rPr>
        <w:t>believed</w:t>
      </w:r>
      <w:r w:rsidRPr="00A85751">
        <w:rPr>
          <w:rFonts w:cs="Arial"/>
          <w:lang w:val="en-CA"/>
        </w:rPr>
        <w:t xml:space="preserve"> that these messages </w:t>
      </w:r>
      <w:r>
        <w:rPr>
          <w:rFonts w:cs="Arial"/>
          <w:lang w:val="en-CA"/>
        </w:rPr>
        <w:t>were</w:t>
      </w:r>
      <w:r w:rsidRPr="00A85751">
        <w:rPr>
          <w:rFonts w:cs="Arial"/>
          <w:lang w:val="en-CA"/>
        </w:rPr>
        <w:t xml:space="preserve"> intended for him and </w:t>
      </w:r>
      <w:r w:rsidR="00DE2580">
        <w:rPr>
          <w:rFonts w:cs="Arial"/>
          <w:lang w:val="en-CA"/>
        </w:rPr>
        <w:t xml:space="preserve">that they </w:t>
      </w:r>
      <w:r w:rsidRPr="00A85751">
        <w:rPr>
          <w:rFonts w:cs="Arial"/>
          <w:lang w:val="en-CA"/>
        </w:rPr>
        <w:t>c</w:t>
      </w:r>
      <w:r>
        <w:rPr>
          <w:rFonts w:cs="Arial"/>
          <w:lang w:val="en-CA"/>
        </w:rPr>
        <w:t>a</w:t>
      </w:r>
      <w:r w:rsidRPr="00A85751">
        <w:rPr>
          <w:rFonts w:cs="Arial"/>
          <w:lang w:val="en-CA"/>
        </w:rPr>
        <w:t>me from a group of five girls, including the victim</w:t>
      </w:r>
      <w:r w:rsidR="00B23A21" w:rsidRPr="001B22B0">
        <w:rPr>
          <w:rFonts w:cs="Arial"/>
          <w:lang w:val="en-CA"/>
        </w:rPr>
        <w:t>.</w:t>
      </w:r>
    </w:p>
    <w:p w14:paraId="5F4DDC33" w14:textId="2B031A21" w:rsidR="00B23A21" w:rsidRPr="001B22B0" w:rsidRDefault="00A85751" w:rsidP="000B6E2B">
      <w:pPr>
        <w:pStyle w:val="Paragraphe"/>
        <w:spacing w:line="240" w:lineRule="auto"/>
        <w:rPr>
          <w:rFonts w:cs="Arial"/>
          <w:lang w:val="en-CA"/>
        </w:rPr>
      </w:pPr>
      <w:r w:rsidRPr="00A85751">
        <w:rPr>
          <w:rFonts w:cs="Arial"/>
          <w:lang w:val="en-CA"/>
        </w:rPr>
        <w:t>This mark</w:t>
      </w:r>
      <w:r>
        <w:rPr>
          <w:rFonts w:cs="Arial"/>
          <w:lang w:val="en-CA"/>
        </w:rPr>
        <w:t>ed</w:t>
      </w:r>
      <w:r w:rsidRPr="00A85751">
        <w:rPr>
          <w:rFonts w:cs="Arial"/>
          <w:lang w:val="en-CA"/>
        </w:rPr>
        <w:t xml:space="preserve"> the beginning of the development of delusions about this group of friends. Chance meetings with some of the members of the group during the summer of 2015 fueled a perception of persecution in the appellant. He ask</w:t>
      </w:r>
      <w:r w:rsidR="0070585A">
        <w:rPr>
          <w:rFonts w:cs="Arial"/>
          <w:lang w:val="en-CA"/>
        </w:rPr>
        <w:t>ed</w:t>
      </w:r>
      <w:r w:rsidRPr="00A85751">
        <w:rPr>
          <w:rFonts w:cs="Arial"/>
          <w:lang w:val="en-CA"/>
        </w:rPr>
        <w:t xml:space="preserve"> his mother to move, saying </w:t>
      </w:r>
      <w:r w:rsidR="00464F5E">
        <w:rPr>
          <w:rFonts w:cs="Arial"/>
          <w:lang w:val="en-CA"/>
        </w:rPr>
        <w:t xml:space="preserve">that at </w:t>
      </w:r>
      <w:r w:rsidRPr="00A85751">
        <w:rPr>
          <w:rFonts w:cs="Arial"/>
          <w:lang w:val="en-CA"/>
        </w:rPr>
        <w:t>he fear</w:t>
      </w:r>
      <w:r w:rsidR="0070585A">
        <w:rPr>
          <w:rFonts w:cs="Arial"/>
          <w:lang w:val="en-CA"/>
        </w:rPr>
        <w:t>ed</w:t>
      </w:r>
      <w:r w:rsidRPr="00A85751">
        <w:rPr>
          <w:rFonts w:cs="Arial"/>
          <w:lang w:val="en-CA"/>
        </w:rPr>
        <w:t xml:space="preserve"> for his life. He </w:t>
      </w:r>
      <w:r w:rsidR="0070585A">
        <w:rPr>
          <w:rFonts w:cs="Arial"/>
          <w:lang w:val="en-CA"/>
        </w:rPr>
        <w:t>told</w:t>
      </w:r>
      <w:r w:rsidRPr="00A85751">
        <w:rPr>
          <w:rFonts w:cs="Arial"/>
          <w:lang w:val="en-CA"/>
        </w:rPr>
        <w:t xml:space="preserve"> his brother and sisters </w:t>
      </w:r>
      <w:r w:rsidR="0070585A">
        <w:rPr>
          <w:rFonts w:cs="Arial"/>
          <w:lang w:val="en-CA"/>
        </w:rPr>
        <w:t>about</w:t>
      </w:r>
      <w:r w:rsidRPr="00A85751">
        <w:rPr>
          <w:rFonts w:cs="Arial"/>
          <w:lang w:val="en-CA"/>
        </w:rPr>
        <w:t xml:space="preserve"> his fears.</w:t>
      </w:r>
    </w:p>
    <w:p w14:paraId="49058052" w14:textId="0AB8453A" w:rsidR="00B23A21" w:rsidRPr="001B22B0" w:rsidRDefault="0070585A" w:rsidP="000B6E2B">
      <w:pPr>
        <w:pStyle w:val="Paragraphe"/>
        <w:spacing w:line="240" w:lineRule="auto"/>
        <w:rPr>
          <w:rFonts w:cs="Arial"/>
          <w:lang w:val="en-CA"/>
        </w:rPr>
      </w:pPr>
      <w:r w:rsidRPr="0070585A">
        <w:rPr>
          <w:rFonts w:cs="Arial"/>
          <w:lang w:val="en-CA"/>
        </w:rPr>
        <w:t xml:space="preserve">In October 2015, he </w:t>
      </w:r>
      <w:r w:rsidR="00E876CD">
        <w:rPr>
          <w:rFonts w:cs="Arial"/>
          <w:lang w:val="en-CA"/>
        </w:rPr>
        <w:t>had</w:t>
      </w:r>
      <w:r w:rsidR="00E876CD" w:rsidRPr="0070585A">
        <w:rPr>
          <w:rFonts w:cs="Arial"/>
          <w:lang w:val="en-CA"/>
        </w:rPr>
        <w:t xml:space="preserve"> </w:t>
      </w:r>
      <w:r w:rsidRPr="0070585A">
        <w:rPr>
          <w:rFonts w:cs="Arial"/>
          <w:lang w:val="en-CA"/>
        </w:rPr>
        <w:t>a job offering point</w:t>
      </w:r>
      <w:r w:rsidR="00747BB5">
        <w:rPr>
          <w:rFonts w:cs="Arial"/>
          <w:lang w:val="en-CA"/>
        </w:rPr>
        <w:t>s</w:t>
      </w:r>
      <w:r w:rsidRPr="0070585A">
        <w:rPr>
          <w:rFonts w:cs="Arial"/>
          <w:lang w:val="en-CA"/>
        </w:rPr>
        <w:t xml:space="preserve"> cards in various supermarkets, including the Maxi </w:t>
      </w:r>
      <w:r>
        <w:rPr>
          <w:rFonts w:cs="Arial"/>
          <w:lang w:val="en-CA"/>
        </w:rPr>
        <w:t xml:space="preserve">supermarket </w:t>
      </w:r>
      <w:r w:rsidRPr="0070585A">
        <w:rPr>
          <w:rFonts w:cs="Arial"/>
          <w:lang w:val="en-CA"/>
        </w:rPr>
        <w:t xml:space="preserve">on </w:t>
      </w:r>
      <w:r>
        <w:rPr>
          <w:rFonts w:cs="Arial"/>
          <w:lang w:val="en-CA"/>
        </w:rPr>
        <w:t>P</w:t>
      </w:r>
      <w:r w:rsidRPr="0070585A">
        <w:rPr>
          <w:rFonts w:cs="Arial"/>
          <w:lang w:val="en-CA"/>
        </w:rPr>
        <w:t>apineau</w:t>
      </w:r>
      <w:r>
        <w:rPr>
          <w:rFonts w:cs="Arial"/>
          <w:lang w:val="en-CA"/>
        </w:rPr>
        <w:t xml:space="preserve"> Avenue</w:t>
      </w:r>
      <w:r w:rsidRPr="0070585A">
        <w:rPr>
          <w:rFonts w:cs="Arial"/>
          <w:lang w:val="en-CA"/>
        </w:rPr>
        <w:t>, where the victim work</w:t>
      </w:r>
      <w:r>
        <w:rPr>
          <w:rFonts w:cs="Arial"/>
          <w:lang w:val="en-CA"/>
        </w:rPr>
        <w:t>ed</w:t>
      </w:r>
      <w:r w:rsidRPr="0070585A">
        <w:rPr>
          <w:rFonts w:cs="Arial"/>
          <w:lang w:val="en-CA"/>
        </w:rPr>
        <w:t xml:space="preserve">. During a shift, the </w:t>
      </w:r>
      <w:r>
        <w:rPr>
          <w:rFonts w:cs="Arial"/>
          <w:lang w:val="en-CA"/>
        </w:rPr>
        <w:t>appellant</w:t>
      </w:r>
      <w:r w:rsidRPr="0070585A">
        <w:rPr>
          <w:rFonts w:cs="Arial"/>
          <w:lang w:val="en-CA"/>
        </w:rPr>
        <w:t xml:space="preserve"> saw her at </w:t>
      </w:r>
      <w:r>
        <w:rPr>
          <w:rFonts w:cs="Arial"/>
          <w:lang w:val="en-CA"/>
        </w:rPr>
        <w:t xml:space="preserve">the </w:t>
      </w:r>
      <w:r w:rsidRPr="0070585A">
        <w:rPr>
          <w:rFonts w:cs="Arial"/>
          <w:lang w:val="en-CA"/>
        </w:rPr>
        <w:t>Maxi. He t</w:t>
      </w:r>
      <w:r>
        <w:rPr>
          <w:rFonts w:cs="Arial"/>
          <w:lang w:val="en-CA"/>
        </w:rPr>
        <w:t>hought</w:t>
      </w:r>
      <w:r w:rsidRPr="0070585A">
        <w:rPr>
          <w:rFonts w:cs="Arial"/>
          <w:lang w:val="en-CA"/>
        </w:rPr>
        <w:t xml:space="preserve"> she </w:t>
      </w:r>
      <w:r w:rsidR="000F3F22">
        <w:rPr>
          <w:rFonts w:cs="Arial"/>
          <w:lang w:val="en-CA"/>
        </w:rPr>
        <w:t>was</w:t>
      </w:r>
      <w:r w:rsidRPr="0070585A">
        <w:rPr>
          <w:rFonts w:cs="Arial"/>
          <w:lang w:val="en-CA"/>
        </w:rPr>
        <w:t xml:space="preserve"> there to spy on him and </w:t>
      </w:r>
      <w:r w:rsidR="00747BB5">
        <w:rPr>
          <w:rFonts w:cs="Arial"/>
          <w:lang w:val="en-CA"/>
        </w:rPr>
        <w:t xml:space="preserve">that she </w:t>
      </w:r>
      <w:r w:rsidRPr="0070585A">
        <w:rPr>
          <w:rFonts w:cs="Arial"/>
          <w:lang w:val="en-CA"/>
        </w:rPr>
        <w:t>want</w:t>
      </w:r>
      <w:r>
        <w:rPr>
          <w:rFonts w:cs="Arial"/>
          <w:lang w:val="en-CA"/>
        </w:rPr>
        <w:t>ed</w:t>
      </w:r>
      <w:r w:rsidRPr="0070585A">
        <w:rPr>
          <w:rFonts w:cs="Arial"/>
          <w:lang w:val="en-CA"/>
        </w:rPr>
        <w:t xml:space="preserve"> to kill him</w:t>
      </w:r>
      <w:r w:rsidR="00B23A21" w:rsidRPr="001B22B0">
        <w:rPr>
          <w:rFonts w:cs="Arial"/>
          <w:lang w:val="en-CA"/>
        </w:rPr>
        <w:t>.</w:t>
      </w:r>
    </w:p>
    <w:p w14:paraId="7318A3ED" w14:textId="18D8B2EA" w:rsidR="00B23A21" w:rsidRPr="001B22B0" w:rsidRDefault="0070585A" w:rsidP="000B6E2B">
      <w:pPr>
        <w:pStyle w:val="Paragraphe"/>
        <w:spacing w:line="240" w:lineRule="auto"/>
        <w:rPr>
          <w:rFonts w:cs="Arial"/>
          <w:lang w:val="en-CA"/>
        </w:rPr>
      </w:pPr>
      <w:r w:rsidRPr="0070585A">
        <w:rPr>
          <w:rFonts w:cs="Arial"/>
          <w:lang w:val="en-CA"/>
        </w:rPr>
        <w:t xml:space="preserve">In October or November 2015, the appellant purchased a knife because he was now convinced that the five girls wanted to kill him. A feeling of panic </w:t>
      </w:r>
      <w:r>
        <w:rPr>
          <w:rFonts w:cs="Arial"/>
          <w:lang w:val="en-CA"/>
        </w:rPr>
        <w:t>came over</w:t>
      </w:r>
      <w:r w:rsidRPr="0070585A">
        <w:rPr>
          <w:rFonts w:cs="Arial"/>
          <w:lang w:val="en-CA"/>
        </w:rPr>
        <w:t xml:space="preserve"> him every time he le</w:t>
      </w:r>
      <w:r>
        <w:rPr>
          <w:rFonts w:cs="Arial"/>
          <w:lang w:val="en-CA"/>
        </w:rPr>
        <w:t>ft</w:t>
      </w:r>
      <w:r w:rsidRPr="0070585A">
        <w:rPr>
          <w:rFonts w:cs="Arial"/>
          <w:lang w:val="en-CA"/>
        </w:rPr>
        <w:t xml:space="preserve"> </w:t>
      </w:r>
      <w:r w:rsidR="0037194B">
        <w:rPr>
          <w:rFonts w:cs="Arial"/>
          <w:lang w:val="en-CA"/>
        </w:rPr>
        <w:t>the house</w:t>
      </w:r>
      <w:r w:rsidR="00A1778B">
        <w:rPr>
          <w:rFonts w:cs="Arial"/>
          <w:lang w:val="en-CA"/>
        </w:rPr>
        <w:t>; he thought</w:t>
      </w:r>
      <w:r w:rsidRPr="0070585A">
        <w:rPr>
          <w:rFonts w:cs="Arial"/>
          <w:lang w:val="en-CA"/>
        </w:rPr>
        <w:t xml:space="preserve"> that they </w:t>
      </w:r>
      <w:r>
        <w:rPr>
          <w:rFonts w:cs="Arial"/>
          <w:lang w:val="en-CA"/>
        </w:rPr>
        <w:t>were</w:t>
      </w:r>
      <w:r w:rsidRPr="0070585A">
        <w:rPr>
          <w:rFonts w:cs="Arial"/>
          <w:lang w:val="en-CA"/>
        </w:rPr>
        <w:t xml:space="preserve"> hiding behind cars </w:t>
      </w:r>
      <w:r w:rsidR="0037194B">
        <w:rPr>
          <w:rFonts w:cs="Arial"/>
          <w:lang w:val="en-CA"/>
        </w:rPr>
        <w:t>to</w:t>
      </w:r>
      <w:r>
        <w:rPr>
          <w:rFonts w:cs="Arial"/>
          <w:lang w:val="en-CA"/>
        </w:rPr>
        <w:t xml:space="preserve"> </w:t>
      </w:r>
      <w:r w:rsidR="000F3F22">
        <w:rPr>
          <w:rFonts w:cs="Arial"/>
          <w:lang w:val="en-CA"/>
        </w:rPr>
        <w:t>shoot</w:t>
      </w:r>
      <w:r>
        <w:rPr>
          <w:rFonts w:cs="Arial"/>
          <w:lang w:val="en-CA"/>
        </w:rPr>
        <w:t xml:space="preserve"> </w:t>
      </w:r>
      <w:r w:rsidR="00464F5E">
        <w:rPr>
          <w:rFonts w:cs="Arial"/>
          <w:lang w:val="en-CA"/>
        </w:rPr>
        <w:t xml:space="preserve">at </w:t>
      </w:r>
      <w:r>
        <w:rPr>
          <w:rFonts w:cs="Arial"/>
          <w:lang w:val="en-CA"/>
        </w:rPr>
        <w:t>him</w:t>
      </w:r>
      <w:r w:rsidR="00B23A21" w:rsidRPr="001B22B0">
        <w:rPr>
          <w:rFonts w:cs="Arial"/>
          <w:lang w:val="en-CA"/>
        </w:rPr>
        <w:t>.</w:t>
      </w:r>
    </w:p>
    <w:p w14:paraId="1355A8A5" w14:textId="575BF2CD" w:rsidR="00B23A21" w:rsidRPr="001B22B0" w:rsidRDefault="0070585A" w:rsidP="000B6E2B">
      <w:pPr>
        <w:pStyle w:val="Paragraphe"/>
        <w:spacing w:line="240" w:lineRule="auto"/>
        <w:rPr>
          <w:rFonts w:cs="Arial"/>
          <w:lang w:val="en-CA"/>
        </w:rPr>
      </w:pPr>
      <w:r>
        <w:rPr>
          <w:rFonts w:cs="Arial"/>
          <w:lang w:val="en-CA"/>
        </w:rPr>
        <w:lastRenderedPageBreak/>
        <w:t>In early</w:t>
      </w:r>
      <w:r w:rsidRPr="0070585A">
        <w:rPr>
          <w:rFonts w:cs="Arial"/>
          <w:lang w:val="en-CA"/>
        </w:rPr>
        <w:t xml:space="preserve"> 2016, the appellant twice </w:t>
      </w:r>
      <w:r w:rsidR="0037194B" w:rsidRPr="0070585A">
        <w:rPr>
          <w:rFonts w:cs="Arial"/>
          <w:lang w:val="en-CA"/>
        </w:rPr>
        <w:t xml:space="preserve">confided </w:t>
      </w:r>
      <w:r w:rsidR="0037194B">
        <w:rPr>
          <w:rFonts w:cs="Arial"/>
          <w:lang w:val="en-CA"/>
        </w:rPr>
        <w:t xml:space="preserve">in </w:t>
      </w:r>
      <w:r w:rsidRPr="0070585A">
        <w:rPr>
          <w:rFonts w:cs="Arial"/>
          <w:lang w:val="en-CA"/>
        </w:rPr>
        <w:t xml:space="preserve">his best friend about </w:t>
      </w:r>
      <w:r w:rsidR="0037194B">
        <w:rPr>
          <w:rFonts w:cs="Arial"/>
          <w:lang w:val="en-CA"/>
        </w:rPr>
        <w:t>his</w:t>
      </w:r>
      <w:r w:rsidR="0037194B" w:rsidRPr="0070585A">
        <w:rPr>
          <w:rFonts w:cs="Arial"/>
          <w:lang w:val="en-CA"/>
        </w:rPr>
        <w:t xml:space="preserve"> </w:t>
      </w:r>
      <w:r w:rsidRPr="0070585A">
        <w:rPr>
          <w:rFonts w:cs="Arial"/>
          <w:lang w:val="en-CA"/>
        </w:rPr>
        <w:t xml:space="preserve">fears </w:t>
      </w:r>
      <w:r>
        <w:rPr>
          <w:rFonts w:cs="Arial"/>
          <w:lang w:val="en-CA"/>
        </w:rPr>
        <w:t>concerning</w:t>
      </w:r>
      <w:r w:rsidRPr="0070585A">
        <w:rPr>
          <w:rFonts w:cs="Arial"/>
          <w:lang w:val="en-CA"/>
        </w:rPr>
        <w:t xml:space="preserve"> this group of friends</w:t>
      </w:r>
      <w:r w:rsidR="00B23A21" w:rsidRPr="001B22B0">
        <w:rPr>
          <w:rFonts w:cs="Arial"/>
          <w:lang w:val="en-CA"/>
        </w:rPr>
        <w:t>.</w:t>
      </w:r>
    </w:p>
    <w:p w14:paraId="6D7A9FC7" w14:textId="0882A4C0" w:rsidR="00786CBA" w:rsidRPr="001B22B0" w:rsidRDefault="00D25D55" w:rsidP="000B6E2B">
      <w:pPr>
        <w:pStyle w:val="Paragraphe"/>
        <w:spacing w:line="240" w:lineRule="auto"/>
        <w:rPr>
          <w:rFonts w:cs="Arial"/>
          <w:lang w:val="en-CA"/>
        </w:rPr>
      </w:pPr>
      <w:r w:rsidRPr="00D25D55">
        <w:rPr>
          <w:rFonts w:cs="Arial"/>
          <w:lang w:val="en-CA"/>
        </w:rPr>
        <w:t xml:space="preserve">First, around January 2016, he spoke to his friend about a </w:t>
      </w:r>
      <w:r w:rsidRPr="00B92A5F">
        <w:rPr>
          <w:rFonts w:cs="Arial"/>
          <w:szCs w:val="24"/>
          <w:lang w:val="en-CA"/>
        </w:rPr>
        <w:t>[</w:t>
      </w:r>
      <w:r w:rsidR="00A1778B" w:rsidRPr="00B92A5F">
        <w:rPr>
          <w:rFonts w:cs="Arial"/>
          <w:smallCaps/>
          <w:szCs w:val="24"/>
          <w:lang w:val="en-CA"/>
        </w:rPr>
        <w:t>translation</w:t>
      </w:r>
      <w:r w:rsidRPr="00B92A5F">
        <w:rPr>
          <w:rFonts w:cs="Arial"/>
          <w:szCs w:val="24"/>
          <w:lang w:val="en-CA"/>
        </w:rPr>
        <w:t>]</w:t>
      </w:r>
      <w:r>
        <w:rPr>
          <w:rFonts w:cs="Arial"/>
          <w:lang w:val="en-CA"/>
        </w:rPr>
        <w:t xml:space="preserve"> </w:t>
      </w:r>
      <w:r w:rsidRPr="00D25D55">
        <w:rPr>
          <w:rFonts w:cs="Arial"/>
          <w:lang w:val="en-CA"/>
        </w:rPr>
        <w:t>“group of people who [want</w:t>
      </w:r>
      <w:r>
        <w:rPr>
          <w:rFonts w:cs="Arial"/>
          <w:lang w:val="en-CA"/>
        </w:rPr>
        <w:t>ed</w:t>
      </w:r>
      <w:r w:rsidRPr="00D25D55">
        <w:rPr>
          <w:rFonts w:cs="Arial"/>
          <w:lang w:val="en-CA"/>
        </w:rPr>
        <w:t xml:space="preserve">] to sully his reputation” by publishing anonymous messages </w:t>
      </w:r>
      <w:r w:rsidR="00511114">
        <w:rPr>
          <w:rFonts w:cs="Arial"/>
          <w:lang w:val="en-CA"/>
        </w:rPr>
        <w:t>to</w:t>
      </w:r>
      <w:r w:rsidRPr="00D25D55">
        <w:rPr>
          <w:rFonts w:cs="Arial"/>
          <w:lang w:val="en-CA"/>
        </w:rPr>
        <w:t xml:space="preserve"> him on Facebook. He remain</w:t>
      </w:r>
      <w:r w:rsidR="00511114">
        <w:rPr>
          <w:rFonts w:cs="Arial"/>
          <w:lang w:val="en-CA"/>
        </w:rPr>
        <w:t>ed</w:t>
      </w:r>
      <w:r w:rsidRPr="00D25D55">
        <w:rPr>
          <w:rFonts w:cs="Arial"/>
          <w:lang w:val="en-CA"/>
        </w:rPr>
        <w:t xml:space="preserve"> enigmatic about the identity of the group. When the </w:t>
      </w:r>
      <w:r w:rsidR="00511114">
        <w:rPr>
          <w:rFonts w:cs="Arial"/>
          <w:lang w:val="en-CA"/>
        </w:rPr>
        <w:t>appellant</w:t>
      </w:r>
      <w:r w:rsidRPr="00D25D55">
        <w:rPr>
          <w:rFonts w:cs="Arial"/>
          <w:lang w:val="en-CA"/>
        </w:rPr>
        <w:t xml:space="preserve"> show</w:t>
      </w:r>
      <w:r w:rsidR="00511114">
        <w:rPr>
          <w:rFonts w:cs="Arial"/>
          <w:lang w:val="en-CA"/>
        </w:rPr>
        <w:t>ed</w:t>
      </w:r>
      <w:r w:rsidRPr="00D25D55">
        <w:rPr>
          <w:rFonts w:cs="Arial"/>
          <w:lang w:val="en-CA"/>
        </w:rPr>
        <w:t xml:space="preserve"> his friend the messages, </w:t>
      </w:r>
      <w:r w:rsidR="00511114">
        <w:rPr>
          <w:rFonts w:cs="Arial"/>
          <w:lang w:val="en-CA"/>
        </w:rPr>
        <w:t>his friend</w:t>
      </w:r>
      <w:r w:rsidRPr="00D25D55">
        <w:rPr>
          <w:rFonts w:cs="Arial"/>
          <w:lang w:val="en-CA"/>
        </w:rPr>
        <w:t xml:space="preserve"> trie</w:t>
      </w:r>
      <w:r w:rsidR="00511114">
        <w:rPr>
          <w:rFonts w:cs="Arial"/>
          <w:lang w:val="en-CA"/>
        </w:rPr>
        <w:t>d</w:t>
      </w:r>
      <w:r w:rsidRPr="00D25D55">
        <w:rPr>
          <w:rFonts w:cs="Arial"/>
          <w:lang w:val="en-CA"/>
        </w:rPr>
        <w:t xml:space="preserve"> to convince him that they </w:t>
      </w:r>
      <w:r w:rsidR="0037194B">
        <w:rPr>
          <w:rFonts w:cs="Arial"/>
          <w:lang w:val="en-CA"/>
        </w:rPr>
        <w:t>did not</w:t>
      </w:r>
      <w:r w:rsidR="0037194B" w:rsidRPr="00D25D55">
        <w:rPr>
          <w:rFonts w:cs="Arial"/>
          <w:lang w:val="en-CA"/>
        </w:rPr>
        <w:t xml:space="preserve"> </w:t>
      </w:r>
      <w:r w:rsidRPr="00D25D55">
        <w:rPr>
          <w:rFonts w:cs="Arial"/>
          <w:lang w:val="en-CA"/>
        </w:rPr>
        <w:t>concern him and t</w:t>
      </w:r>
      <w:r w:rsidR="00511114">
        <w:rPr>
          <w:rFonts w:cs="Arial"/>
          <w:lang w:val="en-CA"/>
        </w:rPr>
        <w:t>old</w:t>
      </w:r>
      <w:r w:rsidRPr="00D25D55">
        <w:rPr>
          <w:rFonts w:cs="Arial"/>
          <w:lang w:val="en-CA"/>
        </w:rPr>
        <w:t xml:space="preserve"> him that he </w:t>
      </w:r>
      <w:r w:rsidR="00511114">
        <w:rPr>
          <w:rFonts w:cs="Arial"/>
          <w:lang w:val="en-CA"/>
        </w:rPr>
        <w:t>was</w:t>
      </w:r>
      <w:r w:rsidRPr="00D25D55">
        <w:rPr>
          <w:rFonts w:cs="Arial"/>
          <w:lang w:val="en-CA"/>
        </w:rPr>
        <w:t xml:space="preserve"> </w:t>
      </w:r>
      <w:r w:rsidR="00511114" w:rsidRPr="00B92A5F">
        <w:rPr>
          <w:rFonts w:cs="Arial"/>
          <w:szCs w:val="24"/>
          <w:lang w:val="en-CA"/>
        </w:rPr>
        <w:t>[</w:t>
      </w:r>
      <w:r w:rsidR="00A1778B" w:rsidRPr="00B92A5F">
        <w:rPr>
          <w:rFonts w:cs="Arial"/>
          <w:smallCaps/>
          <w:szCs w:val="24"/>
          <w:lang w:val="en-CA"/>
        </w:rPr>
        <w:t>translation</w:t>
      </w:r>
      <w:r w:rsidR="00511114" w:rsidRPr="00B92A5F">
        <w:rPr>
          <w:rFonts w:cs="Arial"/>
          <w:szCs w:val="24"/>
          <w:lang w:val="en-CA"/>
        </w:rPr>
        <w:t>]</w:t>
      </w:r>
      <w:r w:rsidR="00511114">
        <w:rPr>
          <w:rFonts w:cs="Arial"/>
          <w:lang w:val="en-CA"/>
        </w:rPr>
        <w:t xml:space="preserve"> </w:t>
      </w:r>
      <w:r w:rsidRPr="00D25D55">
        <w:rPr>
          <w:rFonts w:cs="Arial"/>
          <w:lang w:val="en-CA"/>
        </w:rPr>
        <w:t xml:space="preserve">“paranoid”. The </w:t>
      </w:r>
      <w:r w:rsidR="00511114">
        <w:rPr>
          <w:rFonts w:cs="Arial"/>
          <w:lang w:val="en-CA"/>
        </w:rPr>
        <w:t>appellant</w:t>
      </w:r>
      <w:r w:rsidRPr="00D25D55">
        <w:rPr>
          <w:rFonts w:cs="Arial"/>
          <w:lang w:val="en-CA"/>
        </w:rPr>
        <w:t xml:space="preserve"> then </w:t>
      </w:r>
      <w:r w:rsidR="00315AA4">
        <w:rPr>
          <w:rFonts w:cs="Arial"/>
          <w:lang w:val="en-CA"/>
        </w:rPr>
        <w:t>told his friend</w:t>
      </w:r>
      <w:r w:rsidRPr="00D25D55">
        <w:rPr>
          <w:rFonts w:cs="Arial"/>
          <w:lang w:val="en-CA"/>
        </w:rPr>
        <w:t xml:space="preserve"> that he </w:t>
      </w:r>
      <w:r w:rsidR="00A1778B">
        <w:rPr>
          <w:rFonts w:cs="Arial"/>
          <w:lang w:val="en-CA"/>
        </w:rPr>
        <w:t>did</w:t>
      </w:r>
      <w:r w:rsidR="00C30F61">
        <w:rPr>
          <w:rFonts w:cs="Arial"/>
          <w:lang w:val="en-CA"/>
        </w:rPr>
        <w:t xml:space="preserve"> not</w:t>
      </w:r>
      <w:r w:rsidR="00C30F61" w:rsidRPr="00D25D55">
        <w:rPr>
          <w:rFonts w:cs="Arial"/>
          <w:lang w:val="en-CA"/>
        </w:rPr>
        <w:t xml:space="preserve"> </w:t>
      </w:r>
      <w:r w:rsidRPr="00D25D55">
        <w:rPr>
          <w:rFonts w:cs="Arial"/>
          <w:lang w:val="en-CA"/>
        </w:rPr>
        <w:t>understand</w:t>
      </w:r>
      <w:r w:rsidR="00786CBA" w:rsidRPr="001B22B0">
        <w:rPr>
          <w:rFonts w:cs="Arial"/>
          <w:lang w:val="en-CA"/>
        </w:rPr>
        <w:t>.</w:t>
      </w:r>
    </w:p>
    <w:p w14:paraId="4C68364C" w14:textId="3FDD31CC" w:rsidR="00B23A21" w:rsidRPr="001B22B0" w:rsidRDefault="00511114" w:rsidP="000B6E2B">
      <w:pPr>
        <w:pStyle w:val="Paragraphe"/>
        <w:spacing w:line="240" w:lineRule="auto"/>
        <w:rPr>
          <w:rFonts w:cs="Arial"/>
          <w:lang w:val="en-CA"/>
        </w:rPr>
      </w:pPr>
      <w:r w:rsidRPr="00511114">
        <w:rPr>
          <w:rFonts w:cs="Arial"/>
          <w:lang w:val="en-CA"/>
        </w:rPr>
        <w:t xml:space="preserve">Shortly </w:t>
      </w:r>
      <w:r>
        <w:rPr>
          <w:rFonts w:cs="Arial"/>
          <w:lang w:val="en-CA"/>
        </w:rPr>
        <w:t>there</w:t>
      </w:r>
      <w:r w:rsidRPr="00511114">
        <w:rPr>
          <w:rFonts w:cs="Arial"/>
          <w:lang w:val="en-CA"/>
        </w:rPr>
        <w:t xml:space="preserve">after, the appellant called his friend to tell him that he feared for his life. It </w:t>
      </w:r>
      <w:r>
        <w:rPr>
          <w:rFonts w:cs="Arial"/>
          <w:lang w:val="en-CA"/>
        </w:rPr>
        <w:t>was</w:t>
      </w:r>
      <w:r w:rsidRPr="00511114">
        <w:rPr>
          <w:rFonts w:cs="Arial"/>
          <w:lang w:val="en-CA"/>
        </w:rPr>
        <w:t xml:space="preserve"> at this </w:t>
      </w:r>
      <w:r>
        <w:rPr>
          <w:rFonts w:cs="Arial"/>
          <w:lang w:val="en-CA"/>
        </w:rPr>
        <w:t>time</w:t>
      </w:r>
      <w:r w:rsidRPr="00511114">
        <w:rPr>
          <w:rFonts w:cs="Arial"/>
          <w:lang w:val="en-CA"/>
        </w:rPr>
        <w:t xml:space="preserve"> that the </w:t>
      </w:r>
      <w:r>
        <w:rPr>
          <w:rFonts w:cs="Arial"/>
          <w:lang w:val="en-CA"/>
        </w:rPr>
        <w:t>appellant</w:t>
      </w:r>
      <w:r w:rsidRPr="00511114">
        <w:rPr>
          <w:rFonts w:cs="Arial"/>
          <w:lang w:val="en-CA"/>
        </w:rPr>
        <w:t xml:space="preserve"> reveal</w:t>
      </w:r>
      <w:r>
        <w:rPr>
          <w:rFonts w:cs="Arial"/>
          <w:lang w:val="en-CA"/>
        </w:rPr>
        <w:t>ed</w:t>
      </w:r>
      <w:r w:rsidRPr="00511114">
        <w:rPr>
          <w:rFonts w:cs="Arial"/>
          <w:lang w:val="en-CA"/>
        </w:rPr>
        <w:t xml:space="preserve"> to him that the group in question </w:t>
      </w:r>
      <w:r>
        <w:rPr>
          <w:rFonts w:cs="Arial"/>
          <w:lang w:val="en-CA"/>
        </w:rPr>
        <w:t>was</w:t>
      </w:r>
      <w:r w:rsidRPr="00511114">
        <w:rPr>
          <w:rFonts w:cs="Arial"/>
          <w:lang w:val="en-CA"/>
        </w:rPr>
        <w:t xml:space="preserve"> </w:t>
      </w:r>
      <w:r>
        <w:rPr>
          <w:rFonts w:cs="Arial"/>
          <w:lang w:val="en-CA"/>
        </w:rPr>
        <w:t xml:space="preserve">a group </w:t>
      </w:r>
      <w:r w:rsidRPr="00511114">
        <w:rPr>
          <w:rFonts w:cs="Arial"/>
          <w:lang w:val="en-CA"/>
        </w:rPr>
        <w:t xml:space="preserve">of girls who </w:t>
      </w:r>
      <w:r w:rsidR="00C8726F">
        <w:rPr>
          <w:rFonts w:cs="Arial"/>
          <w:lang w:val="en-CA"/>
        </w:rPr>
        <w:t xml:space="preserve">had </w:t>
      </w:r>
      <w:r w:rsidRPr="00511114">
        <w:rPr>
          <w:rFonts w:cs="Arial"/>
          <w:lang w:val="en-CA"/>
        </w:rPr>
        <w:t>attended the same high school as them. This group, he confide</w:t>
      </w:r>
      <w:r w:rsidR="006957EE">
        <w:rPr>
          <w:rFonts w:cs="Arial"/>
          <w:lang w:val="en-CA"/>
        </w:rPr>
        <w:t>d</w:t>
      </w:r>
      <w:r w:rsidRPr="00511114">
        <w:rPr>
          <w:rFonts w:cs="Arial"/>
          <w:lang w:val="en-CA"/>
        </w:rPr>
        <w:t xml:space="preserve"> to him, want</w:t>
      </w:r>
      <w:r w:rsidR="00DC543B">
        <w:rPr>
          <w:rFonts w:cs="Arial"/>
          <w:lang w:val="en-CA"/>
        </w:rPr>
        <w:t>ed to kill him</w:t>
      </w:r>
      <w:r w:rsidRPr="00511114">
        <w:rPr>
          <w:rFonts w:cs="Arial"/>
          <w:lang w:val="en-CA"/>
        </w:rPr>
        <w:t>. His friend t</w:t>
      </w:r>
      <w:r w:rsidR="00507B3E">
        <w:rPr>
          <w:rFonts w:cs="Arial"/>
          <w:lang w:val="en-CA"/>
        </w:rPr>
        <w:t>old</w:t>
      </w:r>
      <w:r w:rsidRPr="00511114">
        <w:rPr>
          <w:rFonts w:cs="Arial"/>
          <w:lang w:val="en-CA"/>
        </w:rPr>
        <w:t xml:space="preserve"> him once again that he </w:t>
      </w:r>
      <w:r w:rsidR="00507B3E">
        <w:rPr>
          <w:rFonts w:cs="Arial"/>
          <w:lang w:val="en-CA"/>
        </w:rPr>
        <w:t>was</w:t>
      </w:r>
      <w:r w:rsidRPr="00511114">
        <w:rPr>
          <w:rFonts w:cs="Arial"/>
          <w:lang w:val="en-CA"/>
        </w:rPr>
        <w:t xml:space="preserve"> paranoid; he </w:t>
      </w:r>
      <w:r w:rsidR="00C8726F">
        <w:rPr>
          <w:rFonts w:cs="Arial"/>
          <w:lang w:val="en-CA"/>
        </w:rPr>
        <w:t>added</w:t>
      </w:r>
      <w:r w:rsidR="00C8726F" w:rsidRPr="00511114">
        <w:rPr>
          <w:rFonts w:cs="Arial"/>
          <w:lang w:val="en-CA"/>
        </w:rPr>
        <w:t xml:space="preserve"> </w:t>
      </w:r>
      <w:r w:rsidRPr="00511114">
        <w:rPr>
          <w:rFonts w:cs="Arial"/>
          <w:lang w:val="en-CA"/>
        </w:rPr>
        <w:t xml:space="preserve">that this </w:t>
      </w:r>
      <w:r w:rsidR="00507B3E">
        <w:rPr>
          <w:rFonts w:cs="Arial"/>
          <w:lang w:val="en-CA"/>
        </w:rPr>
        <w:t>was</w:t>
      </w:r>
      <w:r w:rsidRPr="00511114">
        <w:rPr>
          <w:rFonts w:cs="Arial"/>
          <w:lang w:val="en-CA"/>
        </w:rPr>
        <w:t xml:space="preserve"> crazy and that he should focus on school</w:t>
      </w:r>
      <w:r w:rsidR="00B23A21" w:rsidRPr="001B22B0">
        <w:rPr>
          <w:rFonts w:cs="Arial"/>
          <w:lang w:val="en-CA"/>
        </w:rPr>
        <w:t>.</w:t>
      </w:r>
    </w:p>
    <w:p w14:paraId="54F7DD65" w14:textId="222E29E0" w:rsidR="00B23A21" w:rsidRPr="001B22B0" w:rsidRDefault="00DC543B" w:rsidP="000B6E2B">
      <w:pPr>
        <w:pStyle w:val="Paragraphe"/>
        <w:spacing w:line="240" w:lineRule="auto"/>
        <w:rPr>
          <w:rFonts w:cs="Arial"/>
          <w:lang w:val="en-CA"/>
        </w:rPr>
      </w:pPr>
      <w:r w:rsidRPr="00DC543B">
        <w:rPr>
          <w:rFonts w:cs="Arial"/>
          <w:lang w:val="en-CA"/>
        </w:rPr>
        <w:t xml:space="preserve">The two friends did not speak about this </w:t>
      </w:r>
      <w:r w:rsidR="006957EE">
        <w:rPr>
          <w:rFonts w:cs="Arial"/>
          <w:lang w:val="en-CA"/>
        </w:rPr>
        <w:t>matter</w:t>
      </w:r>
      <w:r w:rsidRPr="00DC543B">
        <w:rPr>
          <w:rFonts w:cs="Arial"/>
          <w:lang w:val="en-CA"/>
        </w:rPr>
        <w:t xml:space="preserve"> again</w:t>
      </w:r>
      <w:r w:rsidR="007525E5">
        <w:rPr>
          <w:rFonts w:cs="Arial"/>
          <w:lang w:val="en-CA"/>
        </w:rPr>
        <w:t xml:space="preserve"> after that</w:t>
      </w:r>
      <w:r w:rsidR="00B23A21" w:rsidRPr="001B22B0">
        <w:rPr>
          <w:rFonts w:cs="Arial"/>
          <w:lang w:val="en-CA"/>
        </w:rPr>
        <w:t>.</w:t>
      </w:r>
    </w:p>
    <w:p w14:paraId="43F55916" w14:textId="43F3703D" w:rsidR="00B23A21" w:rsidRPr="001B22B0" w:rsidRDefault="00DC543B" w:rsidP="000B6E2B">
      <w:pPr>
        <w:pStyle w:val="Paragraphe"/>
        <w:spacing w:line="240" w:lineRule="auto"/>
        <w:rPr>
          <w:rFonts w:cs="Arial"/>
          <w:lang w:val="en-CA"/>
        </w:rPr>
      </w:pPr>
      <w:r>
        <w:rPr>
          <w:rFonts w:cs="Arial"/>
          <w:lang w:val="en-CA"/>
        </w:rPr>
        <w:t>In early</w:t>
      </w:r>
      <w:r w:rsidRPr="00DC543B">
        <w:rPr>
          <w:rFonts w:cs="Arial"/>
          <w:lang w:val="en-CA"/>
        </w:rPr>
        <w:t xml:space="preserve"> April 2016, the appellant </w:t>
      </w:r>
      <w:r>
        <w:rPr>
          <w:rFonts w:cs="Arial"/>
          <w:lang w:val="en-CA"/>
        </w:rPr>
        <w:t>twice crossed paths with some</w:t>
      </w:r>
      <w:r w:rsidRPr="00DC543B">
        <w:rPr>
          <w:rFonts w:cs="Arial"/>
          <w:lang w:val="en-CA"/>
        </w:rPr>
        <w:t xml:space="preserve"> members of the group. These encounters reinforce</w:t>
      </w:r>
      <w:r>
        <w:rPr>
          <w:rFonts w:cs="Arial"/>
          <w:lang w:val="en-CA"/>
        </w:rPr>
        <w:t>d</w:t>
      </w:r>
      <w:r w:rsidRPr="00DC543B">
        <w:rPr>
          <w:rFonts w:cs="Arial"/>
          <w:lang w:val="en-CA"/>
        </w:rPr>
        <w:t xml:space="preserve"> his delusional beliefs</w:t>
      </w:r>
      <w:r w:rsidR="00B23A21" w:rsidRPr="001B22B0">
        <w:rPr>
          <w:rFonts w:cs="Arial"/>
          <w:lang w:val="en-CA"/>
        </w:rPr>
        <w:t>.</w:t>
      </w:r>
    </w:p>
    <w:p w14:paraId="3BFF821E" w14:textId="000A9669" w:rsidR="00B23A21" w:rsidRPr="001B22B0" w:rsidRDefault="00DC543B" w:rsidP="000B6E2B">
      <w:pPr>
        <w:pStyle w:val="Paragraphe"/>
        <w:spacing w:line="240" w:lineRule="auto"/>
        <w:rPr>
          <w:rFonts w:cs="Arial"/>
          <w:lang w:val="en-CA"/>
        </w:rPr>
      </w:pPr>
      <w:r w:rsidRPr="00DC543B">
        <w:rPr>
          <w:rFonts w:cs="Arial"/>
          <w:lang w:val="en-CA"/>
        </w:rPr>
        <w:t>On April 3, 2016, the appellant went to the Maxi to meet the victim and convince her that he was a good person. A short discussion beg</w:t>
      </w:r>
      <w:r w:rsidR="00086776">
        <w:rPr>
          <w:rFonts w:cs="Arial"/>
          <w:lang w:val="en-CA"/>
        </w:rPr>
        <w:t>an</w:t>
      </w:r>
      <w:r w:rsidRPr="00DC543B">
        <w:rPr>
          <w:rFonts w:cs="Arial"/>
          <w:lang w:val="en-CA"/>
        </w:rPr>
        <w:t xml:space="preserve"> between them during which the </w:t>
      </w:r>
      <w:r w:rsidR="00086776">
        <w:rPr>
          <w:rFonts w:cs="Arial"/>
          <w:lang w:val="en-CA"/>
        </w:rPr>
        <w:t>appellant</w:t>
      </w:r>
      <w:r w:rsidRPr="00DC543B">
        <w:rPr>
          <w:rFonts w:cs="Arial"/>
          <w:lang w:val="en-CA"/>
        </w:rPr>
        <w:t xml:space="preserve"> ask</w:t>
      </w:r>
      <w:r w:rsidR="00086776">
        <w:rPr>
          <w:rFonts w:cs="Arial"/>
          <w:lang w:val="en-CA"/>
        </w:rPr>
        <w:t>ed</w:t>
      </w:r>
      <w:r w:rsidRPr="00DC543B">
        <w:rPr>
          <w:rFonts w:cs="Arial"/>
          <w:lang w:val="en-CA"/>
        </w:rPr>
        <w:t xml:space="preserve"> the victim for her phone number and Facebook account. The victim d</w:t>
      </w:r>
      <w:r w:rsidR="00086776">
        <w:rPr>
          <w:rFonts w:cs="Arial"/>
          <w:lang w:val="en-CA"/>
        </w:rPr>
        <w:t>id not</w:t>
      </w:r>
      <w:r w:rsidRPr="00DC543B">
        <w:rPr>
          <w:rFonts w:cs="Arial"/>
          <w:lang w:val="en-CA"/>
        </w:rPr>
        <w:t xml:space="preserve"> give him this information</w:t>
      </w:r>
      <w:r w:rsidR="00B23A21" w:rsidRPr="001B22B0">
        <w:rPr>
          <w:rFonts w:cs="Arial"/>
          <w:lang w:val="en-CA"/>
        </w:rPr>
        <w:t>.</w:t>
      </w:r>
    </w:p>
    <w:p w14:paraId="542F9C2D" w14:textId="346945E3" w:rsidR="00B23A21" w:rsidRPr="001B22B0" w:rsidRDefault="00086776" w:rsidP="000B6E2B">
      <w:pPr>
        <w:pStyle w:val="Paragraphe"/>
        <w:spacing w:line="240" w:lineRule="auto"/>
        <w:rPr>
          <w:rFonts w:cs="Arial"/>
          <w:lang w:val="en-CA"/>
        </w:rPr>
      </w:pPr>
      <w:r w:rsidRPr="00086776">
        <w:rPr>
          <w:rFonts w:cs="Arial"/>
          <w:lang w:val="en-CA"/>
        </w:rPr>
        <w:t>When the appellant le</w:t>
      </w:r>
      <w:r>
        <w:rPr>
          <w:rFonts w:cs="Arial"/>
          <w:lang w:val="en-CA"/>
        </w:rPr>
        <w:t>ft</w:t>
      </w:r>
      <w:r w:rsidRPr="00086776">
        <w:rPr>
          <w:rFonts w:cs="Arial"/>
          <w:lang w:val="en-CA"/>
        </w:rPr>
        <w:t>, he sa</w:t>
      </w:r>
      <w:r>
        <w:rPr>
          <w:rFonts w:cs="Arial"/>
          <w:lang w:val="en-CA"/>
        </w:rPr>
        <w:t>id</w:t>
      </w:r>
      <w:r w:rsidRPr="00086776">
        <w:rPr>
          <w:rFonts w:cs="Arial"/>
          <w:lang w:val="en-CA"/>
        </w:rPr>
        <w:t xml:space="preserve"> “bye” to the victim</w:t>
      </w:r>
      <w:r>
        <w:rPr>
          <w:rFonts w:cs="Arial"/>
          <w:lang w:val="en-CA"/>
        </w:rPr>
        <w:t>,</w:t>
      </w:r>
      <w:r w:rsidRPr="00086776">
        <w:rPr>
          <w:rFonts w:cs="Arial"/>
          <w:lang w:val="en-CA"/>
        </w:rPr>
        <w:t xml:space="preserve"> who </w:t>
      </w:r>
      <w:r>
        <w:rPr>
          <w:rFonts w:cs="Arial"/>
          <w:lang w:val="en-CA"/>
        </w:rPr>
        <w:t>answered</w:t>
      </w:r>
      <w:r w:rsidRPr="00086776">
        <w:rPr>
          <w:rFonts w:cs="Arial"/>
          <w:lang w:val="en-CA"/>
        </w:rPr>
        <w:t xml:space="preserve"> </w:t>
      </w:r>
      <w:r w:rsidRPr="00B92A5F">
        <w:rPr>
          <w:rFonts w:cs="Arial"/>
          <w:szCs w:val="24"/>
          <w:lang w:val="en-CA"/>
        </w:rPr>
        <w:t>[</w:t>
      </w:r>
      <w:r w:rsidR="007E4504" w:rsidRPr="00B92A5F">
        <w:rPr>
          <w:rFonts w:cs="Arial"/>
          <w:smallCaps/>
          <w:szCs w:val="24"/>
          <w:lang w:val="en-CA"/>
        </w:rPr>
        <w:t>translation</w:t>
      </w:r>
      <w:r w:rsidRPr="00B92A5F">
        <w:rPr>
          <w:rFonts w:cs="Arial"/>
          <w:szCs w:val="24"/>
          <w:lang w:val="en-CA"/>
        </w:rPr>
        <w:t>]</w:t>
      </w:r>
      <w:r>
        <w:rPr>
          <w:rFonts w:cs="Arial"/>
          <w:lang w:val="en-CA"/>
        </w:rPr>
        <w:t xml:space="preserve"> </w:t>
      </w:r>
      <w:r w:rsidRPr="00086776">
        <w:rPr>
          <w:rFonts w:cs="Arial"/>
          <w:lang w:val="en-CA"/>
        </w:rPr>
        <w:t xml:space="preserve">“Take care of yourself”. The </w:t>
      </w:r>
      <w:r>
        <w:rPr>
          <w:rFonts w:cs="Arial"/>
          <w:lang w:val="en-CA"/>
        </w:rPr>
        <w:t>appellant</w:t>
      </w:r>
      <w:r w:rsidRPr="00086776">
        <w:rPr>
          <w:rFonts w:cs="Arial"/>
          <w:lang w:val="en-CA"/>
        </w:rPr>
        <w:t xml:space="preserve"> interpret</w:t>
      </w:r>
      <w:r>
        <w:rPr>
          <w:rFonts w:cs="Arial"/>
          <w:lang w:val="en-CA"/>
        </w:rPr>
        <w:t>ed</w:t>
      </w:r>
      <w:r w:rsidRPr="00086776">
        <w:rPr>
          <w:rFonts w:cs="Arial"/>
          <w:lang w:val="en-CA"/>
        </w:rPr>
        <w:t xml:space="preserve"> these words as a warning. The victim confided to a </w:t>
      </w:r>
      <w:r>
        <w:rPr>
          <w:rFonts w:cs="Arial"/>
          <w:lang w:val="en-CA"/>
        </w:rPr>
        <w:t>co-worker</w:t>
      </w:r>
      <w:r w:rsidRPr="00086776">
        <w:rPr>
          <w:rFonts w:cs="Arial"/>
          <w:lang w:val="en-CA"/>
        </w:rPr>
        <w:t xml:space="preserve"> that this meeting was </w:t>
      </w:r>
      <w:r w:rsidRPr="00B92A5F">
        <w:rPr>
          <w:rFonts w:cs="Arial"/>
          <w:szCs w:val="24"/>
          <w:lang w:val="en-CA"/>
        </w:rPr>
        <w:t>[</w:t>
      </w:r>
      <w:r w:rsidR="007E4504" w:rsidRPr="00B92A5F">
        <w:rPr>
          <w:rFonts w:cs="Arial"/>
          <w:smallCaps/>
          <w:szCs w:val="24"/>
          <w:lang w:val="en-CA"/>
        </w:rPr>
        <w:t>translation</w:t>
      </w:r>
      <w:r w:rsidRPr="00B92A5F">
        <w:rPr>
          <w:rFonts w:cs="Arial"/>
          <w:szCs w:val="24"/>
          <w:lang w:val="en-CA"/>
        </w:rPr>
        <w:t>]</w:t>
      </w:r>
      <w:r>
        <w:rPr>
          <w:rFonts w:cs="Arial"/>
          <w:lang w:val="en-CA"/>
        </w:rPr>
        <w:t xml:space="preserve"> </w:t>
      </w:r>
      <w:r w:rsidRPr="00086776">
        <w:rPr>
          <w:rFonts w:cs="Arial"/>
          <w:lang w:val="en-CA"/>
        </w:rPr>
        <w:t xml:space="preserve">“weird” because she had not seen the </w:t>
      </w:r>
      <w:r>
        <w:rPr>
          <w:rFonts w:cs="Arial"/>
          <w:lang w:val="en-CA"/>
        </w:rPr>
        <w:t>appellant</w:t>
      </w:r>
      <w:r w:rsidRPr="00086776">
        <w:rPr>
          <w:rFonts w:cs="Arial"/>
          <w:lang w:val="en-CA"/>
        </w:rPr>
        <w:t xml:space="preserve"> since high school.</w:t>
      </w:r>
    </w:p>
    <w:p w14:paraId="41875E0A" w14:textId="40A7F9A3" w:rsidR="00B23A21" w:rsidRPr="001B22B0" w:rsidRDefault="00086776" w:rsidP="000B6E2B">
      <w:pPr>
        <w:pStyle w:val="Paragraphe"/>
        <w:spacing w:line="240" w:lineRule="auto"/>
        <w:rPr>
          <w:rFonts w:cs="Arial"/>
          <w:lang w:val="en-CA"/>
        </w:rPr>
      </w:pPr>
      <w:r w:rsidRPr="00086776">
        <w:rPr>
          <w:rFonts w:cs="Arial"/>
          <w:lang w:val="en-CA"/>
        </w:rPr>
        <w:t>On April 9, 2016, the appellant spent the evening with a friend. He d</w:t>
      </w:r>
      <w:r>
        <w:rPr>
          <w:rFonts w:cs="Arial"/>
          <w:lang w:val="en-CA"/>
        </w:rPr>
        <w:t xml:space="preserve">id not </w:t>
      </w:r>
      <w:r w:rsidRPr="00086776">
        <w:rPr>
          <w:rFonts w:cs="Arial"/>
          <w:lang w:val="en-CA"/>
        </w:rPr>
        <w:t>seem worried or anxious.</w:t>
      </w:r>
    </w:p>
    <w:p w14:paraId="158118C2" w14:textId="0CAE72EE" w:rsidR="00786CBA" w:rsidRPr="001B22B0" w:rsidRDefault="0056023E" w:rsidP="000B6E2B">
      <w:pPr>
        <w:pStyle w:val="Paragraphe"/>
        <w:spacing w:line="240" w:lineRule="auto"/>
        <w:rPr>
          <w:rFonts w:cs="Arial"/>
          <w:lang w:val="en-CA"/>
        </w:rPr>
      </w:pPr>
      <w:r w:rsidRPr="0056023E">
        <w:rPr>
          <w:rFonts w:cs="Arial"/>
          <w:lang w:val="en-CA"/>
        </w:rPr>
        <w:t xml:space="preserve">On April 10, 2016, he went to </w:t>
      </w:r>
      <w:r>
        <w:rPr>
          <w:rFonts w:cs="Arial"/>
          <w:lang w:val="en-CA"/>
        </w:rPr>
        <w:t xml:space="preserve">the </w:t>
      </w:r>
      <w:r w:rsidRPr="0056023E">
        <w:rPr>
          <w:rFonts w:cs="Arial"/>
          <w:lang w:val="en-CA"/>
        </w:rPr>
        <w:t xml:space="preserve">Maxi again. He </w:t>
      </w:r>
      <w:r w:rsidR="00CB3504">
        <w:rPr>
          <w:rFonts w:cs="Arial"/>
          <w:lang w:val="en-CA"/>
        </w:rPr>
        <w:t>headed</w:t>
      </w:r>
      <w:r w:rsidRPr="0056023E">
        <w:rPr>
          <w:rFonts w:cs="Arial"/>
          <w:lang w:val="en-CA"/>
        </w:rPr>
        <w:t xml:space="preserve"> towards the victim</w:t>
      </w:r>
      <w:r w:rsidR="00B24E4F">
        <w:rPr>
          <w:rFonts w:cs="Arial"/>
          <w:lang w:val="en-CA"/>
        </w:rPr>
        <w:t xml:space="preserve"> with his</w:t>
      </w:r>
      <w:r w:rsidR="00B24E4F" w:rsidRPr="0056023E">
        <w:rPr>
          <w:rFonts w:cs="Arial"/>
          <w:lang w:val="en-CA"/>
        </w:rPr>
        <w:t xml:space="preserve"> </w:t>
      </w:r>
      <w:r w:rsidRPr="0056023E">
        <w:rPr>
          <w:rFonts w:cs="Arial"/>
          <w:lang w:val="en-CA"/>
        </w:rPr>
        <w:t xml:space="preserve">hands in his pockets. A Maxi customer </w:t>
      </w:r>
      <w:r>
        <w:rPr>
          <w:rFonts w:cs="Arial"/>
          <w:lang w:val="en-CA"/>
        </w:rPr>
        <w:t>saw</w:t>
      </w:r>
      <w:r w:rsidRPr="0056023E">
        <w:rPr>
          <w:rFonts w:cs="Arial"/>
          <w:lang w:val="en-CA"/>
        </w:rPr>
        <w:t xml:space="preserve"> the </w:t>
      </w:r>
      <w:r>
        <w:rPr>
          <w:rFonts w:cs="Arial"/>
          <w:lang w:val="en-CA"/>
        </w:rPr>
        <w:t>appellant</w:t>
      </w:r>
      <w:r w:rsidRPr="0056023E">
        <w:rPr>
          <w:rFonts w:cs="Arial"/>
          <w:lang w:val="en-CA"/>
        </w:rPr>
        <w:t xml:space="preserve"> </w:t>
      </w:r>
      <w:r w:rsidR="00CB3504">
        <w:rPr>
          <w:rFonts w:cs="Arial"/>
          <w:lang w:val="en-CA"/>
        </w:rPr>
        <w:t>put his arms around</w:t>
      </w:r>
      <w:r w:rsidR="00B24E4F" w:rsidRPr="0056023E">
        <w:rPr>
          <w:rFonts w:cs="Arial"/>
          <w:lang w:val="en-CA"/>
        </w:rPr>
        <w:t xml:space="preserve"> </w:t>
      </w:r>
      <w:r w:rsidRPr="0056023E">
        <w:rPr>
          <w:rFonts w:cs="Arial"/>
          <w:lang w:val="en-CA"/>
        </w:rPr>
        <w:t xml:space="preserve">the </w:t>
      </w:r>
      <w:r w:rsidR="002517A8" w:rsidRPr="0056023E">
        <w:rPr>
          <w:rFonts w:cs="Arial"/>
          <w:lang w:val="en-CA"/>
        </w:rPr>
        <w:t>victim</w:t>
      </w:r>
      <w:r w:rsidR="002517A8">
        <w:rPr>
          <w:rFonts w:cs="Arial"/>
          <w:lang w:val="en-CA"/>
        </w:rPr>
        <w:t>,</w:t>
      </w:r>
      <w:r w:rsidR="00B24E4F">
        <w:rPr>
          <w:rFonts w:cs="Arial"/>
          <w:lang w:val="en-CA"/>
        </w:rPr>
        <w:t xml:space="preserve"> who had </w:t>
      </w:r>
      <w:r w:rsidRPr="0056023E">
        <w:rPr>
          <w:rFonts w:cs="Arial"/>
          <w:lang w:val="en-CA"/>
        </w:rPr>
        <w:t>h</w:t>
      </w:r>
      <w:r>
        <w:rPr>
          <w:rFonts w:cs="Arial"/>
          <w:lang w:val="en-CA"/>
        </w:rPr>
        <w:t>er</w:t>
      </w:r>
      <w:r w:rsidRPr="0056023E">
        <w:rPr>
          <w:rFonts w:cs="Arial"/>
          <w:lang w:val="en-CA"/>
        </w:rPr>
        <w:t xml:space="preserve"> back to him, and s</w:t>
      </w:r>
      <w:r>
        <w:rPr>
          <w:rFonts w:cs="Arial"/>
          <w:lang w:val="en-CA"/>
        </w:rPr>
        <w:t>aw</w:t>
      </w:r>
      <w:r w:rsidRPr="0056023E">
        <w:rPr>
          <w:rFonts w:cs="Arial"/>
          <w:lang w:val="en-CA"/>
        </w:rPr>
        <w:t xml:space="preserve"> the </w:t>
      </w:r>
      <w:r>
        <w:rPr>
          <w:rFonts w:cs="Arial"/>
          <w:lang w:val="en-CA"/>
        </w:rPr>
        <w:t>appellant’s</w:t>
      </w:r>
      <w:r w:rsidRPr="0056023E">
        <w:rPr>
          <w:rFonts w:cs="Arial"/>
          <w:lang w:val="en-CA"/>
        </w:rPr>
        <w:t xml:space="preserve"> raised arm holding what she believe</w:t>
      </w:r>
      <w:r>
        <w:rPr>
          <w:rFonts w:cs="Arial"/>
          <w:lang w:val="en-CA"/>
        </w:rPr>
        <w:t>d</w:t>
      </w:r>
      <w:r w:rsidRPr="0056023E">
        <w:rPr>
          <w:rFonts w:cs="Arial"/>
          <w:lang w:val="en-CA"/>
        </w:rPr>
        <w:t xml:space="preserve"> to be a machete. She s</w:t>
      </w:r>
      <w:r>
        <w:rPr>
          <w:rFonts w:cs="Arial"/>
          <w:lang w:val="en-CA"/>
        </w:rPr>
        <w:t>aw</w:t>
      </w:r>
      <w:r w:rsidRPr="0056023E">
        <w:rPr>
          <w:rFonts w:cs="Arial"/>
          <w:lang w:val="en-CA"/>
        </w:rPr>
        <w:t xml:space="preserve"> the weapon </w:t>
      </w:r>
      <w:r w:rsidR="00B24E4F">
        <w:rPr>
          <w:rFonts w:cs="Arial"/>
          <w:lang w:val="en-CA"/>
        </w:rPr>
        <w:t>protruding from</w:t>
      </w:r>
      <w:r w:rsidR="00B24E4F" w:rsidRPr="0056023E">
        <w:rPr>
          <w:rFonts w:cs="Arial"/>
          <w:lang w:val="en-CA"/>
        </w:rPr>
        <w:t xml:space="preserve"> </w:t>
      </w:r>
      <w:r w:rsidRPr="0056023E">
        <w:rPr>
          <w:rFonts w:cs="Arial"/>
          <w:lang w:val="en-CA"/>
        </w:rPr>
        <w:t>the victim</w:t>
      </w:r>
      <w:r w:rsidR="00CB3504">
        <w:rPr>
          <w:rFonts w:cs="Arial"/>
          <w:lang w:val="en-CA"/>
        </w:rPr>
        <w:t>’</w:t>
      </w:r>
      <w:r w:rsidRPr="0056023E">
        <w:rPr>
          <w:rFonts w:cs="Arial"/>
          <w:lang w:val="en-CA"/>
        </w:rPr>
        <w:t>s body</w:t>
      </w:r>
      <w:r w:rsidR="00786CBA" w:rsidRPr="001B22B0">
        <w:rPr>
          <w:rFonts w:cs="Arial"/>
          <w:lang w:val="en-CA"/>
        </w:rPr>
        <w:t>.</w:t>
      </w:r>
    </w:p>
    <w:p w14:paraId="149F92C9" w14:textId="2416EA1A" w:rsidR="00786CBA" w:rsidRPr="0056023E" w:rsidRDefault="0056023E" w:rsidP="000B6E2B">
      <w:pPr>
        <w:pStyle w:val="Paragraphe"/>
        <w:spacing w:line="240" w:lineRule="auto"/>
        <w:rPr>
          <w:rFonts w:cs="Arial"/>
          <w:lang w:val="en-CA"/>
        </w:rPr>
      </w:pPr>
      <w:r w:rsidRPr="0056023E">
        <w:rPr>
          <w:rFonts w:cs="Arial"/>
          <w:lang w:val="en-CA"/>
        </w:rPr>
        <w:t xml:space="preserve">The victim was stabbed </w:t>
      </w:r>
      <w:r>
        <w:rPr>
          <w:rFonts w:cs="Arial"/>
          <w:lang w:val="en-CA"/>
        </w:rPr>
        <w:t>about 14 times and died in the minutes</w:t>
      </w:r>
      <w:r w:rsidR="006E6ED9">
        <w:rPr>
          <w:rFonts w:cs="Arial"/>
          <w:lang w:val="en-CA"/>
        </w:rPr>
        <w:t xml:space="preserve"> that followed</w:t>
      </w:r>
      <w:r w:rsidR="00786CBA" w:rsidRPr="0056023E">
        <w:rPr>
          <w:rFonts w:cs="Arial"/>
          <w:lang w:val="en-CA"/>
        </w:rPr>
        <w:t>.</w:t>
      </w:r>
    </w:p>
    <w:p w14:paraId="307F267F" w14:textId="1B7BD19B" w:rsidR="00B23A21" w:rsidRPr="0056023E" w:rsidRDefault="0056023E" w:rsidP="000B6E2B">
      <w:pPr>
        <w:pStyle w:val="Paragraphe"/>
        <w:spacing w:line="240" w:lineRule="auto"/>
        <w:rPr>
          <w:rFonts w:cs="Arial"/>
          <w:lang w:val="en-CA"/>
        </w:rPr>
      </w:pPr>
      <w:r w:rsidRPr="0056023E">
        <w:rPr>
          <w:rFonts w:cs="Arial"/>
          <w:lang w:val="en-CA"/>
        </w:rPr>
        <w:t>The appellant r</w:t>
      </w:r>
      <w:r>
        <w:rPr>
          <w:rFonts w:cs="Arial"/>
          <w:lang w:val="en-CA"/>
        </w:rPr>
        <w:t>an</w:t>
      </w:r>
      <w:r w:rsidRPr="0056023E">
        <w:rPr>
          <w:rFonts w:cs="Arial"/>
          <w:lang w:val="en-CA"/>
        </w:rPr>
        <w:t xml:space="preserve"> out of the Maxi. He </w:t>
      </w:r>
      <w:r w:rsidR="006E6ED9">
        <w:rPr>
          <w:rFonts w:cs="Arial"/>
          <w:lang w:val="en-CA"/>
        </w:rPr>
        <w:t>hid</w:t>
      </w:r>
      <w:r w:rsidRPr="0056023E">
        <w:rPr>
          <w:rFonts w:cs="Arial"/>
          <w:lang w:val="en-CA"/>
        </w:rPr>
        <w:t xml:space="preserve"> in a </w:t>
      </w:r>
      <w:r w:rsidR="006E6ED9">
        <w:rPr>
          <w:rFonts w:cs="Arial"/>
          <w:lang w:val="en-CA"/>
        </w:rPr>
        <w:t xml:space="preserve">nearby </w:t>
      </w:r>
      <w:r w:rsidRPr="0056023E">
        <w:rPr>
          <w:rFonts w:cs="Arial"/>
          <w:lang w:val="en-CA"/>
        </w:rPr>
        <w:t xml:space="preserve">Tim Hortons </w:t>
      </w:r>
      <w:r w:rsidR="002517A8" w:rsidRPr="0056023E">
        <w:rPr>
          <w:rFonts w:cs="Arial"/>
          <w:lang w:val="en-CA"/>
        </w:rPr>
        <w:t>restaurant.</w:t>
      </w:r>
      <w:r w:rsidRPr="0056023E">
        <w:rPr>
          <w:rFonts w:cs="Arial"/>
          <w:lang w:val="en-CA"/>
        </w:rPr>
        <w:t xml:space="preserve"> He walk</w:t>
      </w:r>
      <w:r>
        <w:rPr>
          <w:rFonts w:cs="Arial"/>
          <w:lang w:val="en-CA"/>
        </w:rPr>
        <w:t>ed</w:t>
      </w:r>
      <w:r w:rsidRPr="0056023E">
        <w:rPr>
          <w:rFonts w:cs="Arial"/>
          <w:lang w:val="en-CA"/>
        </w:rPr>
        <w:t xml:space="preserve"> in and </w:t>
      </w:r>
      <w:r>
        <w:rPr>
          <w:rFonts w:cs="Arial"/>
          <w:lang w:val="en-CA"/>
        </w:rPr>
        <w:t>went</w:t>
      </w:r>
      <w:r w:rsidRPr="0056023E">
        <w:rPr>
          <w:rFonts w:cs="Arial"/>
          <w:lang w:val="en-CA"/>
        </w:rPr>
        <w:t xml:space="preserve"> to the men</w:t>
      </w:r>
      <w:r w:rsidR="005D6CBC">
        <w:rPr>
          <w:rFonts w:cs="Arial"/>
          <w:lang w:val="en-CA"/>
        </w:rPr>
        <w:t>’</w:t>
      </w:r>
      <w:r w:rsidRPr="0056023E">
        <w:rPr>
          <w:rFonts w:cs="Arial"/>
          <w:lang w:val="en-CA"/>
        </w:rPr>
        <w:t>s washroom. He notice</w:t>
      </w:r>
      <w:r>
        <w:rPr>
          <w:rFonts w:cs="Arial"/>
          <w:lang w:val="en-CA"/>
        </w:rPr>
        <w:t>d</w:t>
      </w:r>
      <w:r w:rsidRPr="0056023E">
        <w:rPr>
          <w:rFonts w:cs="Arial"/>
          <w:lang w:val="en-CA"/>
        </w:rPr>
        <w:t xml:space="preserve"> that there </w:t>
      </w:r>
      <w:r>
        <w:rPr>
          <w:rFonts w:cs="Arial"/>
          <w:lang w:val="en-CA"/>
        </w:rPr>
        <w:t>was</w:t>
      </w:r>
      <w:r w:rsidRPr="0056023E">
        <w:rPr>
          <w:rFonts w:cs="Arial"/>
          <w:lang w:val="en-CA"/>
        </w:rPr>
        <w:t xml:space="preserve"> blood on his clothes and change</w:t>
      </w:r>
      <w:r>
        <w:rPr>
          <w:rFonts w:cs="Arial"/>
          <w:lang w:val="en-CA"/>
        </w:rPr>
        <w:t>d</w:t>
      </w:r>
      <w:r w:rsidRPr="0056023E">
        <w:rPr>
          <w:rFonts w:cs="Arial"/>
          <w:lang w:val="en-CA"/>
        </w:rPr>
        <w:t xml:space="preserve"> into the sports clothes </w:t>
      </w:r>
      <w:r w:rsidR="005D6CBC">
        <w:rPr>
          <w:rFonts w:cs="Arial"/>
          <w:lang w:val="en-CA"/>
        </w:rPr>
        <w:t xml:space="preserve">that were </w:t>
      </w:r>
      <w:r w:rsidRPr="0056023E">
        <w:rPr>
          <w:rFonts w:cs="Arial"/>
          <w:lang w:val="en-CA"/>
        </w:rPr>
        <w:t>in his backpack</w:t>
      </w:r>
      <w:r w:rsidR="00B23A21" w:rsidRPr="0056023E">
        <w:rPr>
          <w:rFonts w:cs="Arial"/>
          <w:lang w:val="en-CA"/>
        </w:rPr>
        <w:t>.</w:t>
      </w:r>
    </w:p>
    <w:p w14:paraId="18F493B1" w14:textId="4C4ADD24" w:rsidR="00B23A21" w:rsidRPr="0056023E" w:rsidRDefault="000F3F22" w:rsidP="000B6E2B">
      <w:pPr>
        <w:pStyle w:val="Paragraphe"/>
        <w:spacing w:line="240" w:lineRule="auto"/>
        <w:rPr>
          <w:rFonts w:cs="Arial"/>
          <w:lang w:val="en-CA"/>
        </w:rPr>
      </w:pPr>
      <w:r w:rsidRPr="000F3F22">
        <w:rPr>
          <w:rFonts w:cs="Arial"/>
          <w:lang w:val="en-CA"/>
        </w:rPr>
        <w:lastRenderedPageBreak/>
        <w:t>He then went to the women</w:t>
      </w:r>
      <w:r w:rsidR="00521A92">
        <w:rPr>
          <w:rFonts w:cs="Arial"/>
          <w:lang w:val="en-CA"/>
        </w:rPr>
        <w:t>’</w:t>
      </w:r>
      <w:r w:rsidRPr="000F3F22">
        <w:rPr>
          <w:rFonts w:cs="Arial"/>
          <w:lang w:val="en-CA"/>
        </w:rPr>
        <w:t xml:space="preserve">s </w:t>
      </w:r>
      <w:r w:rsidR="00521A92">
        <w:rPr>
          <w:rFonts w:cs="Arial"/>
          <w:lang w:val="en-CA"/>
        </w:rPr>
        <w:t>washroom</w:t>
      </w:r>
      <w:r w:rsidRPr="000F3F22">
        <w:rPr>
          <w:rFonts w:cs="Arial"/>
          <w:lang w:val="en-CA"/>
        </w:rPr>
        <w:t xml:space="preserve"> where he spent seven hours locked in a toilet</w:t>
      </w:r>
      <w:r>
        <w:rPr>
          <w:rFonts w:cs="Arial"/>
          <w:lang w:val="en-CA"/>
        </w:rPr>
        <w:t xml:space="preserve"> stall</w:t>
      </w:r>
      <w:r w:rsidRPr="000F3F22">
        <w:rPr>
          <w:rFonts w:cs="Arial"/>
          <w:lang w:val="en-CA"/>
        </w:rPr>
        <w:t xml:space="preserve">. During this </w:t>
      </w:r>
      <w:r>
        <w:rPr>
          <w:rFonts w:cs="Arial"/>
          <w:lang w:val="en-CA"/>
        </w:rPr>
        <w:t>time</w:t>
      </w:r>
      <w:r w:rsidRPr="000F3F22">
        <w:rPr>
          <w:rFonts w:cs="Arial"/>
          <w:lang w:val="en-CA"/>
        </w:rPr>
        <w:t xml:space="preserve">, he </w:t>
      </w:r>
      <w:r>
        <w:rPr>
          <w:rFonts w:cs="Arial"/>
          <w:lang w:val="en-CA"/>
        </w:rPr>
        <w:t>contacted some</w:t>
      </w:r>
      <w:r w:rsidRPr="000F3F22">
        <w:rPr>
          <w:rFonts w:cs="Arial"/>
          <w:lang w:val="en-CA"/>
        </w:rPr>
        <w:t xml:space="preserve"> people to ask them to come pick him up. He wrote to his best friend</w:t>
      </w:r>
      <w:r w:rsidR="00521A92">
        <w:rPr>
          <w:rFonts w:cs="Arial"/>
          <w:lang w:val="en-CA"/>
        </w:rPr>
        <w:t>,</w:t>
      </w:r>
      <w:r w:rsidRPr="000F3F22">
        <w:rPr>
          <w:rFonts w:cs="Arial"/>
          <w:lang w:val="en-CA"/>
        </w:rPr>
        <w:t xml:space="preserve"> </w:t>
      </w:r>
      <w:r w:rsidRPr="00B92A5F">
        <w:rPr>
          <w:rFonts w:cs="Arial"/>
          <w:szCs w:val="24"/>
          <w:lang w:val="en-CA"/>
        </w:rPr>
        <w:t>[</w:t>
      </w:r>
      <w:r w:rsidR="00521A92" w:rsidRPr="00B92A5F">
        <w:rPr>
          <w:rFonts w:cs="Arial"/>
          <w:smallCaps/>
          <w:szCs w:val="24"/>
          <w:lang w:val="en-CA"/>
        </w:rPr>
        <w:t>translation</w:t>
      </w:r>
      <w:r w:rsidRPr="00B92A5F">
        <w:rPr>
          <w:rFonts w:cs="Arial"/>
          <w:szCs w:val="24"/>
          <w:lang w:val="en-CA"/>
        </w:rPr>
        <w:t>]</w:t>
      </w:r>
      <w:r>
        <w:rPr>
          <w:rFonts w:cs="Arial"/>
          <w:lang w:val="en-CA"/>
        </w:rPr>
        <w:t xml:space="preserve"> </w:t>
      </w:r>
      <w:r w:rsidRPr="000F3F22">
        <w:rPr>
          <w:rFonts w:cs="Arial"/>
          <w:lang w:val="en-CA"/>
        </w:rPr>
        <w:t xml:space="preserve">“Could you come </w:t>
      </w:r>
      <w:r w:rsidR="00521A92">
        <w:rPr>
          <w:rFonts w:cs="Arial"/>
          <w:lang w:val="en-CA"/>
        </w:rPr>
        <w:t>right now</w:t>
      </w:r>
      <w:r w:rsidRPr="000F3F22">
        <w:rPr>
          <w:rFonts w:cs="Arial"/>
          <w:lang w:val="en-CA"/>
        </w:rPr>
        <w:t>? It</w:t>
      </w:r>
      <w:r>
        <w:rPr>
          <w:rFonts w:cs="Arial"/>
          <w:lang w:val="en-CA"/>
        </w:rPr>
        <w:t>’s</w:t>
      </w:r>
      <w:r w:rsidRPr="000F3F22">
        <w:rPr>
          <w:rFonts w:cs="Arial"/>
          <w:lang w:val="en-CA"/>
        </w:rPr>
        <w:t xml:space="preserve"> important. </w:t>
      </w:r>
      <w:r w:rsidR="002E0430">
        <w:rPr>
          <w:rFonts w:cs="Arial"/>
          <w:lang w:val="en-CA"/>
        </w:rPr>
        <w:t>I’m</w:t>
      </w:r>
      <w:r w:rsidR="002517A8">
        <w:rPr>
          <w:rFonts w:cs="Arial"/>
          <w:lang w:val="en-CA"/>
        </w:rPr>
        <w:t xml:space="preserve"> drowning</w:t>
      </w:r>
      <w:r>
        <w:rPr>
          <w:rFonts w:cs="Arial"/>
          <w:lang w:val="en-CA"/>
        </w:rPr>
        <w:t xml:space="preserve"> </w:t>
      </w:r>
      <w:r w:rsidRPr="000F3F22">
        <w:rPr>
          <w:rFonts w:cs="Arial"/>
          <w:lang w:val="en-CA"/>
        </w:rPr>
        <w:t>my life</w:t>
      </w:r>
      <w:r w:rsidR="00874C37">
        <w:rPr>
          <w:rFonts w:cs="Arial"/>
          <w:lang w:val="en-CA"/>
        </w:rPr>
        <w:t>”</w:t>
      </w:r>
      <w:r w:rsidRPr="000F3F22">
        <w:rPr>
          <w:rFonts w:cs="Arial"/>
          <w:lang w:val="en-CA"/>
        </w:rPr>
        <w:t>. The friend explain</w:t>
      </w:r>
      <w:r>
        <w:rPr>
          <w:rFonts w:cs="Arial"/>
          <w:lang w:val="en-CA"/>
        </w:rPr>
        <w:t>ed at</w:t>
      </w:r>
      <w:r w:rsidRPr="000F3F22">
        <w:rPr>
          <w:rFonts w:cs="Arial"/>
          <w:lang w:val="en-CA"/>
        </w:rPr>
        <w:t xml:space="preserve"> trial that this expression</w:t>
      </w:r>
      <w:r>
        <w:rPr>
          <w:rFonts w:cs="Arial"/>
          <w:lang w:val="en-CA"/>
        </w:rPr>
        <w:t xml:space="preserve"> </w:t>
      </w:r>
      <w:r w:rsidRPr="000F3F22">
        <w:rPr>
          <w:rFonts w:cs="Arial"/>
          <w:lang w:val="en-CA"/>
        </w:rPr>
        <w:t xml:space="preserve">means </w:t>
      </w:r>
      <w:r w:rsidRPr="00B92A5F">
        <w:rPr>
          <w:rFonts w:cs="Arial"/>
          <w:szCs w:val="24"/>
          <w:lang w:val="en-CA"/>
        </w:rPr>
        <w:t>[</w:t>
      </w:r>
      <w:r w:rsidR="00A8633F" w:rsidRPr="00B92A5F">
        <w:rPr>
          <w:rFonts w:cs="Arial"/>
          <w:smallCaps/>
          <w:szCs w:val="24"/>
          <w:lang w:val="en-CA"/>
        </w:rPr>
        <w:t>translation</w:t>
      </w:r>
      <w:r w:rsidRPr="00B92A5F">
        <w:rPr>
          <w:rFonts w:cs="Arial"/>
          <w:szCs w:val="24"/>
          <w:lang w:val="en-CA"/>
        </w:rPr>
        <w:t>]</w:t>
      </w:r>
      <w:r>
        <w:rPr>
          <w:rFonts w:cs="Arial"/>
          <w:lang w:val="en-CA"/>
        </w:rPr>
        <w:t xml:space="preserve"> </w:t>
      </w:r>
      <w:r w:rsidRPr="000F3F22">
        <w:rPr>
          <w:rFonts w:cs="Arial"/>
          <w:lang w:val="en-CA"/>
        </w:rPr>
        <w:t>“I</w:t>
      </w:r>
      <w:r>
        <w:rPr>
          <w:rFonts w:cs="Arial"/>
          <w:lang w:val="en-CA"/>
        </w:rPr>
        <w:t>’m</w:t>
      </w:r>
      <w:r w:rsidRPr="000F3F22">
        <w:rPr>
          <w:rFonts w:cs="Arial"/>
          <w:lang w:val="en-CA"/>
        </w:rPr>
        <w:t xml:space="preserve"> worr</w:t>
      </w:r>
      <w:r>
        <w:rPr>
          <w:rFonts w:cs="Arial"/>
          <w:lang w:val="en-CA"/>
        </w:rPr>
        <w:t>ied</w:t>
      </w:r>
      <w:r w:rsidRPr="000F3F22">
        <w:rPr>
          <w:rFonts w:cs="Arial"/>
          <w:lang w:val="en-CA"/>
        </w:rPr>
        <w:t xml:space="preserve">, </w:t>
      </w:r>
      <w:r w:rsidR="00D94650">
        <w:rPr>
          <w:rFonts w:cs="Arial"/>
          <w:lang w:val="en-CA"/>
        </w:rPr>
        <w:t>I fear</w:t>
      </w:r>
      <w:r w:rsidRPr="000F3F22">
        <w:rPr>
          <w:rFonts w:cs="Arial"/>
          <w:lang w:val="en-CA"/>
        </w:rPr>
        <w:t xml:space="preserve"> for my life”.</w:t>
      </w:r>
    </w:p>
    <w:p w14:paraId="79D2BC4F" w14:textId="37CA4F8F" w:rsidR="00B23A21" w:rsidRPr="0056023E" w:rsidRDefault="000F3F22" w:rsidP="000B6E2B">
      <w:pPr>
        <w:pStyle w:val="Paragraphe"/>
        <w:spacing w:line="240" w:lineRule="auto"/>
        <w:rPr>
          <w:rFonts w:cs="Arial"/>
          <w:lang w:val="en-CA"/>
        </w:rPr>
      </w:pPr>
      <w:r>
        <w:rPr>
          <w:rFonts w:cs="Arial"/>
          <w:lang w:val="en-CA"/>
        </w:rPr>
        <w:t xml:space="preserve">In addition, the appellant </w:t>
      </w:r>
      <w:r w:rsidR="00A8633F">
        <w:rPr>
          <w:rFonts w:cs="Arial"/>
          <w:lang w:val="en-CA"/>
        </w:rPr>
        <w:t>conducted</w:t>
      </w:r>
      <w:r>
        <w:rPr>
          <w:rFonts w:cs="Arial"/>
          <w:lang w:val="en-CA"/>
        </w:rPr>
        <w:t xml:space="preserve"> several </w:t>
      </w:r>
      <w:r w:rsidR="0005543A">
        <w:rPr>
          <w:rFonts w:cs="Arial"/>
          <w:lang w:val="en-CA"/>
        </w:rPr>
        <w:t xml:space="preserve">Internet </w:t>
      </w:r>
      <w:r>
        <w:rPr>
          <w:rFonts w:cs="Arial"/>
          <w:lang w:val="en-CA"/>
        </w:rPr>
        <w:t>searches</w:t>
      </w:r>
      <w:r w:rsidR="00B23A21" w:rsidRPr="0056023E">
        <w:rPr>
          <w:rFonts w:cs="Arial"/>
          <w:lang w:val="en-CA"/>
        </w:rPr>
        <w:t xml:space="preserve">, </w:t>
      </w:r>
      <w:r>
        <w:rPr>
          <w:rFonts w:cs="Arial"/>
          <w:lang w:val="en-CA"/>
        </w:rPr>
        <w:t>including</w:t>
      </w:r>
      <w:r w:rsidR="00B23A21" w:rsidRPr="0056023E">
        <w:rPr>
          <w:rFonts w:cs="Arial"/>
          <w:lang w:val="en-CA"/>
        </w:rPr>
        <w:t xml:space="preserve"> </w:t>
      </w:r>
      <w:r w:rsidR="0005543A">
        <w:rPr>
          <w:rFonts w:cs="Arial"/>
          <w:lang w:val="en-CA"/>
        </w:rPr>
        <w:t>“</w:t>
      </w:r>
      <w:r w:rsidR="00B23A21" w:rsidRPr="0066627F">
        <w:rPr>
          <w:rFonts w:cs="Arial"/>
          <w:lang w:val="en-CA"/>
        </w:rPr>
        <w:t>Evidence trash bag murder</w:t>
      </w:r>
      <w:r w:rsidR="0005543A" w:rsidRPr="0066627F">
        <w:rPr>
          <w:rFonts w:cs="Arial"/>
          <w:lang w:val="en-CA"/>
        </w:rPr>
        <w:t>”</w:t>
      </w:r>
      <w:r w:rsidR="00B23A21" w:rsidRPr="0066627F">
        <w:rPr>
          <w:rFonts w:cs="Arial"/>
          <w:lang w:val="en-CA"/>
        </w:rPr>
        <w:t>,</w:t>
      </w:r>
      <w:r w:rsidR="00B23A21" w:rsidRPr="0056023E">
        <w:rPr>
          <w:rFonts w:cs="Arial"/>
          <w:lang w:val="en-CA"/>
        </w:rPr>
        <w:t xml:space="preserve"> </w:t>
      </w:r>
      <w:r w:rsidR="0005543A" w:rsidRPr="0066627F">
        <w:rPr>
          <w:rFonts w:cs="Arial"/>
          <w:lang w:val="en-CA"/>
        </w:rPr>
        <w:t>“</w:t>
      </w:r>
      <w:r w:rsidR="00B23A21" w:rsidRPr="0066627F">
        <w:rPr>
          <w:rFonts w:cs="Arial"/>
          <w:lang w:val="en-CA"/>
        </w:rPr>
        <w:t>It is possible to execute a perfect murder?</w:t>
      </w:r>
      <w:r w:rsidR="0005543A" w:rsidRPr="0066627F">
        <w:rPr>
          <w:rFonts w:cs="Arial"/>
          <w:lang w:val="en-CA"/>
        </w:rPr>
        <w:t>”</w:t>
      </w:r>
      <w:r w:rsidR="00B23A21" w:rsidRPr="0056023E">
        <w:rPr>
          <w:rFonts w:cs="Arial"/>
          <w:lang w:val="en-CA"/>
        </w:rPr>
        <w:t xml:space="preserve"> </w:t>
      </w:r>
      <w:r w:rsidR="0005543A">
        <w:rPr>
          <w:rFonts w:cs="Arial"/>
          <w:lang w:val="en-CA"/>
        </w:rPr>
        <w:t>and</w:t>
      </w:r>
      <w:r w:rsidR="00B23A21" w:rsidRPr="0056023E">
        <w:rPr>
          <w:rFonts w:cs="Arial"/>
          <w:lang w:val="en-CA"/>
        </w:rPr>
        <w:t xml:space="preserve"> </w:t>
      </w:r>
      <w:r w:rsidR="0005543A" w:rsidRPr="0066627F">
        <w:rPr>
          <w:rFonts w:cs="Arial"/>
          <w:lang w:val="en-CA"/>
        </w:rPr>
        <w:t>“</w:t>
      </w:r>
      <w:r w:rsidR="00B23A21" w:rsidRPr="0066627F">
        <w:rPr>
          <w:rFonts w:cs="Arial"/>
          <w:lang w:val="en-CA"/>
        </w:rPr>
        <w:t>Why do murderers often find it difficult to...</w:t>
      </w:r>
      <w:r w:rsidR="0005543A" w:rsidRPr="0066627F">
        <w:rPr>
          <w:rFonts w:cs="Arial"/>
          <w:lang w:val="en-CA"/>
        </w:rPr>
        <w:t>”</w:t>
      </w:r>
      <w:r w:rsidR="00B23A21" w:rsidRPr="0056023E">
        <w:rPr>
          <w:rFonts w:cs="Arial"/>
          <w:lang w:val="en-CA"/>
        </w:rPr>
        <w:t xml:space="preserve">. </w:t>
      </w:r>
      <w:r w:rsidR="0005543A" w:rsidRPr="0005543A">
        <w:rPr>
          <w:rFonts w:cs="Arial"/>
          <w:lang w:val="en-CA"/>
        </w:rPr>
        <w:t>He also consult</w:t>
      </w:r>
      <w:r w:rsidR="0005543A">
        <w:rPr>
          <w:rFonts w:cs="Arial"/>
          <w:lang w:val="en-CA"/>
        </w:rPr>
        <w:t>ed</w:t>
      </w:r>
      <w:r w:rsidR="0005543A" w:rsidRPr="0005543A">
        <w:rPr>
          <w:rFonts w:cs="Arial"/>
          <w:lang w:val="en-CA"/>
        </w:rPr>
        <w:t xml:space="preserve"> </w:t>
      </w:r>
      <w:r w:rsidR="00A8633F">
        <w:rPr>
          <w:rFonts w:cs="Arial"/>
          <w:lang w:val="en-CA"/>
        </w:rPr>
        <w:t>w</w:t>
      </w:r>
      <w:r w:rsidR="0005543A">
        <w:rPr>
          <w:rFonts w:cs="Arial"/>
          <w:lang w:val="en-CA"/>
        </w:rPr>
        <w:t>eb</w:t>
      </w:r>
      <w:r w:rsidR="0005543A" w:rsidRPr="0005543A">
        <w:rPr>
          <w:rFonts w:cs="Arial"/>
          <w:lang w:val="en-CA"/>
        </w:rPr>
        <w:t xml:space="preserve"> pages, including an article from </w:t>
      </w:r>
      <w:r w:rsidR="0005543A" w:rsidRPr="0005543A">
        <w:rPr>
          <w:rFonts w:cs="Arial"/>
          <w:i/>
          <w:iCs/>
          <w:lang w:val="en-CA"/>
        </w:rPr>
        <w:t>La Presse</w:t>
      </w:r>
      <w:r w:rsidR="0005543A" w:rsidRPr="0005543A">
        <w:rPr>
          <w:rFonts w:cs="Arial"/>
          <w:lang w:val="en-CA"/>
        </w:rPr>
        <w:t xml:space="preserve"> entitled </w:t>
      </w:r>
      <w:r w:rsidR="0005543A" w:rsidRPr="00B92A5F">
        <w:rPr>
          <w:rFonts w:cs="Arial"/>
          <w:szCs w:val="24"/>
          <w:lang w:val="en-CA"/>
        </w:rPr>
        <w:t>[</w:t>
      </w:r>
      <w:r w:rsidR="00A8633F" w:rsidRPr="00B92A5F">
        <w:rPr>
          <w:rFonts w:cs="Arial"/>
          <w:smallCaps/>
          <w:szCs w:val="24"/>
          <w:lang w:val="en-CA"/>
        </w:rPr>
        <w:t>translation</w:t>
      </w:r>
      <w:r w:rsidR="0005543A" w:rsidRPr="00B92A5F">
        <w:rPr>
          <w:rFonts w:cs="Arial"/>
          <w:szCs w:val="24"/>
          <w:lang w:val="en-CA"/>
        </w:rPr>
        <w:t>]</w:t>
      </w:r>
      <w:r w:rsidR="0005543A">
        <w:rPr>
          <w:rFonts w:cs="Arial"/>
          <w:lang w:val="en-CA"/>
        </w:rPr>
        <w:t xml:space="preserve"> </w:t>
      </w:r>
      <w:r w:rsidR="0005543A" w:rsidRPr="0005543A">
        <w:rPr>
          <w:rFonts w:cs="Arial"/>
          <w:lang w:val="en-CA"/>
        </w:rPr>
        <w:t>“Murder in a Montreal supermarket, Information Plus, the suspect is on the run”.</w:t>
      </w:r>
    </w:p>
    <w:p w14:paraId="248F2471" w14:textId="7B4CA2AD" w:rsidR="00B23A21" w:rsidRPr="0056023E" w:rsidRDefault="0005543A" w:rsidP="000B6E2B">
      <w:pPr>
        <w:pStyle w:val="Paragraphe"/>
        <w:spacing w:line="240" w:lineRule="auto"/>
        <w:rPr>
          <w:rFonts w:cs="Arial"/>
          <w:lang w:val="en-CA"/>
        </w:rPr>
      </w:pPr>
      <w:r w:rsidRPr="0005543A">
        <w:rPr>
          <w:rFonts w:cs="Arial"/>
          <w:lang w:val="en-CA"/>
        </w:rPr>
        <w:t>The appellant le</w:t>
      </w:r>
      <w:r>
        <w:rPr>
          <w:rFonts w:cs="Arial"/>
          <w:lang w:val="en-CA"/>
        </w:rPr>
        <w:t>ft</w:t>
      </w:r>
      <w:r w:rsidRPr="0005543A">
        <w:rPr>
          <w:rFonts w:cs="Arial"/>
          <w:lang w:val="en-CA"/>
        </w:rPr>
        <w:t xml:space="preserve"> the Tim Hortons </w:t>
      </w:r>
      <w:r>
        <w:rPr>
          <w:rFonts w:cs="Arial"/>
          <w:lang w:val="en-CA"/>
        </w:rPr>
        <w:t xml:space="preserve">at </w:t>
      </w:r>
      <w:r w:rsidRPr="0005543A">
        <w:rPr>
          <w:rFonts w:cs="Arial"/>
          <w:lang w:val="en-CA"/>
        </w:rPr>
        <w:t>around 3 a.m</w:t>
      </w:r>
      <w:r w:rsidR="00D94650" w:rsidRPr="0005543A">
        <w:rPr>
          <w:rFonts w:cs="Arial"/>
          <w:lang w:val="en-CA"/>
        </w:rPr>
        <w:t>.</w:t>
      </w:r>
      <w:r w:rsidR="002517A8">
        <w:rPr>
          <w:rFonts w:cs="Arial"/>
          <w:lang w:val="en-CA"/>
        </w:rPr>
        <w:t xml:space="preserve"> </w:t>
      </w:r>
      <w:r w:rsidR="004A638A">
        <w:rPr>
          <w:rFonts w:cs="Arial"/>
          <w:lang w:val="en-CA"/>
        </w:rPr>
        <w:t>He</w:t>
      </w:r>
      <w:r w:rsidR="00D94650" w:rsidRPr="0005543A">
        <w:rPr>
          <w:rFonts w:cs="Arial"/>
          <w:lang w:val="en-CA"/>
        </w:rPr>
        <w:t xml:space="preserve"> </w:t>
      </w:r>
      <w:r w:rsidRPr="0005543A">
        <w:rPr>
          <w:rFonts w:cs="Arial"/>
          <w:lang w:val="en-CA"/>
        </w:rPr>
        <w:t>spen</w:t>
      </w:r>
      <w:r>
        <w:rPr>
          <w:rFonts w:cs="Arial"/>
          <w:lang w:val="en-CA"/>
        </w:rPr>
        <w:t>t</w:t>
      </w:r>
      <w:r w:rsidRPr="0005543A">
        <w:rPr>
          <w:rFonts w:cs="Arial"/>
          <w:lang w:val="en-CA"/>
        </w:rPr>
        <w:t xml:space="preserve"> the rest of the night trave</w:t>
      </w:r>
      <w:r w:rsidR="00A8633F">
        <w:rPr>
          <w:rFonts w:cs="Arial"/>
          <w:lang w:val="en-CA"/>
        </w:rPr>
        <w:t>l</w:t>
      </w:r>
      <w:r w:rsidRPr="0005543A">
        <w:rPr>
          <w:rFonts w:cs="Arial"/>
          <w:lang w:val="en-CA"/>
        </w:rPr>
        <w:t>ling on public transportation</w:t>
      </w:r>
      <w:r w:rsidR="004A638A">
        <w:rPr>
          <w:rFonts w:cs="Arial"/>
          <w:lang w:val="en-CA"/>
        </w:rPr>
        <w:t xml:space="preserve"> and</w:t>
      </w:r>
      <w:r w:rsidRPr="0005543A">
        <w:rPr>
          <w:rFonts w:cs="Arial"/>
          <w:lang w:val="en-CA"/>
        </w:rPr>
        <w:t xml:space="preserve"> then </w:t>
      </w:r>
      <w:r>
        <w:rPr>
          <w:rFonts w:cs="Arial"/>
          <w:lang w:val="en-CA"/>
        </w:rPr>
        <w:t>went</w:t>
      </w:r>
      <w:r w:rsidRPr="0005543A">
        <w:rPr>
          <w:rFonts w:cs="Arial"/>
          <w:lang w:val="en-CA"/>
        </w:rPr>
        <w:t xml:space="preserve"> to the CEGEP he </w:t>
      </w:r>
      <w:r>
        <w:rPr>
          <w:rFonts w:cs="Arial"/>
          <w:lang w:val="en-CA"/>
        </w:rPr>
        <w:t xml:space="preserve">was </w:t>
      </w:r>
      <w:r w:rsidRPr="0005543A">
        <w:rPr>
          <w:rFonts w:cs="Arial"/>
          <w:lang w:val="en-CA"/>
        </w:rPr>
        <w:t>attend</w:t>
      </w:r>
      <w:r>
        <w:rPr>
          <w:rFonts w:cs="Arial"/>
          <w:lang w:val="en-CA"/>
        </w:rPr>
        <w:t>ing at</w:t>
      </w:r>
      <w:r w:rsidRPr="0005543A">
        <w:rPr>
          <w:rFonts w:cs="Arial"/>
          <w:lang w:val="en-CA"/>
        </w:rPr>
        <w:t xml:space="preserve"> around 7 a.m. He le</w:t>
      </w:r>
      <w:r>
        <w:rPr>
          <w:rFonts w:cs="Arial"/>
          <w:lang w:val="en-CA"/>
        </w:rPr>
        <w:t>ft</w:t>
      </w:r>
      <w:r w:rsidRPr="0005543A">
        <w:rPr>
          <w:rFonts w:cs="Arial"/>
          <w:lang w:val="en-CA"/>
        </w:rPr>
        <w:t xml:space="preserve"> his backpack contain</w:t>
      </w:r>
      <w:r>
        <w:rPr>
          <w:rFonts w:cs="Arial"/>
          <w:lang w:val="en-CA"/>
        </w:rPr>
        <w:t>ing</w:t>
      </w:r>
      <w:r w:rsidRPr="0005543A">
        <w:rPr>
          <w:rFonts w:cs="Arial"/>
          <w:lang w:val="en-CA"/>
        </w:rPr>
        <w:t xml:space="preserve"> the bloodstained clothes and the knife in a locker in the locker room. Later </w:t>
      </w:r>
      <w:r>
        <w:rPr>
          <w:rFonts w:cs="Arial"/>
          <w:lang w:val="en-CA"/>
        </w:rPr>
        <w:t>that</w:t>
      </w:r>
      <w:r w:rsidRPr="0005543A">
        <w:rPr>
          <w:rFonts w:cs="Arial"/>
          <w:lang w:val="en-CA"/>
        </w:rPr>
        <w:t xml:space="preserve"> evening, he return</w:t>
      </w:r>
      <w:r>
        <w:rPr>
          <w:rFonts w:cs="Arial"/>
          <w:lang w:val="en-CA"/>
        </w:rPr>
        <w:t>ed</w:t>
      </w:r>
      <w:r w:rsidRPr="0005543A">
        <w:rPr>
          <w:rFonts w:cs="Arial"/>
          <w:lang w:val="en-CA"/>
        </w:rPr>
        <w:t xml:space="preserve"> to </w:t>
      </w:r>
      <w:r>
        <w:rPr>
          <w:rFonts w:cs="Arial"/>
          <w:lang w:val="en-CA"/>
        </w:rPr>
        <w:t xml:space="preserve">the </w:t>
      </w:r>
      <w:r w:rsidRPr="0005543A">
        <w:rPr>
          <w:rFonts w:cs="Arial"/>
          <w:lang w:val="en-CA"/>
        </w:rPr>
        <w:t xml:space="preserve">CEGEP to </w:t>
      </w:r>
      <w:r w:rsidR="00D94650">
        <w:rPr>
          <w:rFonts w:cs="Arial"/>
          <w:lang w:val="en-CA"/>
        </w:rPr>
        <w:t>put</w:t>
      </w:r>
      <w:r w:rsidR="00D94650" w:rsidRPr="0005543A">
        <w:rPr>
          <w:rFonts w:cs="Arial"/>
          <w:lang w:val="en-CA"/>
        </w:rPr>
        <w:t xml:space="preserve"> </w:t>
      </w:r>
      <w:r w:rsidRPr="0005543A">
        <w:rPr>
          <w:rFonts w:cs="Arial"/>
          <w:lang w:val="en-CA"/>
        </w:rPr>
        <w:t>this backpack in his own locker</w:t>
      </w:r>
      <w:r w:rsidR="00B23A21" w:rsidRPr="0056023E">
        <w:rPr>
          <w:rFonts w:cs="Arial"/>
          <w:lang w:val="en-CA"/>
        </w:rPr>
        <w:t>.</w:t>
      </w:r>
    </w:p>
    <w:p w14:paraId="72FBF752" w14:textId="6BB4052B" w:rsidR="00AA3303" w:rsidRPr="0056023E" w:rsidRDefault="0005543A" w:rsidP="000B6E2B">
      <w:pPr>
        <w:pStyle w:val="Paragraphe"/>
        <w:spacing w:line="240" w:lineRule="auto"/>
        <w:rPr>
          <w:rFonts w:cs="Arial"/>
          <w:lang w:val="en-CA"/>
        </w:rPr>
      </w:pPr>
      <w:r w:rsidRPr="0005543A">
        <w:rPr>
          <w:rFonts w:cs="Arial"/>
          <w:lang w:val="en-CA"/>
        </w:rPr>
        <w:t>The appellant was arrested the next day at his home</w:t>
      </w:r>
      <w:r w:rsidR="00B23A21" w:rsidRPr="0056023E">
        <w:rPr>
          <w:rFonts w:cs="Arial"/>
          <w:lang w:val="en-CA"/>
        </w:rPr>
        <w:t>.</w:t>
      </w:r>
    </w:p>
    <w:p w14:paraId="2275B6FA" w14:textId="1B14C9ED" w:rsidR="00B23A21" w:rsidRPr="0056023E" w:rsidRDefault="00FD568D" w:rsidP="000B6E2B">
      <w:pPr>
        <w:pStyle w:val="Paragraphe"/>
        <w:numPr>
          <w:ilvl w:val="0"/>
          <w:numId w:val="0"/>
        </w:numPr>
        <w:spacing w:line="240" w:lineRule="auto"/>
        <w:rPr>
          <w:rFonts w:cs="Arial"/>
          <w:b/>
          <w:i/>
          <w:lang w:val="en-CA"/>
        </w:rPr>
      </w:pPr>
      <w:r>
        <w:rPr>
          <w:rFonts w:cs="Arial"/>
          <w:b/>
          <w:i/>
          <w:lang w:val="en-CA"/>
        </w:rPr>
        <w:t>OVERVIEW OF THE ISSUES</w:t>
      </w:r>
      <w:r w:rsidR="00B06856">
        <w:rPr>
          <w:rFonts w:cs="Arial"/>
          <w:b/>
          <w:i/>
          <w:lang w:val="en-CA"/>
        </w:rPr>
        <w:t xml:space="preserve"> AT TRIAL</w:t>
      </w:r>
    </w:p>
    <w:p w14:paraId="33620337" w14:textId="4823107C" w:rsidR="00B23A21" w:rsidRPr="0056023E" w:rsidRDefault="00FD568D" w:rsidP="000B6E2B">
      <w:pPr>
        <w:pStyle w:val="Paragraphe"/>
        <w:spacing w:line="240" w:lineRule="auto"/>
        <w:rPr>
          <w:rFonts w:cs="Arial"/>
          <w:lang w:val="en-CA"/>
        </w:rPr>
      </w:pPr>
      <w:r w:rsidRPr="00FD568D">
        <w:rPr>
          <w:rFonts w:cs="Arial"/>
          <w:lang w:val="en-CA"/>
        </w:rPr>
        <w:t>The trial last</w:t>
      </w:r>
      <w:r>
        <w:rPr>
          <w:rFonts w:cs="Arial"/>
          <w:lang w:val="en-CA"/>
        </w:rPr>
        <w:t>ed</w:t>
      </w:r>
      <w:r w:rsidRPr="00FD568D">
        <w:rPr>
          <w:rFonts w:cs="Arial"/>
          <w:lang w:val="en-CA"/>
        </w:rPr>
        <w:t xml:space="preserve"> 33 days. The </w:t>
      </w:r>
      <w:r>
        <w:rPr>
          <w:rFonts w:cs="Arial"/>
          <w:lang w:val="en-CA"/>
        </w:rPr>
        <w:t>Crown</w:t>
      </w:r>
      <w:r w:rsidRPr="00FD568D">
        <w:rPr>
          <w:rFonts w:cs="Arial"/>
          <w:lang w:val="en-CA"/>
        </w:rPr>
        <w:t xml:space="preserve"> call</w:t>
      </w:r>
      <w:r>
        <w:rPr>
          <w:rFonts w:cs="Arial"/>
          <w:lang w:val="en-CA"/>
        </w:rPr>
        <w:t>ed</w:t>
      </w:r>
      <w:r w:rsidRPr="00FD568D">
        <w:rPr>
          <w:rFonts w:cs="Arial"/>
          <w:lang w:val="en-CA"/>
        </w:rPr>
        <w:t xml:space="preserve"> 23 witnesses. </w:t>
      </w:r>
      <w:r>
        <w:rPr>
          <w:rFonts w:cs="Arial"/>
          <w:lang w:val="en-CA"/>
        </w:rPr>
        <w:t>S</w:t>
      </w:r>
      <w:r w:rsidRPr="00FD568D">
        <w:rPr>
          <w:rFonts w:cs="Arial"/>
          <w:lang w:val="en-CA"/>
        </w:rPr>
        <w:t xml:space="preserve">even witnesses </w:t>
      </w:r>
      <w:r>
        <w:rPr>
          <w:rFonts w:cs="Arial"/>
          <w:lang w:val="en-CA"/>
        </w:rPr>
        <w:t>were</w:t>
      </w:r>
      <w:r w:rsidRPr="00FD568D">
        <w:rPr>
          <w:rFonts w:cs="Arial"/>
          <w:lang w:val="en-CA"/>
        </w:rPr>
        <w:t xml:space="preserve"> heard</w:t>
      </w:r>
      <w:r>
        <w:rPr>
          <w:rFonts w:cs="Arial"/>
          <w:lang w:val="en-CA"/>
        </w:rPr>
        <w:t xml:space="preserve"> for the defence</w:t>
      </w:r>
      <w:r w:rsidRPr="00FD568D">
        <w:rPr>
          <w:rFonts w:cs="Arial"/>
          <w:lang w:val="en-CA"/>
        </w:rPr>
        <w:t xml:space="preserve">, including the accused </w:t>
      </w:r>
      <w:r>
        <w:rPr>
          <w:rFonts w:cs="Arial"/>
          <w:lang w:val="en-CA"/>
        </w:rPr>
        <w:t>and</w:t>
      </w:r>
      <w:r w:rsidRPr="00FD568D">
        <w:rPr>
          <w:rFonts w:cs="Arial"/>
          <w:lang w:val="en-CA"/>
        </w:rPr>
        <w:t xml:space="preserve"> two psychiatrists</w:t>
      </w:r>
      <w:r w:rsidR="00B23A21" w:rsidRPr="0056023E">
        <w:rPr>
          <w:rFonts w:cs="Arial"/>
          <w:lang w:val="en-CA"/>
        </w:rPr>
        <w:t>.</w:t>
      </w:r>
    </w:p>
    <w:p w14:paraId="7549EE66" w14:textId="1A8A7169" w:rsidR="00481CAA" w:rsidRPr="0056023E" w:rsidRDefault="00FD568D" w:rsidP="000B6E2B">
      <w:pPr>
        <w:pStyle w:val="Paragraphe"/>
        <w:spacing w:line="240" w:lineRule="auto"/>
        <w:rPr>
          <w:rFonts w:cs="Arial"/>
          <w:lang w:val="en-CA"/>
        </w:rPr>
      </w:pPr>
      <w:r w:rsidRPr="00FD568D">
        <w:rPr>
          <w:rFonts w:cs="Arial"/>
          <w:lang w:val="en-CA"/>
        </w:rPr>
        <w:t xml:space="preserve">The parties </w:t>
      </w:r>
      <w:r>
        <w:rPr>
          <w:rFonts w:cs="Arial"/>
          <w:lang w:val="en-CA"/>
        </w:rPr>
        <w:t>acknowledged</w:t>
      </w:r>
      <w:r w:rsidRPr="00FD568D">
        <w:rPr>
          <w:rFonts w:cs="Arial"/>
          <w:lang w:val="en-CA"/>
        </w:rPr>
        <w:t xml:space="preserve"> during the trial that the appellant was suffering from </w:t>
      </w:r>
      <w:r w:rsidR="000D55BD">
        <w:rPr>
          <w:rFonts w:cs="Arial"/>
          <w:lang w:val="en-CA"/>
        </w:rPr>
        <w:t xml:space="preserve">a </w:t>
      </w:r>
      <w:r w:rsidRPr="00FD568D">
        <w:rPr>
          <w:rFonts w:cs="Arial"/>
          <w:lang w:val="en-CA"/>
        </w:rPr>
        <w:t>mental disorder. This position remains unchanged before the Court</w:t>
      </w:r>
      <w:r>
        <w:rPr>
          <w:rFonts w:cs="Arial"/>
          <w:lang w:val="en-CA"/>
        </w:rPr>
        <w:t>.</w:t>
      </w:r>
      <w:r w:rsidR="00481CAA" w:rsidRPr="0056023E">
        <w:rPr>
          <w:rStyle w:val="Appelnotedebasdep"/>
          <w:rFonts w:cs="Arial"/>
          <w:lang w:val="en-CA"/>
        </w:rPr>
        <w:footnoteReference w:id="4"/>
      </w:r>
    </w:p>
    <w:p w14:paraId="52222574" w14:textId="67BD0323" w:rsidR="00B23A21" w:rsidRPr="0056023E" w:rsidRDefault="00FD568D" w:rsidP="000B6E2B">
      <w:pPr>
        <w:pStyle w:val="Paragraphe"/>
        <w:spacing w:line="240" w:lineRule="auto"/>
        <w:rPr>
          <w:rFonts w:cs="Arial"/>
          <w:lang w:val="en-CA"/>
        </w:rPr>
      </w:pPr>
      <w:r w:rsidRPr="00FD568D">
        <w:rPr>
          <w:rFonts w:cs="Arial"/>
          <w:lang w:val="en-CA"/>
        </w:rPr>
        <w:t xml:space="preserve">The issue was therefore whether the appellant </w:t>
      </w:r>
      <w:r w:rsidR="008216F7">
        <w:rPr>
          <w:rFonts w:cs="Arial"/>
          <w:lang w:val="en-CA"/>
        </w:rPr>
        <w:t>had the ability</w:t>
      </w:r>
      <w:r w:rsidRPr="00FD568D">
        <w:rPr>
          <w:rFonts w:cs="Arial"/>
          <w:lang w:val="en-CA"/>
        </w:rPr>
        <w:t xml:space="preserve"> to rationally decide whether </w:t>
      </w:r>
      <w:r w:rsidR="00212893">
        <w:rPr>
          <w:rFonts w:cs="Arial"/>
          <w:lang w:val="en-CA"/>
        </w:rPr>
        <w:t xml:space="preserve">the act committed </w:t>
      </w:r>
      <w:r w:rsidRPr="00FD568D">
        <w:rPr>
          <w:rFonts w:cs="Arial"/>
          <w:lang w:val="en-CA"/>
        </w:rPr>
        <w:t xml:space="preserve">was right or wrong and, if he had this </w:t>
      </w:r>
      <w:r w:rsidR="008216F7">
        <w:rPr>
          <w:rFonts w:cs="Arial"/>
          <w:lang w:val="en-CA"/>
        </w:rPr>
        <w:t>ability</w:t>
      </w:r>
      <w:r w:rsidRPr="00FD568D">
        <w:rPr>
          <w:rFonts w:cs="Arial"/>
          <w:lang w:val="en-CA"/>
        </w:rPr>
        <w:t xml:space="preserve">, whether his mental disorder raised a reasonable doubt </w:t>
      </w:r>
      <w:r>
        <w:rPr>
          <w:rFonts w:cs="Arial"/>
          <w:lang w:val="en-CA"/>
        </w:rPr>
        <w:t>concerning</w:t>
      </w:r>
      <w:r w:rsidRPr="00FD568D">
        <w:rPr>
          <w:rFonts w:cs="Arial"/>
          <w:lang w:val="en-CA"/>
        </w:rPr>
        <w:t xml:space="preserve"> the charge of </w:t>
      </w:r>
      <w:r>
        <w:rPr>
          <w:rFonts w:cs="Arial"/>
          <w:lang w:val="en-CA"/>
        </w:rPr>
        <w:t>first degree</w:t>
      </w:r>
      <w:r w:rsidRPr="00FD568D">
        <w:rPr>
          <w:rFonts w:cs="Arial"/>
          <w:lang w:val="en-CA"/>
        </w:rPr>
        <w:t xml:space="preserve"> </w:t>
      </w:r>
      <w:r w:rsidR="00EC683B">
        <w:rPr>
          <w:rFonts w:cs="Arial"/>
          <w:lang w:val="en-CA"/>
        </w:rPr>
        <w:t xml:space="preserve">murder </w:t>
      </w:r>
      <w:r w:rsidRPr="00FD568D">
        <w:rPr>
          <w:rFonts w:cs="Arial"/>
          <w:lang w:val="en-CA"/>
        </w:rPr>
        <w:t>or second</w:t>
      </w:r>
      <w:r>
        <w:rPr>
          <w:rFonts w:cs="Arial"/>
          <w:lang w:val="en-CA"/>
        </w:rPr>
        <w:t xml:space="preserve"> </w:t>
      </w:r>
      <w:r w:rsidRPr="00FD568D">
        <w:rPr>
          <w:rFonts w:cs="Arial"/>
          <w:lang w:val="en-CA"/>
        </w:rPr>
        <w:t>degree murder. The appellant</w:t>
      </w:r>
      <w:r w:rsidR="00EB03CB">
        <w:rPr>
          <w:rFonts w:cs="Arial"/>
          <w:lang w:val="en-CA"/>
        </w:rPr>
        <w:t>’</w:t>
      </w:r>
      <w:r w:rsidRPr="00FD568D">
        <w:rPr>
          <w:rFonts w:cs="Arial"/>
          <w:lang w:val="en-CA"/>
        </w:rPr>
        <w:t xml:space="preserve">s </w:t>
      </w:r>
      <w:r w:rsidR="00AD661B">
        <w:rPr>
          <w:rFonts w:cs="Arial"/>
          <w:lang w:val="en-CA"/>
        </w:rPr>
        <w:t xml:space="preserve">defence of </w:t>
      </w:r>
      <w:r w:rsidRPr="00FD568D">
        <w:rPr>
          <w:rFonts w:cs="Arial"/>
          <w:lang w:val="en-CA"/>
        </w:rPr>
        <w:t xml:space="preserve">mental disorder </w:t>
      </w:r>
      <w:r>
        <w:rPr>
          <w:rFonts w:cs="Arial"/>
          <w:lang w:val="en-CA"/>
        </w:rPr>
        <w:t>is based on</w:t>
      </w:r>
      <w:r w:rsidRPr="00FD568D">
        <w:rPr>
          <w:rFonts w:cs="Arial"/>
          <w:lang w:val="en-CA"/>
        </w:rPr>
        <w:t xml:space="preserve"> </w:t>
      </w:r>
      <w:r w:rsidR="001A3B8E">
        <w:rPr>
          <w:rFonts w:cs="Arial"/>
          <w:lang w:val="en-CA"/>
        </w:rPr>
        <w:t xml:space="preserve">delusions of </w:t>
      </w:r>
      <w:r w:rsidRPr="00FD568D">
        <w:rPr>
          <w:rFonts w:cs="Arial"/>
          <w:lang w:val="en-CA"/>
        </w:rPr>
        <w:t>persecut</w:t>
      </w:r>
      <w:r w:rsidR="001A3B8E">
        <w:rPr>
          <w:rFonts w:cs="Arial"/>
          <w:lang w:val="en-CA"/>
        </w:rPr>
        <w:t>ion</w:t>
      </w:r>
      <w:r w:rsidRPr="00FD568D">
        <w:rPr>
          <w:rFonts w:cs="Arial"/>
          <w:lang w:val="en-CA"/>
        </w:rPr>
        <w:t xml:space="preserve"> </w:t>
      </w:r>
      <w:r w:rsidR="00EB03CB">
        <w:rPr>
          <w:rFonts w:cs="Arial"/>
          <w:lang w:val="en-CA"/>
        </w:rPr>
        <w:t>that</w:t>
      </w:r>
      <w:r w:rsidRPr="00FD568D">
        <w:rPr>
          <w:rFonts w:cs="Arial"/>
          <w:lang w:val="en-CA"/>
        </w:rPr>
        <w:t xml:space="preserve"> allegedly prevented him from knowing that the victim</w:t>
      </w:r>
      <w:r w:rsidR="00EB03CB">
        <w:rPr>
          <w:rFonts w:cs="Arial"/>
          <w:lang w:val="en-CA"/>
        </w:rPr>
        <w:t>’</w:t>
      </w:r>
      <w:r w:rsidRPr="00FD568D">
        <w:rPr>
          <w:rFonts w:cs="Arial"/>
          <w:lang w:val="en-CA"/>
        </w:rPr>
        <w:t>s homicide was wrong</w:t>
      </w:r>
      <w:r w:rsidR="00B23A21" w:rsidRPr="0056023E">
        <w:rPr>
          <w:rFonts w:cs="Arial"/>
          <w:lang w:val="en-CA"/>
        </w:rPr>
        <w:t>.</w:t>
      </w:r>
    </w:p>
    <w:p w14:paraId="0303B021" w14:textId="32620EB2" w:rsidR="00B23A21" w:rsidRPr="0056023E" w:rsidRDefault="001A3B8E" w:rsidP="000B6E2B">
      <w:pPr>
        <w:pStyle w:val="Paragraphe"/>
        <w:spacing w:line="240" w:lineRule="auto"/>
        <w:rPr>
          <w:rFonts w:cs="Arial"/>
          <w:lang w:val="en-CA"/>
        </w:rPr>
      </w:pPr>
      <w:r w:rsidRPr="001A3B8E">
        <w:rPr>
          <w:rFonts w:cs="Arial"/>
          <w:lang w:val="en-CA"/>
        </w:rPr>
        <w:t xml:space="preserve">According to the </w:t>
      </w:r>
      <w:r>
        <w:rPr>
          <w:rFonts w:cs="Arial"/>
          <w:lang w:val="en-CA"/>
        </w:rPr>
        <w:t>Crown</w:t>
      </w:r>
      <w:r w:rsidRPr="001A3B8E">
        <w:rPr>
          <w:rFonts w:cs="Arial"/>
          <w:lang w:val="en-CA"/>
        </w:rPr>
        <w:t xml:space="preserve">, the appellant knew that </w:t>
      </w:r>
      <w:r>
        <w:rPr>
          <w:rFonts w:cs="Arial"/>
          <w:lang w:val="en-CA"/>
        </w:rPr>
        <w:t xml:space="preserve">his </w:t>
      </w:r>
      <w:r w:rsidR="009F5750">
        <w:rPr>
          <w:rFonts w:cs="Arial"/>
          <w:lang w:val="en-CA"/>
        </w:rPr>
        <w:t>actions</w:t>
      </w:r>
      <w:r w:rsidR="009F5750" w:rsidRPr="001A3B8E">
        <w:rPr>
          <w:rFonts w:cs="Arial"/>
          <w:lang w:val="en-CA"/>
        </w:rPr>
        <w:t xml:space="preserve"> </w:t>
      </w:r>
      <w:r w:rsidRPr="001A3B8E">
        <w:rPr>
          <w:rFonts w:cs="Arial"/>
          <w:lang w:val="en-CA"/>
        </w:rPr>
        <w:t xml:space="preserve">were </w:t>
      </w:r>
      <w:r w:rsidR="00B06856" w:rsidRPr="001A3B8E">
        <w:rPr>
          <w:rFonts w:cs="Arial"/>
          <w:lang w:val="en-CA"/>
        </w:rPr>
        <w:t>wrong,</w:t>
      </w:r>
      <w:r w:rsidRPr="001A3B8E">
        <w:rPr>
          <w:rFonts w:cs="Arial"/>
          <w:lang w:val="en-CA"/>
        </w:rPr>
        <w:t xml:space="preserve"> and </w:t>
      </w:r>
      <w:r w:rsidR="00EC683B">
        <w:rPr>
          <w:rFonts w:cs="Arial"/>
          <w:lang w:val="en-CA"/>
        </w:rPr>
        <w:t>his</w:t>
      </w:r>
      <w:r w:rsidRPr="001A3B8E">
        <w:rPr>
          <w:rFonts w:cs="Arial"/>
          <w:lang w:val="en-CA"/>
        </w:rPr>
        <w:t xml:space="preserve"> mental disorder did not raise </w:t>
      </w:r>
      <w:r w:rsidR="00DA264E">
        <w:rPr>
          <w:rFonts w:cs="Arial"/>
          <w:lang w:val="en-CA"/>
        </w:rPr>
        <w:t xml:space="preserve">a </w:t>
      </w:r>
      <w:r w:rsidRPr="001A3B8E">
        <w:rPr>
          <w:rFonts w:cs="Arial"/>
          <w:lang w:val="en-CA"/>
        </w:rPr>
        <w:t xml:space="preserve">doubt as to the </w:t>
      </w:r>
      <w:r w:rsidR="00D31836">
        <w:rPr>
          <w:rFonts w:cs="Arial"/>
          <w:lang w:val="en-CA"/>
        </w:rPr>
        <w:t xml:space="preserve">requisite </w:t>
      </w:r>
      <w:r w:rsidRPr="001A3B8E">
        <w:rPr>
          <w:rFonts w:cs="Arial"/>
          <w:lang w:val="en-CA"/>
        </w:rPr>
        <w:t>intent</w:t>
      </w:r>
      <w:r w:rsidR="00D31836">
        <w:rPr>
          <w:rFonts w:cs="Arial"/>
          <w:lang w:val="en-CA"/>
        </w:rPr>
        <w:t xml:space="preserve"> </w:t>
      </w:r>
      <w:r w:rsidRPr="001A3B8E">
        <w:rPr>
          <w:rFonts w:cs="Arial"/>
          <w:lang w:val="en-CA"/>
        </w:rPr>
        <w:t>for second degree murder or first degree murder</w:t>
      </w:r>
      <w:r w:rsidR="00B23A21" w:rsidRPr="0056023E">
        <w:rPr>
          <w:rFonts w:cs="Arial"/>
          <w:lang w:val="en-CA"/>
        </w:rPr>
        <w:t>.</w:t>
      </w:r>
    </w:p>
    <w:p w14:paraId="3F88A56D" w14:textId="49E1DB39" w:rsidR="00B23A21" w:rsidRPr="0056023E" w:rsidRDefault="00224D9B" w:rsidP="000B6E2B">
      <w:pPr>
        <w:pStyle w:val="Paragraphe"/>
        <w:spacing w:line="240" w:lineRule="auto"/>
        <w:rPr>
          <w:rFonts w:cs="Arial"/>
          <w:lang w:val="en-CA"/>
        </w:rPr>
      </w:pPr>
      <w:r w:rsidRPr="00224D9B">
        <w:rPr>
          <w:rFonts w:cs="Arial"/>
          <w:lang w:val="en-CA"/>
        </w:rPr>
        <w:lastRenderedPageBreak/>
        <w:t xml:space="preserve">According to the appellant, this is not the case. He testified that, on April 10, 2016, he hesitated </w:t>
      </w:r>
      <w:r w:rsidR="009F5750">
        <w:rPr>
          <w:rFonts w:cs="Arial"/>
          <w:lang w:val="en-CA"/>
        </w:rPr>
        <w:t>between going</w:t>
      </w:r>
      <w:r w:rsidRPr="00224D9B">
        <w:rPr>
          <w:rFonts w:cs="Arial"/>
          <w:lang w:val="en-CA"/>
        </w:rPr>
        <w:t xml:space="preserve"> to the gym or return</w:t>
      </w:r>
      <w:r w:rsidR="009F5750">
        <w:rPr>
          <w:rFonts w:cs="Arial"/>
          <w:lang w:val="en-CA"/>
        </w:rPr>
        <w:t>ing</w:t>
      </w:r>
      <w:r w:rsidRPr="00224D9B">
        <w:rPr>
          <w:rFonts w:cs="Arial"/>
          <w:lang w:val="en-CA"/>
        </w:rPr>
        <w:t xml:space="preserve"> to the Maxi</w:t>
      </w:r>
      <w:r w:rsidR="00212893">
        <w:rPr>
          <w:rFonts w:cs="Arial"/>
          <w:lang w:val="en-CA"/>
        </w:rPr>
        <w:t xml:space="preserve"> to persuade</w:t>
      </w:r>
      <w:r w:rsidRPr="00224D9B">
        <w:rPr>
          <w:rFonts w:cs="Arial"/>
          <w:lang w:val="en-CA"/>
        </w:rPr>
        <w:t xml:space="preserve"> the victim once again not to kill him. He decide</w:t>
      </w:r>
      <w:r>
        <w:rPr>
          <w:rFonts w:cs="Arial"/>
          <w:lang w:val="en-CA"/>
        </w:rPr>
        <w:t>d</w:t>
      </w:r>
      <w:r w:rsidRPr="00224D9B">
        <w:rPr>
          <w:rFonts w:cs="Arial"/>
          <w:lang w:val="en-CA"/>
        </w:rPr>
        <w:t xml:space="preserve"> to go see </w:t>
      </w:r>
      <w:r>
        <w:rPr>
          <w:rFonts w:cs="Arial"/>
          <w:lang w:val="en-CA"/>
        </w:rPr>
        <w:t>her</w:t>
      </w:r>
      <w:r w:rsidRPr="00224D9B">
        <w:rPr>
          <w:rFonts w:cs="Arial"/>
          <w:lang w:val="en-CA"/>
        </w:rPr>
        <w:t xml:space="preserve"> at </w:t>
      </w:r>
      <w:r>
        <w:rPr>
          <w:rFonts w:cs="Arial"/>
          <w:lang w:val="en-CA"/>
        </w:rPr>
        <w:t xml:space="preserve">the </w:t>
      </w:r>
      <w:r w:rsidRPr="00224D9B">
        <w:rPr>
          <w:rFonts w:cs="Arial"/>
          <w:lang w:val="en-CA"/>
        </w:rPr>
        <w:t>Maxi,</w:t>
      </w:r>
      <w:r>
        <w:rPr>
          <w:rFonts w:cs="Arial"/>
          <w:lang w:val="en-CA"/>
        </w:rPr>
        <w:t xml:space="preserve"> with</w:t>
      </w:r>
      <w:r w:rsidRPr="00224D9B">
        <w:rPr>
          <w:rFonts w:cs="Arial"/>
          <w:lang w:val="en-CA"/>
        </w:rPr>
        <w:t xml:space="preserve"> </w:t>
      </w:r>
      <w:r w:rsidR="00781605">
        <w:rPr>
          <w:rFonts w:cs="Arial"/>
          <w:lang w:val="en-CA"/>
        </w:rPr>
        <w:t>spare</w:t>
      </w:r>
      <w:r w:rsidRPr="00224D9B">
        <w:rPr>
          <w:rFonts w:cs="Arial"/>
          <w:lang w:val="en-CA"/>
        </w:rPr>
        <w:t xml:space="preserve"> sports clothes in his backpack and a knife in his pocket</w:t>
      </w:r>
      <w:r w:rsidR="00B23A21" w:rsidRPr="0056023E">
        <w:rPr>
          <w:rFonts w:cs="Arial"/>
          <w:lang w:val="en-CA"/>
        </w:rPr>
        <w:t>.</w:t>
      </w:r>
    </w:p>
    <w:p w14:paraId="783F0C5B" w14:textId="20C9C0D6" w:rsidR="00B23A21" w:rsidRPr="0056023E" w:rsidRDefault="00224D9B" w:rsidP="000B6E2B">
      <w:pPr>
        <w:pStyle w:val="Paragraphe"/>
        <w:spacing w:line="240" w:lineRule="auto"/>
        <w:rPr>
          <w:rFonts w:cs="Arial"/>
          <w:lang w:val="en-CA"/>
        </w:rPr>
      </w:pPr>
      <w:r w:rsidRPr="00224D9B">
        <w:rPr>
          <w:rFonts w:cs="Arial"/>
          <w:lang w:val="en-CA"/>
        </w:rPr>
        <w:t xml:space="preserve">According to his testimony, when he met the victim, </w:t>
      </w:r>
      <w:r>
        <w:rPr>
          <w:rFonts w:cs="Arial"/>
          <w:lang w:val="en-CA"/>
        </w:rPr>
        <w:t>she</w:t>
      </w:r>
      <w:r w:rsidRPr="00224D9B">
        <w:rPr>
          <w:rFonts w:cs="Arial"/>
          <w:lang w:val="en-CA"/>
        </w:rPr>
        <w:t xml:space="preserve"> said to him</w:t>
      </w:r>
      <w:r w:rsidR="005645F2">
        <w:rPr>
          <w:rFonts w:cs="Arial"/>
          <w:lang w:val="en-CA"/>
        </w:rPr>
        <w:t>,</w:t>
      </w:r>
      <w:r w:rsidRPr="00224D9B">
        <w:rPr>
          <w:rFonts w:cs="Arial"/>
          <w:lang w:val="en-CA"/>
        </w:rPr>
        <w:t xml:space="preserve"> </w:t>
      </w:r>
      <w:r w:rsidRPr="00B92A5F">
        <w:rPr>
          <w:rFonts w:cs="Arial"/>
          <w:szCs w:val="24"/>
          <w:lang w:val="en-CA"/>
        </w:rPr>
        <w:t>[</w:t>
      </w:r>
      <w:r w:rsidR="00CF1F7E" w:rsidRPr="00B92A5F">
        <w:rPr>
          <w:rFonts w:cs="Arial"/>
          <w:smallCaps/>
          <w:szCs w:val="24"/>
          <w:lang w:val="en-CA"/>
        </w:rPr>
        <w:t>translation</w:t>
      </w:r>
      <w:r w:rsidRPr="00B92A5F">
        <w:rPr>
          <w:rFonts w:cs="Arial"/>
          <w:szCs w:val="24"/>
          <w:lang w:val="en-CA"/>
        </w:rPr>
        <w:t>]</w:t>
      </w:r>
      <w:r>
        <w:rPr>
          <w:rFonts w:cs="Arial"/>
          <w:lang w:val="en-CA"/>
        </w:rPr>
        <w:t xml:space="preserve"> </w:t>
      </w:r>
      <w:r w:rsidRPr="00224D9B">
        <w:rPr>
          <w:rFonts w:cs="Arial"/>
          <w:lang w:val="en-CA"/>
        </w:rPr>
        <w:t xml:space="preserve">“not </w:t>
      </w:r>
      <w:r w:rsidR="00EC683B">
        <w:rPr>
          <w:rFonts w:cs="Arial"/>
          <w:lang w:val="en-CA"/>
        </w:rPr>
        <w:t xml:space="preserve">you </w:t>
      </w:r>
      <w:r w:rsidRPr="00224D9B">
        <w:rPr>
          <w:rFonts w:cs="Arial"/>
          <w:lang w:val="en-CA"/>
        </w:rPr>
        <w:t xml:space="preserve">again, dirty nigger” and pointed at him with her index finger. The </w:t>
      </w:r>
      <w:r>
        <w:rPr>
          <w:rFonts w:cs="Arial"/>
          <w:lang w:val="en-CA"/>
        </w:rPr>
        <w:t>appellant</w:t>
      </w:r>
      <w:r w:rsidRPr="00224D9B">
        <w:rPr>
          <w:rFonts w:cs="Arial"/>
          <w:lang w:val="en-CA"/>
        </w:rPr>
        <w:t xml:space="preserve"> then believe</w:t>
      </w:r>
      <w:r>
        <w:rPr>
          <w:rFonts w:cs="Arial"/>
          <w:lang w:val="en-CA"/>
        </w:rPr>
        <w:t>d</w:t>
      </w:r>
      <w:r w:rsidRPr="00224D9B">
        <w:rPr>
          <w:rFonts w:cs="Arial"/>
          <w:lang w:val="en-CA"/>
        </w:rPr>
        <w:t xml:space="preserve"> that she </w:t>
      </w:r>
      <w:r>
        <w:rPr>
          <w:rFonts w:cs="Arial"/>
          <w:lang w:val="en-CA"/>
        </w:rPr>
        <w:t>would take</w:t>
      </w:r>
      <w:r w:rsidRPr="00224D9B">
        <w:rPr>
          <w:rFonts w:cs="Arial"/>
          <w:lang w:val="en-CA"/>
        </w:rPr>
        <w:t xml:space="preserve"> a gun from her pocket </w:t>
      </w:r>
      <w:r w:rsidR="00781605">
        <w:rPr>
          <w:rFonts w:cs="Arial"/>
          <w:lang w:val="en-CA"/>
        </w:rPr>
        <w:t>to</w:t>
      </w:r>
      <w:r w:rsidR="00781605" w:rsidRPr="00224D9B">
        <w:rPr>
          <w:rFonts w:cs="Arial"/>
          <w:lang w:val="en-CA"/>
        </w:rPr>
        <w:t xml:space="preserve"> </w:t>
      </w:r>
      <w:r w:rsidRPr="00224D9B">
        <w:rPr>
          <w:rFonts w:cs="Arial"/>
          <w:lang w:val="en-CA"/>
        </w:rPr>
        <w:t xml:space="preserve">kill him and the other customers. Believing he was doing a good deed, he stabbed her </w:t>
      </w:r>
      <w:r w:rsidR="00781605">
        <w:rPr>
          <w:rFonts w:cs="Arial"/>
          <w:lang w:val="en-CA"/>
        </w:rPr>
        <w:t>several</w:t>
      </w:r>
      <w:r w:rsidR="00781605" w:rsidRPr="00224D9B">
        <w:rPr>
          <w:rFonts w:cs="Arial"/>
          <w:lang w:val="en-CA"/>
        </w:rPr>
        <w:t xml:space="preserve"> </w:t>
      </w:r>
      <w:r w:rsidRPr="00224D9B">
        <w:rPr>
          <w:rFonts w:cs="Arial"/>
          <w:lang w:val="en-CA"/>
        </w:rPr>
        <w:t>times. He then hid in a Tim Hortons for seven hours, panick</w:t>
      </w:r>
      <w:r>
        <w:rPr>
          <w:rFonts w:cs="Arial"/>
          <w:lang w:val="en-CA"/>
        </w:rPr>
        <w:t>ed</w:t>
      </w:r>
      <w:r w:rsidRPr="00224D9B">
        <w:rPr>
          <w:rFonts w:cs="Arial"/>
          <w:lang w:val="en-CA"/>
        </w:rPr>
        <w:t xml:space="preserve"> at the idea that the victim and her friends would find him. He believe</w:t>
      </w:r>
      <w:r>
        <w:rPr>
          <w:rFonts w:cs="Arial"/>
          <w:lang w:val="en-CA"/>
        </w:rPr>
        <w:t>d</w:t>
      </w:r>
      <w:r w:rsidRPr="00224D9B">
        <w:rPr>
          <w:rFonts w:cs="Arial"/>
          <w:lang w:val="en-CA"/>
        </w:rPr>
        <w:t xml:space="preserve"> his life</w:t>
      </w:r>
      <w:r>
        <w:rPr>
          <w:rFonts w:cs="Arial"/>
          <w:lang w:val="en-CA"/>
        </w:rPr>
        <w:t xml:space="preserve"> was</w:t>
      </w:r>
      <w:r w:rsidRPr="00224D9B">
        <w:rPr>
          <w:rFonts w:cs="Arial"/>
          <w:lang w:val="en-CA"/>
        </w:rPr>
        <w:t xml:space="preserve"> in danger</w:t>
      </w:r>
      <w:r w:rsidR="004F7A53" w:rsidRPr="0056023E">
        <w:rPr>
          <w:rFonts w:cs="Arial"/>
          <w:lang w:val="en-CA"/>
        </w:rPr>
        <w:t>.</w:t>
      </w:r>
    </w:p>
    <w:p w14:paraId="25C9F406" w14:textId="35DA28D7" w:rsidR="00B23A21" w:rsidRPr="0056023E" w:rsidRDefault="00224D9B" w:rsidP="000B6E2B">
      <w:pPr>
        <w:pStyle w:val="Paragraphe"/>
        <w:spacing w:line="240" w:lineRule="auto"/>
        <w:rPr>
          <w:rFonts w:cs="Arial"/>
          <w:lang w:val="en-CA"/>
        </w:rPr>
      </w:pPr>
      <w:r w:rsidRPr="00224D9B">
        <w:rPr>
          <w:rFonts w:cs="Arial"/>
          <w:lang w:val="en-CA"/>
        </w:rPr>
        <w:t>The two experts heard share the same opinion: the appellant was suffering from a mental disorder at the time of the events and was incapable of knowing that the act committed was wrong</w:t>
      </w:r>
      <w:r w:rsidR="00B23A21" w:rsidRPr="0056023E">
        <w:rPr>
          <w:rFonts w:cs="Arial"/>
          <w:lang w:val="en-CA"/>
        </w:rPr>
        <w:t>.</w:t>
      </w:r>
    </w:p>
    <w:p w14:paraId="4FA3527C" w14:textId="4BA865D6" w:rsidR="00B23A21" w:rsidRPr="0056023E" w:rsidRDefault="00212893" w:rsidP="000B6E2B">
      <w:pPr>
        <w:pStyle w:val="Paragraphe"/>
        <w:spacing w:line="240" w:lineRule="auto"/>
        <w:rPr>
          <w:lang w:val="en-CA"/>
        </w:rPr>
      </w:pPr>
      <w:r w:rsidRPr="00212893">
        <w:rPr>
          <w:lang w:val="en-CA"/>
        </w:rPr>
        <w:t xml:space="preserve">Part of the evidence presented by the </w:t>
      </w:r>
      <w:r w:rsidR="00BD3DEA">
        <w:rPr>
          <w:lang w:val="en-CA"/>
        </w:rPr>
        <w:t>Crown</w:t>
      </w:r>
      <w:r w:rsidRPr="00212893">
        <w:rPr>
          <w:lang w:val="en-CA"/>
        </w:rPr>
        <w:t xml:space="preserve"> concerns the </w:t>
      </w:r>
      <w:r w:rsidR="00BD3DEA">
        <w:rPr>
          <w:lang w:val="en-CA"/>
        </w:rPr>
        <w:t xml:space="preserve">appellant’s </w:t>
      </w:r>
      <w:r w:rsidR="00B030C7">
        <w:rPr>
          <w:lang w:val="en-CA"/>
        </w:rPr>
        <w:t>behaviour</w:t>
      </w:r>
      <w:r w:rsidRPr="00212893">
        <w:rPr>
          <w:lang w:val="en-CA"/>
        </w:rPr>
        <w:t xml:space="preserve"> after </w:t>
      </w:r>
      <w:r w:rsidR="0013274C">
        <w:rPr>
          <w:lang w:val="en-CA"/>
        </w:rPr>
        <w:t xml:space="preserve">he </w:t>
      </w:r>
      <w:r w:rsidRPr="00212893">
        <w:rPr>
          <w:lang w:val="en-CA"/>
        </w:rPr>
        <w:t>kill</w:t>
      </w:r>
      <w:r w:rsidR="00BD3DEA">
        <w:rPr>
          <w:lang w:val="en-CA"/>
        </w:rPr>
        <w:t>ed</w:t>
      </w:r>
      <w:r w:rsidRPr="00212893">
        <w:rPr>
          <w:lang w:val="en-CA"/>
        </w:rPr>
        <w:t xml:space="preserve"> the victim. This was of crucial importance in assessing the </w:t>
      </w:r>
      <w:r w:rsidR="00AD661B">
        <w:rPr>
          <w:rFonts w:cs="Arial"/>
          <w:lang w:val="en-CA"/>
        </w:rPr>
        <w:t xml:space="preserve">defence of </w:t>
      </w:r>
      <w:r w:rsidRPr="00212893">
        <w:rPr>
          <w:lang w:val="en-CA"/>
        </w:rPr>
        <w:t>mental disorder presented by the appellant. The jury could certainly draw contradictory inferences</w:t>
      </w:r>
      <w:r w:rsidR="0013274C">
        <w:rPr>
          <w:lang w:val="en-CA"/>
        </w:rPr>
        <w:t xml:space="preserve"> from it</w:t>
      </w:r>
      <w:r w:rsidRPr="00212893">
        <w:rPr>
          <w:lang w:val="en-CA"/>
        </w:rPr>
        <w:t xml:space="preserve">, but some supported the </w:t>
      </w:r>
      <w:r w:rsidR="00AD661B">
        <w:rPr>
          <w:rFonts w:cs="Arial"/>
          <w:lang w:val="en-CA"/>
        </w:rPr>
        <w:t xml:space="preserve">defence of </w:t>
      </w:r>
      <w:r w:rsidRPr="00212893">
        <w:rPr>
          <w:lang w:val="en-CA"/>
        </w:rPr>
        <w:t>mental disorder or could cast reasonable doubt on the appellant</w:t>
      </w:r>
      <w:r w:rsidR="00BD3DEA">
        <w:rPr>
          <w:lang w:val="en-CA"/>
        </w:rPr>
        <w:t>’s guilt</w:t>
      </w:r>
      <w:r w:rsidRPr="00212893">
        <w:rPr>
          <w:lang w:val="en-CA"/>
        </w:rPr>
        <w:t>.</w:t>
      </w:r>
    </w:p>
    <w:p w14:paraId="47A043C0" w14:textId="39A8F71B" w:rsidR="00B23A21" w:rsidRPr="0056023E" w:rsidRDefault="00BD3DEA" w:rsidP="000B6E2B">
      <w:pPr>
        <w:pStyle w:val="Paragraphe"/>
        <w:spacing w:line="240" w:lineRule="auto"/>
        <w:rPr>
          <w:lang w:val="en-CA"/>
        </w:rPr>
      </w:pPr>
      <w:r w:rsidRPr="00BD3DEA">
        <w:rPr>
          <w:lang w:val="en-CA"/>
        </w:rPr>
        <w:t xml:space="preserve">It was therefore necessary to determine to what extent this evidence was relevant </w:t>
      </w:r>
      <w:r>
        <w:rPr>
          <w:lang w:val="en-CA"/>
        </w:rPr>
        <w:t>in</w:t>
      </w:r>
      <w:r w:rsidRPr="00BD3DEA">
        <w:rPr>
          <w:lang w:val="en-CA"/>
        </w:rPr>
        <w:t xml:space="preserve"> </w:t>
      </w:r>
      <w:r w:rsidR="0013274C">
        <w:rPr>
          <w:lang w:val="en-CA"/>
        </w:rPr>
        <w:t>determining the issue of</w:t>
      </w:r>
      <w:r w:rsidR="0013274C" w:rsidRPr="00BD3DEA">
        <w:rPr>
          <w:lang w:val="en-CA"/>
        </w:rPr>
        <w:t xml:space="preserve"> </w:t>
      </w:r>
      <w:r>
        <w:rPr>
          <w:lang w:val="en-CA"/>
        </w:rPr>
        <w:t>th</w:t>
      </w:r>
      <w:r w:rsidRPr="00BD3DEA">
        <w:rPr>
          <w:lang w:val="en-CA"/>
        </w:rPr>
        <w:t>e appellant</w:t>
      </w:r>
      <w:r w:rsidR="00A6228A">
        <w:rPr>
          <w:lang w:val="en-CA"/>
        </w:rPr>
        <w:t>’</w:t>
      </w:r>
      <w:r w:rsidRPr="00BD3DEA">
        <w:rPr>
          <w:lang w:val="en-CA"/>
        </w:rPr>
        <w:t>s intent</w:t>
      </w:r>
      <w:r w:rsidR="0013274C">
        <w:rPr>
          <w:lang w:val="en-CA"/>
        </w:rPr>
        <w:t xml:space="preserve"> when the homicide was committed</w:t>
      </w:r>
      <w:r w:rsidRPr="00BD3DEA">
        <w:rPr>
          <w:lang w:val="en-CA"/>
        </w:rPr>
        <w:t xml:space="preserve"> and whether it could </w:t>
      </w:r>
      <w:r w:rsidR="0013274C">
        <w:rPr>
          <w:lang w:val="en-CA"/>
        </w:rPr>
        <w:t xml:space="preserve">be used to </w:t>
      </w:r>
      <w:r w:rsidR="009C4333">
        <w:rPr>
          <w:lang w:val="en-CA"/>
        </w:rPr>
        <w:t xml:space="preserve">determine whether </w:t>
      </w:r>
      <w:r w:rsidRPr="00BD3DEA">
        <w:rPr>
          <w:lang w:val="en-CA"/>
        </w:rPr>
        <w:t>the appellant</w:t>
      </w:r>
      <w:r w:rsidR="009C4333">
        <w:rPr>
          <w:lang w:val="en-CA"/>
        </w:rPr>
        <w:t xml:space="preserve"> was guilty of</w:t>
      </w:r>
      <w:r w:rsidR="00A6228A">
        <w:rPr>
          <w:lang w:val="en-CA"/>
        </w:rPr>
        <w:t xml:space="preserve"> </w:t>
      </w:r>
      <w:r w:rsidRPr="00BD3DEA">
        <w:rPr>
          <w:lang w:val="en-CA"/>
        </w:rPr>
        <w:t xml:space="preserve">second degree </w:t>
      </w:r>
      <w:r w:rsidR="00EC683B">
        <w:rPr>
          <w:lang w:val="en-CA"/>
        </w:rPr>
        <w:t xml:space="preserve">murder </w:t>
      </w:r>
      <w:r w:rsidRPr="00BD3DEA">
        <w:rPr>
          <w:lang w:val="en-CA"/>
        </w:rPr>
        <w:t>or</w:t>
      </w:r>
      <w:r w:rsidR="009C4333">
        <w:rPr>
          <w:lang w:val="en-CA"/>
        </w:rPr>
        <w:t xml:space="preserve"> of</w:t>
      </w:r>
      <w:r w:rsidRPr="00BD3DEA">
        <w:rPr>
          <w:lang w:val="en-CA"/>
        </w:rPr>
        <w:t xml:space="preserve"> first degree murder</w:t>
      </w:r>
      <w:r w:rsidR="00B23A21" w:rsidRPr="0056023E">
        <w:rPr>
          <w:rFonts w:cs="Arial"/>
          <w:lang w:val="en-CA"/>
        </w:rPr>
        <w:t>.</w:t>
      </w:r>
    </w:p>
    <w:p w14:paraId="4E121D6F" w14:textId="512EBA2D" w:rsidR="00B23A21" w:rsidRPr="0056023E" w:rsidRDefault="006D2718" w:rsidP="000B6E2B">
      <w:pPr>
        <w:pStyle w:val="Paragraphe"/>
        <w:numPr>
          <w:ilvl w:val="0"/>
          <w:numId w:val="0"/>
        </w:numPr>
        <w:spacing w:line="240" w:lineRule="auto"/>
        <w:rPr>
          <w:rFonts w:cs="Arial"/>
          <w:b/>
          <w:i/>
          <w:lang w:val="en-CA"/>
        </w:rPr>
      </w:pPr>
      <w:r>
        <w:rPr>
          <w:rFonts w:cs="Arial"/>
          <w:b/>
          <w:i/>
          <w:lang w:val="en-CA"/>
        </w:rPr>
        <w:t>GROUNDS OF APPEAL</w:t>
      </w:r>
      <w:r w:rsidR="00B23A21" w:rsidRPr="0056023E">
        <w:rPr>
          <w:rFonts w:cs="Arial"/>
          <w:b/>
          <w:i/>
          <w:lang w:val="en-CA"/>
        </w:rPr>
        <w:t xml:space="preserve"> </w:t>
      </w:r>
    </w:p>
    <w:p w14:paraId="2698149B" w14:textId="0D5A9FC9" w:rsidR="00B67C8D" w:rsidRPr="0056023E" w:rsidRDefault="002756E7" w:rsidP="000B6E2B">
      <w:pPr>
        <w:pStyle w:val="Paragraphe"/>
        <w:spacing w:line="240" w:lineRule="auto"/>
        <w:rPr>
          <w:rFonts w:cs="Arial"/>
          <w:lang w:val="en-CA"/>
        </w:rPr>
      </w:pPr>
      <w:r w:rsidRPr="002756E7">
        <w:rPr>
          <w:rFonts w:cs="Arial"/>
          <w:lang w:val="en-CA"/>
        </w:rPr>
        <w:t xml:space="preserve">The appellant maintains that the verdict rendered </w:t>
      </w:r>
      <w:r w:rsidR="00B94E94">
        <w:rPr>
          <w:rFonts w:cs="Arial"/>
          <w:lang w:val="en-CA"/>
        </w:rPr>
        <w:t>is</w:t>
      </w:r>
      <w:r w:rsidR="00B94E94" w:rsidRPr="002756E7">
        <w:rPr>
          <w:rFonts w:cs="Arial"/>
          <w:lang w:val="en-CA"/>
        </w:rPr>
        <w:t xml:space="preserve"> </w:t>
      </w:r>
      <w:r w:rsidRPr="002756E7">
        <w:rPr>
          <w:rFonts w:cs="Arial"/>
          <w:lang w:val="en-CA"/>
        </w:rPr>
        <w:t>unreasonable and that the jury did not receive prop</w:t>
      </w:r>
      <w:r w:rsidR="00F00BFC">
        <w:rPr>
          <w:rFonts w:cs="Arial"/>
          <w:lang w:val="en-CA"/>
        </w:rPr>
        <w:t>er</w:t>
      </w:r>
      <w:r w:rsidRPr="002756E7">
        <w:rPr>
          <w:rFonts w:cs="Arial"/>
          <w:lang w:val="en-CA"/>
        </w:rPr>
        <w:t xml:space="preserve"> assistance to </w:t>
      </w:r>
      <w:r w:rsidR="00D43E0D">
        <w:rPr>
          <w:rFonts w:cs="Arial"/>
          <w:lang w:val="en-CA"/>
        </w:rPr>
        <w:t>guide its deliberations</w:t>
      </w:r>
      <w:r w:rsidRPr="002756E7">
        <w:rPr>
          <w:rFonts w:cs="Arial"/>
          <w:lang w:val="en-CA"/>
        </w:rPr>
        <w:t xml:space="preserve"> in order to determine </w:t>
      </w:r>
      <w:r w:rsidR="002821B1">
        <w:rPr>
          <w:rFonts w:cs="Arial"/>
          <w:lang w:val="en-CA"/>
        </w:rPr>
        <w:t>whether he was</w:t>
      </w:r>
      <w:r w:rsidRPr="002756E7">
        <w:rPr>
          <w:rFonts w:cs="Arial"/>
          <w:lang w:val="en-CA"/>
        </w:rPr>
        <w:t xml:space="preserve"> not criminal</w:t>
      </w:r>
      <w:r w:rsidR="00D43E0D">
        <w:rPr>
          <w:rFonts w:cs="Arial"/>
          <w:lang w:val="en-CA"/>
        </w:rPr>
        <w:t>ly</w:t>
      </w:r>
      <w:r w:rsidRPr="002756E7">
        <w:rPr>
          <w:rFonts w:cs="Arial"/>
          <w:lang w:val="en-CA"/>
        </w:rPr>
        <w:t xml:space="preserve"> responsib</w:t>
      </w:r>
      <w:r w:rsidR="002821B1">
        <w:rPr>
          <w:rFonts w:cs="Arial"/>
          <w:lang w:val="en-CA"/>
        </w:rPr>
        <w:t>le</w:t>
      </w:r>
      <w:r w:rsidR="0043548D">
        <w:rPr>
          <w:rFonts w:cs="Arial"/>
          <w:lang w:val="en-CA"/>
        </w:rPr>
        <w:t xml:space="preserve"> </w:t>
      </w:r>
      <w:r w:rsidR="002821B1">
        <w:rPr>
          <w:rFonts w:cs="Arial"/>
          <w:lang w:val="en-CA"/>
        </w:rPr>
        <w:t>or guilty</w:t>
      </w:r>
      <w:r w:rsidRPr="002756E7">
        <w:rPr>
          <w:rFonts w:cs="Arial"/>
          <w:lang w:val="en-CA"/>
        </w:rPr>
        <w:t xml:space="preserve">. He </w:t>
      </w:r>
      <w:r w:rsidR="00D43E0D">
        <w:rPr>
          <w:rFonts w:cs="Arial"/>
          <w:lang w:val="en-CA"/>
        </w:rPr>
        <w:t>says</w:t>
      </w:r>
      <w:r w:rsidRPr="002756E7">
        <w:rPr>
          <w:rFonts w:cs="Arial"/>
          <w:lang w:val="en-CA"/>
        </w:rPr>
        <w:t xml:space="preserve"> that the judge committed errors of law by allowing the </w:t>
      </w:r>
      <w:r w:rsidR="00D43E0D">
        <w:rPr>
          <w:rFonts w:cs="Arial"/>
          <w:lang w:val="en-CA"/>
        </w:rPr>
        <w:t>Crown</w:t>
      </w:r>
      <w:r w:rsidRPr="002756E7">
        <w:rPr>
          <w:rFonts w:cs="Arial"/>
          <w:lang w:val="en-CA"/>
        </w:rPr>
        <w:t xml:space="preserve"> to ask </w:t>
      </w:r>
      <w:r w:rsidR="00B414C3">
        <w:rPr>
          <w:rFonts w:cs="Arial"/>
          <w:lang w:val="en-CA"/>
        </w:rPr>
        <w:t xml:space="preserve">the experts </w:t>
      </w:r>
      <w:r w:rsidRPr="002756E7">
        <w:rPr>
          <w:rFonts w:cs="Arial"/>
          <w:lang w:val="en-CA"/>
        </w:rPr>
        <w:t>hypothetical questions in the absence of a</w:t>
      </w:r>
      <w:r w:rsidR="00D43E0D">
        <w:rPr>
          <w:rFonts w:cs="Arial"/>
          <w:lang w:val="en-CA"/>
        </w:rPr>
        <w:t>ny</w:t>
      </w:r>
      <w:r w:rsidRPr="002756E7">
        <w:rPr>
          <w:rFonts w:cs="Arial"/>
          <w:lang w:val="en-CA"/>
        </w:rPr>
        <w:t xml:space="preserve"> factual basis and by allowing </w:t>
      </w:r>
      <w:r w:rsidR="00221BE7">
        <w:rPr>
          <w:rFonts w:cs="Arial"/>
          <w:lang w:val="en-CA"/>
        </w:rPr>
        <w:t xml:space="preserve">the Crown </w:t>
      </w:r>
      <w:r w:rsidRPr="002756E7">
        <w:rPr>
          <w:rFonts w:cs="Arial"/>
          <w:lang w:val="en-CA"/>
        </w:rPr>
        <w:t xml:space="preserve">to </w:t>
      </w:r>
      <w:r w:rsidR="001A047F">
        <w:rPr>
          <w:rFonts w:cs="Arial"/>
          <w:lang w:val="en-CA"/>
        </w:rPr>
        <w:t>rely o</w:t>
      </w:r>
      <w:r w:rsidR="00F00BFC">
        <w:rPr>
          <w:rFonts w:cs="Arial"/>
          <w:lang w:val="en-CA"/>
        </w:rPr>
        <w:t>n</w:t>
      </w:r>
      <w:r w:rsidR="001A047F">
        <w:rPr>
          <w:rFonts w:cs="Arial"/>
          <w:lang w:val="en-CA"/>
        </w:rPr>
        <w:t xml:space="preserve"> evidence</w:t>
      </w:r>
      <w:r w:rsidRPr="002756E7">
        <w:rPr>
          <w:rFonts w:cs="Arial"/>
          <w:lang w:val="en-CA"/>
        </w:rPr>
        <w:t xml:space="preserve"> favo</w:t>
      </w:r>
      <w:r w:rsidR="00D43E0D">
        <w:rPr>
          <w:rFonts w:cs="Arial"/>
          <w:lang w:val="en-CA"/>
        </w:rPr>
        <w:t>u</w:t>
      </w:r>
      <w:r w:rsidRPr="002756E7">
        <w:rPr>
          <w:rFonts w:cs="Arial"/>
          <w:lang w:val="en-CA"/>
        </w:rPr>
        <w:t xml:space="preserve">rable to </w:t>
      </w:r>
      <w:r w:rsidR="00221BE7">
        <w:rPr>
          <w:rFonts w:cs="Arial"/>
          <w:lang w:val="en-CA"/>
        </w:rPr>
        <w:t>its</w:t>
      </w:r>
      <w:r w:rsidRPr="002756E7">
        <w:rPr>
          <w:rFonts w:cs="Arial"/>
          <w:lang w:val="en-CA"/>
        </w:rPr>
        <w:t xml:space="preserve"> </w:t>
      </w:r>
      <w:r w:rsidR="00D43E0D">
        <w:rPr>
          <w:rFonts w:cs="Arial"/>
          <w:lang w:val="en-CA"/>
        </w:rPr>
        <w:t>case</w:t>
      </w:r>
      <w:r w:rsidRPr="002756E7">
        <w:rPr>
          <w:rFonts w:cs="Arial"/>
          <w:lang w:val="en-CA"/>
        </w:rPr>
        <w:t xml:space="preserve"> </w:t>
      </w:r>
      <w:r w:rsidR="00B414C3">
        <w:rPr>
          <w:rFonts w:cs="Arial"/>
          <w:lang w:val="en-CA"/>
        </w:rPr>
        <w:t>that</w:t>
      </w:r>
      <w:r w:rsidRPr="002756E7">
        <w:rPr>
          <w:rFonts w:cs="Arial"/>
          <w:lang w:val="en-CA"/>
        </w:rPr>
        <w:t xml:space="preserve"> w</w:t>
      </w:r>
      <w:r w:rsidR="00295F75">
        <w:rPr>
          <w:rFonts w:cs="Arial"/>
          <w:lang w:val="en-CA"/>
        </w:rPr>
        <w:t>as not adduced</w:t>
      </w:r>
      <w:r w:rsidRPr="002756E7">
        <w:rPr>
          <w:rFonts w:cs="Arial"/>
          <w:lang w:val="en-CA"/>
        </w:rPr>
        <w:t>.</w:t>
      </w:r>
    </w:p>
    <w:p w14:paraId="28001187" w14:textId="68B09C76" w:rsidR="00B23A21" w:rsidRPr="0056023E" w:rsidRDefault="00221BE7" w:rsidP="000B6E2B">
      <w:pPr>
        <w:pStyle w:val="Paragraphe"/>
        <w:spacing w:line="240" w:lineRule="auto"/>
        <w:rPr>
          <w:rFonts w:cs="Arial"/>
          <w:lang w:val="en-CA"/>
        </w:rPr>
      </w:pPr>
      <w:r w:rsidRPr="00221BE7">
        <w:rPr>
          <w:rFonts w:cs="Arial"/>
          <w:lang w:val="en-CA"/>
        </w:rPr>
        <w:t xml:space="preserve">For better understanding, it is appropriate to </w:t>
      </w:r>
      <w:r w:rsidR="00B414C3">
        <w:rPr>
          <w:rFonts w:cs="Arial"/>
          <w:lang w:val="en-CA"/>
        </w:rPr>
        <w:t>set out</w:t>
      </w:r>
      <w:r w:rsidRPr="00221BE7">
        <w:rPr>
          <w:rFonts w:cs="Arial"/>
          <w:lang w:val="en-CA"/>
        </w:rPr>
        <w:t xml:space="preserve"> the grounds of appeal as follows:</w:t>
      </w:r>
    </w:p>
    <w:p w14:paraId="25AD3898" w14:textId="5554579B" w:rsidR="00B23A21" w:rsidRPr="0056023E" w:rsidRDefault="00221BE7" w:rsidP="000B6E2B">
      <w:pPr>
        <w:pStyle w:val="Paragraphe"/>
        <w:numPr>
          <w:ilvl w:val="0"/>
          <w:numId w:val="22"/>
        </w:numPr>
        <w:spacing w:line="240" w:lineRule="auto"/>
        <w:rPr>
          <w:lang w:val="en-CA"/>
        </w:rPr>
      </w:pPr>
      <w:r w:rsidRPr="00221BE7">
        <w:rPr>
          <w:lang w:val="en-CA"/>
        </w:rPr>
        <w:t xml:space="preserve">Did the jury render an unreasonable verdict, in particular because of the uncontradicted conclusions of the two forensic psychiatry experts regarding </w:t>
      </w:r>
      <w:r>
        <w:rPr>
          <w:lang w:val="en-CA"/>
        </w:rPr>
        <w:t>the appellant’s</w:t>
      </w:r>
      <w:r w:rsidRPr="00221BE7">
        <w:rPr>
          <w:lang w:val="en-CA"/>
        </w:rPr>
        <w:t xml:space="preserve"> mental state at the time of the </w:t>
      </w:r>
      <w:r>
        <w:rPr>
          <w:lang w:val="en-CA"/>
        </w:rPr>
        <w:t>events</w:t>
      </w:r>
      <w:r w:rsidRPr="00221BE7">
        <w:rPr>
          <w:lang w:val="en-CA"/>
        </w:rPr>
        <w:t>?</w:t>
      </w:r>
    </w:p>
    <w:p w14:paraId="0160DCD0" w14:textId="224A2AF7" w:rsidR="00B23A21" w:rsidRPr="0056023E" w:rsidRDefault="00221BE7" w:rsidP="000B6E2B">
      <w:pPr>
        <w:pStyle w:val="Paragraphe"/>
        <w:numPr>
          <w:ilvl w:val="0"/>
          <w:numId w:val="22"/>
        </w:numPr>
        <w:spacing w:line="240" w:lineRule="auto"/>
        <w:rPr>
          <w:lang w:val="en-CA"/>
        </w:rPr>
      </w:pPr>
      <w:r w:rsidRPr="00221BE7">
        <w:rPr>
          <w:lang w:val="en-CA"/>
        </w:rPr>
        <w:lastRenderedPageBreak/>
        <w:t xml:space="preserve">Did the judge commit an error of law by allowing the </w:t>
      </w:r>
      <w:r>
        <w:rPr>
          <w:lang w:val="en-CA"/>
        </w:rPr>
        <w:t>Crown</w:t>
      </w:r>
      <w:r w:rsidRPr="00221BE7">
        <w:rPr>
          <w:lang w:val="en-CA"/>
        </w:rPr>
        <w:t xml:space="preserve"> to ask hypothetical questions </w:t>
      </w:r>
      <w:r>
        <w:rPr>
          <w:lang w:val="en-CA"/>
        </w:rPr>
        <w:t>of</w:t>
      </w:r>
      <w:r w:rsidRPr="00221BE7">
        <w:rPr>
          <w:lang w:val="en-CA"/>
        </w:rPr>
        <w:t xml:space="preserve"> the psychiatric witnesses and by allowing </w:t>
      </w:r>
      <w:r>
        <w:rPr>
          <w:lang w:val="en-CA"/>
        </w:rPr>
        <w:t>the Crown</w:t>
      </w:r>
      <w:r w:rsidRPr="00221BE7">
        <w:rPr>
          <w:lang w:val="en-CA"/>
        </w:rPr>
        <w:t xml:space="preserve"> to </w:t>
      </w:r>
      <w:r w:rsidR="0043548D">
        <w:rPr>
          <w:lang w:val="en-CA"/>
        </w:rPr>
        <w:t>rely on</w:t>
      </w:r>
      <w:r w:rsidRPr="00221BE7">
        <w:rPr>
          <w:lang w:val="en-CA"/>
        </w:rPr>
        <w:t xml:space="preserve"> elements favo</w:t>
      </w:r>
      <w:r w:rsidR="0043548D">
        <w:rPr>
          <w:lang w:val="en-CA"/>
        </w:rPr>
        <w:t>u</w:t>
      </w:r>
      <w:r w:rsidRPr="00221BE7">
        <w:rPr>
          <w:lang w:val="en-CA"/>
        </w:rPr>
        <w:t xml:space="preserve">rable to </w:t>
      </w:r>
      <w:r>
        <w:rPr>
          <w:lang w:val="en-CA"/>
        </w:rPr>
        <w:t>its case</w:t>
      </w:r>
      <w:r w:rsidRPr="00221BE7">
        <w:rPr>
          <w:lang w:val="en-CA"/>
        </w:rPr>
        <w:t>, in the absence of a</w:t>
      </w:r>
      <w:r>
        <w:rPr>
          <w:lang w:val="en-CA"/>
        </w:rPr>
        <w:t>ny</w:t>
      </w:r>
      <w:r w:rsidRPr="00221BE7">
        <w:rPr>
          <w:lang w:val="en-CA"/>
        </w:rPr>
        <w:t xml:space="preserve"> factual basis?</w:t>
      </w:r>
    </w:p>
    <w:p w14:paraId="18C56495" w14:textId="6327B604" w:rsidR="004A4CF0" w:rsidRPr="0056023E" w:rsidRDefault="00FF3332" w:rsidP="000B6E2B">
      <w:pPr>
        <w:pStyle w:val="Paragraphe"/>
        <w:numPr>
          <w:ilvl w:val="0"/>
          <w:numId w:val="22"/>
        </w:numPr>
        <w:spacing w:line="240" w:lineRule="auto"/>
        <w:rPr>
          <w:lang w:val="en-CA"/>
        </w:rPr>
      </w:pPr>
      <w:r w:rsidRPr="00FF3332">
        <w:rPr>
          <w:lang w:val="en-CA"/>
        </w:rPr>
        <w:t xml:space="preserve">Did the judge commit an error of law in her instructions on the assessment of </w:t>
      </w:r>
      <w:r>
        <w:rPr>
          <w:lang w:val="en-CA"/>
        </w:rPr>
        <w:t>the post-offence conduct</w:t>
      </w:r>
      <w:r w:rsidR="004A4CF0" w:rsidRPr="0056023E">
        <w:rPr>
          <w:lang w:val="en-CA"/>
        </w:rPr>
        <w:t>?</w:t>
      </w:r>
    </w:p>
    <w:p w14:paraId="3FA0BFFD" w14:textId="1458064A" w:rsidR="00B23A21" w:rsidRPr="0056023E" w:rsidRDefault="00FF3332" w:rsidP="000B6E2B">
      <w:pPr>
        <w:pStyle w:val="Paragraphe"/>
        <w:numPr>
          <w:ilvl w:val="0"/>
          <w:numId w:val="22"/>
        </w:numPr>
        <w:spacing w:line="240" w:lineRule="auto"/>
        <w:rPr>
          <w:lang w:val="en-CA"/>
        </w:rPr>
      </w:pPr>
      <w:r>
        <w:rPr>
          <w:lang w:val="en-CA"/>
        </w:rPr>
        <w:t>Did the judge commit an error of</w:t>
      </w:r>
      <w:r w:rsidRPr="00FF3332">
        <w:rPr>
          <w:lang w:val="en-CA"/>
        </w:rPr>
        <w:t xml:space="preserve"> law by giving the jury the choice </w:t>
      </w:r>
      <w:r w:rsidR="002160DC">
        <w:rPr>
          <w:lang w:val="en-CA"/>
        </w:rPr>
        <w:t>to</w:t>
      </w:r>
      <w:r w:rsidRPr="00FF3332">
        <w:rPr>
          <w:lang w:val="en-CA"/>
        </w:rPr>
        <w:t xml:space="preserve"> hear </w:t>
      </w:r>
      <w:r>
        <w:rPr>
          <w:lang w:val="en-CA"/>
        </w:rPr>
        <w:t>her</w:t>
      </w:r>
      <w:r w:rsidRPr="00FF3332">
        <w:rPr>
          <w:lang w:val="en-CA"/>
        </w:rPr>
        <w:t xml:space="preserve"> instructions </w:t>
      </w:r>
      <w:r>
        <w:rPr>
          <w:lang w:val="en-CA"/>
        </w:rPr>
        <w:t xml:space="preserve">again </w:t>
      </w:r>
      <w:r w:rsidRPr="00FF3332">
        <w:rPr>
          <w:lang w:val="en-CA"/>
        </w:rPr>
        <w:t xml:space="preserve">or </w:t>
      </w:r>
      <w:r w:rsidR="002160DC">
        <w:rPr>
          <w:lang w:val="en-CA"/>
        </w:rPr>
        <w:t xml:space="preserve">to </w:t>
      </w:r>
      <w:r w:rsidRPr="00FF3332">
        <w:rPr>
          <w:lang w:val="en-CA"/>
        </w:rPr>
        <w:t>indicat</w:t>
      </w:r>
      <w:r w:rsidR="002160DC">
        <w:rPr>
          <w:lang w:val="en-CA"/>
        </w:rPr>
        <w:t>e</w:t>
      </w:r>
      <w:r w:rsidRPr="00FF3332">
        <w:rPr>
          <w:lang w:val="en-CA"/>
        </w:rPr>
        <w:t xml:space="preserve"> what clarifications </w:t>
      </w:r>
      <w:r w:rsidR="00164B35">
        <w:rPr>
          <w:lang w:val="en-CA"/>
        </w:rPr>
        <w:t>they</w:t>
      </w:r>
      <w:r w:rsidRPr="00FF3332">
        <w:rPr>
          <w:lang w:val="en-CA"/>
        </w:rPr>
        <w:t xml:space="preserve"> needed</w:t>
      </w:r>
      <w:r w:rsidR="00B23A21" w:rsidRPr="0056023E">
        <w:rPr>
          <w:lang w:val="en-CA"/>
        </w:rPr>
        <w:t>?</w:t>
      </w:r>
    </w:p>
    <w:p w14:paraId="73AB9B7F" w14:textId="16E26A72" w:rsidR="004A4CF0" w:rsidRPr="0056023E" w:rsidRDefault="00FF3332" w:rsidP="000B6E2B">
      <w:pPr>
        <w:pStyle w:val="Paragraphe"/>
        <w:numPr>
          <w:ilvl w:val="0"/>
          <w:numId w:val="22"/>
        </w:numPr>
        <w:spacing w:line="240" w:lineRule="auto"/>
        <w:rPr>
          <w:lang w:val="en-CA"/>
        </w:rPr>
      </w:pPr>
      <w:r w:rsidRPr="00FF3332">
        <w:rPr>
          <w:lang w:val="en-CA"/>
        </w:rPr>
        <w:t xml:space="preserve">Did the judge commit an error of law in her instructions by failing to </w:t>
      </w:r>
      <w:r>
        <w:rPr>
          <w:lang w:val="en-CA"/>
        </w:rPr>
        <w:t>mention</w:t>
      </w:r>
      <w:r w:rsidRPr="00FF3332">
        <w:rPr>
          <w:lang w:val="en-CA"/>
        </w:rPr>
        <w:t xml:space="preserve"> to the jury the absence of a motive explaining </w:t>
      </w:r>
      <w:r w:rsidR="00B617ED">
        <w:rPr>
          <w:lang w:val="en-CA"/>
        </w:rPr>
        <w:t>why the act was committed</w:t>
      </w:r>
      <w:r w:rsidRPr="00FF3332">
        <w:rPr>
          <w:lang w:val="en-CA"/>
        </w:rPr>
        <w:t>?</w:t>
      </w:r>
    </w:p>
    <w:p w14:paraId="29FEB754" w14:textId="6472B1C5" w:rsidR="00B23A21" w:rsidRPr="0056023E" w:rsidRDefault="00FF3332" w:rsidP="000B6E2B">
      <w:pPr>
        <w:pStyle w:val="Paragraphe"/>
        <w:numPr>
          <w:ilvl w:val="0"/>
          <w:numId w:val="22"/>
        </w:numPr>
        <w:spacing w:line="240" w:lineRule="auto"/>
        <w:rPr>
          <w:i/>
          <w:lang w:val="en-CA"/>
        </w:rPr>
      </w:pPr>
      <w:r w:rsidRPr="00FF3332">
        <w:rPr>
          <w:lang w:val="en-CA"/>
        </w:rPr>
        <w:t xml:space="preserve">Did the judge issue insufficient </w:t>
      </w:r>
      <w:r>
        <w:rPr>
          <w:lang w:val="en-CA"/>
        </w:rPr>
        <w:t>instructions</w:t>
      </w:r>
      <w:r w:rsidRPr="00FF3332">
        <w:rPr>
          <w:lang w:val="en-CA"/>
        </w:rPr>
        <w:t xml:space="preserve"> concerning the </w:t>
      </w:r>
      <w:r w:rsidR="00ED1622">
        <w:rPr>
          <w:lang w:val="en-CA"/>
        </w:rPr>
        <w:t>characterization</w:t>
      </w:r>
      <w:r w:rsidRPr="00FF3332">
        <w:rPr>
          <w:lang w:val="en-CA"/>
        </w:rPr>
        <w:t xml:space="preserve"> and use by the </w:t>
      </w:r>
      <w:r>
        <w:rPr>
          <w:lang w:val="en-CA"/>
        </w:rPr>
        <w:t>Crown</w:t>
      </w:r>
      <w:r w:rsidRPr="00FF3332">
        <w:rPr>
          <w:lang w:val="en-CA"/>
        </w:rPr>
        <w:t xml:space="preserve"> of the </w:t>
      </w:r>
      <w:r w:rsidR="006A0C65">
        <w:rPr>
          <w:lang w:val="en-CA"/>
        </w:rPr>
        <w:t>word</w:t>
      </w:r>
      <w:r w:rsidR="006A0C65" w:rsidRPr="00FF3332">
        <w:rPr>
          <w:lang w:val="en-CA"/>
        </w:rPr>
        <w:t xml:space="preserve">s </w:t>
      </w:r>
      <w:r w:rsidR="00BC10B9" w:rsidRPr="00B92A5F">
        <w:rPr>
          <w:rFonts w:cs="Arial"/>
          <w:szCs w:val="24"/>
          <w:lang w:val="en-CA"/>
        </w:rPr>
        <w:t>[</w:t>
      </w:r>
      <w:r w:rsidR="00AE12B6" w:rsidRPr="00B92A5F">
        <w:rPr>
          <w:rFonts w:cs="Arial"/>
          <w:smallCaps/>
          <w:szCs w:val="24"/>
          <w:lang w:val="en-CA"/>
        </w:rPr>
        <w:t>translation</w:t>
      </w:r>
      <w:r w:rsidR="00BC10B9" w:rsidRPr="00B92A5F">
        <w:rPr>
          <w:rFonts w:cs="Arial"/>
          <w:szCs w:val="24"/>
          <w:lang w:val="en-CA"/>
        </w:rPr>
        <w:t>]</w:t>
      </w:r>
      <w:r w:rsidR="00BC10B9">
        <w:rPr>
          <w:rFonts w:cs="Arial"/>
          <w:lang w:val="en-CA"/>
        </w:rPr>
        <w:t xml:space="preserve"> </w:t>
      </w:r>
      <w:r w:rsidRPr="00FF3332">
        <w:rPr>
          <w:lang w:val="en-CA"/>
        </w:rPr>
        <w:t>“</w:t>
      </w:r>
      <w:r w:rsidRPr="00BC10B9">
        <w:rPr>
          <w:i/>
          <w:iCs/>
          <w:lang w:val="en-CA"/>
        </w:rPr>
        <w:t>act in self-defen</w:t>
      </w:r>
      <w:r w:rsidR="00BC10B9" w:rsidRPr="00BC10B9">
        <w:rPr>
          <w:i/>
          <w:iCs/>
          <w:lang w:val="en-CA"/>
        </w:rPr>
        <w:t>c</w:t>
      </w:r>
      <w:r w:rsidRPr="00BC10B9">
        <w:rPr>
          <w:i/>
          <w:iCs/>
          <w:lang w:val="en-CA"/>
        </w:rPr>
        <w:t>e</w:t>
      </w:r>
      <w:r w:rsidRPr="00FF3332">
        <w:rPr>
          <w:lang w:val="en-CA"/>
        </w:rPr>
        <w:t>” during the cross-examination of the appellant as well as during the cross-examination of Dr. Louis Morissette</w:t>
      </w:r>
      <w:r w:rsidR="00B23A21" w:rsidRPr="0056023E">
        <w:rPr>
          <w:iCs/>
          <w:lang w:val="en-CA"/>
        </w:rPr>
        <w:t>?</w:t>
      </w:r>
    </w:p>
    <w:p w14:paraId="44EC2374" w14:textId="625409E7" w:rsidR="00151C5D" w:rsidRPr="0056023E" w:rsidRDefault="00F25B6F" w:rsidP="000B6E2B">
      <w:pPr>
        <w:pStyle w:val="Paragraphe"/>
        <w:numPr>
          <w:ilvl w:val="0"/>
          <w:numId w:val="0"/>
        </w:numPr>
        <w:spacing w:line="240" w:lineRule="auto"/>
        <w:ind w:left="360"/>
        <w:rPr>
          <w:rFonts w:cs="Arial"/>
          <w:b/>
          <w:i/>
          <w:lang w:val="en-CA"/>
        </w:rPr>
      </w:pPr>
      <w:r>
        <w:rPr>
          <w:rFonts w:cs="Arial"/>
          <w:b/>
          <w:i/>
          <w:lang w:val="en-CA"/>
        </w:rPr>
        <w:t>FIRST</w:t>
      </w:r>
      <w:r w:rsidR="00717BFB" w:rsidRPr="0056023E">
        <w:rPr>
          <w:rFonts w:cs="Arial"/>
          <w:b/>
          <w:i/>
          <w:lang w:val="en-CA"/>
        </w:rPr>
        <w:t xml:space="preserve"> </w:t>
      </w:r>
      <w:r w:rsidR="00ED1622">
        <w:rPr>
          <w:rFonts w:cs="Arial"/>
          <w:b/>
          <w:i/>
          <w:lang w:val="en-CA"/>
        </w:rPr>
        <w:t>GROUND</w:t>
      </w:r>
      <w:r w:rsidR="00717BFB" w:rsidRPr="0056023E">
        <w:rPr>
          <w:rFonts w:cs="Arial"/>
          <w:b/>
          <w:i/>
          <w:lang w:val="en-CA"/>
        </w:rPr>
        <w:t xml:space="preserve">: </w:t>
      </w:r>
      <w:r w:rsidR="00ED1622">
        <w:rPr>
          <w:rFonts w:cs="Arial"/>
          <w:b/>
          <w:i/>
          <w:lang w:val="en-CA"/>
        </w:rPr>
        <w:t>THE UNREASONABLE VERDICT</w:t>
      </w:r>
      <w:r w:rsidR="00D9526D" w:rsidRPr="0056023E">
        <w:rPr>
          <w:rFonts w:cs="Arial"/>
          <w:b/>
          <w:i/>
          <w:lang w:val="en-CA"/>
        </w:rPr>
        <w:t xml:space="preserve"> </w:t>
      </w:r>
    </w:p>
    <w:p w14:paraId="6C985AB2" w14:textId="6A7690E5" w:rsidR="00AA3303" w:rsidRPr="0056023E" w:rsidRDefault="00924C3C" w:rsidP="000B6E2B">
      <w:pPr>
        <w:pStyle w:val="Paragraphe"/>
        <w:spacing w:line="240" w:lineRule="auto"/>
        <w:rPr>
          <w:rFonts w:cs="Arial"/>
          <w:lang w:val="en-CA"/>
        </w:rPr>
      </w:pPr>
      <w:r w:rsidRPr="00924C3C">
        <w:rPr>
          <w:rFonts w:cs="Arial"/>
          <w:lang w:val="en-CA"/>
        </w:rPr>
        <w:t xml:space="preserve">Two psychiatrists testified about the </w:t>
      </w:r>
      <w:r>
        <w:rPr>
          <w:rFonts w:cs="Arial"/>
          <w:lang w:val="en-CA"/>
        </w:rPr>
        <w:t xml:space="preserve">appellant’s </w:t>
      </w:r>
      <w:r w:rsidRPr="00924C3C">
        <w:rPr>
          <w:rFonts w:cs="Arial"/>
          <w:lang w:val="en-CA"/>
        </w:rPr>
        <w:t>mental state at the time of the alleged events. Dr. Morissette diagnos</w:t>
      </w:r>
      <w:r w:rsidR="00F25B6F">
        <w:rPr>
          <w:rFonts w:cs="Arial"/>
          <w:lang w:val="en-CA"/>
        </w:rPr>
        <w:t>ed</w:t>
      </w:r>
      <w:r w:rsidRPr="00924C3C">
        <w:rPr>
          <w:rFonts w:cs="Arial"/>
          <w:lang w:val="en-CA"/>
        </w:rPr>
        <w:t xml:space="preserve"> </w:t>
      </w:r>
      <w:r>
        <w:rPr>
          <w:rFonts w:cs="Arial"/>
          <w:lang w:val="en-CA"/>
        </w:rPr>
        <w:t>“persecutory”</w:t>
      </w:r>
      <w:r w:rsidR="00164B35">
        <w:rPr>
          <w:rFonts w:cs="Arial"/>
          <w:lang w:val="en-CA"/>
        </w:rPr>
        <w:t xml:space="preserve"> </w:t>
      </w:r>
      <w:r w:rsidR="00C82F84">
        <w:rPr>
          <w:rFonts w:cs="Arial"/>
          <w:lang w:val="en-CA"/>
        </w:rPr>
        <w:t>type</w:t>
      </w:r>
      <w:r>
        <w:rPr>
          <w:rFonts w:cs="Arial"/>
          <w:lang w:val="en-CA"/>
        </w:rPr>
        <w:t xml:space="preserve"> </w:t>
      </w:r>
      <w:r w:rsidRPr="00924C3C">
        <w:rPr>
          <w:rFonts w:cs="Arial"/>
          <w:lang w:val="en-CA"/>
        </w:rPr>
        <w:t xml:space="preserve">delusional disorder, while Dr. Proulx </w:t>
      </w:r>
      <w:r w:rsidR="00C82F84">
        <w:rPr>
          <w:rFonts w:cs="Arial"/>
          <w:lang w:val="en-CA"/>
        </w:rPr>
        <w:t>instead</w:t>
      </w:r>
      <w:r w:rsidRPr="00924C3C">
        <w:rPr>
          <w:rFonts w:cs="Arial"/>
          <w:lang w:val="en-CA"/>
        </w:rPr>
        <w:t xml:space="preserve"> </w:t>
      </w:r>
      <w:r w:rsidR="00C82F84" w:rsidRPr="00924C3C">
        <w:rPr>
          <w:rFonts w:cs="Arial"/>
          <w:lang w:val="en-CA"/>
        </w:rPr>
        <w:t>diagnos</w:t>
      </w:r>
      <w:r w:rsidR="00C82F84">
        <w:rPr>
          <w:rFonts w:cs="Arial"/>
          <w:lang w:val="en-CA"/>
        </w:rPr>
        <w:t>ed</w:t>
      </w:r>
      <w:r w:rsidR="00C82F84" w:rsidRPr="00924C3C">
        <w:rPr>
          <w:rFonts w:cs="Arial"/>
          <w:lang w:val="en-CA"/>
        </w:rPr>
        <w:t xml:space="preserve"> </w:t>
      </w:r>
      <w:r w:rsidRPr="00924C3C">
        <w:rPr>
          <w:rFonts w:cs="Arial"/>
          <w:lang w:val="en-CA"/>
        </w:rPr>
        <w:t xml:space="preserve">paranoid schizophrenia. The </w:t>
      </w:r>
      <w:r>
        <w:rPr>
          <w:rFonts w:cs="Arial"/>
          <w:lang w:val="en-CA"/>
        </w:rPr>
        <w:t>primary</w:t>
      </w:r>
      <w:r w:rsidRPr="00924C3C">
        <w:rPr>
          <w:rFonts w:cs="Arial"/>
          <w:lang w:val="en-CA"/>
        </w:rPr>
        <w:t xml:space="preserve"> and central symptom in both cases is persecutory delusions. The </w:t>
      </w:r>
      <w:r w:rsidR="0043548D">
        <w:rPr>
          <w:rFonts w:cs="Arial"/>
          <w:lang w:val="en-CA"/>
        </w:rPr>
        <w:t>Crown</w:t>
      </w:r>
      <w:r w:rsidRPr="00924C3C">
        <w:rPr>
          <w:rFonts w:cs="Arial"/>
          <w:lang w:val="en-CA"/>
        </w:rPr>
        <w:t xml:space="preserve"> did not call any expert</w:t>
      </w:r>
      <w:r>
        <w:rPr>
          <w:rFonts w:cs="Arial"/>
          <w:lang w:val="en-CA"/>
        </w:rPr>
        <w:t xml:space="preserve"> witness</w:t>
      </w:r>
      <w:r w:rsidR="001F0518" w:rsidRPr="0056023E">
        <w:rPr>
          <w:rFonts w:cs="Arial"/>
          <w:lang w:val="en-CA"/>
        </w:rPr>
        <w:t>.</w:t>
      </w:r>
    </w:p>
    <w:p w14:paraId="2BDC611E" w14:textId="789400B7" w:rsidR="00AA3303" w:rsidRPr="0056023E" w:rsidRDefault="00924C3C" w:rsidP="000B6E2B">
      <w:pPr>
        <w:pStyle w:val="Paragraphe"/>
        <w:spacing w:line="240" w:lineRule="auto"/>
        <w:rPr>
          <w:rFonts w:cs="Arial"/>
          <w:lang w:val="en-CA"/>
        </w:rPr>
      </w:pPr>
      <w:r>
        <w:rPr>
          <w:rFonts w:cs="Arial"/>
          <w:lang w:val="en-CA"/>
        </w:rPr>
        <w:t xml:space="preserve">Both </w:t>
      </w:r>
      <w:r w:rsidRPr="00924C3C">
        <w:rPr>
          <w:rFonts w:cs="Arial"/>
          <w:lang w:val="en-CA"/>
        </w:rPr>
        <w:t>experts essentially dr</w:t>
      </w:r>
      <w:r>
        <w:rPr>
          <w:rFonts w:cs="Arial"/>
          <w:lang w:val="en-CA"/>
        </w:rPr>
        <w:t>e</w:t>
      </w:r>
      <w:r w:rsidRPr="00924C3C">
        <w:rPr>
          <w:rFonts w:cs="Arial"/>
          <w:lang w:val="en-CA"/>
        </w:rPr>
        <w:t>w the same conclusion regarding the appellant</w:t>
      </w:r>
      <w:r w:rsidR="00F25B6F">
        <w:rPr>
          <w:rFonts w:cs="Arial"/>
          <w:lang w:val="en-CA"/>
        </w:rPr>
        <w:t>’</w:t>
      </w:r>
      <w:r w:rsidRPr="00924C3C">
        <w:rPr>
          <w:rFonts w:cs="Arial"/>
          <w:lang w:val="en-CA"/>
        </w:rPr>
        <w:t xml:space="preserve">s criminal responsibility: at the time of the events, the appellant had a serious mental disorder </w:t>
      </w:r>
      <w:r w:rsidR="00615F3C">
        <w:rPr>
          <w:rFonts w:cs="Arial"/>
          <w:lang w:val="en-CA"/>
        </w:rPr>
        <w:t>that</w:t>
      </w:r>
      <w:r w:rsidRPr="00924C3C">
        <w:rPr>
          <w:rFonts w:cs="Arial"/>
          <w:lang w:val="en-CA"/>
        </w:rPr>
        <w:t xml:space="preserve"> prevented him from distinguishing right from wrong and from knowing that the act</w:t>
      </w:r>
      <w:r>
        <w:rPr>
          <w:rFonts w:cs="Arial"/>
          <w:lang w:val="en-CA"/>
        </w:rPr>
        <w:t>s committed</w:t>
      </w:r>
      <w:r w:rsidRPr="00924C3C">
        <w:rPr>
          <w:rFonts w:cs="Arial"/>
          <w:lang w:val="en-CA"/>
        </w:rPr>
        <w:t xml:space="preserve"> were </w:t>
      </w:r>
      <w:r>
        <w:rPr>
          <w:rFonts w:cs="Arial"/>
          <w:lang w:val="en-CA"/>
        </w:rPr>
        <w:t>wrong</w:t>
      </w:r>
      <w:r w:rsidR="00AA3303" w:rsidRPr="0056023E">
        <w:rPr>
          <w:rFonts w:cs="Arial"/>
          <w:lang w:val="en-CA"/>
        </w:rPr>
        <w:t>.</w:t>
      </w:r>
    </w:p>
    <w:p w14:paraId="13736AAE" w14:textId="62DFE7AB" w:rsidR="00151C5D" w:rsidRPr="0056023E" w:rsidRDefault="00924C3C" w:rsidP="000B6E2B">
      <w:pPr>
        <w:pStyle w:val="Paragraphe"/>
        <w:spacing w:line="240" w:lineRule="auto"/>
        <w:rPr>
          <w:lang w:val="en-CA"/>
        </w:rPr>
      </w:pPr>
      <w:r w:rsidRPr="00924C3C">
        <w:rPr>
          <w:rFonts w:cs="Arial"/>
          <w:lang w:val="en-CA"/>
        </w:rPr>
        <w:t xml:space="preserve">According to the appellant, this evidence was </w:t>
      </w:r>
      <w:r w:rsidR="00C82F84">
        <w:rPr>
          <w:rFonts w:cs="Arial"/>
          <w:lang w:val="en-CA"/>
        </w:rPr>
        <w:t>un</w:t>
      </w:r>
      <w:r w:rsidRPr="00924C3C">
        <w:rPr>
          <w:rFonts w:cs="Arial"/>
          <w:lang w:val="en-CA"/>
        </w:rPr>
        <w:t>contradicted</w:t>
      </w:r>
      <w:r w:rsidR="00615F3C">
        <w:rPr>
          <w:rFonts w:cs="Arial"/>
          <w:lang w:val="en-CA"/>
        </w:rPr>
        <w:t>,</w:t>
      </w:r>
      <w:r w:rsidRPr="00924C3C">
        <w:rPr>
          <w:rFonts w:cs="Arial"/>
          <w:lang w:val="en-CA"/>
        </w:rPr>
        <w:t xml:space="preserve"> and there was no reasonable or rational basis </w:t>
      </w:r>
      <w:r w:rsidR="00C62419">
        <w:rPr>
          <w:rFonts w:cs="Arial"/>
          <w:lang w:val="en-CA"/>
        </w:rPr>
        <w:t>for</w:t>
      </w:r>
      <w:r w:rsidRPr="00924C3C">
        <w:rPr>
          <w:rFonts w:cs="Arial"/>
          <w:lang w:val="en-CA"/>
        </w:rPr>
        <w:t xml:space="preserve"> the jury to reject the </w:t>
      </w:r>
      <w:r w:rsidR="00164B35">
        <w:rPr>
          <w:rFonts w:cs="Arial"/>
          <w:lang w:val="en-CA"/>
        </w:rPr>
        <w:t xml:space="preserve">experts’ </w:t>
      </w:r>
      <w:r w:rsidRPr="00924C3C">
        <w:rPr>
          <w:rFonts w:cs="Arial"/>
          <w:lang w:val="en-CA"/>
        </w:rPr>
        <w:t xml:space="preserve">conclusions. </w:t>
      </w:r>
      <w:r w:rsidR="00C62419">
        <w:rPr>
          <w:rFonts w:cs="Arial"/>
          <w:lang w:val="en-CA"/>
        </w:rPr>
        <w:t>He relie</w:t>
      </w:r>
      <w:r w:rsidR="00615F3C">
        <w:rPr>
          <w:rFonts w:cs="Arial"/>
          <w:lang w:val="en-CA"/>
        </w:rPr>
        <w:t>s</w:t>
      </w:r>
      <w:r w:rsidR="00C62419">
        <w:rPr>
          <w:rFonts w:cs="Arial"/>
          <w:lang w:val="en-CA"/>
        </w:rPr>
        <w:t xml:space="preserve"> on</w:t>
      </w:r>
      <w:r w:rsidRPr="00924C3C">
        <w:rPr>
          <w:rFonts w:cs="Arial"/>
          <w:lang w:val="en-CA"/>
        </w:rPr>
        <w:t xml:space="preserve"> </w:t>
      </w:r>
      <w:r w:rsidR="00151C5D" w:rsidRPr="0056023E">
        <w:rPr>
          <w:i/>
          <w:lang w:val="en-CA"/>
        </w:rPr>
        <w:t>Molodwic</w:t>
      </w:r>
      <w:r w:rsidR="00151C5D" w:rsidRPr="0056023E">
        <w:rPr>
          <w:rStyle w:val="Appelnotedebasdep"/>
          <w:rFonts w:cs="Arial"/>
          <w:lang w:val="en-CA"/>
        </w:rPr>
        <w:footnoteReference w:id="5"/>
      </w:r>
      <w:r w:rsidR="00151C5D" w:rsidRPr="0056023E">
        <w:rPr>
          <w:i/>
          <w:lang w:val="en-CA"/>
        </w:rPr>
        <w:t xml:space="preserve"> </w:t>
      </w:r>
      <w:r w:rsidR="00C62419">
        <w:rPr>
          <w:lang w:val="en-CA"/>
        </w:rPr>
        <w:t>and</w:t>
      </w:r>
      <w:r w:rsidR="00151C5D" w:rsidRPr="0056023E">
        <w:rPr>
          <w:lang w:val="en-CA"/>
        </w:rPr>
        <w:t xml:space="preserve"> </w:t>
      </w:r>
      <w:r w:rsidR="00151C5D" w:rsidRPr="0056023E">
        <w:rPr>
          <w:i/>
          <w:lang w:val="en-CA"/>
        </w:rPr>
        <w:t>Oommen</w:t>
      </w:r>
      <w:r w:rsidR="00151C5D" w:rsidRPr="0056023E">
        <w:rPr>
          <w:rStyle w:val="Appelnotedebasdep"/>
          <w:rFonts w:cs="Arial"/>
          <w:lang w:val="en-CA"/>
        </w:rPr>
        <w:footnoteReference w:id="6"/>
      </w:r>
      <w:r w:rsidR="00151C5D" w:rsidRPr="0056023E">
        <w:rPr>
          <w:lang w:val="en-CA"/>
        </w:rPr>
        <w:t xml:space="preserve"> </w:t>
      </w:r>
      <w:r w:rsidR="000E4B12">
        <w:rPr>
          <w:lang w:val="en-CA"/>
        </w:rPr>
        <w:t>in</w:t>
      </w:r>
      <w:r w:rsidR="000E4B12" w:rsidRPr="00C62419">
        <w:rPr>
          <w:lang w:val="en-CA"/>
        </w:rPr>
        <w:t xml:space="preserve"> </w:t>
      </w:r>
      <w:r w:rsidR="00C62419" w:rsidRPr="00C62419">
        <w:rPr>
          <w:lang w:val="en-CA"/>
        </w:rPr>
        <w:t xml:space="preserve">support </w:t>
      </w:r>
      <w:r w:rsidR="000E4B12">
        <w:rPr>
          <w:lang w:val="en-CA"/>
        </w:rPr>
        <w:t xml:space="preserve">of the </w:t>
      </w:r>
      <w:r w:rsidR="00615F3C">
        <w:rPr>
          <w:lang w:val="en-CA"/>
        </w:rPr>
        <w:t>argument</w:t>
      </w:r>
      <w:r w:rsidR="00C62419" w:rsidRPr="00C62419">
        <w:rPr>
          <w:lang w:val="en-CA"/>
        </w:rPr>
        <w:t xml:space="preserve"> that the jury</w:t>
      </w:r>
      <w:r w:rsidR="00615F3C">
        <w:rPr>
          <w:lang w:val="en-CA"/>
        </w:rPr>
        <w:t>’</w:t>
      </w:r>
      <w:r w:rsidR="00C62419" w:rsidRPr="00C62419">
        <w:rPr>
          <w:lang w:val="en-CA"/>
        </w:rPr>
        <w:t xml:space="preserve">s verdict was unreasonable. He </w:t>
      </w:r>
      <w:r w:rsidR="00C62419">
        <w:rPr>
          <w:lang w:val="en-CA"/>
        </w:rPr>
        <w:t>asks</w:t>
      </w:r>
      <w:r w:rsidR="00C62419" w:rsidRPr="00C62419">
        <w:rPr>
          <w:lang w:val="en-CA"/>
        </w:rPr>
        <w:t xml:space="preserve"> the Court to </w:t>
      </w:r>
      <w:r w:rsidR="00C62419">
        <w:rPr>
          <w:lang w:val="en-CA"/>
        </w:rPr>
        <w:t>set aside</w:t>
      </w:r>
      <w:r w:rsidR="00C62419" w:rsidRPr="00C62419">
        <w:rPr>
          <w:lang w:val="en-CA"/>
        </w:rPr>
        <w:t xml:space="preserve"> the </w:t>
      </w:r>
      <w:r w:rsidR="00615F3C">
        <w:rPr>
          <w:lang w:val="en-CA"/>
        </w:rPr>
        <w:t>conviction for</w:t>
      </w:r>
      <w:r w:rsidR="00C62419" w:rsidRPr="00C62419">
        <w:rPr>
          <w:lang w:val="en-CA"/>
        </w:rPr>
        <w:t xml:space="preserve"> first degree murder and to substitute a verdict of not criminal</w:t>
      </w:r>
      <w:r w:rsidR="00C82F84">
        <w:rPr>
          <w:lang w:val="en-CA"/>
        </w:rPr>
        <w:t>ly</w:t>
      </w:r>
      <w:r w:rsidR="00C62419" w:rsidRPr="00C62419">
        <w:rPr>
          <w:lang w:val="en-CA"/>
        </w:rPr>
        <w:t xml:space="preserve"> </w:t>
      </w:r>
      <w:r w:rsidR="00C82F84" w:rsidRPr="00C62419">
        <w:rPr>
          <w:lang w:val="en-CA"/>
        </w:rPr>
        <w:t>responsib</w:t>
      </w:r>
      <w:r w:rsidR="00C82F84">
        <w:rPr>
          <w:lang w:val="en-CA"/>
        </w:rPr>
        <w:t>le</w:t>
      </w:r>
      <w:r w:rsidR="00C82F84" w:rsidRPr="00C62419">
        <w:rPr>
          <w:lang w:val="en-CA"/>
        </w:rPr>
        <w:t xml:space="preserve"> </w:t>
      </w:r>
      <w:r w:rsidR="0016540E">
        <w:rPr>
          <w:lang w:val="en-CA"/>
        </w:rPr>
        <w:t>on account of</w:t>
      </w:r>
      <w:r w:rsidR="00C62419" w:rsidRPr="00C62419">
        <w:rPr>
          <w:lang w:val="en-CA"/>
        </w:rPr>
        <w:t xml:space="preserve"> mental disorder.</w:t>
      </w:r>
    </w:p>
    <w:p w14:paraId="6EADCCAD" w14:textId="65C28747" w:rsidR="00151C5D" w:rsidRPr="00C62419" w:rsidRDefault="0016540E" w:rsidP="000B6E2B">
      <w:pPr>
        <w:pStyle w:val="Paragraphe"/>
        <w:spacing w:line="240" w:lineRule="auto"/>
        <w:rPr>
          <w:rFonts w:cs="Arial"/>
          <w:lang w:val="en-CA"/>
        </w:rPr>
      </w:pPr>
      <w:r>
        <w:rPr>
          <w:rFonts w:cs="Arial"/>
          <w:lang w:val="en-CA"/>
        </w:rPr>
        <w:t>T</w:t>
      </w:r>
      <w:r w:rsidR="00C62419" w:rsidRPr="00C62419">
        <w:rPr>
          <w:rFonts w:cs="Arial"/>
          <w:lang w:val="en-CA"/>
        </w:rPr>
        <w:t xml:space="preserve">he </w:t>
      </w:r>
      <w:r w:rsidR="00C62419">
        <w:rPr>
          <w:rFonts w:cs="Arial"/>
          <w:lang w:val="en-CA"/>
        </w:rPr>
        <w:t xml:space="preserve">Crown </w:t>
      </w:r>
      <w:r w:rsidR="005956BC">
        <w:rPr>
          <w:rFonts w:cs="Arial"/>
          <w:lang w:val="en-CA"/>
        </w:rPr>
        <w:t>is of the view</w:t>
      </w:r>
      <w:r w:rsidR="00C62419" w:rsidRPr="00C62419">
        <w:rPr>
          <w:rFonts w:cs="Arial"/>
          <w:lang w:val="en-CA"/>
        </w:rPr>
        <w:t xml:space="preserve"> that the verdict is reasonable. Assessing the credibility of witnesses is a question of fact. A jury can completely </w:t>
      </w:r>
      <w:r w:rsidR="004F1BD9">
        <w:rPr>
          <w:rFonts w:cs="Arial"/>
          <w:lang w:val="en-CA"/>
        </w:rPr>
        <w:t>disregard</w:t>
      </w:r>
      <w:r w:rsidR="00C62419" w:rsidRPr="00C62419">
        <w:rPr>
          <w:rFonts w:cs="Arial"/>
          <w:lang w:val="en-CA"/>
        </w:rPr>
        <w:t xml:space="preserve"> expert testimony, even if it is </w:t>
      </w:r>
      <w:r w:rsidR="00ED7C55">
        <w:rPr>
          <w:rFonts w:cs="Arial"/>
          <w:lang w:val="en-CA"/>
        </w:rPr>
        <w:t>un</w:t>
      </w:r>
      <w:r w:rsidR="00C62419" w:rsidRPr="00C62419">
        <w:rPr>
          <w:rFonts w:cs="Arial"/>
          <w:lang w:val="en-CA"/>
        </w:rPr>
        <w:t xml:space="preserve">contradicted. According to </w:t>
      </w:r>
      <w:r w:rsidR="004F1BD9">
        <w:rPr>
          <w:rFonts w:cs="Arial"/>
          <w:lang w:val="en-CA"/>
        </w:rPr>
        <w:t>the Crown</w:t>
      </w:r>
      <w:r w:rsidR="00C62419" w:rsidRPr="00C62419">
        <w:rPr>
          <w:rFonts w:cs="Arial"/>
          <w:lang w:val="en-CA"/>
        </w:rPr>
        <w:t xml:space="preserve">, there is evidence, </w:t>
      </w:r>
      <w:r w:rsidR="00ED7C55">
        <w:rPr>
          <w:rFonts w:cs="Arial"/>
          <w:lang w:val="en-CA"/>
        </w:rPr>
        <w:t>namely</w:t>
      </w:r>
      <w:r w:rsidR="00C62419" w:rsidRPr="00C62419">
        <w:rPr>
          <w:rFonts w:cs="Arial"/>
          <w:lang w:val="en-CA"/>
        </w:rPr>
        <w:t xml:space="preserve"> the </w:t>
      </w:r>
      <w:r w:rsidR="004F1BD9">
        <w:rPr>
          <w:rFonts w:cs="Arial"/>
          <w:lang w:val="en-CA"/>
        </w:rPr>
        <w:t>appellant’s conduct</w:t>
      </w:r>
      <w:r w:rsidR="00C62419" w:rsidRPr="00C62419">
        <w:rPr>
          <w:rFonts w:cs="Arial"/>
          <w:lang w:val="en-CA"/>
        </w:rPr>
        <w:t xml:space="preserve"> before and after the </w:t>
      </w:r>
      <w:r w:rsidR="004F1BD9">
        <w:rPr>
          <w:rFonts w:cs="Arial"/>
          <w:lang w:val="en-CA"/>
        </w:rPr>
        <w:t>events</w:t>
      </w:r>
      <w:r w:rsidR="00C62419" w:rsidRPr="00C62419">
        <w:rPr>
          <w:rFonts w:cs="Arial"/>
          <w:lang w:val="en-CA"/>
        </w:rPr>
        <w:t xml:space="preserve">, which led the jury to </w:t>
      </w:r>
      <w:r w:rsidR="006479CA">
        <w:rPr>
          <w:rFonts w:cs="Arial"/>
          <w:lang w:val="en-CA"/>
        </w:rPr>
        <w:t>reject</w:t>
      </w:r>
      <w:r w:rsidR="00C62419" w:rsidRPr="00C62419">
        <w:rPr>
          <w:rFonts w:cs="Arial"/>
          <w:lang w:val="en-CA"/>
        </w:rPr>
        <w:t xml:space="preserve"> the </w:t>
      </w:r>
      <w:r w:rsidR="004F1BD9">
        <w:rPr>
          <w:rFonts w:cs="Arial"/>
          <w:lang w:val="en-CA"/>
        </w:rPr>
        <w:t xml:space="preserve">expert </w:t>
      </w:r>
      <w:r w:rsidR="00C62419" w:rsidRPr="00C62419">
        <w:rPr>
          <w:rFonts w:cs="Arial"/>
          <w:lang w:val="en-CA"/>
        </w:rPr>
        <w:t xml:space="preserve">testimony and subsequently the </w:t>
      </w:r>
      <w:r w:rsidR="00AD661B">
        <w:rPr>
          <w:rFonts w:cs="Arial"/>
          <w:lang w:val="en-CA"/>
        </w:rPr>
        <w:t xml:space="preserve">defence of </w:t>
      </w:r>
      <w:r w:rsidR="00C62419" w:rsidRPr="00C62419">
        <w:rPr>
          <w:rFonts w:cs="Arial"/>
          <w:lang w:val="en-CA"/>
        </w:rPr>
        <w:t>mental disorder</w:t>
      </w:r>
      <w:r w:rsidR="004F1BD9">
        <w:rPr>
          <w:rFonts w:cs="Arial"/>
          <w:lang w:val="en-CA"/>
        </w:rPr>
        <w:t xml:space="preserve"> </w:t>
      </w:r>
      <w:r w:rsidR="00C62419" w:rsidRPr="00C62419">
        <w:rPr>
          <w:rFonts w:cs="Arial"/>
          <w:lang w:val="en-CA"/>
        </w:rPr>
        <w:t>and find the appellant guilty of first degree</w:t>
      </w:r>
      <w:r>
        <w:rPr>
          <w:rFonts w:cs="Arial"/>
          <w:lang w:val="en-CA"/>
        </w:rPr>
        <w:t xml:space="preserve"> murder</w:t>
      </w:r>
      <w:r w:rsidR="00C62419" w:rsidRPr="00C62419">
        <w:rPr>
          <w:rFonts w:cs="Arial"/>
          <w:lang w:val="en-CA"/>
        </w:rPr>
        <w:t>.</w:t>
      </w:r>
    </w:p>
    <w:p w14:paraId="3EC5F54C" w14:textId="495F6207" w:rsidR="00C63FB5" w:rsidRPr="00ED7C55" w:rsidRDefault="001A6DE2" w:rsidP="000B6E2B">
      <w:pPr>
        <w:pStyle w:val="Paragraphe"/>
        <w:spacing w:line="240" w:lineRule="auto"/>
        <w:rPr>
          <w:lang w:val="en-CA"/>
        </w:rPr>
      </w:pPr>
      <w:r>
        <w:rPr>
          <w:lang w:val="en-CA"/>
        </w:rPr>
        <w:lastRenderedPageBreak/>
        <w:t xml:space="preserve">The Court must </w:t>
      </w:r>
      <w:r w:rsidRPr="00ED7C55">
        <w:rPr>
          <w:lang w:val="en-CA"/>
        </w:rPr>
        <w:t>determine</w:t>
      </w:r>
      <w:r w:rsidR="00C63FB5" w:rsidRPr="00ED7C55">
        <w:rPr>
          <w:lang w:val="en-CA"/>
        </w:rPr>
        <w:t xml:space="preserve"> </w:t>
      </w:r>
      <w:r w:rsidRPr="0066627F">
        <w:rPr>
          <w:lang w:val="en-CA"/>
        </w:rPr>
        <w:t>“whether the verdict is one that a properly instructed jury acting judicially, could reasonably have rendered”.</w:t>
      </w:r>
      <w:r w:rsidR="00451BE2" w:rsidRPr="00ED7C55">
        <w:rPr>
          <w:rStyle w:val="Appelnotedebasdep"/>
          <w:lang w:val="en-CA"/>
        </w:rPr>
        <w:footnoteReference w:id="7"/>
      </w:r>
      <w:r w:rsidR="00C63FB5" w:rsidRPr="00ED7C55">
        <w:rPr>
          <w:lang w:val="en-CA"/>
        </w:rPr>
        <w:t xml:space="preserve"> </w:t>
      </w:r>
      <w:r w:rsidRPr="00ED7C55">
        <w:rPr>
          <w:lang w:val="en-CA"/>
        </w:rPr>
        <w:t xml:space="preserve">For this purpose, </w:t>
      </w:r>
      <w:r w:rsidRPr="0066627F">
        <w:rPr>
          <w:lang w:val="en-CA"/>
        </w:rPr>
        <w:t>“</w:t>
      </w:r>
      <w:r w:rsidRPr="0066627F">
        <w:rPr>
          <w:rFonts w:cs="Arial"/>
          <w:lang w:val="en-CA"/>
        </w:rPr>
        <w:t xml:space="preserve">if it is to overturn the verdict [of the jury], </w:t>
      </w:r>
      <w:r w:rsidR="00E81B13" w:rsidRPr="0066627F">
        <w:rPr>
          <w:rFonts w:cs="Arial"/>
          <w:lang w:val="en-CA"/>
        </w:rPr>
        <w:t xml:space="preserve">[the Court] </w:t>
      </w:r>
      <w:r w:rsidRPr="0066627F">
        <w:rPr>
          <w:rFonts w:cs="Arial"/>
          <w:lang w:val="en-CA"/>
        </w:rPr>
        <w:t>must articulate the basis upon which it concludes that the verdict is inconsistent with the requirements of a judicial appreciation of the evidence</w:t>
      </w:r>
      <w:r w:rsidR="00E81B13" w:rsidRPr="0066627F">
        <w:rPr>
          <w:rFonts w:cs="Arial"/>
          <w:lang w:val="en-CA"/>
        </w:rPr>
        <w:t>”.</w:t>
      </w:r>
      <w:r w:rsidR="00451BE2" w:rsidRPr="00ED7C55">
        <w:rPr>
          <w:rStyle w:val="Appelnotedebasdep"/>
          <w:rFonts w:cs="Arial"/>
          <w:lang w:val="en-CA"/>
        </w:rPr>
        <w:footnoteReference w:id="8"/>
      </w:r>
    </w:p>
    <w:p w14:paraId="0547A7F4" w14:textId="23A9B8CE" w:rsidR="009B1D52" w:rsidRPr="00C62419" w:rsidRDefault="007E413D" w:rsidP="000B6E2B">
      <w:pPr>
        <w:pStyle w:val="Paragraphe"/>
        <w:spacing w:line="240" w:lineRule="auto"/>
        <w:rPr>
          <w:rFonts w:cs="Arial"/>
          <w:lang w:val="en-CA"/>
        </w:rPr>
      </w:pPr>
      <w:r w:rsidRPr="007E413D">
        <w:rPr>
          <w:rFonts w:cs="Arial"/>
          <w:lang w:val="en-CA"/>
        </w:rPr>
        <w:t xml:space="preserve">Before </w:t>
      </w:r>
      <w:r>
        <w:rPr>
          <w:rFonts w:cs="Arial"/>
          <w:lang w:val="en-CA"/>
        </w:rPr>
        <w:t>examining</w:t>
      </w:r>
      <w:r w:rsidRPr="007E413D">
        <w:rPr>
          <w:rFonts w:cs="Arial"/>
          <w:lang w:val="en-CA"/>
        </w:rPr>
        <w:t xml:space="preserve"> this ground of appeal, two clarifications are necessary</w:t>
      </w:r>
      <w:r w:rsidR="009B1D52" w:rsidRPr="00C62419">
        <w:rPr>
          <w:rFonts w:cs="Arial"/>
          <w:lang w:val="en-CA"/>
        </w:rPr>
        <w:t>.</w:t>
      </w:r>
    </w:p>
    <w:p w14:paraId="2902EDC5" w14:textId="1FBAE83F" w:rsidR="009B1D52" w:rsidRPr="00C62419" w:rsidRDefault="007E413D" w:rsidP="000B6E2B">
      <w:pPr>
        <w:pStyle w:val="Paragraphe"/>
        <w:spacing w:line="240" w:lineRule="auto"/>
        <w:rPr>
          <w:rFonts w:cs="Arial"/>
          <w:lang w:val="en-CA"/>
        </w:rPr>
      </w:pPr>
      <w:r w:rsidRPr="007E413D">
        <w:rPr>
          <w:rFonts w:cs="Arial"/>
          <w:lang w:val="en-CA"/>
        </w:rPr>
        <w:t xml:space="preserve">First, it is important to reiterate that it was not disputed that the </w:t>
      </w:r>
      <w:r>
        <w:rPr>
          <w:rFonts w:cs="Arial"/>
          <w:lang w:val="en-CA"/>
        </w:rPr>
        <w:t>a</w:t>
      </w:r>
      <w:r w:rsidRPr="007E413D">
        <w:rPr>
          <w:rFonts w:cs="Arial"/>
          <w:lang w:val="en-CA"/>
        </w:rPr>
        <w:t xml:space="preserve">ppellant </w:t>
      </w:r>
      <w:r w:rsidR="008F54FF">
        <w:rPr>
          <w:rFonts w:cs="Arial"/>
          <w:lang w:val="en-CA"/>
        </w:rPr>
        <w:t>had</w:t>
      </w:r>
      <w:r w:rsidRPr="007E413D">
        <w:rPr>
          <w:rFonts w:cs="Arial"/>
          <w:lang w:val="en-CA"/>
        </w:rPr>
        <w:t xml:space="preserve"> a mental disorder</w:t>
      </w:r>
      <w:r w:rsidR="001F0518" w:rsidRPr="00C62419">
        <w:rPr>
          <w:rFonts w:cs="Arial"/>
          <w:lang w:val="en-CA"/>
        </w:rPr>
        <w:t>.</w:t>
      </w:r>
    </w:p>
    <w:p w14:paraId="7019FF65" w14:textId="1E1AFC85" w:rsidR="001B118C" w:rsidRPr="00C62419" w:rsidRDefault="007E413D" w:rsidP="000B6E2B">
      <w:pPr>
        <w:pStyle w:val="Paragraphe"/>
        <w:spacing w:line="240" w:lineRule="auto"/>
        <w:rPr>
          <w:rFonts w:cs="Arial"/>
          <w:lang w:val="en-CA"/>
        </w:rPr>
      </w:pPr>
      <w:r w:rsidRPr="007E413D">
        <w:rPr>
          <w:rFonts w:cs="Arial"/>
          <w:lang w:val="en-CA"/>
        </w:rPr>
        <w:t xml:space="preserve">Second, the issue at trial was whether the </w:t>
      </w:r>
      <w:r w:rsidR="008F54FF">
        <w:rPr>
          <w:rFonts w:cs="Arial"/>
          <w:lang w:val="en-CA"/>
        </w:rPr>
        <w:t xml:space="preserve">appellant’s </w:t>
      </w:r>
      <w:r w:rsidRPr="007E413D">
        <w:rPr>
          <w:rFonts w:cs="Arial"/>
          <w:lang w:val="en-CA"/>
        </w:rPr>
        <w:t>mental disorder prevented him from distinguishing right from wrong and knowing that the act</w:t>
      </w:r>
      <w:r>
        <w:rPr>
          <w:rFonts w:cs="Arial"/>
          <w:lang w:val="en-CA"/>
        </w:rPr>
        <w:t>s committed</w:t>
      </w:r>
      <w:r w:rsidRPr="007E413D">
        <w:rPr>
          <w:rFonts w:cs="Arial"/>
          <w:lang w:val="en-CA"/>
        </w:rPr>
        <w:t xml:space="preserve"> were wrong.</w:t>
      </w:r>
    </w:p>
    <w:p w14:paraId="1562537F" w14:textId="48BA9EDD" w:rsidR="009B1D52" w:rsidRPr="00C62419" w:rsidRDefault="007E413D" w:rsidP="000B6E2B">
      <w:pPr>
        <w:pStyle w:val="Paragraphe"/>
        <w:spacing w:line="240" w:lineRule="auto"/>
        <w:rPr>
          <w:rFonts w:cs="Arial"/>
          <w:lang w:val="en-CA"/>
        </w:rPr>
      </w:pPr>
      <w:r w:rsidRPr="007E413D">
        <w:rPr>
          <w:rFonts w:cs="Arial"/>
          <w:lang w:val="en-CA"/>
        </w:rPr>
        <w:t xml:space="preserve">In this regard, the </w:t>
      </w:r>
      <w:r>
        <w:rPr>
          <w:rFonts w:cs="Arial"/>
          <w:lang w:val="en-CA"/>
        </w:rPr>
        <w:t xml:space="preserve">Crown’s </w:t>
      </w:r>
      <w:r w:rsidRPr="007E413D">
        <w:rPr>
          <w:rFonts w:cs="Arial"/>
          <w:lang w:val="en-CA"/>
        </w:rPr>
        <w:t xml:space="preserve">position, which is also the subject of separate grounds of appeal by the appellant, </w:t>
      </w:r>
      <w:r>
        <w:rPr>
          <w:rFonts w:cs="Arial"/>
          <w:lang w:val="en-CA"/>
        </w:rPr>
        <w:t xml:space="preserve">was </w:t>
      </w:r>
      <w:r w:rsidRPr="007E413D">
        <w:rPr>
          <w:rFonts w:cs="Arial"/>
          <w:lang w:val="en-CA"/>
        </w:rPr>
        <w:t>mainly that the appellant</w:t>
      </w:r>
      <w:r w:rsidR="00422BB2">
        <w:rPr>
          <w:rFonts w:cs="Arial"/>
          <w:lang w:val="en-CA"/>
        </w:rPr>
        <w:t>’</w:t>
      </w:r>
      <w:r w:rsidRPr="007E413D">
        <w:rPr>
          <w:rFonts w:cs="Arial"/>
          <w:lang w:val="en-CA"/>
        </w:rPr>
        <w:t>s mental disorder</w:t>
      </w:r>
      <w:r w:rsidR="00720527">
        <w:rPr>
          <w:rFonts w:cs="Arial"/>
          <w:lang w:val="en-CA"/>
        </w:rPr>
        <w:t xml:space="preserve"> was in its </w:t>
      </w:r>
      <w:r w:rsidR="002A2A04">
        <w:rPr>
          <w:rFonts w:cs="Arial"/>
          <w:lang w:val="en-CA"/>
        </w:rPr>
        <w:t>early stages</w:t>
      </w:r>
      <w:r w:rsidRPr="007E413D">
        <w:rPr>
          <w:rFonts w:cs="Arial"/>
          <w:lang w:val="en-CA"/>
        </w:rPr>
        <w:t xml:space="preserve">, </w:t>
      </w:r>
      <w:r w:rsidR="00C21CCC">
        <w:rPr>
          <w:rFonts w:cs="Arial"/>
          <w:lang w:val="en-CA"/>
        </w:rPr>
        <w:t xml:space="preserve">that </w:t>
      </w:r>
      <w:r w:rsidRPr="007E413D">
        <w:rPr>
          <w:rFonts w:cs="Arial"/>
          <w:lang w:val="en-CA"/>
        </w:rPr>
        <w:t>the symptoms were of low intensity</w:t>
      </w:r>
      <w:r w:rsidR="008C352D">
        <w:rPr>
          <w:rFonts w:cs="Arial"/>
          <w:lang w:val="en-CA"/>
        </w:rPr>
        <w:t>,</w:t>
      </w:r>
      <w:r w:rsidRPr="007E413D">
        <w:rPr>
          <w:rFonts w:cs="Arial"/>
          <w:lang w:val="en-CA"/>
        </w:rPr>
        <w:t xml:space="preserve"> and that the appellant had rewritten the events during his detention. </w:t>
      </w:r>
      <w:r>
        <w:rPr>
          <w:rFonts w:cs="Arial"/>
          <w:lang w:val="en-CA"/>
        </w:rPr>
        <w:t xml:space="preserve">The Crown </w:t>
      </w:r>
      <w:r w:rsidRPr="007E413D">
        <w:rPr>
          <w:rFonts w:cs="Arial"/>
          <w:lang w:val="en-CA"/>
        </w:rPr>
        <w:t>maintains that the appellant</w:t>
      </w:r>
      <w:r w:rsidR="008C352D">
        <w:rPr>
          <w:rFonts w:cs="Arial"/>
          <w:lang w:val="en-CA"/>
        </w:rPr>
        <w:t>’</w:t>
      </w:r>
      <w:r w:rsidRPr="007E413D">
        <w:rPr>
          <w:rFonts w:cs="Arial"/>
          <w:lang w:val="en-CA"/>
        </w:rPr>
        <w:t xml:space="preserve">s </w:t>
      </w:r>
      <w:r w:rsidR="00720527">
        <w:rPr>
          <w:rFonts w:cs="Arial"/>
          <w:lang w:val="en-CA"/>
        </w:rPr>
        <w:t xml:space="preserve">post-homicide </w:t>
      </w:r>
      <w:r w:rsidR="004E603A">
        <w:rPr>
          <w:rFonts w:cs="Arial"/>
          <w:lang w:val="en-CA"/>
        </w:rPr>
        <w:t>conduct</w:t>
      </w:r>
      <w:r w:rsidR="00DF34C1">
        <w:rPr>
          <w:rFonts w:cs="Arial"/>
          <w:lang w:val="en-CA"/>
        </w:rPr>
        <w:t xml:space="preserve"> </w:t>
      </w:r>
      <w:r w:rsidR="00C21CCC">
        <w:rPr>
          <w:rFonts w:cs="Arial"/>
          <w:lang w:val="en-CA"/>
        </w:rPr>
        <w:t>showed</w:t>
      </w:r>
      <w:r w:rsidRPr="007E413D">
        <w:rPr>
          <w:rFonts w:cs="Arial"/>
          <w:lang w:val="en-CA"/>
        </w:rPr>
        <w:t xml:space="preserve"> that he knew that his actions were wrong and that he was guilty of first degree murder.</w:t>
      </w:r>
    </w:p>
    <w:p w14:paraId="7829F138" w14:textId="3A6D580E" w:rsidR="00151C5D" w:rsidRPr="00C62419" w:rsidRDefault="00C21CCC" w:rsidP="000B6E2B">
      <w:pPr>
        <w:pStyle w:val="Paragraphe"/>
        <w:spacing w:line="240" w:lineRule="auto"/>
        <w:rPr>
          <w:rFonts w:cs="Arial"/>
          <w:lang w:val="en-CA"/>
        </w:rPr>
      </w:pPr>
      <w:r>
        <w:rPr>
          <w:rFonts w:cs="Arial"/>
          <w:lang w:val="en-CA"/>
        </w:rPr>
        <w:t>In</w:t>
      </w:r>
      <w:r w:rsidR="00151C5D" w:rsidRPr="00C62419">
        <w:rPr>
          <w:rFonts w:cs="Arial"/>
          <w:lang w:val="en-CA"/>
        </w:rPr>
        <w:t xml:space="preserve"> </w:t>
      </w:r>
      <w:r w:rsidR="00F37BAF" w:rsidRPr="00C62419">
        <w:rPr>
          <w:rFonts w:cs="Arial"/>
          <w:i/>
          <w:lang w:val="en-CA"/>
        </w:rPr>
        <w:t>Molodowic</w:t>
      </w:r>
      <w:r>
        <w:rPr>
          <w:rFonts w:cs="Arial"/>
          <w:iCs/>
          <w:lang w:val="en-CA"/>
        </w:rPr>
        <w:t>,</w:t>
      </w:r>
      <w:r w:rsidR="00151C5D" w:rsidRPr="00C62419">
        <w:rPr>
          <w:rStyle w:val="Appelnotedebasdep"/>
          <w:rFonts w:cs="Arial"/>
          <w:lang w:val="en-CA"/>
        </w:rPr>
        <w:footnoteReference w:id="9"/>
      </w:r>
      <w:r w:rsidR="00151C5D" w:rsidRPr="00C62419">
        <w:rPr>
          <w:rFonts w:cs="Arial"/>
          <w:lang w:val="en-CA"/>
        </w:rPr>
        <w:t xml:space="preserve"> </w:t>
      </w:r>
      <w:r>
        <w:rPr>
          <w:rFonts w:cs="Arial"/>
          <w:lang w:val="en-CA"/>
        </w:rPr>
        <w:t>cited by the appellant</w:t>
      </w:r>
      <w:r w:rsidR="00151C5D" w:rsidRPr="00C62419">
        <w:rPr>
          <w:rFonts w:cs="Arial"/>
          <w:lang w:val="en-CA"/>
        </w:rPr>
        <w:t xml:space="preserve">, Arbour </w:t>
      </w:r>
      <w:r>
        <w:rPr>
          <w:rFonts w:cs="Arial"/>
          <w:lang w:val="en-CA"/>
        </w:rPr>
        <w:t xml:space="preserve">J. </w:t>
      </w:r>
      <w:r w:rsidR="00492229">
        <w:rPr>
          <w:rFonts w:cs="Arial"/>
          <w:lang w:val="en-CA"/>
        </w:rPr>
        <w:t>set out</w:t>
      </w:r>
      <w:r w:rsidR="00F471E7">
        <w:rPr>
          <w:rFonts w:cs="Arial"/>
          <w:lang w:val="en-CA"/>
        </w:rPr>
        <w:t xml:space="preserve"> some guiding principles applicable to the</w:t>
      </w:r>
      <w:r w:rsidR="00BB1BE1">
        <w:rPr>
          <w:rFonts w:cs="Arial"/>
          <w:lang w:val="en-CA"/>
        </w:rPr>
        <w:t xml:space="preserve"> grounds of appeal that he raises</w:t>
      </w:r>
      <w:r w:rsidR="00151C5D" w:rsidRPr="00C62419">
        <w:rPr>
          <w:rFonts w:cs="Arial"/>
          <w:lang w:val="en-CA"/>
        </w:rPr>
        <w:t>:</w:t>
      </w:r>
    </w:p>
    <w:p w14:paraId="7C17F97C" w14:textId="5485E4C3" w:rsidR="00151C5D" w:rsidRPr="00C62419" w:rsidRDefault="00890EA1" w:rsidP="000B6E2B">
      <w:pPr>
        <w:pStyle w:val="Paragraphe"/>
        <w:numPr>
          <w:ilvl w:val="0"/>
          <w:numId w:val="20"/>
        </w:numPr>
        <w:spacing w:line="240" w:lineRule="auto"/>
        <w:rPr>
          <w:rFonts w:cs="Arial"/>
          <w:lang w:val="en-CA"/>
        </w:rPr>
      </w:pPr>
      <w:r w:rsidRPr="00890EA1">
        <w:rPr>
          <w:rFonts w:cs="Arial"/>
          <w:lang w:val="en-CA"/>
        </w:rPr>
        <w:t xml:space="preserve">a jury is not bound by the expert psychiatric testimony and its probative value </w:t>
      </w:r>
      <w:r>
        <w:rPr>
          <w:rFonts w:cs="Arial"/>
          <w:lang w:val="en-CA"/>
        </w:rPr>
        <w:t>is</w:t>
      </w:r>
      <w:r w:rsidRPr="00890EA1">
        <w:rPr>
          <w:rFonts w:cs="Arial"/>
          <w:lang w:val="en-CA"/>
        </w:rPr>
        <w:t xml:space="preserve"> to be assessed in the same manner as any other testimony</w:t>
      </w:r>
      <w:r>
        <w:rPr>
          <w:rFonts w:cs="Arial"/>
          <w:lang w:val="en-CA"/>
        </w:rPr>
        <w:t>;</w:t>
      </w:r>
      <w:r w:rsidR="00FE4DDF" w:rsidRPr="00C62419">
        <w:rPr>
          <w:rStyle w:val="Appelnotedebasdep"/>
          <w:rFonts w:cs="Arial"/>
          <w:lang w:val="en-CA"/>
        </w:rPr>
        <w:footnoteReference w:id="10"/>
      </w:r>
    </w:p>
    <w:p w14:paraId="3ECB0BE6" w14:textId="0FD7EDC7" w:rsidR="00151C5D" w:rsidRPr="00C62419" w:rsidRDefault="00890EA1" w:rsidP="000B6E2B">
      <w:pPr>
        <w:pStyle w:val="Paragraphe"/>
        <w:numPr>
          <w:ilvl w:val="0"/>
          <w:numId w:val="20"/>
        </w:numPr>
        <w:spacing w:line="240" w:lineRule="auto"/>
        <w:rPr>
          <w:rFonts w:cs="Arial"/>
          <w:lang w:val="en-CA"/>
        </w:rPr>
      </w:pPr>
      <w:r w:rsidRPr="00890EA1">
        <w:rPr>
          <w:rFonts w:cs="Arial"/>
          <w:lang w:val="en-CA"/>
        </w:rPr>
        <w:t>in weighing expert evidence</w:t>
      </w:r>
      <w:r>
        <w:rPr>
          <w:rFonts w:cs="Arial"/>
          <w:lang w:val="en-CA"/>
        </w:rPr>
        <w:t>,</w:t>
      </w:r>
      <w:r w:rsidRPr="00890EA1">
        <w:rPr>
          <w:rFonts w:cs="Arial"/>
          <w:lang w:val="en-CA"/>
        </w:rPr>
        <w:t xml:space="preserve"> a jury is entitled to examine the factual foundations of the opinion and is entitled to accord less weight to that opinion where it is not based on facts proved at trial or where it is based upon factual assumptions with which they disagree</w:t>
      </w:r>
      <w:r>
        <w:rPr>
          <w:rFonts w:cs="Arial"/>
          <w:lang w:val="en-CA"/>
        </w:rPr>
        <w:t>;</w:t>
      </w:r>
      <w:r w:rsidR="00FE4DDF" w:rsidRPr="00C62419">
        <w:rPr>
          <w:rStyle w:val="Appelnotedebasdep"/>
          <w:rFonts w:cs="Arial"/>
          <w:lang w:val="en-CA"/>
        </w:rPr>
        <w:footnoteReference w:id="11"/>
      </w:r>
    </w:p>
    <w:p w14:paraId="0E944828" w14:textId="2D8FA2B4" w:rsidR="00151C5D" w:rsidRPr="00C62419" w:rsidRDefault="00890EA1" w:rsidP="000B6E2B">
      <w:pPr>
        <w:pStyle w:val="Paragraphe"/>
        <w:numPr>
          <w:ilvl w:val="0"/>
          <w:numId w:val="20"/>
        </w:numPr>
        <w:spacing w:line="240" w:lineRule="auto"/>
        <w:rPr>
          <w:rFonts w:cs="Arial"/>
          <w:lang w:val="en-CA"/>
        </w:rPr>
      </w:pPr>
      <w:r>
        <w:rPr>
          <w:rFonts w:cs="Arial"/>
          <w:lang w:val="en-CA"/>
        </w:rPr>
        <w:t>t</w:t>
      </w:r>
      <w:r w:rsidRPr="00890EA1">
        <w:rPr>
          <w:rFonts w:cs="Arial"/>
          <w:lang w:val="en-CA"/>
        </w:rPr>
        <w:t>he jury may therefore reject the opinion of experts, even when the experts called are unanimous and uncontradicted by other experts</w:t>
      </w:r>
      <w:r>
        <w:rPr>
          <w:rFonts w:cs="Arial"/>
          <w:lang w:val="en-CA"/>
        </w:rPr>
        <w:t>;</w:t>
      </w:r>
      <w:r w:rsidR="00FE4DDF" w:rsidRPr="00C62419">
        <w:rPr>
          <w:rStyle w:val="Appelnotedebasdep"/>
          <w:rFonts w:cs="Arial"/>
          <w:lang w:val="en-CA"/>
        </w:rPr>
        <w:footnoteReference w:id="12"/>
      </w:r>
      <w:r w:rsidR="00F02FF7">
        <w:rPr>
          <w:rFonts w:cs="Arial"/>
          <w:lang w:val="en-CA"/>
        </w:rPr>
        <w:t xml:space="preserve"> and</w:t>
      </w:r>
    </w:p>
    <w:p w14:paraId="69A0D296" w14:textId="77206D5B" w:rsidR="00151C5D" w:rsidRPr="00C62419" w:rsidRDefault="00B12AD0" w:rsidP="000B6E2B">
      <w:pPr>
        <w:pStyle w:val="Paragraphe"/>
        <w:numPr>
          <w:ilvl w:val="0"/>
          <w:numId w:val="20"/>
        </w:numPr>
        <w:spacing w:line="240" w:lineRule="auto"/>
        <w:rPr>
          <w:rFonts w:cs="Arial"/>
          <w:lang w:val="en-CA"/>
        </w:rPr>
      </w:pPr>
      <w:r w:rsidRPr="00B12AD0">
        <w:rPr>
          <w:rFonts w:cs="Arial"/>
          <w:lang w:val="en-CA"/>
        </w:rPr>
        <w:lastRenderedPageBreak/>
        <w:t xml:space="preserve">there </w:t>
      </w:r>
      <w:r w:rsidR="00F02FF7">
        <w:rPr>
          <w:rFonts w:cs="Arial"/>
          <w:lang w:val="en-CA"/>
        </w:rPr>
        <w:t>must</w:t>
      </w:r>
      <w:r w:rsidRPr="00B12AD0">
        <w:rPr>
          <w:rFonts w:cs="Arial"/>
          <w:lang w:val="en-CA"/>
        </w:rPr>
        <w:t xml:space="preserve"> be a rational foundation in the evidence for the jury to reasonably reject the opinion of the experts</w:t>
      </w:r>
      <w:r>
        <w:rPr>
          <w:rFonts w:cs="Arial"/>
          <w:lang w:val="en-CA"/>
        </w:rPr>
        <w:t>.</w:t>
      </w:r>
      <w:r w:rsidR="00151C5D" w:rsidRPr="00C62419">
        <w:rPr>
          <w:rStyle w:val="Appelnotedebasdep"/>
          <w:rFonts w:cs="Arial"/>
          <w:lang w:val="en-CA"/>
        </w:rPr>
        <w:footnoteReference w:id="13"/>
      </w:r>
    </w:p>
    <w:p w14:paraId="12563F46" w14:textId="6341B66F" w:rsidR="00151C5D" w:rsidRDefault="0077706B" w:rsidP="000B6E2B">
      <w:pPr>
        <w:pStyle w:val="Paragraphe"/>
        <w:spacing w:line="240" w:lineRule="auto"/>
        <w:rPr>
          <w:rFonts w:cs="Arial"/>
          <w:lang w:val="en-CA"/>
        </w:rPr>
      </w:pPr>
      <w:r>
        <w:rPr>
          <w:rFonts w:cs="Arial"/>
          <w:lang w:val="en-CA"/>
        </w:rPr>
        <w:t>Recently</w:t>
      </w:r>
      <w:r w:rsidR="00521A11">
        <w:rPr>
          <w:rFonts w:cs="Arial"/>
          <w:lang w:val="en-CA"/>
        </w:rPr>
        <w:t>,</w:t>
      </w:r>
      <w:r w:rsidR="00151C5D" w:rsidRPr="00C62419">
        <w:rPr>
          <w:rFonts w:cs="Arial"/>
          <w:lang w:val="en-CA"/>
        </w:rPr>
        <w:t xml:space="preserve"> </w:t>
      </w:r>
      <w:r>
        <w:rPr>
          <w:rFonts w:cs="Arial"/>
          <w:lang w:val="en-CA"/>
        </w:rPr>
        <w:t xml:space="preserve">in </w:t>
      </w:r>
      <w:r w:rsidR="00151C5D" w:rsidRPr="00C62419">
        <w:rPr>
          <w:rFonts w:cs="Arial"/>
          <w:i/>
          <w:lang w:val="en-CA"/>
        </w:rPr>
        <w:t>Sorella</w:t>
      </w:r>
      <w:r w:rsidR="00521A11">
        <w:rPr>
          <w:rFonts w:cs="Arial"/>
          <w:iCs/>
          <w:lang w:val="en-CA"/>
        </w:rPr>
        <w:t>,</w:t>
      </w:r>
      <w:r w:rsidR="00A25C05" w:rsidRPr="00C62419">
        <w:rPr>
          <w:rStyle w:val="Appelnotedebasdep"/>
          <w:rFonts w:cs="Arial"/>
          <w:lang w:val="en-CA"/>
        </w:rPr>
        <w:footnoteReference w:id="14"/>
      </w:r>
      <w:r w:rsidR="00521A11">
        <w:rPr>
          <w:rFonts w:cs="Arial"/>
          <w:lang w:val="en-CA"/>
        </w:rPr>
        <w:t xml:space="preserve"> the</w:t>
      </w:r>
      <w:r w:rsidR="00521A11" w:rsidRPr="00521A11">
        <w:rPr>
          <w:rFonts w:cs="Arial"/>
          <w:lang w:val="en-CA"/>
        </w:rPr>
        <w:t xml:space="preserve"> Court was faced with a similar question where, just as in </w:t>
      </w:r>
      <w:r w:rsidR="0062264A">
        <w:rPr>
          <w:rFonts w:cs="Arial"/>
          <w:lang w:val="en-CA"/>
        </w:rPr>
        <w:t>this</w:t>
      </w:r>
      <w:r w:rsidR="00521A11" w:rsidRPr="00521A11">
        <w:rPr>
          <w:rFonts w:cs="Arial"/>
          <w:lang w:val="en-CA"/>
        </w:rPr>
        <w:t xml:space="preserve"> </w:t>
      </w:r>
      <w:r w:rsidR="00521A11">
        <w:rPr>
          <w:rFonts w:cs="Arial"/>
          <w:lang w:val="en-CA"/>
        </w:rPr>
        <w:t>case</w:t>
      </w:r>
      <w:r w:rsidR="00521A11" w:rsidRPr="00521A11">
        <w:rPr>
          <w:rFonts w:cs="Arial"/>
          <w:lang w:val="en-CA"/>
        </w:rPr>
        <w:t xml:space="preserve">, the </w:t>
      </w:r>
      <w:r w:rsidR="00521A11">
        <w:rPr>
          <w:rFonts w:cs="Arial"/>
          <w:lang w:val="en-CA"/>
        </w:rPr>
        <w:t>Crown</w:t>
      </w:r>
      <w:r w:rsidR="00521A11" w:rsidRPr="00521A11">
        <w:rPr>
          <w:rFonts w:cs="Arial"/>
          <w:lang w:val="en-CA"/>
        </w:rPr>
        <w:t xml:space="preserve"> had not presented any </w:t>
      </w:r>
      <w:r>
        <w:rPr>
          <w:rFonts w:cs="Arial"/>
          <w:lang w:val="en-CA"/>
        </w:rPr>
        <w:t xml:space="preserve">expert </w:t>
      </w:r>
      <w:r w:rsidR="00521A11" w:rsidRPr="00521A11">
        <w:rPr>
          <w:rFonts w:cs="Arial"/>
          <w:lang w:val="en-CA"/>
        </w:rPr>
        <w:t xml:space="preserve">psychiatric </w:t>
      </w:r>
      <w:r>
        <w:rPr>
          <w:rFonts w:cs="Arial"/>
          <w:lang w:val="en-CA"/>
        </w:rPr>
        <w:t>report</w:t>
      </w:r>
      <w:r w:rsidR="00521A11" w:rsidRPr="00521A11">
        <w:rPr>
          <w:rFonts w:cs="Arial"/>
          <w:lang w:val="en-CA"/>
        </w:rPr>
        <w:t>. The Court wr</w:t>
      </w:r>
      <w:r w:rsidR="00521A11">
        <w:rPr>
          <w:rFonts w:cs="Arial"/>
          <w:lang w:val="en-CA"/>
        </w:rPr>
        <w:t>ote</w:t>
      </w:r>
      <w:r w:rsidR="00521A11" w:rsidRPr="00C62419">
        <w:rPr>
          <w:rFonts w:cs="Arial"/>
          <w:lang w:val="en-CA"/>
        </w:rPr>
        <w:t>:</w:t>
      </w:r>
    </w:p>
    <w:p w14:paraId="0ADED3DB" w14:textId="32102C9A" w:rsidR="00521A11" w:rsidRPr="00B92A5F" w:rsidRDefault="00521A11" w:rsidP="00521A11">
      <w:pPr>
        <w:pStyle w:val="Paragraphe"/>
        <w:numPr>
          <w:ilvl w:val="0"/>
          <w:numId w:val="0"/>
        </w:numPr>
        <w:spacing w:line="240" w:lineRule="auto"/>
        <w:ind w:left="720"/>
        <w:rPr>
          <w:rFonts w:cs="Arial"/>
          <w:sz w:val="22"/>
          <w:szCs w:val="22"/>
          <w:lang w:val="en-CA"/>
        </w:rPr>
      </w:pPr>
      <w:r w:rsidRPr="00B92A5F">
        <w:rPr>
          <w:rFonts w:cs="Arial"/>
          <w:sz w:val="22"/>
          <w:szCs w:val="22"/>
          <w:lang w:val="en-CA"/>
        </w:rPr>
        <w:t>[</w:t>
      </w:r>
      <w:r w:rsidR="00F02FF7" w:rsidRPr="00B92A5F">
        <w:rPr>
          <w:rFonts w:cs="Arial"/>
          <w:smallCaps/>
          <w:sz w:val="22"/>
          <w:szCs w:val="22"/>
          <w:lang w:val="en-CA"/>
        </w:rPr>
        <w:t>translation</w:t>
      </w:r>
      <w:r w:rsidRPr="00B92A5F">
        <w:rPr>
          <w:rFonts w:cs="Arial"/>
          <w:sz w:val="22"/>
          <w:szCs w:val="22"/>
          <w:lang w:val="en-CA"/>
        </w:rPr>
        <w:t>]</w:t>
      </w:r>
    </w:p>
    <w:p w14:paraId="11C60992" w14:textId="0CF40254" w:rsidR="00151C5D" w:rsidRPr="00C62419" w:rsidRDefault="00151C5D" w:rsidP="000B6E2B">
      <w:pPr>
        <w:pStyle w:val="Citationenretrait"/>
        <w:spacing w:line="240" w:lineRule="auto"/>
        <w:rPr>
          <w:lang w:val="en-CA"/>
        </w:rPr>
      </w:pPr>
      <w:r w:rsidRPr="00C62419">
        <w:rPr>
          <w:lang w:val="en-CA"/>
        </w:rPr>
        <w:t>[</w:t>
      </w:r>
      <w:bookmarkStart w:id="10" w:name="par44"/>
      <w:r w:rsidRPr="00C62419">
        <w:rPr>
          <w:lang w:val="en-CA"/>
        </w:rPr>
        <w:t>44</w:t>
      </w:r>
      <w:bookmarkEnd w:id="10"/>
      <w:r w:rsidRPr="00C62419">
        <w:rPr>
          <w:lang w:val="en-CA"/>
        </w:rPr>
        <w:t>]      </w:t>
      </w:r>
      <w:r w:rsidR="00977619" w:rsidRPr="00B92A5F">
        <w:rPr>
          <w:rFonts w:cs="Arial"/>
          <w:color w:val="000000"/>
          <w:lang w:val="en-CA"/>
        </w:rPr>
        <w:t>By rendering a guilty verdict, the jury obviously rejected the evidence of mental disorder presented by the appellant. It necessarily concluded that the appellant had failed to meet her burden of proving her assertion on a balance of probabilities.</w:t>
      </w:r>
    </w:p>
    <w:p w14:paraId="7569CECC" w14:textId="01372E6A" w:rsidR="00151C5D" w:rsidRPr="00C62419" w:rsidRDefault="00151C5D" w:rsidP="000B6E2B">
      <w:pPr>
        <w:pStyle w:val="Citationenretrait"/>
        <w:spacing w:line="240" w:lineRule="auto"/>
        <w:rPr>
          <w:lang w:val="en-CA"/>
        </w:rPr>
      </w:pPr>
      <w:r w:rsidRPr="00C62419">
        <w:rPr>
          <w:lang w:val="en-CA"/>
        </w:rPr>
        <w:t>[</w:t>
      </w:r>
      <w:bookmarkStart w:id="11" w:name="par45"/>
      <w:r w:rsidRPr="00C62419">
        <w:rPr>
          <w:lang w:val="en-CA"/>
        </w:rPr>
        <w:t>45</w:t>
      </w:r>
      <w:bookmarkEnd w:id="11"/>
      <w:r w:rsidRPr="00C62419">
        <w:rPr>
          <w:lang w:val="en-CA"/>
        </w:rPr>
        <w:t>]      </w:t>
      </w:r>
      <w:r w:rsidR="00977619" w:rsidRPr="00B92A5F">
        <w:rPr>
          <w:rFonts w:cs="Arial"/>
          <w:color w:val="000000"/>
          <w:lang w:val="en-CA"/>
        </w:rPr>
        <w:t>To support the argument that the decision is unreasonable, the appellant places great emphasis on the absence of expert evidence from the prosecution capable of contradicting the testimony of her own experts.</w:t>
      </w:r>
    </w:p>
    <w:p w14:paraId="772F611E" w14:textId="542C7660" w:rsidR="00151C5D" w:rsidRPr="00C62419" w:rsidRDefault="00151C5D" w:rsidP="000B6E2B">
      <w:pPr>
        <w:pStyle w:val="Citationenretrait"/>
        <w:spacing w:line="240" w:lineRule="auto"/>
        <w:rPr>
          <w:lang w:val="en-CA"/>
        </w:rPr>
      </w:pPr>
      <w:r w:rsidRPr="00C62419">
        <w:rPr>
          <w:lang w:val="en-CA"/>
        </w:rPr>
        <w:t>[</w:t>
      </w:r>
      <w:bookmarkStart w:id="12" w:name="par46"/>
      <w:r w:rsidRPr="00C62419">
        <w:rPr>
          <w:lang w:val="en-CA"/>
        </w:rPr>
        <w:t>46</w:t>
      </w:r>
      <w:bookmarkEnd w:id="12"/>
      <w:r w:rsidRPr="00C62419">
        <w:rPr>
          <w:lang w:val="en-CA"/>
        </w:rPr>
        <w:t>]      </w:t>
      </w:r>
      <w:r w:rsidR="00977619" w:rsidRPr="00B92A5F">
        <w:rPr>
          <w:rFonts w:cs="Arial"/>
          <w:color w:val="000000"/>
          <w:lang w:val="en-CA"/>
        </w:rPr>
        <w:t>While this type of evidence does rely on the testimony of experts, it remains governed by a well-known rule: it is up to the trier of fact (in this case, the jury) to determine whether the accused has proved what is required under the law: </w:t>
      </w:r>
      <w:r w:rsidR="00977619" w:rsidRPr="00B92A5F">
        <w:rPr>
          <w:rFonts w:cs="Arial"/>
          <w:i/>
          <w:iCs/>
          <w:color w:val="000000"/>
          <w:lang w:val="en-CA"/>
        </w:rPr>
        <w:t>R. v. Baker</w:t>
      </w:r>
      <w:r w:rsidR="00977619" w:rsidRPr="00B92A5F">
        <w:rPr>
          <w:rFonts w:cs="Arial"/>
          <w:color w:val="000000"/>
          <w:lang w:val="en-CA"/>
        </w:rPr>
        <w:t>, </w:t>
      </w:r>
      <w:r w:rsidR="00977619" w:rsidRPr="00B92A5F">
        <w:rPr>
          <w:rFonts w:cs="Arial"/>
          <w:lang w:val="en-CA"/>
        </w:rPr>
        <w:t>2010 SCC 9</w:t>
      </w:r>
      <w:r w:rsidR="00977619" w:rsidRPr="00B92A5F">
        <w:rPr>
          <w:rFonts w:cs="Arial"/>
          <w:color w:val="000000"/>
          <w:lang w:val="en-CA"/>
        </w:rPr>
        <w:t>, and a “jury may therefore reject the opinion of experts, even when the experts called are unanimous and uncontradicted by other experts”: </w:t>
      </w:r>
      <w:r w:rsidR="00977619" w:rsidRPr="00B92A5F">
        <w:rPr>
          <w:rFonts w:cs="Arial"/>
          <w:i/>
          <w:iCs/>
          <w:color w:val="000000"/>
          <w:lang w:val="en-CA"/>
        </w:rPr>
        <w:t>R. v. Molodowic</w:t>
      </w:r>
      <w:r w:rsidR="00977619" w:rsidRPr="00B92A5F">
        <w:rPr>
          <w:rFonts w:cs="Arial"/>
          <w:color w:val="000000"/>
          <w:lang w:val="en-CA"/>
        </w:rPr>
        <w:t>, 2000 SCC 16 at para. </w:t>
      </w:r>
      <w:r w:rsidR="00977619" w:rsidRPr="00B92A5F">
        <w:rPr>
          <w:rFonts w:cs="Arial"/>
          <w:lang w:val="en-CA"/>
        </w:rPr>
        <w:t>8</w:t>
      </w:r>
      <w:r w:rsidR="00977619" w:rsidRPr="00B92A5F">
        <w:rPr>
          <w:rFonts w:cs="Arial"/>
          <w:color w:val="000000"/>
          <w:lang w:val="en-CA"/>
        </w:rPr>
        <w:t>.</w:t>
      </w:r>
    </w:p>
    <w:p w14:paraId="6FADA339" w14:textId="6DED6079" w:rsidR="00151C5D" w:rsidRPr="00C62419" w:rsidRDefault="00151C5D" w:rsidP="000B6E2B">
      <w:pPr>
        <w:pStyle w:val="Citationenretrait"/>
        <w:spacing w:line="240" w:lineRule="auto"/>
        <w:rPr>
          <w:lang w:val="en-CA"/>
        </w:rPr>
      </w:pPr>
      <w:r w:rsidRPr="00C62419">
        <w:rPr>
          <w:lang w:val="en-CA"/>
        </w:rPr>
        <w:t>[</w:t>
      </w:r>
      <w:bookmarkStart w:id="13" w:name="par47"/>
      <w:r w:rsidRPr="00C62419">
        <w:rPr>
          <w:lang w:val="en-CA"/>
        </w:rPr>
        <w:t>47</w:t>
      </w:r>
      <w:bookmarkEnd w:id="13"/>
      <w:r w:rsidRPr="00C62419">
        <w:rPr>
          <w:lang w:val="en-CA"/>
        </w:rPr>
        <w:t>]      </w:t>
      </w:r>
      <w:r w:rsidR="00977619" w:rsidRPr="00B92A5F">
        <w:rPr>
          <w:rFonts w:cs="Arial"/>
          <w:color w:val="000000"/>
          <w:lang w:val="en-CA"/>
        </w:rPr>
        <w:t>It is true that, in most cases, the trier of fact conducting such an inquiry will have to contend with contradictory expert testimony. Nevertheless, it is up to the trier of fact to decide based on the evidence as a whole, not only on the expert testimony, even though the latter is obviously important.</w:t>
      </w:r>
    </w:p>
    <w:p w14:paraId="735BAE20" w14:textId="3F2B24A1" w:rsidR="00151C5D" w:rsidRPr="00C62419" w:rsidRDefault="008B46F2" w:rsidP="000B6E2B">
      <w:pPr>
        <w:pStyle w:val="Paragraphe"/>
        <w:keepNext/>
        <w:spacing w:line="240" w:lineRule="auto"/>
        <w:rPr>
          <w:rFonts w:cs="Arial"/>
          <w:lang w:val="en-CA"/>
        </w:rPr>
      </w:pPr>
      <w:r w:rsidRPr="008B46F2">
        <w:rPr>
          <w:rFonts w:cs="Arial"/>
          <w:lang w:val="en-CA"/>
        </w:rPr>
        <w:t xml:space="preserve">After </w:t>
      </w:r>
      <w:r>
        <w:rPr>
          <w:rFonts w:cs="Arial"/>
          <w:lang w:val="en-CA"/>
        </w:rPr>
        <w:t xml:space="preserve">having </w:t>
      </w:r>
      <w:r w:rsidRPr="008B46F2">
        <w:rPr>
          <w:rFonts w:cs="Arial"/>
          <w:lang w:val="en-CA"/>
        </w:rPr>
        <w:t>examin</w:t>
      </w:r>
      <w:r>
        <w:rPr>
          <w:rFonts w:cs="Arial"/>
          <w:lang w:val="en-CA"/>
        </w:rPr>
        <w:t>ed</w:t>
      </w:r>
      <w:r w:rsidRPr="008B46F2">
        <w:rPr>
          <w:rFonts w:cs="Arial"/>
          <w:lang w:val="en-CA"/>
        </w:rPr>
        <w:t xml:space="preserve"> the evidence supporting </w:t>
      </w:r>
      <w:r w:rsidR="00DD0885">
        <w:rPr>
          <w:rFonts w:cs="Arial"/>
          <w:lang w:val="en-CA"/>
        </w:rPr>
        <w:t xml:space="preserve">both </w:t>
      </w:r>
      <w:r w:rsidR="000E7658">
        <w:rPr>
          <w:rFonts w:cs="Arial"/>
          <w:lang w:val="en-CA"/>
        </w:rPr>
        <w:t>hypotheses</w:t>
      </w:r>
      <w:r w:rsidRPr="008B46F2">
        <w:rPr>
          <w:rFonts w:cs="Arial"/>
          <w:lang w:val="en-CA"/>
        </w:rPr>
        <w:t xml:space="preserve">, the Court </w:t>
      </w:r>
      <w:r>
        <w:rPr>
          <w:rFonts w:cs="Arial"/>
          <w:lang w:val="en-CA"/>
        </w:rPr>
        <w:t>concluded</w:t>
      </w:r>
      <w:r w:rsidR="00CF26D4">
        <w:rPr>
          <w:rFonts w:cs="Arial"/>
          <w:lang w:val="en-CA"/>
        </w:rPr>
        <w:t xml:space="preserve"> its analysis as follows</w:t>
      </w:r>
      <w:r w:rsidR="00151C5D" w:rsidRPr="00C62419">
        <w:rPr>
          <w:rFonts w:cs="Arial"/>
          <w:lang w:val="en-CA"/>
        </w:rPr>
        <w:t>:</w:t>
      </w:r>
    </w:p>
    <w:p w14:paraId="5B065F86" w14:textId="75291BE3" w:rsidR="006479CA" w:rsidRPr="00F829F2" w:rsidRDefault="006479CA" w:rsidP="00DD0885">
      <w:pPr>
        <w:pStyle w:val="Citationenretrait"/>
        <w:spacing w:line="240" w:lineRule="auto"/>
        <w:rPr>
          <w:szCs w:val="22"/>
          <w:lang w:val="en-CA"/>
        </w:rPr>
      </w:pPr>
      <w:r w:rsidRPr="00B92A5F">
        <w:rPr>
          <w:rFonts w:cs="Arial"/>
          <w:szCs w:val="22"/>
          <w:lang w:val="en-CA"/>
        </w:rPr>
        <w:t>[</w:t>
      </w:r>
      <w:r w:rsidR="00977619" w:rsidRPr="00F829F2">
        <w:rPr>
          <w:rFonts w:cs="Arial"/>
          <w:smallCaps/>
          <w:szCs w:val="22"/>
          <w:lang w:val="en-CA"/>
        </w:rPr>
        <w:t>translation</w:t>
      </w:r>
      <w:r w:rsidRPr="00B92A5F">
        <w:rPr>
          <w:rFonts w:cs="Arial"/>
          <w:szCs w:val="22"/>
          <w:lang w:val="en-CA"/>
        </w:rPr>
        <w:t>]</w:t>
      </w:r>
    </w:p>
    <w:p w14:paraId="1F33FB89" w14:textId="7D302C46" w:rsidR="00151C5D" w:rsidRPr="00C62419" w:rsidRDefault="00151C5D" w:rsidP="00DD0885">
      <w:pPr>
        <w:pStyle w:val="Citationenretrait"/>
        <w:spacing w:line="240" w:lineRule="auto"/>
        <w:rPr>
          <w:lang w:val="en-CA"/>
        </w:rPr>
      </w:pPr>
      <w:r w:rsidRPr="00C62419">
        <w:rPr>
          <w:lang w:val="en-CA"/>
        </w:rPr>
        <w:t>[</w:t>
      </w:r>
      <w:bookmarkStart w:id="14" w:name="par60"/>
      <w:r w:rsidRPr="00C62419">
        <w:rPr>
          <w:lang w:val="en-CA"/>
        </w:rPr>
        <w:t>60</w:t>
      </w:r>
      <w:bookmarkEnd w:id="14"/>
      <w:r w:rsidRPr="00C62419">
        <w:rPr>
          <w:lang w:val="en-CA"/>
        </w:rPr>
        <w:t>]      </w:t>
      </w:r>
      <w:r w:rsidR="000E7658" w:rsidRPr="00B92A5F">
        <w:rPr>
          <w:rFonts w:cs="Arial"/>
          <w:color w:val="000000"/>
          <w:lang w:val="en-CA"/>
        </w:rPr>
        <w:t>It was up to the jury to decide whether the first or the second hypothesis applied. It is a question of credibility. The decision therefore fell to the jury and, in the circumstances, it cannot be concluded that the decision to reject the appellant’s arguments on the issue of mental disorder was unreasonable.</w:t>
      </w:r>
    </w:p>
    <w:p w14:paraId="28457EA1" w14:textId="3E5C6070" w:rsidR="00151C5D" w:rsidRPr="00C62419" w:rsidRDefault="00151C5D" w:rsidP="000B6E2B">
      <w:pPr>
        <w:pStyle w:val="Citationenretrait"/>
        <w:spacing w:line="240" w:lineRule="auto"/>
        <w:rPr>
          <w:lang w:val="en-CA"/>
        </w:rPr>
      </w:pPr>
      <w:r w:rsidRPr="00C62419">
        <w:rPr>
          <w:lang w:val="en-CA"/>
        </w:rPr>
        <w:t>[</w:t>
      </w:r>
      <w:bookmarkStart w:id="15" w:name="par61"/>
      <w:r w:rsidRPr="00C62419">
        <w:rPr>
          <w:lang w:val="en-CA"/>
        </w:rPr>
        <w:t>61</w:t>
      </w:r>
      <w:bookmarkEnd w:id="15"/>
      <w:r w:rsidRPr="00C62419">
        <w:rPr>
          <w:lang w:val="en-CA"/>
        </w:rPr>
        <w:t>]      </w:t>
      </w:r>
      <w:r w:rsidR="000E7658" w:rsidRPr="00B92A5F">
        <w:rPr>
          <w:rFonts w:cs="Arial"/>
          <w:color w:val="000000"/>
          <w:lang w:val="en-CA"/>
        </w:rPr>
        <w:t>In </w:t>
      </w:r>
      <w:r w:rsidR="000E7658" w:rsidRPr="00B92A5F">
        <w:rPr>
          <w:rFonts w:cs="Arial"/>
          <w:i/>
          <w:iCs/>
          <w:color w:val="000000"/>
          <w:lang w:val="en-CA"/>
        </w:rPr>
        <w:t>Molodowic</w:t>
      </w:r>
      <w:r w:rsidR="000E7658" w:rsidRPr="00B92A5F">
        <w:rPr>
          <w:rFonts w:cs="Arial"/>
          <w:color w:val="000000"/>
          <w:lang w:val="en-CA"/>
        </w:rPr>
        <w:t xml:space="preserve">, cited above, the Supreme Court recalled that judicial experience shows that the issue of mental disorder is a delicate one and may even provoke unjustified skepticism in the minds of jurors, which may sometimes lead to a verdict that is unreasonable based on the available evidence. Here, we are not in the situation described in that judgment, where the evidence did not make it possible to contradict the firm opinion of the defence experts. In this case, such </w:t>
      </w:r>
      <w:r w:rsidR="000E7658" w:rsidRPr="00B92A5F">
        <w:rPr>
          <w:rFonts w:cs="Arial"/>
          <w:color w:val="000000"/>
          <w:lang w:val="en-CA"/>
        </w:rPr>
        <w:lastRenderedPageBreak/>
        <w:t>contradictory evidence exists and is sufficient to reject the argument of an unreasonable decision.</w:t>
      </w:r>
    </w:p>
    <w:p w14:paraId="0D17A163" w14:textId="234A12E0" w:rsidR="00986E3D" w:rsidRPr="00C62419" w:rsidRDefault="00F75F5D" w:rsidP="000B6E2B">
      <w:pPr>
        <w:pStyle w:val="Paragraphe"/>
        <w:spacing w:line="240" w:lineRule="auto"/>
        <w:rPr>
          <w:rFonts w:cs="Arial"/>
          <w:lang w:val="en-CA"/>
        </w:rPr>
      </w:pPr>
      <w:r>
        <w:rPr>
          <w:rFonts w:cs="Arial"/>
          <w:lang w:val="en-CA"/>
        </w:rPr>
        <w:t xml:space="preserve">These principles apply to </w:t>
      </w:r>
      <w:r w:rsidR="00F46E00">
        <w:rPr>
          <w:rFonts w:cs="Arial"/>
          <w:lang w:val="en-CA"/>
        </w:rPr>
        <w:t>this</w:t>
      </w:r>
      <w:r>
        <w:rPr>
          <w:rFonts w:cs="Arial"/>
          <w:lang w:val="en-CA"/>
        </w:rPr>
        <w:t xml:space="preserve"> case</w:t>
      </w:r>
      <w:r w:rsidR="00986E3D" w:rsidRPr="00C62419">
        <w:rPr>
          <w:rFonts w:cs="Arial"/>
          <w:lang w:val="en-CA"/>
        </w:rPr>
        <w:t>.</w:t>
      </w:r>
    </w:p>
    <w:p w14:paraId="5E96FD99" w14:textId="365B920A" w:rsidR="00151C5D" w:rsidRPr="00C62419" w:rsidRDefault="00CF64AD" w:rsidP="000B6E2B">
      <w:pPr>
        <w:pStyle w:val="Paragraphe"/>
        <w:spacing w:line="240" w:lineRule="auto"/>
        <w:rPr>
          <w:rFonts w:cs="Arial"/>
          <w:lang w:val="en-CA"/>
        </w:rPr>
      </w:pPr>
      <w:r w:rsidRPr="007D3462">
        <w:rPr>
          <w:rFonts w:cs="Arial"/>
          <w:lang w:val="en-CA"/>
        </w:rPr>
        <w:t>The question</w:t>
      </w:r>
      <w:r w:rsidRPr="00CF64AD">
        <w:rPr>
          <w:rFonts w:cs="Arial"/>
          <w:lang w:val="en-CA"/>
        </w:rPr>
        <w:t xml:space="preserve"> is whether there was a rational basis for rejecting the opinion of the two experts</w:t>
      </w:r>
      <w:r w:rsidR="00151C5D" w:rsidRPr="00C62419">
        <w:rPr>
          <w:rFonts w:cs="Arial"/>
          <w:lang w:val="en-CA"/>
        </w:rPr>
        <w:t>.</w:t>
      </w:r>
    </w:p>
    <w:p w14:paraId="618BBDFB" w14:textId="4F401B60" w:rsidR="00151C5D" w:rsidRPr="00C62419" w:rsidRDefault="00CF64AD" w:rsidP="000B6E2B">
      <w:pPr>
        <w:pStyle w:val="Paragraphe"/>
        <w:spacing w:line="240" w:lineRule="auto"/>
        <w:rPr>
          <w:rFonts w:cs="Arial"/>
          <w:lang w:val="en-CA"/>
        </w:rPr>
      </w:pPr>
      <w:r w:rsidRPr="00CF64AD">
        <w:rPr>
          <w:rFonts w:cs="Arial"/>
          <w:lang w:val="en-CA"/>
        </w:rPr>
        <w:t xml:space="preserve">A first element </w:t>
      </w:r>
      <w:r>
        <w:rPr>
          <w:rFonts w:cs="Arial"/>
          <w:lang w:val="en-CA"/>
        </w:rPr>
        <w:t>warrants</w:t>
      </w:r>
      <w:r w:rsidRPr="00CF64AD">
        <w:rPr>
          <w:rFonts w:cs="Arial"/>
          <w:lang w:val="en-CA"/>
        </w:rPr>
        <w:t xml:space="preserve"> mention. The opinion </w:t>
      </w:r>
      <w:r w:rsidR="00366334">
        <w:rPr>
          <w:rFonts w:cs="Arial"/>
          <w:lang w:val="en-CA"/>
        </w:rPr>
        <w:t>expressed</w:t>
      </w:r>
      <w:r w:rsidRPr="00CF64AD">
        <w:rPr>
          <w:rFonts w:cs="Arial"/>
          <w:lang w:val="en-CA"/>
        </w:rPr>
        <w:t xml:space="preserve"> by the two psychiatrists is based on the appellant</w:t>
      </w:r>
      <w:r w:rsidR="00366334">
        <w:rPr>
          <w:rFonts w:cs="Arial"/>
          <w:lang w:val="en-CA"/>
        </w:rPr>
        <w:t>’</w:t>
      </w:r>
      <w:r w:rsidRPr="00CF64AD">
        <w:rPr>
          <w:rFonts w:cs="Arial"/>
          <w:lang w:val="en-CA"/>
        </w:rPr>
        <w:t xml:space="preserve">s account of the events and his explanations. </w:t>
      </w:r>
      <w:r w:rsidR="00A1245D">
        <w:rPr>
          <w:rFonts w:cs="Arial"/>
          <w:lang w:val="en-CA"/>
        </w:rPr>
        <w:t>H</w:t>
      </w:r>
      <w:r w:rsidRPr="00CF64AD">
        <w:rPr>
          <w:rFonts w:cs="Arial"/>
          <w:lang w:val="en-CA"/>
        </w:rPr>
        <w:t>is testimony could be accepted or rejected, in whole or in part</w:t>
      </w:r>
      <w:r>
        <w:rPr>
          <w:rFonts w:cs="Arial"/>
          <w:lang w:val="en-CA"/>
        </w:rPr>
        <w:t>,</w:t>
      </w:r>
      <w:r w:rsidR="00151C5D" w:rsidRPr="00C62419">
        <w:rPr>
          <w:rStyle w:val="Appelnotedebasdep"/>
          <w:rFonts w:cs="Arial"/>
          <w:lang w:val="en-CA"/>
        </w:rPr>
        <w:footnoteReference w:id="15"/>
      </w:r>
      <w:r>
        <w:rPr>
          <w:rFonts w:cs="Arial"/>
          <w:lang w:val="en-CA"/>
        </w:rPr>
        <w:t xml:space="preserve"> </w:t>
      </w:r>
      <w:r w:rsidR="00A1245D">
        <w:rPr>
          <w:rFonts w:cs="Arial"/>
          <w:lang w:val="en-CA"/>
        </w:rPr>
        <w:t xml:space="preserve">however, </w:t>
      </w:r>
      <w:r w:rsidRPr="00CF64AD">
        <w:rPr>
          <w:rFonts w:cs="Arial"/>
          <w:lang w:val="en-CA"/>
        </w:rPr>
        <w:t xml:space="preserve">just like the </w:t>
      </w:r>
      <w:r>
        <w:rPr>
          <w:rFonts w:cs="Arial"/>
          <w:lang w:val="en-CA"/>
        </w:rPr>
        <w:t xml:space="preserve">experts’ </w:t>
      </w:r>
      <w:r w:rsidRPr="00CF64AD">
        <w:rPr>
          <w:rFonts w:cs="Arial"/>
          <w:lang w:val="en-CA"/>
        </w:rPr>
        <w:t>testimony</w:t>
      </w:r>
      <w:r>
        <w:rPr>
          <w:rFonts w:cs="Arial"/>
          <w:lang w:val="en-CA"/>
        </w:rPr>
        <w:t>.</w:t>
      </w:r>
      <w:r w:rsidR="00A32073" w:rsidRPr="00C62419">
        <w:rPr>
          <w:rStyle w:val="Appelnotedebasdep"/>
          <w:rFonts w:cs="Arial"/>
          <w:lang w:val="en-CA"/>
        </w:rPr>
        <w:footnoteReference w:id="16"/>
      </w:r>
    </w:p>
    <w:p w14:paraId="4904397F" w14:textId="662ED51B" w:rsidR="00151C5D" w:rsidRPr="00C62419" w:rsidRDefault="00CF64AD" w:rsidP="000B6E2B">
      <w:pPr>
        <w:pStyle w:val="Paragraphe"/>
        <w:spacing w:line="240" w:lineRule="auto"/>
        <w:rPr>
          <w:rFonts w:cs="Arial"/>
          <w:lang w:val="en-CA"/>
        </w:rPr>
      </w:pPr>
      <w:r>
        <w:rPr>
          <w:rFonts w:cs="Arial"/>
          <w:lang w:val="en-CA"/>
        </w:rPr>
        <w:t>A s</w:t>
      </w:r>
      <w:r w:rsidRPr="00CF64AD">
        <w:rPr>
          <w:rFonts w:cs="Arial"/>
          <w:lang w:val="en-CA"/>
        </w:rPr>
        <w:t xml:space="preserve">econd element, the burden of </w:t>
      </w:r>
      <w:r w:rsidR="006479CA">
        <w:rPr>
          <w:rFonts w:cs="Arial"/>
          <w:lang w:val="en-CA"/>
        </w:rPr>
        <w:t>proving</w:t>
      </w:r>
      <w:r w:rsidRPr="00CF64AD">
        <w:rPr>
          <w:rFonts w:cs="Arial"/>
          <w:lang w:val="en-CA"/>
        </w:rPr>
        <w:t xml:space="preserve"> the </w:t>
      </w:r>
      <w:r w:rsidR="008D2926">
        <w:rPr>
          <w:rFonts w:cs="Arial"/>
          <w:lang w:val="en-CA"/>
        </w:rPr>
        <w:t xml:space="preserve">defence of </w:t>
      </w:r>
      <w:r w:rsidRPr="00CF64AD">
        <w:rPr>
          <w:rFonts w:cs="Arial"/>
          <w:lang w:val="en-CA"/>
        </w:rPr>
        <w:t>mental disorder</w:t>
      </w:r>
      <w:r w:rsidR="00A26BDA">
        <w:rPr>
          <w:rFonts w:cs="Arial"/>
          <w:lang w:val="en-CA"/>
        </w:rPr>
        <w:t>,</w:t>
      </w:r>
      <w:r w:rsidR="00BC449A">
        <w:rPr>
          <w:rFonts w:cs="Arial"/>
          <w:lang w:val="en-CA"/>
        </w:rPr>
        <w:t xml:space="preserve"> </w:t>
      </w:r>
      <w:r w:rsidRPr="00CF64AD">
        <w:rPr>
          <w:rFonts w:cs="Arial"/>
          <w:lang w:val="en-CA"/>
        </w:rPr>
        <w:t>rested on the appellant</w:t>
      </w:r>
      <w:r w:rsidR="00151C5D" w:rsidRPr="00C62419">
        <w:rPr>
          <w:rFonts w:cs="Arial"/>
          <w:lang w:val="en-CA"/>
        </w:rPr>
        <w:t>.</w:t>
      </w:r>
    </w:p>
    <w:p w14:paraId="421EABE2" w14:textId="0801CAF1" w:rsidR="00151C5D" w:rsidRPr="00C62419" w:rsidRDefault="00CF64AD" w:rsidP="000B6E2B">
      <w:pPr>
        <w:pStyle w:val="Paragraphe"/>
        <w:spacing w:line="240" w:lineRule="auto"/>
        <w:rPr>
          <w:rFonts w:cs="Arial"/>
          <w:lang w:val="en-CA"/>
        </w:rPr>
      </w:pPr>
      <w:r>
        <w:rPr>
          <w:rFonts w:cs="Arial"/>
          <w:lang w:val="en-CA"/>
        </w:rPr>
        <w:t>A</w:t>
      </w:r>
      <w:r w:rsidRPr="00CF64AD">
        <w:rPr>
          <w:rFonts w:cs="Arial"/>
          <w:lang w:val="en-CA"/>
        </w:rPr>
        <w:t xml:space="preserve"> third element, crucial in this case, is the </w:t>
      </w:r>
      <w:r>
        <w:rPr>
          <w:rFonts w:cs="Arial"/>
          <w:lang w:val="en-CA"/>
        </w:rPr>
        <w:t>appellant’s</w:t>
      </w:r>
      <w:r w:rsidR="00BC449A">
        <w:rPr>
          <w:rFonts w:cs="Arial"/>
          <w:lang w:val="en-CA"/>
        </w:rPr>
        <w:t xml:space="preserve"> post-homicide</w:t>
      </w:r>
      <w:r>
        <w:rPr>
          <w:rFonts w:cs="Arial"/>
          <w:lang w:val="en-CA"/>
        </w:rPr>
        <w:t xml:space="preserve"> </w:t>
      </w:r>
      <w:r w:rsidR="004E603A">
        <w:rPr>
          <w:rFonts w:cs="Arial"/>
          <w:lang w:val="en-CA"/>
        </w:rPr>
        <w:t>conduct</w:t>
      </w:r>
      <w:r w:rsidRPr="00CF64AD">
        <w:rPr>
          <w:rFonts w:cs="Arial"/>
          <w:lang w:val="en-CA"/>
        </w:rPr>
        <w:t xml:space="preserve">. Without analyzing it in detail, it </w:t>
      </w:r>
      <w:r>
        <w:rPr>
          <w:rFonts w:cs="Arial"/>
          <w:lang w:val="en-CA"/>
        </w:rPr>
        <w:t>suffices</w:t>
      </w:r>
      <w:r w:rsidRPr="00CF64AD">
        <w:rPr>
          <w:rFonts w:cs="Arial"/>
          <w:lang w:val="en-CA"/>
        </w:rPr>
        <w:t xml:space="preserve"> to note that this evidence was relevant in  determin</w:t>
      </w:r>
      <w:r>
        <w:rPr>
          <w:rFonts w:cs="Arial"/>
          <w:lang w:val="en-CA"/>
        </w:rPr>
        <w:t>ing</w:t>
      </w:r>
      <w:r w:rsidRPr="00CF64AD">
        <w:rPr>
          <w:rFonts w:cs="Arial"/>
          <w:lang w:val="en-CA"/>
        </w:rPr>
        <w:t xml:space="preserve"> whether the appellant knew that what he was doing was wrong within the meaning of section 16.</w:t>
      </w:r>
      <w:r w:rsidR="00D751D7" w:rsidRPr="00C62419">
        <w:rPr>
          <w:rFonts w:cs="Arial"/>
          <w:lang w:val="en-CA"/>
        </w:rPr>
        <w:t xml:space="preserve"> </w:t>
      </w:r>
      <w:r w:rsidR="00D751D7" w:rsidRPr="00C62419">
        <w:rPr>
          <w:rFonts w:cs="Arial"/>
          <w:i/>
          <w:lang w:val="en-CA"/>
        </w:rPr>
        <w:t>C</w:t>
      </w:r>
      <w:r>
        <w:rPr>
          <w:rFonts w:cs="Arial"/>
          <w:i/>
          <w:lang w:val="en-CA"/>
        </w:rPr>
        <w:t>r</w:t>
      </w:r>
      <w:r w:rsidR="00D751D7" w:rsidRPr="00C62419">
        <w:rPr>
          <w:rFonts w:cs="Arial"/>
          <w:i/>
          <w:lang w:val="en-CA"/>
        </w:rPr>
        <w:t>.</w:t>
      </w:r>
      <w:r w:rsidR="009D27A8">
        <w:rPr>
          <w:rFonts w:cs="Arial"/>
          <w:i/>
          <w:lang w:val="en-CA"/>
        </w:rPr>
        <w:t xml:space="preserve"> </w:t>
      </w:r>
      <w:r>
        <w:rPr>
          <w:rFonts w:cs="Arial"/>
          <w:i/>
          <w:lang w:val="en-CA"/>
        </w:rPr>
        <w:t>C</w:t>
      </w:r>
      <w:r w:rsidR="00D751D7" w:rsidRPr="00C62419">
        <w:rPr>
          <w:rFonts w:cs="Arial"/>
          <w:i/>
          <w:lang w:val="en-CA"/>
        </w:rPr>
        <w:t>.</w:t>
      </w:r>
      <w:r>
        <w:rPr>
          <w:rFonts w:cs="Arial"/>
          <w:iCs/>
          <w:lang w:val="en-CA"/>
        </w:rPr>
        <w:t>,</w:t>
      </w:r>
      <w:r w:rsidR="00D751D7" w:rsidRPr="00C62419">
        <w:rPr>
          <w:rStyle w:val="Appelnotedebasdep"/>
          <w:rFonts w:cs="Arial"/>
          <w:lang w:val="en-CA"/>
        </w:rPr>
        <w:footnoteReference w:id="17"/>
      </w:r>
      <w:r w:rsidR="00553E54" w:rsidRPr="00C62419">
        <w:rPr>
          <w:rFonts w:cs="Arial"/>
          <w:lang w:val="en-CA"/>
        </w:rPr>
        <w:t xml:space="preserve"> </w:t>
      </w:r>
      <w:r w:rsidRPr="00CF64AD">
        <w:rPr>
          <w:rFonts w:cs="Arial"/>
          <w:lang w:val="en-CA"/>
        </w:rPr>
        <w:t xml:space="preserve">and it could </w:t>
      </w:r>
      <w:r w:rsidR="007B02D7">
        <w:rPr>
          <w:rFonts w:cs="Arial"/>
          <w:lang w:val="en-CA"/>
        </w:rPr>
        <w:t xml:space="preserve">have </w:t>
      </w:r>
      <w:r w:rsidRPr="00CF64AD">
        <w:rPr>
          <w:rFonts w:cs="Arial"/>
          <w:lang w:val="en-CA"/>
        </w:rPr>
        <w:t>cause</w:t>
      </w:r>
      <w:r w:rsidR="007B02D7">
        <w:rPr>
          <w:rFonts w:cs="Arial"/>
          <w:lang w:val="en-CA"/>
        </w:rPr>
        <w:t>d</w:t>
      </w:r>
      <w:r w:rsidRPr="00CF64AD">
        <w:rPr>
          <w:rFonts w:cs="Arial"/>
          <w:lang w:val="en-CA"/>
        </w:rPr>
        <w:t xml:space="preserve"> the jury to reject the </w:t>
      </w:r>
      <w:r w:rsidR="008D2926">
        <w:rPr>
          <w:rFonts w:cs="Arial"/>
          <w:lang w:val="en-CA"/>
        </w:rPr>
        <w:t xml:space="preserve">defence of </w:t>
      </w:r>
      <w:r w:rsidRPr="00CF64AD">
        <w:rPr>
          <w:rFonts w:cs="Arial"/>
          <w:lang w:val="en-CA"/>
        </w:rPr>
        <w:t>mental disorder.</w:t>
      </w:r>
    </w:p>
    <w:p w14:paraId="2DB4C269" w14:textId="486FD9C5" w:rsidR="00336FA9" w:rsidRPr="00C62419" w:rsidRDefault="00CF64AD" w:rsidP="000B6E2B">
      <w:pPr>
        <w:pStyle w:val="Paragraphe"/>
        <w:spacing w:line="240" w:lineRule="auto"/>
        <w:rPr>
          <w:lang w:val="en-CA"/>
        </w:rPr>
      </w:pPr>
      <w:r>
        <w:rPr>
          <w:lang w:val="en-CA"/>
        </w:rPr>
        <w:t>T</w:t>
      </w:r>
      <w:r w:rsidRPr="00CF64AD">
        <w:rPr>
          <w:lang w:val="en-CA"/>
        </w:rPr>
        <w:t xml:space="preserve">hese elements therefore provide a rational basis for rejecting the </w:t>
      </w:r>
      <w:r w:rsidR="008D2926">
        <w:rPr>
          <w:rFonts w:cs="Arial"/>
          <w:lang w:val="en-CA"/>
        </w:rPr>
        <w:t xml:space="preserve">defence of </w:t>
      </w:r>
      <w:r w:rsidRPr="00CF64AD">
        <w:rPr>
          <w:lang w:val="en-CA"/>
        </w:rPr>
        <w:t>mental disorder</w:t>
      </w:r>
      <w:r w:rsidR="007B02D7">
        <w:rPr>
          <w:lang w:val="en-CA"/>
        </w:rPr>
        <w:t>,</w:t>
      </w:r>
      <w:r>
        <w:rPr>
          <w:lang w:val="en-CA"/>
        </w:rPr>
        <w:t xml:space="preserve"> </w:t>
      </w:r>
      <w:r w:rsidRPr="00CF64AD">
        <w:rPr>
          <w:lang w:val="en-CA"/>
        </w:rPr>
        <w:t>and the jury</w:t>
      </w:r>
      <w:r w:rsidR="009D27A8">
        <w:rPr>
          <w:lang w:val="en-CA"/>
        </w:rPr>
        <w:t>’</w:t>
      </w:r>
      <w:r w:rsidRPr="00CF64AD">
        <w:rPr>
          <w:lang w:val="en-CA"/>
        </w:rPr>
        <w:t xml:space="preserve">s verdict cannot be characterized as unreasonable. The verdict of first degree murder could have been returned by a properly instructed jury, despite the difficulties raised by all of the evidence. </w:t>
      </w:r>
      <w:r w:rsidR="00372148">
        <w:rPr>
          <w:lang w:val="en-CA"/>
        </w:rPr>
        <w:t>Although</w:t>
      </w:r>
      <w:r w:rsidRPr="00CF64AD">
        <w:rPr>
          <w:lang w:val="en-CA"/>
        </w:rPr>
        <w:t xml:space="preserve"> this result appears less likely, the Court cannot exclude this possibility</w:t>
      </w:r>
      <w:r w:rsidR="00994C58" w:rsidRPr="00C62419">
        <w:rPr>
          <w:lang w:val="en-CA"/>
        </w:rPr>
        <w:t>.</w:t>
      </w:r>
    </w:p>
    <w:p w14:paraId="0A9310A9" w14:textId="7737A937" w:rsidR="00336FA9" w:rsidRPr="00C62419" w:rsidRDefault="000F5CF6" w:rsidP="000B6E2B">
      <w:pPr>
        <w:pStyle w:val="Paragraphe"/>
        <w:spacing w:line="240" w:lineRule="auto"/>
        <w:rPr>
          <w:rFonts w:cs="Arial"/>
          <w:lang w:val="en-CA"/>
        </w:rPr>
      </w:pPr>
      <w:r>
        <w:rPr>
          <w:rFonts w:cs="Arial"/>
          <w:lang w:val="en-CA"/>
        </w:rPr>
        <w:t>This ground must be rejected</w:t>
      </w:r>
      <w:r w:rsidR="00336FA9" w:rsidRPr="00C62419">
        <w:rPr>
          <w:rFonts w:cs="Arial"/>
          <w:lang w:val="en-CA"/>
        </w:rPr>
        <w:t>.</w:t>
      </w:r>
    </w:p>
    <w:p w14:paraId="46F2E70E" w14:textId="1D061270" w:rsidR="00151C5D" w:rsidRPr="00C62419" w:rsidRDefault="00146F0C" w:rsidP="000B6E2B">
      <w:pPr>
        <w:spacing w:before="120" w:after="120" w:line="240" w:lineRule="auto"/>
        <w:jc w:val="both"/>
        <w:rPr>
          <w:rFonts w:cs="Arial"/>
          <w:b/>
          <w:i/>
          <w:kern w:val="28"/>
          <w:lang w:val="en-CA"/>
        </w:rPr>
      </w:pPr>
      <w:r>
        <w:rPr>
          <w:rFonts w:cs="Arial"/>
          <w:b/>
          <w:i/>
          <w:kern w:val="28"/>
          <w:lang w:val="en-CA"/>
        </w:rPr>
        <w:t>SECOND</w:t>
      </w:r>
      <w:r w:rsidR="001C7193" w:rsidRPr="00C62419">
        <w:rPr>
          <w:rFonts w:cs="Arial"/>
          <w:b/>
          <w:i/>
          <w:kern w:val="28"/>
          <w:lang w:val="en-CA"/>
        </w:rPr>
        <w:t xml:space="preserve"> </w:t>
      </w:r>
      <w:r w:rsidR="000F5CF6">
        <w:rPr>
          <w:rFonts w:cs="Arial"/>
          <w:b/>
          <w:i/>
          <w:kern w:val="28"/>
          <w:lang w:val="en-CA"/>
        </w:rPr>
        <w:t>GROUND</w:t>
      </w:r>
      <w:r w:rsidR="00717BFB" w:rsidRPr="00C62419">
        <w:rPr>
          <w:rFonts w:cs="Arial"/>
          <w:b/>
          <w:i/>
          <w:kern w:val="28"/>
          <w:lang w:val="en-CA"/>
        </w:rPr>
        <w:t xml:space="preserve">: </w:t>
      </w:r>
      <w:r w:rsidR="000F5CF6" w:rsidRPr="000F5CF6">
        <w:rPr>
          <w:rFonts w:cs="Arial"/>
          <w:b/>
          <w:i/>
          <w:kern w:val="28"/>
          <w:lang w:val="en-CA"/>
        </w:rPr>
        <w:t xml:space="preserve">ERRORS COMMITTED BY THE JUDGE DURING THE </w:t>
      </w:r>
      <w:r w:rsidR="00BB3986">
        <w:rPr>
          <w:rFonts w:cs="Arial"/>
          <w:b/>
          <w:i/>
          <w:kern w:val="28"/>
          <w:lang w:val="en-CA"/>
        </w:rPr>
        <w:t>PRESENTATION</w:t>
      </w:r>
      <w:r w:rsidR="000F5CF6" w:rsidRPr="000F5CF6">
        <w:rPr>
          <w:rFonts w:cs="Arial"/>
          <w:b/>
          <w:i/>
          <w:kern w:val="28"/>
          <w:lang w:val="en-CA"/>
        </w:rPr>
        <w:t xml:space="preserve"> OF THE EVIDENCE AND DURING THE </w:t>
      </w:r>
      <w:r w:rsidR="00BB3986">
        <w:rPr>
          <w:rFonts w:cs="Arial"/>
          <w:b/>
          <w:i/>
          <w:kern w:val="28"/>
          <w:lang w:val="en-CA"/>
        </w:rPr>
        <w:t xml:space="preserve">CROWN’S </w:t>
      </w:r>
      <w:r w:rsidR="00B06856">
        <w:rPr>
          <w:rFonts w:cs="Arial"/>
          <w:b/>
          <w:i/>
          <w:kern w:val="28"/>
          <w:lang w:val="en-CA"/>
        </w:rPr>
        <w:t xml:space="preserve">ORAL </w:t>
      </w:r>
      <w:r w:rsidR="00BB3986">
        <w:rPr>
          <w:rFonts w:cs="Arial"/>
          <w:b/>
          <w:i/>
          <w:kern w:val="28"/>
          <w:lang w:val="en-CA"/>
        </w:rPr>
        <w:t>ARGUMENT</w:t>
      </w:r>
      <w:r w:rsidR="00EF3659">
        <w:rPr>
          <w:rFonts w:cs="Arial"/>
          <w:b/>
          <w:i/>
          <w:kern w:val="28"/>
          <w:lang w:val="en-CA"/>
        </w:rPr>
        <w:t>S</w:t>
      </w:r>
    </w:p>
    <w:p w14:paraId="11198324" w14:textId="2326FACA" w:rsidR="009D41B4" w:rsidRPr="00C62419" w:rsidRDefault="00BB3986" w:rsidP="000B6E2B">
      <w:pPr>
        <w:pStyle w:val="Paragraphe"/>
        <w:spacing w:line="240" w:lineRule="auto"/>
        <w:rPr>
          <w:rFonts w:cs="Arial"/>
          <w:lang w:val="en-CA"/>
        </w:rPr>
      </w:pPr>
      <w:bookmarkStart w:id="16" w:name="_Hlk114473537"/>
      <w:r w:rsidRPr="00BB3986">
        <w:rPr>
          <w:rFonts w:cs="Arial"/>
          <w:lang w:val="en-CA"/>
        </w:rPr>
        <w:t xml:space="preserve">The appellant </w:t>
      </w:r>
      <w:r>
        <w:rPr>
          <w:rFonts w:cs="Arial"/>
          <w:lang w:val="en-CA"/>
        </w:rPr>
        <w:t>contends</w:t>
      </w:r>
      <w:r w:rsidRPr="00BB3986">
        <w:rPr>
          <w:rFonts w:cs="Arial"/>
          <w:lang w:val="en-CA"/>
        </w:rPr>
        <w:t xml:space="preserve"> that the judge committed an error of law by allowing the </w:t>
      </w:r>
      <w:r>
        <w:rPr>
          <w:rFonts w:cs="Arial"/>
          <w:lang w:val="en-CA"/>
        </w:rPr>
        <w:t>Crown</w:t>
      </w:r>
      <w:r w:rsidRPr="00BB3986">
        <w:rPr>
          <w:rFonts w:cs="Arial"/>
          <w:lang w:val="en-CA"/>
        </w:rPr>
        <w:t xml:space="preserve"> to ask hypothetical questions </w:t>
      </w:r>
      <w:r>
        <w:rPr>
          <w:rFonts w:cs="Arial"/>
          <w:lang w:val="en-CA"/>
        </w:rPr>
        <w:t>of</w:t>
      </w:r>
      <w:r w:rsidRPr="00BB3986">
        <w:rPr>
          <w:rFonts w:cs="Arial"/>
          <w:lang w:val="en-CA"/>
        </w:rPr>
        <w:t xml:space="preserve"> the experts, when these questions were not justified by the evidence presented, and by allowing </w:t>
      </w:r>
      <w:r>
        <w:rPr>
          <w:rFonts w:cs="Arial"/>
          <w:lang w:val="en-CA"/>
        </w:rPr>
        <w:t xml:space="preserve">the Crown </w:t>
      </w:r>
      <w:r w:rsidRPr="00BB3986">
        <w:rPr>
          <w:rFonts w:cs="Arial"/>
          <w:lang w:val="en-CA"/>
        </w:rPr>
        <w:t xml:space="preserve">to </w:t>
      </w:r>
      <w:r>
        <w:rPr>
          <w:rFonts w:cs="Arial"/>
          <w:lang w:val="en-CA"/>
        </w:rPr>
        <w:t>argue</w:t>
      </w:r>
      <w:r w:rsidRPr="00BB3986">
        <w:rPr>
          <w:rFonts w:cs="Arial"/>
          <w:lang w:val="en-CA"/>
        </w:rPr>
        <w:t xml:space="preserve"> unproven </w:t>
      </w:r>
      <w:r w:rsidR="00BE6366">
        <w:rPr>
          <w:rFonts w:cs="Arial"/>
          <w:lang w:val="en-CA"/>
        </w:rPr>
        <w:t>assumptions</w:t>
      </w:r>
      <w:r w:rsidR="002F7675" w:rsidRPr="00C62419">
        <w:rPr>
          <w:rFonts w:cs="Arial"/>
          <w:lang w:val="en-CA"/>
        </w:rPr>
        <w:t>.</w:t>
      </w:r>
      <w:bookmarkEnd w:id="16"/>
    </w:p>
    <w:p w14:paraId="1E855D76" w14:textId="064981AF" w:rsidR="00151C5D" w:rsidRPr="00C62419" w:rsidRDefault="00880796" w:rsidP="000B6E2B">
      <w:pPr>
        <w:pStyle w:val="Paragraphe"/>
        <w:spacing w:line="240" w:lineRule="auto"/>
        <w:rPr>
          <w:rFonts w:cs="Arial"/>
          <w:lang w:val="en-CA"/>
        </w:rPr>
      </w:pPr>
      <w:r w:rsidRPr="00880796">
        <w:rPr>
          <w:rFonts w:cs="Arial"/>
          <w:lang w:val="en-CA"/>
        </w:rPr>
        <w:lastRenderedPageBreak/>
        <w:t xml:space="preserve">The </w:t>
      </w:r>
      <w:r>
        <w:rPr>
          <w:rFonts w:cs="Arial"/>
          <w:lang w:val="en-CA"/>
        </w:rPr>
        <w:t>Crown’s</w:t>
      </w:r>
      <w:r w:rsidRPr="00880796">
        <w:rPr>
          <w:rFonts w:cs="Arial"/>
          <w:lang w:val="en-CA"/>
        </w:rPr>
        <w:t xml:space="preserve"> arguments were that the appellant</w:t>
      </w:r>
      <w:r w:rsidR="00F6191F">
        <w:rPr>
          <w:rFonts w:cs="Arial"/>
          <w:lang w:val="en-CA"/>
        </w:rPr>
        <w:t>’</w:t>
      </w:r>
      <w:r w:rsidRPr="00880796">
        <w:rPr>
          <w:rFonts w:cs="Arial"/>
          <w:lang w:val="en-CA"/>
        </w:rPr>
        <w:t xml:space="preserve">s illness was only in its </w:t>
      </w:r>
      <w:r w:rsidR="002A2A04">
        <w:rPr>
          <w:rFonts w:cs="Arial"/>
          <w:lang w:val="en-CA"/>
        </w:rPr>
        <w:t>early stages</w:t>
      </w:r>
      <w:r w:rsidRPr="00880796">
        <w:rPr>
          <w:rFonts w:cs="Arial"/>
          <w:lang w:val="en-CA"/>
        </w:rPr>
        <w:t xml:space="preserve"> </w:t>
      </w:r>
      <w:r w:rsidR="00F6191F">
        <w:rPr>
          <w:rFonts w:cs="Arial"/>
          <w:lang w:val="en-CA"/>
        </w:rPr>
        <w:t xml:space="preserve">and </w:t>
      </w:r>
      <w:r w:rsidRPr="00880796">
        <w:rPr>
          <w:rFonts w:cs="Arial"/>
          <w:lang w:val="en-CA"/>
        </w:rPr>
        <w:t>that he subsequently rewrote the story and feigned the illness to doctors. In the appellant</w:t>
      </w:r>
      <w:r w:rsidR="00F6191F">
        <w:rPr>
          <w:rFonts w:cs="Arial"/>
          <w:lang w:val="en-CA"/>
        </w:rPr>
        <w:t>’</w:t>
      </w:r>
      <w:r w:rsidRPr="00880796">
        <w:rPr>
          <w:rFonts w:cs="Arial"/>
          <w:lang w:val="en-CA"/>
        </w:rPr>
        <w:t xml:space="preserve">s </w:t>
      </w:r>
      <w:r>
        <w:rPr>
          <w:rFonts w:cs="Arial"/>
          <w:lang w:val="en-CA"/>
        </w:rPr>
        <w:t>view</w:t>
      </w:r>
      <w:r w:rsidRPr="00880796">
        <w:rPr>
          <w:rFonts w:cs="Arial"/>
          <w:lang w:val="en-CA"/>
        </w:rPr>
        <w:t xml:space="preserve">, these </w:t>
      </w:r>
      <w:r w:rsidR="00BE6366">
        <w:rPr>
          <w:rFonts w:cs="Arial"/>
          <w:lang w:val="en-CA"/>
        </w:rPr>
        <w:t>assumptions</w:t>
      </w:r>
      <w:r w:rsidR="00BE6366" w:rsidRPr="00880796">
        <w:rPr>
          <w:rFonts w:cs="Arial"/>
          <w:lang w:val="en-CA"/>
        </w:rPr>
        <w:t xml:space="preserve"> </w:t>
      </w:r>
      <w:r w:rsidRPr="00880796">
        <w:rPr>
          <w:rFonts w:cs="Arial"/>
          <w:lang w:val="en-CA"/>
        </w:rPr>
        <w:t xml:space="preserve">contradicted the uncontradicted evidence of </w:t>
      </w:r>
      <w:r w:rsidR="00163B95">
        <w:rPr>
          <w:rFonts w:cs="Arial"/>
          <w:lang w:val="en-CA"/>
        </w:rPr>
        <w:t xml:space="preserve">a </w:t>
      </w:r>
      <w:r w:rsidRPr="00880796">
        <w:rPr>
          <w:rFonts w:cs="Arial"/>
          <w:lang w:val="en-CA"/>
        </w:rPr>
        <w:t>mental disorder.</w:t>
      </w:r>
    </w:p>
    <w:p w14:paraId="652764B0" w14:textId="3E3500C0" w:rsidR="00151C5D" w:rsidRPr="00C62419" w:rsidRDefault="00880796" w:rsidP="000B6E2B">
      <w:pPr>
        <w:pStyle w:val="Paragraphe"/>
        <w:spacing w:line="240" w:lineRule="auto"/>
        <w:rPr>
          <w:rFonts w:cs="Arial"/>
          <w:lang w:val="en-CA"/>
        </w:rPr>
      </w:pPr>
      <w:r w:rsidRPr="00880796">
        <w:rPr>
          <w:rFonts w:cs="Arial"/>
          <w:lang w:val="en-CA"/>
        </w:rPr>
        <w:t xml:space="preserve">The </w:t>
      </w:r>
      <w:r>
        <w:rPr>
          <w:rFonts w:cs="Arial"/>
          <w:lang w:val="en-CA"/>
        </w:rPr>
        <w:t>Crown</w:t>
      </w:r>
      <w:r w:rsidRPr="00880796">
        <w:rPr>
          <w:rFonts w:cs="Arial"/>
          <w:lang w:val="en-CA"/>
        </w:rPr>
        <w:t xml:space="preserve"> maintains that the judge </w:t>
      </w:r>
      <w:r>
        <w:rPr>
          <w:rFonts w:cs="Arial"/>
          <w:lang w:val="en-CA"/>
        </w:rPr>
        <w:t>did not err</w:t>
      </w:r>
      <w:r w:rsidRPr="00880796">
        <w:rPr>
          <w:rFonts w:cs="Arial"/>
          <w:lang w:val="en-CA"/>
        </w:rPr>
        <w:t xml:space="preserve"> </w:t>
      </w:r>
      <w:r w:rsidR="00B06856" w:rsidRPr="00880796">
        <w:rPr>
          <w:rFonts w:cs="Arial"/>
          <w:lang w:val="en-CA"/>
        </w:rPr>
        <w:t>in</w:t>
      </w:r>
      <w:r w:rsidR="00B06856">
        <w:rPr>
          <w:rFonts w:cs="Arial"/>
          <w:lang w:val="en-CA"/>
        </w:rPr>
        <w:t xml:space="preserve"> allowing</w:t>
      </w:r>
      <w:r w:rsidR="00163B95">
        <w:rPr>
          <w:rFonts w:cs="Arial"/>
          <w:lang w:val="en-CA"/>
        </w:rPr>
        <w:t xml:space="preserve"> it to</w:t>
      </w:r>
      <w:r w:rsidRPr="00880796">
        <w:rPr>
          <w:rFonts w:cs="Arial"/>
          <w:lang w:val="en-CA"/>
        </w:rPr>
        <w:t xml:space="preserve"> </w:t>
      </w:r>
      <w:r>
        <w:rPr>
          <w:rFonts w:cs="Arial"/>
          <w:lang w:val="en-CA"/>
        </w:rPr>
        <w:t xml:space="preserve">argue </w:t>
      </w:r>
      <w:r w:rsidRPr="00880796">
        <w:rPr>
          <w:rFonts w:cs="Arial"/>
          <w:lang w:val="en-CA"/>
        </w:rPr>
        <w:t>the lesser intensity of the</w:t>
      </w:r>
      <w:r w:rsidR="00094FE3">
        <w:rPr>
          <w:rFonts w:cs="Arial"/>
          <w:lang w:val="en-CA"/>
        </w:rPr>
        <w:t xml:space="preserve"> </w:t>
      </w:r>
      <w:r w:rsidRPr="00880796">
        <w:rPr>
          <w:rFonts w:cs="Arial"/>
          <w:lang w:val="en-CA"/>
        </w:rPr>
        <w:t xml:space="preserve">mental disorder and the rewriting of the events, since the forensic psychiatry </w:t>
      </w:r>
      <w:r>
        <w:rPr>
          <w:rFonts w:cs="Arial"/>
          <w:lang w:val="en-CA"/>
        </w:rPr>
        <w:t xml:space="preserve">experts </w:t>
      </w:r>
      <w:r w:rsidRPr="00880796">
        <w:rPr>
          <w:rFonts w:cs="Arial"/>
          <w:lang w:val="en-CA"/>
        </w:rPr>
        <w:t xml:space="preserve">did not </w:t>
      </w:r>
      <w:r w:rsidR="0000450E">
        <w:rPr>
          <w:rFonts w:cs="Arial"/>
          <w:lang w:val="en-CA"/>
        </w:rPr>
        <w:t>rule out</w:t>
      </w:r>
      <w:r w:rsidRPr="00880796">
        <w:rPr>
          <w:rFonts w:cs="Arial"/>
          <w:lang w:val="en-CA"/>
        </w:rPr>
        <w:t xml:space="preserve"> these two possibilities. As for </w:t>
      </w:r>
      <w:r>
        <w:rPr>
          <w:rFonts w:cs="Arial"/>
          <w:lang w:val="en-CA"/>
        </w:rPr>
        <w:t>feigning</w:t>
      </w:r>
      <w:r w:rsidRPr="00880796">
        <w:rPr>
          <w:rFonts w:cs="Arial"/>
          <w:lang w:val="en-CA"/>
        </w:rPr>
        <w:t xml:space="preserve"> the illness, </w:t>
      </w:r>
      <w:r>
        <w:rPr>
          <w:rFonts w:cs="Arial"/>
          <w:lang w:val="en-CA"/>
        </w:rPr>
        <w:t xml:space="preserve">the Crown </w:t>
      </w:r>
      <w:r w:rsidR="00D8783A">
        <w:rPr>
          <w:rFonts w:cs="Arial"/>
          <w:lang w:val="en-CA"/>
        </w:rPr>
        <w:t>considers that it</w:t>
      </w:r>
      <w:r w:rsidRPr="00880796">
        <w:rPr>
          <w:rFonts w:cs="Arial"/>
          <w:lang w:val="en-CA"/>
        </w:rPr>
        <w:t xml:space="preserve"> </w:t>
      </w:r>
      <w:r w:rsidR="0073217C">
        <w:rPr>
          <w:rFonts w:cs="Arial"/>
          <w:lang w:val="en-CA"/>
        </w:rPr>
        <w:t>did not make this argument in its submissions</w:t>
      </w:r>
      <w:r w:rsidR="00151C5D" w:rsidRPr="00C62419">
        <w:rPr>
          <w:rFonts w:cs="Arial"/>
          <w:lang w:val="en-CA"/>
        </w:rPr>
        <w:t>.</w:t>
      </w:r>
    </w:p>
    <w:p w14:paraId="102CA82B" w14:textId="126A89CA" w:rsidR="00F47205" w:rsidRPr="00C62419" w:rsidRDefault="00094FE3" w:rsidP="000B6E2B">
      <w:pPr>
        <w:pStyle w:val="Paragraphe"/>
        <w:spacing w:line="240" w:lineRule="auto"/>
        <w:rPr>
          <w:lang w:val="en-CA"/>
        </w:rPr>
      </w:pPr>
      <w:r w:rsidRPr="00094FE3">
        <w:rPr>
          <w:lang w:val="en-CA"/>
        </w:rPr>
        <w:t xml:space="preserve">It is appropriate first to briefly </w:t>
      </w:r>
      <w:r>
        <w:rPr>
          <w:lang w:val="en-CA"/>
        </w:rPr>
        <w:t>review</w:t>
      </w:r>
      <w:r w:rsidRPr="00094FE3">
        <w:rPr>
          <w:lang w:val="en-CA"/>
        </w:rPr>
        <w:t xml:space="preserve"> the legal principles </w:t>
      </w:r>
      <w:r w:rsidR="0073217C">
        <w:rPr>
          <w:lang w:val="en-CA"/>
        </w:rPr>
        <w:t>that</w:t>
      </w:r>
      <w:r w:rsidRPr="00094FE3">
        <w:rPr>
          <w:lang w:val="en-CA"/>
        </w:rPr>
        <w:t xml:space="preserve"> must govern the analysis of these </w:t>
      </w:r>
      <w:r>
        <w:rPr>
          <w:lang w:val="en-CA"/>
        </w:rPr>
        <w:t>grounds</w:t>
      </w:r>
      <w:r w:rsidR="00A44D69" w:rsidRPr="00C62419">
        <w:rPr>
          <w:lang w:val="en-CA"/>
        </w:rPr>
        <w:t>.</w:t>
      </w:r>
    </w:p>
    <w:p w14:paraId="1C3C35CB" w14:textId="1199E47B" w:rsidR="004F10FA" w:rsidRPr="00D8783A" w:rsidRDefault="00094FE3" w:rsidP="000B6E2B">
      <w:pPr>
        <w:pStyle w:val="Paragraphe"/>
        <w:spacing w:line="240" w:lineRule="auto"/>
        <w:rPr>
          <w:lang w:val="en-CA"/>
        </w:rPr>
      </w:pPr>
      <w:r>
        <w:rPr>
          <w:lang w:val="en-CA"/>
        </w:rPr>
        <w:t>The authors of the sixth edition of</w:t>
      </w:r>
      <w:r w:rsidR="004F10FA" w:rsidRPr="00C62419">
        <w:rPr>
          <w:lang w:val="en-CA"/>
        </w:rPr>
        <w:t xml:space="preserve"> </w:t>
      </w:r>
      <w:r w:rsidR="004F10FA" w:rsidRPr="0066627F">
        <w:rPr>
          <w:i/>
          <w:lang w:val="en-CA"/>
        </w:rPr>
        <w:t xml:space="preserve">The Law of Evidence </w:t>
      </w:r>
      <w:r w:rsidR="00D42388" w:rsidRPr="0066627F">
        <w:rPr>
          <w:i/>
          <w:lang w:val="en-CA"/>
        </w:rPr>
        <w:t>in Canada</w:t>
      </w:r>
      <w:r w:rsidR="00D42388" w:rsidRPr="00D8783A">
        <w:rPr>
          <w:i/>
          <w:lang w:val="en-CA"/>
        </w:rPr>
        <w:t xml:space="preserve"> </w:t>
      </w:r>
      <w:r w:rsidRPr="00D8783A">
        <w:rPr>
          <w:lang w:val="en-CA"/>
        </w:rPr>
        <w:t>summarize the principles that govern the use of hypothetical questions during the examination or cross-examination of an expert:</w:t>
      </w:r>
    </w:p>
    <w:p w14:paraId="4CE85AC0" w14:textId="67FA8CA0" w:rsidR="004F10FA" w:rsidRPr="0066627F" w:rsidRDefault="001371F9" w:rsidP="000B6E2B">
      <w:pPr>
        <w:pStyle w:val="Citationenretrait"/>
        <w:spacing w:line="240" w:lineRule="auto"/>
        <w:rPr>
          <w:lang w:val="en-CA"/>
        </w:rPr>
      </w:pPr>
      <w:r w:rsidRPr="0066627F">
        <w:rPr>
          <w:lang w:val="en-CA"/>
        </w:rPr>
        <w:t>12.168</w:t>
      </w:r>
      <w:r w:rsidR="004F10FA" w:rsidRPr="0066627F">
        <w:rPr>
          <w:lang w:val="en-CA"/>
        </w:rPr>
        <w:tab/>
        <w:t>If the expert lacks personal knowledge of the matters in issue and is called to give an opinion upon certain disputed facts, evidence of which has been or will be led at trial, the opinion may be elicited only through the vehicle of a hypothetical question. Where the opinion sought is predicated upon contested facts, counsel are required to use a hypothetical question …</w:t>
      </w:r>
    </w:p>
    <w:p w14:paraId="08EE65D3" w14:textId="04BDCAAF" w:rsidR="004F10FA" w:rsidRPr="0066627F" w:rsidRDefault="001371F9" w:rsidP="000B6E2B">
      <w:pPr>
        <w:pStyle w:val="Citationenretrait"/>
        <w:spacing w:line="240" w:lineRule="auto"/>
        <w:rPr>
          <w:lang w:val="en-CA"/>
        </w:rPr>
      </w:pPr>
      <w:r w:rsidRPr="0066627F">
        <w:rPr>
          <w:lang w:val="en-CA"/>
        </w:rPr>
        <w:t>12.170</w:t>
      </w:r>
      <w:r w:rsidR="001F205F" w:rsidRPr="0066627F">
        <w:rPr>
          <w:lang w:val="en-CA"/>
        </w:rPr>
        <w:tab/>
      </w:r>
      <w:r w:rsidR="004F10FA" w:rsidRPr="0066627F">
        <w:rPr>
          <w:lang w:val="en-CA"/>
        </w:rPr>
        <w:t xml:space="preserve">The trier of fact and not the experts determines whether a fact has been proven. Without a hypothetical question in which the expert is asked to assume that certain disputed facts given in evidence are true, there is the risk that the premise upon which the opinion is based will be accepted by the jury as conclusive or alternatively, the jury’s view of the evidence may be affected by the expert’s acceptance of a particular version of the facts. </w:t>
      </w:r>
    </w:p>
    <w:p w14:paraId="3CC4FC9C" w14:textId="6724871E" w:rsidR="004F10FA" w:rsidRPr="00D8783A" w:rsidRDefault="001371F9" w:rsidP="00BA625C">
      <w:pPr>
        <w:pStyle w:val="Citationenretrait"/>
        <w:keepNext/>
        <w:spacing w:line="240" w:lineRule="auto"/>
        <w:rPr>
          <w:lang w:val="en-CA"/>
        </w:rPr>
      </w:pPr>
      <w:r w:rsidRPr="0066627F">
        <w:rPr>
          <w:lang w:val="en-CA"/>
        </w:rPr>
        <w:t>12.171</w:t>
      </w:r>
      <w:r w:rsidR="004F10FA" w:rsidRPr="0066627F">
        <w:rPr>
          <w:lang w:val="en-CA"/>
        </w:rPr>
        <w:tab/>
        <w:t>The expert, in the absence of a hypothesis, would be placed in the untenable position of having to weigh evidence, assess credibility and choose</w:t>
      </w:r>
      <w:r w:rsidR="004F10FA" w:rsidRPr="00D8783A">
        <w:rPr>
          <w:lang w:val="en-CA"/>
        </w:rPr>
        <w:t xml:space="preserve"> </w:t>
      </w:r>
      <w:r w:rsidR="004F10FA" w:rsidRPr="0066627F">
        <w:rPr>
          <w:lang w:val="en-CA"/>
        </w:rPr>
        <w:t xml:space="preserve">amongst witnesses in order to determine the premise upon which the opinion is expressed. These matters are determined by the trier of fact and are not the responsibility or the proper role of the expert witness. If the expert bases her or his opinion on a global view of various pieces of evidence, it is difficult to determine the actual facts upon which the opinion was based. </w:t>
      </w:r>
      <w:r w:rsidR="004F10FA" w:rsidRPr="0066627F">
        <w:rPr>
          <w:u w:val="single"/>
          <w:lang w:val="en-CA"/>
        </w:rPr>
        <w:t>The trial judge must give careful directions to the jury to unravel the factual basis of an opinion when some of the facts are not proven or are rejected by them</w:t>
      </w:r>
      <w:r w:rsidR="004F10FA" w:rsidRPr="0066627F">
        <w:rPr>
          <w:lang w:val="en-CA"/>
        </w:rPr>
        <w:t xml:space="preserve">. If the trier of fact ultimately </w:t>
      </w:r>
      <w:r w:rsidR="004F10FA" w:rsidRPr="0066627F">
        <w:rPr>
          <w:lang w:val="en-CA"/>
        </w:rPr>
        <w:lastRenderedPageBreak/>
        <w:t>rejects the factual premises on which the opinion was based then, of course, the expert’s opinion must be rejected as well</w:t>
      </w:r>
      <w:r w:rsidR="00094FE3" w:rsidRPr="00D8783A">
        <w:rPr>
          <w:lang w:val="en-CA"/>
        </w:rPr>
        <w:t>.</w:t>
      </w:r>
      <w:r w:rsidR="004F10FA" w:rsidRPr="00D8783A">
        <w:rPr>
          <w:rStyle w:val="Appelnotedebasdep"/>
          <w:rFonts w:cs="Arial"/>
          <w:szCs w:val="22"/>
          <w:lang w:val="en-CA"/>
        </w:rPr>
        <w:footnoteReference w:id="18"/>
      </w:r>
    </w:p>
    <w:p w14:paraId="6C1BC5E9" w14:textId="18129C7E" w:rsidR="009A74B5" w:rsidRPr="00C62419" w:rsidRDefault="009A74B5" w:rsidP="00BA625C">
      <w:pPr>
        <w:pStyle w:val="Citationenretrait"/>
        <w:keepNext/>
        <w:spacing w:line="240" w:lineRule="auto"/>
        <w:jc w:val="right"/>
        <w:rPr>
          <w:lang w:val="en-CA"/>
        </w:rPr>
      </w:pPr>
      <w:r w:rsidRPr="00D8783A">
        <w:rPr>
          <w:lang w:val="en-CA"/>
        </w:rPr>
        <w:t>[</w:t>
      </w:r>
      <w:r w:rsidR="00094FE3" w:rsidRPr="00D8783A">
        <w:rPr>
          <w:lang w:val="en-CA"/>
        </w:rPr>
        <w:t>Emphasis added; references</w:t>
      </w:r>
      <w:r w:rsidR="00094FE3">
        <w:rPr>
          <w:lang w:val="en-CA"/>
        </w:rPr>
        <w:t xml:space="preserve"> omitted</w:t>
      </w:r>
      <w:r w:rsidR="000E1090">
        <w:rPr>
          <w:lang w:val="en-CA"/>
        </w:rPr>
        <w:t>.</w:t>
      </w:r>
      <w:r w:rsidRPr="00C62419">
        <w:rPr>
          <w:lang w:val="en-CA"/>
        </w:rPr>
        <w:t>]</w:t>
      </w:r>
    </w:p>
    <w:p w14:paraId="11463905" w14:textId="36DDFBBB" w:rsidR="00372F9D" w:rsidRPr="00C62419" w:rsidRDefault="00A0131E" w:rsidP="000B6E2B">
      <w:pPr>
        <w:pStyle w:val="Paragraphe"/>
        <w:spacing w:line="240" w:lineRule="auto"/>
        <w:rPr>
          <w:rFonts w:cs="Arial"/>
          <w:lang w:val="en-CA"/>
        </w:rPr>
      </w:pPr>
      <w:r w:rsidRPr="00A0131E">
        <w:rPr>
          <w:rFonts w:cs="Arial"/>
          <w:lang w:val="en-CA"/>
        </w:rPr>
        <w:t xml:space="preserve">Thus, if necessary, the jury must receive careful instructions that </w:t>
      </w:r>
      <w:r w:rsidR="00BB6173">
        <w:rPr>
          <w:rFonts w:cs="Arial"/>
          <w:lang w:val="en-CA"/>
        </w:rPr>
        <w:t>enable</w:t>
      </w:r>
      <w:r w:rsidR="00BB6173" w:rsidRPr="00A0131E">
        <w:rPr>
          <w:rFonts w:cs="Arial"/>
          <w:lang w:val="en-CA"/>
        </w:rPr>
        <w:t xml:space="preserve"> it</w:t>
      </w:r>
      <w:r w:rsidRPr="00A0131E">
        <w:rPr>
          <w:rFonts w:cs="Arial"/>
          <w:lang w:val="en-CA"/>
        </w:rPr>
        <w:t xml:space="preserve"> to identify the evidence relevant to its determinations. The absence of any factual basis may require the trial judge to instruct the jury that the hypothesis presented has no weight and should be completely </w:t>
      </w:r>
      <w:r w:rsidR="00B2563D">
        <w:rPr>
          <w:rFonts w:cs="Arial"/>
          <w:lang w:val="en-CA"/>
        </w:rPr>
        <w:t>disregarded</w:t>
      </w:r>
      <w:r w:rsidRPr="00A0131E">
        <w:rPr>
          <w:rFonts w:cs="Arial"/>
          <w:lang w:val="en-CA"/>
        </w:rPr>
        <w:t>.</w:t>
      </w:r>
      <w:r w:rsidR="00541769" w:rsidRPr="00C62419">
        <w:rPr>
          <w:rStyle w:val="Appelnotedebasdep"/>
          <w:szCs w:val="22"/>
          <w:lang w:val="en-CA"/>
        </w:rPr>
        <w:footnoteReference w:id="19"/>
      </w:r>
    </w:p>
    <w:p w14:paraId="5CDA3BB4" w14:textId="6EC3E11E" w:rsidR="0097099D" w:rsidRPr="00C62419" w:rsidRDefault="00CE0FDF" w:rsidP="000B6E2B">
      <w:pPr>
        <w:pStyle w:val="Paragraphe"/>
        <w:spacing w:line="240" w:lineRule="auto"/>
        <w:rPr>
          <w:lang w:val="en-CA"/>
        </w:rPr>
      </w:pPr>
      <w:r>
        <w:rPr>
          <w:lang w:val="en-CA"/>
        </w:rPr>
        <w:t>Moreover</w:t>
      </w:r>
      <w:r w:rsidR="00B2563D" w:rsidRPr="00B2563D">
        <w:rPr>
          <w:lang w:val="en-CA"/>
        </w:rPr>
        <w:t xml:space="preserve">, the important distinction between an inference and </w:t>
      </w:r>
      <w:r w:rsidR="00C8484A">
        <w:rPr>
          <w:lang w:val="en-CA"/>
        </w:rPr>
        <w:t>speculation</w:t>
      </w:r>
      <w:r>
        <w:rPr>
          <w:lang w:val="en-CA"/>
        </w:rPr>
        <w:t xml:space="preserve"> should be noted</w:t>
      </w:r>
      <w:r w:rsidR="00B2563D" w:rsidRPr="00B2563D">
        <w:rPr>
          <w:lang w:val="en-CA"/>
        </w:rPr>
        <w:t xml:space="preserve">. It is the existence of a factual basis that allows an inference to be drawn, because, without such a basis, the inference simply </w:t>
      </w:r>
      <w:r w:rsidR="004375C6">
        <w:rPr>
          <w:lang w:val="en-CA"/>
        </w:rPr>
        <w:t>gives way to</w:t>
      </w:r>
      <w:r w:rsidR="00B2563D" w:rsidRPr="00B2563D">
        <w:rPr>
          <w:lang w:val="en-CA"/>
        </w:rPr>
        <w:t xml:space="preserve"> </w:t>
      </w:r>
      <w:r w:rsidR="00C8484A">
        <w:rPr>
          <w:lang w:val="en-CA"/>
        </w:rPr>
        <w:t>speculation</w:t>
      </w:r>
      <w:r w:rsidR="00B2563D" w:rsidRPr="00B2563D">
        <w:rPr>
          <w:lang w:val="en-CA"/>
        </w:rPr>
        <w:t>.</w:t>
      </w:r>
      <w:r w:rsidR="00541769" w:rsidRPr="00C62419">
        <w:rPr>
          <w:rStyle w:val="Appelnotedebasdep"/>
          <w:szCs w:val="22"/>
          <w:lang w:val="en-CA"/>
        </w:rPr>
        <w:footnoteReference w:id="20"/>
      </w:r>
      <w:r w:rsidR="00541769" w:rsidRPr="00C62419">
        <w:rPr>
          <w:lang w:val="en-CA"/>
        </w:rPr>
        <w:t> </w:t>
      </w:r>
    </w:p>
    <w:p w14:paraId="0F324047" w14:textId="5F4172DD" w:rsidR="00DD3203" w:rsidRPr="000A52E0" w:rsidRDefault="004E2160" w:rsidP="000B6E2B">
      <w:pPr>
        <w:pStyle w:val="Paragraphe"/>
        <w:spacing w:line="240" w:lineRule="auto"/>
        <w:rPr>
          <w:lang w:val="en-CA"/>
        </w:rPr>
      </w:pPr>
      <w:r w:rsidRPr="004E2160">
        <w:rPr>
          <w:lang w:val="en-CA"/>
        </w:rPr>
        <w:t>As</w:t>
      </w:r>
      <w:r w:rsidR="0097099D" w:rsidRPr="004E2160">
        <w:rPr>
          <w:lang w:val="en-CA"/>
        </w:rPr>
        <w:t xml:space="preserve"> Kasirer </w:t>
      </w:r>
      <w:r w:rsidRPr="004E2160">
        <w:rPr>
          <w:lang w:val="en-CA"/>
        </w:rPr>
        <w:t>J. explain</w:t>
      </w:r>
      <w:r w:rsidR="003F5EC3">
        <w:rPr>
          <w:lang w:val="en-CA"/>
        </w:rPr>
        <w:t>ed</w:t>
      </w:r>
      <w:r w:rsidRPr="004E2160">
        <w:rPr>
          <w:lang w:val="en-CA"/>
        </w:rPr>
        <w:t xml:space="preserve"> in</w:t>
      </w:r>
      <w:r w:rsidR="0097099D" w:rsidRPr="004E2160">
        <w:rPr>
          <w:lang w:val="en-CA"/>
        </w:rPr>
        <w:t xml:space="preserve"> </w:t>
      </w:r>
      <w:r w:rsidR="0097099D" w:rsidRPr="004E2160">
        <w:rPr>
          <w:i/>
          <w:lang w:val="en-CA"/>
        </w:rPr>
        <w:t>Sherman</w:t>
      </w:r>
      <w:r w:rsidR="0097099D" w:rsidRPr="000A52E0">
        <w:rPr>
          <w:lang w:val="en-CA"/>
        </w:rPr>
        <w:t xml:space="preserve">, </w:t>
      </w:r>
      <w:r w:rsidRPr="0066627F">
        <w:rPr>
          <w:lang w:val="en-CA"/>
        </w:rPr>
        <w:t>“</w:t>
      </w:r>
      <w:r w:rsidR="0097099D" w:rsidRPr="0066627F">
        <w:rPr>
          <w:lang w:val="en-CA"/>
        </w:rPr>
        <w:t>[</w:t>
      </w:r>
      <w:r w:rsidRPr="0066627F">
        <w:rPr>
          <w:lang w:val="en-CA"/>
        </w:rPr>
        <w:t>a</w:t>
      </w:r>
      <w:r w:rsidR="0097099D" w:rsidRPr="0066627F">
        <w:rPr>
          <w:lang w:val="en-CA"/>
        </w:rPr>
        <w:t xml:space="preserve">]n </w:t>
      </w:r>
      <w:r w:rsidRPr="0066627F">
        <w:rPr>
          <w:color w:val="000000"/>
          <w:lang w:val="en-CA"/>
        </w:rPr>
        <w:t>inference must still be grounded in objective circumstantial facts that reasonably allow the finding to be made inferentially. Where the inference cannot reasonably be drawn from the circumstances, it amounts to speculation”.</w:t>
      </w:r>
      <w:r w:rsidR="0097099D" w:rsidRPr="000A52E0">
        <w:rPr>
          <w:rStyle w:val="Appelnotedebasdep"/>
          <w:lang w:val="en-CA"/>
        </w:rPr>
        <w:footnoteReference w:id="21"/>
      </w:r>
    </w:p>
    <w:p w14:paraId="3426E199" w14:textId="67C56FF5" w:rsidR="00FE48CE" w:rsidRPr="000A52E0" w:rsidRDefault="003F5EC3" w:rsidP="000B6E2B">
      <w:pPr>
        <w:pStyle w:val="Paragraphe"/>
        <w:spacing w:line="240" w:lineRule="auto"/>
        <w:rPr>
          <w:rFonts w:cs="Arial"/>
          <w:lang w:val="en-CA"/>
        </w:rPr>
      </w:pPr>
      <w:r>
        <w:rPr>
          <w:rFonts w:cs="Arial"/>
          <w:lang w:val="en-CA"/>
        </w:rPr>
        <w:t>It should also be n</w:t>
      </w:r>
      <w:r w:rsidR="004E2160" w:rsidRPr="000A52E0">
        <w:rPr>
          <w:rFonts w:cs="Arial"/>
          <w:lang w:val="en-CA"/>
        </w:rPr>
        <w:t>ote</w:t>
      </w:r>
      <w:r>
        <w:rPr>
          <w:rFonts w:cs="Arial"/>
          <w:lang w:val="en-CA"/>
        </w:rPr>
        <w:t>d</w:t>
      </w:r>
      <w:r w:rsidR="004E2160" w:rsidRPr="000A52E0">
        <w:rPr>
          <w:rFonts w:cs="Arial"/>
          <w:lang w:val="en-CA"/>
        </w:rPr>
        <w:t xml:space="preserve"> that the closing </w:t>
      </w:r>
      <w:r w:rsidR="00DC7814">
        <w:rPr>
          <w:rFonts w:cs="Arial"/>
          <w:lang w:val="en-CA"/>
        </w:rPr>
        <w:t xml:space="preserve">arguments </w:t>
      </w:r>
      <w:r w:rsidR="004E2160" w:rsidRPr="000A52E0">
        <w:rPr>
          <w:rFonts w:cs="Arial"/>
          <w:lang w:val="en-CA"/>
        </w:rPr>
        <w:t xml:space="preserve">of the parties, particularly the Crown’s, </w:t>
      </w:r>
      <w:r w:rsidR="00AE54FE" w:rsidRPr="000A52E0">
        <w:rPr>
          <w:rFonts w:cs="Arial"/>
          <w:lang w:val="en-CA"/>
        </w:rPr>
        <w:t>are</w:t>
      </w:r>
      <w:r w:rsidR="004E2160" w:rsidRPr="000A52E0">
        <w:rPr>
          <w:rFonts w:cs="Arial"/>
          <w:lang w:val="en-CA"/>
        </w:rPr>
        <w:t xml:space="preserve"> </w:t>
      </w:r>
      <w:r w:rsidR="00AE54FE" w:rsidRPr="000A52E0">
        <w:rPr>
          <w:rFonts w:cs="Arial"/>
          <w:lang w:val="en-CA"/>
        </w:rPr>
        <w:t xml:space="preserve">subject to </w:t>
      </w:r>
      <w:r w:rsidR="004E2160" w:rsidRPr="000A52E0">
        <w:rPr>
          <w:rFonts w:cs="Arial"/>
          <w:lang w:val="en-CA"/>
        </w:rPr>
        <w:t xml:space="preserve">a principle of fairness that was well defined by Gonthier J. in </w:t>
      </w:r>
      <w:r w:rsidR="00FE48CE" w:rsidRPr="000A52E0">
        <w:rPr>
          <w:rFonts w:cs="Arial"/>
          <w:i/>
          <w:lang w:val="en-CA"/>
        </w:rPr>
        <w:t>Rose</w:t>
      </w:r>
      <w:r w:rsidR="004D532B" w:rsidRPr="000A52E0">
        <w:rPr>
          <w:rFonts w:cs="Arial"/>
          <w:lang w:val="en-CA"/>
        </w:rPr>
        <w:t>:</w:t>
      </w:r>
      <w:r w:rsidR="00FE48CE" w:rsidRPr="000A52E0">
        <w:rPr>
          <w:rFonts w:cs="Arial"/>
          <w:lang w:val="en-CA"/>
        </w:rPr>
        <w:t xml:space="preserve"> </w:t>
      </w:r>
    </w:p>
    <w:p w14:paraId="7402AA71" w14:textId="6C717423" w:rsidR="00FE48CE" w:rsidRPr="00C62419" w:rsidRDefault="0033793A" w:rsidP="000B6E2B">
      <w:pPr>
        <w:pStyle w:val="Citationenretrait"/>
        <w:spacing w:line="240" w:lineRule="auto"/>
        <w:rPr>
          <w:lang w:val="en-CA"/>
        </w:rPr>
      </w:pPr>
      <w:r w:rsidRPr="0066627F">
        <w:rPr>
          <w:lang w:val="en-CA"/>
        </w:rPr>
        <w:t xml:space="preserve">In presenting closing </w:t>
      </w:r>
      <w:r w:rsidR="00DC7814">
        <w:rPr>
          <w:lang w:val="en-CA"/>
        </w:rPr>
        <w:t>arguments</w:t>
      </w:r>
      <w:r w:rsidR="00DC7814" w:rsidRPr="0066627F">
        <w:rPr>
          <w:lang w:val="en-CA"/>
        </w:rPr>
        <w:t xml:space="preserve"> </w:t>
      </w:r>
      <w:r w:rsidRPr="0066627F">
        <w:rPr>
          <w:lang w:val="en-CA"/>
        </w:rPr>
        <w:t xml:space="preserve">to the jury, Crown counsel must be accurate and dispassionate. Counsel should not advert to any unproven facts and cannot put before the jury as facts to be considered for conviction assertions in relation to which there is no evidence or which come from counsel's personal observations or experiences </w:t>
      </w:r>
      <w:r w:rsidR="00FE48CE" w:rsidRPr="0066627F">
        <w:rPr>
          <w:lang w:val="en-CA"/>
        </w:rPr>
        <w:t xml:space="preserve">… </w:t>
      </w:r>
      <w:r w:rsidRPr="0066627F">
        <w:rPr>
          <w:lang w:val="en-CA"/>
        </w:rPr>
        <w:t>Crown counsel is duty bound during its jury address to remain true to the evidence, and must limit his or her means of persuasion to facts found in the evidence presented to the jury</w:t>
      </w:r>
      <w:r w:rsidR="00046E3F">
        <w:rPr>
          <w:lang w:val="en-CA"/>
        </w:rPr>
        <w:t xml:space="preserve"> </w:t>
      </w:r>
      <w:r w:rsidR="000B142F" w:rsidRPr="0066627F">
        <w:rPr>
          <w:lang w:val="en-CA"/>
        </w:rPr>
        <w:t xml:space="preserve">… </w:t>
      </w:r>
      <w:r w:rsidRPr="0066627F">
        <w:rPr>
          <w:lang w:val="en-CA"/>
        </w:rPr>
        <w:t>As is discussed in more detail below, the discretion of the trial judge to deal with those situations in which Crown counsel</w:t>
      </w:r>
      <w:r w:rsidR="00425A29">
        <w:rPr>
          <w:lang w:val="en-CA"/>
        </w:rPr>
        <w:t>’</w:t>
      </w:r>
      <w:r w:rsidRPr="0066627F">
        <w:rPr>
          <w:lang w:val="en-CA"/>
        </w:rPr>
        <w:t>s address oversteps the bounds of propriety is a sufficient safeguard against any potential unfairness to the accused</w:t>
      </w:r>
      <w:r w:rsidR="00FE48CE" w:rsidRPr="0066627F">
        <w:rPr>
          <w:lang w:val="en-CA"/>
        </w:rPr>
        <w:t>.</w:t>
      </w:r>
      <w:r w:rsidR="004D532B" w:rsidRPr="000A52E0">
        <w:rPr>
          <w:rStyle w:val="Appelnotedebasdep"/>
          <w:rFonts w:cs="Arial"/>
          <w:lang w:val="en-CA"/>
        </w:rPr>
        <w:footnoteReference w:id="22"/>
      </w:r>
    </w:p>
    <w:p w14:paraId="33148FDF" w14:textId="17CDAAD4" w:rsidR="00312D47" w:rsidRPr="00C62419" w:rsidRDefault="00910D69" w:rsidP="000B6E2B">
      <w:pPr>
        <w:pStyle w:val="Paragraphe"/>
        <w:numPr>
          <w:ilvl w:val="0"/>
          <w:numId w:val="0"/>
        </w:numPr>
        <w:spacing w:line="240" w:lineRule="auto"/>
        <w:ind w:right="715"/>
        <w:jc w:val="right"/>
        <w:rPr>
          <w:sz w:val="22"/>
          <w:lang w:val="en-CA"/>
        </w:rPr>
      </w:pPr>
      <w:r w:rsidRPr="00C62419">
        <w:rPr>
          <w:sz w:val="22"/>
          <w:lang w:val="en-CA"/>
        </w:rPr>
        <w:t xml:space="preserve"> </w:t>
      </w:r>
      <w:r w:rsidR="00312D47" w:rsidRPr="00C62419">
        <w:rPr>
          <w:sz w:val="22"/>
          <w:lang w:val="en-CA"/>
        </w:rPr>
        <w:t>[</w:t>
      </w:r>
      <w:r w:rsidR="004E2160">
        <w:rPr>
          <w:sz w:val="22"/>
          <w:lang w:val="en-CA"/>
        </w:rPr>
        <w:t>References omitted</w:t>
      </w:r>
      <w:r w:rsidR="000E1090">
        <w:rPr>
          <w:sz w:val="22"/>
          <w:lang w:val="en-CA"/>
        </w:rPr>
        <w:t>.</w:t>
      </w:r>
      <w:r w:rsidR="00312D47" w:rsidRPr="00C62419">
        <w:rPr>
          <w:sz w:val="22"/>
          <w:lang w:val="en-CA"/>
        </w:rPr>
        <w:t>]</w:t>
      </w:r>
    </w:p>
    <w:p w14:paraId="4B66BE53" w14:textId="66692C81" w:rsidR="000930C5" w:rsidRPr="00C62419" w:rsidRDefault="00822C98" w:rsidP="000B6E2B">
      <w:pPr>
        <w:pStyle w:val="Paragraphe"/>
        <w:spacing w:line="240" w:lineRule="auto"/>
        <w:rPr>
          <w:rFonts w:cs="Arial"/>
          <w:lang w:val="en-CA"/>
        </w:rPr>
      </w:pPr>
      <w:r w:rsidRPr="00822C98">
        <w:rPr>
          <w:rFonts w:cs="Arial"/>
          <w:lang w:val="en-CA"/>
        </w:rPr>
        <w:lastRenderedPageBreak/>
        <w:t xml:space="preserve">The </w:t>
      </w:r>
      <w:r>
        <w:rPr>
          <w:rFonts w:cs="Arial"/>
          <w:lang w:val="en-CA"/>
        </w:rPr>
        <w:t>Crown</w:t>
      </w:r>
      <w:r w:rsidRPr="00822C98">
        <w:rPr>
          <w:rFonts w:cs="Arial"/>
          <w:lang w:val="en-CA"/>
        </w:rPr>
        <w:t xml:space="preserve"> cannot therefore make observations that are not supported by the evidence</w:t>
      </w:r>
      <w:r>
        <w:rPr>
          <w:rFonts w:cs="Arial"/>
          <w:lang w:val="en-CA"/>
        </w:rPr>
        <w:t>.</w:t>
      </w:r>
      <w:r w:rsidR="000930C5" w:rsidRPr="00C62419">
        <w:rPr>
          <w:rStyle w:val="Appelnotedebasdep"/>
          <w:rFonts w:cs="Arial"/>
          <w:lang w:val="en-CA"/>
        </w:rPr>
        <w:footnoteReference w:id="23"/>
      </w:r>
    </w:p>
    <w:p w14:paraId="593AED3A" w14:textId="143A7053" w:rsidR="0034008B" w:rsidRPr="00C62419" w:rsidRDefault="00E653FD" w:rsidP="000B6E2B">
      <w:pPr>
        <w:pStyle w:val="Paragraphe"/>
        <w:spacing w:line="240" w:lineRule="auto"/>
        <w:rPr>
          <w:rFonts w:cs="Arial"/>
          <w:lang w:val="en-CA"/>
        </w:rPr>
      </w:pPr>
      <w:r>
        <w:rPr>
          <w:rFonts w:cs="Arial"/>
          <w:lang w:val="en-CA"/>
        </w:rPr>
        <w:t>Last</w:t>
      </w:r>
      <w:r w:rsidR="00822C98" w:rsidRPr="00822C98">
        <w:rPr>
          <w:rFonts w:cs="Arial"/>
          <w:lang w:val="en-CA"/>
        </w:rPr>
        <w:t xml:space="preserve">, </w:t>
      </w:r>
      <w:r w:rsidR="00AE54FE">
        <w:rPr>
          <w:rFonts w:cs="Arial"/>
          <w:lang w:val="en-CA"/>
        </w:rPr>
        <w:t>a distinction must be made</w:t>
      </w:r>
      <w:r>
        <w:rPr>
          <w:rFonts w:cs="Arial"/>
          <w:lang w:val="en-CA"/>
        </w:rPr>
        <w:t xml:space="preserve"> between</w:t>
      </w:r>
      <w:r w:rsidR="00822C98" w:rsidRPr="00822C98">
        <w:rPr>
          <w:rFonts w:cs="Arial"/>
          <w:lang w:val="en-CA"/>
        </w:rPr>
        <w:t xml:space="preserve"> the questions asked </w:t>
      </w:r>
      <w:r w:rsidR="00822C98">
        <w:rPr>
          <w:rFonts w:cs="Arial"/>
          <w:lang w:val="en-CA"/>
        </w:rPr>
        <w:t>of</w:t>
      </w:r>
      <w:r w:rsidR="00822C98" w:rsidRPr="00822C98">
        <w:rPr>
          <w:rFonts w:cs="Arial"/>
          <w:lang w:val="en-CA"/>
        </w:rPr>
        <w:t xml:space="preserve"> the experts </w:t>
      </w:r>
      <w:r w:rsidR="00822C98">
        <w:rPr>
          <w:rFonts w:cs="Arial"/>
          <w:lang w:val="en-CA"/>
        </w:rPr>
        <w:t>during</w:t>
      </w:r>
      <w:r w:rsidR="00822C98" w:rsidRPr="00822C98">
        <w:rPr>
          <w:rFonts w:cs="Arial"/>
          <w:lang w:val="en-CA"/>
        </w:rPr>
        <w:t xml:space="preserve"> cross-examination by the </w:t>
      </w:r>
      <w:r w:rsidR="00822C98">
        <w:rPr>
          <w:rFonts w:cs="Arial"/>
          <w:lang w:val="en-CA"/>
        </w:rPr>
        <w:t>Crown</w:t>
      </w:r>
      <w:r w:rsidR="00822C98" w:rsidRPr="00822C98">
        <w:rPr>
          <w:rFonts w:cs="Arial"/>
          <w:lang w:val="en-CA"/>
        </w:rPr>
        <w:t xml:space="preserve"> and its </w:t>
      </w:r>
      <w:r w:rsidR="00822C98">
        <w:rPr>
          <w:rFonts w:cs="Arial"/>
          <w:lang w:val="en-CA"/>
        </w:rPr>
        <w:t>closing</w:t>
      </w:r>
      <w:r w:rsidR="00822C98" w:rsidRPr="00822C98">
        <w:rPr>
          <w:rFonts w:cs="Arial"/>
          <w:lang w:val="en-CA"/>
        </w:rPr>
        <w:t xml:space="preserve"> argument</w:t>
      </w:r>
      <w:r w:rsidR="00821982">
        <w:rPr>
          <w:rFonts w:cs="Arial"/>
          <w:lang w:val="en-CA"/>
        </w:rPr>
        <w:t>s</w:t>
      </w:r>
      <w:r w:rsidR="00822C98" w:rsidRPr="00822C98">
        <w:rPr>
          <w:rFonts w:cs="Arial"/>
          <w:lang w:val="en-CA"/>
        </w:rPr>
        <w:t>.</w:t>
      </w:r>
      <w:r w:rsidR="00822C98">
        <w:rPr>
          <w:rFonts w:cs="Arial"/>
          <w:lang w:val="en-CA"/>
        </w:rPr>
        <w:t xml:space="preserve"> </w:t>
      </w:r>
      <w:r w:rsidR="0034008B" w:rsidRPr="00C62419">
        <w:rPr>
          <w:rFonts w:cs="Arial"/>
          <w:i/>
          <w:lang w:val="en-CA"/>
        </w:rPr>
        <w:t>Lyttle</w:t>
      </w:r>
      <w:r w:rsidR="0034008B" w:rsidRPr="00C62419">
        <w:rPr>
          <w:rFonts w:cs="Arial"/>
          <w:lang w:val="en-CA"/>
        </w:rPr>
        <w:t xml:space="preserve"> </w:t>
      </w:r>
      <w:r w:rsidR="00822C98" w:rsidRPr="00822C98">
        <w:rPr>
          <w:rFonts w:cs="Arial"/>
          <w:lang w:val="en-CA"/>
        </w:rPr>
        <w:t xml:space="preserve">recognizes that lawyers have wide latitude to use </w:t>
      </w:r>
      <w:r w:rsidR="00BE6366">
        <w:rPr>
          <w:rFonts w:cs="Arial"/>
          <w:lang w:val="en-CA"/>
        </w:rPr>
        <w:t>assumptions</w:t>
      </w:r>
      <w:r w:rsidR="00BE6366" w:rsidRPr="00822C98">
        <w:rPr>
          <w:rFonts w:cs="Arial"/>
          <w:lang w:val="en-CA"/>
        </w:rPr>
        <w:t xml:space="preserve"> </w:t>
      </w:r>
      <w:r w:rsidR="00822C98" w:rsidRPr="00822C98">
        <w:rPr>
          <w:rFonts w:cs="Arial"/>
          <w:lang w:val="en-CA"/>
        </w:rPr>
        <w:t>in cross-examination</w:t>
      </w:r>
      <w:r w:rsidR="00822C98">
        <w:rPr>
          <w:rFonts w:cs="Arial"/>
          <w:lang w:val="en-CA"/>
        </w:rPr>
        <w:t>.</w:t>
      </w:r>
      <w:r w:rsidR="0034008B" w:rsidRPr="00C62419">
        <w:rPr>
          <w:rStyle w:val="Appelnotedebasdep"/>
          <w:rFonts w:cs="Arial"/>
          <w:lang w:val="en-CA"/>
        </w:rPr>
        <w:footnoteReference w:id="24"/>
      </w:r>
      <w:r w:rsidR="0034008B" w:rsidRPr="00C62419">
        <w:rPr>
          <w:rFonts w:cs="Arial"/>
          <w:lang w:val="en-CA"/>
        </w:rPr>
        <w:t xml:space="preserve"> </w:t>
      </w:r>
      <w:r w:rsidR="00822C98" w:rsidRPr="00822C98">
        <w:rPr>
          <w:rFonts w:cs="Arial"/>
          <w:lang w:val="en-CA"/>
        </w:rPr>
        <w:t xml:space="preserve">However, if the basis for these </w:t>
      </w:r>
      <w:r w:rsidR="00293C47">
        <w:rPr>
          <w:rFonts w:cs="Arial"/>
          <w:lang w:val="en-CA"/>
        </w:rPr>
        <w:t>assumptions</w:t>
      </w:r>
      <w:r w:rsidR="00822C98">
        <w:rPr>
          <w:rFonts w:cs="Arial"/>
          <w:lang w:val="en-CA"/>
        </w:rPr>
        <w:t xml:space="preserve"> </w:t>
      </w:r>
      <w:r w:rsidR="00822C98" w:rsidRPr="00822C98">
        <w:rPr>
          <w:rFonts w:cs="Arial"/>
          <w:lang w:val="en-CA"/>
        </w:rPr>
        <w:t xml:space="preserve">proves too tenuous, an objection </w:t>
      </w:r>
      <w:r w:rsidR="00293C47">
        <w:rPr>
          <w:rFonts w:cs="Arial"/>
          <w:lang w:val="en-CA"/>
        </w:rPr>
        <w:t>is likely to</w:t>
      </w:r>
      <w:r w:rsidR="00822C98" w:rsidRPr="00822C98">
        <w:rPr>
          <w:rFonts w:cs="Arial"/>
          <w:lang w:val="en-CA"/>
        </w:rPr>
        <w:t xml:space="preserve"> be </w:t>
      </w:r>
      <w:r w:rsidR="00822C98">
        <w:rPr>
          <w:rFonts w:cs="Arial"/>
          <w:lang w:val="en-CA"/>
        </w:rPr>
        <w:t>made</w:t>
      </w:r>
      <w:r w:rsidR="00822C98" w:rsidRPr="00822C98">
        <w:rPr>
          <w:rFonts w:cs="Arial"/>
          <w:lang w:val="en-CA"/>
        </w:rPr>
        <w:t xml:space="preserve"> and </w:t>
      </w:r>
      <w:r w:rsidR="00822C98">
        <w:rPr>
          <w:rFonts w:cs="Arial"/>
          <w:lang w:val="en-CA"/>
        </w:rPr>
        <w:t>sustained</w:t>
      </w:r>
      <w:r w:rsidR="00822C98" w:rsidRPr="00822C98">
        <w:rPr>
          <w:rFonts w:cs="Arial"/>
          <w:lang w:val="en-CA"/>
        </w:rPr>
        <w:t>.</w:t>
      </w:r>
      <w:r w:rsidR="0034008B" w:rsidRPr="00C62419">
        <w:rPr>
          <w:rStyle w:val="Appelnotedebasdep"/>
          <w:rFonts w:cs="Arial"/>
          <w:lang w:val="en-CA"/>
        </w:rPr>
        <w:footnoteReference w:id="25"/>
      </w:r>
    </w:p>
    <w:p w14:paraId="44ABA748" w14:textId="5583391F" w:rsidR="0034008B" w:rsidRPr="00C62419" w:rsidRDefault="00822C98" w:rsidP="000B6E2B">
      <w:pPr>
        <w:pStyle w:val="Paragraphe"/>
        <w:spacing w:line="240" w:lineRule="auto"/>
        <w:rPr>
          <w:rFonts w:cs="Arial"/>
          <w:lang w:val="en-CA"/>
        </w:rPr>
      </w:pPr>
      <w:r w:rsidRPr="00822C98">
        <w:rPr>
          <w:rFonts w:cs="Arial"/>
          <w:lang w:val="en-CA"/>
        </w:rPr>
        <w:t xml:space="preserve">In </w:t>
      </w:r>
      <w:r w:rsidR="00434867">
        <w:rPr>
          <w:rFonts w:cs="Arial"/>
          <w:lang w:val="en-CA"/>
        </w:rPr>
        <w:t>this</w:t>
      </w:r>
      <w:r w:rsidRPr="00822C98">
        <w:rPr>
          <w:rFonts w:cs="Arial"/>
          <w:lang w:val="en-CA"/>
        </w:rPr>
        <w:t xml:space="preserve"> case, the questions asked </w:t>
      </w:r>
      <w:r>
        <w:rPr>
          <w:rFonts w:cs="Arial"/>
          <w:lang w:val="en-CA"/>
        </w:rPr>
        <w:t>of</w:t>
      </w:r>
      <w:r w:rsidRPr="00822C98">
        <w:rPr>
          <w:rFonts w:cs="Arial"/>
          <w:lang w:val="en-CA"/>
        </w:rPr>
        <w:t xml:space="preserve"> the experts </w:t>
      </w:r>
      <w:r w:rsidR="00434867">
        <w:rPr>
          <w:rFonts w:cs="Arial"/>
          <w:lang w:val="en-CA"/>
        </w:rPr>
        <w:t>in</w:t>
      </w:r>
      <w:r w:rsidRPr="00822C98">
        <w:rPr>
          <w:rFonts w:cs="Arial"/>
          <w:lang w:val="en-CA"/>
        </w:rPr>
        <w:t xml:space="preserve"> cross-examination, the arguments </w:t>
      </w:r>
      <w:r>
        <w:rPr>
          <w:rFonts w:cs="Arial"/>
          <w:lang w:val="en-CA"/>
        </w:rPr>
        <w:t>made</w:t>
      </w:r>
      <w:r w:rsidRPr="00822C98">
        <w:rPr>
          <w:rFonts w:cs="Arial"/>
          <w:lang w:val="en-CA"/>
        </w:rPr>
        <w:t xml:space="preserve"> during the </w:t>
      </w:r>
      <w:r>
        <w:rPr>
          <w:rFonts w:cs="Arial"/>
          <w:lang w:val="en-CA"/>
        </w:rPr>
        <w:t xml:space="preserve">Crown’s </w:t>
      </w:r>
      <w:r w:rsidR="00EF3659">
        <w:rPr>
          <w:rFonts w:cs="Arial"/>
          <w:lang w:val="en-CA"/>
        </w:rPr>
        <w:t>oral arguments</w:t>
      </w:r>
      <w:r w:rsidR="00434867">
        <w:rPr>
          <w:rFonts w:cs="Arial"/>
          <w:lang w:val="en-CA"/>
        </w:rPr>
        <w:t>,</w:t>
      </w:r>
      <w:r w:rsidR="00EF3659" w:rsidRPr="00822C98">
        <w:rPr>
          <w:rFonts w:cs="Arial"/>
          <w:lang w:val="en-CA"/>
        </w:rPr>
        <w:t xml:space="preserve"> </w:t>
      </w:r>
      <w:r w:rsidRPr="00822C98">
        <w:rPr>
          <w:rFonts w:cs="Arial"/>
          <w:lang w:val="en-CA"/>
        </w:rPr>
        <w:t>and the judge</w:t>
      </w:r>
      <w:r w:rsidR="00434867">
        <w:rPr>
          <w:rFonts w:cs="Arial"/>
          <w:lang w:val="en-CA"/>
        </w:rPr>
        <w:t>’</w:t>
      </w:r>
      <w:r w:rsidRPr="00822C98">
        <w:rPr>
          <w:rFonts w:cs="Arial"/>
          <w:lang w:val="en-CA"/>
        </w:rPr>
        <w:t xml:space="preserve">s instructions </w:t>
      </w:r>
      <w:r w:rsidR="00821982">
        <w:rPr>
          <w:rFonts w:cs="Arial"/>
          <w:lang w:val="en-CA"/>
        </w:rPr>
        <w:t>are</w:t>
      </w:r>
      <w:r w:rsidRPr="00822C98">
        <w:rPr>
          <w:rFonts w:cs="Arial"/>
          <w:lang w:val="en-CA"/>
        </w:rPr>
        <w:t xml:space="preserve"> </w:t>
      </w:r>
      <w:r w:rsidR="00821982">
        <w:rPr>
          <w:rFonts w:cs="Arial"/>
          <w:lang w:val="en-CA"/>
        </w:rPr>
        <w:t>cause for concern</w:t>
      </w:r>
      <w:r w:rsidR="0034008B" w:rsidRPr="00C62419">
        <w:rPr>
          <w:rFonts w:cs="Arial"/>
          <w:lang w:val="en-CA"/>
        </w:rPr>
        <w:t>.</w:t>
      </w:r>
    </w:p>
    <w:p w14:paraId="275CDD43" w14:textId="1DBFD04B" w:rsidR="001F44F3" w:rsidRPr="00C62419" w:rsidRDefault="00AE54FE" w:rsidP="000B6E2B">
      <w:pPr>
        <w:pStyle w:val="Paragraphe"/>
        <w:spacing w:line="240" w:lineRule="auto"/>
        <w:rPr>
          <w:rFonts w:cs="Arial"/>
          <w:lang w:val="en-CA"/>
        </w:rPr>
      </w:pPr>
      <w:r w:rsidRPr="00AE54FE">
        <w:rPr>
          <w:rFonts w:cs="Arial"/>
          <w:lang w:val="en-CA"/>
        </w:rPr>
        <w:t xml:space="preserve">In its </w:t>
      </w:r>
      <w:r w:rsidR="009E11EE">
        <w:rPr>
          <w:rFonts w:cs="Arial"/>
          <w:lang w:val="en-CA"/>
        </w:rPr>
        <w:t xml:space="preserve">oral </w:t>
      </w:r>
      <w:r>
        <w:rPr>
          <w:rFonts w:cs="Arial"/>
          <w:lang w:val="en-CA"/>
        </w:rPr>
        <w:t>argument</w:t>
      </w:r>
      <w:r w:rsidR="008A6B39">
        <w:rPr>
          <w:rFonts w:cs="Arial"/>
          <w:lang w:val="en-CA"/>
        </w:rPr>
        <w:t>s</w:t>
      </w:r>
      <w:r w:rsidRPr="00AE54FE">
        <w:rPr>
          <w:rFonts w:cs="Arial"/>
          <w:lang w:val="en-CA"/>
        </w:rPr>
        <w:t xml:space="preserve">, the </w:t>
      </w:r>
      <w:r>
        <w:rPr>
          <w:rFonts w:cs="Arial"/>
          <w:lang w:val="en-CA"/>
        </w:rPr>
        <w:t>Crown</w:t>
      </w:r>
      <w:r w:rsidRPr="00AE54FE">
        <w:rPr>
          <w:rFonts w:cs="Arial"/>
          <w:lang w:val="en-CA"/>
        </w:rPr>
        <w:t xml:space="preserve"> </w:t>
      </w:r>
      <w:r w:rsidR="009E11EE">
        <w:rPr>
          <w:rFonts w:cs="Arial"/>
          <w:lang w:val="en-CA"/>
        </w:rPr>
        <w:t>referred to</w:t>
      </w:r>
      <w:r w:rsidRPr="00AE54FE">
        <w:rPr>
          <w:rFonts w:cs="Arial"/>
          <w:lang w:val="en-CA"/>
        </w:rPr>
        <w:t xml:space="preserve"> three “options” </w:t>
      </w:r>
      <w:r w:rsidR="009E11EE">
        <w:rPr>
          <w:rFonts w:cs="Arial"/>
          <w:lang w:val="en-CA"/>
        </w:rPr>
        <w:t>provided</w:t>
      </w:r>
      <w:r w:rsidRPr="00AE54FE">
        <w:rPr>
          <w:rFonts w:cs="Arial"/>
          <w:lang w:val="en-CA"/>
        </w:rPr>
        <w:t xml:space="preserve"> to the jury</w:t>
      </w:r>
      <w:r w:rsidR="009E11EE">
        <w:rPr>
          <w:rFonts w:cs="Arial"/>
          <w:lang w:val="en-CA"/>
        </w:rPr>
        <w:t>:</w:t>
      </w:r>
      <w:r w:rsidRPr="00AE54FE">
        <w:rPr>
          <w:rFonts w:cs="Arial"/>
          <w:lang w:val="en-CA"/>
        </w:rPr>
        <w:t xml:space="preserve"> to believe that the appellant</w:t>
      </w:r>
      <w:r w:rsidR="009E11EE">
        <w:rPr>
          <w:rFonts w:cs="Arial"/>
          <w:lang w:val="en-CA"/>
        </w:rPr>
        <w:t>’</w:t>
      </w:r>
      <w:r w:rsidRPr="00AE54FE">
        <w:rPr>
          <w:rFonts w:cs="Arial"/>
          <w:lang w:val="en-CA"/>
        </w:rPr>
        <w:t xml:space="preserve">s delusions meant that he could not distinguish right from wrong, to believe that the appellant feigned the mental disorder or symptoms, or </w:t>
      </w:r>
      <w:r w:rsidR="00E653FD">
        <w:rPr>
          <w:rFonts w:cs="Arial"/>
          <w:lang w:val="en-CA"/>
        </w:rPr>
        <w:t xml:space="preserve">to </w:t>
      </w:r>
      <w:r w:rsidRPr="00AE54FE">
        <w:rPr>
          <w:rFonts w:cs="Arial"/>
          <w:lang w:val="en-CA"/>
        </w:rPr>
        <w:t xml:space="preserve">believe that the </w:t>
      </w:r>
      <w:r w:rsidR="00E653FD">
        <w:rPr>
          <w:rFonts w:cs="Arial"/>
          <w:lang w:val="en-CA"/>
        </w:rPr>
        <w:t>a</w:t>
      </w:r>
      <w:r w:rsidRPr="00AE54FE">
        <w:rPr>
          <w:rFonts w:cs="Arial"/>
          <w:lang w:val="en-CA"/>
        </w:rPr>
        <w:t xml:space="preserve">ppellant was </w:t>
      </w:r>
      <w:r w:rsidR="005F76DA">
        <w:rPr>
          <w:rFonts w:cs="Arial"/>
          <w:lang w:val="en-CA"/>
        </w:rPr>
        <w:t>in the early stages</w:t>
      </w:r>
      <w:r w:rsidRPr="00AE54FE">
        <w:rPr>
          <w:rFonts w:cs="Arial"/>
          <w:lang w:val="en-CA"/>
        </w:rPr>
        <w:t xml:space="preserve"> of his progressive illness and that after the incident he rewrote the story to make sense of his actions. The </w:t>
      </w:r>
      <w:r w:rsidR="00E653FD">
        <w:rPr>
          <w:rFonts w:cs="Arial"/>
          <w:lang w:val="en-CA"/>
        </w:rPr>
        <w:t>Crown</w:t>
      </w:r>
      <w:r w:rsidRPr="00AE54FE">
        <w:rPr>
          <w:rFonts w:cs="Arial"/>
          <w:lang w:val="en-CA"/>
        </w:rPr>
        <w:t xml:space="preserve"> invited the jury to </w:t>
      </w:r>
      <w:r w:rsidR="00A27AC5">
        <w:rPr>
          <w:rFonts w:cs="Arial"/>
          <w:lang w:val="en-CA"/>
        </w:rPr>
        <w:t>choose</w:t>
      </w:r>
      <w:r w:rsidRPr="00AE54FE">
        <w:rPr>
          <w:rFonts w:cs="Arial"/>
          <w:lang w:val="en-CA"/>
        </w:rPr>
        <w:t xml:space="preserve"> this third option</w:t>
      </w:r>
      <w:r w:rsidR="00E653FD">
        <w:rPr>
          <w:rFonts w:cs="Arial"/>
          <w:lang w:val="en-CA"/>
        </w:rPr>
        <w:t>,</w:t>
      </w:r>
      <w:r w:rsidRPr="00AE54FE">
        <w:rPr>
          <w:rFonts w:cs="Arial"/>
          <w:lang w:val="en-CA"/>
        </w:rPr>
        <w:t xml:space="preserve"> which </w:t>
      </w:r>
      <w:r w:rsidR="00E653FD">
        <w:rPr>
          <w:rFonts w:cs="Arial"/>
          <w:lang w:val="en-CA"/>
        </w:rPr>
        <w:t>best matched</w:t>
      </w:r>
      <w:r w:rsidRPr="00AE54FE">
        <w:rPr>
          <w:rFonts w:cs="Arial"/>
          <w:lang w:val="en-CA"/>
        </w:rPr>
        <w:t xml:space="preserve"> the evidence, in </w:t>
      </w:r>
      <w:r w:rsidR="00BD1773">
        <w:rPr>
          <w:rFonts w:cs="Arial"/>
          <w:lang w:val="en-CA"/>
        </w:rPr>
        <w:t>its</w:t>
      </w:r>
      <w:r w:rsidRPr="00AE54FE">
        <w:rPr>
          <w:rFonts w:cs="Arial"/>
          <w:lang w:val="en-CA"/>
        </w:rPr>
        <w:t xml:space="preserve"> opinion.</w:t>
      </w:r>
    </w:p>
    <w:p w14:paraId="5F0A9046" w14:textId="38FFF7A7" w:rsidR="000B142F" w:rsidRPr="00C62419" w:rsidRDefault="00C83878" w:rsidP="000B6E2B">
      <w:pPr>
        <w:pStyle w:val="Paragraphe"/>
        <w:numPr>
          <w:ilvl w:val="0"/>
          <w:numId w:val="24"/>
        </w:numPr>
        <w:spacing w:line="240" w:lineRule="auto"/>
        <w:rPr>
          <w:rFonts w:cs="Arial"/>
          <w:b/>
          <w:lang w:val="en-CA"/>
        </w:rPr>
      </w:pPr>
      <w:r w:rsidRPr="00C83878">
        <w:rPr>
          <w:rFonts w:cs="Arial"/>
          <w:b/>
          <w:lang w:val="en-CA"/>
        </w:rPr>
        <w:t>The appellant’s mental disorder</w:t>
      </w:r>
      <w:r w:rsidR="005F76DA">
        <w:rPr>
          <w:rFonts w:cs="Arial"/>
          <w:b/>
          <w:lang w:val="en-CA"/>
        </w:rPr>
        <w:t xml:space="preserve"> was in its</w:t>
      </w:r>
      <w:r w:rsidR="00F67781">
        <w:rPr>
          <w:rFonts w:cs="Arial"/>
          <w:b/>
          <w:lang w:val="en-CA"/>
        </w:rPr>
        <w:t xml:space="preserve"> </w:t>
      </w:r>
      <w:r w:rsidR="002A2A04">
        <w:rPr>
          <w:rFonts w:cs="Arial"/>
          <w:b/>
          <w:lang w:val="en-CA"/>
        </w:rPr>
        <w:t>early stages</w:t>
      </w:r>
    </w:p>
    <w:p w14:paraId="334DBA87" w14:textId="0A230015" w:rsidR="004F10FA" w:rsidRPr="00C62419" w:rsidRDefault="00C83878" w:rsidP="000B6E2B">
      <w:pPr>
        <w:pStyle w:val="Paragraphe"/>
        <w:spacing w:line="240" w:lineRule="auto"/>
        <w:rPr>
          <w:rFonts w:cs="Arial"/>
          <w:lang w:val="en-CA"/>
        </w:rPr>
      </w:pPr>
      <w:r w:rsidRPr="008D742F">
        <w:rPr>
          <w:lang w:val="en-CA"/>
        </w:rPr>
        <w:t>The Crown</w:t>
      </w:r>
      <w:r w:rsidRPr="00C83878">
        <w:rPr>
          <w:lang w:val="en-CA"/>
        </w:rPr>
        <w:t xml:space="preserve"> </w:t>
      </w:r>
      <w:r w:rsidR="002A2A04">
        <w:rPr>
          <w:lang w:val="en-CA"/>
        </w:rPr>
        <w:t>identifie</w:t>
      </w:r>
      <w:r w:rsidR="008D742F">
        <w:rPr>
          <w:lang w:val="en-CA"/>
        </w:rPr>
        <w:t>d</w:t>
      </w:r>
      <w:r w:rsidR="002A2A04">
        <w:rPr>
          <w:lang w:val="en-CA"/>
        </w:rPr>
        <w:t xml:space="preserve"> </w:t>
      </w:r>
      <w:r w:rsidR="002A2A04" w:rsidRPr="002A2A04">
        <w:rPr>
          <w:i/>
          <w:iCs/>
          <w:lang w:val="en-CA"/>
        </w:rPr>
        <w:t>no</w:t>
      </w:r>
      <w:r w:rsidRPr="002A2A04">
        <w:rPr>
          <w:i/>
          <w:iCs/>
          <w:lang w:val="en-CA"/>
        </w:rPr>
        <w:t xml:space="preserve"> evidence</w:t>
      </w:r>
      <w:r w:rsidRPr="00C83878">
        <w:rPr>
          <w:lang w:val="en-CA"/>
        </w:rPr>
        <w:t xml:space="preserve"> support</w:t>
      </w:r>
      <w:r w:rsidR="0058424B">
        <w:rPr>
          <w:lang w:val="en-CA"/>
        </w:rPr>
        <w:t>ing</w:t>
      </w:r>
      <w:r w:rsidRPr="00C83878">
        <w:rPr>
          <w:lang w:val="en-CA"/>
        </w:rPr>
        <w:t xml:space="preserve"> the hypothesis that the appellant</w:t>
      </w:r>
      <w:r w:rsidR="008D742F">
        <w:rPr>
          <w:lang w:val="en-CA"/>
        </w:rPr>
        <w:t>’</w:t>
      </w:r>
      <w:r w:rsidRPr="00C83878">
        <w:rPr>
          <w:lang w:val="en-CA"/>
        </w:rPr>
        <w:t xml:space="preserve">s mental disorder was in its early stages. </w:t>
      </w:r>
      <w:r w:rsidR="005F76DA">
        <w:rPr>
          <w:lang w:val="en-CA"/>
        </w:rPr>
        <w:t xml:space="preserve">Rather, it </w:t>
      </w:r>
      <w:r w:rsidRPr="00C83878">
        <w:rPr>
          <w:lang w:val="en-CA"/>
        </w:rPr>
        <w:t>maintains</w:t>
      </w:r>
      <w:r w:rsidR="005F76DA">
        <w:rPr>
          <w:lang w:val="en-CA"/>
        </w:rPr>
        <w:t xml:space="preserve"> </w:t>
      </w:r>
      <w:r w:rsidRPr="00C83878">
        <w:rPr>
          <w:lang w:val="en-CA"/>
        </w:rPr>
        <w:t xml:space="preserve">that since the experts </w:t>
      </w:r>
      <w:r w:rsidR="002A2A04" w:rsidRPr="000F3F22">
        <w:rPr>
          <w:rFonts w:cs="Arial"/>
          <w:sz w:val="22"/>
          <w:szCs w:val="22"/>
          <w:lang w:val="en-CA"/>
        </w:rPr>
        <w:t>[</w:t>
      </w:r>
      <w:r w:rsidR="008D742F" w:rsidRPr="00B92A5F">
        <w:rPr>
          <w:rFonts w:cs="Arial"/>
          <w:smallCaps/>
          <w:szCs w:val="24"/>
          <w:lang w:val="en-CA"/>
        </w:rPr>
        <w:t>translation</w:t>
      </w:r>
      <w:r w:rsidR="002A2A04" w:rsidRPr="000F3F22">
        <w:rPr>
          <w:rFonts w:cs="Arial"/>
          <w:sz w:val="22"/>
          <w:szCs w:val="22"/>
          <w:lang w:val="en-CA"/>
        </w:rPr>
        <w:t>]</w:t>
      </w:r>
      <w:r w:rsidR="002A2A04">
        <w:rPr>
          <w:rFonts w:cs="Arial"/>
          <w:lang w:val="en-CA"/>
        </w:rPr>
        <w:t xml:space="preserve"> </w:t>
      </w:r>
      <w:r w:rsidRPr="00C83878">
        <w:rPr>
          <w:lang w:val="en-CA"/>
        </w:rPr>
        <w:t xml:space="preserve">“did not </w:t>
      </w:r>
      <w:r w:rsidR="00C14DB7">
        <w:rPr>
          <w:lang w:val="en-CA"/>
        </w:rPr>
        <w:t>rule out</w:t>
      </w:r>
      <w:r w:rsidRPr="00C83878">
        <w:rPr>
          <w:lang w:val="en-CA"/>
        </w:rPr>
        <w:t xml:space="preserve">” this hypothesis and </w:t>
      </w:r>
      <w:r w:rsidR="002A2A04">
        <w:rPr>
          <w:lang w:val="en-CA"/>
        </w:rPr>
        <w:t>since</w:t>
      </w:r>
      <w:r w:rsidRPr="00C83878">
        <w:rPr>
          <w:lang w:val="en-CA"/>
        </w:rPr>
        <w:t xml:space="preserve"> the appellant</w:t>
      </w:r>
      <w:r w:rsidR="0058424B">
        <w:rPr>
          <w:lang w:val="en-CA"/>
        </w:rPr>
        <w:t>’</w:t>
      </w:r>
      <w:r w:rsidRPr="00C83878">
        <w:rPr>
          <w:lang w:val="en-CA"/>
        </w:rPr>
        <w:t>s illness was progressive, the jury could consider that the appellant</w:t>
      </w:r>
      <w:r w:rsidR="0058424B">
        <w:rPr>
          <w:lang w:val="en-CA"/>
        </w:rPr>
        <w:t>’</w:t>
      </w:r>
      <w:r w:rsidRPr="00C83878">
        <w:rPr>
          <w:lang w:val="en-CA"/>
        </w:rPr>
        <w:t>s mental disorder</w:t>
      </w:r>
      <w:r w:rsidR="005F76DA">
        <w:rPr>
          <w:lang w:val="en-CA"/>
        </w:rPr>
        <w:t xml:space="preserve"> was</w:t>
      </w:r>
      <w:r w:rsidRPr="00C83878">
        <w:rPr>
          <w:lang w:val="en-CA"/>
        </w:rPr>
        <w:t xml:space="preserve"> in </w:t>
      </w:r>
      <w:r w:rsidR="005F76DA">
        <w:rPr>
          <w:lang w:val="en-CA"/>
        </w:rPr>
        <w:t>its</w:t>
      </w:r>
      <w:r w:rsidR="005F76DA" w:rsidRPr="00C83878">
        <w:rPr>
          <w:lang w:val="en-CA"/>
        </w:rPr>
        <w:t xml:space="preserve"> </w:t>
      </w:r>
      <w:r w:rsidR="002A2A04">
        <w:rPr>
          <w:lang w:val="en-CA"/>
        </w:rPr>
        <w:t>early stages</w:t>
      </w:r>
      <w:r w:rsidR="009F3D8C" w:rsidRPr="00C62419">
        <w:rPr>
          <w:lang w:val="en-CA"/>
        </w:rPr>
        <w:t>.</w:t>
      </w:r>
    </w:p>
    <w:p w14:paraId="47F99280" w14:textId="4F31D19A" w:rsidR="004F10FA" w:rsidRPr="00C62419" w:rsidRDefault="002A2A04" w:rsidP="000B6E2B">
      <w:pPr>
        <w:pStyle w:val="Paragraphe"/>
        <w:spacing w:line="240" w:lineRule="auto"/>
        <w:rPr>
          <w:rFonts w:cs="Arial"/>
          <w:lang w:val="en-CA"/>
        </w:rPr>
      </w:pPr>
      <w:r>
        <w:rPr>
          <w:lang w:val="en-CA"/>
        </w:rPr>
        <w:t>T</w:t>
      </w:r>
      <w:r w:rsidRPr="002A2A04">
        <w:rPr>
          <w:lang w:val="en-CA"/>
        </w:rPr>
        <w:t>he Court</w:t>
      </w:r>
      <w:r w:rsidR="0058424B">
        <w:rPr>
          <w:lang w:val="en-CA"/>
        </w:rPr>
        <w:t>, however,</w:t>
      </w:r>
      <w:r w:rsidRPr="002A2A04">
        <w:rPr>
          <w:lang w:val="en-CA"/>
        </w:rPr>
        <w:t xml:space="preserve"> is of the </w:t>
      </w:r>
      <w:r w:rsidR="0058424B">
        <w:rPr>
          <w:lang w:val="en-CA"/>
        </w:rPr>
        <w:t>view</w:t>
      </w:r>
      <w:r w:rsidRPr="002A2A04">
        <w:rPr>
          <w:lang w:val="en-CA"/>
        </w:rPr>
        <w:t xml:space="preserve"> that the preponderan</w:t>
      </w:r>
      <w:r w:rsidR="008C197F">
        <w:rPr>
          <w:lang w:val="en-CA"/>
        </w:rPr>
        <w:t>t</w:t>
      </w:r>
      <w:r w:rsidRPr="002A2A04">
        <w:rPr>
          <w:lang w:val="en-CA"/>
        </w:rPr>
        <w:t xml:space="preserve"> evidence presented by the only two experts heard, as well as the lay evidence, </w:t>
      </w:r>
      <w:r w:rsidR="0084601C">
        <w:rPr>
          <w:lang w:val="en-CA"/>
        </w:rPr>
        <w:t>show</w:t>
      </w:r>
      <w:r w:rsidR="00E7010D">
        <w:rPr>
          <w:lang w:val="en-CA"/>
        </w:rPr>
        <w:t>s</w:t>
      </w:r>
      <w:r w:rsidRPr="002A2A04">
        <w:rPr>
          <w:lang w:val="en-CA"/>
        </w:rPr>
        <w:t xml:space="preserve"> that the illness was well established at the time of the events. As the </w:t>
      </w:r>
      <w:r>
        <w:rPr>
          <w:lang w:val="en-CA"/>
        </w:rPr>
        <w:t>Crown</w:t>
      </w:r>
      <w:r w:rsidRPr="002A2A04">
        <w:rPr>
          <w:lang w:val="en-CA"/>
        </w:rPr>
        <w:t xml:space="preserve"> was unable to indicate </w:t>
      </w:r>
      <w:r w:rsidR="0063095B">
        <w:rPr>
          <w:lang w:val="en-CA"/>
        </w:rPr>
        <w:t>on which</w:t>
      </w:r>
      <w:r w:rsidRPr="002A2A04">
        <w:rPr>
          <w:lang w:val="en-CA"/>
        </w:rPr>
        <w:t xml:space="preserve"> evidence it</w:t>
      </w:r>
      <w:r w:rsidR="0063095B">
        <w:rPr>
          <w:lang w:val="en-CA"/>
        </w:rPr>
        <w:t>s assumptions were based</w:t>
      </w:r>
      <w:r w:rsidRPr="002A2A04">
        <w:rPr>
          <w:lang w:val="en-CA"/>
        </w:rPr>
        <w:t>, this had the effect of inviting the jury to engage in inappropriate speculation.</w:t>
      </w:r>
      <w:r w:rsidR="0034008B" w:rsidRPr="00C62419">
        <w:rPr>
          <w:rStyle w:val="Appelnotedebasdep"/>
          <w:lang w:val="en-CA"/>
        </w:rPr>
        <w:footnoteReference w:id="26"/>
      </w:r>
    </w:p>
    <w:p w14:paraId="4C7620F3" w14:textId="39FD07FC" w:rsidR="004F10FA" w:rsidRPr="00C62419" w:rsidRDefault="0084601C" w:rsidP="000B6E2B">
      <w:pPr>
        <w:pStyle w:val="Paragraphe"/>
        <w:spacing w:line="240" w:lineRule="auto"/>
        <w:rPr>
          <w:rFonts w:cs="Arial"/>
          <w:lang w:val="en-CA"/>
        </w:rPr>
      </w:pPr>
      <w:r w:rsidRPr="0084601C">
        <w:rPr>
          <w:lang w:val="en-CA"/>
        </w:rPr>
        <w:t xml:space="preserve">Indeed, the response of an expert who simply refuses to </w:t>
      </w:r>
      <w:r w:rsidR="00C14DB7">
        <w:rPr>
          <w:lang w:val="en-CA"/>
        </w:rPr>
        <w:t>rule out a</w:t>
      </w:r>
      <w:r w:rsidRPr="0084601C">
        <w:rPr>
          <w:lang w:val="en-CA"/>
        </w:rPr>
        <w:t xml:space="preserve"> possibility is of no use. An expert</w:t>
      </w:r>
      <w:r w:rsidR="00E7010D">
        <w:rPr>
          <w:lang w:val="en-CA"/>
        </w:rPr>
        <w:t>’</w:t>
      </w:r>
      <w:r w:rsidRPr="0084601C">
        <w:rPr>
          <w:lang w:val="en-CA"/>
        </w:rPr>
        <w:t>s refusal to theoretically reject a hypothesis does not give it any factual basis if there are no independent factual elements supporting it. This is all the more true when the suggested hypothesis is rejected by the experts</w:t>
      </w:r>
      <w:r w:rsidR="00E7010D">
        <w:rPr>
          <w:lang w:val="en-CA"/>
        </w:rPr>
        <w:t>, as is the case here</w:t>
      </w:r>
      <w:r w:rsidRPr="0084601C">
        <w:rPr>
          <w:lang w:val="en-CA"/>
        </w:rPr>
        <w:t xml:space="preserve">. Evoking </w:t>
      </w:r>
      <w:r w:rsidRPr="0084601C">
        <w:rPr>
          <w:lang w:val="en-CA"/>
        </w:rPr>
        <w:lastRenderedPageBreak/>
        <w:t xml:space="preserve">a theoretical possibility without supporting evidence inevitably leads the jury down the path of </w:t>
      </w:r>
      <w:r w:rsidR="00C8484A">
        <w:rPr>
          <w:lang w:val="en-CA"/>
        </w:rPr>
        <w:t>speculation</w:t>
      </w:r>
      <w:r w:rsidRPr="0084601C">
        <w:rPr>
          <w:lang w:val="en-CA"/>
        </w:rPr>
        <w:t>.</w:t>
      </w:r>
      <w:r w:rsidR="0034008B" w:rsidRPr="00C62419">
        <w:rPr>
          <w:rStyle w:val="Appelnotedebasdep"/>
          <w:lang w:val="en-CA"/>
        </w:rPr>
        <w:footnoteReference w:id="27"/>
      </w:r>
    </w:p>
    <w:p w14:paraId="6ADAEC0E" w14:textId="21C230CE" w:rsidR="004F10FA" w:rsidRPr="00C62419" w:rsidRDefault="0084601C" w:rsidP="000B6E2B">
      <w:pPr>
        <w:pStyle w:val="Paragraphe"/>
        <w:spacing w:line="240" w:lineRule="auto"/>
        <w:rPr>
          <w:rFonts w:cs="Arial"/>
          <w:lang w:val="en-CA"/>
        </w:rPr>
      </w:pPr>
      <w:r w:rsidRPr="0084601C">
        <w:rPr>
          <w:rFonts w:cs="Arial"/>
          <w:lang w:val="en-CA"/>
        </w:rPr>
        <w:t xml:space="preserve">Although the judge correctly defined the concept of inference in her instructions, she did not warn the jury against the dangers of </w:t>
      </w:r>
      <w:r w:rsidR="00C8484A">
        <w:rPr>
          <w:rFonts w:cs="Arial"/>
          <w:lang w:val="en-CA"/>
        </w:rPr>
        <w:t>speculation</w:t>
      </w:r>
      <w:r w:rsidRPr="0084601C">
        <w:rPr>
          <w:rFonts w:cs="Arial"/>
          <w:lang w:val="en-CA"/>
        </w:rPr>
        <w:t xml:space="preserve"> as she should have</w:t>
      </w:r>
      <w:r>
        <w:rPr>
          <w:rStyle w:val="Appelnotedebasdep"/>
          <w:rFonts w:cs="Arial"/>
          <w:vertAlign w:val="baseline"/>
          <w:lang w:val="en-CA"/>
        </w:rPr>
        <w:t>.</w:t>
      </w:r>
      <w:r w:rsidR="00286B05" w:rsidRPr="00C62419">
        <w:rPr>
          <w:rStyle w:val="Appelnotedebasdep"/>
          <w:rFonts w:cs="Arial"/>
          <w:lang w:val="en-CA"/>
        </w:rPr>
        <w:footnoteReference w:id="28"/>
      </w:r>
    </w:p>
    <w:p w14:paraId="7002FDAF" w14:textId="3D6DFEC0" w:rsidR="002165FA" w:rsidRPr="00C62419" w:rsidRDefault="00F72925" w:rsidP="000B6E2B">
      <w:pPr>
        <w:pStyle w:val="Paragraphe"/>
        <w:numPr>
          <w:ilvl w:val="0"/>
          <w:numId w:val="24"/>
        </w:numPr>
        <w:spacing w:line="240" w:lineRule="auto"/>
        <w:rPr>
          <w:rFonts w:cs="Arial"/>
          <w:b/>
          <w:lang w:val="en-CA"/>
        </w:rPr>
      </w:pPr>
      <w:r>
        <w:rPr>
          <w:rFonts w:cs="Arial"/>
          <w:b/>
          <w:lang w:val="en-CA"/>
        </w:rPr>
        <w:t>The intensity of the appellant’s mental disorder</w:t>
      </w:r>
    </w:p>
    <w:p w14:paraId="47A5A6D7" w14:textId="3B2820F8" w:rsidR="00CC5412" w:rsidRPr="00C62419" w:rsidRDefault="00F72925" w:rsidP="000B6E2B">
      <w:pPr>
        <w:pStyle w:val="Paragraphe"/>
        <w:spacing w:line="240" w:lineRule="auto"/>
        <w:rPr>
          <w:lang w:val="en-CA"/>
        </w:rPr>
      </w:pPr>
      <w:r w:rsidRPr="00F72925">
        <w:rPr>
          <w:lang w:val="en-CA"/>
        </w:rPr>
        <w:t xml:space="preserve">During the cross-examinations of the psychiatrists, the </w:t>
      </w:r>
      <w:r>
        <w:rPr>
          <w:lang w:val="en-CA"/>
        </w:rPr>
        <w:t>Crown</w:t>
      </w:r>
      <w:r w:rsidRPr="00F72925">
        <w:rPr>
          <w:lang w:val="en-CA"/>
        </w:rPr>
        <w:t xml:space="preserve"> developed a theme, echoed by the judge in her instructions, according to which the appellant</w:t>
      </w:r>
      <w:r w:rsidR="002522EE">
        <w:rPr>
          <w:lang w:val="en-CA"/>
        </w:rPr>
        <w:t>’</w:t>
      </w:r>
      <w:r w:rsidRPr="00F72925">
        <w:rPr>
          <w:lang w:val="en-CA"/>
        </w:rPr>
        <w:t>s mental disorder</w:t>
      </w:r>
      <w:r w:rsidR="00CD5048">
        <w:rPr>
          <w:lang w:val="en-CA"/>
        </w:rPr>
        <w:t xml:space="preserve"> was</w:t>
      </w:r>
      <w:r w:rsidR="00DC7814">
        <w:rPr>
          <w:lang w:val="en-CA"/>
        </w:rPr>
        <w:t xml:space="preserve"> </w:t>
      </w:r>
      <w:r w:rsidRPr="00F72925">
        <w:rPr>
          <w:lang w:val="en-CA"/>
        </w:rPr>
        <w:t>not of sufficient intensity to render him incapable of knowing that the act</w:t>
      </w:r>
      <w:r>
        <w:rPr>
          <w:lang w:val="en-CA"/>
        </w:rPr>
        <w:t>s</w:t>
      </w:r>
      <w:r w:rsidRPr="00F72925">
        <w:rPr>
          <w:lang w:val="en-CA"/>
        </w:rPr>
        <w:t xml:space="preserve"> he had </w:t>
      </w:r>
      <w:r>
        <w:rPr>
          <w:lang w:val="en-CA"/>
        </w:rPr>
        <w:t>committed</w:t>
      </w:r>
      <w:r w:rsidRPr="00F72925">
        <w:rPr>
          <w:lang w:val="en-CA"/>
        </w:rPr>
        <w:t xml:space="preserve"> were </w:t>
      </w:r>
      <w:r>
        <w:rPr>
          <w:lang w:val="en-CA"/>
        </w:rPr>
        <w:t>wrong</w:t>
      </w:r>
      <w:r w:rsidR="00D24AC5" w:rsidRPr="00C62419">
        <w:rPr>
          <w:lang w:val="en-CA"/>
        </w:rPr>
        <w:t>.</w:t>
      </w:r>
    </w:p>
    <w:p w14:paraId="38FE55C1" w14:textId="1E222B24" w:rsidR="00D24AC5" w:rsidRPr="00C62419" w:rsidRDefault="00F72925" w:rsidP="000B6E2B">
      <w:pPr>
        <w:pStyle w:val="Paragraphe"/>
        <w:spacing w:line="240" w:lineRule="auto"/>
        <w:rPr>
          <w:lang w:val="en-CA"/>
        </w:rPr>
      </w:pPr>
      <w:r w:rsidRPr="00F72925">
        <w:rPr>
          <w:lang w:val="en-CA"/>
        </w:rPr>
        <w:t>In her instructions, the judge use</w:t>
      </w:r>
      <w:r w:rsidR="002522EE">
        <w:rPr>
          <w:lang w:val="en-CA"/>
        </w:rPr>
        <w:t>d</w:t>
      </w:r>
      <w:r w:rsidRPr="00F72925">
        <w:rPr>
          <w:lang w:val="en-CA"/>
        </w:rPr>
        <w:t xml:space="preserve"> the following two formulations</w:t>
      </w:r>
      <w:r w:rsidR="002522EE">
        <w:rPr>
          <w:lang w:val="en-CA"/>
        </w:rPr>
        <w:t xml:space="preserve"> </w:t>
      </w:r>
      <w:r w:rsidR="002522EE" w:rsidRPr="00F72925">
        <w:rPr>
          <w:lang w:val="en-CA"/>
        </w:rPr>
        <w:t>several times</w:t>
      </w:r>
      <w:r w:rsidRPr="00F72925">
        <w:rPr>
          <w:lang w:val="en-CA"/>
        </w:rPr>
        <w:t xml:space="preserve">: </w:t>
      </w:r>
      <w:r w:rsidRPr="000F3F22">
        <w:rPr>
          <w:rFonts w:cs="Arial"/>
          <w:sz w:val="22"/>
          <w:szCs w:val="22"/>
          <w:lang w:val="en-CA"/>
        </w:rPr>
        <w:t>[</w:t>
      </w:r>
      <w:r w:rsidR="002522EE" w:rsidRPr="00B92A5F">
        <w:rPr>
          <w:rFonts w:cs="Arial"/>
          <w:smallCaps/>
          <w:szCs w:val="24"/>
          <w:lang w:val="en-CA"/>
        </w:rPr>
        <w:t>translation</w:t>
      </w:r>
      <w:r w:rsidRPr="000F3F22">
        <w:rPr>
          <w:rFonts w:cs="Arial"/>
          <w:sz w:val="22"/>
          <w:szCs w:val="22"/>
          <w:lang w:val="en-CA"/>
        </w:rPr>
        <w:t>]</w:t>
      </w:r>
      <w:r>
        <w:rPr>
          <w:rFonts w:cs="Arial"/>
          <w:lang w:val="en-CA"/>
        </w:rPr>
        <w:t xml:space="preserve"> </w:t>
      </w:r>
      <w:r w:rsidRPr="00F72925">
        <w:rPr>
          <w:lang w:val="en-CA"/>
        </w:rPr>
        <w:t xml:space="preserve">“that the accused suffered from </w:t>
      </w:r>
      <w:r w:rsidR="00D74E6F">
        <w:rPr>
          <w:lang w:val="en-CA"/>
        </w:rPr>
        <w:t xml:space="preserve">a </w:t>
      </w:r>
      <w:r w:rsidRPr="00F72925">
        <w:rPr>
          <w:lang w:val="en-CA"/>
        </w:rPr>
        <w:t>mental disorder of such intensity that he cannot be held criminally responsible for act</w:t>
      </w:r>
      <w:r w:rsidR="00D06694">
        <w:rPr>
          <w:lang w:val="en-CA"/>
        </w:rPr>
        <w:t>s</w:t>
      </w:r>
      <w:r w:rsidRPr="00F72925">
        <w:rPr>
          <w:lang w:val="en-CA"/>
        </w:rPr>
        <w:t xml:space="preserve"> </w:t>
      </w:r>
      <w:r w:rsidR="002522EE">
        <w:rPr>
          <w:lang w:val="en-CA"/>
        </w:rPr>
        <w:t>that</w:t>
      </w:r>
      <w:r w:rsidRPr="00F72925">
        <w:rPr>
          <w:lang w:val="en-CA"/>
        </w:rPr>
        <w:t xml:space="preserve"> would otherwise constitute a criminal</w:t>
      </w:r>
      <w:r>
        <w:rPr>
          <w:lang w:val="en-CA"/>
        </w:rPr>
        <w:t xml:space="preserve"> offence</w:t>
      </w:r>
      <w:r w:rsidRPr="00F72925">
        <w:rPr>
          <w:lang w:val="en-CA"/>
        </w:rPr>
        <w:t xml:space="preserve">” and that </w:t>
      </w:r>
      <w:r w:rsidRPr="000F3F22">
        <w:rPr>
          <w:rFonts w:cs="Arial"/>
          <w:sz w:val="22"/>
          <w:szCs w:val="22"/>
          <w:lang w:val="en-CA"/>
        </w:rPr>
        <w:t>[</w:t>
      </w:r>
      <w:r w:rsidR="002522EE" w:rsidRPr="00B92A5F">
        <w:rPr>
          <w:rFonts w:cs="Arial"/>
          <w:smallCaps/>
          <w:szCs w:val="24"/>
          <w:lang w:val="en-CA"/>
        </w:rPr>
        <w:t>translation</w:t>
      </w:r>
      <w:r w:rsidRPr="000F3F22">
        <w:rPr>
          <w:rFonts w:cs="Arial"/>
          <w:sz w:val="22"/>
          <w:szCs w:val="22"/>
          <w:lang w:val="en-CA"/>
        </w:rPr>
        <w:t>]</w:t>
      </w:r>
      <w:r>
        <w:rPr>
          <w:rFonts w:cs="Arial"/>
          <w:lang w:val="en-CA"/>
        </w:rPr>
        <w:t xml:space="preserve"> </w:t>
      </w:r>
      <w:r w:rsidRPr="00F72925">
        <w:rPr>
          <w:lang w:val="en-CA"/>
        </w:rPr>
        <w:t>“</w:t>
      </w:r>
      <w:r w:rsidR="002522EE">
        <w:rPr>
          <w:lang w:val="en-CA"/>
        </w:rPr>
        <w:t>this</w:t>
      </w:r>
      <w:r w:rsidRPr="00F72925">
        <w:rPr>
          <w:lang w:val="en-CA"/>
        </w:rPr>
        <w:t xml:space="preserve"> mental disorder </w:t>
      </w:r>
      <w:r w:rsidR="002522EE">
        <w:rPr>
          <w:lang w:val="en-CA"/>
        </w:rPr>
        <w:t>was</w:t>
      </w:r>
      <w:r w:rsidRPr="00F72925">
        <w:rPr>
          <w:lang w:val="en-CA"/>
        </w:rPr>
        <w:t xml:space="preserve"> of such intensity that he was incapable of </w:t>
      </w:r>
      <w:r>
        <w:rPr>
          <w:lang w:val="en-CA"/>
        </w:rPr>
        <w:t>appreciating</w:t>
      </w:r>
      <w:r w:rsidRPr="00F72925">
        <w:rPr>
          <w:lang w:val="en-CA"/>
        </w:rPr>
        <w:t xml:space="preserve"> the nature and quality of his act</w:t>
      </w:r>
      <w:r>
        <w:rPr>
          <w:lang w:val="en-CA"/>
        </w:rPr>
        <w:t>s</w:t>
      </w:r>
      <w:r w:rsidRPr="00F72925">
        <w:rPr>
          <w:lang w:val="en-CA"/>
        </w:rPr>
        <w:t xml:space="preserve"> or of knowing that his acts were wrong”</w:t>
      </w:r>
      <w:r>
        <w:rPr>
          <w:lang w:val="en-CA"/>
        </w:rPr>
        <w:t>.</w:t>
      </w:r>
    </w:p>
    <w:p w14:paraId="102CAA2D" w14:textId="1AEFDC5E" w:rsidR="00992B96" w:rsidRPr="00C62419" w:rsidRDefault="000F4BFB" w:rsidP="000B6E2B">
      <w:pPr>
        <w:pStyle w:val="Paragraphe"/>
        <w:spacing w:line="240" w:lineRule="auto"/>
        <w:rPr>
          <w:lang w:val="en-CA"/>
        </w:rPr>
      </w:pPr>
      <w:r w:rsidRPr="000F4BFB">
        <w:rPr>
          <w:lang w:val="en-CA"/>
        </w:rPr>
        <w:t>The expression “</w:t>
      </w:r>
      <w:r w:rsidR="00B9484C">
        <w:rPr>
          <w:lang w:val="en-CA"/>
        </w:rPr>
        <w:t xml:space="preserve">of </w:t>
      </w:r>
      <w:r w:rsidRPr="000F4BFB">
        <w:rPr>
          <w:lang w:val="en-CA"/>
        </w:rPr>
        <w:t xml:space="preserve">such intensity” is not found in the current </w:t>
      </w:r>
      <w:r w:rsidR="00AD6DFC">
        <w:rPr>
          <w:lang w:val="en-CA"/>
        </w:rPr>
        <w:t>wording</w:t>
      </w:r>
      <w:r w:rsidR="00AD6DFC" w:rsidRPr="000F4BFB">
        <w:rPr>
          <w:lang w:val="en-CA"/>
        </w:rPr>
        <w:t xml:space="preserve"> </w:t>
      </w:r>
      <w:r w:rsidRPr="000F4BFB">
        <w:rPr>
          <w:lang w:val="en-CA"/>
        </w:rPr>
        <w:t xml:space="preserve">of section 16 of the </w:t>
      </w:r>
      <w:r w:rsidRPr="000F4BFB">
        <w:rPr>
          <w:i/>
          <w:iCs/>
          <w:lang w:val="en-CA"/>
        </w:rPr>
        <w:t>Criminal Code</w:t>
      </w:r>
      <w:r w:rsidRPr="000F4BFB">
        <w:rPr>
          <w:lang w:val="en-CA"/>
        </w:rPr>
        <w:t xml:space="preserve">. </w:t>
      </w:r>
      <w:r w:rsidR="00592F6D" w:rsidRPr="000F4BFB">
        <w:rPr>
          <w:lang w:val="en-CA"/>
        </w:rPr>
        <w:t>Th</w:t>
      </w:r>
      <w:r w:rsidR="00592F6D">
        <w:rPr>
          <w:lang w:val="en-CA"/>
        </w:rPr>
        <w:t>e</w:t>
      </w:r>
      <w:r w:rsidR="00592F6D" w:rsidRPr="000F4BFB">
        <w:rPr>
          <w:lang w:val="en-CA"/>
        </w:rPr>
        <w:t xml:space="preserve"> </w:t>
      </w:r>
      <w:r w:rsidRPr="000F4BFB">
        <w:rPr>
          <w:lang w:val="en-CA"/>
        </w:rPr>
        <w:t xml:space="preserve">expression </w:t>
      </w:r>
      <w:r w:rsidR="00592F6D">
        <w:rPr>
          <w:lang w:val="en-CA"/>
        </w:rPr>
        <w:t>“</w:t>
      </w:r>
      <w:r w:rsidR="00592F6D" w:rsidRPr="00B92A5F">
        <w:rPr>
          <w:i/>
          <w:iCs/>
          <w:lang w:val="en-CA"/>
        </w:rPr>
        <w:t>une</w:t>
      </w:r>
      <w:r w:rsidR="00D74E6F" w:rsidRPr="00B92A5F">
        <w:rPr>
          <w:i/>
          <w:iCs/>
          <w:lang w:val="en-CA"/>
        </w:rPr>
        <w:t xml:space="preserve"> </w:t>
      </w:r>
      <w:r w:rsidR="00592F6D" w:rsidRPr="00B92A5F">
        <w:rPr>
          <w:i/>
          <w:iCs/>
          <w:lang w:val="en-CA"/>
        </w:rPr>
        <w:t>intensité</w:t>
      </w:r>
      <w:r w:rsidR="00D74E6F" w:rsidRPr="00B92A5F">
        <w:rPr>
          <w:i/>
          <w:iCs/>
          <w:lang w:val="en-CA"/>
        </w:rPr>
        <w:t xml:space="preserve"> telle</w:t>
      </w:r>
      <w:r w:rsidR="00592F6D">
        <w:rPr>
          <w:lang w:val="en-CA"/>
        </w:rPr>
        <w:t xml:space="preserve">” </w:t>
      </w:r>
      <w:r w:rsidRPr="000F4BFB">
        <w:rPr>
          <w:lang w:val="en-CA"/>
        </w:rPr>
        <w:t>is used in the French version of Dickson</w:t>
      </w:r>
      <w:r>
        <w:rPr>
          <w:lang w:val="en-CA"/>
        </w:rPr>
        <w:t xml:space="preserve"> J.’s</w:t>
      </w:r>
      <w:r w:rsidRPr="000F4BFB">
        <w:rPr>
          <w:lang w:val="en-CA"/>
        </w:rPr>
        <w:t xml:space="preserve"> opinion in Cooper</w:t>
      </w:r>
      <w:r>
        <w:rPr>
          <w:lang w:val="en-CA"/>
        </w:rPr>
        <w:t>.</w:t>
      </w:r>
      <w:r w:rsidR="00066E81" w:rsidRPr="00C62419">
        <w:rPr>
          <w:rStyle w:val="Appelnotedebasdep"/>
          <w:lang w:val="en-CA"/>
        </w:rPr>
        <w:footnoteReference w:id="29"/>
      </w:r>
      <w:r w:rsidR="00066E81" w:rsidRPr="00C62419">
        <w:rPr>
          <w:lang w:val="en-CA"/>
        </w:rPr>
        <w:t xml:space="preserve"> </w:t>
      </w:r>
      <w:r w:rsidRPr="000F4BFB">
        <w:rPr>
          <w:lang w:val="en-CA"/>
        </w:rPr>
        <w:t xml:space="preserve">It </w:t>
      </w:r>
      <w:r w:rsidR="00F10F59">
        <w:rPr>
          <w:lang w:val="en-CA"/>
        </w:rPr>
        <w:t>appears to be a translation of</w:t>
      </w:r>
      <w:r w:rsidRPr="000F4BFB">
        <w:rPr>
          <w:lang w:val="en-CA"/>
        </w:rPr>
        <w:t xml:space="preserve"> the expression “to such an extent” </w:t>
      </w:r>
      <w:r w:rsidR="00BB5001">
        <w:rPr>
          <w:lang w:val="en-CA"/>
        </w:rPr>
        <w:t>found</w:t>
      </w:r>
      <w:r w:rsidRPr="000F4BFB">
        <w:rPr>
          <w:lang w:val="en-CA"/>
        </w:rPr>
        <w:t xml:space="preserve"> in</w:t>
      </w:r>
      <w:r w:rsidR="00066E81" w:rsidRPr="00C62419">
        <w:rPr>
          <w:lang w:val="en-CA"/>
        </w:rPr>
        <w:t xml:space="preserve"> </w:t>
      </w:r>
      <w:r w:rsidR="00066E81" w:rsidRPr="00C62419">
        <w:rPr>
          <w:i/>
          <w:lang w:val="en-CA"/>
        </w:rPr>
        <w:t>Watt’s Manual of Criminal Jury Instructions</w:t>
      </w:r>
      <w:r>
        <w:rPr>
          <w:iCs/>
          <w:lang w:val="en-CA"/>
        </w:rPr>
        <w:t>.</w:t>
      </w:r>
      <w:r w:rsidR="00C95915" w:rsidRPr="00C62419">
        <w:rPr>
          <w:rStyle w:val="Appelnotedebasdep"/>
          <w:lang w:val="en-CA"/>
        </w:rPr>
        <w:footnoteReference w:id="30"/>
      </w:r>
      <w:r w:rsidR="00C95915" w:rsidRPr="00C62419">
        <w:rPr>
          <w:lang w:val="en-CA"/>
        </w:rPr>
        <w:t xml:space="preserve"> </w:t>
      </w:r>
      <w:r>
        <w:rPr>
          <w:lang w:val="en-CA"/>
        </w:rPr>
        <w:t>The Canadian Judicial Council’s model instructions do not use it.</w:t>
      </w:r>
      <w:r w:rsidR="001F10F7" w:rsidRPr="00C62419">
        <w:rPr>
          <w:rStyle w:val="Appelnotedebasdep"/>
          <w:lang w:val="en-CA"/>
        </w:rPr>
        <w:footnoteReference w:id="31"/>
      </w:r>
    </w:p>
    <w:p w14:paraId="1C894AC1" w14:textId="4C35DE87" w:rsidR="00C95915" w:rsidRPr="00C62419" w:rsidRDefault="008159E2" w:rsidP="000B6E2B">
      <w:pPr>
        <w:pStyle w:val="Paragraphe"/>
        <w:spacing w:line="240" w:lineRule="auto"/>
        <w:rPr>
          <w:lang w:val="en-CA"/>
        </w:rPr>
      </w:pPr>
      <w:r>
        <w:rPr>
          <w:lang w:val="en-CA"/>
        </w:rPr>
        <w:t>A</w:t>
      </w:r>
      <w:r w:rsidRPr="000F4BFB">
        <w:rPr>
          <w:lang w:val="en-CA"/>
        </w:rPr>
        <w:t xml:space="preserve">ccording to the second </w:t>
      </w:r>
      <w:r w:rsidR="004E4045">
        <w:rPr>
          <w:lang w:val="en-CA"/>
        </w:rPr>
        <w:t>branch of the defence of mental disorder</w:t>
      </w:r>
      <w:r>
        <w:rPr>
          <w:lang w:val="en-CA"/>
        </w:rPr>
        <w:t>, a</w:t>
      </w:r>
      <w:r w:rsidR="000F4BFB">
        <w:rPr>
          <w:lang w:val="en-CA"/>
        </w:rPr>
        <w:t>n</w:t>
      </w:r>
      <w:r w:rsidR="000F4BFB" w:rsidRPr="000F4BFB">
        <w:rPr>
          <w:lang w:val="en-CA"/>
        </w:rPr>
        <w:t xml:space="preserve"> accused who invokes </w:t>
      </w:r>
      <w:r w:rsidR="004E4045">
        <w:rPr>
          <w:lang w:val="en-CA"/>
        </w:rPr>
        <w:t>it</w:t>
      </w:r>
      <w:r w:rsidR="000F4BFB" w:rsidRPr="000F4BFB">
        <w:rPr>
          <w:lang w:val="en-CA"/>
        </w:rPr>
        <w:t xml:space="preserve"> must establish on a balance of probabilities that </w:t>
      </w:r>
      <w:r>
        <w:rPr>
          <w:lang w:val="en-CA"/>
        </w:rPr>
        <w:t>their</w:t>
      </w:r>
      <w:r w:rsidR="000F4BFB" w:rsidRPr="000F4BFB">
        <w:rPr>
          <w:lang w:val="en-CA"/>
        </w:rPr>
        <w:t xml:space="preserve"> mental disorder deprived </w:t>
      </w:r>
      <w:r>
        <w:rPr>
          <w:lang w:val="en-CA"/>
        </w:rPr>
        <w:t>them</w:t>
      </w:r>
      <w:r w:rsidR="0009687E">
        <w:rPr>
          <w:lang w:val="en-CA"/>
        </w:rPr>
        <w:t xml:space="preserve"> </w:t>
      </w:r>
      <w:r w:rsidR="000F4BFB" w:rsidRPr="000F4BFB">
        <w:rPr>
          <w:lang w:val="en-CA"/>
        </w:rPr>
        <w:t>of the capacity to know that the act committed was wrong, but not that the</w:t>
      </w:r>
      <w:r w:rsidR="0009687E">
        <w:rPr>
          <w:lang w:val="en-CA"/>
        </w:rPr>
        <w:t xml:space="preserve"> disorder was</w:t>
      </w:r>
      <w:r w:rsidR="000F4BFB" w:rsidRPr="000F4BFB">
        <w:rPr>
          <w:lang w:val="en-CA"/>
        </w:rPr>
        <w:t xml:space="preserve"> of such intensity that </w:t>
      </w:r>
      <w:r>
        <w:rPr>
          <w:lang w:val="en-CA"/>
        </w:rPr>
        <w:t>they</w:t>
      </w:r>
      <w:r w:rsidR="002D61BC">
        <w:rPr>
          <w:lang w:val="en-CA"/>
        </w:rPr>
        <w:t xml:space="preserve"> were</w:t>
      </w:r>
      <w:r w:rsidR="000F4BFB" w:rsidRPr="000F4BFB">
        <w:rPr>
          <w:lang w:val="en-CA"/>
        </w:rPr>
        <w:t xml:space="preserve"> incapable of knowing</w:t>
      </w:r>
      <w:r w:rsidR="00D06694">
        <w:rPr>
          <w:lang w:val="en-CA"/>
        </w:rPr>
        <w:t xml:space="preserve"> this</w:t>
      </w:r>
      <w:r w:rsidR="000F4BFB" w:rsidRPr="000F4BFB">
        <w:rPr>
          <w:lang w:val="en-CA"/>
        </w:rPr>
        <w:t xml:space="preserve">. Since the expression </w:t>
      </w:r>
      <w:r w:rsidR="002D61BC">
        <w:rPr>
          <w:lang w:val="en-CA"/>
        </w:rPr>
        <w:t>“</w:t>
      </w:r>
      <w:r w:rsidR="000F4BFB" w:rsidRPr="000F4BFB">
        <w:rPr>
          <w:lang w:val="en-CA"/>
        </w:rPr>
        <w:t>such intensity</w:t>
      </w:r>
      <w:r w:rsidR="002D61BC">
        <w:rPr>
          <w:lang w:val="en-CA"/>
        </w:rPr>
        <w:t>”</w:t>
      </w:r>
      <w:r w:rsidR="000F4BFB" w:rsidRPr="000F4BFB">
        <w:rPr>
          <w:lang w:val="en-CA"/>
        </w:rPr>
        <w:t xml:space="preserve"> </w:t>
      </w:r>
      <w:r w:rsidR="00211283">
        <w:rPr>
          <w:lang w:val="en-CA"/>
        </w:rPr>
        <w:t>is likely to</w:t>
      </w:r>
      <w:r w:rsidR="00211283" w:rsidRPr="000F4BFB">
        <w:rPr>
          <w:lang w:val="en-CA"/>
        </w:rPr>
        <w:t xml:space="preserve"> </w:t>
      </w:r>
      <w:r w:rsidR="000F4BFB" w:rsidRPr="000F4BFB">
        <w:rPr>
          <w:lang w:val="en-CA"/>
        </w:rPr>
        <w:t xml:space="preserve">be interpreted as adding an additional </w:t>
      </w:r>
      <w:r w:rsidR="002D61BC">
        <w:rPr>
          <w:lang w:val="en-CA"/>
        </w:rPr>
        <w:t xml:space="preserve">persuasive </w:t>
      </w:r>
      <w:r w:rsidR="000F4BFB" w:rsidRPr="000F4BFB">
        <w:rPr>
          <w:lang w:val="en-CA"/>
        </w:rPr>
        <w:t xml:space="preserve">burden, it is preferable to avoid it by relying on the </w:t>
      </w:r>
      <w:r w:rsidR="000F4BFB">
        <w:rPr>
          <w:lang w:val="en-CA"/>
        </w:rPr>
        <w:t>instruction</w:t>
      </w:r>
      <w:r w:rsidR="000F4BFB" w:rsidRPr="000F4BFB">
        <w:rPr>
          <w:lang w:val="en-CA"/>
        </w:rPr>
        <w:t xml:space="preserve"> suggested by the Canadian Judicial Council</w:t>
      </w:r>
      <w:r w:rsidR="002D61BC">
        <w:rPr>
          <w:lang w:val="en-CA"/>
        </w:rPr>
        <w:t>,</w:t>
      </w:r>
      <w:r w:rsidR="000F4BFB" w:rsidRPr="000F4BFB">
        <w:rPr>
          <w:lang w:val="en-CA"/>
        </w:rPr>
        <w:t xml:space="preserve"> which does not use it. However, the appellant </w:t>
      </w:r>
      <w:r w:rsidR="00211283">
        <w:rPr>
          <w:lang w:val="en-CA"/>
        </w:rPr>
        <w:t>has</w:t>
      </w:r>
      <w:r w:rsidR="00211283" w:rsidRPr="000F4BFB">
        <w:rPr>
          <w:lang w:val="en-CA"/>
        </w:rPr>
        <w:t xml:space="preserve"> </w:t>
      </w:r>
      <w:r w:rsidR="000F4BFB" w:rsidRPr="000F4BFB">
        <w:rPr>
          <w:lang w:val="en-CA"/>
        </w:rPr>
        <w:t>not convince</w:t>
      </w:r>
      <w:r w:rsidR="00211283">
        <w:rPr>
          <w:lang w:val="en-CA"/>
        </w:rPr>
        <w:t>d</w:t>
      </w:r>
      <w:r w:rsidR="000F4BFB" w:rsidRPr="000F4BFB">
        <w:rPr>
          <w:lang w:val="en-CA"/>
        </w:rPr>
        <w:t xml:space="preserve"> the Court that </w:t>
      </w:r>
      <w:r w:rsidR="003E4407">
        <w:rPr>
          <w:lang w:val="en-CA"/>
        </w:rPr>
        <w:t>its use</w:t>
      </w:r>
      <w:r w:rsidR="000F4BFB" w:rsidRPr="000F4BFB">
        <w:rPr>
          <w:lang w:val="en-CA"/>
        </w:rPr>
        <w:t xml:space="preserve"> here was problematic</w:t>
      </w:r>
      <w:r w:rsidR="001F10F7" w:rsidRPr="00C62419">
        <w:rPr>
          <w:lang w:val="en-CA"/>
        </w:rPr>
        <w:t>.</w:t>
      </w:r>
    </w:p>
    <w:p w14:paraId="5A058FC0" w14:textId="4BFF17CF" w:rsidR="004531CB" w:rsidRPr="00C62419" w:rsidRDefault="004023DD" w:rsidP="000B6E2B">
      <w:pPr>
        <w:pStyle w:val="Paragraphe"/>
        <w:numPr>
          <w:ilvl w:val="0"/>
          <w:numId w:val="24"/>
        </w:numPr>
        <w:spacing w:line="240" w:lineRule="auto"/>
        <w:rPr>
          <w:rFonts w:cs="Arial"/>
          <w:b/>
          <w:lang w:val="en-CA"/>
        </w:rPr>
      </w:pPr>
      <w:r>
        <w:rPr>
          <w:rFonts w:cs="Arial"/>
          <w:b/>
          <w:lang w:val="en-CA"/>
        </w:rPr>
        <w:lastRenderedPageBreak/>
        <w:t>Malingering</w:t>
      </w:r>
    </w:p>
    <w:p w14:paraId="009A786C" w14:textId="1E3F2C0D" w:rsidR="00745C76" w:rsidRPr="00C62419" w:rsidRDefault="001E04D6" w:rsidP="000B6E2B">
      <w:pPr>
        <w:pStyle w:val="Paragraphe"/>
        <w:spacing w:line="240" w:lineRule="auto"/>
        <w:rPr>
          <w:lang w:val="en-CA"/>
        </w:rPr>
      </w:pPr>
      <w:r>
        <w:rPr>
          <w:rFonts w:cs="Arial"/>
          <w:lang w:val="en-CA"/>
        </w:rPr>
        <w:t>In</w:t>
      </w:r>
      <w:r w:rsidR="00745C76" w:rsidRPr="00C62419">
        <w:rPr>
          <w:rFonts w:cs="Arial"/>
          <w:lang w:val="en-CA"/>
        </w:rPr>
        <w:t xml:space="preserve"> </w:t>
      </w:r>
      <w:r w:rsidR="00745C76" w:rsidRPr="00C62419">
        <w:rPr>
          <w:rFonts w:cs="Arial"/>
          <w:i/>
          <w:lang w:val="en-CA"/>
        </w:rPr>
        <w:t>Molodowic</w:t>
      </w:r>
      <w:r w:rsidR="00745C76" w:rsidRPr="00C62419">
        <w:rPr>
          <w:lang w:val="en-CA"/>
        </w:rPr>
        <w:t xml:space="preserve">, </w:t>
      </w:r>
      <w:r>
        <w:rPr>
          <w:lang w:val="en-CA"/>
        </w:rPr>
        <w:t xml:space="preserve">as </w:t>
      </w:r>
      <w:r w:rsidR="00211283">
        <w:rPr>
          <w:lang w:val="en-CA"/>
        </w:rPr>
        <w:t>stated above</w:t>
      </w:r>
      <w:r>
        <w:rPr>
          <w:lang w:val="en-CA"/>
        </w:rPr>
        <w:t xml:space="preserve">, the Court recognized that there </w:t>
      </w:r>
      <w:r w:rsidR="00890D76">
        <w:rPr>
          <w:lang w:val="en-CA"/>
        </w:rPr>
        <w:t>is</w:t>
      </w:r>
      <w:r>
        <w:rPr>
          <w:lang w:val="en-CA"/>
        </w:rPr>
        <w:t xml:space="preserve"> </w:t>
      </w:r>
      <w:r w:rsidRPr="00211283">
        <w:rPr>
          <w:lang w:val="en-CA"/>
        </w:rPr>
        <w:t xml:space="preserve">a </w:t>
      </w:r>
      <w:r w:rsidRPr="0066627F">
        <w:rPr>
          <w:rFonts w:cs="Arial"/>
          <w:lang w:val="en-CA"/>
        </w:rPr>
        <w:t>“real danger</w:t>
      </w:r>
      <w:r w:rsidR="00745C76" w:rsidRPr="0066627F">
        <w:rPr>
          <w:rFonts w:cs="Arial"/>
          <w:lang w:val="en-CA"/>
        </w:rPr>
        <w:t xml:space="preserve"> … </w:t>
      </w:r>
      <w:r w:rsidRPr="0066627F">
        <w:rPr>
          <w:rFonts w:cs="Arial"/>
          <w:lang w:val="en-CA"/>
        </w:rPr>
        <w:t>that a jury will be unduly skeptical of a “defence” that is often perceived as easy to fabricate and difficult to rebut”</w:t>
      </w:r>
      <w:r w:rsidRPr="00211283">
        <w:rPr>
          <w:rFonts w:cs="Arial"/>
          <w:lang w:val="en-CA"/>
        </w:rPr>
        <w:t>,</w:t>
      </w:r>
      <w:r w:rsidR="00745C76" w:rsidRPr="00211283">
        <w:rPr>
          <w:rStyle w:val="Appelnotedebasdep"/>
          <w:rFonts w:cs="Arial"/>
          <w:lang w:val="en-CA"/>
        </w:rPr>
        <w:footnoteReference w:id="32"/>
      </w:r>
      <w:r w:rsidR="00745C76" w:rsidRPr="00C62419">
        <w:rPr>
          <w:rFonts w:cs="Arial"/>
          <w:lang w:val="en-CA"/>
        </w:rPr>
        <w:t xml:space="preserve"> </w:t>
      </w:r>
      <w:r w:rsidRPr="001E04D6">
        <w:rPr>
          <w:rFonts w:cs="Arial"/>
          <w:lang w:val="en-CA"/>
        </w:rPr>
        <w:t xml:space="preserve">which </w:t>
      </w:r>
      <w:r w:rsidR="00B31C0E">
        <w:rPr>
          <w:rFonts w:cs="Arial"/>
          <w:lang w:val="en-CA"/>
        </w:rPr>
        <w:t>can be</w:t>
      </w:r>
      <w:r w:rsidR="00B31C0E" w:rsidRPr="001E04D6">
        <w:rPr>
          <w:rFonts w:cs="Arial"/>
          <w:lang w:val="en-CA"/>
        </w:rPr>
        <w:t xml:space="preserve"> </w:t>
      </w:r>
      <w:r w:rsidRPr="001E04D6">
        <w:rPr>
          <w:rFonts w:cs="Arial"/>
          <w:lang w:val="en-CA"/>
        </w:rPr>
        <w:t xml:space="preserve">explained </w:t>
      </w:r>
      <w:r w:rsidR="00211283">
        <w:rPr>
          <w:rFonts w:cs="Arial"/>
          <w:lang w:val="en-CA"/>
        </w:rPr>
        <w:t>primarily</w:t>
      </w:r>
      <w:r w:rsidRPr="001E04D6">
        <w:rPr>
          <w:rFonts w:cs="Arial"/>
          <w:lang w:val="en-CA"/>
        </w:rPr>
        <w:t xml:space="preserve"> by the many myths surrounding the </w:t>
      </w:r>
      <w:r w:rsidR="008D2926">
        <w:rPr>
          <w:rFonts w:cs="Arial"/>
          <w:lang w:val="en-CA"/>
        </w:rPr>
        <w:t xml:space="preserve">defence of </w:t>
      </w:r>
      <w:r w:rsidRPr="001E04D6">
        <w:rPr>
          <w:rFonts w:cs="Arial"/>
          <w:lang w:val="en-CA"/>
        </w:rPr>
        <w:t>mental disorder</w:t>
      </w:r>
      <w:r>
        <w:rPr>
          <w:rFonts w:cs="Arial"/>
          <w:lang w:val="en-CA"/>
        </w:rPr>
        <w:t>.</w:t>
      </w:r>
      <w:r w:rsidR="00745C76" w:rsidRPr="00C62419">
        <w:rPr>
          <w:rStyle w:val="Appelnotedebasdep"/>
          <w:rFonts w:cs="Arial"/>
          <w:lang w:val="en-CA"/>
        </w:rPr>
        <w:footnoteReference w:id="33"/>
      </w:r>
    </w:p>
    <w:p w14:paraId="3CF620EB" w14:textId="2D712533" w:rsidR="00C1250E" w:rsidRPr="00C62419" w:rsidRDefault="0063095B" w:rsidP="000B6E2B">
      <w:pPr>
        <w:pStyle w:val="Paragraphe"/>
        <w:spacing w:line="240" w:lineRule="auto"/>
        <w:rPr>
          <w:lang w:val="en-CA"/>
        </w:rPr>
      </w:pPr>
      <w:r>
        <w:rPr>
          <w:lang w:val="en-CA"/>
        </w:rPr>
        <w:t>Malingering</w:t>
      </w:r>
      <w:r w:rsidR="001E04D6" w:rsidRPr="001E04D6">
        <w:rPr>
          <w:lang w:val="en-CA"/>
        </w:rPr>
        <w:t xml:space="preserve"> is </w:t>
      </w:r>
      <w:r w:rsidR="001E04D6">
        <w:rPr>
          <w:lang w:val="en-CA"/>
        </w:rPr>
        <w:t xml:space="preserve">thus </w:t>
      </w:r>
      <w:r w:rsidR="001E04D6" w:rsidRPr="001E04D6">
        <w:rPr>
          <w:lang w:val="en-CA"/>
        </w:rPr>
        <w:t xml:space="preserve">often an issue when there is a </w:t>
      </w:r>
      <w:r w:rsidR="008D2926">
        <w:rPr>
          <w:rFonts w:cs="Arial"/>
          <w:lang w:val="en-CA"/>
        </w:rPr>
        <w:t xml:space="preserve">defence of </w:t>
      </w:r>
      <w:r w:rsidR="001E04D6" w:rsidRPr="001E04D6">
        <w:rPr>
          <w:lang w:val="en-CA"/>
        </w:rPr>
        <w:t>mental disorder</w:t>
      </w:r>
      <w:r w:rsidR="001E04D6">
        <w:rPr>
          <w:lang w:val="en-CA"/>
        </w:rPr>
        <w:t>.</w:t>
      </w:r>
      <w:r w:rsidR="00690786" w:rsidRPr="00C62419">
        <w:rPr>
          <w:rStyle w:val="Appelnotedebasdep"/>
          <w:rFonts w:cs="Arial"/>
          <w:lang w:val="en-CA"/>
        </w:rPr>
        <w:footnoteReference w:id="34"/>
      </w:r>
    </w:p>
    <w:p w14:paraId="22689716" w14:textId="5CF5F7A5" w:rsidR="0028056C" w:rsidRPr="00C62419" w:rsidRDefault="001E04D6" w:rsidP="000B6E2B">
      <w:pPr>
        <w:pStyle w:val="Paragraphe"/>
        <w:spacing w:line="240" w:lineRule="auto"/>
        <w:rPr>
          <w:lang w:val="en-CA"/>
        </w:rPr>
      </w:pPr>
      <w:r w:rsidRPr="001E04D6">
        <w:rPr>
          <w:rFonts w:cs="Arial"/>
          <w:lang w:val="en-CA"/>
        </w:rPr>
        <w:t xml:space="preserve">On the other hand, a competent expert can testify on the criteria used in psychiatry to detect the </w:t>
      </w:r>
      <w:r w:rsidR="0063095B">
        <w:rPr>
          <w:rFonts w:cs="Arial"/>
          <w:lang w:val="en-CA"/>
        </w:rPr>
        <w:t>feigning</w:t>
      </w:r>
      <w:r w:rsidRPr="001E04D6">
        <w:rPr>
          <w:rFonts w:cs="Arial"/>
          <w:lang w:val="en-CA"/>
        </w:rPr>
        <w:t xml:space="preserve"> of a mental illness</w:t>
      </w:r>
      <w:r>
        <w:rPr>
          <w:rFonts w:cs="Arial"/>
          <w:lang w:val="en-CA"/>
        </w:rPr>
        <w:t>.</w:t>
      </w:r>
      <w:r w:rsidR="00690786" w:rsidRPr="00C62419">
        <w:rPr>
          <w:rStyle w:val="Appelnotedebasdep"/>
          <w:rFonts w:cs="Arial"/>
          <w:lang w:val="en-CA"/>
        </w:rPr>
        <w:footnoteReference w:id="35"/>
      </w:r>
      <w:r w:rsidR="00FB3E88">
        <w:rPr>
          <w:rFonts w:cs="Arial"/>
          <w:lang w:val="en-CA"/>
        </w:rPr>
        <w:t xml:space="preserve"> T</w:t>
      </w:r>
      <w:r w:rsidR="00B31C0E">
        <w:rPr>
          <w:rFonts w:cs="Arial"/>
          <w:lang w:val="en-CA"/>
        </w:rPr>
        <w:t xml:space="preserve">here is no </w:t>
      </w:r>
      <w:r w:rsidRPr="001E04D6">
        <w:rPr>
          <w:rFonts w:cs="Arial"/>
          <w:lang w:val="en-CA"/>
        </w:rPr>
        <w:t xml:space="preserve">such </w:t>
      </w:r>
      <w:r w:rsidR="00AE709F">
        <w:rPr>
          <w:rFonts w:cs="Arial"/>
          <w:lang w:val="en-CA"/>
        </w:rPr>
        <w:t>evidence</w:t>
      </w:r>
      <w:r w:rsidR="00FB3E88" w:rsidRPr="00FB3E88">
        <w:rPr>
          <w:rFonts w:cs="Arial"/>
          <w:lang w:val="en-CA"/>
        </w:rPr>
        <w:t xml:space="preserve"> </w:t>
      </w:r>
      <w:r w:rsidR="00FB3E88">
        <w:rPr>
          <w:rFonts w:cs="Arial"/>
          <w:lang w:val="en-CA"/>
        </w:rPr>
        <w:t>i</w:t>
      </w:r>
      <w:r w:rsidR="00FB3E88" w:rsidRPr="001E04D6">
        <w:rPr>
          <w:rFonts w:cs="Arial"/>
          <w:lang w:val="en-CA"/>
        </w:rPr>
        <w:t xml:space="preserve">n </w:t>
      </w:r>
      <w:r w:rsidR="00FB3E88">
        <w:rPr>
          <w:rFonts w:cs="Arial"/>
          <w:lang w:val="en-CA"/>
        </w:rPr>
        <w:t>this</w:t>
      </w:r>
      <w:r w:rsidR="00FB3E88" w:rsidRPr="001E04D6">
        <w:rPr>
          <w:rFonts w:cs="Arial"/>
          <w:lang w:val="en-CA"/>
        </w:rPr>
        <w:t xml:space="preserve"> case</w:t>
      </w:r>
      <w:r w:rsidR="00FB3E88">
        <w:rPr>
          <w:rFonts w:cs="Arial"/>
          <w:lang w:val="en-CA"/>
        </w:rPr>
        <w:t>, however</w:t>
      </w:r>
      <w:r w:rsidRPr="001E04D6">
        <w:rPr>
          <w:rFonts w:cs="Arial"/>
          <w:lang w:val="en-CA"/>
        </w:rPr>
        <w:t>.</w:t>
      </w:r>
    </w:p>
    <w:p w14:paraId="2178F4C5" w14:textId="49FB0244" w:rsidR="00690786" w:rsidRPr="00C62419" w:rsidRDefault="001E04D6" w:rsidP="000B6E2B">
      <w:pPr>
        <w:pStyle w:val="Paragraphe"/>
        <w:spacing w:line="240" w:lineRule="auto"/>
        <w:rPr>
          <w:lang w:val="en-CA"/>
        </w:rPr>
      </w:pPr>
      <w:r w:rsidRPr="001E04D6">
        <w:rPr>
          <w:lang w:val="en-CA"/>
        </w:rPr>
        <w:t xml:space="preserve">The </w:t>
      </w:r>
      <w:r>
        <w:rPr>
          <w:lang w:val="en-CA"/>
        </w:rPr>
        <w:t xml:space="preserve">Crown’s </w:t>
      </w:r>
      <w:r w:rsidRPr="001E04D6">
        <w:rPr>
          <w:lang w:val="en-CA"/>
        </w:rPr>
        <w:t xml:space="preserve">questions about </w:t>
      </w:r>
      <w:r w:rsidR="0063095B">
        <w:rPr>
          <w:lang w:val="en-CA"/>
        </w:rPr>
        <w:t>malingering,</w:t>
      </w:r>
      <w:r w:rsidRPr="001E04D6">
        <w:rPr>
          <w:lang w:val="en-CA"/>
        </w:rPr>
        <w:t xml:space="preserve"> without exploring with the experts the applicable criteria to </w:t>
      </w:r>
      <w:r>
        <w:rPr>
          <w:lang w:val="en-CA"/>
        </w:rPr>
        <w:t>assess</w:t>
      </w:r>
      <w:r w:rsidRPr="001E04D6">
        <w:rPr>
          <w:lang w:val="en-CA"/>
        </w:rPr>
        <w:t xml:space="preserve"> this possibility, constituted an insinuation </w:t>
      </w:r>
      <w:r w:rsidR="00B31C0E">
        <w:rPr>
          <w:lang w:val="en-CA"/>
        </w:rPr>
        <w:t>that</w:t>
      </w:r>
      <w:r w:rsidR="00B31C0E" w:rsidRPr="001E04D6">
        <w:rPr>
          <w:lang w:val="en-CA"/>
        </w:rPr>
        <w:t xml:space="preserve"> </w:t>
      </w:r>
      <w:r w:rsidRPr="001E04D6">
        <w:rPr>
          <w:lang w:val="en-CA"/>
        </w:rPr>
        <w:t>could only be seriously prejudicial to the appellant</w:t>
      </w:r>
      <w:r w:rsidR="00023F48">
        <w:rPr>
          <w:lang w:val="en-CA"/>
        </w:rPr>
        <w:t>’</w:t>
      </w:r>
      <w:r w:rsidRPr="001E04D6">
        <w:rPr>
          <w:lang w:val="en-CA"/>
        </w:rPr>
        <w:t>s defen</w:t>
      </w:r>
      <w:r>
        <w:rPr>
          <w:lang w:val="en-CA"/>
        </w:rPr>
        <w:t>c</w:t>
      </w:r>
      <w:r w:rsidRPr="001E04D6">
        <w:rPr>
          <w:lang w:val="en-CA"/>
        </w:rPr>
        <w:t>e.</w:t>
      </w:r>
      <w:r w:rsidR="006B1ED9" w:rsidRPr="00C62419">
        <w:rPr>
          <w:rStyle w:val="Appelnotedebasdep"/>
          <w:lang w:val="en-CA"/>
        </w:rPr>
        <w:footnoteReference w:id="36"/>
      </w:r>
      <w:r w:rsidR="00E03BA9" w:rsidRPr="00C62419">
        <w:rPr>
          <w:lang w:val="en-CA"/>
        </w:rPr>
        <w:t xml:space="preserve"> </w:t>
      </w:r>
      <w:r w:rsidRPr="001E04D6">
        <w:rPr>
          <w:lang w:val="en-CA"/>
        </w:rPr>
        <w:t xml:space="preserve">In </w:t>
      </w:r>
      <w:r w:rsidR="00C717F9">
        <w:rPr>
          <w:lang w:val="en-CA"/>
        </w:rPr>
        <w:t>fact</w:t>
      </w:r>
      <w:r w:rsidRPr="001E04D6">
        <w:rPr>
          <w:lang w:val="en-CA"/>
        </w:rPr>
        <w:t xml:space="preserve">, they </w:t>
      </w:r>
      <w:r w:rsidR="00C717F9">
        <w:rPr>
          <w:lang w:val="en-CA"/>
        </w:rPr>
        <w:t>led</w:t>
      </w:r>
      <w:r w:rsidRPr="001E04D6">
        <w:rPr>
          <w:lang w:val="en-CA"/>
        </w:rPr>
        <w:t xml:space="preserve"> the jury </w:t>
      </w:r>
      <w:r w:rsidR="00C717F9">
        <w:rPr>
          <w:lang w:val="en-CA"/>
        </w:rPr>
        <w:t>down</w:t>
      </w:r>
      <w:r w:rsidRPr="001E04D6">
        <w:rPr>
          <w:lang w:val="en-CA"/>
        </w:rPr>
        <w:t xml:space="preserve"> the path of </w:t>
      </w:r>
      <w:r w:rsidR="00C8484A">
        <w:rPr>
          <w:lang w:val="en-CA"/>
        </w:rPr>
        <w:t>speculation</w:t>
      </w:r>
      <w:r w:rsidRPr="001E04D6">
        <w:rPr>
          <w:lang w:val="en-CA"/>
        </w:rPr>
        <w:t>.</w:t>
      </w:r>
    </w:p>
    <w:p w14:paraId="3852F1DF" w14:textId="2F8FC955" w:rsidR="006B1ED9" w:rsidRPr="00C62419" w:rsidRDefault="00C717F9" w:rsidP="000B6E2B">
      <w:pPr>
        <w:pStyle w:val="Paragraphe"/>
        <w:spacing w:line="240" w:lineRule="auto"/>
        <w:rPr>
          <w:lang w:val="en-CA"/>
        </w:rPr>
      </w:pPr>
      <w:r w:rsidRPr="00C717F9">
        <w:rPr>
          <w:lang w:val="en-CA"/>
        </w:rPr>
        <w:t xml:space="preserve">The problem </w:t>
      </w:r>
      <w:r>
        <w:rPr>
          <w:lang w:val="en-CA"/>
        </w:rPr>
        <w:t>is more serious</w:t>
      </w:r>
      <w:r w:rsidRPr="00C717F9">
        <w:rPr>
          <w:lang w:val="en-CA"/>
        </w:rPr>
        <w:t xml:space="preserve"> if we consider the </w:t>
      </w:r>
      <w:r>
        <w:rPr>
          <w:lang w:val="en-CA"/>
        </w:rPr>
        <w:t>Crown’s argument</w:t>
      </w:r>
      <w:r w:rsidR="00A371EE">
        <w:rPr>
          <w:lang w:val="en-CA"/>
        </w:rPr>
        <w:t>s</w:t>
      </w:r>
      <w:r w:rsidRPr="00C717F9">
        <w:rPr>
          <w:lang w:val="en-CA"/>
        </w:rPr>
        <w:t xml:space="preserve">, which </w:t>
      </w:r>
      <w:r w:rsidR="00A371EE">
        <w:rPr>
          <w:lang w:val="en-CA"/>
        </w:rPr>
        <w:t>deal with</w:t>
      </w:r>
      <w:r w:rsidR="00A371EE" w:rsidRPr="00C717F9">
        <w:rPr>
          <w:lang w:val="en-CA"/>
        </w:rPr>
        <w:t xml:space="preserve"> </w:t>
      </w:r>
      <w:r w:rsidR="00C8484A">
        <w:rPr>
          <w:lang w:val="en-CA"/>
        </w:rPr>
        <w:t>malingering</w:t>
      </w:r>
      <w:r w:rsidRPr="00C717F9">
        <w:rPr>
          <w:lang w:val="en-CA"/>
        </w:rPr>
        <w:t xml:space="preserve"> in a way that could only fuel the possibility of </w:t>
      </w:r>
      <w:r w:rsidR="00C8484A">
        <w:rPr>
          <w:lang w:val="en-CA"/>
        </w:rPr>
        <w:t>speculation</w:t>
      </w:r>
      <w:r w:rsidR="004F10FA" w:rsidRPr="00C62419">
        <w:rPr>
          <w:lang w:val="en-CA"/>
        </w:rPr>
        <w:t>:</w:t>
      </w:r>
    </w:p>
    <w:p w14:paraId="5D74BA2D" w14:textId="3D92BB07" w:rsidR="00C717F9" w:rsidRPr="00B92A5F" w:rsidRDefault="00C717F9" w:rsidP="000B6E2B">
      <w:pPr>
        <w:pStyle w:val="Citationenretrait"/>
        <w:spacing w:line="240" w:lineRule="auto"/>
        <w:rPr>
          <w:szCs w:val="22"/>
          <w:lang w:val="en-CA" w:eastAsia="fr-CA"/>
        </w:rPr>
      </w:pPr>
      <w:r w:rsidRPr="00B92A5F">
        <w:rPr>
          <w:rFonts w:cs="Arial"/>
          <w:szCs w:val="22"/>
          <w:lang w:val="en-CA"/>
        </w:rPr>
        <w:t>[</w:t>
      </w:r>
      <w:r w:rsidR="005E1E84" w:rsidRPr="00F829F2">
        <w:rPr>
          <w:rFonts w:cs="Arial"/>
          <w:smallCaps/>
          <w:szCs w:val="22"/>
          <w:lang w:val="en-CA"/>
        </w:rPr>
        <w:t>translation</w:t>
      </w:r>
      <w:r w:rsidRPr="00B92A5F">
        <w:rPr>
          <w:rFonts w:cs="Arial"/>
          <w:szCs w:val="22"/>
          <w:lang w:val="en-CA"/>
        </w:rPr>
        <w:t>]</w:t>
      </w:r>
    </w:p>
    <w:p w14:paraId="6115DCB7" w14:textId="504E84E5" w:rsidR="00F7208B" w:rsidRPr="00C62419" w:rsidRDefault="00C717F9" w:rsidP="000B6E2B">
      <w:pPr>
        <w:pStyle w:val="Citationenretrait"/>
        <w:spacing w:line="240" w:lineRule="auto"/>
        <w:rPr>
          <w:lang w:val="en-CA" w:eastAsia="fr-CA"/>
        </w:rPr>
      </w:pPr>
      <w:r w:rsidRPr="00C717F9">
        <w:rPr>
          <w:lang w:val="en-CA" w:eastAsia="fr-CA"/>
        </w:rPr>
        <w:t xml:space="preserve">We talked about the </w:t>
      </w:r>
      <w:r>
        <w:rPr>
          <w:lang w:val="en-CA" w:eastAsia="fr-CA"/>
        </w:rPr>
        <w:t>issue</w:t>
      </w:r>
      <w:r w:rsidRPr="00C717F9">
        <w:rPr>
          <w:lang w:val="en-CA" w:eastAsia="fr-CA"/>
        </w:rPr>
        <w:t xml:space="preserve"> of </w:t>
      </w:r>
      <w:r w:rsidR="00C8484A">
        <w:rPr>
          <w:lang w:val="en-CA" w:eastAsia="fr-CA"/>
        </w:rPr>
        <w:t>malingering</w:t>
      </w:r>
      <w:r w:rsidRPr="00C717F9">
        <w:rPr>
          <w:lang w:val="en-CA" w:eastAsia="fr-CA"/>
        </w:rPr>
        <w:t xml:space="preserve">. Again, I just want to warn you. </w:t>
      </w:r>
      <w:r>
        <w:rPr>
          <w:lang w:val="en-CA" w:eastAsia="fr-CA"/>
        </w:rPr>
        <w:t>W</w:t>
      </w:r>
      <w:r w:rsidRPr="00C717F9">
        <w:rPr>
          <w:lang w:val="en-CA" w:eastAsia="fr-CA"/>
        </w:rPr>
        <w:t xml:space="preserve">e </w:t>
      </w:r>
      <w:r>
        <w:rPr>
          <w:lang w:val="en-CA" w:eastAsia="fr-CA"/>
        </w:rPr>
        <w:t>did in fact raise</w:t>
      </w:r>
      <w:r w:rsidRPr="00C717F9">
        <w:rPr>
          <w:lang w:val="en-CA" w:eastAsia="fr-CA"/>
        </w:rPr>
        <w:t xml:space="preserve"> questions</w:t>
      </w:r>
      <w:r w:rsidR="00927824">
        <w:rPr>
          <w:lang w:val="en-CA" w:eastAsia="fr-CA"/>
        </w:rPr>
        <w:t>;</w:t>
      </w:r>
      <w:r w:rsidRPr="00C717F9">
        <w:rPr>
          <w:lang w:val="en-CA" w:eastAsia="fr-CA"/>
        </w:rPr>
        <w:t xml:space="preserve"> we asked questions: was </w:t>
      </w:r>
      <w:r w:rsidR="00927824">
        <w:rPr>
          <w:lang w:val="en-CA" w:eastAsia="fr-CA"/>
        </w:rPr>
        <w:t xml:space="preserve">it possible that there was </w:t>
      </w:r>
      <w:r w:rsidR="00C8484A">
        <w:rPr>
          <w:lang w:val="en-CA" w:eastAsia="fr-CA"/>
        </w:rPr>
        <w:t>malingering</w:t>
      </w:r>
      <w:r w:rsidRPr="00C717F9">
        <w:rPr>
          <w:lang w:val="en-CA" w:eastAsia="fr-CA"/>
        </w:rPr>
        <w:t xml:space="preserve">? </w:t>
      </w:r>
      <w:r w:rsidR="00C8484A">
        <w:rPr>
          <w:lang w:val="en-CA" w:eastAsia="fr-CA"/>
        </w:rPr>
        <w:t>Malingering</w:t>
      </w:r>
      <w:r w:rsidRPr="00C717F9">
        <w:rPr>
          <w:lang w:val="en-CA" w:eastAsia="fr-CA"/>
        </w:rPr>
        <w:t xml:space="preserve"> is not necessarily something that is an absolute whole. Mr. Tshilumba</w:t>
      </w:r>
      <w:r w:rsidR="00FC38AF">
        <w:rPr>
          <w:lang w:val="en-CA" w:eastAsia="fr-CA"/>
        </w:rPr>
        <w:t>,</w:t>
      </w:r>
      <w:r w:rsidRPr="00C717F9">
        <w:rPr>
          <w:lang w:val="en-CA" w:eastAsia="fr-CA"/>
        </w:rPr>
        <w:t xml:space="preserve"> I suggest to you, </w:t>
      </w:r>
      <w:r w:rsidR="003B59BA">
        <w:rPr>
          <w:lang w:val="en-CA" w:eastAsia="fr-CA"/>
        </w:rPr>
        <w:t>that it is possible that Mr. Tshilumba has</w:t>
      </w:r>
      <w:r w:rsidR="00061057">
        <w:rPr>
          <w:lang w:val="en-CA" w:eastAsia="fr-CA"/>
        </w:rPr>
        <w:t xml:space="preserve"> been </w:t>
      </w:r>
      <w:r w:rsidR="00C8484A">
        <w:rPr>
          <w:lang w:val="en-CA" w:eastAsia="fr-CA"/>
        </w:rPr>
        <w:t>malinger</w:t>
      </w:r>
      <w:r w:rsidR="00061057">
        <w:rPr>
          <w:lang w:val="en-CA" w:eastAsia="fr-CA"/>
        </w:rPr>
        <w:t xml:space="preserve">ing </w:t>
      </w:r>
      <w:r w:rsidR="005E2A11">
        <w:rPr>
          <w:lang w:val="en-CA" w:eastAsia="fr-CA"/>
        </w:rPr>
        <w:t>from</w:t>
      </w:r>
      <w:r w:rsidR="006A4FAD">
        <w:rPr>
          <w:lang w:val="en-CA" w:eastAsia="fr-CA"/>
        </w:rPr>
        <w:t xml:space="preserve"> the </w:t>
      </w:r>
      <w:r w:rsidR="005E2A11">
        <w:rPr>
          <w:lang w:val="en-CA" w:eastAsia="fr-CA"/>
        </w:rPr>
        <w:t>outset</w:t>
      </w:r>
      <w:r w:rsidRPr="00C717F9">
        <w:rPr>
          <w:lang w:val="en-CA" w:eastAsia="fr-CA"/>
        </w:rPr>
        <w:t xml:space="preserve">, but considering the evidence </w:t>
      </w:r>
      <w:r w:rsidR="005E2A11">
        <w:rPr>
          <w:lang w:val="en-CA" w:eastAsia="fr-CA"/>
        </w:rPr>
        <w:t>we have</w:t>
      </w:r>
      <w:r w:rsidRPr="00C717F9">
        <w:rPr>
          <w:lang w:val="en-CA" w:eastAsia="fr-CA"/>
        </w:rPr>
        <w:t xml:space="preserve"> heard from his parents, </w:t>
      </w:r>
      <w:r w:rsidR="003B59BA">
        <w:rPr>
          <w:lang w:val="en-CA" w:eastAsia="fr-CA"/>
        </w:rPr>
        <w:t xml:space="preserve">it is possible that </w:t>
      </w:r>
      <w:r w:rsidR="00F67781">
        <w:rPr>
          <w:lang w:val="en-CA" w:eastAsia="fr-CA"/>
        </w:rPr>
        <w:t xml:space="preserve">he </w:t>
      </w:r>
      <w:r w:rsidR="00F67781" w:rsidRPr="00C717F9">
        <w:rPr>
          <w:lang w:val="en-CA" w:eastAsia="fr-CA"/>
        </w:rPr>
        <w:t>feigned</w:t>
      </w:r>
      <w:r w:rsidR="005E2A11" w:rsidRPr="00C717F9">
        <w:rPr>
          <w:lang w:val="en-CA" w:eastAsia="fr-CA"/>
        </w:rPr>
        <w:t xml:space="preserve"> </w:t>
      </w:r>
      <w:r w:rsidRPr="00C717F9">
        <w:rPr>
          <w:lang w:val="en-CA" w:eastAsia="fr-CA"/>
        </w:rPr>
        <w:t xml:space="preserve">or </w:t>
      </w:r>
      <w:r w:rsidR="005E2A11">
        <w:rPr>
          <w:lang w:val="en-CA" w:eastAsia="fr-CA"/>
        </w:rPr>
        <w:t>embellish</w:t>
      </w:r>
      <w:r w:rsidR="003B59BA">
        <w:rPr>
          <w:lang w:val="en-CA" w:eastAsia="fr-CA"/>
        </w:rPr>
        <w:t>ed</w:t>
      </w:r>
      <w:r w:rsidR="005E2A11" w:rsidRPr="00C717F9">
        <w:rPr>
          <w:lang w:val="en-CA" w:eastAsia="fr-CA"/>
        </w:rPr>
        <w:t xml:space="preserve"> </w:t>
      </w:r>
      <w:r w:rsidRPr="00C717F9">
        <w:rPr>
          <w:lang w:val="en-CA" w:eastAsia="fr-CA"/>
        </w:rPr>
        <w:t xml:space="preserve">certain symptoms or </w:t>
      </w:r>
      <w:r w:rsidR="005E2A11" w:rsidRPr="00C717F9">
        <w:rPr>
          <w:lang w:val="en-CA" w:eastAsia="fr-CA"/>
        </w:rPr>
        <w:t>exaggerat</w:t>
      </w:r>
      <w:r w:rsidR="003B59BA">
        <w:rPr>
          <w:lang w:val="en-CA" w:eastAsia="fr-CA"/>
        </w:rPr>
        <w:t>ed</w:t>
      </w:r>
      <w:r w:rsidR="005E2A11">
        <w:rPr>
          <w:lang w:val="en-CA" w:eastAsia="fr-CA"/>
        </w:rPr>
        <w:t xml:space="preserve"> </w:t>
      </w:r>
      <w:r w:rsidRPr="00C717F9">
        <w:rPr>
          <w:lang w:val="en-CA" w:eastAsia="fr-CA"/>
        </w:rPr>
        <w:t>certain symptoms afterward</w:t>
      </w:r>
      <w:r w:rsidR="006A4FAD">
        <w:rPr>
          <w:lang w:val="en-CA" w:eastAsia="fr-CA"/>
        </w:rPr>
        <w:t>s</w:t>
      </w:r>
      <w:r w:rsidR="00D63D5A" w:rsidRPr="00C62419">
        <w:rPr>
          <w:lang w:val="en-CA" w:eastAsia="fr-CA"/>
        </w:rPr>
        <w:t>.</w:t>
      </w:r>
    </w:p>
    <w:p w14:paraId="1EC1371E" w14:textId="59FB0A4A" w:rsidR="008B5114" w:rsidRPr="00C62419" w:rsidRDefault="006A4FAD" w:rsidP="000B6E2B">
      <w:pPr>
        <w:pStyle w:val="Paragraphe"/>
        <w:spacing w:line="240" w:lineRule="auto"/>
        <w:rPr>
          <w:lang w:val="en-CA"/>
        </w:rPr>
      </w:pPr>
      <w:r w:rsidRPr="00DB758A">
        <w:rPr>
          <w:lang w:val="en-CA"/>
        </w:rPr>
        <w:lastRenderedPageBreak/>
        <w:t>Raising the possibility</w:t>
      </w:r>
      <w:r w:rsidRPr="006A4FAD">
        <w:rPr>
          <w:lang w:val="en-CA"/>
        </w:rPr>
        <w:t xml:space="preserve"> of partial </w:t>
      </w:r>
      <w:r w:rsidR="00C8484A">
        <w:rPr>
          <w:lang w:val="en-CA"/>
        </w:rPr>
        <w:t>malingering</w:t>
      </w:r>
      <w:r w:rsidRPr="006A4FAD">
        <w:rPr>
          <w:lang w:val="en-CA"/>
        </w:rPr>
        <w:t xml:space="preserve"> by the appellant without </w:t>
      </w:r>
      <w:r w:rsidR="00C8484A">
        <w:rPr>
          <w:lang w:val="en-CA"/>
        </w:rPr>
        <w:t xml:space="preserve">a </w:t>
      </w:r>
      <w:r w:rsidRPr="006A4FAD">
        <w:rPr>
          <w:lang w:val="en-CA"/>
        </w:rPr>
        <w:t xml:space="preserve">factual basis was likely to fuel </w:t>
      </w:r>
      <w:r w:rsidR="00C8484A">
        <w:rPr>
          <w:lang w:val="en-CA"/>
        </w:rPr>
        <w:t>speculation among</w:t>
      </w:r>
      <w:r w:rsidRPr="006A4FAD">
        <w:rPr>
          <w:lang w:val="en-CA"/>
        </w:rPr>
        <w:t xml:space="preserve"> the jury, even </w:t>
      </w:r>
      <w:r>
        <w:rPr>
          <w:lang w:val="en-CA"/>
        </w:rPr>
        <w:t>though</w:t>
      </w:r>
      <w:r w:rsidRPr="006A4FAD">
        <w:rPr>
          <w:lang w:val="en-CA"/>
        </w:rPr>
        <w:t xml:space="preserve"> this was not the position formally adopted by the </w:t>
      </w:r>
      <w:r>
        <w:rPr>
          <w:lang w:val="en-CA"/>
        </w:rPr>
        <w:t>Crown</w:t>
      </w:r>
      <w:r w:rsidRPr="006A4FAD">
        <w:rPr>
          <w:lang w:val="en-CA"/>
        </w:rPr>
        <w:t xml:space="preserve"> in its </w:t>
      </w:r>
      <w:r>
        <w:rPr>
          <w:lang w:val="en-CA"/>
        </w:rPr>
        <w:t>argument</w:t>
      </w:r>
      <w:r w:rsidR="003B59BA">
        <w:rPr>
          <w:lang w:val="en-CA"/>
        </w:rPr>
        <w:t>s</w:t>
      </w:r>
      <w:r w:rsidR="004762C8" w:rsidRPr="00C62419">
        <w:rPr>
          <w:lang w:val="en-CA"/>
        </w:rPr>
        <w:t>.</w:t>
      </w:r>
    </w:p>
    <w:p w14:paraId="756C3D2E" w14:textId="40319789" w:rsidR="006D4283" w:rsidRPr="00C62419" w:rsidRDefault="00FE25A3" w:rsidP="000B6E2B">
      <w:pPr>
        <w:pStyle w:val="Paragraphe"/>
        <w:spacing w:line="240" w:lineRule="auto"/>
        <w:rPr>
          <w:lang w:val="en-CA"/>
        </w:rPr>
      </w:pPr>
      <w:r w:rsidRPr="00FE25A3">
        <w:rPr>
          <w:lang w:val="en-CA"/>
        </w:rPr>
        <w:t xml:space="preserve">Regarding the rewriting of the events, Dr. Morissette </w:t>
      </w:r>
      <w:r>
        <w:rPr>
          <w:lang w:val="en-CA"/>
        </w:rPr>
        <w:t>says</w:t>
      </w:r>
      <w:r w:rsidRPr="00FE25A3">
        <w:rPr>
          <w:lang w:val="en-CA"/>
        </w:rPr>
        <w:t xml:space="preserve"> that it is not impossible that the appellant </w:t>
      </w:r>
      <w:r>
        <w:rPr>
          <w:lang w:val="en-CA"/>
        </w:rPr>
        <w:t>invented</w:t>
      </w:r>
      <w:r w:rsidRPr="00FE25A3">
        <w:rPr>
          <w:lang w:val="en-CA"/>
        </w:rPr>
        <w:t xml:space="preserve"> the idea of the attack </w:t>
      </w:r>
      <w:r>
        <w:rPr>
          <w:lang w:val="en-CA"/>
        </w:rPr>
        <w:t>by</w:t>
      </w:r>
      <w:r w:rsidRPr="00FE25A3">
        <w:rPr>
          <w:lang w:val="en-CA"/>
        </w:rPr>
        <w:t xml:space="preserve"> the victim </w:t>
      </w:r>
      <w:r w:rsidR="00F67781">
        <w:rPr>
          <w:lang w:val="en-CA"/>
        </w:rPr>
        <w:t>to</w:t>
      </w:r>
      <w:r>
        <w:rPr>
          <w:lang w:val="en-CA"/>
        </w:rPr>
        <w:t xml:space="preserve"> protect himself from the idea that he could have committed a murder</w:t>
      </w:r>
      <w:r w:rsidRPr="00FE25A3">
        <w:rPr>
          <w:lang w:val="en-CA"/>
        </w:rPr>
        <w:t xml:space="preserve">. According to the psychiatrist, even if this hypothesis was not impossible, it is not the one he </w:t>
      </w:r>
      <w:r w:rsidR="007933C1">
        <w:rPr>
          <w:lang w:val="en-CA"/>
        </w:rPr>
        <w:t>retained</w:t>
      </w:r>
      <w:r w:rsidRPr="00FE25A3">
        <w:rPr>
          <w:lang w:val="en-CA"/>
        </w:rPr>
        <w:t xml:space="preserve">, considering the evidence. </w:t>
      </w:r>
      <w:r w:rsidR="00A73D70">
        <w:rPr>
          <w:lang w:val="en-CA"/>
        </w:rPr>
        <w:t>In</w:t>
      </w:r>
      <w:r w:rsidR="00A73D70" w:rsidRPr="00FE25A3">
        <w:rPr>
          <w:lang w:val="en-CA"/>
        </w:rPr>
        <w:t xml:space="preserve"> </w:t>
      </w:r>
      <w:r w:rsidRPr="00FE25A3">
        <w:rPr>
          <w:lang w:val="en-CA"/>
        </w:rPr>
        <w:t>cross-examination</w:t>
      </w:r>
      <w:r w:rsidR="00A73D70">
        <w:rPr>
          <w:lang w:val="en-CA"/>
        </w:rPr>
        <w:t>,</w:t>
      </w:r>
      <w:r w:rsidR="007933C1" w:rsidRPr="007933C1">
        <w:rPr>
          <w:lang w:val="en-CA"/>
        </w:rPr>
        <w:t xml:space="preserve"> </w:t>
      </w:r>
      <w:r w:rsidR="007933C1" w:rsidRPr="00FE25A3">
        <w:rPr>
          <w:lang w:val="en-CA"/>
        </w:rPr>
        <w:t>Dr. Proulx</w:t>
      </w:r>
      <w:r w:rsidRPr="00FE25A3">
        <w:rPr>
          <w:lang w:val="en-CA"/>
        </w:rPr>
        <w:t xml:space="preserve"> responded to this hypothesis</w:t>
      </w:r>
      <w:r w:rsidR="00177BC3">
        <w:rPr>
          <w:lang w:val="en-CA"/>
        </w:rPr>
        <w:t xml:space="preserve"> by stating</w:t>
      </w:r>
      <w:r w:rsidR="00A73D70">
        <w:rPr>
          <w:lang w:val="en-CA"/>
        </w:rPr>
        <w:t>,</w:t>
      </w:r>
      <w:r w:rsidR="00A73D70" w:rsidRPr="00FE25A3">
        <w:rPr>
          <w:lang w:val="en-CA"/>
        </w:rPr>
        <w:t xml:space="preserve"> </w:t>
      </w:r>
      <w:r w:rsidRPr="000F3F22">
        <w:rPr>
          <w:rFonts w:cs="Arial"/>
          <w:sz w:val="22"/>
          <w:szCs w:val="22"/>
          <w:lang w:val="en-CA"/>
        </w:rPr>
        <w:t>[</w:t>
      </w:r>
      <w:r w:rsidR="00177BC3">
        <w:rPr>
          <w:rFonts w:cs="Arial"/>
          <w:smallCaps/>
          <w:szCs w:val="24"/>
          <w:lang w:val="en-CA"/>
        </w:rPr>
        <w:t>translation</w:t>
      </w:r>
      <w:r w:rsidRPr="000F3F22">
        <w:rPr>
          <w:rFonts w:cs="Arial"/>
          <w:sz w:val="22"/>
          <w:szCs w:val="22"/>
          <w:lang w:val="en-CA"/>
        </w:rPr>
        <w:t>]</w:t>
      </w:r>
      <w:r>
        <w:rPr>
          <w:rFonts w:cs="Arial"/>
          <w:lang w:val="en-CA"/>
        </w:rPr>
        <w:t xml:space="preserve"> </w:t>
      </w:r>
      <w:r w:rsidRPr="00FE25A3">
        <w:rPr>
          <w:lang w:val="en-CA"/>
        </w:rPr>
        <w:t xml:space="preserve">“Well, it’s always </w:t>
      </w:r>
      <w:r>
        <w:rPr>
          <w:lang w:val="en-CA"/>
        </w:rPr>
        <w:t>possible”</w:t>
      </w:r>
      <w:r w:rsidR="006D4283" w:rsidRPr="00C62419">
        <w:rPr>
          <w:lang w:val="en-CA"/>
        </w:rPr>
        <w:t>.</w:t>
      </w:r>
    </w:p>
    <w:p w14:paraId="03ED5442" w14:textId="7D5A6892" w:rsidR="00151C5D" w:rsidRPr="00C62419" w:rsidRDefault="000F4ED4" w:rsidP="000B6E2B">
      <w:pPr>
        <w:pStyle w:val="Paragraphe"/>
        <w:spacing w:line="240" w:lineRule="auto"/>
        <w:rPr>
          <w:rFonts w:cs="Arial"/>
          <w:lang w:val="en-CA"/>
        </w:rPr>
      </w:pPr>
      <w:r w:rsidRPr="000F4ED4">
        <w:rPr>
          <w:rFonts w:cs="Arial"/>
          <w:lang w:val="en-CA"/>
        </w:rPr>
        <w:t>It is true that the judge clearly state</w:t>
      </w:r>
      <w:r w:rsidR="008E4E82">
        <w:rPr>
          <w:rFonts w:cs="Arial"/>
          <w:lang w:val="en-CA"/>
        </w:rPr>
        <w:t>d</w:t>
      </w:r>
      <w:r w:rsidRPr="000F4ED4">
        <w:rPr>
          <w:rFonts w:cs="Arial"/>
          <w:lang w:val="en-CA"/>
        </w:rPr>
        <w:t xml:space="preserve"> that </w:t>
      </w:r>
      <w:r w:rsidR="00603F30">
        <w:rPr>
          <w:rFonts w:cs="Arial"/>
          <w:lang w:val="en-CA"/>
        </w:rPr>
        <w:t>both</w:t>
      </w:r>
      <w:r w:rsidRPr="000F4ED4">
        <w:rPr>
          <w:rFonts w:cs="Arial"/>
          <w:lang w:val="en-CA"/>
        </w:rPr>
        <w:t xml:space="preserve"> psychiatrists </w:t>
      </w:r>
      <w:r>
        <w:rPr>
          <w:rFonts w:cs="Arial"/>
          <w:lang w:val="en-CA"/>
        </w:rPr>
        <w:t>believed</w:t>
      </w:r>
      <w:r w:rsidRPr="000F4ED4">
        <w:rPr>
          <w:rFonts w:cs="Arial"/>
          <w:lang w:val="en-CA"/>
        </w:rPr>
        <w:t xml:space="preserve"> that the appellant </w:t>
      </w:r>
      <w:r>
        <w:rPr>
          <w:rFonts w:cs="Arial"/>
          <w:lang w:val="en-CA"/>
        </w:rPr>
        <w:t xml:space="preserve">could not </w:t>
      </w:r>
      <w:r w:rsidRPr="000F4ED4">
        <w:rPr>
          <w:rFonts w:cs="Arial"/>
          <w:lang w:val="en-CA"/>
        </w:rPr>
        <w:t xml:space="preserve">know whether his act was </w:t>
      </w:r>
      <w:r>
        <w:rPr>
          <w:rFonts w:cs="Arial"/>
          <w:lang w:val="en-CA"/>
        </w:rPr>
        <w:t>wrong</w:t>
      </w:r>
      <w:r w:rsidR="00603F30">
        <w:rPr>
          <w:rFonts w:cs="Arial"/>
          <w:lang w:val="en-CA"/>
        </w:rPr>
        <w:t xml:space="preserve"> </w:t>
      </w:r>
      <w:r w:rsidR="00603F30" w:rsidRPr="000F4ED4">
        <w:rPr>
          <w:rFonts w:cs="Arial"/>
          <w:lang w:val="en-CA"/>
        </w:rPr>
        <w:t>because of his mental disorder</w:t>
      </w:r>
      <w:r>
        <w:rPr>
          <w:rFonts w:cs="Arial"/>
          <w:lang w:val="en-CA"/>
        </w:rPr>
        <w:t>,</w:t>
      </w:r>
      <w:r w:rsidRPr="000F4ED4">
        <w:rPr>
          <w:rFonts w:cs="Arial"/>
          <w:lang w:val="en-CA"/>
        </w:rPr>
        <w:t xml:space="preserve"> while </w:t>
      </w:r>
      <w:r>
        <w:rPr>
          <w:rFonts w:cs="Arial"/>
          <w:lang w:val="en-CA"/>
        </w:rPr>
        <w:t>noting</w:t>
      </w:r>
      <w:r w:rsidRPr="000F4ED4">
        <w:rPr>
          <w:rFonts w:cs="Arial"/>
          <w:lang w:val="en-CA"/>
        </w:rPr>
        <w:t xml:space="preserve"> that the </w:t>
      </w:r>
      <w:r>
        <w:rPr>
          <w:rFonts w:cs="Arial"/>
          <w:lang w:val="en-CA"/>
        </w:rPr>
        <w:t>Crown’s</w:t>
      </w:r>
      <w:r w:rsidRPr="000F4ED4">
        <w:rPr>
          <w:rFonts w:cs="Arial"/>
          <w:lang w:val="en-CA"/>
        </w:rPr>
        <w:t xml:space="preserve"> position was that the mental disorder was not intense enough to </w:t>
      </w:r>
      <w:r w:rsidR="004B0F76">
        <w:rPr>
          <w:rFonts w:cs="Arial"/>
          <w:lang w:val="en-CA"/>
        </w:rPr>
        <w:t>impede</w:t>
      </w:r>
      <w:r w:rsidRPr="000F4ED4">
        <w:rPr>
          <w:rFonts w:cs="Arial"/>
          <w:lang w:val="en-CA"/>
        </w:rPr>
        <w:t xml:space="preserve"> the ability to morally distinguish right from wrong. </w:t>
      </w:r>
      <w:r w:rsidRPr="00525364">
        <w:rPr>
          <w:rFonts w:cs="Arial"/>
          <w:lang w:val="en-CA"/>
        </w:rPr>
        <w:t>The judge also review</w:t>
      </w:r>
      <w:r w:rsidR="008E4E82" w:rsidRPr="00525364">
        <w:rPr>
          <w:rFonts w:cs="Arial"/>
          <w:lang w:val="en-CA"/>
        </w:rPr>
        <w:t>ed</w:t>
      </w:r>
      <w:r w:rsidRPr="000F4ED4">
        <w:rPr>
          <w:rFonts w:cs="Arial"/>
          <w:lang w:val="en-CA"/>
        </w:rPr>
        <w:t xml:space="preserve"> the </w:t>
      </w:r>
      <w:r w:rsidR="00A73D70">
        <w:rPr>
          <w:rFonts w:cs="Arial"/>
          <w:lang w:val="en-CA"/>
        </w:rPr>
        <w:t xml:space="preserve">expert </w:t>
      </w:r>
      <w:r w:rsidRPr="000F4ED4">
        <w:rPr>
          <w:rFonts w:cs="Arial"/>
          <w:lang w:val="en-CA"/>
        </w:rPr>
        <w:t>testimony, including that of Dr. Morissette</w:t>
      </w:r>
      <w:r w:rsidR="004B0F76">
        <w:rPr>
          <w:rFonts w:cs="Arial"/>
          <w:lang w:val="en-CA"/>
        </w:rPr>
        <w:t>,</w:t>
      </w:r>
      <w:r w:rsidRPr="000F4ED4">
        <w:rPr>
          <w:rFonts w:cs="Arial"/>
          <w:lang w:val="en-CA"/>
        </w:rPr>
        <w:t xml:space="preserve"> who </w:t>
      </w:r>
      <w:r w:rsidR="002F4A9D">
        <w:rPr>
          <w:rFonts w:cs="Arial"/>
          <w:lang w:val="en-CA"/>
        </w:rPr>
        <w:t>stated</w:t>
      </w:r>
      <w:r w:rsidR="002F4A9D" w:rsidRPr="000F4ED4">
        <w:rPr>
          <w:rFonts w:cs="Arial"/>
          <w:lang w:val="en-CA"/>
        </w:rPr>
        <w:t xml:space="preserve"> </w:t>
      </w:r>
      <w:r w:rsidRPr="000F4ED4">
        <w:rPr>
          <w:rFonts w:cs="Arial"/>
          <w:lang w:val="en-CA"/>
        </w:rPr>
        <w:t xml:space="preserve">that there </w:t>
      </w:r>
      <w:r w:rsidR="002F4A9D">
        <w:rPr>
          <w:rFonts w:cs="Arial"/>
          <w:lang w:val="en-CA"/>
        </w:rPr>
        <w:t>was</w:t>
      </w:r>
      <w:r w:rsidR="002F4A9D" w:rsidRPr="000F4ED4">
        <w:rPr>
          <w:rFonts w:cs="Arial"/>
          <w:lang w:val="en-CA"/>
        </w:rPr>
        <w:t xml:space="preserve"> </w:t>
      </w:r>
      <w:r w:rsidRPr="000F4ED4">
        <w:rPr>
          <w:rFonts w:cs="Arial"/>
          <w:lang w:val="en-CA"/>
        </w:rPr>
        <w:t xml:space="preserve">no explanation for the murder </w:t>
      </w:r>
      <w:r w:rsidR="004B0F76">
        <w:rPr>
          <w:rFonts w:cs="Arial"/>
          <w:lang w:val="en-CA"/>
        </w:rPr>
        <w:t xml:space="preserve">other </w:t>
      </w:r>
      <w:r w:rsidRPr="000F4ED4">
        <w:rPr>
          <w:rFonts w:cs="Arial"/>
          <w:lang w:val="en-CA"/>
        </w:rPr>
        <w:t>than mental disorder. The judge also discusse</w:t>
      </w:r>
      <w:r w:rsidR="008E4E82">
        <w:rPr>
          <w:rFonts w:cs="Arial"/>
          <w:lang w:val="en-CA"/>
        </w:rPr>
        <w:t>d</w:t>
      </w:r>
      <w:r w:rsidRPr="000F4ED4">
        <w:rPr>
          <w:rFonts w:cs="Arial"/>
          <w:lang w:val="en-CA"/>
        </w:rPr>
        <w:t xml:space="preserve"> the hypothetical questions </w:t>
      </w:r>
      <w:r w:rsidR="00525364">
        <w:rPr>
          <w:rFonts w:cs="Arial"/>
          <w:lang w:val="en-CA"/>
        </w:rPr>
        <w:t>posed</w:t>
      </w:r>
      <w:r w:rsidRPr="000F4ED4">
        <w:rPr>
          <w:rFonts w:cs="Arial"/>
          <w:lang w:val="en-CA"/>
        </w:rPr>
        <w:t xml:space="preserve"> by the </w:t>
      </w:r>
      <w:r w:rsidR="0043548D">
        <w:rPr>
          <w:rFonts w:cs="Arial"/>
          <w:lang w:val="en-CA"/>
        </w:rPr>
        <w:t>Crown</w:t>
      </w:r>
      <w:r w:rsidRPr="000F4ED4">
        <w:rPr>
          <w:rFonts w:cs="Arial"/>
          <w:lang w:val="en-CA"/>
        </w:rPr>
        <w:t xml:space="preserve"> and the answers given by the psychiatrists, some of which contradicted the </w:t>
      </w:r>
      <w:r w:rsidR="0043548D">
        <w:rPr>
          <w:rFonts w:cs="Arial"/>
          <w:lang w:val="en-CA"/>
        </w:rPr>
        <w:t xml:space="preserve">Crown’s </w:t>
      </w:r>
      <w:r w:rsidRPr="000F4ED4">
        <w:rPr>
          <w:rFonts w:cs="Arial"/>
          <w:lang w:val="en-CA"/>
        </w:rPr>
        <w:t>position.</w:t>
      </w:r>
    </w:p>
    <w:p w14:paraId="42C61921" w14:textId="5E4A4D65" w:rsidR="00920854" w:rsidRPr="00C62419" w:rsidRDefault="00137880" w:rsidP="000B6E2B">
      <w:pPr>
        <w:pStyle w:val="Paragraphe"/>
        <w:spacing w:line="240" w:lineRule="auto"/>
        <w:rPr>
          <w:rStyle w:val="ParagrapheCar"/>
          <w:rFonts w:cs="Arial"/>
          <w:lang w:val="en-CA"/>
        </w:rPr>
      </w:pPr>
      <w:r w:rsidRPr="00137880">
        <w:rPr>
          <w:rFonts w:cs="Arial"/>
          <w:lang w:val="en-CA"/>
        </w:rPr>
        <w:t xml:space="preserve">Nevertheless, the dangers posed by the risk of </w:t>
      </w:r>
      <w:r w:rsidR="00C8484A">
        <w:rPr>
          <w:rFonts w:cs="Arial"/>
          <w:lang w:val="en-CA"/>
        </w:rPr>
        <w:t>speculation</w:t>
      </w:r>
      <w:r w:rsidRPr="00137880">
        <w:rPr>
          <w:rFonts w:cs="Arial"/>
          <w:lang w:val="en-CA"/>
        </w:rPr>
        <w:t xml:space="preserve"> required that a firm </w:t>
      </w:r>
      <w:r w:rsidR="00DD55CD">
        <w:rPr>
          <w:rFonts w:cs="Arial"/>
          <w:lang w:val="en-CA"/>
        </w:rPr>
        <w:t>caution</w:t>
      </w:r>
      <w:r w:rsidR="00DD55CD" w:rsidRPr="00137880">
        <w:rPr>
          <w:rFonts w:cs="Arial"/>
          <w:lang w:val="en-CA"/>
        </w:rPr>
        <w:t xml:space="preserve"> </w:t>
      </w:r>
      <w:r w:rsidRPr="00137880">
        <w:rPr>
          <w:rFonts w:cs="Arial"/>
          <w:lang w:val="en-CA"/>
        </w:rPr>
        <w:t xml:space="preserve">be given to the jury and that the notions of inference and </w:t>
      </w:r>
      <w:r w:rsidR="00C8484A">
        <w:rPr>
          <w:rFonts w:cs="Arial"/>
          <w:lang w:val="en-CA"/>
        </w:rPr>
        <w:t>speculation</w:t>
      </w:r>
      <w:r w:rsidRPr="00137880">
        <w:rPr>
          <w:rFonts w:cs="Arial"/>
          <w:lang w:val="en-CA"/>
        </w:rPr>
        <w:t xml:space="preserve"> be well defined</w:t>
      </w:r>
      <w:r>
        <w:rPr>
          <w:rFonts w:cs="Arial"/>
          <w:lang w:val="en-CA"/>
        </w:rPr>
        <w:t>.</w:t>
      </w:r>
      <w:r w:rsidR="00596D7A" w:rsidRPr="00C62419">
        <w:rPr>
          <w:rStyle w:val="Appelnotedebasdep"/>
          <w:rFonts w:cs="Arial"/>
          <w:lang w:val="en-CA"/>
        </w:rPr>
        <w:footnoteReference w:id="37"/>
      </w:r>
      <w:r w:rsidR="00596D7A" w:rsidRPr="00C62419">
        <w:rPr>
          <w:rFonts w:cs="Arial"/>
          <w:lang w:val="en-CA"/>
        </w:rPr>
        <w:t xml:space="preserve"> </w:t>
      </w:r>
      <w:r w:rsidR="00D72D0D" w:rsidRPr="00D72D0D">
        <w:rPr>
          <w:rFonts w:cs="Arial"/>
          <w:lang w:val="en-CA"/>
        </w:rPr>
        <w:t xml:space="preserve">In the absence of such a </w:t>
      </w:r>
      <w:r w:rsidR="00DD55CD">
        <w:rPr>
          <w:rFonts w:cs="Arial"/>
          <w:lang w:val="en-CA"/>
        </w:rPr>
        <w:t>caution</w:t>
      </w:r>
      <w:r w:rsidR="00D72D0D" w:rsidRPr="00D72D0D">
        <w:rPr>
          <w:rFonts w:cs="Arial"/>
          <w:lang w:val="en-CA"/>
        </w:rPr>
        <w:t xml:space="preserve">, the appellant rightly maintains that several elements </w:t>
      </w:r>
      <w:r w:rsidR="00D72D0D">
        <w:rPr>
          <w:rFonts w:cs="Arial"/>
          <w:lang w:val="en-CA"/>
        </w:rPr>
        <w:t>could have</w:t>
      </w:r>
      <w:r w:rsidR="00D72D0D" w:rsidRPr="00D72D0D">
        <w:rPr>
          <w:rFonts w:cs="Arial"/>
          <w:lang w:val="en-CA"/>
        </w:rPr>
        <w:t xml:space="preserve"> le</w:t>
      </w:r>
      <w:r w:rsidR="00D72D0D">
        <w:rPr>
          <w:rFonts w:cs="Arial"/>
          <w:lang w:val="en-CA"/>
        </w:rPr>
        <w:t>d</w:t>
      </w:r>
      <w:r w:rsidR="00D72D0D" w:rsidRPr="00D72D0D">
        <w:rPr>
          <w:rFonts w:cs="Arial"/>
          <w:lang w:val="en-CA"/>
        </w:rPr>
        <w:t xml:space="preserve"> the jury down the inappropriate path of </w:t>
      </w:r>
      <w:r w:rsidR="00C8484A">
        <w:rPr>
          <w:rFonts w:cs="Arial"/>
          <w:lang w:val="en-CA"/>
        </w:rPr>
        <w:t>speculation</w:t>
      </w:r>
      <w:r w:rsidR="00D72D0D" w:rsidRPr="00D72D0D">
        <w:rPr>
          <w:rFonts w:cs="Arial"/>
          <w:lang w:val="en-CA"/>
        </w:rPr>
        <w:t>.</w:t>
      </w:r>
    </w:p>
    <w:p w14:paraId="44BEE6D2" w14:textId="66A9642B" w:rsidR="00B16D69" w:rsidRPr="00C62419" w:rsidRDefault="008C7D60" w:rsidP="000B6E2B">
      <w:pPr>
        <w:pStyle w:val="Paragraphe"/>
        <w:spacing w:line="240" w:lineRule="auto"/>
        <w:rPr>
          <w:rStyle w:val="ParagrapheCar"/>
          <w:rFonts w:cs="Arial"/>
          <w:szCs w:val="24"/>
          <w:lang w:val="en-CA"/>
        </w:rPr>
      </w:pPr>
      <w:r w:rsidRPr="008C7D60">
        <w:rPr>
          <w:rStyle w:val="ParagrapheCar"/>
          <w:rFonts w:cs="Arial"/>
          <w:szCs w:val="24"/>
          <w:lang w:val="en-CA"/>
        </w:rPr>
        <w:t>Several elements of the evidence, in particular the appellant</w:t>
      </w:r>
      <w:r w:rsidR="004E603A">
        <w:rPr>
          <w:rStyle w:val="ParagrapheCar"/>
          <w:rFonts w:cs="Arial"/>
          <w:szCs w:val="24"/>
          <w:lang w:val="en-CA"/>
        </w:rPr>
        <w:t>’</w:t>
      </w:r>
      <w:r w:rsidRPr="008C7D60">
        <w:rPr>
          <w:rStyle w:val="ParagrapheCar"/>
          <w:rFonts w:cs="Arial"/>
          <w:szCs w:val="24"/>
          <w:lang w:val="en-CA"/>
        </w:rPr>
        <w:t xml:space="preserve">s </w:t>
      </w:r>
      <w:r w:rsidR="00F21E64">
        <w:rPr>
          <w:rStyle w:val="ParagrapheCar"/>
          <w:rFonts w:cs="Arial"/>
          <w:szCs w:val="24"/>
          <w:lang w:val="en-CA"/>
        </w:rPr>
        <w:t xml:space="preserve">post-homicide </w:t>
      </w:r>
      <w:r w:rsidR="004E603A">
        <w:rPr>
          <w:rStyle w:val="ParagrapheCar"/>
          <w:rFonts w:cs="Arial"/>
          <w:szCs w:val="24"/>
          <w:lang w:val="en-CA"/>
        </w:rPr>
        <w:t>conduct</w:t>
      </w:r>
      <w:r w:rsidRPr="008C7D60">
        <w:rPr>
          <w:rStyle w:val="ParagrapheCar"/>
          <w:rFonts w:cs="Arial"/>
          <w:szCs w:val="24"/>
          <w:lang w:val="en-CA"/>
        </w:rPr>
        <w:t xml:space="preserve">, </w:t>
      </w:r>
      <w:r w:rsidR="00F21E64">
        <w:rPr>
          <w:rStyle w:val="ParagrapheCar"/>
          <w:rFonts w:cs="Arial"/>
          <w:szCs w:val="24"/>
          <w:lang w:val="en-CA"/>
        </w:rPr>
        <w:t>allowed</w:t>
      </w:r>
      <w:r w:rsidR="00F21E64" w:rsidRPr="008C7D60">
        <w:rPr>
          <w:rStyle w:val="ParagrapheCar"/>
          <w:rFonts w:cs="Arial"/>
          <w:szCs w:val="24"/>
          <w:lang w:val="en-CA"/>
        </w:rPr>
        <w:t xml:space="preserve"> </w:t>
      </w:r>
      <w:r w:rsidRPr="008C7D60">
        <w:rPr>
          <w:rStyle w:val="ParagrapheCar"/>
          <w:rFonts w:cs="Arial"/>
          <w:szCs w:val="24"/>
          <w:lang w:val="en-CA"/>
        </w:rPr>
        <w:t xml:space="preserve">the </w:t>
      </w:r>
      <w:r>
        <w:rPr>
          <w:rStyle w:val="ParagrapheCar"/>
          <w:rFonts w:cs="Arial"/>
          <w:szCs w:val="24"/>
          <w:lang w:val="en-CA"/>
        </w:rPr>
        <w:t>Crown</w:t>
      </w:r>
      <w:r w:rsidRPr="008C7D60">
        <w:rPr>
          <w:rStyle w:val="ParagrapheCar"/>
          <w:rFonts w:cs="Arial"/>
          <w:szCs w:val="24"/>
          <w:lang w:val="en-CA"/>
        </w:rPr>
        <w:t xml:space="preserve"> to suggest to the jury that the appellant knew that the act</w:t>
      </w:r>
      <w:r>
        <w:rPr>
          <w:rStyle w:val="ParagrapheCar"/>
          <w:rFonts w:cs="Arial"/>
          <w:szCs w:val="24"/>
          <w:lang w:val="en-CA"/>
        </w:rPr>
        <w:t>s committed</w:t>
      </w:r>
      <w:r w:rsidRPr="008C7D60">
        <w:rPr>
          <w:rStyle w:val="ParagrapheCar"/>
          <w:rFonts w:cs="Arial"/>
          <w:szCs w:val="24"/>
          <w:lang w:val="en-CA"/>
        </w:rPr>
        <w:t xml:space="preserve"> were wrong and that his mental disorder</w:t>
      </w:r>
      <w:r w:rsidR="00F67781">
        <w:rPr>
          <w:rStyle w:val="ParagrapheCar"/>
          <w:rFonts w:cs="Arial"/>
          <w:szCs w:val="24"/>
          <w:lang w:val="en-CA"/>
        </w:rPr>
        <w:t xml:space="preserve"> </w:t>
      </w:r>
      <w:r w:rsidRPr="008C7D60">
        <w:rPr>
          <w:rStyle w:val="ParagrapheCar"/>
          <w:rFonts w:cs="Arial"/>
          <w:szCs w:val="24"/>
          <w:lang w:val="en-CA"/>
        </w:rPr>
        <w:t>did not deprive</w:t>
      </w:r>
      <w:r w:rsidR="008E4E82">
        <w:rPr>
          <w:rStyle w:val="ParagrapheCar"/>
          <w:rFonts w:cs="Arial"/>
          <w:szCs w:val="24"/>
          <w:lang w:val="en-CA"/>
        </w:rPr>
        <w:t xml:space="preserve"> him</w:t>
      </w:r>
      <w:r w:rsidRPr="008C7D60">
        <w:rPr>
          <w:rStyle w:val="ParagrapheCar"/>
          <w:rFonts w:cs="Arial"/>
          <w:szCs w:val="24"/>
          <w:lang w:val="en-CA"/>
        </w:rPr>
        <w:t xml:space="preserve"> of his capacity to know </w:t>
      </w:r>
      <w:r>
        <w:rPr>
          <w:rStyle w:val="ParagrapheCar"/>
          <w:rFonts w:cs="Arial"/>
          <w:szCs w:val="24"/>
          <w:lang w:val="en-CA"/>
        </w:rPr>
        <w:t>this</w:t>
      </w:r>
      <w:r w:rsidRPr="008C7D60">
        <w:rPr>
          <w:rStyle w:val="ParagrapheCar"/>
          <w:rFonts w:cs="Arial"/>
          <w:szCs w:val="24"/>
          <w:lang w:val="en-CA"/>
        </w:rPr>
        <w:t xml:space="preserve">. It was up to the jury to </w:t>
      </w:r>
      <w:r>
        <w:rPr>
          <w:rStyle w:val="ParagrapheCar"/>
          <w:rFonts w:cs="Arial"/>
          <w:szCs w:val="24"/>
          <w:lang w:val="en-CA"/>
        </w:rPr>
        <w:t>assess</w:t>
      </w:r>
      <w:r w:rsidRPr="008C7D60">
        <w:rPr>
          <w:rStyle w:val="ParagrapheCar"/>
          <w:rFonts w:cs="Arial"/>
          <w:szCs w:val="24"/>
          <w:lang w:val="en-CA"/>
        </w:rPr>
        <w:t xml:space="preserve"> this evidence and the divergent inferences it could draw from it in light of appropriate instructions</w:t>
      </w:r>
      <w:r>
        <w:rPr>
          <w:rStyle w:val="ParagrapheCar"/>
          <w:rFonts w:cs="Arial"/>
          <w:szCs w:val="24"/>
          <w:lang w:val="en-CA"/>
        </w:rPr>
        <w:t>.</w:t>
      </w:r>
      <w:r w:rsidR="005E6997" w:rsidRPr="00C62419">
        <w:rPr>
          <w:rStyle w:val="Appelnotedebasdep"/>
          <w:rFonts w:cs="Arial"/>
          <w:szCs w:val="24"/>
          <w:lang w:val="en-CA"/>
        </w:rPr>
        <w:footnoteReference w:id="38"/>
      </w:r>
    </w:p>
    <w:p w14:paraId="6AA9EC57" w14:textId="3618ABD3" w:rsidR="00B16D69" w:rsidRPr="00C62419" w:rsidRDefault="00F21E64" w:rsidP="000B6E2B">
      <w:pPr>
        <w:pStyle w:val="Paragraphe"/>
        <w:spacing w:line="240" w:lineRule="auto"/>
        <w:rPr>
          <w:rStyle w:val="ParagrapheCar"/>
          <w:rFonts w:cs="Arial"/>
          <w:szCs w:val="24"/>
          <w:lang w:val="en-CA"/>
        </w:rPr>
      </w:pPr>
      <w:r>
        <w:rPr>
          <w:rStyle w:val="ParagrapheCar"/>
          <w:rFonts w:cs="Arial"/>
          <w:szCs w:val="24"/>
          <w:lang w:val="en-CA"/>
        </w:rPr>
        <w:t>Due</w:t>
      </w:r>
      <w:r w:rsidR="00AE511C" w:rsidRPr="00AE511C">
        <w:rPr>
          <w:rStyle w:val="ParagrapheCar"/>
          <w:rFonts w:cs="Arial"/>
          <w:szCs w:val="24"/>
          <w:lang w:val="en-CA"/>
        </w:rPr>
        <w:t xml:space="preserve"> to the inevitable risk of speculation associated with the myth that the </w:t>
      </w:r>
      <w:r w:rsidR="008D2926">
        <w:rPr>
          <w:rFonts w:cs="Arial"/>
          <w:lang w:val="en-CA"/>
        </w:rPr>
        <w:t xml:space="preserve">defence of </w:t>
      </w:r>
      <w:r w:rsidR="00AE511C" w:rsidRPr="00AE511C">
        <w:rPr>
          <w:rStyle w:val="ParagrapheCar"/>
          <w:rFonts w:cs="Arial"/>
          <w:szCs w:val="24"/>
          <w:lang w:val="en-CA"/>
        </w:rPr>
        <w:t xml:space="preserve">mental disorder is </w:t>
      </w:r>
      <w:r w:rsidR="008D2926">
        <w:rPr>
          <w:rStyle w:val="ParagrapheCar"/>
          <w:rFonts w:cs="Arial"/>
          <w:szCs w:val="24"/>
          <w:lang w:val="en-CA"/>
        </w:rPr>
        <w:t>“</w:t>
      </w:r>
      <w:r w:rsidR="00AE511C" w:rsidRPr="00AE511C">
        <w:rPr>
          <w:rStyle w:val="ParagrapheCar"/>
          <w:rFonts w:cs="Arial"/>
          <w:szCs w:val="24"/>
          <w:lang w:val="en-CA"/>
        </w:rPr>
        <w:t>perceived as easy to fabricate and difficult to rebut</w:t>
      </w:r>
      <w:r w:rsidR="008D2926">
        <w:rPr>
          <w:rStyle w:val="ParagrapheCar"/>
          <w:rFonts w:cs="Arial"/>
          <w:szCs w:val="24"/>
          <w:lang w:val="en-CA"/>
        </w:rPr>
        <w:t>”</w:t>
      </w:r>
      <w:r w:rsidR="00AE511C">
        <w:rPr>
          <w:rStyle w:val="ParagrapheCar"/>
          <w:rFonts w:cs="Arial"/>
          <w:szCs w:val="24"/>
          <w:lang w:val="en-CA"/>
        </w:rPr>
        <w:t>,</w:t>
      </w:r>
      <w:r w:rsidR="005A7ECD" w:rsidRPr="00C62419">
        <w:rPr>
          <w:rStyle w:val="Appelnotedebasdep"/>
          <w:rFonts w:cs="Arial"/>
          <w:szCs w:val="24"/>
          <w:lang w:val="en-CA"/>
        </w:rPr>
        <w:footnoteReference w:id="39"/>
      </w:r>
      <w:r w:rsidR="00B16D69" w:rsidRPr="00C62419">
        <w:rPr>
          <w:rStyle w:val="ParagrapheCar"/>
          <w:rFonts w:cs="Arial"/>
          <w:szCs w:val="24"/>
          <w:lang w:val="en-CA"/>
        </w:rPr>
        <w:t xml:space="preserve"> </w:t>
      </w:r>
      <w:r>
        <w:rPr>
          <w:rStyle w:val="ParagrapheCar"/>
          <w:rFonts w:cs="Arial"/>
          <w:szCs w:val="24"/>
          <w:lang w:val="en-CA"/>
        </w:rPr>
        <w:t xml:space="preserve">however, </w:t>
      </w:r>
      <w:r w:rsidR="00AE511C" w:rsidRPr="00AE511C">
        <w:rPr>
          <w:rStyle w:val="ParagrapheCar"/>
          <w:rFonts w:cs="Arial"/>
          <w:szCs w:val="24"/>
          <w:lang w:val="en-CA"/>
        </w:rPr>
        <w:t xml:space="preserve">it was imprudent and inappropriate for the </w:t>
      </w:r>
      <w:r w:rsidR="00AE511C">
        <w:rPr>
          <w:rStyle w:val="ParagrapheCar"/>
          <w:rFonts w:cs="Arial"/>
          <w:szCs w:val="24"/>
          <w:lang w:val="en-CA"/>
        </w:rPr>
        <w:t>Crown</w:t>
      </w:r>
      <w:r w:rsidR="00AE511C" w:rsidRPr="00AE511C">
        <w:rPr>
          <w:rStyle w:val="ParagrapheCar"/>
          <w:rFonts w:cs="Arial"/>
          <w:szCs w:val="24"/>
          <w:lang w:val="en-CA"/>
        </w:rPr>
        <w:t xml:space="preserve">, in the absence of a sufficient factual basis, to allude to </w:t>
      </w:r>
      <w:r w:rsidR="00C8484A">
        <w:rPr>
          <w:rStyle w:val="ParagrapheCar"/>
          <w:rFonts w:cs="Arial"/>
          <w:szCs w:val="24"/>
          <w:lang w:val="en-CA"/>
        </w:rPr>
        <w:t>malingering</w:t>
      </w:r>
      <w:r w:rsidR="00AE511C" w:rsidRPr="00AE511C">
        <w:rPr>
          <w:rStyle w:val="ParagrapheCar"/>
          <w:rFonts w:cs="Arial"/>
          <w:szCs w:val="24"/>
          <w:lang w:val="en-CA"/>
        </w:rPr>
        <w:t xml:space="preserve">, even after having </w:t>
      </w:r>
      <w:r w:rsidR="00AE511C">
        <w:rPr>
          <w:rStyle w:val="ParagrapheCar"/>
          <w:rFonts w:cs="Arial"/>
          <w:szCs w:val="24"/>
          <w:lang w:val="en-CA"/>
        </w:rPr>
        <w:t>explained</w:t>
      </w:r>
      <w:r w:rsidR="00AE511C" w:rsidRPr="00AE511C">
        <w:rPr>
          <w:rStyle w:val="ParagrapheCar"/>
          <w:rFonts w:cs="Arial"/>
          <w:szCs w:val="24"/>
          <w:lang w:val="en-CA"/>
        </w:rPr>
        <w:t xml:space="preserve"> that this was not the interpretation that it proposed</w:t>
      </w:r>
      <w:r w:rsidR="00B16D69" w:rsidRPr="00C62419">
        <w:rPr>
          <w:rStyle w:val="ParagrapheCar"/>
          <w:rFonts w:cs="Arial"/>
          <w:szCs w:val="24"/>
          <w:lang w:val="en-CA"/>
        </w:rPr>
        <w:t>.</w:t>
      </w:r>
    </w:p>
    <w:p w14:paraId="13DCAE95" w14:textId="1E451AF8" w:rsidR="00151C5D" w:rsidRPr="00C62419" w:rsidRDefault="00AE511C" w:rsidP="000B6E2B">
      <w:pPr>
        <w:pStyle w:val="Paragraphe"/>
        <w:spacing w:line="240" w:lineRule="auto"/>
        <w:rPr>
          <w:rFonts w:cs="Arial"/>
          <w:szCs w:val="24"/>
          <w:lang w:val="en-CA"/>
        </w:rPr>
      </w:pPr>
      <w:r w:rsidRPr="00AE511C">
        <w:rPr>
          <w:rStyle w:val="ParagrapheCar"/>
          <w:rFonts w:cs="Arial"/>
          <w:szCs w:val="24"/>
          <w:lang w:val="en-CA"/>
        </w:rPr>
        <w:lastRenderedPageBreak/>
        <w:t>This conclusion is a</w:t>
      </w:r>
      <w:r>
        <w:rPr>
          <w:rStyle w:val="ParagrapheCar"/>
          <w:rFonts w:cs="Arial"/>
          <w:szCs w:val="24"/>
          <w:lang w:val="en-CA"/>
        </w:rPr>
        <w:t xml:space="preserve"> further</w:t>
      </w:r>
      <w:r w:rsidRPr="00AE511C">
        <w:rPr>
          <w:rStyle w:val="ParagrapheCar"/>
          <w:rFonts w:cs="Arial"/>
          <w:szCs w:val="24"/>
          <w:lang w:val="en-CA"/>
        </w:rPr>
        <w:t xml:space="preserve"> reason to order a new trial, in addition to the appellant</w:t>
      </w:r>
      <w:r w:rsidR="006545C6">
        <w:rPr>
          <w:rStyle w:val="ParagrapheCar"/>
          <w:rFonts w:cs="Arial"/>
          <w:szCs w:val="24"/>
          <w:lang w:val="en-CA"/>
        </w:rPr>
        <w:t>’</w:t>
      </w:r>
      <w:r w:rsidRPr="00AE511C">
        <w:rPr>
          <w:rStyle w:val="ParagrapheCar"/>
          <w:rFonts w:cs="Arial"/>
          <w:szCs w:val="24"/>
          <w:lang w:val="en-CA"/>
        </w:rPr>
        <w:t xml:space="preserve">s main argument concerning the instructions </w:t>
      </w:r>
      <w:r>
        <w:rPr>
          <w:rStyle w:val="ParagrapheCar"/>
          <w:rFonts w:cs="Arial"/>
          <w:szCs w:val="24"/>
          <w:lang w:val="en-CA"/>
        </w:rPr>
        <w:t>with respect to</w:t>
      </w:r>
      <w:r w:rsidRPr="00AE511C">
        <w:rPr>
          <w:rStyle w:val="ParagrapheCar"/>
          <w:rFonts w:cs="Arial"/>
          <w:szCs w:val="24"/>
          <w:lang w:val="en-CA"/>
        </w:rPr>
        <w:t xml:space="preserve"> his </w:t>
      </w:r>
      <w:r w:rsidR="00F21E64">
        <w:rPr>
          <w:rStyle w:val="ParagrapheCar"/>
          <w:rFonts w:cs="Arial"/>
          <w:szCs w:val="24"/>
          <w:lang w:val="en-CA"/>
        </w:rPr>
        <w:t xml:space="preserve">post-homicide </w:t>
      </w:r>
      <w:r w:rsidR="004E603A">
        <w:rPr>
          <w:rStyle w:val="ParagrapheCar"/>
          <w:rFonts w:cs="Arial"/>
          <w:szCs w:val="24"/>
          <w:lang w:val="en-CA"/>
        </w:rPr>
        <w:t>conduct</w:t>
      </w:r>
      <w:r w:rsidRPr="00AE511C">
        <w:rPr>
          <w:rStyle w:val="ParagrapheCar"/>
          <w:rFonts w:cs="Arial"/>
          <w:szCs w:val="24"/>
          <w:lang w:val="en-CA"/>
        </w:rPr>
        <w:t>, as we will see</w:t>
      </w:r>
      <w:r w:rsidR="00B16D69" w:rsidRPr="00C62419">
        <w:rPr>
          <w:rStyle w:val="ParagrapheCar"/>
          <w:rFonts w:cs="Arial"/>
          <w:szCs w:val="24"/>
          <w:lang w:val="en-CA"/>
        </w:rPr>
        <w:t>.</w:t>
      </w:r>
    </w:p>
    <w:p w14:paraId="1342D1DC" w14:textId="26DF475E" w:rsidR="00151C5D" w:rsidRPr="00C62419" w:rsidRDefault="00EB7458" w:rsidP="000B6E2B">
      <w:pPr>
        <w:pStyle w:val="Paragraphe"/>
        <w:numPr>
          <w:ilvl w:val="0"/>
          <w:numId w:val="0"/>
        </w:numPr>
        <w:spacing w:line="240" w:lineRule="auto"/>
        <w:rPr>
          <w:rFonts w:cs="Arial"/>
          <w:b/>
          <w:i/>
          <w:lang w:val="en-CA" w:eastAsia="fr-CA"/>
        </w:rPr>
      </w:pPr>
      <w:r>
        <w:rPr>
          <w:rFonts w:cs="Arial"/>
          <w:b/>
          <w:i/>
          <w:lang w:val="en-CA" w:eastAsia="fr-CA"/>
        </w:rPr>
        <w:t>THIRD</w:t>
      </w:r>
      <w:r w:rsidR="00B02581" w:rsidRPr="00C62419">
        <w:rPr>
          <w:rFonts w:cs="Arial"/>
          <w:b/>
          <w:i/>
          <w:lang w:val="en-CA" w:eastAsia="fr-CA"/>
        </w:rPr>
        <w:t xml:space="preserve"> </w:t>
      </w:r>
      <w:r w:rsidR="00AE511C">
        <w:rPr>
          <w:rFonts w:cs="Arial"/>
          <w:b/>
          <w:i/>
          <w:lang w:val="en-CA" w:eastAsia="fr-CA"/>
        </w:rPr>
        <w:t>GROUND</w:t>
      </w:r>
      <w:r w:rsidR="001C7193" w:rsidRPr="00C62419">
        <w:rPr>
          <w:rFonts w:cs="Arial"/>
          <w:b/>
          <w:i/>
          <w:lang w:val="en-CA" w:eastAsia="fr-CA"/>
        </w:rPr>
        <w:t xml:space="preserve">: </w:t>
      </w:r>
      <w:r w:rsidR="00AE511C">
        <w:rPr>
          <w:rFonts w:cs="Arial"/>
          <w:b/>
          <w:i/>
          <w:lang w:val="en-CA" w:eastAsia="fr-CA"/>
        </w:rPr>
        <w:t xml:space="preserve">THE INSTRUCTIONS </w:t>
      </w:r>
      <w:r w:rsidR="008E4E82">
        <w:rPr>
          <w:rFonts w:cs="Arial"/>
          <w:b/>
          <w:i/>
          <w:lang w:val="en-CA" w:eastAsia="fr-CA"/>
        </w:rPr>
        <w:t>CONCERNING</w:t>
      </w:r>
      <w:r w:rsidR="00AE511C">
        <w:rPr>
          <w:rFonts w:cs="Arial"/>
          <w:b/>
          <w:i/>
          <w:lang w:val="en-CA" w:eastAsia="fr-CA"/>
        </w:rPr>
        <w:t xml:space="preserve"> THE </w:t>
      </w:r>
      <w:r w:rsidR="00F21E64">
        <w:rPr>
          <w:rFonts w:cs="Arial"/>
          <w:b/>
          <w:i/>
          <w:lang w:val="en-CA" w:eastAsia="fr-CA"/>
        </w:rPr>
        <w:t xml:space="preserve">POST-HOMICIDE </w:t>
      </w:r>
      <w:r>
        <w:rPr>
          <w:rFonts w:cs="Arial"/>
          <w:b/>
          <w:i/>
          <w:lang w:val="en-CA" w:eastAsia="fr-CA"/>
        </w:rPr>
        <w:t>CONDUCT</w:t>
      </w:r>
      <w:r w:rsidR="00DF34C1">
        <w:rPr>
          <w:rFonts w:cs="Arial"/>
          <w:b/>
          <w:i/>
          <w:lang w:val="en-CA" w:eastAsia="fr-CA"/>
        </w:rPr>
        <w:t xml:space="preserve"> </w:t>
      </w:r>
      <w:r w:rsidR="00AE511C">
        <w:rPr>
          <w:rFonts w:cs="Arial"/>
          <w:b/>
          <w:i/>
          <w:lang w:val="en-CA" w:eastAsia="fr-CA"/>
        </w:rPr>
        <w:t>AND THEIR CONFUSION</w:t>
      </w:r>
    </w:p>
    <w:p w14:paraId="3773E93F" w14:textId="45697909" w:rsidR="00717BFB" w:rsidRPr="00C62419" w:rsidRDefault="00AE511C" w:rsidP="000B6E2B">
      <w:pPr>
        <w:pStyle w:val="Paragraphe"/>
        <w:spacing w:line="240" w:lineRule="auto"/>
        <w:rPr>
          <w:lang w:val="en-CA" w:eastAsia="fr-CA"/>
        </w:rPr>
      </w:pPr>
      <w:r w:rsidRPr="00AE511C">
        <w:rPr>
          <w:lang w:val="en-CA" w:eastAsia="fr-CA"/>
        </w:rPr>
        <w:t xml:space="preserve">The appellant criticizes the undue complexity and contradictory nature of the instructions given by the judge </w:t>
      </w:r>
      <w:r w:rsidR="008E4E82">
        <w:rPr>
          <w:lang w:val="en-CA" w:eastAsia="fr-CA"/>
        </w:rPr>
        <w:t>concerning</w:t>
      </w:r>
      <w:r w:rsidRPr="00AE511C">
        <w:rPr>
          <w:lang w:val="en-CA" w:eastAsia="fr-CA"/>
        </w:rPr>
        <w:t xml:space="preserve"> his </w:t>
      </w:r>
      <w:r w:rsidR="00E471EC">
        <w:rPr>
          <w:lang w:val="en-CA" w:eastAsia="fr-CA"/>
        </w:rPr>
        <w:t xml:space="preserve">post-homicide </w:t>
      </w:r>
      <w:r w:rsidR="004E603A">
        <w:rPr>
          <w:lang w:val="en-CA" w:eastAsia="fr-CA"/>
        </w:rPr>
        <w:t>conduct</w:t>
      </w:r>
      <w:r>
        <w:rPr>
          <w:lang w:val="en-CA" w:eastAsia="fr-CA"/>
        </w:rPr>
        <w:t>.</w:t>
      </w:r>
      <w:r w:rsidR="00717BFB" w:rsidRPr="00C62419">
        <w:rPr>
          <w:rStyle w:val="Appelnotedebasdep"/>
          <w:rFonts w:cs="Arial"/>
          <w:lang w:val="en-CA" w:eastAsia="fr-CA"/>
        </w:rPr>
        <w:footnoteReference w:id="40"/>
      </w:r>
      <w:r w:rsidR="002F1E1C" w:rsidRPr="00C62419">
        <w:rPr>
          <w:lang w:val="en-CA" w:eastAsia="fr-CA"/>
        </w:rPr>
        <w:t xml:space="preserve"> </w:t>
      </w:r>
      <w:r w:rsidR="00CD6D12">
        <w:rPr>
          <w:lang w:val="en-CA" w:eastAsia="fr-CA"/>
        </w:rPr>
        <w:t>This is in addition to</w:t>
      </w:r>
      <w:r w:rsidR="00CD6D12" w:rsidRPr="00CD6D12">
        <w:rPr>
          <w:lang w:val="en-CA" w:eastAsia="fr-CA"/>
        </w:rPr>
        <w:t xml:space="preserve"> the confusion that </w:t>
      </w:r>
      <w:r w:rsidR="00E471EC" w:rsidRPr="00CD6D12">
        <w:rPr>
          <w:lang w:val="en-CA" w:eastAsia="fr-CA"/>
        </w:rPr>
        <w:t>emerge</w:t>
      </w:r>
      <w:r w:rsidR="00E471EC">
        <w:rPr>
          <w:lang w:val="en-CA" w:eastAsia="fr-CA"/>
        </w:rPr>
        <w:t>d</w:t>
      </w:r>
      <w:r w:rsidR="00E471EC" w:rsidRPr="00CD6D12">
        <w:rPr>
          <w:lang w:val="en-CA" w:eastAsia="fr-CA"/>
        </w:rPr>
        <w:t xml:space="preserve"> </w:t>
      </w:r>
      <w:r w:rsidR="00CD6D12" w:rsidRPr="00CD6D12">
        <w:rPr>
          <w:lang w:val="en-CA" w:eastAsia="fr-CA"/>
        </w:rPr>
        <w:t xml:space="preserve">from the </w:t>
      </w:r>
      <w:r w:rsidR="00CD6D12">
        <w:rPr>
          <w:lang w:val="en-CA" w:eastAsia="fr-CA"/>
        </w:rPr>
        <w:t>instructions</w:t>
      </w:r>
      <w:r w:rsidR="00C82EF3">
        <w:rPr>
          <w:lang w:val="en-CA" w:eastAsia="fr-CA"/>
        </w:rPr>
        <w:t xml:space="preserve"> as a whole</w:t>
      </w:r>
      <w:r w:rsidR="002F1E1C" w:rsidRPr="00C62419">
        <w:rPr>
          <w:lang w:val="en-CA" w:eastAsia="fr-CA"/>
        </w:rPr>
        <w:t>.</w:t>
      </w:r>
    </w:p>
    <w:p w14:paraId="2D6BE007" w14:textId="6C82B736" w:rsidR="00151C5D" w:rsidRPr="00C62419" w:rsidRDefault="00CD6D12" w:rsidP="000B6E2B">
      <w:pPr>
        <w:pStyle w:val="Paragraphe"/>
        <w:spacing w:line="240" w:lineRule="auto"/>
        <w:rPr>
          <w:rFonts w:cs="Arial"/>
          <w:lang w:val="en-CA" w:eastAsia="fr-CA"/>
        </w:rPr>
      </w:pPr>
      <w:r w:rsidRPr="00CD6D12">
        <w:rPr>
          <w:rFonts w:cs="Arial"/>
          <w:lang w:val="en-CA" w:eastAsia="fr-CA"/>
        </w:rPr>
        <w:t xml:space="preserve">Like the appellant, the Court notes that the </w:t>
      </w:r>
      <w:r>
        <w:rPr>
          <w:rFonts w:cs="Arial"/>
          <w:lang w:val="en-CA" w:eastAsia="fr-CA"/>
        </w:rPr>
        <w:t>instructions</w:t>
      </w:r>
      <w:r w:rsidRPr="00CD6D12">
        <w:rPr>
          <w:rFonts w:cs="Arial"/>
          <w:lang w:val="en-CA" w:eastAsia="fr-CA"/>
        </w:rPr>
        <w:t xml:space="preserve"> given by the judge </w:t>
      </w:r>
      <w:r w:rsidR="007656D4">
        <w:rPr>
          <w:rFonts w:cs="Arial"/>
          <w:lang w:val="en-CA" w:eastAsia="fr-CA"/>
        </w:rPr>
        <w:t>were</w:t>
      </w:r>
      <w:r w:rsidRPr="00CD6D12">
        <w:rPr>
          <w:rFonts w:cs="Arial"/>
          <w:lang w:val="en-CA" w:eastAsia="fr-CA"/>
        </w:rPr>
        <w:t xml:space="preserve"> complex, unduly </w:t>
      </w:r>
      <w:r w:rsidR="007656D4" w:rsidRPr="00CD6D12">
        <w:rPr>
          <w:rFonts w:cs="Arial"/>
          <w:lang w:val="en-CA" w:eastAsia="fr-CA"/>
        </w:rPr>
        <w:t>l</w:t>
      </w:r>
      <w:r w:rsidR="007656D4">
        <w:rPr>
          <w:rFonts w:cs="Arial"/>
          <w:lang w:val="en-CA" w:eastAsia="fr-CA"/>
        </w:rPr>
        <w:t>engthy</w:t>
      </w:r>
      <w:r w:rsidR="00C82EF3">
        <w:rPr>
          <w:rFonts w:cs="Arial"/>
          <w:lang w:val="en-CA" w:eastAsia="fr-CA"/>
        </w:rPr>
        <w:t>,</w:t>
      </w:r>
      <w:r w:rsidR="007656D4" w:rsidRPr="00CD6D12">
        <w:rPr>
          <w:rFonts w:cs="Arial"/>
          <w:lang w:val="en-CA" w:eastAsia="fr-CA"/>
        </w:rPr>
        <w:t xml:space="preserve"> </w:t>
      </w:r>
      <w:r w:rsidRPr="00CD6D12">
        <w:rPr>
          <w:rFonts w:cs="Arial"/>
          <w:lang w:val="en-CA" w:eastAsia="fr-CA"/>
        </w:rPr>
        <w:t>and contradictory</w:t>
      </w:r>
      <w:r w:rsidR="00E31ADC">
        <w:rPr>
          <w:rFonts w:cs="Arial"/>
          <w:lang w:val="en-CA" w:eastAsia="fr-CA"/>
        </w:rPr>
        <w:t xml:space="preserve"> – a</w:t>
      </w:r>
      <w:r w:rsidRPr="00CD6D12">
        <w:rPr>
          <w:rFonts w:cs="Arial"/>
          <w:lang w:val="en-CA" w:eastAsia="fr-CA"/>
        </w:rPr>
        <w:t xml:space="preserve"> situation </w:t>
      </w:r>
      <w:r>
        <w:rPr>
          <w:rFonts w:cs="Arial"/>
          <w:lang w:val="en-CA" w:eastAsia="fr-CA"/>
        </w:rPr>
        <w:t>exacerbated</w:t>
      </w:r>
      <w:r w:rsidRPr="00CD6D12">
        <w:rPr>
          <w:rFonts w:cs="Arial"/>
          <w:lang w:val="en-CA" w:eastAsia="fr-CA"/>
        </w:rPr>
        <w:t xml:space="preserve"> by the </w:t>
      </w:r>
      <w:r w:rsidR="007656D4">
        <w:rPr>
          <w:rFonts w:cs="Arial"/>
          <w:lang w:val="en-CA" w:eastAsia="fr-CA"/>
        </w:rPr>
        <w:t xml:space="preserve">corrective </w:t>
      </w:r>
      <w:r>
        <w:rPr>
          <w:rFonts w:cs="Arial"/>
          <w:lang w:val="en-CA" w:eastAsia="fr-CA"/>
        </w:rPr>
        <w:t>instructions</w:t>
      </w:r>
      <w:r w:rsidRPr="00CD6D12">
        <w:rPr>
          <w:rFonts w:cs="Arial"/>
          <w:lang w:val="en-CA" w:eastAsia="fr-CA"/>
        </w:rPr>
        <w:t xml:space="preserve"> </w:t>
      </w:r>
      <w:r>
        <w:rPr>
          <w:rFonts w:cs="Arial"/>
          <w:lang w:val="en-CA" w:eastAsia="fr-CA"/>
        </w:rPr>
        <w:t>requested by</w:t>
      </w:r>
      <w:r w:rsidRPr="00CD6D12">
        <w:rPr>
          <w:rFonts w:cs="Arial"/>
          <w:lang w:val="en-CA" w:eastAsia="fr-CA"/>
        </w:rPr>
        <w:t xml:space="preserve"> the parties on the appellant</w:t>
      </w:r>
      <w:r w:rsidR="00C82EF3">
        <w:rPr>
          <w:rFonts w:cs="Arial"/>
          <w:lang w:val="en-CA" w:eastAsia="fr-CA"/>
        </w:rPr>
        <w:t>’</w:t>
      </w:r>
      <w:r w:rsidRPr="00CD6D12">
        <w:rPr>
          <w:rFonts w:cs="Arial"/>
          <w:lang w:val="en-CA" w:eastAsia="fr-CA"/>
        </w:rPr>
        <w:t xml:space="preserve">s </w:t>
      </w:r>
      <w:r w:rsidR="007656D4">
        <w:rPr>
          <w:rFonts w:cs="Arial"/>
          <w:lang w:val="en-CA" w:eastAsia="fr-CA"/>
        </w:rPr>
        <w:t xml:space="preserve">post-homicide </w:t>
      </w:r>
      <w:r w:rsidR="004E603A">
        <w:rPr>
          <w:rFonts w:cs="Arial"/>
          <w:lang w:val="en-CA" w:eastAsia="fr-CA"/>
        </w:rPr>
        <w:t>conduct</w:t>
      </w:r>
      <w:r w:rsidR="00AD2ECF" w:rsidRPr="00C62419">
        <w:rPr>
          <w:rFonts w:cs="Arial"/>
          <w:lang w:val="en-CA" w:eastAsia="fr-CA"/>
        </w:rPr>
        <w:t>.</w:t>
      </w:r>
    </w:p>
    <w:p w14:paraId="524DDE20" w14:textId="552A2F87" w:rsidR="000E5484" w:rsidRPr="00C62419" w:rsidRDefault="00CD6D12" w:rsidP="000B6E2B">
      <w:pPr>
        <w:pStyle w:val="Paragraphe"/>
        <w:spacing w:line="240" w:lineRule="auto"/>
        <w:rPr>
          <w:lang w:val="en-CA"/>
        </w:rPr>
      </w:pPr>
      <w:r w:rsidRPr="00CD6D12">
        <w:rPr>
          <w:lang w:val="en-CA"/>
        </w:rPr>
        <w:t>The evidence summarized by the judge in her instructions regarding the appellant</w:t>
      </w:r>
      <w:r w:rsidR="009E1E4A">
        <w:rPr>
          <w:lang w:val="en-CA"/>
        </w:rPr>
        <w:t>’</w:t>
      </w:r>
      <w:r w:rsidRPr="00CD6D12">
        <w:rPr>
          <w:lang w:val="en-CA"/>
        </w:rPr>
        <w:t xml:space="preserve">s </w:t>
      </w:r>
      <w:r w:rsidR="009E1E4A">
        <w:rPr>
          <w:lang w:val="en-CA"/>
        </w:rPr>
        <w:t xml:space="preserve">post-event </w:t>
      </w:r>
      <w:r w:rsidRPr="00CD6D12">
        <w:rPr>
          <w:lang w:val="en-CA"/>
        </w:rPr>
        <w:t xml:space="preserve">conduct included: </w:t>
      </w:r>
      <w:r w:rsidR="009E1E4A">
        <w:rPr>
          <w:lang w:val="en-CA"/>
        </w:rPr>
        <w:t>(</w:t>
      </w:r>
      <w:r w:rsidRPr="00CD6D12">
        <w:rPr>
          <w:lang w:val="en-CA"/>
        </w:rPr>
        <w:t>1) f</w:t>
      </w:r>
      <w:r w:rsidR="008A6C92">
        <w:rPr>
          <w:lang w:val="en-CA"/>
        </w:rPr>
        <w:t>leeing</w:t>
      </w:r>
      <w:r w:rsidRPr="00CD6D12">
        <w:rPr>
          <w:lang w:val="en-CA"/>
        </w:rPr>
        <w:t xml:space="preserve"> </w:t>
      </w:r>
      <w:r w:rsidR="007A4000">
        <w:rPr>
          <w:lang w:val="en-CA"/>
        </w:rPr>
        <w:t>from</w:t>
      </w:r>
      <w:r w:rsidRPr="00CD6D12">
        <w:rPr>
          <w:lang w:val="en-CA"/>
        </w:rPr>
        <w:t xml:space="preserve"> the Maxi after stabbing the victim multiple times</w:t>
      </w:r>
      <w:r>
        <w:rPr>
          <w:lang w:val="en-CA"/>
        </w:rPr>
        <w:t>;</w:t>
      </w:r>
      <w:r w:rsidRPr="00CD6D12">
        <w:rPr>
          <w:lang w:val="en-CA"/>
        </w:rPr>
        <w:t xml:space="preserve"> </w:t>
      </w:r>
      <w:r w:rsidR="00FD52DD">
        <w:rPr>
          <w:lang w:val="en-CA"/>
        </w:rPr>
        <w:t>(</w:t>
      </w:r>
      <w:r w:rsidRPr="00CD6D12">
        <w:rPr>
          <w:lang w:val="en-CA"/>
        </w:rPr>
        <w:t xml:space="preserve">2) </w:t>
      </w:r>
      <w:r w:rsidR="009F30C4">
        <w:rPr>
          <w:lang w:val="en-CA"/>
        </w:rPr>
        <w:t>picking up</w:t>
      </w:r>
      <w:r w:rsidRPr="00CD6D12">
        <w:rPr>
          <w:lang w:val="en-CA"/>
        </w:rPr>
        <w:t xml:space="preserve"> his knife, after dropp</w:t>
      </w:r>
      <w:r w:rsidR="00736003">
        <w:rPr>
          <w:lang w:val="en-CA"/>
        </w:rPr>
        <w:t>ing</w:t>
      </w:r>
      <w:r w:rsidRPr="00CD6D12">
        <w:rPr>
          <w:lang w:val="en-CA"/>
        </w:rPr>
        <w:t xml:space="preserve"> it, </w:t>
      </w:r>
      <w:r w:rsidR="00FD52DD">
        <w:rPr>
          <w:lang w:val="en-CA"/>
        </w:rPr>
        <w:t>and</w:t>
      </w:r>
      <w:r w:rsidRPr="00CD6D12">
        <w:rPr>
          <w:lang w:val="en-CA"/>
        </w:rPr>
        <w:t xml:space="preserve"> </w:t>
      </w:r>
      <w:r w:rsidR="007656D4">
        <w:rPr>
          <w:lang w:val="en-CA"/>
        </w:rPr>
        <w:t>then put</w:t>
      </w:r>
      <w:r w:rsidR="00FD52DD">
        <w:rPr>
          <w:lang w:val="en-CA"/>
        </w:rPr>
        <w:t>ting it</w:t>
      </w:r>
      <w:r w:rsidRPr="00CD6D12">
        <w:rPr>
          <w:lang w:val="en-CA"/>
        </w:rPr>
        <w:t xml:space="preserve"> in his pocket; </w:t>
      </w:r>
      <w:r w:rsidR="00FD52DD">
        <w:rPr>
          <w:lang w:val="en-CA"/>
        </w:rPr>
        <w:t>(</w:t>
      </w:r>
      <w:r w:rsidRPr="00CD6D12">
        <w:rPr>
          <w:lang w:val="en-CA"/>
        </w:rPr>
        <w:t xml:space="preserve">3) </w:t>
      </w:r>
      <w:r w:rsidR="007656D4">
        <w:rPr>
          <w:lang w:val="en-CA"/>
        </w:rPr>
        <w:t>hiding in</w:t>
      </w:r>
      <w:r w:rsidRPr="00CD6D12">
        <w:rPr>
          <w:lang w:val="en-CA"/>
        </w:rPr>
        <w:t xml:space="preserve"> </w:t>
      </w:r>
      <w:r w:rsidR="00D6403F">
        <w:rPr>
          <w:lang w:val="en-CA"/>
        </w:rPr>
        <w:t xml:space="preserve">the </w:t>
      </w:r>
      <w:r w:rsidRPr="00CD6D12">
        <w:rPr>
          <w:lang w:val="en-CA"/>
        </w:rPr>
        <w:t xml:space="preserve">Tim Hortons for seven hours; </w:t>
      </w:r>
      <w:r w:rsidR="00FD52DD">
        <w:rPr>
          <w:lang w:val="en-CA"/>
        </w:rPr>
        <w:t>(</w:t>
      </w:r>
      <w:r w:rsidRPr="00CD6D12">
        <w:rPr>
          <w:lang w:val="en-CA"/>
        </w:rPr>
        <w:t>4) changing clothes when he arrive</w:t>
      </w:r>
      <w:r w:rsidR="00D6403F">
        <w:rPr>
          <w:lang w:val="en-CA"/>
        </w:rPr>
        <w:t>d</w:t>
      </w:r>
      <w:r w:rsidRPr="00CD6D12">
        <w:rPr>
          <w:lang w:val="en-CA"/>
        </w:rPr>
        <w:t xml:space="preserve"> </w:t>
      </w:r>
      <w:r w:rsidR="00D6403F">
        <w:rPr>
          <w:lang w:val="en-CA"/>
        </w:rPr>
        <w:t>there</w:t>
      </w:r>
      <w:r w:rsidRPr="00CD6D12">
        <w:rPr>
          <w:lang w:val="en-CA"/>
        </w:rPr>
        <w:t xml:space="preserve">; </w:t>
      </w:r>
      <w:r w:rsidR="00FD52DD">
        <w:rPr>
          <w:lang w:val="en-CA"/>
        </w:rPr>
        <w:t>(</w:t>
      </w:r>
      <w:r w:rsidRPr="00CD6D12">
        <w:rPr>
          <w:lang w:val="en-CA"/>
        </w:rPr>
        <w:t xml:space="preserve">5) </w:t>
      </w:r>
      <w:r w:rsidR="00D6403F">
        <w:rPr>
          <w:lang w:val="en-CA"/>
        </w:rPr>
        <w:t xml:space="preserve">the </w:t>
      </w:r>
      <w:r w:rsidRPr="00CD6D12">
        <w:rPr>
          <w:lang w:val="en-CA"/>
        </w:rPr>
        <w:t xml:space="preserve">text messages sent to </w:t>
      </w:r>
      <w:r w:rsidR="00FD52DD">
        <w:rPr>
          <w:lang w:val="en-CA"/>
        </w:rPr>
        <w:t xml:space="preserve">his </w:t>
      </w:r>
      <w:r w:rsidRPr="00CD6D12">
        <w:rPr>
          <w:lang w:val="en-CA"/>
        </w:rPr>
        <w:t xml:space="preserve">friends and family members from that location; </w:t>
      </w:r>
      <w:r w:rsidR="00F301C6">
        <w:rPr>
          <w:lang w:val="en-CA"/>
        </w:rPr>
        <w:t>(</w:t>
      </w:r>
      <w:r w:rsidRPr="00CD6D12">
        <w:rPr>
          <w:lang w:val="en-CA"/>
        </w:rPr>
        <w:t xml:space="preserve">6) the </w:t>
      </w:r>
      <w:r w:rsidR="00D6403F">
        <w:rPr>
          <w:lang w:val="en-CA"/>
        </w:rPr>
        <w:t xml:space="preserve">Internet </w:t>
      </w:r>
      <w:r w:rsidRPr="00CD6D12">
        <w:rPr>
          <w:lang w:val="en-CA"/>
        </w:rPr>
        <w:t>searches he d</w:t>
      </w:r>
      <w:r w:rsidR="00D6403F">
        <w:rPr>
          <w:lang w:val="en-CA"/>
        </w:rPr>
        <w:t>id</w:t>
      </w:r>
      <w:r w:rsidRPr="00CD6D12">
        <w:rPr>
          <w:lang w:val="en-CA"/>
        </w:rPr>
        <w:t xml:space="preserve"> while he </w:t>
      </w:r>
      <w:r w:rsidR="00D6403F">
        <w:rPr>
          <w:lang w:val="en-CA"/>
        </w:rPr>
        <w:t>was</w:t>
      </w:r>
      <w:r w:rsidRPr="00CD6D12">
        <w:rPr>
          <w:lang w:val="en-CA"/>
        </w:rPr>
        <w:t xml:space="preserve"> at </w:t>
      </w:r>
      <w:r w:rsidR="00D6403F">
        <w:rPr>
          <w:lang w:val="en-CA"/>
        </w:rPr>
        <w:t xml:space="preserve">the </w:t>
      </w:r>
      <w:r w:rsidRPr="00CD6D12">
        <w:rPr>
          <w:lang w:val="en-CA"/>
        </w:rPr>
        <w:t xml:space="preserve">Tim Hortons and the </w:t>
      </w:r>
      <w:r w:rsidR="00D6403F">
        <w:rPr>
          <w:lang w:val="en-CA"/>
        </w:rPr>
        <w:t>following</w:t>
      </w:r>
      <w:r w:rsidR="00E54DA6">
        <w:rPr>
          <w:lang w:val="en-CA"/>
        </w:rPr>
        <w:t xml:space="preserve"> day</w:t>
      </w:r>
      <w:r w:rsidRPr="00CD6D12">
        <w:rPr>
          <w:lang w:val="en-CA"/>
        </w:rPr>
        <w:t xml:space="preserve">; </w:t>
      </w:r>
      <w:r w:rsidR="006F0184">
        <w:rPr>
          <w:lang w:val="en-CA"/>
        </w:rPr>
        <w:t>(</w:t>
      </w:r>
      <w:r w:rsidRPr="00CD6D12">
        <w:rPr>
          <w:lang w:val="en-CA"/>
        </w:rPr>
        <w:t xml:space="preserve">7) his comings and goings the </w:t>
      </w:r>
      <w:r w:rsidR="00E54DA6">
        <w:rPr>
          <w:lang w:val="en-CA"/>
        </w:rPr>
        <w:t>following</w:t>
      </w:r>
      <w:r w:rsidRPr="00CD6D12">
        <w:rPr>
          <w:lang w:val="en-CA"/>
        </w:rPr>
        <w:t xml:space="preserve"> morning and evening at </w:t>
      </w:r>
      <w:r w:rsidR="006F0184">
        <w:rPr>
          <w:lang w:val="en-CA"/>
        </w:rPr>
        <w:t>CEGEP</w:t>
      </w:r>
      <w:r w:rsidR="006F0184" w:rsidRPr="00CD6D12">
        <w:rPr>
          <w:lang w:val="en-CA"/>
        </w:rPr>
        <w:t xml:space="preserve"> </w:t>
      </w:r>
      <w:r w:rsidRPr="00CD6D12">
        <w:rPr>
          <w:lang w:val="en-CA"/>
        </w:rPr>
        <w:t xml:space="preserve">André-Laurendeau; </w:t>
      </w:r>
      <w:r w:rsidR="00AE2208">
        <w:rPr>
          <w:lang w:val="en-CA"/>
        </w:rPr>
        <w:t>(</w:t>
      </w:r>
      <w:r w:rsidRPr="00CD6D12">
        <w:rPr>
          <w:lang w:val="en-CA"/>
        </w:rPr>
        <w:t xml:space="preserve">8) placing his backpack containing his clothes and the knife in his locker; </w:t>
      </w:r>
      <w:r w:rsidR="00AE2208">
        <w:rPr>
          <w:lang w:val="en-CA"/>
        </w:rPr>
        <w:t>(</w:t>
      </w:r>
      <w:r w:rsidRPr="00CD6D12">
        <w:rPr>
          <w:lang w:val="en-CA"/>
        </w:rPr>
        <w:t>9) meet</w:t>
      </w:r>
      <w:r w:rsidR="00D6403F">
        <w:rPr>
          <w:lang w:val="en-CA"/>
        </w:rPr>
        <w:t>ing</w:t>
      </w:r>
      <w:r w:rsidRPr="00CD6D12">
        <w:rPr>
          <w:lang w:val="en-CA"/>
        </w:rPr>
        <w:t xml:space="preserve"> his sister in the metro the morning after the events but not return</w:t>
      </w:r>
      <w:r w:rsidR="00D6403F">
        <w:rPr>
          <w:lang w:val="en-CA"/>
        </w:rPr>
        <w:t>ing</w:t>
      </w:r>
      <w:r w:rsidRPr="00CD6D12">
        <w:rPr>
          <w:lang w:val="en-CA"/>
        </w:rPr>
        <w:t xml:space="preserve"> home with her; </w:t>
      </w:r>
      <w:r w:rsidR="00AE2208">
        <w:rPr>
          <w:lang w:val="en-CA"/>
        </w:rPr>
        <w:t>(</w:t>
      </w:r>
      <w:r w:rsidRPr="00CD6D12">
        <w:rPr>
          <w:lang w:val="en-CA"/>
        </w:rPr>
        <w:t>10) his travel by bus and metro</w:t>
      </w:r>
      <w:r w:rsidR="000E5484" w:rsidRPr="00C62419">
        <w:rPr>
          <w:lang w:val="en-CA"/>
        </w:rPr>
        <w:t>.</w:t>
      </w:r>
    </w:p>
    <w:p w14:paraId="4D03666B" w14:textId="3BB8E2CD" w:rsidR="000E5484" w:rsidRPr="00C62419" w:rsidRDefault="00DA1BB8" w:rsidP="000B6E2B">
      <w:pPr>
        <w:pStyle w:val="Paragraphe"/>
        <w:spacing w:line="240" w:lineRule="auto"/>
        <w:rPr>
          <w:rFonts w:cs="Arial"/>
          <w:lang w:val="en-CA" w:eastAsia="fr-CA"/>
        </w:rPr>
      </w:pPr>
      <w:r w:rsidRPr="00C62419">
        <w:rPr>
          <w:rFonts w:cs="Arial"/>
          <w:lang w:val="en-CA" w:eastAsia="fr-CA"/>
        </w:rPr>
        <w:t xml:space="preserve"> </w:t>
      </w:r>
      <w:r w:rsidR="00624C91" w:rsidRPr="00FF23ED">
        <w:rPr>
          <w:rFonts w:cs="Arial"/>
          <w:lang w:val="en-CA" w:eastAsia="fr-CA"/>
        </w:rPr>
        <w:t>The Court</w:t>
      </w:r>
      <w:r w:rsidR="00624C91" w:rsidRPr="00624C91">
        <w:rPr>
          <w:rFonts w:cs="Arial"/>
          <w:lang w:val="en-CA" w:eastAsia="fr-CA"/>
        </w:rPr>
        <w:t xml:space="preserve"> will first address the </w:t>
      </w:r>
      <w:r w:rsidR="00624C91">
        <w:rPr>
          <w:rFonts w:cs="Arial"/>
          <w:lang w:val="en-CA" w:eastAsia="fr-CA"/>
        </w:rPr>
        <w:t>instructions concerning</w:t>
      </w:r>
      <w:r w:rsidR="00624C91" w:rsidRPr="00624C91">
        <w:rPr>
          <w:rFonts w:cs="Arial"/>
          <w:lang w:val="en-CA" w:eastAsia="fr-CA"/>
        </w:rPr>
        <w:t xml:space="preserve"> the appellant</w:t>
      </w:r>
      <w:r w:rsidR="00FF23ED">
        <w:rPr>
          <w:rFonts w:cs="Arial"/>
          <w:lang w:val="en-CA" w:eastAsia="fr-CA"/>
        </w:rPr>
        <w:t>’</w:t>
      </w:r>
      <w:r w:rsidR="00624C91" w:rsidRPr="00624C91">
        <w:rPr>
          <w:rFonts w:cs="Arial"/>
          <w:lang w:val="en-CA" w:eastAsia="fr-CA"/>
        </w:rPr>
        <w:t xml:space="preserve">s </w:t>
      </w:r>
      <w:r w:rsidR="009F30C4">
        <w:rPr>
          <w:rFonts w:cs="Arial"/>
          <w:lang w:val="en-CA" w:eastAsia="fr-CA"/>
        </w:rPr>
        <w:t xml:space="preserve">post-homicide </w:t>
      </w:r>
      <w:r w:rsidR="004E603A">
        <w:rPr>
          <w:rFonts w:cs="Arial"/>
          <w:lang w:val="en-CA" w:eastAsia="fr-CA"/>
        </w:rPr>
        <w:t>conduct</w:t>
      </w:r>
      <w:r w:rsidR="00624C91" w:rsidRPr="00624C91">
        <w:rPr>
          <w:rFonts w:cs="Arial"/>
          <w:lang w:val="en-CA" w:eastAsia="fr-CA"/>
        </w:rPr>
        <w:t xml:space="preserve"> and particularly the corrections made by the judge at the request of the parties. The </w:t>
      </w:r>
      <w:r w:rsidR="00FF23ED">
        <w:rPr>
          <w:rFonts w:cs="Arial"/>
          <w:lang w:val="en-CA" w:eastAsia="fr-CA"/>
        </w:rPr>
        <w:t xml:space="preserve">result of these corrective </w:t>
      </w:r>
      <w:r w:rsidR="00624C91">
        <w:rPr>
          <w:rFonts w:cs="Arial"/>
          <w:lang w:val="en-CA" w:eastAsia="fr-CA"/>
        </w:rPr>
        <w:t xml:space="preserve">instructions </w:t>
      </w:r>
      <w:r w:rsidR="00FF23ED">
        <w:rPr>
          <w:rFonts w:cs="Arial"/>
          <w:lang w:val="en-CA" w:eastAsia="fr-CA"/>
        </w:rPr>
        <w:t>was</w:t>
      </w:r>
      <w:r w:rsidR="00E54DA6">
        <w:rPr>
          <w:rFonts w:cs="Arial"/>
          <w:lang w:val="en-CA" w:eastAsia="fr-CA"/>
        </w:rPr>
        <w:t xml:space="preserve"> that</w:t>
      </w:r>
      <w:r w:rsidR="00624C91" w:rsidRPr="00624C91">
        <w:rPr>
          <w:rFonts w:cs="Arial"/>
          <w:lang w:val="en-CA" w:eastAsia="fr-CA"/>
        </w:rPr>
        <w:t xml:space="preserve"> the jury could not consider </w:t>
      </w:r>
      <w:r w:rsidR="00EB4198">
        <w:rPr>
          <w:rFonts w:cs="Arial"/>
          <w:lang w:val="en-CA" w:eastAsia="fr-CA"/>
        </w:rPr>
        <w:t xml:space="preserve">that </w:t>
      </w:r>
      <w:r w:rsidR="00624C91" w:rsidRPr="00624C91">
        <w:rPr>
          <w:rFonts w:cs="Arial"/>
          <w:lang w:val="en-CA" w:eastAsia="fr-CA"/>
        </w:rPr>
        <w:t>the appellant</w:t>
      </w:r>
      <w:r w:rsidR="00FF23ED">
        <w:rPr>
          <w:rFonts w:cs="Arial"/>
          <w:lang w:val="en-CA" w:eastAsia="fr-CA"/>
        </w:rPr>
        <w:t>’</w:t>
      </w:r>
      <w:r w:rsidR="00624C91" w:rsidRPr="00624C91">
        <w:rPr>
          <w:rFonts w:cs="Arial"/>
          <w:lang w:val="en-CA" w:eastAsia="fr-CA"/>
        </w:rPr>
        <w:t xml:space="preserve">s </w:t>
      </w:r>
      <w:r w:rsidR="009F30C4">
        <w:rPr>
          <w:rFonts w:cs="Arial"/>
          <w:lang w:val="en-CA" w:eastAsia="fr-CA"/>
        </w:rPr>
        <w:t xml:space="preserve">post-homicide </w:t>
      </w:r>
      <w:r w:rsidR="004E603A">
        <w:rPr>
          <w:rFonts w:cs="Arial"/>
          <w:lang w:val="en-CA" w:eastAsia="fr-CA"/>
        </w:rPr>
        <w:t>conduct</w:t>
      </w:r>
      <w:r w:rsidR="00DF34C1">
        <w:rPr>
          <w:rFonts w:cs="Arial"/>
          <w:lang w:val="en-CA" w:eastAsia="fr-CA"/>
        </w:rPr>
        <w:t xml:space="preserve"> </w:t>
      </w:r>
      <w:r w:rsidR="00624C91" w:rsidRPr="00624C91">
        <w:rPr>
          <w:rFonts w:cs="Arial"/>
          <w:lang w:val="en-CA" w:eastAsia="fr-CA"/>
        </w:rPr>
        <w:t>raise</w:t>
      </w:r>
      <w:r w:rsidR="00EB4198">
        <w:rPr>
          <w:rFonts w:cs="Arial"/>
          <w:lang w:val="en-CA" w:eastAsia="fr-CA"/>
        </w:rPr>
        <w:t>d</w:t>
      </w:r>
      <w:r w:rsidR="00624C91" w:rsidRPr="00624C91">
        <w:rPr>
          <w:rFonts w:cs="Arial"/>
          <w:lang w:val="en-CA" w:eastAsia="fr-CA"/>
        </w:rPr>
        <w:t xml:space="preserve"> a reasonable doubt regarding the essential elements of second </w:t>
      </w:r>
      <w:r w:rsidR="00E54DA6">
        <w:rPr>
          <w:rFonts w:cs="Arial"/>
          <w:lang w:val="en-CA" w:eastAsia="fr-CA"/>
        </w:rPr>
        <w:t xml:space="preserve">degree murder </w:t>
      </w:r>
      <w:r w:rsidR="00624C91" w:rsidRPr="00624C91">
        <w:rPr>
          <w:rFonts w:cs="Arial"/>
          <w:lang w:val="en-CA" w:eastAsia="fr-CA"/>
        </w:rPr>
        <w:t>or first degree murder.</w:t>
      </w:r>
    </w:p>
    <w:p w14:paraId="6B7EE4DE" w14:textId="17CC207D" w:rsidR="00ED2433" w:rsidRPr="00C62419" w:rsidRDefault="0089161A" w:rsidP="000B6E2B">
      <w:pPr>
        <w:pStyle w:val="Paragraphe"/>
        <w:spacing w:line="240" w:lineRule="auto"/>
        <w:rPr>
          <w:rFonts w:cs="Arial"/>
          <w:lang w:val="en-CA" w:eastAsia="fr-CA"/>
        </w:rPr>
      </w:pPr>
      <w:r>
        <w:rPr>
          <w:rFonts w:cs="Arial"/>
          <w:lang w:val="en-CA" w:eastAsia="fr-CA"/>
        </w:rPr>
        <w:t>Because</w:t>
      </w:r>
      <w:r w:rsidR="00624C91" w:rsidRPr="00624C91">
        <w:rPr>
          <w:rFonts w:cs="Arial"/>
          <w:lang w:val="en-CA" w:eastAsia="fr-CA"/>
        </w:rPr>
        <w:t xml:space="preserve"> the appellant maintained that his </w:t>
      </w:r>
      <w:r w:rsidR="007B6CC0">
        <w:rPr>
          <w:rFonts w:cs="Arial"/>
          <w:lang w:val="en-CA" w:eastAsia="fr-CA"/>
        </w:rPr>
        <w:t xml:space="preserve">post-homicide </w:t>
      </w:r>
      <w:r w:rsidR="004E603A">
        <w:rPr>
          <w:rFonts w:cs="Arial"/>
          <w:lang w:val="en-CA" w:eastAsia="fr-CA"/>
        </w:rPr>
        <w:t>conduct</w:t>
      </w:r>
      <w:r w:rsidR="00624C91" w:rsidRPr="00624C91">
        <w:rPr>
          <w:rFonts w:cs="Arial"/>
          <w:lang w:val="en-CA" w:eastAsia="fr-CA"/>
        </w:rPr>
        <w:t xml:space="preserve"> was </w:t>
      </w:r>
      <w:r w:rsidR="00624C91">
        <w:rPr>
          <w:rFonts w:cs="Arial"/>
          <w:lang w:val="en-CA" w:eastAsia="fr-CA"/>
        </w:rPr>
        <w:t>due to</w:t>
      </w:r>
      <w:r w:rsidR="00624C91" w:rsidRPr="00624C91">
        <w:rPr>
          <w:rFonts w:cs="Arial"/>
          <w:lang w:val="en-CA" w:eastAsia="fr-CA"/>
        </w:rPr>
        <w:t xml:space="preserve"> his mental disorder</w:t>
      </w:r>
      <w:r w:rsidR="00D069A3">
        <w:rPr>
          <w:rFonts w:cs="Arial"/>
          <w:lang w:val="en-CA" w:eastAsia="fr-CA"/>
        </w:rPr>
        <w:t xml:space="preserve"> –</w:t>
      </w:r>
      <w:r w:rsidR="00624C91" w:rsidRPr="00624C91">
        <w:rPr>
          <w:rFonts w:cs="Arial"/>
          <w:lang w:val="en-CA" w:eastAsia="fr-CA"/>
        </w:rPr>
        <w:t xml:space="preserve"> </w:t>
      </w:r>
      <w:r w:rsidR="00624C91">
        <w:rPr>
          <w:rFonts w:cs="Arial"/>
          <w:lang w:val="en-CA" w:eastAsia="fr-CA"/>
        </w:rPr>
        <w:t xml:space="preserve">an argument supported </w:t>
      </w:r>
      <w:r w:rsidR="00624C91" w:rsidRPr="00624C91">
        <w:rPr>
          <w:rFonts w:cs="Arial"/>
          <w:lang w:val="en-CA" w:eastAsia="fr-CA"/>
        </w:rPr>
        <w:t>by the psychiatrists who testified</w:t>
      </w:r>
      <w:r w:rsidR="00D069A3">
        <w:rPr>
          <w:rFonts w:cs="Arial"/>
          <w:lang w:val="en-CA" w:eastAsia="fr-CA"/>
        </w:rPr>
        <w:t xml:space="preserve"> –</w:t>
      </w:r>
      <w:r w:rsidR="00624C91" w:rsidRPr="00624C91">
        <w:rPr>
          <w:rFonts w:cs="Arial"/>
          <w:lang w:val="en-CA" w:eastAsia="fr-CA"/>
        </w:rPr>
        <w:t xml:space="preserve"> the correction made by the judge at the request of the parties prevented the jury from considering </w:t>
      </w:r>
      <w:r w:rsidR="00D069A3">
        <w:rPr>
          <w:rFonts w:cs="Arial"/>
          <w:lang w:val="en-CA" w:eastAsia="fr-CA"/>
        </w:rPr>
        <w:t xml:space="preserve">the </w:t>
      </w:r>
      <w:r w:rsidR="00624C91" w:rsidRPr="00624C91">
        <w:rPr>
          <w:rFonts w:cs="Arial"/>
          <w:lang w:val="en-CA" w:eastAsia="fr-CA"/>
        </w:rPr>
        <w:t xml:space="preserve">mental disorder at all stages of their deliberations. In </w:t>
      </w:r>
      <w:r w:rsidR="00D069A3">
        <w:rPr>
          <w:rFonts w:cs="Arial"/>
          <w:lang w:val="en-CA" w:eastAsia="fr-CA"/>
        </w:rPr>
        <w:t>this</w:t>
      </w:r>
      <w:r w:rsidR="0090293C">
        <w:rPr>
          <w:rFonts w:cs="Arial"/>
          <w:lang w:val="en-CA" w:eastAsia="fr-CA"/>
        </w:rPr>
        <w:t xml:space="preserve"> case</w:t>
      </w:r>
      <w:r w:rsidR="00624C91" w:rsidRPr="00624C91">
        <w:rPr>
          <w:rFonts w:cs="Arial"/>
          <w:lang w:val="en-CA" w:eastAsia="fr-CA"/>
        </w:rPr>
        <w:t xml:space="preserve">, the appellant's </w:t>
      </w:r>
      <w:r w:rsidR="00AB2E45">
        <w:rPr>
          <w:rFonts w:cs="Arial"/>
          <w:lang w:val="en-CA" w:eastAsia="fr-CA"/>
        </w:rPr>
        <w:t xml:space="preserve">post-homicide </w:t>
      </w:r>
      <w:r w:rsidR="004E603A">
        <w:rPr>
          <w:rFonts w:cs="Arial"/>
          <w:lang w:val="en-CA" w:eastAsia="fr-CA"/>
        </w:rPr>
        <w:t>conduct</w:t>
      </w:r>
      <w:r w:rsidR="00DF34C1">
        <w:rPr>
          <w:rFonts w:cs="Arial"/>
          <w:lang w:val="en-CA" w:eastAsia="fr-CA"/>
        </w:rPr>
        <w:t xml:space="preserve"> </w:t>
      </w:r>
      <w:r w:rsidR="00624C91" w:rsidRPr="00624C91">
        <w:rPr>
          <w:rFonts w:cs="Arial"/>
          <w:lang w:val="en-CA" w:eastAsia="fr-CA"/>
        </w:rPr>
        <w:t xml:space="preserve">should not </w:t>
      </w:r>
      <w:r w:rsidR="00EE1213">
        <w:rPr>
          <w:rFonts w:cs="Arial"/>
          <w:lang w:val="en-CA" w:eastAsia="fr-CA"/>
        </w:rPr>
        <w:t>have been</w:t>
      </w:r>
      <w:r w:rsidR="00624C91" w:rsidRPr="00624C91">
        <w:rPr>
          <w:rFonts w:cs="Arial"/>
          <w:lang w:val="en-CA" w:eastAsia="fr-CA"/>
        </w:rPr>
        <w:t xml:space="preserve"> considered in a </w:t>
      </w:r>
      <w:r w:rsidR="00AB2E45">
        <w:rPr>
          <w:rFonts w:cs="Arial"/>
          <w:lang w:val="en-CA" w:eastAsia="fr-CA"/>
        </w:rPr>
        <w:t>piecemeal fashion</w:t>
      </w:r>
      <w:r w:rsidR="00624C91" w:rsidRPr="00624C91">
        <w:rPr>
          <w:rFonts w:cs="Arial"/>
          <w:lang w:val="en-CA" w:eastAsia="fr-CA"/>
        </w:rPr>
        <w:t>, but as a whole.</w:t>
      </w:r>
    </w:p>
    <w:p w14:paraId="2E1673E7" w14:textId="0D0712C9" w:rsidR="0022776D" w:rsidRPr="00856CD5" w:rsidRDefault="00856CD5" w:rsidP="000B6E2B">
      <w:pPr>
        <w:pStyle w:val="Paragraphe"/>
        <w:spacing w:line="240" w:lineRule="auto"/>
        <w:rPr>
          <w:lang w:val="en-CA"/>
        </w:rPr>
      </w:pPr>
      <w:r w:rsidRPr="00856CD5">
        <w:rPr>
          <w:rFonts w:cs="Arial"/>
          <w:lang w:val="en-CA"/>
        </w:rPr>
        <w:lastRenderedPageBreak/>
        <w:t xml:space="preserve">This ground of appeal first requires a description of the exchanges during the discussions preceding the </w:t>
      </w:r>
      <w:r w:rsidR="00213D25">
        <w:rPr>
          <w:rFonts w:cs="Arial"/>
          <w:lang w:val="en-CA"/>
        </w:rPr>
        <w:t xml:space="preserve">jury </w:t>
      </w:r>
      <w:r w:rsidRPr="00856CD5">
        <w:rPr>
          <w:rFonts w:cs="Arial"/>
          <w:lang w:val="en-CA"/>
        </w:rPr>
        <w:t>instructions, the instructions that were given</w:t>
      </w:r>
      <w:r w:rsidR="00213D25">
        <w:rPr>
          <w:rFonts w:cs="Arial"/>
          <w:lang w:val="en-CA"/>
        </w:rPr>
        <w:t>,</w:t>
      </w:r>
      <w:r w:rsidRPr="00856CD5">
        <w:rPr>
          <w:rFonts w:cs="Arial"/>
          <w:lang w:val="en-CA"/>
        </w:rPr>
        <w:t xml:space="preserve"> and the correction made by the judge</w:t>
      </w:r>
      <w:r w:rsidR="000E5484" w:rsidRPr="00856CD5">
        <w:rPr>
          <w:rFonts w:cs="Arial"/>
          <w:lang w:val="en-CA"/>
        </w:rPr>
        <w:t>.</w:t>
      </w:r>
    </w:p>
    <w:p w14:paraId="2E692402" w14:textId="7A444120" w:rsidR="0022776D" w:rsidRPr="00856CD5" w:rsidRDefault="00BF0272" w:rsidP="000B6E2B">
      <w:pPr>
        <w:spacing w:before="120" w:after="120" w:line="240" w:lineRule="auto"/>
        <w:jc w:val="both"/>
        <w:rPr>
          <w:rFonts w:cs="Arial"/>
          <w:b/>
          <w:kern w:val="28"/>
          <w:lang w:val="en-CA"/>
        </w:rPr>
      </w:pPr>
      <w:r>
        <w:rPr>
          <w:rFonts w:cs="Arial"/>
          <w:b/>
          <w:kern w:val="28"/>
          <w:lang w:val="en-CA"/>
        </w:rPr>
        <w:t>The pre-</w:t>
      </w:r>
      <w:r w:rsidR="00685532">
        <w:rPr>
          <w:rFonts w:cs="Arial"/>
          <w:b/>
          <w:kern w:val="28"/>
          <w:lang w:val="en-CA"/>
        </w:rPr>
        <w:t>charge</w:t>
      </w:r>
      <w:r>
        <w:rPr>
          <w:rFonts w:cs="Arial"/>
          <w:b/>
          <w:kern w:val="28"/>
          <w:lang w:val="en-CA"/>
        </w:rPr>
        <w:t xml:space="preserve"> conference</w:t>
      </w:r>
    </w:p>
    <w:p w14:paraId="12973852" w14:textId="353DE40E" w:rsidR="0022776D" w:rsidRPr="00856CD5" w:rsidRDefault="00685532" w:rsidP="000B6E2B">
      <w:pPr>
        <w:numPr>
          <w:ilvl w:val="0"/>
          <w:numId w:val="18"/>
        </w:numPr>
        <w:spacing w:before="120" w:after="120" w:line="240" w:lineRule="auto"/>
        <w:jc w:val="both"/>
        <w:rPr>
          <w:rFonts w:cs="Arial"/>
          <w:kern w:val="28"/>
          <w:lang w:val="en-CA"/>
        </w:rPr>
      </w:pPr>
      <w:r w:rsidRPr="00685532">
        <w:rPr>
          <w:rFonts w:cs="Arial"/>
          <w:kern w:val="28"/>
          <w:lang w:val="en-CA"/>
        </w:rPr>
        <w:t xml:space="preserve">The judge </w:t>
      </w:r>
      <w:r>
        <w:rPr>
          <w:rFonts w:cs="Arial"/>
          <w:kern w:val="28"/>
          <w:lang w:val="en-CA"/>
        </w:rPr>
        <w:t>initiated</w:t>
      </w:r>
      <w:r w:rsidRPr="00685532">
        <w:rPr>
          <w:rFonts w:cs="Arial"/>
          <w:kern w:val="28"/>
          <w:lang w:val="en-CA"/>
        </w:rPr>
        <w:t xml:space="preserve"> the discussion regarding the </w:t>
      </w:r>
      <w:r>
        <w:rPr>
          <w:rFonts w:cs="Arial"/>
          <w:kern w:val="28"/>
          <w:lang w:val="en-CA"/>
        </w:rPr>
        <w:t>instruction</w:t>
      </w:r>
      <w:r w:rsidRPr="00685532">
        <w:rPr>
          <w:rFonts w:cs="Arial"/>
          <w:kern w:val="28"/>
          <w:lang w:val="en-CA"/>
        </w:rPr>
        <w:t xml:space="preserve"> that must be given </w:t>
      </w:r>
      <w:r w:rsidR="00C026F2">
        <w:rPr>
          <w:rFonts w:cs="Arial"/>
          <w:kern w:val="28"/>
          <w:lang w:val="en-CA"/>
        </w:rPr>
        <w:t>concerning the</w:t>
      </w:r>
      <w:r w:rsidRPr="00685532">
        <w:rPr>
          <w:rFonts w:cs="Arial"/>
          <w:kern w:val="28"/>
          <w:lang w:val="en-CA"/>
        </w:rPr>
        <w:t xml:space="preserve"> </w:t>
      </w:r>
      <w:r>
        <w:rPr>
          <w:rFonts w:cs="Arial"/>
          <w:kern w:val="28"/>
          <w:lang w:val="en-CA"/>
        </w:rPr>
        <w:t>after-the-fact conduct as follows</w:t>
      </w:r>
      <w:r w:rsidR="0022776D" w:rsidRPr="00856CD5">
        <w:rPr>
          <w:rFonts w:cs="Arial"/>
          <w:kern w:val="28"/>
          <w:lang w:val="en-CA"/>
        </w:rPr>
        <w:t>:</w:t>
      </w:r>
    </w:p>
    <w:p w14:paraId="387CD2D9" w14:textId="63686569" w:rsidR="00685532" w:rsidRPr="00B92A5F" w:rsidRDefault="00685532" w:rsidP="000B6E2B">
      <w:pPr>
        <w:pStyle w:val="Citationenretrait"/>
        <w:spacing w:line="240" w:lineRule="auto"/>
        <w:rPr>
          <w:szCs w:val="22"/>
          <w:lang w:val="en-CA"/>
        </w:rPr>
      </w:pPr>
      <w:r w:rsidRPr="00B92A5F">
        <w:rPr>
          <w:rFonts w:cs="Arial"/>
          <w:szCs w:val="22"/>
          <w:lang w:val="en-CA"/>
        </w:rPr>
        <w:t>[</w:t>
      </w:r>
      <w:r w:rsidR="00F829F2">
        <w:rPr>
          <w:rFonts w:cs="Arial"/>
          <w:smallCaps/>
          <w:szCs w:val="22"/>
          <w:lang w:val="en-CA"/>
        </w:rPr>
        <w:t>translation</w:t>
      </w:r>
      <w:r w:rsidRPr="00B92A5F">
        <w:rPr>
          <w:rFonts w:cs="Arial"/>
          <w:szCs w:val="22"/>
          <w:lang w:val="en-CA"/>
        </w:rPr>
        <w:t>]</w:t>
      </w:r>
    </w:p>
    <w:p w14:paraId="4E58623A" w14:textId="59AB88F2" w:rsidR="0022776D" w:rsidRPr="00856CD5" w:rsidRDefault="00685532" w:rsidP="000B6E2B">
      <w:pPr>
        <w:pStyle w:val="Citationenretrait"/>
        <w:spacing w:line="240" w:lineRule="auto"/>
        <w:rPr>
          <w:lang w:val="en-CA"/>
        </w:rPr>
      </w:pPr>
      <w:r w:rsidRPr="00685532">
        <w:rPr>
          <w:lang w:val="en-CA"/>
        </w:rPr>
        <w:t>The other is post-offen</w:t>
      </w:r>
      <w:r>
        <w:rPr>
          <w:lang w:val="en-CA"/>
        </w:rPr>
        <w:t>c</w:t>
      </w:r>
      <w:r w:rsidRPr="00685532">
        <w:rPr>
          <w:lang w:val="en-CA"/>
        </w:rPr>
        <w:t xml:space="preserve">e </w:t>
      </w:r>
      <w:r>
        <w:rPr>
          <w:lang w:val="en-CA"/>
        </w:rPr>
        <w:t>conduct</w:t>
      </w:r>
      <w:r w:rsidRPr="00685532">
        <w:rPr>
          <w:lang w:val="en-CA"/>
        </w:rPr>
        <w:t xml:space="preserve">. My intention was to give </w:t>
      </w:r>
      <w:r>
        <w:rPr>
          <w:lang w:val="en-CA"/>
        </w:rPr>
        <w:t>an instruction</w:t>
      </w:r>
      <w:r w:rsidRPr="00685532">
        <w:rPr>
          <w:lang w:val="en-CA"/>
        </w:rPr>
        <w:t xml:space="preserve"> on post-offen</w:t>
      </w:r>
      <w:r>
        <w:rPr>
          <w:lang w:val="en-CA"/>
        </w:rPr>
        <w:t>c</w:t>
      </w:r>
      <w:r w:rsidRPr="00685532">
        <w:rPr>
          <w:lang w:val="en-CA"/>
        </w:rPr>
        <w:t xml:space="preserve">e </w:t>
      </w:r>
      <w:r>
        <w:rPr>
          <w:lang w:val="en-CA"/>
        </w:rPr>
        <w:t>conduct</w:t>
      </w:r>
      <w:r w:rsidRPr="00685532">
        <w:rPr>
          <w:lang w:val="en-CA"/>
        </w:rPr>
        <w:t>, but naturally, to give it with both sides of the coin, because post-offen</w:t>
      </w:r>
      <w:r>
        <w:rPr>
          <w:lang w:val="en-CA"/>
        </w:rPr>
        <w:t>c</w:t>
      </w:r>
      <w:r w:rsidRPr="00685532">
        <w:rPr>
          <w:lang w:val="en-CA"/>
        </w:rPr>
        <w:t xml:space="preserve">e </w:t>
      </w:r>
      <w:r>
        <w:rPr>
          <w:lang w:val="en-CA"/>
        </w:rPr>
        <w:t>conduct</w:t>
      </w:r>
      <w:r w:rsidRPr="00685532">
        <w:rPr>
          <w:lang w:val="en-CA"/>
        </w:rPr>
        <w:t>, I</w:t>
      </w:r>
      <w:r w:rsidR="00736003">
        <w:rPr>
          <w:lang w:val="en-CA"/>
        </w:rPr>
        <w:t>’</w:t>
      </w:r>
      <w:r w:rsidRPr="00685532">
        <w:rPr>
          <w:lang w:val="en-CA"/>
        </w:rPr>
        <w:t>m going to list what can be part of post-offen</w:t>
      </w:r>
      <w:r>
        <w:rPr>
          <w:lang w:val="en-CA"/>
        </w:rPr>
        <w:t>c</w:t>
      </w:r>
      <w:r w:rsidRPr="00685532">
        <w:rPr>
          <w:lang w:val="en-CA"/>
        </w:rPr>
        <w:t xml:space="preserve">e </w:t>
      </w:r>
      <w:r>
        <w:rPr>
          <w:lang w:val="en-CA"/>
        </w:rPr>
        <w:t>conduct</w:t>
      </w:r>
      <w:r w:rsidRPr="00685532">
        <w:rPr>
          <w:lang w:val="en-CA"/>
        </w:rPr>
        <w:t>. We</w:t>
      </w:r>
      <w:r>
        <w:rPr>
          <w:lang w:val="en-CA"/>
        </w:rPr>
        <w:t xml:space="preserve"> have</w:t>
      </w:r>
      <w:r w:rsidR="0006387E">
        <w:rPr>
          <w:lang w:val="en-CA"/>
        </w:rPr>
        <w:t xml:space="preserve"> </w:t>
      </w:r>
      <w:r w:rsidRPr="00685532">
        <w:rPr>
          <w:lang w:val="en-CA"/>
        </w:rPr>
        <w:t xml:space="preserve">... if it was just </w:t>
      </w:r>
      <w:r w:rsidR="001D6CD5">
        <w:rPr>
          <w:lang w:val="en-CA"/>
        </w:rPr>
        <w:t>fleeing</w:t>
      </w:r>
      <w:r w:rsidRPr="00685532">
        <w:rPr>
          <w:lang w:val="en-CA"/>
        </w:rPr>
        <w:t>, naturally, we wouldn</w:t>
      </w:r>
      <w:r w:rsidR="00736003">
        <w:rPr>
          <w:lang w:val="en-CA"/>
        </w:rPr>
        <w:t>’</w:t>
      </w:r>
      <w:r w:rsidRPr="00685532">
        <w:rPr>
          <w:lang w:val="en-CA"/>
        </w:rPr>
        <w:t xml:space="preserve">t give the </w:t>
      </w:r>
      <w:r>
        <w:rPr>
          <w:lang w:val="en-CA"/>
        </w:rPr>
        <w:t>instruction</w:t>
      </w:r>
      <w:r w:rsidRPr="00685532">
        <w:rPr>
          <w:lang w:val="en-CA"/>
        </w:rPr>
        <w:t xml:space="preserve">, because you can </w:t>
      </w:r>
      <w:r w:rsidR="008A6C92">
        <w:rPr>
          <w:lang w:val="en-CA"/>
        </w:rPr>
        <w:t>flee</w:t>
      </w:r>
      <w:r w:rsidRPr="00685532">
        <w:rPr>
          <w:lang w:val="en-CA"/>
        </w:rPr>
        <w:t xml:space="preserve"> for both homicide and murder, but as for</w:t>
      </w:r>
      <w:r w:rsidR="007A4000">
        <w:rPr>
          <w:lang w:val="en-CA"/>
        </w:rPr>
        <w:t xml:space="preserve"> </w:t>
      </w:r>
      <w:r w:rsidRPr="00685532">
        <w:rPr>
          <w:lang w:val="en-CA"/>
        </w:rPr>
        <w:t xml:space="preserve">... </w:t>
      </w:r>
      <w:r w:rsidRPr="00685532">
        <w:rPr>
          <w:u w:val="single"/>
          <w:lang w:val="en-CA"/>
        </w:rPr>
        <w:t xml:space="preserve">since we are in a </w:t>
      </w:r>
      <w:r w:rsidR="007A4000">
        <w:rPr>
          <w:u w:val="single"/>
          <w:lang w:val="en-CA"/>
        </w:rPr>
        <w:t xml:space="preserve">context of </w:t>
      </w:r>
      <w:r w:rsidRPr="00685532">
        <w:rPr>
          <w:u w:val="single"/>
          <w:lang w:val="en-CA"/>
        </w:rPr>
        <w:t xml:space="preserve">mental disorder, the </w:t>
      </w:r>
      <w:r w:rsidR="00C026F2">
        <w:rPr>
          <w:u w:val="single"/>
          <w:lang w:val="en-CA"/>
        </w:rPr>
        <w:t>f</w:t>
      </w:r>
      <w:r w:rsidR="008A6C92">
        <w:rPr>
          <w:u w:val="single"/>
          <w:lang w:val="en-CA"/>
        </w:rPr>
        <w:t>leeing</w:t>
      </w:r>
      <w:r w:rsidRPr="00685532">
        <w:rPr>
          <w:u w:val="single"/>
          <w:lang w:val="en-CA"/>
        </w:rPr>
        <w:t xml:space="preserve"> is explained by Mr. Tshilumba, could be considered otherwise tha</w:t>
      </w:r>
      <w:r>
        <w:rPr>
          <w:u w:val="single"/>
          <w:lang w:val="en-CA"/>
        </w:rPr>
        <w:t>n</w:t>
      </w:r>
      <w:r w:rsidRPr="00685532">
        <w:rPr>
          <w:u w:val="single"/>
          <w:lang w:val="en-CA"/>
        </w:rPr>
        <w:t xml:space="preserve"> I</w:t>
      </w:r>
      <w:r>
        <w:rPr>
          <w:u w:val="single"/>
          <w:lang w:val="en-CA"/>
        </w:rPr>
        <w:t xml:space="preserve">’m </w:t>
      </w:r>
      <w:r w:rsidR="00C026F2">
        <w:rPr>
          <w:u w:val="single"/>
          <w:lang w:val="en-CA"/>
        </w:rPr>
        <w:t>fleeing</w:t>
      </w:r>
      <w:r w:rsidRPr="00685532">
        <w:rPr>
          <w:u w:val="single"/>
          <w:lang w:val="en-CA"/>
        </w:rPr>
        <w:t xml:space="preserve"> because I</w:t>
      </w:r>
      <w:r>
        <w:rPr>
          <w:u w:val="single"/>
          <w:lang w:val="en-CA"/>
        </w:rPr>
        <w:t>’m</w:t>
      </w:r>
      <w:r w:rsidRPr="00685532">
        <w:rPr>
          <w:u w:val="single"/>
          <w:lang w:val="en-CA"/>
        </w:rPr>
        <w:t xml:space="preserve"> in danger from the girls, so of course you</w:t>
      </w:r>
      <w:r>
        <w:rPr>
          <w:u w:val="single"/>
          <w:lang w:val="en-CA"/>
        </w:rPr>
        <w:t>’re going to t</w:t>
      </w:r>
      <w:r w:rsidRPr="00685532">
        <w:rPr>
          <w:u w:val="single"/>
          <w:lang w:val="en-CA"/>
        </w:rPr>
        <w:t>ake it into account</w:t>
      </w:r>
      <w:r w:rsidRPr="00685532">
        <w:rPr>
          <w:lang w:val="en-CA"/>
        </w:rPr>
        <w:t xml:space="preserve">. </w:t>
      </w:r>
      <w:r w:rsidR="00C026F2">
        <w:rPr>
          <w:lang w:val="en-CA"/>
        </w:rPr>
        <w:t>Hiding</w:t>
      </w:r>
      <w:r w:rsidRPr="00685532">
        <w:rPr>
          <w:lang w:val="en-CA"/>
        </w:rPr>
        <w:t xml:space="preserve"> in </w:t>
      </w:r>
      <w:r w:rsidR="003320B7">
        <w:rPr>
          <w:lang w:val="en-CA"/>
        </w:rPr>
        <w:t xml:space="preserve">the </w:t>
      </w:r>
      <w:r w:rsidRPr="00685532">
        <w:rPr>
          <w:lang w:val="en-CA"/>
        </w:rPr>
        <w:t xml:space="preserve">Tim Hortons for, </w:t>
      </w:r>
      <w:r w:rsidR="001D6CD5">
        <w:rPr>
          <w:lang w:val="en-CA"/>
        </w:rPr>
        <w:t>wa</w:t>
      </w:r>
      <w:r w:rsidR="001D6CD5" w:rsidRPr="00685532">
        <w:rPr>
          <w:lang w:val="en-CA"/>
        </w:rPr>
        <w:t xml:space="preserve">s </w:t>
      </w:r>
      <w:r w:rsidRPr="00685532">
        <w:rPr>
          <w:lang w:val="en-CA"/>
        </w:rPr>
        <w:t xml:space="preserve">it six hours? … Seven </w:t>
      </w:r>
      <w:r w:rsidR="003320B7">
        <w:rPr>
          <w:lang w:val="en-CA"/>
        </w:rPr>
        <w:t>hours</w:t>
      </w:r>
      <w:r w:rsidRPr="00685532">
        <w:rPr>
          <w:lang w:val="en-CA"/>
        </w:rPr>
        <w:t>, a</w:t>
      </w:r>
      <w:r w:rsidR="003320B7">
        <w:rPr>
          <w:lang w:val="en-CA"/>
        </w:rPr>
        <w:t>round</w:t>
      </w:r>
      <w:r w:rsidRPr="00685532">
        <w:rPr>
          <w:lang w:val="en-CA"/>
        </w:rPr>
        <w:t xml:space="preserve"> seven </w:t>
      </w:r>
      <w:r w:rsidR="003320B7">
        <w:rPr>
          <w:lang w:val="en-CA"/>
        </w:rPr>
        <w:t>hours</w:t>
      </w:r>
      <w:r w:rsidRPr="00685532">
        <w:rPr>
          <w:lang w:val="en-CA"/>
        </w:rPr>
        <w:t xml:space="preserve">. The Internet searches, the two visits to </w:t>
      </w:r>
      <w:r w:rsidR="003320B7">
        <w:rPr>
          <w:lang w:val="en-CA"/>
        </w:rPr>
        <w:t xml:space="preserve">the </w:t>
      </w:r>
      <w:r w:rsidRPr="00685532">
        <w:rPr>
          <w:lang w:val="en-CA"/>
        </w:rPr>
        <w:t>CEGEP, having hidden the weapon in two different lockers</w:t>
      </w:r>
      <w:r w:rsidR="0022776D" w:rsidRPr="00856CD5">
        <w:rPr>
          <w:lang w:val="en-CA"/>
        </w:rPr>
        <w:t>.</w:t>
      </w:r>
    </w:p>
    <w:p w14:paraId="2FBD2D01" w14:textId="04F17972" w:rsidR="00BC0D22" w:rsidRPr="00856CD5" w:rsidRDefault="00BC0D22" w:rsidP="000B6E2B">
      <w:pPr>
        <w:pStyle w:val="Citationenretrait"/>
        <w:spacing w:line="240" w:lineRule="auto"/>
        <w:jc w:val="right"/>
        <w:rPr>
          <w:lang w:val="en-CA"/>
        </w:rPr>
      </w:pPr>
      <w:r w:rsidRPr="00856CD5">
        <w:rPr>
          <w:lang w:val="en-CA"/>
        </w:rPr>
        <w:t>[</w:t>
      </w:r>
      <w:r w:rsidR="003320B7">
        <w:rPr>
          <w:lang w:val="en-CA"/>
        </w:rPr>
        <w:t>Emphasis added</w:t>
      </w:r>
      <w:r w:rsidR="00213D25">
        <w:rPr>
          <w:lang w:val="en-CA"/>
        </w:rPr>
        <w:t>.</w:t>
      </w:r>
      <w:r w:rsidRPr="00856CD5">
        <w:rPr>
          <w:lang w:val="en-CA"/>
        </w:rPr>
        <w:t>]</w:t>
      </w:r>
    </w:p>
    <w:p w14:paraId="0774425A" w14:textId="799B7E4B" w:rsidR="0022776D" w:rsidRPr="00856CD5" w:rsidRDefault="001D6CD5" w:rsidP="000B6E2B">
      <w:pPr>
        <w:numPr>
          <w:ilvl w:val="0"/>
          <w:numId w:val="18"/>
        </w:numPr>
        <w:spacing w:before="120" w:after="120" w:line="240" w:lineRule="auto"/>
        <w:jc w:val="both"/>
        <w:rPr>
          <w:rFonts w:cs="Arial"/>
          <w:kern w:val="28"/>
          <w:lang w:val="en-CA"/>
        </w:rPr>
      </w:pPr>
      <w:r>
        <w:rPr>
          <w:rFonts w:cs="Arial"/>
          <w:kern w:val="28"/>
          <w:lang w:val="en-CA"/>
        </w:rPr>
        <w:t>The</w:t>
      </w:r>
      <w:r w:rsidR="003320B7" w:rsidRPr="003320B7">
        <w:rPr>
          <w:rFonts w:cs="Arial"/>
          <w:kern w:val="28"/>
          <w:lang w:val="en-CA"/>
        </w:rPr>
        <w:t xml:space="preserve"> resulting exchange between the parties and the judge</w:t>
      </w:r>
      <w:r>
        <w:rPr>
          <w:rFonts w:cs="Arial"/>
          <w:kern w:val="28"/>
          <w:lang w:val="en-CA"/>
        </w:rPr>
        <w:t xml:space="preserve"> makes it possible to</w:t>
      </w:r>
      <w:r w:rsidR="003320B7">
        <w:rPr>
          <w:rFonts w:cs="Arial"/>
          <w:kern w:val="28"/>
          <w:lang w:val="en-CA"/>
        </w:rPr>
        <w:t xml:space="preserve"> lis</w:t>
      </w:r>
      <w:r w:rsidR="003320B7" w:rsidRPr="003320B7">
        <w:rPr>
          <w:rFonts w:cs="Arial"/>
          <w:kern w:val="28"/>
          <w:lang w:val="en-CA"/>
        </w:rPr>
        <w:t xml:space="preserve">t certain </w:t>
      </w:r>
      <w:r w:rsidR="003320B7">
        <w:rPr>
          <w:rFonts w:cs="Arial"/>
          <w:kern w:val="28"/>
          <w:lang w:val="en-CA"/>
        </w:rPr>
        <w:t>after-the-fact conduct</w:t>
      </w:r>
      <w:r w:rsidR="0022776D" w:rsidRPr="00856CD5">
        <w:rPr>
          <w:rFonts w:cs="Arial"/>
          <w:kern w:val="28"/>
          <w:lang w:val="en-CA"/>
        </w:rPr>
        <w:t>.</w:t>
      </w:r>
    </w:p>
    <w:p w14:paraId="12223903" w14:textId="5D48FCEE" w:rsidR="0022776D" w:rsidRPr="00856CD5" w:rsidRDefault="003320B7" w:rsidP="000B6E2B">
      <w:pPr>
        <w:numPr>
          <w:ilvl w:val="0"/>
          <w:numId w:val="18"/>
        </w:numPr>
        <w:spacing w:before="120" w:after="120" w:line="240" w:lineRule="auto"/>
        <w:jc w:val="both"/>
        <w:rPr>
          <w:rFonts w:cs="Arial"/>
          <w:kern w:val="28"/>
          <w:lang w:val="en-CA"/>
        </w:rPr>
      </w:pPr>
      <w:r>
        <w:rPr>
          <w:rFonts w:cs="Arial"/>
          <w:kern w:val="28"/>
          <w:lang w:val="en-CA"/>
        </w:rPr>
        <w:t xml:space="preserve">The judge </w:t>
      </w:r>
      <w:r w:rsidR="001D6CD5">
        <w:rPr>
          <w:rFonts w:cs="Arial"/>
          <w:kern w:val="28"/>
          <w:lang w:val="en-CA"/>
        </w:rPr>
        <w:t>added the following</w:t>
      </w:r>
      <w:r w:rsidR="0022776D" w:rsidRPr="00856CD5">
        <w:rPr>
          <w:rFonts w:cs="Arial"/>
          <w:kern w:val="28"/>
          <w:lang w:val="en-CA"/>
        </w:rPr>
        <w:t>:</w:t>
      </w:r>
    </w:p>
    <w:p w14:paraId="52A12242" w14:textId="2F8B2894" w:rsidR="0058310B" w:rsidRPr="00EC1B87" w:rsidRDefault="0058310B" w:rsidP="000B6E2B">
      <w:pPr>
        <w:pStyle w:val="Citationenretrait"/>
        <w:spacing w:line="240" w:lineRule="auto"/>
        <w:rPr>
          <w:szCs w:val="22"/>
          <w:lang w:val="en-CA"/>
        </w:rPr>
      </w:pPr>
      <w:r w:rsidRPr="00B92A5F">
        <w:rPr>
          <w:rFonts w:cs="Arial"/>
          <w:szCs w:val="22"/>
          <w:lang w:val="en-CA"/>
        </w:rPr>
        <w:t>[</w:t>
      </w:r>
      <w:r w:rsidR="00EC1B87">
        <w:rPr>
          <w:rFonts w:cs="Arial"/>
          <w:smallCaps/>
          <w:szCs w:val="22"/>
          <w:lang w:val="en-CA"/>
        </w:rPr>
        <w:t>translation</w:t>
      </w:r>
      <w:r w:rsidRPr="00B92A5F">
        <w:rPr>
          <w:rFonts w:cs="Arial"/>
          <w:szCs w:val="22"/>
          <w:lang w:val="en-CA"/>
        </w:rPr>
        <w:t>]</w:t>
      </w:r>
    </w:p>
    <w:p w14:paraId="45F1D20D" w14:textId="0CC36064" w:rsidR="0022776D" w:rsidRPr="00856CD5" w:rsidRDefault="0058310B" w:rsidP="000B6E2B">
      <w:pPr>
        <w:pStyle w:val="Citationenretrait"/>
        <w:spacing w:line="240" w:lineRule="auto"/>
        <w:rPr>
          <w:lang w:val="en-CA"/>
        </w:rPr>
      </w:pPr>
      <w:r w:rsidRPr="0058310B">
        <w:rPr>
          <w:lang w:val="en-CA"/>
        </w:rPr>
        <w:t xml:space="preserve">Because </w:t>
      </w:r>
      <w:r>
        <w:rPr>
          <w:lang w:val="en-CA"/>
        </w:rPr>
        <w:t>fleeing</w:t>
      </w:r>
      <w:r w:rsidRPr="0058310B">
        <w:rPr>
          <w:lang w:val="en-CA"/>
        </w:rPr>
        <w:t xml:space="preserve"> </w:t>
      </w:r>
      <w:r w:rsidR="0020767B">
        <w:rPr>
          <w:lang w:val="en-CA"/>
        </w:rPr>
        <w:t xml:space="preserve">alone </w:t>
      </w:r>
      <w:r w:rsidRPr="0058310B">
        <w:rPr>
          <w:lang w:val="en-CA"/>
        </w:rPr>
        <w:t>is not … does not result in a</w:t>
      </w:r>
      <w:r>
        <w:rPr>
          <w:lang w:val="en-CA"/>
        </w:rPr>
        <w:t>n instruction</w:t>
      </w:r>
      <w:r w:rsidRPr="0058310B">
        <w:rPr>
          <w:lang w:val="en-CA"/>
        </w:rPr>
        <w:t xml:space="preserve">. However, here, </w:t>
      </w:r>
      <w:r w:rsidR="00FC7AE8">
        <w:rPr>
          <w:lang w:val="en-CA"/>
        </w:rPr>
        <w:t>it is</w:t>
      </w:r>
      <w:r w:rsidR="00FC7AE8" w:rsidRPr="0058310B">
        <w:rPr>
          <w:lang w:val="en-CA"/>
        </w:rPr>
        <w:t xml:space="preserve"> </w:t>
      </w:r>
      <w:r w:rsidRPr="0058310B">
        <w:rPr>
          <w:lang w:val="en-CA"/>
        </w:rPr>
        <w:t xml:space="preserve">all ... because we have an explanation. So, </w:t>
      </w:r>
      <w:r w:rsidR="00FC7AE8">
        <w:rPr>
          <w:lang w:val="en-CA"/>
        </w:rPr>
        <w:t>I am</w:t>
      </w:r>
      <w:r w:rsidR="00FC7AE8" w:rsidRPr="0058310B">
        <w:rPr>
          <w:lang w:val="en-CA"/>
        </w:rPr>
        <w:t xml:space="preserve"> </w:t>
      </w:r>
      <w:r w:rsidRPr="0058310B">
        <w:rPr>
          <w:lang w:val="en-CA"/>
        </w:rPr>
        <w:t xml:space="preserve">going to </w:t>
      </w:r>
      <w:r w:rsidR="00DF3F3C">
        <w:rPr>
          <w:lang w:val="en-CA"/>
        </w:rPr>
        <w:t>return</w:t>
      </w:r>
      <w:r w:rsidRPr="0058310B">
        <w:rPr>
          <w:lang w:val="en-CA"/>
        </w:rPr>
        <w:t xml:space="preserve"> to this briefly, briefly on </w:t>
      </w:r>
      <w:r w:rsidR="008A6C92">
        <w:rPr>
          <w:lang w:val="en-CA"/>
        </w:rPr>
        <w:t xml:space="preserve">the </w:t>
      </w:r>
      <w:r w:rsidRPr="0058310B">
        <w:rPr>
          <w:lang w:val="en-CA"/>
        </w:rPr>
        <w:t>post-offen</w:t>
      </w:r>
      <w:r>
        <w:rPr>
          <w:lang w:val="en-CA"/>
        </w:rPr>
        <w:t>c</w:t>
      </w:r>
      <w:r w:rsidRPr="0058310B">
        <w:rPr>
          <w:lang w:val="en-CA"/>
        </w:rPr>
        <w:t xml:space="preserve">e </w:t>
      </w:r>
      <w:r>
        <w:rPr>
          <w:lang w:val="en-CA"/>
        </w:rPr>
        <w:t>conduct</w:t>
      </w:r>
      <w:r w:rsidRPr="0058310B">
        <w:rPr>
          <w:lang w:val="en-CA"/>
        </w:rPr>
        <w:t xml:space="preserve">. </w:t>
      </w:r>
      <w:r w:rsidR="00FC7AE8">
        <w:rPr>
          <w:lang w:val="en-CA"/>
        </w:rPr>
        <w:t>I am</w:t>
      </w:r>
      <w:r w:rsidR="00FC7AE8" w:rsidRPr="0058310B">
        <w:rPr>
          <w:lang w:val="en-CA"/>
        </w:rPr>
        <w:t xml:space="preserve"> </w:t>
      </w:r>
      <w:r w:rsidRPr="0058310B">
        <w:rPr>
          <w:lang w:val="en-CA"/>
        </w:rPr>
        <w:t>going to see how I</w:t>
      </w:r>
      <w:r w:rsidR="00736003">
        <w:rPr>
          <w:lang w:val="en-CA"/>
        </w:rPr>
        <w:t>’</w:t>
      </w:r>
      <w:r w:rsidRPr="0058310B">
        <w:rPr>
          <w:lang w:val="en-CA"/>
        </w:rPr>
        <w:t xml:space="preserve">m going to </w:t>
      </w:r>
      <w:r w:rsidR="002740FD">
        <w:rPr>
          <w:lang w:val="en-CA"/>
        </w:rPr>
        <w:t>frame</w:t>
      </w:r>
      <w:r w:rsidR="002740FD" w:rsidRPr="0058310B">
        <w:rPr>
          <w:lang w:val="en-CA"/>
        </w:rPr>
        <w:t xml:space="preserve"> </w:t>
      </w:r>
      <w:r>
        <w:rPr>
          <w:lang w:val="en-CA"/>
        </w:rPr>
        <w:t>it</w:t>
      </w:r>
      <w:r w:rsidRPr="0058310B">
        <w:rPr>
          <w:lang w:val="en-CA"/>
        </w:rPr>
        <w:t xml:space="preserve"> because this post-</w:t>
      </w:r>
      <w:r>
        <w:rPr>
          <w:lang w:val="en-CA"/>
        </w:rPr>
        <w:t>offence</w:t>
      </w:r>
      <w:r w:rsidRPr="0058310B">
        <w:rPr>
          <w:lang w:val="en-CA"/>
        </w:rPr>
        <w:t xml:space="preserve"> </w:t>
      </w:r>
      <w:r>
        <w:rPr>
          <w:lang w:val="en-CA"/>
        </w:rPr>
        <w:t>conduct</w:t>
      </w:r>
      <w:r w:rsidRPr="0058310B">
        <w:rPr>
          <w:lang w:val="en-CA"/>
        </w:rPr>
        <w:t xml:space="preserve"> </w:t>
      </w:r>
      <w:r w:rsidR="00D71263">
        <w:rPr>
          <w:lang w:val="en-CA"/>
        </w:rPr>
        <w:t>cuts</w:t>
      </w:r>
      <w:r w:rsidR="0020767B" w:rsidRPr="0058310B">
        <w:rPr>
          <w:lang w:val="en-CA"/>
        </w:rPr>
        <w:t xml:space="preserve"> </w:t>
      </w:r>
      <w:r w:rsidRPr="0058310B">
        <w:rPr>
          <w:lang w:val="en-CA"/>
        </w:rPr>
        <w:t>both ways</w:t>
      </w:r>
      <w:r w:rsidR="00590D76">
        <w:rPr>
          <w:lang w:val="en-CA"/>
        </w:rPr>
        <w:t>,</w:t>
      </w:r>
      <w:r w:rsidRPr="0058310B">
        <w:rPr>
          <w:lang w:val="en-CA"/>
        </w:rPr>
        <w:t xml:space="preserve"> in the sense that, according to your theory, he knew very well what he had just done, </w:t>
      </w:r>
      <w:r w:rsidR="006A02E2">
        <w:rPr>
          <w:lang w:val="en-CA"/>
        </w:rPr>
        <w:t>he</w:t>
      </w:r>
      <w:r w:rsidRPr="0058310B">
        <w:rPr>
          <w:lang w:val="en-CA"/>
        </w:rPr>
        <w:t xml:space="preserve"> want</w:t>
      </w:r>
      <w:r w:rsidR="00A959A6">
        <w:rPr>
          <w:lang w:val="en-CA"/>
        </w:rPr>
        <w:t>ed</w:t>
      </w:r>
      <w:r w:rsidRPr="0058310B">
        <w:rPr>
          <w:lang w:val="en-CA"/>
        </w:rPr>
        <w:t xml:space="preserve"> to cover up the crime, and </w:t>
      </w:r>
      <w:r w:rsidRPr="0058310B">
        <w:rPr>
          <w:u w:val="single"/>
          <w:lang w:val="en-CA"/>
        </w:rPr>
        <w:t xml:space="preserve">according to the defence’s theory, all this is consistent, is compatible with the </w:t>
      </w:r>
      <w:r w:rsidR="008D2926" w:rsidRPr="00736003">
        <w:rPr>
          <w:rFonts w:cs="Arial"/>
          <w:u w:val="single"/>
          <w:lang w:val="en-CA"/>
        </w:rPr>
        <w:t xml:space="preserve">defence of </w:t>
      </w:r>
      <w:r w:rsidRPr="0058310B">
        <w:rPr>
          <w:u w:val="single"/>
          <w:lang w:val="en-CA"/>
        </w:rPr>
        <w:t>mental disorder</w:t>
      </w:r>
      <w:r w:rsidRPr="0058310B">
        <w:rPr>
          <w:lang w:val="en-CA"/>
        </w:rPr>
        <w:t xml:space="preserve">. So, I will definitely give this </w:t>
      </w:r>
      <w:r>
        <w:rPr>
          <w:lang w:val="en-CA"/>
        </w:rPr>
        <w:t>instruction</w:t>
      </w:r>
      <w:r w:rsidR="00727DFE">
        <w:rPr>
          <w:lang w:val="en-CA"/>
        </w:rPr>
        <w:t>,</w:t>
      </w:r>
      <w:r w:rsidRPr="0058310B">
        <w:rPr>
          <w:lang w:val="en-CA"/>
        </w:rPr>
        <w:t xml:space="preserve"> </w:t>
      </w:r>
      <w:r w:rsidR="004D3E5A" w:rsidRPr="0058310B">
        <w:rPr>
          <w:lang w:val="en-CA"/>
        </w:rPr>
        <w:t>b</w:t>
      </w:r>
      <w:r w:rsidR="004D3E5A">
        <w:rPr>
          <w:lang w:val="en-CA"/>
        </w:rPr>
        <w:t>ut</w:t>
      </w:r>
      <w:r w:rsidR="004D3E5A" w:rsidRPr="0058310B">
        <w:rPr>
          <w:lang w:val="en-CA"/>
        </w:rPr>
        <w:t xml:space="preserve"> </w:t>
      </w:r>
      <w:r w:rsidR="00590D76">
        <w:rPr>
          <w:lang w:val="en-CA"/>
        </w:rPr>
        <w:t xml:space="preserve">nevertheless </w:t>
      </w:r>
      <w:r w:rsidRPr="0058310B">
        <w:rPr>
          <w:lang w:val="en-CA"/>
        </w:rPr>
        <w:t>say</w:t>
      </w:r>
      <w:r w:rsidR="00F67781">
        <w:rPr>
          <w:lang w:val="en-CA"/>
        </w:rPr>
        <w:t xml:space="preserve"> </w:t>
      </w:r>
      <w:r w:rsidRPr="0058310B">
        <w:rPr>
          <w:lang w:val="en-CA"/>
        </w:rPr>
        <w:t>look at all the evidence, the post-</w:t>
      </w:r>
      <w:r>
        <w:rPr>
          <w:lang w:val="en-CA"/>
        </w:rPr>
        <w:t>offence</w:t>
      </w:r>
      <w:r w:rsidRPr="0058310B">
        <w:rPr>
          <w:lang w:val="en-CA"/>
        </w:rPr>
        <w:t xml:space="preserve"> </w:t>
      </w:r>
      <w:r>
        <w:rPr>
          <w:lang w:val="en-CA"/>
        </w:rPr>
        <w:t>conduct</w:t>
      </w:r>
      <w:r w:rsidRPr="0058310B">
        <w:rPr>
          <w:lang w:val="en-CA"/>
        </w:rPr>
        <w:t xml:space="preserve"> can be explained </w:t>
      </w:r>
      <w:r w:rsidR="00D73545">
        <w:rPr>
          <w:lang w:val="en-CA"/>
        </w:rPr>
        <w:t>as much by</w:t>
      </w:r>
      <w:r w:rsidRPr="0058310B">
        <w:rPr>
          <w:lang w:val="en-CA"/>
        </w:rPr>
        <w:t xml:space="preserve">, not </w:t>
      </w:r>
      <w:r w:rsidR="00D73545">
        <w:rPr>
          <w:lang w:val="en-CA"/>
        </w:rPr>
        <w:t>as much</w:t>
      </w:r>
      <w:r w:rsidR="00D73545" w:rsidRPr="0058310B">
        <w:rPr>
          <w:lang w:val="en-CA"/>
        </w:rPr>
        <w:t xml:space="preserve"> </w:t>
      </w:r>
      <w:r w:rsidRPr="0058310B">
        <w:rPr>
          <w:lang w:val="en-CA"/>
        </w:rPr>
        <w:t xml:space="preserve">because I do not want to give my opinion, but </w:t>
      </w:r>
      <w:r w:rsidR="00D73545">
        <w:rPr>
          <w:lang w:val="en-CA"/>
        </w:rPr>
        <w:t>as much by one as by the other</w:t>
      </w:r>
      <w:r w:rsidRPr="0058310B">
        <w:rPr>
          <w:lang w:val="en-CA"/>
        </w:rPr>
        <w:t xml:space="preserve">, </w:t>
      </w:r>
      <w:r w:rsidRPr="008A6C92">
        <w:rPr>
          <w:u w:val="single"/>
          <w:lang w:val="en-CA"/>
        </w:rPr>
        <w:t>but this post-</w:t>
      </w:r>
      <w:r w:rsidR="00A959A6" w:rsidRPr="008A6C92">
        <w:rPr>
          <w:u w:val="single"/>
          <w:lang w:val="en-CA"/>
        </w:rPr>
        <w:t>offence conduct</w:t>
      </w:r>
      <w:r w:rsidRPr="008A6C92">
        <w:rPr>
          <w:u w:val="single"/>
          <w:lang w:val="en-CA"/>
        </w:rPr>
        <w:t xml:space="preserve"> can be</w:t>
      </w:r>
      <w:r w:rsidR="00590D76">
        <w:rPr>
          <w:u w:val="single"/>
          <w:lang w:val="en-CA"/>
        </w:rPr>
        <w:t xml:space="preserve"> </w:t>
      </w:r>
      <w:r w:rsidRPr="008A6C92">
        <w:rPr>
          <w:u w:val="single"/>
          <w:lang w:val="en-CA"/>
        </w:rPr>
        <w:t xml:space="preserve">... is interpreted by </w:t>
      </w:r>
      <w:r w:rsidR="00590D76">
        <w:rPr>
          <w:u w:val="single"/>
          <w:lang w:val="en-CA"/>
        </w:rPr>
        <w:t xml:space="preserve">the </w:t>
      </w:r>
      <w:r w:rsidRPr="008A6C92">
        <w:rPr>
          <w:u w:val="single"/>
          <w:lang w:val="en-CA"/>
        </w:rPr>
        <w:t xml:space="preserve">psychiatrists as </w:t>
      </w:r>
      <w:r w:rsidR="00590D76">
        <w:rPr>
          <w:u w:val="single"/>
          <w:lang w:val="en-CA"/>
        </w:rPr>
        <w:t xml:space="preserve">being </w:t>
      </w:r>
      <w:r w:rsidRPr="008A6C92">
        <w:rPr>
          <w:u w:val="single"/>
          <w:lang w:val="en-CA"/>
        </w:rPr>
        <w:t>co</w:t>
      </w:r>
      <w:r w:rsidR="00A959A6" w:rsidRPr="008A6C92">
        <w:rPr>
          <w:u w:val="single"/>
          <w:lang w:val="en-CA"/>
        </w:rPr>
        <w:t>nsistent</w:t>
      </w:r>
      <w:r w:rsidRPr="008A6C92">
        <w:rPr>
          <w:u w:val="single"/>
          <w:lang w:val="en-CA"/>
        </w:rPr>
        <w:t xml:space="preserve"> with </w:t>
      </w:r>
      <w:r w:rsidR="00510141">
        <w:rPr>
          <w:u w:val="single"/>
          <w:lang w:val="en-CA"/>
        </w:rPr>
        <w:t>the</w:t>
      </w:r>
      <w:r w:rsidR="00510141" w:rsidRPr="008A6C92">
        <w:rPr>
          <w:u w:val="single"/>
          <w:lang w:val="en-CA"/>
        </w:rPr>
        <w:t xml:space="preserve"> </w:t>
      </w:r>
      <w:r w:rsidRPr="008A6C92">
        <w:rPr>
          <w:u w:val="single"/>
          <w:lang w:val="en-CA"/>
        </w:rPr>
        <w:t>mental disorder</w:t>
      </w:r>
      <w:r w:rsidR="00A959A6">
        <w:rPr>
          <w:lang w:val="en-CA"/>
        </w:rPr>
        <w:t>, whereas</w:t>
      </w:r>
      <w:r w:rsidRPr="0058310B">
        <w:rPr>
          <w:lang w:val="en-CA"/>
        </w:rPr>
        <w:t xml:space="preserve"> </w:t>
      </w:r>
      <w:r w:rsidR="00A959A6">
        <w:rPr>
          <w:lang w:val="en-CA"/>
        </w:rPr>
        <w:t>on</w:t>
      </w:r>
      <w:r w:rsidRPr="0058310B">
        <w:rPr>
          <w:lang w:val="en-CA"/>
        </w:rPr>
        <w:t xml:space="preserve"> cross-examination</w:t>
      </w:r>
      <w:r w:rsidR="00590D76">
        <w:rPr>
          <w:lang w:val="en-CA"/>
        </w:rPr>
        <w:t>,</w:t>
      </w:r>
      <w:r w:rsidRPr="0058310B">
        <w:rPr>
          <w:lang w:val="en-CA"/>
        </w:rPr>
        <w:t xml:space="preserve"> </w:t>
      </w:r>
      <w:r w:rsidR="006A02E2" w:rsidRPr="0058310B">
        <w:rPr>
          <w:lang w:val="en-CA"/>
        </w:rPr>
        <w:t>the psychiatrist d</w:t>
      </w:r>
      <w:r w:rsidR="006A02E2">
        <w:rPr>
          <w:lang w:val="en-CA"/>
        </w:rPr>
        <w:t>id</w:t>
      </w:r>
      <w:r w:rsidR="006A02E2" w:rsidRPr="0058310B">
        <w:rPr>
          <w:lang w:val="en-CA"/>
        </w:rPr>
        <w:t xml:space="preserve"> </w:t>
      </w:r>
      <w:r w:rsidRPr="0058310B">
        <w:rPr>
          <w:lang w:val="en-CA"/>
        </w:rPr>
        <w:t xml:space="preserve">not </w:t>
      </w:r>
      <w:r w:rsidR="00A959A6">
        <w:rPr>
          <w:lang w:val="en-CA"/>
        </w:rPr>
        <w:t>rule out</w:t>
      </w:r>
      <w:r w:rsidRPr="0058310B">
        <w:rPr>
          <w:lang w:val="en-CA"/>
        </w:rPr>
        <w:t xml:space="preserve"> </w:t>
      </w:r>
      <w:r w:rsidR="001055C9">
        <w:rPr>
          <w:lang w:val="en-CA"/>
        </w:rPr>
        <w:t>the possibility of</w:t>
      </w:r>
      <w:r w:rsidR="00DF3F3C">
        <w:rPr>
          <w:lang w:val="en-CA"/>
        </w:rPr>
        <w:t xml:space="preserve"> </w:t>
      </w:r>
      <w:r w:rsidR="00A959A6">
        <w:rPr>
          <w:lang w:val="en-CA"/>
        </w:rPr>
        <w:t>other explanations for</w:t>
      </w:r>
      <w:r w:rsidRPr="0058310B">
        <w:rPr>
          <w:lang w:val="en-CA"/>
        </w:rPr>
        <w:t xml:space="preserve"> all th</w:t>
      </w:r>
      <w:r w:rsidR="00510141">
        <w:rPr>
          <w:lang w:val="en-CA"/>
        </w:rPr>
        <w:t>is</w:t>
      </w:r>
      <w:r w:rsidR="00A959A6">
        <w:rPr>
          <w:lang w:val="en-CA"/>
        </w:rPr>
        <w:t xml:space="preserve"> conduct</w:t>
      </w:r>
      <w:r w:rsidRPr="0058310B">
        <w:rPr>
          <w:lang w:val="en-CA"/>
        </w:rPr>
        <w:t>. So that</w:t>
      </w:r>
      <w:r w:rsidR="00590D76">
        <w:rPr>
          <w:lang w:val="en-CA"/>
        </w:rPr>
        <w:t>’</w:t>
      </w:r>
      <w:r w:rsidRPr="0058310B">
        <w:rPr>
          <w:lang w:val="en-CA"/>
        </w:rPr>
        <w:t>s it</w:t>
      </w:r>
      <w:r w:rsidR="0022776D" w:rsidRPr="00856CD5">
        <w:rPr>
          <w:lang w:val="en-CA"/>
        </w:rPr>
        <w:t>.</w:t>
      </w:r>
    </w:p>
    <w:p w14:paraId="352FE13F" w14:textId="0817EE48" w:rsidR="00191E96" w:rsidRPr="00856CD5" w:rsidRDefault="00191E96" w:rsidP="000B6E2B">
      <w:pPr>
        <w:pStyle w:val="Citationenretrait"/>
        <w:spacing w:line="240" w:lineRule="auto"/>
        <w:jc w:val="right"/>
        <w:rPr>
          <w:lang w:val="en-CA"/>
        </w:rPr>
      </w:pPr>
      <w:r w:rsidRPr="00856CD5">
        <w:rPr>
          <w:lang w:val="en-CA"/>
        </w:rPr>
        <w:t>[</w:t>
      </w:r>
      <w:r w:rsidR="00A959A6">
        <w:rPr>
          <w:lang w:val="en-CA"/>
        </w:rPr>
        <w:t>Emphasis added</w:t>
      </w:r>
      <w:r w:rsidR="00590D76">
        <w:rPr>
          <w:lang w:val="en-CA"/>
        </w:rPr>
        <w:t>.</w:t>
      </w:r>
      <w:r w:rsidRPr="00856CD5">
        <w:rPr>
          <w:lang w:val="en-CA"/>
        </w:rPr>
        <w:t>]</w:t>
      </w:r>
    </w:p>
    <w:p w14:paraId="69140BC5" w14:textId="30D456AD" w:rsidR="0022776D" w:rsidRPr="00856CD5" w:rsidRDefault="00A4452A" w:rsidP="000B6E2B">
      <w:pPr>
        <w:numPr>
          <w:ilvl w:val="0"/>
          <w:numId w:val="18"/>
        </w:numPr>
        <w:spacing w:before="120" w:after="120" w:line="240" w:lineRule="auto"/>
        <w:jc w:val="both"/>
        <w:rPr>
          <w:rFonts w:cs="Arial"/>
          <w:kern w:val="28"/>
          <w:lang w:val="en-CA"/>
        </w:rPr>
      </w:pPr>
      <w:r w:rsidRPr="00A4452A">
        <w:rPr>
          <w:rFonts w:cs="Arial"/>
          <w:kern w:val="28"/>
          <w:lang w:val="en-CA"/>
        </w:rPr>
        <w:lastRenderedPageBreak/>
        <w:t xml:space="preserve">The </w:t>
      </w:r>
      <w:r w:rsidR="008A6C92">
        <w:rPr>
          <w:rFonts w:cs="Arial"/>
          <w:kern w:val="28"/>
          <w:lang w:val="en-CA"/>
        </w:rPr>
        <w:t>Crown</w:t>
      </w:r>
      <w:r w:rsidRPr="00A4452A">
        <w:rPr>
          <w:rFonts w:cs="Arial"/>
          <w:kern w:val="28"/>
          <w:lang w:val="en-CA"/>
        </w:rPr>
        <w:t xml:space="preserve"> then expressed </w:t>
      </w:r>
      <w:r>
        <w:rPr>
          <w:rFonts w:cs="Arial"/>
          <w:kern w:val="28"/>
          <w:lang w:val="en-CA"/>
        </w:rPr>
        <w:t>concern about</w:t>
      </w:r>
      <w:r w:rsidRPr="00A4452A">
        <w:rPr>
          <w:rFonts w:cs="Arial"/>
          <w:kern w:val="28"/>
          <w:lang w:val="en-CA"/>
        </w:rPr>
        <w:t xml:space="preserve"> the different applicable burdens and the need to make the necessary distinctions when giving instructions on the appellant</w:t>
      </w:r>
      <w:r w:rsidR="00590D76">
        <w:rPr>
          <w:rFonts w:cs="Arial"/>
          <w:kern w:val="28"/>
          <w:lang w:val="en-CA"/>
        </w:rPr>
        <w:t>’</w:t>
      </w:r>
      <w:r w:rsidRPr="00A4452A">
        <w:rPr>
          <w:rFonts w:cs="Arial"/>
          <w:kern w:val="28"/>
          <w:lang w:val="en-CA"/>
        </w:rPr>
        <w:t xml:space="preserve">s </w:t>
      </w:r>
      <w:r w:rsidR="00FC7AE8">
        <w:rPr>
          <w:rFonts w:cs="Arial"/>
          <w:kern w:val="28"/>
          <w:lang w:val="en-CA"/>
        </w:rPr>
        <w:t xml:space="preserve">post-homicide </w:t>
      </w:r>
      <w:r w:rsidR="004E603A">
        <w:rPr>
          <w:rFonts w:cs="Arial"/>
          <w:kern w:val="28"/>
          <w:lang w:val="en-CA"/>
        </w:rPr>
        <w:t>conduct</w:t>
      </w:r>
      <w:r w:rsidR="0022776D" w:rsidRPr="00856CD5">
        <w:rPr>
          <w:rFonts w:cs="Arial"/>
          <w:kern w:val="28"/>
          <w:lang w:val="en-CA"/>
        </w:rPr>
        <w:t>.</w:t>
      </w:r>
    </w:p>
    <w:p w14:paraId="4114769C" w14:textId="3966D6F8" w:rsidR="0022776D" w:rsidRPr="00856CD5" w:rsidRDefault="00A4452A" w:rsidP="000B6E2B">
      <w:pPr>
        <w:numPr>
          <w:ilvl w:val="0"/>
          <w:numId w:val="18"/>
        </w:numPr>
        <w:spacing w:before="120" w:after="120" w:line="240" w:lineRule="auto"/>
        <w:jc w:val="both"/>
        <w:rPr>
          <w:rFonts w:cs="Arial"/>
          <w:kern w:val="28"/>
          <w:lang w:val="en-CA"/>
        </w:rPr>
      </w:pPr>
      <w:r w:rsidRPr="00A4452A">
        <w:rPr>
          <w:rFonts w:cs="Arial"/>
          <w:kern w:val="28"/>
          <w:lang w:val="en-CA"/>
        </w:rPr>
        <w:t>This comment le</w:t>
      </w:r>
      <w:r>
        <w:rPr>
          <w:rFonts w:cs="Arial"/>
          <w:kern w:val="28"/>
          <w:lang w:val="en-CA"/>
        </w:rPr>
        <w:t xml:space="preserve">d </w:t>
      </w:r>
      <w:r w:rsidRPr="00A4452A">
        <w:rPr>
          <w:rFonts w:cs="Arial"/>
          <w:kern w:val="28"/>
          <w:lang w:val="en-CA"/>
        </w:rPr>
        <w:t xml:space="preserve">to the following clarifications </w:t>
      </w:r>
      <w:r w:rsidR="009C2586">
        <w:rPr>
          <w:rFonts w:cs="Arial"/>
          <w:kern w:val="28"/>
          <w:lang w:val="en-CA"/>
        </w:rPr>
        <w:t>by</w:t>
      </w:r>
      <w:r w:rsidR="009C2586" w:rsidRPr="00A4452A">
        <w:rPr>
          <w:rFonts w:cs="Arial"/>
          <w:kern w:val="28"/>
          <w:lang w:val="en-CA"/>
        </w:rPr>
        <w:t xml:space="preserve"> </w:t>
      </w:r>
      <w:r w:rsidRPr="00A4452A">
        <w:rPr>
          <w:rFonts w:cs="Arial"/>
          <w:kern w:val="28"/>
          <w:lang w:val="en-CA"/>
        </w:rPr>
        <w:t>the judge</w:t>
      </w:r>
      <w:r>
        <w:rPr>
          <w:rFonts w:cs="Arial"/>
          <w:kern w:val="28"/>
          <w:lang w:val="en-CA"/>
        </w:rPr>
        <w:t xml:space="preserve">, </w:t>
      </w:r>
      <w:r w:rsidRPr="00A4452A">
        <w:rPr>
          <w:rFonts w:cs="Arial"/>
          <w:kern w:val="28"/>
          <w:lang w:val="en-CA"/>
        </w:rPr>
        <w:t>which elicit</w:t>
      </w:r>
      <w:r>
        <w:rPr>
          <w:rFonts w:cs="Arial"/>
          <w:kern w:val="28"/>
          <w:lang w:val="en-CA"/>
        </w:rPr>
        <w:t>ed</w:t>
      </w:r>
      <w:r w:rsidRPr="00A4452A">
        <w:rPr>
          <w:rFonts w:cs="Arial"/>
          <w:kern w:val="28"/>
          <w:lang w:val="en-CA"/>
        </w:rPr>
        <w:t xml:space="preserve"> the agreement of the parties</w:t>
      </w:r>
      <w:r w:rsidR="0022776D" w:rsidRPr="00856CD5">
        <w:rPr>
          <w:rFonts w:cs="Arial"/>
          <w:kern w:val="28"/>
          <w:lang w:val="en-CA"/>
        </w:rPr>
        <w:t>:</w:t>
      </w:r>
    </w:p>
    <w:p w14:paraId="1D825D60" w14:textId="77777777" w:rsidR="00550229" w:rsidRDefault="00550229" w:rsidP="002F720A">
      <w:pPr>
        <w:spacing w:line="240" w:lineRule="auto"/>
        <w:ind w:left="720" w:right="720"/>
        <w:jc w:val="both"/>
        <w:rPr>
          <w:sz w:val="22"/>
          <w:szCs w:val="22"/>
          <w:lang w:val="en-CA"/>
        </w:rPr>
      </w:pPr>
    </w:p>
    <w:p w14:paraId="4EE3BB31" w14:textId="5D0DEA3C" w:rsidR="00E23C2D" w:rsidRPr="00590D76" w:rsidRDefault="00E23C2D" w:rsidP="002F720A">
      <w:pPr>
        <w:spacing w:line="240" w:lineRule="auto"/>
        <w:ind w:left="720" w:right="720"/>
        <w:jc w:val="both"/>
        <w:rPr>
          <w:sz w:val="22"/>
          <w:szCs w:val="22"/>
          <w:lang w:val="en-CA"/>
        </w:rPr>
      </w:pPr>
      <w:r w:rsidRPr="00B92A5F">
        <w:rPr>
          <w:rFonts w:cs="Arial"/>
          <w:sz w:val="22"/>
          <w:szCs w:val="22"/>
          <w:lang w:val="en-CA"/>
        </w:rPr>
        <w:t>[</w:t>
      </w:r>
      <w:r w:rsidR="00590D76">
        <w:rPr>
          <w:rFonts w:cs="Arial"/>
          <w:smallCaps/>
          <w:sz w:val="22"/>
          <w:szCs w:val="22"/>
          <w:lang w:val="en-CA"/>
        </w:rPr>
        <w:t>translation</w:t>
      </w:r>
      <w:r w:rsidRPr="00B92A5F">
        <w:rPr>
          <w:rFonts w:cs="Arial"/>
          <w:sz w:val="22"/>
          <w:szCs w:val="22"/>
          <w:lang w:val="en-CA"/>
        </w:rPr>
        <w:t>]</w:t>
      </w:r>
    </w:p>
    <w:p w14:paraId="09AEED75" w14:textId="77777777" w:rsidR="00E23C2D" w:rsidRDefault="00E23C2D" w:rsidP="002F720A">
      <w:pPr>
        <w:spacing w:line="240" w:lineRule="auto"/>
        <w:ind w:left="720" w:right="720"/>
        <w:jc w:val="both"/>
        <w:rPr>
          <w:sz w:val="22"/>
          <w:szCs w:val="22"/>
          <w:lang w:val="en-CA"/>
        </w:rPr>
      </w:pPr>
    </w:p>
    <w:p w14:paraId="12F50F38" w14:textId="11912E6E" w:rsidR="0022776D" w:rsidRPr="00856CD5" w:rsidRDefault="00A4452A" w:rsidP="002F720A">
      <w:pPr>
        <w:spacing w:line="240" w:lineRule="auto"/>
        <w:ind w:left="720" w:right="720"/>
        <w:jc w:val="both"/>
        <w:rPr>
          <w:sz w:val="22"/>
          <w:szCs w:val="22"/>
          <w:lang w:val="en-CA"/>
        </w:rPr>
      </w:pPr>
      <w:r>
        <w:rPr>
          <w:sz w:val="22"/>
          <w:szCs w:val="22"/>
          <w:lang w:val="en-CA"/>
        </w:rPr>
        <w:t>THE COURT</w:t>
      </w:r>
      <w:r w:rsidR="0022776D" w:rsidRPr="00856CD5">
        <w:rPr>
          <w:sz w:val="22"/>
          <w:szCs w:val="22"/>
          <w:lang w:val="en-CA"/>
        </w:rPr>
        <w:t>:</w:t>
      </w:r>
    </w:p>
    <w:p w14:paraId="70A08574" w14:textId="77777777" w:rsidR="006C022A" w:rsidRDefault="006C022A" w:rsidP="002F720A">
      <w:pPr>
        <w:spacing w:line="240" w:lineRule="auto"/>
        <w:ind w:left="720" w:right="720"/>
        <w:jc w:val="both"/>
        <w:rPr>
          <w:sz w:val="22"/>
          <w:szCs w:val="22"/>
          <w:lang w:val="en-CA"/>
        </w:rPr>
      </w:pPr>
    </w:p>
    <w:p w14:paraId="5E558520" w14:textId="1DD386EA" w:rsidR="0022776D" w:rsidRPr="00856CD5" w:rsidRDefault="00A4452A" w:rsidP="002F720A">
      <w:pPr>
        <w:spacing w:line="240" w:lineRule="auto"/>
        <w:ind w:left="720" w:right="720"/>
        <w:jc w:val="both"/>
        <w:rPr>
          <w:sz w:val="22"/>
          <w:szCs w:val="22"/>
          <w:lang w:val="en-CA"/>
        </w:rPr>
      </w:pPr>
      <w:r w:rsidRPr="00A4452A">
        <w:rPr>
          <w:sz w:val="22"/>
          <w:szCs w:val="22"/>
          <w:lang w:val="en-CA"/>
        </w:rPr>
        <w:t xml:space="preserve">No, when I get to the mental </w:t>
      </w:r>
      <w:r w:rsidR="008A6C92">
        <w:rPr>
          <w:sz w:val="22"/>
          <w:szCs w:val="22"/>
          <w:lang w:val="en-CA"/>
        </w:rPr>
        <w:t>disorder</w:t>
      </w:r>
      <w:r w:rsidR="00F63823">
        <w:rPr>
          <w:sz w:val="22"/>
          <w:szCs w:val="22"/>
          <w:lang w:val="en-CA"/>
        </w:rPr>
        <w:t xml:space="preserve"> </w:t>
      </w:r>
      <w:r w:rsidRPr="00A4452A">
        <w:rPr>
          <w:sz w:val="22"/>
          <w:szCs w:val="22"/>
          <w:lang w:val="en-CA"/>
        </w:rPr>
        <w:t>...</w:t>
      </w:r>
      <w:r>
        <w:rPr>
          <w:sz w:val="22"/>
          <w:szCs w:val="22"/>
          <w:lang w:val="en-CA"/>
        </w:rPr>
        <w:t xml:space="preserve"> </w:t>
      </w:r>
      <w:r w:rsidRPr="00A4452A">
        <w:rPr>
          <w:sz w:val="22"/>
          <w:szCs w:val="22"/>
          <w:lang w:val="en-CA"/>
        </w:rPr>
        <w:t>Just give me a second. It</w:t>
      </w:r>
      <w:r w:rsidR="00F63823">
        <w:rPr>
          <w:sz w:val="22"/>
          <w:szCs w:val="22"/>
          <w:lang w:val="en-CA"/>
        </w:rPr>
        <w:t>’</w:t>
      </w:r>
      <w:r w:rsidRPr="00A4452A">
        <w:rPr>
          <w:sz w:val="22"/>
          <w:szCs w:val="22"/>
          <w:lang w:val="en-CA"/>
        </w:rPr>
        <w:t xml:space="preserve">s like a </w:t>
      </w:r>
      <w:r w:rsidR="00C8484A">
        <w:rPr>
          <w:sz w:val="22"/>
          <w:szCs w:val="22"/>
          <w:lang w:val="en-CA"/>
        </w:rPr>
        <w:t>warning</w:t>
      </w:r>
      <w:r w:rsidRPr="00A4452A">
        <w:rPr>
          <w:sz w:val="22"/>
          <w:szCs w:val="22"/>
          <w:lang w:val="en-CA"/>
        </w:rPr>
        <w:t xml:space="preserve"> that I</w:t>
      </w:r>
      <w:r w:rsidR="00F63823">
        <w:rPr>
          <w:sz w:val="22"/>
          <w:szCs w:val="22"/>
          <w:lang w:val="en-CA"/>
        </w:rPr>
        <w:t>’</w:t>
      </w:r>
      <w:r w:rsidRPr="00A4452A">
        <w:rPr>
          <w:sz w:val="22"/>
          <w:szCs w:val="22"/>
          <w:lang w:val="en-CA"/>
        </w:rPr>
        <w:t xml:space="preserve">m going to give them </w:t>
      </w:r>
      <w:r>
        <w:rPr>
          <w:sz w:val="22"/>
          <w:szCs w:val="22"/>
          <w:lang w:val="en-CA"/>
        </w:rPr>
        <w:t xml:space="preserve">that </w:t>
      </w:r>
      <w:r w:rsidRPr="00A4452A">
        <w:rPr>
          <w:sz w:val="22"/>
          <w:szCs w:val="22"/>
          <w:lang w:val="en-CA"/>
        </w:rPr>
        <w:t xml:space="preserve">for </w:t>
      </w:r>
      <w:r>
        <w:rPr>
          <w:sz w:val="22"/>
          <w:szCs w:val="22"/>
          <w:lang w:val="en-CA"/>
        </w:rPr>
        <w:t xml:space="preserve">the </w:t>
      </w:r>
      <w:r w:rsidRPr="00A4452A">
        <w:rPr>
          <w:sz w:val="22"/>
          <w:szCs w:val="22"/>
          <w:lang w:val="en-CA"/>
        </w:rPr>
        <w:t>post-offen</w:t>
      </w:r>
      <w:r>
        <w:rPr>
          <w:sz w:val="22"/>
          <w:szCs w:val="22"/>
          <w:lang w:val="en-CA"/>
        </w:rPr>
        <w:t>c</w:t>
      </w:r>
      <w:r w:rsidRPr="00A4452A">
        <w:rPr>
          <w:sz w:val="22"/>
          <w:szCs w:val="22"/>
          <w:lang w:val="en-CA"/>
        </w:rPr>
        <w:t xml:space="preserve">e </w:t>
      </w:r>
      <w:r>
        <w:rPr>
          <w:sz w:val="22"/>
          <w:szCs w:val="22"/>
          <w:lang w:val="en-CA"/>
        </w:rPr>
        <w:t>conduct</w:t>
      </w:r>
      <w:r w:rsidR="00F63823">
        <w:rPr>
          <w:sz w:val="22"/>
          <w:szCs w:val="22"/>
          <w:lang w:val="en-CA"/>
        </w:rPr>
        <w:t>,</w:t>
      </w:r>
      <w:r w:rsidRPr="00A4452A">
        <w:rPr>
          <w:sz w:val="22"/>
          <w:szCs w:val="22"/>
          <w:lang w:val="en-CA"/>
        </w:rPr>
        <w:t xml:space="preserve"> </w:t>
      </w:r>
      <w:r w:rsidR="00F63823">
        <w:rPr>
          <w:sz w:val="22"/>
          <w:szCs w:val="22"/>
          <w:lang w:val="en-CA"/>
        </w:rPr>
        <w:t xml:space="preserve">that </w:t>
      </w:r>
      <w:r w:rsidRPr="00A4452A">
        <w:rPr>
          <w:sz w:val="22"/>
          <w:szCs w:val="22"/>
          <w:lang w:val="en-CA"/>
        </w:rPr>
        <w:t>there can be two interpretations and that I</w:t>
      </w:r>
      <w:r w:rsidR="00F63823">
        <w:rPr>
          <w:sz w:val="22"/>
          <w:szCs w:val="22"/>
          <w:lang w:val="en-CA"/>
        </w:rPr>
        <w:t>’</w:t>
      </w:r>
      <w:r w:rsidRPr="00A4452A">
        <w:rPr>
          <w:sz w:val="22"/>
          <w:szCs w:val="22"/>
          <w:lang w:val="en-CA"/>
        </w:rPr>
        <w:t xml:space="preserve">m going to </w:t>
      </w:r>
      <w:r w:rsidR="001055C9">
        <w:rPr>
          <w:sz w:val="22"/>
          <w:szCs w:val="22"/>
          <w:lang w:val="en-CA"/>
        </w:rPr>
        <w:t>return</w:t>
      </w:r>
      <w:r w:rsidRPr="00A4452A">
        <w:rPr>
          <w:sz w:val="22"/>
          <w:szCs w:val="22"/>
          <w:lang w:val="en-CA"/>
        </w:rPr>
        <w:t xml:space="preserve">, during the </w:t>
      </w:r>
      <w:r w:rsidR="00F63823">
        <w:rPr>
          <w:sz w:val="22"/>
          <w:szCs w:val="22"/>
          <w:lang w:val="en-CA"/>
        </w:rPr>
        <w:t xml:space="preserve">instructions on </w:t>
      </w:r>
      <w:r w:rsidRPr="00A4452A">
        <w:rPr>
          <w:sz w:val="22"/>
          <w:szCs w:val="22"/>
          <w:lang w:val="en-CA"/>
        </w:rPr>
        <w:t xml:space="preserve">mental disorder, </w:t>
      </w:r>
      <w:r>
        <w:rPr>
          <w:sz w:val="22"/>
          <w:szCs w:val="22"/>
          <w:lang w:val="en-CA"/>
        </w:rPr>
        <w:t>to</w:t>
      </w:r>
      <w:r w:rsidRPr="00A4452A">
        <w:rPr>
          <w:sz w:val="22"/>
          <w:szCs w:val="22"/>
          <w:lang w:val="en-CA"/>
        </w:rPr>
        <w:t xml:space="preserve"> </w:t>
      </w:r>
      <w:r w:rsidR="00F63823">
        <w:rPr>
          <w:sz w:val="22"/>
          <w:szCs w:val="22"/>
          <w:lang w:val="en-CA"/>
        </w:rPr>
        <w:t>this</w:t>
      </w:r>
      <w:r w:rsidRPr="00A4452A">
        <w:rPr>
          <w:sz w:val="22"/>
          <w:szCs w:val="22"/>
          <w:lang w:val="en-CA"/>
        </w:rPr>
        <w:t xml:space="preserve"> post-offen</w:t>
      </w:r>
      <w:r>
        <w:rPr>
          <w:sz w:val="22"/>
          <w:szCs w:val="22"/>
          <w:lang w:val="en-CA"/>
        </w:rPr>
        <w:t>c</w:t>
      </w:r>
      <w:r w:rsidRPr="00A4452A">
        <w:rPr>
          <w:sz w:val="22"/>
          <w:szCs w:val="22"/>
          <w:lang w:val="en-CA"/>
        </w:rPr>
        <w:t xml:space="preserve">e </w:t>
      </w:r>
      <w:r w:rsidR="001055C9">
        <w:rPr>
          <w:sz w:val="22"/>
          <w:szCs w:val="22"/>
          <w:lang w:val="en-CA"/>
        </w:rPr>
        <w:t>evidence</w:t>
      </w:r>
      <w:r w:rsidRPr="00A4452A">
        <w:rPr>
          <w:sz w:val="22"/>
          <w:szCs w:val="22"/>
          <w:lang w:val="en-CA"/>
        </w:rPr>
        <w:t xml:space="preserve">, but that they </w:t>
      </w:r>
      <w:r>
        <w:rPr>
          <w:sz w:val="22"/>
          <w:szCs w:val="22"/>
          <w:lang w:val="en-CA"/>
        </w:rPr>
        <w:t xml:space="preserve">should </w:t>
      </w:r>
      <w:r w:rsidRPr="00A4452A">
        <w:rPr>
          <w:sz w:val="22"/>
          <w:szCs w:val="22"/>
          <w:lang w:val="en-CA"/>
        </w:rPr>
        <w:t xml:space="preserve">keep in mind that this </w:t>
      </w:r>
      <w:r>
        <w:rPr>
          <w:sz w:val="22"/>
          <w:szCs w:val="22"/>
          <w:lang w:val="en-CA"/>
        </w:rPr>
        <w:t>conduct</w:t>
      </w:r>
      <w:r w:rsidRPr="00A4452A">
        <w:rPr>
          <w:sz w:val="22"/>
          <w:szCs w:val="22"/>
          <w:lang w:val="en-CA"/>
        </w:rPr>
        <w:t xml:space="preserve"> is not only </w:t>
      </w:r>
      <w:r w:rsidR="005F5C33">
        <w:rPr>
          <w:sz w:val="22"/>
          <w:szCs w:val="22"/>
          <w:lang w:val="en-CA"/>
        </w:rPr>
        <w:t>for</w:t>
      </w:r>
      <w:r w:rsidRPr="00A4452A">
        <w:rPr>
          <w:sz w:val="22"/>
          <w:szCs w:val="22"/>
          <w:lang w:val="en-CA"/>
        </w:rPr>
        <w:t xml:space="preserve"> the Crown</w:t>
      </w:r>
      <w:r>
        <w:rPr>
          <w:sz w:val="22"/>
          <w:szCs w:val="22"/>
          <w:lang w:val="en-CA"/>
        </w:rPr>
        <w:t>’s</w:t>
      </w:r>
      <w:r w:rsidRPr="00A4452A">
        <w:rPr>
          <w:sz w:val="22"/>
          <w:szCs w:val="22"/>
          <w:lang w:val="en-CA"/>
        </w:rPr>
        <w:t xml:space="preserve"> </w:t>
      </w:r>
      <w:r w:rsidR="008A6C92">
        <w:rPr>
          <w:sz w:val="22"/>
          <w:szCs w:val="22"/>
          <w:lang w:val="en-CA"/>
        </w:rPr>
        <w:t>theory</w:t>
      </w:r>
      <w:r w:rsidRPr="00A4452A">
        <w:rPr>
          <w:sz w:val="22"/>
          <w:szCs w:val="22"/>
          <w:lang w:val="en-CA"/>
        </w:rPr>
        <w:t xml:space="preserve">, nor is it only for the </w:t>
      </w:r>
      <w:r>
        <w:rPr>
          <w:sz w:val="22"/>
          <w:szCs w:val="22"/>
          <w:lang w:val="en-CA"/>
        </w:rPr>
        <w:t>defence’s</w:t>
      </w:r>
      <w:r w:rsidRPr="00A4452A">
        <w:rPr>
          <w:sz w:val="22"/>
          <w:szCs w:val="22"/>
          <w:lang w:val="en-CA"/>
        </w:rPr>
        <w:t xml:space="preserve"> </w:t>
      </w:r>
      <w:r w:rsidR="008A6C92">
        <w:rPr>
          <w:sz w:val="22"/>
          <w:szCs w:val="22"/>
          <w:lang w:val="en-CA"/>
        </w:rPr>
        <w:t>theory</w:t>
      </w:r>
      <w:r w:rsidR="0022776D" w:rsidRPr="00856CD5">
        <w:rPr>
          <w:sz w:val="22"/>
          <w:szCs w:val="22"/>
          <w:lang w:val="en-CA"/>
        </w:rPr>
        <w:t>.</w:t>
      </w:r>
    </w:p>
    <w:p w14:paraId="11E0F5CB" w14:textId="77777777" w:rsidR="0022776D" w:rsidRPr="00856CD5" w:rsidRDefault="0022776D" w:rsidP="002F720A">
      <w:pPr>
        <w:spacing w:line="240" w:lineRule="auto"/>
        <w:ind w:left="720" w:right="720"/>
        <w:jc w:val="both"/>
        <w:rPr>
          <w:sz w:val="22"/>
          <w:szCs w:val="22"/>
          <w:lang w:val="en-CA"/>
        </w:rPr>
      </w:pPr>
    </w:p>
    <w:p w14:paraId="7E422610" w14:textId="7A21E6E0" w:rsidR="0022776D" w:rsidRPr="00856CD5" w:rsidRDefault="0022776D" w:rsidP="002F720A">
      <w:pPr>
        <w:spacing w:line="240" w:lineRule="auto"/>
        <w:ind w:left="720" w:right="720"/>
        <w:jc w:val="both"/>
        <w:rPr>
          <w:sz w:val="22"/>
          <w:szCs w:val="22"/>
          <w:lang w:val="en-CA"/>
        </w:rPr>
      </w:pPr>
      <w:r w:rsidRPr="00856CD5">
        <w:rPr>
          <w:sz w:val="22"/>
          <w:szCs w:val="22"/>
          <w:lang w:val="en-CA"/>
        </w:rPr>
        <w:t>…</w:t>
      </w:r>
    </w:p>
    <w:p w14:paraId="4ABB324B" w14:textId="77777777" w:rsidR="0022776D" w:rsidRPr="00856CD5" w:rsidRDefault="0022776D" w:rsidP="002F720A">
      <w:pPr>
        <w:spacing w:line="240" w:lineRule="auto"/>
        <w:ind w:left="720" w:right="720"/>
        <w:jc w:val="both"/>
        <w:rPr>
          <w:sz w:val="22"/>
          <w:szCs w:val="22"/>
          <w:lang w:val="en-CA"/>
        </w:rPr>
      </w:pPr>
    </w:p>
    <w:p w14:paraId="0A85321A" w14:textId="052A5890" w:rsidR="0022776D" w:rsidRDefault="00A4452A" w:rsidP="002F720A">
      <w:pPr>
        <w:spacing w:line="240" w:lineRule="auto"/>
        <w:ind w:left="720" w:right="720"/>
        <w:jc w:val="both"/>
        <w:rPr>
          <w:sz w:val="22"/>
          <w:szCs w:val="22"/>
          <w:lang w:val="en-CA"/>
        </w:rPr>
      </w:pPr>
      <w:r>
        <w:rPr>
          <w:sz w:val="22"/>
          <w:szCs w:val="22"/>
          <w:lang w:val="en-CA"/>
        </w:rPr>
        <w:t>THE COURT</w:t>
      </w:r>
      <w:r w:rsidR="0022776D" w:rsidRPr="00856CD5">
        <w:rPr>
          <w:sz w:val="22"/>
          <w:szCs w:val="22"/>
          <w:lang w:val="en-CA"/>
        </w:rPr>
        <w:t>:</w:t>
      </w:r>
    </w:p>
    <w:p w14:paraId="671D97F4" w14:textId="77777777" w:rsidR="00550229" w:rsidRDefault="00550229" w:rsidP="002F720A">
      <w:pPr>
        <w:spacing w:line="240" w:lineRule="auto"/>
        <w:ind w:left="720" w:right="720"/>
        <w:jc w:val="both"/>
        <w:rPr>
          <w:sz w:val="22"/>
          <w:szCs w:val="22"/>
          <w:lang w:val="en-CA"/>
        </w:rPr>
      </w:pPr>
    </w:p>
    <w:p w14:paraId="4FE92B04" w14:textId="60888BDB" w:rsidR="0022776D" w:rsidRPr="00856CD5" w:rsidRDefault="00852495" w:rsidP="002F720A">
      <w:pPr>
        <w:spacing w:line="240" w:lineRule="auto"/>
        <w:ind w:left="720" w:right="720"/>
        <w:jc w:val="both"/>
        <w:rPr>
          <w:sz w:val="22"/>
          <w:szCs w:val="22"/>
          <w:lang w:val="en-CA"/>
        </w:rPr>
      </w:pPr>
      <w:r>
        <w:rPr>
          <w:sz w:val="22"/>
          <w:szCs w:val="22"/>
          <w:lang w:val="en-CA"/>
        </w:rPr>
        <w:t xml:space="preserve">That’s fine. </w:t>
      </w:r>
      <w:r w:rsidRPr="00852495">
        <w:rPr>
          <w:sz w:val="22"/>
          <w:szCs w:val="22"/>
          <w:lang w:val="en-CA"/>
        </w:rPr>
        <w:t>So, I</w:t>
      </w:r>
      <w:r w:rsidR="00A57E47">
        <w:rPr>
          <w:sz w:val="22"/>
          <w:szCs w:val="22"/>
          <w:lang w:val="en-CA"/>
        </w:rPr>
        <w:t>’</w:t>
      </w:r>
      <w:r w:rsidRPr="00852495">
        <w:rPr>
          <w:sz w:val="22"/>
          <w:szCs w:val="22"/>
          <w:lang w:val="en-CA"/>
        </w:rPr>
        <w:t>ll give it general</w:t>
      </w:r>
      <w:r w:rsidR="008A6C92">
        <w:rPr>
          <w:sz w:val="22"/>
          <w:szCs w:val="22"/>
          <w:lang w:val="en-CA"/>
        </w:rPr>
        <w:t>ly</w:t>
      </w:r>
      <w:r w:rsidRPr="00852495">
        <w:rPr>
          <w:sz w:val="22"/>
          <w:szCs w:val="22"/>
          <w:lang w:val="en-CA"/>
        </w:rPr>
        <w:t>. I</w:t>
      </w:r>
      <w:r w:rsidR="00A57E47">
        <w:rPr>
          <w:sz w:val="22"/>
          <w:szCs w:val="22"/>
          <w:lang w:val="en-CA"/>
        </w:rPr>
        <w:t>’</w:t>
      </w:r>
      <w:r>
        <w:rPr>
          <w:sz w:val="22"/>
          <w:szCs w:val="22"/>
          <w:lang w:val="en-CA"/>
        </w:rPr>
        <w:t>ll</w:t>
      </w:r>
      <w:r w:rsidRPr="00852495">
        <w:rPr>
          <w:sz w:val="22"/>
          <w:szCs w:val="22"/>
          <w:lang w:val="en-CA"/>
        </w:rPr>
        <w:t xml:space="preserve"> </w:t>
      </w:r>
      <w:r>
        <w:rPr>
          <w:sz w:val="22"/>
          <w:szCs w:val="22"/>
          <w:lang w:val="en-CA"/>
        </w:rPr>
        <w:t>focus on</w:t>
      </w:r>
      <w:r w:rsidRPr="00852495">
        <w:rPr>
          <w:sz w:val="22"/>
          <w:szCs w:val="22"/>
          <w:lang w:val="en-CA"/>
        </w:rPr>
        <w:t xml:space="preserve"> </w:t>
      </w:r>
      <w:r>
        <w:rPr>
          <w:sz w:val="22"/>
          <w:szCs w:val="22"/>
          <w:lang w:val="en-CA"/>
        </w:rPr>
        <w:t xml:space="preserve">the </w:t>
      </w:r>
      <w:r w:rsidRPr="00852495">
        <w:rPr>
          <w:sz w:val="22"/>
          <w:szCs w:val="22"/>
          <w:lang w:val="en-CA"/>
        </w:rPr>
        <w:t>post-</w:t>
      </w:r>
      <w:r>
        <w:rPr>
          <w:sz w:val="22"/>
          <w:szCs w:val="22"/>
          <w:lang w:val="en-CA"/>
        </w:rPr>
        <w:t>offence</w:t>
      </w:r>
      <w:r w:rsidRPr="00852495">
        <w:rPr>
          <w:sz w:val="22"/>
          <w:szCs w:val="22"/>
          <w:lang w:val="en-CA"/>
        </w:rPr>
        <w:t xml:space="preserve"> </w:t>
      </w:r>
      <w:r>
        <w:rPr>
          <w:sz w:val="22"/>
          <w:szCs w:val="22"/>
          <w:lang w:val="en-CA"/>
        </w:rPr>
        <w:t>conduct</w:t>
      </w:r>
      <w:r w:rsidRPr="00852495">
        <w:rPr>
          <w:sz w:val="22"/>
          <w:szCs w:val="22"/>
          <w:lang w:val="en-CA"/>
        </w:rPr>
        <w:t>, but tell them</w:t>
      </w:r>
      <w:r>
        <w:rPr>
          <w:sz w:val="22"/>
          <w:szCs w:val="22"/>
          <w:lang w:val="en-CA"/>
        </w:rPr>
        <w:t xml:space="preserve">, however, to </w:t>
      </w:r>
      <w:r w:rsidR="001055C9">
        <w:rPr>
          <w:sz w:val="22"/>
          <w:szCs w:val="22"/>
          <w:lang w:val="en-CA"/>
        </w:rPr>
        <w:t>bear</w:t>
      </w:r>
      <w:r w:rsidR="001055C9" w:rsidRPr="00852495">
        <w:rPr>
          <w:sz w:val="22"/>
          <w:szCs w:val="22"/>
          <w:lang w:val="en-CA"/>
        </w:rPr>
        <w:t xml:space="preserve"> </w:t>
      </w:r>
      <w:r w:rsidRPr="00852495">
        <w:rPr>
          <w:sz w:val="22"/>
          <w:szCs w:val="22"/>
          <w:lang w:val="en-CA"/>
        </w:rPr>
        <w:t xml:space="preserve">in mind that these are circumstantial elements, that they take, that they can </w:t>
      </w:r>
      <w:r w:rsidR="00A57E47">
        <w:rPr>
          <w:sz w:val="22"/>
          <w:szCs w:val="22"/>
          <w:lang w:val="en-CA"/>
        </w:rPr>
        <w:t xml:space="preserve">take into </w:t>
      </w:r>
      <w:r w:rsidR="009A6B10">
        <w:rPr>
          <w:sz w:val="22"/>
          <w:szCs w:val="22"/>
          <w:lang w:val="en-CA"/>
        </w:rPr>
        <w:t>consider</w:t>
      </w:r>
      <w:r w:rsidR="00A57E47">
        <w:rPr>
          <w:sz w:val="22"/>
          <w:szCs w:val="22"/>
          <w:lang w:val="en-CA"/>
        </w:rPr>
        <w:t>ation</w:t>
      </w:r>
      <w:r>
        <w:rPr>
          <w:sz w:val="22"/>
          <w:szCs w:val="22"/>
          <w:lang w:val="en-CA"/>
        </w:rPr>
        <w:t xml:space="preserve"> with regard to</w:t>
      </w:r>
      <w:r w:rsidR="00A57E47">
        <w:rPr>
          <w:sz w:val="22"/>
          <w:szCs w:val="22"/>
          <w:lang w:val="en-CA"/>
        </w:rPr>
        <w:t xml:space="preserve"> </w:t>
      </w:r>
      <w:r w:rsidRPr="00852495">
        <w:rPr>
          <w:sz w:val="22"/>
          <w:szCs w:val="22"/>
          <w:lang w:val="en-CA"/>
        </w:rPr>
        <w:t xml:space="preserve">... </w:t>
      </w:r>
      <w:r w:rsidR="00A57E47">
        <w:rPr>
          <w:sz w:val="22"/>
          <w:szCs w:val="22"/>
          <w:lang w:val="en-CA"/>
        </w:rPr>
        <w:t>regarding</w:t>
      </w:r>
      <w:r>
        <w:rPr>
          <w:sz w:val="22"/>
          <w:szCs w:val="22"/>
          <w:lang w:val="en-CA"/>
        </w:rPr>
        <w:t xml:space="preserve"> the</w:t>
      </w:r>
      <w:r w:rsidRPr="00852495">
        <w:rPr>
          <w:sz w:val="22"/>
          <w:szCs w:val="22"/>
          <w:lang w:val="en-CA"/>
        </w:rPr>
        <w:t xml:space="preserve"> accused</w:t>
      </w:r>
      <w:r>
        <w:rPr>
          <w:sz w:val="22"/>
          <w:szCs w:val="22"/>
          <w:lang w:val="en-CA"/>
        </w:rPr>
        <w:t>’s intent</w:t>
      </w:r>
      <w:r w:rsidRPr="00852495">
        <w:rPr>
          <w:sz w:val="22"/>
          <w:szCs w:val="22"/>
          <w:lang w:val="en-CA"/>
        </w:rPr>
        <w:t xml:space="preserve">, </w:t>
      </w:r>
      <w:r w:rsidR="00A6019D">
        <w:rPr>
          <w:sz w:val="22"/>
          <w:szCs w:val="22"/>
          <w:lang w:val="en-CA"/>
        </w:rPr>
        <w:t>planning</w:t>
      </w:r>
      <w:r w:rsidRPr="00852495">
        <w:rPr>
          <w:sz w:val="22"/>
          <w:szCs w:val="22"/>
          <w:lang w:val="en-CA"/>
        </w:rPr>
        <w:t xml:space="preserve">, but that they </w:t>
      </w:r>
      <w:r>
        <w:rPr>
          <w:sz w:val="22"/>
          <w:szCs w:val="22"/>
          <w:lang w:val="en-CA"/>
        </w:rPr>
        <w:t>should consider</w:t>
      </w:r>
      <w:r w:rsidRPr="00852495">
        <w:rPr>
          <w:sz w:val="22"/>
          <w:szCs w:val="22"/>
          <w:lang w:val="en-CA"/>
        </w:rPr>
        <w:t xml:space="preserve"> when </w:t>
      </w:r>
      <w:r>
        <w:rPr>
          <w:sz w:val="22"/>
          <w:szCs w:val="22"/>
          <w:lang w:val="en-CA"/>
        </w:rPr>
        <w:t>assess</w:t>
      </w:r>
      <w:r w:rsidR="001055C9">
        <w:rPr>
          <w:sz w:val="22"/>
          <w:szCs w:val="22"/>
          <w:lang w:val="en-CA"/>
        </w:rPr>
        <w:t>ing</w:t>
      </w:r>
      <w:r w:rsidRPr="00852495">
        <w:rPr>
          <w:sz w:val="22"/>
          <w:szCs w:val="22"/>
          <w:lang w:val="en-CA"/>
        </w:rPr>
        <w:t xml:space="preserve"> all the evidence, </w:t>
      </w:r>
      <w:r>
        <w:rPr>
          <w:sz w:val="22"/>
          <w:szCs w:val="22"/>
          <w:lang w:val="en-CA"/>
        </w:rPr>
        <w:t>whether</w:t>
      </w:r>
      <w:r w:rsidR="00F05AF7">
        <w:rPr>
          <w:sz w:val="22"/>
          <w:szCs w:val="22"/>
          <w:lang w:val="en-CA"/>
        </w:rPr>
        <w:t xml:space="preserve"> it </w:t>
      </w:r>
      <w:r w:rsidR="005F5C33">
        <w:rPr>
          <w:sz w:val="22"/>
          <w:szCs w:val="22"/>
          <w:lang w:val="en-CA"/>
        </w:rPr>
        <w:t>is</w:t>
      </w:r>
      <w:r w:rsidR="00A57E47">
        <w:rPr>
          <w:sz w:val="22"/>
          <w:szCs w:val="22"/>
          <w:lang w:val="en-CA"/>
        </w:rPr>
        <w:t xml:space="preserve"> </w:t>
      </w:r>
      <w:r w:rsidRPr="00852495">
        <w:rPr>
          <w:sz w:val="22"/>
          <w:szCs w:val="22"/>
          <w:lang w:val="en-CA"/>
        </w:rPr>
        <w:t xml:space="preserve">... it can </w:t>
      </w:r>
      <w:r w:rsidR="00132E3C">
        <w:rPr>
          <w:sz w:val="22"/>
          <w:szCs w:val="22"/>
          <w:lang w:val="en-CA"/>
        </w:rPr>
        <w:t xml:space="preserve">also </w:t>
      </w:r>
      <w:r w:rsidR="005F5C33">
        <w:rPr>
          <w:sz w:val="22"/>
          <w:szCs w:val="22"/>
          <w:lang w:val="en-CA"/>
        </w:rPr>
        <w:t>be consistent with</w:t>
      </w:r>
      <w:r w:rsidR="00132E3C">
        <w:rPr>
          <w:sz w:val="22"/>
          <w:szCs w:val="22"/>
          <w:lang w:val="en-CA"/>
        </w:rPr>
        <w:t xml:space="preserve"> murder</w:t>
      </w:r>
      <w:r w:rsidRPr="00852495">
        <w:rPr>
          <w:sz w:val="22"/>
          <w:szCs w:val="22"/>
          <w:lang w:val="en-CA"/>
        </w:rPr>
        <w:t>. But, basically, it</w:t>
      </w:r>
      <w:r w:rsidR="00A57E47">
        <w:rPr>
          <w:sz w:val="22"/>
          <w:szCs w:val="22"/>
          <w:lang w:val="en-CA"/>
        </w:rPr>
        <w:t>’</w:t>
      </w:r>
      <w:r w:rsidRPr="00852495">
        <w:rPr>
          <w:sz w:val="22"/>
          <w:szCs w:val="22"/>
          <w:lang w:val="en-CA"/>
        </w:rPr>
        <w:t xml:space="preserve">s </w:t>
      </w:r>
      <w:r w:rsidR="00132E3C">
        <w:rPr>
          <w:sz w:val="22"/>
          <w:szCs w:val="22"/>
          <w:lang w:val="en-CA"/>
        </w:rPr>
        <w:t xml:space="preserve">first degree </w:t>
      </w:r>
      <w:r w:rsidRPr="00852495">
        <w:rPr>
          <w:sz w:val="22"/>
          <w:szCs w:val="22"/>
          <w:lang w:val="en-CA"/>
        </w:rPr>
        <w:t>murder</w:t>
      </w:r>
      <w:r w:rsidR="00132E3C">
        <w:rPr>
          <w:sz w:val="22"/>
          <w:szCs w:val="22"/>
          <w:lang w:val="en-CA"/>
        </w:rPr>
        <w:t>, second degree murder</w:t>
      </w:r>
      <w:r w:rsidR="00A57E47">
        <w:rPr>
          <w:sz w:val="22"/>
          <w:szCs w:val="22"/>
          <w:lang w:val="en-CA"/>
        </w:rPr>
        <w:t>,</w:t>
      </w:r>
      <w:r w:rsidRPr="00852495">
        <w:rPr>
          <w:sz w:val="22"/>
          <w:szCs w:val="22"/>
          <w:lang w:val="en-CA"/>
        </w:rPr>
        <w:t xml:space="preserve"> or homicide</w:t>
      </w:r>
      <w:r w:rsidR="00132E3C">
        <w:rPr>
          <w:sz w:val="22"/>
          <w:szCs w:val="22"/>
          <w:lang w:val="en-CA"/>
        </w:rPr>
        <w:t>.</w:t>
      </w:r>
    </w:p>
    <w:p w14:paraId="3F24087A" w14:textId="77777777" w:rsidR="0022776D" w:rsidRPr="00856CD5" w:rsidRDefault="0022776D" w:rsidP="002F720A">
      <w:pPr>
        <w:spacing w:line="240" w:lineRule="auto"/>
        <w:ind w:left="720" w:right="720"/>
        <w:jc w:val="both"/>
        <w:rPr>
          <w:sz w:val="22"/>
          <w:szCs w:val="22"/>
          <w:lang w:val="en-CA"/>
        </w:rPr>
      </w:pPr>
    </w:p>
    <w:p w14:paraId="27F02481" w14:textId="1913959B" w:rsidR="0022776D" w:rsidRPr="00856CD5" w:rsidRDefault="006C022A" w:rsidP="002F720A">
      <w:pPr>
        <w:spacing w:line="240" w:lineRule="auto"/>
        <w:ind w:left="720" w:right="720"/>
        <w:jc w:val="both"/>
        <w:rPr>
          <w:sz w:val="22"/>
          <w:szCs w:val="22"/>
          <w:lang w:val="en-CA"/>
        </w:rPr>
      </w:pPr>
      <w:r w:rsidRPr="00856CD5">
        <w:rPr>
          <w:sz w:val="22"/>
          <w:szCs w:val="22"/>
          <w:lang w:val="en-CA"/>
        </w:rPr>
        <w:t>…</w:t>
      </w:r>
    </w:p>
    <w:p w14:paraId="42B53597" w14:textId="77777777" w:rsidR="0022776D" w:rsidRPr="00856CD5" w:rsidRDefault="0022776D" w:rsidP="002F720A">
      <w:pPr>
        <w:spacing w:line="240" w:lineRule="auto"/>
        <w:ind w:left="720" w:right="720"/>
        <w:jc w:val="both"/>
        <w:rPr>
          <w:sz w:val="22"/>
          <w:szCs w:val="22"/>
          <w:lang w:val="en-CA"/>
        </w:rPr>
      </w:pPr>
    </w:p>
    <w:p w14:paraId="3CD5BBB2" w14:textId="571D4681" w:rsidR="0022776D" w:rsidRDefault="00550229" w:rsidP="002F720A">
      <w:pPr>
        <w:spacing w:line="240" w:lineRule="auto"/>
        <w:ind w:left="720" w:right="720"/>
        <w:jc w:val="both"/>
        <w:rPr>
          <w:sz w:val="22"/>
          <w:szCs w:val="22"/>
          <w:lang w:val="en-CA"/>
        </w:rPr>
      </w:pPr>
      <w:r>
        <w:rPr>
          <w:sz w:val="22"/>
          <w:szCs w:val="22"/>
          <w:lang w:val="en-CA"/>
        </w:rPr>
        <w:t>THE COURT</w:t>
      </w:r>
      <w:r w:rsidR="0022776D" w:rsidRPr="00856CD5">
        <w:rPr>
          <w:sz w:val="22"/>
          <w:szCs w:val="22"/>
          <w:lang w:val="en-CA"/>
        </w:rPr>
        <w:t>:</w:t>
      </w:r>
    </w:p>
    <w:p w14:paraId="562E9245" w14:textId="77777777" w:rsidR="00550229" w:rsidRDefault="00550229" w:rsidP="002F720A">
      <w:pPr>
        <w:spacing w:line="240" w:lineRule="auto"/>
        <w:ind w:left="720" w:right="720"/>
        <w:jc w:val="both"/>
        <w:rPr>
          <w:sz w:val="22"/>
          <w:szCs w:val="22"/>
          <w:lang w:val="en-CA"/>
        </w:rPr>
      </w:pPr>
    </w:p>
    <w:p w14:paraId="690555A1" w14:textId="6764ED3C" w:rsidR="0022776D" w:rsidRPr="00856CD5" w:rsidRDefault="00550229" w:rsidP="002F720A">
      <w:pPr>
        <w:spacing w:line="240" w:lineRule="auto"/>
        <w:ind w:left="720" w:right="720"/>
        <w:jc w:val="both"/>
        <w:rPr>
          <w:sz w:val="22"/>
          <w:szCs w:val="22"/>
          <w:lang w:val="en-CA"/>
        </w:rPr>
      </w:pPr>
      <w:r w:rsidRPr="00550229">
        <w:rPr>
          <w:sz w:val="22"/>
          <w:szCs w:val="22"/>
          <w:lang w:val="en-CA"/>
        </w:rPr>
        <w:t>So, I'll see how I describe it, but it can also be</w:t>
      </w:r>
      <w:r w:rsidR="00541020">
        <w:rPr>
          <w:sz w:val="22"/>
          <w:szCs w:val="22"/>
          <w:lang w:val="en-CA"/>
        </w:rPr>
        <w:t xml:space="preserve"> </w:t>
      </w:r>
      <w:r w:rsidRPr="00550229">
        <w:rPr>
          <w:sz w:val="22"/>
          <w:szCs w:val="22"/>
          <w:lang w:val="en-CA"/>
        </w:rPr>
        <w:t xml:space="preserve">... they will also have to </w:t>
      </w:r>
      <w:r>
        <w:rPr>
          <w:sz w:val="22"/>
          <w:szCs w:val="22"/>
          <w:lang w:val="en-CA"/>
        </w:rPr>
        <w:t>consider</w:t>
      </w:r>
      <w:r w:rsidR="009A6B10">
        <w:rPr>
          <w:sz w:val="22"/>
          <w:szCs w:val="22"/>
          <w:lang w:val="en-CA"/>
        </w:rPr>
        <w:t xml:space="preserve"> it</w:t>
      </w:r>
      <w:r w:rsidRPr="00550229">
        <w:rPr>
          <w:sz w:val="22"/>
          <w:szCs w:val="22"/>
          <w:lang w:val="en-CA"/>
        </w:rPr>
        <w:t xml:space="preserve"> when they </w:t>
      </w:r>
      <w:r>
        <w:rPr>
          <w:sz w:val="22"/>
          <w:szCs w:val="22"/>
          <w:lang w:val="en-CA"/>
        </w:rPr>
        <w:t>assess</w:t>
      </w:r>
      <w:r w:rsidRPr="00550229">
        <w:rPr>
          <w:sz w:val="22"/>
          <w:szCs w:val="22"/>
          <w:lang w:val="en-CA"/>
        </w:rPr>
        <w:t xml:space="preserve"> the </w:t>
      </w:r>
      <w:r w:rsidR="008D2926">
        <w:rPr>
          <w:rFonts w:cs="Arial"/>
          <w:lang w:val="en-CA"/>
        </w:rPr>
        <w:t xml:space="preserve">defence of </w:t>
      </w:r>
      <w:r w:rsidRPr="00550229">
        <w:rPr>
          <w:sz w:val="22"/>
          <w:szCs w:val="22"/>
          <w:lang w:val="en-CA"/>
        </w:rPr>
        <w:t>mental disorder</w:t>
      </w:r>
      <w:r>
        <w:rPr>
          <w:sz w:val="22"/>
          <w:szCs w:val="22"/>
          <w:lang w:val="en-CA"/>
        </w:rPr>
        <w:t>,</w:t>
      </w:r>
      <w:r w:rsidRPr="00550229">
        <w:rPr>
          <w:sz w:val="22"/>
          <w:szCs w:val="22"/>
          <w:lang w:val="en-CA"/>
        </w:rPr>
        <w:t xml:space="preserve"> which I will </w:t>
      </w:r>
      <w:r w:rsidR="00FB48DE">
        <w:rPr>
          <w:sz w:val="22"/>
          <w:szCs w:val="22"/>
          <w:lang w:val="en-CA"/>
        </w:rPr>
        <w:t>return</w:t>
      </w:r>
      <w:r w:rsidRPr="00550229">
        <w:rPr>
          <w:sz w:val="22"/>
          <w:szCs w:val="22"/>
          <w:lang w:val="en-CA"/>
        </w:rPr>
        <w:t xml:space="preserve"> to later</w:t>
      </w:r>
      <w:r w:rsidR="0022776D" w:rsidRPr="00856CD5">
        <w:rPr>
          <w:sz w:val="22"/>
          <w:szCs w:val="22"/>
          <w:lang w:val="en-CA"/>
        </w:rPr>
        <w:t>.</w:t>
      </w:r>
    </w:p>
    <w:p w14:paraId="0CB2F628" w14:textId="77777777" w:rsidR="0022776D" w:rsidRPr="00856CD5" w:rsidRDefault="0022776D" w:rsidP="000B6E2B">
      <w:pPr>
        <w:spacing w:line="240" w:lineRule="auto"/>
        <w:ind w:left="720"/>
        <w:jc w:val="both"/>
        <w:rPr>
          <w:sz w:val="22"/>
          <w:szCs w:val="22"/>
          <w:lang w:val="en-CA"/>
        </w:rPr>
      </w:pPr>
    </w:p>
    <w:p w14:paraId="51B2EFE0" w14:textId="220E9D1E" w:rsidR="0022776D" w:rsidRPr="00856CD5" w:rsidRDefault="00550229" w:rsidP="000B6E2B">
      <w:pPr>
        <w:numPr>
          <w:ilvl w:val="0"/>
          <w:numId w:val="18"/>
        </w:numPr>
        <w:spacing w:before="120" w:after="120" w:line="240" w:lineRule="auto"/>
        <w:jc w:val="both"/>
        <w:rPr>
          <w:rFonts w:cs="Arial"/>
          <w:kern w:val="28"/>
          <w:lang w:val="en-CA"/>
        </w:rPr>
      </w:pPr>
      <w:r w:rsidRPr="00550229">
        <w:rPr>
          <w:rFonts w:cs="Arial"/>
          <w:kern w:val="28"/>
          <w:lang w:val="en-CA"/>
        </w:rPr>
        <w:t>The judge discuss</w:t>
      </w:r>
      <w:r w:rsidR="00FB48DE">
        <w:rPr>
          <w:rFonts w:cs="Arial"/>
          <w:kern w:val="28"/>
          <w:lang w:val="en-CA"/>
        </w:rPr>
        <w:t>ed</w:t>
      </w:r>
      <w:r w:rsidRPr="00550229">
        <w:rPr>
          <w:rFonts w:cs="Arial"/>
          <w:kern w:val="28"/>
          <w:lang w:val="en-CA"/>
        </w:rPr>
        <w:t xml:space="preserve"> on two other occasions the instructions she was going to give to the members of the jury. Before the start of final arguments, she explain</w:t>
      </w:r>
      <w:r>
        <w:rPr>
          <w:rFonts w:cs="Arial"/>
          <w:kern w:val="28"/>
          <w:lang w:val="en-CA"/>
        </w:rPr>
        <w:t>ed the</w:t>
      </w:r>
      <w:r w:rsidRPr="00550229">
        <w:rPr>
          <w:rFonts w:cs="Arial"/>
          <w:kern w:val="28"/>
          <w:lang w:val="en-CA"/>
        </w:rPr>
        <w:t xml:space="preserve"> </w:t>
      </w:r>
      <w:r w:rsidR="00A537DE">
        <w:rPr>
          <w:rFonts w:cs="Arial"/>
          <w:kern w:val="28"/>
          <w:lang w:val="en-CA"/>
        </w:rPr>
        <w:t>substance</w:t>
      </w:r>
      <w:r w:rsidRPr="00550229">
        <w:rPr>
          <w:rFonts w:cs="Arial"/>
          <w:kern w:val="28"/>
          <w:lang w:val="en-CA"/>
        </w:rPr>
        <w:t xml:space="preserve"> of what she w</w:t>
      </w:r>
      <w:r>
        <w:rPr>
          <w:rFonts w:cs="Arial"/>
          <w:kern w:val="28"/>
          <w:lang w:val="en-CA"/>
        </w:rPr>
        <w:t>ould</w:t>
      </w:r>
      <w:r w:rsidRPr="00550229">
        <w:rPr>
          <w:rFonts w:cs="Arial"/>
          <w:kern w:val="28"/>
          <w:lang w:val="en-CA"/>
        </w:rPr>
        <w:t xml:space="preserve"> say to the jury during her </w:t>
      </w:r>
      <w:r w:rsidR="00990A5F">
        <w:rPr>
          <w:rFonts w:cs="Arial"/>
          <w:kern w:val="28"/>
          <w:lang w:val="en-CA"/>
        </w:rPr>
        <w:t>charge</w:t>
      </w:r>
      <w:r w:rsidR="0022776D" w:rsidRPr="00856CD5">
        <w:rPr>
          <w:rFonts w:cs="Arial"/>
          <w:kern w:val="28"/>
          <w:lang w:val="en-CA"/>
        </w:rPr>
        <w:t>:</w:t>
      </w:r>
    </w:p>
    <w:p w14:paraId="467613DF" w14:textId="25EE0DEF" w:rsidR="00E23C2D" w:rsidRPr="00541020" w:rsidRDefault="00E23C2D" w:rsidP="000B6E2B">
      <w:pPr>
        <w:pStyle w:val="Citationenretrait"/>
        <w:spacing w:line="240" w:lineRule="auto"/>
        <w:rPr>
          <w:szCs w:val="22"/>
          <w:lang w:val="en-CA"/>
        </w:rPr>
      </w:pPr>
      <w:r w:rsidRPr="00B92A5F">
        <w:rPr>
          <w:rFonts w:cs="Arial"/>
          <w:szCs w:val="22"/>
          <w:lang w:val="en-CA"/>
        </w:rPr>
        <w:t>[</w:t>
      </w:r>
      <w:r w:rsidR="00541020">
        <w:rPr>
          <w:rFonts w:cs="Arial"/>
          <w:smallCaps/>
          <w:szCs w:val="22"/>
          <w:lang w:val="en-CA"/>
        </w:rPr>
        <w:t>translation</w:t>
      </w:r>
      <w:r w:rsidRPr="00B92A5F">
        <w:rPr>
          <w:rFonts w:cs="Arial"/>
          <w:szCs w:val="22"/>
          <w:lang w:val="en-CA"/>
        </w:rPr>
        <w:t>]</w:t>
      </w:r>
    </w:p>
    <w:p w14:paraId="58A93EE3" w14:textId="7D721564" w:rsidR="0022776D" w:rsidRPr="00856CD5" w:rsidRDefault="00990A5F" w:rsidP="000B6E2B">
      <w:pPr>
        <w:pStyle w:val="Citationenretrait"/>
        <w:spacing w:line="240" w:lineRule="auto"/>
        <w:rPr>
          <w:lang w:val="en-CA"/>
        </w:rPr>
      </w:pPr>
      <w:r w:rsidRPr="00990A5F">
        <w:rPr>
          <w:lang w:val="en-CA"/>
        </w:rPr>
        <w:t xml:space="preserve">The other thing, </w:t>
      </w:r>
      <w:r w:rsidR="003C13CD">
        <w:rPr>
          <w:lang w:val="en-CA"/>
        </w:rPr>
        <w:t>I</w:t>
      </w:r>
      <w:r w:rsidR="00541020">
        <w:rPr>
          <w:lang w:val="en-CA"/>
        </w:rPr>
        <w:t>’m</w:t>
      </w:r>
      <w:r w:rsidR="003C13CD">
        <w:rPr>
          <w:lang w:val="en-CA"/>
        </w:rPr>
        <w:t xml:space="preserve"> referring to</w:t>
      </w:r>
      <w:r w:rsidR="00587DF4" w:rsidRPr="009A6B10">
        <w:rPr>
          <w:lang w:val="en-CA"/>
        </w:rPr>
        <w:t xml:space="preserve"> the instructions</w:t>
      </w:r>
      <w:r w:rsidRPr="00990A5F">
        <w:rPr>
          <w:lang w:val="en-CA"/>
        </w:rPr>
        <w:t xml:space="preserve">, naturally. When we talked about </w:t>
      </w:r>
      <w:r w:rsidR="009A6B10">
        <w:rPr>
          <w:lang w:val="en-CA"/>
        </w:rPr>
        <w:t xml:space="preserve">the </w:t>
      </w:r>
      <w:r w:rsidRPr="00990A5F">
        <w:rPr>
          <w:lang w:val="en-CA"/>
        </w:rPr>
        <w:t>post-</w:t>
      </w:r>
      <w:r w:rsidR="00587DF4">
        <w:rPr>
          <w:lang w:val="en-CA"/>
        </w:rPr>
        <w:t>offence conduct</w:t>
      </w:r>
      <w:r w:rsidRPr="00990A5F">
        <w:rPr>
          <w:lang w:val="en-CA"/>
        </w:rPr>
        <w:t xml:space="preserve">, I said that I gave it, I </w:t>
      </w:r>
      <w:r w:rsidR="009A6B10">
        <w:rPr>
          <w:lang w:val="en-CA"/>
        </w:rPr>
        <w:t>gave</w:t>
      </w:r>
      <w:r w:rsidR="00587DF4">
        <w:rPr>
          <w:lang w:val="en-CA"/>
        </w:rPr>
        <w:t xml:space="preserve"> </w:t>
      </w:r>
      <w:r w:rsidRPr="00990A5F">
        <w:rPr>
          <w:lang w:val="en-CA"/>
        </w:rPr>
        <w:t xml:space="preserve">it by modifying it, and </w:t>
      </w:r>
      <w:r w:rsidR="00587DF4">
        <w:rPr>
          <w:lang w:val="en-CA"/>
        </w:rPr>
        <w:t>this</w:t>
      </w:r>
      <w:r w:rsidRPr="00990A5F">
        <w:rPr>
          <w:lang w:val="en-CA"/>
        </w:rPr>
        <w:t xml:space="preserve"> will be very brief, that </w:t>
      </w:r>
      <w:r w:rsidR="00587DF4">
        <w:rPr>
          <w:lang w:val="en-CA"/>
        </w:rPr>
        <w:t xml:space="preserve">they can </w:t>
      </w:r>
      <w:r w:rsidR="009A6B10">
        <w:rPr>
          <w:lang w:val="en-CA"/>
        </w:rPr>
        <w:t xml:space="preserve">consider </w:t>
      </w:r>
      <w:r w:rsidRPr="00990A5F">
        <w:rPr>
          <w:lang w:val="en-CA"/>
        </w:rPr>
        <w:t>Mr. Tshilumba</w:t>
      </w:r>
      <w:r w:rsidR="00F80712">
        <w:rPr>
          <w:lang w:val="en-CA"/>
        </w:rPr>
        <w:t>’</w:t>
      </w:r>
      <w:r w:rsidRPr="00990A5F">
        <w:rPr>
          <w:lang w:val="en-CA"/>
        </w:rPr>
        <w:t xml:space="preserve">s </w:t>
      </w:r>
      <w:r w:rsidR="00587DF4">
        <w:rPr>
          <w:lang w:val="en-CA"/>
        </w:rPr>
        <w:t>conduct</w:t>
      </w:r>
      <w:r w:rsidRPr="00990A5F">
        <w:rPr>
          <w:lang w:val="en-CA"/>
        </w:rPr>
        <w:t xml:space="preserve"> </w:t>
      </w:r>
      <w:r w:rsidR="00587DF4">
        <w:rPr>
          <w:lang w:val="en-CA"/>
        </w:rPr>
        <w:t>afterwards</w:t>
      </w:r>
      <w:r w:rsidR="00541020">
        <w:rPr>
          <w:lang w:val="en-CA"/>
        </w:rPr>
        <w:t>,</w:t>
      </w:r>
      <w:r w:rsidR="00587DF4">
        <w:rPr>
          <w:lang w:val="en-CA"/>
        </w:rPr>
        <w:t xml:space="preserve"> </w:t>
      </w:r>
      <w:r w:rsidRPr="00990A5F">
        <w:rPr>
          <w:lang w:val="en-CA"/>
        </w:rPr>
        <w:t xml:space="preserve">when they </w:t>
      </w:r>
      <w:r w:rsidR="00587DF4">
        <w:rPr>
          <w:lang w:val="en-CA"/>
        </w:rPr>
        <w:t>assess</w:t>
      </w:r>
      <w:r w:rsidRPr="00990A5F">
        <w:rPr>
          <w:lang w:val="en-CA"/>
        </w:rPr>
        <w:t xml:space="preserve"> the </w:t>
      </w:r>
      <w:r w:rsidR="008D2926">
        <w:rPr>
          <w:rFonts w:cs="Arial"/>
          <w:lang w:val="en-CA"/>
        </w:rPr>
        <w:t xml:space="preserve">defence of </w:t>
      </w:r>
      <w:r w:rsidRPr="00990A5F">
        <w:rPr>
          <w:lang w:val="en-CA"/>
        </w:rPr>
        <w:t xml:space="preserve">mental disorder, whether or not it </w:t>
      </w:r>
      <w:r w:rsidR="002F7C7E">
        <w:rPr>
          <w:lang w:val="en-CA"/>
        </w:rPr>
        <w:t>is consistent with</w:t>
      </w:r>
      <w:r w:rsidRPr="00990A5F">
        <w:rPr>
          <w:lang w:val="en-CA"/>
        </w:rPr>
        <w:t xml:space="preserve"> a mental disorder. However, the way I wrote it, </w:t>
      </w:r>
      <w:r w:rsidR="003C13CD">
        <w:rPr>
          <w:lang w:val="en-CA"/>
        </w:rPr>
        <w:t>I</w:t>
      </w:r>
      <w:r w:rsidR="00541020">
        <w:rPr>
          <w:lang w:val="en-CA"/>
        </w:rPr>
        <w:t>’m</w:t>
      </w:r>
      <w:r w:rsidR="003C13CD" w:rsidRPr="00990A5F">
        <w:rPr>
          <w:lang w:val="en-CA"/>
        </w:rPr>
        <w:t xml:space="preserve"> </w:t>
      </w:r>
      <w:r w:rsidRPr="00990A5F">
        <w:rPr>
          <w:lang w:val="en-CA"/>
        </w:rPr>
        <w:t>not going to give it general</w:t>
      </w:r>
      <w:r w:rsidR="002F7C7E">
        <w:rPr>
          <w:lang w:val="en-CA"/>
        </w:rPr>
        <w:t>ly</w:t>
      </w:r>
      <w:r w:rsidRPr="00990A5F">
        <w:rPr>
          <w:lang w:val="en-CA"/>
        </w:rPr>
        <w:t xml:space="preserve">, </w:t>
      </w:r>
      <w:r w:rsidRPr="00990A5F">
        <w:rPr>
          <w:lang w:val="en-CA"/>
        </w:rPr>
        <w:lastRenderedPageBreak/>
        <w:t>because, whether it</w:t>
      </w:r>
      <w:r w:rsidR="00D548F4">
        <w:rPr>
          <w:lang w:val="en-CA"/>
        </w:rPr>
        <w:t>’</w:t>
      </w:r>
      <w:r w:rsidRPr="00990A5F">
        <w:rPr>
          <w:lang w:val="en-CA"/>
        </w:rPr>
        <w:t>s murder or manslaughter, fleeing the scene, changing</w:t>
      </w:r>
      <w:r w:rsidR="00587DF4">
        <w:rPr>
          <w:lang w:val="en-CA"/>
        </w:rPr>
        <w:t xml:space="preserve"> clothes</w:t>
      </w:r>
      <w:r w:rsidRPr="00990A5F">
        <w:rPr>
          <w:lang w:val="en-CA"/>
        </w:rPr>
        <w:t>, hiding the weapon at [</w:t>
      </w:r>
      <w:r w:rsidR="00541020">
        <w:rPr>
          <w:lang w:val="en-CA"/>
        </w:rPr>
        <w:t>CEGEP</w:t>
      </w:r>
      <w:r w:rsidR="00541020" w:rsidRPr="00990A5F">
        <w:rPr>
          <w:lang w:val="en-CA"/>
        </w:rPr>
        <w:t xml:space="preserve"> </w:t>
      </w:r>
      <w:r w:rsidRPr="00990A5F">
        <w:rPr>
          <w:lang w:val="en-CA"/>
        </w:rPr>
        <w:t>André-Laurendeau], all these act</w:t>
      </w:r>
      <w:r w:rsidR="00587DF4">
        <w:rPr>
          <w:lang w:val="en-CA"/>
        </w:rPr>
        <w:t>s</w:t>
      </w:r>
      <w:r w:rsidRPr="00990A5F">
        <w:rPr>
          <w:lang w:val="en-CA"/>
        </w:rPr>
        <w:t xml:space="preserve"> </w:t>
      </w:r>
      <w:r w:rsidR="00DA7BB8">
        <w:rPr>
          <w:lang w:val="en-CA"/>
        </w:rPr>
        <w:t>could apply to either</w:t>
      </w:r>
      <w:r w:rsidR="00310A7C">
        <w:rPr>
          <w:lang w:val="en-CA"/>
        </w:rPr>
        <w:t xml:space="preserve"> manslaughter </w:t>
      </w:r>
      <w:r w:rsidR="00DA7BB8">
        <w:rPr>
          <w:lang w:val="en-CA"/>
        </w:rPr>
        <w:t>or</w:t>
      </w:r>
      <w:r w:rsidRPr="00990A5F">
        <w:rPr>
          <w:lang w:val="en-CA"/>
        </w:rPr>
        <w:t xml:space="preserve"> murder. So, however, </w:t>
      </w:r>
      <w:r w:rsidR="003C13CD">
        <w:rPr>
          <w:lang w:val="en-CA"/>
        </w:rPr>
        <w:t xml:space="preserve">I will </w:t>
      </w:r>
      <w:r w:rsidRPr="00990A5F">
        <w:rPr>
          <w:lang w:val="en-CA"/>
        </w:rPr>
        <w:t xml:space="preserve">say it, they have to </w:t>
      </w:r>
      <w:r w:rsidR="00310A7C">
        <w:rPr>
          <w:lang w:val="en-CA"/>
        </w:rPr>
        <w:t xml:space="preserve">consider </w:t>
      </w:r>
      <w:r w:rsidRPr="00990A5F">
        <w:rPr>
          <w:lang w:val="en-CA"/>
        </w:rPr>
        <w:t>the evidence</w:t>
      </w:r>
      <w:r w:rsidR="00DA7BB8">
        <w:rPr>
          <w:lang w:val="en-CA"/>
        </w:rPr>
        <w:t xml:space="preserve"> as a whole</w:t>
      </w:r>
      <w:r w:rsidRPr="00990A5F">
        <w:rPr>
          <w:lang w:val="en-CA"/>
        </w:rPr>
        <w:t xml:space="preserve">, and </w:t>
      </w:r>
      <w:r w:rsidR="00310A7C">
        <w:rPr>
          <w:lang w:val="en-CA"/>
        </w:rPr>
        <w:t>it’s</w:t>
      </w:r>
      <w:r w:rsidRPr="00990A5F">
        <w:rPr>
          <w:lang w:val="en-CA"/>
        </w:rPr>
        <w:t xml:space="preserve"> part of the evidence</w:t>
      </w:r>
      <w:r w:rsidR="00DA7BB8">
        <w:rPr>
          <w:lang w:val="en-CA"/>
        </w:rPr>
        <w:t xml:space="preserve"> as a whole</w:t>
      </w:r>
      <w:r w:rsidRPr="00990A5F">
        <w:rPr>
          <w:lang w:val="en-CA"/>
        </w:rPr>
        <w:t>, but I will not give the post-offen</w:t>
      </w:r>
      <w:r w:rsidR="00310A7C">
        <w:rPr>
          <w:lang w:val="en-CA"/>
        </w:rPr>
        <w:t>ce</w:t>
      </w:r>
      <w:r w:rsidRPr="00990A5F">
        <w:rPr>
          <w:lang w:val="en-CA"/>
        </w:rPr>
        <w:t xml:space="preserve"> </w:t>
      </w:r>
      <w:r w:rsidR="00310A7C">
        <w:rPr>
          <w:lang w:val="en-CA"/>
        </w:rPr>
        <w:t>conduct instruction</w:t>
      </w:r>
      <w:r w:rsidRPr="00990A5F">
        <w:rPr>
          <w:lang w:val="en-CA"/>
        </w:rPr>
        <w:t xml:space="preserve"> </w:t>
      </w:r>
      <w:r w:rsidR="00DA7BB8">
        <w:rPr>
          <w:lang w:val="en-CA"/>
        </w:rPr>
        <w:t>that</w:t>
      </w:r>
      <w:r w:rsidRPr="00990A5F">
        <w:rPr>
          <w:lang w:val="en-CA"/>
        </w:rPr>
        <w:t xml:space="preserve">, as for </w:t>
      </w:r>
      <w:r w:rsidR="00310A7C">
        <w:rPr>
          <w:lang w:val="en-CA"/>
        </w:rPr>
        <w:t>intent</w:t>
      </w:r>
      <w:r w:rsidRPr="00990A5F">
        <w:rPr>
          <w:lang w:val="en-CA"/>
        </w:rPr>
        <w:t>, is rarely given, much more often for identity, which is not a problem here</w:t>
      </w:r>
      <w:r w:rsidR="0022776D" w:rsidRPr="00856CD5">
        <w:rPr>
          <w:lang w:val="en-CA"/>
        </w:rPr>
        <w:t>.</w:t>
      </w:r>
    </w:p>
    <w:p w14:paraId="6FDE747C" w14:textId="7B0D0F8A" w:rsidR="0022776D" w:rsidRPr="00856CD5" w:rsidRDefault="0022776D" w:rsidP="000B6E2B">
      <w:pPr>
        <w:numPr>
          <w:ilvl w:val="0"/>
          <w:numId w:val="18"/>
        </w:numPr>
        <w:spacing w:before="120" w:after="120" w:line="240" w:lineRule="auto"/>
        <w:jc w:val="both"/>
        <w:rPr>
          <w:rFonts w:cs="Arial"/>
          <w:kern w:val="28"/>
          <w:lang w:val="en-CA"/>
        </w:rPr>
      </w:pPr>
      <w:r w:rsidRPr="00856CD5">
        <w:rPr>
          <w:rFonts w:cs="Arial"/>
          <w:kern w:val="28"/>
          <w:lang w:val="en-CA"/>
        </w:rPr>
        <w:t>A</w:t>
      </w:r>
      <w:r w:rsidR="00E23C2D">
        <w:rPr>
          <w:rFonts w:cs="Arial"/>
          <w:kern w:val="28"/>
          <w:lang w:val="en-CA"/>
        </w:rPr>
        <w:t>fter counsel for the appellant had presented his argument</w:t>
      </w:r>
      <w:r w:rsidR="009F522E">
        <w:rPr>
          <w:rFonts w:cs="Arial"/>
          <w:kern w:val="28"/>
          <w:lang w:val="en-CA"/>
        </w:rPr>
        <w:t>s</w:t>
      </w:r>
      <w:r w:rsidR="00E23C2D">
        <w:rPr>
          <w:rFonts w:cs="Arial"/>
          <w:kern w:val="28"/>
          <w:lang w:val="en-CA"/>
        </w:rPr>
        <w:t>, the judge revisited with the parties the content of the instruction concerning the after-the-fact conduct</w:t>
      </w:r>
      <w:r w:rsidRPr="00856CD5">
        <w:rPr>
          <w:rFonts w:cs="Arial"/>
          <w:kern w:val="28"/>
          <w:lang w:val="en-CA"/>
        </w:rPr>
        <w:t>:</w:t>
      </w:r>
    </w:p>
    <w:p w14:paraId="24BA1809" w14:textId="2AB77425" w:rsidR="00E23C2D" w:rsidRPr="008858C8" w:rsidRDefault="00E23C2D" w:rsidP="000B6E2B">
      <w:pPr>
        <w:pStyle w:val="Citationenretrait"/>
        <w:spacing w:line="240" w:lineRule="auto"/>
        <w:rPr>
          <w:szCs w:val="22"/>
          <w:lang w:val="en-CA"/>
        </w:rPr>
      </w:pPr>
      <w:r w:rsidRPr="00B92A5F">
        <w:rPr>
          <w:rFonts w:cs="Arial"/>
          <w:szCs w:val="22"/>
          <w:lang w:val="en-CA"/>
        </w:rPr>
        <w:t>[</w:t>
      </w:r>
      <w:r w:rsidR="008858C8">
        <w:rPr>
          <w:rFonts w:cs="Arial"/>
          <w:smallCaps/>
          <w:szCs w:val="22"/>
          <w:lang w:val="en-CA"/>
        </w:rPr>
        <w:t>translation</w:t>
      </w:r>
      <w:r w:rsidRPr="00B92A5F">
        <w:rPr>
          <w:rFonts w:cs="Arial"/>
          <w:szCs w:val="22"/>
          <w:lang w:val="en-CA"/>
        </w:rPr>
        <w:t>]</w:t>
      </w:r>
    </w:p>
    <w:p w14:paraId="4427BA13" w14:textId="4BA05CB7" w:rsidR="0022776D" w:rsidRPr="00856CD5" w:rsidRDefault="00E23C2D" w:rsidP="000B6E2B">
      <w:pPr>
        <w:pStyle w:val="Citationenretrait"/>
        <w:spacing w:line="240" w:lineRule="auto"/>
        <w:rPr>
          <w:lang w:val="en-CA"/>
        </w:rPr>
      </w:pPr>
      <w:r w:rsidRPr="00E23C2D">
        <w:rPr>
          <w:lang w:val="en-CA"/>
        </w:rPr>
        <w:t xml:space="preserve">There was one other thing I wanted to discuss. I </w:t>
      </w:r>
      <w:r w:rsidR="004831C4">
        <w:rPr>
          <w:lang w:val="en-CA"/>
        </w:rPr>
        <w:t xml:space="preserve">spoke to </w:t>
      </w:r>
      <w:r w:rsidRPr="00E23C2D">
        <w:rPr>
          <w:lang w:val="en-CA"/>
        </w:rPr>
        <w:t xml:space="preserve">you about </w:t>
      </w:r>
      <w:r>
        <w:rPr>
          <w:lang w:val="en-CA"/>
        </w:rPr>
        <w:t xml:space="preserve">the </w:t>
      </w:r>
      <w:r w:rsidRPr="00E23C2D">
        <w:rPr>
          <w:lang w:val="en-CA"/>
        </w:rPr>
        <w:t>post-offen</w:t>
      </w:r>
      <w:r>
        <w:rPr>
          <w:lang w:val="en-CA"/>
        </w:rPr>
        <w:t>c</w:t>
      </w:r>
      <w:r w:rsidRPr="00E23C2D">
        <w:rPr>
          <w:lang w:val="en-CA"/>
        </w:rPr>
        <w:t xml:space="preserve">e </w:t>
      </w:r>
      <w:r>
        <w:rPr>
          <w:lang w:val="en-CA"/>
        </w:rPr>
        <w:t>conduct</w:t>
      </w:r>
      <w:r w:rsidRPr="00E23C2D">
        <w:rPr>
          <w:lang w:val="en-CA"/>
        </w:rPr>
        <w:t xml:space="preserve">. When I </w:t>
      </w:r>
      <w:r w:rsidR="009F522E">
        <w:rPr>
          <w:lang w:val="en-CA"/>
        </w:rPr>
        <w:t>discuss the</w:t>
      </w:r>
      <w:r w:rsidRPr="00E23C2D">
        <w:rPr>
          <w:lang w:val="en-CA"/>
        </w:rPr>
        <w:t xml:space="preserve"> psychiatrists, naturally, </w:t>
      </w:r>
      <w:r w:rsidR="004831C4">
        <w:rPr>
          <w:lang w:val="en-CA"/>
        </w:rPr>
        <w:t>I’m going to</w:t>
      </w:r>
      <w:r w:rsidRPr="00E23C2D">
        <w:rPr>
          <w:lang w:val="en-CA"/>
        </w:rPr>
        <w:t xml:space="preserve"> tell them that they must </w:t>
      </w:r>
      <w:r>
        <w:rPr>
          <w:lang w:val="en-CA"/>
        </w:rPr>
        <w:t>assess</w:t>
      </w:r>
      <w:r w:rsidRPr="00E23C2D">
        <w:rPr>
          <w:lang w:val="en-CA"/>
        </w:rPr>
        <w:t xml:space="preserve"> the testimony of </w:t>
      </w:r>
      <w:r>
        <w:rPr>
          <w:lang w:val="en-CA"/>
        </w:rPr>
        <w:t xml:space="preserve">the </w:t>
      </w:r>
      <w:r w:rsidRPr="00E23C2D">
        <w:rPr>
          <w:lang w:val="en-CA"/>
        </w:rPr>
        <w:t>psychiatrists separately</w:t>
      </w:r>
      <w:r w:rsidR="00434D4B">
        <w:rPr>
          <w:lang w:val="en-CA"/>
        </w:rPr>
        <w:t>;</w:t>
      </w:r>
      <w:r w:rsidRPr="00E23C2D">
        <w:rPr>
          <w:lang w:val="en-CA"/>
        </w:rPr>
        <w:t xml:space="preserve"> </w:t>
      </w:r>
      <w:r w:rsidR="009F522E">
        <w:rPr>
          <w:lang w:val="en-CA"/>
        </w:rPr>
        <w:t xml:space="preserve">it </w:t>
      </w:r>
      <w:r w:rsidR="00E80AC3">
        <w:rPr>
          <w:lang w:val="en-CA"/>
        </w:rPr>
        <w:t>does not form</w:t>
      </w:r>
      <w:r w:rsidRPr="00E23C2D">
        <w:rPr>
          <w:lang w:val="en-CA"/>
        </w:rPr>
        <w:t xml:space="preserve"> a whole. So they can accept the testimony of both psychiatrists </w:t>
      </w:r>
      <w:r w:rsidR="004831C4">
        <w:rPr>
          <w:lang w:val="en-CA"/>
        </w:rPr>
        <w:t>or</w:t>
      </w:r>
      <w:r w:rsidRPr="00E23C2D">
        <w:rPr>
          <w:lang w:val="en-CA"/>
        </w:rPr>
        <w:t xml:space="preserve"> one </w:t>
      </w:r>
      <w:r>
        <w:rPr>
          <w:lang w:val="en-CA"/>
        </w:rPr>
        <w:t>of them</w:t>
      </w:r>
      <w:r w:rsidRPr="00E23C2D">
        <w:rPr>
          <w:lang w:val="en-CA"/>
        </w:rPr>
        <w:t xml:space="preserve"> or </w:t>
      </w:r>
      <w:r>
        <w:rPr>
          <w:lang w:val="en-CA"/>
        </w:rPr>
        <w:t>neither of them</w:t>
      </w:r>
      <w:r w:rsidRPr="00E23C2D">
        <w:rPr>
          <w:lang w:val="en-CA"/>
        </w:rPr>
        <w:t xml:space="preserve">, but </w:t>
      </w:r>
      <w:r w:rsidR="00E80AC3">
        <w:rPr>
          <w:lang w:val="en-CA"/>
        </w:rPr>
        <w:t>it does not form</w:t>
      </w:r>
      <w:r>
        <w:rPr>
          <w:lang w:val="en-CA"/>
        </w:rPr>
        <w:t xml:space="preserve"> a whole</w:t>
      </w:r>
      <w:r w:rsidRPr="00E23C2D">
        <w:rPr>
          <w:lang w:val="en-CA"/>
        </w:rPr>
        <w:t xml:space="preserve">. It is a </w:t>
      </w:r>
      <w:r w:rsidR="008D2926">
        <w:rPr>
          <w:rFonts w:cs="Arial"/>
          <w:lang w:val="en-CA"/>
        </w:rPr>
        <w:t xml:space="preserve">defence of </w:t>
      </w:r>
      <w:r>
        <w:rPr>
          <w:lang w:val="en-CA"/>
        </w:rPr>
        <w:t xml:space="preserve">mental disorder, </w:t>
      </w:r>
      <w:r w:rsidRPr="00E23C2D">
        <w:rPr>
          <w:lang w:val="en-CA"/>
        </w:rPr>
        <w:t xml:space="preserve">but presented by two witnesses who are </w:t>
      </w:r>
      <w:r>
        <w:rPr>
          <w:lang w:val="en-CA"/>
        </w:rPr>
        <w:t>separate</w:t>
      </w:r>
      <w:r w:rsidRPr="00E23C2D">
        <w:rPr>
          <w:lang w:val="en-CA"/>
        </w:rPr>
        <w:t xml:space="preserve">, because </w:t>
      </w:r>
      <w:r w:rsidR="00E80AC3">
        <w:rPr>
          <w:lang w:val="en-CA"/>
        </w:rPr>
        <w:t>I</w:t>
      </w:r>
      <w:r w:rsidR="00434D4B">
        <w:rPr>
          <w:lang w:val="en-CA"/>
        </w:rPr>
        <w:t>’m</w:t>
      </w:r>
      <w:r w:rsidR="00E80AC3" w:rsidRPr="00E23C2D">
        <w:rPr>
          <w:lang w:val="en-CA"/>
        </w:rPr>
        <w:t xml:space="preserve"> </w:t>
      </w:r>
      <w:r w:rsidRPr="00E23C2D">
        <w:rPr>
          <w:lang w:val="en-CA"/>
        </w:rPr>
        <w:t xml:space="preserve">going to give a fairly exhaustive summary of the evidence. I </w:t>
      </w:r>
      <w:r w:rsidR="00434D4B">
        <w:rPr>
          <w:lang w:val="en-CA"/>
        </w:rPr>
        <w:t xml:space="preserve">will </w:t>
      </w:r>
      <w:r w:rsidRPr="00E23C2D">
        <w:rPr>
          <w:lang w:val="en-CA"/>
        </w:rPr>
        <w:t xml:space="preserve">do </w:t>
      </w:r>
      <w:r w:rsidR="00FE00CA">
        <w:rPr>
          <w:lang w:val="en-CA"/>
        </w:rPr>
        <w:t>this</w:t>
      </w:r>
      <w:r w:rsidRPr="00E23C2D">
        <w:rPr>
          <w:lang w:val="en-CA"/>
        </w:rPr>
        <w:t xml:space="preserve"> </w:t>
      </w:r>
      <w:r w:rsidR="00B53146">
        <w:rPr>
          <w:lang w:val="en-CA"/>
        </w:rPr>
        <w:t>regarding the</w:t>
      </w:r>
      <w:r w:rsidRPr="00E23C2D">
        <w:rPr>
          <w:lang w:val="en-CA"/>
        </w:rPr>
        <w:t xml:space="preserve"> mental disorder</w:t>
      </w:r>
      <w:r w:rsidR="00B53146">
        <w:rPr>
          <w:lang w:val="en-CA"/>
        </w:rPr>
        <w:t>,</w:t>
      </w:r>
      <w:r w:rsidRPr="00E23C2D">
        <w:rPr>
          <w:lang w:val="en-CA"/>
        </w:rPr>
        <w:t xml:space="preserve"> </w:t>
      </w:r>
      <w:r w:rsidR="00434D4B">
        <w:rPr>
          <w:lang w:val="en-CA"/>
        </w:rPr>
        <w:t>and</w:t>
      </w:r>
      <w:r w:rsidRPr="00E23C2D">
        <w:rPr>
          <w:lang w:val="en-CA"/>
        </w:rPr>
        <w:t xml:space="preserve"> I </w:t>
      </w:r>
      <w:r w:rsidR="00434D4B">
        <w:rPr>
          <w:lang w:val="en-CA"/>
        </w:rPr>
        <w:t>will</w:t>
      </w:r>
      <w:r w:rsidR="00E80AC3">
        <w:rPr>
          <w:lang w:val="en-CA"/>
        </w:rPr>
        <w:t xml:space="preserve"> not repeat</w:t>
      </w:r>
      <w:r w:rsidRPr="00E23C2D">
        <w:rPr>
          <w:lang w:val="en-CA"/>
        </w:rPr>
        <w:t xml:space="preserve"> </w:t>
      </w:r>
      <w:r w:rsidR="00434D4B">
        <w:rPr>
          <w:lang w:val="en-CA"/>
        </w:rPr>
        <w:t xml:space="preserve">it </w:t>
      </w:r>
      <w:r w:rsidRPr="00E23C2D">
        <w:rPr>
          <w:lang w:val="en-CA"/>
        </w:rPr>
        <w:t xml:space="preserve">when I </w:t>
      </w:r>
      <w:r w:rsidR="00434D4B">
        <w:rPr>
          <w:lang w:val="en-CA"/>
        </w:rPr>
        <w:t>return</w:t>
      </w:r>
      <w:r w:rsidR="00B53146">
        <w:rPr>
          <w:lang w:val="en-CA"/>
        </w:rPr>
        <w:t xml:space="preserve"> to</w:t>
      </w:r>
      <w:r w:rsidRPr="00E23C2D">
        <w:rPr>
          <w:lang w:val="en-CA"/>
        </w:rPr>
        <w:t xml:space="preserve"> intent, because </w:t>
      </w:r>
      <w:r w:rsidR="00E80AC3">
        <w:rPr>
          <w:lang w:val="en-CA"/>
        </w:rPr>
        <w:t>I will</w:t>
      </w:r>
      <w:r w:rsidRPr="00E23C2D">
        <w:rPr>
          <w:lang w:val="en-CA"/>
        </w:rPr>
        <w:t xml:space="preserve"> tell them, I refer you to this evidence</w:t>
      </w:r>
      <w:r w:rsidR="00434D4B">
        <w:rPr>
          <w:lang w:val="en-CA"/>
        </w:rPr>
        <w:t>,</w:t>
      </w:r>
      <w:r w:rsidRPr="00E23C2D">
        <w:rPr>
          <w:lang w:val="en-CA"/>
        </w:rPr>
        <w:t xml:space="preserve"> which also goes to mental disorder, but </w:t>
      </w:r>
      <w:r w:rsidR="00B53146">
        <w:rPr>
          <w:lang w:val="en-CA"/>
        </w:rPr>
        <w:t>most of the</w:t>
      </w:r>
      <w:r w:rsidRPr="00E23C2D">
        <w:rPr>
          <w:lang w:val="en-CA"/>
        </w:rPr>
        <w:t xml:space="preserve"> witnesses </w:t>
      </w:r>
      <w:r w:rsidR="00B53146">
        <w:rPr>
          <w:lang w:val="en-CA"/>
        </w:rPr>
        <w:t>for</w:t>
      </w:r>
      <w:r w:rsidRPr="00E23C2D">
        <w:rPr>
          <w:lang w:val="en-CA"/>
        </w:rPr>
        <w:t xml:space="preserve"> the </w:t>
      </w:r>
      <w:r w:rsidR="00C97F1F">
        <w:rPr>
          <w:lang w:val="en-CA"/>
        </w:rPr>
        <w:t>d</w:t>
      </w:r>
      <w:r w:rsidRPr="00E23C2D">
        <w:rPr>
          <w:lang w:val="en-CA"/>
        </w:rPr>
        <w:t>efen</w:t>
      </w:r>
      <w:r w:rsidR="00C97F1F">
        <w:rPr>
          <w:lang w:val="en-CA"/>
        </w:rPr>
        <w:t>c</w:t>
      </w:r>
      <w:r w:rsidRPr="00E23C2D">
        <w:rPr>
          <w:lang w:val="en-CA"/>
        </w:rPr>
        <w:t xml:space="preserve">e, </w:t>
      </w:r>
      <w:r w:rsidR="00B53146">
        <w:rPr>
          <w:lang w:val="en-CA"/>
        </w:rPr>
        <w:t>so</w:t>
      </w:r>
      <w:r w:rsidRPr="00E23C2D">
        <w:rPr>
          <w:lang w:val="en-CA"/>
        </w:rPr>
        <w:t xml:space="preserve"> all the </w:t>
      </w:r>
      <w:r w:rsidR="00B53146">
        <w:rPr>
          <w:lang w:val="en-CA"/>
        </w:rPr>
        <w:t xml:space="preserve">family </w:t>
      </w:r>
      <w:r w:rsidRPr="00E23C2D">
        <w:rPr>
          <w:lang w:val="en-CA"/>
        </w:rPr>
        <w:t xml:space="preserve">members and the friend, Mr. Louis, </w:t>
      </w:r>
      <w:r w:rsidR="00FE00CA">
        <w:rPr>
          <w:lang w:val="en-CA"/>
        </w:rPr>
        <w:t>were for</w:t>
      </w:r>
      <w:r w:rsidRPr="00E23C2D">
        <w:rPr>
          <w:lang w:val="en-CA"/>
        </w:rPr>
        <w:t xml:space="preserve"> </w:t>
      </w:r>
      <w:r w:rsidR="00434D4B">
        <w:rPr>
          <w:lang w:val="en-CA"/>
        </w:rPr>
        <w:t xml:space="preserve">the </w:t>
      </w:r>
      <w:r w:rsidRPr="00E23C2D">
        <w:rPr>
          <w:lang w:val="en-CA"/>
        </w:rPr>
        <w:t xml:space="preserve">mental disorder, but as for the testimony of the accused, naturally, as for intent, and I </w:t>
      </w:r>
      <w:r w:rsidR="00434D4B">
        <w:rPr>
          <w:lang w:val="en-CA"/>
        </w:rPr>
        <w:t>don’t</w:t>
      </w:r>
      <w:r w:rsidRPr="00E23C2D">
        <w:rPr>
          <w:lang w:val="en-CA"/>
        </w:rPr>
        <w:t xml:space="preserve"> </w:t>
      </w:r>
      <w:r w:rsidR="00E80AC3" w:rsidRPr="00E23C2D">
        <w:rPr>
          <w:lang w:val="en-CA"/>
        </w:rPr>
        <w:t>summariz</w:t>
      </w:r>
      <w:r w:rsidR="00E80AC3">
        <w:rPr>
          <w:lang w:val="en-CA"/>
        </w:rPr>
        <w:t>e</w:t>
      </w:r>
      <w:r w:rsidR="00E80AC3" w:rsidRPr="00E23C2D">
        <w:rPr>
          <w:lang w:val="en-CA"/>
        </w:rPr>
        <w:t xml:space="preserve"> </w:t>
      </w:r>
      <w:r w:rsidRPr="00E23C2D">
        <w:rPr>
          <w:lang w:val="en-CA"/>
        </w:rPr>
        <w:t xml:space="preserve">all the </w:t>
      </w:r>
      <w:r w:rsidR="00BE1321" w:rsidRPr="00E23C2D">
        <w:rPr>
          <w:lang w:val="en-CA"/>
        </w:rPr>
        <w:t>document</w:t>
      </w:r>
      <w:r w:rsidR="00BE1321">
        <w:rPr>
          <w:lang w:val="en-CA"/>
        </w:rPr>
        <w:t>ation</w:t>
      </w:r>
      <w:r w:rsidRPr="00E23C2D">
        <w:rPr>
          <w:lang w:val="en-CA"/>
        </w:rPr>
        <w:t>, I refer to D-11, P-59, P-60</w:t>
      </w:r>
      <w:r w:rsidR="00434D4B">
        <w:rPr>
          <w:lang w:val="en-CA"/>
        </w:rPr>
        <w:t>;</w:t>
      </w:r>
      <w:r w:rsidRPr="00E23C2D">
        <w:rPr>
          <w:lang w:val="en-CA"/>
        </w:rPr>
        <w:t xml:space="preserve"> it will be up to them to </w:t>
      </w:r>
      <w:r w:rsidR="00FE00CA">
        <w:rPr>
          <w:lang w:val="en-CA"/>
        </w:rPr>
        <w:t>verify</w:t>
      </w:r>
      <w:r w:rsidRPr="00E23C2D">
        <w:rPr>
          <w:lang w:val="en-CA"/>
        </w:rPr>
        <w:t xml:space="preserve"> what they </w:t>
      </w:r>
      <w:r w:rsidR="00BE1321">
        <w:rPr>
          <w:lang w:val="en-CA"/>
        </w:rPr>
        <w:t>need</w:t>
      </w:r>
      <w:r w:rsidR="00BE1321" w:rsidRPr="00E23C2D">
        <w:rPr>
          <w:lang w:val="en-CA"/>
        </w:rPr>
        <w:t xml:space="preserve"> </w:t>
      </w:r>
      <w:r w:rsidRPr="00E23C2D">
        <w:rPr>
          <w:lang w:val="en-CA"/>
        </w:rPr>
        <w:t xml:space="preserve">to </w:t>
      </w:r>
      <w:r w:rsidR="00FE00CA">
        <w:rPr>
          <w:lang w:val="en-CA"/>
        </w:rPr>
        <w:t>verify</w:t>
      </w:r>
      <w:r w:rsidRPr="00E23C2D">
        <w:rPr>
          <w:lang w:val="en-CA"/>
        </w:rPr>
        <w:t xml:space="preserve"> in </w:t>
      </w:r>
      <w:r w:rsidR="00BE1321">
        <w:rPr>
          <w:lang w:val="en-CA"/>
        </w:rPr>
        <w:t>that documentation</w:t>
      </w:r>
      <w:r w:rsidR="0022776D" w:rsidRPr="00856CD5">
        <w:rPr>
          <w:lang w:val="en-CA"/>
        </w:rPr>
        <w:t>.</w:t>
      </w:r>
    </w:p>
    <w:p w14:paraId="431A3CA6" w14:textId="5DE12F37" w:rsidR="0022776D" w:rsidRPr="00856CD5" w:rsidRDefault="00FE00CA" w:rsidP="000B6E2B">
      <w:pPr>
        <w:numPr>
          <w:ilvl w:val="0"/>
          <w:numId w:val="18"/>
        </w:numPr>
        <w:spacing w:before="120" w:after="120" w:line="240" w:lineRule="auto"/>
        <w:jc w:val="both"/>
        <w:rPr>
          <w:rFonts w:cs="Arial"/>
          <w:kern w:val="28"/>
          <w:lang w:val="en-CA"/>
        </w:rPr>
      </w:pPr>
      <w:r w:rsidRPr="00FE00CA">
        <w:rPr>
          <w:rFonts w:cs="Arial"/>
          <w:kern w:val="28"/>
          <w:lang w:val="en-CA"/>
        </w:rPr>
        <w:t xml:space="preserve">At this stage, it is not easy to discern the </w:t>
      </w:r>
      <w:r w:rsidR="00A537DE">
        <w:rPr>
          <w:rFonts w:cs="Arial"/>
          <w:kern w:val="28"/>
          <w:lang w:val="en-CA"/>
        </w:rPr>
        <w:t>exact</w:t>
      </w:r>
      <w:r w:rsidRPr="00FE00CA">
        <w:rPr>
          <w:rFonts w:cs="Arial"/>
          <w:kern w:val="28"/>
          <w:lang w:val="en-CA"/>
        </w:rPr>
        <w:t xml:space="preserve"> </w:t>
      </w:r>
      <w:r w:rsidR="00A537DE">
        <w:rPr>
          <w:rFonts w:cs="Arial"/>
          <w:kern w:val="28"/>
          <w:lang w:val="en-CA"/>
        </w:rPr>
        <w:t>substance</w:t>
      </w:r>
      <w:r w:rsidRPr="00FE00CA">
        <w:rPr>
          <w:rFonts w:cs="Arial"/>
          <w:kern w:val="28"/>
          <w:lang w:val="en-CA"/>
        </w:rPr>
        <w:t xml:space="preserve"> of the instruction that the judge w</w:t>
      </w:r>
      <w:r w:rsidR="009C7765">
        <w:rPr>
          <w:rFonts w:cs="Arial"/>
          <w:kern w:val="28"/>
          <w:lang w:val="en-CA"/>
        </w:rPr>
        <w:t>ould</w:t>
      </w:r>
      <w:r w:rsidRPr="00FE00CA">
        <w:rPr>
          <w:rFonts w:cs="Arial"/>
          <w:kern w:val="28"/>
          <w:lang w:val="en-CA"/>
        </w:rPr>
        <w:t xml:space="preserve"> give to the jury regarding the relevance of the after</w:t>
      </w:r>
      <w:r w:rsidR="009C7765">
        <w:rPr>
          <w:rFonts w:cs="Arial"/>
          <w:kern w:val="28"/>
          <w:lang w:val="en-CA"/>
        </w:rPr>
        <w:t>-</w:t>
      </w:r>
      <w:r w:rsidRPr="00FE00CA">
        <w:rPr>
          <w:rFonts w:cs="Arial"/>
          <w:kern w:val="28"/>
          <w:lang w:val="en-CA"/>
        </w:rPr>
        <w:t>the</w:t>
      </w:r>
      <w:r w:rsidR="009C7765">
        <w:rPr>
          <w:rFonts w:cs="Arial"/>
          <w:kern w:val="28"/>
          <w:lang w:val="en-CA"/>
        </w:rPr>
        <w:t>-</w:t>
      </w:r>
      <w:r w:rsidRPr="00FE00CA">
        <w:rPr>
          <w:rFonts w:cs="Arial"/>
          <w:kern w:val="28"/>
          <w:lang w:val="en-CA"/>
        </w:rPr>
        <w:t xml:space="preserve">fact </w:t>
      </w:r>
      <w:r w:rsidR="009C7765">
        <w:rPr>
          <w:rFonts w:cs="Arial"/>
          <w:kern w:val="28"/>
          <w:lang w:val="en-CA"/>
        </w:rPr>
        <w:t xml:space="preserve">conduct </w:t>
      </w:r>
      <w:r w:rsidRPr="00FE00CA">
        <w:rPr>
          <w:rFonts w:cs="Arial"/>
          <w:kern w:val="28"/>
          <w:lang w:val="en-CA"/>
        </w:rPr>
        <w:t xml:space="preserve">to the </w:t>
      </w:r>
      <w:r w:rsidR="00D31836">
        <w:rPr>
          <w:rFonts w:cs="Arial"/>
          <w:kern w:val="28"/>
          <w:lang w:val="en-CA"/>
        </w:rPr>
        <w:t xml:space="preserve">requisite </w:t>
      </w:r>
      <w:r w:rsidRPr="00FE00CA">
        <w:rPr>
          <w:rFonts w:cs="Arial"/>
          <w:kern w:val="28"/>
          <w:lang w:val="en-CA"/>
        </w:rPr>
        <w:t xml:space="preserve">intent for </w:t>
      </w:r>
      <w:r w:rsidR="009C7765">
        <w:rPr>
          <w:rFonts w:cs="Arial"/>
          <w:kern w:val="28"/>
          <w:lang w:val="en-CA"/>
        </w:rPr>
        <w:t xml:space="preserve">second degree murder </w:t>
      </w:r>
      <w:r w:rsidRPr="00FE00CA">
        <w:rPr>
          <w:rFonts w:cs="Arial"/>
          <w:kern w:val="28"/>
          <w:lang w:val="en-CA"/>
        </w:rPr>
        <w:t>and for first degree murder. The judge state</w:t>
      </w:r>
      <w:r w:rsidR="00A537DE">
        <w:rPr>
          <w:rFonts w:cs="Arial"/>
          <w:kern w:val="28"/>
          <w:lang w:val="en-CA"/>
        </w:rPr>
        <w:t>d</w:t>
      </w:r>
      <w:r w:rsidRPr="00FE00CA">
        <w:rPr>
          <w:rFonts w:cs="Arial"/>
          <w:kern w:val="28"/>
          <w:lang w:val="en-CA"/>
        </w:rPr>
        <w:t xml:space="preserve"> her intentions, but the parties d</w:t>
      </w:r>
      <w:r w:rsidR="00A537DE">
        <w:rPr>
          <w:rFonts w:cs="Arial"/>
          <w:kern w:val="28"/>
          <w:lang w:val="en-CA"/>
        </w:rPr>
        <w:t>id</w:t>
      </w:r>
      <w:r w:rsidRPr="00FE00CA">
        <w:rPr>
          <w:rFonts w:cs="Arial"/>
          <w:kern w:val="28"/>
          <w:lang w:val="en-CA"/>
        </w:rPr>
        <w:t xml:space="preserve"> not have written draft instruction</w:t>
      </w:r>
      <w:r w:rsidR="00316D9A">
        <w:rPr>
          <w:rFonts w:cs="Arial"/>
          <w:kern w:val="28"/>
          <w:lang w:val="en-CA"/>
        </w:rPr>
        <w:t>s</w:t>
      </w:r>
      <w:r w:rsidRPr="00FE00CA">
        <w:rPr>
          <w:rFonts w:cs="Arial"/>
          <w:kern w:val="28"/>
          <w:lang w:val="en-CA"/>
        </w:rPr>
        <w:t xml:space="preserve"> </w:t>
      </w:r>
      <w:r w:rsidR="00316D9A">
        <w:rPr>
          <w:rFonts w:cs="Arial"/>
          <w:kern w:val="28"/>
          <w:lang w:val="en-CA"/>
        </w:rPr>
        <w:t>allowing</w:t>
      </w:r>
      <w:r w:rsidRPr="00FE00CA">
        <w:rPr>
          <w:rFonts w:cs="Arial"/>
          <w:kern w:val="28"/>
          <w:lang w:val="en-CA"/>
        </w:rPr>
        <w:t xml:space="preserve"> them to precisely </w:t>
      </w:r>
      <w:r w:rsidR="009C7765">
        <w:rPr>
          <w:rFonts w:cs="Arial"/>
          <w:kern w:val="28"/>
          <w:lang w:val="en-CA"/>
        </w:rPr>
        <w:t xml:space="preserve">understand </w:t>
      </w:r>
      <w:r w:rsidRPr="00FE00CA">
        <w:rPr>
          <w:rFonts w:cs="Arial"/>
          <w:kern w:val="28"/>
          <w:lang w:val="en-CA"/>
        </w:rPr>
        <w:t>the instructions that w</w:t>
      </w:r>
      <w:r w:rsidR="00A537DE">
        <w:rPr>
          <w:rFonts w:cs="Arial"/>
          <w:kern w:val="28"/>
          <w:lang w:val="en-CA"/>
        </w:rPr>
        <w:t>ould</w:t>
      </w:r>
      <w:r w:rsidRPr="00FE00CA">
        <w:rPr>
          <w:rFonts w:cs="Arial"/>
          <w:kern w:val="28"/>
          <w:lang w:val="en-CA"/>
        </w:rPr>
        <w:t xml:space="preserve"> be </w:t>
      </w:r>
      <w:r w:rsidR="009C7765">
        <w:rPr>
          <w:rFonts w:cs="Arial"/>
          <w:kern w:val="28"/>
          <w:lang w:val="en-CA"/>
        </w:rPr>
        <w:t>given</w:t>
      </w:r>
      <w:r w:rsidRPr="00FE00CA">
        <w:rPr>
          <w:rFonts w:cs="Arial"/>
          <w:kern w:val="28"/>
          <w:lang w:val="en-CA"/>
        </w:rPr>
        <w:t xml:space="preserve"> to the jury</w:t>
      </w:r>
      <w:r w:rsidR="00BC0D22" w:rsidRPr="00856CD5">
        <w:rPr>
          <w:rFonts w:cs="Arial"/>
          <w:kern w:val="28"/>
          <w:lang w:val="en-CA"/>
        </w:rPr>
        <w:t>.</w:t>
      </w:r>
    </w:p>
    <w:p w14:paraId="60958CA9" w14:textId="58A1D362" w:rsidR="0022776D" w:rsidRPr="00856CD5" w:rsidRDefault="009C7765" w:rsidP="000B6E2B">
      <w:pPr>
        <w:spacing w:before="120" w:after="120" w:line="240" w:lineRule="auto"/>
        <w:jc w:val="both"/>
        <w:rPr>
          <w:rFonts w:cs="Arial"/>
          <w:b/>
          <w:kern w:val="28"/>
          <w:lang w:val="en-CA"/>
        </w:rPr>
      </w:pPr>
      <w:r>
        <w:rPr>
          <w:rFonts w:cs="Arial"/>
          <w:b/>
          <w:kern w:val="28"/>
          <w:lang w:val="en-CA"/>
        </w:rPr>
        <w:t>The instructions</w:t>
      </w:r>
    </w:p>
    <w:p w14:paraId="64421FDC" w14:textId="7E1E20C4" w:rsidR="0022776D" w:rsidRPr="00856CD5" w:rsidRDefault="00FA11CF" w:rsidP="000B6E2B">
      <w:pPr>
        <w:numPr>
          <w:ilvl w:val="0"/>
          <w:numId w:val="18"/>
        </w:numPr>
        <w:spacing w:before="120" w:after="120" w:line="240" w:lineRule="auto"/>
        <w:jc w:val="both"/>
        <w:rPr>
          <w:rFonts w:cs="Arial"/>
          <w:kern w:val="28"/>
          <w:lang w:val="en-CA"/>
        </w:rPr>
      </w:pPr>
      <w:r w:rsidRPr="00FA11CF">
        <w:rPr>
          <w:rFonts w:cs="Arial"/>
          <w:kern w:val="28"/>
          <w:lang w:val="en-CA"/>
        </w:rPr>
        <w:t>In her instructions, the judge addresse</w:t>
      </w:r>
      <w:r>
        <w:rPr>
          <w:rFonts w:cs="Arial"/>
          <w:kern w:val="28"/>
          <w:lang w:val="en-CA"/>
        </w:rPr>
        <w:t>d</w:t>
      </w:r>
      <w:r w:rsidRPr="00FA11CF">
        <w:rPr>
          <w:rFonts w:cs="Arial"/>
          <w:kern w:val="28"/>
          <w:lang w:val="en-CA"/>
        </w:rPr>
        <w:t xml:space="preserve"> the after</w:t>
      </w:r>
      <w:r>
        <w:rPr>
          <w:rFonts w:cs="Arial"/>
          <w:kern w:val="28"/>
          <w:lang w:val="en-CA"/>
        </w:rPr>
        <w:t>-</w:t>
      </w:r>
      <w:r w:rsidRPr="00FA11CF">
        <w:rPr>
          <w:rFonts w:cs="Arial"/>
          <w:kern w:val="28"/>
          <w:lang w:val="en-CA"/>
        </w:rPr>
        <w:t>the</w:t>
      </w:r>
      <w:r>
        <w:rPr>
          <w:rFonts w:cs="Arial"/>
          <w:kern w:val="28"/>
          <w:lang w:val="en-CA"/>
        </w:rPr>
        <w:t>-</w:t>
      </w:r>
      <w:r w:rsidRPr="00FA11CF">
        <w:rPr>
          <w:rFonts w:cs="Arial"/>
          <w:kern w:val="28"/>
          <w:lang w:val="en-CA"/>
        </w:rPr>
        <w:t xml:space="preserve">fact </w:t>
      </w:r>
      <w:r>
        <w:rPr>
          <w:rFonts w:cs="Arial"/>
          <w:kern w:val="28"/>
          <w:lang w:val="en-CA"/>
        </w:rPr>
        <w:t xml:space="preserve">conduct </w:t>
      </w:r>
      <w:r w:rsidRPr="00FA11CF">
        <w:rPr>
          <w:rFonts w:cs="Arial"/>
          <w:kern w:val="28"/>
          <w:lang w:val="en-CA"/>
        </w:rPr>
        <w:t>three times before making the correction requested by the parties</w:t>
      </w:r>
      <w:r w:rsidR="0022776D" w:rsidRPr="00856CD5">
        <w:rPr>
          <w:rFonts w:cs="Arial"/>
          <w:kern w:val="28"/>
          <w:lang w:val="en-CA"/>
        </w:rPr>
        <w:t>.</w:t>
      </w:r>
    </w:p>
    <w:p w14:paraId="57CD2D69" w14:textId="66D6951C" w:rsidR="0022776D" w:rsidRPr="00856CD5" w:rsidRDefault="00FA11CF" w:rsidP="00B92A5F">
      <w:pPr>
        <w:keepNext/>
        <w:numPr>
          <w:ilvl w:val="0"/>
          <w:numId w:val="18"/>
        </w:numPr>
        <w:spacing w:before="120" w:after="120" w:line="240" w:lineRule="auto"/>
        <w:jc w:val="both"/>
        <w:rPr>
          <w:rFonts w:cs="Arial"/>
          <w:kern w:val="28"/>
          <w:lang w:val="en-CA"/>
        </w:rPr>
      </w:pPr>
      <w:r w:rsidRPr="00FA11CF">
        <w:rPr>
          <w:rFonts w:cs="Arial"/>
          <w:kern w:val="28"/>
          <w:lang w:val="en-CA"/>
        </w:rPr>
        <w:t>She first addresse</w:t>
      </w:r>
      <w:r>
        <w:rPr>
          <w:rFonts w:cs="Arial"/>
          <w:kern w:val="28"/>
          <w:lang w:val="en-CA"/>
        </w:rPr>
        <w:t>d</w:t>
      </w:r>
      <w:r w:rsidRPr="00FA11CF">
        <w:rPr>
          <w:rFonts w:cs="Arial"/>
          <w:kern w:val="28"/>
          <w:lang w:val="en-CA"/>
        </w:rPr>
        <w:t xml:space="preserve"> this </w:t>
      </w:r>
      <w:r>
        <w:rPr>
          <w:rFonts w:cs="Arial"/>
          <w:kern w:val="28"/>
          <w:lang w:val="en-CA"/>
        </w:rPr>
        <w:t>conduct</w:t>
      </w:r>
      <w:r w:rsidRPr="00FA11CF">
        <w:rPr>
          <w:rFonts w:cs="Arial"/>
          <w:kern w:val="28"/>
          <w:lang w:val="en-CA"/>
        </w:rPr>
        <w:t xml:space="preserve"> as part of her instructions </w:t>
      </w:r>
      <w:r>
        <w:rPr>
          <w:rFonts w:cs="Arial"/>
          <w:kern w:val="28"/>
          <w:lang w:val="en-CA"/>
        </w:rPr>
        <w:t>concerning</w:t>
      </w:r>
      <w:r w:rsidRPr="00FA11CF">
        <w:rPr>
          <w:rFonts w:cs="Arial"/>
          <w:kern w:val="28"/>
          <w:lang w:val="en-CA"/>
        </w:rPr>
        <w:t xml:space="preserve"> the </w:t>
      </w:r>
      <w:r w:rsidR="008D2926">
        <w:rPr>
          <w:rFonts w:cs="Arial"/>
          <w:lang w:val="en-CA"/>
        </w:rPr>
        <w:t xml:space="preserve">defence of </w:t>
      </w:r>
      <w:r w:rsidRPr="00FA11CF">
        <w:rPr>
          <w:rFonts w:cs="Arial"/>
          <w:kern w:val="28"/>
          <w:lang w:val="en-CA"/>
        </w:rPr>
        <w:t>mental disorder</w:t>
      </w:r>
      <w:r w:rsidR="0022776D" w:rsidRPr="00856CD5">
        <w:rPr>
          <w:rFonts w:cs="Arial"/>
          <w:kern w:val="28"/>
          <w:lang w:val="en-CA"/>
        </w:rPr>
        <w:t>:</w:t>
      </w:r>
    </w:p>
    <w:p w14:paraId="39895801" w14:textId="512336D3" w:rsidR="009273A3" w:rsidRPr="00B92A5F" w:rsidRDefault="009273A3" w:rsidP="00B92A5F">
      <w:pPr>
        <w:pStyle w:val="Citationenretrait"/>
        <w:keepNext/>
        <w:spacing w:line="240" w:lineRule="auto"/>
        <w:rPr>
          <w:rFonts w:cs="Arial"/>
          <w:szCs w:val="22"/>
          <w:lang w:val="en-CA"/>
        </w:rPr>
      </w:pPr>
      <w:r w:rsidRPr="00B92A5F">
        <w:rPr>
          <w:rFonts w:cs="Arial"/>
          <w:szCs w:val="22"/>
          <w:lang w:val="en-CA"/>
        </w:rPr>
        <w:t>[</w:t>
      </w:r>
      <w:r w:rsidR="00BB2B93">
        <w:rPr>
          <w:rFonts w:cs="Arial"/>
          <w:smallCaps/>
          <w:szCs w:val="22"/>
          <w:lang w:val="en-CA"/>
        </w:rPr>
        <w:t>translation</w:t>
      </w:r>
      <w:r w:rsidRPr="00B92A5F">
        <w:rPr>
          <w:rFonts w:cs="Arial"/>
          <w:szCs w:val="22"/>
          <w:lang w:val="en-CA"/>
        </w:rPr>
        <w:t>]</w:t>
      </w:r>
    </w:p>
    <w:p w14:paraId="7DA863D9" w14:textId="6F0231C5" w:rsidR="002A2758" w:rsidRPr="002A2758" w:rsidRDefault="002A2758" w:rsidP="00B92A5F">
      <w:pPr>
        <w:pStyle w:val="Citationenretrait"/>
        <w:keepNext/>
        <w:spacing w:line="240" w:lineRule="auto"/>
        <w:rPr>
          <w:lang w:val="en-CA"/>
        </w:rPr>
      </w:pPr>
      <w:r w:rsidRPr="002A2758">
        <w:rPr>
          <w:lang w:val="en-CA"/>
        </w:rPr>
        <w:t xml:space="preserve">So </w:t>
      </w:r>
      <w:r w:rsidR="00CF67B1">
        <w:rPr>
          <w:lang w:val="en-CA"/>
        </w:rPr>
        <w:t xml:space="preserve">then </w:t>
      </w:r>
      <w:r w:rsidRPr="002A2758">
        <w:rPr>
          <w:lang w:val="en-CA"/>
        </w:rPr>
        <w:t xml:space="preserve">the second </w:t>
      </w:r>
      <w:r w:rsidR="005A0C3C">
        <w:rPr>
          <w:lang w:val="en-CA"/>
        </w:rPr>
        <w:t>requirement</w:t>
      </w:r>
      <w:r w:rsidRPr="002A2758">
        <w:rPr>
          <w:lang w:val="en-CA"/>
        </w:rPr>
        <w:t xml:space="preserve">: you must decide whether Mr. Tshilumba has established, on </w:t>
      </w:r>
      <w:r>
        <w:rPr>
          <w:lang w:val="en-CA"/>
        </w:rPr>
        <w:t>a</w:t>
      </w:r>
      <w:r w:rsidRPr="002A2758">
        <w:rPr>
          <w:lang w:val="en-CA"/>
        </w:rPr>
        <w:t xml:space="preserve"> balance of probabilities, that </w:t>
      </w:r>
      <w:r w:rsidR="00A537DE">
        <w:rPr>
          <w:lang w:val="en-CA"/>
        </w:rPr>
        <w:t>his</w:t>
      </w:r>
      <w:r w:rsidRPr="002A2758">
        <w:rPr>
          <w:lang w:val="en-CA"/>
        </w:rPr>
        <w:t xml:space="preserve"> mental disorder, because if you have reached this second </w:t>
      </w:r>
      <w:r w:rsidR="005A0C3C">
        <w:rPr>
          <w:lang w:val="en-CA"/>
        </w:rPr>
        <w:t>requirement</w:t>
      </w:r>
      <w:r w:rsidRPr="002A2758">
        <w:rPr>
          <w:lang w:val="en-CA"/>
        </w:rPr>
        <w:t xml:space="preserve">, it is because you </w:t>
      </w:r>
      <w:r w:rsidR="00BB2B93">
        <w:rPr>
          <w:lang w:val="en-CA"/>
        </w:rPr>
        <w:t>have</w:t>
      </w:r>
      <w:r w:rsidRPr="002A2758">
        <w:rPr>
          <w:lang w:val="en-CA"/>
        </w:rPr>
        <w:t xml:space="preserve"> been</w:t>
      </w:r>
      <w:r w:rsidR="00BB2B93">
        <w:rPr>
          <w:lang w:val="en-CA"/>
        </w:rPr>
        <w:t xml:space="preserve"> </w:t>
      </w:r>
      <w:r w:rsidRPr="002A2758">
        <w:rPr>
          <w:lang w:val="en-CA"/>
        </w:rPr>
        <w:t xml:space="preserve">... he convinced you, </w:t>
      </w:r>
      <w:r>
        <w:rPr>
          <w:lang w:val="en-CA"/>
        </w:rPr>
        <w:t>on a</w:t>
      </w:r>
      <w:r w:rsidRPr="002A2758">
        <w:rPr>
          <w:lang w:val="en-CA"/>
        </w:rPr>
        <w:t xml:space="preserve"> balance of probabilities, that </w:t>
      </w:r>
      <w:r>
        <w:rPr>
          <w:lang w:val="en-CA"/>
        </w:rPr>
        <w:t>he was in fact</w:t>
      </w:r>
      <w:r w:rsidRPr="002A2758">
        <w:rPr>
          <w:lang w:val="en-CA"/>
        </w:rPr>
        <w:t xml:space="preserve"> suffer</w:t>
      </w:r>
      <w:r>
        <w:rPr>
          <w:lang w:val="en-CA"/>
        </w:rPr>
        <w:t>ing</w:t>
      </w:r>
      <w:r w:rsidRPr="002A2758">
        <w:rPr>
          <w:lang w:val="en-CA"/>
        </w:rPr>
        <w:t xml:space="preserve"> from a mental disorder, that this illness </w:t>
      </w:r>
      <w:r w:rsidR="00BB2B93">
        <w:rPr>
          <w:lang w:val="en-CA"/>
        </w:rPr>
        <w:t>rendered</w:t>
      </w:r>
      <w:r w:rsidRPr="002A2758">
        <w:rPr>
          <w:lang w:val="en-CA"/>
        </w:rPr>
        <w:t xml:space="preserve"> him </w:t>
      </w:r>
      <w:r w:rsidR="00502045">
        <w:rPr>
          <w:lang w:val="en-CA"/>
        </w:rPr>
        <w:t xml:space="preserve">incapable </w:t>
      </w:r>
      <w:r w:rsidR="00502045" w:rsidRPr="00F72925">
        <w:rPr>
          <w:lang w:val="en-CA"/>
        </w:rPr>
        <w:t xml:space="preserve">of </w:t>
      </w:r>
      <w:r w:rsidR="00502045">
        <w:rPr>
          <w:lang w:val="en-CA"/>
        </w:rPr>
        <w:t>appreciating</w:t>
      </w:r>
      <w:r w:rsidR="00502045" w:rsidRPr="00F72925">
        <w:rPr>
          <w:lang w:val="en-CA"/>
        </w:rPr>
        <w:t xml:space="preserve"> the nature </w:t>
      </w:r>
      <w:r w:rsidR="00502045" w:rsidRPr="00F72925">
        <w:rPr>
          <w:lang w:val="en-CA"/>
        </w:rPr>
        <w:lastRenderedPageBreak/>
        <w:t>and quality of his act</w:t>
      </w:r>
      <w:r w:rsidR="00502045">
        <w:rPr>
          <w:lang w:val="en-CA"/>
        </w:rPr>
        <w:t>s</w:t>
      </w:r>
      <w:r w:rsidR="00502045" w:rsidRPr="00F72925">
        <w:rPr>
          <w:lang w:val="en-CA"/>
        </w:rPr>
        <w:t xml:space="preserve"> or of knowing that </w:t>
      </w:r>
      <w:r w:rsidR="00502045">
        <w:rPr>
          <w:lang w:val="en-CA"/>
        </w:rPr>
        <w:t>the</w:t>
      </w:r>
      <w:r w:rsidR="00502045" w:rsidRPr="00F72925">
        <w:rPr>
          <w:lang w:val="en-CA"/>
        </w:rPr>
        <w:t xml:space="preserve"> act</w:t>
      </w:r>
      <w:r w:rsidR="00502045">
        <w:rPr>
          <w:lang w:val="en-CA"/>
        </w:rPr>
        <w:t xml:space="preserve"> was</w:t>
      </w:r>
      <w:r w:rsidR="00502045" w:rsidRPr="00F72925">
        <w:rPr>
          <w:lang w:val="en-CA"/>
        </w:rPr>
        <w:t xml:space="preserve"> wrong</w:t>
      </w:r>
      <w:r w:rsidRPr="002A2758">
        <w:rPr>
          <w:lang w:val="en-CA"/>
        </w:rPr>
        <w:t xml:space="preserve">. I was talking about </w:t>
      </w:r>
      <w:r w:rsidR="00993250">
        <w:rPr>
          <w:lang w:val="en-CA"/>
        </w:rPr>
        <w:t xml:space="preserve">the </w:t>
      </w:r>
      <w:r w:rsidR="00A613D9">
        <w:rPr>
          <w:lang w:val="en-CA"/>
        </w:rPr>
        <w:t>conduct</w:t>
      </w:r>
      <w:r w:rsidRPr="002A2758">
        <w:rPr>
          <w:lang w:val="en-CA"/>
        </w:rPr>
        <w:t xml:space="preserve"> after the events. </w:t>
      </w:r>
      <w:r w:rsidRPr="002A2758">
        <w:rPr>
          <w:u w:val="single"/>
          <w:lang w:val="en-CA"/>
        </w:rPr>
        <w:t xml:space="preserve">You have heard the evidence </w:t>
      </w:r>
      <w:r w:rsidR="00502045">
        <w:rPr>
          <w:u w:val="single"/>
          <w:lang w:val="en-CA"/>
        </w:rPr>
        <w:t>concerning</w:t>
      </w:r>
      <w:r w:rsidRPr="002A2758">
        <w:rPr>
          <w:u w:val="single"/>
          <w:lang w:val="en-CA"/>
        </w:rPr>
        <w:t xml:space="preserve"> the </w:t>
      </w:r>
      <w:r w:rsidR="00502045">
        <w:rPr>
          <w:u w:val="single"/>
          <w:lang w:val="en-CA"/>
        </w:rPr>
        <w:t xml:space="preserve">accused’s </w:t>
      </w:r>
      <w:r w:rsidR="00A613D9">
        <w:rPr>
          <w:u w:val="single"/>
          <w:lang w:val="en-CA"/>
        </w:rPr>
        <w:t>conduct</w:t>
      </w:r>
      <w:r w:rsidRPr="002A2758">
        <w:rPr>
          <w:u w:val="single"/>
          <w:lang w:val="en-CA"/>
        </w:rPr>
        <w:t xml:space="preserve"> after the events at </w:t>
      </w:r>
      <w:r w:rsidR="00993250">
        <w:rPr>
          <w:u w:val="single"/>
          <w:lang w:val="en-CA"/>
        </w:rPr>
        <w:t xml:space="preserve">the </w:t>
      </w:r>
      <w:r w:rsidRPr="002A2758">
        <w:rPr>
          <w:u w:val="single"/>
          <w:lang w:val="en-CA"/>
        </w:rPr>
        <w:t>Maxi. This is circumstantial evidence. You can consider what inference you might draw from this evidence</w:t>
      </w:r>
      <w:r w:rsidRPr="002A2758">
        <w:rPr>
          <w:lang w:val="en-CA"/>
        </w:rPr>
        <w:t xml:space="preserve">. A fact is established by inference when it can be logically and reasonably deduced from another fact or </w:t>
      </w:r>
      <w:r w:rsidR="00502045">
        <w:rPr>
          <w:lang w:val="en-CA"/>
        </w:rPr>
        <w:t>set</w:t>
      </w:r>
      <w:r w:rsidRPr="002A2758">
        <w:rPr>
          <w:lang w:val="en-CA"/>
        </w:rPr>
        <w:t xml:space="preserve"> of facts presented at trial.</w:t>
      </w:r>
    </w:p>
    <w:p w14:paraId="3328E702" w14:textId="53308D7A" w:rsidR="0022776D" w:rsidRPr="00856CD5" w:rsidRDefault="00502045" w:rsidP="002A2758">
      <w:pPr>
        <w:pStyle w:val="Citationenretrait"/>
        <w:spacing w:line="240" w:lineRule="auto"/>
        <w:rPr>
          <w:lang w:val="en-CA"/>
        </w:rPr>
      </w:pPr>
      <w:r>
        <w:rPr>
          <w:u w:val="single"/>
          <w:lang w:val="en-CA"/>
        </w:rPr>
        <w:t>So</w:t>
      </w:r>
      <w:r w:rsidR="002A2758" w:rsidRPr="002A2758">
        <w:rPr>
          <w:u w:val="single"/>
          <w:lang w:val="en-CA"/>
        </w:rPr>
        <w:t xml:space="preserve"> the accused raises a </w:t>
      </w:r>
      <w:r w:rsidR="008D2926" w:rsidRPr="00D90A63">
        <w:rPr>
          <w:rFonts w:cs="Arial"/>
          <w:u w:val="single"/>
          <w:lang w:val="en-CA"/>
        </w:rPr>
        <w:t xml:space="preserve">defence of </w:t>
      </w:r>
      <w:r w:rsidR="002A2758" w:rsidRPr="002A2758">
        <w:rPr>
          <w:u w:val="single"/>
          <w:lang w:val="en-CA"/>
        </w:rPr>
        <w:t xml:space="preserve">mental disorder. You </w:t>
      </w:r>
      <w:r>
        <w:rPr>
          <w:u w:val="single"/>
          <w:lang w:val="en-CA"/>
        </w:rPr>
        <w:t>can</w:t>
      </w:r>
      <w:r w:rsidR="002A2758" w:rsidRPr="002A2758">
        <w:rPr>
          <w:u w:val="single"/>
          <w:lang w:val="en-CA"/>
        </w:rPr>
        <w:t xml:space="preserve"> consider this evidence when analyzing this defen</w:t>
      </w:r>
      <w:r>
        <w:rPr>
          <w:u w:val="single"/>
          <w:lang w:val="en-CA"/>
        </w:rPr>
        <w:t>c</w:t>
      </w:r>
      <w:r w:rsidR="002A2758" w:rsidRPr="002A2758">
        <w:rPr>
          <w:u w:val="single"/>
          <w:lang w:val="en-CA"/>
        </w:rPr>
        <w:t xml:space="preserve">e. Your assessment of this circumstantial evidence must always be made in </w:t>
      </w:r>
      <w:r>
        <w:rPr>
          <w:u w:val="single"/>
          <w:lang w:val="en-CA"/>
        </w:rPr>
        <w:t>light of</w:t>
      </w:r>
      <w:r w:rsidR="002A2758" w:rsidRPr="002A2758">
        <w:rPr>
          <w:u w:val="single"/>
          <w:lang w:val="en-CA"/>
        </w:rPr>
        <w:t xml:space="preserve"> the evidence as a whole. It will be up to you to decide what inferences</w:t>
      </w:r>
      <w:r w:rsidR="00993250">
        <w:rPr>
          <w:u w:val="single"/>
          <w:lang w:val="en-CA"/>
        </w:rPr>
        <w:t>, if any,</w:t>
      </w:r>
      <w:r w:rsidR="002A2758" w:rsidRPr="002A2758">
        <w:rPr>
          <w:u w:val="single"/>
          <w:lang w:val="en-CA"/>
        </w:rPr>
        <w:t xml:space="preserve"> you can draw from this evidence, and whether these inferences can help you decide whether </w:t>
      </w:r>
      <w:r>
        <w:rPr>
          <w:u w:val="single"/>
          <w:lang w:val="en-CA"/>
        </w:rPr>
        <w:t xml:space="preserve">or not </w:t>
      </w:r>
      <w:r w:rsidR="002A2758" w:rsidRPr="002A2758">
        <w:rPr>
          <w:u w:val="single"/>
          <w:lang w:val="en-CA"/>
        </w:rPr>
        <w:t>the accused knew that the act</w:t>
      </w:r>
      <w:r>
        <w:rPr>
          <w:u w:val="single"/>
          <w:lang w:val="en-CA"/>
        </w:rPr>
        <w:t>s committed</w:t>
      </w:r>
      <w:r w:rsidR="002A2758" w:rsidRPr="002A2758">
        <w:rPr>
          <w:u w:val="single"/>
          <w:lang w:val="en-CA"/>
        </w:rPr>
        <w:t xml:space="preserve"> at the time of the events</w:t>
      </w:r>
      <w:r>
        <w:rPr>
          <w:u w:val="single"/>
          <w:lang w:val="en-CA"/>
        </w:rPr>
        <w:t xml:space="preserve"> were wrong</w:t>
      </w:r>
      <w:r w:rsidR="002A2758" w:rsidRPr="002A2758">
        <w:rPr>
          <w:lang w:val="en-CA"/>
        </w:rPr>
        <w:t xml:space="preserve">. </w:t>
      </w:r>
      <w:r w:rsidR="00A613D9">
        <w:rPr>
          <w:lang w:val="en-CA"/>
        </w:rPr>
        <w:t>So, a</w:t>
      </w:r>
      <w:r w:rsidR="002A2758" w:rsidRPr="002A2758">
        <w:rPr>
          <w:lang w:val="en-CA"/>
        </w:rPr>
        <w:t xml:space="preserve"> fact is established by inference when it can be deduced logically and reasonably from another fact or </w:t>
      </w:r>
      <w:r>
        <w:rPr>
          <w:lang w:val="en-CA"/>
        </w:rPr>
        <w:t xml:space="preserve">set </w:t>
      </w:r>
      <w:r w:rsidR="002A2758" w:rsidRPr="002A2758">
        <w:rPr>
          <w:lang w:val="en-CA"/>
        </w:rPr>
        <w:t xml:space="preserve">of facts presented at trial. The </w:t>
      </w:r>
      <w:r>
        <w:rPr>
          <w:lang w:val="en-CA"/>
        </w:rPr>
        <w:t xml:space="preserve">accused’s </w:t>
      </w:r>
      <w:r w:rsidR="00A613D9">
        <w:rPr>
          <w:lang w:val="en-CA"/>
        </w:rPr>
        <w:t>conduct</w:t>
      </w:r>
      <w:r>
        <w:rPr>
          <w:lang w:val="en-CA"/>
        </w:rPr>
        <w:t xml:space="preserve"> </w:t>
      </w:r>
      <w:r w:rsidR="002A2758" w:rsidRPr="002A2758">
        <w:rPr>
          <w:lang w:val="en-CA"/>
        </w:rPr>
        <w:t>after the events, I</w:t>
      </w:r>
      <w:r w:rsidR="00A613D9">
        <w:rPr>
          <w:lang w:val="en-CA"/>
        </w:rPr>
        <w:t>’m</w:t>
      </w:r>
      <w:r w:rsidR="001E1E99">
        <w:rPr>
          <w:lang w:val="en-CA"/>
        </w:rPr>
        <w:t xml:space="preserve"> </w:t>
      </w:r>
      <w:r w:rsidR="002A2758" w:rsidRPr="002A2758">
        <w:rPr>
          <w:lang w:val="en-CA"/>
        </w:rPr>
        <w:t>suggest</w:t>
      </w:r>
      <w:r w:rsidR="001E1E99">
        <w:rPr>
          <w:lang w:val="en-CA"/>
        </w:rPr>
        <w:t>ing</w:t>
      </w:r>
      <w:r w:rsidR="002A2758" w:rsidRPr="002A2758">
        <w:rPr>
          <w:lang w:val="en-CA"/>
        </w:rPr>
        <w:t xml:space="preserve"> a few</w:t>
      </w:r>
      <w:r>
        <w:rPr>
          <w:lang w:val="en-CA"/>
        </w:rPr>
        <w:t xml:space="preserve"> </w:t>
      </w:r>
      <w:r w:rsidR="005F2054">
        <w:rPr>
          <w:lang w:val="en-CA"/>
        </w:rPr>
        <w:t xml:space="preserve">of them </w:t>
      </w:r>
      <w:r>
        <w:rPr>
          <w:lang w:val="en-CA"/>
        </w:rPr>
        <w:t>to you</w:t>
      </w:r>
      <w:r w:rsidR="002A2758" w:rsidRPr="002A2758">
        <w:rPr>
          <w:lang w:val="en-CA"/>
        </w:rPr>
        <w:t>, it</w:t>
      </w:r>
      <w:r w:rsidR="00A613D9">
        <w:rPr>
          <w:lang w:val="en-CA"/>
        </w:rPr>
        <w:t>’</w:t>
      </w:r>
      <w:r w:rsidR="002A2758" w:rsidRPr="002A2758">
        <w:rPr>
          <w:lang w:val="en-CA"/>
        </w:rPr>
        <w:t xml:space="preserve">s up to you to decide, </w:t>
      </w:r>
      <w:r w:rsidR="005F2054">
        <w:rPr>
          <w:lang w:val="en-CA"/>
        </w:rPr>
        <w:t>perhaps</w:t>
      </w:r>
      <w:r w:rsidR="002A2758" w:rsidRPr="002A2758">
        <w:rPr>
          <w:lang w:val="en-CA"/>
        </w:rPr>
        <w:t xml:space="preserve"> I have forgotten some or you want to add some, it will be up to you to decide.</w:t>
      </w:r>
    </w:p>
    <w:p w14:paraId="62F788F4" w14:textId="7FD3EBB8" w:rsidR="00BC42FE" w:rsidRPr="00856CD5" w:rsidRDefault="00213570" w:rsidP="000B6E2B">
      <w:pPr>
        <w:pStyle w:val="Citationenretrait"/>
        <w:spacing w:line="240" w:lineRule="auto"/>
        <w:jc w:val="right"/>
        <w:rPr>
          <w:lang w:val="en-CA"/>
        </w:rPr>
      </w:pPr>
      <w:r w:rsidRPr="00856CD5">
        <w:rPr>
          <w:lang w:val="en-CA"/>
        </w:rPr>
        <w:t xml:space="preserve"> </w:t>
      </w:r>
      <w:r w:rsidR="00BC42FE" w:rsidRPr="00856CD5">
        <w:rPr>
          <w:lang w:val="en-CA"/>
        </w:rPr>
        <w:t>[</w:t>
      </w:r>
      <w:r w:rsidR="009273A3">
        <w:rPr>
          <w:lang w:val="en-CA"/>
        </w:rPr>
        <w:t>Emphasis added</w:t>
      </w:r>
      <w:r w:rsidR="00A613D9">
        <w:rPr>
          <w:lang w:val="en-CA"/>
        </w:rPr>
        <w:t>.</w:t>
      </w:r>
      <w:r w:rsidR="00BC42FE" w:rsidRPr="00856CD5">
        <w:rPr>
          <w:lang w:val="en-CA"/>
        </w:rPr>
        <w:t>]</w:t>
      </w:r>
    </w:p>
    <w:p w14:paraId="48FA3188" w14:textId="70AEA52D" w:rsidR="00782909" w:rsidRPr="00856CD5" w:rsidRDefault="00151964" w:rsidP="000B6E2B">
      <w:pPr>
        <w:numPr>
          <w:ilvl w:val="0"/>
          <w:numId w:val="18"/>
        </w:numPr>
        <w:spacing w:before="120" w:after="120" w:line="240" w:lineRule="auto"/>
        <w:jc w:val="both"/>
        <w:rPr>
          <w:rFonts w:cs="Arial"/>
          <w:kern w:val="28"/>
          <w:lang w:val="en-CA"/>
        </w:rPr>
      </w:pPr>
      <w:r w:rsidRPr="00151964">
        <w:rPr>
          <w:rFonts w:cs="Arial"/>
          <w:kern w:val="28"/>
          <w:lang w:val="en-CA"/>
        </w:rPr>
        <w:t xml:space="preserve">After </w:t>
      </w:r>
      <w:r w:rsidR="001E1E99" w:rsidRPr="00151964">
        <w:rPr>
          <w:rFonts w:cs="Arial"/>
          <w:kern w:val="28"/>
          <w:lang w:val="en-CA"/>
        </w:rPr>
        <w:t>summariz</w:t>
      </w:r>
      <w:r w:rsidR="001E1E99">
        <w:rPr>
          <w:rFonts w:cs="Arial"/>
          <w:kern w:val="28"/>
          <w:lang w:val="en-CA"/>
        </w:rPr>
        <w:t>ing</w:t>
      </w:r>
      <w:r w:rsidR="001E1E99" w:rsidRPr="00151964">
        <w:rPr>
          <w:rFonts w:cs="Arial"/>
          <w:kern w:val="28"/>
          <w:lang w:val="en-CA"/>
        </w:rPr>
        <w:t xml:space="preserve"> </w:t>
      </w:r>
      <w:r w:rsidRPr="00151964">
        <w:rPr>
          <w:rFonts w:cs="Arial"/>
          <w:kern w:val="28"/>
          <w:lang w:val="en-CA"/>
        </w:rPr>
        <w:t xml:space="preserve">the evidence </w:t>
      </w:r>
      <w:r>
        <w:rPr>
          <w:rFonts w:cs="Arial"/>
          <w:kern w:val="28"/>
          <w:lang w:val="en-CA"/>
        </w:rPr>
        <w:t>concerning</w:t>
      </w:r>
      <w:r w:rsidRPr="00151964">
        <w:rPr>
          <w:rFonts w:cs="Arial"/>
          <w:kern w:val="28"/>
          <w:lang w:val="en-CA"/>
        </w:rPr>
        <w:t xml:space="preserve"> the appellant</w:t>
      </w:r>
      <w:r w:rsidR="00A613D9">
        <w:rPr>
          <w:rFonts w:cs="Arial"/>
          <w:kern w:val="28"/>
          <w:lang w:val="en-CA"/>
        </w:rPr>
        <w:t>’</w:t>
      </w:r>
      <w:r w:rsidRPr="00151964">
        <w:rPr>
          <w:rFonts w:cs="Arial"/>
          <w:kern w:val="28"/>
          <w:lang w:val="en-CA"/>
        </w:rPr>
        <w:t xml:space="preserve">s </w:t>
      </w:r>
      <w:r w:rsidR="001E1E99">
        <w:rPr>
          <w:rFonts w:cs="Arial"/>
          <w:kern w:val="28"/>
          <w:lang w:val="en-CA"/>
        </w:rPr>
        <w:t xml:space="preserve">post-homicide </w:t>
      </w:r>
      <w:r w:rsidR="004E603A">
        <w:rPr>
          <w:rFonts w:cs="Arial"/>
          <w:kern w:val="28"/>
          <w:lang w:val="en-CA"/>
        </w:rPr>
        <w:t>conduct</w:t>
      </w:r>
      <w:r w:rsidRPr="00151964">
        <w:rPr>
          <w:rFonts w:cs="Arial"/>
          <w:kern w:val="28"/>
          <w:lang w:val="en-CA"/>
        </w:rPr>
        <w:t>, the judge ma</w:t>
      </w:r>
      <w:r>
        <w:rPr>
          <w:rFonts w:cs="Arial"/>
          <w:kern w:val="28"/>
          <w:lang w:val="en-CA"/>
        </w:rPr>
        <w:t>de</w:t>
      </w:r>
      <w:r w:rsidRPr="00151964">
        <w:rPr>
          <w:rFonts w:cs="Arial"/>
          <w:kern w:val="28"/>
          <w:lang w:val="en-CA"/>
        </w:rPr>
        <w:t xml:space="preserve"> the following observations</w:t>
      </w:r>
      <w:r w:rsidR="00782909" w:rsidRPr="00856CD5">
        <w:rPr>
          <w:rFonts w:cs="Arial"/>
          <w:kern w:val="28"/>
          <w:lang w:val="en-CA"/>
        </w:rPr>
        <w:t>:</w:t>
      </w:r>
    </w:p>
    <w:p w14:paraId="5C218CB7" w14:textId="7703A2BC" w:rsidR="00151964" w:rsidRPr="00A613D9" w:rsidRDefault="00151964" w:rsidP="00151964">
      <w:pPr>
        <w:pStyle w:val="Citationenretrait"/>
        <w:spacing w:line="240" w:lineRule="auto"/>
        <w:rPr>
          <w:szCs w:val="22"/>
          <w:lang w:val="en-CA"/>
        </w:rPr>
      </w:pPr>
      <w:r w:rsidRPr="00B92A5F">
        <w:rPr>
          <w:rFonts w:cs="Arial"/>
          <w:szCs w:val="22"/>
          <w:lang w:val="en-CA"/>
        </w:rPr>
        <w:t>[</w:t>
      </w:r>
      <w:r w:rsidR="00A613D9">
        <w:rPr>
          <w:rFonts w:cs="Arial"/>
          <w:smallCaps/>
          <w:szCs w:val="22"/>
          <w:lang w:val="en-CA"/>
        </w:rPr>
        <w:t>translation</w:t>
      </w:r>
      <w:r w:rsidRPr="00B92A5F">
        <w:rPr>
          <w:rFonts w:cs="Arial"/>
          <w:szCs w:val="22"/>
          <w:lang w:val="en-CA"/>
        </w:rPr>
        <w:t>]</w:t>
      </w:r>
    </w:p>
    <w:p w14:paraId="32B4774C" w14:textId="36EEE99B" w:rsidR="00151964" w:rsidRPr="00151964" w:rsidRDefault="00151964" w:rsidP="00151964">
      <w:pPr>
        <w:pStyle w:val="Citationenretrait"/>
        <w:spacing w:line="240" w:lineRule="auto"/>
        <w:rPr>
          <w:lang w:val="en-CA"/>
        </w:rPr>
      </w:pPr>
      <w:r>
        <w:rPr>
          <w:lang w:val="en-CA"/>
        </w:rPr>
        <w:t>So</w:t>
      </w:r>
      <w:r w:rsidRPr="00151964">
        <w:rPr>
          <w:lang w:val="en-CA"/>
        </w:rPr>
        <w:t xml:space="preserve"> you must </w:t>
      </w:r>
      <w:r>
        <w:rPr>
          <w:lang w:val="en-CA"/>
        </w:rPr>
        <w:t>consider</w:t>
      </w:r>
      <w:r w:rsidRPr="00151964">
        <w:rPr>
          <w:lang w:val="en-CA"/>
        </w:rPr>
        <w:t xml:space="preserve"> the </w:t>
      </w:r>
      <w:r>
        <w:rPr>
          <w:lang w:val="en-CA"/>
        </w:rPr>
        <w:t xml:space="preserve">accused’s </w:t>
      </w:r>
      <w:r w:rsidRPr="00151964">
        <w:rPr>
          <w:lang w:val="en-CA"/>
        </w:rPr>
        <w:t xml:space="preserve">testimony. He </w:t>
      </w:r>
      <w:r w:rsidR="0028225C">
        <w:rPr>
          <w:lang w:val="en-CA"/>
        </w:rPr>
        <w:t>gave</w:t>
      </w:r>
      <w:r w:rsidRPr="00151964">
        <w:rPr>
          <w:lang w:val="en-CA"/>
        </w:rPr>
        <w:t xml:space="preserve"> you </w:t>
      </w:r>
      <w:r>
        <w:rPr>
          <w:lang w:val="en-CA"/>
        </w:rPr>
        <w:t>some</w:t>
      </w:r>
      <w:r w:rsidRPr="00151964">
        <w:rPr>
          <w:lang w:val="en-CA"/>
        </w:rPr>
        <w:t xml:space="preserve"> explanations concerning these </w:t>
      </w:r>
      <w:r w:rsidR="0028225C">
        <w:rPr>
          <w:lang w:val="en-CA"/>
        </w:rPr>
        <w:t>facts</w:t>
      </w:r>
      <w:r w:rsidRPr="00151964">
        <w:rPr>
          <w:lang w:val="en-CA"/>
        </w:rPr>
        <w:t>. I refer you to his testimony</w:t>
      </w:r>
      <w:r w:rsidR="0028225C">
        <w:rPr>
          <w:lang w:val="en-CA"/>
        </w:rPr>
        <w:t xml:space="preserve"> </w:t>
      </w:r>
      <w:r w:rsidRPr="00151964">
        <w:rPr>
          <w:lang w:val="en-CA"/>
        </w:rPr>
        <w:t>–</w:t>
      </w:r>
      <w:r w:rsidR="0028225C">
        <w:rPr>
          <w:lang w:val="en-CA"/>
        </w:rPr>
        <w:t xml:space="preserve"> </w:t>
      </w:r>
      <w:r w:rsidRPr="00151964">
        <w:rPr>
          <w:lang w:val="en-CA"/>
        </w:rPr>
        <w:t>I</w:t>
      </w:r>
      <w:r>
        <w:rPr>
          <w:lang w:val="en-CA"/>
        </w:rPr>
        <w:t>’m</w:t>
      </w:r>
      <w:r w:rsidRPr="00151964">
        <w:rPr>
          <w:lang w:val="en-CA"/>
        </w:rPr>
        <w:t xml:space="preserve"> not going to summarize it</w:t>
      </w:r>
      <w:r w:rsidR="001E1E99">
        <w:rPr>
          <w:lang w:val="en-CA"/>
        </w:rPr>
        <w:t xml:space="preserve"> again</w:t>
      </w:r>
      <w:r w:rsidR="0028225C">
        <w:rPr>
          <w:lang w:val="en-CA"/>
        </w:rPr>
        <w:t xml:space="preserve"> </w:t>
      </w:r>
      <w:r w:rsidRPr="00151964">
        <w:rPr>
          <w:lang w:val="en-CA"/>
        </w:rPr>
        <w:t>–</w:t>
      </w:r>
      <w:r w:rsidR="0028225C">
        <w:rPr>
          <w:lang w:val="en-CA"/>
        </w:rPr>
        <w:t xml:space="preserve"> </w:t>
      </w:r>
      <w:r w:rsidRPr="00151964">
        <w:rPr>
          <w:lang w:val="en-CA"/>
        </w:rPr>
        <w:t>where he state</w:t>
      </w:r>
      <w:r w:rsidR="0028225C">
        <w:rPr>
          <w:lang w:val="en-CA"/>
        </w:rPr>
        <w:t>d</w:t>
      </w:r>
      <w:r w:rsidRPr="00151964">
        <w:rPr>
          <w:lang w:val="en-CA"/>
        </w:rPr>
        <w:t xml:space="preserve">, among other things, that he </w:t>
      </w:r>
      <w:r>
        <w:rPr>
          <w:lang w:val="en-CA"/>
        </w:rPr>
        <w:t>was</w:t>
      </w:r>
      <w:r w:rsidRPr="00151964">
        <w:rPr>
          <w:lang w:val="en-CA"/>
        </w:rPr>
        <w:t xml:space="preserve"> at the Maxi and</w:t>
      </w:r>
      <w:r w:rsidR="0028225C">
        <w:rPr>
          <w:lang w:val="en-CA"/>
        </w:rPr>
        <w:t xml:space="preserve"> </w:t>
      </w:r>
      <w:r w:rsidRPr="00151964">
        <w:rPr>
          <w:lang w:val="en-CA"/>
        </w:rPr>
        <w:t xml:space="preserve">... </w:t>
      </w:r>
      <w:r w:rsidRPr="00151964">
        <w:rPr>
          <w:u w:val="single"/>
          <w:lang w:val="en-CA"/>
        </w:rPr>
        <w:t>that he fle</w:t>
      </w:r>
      <w:r>
        <w:rPr>
          <w:u w:val="single"/>
          <w:lang w:val="en-CA"/>
        </w:rPr>
        <w:t>d</w:t>
      </w:r>
      <w:r w:rsidRPr="00151964">
        <w:rPr>
          <w:u w:val="single"/>
          <w:lang w:val="en-CA"/>
        </w:rPr>
        <w:t xml:space="preserve"> the Maxi and hid </w:t>
      </w:r>
      <w:r w:rsidR="001E1E99">
        <w:rPr>
          <w:u w:val="single"/>
          <w:lang w:val="en-CA"/>
        </w:rPr>
        <w:t>in</w:t>
      </w:r>
      <w:r w:rsidR="001E1E99" w:rsidRPr="00151964">
        <w:rPr>
          <w:u w:val="single"/>
          <w:lang w:val="en-CA"/>
        </w:rPr>
        <w:t xml:space="preserve"> </w:t>
      </w:r>
      <w:r w:rsidRPr="00151964">
        <w:rPr>
          <w:u w:val="single"/>
          <w:lang w:val="en-CA"/>
        </w:rPr>
        <w:t xml:space="preserve">the Tim Hortons, because he </w:t>
      </w:r>
      <w:r w:rsidR="001E1E99">
        <w:rPr>
          <w:u w:val="single"/>
          <w:lang w:val="en-CA"/>
        </w:rPr>
        <w:t xml:space="preserve">was </w:t>
      </w:r>
      <w:r w:rsidRPr="00151964">
        <w:rPr>
          <w:u w:val="single"/>
          <w:lang w:val="en-CA"/>
        </w:rPr>
        <w:t xml:space="preserve">afraid </w:t>
      </w:r>
      <w:r>
        <w:rPr>
          <w:u w:val="single"/>
          <w:lang w:val="en-CA"/>
        </w:rPr>
        <w:t>that</w:t>
      </w:r>
      <w:r w:rsidRPr="00151964">
        <w:rPr>
          <w:u w:val="single"/>
          <w:lang w:val="en-CA"/>
        </w:rPr>
        <w:t xml:space="preserve"> the girls </w:t>
      </w:r>
      <w:r>
        <w:rPr>
          <w:u w:val="single"/>
          <w:lang w:val="en-CA"/>
        </w:rPr>
        <w:t xml:space="preserve">would </w:t>
      </w:r>
      <w:r w:rsidRPr="00151964">
        <w:rPr>
          <w:u w:val="single"/>
          <w:lang w:val="en-CA"/>
        </w:rPr>
        <w:t xml:space="preserve">find </w:t>
      </w:r>
      <w:r w:rsidR="00F65C12">
        <w:rPr>
          <w:u w:val="single"/>
          <w:lang w:val="en-CA"/>
        </w:rPr>
        <w:t>him</w:t>
      </w:r>
      <w:r w:rsidRPr="00151964">
        <w:rPr>
          <w:u w:val="single"/>
          <w:lang w:val="en-CA"/>
        </w:rPr>
        <w:t>. They want</w:t>
      </w:r>
      <w:r>
        <w:rPr>
          <w:u w:val="single"/>
          <w:lang w:val="en-CA"/>
        </w:rPr>
        <w:t>ed</w:t>
      </w:r>
      <w:r w:rsidRPr="00151964">
        <w:rPr>
          <w:u w:val="single"/>
          <w:lang w:val="en-CA"/>
        </w:rPr>
        <w:t xml:space="preserve"> to kill him, want</w:t>
      </w:r>
      <w:r>
        <w:rPr>
          <w:u w:val="single"/>
          <w:lang w:val="en-CA"/>
        </w:rPr>
        <w:t>ed</w:t>
      </w:r>
      <w:r w:rsidRPr="00151964">
        <w:rPr>
          <w:u w:val="single"/>
          <w:lang w:val="en-CA"/>
        </w:rPr>
        <w:t xml:space="preserve"> to hurt him</w:t>
      </w:r>
      <w:r w:rsidRPr="00151964">
        <w:rPr>
          <w:lang w:val="en-CA"/>
        </w:rPr>
        <w:t>. He hid the knife</w:t>
      </w:r>
      <w:r w:rsidR="0028225C">
        <w:rPr>
          <w:lang w:val="en-CA"/>
        </w:rPr>
        <w:t>;</w:t>
      </w:r>
      <w:r w:rsidRPr="00151964">
        <w:rPr>
          <w:lang w:val="en-CA"/>
        </w:rPr>
        <w:t xml:space="preserve"> </w:t>
      </w:r>
      <w:r w:rsidR="0028225C">
        <w:rPr>
          <w:lang w:val="en-CA"/>
        </w:rPr>
        <w:t xml:space="preserve">he </w:t>
      </w:r>
      <w:r w:rsidRPr="00151964">
        <w:rPr>
          <w:lang w:val="en-CA"/>
        </w:rPr>
        <w:t>d</w:t>
      </w:r>
      <w:r>
        <w:rPr>
          <w:lang w:val="en-CA"/>
        </w:rPr>
        <w:t>idn’t</w:t>
      </w:r>
      <w:r w:rsidRPr="00151964">
        <w:rPr>
          <w:lang w:val="en-CA"/>
        </w:rPr>
        <w:t xml:space="preserve"> want his mother to find it and confiscate it. He change</w:t>
      </w:r>
      <w:r>
        <w:rPr>
          <w:lang w:val="en-CA"/>
        </w:rPr>
        <w:t>d</w:t>
      </w:r>
      <w:r w:rsidRPr="00151964">
        <w:rPr>
          <w:lang w:val="en-CA"/>
        </w:rPr>
        <w:t xml:space="preserve"> his clothes for the same reason. He gave you explanations for his </w:t>
      </w:r>
      <w:r>
        <w:rPr>
          <w:lang w:val="en-CA"/>
        </w:rPr>
        <w:t>I</w:t>
      </w:r>
      <w:r w:rsidRPr="00151964">
        <w:rPr>
          <w:lang w:val="en-CA"/>
        </w:rPr>
        <w:t>nternet search</w:t>
      </w:r>
      <w:r w:rsidR="0028225C">
        <w:rPr>
          <w:lang w:val="en-CA"/>
        </w:rPr>
        <w:t>es</w:t>
      </w:r>
      <w:r w:rsidRPr="00151964">
        <w:rPr>
          <w:lang w:val="en-CA"/>
        </w:rPr>
        <w:t xml:space="preserve">, for example, </w:t>
      </w:r>
      <w:r w:rsidR="00F65C12">
        <w:rPr>
          <w:lang w:val="en-CA"/>
        </w:rPr>
        <w:t>because</w:t>
      </w:r>
      <w:r w:rsidRPr="00151964">
        <w:rPr>
          <w:lang w:val="en-CA"/>
        </w:rPr>
        <w:t xml:space="preserve"> he wanted to know if Clémence had killed people, if the </w:t>
      </w:r>
      <w:r w:rsidR="001E1E99">
        <w:rPr>
          <w:lang w:val="en-CA"/>
        </w:rPr>
        <w:t xml:space="preserve">police had arrested the </w:t>
      </w:r>
      <w:r w:rsidRPr="00151964">
        <w:rPr>
          <w:lang w:val="en-CA"/>
        </w:rPr>
        <w:t>girls. How to get rid of the clothes and the</w:t>
      </w:r>
      <w:r w:rsidR="0028225C">
        <w:rPr>
          <w:lang w:val="en-CA"/>
        </w:rPr>
        <w:t xml:space="preserve"> </w:t>
      </w:r>
      <w:r w:rsidRPr="00151964">
        <w:rPr>
          <w:lang w:val="en-CA"/>
        </w:rPr>
        <w:t xml:space="preserve">... with </w:t>
      </w:r>
      <w:r w:rsidR="001E1E99">
        <w:rPr>
          <w:lang w:val="en-CA"/>
        </w:rPr>
        <w:t xml:space="preserve">the </w:t>
      </w:r>
      <w:r w:rsidRPr="00151964">
        <w:rPr>
          <w:lang w:val="en-CA"/>
        </w:rPr>
        <w:t>blood</w:t>
      </w:r>
      <w:r w:rsidR="001E1E99">
        <w:rPr>
          <w:lang w:val="en-CA"/>
        </w:rPr>
        <w:t xml:space="preserve"> on it</w:t>
      </w:r>
      <w:r w:rsidRPr="00151964">
        <w:rPr>
          <w:lang w:val="en-CA"/>
        </w:rPr>
        <w:t xml:space="preserve">, so his mother </w:t>
      </w:r>
      <w:r>
        <w:rPr>
          <w:lang w:val="en-CA"/>
        </w:rPr>
        <w:t>would</w:t>
      </w:r>
      <w:r w:rsidR="001E1E99">
        <w:rPr>
          <w:lang w:val="en-CA"/>
        </w:rPr>
        <w:t xml:space="preserve"> not</w:t>
      </w:r>
      <w:r w:rsidRPr="00151964">
        <w:rPr>
          <w:lang w:val="en-CA"/>
        </w:rPr>
        <w:t xml:space="preserve"> find them, so that she </w:t>
      </w:r>
      <w:r w:rsidR="001E1E99">
        <w:rPr>
          <w:lang w:val="en-CA"/>
        </w:rPr>
        <w:t>would not</w:t>
      </w:r>
      <w:r w:rsidR="001E1E99" w:rsidRPr="00151964">
        <w:rPr>
          <w:lang w:val="en-CA"/>
        </w:rPr>
        <w:t xml:space="preserve"> </w:t>
      </w:r>
      <w:r w:rsidRPr="00151964">
        <w:rPr>
          <w:lang w:val="en-CA"/>
        </w:rPr>
        <w:t xml:space="preserve">find the knife. </w:t>
      </w:r>
      <w:r w:rsidRPr="00151964">
        <w:rPr>
          <w:u w:val="single"/>
          <w:lang w:val="en-CA"/>
        </w:rPr>
        <w:t xml:space="preserve">So he maintains that he did all this because he </w:t>
      </w:r>
      <w:r w:rsidR="00F65C12">
        <w:rPr>
          <w:u w:val="single"/>
          <w:lang w:val="en-CA"/>
        </w:rPr>
        <w:t>was</w:t>
      </w:r>
      <w:r w:rsidRPr="00151964">
        <w:rPr>
          <w:u w:val="single"/>
          <w:lang w:val="en-CA"/>
        </w:rPr>
        <w:t xml:space="preserve"> afraid of Clémence and the girls and </w:t>
      </w:r>
      <w:r>
        <w:rPr>
          <w:u w:val="single"/>
          <w:lang w:val="en-CA"/>
        </w:rPr>
        <w:t>because</w:t>
      </w:r>
      <w:r w:rsidRPr="00151964">
        <w:rPr>
          <w:u w:val="single"/>
          <w:lang w:val="en-CA"/>
        </w:rPr>
        <w:t xml:space="preserve"> he ha</w:t>
      </w:r>
      <w:r>
        <w:rPr>
          <w:u w:val="single"/>
          <w:lang w:val="en-CA"/>
        </w:rPr>
        <w:t>d</w:t>
      </w:r>
      <w:r w:rsidRPr="00151964">
        <w:rPr>
          <w:u w:val="single"/>
          <w:lang w:val="en-CA"/>
        </w:rPr>
        <w:t xml:space="preserve"> to hide</w:t>
      </w:r>
      <w:r w:rsidRPr="00151964">
        <w:rPr>
          <w:lang w:val="en-CA"/>
        </w:rPr>
        <w:t xml:space="preserve">. This is just a </w:t>
      </w:r>
      <w:r w:rsidR="00F67781">
        <w:rPr>
          <w:lang w:val="en-CA"/>
        </w:rPr>
        <w:t>short</w:t>
      </w:r>
      <w:r w:rsidRPr="00151964">
        <w:rPr>
          <w:lang w:val="en-CA"/>
        </w:rPr>
        <w:t xml:space="preserve"> summary.</w:t>
      </w:r>
    </w:p>
    <w:p w14:paraId="7811F8D6" w14:textId="7B101833" w:rsidR="00782909" w:rsidRPr="00856CD5" w:rsidRDefault="001E1E99" w:rsidP="00151964">
      <w:pPr>
        <w:pStyle w:val="Citationenretrait"/>
        <w:spacing w:line="240" w:lineRule="auto"/>
        <w:rPr>
          <w:lang w:val="en-CA"/>
        </w:rPr>
      </w:pPr>
      <w:r>
        <w:rPr>
          <w:u w:val="single"/>
          <w:lang w:val="en-CA"/>
        </w:rPr>
        <w:t>Both</w:t>
      </w:r>
      <w:r w:rsidR="00151964" w:rsidRPr="00720D36">
        <w:rPr>
          <w:u w:val="single"/>
          <w:lang w:val="en-CA"/>
        </w:rPr>
        <w:t xml:space="preserve"> psychiatrists, D</w:t>
      </w:r>
      <w:r w:rsidR="00720D36">
        <w:rPr>
          <w:u w:val="single"/>
          <w:lang w:val="en-CA"/>
        </w:rPr>
        <w:t>r.</w:t>
      </w:r>
      <w:r w:rsidR="00151964" w:rsidRPr="00720D36">
        <w:rPr>
          <w:u w:val="single"/>
          <w:lang w:val="en-CA"/>
        </w:rPr>
        <w:t xml:space="preserve"> Morissette and </w:t>
      </w:r>
      <w:r w:rsidR="00720D36">
        <w:rPr>
          <w:u w:val="single"/>
          <w:lang w:val="en-CA"/>
        </w:rPr>
        <w:t xml:space="preserve">Dr. </w:t>
      </w:r>
      <w:r w:rsidR="00151964" w:rsidRPr="00720D36">
        <w:rPr>
          <w:u w:val="single"/>
          <w:lang w:val="en-CA"/>
        </w:rPr>
        <w:t>Proulx, explain</w:t>
      </w:r>
      <w:r w:rsidR="00720D36">
        <w:rPr>
          <w:u w:val="single"/>
          <w:lang w:val="en-CA"/>
        </w:rPr>
        <w:t>ed</w:t>
      </w:r>
      <w:r w:rsidR="00151964" w:rsidRPr="00720D36">
        <w:rPr>
          <w:u w:val="single"/>
          <w:lang w:val="en-CA"/>
        </w:rPr>
        <w:t xml:space="preserve"> that this </w:t>
      </w:r>
      <w:r w:rsidR="00DA6FEA">
        <w:rPr>
          <w:u w:val="single"/>
          <w:lang w:val="en-CA"/>
        </w:rPr>
        <w:t>conduct</w:t>
      </w:r>
      <w:r w:rsidR="00151964" w:rsidRPr="00720D36">
        <w:rPr>
          <w:u w:val="single"/>
          <w:lang w:val="en-CA"/>
        </w:rPr>
        <w:t xml:space="preserve"> </w:t>
      </w:r>
      <w:r w:rsidR="00DA6FEA">
        <w:rPr>
          <w:u w:val="single"/>
          <w:lang w:val="en-CA"/>
        </w:rPr>
        <w:t>may</w:t>
      </w:r>
      <w:r w:rsidR="00151964" w:rsidRPr="00720D36">
        <w:rPr>
          <w:u w:val="single"/>
          <w:lang w:val="en-CA"/>
        </w:rPr>
        <w:t xml:space="preserve"> be co</w:t>
      </w:r>
      <w:r w:rsidR="00720D36">
        <w:rPr>
          <w:u w:val="single"/>
          <w:lang w:val="en-CA"/>
        </w:rPr>
        <w:t>nsistent</w:t>
      </w:r>
      <w:r w:rsidR="00151964" w:rsidRPr="00720D36">
        <w:rPr>
          <w:u w:val="single"/>
          <w:lang w:val="en-CA"/>
        </w:rPr>
        <w:t xml:space="preserve"> with the mental disorder </w:t>
      </w:r>
      <w:r w:rsidR="00720D36">
        <w:rPr>
          <w:u w:val="single"/>
          <w:lang w:val="en-CA"/>
        </w:rPr>
        <w:t>afflicting</w:t>
      </w:r>
      <w:r w:rsidR="00151964" w:rsidRPr="00720D36">
        <w:rPr>
          <w:u w:val="single"/>
          <w:lang w:val="en-CA"/>
        </w:rPr>
        <w:t xml:space="preserve"> the accused at the time of the events</w:t>
      </w:r>
      <w:r w:rsidR="00151964" w:rsidRPr="00151964">
        <w:rPr>
          <w:lang w:val="en-CA"/>
        </w:rPr>
        <w:t>. However, you must also look at other inferences or explanations that you can draw from this evidence. For example</w:t>
      </w:r>
      <w:r w:rsidR="00DA6FEA">
        <w:rPr>
          <w:lang w:val="en-CA"/>
        </w:rPr>
        <w:t>,</w:t>
      </w:r>
      <w:r w:rsidR="00151964" w:rsidRPr="00151964">
        <w:rPr>
          <w:lang w:val="en-CA"/>
        </w:rPr>
        <w:t xml:space="preserve"> the accused </w:t>
      </w:r>
      <w:r>
        <w:rPr>
          <w:lang w:val="en-CA"/>
        </w:rPr>
        <w:t>fled</w:t>
      </w:r>
      <w:r w:rsidR="00151964" w:rsidRPr="00151964">
        <w:rPr>
          <w:lang w:val="en-CA"/>
        </w:rPr>
        <w:t xml:space="preserve"> the Maxi. </w:t>
      </w:r>
      <w:r w:rsidR="00720D36">
        <w:rPr>
          <w:lang w:val="en-CA"/>
        </w:rPr>
        <w:t xml:space="preserve">Did </w:t>
      </w:r>
      <w:r w:rsidR="00151964" w:rsidRPr="00151964">
        <w:rPr>
          <w:lang w:val="en-CA"/>
        </w:rPr>
        <w:t>he do</w:t>
      </w:r>
      <w:r w:rsidR="00720D36">
        <w:rPr>
          <w:lang w:val="en-CA"/>
        </w:rPr>
        <w:t xml:space="preserve"> this</w:t>
      </w:r>
      <w:r w:rsidR="00151964" w:rsidRPr="00151964">
        <w:rPr>
          <w:lang w:val="en-CA"/>
        </w:rPr>
        <w:t xml:space="preserve"> because he kn</w:t>
      </w:r>
      <w:r w:rsidR="00720D36">
        <w:rPr>
          <w:lang w:val="en-CA"/>
        </w:rPr>
        <w:t>ew</w:t>
      </w:r>
      <w:r w:rsidR="00151964" w:rsidRPr="00151964">
        <w:rPr>
          <w:lang w:val="en-CA"/>
        </w:rPr>
        <w:t xml:space="preserve"> he </w:t>
      </w:r>
      <w:r w:rsidR="00720D36">
        <w:rPr>
          <w:lang w:val="en-CA"/>
        </w:rPr>
        <w:t>had done</w:t>
      </w:r>
      <w:r w:rsidR="00151964" w:rsidRPr="00151964">
        <w:rPr>
          <w:lang w:val="en-CA"/>
        </w:rPr>
        <w:t xml:space="preserve"> something wrong and d</w:t>
      </w:r>
      <w:r w:rsidR="00720D36">
        <w:rPr>
          <w:lang w:val="en-CA"/>
        </w:rPr>
        <w:t>idn’t</w:t>
      </w:r>
      <w:r w:rsidR="00151964" w:rsidRPr="00151964">
        <w:rPr>
          <w:lang w:val="en-CA"/>
        </w:rPr>
        <w:t xml:space="preserve"> want to be arrested by the police? </w:t>
      </w:r>
      <w:r w:rsidR="00151964" w:rsidRPr="00720D36">
        <w:rPr>
          <w:u w:val="single"/>
          <w:lang w:val="en-CA"/>
        </w:rPr>
        <w:t xml:space="preserve">When he hid for hours </w:t>
      </w:r>
      <w:r>
        <w:rPr>
          <w:u w:val="single"/>
          <w:lang w:val="en-CA"/>
        </w:rPr>
        <w:t>in</w:t>
      </w:r>
      <w:r w:rsidRPr="00720D36">
        <w:rPr>
          <w:u w:val="single"/>
          <w:lang w:val="en-CA"/>
        </w:rPr>
        <w:t xml:space="preserve"> </w:t>
      </w:r>
      <w:r w:rsidR="00720D36" w:rsidRPr="00720D36">
        <w:rPr>
          <w:u w:val="single"/>
          <w:lang w:val="en-CA"/>
        </w:rPr>
        <w:t xml:space="preserve">the </w:t>
      </w:r>
      <w:r w:rsidR="00151964" w:rsidRPr="00720D36">
        <w:rPr>
          <w:u w:val="single"/>
          <w:lang w:val="en-CA"/>
        </w:rPr>
        <w:t xml:space="preserve">Tim Hortons, </w:t>
      </w:r>
      <w:r w:rsidR="00720D36" w:rsidRPr="00720D36">
        <w:rPr>
          <w:u w:val="single"/>
          <w:lang w:val="en-CA"/>
        </w:rPr>
        <w:t>was</w:t>
      </w:r>
      <w:r w:rsidR="00151964" w:rsidRPr="00720D36">
        <w:rPr>
          <w:u w:val="single"/>
          <w:lang w:val="en-CA"/>
        </w:rPr>
        <w:t xml:space="preserve"> it to hide from the girls because </w:t>
      </w:r>
      <w:r w:rsidR="00720D36" w:rsidRPr="00720D36">
        <w:rPr>
          <w:u w:val="single"/>
          <w:lang w:val="en-CA"/>
        </w:rPr>
        <w:t>of</w:t>
      </w:r>
      <w:r w:rsidR="00151964" w:rsidRPr="00720D36">
        <w:rPr>
          <w:u w:val="single"/>
          <w:lang w:val="en-CA"/>
        </w:rPr>
        <w:t xml:space="preserve"> his delusion of persecution or </w:t>
      </w:r>
      <w:r w:rsidR="00720D36" w:rsidRPr="00720D36">
        <w:rPr>
          <w:u w:val="single"/>
          <w:lang w:val="en-CA"/>
        </w:rPr>
        <w:t>was</w:t>
      </w:r>
      <w:r w:rsidR="00151964" w:rsidRPr="00720D36">
        <w:rPr>
          <w:u w:val="single"/>
          <w:lang w:val="en-CA"/>
        </w:rPr>
        <w:t xml:space="preserve"> he hiding from the police?</w:t>
      </w:r>
      <w:r w:rsidR="00151964" w:rsidRPr="00151964">
        <w:rPr>
          <w:lang w:val="en-CA"/>
        </w:rPr>
        <w:t xml:space="preserve"> When he hid his knife at </w:t>
      </w:r>
      <w:r w:rsidR="00F76950">
        <w:rPr>
          <w:lang w:val="en-CA"/>
        </w:rPr>
        <w:t xml:space="preserve">the </w:t>
      </w:r>
      <w:r w:rsidR="00151964" w:rsidRPr="00151964">
        <w:rPr>
          <w:lang w:val="en-CA"/>
        </w:rPr>
        <w:t xml:space="preserve">CEGEP, </w:t>
      </w:r>
      <w:r w:rsidR="00720D36">
        <w:rPr>
          <w:lang w:val="en-CA"/>
        </w:rPr>
        <w:t>was</w:t>
      </w:r>
      <w:r w:rsidR="00151964" w:rsidRPr="00151964">
        <w:rPr>
          <w:lang w:val="en-CA"/>
        </w:rPr>
        <w:t xml:space="preserve"> it to prevent his mother from finding it and confiscating it, </w:t>
      </w:r>
      <w:r w:rsidR="008B257A">
        <w:rPr>
          <w:lang w:val="en-CA"/>
        </w:rPr>
        <w:t>al</w:t>
      </w:r>
      <w:r w:rsidR="00151964" w:rsidRPr="00151964">
        <w:rPr>
          <w:lang w:val="en-CA"/>
        </w:rPr>
        <w:t>though he need</w:t>
      </w:r>
      <w:r w:rsidR="00720D36">
        <w:rPr>
          <w:lang w:val="en-CA"/>
        </w:rPr>
        <w:t>ed</w:t>
      </w:r>
      <w:r w:rsidR="00151964" w:rsidRPr="00151964">
        <w:rPr>
          <w:lang w:val="en-CA"/>
        </w:rPr>
        <w:t xml:space="preserve"> it for his safety, or </w:t>
      </w:r>
      <w:r w:rsidR="00720D36">
        <w:rPr>
          <w:lang w:val="en-CA"/>
        </w:rPr>
        <w:t>was</w:t>
      </w:r>
      <w:r w:rsidR="00151964" w:rsidRPr="00151964">
        <w:rPr>
          <w:lang w:val="en-CA"/>
        </w:rPr>
        <w:t xml:space="preserve"> it because he</w:t>
      </w:r>
      <w:r w:rsidR="008B257A">
        <w:rPr>
          <w:lang w:val="en-CA"/>
        </w:rPr>
        <w:t xml:space="preserve"> </w:t>
      </w:r>
      <w:r w:rsidR="00151964" w:rsidRPr="00151964">
        <w:rPr>
          <w:lang w:val="en-CA"/>
        </w:rPr>
        <w:t>... he kn</w:t>
      </w:r>
      <w:r w:rsidR="00720D36">
        <w:rPr>
          <w:lang w:val="en-CA"/>
        </w:rPr>
        <w:t>ew</w:t>
      </w:r>
      <w:r w:rsidR="00151964" w:rsidRPr="00151964">
        <w:rPr>
          <w:lang w:val="en-CA"/>
        </w:rPr>
        <w:t xml:space="preserve"> that he </w:t>
      </w:r>
      <w:r w:rsidR="00720D36">
        <w:rPr>
          <w:lang w:val="en-CA"/>
        </w:rPr>
        <w:t xml:space="preserve">had </w:t>
      </w:r>
      <w:r w:rsidR="00151964" w:rsidRPr="00151964">
        <w:rPr>
          <w:lang w:val="en-CA"/>
        </w:rPr>
        <w:t xml:space="preserve">committed a </w:t>
      </w:r>
      <w:r w:rsidR="00720D36">
        <w:rPr>
          <w:lang w:val="en-CA"/>
        </w:rPr>
        <w:t>wrongful</w:t>
      </w:r>
      <w:r w:rsidR="00151964" w:rsidRPr="00151964">
        <w:rPr>
          <w:lang w:val="en-CA"/>
        </w:rPr>
        <w:t xml:space="preserve"> act and </w:t>
      </w:r>
      <w:r w:rsidR="00720D36">
        <w:rPr>
          <w:lang w:val="en-CA"/>
        </w:rPr>
        <w:t>because</w:t>
      </w:r>
      <w:r w:rsidR="00151964" w:rsidRPr="00151964">
        <w:rPr>
          <w:lang w:val="en-CA"/>
        </w:rPr>
        <w:t xml:space="preserve"> the knife </w:t>
      </w:r>
      <w:r w:rsidR="00720D36">
        <w:rPr>
          <w:lang w:val="en-CA"/>
        </w:rPr>
        <w:t>was</w:t>
      </w:r>
      <w:r w:rsidR="00151964" w:rsidRPr="00151964">
        <w:rPr>
          <w:lang w:val="en-CA"/>
        </w:rPr>
        <w:t xml:space="preserve"> the weapon </w:t>
      </w:r>
      <w:r w:rsidR="008B257A">
        <w:rPr>
          <w:lang w:val="en-CA"/>
        </w:rPr>
        <w:lastRenderedPageBreak/>
        <w:t xml:space="preserve">used in the crime, </w:t>
      </w:r>
      <w:r w:rsidR="00151964" w:rsidRPr="00151964">
        <w:rPr>
          <w:lang w:val="en-CA"/>
        </w:rPr>
        <w:t xml:space="preserve">and he </w:t>
      </w:r>
      <w:r w:rsidRPr="00151964">
        <w:rPr>
          <w:lang w:val="en-CA"/>
        </w:rPr>
        <w:t>d</w:t>
      </w:r>
      <w:r>
        <w:rPr>
          <w:lang w:val="en-CA"/>
        </w:rPr>
        <w:t>id not</w:t>
      </w:r>
      <w:r w:rsidRPr="00151964">
        <w:rPr>
          <w:lang w:val="en-CA"/>
        </w:rPr>
        <w:t xml:space="preserve"> </w:t>
      </w:r>
      <w:r w:rsidR="00151964" w:rsidRPr="00151964">
        <w:rPr>
          <w:lang w:val="en-CA"/>
        </w:rPr>
        <w:t xml:space="preserve">want it to be found in his possession? </w:t>
      </w:r>
      <w:r w:rsidR="00151964" w:rsidRPr="00F76950">
        <w:rPr>
          <w:lang w:val="en-CA"/>
        </w:rPr>
        <w:t xml:space="preserve">These are only </w:t>
      </w:r>
      <w:r w:rsidR="00A67DEA" w:rsidRPr="00F76950">
        <w:rPr>
          <w:lang w:val="en-CA"/>
        </w:rPr>
        <w:t>possibilities</w:t>
      </w:r>
      <w:r w:rsidR="008B257A">
        <w:rPr>
          <w:lang w:val="en-CA"/>
        </w:rPr>
        <w:t>;</w:t>
      </w:r>
      <w:r w:rsidR="00151964" w:rsidRPr="00151964">
        <w:rPr>
          <w:lang w:val="en-CA"/>
        </w:rPr>
        <w:t xml:space="preserve"> the</w:t>
      </w:r>
      <w:r w:rsidR="00A67DEA">
        <w:rPr>
          <w:lang w:val="en-CA"/>
        </w:rPr>
        <w:t>se</w:t>
      </w:r>
      <w:r w:rsidR="00151964" w:rsidRPr="00151964">
        <w:rPr>
          <w:lang w:val="en-CA"/>
        </w:rPr>
        <w:t xml:space="preserve"> are only </w:t>
      </w:r>
      <w:r w:rsidR="00A67DEA">
        <w:rPr>
          <w:lang w:val="en-CA"/>
        </w:rPr>
        <w:t>possib</w:t>
      </w:r>
      <w:r w:rsidR="00142619">
        <w:rPr>
          <w:lang w:val="en-CA"/>
        </w:rPr>
        <w:t>le ways of summarizing the events</w:t>
      </w:r>
      <w:r w:rsidR="00151964" w:rsidRPr="00151964">
        <w:rPr>
          <w:lang w:val="en-CA"/>
        </w:rPr>
        <w:t>. It is up to you to decide whether these act</w:t>
      </w:r>
      <w:r w:rsidR="00A67DEA">
        <w:rPr>
          <w:lang w:val="en-CA"/>
        </w:rPr>
        <w:t>s</w:t>
      </w:r>
      <w:r w:rsidR="00151964" w:rsidRPr="00151964">
        <w:rPr>
          <w:lang w:val="en-CA"/>
        </w:rPr>
        <w:t xml:space="preserve"> were </w:t>
      </w:r>
      <w:r w:rsidR="00720D36">
        <w:rPr>
          <w:lang w:val="en-CA"/>
        </w:rPr>
        <w:t>committed</w:t>
      </w:r>
      <w:r w:rsidR="00151964" w:rsidRPr="00151964">
        <w:rPr>
          <w:lang w:val="en-CA"/>
        </w:rPr>
        <w:t xml:space="preserve"> and what inferences and explanations you can draw from this </w:t>
      </w:r>
      <w:r w:rsidR="008B257A">
        <w:rPr>
          <w:lang w:val="en-CA"/>
        </w:rPr>
        <w:t>conduct</w:t>
      </w:r>
      <w:r w:rsidR="00151964" w:rsidRPr="00151964">
        <w:rPr>
          <w:lang w:val="en-CA"/>
        </w:rPr>
        <w:t>, if any. And when you have</w:t>
      </w:r>
      <w:r w:rsidR="008B257A">
        <w:rPr>
          <w:lang w:val="en-CA"/>
        </w:rPr>
        <w:t xml:space="preserve"> </w:t>
      </w:r>
      <w:r w:rsidR="00151964" w:rsidRPr="00151964">
        <w:rPr>
          <w:lang w:val="en-CA"/>
        </w:rPr>
        <w:t xml:space="preserve">... if you </w:t>
      </w:r>
      <w:r w:rsidR="00F76950">
        <w:rPr>
          <w:lang w:val="en-CA"/>
        </w:rPr>
        <w:t xml:space="preserve">do </w:t>
      </w:r>
      <w:r w:rsidR="00151964" w:rsidRPr="00151964">
        <w:rPr>
          <w:lang w:val="en-CA"/>
        </w:rPr>
        <w:t>draw inferences, what</w:t>
      </w:r>
      <w:r w:rsidR="008B257A">
        <w:rPr>
          <w:lang w:val="en-CA"/>
        </w:rPr>
        <w:t xml:space="preserve"> </w:t>
      </w:r>
      <w:r w:rsidR="00151964" w:rsidRPr="00151964">
        <w:rPr>
          <w:lang w:val="en-CA"/>
        </w:rPr>
        <w:t xml:space="preserve">... those inferences or explanations then become part of the </w:t>
      </w:r>
      <w:r w:rsidR="00720D36">
        <w:rPr>
          <w:lang w:val="en-CA"/>
        </w:rPr>
        <w:t>body of</w:t>
      </w:r>
      <w:r w:rsidR="00151964" w:rsidRPr="00151964">
        <w:rPr>
          <w:lang w:val="en-CA"/>
        </w:rPr>
        <w:t xml:space="preserve"> evidence. So you decide whether or not you can draw any inference from this evidence</w:t>
      </w:r>
      <w:r w:rsidR="006D697C">
        <w:rPr>
          <w:lang w:val="en-CA"/>
        </w:rPr>
        <w:t>,</w:t>
      </w:r>
      <w:r w:rsidR="00151964" w:rsidRPr="00151964">
        <w:rPr>
          <w:lang w:val="en-CA"/>
        </w:rPr>
        <w:t xml:space="preserve"> and if so, </w:t>
      </w:r>
      <w:r w:rsidR="006D697C">
        <w:rPr>
          <w:lang w:val="en-CA"/>
        </w:rPr>
        <w:t xml:space="preserve">whether </w:t>
      </w:r>
      <w:r w:rsidR="00151964" w:rsidRPr="00151964">
        <w:rPr>
          <w:lang w:val="en-CA"/>
        </w:rPr>
        <w:t xml:space="preserve">this evidence can help you. </w:t>
      </w:r>
      <w:r w:rsidR="00F76950">
        <w:rPr>
          <w:lang w:val="en-CA"/>
        </w:rPr>
        <w:t>It</w:t>
      </w:r>
      <w:r w:rsidR="00151964" w:rsidRPr="00151964">
        <w:rPr>
          <w:lang w:val="en-CA"/>
        </w:rPr>
        <w:t xml:space="preserve"> is</w:t>
      </w:r>
      <w:r w:rsidR="008B257A">
        <w:rPr>
          <w:lang w:val="en-CA"/>
        </w:rPr>
        <w:t xml:space="preserve"> </w:t>
      </w:r>
      <w:r w:rsidR="00151964" w:rsidRPr="00151964">
        <w:rPr>
          <w:lang w:val="en-CA"/>
        </w:rPr>
        <w:t xml:space="preserve">... can this circumstantial evidence help you when you </w:t>
      </w:r>
      <w:r w:rsidR="006D697C">
        <w:rPr>
          <w:lang w:val="en-CA"/>
        </w:rPr>
        <w:t>consider</w:t>
      </w:r>
      <w:r w:rsidR="00151964" w:rsidRPr="00151964">
        <w:rPr>
          <w:lang w:val="en-CA"/>
        </w:rPr>
        <w:t xml:space="preserve"> the second </w:t>
      </w:r>
      <w:r w:rsidR="005A0C3C">
        <w:rPr>
          <w:lang w:val="en-CA"/>
        </w:rPr>
        <w:t xml:space="preserve">requirement </w:t>
      </w:r>
      <w:r w:rsidR="00151964" w:rsidRPr="00151964">
        <w:rPr>
          <w:lang w:val="en-CA"/>
        </w:rPr>
        <w:t>of section</w:t>
      </w:r>
      <w:r w:rsidR="00F76950">
        <w:rPr>
          <w:lang w:val="en-CA"/>
        </w:rPr>
        <w:t xml:space="preserve"> </w:t>
      </w:r>
      <w:r w:rsidR="00151964" w:rsidRPr="00151964">
        <w:rPr>
          <w:lang w:val="en-CA"/>
        </w:rPr>
        <w:t>16? It is up to you to decide what conclusions you draw from this circumstantial evidence.</w:t>
      </w:r>
    </w:p>
    <w:p w14:paraId="6484345C" w14:textId="4D009D1C" w:rsidR="00432F22" w:rsidRPr="00856CD5" w:rsidRDefault="00432F22" w:rsidP="000B6E2B">
      <w:pPr>
        <w:pStyle w:val="Citationenretrait"/>
        <w:spacing w:line="240" w:lineRule="auto"/>
        <w:jc w:val="right"/>
        <w:rPr>
          <w:lang w:val="en-CA"/>
        </w:rPr>
      </w:pPr>
      <w:r w:rsidRPr="00856CD5">
        <w:rPr>
          <w:lang w:val="en-CA"/>
        </w:rPr>
        <w:t>[</w:t>
      </w:r>
      <w:r w:rsidR="00464A3A">
        <w:rPr>
          <w:lang w:val="en-CA"/>
        </w:rPr>
        <w:t>Emphasis added</w:t>
      </w:r>
      <w:r w:rsidR="008B257A">
        <w:rPr>
          <w:lang w:val="en-CA"/>
        </w:rPr>
        <w:t>.</w:t>
      </w:r>
      <w:r w:rsidRPr="00856CD5">
        <w:rPr>
          <w:lang w:val="en-CA"/>
        </w:rPr>
        <w:t>]</w:t>
      </w:r>
    </w:p>
    <w:p w14:paraId="3ED988C3" w14:textId="337D4594" w:rsidR="0022776D" w:rsidRPr="00856CD5" w:rsidRDefault="00C806C6" w:rsidP="000B6E2B">
      <w:pPr>
        <w:numPr>
          <w:ilvl w:val="0"/>
          <w:numId w:val="18"/>
        </w:numPr>
        <w:spacing w:before="120" w:after="120" w:line="240" w:lineRule="auto"/>
        <w:jc w:val="both"/>
        <w:rPr>
          <w:rFonts w:cs="Arial"/>
          <w:kern w:val="28"/>
          <w:lang w:val="en-CA"/>
        </w:rPr>
      </w:pPr>
      <w:r w:rsidRPr="00C806C6">
        <w:rPr>
          <w:rFonts w:cs="Arial"/>
          <w:kern w:val="28"/>
          <w:lang w:val="en-CA"/>
        </w:rPr>
        <w:t>It should be noted that at th</w:t>
      </w:r>
      <w:r>
        <w:rPr>
          <w:rFonts w:cs="Arial"/>
          <w:kern w:val="28"/>
          <w:lang w:val="en-CA"/>
        </w:rPr>
        <w:t>at</w:t>
      </w:r>
      <w:r w:rsidRPr="00C806C6">
        <w:rPr>
          <w:rFonts w:cs="Arial"/>
          <w:kern w:val="28"/>
          <w:lang w:val="en-CA"/>
        </w:rPr>
        <w:t xml:space="preserve"> time</w:t>
      </w:r>
      <w:r w:rsidR="0051637C">
        <w:rPr>
          <w:rFonts w:cs="Arial"/>
          <w:kern w:val="28"/>
          <w:lang w:val="en-CA"/>
        </w:rPr>
        <w:t>,</w:t>
      </w:r>
      <w:r w:rsidRPr="00C806C6">
        <w:rPr>
          <w:rFonts w:cs="Arial"/>
          <w:kern w:val="28"/>
          <w:lang w:val="en-CA"/>
        </w:rPr>
        <w:t xml:space="preserve"> the judge did not </w:t>
      </w:r>
      <w:r>
        <w:rPr>
          <w:rFonts w:cs="Arial"/>
          <w:kern w:val="28"/>
          <w:lang w:val="en-CA"/>
        </w:rPr>
        <w:t xml:space="preserve">issue the </w:t>
      </w:r>
      <w:r w:rsidR="00DD55CD">
        <w:rPr>
          <w:rFonts w:cs="Arial"/>
          <w:kern w:val="28"/>
          <w:lang w:val="en-CA"/>
        </w:rPr>
        <w:t>caution</w:t>
      </w:r>
      <w:r w:rsidR="00DD55CD" w:rsidRPr="00C806C6">
        <w:rPr>
          <w:rFonts w:cs="Arial"/>
          <w:kern w:val="28"/>
          <w:lang w:val="en-CA"/>
        </w:rPr>
        <w:t xml:space="preserve"> </w:t>
      </w:r>
      <w:r w:rsidRPr="00C806C6">
        <w:rPr>
          <w:rFonts w:cs="Arial"/>
          <w:kern w:val="28"/>
          <w:lang w:val="en-CA"/>
        </w:rPr>
        <w:t>required by the case law</w:t>
      </w:r>
      <w:r w:rsidR="0051637C">
        <w:rPr>
          <w:rFonts w:cs="Arial"/>
          <w:kern w:val="28"/>
          <w:lang w:val="en-CA"/>
        </w:rPr>
        <w:t>,</w:t>
      </w:r>
      <w:r w:rsidRPr="00C806C6">
        <w:rPr>
          <w:rFonts w:cs="Arial"/>
          <w:kern w:val="28"/>
          <w:lang w:val="en-CA"/>
        </w:rPr>
        <w:t xml:space="preserve"> which aims to prevent the risk associated with </w:t>
      </w:r>
      <w:r w:rsidR="006D697C">
        <w:rPr>
          <w:rFonts w:cs="Arial"/>
          <w:kern w:val="28"/>
          <w:lang w:val="en-CA"/>
        </w:rPr>
        <w:t xml:space="preserve">the </w:t>
      </w:r>
      <w:r w:rsidRPr="00C806C6">
        <w:rPr>
          <w:rFonts w:cs="Arial"/>
          <w:kern w:val="28"/>
          <w:lang w:val="en-CA"/>
        </w:rPr>
        <w:t>accused</w:t>
      </w:r>
      <w:r w:rsidR="0051637C">
        <w:rPr>
          <w:rFonts w:cs="Arial"/>
          <w:kern w:val="28"/>
          <w:lang w:val="en-CA"/>
        </w:rPr>
        <w:t>’</w:t>
      </w:r>
      <w:r w:rsidRPr="00C806C6">
        <w:rPr>
          <w:rFonts w:cs="Arial"/>
          <w:kern w:val="28"/>
          <w:lang w:val="en-CA"/>
        </w:rPr>
        <w:t xml:space="preserve">s </w:t>
      </w:r>
      <w:r>
        <w:rPr>
          <w:rFonts w:cs="Arial"/>
          <w:kern w:val="28"/>
          <w:lang w:val="en-CA"/>
        </w:rPr>
        <w:t>after-the-fact conduct</w:t>
      </w:r>
      <w:r w:rsidRPr="00C806C6">
        <w:rPr>
          <w:rFonts w:cs="Arial"/>
          <w:kern w:val="28"/>
          <w:lang w:val="en-CA"/>
        </w:rPr>
        <w:t xml:space="preserve">, </w:t>
      </w:r>
      <w:r w:rsidR="002C0305">
        <w:rPr>
          <w:rFonts w:cs="Arial"/>
          <w:kern w:val="28"/>
          <w:lang w:val="en-CA"/>
        </w:rPr>
        <w:t xml:space="preserve">that is, to </w:t>
      </w:r>
      <w:r w:rsidR="006D697C">
        <w:rPr>
          <w:rFonts w:cs="Arial"/>
          <w:kern w:val="28"/>
          <w:lang w:val="en-CA"/>
        </w:rPr>
        <w:t xml:space="preserve">jump </w:t>
      </w:r>
      <w:r w:rsidR="002C0305">
        <w:rPr>
          <w:rFonts w:cs="Arial"/>
          <w:kern w:val="28"/>
          <w:lang w:val="en-CA"/>
        </w:rPr>
        <w:t>too quickly to a finding of guilt.</w:t>
      </w:r>
      <w:r w:rsidR="00A75E89" w:rsidRPr="00856CD5">
        <w:rPr>
          <w:rStyle w:val="Appelnotedebasdep"/>
          <w:rFonts w:cs="Arial"/>
          <w:kern w:val="28"/>
          <w:lang w:val="en-CA"/>
        </w:rPr>
        <w:footnoteReference w:id="41"/>
      </w:r>
    </w:p>
    <w:p w14:paraId="3A60646D" w14:textId="1723B162" w:rsidR="00C27D89" w:rsidRPr="00856CD5" w:rsidRDefault="002C0305" w:rsidP="000B6E2B">
      <w:pPr>
        <w:numPr>
          <w:ilvl w:val="0"/>
          <w:numId w:val="18"/>
        </w:numPr>
        <w:spacing w:before="120" w:after="120" w:line="240" w:lineRule="auto"/>
        <w:jc w:val="both"/>
        <w:rPr>
          <w:rFonts w:cs="Arial"/>
          <w:kern w:val="28"/>
          <w:lang w:val="en-CA"/>
        </w:rPr>
      </w:pPr>
      <w:r w:rsidRPr="002C0305">
        <w:rPr>
          <w:rFonts w:cs="Arial"/>
          <w:kern w:val="28"/>
          <w:lang w:val="en-CA"/>
        </w:rPr>
        <w:t xml:space="preserve">When addressing the </w:t>
      </w:r>
      <w:r w:rsidR="00D31836">
        <w:rPr>
          <w:rFonts w:cs="Arial"/>
          <w:kern w:val="28"/>
          <w:lang w:val="en-CA"/>
        </w:rPr>
        <w:t xml:space="preserve">requisite </w:t>
      </w:r>
      <w:r w:rsidRPr="002C0305">
        <w:rPr>
          <w:rFonts w:cs="Arial"/>
          <w:kern w:val="28"/>
          <w:lang w:val="en-CA"/>
        </w:rPr>
        <w:t>intent for the offen</w:t>
      </w:r>
      <w:r>
        <w:rPr>
          <w:rFonts w:cs="Arial"/>
          <w:kern w:val="28"/>
          <w:lang w:val="en-CA"/>
        </w:rPr>
        <w:t>c</w:t>
      </w:r>
      <w:r w:rsidRPr="002C0305">
        <w:rPr>
          <w:rFonts w:cs="Arial"/>
          <w:kern w:val="28"/>
          <w:lang w:val="en-CA"/>
        </w:rPr>
        <w:t>e of second degree murder, the judge then explain</w:t>
      </w:r>
      <w:r>
        <w:rPr>
          <w:rFonts w:cs="Arial"/>
          <w:kern w:val="28"/>
          <w:lang w:val="en-CA"/>
        </w:rPr>
        <w:t>ed</w:t>
      </w:r>
      <w:r w:rsidRPr="002C0305">
        <w:rPr>
          <w:rFonts w:cs="Arial"/>
          <w:kern w:val="28"/>
          <w:lang w:val="en-CA"/>
        </w:rPr>
        <w:t>, correctly according to the applicable law</w:t>
      </w:r>
      <w:r>
        <w:rPr>
          <w:rFonts w:cs="Arial"/>
          <w:kern w:val="28"/>
          <w:lang w:val="en-CA"/>
        </w:rPr>
        <w:t>,</w:t>
      </w:r>
      <w:r w:rsidR="008A6AA7" w:rsidRPr="00856CD5">
        <w:rPr>
          <w:rStyle w:val="Appelnotedebasdep"/>
          <w:rFonts w:cs="Arial"/>
          <w:kern w:val="28"/>
          <w:lang w:val="en-CA"/>
        </w:rPr>
        <w:footnoteReference w:id="42"/>
      </w:r>
      <w:r>
        <w:rPr>
          <w:rFonts w:cs="Arial"/>
          <w:kern w:val="28"/>
          <w:lang w:val="en-CA"/>
        </w:rPr>
        <w:t xml:space="preserve"> </w:t>
      </w:r>
      <w:r w:rsidRPr="002C0305">
        <w:rPr>
          <w:rFonts w:cs="Arial"/>
          <w:kern w:val="28"/>
          <w:lang w:val="en-CA"/>
        </w:rPr>
        <w:t xml:space="preserve">that </w:t>
      </w:r>
      <w:r w:rsidR="005955D5">
        <w:rPr>
          <w:rFonts w:cs="Arial"/>
          <w:kern w:val="28"/>
          <w:lang w:val="en-CA"/>
        </w:rPr>
        <w:t xml:space="preserve">evidence of a </w:t>
      </w:r>
      <w:r w:rsidRPr="002C0305">
        <w:rPr>
          <w:rFonts w:cs="Arial"/>
          <w:kern w:val="28"/>
          <w:lang w:val="en-CA"/>
        </w:rPr>
        <w:t xml:space="preserve">mental disorder must also be considered, because it may raise a reasonable doubt as to the </w:t>
      </w:r>
      <w:r w:rsidR="00D31836">
        <w:rPr>
          <w:rFonts w:cs="Arial"/>
          <w:kern w:val="28"/>
          <w:lang w:val="en-CA"/>
        </w:rPr>
        <w:t xml:space="preserve">requisite </w:t>
      </w:r>
      <w:r w:rsidRPr="002C0305">
        <w:rPr>
          <w:rFonts w:cs="Arial"/>
          <w:kern w:val="28"/>
          <w:lang w:val="en-CA"/>
        </w:rPr>
        <w:t>intent for second degree murder</w:t>
      </w:r>
      <w:r w:rsidR="00C27D89" w:rsidRPr="00856CD5">
        <w:rPr>
          <w:rFonts w:cs="Arial"/>
          <w:kern w:val="28"/>
          <w:lang w:val="en-CA"/>
        </w:rPr>
        <w:t>:</w:t>
      </w:r>
    </w:p>
    <w:p w14:paraId="241643E5" w14:textId="67E30BB7" w:rsidR="0075259F" w:rsidRPr="003D5812" w:rsidRDefault="0075259F" w:rsidP="000B6E2B">
      <w:pPr>
        <w:pStyle w:val="Citationenretrait"/>
        <w:spacing w:line="240" w:lineRule="auto"/>
        <w:rPr>
          <w:szCs w:val="22"/>
          <w:lang w:val="en-CA"/>
        </w:rPr>
      </w:pPr>
      <w:r w:rsidRPr="00B92A5F">
        <w:rPr>
          <w:rFonts w:cs="Arial"/>
          <w:szCs w:val="22"/>
          <w:lang w:val="en-CA"/>
        </w:rPr>
        <w:t>[</w:t>
      </w:r>
      <w:r w:rsidR="003D5812">
        <w:rPr>
          <w:rFonts w:cs="Arial"/>
          <w:smallCaps/>
          <w:szCs w:val="22"/>
          <w:lang w:val="en-CA"/>
        </w:rPr>
        <w:t>translation</w:t>
      </w:r>
      <w:r w:rsidRPr="00B92A5F">
        <w:rPr>
          <w:rFonts w:cs="Arial"/>
          <w:szCs w:val="22"/>
          <w:lang w:val="en-CA"/>
        </w:rPr>
        <w:t>]</w:t>
      </w:r>
    </w:p>
    <w:p w14:paraId="1EF97D4B" w14:textId="5518A0AD" w:rsidR="00432F22" w:rsidRPr="00856CD5" w:rsidRDefault="002C0305" w:rsidP="000B6E2B">
      <w:pPr>
        <w:pStyle w:val="Citationenretrait"/>
        <w:spacing w:line="240" w:lineRule="auto"/>
        <w:rPr>
          <w:lang w:val="en-CA"/>
        </w:rPr>
      </w:pPr>
      <w:r w:rsidRPr="002C0305">
        <w:rPr>
          <w:lang w:val="en-CA"/>
        </w:rPr>
        <w:t xml:space="preserve">So </w:t>
      </w:r>
      <w:r w:rsidR="009D7C1C">
        <w:rPr>
          <w:lang w:val="en-CA"/>
        </w:rPr>
        <w:t xml:space="preserve">now </w:t>
      </w:r>
      <w:r w:rsidRPr="002C0305">
        <w:rPr>
          <w:lang w:val="en-CA"/>
        </w:rPr>
        <w:t>I come to intent. We are on the second page of the tree</w:t>
      </w:r>
      <w:r w:rsidR="009D7C1C">
        <w:rPr>
          <w:lang w:val="en-CA"/>
        </w:rPr>
        <w:t>.</w:t>
      </w:r>
      <w:r w:rsidR="00AE2E88" w:rsidRPr="00856CD5">
        <w:rPr>
          <w:vertAlign w:val="superscript"/>
          <w:lang w:val="en-CA"/>
        </w:rPr>
        <w:t>[</w:t>
      </w:r>
      <w:r w:rsidR="00BA4074" w:rsidRPr="00856CD5">
        <w:rPr>
          <w:rStyle w:val="Appelnotedebasdep"/>
          <w:rFonts w:cs="Arial"/>
          <w:kern w:val="28"/>
          <w:szCs w:val="22"/>
          <w:lang w:val="en-CA"/>
        </w:rPr>
        <w:footnoteReference w:id="43"/>
      </w:r>
      <w:r w:rsidR="00AE2E88" w:rsidRPr="00856CD5">
        <w:rPr>
          <w:vertAlign w:val="superscript"/>
          <w:lang w:val="en-CA"/>
        </w:rPr>
        <w:t>]</w:t>
      </w:r>
      <w:r w:rsidR="00C27D89" w:rsidRPr="00856CD5">
        <w:rPr>
          <w:lang w:val="en-CA"/>
        </w:rPr>
        <w:t xml:space="preserve"> </w:t>
      </w:r>
      <w:r w:rsidR="009D7C1C" w:rsidRPr="009D7C1C">
        <w:rPr>
          <w:lang w:val="en-CA"/>
        </w:rPr>
        <w:t xml:space="preserve">Did Mr. Tshilumba </w:t>
      </w:r>
      <w:r w:rsidR="008052BD">
        <w:rPr>
          <w:lang w:val="en-CA"/>
        </w:rPr>
        <w:t>mean</w:t>
      </w:r>
      <w:r w:rsidR="009D7C1C" w:rsidRPr="009D7C1C">
        <w:rPr>
          <w:lang w:val="en-CA"/>
        </w:rPr>
        <w:t xml:space="preserve"> to cause the death of M</w:t>
      </w:r>
      <w:r w:rsidR="009D7C1C">
        <w:rPr>
          <w:lang w:val="en-CA"/>
        </w:rPr>
        <w:t>s.</w:t>
      </w:r>
      <w:r w:rsidR="009D7C1C" w:rsidRPr="009D7C1C">
        <w:rPr>
          <w:lang w:val="en-CA"/>
        </w:rPr>
        <w:t xml:space="preserve"> Beaulieu-Patry or did he </w:t>
      </w:r>
      <w:r w:rsidR="008052BD">
        <w:rPr>
          <w:lang w:val="en-CA"/>
        </w:rPr>
        <w:t>mean</w:t>
      </w:r>
      <w:r w:rsidR="009D7C1C" w:rsidRPr="009D7C1C">
        <w:rPr>
          <w:lang w:val="en-CA"/>
        </w:rPr>
        <w:t xml:space="preserve"> to </w:t>
      </w:r>
      <w:r w:rsidR="008052BD">
        <w:rPr>
          <w:lang w:val="en-CA"/>
        </w:rPr>
        <w:t>cause her</w:t>
      </w:r>
      <w:r w:rsidR="009D7C1C" w:rsidRPr="009D7C1C">
        <w:rPr>
          <w:lang w:val="en-CA"/>
        </w:rPr>
        <w:t xml:space="preserve"> bodily harm </w:t>
      </w:r>
      <w:r w:rsidR="008052BD">
        <w:rPr>
          <w:lang w:val="en-CA"/>
        </w:rPr>
        <w:t>that</w:t>
      </w:r>
      <w:r w:rsidR="009D7C1C" w:rsidRPr="009D7C1C">
        <w:rPr>
          <w:lang w:val="en-CA"/>
        </w:rPr>
        <w:t xml:space="preserve"> he knew was likely to cause her death and </w:t>
      </w:r>
      <w:r w:rsidR="008052BD">
        <w:rPr>
          <w:lang w:val="en-CA"/>
        </w:rPr>
        <w:t>was reckless</w:t>
      </w:r>
      <w:r w:rsidR="009D7C1C" w:rsidRPr="009D7C1C">
        <w:rPr>
          <w:lang w:val="en-CA"/>
        </w:rPr>
        <w:t xml:space="preserve"> </w:t>
      </w:r>
      <w:r w:rsidR="009D7C1C">
        <w:rPr>
          <w:lang w:val="en-CA"/>
        </w:rPr>
        <w:t>as to whether or not</w:t>
      </w:r>
      <w:r w:rsidR="009D7C1C" w:rsidRPr="009D7C1C">
        <w:rPr>
          <w:lang w:val="en-CA"/>
        </w:rPr>
        <w:t xml:space="preserve"> death </w:t>
      </w:r>
      <w:r w:rsidR="009D7C1C">
        <w:rPr>
          <w:lang w:val="en-CA"/>
        </w:rPr>
        <w:t xml:space="preserve">would </w:t>
      </w:r>
      <w:r w:rsidR="009D7C1C" w:rsidRPr="009D7C1C">
        <w:rPr>
          <w:lang w:val="en-CA"/>
        </w:rPr>
        <w:t xml:space="preserve">ensue? </w:t>
      </w:r>
      <w:r w:rsidR="009D7C1C">
        <w:rPr>
          <w:lang w:val="en-CA"/>
        </w:rPr>
        <w:t>I</w:t>
      </w:r>
      <w:r w:rsidR="009D7C1C" w:rsidRPr="009D7C1C">
        <w:rPr>
          <w:lang w:val="en-CA"/>
        </w:rPr>
        <w:t xml:space="preserve"> will now summarize the evidence </w:t>
      </w:r>
      <w:r w:rsidR="009D7C1C">
        <w:rPr>
          <w:lang w:val="en-CA"/>
        </w:rPr>
        <w:t>concerning</w:t>
      </w:r>
      <w:r w:rsidR="009D7C1C" w:rsidRPr="009D7C1C">
        <w:rPr>
          <w:lang w:val="en-CA"/>
        </w:rPr>
        <w:t xml:space="preserve"> this essential element</w:t>
      </w:r>
      <w:r w:rsidR="009D7C1C">
        <w:rPr>
          <w:lang w:val="en-CA"/>
        </w:rPr>
        <w:t xml:space="preserve"> of</w:t>
      </w:r>
      <w:r w:rsidR="009D7C1C" w:rsidRPr="009D7C1C">
        <w:rPr>
          <w:lang w:val="en-CA"/>
        </w:rPr>
        <w:t xml:space="preserve"> intent. If you have </w:t>
      </w:r>
      <w:r w:rsidR="009D7C1C">
        <w:rPr>
          <w:lang w:val="en-CA"/>
        </w:rPr>
        <w:t>come to</w:t>
      </w:r>
      <w:r w:rsidR="009D7C1C" w:rsidRPr="009D7C1C">
        <w:rPr>
          <w:lang w:val="en-CA"/>
        </w:rPr>
        <w:t xml:space="preserve"> this question, that of the </w:t>
      </w:r>
      <w:r w:rsidR="00D31836">
        <w:rPr>
          <w:lang w:val="en-CA"/>
        </w:rPr>
        <w:t xml:space="preserve">requisite </w:t>
      </w:r>
      <w:r w:rsidR="009D7C1C" w:rsidRPr="009D7C1C">
        <w:rPr>
          <w:lang w:val="en-CA"/>
        </w:rPr>
        <w:t xml:space="preserve">intent for murder, it is because you have concluded that the </w:t>
      </w:r>
      <w:r w:rsidR="008D2926">
        <w:rPr>
          <w:rFonts w:cs="Arial"/>
          <w:lang w:val="en-CA"/>
        </w:rPr>
        <w:t xml:space="preserve">defence of </w:t>
      </w:r>
      <w:r w:rsidR="009D7C1C" w:rsidRPr="009D7C1C">
        <w:rPr>
          <w:lang w:val="en-CA"/>
        </w:rPr>
        <w:t xml:space="preserve">mental disorder presented by the accused did not meet the requirements of </w:t>
      </w:r>
      <w:r w:rsidR="009D7C1C">
        <w:rPr>
          <w:lang w:val="en-CA"/>
        </w:rPr>
        <w:t>section</w:t>
      </w:r>
      <w:r w:rsidR="009D7C1C" w:rsidRPr="009D7C1C">
        <w:rPr>
          <w:lang w:val="en-CA"/>
        </w:rPr>
        <w:t xml:space="preserve"> 16, and you have rejected this defen</w:t>
      </w:r>
      <w:r w:rsidR="009D7C1C">
        <w:rPr>
          <w:lang w:val="en-CA"/>
        </w:rPr>
        <w:t>c</w:t>
      </w:r>
      <w:r w:rsidR="009D7C1C" w:rsidRPr="009D7C1C">
        <w:rPr>
          <w:lang w:val="en-CA"/>
        </w:rPr>
        <w:t>e.</w:t>
      </w:r>
      <w:r w:rsidR="00C27D89" w:rsidRPr="00856CD5">
        <w:rPr>
          <w:lang w:val="en-CA"/>
        </w:rPr>
        <w:t xml:space="preserve"> </w:t>
      </w:r>
    </w:p>
    <w:p w14:paraId="64487BF6" w14:textId="338D098E" w:rsidR="00432F22" w:rsidRPr="00856CD5" w:rsidRDefault="0075259F" w:rsidP="000B6E2B">
      <w:pPr>
        <w:pStyle w:val="Citationenretrait"/>
        <w:spacing w:line="240" w:lineRule="auto"/>
        <w:rPr>
          <w:lang w:val="en-CA"/>
        </w:rPr>
      </w:pPr>
      <w:r w:rsidRPr="0075259F">
        <w:rPr>
          <w:lang w:val="en-CA"/>
        </w:rPr>
        <w:t>Even</w:t>
      </w:r>
      <w:r w:rsidR="005813B6">
        <w:rPr>
          <w:lang w:val="en-CA"/>
        </w:rPr>
        <w:t xml:space="preserve"> </w:t>
      </w:r>
      <w:r w:rsidRPr="0075259F">
        <w:rPr>
          <w:lang w:val="en-CA"/>
        </w:rPr>
        <w:t xml:space="preserve">... but even if you are not convinced on </w:t>
      </w:r>
      <w:r>
        <w:rPr>
          <w:lang w:val="en-CA"/>
        </w:rPr>
        <w:t>a</w:t>
      </w:r>
      <w:r w:rsidRPr="0075259F">
        <w:rPr>
          <w:lang w:val="en-CA"/>
        </w:rPr>
        <w:t xml:space="preserve"> balance of probabilities that Mr.</w:t>
      </w:r>
      <w:r w:rsidR="005813B6">
        <w:rPr>
          <w:lang w:val="en-CA"/>
        </w:rPr>
        <w:t> </w:t>
      </w:r>
      <w:r w:rsidRPr="0075259F">
        <w:rPr>
          <w:lang w:val="en-CA"/>
        </w:rPr>
        <w:t xml:space="preserve">Tshilumba </w:t>
      </w:r>
      <w:r w:rsidR="0036571A">
        <w:rPr>
          <w:lang w:val="en-CA"/>
        </w:rPr>
        <w:t>had</w:t>
      </w:r>
      <w:r w:rsidRPr="0075259F">
        <w:rPr>
          <w:lang w:val="en-CA"/>
        </w:rPr>
        <w:t xml:space="preserve"> a mental disorder justifying a verdict of not criminally responsible, you must still consider the </w:t>
      </w:r>
      <w:r>
        <w:rPr>
          <w:lang w:val="en-CA"/>
        </w:rPr>
        <w:t>evidence</w:t>
      </w:r>
      <w:r w:rsidRPr="0075259F">
        <w:rPr>
          <w:lang w:val="en-CA"/>
        </w:rPr>
        <w:t xml:space="preserve"> of his mental state, as well as any other evidence</w:t>
      </w:r>
      <w:r w:rsidR="0036571A">
        <w:rPr>
          <w:lang w:val="en-CA"/>
        </w:rPr>
        <w:t>,</w:t>
      </w:r>
      <w:r w:rsidRPr="0075259F">
        <w:rPr>
          <w:lang w:val="en-CA"/>
        </w:rPr>
        <w:t xml:space="preserve"> to determine whether the accused had the </w:t>
      </w:r>
      <w:r w:rsidR="0036571A">
        <w:rPr>
          <w:lang w:val="en-CA"/>
        </w:rPr>
        <w:t xml:space="preserve">requisite </w:t>
      </w:r>
      <w:r w:rsidRPr="0075259F">
        <w:rPr>
          <w:lang w:val="en-CA"/>
        </w:rPr>
        <w:t xml:space="preserve">intent to </w:t>
      </w:r>
      <w:r w:rsidRPr="0075259F">
        <w:rPr>
          <w:lang w:val="en-CA"/>
        </w:rPr>
        <w:lastRenderedPageBreak/>
        <w:t>commit the offen</w:t>
      </w:r>
      <w:r w:rsidR="00972CEC">
        <w:rPr>
          <w:lang w:val="en-CA"/>
        </w:rPr>
        <w:t>c</w:t>
      </w:r>
      <w:r w:rsidRPr="0075259F">
        <w:rPr>
          <w:lang w:val="en-CA"/>
        </w:rPr>
        <w:t xml:space="preserve">e of first degree murder. The burden of proof is very different. </w:t>
      </w:r>
      <w:r w:rsidRPr="00972CEC">
        <w:rPr>
          <w:u w:val="single"/>
          <w:lang w:val="en-CA"/>
        </w:rPr>
        <w:t xml:space="preserve">In other words, if you </w:t>
      </w:r>
      <w:r w:rsidR="008C5D7F">
        <w:rPr>
          <w:u w:val="single"/>
          <w:lang w:val="en-CA"/>
        </w:rPr>
        <w:t xml:space="preserve">have </w:t>
      </w:r>
      <w:r w:rsidRPr="00972CEC">
        <w:rPr>
          <w:u w:val="single"/>
          <w:lang w:val="en-CA"/>
        </w:rPr>
        <w:t xml:space="preserve">concluded that the accused </w:t>
      </w:r>
      <w:r w:rsidR="005813B6">
        <w:rPr>
          <w:u w:val="single"/>
          <w:lang w:val="en-CA"/>
        </w:rPr>
        <w:t xml:space="preserve">was </w:t>
      </w:r>
      <w:r w:rsidRPr="00972CEC">
        <w:rPr>
          <w:u w:val="single"/>
          <w:lang w:val="en-CA"/>
        </w:rPr>
        <w:t>probably not suffer</w:t>
      </w:r>
      <w:r w:rsidR="008C5D7F">
        <w:rPr>
          <w:u w:val="single"/>
          <w:lang w:val="en-CA"/>
        </w:rPr>
        <w:t>ing</w:t>
      </w:r>
      <w:r w:rsidRPr="00972CEC">
        <w:rPr>
          <w:u w:val="single"/>
          <w:lang w:val="en-CA"/>
        </w:rPr>
        <w:t xml:space="preserve"> from </w:t>
      </w:r>
      <w:r w:rsidR="008C5D7F">
        <w:rPr>
          <w:u w:val="single"/>
          <w:lang w:val="en-CA"/>
        </w:rPr>
        <w:t xml:space="preserve">a </w:t>
      </w:r>
      <w:r w:rsidRPr="00972CEC">
        <w:rPr>
          <w:u w:val="single"/>
          <w:lang w:val="en-CA"/>
        </w:rPr>
        <w:t xml:space="preserve">mental disorder or that he </w:t>
      </w:r>
      <w:r w:rsidR="005813B6">
        <w:rPr>
          <w:u w:val="single"/>
          <w:lang w:val="en-CA"/>
        </w:rPr>
        <w:t xml:space="preserve">was </w:t>
      </w:r>
      <w:r w:rsidRPr="00972CEC">
        <w:rPr>
          <w:u w:val="single"/>
          <w:lang w:val="en-CA"/>
        </w:rPr>
        <w:t>probably suffer</w:t>
      </w:r>
      <w:r w:rsidR="005813B6">
        <w:rPr>
          <w:u w:val="single"/>
          <w:lang w:val="en-CA"/>
        </w:rPr>
        <w:t>ing</w:t>
      </w:r>
      <w:r w:rsidRPr="00972CEC">
        <w:rPr>
          <w:u w:val="single"/>
          <w:lang w:val="en-CA"/>
        </w:rPr>
        <w:t xml:space="preserve"> from </w:t>
      </w:r>
      <w:r w:rsidR="008C5D7F">
        <w:rPr>
          <w:u w:val="single"/>
          <w:lang w:val="en-CA"/>
        </w:rPr>
        <w:t xml:space="preserve">a </w:t>
      </w:r>
      <w:r w:rsidRPr="00972CEC">
        <w:rPr>
          <w:u w:val="single"/>
          <w:lang w:val="en-CA"/>
        </w:rPr>
        <w:t>mental disorder</w:t>
      </w:r>
      <w:r w:rsidR="008C5D7F">
        <w:rPr>
          <w:u w:val="single"/>
          <w:lang w:val="en-CA"/>
        </w:rPr>
        <w:t xml:space="preserve">, but </w:t>
      </w:r>
      <w:r w:rsidR="005813B6">
        <w:rPr>
          <w:u w:val="single"/>
          <w:lang w:val="en-CA"/>
        </w:rPr>
        <w:t>it</w:t>
      </w:r>
      <w:r w:rsidRPr="00972CEC">
        <w:rPr>
          <w:u w:val="single"/>
          <w:lang w:val="en-CA"/>
        </w:rPr>
        <w:t xml:space="preserve"> did not prevent him from knowing that the act was wrong, you must still consider the </w:t>
      </w:r>
      <w:r w:rsidR="005A6542">
        <w:rPr>
          <w:u w:val="single"/>
          <w:lang w:val="en-CA"/>
        </w:rPr>
        <w:t xml:space="preserve">evidence of a </w:t>
      </w:r>
      <w:r w:rsidRPr="00972CEC">
        <w:rPr>
          <w:u w:val="single"/>
          <w:lang w:val="en-CA"/>
        </w:rPr>
        <w:t xml:space="preserve">mental disorder, along with all </w:t>
      </w:r>
      <w:r w:rsidR="00427B30">
        <w:rPr>
          <w:u w:val="single"/>
          <w:lang w:val="en-CA"/>
        </w:rPr>
        <w:t xml:space="preserve">the </w:t>
      </w:r>
      <w:r w:rsidRPr="00972CEC">
        <w:rPr>
          <w:u w:val="single"/>
          <w:lang w:val="en-CA"/>
        </w:rPr>
        <w:t>other evidence, to decide whether the Crown has prove</w:t>
      </w:r>
      <w:r w:rsidR="00F4492B">
        <w:rPr>
          <w:u w:val="single"/>
          <w:lang w:val="en-CA"/>
        </w:rPr>
        <w:t>d intent</w:t>
      </w:r>
      <w:r w:rsidRPr="00972CEC">
        <w:rPr>
          <w:u w:val="single"/>
          <w:lang w:val="en-CA"/>
        </w:rPr>
        <w:t xml:space="preserve"> beyond a reasonable doubt</w:t>
      </w:r>
      <w:r w:rsidRPr="0075259F">
        <w:rPr>
          <w:lang w:val="en-CA"/>
        </w:rPr>
        <w:t xml:space="preserve">. Now, having </w:t>
      </w:r>
      <w:r w:rsidR="00427B30">
        <w:rPr>
          <w:lang w:val="en-CA"/>
        </w:rPr>
        <w:t>come to</w:t>
      </w:r>
      <w:r w:rsidRPr="0075259F">
        <w:rPr>
          <w:lang w:val="en-CA"/>
        </w:rPr>
        <w:t xml:space="preserve"> this essential element, you </w:t>
      </w:r>
      <w:r w:rsidR="00427B30">
        <w:rPr>
          <w:lang w:val="en-CA"/>
        </w:rPr>
        <w:t xml:space="preserve">must </w:t>
      </w:r>
      <w:r w:rsidR="005A6542">
        <w:rPr>
          <w:lang w:val="en-CA"/>
        </w:rPr>
        <w:t>bear in mind</w:t>
      </w:r>
      <w:r w:rsidRPr="0075259F">
        <w:rPr>
          <w:lang w:val="en-CA"/>
        </w:rPr>
        <w:t xml:space="preserve"> the accused</w:t>
      </w:r>
      <w:r w:rsidR="005813B6">
        <w:rPr>
          <w:lang w:val="en-CA"/>
        </w:rPr>
        <w:t>’</w:t>
      </w:r>
      <w:r w:rsidRPr="0075259F">
        <w:rPr>
          <w:lang w:val="en-CA"/>
        </w:rPr>
        <w:t xml:space="preserve">s testimony </w:t>
      </w:r>
      <w:r w:rsidR="005A6542">
        <w:rPr>
          <w:lang w:val="en-CA"/>
        </w:rPr>
        <w:t xml:space="preserve">and </w:t>
      </w:r>
      <w:r w:rsidRPr="0075259F">
        <w:rPr>
          <w:lang w:val="en-CA"/>
        </w:rPr>
        <w:t xml:space="preserve">what the psychiatrists said. </w:t>
      </w:r>
      <w:r w:rsidR="005A6542">
        <w:rPr>
          <w:lang w:val="en-CA"/>
        </w:rPr>
        <w:t>That is</w:t>
      </w:r>
      <w:r w:rsidR="005A6542" w:rsidRPr="0075259F">
        <w:rPr>
          <w:lang w:val="en-CA"/>
        </w:rPr>
        <w:t xml:space="preserve"> </w:t>
      </w:r>
      <w:r w:rsidRPr="0075259F">
        <w:rPr>
          <w:lang w:val="en-CA"/>
        </w:rPr>
        <w:t xml:space="preserve">part of the </w:t>
      </w:r>
      <w:r w:rsidR="00427B30">
        <w:rPr>
          <w:lang w:val="en-CA"/>
        </w:rPr>
        <w:t>body of</w:t>
      </w:r>
      <w:r w:rsidRPr="0075259F">
        <w:rPr>
          <w:lang w:val="en-CA"/>
        </w:rPr>
        <w:t xml:space="preserve"> evidence. You still have to consider it. </w:t>
      </w:r>
      <w:r w:rsidRPr="00427B30">
        <w:rPr>
          <w:u w:val="single"/>
          <w:lang w:val="en-CA"/>
        </w:rPr>
        <w:t xml:space="preserve">Evidence </w:t>
      </w:r>
      <w:r w:rsidR="005813B6">
        <w:rPr>
          <w:u w:val="single"/>
          <w:lang w:val="en-CA"/>
        </w:rPr>
        <w:t>that</w:t>
      </w:r>
      <w:r w:rsidRPr="00427B30">
        <w:rPr>
          <w:u w:val="single"/>
          <w:lang w:val="en-CA"/>
        </w:rPr>
        <w:t xml:space="preserve"> cannot convince you on a balance of probabilities could nevertheless raise a reasonable doubt as to the</w:t>
      </w:r>
      <w:r w:rsidR="005A6542">
        <w:rPr>
          <w:u w:val="single"/>
          <w:lang w:val="en-CA"/>
        </w:rPr>
        <w:t xml:space="preserve"> </w:t>
      </w:r>
      <w:r w:rsidR="009D6CD8">
        <w:rPr>
          <w:u w:val="single"/>
          <w:lang w:val="en-CA"/>
        </w:rPr>
        <w:t xml:space="preserve">element of </w:t>
      </w:r>
      <w:r w:rsidR="005A6542">
        <w:rPr>
          <w:u w:val="single"/>
          <w:lang w:val="en-CA"/>
        </w:rPr>
        <w:t>intent</w:t>
      </w:r>
      <w:r w:rsidRPr="00427B30">
        <w:rPr>
          <w:u w:val="single"/>
          <w:lang w:val="en-CA"/>
        </w:rPr>
        <w:t xml:space="preserve"> for </w:t>
      </w:r>
      <w:r w:rsidR="00E05BDB">
        <w:rPr>
          <w:u w:val="single"/>
          <w:lang w:val="en-CA"/>
        </w:rPr>
        <w:t xml:space="preserve">there to be </w:t>
      </w:r>
      <w:r w:rsidRPr="00427B30">
        <w:rPr>
          <w:u w:val="single"/>
          <w:lang w:val="en-CA"/>
        </w:rPr>
        <w:t>murder, which the Crown must prove beyond a reasonable doubt</w:t>
      </w:r>
      <w:r w:rsidR="00C27D89" w:rsidRPr="00856CD5">
        <w:rPr>
          <w:lang w:val="en-CA"/>
        </w:rPr>
        <w:t xml:space="preserve">. </w:t>
      </w:r>
    </w:p>
    <w:p w14:paraId="4B410A03" w14:textId="7C0E64FD" w:rsidR="00930029" w:rsidRPr="00930029" w:rsidRDefault="00930029" w:rsidP="00930029">
      <w:pPr>
        <w:pStyle w:val="Citationenretrait"/>
        <w:keepNext/>
        <w:keepLines/>
        <w:spacing w:line="240" w:lineRule="auto"/>
        <w:rPr>
          <w:lang w:val="en-CA"/>
        </w:rPr>
      </w:pPr>
      <w:r w:rsidRPr="00930029">
        <w:rPr>
          <w:lang w:val="en-CA"/>
        </w:rPr>
        <w:t xml:space="preserve">If the evidence </w:t>
      </w:r>
      <w:r w:rsidR="00C85DD7">
        <w:rPr>
          <w:lang w:val="en-CA"/>
        </w:rPr>
        <w:t xml:space="preserve">as a whole </w:t>
      </w:r>
      <w:r w:rsidRPr="00930029">
        <w:rPr>
          <w:lang w:val="en-CA"/>
        </w:rPr>
        <w:t>creates a reasonable doubt that Mr.</w:t>
      </w:r>
      <w:r w:rsidR="00C85DD7">
        <w:rPr>
          <w:lang w:val="en-CA"/>
        </w:rPr>
        <w:t> </w:t>
      </w:r>
      <w:r w:rsidRPr="00930029">
        <w:rPr>
          <w:lang w:val="en-CA"/>
        </w:rPr>
        <w:t>Tshilumba did not have the necessary intent to commit first degree murder, you will have to find him guilty</w:t>
      </w:r>
      <w:r w:rsidR="00C85DD7">
        <w:rPr>
          <w:lang w:val="en-CA"/>
        </w:rPr>
        <w:t xml:space="preserve"> </w:t>
      </w:r>
      <w:r w:rsidRPr="00930029">
        <w:rPr>
          <w:lang w:val="en-CA"/>
        </w:rPr>
        <w:t>... you will have to find Mr. Tshilumba guilty</w:t>
      </w:r>
      <w:r w:rsidR="00D6192A">
        <w:rPr>
          <w:lang w:val="en-CA"/>
        </w:rPr>
        <w:t xml:space="preserve">, </w:t>
      </w:r>
      <w:r w:rsidRPr="00930029">
        <w:rPr>
          <w:lang w:val="en-CA"/>
        </w:rPr>
        <w:t xml:space="preserve">not guilty of first degree murder degree, </w:t>
      </w:r>
      <w:r w:rsidR="00C85DD7">
        <w:rPr>
          <w:lang w:val="en-CA"/>
        </w:rPr>
        <w:t xml:space="preserve">pardon, </w:t>
      </w:r>
      <w:r w:rsidRPr="00930029">
        <w:rPr>
          <w:lang w:val="en-CA"/>
        </w:rPr>
        <w:t>but guilty of manslaughter, and I</w:t>
      </w:r>
      <w:r w:rsidR="005B6AC0">
        <w:rPr>
          <w:lang w:val="en-CA"/>
        </w:rPr>
        <w:t xml:space="preserve"> will return</w:t>
      </w:r>
      <w:r w:rsidRPr="00930029">
        <w:rPr>
          <w:lang w:val="en-CA"/>
        </w:rPr>
        <w:t xml:space="preserve"> to </w:t>
      </w:r>
      <w:r w:rsidR="00C85DD7">
        <w:rPr>
          <w:lang w:val="en-CA"/>
        </w:rPr>
        <w:t>this</w:t>
      </w:r>
      <w:r w:rsidRPr="00930029">
        <w:rPr>
          <w:lang w:val="en-CA"/>
        </w:rPr>
        <w:t>.</w:t>
      </w:r>
    </w:p>
    <w:p w14:paraId="4BC884C7" w14:textId="4F45412F" w:rsidR="00C27D89" w:rsidRPr="00856CD5" w:rsidRDefault="00930029" w:rsidP="00930029">
      <w:pPr>
        <w:pStyle w:val="Citationenretrait"/>
        <w:keepNext/>
        <w:keepLines/>
        <w:spacing w:line="240" w:lineRule="auto"/>
        <w:rPr>
          <w:lang w:val="en-CA"/>
        </w:rPr>
      </w:pPr>
      <w:r w:rsidRPr="00930029">
        <w:rPr>
          <w:lang w:val="en-CA"/>
        </w:rPr>
        <w:t xml:space="preserve">So if the evidence </w:t>
      </w:r>
      <w:r w:rsidR="00C85DD7">
        <w:rPr>
          <w:lang w:val="en-CA"/>
        </w:rPr>
        <w:t xml:space="preserve">as a whole </w:t>
      </w:r>
      <w:r w:rsidRPr="00930029">
        <w:rPr>
          <w:lang w:val="en-CA"/>
        </w:rPr>
        <w:t>creates a reasonable doubt that Mr.</w:t>
      </w:r>
      <w:r w:rsidR="005B6AC0">
        <w:rPr>
          <w:lang w:val="en-CA"/>
        </w:rPr>
        <w:t> </w:t>
      </w:r>
      <w:r w:rsidRPr="00930029">
        <w:rPr>
          <w:lang w:val="en-CA"/>
        </w:rPr>
        <w:t xml:space="preserve">Tshilumba did not have the necessary intent to commit first degree murder, then you will have to find Mr. Tshilumba not guilty of first degree murder, but guilty of </w:t>
      </w:r>
      <w:r w:rsidR="00E61311" w:rsidRPr="00E61311">
        <w:rPr>
          <w:lang w:val="en-CA"/>
        </w:rPr>
        <w:t>manslaughter</w:t>
      </w:r>
      <w:r w:rsidRPr="00930029">
        <w:rPr>
          <w:lang w:val="en-CA"/>
        </w:rPr>
        <w:t xml:space="preserve">, and </w:t>
      </w:r>
      <w:r w:rsidR="002D42AC">
        <w:rPr>
          <w:lang w:val="en-CA"/>
        </w:rPr>
        <w:t>I will return</w:t>
      </w:r>
      <w:r w:rsidRPr="00930029">
        <w:rPr>
          <w:lang w:val="en-CA"/>
        </w:rPr>
        <w:t xml:space="preserve"> to th</w:t>
      </w:r>
      <w:r w:rsidR="002D42AC">
        <w:rPr>
          <w:lang w:val="en-CA"/>
        </w:rPr>
        <w:t>is</w:t>
      </w:r>
      <w:r>
        <w:rPr>
          <w:lang w:val="en-CA"/>
        </w:rPr>
        <w:t>.</w:t>
      </w:r>
      <w:r w:rsidR="008A6AA7" w:rsidRPr="00856CD5">
        <w:rPr>
          <w:rStyle w:val="Appelnotedebasdep"/>
          <w:rFonts w:cs="Arial"/>
          <w:kern w:val="28"/>
          <w:szCs w:val="22"/>
          <w:lang w:val="en-CA"/>
        </w:rPr>
        <w:footnoteReference w:id="44"/>
      </w:r>
    </w:p>
    <w:p w14:paraId="669A9C29" w14:textId="0DE5D4E4" w:rsidR="008A6AA7" w:rsidRPr="00856CD5" w:rsidRDefault="008A6AA7" w:rsidP="000B6E2B">
      <w:pPr>
        <w:pStyle w:val="Citationenretrait"/>
        <w:spacing w:line="240" w:lineRule="auto"/>
        <w:jc w:val="right"/>
        <w:rPr>
          <w:lang w:val="en-CA"/>
        </w:rPr>
      </w:pPr>
      <w:r w:rsidRPr="00856CD5">
        <w:rPr>
          <w:lang w:val="en-CA"/>
        </w:rPr>
        <w:t>[</w:t>
      </w:r>
      <w:r w:rsidR="00930029">
        <w:rPr>
          <w:lang w:val="en-CA"/>
        </w:rPr>
        <w:t>Emphasis added</w:t>
      </w:r>
      <w:r w:rsidR="005B6AC0">
        <w:rPr>
          <w:lang w:val="en-CA"/>
        </w:rPr>
        <w:t>.</w:t>
      </w:r>
      <w:r w:rsidRPr="00856CD5">
        <w:rPr>
          <w:lang w:val="en-CA"/>
        </w:rPr>
        <w:t>]</w:t>
      </w:r>
    </w:p>
    <w:p w14:paraId="5465B0E0" w14:textId="2EE28AE8" w:rsidR="0022776D" w:rsidRPr="00856CD5" w:rsidRDefault="00CE2730" w:rsidP="00B92A5F">
      <w:pPr>
        <w:keepNext/>
        <w:numPr>
          <w:ilvl w:val="0"/>
          <w:numId w:val="18"/>
        </w:numPr>
        <w:spacing w:before="120" w:after="120" w:line="240" w:lineRule="auto"/>
        <w:jc w:val="both"/>
        <w:rPr>
          <w:rFonts w:cs="Arial"/>
          <w:kern w:val="28"/>
          <w:lang w:val="en-CA"/>
        </w:rPr>
      </w:pPr>
      <w:r>
        <w:rPr>
          <w:rFonts w:cs="Arial"/>
          <w:kern w:val="28"/>
          <w:lang w:val="en-CA"/>
        </w:rPr>
        <w:t>The judge then spoke to the</w:t>
      </w:r>
      <w:r w:rsidRPr="00CE2730">
        <w:rPr>
          <w:rFonts w:cs="Arial"/>
          <w:kern w:val="28"/>
          <w:lang w:val="en-CA"/>
        </w:rPr>
        <w:t xml:space="preserve"> jury about </w:t>
      </w:r>
      <w:r>
        <w:rPr>
          <w:rFonts w:cs="Arial"/>
          <w:kern w:val="28"/>
          <w:lang w:val="en-CA"/>
        </w:rPr>
        <w:t>after-the-fact conduct</w:t>
      </w:r>
      <w:r w:rsidRPr="00CE2730">
        <w:rPr>
          <w:rFonts w:cs="Arial"/>
          <w:kern w:val="28"/>
          <w:lang w:val="en-CA"/>
        </w:rPr>
        <w:t xml:space="preserve"> and its relevance in determining the appellant</w:t>
      </w:r>
      <w:r w:rsidR="008468E1">
        <w:rPr>
          <w:rFonts w:cs="Arial"/>
          <w:kern w:val="28"/>
          <w:lang w:val="en-CA"/>
        </w:rPr>
        <w:t>’</w:t>
      </w:r>
      <w:r w:rsidRPr="00CE2730">
        <w:rPr>
          <w:rFonts w:cs="Arial"/>
          <w:kern w:val="28"/>
          <w:lang w:val="en-CA"/>
        </w:rPr>
        <w:t>s intent</w:t>
      </w:r>
      <w:r w:rsidR="0022776D" w:rsidRPr="00856CD5">
        <w:rPr>
          <w:rFonts w:cs="Arial"/>
          <w:kern w:val="28"/>
          <w:lang w:val="en-CA"/>
        </w:rPr>
        <w:t>:</w:t>
      </w:r>
    </w:p>
    <w:p w14:paraId="33949F12" w14:textId="43F7B029" w:rsidR="00BF5CFD" w:rsidRPr="008468E1" w:rsidRDefault="00BF5CFD" w:rsidP="00B92A5F">
      <w:pPr>
        <w:pStyle w:val="Citationenretrait"/>
        <w:keepNext/>
        <w:spacing w:line="240" w:lineRule="auto"/>
        <w:rPr>
          <w:szCs w:val="22"/>
          <w:lang w:val="en-CA"/>
        </w:rPr>
      </w:pPr>
      <w:r w:rsidRPr="00B92A5F">
        <w:rPr>
          <w:rFonts w:cs="Arial"/>
          <w:szCs w:val="22"/>
          <w:lang w:val="en-CA"/>
        </w:rPr>
        <w:t>[</w:t>
      </w:r>
      <w:r w:rsidR="008468E1">
        <w:rPr>
          <w:rFonts w:cs="Arial"/>
          <w:smallCaps/>
          <w:szCs w:val="22"/>
          <w:lang w:val="en-CA"/>
        </w:rPr>
        <w:t>translation</w:t>
      </w:r>
      <w:r w:rsidRPr="00B92A5F">
        <w:rPr>
          <w:rFonts w:cs="Arial"/>
          <w:szCs w:val="22"/>
          <w:lang w:val="en-CA"/>
        </w:rPr>
        <w:t>]</w:t>
      </w:r>
    </w:p>
    <w:p w14:paraId="7DAC27F4" w14:textId="59F66AC7" w:rsidR="00CE2730" w:rsidRPr="00CE2730" w:rsidRDefault="00C31E3F" w:rsidP="00B92A5F">
      <w:pPr>
        <w:pStyle w:val="Citationenretrait"/>
        <w:keepNext/>
        <w:spacing w:line="240" w:lineRule="auto"/>
        <w:rPr>
          <w:lang w:val="en-CA"/>
        </w:rPr>
      </w:pPr>
      <w:r>
        <w:rPr>
          <w:lang w:val="en-CA"/>
        </w:rPr>
        <w:t>T</w:t>
      </w:r>
      <w:r w:rsidR="00CE2730" w:rsidRPr="00CE2730">
        <w:rPr>
          <w:lang w:val="en-CA"/>
        </w:rPr>
        <w:t>o determine whether, in the circumstances, you can make the common sense inference that the accused intended the natural and probable consequences of his acts, you must weigh all the evidence, including that of diminished mental capacity at the time</w:t>
      </w:r>
      <w:r w:rsidR="00AA5707">
        <w:rPr>
          <w:lang w:val="en-CA"/>
        </w:rPr>
        <w:t xml:space="preserve"> of the</w:t>
      </w:r>
      <w:r w:rsidR="00CE2730" w:rsidRPr="00CE2730">
        <w:rPr>
          <w:lang w:val="en-CA"/>
        </w:rPr>
        <w:t xml:space="preserve"> events. I already reviewed this evidence when I summarized the evidence on the </w:t>
      </w:r>
      <w:r w:rsidR="008D2926">
        <w:rPr>
          <w:rFonts w:cs="Arial"/>
          <w:lang w:val="en-CA"/>
        </w:rPr>
        <w:t xml:space="preserve">defence of </w:t>
      </w:r>
      <w:r w:rsidR="00CE2730" w:rsidRPr="00CE2730">
        <w:rPr>
          <w:lang w:val="en-CA"/>
        </w:rPr>
        <w:t>mental disorder for you. Naturally, I won</w:t>
      </w:r>
      <w:r w:rsidR="00A8404C">
        <w:rPr>
          <w:lang w:val="en-CA"/>
        </w:rPr>
        <w:t>’</w:t>
      </w:r>
      <w:r w:rsidR="00CE2730" w:rsidRPr="00CE2730">
        <w:rPr>
          <w:lang w:val="en-CA"/>
        </w:rPr>
        <w:t xml:space="preserve">t </w:t>
      </w:r>
      <w:r w:rsidR="00F54FBD">
        <w:rPr>
          <w:lang w:val="en-CA"/>
        </w:rPr>
        <w:t>go over it again</w:t>
      </w:r>
      <w:r w:rsidR="00CE2730" w:rsidRPr="00CE2730">
        <w:rPr>
          <w:lang w:val="en-CA"/>
        </w:rPr>
        <w:t xml:space="preserve">. </w:t>
      </w:r>
      <w:r w:rsidR="00CE2730" w:rsidRPr="00F54FBD">
        <w:rPr>
          <w:u w:val="single"/>
          <w:lang w:val="en-CA"/>
        </w:rPr>
        <w:t xml:space="preserve">This evidence could refute the common sense inference. If, after weighing all the evidence, there remains a reasonable doubt as to whether you can apply the common sense inference that the accused intended the natural and probable consequences of his acts, then you will not be able to apply this </w:t>
      </w:r>
      <w:r w:rsidR="00A41834">
        <w:rPr>
          <w:u w:val="single"/>
          <w:lang w:val="en-CA"/>
        </w:rPr>
        <w:t>inference</w:t>
      </w:r>
      <w:r w:rsidR="00CE2730" w:rsidRPr="00F54FBD">
        <w:rPr>
          <w:u w:val="single"/>
          <w:lang w:val="en-CA"/>
        </w:rPr>
        <w:t>. Evidence of the accused</w:t>
      </w:r>
      <w:r>
        <w:rPr>
          <w:u w:val="single"/>
          <w:lang w:val="en-CA"/>
        </w:rPr>
        <w:t>’</w:t>
      </w:r>
      <w:r w:rsidR="00CE2730" w:rsidRPr="00F54FBD">
        <w:rPr>
          <w:u w:val="single"/>
          <w:lang w:val="en-CA"/>
        </w:rPr>
        <w:t xml:space="preserve">s mental state at the time of the events is relevant to determining whether he had the </w:t>
      </w:r>
      <w:r w:rsidR="00A41834">
        <w:rPr>
          <w:u w:val="single"/>
          <w:lang w:val="en-CA"/>
        </w:rPr>
        <w:t xml:space="preserve">requisite </w:t>
      </w:r>
      <w:r w:rsidR="00CE2730" w:rsidRPr="00F54FBD">
        <w:rPr>
          <w:u w:val="single"/>
          <w:lang w:val="en-CA"/>
        </w:rPr>
        <w:t>intent to commit the murder</w:t>
      </w:r>
      <w:r w:rsidR="00CE2730" w:rsidRPr="00CE2730">
        <w:rPr>
          <w:lang w:val="en-CA"/>
        </w:rPr>
        <w:t>.</w:t>
      </w:r>
    </w:p>
    <w:p w14:paraId="5085C908" w14:textId="31A70AB2" w:rsidR="00CE2730" w:rsidRPr="00CE2730" w:rsidRDefault="00CE2730" w:rsidP="00CE2730">
      <w:pPr>
        <w:pStyle w:val="Citationenretrait"/>
        <w:spacing w:line="240" w:lineRule="auto"/>
        <w:rPr>
          <w:lang w:val="en-CA"/>
        </w:rPr>
      </w:pPr>
      <w:r w:rsidRPr="00CE2730">
        <w:rPr>
          <w:lang w:val="en-CA"/>
        </w:rPr>
        <w:t>…</w:t>
      </w:r>
    </w:p>
    <w:p w14:paraId="00F221E7" w14:textId="61DD6AB3" w:rsidR="0022776D" w:rsidRPr="00856CD5" w:rsidRDefault="00C31E3F" w:rsidP="00CE2730">
      <w:pPr>
        <w:pStyle w:val="Citationenretrait"/>
        <w:spacing w:line="240" w:lineRule="auto"/>
        <w:rPr>
          <w:lang w:val="en-CA"/>
        </w:rPr>
      </w:pPr>
      <w:r>
        <w:rPr>
          <w:lang w:val="en-CA"/>
        </w:rPr>
        <w:lastRenderedPageBreak/>
        <w:t>Also</w:t>
      </w:r>
      <w:r w:rsidR="00CE2730" w:rsidRPr="00CE2730">
        <w:rPr>
          <w:lang w:val="en-CA"/>
        </w:rPr>
        <w:t xml:space="preserve">, when you </w:t>
      </w:r>
      <w:r w:rsidR="00A41834">
        <w:rPr>
          <w:lang w:val="en-CA"/>
        </w:rPr>
        <w:t xml:space="preserve">are </w:t>
      </w:r>
      <w:r w:rsidR="00986595">
        <w:rPr>
          <w:lang w:val="en-CA"/>
        </w:rPr>
        <w:t xml:space="preserve">considering the issue </w:t>
      </w:r>
      <w:r w:rsidR="00CE2730" w:rsidRPr="00CE2730">
        <w:rPr>
          <w:lang w:val="en-CA"/>
        </w:rPr>
        <w:t xml:space="preserve">of intent, </w:t>
      </w:r>
      <w:r>
        <w:rPr>
          <w:lang w:val="en-CA"/>
        </w:rPr>
        <w:t>y</w:t>
      </w:r>
      <w:r w:rsidRPr="00CE2730">
        <w:rPr>
          <w:lang w:val="en-CA"/>
        </w:rPr>
        <w:t>ou must watch</w:t>
      </w:r>
      <w:r>
        <w:rPr>
          <w:lang w:val="en-CA"/>
        </w:rPr>
        <w:t xml:space="preserve"> </w:t>
      </w:r>
      <w:r w:rsidR="00CE2730" w:rsidRPr="00CE2730">
        <w:rPr>
          <w:lang w:val="en-CA"/>
        </w:rPr>
        <w:t>the Tim Hortons video, the accused</w:t>
      </w:r>
      <w:r w:rsidR="00986595">
        <w:rPr>
          <w:lang w:val="en-CA"/>
        </w:rPr>
        <w:t xml:space="preserve">’s </w:t>
      </w:r>
      <w:r>
        <w:rPr>
          <w:lang w:val="en-CA"/>
        </w:rPr>
        <w:t>conduct</w:t>
      </w:r>
      <w:r w:rsidR="00CE2730" w:rsidRPr="00CE2730">
        <w:rPr>
          <w:lang w:val="en-CA"/>
        </w:rPr>
        <w:t xml:space="preserve"> after the events. He</w:t>
      </w:r>
      <w:r w:rsidR="00986595">
        <w:rPr>
          <w:lang w:val="en-CA"/>
        </w:rPr>
        <w:t xml:space="preserve"> is</w:t>
      </w:r>
      <w:r w:rsidR="00CE2730" w:rsidRPr="00CE2730">
        <w:rPr>
          <w:lang w:val="en-CA"/>
        </w:rPr>
        <w:t xml:space="preserve"> hiding </w:t>
      </w:r>
      <w:r w:rsidR="0089221A">
        <w:rPr>
          <w:lang w:val="en-CA"/>
        </w:rPr>
        <w:t>in</w:t>
      </w:r>
      <w:r w:rsidR="0089221A" w:rsidRPr="00CE2730">
        <w:rPr>
          <w:lang w:val="en-CA"/>
        </w:rPr>
        <w:t xml:space="preserve"> </w:t>
      </w:r>
      <w:r w:rsidR="00986595">
        <w:rPr>
          <w:lang w:val="en-CA"/>
        </w:rPr>
        <w:t xml:space="preserve">the </w:t>
      </w:r>
      <w:r w:rsidR="00CE2730" w:rsidRPr="00CE2730">
        <w:rPr>
          <w:lang w:val="en-CA"/>
        </w:rPr>
        <w:t>Tim Hortons. He leaves the knife at the C</w:t>
      </w:r>
      <w:r w:rsidR="00A41834">
        <w:rPr>
          <w:lang w:val="en-CA"/>
        </w:rPr>
        <w:t>EGEP</w:t>
      </w:r>
      <w:r w:rsidR="00CE2730" w:rsidRPr="00CE2730">
        <w:rPr>
          <w:lang w:val="en-CA"/>
        </w:rPr>
        <w:t xml:space="preserve">. </w:t>
      </w:r>
      <w:r w:rsidR="00CE2730" w:rsidRPr="00986595">
        <w:rPr>
          <w:u w:val="single"/>
          <w:lang w:val="en-CA"/>
        </w:rPr>
        <w:t>You must consider the accused</w:t>
      </w:r>
      <w:r>
        <w:rPr>
          <w:u w:val="single"/>
          <w:lang w:val="en-CA"/>
        </w:rPr>
        <w:t>’</w:t>
      </w:r>
      <w:r w:rsidR="00CE2730" w:rsidRPr="00986595">
        <w:rPr>
          <w:u w:val="single"/>
          <w:lang w:val="en-CA"/>
        </w:rPr>
        <w:t>s explanation that he was hiding from the girls and not from the police</w:t>
      </w:r>
      <w:r w:rsidR="00CE2730" w:rsidRPr="00CE2730">
        <w:rPr>
          <w:lang w:val="en-CA"/>
        </w:rPr>
        <w:t xml:space="preserve">. It will be up to you to decide. It will be up to you to infer from the evidence. It is up to you to see what explanations can be drawn from this evidence. </w:t>
      </w:r>
      <w:r w:rsidR="00CE2730" w:rsidRPr="00E27641">
        <w:rPr>
          <w:u w:val="single"/>
          <w:lang w:val="en-CA"/>
        </w:rPr>
        <w:t xml:space="preserve">These elements could perhaps lead you to </w:t>
      </w:r>
      <w:r>
        <w:rPr>
          <w:u w:val="single"/>
          <w:lang w:val="en-CA"/>
        </w:rPr>
        <w:t>infer</w:t>
      </w:r>
      <w:r w:rsidR="00CE2730" w:rsidRPr="00E27641">
        <w:rPr>
          <w:u w:val="single"/>
          <w:lang w:val="en-CA"/>
        </w:rPr>
        <w:t xml:space="preserve"> that he was hiding from the police or that he was convinced, in his del</w:t>
      </w:r>
      <w:r w:rsidR="00E27641">
        <w:rPr>
          <w:u w:val="single"/>
          <w:lang w:val="en-CA"/>
        </w:rPr>
        <w:t>usion</w:t>
      </w:r>
      <w:r w:rsidR="00CE2730" w:rsidRPr="00E27641">
        <w:rPr>
          <w:u w:val="single"/>
          <w:lang w:val="en-CA"/>
        </w:rPr>
        <w:t>, that the girls</w:t>
      </w:r>
      <w:r>
        <w:rPr>
          <w:u w:val="single"/>
          <w:lang w:val="en-CA"/>
        </w:rPr>
        <w:t xml:space="preserve"> </w:t>
      </w:r>
      <w:r w:rsidR="00CE2730" w:rsidRPr="00E27641">
        <w:rPr>
          <w:u w:val="single"/>
          <w:lang w:val="en-CA"/>
        </w:rPr>
        <w:t xml:space="preserve">... or in his illness, that the girls still wanted </w:t>
      </w:r>
      <w:r w:rsidR="00E27641">
        <w:rPr>
          <w:u w:val="single"/>
          <w:lang w:val="en-CA"/>
        </w:rPr>
        <w:t xml:space="preserve">to </w:t>
      </w:r>
      <w:r w:rsidR="00CE2730" w:rsidRPr="00E27641">
        <w:rPr>
          <w:u w:val="single"/>
          <w:lang w:val="en-CA"/>
        </w:rPr>
        <w:t>harm</w:t>
      </w:r>
      <w:r w:rsidR="0089221A">
        <w:rPr>
          <w:u w:val="single"/>
          <w:lang w:val="en-CA"/>
        </w:rPr>
        <w:t xml:space="preserve"> him</w:t>
      </w:r>
      <w:r w:rsidR="00CE2730" w:rsidRPr="00E27641">
        <w:rPr>
          <w:u w:val="single"/>
          <w:lang w:val="en-CA"/>
        </w:rPr>
        <w:t>. It will be up to you to decide</w:t>
      </w:r>
      <w:r w:rsidR="00CE2730" w:rsidRPr="00CE2730">
        <w:rPr>
          <w:lang w:val="en-CA"/>
        </w:rPr>
        <w:t>.</w:t>
      </w:r>
    </w:p>
    <w:p w14:paraId="640B5270" w14:textId="689BE7F4" w:rsidR="00B43C53" w:rsidRPr="00856CD5" w:rsidRDefault="00B43C53" w:rsidP="000B6E2B">
      <w:pPr>
        <w:pStyle w:val="Citationenretrait"/>
        <w:spacing w:line="240" w:lineRule="auto"/>
        <w:jc w:val="right"/>
        <w:rPr>
          <w:lang w:val="en-CA"/>
        </w:rPr>
      </w:pPr>
      <w:r w:rsidRPr="00856CD5">
        <w:rPr>
          <w:lang w:val="en-CA"/>
        </w:rPr>
        <w:t>[</w:t>
      </w:r>
      <w:r w:rsidR="00E27641">
        <w:rPr>
          <w:lang w:val="en-CA"/>
        </w:rPr>
        <w:t>Emphasis added</w:t>
      </w:r>
      <w:r w:rsidR="00C31E3F">
        <w:rPr>
          <w:lang w:val="en-CA"/>
        </w:rPr>
        <w:t>.</w:t>
      </w:r>
      <w:r w:rsidRPr="00856CD5">
        <w:rPr>
          <w:lang w:val="en-CA"/>
        </w:rPr>
        <w:t>]</w:t>
      </w:r>
    </w:p>
    <w:p w14:paraId="21668362" w14:textId="414DBFE8" w:rsidR="007175DC" w:rsidRPr="00856CD5" w:rsidRDefault="002D7120" w:rsidP="000B6E2B">
      <w:pPr>
        <w:numPr>
          <w:ilvl w:val="0"/>
          <w:numId w:val="18"/>
        </w:numPr>
        <w:spacing w:before="120" w:after="120" w:line="240" w:lineRule="auto"/>
        <w:jc w:val="both"/>
        <w:rPr>
          <w:rFonts w:cs="Arial"/>
          <w:kern w:val="28"/>
          <w:lang w:val="en-CA"/>
        </w:rPr>
      </w:pPr>
      <w:r w:rsidRPr="007F60A5">
        <w:rPr>
          <w:rFonts w:cs="Arial"/>
          <w:kern w:val="28"/>
          <w:lang w:val="en-CA"/>
        </w:rPr>
        <w:t>At this stage</w:t>
      </w:r>
      <w:r w:rsidRPr="002D7120">
        <w:rPr>
          <w:rFonts w:cs="Arial"/>
          <w:kern w:val="28"/>
          <w:lang w:val="en-CA"/>
        </w:rPr>
        <w:t>, this instruction is appropriate</w:t>
      </w:r>
      <w:r w:rsidR="00A41834">
        <w:rPr>
          <w:rFonts w:cs="Arial"/>
          <w:kern w:val="28"/>
          <w:lang w:val="en-CA"/>
        </w:rPr>
        <w:t>. Th</w:t>
      </w:r>
      <w:r w:rsidRPr="002D7120">
        <w:rPr>
          <w:rFonts w:cs="Arial"/>
          <w:kern w:val="28"/>
          <w:lang w:val="en-CA"/>
        </w:rPr>
        <w:t>e jury had to consider other possible explanations for the appellant</w:t>
      </w:r>
      <w:r w:rsidR="007F60A5">
        <w:rPr>
          <w:rFonts w:cs="Arial"/>
          <w:kern w:val="28"/>
          <w:lang w:val="en-CA"/>
        </w:rPr>
        <w:t>’</w:t>
      </w:r>
      <w:r w:rsidRPr="002D7120">
        <w:rPr>
          <w:rFonts w:cs="Arial"/>
          <w:kern w:val="28"/>
          <w:lang w:val="en-CA"/>
        </w:rPr>
        <w:t>s</w:t>
      </w:r>
      <w:r w:rsidR="0089221A">
        <w:rPr>
          <w:rFonts w:cs="Arial"/>
          <w:kern w:val="28"/>
          <w:lang w:val="en-CA"/>
        </w:rPr>
        <w:t xml:space="preserve"> post-homicide</w:t>
      </w:r>
      <w:r w:rsidRPr="002D7120">
        <w:rPr>
          <w:rFonts w:cs="Arial"/>
          <w:kern w:val="28"/>
          <w:lang w:val="en-CA"/>
        </w:rPr>
        <w:t xml:space="preserve"> </w:t>
      </w:r>
      <w:r w:rsidR="004E603A">
        <w:rPr>
          <w:rFonts w:cs="Arial"/>
          <w:kern w:val="28"/>
          <w:lang w:val="en-CA"/>
        </w:rPr>
        <w:t>conduct</w:t>
      </w:r>
      <w:r w:rsidRPr="002D7120">
        <w:rPr>
          <w:rFonts w:cs="Arial"/>
          <w:kern w:val="28"/>
          <w:lang w:val="en-CA"/>
        </w:rPr>
        <w:t>, including the appellant</w:t>
      </w:r>
      <w:r w:rsidR="0089221A">
        <w:rPr>
          <w:rFonts w:cs="Arial"/>
          <w:kern w:val="28"/>
          <w:lang w:val="en-CA"/>
        </w:rPr>
        <w:t>’s belief</w:t>
      </w:r>
      <w:r w:rsidR="00A41834">
        <w:rPr>
          <w:rFonts w:cs="Arial"/>
          <w:kern w:val="28"/>
          <w:lang w:val="en-CA"/>
        </w:rPr>
        <w:t>,</w:t>
      </w:r>
      <w:r w:rsidRPr="002D7120">
        <w:rPr>
          <w:rFonts w:cs="Arial"/>
          <w:kern w:val="28"/>
          <w:lang w:val="en-CA"/>
        </w:rPr>
        <w:t xml:space="preserve"> </w:t>
      </w:r>
      <w:r w:rsidR="0089221A">
        <w:rPr>
          <w:rFonts w:cs="Arial"/>
          <w:kern w:val="28"/>
          <w:lang w:val="en-CA"/>
        </w:rPr>
        <w:t>due to</w:t>
      </w:r>
      <w:r w:rsidRPr="002D7120">
        <w:rPr>
          <w:rFonts w:cs="Arial"/>
          <w:kern w:val="28"/>
          <w:lang w:val="en-CA"/>
        </w:rPr>
        <w:t xml:space="preserve"> his </w:t>
      </w:r>
      <w:r>
        <w:rPr>
          <w:rFonts w:cs="Arial"/>
          <w:kern w:val="28"/>
          <w:lang w:val="en-CA"/>
        </w:rPr>
        <w:t>delusion</w:t>
      </w:r>
      <w:r w:rsidRPr="002D7120">
        <w:rPr>
          <w:rFonts w:cs="Arial"/>
          <w:kern w:val="28"/>
          <w:lang w:val="en-CA"/>
        </w:rPr>
        <w:t xml:space="preserve"> or illness, </w:t>
      </w:r>
      <w:r>
        <w:rPr>
          <w:rFonts w:cs="Arial"/>
          <w:kern w:val="28"/>
          <w:lang w:val="en-CA"/>
        </w:rPr>
        <w:t>that</w:t>
      </w:r>
      <w:r w:rsidRPr="002D7120">
        <w:rPr>
          <w:rFonts w:cs="Arial"/>
          <w:kern w:val="28"/>
          <w:lang w:val="en-CA"/>
        </w:rPr>
        <w:t xml:space="preserve"> his life </w:t>
      </w:r>
      <w:r>
        <w:rPr>
          <w:rFonts w:cs="Arial"/>
          <w:kern w:val="28"/>
          <w:lang w:val="en-CA"/>
        </w:rPr>
        <w:t>was</w:t>
      </w:r>
      <w:r w:rsidRPr="002D7120">
        <w:rPr>
          <w:rFonts w:cs="Arial"/>
          <w:kern w:val="28"/>
          <w:lang w:val="en-CA"/>
        </w:rPr>
        <w:t xml:space="preserve"> still in danger</w:t>
      </w:r>
      <w:r w:rsidR="007175DC" w:rsidRPr="00856CD5">
        <w:rPr>
          <w:rFonts w:cs="Arial"/>
          <w:kern w:val="28"/>
          <w:lang w:val="en-CA"/>
        </w:rPr>
        <w:t>.</w:t>
      </w:r>
    </w:p>
    <w:p w14:paraId="74CB0CBB" w14:textId="00F0E1E3" w:rsidR="0022776D" w:rsidRPr="00856CD5" w:rsidRDefault="002D7120" w:rsidP="000B6E2B">
      <w:pPr>
        <w:numPr>
          <w:ilvl w:val="0"/>
          <w:numId w:val="18"/>
        </w:numPr>
        <w:spacing w:before="120" w:after="120" w:line="240" w:lineRule="auto"/>
        <w:jc w:val="both"/>
        <w:rPr>
          <w:rFonts w:cs="Arial"/>
          <w:kern w:val="28"/>
          <w:lang w:val="en-CA"/>
        </w:rPr>
      </w:pPr>
      <w:r w:rsidRPr="002D7120">
        <w:rPr>
          <w:rFonts w:cs="Arial"/>
          <w:kern w:val="28"/>
          <w:lang w:val="en-CA"/>
        </w:rPr>
        <w:t xml:space="preserve">Finally, the judge </w:t>
      </w:r>
      <w:r>
        <w:rPr>
          <w:rFonts w:cs="Arial"/>
          <w:kern w:val="28"/>
          <w:lang w:val="en-CA"/>
        </w:rPr>
        <w:t>stated</w:t>
      </w:r>
      <w:r w:rsidRPr="002D7120">
        <w:rPr>
          <w:rFonts w:cs="Arial"/>
          <w:kern w:val="28"/>
          <w:lang w:val="en-CA"/>
        </w:rPr>
        <w:t xml:space="preserve"> her instructions regarding first degree murder and </w:t>
      </w:r>
      <w:r w:rsidR="00A41834">
        <w:rPr>
          <w:rFonts w:cs="Arial"/>
          <w:kern w:val="28"/>
          <w:lang w:val="en-CA"/>
        </w:rPr>
        <w:t>the planning</w:t>
      </w:r>
      <w:r w:rsidRPr="002D7120">
        <w:rPr>
          <w:rFonts w:cs="Arial"/>
          <w:kern w:val="28"/>
          <w:lang w:val="en-CA"/>
        </w:rPr>
        <w:t xml:space="preserve"> element</w:t>
      </w:r>
      <w:r w:rsidR="007175DC" w:rsidRPr="00856CD5">
        <w:rPr>
          <w:rFonts w:cs="Arial"/>
          <w:kern w:val="28"/>
          <w:lang w:val="en-CA"/>
        </w:rPr>
        <w:t>:</w:t>
      </w:r>
      <w:r w:rsidR="0022776D" w:rsidRPr="00856CD5">
        <w:rPr>
          <w:rFonts w:cs="Arial"/>
          <w:kern w:val="28"/>
          <w:lang w:val="en-CA"/>
        </w:rPr>
        <w:t xml:space="preserve"> </w:t>
      </w:r>
    </w:p>
    <w:p w14:paraId="2B48F743" w14:textId="5EC7F4AE" w:rsidR="00BF5CFD" w:rsidRPr="00673A5C" w:rsidRDefault="00BF5CFD" w:rsidP="000B6E2B">
      <w:pPr>
        <w:pStyle w:val="Citationenretrait"/>
        <w:spacing w:line="240" w:lineRule="auto"/>
        <w:rPr>
          <w:szCs w:val="22"/>
          <w:lang w:val="en-CA"/>
        </w:rPr>
      </w:pPr>
      <w:r w:rsidRPr="00B92A5F">
        <w:rPr>
          <w:rFonts w:cs="Arial"/>
          <w:szCs w:val="22"/>
          <w:lang w:val="en-CA"/>
        </w:rPr>
        <w:t>[</w:t>
      </w:r>
      <w:r w:rsidR="00673A5C">
        <w:rPr>
          <w:rFonts w:cs="Arial"/>
          <w:smallCaps/>
          <w:szCs w:val="22"/>
          <w:lang w:val="en-CA"/>
        </w:rPr>
        <w:t>translation</w:t>
      </w:r>
      <w:r w:rsidRPr="00B92A5F">
        <w:rPr>
          <w:rFonts w:cs="Arial"/>
          <w:szCs w:val="22"/>
          <w:lang w:val="en-CA"/>
        </w:rPr>
        <w:t>]</w:t>
      </w:r>
    </w:p>
    <w:p w14:paraId="2CB462BD" w14:textId="7784759A" w:rsidR="0022776D" w:rsidRPr="00856CD5" w:rsidRDefault="00673A5C" w:rsidP="000B6E2B">
      <w:pPr>
        <w:pStyle w:val="Citationenretrait"/>
        <w:spacing w:line="240" w:lineRule="auto"/>
        <w:rPr>
          <w:lang w:val="en-CA"/>
        </w:rPr>
      </w:pPr>
      <w:r>
        <w:rPr>
          <w:lang w:val="en-CA"/>
        </w:rPr>
        <w:t>T</w:t>
      </w:r>
      <w:r w:rsidR="003E74FB" w:rsidRPr="003E74FB">
        <w:rPr>
          <w:lang w:val="en-CA"/>
        </w:rPr>
        <w:t>o decide this question, you will</w:t>
      </w:r>
      <w:r w:rsidR="003E74FB">
        <w:rPr>
          <w:lang w:val="en-CA"/>
        </w:rPr>
        <w:t xml:space="preserve"> once again </w:t>
      </w:r>
      <w:r w:rsidR="003E74FB" w:rsidRPr="003E74FB">
        <w:rPr>
          <w:lang w:val="en-CA"/>
        </w:rPr>
        <w:t xml:space="preserve">need to consider the evidence as a whole. Among other things, you </w:t>
      </w:r>
      <w:r w:rsidR="003E74FB">
        <w:rPr>
          <w:lang w:val="en-CA"/>
        </w:rPr>
        <w:t xml:space="preserve">will </w:t>
      </w:r>
      <w:r w:rsidR="003E74FB" w:rsidRPr="003E74FB">
        <w:rPr>
          <w:lang w:val="en-CA"/>
        </w:rPr>
        <w:t xml:space="preserve">consider what the accused did or did not do, </w:t>
      </w:r>
      <w:r w:rsidR="003E74FB">
        <w:rPr>
          <w:lang w:val="en-CA"/>
        </w:rPr>
        <w:t>the manner in which</w:t>
      </w:r>
      <w:r w:rsidR="003E74FB" w:rsidRPr="003E74FB">
        <w:rPr>
          <w:lang w:val="en-CA"/>
        </w:rPr>
        <w:t xml:space="preserve"> the accused did or did not do those things, </w:t>
      </w:r>
      <w:r>
        <w:rPr>
          <w:lang w:val="en-CA"/>
        </w:rPr>
        <w:t xml:space="preserve">and </w:t>
      </w:r>
      <w:r w:rsidR="003E74FB" w:rsidRPr="003E74FB">
        <w:rPr>
          <w:lang w:val="en-CA"/>
        </w:rPr>
        <w:t xml:space="preserve">what </w:t>
      </w:r>
      <w:r w:rsidR="00A41834">
        <w:rPr>
          <w:lang w:val="en-CA"/>
        </w:rPr>
        <w:t>he</w:t>
      </w:r>
      <w:r w:rsidR="003E74FB" w:rsidRPr="003E74FB">
        <w:rPr>
          <w:lang w:val="en-CA"/>
        </w:rPr>
        <w:t xml:space="preserve"> said or did not sa</w:t>
      </w:r>
      <w:r w:rsidR="003E74FB">
        <w:rPr>
          <w:lang w:val="en-CA"/>
        </w:rPr>
        <w:t>y</w:t>
      </w:r>
      <w:r w:rsidR="003E74FB" w:rsidRPr="003E74FB">
        <w:rPr>
          <w:lang w:val="en-CA"/>
        </w:rPr>
        <w:t xml:space="preserve">. The situation in which the accused </w:t>
      </w:r>
      <w:r w:rsidR="00D42AD2">
        <w:rPr>
          <w:lang w:val="en-CA"/>
        </w:rPr>
        <w:t>was in</w:t>
      </w:r>
      <w:r w:rsidR="003E74FB" w:rsidRPr="003E74FB">
        <w:rPr>
          <w:lang w:val="en-CA"/>
        </w:rPr>
        <w:t xml:space="preserve"> and the accused</w:t>
      </w:r>
      <w:r w:rsidR="00D42AD2">
        <w:rPr>
          <w:lang w:val="en-CA"/>
        </w:rPr>
        <w:t>’</w:t>
      </w:r>
      <w:r w:rsidR="003E74FB" w:rsidRPr="003E74FB">
        <w:rPr>
          <w:lang w:val="en-CA"/>
        </w:rPr>
        <w:t xml:space="preserve">s state of mind, including any evidence of diminished mental capacity. </w:t>
      </w:r>
      <w:r w:rsidR="003E74FB" w:rsidRPr="003E74FB">
        <w:rPr>
          <w:u w:val="single"/>
          <w:lang w:val="en-CA"/>
        </w:rPr>
        <w:t xml:space="preserve">Concerning the evidence relating to </w:t>
      </w:r>
      <w:r w:rsidR="00282420">
        <w:rPr>
          <w:u w:val="single"/>
          <w:lang w:val="en-CA"/>
        </w:rPr>
        <w:t xml:space="preserve">a </w:t>
      </w:r>
      <w:r w:rsidR="003E74FB" w:rsidRPr="003E74FB">
        <w:rPr>
          <w:u w:val="single"/>
          <w:lang w:val="en-CA"/>
        </w:rPr>
        <w:t xml:space="preserve">mental disorder, I remind you of what I told you earlier: if you </w:t>
      </w:r>
      <w:r w:rsidR="00A41834">
        <w:rPr>
          <w:u w:val="single"/>
          <w:lang w:val="en-CA"/>
        </w:rPr>
        <w:t xml:space="preserve">have </w:t>
      </w:r>
      <w:r w:rsidR="003E74FB" w:rsidRPr="003E74FB">
        <w:rPr>
          <w:u w:val="single"/>
          <w:lang w:val="en-CA"/>
        </w:rPr>
        <w:t xml:space="preserve">decided that Mr. Tshilumba was probably not </w:t>
      </w:r>
      <w:r w:rsidR="003E74FB">
        <w:rPr>
          <w:u w:val="single"/>
          <w:lang w:val="en-CA"/>
        </w:rPr>
        <w:t>afflicted with</w:t>
      </w:r>
      <w:r w:rsidR="003E74FB" w:rsidRPr="003E74FB">
        <w:rPr>
          <w:u w:val="single"/>
          <w:lang w:val="en-CA"/>
        </w:rPr>
        <w:t xml:space="preserve"> </w:t>
      </w:r>
      <w:r w:rsidR="00282420">
        <w:rPr>
          <w:u w:val="single"/>
          <w:lang w:val="en-CA"/>
        </w:rPr>
        <w:t xml:space="preserve">a </w:t>
      </w:r>
      <w:r w:rsidR="003E74FB" w:rsidRPr="003E74FB">
        <w:rPr>
          <w:u w:val="single"/>
          <w:lang w:val="en-CA"/>
        </w:rPr>
        <w:t xml:space="preserve">mental disorder or that if he </w:t>
      </w:r>
      <w:r w:rsidR="003E74FB">
        <w:rPr>
          <w:u w:val="single"/>
          <w:lang w:val="en-CA"/>
        </w:rPr>
        <w:t>was so afflicte</w:t>
      </w:r>
      <w:r w:rsidR="003E74FB" w:rsidRPr="003E74FB">
        <w:rPr>
          <w:u w:val="single"/>
          <w:lang w:val="en-CA"/>
        </w:rPr>
        <w:t>d</w:t>
      </w:r>
      <w:r w:rsidR="00FF3619">
        <w:rPr>
          <w:u w:val="single"/>
          <w:lang w:val="en-CA"/>
        </w:rPr>
        <w:t xml:space="preserve"> </w:t>
      </w:r>
      <w:r w:rsidR="003E74FB" w:rsidRPr="003E74FB">
        <w:rPr>
          <w:u w:val="single"/>
          <w:lang w:val="en-CA"/>
        </w:rPr>
        <w:t xml:space="preserve">... if </w:t>
      </w:r>
      <w:r w:rsidR="003E74FB">
        <w:rPr>
          <w:u w:val="single"/>
          <w:lang w:val="en-CA"/>
        </w:rPr>
        <w:t>he probably was</w:t>
      </w:r>
      <w:r w:rsidR="003E74FB" w:rsidRPr="003E74FB">
        <w:rPr>
          <w:u w:val="single"/>
          <w:lang w:val="en-CA"/>
        </w:rPr>
        <w:t xml:space="preserve"> </w:t>
      </w:r>
      <w:r w:rsidR="003E74FB">
        <w:rPr>
          <w:u w:val="single"/>
          <w:lang w:val="en-CA"/>
        </w:rPr>
        <w:t>so afflicted</w:t>
      </w:r>
      <w:r w:rsidR="003E74FB" w:rsidRPr="003E74FB">
        <w:rPr>
          <w:u w:val="single"/>
          <w:lang w:val="en-CA"/>
        </w:rPr>
        <w:t xml:space="preserve">, </w:t>
      </w:r>
      <w:r w:rsidR="003E74FB">
        <w:rPr>
          <w:u w:val="single"/>
          <w:lang w:val="en-CA"/>
        </w:rPr>
        <w:t xml:space="preserve">that </w:t>
      </w:r>
      <w:r w:rsidR="00282420">
        <w:rPr>
          <w:u w:val="single"/>
          <w:lang w:val="en-CA"/>
        </w:rPr>
        <w:t>did not</w:t>
      </w:r>
      <w:r w:rsidR="00FF3619">
        <w:rPr>
          <w:u w:val="single"/>
          <w:lang w:val="en-CA"/>
        </w:rPr>
        <w:t xml:space="preserve"> pre </w:t>
      </w:r>
      <w:r w:rsidR="003E74FB" w:rsidRPr="003E74FB">
        <w:rPr>
          <w:u w:val="single"/>
          <w:lang w:val="en-CA"/>
        </w:rPr>
        <w:t xml:space="preserve">... </w:t>
      </w:r>
      <w:r w:rsidR="003E74FB">
        <w:rPr>
          <w:u w:val="single"/>
          <w:lang w:val="en-CA"/>
        </w:rPr>
        <w:t>that</w:t>
      </w:r>
      <w:r w:rsidR="003E74FB" w:rsidRPr="003E74FB">
        <w:rPr>
          <w:u w:val="single"/>
          <w:lang w:val="en-CA"/>
        </w:rPr>
        <w:t xml:space="preserve"> </w:t>
      </w:r>
      <w:r w:rsidR="00282420" w:rsidRPr="003E74FB">
        <w:rPr>
          <w:u w:val="single"/>
          <w:lang w:val="en-CA"/>
        </w:rPr>
        <w:t>d</w:t>
      </w:r>
      <w:r w:rsidR="00282420">
        <w:rPr>
          <w:u w:val="single"/>
          <w:lang w:val="en-CA"/>
        </w:rPr>
        <w:t>id not</w:t>
      </w:r>
      <w:r w:rsidR="00282420" w:rsidRPr="003E74FB">
        <w:rPr>
          <w:u w:val="single"/>
          <w:lang w:val="en-CA"/>
        </w:rPr>
        <w:t xml:space="preserve"> </w:t>
      </w:r>
      <w:r w:rsidR="003E74FB">
        <w:rPr>
          <w:u w:val="single"/>
          <w:lang w:val="en-CA"/>
        </w:rPr>
        <w:t>prevent</w:t>
      </w:r>
      <w:r w:rsidR="003E74FB" w:rsidRPr="003E74FB">
        <w:rPr>
          <w:u w:val="single"/>
          <w:lang w:val="en-CA"/>
        </w:rPr>
        <w:t xml:space="preserve"> him </w:t>
      </w:r>
      <w:r w:rsidR="003E74FB">
        <w:rPr>
          <w:u w:val="single"/>
          <w:lang w:val="en-CA"/>
        </w:rPr>
        <w:t>from</w:t>
      </w:r>
      <w:r w:rsidR="003E74FB" w:rsidRPr="003E74FB">
        <w:rPr>
          <w:u w:val="single"/>
          <w:lang w:val="en-CA"/>
        </w:rPr>
        <w:t xml:space="preserve"> knowing that the act was wrong, </w:t>
      </w:r>
      <w:r w:rsidR="00F05828">
        <w:rPr>
          <w:u w:val="single"/>
          <w:lang w:val="en-CA"/>
        </w:rPr>
        <w:t>then</w:t>
      </w:r>
      <w:r w:rsidR="003E74FB" w:rsidRPr="003E74FB">
        <w:rPr>
          <w:u w:val="single"/>
          <w:lang w:val="en-CA"/>
        </w:rPr>
        <w:t xml:space="preserve"> you</w:t>
      </w:r>
      <w:r w:rsidR="00282420">
        <w:rPr>
          <w:u w:val="single"/>
          <w:lang w:val="en-CA"/>
        </w:rPr>
        <w:t xml:space="preserve"> a</w:t>
      </w:r>
      <w:r w:rsidR="003E74FB" w:rsidRPr="003E74FB">
        <w:rPr>
          <w:u w:val="single"/>
          <w:lang w:val="en-CA"/>
        </w:rPr>
        <w:t xml:space="preserve">re going to reject the </w:t>
      </w:r>
      <w:r w:rsidR="008D2926" w:rsidRPr="00A8404C">
        <w:rPr>
          <w:rFonts w:cs="Arial"/>
          <w:u w:val="single"/>
          <w:lang w:val="en-CA"/>
        </w:rPr>
        <w:t xml:space="preserve">defence of </w:t>
      </w:r>
      <w:r w:rsidR="003E74FB" w:rsidRPr="003E74FB">
        <w:rPr>
          <w:u w:val="single"/>
          <w:lang w:val="en-CA"/>
        </w:rPr>
        <w:t xml:space="preserve">mental disorder. You must still </w:t>
      </w:r>
      <w:r w:rsidR="00F05828">
        <w:rPr>
          <w:u w:val="single"/>
          <w:lang w:val="en-CA"/>
        </w:rPr>
        <w:t>examine</w:t>
      </w:r>
      <w:r w:rsidR="003E74FB" w:rsidRPr="003E74FB">
        <w:rPr>
          <w:u w:val="single"/>
          <w:lang w:val="en-CA"/>
        </w:rPr>
        <w:t xml:space="preserve"> the </w:t>
      </w:r>
      <w:r w:rsidR="00282420">
        <w:rPr>
          <w:u w:val="single"/>
          <w:lang w:val="en-CA"/>
        </w:rPr>
        <w:t xml:space="preserve">evidence of a </w:t>
      </w:r>
      <w:r w:rsidR="003E74FB" w:rsidRPr="003E74FB">
        <w:rPr>
          <w:u w:val="single"/>
          <w:lang w:val="en-CA"/>
        </w:rPr>
        <w:t xml:space="preserve">mental disorder with all the other evidence </w:t>
      </w:r>
      <w:r w:rsidR="003E74FB">
        <w:rPr>
          <w:u w:val="single"/>
          <w:lang w:val="en-CA"/>
        </w:rPr>
        <w:t xml:space="preserve">in order </w:t>
      </w:r>
      <w:r w:rsidR="003E74FB" w:rsidRPr="003E74FB">
        <w:rPr>
          <w:u w:val="single"/>
          <w:lang w:val="en-CA"/>
        </w:rPr>
        <w:t>to decide whether the Crown has prove</w:t>
      </w:r>
      <w:r w:rsidR="00282420">
        <w:rPr>
          <w:u w:val="single"/>
          <w:lang w:val="en-CA"/>
        </w:rPr>
        <w:t>d this essential element</w:t>
      </w:r>
      <w:r w:rsidR="003E74FB" w:rsidRPr="003E74FB">
        <w:rPr>
          <w:u w:val="single"/>
          <w:lang w:val="en-CA"/>
        </w:rPr>
        <w:t xml:space="preserve"> beyond a reasonable doubt. In other words, the </w:t>
      </w:r>
      <w:r w:rsidR="004D480F">
        <w:rPr>
          <w:u w:val="single"/>
          <w:lang w:val="en-CA"/>
        </w:rPr>
        <w:t>evidence</w:t>
      </w:r>
      <w:r w:rsidR="003E74FB" w:rsidRPr="003E74FB">
        <w:rPr>
          <w:u w:val="single"/>
          <w:lang w:val="en-CA"/>
        </w:rPr>
        <w:t xml:space="preserve"> </w:t>
      </w:r>
      <w:r w:rsidR="00282420">
        <w:rPr>
          <w:u w:val="single"/>
          <w:lang w:val="en-CA"/>
        </w:rPr>
        <w:t xml:space="preserve">of a mental disorder </w:t>
      </w:r>
      <w:r w:rsidR="003E74FB" w:rsidRPr="003E74FB">
        <w:rPr>
          <w:u w:val="single"/>
          <w:lang w:val="en-CA"/>
        </w:rPr>
        <w:t xml:space="preserve">may not have convinced you </w:t>
      </w:r>
      <w:r w:rsidR="003E74FB" w:rsidRPr="003E74FB">
        <w:rPr>
          <w:b/>
          <w:bCs/>
          <w:u w:val="single"/>
          <w:lang w:val="en-CA"/>
        </w:rPr>
        <w:t>on a strong balance of probabilities</w:t>
      </w:r>
      <w:r w:rsidR="00734DE5" w:rsidRPr="003E74FB">
        <w:rPr>
          <w:rStyle w:val="Appelnotedebasdep"/>
          <w:szCs w:val="22"/>
          <w:u w:val="single"/>
          <w:lang w:val="en-CA"/>
        </w:rPr>
        <w:footnoteReference w:id="45"/>
      </w:r>
      <w:r w:rsidR="0022776D" w:rsidRPr="00856CD5">
        <w:rPr>
          <w:u w:val="single"/>
          <w:lang w:val="en-CA"/>
        </w:rPr>
        <w:t xml:space="preserve"> </w:t>
      </w:r>
      <w:r w:rsidR="004D480F" w:rsidRPr="004D480F">
        <w:rPr>
          <w:u w:val="single"/>
          <w:lang w:val="en-CA"/>
        </w:rPr>
        <w:t xml:space="preserve">that the accused </w:t>
      </w:r>
      <w:r w:rsidR="004D480F">
        <w:rPr>
          <w:u w:val="single"/>
          <w:lang w:val="en-CA"/>
        </w:rPr>
        <w:t xml:space="preserve">should </w:t>
      </w:r>
      <w:r w:rsidR="004D480F" w:rsidRPr="004D480F">
        <w:rPr>
          <w:u w:val="single"/>
          <w:lang w:val="en-CA"/>
        </w:rPr>
        <w:t xml:space="preserve">be found not criminally </w:t>
      </w:r>
      <w:r w:rsidR="00976054" w:rsidRPr="004D480F">
        <w:rPr>
          <w:u w:val="single"/>
          <w:lang w:val="en-CA"/>
        </w:rPr>
        <w:t>responsible but</w:t>
      </w:r>
      <w:r w:rsidR="004D480F" w:rsidRPr="004D480F">
        <w:rPr>
          <w:u w:val="single"/>
          <w:lang w:val="en-CA"/>
        </w:rPr>
        <w:t xml:space="preserve"> could raise a reasonable doubt as to the essential element of </w:t>
      </w:r>
      <w:r w:rsidR="00A6019D">
        <w:rPr>
          <w:u w:val="single"/>
          <w:lang w:val="en-CA"/>
        </w:rPr>
        <w:t>planning</w:t>
      </w:r>
      <w:r w:rsidR="004D480F" w:rsidRPr="004D480F">
        <w:rPr>
          <w:u w:val="single"/>
          <w:lang w:val="en-CA"/>
        </w:rPr>
        <w:t xml:space="preserve"> and deliberat</w:t>
      </w:r>
      <w:r w:rsidR="00FF3619">
        <w:rPr>
          <w:u w:val="single"/>
          <w:lang w:val="en-CA"/>
        </w:rPr>
        <w:t>ion</w:t>
      </w:r>
      <w:r w:rsidR="004D480F" w:rsidRPr="004D480F">
        <w:rPr>
          <w:u w:val="single"/>
          <w:lang w:val="en-CA"/>
        </w:rPr>
        <w:t xml:space="preserve"> for there to be first degree murder, which the Crown must prove beyond a reasonable doubt</w:t>
      </w:r>
      <w:r w:rsidR="004D480F" w:rsidRPr="004D480F">
        <w:rPr>
          <w:lang w:val="en-CA"/>
        </w:rPr>
        <w:t xml:space="preserve">. </w:t>
      </w:r>
      <w:r w:rsidR="00F05828">
        <w:rPr>
          <w:lang w:val="en-CA"/>
        </w:rPr>
        <w:t>Once a</w:t>
      </w:r>
      <w:r w:rsidR="004D480F" w:rsidRPr="004D480F">
        <w:rPr>
          <w:lang w:val="en-CA"/>
        </w:rPr>
        <w:t xml:space="preserve">gain, I will not </w:t>
      </w:r>
      <w:r w:rsidR="00282420">
        <w:rPr>
          <w:lang w:val="en-CA"/>
        </w:rPr>
        <w:t>revisit</w:t>
      </w:r>
      <w:r w:rsidR="004D480F" w:rsidRPr="004D480F">
        <w:rPr>
          <w:lang w:val="en-CA"/>
        </w:rPr>
        <w:t xml:space="preserve"> all the evidence presented in </w:t>
      </w:r>
      <w:r w:rsidR="00FF3619">
        <w:rPr>
          <w:lang w:val="en-CA"/>
        </w:rPr>
        <w:t xml:space="preserve">regard to </w:t>
      </w:r>
      <w:r w:rsidR="004D480F" w:rsidRPr="004D480F">
        <w:rPr>
          <w:lang w:val="en-CA"/>
        </w:rPr>
        <w:t xml:space="preserve">the </w:t>
      </w:r>
      <w:r w:rsidR="00EC3877">
        <w:rPr>
          <w:rFonts w:cs="Arial"/>
          <w:lang w:val="en-CA"/>
        </w:rPr>
        <w:t xml:space="preserve">defence of </w:t>
      </w:r>
      <w:r w:rsidR="004D480F" w:rsidRPr="004D480F">
        <w:rPr>
          <w:lang w:val="en-CA"/>
        </w:rPr>
        <w:t>mental disorder.</w:t>
      </w:r>
    </w:p>
    <w:p w14:paraId="753CA059" w14:textId="7D1338E6" w:rsidR="00AA1261" w:rsidRPr="00856CD5" w:rsidRDefault="00AA1261" w:rsidP="000B6E2B">
      <w:pPr>
        <w:pStyle w:val="Citationenretrait"/>
        <w:spacing w:line="240" w:lineRule="auto"/>
        <w:jc w:val="right"/>
        <w:rPr>
          <w:lang w:val="en-CA"/>
        </w:rPr>
      </w:pPr>
      <w:r w:rsidRPr="00856CD5">
        <w:rPr>
          <w:lang w:val="en-CA"/>
        </w:rPr>
        <w:t>[</w:t>
      </w:r>
      <w:r w:rsidR="00282420">
        <w:rPr>
          <w:lang w:val="en-CA"/>
        </w:rPr>
        <w:t>Emphasis</w:t>
      </w:r>
      <w:r w:rsidR="00345E3D">
        <w:rPr>
          <w:lang w:val="en-CA"/>
        </w:rPr>
        <w:t xml:space="preserve"> added</w:t>
      </w:r>
      <w:r w:rsidR="00282420">
        <w:rPr>
          <w:lang w:val="en-CA"/>
        </w:rPr>
        <w:t>.</w:t>
      </w:r>
      <w:r w:rsidRPr="00856CD5">
        <w:rPr>
          <w:lang w:val="en-CA"/>
        </w:rPr>
        <w:t>]</w:t>
      </w:r>
    </w:p>
    <w:p w14:paraId="31E069CC" w14:textId="0699FCA0" w:rsidR="00B43C53" w:rsidRPr="0012581D" w:rsidRDefault="00C75CFE" w:rsidP="000B6E2B">
      <w:pPr>
        <w:numPr>
          <w:ilvl w:val="0"/>
          <w:numId w:val="18"/>
        </w:numPr>
        <w:spacing w:before="120" w:after="120" w:line="240" w:lineRule="auto"/>
        <w:jc w:val="both"/>
        <w:rPr>
          <w:rFonts w:cs="Arial"/>
          <w:kern w:val="28"/>
          <w:lang w:val="en-CA"/>
        </w:rPr>
      </w:pPr>
      <w:r>
        <w:rPr>
          <w:rFonts w:cs="Arial"/>
          <w:kern w:val="28"/>
          <w:lang w:val="en-CA"/>
        </w:rPr>
        <w:lastRenderedPageBreak/>
        <w:t xml:space="preserve">Although </w:t>
      </w:r>
      <w:r w:rsidR="0012581D" w:rsidRPr="0012581D">
        <w:rPr>
          <w:rFonts w:cs="Arial"/>
          <w:kern w:val="28"/>
          <w:lang w:val="en-CA"/>
        </w:rPr>
        <w:t xml:space="preserve">the judge </w:t>
      </w:r>
      <w:r>
        <w:rPr>
          <w:rFonts w:cs="Arial"/>
          <w:kern w:val="28"/>
          <w:lang w:val="en-CA"/>
        </w:rPr>
        <w:t>instructed</w:t>
      </w:r>
      <w:r w:rsidR="0012581D" w:rsidRPr="0012581D">
        <w:rPr>
          <w:rFonts w:cs="Arial"/>
          <w:kern w:val="28"/>
          <w:lang w:val="en-CA"/>
        </w:rPr>
        <w:t xml:space="preserve"> the jury to consider</w:t>
      </w:r>
      <w:r w:rsidR="0012581D" w:rsidRPr="009C7E2B">
        <w:rPr>
          <w:rFonts w:cs="Arial"/>
          <w:kern w:val="28"/>
          <w:sz w:val="22"/>
          <w:szCs w:val="22"/>
          <w:lang w:val="en-CA"/>
        </w:rPr>
        <w:t xml:space="preserve"> </w:t>
      </w:r>
      <w:r w:rsidR="009C7E2B" w:rsidRPr="00B92A5F">
        <w:rPr>
          <w:rFonts w:cs="Arial"/>
          <w:kern w:val="28"/>
          <w:szCs w:val="24"/>
          <w:lang w:val="en-CA"/>
        </w:rPr>
        <w:t>[</w:t>
      </w:r>
      <w:r w:rsidR="00FE1EFA">
        <w:rPr>
          <w:rFonts w:cs="Arial"/>
          <w:smallCaps/>
          <w:kern w:val="28"/>
          <w:szCs w:val="24"/>
          <w:lang w:val="en-CA"/>
        </w:rPr>
        <w:t>translation</w:t>
      </w:r>
      <w:r w:rsidR="009C7E2B" w:rsidRPr="00B92A5F">
        <w:rPr>
          <w:rFonts w:cs="Arial"/>
          <w:kern w:val="28"/>
          <w:szCs w:val="24"/>
          <w:lang w:val="en-CA"/>
        </w:rPr>
        <w:t>]</w:t>
      </w:r>
      <w:r w:rsidR="009C7E2B" w:rsidRPr="009C7E2B">
        <w:rPr>
          <w:rFonts w:cs="Arial"/>
          <w:kern w:val="28"/>
          <w:sz w:val="22"/>
          <w:szCs w:val="22"/>
          <w:lang w:val="en-CA"/>
        </w:rPr>
        <w:t xml:space="preserve"> </w:t>
      </w:r>
      <w:r w:rsidR="00FE1EFA">
        <w:rPr>
          <w:rFonts w:cs="Arial"/>
          <w:kern w:val="28"/>
          <w:lang w:val="en-CA"/>
        </w:rPr>
        <w:t>“</w:t>
      </w:r>
      <w:r w:rsidR="0012581D" w:rsidRPr="0012581D">
        <w:rPr>
          <w:rFonts w:cs="Arial"/>
          <w:kern w:val="28"/>
          <w:lang w:val="en-CA"/>
        </w:rPr>
        <w:t xml:space="preserve">the evidence </w:t>
      </w:r>
      <w:r w:rsidR="00617576">
        <w:rPr>
          <w:rFonts w:cs="Arial"/>
          <w:kern w:val="28"/>
          <w:lang w:val="en-CA"/>
        </w:rPr>
        <w:t>that</w:t>
      </w:r>
      <w:r w:rsidR="0012581D" w:rsidRPr="0012581D">
        <w:rPr>
          <w:rFonts w:cs="Arial"/>
          <w:kern w:val="28"/>
          <w:lang w:val="en-CA"/>
        </w:rPr>
        <w:t xml:space="preserve"> confirms </w:t>
      </w:r>
      <w:r w:rsidR="00282420">
        <w:rPr>
          <w:rFonts w:cs="Arial"/>
          <w:kern w:val="28"/>
          <w:lang w:val="en-CA"/>
        </w:rPr>
        <w:t xml:space="preserve">a </w:t>
      </w:r>
      <w:r w:rsidR="0012581D" w:rsidRPr="0012581D">
        <w:rPr>
          <w:rFonts w:cs="Arial"/>
          <w:kern w:val="28"/>
          <w:lang w:val="en-CA"/>
        </w:rPr>
        <w:t>mental disorder</w:t>
      </w:r>
      <w:r w:rsidR="00617576">
        <w:rPr>
          <w:rFonts w:cs="Arial"/>
          <w:kern w:val="28"/>
          <w:lang w:val="en-CA"/>
        </w:rPr>
        <w:t>”</w:t>
      </w:r>
      <w:r w:rsidR="0012581D" w:rsidRPr="0012581D">
        <w:rPr>
          <w:rFonts w:cs="Arial"/>
          <w:kern w:val="28"/>
          <w:lang w:val="en-CA"/>
        </w:rPr>
        <w:t xml:space="preserve">, </w:t>
      </w:r>
      <w:r w:rsidR="0049158B">
        <w:rPr>
          <w:rFonts w:cs="Arial"/>
          <w:kern w:val="28"/>
          <w:lang w:val="en-CA"/>
        </w:rPr>
        <w:t>it should</w:t>
      </w:r>
      <w:r w:rsidR="0012581D" w:rsidRPr="0012581D">
        <w:rPr>
          <w:rFonts w:cs="Arial"/>
          <w:kern w:val="28"/>
          <w:lang w:val="en-CA"/>
        </w:rPr>
        <w:t xml:space="preserve"> nevertheless </w:t>
      </w:r>
      <w:r w:rsidR="0049158B">
        <w:rPr>
          <w:rFonts w:cs="Arial"/>
          <w:kern w:val="28"/>
          <w:lang w:val="en-CA"/>
        </w:rPr>
        <w:t xml:space="preserve">be </w:t>
      </w:r>
      <w:r w:rsidR="0012581D" w:rsidRPr="0012581D">
        <w:rPr>
          <w:rFonts w:cs="Arial"/>
          <w:kern w:val="28"/>
          <w:lang w:val="en-CA"/>
        </w:rPr>
        <w:t>note</w:t>
      </w:r>
      <w:r w:rsidR="0049158B">
        <w:rPr>
          <w:rFonts w:cs="Arial"/>
          <w:kern w:val="28"/>
          <w:lang w:val="en-CA"/>
        </w:rPr>
        <w:t xml:space="preserve">d that there was no </w:t>
      </w:r>
      <w:r w:rsidR="0012581D" w:rsidRPr="0012581D">
        <w:rPr>
          <w:rFonts w:cs="Arial"/>
          <w:kern w:val="28"/>
          <w:lang w:val="en-CA"/>
        </w:rPr>
        <w:t xml:space="preserve">specific </w:t>
      </w:r>
      <w:r w:rsidR="0049158B">
        <w:rPr>
          <w:rFonts w:cs="Arial"/>
          <w:kern w:val="28"/>
          <w:lang w:val="en-CA"/>
        </w:rPr>
        <w:t>instruction</w:t>
      </w:r>
      <w:r w:rsidR="0012581D" w:rsidRPr="0012581D">
        <w:rPr>
          <w:rFonts w:cs="Arial"/>
          <w:kern w:val="28"/>
          <w:lang w:val="en-CA"/>
        </w:rPr>
        <w:t>, similar to that given when she discussed second degree murder, on the jury</w:t>
      </w:r>
      <w:r w:rsidR="009E7C77">
        <w:rPr>
          <w:rFonts w:cs="Arial"/>
          <w:kern w:val="28"/>
          <w:lang w:val="en-CA"/>
        </w:rPr>
        <w:t>’</w:t>
      </w:r>
      <w:r w:rsidR="0012581D" w:rsidRPr="0012581D">
        <w:rPr>
          <w:rFonts w:cs="Arial"/>
          <w:kern w:val="28"/>
          <w:lang w:val="en-CA"/>
        </w:rPr>
        <w:t xml:space="preserve">s obligation to consider </w:t>
      </w:r>
      <w:r w:rsidR="0089404F">
        <w:rPr>
          <w:rFonts w:cs="Arial"/>
          <w:kern w:val="28"/>
          <w:lang w:val="en-CA"/>
        </w:rPr>
        <w:t xml:space="preserve">the </w:t>
      </w:r>
      <w:r w:rsidR="0012581D" w:rsidRPr="0012581D">
        <w:rPr>
          <w:rFonts w:cs="Arial"/>
          <w:kern w:val="28"/>
          <w:lang w:val="en-CA"/>
        </w:rPr>
        <w:t>appellant</w:t>
      </w:r>
      <w:r w:rsidR="009E7C77">
        <w:rPr>
          <w:rFonts w:cs="Arial"/>
          <w:kern w:val="28"/>
          <w:lang w:val="en-CA"/>
        </w:rPr>
        <w:t>’</w:t>
      </w:r>
      <w:r w:rsidR="0012581D" w:rsidRPr="0012581D">
        <w:rPr>
          <w:rFonts w:cs="Arial"/>
          <w:kern w:val="28"/>
          <w:lang w:val="en-CA"/>
        </w:rPr>
        <w:t>s testimony that he believed his life was still in danger after the commission of the homicide</w:t>
      </w:r>
      <w:r w:rsidR="0054750E" w:rsidRPr="0012581D">
        <w:rPr>
          <w:rFonts w:cs="Arial"/>
          <w:kern w:val="28"/>
          <w:lang w:val="en-CA"/>
        </w:rPr>
        <w:t>.</w:t>
      </w:r>
    </w:p>
    <w:p w14:paraId="09478D81" w14:textId="1C6D82A6" w:rsidR="00EF4E5D" w:rsidRPr="0012581D" w:rsidRDefault="00A50DA0" w:rsidP="000B6E2B">
      <w:pPr>
        <w:numPr>
          <w:ilvl w:val="0"/>
          <w:numId w:val="18"/>
        </w:numPr>
        <w:spacing w:before="120" w:after="120" w:line="240" w:lineRule="auto"/>
        <w:jc w:val="both"/>
        <w:rPr>
          <w:rFonts w:cs="Arial"/>
          <w:kern w:val="28"/>
          <w:lang w:val="en-CA"/>
        </w:rPr>
      </w:pPr>
      <w:r w:rsidRPr="00A50DA0">
        <w:rPr>
          <w:rFonts w:cs="Arial"/>
          <w:kern w:val="28"/>
          <w:lang w:val="en-CA"/>
        </w:rPr>
        <w:t xml:space="preserve">After </w:t>
      </w:r>
      <w:r w:rsidR="00282420">
        <w:rPr>
          <w:rFonts w:cs="Arial"/>
          <w:kern w:val="28"/>
          <w:lang w:val="en-CA"/>
        </w:rPr>
        <w:t>completing</w:t>
      </w:r>
      <w:r>
        <w:rPr>
          <w:rFonts w:cs="Arial"/>
          <w:kern w:val="28"/>
          <w:lang w:val="en-CA"/>
        </w:rPr>
        <w:t xml:space="preserve"> </w:t>
      </w:r>
      <w:r w:rsidRPr="00A50DA0">
        <w:rPr>
          <w:rFonts w:cs="Arial"/>
          <w:kern w:val="28"/>
          <w:lang w:val="en-CA"/>
        </w:rPr>
        <w:t xml:space="preserve">the instructions </w:t>
      </w:r>
      <w:r>
        <w:rPr>
          <w:rFonts w:cs="Arial"/>
          <w:kern w:val="28"/>
          <w:lang w:val="en-CA"/>
        </w:rPr>
        <w:t>concerning</w:t>
      </w:r>
      <w:r w:rsidRPr="00A50DA0">
        <w:rPr>
          <w:rFonts w:cs="Arial"/>
          <w:kern w:val="28"/>
          <w:lang w:val="en-CA"/>
        </w:rPr>
        <w:t xml:space="preserve"> first degree murder, the judge review</w:t>
      </w:r>
      <w:r>
        <w:rPr>
          <w:rFonts w:cs="Arial"/>
          <w:kern w:val="28"/>
          <w:lang w:val="en-CA"/>
        </w:rPr>
        <w:t>ed</w:t>
      </w:r>
      <w:r w:rsidRPr="00A50DA0">
        <w:rPr>
          <w:rFonts w:cs="Arial"/>
          <w:kern w:val="28"/>
          <w:lang w:val="en-CA"/>
        </w:rPr>
        <w:t xml:space="preserve"> the various elements </w:t>
      </w:r>
      <w:r>
        <w:rPr>
          <w:rFonts w:cs="Arial"/>
          <w:kern w:val="28"/>
          <w:lang w:val="en-CA"/>
        </w:rPr>
        <w:t>of</w:t>
      </w:r>
      <w:r w:rsidRPr="00A50DA0">
        <w:rPr>
          <w:rFonts w:cs="Arial"/>
          <w:kern w:val="28"/>
          <w:lang w:val="en-CA"/>
        </w:rPr>
        <w:t xml:space="preserve"> the decision tree</w:t>
      </w:r>
      <w:r w:rsidR="00282420" w:rsidRPr="00282420">
        <w:rPr>
          <w:rFonts w:cs="Arial"/>
          <w:kern w:val="28"/>
          <w:lang w:val="en-CA"/>
        </w:rPr>
        <w:t xml:space="preserve"> </w:t>
      </w:r>
      <w:r w:rsidR="00282420" w:rsidRPr="00A50DA0">
        <w:rPr>
          <w:rFonts w:cs="Arial"/>
          <w:kern w:val="28"/>
          <w:lang w:val="en-CA"/>
        </w:rPr>
        <w:t>with the jury</w:t>
      </w:r>
      <w:r w:rsidR="00EF4E5D" w:rsidRPr="0012581D">
        <w:rPr>
          <w:rFonts w:cs="Arial"/>
          <w:kern w:val="28"/>
          <w:lang w:val="en-CA"/>
        </w:rPr>
        <w:t>.</w:t>
      </w:r>
    </w:p>
    <w:p w14:paraId="190C51E7" w14:textId="6FB77FCF" w:rsidR="002C296E" w:rsidRPr="0012581D" w:rsidRDefault="00A50DA0" w:rsidP="000B6E2B">
      <w:pPr>
        <w:numPr>
          <w:ilvl w:val="0"/>
          <w:numId w:val="18"/>
        </w:numPr>
        <w:spacing w:before="120" w:after="120" w:line="240" w:lineRule="auto"/>
        <w:jc w:val="both"/>
        <w:rPr>
          <w:rFonts w:cs="Arial"/>
          <w:kern w:val="28"/>
          <w:lang w:val="en-CA"/>
        </w:rPr>
      </w:pPr>
      <w:r w:rsidRPr="00A50DA0">
        <w:rPr>
          <w:rFonts w:cs="Arial"/>
          <w:kern w:val="28"/>
          <w:lang w:val="en-CA"/>
        </w:rPr>
        <w:t xml:space="preserve">The parties then addressed the judge to ask her to make a correction and to instruct the jury </w:t>
      </w:r>
      <w:r>
        <w:rPr>
          <w:rFonts w:cs="Arial"/>
          <w:kern w:val="28"/>
          <w:lang w:val="en-CA"/>
        </w:rPr>
        <w:t>that</w:t>
      </w:r>
      <w:r w:rsidRPr="00A50DA0">
        <w:rPr>
          <w:rFonts w:cs="Arial"/>
          <w:kern w:val="28"/>
          <w:lang w:val="en-CA"/>
        </w:rPr>
        <w:t xml:space="preserve"> the appellant</w:t>
      </w:r>
      <w:r w:rsidR="002518C6">
        <w:rPr>
          <w:rFonts w:cs="Arial"/>
          <w:kern w:val="28"/>
          <w:lang w:val="en-CA"/>
        </w:rPr>
        <w:t>’</w:t>
      </w:r>
      <w:r w:rsidRPr="00A50DA0">
        <w:rPr>
          <w:rFonts w:cs="Arial"/>
          <w:kern w:val="28"/>
          <w:lang w:val="en-CA"/>
        </w:rPr>
        <w:t xml:space="preserve">s </w:t>
      </w:r>
      <w:r w:rsidR="001B5BF6">
        <w:rPr>
          <w:rFonts w:cs="Arial"/>
          <w:kern w:val="28"/>
          <w:lang w:val="en-CA"/>
        </w:rPr>
        <w:t xml:space="preserve">post-homicide </w:t>
      </w:r>
      <w:r w:rsidR="004E603A">
        <w:rPr>
          <w:rFonts w:cs="Arial"/>
          <w:kern w:val="28"/>
          <w:lang w:val="en-CA"/>
        </w:rPr>
        <w:t>conduct</w:t>
      </w:r>
      <w:r w:rsidR="00DF34C1">
        <w:rPr>
          <w:rFonts w:cs="Arial"/>
          <w:kern w:val="28"/>
          <w:lang w:val="en-CA"/>
        </w:rPr>
        <w:t xml:space="preserve"> </w:t>
      </w:r>
      <w:r w:rsidRPr="00A50DA0">
        <w:rPr>
          <w:rFonts w:cs="Arial"/>
          <w:kern w:val="28"/>
          <w:lang w:val="en-CA"/>
        </w:rPr>
        <w:t>had no probative value. The judge agreed to do so except with regard to the fact that the appellant had brought a change of clothes, an element she considered relevant to the p</w:t>
      </w:r>
      <w:r w:rsidR="00A6019D">
        <w:rPr>
          <w:rFonts w:cs="Arial"/>
          <w:kern w:val="28"/>
          <w:lang w:val="en-CA"/>
        </w:rPr>
        <w:t>lanned</w:t>
      </w:r>
      <w:r w:rsidRPr="00A50DA0">
        <w:rPr>
          <w:rFonts w:cs="Arial"/>
          <w:kern w:val="28"/>
          <w:lang w:val="en-CA"/>
        </w:rPr>
        <w:t xml:space="preserve"> and deliberate nature of the murder.</w:t>
      </w:r>
    </w:p>
    <w:p w14:paraId="08AEBBB3" w14:textId="258FE17E" w:rsidR="0022776D" w:rsidRPr="0012581D" w:rsidRDefault="00A6019D" w:rsidP="000B6E2B">
      <w:pPr>
        <w:numPr>
          <w:ilvl w:val="0"/>
          <w:numId w:val="18"/>
        </w:numPr>
        <w:spacing w:before="120" w:after="120" w:line="240" w:lineRule="auto"/>
        <w:jc w:val="both"/>
        <w:rPr>
          <w:rFonts w:cs="Arial"/>
          <w:kern w:val="28"/>
          <w:lang w:val="en-CA"/>
        </w:rPr>
      </w:pPr>
      <w:r>
        <w:rPr>
          <w:rFonts w:cs="Arial"/>
          <w:kern w:val="28"/>
          <w:lang w:val="en-CA"/>
        </w:rPr>
        <w:t>Here is the correction made by the judge</w:t>
      </w:r>
      <w:r w:rsidR="00EF4E5D" w:rsidRPr="0012581D">
        <w:rPr>
          <w:rFonts w:cs="Arial"/>
          <w:kern w:val="28"/>
          <w:lang w:val="en-CA"/>
        </w:rPr>
        <w:t>:</w:t>
      </w:r>
    </w:p>
    <w:p w14:paraId="7493541C" w14:textId="6DAF2853" w:rsidR="00BF5CFD" w:rsidRPr="00A66817" w:rsidRDefault="00BF5CFD" w:rsidP="000B6E2B">
      <w:pPr>
        <w:pStyle w:val="Citationenretrait"/>
        <w:spacing w:line="240" w:lineRule="auto"/>
        <w:rPr>
          <w:szCs w:val="22"/>
          <w:lang w:val="en-CA"/>
        </w:rPr>
      </w:pPr>
      <w:r w:rsidRPr="00B92A5F">
        <w:rPr>
          <w:rFonts w:cs="Arial"/>
          <w:szCs w:val="22"/>
          <w:lang w:val="en-CA"/>
        </w:rPr>
        <w:t>[</w:t>
      </w:r>
      <w:r w:rsidR="00A66817">
        <w:rPr>
          <w:rFonts w:cs="Arial"/>
          <w:smallCaps/>
          <w:szCs w:val="22"/>
          <w:lang w:val="en-CA"/>
        </w:rPr>
        <w:t>translation</w:t>
      </w:r>
      <w:r w:rsidRPr="00B92A5F">
        <w:rPr>
          <w:rFonts w:cs="Arial"/>
          <w:szCs w:val="22"/>
          <w:lang w:val="en-CA"/>
        </w:rPr>
        <w:t>]</w:t>
      </w:r>
    </w:p>
    <w:p w14:paraId="2E0CB71D" w14:textId="11741F40" w:rsidR="0022776D" w:rsidRPr="0012581D" w:rsidRDefault="00A6019D" w:rsidP="000B6E2B">
      <w:pPr>
        <w:pStyle w:val="Citationenretrait"/>
        <w:spacing w:line="240" w:lineRule="auto"/>
        <w:rPr>
          <w:lang w:val="en-CA"/>
        </w:rPr>
      </w:pPr>
      <w:r w:rsidRPr="00A6019D">
        <w:rPr>
          <w:lang w:val="en-CA"/>
        </w:rPr>
        <w:t xml:space="preserve">I </w:t>
      </w:r>
      <w:r>
        <w:rPr>
          <w:lang w:val="en-CA"/>
        </w:rPr>
        <w:t xml:space="preserve">will go over </w:t>
      </w:r>
      <w:r w:rsidRPr="00A6019D">
        <w:rPr>
          <w:lang w:val="en-CA"/>
        </w:rPr>
        <w:t xml:space="preserve">the facts. I want </w:t>
      </w:r>
      <w:r>
        <w:rPr>
          <w:lang w:val="en-CA"/>
        </w:rPr>
        <w:t>this to be</w:t>
      </w:r>
      <w:r w:rsidRPr="00A6019D">
        <w:rPr>
          <w:lang w:val="en-CA"/>
        </w:rPr>
        <w:t xml:space="preserve"> clear. I spoke with the lawyers. As for intent, everything that happen</w:t>
      </w:r>
      <w:r>
        <w:rPr>
          <w:lang w:val="en-CA"/>
        </w:rPr>
        <w:t>ed</w:t>
      </w:r>
      <w:r w:rsidRPr="00A6019D">
        <w:rPr>
          <w:lang w:val="en-CA"/>
        </w:rPr>
        <w:t xml:space="preserve"> after the events, so from the </w:t>
      </w:r>
      <w:r>
        <w:rPr>
          <w:lang w:val="en-CA"/>
        </w:rPr>
        <w:t>time that</w:t>
      </w:r>
      <w:r w:rsidRPr="00A6019D">
        <w:rPr>
          <w:lang w:val="en-CA"/>
        </w:rPr>
        <w:t xml:space="preserve"> the accused start</w:t>
      </w:r>
      <w:r>
        <w:rPr>
          <w:lang w:val="en-CA"/>
        </w:rPr>
        <w:t>ed</w:t>
      </w:r>
      <w:r w:rsidRPr="00A6019D">
        <w:rPr>
          <w:lang w:val="en-CA"/>
        </w:rPr>
        <w:t xml:space="preserve"> running and le</w:t>
      </w:r>
      <w:r>
        <w:rPr>
          <w:lang w:val="en-CA"/>
        </w:rPr>
        <w:t>ft</w:t>
      </w:r>
      <w:r w:rsidRPr="00A6019D">
        <w:rPr>
          <w:lang w:val="en-CA"/>
        </w:rPr>
        <w:t xml:space="preserve"> the Maxi</w:t>
      </w:r>
      <w:r w:rsidR="00F2734E">
        <w:rPr>
          <w:lang w:val="en-CA"/>
        </w:rPr>
        <w:t xml:space="preserve"> </w:t>
      </w:r>
      <w:r w:rsidRPr="00A6019D">
        <w:rPr>
          <w:lang w:val="en-CA"/>
        </w:rPr>
        <w:t xml:space="preserve">... you know, I listed ten (10) </w:t>
      </w:r>
      <w:r>
        <w:rPr>
          <w:lang w:val="en-CA"/>
        </w:rPr>
        <w:t>things</w:t>
      </w:r>
      <w:r w:rsidRPr="00A6019D">
        <w:rPr>
          <w:lang w:val="en-CA"/>
        </w:rPr>
        <w:t xml:space="preserve"> that happen</w:t>
      </w:r>
      <w:r>
        <w:rPr>
          <w:lang w:val="en-CA"/>
        </w:rPr>
        <w:t>ed</w:t>
      </w:r>
      <w:r w:rsidRPr="00A6019D">
        <w:rPr>
          <w:lang w:val="en-CA"/>
        </w:rPr>
        <w:t xml:space="preserve"> after the events. So all th</w:t>
      </w:r>
      <w:r>
        <w:rPr>
          <w:lang w:val="en-CA"/>
        </w:rPr>
        <w:t>o</w:t>
      </w:r>
      <w:r w:rsidRPr="00A6019D">
        <w:rPr>
          <w:lang w:val="en-CA"/>
        </w:rPr>
        <w:t>se facts, the fact that he</w:t>
      </w:r>
      <w:r w:rsidR="001B5BF6">
        <w:rPr>
          <w:lang w:val="en-CA"/>
        </w:rPr>
        <w:t xml:space="preserve"> </w:t>
      </w:r>
      <w:r w:rsidR="00D4624C">
        <w:rPr>
          <w:lang w:val="en-CA"/>
        </w:rPr>
        <w:t>ran away</w:t>
      </w:r>
      <w:r w:rsidRPr="00A6019D">
        <w:rPr>
          <w:lang w:val="en-CA"/>
        </w:rPr>
        <w:t xml:space="preserve">, that he hid the weapon, that he hid </w:t>
      </w:r>
      <w:r w:rsidR="001B5BF6">
        <w:rPr>
          <w:lang w:val="en-CA"/>
        </w:rPr>
        <w:t>in</w:t>
      </w:r>
      <w:r w:rsidR="001B5BF6" w:rsidRPr="00A6019D">
        <w:rPr>
          <w:lang w:val="en-CA"/>
        </w:rPr>
        <w:t xml:space="preserve"> </w:t>
      </w:r>
      <w:r>
        <w:rPr>
          <w:lang w:val="en-CA"/>
        </w:rPr>
        <w:t xml:space="preserve">the </w:t>
      </w:r>
      <w:r w:rsidRPr="00A6019D">
        <w:rPr>
          <w:lang w:val="en-CA"/>
        </w:rPr>
        <w:t xml:space="preserve">Tim Hortons, that he went to </w:t>
      </w:r>
      <w:r w:rsidR="001B5BF6">
        <w:rPr>
          <w:lang w:val="en-CA"/>
        </w:rPr>
        <w:t xml:space="preserve">the </w:t>
      </w:r>
      <w:r w:rsidRPr="00A6019D">
        <w:rPr>
          <w:lang w:val="en-CA"/>
        </w:rPr>
        <w:t xml:space="preserve">CEGEP, that he hid his backpack in the locker, etc., </w:t>
      </w:r>
      <w:r w:rsidRPr="00EA03DB">
        <w:rPr>
          <w:u w:val="single"/>
          <w:lang w:val="en-CA"/>
        </w:rPr>
        <w:t xml:space="preserve">all that evidence is irrelevant when you </w:t>
      </w:r>
      <w:r w:rsidR="001B5BF6">
        <w:rPr>
          <w:u w:val="single"/>
          <w:lang w:val="en-CA"/>
        </w:rPr>
        <w:t>consider</w:t>
      </w:r>
      <w:r w:rsidRPr="00EA03DB">
        <w:rPr>
          <w:u w:val="single"/>
          <w:lang w:val="en-CA"/>
        </w:rPr>
        <w:t xml:space="preserve"> the </w:t>
      </w:r>
      <w:r w:rsidR="001B5BF6">
        <w:rPr>
          <w:u w:val="single"/>
          <w:lang w:val="en-CA"/>
        </w:rPr>
        <w:t>issue</w:t>
      </w:r>
      <w:r w:rsidR="001B5BF6" w:rsidRPr="00EA03DB">
        <w:rPr>
          <w:u w:val="single"/>
          <w:lang w:val="en-CA"/>
        </w:rPr>
        <w:t xml:space="preserve"> </w:t>
      </w:r>
      <w:r w:rsidRPr="00EA03DB">
        <w:rPr>
          <w:u w:val="single"/>
          <w:lang w:val="en-CA"/>
        </w:rPr>
        <w:t xml:space="preserve">of intent, simply because someone can commit manslaughter and have the same flight response </w:t>
      </w:r>
      <w:r w:rsidR="00EA03DB">
        <w:rPr>
          <w:u w:val="single"/>
          <w:lang w:val="en-CA"/>
        </w:rPr>
        <w:t>as</w:t>
      </w:r>
      <w:r w:rsidRPr="00EA03DB">
        <w:rPr>
          <w:u w:val="single"/>
          <w:lang w:val="en-CA"/>
        </w:rPr>
        <w:t xml:space="preserve"> </w:t>
      </w:r>
      <w:r w:rsidR="001F2CFE">
        <w:rPr>
          <w:u w:val="single"/>
          <w:lang w:val="en-CA"/>
        </w:rPr>
        <w:t xml:space="preserve">if it were </w:t>
      </w:r>
      <w:r w:rsidRPr="00EA03DB">
        <w:rPr>
          <w:u w:val="single"/>
          <w:lang w:val="en-CA"/>
        </w:rPr>
        <w:t xml:space="preserve">murder. That won't help you with intent. So you </w:t>
      </w:r>
      <w:r w:rsidR="00EA03DB">
        <w:rPr>
          <w:u w:val="single"/>
          <w:lang w:val="en-CA"/>
        </w:rPr>
        <w:t>should not</w:t>
      </w:r>
      <w:r w:rsidRPr="00EA03DB">
        <w:rPr>
          <w:u w:val="single"/>
          <w:lang w:val="en-CA"/>
        </w:rPr>
        <w:t xml:space="preserve"> consider what happened after the events when you </w:t>
      </w:r>
      <w:r w:rsidR="001F2CFE">
        <w:rPr>
          <w:u w:val="single"/>
          <w:lang w:val="en-CA"/>
        </w:rPr>
        <w:t>consider the issue</w:t>
      </w:r>
      <w:r w:rsidRPr="00EA03DB">
        <w:rPr>
          <w:u w:val="single"/>
          <w:lang w:val="en-CA"/>
        </w:rPr>
        <w:t xml:space="preserve"> of intent</w:t>
      </w:r>
      <w:r w:rsidRPr="00A6019D">
        <w:rPr>
          <w:lang w:val="en-CA"/>
        </w:rPr>
        <w:t>. Is</w:t>
      </w:r>
      <w:r w:rsidR="00F2734E">
        <w:rPr>
          <w:lang w:val="en-CA"/>
        </w:rPr>
        <w:t xml:space="preserve"> </w:t>
      </w:r>
      <w:r w:rsidRPr="00A6019D">
        <w:rPr>
          <w:lang w:val="en-CA"/>
        </w:rPr>
        <w:t xml:space="preserve">... is </w:t>
      </w:r>
      <w:r w:rsidR="00EA03DB">
        <w:rPr>
          <w:lang w:val="en-CA"/>
        </w:rPr>
        <w:t>that clear</w:t>
      </w:r>
      <w:r w:rsidRPr="00A6019D">
        <w:rPr>
          <w:lang w:val="en-CA"/>
        </w:rPr>
        <w:t>? However, there is one piece of evidence, the accused arrived with a change of clothes and changed afterwards. So he had</w:t>
      </w:r>
      <w:r w:rsidR="00D4624C">
        <w:rPr>
          <w:lang w:val="en-CA"/>
        </w:rPr>
        <w:t xml:space="preserve"> </w:t>
      </w:r>
      <w:r w:rsidRPr="00A6019D">
        <w:rPr>
          <w:lang w:val="en-CA"/>
        </w:rPr>
        <w:t>... did he intend to stab M</w:t>
      </w:r>
      <w:r w:rsidR="00EA03DB">
        <w:rPr>
          <w:lang w:val="en-CA"/>
        </w:rPr>
        <w:t>s.</w:t>
      </w:r>
      <w:r w:rsidRPr="00A6019D">
        <w:rPr>
          <w:lang w:val="en-CA"/>
        </w:rPr>
        <w:t xml:space="preserve"> Clémence Beaulieu-Patry? Is that why he brought a change of clothes and change</w:t>
      </w:r>
      <w:r w:rsidR="00EA03DB">
        <w:rPr>
          <w:lang w:val="en-CA"/>
        </w:rPr>
        <w:t>d afterward</w:t>
      </w:r>
      <w:r w:rsidRPr="00A6019D">
        <w:rPr>
          <w:lang w:val="en-CA"/>
        </w:rPr>
        <w:t xml:space="preserve">s? </w:t>
      </w:r>
      <w:r w:rsidR="00EA03DB">
        <w:rPr>
          <w:lang w:val="en-CA"/>
        </w:rPr>
        <w:t>Perhaps</w:t>
      </w:r>
      <w:r w:rsidRPr="00A6019D">
        <w:rPr>
          <w:lang w:val="en-CA"/>
        </w:rPr>
        <w:t xml:space="preserve"> this piece of evidence will help you when you </w:t>
      </w:r>
      <w:r w:rsidR="001F2CFE">
        <w:rPr>
          <w:lang w:val="en-CA"/>
        </w:rPr>
        <w:t>consider the issue</w:t>
      </w:r>
      <w:r w:rsidRPr="00A6019D">
        <w:rPr>
          <w:lang w:val="en-CA"/>
        </w:rPr>
        <w:t xml:space="preserve"> of intent, </w:t>
      </w:r>
      <w:r w:rsidR="00EA03DB">
        <w:rPr>
          <w:lang w:val="en-CA"/>
        </w:rPr>
        <w:t>perhaps</w:t>
      </w:r>
      <w:r w:rsidRPr="00A6019D">
        <w:rPr>
          <w:lang w:val="en-CA"/>
        </w:rPr>
        <w:t xml:space="preserve"> not. </w:t>
      </w:r>
      <w:r w:rsidR="0063341A">
        <w:rPr>
          <w:lang w:val="en-CA"/>
        </w:rPr>
        <w:t>Is that clear</w:t>
      </w:r>
      <w:r w:rsidRPr="00A6019D">
        <w:rPr>
          <w:lang w:val="en-CA"/>
        </w:rPr>
        <w:t xml:space="preserve">? </w:t>
      </w:r>
      <w:r w:rsidRPr="0063341A">
        <w:rPr>
          <w:u w:val="single"/>
          <w:lang w:val="en-CA"/>
        </w:rPr>
        <w:t xml:space="preserve">What I just told you </w:t>
      </w:r>
      <w:r w:rsidR="00761E25">
        <w:rPr>
          <w:u w:val="single"/>
          <w:lang w:val="en-CA"/>
        </w:rPr>
        <w:t>also goes for planning and</w:t>
      </w:r>
      <w:r w:rsidRPr="0063341A">
        <w:rPr>
          <w:u w:val="single"/>
          <w:lang w:val="en-CA"/>
        </w:rPr>
        <w:t xml:space="preserve"> deliberat</w:t>
      </w:r>
      <w:r w:rsidR="00761E25">
        <w:rPr>
          <w:u w:val="single"/>
          <w:lang w:val="en-CA"/>
        </w:rPr>
        <w:t xml:space="preserve">ion. </w:t>
      </w:r>
      <w:r w:rsidRPr="0063341A">
        <w:rPr>
          <w:u w:val="single"/>
          <w:lang w:val="en-CA"/>
        </w:rPr>
        <w:t>Everything that happen</w:t>
      </w:r>
      <w:r w:rsidR="00761E25">
        <w:rPr>
          <w:u w:val="single"/>
          <w:lang w:val="en-CA"/>
        </w:rPr>
        <w:t>ed</w:t>
      </w:r>
      <w:r w:rsidRPr="0063341A">
        <w:rPr>
          <w:u w:val="single"/>
          <w:lang w:val="en-CA"/>
        </w:rPr>
        <w:t xml:space="preserve"> after the events, from the </w:t>
      </w:r>
      <w:r w:rsidR="00761E25">
        <w:rPr>
          <w:u w:val="single"/>
          <w:lang w:val="en-CA"/>
        </w:rPr>
        <w:t xml:space="preserve">time that </w:t>
      </w:r>
      <w:r w:rsidRPr="0063341A">
        <w:rPr>
          <w:u w:val="single"/>
          <w:lang w:val="en-CA"/>
        </w:rPr>
        <w:t>Mr. Tshilumba r</w:t>
      </w:r>
      <w:r w:rsidR="00761E25">
        <w:rPr>
          <w:u w:val="single"/>
          <w:lang w:val="en-CA"/>
        </w:rPr>
        <w:t>an</w:t>
      </w:r>
      <w:r w:rsidRPr="0063341A">
        <w:rPr>
          <w:u w:val="single"/>
          <w:lang w:val="en-CA"/>
        </w:rPr>
        <w:t xml:space="preserve"> away, </w:t>
      </w:r>
      <w:r w:rsidR="009C7E2B">
        <w:rPr>
          <w:u w:val="single"/>
          <w:lang w:val="en-CA"/>
        </w:rPr>
        <w:t xml:space="preserve">so </w:t>
      </w:r>
      <w:r w:rsidR="008834BD">
        <w:rPr>
          <w:u w:val="single"/>
          <w:lang w:val="en-CA"/>
        </w:rPr>
        <w:t>the fleeing</w:t>
      </w:r>
      <w:r w:rsidRPr="0063341A">
        <w:rPr>
          <w:u w:val="single"/>
          <w:lang w:val="en-CA"/>
        </w:rPr>
        <w:t>, the fact that he hid and everything else will not help you and is not relevant to p</w:t>
      </w:r>
      <w:r w:rsidR="00761E25">
        <w:rPr>
          <w:u w:val="single"/>
          <w:lang w:val="en-CA"/>
        </w:rPr>
        <w:t>lanning</w:t>
      </w:r>
      <w:r w:rsidRPr="0063341A">
        <w:rPr>
          <w:u w:val="single"/>
          <w:lang w:val="en-CA"/>
        </w:rPr>
        <w:t>, because you can commit homicide or first</w:t>
      </w:r>
      <w:r w:rsidR="00D4624C">
        <w:rPr>
          <w:u w:val="single"/>
          <w:lang w:val="en-CA"/>
        </w:rPr>
        <w:t xml:space="preserve"> </w:t>
      </w:r>
      <w:r w:rsidRPr="0063341A">
        <w:rPr>
          <w:u w:val="single"/>
          <w:lang w:val="en-CA"/>
        </w:rPr>
        <w:t>...</w:t>
      </w:r>
      <w:r w:rsidR="00761E25">
        <w:rPr>
          <w:u w:val="single"/>
          <w:lang w:val="en-CA"/>
        </w:rPr>
        <w:t xml:space="preserve"> </w:t>
      </w:r>
      <w:r w:rsidRPr="0063341A">
        <w:rPr>
          <w:u w:val="single"/>
          <w:lang w:val="en-CA"/>
        </w:rPr>
        <w:t>second degree murder and flee the scene and hide evidence and try to get rid of the evidence. So it</w:t>
      </w:r>
      <w:r w:rsidR="00D4624C">
        <w:rPr>
          <w:u w:val="single"/>
          <w:lang w:val="en-CA"/>
        </w:rPr>
        <w:t>’</w:t>
      </w:r>
      <w:r w:rsidRPr="0063341A">
        <w:rPr>
          <w:u w:val="single"/>
          <w:lang w:val="en-CA"/>
        </w:rPr>
        <w:t>s not</w:t>
      </w:r>
      <w:r w:rsidR="00D4624C">
        <w:rPr>
          <w:u w:val="single"/>
          <w:lang w:val="en-CA"/>
        </w:rPr>
        <w:t xml:space="preserve"> </w:t>
      </w:r>
      <w:r w:rsidRPr="0063341A">
        <w:rPr>
          <w:u w:val="single"/>
          <w:lang w:val="en-CA"/>
        </w:rPr>
        <w:t xml:space="preserve">... all </w:t>
      </w:r>
      <w:r w:rsidR="008834BD">
        <w:rPr>
          <w:u w:val="single"/>
          <w:lang w:val="en-CA"/>
        </w:rPr>
        <w:t>that</w:t>
      </w:r>
      <w:r w:rsidR="00761E25">
        <w:rPr>
          <w:u w:val="single"/>
          <w:lang w:val="en-CA"/>
        </w:rPr>
        <w:t xml:space="preserve"> </w:t>
      </w:r>
      <w:r w:rsidR="008834BD">
        <w:rPr>
          <w:u w:val="single"/>
          <w:lang w:val="en-CA"/>
        </w:rPr>
        <w:t>behaviour</w:t>
      </w:r>
      <w:r w:rsidRPr="0063341A">
        <w:rPr>
          <w:u w:val="single"/>
          <w:lang w:val="en-CA"/>
        </w:rPr>
        <w:t xml:space="preserve"> or the actions taken by Mr. Tshilumba, after </w:t>
      </w:r>
      <w:r w:rsidR="001F2CFE">
        <w:rPr>
          <w:u w:val="single"/>
          <w:lang w:val="en-CA"/>
        </w:rPr>
        <w:t>stabbing</w:t>
      </w:r>
      <w:r w:rsidRPr="0063341A">
        <w:rPr>
          <w:u w:val="single"/>
          <w:lang w:val="en-CA"/>
        </w:rPr>
        <w:t xml:space="preserve"> Ms. Beaulieu-Patry, are not relevant to deciding the essential element of p</w:t>
      </w:r>
      <w:r w:rsidR="00761E25">
        <w:rPr>
          <w:u w:val="single"/>
          <w:lang w:val="en-CA"/>
        </w:rPr>
        <w:t>lanning and deliberation</w:t>
      </w:r>
      <w:r w:rsidRPr="00A6019D">
        <w:rPr>
          <w:lang w:val="en-CA"/>
        </w:rPr>
        <w:t xml:space="preserve">. </w:t>
      </w:r>
      <w:r w:rsidR="00761E25">
        <w:rPr>
          <w:lang w:val="en-CA"/>
        </w:rPr>
        <w:t>Do y</w:t>
      </w:r>
      <w:r w:rsidRPr="00A6019D">
        <w:rPr>
          <w:lang w:val="en-CA"/>
        </w:rPr>
        <w:t xml:space="preserve">ou understand? You can commit manslaughter, so you </w:t>
      </w:r>
      <w:r w:rsidR="001F2CFE">
        <w:rPr>
          <w:lang w:val="en-CA"/>
        </w:rPr>
        <w:t xml:space="preserve">do not </w:t>
      </w:r>
      <w:r w:rsidRPr="00A6019D">
        <w:rPr>
          <w:lang w:val="en-CA"/>
        </w:rPr>
        <w:t xml:space="preserve">intend to kill </w:t>
      </w:r>
      <w:r w:rsidR="00761E25">
        <w:rPr>
          <w:lang w:val="en-CA"/>
        </w:rPr>
        <w:t>someone,</w:t>
      </w:r>
      <w:r w:rsidRPr="00A6019D">
        <w:rPr>
          <w:lang w:val="en-CA"/>
        </w:rPr>
        <w:t xml:space="preserve"> and you can run</w:t>
      </w:r>
      <w:r w:rsidR="008834BD">
        <w:rPr>
          <w:lang w:val="en-CA"/>
        </w:rPr>
        <w:t xml:space="preserve"> away</w:t>
      </w:r>
      <w:r w:rsidRPr="00A6019D">
        <w:rPr>
          <w:lang w:val="en-CA"/>
        </w:rPr>
        <w:t xml:space="preserve">. </w:t>
      </w:r>
      <w:r w:rsidR="00761E25">
        <w:rPr>
          <w:u w:val="single"/>
          <w:lang w:val="en-CA"/>
        </w:rPr>
        <w:t>However</w:t>
      </w:r>
      <w:r w:rsidRPr="0063341A">
        <w:rPr>
          <w:u w:val="single"/>
          <w:lang w:val="en-CA"/>
        </w:rPr>
        <w:t xml:space="preserve">, here too, the fact that he had a change of clothes and the fact that he changed, </w:t>
      </w:r>
      <w:r w:rsidR="001F2CFE" w:rsidRPr="0063341A">
        <w:rPr>
          <w:u w:val="single"/>
          <w:lang w:val="en-CA"/>
        </w:rPr>
        <w:t>that</w:t>
      </w:r>
      <w:r w:rsidR="001F2CFE">
        <w:rPr>
          <w:u w:val="single"/>
          <w:lang w:val="en-CA"/>
        </w:rPr>
        <w:t xml:space="preserve"> is</w:t>
      </w:r>
      <w:r w:rsidR="001F2CFE" w:rsidRPr="0063341A">
        <w:rPr>
          <w:u w:val="single"/>
          <w:lang w:val="en-CA"/>
        </w:rPr>
        <w:t xml:space="preserve"> </w:t>
      </w:r>
      <w:r w:rsidRPr="0063341A">
        <w:rPr>
          <w:u w:val="single"/>
          <w:lang w:val="en-CA"/>
        </w:rPr>
        <w:t xml:space="preserve">an element </w:t>
      </w:r>
      <w:r w:rsidR="0020520F">
        <w:rPr>
          <w:u w:val="single"/>
          <w:lang w:val="en-CA"/>
        </w:rPr>
        <w:t>that</w:t>
      </w:r>
      <w:r w:rsidRPr="0063341A">
        <w:rPr>
          <w:u w:val="single"/>
          <w:lang w:val="en-CA"/>
        </w:rPr>
        <w:t xml:space="preserve"> could perhaps be relevant if you accept th</w:t>
      </w:r>
      <w:r w:rsidR="00761E25">
        <w:rPr>
          <w:u w:val="single"/>
          <w:lang w:val="en-CA"/>
        </w:rPr>
        <w:t>at</w:t>
      </w:r>
      <w:r w:rsidRPr="0063341A">
        <w:rPr>
          <w:u w:val="single"/>
          <w:lang w:val="en-CA"/>
        </w:rPr>
        <w:t xml:space="preserve"> piece of evidence</w:t>
      </w:r>
      <w:r w:rsidRPr="00A6019D">
        <w:rPr>
          <w:lang w:val="en-CA"/>
        </w:rPr>
        <w:t>. So if he had p</w:t>
      </w:r>
      <w:r w:rsidR="00761E25">
        <w:rPr>
          <w:lang w:val="en-CA"/>
        </w:rPr>
        <w:t>lanned</w:t>
      </w:r>
      <w:r w:rsidRPr="00A6019D">
        <w:rPr>
          <w:lang w:val="en-CA"/>
        </w:rPr>
        <w:t xml:space="preserve"> </w:t>
      </w:r>
      <w:r w:rsidR="0020520F">
        <w:rPr>
          <w:lang w:val="en-CA"/>
        </w:rPr>
        <w:t>and</w:t>
      </w:r>
      <w:r w:rsidRPr="00A6019D">
        <w:rPr>
          <w:lang w:val="en-CA"/>
        </w:rPr>
        <w:t xml:space="preserve"> </w:t>
      </w:r>
      <w:r w:rsidR="001F2CFE" w:rsidRPr="00A6019D">
        <w:rPr>
          <w:lang w:val="en-CA"/>
        </w:rPr>
        <w:t>delibera</w:t>
      </w:r>
      <w:r w:rsidR="001F2CFE">
        <w:rPr>
          <w:lang w:val="en-CA"/>
        </w:rPr>
        <w:t>te</w:t>
      </w:r>
      <w:r w:rsidR="0020520F">
        <w:rPr>
          <w:lang w:val="en-CA"/>
        </w:rPr>
        <w:t>d</w:t>
      </w:r>
      <w:r w:rsidRPr="00A6019D">
        <w:rPr>
          <w:lang w:val="en-CA"/>
        </w:rPr>
        <w:t xml:space="preserve"> to go to the Maxi to kill Clémence that evening and brought</w:t>
      </w:r>
      <w:r w:rsidR="0020520F">
        <w:rPr>
          <w:lang w:val="en-CA"/>
        </w:rPr>
        <w:t xml:space="preserve"> </w:t>
      </w:r>
      <w:r w:rsidRPr="00A6019D">
        <w:rPr>
          <w:lang w:val="en-CA"/>
        </w:rPr>
        <w:t>... and you conclude that he brought clothes to change into because he had p</w:t>
      </w:r>
      <w:r w:rsidR="002966CB">
        <w:rPr>
          <w:lang w:val="en-CA"/>
        </w:rPr>
        <w:t>lanned</w:t>
      </w:r>
      <w:r w:rsidRPr="00A6019D">
        <w:rPr>
          <w:lang w:val="en-CA"/>
        </w:rPr>
        <w:t xml:space="preserve"> to kill and </w:t>
      </w:r>
      <w:r w:rsidR="00BB3DDE">
        <w:rPr>
          <w:lang w:val="en-CA"/>
        </w:rPr>
        <w:t>that</w:t>
      </w:r>
      <w:r w:rsidR="008834BD">
        <w:rPr>
          <w:lang w:val="en-CA"/>
        </w:rPr>
        <w:t xml:space="preserve"> </w:t>
      </w:r>
      <w:r w:rsidRPr="00A6019D">
        <w:rPr>
          <w:lang w:val="en-CA"/>
        </w:rPr>
        <w:t xml:space="preserve">he changed </w:t>
      </w:r>
      <w:r w:rsidRPr="00A6019D">
        <w:rPr>
          <w:lang w:val="en-CA"/>
        </w:rPr>
        <w:lastRenderedPageBreak/>
        <w:t xml:space="preserve">afterwards, that could perhaps be a piece of evidence that could help you. </w:t>
      </w:r>
      <w:r w:rsidR="002966CB">
        <w:rPr>
          <w:lang w:val="en-CA"/>
        </w:rPr>
        <w:t>Is that clear?</w:t>
      </w:r>
    </w:p>
    <w:p w14:paraId="5BEC93B4" w14:textId="5139EEA8" w:rsidR="00AE7905" w:rsidRPr="0012581D" w:rsidRDefault="00AE7905" w:rsidP="002E6D91">
      <w:pPr>
        <w:pStyle w:val="Citationenretrait"/>
        <w:spacing w:line="240" w:lineRule="auto"/>
        <w:jc w:val="right"/>
        <w:rPr>
          <w:lang w:val="en-CA"/>
        </w:rPr>
      </w:pPr>
      <w:r w:rsidRPr="0012581D">
        <w:rPr>
          <w:lang w:val="en-CA"/>
        </w:rPr>
        <w:t>[</w:t>
      </w:r>
      <w:r w:rsidR="002966CB">
        <w:rPr>
          <w:lang w:val="en-CA"/>
        </w:rPr>
        <w:t>Emphasis added</w:t>
      </w:r>
      <w:r w:rsidR="0020520F">
        <w:rPr>
          <w:lang w:val="en-CA"/>
        </w:rPr>
        <w:t>.</w:t>
      </w:r>
      <w:r w:rsidRPr="0012581D">
        <w:rPr>
          <w:lang w:val="en-CA"/>
        </w:rPr>
        <w:t>]</w:t>
      </w:r>
    </w:p>
    <w:p w14:paraId="38D99446" w14:textId="2C68A764" w:rsidR="0022776D" w:rsidRPr="0012581D" w:rsidRDefault="00077651" w:rsidP="000B6E2B">
      <w:pPr>
        <w:numPr>
          <w:ilvl w:val="0"/>
          <w:numId w:val="18"/>
        </w:numPr>
        <w:spacing w:before="120" w:after="120" w:line="240" w:lineRule="auto"/>
        <w:jc w:val="both"/>
        <w:rPr>
          <w:rFonts w:cs="Arial"/>
          <w:kern w:val="28"/>
          <w:lang w:val="en-CA"/>
        </w:rPr>
      </w:pPr>
      <w:r>
        <w:rPr>
          <w:rFonts w:cs="Arial"/>
          <w:kern w:val="28"/>
          <w:lang w:val="en-CA"/>
        </w:rPr>
        <w:t xml:space="preserve">After this correction was </w:t>
      </w:r>
      <w:r w:rsidR="001F2CFE">
        <w:rPr>
          <w:rFonts w:cs="Arial"/>
          <w:kern w:val="28"/>
          <w:lang w:val="en-CA"/>
        </w:rPr>
        <w:t xml:space="preserve">provided </w:t>
      </w:r>
      <w:r>
        <w:rPr>
          <w:rFonts w:cs="Arial"/>
          <w:kern w:val="28"/>
          <w:lang w:val="en-CA"/>
        </w:rPr>
        <w:t xml:space="preserve">to the jury, the parties </w:t>
      </w:r>
      <w:r w:rsidR="00D62454">
        <w:rPr>
          <w:rFonts w:cs="Arial"/>
          <w:kern w:val="28"/>
          <w:lang w:val="en-CA"/>
        </w:rPr>
        <w:t xml:space="preserve">said </w:t>
      </w:r>
      <w:r>
        <w:rPr>
          <w:rFonts w:cs="Arial"/>
          <w:kern w:val="28"/>
          <w:lang w:val="en-CA"/>
        </w:rPr>
        <w:t>that they were satisfied</w:t>
      </w:r>
      <w:r w:rsidR="0022776D" w:rsidRPr="0012581D">
        <w:rPr>
          <w:rFonts w:cs="Arial"/>
          <w:kern w:val="28"/>
          <w:lang w:val="en-CA"/>
        </w:rPr>
        <w:t>.</w:t>
      </w:r>
    </w:p>
    <w:p w14:paraId="0E1A18E0" w14:textId="10BBBAA4" w:rsidR="00F21E3C" w:rsidRPr="0012581D" w:rsidRDefault="00077651" w:rsidP="000B6E2B">
      <w:pPr>
        <w:numPr>
          <w:ilvl w:val="0"/>
          <w:numId w:val="18"/>
        </w:numPr>
        <w:spacing w:before="120" w:after="120" w:line="240" w:lineRule="auto"/>
        <w:jc w:val="both"/>
        <w:rPr>
          <w:rFonts w:cs="Arial"/>
          <w:kern w:val="28"/>
          <w:lang w:val="en-CA"/>
        </w:rPr>
      </w:pPr>
      <w:r w:rsidRPr="00077651">
        <w:rPr>
          <w:rFonts w:cs="Arial"/>
          <w:kern w:val="28"/>
          <w:lang w:val="en-CA"/>
        </w:rPr>
        <w:t xml:space="preserve">The Court is of the </w:t>
      </w:r>
      <w:r w:rsidR="002E7C99">
        <w:rPr>
          <w:rFonts w:cs="Arial"/>
          <w:kern w:val="28"/>
          <w:lang w:val="en-CA"/>
        </w:rPr>
        <w:t>view</w:t>
      </w:r>
      <w:r w:rsidRPr="00077651">
        <w:rPr>
          <w:rFonts w:cs="Arial"/>
          <w:kern w:val="28"/>
          <w:lang w:val="en-CA"/>
        </w:rPr>
        <w:t xml:space="preserve"> that the judge and the parties were </w:t>
      </w:r>
      <w:r w:rsidR="001F2CFE">
        <w:rPr>
          <w:rFonts w:cs="Arial"/>
          <w:kern w:val="28"/>
          <w:lang w:val="en-CA"/>
        </w:rPr>
        <w:t>wrong</w:t>
      </w:r>
      <w:r w:rsidRPr="00077651">
        <w:rPr>
          <w:rFonts w:cs="Arial"/>
          <w:kern w:val="28"/>
          <w:lang w:val="en-CA"/>
        </w:rPr>
        <w:t xml:space="preserve">. As already noted, the instruction given by the judge </w:t>
      </w:r>
      <w:r w:rsidR="00716AA2">
        <w:rPr>
          <w:rFonts w:cs="Arial"/>
          <w:kern w:val="28"/>
          <w:lang w:val="en-CA"/>
        </w:rPr>
        <w:t xml:space="preserve">concerning </w:t>
      </w:r>
      <w:r w:rsidRPr="00077651">
        <w:rPr>
          <w:rFonts w:cs="Arial"/>
          <w:kern w:val="28"/>
          <w:lang w:val="en-CA"/>
        </w:rPr>
        <w:t>the essential elements of second degree murder</w:t>
      </w:r>
      <w:r w:rsidR="0066127A">
        <w:rPr>
          <w:rFonts w:cs="Arial"/>
          <w:kern w:val="28"/>
          <w:lang w:val="en-CA"/>
        </w:rPr>
        <w:t>,</w:t>
      </w:r>
      <w:r w:rsidRPr="00077651">
        <w:rPr>
          <w:rFonts w:cs="Arial"/>
          <w:kern w:val="28"/>
          <w:lang w:val="en-CA"/>
        </w:rPr>
        <w:t xml:space="preserve"> which required the jury to consider the appellant</w:t>
      </w:r>
      <w:r w:rsidR="0066127A">
        <w:rPr>
          <w:rFonts w:cs="Arial"/>
          <w:kern w:val="28"/>
          <w:lang w:val="en-CA"/>
        </w:rPr>
        <w:t>’</w:t>
      </w:r>
      <w:r w:rsidRPr="00077651">
        <w:rPr>
          <w:rFonts w:cs="Arial"/>
          <w:kern w:val="28"/>
          <w:lang w:val="en-CA"/>
        </w:rPr>
        <w:t>s explanation of his</w:t>
      </w:r>
      <w:r w:rsidR="009A57F8">
        <w:rPr>
          <w:rFonts w:cs="Arial"/>
          <w:kern w:val="28"/>
          <w:lang w:val="en-CA"/>
        </w:rPr>
        <w:t xml:space="preserve"> post-homicide</w:t>
      </w:r>
      <w:r w:rsidRPr="00077651">
        <w:rPr>
          <w:rFonts w:cs="Arial"/>
          <w:kern w:val="28"/>
          <w:lang w:val="en-CA"/>
        </w:rPr>
        <w:t xml:space="preserve"> </w:t>
      </w:r>
      <w:r w:rsidR="004E603A">
        <w:rPr>
          <w:rFonts w:cs="Arial"/>
          <w:kern w:val="28"/>
          <w:lang w:val="en-CA"/>
        </w:rPr>
        <w:t>conduct</w:t>
      </w:r>
      <w:r w:rsidRPr="00077651">
        <w:rPr>
          <w:rFonts w:cs="Arial"/>
          <w:kern w:val="28"/>
          <w:lang w:val="en-CA"/>
        </w:rPr>
        <w:t>, namely his fear</w:t>
      </w:r>
      <w:r>
        <w:rPr>
          <w:rFonts w:cs="Arial"/>
          <w:kern w:val="28"/>
          <w:lang w:val="en-CA"/>
        </w:rPr>
        <w:t>,</w:t>
      </w:r>
      <w:r w:rsidRPr="00077651">
        <w:rPr>
          <w:rFonts w:cs="Arial"/>
          <w:kern w:val="28"/>
          <w:lang w:val="en-CA"/>
        </w:rPr>
        <w:t xml:space="preserve"> rooted in his </w:t>
      </w:r>
      <w:r>
        <w:rPr>
          <w:rFonts w:cs="Arial"/>
          <w:kern w:val="28"/>
          <w:lang w:val="en-CA"/>
        </w:rPr>
        <w:t xml:space="preserve">mental </w:t>
      </w:r>
      <w:r w:rsidRPr="00077651">
        <w:rPr>
          <w:rFonts w:cs="Arial"/>
          <w:kern w:val="28"/>
          <w:lang w:val="en-CA"/>
        </w:rPr>
        <w:t>disorder</w:t>
      </w:r>
      <w:r>
        <w:rPr>
          <w:rFonts w:cs="Arial"/>
          <w:kern w:val="28"/>
          <w:lang w:val="en-CA"/>
        </w:rPr>
        <w:t>,</w:t>
      </w:r>
      <w:r w:rsidRPr="00077651">
        <w:rPr>
          <w:rFonts w:cs="Arial"/>
          <w:kern w:val="28"/>
          <w:lang w:val="en-CA"/>
        </w:rPr>
        <w:t xml:space="preserve"> that his life was in danger, was impeccable and irreproachable</w:t>
      </w:r>
      <w:r w:rsidR="00AB376E" w:rsidRPr="0012581D">
        <w:rPr>
          <w:rFonts w:cs="Arial"/>
          <w:kern w:val="28"/>
          <w:lang w:val="en-CA"/>
        </w:rPr>
        <w:t>.</w:t>
      </w:r>
    </w:p>
    <w:p w14:paraId="6D5A28C0" w14:textId="0B7D9164" w:rsidR="00F2692E" w:rsidRPr="0012581D" w:rsidRDefault="00077651" w:rsidP="000B6E2B">
      <w:pPr>
        <w:numPr>
          <w:ilvl w:val="0"/>
          <w:numId w:val="18"/>
        </w:numPr>
        <w:spacing w:before="120" w:after="120" w:line="240" w:lineRule="auto"/>
        <w:jc w:val="both"/>
        <w:rPr>
          <w:lang w:val="en-CA" w:eastAsia="fr-CA"/>
        </w:rPr>
      </w:pPr>
      <w:r w:rsidRPr="00077651">
        <w:rPr>
          <w:rFonts w:cs="Arial"/>
          <w:kern w:val="28"/>
          <w:lang w:val="en-CA"/>
        </w:rPr>
        <w:t xml:space="preserve">Unfortunately, the </w:t>
      </w:r>
      <w:r w:rsidR="009A57F8" w:rsidRPr="00077651">
        <w:rPr>
          <w:rFonts w:cs="Arial"/>
          <w:kern w:val="28"/>
          <w:lang w:val="en-CA"/>
        </w:rPr>
        <w:t>correct</w:t>
      </w:r>
      <w:r w:rsidR="009A57F8">
        <w:rPr>
          <w:rFonts w:cs="Arial"/>
          <w:kern w:val="28"/>
          <w:lang w:val="en-CA"/>
        </w:rPr>
        <w:t>ive</w:t>
      </w:r>
      <w:r w:rsidR="009A57F8" w:rsidRPr="00077651">
        <w:rPr>
          <w:rFonts w:cs="Arial"/>
          <w:kern w:val="28"/>
          <w:lang w:val="en-CA"/>
        </w:rPr>
        <w:t xml:space="preserve"> </w:t>
      </w:r>
      <w:r w:rsidRPr="00077651">
        <w:rPr>
          <w:rFonts w:cs="Arial"/>
          <w:kern w:val="28"/>
          <w:lang w:val="en-CA"/>
        </w:rPr>
        <w:t>instruction, according to which the appellant</w:t>
      </w:r>
      <w:r w:rsidR="00A1434D">
        <w:rPr>
          <w:rFonts w:cs="Arial"/>
          <w:kern w:val="28"/>
          <w:lang w:val="en-CA"/>
        </w:rPr>
        <w:t>’</w:t>
      </w:r>
      <w:r w:rsidRPr="00077651">
        <w:rPr>
          <w:rFonts w:cs="Arial"/>
          <w:kern w:val="28"/>
          <w:lang w:val="en-CA"/>
        </w:rPr>
        <w:t xml:space="preserve">s </w:t>
      </w:r>
      <w:r w:rsidR="009A57F8">
        <w:rPr>
          <w:rFonts w:cs="Arial"/>
          <w:kern w:val="28"/>
          <w:lang w:val="en-CA"/>
        </w:rPr>
        <w:t xml:space="preserve">post-homicide </w:t>
      </w:r>
      <w:r w:rsidR="004E603A">
        <w:rPr>
          <w:rFonts w:cs="Arial"/>
          <w:kern w:val="28"/>
          <w:lang w:val="en-CA"/>
        </w:rPr>
        <w:t>conduct</w:t>
      </w:r>
      <w:r w:rsidR="00DF34C1">
        <w:rPr>
          <w:rFonts w:cs="Arial"/>
          <w:kern w:val="28"/>
          <w:lang w:val="en-CA"/>
        </w:rPr>
        <w:t xml:space="preserve"> </w:t>
      </w:r>
      <w:r w:rsidRPr="00077651">
        <w:rPr>
          <w:rFonts w:cs="Arial"/>
          <w:kern w:val="28"/>
          <w:lang w:val="en-CA"/>
        </w:rPr>
        <w:t xml:space="preserve">had no probative value with respect to the </w:t>
      </w:r>
      <w:r w:rsidR="00D31836">
        <w:rPr>
          <w:rFonts w:cs="Arial"/>
          <w:kern w:val="28"/>
          <w:lang w:val="en-CA"/>
        </w:rPr>
        <w:t xml:space="preserve">requisite </w:t>
      </w:r>
      <w:r w:rsidRPr="00077651">
        <w:rPr>
          <w:rFonts w:cs="Arial"/>
          <w:kern w:val="28"/>
          <w:lang w:val="en-CA"/>
        </w:rPr>
        <w:t xml:space="preserve">intent for murder or </w:t>
      </w:r>
      <w:r>
        <w:rPr>
          <w:rFonts w:cs="Arial"/>
          <w:kern w:val="28"/>
          <w:lang w:val="en-CA"/>
        </w:rPr>
        <w:t>its planned</w:t>
      </w:r>
      <w:r w:rsidRPr="00077651">
        <w:rPr>
          <w:rFonts w:cs="Arial"/>
          <w:kern w:val="28"/>
          <w:lang w:val="en-CA"/>
        </w:rPr>
        <w:t xml:space="preserve"> and deliberate nature, prevented the jury from considering all the evidence </w:t>
      </w:r>
      <w:r w:rsidR="00A1434D">
        <w:rPr>
          <w:rFonts w:cs="Arial"/>
          <w:kern w:val="28"/>
          <w:lang w:val="en-CA"/>
        </w:rPr>
        <w:t>that</w:t>
      </w:r>
      <w:r w:rsidRPr="00077651">
        <w:rPr>
          <w:rFonts w:cs="Arial"/>
          <w:kern w:val="28"/>
          <w:lang w:val="en-CA"/>
        </w:rPr>
        <w:t xml:space="preserve"> </w:t>
      </w:r>
      <w:r w:rsidR="001A047F">
        <w:rPr>
          <w:rFonts w:cs="Arial"/>
          <w:kern w:val="28"/>
          <w:lang w:val="en-CA"/>
        </w:rPr>
        <w:t xml:space="preserve">could support </w:t>
      </w:r>
      <w:r w:rsidRPr="00077651">
        <w:rPr>
          <w:rFonts w:cs="Arial"/>
          <w:kern w:val="28"/>
          <w:lang w:val="en-CA"/>
        </w:rPr>
        <w:t xml:space="preserve">the other possible explanation </w:t>
      </w:r>
      <w:r w:rsidR="00D62454">
        <w:rPr>
          <w:rFonts w:cs="Arial"/>
          <w:kern w:val="28"/>
          <w:lang w:val="en-CA"/>
        </w:rPr>
        <w:t>for</w:t>
      </w:r>
      <w:r w:rsidRPr="00077651">
        <w:rPr>
          <w:rFonts w:cs="Arial"/>
          <w:kern w:val="28"/>
          <w:lang w:val="en-CA"/>
        </w:rPr>
        <w:t xml:space="preserve"> the appellant</w:t>
      </w:r>
      <w:r w:rsidR="00A1434D">
        <w:rPr>
          <w:rFonts w:cs="Arial"/>
          <w:kern w:val="28"/>
          <w:lang w:val="en-CA"/>
        </w:rPr>
        <w:t>’</w:t>
      </w:r>
      <w:r w:rsidRPr="00077651">
        <w:rPr>
          <w:rFonts w:cs="Arial"/>
          <w:kern w:val="28"/>
          <w:lang w:val="en-CA"/>
        </w:rPr>
        <w:t xml:space="preserve">s </w:t>
      </w:r>
      <w:r w:rsidR="00E75BEB">
        <w:rPr>
          <w:rFonts w:cs="Arial"/>
          <w:kern w:val="28"/>
          <w:lang w:val="en-CA"/>
        </w:rPr>
        <w:t>b</w:t>
      </w:r>
      <w:r w:rsidR="00D62454">
        <w:rPr>
          <w:rFonts w:cs="Arial"/>
          <w:kern w:val="28"/>
          <w:lang w:val="en-CA"/>
        </w:rPr>
        <w:t>e</w:t>
      </w:r>
      <w:r w:rsidR="00E75BEB">
        <w:rPr>
          <w:rFonts w:cs="Arial"/>
          <w:kern w:val="28"/>
          <w:lang w:val="en-CA"/>
        </w:rPr>
        <w:t>haviour</w:t>
      </w:r>
      <w:r w:rsidR="001A047F">
        <w:rPr>
          <w:rFonts w:cs="Arial"/>
          <w:kern w:val="28"/>
          <w:lang w:val="en-CA"/>
        </w:rPr>
        <w:t>, th</w:t>
      </w:r>
      <w:r w:rsidR="00DC31A9">
        <w:rPr>
          <w:rFonts w:cs="Arial"/>
          <w:kern w:val="28"/>
          <w:lang w:val="en-CA"/>
        </w:rPr>
        <w:t xml:space="preserve">at is, </w:t>
      </w:r>
      <w:r w:rsidRPr="00077651">
        <w:rPr>
          <w:rFonts w:cs="Arial"/>
          <w:kern w:val="28"/>
          <w:lang w:val="en-CA"/>
        </w:rPr>
        <w:t>his perception</w:t>
      </w:r>
      <w:r w:rsidR="00DC31A9">
        <w:rPr>
          <w:rFonts w:cs="Arial"/>
          <w:kern w:val="28"/>
          <w:lang w:val="en-CA"/>
        </w:rPr>
        <w:t>,</w:t>
      </w:r>
      <w:r w:rsidRPr="00077651">
        <w:rPr>
          <w:rFonts w:cs="Arial"/>
          <w:kern w:val="28"/>
          <w:lang w:val="en-CA"/>
        </w:rPr>
        <w:t xml:space="preserve"> fuel</w:t>
      </w:r>
      <w:r w:rsidR="00C101BA">
        <w:rPr>
          <w:rFonts w:cs="Arial"/>
          <w:kern w:val="28"/>
          <w:lang w:val="en-CA"/>
        </w:rPr>
        <w:t>l</w:t>
      </w:r>
      <w:r w:rsidRPr="00077651">
        <w:rPr>
          <w:rFonts w:cs="Arial"/>
          <w:kern w:val="28"/>
          <w:lang w:val="en-CA"/>
        </w:rPr>
        <w:t>ed by his mental disorder</w:t>
      </w:r>
      <w:r w:rsidR="00DC31A9">
        <w:rPr>
          <w:rFonts w:cs="Arial"/>
          <w:kern w:val="28"/>
          <w:lang w:val="en-CA"/>
        </w:rPr>
        <w:t>,</w:t>
      </w:r>
      <w:r w:rsidRPr="00077651">
        <w:rPr>
          <w:rFonts w:cs="Arial"/>
          <w:kern w:val="28"/>
          <w:lang w:val="en-CA"/>
        </w:rPr>
        <w:t xml:space="preserve"> that his life was still in danger, as he explained in a text message to his best friend </w:t>
      </w:r>
      <w:r w:rsidR="00A1434D">
        <w:rPr>
          <w:rFonts w:cs="Arial"/>
          <w:kern w:val="28"/>
          <w:lang w:val="en-CA"/>
        </w:rPr>
        <w:t>while</w:t>
      </w:r>
      <w:r w:rsidRPr="00077651">
        <w:rPr>
          <w:rFonts w:cs="Arial"/>
          <w:kern w:val="28"/>
          <w:lang w:val="en-CA"/>
        </w:rPr>
        <w:t xml:space="preserve"> he </w:t>
      </w:r>
      <w:r w:rsidR="00A1434D">
        <w:rPr>
          <w:rFonts w:cs="Arial"/>
          <w:kern w:val="28"/>
          <w:lang w:val="en-CA"/>
        </w:rPr>
        <w:t xml:space="preserve">was </w:t>
      </w:r>
      <w:r w:rsidR="00816126">
        <w:rPr>
          <w:rFonts w:cs="Arial"/>
          <w:kern w:val="28"/>
          <w:lang w:val="en-CA"/>
        </w:rPr>
        <w:t>hid</w:t>
      </w:r>
      <w:r w:rsidR="00A1434D">
        <w:rPr>
          <w:rFonts w:cs="Arial"/>
          <w:kern w:val="28"/>
          <w:lang w:val="en-CA"/>
        </w:rPr>
        <w:t>ing</w:t>
      </w:r>
      <w:r w:rsidR="00816126">
        <w:rPr>
          <w:rFonts w:cs="Arial"/>
          <w:kern w:val="28"/>
          <w:lang w:val="en-CA"/>
        </w:rPr>
        <w:t xml:space="preserve"> in</w:t>
      </w:r>
      <w:r w:rsidRPr="00077651">
        <w:rPr>
          <w:rFonts w:cs="Arial"/>
          <w:kern w:val="28"/>
          <w:lang w:val="en-CA"/>
        </w:rPr>
        <w:t xml:space="preserve"> </w:t>
      </w:r>
      <w:r w:rsidR="00DC31A9">
        <w:rPr>
          <w:rFonts w:cs="Arial"/>
          <w:kern w:val="28"/>
          <w:lang w:val="en-CA"/>
        </w:rPr>
        <w:t xml:space="preserve">the </w:t>
      </w:r>
      <w:r w:rsidRPr="00077651">
        <w:rPr>
          <w:rFonts w:cs="Arial"/>
          <w:kern w:val="28"/>
          <w:lang w:val="en-CA"/>
        </w:rPr>
        <w:t>Tim Hortons</w:t>
      </w:r>
      <w:r w:rsidR="00874C37">
        <w:rPr>
          <w:rFonts w:cs="Arial"/>
          <w:kern w:val="28"/>
          <w:lang w:val="en-CA"/>
        </w:rPr>
        <w:t xml:space="preserve"> in which he stated,</w:t>
      </w:r>
      <w:r w:rsidRPr="00077651">
        <w:rPr>
          <w:rFonts w:cs="Arial"/>
          <w:kern w:val="28"/>
          <w:lang w:val="en-CA"/>
        </w:rPr>
        <w:t xml:space="preserve"> </w:t>
      </w:r>
      <w:r w:rsidR="00DC31A9" w:rsidRPr="00B92A5F">
        <w:rPr>
          <w:rFonts w:cs="Arial"/>
          <w:kern w:val="28"/>
          <w:szCs w:val="24"/>
          <w:lang w:val="en-CA"/>
        </w:rPr>
        <w:t>[</w:t>
      </w:r>
      <w:r w:rsidR="00F22CFE">
        <w:rPr>
          <w:rFonts w:cs="Arial"/>
          <w:smallCaps/>
          <w:kern w:val="28"/>
          <w:szCs w:val="24"/>
          <w:lang w:val="en-CA"/>
        </w:rPr>
        <w:t>translation</w:t>
      </w:r>
      <w:r w:rsidR="00DC31A9" w:rsidRPr="00B92A5F">
        <w:rPr>
          <w:rFonts w:cs="Arial"/>
          <w:kern w:val="28"/>
          <w:szCs w:val="24"/>
          <w:lang w:val="en-CA"/>
        </w:rPr>
        <w:t>]</w:t>
      </w:r>
      <w:r w:rsidR="00DC31A9" w:rsidRPr="00DC31A9">
        <w:rPr>
          <w:rFonts w:cs="Arial"/>
          <w:kern w:val="28"/>
          <w:lang w:val="en-CA"/>
        </w:rPr>
        <w:t xml:space="preserve"> </w:t>
      </w:r>
      <w:r w:rsidRPr="00077651">
        <w:rPr>
          <w:rFonts w:cs="Arial"/>
          <w:kern w:val="28"/>
          <w:lang w:val="en-CA"/>
        </w:rPr>
        <w:t>“I</w:t>
      </w:r>
      <w:r w:rsidR="00F22CFE">
        <w:rPr>
          <w:rFonts w:cs="Arial"/>
          <w:kern w:val="28"/>
          <w:lang w:val="en-CA"/>
        </w:rPr>
        <w:t>’m drowning</w:t>
      </w:r>
      <w:r w:rsidR="00DC31A9">
        <w:rPr>
          <w:rFonts w:cs="Arial"/>
          <w:kern w:val="28"/>
          <w:lang w:val="en-CA"/>
        </w:rPr>
        <w:t xml:space="preserve"> </w:t>
      </w:r>
      <w:r w:rsidRPr="00077651">
        <w:rPr>
          <w:rFonts w:cs="Arial"/>
          <w:kern w:val="28"/>
          <w:lang w:val="en-CA"/>
        </w:rPr>
        <w:t>my life”</w:t>
      </w:r>
      <w:r w:rsidR="008C5FB1">
        <w:rPr>
          <w:rFonts w:cs="Arial"/>
          <w:kern w:val="28"/>
          <w:lang w:val="en-CA"/>
        </w:rPr>
        <w:t>, meaning that he feared for his life</w:t>
      </w:r>
      <w:r w:rsidR="00F2692E" w:rsidRPr="0012581D">
        <w:rPr>
          <w:lang w:val="en-CA" w:eastAsia="fr-CA"/>
        </w:rPr>
        <w:t>.</w:t>
      </w:r>
    </w:p>
    <w:p w14:paraId="1A38FBE1" w14:textId="343A5478" w:rsidR="00AB376E" w:rsidRPr="0012581D" w:rsidRDefault="00DC31A9" w:rsidP="000B6E2B">
      <w:pPr>
        <w:numPr>
          <w:ilvl w:val="0"/>
          <w:numId w:val="18"/>
        </w:numPr>
        <w:spacing w:before="120" w:after="120" w:line="240" w:lineRule="auto"/>
        <w:jc w:val="both"/>
        <w:rPr>
          <w:rFonts w:cs="Arial"/>
          <w:kern w:val="28"/>
          <w:lang w:val="en-CA"/>
        </w:rPr>
      </w:pPr>
      <w:r w:rsidRPr="00DC31A9">
        <w:rPr>
          <w:rFonts w:cs="Arial"/>
          <w:kern w:val="28"/>
          <w:lang w:val="en-CA"/>
        </w:rPr>
        <w:t xml:space="preserve">These corrections are fatal and require </w:t>
      </w:r>
      <w:r w:rsidR="00816126">
        <w:rPr>
          <w:rFonts w:cs="Arial"/>
          <w:kern w:val="28"/>
          <w:lang w:val="en-CA"/>
        </w:rPr>
        <w:t xml:space="preserve">that </w:t>
      </w:r>
      <w:r w:rsidRPr="00DC31A9">
        <w:rPr>
          <w:rFonts w:cs="Arial"/>
          <w:kern w:val="28"/>
          <w:lang w:val="en-CA"/>
        </w:rPr>
        <w:t>a new trial</w:t>
      </w:r>
      <w:r w:rsidR="00816126">
        <w:rPr>
          <w:rFonts w:cs="Arial"/>
          <w:kern w:val="28"/>
          <w:lang w:val="en-CA"/>
        </w:rPr>
        <w:t xml:space="preserve"> be held</w:t>
      </w:r>
      <w:r w:rsidR="009A426C" w:rsidRPr="0012581D">
        <w:rPr>
          <w:rFonts w:cs="Arial"/>
          <w:kern w:val="28"/>
          <w:lang w:val="en-CA"/>
        </w:rPr>
        <w:t>.</w:t>
      </w:r>
    </w:p>
    <w:p w14:paraId="307B625D" w14:textId="50BAB6B3" w:rsidR="00CC7F95" w:rsidRPr="0012581D" w:rsidRDefault="00DC31A9" w:rsidP="000B6E2B">
      <w:pPr>
        <w:pStyle w:val="Paragraphe"/>
        <w:spacing w:line="240" w:lineRule="auto"/>
        <w:rPr>
          <w:lang w:val="en-CA" w:eastAsia="fr-CA"/>
        </w:rPr>
      </w:pPr>
      <w:r w:rsidRPr="00DC31A9">
        <w:rPr>
          <w:lang w:val="en-CA" w:eastAsia="fr-CA"/>
        </w:rPr>
        <w:t>In defen</w:t>
      </w:r>
      <w:r>
        <w:rPr>
          <w:lang w:val="en-CA" w:eastAsia="fr-CA"/>
        </w:rPr>
        <w:t>c</w:t>
      </w:r>
      <w:r w:rsidRPr="00DC31A9">
        <w:rPr>
          <w:lang w:val="en-CA" w:eastAsia="fr-CA"/>
        </w:rPr>
        <w:t>e of the trial judge, it</w:t>
      </w:r>
      <w:r>
        <w:rPr>
          <w:lang w:val="en-CA" w:eastAsia="fr-CA"/>
        </w:rPr>
        <w:t xml:space="preserve"> should be noted</w:t>
      </w:r>
      <w:r w:rsidRPr="00DC31A9">
        <w:rPr>
          <w:lang w:val="en-CA" w:eastAsia="fr-CA"/>
        </w:rPr>
        <w:t xml:space="preserve"> that </w:t>
      </w:r>
      <w:r>
        <w:rPr>
          <w:lang w:val="en-CA" w:eastAsia="fr-CA"/>
        </w:rPr>
        <w:t xml:space="preserve">the </w:t>
      </w:r>
      <w:r w:rsidRPr="00DC31A9">
        <w:rPr>
          <w:lang w:val="en-CA" w:eastAsia="fr-CA"/>
        </w:rPr>
        <w:t xml:space="preserve">case law and </w:t>
      </w:r>
      <w:r w:rsidR="004A0C59">
        <w:rPr>
          <w:lang w:val="en-CA" w:eastAsia="fr-CA"/>
        </w:rPr>
        <w:t>commentary</w:t>
      </w:r>
      <w:r w:rsidRPr="00DC31A9">
        <w:rPr>
          <w:lang w:val="en-CA" w:eastAsia="fr-CA"/>
        </w:rPr>
        <w:t xml:space="preserve"> recognize that </w:t>
      </w:r>
      <w:r>
        <w:rPr>
          <w:lang w:val="en-CA" w:eastAsia="fr-CA"/>
        </w:rPr>
        <w:t xml:space="preserve">instructions concerning </w:t>
      </w:r>
      <w:r w:rsidRPr="00DC31A9">
        <w:rPr>
          <w:lang w:val="en-CA" w:eastAsia="fr-CA"/>
        </w:rPr>
        <w:t>after</w:t>
      </w:r>
      <w:r>
        <w:rPr>
          <w:lang w:val="en-CA" w:eastAsia="fr-CA"/>
        </w:rPr>
        <w:t>-</w:t>
      </w:r>
      <w:r w:rsidRPr="00DC31A9">
        <w:rPr>
          <w:lang w:val="en-CA" w:eastAsia="fr-CA"/>
        </w:rPr>
        <w:t>the</w:t>
      </w:r>
      <w:r>
        <w:rPr>
          <w:lang w:val="en-CA" w:eastAsia="fr-CA"/>
        </w:rPr>
        <w:t>-</w:t>
      </w:r>
      <w:r w:rsidRPr="00DC31A9">
        <w:rPr>
          <w:lang w:val="en-CA" w:eastAsia="fr-CA"/>
        </w:rPr>
        <w:t xml:space="preserve">fact </w:t>
      </w:r>
      <w:r>
        <w:rPr>
          <w:lang w:val="en-CA" w:eastAsia="fr-CA"/>
        </w:rPr>
        <w:t>conduct present</w:t>
      </w:r>
      <w:r w:rsidRPr="00DC31A9">
        <w:rPr>
          <w:lang w:val="en-CA" w:eastAsia="fr-CA"/>
        </w:rPr>
        <w:t xml:space="preserve"> </w:t>
      </w:r>
      <w:r w:rsidR="00B10774">
        <w:rPr>
          <w:lang w:val="en-CA" w:eastAsia="fr-CA"/>
        </w:rPr>
        <w:t>several</w:t>
      </w:r>
      <w:r w:rsidRPr="00DC31A9">
        <w:rPr>
          <w:lang w:val="en-CA" w:eastAsia="fr-CA"/>
        </w:rPr>
        <w:t xml:space="preserve"> difficulties</w:t>
      </w:r>
      <w:r>
        <w:rPr>
          <w:lang w:val="en-CA" w:eastAsia="fr-CA"/>
        </w:rPr>
        <w:t>.</w:t>
      </w:r>
      <w:r w:rsidR="009D41B4" w:rsidRPr="0012581D">
        <w:rPr>
          <w:rStyle w:val="Appelnotedebasdep"/>
          <w:rFonts w:cs="Arial"/>
          <w:szCs w:val="22"/>
          <w:lang w:val="en-CA" w:eastAsia="fr-CA"/>
        </w:rPr>
        <w:footnoteReference w:id="46"/>
      </w:r>
      <w:r>
        <w:rPr>
          <w:lang w:val="en-CA" w:eastAsia="fr-CA"/>
        </w:rPr>
        <w:t xml:space="preserve"> </w:t>
      </w:r>
      <w:r w:rsidR="00B10774">
        <w:rPr>
          <w:lang w:val="en-CA" w:eastAsia="fr-CA"/>
        </w:rPr>
        <w:t>Moreover</w:t>
      </w:r>
      <w:r w:rsidRPr="00DC31A9">
        <w:rPr>
          <w:lang w:val="en-CA" w:eastAsia="fr-CA"/>
        </w:rPr>
        <w:t xml:space="preserve">, she was unable to benefit from the lessons of </w:t>
      </w:r>
      <w:r w:rsidRPr="00DC31A9">
        <w:rPr>
          <w:i/>
          <w:iCs/>
          <w:lang w:val="en-CA" w:eastAsia="fr-CA"/>
        </w:rPr>
        <w:t>Calnen</w:t>
      </w:r>
      <w:r w:rsidR="00B10774">
        <w:rPr>
          <w:lang w:val="en-CA" w:eastAsia="fr-CA"/>
        </w:rPr>
        <w:t>,</w:t>
      </w:r>
      <w:r w:rsidRPr="00DC31A9">
        <w:rPr>
          <w:lang w:val="en-CA" w:eastAsia="fr-CA"/>
        </w:rPr>
        <w:t xml:space="preserve"> in which Martin </w:t>
      </w:r>
      <w:r>
        <w:rPr>
          <w:lang w:val="en-CA" w:eastAsia="fr-CA"/>
        </w:rPr>
        <w:t xml:space="preserve">J. </w:t>
      </w:r>
      <w:r w:rsidR="00816126">
        <w:rPr>
          <w:lang w:val="en-CA" w:eastAsia="fr-CA"/>
        </w:rPr>
        <w:t>explain</w:t>
      </w:r>
      <w:r w:rsidR="00B10774">
        <w:rPr>
          <w:lang w:val="en-CA" w:eastAsia="fr-CA"/>
        </w:rPr>
        <w:t>ed</w:t>
      </w:r>
      <w:r w:rsidR="00816126" w:rsidRPr="00DC31A9">
        <w:rPr>
          <w:lang w:val="en-CA" w:eastAsia="fr-CA"/>
        </w:rPr>
        <w:t xml:space="preserve"> </w:t>
      </w:r>
      <w:r w:rsidRPr="00DC31A9">
        <w:rPr>
          <w:lang w:val="en-CA" w:eastAsia="fr-CA"/>
        </w:rPr>
        <w:t>that after</w:t>
      </w:r>
      <w:r>
        <w:rPr>
          <w:lang w:val="en-CA" w:eastAsia="fr-CA"/>
        </w:rPr>
        <w:t>-</w:t>
      </w:r>
      <w:r w:rsidRPr="00DC31A9">
        <w:rPr>
          <w:lang w:val="en-CA" w:eastAsia="fr-CA"/>
        </w:rPr>
        <w:t>the</w:t>
      </w:r>
      <w:r>
        <w:rPr>
          <w:lang w:val="en-CA" w:eastAsia="fr-CA"/>
        </w:rPr>
        <w:t>-</w:t>
      </w:r>
      <w:r w:rsidRPr="00DC31A9">
        <w:rPr>
          <w:lang w:val="en-CA" w:eastAsia="fr-CA"/>
        </w:rPr>
        <w:t xml:space="preserve">fact </w:t>
      </w:r>
      <w:r>
        <w:rPr>
          <w:lang w:val="en-CA" w:eastAsia="fr-CA"/>
        </w:rPr>
        <w:t xml:space="preserve">conduct </w:t>
      </w:r>
      <w:r w:rsidR="00816126">
        <w:rPr>
          <w:lang w:val="en-CA" w:eastAsia="fr-CA"/>
        </w:rPr>
        <w:t xml:space="preserve">evidence </w:t>
      </w:r>
      <w:r w:rsidRPr="00DC31A9">
        <w:rPr>
          <w:lang w:val="en-CA" w:eastAsia="fr-CA"/>
        </w:rPr>
        <w:t xml:space="preserve">may be relevant to the </w:t>
      </w:r>
      <w:r w:rsidR="00816126">
        <w:rPr>
          <w:lang w:val="en-CA" w:eastAsia="fr-CA"/>
        </w:rPr>
        <w:t>issue</w:t>
      </w:r>
      <w:r w:rsidR="00816126" w:rsidRPr="00DC31A9">
        <w:rPr>
          <w:lang w:val="en-CA" w:eastAsia="fr-CA"/>
        </w:rPr>
        <w:t xml:space="preserve"> </w:t>
      </w:r>
      <w:r w:rsidRPr="00DC31A9">
        <w:rPr>
          <w:lang w:val="en-CA" w:eastAsia="fr-CA"/>
        </w:rPr>
        <w:t xml:space="preserve">of intent and may be used to </w:t>
      </w:r>
      <w:r w:rsidR="00CB2164">
        <w:rPr>
          <w:lang w:val="en-CA" w:eastAsia="fr-CA"/>
        </w:rPr>
        <w:t>distinguish</w:t>
      </w:r>
      <w:r w:rsidRPr="00DC31A9">
        <w:rPr>
          <w:lang w:val="en-CA" w:eastAsia="fr-CA"/>
        </w:rPr>
        <w:t xml:space="preserve"> between </w:t>
      </w:r>
      <w:r w:rsidR="00816126">
        <w:rPr>
          <w:lang w:val="en-CA" w:eastAsia="fr-CA"/>
        </w:rPr>
        <w:t>different levels</w:t>
      </w:r>
      <w:r w:rsidRPr="00DC31A9">
        <w:rPr>
          <w:lang w:val="en-CA" w:eastAsia="fr-CA"/>
        </w:rPr>
        <w:t xml:space="preserve"> of culpability</w:t>
      </w:r>
      <w:r w:rsidR="00AF175A">
        <w:rPr>
          <w:lang w:val="en-CA" w:eastAsia="fr-CA"/>
        </w:rPr>
        <w:t>.</w:t>
      </w:r>
      <w:r w:rsidR="00CC7F95" w:rsidRPr="0012581D">
        <w:rPr>
          <w:rStyle w:val="Appelnotedebasdep"/>
          <w:rFonts w:cs="Arial"/>
          <w:lang w:val="en-CA" w:eastAsia="fr-CA"/>
        </w:rPr>
        <w:footnoteReference w:id="47"/>
      </w:r>
    </w:p>
    <w:p w14:paraId="616865E0" w14:textId="1FF58768" w:rsidR="00877773" w:rsidRPr="006C5E09" w:rsidRDefault="006C5E09" w:rsidP="000B6E2B">
      <w:pPr>
        <w:pStyle w:val="Paragraphe"/>
        <w:spacing w:line="240" w:lineRule="auto"/>
        <w:rPr>
          <w:lang w:val="en-CA" w:eastAsia="fr-CA"/>
        </w:rPr>
      </w:pPr>
      <w:r w:rsidRPr="006C5E09">
        <w:rPr>
          <w:lang w:val="en-CA" w:eastAsia="fr-CA"/>
        </w:rPr>
        <w:t xml:space="preserve">As </w:t>
      </w:r>
      <w:r w:rsidR="00CC7F95" w:rsidRPr="006C5E09">
        <w:rPr>
          <w:lang w:val="en-CA" w:eastAsia="fr-CA"/>
        </w:rPr>
        <w:t xml:space="preserve">Martin </w:t>
      </w:r>
      <w:r w:rsidRPr="006C5E09">
        <w:rPr>
          <w:lang w:val="en-CA" w:eastAsia="fr-CA"/>
        </w:rPr>
        <w:t xml:space="preserve">J. </w:t>
      </w:r>
      <w:r w:rsidRPr="00816126">
        <w:rPr>
          <w:lang w:val="en-CA" w:eastAsia="fr-CA"/>
        </w:rPr>
        <w:t>wrote</w:t>
      </w:r>
      <w:r w:rsidR="006F6B50">
        <w:rPr>
          <w:lang w:val="en-CA" w:eastAsia="fr-CA"/>
        </w:rPr>
        <w:t>,</w:t>
      </w:r>
      <w:r w:rsidRPr="00816126">
        <w:rPr>
          <w:lang w:val="en-CA" w:eastAsia="fr-CA"/>
        </w:rPr>
        <w:t xml:space="preserve"> </w:t>
      </w:r>
      <w:r w:rsidRPr="0066627F">
        <w:rPr>
          <w:lang w:val="en-CA" w:eastAsia="fr-CA"/>
        </w:rPr>
        <w:t>“</w:t>
      </w:r>
      <w:r w:rsidR="00CC7F95" w:rsidRPr="0066627F">
        <w:rPr>
          <w:lang w:val="en-CA" w:eastAsia="fr-CA"/>
        </w:rPr>
        <w:t>[</w:t>
      </w:r>
      <w:r w:rsidRPr="0066627F">
        <w:rPr>
          <w:lang w:val="en-CA" w:eastAsia="fr-CA"/>
        </w:rPr>
        <w:t>t</w:t>
      </w:r>
      <w:r w:rsidR="00CC7F95" w:rsidRPr="0066627F">
        <w:rPr>
          <w:lang w:val="en-CA" w:eastAsia="fr-CA"/>
        </w:rPr>
        <w:t>]</w:t>
      </w:r>
      <w:r w:rsidRPr="0066627F">
        <w:rPr>
          <w:color w:val="000000"/>
          <w:lang w:val="en-CA"/>
        </w:rPr>
        <w:t>hat there may be a range of potential inferences does not render the after-the-fact conduct null</w:t>
      </w:r>
      <w:r w:rsidRPr="00816126">
        <w:rPr>
          <w:color w:val="000000"/>
          <w:lang w:val="en-CA"/>
        </w:rPr>
        <w:t>”.</w:t>
      </w:r>
      <w:r w:rsidR="00CC7F95" w:rsidRPr="00816126">
        <w:rPr>
          <w:rStyle w:val="Appelnotedebasdep"/>
          <w:lang w:val="en-CA" w:eastAsia="fr-CA"/>
        </w:rPr>
        <w:footnoteReference w:id="48"/>
      </w:r>
      <w:r>
        <w:rPr>
          <w:color w:val="000000"/>
          <w:lang w:val="en-CA"/>
        </w:rPr>
        <w:t xml:space="preserve"> </w:t>
      </w:r>
      <w:r w:rsidRPr="006C5E09">
        <w:rPr>
          <w:color w:val="000000"/>
          <w:lang w:val="en-CA"/>
        </w:rPr>
        <w:t>However, it will be for the jury to determine which inferences they accept and the weight they ascribe to them.</w:t>
      </w:r>
      <w:r w:rsidR="00CC7F95" w:rsidRPr="006C5E09">
        <w:rPr>
          <w:rStyle w:val="Appelnotedebasdep"/>
          <w:lang w:val="en-CA" w:eastAsia="fr-CA"/>
        </w:rPr>
        <w:footnoteReference w:id="49"/>
      </w:r>
      <w:r w:rsidR="00CC7F95" w:rsidRPr="006C5E09">
        <w:rPr>
          <w:lang w:val="en-CA" w:eastAsia="fr-CA"/>
        </w:rPr>
        <w:t xml:space="preserve"> </w:t>
      </w:r>
      <w:r w:rsidR="00CC7F95" w:rsidRPr="006C5E09">
        <w:rPr>
          <w:i/>
          <w:lang w:val="en-CA" w:eastAsia="fr-CA"/>
        </w:rPr>
        <w:t>Calnen</w:t>
      </w:r>
      <w:r w:rsidR="00CC7F95" w:rsidRPr="006C5E09">
        <w:rPr>
          <w:lang w:val="en-CA" w:eastAsia="fr-CA"/>
        </w:rPr>
        <w:t xml:space="preserve"> </w:t>
      </w:r>
      <w:r>
        <w:rPr>
          <w:lang w:val="en-CA" w:eastAsia="fr-CA"/>
        </w:rPr>
        <w:t xml:space="preserve">thus favours a nuanced analysis of this </w:t>
      </w:r>
      <w:r w:rsidR="006F6B50">
        <w:rPr>
          <w:lang w:val="en-CA" w:eastAsia="fr-CA"/>
        </w:rPr>
        <w:t>issue</w:t>
      </w:r>
      <w:r w:rsidR="00101AA1" w:rsidRPr="006C5E09">
        <w:rPr>
          <w:lang w:val="en-CA" w:eastAsia="fr-CA"/>
        </w:rPr>
        <w:t xml:space="preserve"> </w:t>
      </w:r>
      <w:r w:rsidR="00DF34C1" w:rsidRPr="00DF34C1">
        <w:rPr>
          <w:lang w:val="en-CA" w:eastAsia="fr-CA"/>
        </w:rPr>
        <w:t xml:space="preserve">and establishes that there is no absolute rule that precludes </w:t>
      </w:r>
      <w:r w:rsidR="00DF34C1" w:rsidRPr="00DF34C1">
        <w:rPr>
          <w:lang w:val="en-CA" w:eastAsia="fr-CA"/>
        </w:rPr>
        <w:lastRenderedPageBreak/>
        <w:t>the use of the accused</w:t>
      </w:r>
      <w:r w:rsidR="006F6B50">
        <w:rPr>
          <w:lang w:val="en-CA" w:eastAsia="fr-CA"/>
        </w:rPr>
        <w:t>’</w:t>
      </w:r>
      <w:r w:rsidR="00DF34C1" w:rsidRPr="00DF34C1">
        <w:rPr>
          <w:lang w:val="en-CA" w:eastAsia="fr-CA"/>
        </w:rPr>
        <w:t>s after</w:t>
      </w:r>
      <w:r w:rsidR="00DF34C1">
        <w:rPr>
          <w:lang w:val="en-CA" w:eastAsia="fr-CA"/>
        </w:rPr>
        <w:t>-</w:t>
      </w:r>
      <w:r w:rsidR="00DF34C1" w:rsidRPr="00DF34C1">
        <w:rPr>
          <w:lang w:val="en-CA" w:eastAsia="fr-CA"/>
        </w:rPr>
        <w:t>the</w:t>
      </w:r>
      <w:r w:rsidR="00DF34C1">
        <w:rPr>
          <w:lang w:val="en-CA" w:eastAsia="fr-CA"/>
        </w:rPr>
        <w:t>-</w:t>
      </w:r>
      <w:r w:rsidR="00DF34C1" w:rsidRPr="00DF34C1">
        <w:rPr>
          <w:lang w:val="en-CA" w:eastAsia="fr-CA"/>
        </w:rPr>
        <w:t xml:space="preserve">fact </w:t>
      </w:r>
      <w:r w:rsidR="00DF34C1">
        <w:rPr>
          <w:lang w:val="en-CA" w:eastAsia="fr-CA"/>
        </w:rPr>
        <w:t xml:space="preserve">conduct </w:t>
      </w:r>
      <w:r w:rsidR="00DF34C1" w:rsidRPr="00DF34C1">
        <w:rPr>
          <w:lang w:val="en-CA" w:eastAsia="fr-CA"/>
        </w:rPr>
        <w:t>to determine the accused</w:t>
      </w:r>
      <w:r w:rsidR="001227B5">
        <w:rPr>
          <w:lang w:val="en-CA" w:eastAsia="fr-CA"/>
        </w:rPr>
        <w:t>’</w:t>
      </w:r>
      <w:r w:rsidR="00DF34C1" w:rsidRPr="00DF34C1">
        <w:rPr>
          <w:lang w:val="en-CA" w:eastAsia="fr-CA"/>
        </w:rPr>
        <w:t xml:space="preserve">s intent or to distinguish between </w:t>
      </w:r>
      <w:r w:rsidR="00061317">
        <w:rPr>
          <w:lang w:val="en-CA" w:eastAsia="fr-CA"/>
        </w:rPr>
        <w:t xml:space="preserve">different </w:t>
      </w:r>
      <w:r w:rsidR="00DF34C1">
        <w:rPr>
          <w:lang w:val="en-CA" w:eastAsia="fr-CA"/>
        </w:rPr>
        <w:t>levels of</w:t>
      </w:r>
      <w:r w:rsidR="00DF34C1" w:rsidRPr="00DF34C1">
        <w:rPr>
          <w:lang w:val="en-CA" w:eastAsia="fr-CA"/>
        </w:rPr>
        <w:t xml:space="preserve"> culpability</w:t>
      </w:r>
      <w:r w:rsidR="00DF34C1">
        <w:rPr>
          <w:lang w:val="en-CA" w:eastAsia="fr-CA"/>
        </w:rPr>
        <w:t>.</w:t>
      </w:r>
      <w:r w:rsidR="00877773" w:rsidRPr="006C5E09">
        <w:rPr>
          <w:rStyle w:val="Appelnotedebasdep"/>
          <w:lang w:val="en-CA" w:eastAsia="fr-CA"/>
        </w:rPr>
        <w:footnoteReference w:id="50"/>
      </w:r>
      <w:r w:rsidR="00877773" w:rsidRPr="006C5E09">
        <w:rPr>
          <w:lang w:val="en-CA" w:eastAsia="fr-CA"/>
        </w:rPr>
        <w:t xml:space="preserve"> </w:t>
      </w:r>
      <w:r w:rsidR="00DF34C1">
        <w:rPr>
          <w:lang w:val="en-CA" w:eastAsia="fr-CA"/>
        </w:rPr>
        <w:t xml:space="preserve">It is the </w:t>
      </w:r>
      <w:r w:rsidR="00DA2065">
        <w:rPr>
          <w:lang w:val="en-CA" w:eastAsia="fr-CA"/>
        </w:rPr>
        <w:t xml:space="preserve">overall </w:t>
      </w:r>
      <w:r w:rsidR="00DF34C1">
        <w:rPr>
          <w:lang w:val="en-CA" w:eastAsia="fr-CA"/>
        </w:rPr>
        <w:t xml:space="preserve">picture that </w:t>
      </w:r>
      <w:r w:rsidR="008A4A90">
        <w:rPr>
          <w:lang w:val="en-CA" w:eastAsia="fr-CA"/>
        </w:rPr>
        <w:t>matters</w:t>
      </w:r>
      <w:r w:rsidR="00DF34C1">
        <w:rPr>
          <w:lang w:val="en-CA" w:eastAsia="fr-CA"/>
        </w:rPr>
        <w:t>.</w:t>
      </w:r>
      <w:r w:rsidR="00877773" w:rsidRPr="006C5E09">
        <w:rPr>
          <w:rStyle w:val="Appelnotedebasdep"/>
          <w:lang w:val="en-CA" w:eastAsia="fr-CA"/>
        </w:rPr>
        <w:footnoteReference w:id="51"/>
      </w:r>
    </w:p>
    <w:p w14:paraId="7D19213B" w14:textId="01941BC6" w:rsidR="00877773" w:rsidRPr="006C5E09" w:rsidRDefault="00DF34C1" w:rsidP="000B6E2B">
      <w:pPr>
        <w:pStyle w:val="Paragraphe"/>
        <w:spacing w:line="240" w:lineRule="auto"/>
        <w:rPr>
          <w:lang w:val="en-CA" w:eastAsia="fr-CA"/>
        </w:rPr>
      </w:pPr>
      <w:r w:rsidRPr="00DF34C1">
        <w:rPr>
          <w:lang w:val="en-CA" w:eastAsia="fr-CA"/>
        </w:rPr>
        <w:t xml:space="preserve">Here, only such an assessment would have </w:t>
      </w:r>
      <w:r w:rsidR="005B4CBF">
        <w:rPr>
          <w:lang w:val="en-CA" w:eastAsia="fr-CA"/>
        </w:rPr>
        <w:t>allowed</w:t>
      </w:r>
      <w:r w:rsidRPr="00DF34C1">
        <w:rPr>
          <w:lang w:val="en-CA" w:eastAsia="fr-CA"/>
        </w:rPr>
        <w:t xml:space="preserve"> the jury to adequately consider whether the appellant</w:t>
      </w:r>
      <w:r w:rsidR="005B4CBF">
        <w:rPr>
          <w:lang w:val="en-CA" w:eastAsia="fr-CA"/>
        </w:rPr>
        <w:t>’</w:t>
      </w:r>
      <w:r w:rsidRPr="00DF34C1">
        <w:rPr>
          <w:lang w:val="en-CA" w:eastAsia="fr-CA"/>
        </w:rPr>
        <w:t xml:space="preserve">s </w:t>
      </w:r>
      <w:r w:rsidR="00061317">
        <w:rPr>
          <w:lang w:val="en-CA" w:eastAsia="fr-CA"/>
        </w:rPr>
        <w:t xml:space="preserve">post-homicide </w:t>
      </w:r>
      <w:r w:rsidR="004E603A">
        <w:rPr>
          <w:lang w:val="en-CA" w:eastAsia="fr-CA"/>
        </w:rPr>
        <w:t>conduct</w:t>
      </w:r>
      <w:r w:rsidRPr="00DF34C1">
        <w:rPr>
          <w:lang w:val="en-CA" w:eastAsia="fr-CA"/>
        </w:rPr>
        <w:t xml:space="preserve"> raised a reasonable doubt </w:t>
      </w:r>
      <w:r w:rsidR="005B4CBF">
        <w:rPr>
          <w:lang w:val="en-CA" w:eastAsia="fr-CA"/>
        </w:rPr>
        <w:t>as to</w:t>
      </w:r>
      <w:r w:rsidRPr="00DF34C1">
        <w:rPr>
          <w:lang w:val="en-CA" w:eastAsia="fr-CA"/>
        </w:rPr>
        <w:t xml:space="preserve"> his guilt. The </w:t>
      </w:r>
      <w:r w:rsidR="00061317" w:rsidRPr="00DF34C1">
        <w:rPr>
          <w:lang w:val="en-CA" w:eastAsia="fr-CA"/>
        </w:rPr>
        <w:t>correct</w:t>
      </w:r>
      <w:r w:rsidR="00061317">
        <w:rPr>
          <w:lang w:val="en-CA" w:eastAsia="fr-CA"/>
        </w:rPr>
        <w:t>ive</w:t>
      </w:r>
      <w:r w:rsidR="00061317" w:rsidRPr="00DF34C1">
        <w:rPr>
          <w:lang w:val="en-CA" w:eastAsia="fr-CA"/>
        </w:rPr>
        <w:t xml:space="preserve"> </w:t>
      </w:r>
      <w:r w:rsidRPr="00DF34C1">
        <w:rPr>
          <w:lang w:val="en-CA" w:eastAsia="fr-CA"/>
        </w:rPr>
        <w:t xml:space="preserve">instruction formulated by the judge at the request of the parties explicitly closed the door to such an analysis by </w:t>
      </w:r>
      <w:r w:rsidR="00DA2065">
        <w:rPr>
          <w:lang w:val="en-CA" w:eastAsia="fr-CA"/>
        </w:rPr>
        <w:t>limiting</w:t>
      </w:r>
      <w:r w:rsidR="00DA2065" w:rsidRPr="00DF34C1">
        <w:rPr>
          <w:lang w:val="en-CA" w:eastAsia="fr-CA"/>
        </w:rPr>
        <w:t xml:space="preserve"> </w:t>
      </w:r>
      <w:r w:rsidRPr="00DF34C1">
        <w:rPr>
          <w:lang w:val="en-CA" w:eastAsia="fr-CA"/>
        </w:rPr>
        <w:t xml:space="preserve">the evidence that the jury could consider, such as </w:t>
      </w:r>
      <w:r>
        <w:rPr>
          <w:lang w:val="en-CA" w:eastAsia="fr-CA"/>
        </w:rPr>
        <w:t xml:space="preserve">fleeing </w:t>
      </w:r>
      <w:r w:rsidRPr="00DF34C1">
        <w:rPr>
          <w:lang w:val="en-CA" w:eastAsia="fr-CA"/>
        </w:rPr>
        <w:t xml:space="preserve">the </w:t>
      </w:r>
      <w:r>
        <w:rPr>
          <w:lang w:val="en-CA" w:eastAsia="fr-CA"/>
        </w:rPr>
        <w:t>Maxi</w:t>
      </w:r>
      <w:r w:rsidRPr="00DF34C1">
        <w:rPr>
          <w:lang w:val="en-CA" w:eastAsia="fr-CA"/>
        </w:rPr>
        <w:t xml:space="preserve"> and hiding </w:t>
      </w:r>
      <w:r w:rsidR="00061317">
        <w:rPr>
          <w:lang w:val="en-CA" w:eastAsia="fr-CA"/>
        </w:rPr>
        <w:t>in</w:t>
      </w:r>
      <w:r w:rsidR="00061317" w:rsidRPr="00DF34C1">
        <w:rPr>
          <w:lang w:val="en-CA" w:eastAsia="fr-CA"/>
        </w:rPr>
        <w:t xml:space="preserve"> </w:t>
      </w:r>
      <w:r w:rsidRPr="00DF34C1">
        <w:rPr>
          <w:lang w:val="en-CA" w:eastAsia="fr-CA"/>
        </w:rPr>
        <w:t>the Tim Hortons for seven hours. However, the</w:t>
      </w:r>
      <w:r w:rsidR="00AB3D27">
        <w:rPr>
          <w:lang w:val="en-CA" w:eastAsia="fr-CA"/>
        </w:rPr>
        <w:t xml:space="preserve"> judge had identified the</w:t>
      </w:r>
      <w:r w:rsidRPr="00DF34C1">
        <w:rPr>
          <w:lang w:val="en-CA" w:eastAsia="fr-CA"/>
        </w:rPr>
        <w:t xml:space="preserve">se two elements in her discussions with </w:t>
      </w:r>
      <w:r w:rsidR="00E75BEB">
        <w:rPr>
          <w:lang w:val="en-CA" w:eastAsia="fr-CA"/>
        </w:rPr>
        <w:t xml:space="preserve">counsel </w:t>
      </w:r>
      <w:r w:rsidRPr="00DF34C1">
        <w:rPr>
          <w:lang w:val="en-CA" w:eastAsia="fr-CA"/>
        </w:rPr>
        <w:t xml:space="preserve">on the </w:t>
      </w:r>
      <w:r w:rsidR="00EC3877">
        <w:rPr>
          <w:rFonts w:cs="Arial"/>
          <w:lang w:val="en-CA"/>
        </w:rPr>
        <w:t xml:space="preserve">defence of </w:t>
      </w:r>
      <w:r w:rsidRPr="00DF34C1">
        <w:rPr>
          <w:lang w:val="en-CA" w:eastAsia="fr-CA"/>
        </w:rPr>
        <w:t>mental disorder</w:t>
      </w:r>
      <w:r w:rsidR="00E75BEB">
        <w:rPr>
          <w:lang w:val="en-CA" w:eastAsia="fr-CA"/>
        </w:rPr>
        <w:t xml:space="preserve"> </w:t>
      </w:r>
      <w:r w:rsidRPr="00DF34C1">
        <w:rPr>
          <w:lang w:val="en-CA" w:eastAsia="fr-CA"/>
        </w:rPr>
        <w:t>as supporting an inference that the appellant</w:t>
      </w:r>
      <w:r w:rsidR="00EB78FC">
        <w:rPr>
          <w:lang w:val="en-CA" w:eastAsia="fr-CA"/>
        </w:rPr>
        <w:t>’</w:t>
      </w:r>
      <w:r w:rsidRPr="00DF34C1">
        <w:rPr>
          <w:lang w:val="en-CA" w:eastAsia="fr-CA"/>
        </w:rPr>
        <w:t>s behavio</w:t>
      </w:r>
      <w:r w:rsidR="00B030C7">
        <w:rPr>
          <w:lang w:val="en-CA" w:eastAsia="fr-CA"/>
        </w:rPr>
        <w:t>u</w:t>
      </w:r>
      <w:r w:rsidRPr="00DF34C1">
        <w:rPr>
          <w:lang w:val="en-CA" w:eastAsia="fr-CA"/>
        </w:rPr>
        <w:t>r could be explained by his desire to flee the victim and her friends who were putting his life in danger</w:t>
      </w:r>
      <w:r w:rsidR="00877773" w:rsidRPr="006C5E09">
        <w:rPr>
          <w:lang w:val="en-CA" w:eastAsia="fr-CA"/>
        </w:rPr>
        <w:t>.</w:t>
      </w:r>
    </w:p>
    <w:p w14:paraId="53A26939" w14:textId="7D1845DB" w:rsidR="00F162CC" w:rsidRPr="006C5E09" w:rsidRDefault="00BE2BCE" w:rsidP="000B6E2B">
      <w:pPr>
        <w:pStyle w:val="Paragraphe"/>
        <w:spacing w:line="240" w:lineRule="auto"/>
        <w:rPr>
          <w:rFonts w:cs="Arial"/>
          <w:lang w:val="en-CA" w:eastAsia="fr-CA"/>
        </w:rPr>
      </w:pPr>
      <w:r>
        <w:rPr>
          <w:rFonts w:cs="Arial"/>
          <w:lang w:val="en-CA" w:eastAsia="fr-CA"/>
        </w:rPr>
        <w:t>This</w:t>
      </w:r>
      <w:r w:rsidR="00E75BEB">
        <w:rPr>
          <w:rFonts w:cs="Arial"/>
          <w:lang w:val="en-CA" w:eastAsia="fr-CA"/>
        </w:rPr>
        <w:t xml:space="preserve"> case presented a double challenge</w:t>
      </w:r>
      <w:r w:rsidR="00F162CC" w:rsidRPr="006C5E09">
        <w:rPr>
          <w:rFonts w:cs="Arial"/>
          <w:lang w:val="en-CA" w:eastAsia="fr-CA"/>
        </w:rPr>
        <w:t>.</w:t>
      </w:r>
    </w:p>
    <w:p w14:paraId="18AB82E1" w14:textId="11EE7956" w:rsidR="006E3F27" w:rsidRPr="006C5E09" w:rsidRDefault="00E75BEB" w:rsidP="000B6E2B">
      <w:pPr>
        <w:pStyle w:val="Paragraphe"/>
        <w:spacing w:line="240" w:lineRule="auto"/>
        <w:rPr>
          <w:rFonts w:cs="Arial"/>
          <w:lang w:val="en-CA" w:eastAsia="fr-CA"/>
        </w:rPr>
      </w:pPr>
      <w:r>
        <w:rPr>
          <w:rFonts w:cs="Arial"/>
          <w:lang w:val="en-CA" w:eastAsia="fr-CA"/>
        </w:rPr>
        <w:t>First,</w:t>
      </w:r>
      <w:r w:rsidRPr="00E75BEB">
        <w:rPr>
          <w:rFonts w:cs="Arial"/>
          <w:lang w:val="en-CA" w:eastAsia="fr-CA"/>
        </w:rPr>
        <w:t xml:space="preserve"> the evidence </w:t>
      </w:r>
      <w:r>
        <w:rPr>
          <w:rFonts w:cs="Arial"/>
          <w:lang w:val="en-CA" w:eastAsia="fr-CA"/>
        </w:rPr>
        <w:t>concerning</w:t>
      </w:r>
      <w:r w:rsidRPr="00E75BEB">
        <w:rPr>
          <w:rFonts w:cs="Arial"/>
          <w:lang w:val="en-CA" w:eastAsia="fr-CA"/>
        </w:rPr>
        <w:t xml:space="preserve"> the appellant</w:t>
      </w:r>
      <w:r w:rsidR="00BE2BCE">
        <w:rPr>
          <w:rFonts w:cs="Arial"/>
          <w:lang w:val="en-CA" w:eastAsia="fr-CA"/>
        </w:rPr>
        <w:t>’</w:t>
      </w:r>
      <w:r w:rsidRPr="00E75BEB">
        <w:rPr>
          <w:rFonts w:cs="Arial"/>
          <w:lang w:val="en-CA" w:eastAsia="fr-CA"/>
        </w:rPr>
        <w:t xml:space="preserve">s mental disorder required nuanced </w:t>
      </w:r>
      <w:r>
        <w:rPr>
          <w:rFonts w:cs="Arial"/>
          <w:lang w:val="en-CA" w:eastAsia="fr-CA"/>
        </w:rPr>
        <w:t>instructions</w:t>
      </w:r>
      <w:r w:rsidRPr="00E75BEB">
        <w:rPr>
          <w:rFonts w:cs="Arial"/>
          <w:lang w:val="en-CA" w:eastAsia="fr-CA"/>
        </w:rPr>
        <w:t xml:space="preserve"> on </w:t>
      </w:r>
      <w:r w:rsidR="00B030C7">
        <w:rPr>
          <w:rFonts w:cs="Arial"/>
          <w:lang w:val="en-CA" w:eastAsia="fr-CA"/>
        </w:rPr>
        <w:t>assessing issues</w:t>
      </w:r>
      <w:r w:rsidRPr="00E75BEB">
        <w:rPr>
          <w:rFonts w:cs="Arial"/>
          <w:lang w:val="en-CA" w:eastAsia="fr-CA"/>
        </w:rPr>
        <w:t xml:space="preserve"> where the parties</w:t>
      </w:r>
      <w:r w:rsidR="007D1B78">
        <w:rPr>
          <w:rFonts w:cs="Arial"/>
          <w:lang w:val="en-CA" w:eastAsia="fr-CA"/>
        </w:rPr>
        <w:t>’</w:t>
      </w:r>
      <w:r w:rsidRPr="00E75BEB">
        <w:rPr>
          <w:rFonts w:cs="Arial"/>
          <w:lang w:val="en-CA" w:eastAsia="fr-CA"/>
        </w:rPr>
        <w:t xml:space="preserve"> burden of proof was different: </w:t>
      </w:r>
      <w:r w:rsidR="00AB3D27">
        <w:rPr>
          <w:rFonts w:cs="Arial"/>
          <w:lang w:val="en-CA" w:eastAsia="fr-CA"/>
        </w:rPr>
        <w:t>(</w:t>
      </w:r>
      <w:r w:rsidRPr="00E75BEB">
        <w:rPr>
          <w:rFonts w:cs="Arial"/>
          <w:lang w:val="en-CA" w:eastAsia="fr-CA"/>
        </w:rPr>
        <w:t xml:space="preserve">1) the appellant had the burden </w:t>
      </w:r>
      <w:r w:rsidR="007D1B78">
        <w:rPr>
          <w:rFonts w:cs="Arial"/>
          <w:lang w:val="en-CA" w:eastAsia="fr-CA"/>
        </w:rPr>
        <w:t>of</w:t>
      </w:r>
      <w:r w:rsidRPr="00E75BEB">
        <w:rPr>
          <w:rFonts w:cs="Arial"/>
          <w:lang w:val="en-CA" w:eastAsia="fr-CA"/>
        </w:rPr>
        <w:t xml:space="preserve"> establish</w:t>
      </w:r>
      <w:r w:rsidR="007D1B78">
        <w:rPr>
          <w:rFonts w:cs="Arial"/>
          <w:lang w:val="en-CA" w:eastAsia="fr-CA"/>
        </w:rPr>
        <w:t>ing on a balance of probabilities</w:t>
      </w:r>
      <w:r>
        <w:rPr>
          <w:rFonts w:cs="Arial"/>
          <w:lang w:val="en-CA" w:eastAsia="fr-CA"/>
        </w:rPr>
        <w:t xml:space="preserve"> </w:t>
      </w:r>
      <w:r w:rsidRPr="00E75BEB">
        <w:rPr>
          <w:rFonts w:cs="Arial"/>
          <w:lang w:val="en-CA" w:eastAsia="fr-CA"/>
        </w:rPr>
        <w:t>that his mental disorder prevented him from knowing that the act</w:t>
      </w:r>
      <w:r>
        <w:rPr>
          <w:rFonts w:cs="Arial"/>
          <w:lang w:val="en-CA" w:eastAsia="fr-CA"/>
        </w:rPr>
        <w:t>s</w:t>
      </w:r>
      <w:r w:rsidRPr="00E75BEB">
        <w:rPr>
          <w:rFonts w:cs="Arial"/>
          <w:lang w:val="en-CA" w:eastAsia="fr-CA"/>
        </w:rPr>
        <w:t xml:space="preserve"> he had </w:t>
      </w:r>
      <w:r>
        <w:rPr>
          <w:rFonts w:cs="Arial"/>
          <w:lang w:val="en-CA" w:eastAsia="fr-CA"/>
        </w:rPr>
        <w:t>committed</w:t>
      </w:r>
      <w:r w:rsidRPr="00E75BEB">
        <w:rPr>
          <w:rFonts w:cs="Arial"/>
          <w:lang w:val="en-CA" w:eastAsia="fr-CA"/>
        </w:rPr>
        <w:t xml:space="preserve"> were wrong; </w:t>
      </w:r>
      <w:r w:rsidR="00AB3D27">
        <w:rPr>
          <w:rFonts w:cs="Arial"/>
          <w:lang w:val="en-CA" w:eastAsia="fr-CA"/>
        </w:rPr>
        <w:t>(</w:t>
      </w:r>
      <w:r w:rsidRPr="00E75BEB">
        <w:rPr>
          <w:rFonts w:cs="Arial"/>
          <w:lang w:val="en-CA" w:eastAsia="fr-CA"/>
        </w:rPr>
        <w:t xml:space="preserve">2) the </w:t>
      </w:r>
      <w:r>
        <w:rPr>
          <w:rFonts w:cs="Arial"/>
          <w:lang w:val="en-CA" w:eastAsia="fr-CA"/>
        </w:rPr>
        <w:t>Crown</w:t>
      </w:r>
      <w:r w:rsidRPr="00E75BEB">
        <w:rPr>
          <w:rFonts w:cs="Arial"/>
          <w:lang w:val="en-CA" w:eastAsia="fr-CA"/>
        </w:rPr>
        <w:t xml:space="preserve"> had to establish beyond </w:t>
      </w:r>
      <w:r w:rsidR="00CB4470">
        <w:rPr>
          <w:rFonts w:cs="Arial"/>
          <w:lang w:val="en-CA" w:eastAsia="fr-CA"/>
        </w:rPr>
        <w:t>a reasonable doubt</w:t>
      </w:r>
      <w:r w:rsidRPr="00E75BEB">
        <w:rPr>
          <w:rFonts w:cs="Arial"/>
          <w:lang w:val="en-CA" w:eastAsia="fr-CA"/>
        </w:rPr>
        <w:t xml:space="preserve"> that the appellant</w:t>
      </w:r>
      <w:r w:rsidR="007D1B78">
        <w:rPr>
          <w:rFonts w:cs="Arial"/>
          <w:lang w:val="en-CA" w:eastAsia="fr-CA"/>
        </w:rPr>
        <w:t>’</w:t>
      </w:r>
      <w:r w:rsidRPr="00E75BEB">
        <w:rPr>
          <w:rFonts w:cs="Arial"/>
          <w:lang w:val="en-CA" w:eastAsia="fr-CA"/>
        </w:rPr>
        <w:t xml:space="preserve">s mental disorder did not raise </w:t>
      </w:r>
      <w:r w:rsidR="00B030C7">
        <w:rPr>
          <w:rFonts w:cs="Arial"/>
          <w:lang w:val="en-CA" w:eastAsia="fr-CA"/>
        </w:rPr>
        <w:t xml:space="preserve">a </w:t>
      </w:r>
      <w:r w:rsidRPr="00E75BEB">
        <w:rPr>
          <w:rFonts w:cs="Arial"/>
          <w:lang w:val="en-CA" w:eastAsia="fr-CA"/>
        </w:rPr>
        <w:t>reasonable doubt as to his intent to kill the victim or the p</w:t>
      </w:r>
      <w:r>
        <w:rPr>
          <w:rFonts w:cs="Arial"/>
          <w:lang w:val="en-CA" w:eastAsia="fr-CA"/>
        </w:rPr>
        <w:t>lanned</w:t>
      </w:r>
      <w:r w:rsidRPr="00E75BEB">
        <w:rPr>
          <w:rFonts w:cs="Arial"/>
          <w:lang w:val="en-CA" w:eastAsia="fr-CA"/>
        </w:rPr>
        <w:t xml:space="preserve"> and deliberate nature of the murder</w:t>
      </w:r>
      <w:r w:rsidR="006E3F27" w:rsidRPr="006C5E09">
        <w:rPr>
          <w:rFonts w:cs="Arial"/>
          <w:lang w:val="en-CA" w:eastAsia="fr-CA"/>
        </w:rPr>
        <w:t>.</w:t>
      </w:r>
    </w:p>
    <w:p w14:paraId="06C8BD0C" w14:textId="27F44F7E" w:rsidR="006E3F27" w:rsidRPr="006C5E09" w:rsidRDefault="00CB4470" w:rsidP="000B6E2B">
      <w:pPr>
        <w:pStyle w:val="Paragraphe"/>
        <w:spacing w:line="240" w:lineRule="auto"/>
        <w:rPr>
          <w:rFonts w:cs="Arial"/>
          <w:lang w:val="en-CA" w:eastAsia="fr-CA"/>
        </w:rPr>
      </w:pPr>
      <w:r>
        <w:rPr>
          <w:rFonts w:cs="Arial"/>
          <w:lang w:val="en-CA" w:eastAsia="fr-CA"/>
        </w:rPr>
        <w:t>Second</w:t>
      </w:r>
      <w:r w:rsidRPr="00CB4470">
        <w:rPr>
          <w:rFonts w:cs="Arial"/>
          <w:lang w:val="en-CA" w:eastAsia="fr-CA"/>
        </w:rPr>
        <w:t xml:space="preserve">, the </w:t>
      </w:r>
      <w:r>
        <w:rPr>
          <w:rFonts w:cs="Arial"/>
          <w:lang w:val="en-CA" w:eastAsia="fr-CA"/>
        </w:rPr>
        <w:t>instructions</w:t>
      </w:r>
      <w:r w:rsidRPr="00CB4470">
        <w:rPr>
          <w:rFonts w:cs="Arial"/>
          <w:lang w:val="en-CA" w:eastAsia="fr-CA"/>
        </w:rPr>
        <w:t xml:space="preserve"> concerning the appellant</w:t>
      </w:r>
      <w:r w:rsidR="007D1B78">
        <w:rPr>
          <w:rFonts w:cs="Arial"/>
          <w:lang w:val="en-CA" w:eastAsia="fr-CA"/>
        </w:rPr>
        <w:t>’</w:t>
      </w:r>
      <w:r w:rsidRPr="00CB4470">
        <w:rPr>
          <w:rFonts w:cs="Arial"/>
          <w:lang w:val="en-CA" w:eastAsia="fr-CA"/>
        </w:rPr>
        <w:t xml:space="preserve">s </w:t>
      </w:r>
      <w:r w:rsidR="00AB3D27">
        <w:rPr>
          <w:rFonts w:cs="Arial"/>
          <w:lang w:val="en-CA" w:eastAsia="fr-CA"/>
        </w:rPr>
        <w:t xml:space="preserve">post-homicide </w:t>
      </w:r>
      <w:r w:rsidR="004E603A">
        <w:rPr>
          <w:rFonts w:cs="Arial"/>
          <w:lang w:val="en-CA" w:eastAsia="fr-CA"/>
        </w:rPr>
        <w:t>conduct</w:t>
      </w:r>
      <w:r w:rsidRPr="00CB4470">
        <w:rPr>
          <w:rFonts w:cs="Arial"/>
          <w:lang w:val="en-CA" w:eastAsia="fr-CA"/>
        </w:rPr>
        <w:t xml:space="preserve"> also had to make the </w:t>
      </w:r>
      <w:r>
        <w:rPr>
          <w:rFonts w:cs="Arial"/>
          <w:lang w:val="en-CA" w:eastAsia="fr-CA"/>
        </w:rPr>
        <w:t xml:space="preserve">necessary </w:t>
      </w:r>
      <w:r w:rsidRPr="00CB4470">
        <w:rPr>
          <w:rFonts w:cs="Arial"/>
          <w:lang w:val="en-CA" w:eastAsia="fr-CA"/>
        </w:rPr>
        <w:t xml:space="preserve">nuances in this context, in particular </w:t>
      </w:r>
      <w:r>
        <w:rPr>
          <w:rFonts w:cs="Arial"/>
          <w:lang w:val="en-CA" w:eastAsia="fr-CA"/>
        </w:rPr>
        <w:t>because</w:t>
      </w:r>
      <w:r w:rsidRPr="00CB4470">
        <w:rPr>
          <w:rFonts w:cs="Arial"/>
          <w:lang w:val="en-CA" w:eastAsia="fr-CA"/>
        </w:rPr>
        <w:t xml:space="preserve"> fl</w:t>
      </w:r>
      <w:r w:rsidR="008A6C92">
        <w:rPr>
          <w:rFonts w:cs="Arial"/>
          <w:lang w:val="en-CA" w:eastAsia="fr-CA"/>
        </w:rPr>
        <w:t>eeing</w:t>
      </w:r>
      <w:r w:rsidRPr="00CB4470">
        <w:rPr>
          <w:rFonts w:cs="Arial"/>
          <w:lang w:val="en-CA" w:eastAsia="fr-CA"/>
        </w:rPr>
        <w:t xml:space="preserve"> and </w:t>
      </w:r>
      <w:r w:rsidR="0007447F">
        <w:rPr>
          <w:rFonts w:cs="Arial"/>
          <w:lang w:val="en-CA" w:eastAsia="fr-CA"/>
        </w:rPr>
        <w:t>hiding</w:t>
      </w:r>
      <w:r w:rsidRPr="00CB4470">
        <w:rPr>
          <w:rFonts w:cs="Arial"/>
          <w:lang w:val="en-CA" w:eastAsia="fr-CA"/>
        </w:rPr>
        <w:t xml:space="preserve"> </w:t>
      </w:r>
      <w:r w:rsidR="0007447F">
        <w:rPr>
          <w:rFonts w:cs="Arial"/>
          <w:lang w:val="en-CA" w:eastAsia="fr-CA"/>
        </w:rPr>
        <w:t>in</w:t>
      </w:r>
      <w:r w:rsidR="0007447F" w:rsidRPr="00CB4470">
        <w:rPr>
          <w:rFonts w:cs="Arial"/>
          <w:lang w:val="en-CA" w:eastAsia="fr-CA"/>
        </w:rPr>
        <w:t xml:space="preserve"> </w:t>
      </w:r>
      <w:r>
        <w:rPr>
          <w:rFonts w:cs="Arial"/>
          <w:lang w:val="en-CA" w:eastAsia="fr-CA"/>
        </w:rPr>
        <w:t xml:space="preserve">the </w:t>
      </w:r>
      <w:r w:rsidRPr="00CB4470">
        <w:rPr>
          <w:rFonts w:cs="Arial"/>
          <w:lang w:val="en-CA" w:eastAsia="fr-CA"/>
        </w:rPr>
        <w:t xml:space="preserve">Tim Hortons </w:t>
      </w:r>
      <w:r w:rsidR="007D1B78" w:rsidRPr="00CB4470">
        <w:rPr>
          <w:rFonts w:cs="Arial"/>
          <w:lang w:val="en-CA" w:eastAsia="fr-CA"/>
        </w:rPr>
        <w:t xml:space="preserve">for </w:t>
      </w:r>
      <w:r w:rsidR="007D1B78">
        <w:rPr>
          <w:rFonts w:cs="Arial"/>
          <w:lang w:val="en-CA" w:eastAsia="fr-CA"/>
        </w:rPr>
        <w:t>over</w:t>
      </w:r>
      <w:r w:rsidR="007D1B78" w:rsidRPr="00CB4470">
        <w:rPr>
          <w:rFonts w:cs="Arial"/>
          <w:lang w:val="en-CA" w:eastAsia="fr-CA"/>
        </w:rPr>
        <w:t xml:space="preserve"> seven hours </w:t>
      </w:r>
      <w:r w:rsidRPr="00CB4470">
        <w:rPr>
          <w:rFonts w:cs="Arial"/>
          <w:lang w:val="en-CA" w:eastAsia="fr-CA"/>
        </w:rPr>
        <w:t>could be interpreted in light of his delusional thoughts</w:t>
      </w:r>
      <w:r w:rsidR="00706133" w:rsidRPr="006C5E09">
        <w:rPr>
          <w:rFonts w:cs="Arial"/>
          <w:lang w:val="en-CA" w:eastAsia="fr-CA"/>
        </w:rPr>
        <w:t>.</w:t>
      </w:r>
    </w:p>
    <w:p w14:paraId="31095091" w14:textId="0F946C22" w:rsidR="00C0100F" w:rsidRPr="006C5E09" w:rsidRDefault="00773653" w:rsidP="000B6E2B">
      <w:pPr>
        <w:pStyle w:val="Paragraphe"/>
        <w:spacing w:line="240" w:lineRule="auto"/>
        <w:rPr>
          <w:lang w:val="en-CA" w:eastAsia="fr-CA"/>
        </w:rPr>
      </w:pPr>
      <w:r>
        <w:rPr>
          <w:lang w:val="en-CA" w:eastAsia="fr-CA"/>
        </w:rPr>
        <w:t>Because</w:t>
      </w:r>
      <w:r w:rsidR="004D3704" w:rsidRPr="004D3704">
        <w:rPr>
          <w:lang w:val="en-CA" w:eastAsia="fr-CA"/>
        </w:rPr>
        <w:t xml:space="preserve"> the jury had to consider any other possible explanation </w:t>
      </w:r>
      <w:r w:rsidR="00A769ED">
        <w:rPr>
          <w:lang w:val="en-CA" w:eastAsia="fr-CA"/>
        </w:rPr>
        <w:t>for</w:t>
      </w:r>
      <w:r w:rsidR="004D3704" w:rsidRPr="004D3704">
        <w:rPr>
          <w:lang w:val="en-CA" w:eastAsia="fr-CA"/>
        </w:rPr>
        <w:t xml:space="preserve"> the appellant</w:t>
      </w:r>
      <w:r>
        <w:rPr>
          <w:lang w:val="en-CA" w:eastAsia="fr-CA"/>
        </w:rPr>
        <w:t>’</w:t>
      </w:r>
      <w:r w:rsidR="004D3704" w:rsidRPr="004D3704">
        <w:rPr>
          <w:lang w:val="en-CA" w:eastAsia="fr-CA"/>
        </w:rPr>
        <w:t xml:space="preserve">s </w:t>
      </w:r>
      <w:r w:rsidR="0007447F">
        <w:rPr>
          <w:lang w:val="en-CA" w:eastAsia="fr-CA"/>
        </w:rPr>
        <w:t xml:space="preserve">post-homicide </w:t>
      </w:r>
      <w:r w:rsidR="004E603A">
        <w:rPr>
          <w:lang w:val="en-CA" w:eastAsia="fr-CA"/>
        </w:rPr>
        <w:t>conduct</w:t>
      </w:r>
      <w:r w:rsidR="004D3704" w:rsidRPr="004D3704">
        <w:rPr>
          <w:lang w:val="en-CA" w:eastAsia="fr-CA"/>
        </w:rPr>
        <w:t xml:space="preserve"> at all stages of its deliberations (</w:t>
      </w:r>
      <w:r w:rsidR="00EC3877">
        <w:rPr>
          <w:rFonts w:cs="Arial"/>
          <w:lang w:val="en-CA"/>
        </w:rPr>
        <w:t xml:space="preserve">defence of </w:t>
      </w:r>
      <w:r w:rsidR="004D3704" w:rsidRPr="004D3704">
        <w:rPr>
          <w:lang w:val="en-CA" w:eastAsia="fr-CA"/>
        </w:rPr>
        <w:t>mental disorder, second degree murder</w:t>
      </w:r>
      <w:r w:rsidR="00EC3877">
        <w:rPr>
          <w:lang w:val="en-CA" w:eastAsia="fr-CA"/>
        </w:rPr>
        <w:t>,</w:t>
      </w:r>
      <w:r w:rsidR="004D3704" w:rsidRPr="004D3704">
        <w:rPr>
          <w:lang w:val="en-CA" w:eastAsia="fr-CA"/>
        </w:rPr>
        <w:t xml:space="preserve"> and first degree murder), this assessment could not be carried out in a </w:t>
      </w:r>
      <w:r w:rsidR="004D3704">
        <w:rPr>
          <w:lang w:val="en-CA" w:eastAsia="fr-CA"/>
        </w:rPr>
        <w:t>piecemeal</w:t>
      </w:r>
      <w:r w:rsidR="004D3704" w:rsidRPr="004D3704">
        <w:rPr>
          <w:lang w:val="en-CA" w:eastAsia="fr-CA"/>
        </w:rPr>
        <w:t xml:space="preserve"> manner by isolating certain evidence</w:t>
      </w:r>
      <w:r w:rsidR="008C7C6B">
        <w:rPr>
          <w:lang w:val="en-CA" w:eastAsia="fr-CA"/>
        </w:rPr>
        <w:t>,</w:t>
      </w:r>
      <w:r w:rsidR="004D3704" w:rsidRPr="004D3704">
        <w:rPr>
          <w:lang w:val="en-CA" w:eastAsia="fr-CA"/>
        </w:rPr>
        <w:t xml:space="preserve"> such as </w:t>
      </w:r>
      <w:r w:rsidR="004D3704">
        <w:rPr>
          <w:lang w:val="en-CA" w:eastAsia="fr-CA"/>
        </w:rPr>
        <w:t>the</w:t>
      </w:r>
      <w:r w:rsidR="004D3704" w:rsidRPr="004D3704">
        <w:rPr>
          <w:lang w:val="en-CA" w:eastAsia="fr-CA"/>
        </w:rPr>
        <w:t xml:space="preserve"> change of clothes. A </w:t>
      </w:r>
      <w:r w:rsidR="004D3704">
        <w:rPr>
          <w:lang w:val="en-CA" w:eastAsia="fr-CA"/>
        </w:rPr>
        <w:t>comprehensive</w:t>
      </w:r>
      <w:r w:rsidR="004D3704" w:rsidRPr="004D3704">
        <w:rPr>
          <w:lang w:val="en-CA" w:eastAsia="fr-CA"/>
        </w:rPr>
        <w:t xml:space="preserve"> approach to </w:t>
      </w:r>
      <w:r w:rsidR="004D3704">
        <w:rPr>
          <w:lang w:val="en-CA" w:eastAsia="fr-CA"/>
        </w:rPr>
        <w:t>assessing</w:t>
      </w:r>
      <w:r w:rsidR="004D3704" w:rsidRPr="004D3704">
        <w:rPr>
          <w:lang w:val="en-CA" w:eastAsia="fr-CA"/>
        </w:rPr>
        <w:t xml:space="preserve"> such evidence could have </w:t>
      </w:r>
      <w:r w:rsidR="00055956">
        <w:rPr>
          <w:lang w:val="en-CA" w:eastAsia="fr-CA"/>
        </w:rPr>
        <w:t>assisted</w:t>
      </w:r>
      <w:r w:rsidR="004D3704" w:rsidRPr="004D3704">
        <w:rPr>
          <w:lang w:val="en-CA" w:eastAsia="fr-CA"/>
        </w:rPr>
        <w:t xml:space="preserve"> the jury </w:t>
      </w:r>
      <w:r w:rsidR="00055956">
        <w:rPr>
          <w:lang w:val="en-CA" w:eastAsia="fr-CA"/>
        </w:rPr>
        <w:t>in</w:t>
      </w:r>
      <w:r w:rsidR="004D3704">
        <w:rPr>
          <w:lang w:val="en-CA" w:eastAsia="fr-CA"/>
        </w:rPr>
        <w:t xml:space="preserve"> </w:t>
      </w:r>
      <w:r w:rsidR="004D3704" w:rsidRPr="004D3704">
        <w:rPr>
          <w:lang w:val="en-CA" w:eastAsia="fr-CA"/>
        </w:rPr>
        <w:t>determin</w:t>
      </w:r>
      <w:r w:rsidR="00055956">
        <w:rPr>
          <w:lang w:val="en-CA" w:eastAsia="fr-CA"/>
        </w:rPr>
        <w:t>ing</w:t>
      </w:r>
      <w:r w:rsidR="004D3704" w:rsidRPr="004D3704">
        <w:rPr>
          <w:lang w:val="en-CA" w:eastAsia="fr-CA"/>
        </w:rPr>
        <w:t xml:space="preserve"> whether </w:t>
      </w:r>
      <w:r w:rsidR="00055956">
        <w:rPr>
          <w:lang w:val="en-CA" w:eastAsia="fr-CA"/>
        </w:rPr>
        <w:t xml:space="preserve">a </w:t>
      </w:r>
      <w:r w:rsidR="00973A09">
        <w:rPr>
          <w:lang w:val="en-CA" w:eastAsia="fr-CA"/>
        </w:rPr>
        <w:t xml:space="preserve">reasonable doubt </w:t>
      </w:r>
      <w:r w:rsidR="00055956">
        <w:rPr>
          <w:lang w:val="en-CA" w:eastAsia="fr-CA"/>
        </w:rPr>
        <w:t xml:space="preserve">existed </w:t>
      </w:r>
      <w:r w:rsidR="00973A09">
        <w:rPr>
          <w:lang w:val="en-CA" w:eastAsia="fr-CA"/>
        </w:rPr>
        <w:t xml:space="preserve">with respect to </w:t>
      </w:r>
      <w:r w:rsidR="004D3704" w:rsidRPr="004D3704">
        <w:rPr>
          <w:lang w:val="en-CA" w:eastAsia="fr-CA"/>
        </w:rPr>
        <w:t>the accused</w:t>
      </w:r>
      <w:r w:rsidR="0095707B">
        <w:rPr>
          <w:lang w:val="en-CA" w:eastAsia="fr-CA"/>
        </w:rPr>
        <w:t>’</w:t>
      </w:r>
      <w:r w:rsidR="004D3704" w:rsidRPr="004D3704">
        <w:rPr>
          <w:lang w:val="en-CA" w:eastAsia="fr-CA"/>
        </w:rPr>
        <w:t>s guilt.</w:t>
      </w:r>
      <w:r w:rsidR="00037945" w:rsidRPr="006C5E09">
        <w:rPr>
          <w:rStyle w:val="Appelnotedebasdep"/>
          <w:lang w:val="en-CA" w:eastAsia="fr-CA"/>
        </w:rPr>
        <w:footnoteReference w:id="52"/>
      </w:r>
    </w:p>
    <w:p w14:paraId="105EEC55" w14:textId="4E684340" w:rsidR="00DF2CD7" w:rsidRPr="006C5E09" w:rsidRDefault="00A21E63" w:rsidP="000B6E2B">
      <w:pPr>
        <w:pStyle w:val="Paragraphe"/>
        <w:spacing w:line="240" w:lineRule="auto"/>
        <w:rPr>
          <w:lang w:val="en-CA" w:eastAsia="fr-CA"/>
        </w:rPr>
      </w:pPr>
      <w:r w:rsidRPr="00495136">
        <w:rPr>
          <w:lang w:val="en-CA" w:eastAsia="fr-CA"/>
        </w:rPr>
        <w:t>Furthermore</w:t>
      </w:r>
      <w:r w:rsidRPr="00A21E63">
        <w:rPr>
          <w:lang w:val="en-CA" w:eastAsia="fr-CA"/>
        </w:rPr>
        <w:t>, the agreement of the appellant</w:t>
      </w:r>
      <w:r w:rsidR="00495136">
        <w:rPr>
          <w:lang w:val="en-CA" w:eastAsia="fr-CA"/>
        </w:rPr>
        <w:t>’</w:t>
      </w:r>
      <w:r w:rsidRPr="00A21E63">
        <w:rPr>
          <w:lang w:val="en-CA" w:eastAsia="fr-CA"/>
        </w:rPr>
        <w:t xml:space="preserve">s </w:t>
      </w:r>
      <w:r>
        <w:rPr>
          <w:lang w:val="en-CA" w:eastAsia="fr-CA"/>
        </w:rPr>
        <w:t>counsel</w:t>
      </w:r>
      <w:r w:rsidRPr="00A21E63">
        <w:rPr>
          <w:lang w:val="en-CA" w:eastAsia="fr-CA"/>
        </w:rPr>
        <w:t xml:space="preserve"> with the correction made by the judge is not decisive</w:t>
      </w:r>
      <w:r>
        <w:rPr>
          <w:lang w:val="en-CA" w:eastAsia="fr-CA"/>
        </w:rPr>
        <w:t>,</w:t>
      </w:r>
      <w:r w:rsidR="006F7890" w:rsidRPr="006C5E09">
        <w:rPr>
          <w:rStyle w:val="Appelnotedebasdep"/>
          <w:lang w:val="en-CA" w:eastAsia="fr-CA"/>
        </w:rPr>
        <w:footnoteReference w:id="53"/>
      </w:r>
      <w:r w:rsidR="00BD455B" w:rsidRPr="006C5E09">
        <w:rPr>
          <w:lang w:val="en-CA" w:eastAsia="fr-CA"/>
        </w:rPr>
        <w:t xml:space="preserve"> </w:t>
      </w:r>
      <w:r w:rsidRPr="00A21E63">
        <w:rPr>
          <w:lang w:val="en-CA" w:eastAsia="fr-CA"/>
        </w:rPr>
        <w:t xml:space="preserve">because it was up to the trial judge to give instructions </w:t>
      </w:r>
      <w:r w:rsidRPr="00A21E63">
        <w:rPr>
          <w:lang w:val="en-CA" w:eastAsia="fr-CA"/>
        </w:rPr>
        <w:lastRenderedPageBreak/>
        <w:t>consistent with the law</w:t>
      </w:r>
      <w:r>
        <w:rPr>
          <w:lang w:val="en-CA" w:eastAsia="fr-CA"/>
        </w:rPr>
        <w:t>.</w:t>
      </w:r>
      <w:r w:rsidR="00BD455B" w:rsidRPr="006C5E09">
        <w:rPr>
          <w:rStyle w:val="Appelnotedebasdep"/>
          <w:lang w:val="en-CA" w:eastAsia="fr-CA"/>
        </w:rPr>
        <w:footnoteReference w:id="54"/>
      </w:r>
      <w:r w:rsidR="006F7890" w:rsidRPr="006C5E09">
        <w:rPr>
          <w:lang w:val="en-CA" w:eastAsia="fr-CA"/>
        </w:rPr>
        <w:t xml:space="preserve"> </w:t>
      </w:r>
      <w:r w:rsidR="0007447F">
        <w:rPr>
          <w:lang w:val="en-CA" w:eastAsia="fr-CA"/>
        </w:rPr>
        <w:t xml:space="preserve">In an attempt </w:t>
      </w:r>
      <w:r w:rsidRPr="00A21E63">
        <w:rPr>
          <w:lang w:val="en-CA" w:eastAsia="fr-CA"/>
        </w:rPr>
        <w:t>to counter the risk associated with the evidence of the appellant</w:t>
      </w:r>
      <w:r w:rsidR="00495136">
        <w:rPr>
          <w:lang w:val="en-CA" w:eastAsia="fr-CA"/>
        </w:rPr>
        <w:t>’</w:t>
      </w:r>
      <w:r w:rsidRPr="00A21E63">
        <w:rPr>
          <w:lang w:val="en-CA" w:eastAsia="fr-CA"/>
        </w:rPr>
        <w:t xml:space="preserve">s </w:t>
      </w:r>
      <w:r w:rsidR="0007447F">
        <w:rPr>
          <w:lang w:val="en-CA" w:eastAsia="fr-CA"/>
        </w:rPr>
        <w:t xml:space="preserve">post-homicide </w:t>
      </w:r>
      <w:r w:rsidR="004E603A">
        <w:rPr>
          <w:lang w:val="en-CA" w:eastAsia="fr-CA"/>
        </w:rPr>
        <w:t>conduct</w:t>
      </w:r>
      <w:r w:rsidRPr="00A21E63">
        <w:rPr>
          <w:lang w:val="en-CA" w:eastAsia="fr-CA"/>
        </w:rPr>
        <w:t xml:space="preserve">, </w:t>
      </w:r>
      <w:r w:rsidR="00A769ED">
        <w:rPr>
          <w:lang w:val="en-CA" w:eastAsia="fr-CA"/>
        </w:rPr>
        <w:t xml:space="preserve">the </w:t>
      </w:r>
      <w:r w:rsidRPr="00A21E63">
        <w:rPr>
          <w:lang w:val="en-CA" w:eastAsia="fr-CA"/>
        </w:rPr>
        <w:t>appellant</w:t>
      </w:r>
      <w:r w:rsidR="0044460D">
        <w:rPr>
          <w:lang w:val="en-CA" w:eastAsia="fr-CA"/>
        </w:rPr>
        <w:t>’</w:t>
      </w:r>
      <w:r w:rsidRPr="00A21E63">
        <w:rPr>
          <w:lang w:val="en-CA" w:eastAsia="fr-CA"/>
        </w:rPr>
        <w:t xml:space="preserve">s </w:t>
      </w:r>
      <w:r>
        <w:rPr>
          <w:lang w:val="en-CA" w:eastAsia="fr-CA"/>
        </w:rPr>
        <w:t>counsel</w:t>
      </w:r>
      <w:r w:rsidRPr="00A21E63">
        <w:rPr>
          <w:lang w:val="en-CA" w:eastAsia="fr-CA"/>
        </w:rPr>
        <w:t xml:space="preserve"> requested a</w:t>
      </w:r>
      <w:r>
        <w:rPr>
          <w:lang w:val="en-CA" w:eastAsia="fr-CA"/>
        </w:rPr>
        <w:t>n instruction</w:t>
      </w:r>
      <w:r w:rsidRPr="00A21E63">
        <w:rPr>
          <w:lang w:val="en-CA" w:eastAsia="fr-CA"/>
        </w:rPr>
        <w:t xml:space="preserve"> </w:t>
      </w:r>
      <w:r w:rsidR="000D688D">
        <w:rPr>
          <w:lang w:val="en-CA" w:eastAsia="fr-CA"/>
        </w:rPr>
        <w:t>that</w:t>
      </w:r>
      <w:r w:rsidRPr="00A21E63">
        <w:rPr>
          <w:lang w:val="en-CA" w:eastAsia="fr-CA"/>
        </w:rPr>
        <w:t xml:space="preserve"> this evidence had no probative value without</w:t>
      </w:r>
      <w:r w:rsidR="0044460D">
        <w:rPr>
          <w:lang w:val="en-CA" w:eastAsia="fr-CA"/>
        </w:rPr>
        <w:t xml:space="preserve"> </w:t>
      </w:r>
      <w:r w:rsidRPr="00A21E63">
        <w:rPr>
          <w:lang w:val="en-CA" w:eastAsia="fr-CA"/>
        </w:rPr>
        <w:t>fully realizing</w:t>
      </w:r>
      <w:r w:rsidR="0044460D">
        <w:rPr>
          <w:lang w:val="en-CA" w:eastAsia="fr-CA"/>
        </w:rPr>
        <w:t>,</w:t>
      </w:r>
      <w:r w:rsidR="0044460D" w:rsidRPr="00A21E63">
        <w:rPr>
          <w:lang w:val="en-CA" w:eastAsia="fr-CA"/>
        </w:rPr>
        <w:t xml:space="preserve"> however</w:t>
      </w:r>
      <w:r w:rsidR="0044460D">
        <w:rPr>
          <w:lang w:val="en-CA" w:eastAsia="fr-CA"/>
        </w:rPr>
        <w:t>,</w:t>
      </w:r>
      <w:r w:rsidR="0044460D" w:rsidRPr="00A21E63">
        <w:rPr>
          <w:lang w:val="en-CA" w:eastAsia="fr-CA"/>
        </w:rPr>
        <w:t xml:space="preserve"> </w:t>
      </w:r>
      <w:r w:rsidRPr="00A21E63">
        <w:rPr>
          <w:lang w:val="en-CA" w:eastAsia="fr-CA"/>
        </w:rPr>
        <w:t xml:space="preserve">that </w:t>
      </w:r>
      <w:r>
        <w:rPr>
          <w:lang w:val="en-CA" w:eastAsia="fr-CA"/>
        </w:rPr>
        <w:t>because of</w:t>
      </w:r>
      <w:r w:rsidRPr="00A21E63">
        <w:rPr>
          <w:lang w:val="en-CA" w:eastAsia="fr-CA"/>
        </w:rPr>
        <w:t xml:space="preserve"> this </w:t>
      </w:r>
      <w:r>
        <w:rPr>
          <w:lang w:val="en-CA" w:eastAsia="fr-CA"/>
        </w:rPr>
        <w:t>instruction</w:t>
      </w:r>
      <w:r w:rsidR="00D7618B">
        <w:rPr>
          <w:lang w:val="en-CA" w:eastAsia="fr-CA"/>
        </w:rPr>
        <w:t>,</w:t>
      </w:r>
      <w:r w:rsidR="000D688D">
        <w:rPr>
          <w:lang w:val="en-CA" w:eastAsia="fr-CA"/>
        </w:rPr>
        <w:t xml:space="preserve"> the jury could no longer consider</w:t>
      </w:r>
      <w:r w:rsidR="000D688D" w:rsidRPr="00A21E63">
        <w:rPr>
          <w:lang w:val="en-CA" w:eastAsia="fr-CA"/>
        </w:rPr>
        <w:t xml:space="preserve"> </w:t>
      </w:r>
      <w:r w:rsidRPr="00A21E63">
        <w:rPr>
          <w:lang w:val="en-CA" w:eastAsia="fr-CA"/>
        </w:rPr>
        <w:t xml:space="preserve">several elements of this evidence </w:t>
      </w:r>
      <w:r>
        <w:rPr>
          <w:lang w:val="en-CA" w:eastAsia="fr-CA"/>
        </w:rPr>
        <w:t>that could</w:t>
      </w:r>
      <w:r w:rsidRPr="00A21E63">
        <w:rPr>
          <w:lang w:val="en-CA" w:eastAsia="fr-CA"/>
        </w:rPr>
        <w:t xml:space="preserve"> confirm the </w:t>
      </w:r>
      <w:r>
        <w:rPr>
          <w:lang w:val="en-CA" w:eastAsia="fr-CA"/>
        </w:rPr>
        <w:t>fact that he had</w:t>
      </w:r>
      <w:r w:rsidRPr="00A21E63">
        <w:rPr>
          <w:lang w:val="en-CA" w:eastAsia="fr-CA"/>
        </w:rPr>
        <w:t xml:space="preserve"> </w:t>
      </w:r>
      <w:r w:rsidR="000D688D">
        <w:rPr>
          <w:lang w:val="en-CA" w:eastAsia="fr-CA"/>
        </w:rPr>
        <w:t xml:space="preserve">a </w:t>
      </w:r>
      <w:r w:rsidRPr="00A21E63">
        <w:rPr>
          <w:lang w:val="en-CA" w:eastAsia="fr-CA"/>
        </w:rPr>
        <w:t>mental disorder</w:t>
      </w:r>
      <w:r w:rsidR="009B3118">
        <w:rPr>
          <w:lang w:val="en-CA" w:eastAsia="fr-CA"/>
        </w:rPr>
        <w:t xml:space="preserve"> </w:t>
      </w:r>
      <w:r w:rsidRPr="00A21E63">
        <w:rPr>
          <w:lang w:val="en-CA" w:eastAsia="fr-CA"/>
        </w:rPr>
        <w:t xml:space="preserve">and </w:t>
      </w:r>
      <w:r>
        <w:rPr>
          <w:lang w:val="en-CA" w:eastAsia="fr-CA"/>
        </w:rPr>
        <w:t xml:space="preserve">give rise to </w:t>
      </w:r>
      <w:r w:rsidRPr="00A21E63">
        <w:rPr>
          <w:lang w:val="en-CA" w:eastAsia="fr-CA"/>
        </w:rPr>
        <w:t>a reasonable doubt</w:t>
      </w:r>
      <w:r w:rsidR="00101AA1" w:rsidRPr="006C5E09">
        <w:rPr>
          <w:lang w:val="en-CA" w:eastAsia="fr-CA"/>
        </w:rPr>
        <w:t>.</w:t>
      </w:r>
    </w:p>
    <w:p w14:paraId="021CD861" w14:textId="4853C11F" w:rsidR="00101AA1" w:rsidRPr="006C5E09" w:rsidRDefault="00C54F6E" w:rsidP="000B6E2B">
      <w:pPr>
        <w:pStyle w:val="Paragraphe"/>
        <w:spacing w:line="240" w:lineRule="auto"/>
        <w:rPr>
          <w:lang w:val="en-CA" w:eastAsia="fr-CA"/>
        </w:rPr>
      </w:pPr>
      <w:r w:rsidRPr="00C54F6E">
        <w:rPr>
          <w:lang w:val="en-CA" w:eastAsia="fr-CA"/>
        </w:rPr>
        <w:t xml:space="preserve">In any </w:t>
      </w:r>
      <w:r w:rsidR="00D7618B">
        <w:rPr>
          <w:lang w:val="en-CA" w:eastAsia="fr-CA"/>
        </w:rPr>
        <w:t>event</w:t>
      </w:r>
      <w:r w:rsidRPr="00C54F6E">
        <w:rPr>
          <w:lang w:val="en-CA" w:eastAsia="fr-CA"/>
        </w:rPr>
        <w:t>, the judge had a duty to instruct the jury that the analysis of the evidence</w:t>
      </w:r>
      <w:r w:rsidR="00D7618B">
        <w:rPr>
          <w:lang w:val="en-CA" w:eastAsia="fr-CA"/>
        </w:rPr>
        <w:t xml:space="preserve"> as a whole</w:t>
      </w:r>
      <w:r w:rsidRPr="00C54F6E">
        <w:rPr>
          <w:lang w:val="en-CA" w:eastAsia="fr-CA"/>
        </w:rPr>
        <w:t xml:space="preserve">, including </w:t>
      </w:r>
      <w:r>
        <w:rPr>
          <w:lang w:val="en-CA" w:eastAsia="fr-CA"/>
        </w:rPr>
        <w:t>evidence</w:t>
      </w:r>
      <w:r w:rsidRPr="00C54F6E">
        <w:rPr>
          <w:lang w:val="en-CA" w:eastAsia="fr-CA"/>
        </w:rPr>
        <w:t xml:space="preserve"> of the appellant</w:t>
      </w:r>
      <w:r w:rsidR="00D7618B">
        <w:rPr>
          <w:lang w:val="en-CA" w:eastAsia="fr-CA"/>
        </w:rPr>
        <w:t>’</w:t>
      </w:r>
      <w:r w:rsidRPr="00C54F6E">
        <w:rPr>
          <w:lang w:val="en-CA" w:eastAsia="fr-CA"/>
        </w:rPr>
        <w:t xml:space="preserve">s mental disorder and </w:t>
      </w:r>
      <w:r>
        <w:rPr>
          <w:lang w:val="en-CA" w:eastAsia="fr-CA"/>
        </w:rPr>
        <w:t xml:space="preserve">of </w:t>
      </w:r>
      <w:r w:rsidRPr="00C54F6E">
        <w:rPr>
          <w:lang w:val="en-CA" w:eastAsia="fr-CA"/>
        </w:rPr>
        <w:t xml:space="preserve">his </w:t>
      </w:r>
      <w:r w:rsidR="000D688D">
        <w:rPr>
          <w:lang w:val="en-CA" w:eastAsia="fr-CA"/>
        </w:rPr>
        <w:t xml:space="preserve">post-homicide </w:t>
      </w:r>
      <w:r w:rsidR="004E603A">
        <w:rPr>
          <w:lang w:val="en-CA" w:eastAsia="fr-CA"/>
        </w:rPr>
        <w:t>conduct</w:t>
      </w:r>
      <w:r w:rsidRPr="00C54F6E">
        <w:rPr>
          <w:lang w:val="en-CA" w:eastAsia="fr-CA"/>
        </w:rPr>
        <w:t xml:space="preserve">, could raise a reasonable doubt as to his </w:t>
      </w:r>
      <w:r w:rsidR="00D7618B">
        <w:rPr>
          <w:lang w:val="en-CA" w:eastAsia="fr-CA"/>
        </w:rPr>
        <w:t>guilt</w:t>
      </w:r>
      <w:r w:rsidR="00963790">
        <w:rPr>
          <w:lang w:val="en-CA" w:eastAsia="fr-CA"/>
        </w:rPr>
        <w:t xml:space="preserve"> for</w:t>
      </w:r>
      <w:r w:rsidRPr="00C54F6E">
        <w:rPr>
          <w:lang w:val="en-CA" w:eastAsia="fr-CA"/>
        </w:rPr>
        <w:t xml:space="preserve"> the offen</w:t>
      </w:r>
      <w:r>
        <w:rPr>
          <w:lang w:val="en-CA" w:eastAsia="fr-CA"/>
        </w:rPr>
        <w:t>c</w:t>
      </w:r>
      <w:r w:rsidRPr="00C54F6E">
        <w:rPr>
          <w:lang w:val="en-CA" w:eastAsia="fr-CA"/>
        </w:rPr>
        <w:t xml:space="preserve">e of first degree murder or </w:t>
      </w:r>
      <w:r w:rsidR="00963790">
        <w:rPr>
          <w:lang w:val="en-CA" w:eastAsia="fr-CA"/>
        </w:rPr>
        <w:t xml:space="preserve">for </w:t>
      </w:r>
      <w:r w:rsidRPr="00C54F6E">
        <w:rPr>
          <w:lang w:val="en-CA" w:eastAsia="fr-CA"/>
        </w:rPr>
        <w:t>the included offen</w:t>
      </w:r>
      <w:r>
        <w:rPr>
          <w:lang w:val="en-CA" w:eastAsia="fr-CA"/>
        </w:rPr>
        <w:t>c</w:t>
      </w:r>
      <w:r w:rsidRPr="00C54F6E">
        <w:rPr>
          <w:lang w:val="en-CA" w:eastAsia="fr-CA"/>
        </w:rPr>
        <w:t>e of second degree murder</w:t>
      </w:r>
      <w:r>
        <w:rPr>
          <w:lang w:val="en-CA" w:eastAsia="fr-CA"/>
        </w:rPr>
        <w:t>.</w:t>
      </w:r>
      <w:r w:rsidR="00101AA1" w:rsidRPr="006C5E09">
        <w:rPr>
          <w:rStyle w:val="Appelnotedebasdep"/>
          <w:lang w:val="en-CA" w:eastAsia="fr-CA"/>
        </w:rPr>
        <w:footnoteReference w:id="55"/>
      </w:r>
      <w:r>
        <w:rPr>
          <w:lang w:val="en-CA" w:eastAsia="fr-CA"/>
        </w:rPr>
        <w:t xml:space="preserve"> </w:t>
      </w:r>
      <w:r w:rsidRPr="00C54F6E">
        <w:rPr>
          <w:lang w:val="en-CA" w:eastAsia="fr-CA"/>
        </w:rPr>
        <w:t xml:space="preserve">The judge had </w:t>
      </w:r>
      <w:r>
        <w:rPr>
          <w:lang w:val="en-CA" w:eastAsia="fr-CA"/>
        </w:rPr>
        <w:t>in fact</w:t>
      </w:r>
      <w:r w:rsidRPr="00C54F6E">
        <w:rPr>
          <w:lang w:val="en-CA" w:eastAsia="fr-CA"/>
        </w:rPr>
        <w:t xml:space="preserve"> </w:t>
      </w:r>
      <w:r w:rsidR="00F51A3F">
        <w:rPr>
          <w:lang w:val="en-CA" w:eastAsia="fr-CA"/>
        </w:rPr>
        <w:t>told</w:t>
      </w:r>
      <w:r w:rsidRPr="00C54F6E">
        <w:rPr>
          <w:lang w:val="en-CA" w:eastAsia="fr-CA"/>
        </w:rPr>
        <w:t xml:space="preserve"> </w:t>
      </w:r>
      <w:r>
        <w:rPr>
          <w:lang w:val="en-CA" w:eastAsia="fr-CA"/>
        </w:rPr>
        <w:t>counsel</w:t>
      </w:r>
      <w:r w:rsidRPr="00C54F6E">
        <w:rPr>
          <w:lang w:val="en-CA" w:eastAsia="fr-CA"/>
        </w:rPr>
        <w:t xml:space="preserve"> that she would instruct the jury </w:t>
      </w:r>
      <w:r>
        <w:rPr>
          <w:lang w:val="en-CA" w:eastAsia="fr-CA"/>
        </w:rPr>
        <w:t>accordingly</w:t>
      </w:r>
      <w:r w:rsidRPr="00C54F6E">
        <w:rPr>
          <w:lang w:val="en-CA" w:eastAsia="fr-CA"/>
        </w:rPr>
        <w:t xml:space="preserve"> before </w:t>
      </w:r>
      <w:r w:rsidR="00515C23">
        <w:rPr>
          <w:lang w:val="en-CA" w:eastAsia="fr-CA"/>
        </w:rPr>
        <w:t>oral arguments</w:t>
      </w:r>
      <w:r w:rsidRPr="00C54F6E">
        <w:rPr>
          <w:lang w:val="en-CA" w:eastAsia="fr-CA"/>
        </w:rPr>
        <w:t>.</w:t>
      </w:r>
    </w:p>
    <w:p w14:paraId="04D31F5E" w14:textId="6CC5D121" w:rsidR="00101AA1" w:rsidRPr="006C5E09" w:rsidRDefault="00F139F3" w:rsidP="000B6E2B">
      <w:pPr>
        <w:pStyle w:val="Paragraphe"/>
        <w:spacing w:line="240" w:lineRule="auto"/>
        <w:rPr>
          <w:lang w:val="en-CA" w:eastAsia="fr-CA"/>
        </w:rPr>
      </w:pPr>
      <w:r>
        <w:rPr>
          <w:lang w:val="en-CA" w:eastAsia="fr-CA"/>
        </w:rPr>
        <w:t>T</w:t>
      </w:r>
      <w:r w:rsidRPr="00F139F3">
        <w:rPr>
          <w:lang w:val="en-CA" w:eastAsia="fr-CA"/>
        </w:rPr>
        <w:t xml:space="preserve">he judge and the parties </w:t>
      </w:r>
      <w:r>
        <w:rPr>
          <w:lang w:val="en-CA" w:eastAsia="fr-CA"/>
        </w:rPr>
        <w:t xml:space="preserve">then </w:t>
      </w:r>
      <w:r w:rsidRPr="00F139F3">
        <w:rPr>
          <w:lang w:val="en-CA" w:eastAsia="fr-CA"/>
        </w:rPr>
        <w:t xml:space="preserve">discussed the instructions that should be given to the jury, </w:t>
      </w:r>
      <w:r w:rsidR="00B37526">
        <w:rPr>
          <w:lang w:val="en-CA" w:eastAsia="fr-CA"/>
        </w:rPr>
        <w:t>on the basis that</w:t>
      </w:r>
      <w:r w:rsidRPr="00F139F3">
        <w:rPr>
          <w:lang w:val="en-CA" w:eastAsia="fr-CA"/>
        </w:rPr>
        <w:t xml:space="preserve"> the appellant</w:t>
      </w:r>
      <w:r w:rsidR="00A45FE1">
        <w:rPr>
          <w:lang w:val="en-CA" w:eastAsia="fr-CA"/>
        </w:rPr>
        <w:t>’</w:t>
      </w:r>
      <w:r w:rsidRPr="00F139F3">
        <w:rPr>
          <w:lang w:val="en-CA" w:eastAsia="fr-CA"/>
        </w:rPr>
        <w:t>s after</w:t>
      </w:r>
      <w:r w:rsidR="00B37526">
        <w:rPr>
          <w:lang w:val="en-CA" w:eastAsia="fr-CA"/>
        </w:rPr>
        <w:t>-</w:t>
      </w:r>
      <w:r w:rsidRPr="00F139F3">
        <w:rPr>
          <w:lang w:val="en-CA" w:eastAsia="fr-CA"/>
        </w:rPr>
        <w:t>the</w:t>
      </w:r>
      <w:r w:rsidR="00B37526">
        <w:rPr>
          <w:lang w:val="en-CA" w:eastAsia="fr-CA"/>
        </w:rPr>
        <w:t>-</w:t>
      </w:r>
      <w:r w:rsidRPr="00F139F3">
        <w:rPr>
          <w:lang w:val="en-CA" w:eastAsia="fr-CA"/>
        </w:rPr>
        <w:t xml:space="preserve">fact </w:t>
      </w:r>
      <w:r w:rsidR="00B37526">
        <w:rPr>
          <w:lang w:val="en-CA" w:eastAsia="fr-CA"/>
        </w:rPr>
        <w:t xml:space="preserve">conduct </w:t>
      </w:r>
      <w:r w:rsidRPr="00F139F3">
        <w:rPr>
          <w:lang w:val="en-CA" w:eastAsia="fr-CA"/>
        </w:rPr>
        <w:t xml:space="preserve">did not make it possible to distinguish between </w:t>
      </w:r>
      <w:r w:rsidR="00A45FE1">
        <w:rPr>
          <w:lang w:val="en-CA" w:eastAsia="fr-CA"/>
        </w:rPr>
        <w:t>guilt of</w:t>
      </w:r>
      <w:r w:rsidRPr="00F139F3">
        <w:rPr>
          <w:lang w:val="en-CA" w:eastAsia="fr-CA"/>
        </w:rPr>
        <w:t xml:space="preserve"> </w:t>
      </w:r>
      <w:r w:rsidR="00B37526">
        <w:rPr>
          <w:lang w:val="en-CA" w:eastAsia="fr-CA"/>
        </w:rPr>
        <w:t xml:space="preserve">second degree </w:t>
      </w:r>
      <w:r w:rsidRPr="00F139F3">
        <w:rPr>
          <w:lang w:val="en-CA" w:eastAsia="fr-CA"/>
        </w:rPr>
        <w:t xml:space="preserve">murder </w:t>
      </w:r>
      <w:r w:rsidR="00A769ED">
        <w:rPr>
          <w:lang w:val="en-CA" w:eastAsia="fr-CA"/>
        </w:rPr>
        <w:t xml:space="preserve">and </w:t>
      </w:r>
      <w:r w:rsidR="00A45FE1">
        <w:rPr>
          <w:lang w:val="en-CA" w:eastAsia="fr-CA"/>
        </w:rPr>
        <w:t>guilt of</w:t>
      </w:r>
      <w:r w:rsidR="00963790">
        <w:rPr>
          <w:lang w:val="en-CA" w:eastAsia="fr-CA"/>
        </w:rPr>
        <w:t xml:space="preserve"> </w:t>
      </w:r>
      <w:r w:rsidRPr="00F139F3">
        <w:rPr>
          <w:lang w:val="en-CA" w:eastAsia="fr-CA"/>
        </w:rPr>
        <w:t>first degree</w:t>
      </w:r>
      <w:r w:rsidR="00B37526">
        <w:rPr>
          <w:lang w:val="en-CA" w:eastAsia="fr-CA"/>
        </w:rPr>
        <w:t xml:space="preserve"> murder</w:t>
      </w:r>
      <w:r w:rsidRPr="00F139F3">
        <w:rPr>
          <w:lang w:val="en-CA" w:eastAsia="fr-CA"/>
        </w:rPr>
        <w:t>. This consensus can only be explained by a</w:t>
      </w:r>
      <w:r w:rsidR="00861530">
        <w:rPr>
          <w:lang w:val="en-CA" w:eastAsia="fr-CA"/>
        </w:rPr>
        <w:t xml:space="preserve"> </w:t>
      </w:r>
      <w:r w:rsidR="00963790">
        <w:rPr>
          <w:lang w:val="en-CA" w:eastAsia="fr-CA"/>
        </w:rPr>
        <w:t>mis</w:t>
      </w:r>
      <w:r w:rsidRPr="00F139F3">
        <w:rPr>
          <w:lang w:val="en-CA" w:eastAsia="fr-CA"/>
        </w:rPr>
        <w:t>application</w:t>
      </w:r>
      <w:r w:rsidR="00861530">
        <w:rPr>
          <w:lang w:val="en-CA" w:eastAsia="fr-CA"/>
        </w:rPr>
        <w:t xml:space="preserve"> of</w:t>
      </w:r>
      <w:r w:rsidRPr="00F139F3">
        <w:rPr>
          <w:lang w:val="en-CA" w:eastAsia="fr-CA"/>
        </w:rPr>
        <w:t xml:space="preserve"> </w:t>
      </w:r>
      <w:r w:rsidR="009D378B" w:rsidRPr="006C5E09">
        <w:rPr>
          <w:i/>
          <w:lang w:val="en-CA" w:eastAsia="fr-CA"/>
        </w:rPr>
        <w:t>Arcangioli</w:t>
      </w:r>
      <w:r w:rsidR="00CC7F95" w:rsidRPr="006C5E09">
        <w:rPr>
          <w:rStyle w:val="Appelnotedebasdep"/>
          <w:iCs/>
          <w:lang w:val="en-CA" w:eastAsia="fr-CA"/>
        </w:rPr>
        <w:footnoteReference w:id="56"/>
      </w:r>
      <w:r w:rsidR="00C2079E" w:rsidRPr="006C5E09">
        <w:rPr>
          <w:iCs/>
          <w:lang w:val="en-CA" w:eastAsia="fr-CA"/>
        </w:rPr>
        <w:t xml:space="preserve"> </w:t>
      </w:r>
      <w:r w:rsidR="00B37526">
        <w:rPr>
          <w:iCs/>
          <w:lang w:val="en-CA" w:eastAsia="fr-CA"/>
        </w:rPr>
        <w:t xml:space="preserve">in the circumstances and </w:t>
      </w:r>
      <w:r w:rsidR="00A45FE1">
        <w:rPr>
          <w:iCs/>
          <w:lang w:val="en-CA" w:eastAsia="fr-CA"/>
        </w:rPr>
        <w:t xml:space="preserve">to </w:t>
      </w:r>
      <w:r w:rsidR="00B37526">
        <w:rPr>
          <w:iCs/>
          <w:lang w:val="en-CA" w:eastAsia="fr-CA"/>
        </w:rPr>
        <w:t xml:space="preserve">the evidence adduced in </w:t>
      </w:r>
      <w:r w:rsidR="00A45FE1">
        <w:rPr>
          <w:iCs/>
          <w:lang w:val="en-CA" w:eastAsia="fr-CA"/>
        </w:rPr>
        <w:t>this</w:t>
      </w:r>
      <w:r w:rsidR="00B37526">
        <w:rPr>
          <w:iCs/>
          <w:lang w:val="en-CA" w:eastAsia="fr-CA"/>
        </w:rPr>
        <w:t xml:space="preserve"> case</w:t>
      </w:r>
      <w:r w:rsidR="00C2079E" w:rsidRPr="006C5E09">
        <w:rPr>
          <w:lang w:val="en-CA" w:eastAsia="fr-CA"/>
        </w:rPr>
        <w:t>.</w:t>
      </w:r>
    </w:p>
    <w:p w14:paraId="799C2366" w14:textId="7CC4254D" w:rsidR="00877773" w:rsidRPr="006C5E09" w:rsidRDefault="00861530" w:rsidP="000B6E2B">
      <w:pPr>
        <w:pStyle w:val="Paragraphe"/>
        <w:numPr>
          <w:ilvl w:val="0"/>
          <w:numId w:val="0"/>
        </w:numPr>
        <w:spacing w:line="240" w:lineRule="auto"/>
        <w:rPr>
          <w:lang w:val="en-CA" w:eastAsia="fr-CA"/>
        </w:rPr>
      </w:pPr>
      <w:r w:rsidRPr="00861530">
        <w:rPr>
          <w:b/>
          <w:i/>
          <w:lang w:val="en-CA" w:eastAsia="fr-CA"/>
        </w:rPr>
        <w:t>The confusion aris</w:t>
      </w:r>
      <w:r w:rsidR="00A45FE1">
        <w:rPr>
          <w:b/>
          <w:i/>
          <w:lang w:val="en-CA" w:eastAsia="fr-CA"/>
        </w:rPr>
        <w:t>ing</w:t>
      </w:r>
      <w:r w:rsidRPr="00861530">
        <w:rPr>
          <w:b/>
          <w:i/>
          <w:lang w:val="en-CA" w:eastAsia="fr-CA"/>
        </w:rPr>
        <w:t xml:space="preserve"> from </w:t>
      </w:r>
      <w:r w:rsidR="00A769ED">
        <w:rPr>
          <w:b/>
          <w:i/>
          <w:lang w:val="en-CA" w:eastAsia="fr-CA"/>
        </w:rPr>
        <w:t>the contradictory</w:t>
      </w:r>
      <w:r w:rsidRPr="00861530">
        <w:rPr>
          <w:b/>
          <w:i/>
          <w:lang w:val="en-CA" w:eastAsia="fr-CA"/>
        </w:rPr>
        <w:t xml:space="preserve"> </w:t>
      </w:r>
      <w:r>
        <w:rPr>
          <w:b/>
          <w:i/>
          <w:lang w:val="en-CA" w:eastAsia="fr-CA"/>
        </w:rPr>
        <w:t>instructions</w:t>
      </w:r>
    </w:p>
    <w:p w14:paraId="156E275A" w14:textId="546FF354" w:rsidR="009B2ACB" w:rsidRPr="006C5E09" w:rsidRDefault="00861530" w:rsidP="000B6E2B">
      <w:pPr>
        <w:pStyle w:val="Paragraphe"/>
        <w:spacing w:line="240" w:lineRule="auto"/>
        <w:rPr>
          <w:lang w:val="en-CA" w:eastAsia="fr-CA"/>
        </w:rPr>
      </w:pPr>
      <w:r w:rsidRPr="00861530">
        <w:rPr>
          <w:lang w:val="en-CA" w:eastAsia="fr-CA"/>
        </w:rPr>
        <w:t xml:space="preserve">The appellant rightly argues that it is almost impossible for the jury to have understood how it was to </w:t>
      </w:r>
      <w:r>
        <w:rPr>
          <w:lang w:val="en-CA" w:eastAsia="fr-CA"/>
        </w:rPr>
        <w:t>assess</w:t>
      </w:r>
      <w:r w:rsidRPr="00861530">
        <w:rPr>
          <w:lang w:val="en-CA" w:eastAsia="fr-CA"/>
        </w:rPr>
        <w:t xml:space="preserve"> the evidence of his </w:t>
      </w:r>
      <w:r w:rsidR="00963790">
        <w:rPr>
          <w:lang w:val="en-CA" w:eastAsia="fr-CA"/>
        </w:rPr>
        <w:t xml:space="preserve">post-homicide </w:t>
      </w:r>
      <w:r w:rsidR="004E603A">
        <w:rPr>
          <w:lang w:val="en-CA" w:eastAsia="fr-CA"/>
        </w:rPr>
        <w:t>conduct</w:t>
      </w:r>
      <w:r w:rsidRPr="00861530">
        <w:rPr>
          <w:lang w:val="en-CA" w:eastAsia="fr-CA"/>
        </w:rPr>
        <w:t xml:space="preserve">. Indeed, the </w:t>
      </w:r>
      <w:r>
        <w:rPr>
          <w:lang w:val="en-CA" w:eastAsia="fr-CA"/>
        </w:rPr>
        <w:t>instructions</w:t>
      </w:r>
      <w:r w:rsidRPr="00861530">
        <w:rPr>
          <w:lang w:val="en-CA" w:eastAsia="fr-CA"/>
        </w:rPr>
        <w:t xml:space="preserve"> were contradictory and inco</w:t>
      </w:r>
      <w:r>
        <w:rPr>
          <w:lang w:val="en-CA" w:eastAsia="fr-CA"/>
        </w:rPr>
        <w:t>nsistent</w:t>
      </w:r>
      <w:r w:rsidR="009B2ACB" w:rsidRPr="006C5E09">
        <w:rPr>
          <w:lang w:val="en-CA" w:eastAsia="fr-CA"/>
        </w:rPr>
        <w:t>.</w:t>
      </w:r>
    </w:p>
    <w:p w14:paraId="50BA0AA7" w14:textId="0E5A4E57" w:rsidR="005D03B3" w:rsidRPr="006C5E09" w:rsidRDefault="00861530" w:rsidP="000B6E2B">
      <w:pPr>
        <w:pStyle w:val="Paragraphe"/>
        <w:spacing w:line="240" w:lineRule="auto"/>
        <w:rPr>
          <w:lang w:val="en-CA" w:eastAsia="fr-CA"/>
        </w:rPr>
      </w:pPr>
      <w:r w:rsidRPr="00861530">
        <w:rPr>
          <w:lang w:val="en-CA" w:eastAsia="fr-CA"/>
        </w:rPr>
        <w:t>A fragmented and piecemeal analysis of the evidence of the appellant</w:t>
      </w:r>
      <w:r w:rsidR="005D4067">
        <w:rPr>
          <w:lang w:val="en-CA" w:eastAsia="fr-CA"/>
        </w:rPr>
        <w:t>’</w:t>
      </w:r>
      <w:r w:rsidRPr="00861530">
        <w:rPr>
          <w:lang w:val="en-CA" w:eastAsia="fr-CA"/>
        </w:rPr>
        <w:t xml:space="preserve">s </w:t>
      </w:r>
      <w:r w:rsidR="004E603A">
        <w:rPr>
          <w:lang w:val="en-CA" w:eastAsia="fr-CA"/>
        </w:rPr>
        <w:t>post-homicide conduct</w:t>
      </w:r>
      <w:r w:rsidRPr="00861530">
        <w:rPr>
          <w:lang w:val="en-CA" w:eastAsia="fr-CA"/>
        </w:rPr>
        <w:t xml:space="preserve"> was impossible. The jury could not both consider the evidence of the appellant</w:t>
      </w:r>
      <w:r w:rsidR="005D4067">
        <w:rPr>
          <w:lang w:val="en-CA" w:eastAsia="fr-CA"/>
        </w:rPr>
        <w:t>’</w:t>
      </w:r>
      <w:r w:rsidRPr="00861530">
        <w:rPr>
          <w:lang w:val="en-CA" w:eastAsia="fr-CA"/>
        </w:rPr>
        <w:t xml:space="preserve">s </w:t>
      </w:r>
      <w:r>
        <w:rPr>
          <w:lang w:val="en-CA" w:eastAsia="fr-CA"/>
        </w:rPr>
        <w:t>post-</w:t>
      </w:r>
      <w:r w:rsidRPr="00861530">
        <w:rPr>
          <w:lang w:val="en-CA" w:eastAsia="fr-CA"/>
        </w:rPr>
        <w:t xml:space="preserve">homicide </w:t>
      </w:r>
      <w:r w:rsidR="004E603A">
        <w:rPr>
          <w:lang w:val="en-CA" w:eastAsia="fr-CA"/>
        </w:rPr>
        <w:t>conduct</w:t>
      </w:r>
      <w:r>
        <w:rPr>
          <w:lang w:val="en-CA" w:eastAsia="fr-CA"/>
        </w:rPr>
        <w:t xml:space="preserve"> when</w:t>
      </w:r>
      <w:r w:rsidRPr="00861530">
        <w:rPr>
          <w:lang w:val="en-CA" w:eastAsia="fr-CA"/>
        </w:rPr>
        <w:t xml:space="preserve"> assessing the </w:t>
      </w:r>
      <w:r w:rsidR="00EC3877">
        <w:rPr>
          <w:rFonts w:cs="Arial"/>
          <w:lang w:val="en-CA"/>
        </w:rPr>
        <w:t xml:space="preserve">defence of </w:t>
      </w:r>
      <w:r w:rsidRPr="00861530">
        <w:rPr>
          <w:lang w:val="en-CA" w:eastAsia="fr-CA"/>
        </w:rPr>
        <w:t xml:space="preserve">mental disorder and exclude it </w:t>
      </w:r>
      <w:r>
        <w:rPr>
          <w:lang w:val="en-CA" w:eastAsia="fr-CA"/>
        </w:rPr>
        <w:t>when</w:t>
      </w:r>
      <w:r w:rsidRPr="00861530">
        <w:rPr>
          <w:lang w:val="en-CA" w:eastAsia="fr-CA"/>
        </w:rPr>
        <w:t xml:space="preserve"> considering the appellant</w:t>
      </w:r>
      <w:r w:rsidR="00F33996">
        <w:rPr>
          <w:lang w:val="en-CA" w:eastAsia="fr-CA"/>
        </w:rPr>
        <w:t>’</w:t>
      </w:r>
      <w:r w:rsidRPr="00861530">
        <w:rPr>
          <w:lang w:val="en-CA" w:eastAsia="fr-CA"/>
        </w:rPr>
        <w:t xml:space="preserve">s </w:t>
      </w:r>
      <w:r>
        <w:rPr>
          <w:lang w:val="en-CA" w:eastAsia="fr-CA"/>
        </w:rPr>
        <w:t>guilt</w:t>
      </w:r>
      <w:r w:rsidRPr="00861530">
        <w:rPr>
          <w:lang w:val="en-CA" w:eastAsia="fr-CA"/>
        </w:rPr>
        <w:t xml:space="preserve"> for the offen</w:t>
      </w:r>
      <w:r>
        <w:rPr>
          <w:lang w:val="en-CA" w:eastAsia="fr-CA"/>
        </w:rPr>
        <w:t>c</w:t>
      </w:r>
      <w:r w:rsidRPr="00861530">
        <w:rPr>
          <w:lang w:val="en-CA" w:eastAsia="fr-CA"/>
        </w:rPr>
        <w:t xml:space="preserve">e </w:t>
      </w:r>
      <w:r w:rsidR="00F33996">
        <w:rPr>
          <w:lang w:val="en-CA" w:eastAsia="fr-CA"/>
        </w:rPr>
        <w:t>with</w:t>
      </w:r>
      <w:r w:rsidRPr="00861530">
        <w:rPr>
          <w:lang w:val="en-CA" w:eastAsia="fr-CA"/>
        </w:rPr>
        <w:t xml:space="preserve"> which he was charged.</w:t>
      </w:r>
    </w:p>
    <w:p w14:paraId="4E9B5EA5" w14:textId="397C272A" w:rsidR="00C0100F" w:rsidRPr="006C5E09" w:rsidRDefault="00524D11" w:rsidP="000B6E2B">
      <w:pPr>
        <w:pStyle w:val="Paragraphe"/>
        <w:spacing w:line="240" w:lineRule="auto"/>
        <w:rPr>
          <w:rFonts w:cs="Arial"/>
          <w:lang w:val="en-CA" w:eastAsia="fr-CA"/>
        </w:rPr>
      </w:pPr>
      <w:r>
        <w:rPr>
          <w:rFonts w:cs="Arial"/>
          <w:lang w:val="en-CA" w:eastAsia="fr-CA"/>
        </w:rPr>
        <w:t>Moreover</w:t>
      </w:r>
      <w:r w:rsidRPr="00524D11">
        <w:rPr>
          <w:rFonts w:cs="Arial"/>
          <w:lang w:val="en-CA" w:eastAsia="fr-CA"/>
        </w:rPr>
        <w:t>, as the appellant rightly suggests, the jury</w:t>
      </w:r>
      <w:r w:rsidR="00F33996">
        <w:rPr>
          <w:rFonts w:cs="Arial"/>
          <w:lang w:val="en-CA" w:eastAsia="fr-CA"/>
        </w:rPr>
        <w:t>’</w:t>
      </w:r>
      <w:r w:rsidRPr="00524D11">
        <w:rPr>
          <w:rFonts w:cs="Arial"/>
          <w:lang w:val="en-CA" w:eastAsia="fr-CA"/>
        </w:rPr>
        <w:t xml:space="preserve">s confusion could only have </w:t>
      </w:r>
      <w:r>
        <w:rPr>
          <w:rFonts w:cs="Arial"/>
          <w:lang w:val="en-CA" w:eastAsia="fr-CA"/>
        </w:rPr>
        <w:t>increased</w:t>
      </w:r>
      <w:r w:rsidRPr="00524D11">
        <w:rPr>
          <w:rFonts w:cs="Arial"/>
          <w:lang w:val="en-CA" w:eastAsia="fr-CA"/>
        </w:rPr>
        <w:t xml:space="preserve"> when the judge summarized the </w:t>
      </w:r>
      <w:r>
        <w:rPr>
          <w:rFonts w:cs="Arial"/>
          <w:lang w:val="en-CA" w:eastAsia="fr-CA"/>
        </w:rPr>
        <w:t>Crown’s</w:t>
      </w:r>
      <w:r w:rsidRPr="00524D11">
        <w:rPr>
          <w:rFonts w:cs="Arial"/>
          <w:lang w:val="en-CA" w:eastAsia="fr-CA"/>
        </w:rPr>
        <w:t xml:space="preserve"> position almost immediately after </w:t>
      </w:r>
      <w:r w:rsidR="00963790">
        <w:rPr>
          <w:rFonts w:cs="Arial"/>
          <w:lang w:val="en-CA" w:eastAsia="fr-CA"/>
        </w:rPr>
        <w:t>issuing</w:t>
      </w:r>
      <w:r w:rsidR="00963790" w:rsidRPr="00524D11">
        <w:rPr>
          <w:rFonts w:cs="Arial"/>
          <w:lang w:val="en-CA" w:eastAsia="fr-CA"/>
        </w:rPr>
        <w:t xml:space="preserve"> </w:t>
      </w:r>
      <w:r w:rsidRPr="00524D11">
        <w:rPr>
          <w:rFonts w:cs="Arial"/>
          <w:lang w:val="en-CA" w:eastAsia="fr-CA"/>
        </w:rPr>
        <w:t xml:space="preserve">the </w:t>
      </w:r>
      <w:r w:rsidR="00963790" w:rsidRPr="00524D11">
        <w:rPr>
          <w:rFonts w:cs="Arial"/>
          <w:lang w:val="en-CA" w:eastAsia="fr-CA"/>
        </w:rPr>
        <w:t>correct</w:t>
      </w:r>
      <w:r w:rsidR="00963790">
        <w:rPr>
          <w:rFonts w:cs="Arial"/>
          <w:lang w:val="en-CA" w:eastAsia="fr-CA"/>
        </w:rPr>
        <w:t>ive</w:t>
      </w:r>
      <w:r w:rsidR="00963790" w:rsidRPr="00524D11">
        <w:rPr>
          <w:rFonts w:cs="Arial"/>
          <w:lang w:val="en-CA" w:eastAsia="fr-CA"/>
        </w:rPr>
        <w:t xml:space="preserve"> </w:t>
      </w:r>
      <w:r w:rsidRPr="00524D11">
        <w:rPr>
          <w:rFonts w:cs="Arial"/>
          <w:lang w:val="en-CA" w:eastAsia="fr-CA"/>
        </w:rPr>
        <w:t>instruction</w:t>
      </w:r>
      <w:r w:rsidR="00C0100F" w:rsidRPr="006C5E09">
        <w:rPr>
          <w:rFonts w:cs="Arial"/>
          <w:lang w:val="en-CA" w:eastAsia="fr-CA"/>
        </w:rPr>
        <w:t>.</w:t>
      </w:r>
    </w:p>
    <w:p w14:paraId="398AADB8" w14:textId="44820041" w:rsidR="00C0100F" w:rsidRPr="006C5E09" w:rsidRDefault="00901865" w:rsidP="000B6E2B">
      <w:pPr>
        <w:pStyle w:val="Paragraphe"/>
        <w:keepNext/>
        <w:spacing w:line="240" w:lineRule="auto"/>
        <w:rPr>
          <w:rFonts w:cs="Arial"/>
          <w:lang w:val="en-CA" w:eastAsia="fr-CA"/>
        </w:rPr>
      </w:pPr>
      <w:r w:rsidRPr="00901865">
        <w:rPr>
          <w:rFonts w:cs="Arial"/>
          <w:lang w:val="en-CA" w:eastAsia="fr-CA"/>
        </w:rPr>
        <w:lastRenderedPageBreak/>
        <w:t>Here is how the judge summarize</w:t>
      </w:r>
      <w:r>
        <w:rPr>
          <w:rFonts w:cs="Arial"/>
          <w:lang w:val="en-CA" w:eastAsia="fr-CA"/>
        </w:rPr>
        <w:t>d</w:t>
      </w:r>
      <w:r w:rsidRPr="00901865">
        <w:rPr>
          <w:rFonts w:cs="Arial"/>
          <w:lang w:val="en-CA" w:eastAsia="fr-CA"/>
        </w:rPr>
        <w:t xml:space="preserve"> the </w:t>
      </w:r>
      <w:r>
        <w:rPr>
          <w:rFonts w:cs="Arial"/>
          <w:lang w:val="en-CA" w:eastAsia="fr-CA"/>
        </w:rPr>
        <w:t>Crown’s</w:t>
      </w:r>
      <w:r w:rsidRPr="00901865">
        <w:rPr>
          <w:rFonts w:cs="Arial"/>
          <w:lang w:val="en-CA" w:eastAsia="fr-CA"/>
        </w:rPr>
        <w:t xml:space="preserve"> position</w:t>
      </w:r>
      <w:r w:rsidR="00C0100F" w:rsidRPr="006C5E09">
        <w:rPr>
          <w:rFonts w:cs="Arial"/>
          <w:lang w:val="en-CA" w:eastAsia="fr-CA"/>
        </w:rPr>
        <w:t>:</w:t>
      </w:r>
    </w:p>
    <w:p w14:paraId="741DC197" w14:textId="6AF73BA4" w:rsidR="00BF5CFD" w:rsidRPr="00F33996" w:rsidRDefault="00BF5CFD" w:rsidP="000B6E2B">
      <w:pPr>
        <w:pStyle w:val="Citationenretrait"/>
        <w:spacing w:line="240" w:lineRule="auto"/>
        <w:rPr>
          <w:szCs w:val="22"/>
          <w:lang w:val="en-CA" w:eastAsia="fr-CA"/>
        </w:rPr>
      </w:pPr>
      <w:r w:rsidRPr="00B92A5F">
        <w:rPr>
          <w:rFonts w:cs="Arial"/>
          <w:szCs w:val="22"/>
          <w:lang w:val="en-CA"/>
        </w:rPr>
        <w:t>[</w:t>
      </w:r>
      <w:r w:rsidR="00F33996">
        <w:rPr>
          <w:rFonts w:cs="Arial"/>
          <w:smallCaps/>
          <w:szCs w:val="22"/>
          <w:lang w:val="en-CA"/>
        </w:rPr>
        <w:t>translation</w:t>
      </w:r>
      <w:r w:rsidRPr="00B92A5F">
        <w:rPr>
          <w:rFonts w:cs="Arial"/>
          <w:szCs w:val="22"/>
          <w:lang w:val="en-CA"/>
        </w:rPr>
        <w:t>]</w:t>
      </w:r>
    </w:p>
    <w:p w14:paraId="18373427" w14:textId="3C370408" w:rsidR="00C0100F" w:rsidRPr="006C5E09" w:rsidRDefault="00901865" w:rsidP="000B6E2B">
      <w:pPr>
        <w:pStyle w:val="Citationenretrait"/>
        <w:spacing w:line="240" w:lineRule="auto"/>
        <w:rPr>
          <w:lang w:val="en-CA" w:eastAsia="fr-CA"/>
        </w:rPr>
      </w:pPr>
      <w:r>
        <w:rPr>
          <w:lang w:val="en-CA" w:eastAsia="fr-CA"/>
        </w:rPr>
        <w:t xml:space="preserve">Now, as for the Crown’s theory of the </w:t>
      </w:r>
      <w:r w:rsidR="009B3118">
        <w:rPr>
          <w:lang w:val="en-CA" w:eastAsia="fr-CA"/>
        </w:rPr>
        <w:t>case:</w:t>
      </w:r>
      <w:r w:rsidR="009B3118" w:rsidRPr="006C5E09">
        <w:rPr>
          <w:vertAlign w:val="superscript"/>
          <w:lang w:val="en-CA" w:eastAsia="fr-CA"/>
        </w:rPr>
        <w:t>[</w:t>
      </w:r>
      <w:r w:rsidR="00C0100F" w:rsidRPr="006C5E09">
        <w:rPr>
          <w:rStyle w:val="Appelnotedebasdep"/>
          <w:rFonts w:cs="Arial"/>
          <w:szCs w:val="22"/>
          <w:lang w:val="en-CA" w:eastAsia="fr-CA"/>
        </w:rPr>
        <w:footnoteReference w:id="57"/>
      </w:r>
      <w:r w:rsidR="00C0100F" w:rsidRPr="006C5E09">
        <w:rPr>
          <w:vertAlign w:val="superscript"/>
          <w:lang w:val="en-CA" w:eastAsia="fr-CA"/>
        </w:rPr>
        <w:t>]</w:t>
      </w:r>
      <w:r w:rsidR="00C0100F" w:rsidRPr="006C5E09">
        <w:rPr>
          <w:lang w:val="en-CA" w:eastAsia="fr-CA"/>
        </w:rPr>
        <w:t xml:space="preserve"> </w:t>
      </w:r>
      <w:r w:rsidRPr="00901865">
        <w:rPr>
          <w:lang w:val="en-CA" w:eastAsia="fr-CA"/>
        </w:rPr>
        <w:t xml:space="preserve">on April 10, 2016, </w:t>
      </w:r>
      <w:r>
        <w:rPr>
          <w:lang w:val="en-CA" w:eastAsia="fr-CA"/>
        </w:rPr>
        <w:t xml:space="preserve">at </w:t>
      </w:r>
      <w:r w:rsidRPr="00901865">
        <w:rPr>
          <w:lang w:val="en-CA" w:eastAsia="fr-CA"/>
        </w:rPr>
        <w:t>around 8:30</w:t>
      </w:r>
      <w:r w:rsidR="00F33996">
        <w:rPr>
          <w:lang w:val="en-CA" w:eastAsia="fr-CA"/>
        </w:rPr>
        <w:t> </w:t>
      </w:r>
      <w:r w:rsidRPr="00901865">
        <w:rPr>
          <w:lang w:val="en-CA" w:eastAsia="fr-CA"/>
        </w:rPr>
        <w:t xml:space="preserve">p.m., the accused </w:t>
      </w:r>
      <w:r>
        <w:rPr>
          <w:lang w:val="en-CA" w:eastAsia="fr-CA"/>
        </w:rPr>
        <w:t>arrived</w:t>
      </w:r>
      <w:r w:rsidRPr="00901865">
        <w:rPr>
          <w:lang w:val="en-CA" w:eastAsia="fr-CA"/>
        </w:rPr>
        <w:t xml:space="preserve"> at </w:t>
      </w:r>
      <w:r>
        <w:rPr>
          <w:lang w:val="en-CA" w:eastAsia="fr-CA"/>
        </w:rPr>
        <w:t xml:space="preserve">the </w:t>
      </w:r>
      <w:r w:rsidRPr="00901865">
        <w:rPr>
          <w:lang w:val="en-CA" w:eastAsia="fr-CA"/>
        </w:rPr>
        <w:t xml:space="preserve">Maxi, located at 8305 Papineau in Montreal, with the </w:t>
      </w:r>
      <w:r w:rsidR="00CE60E3">
        <w:rPr>
          <w:lang w:val="en-CA" w:eastAsia="fr-CA"/>
        </w:rPr>
        <w:t>pre-</w:t>
      </w:r>
      <w:r w:rsidRPr="00901865">
        <w:rPr>
          <w:lang w:val="en-CA" w:eastAsia="fr-CA"/>
        </w:rPr>
        <w:t>planned intent</w:t>
      </w:r>
      <w:r>
        <w:rPr>
          <w:lang w:val="en-CA" w:eastAsia="fr-CA"/>
        </w:rPr>
        <w:t xml:space="preserve"> to</w:t>
      </w:r>
      <w:r w:rsidRPr="00901865">
        <w:rPr>
          <w:lang w:val="en-CA" w:eastAsia="fr-CA"/>
        </w:rPr>
        <w:t xml:space="preserve"> kill Clémence Beaulieu-Patry. He walk</w:t>
      </w:r>
      <w:r>
        <w:rPr>
          <w:lang w:val="en-CA" w:eastAsia="fr-CA"/>
        </w:rPr>
        <w:t>ed</w:t>
      </w:r>
      <w:r w:rsidRPr="00901865">
        <w:rPr>
          <w:lang w:val="en-CA" w:eastAsia="fr-CA"/>
        </w:rPr>
        <w:t xml:space="preserve"> to the back of the store </w:t>
      </w:r>
      <w:r>
        <w:rPr>
          <w:lang w:val="en-CA" w:eastAsia="fr-CA"/>
        </w:rPr>
        <w:t>and</w:t>
      </w:r>
      <w:r w:rsidRPr="00901865">
        <w:rPr>
          <w:lang w:val="en-CA" w:eastAsia="fr-CA"/>
        </w:rPr>
        <w:t xml:space="preserve"> reach</w:t>
      </w:r>
      <w:r>
        <w:rPr>
          <w:lang w:val="en-CA" w:eastAsia="fr-CA"/>
        </w:rPr>
        <w:t>ed</w:t>
      </w:r>
      <w:r w:rsidRPr="00901865">
        <w:rPr>
          <w:lang w:val="en-CA" w:eastAsia="fr-CA"/>
        </w:rPr>
        <w:t xml:space="preserve"> the Joe Fresh clothing section from the back. The victim ha</w:t>
      </w:r>
      <w:r>
        <w:rPr>
          <w:lang w:val="en-CA" w:eastAsia="fr-CA"/>
        </w:rPr>
        <w:t>d</w:t>
      </w:r>
      <w:r w:rsidRPr="00901865">
        <w:rPr>
          <w:lang w:val="en-CA" w:eastAsia="fr-CA"/>
        </w:rPr>
        <w:t xml:space="preserve"> h</w:t>
      </w:r>
      <w:r>
        <w:rPr>
          <w:lang w:val="en-CA" w:eastAsia="fr-CA"/>
        </w:rPr>
        <w:t>er</w:t>
      </w:r>
      <w:r w:rsidRPr="00901865">
        <w:rPr>
          <w:lang w:val="en-CA" w:eastAsia="fr-CA"/>
        </w:rPr>
        <w:t xml:space="preserve"> back to him. She </w:t>
      </w:r>
      <w:r>
        <w:rPr>
          <w:lang w:val="en-CA" w:eastAsia="fr-CA"/>
        </w:rPr>
        <w:t>was</w:t>
      </w:r>
      <w:r w:rsidRPr="00901865">
        <w:rPr>
          <w:lang w:val="en-CA" w:eastAsia="fr-CA"/>
        </w:rPr>
        <w:t xml:space="preserve"> folding clothes when the accused stab</w:t>
      </w:r>
      <w:r>
        <w:rPr>
          <w:lang w:val="en-CA" w:eastAsia="fr-CA"/>
        </w:rPr>
        <w:t>bed</w:t>
      </w:r>
      <w:r w:rsidRPr="00901865">
        <w:rPr>
          <w:lang w:val="en-CA" w:eastAsia="fr-CA"/>
        </w:rPr>
        <w:t xml:space="preserve"> her </w:t>
      </w:r>
      <w:r>
        <w:rPr>
          <w:lang w:val="en-CA" w:eastAsia="fr-CA"/>
        </w:rPr>
        <w:t>multiple</w:t>
      </w:r>
      <w:r w:rsidRPr="00901865">
        <w:rPr>
          <w:lang w:val="en-CA" w:eastAsia="fr-CA"/>
        </w:rPr>
        <w:t xml:space="preserve"> times. He then fled the scene with his knife to avoid being arrested </w:t>
      </w:r>
      <w:r>
        <w:rPr>
          <w:lang w:val="en-CA" w:eastAsia="fr-CA"/>
        </w:rPr>
        <w:t xml:space="preserve">and </w:t>
      </w:r>
      <w:r w:rsidRPr="00901865">
        <w:rPr>
          <w:lang w:val="en-CA" w:eastAsia="fr-CA"/>
        </w:rPr>
        <w:t>head</w:t>
      </w:r>
      <w:r>
        <w:rPr>
          <w:lang w:val="en-CA" w:eastAsia="fr-CA"/>
        </w:rPr>
        <w:t>ed</w:t>
      </w:r>
      <w:r w:rsidRPr="00901865">
        <w:rPr>
          <w:lang w:val="en-CA" w:eastAsia="fr-CA"/>
        </w:rPr>
        <w:t xml:space="preserve"> to the nearby Tim Hortons, where he hid for nearly seven hours. He change</w:t>
      </w:r>
      <w:r w:rsidR="001E2CA9">
        <w:rPr>
          <w:lang w:val="en-CA" w:eastAsia="fr-CA"/>
        </w:rPr>
        <w:t>d</w:t>
      </w:r>
      <w:r w:rsidRPr="00901865">
        <w:rPr>
          <w:lang w:val="en-CA" w:eastAsia="fr-CA"/>
        </w:rPr>
        <w:t xml:space="preserve"> clothes </w:t>
      </w:r>
      <w:r w:rsidR="001E2CA9">
        <w:rPr>
          <w:lang w:val="en-CA" w:eastAsia="fr-CA"/>
        </w:rPr>
        <w:t xml:space="preserve">there </w:t>
      </w:r>
      <w:r w:rsidRPr="00901865">
        <w:rPr>
          <w:lang w:val="en-CA" w:eastAsia="fr-CA"/>
        </w:rPr>
        <w:t>and text</w:t>
      </w:r>
      <w:r w:rsidR="001E2CA9">
        <w:rPr>
          <w:lang w:val="en-CA" w:eastAsia="fr-CA"/>
        </w:rPr>
        <w:t>ed</w:t>
      </w:r>
      <w:r w:rsidRPr="00901865">
        <w:rPr>
          <w:lang w:val="en-CA" w:eastAsia="fr-CA"/>
        </w:rPr>
        <w:t xml:space="preserve"> friends to come pick him up. </w:t>
      </w:r>
      <w:r w:rsidR="00CE60E3">
        <w:rPr>
          <w:lang w:val="en-CA" w:eastAsia="fr-CA"/>
        </w:rPr>
        <w:t>He was f</w:t>
      </w:r>
      <w:r w:rsidR="00CE60E3" w:rsidRPr="00901865">
        <w:rPr>
          <w:lang w:val="en-CA" w:eastAsia="fr-CA"/>
        </w:rPr>
        <w:t xml:space="preserve">orced </w:t>
      </w:r>
      <w:r w:rsidRPr="00901865">
        <w:rPr>
          <w:lang w:val="en-CA" w:eastAsia="fr-CA"/>
        </w:rPr>
        <w:t xml:space="preserve">to leave the Tim Hortons </w:t>
      </w:r>
      <w:r w:rsidR="00CE60E3">
        <w:rPr>
          <w:lang w:val="en-CA" w:eastAsia="fr-CA"/>
        </w:rPr>
        <w:t>when he was</w:t>
      </w:r>
      <w:r w:rsidRPr="00901865">
        <w:rPr>
          <w:lang w:val="en-CA" w:eastAsia="fr-CA"/>
        </w:rPr>
        <w:t xml:space="preserve"> discovered</w:t>
      </w:r>
      <w:r w:rsidR="00CE60E3">
        <w:rPr>
          <w:lang w:val="en-CA" w:eastAsia="fr-CA"/>
        </w:rPr>
        <w:t xml:space="preserve"> and then </w:t>
      </w:r>
      <w:r w:rsidRPr="00901865">
        <w:rPr>
          <w:lang w:val="en-CA" w:eastAsia="fr-CA"/>
        </w:rPr>
        <w:t xml:space="preserve">went to </w:t>
      </w:r>
      <w:r w:rsidR="00ED1C32">
        <w:rPr>
          <w:lang w:val="en-CA" w:eastAsia="fr-CA"/>
        </w:rPr>
        <w:t>CEGEP</w:t>
      </w:r>
      <w:r w:rsidR="00ED1C32" w:rsidRPr="00901865">
        <w:rPr>
          <w:lang w:val="en-CA" w:eastAsia="fr-CA"/>
        </w:rPr>
        <w:t xml:space="preserve"> </w:t>
      </w:r>
      <w:r w:rsidRPr="00901865">
        <w:rPr>
          <w:lang w:val="en-CA" w:eastAsia="fr-CA"/>
        </w:rPr>
        <w:t>André-Laurendeau</w:t>
      </w:r>
      <w:r w:rsidR="001F55F3">
        <w:rPr>
          <w:lang w:val="en-CA" w:eastAsia="fr-CA"/>
        </w:rPr>
        <w:t>,</w:t>
      </w:r>
      <w:r w:rsidRPr="00901865">
        <w:rPr>
          <w:lang w:val="en-CA" w:eastAsia="fr-CA"/>
        </w:rPr>
        <w:t xml:space="preserve"> where he left his bloodstained clothes and his knife in a locker. During the </w:t>
      </w:r>
      <w:r w:rsidR="001F55F3">
        <w:rPr>
          <w:lang w:val="en-CA" w:eastAsia="fr-CA"/>
        </w:rPr>
        <w:t xml:space="preserve">ensuing </w:t>
      </w:r>
      <w:r w:rsidRPr="00901865">
        <w:rPr>
          <w:lang w:val="en-CA" w:eastAsia="fr-CA"/>
        </w:rPr>
        <w:t xml:space="preserve">hours, Mr. Tshilumba </w:t>
      </w:r>
      <w:r w:rsidR="00ED1C32">
        <w:rPr>
          <w:lang w:val="en-CA" w:eastAsia="fr-CA"/>
        </w:rPr>
        <w:t>conducted</w:t>
      </w:r>
      <w:r w:rsidRPr="00901865">
        <w:rPr>
          <w:lang w:val="en-CA" w:eastAsia="fr-CA"/>
        </w:rPr>
        <w:t xml:space="preserve"> several </w:t>
      </w:r>
      <w:r w:rsidR="00ED1C32">
        <w:rPr>
          <w:lang w:val="en-CA" w:eastAsia="fr-CA"/>
        </w:rPr>
        <w:t>w</w:t>
      </w:r>
      <w:r w:rsidR="001F55F3">
        <w:rPr>
          <w:lang w:val="en-CA" w:eastAsia="fr-CA"/>
        </w:rPr>
        <w:t xml:space="preserve">eb </w:t>
      </w:r>
      <w:r w:rsidRPr="00901865">
        <w:rPr>
          <w:lang w:val="en-CA" w:eastAsia="fr-CA"/>
        </w:rPr>
        <w:t>searches and consult</w:t>
      </w:r>
      <w:r w:rsidR="00ED1C32">
        <w:rPr>
          <w:lang w:val="en-CA" w:eastAsia="fr-CA"/>
        </w:rPr>
        <w:t>ed</w:t>
      </w:r>
      <w:r w:rsidRPr="00901865">
        <w:rPr>
          <w:lang w:val="en-CA" w:eastAsia="fr-CA"/>
        </w:rPr>
        <w:t xml:space="preserve"> </w:t>
      </w:r>
      <w:r w:rsidR="00CE60E3">
        <w:rPr>
          <w:lang w:val="en-CA" w:eastAsia="fr-CA"/>
        </w:rPr>
        <w:t>websites</w:t>
      </w:r>
      <w:r w:rsidRPr="00901865">
        <w:rPr>
          <w:lang w:val="en-CA" w:eastAsia="fr-CA"/>
        </w:rPr>
        <w:t xml:space="preserve"> to find out if he </w:t>
      </w:r>
      <w:r w:rsidR="00D17897">
        <w:rPr>
          <w:lang w:val="en-CA" w:eastAsia="fr-CA"/>
        </w:rPr>
        <w:t>was</w:t>
      </w:r>
      <w:r w:rsidRPr="00901865">
        <w:rPr>
          <w:lang w:val="en-CA" w:eastAsia="fr-CA"/>
        </w:rPr>
        <w:t xml:space="preserve"> wanted</w:t>
      </w:r>
      <w:r w:rsidR="001F55F3">
        <w:rPr>
          <w:lang w:val="en-CA" w:eastAsia="fr-CA"/>
        </w:rPr>
        <w:t xml:space="preserve"> and</w:t>
      </w:r>
      <w:r w:rsidRPr="00901865">
        <w:rPr>
          <w:lang w:val="en-CA" w:eastAsia="fr-CA"/>
        </w:rPr>
        <w:t xml:space="preserve"> to find the best way to get rid of the murder weapon and destroy the evidence linking him to the murder. </w:t>
      </w:r>
      <w:r w:rsidR="001F55F3">
        <w:rPr>
          <w:lang w:val="en-CA" w:eastAsia="fr-CA"/>
        </w:rPr>
        <w:t>When he went</w:t>
      </w:r>
      <w:r w:rsidRPr="00901865">
        <w:rPr>
          <w:lang w:val="en-CA" w:eastAsia="fr-CA"/>
        </w:rPr>
        <w:t xml:space="preserve"> to </w:t>
      </w:r>
      <w:r w:rsidR="001F55F3">
        <w:rPr>
          <w:lang w:val="en-CA" w:eastAsia="fr-CA"/>
        </w:rPr>
        <w:t xml:space="preserve">the </w:t>
      </w:r>
      <w:r w:rsidRPr="00901865">
        <w:rPr>
          <w:lang w:val="en-CA" w:eastAsia="fr-CA"/>
        </w:rPr>
        <w:t xml:space="preserve">Maxi on April 10, 2016, Mr. Tshilumba </w:t>
      </w:r>
      <w:r w:rsidR="007814EF">
        <w:rPr>
          <w:lang w:val="en-CA" w:eastAsia="fr-CA"/>
        </w:rPr>
        <w:t xml:space="preserve">had </w:t>
      </w:r>
      <w:r w:rsidRPr="00901865">
        <w:rPr>
          <w:lang w:val="en-CA" w:eastAsia="fr-CA"/>
        </w:rPr>
        <w:t>planned to kill Clémence Beaulieu-Patry</w:t>
      </w:r>
      <w:r w:rsidR="00ED1C32">
        <w:rPr>
          <w:lang w:val="en-CA" w:eastAsia="fr-CA"/>
        </w:rPr>
        <w:t>,</w:t>
      </w:r>
      <w:r w:rsidRPr="00901865">
        <w:rPr>
          <w:lang w:val="en-CA" w:eastAsia="fr-CA"/>
        </w:rPr>
        <w:t xml:space="preserve"> and </w:t>
      </w:r>
      <w:r w:rsidR="001E2CA9">
        <w:rPr>
          <w:lang w:val="en-CA" w:eastAsia="fr-CA"/>
        </w:rPr>
        <w:t xml:space="preserve">he </w:t>
      </w:r>
      <w:r w:rsidRPr="00901865">
        <w:rPr>
          <w:lang w:val="en-CA" w:eastAsia="fr-CA"/>
        </w:rPr>
        <w:t xml:space="preserve">stabbed her deliberately. Although he may have </w:t>
      </w:r>
      <w:r w:rsidR="00075F1A">
        <w:rPr>
          <w:lang w:val="en-CA" w:eastAsia="fr-CA"/>
        </w:rPr>
        <w:t xml:space="preserve">been </w:t>
      </w:r>
      <w:r w:rsidRPr="00901865">
        <w:rPr>
          <w:lang w:val="en-CA" w:eastAsia="fr-CA"/>
        </w:rPr>
        <w:t>experienc</w:t>
      </w:r>
      <w:r w:rsidR="00075F1A">
        <w:rPr>
          <w:lang w:val="en-CA" w:eastAsia="fr-CA"/>
        </w:rPr>
        <w:t>ing</w:t>
      </w:r>
      <w:r w:rsidRPr="00901865">
        <w:rPr>
          <w:lang w:val="en-CA" w:eastAsia="fr-CA"/>
        </w:rPr>
        <w:t xml:space="preserve"> </w:t>
      </w:r>
      <w:r w:rsidR="00851899">
        <w:rPr>
          <w:lang w:val="en-CA" w:eastAsia="fr-CA"/>
        </w:rPr>
        <w:t>the first</w:t>
      </w:r>
      <w:r w:rsidRPr="00901865">
        <w:rPr>
          <w:lang w:val="en-CA" w:eastAsia="fr-CA"/>
        </w:rPr>
        <w:t xml:space="preserve"> symptoms of a mental disorder</w:t>
      </w:r>
      <w:r w:rsidR="00075F1A" w:rsidRPr="00075F1A">
        <w:rPr>
          <w:lang w:val="en-CA" w:eastAsia="fr-CA"/>
        </w:rPr>
        <w:t xml:space="preserve"> </w:t>
      </w:r>
      <w:r w:rsidR="00075F1A" w:rsidRPr="00901865">
        <w:rPr>
          <w:lang w:val="en-CA" w:eastAsia="fr-CA"/>
        </w:rPr>
        <w:t>at this time</w:t>
      </w:r>
      <w:r w:rsidRPr="00901865">
        <w:rPr>
          <w:lang w:val="en-CA" w:eastAsia="fr-CA"/>
        </w:rPr>
        <w:t xml:space="preserve">, this did not render him incapable of distinguishing </w:t>
      </w:r>
      <w:r w:rsidR="00D17897">
        <w:rPr>
          <w:lang w:val="en-CA" w:eastAsia="fr-CA"/>
        </w:rPr>
        <w:t xml:space="preserve">between </w:t>
      </w:r>
      <w:r w:rsidRPr="00901865">
        <w:rPr>
          <w:lang w:val="en-CA" w:eastAsia="fr-CA"/>
        </w:rPr>
        <w:t xml:space="preserve">right </w:t>
      </w:r>
      <w:r w:rsidR="00D17897">
        <w:rPr>
          <w:lang w:val="en-CA" w:eastAsia="fr-CA"/>
        </w:rPr>
        <w:t>and</w:t>
      </w:r>
      <w:r w:rsidRPr="00901865">
        <w:rPr>
          <w:lang w:val="en-CA" w:eastAsia="fr-CA"/>
        </w:rPr>
        <w:t xml:space="preserve"> wrong.</w:t>
      </w:r>
    </w:p>
    <w:p w14:paraId="18D87A83" w14:textId="1332A631" w:rsidR="00C0100F" w:rsidRPr="006C5E09" w:rsidRDefault="00C0100F" w:rsidP="000B6E2B">
      <w:pPr>
        <w:pStyle w:val="Citationenretrait"/>
        <w:spacing w:line="240" w:lineRule="auto"/>
        <w:jc w:val="right"/>
        <w:rPr>
          <w:lang w:val="en-CA" w:eastAsia="fr-CA"/>
        </w:rPr>
      </w:pPr>
    </w:p>
    <w:p w14:paraId="43E0ABDC" w14:textId="4FF22C60" w:rsidR="00C0100F" w:rsidRPr="006C5E09" w:rsidRDefault="00D62454" w:rsidP="000B6E2B">
      <w:pPr>
        <w:pStyle w:val="Paragraphe"/>
        <w:spacing w:line="240" w:lineRule="auto"/>
        <w:rPr>
          <w:rFonts w:cs="Arial"/>
          <w:lang w:val="en-CA" w:eastAsia="fr-CA"/>
        </w:rPr>
      </w:pPr>
      <w:r w:rsidRPr="00D62454">
        <w:rPr>
          <w:rFonts w:cs="Arial"/>
          <w:lang w:val="en-CA" w:eastAsia="fr-CA"/>
        </w:rPr>
        <w:t xml:space="preserve">As summarized, the </w:t>
      </w:r>
      <w:r>
        <w:rPr>
          <w:rFonts w:cs="Arial"/>
          <w:lang w:val="en-CA" w:eastAsia="fr-CA"/>
        </w:rPr>
        <w:t>Crown’s</w:t>
      </w:r>
      <w:r w:rsidRPr="00D62454">
        <w:rPr>
          <w:rFonts w:cs="Arial"/>
          <w:lang w:val="en-CA" w:eastAsia="fr-CA"/>
        </w:rPr>
        <w:t xml:space="preserve"> position directly contradict</w:t>
      </w:r>
      <w:r w:rsidR="001E2CA9">
        <w:rPr>
          <w:rFonts w:cs="Arial"/>
          <w:lang w:val="en-CA" w:eastAsia="fr-CA"/>
        </w:rPr>
        <w:t>ed</w:t>
      </w:r>
      <w:r w:rsidRPr="00D62454">
        <w:rPr>
          <w:rFonts w:cs="Arial"/>
          <w:lang w:val="en-CA" w:eastAsia="fr-CA"/>
        </w:rPr>
        <w:t xml:space="preserve"> the </w:t>
      </w:r>
      <w:r w:rsidR="007814EF" w:rsidRPr="00D62454">
        <w:rPr>
          <w:rFonts w:cs="Arial"/>
          <w:lang w:val="en-CA" w:eastAsia="fr-CA"/>
        </w:rPr>
        <w:t>correct</w:t>
      </w:r>
      <w:r w:rsidR="007814EF">
        <w:rPr>
          <w:rFonts w:cs="Arial"/>
          <w:lang w:val="en-CA" w:eastAsia="fr-CA"/>
        </w:rPr>
        <w:t>ive</w:t>
      </w:r>
      <w:r w:rsidR="007814EF" w:rsidRPr="00D62454">
        <w:rPr>
          <w:rFonts w:cs="Arial"/>
          <w:lang w:val="en-CA" w:eastAsia="fr-CA"/>
        </w:rPr>
        <w:t xml:space="preserve"> </w:t>
      </w:r>
      <w:r w:rsidRPr="00D62454">
        <w:rPr>
          <w:rFonts w:cs="Arial"/>
          <w:lang w:val="en-CA" w:eastAsia="fr-CA"/>
        </w:rPr>
        <w:t xml:space="preserve">instruction that the judge had just </w:t>
      </w:r>
      <w:r>
        <w:rPr>
          <w:rFonts w:cs="Arial"/>
          <w:lang w:val="en-CA" w:eastAsia="fr-CA"/>
        </w:rPr>
        <w:t>given</w:t>
      </w:r>
      <w:r w:rsidRPr="00D62454">
        <w:rPr>
          <w:rFonts w:cs="Arial"/>
          <w:lang w:val="en-CA" w:eastAsia="fr-CA"/>
        </w:rPr>
        <w:t xml:space="preserve"> to the jury. In</w:t>
      </w:r>
      <w:r w:rsidR="001E2CA9">
        <w:rPr>
          <w:rFonts w:cs="Arial"/>
          <w:lang w:val="en-CA" w:eastAsia="fr-CA"/>
        </w:rPr>
        <w:t xml:space="preserve"> fact</w:t>
      </w:r>
      <w:r w:rsidRPr="00D62454">
        <w:rPr>
          <w:rFonts w:cs="Arial"/>
          <w:lang w:val="en-CA" w:eastAsia="fr-CA"/>
        </w:rPr>
        <w:t xml:space="preserve">, this position </w:t>
      </w:r>
      <w:r w:rsidR="001E2CA9">
        <w:rPr>
          <w:rFonts w:cs="Arial"/>
          <w:lang w:val="en-CA" w:eastAsia="fr-CA"/>
        </w:rPr>
        <w:t>was</w:t>
      </w:r>
      <w:r w:rsidRPr="00D62454">
        <w:rPr>
          <w:rFonts w:cs="Arial"/>
          <w:lang w:val="en-CA" w:eastAsia="fr-CA"/>
        </w:rPr>
        <w:t xml:space="preserve"> based on evidence that the jury could not consider </w:t>
      </w:r>
      <w:r>
        <w:rPr>
          <w:rFonts w:cs="Arial"/>
          <w:lang w:val="en-CA" w:eastAsia="fr-CA"/>
        </w:rPr>
        <w:t>according to</w:t>
      </w:r>
      <w:r w:rsidRPr="00D62454">
        <w:rPr>
          <w:rFonts w:cs="Arial"/>
          <w:lang w:val="en-CA" w:eastAsia="fr-CA"/>
        </w:rPr>
        <w:t xml:space="preserve"> the </w:t>
      </w:r>
      <w:r w:rsidR="007814EF" w:rsidRPr="00D62454">
        <w:rPr>
          <w:rFonts w:cs="Arial"/>
          <w:lang w:val="en-CA" w:eastAsia="fr-CA"/>
        </w:rPr>
        <w:t>correct</w:t>
      </w:r>
      <w:r w:rsidR="007814EF">
        <w:rPr>
          <w:rFonts w:cs="Arial"/>
          <w:lang w:val="en-CA" w:eastAsia="fr-CA"/>
        </w:rPr>
        <w:t>ive</w:t>
      </w:r>
      <w:r w:rsidR="007814EF" w:rsidRPr="00D62454">
        <w:rPr>
          <w:rFonts w:cs="Arial"/>
          <w:lang w:val="en-CA" w:eastAsia="fr-CA"/>
        </w:rPr>
        <w:t xml:space="preserve"> </w:t>
      </w:r>
      <w:r w:rsidRPr="00D62454">
        <w:rPr>
          <w:rFonts w:cs="Arial"/>
          <w:lang w:val="en-CA" w:eastAsia="fr-CA"/>
        </w:rPr>
        <w:t>instruction</w:t>
      </w:r>
      <w:r w:rsidR="00C0100F" w:rsidRPr="006C5E09">
        <w:rPr>
          <w:rFonts w:cs="Arial"/>
          <w:lang w:val="en-CA" w:eastAsia="fr-CA"/>
        </w:rPr>
        <w:t>.</w:t>
      </w:r>
    </w:p>
    <w:p w14:paraId="1D2E0093" w14:textId="358DDB36" w:rsidR="00C0100F" w:rsidRPr="006C5E09" w:rsidRDefault="00D62454" w:rsidP="000B6E2B">
      <w:pPr>
        <w:pStyle w:val="Paragraphe"/>
        <w:spacing w:line="240" w:lineRule="auto"/>
        <w:rPr>
          <w:rFonts w:cs="Arial"/>
          <w:lang w:val="en-CA" w:eastAsia="fr-CA"/>
        </w:rPr>
      </w:pPr>
      <w:r>
        <w:rPr>
          <w:rFonts w:cs="Arial"/>
          <w:lang w:val="en-CA" w:eastAsia="fr-CA"/>
        </w:rPr>
        <w:t>In addition</w:t>
      </w:r>
      <w:r w:rsidRPr="00D62454">
        <w:rPr>
          <w:rFonts w:cs="Arial"/>
          <w:lang w:val="en-CA" w:eastAsia="fr-CA"/>
        </w:rPr>
        <w:t>, as</w:t>
      </w:r>
      <w:r>
        <w:rPr>
          <w:rFonts w:cs="Arial"/>
          <w:lang w:val="en-CA" w:eastAsia="fr-CA"/>
        </w:rPr>
        <w:t xml:space="preserve"> previously</w:t>
      </w:r>
      <w:r w:rsidRPr="00D62454">
        <w:rPr>
          <w:rFonts w:cs="Arial"/>
          <w:lang w:val="en-CA" w:eastAsia="fr-CA"/>
        </w:rPr>
        <w:t xml:space="preserve"> explained, the </w:t>
      </w:r>
      <w:r>
        <w:rPr>
          <w:rFonts w:cs="Arial"/>
          <w:lang w:val="en-CA" w:eastAsia="fr-CA"/>
        </w:rPr>
        <w:t>Crown</w:t>
      </w:r>
      <w:r w:rsidRPr="00D62454">
        <w:rPr>
          <w:rFonts w:cs="Arial"/>
          <w:lang w:val="en-CA" w:eastAsia="fr-CA"/>
        </w:rPr>
        <w:t xml:space="preserve"> could not rely on the argument that the appellant </w:t>
      </w:r>
      <w:r>
        <w:rPr>
          <w:rFonts w:cs="Arial"/>
          <w:lang w:val="en-CA" w:eastAsia="fr-CA"/>
        </w:rPr>
        <w:t>was experiencing</w:t>
      </w:r>
      <w:r w:rsidRPr="00D62454">
        <w:rPr>
          <w:rFonts w:cs="Arial"/>
          <w:lang w:val="en-CA" w:eastAsia="fr-CA"/>
        </w:rPr>
        <w:t xml:space="preserve"> the first symptoms of a mental disorder when the irrefutable evidence identified </w:t>
      </w:r>
      <w:r w:rsidR="00851899">
        <w:rPr>
          <w:rFonts w:cs="Arial"/>
          <w:lang w:val="en-CA" w:eastAsia="fr-CA"/>
        </w:rPr>
        <w:t xml:space="preserve">that the existence of </w:t>
      </w:r>
      <w:r w:rsidRPr="00D62454">
        <w:rPr>
          <w:rFonts w:cs="Arial"/>
          <w:lang w:val="en-CA" w:eastAsia="fr-CA"/>
        </w:rPr>
        <w:t xml:space="preserve">a mental disorder had been </w:t>
      </w:r>
      <w:r w:rsidR="009B3118" w:rsidRPr="00D62454">
        <w:rPr>
          <w:rFonts w:cs="Arial"/>
          <w:lang w:val="en-CA" w:eastAsia="fr-CA"/>
        </w:rPr>
        <w:t>confirmed several</w:t>
      </w:r>
      <w:r w:rsidRPr="00D62454">
        <w:rPr>
          <w:rFonts w:cs="Arial"/>
          <w:lang w:val="en-CA" w:eastAsia="fr-CA"/>
        </w:rPr>
        <w:t xml:space="preserve"> months</w:t>
      </w:r>
      <w:r>
        <w:rPr>
          <w:rFonts w:cs="Arial"/>
          <w:lang w:val="en-CA" w:eastAsia="fr-CA"/>
        </w:rPr>
        <w:t xml:space="preserve"> earlier</w:t>
      </w:r>
      <w:r w:rsidR="00C0100F" w:rsidRPr="006C5E09">
        <w:rPr>
          <w:rFonts w:cs="Arial"/>
          <w:lang w:val="en-CA" w:eastAsia="fr-CA"/>
        </w:rPr>
        <w:t>.</w:t>
      </w:r>
    </w:p>
    <w:p w14:paraId="08D8BF3A" w14:textId="5942C3A8" w:rsidR="00C0100F" w:rsidRPr="006C5E09" w:rsidRDefault="00C0100F" w:rsidP="000B6E2B">
      <w:pPr>
        <w:pStyle w:val="Paragraphe"/>
        <w:spacing w:line="240" w:lineRule="auto"/>
        <w:rPr>
          <w:rFonts w:cs="Arial"/>
          <w:lang w:val="en-CA" w:eastAsia="fr-CA"/>
        </w:rPr>
      </w:pPr>
      <w:r w:rsidRPr="006C5E09">
        <w:rPr>
          <w:rFonts w:cs="Arial"/>
          <w:lang w:val="en-CA" w:eastAsia="fr-CA"/>
        </w:rPr>
        <w:t xml:space="preserve"> </w:t>
      </w:r>
      <w:r w:rsidR="00252EC1">
        <w:rPr>
          <w:rFonts w:cs="Arial"/>
          <w:lang w:val="en-CA" w:eastAsia="fr-CA"/>
        </w:rPr>
        <w:t>Of course</w:t>
      </w:r>
      <w:r w:rsidR="00252EC1" w:rsidRPr="00252EC1">
        <w:rPr>
          <w:rFonts w:cs="Arial"/>
          <w:lang w:val="en-CA" w:eastAsia="fr-CA"/>
        </w:rPr>
        <w:t>, the judge had the obligation to summarize the position</w:t>
      </w:r>
      <w:r w:rsidR="00851899">
        <w:rPr>
          <w:rFonts w:cs="Arial"/>
          <w:lang w:val="en-CA" w:eastAsia="fr-CA"/>
        </w:rPr>
        <w:t>s</w:t>
      </w:r>
      <w:r w:rsidR="00252EC1" w:rsidRPr="00252EC1">
        <w:rPr>
          <w:rFonts w:cs="Arial"/>
          <w:lang w:val="en-CA" w:eastAsia="fr-CA"/>
        </w:rPr>
        <w:t xml:space="preserve"> of the parties</w:t>
      </w:r>
      <w:r w:rsidR="00252EC1">
        <w:rPr>
          <w:rFonts w:cs="Arial"/>
          <w:lang w:val="en-CA" w:eastAsia="fr-CA"/>
        </w:rPr>
        <w:t>,</w:t>
      </w:r>
      <w:r w:rsidRPr="006C5E09">
        <w:rPr>
          <w:rStyle w:val="Appelnotedebasdep"/>
          <w:rFonts w:cs="Arial"/>
          <w:lang w:val="en-CA" w:eastAsia="fr-CA"/>
        </w:rPr>
        <w:footnoteReference w:id="58"/>
      </w:r>
      <w:r w:rsidRPr="006C5E09">
        <w:rPr>
          <w:rFonts w:cs="Arial"/>
          <w:lang w:val="en-CA" w:eastAsia="fr-CA"/>
        </w:rPr>
        <w:t xml:space="preserve"> </w:t>
      </w:r>
      <w:r w:rsidR="00252EC1" w:rsidRPr="00252EC1">
        <w:rPr>
          <w:rFonts w:cs="Arial"/>
          <w:lang w:val="en-CA" w:eastAsia="fr-CA"/>
        </w:rPr>
        <w:t xml:space="preserve">but she could not simply repeat the summary suggested by the </w:t>
      </w:r>
      <w:r w:rsidR="00252EC1">
        <w:rPr>
          <w:rFonts w:cs="Arial"/>
          <w:lang w:val="en-CA" w:eastAsia="fr-CA"/>
        </w:rPr>
        <w:t>Crown</w:t>
      </w:r>
      <w:r w:rsidR="00252EC1" w:rsidRPr="00252EC1">
        <w:rPr>
          <w:rFonts w:cs="Arial"/>
          <w:lang w:val="en-CA" w:eastAsia="fr-CA"/>
        </w:rPr>
        <w:t xml:space="preserve"> without regard to the plausibility of the position expressed or its c</w:t>
      </w:r>
      <w:r w:rsidR="00252EC1">
        <w:rPr>
          <w:rFonts w:cs="Arial"/>
          <w:lang w:val="en-CA" w:eastAsia="fr-CA"/>
        </w:rPr>
        <w:t>onsistency</w:t>
      </w:r>
      <w:r w:rsidR="00252EC1" w:rsidRPr="00252EC1">
        <w:rPr>
          <w:rFonts w:cs="Arial"/>
          <w:lang w:val="en-CA" w:eastAsia="fr-CA"/>
        </w:rPr>
        <w:t xml:space="preserve"> with the evidence heard by the jury</w:t>
      </w:r>
      <w:r w:rsidR="00252EC1">
        <w:rPr>
          <w:rFonts w:cs="Arial"/>
          <w:lang w:val="en-CA" w:eastAsia="fr-CA"/>
        </w:rPr>
        <w:t>.</w:t>
      </w:r>
      <w:r w:rsidRPr="006C5E09">
        <w:rPr>
          <w:rStyle w:val="Appelnotedebasdep"/>
          <w:rFonts w:cs="Arial"/>
          <w:lang w:val="en-CA" w:eastAsia="fr-CA"/>
        </w:rPr>
        <w:footnoteReference w:id="59"/>
      </w:r>
      <w:r w:rsidRPr="006C5E09">
        <w:rPr>
          <w:rFonts w:cs="Arial"/>
          <w:lang w:val="en-CA" w:eastAsia="fr-CA"/>
        </w:rPr>
        <w:t xml:space="preserve"> </w:t>
      </w:r>
      <w:r w:rsidR="00252EC1" w:rsidRPr="00252EC1">
        <w:rPr>
          <w:rFonts w:cs="Arial"/>
          <w:lang w:val="en-CA" w:eastAsia="fr-CA"/>
        </w:rPr>
        <w:t xml:space="preserve">The </w:t>
      </w:r>
      <w:r w:rsidR="00851899">
        <w:rPr>
          <w:rFonts w:cs="Arial"/>
          <w:lang w:val="en-CA" w:eastAsia="fr-CA"/>
        </w:rPr>
        <w:t xml:space="preserve">judge’s </w:t>
      </w:r>
      <w:r w:rsidR="00252EC1" w:rsidRPr="00252EC1">
        <w:rPr>
          <w:rFonts w:cs="Arial"/>
          <w:lang w:val="en-CA" w:eastAsia="fr-CA"/>
        </w:rPr>
        <w:t>role included an editorial aspect</w:t>
      </w:r>
      <w:r w:rsidR="00252EC1">
        <w:rPr>
          <w:rFonts w:cs="Arial"/>
          <w:lang w:val="en-CA" w:eastAsia="fr-CA"/>
        </w:rPr>
        <w:t>,</w:t>
      </w:r>
      <w:r w:rsidRPr="006C5E09">
        <w:rPr>
          <w:rStyle w:val="Appelnotedebasdep"/>
          <w:rFonts w:cs="Arial"/>
          <w:lang w:val="en-CA" w:eastAsia="fr-CA"/>
        </w:rPr>
        <w:footnoteReference w:id="60"/>
      </w:r>
      <w:r w:rsidRPr="006C5E09">
        <w:rPr>
          <w:rFonts w:cs="Arial"/>
          <w:lang w:val="en-CA" w:eastAsia="fr-CA"/>
        </w:rPr>
        <w:t xml:space="preserve"> </w:t>
      </w:r>
      <w:r w:rsidR="00252EC1" w:rsidRPr="00252EC1">
        <w:rPr>
          <w:rFonts w:cs="Arial"/>
          <w:lang w:val="en-CA" w:eastAsia="fr-CA"/>
        </w:rPr>
        <w:t xml:space="preserve">because </w:t>
      </w:r>
      <w:r w:rsidR="00252EC1">
        <w:rPr>
          <w:rFonts w:cs="Arial"/>
          <w:lang w:val="en-CA" w:eastAsia="fr-CA"/>
        </w:rPr>
        <w:t>she</w:t>
      </w:r>
      <w:r w:rsidR="00252EC1" w:rsidRPr="00252EC1">
        <w:rPr>
          <w:rFonts w:cs="Arial"/>
          <w:lang w:val="en-CA" w:eastAsia="fr-CA"/>
        </w:rPr>
        <w:t xml:space="preserve"> had to correct the statement contained in the </w:t>
      </w:r>
      <w:r w:rsidR="00252EC1">
        <w:rPr>
          <w:rFonts w:cs="Arial"/>
          <w:lang w:val="en-CA" w:eastAsia="fr-CA"/>
        </w:rPr>
        <w:t>Crown’s</w:t>
      </w:r>
      <w:r w:rsidR="00252EC1" w:rsidRPr="00252EC1">
        <w:rPr>
          <w:rFonts w:cs="Arial"/>
          <w:lang w:val="en-CA" w:eastAsia="fr-CA"/>
        </w:rPr>
        <w:t xml:space="preserve"> summary about the fact that he was experiencing</w:t>
      </w:r>
      <w:r w:rsidR="009C645A">
        <w:rPr>
          <w:rFonts w:cs="Arial"/>
          <w:lang w:val="en-CA" w:eastAsia="fr-CA"/>
        </w:rPr>
        <w:t xml:space="preserve"> </w:t>
      </w:r>
      <w:r w:rsidR="009C645A">
        <w:rPr>
          <w:rFonts w:cs="Arial"/>
          <w:lang w:val="en-CA" w:eastAsia="fr-CA"/>
        </w:rPr>
        <w:lastRenderedPageBreak/>
        <w:t>[</w:t>
      </w:r>
      <w:r w:rsidR="009C645A">
        <w:rPr>
          <w:rFonts w:cs="Arial"/>
          <w:smallCaps/>
          <w:lang w:val="en-CA" w:eastAsia="fr-CA"/>
        </w:rPr>
        <w:t>translation</w:t>
      </w:r>
      <w:r w:rsidR="009C645A">
        <w:rPr>
          <w:rFonts w:cs="Arial"/>
          <w:lang w:val="en-CA" w:eastAsia="fr-CA"/>
        </w:rPr>
        <w:t>]</w:t>
      </w:r>
      <w:r w:rsidR="00252EC1" w:rsidRPr="00252EC1">
        <w:rPr>
          <w:rFonts w:cs="Arial"/>
          <w:lang w:val="en-CA" w:eastAsia="fr-CA"/>
        </w:rPr>
        <w:t xml:space="preserve"> </w:t>
      </w:r>
      <w:r w:rsidR="009C645A">
        <w:rPr>
          <w:rFonts w:cs="Arial"/>
          <w:lang w:val="en-CA" w:eastAsia="fr-CA"/>
        </w:rPr>
        <w:t>“</w:t>
      </w:r>
      <w:r w:rsidR="00252EC1" w:rsidRPr="00252EC1">
        <w:rPr>
          <w:rFonts w:cs="Arial"/>
          <w:lang w:val="en-CA" w:eastAsia="fr-CA"/>
        </w:rPr>
        <w:t>the first symptoms of a mental disorder</w:t>
      </w:r>
      <w:r w:rsidR="009C645A">
        <w:rPr>
          <w:rFonts w:cs="Arial"/>
          <w:lang w:val="en-CA" w:eastAsia="fr-CA"/>
        </w:rPr>
        <w:t>”</w:t>
      </w:r>
      <w:r w:rsidR="00252EC1" w:rsidRPr="00252EC1">
        <w:rPr>
          <w:rFonts w:cs="Arial"/>
          <w:lang w:val="en-CA" w:eastAsia="fr-CA"/>
        </w:rPr>
        <w:t xml:space="preserve">, an assertion </w:t>
      </w:r>
      <w:r w:rsidR="009C645A">
        <w:rPr>
          <w:rFonts w:cs="Arial"/>
          <w:lang w:val="en-CA" w:eastAsia="fr-CA"/>
        </w:rPr>
        <w:t>that</w:t>
      </w:r>
      <w:r w:rsidR="00252EC1" w:rsidRPr="00252EC1">
        <w:rPr>
          <w:rFonts w:cs="Arial"/>
          <w:lang w:val="en-CA" w:eastAsia="fr-CA"/>
        </w:rPr>
        <w:t xml:space="preserve"> was not consistent with the evidence</w:t>
      </w:r>
      <w:r w:rsidRPr="006C5E09">
        <w:rPr>
          <w:rFonts w:cs="Arial"/>
          <w:lang w:val="en-CA" w:eastAsia="fr-CA"/>
        </w:rPr>
        <w:t>.</w:t>
      </w:r>
    </w:p>
    <w:p w14:paraId="0C3787E8" w14:textId="6125A6B4" w:rsidR="00986A91" w:rsidRPr="006C5E09" w:rsidRDefault="001C3A09" w:rsidP="000B6E2B">
      <w:pPr>
        <w:pStyle w:val="Paragraphe"/>
        <w:spacing w:line="240" w:lineRule="auto"/>
        <w:rPr>
          <w:lang w:val="en-CA" w:eastAsia="fr-CA"/>
        </w:rPr>
      </w:pPr>
      <w:r>
        <w:rPr>
          <w:lang w:val="en-CA" w:eastAsia="fr-CA"/>
        </w:rPr>
        <w:t xml:space="preserve">This argument is well founded and requires that a new trial be </w:t>
      </w:r>
      <w:r w:rsidR="007F0237">
        <w:rPr>
          <w:lang w:val="en-CA" w:eastAsia="fr-CA"/>
        </w:rPr>
        <w:t>held</w:t>
      </w:r>
      <w:r w:rsidR="00EB2A0D" w:rsidRPr="006C5E09">
        <w:rPr>
          <w:lang w:val="en-CA" w:eastAsia="fr-CA"/>
        </w:rPr>
        <w:t>.</w:t>
      </w:r>
    </w:p>
    <w:p w14:paraId="01B206A3" w14:textId="0715D990" w:rsidR="00C830B3" w:rsidRPr="006C5E09" w:rsidRDefault="001C3A09" w:rsidP="000B6E2B">
      <w:pPr>
        <w:pStyle w:val="Paragraphe"/>
        <w:numPr>
          <w:ilvl w:val="0"/>
          <w:numId w:val="0"/>
        </w:numPr>
        <w:spacing w:line="240" w:lineRule="auto"/>
        <w:rPr>
          <w:b/>
          <w:i/>
          <w:lang w:val="en-CA" w:eastAsia="fr-CA"/>
        </w:rPr>
      </w:pPr>
      <w:r w:rsidRPr="00361D4E">
        <w:rPr>
          <w:b/>
          <w:i/>
          <w:lang w:val="en-CA" w:eastAsia="fr-CA"/>
        </w:rPr>
        <w:t>The instructions as a whole</w:t>
      </w:r>
    </w:p>
    <w:p w14:paraId="191D5724" w14:textId="00D4325B" w:rsidR="00A97081" w:rsidRPr="006C5E09" w:rsidRDefault="001C3A09" w:rsidP="000B6E2B">
      <w:pPr>
        <w:pStyle w:val="Paragraphe"/>
        <w:spacing w:line="240" w:lineRule="auto"/>
        <w:rPr>
          <w:lang w:val="en-CA" w:eastAsia="fr-CA"/>
        </w:rPr>
      </w:pPr>
      <w:r>
        <w:rPr>
          <w:lang w:val="en-CA" w:eastAsia="fr-CA"/>
        </w:rPr>
        <w:t>W</w:t>
      </w:r>
      <w:r w:rsidRPr="001C3A09">
        <w:rPr>
          <w:lang w:val="en-CA" w:eastAsia="fr-CA"/>
        </w:rPr>
        <w:t xml:space="preserve">hen we consider the </w:t>
      </w:r>
      <w:r>
        <w:rPr>
          <w:lang w:val="en-CA" w:eastAsia="fr-CA"/>
        </w:rPr>
        <w:t>instructions</w:t>
      </w:r>
      <w:r w:rsidRPr="001C3A09">
        <w:rPr>
          <w:lang w:val="en-CA" w:eastAsia="fr-CA"/>
        </w:rPr>
        <w:t xml:space="preserve"> as a whole, </w:t>
      </w:r>
      <w:r>
        <w:rPr>
          <w:lang w:val="en-CA" w:eastAsia="fr-CA"/>
        </w:rPr>
        <w:t xml:space="preserve">however, </w:t>
      </w:r>
      <w:r w:rsidRPr="001C3A09">
        <w:rPr>
          <w:lang w:val="en-CA" w:eastAsia="fr-CA"/>
        </w:rPr>
        <w:t>there is more</w:t>
      </w:r>
      <w:r w:rsidR="00A97081" w:rsidRPr="006C5E09">
        <w:rPr>
          <w:lang w:val="en-CA" w:eastAsia="fr-CA"/>
        </w:rPr>
        <w:t>.</w:t>
      </w:r>
    </w:p>
    <w:p w14:paraId="03BE606D" w14:textId="7158E450" w:rsidR="004A34DF" w:rsidRPr="006C5E09" w:rsidRDefault="001C3A09" w:rsidP="000B6E2B">
      <w:pPr>
        <w:pStyle w:val="Paragraphe"/>
        <w:spacing w:line="240" w:lineRule="auto"/>
        <w:rPr>
          <w:rFonts w:cs="Arial"/>
          <w:lang w:val="en-CA" w:eastAsia="fr-CA"/>
        </w:rPr>
      </w:pPr>
      <w:r w:rsidRPr="001C3A09">
        <w:rPr>
          <w:rFonts w:cs="Arial"/>
          <w:lang w:val="en-CA" w:eastAsia="fr-CA"/>
        </w:rPr>
        <w:t xml:space="preserve">Several factors increased the complexity of the </w:t>
      </w:r>
      <w:r>
        <w:rPr>
          <w:rFonts w:cs="Arial"/>
          <w:lang w:val="en-CA" w:eastAsia="fr-CA"/>
        </w:rPr>
        <w:t>instructions</w:t>
      </w:r>
      <w:r w:rsidRPr="001C3A09">
        <w:rPr>
          <w:rFonts w:cs="Arial"/>
          <w:lang w:val="en-CA" w:eastAsia="fr-CA"/>
        </w:rPr>
        <w:t xml:space="preserve">: </w:t>
      </w:r>
      <w:r w:rsidR="007F0237">
        <w:rPr>
          <w:rFonts w:cs="Arial"/>
          <w:lang w:val="en-CA" w:eastAsia="fr-CA"/>
        </w:rPr>
        <w:t>(</w:t>
      </w:r>
      <w:r w:rsidRPr="001C3A09">
        <w:rPr>
          <w:rFonts w:cs="Arial"/>
          <w:lang w:val="en-CA" w:eastAsia="fr-CA"/>
        </w:rPr>
        <w:t xml:space="preserve">1) their length; </w:t>
      </w:r>
      <w:r w:rsidR="007F0237">
        <w:rPr>
          <w:rFonts w:cs="Arial"/>
          <w:lang w:val="en-CA" w:eastAsia="fr-CA"/>
        </w:rPr>
        <w:t>(</w:t>
      </w:r>
      <w:r w:rsidRPr="001C3A09">
        <w:rPr>
          <w:rFonts w:cs="Arial"/>
          <w:lang w:val="en-CA" w:eastAsia="fr-CA"/>
        </w:rPr>
        <w:t xml:space="preserve">2) </w:t>
      </w:r>
      <w:r w:rsidR="0093508F">
        <w:rPr>
          <w:rFonts w:cs="Arial"/>
          <w:lang w:val="en-CA" w:eastAsia="fr-CA"/>
        </w:rPr>
        <w:t xml:space="preserve">the </w:t>
      </w:r>
      <w:r w:rsidRPr="001C3A09">
        <w:rPr>
          <w:rFonts w:cs="Arial"/>
          <w:lang w:val="en-CA" w:eastAsia="fr-CA"/>
        </w:rPr>
        <w:t xml:space="preserve">unnecessary </w:t>
      </w:r>
      <w:r>
        <w:rPr>
          <w:rFonts w:cs="Arial"/>
          <w:lang w:val="en-CA" w:eastAsia="fr-CA"/>
        </w:rPr>
        <w:t>elements</w:t>
      </w:r>
      <w:r w:rsidRPr="001C3A09">
        <w:rPr>
          <w:rFonts w:cs="Arial"/>
          <w:lang w:val="en-CA" w:eastAsia="fr-CA"/>
        </w:rPr>
        <w:t xml:space="preserve">; </w:t>
      </w:r>
      <w:r w:rsidR="007F0237">
        <w:rPr>
          <w:rFonts w:cs="Arial"/>
          <w:lang w:val="en-CA" w:eastAsia="fr-CA"/>
        </w:rPr>
        <w:t>(</w:t>
      </w:r>
      <w:r w:rsidRPr="001C3A09">
        <w:rPr>
          <w:rFonts w:cs="Arial"/>
          <w:lang w:val="en-CA" w:eastAsia="fr-CA"/>
        </w:rPr>
        <w:t xml:space="preserve">3) the summary of the evidence </w:t>
      </w:r>
      <w:r w:rsidR="00361D4E">
        <w:rPr>
          <w:rFonts w:cs="Arial"/>
          <w:lang w:val="en-CA" w:eastAsia="fr-CA"/>
        </w:rPr>
        <w:t>that</w:t>
      </w:r>
      <w:r w:rsidRPr="001C3A09">
        <w:rPr>
          <w:rFonts w:cs="Arial"/>
          <w:lang w:val="en-CA" w:eastAsia="fr-CA"/>
        </w:rPr>
        <w:t xml:space="preserve"> was both too l</w:t>
      </w:r>
      <w:r>
        <w:rPr>
          <w:rFonts w:cs="Arial"/>
          <w:lang w:val="en-CA" w:eastAsia="fr-CA"/>
        </w:rPr>
        <w:t>engthy</w:t>
      </w:r>
      <w:r w:rsidRPr="001C3A09">
        <w:rPr>
          <w:rFonts w:cs="Arial"/>
          <w:lang w:val="en-CA" w:eastAsia="fr-CA"/>
        </w:rPr>
        <w:t xml:space="preserve"> and </w:t>
      </w:r>
      <w:r w:rsidR="00471790">
        <w:rPr>
          <w:rFonts w:cs="Arial"/>
          <w:lang w:val="en-CA" w:eastAsia="fr-CA"/>
        </w:rPr>
        <w:t>unclear</w:t>
      </w:r>
      <w:r w:rsidR="00387390">
        <w:rPr>
          <w:rFonts w:cs="Arial"/>
          <w:lang w:val="en-CA" w:eastAsia="fr-CA"/>
        </w:rPr>
        <w:t>,</w:t>
      </w:r>
      <w:r w:rsidRPr="001C3A09">
        <w:rPr>
          <w:rFonts w:cs="Arial"/>
          <w:lang w:val="en-CA" w:eastAsia="fr-CA"/>
        </w:rPr>
        <w:t xml:space="preserve"> and </w:t>
      </w:r>
      <w:r w:rsidR="00642520">
        <w:rPr>
          <w:rFonts w:cs="Arial"/>
          <w:lang w:val="en-CA" w:eastAsia="fr-CA"/>
        </w:rPr>
        <w:t>(</w:t>
      </w:r>
      <w:r w:rsidRPr="001C3A09">
        <w:rPr>
          <w:rFonts w:cs="Arial"/>
          <w:lang w:val="en-CA" w:eastAsia="fr-CA"/>
        </w:rPr>
        <w:t xml:space="preserve">4) the </w:t>
      </w:r>
      <w:r w:rsidR="00471790">
        <w:rPr>
          <w:rFonts w:cs="Arial"/>
          <w:lang w:val="en-CA" w:eastAsia="fr-CA"/>
        </w:rPr>
        <w:t>lack</w:t>
      </w:r>
      <w:r w:rsidR="00471790" w:rsidRPr="001C3A09">
        <w:rPr>
          <w:rFonts w:cs="Arial"/>
          <w:lang w:val="en-CA" w:eastAsia="fr-CA"/>
        </w:rPr>
        <w:t xml:space="preserve"> </w:t>
      </w:r>
      <w:r w:rsidRPr="001C3A09">
        <w:rPr>
          <w:rFonts w:cs="Arial"/>
          <w:lang w:val="en-CA" w:eastAsia="fr-CA"/>
        </w:rPr>
        <w:t>of written instructions</w:t>
      </w:r>
      <w:r w:rsidR="004A34DF" w:rsidRPr="006C5E09">
        <w:rPr>
          <w:rFonts w:cs="Arial"/>
          <w:lang w:val="en-CA" w:eastAsia="fr-CA"/>
        </w:rPr>
        <w:t>.</w:t>
      </w:r>
    </w:p>
    <w:p w14:paraId="79A80787" w14:textId="7A3BBA8F" w:rsidR="00C830B3" w:rsidRPr="006D0C5D" w:rsidRDefault="00EE5D56" w:rsidP="000B6E2B">
      <w:pPr>
        <w:pStyle w:val="Paragraphe"/>
        <w:spacing w:line="240" w:lineRule="auto"/>
        <w:rPr>
          <w:lang w:val="en-CA" w:eastAsia="fr-CA"/>
        </w:rPr>
      </w:pPr>
      <w:r>
        <w:rPr>
          <w:lang w:val="en-CA" w:eastAsia="fr-CA"/>
        </w:rPr>
        <w:t>Although</w:t>
      </w:r>
      <w:r w:rsidRPr="00EE5D56">
        <w:rPr>
          <w:lang w:val="en-CA" w:eastAsia="fr-CA"/>
        </w:rPr>
        <w:t xml:space="preserve"> the charge to the jury does not have to be perfect, the judge must clarify and simplify it as much as possible. As Bich and Hamilton </w:t>
      </w:r>
      <w:r>
        <w:rPr>
          <w:lang w:val="en-CA" w:eastAsia="fr-CA"/>
        </w:rPr>
        <w:t>JJ.</w:t>
      </w:r>
      <w:r w:rsidR="00471790">
        <w:rPr>
          <w:lang w:val="en-CA" w:eastAsia="fr-CA"/>
        </w:rPr>
        <w:t>A.</w:t>
      </w:r>
      <w:r>
        <w:rPr>
          <w:lang w:val="en-CA" w:eastAsia="fr-CA"/>
        </w:rPr>
        <w:t xml:space="preserve"> </w:t>
      </w:r>
      <w:r w:rsidR="0093508F">
        <w:rPr>
          <w:lang w:val="en-CA" w:eastAsia="fr-CA"/>
        </w:rPr>
        <w:t>explain</w:t>
      </w:r>
      <w:r w:rsidR="00387390">
        <w:rPr>
          <w:lang w:val="en-CA" w:eastAsia="fr-CA"/>
        </w:rPr>
        <w:t>ed</w:t>
      </w:r>
      <w:r w:rsidR="0093508F">
        <w:rPr>
          <w:lang w:val="en-CA" w:eastAsia="fr-CA"/>
        </w:rPr>
        <w:t xml:space="preserve"> </w:t>
      </w:r>
      <w:r w:rsidRPr="00EE5D56">
        <w:rPr>
          <w:lang w:val="en-CA" w:eastAsia="fr-CA"/>
        </w:rPr>
        <w:t xml:space="preserve">in </w:t>
      </w:r>
      <w:r w:rsidR="00C830B3" w:rsidRPr="006C5E09">
        <w:rPr>
          <w:i/>
          <w:lang w:val="en-CA" w:eastAsia="fr-CA"/>
        </w:rPr>
        <w:t>Primeau</w:t>
      </w:r>
      <w:r w:rsidR="00C830B3" w:rsidRPr="006C5E09">
        <w:rPr>
          <w:lang w:val="en-CA" w:eastAsia="fr-CA"/>
        </w:rPr>
        <w:t xml:space="preserve">, </w:t>
      </w:r>
      <w:r w:rsidRPr="00B92A5F">
        <w:rPr>
          <w:rFonts w:cs="Arial"/>
          <w:szCs w:val="24"/>
          <w:lang w:val="en-CA"/>
        </w:rPr>
        <w:t>[</w:t>
      </w:r>
      <w:r w:rsidR="00387390">
        <w:rPr>
          <w:rFonts w:cs="Arial"/>
          <w:smallCaps/>
          <w:szCs w:val="24"/>
          <w:lang w:val="en-CA"/>
        </w:rPr>
        <w:t>translation</w:t>
      </w:r>
      <w:r w:rsidRPr="00B92A5F">
        <w:rPr>
          <w:rFonts w:cs="Arial"/>
          <w:szCs w:val="24"/>
          <w:lang w:val="en-CA"/>
        </w:rPr>
        <w:t>]</w:t>
      </w:r>
      <w:r>
        <w:rPr>
          <w:rFonts w:cs="Arial"/>
          <w:sz w:val="22"/>
          <w:szCs w:val="22"/>
          <w:lang w:val="en-CA"/>
        </w:rPr>
        <w:t xml:space="preserve"> </w:t>
      </w:r>
      <w:r w:rsidRPr="00EE5D56">
        <w:rPr>
          <w:rFonts w:cs="Arial"/>
          <w:szCs w:val="24"/>
          <w:lang w:val="en-CA"/>
        </w:rPr>
        <w:t>“[t]he</w:t>
      </w:r>
      <w:r w:rsidR="00471790">
        <w:rPr>
          <w:rFonts w:cs="Arial"/>
          <w:szCs w:val="24"/>
          <w:lang w:val="en-CA"/>
        </w:rPr>
        <w:t xml:space="preserve"> judge’s task</w:t>
      </w:r>
      <w:r w:rsidRPr="00EE5D56">
        <w:rPr>
          <w:rFonts w:cs="Arial"/>
          <w:szCs w:val="24"/>
          <w:lang w:val="en-CA"/>
        </w:rPr>
        <w:t xml:space="preserve"> is therefore </w:t>
      </w:r>
      <w:r w:rsidR="006D0C5D">
        <w:rPr>
          <w:rFonts w:cs="Arial"/>
          <w:szCs w:val="24"/>
          <w:lang w:val="en-CA"/>
        </w:rPr>
        <w:t>eminently</w:t>
      </w:r>
      <w:r w:rsidRPr="00EE5D56">
        <w:rPr>
          <w:rFonts w:cs="Arial"/>
          <w:szCs w:val="24"/>
          <w:lang w:val="en-CA"/>
        </w:rPr>
        <w:t xml:space="preserve"> education</w:t>
      </w:r>
      <w:r w:rsidR="006D0C5D">
        <w:rPr>
          <w:rFonts w:cs="Arial"/>
          <w:szCs w:val="24"/>
          <w:lang w:val="en-CA"/>
        </w:rPr>
        <w:t>al</w:t>
      </w:r>
      <w:r w:rsidRPr="00EE5D56">
        <w:rPr>
          <w:rFonts w:cs="Arial"/>
          <w:szCs w:val="24"/>
          <w:lang w:val="en-CA"/>
        </w:rPr>
        <w:t xml:space="preserve">, </w:t>
      </w:r>
      <w:r w:rsidR="006D0C5D" w:rsidRPr="00EE5D56">
        <w:rPr>
          <w:rFonts w:cs="Arial"/>
          <w:szCs w:val="24"/>
          <w:lang w:val="en-CA"/>
        </w:rPr>
        <w:t>requir</w:t>
      </w:r>
      <w:r w:rsidR="006D0C5D">
        <w:rPr>
          <w:rFonts w:cs="Arial"/>
          <w:szCs w:val="24"/>
          <w:lang w:val="en-CA"/>
        </w:rPr>
        <w:t>ing</w:t>
      </w:r>
      <w:r w:rsidR="006D0C5D" w:rsidRPr="00EE5D56">
        <w:rPr>
          <w:rFonts w:cs="Arial"/>
          <w:szCs w:val="24"/>
          <w:lang w:val="en-CA"/>
        </w:rPr>
        <w:t xml:space="preserve"> </w:t>
      </w:r>
      <w:r w:rsidRPr="00EE5D56">
        <w:rPr>
          <w:rFonts w:cs="Arial"/>
          <w:szCs w:val="24"/>
          <w:lang w:val="en-CA"/>
        </w:rPr>
        <w:t>structure, clarity, coherence</w:t>
      </w:r>
      <w:r w:rsidR="00387390">
        <w:rPr>
          <w:rFonts w:cs="Arial"/>
          <w:szCs w:val="24"/>
          <w:lang w:val="en-CA"/>
        </w:rPr>
        <w:t>,</w:t>
      </w:r>
      <w:r w:rsidRPr="00EE5D56">
        <w:rPr>
          <w:rFonts w:cs="Arial"/>
          <w:szCs w:val="24"/>
          <w:lang w:val="en-CA"/>
        </w:rPr>
        <w:t xml:space="preserve"> and objectivity, but also a certain </w:t>
      </w:r>
      <w:r w:rsidR="006D0C5D">
        <w:rPr>
          <w:rFonts w:cs="Arial"/>
          <w:szCs w:val="24"/>
          <w:lang w:val="en-CA"/>
        </w:rPr>
        <w:t>ability</w:t>
      </w:r>
      <w:r w:rsidR="006D0C5D" w:rsidRPr="00EE5D56">
        <w:rPr>
          <w:rFonts w:cs="Arial"/>
          <w:szCs w:val="24"/>
          <w:lang w:val="en-CA"/>
        </w:rPr>
        <w:t xml:space="preserve"> </w:t>
      </w:r>
      <w:r w:rsidRPr="00EE5D56">
        <w:rPr>
          <w:rFonts w:cs="Arial"/>
          <w:szCs w:val="24"/>
          <w:lang w:val="en-CA"/>
        </w:rPr>
        <w:t xml:space="preserve">to </w:t>
      </w:r>
      <w:r w:rsidR="00C53152">
        <w:rPr>
          <w:rFonts w:cs="Arial"/>
          <w:szCs w:val="24"/>
          <w:lang w:val="en-CA"/>
        </w:rPr>
        <w:t>simplify</w:t>
      </w:r>
      <w:r w:rsidRPr="00EE5D56">
        <w:rPr>
          <w:rFonts w:cs="Arial"/>
          <w:szCs w:val="24"/>
          <w:lang w:val="en-CA"/>
        </w:rPr>
        <w:t xml:space="preserve"> </w:t>
      </w:r>
      <w:r w:rsidR="00C53152">
        <w:rPr>
          <w:rFonts w:cs="Arial"/>
          <w:szCs w:val="24"/>
          <w:lang w:val="en-CA"/>
        </w:rPr>
        <w:t>without betraying</w:t>
      </w:r>
      <w:r w:rsidRPr="00EE5D56">
        <w:rPr>
          <w:rFonts w:cs="Arial"/>
          <w:szCs w:val="24"/>
          <w:lang w:val="en-CA"/>
        </w:rPr>
        <w:t xml:space="preserve"> the requirements of the law</w:t>
      </w:r>
      <w:r>
        <w:rPr>
          <w:rFonts w:cs="Arial"/>
          <w:szCs w:val="24"/>
          <w:lang w:val="en-CA"/>
        </w:rPr>
        <w:t>”</w:t>
      </w:r>
      <w:r w:rsidR="00C53152">
        <w:rPr>
          <w:rFonts w:cs="Arial"/>
          <w:szCs w:val="24"/>
          <w:lang w:val="en-CA"/>
        </w:rPr>
        <w:t>.</w:t>
      </w:r>
      <w:r w:rsidR="00C830B3" w:rsidRPr="006C5E09">
        <w:rPr>
          <w:rStyle w:val="Appelnotedebasdep"/>
          <w:rFonts w:cs="Arial"/>
          <w:lang w:val="en-CA" w:eastAsia="fr-CA"/>
        </w:rPr>
        <w:footnoteReference w:id="61"/>
      </w:r>
      <w:r>
        <w:rPr>
          <w:rFonts w:cs="Arial"/>
          <w:lang w:val="en-CA" w:eastAsia="fr-CA"/>
        </w:rPr>
        <w:t xml:space="preserve"> </w:t>
      </w:r>
      <w:r w:rsidR="00A9116F" w:rsidRPr="00A9116F">
        <w:rPr>
          <w:lang w:val="en-CA" w:eastAsia="fr-CA"/>
        </w:rPr>
        <w:t xml:space="preserve">In short, the instructions </w:t>
      </w:r>
      <w:r w:rsidR="00A9116F">
        <w:rPr>
          <w:lang w:val="en-CA" w:eastAsia="fr-CA"/>
        </w:rPr>
        <w:t>need</w:t>
      </w:r>
      <w:r w:rsidR="00A9116F" w:rsidRPr="00A9116F">
        <w:rPr>
          <w:lang w:val="en-CA" w:eastAsia="fr-CA"/>
        </w:rPr>
        <w:t xml:space="preserve"> not be perfect, but </w:t>
      </w:r>
      <w:r w:rsidR="0093508F">
        <w:rPr>
          <w:lang w:val="en-CA" w:eastAsia="fr-CA"/>
        </w:rPr>
        <w:t xml:space="preserve">they must be </w:t>
      </w:r>
      <w:r w:rsidR="00A9116F" w:rsidRPr="00A9116F">
        <w:rPr>
          <w:lang w:val="en-CA" w:eastAsia="fr-CA"/>
        </w:rPr>
        <w:t xml:space="preserve">appropriate to the circumstances of </w:t>
      </w:r>
      <w:r w:rsidR="00A9116F" w:rsidRPr="006D0C5D">
        <w:rPr>
          <w:lang w:val="en-CA" w:eastAsia="fr-CA"/>
        </w:rPr>
        <w:t>the case.</w:t>
      </w:r>
      <w:r w:rsidR="00C830B3" w:rsidRPr="006D0C5D">
        <w:rPr>
          <w:rStyle w:val="Appelnotedebasdep"/>
          <w:lang w:val="en-CA" w:eastAsia="fr-CA"/>
        </w:rPr>
        <w:footnoteReference w:id="62"/>
      </w:r>
    </w:p>
    <w:p w14:paraId="568E0036" w14:textId="3CC4044D" w:rsidR="00503385" w:rsidRPr="006D0C5D" w:rsidRDefault="0024504A" w:rsidP="000B6E2B">
      <w:pPr>
        <w:pStyle w:val="Paragraphe"/>
        <w:spacing w:line="240" w:lineRule="auto"/>
        <w:rPr>
          <w:lang w:val="en-CA"/>
        </w:rPr>
      </w:pPr>
      <w:r w:rsidRPr="006D0C5D">
        <w:rPr>
          <w:lang w:val="en-CA"/>
        </w:rPr>
        <w:t>Instructions to the jury must therefore be as complete as necessary, but also as succinct as possible. In pursuit of this objective,</w:t>
      </w:r>
      <w:r w:rsidR="000F1807">
        <w:rPr>
          <w:lang w:val="en-CA"/>
        </w:rPr>
        <w:t>“</w:t>
      </w:r>
      <w:r w:rsidR="00503385" w:rsidRPr="0066627F">
        <w:rPr>
          <w:lang w:val="en-CA"/>
        </w:rPr>
        <w:t>[</w:t>
      </w:r>
      <w:r w:rsidRPr="0066627F">
        <w:rPr>
          <w:lang w:val="en-CA"/>
        </w:rPr>
        <w:t>a</w:t>
      </w:r>
      <w:r w:rsidR="00503385" w:rsidRPr="0066627F">
        <w:rPr>
          <w:lang w:val="en-CA"/>
        </w:rPr>
        <w:t>]</w:t>
      </w:r>
      <w:r w:rsidRPr="0066627F">
        <w:rPr>
          <w:lang w:val="en-CA"/>
        </w:rPr>
        <w:t xml:space="preserve"> </w:t>
      </w:r>
      <w:r w:rsidRPr="0066627F">
        <w:rPr>
          <w:color w:val="000000"/>
          <w:lang w:val="en-CA"/>
        </w:rPr>
        <w:t>trial judge must strike a crucial balance by crafting a jury charge that is both comprehensive and comprehensible</w:t>
      </w:r>
      <w:r w:rsidRPr="006D0C5D">
        <w:rPr>
          <w:color w:val="000000"/>
          <w:lang w:val="en-CA"/>
        </w:rPr>
        <w:t>”.</w:t>
      </w:r>
      <w:r w:rsidR="00503385" w:rsidRPr="006D0C5D">
        <w:rPr>
          <w:rStyle w:val="Appelnotedebasdep"/>
          <w:szCs w:val="24"/>
          <w:lang w:val="en-CA"/>
        </w:rPr>
        <w:footnoteReference w:id="63"/>
      </w:r>
      <w:r w:rsidR="00503385" w:rsidRPr="006D0C5D">
        <w:rPr>
          <w:lang w:val="en-CA" w:eastAsia="fr-CA"/>
        </w:rPr>
        <w:t xml:space="preserve"> </w:t>
      </w:r>
      <w:r w:rsidRPr="006D0C5D">
        <w:rPr>
          <w:lang w:val="en-CA" w:eastAsia="fr-CA"/>
        </w:rPr>
        <w:t>As</w:t>
      </w:r>
      <w:r w:rsidR="00503385" w:rsidRPr="006D0C5D">
        <w:rPr>
          <w:lang w:val="en-CA" w:eastAsia="fr-CA"/>
        </w:rPr>
        <w:t xml:space="preserve"> Binnie </w:t>
      </w:r>
      <w:r w:rsidRPr="006D0C5D">
        <w:rPr>
          <w:lang w:val="en-CA" w:eastAsia="fr-CA"/>
        </w:rPr>
        <w:t>J. point</w:t>
      </w:r>
      <w:r w:rsidR="000F1807">
        <w:rPr>
          <w:lang w:val="en-CA" w:eastAsia="fr-CA"/>
        </w:rPr>
        <w:t>ed</w:t>
      </w:r>
      <w:r w:rsidRPr="006D0C5D">
        <w:rPr>
          <w:lang w:val="en-CA" w:eastAsia="fr-CA"/>
        </w:rPr>
        <w:t xml:space="preserve"> out in</w:t>
      </w:r>
      <w:r w:rsidR="00503385" w:rsidRPr="006D0C5D">
        <w:rPr>
          <w:lang w:val="en-CA" w:eastAsia="fr-CA"/>
        </w:rPr>
        <w:t xml:space="preserve"> </w:t>
      </w:r>
      <w:r w:rsidR="00503385" w:rsidRPr="006D0C5D">
        <w:rPr>
          <w:i/>
          <w:lang w:val="en-CA" w:eastAsia="fr-CA"/>
        </w:rPr>
        <w:t>Royz</w:t>
      </w:r>
      <w:r w:rsidR="000F1807">
        <w:rPr>
          <w:iCs/>
          <w:lang w:val="en-CA" w:eastAsia="fr-CA"/>
        </w:rPr>
        <w:t>,</w:t>
      </w:r>
      <w:r w:rsidR="00503385" w:rsidRPr="006D0C5D">
        <w:rPr>
          <w:lang w:val="en-CA" w:eastAsia="fr-CA"/>
        </w:rPr>
        <w:t xml:space="preserve"> </w:t>
      </w:r>
      <w:r w:rsidR="00C63048" w:rsidRPr="006D0C5D">
        <w:rPr>
          <w:lang w:val="en-CA" w:eastAsia="fr-CA"/>
        </w:rPr>
        <w:t>“</w:t>
      </w:r>
      <w:r w:rsidR="00231C1E">
        <w:rPr>
          <w:lang w:val="en-CA" w:eastAsia="fr-CA"/>
        </w:rPr>
        <w:t>[b]</w:t>
      </w:r>
      <w:r w:rsidR="00C63048" w:rsidRPr="006D0C5D">
        <w:rPr>
          <w:color w:val="000000"/>
          <w:lang w:val="en-CA"/>
        </w:rPr>
        <w:t>revity is the soul of a jury charge that actually helps the jurors to focus on their job provided its members are given an adequate understanding of the relationship between the essential elements of the evidence and the issues they are required to resolve”.</w:t>
      </w:r>
      <w:r w:rsidR="00503385" w:rsidRPr="006D0C5D">
        <w:rPr>
          <w:rStyle w:val="Appelnotedebasdep"/>
          <w:lang w:val="en-CA" w:eastAsia="fr-CA"/>
        </w:rPr>
        <w:footnoteReference w:id="64"/>
      </w:r>
      <w:r w:rsidR="00503385" w:rsidRPr="006D0C5D">
        <w:rPr>
          <w:lang w:val="en-CA" w:eastAsia="fr-CA"/>
        </w:rPr>
        <w:t xml:space="preserve"> </w:t>
      </w:r>
      <w:r w:rsidR="00C63048" w:rsidRPr="006D0C5D">
        <w:rPr>
          <w:lang w:val="en-CA" w:eastAsia="fr-CA"/>
        </w:rPr>
        <w:t xml:space="preserve">That said, </w:t>
      </w:r>
      <w:r w:rsidR="00EA3B7A" w:rsidRPr="006D0C5D">
        <w:rPr>
          <w:lang w:val="en-CA" w:eastAsia="fr-CA"/>
        </w:rPr>
        <w:t>when it comes to</w:t>
      </w:r>
      <w:r w:rsidR="00C63048" w:rsidRPr="006D0C5D">
        <w:rPr>
          <w:lang w:val="en-CA" w:eastAsia="fr-CA"/>
        </w:rPr>
        <w:t xml:space="preserve"> simplify</w:t>
      </w:r>
      <w:r w:rsidR="00EA3B7A" w:rsidRPr="006D0C5D">
        <w:rPr>
          <w:lang w:val="en-CA" w:eastAsia="fr-CA"/>
        </w:rPr>
        <w:t>ing</w:t>
      </w:r>
      <w:r w:rsidR="00C63048" w:rsidRPr="006D0C5D">
        <w:rPr>
          <w:lang w:val="en-CA" w:eastAsia="fr-CA"/>
        </w:rPr>
        <w:t xml:space="preserve"> the jury charge</w:t>
      </w:r>
      <w:r w:rsidR="00EA3B7A" w:rsidRPr="006D0C5D">
        <w:rPr>
          <w:lang w:val="en-CA" w:eastAsia="fr-CA"/>
        </w:rPr>
        <w:t>,</w:t>
      </w:r>
      <w:r w:rsidR="00C63048" w:rsidRPr="006D0C5D">
        <w:rPr>
          <w:lang w:val="en-CA" w:eastAsia="fr-CA"/>
        </w:rPr>
        <w:t xml:space="preserve"> </w:t>
      </w:r>
      <w:r w:rsidR="00EA3B7A" w:rsidRPr="006D0C5D">
        <w:rPr>
          <w:lang w:val="en-CA" w:eastAsia="fr-CA"/>
        </w:rPr>
        <w:t>“[</w:t>
      </w:r>
      <w:r w:rsidR="00EA3B7A" w:rsidRPr="006D0C5D">
        <w:rPr>
          <w:color w:val="000000"/>
          <w:lang w:val="en-CA"/>
        </w:rPr>
        <w:t>o]ver-charging is just as incompatible with this duty as is under-charging”.</w:t>
      </w:r>
      <w:r w:rsidR="00503385" w:rsidRPr="006D0C5D">
        <w:rPr>
          <w:rStyle w:val="Appelnotedebasdep"/>
          <w:lang w:val="en-CA" w:eastAsia="fr-CA"/>
        </w:rPr>
        <w:footnoteReference w:id="65"/>
      </w:r>
    </w:p>
    <w:p w14:paraId="3E23C713" w14:textId="67FF83C0" w:rsidR="00D9352F" w:rsidRPr="006C5E09" w:rsidRDefault="00EA3B7A" w:rsidP="000B6E2B">
      <w:pPr>
        <w:pStyle w:val="Paragraphe"/>
        <w:spacing w:line="240" w:lineRule="auto"/>
        <w:rPr>
          <w:lang w:val="en-CA"/>
        </w:rPr>
      </w:pPr>
      <w:r w:rsidRPr="00EA3B7A">
        <w:rPr>
          <w:lang w:val="en-CA" w:eastAsia="fr-CA"/>
        </w:rPr>
        <w:t xml:space="preserve">In </w:t>
      </w:r>
      <w:r w:rsidR="00231C1E">
        <w:rPr>
          <w:lang w:val="en-CA" w:eastAsia="fr-CA"/>
        </w:rPr>
        <w:t>this</w:t>
      </w:r>
      <w:r>
        <w:rPr>
          <w:lang w:val="en-CA" w:eastAsia="fr-CA"/>
        </w:rPr>
        <w:t xml:space="preserve"> case</w:t>
      </w:r>
      <w:r w:rsidRPr="00EA3B7A">
        <w:rPr>
          <w:lang w:val="en-CA" w:eastAsia="fr-CA"/>
        </w:rPr>
        <w:t xml:space="preserve">, the instructions were too </w:t>
      </w:r>
      <w:r w:rsidR="006D0C5D" w:rsidRPr="00EA3B7A">
        <w:rPr>
          <w:lang w:val="en-CA" w:eastAsia="fr-CA"/>
        </w:rPr>
        <w:t>l</w:t>
      </w:r>
      <w:r w:rsidR="006D0C5D">
        <w:rPr>
          <w:lang w:val="en-CA" w:eastAsia="fr-CA"/>
        </w:rPr>
        <w:t>engthy</w:t>
      </w:r>
      <w:r w:rsidR="006D0C5D" w:rsidRPr="00EA3B7A">
        <w:rPr>
          <w:lang w:val="en-CA" w:eastAsia="fr-CA"/>
        </w:rPr>
        <w:t xml:space="preserve"> </w:t>
      </w:r>
      <w:r w:rsidRPr="00EA3B7A">
        <w:rPr>
          <w:lang w:val="en-CA" w:eastAsia="fr-CA"/>
        </w:rPr>
        <w:t xml:space="preserve">given the </w:t>
      </w:r>
      <w:r w:rsidR="00B76245">
        <w:rPr>
          <w:lang w:val="en-CA" w:eastAsia="fr-CA"/>
        </w:rPr>
        <w:t>issue</w:t>
      </w:r>
      <w:r w:rsidRPr="00EA3B7A">
        <w:rPr>
          <w:lang w:val="en-CA" w:eastAsia="fr-CA"/>
        </w:rPr>
        <w:t xml:space="preserve"> that had to be </w:t>
      </w:r>
      <w:r w:rsidR="00B76245">
        <w:rPr>
          <w:lang w:val="en-CA" w:eastAsia="fr-CA"/>
        </w:rPr>
        <w:t>defined</w:t>
      </w:r>
      <w:r w:rsidRPr="00EA3B7A">
        <w:rPr>
          <w:lang w:val="en-CA" w:eastAsia="fr-CA"/>
        </w:rPr>
        <w:t xml:space="preserve">. </w:t>
      </w:r>
      <w:r w:rsidR="00B76245">
        <w:rPr>
          <w:lang w:val="en-CA" w:eastAsia="fr-CA"/>
        </w:rPr>
        <w:t>In her</w:t>
      </w:r>
      <w:r w:rsidRPr="00EA3B7A">
        <w:rPr>
          <w:lang w:val="en-CA" w:eastAsia="fr-CA"/>
        </w:rPr>
        <w:t xml:space="preserve"> </w:t>
      </w:r>
      <w:r>
        <w:rPr>
          <w:lang w:val="en-CA" w:eastAsia="fr-CA"/>
        </w:rPr>
        <w:t>charge</w:t>
      </w:r>
      <w:r w:rsidR="00B76245">
        <w:rPr>
          <w:lang w:val="en-CA" w:eastAsia="fr-CA"/>
        </w:rPr>
        <w:t>, the judge spoke at length about the</w:t>
      </w:r>
      <w:r w:rsidRPr="00EA3B7A">
        <w:rPr>
          <w:lang w:val="en-CA" w:eastAsia="fr-CA"/>
        </w:rPr>
        <w:t xml:space="preserve"> </w:t>
      </w:r>
      <w:r>
        <w:rPr>
          <w:lang w:val="en-CA" w:eastAsia="fr-CA"/>
        </w:rPr>
        <w:t xml:space="preserve">appellant’s </w:t>
      </w:r>
      <w:r w:rsidRPr="00EA3B7A">
        <w:rPr>
          <w:lang w:val="en-CA" w:eastAsia="fr-CA"/>
        </w:rPr>
        <w:t>mental disorder</w:t>
      </w:r>
      <w:r w:rsidR="00B76245">
        <w:rPr>
          <w:lang w:val="en-CA" w:eastAsia="fr-CA"/>
        </w:rPr>
        <w:t xml:space="preserve"> and gave a </w:t>
      </w:r>
      <w:r w:rsidRPr="00EA3B7A">
        <w:rPr>
          <w:lang w:val="en-CA" w:eastAsia="fr-CA"/>
        </w:rPr>
        <w:t xml:space="preserve">long summary of the evidence </w:t>
      </w:r>
      <w:r w:rsidR="00B76245">
        <w:rPr>
          <w:lang w:val="en-CA" w:eastAsia="fr-CA"/>
        </w:rPr>
        <w:t>on</w:t>
      </w:r>
      <w:r w:rsidRPr="00EA3B7A">
        <w:rPr>
          <w:lang w:val="en-CA" w:eastAsia="fr-CA"/>
        </w:rPr>
        <w:t xml:space="preserve"> this subject. However, in the judge</w:t>
      </w:r>
      <w:r w:rsidR="00492D41">
        <w:rPr>
          <w:lang w:val="en-CA" w:eastAsia="fr-CA"/>
        </w:rPr>
        <w:t>’</w:t>
      </w:r>
      <w:r w:rsidRPr="00EA3B7A">
        <w:rPr>
          <w:lang w:val="en-CA" w:eastAsia="fr-CA"/>
        </w:rPr>
        <w:t xml:space="preserve">s </w:t>
      </w:r>
      <w:r w:rsidR="00492D41">
        <w:rPr>
          <w:lang w:val="en-CA" w:eastAsia="fr-CA"/>
        </w:rPr>
        <w:t xml:space="preserve">own </w:t>
      </w:r>
      <w:r w:rsidRPr="00EA3B7A">
        <w:rPr>
          <w:lang w:val="en-CA" w:eastAsia="fr-CA"/>
        </w:rPr>
        <w:t xml:space="preserve">opinion, which she communicated to the jury, this element was not contested by the </w:t>
      </w:r>
      <w:r w:rsidR="00B76245">
        <w:rPr>
          <w:lang w:val="en-CA" w:eastAsia="fr-CA"/>
        </w:rPr>
        <w:t>Crown</w:t>
      </w:r>
      <w:r w:rsidRPr="00EA3B7A">
        <w:rPr>
          <w:lang w:val="en-CA" w:eastAsia="fr-CA"/>
        </w:rPr>
        <w:t xml:space="preserve">. Its treatment </w:t>
      </w:r>
      <w:r w:rsidR="002378EF">
        <w:rPr>
          <w:lang w:val="en-CA" w:eastAsia="fr-CA"/>
        </w:rPr>
        <w:t>made the</w:t>
      </w:r>
      <w:r w:rsidRPr="00EA3B7A">
        <w:rPr>
          <w:lang w:val="en-CA" w:eastAsia="fr-CA"/>
        </w:rPr>
        <w:t xml:space="preserve"> </w:t>
      </w:r>
      <w:r w:rsidR="00130AA2">
        <w:rPr>
          <w:lang w:val="en-CA" w:eastAsia="fr-CA"/>
        </w:rPr>
        <w:t>instruction</w:t>
      </w:r>
      <w:r w:rsidR="002378EF">
        <w:rPr>
          <w:lang w:val="en-CA" w:eastAsia="fr-CA"/>
        </w:rPr>
        <w:t xml:space="preserve">s needlessly </w:t>
      </w:r>
      <w:r w:rsidR="009E6F3F">
        <w:rPr>
          <w:lang w:val="en-CA" w:eastAsia="fr-CA"/>
        </w:rPr>
        <w:t>onerous</w:t>
      </w:r>
      <w:r w:rsidR="002378EF">
        <w:rPr>
          <w:lang w:val="en-CA" w:eastAsia="fr-CA"/>
        </w:rPr>
        <w:t xml:space="preserve"> </w:t>
      </w:r>
      <w:r w:rsidRPr="00EA3B7A">
        <w:rPr>
          <w:lang w:val="en-CA" w:eastAsia="fr-CA"/>
        </w:rPr>
        <w:t>and only increased their length and complexity.</w:t>
      </w:r>
    </w:p>
    <w:p w14:paraId="7D98FB0A" w14:textId="506E4B7E" w:rsidR="00D9352F" w:rsidRPr="006C5E09" w:rsidRDefault="00CE4D98" w:rsidP="000B6E2B">
      <w:pPr>
        <w:pStyle w:val="Paragraphe"/>
        <w:spacing w:line="240" w:lineRule="auto"/>
        <w:rPr>
          <w:rFonts w:cs="Arial"/>
          <w:lang w:val="en-CA" w:eastAsia="fr-CA"/>
        </w:rPr>
      </w:pPr>
      <w:r w:rsidRPr="00CE4D98">
        <w:rPr>
          <w:rFonts w:cs="Arial"/>
          <w:lang w:val="en-CA" w:eastAsia="fr-CA"/>
        </w:rPr>
        <w:t>It would have been better to simplify this aspect and focus the jury</w:t>
      </w:r>
      <w:r w:rsidR="00E05BC8">
        <w:rPr>
          <w:rFonts w:cs="Arial"/>
          <w:lang w:val="en-CA" w:eastAsia="fr-CA"/>
        </w:rPr>
        <w:t>’</w:t>
      </w:r>
      <w:r w:rsidRPr="00CE4D98">
        <w:rPr>
          <w:rFonts w:cs="Arial"/>
          <w:lang w:val="en-CA" w:eastAsia="fr-CA"/>
        </w:rPr>
        <w:t xml:space="preserve">s attention on the </w:t>
      </w:r>
      <w:r>
        <w:rPr>
          <w:rFonts w:cs="Arial"/>
          <w:lang w:val="en-CA" w:eastAsia="fr-CA"/>
        </w:rPr>
        <w:t>real issue</w:t>
      </w:r>
      <w:r w:rsidRPr="00CE4D98">
        <w:rPr>
          <w:rFonts w:cs="Arial"/>
          <w:lang w:val="en-CA" w:eastAsia="fr-CA"/>
        </w:rPr>
        <w:t xml:space="preserve">: did the appellant know that what he was doing was wrong? If not, did his </w:t>
      </w:r>
      <w:r w:rsidRPr="00CE4D98">
        <w:rPr>
          <w:rFonts w:cs="Arial"/>
          <w:lang w:val="en-CA" w:eastAsia="fr-CA"/>
        </w:rPr>
        <w:lastRenderedPageBreak/>
        <w:t xml:space="preserve">mental disorder raise a reasonable doubt </w:t>
      </w:r>
      <w:r>
        <w:rPr>
          <w:rFonts w:cs="Arial"/>
          <w:lang w:val="en-CA" w:eastAsia="fr-CA"/>
        </w:rPr>
        <w:t>concerning</w:t>
      </w:r>
      <w:r w:rsidRPr="00CE4D98">
        <w:rPr>
          <w:rFonts w:cs="Arial"/>
          <w:lang w:val="en-CA" w:eastAsia="fr-CA"/>
        </w:rPr>
        <w:t xml:space="preserve"> any of the essential elements of the </w:t>
      </w:r>
      <w:r>
        <w:rPr>
          <w:rFonts w:cs="Arial"/>
          <w:lang w:val="en-CA" w:eastAsia="fr-CA"/>
        </w:rPr>
        <w:t>charge</w:t>
      </w:r>
      <w:r w:rsidRPr="00CE4D98">
        <w:rPr>
          <w:rFonts w:cs="Arial"/>
          <w:lang w:val="en-CA" w:eastAsia="fr-CA"/>
        </w:rPr>
        <w:t xml:space="preserve"> against him?</w:t>
      </w:r>
    </w:p>
    <w:p w14:paraId="70E3B859" w14:textId="21F058ED" w:rsidR="00D9352F" w:rsidRPr="006C5E09" w:rsidRDefault="006A2C93" w:rsidP="000B6E2B">
      <w:pPr>
        <w:pStyle w:val="Paragraphe"/>
        <w:spacing w:line="240" w:lineRule="auto"/>
        <w:rPr>
          <w:lang w:val="en-CA" w:eastAsia="fr-CA"/>
        </w:rPr>
      </w:pPr>
      <w:r>
        <w:rPr>
          <w:lang w:val="en-CA" w:eastAsia="fr-CA"/>
        </w:rPr>
        <w:t>In addition</w:t>
      </w:r>
      <w:r w:rsidRPr="006A2C93">
        <w:rPr>
          <w:lang w:val="en-CA" w:eastAsia="fr-CA"/>
        </w:rPr>
        <w:t>, the judge refer</w:t>
      </w:r>
      <w:r w:rsidR="0093508F">
        <w:rPr>
          <w:lang w:val="en-CA" w:eastAsia="fr-CA"/>
        </w:rPr>
        <w:t>red</w:t>
      </w:r>
      <w:r w:rsidRPr="006A2C93">
        <w:rPr>
          <w:lang w:val="en-CA" w:eastAsia="fr-CA"/>
        </w:rPr>
        <w:t xml:space="preserve"> several times in her instructions to the jury to the first </w:t>
      </w:r>
      <w:r w:rsidR="006D0C5D">
        <w:rPr>
          <w:lang w:val="en-CA" w:eastAsia="fr-CA"/>
        </w:rPr>
        <w:t>branch</w:t>
      </w:r>
      <w:r w:rsidR="006D0C5D" w:rsidRPr="006A2C93">
        <w:rPr>
          <w:lang w:val="en-CA" w:eastAsia="fr-CA"/>
        </w:rPr>
        <w:t xml:space="preserve"> </w:t>
      </w:r>
      <w:r w:rsidRPr="006A2C93">
        <w:rPr>
          <w:lang w:val="en-CA" w:eastAsia="fr-CA"/>
        </w:rPr>
        <w:t xml:space="preserve">of the second </w:t>
      </w:r>
      <w:r w:rsidR="006D0C5D">
        <w:rPr>
          <w:lang w:val="en-CA" w:eastAsia="fr-CA"/>
        </w:rPr>
        <w:t>requirement</w:t>
      </w:r>
      <w:r w:rsidR="006D0C5D" w:rsidRPr="006A2C93">
        <w:rPr>
          <w:lang w:val="en-CA" w:eastAsia="fr-CA"/>
        </w:rPr>
        <w:t xml:space="preserve"> </w:t>
      </w:r>
      <w:r w:rsidRPr="006A2C93">
        <w:rPr>
          <w:lang w:val="en-CA" w:eastAsia="fr-CA"/>
        </w:rPr>
        <w:t xml:space="preserve">of the </w:t>
      </w:r>
      <w:r w:rsidR="00EC3877">
        <w:rPr>
          <w:rFonts w:cs="Arial"/>
          <w:lang w:val="en-CA"/>
        </w:rPr>
        <w:t xml:space="preserve">defence of </w:t>
      </w:r>
      <w:r w:rsidRPr="006A2C93">
        <w:rPr>
          <w:lang w:val="en-CA" w:eastAsia="fr-CA"/>
        </w:rPr>
        <w:t>mental disorder, that is</w:t>
      </w:r>
      <w:r>
        <w:rPr>
          <w:lang w:val="en-CA" w:eastAsia="fr-CA"/>
        </w:rPr>
        <w:t>,</w:t>
      </w:r>
      <w:r w:rsidRPr="006A2C93">
        <w:rPr>
          <w:lang w:val="en-CA" w:eastAsia="fr-CA"/>
        </w:rPr>
        <w:t xml:space="preserve"> whether the appellant</w:t>
      </w:r>
      <w:r w:rsidR="00E1088C">
        <w:rPr>
          <w:lang w:val="en-CA" w:eastAsia="fr-CA"/>
        </w:rPr>
        <w:t>’</w:t>
      </w:r>
      <w:r w:rsidRPr="006A2C93">
        <w:rPr>
          <w:lang w:val="en-CA" w:eastAsia="fr-CA"/>
        </w:rPr>
        <w:t xml:space="preserve">s mental disorder deprived him of the capacity to </w:t>
      </w:r>
      <w:r w:rsidR="00D252ED">
        <w:rPr>
          <w:lang w:val="en-CA" w:eastAsia="fr-CA"/>
        </w:rPr>
        <w:t>appreciate</w:t>
      </w:r>
      <w:r w:rsidRPr="006A2C93">
        <w:rPr>
          <w:lang w:val="en-CA" w:eastAsia="fr-CA"/>
        </w:rPr>
        <w:t xml:space="preserve"> the nature and quality of the act </w:t>
      </w:r>
      <w:r>
        <w:rPr>
          <w:lang w:val="en-CA" w:eastAsia="fr-CA"/>
        </w:rPr>
        <w:t>committed, even though</w:t>
      </w:r>
      <w:r w:rsidRPr="006A2C93">
        <w:rPr>
          <w:lang w:val="en-CA" w:eastAsia="fr-CA"/>
        </w:rPr>
        <w:t xml:space="preserve"> the appellant did not rely on the first </w:t>
      </w:r>
      <w:r w:rsidR="006D0C5D">
        <w:rPr>
          <w:lang w:val="en-CA" w:eastAsia="fr-CA"/>
        </w:rPr>
        <w:t>branch</w:t>
      </w:r>
      <w:r w:rsidR="006D0C5D" w:rsidRPr="006A2C93">
        <w:rPr>
          <w:lang w:val="en-CA" w:eastAsia="fr-CA"/>
        </w:rPr>
        <w:t xml:space="preserve"> </w:t>
      </w:r>
      <w:r w:rsidRPr="006A2C93">
        <w:rPr>
          <w:lang w:val="en-CA" w:eastAsia="fr-CA"/>
        </w:rPr>
        <w:t>of this defen</w:t>
      </w:r>
      <w:r>
        <w:rPr>
          <w:lang w:val="en-CA" w:eastAsia="fr-CA"/>
        </w:rPr>
        <w:t>c</w:t>
      </w:r>
      <w:r w:rsidRPr="006A2C93">
        <w:rPr>
          <w:lang w:val="en-CA" w:eastAsia="fr-CA"/>
        </w:rPr>
        <w:t>e</w:t>
      </w:r>
      <w:r w:rsidR="00D9352F" w:rsidRPr="006C5E09">
        <w:rPr>
          <w:rFonts w:cs="Arial"/>
          <w:lang w:val="en-CA" w:eastAsia="fr-CA"/>
        </w:rPr>
        <w:t>.</w:t>
      </w:r>
    </w:p>
    <w:p w14:paraId="6B242923" w14:textId="3E68B657" w:rsidR="00D9352F" w:rsidRPr="00D85D7E" w:rsidRDefault="007E0800" w:rsidP="000B6E2B">
      <w:pPr>
        <w:pStyle w:val="Paragraphe"/>
        <w:spacing w:line="240" w:lineRule="auto"/>
        <w:rPr>
          <w:lang w:val="en-CA" w:eastAsia="fr-CA"/>
        </w:rPr>
      </w:pPr>
      <w:r w:rsidRPr="00D85D7E">
        <w:rPr>
          <w:lang w:val="en-CA" w:eastAsia="fr-CA"/>
        </w:rPr>
        <w:t>It is recognized that model jury instructions</w:t>
      </w:r>
      <w:r w:rsidR="00D9352F" w:rsidRPr="00D85D7E">
        <w:rPr>
          <w:lang w:val="en-CA" w:eastAsia="fr-CA"/>
        </w:rPr>
        <w:t xml:space="preserve"> </w:t>
      </w:r>
      <w:r w:rsidRPr="00D85D7E">
        <w:rPr>
          <w:lang w:val="en-CA" w:eastAsia="fr-CA"/>
        </w:rPr>
        <w:t>“</w:t>
      </w:r>
      <w:r w:rsidRPr="0066627F">
        <w:rPr>
          <w:color w:val="000000"/>
          <w:lang w:val="en-CA"/>
        </w:rPr>
        <w:t>must be molded to reflect the intricacies of each case</w:t>
      </w:r>
      <w:r w:rsidRPr="00D85D7E">
        <w:rPr>
          <w:color w:val="000000"/>
          <w:lang w:val="en-CA"/>
        </w:rPr>
        <w:t>”.</w:t>
      </w:r>
      <w:r w:rsidR="00D9352F" w:rsidRPr="00D85D7E">
        <w:rPr>
          <w:rStyle w:val="Appelnotedebasdep"/>
          <w:rFonts w:cs="Arial"/>
          <w:lang w:val="en-CA" w:eastAsia="fr-CA"/>
        </w:rPr>
        <w:footnoteReference w:id="66"/>
      </w:r>
      <w:r w:rsidR="00D9352F" w:rsidRPr="00D85D7E">
        <w:rPr>
          <w:lang w:val="en-CA" w:eastAsia="fr-CA"/>
        </w:rPr>
        <w:t xml:space="preserve"> </w:t>
      </w:r>
      <w:r w:rsidR="00E1088C">
        <w:rPr>
          <w:lang w:val="en-CA" w:eastAsia="fr-CA"/>
        </w:rPr>
        <w:t>Accordingly</w:t>
      </w:r>
      <w:r w:rsidR="00D9352F" w:rsidRPr="00D85D7E">
        <w:rPr>
          <w:lang w:val="en-CA" w:eastAsia="fr-CA"/>
        </w:rPr>
        <w:t xml:space="preserve">, </w:t>
      </w:r>
      <w:r w:rsidRPr="00D85D7E">
        <w:rPr>
          <w:lang w:val="en-CA" w:eastAsia="fr-CA"/>
        </w:rPr>
        <w:t>“</w:t>
      </w:r>
      <w:r w:rsidR="00D9352F" w:rsidRPr="0066627F">
        <w:rPr>
          <w:rFonts w:cs="Arial"/>
          <w:lang w:val="en-CA" w:eastAsia="fr-CA"/>
        </w:rPr>
        <w:t>[</w:t>
      </w:r>
      <w:r w:rsidRPr="0066627F">
        <w:rPr>
          <w:rFonts w:cs="Arial"/>
          <w:lang w:val="en-CA" w:eastAsia="fr-CA"/>
        </w:rPr>
        <w:t>t</w:t>
      </w:r>
      <w:r w:rsidR="00D9352F" w:rsidRPr="0066627F">
        <w:rPr>
          <w:rFonts w:cs="Arial"/>
          <w:lang w:val="en-CA" w:eastAsia="fr-CA"/>
        </w:rPr>
        <w:t>]</w:t>
      </w:r>
      <w:r w:rsidRPr="00C14943">
        <w:rPr>
          <w:color w:val="000000"/>
          <w:lang w:val="en-CA"/>
        </w:rPr>
        <w:t xml:space="preserve">o </w:t>
      </w:r>
      <w:r w:rsidRPr="0066627F">
        <w:rPr>
          <w:color w:val="000000"/>
          <w:lang w:val="en-CA"/>
        </w:rPr>
        <w:t>the extent that pattern instructions are inapplicable to the facts or law at issue, they must be adjusted</w:t>
      </w:r>
      <w:r w:rsidRPr="00D85D7E">
        <w:rPr>
          <w:rFonts w:cs="Arial"/>
          <w:lang w:val="en-CA" w:eastAsia="fr-CA"/>
        </w:rPr>
        <w:t>”.</w:t>
      </w:r>
      <w:r w:rsidR="00D9352F" w:rsidRPr="00D85D7E">
        <w:rPr>
          <w:rStyle w:val="Appelnotedebasdep"/>
          <w:rFonts w:cs="Arial"/>
          <w:lang w:val="en-CA" w:eastAsia="fr-CA"/>
        </w:rPr>
        <w:footnoteReference w:id="67"/>
      </w:r>
      <w:r w:rsidR="00D9352F" w:rsidRPr="00D85D7E">
        <w:rPr>
          <w:rFonts w:cs="Arial"/>
          <w:lang w:val="en-CA" w:eastAsia="fr-CA"/>
        </w:rPr>
        <w:t xml:space="preserve"> </w:t>
      </w:r>
      <w:r w:rsidRPr="00D85D7E">
        <w:rPr>
          <w:rFonts w:cs="Arial"/>
          <w:lang w:val="en-CA" w:eastAsia="fr-CA"/>
        </w:rPr>
        <w:t xml:space="preserve">If one of the branches of the </w:t>
      </w:r>
      <w:r w:rsidR="00EC3877">
        <w:rPr>
          <w:rFonts w:cs="Arial"/>
          <w:lang w:val="en-CA"/>
        </w:rPr>
        <w:t xml:space="preserve">defence of </w:t>
      </w:r>
      <w:r w:rsidRPr="00D85D7E">
        <w:rPr>
          <w:rFonts w:cs="Arial"/>
          <w:lang w:val="en-CA" w:eastAsia="fr-CA"/>
        </w:rPr>
        <w:t>mental disorder is inapplicable</w:t>
      </w:r>
      <w:r w:rsidR="00D9352F" w:rsidRPr="00D85D7E">
        <w:rPr>
          <w:rFonts w:cs="Arial"/>
          <w:lang w:val="en-CA" w:eastAsia="fr-CA"/>
        </w:rPr>
        <w:t xml:space="preserve">, </w:t>
      </w:r>
      <w:r w:rsidR="00F826D3" w:rsidRPr="00D85D7E">
        <w:rPr>
          <w:rFonts w:cs="Arial"/>
          <w:lang w:val="en-CA" w:eastAsia="fr-CA"/>
        </w:rPr>
        <w:t>it must be deleted from the instructions given to the jury.</w:t>
      </w:r>
      <w:r w:rsidR="00D9352F" w:rsidRPr="00D85D7E">
        <w:rPr>
          <w:rStyle w:val="Appelnotedebasdep"/>
          <w:rFonts w:cs="Arial"/>
          <w:lang w:val="en-CA" w:eastAsia="fr-CA"/>
        </w:rPr>
        <w:footnoteReference w:id="68"/>
      </w:r>
      <w:r w:rsidR="00D9352F" w:rsidRPr="00D85D7E">
        <w:rPr>
          <w:rFonts w:cs="Arial"/>
          <w:lang w:val="en-CA" w:eastAsia="fr-CA"/>
        </w:rPr>
        <w:t xml:space="preserve"> </w:t>
      </w:r>
      <w:r w:rsidR="00F826D3" w:rsidRPr="00D85D7E">
        <w:rPr>
          <w:rFonts w:cs="Arial"/>
          <w:lang w:val="en-CA" w:eastAsia="fr-CA"/>
        </w:rPr>
        <w:t>An “</w:t>
      </w:r>
      <w:r w:rsidR="00F826D3" w:rsidRPr="0066627F">
        <w:rPr>
          <w:color w:val="000000"/>
          <w:lang w:val="en-CA"/>
        </w:rPr>
        <w:t>overreliance on the rote reproduction of excerpts from model jury instructions</w:t>
      </w:r>
      <w:r w:rsidR="00F826D3" w:rsidRPr="00D85D7E">
        <w:rPr>
          <w:color w:val="000000"/>
          <w:lang w:val="en-CA"/>
        </w:rPr>
        <w:t>”</w:t>
      </w:r>
      <w:r w:rsidR="00D9352F" w:rsidRPr="00D85D7E">
        <w:rPr>
          <w:rStyle w:val="Appelnotedebasdep"/>
          <w:rFonts w:cs="Arial"/>
          <w:lang w:val="en-CA" w:eastAsia="fr-CA"/>
        </w:rPr>
        <w:footnoteReference w:id="69"/>
      </w:r>
      <w:r w:rsidR="00F826D3" w:rsidRPr="00D85D7E">
        <w:rPr>
          <w:rFonts w:cs="Arial"/>
          <w:lang w:val="en-CA" w:eastAsia="fr-CA"/>
        </w:rPr>
        <w:t xml:space="preserve"> entails the risk of using superfluous instructions for the case in question.</w:t>
      </w:r>
      <w:r w:rsidR="00D9352F" w:rsidRPr="00D85D7E">
        <w:rPr>
          <w:rStyle w:val="Appelnotedebasdep"/>
          <w:rFonts w:cs="Arial"/>
          <w:lang w:val="en-CA" w:eastAsia="fr-CA"/>
        </w:rPr>
        <w:footnoteReference w:id="70"/>
      </w:r>
    </w:p>
    <w:p w14:paraId="0D045343" w14:textId="0B47047D" w:rsidR="00D9352F" w:rsidRPr="006C5E09" w:rsidRDefault="00B236CE" w:rsidP="000B6E2B">
      <w:pPr>
        <w:pStyle w:val="Paragraphe"/>
        <w:spacing w:line="240" w:lineRule="auto"/>
        <w:rPr>
          <w:lang w:val="en-CA" w:eastAsia="fr-CA"/>
        </w:rPr>
      </w:pPr>
      <w:r>
        <w:rPr>
          <w:lang w:val="en-CA" w:eastAsia="fr-CA"/>
        </w:rPr>
        <w:t>Moreover</w:t>
      </w:r>
      <w:r w:rsidR="00F826D3" w:rsidRPr="00F826D3">
        <w:rPr>
          <w:lang w:val="en-CA" w:eastAsia="fr-CA"/>
        </w:rPr>
        <w:t>, the fact that the instructions were given orally by the judge was likely to make the jury</w:t>
      </w:r>
      <w:r w:rsidR="00FC0EB2">
        <w:rPr>
          <w:lang w:val="en-CA" w:eastAsia="fr-CA"/>
        </w:rPr>
        <w:t>’</w:t>
      </w:r>
      <w:r w:rsidR="00F826D3" w:rsidRPr="00F826D3">
        <w:rPr>
          <w:lang w:val="en-CA" w:eastAsia="fr-CA"/>
        </w:rPr>
        <w:t>s task even more difficult. Although it is not an obligation, provi</w:t>
      </w:r>
      <w:r w:rsidR="00F826D3">
        <w:rPr>
          <w:lang w:val="en-CA" w:eastAsia="fr-CA"/>
        </w:rPr>
        <w:t>ding</w:t>
      </w:r>
      <w:r w:rsidR="00F826D3" w:rsidRPr="00F826D3">
        <w:rPr>
          <w:lang w:val="en-CA" w:eastAsia="fr-CA"/>
        </w:rPr>
        <w:t xml:space="preserve"> written instructions would certainly have made the jury</w:t>
      </w:r>
      <w:r w:rsidR="00FC0EB2">
        <w:rPr>
          <w:lang w:val="en-CA" w:eastAsia="fr-CA"/>
        </w:rPr>
        <w:t>’</w:t>
      </w:r>
      <w:r w:rsidR="00F826D3" w:rsidRPr="00F826D3">
        <w:rPr>
          <w:lang w:val="en-CA" w:eastAsia="fr-CA"/>
        </w:rPr>
        <w:t>s task easier.</w:t>
      </w:r>
      <w:r w:rsidR="00D9352F" w:rsidRPr="006C5E09">
        <w:rPr>
          <w:lang w:val="en-CA" w:eastAsia="fr-CA"/>
        </w:rPr>
        <w:t xml:space="preserve"> </w:t>
      </w:r>
    </w:p>
    <w:p w14:paraId="36494D6E" w14:textId="2F79634E" w:rsidR="00D9352F" w:rsidRPr="006C5E09" w:rsidRDefault="00FC0EB2" w:rsidP="000B6E2B">
      <w:pPr>
        <w:pStyle w:val="Paragraphe"/>
        <w:spacing w:line="240" w:lineRule="auto"/>
        <w:rPr>
          <w:lang w:val="en-CA" w:eastAsia="fr-CA"/>
        </w:rPr>
      </w:pPr>
      <w:r>
        <w:rPr>
          <w:lang w:val="en-CA" w:eastAsia="fr-CA"/>
        </w:rPr>
        <w:t>Recently,</w:t>
      </w:r>
      <w:r w:rsidR="009132CF">
        <w:rPr>
          <w:lang w:val="en-CA" w:eastAsia="fr-CA"/>
        </w:rPr>
        <w:t xml:space="preserve"> </w:t>
      </w:r>
      <w:r>
        <w:rPr>
          <w:lang w:val="en-CA" w:eastAsia="fr-CA"/>
        </w:rPr>
        <w:t xml:space="preserve">in </w:t>
      </w:r>
      <w:r w:rsidR="00D9352F" w:rsidRPr="006C5E09">
        <w:rPr>
          <w:i/>
          <w:lang w:val="en-CA" w:eastAsia="fr-CA"/>
        </w:rPr>
        <w:t>Sorella</w:t>
      </w:r>
      <w:r w:rsidR="00D9352F" w:rsidRPr="006C5E09">
        <w:rPr>
          <w:lang w:val="en-CA" w:eastAsia="fr-CA"/>
        </w:rPr>
        <w:t xml:space="preserve">, </w:t>
      </w:r>
      <w:r w:rsidR="00F826D3">
        <w:rPr>
          <w:lang w:val="en-CA" w:eastAsia="fr-CA"/>
        </w:rPr>
        <w:t>the Court</w:t>
      </w:r>
      <w:r w:rsidR="00D9352F" w:rsidRPr="006C5E09">
        <w:rPr>
          <w:lang w:val="en-CA" w:eastAsia="fr-CA"/>
        </w:rPr>
        <w:t xml:space="preserve"> note</w:t>
      </w:r>
      <w:r>
        <w:rPr>
          <w:lang w:val="en-CA" w:eastAsia="fr-CA"/>
        </w:rPr>
        <w:t>d</w:t>
      </w:r>
      <w:r w:rsidR="00F826D3">
        <w:rPr>
          <w:lang w:val="en-CA" w:eastAsia="fr-CA"/>
        </w:rPr>
        <w:t xml:space="preserve"> that giving the jury a written copy of the instructions is </w:t>
      </w:r>
      <w:r w:rsidR="00F826D3" w:rsidRPr="00B92A5F">
        <w:rPr>
          <w:rFonts w:cs="Arial"/>
          <w:szCs w:val="24"/>
          <w:lang w:val="en-CA"/>
        </w:rPr>
        <w:t>[</w:t>
      </w:r>
      <w:r>
        <w:rPr>
          <w:rFonts w:cs="Arial"/>
          <w:smallCaps/>
          <w:szCs w:val="24"/>
          <w:lang w:val="en-CA"/>
        </w:rPr>
        <w:t>translation</w:t>
      </w:r>
      <w:r w:rsidR="00F826D3" w:rsidRPr="00B92A5F">
        <w:rPr>
          <w:rFonts w:cs="Arial"/>
          <w:szCs w:val="24"/>
          <w:lang w:val="en-CA"/>
        </w:rPr>
        <w:t>]</w:t>
      </w:r>
      <w:r w:rsidR="00D9352F" w:rsidRPr="006C5E09">
        <w:rPr>
          <w:lang w:val="en-CA" w:eastAsia="fr-CA"/>
        </w:rPr>
        <w:t xml:space="preserve"> </w:t>
      </w:r>
      <w:r w:rsidR="00F826D3">
        <w:rPr>
          <w:lang w:val="en-CA" w:eastAsia="fr-CA"/>
        </w:rPr>
        <w:t>“</w:t>
      </w:r>
      <w:r w:rsidR="00F826D3" w:rsidRPr="00F826D3">
        <w:rPr>
          <w:lang w:val="en-CA" w:eastAsia="fr-CA"/>
        </w:rPr>
        <w:t xml:space="preserve">a laudable practice </w:t>
      </w:r>
      <w:r>
        <w:rPr>
          <w:lang w:val="en-CA" w:eastAsia="fr-CA"/>
        </w:rPr>
        <w:t>that should</w:t>
      </w:r>
      <w:r w:rsidR="00F826D3" w:rsidRPr="00F826D3">
        <w:rPr>
          <w:lang w:val="en-CA" w:eastAsia="fr-CA"/>
        </w:rPr>
        <w:t xml:space="preserve"> </w:t>
      </w:r>
      <w:r w:rsidR="000E42A9">
        <w:rPr>
          <w:lang w:val="en-CA" w:eastAsia="fr-CA"/>
        </w:rPr>
        <w:t xml:space="preserve">be </w:t>
      </w:r>
      <w:r w:rsidR="00F826D3" w:rsidRPr="00F826D3">
        <w:rPr>
          <w:lang w:val="en-CA" w:eastAsia="fr-CA"/>
        </w:rPr>
        <w:t>encourage</w:t>
      </w:r>
      <w:r w:rsidR="000E42A9">
        <w:rPr>
          <w:lang w:val="en-CA" w:eastAsia="fr-CA"/>
        </w:rPr>
        <w:t>d</w:t>
      </w:r>
      <w:r>
        <w:rPr>
          <w:lang w:val="en-CA" w:eastAsia="fr-CA"/>
        </w:rPr>
        <w:t>; it has</w:t>
      </w:r>
      <w:r w:rsidR="00F826D3" w:rsidRPr="00F826D3">
        <w:rPr>
          <w:lang w:val="en-CA" w:eastAsia="fr-CA"/>
        </w:rPr>
        <w:t xml:space="preserve"> many </w:t>
      </w:r>
      <w:r>
        <w:rPr>
          <w:lang w:val="en-CA" w:eastAsia="fr-CA"/>
        </w:rPr>
        <w:t>benefits</w:t>
      </w:r>
      <w:r w:rsidR="00F826D3" w:rsidRPr="00F826D3">
        <w:rPr>
          <w:lang w:val="en-CA" w:eastAsia="fr-CA"/>
        </w:rPr>
        <w:t xml:space="preserve">, if only </w:t>
      </w:r>
      <w:r>
        <w:rPr>
          <w:lang w:val="en-CA" w:eastAsia="fr-CA"/>
        </w:rPr>
        <w:t xml:space="preserve">in that it gives </w:t>
      </w:r>
      <w:r w:rsidR="009132CF">
        <w:rPr>
          <w:lang w:val="en-CA" w:eastAsia="fr-CA"/>
        </w:rPr>
        <w:t xml:space="preserve">the </w:t>
      </w:r>
      <w:r w:rsidR="00F826D3" w:rsidRPr="00F826D3">
        <w:rPr>
          <w:lang w:val="en-CA" w:eastAsia="fr-CA"/>
        </w:rPr>
        <w:t xml:space="preserve">jurors </w:t>
      </w:r>
      <w:r>
        <w:rPr>
          <w:lang w:val="en-CA" w:eastAsia="fr-CA"/>
        </w:rPr>
        <w:t xml:space="preserve">unfettered access to the instructions </w:t>
      </w:r>
      <w:r w:rsidR="00F826D3" w:rsidRPr="00F826D3">
        <w:rPr>
          <w:lang w:val="en-CA" w:eastAsia="fr-CA"/>
        </w:rPr>
        <w:t xml:space="preserve">during their deliberations thus </w:t>
      </w:r>
      <w:r>
        <w:rPr>
          <w:lang w:val="en-CA" w:eastAsia="fr-CA"/>
        </w:rPr>
        <w:t xml:space="preserve">allowing them to </w:t>
      </w:r>
      <w:r w:rsidR="00F826D3" w:rsidRPr="00F826D3">
        <w:rPr>
          <w:lang w:val="en-CA" w:eastAsia="fr-CA"/>
        </w:rPr>
        <w:t xml:space="preserve">avoid a misunderstanding of the law, particularly following a long trial </w:t>
      </w:r>
      <w:r>
        <w:rPr>
          <w:lang w:val="en-CA" w:eastAsia="fr-CA"/>
        </w:rPr>
        <w:t>involving many questions of law</w:t>
      </w:r>
      <w:r w:rsidR="000E42A9">
        <w:rPr>
          <w:lang w:val="en-CA" w:eastAsia="fr-CA"/>
        </w:rPr>
        <w:t>”.</w:t>
      </w:r>
      <w:r w:rsidR="00D9352F" w:rsidRPr="006C5E09">
        <w:rPr>
          <w:rStyle w:val="Appelnotedebasdep"/>
          <w:lang w:val="en-CA" w:eastAsia="fr-CA"/>
        </w:rPr>
        <w:footnoteReference w:id="71"/>
      </w:r>
      <w:r w:rsidR="00D9352F" w:rsidRPr="006C5E09">
        <w:rPr>
          <w:lang w:val="en-CA" w:eastAsia="fr-CA"/>
        </w:rPr>
        <w:t xml:space="preserve"> </w:t>
      </w:r>
      <w:r w:rsidR="000E42A9">
        <w:rPr>
          <w:lang w:val="en-CA" w:eastAsia="fr-CA"/>
        </w:rPr>
        <w:t>This was certainly the case here</w:t>
      </w:r>
      <w:r w:rsidR="00D9352F" w:rsidRPr="006C5E09">
        <w:rPr>
          <w:lang w:val="en-CA" w:eastAsia="fr-CA"/>
        </w:rPr>
        <w:t>.</w:t>
      </w:r>
    </w:p>
    <w:p w14:paraId="038B6815" w14:textId="42179EBF" w:rsidR="00D9352F" w:rsidRPr="006C5E09" w:rsidRDefault="00281852" w:rsidP="000B6E2B">
      <w:pPr>
        <w:pStyle w:val="Paragraphe"/>
        <w:spacing w:line="240" w:lineRule="auto"/>
        <w:rPr>
          <w:rFonts w:cs="Arial"/>
          <w:szCs w:val="24"/>
          <w:lang w:val="en-CA" w:eastAsia="fr-CA"/>
        </w:rPr>
      </w:pPr>
      <w:r w:rsidRPr="00281852">
        <w:rPr>
          <w:rFonts w:cs="Arial"/>
          <w:szCs w:val="24"/>
          <w:lang w:val="en-CA" w:eastAsia="fr-CA"/>
        </w:rPr>
        <w:t>Furthermore, a clear advantage arises from holding pre-</w:t>
      </w:r>
      <w:r>
        <w:rPr>
          <w:rFonts w:cs="Arial"/>
          <w:szCs w:val="24"/>
          <w:lang w:val="en-CA" w:eastAsia="fr-CA"/>
        </w:rPr>
        <w:t>charge</w:t>
      </w:r>
      <w:r w:rsidRPr="00281852">
        <w:rPr>
          <w:rFonts w:cs="Arial"/>
          <w:szCs w:val="24"/>
          <w:lang w:val="en-CA" w:eastAsia="fr-CA"/>
        </w:rPr>
        <w:t xml:space="preserve"> conferences and prepar</w:t>
      </w:r>
      <w:r w:rsidR="00502BCF">
        <w:rPr>
          <w:rFonts w:cs="Arial"/>
          <w:szCs w:val="24"/>
          <w:lang w:val="en-CA" w:eastAsia="fr-CA"/>
        </w:rPr>
        <w:t>ing</w:t>
      </w:r>
      <w:r w:rsidRPr="00281852">
        <w:rPr>
          <w:rFonts w:cs="Arial"/>
          <w:szCs w:val="24"/>
          <w:lang w:val="en-CA" w:eastAsia="fr-CA"/>
        </w:rPr>
        <w:t xml:space="preserve"> a written draft </w:t>
      </w:r>
      <w:r w:rsidR="00AF5F78">
        <w:rPr>
          <w:rFonts w:cs="Arial"/>
          <w:szCs w:val="24"/>
          <w:lang w:val="en-CA" w:eastAsia="fr-CA"/>
        </w:rPr>
        <w:t>charge</w:t>
      </w:r>
      <w:r w:rsidRPr="00281852">
        <w:rPr>
          <w:rFonts w:cs="Arial"/>
          <w:szCs w:val="24"/>
          <w:lang w:val="en-CA" w:eastAsia="fr-CA"/>
        </w:rPr>
        <w:t xml:space="preserve">: </w:t>
      </w:r>
      <w:r w:rsidR="00AF5F78">
        <w:rPr>
          <w:rFonts w:cs="Arial"/>
          <w:szCs w:val="24"/>
          <w:lang w:val="en-CA" w:eastAsia="fr-CA"/>
        </w:rPr>
        <w:t>it</w:t>
      </w:r>
      <w:r w:rsidRPr="00281852">
        <w:rPr>
          <w:rFonts w:cs="Arial"/>
          <w:szCs w:val="24"/>
          <w:lang w:val="en-CA" w:eastAsia="fr-CA"/>
        </w:rPr>
        <w:t xml:space="preserve"> can be revised by the judge in light of the </w:t>
      </w:r>
      <w:r w:rsidR="00AF5F78">
        <w:rPr>
          <w:rFonts w:cs="Arial"/>
          <w:szCs w:val="24"/>
          <w:lang w:val="en-CA" w:eastAsia="fr-CA"/>
        </w:rPr>
        <w:t>submissions</w:t>
      </w:r>
      <w:r w:rsidRPr="00281852">
        <w:rPr>
          <w:rFonts w:cs="Arial"/>
          <w:szCs w:val="24"/>
          <w:lang w:val="en-CA" w:eastAsia="fr-CA"/>
        </w:rPr>
        <w:t xml:space="preserve"> of the parties before the </w:t>
      </w:r>
      <w:r w:rsidR="00AF5F78">
        <w:rPr>
          <w:rFonts w:cs="Arial"/>
          <w:szCs w:val="24"/>
          <w:lang w:val="en-CA" w:eastAsia="fr-CA"/>
        </w:rPr>
        <w:t>charge</w:t>
      </w:r>
      <w:r w:rsidRPr="00281852">
        <w:rPr>
          <w:rFonts w:cs="Arial"/>
          <w:szCs w:val="24"/>
          <w:lang w:val="en-CA" w:eastAsia="fr-CA"/>
        </w:rPr>
        <w:t xml:space="preserve"> to the jury </w:t>
      </w:r>
      <w:r w:rsidR="00770240">
        <w:rPr>
          <w:rFonts w:cs="Arial"/>
          <w:szCs w:val="24"/>
          <w:lang w:val="en-CA" w:eastAsia="fr-CA"/>
        </w:rPr>
        <w:t>is given</w:t>
      </w:r>
      <w:r w:rsidR="00503385" w:rsidRPr="00E40681">
        <w:rPr>
          <w:rFonts w:eastAsia="Arial Unicode MS" w:cs="Arial"/>
          <w:color w:val="000000"/>
          <w:kern w:val="0"/>
          <w:szCs w:val="24"/>
          <w:bdr w:val="nil"/>
          <w:lang w:val="en-CA" w:eastAsia="fr-CA"/>
        </w:rPr>
        <w:t>.</w:t>
      </w:r>
      <w:r w:rsidR="00503385" w:rsidRPr="00E40681">
        <w:rPr>
          <w:rStyle w:val="Appelnotedebasdep"/>
          <w:rFonts w:eastAsia="Arial Unicode MS" w:cs="Arial"/>
          <w:color w:val="000000"/>
          <w:kern w:val="0"/>
          <w:szCs w:val="24"/>
          <w:bdr w:val="nil"/>
          <w:lang w:val="en-CA" w:eastAsia="fr-CA"/>
        </w:rPr>
        <w:footnoteReference w:id="72"/>
      </w:r>
      <w:r w:rsidR="00503385" w:rsidRPr="006C5E09">
        <w:rPr>
          <w:rFonts w:cs="Arial"/>
          <w:szCs w:val="24"/>
          <w:lang w:val="en-CA" w:eastAsia="fr-CA"/>
        </w:rPr>
        <w:t xml:space="preserve"> </w:t>
      </w:r>
      <w:r w:rsidR="009132CF">
        <w:rPr>
          <w:rFonts w:cs="Arial"/>
          <w:szCs w:val="24"/>
          <w:lang w:val="en-CA" w:eastAsia="fr-CA"/>
        </w:rPr>
        <w:t>P</w:t>
      </w:r>
      <w:r w:rsidR="00AF5F78" w:rsidRPr="00AF5F78">
        <w:rPr>
          <w:lang w:val="en-CA" w:eastAsia="fr-CA"/>
        </w:rPr>
        <w:t>repar</w:t>
      </w:r>
      <w:r w:rsidR="009132CF">
        <w:rPr>
          <w:lang w:val="en-CA" w:eastAsia="fr-CA"/>
        </w:rPr>
        <w:t>ing</w:t>
      </w:r>
      <w:r w:rsidR="00AF5F78" w:rsidRPr="00AF5F78">
        <w:rPr>
          <w:lang w:val="en-CA" w:eastAsia="fr-CA"/>
        </w:rPr>
        <w:t xml:space="preserve"> a written draft </w:t>
      </w:r>
      <w:r w:rsidR="00AF5F78">
        <w:rPr>
          <w:lang w:val="en-CA" w:eastAsia="fr-CA"/>
        </w:rPr>
        <w:t>charge</w:t>
      </w:r>
      <w:r w:rsidR="00AF5F78" w:rsidRPr="00AF5F78">
        <w:rPr>
          <w:lang w:val="en-CA" w:eastAsia="fr-CA"/>
        </w:rPr>
        <w:t xml:space="preserve"> ensures respect for the right of the parties to be heard on the </w:t>
      </w:r>
      <w:r w:rsidR="009132CF">
        <w:rPr>
          <w:lang w:val="en-CA" w:eastAsia="fr-CA"/>
        </w:rPr>
        <w:t>substance</w:t>
      </w:r>
      <w:r w:rsidR="00AF5F78" w:rsidRPr="00AF5F78">
        <w:rPr>
          <w:lang w:val="en-CA" w:eastAsia="fr-CA"/>
        </w:rPr>
        <w:t xml:space="preserve"> of the </w:t>
      </w:r>
      <w:r w:rsidR="00AF5F78">
        <w:rPr>
          <w:lang w:val="en-CA" w:eastAsia="fr-CA"/>
        </w:rPr>
        <w:t>charge that</w:t>
      </w:r>
      <w:r w:rsidR="00AF5F78" w:rsidRPr="00AF5F78">
        <w:rPr>
          <w:lang w:val="en-CA" w:eastAsia="fr-CA"/>
        </w:rPr>
        <w:t xml:space="preserve"> will be </w:t>
      </w:r>
      <w:r w:rsidR="00E50691">
        <w:rPr>
          <w:lang w:val="en-CA" w:eastAsia="fr-CA"/>
        </w:rPr>
        <w:t>given</w:t>
      </w:r>
      <w:r w:rsidR="00AF5F78" w:rsidRPr="00AF5F78">
        <w:rPr>
          <w:lang w:val="en-CA" w:eastAsia="fr-CA"/>
        </w:rPr>
        <w:t xml:space="preserve"> to the jury. This process minimizes the risk of errors.</w:t>
      </w:r>
    </w:p>
    <w:p w14:paraId="27B3FF19" w14:textId="7269E8FA" w:rsidR="009350A4" w:rsidRPr="006C5E09" w:rsidRDefault="00E50691" w:rsidP="000B6E2B">
      <w:pPr>
        <w:pStyle w:val="Paragraphe"/>
        <w:spacing w:line="240" w:lineRule="auto"/>
        <w:rPr>
          <w:lang w:val="en-CA" w:eastAsia="fr-CA"/>
        </w:rPr>
      </w:pPr>
      <w:r w:rsidRPr="00E50691">
        <w:rPr>
          <w:lang w:val="en-CA" w:eastAsia="fr-CA"/>
        </w:rPr>
        <w:lastRenderedPageBreak/>
        <w:t xml:space="preserve">That said, </w:t>
      </w:r>
      <w:r>
        <w:rPr>
          <w:lang w:val="en-CA" w:eastAsia="fr-CA"/>
        </w:rPr>
        <w:t xml:space="preserve">it should be </w:t>
      </w:r>
      <w:r w:rsidR="00E2127A">
        <w:rPr>
          <w:lang w:val="en-CA" w:eastAsia="fr-CA"/>
        </w:rPr>
        <w:t xml:space="preserve">noted </w:t>
      </w:r>
      <w:r>
        <w:rPr>
          <w:lang w:val="en-CA" w:eastAsia="fr-CA"/>
        </w:rPr>
        <w:t>that</w:t>
      </w:r>
      <w:r w:rsidRPr="00E50691">
        <w:rPr>
          <w:lang w:val="en-CA" w:eastAsia="fr-CA"/>
        </w:rPr>
        <w:t xml:space="preserve"> the </w:t>
      </w:r>
      <w:r w:rsidR="00E34286">
        <w:rPr>
          <w:lang w:val="en-CA" w:eastAsia="fr-CA"/>
        </w:rPr>
        <w:t>lack</w:t>
      </w:r>
      <w:r w:rsidR="00E34286" w:rsidRPr="00E50691">
        <w:rPr>
          <w:lang w:val="en-CA" w:eastAsia="fr-CA"/>
        </w:rPr>
        <w:t xml:space="preserve"> </w:t>
      </w:r>
      <w:r w:rsidRPr="00E50691">
        <w:rPr>
          <w:lang w:val="en-CA" w:eastAsia="fr-CA"/>
        </w:rPr>
        <w:t xml:space="preserve">of written instructions does not, in itself, </w:t>
      </w:r>
      <w:r w:rsidR="00936F44">
        <w:rPr>
          <w:lang w:val="en-CA" w:eastAsia="fr-CA"/>
        </w:rPr>
        <w:t>warrant</w:t>
      </w:r>
      <w:r w:rsidR="00936F44" w:rsidRPr="00E50691">
        <w:rPr>
          <w:lang w:val="en-CA" w:eastAsia="fr-CA"/>
        </w:rPr>
        <w:t xml:space="preserve"> </w:t>
      </w:r>
      <w:r w:rsidRPr="00E50691">
        <w:rPr>
          <w:lang w:val="en-CA" w:eastAsia="fr-CA"/>
        </w:rPr>
        <w:t xml:space="preserve">a new trial. </w:t>
      </w:r>
      <w:r w:rsidR="00E2127A">
        <w:rPr>
          <w:lang w:val="en-CA" w:eastAsia="fr-CA"/>
        </w:rPr>
        <w:t>Written instructions are preferable</w:t>
      </w:r>
      <w:r w:rsidRPr="00E50691">
        <w:rPr>
          <w:lang w:val="en-CA" w:eastAsia="fr-CA"/>
        </w:rPr>
        <w:t xml:space="preserve"> because the advantages clearly outweigh the disadvantages.</w:t>
      </w:r>
      <w:r w:rsidR="00D9352F" w:rsidRPr="006C5E09">
        <w:rPr>
          <w:rStyle w:val="Appelnotedebasdep"/>
          <w:lang w:val="en-CA" w:eastAsia="fr-CA"/>
        </w:rPr>
        <w:footnoteReference w:id="73"/>
      </w:r>
      <w:r w:rsidR="00D9352F" w:rsidRPr="006C5E09">
        <w:rPr>
          <w:lang w:val="en-CA" w:eastAsia="fr-CA"/>
        </w:rPr>
        <w:t xml:space="preserve"> </w:t>
      </w:r>
      <w:r w:rsidR="00E2127A">
        <w:rPr>
          <w:lang w:val="en-CA" w:eastAsia="fr-CA"/>
        </w:rPr>
        <w:t xml:space="preserve">However, what matters is the content of the instructions, that </w:t>
      </w:r>
      <w:r w:rsidR="00E2127A" w:rsidRPr="00E34286">
        <w:rPr>
          <w:lang w:val="en-CA" w:eastAsia="fr-CA"/>
        </w:rPr>
        <w:t>is,</w:t>
      </w:r>
      <w:r w:rsidR="00D9352F" w:rsidRPr="00E34286">
        <w:rPr>
          <w:lang w:val="en-CA" w:eastAsia="fr-CA"/>
        </w:rPr>
        <w:t xml:space="preserve"> </w:t>
      </w:r>
      <w:r w:rsidR="00E2127A" w:rsidRPr="00E34286">
        <w:rPr>
          <w:lang w:val="en-CA" w:eastAsia="fr-CA"/>
        </w:rPr>
        <w:t>“</w:t>
      </w:r>
      <w:r w:rsidR="00E2127A" w:rsidRPr="0066627F">
        <w:rPr>
          <w:lang w:val="en-CA" w:eastAsia="fr-CA"/>
        </w:rPr>
        <w:t>the general sense which the words used must have conveyed … to the mind of the jury</w:t>
      </w:r>
      <w:r w:rsidR="00E2127A" w:rsidRPr="00E34286">
        <w:rPr>
          <w:lang w:val="en-CA" w:eastAsia="fr-CA"/>
        </w:rPr>
        <w:t>”,</w:t>
      </w:r>
      <w:r w:rsidR="00D9352F" w:rsidRPr="00E34286">
        <w:rPr>
          <w:rStyle w:val="Appelnotedebasdep"/>
          <w:lang w:val="en-CA" w:eastAsia="fr-CA"/>
        </w:rPr>
        <w:footnoteReference w:id="74"/>
      </w:r>
      <w:r w:rsidR="00E2127A" w:rsidRPr="00E34286">
        <w:rPr>
          <w:lang w:val="en-CA" w:eastAsia="fr-CA"/>
        </w:rPr>
        <w:t xml:space="preserve"> not the</w:t>
      </w:r>
      <w:r w:rsidR="00E2127A">
        <w:rPr>
          <w:lang w:val="en-CA" w:eastAsia="fr-CA"/>
        </w:rPr>
        <w:t xml:space="preserve"> method used to convey them</w:t>
      </w:r>
      <w:r w:rsidR="00C830B3" w:rsidRPr="006C5E09">
        <w:rPr>
          <w:lang w:val="en-CA" w:eastAsia="fr-CA"/>
        </w:rPr>
        <w:t xml:space="preserve">.  </w:t>
      </w:r>
    </w:p>
    <w:p w14:paraId="180E65EC" w14:textId="54B0BD3C" w:rsidR="00D9352F" w:rsidRPr="006C5E09" w:rsidRDefault="00E2127A" w:rsidP="000B6E2B">
      <w:pPr>
        <w:pStyle w:val="Paragraphe"/>
        <w:spacing w:line="240" w:lineRule="auto"/>
        <w:rPr>
          <w:lang w:val="en-CA" w:eastAsia="fr-CA"/>
        </w:rPr>
      </w:pPr>
      <w:r w:rsidRPr="00E2127A">
        <w:rPr>
          <w:lang w:val="en-CA" w:eastAsia="fr-CA"/>
        </w:rPr>
        <w:t xml:space="preserve">The increase in the use of written instructions goes hand in hand with the </w:t>
      </w:r>
      <w:r>
        <w:rPr>
          <w:lang w:val="en-CA" w:eastAsia="fr-CA"/>
        </w:rPr>
        <w:t>wish</w:t>
      </w:r>
      <w:r w:rsidRPr="00E2127A">
        <w:rPr>
          <w:lang w:val="en-CA" w:eastAsia="fr-CA"/>
        </w:rPr>
        <w:t xml:space="preserve"> explicitly expressed by the Supreme Court for over 25 years to simplify </w:t>
      </w:r>
      <w:r w:rsidR="00F279CE">
        <w:rPr>
          <w:lang w:val="en-CA" w:eastAsia="fr-CA"/>
        </w:rPr>
        <w:t>jury</w:t>
      </w:r>
      <w:r w:rsidRPr="00E2127A">
        <w:rPr>
          <w:lang w:val="en-CA" w:eastAsia="fr-CA"/>
        </w:rPr>
        <w:t xml:space="preserve"> charge</w:t>
      </w:r>
      <w:r w:rsidR="00F279CE">
        <w:rPr>
          <w:lang w:val="en-CA" w:eastAsia="fr-CA"/>
        </w:rPr>
        <w:t>s</w:t>
      </w:r>
      <w:r w:rsidRPr="00E2127A">
        <w:rPr>
          <w:lang w:val="en-CA" w:eastAsia="fr-CA"/>
        </w:rPr>
        <w:t xml:space="preserve">. In </w:t>
      </w:r>
      <w:r w:rsidR="00D9352F" w:rsidRPr="006C5E09">
        <w:rPr>
          <w:i/>
          <w:lang w:val="en-CA" w:eastAsia="fr-CA"/>
        </w:rPr>
        <w:t>Hebert</w:t>
      </w:r>
      <w:r w:rsidR="00D9352F" w:rsidRPr="006C5E09">
        <w:rPr>
          <w:lang w:val="en-CA" w:eastAsia="fr-CA"/>
        </w:rPr>
        <w:t xml:space="preserve">, Cory </w:t>
      </w:r>
      <w:r>
        <w:rPr>
          <w:lang w:val="en-CA" w:eastAsia="fr-CA"/>
        </w:rPr>
        <w:t xml:space="preserve">J. </w:t>
      </w:r>
      <w:r w:rsidR="00F279CE">
        <w:rPr>
          <w:lang w:val="en-CA" w:eastAsia="fr-CA"/>
        </w:rPr>
        <w:t>noted</w:t>
      </w:r>
      <w:r w:rsidRPr="00E34286">
        <w:rPr>
          <w:lang w:val="en-CA" w:eastAsia="fr-CA"/>
        </w:rPr>
        <w:t xml:space="preserve"> that the charge to the jury</w:t>
      </w:r>
      <w:r w:rsidR="00D9352F" w:rsidRPr="00E34286">
        <w:rPr>
          <w:lang w:val="en-CA" w:eastAsia="fr-CA"/>
        </w:rPr>
        <w:t xml:space="preserve"> </w:t>
      </w:r>
      <w:r w:rsidR="00060C82" w:rsidRPr="00E34286">
        <w:rPr>
          <w:lang w:val="en-CA" w:eastAsia="fr-CA"/>
        </w:rPr>
        <w:t>can be “</w:t>
      </w:r>
      <w:r w:rsidR="00060C82" w:rsidRPr="0066627F">
        <w:rPr>
          <w:lang w:val="en-CA" w:eastAsia="fr-CA"/>
        </w:rPr>
        <w:t>so unnecessarily confusing that it constitute[s] an error of law</w:t>
      </w:r>
      <w:r w:rsidR="00060C82" w:rsidRPr="00E34286">
        <w:rPr>
          <w:lang w:val="en-CA" w:eastAsia="fr-CA"/>
        </w:rPr>
        <w:t>”.</w:t>
      </w:r>
      <w:r w:rsidR="00D9352F" w:rsidRPr="00E34286">
        <w:rPr>
          <w:rStyle w:val="Appelnotedebasdep"/>
          <w:lang w:val="en-CA" w:eastAsia="fr-CA"/>
        </w:rPr>
        <w:footnoteReference w:id="75"/>
      </w:r>
      <w:r w:rsidR="00D9352F" w:rsidRPr="00E34286">
        <w:rPr>
          <w:szCs w:val="24"/>
          <w:lang w:val="en-CA"/>
        </w:rPr>
        <w:t xml:space="preserve"> </w:t>
      </w:r>
      <w:r w:rsidR="00060C82" w:rsidRPr="00E34286">
        <w:rPr>
          <w:szCs w:val="24"/>
          <w:lang w:val="en-CA"/>
        </w:rPr>
        <w:t>In</w:t>
      </w:r>
      <w:r w:rsidR="00D9352F" w:rsidRPr="00E34286">
        <w:rPr>
          <w:lang w:val="en-CA" w:eastAsia="fr-CA"/>
        </w:rPr>
        <w:t xml:space="preserve"> </w:t>
      </w:r>
      <w:r w:rsidR="00D9352F" w:rsidRPr="00E34286">
        <w:rPr>
          <w:i/>
          <w:lang w:val="en-CA" w:eastAsia="fr-CA"/>
        </w:rPr>
        <w:t>Jacquard</w:t>
      </w:r>
      <w:r w:rsidR="00D9352F" w:rsidRPr="00E34286">
        <w:rPr>
          <w:lang w:val="en-CA" w:eastAsia="fr-CA"/>
        </w:rPr>
        <w:t xml:space="preserve">, Lamer </w:t>
      </w:r>
      <w:r w:rsidR="00060C82" w:rsidRPr="00E34286">
        <w:rPr>
          <w:lang w:val="en-CA" w:eastAsia="fr-CA"/>
        </w:rPr>
        <w:t xml:space="preserve">C.J. </w:t>
      </w:r>
      <w:r w:rsidR="004852FA">
        <w:rPr>
          <w:lang w:val="en-CA" w:eastAsia="fr-CA"/>
        </w:rPr>
        <w:t>stated,</w:t>
      </w:r>
      <w:r w:rsidR="00D9352F" w:rsidRPr="00E34286">
        <w:rPr>
          <w:lang w:val="en-CA" w:eastAsia="fr-CA"/>
        </w:rPr>
        <w:t xml:space="preserve"> </w:t>
      </w:r>
      <w:r w:rsidR="00060C82" w:rsidRPr="00E34286">
        <w:rPr>
          <w:lang w:val="en-CA" w:eastAsia="fr-CA"/>
        </w:rPr>
        <w:t>“</w:t>
      </w:r>
      <w:r w:rsidR="00060C82" w:rsidRPr="0066627F">
        <w:rPr>
          <w:lang w:val="en-CA" w:eastAsia="fr-CA"/>
        </w:rPr>
        <w:t>I cannot emphasize enough that the role of a trial judge in charging the jury is to decant and simplify</w:t>
      </w:r>
      <w:r w:rsidR="00060C82" w:rsidRPr="00E34286">
        <w:rPr>
          <w:lang w:val="en-CA" w:eastAsia="fr-CA"/>
        </w:rPr>
        <w:t>”.</w:t>
      </w:r>
      <w:r w:rsidR="00D9352F" w:rsidRPr="00E34286">
        <w:rPr>
          <w:rStyle w:val="Appelnotedebasdep"/>
          <w:rFonts w:cs="Arial"/>
          <w:lang w:val="en-CA" w:eastAsia="fr-CA"/>
        </w:rPr>
        <w:footnoteReference w:id="76"/>
      </w:r>
      <w:r w:rsidR="00D9352F" w:rsidRPr="00E34286">
        <w:rPr>
          <w:rFonts w:cs="Arial"/>
          <w:lang w:val="en-CA" w:eastAsia="fr-CA"/>
        </w:rPr>
        <w:t xml:space="preserve"> </w:t>
      </w:r>
      <w:r w:rsidR="00060C82" w:rsidRPr="00E34286">
        <w:rPr>
          <w:rFonts w:cs="Arial"/>
          <w:lang w:val="en-CA" w:eastAsia="fr-CA"/>
        </w:rPr>
        <w:t xml:space="preserve">These calls for organized and structured conciseness in </w:t>
      </w:r>
      <w:r w:rsidR="004852FA">
        <w:rPr>
          <w:rFonts w:cs="Arial"/>
          <w:lang w:val="en-CA" w:eastAsia="fr-CA"/>
        </w:rPr>
        <w:t>jury</w:t>
      </w:r>
      <w:r w:rsidR="00060C82" w:rsidRPr="00E34286">
        <w:rPr>
          <w:rFonts w:cs="Arial"/>
          <w:lang w:val="en-CA" w:eastAsia="fr-CA"/>
        </w:rPr>
        <w:t xml:space="preserve"> charge</w:t>
      </w:r>
      <w:r w:rsidR="004852FA">
        <w:rPr>
          <w:rFonts w:cs="Arial"/>
          <w:lang w:val="en-CA" w:eastAsia="fr-CA"/>
        </w:rPr>
        <w:t>s</w:t>
      </w:r>
      <w:r w:rsidR="00060C82" w:rsidRPr="00E34286">
        <w:rPr>
          <w:rFonts w:cs="Arial"/>
          <w:lang w:val="en-CA" w:eastAsia="fr-CA"/>
        </w:rPr>
        <w:t xml:space="preserve"> </w:t>
      </w:r>
      <w:r w:rsidR="004852FA">
        <w:rPr>
          <w:rFonts w:cs="Arial"/>
          <w:lang w:val="en-CA" w:eastAsia="fr-CA"/>
        </w:rPr>
        <w:t xml:space="preserve">were </w:t>
      </w:r>
      <w:r w:rsidR="00060C82" w:rsidRPr="00E34286">
        <w:rPr>
          <w:rFonts w:cs="Arial"/>
          <w:lang w:val="en-CA" w:eastAsia="fr-CA"/>
        </w:rPr>
        <w:t xml:space="preserve">reiterated in </w:t>
      </w:r>
      <w:r w:rsidR="00D9352F" w:rsidRPr="00E34286">
        <w:rPr>
          <w:rFonts w:cs="Arial"/>
          <w:i/>
          <w:lang w:val="en-CA" w:eastAsia="fr-CA"/>
        </w:rPr>
        <w:t>Rodgerson</w:t>
      </w:r>
      <w:r w:rsidR="00060C82" w:rsidRPr="00E34286">
        <w:rPr>
          <w:rFonts w:cs="Arial"/>
          <w:i/>
          <w:lang w:val="en-CA" w:eastAsia="fr-CA"/>
        </w:rPr>
        <w:t>.</w:t>
      </w:r>
      <w:r w:rsidR="00D9352F" w:rsidRPr="00E34286">
        <w:rPr>
          <w:rStyle w:val="Appelnotedebasdep"/>
          <w:rFonts w:cs="Arial"/>
          <w:lang w:val="en-CA" w:eastAsia="fr-CA"/>
        </w:rPr>
        <w:footnoteReference w:id="77"/>
      </w:r>
    </w:p>
    <w:p w14:paraId="6648587A" w14:textId="3274AB18" w:rsidR="00D9352F" w:rsidRPr="006C5E09" w:rsidRDefault="009E6F3F" w:rsidP="000B6E2B">
      <w:pPr>
        <w:pStyle w:val="Paragraphe"/>
        <w:spacing w:line="240" w:lineRule="auto"/>
        <w:rPr>
          <w:rFonts w:cs="Arial"/>
          <w:lang w:val="en-CA" w:eastAsia="fr-CA"/>
        </w:rPr>
      </w:pPr>
      <w:r w:rsidRPr="009E6F3F">
        <w:rPr>
          <w:rFonts w:cs="Arial"/>
          <w:lang w:val="en-CA" w:eastAsia="fr-CA"/>
        </w:rPr>
        <w:t xml:space="preserve">Another element contributed to the </w:t>
      </w:r>
      <w:r>
        <w:rPr>
          <w:rFonts w:cs="Arial"/>
          <w:lang w:val="en-CA" w:eastAsia="fr-CA"/>
        </w:rPr>
        <w:t xml:space="preserve">onerousness </w:t>
      </w:r>
      <w:r w:rsidRPr="009E6F3F">
        <w:rPr>
          <w:rFonts w:cs="Arial"/>
          <w:lang w:val="en-CA" w:eastAsia="fr-CA"/>
        </w:rPr>
        <w:t xml:space="preserve">and length of the </w:t>
      </w:r>
      <w:r>
        <w:rPr>
          <w:rFonts w:cs="Arial"/>
          <w:lang w:val="en-CA" w:eastAsia="fr-CA"/>
        </w:rPr>
        <w:t>charge</w:t>
      </w:r>
      <w:r w:rsidRPr="009E6F3F">
        <w:rPr>
          <w:rFonts w:cs="Arial"/>
          <w:lang w:val="en-CA" w:eastAsia="fr-CA"/>
        </w:rPr>
        <w:t>. The judge</w:t>
      </w:r>
      <w:r w:rsidR="000D4361">
        <w:rPr>
          <w:rFonts w:cs="Arial"/>
          <w:lang w:val="en-CA" w:eastAsia="fr-CA"/>
        </w:rPr>
        <w:t>’</w:t>
      </w:r>
      <w:r w:rsidRPr="009E6F3F">
        <w:rPr>
          <w:rFonts w:cs="Arial"/>
          <w:lang w:val="en-CA" w:eastAsia="fr-CA"/>
        </w:rPr>
        <w:t>s instructions included a lengthy summary of the evidence, sometimes on uncontested issues</w:t>
      </w:r>
      <w:r w:rsidR="000D4361">
        <w:rPr>
          <w:rFonts w:cs="Arial"/>
          <w:lang w:val="en-CA" w:eastAsia="fr-CA"/>
        </w:rPr>
        <w:t>.</w:t>
      </w:r>
      <w:r w:rsidRPr="009E6F3F">
        <w:rPr>
          <w:rFonts w:cs="Arial"/>
          <w:lang w:val="en-CA" w:eastAsia="fr-CA"/>
        </w:rPr>
        <w:t xml:space="preserve"> </w:t>
      </w:r>
      <w:r w:rsidR="000D4361">
        <w:rPr>
          <w:rFonts w:cs="Arial"/>
          <w:lang w:val="en-CA" w:eastAsia="fr-CA"/>
        </w:rPr>
        <w:t xml:space="preserve">This </w:t>
      </w:r>
      <w:r w:rsidRPr="009E6F3F">
        <w:rPr>
          <w:rFonts w:cs="Arial"/>
          <w:lang w:val="en-CA" w:eastAsia="fr-CA"/>
        </w:rPr>
        <w:t>added an additional layer of difficulty</w:t>
      </w:r>
      <w:r>
        <w:rPr>
          <w:rFonts w:cs="Arial"/>
          <w:lang w:val="en-CA" w:eastAsia="fr-CA"/>
        </w:rPr>
        <w:t xml:space="preserve"> that was</w:t>
      </w:r>
      <w:r w:rsidRPr="009E6F3F">
        <w:rPr>
          <w:rFonts w:cs="Arial"/>
          <w:lang w:val="en-CA" w:eastAsia="fr-CA"/>
        </w:rPr>
        <w:t xml:space="preserve"> unnecessary in many respects. </w:t>
      </w:r>
      <w:r w:rsidR="000D4361">
        <w:rPr>
          <w:rFonts w:cs="Arial"/>
          <w:lang w:val="en-CA" w:eastAsia="fr-CA"/>
        </w:rPr>
        <w:t>It should be recalled</w:t>
      </w:r>
      <w:r w:rsidRPr="009E6F3F">
        <w:rPr>
          <w:rFonts w:cs="Arial"/>
          <w:lang w:val="en-CA" w:eastAsia="fr-CA"/>
        </w:rPr>
        <w:t xml:space="preserve"> that the Supreme Court </w:t>
      </w:r>
      <w:r>
        <w:rPr>
          <w:rFonts w:cs="Arial"/>
          <w:lang w:val="en-CA" w:eastAsia="fr-CA"/>
        </w:rPr>
        <w:t xml:space="preserve">discourages unnecessarily </w:t>
      </w:r>
      <w:r w:rsidR="00E34286">
        <w:rPr>
          <w:rFonts w:cs="Arial"/>
          <w:lang w:val="en-CA" w:eastAsia="fr-CA"/>
        </w:rPr>
        <w:t xml:space="preserve">lengthy </w:t>
      </w:r>
      <w:r w:rsidRPr="009E6F3F">
        <w:rPr>
          <w:rFonts w:cs="Arial"/>
          <w:lang w:val="en-CA" w:eastAsia="fr-CA"/>
        </w:rPr>
        <w:t>summaries of evidence and encourages brevity</w:t>
      </w:r>
      <w:r w:rsidR="000D4361">
        <w:rPr>
          <w:rFonts w:cs="Arial"/>
          <w:lang w:val="en-CA" w:eastAsia="fr-CA"/>
        </w:rPr>
        <w:t>.</w:t>
      </w:r>
      <w:r w:rsidR="00F310D5" w:rsidRPr="006C5E09">
        <w:rPr>
          <w:rStyle w:val="Appelnotedebasdep"/>
          <w:rFonts w:cs="Arial"/>
          <w:lang w:val="en-CA" w:eastAsia="fr-CA"/>
        </w:rPr>
        <w:footnoteReference w:id="78"/>
      </w:r>
      <w:r w:rsidR="004505BC" w:rsidRPr="006C5E09">
        <w:rPr>
          <w:rFonts w:cs="Arial"/>
          <w:lang w:val="en-CA" w:eastAsia="fr-CA"/>
        </w:rPr>
        <w:t xml:space="preserve"> </w:t>
      </w:r>
      <w:r w:rsidRPr="009E6F3F">
        <w:rPr>
          <w:lang w:val="en-CA" w:eastAsia="fr-CA"/>
        </w:rPr>
        <w:t>A summary of each witness</w:t>
      </w:r>
      <w:r w:rsidR="000D4361">
        <w:rPr>
          <w:lang w:val="en-CA" w:eastAsia="fr-CA"/>
        </w:rPr>
        <w:t>’</w:t>
      </w:r>
      <w:r w:rsidRPr="009E6F3F">
        <w:rPr>
          <w:lang w:val="en-CA" w:eastAsia="fr-CA"/>
        </w:rPr>
        <w:t>s testimony is almost always ineffective and unnecessary</w:t>
      </w:r>
      <w:r>
        <w:rPr>
          <w:lang w:val="en-CA" w:eastAsia="fr-CA"/>
        </w:rPr>
        <w:t>.</w:t>
      </w:r>
      <w:r w:rsidR="00D9352F" w:rsidRPr="006C5E09">
        <w:rPr>
          <w:rStyle w:val="Appelnotedebasdep"/>
          <w:lang w:val="en-CA" w:eastAsia="fr-CA"/>
        </w:rPr>
        <w:footnoteReference w:id="79"/>
      </w:r>
      <w:r w:rsidR="00D9352F" w:rsidRPr="006C5E09">
        <w:rPr>
          <w:lang w:val="en-CA" w:eastAsia="fr-CA"/>
        </w:rPr>
        <w:t xml:space="preserve"> </w:t>
      </w:r>
      <w:r w:rsidRPr="009E6F3F">
        <w:rPr>
          <w:lang w:val="en-CA" w:eastAsia="fr-CA"/>
        </w:rPr>
        <w:t xml:space="preserve">The evidence presented at trial must be organized for the jury according to its relevance to the issues to be decided. Otherwise, the jury </w:t>
      </w:r>
      <w:r>
        <w:rPr>
          <w:lang w:val="en-CA" w:eastAsia="fr-CA"/>
        </w:rPr>
        <w:t>may</w:t>
      </w:r>
      <w:r w:rsidRPr="009E6F3F">
        <w:rPr>
          <w:lang w:val="en-CA" w:eastAsia="fr-CA"/>
        </w:rPr>
        <w:t xml:space="preserve"> not appreciat</w:t>
      </w:r>
      <w:r>
        <w:rPr>
          <w:lang w:val="en-CA" w:eastAsia="fr-CA"/>
        </w:rPr>
        <w:t>e</w:t>
      </w:r>
      <w:r w:rsidRPr="009E6F3F">
        <w:rPr>
          <w:lang w:val="en-CA" w:eastAsia="fr-CA"/>
        </w:rPr>
        <w:t xml:space="preserve"> its importance.</w:t>
      </w:r>
      <w:r w:rsidR="00D9352F" w:rsidRPr="006C5E09">
        <w:rPr>
          <w:rStyle w:val="Appelnotedebasdep"/>
          <w:lang w:val="en-CA" w:eastAsia="fr-CA"/>
        </w:rPr>
        <w:footnoteReference w:id="80"/>
      </w:r>
    </w:p>
    <w:p w14:paraId="521A9E12" w14:textId="35375441" w:rsidR="00C830B3" w:rsidRPr="006C5E09" w:rsidRDefault="00D35524" w:rsidP="000B6E2B">
      <w:pPr>
        <w:pStyle w:val="Paragraphe"/>
        <w:spacing w:line="240" w:lineRule="auto"/>
        <w:rPr>
          <w:lang w:val="en-CA" w:eastAsia="fr-CA"/>
        </w:rPr>
      </w:pPr>
      <w:r w:rsidRPr="00D35524">
        <w:rPr>
          <w:lang w:val="en-CA" w:eastAsia="fr-CA"/>
        </w:rPr>
        <w:t>Although the trial judge had considerable leeway in preparing her charge</w:t>
      </w:r>
      <w:r w:rsidR="007E7F49">
        <w:rPr>
          <w:lang w:val="en-CA" w:eastAsia="fr-CA"/>
        </w:rPr>
        <w:t>,</w:t>
      </w:r>
      <w:r w:rsidR="00D9352F" w:rsidRPr="006C5E09">
        <w:rPr>
          <w:rStyle w:val="Appelnotedebasdep"/>
          <w:lang w:val="en-CA" w:eastAsia="fr-CA"/>
        </w:rPr>
        <w:footnoteReference w:id="81"/>
      </w:r>
      <w:r w:rsidR="007E7F49">
        <w:rPr>
          <w:lang w:val="en-CA" w:eastAsia="fr-CA"/>
        </w:rPr>
        <w:t xml:space="preserve"> her</w:t>
      </w:r>
      <w:r w:rsidR="007E7F49" w:rsidRPr="007E7F49">
        <w:rPr>
          <w:lang w:val="en-CA" w:eastAsia="fr-CA"/>
        </w:rPr>
        <w:t xml:space="preserve"> summary of the evidence </w:t>
      </w:r>
      <w:r w:rsidR="00486105">
        <w:rPr>
          <w:lang w:val="en-CA" w:eastAsia="fr-CA"/>
        </w:rPr>
        <w:t>was overly</w:t>
      </w:r>
      <w:r w:rsidR="007E7F49" w:rsidRPr="007E7F49">
        <w:rPr>
          <w:lang w:val="en-CA" w:eastAsia="fr-CA"/>
        </w:rPr>
        <w:t xml:space="preserve"> </w:t>
      </w:r>
      <w:r w:rsidR="007E7F49">
        <w:rPr>
          <w:lang w:val="en-CA" w:eastAsia="fr-CA"/>
        </w:rPr>
        <w:t>exhaustive</w:t>
      </w:r>
      <w:r w:rsidR="007E7F49" w:rsidRPr="007E7F49">
        <w:rPr>
          <w:lang w:val="en-CA" w:eastAsia="fr-CA"/>
        </w:rPr>
        <w:t xml:space="preserve">, which would not necessarily be problematic in itself, if its structure had nonetheless </w:t>
      </w:r>
      <w:r w:rsidR="008735E5">
        <w:rPr>
          <w:lang w:val="en-CA" w:eastAsia="fr-CA"/>
        </w:rPr>
        <w:t>allowed</w:t>
      </w:r>
      <w:r w:rsidR="007E7F49" w:rsidRPr="007E7F49">
        <w:rPr>
          <w:lang w:val="en-CA" w:eastAsia="fr-CA"/>
        </w:rPr>
        <w:t xml:space="preserve"> the jury to readily identify the connection between the relevant evidence and the issues </w:t>
      </w:r>
      <w:r w:rsidR="007E7F49">
        <w:rPr>
          <w:lang w:val="en-CA" w:eastAsia="fr-CA"/>
        </w:rPr>
        <w:t>it</w:t>
      </w:r>
      <w:r w:rsidR="007E7F49" w:rsidRPr="007E7F49">
        <w:rPr>
          <w:lang w:val="en-CA" w:eastAsia="fr-CA"/>
        </w:rPr>
        <w:t xml:space="preserve"> had to determine</w:t>
      </w:r>
      <w:r w:rsidR="007E7F49">
        <w:rPr>
          <w:lang w:val="en-CA" w:eastAsia="fr-CA"/>
        </w:rPr>
        <w:t>.</w:t>
      </w:r>
      <w:r w:rsidR="00D9352F" w:rsidRPr="006C5E09">
        <w:rPr>
          <w:rStyle w:val="Appelnotedebasdep"/>
          <w:lang w:val="en-CA" w:eastAsia="fr-CA"/>
        </w:rPr>
        <w:footnoteReference w:id="82"/>
      </w:r>
    </w:p>
    <w:p w14:paraId="00772D32" w14:textId="63454BC3" w:rsidR="00D9352F" w:rsidRPr="006C5E09" w:rsidRDefault="007E7F49" w:rsidP="000B6E2B">
      <w:pPr>
        <w:pStyle w:val="Paragraphe"/>
        <w:spacing w:line="240" w:lineRule="auto"/>
        <w:rPr>
          <w:lang w:val="en-CA" w:eastAsia="fr-CA"/>
        </w:rPr>
      </w:pPr>
      <w:r>
        <w:rPr>
          <w:lang w:val="en-CA" w:eastAsia="fr-CA"/>
        </w:rPr>
        <w:lastRenderedPageBreak/>
        <w:t>The</w:t>
      </w:r>
      <w:r w:rsidRPr="007E7F49">
        <w:rPr>
          <w:lang w:val="en-CA" w:eastAsia="fr-CA"/>
        </w:rPr>
        <w:t xml:space="preserve"> consequence of </w:t>
      </w:r>
      <w:r>
        <w:rPr>
          <w:lang w:val="en-CA" w:eastAsia="fr-CA"/>
        </w:rPr>
        <w:t xml:space="preserve">all of this was to increase </w:t>
      </w:r>
      <w:r w:rsidRPr="007E7F49">
        <w:rPr>
          <w:lang w:val="en-CA" w:eastAsia="fr-CA"/>
        </w:rPr>
        <w:t>the confusion</w:t>
      </w:r>
      <w:r w:rsidR="00C830B3" w:rsidRPr="006C5E09">
        <w:rPr>
          <w:lang w:val="en-CA" w:eastAsia="fr-CA"/>
        </w:rPr>
        <w:t>.</w:t>
      </w:r>
    </w:p>
    <w:p w14:paraId="54735352" w14:textId="16524F6F" w:rsidR="00A97081" w:rsidRPr="006C5E09" w:rsidRDefault="00DA0F79" w:rsidP="000B6E2B">
      <w:pPr>
        <w:pStyle w:val="Paragraphe"/>
        <w:numPr>
          <w:ilvl w:val="0"/>
          <w:numId w:val="0"/>
        </w:numPr>
        <w:spacing w:line="240" w:lineRule="auto"/>
        <w:rPr>
          <w:rFonts w:cs="Arial"/>
          <w:b/>
          <w:i/>
          <w:lang w:val="en-CA" w:eastAsia="fr-CA"/>
        </w:rPr>
      </w:pPr>
      <w:r>
        <w:rPr>
          <w:rFonts w:cs="Arial"/>
          <w:b/>
          <w:i/>
          <w:lang w:val="en-CA" w:eastAsia="fr-CA"/>
        </w:rPr>
        <w:t>FOURTH</w:t>
      </w:r>
      <w:r w:rsidR="00A97081" w:rsidRPr="006C5E09">
        <w:rPr>
          <w:rFonts w:cs="Arial"/>
          <w:b/>
          <w:i/>
          <w:lang w:val="en-CA" w:eastAsia="fr-CA"/>
        </w:rPr>
        <w:t xml:space="preserve"> </w:t>
      </w:r>
      <w:r w:rsidR="007E7F49">
        <w:rPr>
          <w:rFonts w:cs="Arial"/>
          <w:b/>
          <w:i/>
          <w:lang w:val="en-CA" w:eastAsia="fr-CA"/>
        </w:rPr>
        <w:t>GROUND</w:t>
      </w:r>
      <w:r w:rsidR="00A97081" w:rsidRPr="006C5E09">
        <w:rPr>
          <w:rFonts w:cs="Arial"/>
          <w:b/>
          <w:i/>
          <w:lang w:val="en-CA" w:eastAsia="fr-CA"/>
        </w:rPr>
        <w:t xml:space="preserve">: </w:t>
      </w:r>
      <w:r w:rsidR="0045316C">
        <w:rPr>
          <w:rFonts w:cs="Arial"/>
          <w:b/>
          <w:i/>
          <w:lang w:val="en-CA" w:eastAsia="fr-CA"/>
        </w:rPr>
        <w:t>THE REQUEST TO LISTEN TO THE INSTRUCTIONS AGAIN</w:t>
      </w:r>
    </w:p>
    <w:p w14:paraId="6F64920D" w14:textId="6EBE0AAC" w:rsidR="00A97081" w:rsidRPr="006C5E09" w:rsidRDefault="0045316C" w:rsidP="000B6E2B">
      <w:pPr>
        <w:pStyle w:val="Paragraphe"/>
        <w:spacing w:line="240" w:lineRule="auto"/>
        <w:rPr>
          <w:rFonts w:cs="Arial"/>
          <w:lang w:val="en-CA"/>
        </w:rPr>
      </w:pPr>
      <w:r w:rsidRPr="0045316C">
        <w:rPr>
          <w:rFonts w:cs="Arial"/>
          <w:lang w:val="en-CA"/>
        </w:rPr>
        <w:t xml:space="preserve">The appellant </w:t>
      </w:r>
      <w:r w:rsidR="00486105">
        <w:rPr>
          <w:rFonts w:cs="Arial"/>
          <w:lang w:val="en-CA"/>
        </w:rPr>
        <w:t>states</w:t>
      </w:r>
      <w:r w:rsidR="00486105" w:rsidRPr="0045316C">
        <w:rPr>
          <w:rFonts w:cs="Arial"/>
          <w:lang w:val="en-CA"/>
        </w:rPr>
        <w:t xml:space="preserve"> </w:t>
      </w:r>
      <w:r w:rsidRPr="0045316C">
        <w:rPr>
          <w:rFonts w:cs="Arial"/>
          <w:lang w:val="en-CA"/>
        </w:rPr>
        <w:t xml:space="preserve">that the trial judge erred in offering the jury the choice of </w:t>
      </w:r>
      <w:r w:rsidR="00D012AC">
        <w:rPr>
          <w:rFonts w:cs="Arial"/>
          <w:lang w:val="en-CA"/>
        </w:rPr>
        <w:t>hearing</w:t>
      </w:r>
      <w:r w:rsidRPr="0045316C">
        <w:rPr>
          <w:rFonts w:cs="Arial"/>
          <w:lang w:val="en-CA"/>
        </w:rPr>
        <w:t xml:space="preserve"> her instructions </w:t>
      </w:r>
      <w:r w:rsidR="00BE7B79">
        <w:rPr>
          <w:rFonts w:cs="Arial"/>
          <w:lang w:val="en-CA"/>
        </w:rPr>
        <w:t xml:space="preserve">again </w:t>
      </w:r>
      <w:r w:rsidRPr="0045316C">
        <w:rPr>
          <w:rFonts w:cs="Arial"/>
          <w:lang w:val="en-CA"/>
        </w:rPr>
        <w:t xml:space="preserve">or </w:t>
      </w:r>
      <w:r w:rsidR="00BE7B79">
        <w:rPr>
          <w:rFonts w:cs="Arial"/>
          <w:lang w:val="en-CA"/>
        </w:rPr>
        <w:t>asking specific questions</w:t>
      </w:r>
      <w:r w:rsidRPr="0045316C">
        <w:rPr>
          <w:rFonts w:cs="Arial"/>
          <w:lang w:val="en-CA"/>
        </w:rPr>
        <w:t xml:space="preserve">. The </w:t>
      </w:r>
      <w:r>
        <w:rPr>
          <w:rFonts w:cs="Arial"/>
          <w:lang w:val="en-CA"/>
        </w:rPr>
        <w:t>Crown maintains that</w:t>
      </w:r>
      <w:r w:rsidRPr="0045316C">
        <w:rPr>
          <w:rFonts w:cs="Arial"/>
          <w:lang w:val="en-CA"/>
        </w:rPr>
        <w:t xml:space="preserve"> the judge consulted both parties and then asked the jury whether they wanted to </w:t>
      </w:r>
      <w:r w:rsidR="006A41A1">
        <w:rPr>
          <w:rFonts w:cs="Arial"/>
          <w:lang w:val="en-CA"/>
        </w:rPr>
        <w:t>hear</w:t>
      </w:r>
      <w:r w:rsidRPr="0045316C">
        <w:rPr>
          <w:rFonts w:cs="Arial"/>
          <w:lang w:val="en-CA"/>
        </w:rPr>
        <w:t xml:space="preserve"> </w:t>
      </w:r>
      <w:r>
        <w:rPr>
          <w:rFonts w:cs="Arial"/>
          <w:lang w:val="en-CA"/>
        </w:rPr>
        <w:t xml:space="preserve">all </w:t>
      </w:r>
      <w:r w:rsidRPr="0045316C">
        <w:rPr>
          <w:rFonts w:cs="Arial"/>
          <w:lang w:val="en-CA"/>
        </w:rPr>
        <w:t>the instructions again or whether they wanted additional explanation</w:t>
      </w:r>
      <w:r>
        <w:rPr>
          <w:rFonts w:cs="Arial"/>
          <w:lang w:val="en-CA"/>
        </w:rPr>
        <w:t>s</w:t>
      </w:r>
      <w:r w:rsidRPr="0045316C">
        <w:rPr>
          <w:rFonts w:cs="Arial"/>
          <w:lang w:val="en-CA"/>
        </w:rPr>
        <w:t xml:space="preserve"> on a specific </w:t>
      </w:r>
      <w:r w:rsidR="004838E2">
        <w:rPr>
          <w:rFonts w:cs="Arial"/>
          <w:lang w:val="en-CA"/>
        </w:rPr>
        <w:t>issue</w:t>
      </w:r>
      <w:r w:rsidRPr="0045316C">
        <w:rPr>
          <w:rFonts w:cs="Arial"/>
          <w:lang w:val="en-CA"/>
        </w:rPr>
        <w:t xml:space="preserve">. Given the complexity and confusion of the instructions, it is hardly surprising that the jury asked to </w:t>
      </w:r>
      <w:r w:rsidR="006A41A1">
        <w:rPr>
          <w:rFonts w:cs="Arial"/>
          <w:lang w:val="en-CA"/>
        </w:rPr>
        <w:t>hear</w:t>
      </w:r>
      <w:r w:rsidRPr="0045316C">
        <w:rPr>
          <w:rFonts w:cs="Arial"/>
          <w:lang w:val="en-CA"/>
        </w:rPr>
        <w:t xml:space="preserve"> them again</w:t>
      </w:r>
      <w:r w:rsidR="00A97081" w:rsidRPr="006C5E09">
        <w:rPr>
          <w:lang w:val="en-CA" w:eastAsia="fr-CA"/>
        </w:rPr>
        <w:t>.</w:t>
      </w:r>
    </w:p>
    <w:p w14:paraId="0DA4BB67" w14:textId="4B1F6B53" w:rsidR="0000108F" w:rsidRPr="006C5E09" w:rsidRDefault="006432D4" w:rsidP="000B6E2B">
      <w:pPr>
        <w:pStyle w:val="Paragraphe"/>
        <w:spacing w:line="240" w:lineRule="auto"/>
        <w:rPr>
          <w:lang w:val="en-CA" w:eastAsia="fr-CA"/>
        </w:rPr>
      </w:pPr>
      <w:r>
        <w:rPr>
          <w:lang w:val="en-CA" w:eastAsia="fr-CA"/>
        </w:rPr>
        <w:t>Assuming that</w:t>
      </w:r>
      <w:r w:rsidR="00BE7B79" w:rsidRPr="00BE7B79">
        <w:rPr>
          <w:lang w:val="en-CA" w:eastAsia="fr-CA"/>
        </w:rPr>
        <w:t xml:space="preserve"> the jury did not want </w:t>
      </w:r>
      <w:r w:rsidR="009B3118">
        <w:rPr>
          <w:lang w:val="en-CA" w:eastAsia="fr-CA"/>
        </w:rPr>
        <w:t>to hear</w:t>
      </w:r>
      <w:r w:rsidR="00BE7B79" w:rsidRPr="00BE7B79">
        <w:rPr>
          <w:lang w:val="en-CA" w:eastAsia="fr-CA"/>
        </w:rPr>
        <w:t xml:space="preserve"> </w:t>
      </w:r>
      <w:r w:rsidR="00BE7B79">
        <w:rPr>
          <w:lang w:val="en-CA" w:eastAsia="fr-CA"/>
        </w:rPr>
        <w:t xml:space="preserve">all </w:t>
      </w:r>
      <w:r w:rsidR="00BE7B79" w:rsidRPr="00BE7B79">
        <w:rPr>
          <w:lang w:val="en-CA" w:eastAsia="fr-CA"/>
        </w:rPr>
        <w:t xml:space="preserve">the instructions again, the trial judge </w:t>
      </w:r>
      <w:r w:rsidR="006A41A1">
        <w:rPr>
          <w:lang w:val="en-CA" w:eastAsia="fr-CA"/>
        </w:rPr>
        <w:t>conferred</w:t>
      </w:r>
      <w:r w:rsidR="006A41A1" w:rsidRPr="00BE7B79">
        <w:rPr>
          <w:lang w:val="en-CA" w:eastAsia="fr-CA"/>
        </w:rPr>
        <w:t xml:space="preserve"> </w:t>
      </w:r>
      <w:r w:rsidR="00BE7B79" w:rsidRPr="00BE7B79">
        <w:rPr>
          <w:lang w:val="en-CA" w:eastAsia="fr-CA"/>
        </w:rPr>
        <w:t xml:space="preserve">with the parties and informed them of her intention to ask the jury if they really wanted all the instructions, on a CD, or if </w:t>
      </w:r>
      <w:r w:rsidR="00D94143">
        <w:rPr>
          <w:lang w:val="en-CA" w:eastAsia="fr-CA"/>
        </w:rPr>
        <w:t>they</w:t>
      </w:r>
      <w:r w:rsidR="00EA767D" w:rsidRPr="00BE7B79">
        <w:rPr>
          <w:lang w:val="en-CA" w:eastAsia="fr-CA"/>
        </w:rPr>
        <w:t xml:space="preserve"> </w:t>
      </w:r>
      <w:r w:rsidR="00D94143">
        <w:rPr>
          <w:lang w:val="en-CA" w:eastAsia="fr-CA"/>
        </w:rPr>
        <w:t>instead needed</w:t>
      </w:r>
      <w:r w:rsidR="00A02C17">
        <w:rPr>
          <w:lang w:val="en-CA" w:eastAsia="fr-CA"/>
        </w:rPr>
        <w:t xml:space="preserve"> </w:t>
      </w:r>
      <w:r w:rsidR="00BE7B79" w:rsidRPr="00BE7B79">
        <w:rPr>
          <w:lang w:val="en-CA" w:eastAsia="fr-CA"/>
        </w:rPr>
        <w:t>clarification</w:t>
      </w:r>
      <w:r w:rsidR="00BE7B79">
        <w:rPr>
          <w:lang w:val="en-CA" w:eastAsia="fr-CA"/>
        </w:rPr>
        <w:t>s</w:t>
      </w:r>
      <w:r w:rsidR="00BE7B79" w:rsidRPr="00BE7B79">
        <w:rPr>
          <w:lang w:val="en-CA" w:eastAsia="fr-CA"/>
        </w:rPr>
        <w:t xml:space="preserve"> </w:t>
      </w:r>
      <w:r w:rsidR="00BE7B79">
        <w:rPr>
          <w:lang w:val="en-CA" w:eastAsia="fr-CA"/>
        </w:rPr>
        <w:t>on</w:t>
      </w:r>
      <w:r w:rsidR="00BE7B79" w:rsidRPr="00BE7B79">
        <w:rPr>
          <w:lang w:val="en-CA" w:eastAsia="fr-CA"/>
        </w:rPr>
        <w:t xml:space="preserve"> h</w:t>
      </w:r>
      <w:r w:rsidR="00BE7B79">
        <w:rPr>
          <w:lang w:val="en-CA" w:eastAsia="fr-CA"/>
        </w:rPr>
        <w:t>er</w:t>
      </w:r>
      <w:r w:rsidR="00BE7B79" w:rsidRPr="00BE7B79">
        <w:rPr>
          <w:lang w:val="en-CA" w:eastAsia="fr-CA"/>
        </w:rPr>
        <w:t xml:space="preserve"> instructions. Both parties agree</w:t>
      </w:r>
      <w:r w:rsidR="00BE7B79">
        <w:rPr>
          <w:lang w:val="en-CA" w:eastAsia="fr-CA"/>
        </w:rPr>
        <w:t>d</w:t>
      </w:r>
      <w:r w:rsidR="00BE7B79" w:rsidRPr="00BE7B79">
        <w:rPr>
          <w:lang w:val="en-CA" w:eastAsia="fr-CA"/>
        </w:rPr>
        <w:t xml:space="preserve">. She then </w:t>
      </w:r>
      <w:r w:rsidR="00BE7B79">
        <w:rPr>
          <w:lang w:val="en-CA" w:eastAsia="fr-CA"/>
        </w:rPr>
        <w:t>offered</w:t>
      </w:r>
      <w:r w:rsidR="00BE7B79" w:rsidRPr="00BE7B79">
        <w:rPr>
          <w:lang w:val="en-CA" w:eastAsia="fr-CA"/>
        </w:rPr>
        <w:t xml:space="preserve"> these two choices to the jury. She </w:t>
      </w:r>
      <w:r w:rsidR="00BE7B79">
        <w:rPr>
          <w:lang w:val="en-CA" w:eastAsia="fr-CA"/>
        </w:rPr>
        <w:t>said</w:t>
      </w:r>
      <w:r w:rsidR="00BE7B79" w:rsidRPr="00BE7B79">
        <w:rPr>
          <w:lang w:val="en-CA" w:eastAsia="fr-CA"/>
        </w:rPr>
        <w:t xml:space="preserve"> that if the jury want</w:t>
      </w:r>
      <w:r w:rsidR="00BE7B79">
        <w:rPr>
          <w:lang w:val="en-CA" w:eastAsia="fr-CA"/>
        </w:rPr>
        <w:t>ed</w:t>
      </w:r>
      <w:r w:rsidR="00BE7B79" w:rsidRPr="00BE7B79">
        <w:rPr>
          <w:lang w:val="en-CA" w:eastAsia="fr-CA"/>
        </w:rPr>
        <w:t xml:space="preserve"> </w:t>
      </w:r>
      <w:r w:rsidR="00BE7B79">
        <w:rPr>
          <w:lang w:val="en-CA" w:eastAsia="fr-CA"/>
        </w:rPr>
        <w:t xml:space="preserve">an </w:t>
      </w:r>
      <w:r w:rsidR="00BE7B79" w:rsidRPr="00BE7B79">
        <w:rPr>
          <w:lang w:val="en-CA" w:eastAsia="fr-CA"/>
        </w:rPr>
        <w:t xml:space="preserve">audio </w:t>
      </w:r>
      <w:r w:rsidR="00BE7B79">
        <w:rPr>
          <w:lang w:val="en-CA" w:eastAsia="fr-CA"/>
        </w:rPr>
        <w:t>recording of</w:t>
      </w:r>
      <w:r w:rsidR="00BE7B79" w:rsidRPr="00BE7B79">
        <w:rPr>
          <w:lang w:val="en-CA" w:eastAsia="fr-CA"/>
        </w:rPr>
        <w:t xml:space="preserve"> all the instructions, </w:t>
      </w:r>
      <w:r w:rsidR="00EA767D">
        <w:rPr>
          <w:lang w:val="en-CA" w:eastAsia="fr-CA"/>
        </w:rPr>
        <w:t xml:space="preserve">it </w:t>
      </w:r>
      <w:r w:rsidR="00BE7B79">
        <w:rPr>
          <w:lang w:val="en-CA" w:eastAsia="fr-CA"/>
        </w:rPr>
        <w:t>would have to</w:t>
      </w:r>
      <w:r w:rsidR="00BE7B79" w:rsidRPr="00BE7B79">
        <w:rPr>
          <w:lang w:val="en-CA" w:eastAsia="fr-CA"/>
        </w:rPr>
        <w:t xml:space="preserve"> listen to the instructions in a way that </w:t>
      </w:r>
      <w:r w:rsidR="00BE7B79">
        <w:rPr>
          <w:lang w:val="en-CA" w:eastAsia="fr-CA"/>
        </w:rPr>
        <w:t>was</w:t>
      </w:r>
      <w:r w:rsidR="00BE7B79" w:rsidRPr="00BE7B79">
        <w:rPr>
          <w:lang w:val="en-CA" w:eastAsia="fr-CA"/>
        </w:rPr>
        <w:t xml:space="preserve"> fair to both parties by considering all the instructions on a given </w:t>
      </w:r>
      <w:r w:rsidR="00D94143">
        <w:rPr>
          <w:lang w:val="en-CA" w:eastAsia="fr-CA"/>
        </w:rPr>
        <w:t>issue</w:t>
      </w:r>
      <w:r w:rsidR="00BE7B79" w:rsidRPr="00BE7B79">
        <w:rPr>
          <w:lang w:val="en-CA" w:eastAsia="fr-CA"/>
        </w:rPr>
        <w:t>. The jury request</w:t>
      </w:r>
      <w:r w:rsidR="00482683">
        <w:rPr>
          <w:lang w:val="en-CA" w:eastAsia="fr-CA"/>
        </w:rPr>
        <w:t>ed</w:t>
      </w:r>
      <w:r w:rsidR="00BE7B79" w:rsidRPr="00BE7B79">
        <w:rPr>
          <w:lang w:val="en-CA" w:eastAsia="fr-CA"/>
        </w:rPr>
        <w:t xml:space="preserve"> an audio </w:t>
      </w:r>
      <w:r w:rsidR="00482683">
        <w:rPr>
          <w:lang w:val="en-CA" w:eastAsia="fr-CA"/>
        </w:rPr>
        <w:t>recording</w:t>
      </w:r>
      <w:r w:rsidR="00BE7B79" w:rsidRPr="00BE7B79">
        <w:rPr>
          <w:lang w:val="en-CA" w:eastAsia="fr-CA"/>
        </w:rPr>
        <w:t xml:space="preserve"> of the instructions</w:t>
      </w:r>
      <w:r w:rsidR="00DD0136" w:rsidRPr="006C5E09">
        <w:rPr>
          <w:lang w:val="en-CA" w:eastAsia="fr-CA"/>
        </w:rPr>
        <w:t>.</w:t>
      </w:r>
    </w:p>
    <w:p w14:paraId="03B610A0" w14:textId="0F653F66" w:rsidR="00DD0136" w:rsidRPr="006C5E09" w:rsidRDefault="00482683" w:rsidP="000B6E2B">
      <w:pPr>
        <w:pStyle w:val="Paragraphe"/>
        <w:spacing w:line="240" w:lineRule="auto"/>
        <w:rPr>
          <w:lang w:val="en-CA" w:eastAsia="fr-CA"/>
        </w:rPr>
      </w:pPr>
      <w:r w:rsidRPr="00482683">
        <w:rPr>
          <w:lang w:val="en-CA" w:eastAsia="fr-CA"/>
        </w:rPr>
        <w:t xml:space="preserve">Essentially, the judge adapted the principles formulated by the </w:t>
      </w:r>
      <w:r>
        <w:rPr>
          <w:lang w:val="en-CA" w:eastAsia="fr-CA"/>
        </w:rPr>
        <w:t>C</w:t>
      </w:r>
      <w:r w:rsidRPr="00482683">
        <w:rPr>
          <w:lang w:val="en-CA" w:eastAsia="fr-CA"/>
        </w:rPr>
        <w:t xml:space="preserve">ourt in </w:t>
      </w:r>
      <w:r w:rsidR="00B67A43" w:rsidRPr="006C5E09">
        <w:rPr>
          <w:i/>
          <w:lang w:val="en-CA" w:eastAsia="fr-CA"/>
        </w:rPr>
        <w:t>Robert</w:t>
      </w:r>
      <w:r w:rsidR="00B67A43" w:rsidRPr="006C5E09">
        <w:rPr>
          <w:rStyle w:val="Appelnotedebasdep"/>
          <w:lang w:val="en-CA" w:eastAsia="fr-CA"/>
        </w:rPr>
        <w:footnoteReference w:id="83"/>
      </w:r>
      <w:r w:rsidR="00B67A43" w:rsidRPr="006C5E09">
        <w:rPr>
          <w:lang w:val="en-CA" w:eastAsia="fr-CA"/>
        </w:rPr>
        <w:t xml:space="preserve"> </w:t>
      </w:r>
      <w:r>
        <w:rPr>
          <w:lang w:val="en-CA" w:eastAsia="fr-CA"/>
        </w:rPr>
        <w:t xml:space="preserve">in response to the request to </w:t>
      </w:r>
      <w:r w:rsidR="009B3118">
        <w:rPr>
          <w:lang w:val="en-CA" w:eastAsia="fr-CA"/>
        </w:rPr>
        <w:t>hear her</w:t>
      </w:r>
      <w:r>
        <w:rPr>
          <w:lang w:val="en-CA" w:eastAsia="fr-CA"/>
        </w:rPr>
        <w:t xml:space="preserve"> instructions again</w:t>
      </w:r>
      <w:r w:rsidR="00B67A43" w:rsidRPr="006C5E09">
        <w:rPr>
          <w:lang w:val="en-CA" w:eastAsia="fr-CA"/>
        </w:rPr>
        <w:t xml:space="preserve">. </w:t>
      </w:r>
      <w:r w:rsidRPr="00482683">
        <w:rPr>
          <w:lang w:val="en-CA" w:eastAsia="fr-CA"/>
        </w:rPr>
        <w:t xml:space="preserve">She </w:t>
      </w:r>
      <w:r>
        <w:rPr>
          <w:lang w:val="en-CA" w:eastAsia="fr-CA"/>
        </w:rPr>
        <w:t>made sure</w:t>
      </w:r>
      <w:r w:rsidRPr="00482683">
        <w:rPr>
          <w:lang w:val="en-CA" w:eastAsia="fr-CA"/>
        </w:rPr>
        <w:t xml:space="preserve"> that the jury </w:t>
      </w:r>
      <w:r w:rsidR="00854E27">
        <w:rPr>
          <w:lang w:val="en-CA" w:eastAsia="fr-CA"/>
        </w:rPr>
        <w:t>re-</w:t>
      </w:r>
      <w:r w:rsidRPr="00482683">
        <w:rPr>
          <w:lang w:val="en-CA" w:eastAsia="fr-CA"/>
        </w:rPr>
        <w:t xml:space="preserve">listened to </w:t>
      </w:r>
      <w:r w:rsidR="008A4554">
        <w:rPr>
          <w:lang w:val="en-CA" w:eastAsia="fr-CA"/>
        </w:rPr>
        <w:t xml:space="preserve">all </w:t>
      </w:r>
      <w:r w:rsidRPr="00482683">
        <w:rPr>
          <w:lang w:val="en-CA" w:eastAsia="fr-CA"/>
        </w:rPr>
        <w:t xml:space="preserve">the instructions on a given subject. This very fair instruction is consistent with the teachings of </w:t>
      </w:r>
      <w:r w:rsidRPr="008A4554">
        <w:rPr>
          <w:i/>
          <w:iCs/>
          <w:lang w:val="en-CA" w:eastAsia="fr-CA"/>
        </w:rPr>
        <w:t xml:space="preserve">Robert </w:t>
      </w:r>
      <w:r w:rsidRPr="00482683">
        <w:rPr>
          <w:lang w:val="en-CA" w:eastAsia="fr-CA"/>
        </w:rPr>
        <w:t>and the discretionary power recognized therein.</w:t>
      </w:r>
    </w:p>
    <w:p w14:paraId="0E03075D" w14:textId="12D7D262" w:rsidR="00255501" w:rsidRPr="006C5E09" w:rsidRDefault="00475D85" w:rsidP="000B6E2B">
      <w:pPr>
        <w:pStyle w:val="Paragraphe"/>
        <w:numPr>
          <w:ilvl w:val="0"/>
          <w:numId w:val="0"/>
        </w:numPr>
        <w:spacing w:line="240" w:lineRule="auto"/>
        <w:rPr>
          <w:b/>
          <w:i/>
          <w:lang w:val="en-CA" w:eastAsia="fr-CA"/>
        </w:rPr>
      </w:pPr>
      <w:r w:rsidRPr="006C5E09">
        <w:rPr>
          <w:b/>
          <w:i/>
          <w:lang w:val="en-CA" w:eastAsia="fr-CA"/>
        </w:rPr>
        <w:t>CONCLUSION</w:t>
      </w:r>
    </w:p>
    <w:p w14:paraId="253E3E99" w14:textId="5234750C" w:rsidR="00BA1F41" w:rsidRPr="006C5E09" w:rsidRDefault="008A4554" w:rsidP="000B6E2B">
      <w:pPr>
        <w:pStyle w:val="Paragraphe"/>
        <w:spacing w:line="240" w:lineRule="auto"/>
        <w:rPr>
          <w:lang w:val="en-CA" w:eastAsia="fr-CA"/>
        </w:rPr>
      </w:pPr>
      <w:r w:rsidRPr="008A4554">
        <w:rPr>
          <w:lang w:val="en-CA" w:eastAsia="fr-CA"/>
        </w:rPr>
        <w:t xml:space="preserve">In conclusion, the instructions </w:t>
      </w:r>
      <w:r>
        <w:rPr>
          <w:lang w:val="en-CA" w:eastAsia="fr-CA"/>
        </w:rPr>
        <w:t xml:space="preserve">concerning </w:t>
      </w:r>
      <w:r w:rsidRPr="008A4554">
        <w:rPr>
          <w:lang w:val="en-CA" w:eastAsia="fr-CA"/>
        </w:rPr>
        <w:t>the appellant</w:t>
      </w:r>
      <w:r w:rsidR="004B178B">
        <w:rPr>
          <w:lang w:val="en-CA" w:eastAsia="fr-CA"/>
        </w:rPr>
        <w:t>’</w:t>
      </w:r>
      <w:r w:rsidRPr="008A4554">
        <w:rPr>
          <w:lang w:val="en-CA" w:eastAsia="fr-CA"/>
        </w:rPr>
        <w:t xml:space="preserve">s </w:t>
      </w:r>
      <w:r w:rsidR="0039756C">
        <w:rPr>
          <w:lang w:val="en-CA" w:eastAsia="fr-CA"/>
        </w:rPr>
        <w:t xml:space="preserve">post-homicide </w:t>
      </w:r>
      <w:r w:rsidR="004E603A">
        <w:rPr>
          <w:lang w:val="en-CA" w:eastAsia="fr-CA"/>
        </w:rPr>
        <w:t>conduct</w:t>
      </w:r>
      <w:r w:rsidRPr="008A4554">
        <w:rPr>
          <w:lang w:val="en-CA" w:eastAsia="fr-CA"/>
        </w:rPr>
        <w:t xml:space="preserve"> </w:t>
      </w:r>
      <w:r w:rsidR="0039756C">
        <w:rPr>
          <w:lang w:val="en-CA" w:eastAsia="fr-CA"/>
        </w:rPr>
        <w:t>alone warrant</w:t>
      </w:r>
      <w:r w:rsidRPr="008A4554">
        <w:rPr>
          <w:lang w:val="en-CA" w:eastAsia="fr-CA"/>
        </w:rPr>
        <w:t xml:space="preserve"> a new trial</w:t>
      </w:r>
      <w:r w:rsidR="00DF2B3C">
        <w:rPr>
          <w:lang w:val="en-CA" w:eastAsia="fr-CA"/>
        </w:rPr>
        <w:t>.</w:t>
      </w:r>
      <w:r>
        <w:rPr>
          <w:lang w:val="en-CA" w:eastAsia="fr-CA"/>
        </w:rPr>
        <w:t xml:space="preserve"> </w:t>
      </w:r>
      <w:r w:rsidR="00DF2B3C">
        <w:rPr>
          <w:lang w:val="en-CA" w:eastAsia="fr-CA"/>
        </w:rPr>
        <w:t>T</w:t>
      </w:r>
      <w:r w:rsidRPr="008A4554">
        <w:rPr>
          <w:lang w:val="en-CA" w:eastAsia="fr-CA"/>
        </w:rPr>
        <w:t>heir length and the resulting confusion</w:t>
      </w:r>
      <w:r w:rsidR="00DF2B3C">
        <w:rPr>
          <w:lang w:val="en-CA" w:eastAsia="fr-CA"/>
        </w:rPr>
        <w:t xml:space="preserve"> do as well</w:t>
      </w:r>
      <w:r w:rsidRPr="008A4554">
        <w:rPr>
          <w:lang w:val="en-CA" w:eastAsia="fr-CA"/>
        </w:rPr>
        <w:t xml:space="preserve">. In addition, the </w:t>
      </w:r>
      <w:r w:rsidR="0039756C">
        <w:rPr>
          <w:lang w:val="en-CA" w:eastAsia="fr-CA"/>
        </w:rPr>
        <w:t>assumptions advanced</w:t>
      </w:r>
      <w:r w:rsidRPr="008A4554">
        <w:rPr>
          <w:lang w:val="en-CA" w:eastAsia="fr-CA"/>
        </w:rPr>
        <w:t xml:space="preserve"> by the </w:t>
      </w:r>
      <w:r w:rsidR="00A828AE">
        <w:rPr>
          <w:lang w:val="en-CA" w:eastAsia="fr-CA"/>
        </w:rPr>
        <w:t>Crown</w:t>
      </w:r>
      <w:r w:rsidRPr="008A4554">
        <w:rPr>
          <w:lang w:val="en-CA" w:eastAsia="fr-CA"/>
        </w:rPr>
        <w:t xml:space="preserve"> in the absence of independent </w:t>
      </w:r>
      <w:r w:rsidR="00A828AE">
        <w:rPr>
          <w:lang w:val="en-CA" w:eastAsia="fr-CA"/>
        </w:rPr>
        <w:t>evidence</w:t>
      </w:r>
      <w:r w:rsidRPr="008A4554">
        <w:rPr>
          <w:lang w:val="en-CA" w:eastAsia="fr-CA"/>
        </w:rPr>
        <w:t xml:space="preserve"> accentuate the</w:t>
      </w:r>
      <w:r w:rsidR="00A828AE">
        <w:rPr>
          <w:lang w:val="en-CA" w:eastAsia="fr-CA"/>
        </w:rPr>
        <w:t xml:space="preserve"> need for a new trial</w:t>
      </w:r>
      <w:r w:rsidR="00255501" w:rsidRPr="006C5E09">
        <w:rPr>
          <w:lang w:val="en-CA" w:eastAsia="fr-CA"/>
        </w:rPr>
        <w:t>.</w:t>
      </w:r>
    </w:p>
    <w:p w14:paraId="4E9728EF" w14:textId="5C9FF3E7" w:rsidR="00AE7905" w:rsidRPr="006C5E09" w:rsidRDefault="00A828AE" w:rsidP="000B6E2B">
      <w:pPr>
        <w:pStyle w:val="Paragraphe"/>
        <w:spacing w:line="240" w:lineRule="auto"/>
        <w:rPr>
          <w:lang w:val="en-CA" w:eastAsia="fr-CA"/>
        </w:rPr>
      </w:pPr>
      <w:r w:rsidRPr="00A828AE">
        <w:rPr>
          <w:lang w:val="en-CA" w:eastAsia="fr-CA"/>
        </w:rPr>
        <w:t xml:space="preserve">It will therefore not be necessary to </w:t>
      </w:r>
      <w:r w:rsidR="00DF2B3C">
        <w:rPr>
          <w:lang w:val="en-CA" w:eastAsia="fr-CA"/>
        </w:rPr>
        <w:t>rule</w:t>
      </w:r>
      <w:r w:rsidRPr="00A828AE">
        <w:rPr>
          <w:lang w:val="en-CA" w:eastAsia="fr-CA"/>
        </w:rPr>
        <w:t xml:space="preserve"> </w:t>
      </w:r>
      <w:r>
        <w:rPr>
          <w:lang w:val="en-CA" w:eastAsia="fr-CA"/>
        </w:rPr>
        <w:t xml:space="preserve">on </w:t>
      </w:r>
      <w:r w:rsidRPr="00A828AE">
        <w:rPr>
          <w:lang w:val="en-CA" w:eastAsia="fr-CA"/>
        </w:rPr>
        <w:t>the appellant</w:t>
      </w:r>
      <w:r w:rsidR="00DF2B3C">
        <w:rPr>
          <w:lang w:val="en-CA" w:eastAsia="fr-CA"/>
        </w:rPr>
        <w:t>’</w:t>
      </w:r>
      <w:r w:rsidR="00023079">
        <w:rPr>
          <w:lang w:val="en-CA" w:eastAsia="fr-CA"/>
        </w:rPr>
        <w:t>s</w:t>
      </w:r>
      <w:r w:rsidRPr="00A828AE">
        <w:rPr>
          <w:lang w:val="en-CA" w:eastAsia="fr-CA"/>
        </w:rPr>
        <w:t xml:space="preserve"> last two </w:t>
      </w:r>
      <w:r>
        <w:rPr>
          <w:lang w:val="en-CA" w:eastAsia="fr-CA"/>
        </w:rPr>
        <w:t>grounds of appeal</w:t>
      </w:r>
      <w:r w:rsidR="00E15BA8" w:rsidRPr="006C5E09">
        <w:rPr>
          <w:lang w:val="en-CA" w:eastAsia="fr-CA"/>
        </w:rPr>
        <w:t>.</w:t>
      </w:r>
    </w:p>
    <w:p w14:paraId="33585022" w14:textId="77777777" w:rsidR="00AE7905" w:rsidRPr="006C5E09" w:rsidRDefault="00AE7905">
      <w:pPr>
        <w:spacing w:line="240" w:lineRule="auto"/>
        <w:rPr>
          <w:kern w:val="28"/>
          <w:lang w:val="en-CA" w:eastAsia="fr-CA"/>
        </w:rPr>
      </w:pPr>
      <w:r w:rsidRPr="006C5E09">
        <w:rPr>
          <w:lang w:val="en-CA" w:eastAsia="fr-CA"/>
        </w:rPr>
        <w:br w:type="page"/>
      </w:r>
    </w:p>
    <w:p w14:paraId="46EE454F" w14:textId="77777777" w:rsidR="00E15BA8" w:rsidRPr="006C5E09" w:rsidRDefault="00E15BA8" w:rsidP="00AE7905">
      <w:pPr>
        <w:pStyle w:val="Paragraphe"/>
        <w:numPr>
          <w:ilvl w:val="0"/>
          <w:numId w:val="0"/>
        </w:numPr>
        <w:spacing w:line="240" w:lineRule="auto"/>
        <w:rPr>
          <w:lang w:val="en-CA" w:eastAsia="fr-CA"/>
        </w:rPr>
      </w:pPr>
    </w:p>
    <w:p w14:paraId="5FF435D1" w14:textId="31F37AF3" w:rsidR="00AB1F92" w:rsidRPr="006C5E09" w:rsidRDefault="00A828AE" w:rsidP="000B6E2B">
      <w:pPr>
        <w:pStyle w:val="Paragraphe"/>
        <w:numPr>
          <w:ilvl w:val="0"/>
          <w:numId w:val="0"/>
        </w:numPr>
        <w:spacing w:line="240" w:lineRule="auto"/>
        <w:rPr>
          <w:lang w:val="en-CA" w:eastAsia="fr-CA"/>
        </w:rPr>
      </w:pPr>
      <w:r>
        <w:rPr>
          <w:b/>
          <w:lang w:val="en-CA" w:eastAsia="fr-CA"/>
        </w:rPr>
        <w:t>FOR THESE REASONS, THE COURT</w:t>
      </w:r>
      <w:r w:rsidR="00BA1F41" w:rsidRPr="006C5E09">
        <w:rPr>
          <w:lang w:val="en-CA" w:eastAsia="fr-CA"/>
        </w:rPr>
        <w:t>:</w:t>
      </w:r>
    </w:p>
    <w:p w14:paraId="36C182A5" w14:textId="76D70A22" w:rsidR="00BA1F41" w:rsidRPr="006C5E09" w:rsidRDefault="00AE7905" w:rsidP="000B6E2B">
      <w:pPr>
        <w:pStyle w:val="Paragraphe"/>
        <w:spacing w:line="240" w:lineRule="auto"/>
        <w:rPr>
          <w:lang w:val="en-CA" w:eastAsia="fr-CA"/>
        </w:rPr>
      </w:pPr>
      <w:bookmarkStart w:id="17" w:name="_Hlk119680883"/>
      <w:r w:rsidRPr="006C5E09">
        <w:rPr>
          <w:b/>
          <w:bCs/>
          <w:lang w:val="en-CA" w:eastAsia="fr-CA"/>
        </w:rPr>
        <w:t>A</w:t>
      </w:r>
      <w:r w:rsidR="00A828AE">
        <w:rPr>
          <w:b/>
          <w:bCs/>
          <w:lang w:val="en-CA" w:eastAsia="fr-CA"/>
        </w:rPr>
        <w:t>LLOWS</w:t>
      </w:r>
      <w:r w:rsidRPr="006C5E09">
        <w:rPr>
          <w:lang w:val="en-CA" w:eastAsia="fr-CA"/>
        </w:rPr>
        <w:t xml:space="preserve"> </w:t>
      </w:r>
      <w:r w:rsidR="00A828AE">
        <w:rPr>
          <w:lang w:val="en-CA" w:eastAsia="fr-CA"/>
        </w:rPr>
        <w:t>the appeal</w:t>
      </w:r>
      <w:r w:rsidRPr="006C5E09">
        <w:rPr>
          <w:lang w:val="en-CA" w:eastAsia="fr-CA"/>
        </w:rPr>
        <w:t>;</w:t>
      </w:r>
    </w:p>
    <w:bookmarkEnd w:id="17"/>
    <w:p w14:paraId="2A3F8F9E" w14:textId="69DAA900" w:rsidR="00AE7905" w:rsidRPr="006C5E09" w:rsidRDefault="00AE7905" w:rsidP="00AE7905">
      <w:pPr>
        <w:pStyle w:val="Paragraphe"/>
        <w:rPr>
          <w:lang w:val="en-CA" w:eastAsia="fr-CA"/>
        </w:rPr>
      </w:pPr>
      <w:r w:rsidRPr="006C5E09">
        <w:rPr>
          <w:b/>
          <w:lang w:val="en-CA" w:eastAsia="fr-CA"/>
        </w:rPr>
        <w:t>ORD</w:t>
      </w:r>
      <w:r w:rsidR="00A828AE">
        <w:rPr>
          <w:b/>
          <w:lang w:val="en-CA" w:eastAsia="fr-CA"/>
        </w:rPr>
        <w:t>ERS</w:t>
      </w:r>
      <w:r w:rsidRPr="006C5E09">
        <w:rPr>
          <w:lang w:val="en-CA" w:eastAsia="fr-CA"/>
        </w:rPr>
        <w:t xml:space="preserve"> a </w:t>
      </w:r>
      <w:r w:rsidR="00A828AE">
        <w:rPr>
          <w:lang w:val="en-CA" w:eastAsia="fr-CA"/>
        </w:rPr>
        <w:t>new trial</w:t>
      </w:r>
      <w:r w:rsidRPr="006C5E09">
        <w:rPr>
          <w:lang w:val="en-CA" w:eastAsia="fr-CA"/>
        </w:rPr>
        <w:t>.</w:t>
      </w:r>
    </w:p>
    <w:tbl>
      <w:tblPr>
        <w:tblW w:w="0" w:type="auto"/>
        <w:tblLayout w:type="fixed"/>
        <w:tblCellMar>
          <w:left w:w="0" w:type="dxa"/>
          <w:right w:w="0" w:type="dxa"/>
        </w:tblCellMar>
        <w:tblLook w:val="0000" w:firstRow="0" w:lastRow="0" w:firstColumn="0" w:lastColumn="0" w:noHBand="0" w:noVBand="0"/>
      </w:tblPr>
      <w:tblGrid>
        <w:gridCol w:w="1997"/>
        <w:gridCol w:w="2685"/>
        <w:gridCol w:w="4680"/>
      </w:tblGrid>
      <w:tr w:rsidR="00151C5D" w:rsidRPr="006C5E09" w14:paraId="10F69E77" w14:textId="77777777" w:rsidTr="00AE7905">
        <w:trPr>
          <w:cantSplit/>
          <w:trHeight w:val="513"/>
        </w:trPr>
        <w:tc>
          <w:tcPr>
            <w:tcW w:w="9362" w:type="dxa"/>
            <w:gridSpan w:val="3"/>
          </w:tcPr>
          <w:p w14:paraId="1D84F6A3" w14:textId="77777777" w:rsidR="00151C5D" w:rsidRPr="006C5E09" w:rsidRDefault="00151C5D" w:rsidP="00151C5D">
            <w:pPr>
              <w:rPr>
                <w:rFonts w:cs="Arial"/>
                <w:lang w:val="en-CA"/>
              </w:rPr>
            </w:pPr>
          </w:p>
        </w:tc>
      </w:tr>
      <w:tr w:rsidR="008F364A" w:rsidRPr="006C5E09" w14:paraId="6C3FD307" w14:textId="77777777" w:rsidTr="003E3239">
        <w:tblPrEx>
          <w:tblBorders>
            <w:top w:val="single" w:sz="4" w:space="0" w:color="auto"/>
          </w:tblBorders>
        </w:tblPrEx>
        <w:trPr>
          <w:trHeight w:val="576"/>
        </w:trPr>
        <w:tc>
          <w:tcPr>
            <w:tcW w:w="9362" w:type="dxa"/>
            <w:gridSpan w:val="3"/>
            <w:tcBorders>
              <w:top w:val="nil"/>
              <w:bottom w:val="nil"/>
            </w:tcBorders>
          </w:tcPr>
          <w:p w14:paraId="4295147D" w14:textId="77777777" w:rsidR="008F364A" w:rsidRPr="006C5E09" w:rsidRDefault="008F364A">
            <w:pPr>
              <w:keepNext/>
              <w:rPr>
                <w:lang w:val="en-CA"/>
              </w:rPr>
            </w:pPr>
          </w:p>
        </w:tc>
      </w:tr>
      <w:tr w:rsidR="008F364A" w:rsidRPr="006C5E09" w14:paraId="532B58E4" w14:textId="77777777" w:rsidTr="00117914">
        <w:tblPrEx>
          <w:tblBorders>
            <w:top w:val="single" w:sz="4" w:space="0" w:color="auto"/>
          </w:tblBorders>
        </w:tblPrEx>
        <w:trPr>
          <w:trHeight w:val="283"/>
        </w:trPr>
        <w:tc>
          <w:tcPr>
            <w:tcW w:w="4682" w:type="dxa"/>
            <w:gridSpan w:val="2"/>
            <w:tcBorders>
              <w:top w:val="nil"/>
              <w:bottom w:val="nil"/>
            </w:tcBorders>
          </w:tcPr>
          <w:p w14:paraId="678FA8A7" w14:textId="77777777" w:rsidR="008F364A" w:rsidRPr="006C5E09" w:rsidRDefault="008F364A">
            <w:pPr>
              <w:keepNext/>
              <w:rPr>
                <w:lang w:val="en-CA"/>
              </w:rPr>
            </w:pPr>
          </w:p>
        </w:tc>
        <w:tc>
          <w:tcPr>
            <w:tcW w:w="4680" w:type="dxa"/>
            <w:tcBorders>
              <w:top w:val="nil"/>
              <w:bottom w:val="single" w:sz="8" w:space="0" w:color="auto"/>
            </w:tcBorders>
          </w:tcPr>
          <w:p w14:paraId="0D460B47" w14:textId="77777777" w:rsidR="008F364A" w:rsidRPr="006C5E09" w:rsidRDefault="008F364A">
            <w:pPr>
              <w:keepNext/>
              <w:rPr>
                <w:lang w:val="en-CA"/>
              </w:rPr>
            </w:pPr>
          </w:p>
        </w:tc>
      </w:tr>
      <w:tr w:rsidR="008F364A" w:rsidRPr="006C5E09" w14:paraId="1BB9CA0C" w14:textId="77777777" w:rsidTr="00117914">
        <w:tblPrEx>
          <w:tblBorders>
            <w:top w:val="single" w:sz="4" w:space="0" w:color="auto"/>
          </w:tblBorders>
        </w:tblPrEx>
        <w:trPr>
          <w:trHeight w:val="283"/>
        </w:trPr>
        <w:tc>
          <w:tcPr>
            <w:tcW w:w="4682" w:type="dxa"/>
            <w:gridSpan w:val="2"/>
            <w:tcBorders>
              <w:top w:val="nil"/>
            </w:tcBorders>
          </w:tcPr>
          <w:p w14:paraId="40FE0236" w14:textId="77777777" w:rsidR="008F364A" w:rsidRPr="006C5E09" w:rsidRDefault="008F364A">
            <w:pPr>
              <w:keepNext/>
              <w:rPr>
                <w:lang w:val="en-CA"/>
              </w:rPr>
            </w:pPr>
          </w:p>
        </w:tc>
        <w:tc>
          <w:tcPr>
            <w:tcW w:w="4680" w:type="dxa"/>
            <w:tcBorders>
              <w:top w:val="single" w:sz="8" w:space="0" w:color="auto"/>
            </w:tcBorders>
          </w:tcPr>
          <w:p w14:paraId="6BA7B438" w14:textId="2C1E49AA" w:rsidR="008F364A" w:rsidRPr="006C5E09" w:rsidRDefault="000B51C5">
            <w:pPr>
              <w:rPr>
                <w:lang w:val="en-CA"/>
              </w:rPr>
            </w:pPr>
            <w:r w:rsidRPr="006C5E09">
              <w:rPr>
                <w:lang w:val="en-CA"/>
              </w:rPr>
              <w:t>JULIE DUTIL, J.A.</w:t>
            </w:r>
          </w:p>
        </w:tc>
      </w:tr>
      <w:tr w:rsidR="008F364A" w:rsidRPr="006C5E09" w14:paraId="111C3449" w14:textId="77777777" w:rsidTr="00117914">
        <w:tblPrEx>
          <w:tblBorders>
            <w:top w:val="single" w:sz="4" w:space="0" w:color="auto"/>
          </w:tblBorders>
        </w:tblPrEx>
        <w:trPr>
          <w:trHeight w:val="283"/>
        </w:trPr>
        <w:tc>
          <w:tcPr>
            <w:tcW w:w="4682" w:type="dxa"/>
            <w:gridSpan w:val="2"/>
            <w:tcBorders>
              <w:top w:val="nil"/>
            </w:tcBorders>
          </w:tcPr>
          <w:p w14:paraId="4188F205" w14:textId="77777777" w:rsidR="008F364A" w:rsidRPr="006C5E09" w:rsidRDefault="008F364A">
            <w:pPr>
              <w:keepNext/>
              <w:rPr>
                <w:lang w:val="en-CA"/>
              </w:rPr>
            </w:pPr>
            <w:bookmarkStart w:id="18" w:name="Signature2"/>
          </w:p>
        </w:tc>
        <w:tc>
          <w:tcPr>
            <w:tcW w:w="4680" w:type="dxa"/>
            <w:tcBorders>
              <w:top w:val="nil"/>
            </w:tcBorders>
          </w:tcPr>
          <w:p w14:paraId="3DB9847B" w14:textId="77777777" w:rsidR="008F364A" w:rsidRPr="006C5E09" w:rsidRDefault="008F364A">
            <w:pPr>
              <w:keepNext/>
              <w:rPr>
                <w:lang w:val="en-CA"/>
              </w:rPr>
            </w:pPr>
          </w:p>
        </w:tc>
      </w:tr>
      <w:tr w:rsidR="008F364A" w:rsidRPr="006C5E09" w14:paraId="7AAAA3E9" w14:textId="77777777" w:rsidTr="00117914">
        <w:tblPrEx>
          <w:tblBorders>
            <w:top w:val="single" w:sz="4" w:space="0" w:color="auto"/>
          </w:tblBorders>
        </w:tblPrEx>
        <w:trPr>
          <w:trHeight w:val="283"/>
        </w:trPr>
        <w:tc>
          <w:tcPr>
            <w:tcW w:w="4682" w:type="dxa"/>
            <w:gridSpan w:val="2"/>
            <w:tcBorders>
              <w:top w:val="nil"/>
              <w:bottom w:val="nil"/>
            </w:tcBorders>
          </w:tcPr>
          <w:p w14:paraId="020E8095" w14:textId="77777777" w:rsidR="008F364A" w:rsidRPr="006C5E09" w:rsidRDefault="008F364A">
            <w:pPr>
              <w:keepNext/>
              <w:rPr>
                <w:lang w:val="en-CA"/>
              </w:rPr>
            </w:pPr>
          </w:p>
        </w:tc>
        <w:tc>
          <w:tcPr>
            <w:tcW w:w="4680" w:type="dxa"/>
            <w:tcBorders>
              <w:top w:val="nil"/>
              <w:bottom w:val="single" w:sz="8" w:space="0" w:color="auto"/>
            </w:tcBorders>
          </w:tcPr>
          <w:p w14:paraId="0167801E" w14:textId="77777777" w:rsidR="008F364A" w:rsidRPr="006C5E09" w:rsidRDefault="008F364A">
            <w:pPr>
              <w:keepNext/>
              <w:rPr>
                <w:lang w:val="en-CA"/>
              </w:rPr>
            </w:pPr>
          </w:p>
        </w:tc>
      </w:tr>
      <w:tr w:rsidR="008F364A" w:rsidRPr="006C5E09" w14:paraId="554C5FEA" w14:textId="77777777" w:rsidTr="00117914">
        <w:tblPrEx>
          <w:tblBorders>
            <w:top w:val="single" w:sz="4" w:space="0" w:color="auto"/>
          </w:tblBorders>
        </w:tblPrEx>
        <w:trPr>
          <w:trHeight w:val="283"/>
        </w:trPr>
        <w:tc>
          <w:tcPr>
            <w:tcW w:w="4682" w:type="dxa"/>
            <w:gridSpan w:val="2"/>
            <w:tcBorders>
              <w:top w:val="nil"/>
            </w:tcBorders>
          </w:tcPr>
          <w:p w14:paraId="7F5F2E80" w14:textId="77777777" w:rsidR="008F364A" w:rsidRPr="006C5E09" w:rsidRDefault="008F364A">
            <w:pPr>
              <w:keepNext/>
              <w:rPr>
                <w:lang w:val="en-CA"/>
              </w:rPr>
            </w:pPr>
          </w:p>
        </w:tc>
        <w:tc>
          <w:tcPr>
            <w:tcW w:w="4680" w:type="dxa"/>
            <w:tcBorders>
              <w:top w:val="single" w:sz="8" w:space="0" w:color="auto"/>
            </w:tcBorders>
          </w:tcPr>
          <w:p w14:paraId="0187E442" w14:textId="1EFFD7E7" w:rsidR="008F364A" w:rsidRPr="006C5E09" w:rsidRDefault="000B51C5" w:rsidP="0033626F">
            <w:pPr>
              <w:keepNext/>
              <w:rPr>
                <w:lang w:val="en-CA"/>
              </w:rPr>
            </w:pPr>
            <w:r w:rsidRPr="006C5E09">
              <w:rPr>
                <w:lang w:val="en-CA"/>
              </w:rPr>
              <w:t>DOMINIQUE BÉLANGER, J.A.</w:t>
            </w:r>
          </w:p>
        </w:tc>
      </w:tr>
      <w:tr w:rsidR="008F364A" w:rsidRPr="006C5E09" w14:paraId="3B0981DA" w14:textId="77777777" w:rsidTr="00117914">
        <w:tblPrEx>
          <w:tblBorders>
            <w:top w:val="single" w:sz="4" w:space="0" w:color="auto"/>
          </w:tblBorders>
        </w:tblPrEx>
        <w:trPr>
          <w:trHeight w:val="283"/>
        </w:trPr>
        <w:tc>
          <w:tcPr>
            <w:tcW w:w="4682" w:type="dxa"/>
            <w:gridSpan w:val="2"/>
            <w:tcBorders>
              <w:top w:val="nil"/>
            </w:tcBorders>
          </w:tcPr>
          <w:p w14:paraId="6E0866BA" w14:textId="77777777" w:rsidR="008F364A" w:rsidRPr="006C5E09" w:rsidRDefault="008F364A">
            <w:pPr>
              <w:keepNext/>
              <w:rPr>
                <w:lang w:val="en-CA"/>
              </w:rPr>
            </w:pPr>
            <w:bookmarkStart w:id="19" w:name="Signature3"/>
            <w:bookmarkEnd w:id="18"/>
          </w:p>
        </w:tc>
        <w:tc>
          <w:tcPr>
            <w:tcW w:w="4680" w:type="dxa"/>
            <w:tcBorders>
              <w:top w:val="nil"/>
            </w:tcBorders>
          </w:tcPr>
          <w:p w14:paraId="5359E741" w14:textId="77777777" w:rsidR="008F364A" w:rsidRPr="006C5E09" w:rsidRDefault="008F364A">
            <w:pPr>
              <w:keepNext/>
              <w:rPr>
                <w:lang w:val="en-CA"/>
              </w:rPr>
            </w:pPr>
          </w:p>
        </w:tc>
      </w:tr>
      <w:tr w:rsidR="008F364A" w:rsidRPr="006C5E09" w14:paraId="4680E652" w14:textId="77777777" w:rsidTr="00117914">
        <w:tblPrEx>
          <w:tblBorders>
            <w:top w:val="single" w:sz="4" w:space="0" w:color="auto"/>
          </w:tblBorders>
        </w:tblPrEx>
        <w:trPr>
          <w:trHeight w:val="283"/>
        </w:trPr>
        <w:tc>
          <w:tcPr>
            <w:tcW w:w="4682" w:type="dxa"/>
            <w:gridSpan w:val="2"/>
            <w:tcBorders>
              <w:top w:val="nil"/>
              <w:bottom w:val="nil"/>
            </w:tcBorders>
          </w:tcPr>
          <w:p w14:paraId="76C76ED8" w14:textId="77777777" w:rsidR="008F364A" w:rsidRPr="006C5E09" w:rsidRDefault="008F364A">
            <w:pPr>
              <w:keepNext/>
              <w:rPr>
                <w:lang w:val="en-CA"/>
              </w:rPr>
            </w:pPr>
          </w:p>
        </w:tc>
        <w:tc>
          <w:tcPr>
            <w:tcW w:w="4680" w:type="dxa"/>
            <w:tcBorders>
              <w:top w:val="nil"/>
              <w:bottom w:val="single" w:sz="8" w:space="0" w:color="auto"/>
            </w:tcBorders>
          </w:tcPr>
          <w:p w14:paraId="5BF44ED3" w14:textId="77777777" w:rsidR="008F364A" w:rsidRPr="006C5E09" w:rsidRDefault="008F364A">
            <w:pPr>
              <w:keepNext/>
              <w:rPr>
                <w:lang w:val="en-CA"/>
              </w:rPr>
            </w:pPr>
          </w:p>
        </w:tc>
      </w:tr>
      <w:tr w:rsidR="008F364A" w:rsidRPr="006C5E09" w14:paraId="0AA9548B" w14:textId="77777777" w:rsidTr="00117914">
        <w:tblPrEx>
          <w:tblBorders>
            <w:top w:val="single" w:sz="4" w:space="0" w:color="auto"/>
          </w:tblBorders>
        </w:tblPrEx>
        <w:trPr>
          <w:trHeight w:val="283"/>
        </w:trPr>
        <w:tc>
          <w:tcPr>
            <w:tcW w:w="4682" w:type="dxa"/>
            <w:gridSpan w:val="2"/>
            <w:tcBorders>
              <w:top w:val="nil"/>
            </w:tcBorders>
          </w:tcPr>
          <w:p w14:paraId="5A10A052" w14:textId="77777777" w:rsidR="008F364A" w:rsidRPr="006C5E09" w:rsidRDefault="008F364A">
            <w:pPr>
              <w:keepNext/>
              <w:rPr>
                <w:lang w:val="en-CA"/>
              </w:rPr>
            </w:pPr>
          </w:p>
        </w:tc>
        <w:tc>
          <w:tcPr>
            <w:tcW w:w="4680" w:type="dxa"/>
            <w:tcBorders>
              <w:top w:val="single" w:sz="8" w:space="0" w:color="auto"/>
            </w:tcBorders>
          </w:tcPr>
          <w:p w14:paraId="4AE33D09" w14:textId="25F26D94" w:rsidR="008F364A" w:rsidRPr="006C5E09" w:rsidRDefault="000B51C5">
            <w:pPr>
              <w:keepNext/>
              <w:rPr>
                <w:lang w:val="en-CA"/>
              </w:rPr>
            </w:pPr>
            <w:r w:rsidRPr="006C5E09">
              <w:rPr>
                <w:lang w:val="en-CA"/>
              </w:rPr>
              <w:t>GUY COURNOYER, J.A.</w:t>
            </w:r>
          </w:p>
        </w:tc>
      </w:tr>
      <w:bookmarkEnd w:id="19"/>
      <w:tr w:rsidR="005A78BF" w:rsidRPr="006C5E09" w14:paraId="00EAC3E8" w14:textId="77777777" w:rsidTr="000C3BCE">
        <w:tblPrEx>
          <w:tblBorders>
            <w:top w:val="single" w:sz="4" w:space="0" w:color="auto"/>
          </w:tblBorders>
        </w:tblPrEx>
        <w:tc>
          <w:tcPr>
            <w:tcW w:w="9362" w:type="dxa"/>
            <w:gridSpan w:val="3"/>
            <w:tcBorders>
              <w:bottom w:val="nil"/>
            </w:tcBorders>
          </w:tcPr>
          <w:p w14:paraId="1D1D1CE8" w14:textId="77777777" w:rsidR="005A78BF" w:rsidRPr="006C5E09" w:rsidRDefault="005A78BF" w:rsidP="005A78BF">
            <w:pPr>
              <w:rPr>
                <w:lang w:val="en-CA"/>
              </w:rPr>
            </w:pPr>
          </w:p>
        </w:tc>
      </w:tr>
      <w:tr w:rsidR="005A78BF" w:rsidRPr="006C5E09" w14:paraId="0CB2CD4B" w14:textId="77777777" w:rsidTr="000C3BCE">
        <w:tblPrEx>
          <w:tblBorders>
            <w:top w:val="single" w:sz="4" w:space="0" w:color="auto"/>
          </w:tblBorders>
        </w:tblPrEx>
        <w:tc>
          <w:tcPr>
            <w:tcW w:w="9362" w:type="dxa"/>
            <w:gridSpan w:val="3"/>
            <w:tcBorders>
              <w:top w:val="nil"/>
            </w:tcBorders>
          </w:tcPr>
          <w:p w14:paraId="496A43AB" w14:textId="1D9C512F" w:rsidR="005A78BF" w:rsidRPr="006C5E09" w:rsidRDefault="000C3BCE" w:rsidP="005A78BF">
            <w:pPr>
              <w:pStyle w:val="zSoquijdatNomProcureurDem"/>
              <w:rPr>
                <w:lang w:val="en-CA"/>
              </w:rPr>
            </w:pPr>
            <w:r w:rsidRPr="006C5E09">
              <w:rPr>
                <w:lang w:val="en-CA"/>
              </w:rPr>
              <w:t>M</w:t>
            </w:r>
            <w:r w:rsidR="009D6B25">
              <w:rPr>
                <w:lang w:val="en-CA"/>
              </w:rPr>
              <w:t>tr</w:t>
            </w:r>
            <w:r w:rsidRPr="006C5E09">
              <w:rPr>
                <w:lang w:val="en-CA"/>
              </w:rPr>
              <w:t>e Julie Giroux</w:t>
            </w:r>
          </w:p>
        </w:tc>
      </w:tr>
      <w:tr w:rsidR="005A78BF" w:rsidRPr="006C5E09" w14:paraId="6E47C397" w14:textId="77777777" w:rsidTr="00423DF1">
        <w:tblPrEx>
          <w:tblBorders>
            <w:top w:val="single" w:sz="4" w:space="0" w:color="auto"/>
          </w:tblBorders>
        </w:tblPrEx>
        <w:tc>
          <w:tcPr>
            <w:tcW w:w="9362" w:type="dxa"/>
            <w:gridSpan w:val="3"/>
          </w:tcPr>
          <w:p w14:paraId="427A70D7" w14:textId="77777777" w:rsidR="005A78BF" w:rsidRPr="00C14943" w:rsidRDefault="000C3BCE" w:rsidP="005A78BF">
            <w:pPr>
              <w:pStyle w:val="zSoquijdatCabinetProcureurDem"/>
            </w:pPr>
            <w:r w:rsidRPr="00C14943">
              <w:t>LABELLE, CÔTÉ, TABAH ET ASSOCIÉS</w:t>
            </w:r>
          </w:p>
        </w:tc>
      </w:tr>
      <w:tr w:rsidR="005A78BF" w:rsidRPr="006C5E09" w14:paraId="4DF6977A" w14:textId="77777777" w:rsidTr="00423DF1">
        <w:tblPrEx>
          <w:tblBorders>
            <w:top w:val="single" w:sz="4" w:space="0" w:color="auto"/>
          </w:tblBorders>
        </w:tblPrEx>
        <w:tc>
          <w:tcPr>
            <w:tcW w:w="9362" w:type="dxa"/>
            <w:gridSpan w:val="3"/>
          </w:tcPr>
          <w:p w14:paraId="52276FBD" w14:textId="17828F83" w:rsidR="005A78BF" w:rsidRPr="006C5E09" w:rsidRDefault="00A828AE" w:rsidP="005A78BF">
            <w:pPr>
              <w:pStyle w:val="zSoquijlblProcureurDem"/>
              <w:rPr>
                <w:lang w:val="en-CA"/>
              </w:rPr>
            </w:pPr>
            <w:r>
              <w:rPr>
                <w:lang w:val="en-CA"/>
              </w:rPr>
              <w:t>For the appellant</w:t>
            </w:r>
          </w:p>
        </w:tc>
      </w:tr>
      <w:tr w:rsidR="005A78BF" w:rsidRPr="006C5E09" w14:paraId="01048564" w14:textId="77777777" w:rsidTr="00423DF1">
        <w:tblPrEx>
          <w:tblBorders>
            <w:top w:val="single" w:sz="4" w:space="0" w:color="auto"/>
          </w:tblBorders>
        </w:tblPrEx>
        <w:tc>
          <w:tcPr>
            <w:tcW w:w="9362" w:type="dxa"/>
            <w:gridSpan w:val="3"/>
          </w:tcPr>
          <w:p w14:paraId="081DF9CB" w14:textId="77777777" w:rsidR="005A78BF" w:rsidRPr="006C5E09" w:rsidRDefault="005A78BF" w:rsidP="005A78BF">
            <w:pPr>
              <w:rPr>
                <w:lang w:val="en-CA"/>
              </w:rPr>
            </w:pPr>
          </w:p>
        </w:tc>
      </w:tr>
      <w:tr w:rsidR="005A78BF" w:rsidRPr="006C5E09" w14:paraId="6CEC1C46" w14:textId="77777777" w:rsidTr="00423DF1">
        <w:tblPrEx>
          <w:tblBorders>
            <w:top w:val="single" w:sz="4" w:space="0" w:color="auto"/>
          </w:tblBorders>
        </w:tblPrEx>
        <w:tc>
          <w:tcPr>
            <w:tcW w:w="9362" w:type="dxa"/>
            <w:gridSpan w:val="3"/>
          </w:tcPr>
          <w:p w14:paraId="257DF9FD" w14:textId="33D118AE" w:rsidR="005A78BF" w:rsidRPr="006C5E09" w:rsidRDefault="00453E54" w:rsidP="005A78BF">
            <w:pPr>
              <w:pStyle w:val="zSoquijdatNomProcureurDef"/>
              <w:rPr>
                <w:lang w:val="en-CA"/>
              </w:rPr>
            </w:pPr>
            <w:r w:rsidRPr="006C5E09">
              <w:rPr>
                <w:lang w:val="en-CA"/>
              </w:rPr>
              <w:t>M</w:t>
            </w:r>
            <w:r w:rsidR="009D6B25">
              <w:rPr>
                <w:lang w:val="en-CA"/>
              </w:rPr>
              <w:t>tr</w:t>
            </w:r>
            <w:r w:rsidRPr="006C5E09">
              <w:rPr>
                <w:lang w:val="en-CA"/>
              </w:rPr>
              <w:t>e Robert Beno</w:t>
            </w:r>
            <w:r w:rsidR="00AE7905" w:rsidRPr="006C5E09">
              <w:rPr>
                <w:lang w:val="en-CA"/>
              </w:rPr>
              <w:t>i</w:t>
            </w:r>
            <w:r w:rsidRPr="006C5E09">
              <w:rPr>
                <w:lang w:val="en-CA"/>
              </w:rPr>
              <w:t>t</w:t>
            </w:r>
          </w:p>
        </w:tc>
      </w:tr>
      <w:tr w:rsidR="005A78BF" w:rsidRPr="00DB758A" w14:paraId="29A6E95C" w14:textId="77777777" w:rsidTr="00423DF1">
        <w:tblPrEx>
          <w:tblBorders>
            <w:top w:val="single" w:sz="4" w:space="0" w:color="auto"/>
          </w:tblBorders>
        </w:tblPrEx>
        <w:tc>
          <w:tcPr>
            <w:tcW w:w="9362" w:type="dxa"/>
            <w:gridSpan w:val="3"/>
          </w:tcPr>
          <w:p w14:paraId="3905AC11" w14:textId="674CFCF7" w:rsidR="005A78BF" w:rsidRPr="006C5E09" w:rsidRDefault="00A828AE" w:rsidP="005A78BF">
            <w:pPr>
              <w:pStyle w:val="zSoquijdatCabinetProcureurDef"/>
              <w:rPr>
                <w:lang w:val="en-CA"/>
              </w:rPr>
            </w:pPr>
            <w:r>
              <w:rPr>
                <w:lang w:val="en-CA"/>
              </w:rPr>
              <w:t>DIRECTOR OF CRIMINAL AND PENAL PROSECUTIONS</w:t>
            </w:r>
          </w:p>
        </w:tc>
      </w:tr>
      <w:tr w:rsidR="005A78BF" w:rsidRPr="006C5E09" w14:paraId="2AA97F4D" w14:textId="77777777" w:rsidTr="00423DF1">
        <w:tblPrEx>
          <w:tblBorders>
            <w:top w:val="single" w:sz="4" w:space="0" w:color="auto"/>
          </w:tblBorders>
        </w:tblPrEx>
        <w:tc>
          <w:tcPr>
            <w:tcW w:w="9362" w:type="dxa"/>
            <w:gridSpan w:val="3"/>
          </w:tcPr>
          <w:p w14:paraId="03533874" w14:textId="0193074D" w:rsidR="005A78BF" w:rsidRPr="006C5E09" w:rsidRDefault="00A828AE" w:rsidP="005A78BF">
            <w:pPr>
              <w:pStyle w:val="zSoquijlblProcureurDef"/>
              <w:rPr>
                <w:lang w:val="en-CA"/>
              </w:rPr>
            </w:pPr>
            <w:r>
              <w:rPr>
                <w:lang w:val="en-CA"/>
              </w:rPr>
              <w:t>For the respondent</w:t>
            </w:r>
          </w:p>
        </w:tc>
      </w:tr>
      <w:tr w:rsidR="005A78BF" w:rsidRPr="006C5E09" w14:paraId="7294F920" w14:textId="77777777" w:rsidTr="00423DF1">
        <w:tblPrEx>
          <w:tblBorders>
            <w:top w:val="single" w:sz="4" w:space="0" w:color="auto"/>
          </w:tblBorders>
        </w:tblPrEx>
        <w:tc>
          <w:tcPr>
            <w:tcW w:w="9362" w:type="dxa"/>
            <w:gridSpan w:val="3"/>
          </w:tcPr>
          <w:p w14:paraId="4385798D" w14:textId="77777777" w:rsidR="005A78BF" w:rsidRPr="006C5E09" w:rsidRDefault="005A78BF" w:rsidP="005A78BF">
            <w:pPr>
              <w:rPr>
                <w:lang w:val="en-CA"/>
              </w:rPr>
            </w:pPr>
          </w:p>
        </w:tc>
      </w:tr>
      <w:tr w:rsidR="005A78BF" w:rsidRPr="006C5E09" w14:paraId="1AE73452" w14:textId="77777777" w:rsidTr="00423DF1">
        <w:tblPrEx>
          <w:tblBorders>
            <w:top w:val="single" w:sz="4" w:space="0" w:color="auto"/>
          </w:tblBorders>
        </w:tblPrEx>
        <w:tc>
          <w:tcPr>
            <w:tcW w:w="1997" w:type="dxa"/>
          </w:tcPr>
          <w:p w14:paraId="582637D6" w14:textId="7C623DC0" w:rsidR="005A78BF" w:rsidRPr="006C5E09" w:rsidRDefault="00DF2B3C" w:rsidP="005A78BF">
            <w:pPr>
              <w:pStyle w:val="zSoquijlblDateAudience"/>
              <w:rPr>
                <w:lang w:val="en-CA"/>
              </w:rPr>
            </w:pPr>
            <w:r>
              <w:rPr>
                <w:lang w:val="en-CA"/>
              </w:rPr>
              <w:t>Date of h</w:t>
            </w:r>
            <w:r w:rsidR="00A828AE">
              <w:rPr>
                <w:lang w:val="en-CA"/>
              </w:rPr>
              <w:t>earing</w:t>
            </w:r>
            <w:r w:rsidR="005A78BF" w:rsidRPr="006C5E09">
              <w:rPr>
                <w:lang w:val="en-CA"/>
              </w:rPr>
              <w:t>:</w:t>
            </w:r>
          </w:p>
        </w:tc>
        <w:tc>
          <w:tcPr>
            <w:tcW w:w="7365" w:type="dxa"/>
            <w:gridSpan w:val="2"/>
          </w:tcPr>
          <w:p w14:paraId="4D38E648" w14:textId="0949D62E" w:rsidR="005A78BF" w:rsidRPr="006C5E09" w:rsidRDefault="00A828AE" w:rsidP="00453E54">
            <w:pPr>
              <w:pStyle w:val="zSoquijdatDateAudience"/>
              <w:rPr>
                <w:lang w:val="en-CA"/>
              </w:rPr>
            </w:pPr>
            <w:r>
              <w:rPr>
                <w:lang w:val="en-CA"/>
              </w:rPr>
              <w:t>August 30,</w:t>
            </w:r>
            <w:r w:rsidR="000C3BCE" w:rsidRPr="006C5E09">
              <w:rPr>
                <w:lang w:val="en-CA"/>
              </w:rPr>
              <w:t xml:space="preserve"> 202</w:t>
            </w:r>
            <w:r w:rsidR="00453E54" w:rsidRPr="006C5E09">
              <w:rPr>
                <w:lang w:val="en-CA"/>
              </w:rPr>
              <w:t>2</w:t>
            </w:r>
          </w:p>
        </w:tc>
      </w:tr>
      <w:bookmarkEnd w:id="8"/>
    </w:tbl>
    <w:p w14:paraId="32CEF14D" w14:textId="77777777" w:rsidR="00740A17" w:rsidRDefault="00740A17" w:rsidP="000C3BCE">
      <w:pPr>
        <w:rPr>
          <w:lang w:val="en-CA"/>
        </w:rPr>
      </w:pPr>
    </w:p>
    <w:p w14:paraId="3CD26DD4" w14:textId="77777777" w:rsidR="00CF3819" w:rsidRPr="00CF3819" w:rsidRDefault="00CF3819" w:rsidP="00CF3819">
      <w:pPr>
        <w:rPr>
          <w:lang w:val="en-CA"/>
        </w:rPr>
      </w:pPr>
    </w:p>
    <w:p w14:paraId="06D871A2" w14:textId="77777777" w:rsidR="00CF3819" w:rsidRPr="00CF3819" w:rsidRDefault="00CF3819" w:rsidP="00CF3819">
      <w:pPr>
        <w:rPr>
          <w:lang w:val="en-CA"/>
        </w:rPr>
      </w:pPr>
    </w:p>
    <w:p w14:paraId="6F976C76" w14:textId="77777777" w:rsidR="00CF3819" w:rsidRPr="00CF3819" w:rsidRDefault="00CF3819" w:rsidP="00CF3819">
      <w:pPr>
        <w:rPr>
          <w:lang w:val="en-CA"/>
        </w:rPr>
      </w:pPr>
    </w:p>
    <w:p w14:paraId="7C5F4ADB" w14:textId="77777777" w:rsidR="00CF3819" w:rsidRPr="00CF3819" w:rsidRDefault="00CF3819" w:rsidP="00CF3819">
      <w:pPr>
        <w:rPr>
          <w:lang w:val="en-CA"/>
        </w:rPr>
      </w:pPr>
    </w:p>
    <w:p w14:paraId="7E846ECB" w14:textId="77777777" w:rsidR="00CF3819" w:rsidRPr="00CF3819" w:rsidRDefault="00CF3819" w:rsidP="00CF3819">
      <w:pPr>
        <w:rPr>
          <w:lang w:val="en-CA"/>
        </w:rPr>
      </w:pPr>
    </w:p>
    <w:p w14:paraId="17828A9D" w14:textId="77777777" w:rsidR="00CF3819" w:rsidRPr="00CF3819" w:rsidRDefault="00CF3819" w:rsidP="00CF3819">
      <w:pPr>
        <w:rPr>
          <w:lang w:val="en-CA"/>
        </w:rPr>
      </w:pPr>
    </w:p>
    <w:p w14:paraId="27C0CBAA" w14:textId="77777777" w:rsidR="00CF3819" w:rsidRPr="00CF3819" w:rsidRDefault="00CF3819" w:rsidP="00CF3819">
      <w:pPr>
        <w:rPr>
          <w:lang w:val="en-CA"/>
        </w:rPr>
      </w:pPr>
    </w:p>
    <w:p w14:paraId="249B6311" w14:textId="77777777" w:rsidR="00CF3819" w:rsidRPr="00CF3819" w:rsidRDefault="00CF3819" w:rsidP="00CF3819">
      <w:pPr>
        <w:rPr>
          <w:lang w:val="en-CA"/>
        </w:rPr>
      </w:pPr>
    </w:p>
    <w:p w14:paraId="062A15F5" w14:textId="77777777" w:rsidR="00CF3819" w:rsidRPr="00CF3819" w:rsidRDefault="00CF3819" w:rsidP="00CF3819">
      <w:pPr>
        <w:rPr>
          <w:lang w:val="en-CA"/>
        </w:rPr>
      </w:pPr>
    </w:p>
    <w:p w14:paraId="63719557" w14:textId="77777777" w:rsidR="00CF3819" w:rsidRDefault="00CF3819" w:rsidP="00CF3819">
      <w:pPr>
        <w:rPr>
          <w:lang w:val="en-CA"/>
        </w:rPr>
      </w:pPr>
    </w:p>
    <w:p w14:paraId="66D64A88" w14:textId="45F62663" w:rsidR="00CF3819" w:rsidRPr="00CF3819" w:rsidRDefault="00CF3819" w:rsidP="00CF3819">
      <w:pPr>
        <w:tabs>
          <w:tab w:val="left" w:pos="5400"/>
        </w:tabs>
        <w:rPr>
          <w:lang w:val="en-CA"/>
        </w:rPr>
      </w:pPr>
      <w:r>
        <w:rPr>
          <w:lang w:val="en-CA"/>
        </w:rPr>
        <w:tab/>
      </w:r>
    </w:p>
    <w:sectPr w:rsidR="00CF3819" w:rsidRPr="00CF3819" w:rsidSect="000C3BCE">
      <w:headerReference w:type="even" r:id="rId8"/>
      <w:headerReference w:type="default" r:id="rId9"/>
      <w:footerReference w:type="even" r:id="rId10"/>
      <w:footerReference w:type="default" r:id="rId11"/>
      <w:headerReference w:type="first" r:id="rId12"/>
      <w:footerReference w:type="first" r:id="rId13"/>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3480" w14:textId="77777777" w:rsidR="000D3534" w:rsidRDefault="000D3534">
      <w:r>
        <w:separator/>
      </w:r>
    </w:p>
  </w:endnote>
  <w:endnote w:type="continuationSeparator" w:id="0">
    <w:p w14:paraId="189B561A" w14:textId="77777777" w:rsidR="000D3534" w:rsidRDefault="000D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7E3F" w14:textId="77777777" w:rsidR="000B36B5" w:rsidRDefault="000B36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0D4C" w14:textId="115F3338" w:rsidR="00247D0B" w:rsidRPr="00C14943" w:rsidRDefault="00C14943" w:rsidP="00C14943">
    <w:pPr>
      <w:pStyle w:val="Pieddepage"/>
      <w:jc w:val="right"/>
      <w:rPr>
        <w:bCs/>
        <w:lang w:val="en-CA"/>
      </w:rPr>
    </w:pPr>
    <w:r w:rsidRPr="00C14943">
      <w:rPr>
        <w:bCs/>
        <w:lang w:val="en-CA"/>
      </w:rPr>
      <w:t>English translation of the judgment of the Court by SOQUIJ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0881" w14:textId="77777777" w:rsidR="000B36B5" w:rsidRDefault="000B36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CFFF" w14:textId="77777777" w:rsidR="000D3534" w:rsidRDefault="000D3534">
      <w:r>
        <w:separator/>
      </w:r>
    </w:p>
  </w:footnote>
  <w:footnote w:type="continuationSeparator" w:id="0">
    <w:p w14:paraId="54D7E1FD" w14:textId="77777777" w:rsidR="000D3534" w:rsidRDefault="000D3534">
      <w:r>
        <w:continuationSeparator/>
      </w:r>
    </w:p>
  </w:footnote>
  <w:footnote w:id="1">
    <w:p w14:paraId="20E4CEFA" w14:textId="2D55DFDA"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 xml:space="preserve">Winko </w:t>
      </w:r>
      <w:r w:rsidR="006A3A36" w:rsidRPr="00A96D6A">
        <w:rPr>
          <w:i/>
          <w:lang w:val="en-CA"/>
        </w:rPr>
        <w:t>v. British Columbia</w:t>
      </w:r>
      <w:r w:rsidRPr="00A96D6A">
        <w:rPr>
          <w:i/>
          <w:lang w:val="en-CA"/>
        </w:rPr>
        <w:t xml:space="preserve"> (Forensic Psychiatric Institute)</w:t>
      </w:r>
      <w:r w:rsidRPr="00A96D6A">
        <w:rPr>
          <w:lang w:val="en-CA"/>
        </w:rPr>
        <w:t xml:space="preserve">, [1999] 2 </w:t>
      </w:r>
      <w:r w:rsidR="006A3A36" w:rsidRPr="00A96D6A">
        <w:rPr>
          <w:lang w:val="en-CA"/>
        </w:rPr>
        <w:t>S.C.R.</w:t>
      </w:r>
      <w:r w:rsidRPr="00A96D6A">
        <w:rPr>
          <w:lang w:val="en-CA"/>
        </w:rPr>
        <w:t xml:space="preserve"> 625 </w:t>
      </w:r>
      <w:r w:rsidR="006A3A36" w:rsidRPr="00A96D6A">
        <w:rPr>
          <w:lang w:val="en-CA"/>
        </w:rPr>
        <w:t>at para.</w:t>
      </w:r>
      <w:r w:rsidRPr="00A96D6A">
        <w:rPr>
          <w:lang w:val="en-CA"/>
        </w:rPr>
        <w:t xml:space="preserve"> 1.</w:t>
      </w:r>
    </w:p>
  </w:footnote>
  <w:footnote w:id="2">
    <w:p w14:paraId="04E509E4" w14:textId="785DDF8D"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p>
  </w:footnote>
  <w:footnote w:id="3">
    <w:p w14:paraId="3EF9A5AB" w14:textId="52796737"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iCs/>
          <w:lang w:val="en-CA"/>
        </w:rPr>
        <w:t>R.</w:t>
      </w:r>
      <w:r w:rsidR="006A3A36" w:rsidRPr="00A96D6A">
        <w:rPr>
          <w:i/>
          <w:iCs/>
          <w:lang w:val="en-CA"/>
        </w:rPr>
        <w:t xml:space="preserve"> v. </w:t>
      </w:r>
      <w:r w:rsidRPr="00A96D6A">
        <w:rPr>
          <w:i/>
          <w:iCs/>
          <w:lang w:val="en-CA"/>
        </w:rPr>
        <w:t>White</w:t>
      </w:r>
      <w:r w:rsidRPr="00A96D6A">
        <w:rPr>
          <w:lang w:val="en-CA"/>
        </w:rPr>
        <w:t xml:space="preserve">, [1998] 2 </w:t>
      </w:r>
      <w:r w:rsidR="006A3A36" w:rsidRPr="00A96D6A">
        <w:rPr>
          <w:lang w:val="en-CA"/>
        </w:rPr>
        <w:t>S.C.R.</w:t>
      </w:r>
      <w:r w:rsidRPr="00A96D6A">
        <w:rPr>
          <w:lang w:val="en-CA"/>
        </w:rPr>
        <w:t xml:space="preserve"> 72 </w:t>
      </w:r>
      <w:r w:rsidR="006A3A36" w:rsidRPr="00A96D6A">
        <w:rPr>
          <w:lang w:val="en-CA"/>
        </w:rPr>
        <w:t>at para.</w:t>
      </w:r>
      <w:r w:rsidRPr="00A96D6A">
        <w:rPr>
          <w:lang w:val="en-CA"/>
        </w:rPr>
        <w:t xml:space="preserve"> 27.</w:t>
      </w:r>
    </w:p>
  </w:footnote>
  <w:footnote w:id="4">
    <w:p w14:paraId="65EC4D99" w14:textId="658FC64A" w:rsidR="00525251" w:rsidRPr="00A96D6A" w:rsidRDefault="00525251" w:rsidP="00481CAA">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1A3B8E" w:rsidRPr="00A96D6A">
        <w:rPr>
          <w:lang w:val="en-CA"/>
        </w:rPr>
        <w:t xml:space="preserve">Although the Crown’s position during its </w:t>
      </w:r>
      <w:r w:rsidR="000D55BD">
        <w:rPr>
          <w:lang w:val="en-CA"/>
        </w:rPr>
        <w:t xml:space="preserve">closing </w:t>
      </w:r>
      <w:r w:rsidR="00A73CCF">
        <w:rPr>
          <w:lang w:val="en-CA"/>
        </w:rPr>
        <w:t>address</w:t>
      </w:r>
      <w:r w:rsidR="001A3B8E" w:rsidRPr="00A96D6A">
        <w:rPr>
          <w:lang w:val="en-CA"/>
        </w:rPr>
        <w:t xml:space="preserve"> appeared ambivalent and equivocal, the judge instructed the jury, as </w:t>
      </w:r>
      <w:r w:rsidR="009D78CC">
        <w:rPr>
          <w:lang w:val="en-CA"/>
        </w:rPr>
        <w:t>was necessary</w:t>
      </w:r>
      <w:r w:rsidR="001A3B8E" w:rsidRPr="00A96D6A">
        <w:rPr>
          <w:lang w:val="en-CA"/>
        </w:rPr>
        <w:t xml:space="preserve"> in our opinion, that the </w:t>
      </w:r>
      <w:r w:rsidR="00224D9B" w:rsidRPr="00A96D6A">
        <w:rPr>
          <w:lang w:val="en-CA"/>
        </w:rPr>
        <w:t>Crown</w:t>
      </w:r>
      <w:r w:rsidR="001A3B8E" w:rsidRPr="00A96D6A">
        <w:rPr>
          <w:lang w:val="en-CA"/>
        </w:rPr>
        <w:t xml:space="preserve"> did not dispute the </w:t>
      </w:r>
      <w:r w:rsidR="00224D9B" w:rsidRPr="00A96D6A">
        <w:rPr>
          <w:lang w:val="en-CA"/>
        </w:rPr>
        <w:t>fact that</w:t>
      </w:r>
      <w:r w:rsidR="001A3B8E" w:rsidRPr="00A96D6A">
        <w:rPr>
          <w:lang w:val="en-CA"/>
        </w:rPr>
        <w:t xml:space="preserve"> the appellant</w:t>
      </w:r>
      <w:r w:rsidR="00224D9B" w:rsidRPr="00A96D6A">
        <w:rPr>
          <w:lang w:val="en-CA"/>
        </w:rPr>
        <w:t xml:space="preserve"> had</w:t>
      </w:r>
      <w:r w:rsidR="000D55BD">
        <w:rPr>
          <w:lang w:val="en-CA"/>
        </w:rPr>
        <w:t xml:space="preserve"> a</w:t>
      </w:r>
      <w:r w:rsidR="001A3B8E" w:rsidRPr="00A96D6A">
        <w:rPr>
          <w:lang w:val="en-CA"/>
        </w:rPr>
        <w:t xml:space="preserve"> mental disorder</w:t>
      </w:r>
      <w:r w:rsidR="001A3B8E" w:rsidRPr="000D55BD">
        <w:rPr>
          <w:lang w:val="en-CA"/>
        </w:rPr>
        <w:t xml:space="preserve">. In this regard, as Watt </w:t>
      </w:r>
      <w:r w:rsidR="00023079">
        <w:rPr>
          <w:lang w:val="en-CA"/>
        </w:rPr>
        <w:t xml:space="preserve">J. </w:t>
      </w:r>
      <w:r w:rsidR="001A3B8E" w:rsidRPr="000D55BD">
        <w:rPr>
          <w:lang w:val="en-CA"/>
        </w:rPr>
        <w:t xml:space="preserve">explains in his book </w:t>
      </w:r>
      <w:r w:rsidR="001A3B8E" w:rsidRPr="000D55BD">
        <w:rPr>
          <w:i/>
          <w:iCs/>
          <w:lang w:val="en-CA"/>
        </w:rPr>
        <w:t>Helping Jurors Understand</w:t>
      </w:r>
      <w:r w:rsidR="001A3B8E" w:rsidRPr="000D55BD">
        <w:rPr>
          <w:lang w:val="en-CA"/>
        </w:rPr>
        <w:t>, Thomson, 2007</w:t>
      </w:r>
      <w:r w:rsidRPr="000D55BD">
        <w:rPr>
          <w:lang w:val="en-CA"/>
        </w:rPr>
        <w:t xml:space="preserve">: </w:t>
      </w:r>
      <w:r w:rsidR="001A3B8E" w:rsidRPr="0066627F">
        <w:rPr>
          <w:lang w:val="en-CA"/>
        </w:rPr>
        <w:t>“</w:t>
      </w:r>
      <w:r w:rsidRPr="0066627F">
        <w:rPr>
          <w:lang w:val="en-CA"/>
        </w:rPr>
        <w:t xml:space="preserve">Where the evidence plainly establishes some essential elements of the defence, P should be invited to acknowledge this in order to narrow the contested ground and </w:t>
      </w:r>
      <w:r w:rsidRPr="0066627F">
        <w:rPr>
          <w:u w:val="single"/>
          <w:lang w:val="en-CA"/>
        </w:rPr>
        <w:t>reduce the volume of instructions required, hence their complexity</w:t>
      </w:r>
      <w:r w:rsidR="001A3B8E" w:rsidRPr="0066627F">
        <w:rPr>
          <w:lang w:val="en-CA"/>
        </w:rPr>
        <w:t>”</w:t>
      </w:r>
      <w:r w:rsidRPr="000D55BD">
        <w:rPr>
          <w:lang w:val="en-CA"/>
        </w:rPr>
        <w:t xml:space="preserve"> [</w:t>
      </w:r>
      <w:r w:rsidR="00EC683B" w:rsidRPr="000D55BD">
        <w:rPr>
          <w:lang w:val="en-CA"/>
        </w:rPr>
        <w:t>E</w:t>
      </w:r>
      <w:r w:rsidR="001A3B8E" w:rsidRPr="000D55BD">
        <w:rPr>
          <w:lang w:val="en-CA"/>
        </w:rPr>
        <w:t>mphasis</w:t>
      </w:r>
      <w:r w:rsidR="001A3B8E" w:rsidRPr="00A96D6A">
        <w:rPr>
          <w:lang w:val="en-CA"/>
        </w:rPr>
        <w:t xml:space="preserve"> added</w:t>
      </w:r>
      <w:r w:rsidRPr="00A96D6A">
        <w:rPr>
          <w:lang w:val="en-CA"/>
        </w:rPr>
        <w:t>] (</w:t>
      </w:r>
      <w:r w:rsidR="001A3B8E" w:rsidRPr="00A96D6A">
        <w:rPr>
          <w:lang w:val="en-CA"/>
        </w:rPr>
        <w:t>at</w:t>
      </w:r>
      <w:r w:rsidRPr="00A96D6A">
        <w:rPr>
          <w:lang w:val="en-CA"/>
        </w:rPr>
        <w:t> 71).</w:t>
      </w:r>
    </w:p>
  </w:footnote>
  <w:footnote w:id="5">
    <w:p w14:paraId="16C2D68E" w14:textId="651DBA9F" w:rsidR="00525251" w:rsidRPr="00A96D6A" w:rsidRDefault="00525251" w:rsidP="00151C5D">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 xml:space="preserve">Molodowic, </w:t>
      </w:r>
      <w:r w:rsidRPr="00A96D6A">
        <w:rPr>
          <w:lang w:val="en-CA"/>
        </w:rPr>
        <w:t xml:space="preserve">[2000] 1 </w:t>
      </w:r>
      <w:r w:rsidR="006A3A36" w:rsidRPr="00A96D6A">
        <w:rPr>
          <w:lang w:val="en-CA"/>
        </w:rPr>
        <w:t>S.C.R.</w:t>
      </w:r>
      <w:r w:rsidRPr="00A96D6A">
        <w:rPr>
          <w:lang w:val="en-CA"/>
        </w:rPr>
        <w:t xml:space="preserve"> 420, 2000 </w:t>
      </w:r>
      <w:r w:rsidR="006A3A36" w:rsidRPr="00A96D6A">
        <w:rPr>
          <w:lang w:val="en-CA"/>
        </w:rPr>
        <w:t>SCC</w:t>
      </w:r>
      <w:r w:rsidRPr="00A96D6A">
        <w:rPr>
          <w:lang w:val="en-CA"/>
        </w:rPr>
        <w:t xml:space="preserve"> 16. </w:t>
      </w:r>
    </w:p>
  </w:footnote>
  <w:footnote w:id="6">
    <w:p w14:paraId="4BADB70A" w14:textId="09C47AF8" w:rsidR="00525251" w:rsidRPr="00A96D6A" w:rsidRDefault="00525251" w:rsidP="00151C5D">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Oommen</w:t>
      </w:r>
      <w:r w:rsidRPr="00A96D6A">
        <w:rPr>
          <w:lang w:val="en-CA"/>
        </w:rPr>
        <w:t xml:space="preserve">, [1994] 2 </w:t>
      </w:r>
      <w:r w:rsidR="006A3A36" w:rsidRPr="00A96D6A">
        <w:rPr>
          <w:lang w:val="en-CA"/>
        </w:rPr>
        <w:t>S.C.R.</w:t>
      </w:r>
      <w:r w:rsidRPr="00A96D6A">
        <w:rPr>
          <w:lang w:val="en-CA"/>
        </w:rPr>
        <w:t xml:space="preserve"> 507.</w:t>
      </w:r>
    </w:p>
  </w:footnote>
  <w:footnote w:id="7">
    <w:p w14:paraId="756AC5C2" w14:textId="4BADB2F7"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Molodowic</w:t>
      </w:r>
      <w:r w:rsidRPr="00A96D6A">
        <w:rPr>
          <w:lang w:val="en-CA"/>
        </w:rPr>
        <w:t xml:space="preserve">, [2000] 1 </w:t>
      </w:r>
      <w:r w:rsidR="006A3A36" w:rsidRPr="00A96D6A">
        <w:rPr>
          <w:lang w:val="en-CA"/>
        </w:rPr>
        <w:t>S.C.R.</w:t>
      </w:r>
      <w:r w:rsidRPr="00A96D6A">
        <w:rPr>
          <w:lang w:val="en-CA"/>
        </w:rPr>
        <w:t xml:space="preserve"> 420,</w:t>
      </w:r>
      <w:r w:rsidR="00AB451D" w:rsidRPr="00A96D6A">
        <w:rPr>
          <w:lang w:val="en-CA"/>
        </w:rPr>
        <w:t xml:space="preserve"> 2000 </w:t>
      </w:r>
      <w:r w:rsidR="006A3A36" w:rsidRPr="00A96D6A">
        <w:rPr>
          <w:lang w:val="en-CA"/>
        </w:rPr>
        <w:t>SCC</w:t>
      </w:r>
      <w:r w:rsidR="00AB451D" w:rsidRPr="00A96D6A">
        <w:rPr>
          <w:lang w:val="en-CA"/>
        </w:rPr>
        <w:t xml:space="preserve"> 16</w:t>
      </w:r>
      <w:r w:rsidRPr="00A96D6A">
        <w:rPr>
          <w:lang w:val="en-CA"/>
        </w:rPr>
        <w:t xml:space="preserve"> </w:t>
      </w:r>
      <w:r w:rsidR="006A3A36" w:rsidRPr="00A96D6A">
        <w:rPr>
          <w:lang w:val="en-CA"/>
        </w:rPr>
        <w:t>at para.</w:t>
      </w:r>
      <w:r w:rsidRPr="00A96D6A">
        <w:rPr>
          <w:lang w:val="en-CA"/>
        </w:rPr>
        <w:t xml:space="preserve"> 1.</w:t>
      </w:r>
    </w:p>
  </w:footnote>
  <w:footnote w:id="8">
    <w:p w14:paraId="09B42DFD" w14:textId="5E335867" w:rsidR="00525251" w:rsidRPr="00A96D6A" w:rsidRDefault="00525251">
      <w:pPr>
        <w:pStyle w:val="Notedebasdepage"/>
        <w:rPr>
          <w:i/>
          <w:lang w:val="en-CA"/>
        </w:rPr>
      </w:pPr>
      <w:r w:rsidRPr="00A96D6A">
        <w:rPr>
          <w:rStyle w:val="Appelnotedebasdep"/>
          <w:lang w:val="en-CA"/>
        </w:rPr>
        <w:footnoteRef/>
      </w:r>
      <w:r w:rsidRPr="00A96D6A">
        <w:rPr>
          <w:lang w:val="en-CA"/>
        </w:rPr>
        <w:t xml:space="preserve"> </w:t>
      </w:r>
      <w:r w:rsidRPr="00A96D6A">
        <w:rPr>
          <w:lang w:val="en-CA"/>
        </w:rPr>
        <w:tab/>
      </w:r>
      <w:r w:rsidR="002E6D91" w:rsidRPr="00A96D6A">
        <w:rPr>
          <w:i/>
          <w:lang w:val="en-CA"/>
        </w:rPr>
        <w:t>Ibid</w:t>
      </w:r>
      <w:r w:rsidRPr="00A96D6A">
        <w:rPr>
          <w:i/>
          <w:lang w:val="en-CA"/>
        </w:rPr>
        <w:t>.</w:t>
      </w:r>
    </w:p>
  </w:footnote>
  <w:footnote w:id="9">
    <w:p w14:paraId="6253CFF9" w14:textId="0483308D" w:rsidR="00525251" w:rsidRPr="00A96D6A" w:rsidRDefault="00525251" w:rsidP="00151C5D">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 xml:space="preserve">Molodowic, </w:t>
      </w:r>
      <w:r w:rsidRPr="00A96D6A">
        <w:rPr>
          <w:lang w:val="en-CA"/>
        </w:rPr>
        <w:t xml:space="preserve">[2000] 1 </w:t>
      </w:r>
      <w:r w:rsidR="006A3A36" w:rsidRPr="00A96D6A">
        <w:rPr>
          <w:lang w:val="en-CA"/>
        </w:rPr>
        <w:t>S.C.R.</w:t>
      </w:r>
      <w:r w:rsidRPr="00A96D6A">
        <w:rPr>
          <w:lang w:val="en-CA"/>
        </w:rPr>
        <w:t xml:space="preserve"> 420, 2000 </w:t>
      </w:r>
      <w:r w:rsidR="006A3A36" w:rsidRPr="00A96D6A">
        <w:rPr>
          <w:lang w:val="en-CA"/>
        </w:rPr>
        <w:t>SCC</w:t>
      </w:r>
      <w:r w:rsidRPr="00A96D6A">
        <w:rPr>
          <w:lang w:val="en-CA"/>
        </w:rPr>
        <w:t xml:space="preserve"> 16. </w:t>
      </w:r>
    </w:p>
  </w:footnote>
  <w:footnote w:id="10">
    <w:p w14:paraId="445E7F63" w14:textId="61B7816C"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1004A0" w:rsidRPr="00A96D6A">
        <w:rPr>
          <w:i/>
          <w:lang w:val="en-CA"/>
        </w:rPr>
        <w:t>R.</w:t>
      </w:r>
      <w:r w:rsidR="006A3A36" w:rsidRPr="00A96D6A">
        <w:rPr>
          <w:i/>
          <w:iCs/>
          <w:lang w:val="en-CA"/>
        </w:rPr>
        <w:t xml:space="preserve"> v. </w:t>
      </w:r>
      <w:r w:rsidR="001004A0" w:rsidRPr="00A96D6A">
        <w:rPr>
          <w:i/>
          <w:lang w:val="en-CA"/>
        </w:rPr>
        <w:t xml:space="preserve">Molodowic, </w:t>
      </w:r>
      <w:r w:rsidR="001004A0" w:rsidRPr="00A96D6A">
        <w:rPr>
          <w:lang w:val="en-CA"/>
        </w:rPr>
        <w:t xml:space="preserve">[2000] 1 </w:t>
      </w:r>
      <w:r w:rsidR="006A3A36" w:rsidRPr="00A96D6A">
        <w:rPr>
          <w:lang w:val="en-CA"/>
        </w:rPr>
        <w:t>S.C.R.</w:t>
      </w:r>
      <w:r w:rsidR="001004A0" w:rsidRPr="00A96D6A">
        <w:rPr>
          <w:lang w:val="en-CA"/>
        </w:rPr>
        <w:t xml:space="preserve"> 420, 2000 </w:t>
      </w:r>
      <w:r w:rsidR="006A3A36" w:rsidRPr="00A96D6A">
        <w:rPr>
          <w:lang w:val="en-CA"/>
        </w:rPr>
        <w:t>SCC</w:t>
      </w:r>
      <w:r w:rsidR="001004A0" w:rsidRPr="00A96D6A">
        <w:rPr>
          <w:lang w:val="en-CA"/>
        </w:rPr>
        <w:t xml:space="preserve"> 1</w:t>
      </w:r>
      <w:r w:rsidR="00AB451D" w:rsidRPr="00A96D6A">
        <w:rPr>
          <w:lang w:val="en-CA"/>
        </w:rPr>
        <w:t>6</w:t>
      </w:r>
      <w:r w:rsidRPr="00A96D6A">
        <w:rPr>
          <w:lang w:val="en-CA"/>
        </w:rPr>
        <w:t xml:space="preserve"> </w:t>
      </w:r>
      <w:r w:rsidR="006A3A36" w:rsidRPr="00A96D6A">
        <w:rPr>
          <w:lang w:val="en-CA"/>
        </w:rPr>
        <w:t>at para.</w:t>
      </w:r>
      <w:r w:rsidRPr="00A96D6A">
        <w:rPr>
          <w:lang w:val="en-CA"/>
        </w:rPr>
        <w:t xml:space="preserve"> 7.</w:t>
      </w:r>
    </w:p>
  </w:footnote>
  <w:footnote w:id="11">
    <w:p w14:paraId="7849E36F" w14:textId="39E48B93"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Ibid.</w:t>
      </w:r>
    </w:p>
  </w:footnote>
  <w:footnote w:id="12">
    <w:p w14:paraId="45A71DCC" w14:textId="57ED0851"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I</w:t>
      </w:r>
      <w:r w:rsidR="001004A0" w:rsidRPr="00A96D6A">
        <w:rPr>
          <w:i/>
          <w:lang w:val="en-CA"/>
        </w:rPr>
        <w:t>bi</w:t>
      </w:r>
      <w:r w:rsidRPr="00A96D6A">
        <w:rPr>
          <w:i/>
          <w:lang w:val="en-CA"/>
        </w:rPr>
        <w:t>d.</w:t>
      </w:r>
      <w:r w:rsidRPr="00A96D6A">
        <w:rPr>
          <w:lang w:val="en-CA"/>
        </w:rPr>
        <w:t xml:space="preserve"> </w:t>
      </w:r>
      <w:r w:rsidR="006A3A36" w:rsidRPr="00A96D6A">
        <w:rPr>
          <w:lang w:val="en-CA"/>
        </w:rPr>
        <w:t>at para.</w:t>
      </w:r>
      <w:r w:rsidRPr="00A96D6A">
        <w:rPr>
          <w:lang w:val="en-CA"/>
        </w:rPr>
        <w:t xml:space="preserve"> 8.</w:t>
      </w:r>
    </w:p>
  </w:footnote>
  <w:footnote w:id="13">
    <w:p w14:paraId="372EFA58" w14:textId="3B64DD79" w:rsidR="00525251" w:rsidRPr="00A96D6A" w:rsidRDefault="00525251" w:rsidP="00151C5D">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Ibid.</w:t>
      </w:r>
      <w:r w:rsidRPr="00A96D6A">
        <w:rPr>
          <w:lang w:val="en-CA"/>
        </w:rPr>
        <w:t xml:space="preserve"> </w:t>
      </w:r>
      <w:r w:rsidR="004F1BD9" w:rsidRPr="00A96D6A">
        <w:rPr>
          <w:lang w:val="en-CA"/>
        </w:rPr>
        <w:t>See also</w:t>
      </w:r>
      <w:r w:rsidRPr="00A96D6A">
        <w:rPr>
          <w:lang w:val="en-CA"/>
        </w:rPr>
        <w:t xml:space="preserve"> </w:t>
      </w:r>
      <w:r w:rsidRPr="00A96D6A">
        <w:rPr>
          <w:i/>
          <w:lang w:val="en-CA"/>
        </w:rPr>
        <w:t>R. v. Worrie</w:t>
      </w:r>
      <w:r w:rsidRPr="00A96D6A">
        <w:rPr>
          <w:lang w:val="en-CA"/>
        </w:rPr>
        <w:t xml:space="preserve">, 2022 ONCA 471 </w:t>
      </w:r>
      <w:r w:rsidR="006A3A36" w:rsidRPr="00A96D6A">
        <w:rPr>
          <w:lang w:val="en-CA"/>
        </w:rPr>
        <w:t>at para.</w:t>
      </w:r>
      <w:r w:rsidRPr="00A96D6A">
        <w:rPr>
          <w:lang w:val="en-CA"/>
        </w:rPr>
        <w:t xml:space="preserve"> 102.</w:t>
      </w:r>
    </w:p>
  </w:footnote>
  <w:footnote w:id="14">
    <w:p w14:paraId="76DB092E" w14:textId="5F0EE0AA"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Sorella</w:t>
      </w:r>
      <w:r w:rsidR="006A3A36" w:rsidRPr="00A96D6A">
        <w:rPr>
          <w:i/>
          <w:iCs/>
          <w:lang w:val="en-CA"/>
        </w:rPr>
        <w:t xml:space="preserve"> </w:t>
      </w:r>
      <w:r w:rsidR="00977619">
        <w:rPr>
          <w:i/>
          <w:iCs/>
          <w:lang w:val="en-CA"/>
        </w:rPr>
        <w:t>c</w:t>
      </w:r>
      <w:r w:rsidR="006A3A36" w:rsidRPr="00A96D6A">
        <w:rPr>
          <w:i/>
          <w:iCs/>
          <w:lang w:val="en-CA"/>
        </w:rPr>
        <w:t xml:space="preserve">. </w:t>
      </w:r>
      <w:r w:rsidRPr="00A96D6A">
        <w:rPr>
          <w:i/>
          <w:lang w:val="en-CA"/>
        </w:rPr>
        <w:t xml:space="preserve">R., </w:t>
      </w:r>
      <w:r w:rsidRPr="00A96D6A">
        <w:rPr>
          <w:lang w:val="en-CA"/>
        </w:rPr>
        <w:t xml:space="preserve">2022 QCCA 383. </w:t>
      </w:r>
    </w:p>
  </w:footnote>
  <w:footnote w:id="15">
    <w:p w14:paraId="2046D6A4" w14:textId="66B1E347" w:rsidR="00525251" w:rsidRPr="00A96D6A" w:rsidRDefault="00525251" w:rsidP="00151C5D">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François</w:t>
      </w:r>
      <w:r w:rsidRPr="00A96D6A">
        <w:rPr>
          <w:lang w:val="en-CA"/>
        </w:rPr>
        <w:t xml:space="preserve">, [1994] 2 </w:t>
      </w:r>
      <w:r w:rsidR="006A3A36" w:rsidRPr="00A96D6A">
        <w:rPr>
          <w:lang w:val="en-CA"/>
        </w:rPr>
        <w:t>S.C.R.</w:t>
      </w:r>
      <w:r w:rsidRPr="00A96D6A">
        <w:rPr>
          <w:lang w:val="en-CA"/>
        </w:rPr>
        <w:t xml:space="preserve"> 827 </w:t>
      </w:r>
      <w:r w:rsidR="00BB3986">
        <w:rPr>
          <w:lang w:val="en-CA"/>
        </w:rPr>
        <w:t>at</w:t>
      </w:r>
      <w:r w:rsidRPr="00A96D6A">
        <w:rPr>
          <w:lang w:val="en-CA"/>
        </w:rPr>
        <w:t xml:space="preserve"> 837; </w:t>
      </w:r>
      <w:r w:rsidRPr="00A96D6A">
        <w:rPr>
          <w:i/>
          <w:lang w:val="en-CA"/>
        </w:rPr>
        <w:t>R.</w:t>
      </w:r>
      <w:r w:rsidR="006A3A36" w:rsidRPr="00A96D6A">
        <w:rPr>
          <w:i/>
          <w:iCs/>
          <w:lang w:val="en-CA"/>
        </w:rPr>
        <w:t xml:space="preserve"> v. </w:t>
      </w:r>
      <w:r w:rsidRPr="00A96D6A">
        <w:rPr>
          <w:i/>
          <w:lang w:val="en-CA"/>
        </w:rPr>
        <w:t>W.H.</w:t>
      </w:r>
      <w:r w:rsidRPr="00A96D6A">
        <w:rPr>
          <w:lang w:val="en-CA"/>
        </w:rPr>
        <w:t xml:space="preserve">, 2013 </w:t>
      </w:r>
      <w:r w:rsidR="006A3A36" w:rsidRPr="00A96D6A">
        <w:rPr>
          <w:lang w:val="en-CA"/>
        </w:rPr>
        <w:t>SCC</w:t>
      </w:r>
      <w:r w:rsidRPr="00A96D6A">
        <w:rPr>
          <w:lang w:val="en-CA"/>
        </w:rPr>
        <w:t xml:space="preserve"> 22, [2013] 2 </w:t>
      </w:r>
      <w:r w:rsidR="006A3A36" w:rsidRPr="00A96D6A">
        <w:rPr>
          <w:lang w:val="en-CA"/>
        </w:rPr>
        <w:t>S.C.R.</w:t>
      </w:r>
      <w:r w:rsidRPr="00A96D6A">
        <w:rPr>
          <w:lang w:val="en-CA"/>
        </w:rPr>
        <w:t xml:space="preserve"> 180 </w:t>
      </w:r>
      <w:r w:rsidR="006A3A36" w:rsidRPr="00A96D6A">
        <w:rPr>
          <w:lang w:val="en-CA"/>
        </w:rPr>
        <w:t>at para.</w:t>
      </w:r>
      <w:r w:rsidRPr="00A96D6A">
        <w:rPr>
          <w:lang w:val="en-CA"/>
        </w:rPr>
        <w:t xml:space="preserve"> 32; </w:t>
      </w:r>
      <w:r w:rsidRPr="00A96D6A">
        <w:rPr>
          <w:i/>
          <w:lang w:val="en-CA"/>
        </w:rPr>
        <w:t>LSJPA — 1710</w:t>
      </w:r>
      <w:r w:rsidRPr="00A96D6A">
        <w:rPr>
          <w:lang w:val="en-CA"/>
        </w:rPr>
        <w:t xml:space="preserve">, 2017 QCCA 757 </w:t>
      </w:r>
      <w:r w:rsidR="006A3A36" w:rsidRPr="00A96D6A">
        <w:rPr>
          <w:lang w:val="en-CA"/>
        </w:rPr>
        <w:t>at para.</w:t>
      </w:r>
      <w:r w:rsidRPr="00A96D6A">
        <w:rPr>
          <w:lang w:val="en-CA"/>
        </w:rPr>
        <w:t xml:space="preserve"> 60. </w:t>
      </w:r>
    </w:p>
  </w:footnote>
  <w:footnote w:id="16">
    <w:p w14:paraId="58A50ECB" w14:textId="64AA5824"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Molodowic</w:t>
      </w:r>
      <w:r w:rsidRPr="00A96D6A">
        <w:rPr>
          <w:lang w:val="en-CA"/>
        </w:rPr>
        <w:t xml:space="preserve">, [2000] 1 </w:t>
      </w:r>
      <w:r w:rsidR="006A3A36" w:rsidRPr="00A96D6A">
        <w:rPr>
          <w:lang w:val="en-CA"/>
        </w:rPr>
        <w:t>S.C.R.</w:t>
      </w:r>
      <w:r w:rsidRPr="00A96D6A">
        <w:rPr>
          <w:lang w:val="en-CA"/>
        </w:rPr>
        <w:t xml:space="preserve"> 420, 2000 </w:t>
      </w:r>
      <w:r w:rsidR="006A3A36" w:rsidRPr="00A96D6A">
        <w:rPr>
          <w:lang w:val="en-CA"/>
        </w:rPr>
        <w:t>SCC</w:t>
      </w:r>
      <w:r w:rsidRPr="00A96D6A">
        <w:rPr>
          <w:lang w:val="en-CA"/>
        </w:rPr>
        <w:t xml:space="preserve"> 16 </w:t>
      </w:r>
      <w:r w:rsidR="006A3A36" w:rsidRPr="00A96D6A">
        <w:rPr>
          <w:lang w:val="en-CA"/>
        </w:rPr>
        <w:t>at para</w:t>
      </w:r>
      <w:r w:rsidR="0000450E">
        <w:rPr>
          <w:lang w:val="en-CA"/>
        </w:rPr>
        <w:t>s</w:t>
      </w:r>
      <w:r w:rsidR="006A3A36" w:rsidRPr="00A96D6A">
        <w:rPr>
          <w:lang w:val="en-CA"/>
        </w:rPr>
        <w:t>.</w:t>
      </w:r>
      <w:r w:rsidRPr="00A96D6A">
        <w:rPr>
          <w:lang w:val="en-CA"/>
        </w:rPr>
        <w:t xml:space="preserve"> 7</w:t>
      </w:r>
      <w:r w:rsidR="00A73CCF">
        <w:rPr>
          <w:lang w:val="en-CA"/>
        </w:rPr>
        <w:t>–</w:t>
      </w:r>
      <w:r w:rsidRPr="00A96D6A">
        <w:rPr>
          <w:lang w:val="en-CA"/>
        </w:rPr>
        <w:t xml:space="preserve">8; </w:t>
      </w:r>
      <w:r w:rsidRPr="00A96D6A">
        <w:rPr>
          <w:i/>
          <w:lang w:val="en-CA"/>
        </w:rPr>
        <w:t>R. v. Worrie</w:t>
      </w:r>
      <w:r w:rsidRPr="00A96D6A">
        <w:rPr>
          <w:lang w:val="en-CA"/>
        </w:rPr>
        <w:t xml:space="preserve">, 2022 ONCA 471 </w:t>
      </w:r>
      <w:r w:rsidR="006A3A36" w:rsidRPr="00A96D6A">
        <w:rPr>
          <w:lang w:val="en-CA"/>
        </w:rPr>
        <w:t>at para</w:t>
      </w:r>
      <w:r w:rsidR="00BB3986">
        <w:rPr>
          <w:lang w:val="en-CA"/>
        </w:rPr>
        <w:t>s</w:t>
      </w:r>
      <w:r w:rsidR="006A3A36" w:rsidRPr="00A96D6A">
        <w:rPr>
          <w:lang w:val="en-CA"/>
        </w:rPr>
        <w:t>.</w:t>
      </w:r>
      <w:r w:rsidRPr="00A96D6A">
        <w:rPr>
          <w:lang w:val="en-CA"/>
        </w:rPr>
        <w:t xml:space="preserve"> 98 </w:t>
      </w:r>
      <w:r w:rsidR="00BB3986">
        <w:rPr>
          <w:lang w:val="en-CA"/>
        </w:rPr>
        <w:t>and</w:t>
      </w:r>
      <w:r w:rsidRPr="00A96D6A">
        <w:rPr>
          <w:lang w:val="en-CA"/>
        </w:rPr>
        <w:t xml:space="preserve"> 102; </w:t>
      </w:r>
      <w:r w:rsidRPr="00A96D6A">
        <w:rPr>
          <w:i/>
          <w:lang w:val="en-CA"/>
        </w:rPr>
        <w:t>R. v. Luciano</w:t>
      </w:r>
      <w:r w:rsidRPr="00A96D6A">
        <w:rPr>
          <w:lang w:val="en-CA"/>
        </w:rPr>
        <w:t>, 2011 ONCA 89</w:t>
      </w:r>
      <w:r w:rsidR="009D27A8">
        <w:rPr>
          <w:lang w:val="en-CA"/>
        </w:rPr>
        <w:t xml:space="preserve"> </w:t>
      </w:r>
      <w:r w:rsidR="006A3A36" w:rsidRPr="00A96D6A">
        <w:rPr>
          <w:lang w:val="en-CA"/>
        </w:rPr>
        <w:t>at para.</w:t>
      </w:r>
      <w:r w:rsidRPr="00A96D6A">
        <w:rPr>
          <w:lang w:val="en-CA"/>
        </w:rPr>
        <w:t xml:space="preserve"> 88.</w:t>
      </w:r>
    </w:p>
  </w:footnote>
  <w:footnote w:id="17">
    <w:p w14:paraId="4F356AF2" w14:textId="4E28B73D"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Jacquard</w:t>
      </w:r>
      <w:r w:rsidRPr="00A96D6A">
        <w:rPr>
          <w:lang w:val="en-CA"/>
        </w:rPr>
        <w:t xml:space="preserve">, [1997] 1 </w:t>
      </w:r>
      <w:r w:rsidR="006A3A36" w:rsidRPr="00A96D6A">
        <w:rPr>
          <w:lang w:val="en-CA"/>
        </w:rPr>
        <w:t>S.C.R.</w:t>
      </w:r>
      <w:r w:rsidRPr="00A96D6A">
        <w:rPr>
          <w:lang w:val="en-CA"/>
        </w:rPr>
        <w:t xml:space="preserve"> 314 </w:t>
      </w:r>
      <w:r w:rsidR="006A3A36" w:rsidRPr="00A96D6A">
        <w:rPr>
          <w:lang w:val="en-CA"/>
        </w:rPr>
        <w:t>at para</w:t>
      </w:r>
      <w:r w:rsidR="0000450E">
        <w:rPr>
          <w:lang w:val="en-CA"/>
        </w:rPr>
        <w:t>s</w:t>
      </w:r>
      <w:r w:rsidR="006A3A36" w:rsidRPr="00A96D6A">
        <w:rPr>
          <w:lang w:val="en-CA"/>
        </w:rPr>
        <w:t>.</w:t>
      </w:r>
      <w:r w:rsidRPr="00A96D6A">
        <w:rPr>
          <w:lang w:val="en-CA"/>
        </w:rPr>
        <w:t xml:space="preserve"> 42</w:t>
      </w:r>
      <w:r w:rsidR="00A73CCF">
        <w:rPr>
          <w:rFonts w:ascii="Cambria Math" w:hAnsi="Cambria Math" w:cs="Cambria Math"/>
          <w:lang w:val="en-CA"/>
        </w:rPr>
        <w:t>–</w:t>
      </w:r>
      <w:r w:rsidRPr="00A96D6A">
        <w:rPr>
          <w:lang w:val="en-CA"/>
        </w:rPr>
        <w:t xml:space="preserve">53; </w:t>
      </w:r>
      <w:r w:rsidRPr="00A96D6A">
        <w:rPr>
          <w:i/>
          <w:lang w:val="en-CA"/>
        </w:rPr>
        <w:t>R.</w:t>
      </w:r>
      <w:r w:rsidR="006A3A36" w:rsidRPr="00A96D6A">
        <w:rPr>
          <w:i/>
          <w:iCs/>
          <w:lang w:val="en-CA"/>
        </w:rPr>
        <w:t xml:space="preserve"> v. </w:t>
      </w:r>
      <w:r w:rsidRPr="00A96D6A">
        <w:rPr>
          <w:i/>
          <w:lang w:val="en-CA"/>
        </w:rPr>
        <w:t>Jaw</w:t>
      </w:r>
      <w:r w:rsidRPr="00A96D6A">
        <w:rPr>
          <w:lang w:val="en-CA"/>
        </w:rPr>
        <w:t xml:space="preserve">, 2009 </w:t>
      </w:r>
      <w:r w:rsidR="006A3A36" w:rsidRPr="00A96D6A">
        <w:rPr>
          <w:lang w:val="en-CA"/>
        </w:rPr>
        <w:t>SCC</w:t>
      </w:r>
      <w:r w:rsidRPr="00A96D6A">
        <w:rPr>
          <w:lang w:val="en-CA"/>
        </w:rPr>
        <w:t xml:space="preserve"> 42, [2009] 3 </w:t>
      </w:r>
      <w:r w:rsidR="006A3A36" w:rsidRPr="00A96D6A">
        <w:rPr>
          <w:lang w:val="en-CA"/>
        </w:rPr>
        <w:t>S.C.R.</w:t>
      </w:r>
      <w:r w:rsidRPr="00A96D6A">
        <w:rPr>
          <w:lang w:val="en-CA"/>
        </w:rPr>
        <w:t xml:space="preserve"> 26 </w:t>
      </w:r>
      <w:r w:rsidR="006A3A36" w:rsidRPr="00A96D6A">
        <w:rPr>
          <w:lang w:val="en-CA"/>
        </w:rPr>
        <w:t>at para.</w:t>
      </w:r>
      <w:r w:rsidRPr="00A96D6A">
        <w:rPr>
          <w:lang w:val="en-CA"/>
        </w:rPr>
        <w:t xml:space="preserve"> 40; </w:t>
      </w:r>
      <w:r w:rsidRPr="00A96D6A">
        <w:rPr>
          <w:i/>
          <w:lang w:val="en-CA"/>
        </w:rPr>
        <w:t>Lebrun</w:t>
      </w:r>
      <w:r w:rsidR="006A3A36" w:rsidRPr="00A96D6A">
        <w:rPr>
          <w:i/>
          <w:iCs/>
          <w:lang w:val="en-CA"/>
        </w:rPr>
        <w:t xml:space="preserve"> v. </w:t>
      </w:r>
      <w:r w:rsidRPr="00A96D6A">
        <w:rPr>
          <w:i/>
          <w:lang w:val="en-CA"/>
        </w:rPr>
        <w:t>R.</w:t>
      </w:r>
      <w:r w:rsidRPr="00A96D6A">
        <w:rPr>
          <w:lang w:val="en-CA"/>
        </w:rPr>
        <w:t xml:space="preserve">, 2021 QCCA 610 </w:t>
      </w:r>
      <w:r w:rsidR="006A3A36" w:rsidRPr="00A96D6A">
        <w:rPr>
          <w:lang w:val="en-CA"/>
        </w:rPr>
        <w:t>at para.</w:t>
      </w:r>
      <w:r w:rsidRPr="00A96D6A">
        <w:rPr>
          <w:lang w:val="en-CA"/>
        </w:rPr>
        <w:t xml:space="preserve"> 12; </w:t>
      </w:r>
      <w:r w:rsidRPr="00A96D6A">
        <w:rPr>
          <w:i/>
          <w:lang w:val="en-CA"/>
        </w:rPr>
        <w:t>R. v. Chretien</w:t>
      </w:r>
      <w:r w:rsidRPr="00A96D6A">
        <w:rPr>
          <w:lang w:val="en-CA"/>
        </w:rPr>
        <w:t xml:space="preserve">, 2014 ONCA 403 </w:t>
      </w:r>
      <w:r w:rsidR="006A3A36" w:rsidRPr="00A96D6A">
        <w:rPr>
          <w:lang w:val="en-CA"/>
        </w:rPr>
        <w:t>at para.</w:t>
      </w:r>
      <w:r w:rsidRPr="00A96D6A">
        <w:rPr>
          <w:lang w:val="en-CA"/>
        </w:rPr>
        <w:t xml:space="preserve"> 105.</w:t>
      </w:r>
    </w:p>
  </w:footnote>
  <w:footnote w:id="18">
    <w:p w14:paraId="4F54A0A7" w14:textId="5169087D" w:rsidR="00525251" w:rsidRPr="00A96D6A" w:rsidRDefault="00525251" w:rsidP="004F10FA">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S. Lederman, M. Fuerst </w:t>
      </w:r>
      <w:r w:rsidR="00A07DF9">
        <w:rPr>
          <w:lang w:val="en-CA"/>
        </w:rPr>
        <w:t>&amp;</w:t>
      </w:r>
      <w:r w:rsidR="00A07DF9" w:rsidRPr="00A96D6A">
        <w:rPr>
          <w:lang w:val="en-CA"/>
        </w:rPr>
        <w:t xml:space="preserve"> </w:t>
      </w:r>
      <w:r w:rsidRPr="00A96D6A">
        <w:rPr>
          <w:lang w:val="en-CA"/>
        </w:rPr>
        <w:t xml:space="preserve">H. Stewart, </w:t>
      </w:r>
      <w:r w:rsidRPr="00A96D6A">
        <w:rPr>
          <w:i/>
          <w:lang w:val="en-CA"/>
        </w:rPr>
        <w:t>Sopinka, Lederman &amp; Bryant: The Law of Evidence in Canada</w:t>
      </w:r>
      <w:r w:rsidRPr="00A96D6A">
        <w:rPr>
          <w:lang w:val="en-CA"/>
        </w:rPr>
        <w:t>, 6</w:t>
      </w:r>
      <w:r w:rsidR="00094FE3">
        <w:rPr>
          <w:lang w:val="en-CA"/>
        </w:rPr>
        <w:t>th</w:t>
      </w:r>
      <w:r w:rsidRPr="00A96D6A">
        <w:rPr>
          <w:lang w:val="en-CA"/>
        </w:rPr>
        <w:t xml:space="preserve"> </w:t>
      </w:r>
      <w:r w:rsidR="00094FE3">
        <w:rPr>
          <w:lang w:val="en-CA"/>
        </w:rPr>
        <w:t>e</w:t>
      </w:r>
      <w:r w:rsidRPr="00A96D6A">
        <w:rPr>
          <w:lang w:val="en-CA"/>
        </w:rPr>
        <w:t>d</w:t>
      </w:r>
      <w:r w:rsidR="00A07DF9" w:rsidRPr="00A96D6A">
        <w:rPr>
          <w:lang w:val="en-CA"/>
        </w:rPr>
        <w:t>.</w:t>
      </w:r>
      <w:r w:rsidR="00F67781">
        <w:rPr>
          <w:lang w:val="en-CA"/>
        </w:rPr>
        <w:t xml:space="preserve"> </w:t>
      </w:r>
      <w:r w:rsidR="00A07DF9">
        <w:rPr>
          <w:lang w:val="en-CA"/>
        </w:rPr>
        <w:t>(</w:t>
      </w:r>
      <w:r w:rsidRPr="00A96D6A">
        <w:rPr>
          <w:lang w:val="en-CA"/>
        </w:rPr>
        <w:t>LexisNexis, 2022</w:t>
      </w:r>
      <w:r w:rsidR="00A07DF9">
        <w:rPr>
          <w:lang w:val="en-CA"/>
        </w:rPr>
        <w:t>)</w:t>
      </w:r>
      <w:r w:rsidR="00A07DF9" w:rsidRPr="00A96D6A">
        <w:rPr>
          <w:lang w:val="en-CA"/>
        </w:rPr>
        <w:t xml:space="preserve"> </w:t>
      </w:r>
      <w:r w:rsidR="00094FE3">
        <w:rPr>
          <w:lang w:val="en-CA"/>
        </w:rPr>
        <w:t>at</w:t>
      </w:r>
      <w:r w:rsidRPr="00A96D6A">
        <w:rPr>
          <w:lang w:val="en-CA"/>
        </w:rPr>
        <w:t xml:space="preserve"> 949</w:t>
      </w:r>
      <w:r w:rsidR="006B6B36">
        <w:rPr>
          <w:lang w:val="en-CA"/>
        </w:rPr>
        <w:t>–</w:t>
      </w:r>
      <w:r w:rsidRPr="00A96D6A">
        <w:rPr>
          <w:lang w:val="en-CA"/>
        </w:rPr>
        <w:t xml:space="preserve">950. </w:t>
      </w:r>
      <w:r w:rsidR="00094FE3">
        <w:rPr>
          <w:lang w:val="en-CA"/>
        </w:rPr>
        <w:t>See also</w:t>
      </w:r>
      <w:r w:rsidRPr="00A96D6A">
        <w:rPr>
          <w:lang w:val="en-CA"/>
        </w:rPr>
        <w:t xml:space="preserve"> Peter Sankoff, </w:t>
      </w:r>
      <w:r w:rsidRPr="00A96D6A">
        <w:rPr>
          <w:i/>
          <w:lang w:val="en-CA"/>
        </w:rPr>
        <w:t>The Law of Witnesses and Evidence in Canada</w:t>
      </w:r>
      <w:r w:rsidRPr="00A96D6A">
        <w:rPr>
          <w:lang w:val="en-CA"/>
        </w:rPr>
        <w:t>, 2</w:t>
      </w:r>
      <w:r w:rsidR="00094FE3">
        <w:rPr>
          <w:lang w:val="en-CA"/>
        </w:rPr>
        <w:t>nd</w:t>
      </w:r>
      <w:r w:rsidRPr="00A96D6A">
        <w:rPr>
          <w:lang w:val="en-CA"/>
        </w:rPr>
        <w:t xml:space="preserve"> </w:t>
      </w:r>
      <w:r w:rsidR="00094FE3">
        <w:rPr>
          <w:lang w:val="en-CA"/>
        </w:rPr>
        <w:t>e</w:t>
      </w:r>
      <w:r w:rsidRPr="00A96D6A">
        <w:rPr>
          <w:lang w:val="en-CA"/>
        </w:rPr>
        <w:t>d., vol. 1</w:t>
      </w:r>
      <w:r w:rsidR="00A07DF9">
        <w:rPr>
          <w:lang w:val="en-CA"/>
        </w:rPr>
        <w:t xml:space="preserve"> (</w:t>
      </w:r>
      <w:r w:rsidRPr="00A96D6A">
        <w:rPr>
          <w:lang w:val="en-CA"/>
        </w:rPr>
        <w:t>Thomson Reuters, 2019</w:t>
      </w:r>
      <w:r w:rsidR="00A07DF9">
        <w:rPr>
          <w:lang w:val="en-CA"/>
        </w:rPr>
        <w:t>)</w:t>
      </w:r>
      <w:r w:rsidRPr="00A96D6A">
        <w:rPr>
          <w:lang w:val="en-CA"/>
        </w:rPr>
        <w:t xml:space="preserve"> (</w:t>
      </w:r>
      <w:r w:rsidR="00A0131E">
        <w:rPr>
          <w:lang w:val="en-CA"/>
        </w:rPr>
        <w:t>loose-leaf</w:t>
      </w:r>
      <w:r w:rsidRPr="00A96D6A">
        <w:rPr>
          <w:lang w:val="en-CA"/>
        </w:rPr>
        <w:t xml:space="preserve">, </w:t>
      </w:r>
      <w:r w:rsidR="00094FE3">
        <w:rPr>
          <w:lang w:val="en-CA"/>
        </w:rPr>
        <w:t>update</w:t>
      </w:r>
      <w:r w:rsidR="00B80B92">
        <w:rPr>
          <w:lang w:val="en-CA"/>
        </w:rPr>
        <w:t>d</w:t>
      </w:r>
      <w:r w:rsidRPr="00A96D6A">
        <w:rPr>
          <w:lang w:val="en-CA"/>
        </w:rPr>
        <w:t xml:space="preserve"> </w:t>
      </w:r>
      <w:r w:rsidR="00094FE3">
        <w:rPr>
          <w:lang w:val="en-CA"/>
        </w:rPr>
        <w:t>S</w:t>
      </w:r>
      <w:r w:rsidRPr="00A96D6A">
        <w:rPr>
          <w:lang w:val="en-CA"/>
        </w:rPr>
        <w:t>eptemb</w:t>
      </w:r>
      <w:r w:rsidR="00094FE3">
        <w:rPr>
          <w:lang w:val="en-CA"/>
        </w:rPr>
        <w:t>er</w:t>
      </w:r>
      <w:r w:rsidRPr="00A96D6A">
        <w:rPr>
          <w:lang w:val="en-CA"/>
        </w:rPr>
        <w:t xml:space="preserve"> 2022</w:t>
      </w:r>
      <w:r w:rsidR="00B80B92">
        <w:rPr>
          <w:lang w:val="en-CA"/>
        </w:rPr>
        <w:t>, release</w:t>
      </w:r>
      <w:r w:rsidR="00B80B92" w:rsidRPr="00A96D6A">
        <w:rPr>
          <w:lang w:val="en-CA"/>
        </w:rPr>
        <w:t xml:space="preserve"> 3</w:t>
      </w:r>
      <w:r w:rsidRPr="00A96D6A">
        <w:rPr>
          <w:lang w:val="en-CA"/>
        </w:rPr>
        <w:t>),</w:t>
      </w:r>
      <w:r w:rsidR="00ED5723" w:rsidRPr="00A96D6A">
        <w:rPr>
          <w:rFonts w:cs="Arial"/>
          <w:lang w:val="en-CA"/>
        </w:rPr>
        <w:t xml:space="preserve"> §</w:t>
      </w:r>
      <w:r w:rsidRPr="00A96D6A">
        <w:rPr>
          <w:lang w:val="en-CA"/>
        </w:rPr>
        <w:t>16:35.</w:t>
      </w:r>
    </w:p>
  </w:footnote>
  <w:footnote w:id="19">
    <w:p w14:paraId="129CB2CC" w14:textId="2924A931" w:rsidR="00525251" w:rsidRPr="00A96D6A" w:rsidRDefault="00525251" w:rsidP="00541769">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Eric V. Gottardi et al., </w:t>
      </w:r>
      <w:r w:rsidRPr="00A96D6A">
        <w:rPr>
          <w:i/>
          <w:lang w:val="en-CA"/>
        </w:rPr>
        <w:t>Qualifying and Challenging Expert Evidence</w:t>
      </w:r>
      <w:r w:rsidRPr="00A96D6A">
        <w:rPr>
          <w:lang w:val="en-CA"/>
        </w:rPr>
        <w:t xml:space="preserve"> </w:t>
      </w:r>
      <w:r w:rsidR="000E1090">
        <w:rPr>
          <w:lang w:val="en-CA"/>
        </w:rPr>
        <w:t>(</w:t>
      </w:r>
      <w:r w:rsidRPr="00A96D6A">
        <w:rPr>
          <w:lang w:val="en-CA"/>
        </w:rPr>
        <w:t>Emond Montgomery Publications, 2022</w:t>
      </w:r>
      <w:r w:rsidR="000E1090">
        <w:rPr>
          <w:lang w:val="en-CA"/>
        </w:rPr>
        <w:t>)</w:t>
      </w:r>
      <w:r w:rsidRPr="00A96D6A">
        <w:rPr>
          <w:lang w:val="en-CA"/>
        </w:rPr>
        <w:t xml:space="preserve"> </w:t>
      </w:r>
      <w:r w:rsidR="004E2160">
        <w:rPr>
          <w:lang w:val="en-CA"/>
        </w:rPr>
        <w:t>at</w:t>
      </w:r>
      <w:r w:rsidRPr="00A96D6A">
        <w:rPr>
          <w:lang w:val="en-CA"/>
        </w:rPr>
        <w:t xml:space="preserve"> 89</w:t>
      </w:r>
      <w:r w:rsidR="000F2778">
        <w:rPr>
          <w:lang w:val="en-CA"/>
        </w:rPr>
        <w:t>–</w:t>
      </w:r>
      <w:r w:rsidRPr="00A96D6A">
        <w:rPr>
          <w:lang w:val="en-CA"/>
        </w:rPr>
        <w:t xml:space="preserve">90. </w:t>
      </w:r>
      <w:r w:rsidR="00822C98" w:rsidRPr="00822C98">
        <w:rPr>
          <w:lang w:val="en-CA"/>
        </w:rPr>
        <w:t xml:space="preserve">As Sopinka </w:t>
      </w:r>
      <w:r w:rsidR="00822C98">
        <w:rPr>
          <w:lang w:val="en-CA"/>
        </w:rPr>
        <w:t xml:space="preserve">J. </w:t>
      </w:r>
      <w:r w:rsidR="000E1090">
        <w:rPr>
          <w:lang w:val="en-CA"/>
        </w:rPr>
        <w:t>noted</w:t>
      </w:r>
      <w:r w:rsidR="00822C98" w:rsidRPr="00822C98">
        <w:rPr>
          <w:lang w:val="en-CA"/>
        </w:rPr>
        <w:t xml:space="preserve"> in his concurring opinion in</w:t>
      </w:r>
      <w:r w:rsidRPr="00A96D6A">
        <w:rPr>
          <w:lang w:val="en-CA"/>
        </w:rPr>
        <w:t xml:space="preserve"> </w:t>
      </w:r>
      <w:r w:rsidRPr="00A96D6A">
        <w:rPr>
          <w:i/>
          <w:lang w:val="en-CA"/>
        </w:rPr>
        <w:t>R.</w:t>
      </w:r>
      <w:r w:rsidR="006A3A36" w:rsidRPr="00A96D6A">
        <w:rPr>
          <w:i/>
          <w:iCs/>
          <w:lang w:val="en-CA"/>
        </w:rPr>
        <w:t xml:space="preserve"> v. </w:t>
      </w:r>
      <w:r w:rsidRPr="00A96D6A">
        <w:rPr>
          <w:i/>
          <w:lang w:val="en-CA"/>
        </w:rPr>
        <w:t>Lavallee</w:t>
      </w:r>
      <w:r w:rsidRPr="00A96D6A">
        <w:rPr>
          <w:lang w:val="en-CA"/>
        </w:rPr>
        <w:t xml:space="preserve">, [1990] 1 </w:t>
      </w:r>
      <w:r w:rsidR="006A3A36" w:rsidRPr="00A96D6A">
        <w:rPr>
          <w:lang w:val="en-CA"/>
        </w:rPr>
        <w:t>S.C.R.</w:t>
      </w:r>
      <w:r w:rsidRPr="00A96D6A">
        <w:rPr>
          <w:lang w:val="en-CA"/>
        </w:rPr>
        <w:t xml:space="preserve"> 852 </w:t>
      </w:r>
      <w:r w:rsidR="00822C98">
        <w:rPr>
          <w:lang w:val="en-CA"/>
        </w:rPr>
        <w:t>at</w:t>
      </w:r>
      <w:r w:rsidRPr="00A96D6A">
        <w:rPr>
          <w:lang w:val="en-CA"/>
        </w:rPr>
        <w:t xml:space="preserve"> 900, </w:t>
      </w:r>
      <w:r w:rsidR="00822C98" w:rsidRPr="00822C98">
        <w:rPr>
          <w:lang w:val="en-CA"/>
        </w:rPr>
        <w:t xml:space="preserve">in </w:t>
      </w:r>
      <w:r w:rsidR="00822C98">
        <w:rPr>
          <w:lang w:val="en-CA"/>
        </w:rPr>
        <w:t>some</w:t>
      </w:r>
      <w:r w:rsidR="00822C98" w:rsidRPr="00822C98">
        <w:rPr>
          <w:lang w:val="en-CA"/>
        </w:rPr>
        <w:t xml:space="preserve"> circumstances, the absence of independent evidence may deprive an expert</w:t>
      </w:r>
      <w:r w:rsidR="000E1090">
        <w:rPr>
          <w:lang w:val="en-CA"/>
        </w:rPr>
        <w:t>’</w:t>
      </w:r>
      <w:r w:rsidR="00822C98" w:rsidRPr="00822C98">
        <w:rPr>
          <w:lang w:val="en-CA"/>
        </w:rPr>
        <w:t xml:space="preserve">s opinion of </w:t>
      </w:r>
      <w:r w:rsidR="00425E5A">
        <w:rPr>
          <w:lang w:val="en-CA"/>
        </w:rPr>
        <w:t>all</w:t>
      </w:r>
      <w:r w:rsidR="00822C98" w:rsidRPr="00822C98">
        <w:rPr>
          <w:lang w:val="en-CA"/>
        </w:rPr>
        <w:t xml:space="preserve"> probative value</w:t>
      </w:r>
      <w:r w:rsidRPr="00A96D6A">
        <w:rPr>
          <w:lang w:val="en-CA"/>
        </w:rPr>
        <w:t xml:space="preserve">.  </w:t>
      </w:r>
    </w:p>
  </w:footnote>
  <w:footnote w:id="20">
    <w:p w14:paraId="77804F22" w14:textId="7BD3E5FB" w:rsidR="00525251" w:rsidRPr="00A96D6A" w:rsidRDefault="00525251" w:rsidP="00541769">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 v. Chanmany</w:t>
      </w:r>
      <w:r w:rsidRPr="00A96D6A">
        <w:rPr>
          <w:lang w:val="en-CA"/>
        </w:rPr>
        <w:t xml:space="preserve">, 2016 ONCA 576 </w:t>
      </w:r>
      <w:r w:rsidR="006A3A36" w:rsidRPr="00A96D6A">
        <w:rPr>
          <w:lang w:val="en-CA"/>
        </w:rPr>
        <w:t>at para.</w:t>
      </w:r>
      <w:r w:rsidRPr="00A96D6A">
        <w:rPr>
          <w:lang w:val="en-CA"/>
        </w:rPr>
        <w:t xml:space="preserve"> 45.</w:t>
      </w:r>
    </w:p>
  </w:footnote>
  <w:footnote w:id="21">
    <w:p w14:paraId="30DE5A90" w14:textId="7E7B74FE" w:rsidR="00525251" w:rsidRPr="00A96D6A" w:rsidRDefault="00525251" w:rsidP="0097099D">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 xml:space="preserve">Sherman </w:t>
      </w:r>
      <w:r w:rsidR="007B26B9">
        <w:rPr>
          <w:i/>
          <w:lang w:val="en-CA"/>
        </w:rPr>
        <w:t>Estate</w:t>
      </w:r>
      <w:r w:rsidR="006A3A36" w:rsidRPr="00A96D6A">
        <w:rPr>
          <w:i/>
          <w:iCs/>
          <w:lang w:val="en-CA"/>
        </w:rPr>
        <w:t xml:space="preserve"> v. </w:t>
      </w:r>
      <w:r w:rsidRPr="00A96D6A">
        <w:rPr>
          <w:i/>
          <w:lang w:val="en-CA"/>
        </w:rPr>
        <w:t>Donovan</w:t>
      </w:r>
      <w:r w:rsidRPr="00A96D6A">
        <w:rPr>
          <w:lang w:val="en-CA"/>
        </w:rPr>
        <w:t xml:space="preserve">, 2021 </w:t>
      </w:r>
      <w:r w:rsidR="006A3A36" w:rsidRPr="00A96D6A">
        <w:rPr>
          <w:lang w:val="en-CA"/>
        </w:rPr>
        <w:t>SCC</w:t>
      </w:r>
      <w:r w:rsidRPr="00A96D6A">
        <w:rPr>
          <w:lang w:val="en-CA"/>
        </w:rPr>
        <w:t xml:space="preserve"> 25 </w:t>
      </w:r>
      <w:r w:rsidR="006A3A36" w:rsidRPr="00A96D6A">
        <w:rPr>
          <w:lang w:val="en-CA"/>
        </w:rPr>
        <w:t>at para.</w:t>
      </w:r>
      <w:r w:rsidRPr="00A96D6A">
        <w:rPr>
          <w:lang w:val="en-CA"/>
        </w:rPr>
        <w:t xml:space="preserve"> 97.</w:t>
      </w:r>
    </w:p>
  </w:footnote>
  <w:footnote w:id="22">
    <w:p w14:paraId="473F1960" w14:textId="01AD1B34" w:rsidR="00525251" w:rsidRPr="00A96D6A" w:rsidRDefault="00525251" w:rsidP="004D532B">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Rose</w:t>
      </w:r>
      <w:r w:rsidRPr="00A96D6A">
        <w:rPr>
          <w:lang w:val="en-CA"/>
        </w:rPr>
        <w:t xml:space="preserve">, [1998] 3 </w:t>
      </w:r>
      <w:r w:rsidR="006A3A36" w:rsidRPr="00A96D6A">
        <w:rPr>
          <w:lang w:val="en-CA"/>
        </w:rPr>
        <w:t>S.C.R.</w:t>
      </w:r>
      <w:r w:rsidRPr="00A96D6A">
        <w:rPr>
          <w:lang w:val="en-CA"/>
        </w:rPr>
        <w:t xml:space="preserve"> 262 </w:t>
      </w:r>
      <w:r w:rsidR="006A3A36" w:rsidRPr="00A96D6A">
        <w:rPr>
          <w:lang w:val="en-CA"/>
        </w:rPr>
        <w:t>at para.</w:t>
      </w:r>
      <w:r w:rsidRPr="00A96D6A">
        <w:rPr>
          <w:lang w:val="en-CA"/>
        </w:rPr>
        <w:t xml:space="preserve"> 107.</w:t>
      </w:r>
    </w:p>
  </w:footnote>
  <w:footnote w:id="23">
    <w:p w14:paraId="3FA04D4B" w14:textId="11F12ECF" w:rsidR="00525251" w:rsidRPr="00A96D6A" w:rsidRDefault="00525251" w:rsidP="000930C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1004A0" w:rsidRPr="00A96D6A">
        <w:rPr>
          <w:i/>
          <w:lang w:val="en-CA"/>
        </w:rPr>
        <w:t>Ibid.</w:t>
      </w:r>
      <w:r w:rsidRPr="00A96D6A">
        <w:rPr>
          <w:lang w:val="en-CA"/>
        </w:rPr>
        <w:t xml:space="preserve"> </w:t>
      </w:r>
      <w:r w:rsidR="006A3A36" w:rsidRPr="00A96D6A">
        <w:rPr>
          <w:lang w:val="en-CA"/>
        </w:rPr>
        <w:t>at para.</w:t>
      </w:r>
      <w:r w:rsidRPr="00A96D6A">
        <w:rPr>
          <w:lang w:val="en-CA"/>
        </w:rPr>
        <w:t xml:space="preserve"> 127; Robert J. Frater, </w:t>
      </w:r>
      <w:r w:rsidRPr="00A96D6A">
        <w:rPr>
          <w:i/>
          <w:lang w:val="en-CA"/>
        </w:rPr>
        <w:t>Prosecutorial Misconduct</w:t>
      </w:r>
      <w:r w:rsidRPr="00A96D6A">
        <w:rPr>
          <w:lang w:val="en-CA"/>
        </w:rPr>
        <w:t>, 2</w:t>
      </w:r>
      <w:r w:rsidR="00822C98">
        <w:rPr>
          <w:lang w:val="en-CA"/>
        </w:rPr>
        <w:t>nd</w:t>
      </w:r>
      <w:r w:rsidRPr="00A96D6A">
        <w:rPr>
          <w:lang w:val="en-CA"/>
        </w:rPr>
        <w:t xml:space="preserve"> </w:t>
      </w:r>
      <w:r w:rsidR="00822C98">
        <w:rPr>
          <w:lang w:val="en-CA"/>
        </w:rPr>
        <w:t>e</w:t>
      </w:r>
      <w:r w:rsidRPr="00A96D6A">
        <w:rPr>
          <w:lang w:val="en-CA"/>
        </w:rPr>
        <w:t xml:space="preserve">d. </w:t>
      </w:r>
      <w:r w:rsidR="000E1090">
        <w:rPr>
          <w:lang w:val="en-CA"/>
        </w:rPr>
        <w:t>(</w:t>
      </w:r>
      <w:r w:rsidRPr="00A96D6A">
        <w:rPr>
          <w:lang w:val="en-CA"/>
        </w:rPr>
        <w:t>Canada Law Book, 2017</w:t>
      </w:r>
      <w:r w:rsidR="000E1090">
        <w:rPr>
          <w:lang w:val="en-CA"/>
        </w:rPr>
        <w:t>)</w:t>
      </w:r>
      <w:r w:rsidRPr="00A96D6A">
        <w:rPr>
          <w:lang w:val="en-CA"/>
        </w:rPr>
        <w:t xml:space="preserve"> </w:t>
      </w:r>
      <w:r w:rsidR="00822C98">
        <w:rPr>
          <w:lang w:val="en-CA"/>
        </w:rPr>
        <w:t>at</w:t>
      </w:r>
      <w:r w:rsidRPr="00A96D6A">
        <w:rPr>
          <w:lang w:val="en-CA"/>
        </w:rPr>
        <w:t xml:space="preserve"> 268.</w:t>
      </w:r>
    </w:p>
  </w:footnote>
  <w:footnote w:id="24">
    <w:p w14:paraId="406DC426" w14:textId="593D3998" w:rsidR="00525251" w:rsidRPr="00A96D6A" w:rsidRDefault="00525251" w:rsidP="0034008B">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Lyttle</w:t>
      </w:r>
      <w:r w:rsidRPr="00A96D6A">
        <w:rPr>
          <w:lang w:val="en-CA"/>
        </w:rPr>
        <w:t xml:space="preserve">, [2004] 1 </w:t>
      </w:r>
      <w:r w:rsidR="006A3A36" w:rsidRPr="00A96D6A">
        <w:rPr>
          <w:lang w:val="en-CA"/>
        </w:rPr>
        <w:t>S.C.R.</w:t>
      </w:r>
      <w:r w:rsidRPr="00A96D6A">
        <w:rPr>
          <w:lang w:val="en-CA"/>
        </w:rPr>
        <w:t xml:space="preserve"> 193, 2004 </w:t>
      </w:r>
      <w:r w:rsidR="006A3A36" w:rsidRPr="00A96D6A">
        <w:rPr>
          <w:lang w:val="en-CA"/>
        </w:rPr>
        <w:t>SCC</w:t>
      </w:r>
      <w:r w:rsidRPr="00A96D6A">
        <w:rPr>
          <w:lang w:val="en-CA"/>
        </w:rPr>
        <w:t xml:space="preserve"> 5 </w:t>
      </w:r>
      <w:r w:rsidR="006A3A36" w:rsidRPr="00A96D6A">
        <w:rPr>
          <w:lang w:val="en-CA"/>
        </w:rPr>
        <w:t>at para</w:t>
      </w:r>
      <w:r w:rsidR="0084601C">
        <w:rPr>
          <w:lang w:val="en-CA"/>
        </w:rPr>
        <w:t>s</w:t>
      </w:r>
      <w:r w:rsidR="006A3A36" w:rsidRPr="00A96D6A">
        <w:rPr>
          <w:lang w:val="en-CA"/>
        </w:rPr>
        <w:t>.</w:t>
      </w:r>
      <w:r w:rsidRPr="00A96D6A">
        <w:rPr>
          <w:lang w:val="en-CA"/>
        </w:rPr>
        <w:t xml:space="preserve"> 48</w:t>
      </w:r>
      <w:r w:rsidR="002630DE">
        <w:rPr>
          <w:lang w:val="en-CA"/>
        </w:rPr>
        <w:t>–</w:t>
      </w:r>
      <w:r w:rsidRPr="00A96D6A">
        <w:rPr>
          <w:lang w:val="en-CA"/>
        </w:rPr>
        <w:t xml:space="preserve">55.  </w:t>
      </w:r>
    </w:p>
  </w:footnote>
  <w:footnote w:id="25">
    <w:p w14:paraId="4E0AC9AF" w14:textId="1122476F" w:rsidR="00525251" w:rsidRPr="00A96D6A" w:rsidRDefault="00525251" w:rsidP="0034008B">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I</w:t>
      </w:r>
      <w:r w:rsidR="001004A0" w:rsidRPr="00A96D6A">
        <w:rPr>
          <w:i/>
          <w:lang w:val="en-CA"/>
        </w:rPr>
        <w:t>bi</w:t>
      </w:r>
      <w:r w:rsidRPr="00A96D6A">
        <w:rPr>
          <w:i/>
          <w:lang w:val="en-CA"/>
        </w:rPr>
        <w:t>d.</w:t>
      </w:r>
      <w:r w:rsidRPr="00A96D6A">
        <w:rPr>
          <w:lang w:val="en-CA"/>
        </w:rPr>
        <w:t xml:space="preserve">, </w:t>
      </w:r>
      <w:r w:rsidR="006A3A36" w:rsidRPr="00A96D6A">
        <w:rPr>
          <w:lang w:val="en-CA"/>
        </w:rPr>
        <w:t>at para.</w:t>
      </w:r>
      <w:r w:rsidRPr="00A96D6A">
        <w:rPr>
          <w:lang w:val="en-CA"/>
        </w:rPr>
        <w:t xml:space="preserve"> 52; D. Paciocco, P. Paciocco </w:t>
      </w:r>
      <w:r w:rsidR="005F76DA">
        <w:rPr>
          <w:lang w:val="en-CA"/>
        </w:rPr>
        <w:t>&amp;</w:t>
      </w:r>
      <w:r w:rsidR="005F76DA" w:rsidRPr="00A96D6A">
        <w:rPr>
          <w:lang w:val="en-CA"/>
        </w:rPr>
        <w:t xml:space="preserve"> </w:t>
      </w:r>
      <w:r w:rsidRPr="00A96D6A">
        <w:rPr>
          <w:lang w:val="en-CA"/>
        </w:rPr>
        <w:t xml:space="preserve">L. Stuesser, </w:t>
      </w:r>
      <w:r w:rsidRPr="00A96D6A">
        <w:rPr>
          <w:i/>
          <w:lang w:val="en-CA"/>
        </w:rPr>
        <w:t>The Law of Evidence</w:t>
      </w:r>
      <w:r w:rsidRPr="00A96D6A">
        <w:rPr>
          <w:lang w:val="en-CA"/>
        </w:rPr>
        <w:t>, 8</w:t>
      </w:r>
      <w:r w:rsidR="0084601C">
        <w:rPr>
          <w:lang w:val="en-CA"/>
        </w:rPr>
        <w:t>th</w:t>
      </w:r>
      <w:r w:rsidRPr="00A96D6A">
        <w:rPr>
          <w:lang w:val="en-CA"/>
        </w:rPr>
        <w:t xml:space="preserve"> </w:t>
      </w:r>
      <w:r w:rsidR="0084601C">
        <w:rPr>
          <w:lang w:val="en-CA"/>
        </w:rPr>
        <w:t>e</w:t>
      </w:r>
      <w:r w:rsidRPr="00A96D6A">
        <w:rPr>
          <w:lang w:val="en-CA"/>
        </w:rPr>
        <w:t>d.</w:t>
      </w:r>
      <w:r w:rsidR="00BD1773">
        <w:rPr>
          <w:lang w:val="en-CA"/>
        </w:rPr>
        <w:t xml:space="preserve"> </w:t>
      </w:r>
      <w:r w:rsidR="005F76DA">
        <w:rPr>
          <w:lang w:val="en-CA"/>
        </w:rPr>
        <w:t>(</w:t>
      </w:r>
      <w:r w:rsidRPr="00A96D6A">
        <w:rPr>
          <w:lang w:val="en-CA"/>
        </w:rPr>
        <w:t>Irwin Law, 2020</w:t>
      </w:r>
      <w:r w:rsidR="005F76DA">
        <w:rPr>
          <w:lang w:val="en-CA"/>
        </w:rPr>
        <w:t xml:space="preserve">) </w:t>
      </w:r>
      <w:r w:rsidR="0084601C">
        <w:rPr>
          <w:lang w:val="en-CA"/>
        </w:rPr>
        <w:t>at</w:t>
      </w:r>
      <w:r w:rsidRPr="00A96D6A">
        <w:rPr>
          <w:lang w:val="en-CA"/>
        </w:rPr>
        <w:t xml:space="preserve"> 551</w:t>
      </w:r>
      <w:r w:rsidR="002630DE">
        <w:rPr>
          <w:lang w:val="en-CA"/>
        </w:rPr>
        <w:t>–</w:t>
      </w:r>
      <w:r w:rsidRPr="00A96D6A">
        <w:rPr>
          <w:lang w:val="en-CA"/>
        </w:rPr>
        <w:t>552.</w:t>
      </w:r>
    </w:p>
  </w:footnote>
  <w:footnote w:id="26">
    <w:p w14:paraId="0EE81D49" w14:textId="7182F3CC"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 v. Chanmany</w:t>
      </w:r>
      <w:r w:rsidRPr="00A96D6A">
        <w:rPr>
          <w:lang w:val="en-CA"/>
        </w:rPr>
        <w:t xml:space="preserve">, 2016 ONCA 576 </w:t>
      </w:r>
      <w:r w:rsidR="006A3A36" w:rsidRPr="00A96D6A">
        <w:rPr>
          <w:lang w:val="en-CA"/>
        </w:rPr>
        <w:t>at para.</w:t>
      </w:r>
      <w:r w:rsidRPr="00A96D6A">
        <w:rPr>
          <w:lang w:val="en-CA"/>
        </w:rPr>
        <w:t xml:space="preserve"> 45; </w:t>
      </w:r>
      <w:r w:rsidRPr="00A96D6A">
        <w:rPr>
          <w:i/>
          <w:lang w:val="en-CA"/>
        </w:rPr>
        <w:t xml:space="preserve">Sherman </w:t>
      </w:r>
      <w:r w:rsidR="00BD1773">
        <w:rPr>
          <w:i/>
          <w:lang w:val="en-CA"/>
        </w:rPr>
        <w:t>Estate</w:t>
      </w:r>
      <w:r w:rsidR="006A3A36" w:rsidRPr="00A96D6A">
        <w:rPr>
          <w:i/>
          <w:iCs/>
          <w:lang w:val="en-CA"/>
        </w:rPr>
        <w:t xml:space="preserve"> v. </w:t>
      </w:r>
      <w:r w:rsidRPr="00A96D6A">
        <w:rPr>
          <w:i/>
          <w:lang w:val="en-CA"/>
        </w:rPr>
        <w:t>Donovan</w:t>
      </w:r>
      <w:r w:rsidRPr="00A96D6A">
        <w:rPr>
          <w:lang w:val="en-CA"/>
        </w:rPr>
        <w:t xml:space="preserve">, 2021 </w:t>
      </w:r>
      <w:r w:rsidR="006A3A36" w:rsidRPr="00A96D6A">
        <w:rPr>
          <w:lang w:val="en-CA"/>
        </w:rPr>
        <w:t>SCC</w:t>
      </w:r>
      <w:r w:rsidRPr="00A96D6A">
        <w:rPr>
          <w:lang w:val="en-CA"/>
        </w:rPr>
        <w:t xml:space="preserve"> 25 </w:t>
      </w:r>
      <w:r w:rsidR="006A3A36" w:rsidRPr="00A96D6A">
        <w:rPr>
          <w:lang w:val="en-CA"/>
        </w:rPr>
        <w:t>at para.</w:t>
      </w:r>
      <w:r w:rsidRPr="00A96D6A">
        <w:rPr>
          <w:lang w:val="en-CA"/>
        </w:rPr>
        <w:t xml:space="preserve"> 97. </w:t>
      </w:r>
      <w:r w:rsidR="0084601C">
        <w:rPr>
          <w:lang w:val="en-CA"/>
        </w:rPr>
        <w:t>See</w:t>
      </w:r>
      <w:r w:rsidRPr="00A96D6A">
        <w:rPr>
          <w:lang w:val="en-CA"/>
        </w:rPr>
        <w:t xml:space="preserve"> Robert J. Frater, </w:t>
      </w:r>
      <w:r w:rsidRPr="00A96D6A">
        <w:rPr>
          <w:i/>
          <w:lang w:val="en-CA"/>
        </w:rPr>
        <w:t>Prosecutorial Misconduct</w:t>
      </w:r>
      <w:r w:rsidRPr="00A96D6A">
        <w:rPr>
          <w:lang w:val="en-CA"/>
        </w:rPr>
        <w:t>, 2</w:t>
      </w:r>
      <w:r w:rsidR="0084601C">
        <w:rPr>
          <w:lang w:val="en-CA"/>
        </w:rPr>
        <w:t>nd</w:t>
      </w:r>
      <w:r w:rsidRPr="00A96D6A">
        <w:rPr>
          <w:lang w:val="en-CA"/>
        </w:rPr>
        <w:t xml:space="preserve"> </w:t>
      </w:r>
      <w:r w:rsidR="0084601C">
        <w:rPr>
          <w:lang w:val="en-CA"/>
        </w:rPr>
        <w:t>e</w:t>
      </w:r>
      <w:r w:rsidRPr="00A96D6A">
        <w:rPr>
          <w:lang w:val="en-CA"/>
        </w:rPr>
        <w:t xml:space="preserve">d. </w:t>
      </w:r>
      <w:r w:rsidR="00BD1773">
        <w:rPr>
          <w:lang w:val="en-CA"/>
        </w:rPr>
        <w:t>(</w:t>
      </w:r>
      <w:r w:rsidRPr="00A96D6A">
        <w:rPr>
          <w:lang w:val="en-CA"/>
        </w:rPr>
        <w:t>Canada Law Book, 2017</w:t>
      </w:r>
      <w:r w:rsidR="00BD1773">
        <w:rPr>
          <w:lang w:val="en-CA"/>
        </w:rPr>
        <w:t xml:space="preserve">) </w:t>
      </w:r>
      <w:r w:rsidR="0084601C">
        <w:rPr>
          <w:lang w:val="en-CA"/>
        </w:rPr>
        <w:t>at</w:t>
      </w:r>
      <w:r w:rsidRPr="00A96D6A">
        <w:rPr>
          <w:lang w:val="en-CA"/>
        </w:rPr>
        <w:t xml:space="preserve"> 268.</w:t>
      </w:r>
    </w:p>
  </w:footnote>
  <w:footnote w:id="27">
    <w:p w14:paraId="79B843C5" w14:textId="6106A46B"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564054" w:rsidRPr="00564054">
        <w:rPr>
          <w:lang w:val="en-CA"/>
        </w:rPr>
        <w:t xml:space="preserve">Although this discussion usually arises with respect to possibilities </w:t>
      </w:r>
      <w:r w:rsidR="00565771">
        <w:rPr>
          <w:lang w:val="en-CA"/>
        </w:rPr>
        <w:t>that</w:t>
      </w:r>
      <w:r w:rsidR="00564054" w:rsidRPr="00564054">
        <w:rPr>
          <w:lang w:val="en-CA"/>
        </w:rPr>
        <w:t xml:space="preserve"> do or do not give rise to reasonable doubt, </w:t>
      </w:r>
      <w:r w:rsidR="00564054">
        <w:rPr>
          <w:lang w:val="en-CA"/>
        </w:rPr>
        <w:t>following</w:t>
      </w:r>
      <w:r w:rsidR="00564054" w:rsidRPr="00564054">
        <w:rPr>
          <w:lang w:val="en-CA"/>
        </w:rPr>
        <w:t xml:space="preserve"> the same principles is essential. See </w:t>
      </w:r>
      <w:r w:rsidR="00565771">
        <w:rPr>
          <w:lang w:val="en-CA"/>
        </w:rPr>
        <w:t>e.g.,</w:t>
      </w:r>
      <w:r w:rsidRPr="00A96D6A">
        <w:rPr>
          <w:lang w:val="en-CA"/>
        </w:rPr>
        <w:t xml:space="preserve"> </w:t>
      </w:r>
      <w:r w:rsidRPr="00A96D6A">
        <w:rPr>
          <w:i/>
          <w:lang w:val="en-CA"/>
        </w:rPr>
        <w:t>Bélanger</w:t>
      </w:r>
      <w:r w:rsidR="006A3A36" w:rsidRPr="00A96D6A">
        <w:rPr>
          <w:i/>
          <w:iCs/>
          <w:lang w:val="en-CA"/>
        </w:rPr>
        <w:t xml:space="preserve"> </w:t>
      </w:r>
      <w:r w:rsidR="00565771">
        <w:rPr>
          <w:i/>
          <w:iCs/>
          <w:lang w:val="en-CA"/>
        </w:rPr>
        <w:t>c</w:t>
      </w:r>
      <w:r w:rsidR="006A3A36" w:rsidRPr="00A96D6A">
        <w:rPr>
          <w:i/>
          <w:iCs/>
          <w:lang w:val="en-CA"/>
        </w:rPr>
        <w:t xml:space="preserve">. </w:t>
      </w:r>
      <w:r w:rsidRPr="00A96D6A">
        <w:rPr>
          <w:i/>
          <w:lang w:val="en-CA"/>
        </w:rPr>
        <w:t>R.</w:t>
      </w:r>
      <w:r w:rsidRPr="00A96D6A">
        <w:rPr>
          <w:lang w:val="en-CA"/>
        </w:rPr>
        <w:t xml:space="preserve">, 2020 QCCA 431 </w:t>
      </w:r>
      <w:r w:rsidR="006A3A36" w:rsidRPr="00A96D6A">
        <w:rPr>
          <w:lang w:val="en-CA"/>
        </w:rPr>
        <w:t>at para.</w:t>
      </w:r>
      <w:r w:rsidRPr="00A96D6A">
        <w:rPr>
          <w:lang w:val="en-CA"/>
        </w:rPr>
        <w:t xml:space="preserve"> 44; S. Casey Hill, D. M. Tanovich </w:t>
      </w:r>
      <w:r w:rsidR="00BA582B">
        <w:rPr>
          <w:lang w:val="en-CA"/>
        </w:rPr>
        <w:t>&amp;</w:t>
      </w:r>
      <w:r w:rsidR="00BA582B" w:rsidRPr="00A96D6A">
        <w:rPr>
          <w:lang w:val="en-CA"/>
        </w:rPr>
        <w:t xml:space="preserve"> </w:t>
      </w:r>
      <w:r w:rsidRPr="00A96D6A">
        <w:rPr>
          <w:lang w:val="en-CA"/>
        </w:rPr>
        <w:t xml:space="preserve">L. Strezos, </w:t>
      </w:r>
      <w:r w:rsidRPr="00A96D6A">
        <w:rPr>
          <w:i/>
          <w:lang w:val="en-CA"/>
        </w:rPr>
        <w:t>McWilliams’ Canadian Criminal Evidence</w:t>
      </w:r>
      <w:r w:rsidRPr="00A96D6A">
        <w:rPr>
          <w:lang w:val="en-CA"/>
        </w:rPr>
        <w:t>, 5</w:t>
      </w:r>
      <w:r w:rsidR="0055213F">
        <w:rPr>
          <w:lang w:val="en-CA"/>
        </w:rPr>
        <w:t>th</w:t>
      </w:r>
      <w:r w:rsidRPr="00A96D6A">
        <w:rPr>
          <w:lang w:val="en-CA"/>
        </w:rPr>
        <w:t xml:space="preserve"> </w:t>
      </w:r>
      <w:r w:rsidR="0055213F">
        <w:rPr>
          <w:lang w:val="en-CA"/>
        </w:rPr>
        <w:t>e</w:t>
      </w:r>
      <w:r w:rsidRPr="00A96D6A">
        <w:rPr>
          <w:lang w:val="en-CA"/>
        </w:rPr>
        <w:t>d., vol. 2</w:t>
      </w:r>
      <w:r w:rsidR="00BA582B">
        <w:rPr>
          <w:lang w:val="en-CA"/>
        </w:rPr>
        <w:t xml:space="preserve"> (</w:t>
      </w:r>
      <w:r w:rsidRPr="00A96D6A">
        <w:rPr>
          <w:lang w:val="en-CA"/>
        </w:rPr>
        <w:t>Thomson Reuters, 2013</w:t>
      </w:r>
      <w:r w:rsidR="00BA582B">
        <w:rPr>
          <w:lang w:val="en-CA"/>
        </w:rPr>
        <w:t>)</w:t>
      </w:r>
      <w:r w:rsidRPr="00A96D6A">
        <w:rPr>
          <w:lang w:val="en-CA"/>
        </w:rPr>
        <w:t xml:space="preserve"> (</w:t>
      </w:r>
      <w:r w:rsidR="0055213F">
        <w:rPr>
          <w:lang w:val="en-CA"/>
        </w:rPr>
        <w:t>loose-leaf</w:t>
      </w:r>
      <w:r w:rsidRPr="00A96D6A">
        <w:rPr>
          <w:lang w:val="en-CA"/>
        </w:rPr>
        <w:t xml:space="preserve">, </w:t>
      </w:r>
      <w:r w:rsidR="0055213F">
        <w:rPr>
          <w:lang w:val="en-CA"/>
        </w:rPr>
        <w:t>update</w:t>
      </w:r>
      <w:r w:rsidR="00B80B92">
        <w:rPr>
          <w:lang w:val="en-CA"/>
        </w:rPr>
        <w:t>d</w:t>
      </w:r>
      <w:r w:rsidR="0055213F">
        <w:rPr>
          <w:lang w:val="en-CA"/>
        </w:rPr>
        <w:t xml:space="preserve"> July</w:t>
      </w:r>
      <w:r w:rsidRPr="00A96D6A">
        <w:rPr>
          <w:lang w:val="en-CA"/>
        </w:rPr>
        <w:t xml:space="preserve"> 2022</w:t>
      </w:r>
      <w:r w:rsidR="00B80B92">
        <w:rPr>
          <w:lang w:val="en-CA"/>
        </w:rPr>
        <w:t>, release 3</w:t>
      </w:r>
      <w:r w:rsidRPr="00A96D6A">
        <w:rPr>
          <w:lang w:val="en-CA"/>
        </w:rPr>
        <w:t xml:space="preserve">), </w:t>
      </w:r>
      <w:r w:rsidR="00ED5723" w:rsidRPr="00A96D6A">
        <w:rPr>
          <w:rFonts w:cs="Arial"/>
          <w:lang w:val="en-CA"/>
        </w:rPr>
        <w:t>§</w:t>
      </w:r>
      <w:r w:rsidRPr="00A96D6A">
        <w:rPr>
          <w:lang w:val="en-CA"/>
        </w:rPr>
        <w:t xml:space="preserve"> 31:17, </w:t>
      </w:r>
      <w:r w:rsidR="00565771">
        <w:rPr>
          <w:lang w:val="en-CA"/>
        </w:rPr>
        <w:t>in particular</w:t>
      </w:r>
      <w:r w:rsidR="0055213F">
        <w:rPr>
          <w:lang w:val="en-CA"/>
        </w:rPr>
        <w:t xml:space="preserve"> the footnote on page</w:t>
      </w:r>
      <w:r w:rsidRPr="00A96D6A">
        <w:rPr>
          <w:lang w:val="en-CA"/>
        </w:rPr>
        <w:t xml:space="preserve"> 5.</w:t>
      </w:r>
    </w:p>
  </w:footnote>
  <w:footnote w:id="28">
    <w:p w14:paraId="2D0CDCFF" w14:textId="56DE7523"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Delisle</w:t>
      </w:r>
      <w:r w:rsidR="006A3A36" w:rsidRPr="00A96D6A">
        <w:rPr>
          <w:i/>
          <w:iCs/>
          <w:lang w:val="en-CA"/>
        </w:rPr>
        <w:t xml:space="preserve"> </w:t>
      </w:r>
      <w:r w:rsidR="00A86DB6">
        <w:rPr>
          <w:i/>
          <w:iCs/>
          <w:lang w:val="en-CA"/>
        </w:rPr>
        <w:t>c</w:t>
      </w:r>
      <w:r w:rsidR="006A3A36" w:rsidRPr="00A96D6A">
        <w:rPr>
          <w:i/>
          <w:iCs/>
          <w:lang w:val="en-CA"/>
        </w:rPr>
        <w:t xml:space="preserve">. </w:t>
      </w:r>
      <w:r w:rsidRPr="00A96D6A">
        <w:rPr>
          <w:i/>
          <w:lang w:val="en-CA"/>
        </w:rPr>
        <w:t>R.</w:t>
      </w:r>
      <w:r w:rsidRPr="00A96D6A">
        <w:rPr>
          <w:lang w:val="en-CA"/>
        </w:rPr>
        <w:t xml:space="preserve">, 2013 QCCA 952 </w:t>
      </w:r>
      <w:r w:rsidR="006A3A36" w:rsidRPr="00A96D6A">
        <w:rPr>
          <w:lang w:val="en-CA"/>
        </w:rPr>
        <w:t>at para</w:t>
      </w:r>
      <w:r w:rsidR="0055213F">
        <w:rPr>
          <w:lang w:val="en-CA"/>
        </w:rPr>
        <w:t>s</w:t>
      </w:r>
      <w:r w:rsidR="006A3A36" w:rsidRPr="00A96D6A">
        <w:rPr>
          <w:lang w:val="en-CA"/>
        </w:rPr>
        <w:t>.</w:t>
      </w:r>
      <w:r w:rsidRPr="00A96D6A">
        <w:rPr>
          <w:lang w:val="en-CA"/>
        </w:rPr>
        <w:t xml:space="preserve"> 96</w:t>
      </w:r>
      <w:r w:rsidR="00891070">
        <w:rPr>
          <w:lang w:val="en-CA"/>
        </w:rPr>
        <w:t>–</w:t>
      </w:r>
      <w:r w:rsidRPr="00A96D6A">
        <w:rPr>
          <w:lang w:val="en-CA"/>
        </w:rPr>
        <w:t>101.</w:t>
      </w:r>
    </w:p>
  </w:footnote>
  <w:footnote w:id="29">
    <w:p w14:paraId="6186E300" w14:textId="2F409882"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Cooper</w:t>
      </w:r>
      <w:r w:rsidR="006A3A36" w:rsidRPr="00A96D6A">
        <w:rPr>
          <w:i/>
          <w:iCs/>
          <w:lang w:val="en-CA"/>
        </w:rPr>
        <w:t xml:space="preserve"> v. </w:t>
      </w:r>
      <w:r w:rsidRPr="00A96D6A">
        <w:rPr>
          <w:i/>
          <w:lang w:val="en-CA"/>
        </w:rPr>
        <w:t>R.</w:t>
      </w:r>
      <w:r w:rsidRPr="00A96D6A">
        <w:rPr>
          <w:lang w:val="en-CA"/>
        </w:rPr>
        <w:t xml:space="preserve">, [1980] 1 </w:t>
      </w:r>
      <w:r w:rsidR="006A3A36" w:rsidRPr="00A96D6A">
        <w:rPr>
          <w:lang w:val="en-CA"/>
        </w:rPr>
        <w:t>S.C.R.</w:t>
      </w:r>
      <w:r w:rsidRPr="00A96D6A">
        <w:rPr>
          <w:lang w:val="en-CA"/>
        </w:rPr>
        <w:t xml:space="preserve"> 1149 </w:t>
      </w:r>
      <w:r w:rsidR="0055213F">
        <w:rPr>
          <w:lang w:val="en-CA"/>
        </w:rPr>
        <w:t>at</w:t>
      </w:r>
      <w:r w:rsidRPr="00A96D6A">
        <w:rPr>
          <w:lang w:val="en-CA"/>
        </w:rPr>
        <w:t xml:space="preserve"> 1159.</w:t>
      </w:r>
    </w:p>
  </w:footnote>
  <w:footnote w:id="30">
    <w:p w14:paraId="0EBF51F7" w14:textId="5B5204FF"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D. Watt, </w:t>
      </w:r>
      <w:r w:rsidRPr="00A96D6A">
        <w:rPr>
          <w:i/>
          <w:lang w:val="en-CA"/>
        </w:rPr>
        <w:t xml:space="preserve">Watt’s Manual of Criminal Jury Instructions, </w:t>
      </w:r>
      <w:r w:rsidRPr="00A96D6A">
        <w:rPr>
          <w:lang w:val="en-CA"/>
        </w:rPr>
        <w:t>2</w:t>
      </w:r>
      <w:r w:rsidR="0055213F">
        <w:rPr>
          <w:lang w:val="en-CA"/>
        </w:rPr>
        <w:t>nd</w:t>
      </w:r>
      <w:r w:rsidRPr="00A96D6A">
        <w:rPr>
          <w:lang w:val="en-CA"/>
        </w:rPr>
        <w:t xml:space="preserve"> </w:t>
      </w:r>
      <w:r w:rsidR="0055213F">
        <w:rPr>
          <w:lang w:val="en-CA"/>
        </w:rPr>
        <w:t>e</w:t>
      </w:r>
      <w:r w:rsidRPr="00A96D6A">
        <w:rPr>
          <w:lang w:val="en-CA"/>
        </w:rPr>
        <w:t>d</w:t>
      </w:r>
      <w:r w:rsidR="00F80712">
        <w:rPr>
          <w:lang w:val="en-CA"/>
        </w:rPr>
        <w:t>.</w:t>
      </w:r>
      <w:r w:rsidR="00F67781">
        <w:rPr>
          <w:lang w:val="en-CA"/>
        </w:rPr>
        <w:t xml:space="preserve"> </w:t>
      </w:r>
      <w:r w:rsidR="00447A0B">
        <w:rPr>
          <w:lang w:val="en-CA"/>
        </w:rPr>
        <w:t>(</w:t>
      </w:r>
      <w:r w:rsidRPr="00A96D6A">
        <w:rPr>
          <w:lang w:val="en-CA"/>
        </w:rPr>
        <w:t>Carswell, 2015</w:t>
      </w:r>
      <w:r w:rsidR="00447A0B">
        <w:rPr>
          <w:lang w:val="en-CA"/>
        </w:rPr>
        <w:t>)</w:t>
      </w:r>
      <w:r w:rsidRPr="00A96D6A">
        <w:rPr>
          <w:lang w:val="en-CA"/>
        </w:rPr>
        <w:t xml:space="preserve"> </w:t>
      </w:r>
      <w:r w:rsidR="0055213F">
        <w:rPr>
          <w:lang w:val="en-CA"/>
        </w:rPr>
        <w:t>at</w:t>
      </w:r>
      <w:r w:rsidRPr="00A96D6A">
        <w:rPr>
          <w:lang w:val="en-CA"/>
        </w:rPr>
        <w:t xml:space="preserve"> 1219</w:t>
      </w:r>
      <w:r w:rsidR="00891070">
        <w:rPr>
          <w:lang w:val="en-CA"/>
        </w:rPr>
        <w:t>–</w:t>
      </w:r>
      <w:r w:rsidRPr="00A96D6A">
        <w:rPr>
          <w:lang w:val="en-CA"/>
        </w:rPr>
        <w:t>1220.</w:t>
      </w:r>
    </w:p>
  </w:footnote>
  <w:footnote w:id="31">
    <w:p w14:paraId="5CB837D6" w14:textId="5C277011"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0F4BFB">
        <w:rPr>
          <w:lang w:val="en-CA"/>
        </w:rPr>
        <w:t>Canadian Judicial Council</w:t>
      </w:r>
      <w:r w:rsidRPr="00A96D6A">
        <w:rPr>
          <w:lang w:val="en-CA"/>
        </w:rPr>
        <w:t xml:space="preserve">. </w:t>
      </w:r>
      <w:r w:rsidRPr="00A96D6A">
        <w:rPr>
          <w:i/>
          <w:lang w:val="en-CA"/>
        </w:rPr>
        <w:t>Mod</w:t>
      </w:r>
      <w:r w:rsidR="00564054">
        <w:rPr>
          <w:i/>
          <w:lang w:val="en-CA"/>
        </w:rPr>
        <w:t>el Jury Instructions</w:t>
      </w:r>
      <w:r w:rsidRPr="00A96D6A">
        <w:rPr>
          <w:lang w:val="en-CA"/>
        </w:rPr>
        <w:t xml:space="preserve">, </w:t>
      </w:r>
      <w:r w:rsidR="00564054">
        <w:rPr>
          <w:lang w:val="en-CA"/>
        </w:rPr>
        <w:t>“</w:t>
      </w:r>
      <w:r w:rsidRPr="00A96D6A">
        <w:rPr>
          <w:lang w:val="en-CA"/>
        </w:rPr>
        <w:t>D</w:t>
      </w:r>
      <w:r w:rsidR="00564054">
        <w:rPr>
          <w:lang w:val="en-CA"/>
        </w:rPr>
        <w:t>e</w:t>
      </w:r>
      <w:r w:rsidRPr="00A96D6A">
        <w:rPr>
          <w:lang w:val="en-CA"/>
        </w:rPr>
        <w:t>fen</w:t>
      </w:r>
      <w:r w:rsidR="00564054">
        <w:rPr>
          <w:lang w:val="en-CA"/>
        </w:rPr>
        <w:t>c</w:t>
      </w:r>
      <w:r w:rsidRPr="00A96D6A">
        <w:rPr>
          <w:lang w:val="en-CA"/>
        </w:rPr>
        <w:t xml:space="preserve">e 16.1: </w:t>
      </w:r>
      <w:r w:rsidR="00564054">
        <w:rPr>
          <w:lang w:val="en-CA"/>
        </w:rPr>
        <w:t>Mental disorder</w:t>
      </w:r>
      <w:r w:rsidRPr="00A96D6A">
        <w:rPr>
          <w:lang w:val="en-CA"/>
        </w:rPr>
        <w:t xml:space="preserve"> – </w:t>
      </w:r>
      <w:r w:rsidR="00564054">
        <w:rPr>
          <w:lang w:val="en-CA"/>
        </w:rPr>
        <w:t>Raised during the trial before finding of guilt</w:t>
      </w:r>
      <w:r w:rsidRPr="00A96D6A">
        <w:rPr>
          <w:lang w:val="en-CA"/>
        </w:rPr>
        <w:t xml:space="preserve"> (</w:t>
      </w:r>
      <w:r w:rsidR="00564054">
        <w:rPr>
          <w:lang w:val="en-CA"/>
        </w:rPr>
        <w:t>s</w:t>
      </w:r>
      <w:r w:rsidRPr="00A96D6A">
        <w:rPr>
          <w:lang w:val="en-CA"/>
        </w:rPr>
        <w:t>. 16)</w:t>
      </w:r>
      <w:r w:rsidR="00564054">
        <w:rPr>
          <w:lang w:val="en-CA"/>
        </w:rPr>
        <w:t>”</w:t>
      </w:r>
      <w:r w:rsidR="00A86DB6">
        <w:rPr>
          <w:lang w:val="en-CA"/>
        </w:rPr>
        <w:t xml:space="preserve"> </w:t>
      </w:r>
      <w:r w:rsidR="009A3F62">
        <w:rPr>
          <w:lang w:val="en-CA"/>
        </w:rPr>
        <w:t>(</w:t>
      </w:r>
      <w:r w:rsidR="00B80B92">
        <w:rPr>
          <w:lang w:val="en-CA"/>
        </w:rPr>
        <w:t>updated</w:t>
      </w:r>
      <w:r w:rsidR="009A3F62">
        <w:rPr>
          <w:lang w:val="en-CA"/>
        </w:rPr>
        <w:t xml:space="preserve"> </w:t>
      </w:r>
      <w:r w:rsidR="00564054">
        <w:rPr>
          <w:lang w:val="en-CA"/>
        </w:rPr>
        <w:t>June</w:t>
      </w:r>
      <w:r w:rsidRPr="00A96D6A">
        <w:rPr>
          <w:lang w:val="en-CA"/>
        </w:rPr>
        <w:t xml:space="preserve"> 2014</w:t>
      </w:r>
      <w:r w:rsidR="009A3F62">
        <w:rPr>
          <w:lang w:val="en-CA"/>
        </w:rPr>
        <w:t>)</w:t>
      </w:r>
      <w:r w:rsidRPr="00A96D6A">
        <w:rPr>
          <w:lang w:val="en-CA"/>
        </w:rPr>
        <w:t xml:space="preserve"> (</w:t>
      </w:r>
      <w:r w:rsidR="00564054">
        <w:rPr>
          <w:lang w:val="en-CA"/>
        </w:rPr>
        <w:t>online</w:t>
      </w:r>
      <w:r w:rsidRPr="00A96D6A">
        <w:rPr>
          <w:lang w:val="en-CA"/>
        </w:rPr>
        <w:t>).</w:t>
      </w:r>
    </w:p>
  </w:footnote>
  <w:footnote w:id="32">
    <w:p w14:paraId="410A7577" w14:textId="700328E5" w:rsidR="00525251" w:rsidRPr="00A96D6A" w:rsidRDefault="00525251" w:rsidP="00745C76">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Molodowic</w:t>
      </w:r>
      <w:r w:rsidRPr="00A96D6A">
        <w:rPr>
          <w:lang w:val="en-CA"/>
        </w:rPr>
        <w:t xml:space="preserve">, [2000] 1 </w:t>
      </w:r>
      <w:r w:rsidR="006A3A36" w:rsidRPr="00A96D6A">
        <w:rPr>
          <w:lang w:val="en-CA"/>
        </w:rPr>
        <w:t>S.C.R.</w:t>
      </w:r>
      <w:r w:rsidRPr="00A96D6A">
        <w:rPr>
          <w:lang w:val="en-CA"/>
        </w:rPr>
        <w:t xml:space="preserve"> 420, 2000 </w:t>
      </w:r>
      <w:r w:rsidR="006A3A36" w:rsidRPr="00A96D6A">
        <w:rPr>
          <w:lang w:val="en-CA"/>
        </w:rPr>
        <w:t>SCC</w:t>
      </w:r>
      <w:r w:rsidRPr="00A96D6A">
        <w:rPr>
          <w:lang w:val="en-CA"/>
        </w:rPr>
        <w:t xml:space="preserve"> 16 </w:t>
      </w:r>
      <w:r w:rsidR="006A3A36" w:rsidRPr="00A96D6A">
        <w:rPr>
          <w:lang w:val="en-CA"/>
        </w:rPr>
        <w:t>at para.</w:t>
      </w:r>
      <w:r w:rsidRPr="00A96D6A">
        <w:rPr>
          <w:lang w:val="en-CA"/>
        </w:rPr>
        <w:t xml:space="preserve"> </w:t>
      </w:r>
      <w:r w:rsidRPr="00C14943">
        <w:rPr>
          <w:lang w:val="es-CL"/>
        </w:rPr>
        <w:t xml:space="preserve">13; </w:t>
      </w:r>
      <w:r w:rsidRPr="00C14943">
        <w:rPr>
          <w:i/>
          <w:lang w:val="es-CL"/>
        </w:rPr>
        <w:t>Labrie</w:t>
      </w:r>
      <w:r w:rsidR="006A3A36" w:rsidRPr="00C14943">
        <w:rPr>
          <w:i/>
          <w:iCs/>
          <w:lang w:val="es-CL"/>
        </w:rPr>
        <w:t xml:space="preserve"> </w:t>
      </w:r>
      <w:r w:rsidR="00BC4C74">
        <w:rPr>
          <w:i/>
          <w:iCs/>
          <w:lang w:val="es-CL"/>
        </w:rPr>
        <w:t>c</w:t>
      </w:r>
      <w:r w:rsidR="006A3A36" w:rsidRPr="00C14943">
        <w:rPr>
          <w:i/>
          <w:iCs/>
          <w:lang w:val="es-CL"/>
        </w:rPr>
        <w:t xml:space="preserve">. </w:t>
      </w:r>
      <w:r w:rsidRPr="00C14943">
        <w:rPr>
          <w:i/>
          <w:lang w:val="es-CL"/>
        </w:rPr>
        <w:t>R.</w:t>
      </w:r>
      <w:r w:rsidRPr="00C14943">
        <w:rPr>
          <w:lang w:val="es-CL"/>
        </w:rPr>
        <w:t xml:space="preserve">, 2014 QCCA 309 </w:t>
      </w:r>
      <w:r w:rsidR="006A3A36" w:rsidRPr="00C14943">
        <w:rPr>
          <w:lang w:val="es-CL"/>
        </w:rPr>
        <w:t>at para.</w:t>
      </w:r>
      <w:r w:rsidRPr="00C14943">
        <w:rPr>
          <w:lang w:val="es-CL"/>
        </w:rPr>
        <w:t xml:space="preserve"> </w:t>
      </w:r>
      <w:r w:rsidRPr="00A96D6A">
        <w:rPr>
          <w:lang w:val="en-CA"/>
        </w:rPr>
        <w:t xml:space="preserve">50; </w:t>
      </w:r>
      <w:r w:rsidRPr="00A96D6A">
        <w:rPr>
          <w:i/>
          <w:lang w:val="en-CA"/>
        </w:rPr>
        <w:t>R. v. Richmond</w:t>
      </w:r>
      <w:r w:rsidRPr="00A96D6A">
        <w:rPr>
          <w:lang w:val="en-CA"/>
        </w:rPr>
        <w:t xml:space="preserve">, 2016 ONCA 134 </w:t>
      </w:r>
      <w:r w:rsidR="006A3A36" w:rsidRPr="00A96D6A">
        <w:rPr>
          <w:lang w:val="en-CA"/>
        </w:rPr>
        <w:t>at para.</w:t>
      </w:r>
      <w:r w:rsidRPr="00A96D6A">
        <w:rPr>
          <w:lang w:val="en-CA"/>
        </w:rPr>
        <w:t xml:space="preserve"> 59.</w:t>
      </w:r>
    </w:p>
  </w:footnote>
  <w:footnote w:id="33">
    <w:p w14:paraId="494932D8" w14:textId="1DCE069D" w:rsidR="00525251" w:rsidRPr="00A96D6A" w:rsidRDefault="00525251" w:rsidP="00745C76">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Hy Bloom, </w:t>
      </w:r>
      <w:r w:rsidR="00B35B64">
        <w:rPr>
          <w:lang w:val="en-CA"/>
        </w:rPr>
        <w:t>“</w:t>
      </w:r>
      <w:r w:rsidRPr="00A96D6A">
        <w:rPr>
          <w:lang w:val="en-CA"/>
        </w:rPr>
        <w:t>Not Criminally Responsible on Account of Mental Disorder (NCRMD)</w:t>
      </w:r>
      <w:r w:rsidR="00B35B64">
        <w:rPr>
          <w:lang w:val="en-CA"/>
        </w:rPr>
        <w:t>”,</w:t>
      </w:r>
      <w:r w:rsidRPr="00A96D6A">
        <w:rPr>
          <w:lang w:val="en-CA"/>
        </w:rPr>
        <w:t xml:space="preserve"> </w:t>
      </w:r>
      <w:r w:rsidR="00B35B64">
        <w:rPr>
          <w:lang w:val="en-CA"/>
        </w:rPr>
        <w:t>in</w:t>
      </w:r>
      <w:r w:rsidRPr="00A96D6A">
        <w:rPr>
          <w:lang w:val="en-CA"/>
        </w:rPr>
        <w:t xml:space="preserve"> Hy Bloom </w:t>
      </w:r>
      <w:r w:rsidR="00A371EE">
        <w:rPr>
          <w:lang w:val="en-CA"/>
        </w:rPr>
        <w:t xml:space="preserve">&amp; </w:t>
      </w:r>
      <w:r w:rsidRPr="00A96D6A">
        <w:rPr>
          <w:lang w:val="en-CA"/>
        </w:rPr>
        <w:t>Richard D. Schneider</w:t>
      </w:r>
      <w:r w:rsidR="002630DE">
        <w:rPr>
          <w:lang w:val="en-CA"/>
        </w:rPr>
        <w:t>, eds.,</w:t>
      </w:r>
      <w:r w:rsidRPr="00A96D6A">
        <w:rPr>
          <w:lang w:val="en-CA"/>
        </w:rPr>
        <w:t xml:space="preserve"> </w:t>
      </w:r>
      <w:r w:rsidRPr="00A96D6A">
        <w:rPr>
          <w:i/>
          <w:lang w:val="en-CA"/>
        </w:rPr>
        <w:t>Law and Mental Disorder: a Comprehensive and Practical Approach</w:t>
      </w:r>
      <w:r w:rsidR="00A371EE">
        <w:rPr>
          <w:lang w:val="en-CA"/>
        </w:rPr>
        <w:t xml:space="preserve"> (</w:t>
      </w:r>
      <w:r w:rsidRPr="00A96D6A">
        <w:rPr>
          <w:lang w:val="en-CA"/>
        </w:rPr>
        <w:t>Irwin Law, 2013</w:t>
      </w:r>
      <w:r w:rsidR="00A371EE">
        <w:rPr>
          <w:lang w:val="en-CA"/>
        </w:rPr>
        <w:t>)</w:t>
      </w:r>
      <w:r w:rsidRPr="00A96D6A">
        <w:rPr>
          <w:lang w:val="en-CA"/>
        </w:rPr>
        <w:t xml:space="preserve"> </w:t>
      </w:r>
      <w:r w:rsidR="00B35B64">
        <w:rPr>
          <w:lang w:val="en-CA"/>
        </w:rPr>
        <w:t>at</w:t>
      </w:r>
      <w:r w:rsidRPr="00A96D6A">
        <w:rPr>
          <w:lang w:val="en-CA"/>
        </w:rPr>
        <w:t xml:space="preserve"> 264</w:t>
      </w:r>
      <w:r w:rsidR="00A371EE">
        <w:rPr>
          <w:lang w:val="en-CA"/>
        </w:rPr>
        <w:t>–</w:t>
      </w:r>
      <w:r w:rsidRPr="00A96D6A">
        <w:rPr>
          <w:lang w:val="en-CA"/>
        </w:rPr>
        <w:t xml:space="preserve">265; M.L. Perlin, </w:t>
      </w:r>
      <w:r w:rsidR="00B35B64">
        <w:rPr>
          <w:lang w:val="en-CA"/>
        </w:rPr>
        <w:t>“</w:t>
      </w:r>
      <w:r w:rsidRPr="00A96D6A">
        <w:rPr>
          <w:i/>
          <w:lang w:val="en-CA"/>
        </w:rPr>
        <w:t>The Insanity Defense: Nine Myths That Will Not Go Away</w:t>
      </w:r>
      <w:r w:rsidR="004645C9">
        <w:rPr>
          <w:iCs/>
          <w:lang w:val="en-CA"/>
        </w:rPr>
        <w:t>”</w:t>
      </w:r>
      <w:r w:rsidRPr="00A96D6A">
        <w:rPr>
          <w:lang w:val="en-CA"/>
        </w:rPr>
        <w:t xml:space="preserve"> </w:t>
      </w:r>
      <w:r w:rsidR="00B35B64">
        <w:rPr>
          <w:lang w:val="en-CA"/>
        </w:rPr>
        <w:t>in</w:t>
      </w:r>
      <w:r w:rsidRPr="00A96D6A">
        <w:rPr>
          <w:lang w:val="en-CA"/>
        </w:rPr>
        <w:t xml:space="preserve"> M.D. White</w:t>
      </w:r>
      <w:r w:rsidR="00086548">
        <w:rPr>
          <w:lang w:val="en-CA"/>
        </w:rPr>
        <w:t xml:space="preserve">, ed., </w:t>
      </w:r>
      <w:r w:rsidRPr="00A96D6A">
        <w:rPr>
          <w:i/>
          <w:lang w:val="en-CA"/>
        </w:rPr>
        <w:t>The Insanity Defense: Multidisciplinary Views on Its History, Trends, and Controversies</w:t>
      </w:r>
      <w:r w:rsidR="00F67781">
        <w:rPr>
          <w:i/>
          <w:lang w:val="en-CA"/>
        </w:rPr>
        <w:t xml:space="preserve"> </w:t>
      </w:r>
      <w:r w:rsidR="00F81A95">
        <w:rPr>
          <w:lang w:val="en-CA"/>
        </w:rPr>
        <w:t>(</w:t>
      </w:r>
      <w:r w:rsidRPr="00A96D6A">
        <w:rPr>
          <w:lang w:val="en-CA"/>
        </w:rPr>
        <w:t>Praeger, 2017</w:t>
      </w:r>
      <w:r w:rsidR="00F81A95">
        <w:rPr>
          <w:lang w:val="en-CA"/>
        </w:rPr>
        <w:t>)</w:t>
      </w:r>
      <w:r w:rsidRPr="00A96D6A">
        <w:rPr>
          <w:lang w:val="en-CA"/>
        </w:rPr>
        <w:t xml:space="preserve"> </w:t>
      </w:r>
      <w:r w:rsidR="00B35B64">
        <w:rPr>
          <w:lang w:val="en-CA"/>
        </w:rPr>
        <w:t>at</w:t>
      </w:r>
      <w:r w:rsidRPr="00A96D6A">
        <w:rPr>
          <w:lang w:val="en-CA"/>
        </w:rPr>
        <w:t xml:space="preserve"> 3</w:t>
      </w:r>
      <w:r w:rsidR="00F81A95">
        <w:rPr>
          <w:lang w:val="en-CA"/>
        </w:rPr>
        <w:t>–</w:t>
      </w:r>
      <w:r w:rsidRPr="00A96D6A">
        <w:rPr>
          <w:lang w:val="en-CA"/>
        </w:rPr>
        <w:t>22.</w:t>
      </w:r>
    </w:p>
  </w:footnote>
  <w:footnote w:id="34">
    <w:p w14:paraId="2242F50B" w14:textId="1A5CC38A" w:rsidR="00525251" w:rsidRPr="00A96D6A" w:rsidRDefault="00525251">
      <w:pPr>
        <w:pStyle w:val="Notedebasdepage"/>
        <w:rPr>
          <w:lang w:val="en-CA"/>
        </w:rPr>
      </w:pPr>
      <w:r w:rsidRPr="00A96D6A">
        <w:rPr>
          <w:rStyle w:val="Appelnotedebasdep"/>
          <w:lang w:val="en-CA"/>
        </w:rPr>
        <w:footnoteRef/>
      </w:r>
      <w:r w:rsidRPr="00C14943">
        <w:rPr>
          <w:lang w:val="es-CL"/>
        </w:rPr>
        <w:t xml:space="preserve"> </w:t>
      </w:r>
      <w:r w:rsidRPr="00C14943">
        <w:rPr>
          <w:lang w:val="es-CL"/>
        </w:rPr>
        <w:tab/>
      </w:r>
      <w:r w:rsidRPr="00C14943">
        <w:rPr>
          <w:i/>
          <w:lang w:val="es-CL"/>
        </w:rPr>
        <w:t>Labrie</w:t>
      </w:r>
      <w:r w:rsidR="006A3A36" w:rsidRPr="00C14943">
        <w:rPr>
          <w:i/>
          <w:iCs/>
          <w:lang w:val="es-CL"/>
        </w:rPr>
        <w:t xml:space="preserve"> </w:t>
      </w:r>
      <w:r w:rsidR="00AD47CF">
        <w:rPr>
          <w:i/>
          <w:iCs/>
          <w:lang w:val="es-CL"/>
        </w:rPr>
        <w:t>c</w:t>
      </w:r>
      <w:r w:rsidR="006A3A36" w:rsidRPr="00C14943">
        <w:rPr>
          <w:i/>
          <w:iCs/>
          <w:lang w:val="es-CL"/>
        </w:rPr>
        <w:t xml:space="preserve">. </w:t>
      </w:r>
      <w:r w:rsidRPr="00C14943">
        <w:rPr>
          <w:i/>
          <w:lang w:val="es-CL"/>
        </w:rPr>
        <w:t>R.</w:t>
      </w:r>
      <w:r w:rsidRPr="00C14943">
        <w:rPr>
          <w:lang w:val="es-CL"/>
        </w:rPr>
        <w:t xml:space="preserve">, 2014 QCCA 309 </w:t>
      </w:r>
      <w:r w:rsidR="006A3A36" w:rsidRPr="00C14943">
        <w:rPr>
          <w:lang w:val="es-CL"/>
        </w:rPr>
        <w:t>at para.</w:t>
      </w:r>
      <w:r w:rsidRPr="00C14943">
        <w:rPr>
          <w:lang w:val="es-CL"/>
        </w:rPr>
        <w:t xml:space="preserve"> </w:t>
      </w:r>
      <w:r w:rsidRPr="00A96D6A">
        <w:rPr>
          <w:lang w:val="en-CA"/>
        </w:rPr>
        <w:t xml:space="preserve">37; </w:t>
      </w:r>
      <w:r w:rsidRPr="00A96D6A">
        <w:rPr>
          <w:i/>
          <w:lang w:val="en-CA"/>
        </w:rPr>
        <w:t>Demontigny</w:t>
      </w:r>
      <w:r w:rsidR="006A3A36" w:rsidRPr="00A96D6A">
        <w:rPr>
          <w:i/>
          <w:iCs/>
          <w:lang w:val="en-CA"/>
        </w:rPr>
        <w:t xml:space="preserve"> </w:t>
      </w:r>
      <w:r w:rsidR="00AD47CF">
        <w:rPr>
          <w:i/>
          <w:iCs/>
          <w:lang w:val="en-CA"/>
        </w:rPr>
        <w:t>c</w:t>
      </w:r>
      <w:r w:rsidR="006A3A36" w:rsidRPr="00A96D6A">
        <w:rPr>
          <w:i/>
          <w:iCs/>
          <w:lang w:val="en-CA"/>
        </w:rPr>
        <w:t xml:space="preserve">. </w:t>
      </w:r>
      <w:r w:rsidRPr="00A96D6A">
        <w:rPr>
          <w:i/>
          <w:lang w:val="en-CA"/>
        </w:rPr>
        <w:t>R.</w:t>
      </w:r>
      <w:r w:rsidRPr="00A96D6A">
        <w:rPr>
          <w:lang w:val="en-CA"/>
        </w:rPr>
        <w:t xml:space="preserve">, 2022 QCCA 2 </w:t>
      </w:r>
      <w:r w:rsidR="006A3A36" w:rsidRPr="00A96D6A">
        <w:rPr>
          <w:lang w:val="en-CA"/>
        </w:rPr>
        <w:t>at para.</w:t>
      </w:r>
      <w:r w:rsidRPr="00A96D6A">
        <w:rPr>
          <w:lang w:val="en-CA"/>
        </w:rPr>
        <w:t xml:space="preserve"> 65.</w:t>
      </w:r>
    </w:p>
  </w:footnote>
  <w:footnote w:id="35">
    <w:p w14:paraId="7DBF7AD6" w14:textId="072692D5"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1004A0" w:rsidRPr="00A96D6A">
        <w:rPr>
          <w:i/>
          <w:lang w:val="en-CA"/>
        </w:rPr>
        <w:t>Ibid.</w:t>
      </w:r>
      <w:r w:rsidRPr="00A96D6A">
        <w:rPr>
          <w:lang w:val="en-CA"/>
        </w:rPr>
        <w:t xml:space="preserve"> </w:t>
      </w:r>
      <w:r w:rsidR="006A3A36" w:rsidRPr="00A96D6A">
        <w:rPr>
          <w:lang w:val="en-CA"/>
        </w:rPr>
        <w:t>at para.</w:t>
      </w:r>
      <w:r w:rsidRPr="00A96D6A">
        <w:rPr>
          <w:lang w:val="en-CA"/>
        </w:rPr>
        <w:t xml:space="preserve"> </w:t>
      </w:r>
      <w:r w:rsidR="00FD4A91" w:rsidRPr="00A96D6A">
        <w:rPr>
          <w:lang w:val="en-CA"/>
        </w:rPr>
        <w:t>37.</w:t>
      </w:r>
    </w:p>
  </w:footnote>
  <w:footnote w:id="36">
    <w:p w14:paraId="18209F4D" w14:textId="0F8EB274"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B35B64">
        <w:rPr>
          <w:lang w:val="en-CA"/>
        </w:rPr>
        <w:t>See</w:t>
      </w:r>
      <w:r w:rsidRPr="00A96D6A">
        <w:rPr>
          <w:lang w:val="en-CA"/>
        </w:rPr>
        <w:t xml:space="preserve"> D. Paciocco, P. Paciocco </w:t>
      </w:r>
      <w:r w:rsidR="00F81A95">
        <w:rPr>
          <w:lang w:val="en-CA"/>
        </w:rPr>
        <w:t>&amp;</w:t>
      </w:r>
      <w:r w:rsidR="00F81A95" w:rsidRPr="00A96D6A">
        <w:rPr>
          <w:lang w:val="en-CA"/>
        </w:rPr>
        <w:t xml:space="preserve"> </w:t>
      </w:r>
      <w:r w:rsidRPr="00A96D6A">
        <w:rPr>
          <w:lang w:val="en-CA"/>
        </w:rPr>
        <w:t xml:space="preserve">L. Stuesser, </w:t>
      </w:r>
      <w:r w:rsidRPr="00A96D6A">
        <w:rPr>
          <w:i/>
          <w:lang w:val="en-CA"/>
        </w:rPr>
        <w:t>The Law of Evidence</w:t>
      </w:r>
      <w:r w:rsidRPr="00A96D6A">
        <w:rPr>
          <w:lang w:val="en-CA"/>
        </w:rPr>
        <w:t>, 8</w:t>
      </w:r>
      <w:r w:rsidR="00B35B64" w:rsidRPr="00B92A5F">
        <w:rPr>
          <w:lang w:val="en-CA"/>
        </w:rPr>
        <w:t>th</w:t>
      </w:r>
      <w:r w:rsidRPr="00A96D6A">
        <w:rPr>
          <w:lang w:val="en-CA"/>
        </w:rPr>
        <w:t xml:space="preserve"> </w:t>
      </w:r>
      <w:r w:rsidR="00B35B64">
        <w:rPr>
          <w:lang w:val="en-CA"/>
        </w:rPr>
        <w:t>e</w:t>
      </w:r>
      <w:r w:rsidRPr="00A96D6A">
        <w:rPr>
          <w:lang w:val="en-CA"/>
        </w:rPr>
        <w:t>d</w:t>
      </w:r>
      <w:r w:rsidR="00AD4798">
        <w:rPr>
          <w:lang w:val="en-CA"/>
        </w:rPr>
        <w:t>.</w:t>
      </w:r>
      <w:r w:rsidR="00F67781">
        <w:rPr>
          <w:lang w:val="en-CA"/>
        </w:rPr>
        <w:t xml:space="preserve"> </w:t>
      </w:r>
      <w:r w:rsidR="00F81A95">
        <w:rPr>
          <w:lang w:val="en-CA"/>
        </w:rPr>
        <w:t>(</w:t>
      </w:r>
      <w:r w:rsidRPr="00A96D6A">
        <w:rPr>
          <w:lang w:val="en-CA"/>
        </w:rPr>
        <w:t>Irwin, 2020</w:t>
      </w:r>
      <w:r w:rsidR="00F81A95">
        <w:rPr>
          <w:lang w:val="en-CA"/>
        </w:rPr>
        <w:t>)</w:t>
      </w:r>
      <w:r w:rsidR="00AD47CF">
        <w:rPr>
          <w:lang w:val="en-CA"/>
        </w:rPr>
        <w:t>, in which</w:t>
      </w:r>
      <w:r w:rsidR="00B35B64">
        <w:rPr>
          <w:lang w:val="en-CA"/>
        </w:rPr>
        <w:t xml:space="preserve"> the authors write</w:t>
      </w:r>
      <w:r w:rsidRPr="00A96D6A">
        <w:rPr>
          <w:lang w:val="en-CA"/>
        </w:rPr>
        <w:t xml:space="preserve">: </w:t>
      </w:r>
      <w:r w:rsidR="00B35B64">
        <w:rPr>
          <w:lang w:val="en-CA"/>
        </w:rPr>
        <w:t>“</w:t>
      </w:r>
      <w:r w:rsidRPr="00A96D6A">
        <w:rPr>
          <w:lang w:val="en-CA"/>
        </w:rPr>
        <w:t>While it is true that the questions asked are not evidence – only the answers given are – simply asking a question may be prejudicial. There is power in innuendo</w:t>
      </w:r>
      <w:r w:rsidR="00B35B64">
        <w:rPr>
          <w:lang w:val="en-CA"/>
        </w:rPr>
        <w:t>”</w:t>
      </w:r>
      <w:r w:rsidRPr="00A96D6A">
        <w:rPr>
          <w:lang w:val="en-CA"/>
        </w:rPr>
        <w:t xml:space="preserve"> </w:t>
      </w:r>
      <w:r w:rsidR="00B35B64">
        <w:rPr>
          <w:lang w:val="en-CA"/>
        </w:rPr>
        <w:t>at</w:t>
      </w:r>
      <w:r w:rsidRPr="00A96D6A">
        <w:rPr>
          <w:lang w:val="en-CA"/>
        </w:rPr>
        <w:t xml:space="preserve"> 551. </w:t>
      </w:r>
      <w:r w:rsidR="00B35B64">
        <w:rPr>
          <w:lang w:val="en-CA"/>
        </w:rPr>
        <w:t>See also</w:t>
      </w:r>
      <w:r w:rsidRPr="00A96D6A">
        <w:rPr>
          <w:lang w:val="en-CA"/>
        </w:rPr>
        <w:t xml:space="preserve"> S.</w:t>
      </w:r>
      <w:r w:rsidR="00AD47CF">
        <w:rPr>
          <w:lang w:val="en-CA"/>
        </w:rPr>
        <w:t> </w:t>
      </w:r>
      <w:r w:rsidRPr="00A96D6A">
        <w:rPr>
          <w:lang w:val="en-CA"/>
        </w:rPr>
        <w:t xml:space="preserve">Casey Hill, D. M. Tanovich </w:t>
      </w:r>
      <w:r w:rsidR="00607EE7">
        <w:rPr>
          <w:lang w:val="en-CA"/>
        </w:rPr>
        <w:t>&amp;</w:t>
      </w:r>
      <w:r w:rsidRPr="00A96D6A">
        <w:rPr>
          <w:lang w:val="en-CA"/>
        </w:rPr>
        <w:t xml:space="preserve"> L. Strezos, </w:t>
      </w:r>
      <w:r w:rsidRPr="00A96D6A">
        <w:rPr>
          <w:i/>
          <w:lang w:val="en-CA"/>
        </w:rPr>
        <w:t>McWilliams’ Canadian Criminal Evidence</w:t>
      </w:r>
      <w:r w:rsidRPr="00A96D6A">
        <w:rPr>
          <w:lang w:val="en-CA"/>
        </w:rPr>
        <w:t>, 5</w:t>
      </w:r>
      <w:r w:rsidR="00B35B64">
        <w:rPr>
          <w:lang w:val="en-CA"/>
        </w:rPr>
        <w:t>th</w:t>
      </w:r>
      <w:r w:rsidRPr="00A96D6A">
        <w:rPr>
          <w:lang w:val="en-CA"/>
        </w:rPr>
        <w:t xml:space="preserve"> </w:t>
      </w:r>
      <w:r w:rsidR="00B35B64">
        <w:rPr>
          <w:lang w:val="en-CA"/>
        </w:rPr>
        <w:t>e</w:t>
      </w:r>
      <w:r w:rsidRPr="00A96D6A">
        <w:rPr>
          <w:lang w:val="en-CA"/>
        </w:rPr>
        <w:t>d., vol.</w:t>
      </w:r>
      <w:r w:rsidR="00607EE7">
        <w:rPr>
          <w:lang w:val="en-CA"/>
        </w:rPr>
        <w:t> </w:t>
      </w:r>
      <w:r w:rsidRPr="00A96D6A">
        <w:rPr>
          <w:lang w:val="en-CA"/>
        </w:rPr>
        <w:t xml:space="preserve">2, </w:t>
      </w:r>
      <w:r w:rsidR="00AD4798">
        <w:rPr>
          <w:lang w:val="en-CA"/>
        </w:rPr>
        <w:t>(</w:t>
      </w:r>
      <w:r w:rsidRPr="00A96D6A">
        <w:rPr>
          <w:lang w:val="en-CA"/>
        </w:rPr>
        <w:t>Thomson Reuters, 2013</w:t>
      </w:r>
      <w:r w:rsidR="00AD4798">
        <w:rPr>
          <w:lang w:val="en-CA"/>
        </w:rPr>
        <w:t>)</w:t>
      </w:r>
      <w:r w:rsidRPr="00A96D6A">
        <w:rPr>
          <w:lang w:val="en-CA"/>
        </w:rPr>
        <w:t xml:space="preserve"> (</w:t>
      </w:r>
      <w:r w:rsidR="00B35B64">
        <w:rPr>
          <w:lang w:val="en-CA"/>
        </w:rPr>
        <w:t>loose-leaf</w:t>
      </w:r>
      <w:r w:rsidRPr="00A96D6A">
        <w:rPr>
          <w:lang w:val="en-CA"/>
        </w:rPr>
        <w:t xml:space="preserve">, </w:t>
      </w:r>
      <w:r w:rsidR="00B35B64">
        <w:rPr>
          <w:lang w:val="en-CA"/>
        </w:rPr>
        <w:t>update</w:t>
      </w:r>
      <w:r w:rsidR="00B80B92">
        <w:rPr>
          <w:lang w:val="en-CA"/>
        </w:rPr>
        <w:t>d</w:t>
      </w:r>
      <w:r w:rsidR="00F67781">
        <w:rPr>
          <w:lang w:val="en-CA"/>
        </w:rPr>
        <w:t xml:space="preserve"> </w:t>
      </w:r>
      <w:r w:rsidR="00B35B64">
        <w:rPr>
          <w:lang w:val="en-CA"/>
        </w:rPr>
        <w:t>July</w:t>
      </w:r>
      <w:r w:rsidRPr="00A96D6A">
        <w:rPr>
          <w:lang w:val="en-CA"/>
        </w:rPr>
        <w:t xml:space="preserve"> 2022</w:t>
      </w:r>
      <w:r w:rsidR="00B80B92">
        <w:rPr>
          <w:lang w:val="en-CA"/>
        </w:rPr>
        <w:t>, release 3</w:t>
      </w:r>
      <w:r w:rsidRPr="00A96D6A">
        <w:rPr>
          <w:lang w:val="en-CA"/>
        </w:rPr>
        <w:t xml:space="preserve">), </w:t>
      </w:r>
      <w:r w:rsidR="00ED5723" w:rsidRPr="00A96D6A">
        <w:rPr>
          <w:rFonts w:cs="Arial"/>
          <w:lang w:val="en-CA"/>
        </w:rPr>
        <w:t>§</w:t>
      </w:r>
      <w:r w:rsidRPr="00A96D6A">
        <w:rPr>
          <w:lang w:val="en-CA"/>
        </w:rPr>
        <w:t xml:space="preserve"> 12.39. </w:t>
      </w:r>
    </w:p>
  </w:footnote>
  <w:footnote w:id="37">
    <w:p w14:paraId="1A281F87" w14:textId="7060D604"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Delisle</w:t>
      </w:r>
      <w:r w:rsidR="006A3A36" w:rsidRPr="00A96D6A">
        <w:rPr>
          <w:i/>
          <w:iCs/>
          <w:lang w:val="en-CA"/>
        </w:rPr>
        <w:t xml:space="preserve"> </w:t>
      </w:r>
      <w:r w:rsidR="00525364">
        <w:rPr>
          <w:i/>
          <w:iCs/>
          <w:lang w:val="en-CA"/>
        </w:rPr>
        <w:t>c</w:t>
      </w:r>
      <w:r w:rsidR="006A3A36" w:rsidRPr="00A96D6A">
        <w:rPr>
          <w:i/>
          <w:iCs/>
          <w:lang w:val="en-CA"/>
        </w:rPr>
        <w:t xml:space="preserve">. </w:t>
      </w:r>
      <w:r w:rsidRPr="00A96D6A">
        <w:rPr>
          <w:i/>
          <w:lang w:val="en-CA"/>
        </w:rPr>
        <w:t>R.</w:t>
      </w:r>
      <w:r w:rsidRPr="00A96D6A">
        <w:rPr>
          <w:lang w:val="en-CA"/>
        </w:rPr>
        <w:t xml:space="preserve">, 2013 QCCA 952 </w:t>
      </w:r>
      <w:r w:rsidR="006A3A36" w:rsidRPr="00A96D6A">
        <w:rPr>
          <w:lang w:val="en-CA"/>
        </w:rPr>
        <w:t>at para</w:t>
      </w:r>
      <w:r w:rsidR="00AE511C">
        <w:rPr>
          <w:lang w:val="en-CA"/>
        </w:rPr>
        <w:t>s</w:t>
      </w:r>
      <w:r w:rsidR="006A3A36" w:rsidRPr="00A96D6A">
        <w:rPr>
          <w:lang w:val="en-CA"/>
        </w:rPr>
        <w:t>.</w:t>
      </w:r>
      <w:r w:rsidRPr="00A96D6A">
        <w:rPr>
          <w:lang w:val="en-CA"/>
        </w:rPr>
        <w:t xml:space="preserve"> 96</w:t>
      </w:r>
      <w:r w:rsidR="00E45F09">
        <w:rPr>
          <w:lang w:val="en-CA"/>
        </w:rPr>
        <w:t>–</w:t>
      </w:r>
      <w:r w:rsidRPr="00A96D6A">
        <w:rPr>
          <w:lang w:val="en-CA"/>
        </w:rPr>
        <w:t xml:space="preserve">101; </w:t>
      </w:r>
      <w:r w:rsidRPr="00A96D6A">
        <w:rPr>
          <w:i/>
          <w:lang w:val="en-CA"/>
        </w:rPr>
        <w:t>R. v. Khan</w:t>
      </w:r>
      <w:r w:rsidRPr="00A96D6A">
        <w:rPr>
          <w:lang w:val="en-CA"/>
        </w:rPr>
        <w:t>, (1998), 126 CCC (3d) 353 (</w:t>
      </w:r>
      <w:r w:rsidR="00E45F09">
        <w:rPr>
          <w:lang w:val="en-CA"/>
        </w:rPr>
        <w:t xml:space="preserve">Man. </w:t>
      </w:r>
      <w:r w:rsidRPr="00A96D6A">
        <w:rPr>
          <w:lang w:val="en-CA"/>
        </w:rPr>
        <w:t>C.A.)</w:t>
      </w:r>
      <w:r w:rsidR="00F67781">
        <w:rPr>
          <w:lang w:val="en-CA"/>
        </w:rPr>
        <w:t xml:space="preserve"> </w:t>
      </w:r>
      <w:r w:rsidR="006A3A36" w:rsidRPr="00A96D6A">
        <w:rPr>
          <w:lang w:val="en-CA"/>
        </w:rPr>
        <w:t>at para.</w:t>
      </w:r>
      <w:r w:rsidRPr="00A96D6A">
        <w:rPr>
          <w:lang w:val="en-CA"/>
        </w:rPr>
        <w:t xml:space="preserve"> 71.</w:t>
      </w:r>
    </w:p>
  </w:footnote>
  <w:footnote w:id="38">
    <w:p w14:paraId="104E44EE" w14:textId="6DE1BD55"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r w:rsidR="006A3A36" w:rsidRPr="00A96D6A">
        <w:rPr>
          <w:lang w:val="en-CA"/>
        </w:rPr>
        <w:t>at para.</w:t>
      </w:r>
      <w:r w:rsidRPr="00A96D6A">
        <w:rPr>
          <w:lang w:val="en-CA"/>
        </w:rPr>
        <w:t xml:space="preserve"> 112.</w:t>
      </w:r>
    </w:p>
  </w:footnote>
  <w:footnote w:id="39">
    <w:p w14:paraId="6C8DAEC7" w14:textId="08296A22"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Molodowic</w:t>
      </w:r>
      <w:r w:rsidRPr="00A96D6A">
        <w:rPr>
          <w:lang w:val="en-CA"/>
        </w:rPr>
        <w:t xml:space="preserve">, [2000] 1 </w:t>
      </w:r>
      <w:r w:rsidR="006A3A36" w:rsidRPr="00A96D6A">
        <w:rPr>
          <w:lang w:val="en-CA"/>
        </w:rPr>
        <w:t>S.C.R.</w:t>
      </w:r>
      <w:r w:rsidRPr="00A96D6A">
        <w:rPr>
          <w:lang w:val="en-CA"/>
        </w:rPr>
        <w:t xml:space="preserve"> 420 </w:t>
      </w:r>
      <w:r w:rsidR="006A3A36" w:rsidRPr="00A96D6A">
        <w:rPr>
          <w:lang w:val="en-CA"/>
        </w:rPr>
        <w:t>at para.</w:t>
      </w:r>
      <w:r w:rsidRPr="00A96D6A">
        <w:rPr>
          <w:lang w:val="en-CA"/>
        </w:rPr>
        <w:t xml:space="preserve"> 13.</w:t>
      </w:r>
    </w:p>
  </w:footnote>
  <w:footnote w:id="40">
    <w:p w14:paraId="74C7F09F" w14:textId="4C3333F8" w:rsidR="00525251" w:rsidRPr="00A96D6A" w:rsidRDefault="00525251" w:rsidP="00717BFB">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90293C" w:rsidRPr="0090293C">
        <w:rPr>
          <w:lang w:val="en-CA"/>
        </w:rPr>
        <w:t>The more neutral expression</w:t>
      </w:r>
      <w:r w:rsidR="00A93489">
        <w:rPr>
          <w:lang w:val="en-CA"/>
        </w:rPr>
        <w:t xml:space="preserve"> [</w:t>
      </w:r>
      <w:r w:rsidR="00A93489">
        <w:rPr>
          <w:smallCaps/>
          <w:lang w:val="en-CA"/>
        </w:rPr>
        <w:t>translation</w:t>
      </w:r>
      <w:r w:rsidR="0090293C" w:rsidRPr="00B92A5F">
        <w:rPr>
          <w:rFonts w:cs="Arial"/>
          <w:lang w:val="en-CA"/>
        </w:rPr>
        <w:t>]</w:t>
      </w:r>
      <w:r w:rsidR="0090293C">
        <w:rPr>
          <w:rFonts w:cs="Arial"/>
          <w:lang w:val="en-CA"/>
        </w:rPr>
        <w:t xml:space="preserve"> </w:t>
      </w:r>
      <w:r w:rsidR="0090293C" w:rsidRPr="0090293C">
        <w:rPr>
          <w:lang w:val="en-CA"/>
        </w:rPr>
        <w:t>“</w:t>
      </w:r>
      <w:r w:rsidR="004C145F">
        <w:rPr>
          <w:lang w:val="en-CA"/>
        </w:rPr>
        <w:t xml:space="preserve">after-the-fact </w:t>
      </w:r>
      <w:r w:rsidR="0090293C">
        <w:rPr>
          <w:lang w:val="en-CA"/>
        </w:rPr>
        <w:t>conduct</w:t>
      </w:r>
      <w:r w:rsidR="0090293C" w:rsidRPr="0090293C">
        <w:rPr>
          <w:lang w:val="en-CA"/>
        </w:rPr>
        <w:t xml:space="preserve">” is gradually replacing </w:t>
      </w:r>
      <w:r w:rsidR="0090293C" w:rsidRPr="00B92A5F">
        <w:rPr>
          <w:rFonts w:cs="Arial"/>
          <w:lang w:val="en-CA"/>
        </w:rPr>
        <w:t>[</w:t>
      </w:r>
      <w:r w:rsidR="00A93489">
        <w:rPr>
          <w:rFonts w:cs="Arial"/>
          <w:smallCaps/>
          <w:lang w:val="en-CA"/>
        </w:rPr>
        <w:t>translation</w:t>
      </w:r>
      <w:r w:rsidR="0090293C" w:rsidRPr="00B92A5F">
        <w:rPr>
          <w:rFonts w:cs="Arial"/>
          <w:lang w:val="en-CA"/>
        </w:rPr>
        <w:t>]</w:t>
      </w:r>
      <w:r w:rsidR="0090293C">
        <w:rPr>
          <w:rFonts w:cs="Arial"/>
          <w:lang w:val="en-CA"/>
        </w:rPr>
        <w:t xml:space="preserve"> </w:t>
      </w:r>
      <w:r w:rsidR="0090293C" w:rsidRPr="0090293C">
        <w:rPr>
          <w:lang w:val="en-CA"/>
        </w:rPr>
        <w:t>“</w:t>
      </w:r>
      <w:r w:rsidR="0090293C">
        <w:rPr>
          <w:lang w:val="en-CA"/>
        </w:rPr>
        <w:t>post-offence conduct</w:t>
      </w:r>
      <w:r w:rsidR="0090293C" w:rsidRPr="0090293C">
        <w:rPr>
          <w:lang w:val="en-CA"/>
        </w:rPr>
        <w:t>”</w:t>
      </w:r>
      <w:r w:rsidR="0090293C">
        <w:rPr>
          <w:lang w:val="en-CA"/>
        </w:rPr>
        <w:t>, the expression</w:t>
      </w:r>
      <w:r w:rsidR="0090293C" w:rsidRPr="0090293C">
        <w:rPr>
          <w:lang w:val="en-CA"/>
        </w:rPr>
        <w:t xml:space="preserve"> generally used previously. This is a particularly desirable development </w:t>
      </w:r>
      <w:r w:rsidR="00A93489">
        <w:rPr>
          <w:lang w:val="en-CA"/>
        </w:rPr>
        <w:t xml:space="preserve">for jury </w:t>
      </w:r>
      <w:r w:rsidR="0090293C" w:rsidRPr="0090293C">
        <w:rPr>
          <w:lang w:val="en-CA"/>
        </w:rPr>
        <w:t>instructions.</w:t>
      </w:r>
    </w:p>
  </w:footnote>
  <w:footnote w:id="41">
    <w:p w14:paraId="554A8B9A" w14:textId="187F2F4A" w:rsidR="00525251" w:rsidRPr="00A96D6A" w:rsidRDefault="00525251" w:rsidP="00A75E89">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Arcangioli</w:t>
      </w:r>
      <w:r w:rsidRPr="00A96D6A">
        <w:rPr>
          <w:lang w:val="en-CA"/>
        </w:rPr>
        <w:t xml:space="preserve">, [1994] 1 </w:t>
      </w:r>
      <w:r w:rsidR="006A3A36" w:rsidRPr="00A96D6A">
        <w:rPr>
          <w:lang w:val="en-CA"/>
        </w:rPr>
        <w:t>S.C.R.</w:t>
      </w:r>
      <w:r w:rsidRPr="00A96D6A">
        <w:rPr>
          <w:lang w:val="en-CA"/>
        </w:rPr>
        <w:t xml:space="preserve"> 129 </w:t>
      </w:r>
      <w:r w:rsidR="00C806C6">
        <w:rPr>
          <w:lang w:val="en-CA"/>
        </w:rPr>
        <w:t>at</w:t>
      </w:r>
      <w:r w:rsidRPr="00A96D6A">
        <w:rPr>
          <w:lang w:val="en-CA"/>
        </w:rPr>
        <w:t xml:space="preserve"> 143; </w:t>
      </w:r>
      <w:r w:rsidRPr="00A96D6A">
        <w:rPr>
          <w:i/>
          <w:lang w:val="en-CA"/>
        </w:rPr>
        <w:t>R.</w:t>
      </w:r>
      <w:r w:rsidR="006A3A36" w:rsidRPr="00A96D6A">
        <w:rPr>
          <w:i/>
          <w:iCs/>
          <w:lang w:val="en-CA"/>
        </w:rPr>
        <w:t xml:space="preserve"> v. </w:t>
      </w:r>
      <w:r w:rsidRPr="00A96D6A">
        <w:rPr>
          <w:i/>
          <w:lang w:val="en-CA"/>
        </w:rPr>
        <w:t>White</w:t>
      </w:r>
      <w:r w:rsidRPr="00A96D6A">
        <w:rPr>
          <w:lang w:val="en-CA"/>
        </w:rPr>
        <w:t xml:space="preserve">, [1998] 2 </w:t>
      </w:r>
      <w:r w:rsidR="006A3A36" w:rsidRPr="00A96D6A">
        <w:rPr>
          <w:lang w:val="en-CA"/>
        </w:rPr>
        <w:t>S.C.R.</w:t>
      </w:r>
      <w:r w:rsidRPr="00A96D6A">
        <w:rPr>
          <w:lang w:val="en-CA"/>
        </w:rPr>
        <w:t xml:space="preserve"> 72 </w:t>
      </w:r>
      <w:r w:rsidR="006A3A36" w:rsidRPr="00A96D6A">
        <w:rPr>
          <w:lang w:val="en-CA"/>
        </w:rPr>
        <w:t>at para</w:t>
      </w:r>
      <w:r w:rsidR="00C806C6">
        <w:rPr>
          <w:lang w:val="en-CA"/>
        </w:rPr>
        <w:t>s</w:t>
      </w:r>
      <w:r w:rsidR="006A3A36" w:rsidRPr="00A96D6A">
        <w:rPr>
          <w:lang w:val="en-CA"/>
        </w:rPr>
        <w:t>.</w:t>
      </w:r>
      <w:r w:rsidRPr="00A96D6A">
        <w:rPr>
          <w:lang w:val="en-CA"/>
        </w:rPr>
        <w:t xml:space="preserve"> 22 </w:t>
      </w:r>
      <w:r w:rsidR="00C806C6">
        <w:rPr>
          <w:lang w:val="en-CA"/>
        </w:rPr>
        <w:t>and</w:t>
      </w:r>
      <w:r w:rsidRPr="00A96D6A">
        <w:rPr>
          <w:lang w:val="en-CA"/>
        </w:rPr>
        <w:t xml:space="preserve"> 57; </w:t>
      </w:r>
      <w:r w:rsidRPr="00A96D6A">
        <w:rPr>
          <w:i/>
          <w:lang w:val="en-CA"/>
        </w:rPr>
        <w:t>R.</w:t>
      </w:r>
      <w:r w:rsidR="006A3A36" w:rsidRPr="00A96D6A">
        <w:rPr>
          <w:i/>
          <w:iCs/>
          <w:lang w:val="en-CA"/>
        </w:rPr>
        <w:t xml:space="preserve"> v. </w:t>
      </w:r>
      <w:r w:rsidRPr="00A96D6A">
        <w:rPr>
          <w:i/>
          <w:lang w:val="en-CA"/>
        </w:rPr>
        <w:t>White</w:t>
      </w:r>
      <w:r w:rsidRPr="00A96D6A">
        <w:rPr>
          <w:lang w:val="en-CA"/>
        </w:rPr>
        <w:t xml:space="preserve">, 2011 </w:t>
      </w:r>
      <w:r w:rsidR="006A3A36" w:rsidRPr="00A96D6A">
        <w:rPr>
          <w:lang w:val="en-CA"/>
        </w:rPr>
        <w:t>SCC</w:t>
      </w:r>
      <w:r w:rsidRPr="00A96D6A">
        <w:rPr>
          <w:lang w:val="en-CA"/>
        </w:rPr>
        <w:t xml:space="preserve"> 13, [2011] 1 </w:t>
      </w:r>
      <w:r w:rsidR="006A3A36" w:rsidRPr="00A96D6A">
        <w:rPr>
          <w:lang w:val="en-CA"/>
        </w:rPr>
        <w:t>S.C.R.</w:t>
      </w:r>
      <w:r w:rsidRPr="00A96D6A">
        <w:rPr>
          <w:lang w:val="en-CA"/>
        </w:rPr>
        <w:t xml:space="preserve"> 433 </w:t>
      </w:r>
      <w:r w:rsidR="006A3A36" w:rsidRPr="00A96D6A">
        <w:rPr>
          <w:lang w:val="en-CA"/>
        </w:rPr>
        <w:t>at para</w:t>
      </w:r>
      <w:r w:rsidR="00C806C6">
        <w:rPr>
          <w:lang w:val="en-CA"/>
        </w:rPr>
        <w:t>s</w:t>
      </w:r>
      <w:r w:rsidR="006A3A36" w:rsidRPr="00A96D6A">
        <w:rPr>
          <w:lang w:val="en-CA"/>
        </w:rPr>
        <w:t>.</w:t>
      </w:r>
      <w:r w:rsidRPr="00A96D6A">
        <w:rPr>
          <w:lang w:val="en-CA"/>
        </w:rPr>
        <w:t xml:space="preserve"> 23</w:t>
      </w:r>
      <w:r w:rsidR="005955D5">
        <w:rPr>
          <w:lang w:val="en-CA"/>
        </w:rPr>
        <w:t>–</w:t>
      </w:r>
      <w:r w:rsidRPr="00A96D6A">
        <w:rPr>
          <w:lang w:val="en-CA"/>
        </w:rPr>
        <w:t xml:space="preserve">25; </w:t>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r w:rsidR="006A3A36" w:rsidRPr="00A96D6A">
        <w:rPr>
          <w:lang w:val="en-CA"/>
        </w:rPr>
        <w:t>at para</w:t>
      </w:r>
      <w:r w:rsidR="00C806C6">
        <w:rPr>
          <w:lang w:val="en-CA"/>
        </w:rPr>
        <w:t>s</w:t>
      </w:r>
      <w:r w:rsidR="006A3A36" w:rsidRPr="00A96D6A">
        <w:rPr>
          <w:lang w:val="en-CA"/>
        </w:rPr>
        <w:t>.</w:t>
      </w:r>
      <w:r w:rsidRPr="00A96D6A">
        <w:rPr>
          <w:lang w:val="en-CA"/>
        </w:rPr>
        <w:t xml:space="preserve"> 25 </w:t>
      </w:r>
      <w:r w:rsidR="00C806C6">
        <w:rPr>
          <w:lang w:val="en-CA"/>
        </w:rPr>
        <w:t>and</w:t>
      </w:r>
      <w:r w:rsidRPr="00A96D6A">
        <w:rPr>
          <w:lang w:val="en-CA"/>
        </w:rPr>
        <w:t xml:space="preserve"> 117. </w:t>
      </w:r>
      <w:r w:rsidR="00C806C6">
        <w:rPr>
          <w:lang w:val="en-CA"/>
        </w:rPr>
        <w:t>See</w:t>
      </w:r>
      <w:r w:rsidRPr="00A96D6A">
        <w:rPr>
          <w:lang w:val="en-CA"/>
        </w:rPr>
        <w:t xml:space="preserve"> para</w:t>
      </w:r>
      <w:r w:rsidR="006419EA">
        <w:rPr>
          <w:lang w:val="en-CA"/>
        </w:rPr>
        <w:t>s.</w:t>
      </w:r>
      <w:r w:rsidRPr="00A96D6A">
        <w:rPr>
          <w:lang w:val="en-CA"/>
        </w:rPr>
        <w:t xml:space="preserve"> 4 </w:t>
      </w:r>
      <w:r w:rsidR="00C806C6">
        <w:rPr>
          <w:lang w:val="en-CA"/>
        </w:rPr>
        <w:t>to</w:t>
      </w:r>
      <w:r w:rsidRPr="00A96D6A">
        <w:rPr>
          <w:lang w:val="en-CA"/>
        </w:rPr>
        <w:t xml:space="preserve"> 6 </w:t>
      </w:r>
      <w:r w:rsidR="00C806C6">
        <w:rPr>
          <w:lang w:val="en-CA"/>
        </w:rPr>
        <w:t xml:space="preserve">of </w:t>
      </w:r>
      <w:r w:rsidR="00DD55CD">
        <w:rPr>
          <w:lang w:val="en-CA"/>
        </w:rPr>
        <w:t>M</w:t>
      </w:r>
      <w:r w:rsidR="00491D9D">
        <w:rPr>
          <w:lang w:val="en-CA"/>
        </w:rPr>
        <w:t>odel</w:t>
      </w:r>
      <w:r w:rsidR="00C806C6">
        <w:rPr>
          <w:lang w:val="en-CA"/>
        </w:rPr>
        <w:t xml:space="preserve"> </w:t>
      </w:r>
      <w:r w:rsidR="00DD55CD">
        <w:rPr>
          <w:lang w:val="en-CA"/>
        </w:rPr>
        <w:t>I</w:t>
      </w:r>
      <w:r w:rsidR="00C806C6">
        <w:rPr>
          <w:lang w:val="en-CA"/>
        </w:rPr>
        <w:t xml:space="preserve">nstruction </w:t>
      </w:r>
      <w:r w:rsidRPr="00A96D6A">
        <w:rPr>
          <w:lang w:val="en-CA"/>
        </w:rPr>
        <w:t xml:space="preserve">11.4 </w:t>
      </w:r>
      <w:r w:rsidR="00C806C6">
        <w:rPr>
          <w:lang w:val="en-CA"/>
        </w:rPr>
        <w:t>of the</w:t>
      </w:r>
      <w:r w:rsidRPr="00A96D6A">
        <w:rPr>
          <w:lang w:val="en-CA"/>
        </w:rPr>
        <w:t xml:space="preserve"> </w:t>
      </w:r>
      <w:r w:rsidR="00491D9D">
        <w:rPr>
          <w:lang w:val="en-CA"/>
        </w:rPr>
        <w:t xml:space="preserve">Canadian Judicial Council’s </w:t>
      </w:r>
      <w:r w:rsidR="00491D9D" w:rsidRPr="00491D9D">
        <w:rPr>
          <w:lang w:val="en-CA"/>
        </w:rPr>
        <w:t xml:space="preserve">National Committee </w:t>
      </w:r>
      <w:r w:rsidR="00491D9D">
        <w:rPr>
          <w:lang w:val="en-CA"/>
        </w:rPr>
        <w:t xml:space="preserve">on </w:t>
      </w:r>
      <w:r w:rsidR="00491D9D" w:rsidRPr="00491D9D">
        <w:rPr>
          <w:lang w:val="en-CA"/>
        </w:rPr>
        <w:t>Jury Instructions</w:t>
      </w:r>
      <w:r w:rsidRPr="00A96D6A">
        <w:rPr>
          <w:lang w:val="en-CA"/>
        </w:rPr>
        <w:t xml:space="preserve"> </w:t>
      </w:r>
      <w:r w:rsidR="00C806C6">
        <w:rPr>
          <w:lang w:val="en-CA"/>
        </w:rPr>
        <w:t>on after-the-fact conduct, to the same effect</w:t>
      </w:r>
      <w:r w:rsidRPr="00A96D6A">
        <w:rPr>
          <w:lang w:val="en-CA"/>
        </w:rPr>
        <w:t>.</w:t>
      </w:r>
    </w:p>
  </w:footnote>
  <w:footnote w:id="42">
    <w:p w14:paraId="27DA7614" w14:textId="6245EB98" w:rsidR="00525251" w:rsidRPr="00A96D6A" w:rsidRDefault="00525251">
      <w:pPr>
        <w:pStyle w:val="Notedebasdepage"/>
        <w:rPr>
          <w:i/>
          <w:lang w:val="en-CA"/>
        </w:rPr>
      </w:pPr>
      <w:r w:rsidRPr="00A96D6A">
        <w:rPr>
          <w:rStyle w:val="Appelnotedebasdep"/>
          <w:lang w:val="en-CA"/>
        </w:rPr>
        <w:footnoteRef/>
      </w:r>
      <w:r w:rsidRPr="00C14943">
        <w:rPr>
          <w:lang w:val="es-CL"/>
        </w:rPr>
        <w:t xml:space="preserve"> </w:t>
      </w:r>
      <w:r w:rsidRPr="00C14943">
        <w:rPr>
          <w:lang w:val="es-CL"/>
        </w:rPr>
        <w:tab/>
      </w:r>
      <w:r w:rsidR="00355010" w:rsidRPr="00C14943">
        <w:rPr>
          <w:i/>
          <w:lang w:val="es-CL"/>
        </w:rPr>
        <w:t>Sorella</w:t>
      </w:r>
      <w:r w:rsidR="006A3A36" w:rsidRPr="00C14943">
        <w:rPr>
          <w:i/>
          <w:iCs/>
          <w:lang w:val="es-CL"/>
        </w:rPr>
        <w:t xml:space="preserve"> </w:t>
      </w:r>
      <w:r w:rsidR="006419EA">
        <w:rPr>
          <w:i/>
          <w:iCs/>
          <w:lang w:val="es-CL"/>
        </w:rPr>
        <w:t>c</w:t>
      </w:r>
      <w:r w:rsidR="006A3A36" w:rsidRPr="00C14943">
        <w:rPr>
          <w:i/>
          <w:iCs/>
          <w:lang w:val="es-CL"/>
        </w:rPr>
        <w:t xml:space="preserve">. </w:t>
      </w:r>
      <w:r w:rsidR="00355010" w:rsidRPr="00C14943">
        <w:rPr>
          <w:i/>
          <w:lang w:val="es-CL"/>
        </w:rPr>
        <w:t xml:space="preserve">R., </w:t>
      </w:r>
      <w:r w:rsidR="00355010" w:rsidRPr="00C14943">
        <w:rPr>
          <w:iCs/>
          <w:lang w:val="es-CL"/>
        </w:rPr>
        <w:t xml:space="preserve">2017 QCCA 1908 </w:t>
      </w:r>
      <w:r w:rsidR="006A3A36" w:rsidRPr="00C14943">
        <w:rPr>
          <w:iCs/>
          <w:lang w:val="es-CL"/>
        </w:rPr>
        <w:t>at para.</w:t>
      </w:r>
      <w:r w:rsidR="00355010" w:rsidRPr="00C14943">
        <w:rPr>
          <w:iCs/>
          <w:lang w:val="es-CL"/>
        </w:rPr>
        <w:t xml:space="preserve"> </w:t>
      </w:r>
      <w:r w:rsidR="00355010" w:rsidRPr="00A96D6A">
        <w:rPr>
          <w:iCs/>
          <w:lang w:val="en-CA"/>
        </w:rPr>
        <w:t>81</w:t>
      </w:r>
      <w:r w:rsidRPr="00A96D6A">
        <w:rPr>
          <w:lang w:val="en-CA"/>
        </w:rPr>
        <w:t xml:space="preserve">. </w:t>
      </w:r>
    </w:p>
  </w:footnote>
  <w:footnote w:id="43">
    <w:p w14:paraId="02F09CA9" w14:textId="0ACE2929" w:rsidR="00525251" w:rsidRPr="0066627F"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2C0305">
        <w:rPr>
          <w:lang w:val="en-CA"/>
        </w:rPr>
        <w:t>The decision trees were not filed in the record</w:t>
      </w:r>
      <w:r w:rsidR="006419EA">
        <w:rPr>
          <w:lang w:val="en-CA"/>
        </w:rPr>
        <w:t>,</w:t>
      </w:r>
      <w:r w:rsidRPr="00A96D6A">
        <w:rPr>
          <w:lang w:val="en-CA"/>
        </w:rPr>
        <w:t xml:space="preserve"> </w:t>
      </w:r>
      <w:r w:rsidRPr="00A96D6A">
        <w:rPr>
          <w:i/>
          <w:lang w:val="en-CA"/>
        </w:rPr>
        <w:t>R. v. McNeil</w:t>
      </w:r>
      <w:r w:rsidRPr="00A96D6A">
        <w:rPr>
          <w:lang w:val="en-CA"/>
        </w:rPr>
        <w:t xml:space="preserve"> (2006), 213 C.C.C. (3d) 365 </w:t>
      </w:r>
      <w:r w:rsidR="006A3A36" w:rsidRPr="00A96D6A">
        <w:rPr>
          <w:lang w:val="en-CA"/>
        </w:rPr>
        <w:t>at para.</w:t>
      </w:r>
      <w:r w:rsidRPr="00A96D6A">
        <w:rPr>
          <w:lang w:val="en-CA"/>
        </w:rPr>
        <w:t xml:space="preserve"> </w:t>
      </w:r>
      <w:r w:rsidRPr="00C14943">
        <w:t>27 (</w:t>
      </w:r>
      <w:r w:rsidR="006419EA">
        <w:t xml:space="preserve">Ont. </w:t>
      </w:r>
      <w:r w:rsidRPr="00C14943">
        <w:t xml:space="preserve">C.A.); </w:t>
      </w:r>
      <w:r w:rsidRPr="00C14943">
        <w:rPr>
          <w:i/>
        </w:rPr>
        <w:t>R. v. Almarales</w:t>
      </w:r>
      <w:r w:rsidRPr="00C14943">
        <w:t xml:space="preserve">, 2008 ONCA 692 </w:t>
      </w:r>
      <w:r w:rsidR="006A3A36" w:rsidRPr="00C14943">
        <w:t>at para.</w:t>
      </w:r>
      <w:r w:rsidRPr="00C14943">
        <w:t xml:space="preserve"> 97; Martin Vauclair </w:t>
      </w:r>
      <w:r w:rsidR="002D42AC" w:rsidRPr="00C14943">
        <w:t>&amp;</w:t>
      </w:r>
      <w:r w:rsidR="006419EA">
        <w:t xml:space="preserve"> </w:t>
      </w:r>
      <w:r w:rsidRPr="00C14943">
        <w:t xml:space="preserve">Tristan Desjardins, </w:t>
      </w:r>
      <w:r w:rsidRPr="00C14943">
        <w:rPr>
          <w:i/>
        </w:rPr>
        <w:t>Traité général de preuve et de procédure pénales</w:t>
      </w:r>
      <w:r w:rsidRPr="00C14943">
        <w:t>, 29</w:t>
      </w:r>
      <w:r w:rsidR="002C0305" w:rsidRPr="00B92A5F">
        <w:t>th</w:t>
      </w:r>
      <w:r w:rsidRPr="00C14943">
        <w:t xml:space="preserve"> </w:t>
      </w:r>
      <w:r w:rsidR="002C0305" w:rsidRPr="00C14943">
        <w:t>e</w:t>
      </w:r>
      <w:r w:rsidRPr="00C14943">
        <w:t>d.</w:t>
      </w:r>
      <w:r w:rsidR="00F80712">
        <w:t xml:space="preserve"> </w:t>
      </w:r>
      <w:r w:rsidR="002D42AC" w:rsidRPr="00023079">
        <w:rPr>
          <w:lang w:val="en-CA"/>
        </w:rPr>
        <w:t xml:space="preserve">(Yvon Blais, 2022) </w:t>
      </w:r>
      <w:r w:rsidR="006A3A36" w:rsidRPr="00023079">
        <w:rPr>
          <w:lang w:val="en-CA"/>
        </w:rPr>
        <w:t>at para.</w:t>
      </w:r>
      <w:r w:rsidRPr="00023079">
        <w:rPr>
          <w:lang w:val="en-CA"/>
        </w:rPr>
        <w:t xml:space="preserve"> </w:t>
      </w:r>
      <w:r w:rsidRPr="00A96D6A">
        <w:rPr>
          <w:lang w:val="en-CA"/>
        </w:rPr>
        <w:t xml:space="preserve">33.8; E.G. Ewaschuk, </w:t>
      </w:r>
      <w:r w:rsidRPr="00A96D6A">
        <w:rPr>
          <w:i/>
          <w:lang w:val="en-CA"/>
        </w:rPr>
        <w:t>Criminal Pleadings &amp; Practice in Canada</w:t>
      </w:r>
      <w:r w:rsidRPr="00A96D6A">
        <w:rPr>
          <w:lang w:val="en-CA"/>
        </w:rPr>
        <w:t>, 2</w:t>
      </w:r>
      <w:r w:rsidR="002C0305" w:rsidRPr="00B92A5F">
        <w:rPr>
          <w:lang w:val="en-CA"/>
        </w:rPr>
        <w:t>nd</w:t>
      </w:r>
      <w:r w:rsidRPr="00A96D6A">
        <w:rPr>
          <w:lang w:val="en-CA"/>
        </w:rPr>
        <w:t xml:space="preserve"> </w:t>
      </w:r>
      <w:r w:rsidR="002C0305">
        <w:rPr>
          <w:lang w:val="en-CA"/>
        </w:rPr>
        <w:t>e</w:t>
      </w:r>
      <w:r w:rsidRPr="00A96D6A">
        <w:rPr>
          <w:lang w:val="en-CA"/>
        </w:rPr>
        <w:t>d., vol. 2</w:t>
      </w:r>
      <w:r w:rsidR="002D42AC">
        <w:rPr>
          <w:lang w:val="en-CA"/>
        </w:rPr>
        <w:t xml:space="preserve"> (</w:t>
      </w:r>
      <w:r w:rsidRPr="00A96D6A">
        <w:rPr>
          <w:lang w:val="en-CA"/>
        </w:rPr>
        <w:t>Thomson Reuters, 1987</w:t>
      </w:r>
      <w:r w:rsidR="002D42AC">
        <w:rPr>
          <w:lang w:val="en-CA"/>
        </w:rPr>
        <w:t>)</w:t>
      </w:r>
      <w:r w:rsidRPr="00A96D6A">
        <w:rPr>
          <w:lang w:val="en-CA"/>
        </w:rPr>
        <w:t xml:space="preserve"> (</w:t>
      </w:r>
      <w:r w:rsidR="002C0305">
        <w:rPr>
          <w:lang w:val="en-CA"/>
        </w:rPr>
        <w:t>loose-leaf</w:t>
      </w:r>
      <w:r w:rsidRPr="00A96D6A">
        <w:rPr>
          <w:lang w:val="en-CA"/>
        </w:rPr>
        <w:t xml:space="preserve">, </w:t>
      </w:r>
      <w:r w:rsidR="002C0305">
        <w:rPr>
          <w:lang w:val="en-CA"/>
        </w:rPr>
        <w:t>update</w:t>
      </w:r>
      <w:r w:rsidR="00CD2A7A">
        <w:rPr>
          <w:lang w:val="en-CA"/>
        </w:rPr>
        <w:t>d</w:t>
      </w:r>
      <w:r w:rsidRPr="00A96D6A">
        <w:rPr>
          <w:lang w:val="en-CA"/>
        </w:rPr>
        <w:t xml:space="preserve"> </w:t>
      </w:r>
      <w:r w:rsidR="002C0305">
        <w:rPr>
          <w:lang w:val="en-CA"/>
        </w:rPr>
        <w:t>July</w:t>
      </w:r>
      <w:r w:rsidRPr="00A96D6A">
        <w:rPr>
          <w:lang w:val="en-CA"/>
        </w:rPr>
        <w:t xml:space="preserve"> 2022</w:t>
      </w:r>
      <w:r w:rsidR="00CD2A7A">
        <w:rPr>
          <w:lang w:val="en-CA"/>
        </w:rPr>
        <w:t>, release</w:t>
      </w:r>
      <w:r w:rsidR="00CD2A7A" w:rsidRPr="00A96D6A">
        <w:rPr>
          <w:lang w:val="en-CA"/>
        </w:rPr>
        <w:t xml:space="preserve"> 5</w:t>
      </w:r>
      <w:r w:rsidRPr="00A96D6A">
        <w:rPr>
          <w:lang w:val="en-CA"/>
        </w:rPr>
        <w:t xml:space="preserve">), </w:t>
      </w:r>
      <w:r w:rsidR="00A076B4" w:rsidRPr="00A96D6A">
        <w:rPr>
          <w:rFonts w:cs="Arial"/>
          <w:lang w:val="en-CA"/>
        </w:rPr>
        <w:t>§</w:t>
      </w:r>
      <w:r w:rsidR="00A076B4" w:rsidRPr="00A96D6A">
        <w:rPr>
          <w:lang w:val="en-CA"/>
        </w:rPr>
        <w:t xml:space="preserve"> </w:t>
      </w:r>
      <w:r w:rsidRPr="00A96D6A">
        <w:rPr>
          <w:lang w:val="en-CA"/>
        </w:rPr>
        <w:t>17:111.</w:t>
      </w:r>
    </w:p>
  </w:footnote>
  <w:footnote w:id="44">
    <w:p w14:paraId="63B6A621" w14:textId="0BF1F4ED"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930029" w:rsidRPr="00930029">
        <w:rPr>
          <w:lang w:val="en-CA"/>
        </w:rPr>
        <w:t xml:space="preserve">In this </w:t>
      </w:r>
      <w:r w:rsidR="00ED6CBF">
        <w:rPr>
          <w:lang w:val="en-CA"/>
        </w:rPr>
        <w:t>excerpt</w:t>
      </w:r>
      <w:r w:rsidR="00930029" w:rsidRPr="00930029">
        <w:rPr>
          <w:lang w:val="en-CA"/>
        </w:rPr>
        <w:t>, the judge mistakenly refers to the offen</w:t>
      </w:r>
      <w:r w:rsidR="00930029">
        <w:rPr>
          <w:lang w:val="en-CA"/>
        </w:rPr>
        <w:t>c</w:t>
      </w:r>
      <w:r w:rsidR="00930029" w:rsidRPr="00930029">
        <w:rPr>
          <w:lang w:val="en-CA"/>
        </w:rPr>
        <w:t>e of first degree murder</w:t>
      </w:r>
      <w:r w:rsidR="008468E1" w:rsidRPr="008468E1">
        <w:rPr>
          <w:lang w:val="en-CA"/>
        </w:rPr>
        <w:t xml:space="preserve"> </w:t>
      </w:r>
      <w:r w:rsidR="008468E1" w:rsidRPr="00930029">
        <w:rPr>
          <w:lang w:val="en-CA"/>
        </w:rPr>
        <w:t>five times</w:t>
      </w:r>
      <w:r w:rsidR="00930029" w:rsidRPr="00930029">
        <w:rPr>
          <w:lang w:val="en-CA"/>
        </w:rPr>
        <w:t xml:space="preserve">; it is obvious that she is addressing the </w:t>
      </w:r>
      <w:r w:rsidR="00D31836">
        <w:rPr>
          <w:lang w:val="en-CA"/>
        </w:rPr>
        <w:t xml:space="preserve">requisite </w:t>
      </w:r>
      <w:r w:rsidR="00930029" w:rsidRPr="00930029">
        <w:rPr>
          <w:lang w:val="en-CA"/>
        </w:rPr>
        <w:t>intent for the offen</w:t>
      </w:r>
      <w:r w:rsidR="00930029">
        <w:rPr>
          <w:lang w:val="en-CA"/>
        </w:rPr>
        <w:t>c</w:t>
      </w:r>
      <w:r w:rsidR="00930029" w:rsidRPr="00930029">
        <w:rPr>
          <w:lang w:val="en-CA"/>
        </w:rPr>
        <w:t xml:space="preserve">e of second degree murder. She formulates the guidelines on first degree murder a little later in her </w:t>
      </w:r>
      <w:r w:rsidR="00D6192A">
        <w:rPr>
          <w:lang w:val="en-CA"/>
        </w:rPr>
        <w:t>charge</w:t>
      </w:r>
      <w:r w:rsidR="00930029" w:rsidRPr="00930029">
        <w:rPr>
          <w:lang w:val="en-CA"/>
        </w:rPr>
        <w:t>.</w:t>
      </w:r>
    </w:p>
  </w:footnote>
  <w:footnote w:id="45">
    <w:p w14:paraId="71103CAB" w14:textId="5C4DE2EA" w:rsidR="00525251" w:rsidRPr="00A96D6A" w:rsidRDefault="00525251" w:rsidP="00734DE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345E3D" w:rsidRPr="00345E3D">
        <w:rPr>
          <w:lang w:val="en-CA"/>
        </w:rPr>
        <w:t>There is only one</w:t>
      </w:r>
      <w:r w:rsidR="00345E3D">
        <w:rPr>
          <w:lang w:val="en-CA"/>
        </w:rPr>
        <w:t xml:space="preserve"> balance of probabilities</w:t>
      </w:r>
      <w:r w:rsidR="00345E3D" w:rsidRPr="00345E3D">
        <w:rPr>
          <w:lang w:val="en-CA"/>
        </w:rPr>
        <w:t xml:space="preserve"> standard in Canadian law</w:t>
      </w:r>
      <w:r w:rsidR="00A66817">
        <w:rPr>
          <w:lang w:val="en-CA"/>
        </w:rPr>
        <w:t>,</w:t>
      </w:r>
      <w:r w:rsidR="00345E3D" w:rsidRPr="00345E3D">
        <w:rPr>
          <w:lang w:val="en-CA"/>
        </w:rPr>
        <w:t xml:space="preserve"> which does not involve any degree of probability</w:t>
      </w:r>
      <w:r w:rsidRPr="00A96D6A">
        <w:rPr>
          <w:lang w:val="en-CA"/>
        </w:rPr>
        <w:t xml:space="preserve">: </w:t>
      </w:r>
      <w:r w:rsidRPr="00A96D6A">
        <w:rPr>
          <w:i/>
          <w:iCs/>
          <w:lang w:val="en-CA"/>
        </w:rPr>
        <w:t>F.H.</w:t>
      </w:r>
      <w:r w:rsidR="006A3A36" w:rsidRPr="00A96D6A">
        <w:rPr>
          <w:i/>
          <w:iCs/>
          <w:lang w:val="en-CA"/>
        </w:rPr>
        <w:t xml:space="preserve"> v. </w:t>
      </w:r>
      <w:r w:rsidRPr="00A96D6A">
        <w:rPr>
          <w:i/>
          <w:iCs/>
          <w:lang w:val="en-CA"/>
        </w:rPr>
        <w:t>McDougall</w:t>
      </w:r>
      <w:r w:rsidRPr="00A96D6A">
        <w:rPr>
          <w:lang w:val="en-CA"/>
        </w:rPr>
        <w:t xml:space="preserve">, [2008] 3 </w:t>
      </w:r>
      <w:r w:rsidR="006A3A36" w:rsidRPr="00A96D6A">
        <w:rPr>
          <w:lang w:val="en-CA"/>
        </w:rPr>
        <w:t>S.C.R.</w:t>
      </w:r>
      <w:r w:rsidRPr="00A96D6A">
        <w:rPr>
          <w:lang w:val="en-CA"/>
        </w:rPr>
        <w:t xml:space="preserve"> 41, 2008 </w:t>
      </w:r>
      <w:r w:rsidR="006A3A36" w:rsidRPr="00A96D6A">
        <w:rPr>
          <w:lang w:val="en-CA"/>
        </w:rPr>
        <w:t>SCC</w:t>
      </w:r>
      <w:r w:rsidRPr="00A96D6A">
        <w:rPr>
          <w:lang w:val="en-CA"/>
        </w:rPr>
        <w:t xml:space="preserve"> 53; E.G. Ewaschuk, </w:t>
      </w:r>
      <w:r w:rsidRPr="00A96D6A">
        <w:rPr>
          <w:i/>
          <w:lang w:val="en-CA"/>
        </w:rPr>
        <w:t>Criminal Pleadings &amp; Practice in Canada</w:t>
      </w:r>
      <w:r w:rsidRPr="00A96D6A">
        <w:rPr>
          <w:lang w:val="en-CA"/>
        </w:rPr>
        <w:t>, 2</w:t>
      </w:r>
      <w:r w:rsidR="00345E3D" w:rsidRPr="00B92A5F">
        <w:rPr>
          <w:lang w:val="en-CA"/>
        </w:rPr>
        <w:t>nd</w:t>
      </w:r>
      <w:r w:rsidRPr="00A96D6A">
        <w:rPr>
          <w:lang w:val="en-CA"/>
        </w:rPr>
        <w:t xml:space="preserve"> </w:t>
      </w:r>
      <w:r w:rsidR="00345E3D">
        <w:rPr>
          <w:lang w:val="en-CA"/>
        </w:rPr>
        <w:t>e</w:t>
      </w:r>
      <w:r w:rsidRPr="00A96D6A">
        <w:rPr>
          <w:lang w:val="en-CA"/>
        </w:rPr>
        <w:t>d., vol. 2</w:t>
      </w:r>
      <w:r w:rsidR="00A66817">
        <w:rPr>
          <w:lang w:val="en-CA"/>
        </w:rPr>
        <w:t xml:space="preserve"> </w:t>
      </w:r>
      <w:r w:rsidR="00086548">
        <w:rPr>
          <w:lang w:val="en-CA"/>
        </w:rPr>
        <w:t>(</w:t>
      </w:r>
      <w:r w:rsidRPr="00A96D6A">
        <w:rPr>
          <w:lang w:val="en-CA"/>
        </w:rPr>
        <w:t>Thomson Reuters, 1987</w:t>
      </w:r>
      <w:r w:rsidR="00086548">
        <w:rPr>
          <w:lang w:val="en-CA"/>
        </w:rPr>
        <w:t>)</w:t>
      </w:r>
      <w:r w:rsidRPr="00A96D6A">
        <w:rPr>
          <w:lang w:val="en-CA"/>
        </w:rPr>
        <w:t xml:space="preserve"> (</w:t>
      </w:r>
      <w:r w:rsidR="00345E3D">
        <w:rPr>
          <w:lang w:val="en-CA"/>
        </w:rPr>
        <w:t>loose-leaf</w:t>
      </w:r>
      <w:r w:rsidRPr="00A96D6A">
        <w:rPr>
          <w:lang w:val="en-CA"/>
        </w:rPr>
        <w:t xml:space="preserve">, </w:t>
      </w:r>
      <w:r w:rsidR="00345E3D">
        <w:rPr>
          <w:lang w:val="en-CA"/>
        </w:rPr>
        <w:t>update</w:t>
      </w:r>
      <w:r w:rsidR="00086548">
        <w:rPr>
          <w:lang w:val="en-CA"/>
        </w:rPr>
        <w:t>d</w:t>
      </w:r>
      <w:r w:rsidRPr="00A96D6A">
        <w:rPr>
          <w:lang w:val="en-CA"/>
        </w:rPr>
        <w:t xml:space="preserve"> </w:t>
      </w:r>
      <w:r w:rsidR="00345E3D">
        <w:rPr>
          <w:lang w:val="en-CA"/>
        </w:rPr>
        <w:t>July</w:t>
      </w:r>
      <w:r w:rsidRPr="00A96D6A">
        <w:rPr>
          <w:lang w:val="en-CA"/>
        </w:rPr>
        <w:t xml:space="preserve"> 2022</w:t>
      </w:r>
      <w:r w:rsidR="00086548">
        <w:rPr>
          <w:lang w:val="en-CA"/>
        </w:rPr>
        <w:t>, release 5</w:t>
      </w:r>
      <w:r w:rsidRPr="00A96D6A">
        <w:rPr>
          <w:lang w:val="en-CA"/>
        </w:rPr>
        <w:t xml:space="preserve">), </w:t>
      </w:r>
      <w:r w:rsidR="007928D8" w:rsidRPr="00A96D6A">
        <w:rPr>
          <w:rFonts w:cs="Arial"/>
          <w:lang w:val="en-CA"/>
        </w:rPr>
        <w:t xml:space="preserve">§ </w:t>
      </w:r>
      <w:r w:rsidRPr="00A96D6A">
        <w:rPr>
          <w:lang w:val="en-CA"/>
        </w:rPr>
        <w:t xml:space="preserve">16:520; S. Casey Hill, D. M. Tanovich </w:t>
      </w:r>
      <w:r w:rsidR="00086548">
        <w:rPr>
          <w:lang w:val="en-CA"/>
        </w:rPr>
        <w:t>&amp;</w:t>
      </w:r>
      <w:r w:rsidR="00A66817">
        <w:rPr>
          <w:lang w:val="en-CA"/>
        </w:rPr>
        <w:t xml:space="preserve"> </w:t>
      </w:r>
      <w:r w:rsidRPr="00A96D6A">
        <w:rPr>
          <w:lang w:val="en-CA"/>
        </w:rPr>
        <w:t xml:space="preserve">L. Strezos, </w:t>
      </w:r>
      <w:r w:rsidRPr="00A96D6A">
        <w:rPr>
          <w:i/>
          <w:lang w:val="en-CA"/>
        </w:rPr>
        <w:t>McWilliams’ Canadian Criminal Evidence</w:t>
      </w:r>
      <w:r w:rsidRPr="00A96D6A">
        <w:rPr>
          <w:lang w:val="en-CA"/>
        </w:rPr>
        <w:t>, 5</w:t>
      </w:r>
      <w:r w:rsidR="00345E3D">
        <w:rPr>
          <w:lang w:val="en-CA"/>
        </w:rPr>
        <w:t>th</w:t>
      </w:r>
      <w:r w:rsidRPr="00A96D6A">
        <w:rPr>
          <w:lang w:val="en-CA"/>
        </w:rPr>
        <w:t xml:space="preserve"> </w:t>
      </w:r>
      <w:r w:rsidR="00345E3D">
        <w:rPr>
          <w:lang w:val="en-CA"/>
        </w:rPr>
        <w:t>e</w:t>
      </w:r>
      <w:r w:rsidRPr="00A96D6A">
        <w:rPr>
          <w:lang w:val="en-CA"/>
        </w:rPr>
        <w:t>d., vol. 2</w:t>
      </w:r>
      <w:r w:rsidR="00A66817">
        <w:rPr>
          <w:lang w:val="en-CA"/>
        </w:rPr>
        <w:t xml:space="preserve"> </w:t>
      </w:r>
      <w:r w:rsidR="00086548">
        <w:rPr>
          <w:lang w:val="en-CA"/>
        </w:rPr>
        <w:t>(</w:t>
      </w:r>
      <w:r w:rsidRPr="00A96D6A">
        <w:rPr>
          <w:lang w:val="en-CA"/>
        </w:rPr>
        <w:t>Thomson Reuters, 2013</w:t>
      </w:r>
      <w:r w:rsidR="00086548">
        <w:rPr>
          <w:lang w:val="en-CA"/>
        </w:rPr>
        <w:t>)</w:t>
      </w:r>
      <w:r w:rsidRPr="00A96D6A">
        <w:rPr>
          <w:lang w:val="en-CA"/>
        </w:rPr>
        <w:t xml:space="preserve"> (</w:t>
      </w:r>
      <w:r w:rsidR="00345E3D">
        <w:rPr>
          <w:lang w:val="en-CA"/>
        </w:rPr>
        <w:t>loose-leaf</w:t>
      </w:r>
      <w:r w:rsidRPr="00A96D6A">
        <w:rPr>
          <w:lang w:val="en-CA"/>
        </w:rPr>
        <w:t xml:space="preserve">, </w:t>
      </w:r>
      <w:r w:rsidR="00345E3D">
        <w:rPr>
          <w:lang w:val="en-CA"/>
        </w:rPr>
        <w:t>update</w:t>
      </w:r>
      <w:r w:rsidR="00B80B92">
        <w:rPr>
          <w:lang w:val="en-CA"/>
        </w:rPr>
        <w:t>d</w:t>
      </w:r>
      <w:r w:rsidRPr="00A96D6A">
        <w:rPr>
          <w:lang w:val="en-CA"/>
        </w:rPr>
        <w:t xml:space="preserve"> </w:t>
      </w:r>
      <w:r w:rsidR="00345E3D">
        <w:rPr>
          <w:lang w:val="en-CA"/>
        </w:rPr>
        <w:t>July</w:t>
      </w:r>
      <w:r w:rsidRPr="00A96D6A">
        <w:rPr>
          <w:lang w:val="en-CA"/>
        </w:rPr>
        <w:t xml:space="preserve"> 2022</w:t>
      </w:r>
      <w:r w:rsidR="00B80B92">
        <w:rPr>
          <w:lang w:val="en-CA"/>
        </w:rPr>
        <w:t>, release 3</w:t>
      </w:r>
      <w:r w:rsidRPr="00A96D6A">
        <w:rPr>
          <w:lang w:val="en-CA"/>
        </w:rPr>
        <w:t xml:space="preserve">), </w:t>
      </w:r>
      <w:r w:rsidR="00ED5723" w:rsidRPr="00A96D6A">
        <w:rPr>
          <w:rFonts w:cs="Arial"/>
          <w:lang w:val="en-CA"/>
        </w:rPr>
        <w:t>§</w:t>
      </w:r>
      <w:r w:rsidRPr="00A96D6A">
        <w:rPr>
          <w:lang w:val="en-CA"/>
        </w:rPr>
        <w:t xml:space="preserve"> 19:12, </w:t>
      </w:r>
      <w:r w:rsidR="00345E3D">
        <w:rPr>
          <w:lang w:val="en-CA"/>
        </w:rPr>
        <w:t>footnote</w:t>
      </w:r>
      <w:r w:rsidRPr="00A96D6A">
        <w:rPr>
          <w:lang w:val="en-CA"/>
        </w:rPr>
        <w:t xml:space="preserve"> 2.</w:t>
      </w:r>
    </w:p>
  </w:footnote>
  <w:footnote w:id="46">
    <w:p w14:paraId="16F4668F" w14:textId="2A41FD22" w:rsidR="00525251" w:rsidRPr="00A96D6A" w:rsidRDefault="00525251" w:rsidP="009D41B4">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D. Paciocco, </w:t>
      </w:r>
      <w:r w:rsidR="00945272">
        <w:rPr>
          <w:lang w:val="en-CA"/>
        </w:rPr>
        <w:t>“</w:t>
      </w:r>
      <w:r w:rsidRPr="00A96D6A">
        <w:rPr>
          <w:lang w:val="en-CA"/>
        </w:rPr>
        <w:t xml:space="preserve">Simply Complex: Applying the Law of </w:t>
      </w:r>
      <w:r w:rsidR="00945272">
        <w:rPr>
          <w:lang w:val="en-CA"/>
        </w:rPr>
        <w:t>‘</w:t>
      </w:r>
      <w:r w:rsidRPr="00A96D6A">
        <w:rPr>
          <w:lang w:val="en-CA"/>
        </w:rPr>
        <w:t>Post</w:t>
      </w:r>
      <w:r w:rsidRPr="00A96D6A">
        <w:rPr>
          <w:rFonts w:ascii="Cambria Math" w:hAnsi="Cambria Math" w:cs="Cambria Math"/>
          <w:lang w:val="en-CA"/>
        </w:rPr>
        <w:t>‑</w:t>
      </w:r>
      <w:r w:rsidRPr="00A96D6A">
        <w:rPr>
          <w:lang w:val="en-CA"/>
        </w:rPr>
        <w:t>Offence Conduct</w:t>
      </w:r>
      <w:r w:rsidR="00945272">
        <w:rPr>
          <w:lang w:val="en-CA"/>
        </w:rPr>
        <w:t>’</w:t>
      </w:r>
      <w:r w:rsidRPr="00A96D6A">
        <w:rPr>
          <w:lang w:val="en-CA"/>
        </w:rPr>
        <w:t xml:space="preserve"> Evidence</w:t>
      </w:r>
      <w:r w:rsidR="00945272">
        <w:rPr>
          <w:lang w:val="en-CA"/>
        </w:rPr>
        <w:t>”</w:t>
      </w:r>
      <w:r w:rsidRPr="00A96D6A">
        <w:rPr>
          <w:lang w:val="en-CA"/>
        </w:rPr>
        <w:t xml:space="preserve"> (2016), 63 C.L.Q.</w:t>
      </w:r>
      <w:r w:rsidRPr="00A96D6A">
        <w:rPr>
          <w:i/>
          <w:lang w:val="en-CA"/>
        </w:rPr>
        <w:t xml:space="preserve"> </w:t>
      </w:r>
      <w:r w:rsidRPr="00A96D6A">
        <w:rPr>
          <w:lang w:val="en-CA"/>
        </w:rPr>
        <w:t xml:space="preserve">275 </w:t>
      </w:r>
      <w:r w:rsidR="00945272">
        <w:rPr>
          <w:lang w:val="en-CA"/>
        </w:rPr>
        <w:t>at</w:t>
      </w:r>
      <w:r w:rsidRPr="00A96D6A">
        <w:rPr>
          <w:lang w:val="en-CA"/>
        </w:rPr>
        <w:t xml:space="preserve"> 276. </w:t>
      </w:r>
    </w:p>
  </w:footnote>
  <w:footnote w:id="47">
    <w:p w14:paraId="0E077479" w14:textId="32B30394" w:rsidR="00CC7F95" w:rsidRPr="00A96D6A" w:rsidRDefault="00CC7F95" w:rsidP="00CC7F9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r w:rsidR="006A3A36" w:rsidRPr="00A96D6A">
        <w:rPr>
          <w:lang w:val="en-CA"/>
        </w:rPr>
        <w:t>at para</w:t>
      </w:r>
      <w:r w:rsidR="00B030C7">
        <w:rPr>
          <w:lang w:val="en-CA"/>
        </w:rPr>
        <w:t>s</w:t>
      </w:r>
      <w:r w:rsidR="006A3A36" w:rsidRPr="00A96D6A">
        <w:rPr>
          <w:lang w:val="en-CA"/>
        </w:rPr>
        <w:t>.</w:t>
      </w:r>
      <w:r w:rsidRPr="00A96D6A">
        <w:rPr>
          <w:lang w:val="en-CA"/>
        </w:rPr>
        <w:t xml:space="preserve"> 119</w:t>
      </w:r>
      <w:r w:rsidR="00061317">
        <w:rPr>
          <w:lang w:val="en-CA"/>
        </w:rPr>
        <w:t>–</w:t>
      </w:r>
      <w:r w:rsidRPr="00A96D6A">
        <w:rPr>
          <w:lang w:val="en-CA"/>
        </w:rPr>
        <w:t>140 (diss</w:t>
      </w:r>
      <w:r w:rsidR="00945272">
        <w:rPr>
          <w:lang w:val="en-CA"/>
        </w:rPr>
        <w:t>enting</w:t>
      </w:r>
      <w:r w:rsidRPr="00A96D6A">
        <w:rPr>
          <w:lang w:val="en-CA"/>
        </w:rPr>
        <w:t xml:space="preserve">, </w:t>
      </w:r>
      <w:r w:rsidR="00945272">
        <w:rPr>
          <w:lang w:val="en-CA"/>
        </w:rPr>
        <w:t xml:space="preserve">but not on this </w:t>
      </w:r>
      <w:r w:rsidR="0078332E">
        <w:rPr>
          <w:lang w:val="en-CA"/>
        </w:rPr>
        <w:t>issue</w:t>
      </w:r>
      <w:r w:rsidRPr="00A96D6A">
        <w:rPr>
          <w:lang w:val="en-CA"/>
        </w:rPr>
        <w:t xml:space="preserve">). </w:t>
      </w:r>
      <w:r w:rsidR="00945272">
        <w:rPr>
          <w:lang w:val="en-CA"/>
        </w:rPr>
        <w:t>See also</w:t>
      </w:r>
      <w:r w:rsidRPr="00A96D6A">
        <w:rPr>
          <w:lang w:val="en-CA"/>
        </w:rPr>
        <w:t xml:space="preserve"> </w:t>
      </w:r>
      <w:r w:rsidRPr="00A96D6A">
        <w:rPr>
          <w:i/>
          <w:lang w:val="en-CA"/>
        </w:rPr>
        <w:t>R. v. McGregor</w:t>
      </w:r>
      <w:r w:rsidRPr="00A96D6A">
        <w:rPr>
          <w:lang w:val="en-CA"/>
        </w:rPr>
        <w:t xml:space="preserve">, 2019 ONCA 307 </w:t>
      </w:r>
      <w:r w:rsidR="006A3A36" w:rsidRPr="00A96D6A">
        <w:rPr>
          <w:lang w:val="en-CA"/>
        </w:rPr>
        <w:t>at para.</w:t>
      </w:r>
      <w:r w:rsidRPr="00A96D6A">
        <w:rPr>
          <w:lang w:val="en-CA"/>
        </w:rPr>
        <w:t xml:space="preserve"> 102; </w:t>
      </w:r>
      <w:r w:rsidRPr="00A96D6A">
        <w:rPr>
          <w:i/>
          <w:lang w:val="en-CA"/>
        </w:rPr>
        <w:t>R. v. Café</w:t>
      </w:r>
      <w:r w:rsidRPr="00A96D6A">
        <w:rPr>
          <w:lang w:val="en-CA"/>
        </w:rPr>
        <w:t>, 2019 ONCA 775</w:t>
      </w:r>
      <w:r w:rsidR="00086548">
        <w:rPr>
          <w:lang w:val="en-CA"/>
        </w:rPr>
        <w:t xml:space="preserve"> </w:t>
      </w:r>
      <w:r w:rsidR="006A3A36" w:rsidRPr="00A96D6A">
        <w:rPr>
          <w:lang w:val="en-CA"/>
        </w:rPr>
        <w:t>at para.</w:t>
      </w:r>
      <w:r w:rsidRPr="00A96D6A">
        <w:rPr>
          <w:lang w:val="en-CA"/>
        </w:rPr>
        <w:t xml:space="preserve"> 55; </w:t>
      </w:r>
      <w:r w:rsidRPr="00A96D6A">
        <w:rPr>
          <w:i/>
          <w:lang w:val="en-CA"/>
        </w:rPr>
        <w:t>R. v. Jackson</w:t>
      </w:r>
      <w:r w:rsidRPr="00A96D6A">
        <w:rPr>
          <w:lang w:val="en-CA"/>
        </w:rPr>
        <w:t xml:space="preserve">, 2016 ONCA 736 </w:t>
      </w:r>
      <w:r w:rsidR="006A3A36" w:rsidRPr="00A96D6A">
        <w:rPr>
          <w:lang w:val="en-CA"/>
        </w:rPr>
        <w:t>at para.</w:t>
      </w:r>
      <w:r w:rsidRPr="00A96D6A">
        <w:rPr>
          <w:lang w:val="en-CA"/>
        </w:rPr>
        <w:t xml:space="preserve"> 20; </w:t>
      </w:r>
      <w:r w:rsidRPr="00A96D6A">
        <w:rPr>
          <w:i/>
          <w:lang w:val="en-CA"/>
        </w:rPr>
        <w:t>R. v. S.B.1</w:t>
      </w:r>
      <w:r w:rsidRPr="00A96D6A">
        <w:rPr>
          <w:lang w:val="en-CA"/>
        </w:rPr>
        <w:t xml:space="preserve">, 2018 ONCA 807 </w:t>
      </w:r>
      <w:r w:rsidR="006A3A36" w:rsidRPr="00A96D6A">
        <w:rPr>
          <w:lang w:val="en-CA"/>
        </w:rPr>
        <w:t>at para.</w:t>
      </w:r>
      <w:r w:rsidRPr="00A96D6A">
        <w:rPr>
          <w:lang w:val="en-CA"/>
        </w:rPr>
        <w:t xml:space="preserve"> 71.</w:t>
      </w:r>
    </w:p>
  </w:footnote>
  <w:footnote w:id="48">
    <w:p w14:paraId="51A6F60A" w14:textId="543B9A1B" w:rsidR="00CC7F95" w:rsidRPr="00A96D6A" w:rsidRDefault="00CC7F95" w:rsidP="00CC7F9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r w:rsidR="006A3A36" w:rsidRPr="00A96D6A">
        <w:rPr>
          <w:lang w:val="en-CA"/>
        </w:rPr>
        <w:t>at para.</w:t>
      </w:r>
      <w:r w:rsidRPr="00A96D6A">
        <w:rPr>
          <w:lang w:val="en-CA"/>
        </w:rPr>
        <w:t xml:space="preserve"> 112. </w:t>
      </w:r>
    </w:p>
  </w:footnote>
  <w:footnote w:id="49">
    <w:p w14:paraId="0D39C14A" w14:textId="77777777" w:rsidR="00CC7F95" w:rsidRPr="00A96D6A" w:rsidRDefault="00CC7F95" w:rsidP="00CC7F95">
      <w:pPr>
        <w:pStyle w:val="Notedebasdepage"/>
        <w:rPr>
          <w:i/>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Ibid.</w:t>
      </w:r>
    </w:p>
  </w:footnote>
  <w:footnote w:id="50">
    <w:p w14:paraId="481CD2FD" w14:textId="1121A5F9" w:rsidR="00877773" w:rsidRPr="00A96D6A" w:rsidRDefault="00877773" w:rsidP="00877773">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r w:rsidR="006A3A36" w:rsidRPr="00A96D6A">
        <w:rPr>
          <w:lang w:val="en-CA"/>
        </w:rPr>
        <w:t>at para</w:t>
      </w:r>
      <w:r w:rsidR="00945272">
        <w:rPr>
          <w:lang w:val="en-CA"/>
        </w:rPr>
        <w:t>s</w:t>
      </w:r>
      <w:r w:rsidR="006A3A36" w:rsidRPr="00A96D6A">
        <w:rPr>
          <w:lang w:val="en-CA"/>
        </w:rPr>
        <w:t>.</w:t>
      </w:r>
      <w:r w:rsidRPr="00A96D6A">
        <w:rPr>
          <w:lang w:val="en-CA"/>
        </w:rPr>
        <w:t xml:space="preserve"> 119</w:t>
      </w:r>
      <w:r w:rsidR="00F527A4">
        <w:rPr>
          <w:lang w:val="en-CA"/>
        </w:rPr>
        <w:t>–</w:t>
      </w:r>
      <w:r w:rsidRPr="00A96D6A">
        <w:rPr>
          <w:lang w:val="en-CA"/>
        </w:rPr>
        <w:t xml:space="preserve">120; </w:t>
      </w:r>
      <w:r w:rsidRPr="00A96D6A">
        <w:rPr>
          <w:i/>
          <w:lang w:val="en-CA"/>
        </w:rPr>
        <w:t>R. v. Adan</w:t>
      </w:r>
      <w:r w:rsidRPr="00A96D6A">
        <w:rPr>
          <w:lang w:val="en-CA"/>
        </w:rPr>
        <w:t xml:space="preserve">, 2019 ONCA 709 </w:t>
      </w:r>
      <w:r w:rsidR="006A3A36" w:rsidRPr="00A96D6A">
        <w:rPr>
          <w:lang w:val="en-CA"/>
        </w:rPr>
        <w:t>at para.</w:t>
      </w:r>
      <w:r w:rsidRPr="00A96D6A">
        <w:rPr>
          <w:lang w:val="en-CA"/>
        </w:rPr>
        <w:t xml:space="preserve"> 69; </w:t>
      </w:r>
      <w:r w:rsidRPr="00A96D6A">
        <w:rPr>
          <w:i/>
          <w:lang w:val="en-CA"/>
        </w:rPr>
        <w:t>R. v. McGregor</w:t>
      </w:r>
      <w:r w:rsidRPr="00A96D6A">
        <w:rPr>
          <w:lang w:val="en-CA"/>
        </w:rPr>
        <w:t xml:space="preserve">, 2019 ONCA 307 </w:t>
      </w:r>
      <w:r w:rsidR="006A3A36" w:rsidRPr="00A96D6A">
        <w:rPr>
          <w:lang w:val="en-CA"/>
        </w:rPr>
        <w:t>at para.</w:t>
      </w:r>
      <w:r w:rsidRPr="00A96D6A">
        <w:rPr>
          <w:lang w:val="en-CA"/>
        </w:rPr>
        <w:t xml:space="preserve"> </w:t>
      </w:r>
      <w:r w:rsidRPr="00C14943">
        <w:rPr>
          <w:lang w:val="es-CL"/>
        </w:rPr>
        <w:t xml:space="preserve">102; </w:t>
      </w:r>
      <w:r w:rsidRPr="00C14943">
        <w:rPr>
          <w:i/>
          <w:lang w:val="es-CL"/>
        </w:rPr>
        <w:t>R. v. Café</w:t>
      </w:r>
      <w:r w:rsidRPr="00C14943">
        <w:rPr>
          <w:lang w:val="es-CL"/>
        </w:rPr>
        <w:t xml:space="preserve">, 2019 ONCA 775 </w:t>
      </w:r>
      <w:r w:rsidR="006A3A36" w:rsidRPr="00C14943">
        <w:rPr>
          <w:lang w:val="es-CL"/>
        </w:rPr>
        <w:t>at para.</w:t>
      </w:r>
      <w:r w:rsidRPr="00C14943">
        <w:rPr>
          <w:lang w:val="es-CL"/>
        </w:rPr>
        <w:t xml:space="preserve"> 55; </w:t>
      </w:r>
      <w:r w:rsidRPr="00C14943">
        <w:rPr>
          <w:i/>
          <w:lang w:val="es-CL"/>
        </w:rPr>
        <w:t>R. v. Morin</w:t>
      </w:r>
      <w:r w:rsidRPr="00C14943">
        <w:rPr>
          <w:lang w:val="es-CL"/>
        </w:rPr>
        <w:t>, 2021 ONCA 307</w:t>
      </w:r>
      <w:r w:rsidR="0078332E">
        <w:rPr>
          <w:lang w:val="es-CL"/>
        </w:rPr>
        <w:t xml:space="preserve"> </w:t>
      </w:r>
      <w:r w:rsidR="006A3A36" w:rsidRPr="00C14943">
        <w:rPr>
          <w:lang w:val="es-CL"/>
        </w:rPr>
        <w:t>at para.</w:t>
      </w:r>
      <w:r w:rsidRPr="00C14943">
        <w:rPr>
          <w:lang w:val="es-CL"/>
        </w:rPr>
        <w:t xml:space="preserve"> </w:t>
      </w:r>
      <w:r w:rsidRPr="00A96D6A">
        <w:rPr>
          <w:lang w:val="en-CA"/>
        </w:rPr>
        <w:t xml:space="preserve">49; </w:t>
      </w:r>
      <w:r w:rsidRPr="00A96D6A">
        <w:rPr>
          <w:i/>
          <w:lang w:val="en-CA"/>
        </w:rPr>
        <w:t>R. v. Wood</w:t>
      </w:r>
      <w:r w:rsidRPr="00A96D6A">
        <w:rPr>
          <w:lang w:val="en-CA"/>
        </w:rPr>
        <w:t xml:space="preserve">, 2022 ONCA 87 </w:t>
      </w:r>
      <w:r w:rsidR="006A3A36" w:rsidRPr="00A96D6A">
        <w:rPr>
          <w:lang w:val="en-CA"/>
        </w:rPr>
        <w:t>at para.</w:t>
      </w:r>
      <w:r w:rsidRPr="00A96D6A">
        <w:rPr>
          <w:lang w:val="en-CA"/>
        </w:rPr>
        <w:t xml:space="preserve"> 123; </w:t>
      </w:r>
      <w:r w:rsidRPr="00A96D6A">
        <w:rPr>
          <w:i/>
          <w:lang w:val="en-CA"/>
        </w:rPr>
        <w:t>R. v. Reddick</w:t>
      </w:r>
      <w:r w:rsidRPr="00A96D6A">
        <w:rPr>
          <w:lang w:val="en-CA"/>
        </w:rPr>
        <w:t xml:space="preserve">, 2021 ONCA 418 </w:t>
      </w:r>
      <w:r w:rsidR="006A3A36" w:rsidRPr="00A96D6A">
        <w:rPr>
          <w:lang w:val="en-CA"/>
        </w:rPr>
        <w:t>at para.</w:t>
      </w:r>
      <w:r w:rsidRPr="00A96D6A">
        <w:rPr>
          <w:lang w:val="en-CA"/>
        </w:rPr>
        <w:t xml:space="preserve"> 120.</w:t>
      </w:r>
    </w:p>
  </w:footnote>
  <w:footnote w:id="51">
    <w:p w14:paraId="18069E22" w14:textId="3E260FFC" w:rsidR="00877773" w:rsidRPr="00A96D6A" w:rsidRDefault="00877773" w:rsidP="00877773">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White</w:t>
      </w:r>
      <w:r w:rsidRPr="00A96D6A">
        <w:rPr>
          <w:lang w:val="en-CA"/>
        </w:rPr>
        <w:t xml:space="preserve">, [1998] 2 </w:t>
      </w:r>
      <w:r w:rsidR="006A3A36" w:rsidRPr="00A96D6A">
        <w:rPr>
          <w:lang w:val="en-CA"/>
        </w:rPr>
        <w:t>S.C.R.</w:t>
      </w:r>
      <w:r w:rsidRPr="00A96D6A">
        <w:rPr>
          <w:lang w:val="en-CA"/>
        </w:rPr>
        <w:t xml:space="preserve"> 72 </w:t>
      </w:r>
      <w:r w:rsidR="006A3A36" w:rsidRPr="00A96D6A">
        <w:rPr>
          <w:lang w:val="en-CA"/>
        </w:rPr>
        <w:t>at para.</w:t>
      </w:r>
      <w:r w:rsidRPr="00A96D6A">
        <w:rPr>
          <w:lang w:val="en-CA"/>
        </w:rPr>
        <w:t xml:space="preserve"> 45.</w:t>
      </w:r>
    </w:p>
  </w:footnote>
  <w:footnote w:id="52">
    <w:p w14:paraId="5B8ACD9D" w14:textId="189D1158"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White</w:t>
      </w:r>
      <w:r w:rsidRPr="00A96D6A">
        <w:rPr>
          <w:lang w:val="en-CA"/>
        </w:rPr>
        <w:t xml:space="preserve">, [1998] 2 </w:t>
      </w:r>
      <w:r w:rsidR="006A3A36" w:rsidRPr="00A96D6A">
        <w:rPr>
          <w:lang w:val="en-CA"/>
        </w:rPr>
        <w:t>S.C.R.</w:t>
      </w:r>
      <w:r w:rsidRPr="00A96D6A">
        <w:rPr>
          <w:lang w:val="en-CA"/>
        </w:rPr>
        <w:t xml:space="preserve"> 72 </w:t>
      </w:r>
      <w:r w:rsidR="006A3A36" w:rsidRPr="00A96D6A">
        <w:rPr>
          <w:lang w:val="en-CA"/>
        </w:rPr>
        <w:t>at para.</w:t>
      </w:r>
      <w:r w:rsidRPr="00A96D6A">
        <w:rPr>
          <w:lang w:val="en-CA"/>
        </w:rPr>
        <w:t xml:space="preserve"> 43. </w:t>
      </w:r>
      <w:r w:rsidR="0012581D">
        <w:rPr>
          <w:lang w:val="en-CA"/>
        </w:rPr>
        <w:t>See also</w:t>
      </w:r>
      <w:r w:rsidRPr="00A96D6A">
        <w:rPr>
          <w:lang w:val="en-CA"/>
        </w:rPr>
        <w:t xml:space="preserve"> </w:t>
      </w:r>
      <w:r w:rsidRPr="00A96D6A">
        <w:rPr>
          <w:i/>
          <w:lang w:val="en-CA"/>
        </w:rPr>
        <w:t>R. v. Kler</w:t>
      </w:r>
      <w:r w:rsidRPr="00A96D6A">
        <w:rPr>
          <w:lang w:val="en-CA"/>
        </w:rPr>
        <w:t xml:space="preserve">, 2017 ONCA 64 </w:t>
      </w:r>
      <w:r w:rsidR="006A3A36" w:rsidRPr="00A96D6A">
        <w:rPr>
          <w:lang w:val="en-CA"/>
        </w:rPr>
        <w:t>at para.</w:t>
      </w:r>
      <w:r w:rsidRPr="00A96D6A">
        <w:rPr>
          <w:lang w:val="en-CA"/>
        </w:rPr>
        <w:t xml:space="preserve"> 126; </w:t>
      </w:r>
      <w:r w:rsidRPr="00A96D6A">
        <w:rPr>
          <w:i/>
          <w:lang w:val="en-CA"/>
        </w:rPr>
        <w:t>Saillant-O'Hare</w:t>
      </w:r>
      <w:r w:rsidR="006A3A36" w:rsidRPr="00A96D6A">
        <w:rPr>
          <w:i/>
          <w:iCs/>
          <w:lang w:val="en-CA"/>
        </w:rPr>
        <w:t xml:space="preserve"> </w:t>
      </w:r>
      <w:r w:rsidR="00C43A69">
        <w:rPr>
          <w:i/>
          <w:iCs/>
          <w:lang w:val="en-CA"/>
        </w:rPr>
        <w:t>c</w:t>
      </w:r>
      <w:r w:rsidR="006A3A36" w:rsidRPr="00A96D6A">
        <w:rPr>
          <w:i/>
          <w:iCs/>
          <w:lang w:val="en-CA"/>
        </w:rPr>
        <w:t xml:space="preserve">. </w:t>
      </w:r>
      <w:r w:rsidRPr="00A96D6A">
        <w:rPr>
          <w:i/>
          <w:lang w:val="en-CA"/>
        </w:rPr>
        <w:t>R.</w:t>
      </w:r>
      <w:r w:rsidRPr="00A96D6A">
        <w:rPr>
          <w:lang w:val="en-CA"/>
        </w:rPr>
        <w:t xml:space="preserve">, 2022 QCCA 1187 </w:t>
      </w:r>
      <w:r w:rsidR="006A3A36" w:rsidRPr="00A96D6A">
        <w:rPr>
          <w:lang w:val="en-CA"/>
        </w:rPr>
        <w:t>at para.</w:t>
      </w:r>
      <w:r w:rsidRPr="00A96D6A">
        <w:rPr>
          <w:lang w:val="en-CA"/>
        </w:rPr>
        <w:t xml:space="preserve"> 20.</w:t>
      </w:r>
    </w:p>
  </w:footnote>
  <w:footnote w:id="53">
    <w:p w14:paraId="12E644D4" w14:textId="24D73427"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Daley</w:t>
      </w:r>
      <w:r w:rsidRPr="00A96D6A">
        <w:rPr>
          <w:lang w:val="en-CA"/>
        </w:rPr>
        <w:t xml:space="preserve">, [2007] 3 </w:t>
      </w:r>
      <w:r w:rsidR="006A3A36" w:rsidRPr="00A96D6A">
        <w:rPr>
          <w:lang w:val="en-CA"/>
        </w:rPr>
        <w:t>S.C.R.</w:t>
      </w:r>
      <w:r w:rsidRPr="00A96D6A">
        <w:rPr>
          <w:lang w:val="en-CA"/>
        </w:rPr>
        <w:t xml:space="preserve"> 523, 2007 </w:t>
      </w:r>
      <w:r w:rsidR="006A3A36" w:rsidRPr="00A96D6A">
        <w:rPr>
          <w:lang w:val="en-CA"/>
        </w:rPr>
        <w:t>SCC</w:t>
      </w:r>
      <w:r w:rsidRPr="00A96D6A">
        <w:rPr>
          <w:lang w:val="en-CA"/>
        </w:rPr>
        <w:t xml:space="preserve"> 53 </w:t>
      </w:r>
      <w:r w:rsidR="006A3A36" w:rsidRPr="00A96D6A">
        <w:rPr>
          <w:lang w:val="en-CA"/>
        </w:rPr>
        <w:t>at para.</w:t>
      </w:r>
      <w:r w:rsidRPr="00A96D6A">
        <w:rPr>
          <w:lang w:val="en-CA"/>
        </w:rPr>
        <w:t xml:space="preserve"> 58.</w:t>
      </w:r>
    </w:p>
  </w:footnote>
  <w:footnote w:id="54">
    <w:p w14:paraId="77F0CCFA" w14:textId="504F4B87" w:rsidR="00BD455B" w:rsidRPr="00A96D6A" w:rsidRDefault="00BD455B">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Khill</w:t>
      </w:r>
      <w:r w:rsidRPr="00A96D6A">
        <w:rPr>
          <w:lang w:val="en-CA"/>
        </w:rPr>
        <w:t xml:space="preserve">, 2021 </w:t>
      </w:r>
      <w:r w:rsidR="006A3A36" w:rsidRPr="00A96D6A">
        <w:rPr>
          <w:lang w:val="en-CA"/>
        </w:rPr>
        <w:t>SCC</w:t>
      </w:r>
      <w:r w:rsidRPr="00A96D6A">
        <w:rPr>
          <w:lang w:val="en-CA"/>
        </w:rPr>
        <w:t xml:space="preserve"> 37 </w:t>
      </w:r>
      <w:r w:rsidR="006A3A36" w:rsidRPr="00A96D6A">
        <w:rPr>
          <w:lang w:val="en-CA"/>
        </w:rPr>
        <w:t>at para.</w:t>
      </w:r>
      <w:r w:rsidRPr="00A96D6A">
        <w:rPr>
          <w:lang w:val="en-CA"/>
        </w:rPr>
        <w:t xml:space="preserve"> 144; </w:t>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r w:rsidR="006A3A36" w:rsidRPr="00A96D6A">
        <w:rPr>
          <w:lang w:val="en-CA"/>
        </w:rPr>
        <w:t>at para.</w:t>
      </w:r>
      <w:r w:rsidRPr="00A96D6A">
        <w:rPr>
          <w:lang w:val="en-CA"/>
        </w:rPr>
        <w:t xml:space="preserve"> 189.</w:t>
      </w:r>
    </w:p>
  </w:footnote>
  <w:footnote w:id="55">
    <w:p w14:paraId="27A5C0C7" w14:textId="472578BD" w:rsidR="00101AA1" w:rsidRPr="00A96D6A" w:rsidRDefault="00101AA1" w:rsidP="00101AA1">
      <w:pPr>
        <w:pStyle w:val="Notedebasdepage"/>
        <w:rPr>
          <w:i/>
          <w:lang w:val="en-CA"/>
        </w:rPr>
      </w:pPr>
      <w:r w:rsidRPr="00A96D6A">
        <w:rPr>
          <w:rStyle w:val="Appelnotedebasdep"/>
          <w:lang w:val="en-CA"/>
        </w:rPr>
        <w:footnoteRef/>
      </w:r>
      <w:r w:rsidRPr="00A96D6A">
        <w:rPr>
          <w:lang w:val="en-CA"/>
        </w:rPr>
        <w:t xml:space="preserve"> </w:t>
      </w:r>
      <w:r w:rsidRPr="00A96D6A">
        <w:rPr>
          <w:lang w:val="en-CA"/>
        </w:rPr>
        <w:tab/>
      </w:r>
      <w:r w:rsidR="00F310D5" w:rsidRPr="00A96D6A">
        <w:rPr>
          <w:i/>
          <w:lang w:val="en-CA"/>
        </w:rPr>
        <w:t>R.</w:t>
      </w:r>
      <w:r w:rsidR="006A3A36" w:rsidRPr="00A96D6A">
        <w:rPr>
          <w:i/>
          <w:iCs/>
          <w:lang w:val="en-CA"/>
        </w:rPr>
        <w:t xml:space="preserve"> v. </w:t>
      </w:r>
      <w:r w:rsidR="00F310D5" w:rsidRPr="00A96D6A">
        <w:rPr>
          <w:i/>
          <w:lang w:val="en-CA"/>
        </w:rPr>
        <w:t>Jacquard</w:t>
      </w:r>
      <w:r w:rsidR="00F310D5" w:rsidRPr="00A96D6A">
        <w:rPr>
          <w:lang w:val="en-CA"/>
        </w:rPr>
        <w:t xml:space="preserve">, [1997] 1 </w:t>
      </w:r>
      <w:r w:rsidR="006A3A36" w:rsidRPr="00A96D6A">
        <w:rPr>
          <w:lang w:val="en-CA"/>
        </w:rPr>
        <w:t>S.C.R.</w:t>
      </w:r>
      <w:r w:rsidR="00F310D5" w:rsidRPr="00A96D6A">
        <w:rPr>
          <w:lang w:val="en-CA"/>
        </w:rPr>
        <w:t xml:space="preserve"> 314 </w:t>
      </w:r>
      <w:r w:rsidR="006A3A36" w:rsidRPr="00A96D6A">
        <w:rPr>
          <w:lang w:val="en-CA"/>
        </w:rPr>
        <w:t>at para.</w:t>
      </w:r>
      <w:r w:rsidR="00F310D5" w:rsidRPr="00A96D6A">
        <w:rPr>
          <w:lang w:val="en-CA"/>
        </w:rPr>
        <w:t xml:space="preserve"> 27; </w:t>
      </w:r>
      <w:r w:rsidR="00F310D5" w:rsidRPr="00A96D6A">
        <w:rPr>
          <w:i/>
          <w:lang w:val="en-CA"/>
        </w:rPr>
        <w:t>R.</w:t>
      </w:r>
      <w:r w:rsidR="006A3A36" w:rsidRPr="00A96D6A">
        <w:rPr>
          <w:i/>
          <w:iCs/>
          <w:lang w:val="en-CA"/>
        </w:rPr>
        <w:t xml:space="preserve"> </w:t>
      </w:r>
      <w:r w:rsidR="00C43A69">
        <w:rPr>
          <w:i/>
          <w:iCs/>
          <w:lang w:val="en-CA"/>
        </w:rPr>
        <w:t>c</w:t>
      </w:r>
      <w:r w:rsidR="006A3A36" w:rsidRPr="00A96D6A">
        <w:rPr>
          <w:i/>
          <w:iCs/>
          <w:lang w:val="en-CA"/>
        </w:rPr>
        <w:t xml:space="preserve">. </w:t>
      </w:r>
      <w:r w:rsidR="00F310D5" w:rsidRPr="00A96D6A">
        <w:rPr>
          <w:i/>
          <w:lang w:val="en-CA"/>
        </w:rPr>
        <w:t>Leblanc</w:t>
      </w:r>
      <w:r w:rsidR="00F310D5" w:rsidRPr="00A96D6A">
        <w:rPr>
          <w:lang w:val="en-CA"/>
        </w:rPr>
        <w:t xml:space="preserve">, [1991] R.J.Q. 686, 4 C.R. (4th) 98 (C.A.); </w:t>
      </w:r>
      <w:r w:rsidR="00F310D5" w:rsidRPr="00A96D6A">
        <w:rPr>
          <w:i/>
          <w:lang w:val="en-CA"/>
        </w:rPr>
        <w:t>R.</w:t>
      </w:r>
      <w:r w:rsidR="006A3A36" w:rsidRPr="00A96D6A">
        <w:rPr>
          <w:i/>
          <w:iCs/>
          <w:lang w:val="en-CA"/>
        </w:rPr>
        <w:t xml:space="preserve"> </w:t>
      </w:r>
      <w:r w:rsidR="00C43A69">
        <w:rPr>
          <w:i/>
          <w:iCs/>
          <w:lang w:val="en-CA"/>
        </w:rPr>
        <w:t>c</w:t>
      </w:r>
      <w:r w:rsidR="006A3A36" w:rsidRPr="00A96D6A">
        <w:rPr>
          <w:i/>
          <w:iCs/>
          <w:lang w:val="en-CA"/>
        </w:rPr>
        <w:t xml:space="preserve">. </w:t>
      </w:r>
      <w:r w:rsidR="00F310D5" w:rsidRPr="00A96D6A">
        <w:rPr>
          <w:i/>
          <w:lang w:val="en-CA"/>
        </w:rPr>
        <w:t>Allard</w:t>
      </w:r>
      <w:r w:rsidR="00F310D5" w:rsidRPr="00A96D6A">
        <w:rPr>
          <w:lang w:val="en-CA"/>
        </w:rPr>
        <w:t xml:space="preserve">, [1990] R.J.Q. 1847, 57 C.C.C. (3d) 397 (C.A.); </w:t>
      </w:r>
      <w:r w:rsidR="00F310D5" w:rsidRPr="00A96D6A">
        <w:rPr>
          <w:i/>
          <w:lang w:val="en-CA"/>
        </w:rPr>
        <w:t>Sorella</w:t>
      </w:r>
      <w:r w:rsidR="006A3A36" w:rsidRPr="00A96D6A">
        <w:rPr>
          <w:i/>
          <w:iCs/>
          <w:lang w:val="en-CA"/>
        </w:rPr>
        <w:t xml:space="preserve"> </w:t>
      </w:r>
      <w:r w:rsidR="00C43A69">
        <w:rPr>
          <w:i/>
          <w:iCs/>
          <w:lang w:val="en-CA"/>
        </w:rPr>
        <w:t>c</w:t>
      </w:r>
      <w:r w:rsidR="006A3A36" w:rsidRPr="00A96D6A">
        <w:rPr>
          <w:i/>
          <w:iCs/>
          <w:lang w:val="en-CA"/>
        </w:rPr>
        <w:t xml:space="preserve">. </w:t>
      </w:r>
      <w:r w:rsidR="00F310D5" w:rsidRPr="00A96D6A">
        <w:rPr>
          <w:i/>
          <w:lang w:val="en-CA"/>
        </w:rPr>
        <w:t>R.</w:t>
      </w:r>
      <w:r w:rsidR="00F310D5" w:rsidRPr="00A96D6A">
        <w:rPr>
          <w:lang w:val="en-CA"/>
        </w:rPr>
        <w:t>, 2017 QCCA 1908.</w:t>
      </w:r>
    </w:p>
  </w:footnote>
  <w:footnote w:id="56">
    <w:p w14:paraId="2BE88177" w14:textId="0B55E9B1" w:rsidR="00CC7F95" w:rsidRPr="00A96D6A" w:rsidRDefault="00CC7F95" w:rsidP="009C224F">
      <w:pPr>
        <w:pStyle w:val="Paragraphe"/>
        <w:numPr>
          <w:ilvl w:val="0"/>
          <w:numId w:val="0"/>
        </w:numPr>
        <w:spacing w:before="0" w:after="0" w:line="240" w:lineRule="auto"/>
        <w:ind w:left="357" w:hanging="357"/>
        <w:rPr>
          <w:sz w:val="20"/>
          <w:lang w:val="en-CA" w:eastAsia="fr-CA"/>
        </w:rPr>
      </w:pPr>
      <w:r w:rsidRPr="00A96D6A">
        <w:rPr>
          <w:rStyle w:val="Appelnotedebasdep"/>
          <w:sz w:val="20"/>
          <w:lang w:val="en-CA"/>
        </w:rPr>
        <w:footnoteRef/>
      </w:r>
      <w:r w:rsidRPr="00A96D6A">
        <w:rPr>
          <w:sz w:val="20"/>
          <w:lang w:val="en-CA"/>
        </w:rPr>
        <w:t xml:space="preserve"> </w:t>
      </w:r>
      <w:r w:rsidR="00841C50" w:rsidRPr="00A96D6A">
        <w:rPr>
          <w:sz w:val="20"/>
          <w:lang w:val="en-CA"/>
        </w:rPr>
        <w:tab/>
      </w:r>
      <w:r w:rsidRPr="00A96D6A">
        <w:rPr>
          <w:i/>
          <w:sz w:val="20"/>
          <w:lang w:val="en-CA"/>
        </w:rPr>
        <w:t>R</w:t>
      </w:r>
      <w:r w:rsidR="00F2692E" w:rsidRPr="00A96D6A">
        <w:rPr>
          <w:i/>
          <w:sz w:val="20"/>
          <w:lang w:val="en-CA"/>
        </w:rPr>
        <w:t>.</w:t>
      </w:r>
      <w:r w:rsidR="006A3A36" w:rsidRPr="00A96D6A">
        <w:rPr>
          <w:i/>
          <w:iCs/>
          <w:sz w:val="20"/>
          <w:lang w:val="en-CA"/>
        </w:rPr>
        <w:t xml:space="preserve"> v. </w:t>
      </w:r>
      <w:r w:rsidR="00F2692E" w:rsidRPr="00A96D6A">
        <w:rPr>
          <w:i/>
          <w:sz w:val="20"/>
          <w:lang w:val="en-CA"/>
        </w:rPr>
        <w:t>Arcangioli</w:t>
      </w:r>
      <w:r w:rsidR="0007656D" w:rsidRPr="00A96D6A">
        <w:rPr>
          <w:iCs/>
          <w:sz w:val="20"/>
          <w:lang w:val="en-CA"/>
        </w:rPr>
        <w:t>,</w:t>
      </w:r>
      <w:r w:rsidR="00F2692E" w:rsidRPr="00A96D6A">
        <w:rPr>
          <w:sz w:val="20"/>
          <w:lang w:val="en-CA"/>
        </w:rPr>
        <w:t xml:space="preserve"> [1994] 1 </w:t>
      </w:r>
      <w:r w:rsidR="006A3A36" w:rsidRPr="00A96D6A">
        <w:rPr>
          <w:sz w:val="20"/>
          <w:lang w:val="en-CA"/>
        </w:rPr>
        <w:t>S.C.R.</w:t>
      </w:r>
      <w:r w:rsidR="00F2692E" w:rsidRPr="00A96D6A">
        <w:rPr>
          <w:sz w:val="20"/>
          <w:lang w:val="en-CA"/>
        </w:rPr>
        <w:t xml:space="preserve"> 129; </w:t>
      </w:r>
      <w:r w:rsidR="00DC3D8B">
        <w:rPr>
          <w:sz w:val="20"/>
          <w:lang w:val="en-CA"/>
        </w:rPr>
        <w:t>regarding that</w:t>
      </w:r>
      <w:r w:rsidR="008F4FAA">
        <w:rPr>
          <w:sz w:val="20"/>
          <w:lang w:val="en-CA"/>
        </w:rPr>
        <w:t xml:space="preserve"> decision</w:t>
      </w:r>
      <w:r w:rsidRPr="00A96D6A">
        <w:rPr>
          <w:sz w:val="20"/>
          <w:lang w:val="en-CA"/>
        </w:rPr>
        <w:t xml:space="preserve">, Martin </w:t>
      </w:r>
      <w:r w:rsidR="008F4FAA">
        <w:rPr>
          <w:sz w:val="20"/>
          <w:lang w:val="en-CA"/>
        </w:rPr>
        <w:t xml:space="preserve">J. </w:t>
      </w:r>
      <w:r w:rsidR="00DC3D8B">
        <w:rPr>
          <w:sz w:val="20"/>
          <w:lang w:val="en-CA"/>
        </w:rPr>
        <w:t>stated</w:t>
      </w:r>
      <w:r w:rsidR="008F4FAA">
        <w:rPr>
          <w:sz w:val="20"/>
          <w:lang w:val="en-CA"/>
        </w:rPr>
        <w:t xml:space="preserve"> in</w:t>
      </w:r>
      <w:r w:rsidR="00F2692E" w:rsidRPr="00A96D6A">
        <w:rPr>
          <w:i/>
          <w:sz w:val="20"/>
          <w:lang w:val="en-CA" w:eastAsia="fr-CA"/>
        </w:rPr>
        <w:t xml:space="preserve"> Calnen</w:t>
      </w:r>
      <w:r w:rsidR="009C224F" w:rsidRPr="00A96D6A">
        <w:rPr>
          <w:sz w:val="20"/>
          <w:lang w:val="en-CA" w:eastAsia="fr-CA"/>
        </w:rPr>
        <w:t xml:space="preserve">, 2019 </w:t>
      </w:r>
      <w:r w:rsidR="006A3A36" w:rsidRPr="00A96D6A">
        <w:rPr>
          <w:sz w:val="20"/>
          <w:lang w:val="en-CA" w:eastAsia="fr-CA"/>
        </w:rPr>
        <w:t>SCC</w:t>
      </w:r>
      <w:r w:rsidR="009C224F" w:rsidRPr="00A96D6A">
        <w:rPr>
          <w:sz w:val="20"/>
          <w:lang w:val="en-CA" w:eastAsia="fr-CA"/>
        </w:rPr>
        <w:t xml:space="preserve"> 6, [2019] 1 </w:t>
      </w:r>
      <w:r w:rsidR="006A3A36" w:rsidRPr="00A96D6A">
        <w:rPr>
          <w:sz w:val="20"/>
          <w:lang w:val="en-CA" w:eastAsia="fr-CA"/>
        </w:rPr>
        <w:t>S.C.R.</w:t>
      </w:r>
      <w:r w:rsidR="009C224F" w:rsidRPr="00A96D6A">
        <w:rPr>
          <w:sz w:val="20"/>
          <w:lang w:val="en-CA" w:eastAsia="fr-CA"/>
        </w:rPr>
        <w:t xml:space="preserve"> 301 </w:t>
      </w:r>
      <w:r w:rsidR="006A3A36" w:rsidRPr="00A96D6A">
        <w:rPr>
          <w:sz w:val="20"/>
          <w:lang w:val="en-CA" w:eastAsia="fr-CA"/>
        </w:rPr>
        <w:t>at para.</w:t>
      </w:r>
      <w:r w:rsidR="009C224F" w:rsidRPr="00A96D6A">
        <w:rPr>
          <w:sz w:val="20"/>
          <w:lang w:val="en-CA" w:eastAsia="fr-CA"/>
        </w:rPr>
        <w:t xml:space="preserve"> 120</w:t>
      </w:r>
      <w:r w:rsidR="00DC3D8B">
        <w:rPr>
          <w:sz w:val="20"/>
          <w:lang w:val="en-CA" w:eastAsia="fr-CA"/>
        </w:rPr>
        <w:t xml:space="preserve"> that,</w:t>
      </w:r>
      <w:r w:rsidRPr="00A96D6A">
        <w:rPr>
          <w:sz w:val="20"/>
          <w:lang w:val="en-CA" w:eastAsia="fr-CA"/>
        </w:rPr>
        <w:t xml:space="preserve"> </w:t>
      </w:r>
      <w:r w:rsidR="00D0181F">
        <w:rPr>
          <w:sz w:val="20"/>
          <w:lang w:val="en-CA" w:eastAsia="fr-CA"/>
        </w:rPr>
        <w:t>“</w:t>
      </w:r>
      <w:r w:rsidR="00D0181F" w:rsidRPr="00D0181F">
        <w:rPr>
          <w:sz w:val="20"/>
          <w:lang w:val="en-CA" w:eastAsia="fr-CA"/>
        </w:rPr>
        <w:t xml:space="preserve">This Court’s decision in </w:t>
      </w:r>
      <w:r w:rsidR="00D0181F" w:rsidRPr="00C918AF">
        <w:rPr>
          <w:i/>
          <w:iCs/>
          <w:sz w:val="20"/>
          <w:lang w:val="en-CA" w:eastAsia="fr-CA"/>
        </w:rPr>
        <w:t>Arcangioli</w:t>
      </w:r>
      <w:r w:rsidR="00D0181F" w:rsidRPr="00D0181F">
        <w:rPr>
          <w:sz w:val="20"/>
          <w:lang w:val="en-CA" w:eastAsia="fr-CA"/>
        </w:rPr>
        <w:t xml:space="preserve"> does not stand for the proposition that after-the-fact conduct cannot, as a matter of law, be used to establish intent or levels of culpability as between different offences</w:t>
      </w:r>
      <w:r w:rsidR="00D0181F">
        <w:rPr>
          <w:sz w:val="20"/>
          <w:lang w:val="en-CA" w:eastAsia="fr-CA"/>
        </w:rPr>
        <w:t>”</w:t>
      </w:r>
      <w:r w:rsidR="005D4067">
        <w:rPr>
          <w:sz w:val="20"/>
          <w:lang w:val="en-CA" w:eastAsia="fr-CA"/>
        </w:rPr>
        <w:t>.</w:t>
      </w:r>
      <w:r w:rsidRPr="00A96D6A">
        <w:rPr>
          <w:sz w:val="20"/>
          <w:lang w:val="en-CA" w:eastAsia="fr-CA"/>
        </w:rPr>
        <w:t xml:space="preserve"> </w:t>
      </w:r>
      <w:r w:rsidR="0012581D" w:rsidRPr="00B92A5F">
        <w:rPr>
          <w:sz w:val="20"/>
          <w:lang w:val="en-CA" w:eastAsia="fr-CA"/>
        </w:rPr>
        <w:t>See</w:t>
      </w:r>
      <w:r w:rsidR="00F310D5" w:rsidRPr="00B92A5F">
        <w:rPr>
          <w:sz w:val="20"/>
          <w:lang w:val="en-CA" w:eastAsia="fr-CA"/>
        </w:rPr>
        <w:t xml:space="preserve"> </w:t>
      </w:r>
      <w:r w:rsidR="00F310D5" w:rsidRPr="00B92A5F">
        <w:rPr>
          <w:i/>
          <w:sz w:val="20"/>
          <w:lang w:val="en-CA" w:eastAsia="fr-CA"/>
        </w:rPr>
        <w:t>R. v. Adan</w:t>
      </w:r>
      <w:r w:rsidR="00F310D5" w:rsidRPr="00B92A5F">
        <w:rPr>
          <w:sz w:val="20"/>
          <w:lang w:val="en-CA" w:eastAsia="fr-CA"/>
        </w:rPr>
        <w:t xml:space="preserve">, 2019 ONCA 709 </w:t>
      </w:r>
      <w:r w:rsidR="006A3A36" w:rsidRPr="00B92A5F">
        <w:rPr>
          <w:sz w:val="20"/>
          <w:lang w:val="en-CA" w:eastAsia="fr-CA"/>
        </w:rPr>
        <w:t>at para.</w:t>
      </w:r>
      <w:r w:rsidR="00F310D5" w:rsidRPr="00B92A5F">
        <w:rPr>
          <w:sz w:val="20"/>
          <w:lang w:val="en-CA" w:eastAsia="fr-CA"/>
        </w:rPr>
        <w:t xml:space="preserve"> 69; </w:t>
      </w:r>
      <w:r w:rsidR="00F310D5" w:rsidRPr="00B92A5F">
        <w:rPr>
          <w:i/>
          <w:sz w:val="20"/>
          <w:lang w:val="en-CA" w:eastAsia="fr-CA"/>
        </w:rPr>
        <w:t>R. v. McGregor</w:t>
      </w:r>
      <w:r w:rsidR="00F310D5" w:rsidRPr="00B92A5F">
        <w:rPr>
          <w:sz w:val="20"/>
          <w:lang w:val="en-CA" w:eastAsia="fr-CA"/>
        </w:rPr>
        <w:t xml:space="preserve">, 2019 ONCA 307 </w:t>
      </w:r>
      <w:r w:rsidR="006A3A36" w:rsidRPr="00B92A5F">
        <w:rPr>
          <w:sz w:val="20"/>
          <w:lang w:val="en-CA" w:eastAsia="fr-CA"/>
        </w:rPr>
        <w:t>at para.</w:t>
      </w:r>
      <w:r w:rsidR="00F310D5" w:rsidRPr="00B92A5F">
        <w:rPr>
          <w:sz w:val="20"/>
          <w:lang w:val="en-CA" w:eastAsia="fr-CA"/>
        </w:rPr>
        <w:t xml:space="preserve"> 102; </w:t>
      </w:r>
      <w:r w:rsidR="00F310D5" w:rsidRPr="00B92A5F">
        <w:rPr>
          <w:i/>
          <w:sz w:val="20"/>
          <w:lang w:val="en-CA" w:eastAsia="fr-CA"/>
        </w:rPr>
        <w:t>R. v. Café</w:t>
      </w:r>
      <w:r w:rsidR="00F310D5" w:rsidRPr="00B92A5F">
        <w:rPr>
          <w:sz w:val="20"/>
          <w:lang w:val="en-CA" w:eastAsia="fr-CA"/>
        </w:rPr>
        <w:t xml:space="preserve">, 2019 ONCA 775 </w:t>
      </w:r>
      <w:r w:rsidR="006A3A36" w:rsidRPr="00B92A5F">
        <w:rPr>
          <w:sz w:val="20"/>
          <w:lang w:val="en-CA" w:eastAsia="fr-CA"/>
        </w:rPr>
        <w:t>at para.</w:t>
      </w:r>
      <w:r w:rsidR="00F310D5" w:rsidRPr="00B92A5F">
        <w:rPr>
          <w:sz w:val="20"/>
          <w:lang w:val="en-CA" w:eastAsia="fr-CA"/>
        </w:rPr>
        <w:t xml:space="preserve"> </w:t>
      </w:r>
      <w:r w:rsidR="00F310D5" w:rsidRPr="00A96D6A">
        <w:rPr>
          <w:sz w:val="20"/>
          <w:lang w:val="en-CA" w:eastAsia="fr-CA"/>
        </w:rPr>
        <w:t xml:space="preserve">55; </w:t>
      </w:r>
      <w:r w:rsidR="00F310D5" w:rsidRPr="00A96D6A">
        <w:rPr>
          <w:i/>
          <w:sz w:val="20"/>
          <w:lang w:val="en-CA" w:eastAsia="fr-CA"/>
        </w:rPr>
        <w:t>R. v. Morin</w:t>
      </w:r>
      <w:r w:rsidR="00F310D5" w:rsidRPr="00A96D6A">
        <w:rPr>
          <w:sz w:val="20"/>
          <w:lang w:val="en-CA" w:eastAsia="fr-CA"/>
        </w:rPr>
        <w:t xml:space="preserve">, 2021 ONCA 307 </w:t>
      </w:r>
      <w:r w:rsidR="006A3A36" w:rsidRPr="00A96D6A">
        <w:rPr>
          <w:sz w:val="20"/>
          <w:lang w:val="en-CA" w:eastAsia="fr-CA"/>
        </w:rPr>
        <w:t>at para.</w:t>
      </w:r>
      <w:r w:rsidR="00F310D5" w:rsidRPr="00A96D6A">
        <w:rPr>
          <w:sz w:val="20"/>
          <w:lang w:val="en-CA" w:eastAsia="fr-CA"/>
        </w:rPr>
        <w:t xml:space="preserve"> 49; </w:t>
      </w:r>
      <w:r w:rsidR="00F310D5" w:rsidRPr="00A96D6A">
        <w:rPr>
          <w:i/>
          <w:sz w:val="20"/>
          <w:lang w:val="en-CA" w:eastAsia="fr-CA"/>
        </w:rPr>
        <w:t>R. v. Wood</w:t>
      </w:r>
      <w:r w:rsidR="00F310D5" w:rsidRPr="00A96D6A">
        <w:rPr>
          <w:sz w:val="20"/>
          <w:lang w:val="en-CA" w:eastAsia="fr-CA"/>
        </w:rPr>
        <w:t xml:space="preserve">, 2022 ONCA 87 </w:t>
      </w:r>
      <w:r w:rsidR="006A3A36" w:rsidRPr="00A96D6A">
        <w:rPr>
          <w:sz w:val="20"/>
          <w:lang w:val="en-CA" w:eastAsia="fr-CA"/>
        </w:rPr>
        <w:t>at para.</w:t>
      </w:r>
      <w:r w:rsidR="00F310D5" w:rsidRPr="00A96D6A">
        <w:rPr>
          <w:sz w:val="20"/>
          <w:lang w:val="en-CA" w:eastAsia="fr-CA"/>
        </w:rPr>
        <w:t xml:space="preserve"> 123; </w:t>
      </w:r>
      <w:r w:rsidR="00F310D5" w:rsidRPr="00A96D6A">
        <w:rPr>
          <w:i/>
          <w:sz w:val="20"/>
          <w:lang w:val="en-CA" w:eastAsia="fr-CA"/>
        </w:rPr>
        <w:t>R. v. Reddick</w:t>
      </w:r>
      <w:r w:rsidR="00F310D5" w:rsidRPr="00A96D6A">
        <w:rPr>
          <w:sz w:val="20"/>
          <w:lang w:val="en-CA" w:eastAsia="fr-CA"/>
        </w:rPr>
        <w:t xml:space="preserve">, 2021 ONCA 418 </w:t>
      </w:r>
      <w:r w:rsidR="006A3A36" w:rsidRPr="00A96D6A">
        <w:rPr>
          <w:sz w:val="20"/>
          <w:lang w:val="en-CA" w:eastAsia="fr-CA"/>
        </w:rPr>
        <w:t>at para.</w:t>
      </w:r>
      <w:r w:rsidR="00F310D5" w:rsidRPr="00A96D6A">
        <w:rPr>
          <w:sz w:val="20"/>
          <w:lang w:val="en-CA" w:eastAsia="fr-CA"/>
        </w:rPr>
        <w:t xml:space="preserve"> 120.</w:t>
      </w:r>
    </w:p>
  </w:footnote>
  <w:footnote w:id="57">
    <w:p w14:paraId="7E2CD3E8" w14:textId="6DC75DE2" w:rsidR="00C0100F" w:rsidRPr="00A96D6A" w:rsidRDefault="00C0100F" w:rsidP="00C0100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827699">
        <w:rPr>
          <w:lang w:val="en-CA"/>
        </w:rPr>
        <w:t>In</w:t>
      </w:r>
      <w:r w:rsidR="00BA3B74">
        <w:rPr>
          <w:lang w:val="en-CA"/>
        </w:rPr>
        <w:t xml:space="preserve"> his work,</w:t>
      </w:r>
      <w:r w:rsidR="00827699">
        <w:rPr>
          <w:lang w:val="en-CA"/>
        </w:rPr>
        <w:t xml:space="preserve"> </w:t>
      </w:r>
      <w:r w:rsidRPr="00A96D6A">
        <w:rPr>
          <w:i/>
          <w:lang w:val="en-CA"/>
        </w:rPr>
        <w:t>Helping Jurors Understand</w:t>
      </w:r>
      <w:r w:rsidRPr="00A96D6A">
        <w:rPr>
          <w:lang w:val="en-CA"/>
        </w:rPr>
        <w:t xml:space="preserve">, Watt </w:t>
      </w:r>
      <w:r w:rsidR="00827699">
        <w:rPr>
          <w:lang w:val="en-CA"/>
        </w:rPr>
        <w:t xml:space="preserve">J. </w:t>
      </w:r>
      <w:r w:rsidR="00827699" w:rsidRPr="00827699">
        <w:rPr>
          <w:lang w:val="en-CA"/>
        </w:rPr>
        <w:t xml:space="preserve">suggests that it is </w:t>
      </w:r>
      <w:r w:rsidR="00827699">
        <w:rPr>
          <w:lang w:val="en-CA"/>
        </w:rPr>
        <w:t>preferable</w:t>
      </w:r>
      <w:r w:rsidR="00827699" w:rsidRPr="00827699">
        <w:rPr>
          <w:lang w:val="en-CA"/>
        </w:rPr>
        <w:t xml:space="preserve"> to use the term “position” </w:t>
      </w:r>
      <w:r w:rsidR="005D4067">
        <w:rPr>
          <w:lang w:val="en-CA"/>
        </w:rPr>
        <w:t xml:space="preserve">rather </w:t>
      </w:r>
      <w:r w:rsidR="00827699" w:rsidRPr="00827699">
        <w:rPr>
          <w:lang w:val="en-CA"/>
        </w:rPr>
        <w:t>than “</w:t>
      </w:r>
      <w:r w:rsidR="009B3118" w:rsidRPr="00827699">
        <w:rPr>
          <w:lang w:val="en-CA"/>
        </w:rPr>
        <w:t>theory”</w:t>
      </w:r>
      <w:r w:rsidR="009B3118">
        <w:rPr>
          <w:lang w:val="en-CA"/>
        </w:rPr>
        <w:t xml:space="preserve"> (</w:t>
      </w:r>
      <w:r w:rsidRPr="00A96D6A">
        <w:rPr>
          <w:lang w:val="en-CA"/>
        </w:rPr>
        <w:t>Thomson Carswell, 2007</w:t>
      </w:r>
      <w:r w:rsidR="00DC24AD">
        <w:rPr>
          <w:lang w:val="en-CA"/>
        </w:rPr>
        <w:t>)</w:t>
      </w:r>
      <w:r w:rsidRPr="00A96D6A">
        <w:rPr>
          <w:lang w:val="en-CA"/>
        </w:rPr>
        <w:t xml:space="preserve"> </w:t>
      </w:r>
      <w:r w:rsidR="00827699">
        <w:rPr>
          <w:lang w:val="en-CA"/>
        </w:rPr>
        <w:t>at</w:t>
      </w:r>
      <w:r w:rsidRPr="00A96D6A">
        <w:rPr>
          <w:lang w:val="en-CA"/>
        </w:rPr>
        <w:t xml:space="preserve"> 178</w:t>
      </w:r>
      <w:r w:rsidR="00DC24AD">
        <w:rPr>
          <w:lang w:val="en-CA"/>
        </w:rPr>
        <w:t>–</w:t>
      </w:r>
      <w:r w:rsidRPr="00A96D6A">
        <w:rPr>
          <w:lang w:val="en-CA"/>
        </w:rPr>
        <w:t>179.</w:t>
      </w:r>
    </w:p>
  </w:footnote>
  <w:footnote w:id="58">
    <w:p w14:paraId="18CA6232" w14:textId="53510DAC" w:rsidR="00C0100F" w:rsidRPr="00A96D6A" w:rsidRDefault="00C0100F" w:rsidP="00C0100F">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D. Watt, </w:t>
      </w:r>
      <w:r w:rsidRPr="00A96D6A">
        <w:rPr>
          <w:i/>
          <w:lang w:val="en-CA"/>
        </w:rPr>
        <w:t>Helping Jurors Understand</w:t>
      </w:r>
      <w:r w:rsidR="00DC24AD">
        <w:rPr>
          <w:i/>
          <w:lang w:val="en-CA"/>
        </w:rPr>
        <w:t xml:space="preserve"> </w:t>
      </w:r>
      <w:r w:rsidR="00DC24AD">
        <w:rPr>
          <w:lang w:val="en-CA"/>
        </w:rPr>
        <w:t>(</w:t>
      </w:r>
      <w:r w:rsidRPr="00A96D6A">
        <w:rPr>
          <w:lang w:val="en-CA"/>
        </w:rPr>
        <w:t>Thomson Carswell, 2007</w:t>
      </w:r>
      <w:r w:rsidR="00DC24AD">
        <w:rPr>
          <w:lang w:val="en-CA"/>
        </w:rPr>
        <w:t>)</w:t>
      </w:r>
      <w:r w:rsidRPr="00A96D6A">
        <w:rPr>
          <w:lang w:val="en-CA"/>
        </w:rPr>
        <w:t xml:space="preserve"> </w:t>
      </w:r>
      <w:r w:rsidR="00BA3B74">
        <w:rPr>
          <w:lang w:val="en-CA"/>
        </w:rPr>
        <w:t>at</w:t>
      </w:r>
      <w:r w:rsidRPr="00A96D6A">
        <w:rPr>
          <w:lang w:val="en-CA"/>
        </w:rPr>
        <w:t xml:space="preserve"> 178</w:t>
      </w:r>
      <w:r w:rsidR="00DC24AD">
        <w:rPr>
          <w:lang w:val="en-CA"/>
        </w:rPr>
        <w:t>–</w:t>
      </w:r>
      <w:r w:rsidRPr="00A96D6A">
        <w:rPr>
          <w:lang w:val="en-CA"/>
        </w:rPr>
        <w:t>180.</w:t>
      </w:r>
    </w:p>
  </w:footnote>
  <w:footnote w:id="59">
    <w:p w14:paraId="2725D5D5" w14:textId="6786684F" w:rsidR="00C0100F" w:rsidRPr="00A96D6A" w:rsidRDefault="00C0100F" w:rsidP="00C0100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Rose</w:t>
      </w:r>
      <w:r w:rsidRPr="00A96D6A">
        <w:rPr>
          <w:lang w:val="en-CA"/>
        </w:rPr>
        <w:t xml:space="preserve">, [1998] 3 </w:t>
      </w:r>
      <w:r w:rsidR="006A3A36" w:rsidRPr="00A96D6A">
        <w:rPr>
          <w:lang w:val="en-CA"/>
        </w:rPr>
        <w:t>S.C.R.</w:t>
      </w:r>
      <w:r w:rsidRPr="00A96D6A">
        <w:rPr>
          <w:lang w:val="en-CA"/>
        </w:rPr>
        <w:t xml:space="preserve"> 262 </w:t>
      </w:r>
      <w:r w:rsidR="006A3A36" w:rsidRPr="00A96D6A">
        <w:rPr>
          <w:lang w:val="en-CA"/>
        </w:rPr>
        <w:t>at para.</w:t>
      </w:r>
      <w:r w:rsidRPr="00A96D6A">
        <w:rPr>
          <w:lang w:val="en-CA"/>
        </w:rPr>
        <w:t xml:space="preserve"> 107.</w:t>
      </w:r>
    </w:p>
  </w:footnote>
  <w:footnote w:id="60">
    <w:p w14:paraId="718912A9" w14:textId="39465C5C" w:rsidR="00C0100F" w:rsidRPr="00A96D6A" w:rsidRDefault="00C0100F" w:rsidP="00C0100F">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E.G. Ewaschuck, </w:t>
      </w:r>
      <w:r w:rsidRPr="00A96D6A">
        <w:rPr>
          <w:i/>
          <w:lang w:val="en-CA"/>
        </w:rPr>
        <w:t>Criminal Pleadings &amp; Practice in Canada</w:t>
      </w:r>
      <w:r w:rsidRPr="00A96D6A">
        <w:rPr>
          <w:lang w:val="en-CA"/>
        </w:rPr>
        <w:t>, 2</w:t>
      </w:r>
      <w:r w:rsidR="00856565">
        <w:rPr>
          <w:lang w:val="en-CA"/>
        </w:rPr>
        <w:t>nd</w:t>
      </w:r>
      <w:r w:rsidRPr="00A96D6A">
        <w:rPr>
          <w:lang w:val="en-CA"/>
        </w:rPr>
        <w:t xml:space="preserve"> </w:t>
      </w:r>
      <w:r w:rsidR="00856565">
        <w:rPr>
          <w:lang w:val="en-CA"/>
        </w:rPr>
        <w:t>e</w:t>
      </w:r>
      <w:r w:rsidRPr="00A96D6A">
        <w:rPr>
          <w:lang w:val="en-CA"/>
        </w:rPr>
        <w:t>d. (</w:t>
      </w:r>
      <w:r w:rsidR="00856565">
        <w:rPr>
          <w:lang w:val="en-CA"/>
        </w:rPr>
        <w:t>loose-leaf</w:t>
      </w:r>
      <w:r w:rsidRPr="00A96D6A">
        <w:rPr>
          <w:lang w:val="en-CA"/>
        </w:rPr>
        <w:t xml:space="preserve">, </w:t>
      </w:r>
      <w:r w:rsidR="00856565">
        <w:rPr>
          <w:lang w:val="en-CA"/>
        </w:rPr>
        <w:t>update</w:t>
      </w:r>
      <w:r w:rsidR="00ED6CBF">
        <w:rPr>
          <w:lang w:val="en-CA"/>
        </w:rPr>
        <w:t>d</w:t>
      </w:r>
      <w:r w:rsidR="00856565">
        <w:rPr>
          <w:lang w:val="en-CA"/>
        </w:rPr>
        <w:t xml:space="preserve"> July</w:t>
      </w:r>
      <w:r w:rsidRPr="00A96D6A">
        <w:rPr>
          <w:lang w:val="en-CA"/>
        </w:rPr>
        <w:t xml:space="preserve"> 2022</w:t>
      </w:r>
      <w:r w:rsidR="00ED6CBF">
        <w:rPr>
          <w:lang w:val="en-CA"/>
        </w:rPr>
        <w:t>, release 5</w:t>
      </w:r>
      <w:r w:rsidRPr="00A96D6A">
        <w:rPr>
          <w:lang w:val="en-CA"/>
        </w:rPr>
        <w:t xml:space="preserve">) </w:t>
      </w:r>
      <w:r w:rsidR="006A3A36" w:rsidRPr="00A96D6A">
        <w:rPr>
          <w:lang w:val="en-CA"/>
        </w:rPr>
        <w:t>at para</w:t>
      </w:r>
      <w:r w:rsidR="0002443A">
        <w:rPr>
          <w:lang w:val="en-CA"/>
        </w:rPr>
        <w:t>s</w:t>
      </w:r>
      <w:r w:rsidR="006A3A36" w:rsidRPr="00A96D6A">
        <w:rPr>
          <w:lang w:val="en-CA"/>
        </w:rPr>
        <w:t>.</w:t>
      </w:r>
      <w:r w:rsidRPr="00A96D6A">
        <w:rPr>
          <w:lang w:val="en-CA"/>
        </w:rPr>
        <w:t xml:space="preserve"> 17:106</w:t>
      </w:r>
      <w:r w:rsidR="007F0237">
        <w:rPr>
          <w:lang w:val="en-CA"/>
        </w:rPr>
        <w:t>–</w:t>
      </w:r>
      <w:r w:rsidRPr="00A96D6A">
        <w:rPr>
          <w:lang w:val="en-CA"/>
        </w:rPr>
        <w:t xml:space="preserve">17:107; D. Watt, </w:t>
      </w:r>
      <w:r w:rsidRPr="00A96D6A">
        <w:rPr>
          <w:i/>
          <w:lang w:val="en-CA"/>
        </w:rPr>
        <w:t xml:space="preserve">Helping Jurors </w:t>
      </w:r>
      <w:r w:rsidR="009B3118" w:rsidRPr="00A96D6A">
        <w:rPr>
          <w:i/>
          <w:lang w:val="en-CA"/>
        </w:rPr>
        <w:t>Understand</w:t>
      </w:r>
      <w:r w:rsidR="009B3118">
        <w:rPr>
          <w:lang w:val="en-CA"/>
        </w:rPr>
        <w:t xml:space="preserve"> (</w:t>
      </w:r>
      <w:r w:rsidRPr="00A96D6A">
        <w:rPr>
          <w:lang w:val="en-CA"/>
        </w:rPr>
        <w:t>Thomson Carswell, 2007</w:t>
      </w:r>
      <w:r w:rsidR="007F0237">
        <w:rPr>
          <w:lang w:val="en-CA"/>
        </w:rPr>
        <w:t>)</w:t>
      </w:r>
      <w:r w:rsidRPr="00A96D6A">
        <w:rPr>
          <w:lang w:val="en-CA"/>
        </w:rPr>
        <w:t xml:space="preserve"> </w:t>
      </w:r>
      <w:r w:rsidR="00856565">
        <w:rPr>
          <w:lang w:val="en-CA"/>
        </w:rPr>
        <w:t>at</w:t>
      </w:r>
      <w:r w:rsidRPr="00A96D6A">
        <w:rPr>
          <w:lang w:val="en-CA"/>
        </w:rPr>
        <w:t xml:space="preserve"> 180.</w:t>
      </w:r>
    </w:p>
  </w:footnote>
  <w:footnote w:id="61">
    <w:p w14:paraId="3E35C19A" w14:textId="79F2EE35" w:rsidR="00525251" w:rsidRPr="00A96D6A" w:rsidRDefault="00525251" w:rsidP="00C830B3">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Primeau</w:t>
      </w:r>
      <w:r w:rsidR="006A3A36" w:rsidRPr="00A96D6A">
        <w:rPr>
          <w:i/>
          <w:iCs/>
          <w:lang w:val="en-CA"/>
        </w:rPr>
        <w:t xml:space="preserve"> </w:t>
      </w:r>
      <w:r w:rsidR="00387390">
        <w:rPr>
          <w:i/>
          <w:iCs/>
          <w:lang w:val="en-CA"/>
        </w:rPr>
        <w:t>c</w:t>
      </w:r>
      <w:r w:rsidR="006A3A36" w:rsidRPr="00A96D6A">
        <w:rPr>
          <w:i/>
          <w:iCs/>
          <w:lang w:val="en-CA"/>
        </w:rPr>
        <w:t xml:space="preserve">. </w:t>
      </w:r>
      <w:r w:rsidRPr="00A96D6A">
        <w:rPr>
          <w:i/>
          <w:lang w:val="en-CA"/>
        </w:rPr>
        <w:t>R.,</w:t>
      </w:r>
      <w:r w:rsidRPr="00A96D6A">
        <w:rPr>
          <w:lang w:val="en-CA"/>
        </w:rPr>
        <w:t xml:space="preserve"> 2021 QCCA 544 </w:t>
      </w:r>
      <w:r w:rsidR="006A3A36" w:rsidRPr="00A96D6A">
        <w:rPr>
          <w:lang w:val="en-CA"/>
        </w:rPr>
        <w:t>at para.</w:t>
      </w:r>
      <w:r w:rsidRPr="00A96D6A">
        <w:rPr>
          <w:lang w:val="en-CA"/>
        </w:rPr>
        <w:t xml:space="preserve"> 49. </w:t>
      </w:r>
    </w:p>
  </w:footnote>
  <w:footnote w:id="62">
    <w:p w14:paraId="2F510431" w14:textId="3A209799" w:rsidR="00525251" w:rsidRPr="00A96D6A" w:rsidRDefault="00525251" w:rsidP="00C830B3">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Calnen</w:t>
      </w:r>
      <w:r w:rsidRPr="00A96D6A">
        <w:rPr>
          <w:lang w:val="en-CA"/>
        </w:rPr>
        <w:t xml:space="preserve">, 2019 </w:t>
      </w:r>
      <w:r w:rsidR="006A3A36" w:rsidRPr="00A96D6A">
        <w:rPr>
          <w:lang w:val="en-CA"/>
        </w:rPr>
        <w:t>SCC</w:t>
      </w:r>
      <w:r w:rsidRPr="00A96D6A">
        <w:rPr>
          <w:lang w:val="en-CA"/>
        </w:rPr>
        <w:t xml:space="preserve"> 6, [2019] 1 </w:t>
      </w:r>
      <w:r w:rsidR="006A3A36" w:rsidRPr="00A96D6A">
        <w:rPr>
          <w:lang w:val="en-CA"/>
        </w:rPr>
        <w:t>S.C.R.</w:t>
      </w:r>
      <w:r w:rsidRPr="00A96D6A">
        <w:rPr>
          <w:lang w:val="en-CA"/>
        </w:rPr>
        <w:t xml:space="preserve"> 301 </w:t>
      </w:r>
      <w:r w:rsidR="006A3A36" w:rsidRPr="00A96D6A">
        <w:rPr>
          <w:lang w:val="en-CA"/>
        </w:rPr>
        <w:t>at para.</w:t>
      </w:r>
      <w:r w:rsidRPr="00A96D6A">
        <w:rPr>
          <w:lang w:val="en-CA"/>
        </w:rPr>
        <w:t xml:space="preserve"> 9; </w:t>
      </w:r>
      <w:r w:rsidRPr="00A96D6A">
        <w:rPr>
          <w:i/>
          <w:lang w:val="en-CA"/>
        </w:rPr>
        <w:t>Primeau</w:t>
      </w:r>
      <w:r w:rsidR="006A3A36" w:rsidRPr="00A96D6A">
        <w:rPr>
          <w:i/>
          <w:iCs/>
          <w:lang w:val="en-CA"/>
        </w:rPr>
        <w:t xml:space="preserve"> </w:t>
      </w:r>
      <w:r w:rsidR="00E05BC8">
        <w:rPr>
          <w:i/>
          <w:iCs/>
          <w:lang w:val="en-CA"/>
        </w:rPr>
        <w:t>c</w:t>
      </w:r>
      <w:r w:rsidR="006A3A36" w:rsidRPr="00A96D6A">
        <w:rPr>
          <w:i/>
          <w:iCs/>
          <w:lang w:val="en-CA"/>
        </w:rPr>
        <w:t xml:space="preserve">. </w:t>
      </w:r>
      <w:r w:rsidRPr="00A96D6A">
        <w:rPr>
          <w:i/>
          <w:lang w:val="en-CA"/>
        </w:rPr>
        <w:t>R.</w:t>
      </w:r>
      <w:r w:rsidRPr="00A96D6A">
        <w:rPr>
          <w:lang w:val="en-CA"/>
        </w:rPr>
        <w:t xml:space="preserve">, 2021 QCCA 544 </w:t>
      </w:r>
      <w:r w:rsidR="006A3A36" w:rsidRPr="00A96D6A">
        <w:rPr>
          <w:lang w:val="en-CA"/>
        </w:rPr>
        <w:t>at para.</w:t>
      </w:r>
      <w:r w:rsidRPr="00A96D6A">
        <w:rPr>
          <w:lang w:val="en-CA"/>
        </w:rPr>
        <w:t xml:space="preserve"> 53; </w:t>
      </w:r>
      <w:r w:rsidRPr="00A96D6A">
        <w:rPr>
          <w:i/>
          <w:lang w:val="en-CA"/>
        </w:rPr>
        <w:t>Beauchamp</w:t>
      </w:r>
      <w:r w:rsidR="006A3A36" w:rsidRPr="00A96D6A">
        <w:rPr>
          <w:i/>
          <w:iCs/>
          <w:lang w:val="en-CA"/>
        </w:rPr>
        <w:t xml:space="preserve"> </w:t>
      </w:r>
      <w:r w:rsidR="00E05BC8">
        <w:rPr>
          <w:i/>
          <w:iCs/>
          <w:lang w:val="en-CA"/>
        </w:rPr>
        <w:t>c</w:t>
      </w:r>
      <w:r w:rsidR="006A3A36" w:rsidRPr="00A96D6A">
        <w:rPr>
          <w:i/>
          <w:iCs/>
          <w:lang w:val="en-CA"/>
        </w:rPr>
        <w:t xml:space="preserve">. </w:t>
      </w:r>
      <w:r w:rsidRPr="00A96D6A">
        <w:rPr>
          <w:i/>
          <w:lang w:val="en-CA"/>
        </w:rPr>
        <w:t>R.</w:t>
      </w:r>
      <w:r w:rsidRPr="00A96D6A">
        <w:rPr>
          <w:lang w:val="en-CA"/>
        </w:rPr>
        <w:t xml:space="preserve">, 2022 QCCA 339 </w:t>
      </w:r>
      <w:r w:rsidR="006A3A36" w:rsidRPr="00A96D6A">
        <w:rPr>
          <w:lang w:val="en-CA"/>
        </w:rPr>
        <w:t>at para.</w:t>
      </w:r>
      <w:r w:rsidRPr="00A96D6A">
        <w:rPr>
          <w:lang w:val="en-CA"/>
        </w:rPr>
        <w:t xml:space="preserve"> 24.</w:t>
      </w:r>
    </w:p>
  </w:footnote>
  <w:footnote w:id="63">
    <w:p w14:paraId="5C8A3E4F" w14:textId="548DC29D" w:rsidR="00525251" w:rsidRPr="00A96D6A" w:rsidRDefault="00525251" w:rsidP="0050338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Rodgerson</w:t>
      </w:r>
      <w:r w:rsidRPr="00A96D6A">
        <w:rPr>
          <w:lang w:val="en-CA"/>
        </w:rPr>
        <w:t xml:space="preserve">, 2015 </w:t>
      </w:r>
      <w:r w:rsidR="006A3A36" w:rsidRPr="00A96D6A">
        <w:rPr>
          <w:lang w:val="en-CA"/>
        </w:rPr>
        <w:t>SCC</w:t>
      </w:r>
      <w:r w:rsidRPr="00A96D6A">
        <w:rPr>
          <w:lang w:val="en-CA"/>
        </w:rPr>
        <w:t xml:space="preserve"> 38, [2015] 2 </w:t>
      </w:r>
      <w:r w:rsidR="006A3A36" w:rsidRPr="00A96D6A">
        <w:rPr>
          <w:lang w:val="en-CA"/>
        </w:rPr>
        <w:t>S.C.R.</w:t>
      </w:r>
      <w:r w:rsidRPr="00A96D6A">
        <w:rPr>
          <w:lang w:val="en-CA"/>
        </w:rPr>
        <w:t xml:space="preserve"> 760 </w:t>
      </w:r>
      <w:r w:rsidR="006A3A36" w:rsidRPr="00A96D6A">
        <w:rPr>
          <w:lang w:val="en-CA"/>
        </w:rPr>
        <w:t>at para.</w:t>
      </w:r>
      <w:r w:rsidRPr="00A96D6A">
        <w:rPr>
          <w:lang w:val="en-CA"/>
        </w:rPr>
        <w:t xml:space="preserve"> 50.</w:t>
      </w:r>
      <w:r w:rsidRPr="00A96D6A">
        <w:rPr>
          <w:lang w:val="en-CA" w:eastAsia="fr-CA"/>
        </w:rPr>
        <w:t xml:space="preserve"> </w:t>
      </w:r>
    </w:p>
  </w:footnote>
  <w:footnote w:id="64">
    <w:p w14:paraId="3E853830" w14:textId="5D6FDB53" w:rsidR="00525251" w:rsidRPr="00A96D6A" w:rsidRDefault="00525251" w:rsidP="0050338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Royz</w:t>
      </w:r>
      <w:r w:rsidRPr="00A96D6A">
        <w:rPr>
          <w:lang w:val="en-CA"/>
        </w:rPr>
        <w:t xml:space="preserve">, 2009 </w:t>
      </w:r>
      <w:r w:rsidR="006A3A36" w:rsidRPr="00A96D6A">
        <w:rPr>
          <w:lang w:val="en-CA"/>
        </w:rPr>
        <w:t>SCC</w:t>
      </w:r>
      <w:r w:rsidRPr="00A96D6A">
        <w:rPr>
          <w:lang w:val="en-CA"/>
        </w:rPr>
        <w:t xml:space="preserve"> 13, [2009] 1 </w:t>
      </w:r>
      <w:r w:rsidR="006A3A36" w:rsidRPr="00A96D6A">
        <w:rPr>
          <w:lang w:val="en-CA"/>
        </w:rPr>
        <w:t>S.C.R.</w:t>
      </w:r>
      <w:r w:rsidRPr="00A96D6A">
        <w:rPr>
          <w:lang w:val="en-CA"/>
        </w:rPr>
        <w:t xml:space="preserve"> 423 </w:t>
      </w:r>
      <w:r w:rsidR="006A3A36" w:rsidRPr="00A96D6A">
        <w:rPr>
          <w:lang w:val="en-CA"/>
        </w:rPr>
        <w:t>at para.</w:t>
      </w:r>
      <w:r w:rsidRPr="00A96D6A">
        <w:rPr>
          <w:lang w:val="en-CA"/>
        </w:rPr>
        <w:t xml:space="preserve"> 2.</w:t>
      </w:r>
    </w:p>
  </w:footnote>
  <w:footnote w:id="65">
    <w:p w14:paraId="17C95AF6" w14:textId="210E6E0C" w:rsidR="00525251" w:rsidRPr="00C14943" w:rsidRDefault="00525251" w:rsidP="00503385">
      <w:pPr>
        <w:pStyle w:val="Notedebasdepage"/>
        <w:rPr>
          <w:lang w:val="es-CL"/>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Rodgerson</w:t>
      </w:r>
      <w:r w:rsidRPr="00A96D6A">
        <w:rPr>
          <w:lang w:val="en-CA"/>
        </w:rPr>
        <w:t xml:space="preserve">, 2015 </w:t>
      </w:r>
      <w:r w:rsidR="006A3A36" w:rsidRPr="00A96D6A">
        <w:rPr>
          <w:lang w:val="en-CA"/>
        </w:rPr>
        <w:t>SCC</w:t>
      </w:r>
      <w:r w:rsidRPr="00A96D6A">
        <w:rPr>
          <w:lang w:val="en-CA"/>
        </w:rPr>
        <w:t xml:space="preserve"> 38, [2015] 2 </w:t>
      </w:r>
      <w:r w:rsidR="006A3A36" w:rsidRPr="00A96D6A">
        <w:rPr>
          <w:lang w:val="en-CA"/>
        </w:rPr>
        <w:t>S.C.R.</w:t>
      </w:r>
      <w:r w:rsidRPr="00A96D6A">
        <w:rPr>
          <w:lang w:val="en-CA"/>
        </w:rPr>
        <w:t xml:space="preserve"> 760 </w:t>
      </w:r>
      <w:r w:rsidR="006A3A36" w:rsidRPr="00A96D6A">
        <w:rPr>
          <w:lang w:val="en-CA"/>
        </w:rPr>
        <w:t>at para.</w:t>
      </w:r>
      <w:r w:rsidRPr="00A96D6A">
        <w:rPr>
          <w:lang w:val="en-CA"/>
        </w:rPr>
        <w:t xml:space="preserve"> </w:t>
      </w:r>
      <w:r w:rsidRPr="00C14943">
        <w:rPr>
          <w:lang w:val="es-CL"/>
        </w:rPr>
        <w:t xml:space="preserve">50; </w:t>
      </w:r>
      <w:r w:rsidRPr="00C14943">
        <w:rPr>
          <w:i/>
          <w:lang w:val="es-CL"/>
        </w:rPr>
        <w:t>Duchaussoy</w:t>
      </w:r>
      <w:r w:rsidR="006A3A36" w:rsidRPr="00C14943">
        <w:rPr>
          <w:i/>
          <w:iCs/>
          <w:lang w:val="es-CL"/>
        </w:rPr>
        <w:t xml:space="preserve"> </w:t>
      </w:r>
      <w:r w:rsidR="00E05BC8">
        <w:rPr>
          <w:i/>
          <w:iCs/>
          <w:lang w:val="es-CL"/>
        </w:rPr>
        <w:t>c</w:t>
      </w:r>
      <w:r w:rsidR="006A3A36" w:rsidRPr="00C14943">
        <w:rPr>
          <w:i/>
          <w:iCs/>
          <w:lang w:val="es-CL"/>
        </w:rPr>
        <w:t xml:space="preserve">. </w:t>
      </w:r>
      <w:r w:rsidRPr="00C14943">
        <w:rPr>
          <w:i/>
          <w:lang w:val="es-CL"/>
        </w:rPr>
        <w:t>R.</w:t>
      </w:r>
      <w:r w:rsidRPr="00C14943">
        <w:rPr>
          <w:lang w:val="es-CL"/>
        </w:rPr>
        <w:t xml:space="preserve">, 2020 QCCA 380 </w:t>
      </w:r>
      <w:r w:rsidR="006A3A36" w:rsidRPr="00C14943">
        <w:rPr>
          <w:lang w:val="es-CL"/>
        </w:rPr>
        <w:t>at para.</w:t>
      </w:r>
      <w:r w:rsidRPr="00C14943">
        <w:rPr>
          <w:lang w:val="es-CL"/>
        </w:rPr>
        <w:t xml:space="preserve"> 36; </w:t>
      </w:r>
      <w:r w:rsidRPr="00C14943">
        <w:rPr>
          <w:i/>
          <w:lang w:val="es-CL"/>
        </w:rPr>
        <w:t>Palma</w:t>
      </w:r>
      <w:r w:rsidR="006A3A36" w:rsidRPr="00C14943">
        <w:rPr>
          <w:i/>
          <w:iCs/>
          <w:lang w:val="es-CL"/>
        </w:rPr>
        <w:t xml:space="preserve"> </w:t>
      </w:r>
      <w:r w:rsidR="00E05BC8">
        <w:rPr>
          <w:i/>
          <w:iCs/>
          <w:lang w:val="es-CL"/>
        </w:rPr>
        <w:t>c</w:t>
      </w:r>
      <w:r w:rsidR="006A3A36" w:rsidRPr="00C14943">
        <w:rPr>
          <w:i/>
          <w:iCs/>
          <w:lang w:val="es-CL"/>
        </w:rPr>
        <w:t xml:space="preserve">. </w:t>
      </w:r>
      <w:r w:rsidRPr="00C14943">
        <w:rPr>
          <w:i/>
          <w:lang w:val="es-CL"/>
        </w:rPr>
        <w:t>R.</w:t>
      </w:r>
      <w:r w:rsidRPr="00C14943">
        <w:rPr>
          <w:lang w:val="es-CL"/>
        </w:rPr>
        <w:t xml:space="preserve">, 2019 QCCA 762 </w:t>
      </w:r>
      <w:r w:rsidR="006A3A36" w:rsidRPr="00C14943">
        <w:rPr>
          <w:lang w:val="es-CL"/>
        </w:rPr>
        <w:t>at para.</w:t>
      </w:r>
      <w:r w:rsidRPr="00C14943">
        <w:rPr>
          <w:lang w:val="es-CL"/>
        </w:rPr>
        <w:t xml:space="preserve"> 45.</w:t>
      </w:r>
    </w:p>
  </w:footnote>
  <w:footnote w:id="66">
    <w:p w14:paraId="4737F26E" w14:textId="5D7B2BC9" w:rsidR="00525251" w:rsidRPr="00A96D6A" w:rsidRDefault="00525251" w:rsidP="00D9352F">
      <w:pPr>
        <w:pStyle w:val="Notedebasdepage"/>
        <w:rPr>
          <w:lang w:val="en-CA"/>
        </w:rPr>
      </w:pPr>
      <w:r w:rsidRPr="00A96D6A">
        <w:rPr>
          <w:rStyle w:val="Appelnotedebasdep"/>
          <w:lang w:val="en-CA"/>
        </w:rPr>
        <w:footnoteRef/>
      </w:r>
      <w:r w:rsidRPr="00C14943">
        <w:rPr>
          <w:lang w:val="es-CL"/>
        </w:rPr>
        <w:t xml:space="preserve"> </w:t>
      </w:r>
      <w:r w:rsidRPr="00C14943">
        <w:rPr>
          <w:lang w:val="es-CL"/>
        </w:rPr>
        <w:tab/>
      </w:r>
      <w:r w:rsidRPr="00C14943">
        <w:rPr>
          <w:i/>
          <w:lang w:val="es-CL"/>
        </w:rPr>
        <w:t>R.</w:t>
      </w:r>
      <w:r w:rsidR="006A3A36" w:rsidRPr="00C14943">
        <w:rPr>
          <w:i/>
          <w:iCs/>
          <w:lang w:val="es-CL"/>
        </w:rPr>
        <w:t xml:space="preserve"> v. </w:t>
      </w:r>
      <w:r w:rsidRPr="00C14943">
        <w:rPr>
          <w:i/>
          <w:lang w:val="es-CL"/>
        </w:rPr>
        <w:t>R.V.</w:t>
      </w:r>
      <w:r w:rsidRPr="00C14943">
        <w:rPr>
          <w:lang w:val="es-CL"/>
        </w:rPr>
        <w:t xml:space="preserve">, 2021 </w:t>
      </w:r>
      <w:r w:rsidR="006A3A36" w:rsidRPr="00C14943">
        <w:rPr>
          <w:lang w:val="es-CL"/>
        </w:rPr>
        <w:t>SCC</w:t>
      </w:r>
      <w:r w:rsidRPr="00C14943">
        <w:rPr>
          <w:lang w:val="es-CL"/>
        </w:rPr>
        <w:t xml:space="preserve"> 10 </w:t>
      </w:r>
      <w:r w:rsidR="006A3A36" w:rsidRPr="00C14943">
        <w:rPr>
          <w:lang w:val="es-CL"/>
        </w:rPr>
        <w:t>at para.</w:t>
      </w:r>
      <w:r w:rsidRPr="00C14943">
        <w:rPr>
          <w:lang w:val="es-CL"/>
        </w:rPr>
        <w:t xml:space="preserve"> </w:t>
      </w:r>
      <w:r w:rsidRPr="00A96D6A">
        <w:rPr>
          <w:lang w:val="en-CA"/>
        </w:rPr>
        <w:t>64.</w:t>
      </w:r>
    </w:p>
  </w:footnote>
  <w:footnote w:id="67">
    <w:p w14:paraId="485C535B" w14:textId="77777777" w:rsidR="00525251" w:rsidRPr="00A96D6A" w:rsidRDefault="00525251" w:rsidP="00D9352F">
      <w:pPr>
        <w:pStyle w:val="Notedebasdepage"/>
        <w:rPr>
          <w:i/>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Ibid.</w:t>
      </w:r>
    </w:p>
  </w:footnote>
  <w:footnote w:id="68">
    <w:p w14:paraId="18F6AB65" w14:textId="41A097DA"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D. Watt, </w:t>
      </w:r>
      <w:r w:rsidRPr="00A96D6A">
        <w:rPr>
          <w:i/>
          <w:lang w:val="en-CA"/>
        </w:rPr>
        <w:t>Watt’s Manual of Criminal Jury Instructions</w:t>
      </w:r>
      <w:r w:rsidRPr="00A96D6A">
        <w:rPr>
          <w:lang w:val="en-CA"/>
        </w:rPr>
        <w:t>, 2</w:t>
      </w:r>
      <w:r w:rsidR="00856565">
        <w:rPr>
          <w:lang w:val="en-CA"/>
        </w:rPr>
        <w:t>nd</w:t>
      </w:r>
      <w:r w:rsidRPr="00A96D6A">
        <w:rPr>
          <w:lang w:val="en-CA"/>
        </w:rPr>
        <w:t xml:space="preserve"> </w:t>
      </w:r>
      <w:r w:rsidR="00856565">
        <w:rPr>
          <w:lang w:val="en-CA"/>
        </w:rPr>
        <w:t>e</w:t>
      </w:r>
      <w:r w:rsidRPr="00A96D6A">
        <w:rPr>
          <w:lang w:val="en-CA"/>
        </w:rPr>
        <w:t>d</w:t>
      </w:r>
      <w:r w:rsidR="00D85D7E" w:rsidRPr="00A96D6A">
        <w:rPr>
          <w:lang w:val="en-CA"/>
        </w:rPr>
        <w:t>.</w:t>
      </w:r>
      <w:r w:rsidR="00D85D7E">
        <w:rPr>
          <w:lang w:val="en-CA"/>
        </w:rPr>
        <w:t>(</w:t>
      </w:r>
      <w:r w:rsidRPr="00A96D6A">
        <w:rPr>
          <w:lang w:val="en-CA"/>
        </w:rPr>
        <w:t>Carswell, 2015</w:t>
      </w:r>
      <w:r w:rsidR="00D85D7E">
        <w:rPr>
          <w:lang w:val="en-CA"/>
        </w:rPr>
        <w:t>)</w:t>
      </w:r>
      <w:r w:rsidR="00D85D7E" w:rsidRPr="00A96D6A">
        <w:rPr>
          <w:lang w:val="en-CA"/>
        </w:rPr>
        <w:t xml:space="preserve"> </w:t>
      </w:r>
      <w:r w:rsidR="00856565">
        <w:rPr>
          <w:lang w:val="en-CA"/>
        </w:rPr>
        <w:t>at</w:t>
      </w:r>
      <w:r w:rsidRPr="00A96D6A">
        <w:rPr>
          <w:lang w:val="en-CA"/>
        </w:rPr>
        <w:t xml:space="preserve"> 1220: </w:t>
      </w:r>
      <w:r w:rsidR="00856565">
        <w:rPr>
          <w:lang w:val="en-CA"/>
        </w:rPr>
        <w:t>“</w:t>
      </w:r>
      <w:r w:rsidRPr="00A96D6A">
        <w:rPr>
          <w:lang w:val="en-CA"/>
        </w:rPr>
        <w:t>In some cases, it may be necessary only to instruct one branch of the test. In those cases, delete the other branch here and elsewhere in the instructions</w:t>
      </w:r>
      <w:r w:rsidR="00856565">
        <w:rPr>
          <w:lang w:val="en-CA"/>
        </w:rPr>
        <w:t>.”</w:t>
      </w:r>
    </w:p>
  </w:footnote>
  <w:footnote w:id="69">
    <w:p w14:paraId="4A19F34B" w14:textId="1B064F52"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Rodgerson</w:t>
      </w:r>
      <w:r w:rsidRPr="00A96D6A">
        <w:rPr>
          <w:lang w:val="en-CA"/>
        </w:rPr>
        <w:t xml:space="preserve">, 2015 </w:t>
      </w:r>
      <w:r w:rsidR="006A3A36" w:rsidRPr="00A96D6A">
        <w:rPr>
          <w:lang w:val="en-CA"/>
        </w:rPr>
        <w:t>SCC</w:t>
      </w:r>
      <w:r w:rsidRPr="00A96D6A">
        <w:rPr>
          <w:lang w:val="en-CA"/>
        </w:rPr>
        <w:t xml:space="preserve"> 38, [2015] 2 </w:t>
      </w:r>
      <w:r w:rsidR="006A3A36" w:rsidRPr="00A96D6A">
        <w:rPr>
          <w:lang w:val="en-CA"/>
        </w:rPr>
        <w:t>S.C.R.</w:t>
      </w:r>
      <w:r w:rsidRPr="00A96D6A">
        <w:rPr>
          <w:lang w:val="en-CA"/>
        </w:rPr>
        <w:t xml:space="preserve"> 760 </w:t>
      </w:r>
      <w:r w:rsidR="006A3A36" w:rsidRPr="00A96D6A">
        <w:rPr>
          <w:lang w:val="en-CA"/>
        </w:rPr>
        <w:t>at para.</w:t>
      </w:r>
      <w:r w:rsidRPr="00A96D6A">
        <w:rPr>
          <w:lang w:val="en-CA"/>
        </w:rPr>
        <w:t xml:space="preserve"> 51.</w:t>
      </w:r>
    </w:p>
  </w:footnote>
  <w:footnote w:id="70">
    <w:p w14:paraId="60976786" w14:textId="48EE69B3"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856565">
        <w:rPr>
          <w:lang w:val="en-CA"/>
        </w:rPr>
        <w:t xml:space="preserve">In his work, </w:t>
      </w:r>
      <w:r w:rsidRPr="00A96D6A">
        <w:rPr>
          <w:i/>
          <w:lang w:val="en-CA"/>
        </w:rPr>
        <w:t>Helping Jurors Understand</w:t>
      </w:r>
      <w:r w:rsidRPr="00A96D6A">
        <w:rPr>
          <w:lang w:val="en-CA"/>
        </w:rPr>
        <w:t xml:space="preserve">, Watt </w:t>
      </w:r>
      <w:r w:rsidR="00856565">
        <w:rPr>
          <w:lang w:val="en-CA"/>
        </w:rPr>
        <w:t xml:space="preserve">J. makes the following </w:t>
      </w:r>
      <w:r w:rsidRPr="00A96D6A">
        <w:rPr>
          <w:lang w:val="en-CA"/>
        </w:rPr>
        <w:t xml:space="preserve">observation </w:t>
      </w:r>
      <w:r w:rsidR="00856565">
        <w:rPr>
          <w:lang w:val="en-CA"/>
        </w:rPr>
        <w:t>on this subject:</w:t>
      </w:r>
      <w:r w:rsidRPr="00A96D6A">
        <w:rPr>
          <w:lang w:val="en-CA"/>
        </w:rPr>
        <w:t xml:space="preserve"> </w:t>
      </w:r>
      <w:r w:rsidR="00856565">
        <w:rPr>
          <w:lang w:val="en-CA"/>
        </w:rPr>
        <w:t>“</w:t>
      </w:r>
      <w:r w:rsidRPr="00A96D6A">
        <w:rPr>
          <w:lang w:val="en-CA"/>
        </w:rPr>
        <w:t>Unnecessary instructions add complexity and create confusion. Comprehension and justice suffer</w:t>
      </w:r>
      <w:r w:rsidR="00856565">
        <w:rPr>
          <w:lang w:val="en-CA"/>
        </w:rPr>
        <w:t>.”</w:t>
      </w:r>
      <w:r w:rsidRPr="00A96D6A">
        <w:rPr>
          <w:lang w:val="en-CA"/>
        </w:rPr>
        <w:t xml:space="preserve"> D. Watt, </w:t>
      </w:r>
      <w:r w:rsidRPr="00A96D6A">
        <w:rPr>
          <w:i/>
          <w:lang w:val="en-CA"/>
        </w:rPr>
        <w:t>Helping Jurors Understand</w:t>
      </w:r>
      <w:r w:rsidR="00E34286">
        <w:rPr>
          <w:lang w:val="en-CA"/>
        </w:rPr>
        <w:t xml:space="preserve"> (</w:t>
      </w:r>
      <w:r w:rsidRPr="00A96D6A">
        <w:rPr>
          <w:lang w:val="en-CA"/>
        </w:rPr>
        <w:t>Thomson Carswell, 2007</w:t>
      </w:r>
      <w:r w:rsidR="00E34286">
        <w:rPr>
          <w:lang w:val="en-CA"/>
        </w:rPr>
        <w:t>)</w:t>
      </w:r>
      <w:r w:rsidRPr="00A96D6A">
        <w:rPr>
          <w:lang w:val="en-CA"/>
        </w:rPr>
        <w:t xml:space="preserve"> </w:t>
      </w:r>
      <w:r w:rsidR="00856565">
        <w:rPr>
          <w:lang w:val="en-CA"/>
        </w:rPr>
        <w:t>at</w:t>
      </w:r>
      <w:r w:rsidRPr="00A96D6A">
        <w:rPr>
          <w:lang w:val="en-CA"/>
        </w:rPr>
        <w:t xml:space="preserve"> 71.</w:t>
      </w:r>
    </w:p>
  </w:footnote>
  <w:footnote w:id="71">
    <w:p w14:paraId="03ACF928" w14:textId="3ABB8E15" w:rsidR="00525251" w:rsidRPr="00A96D6A" w:rsidRDefault="00525251" w:rsidP="00D9352F">
      <w:pPr>
        <w:pStyle w:val="Notedebasdepage"/>
        <w:rPr>
          <w:lang w:val="en-CA"/>
        </w:rPr>
      </w:pPr>
      <w:r w:rsidRPr="00A96D6A">
        <w:rPr>
          <w:rStyle w:val="Appelnotedebasdep"/>
          <w:lang w:val="en-CA"/>
        </w:rPr>
        <w:footnoteRef/>
      </w:r>
      <w:r w:rsidRPr="00C14943">
        <w:rPr>
          <w:lang w:val="es-CL"/>
        </w:rPr>
        <w:t xml:space="preserve"> </w:t>
      </w:r>
      <w:r w:rsidRPr="00C14943">
        <w:rPr>
          <w:lang w:val="es-CL"/>
        </w:rPr>
        <w:tab/>
      </w:r>
      <w:r w:rsidRPr="00C14943">
        <w:rPr>
          <w:i/>
          <w:lang w:val="es-CL"/>
        </w:rPr>
        <w:t>Sorella</w:t>
      </w:r>
      <w:r w:rsidR="006A3A36" w:rsidRPr="00C14943">
        <w:rPr>
          <w:i/>
          <w:iCs/>
          <w:lang w:val="es-CL"/>
        </w:rPr>
        <w:t xml:space="preserve"> </w:t>
      </w:r>
      <w:r w:rsidR="004967D1">
        <w:rPr>
          <w:i/>
          <w:iCs/>
          <w:lang w:val="es-CL"/>
        </w:rPr>
        <w:t>c</w:t>
      </w:r>
      <w:r w:rsidR="006A3A36" w:rsidRPr="00C14943">
        <w:rPr>
          <w:i/>
          <w:iCs/>
          <w:lang w:val="es-CL"/>
        </w:rPr>
        <w:t xml:space="preserve">. </w:t>
      </w:r>
      <w:r w:rsidRPr="00C14943">
        <w:rPr>
          <w:i/>
          <w:lang w:val="es-CL"/>
        </w:rPr>
        <w:t>R.</w:t>
      </w:r>
      <w:r w:rsidRPr="00C14943">
        <w:rPr>
          <w:lang w:val="es-CL"/>
        </w:rPr>
        <w:t>, 2022 QCCA 383</w:t>
      </w:r>
      <w:r w:rsidR="004967D1">
        <w:rPr>
          <w:lang w:val="es-CL"/>
        </w:rPr>
        <w:t xml:space="preserve"> </w:t>
      </w:r>
      <w:r w:rsidR="006A3A36" w:rsidRPr="00C14943">
        <w:rPr>
          <w:lang w:val="es-CL"/>
        </w:rPr>
        <w:t>at para.</w:t>
      </w:r>
      <w:r w:rsidRPr="00C14943">
        <w:rPr>
          <w:lang w:val="es-CL"/>
        </w:rPr>
        <w:t xml:space="preserve"> </w:t>
      </w:r>
      <w:r w:rsidRPr="00B92A5F">
        <w:rPr>
          <w:lang w:val="es-CL"/>
        </w:rPr>
        <w:t xml:space="preserve">132. </w:t>
      </w:r>
      <w:r w:rsidR="00856565" w:rsidRPr="00B92A5F">
        <w:rPr>
          <w:lang w:val="es-CL"/>
        </w:rPr>
        <w:t>See also</w:t>
      </w:r>
      <w:r w:rsidRPr="00B92A5F">
        <w:rPr>
          <w:lang w:val="es-CL"/>
        </w:rPr>
        <w:t xml:space="preserve"> </w:t>
      </w:r>
      <w:r w:rsidRPr="00B92A5F">
        <w:rPr>
          <w:i/>
          <w:lang w:val="es-CL"/>
        </w:rPr>
        <w:t>De Leto</w:t>
      </w:r>
      <w:r w:rsidR="006A3A36" w:rsidRPr="00B92A5F">
        <w:rPr>
          <w:i/>
          <w:iCs/>
          <w:lang w:val="es-CL"/>
        </w:rPr>
        <w:t xml:space="preserve"> </w:t>
      </w:r>
      <w:r w:rsidR="004967D1" w:rsidRPr="00B92A5F">
        <w:rPr>
          <w:i/>
          <w:iCs/>
          <w:lang w:val="es-CL"/>
        </w:rPr>
        <w:t>c</w:t>
      </w:r>
      <w:r w:rsidR="006A3A36" w:rsidRPr="00B92A5F">
        <w:rPr>
          <w:i/>
          <w:iCs/>
          <w:lang w:val="es-CL"/>
        </w:rPr>
        <w:t xml:space="preserve">. </w:t>
      </w:r>
      <w:r w:rsidRPr="00C14943">
        <w:rPr>
          <w:i/>
          <w:lang w:val="es-CL"/>
        </w:rPr>
        <w:t>R.</w:t>
      </w:r>
      <w:r w:rsidRPr="00C14943">
        <w:rPr>
          <w:lang w:val="es-CL"/>
        </w:rPr>
        <w:t xml:space="preserve">, 2022 QCCA 413 </w:t>
      </w:r>
      <w:r w:rsidR="006A3A36" w:rsidRPr="00C14943">
        <w:rPr>
          <w:lang w:val="es-CL"/>
        </w:rPr>
        <w:t>at para.</w:t>
      </w:r>
      <w:r w:rsidRPr="00C14943">
        <w:rPr>
          <w:lang w:val="es-CL"/>
        </w:rPr>
        <w:t xml:space="preserve"> 55; </w:t>
      </w:r>
      <w:r w:rsidRPr="00C14943">
        <w:rPr>
          <w:i/>
          <w:lang w:val="es-CL"/>
        </w:rPr>
        <w:t>Accurso</w:t>
      </w:r>
      <w:r w:rsidR="006A3A36" w:rsidRPr="00C14943">
        <w:rPr>
          <w:i/>
          <w:iCs/>
          <w:lang w:val="es-CL"/>
        </w:rPr>
        <w:t xml:space="preserve"> </w:t>
      </w:r>
      <w:r w:rsidR="004967D1">
        <w:rPr>
          <w:i/>
          <w:iCs/>
          <w:lang w:val="es-CL"/>
        </w:rPr>
        <w:t>c</w:t>
      </w:r>
      <w:r w:rsidR="006A3A36" w:rsidRPr="00C14943">
        <w:rPr>
          <w:i/>
          <w:iCs/>
          <w:lang w:val="es-CL"/>
        </w:rPr>
        <w:t xml:space="preserve">. </w:t>
      </w:r>
      <w:r w:rsidRPr="00C14943">
        <w:rPr>
          <w:i/>
          <w:lang w:val="es-CL"/>
        </w:rPr>
        <w:t>R</w:t>
      </w:r>
      <w:r w:rsidRPr="00C14943">
        <w:rPr>
          <w:lang w:val="es-CL"/>
        </w:rPr>
        <w:t xml:space="preserve">., 2022 QCCA 752 </w:t>
      </w:r>
      <w:r w:rsidR="006A3A36" w:rsidRPr="00C14943">
        <w:rPr>
          <w:lang w:val="es-CL"/>
        </w:rPr>
        <w:t>at para.</w:t>
      </w:r>
      <w:r w:rsidRPr="00C14943">
        <w:rPr>
          <w:lang w:val="es-CL"/>
        </w:rPr>
        <w:t xml:space="preserve"> </w:t>
      </w:r>
      <w:r w:rsidRPr="00A96D6A">
        <w:rPr>
          <w:lang w:val="en-CA"/>
        </w:rPr>
        <w:t>143, note 46.</w:t>
      </w:r>
    </w:p>
  </w:footnote>
  <w:footnote w:id="72">
    <w:p w14:paraId="70DD08ED" w14:textId="01C482C4" w:rsidR="00525251" w:rsidRPr="00A96D6A" w:rsidRDefault="00525251" w:rsidP="0050338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 v. Baker</w:t>
      </w:r>
      <w:r w:rsidRPr="00A96D6A">
        <w:rPr>
          <w:lang w:val="en-CA"/>
        </w:rPr>
        <w:t>, 2019 BCCA 199</w:t>
      </w:r>
      <w:r w:rsidR="00936F44">
        <w:rPr>
          <w:lang w:val="en-CA"/>
        </w:rPr>
        <w:t xml:space="preserve"> </w:t>
      </w:r>
      <w:r w:rsidR="006A3A36" w:rsidRPr="00A96D6A">
        <w:rPr>
          <w:lang w:val="en-CA"/>
        </w:rPr>
        <w:t>at para.</w:t>
      </w:r>
      <w:r w:rsidR="00763985" w:rsidRPr="00A96D6A">
        <w:rPr>
          <w:lang w:val="en-CA"/>
        </w:rPr>
        <w:t xml:space="preserve"> 39.</w:t>
      </w:r>
    </w:p>
  </w:footnote>
  <w:footnote w:id="73">
    <w:p w14:paraId="14B1ABDC" w14:textId="48469B76"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t xml:space="preserve">D. Watt, </w:t>
      </w:r>
      <w:r w:rsidRPr="00A96D6A">
        <w:rPr>
          <w:i/>
          <w:lang w:val="en-CA"/>
        </w:rPr>
        <w:t>Helping Jurors Understand</w:t>
      </w:r>
      <w:r w:rsidRPr="00A96D6A">
        <w:rPr>
          <w:lang w:val="en-CA"/>
        </w:rPr>
        <w:t xml:space="preserve"> </w:t>
      </w:r>
      <w:r w:rsidR="004967D1">
        <w:rPr>
          <w:lang w:val="en-CA"/>
        </w:rPr>
        <w:t>(</w:t>
      </w:r>
      <w:r w:rsidRPr="00A96D6A">
        <w:rPr>
          <w:lang w:val="en-CA"/>
        </w:rPr>
        <w:t>Thomson Carswell, 2007</w:t>
      </w:r>
      <w:r w:rsidR="004967D1">
        <w:rPr>
          <w:lang w:val="en-CA"/>
        </w:rPr>
        <w:t>)</w:t>
      </w:r>
      <w:r w:rsidRPr="00A96D6A">
        <w:rPr>
          <w:lang w:val="en-CA"/>
        </w:rPr>
        <w:t xml:space="preserve"> </w:t>
      </w:r>
      <w:r w:rsidR="00856565">
        <w:rPr>
          <w:lang w:val="en-CA"/>
        </w:rPr>
        <w:t>at</w:t>
      </w:r>
      <w:r w:rsidRPr="00A96D6A">
        <w:rPr>
          <w:lang w:val="en-CA"/>
        </w:rPr>
        <w:t xml:space="preserve"> 86</w:t>
      </w:r>
      <w:r w:rsidR="00936F44">
        <w:rPr>
          <w:lang w:val="en-CA"/>
        </w:rPr>
        <w:t>–</w:t>
      </w:r>
      <w:r w:rsidRPr="00A96D6A">
        <w:rPr>
          <w:lang w:val="en-CA"/>
        </w:rPr>
        <w:t>89.</w:t>
      </w:r>
    </w:p>
  </w:footnote>
  <w:footnote w:id="74">
    <w:p w14:paraId="7F1ACB85" w14:textId="1C803D0B"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Daley</w:t>
      </w:r>
      <w:r w:rsidRPr="00A96D6A">
        <w:rPr>
          <w:lang w:val="en-CA"/>
        </w:rPr>
        <w:t xml:space="preserve">, [2007] 3 </w:t>
      </w:r>
      <w:r w:rsidR="006A3A36" w:rsidRPr="00A96D6A">
        <w:rPr>
          <w:lang w:val="en-CA"/>
        </w:rPr>
        <w:t>S.C.R.</w:t>
      </w:r>
      <w:r w:rsidRPr="00A96D6A">
        <w:rPr>
          <w:lang w:val="en-CA"/>
        </w:rPr>
        <w:t xml:space="preserve"> 523, 2007 </w:t>
      </w:r>
      <w:r w:rsidR="006A3A36" w:rsidRPr="00A96D6A">
        <w:rPr>
          <w:lang w:val="en-CA"/>
        </w:rPr>
        <w:t>SCC</w:t>
      </w:r>
      <w:r w:rsidRPr="00A96D6A">
        <w:rPr>
          <w:lang w:val="en-CA"/>
        </w:rPr>
        <w:t xml:space="preserve"> 53, </w:t>
      </w:r>
      <w:r w:rsidR="006A3A36" w:rsidRPr="00A96D6A">
        <w:rPr>
          <w:lang w:val="en-CA"/>
        </w:rPr>
        <w:t>at para.</w:t>
      </w:r>
      <w:r w:rsidRPr="00A96D6A">
        <w:rPr>
          <w:lang w:val="en-CA"/>
        </w:rPr>
        <w:t xml:space="preserve"> 30; </w:t>
      </w:r>
      <w:r w:rsidRPr="00A96D6A">
        <w:rPr>
          <w:i/>
          <w:lang w:val="en-CA"/>
        </w:rPr>
        <w:t>R.</w:t>
      </w:r>
      <w:r w:rsidR="006A3A36" w:rsidRPr="00A96D6A">
        <w:rPr>
          <w:i/>
          <w:iCs/>
          <w:lang w:val="en-CA"/>
        </w:rPr>
        <w:t xml:space="preserve"> v. </w:t>
      </w:r>
      <w:r w:rsidRPr="00A96D6A">
        <w:rPr>
          <w:i/>
          <w:lang w:val="en-CA"/>
        </w:rPr>
        <w:t>Goforth</w:t>
      </w:r>
      <w:r w:rsidRPr="00A96D6A">
        <w:rPr>
          <w:lang w:val="en-CA"/>
        </w:rPr>
        <w:t xml:space="preserve">, 2022 </w:t>
      </w:r>
      <w:r w:rsidR="006A3A36" w:rsidRPr="00A96D6A">
        <w:rPr>
          <w:lang w:val="en-CA"/>
        </w:rPr>
        <w:t>SCC</w:t>
      </w:r>
      <w:r w:rsidRPr="00A96D6A">
        <w:rPr>
          <w:lang w:val="en-CA"/>
        </w:rPr>
        <w:t xml:space="preserve"> 25 </w:t>
      </w:r>
      <w:r w:rsidR="006A3A36" w:rsidRPr="00A96D6A">
        <w:rPr>
          <w:lang w:val="en-CA"/>
        </w:rPr>
        <w:t>at para.</w:t>
      </w:r>
      <w:r w:rsidRPr="00A96D6A">
        <w:rPr>
          <w:lang w:val="en-CA"/>
        </w:rPr>
        <w:t xml:space="preserve"> 30.</w:t>
      </w:r>
    </w:p>
  </w:footnote>
  <w:footnote w:id="75">
    <w:p w14:paraId="41FE9AC9" w14:textId="2B076F3C"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Hebert</w:t>
      </w:r>
      <w:r w:rsidRPr="00A96D6A">
        <w:rPr>
          <w:lang w:val="en-CA"/>
        </w:rPr>
        <w:t xml:space="preserve">, [1996] 2 </w:t>
      </w:r>
      <w:r w:rsidR="006A3A36" w:rsidRPr="00A96D6A">
        <w:rPr>
          <w:lang w:val="en-CA"/>
        </w:rPr>
        <w:t>S.C.R.</w:t>
      </w:r>
      <w:r w:rsidRPr="00A96D6A">
        <w:rPr>
          <w:lang w:val="en-CA"/>
        </w:rPr>
        <w:t xml:space="preserve"> 272 </w:t>
      </w:r>
      <w:r w:rsidR="00856565">
        <w:rPr>
          <w:lang w:val="en-CA"/>
        </w:rPr>
        <w:t>at</w:t>
      </w:r>
      <w:r w:rsidRPr="00A96D6A">
        <w:rPr>
          <w:lang w:val="en-CA"/>
        </w:rPr>
        <w:t xml:space="preserve"> 277. </w:t>
      </w:r>
      <w:r w:rsidR="00856565">
        <w:rPr>
          <w:lang w:val="en-CA"/>
        </w:rPr>
        <w:t>See also</w:t>
      </w:r>
      <w:r w:rsidRPr="00A96D6A">
        <w:rPr>
          <w:lang w:val="en-CA"/>
        </w:rPr>
        <w:t xml:space="preserve"> </w:t>
      </w:r>
      <w:r w:rsidRPr="00A96D6A">
        <w:rPr>
          <w:i/>
          <w:lang w:val="en-CA"/>
        </w:rPr>
        <w:t>R.</w:t>
      </w:r>
      <w:r w:rsidR="006A3A36" w:rsidRPr="00A96D6A">
        <w:rPr>
          <w:i/>
          <w:iCs/>
          <w:lang w:val="en-CA"/>
        </w:rPr>
        <w:t xml:space="preserve"> v. </w:t>
      </w:r>
      <w:r w:rsidRPr="00A96D6A">
        <w:rPr>
          <w:i/>
          <w:lang w:val="en-CA"/>
        </w:rPr>
        <w:t>Rodgerson</w:t>
      </w:r>
      <w:r w:rsidRPr="00A96D6A">
        <w:rPr>
          <w:lang w:val="en-CA"/>
        </w:rPr>
        <w:t xml:space="preserve">, 2015 </w:t>
      </w:r>
      <w:r w:rsidR="006A3A36" w:rsidRPr="00A96D6A">
        <w:rPr>
          <w:lang w:val="en-CA"/>
        </w:rPr>
        <w:t>SCC</w:t>
      </w:r>
      <w:r w:rsidRPr="00A96D6A">
        <w:rPr>
          <w:lang w:val="en-CA"/>
        </w:rPr>
        <w:t xml:space="preserve"> 38, [2015] 2 </w:t>
      </w:r>
      <w:r w:rsidR="006A3A36" w:rsidRPr="00A96D6A">
        <w:rPr>
          <w:lang w:val="en-CA"/>
        </w:rPr>
        <w:t>S.C.R.</w:t>
      </w:r>
      <w:r w:rsidRPr="00A96D6A">
        <w:rPr>
          <w:lang w:val="en-CA"/>
        </w:rPr>
        <w:t xml:space="preserve"> 760 </w:t>
      </w:r>
      <w:r w:rsidR="006A3A36" w:rsidRPr="00A96D6A">
        <w:rPr>
          <w:lang w:val="en-CA"/>
        </w:rPr>
        <w:t>at para.</w:t>
      </w:r>
      <w:r w:rsidRPr="00A96D6A">
        <w:rPr>
          <w:lang w:val="en-CA"/>
        </w:rPr>
        <w:t xml:space="preserve"> 42; </w:t>
      </w:r>
      <w:r w:rsidRPr="00A96D6A">
        <w:rPr>
          <w:i/>
          <w:lang w:val="en-CA"/>
        </w:rPr>
        <w:t>R.</w:t>
      </w:r>
      <w:r w:rsidR="006A3A36" w:rsidRPr="00A96D6A">
        <w:rPr>
          <w:i/>
          <w:iCs/>
          <w:lang w:val="en-CA"/>
        </w:rPr>
        <w:t xml:space="preserve"> v. </w:t>
      </w:r>
      <w:r w:rsidRPr="00A96D6A">
        <w:rPr>
          <w:i/>
          <w:lang w:val="en-CA"/>
        </w:rPr>
        <w:t>Khill</w:t>
      </w:r>
      <w:r w:rsidRPr="00A96D6A">
        <w:rPr>
          <w:lang w:val="en-CA"/>
        </w:rPr>
        <w:t xml:space="preserve">, 2021 </w:t>
      </w:r>
      <w:r w:rsidR="006A3A36" w:rsidRPr="00A96D6A">
        <w:rPr>
          <w:lang w:val="en-CA"/>
        </w:rPr>
        <w:t>SCC</w:t>
      </w:r>
      <w:r w:rsidRPr="00A96D6A">
        <w:rPr>
          <w:lang w:val="en-CA"/>
        </w:rPr>
        <w:t xml:space="preserve"> 37 </w:t>
      </w:r>
      <w:r w:rsidR="006A3A36" w:rsidRPr="00A96D6A">
        <w:rPr>
          <w:lang w:val="en-CA"/>
        </w:rPr>
        <w:t>at para.</w:t>
      </w:r>
      <w:r w:rsidRPr="00A96D6A">
        <w:rPr>
          <w:lang w:val="en-CA"/>
        </w:rPr>
        <w:t xml:space="preserve"> 34. </w:t>
      </w:r>
      <w:r w:rsidR="00856565">
        <w:rPr>
          <w:lang w:val="en-CA"/>
        </w:rPr>
        <w:t>See also</w:t>
      </w:r>
      <w:r w:rsidRPr="00A96D6A">
        <w:rPr>
          <w:lang w:val="en-CA"/>
        </w:rPr>
        <w:t xml:space="preserve"> </w:t>
      </w:r>
      <w:r w:rsidRPr="00A96D6A">
        <w:rPr>
          <w:i/>
          <w:lang w:val="en-CA"/>
        </w:rPr>
        <w:t>R. v. P.J.B.</w:t>
      </w:r>
      <w:r w:rsidRPr="00A96D6A">
        <w:rPr>
          <w:lang w:val="en-CA"/>
        </w:rPr>
        <w:t xml:space="preserve">, 2012 ONCA 730 </w:t>
      </w:r>
      <w:r w:rsidR="006A3A36" w:rsidRPr="00A96D6A">
        <w:rPr>
          <w:lang w:val="en-CA"/>
        </w:rPr>
        <w:t>at para</w:t>
      </w:r>
      <w:r w:rsidR="00856565">
        <w:rPr>
          <w:lang w:val="en-CA"/>
        </w:rPr>
        <w:t>s</w:t>
      </w:r>
      <w:r w:rsidR="006A3A36" w:rsidRPr="00A96D6A">
        <w:rPr>
          <w:lang w:val="en-CA"/>
        </w:rPr>
        <w:t>.</w:t>
      </w:r>
      <w:r w:rsidRPr="00A96D6A">
        <w:rPr>
          <w:lang w:val="en-CA"/>
        </w:rPr>
        <w:t xml:space="preserve"> 50</w:t>
      </w:r>
      <w:r w:rsidR="00936F44">
        <w:rPr>
          <w:lang w:val="en-CA"/>
        </w:rPr>
        <w:t>–</w:t>
      </w:r>
      <w:r w:rsidRPr="00A96D6A">
        <w:rPr>
          <w:lang w:val="en-CA"/>
        </w:rPr>
        <w:t>52.</w:t>
      </w:r>
    </w:p>
  </w:footnote>
  <w:footnote w:id="76">
    <w:p w14:paraId="5F84F965" w14:textId="42DC4E06"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 xml:space="preserve">Jacquard, </w:t>
      </w:r>
      <w:r w:rsidRPr="00A96D6A">
        <w:rPr>
          <w:lang w:val="en-CA"/>
        </w:rPr>
        <w:t xml:space="preserve">[1997] 1 </w:t>
      </w:r>
      <w:r w:rsidR="006A3A36" w:rsidRPr="00A96D6A">
        <w:rPr>
          <w:lang w:val="en-CA"/>
        </w:rPr>
        <w:t>S.C.R.</w:t>
      </w:r>
      <w:r w:rsidRPr="00A96D6A">
        <w:rPr>
          <w:lang w:val="en-CA"/>
        </w:rPr>
        <w:t xml:space="preserve"> 314 </w:t>
      </w:r>
      <w:r w:rsidR="006A3A36" w:rsidRPr="00A96D6A">
        <w:rPr>
          <w:lang w:val="en-CA"/>
        </w:rPr>
        <w:t>at para.</w:t>
      </w:r>
      <w:r w:rsidRPr="00A96D6A">
        <w:rPr>
          <w:lang w:val="en-CA"/>
        </w:rPr>
        <w:t xml:space="preserve"> 13. </w:t>
      </w:r>
      <w:r w:rsidR="00856565">
        <w:rPr>
          <w:lang w:val="en-CA"/>
        </w:rPr>
        <w:t>See also</w:t>
      </w:r>
      <w:r w:rsidRPr="00A96D6A">
        <w:rPr>
          <w:lang w:val="en-CA"/>
        </w:rPr>
        <w:t xml:space="preserve"> </w:t>
      </w:r>
      <w:r w:rsidRPr="00A96D6A">
        <w:rPr>
          <w:i/>
          <w:lang w:val="en-CA"/>
        </w:rPr>
        <w:t>R.</w:t>
      </w:r>
      <w:r w:rsidR="006A3A36" w:rsidRPr="00A96D6A">
        <w:rPr>
          <w:i/>
          <w:iCs/>
          <w:lang w:val="en-CA"/>
        </w:rPr>
        <w:t xml:space="preserve"> v. </w:t>
      </w:r>
      <w:r w:rsidRPr="00A96D6A">
        <w:rPr>
          <w:i/>
          <w:lang w:val="en-CA"/>
        </w:rPr>
        <w:t>Royz</w:t>
      </w:r>
      <w:r w:rsidRPr="00A96D6A">
        <w:rPr>
          <w:lang w:val="en-CA"/>
        </w:rPr>
        <w:t xml:space="preserve">, [2009] 1 </w:t>
      </w:r>
      <w:r w:rsidR="006A3A36" w:rsidRPr="00A96D6A">
        <w:rPr>
          <w:lang w:val="en-CA"/>
        </w:rPr>
        <w:t>S.C.R.</w:t>
      </w:r>
      <w:r w:rsidRPr="00A96D6A">
        <w:rPr>
          <w:lang w:val="en-CA"/>
        </w:rPr>
        <w:t xml:space="preserve"> 423, 2009 </w:t>
      </w:r>
      <w:r w:rsidR="006A3A36" w:rsidRPr="00A96D6A">
        <w:rPr>
          <w:lang w:val="en-CA"/>
        </w:rPr>
        <w:t>SCC</w:t>
      </w:r>
      <w:r w:rsidRPr="00A96D6A">
        <w:rPr>
          <w:lang w:val="en-CA"/>
        </w:rPr>
        <w:t xml:space="preserve"> 13 </w:t>
      </w:r>
      <w:r w:rsidR="006A3A36" w:rsidRPr="00A96D6A">
        <w:rPr>
          <w:lang w:val="en-CA"/>
        </w:rPr>
        <w:t>at para.</w:t>
      </w:r>
      <w:r w:rsidRPr="00A96D6A">
        <w:rPr>
          <w:lang w:val="en-CA"/>
        </w:rPr>
        <w:t xml:space="preserve"> 2.</w:t>
      </w:r>
    </w:p>
  </w:footnote>
  <w:footnote w:id="77">
    <w:p w14:paraId="0B607282" w14:textId="4D1C1205"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v. </w:t>
      </w:r>
      <w:r w:rsidRPr="00A96D6A">
        <w:rPr>
          <w:i/>
          <w:lang w:val="en-CA"/>
        </w:rPr>
        <w:t>Rodgerson</w:t>
      </w:r>
      <w:r w:rsidRPr="00A96D6A">
        <w:rPr>
          <w:lang w:val="en-CA"/>
        </w:rPr>
        <w:t xml:space="preserve">, 2015 </w:t>
      </w:r>
      <w:r w:rsidR="006A3A36" w:rsidRPr="00A96D6A">
        <w:rPr>
          <w:lang w:val="en-CA"/>
        </w:rPr>
        <w:t>SCC</w:t>
      </w:r>
      <w:r w:rsidRPr="00A96D6A">
        <w:rPr>
          <w:lang w:val="en-CA"/>
        </w:rPr>
        <w:t xml:space="preserve"> 38, [2015] 2 </w:t>
      </w:r>
      <w:r w:rsidR="006A3A36" w:rsidRPr="00A96D6A">
        <w:rPr>
          <w:lang w:val="en-CA"/>
        </w:rPr>
        <w:t>S.C.R.</w:t>
      </w:r>
      <w:r w:rsidRPr="00A96D6A">
        <w:rPr>
          <w:lang w:val="en-CA"/>
        </w:rPr>
        <w:t xml:space="preserve"> 760 </w:t>
      </w:r>
      <w:r w:rsidR="006A3A36" w:rsidRPr="00A96D6A">
        <w:rPr>
          <w:lang w:val="en-CA"/>
        </w:rPr>
        <w:t>at para</w:t>
      </w:r>
      <w:r w:rsidR="00856565">
        <w:rPr>
          <w:lang w:val="en-CA"/>
        </w:rPr>
        <w:t>s</w:t>
      </w:r>
      <w:r w:rsidR="006A3A36" w:rsidRPr="00A96D6A">
        <w:rPr>
          <w:lang w:val="en-CA"/>
        </w:rPr>
        <w:t>.</w:t>
      </w:r>
      <w:r w:rsidRPr="00A96D6A">
        <w:rPr>
          <w:lang w:val="en-CA"/>
        </w:rPr>
        <w:t xml:space="preserve"> 50</w:t>
      </w:r>
      <w:r w:rsidR="00E34286">
        <w:rPr>
          <w:lang w:val="en-CA"/>
        </w:rPr>
        <w:t>–</w:t>
      </w:r>
      <w:r w:rsidRPr="00A96D6A">
        <w:rPr>
          <w:lang w:val="en-CA"/>
        </w:rPr>
        <w:t xml:space="preserve">51. </w:t>
      </w:r>
    </w:p>
  </w:footnote>
  <w:footnote w:id="78">
    <w:p w14:paraId="54A96DDB" w14:textId="57C6E3EB" w:rsidR="00F310D5" w:rsidRPr="00A96D6A" w:rsidRDefault="00F310D5">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856565">
        <w:rPr>
          <w:lang w:val="en-CA"/>
        </w:rPr>
        <w:t>See</w:t>
      </w:r>
      <w:r w:rsidRPr="00A96D6A">
        <w:rPr>
          <w:lang w:val="en-CA"/>
        </w:rPr>
        <w:t xml:space="preserve"> </w:t>
      </w:r>
      <w:r w:rsidRPr="00A96D6A">
        <w:rPr>
          <w:i/>
          <w:lang w:val="en-CA"/>
        </w:rPr>
        <w:t>R.</w:t>
      </w:r>
      <w:r w:rsidR="006A3A36" w:rsidRPr="00A96D6A">
        <w:rPr>
          <w:i/>
          <w:iCs/>
          <w:lang w:val="en-CA"/>
        </w:rPr>
        <w:t xml:space="preserve"> v. </w:t>
      </w:r>
      <w:r w:rsidRPr="00A96D6A">
        <w:rPr>
          <w:i/>
          <w:lang w:val="en-CA"/>
        </w:rPr>
        <w:t>Daley</w:t>
      </w:r>
      <w:r w:rsidRPr="00A96D6A">
        <w:rPr>
          <w:lang w:val="en-CA"/>
        </w:rPr>
        <w:t xml:space="preserve">, [2007] 3 </w:t>
      </w:r>
      <w:r w:rsidR="006A3A36" w:rsidRPr="00A96D6A">
        <w:rPr>
          <w:lang w:val="en-CA"/>
        </w:rPr>
        <w:t>S.C.R.</w:t>
      </w:r>
      <w:r w:rsidRPr="00A96D6A">
        <w:rPr>
          <w:lang w:val="en-CA"/>
        </w:rPr>
        <w:t xml:space="preserve"> 523, 2007 </w:t>
      </w:r>
      <w:r w:rsidR="006A3A36" w:rsidRPr="00A96D6A">
        <w:rPr>
          <w:lang w:val="en-CA"/>
        </w:rPr>
        <w:t>SCC</w:t>
      </w:r>
      <w:r w:rsidRPr="00A96D6A">
        <w:rPr>
          <w:lang w:val="en-CA"/>
        </w:rPr>
        <w:t xml:space="preserve"> 53 </w:t>
      </w:r>
      <w:r w:rsidR="006A3A36" w:rsidRPr="00A96D6A">
        <w:rPr>
          <w:lang w:val="en-CA"/>
        </w:rPr>
        <w:t>at para.</w:t>
      </w:r>
      <w:r w:rsidRPr="00A96D6A">
        <w:rPr>
          <w:lang w:val="en-CA"/>
        </w:rPr>
        <w:t xml:space="preserve"> 58</w:t>
      </w:r>
      <w:r w:rsidR="0007719C">
        <w:rPr>
          <w:lang w:val="en-CA"/>
        </w:rPr>
        <w:t>,</w:t>
      </w:r>
      <w:r w:rsidRPr="00A96D6A">
        <w:rPr>
          <w:lang w:val="en-CA"/>
        </w:rPr>
        <w:t xml:space="preserve"> </w:t>
      </w:r>
      <w:r w:rsidR="00856565">
        <w:rPr>
          <w:lang w:val="en-CA"/>
        </w:rPr>
        <w:t xml:space="preserve">where the </w:t>
      </w:r>
      <w:r w:rsidR="00E34286">
        <w:rPr>
          <w:lang w:val="en-CA"/>
        </w:rPr>
        <w:t>S</w:t>
      </w:r>
      <w:r w:rsidR="00856565">
        <w:rPr>
          <w:lang w:val="en-CA"/>
        </w:rPr>
        <w:t>upreme Court</w:t>
      </w:r>
      <w:r w:rsidRPr="00A96D6A">
        <w:rPr>
          <w:lang w:val="en-CA"/>
        </w:rPr>
        <w:t xml:space="preserve"> adopt</w:t>
      </w:r>
      <w:r w:rsidR="008735E5">
        <w:rPr>
          <w:lang w:val="en-CA"/>
        </w:rPr>
        <w:t>ed</w:t>
      </w:r>
      <w:r w:rsidR="00856565">
        <w:rPr>
          <w:lang w:val="en-CA"/>
        </w:rPr>
        <w:t xml:space="preserve"> the observations of</w:t>
      </w:r>
      <w:r w:rsidRPr="00A96D6A">
        <w:rPr>
          <w:lang w:val="en-CA"/>
        </w:rPr>
        <w:t xml:space="preserve"> Proulx </w:t>
      </w:r>
      <w:r w:rsidR="00856565">
        <w:rPr>
          <w:lang w:val="en-CA"/>
        </w:rPr>
        <w:t>J. in</w:t>
      </w:r>
      <w:r w:rsidRPr="00A96D6A">
        <w:rPr>
          <w:lang w:val="en-CA"/>
        </w:rPr>
        <w:t xml:space="preserve"> </w:t>
      </w:r>
      <w:r w:rsidRPr="00A96D6A">
        <w:rPr>
          <w:i/>
          <w:lang w:val="en-CA"/>
        </w:rPr>
        <w:t>R.</w:t>
      </w:r>
      <w:r w:rsidR="006A3A36" w:rsidRPr="00A96D6A">
        <w:rPr>
          <w:i/>
          <w:iCs/>
          <w:lang w:val="en-CA"/>
        </w:rPr>
        <w:t xml:space="preserve"> v. </w:t>
      </w:r>
      <w:r w:rsidRPr="00A96D6A">
        <w:rPr>
          <w:i/>
          <w:lang w:val="en-CA"/>
        </w:rPr>
        <w:t>Girard</w:t>
      </w:r>
      <w:r w:rsidRPr="00A96D6A">
        <w:rPr>
          <w:lang w:val="en-CA"/>
        </w:rPr>
        <w:t>, [1996] R.J.Q. 1585 (</w:t>
      </w:r>
      <w:r w:rsidR="00E34286">
        <w:rPr>
          <w:lang w:val="en-CA"/>
        </w:rPr>
        <w:t xml:space="preserve">Que. </w:t>
      </w:r>
      <w:r w:rsidRPr="00A96D6A">
        <w:rPr>
          <w:lang w:val="en-CA"/>
        </w:rPr>
        <w:t xml:space="preserve">C.A.), </w:t>
      </w:r>
      <w:r w:rsidR="00856565">
        <w:rPr>
          <w:lang w:val="en-CA"/>
        </w:rPr>
        <w:t>at</w:t>
      </w:r>
      <w:r w:rsidRPr="00A96D6A">
        <w:rPr>
          <w:lang w:val="en-CA"/>
        </w:rPr>
        <w:t xml:space="preserve"> 1598.</w:t>
      </w:r>
    </w:p>
  </w:footnote>
  <w:footnote w:id="79">
    <w:p w14:paraId="0E159E66" w14:textId="3A920404"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009E6F3F" w:rsidRPr="00A96D6A">
        <w:rPr>
          <w:i/>
          <w:lang w:val="en-CA"/>
        </w:rPr>
        <w:t>R.</w:t>
      </w:r>
      <w:r w:rsidR="009E6F3F" w:rsidRPr="00A96D6A">
        <w:rPr>
          <w:i/>
          <w:iCs/>
          <w:lang w:val="en-CA"/>
        </w:rPr>
        <w:t xml:space="preserve"> v. </w:t>
      </w:r>
      <w:r w:rsidR="009E6F3F" w:rsidRPr="00A96D6A">
        <w:rPr>
          <w:i/>
          <w:lang w:val="en-CA"/>
        </w:rPr>
        <w:t>MacKay</w:t>
      </w:r>
      <w:r w:rsidR="009E6F3F" w:rsidRPr="00A96D6A">
        <w:rPr>
          <w:lang w:val="en-CA"/>
        </w:rPr>
        <w:t xml:space="preserve">, [2005] 3 S.C.R. 607, 2005 </w:t>
      </w:r>
      <w:r w:rsidRPr="00A96D6A">
        <w:rPr>
          <w:lang w:val="en-CA"/>
        </w:rPr>
        <w:t xml:space="preserve">75 </w:t>
      </w:r>
      <w:r w:rsidR="006A3A36" w:rsidRPr="00A96D6A">
        <w:rPr>
          <w:lang w:val="en-CA"/>
        </w:rPr>
        <w:t>at para.</w:t>
      </w:r>
      <w:r w:rsidRPr="00A96D6A">
        <w:rPr>
          <w:lang w:val="en-CA"/>
        </w:rPr>
        <w:t xml:space="preserve"> 1; </w:t>
      </w:r>
      <w:r w:rsidRPr="00A96D6A">
        <w:rPr>
          <w:i/>
          <w:lang w:val="en-CA"/>
        </w:rPr>
        <w:t>R. v. Newton</w:t>
      </w:r>
      <w:r w:rsidRPr="00A96D6A">
        <w:rPr>
          <w:lang w:val="en-CA"/>
        </w:rPr>
        <w:t xml:space="preserve">, 2017 ONCA 496 </w:t>
      </w:r>
      <w:r w:rsidR="006A3A36" w:rsidRPr="00A96D6A">
        <w:rPr>
          <w:lang w:val="en-CA"/>
        </w:rPr>
        <w:t>at para</w:t>
      </w:r>
      <w:r w:rsidR="00856565">
        <w:rPr>
          <w:lang w:val="en-CA"/>
        </w:rPr>
        <w:t>s</w:t>
      </w:r>
      <w:r w:rsidR="006A3A36" w:rsidRPr="00A96D6A">
        <w:rPr>
          <w:lang w:val="en-CA"/>
        </w:rPr>
        <w:t>.</w:t>
      </w:r>
      <w:r w:rsidRPr="00A96D6A">
        <w:rPr>
          <w:lang w:val="en-CA"/>
        </w:rPr>
        <w:t xml:space="preserve"> 15</w:t>
      </w:r>
      <w:r w:rsidR="00486105">
        <w:rPr>
          <w:lang w:val="en-CA"/>
        </w:rPr>
        <w:t>–</w:t>
      </w:r>
      <w:r w:rsidRPr="00A96D6A">
        <w:rPr>
          <w:lang w:val="en-CA"/>
        </w:rPr>
        <w:t xml:space="preserve">19; </w:t>
      </w:r>
      <w:r w:rsidRPr="00A96D6A">
        <w:rPr>
          <w:i/>
          <w:lang w:val="en-CA"/>
        </w:rPr>
        <w:t xml:space="preserve">R. v. Cudjoe, </w:t>
      </w:r>
      <w:r w:rsidRPr="00A96D6A">
        <w:rPr>
          <w:lang w:val="en-CA"/>
        </w:rPr>
        <w:t xml:space="preserve">2009 ONCA 543 </w:t>
      </w:r>
      <w:r w:rsidR="006A3A36" w:rsidRPr="00A96D6A">
        <w:rPr>
          <w:lang w:val="en-CA"/>
        </w:rPr>
        <w:t>at para.</w:t>
      </w:r>
      <w:r w:rsidRPr="00A96D6A">
        <w:rPr>
          <w:lang w:val="en-CA"/>
        </w:rPr>
        <w:t xml:space="preserve"> 160; </w:t>
      </w:r>
      <w:r w:rsidRPr="00A96D6A">
        <w:rPr>
          <w:i/>
          <w:lang w:val="en-CA"/>
        </w:rPr>
        <w:t>R. v. Headley</w:t>
      </w:r>
      <w:r w:rsidRPr="00A96D6A">
        <w:rPr>
          <w:lang w:val="en-CA"/>
        </w:rPr>
        <w:t xml:space="preserve">, 2018 ONCA 915 </w:t>
      </w:r>
      <w:r w:rsidR="006A3A36" w:rsidRPr="00A96D6A">
        <w:rPr>
          <w:lang w:val="en-CA"/>
        </w:rPr>
        <w:t>at para.</w:t>
      </w:r>
      <w:r w:rsidRPr="00A96D6A">
        <w:rPr>
          <w:lang w:val="en-CA"/>
        </w:rPr>
        <w:t xml:space="preserve"> 48; </w:t>
      </w:r>
      <w:r w:rsidRPr="00A96D6A">
        <w:rPr>
          <w:i/>
          <w:lang w:val="en-CA"/>
        </w:rPr>
        <w:t>R. v. R.C.</w:t>
      </w:r>
      <w:r w:rsidRPr="00A96D6A">
        <w:rPr>
          <w:lang w:val="en-CA"/>
        </w:rPr>
        <w:t xml:space="preserve">, 2020 ONCA 159 </w:t>
      </w:r>
      <w:r w:rsidR="006A3A36" w:rsidRPr="00A96D6A">
        <w:rPr>
          <w:lang w:val="en-CA"/>
        </w:rPr>
        <w:t>at para.</w:t>
      </w:r>
      <w:r w:rsidRPr="00A96D6A">
        <w:rPr>
          <w:lang w:val="en-CA"/>
        </w:rPr>
        <w:t xml:space="preserve"> 78; </w:t>
      </w:r>
      <w:r w:rsidRPr="00A96D6A">
        <w:rPr>
          <w:i/>
          <w:lang w:val="en-CA"/>
        </w:rPr>
        <w:t>R. v. Theodore</w:t>
      </w:r>
      <w:r w:rsidRPr="00A96D6A">
        <w:rPr>
          <w:lang w:val="en-CA"/>
        </w:rPr>
        <w:t>, 2020 SKCA 131</w:t>
      </w:r>
      <w:r w:rsidR="00936F44">
        <w:rPr>
          <w:lang w:val="en-CA"/>
        </w:rPr>
        <w:t xml:space="preserve"> </w:t>
      </w:r>
      <w:r w:rsidR="006A3A36" w:rsidRPr="00A96D6A">
        <w:rPr>
          <w:lang w:val="en-CA"/>
        </w:rPr>
        <w:t>at para.</w:t>
      </w:r>
      <w:r w:rsidRPr="00A96D6A">
        <w:rPr>
          <w:lang w:val="en-CA"/>
        </w:rPr>
        <w:t xml:space="preserve"> 158.</w:t>
      </w:r>
    </w:p>
  </w:footnote>
  <w:footnote w:id="80">
    <w:p w14:paraId="6E6A793B" w14:textId="0EB0DE9B" w:rsidR="00525251" w:rsidRPr="00A96D6A" w:rsidRDefault="00525251" w:rsidP="00D9352F">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 v. Saleh</w:t>
      </w:r>
      <w:r w:rsidRPr="00A96D6A">
        <w:rPr>
          <w:lang w:val="en-CA"/>
        </w:rPr>
        <w:t xml:space="preserve">, 2013 ONCA 742 </w:t>
      </w:r>
      <w:r w:rsidR="006A3A36" w:rsidRPr="00A96D6A">
        <w:rPr>
          <w:lang w:val="en-CA"/>
        </w:rPr>
        <w:t>at para.</w:t>
      </w:r>
      <w:r w:rsidRPr="00A96D6A">
        <w:rPr>
          <w:lang w:val="en-CA"/>
        </w:rPr>
        <w:t xml:space="preserve"> 145.</w:t>
      </w:r>
    </w:p>
  </w:footnote>
  <w:footnote w:id="81">
    <w:p w14:paraId="05B9C5E5" w14:textId="325888EC" w:rsidR="00525251" w:rsidRPr="00486105" w:rsidRDefault="00525251" w:rsidP="00D9352F">
      <w:pPr>
        <w:pStyle w:val="Notedebasdepage"/>
        <w:rPr>
          <w:lang w:val="en-CA"/>
        </w:rPr>
      </w:pPr>
      <w:r w:rsidRPr="00486105">
        <w:rPr>
          <w:rStyle w:val="Appelnotedebasdep"/>
          <w:lang w:val="en-CA"/>
        </w:rPr>
        <w:footnoteRef/>
      </w:r>
      <w:r w:rsidRPr="00486105">
        <w:rPr>
          <w:lang w:val="en-CA"/>
        </w:rPr>
        <w:t xml:space="preserve"> </w:t>
      </w:r>
      <w:r w:rsidRPr="00486105">
        <w:rPr>
          <w:lang w:val="en-CA"/>
        </w:rPr>
        <w:tab/>
      </w:r>
      <w:r w:rsidRPr="00486105">
        <w:rPr>
          <w:i/>
          <w:lang w:val="en-CA"/>
        </w:rPr>
        <w:t>R. v. Bouchard</w:t>
      </w:r>
      <w:r w:rsidRPr="00486105">
        <w:rPr>
          <w:lang w:val="en-CA"/>
        </w:rPr>
        <w:t xml:space="preserve">, 2013 ONCA 791 </w:t>
      </w:r>
      <w:r w:rsidR="006A3A36" w:rsidRPr="00486105">
        <w:rPr>
          <w:lang w:val="en-CA"/>
        </w:rPr>
        <w:t>at para.</w:t>
      </w:r>
      <w:r w:rsidRPr="00486105">
        <w:rPr>
          <w:lang w:val="en-CA"/>
        </w:rPr>
        <w:t xml:space="preserve"> 40, </w:t>
      </w:r>
      <w:r w:rsidR="00856565" w:rsidRPr="00486105">
        <w:rPr>
          <w:lang w:val="en-CA"/>
        </w:rPr>
        <w:t>appeal dismissed</w:t>
      </w:r>
      <w:r w:rsidRPr="00486105">
        <w:rPr>
          <w:lang w:val="en-CA"/>
        </w:rPr>
        <w:t xml:space="preserve"> 2014 </w:t>
      </w:r>
      <w:r w:rsidR="006A3A36" w:rsidRPr="00486105">
        <w:rPr>
          <w:lang w:val="en-CA"/>
        </w:rPr>
        <w:t>SCC</w:t>
      </w:r>
      <w:r w:rsidRPr="00486105">
        <w:rPr>
          <w:lang w:val="en-CA"/>
        </w:rPr>
        <w:t xml:space="preserve"> 64, [2014] 3 </w:t>
      </w:r>
      <w:r w:rsidR="006A3A36" w:rsidRPr="00486105">
        <w:rPr>
          <w:lang w:val="en-CA"/>
        </w:rPr>
        <w:t>S.C.R.</w:t>
      </w:r>
      <w:r w:rsidRPr="00486105">
        <w:rPr>
          <w:lang w:val="en-CA"/>
        </w:rPr>
        <w:t xml:space="preserve"> 283.</w:t>
      </w:r>
    </w:p>
  </w:footnote>
  <w:footnote w:id="82">
    <w:p w14:paraId="42E9A69A" w14:textId="455AEB30" w:rsidR="00525251" w:rsidRPr="00A96D6A" w:rsidRDefault="00525251" w:rsidP="00D9352F">
      <w:pPr>
        <w:pStyle w:val="Notedebasdepage"/>
        <w:rPr>
          <w:lang w:val="en-CA"/>
        </w:rPr>
      </w:pPr>
      <w:r w:rsidRPr="00486105">
        <w:rPr>
          <w:rStyle w:val="Appelnotedebasdep"/>
          <w:lang w:val="en-CA"/>
        </w:rPr>
        <w:footnoteRef/>
      </w:r>
      <w:r w:rsidRPr="00486105">
        <w:rPr>
          <w:lang w:val="en-CA"/>
        </w:rPr>
        <w:t xml:space="preserve"> </w:t>
      </w:r>
      <w:r w:rsidRPr="00486105">
        <w:rPr>
          <w:lang w:val="en-CA"/>
        </w:rPr>
        <w:tab/>
      </w:r>
      <w:r w:rsidR="00856565" w:rsidRPr="00486105">
        <w:rPr>
          <w:lang w:val="en-CA"/>
        </w:rPr>
        <w:t>In</w:t>
      </w:r>
      <w:r w:rsidRPr="00486105">
        <w:rPr>
          <w:lang w:val="en-CA"/>
        </w:rPr>
        <w:t xml:space="preserve"> </w:t>
      </w:r>
      <w:r w:rsidRPr="00486105">
        <w:rPr>
          <w:i/>
          <w:lang w:val="en-CA"/>
        </w:rPr>
        <w:t>R. v. Cudjoe</w:t>
      </w:r>
      <w:r w:rsidRPr="00486105">
        <w:rPr>
          <w:lang w:val="en-CA"/>
        </w:rPr>
        <w:t xml:space="preserve">, 2009 ONCA 543 </w:t>
      </w:r>
      <w:r w:rsidR="006A3A36" w:rsidRPr="00486105">
        <w:rPr>
          <w:lang w:val="en-CA"/>
        </w:rPr>
        <w:t>at para.</w:t>
      </w:r>
      <w:r w:rsidRPr="00486105">
        <w:rPr>
          <w:lang w:val="en-CA"/>
        </w:rPr>
        <w:t xml:space="preserve"> 152, Watt </w:t>
      </w:r>
      <w:r w:rsidR="00856565" w:rsidRPr="00486105">
        <w:rPr>
          <w:lang w:val="en-CA"/>
        </w:rPr>
        <w:t xml:space="preserve">J. </w:t>
      </w:r>
      <w:r w:rsidR="008735E5">
        <w:rPr>
          <w:lang w:val="en-CA"/>
        </w:rPr>
        <w:t>stated,</w:t>
      </w:r>
      <w:r w:rsidRPr="00486105">
        <w:rPr>
          <w:lang w:val="en-CA"/>
        </w:rPr>
        <w:t xml:space="preserve"> </w:t>
      </w:r>
      <w:r w:rsidR="00856565" w:rsidRPr="00486105">
        <w:rPr>
          <w:lang w:val="en-CA"/>
        </w:rPr>
        <w:t>“</w:t>
      </w:r>
      <w:r w:rsidRPr="0066627F">
        <w:rPr>
          <w:lang w:val="en-CA"/>
        </w:rPr>
        <w:t>The trial judge should not simply leave the evidence in bulk for the jury, assigning to them responsibility for determining the relationship between the evidence and the issues that arise for their decision</w:t>
      </w:r>
      <w:r w:rsidR="00856565" w:rsidRPr="00486105">
        <w:rPr>
          <w:lang w:val="en-CA"/>
        </w:rPr>
        <w:t>”</w:t>
      </w:r>
      <w:r w:rsidR="00DA0F79">
        <w:rPr>
          <w:lang w:val="en-CA"/>
        </w:rPr>
        <w:t>.</w:t>
      </w:r>
    </w:p>
  </w:footnote>
  <w:footnote w:id="83">
    <w:p w14:paraId="031F3F97" w14:textId="4BFD5D9D" w:rsidR="00525251" w:rsidRPr="00A96D6A" w:rsidRDefault="00525251">
      <w:pPr>
        <w:pStyle w:val="Notedebasdepage"/>
        <w:rPr>
          <w:lang w:val="en-CA"/>
        </w:rPr>
      </w:pPr>
      <w:r w:rsidRPr="00A96D6A">
        <w:rPr>
          <w:rStyle w:val="Appelnotedebasdep"/>
          <w:lang w:val="en-CA"/>
        </w:rPr>
        <w:footnoteRef/>
      </w:r>
      <w:r w:rsidRPr="00A96D6A">
        <w:rPr>
          <w:lang w:val="en-CA"/>
        </w:rPr>
        <w:t xml:space="preserve"> </w:t>
      </w:r>
      <w:r w:rsidRPr="00A96D6A">
        <w:rPr>
          <w:lang w:val="en-CA"/>
        </w:rPr>
        <w:tab/>
      </w:r>
      <w:r w:rsidRPr="00A96D6A">
        <w:rPr>
          <w:i/>
          <w:lang w:val="en-CA"/>
        </w:rPr>
        <w:t>R.</w:t>
      </w:r>
      <w:r w:rsidR="006A3A36" w:rsidRPr="00A96D6A">
        <w:rPr>
          <w:i/>
          <w:iCs/>
          <w:lang w:val="en-CA"/>
        </w:rPr>
        <w:t xml:space="preserve"> </w:t>
      </w:r>
      <w:r w:rsidR="00DA0F79">
        <w:rPr>
          <w:i/>
          <w:iCs/>
          <w:lang w:val="en-CA"/>
        </w:rPr>
        <w:t>c</w:t>
      </w:r>
      <w:r w:rsidR="006A3A36" w:rsidRPr="00A96D6A">
        <w:rPr>
          <w:i/>
          <w:iCs/>
          <w:lang w:val="en-CA"/>
        </w:rPr>
        <w:t xml:space="preserve">. </w:t>
      </w:r>
      <w:r w:rsidRPr="00A96D6A">
        <w:rPr>
          <w:i/>
          <w:lang w:val="en-CA"/>
        </w:rPr>
        <w:t>Robert</w:t>
      </w:r>
      <w:r w:rsidRPr="00A96D6A">
        <w:rPr>
          <w:lang w:val="en-CA"/>
        </w:rPr>
        <w:t xml:space="preserve"> (2004), 25 C.R. (6th) 55 (</w:t>
      </w:r>
      <w:r w:rsidR="00DA0F79">
        <w:rPr>
          <w:lang w:val="en-CA"/>
        </w:rPr>
        <w:t xml:space="preserve">Que. </w:t>
      </w:r>
      <w:r w:rsidRPr="00A96D6A">
        <w:rPr>
          <w:lang w:val="en-CA"/>
        </w:rPr>
        <w:t>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C547" w14:textId="77777777" w:rsidR="000B36B5" w:rsidRDefault="000B36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A88" w14:textId="161BC384" w:rsidR="00525251" w:rsidRDefault="00525251" w:rsidP="00DB2119">
    <w:pPr>
      <w:tabs>
        <w:tab w:val="center" w:pos="4709"/>
        <w:tab w:val="right" w:pos="9360"/>
      </w:tabs>
      <w:spacing w:line="360" w:lineRule="auto"/>
      <w:ind w:right="524"/>
    </w:pPr>
    <w:bookmarkStart w:id="20" w:name="EntDossier"/>
    <w:r>
      <w:t>500-10-006567-174</w:t>
    </w:r>
    <w:bookmarkEnd w:id="20"/>
    <w:r w:rsidRPr="007462D6">
      <w:t xml:space="preserve"> </w:t>
    </w:r>
    <w:r>
      <w:tab/>
    </w:r>
    <w:r>
      <w:tab/>
      <w:t xml:space="preserve">PAGE: </w:t>
    </w:r>
    <w:r>
      <w:fldChar w:fldCharType="begin"/>
    </w:r>
    <w:r>
      <w:instrText xml:space="preserve"> PAGE </w:instrText>
    </w:r>
    <w:r>
      <w:fldChar w:fldCharType="separate"/>
    </w:r>
    <w:r w:rsidR="005E5222">
      <w:rPr>
        <w:noProof/>
      </w:rPr>
      <w:t>31</w:t>
    </w:r>
    <w:r>
      <w:fldChar w:fldCharType="end"/>
    </w:r>
  </w:p>
  <w:p w14:paraId="62E55689" w14:textId="77777777" w:rsidR="00525251" w:rsidRDefault="00525251" w:rsidP="00DB2119">
    <w:pPr>
      <w:tabs>
        <w:tab w:val="center" w:pos="4709"/>
        <w:tab w:val="right" w:pos="9360"/>
      </w:tabs>
      <w:spacing w:line="360" w:lineRule="auto"/>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79F2" w14:textId="77777777" w:rsidR="000B36B5" w:rsidRDefault="000B36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47937"/>
    <w:multiLevelType w:val="hybridMultilevel"/>
    <w:tmpl w:val="FD54455A"/>
    <w:lvl w:ilvl="0" w:tplc="F38CD0C0">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7E2968"/>
    <w:multiLevelType w:val="hybridMultilevel"/>
    <w:tmpl w:val="3BEA065C"/>
    <w:lvl w:ilvl="0" w:tplc="821E1F2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31F6E80"/>
    <w:multiLevelType w:val="hybridMultilevel"/>
    <w:tmpl w:val="C974E884"/>
    <w:lvl w:ilvl="0" w:tplc="2F40F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A964C5A"/>
    <w:multiLevelType w:val="hybridMultilevel"/>
    <w:tmpl w:val="E3A4CB20"/>
    <w:lvl w:ilvl="0" w:tplc="4E903C4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1BF0586"/>
    <w:multiLevelType w:val="hybridMultilevel"/>
    <w:tmpl w:val="A33479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A9E1E61"/>
    <w:multiLevelType w:val="hybridMultilevel"/>
    <w:tmpl w:val="9D28A42C"/>
    <w:lvl w:ilvl="0" w:tplc="AAE24280">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C992B75"/>
    <w:multiLevelType w:val="multilevel"/>
    <w:tmpl w:val="E1F40950"/>
    <w:lvl w:ilvl="0">
      <w:start w:val="1"/>
      <w:numFmt w:val="decimal"/>
      <w:pStyle w:val="Tiret"/>
      <w:lvlText w:val="%1."/>
      <w:lvlJc w:val="left"/>
      <w:pPr>
        <w:tabs>
          <w:tab w:val="num" w:pos="1080"/>
        </w:tabs>
        <w:ind w:left="720" w:firstLine="0"/>
      </w:pPr>
      <w:rPr>
        <w:rFonts w:ascii="Arial" w:eastAsia="Times New Roman" w:hAnsi="Arial" w:cs="Times New Roman"/>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9"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214436544">
    <w:abstractNumId w:val="19"/>
  </w:num>
  <w:num w:numId="2" w16cid:durableId="615909268">
    <w:abstractNumId w:val="19"/>
  </w:num>
  <w:num w:numId="3" w16cid:durableId="1219317368">
    <w:abstractNumId w:val="19"/>
  </w:num>
  <w:num w:numId="4" w16cid:durableId="1054700880">
    <w:abstractNumId w:val="8"/>
  </w:num>
  <w:num w:numId="5" w16cid:durableId="1585721761">
    <w:abstractNumId w:val="3"/>
  </w:num>
  <w:num w:numId="6" w16cid:durableId="148836639">
    <w:abstractNumId w:val="2"/>
  </w:num>
  <w:num w:numId="7" w16cid:durableId="1511262399">
    <w:abstractNumId w:val="1"/>
  </w:num>
  <w:num w:numId="8" w16cid:durableId="803154683">
    <w:abstractNumId w:val="0"/>
  </w:num>
  <w:num w:numId="9" w16cid:durableId="1049845857">
    <w:abstractNumId w:val="9"/>
  </w:num>
  <w:num w:numId="10" w16cid:durableId="1415858356">
    <w:abstractNumId w:val="7"/>
  </w:num>
  <w:num w:numId="11" w16cid:durableId="1824620450">
    <w:abstractNumId w:val="6"/>
  </w:num>
  <w:num w:numId="12" w16cid:durableId="1731729429">
    <w:abstractNumId w:val="5"/>
  </w:num>
  <w:num w:numId="13" w16cid:durableId="1809276615">
    <w:abstractNumId w:val="4"/>
  </w:num>
  <w:num w:numId="14" w16cid:durableId="2140803378">
    <w:abstractNumId w:val="19"/>
  </w:num>
  <w:num w:numId="15" w16cid:durableId="654843297">
    <w:abstractNumId w:val="19"/>
  </w:num>
  <w:num w:numId="16" w16cid:durableId="1737049009">
    <w:abstractNumId w:val="19"/>
  </w:num>
  <w:num w:numId="17" w16cid:durableId="88282034">
    <w:abstractNumId w:val="16"/>
  </w:num>
  <w:num w:numId="18" w16cid:durableId="1828283144">
    <w:abstractNumId w:val="12"/>
  </w:num>
  <w:num w:numId="19" w16cid:durableId="162549998">
    <w:abstractNumId w:val="18"/>
  </w:num>
  <w:num w:numId="20" w16cid:durableId="1945767753">
    <w:abstractNumId w:val="14"/>
  </w:num>
  <w:num w:numId="21" w16cid:durableId="710106558">
    <w:abstractNumId w:val="15"/>
  </w:num>
  <w:num w:numId="22" w16cid:durableId="430127077">
    <w:abstractNumId w:val="17"/>
  </w:num>
  <w:num w:numId="23" w16cid:durableId="756443603">
    <w:abstractNumId w:val="11"/>
  </w:num>
  <w:num w:numId="24" w16cid:durableId="635842406">
    <w:abstractNumId w:val="13"/>
  </w:num>
  <w:num w:numId="25" w16cid:durableId="1153988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E LA JUGE"/>
    <w:docVar w:name="MotifJuge2" w:val="MOTIFS DE LA JUGE"/>
    <w:docVar w:name="MotifJuge3" w:val="MOTIFS DU JUGE"/>
    <w:docVar w:name="NomFamJuge1" w:val="DUTIL"/>
    <w:docVar w:name="NomFamJuge2" w:val="FOURNIER"/>
    <w:docVar w:name="NomFamJuge3" w:val="COURNOYER"/>
    <w:docVar w:name="NomFamJuge4" w:val="MAILHOT"/>
    <w:docVar w:name="NomFamJuge5" w:val="BAUDOUIN"/>
    <w:docVar w:name="QteJuge1" w:val=", J.C.A."/>
    <w:docVar w:name="QteJuge2" w:val=", J.C.A."/>
    <w:docVar w:name="QteJuge3" w:val=", J.C.A."/>
    <w:docVar w:name="stPremiereFois" w:val="Non"/>
  </w:docVars>
  <w:rsids>
    <w:rsidRoot w:val="000C3BCE"/>
    <w:rsid w:val="0000108F"/>
    <w:rsid w:val="000019DC"/>
    <w:rsid w:val="0000450E"/>
    <w:rsid w:val="0000512E"/>
    <w:rsid w:val="0000555F"/>
    <w:rsid w:val="0000747F"/>
    <w:rsid w:val="00007966"/>
    <w:rsid w:val="00007A9D"/>
    <w:rsid w:val="00011FF6"/>
    <w:rsid w:val="000131E1"/>
    <w:rsid w:val="00013E71"/>
    <w:rsid w:val="00014986"/>
    <w:rsid w:val="00020341"/>
    <w:rsid w:val="000218C6"/>
    <w:rsid w:val="00023079"/>
    <w:rsid w:val="00023F48"/>
    <w:rsid w:val="0002443A"/>
    <w:rsid w:val="00024B76"/>
    <w:rsid w:val="00025061"/>
    <w:rsid w:val="00026621"/>
    <w:rsid w:val="00033395"/>
    <w:rsid w:val="00034CD9"/>
    <w:rsid w:val="000369F4"/>
    <w:rsid w:val="00037945"/>
    <w:rsid w:val="000415F3"/>
    <w:rsid w:val="0004394C"/>
    <w:rsid w:val="000451B2"/>
    <w:rsid w:val="0004564E"/>
    <w:rsid w:val="00046E3F"/>
    <w:rsid w:val="000530F1"/>
    <w:rsid w:val="00053691"/>
    <w:rsid w:val="000548CC"/>
    <w:rsid w:val="0005543A"/>
    <w:rsid w:val="00055956"/>
    <w:rsid w:val="000573BB"/>
    <w:rsid w:val="000577A2"/>
    <w:rsid w:val="00060C82"/>
    <w:rsid w:val="00061057"/>
    <w:rsid w:val="00061317"/>
    <w:rsid w:val="000615D1"/>
    <w:rsid w:val="0006227B"/>
    <w:rsid w:val="00062A16"/>
    <w:rsid w:val="0006387E"/>
    <w:rsid w:val="0006467A"/>
    <w:rsid w:val="000650F5"/>
    <w:rsid w:val="00066E81"/>
    <w:rsid w:val="00072E4C"/>
    <w:rsid w:val="0007447F"/>
    <w:rsid w:val="00074B2A"/>
    <w:rsid w:val="00075C43"/>
    <w:rsid w:val="00075F1A"/>
    <w:rsid w:val="000762CF"/>
    <w:rsid w:val="0007656D"/>
    <w:rsid w:val="0007719C"/>
    <w:rsid w:val="00077651"/>
    <w:rsid w:val="00082035"/>
    <w:rsid w:val="00082EE7"/>
    <w:rsid w:val="00085D35"/>
    <w:rsid w:val="00086065"/>
    <w:rsid w:val="00086170"/>
    <w:rsid w:val="00086548"/>
    <w:rsid w:val="00086776"/>
    <w:rsid w:val="00086BFB"/>
    <w:rsid w:val="00087547"/>
    <w:rsid w:val="000930C5"/>
    <w:rsid w:val="000934A7"/>
    <w:rsid w:val="00094251"/>
    <w:rsid w:val="00094FE3"/>
    <w:rsid w:val="00095D44"/>
    <w:rsid w:val="0009687E"/>
    <w:rsid w:val="00097613"/>
    <w:rsid w:val="000A4BDA"/>
    <w:rsid w:val="000A52E0"/>
    <w:rsid w:val="000A7516"/>
    <w:rsid w:val="000B142F"/>
    <w:rsid w:val="000B36B5"/>
    <w:rsid w:val="000B42AF"/>
    <w:rsid w:val="000B51C5"/>
    <w:rsid w:val="000B6C42"/>
    <w:rsid w:val="000B6E2B"/>
    <w:rsid w:val="000C033F"/>
    <w:rsid w:val="000C2371"/>
    <w:rsid w:val="000C3BCE"/>
    <w:rsid w:val="000C708B"/>
    <w:rsid w:val="000D0DE7"/>
    <w:rsid w:val="000D2CE8"/>
    <w:rsid w:val="000D3534"/>
    <w:rsid w:val="000D430B"/>
    <w:rsid w:val="000D4361"/>
    <w:rsid w:val="000D55BD"/>
    <w:rsid w:val="000D57AC"/>
    <w:rsid w:val="000D686E"/>
    <w:rsid w:val="000D688D"/>
    <w:rsid w:val="000D7275"/>
    <w:rsid w:val="000E1090"/>
    <w:rsid w:val="000E3435"/>
    <w:rsid w:val="000E3CFA"/>
    <w:rsid w:val="000E42A9"/>
    <w:rsid w:val="000E4B12"/>
    <w:rsid w:val="000E5484"/>
    <w:rsid w:val="000E65F2"/>
    <w:rsid w:val="000E7658"/>
    <w:rsid w:val="000F060E"/>
    <w:rsid w:val="000F1807"/>
    <w:rsid w:val="000F2778"/>
    <w:rsid w:val="000F2C2A"/>
    <w:rsid w:val="000F3F22"/>
    <w:rsid w:val="000F4726"/>
    <w:rsid w:val="000F4917"/>
    <w:rsid w:val="000F4BFB"/>
    <w:rsid w:val="000F4ED4"/>
    <w:rsid w:val="000F5CF6"/>
    <w:rsid w:val="000F63B8"/>
    <w:rsid w:val="001004A0"/>
    <w:rsid w:val="001015C7"/>
    <w:rsid w:val="00101AA1"/>
    <w:rsid w:val="00104283"/>
    <w:rsid w:val="00104806"/>
    <w:rsid w:val="001055C9"/>
    <w:rsid w:val="00106501"/>
    <w:rsid w:val="00110B53"/>
    <w:rsid w:val="00112321"/>
    <w:rsid w:val="00116090"/>
    <w:rsid w:val="00117914"/>
    <w:rsid w:val="00120B4D"/>
    <w:rsid w:val="00120D43"/>
    <w:rsid w:val="0012180F"/>
    <w:rsid w:val="001227B5"/>
    <w:rsid w:val="0012581D"/>
    <w:rsid w:val="0013028C"/>
    <w:rsid w:val="00130AA2"/>
    <w:rsid w:val="00130AE0"/>
    <w:rsid w:val="0013274C"/>
    <w:rsid w:val="00132E3C"/>
    <w:rsid w:val="00133175"/>
    <w:rsid w:val="001346AB"/>
    <w:rsid w:val="001347F5"/>
    <w:rsid w:val="001348AB"/>
    <w:rsid w:val="00135A39"/>
    <w:rsid w:val="001371F9"/>
    <w:rsid w:val="00137880"/>
    <w:rsid w:val="00137F26"/>
    <w:rsid w:val="00142619"/>
    <w:rsid w:val="00146F0C"/>
    <w:rsid w:val="001506D7"/>
    <w:rsid w:val="00151467"/>
    <w:rsid w:val="0015181E"/>
    <w:rsid w:val="00151964"/>
    <w:rsid w:val="00151C5D"/>
    <w:rsid w:val="00153FBC"/>
    <w:rsid w:val="0015469C"/>
    <w:rsid w:val="0015610F"/>
    <w:rsid w:val="00157229"/>
    <w:rsid w:val="00157A84"/>
    <w:rsid w:val="00160B31"/>
    <w:rsid w:val="00163B95"/>
    <w:rsid w:val="001646DB"/>
    <w:rsid w:val="001648A5"/>
    <w:rsid w:val="00164B35"/>
    <w:rsid w:val="0016540E"/>
    <w:rsid w:val="001668FF"/>
    <w:rsid w:val="00173686"/>
    <w:rsid w:val="00173B85"/>
    <w:rsid w:val="00177B82"/>
    <w:rsid w:val="00177BC3"/>
    <w:rsid w:val="00181F56"/>
    <w:rsid w:val="0018289F"/>
    <w:rsid w:val="00190FA7"/>
    <w:rsid w:val="00191E96"/>
    <w:rsid w:val="001966B9"/>
    <w:rsid w:val="001972F2"/>
    <w:rsid w:val="0019748C"/>
    <w:rsid w:val="001A047F"/>
    <w:rsid w:val="001A3B8E"/>
    <w:rsid w:val="001A489F"/>
    <w:rsid w:val="001A6DE2"/>
    <w:rsid w:val="001B118C"/>
    <w:rsid w:val="001B22B0"/>
    <w:rsid w:val="001B37F8"/>
    <w:rsid w:val="001B5BF6"/>
    <w:rsid w:val="001C24A2"/>
    <w:rsid w:val="001C2BFE"/>
    <w:rsid w:val="001C2E33"/>
    <w:rsid w:val="001C3A09"/>
    <w:rsid w:val="001C5FA4"/>
    <w:rsid w:val="001C7193"/>
    <w:rsid w:val="001D6CD5"/>
    <w:rsid w:val="001D7C30"/>
    <w:rsid w:val="001D7F8A"/>
    <w:rsid w:val="001E010F"/>
    <w:rsid w:val="001E04D6"/>
    <w:rsid w:val="001E1E99"/>
    <w:rsid w:val="001E2CA9"/>
    <w:rsid w:val="001E4649"/>
    <w:rsid w:val="001E6A82"/>
    <w:rsid w:val="001E7C13"/>
    <w:rsid w:val="001F0518"/>
    <w:rsid w:val="001F10F7"/>
    <w:rsid w:val="001F205F"/>
    <w:rsid w:val="001F274C"/>
    <w:rsid w:val="001F2CFE"/>
    <w:rsid w:val="001F44E6"/>
    <w:rsid w:val="001F44F3"/>
    <w:rsid w:val="001F55F3"/>
    <w:rsid w:val="001F7EAB"/>
    <w:rsid w:val="00200183"/>
    <w:rsid w:val="002005C9"/>
    <w:rsid w:val="00201C0C"/>
    <w:rsid w:val="0020519D"/>
    <w:rsid w:val="0020520F"/>
    <w:rsid w:val="00205DC4"/>
    <w:rsid w:val="0020767B"/>
    <w:rsid w:val="00211283"/>
    <w:rsid w:val="00212893"/>
    <w:rsid w:val="00213524"/>
    <w:rsid w:val="00213570"/>
    <w:rsid w:val="00213D25"/>
    <w:rsid w:val="0021548E"/>
    <w:rsid w:val="002160CE"/>
    <w:rsid w:val="002160DC"/>
    <w:rsid w:val="002165FA"/>
    <w:rsid w:val="00221784"/>
    <w:rsid w:val="002217EC"/>
    <w:rsid w:val="00221BE7"/>
    <w:rsid w:val="00224D9B"/>
    <w:rsid w:val="00226719"/>
    <w:rsid w:val="002273F5"/>
    <w:rsid w:val="0022776D"/>
    <w:rsid w:val="00230A1B"/>
    <w:rsid w:val="00231BE3"/>
    <w:rsid w:val="00231C1E"/>
    <w:rsid w:val="00233298"/>
    <w:rsid w:val="00233681"/>
    <w:rsid w:val="002378EF"/>
    <w:rsid w:val="00237EC3"/>
    <w:rsid w:val="00242576"/>
    <w:rsid w:val="00243ACC"/>
    <w:rsid w:val="0024504A"/>
    <w:rsid w:val="00245F83"/>
    <w:rsid w:val="00247D0B"/>
    <w:rsid w:val="00247DA4"/>
    <w:rsid w:val="002517A8"/>
    <w:rsid w:val="002518C6"/>
    <w:rsid w:val="002522EE"/>
    <w:rsid w:val="00252EC1"/>
    <w:rsid w:val="0025420E"/>
    <w:rsid w:val="00254EDF"/>
    <w:rsid w:val="00255501"/>
    <w:rsid w:val="002630DE"/>
    <w:rsid w:val="002634F6"/>
    <w:rsid w:val="00267552"/>
    <w:rsid w:val="00267BBB"/>
    <w:rsid w:val="00267C19"/>
    <w:rsid w:val="00267CEE"/>
    <w:rsid w:val="00272199"/>
    <w:rsid w:val="0027279D"/>
    <w:rsid w:val="002740FD"/>
    <w:rsid w:val="002756E7"/>
    <w:rsid w:val="002800D8"/>
    <w:rsid w:val="0028056C"/>
    <w:rsid w:val="00281852"/>
    <w:rsid w:val="002821B1"/>
    <w:rsid w:val="0028225C"/>
    <w:rsid w:val="00282420"/>
    <w:rsid w:val="0028399A"/>
    <w:rsid w:val="00286B05"/>
    <w:rsid w:val="00293510"/>
    <w:rsid w:val="00293C47"/>
    <w:rsid w:val="00294849"/>
    <w:rsid w:val="00294B07"/>
    <w:rsid w:val="00295F75"/>
    <w:rsid w:val="002966CB"/>
    <w:rsid w:val="00296AB3"/>
    <w:rsid w:val="00296BA3"/>
    <w:rsid w:val="002A2758"/>
    <w:rsid w:val="002A2A04"/>
    <w:rsid w:val="002A711C"/>
    <w:rsid w:val="002B09C7"/>
    <w:rsid w:val="002B30FE"/>
    <w:rsid w:val="002B4A07"/>
    <w:rsid w:val="002B5298"/>
    <w:rsid w:val="002B541C"/>
    <w:rsid w:val="002B7CEE"/>
    <w:rsid w:val="002C0305"/>
    <w:rsid w:val="002C20C5"/>
    <w:rsid w:val="002C296E"/>
    <w:rsid w:val="002C4107"/>
    <w:rsid w:val="002C41F3"/>
    <w:rsid w:val="002C57FF"/>
    <w:rsid w:val="002C6600"/>
    <w:rsid w:val="002C72C6"/>
    <w:rsid w:val="002D38EC"/>
    <w:rsid w:val="002D42AC"/>
    <w:rsid w:val="002D5149"/>
    <w:rsid w:val="002D61BC"/>
    <w:rsid w:val="002D6867"/>
    <w:rsid w:val="002D7120"/>
    <w:rsid w:val="002E0430"/>
    <w:rsid w:val="002E1013"/>
    <w:rsid w:val="002E229C"/>
    <w:rsid w:val="002E32EC"/>
    <w:rsid w:val="002E51F1"/>
    <w:rsid w:val="002E5D55"/>
    <w:rsid w:val="002E6D91"/>
    <w:rsid w:val="002E7C99"/>
    <w:rsid w:val="002F110E"/>
    <w:rsid w:val="002F1350"/>
    <w:rsid w:val="002F1E1C"/>
    <w:rsid w:val="002F1FEF"/>
    <w:rsid w:val="002F313A"/>
    <w:rsid w:val="002F4A9D"/>
    <w:rsid w:val="002F6136"/>
    <w:rsid w:val="002F720A"/>
    <w:rsid w:val="002F7675"/>
    <w:rsid w:val="002F7872"/>
    <w:rsid w:val="002F7B5D"/>
    <w:rsid w:val="002F7C7E"/>
    <w:rsid w:val="00305DD3"/>
    <w:rsid w:val="00310A7C"/>
    <w:rsid w:val="00312D47"/>
    <w:rsid w:val="00313707"/>
    <w:rsid w:val="00313CC6"/>
    <w:rsid w:val="00315AA4"/>
    <w:rsid w:val="00316D9A"/>
    <w:rsid w:val="00321A26"/>
    <w:rsid w:val="00322C41"/>
    <w:rsid w:val="00322DE0"/>
    <w:rsid w:val="0032363D"/>
    <w:rsid w:val="00323766"/>
    <w:rsid w:val="00323C11"/>
    <w:rsid w:val="00323EBD"/>
    <w:rsid w:val="0032632A"/>
    <w:rsid w:val="00330C8C"/>
    <w:rsid w:val="0033190E"/>
    <w:rsid w:val="00331E13"/>
    <w:rsid w:val="003320B7"/>
    <w:rsid w:val="00332443"/>
    <w:rsid w:val="00333F22"/>
    <w:rsid w:val="0033527A"/>
    <w:rsid w:val="0033626F"/>
    <w:rsid w:val="00336FA9"/>
    <w:rsid w:val="00337586"/>
    <w:rsid w:val="0033793A"/>
    <w:rsid w:val="0034008B"/>
    <w:rsid w:val="00345E3D"/>
    <w:rsid w:val="003528E8"/>
    <w:rsid w:val="0035451E"/>
    <w:rsid w:val="00355010"/>
    <w:rsid w:val="003562EE"/>
    <w:rsid w:val="00357679"/>
    <w:rsid w:val="003579CB"/>
    <w:rsid w:val="00357C76"/>
    <w:rsid w:val="003605B1"/>
    <w:rsid w:val="00361325"/>
    <w:rsid w:val="00361D4E"/>
    <w:rsid w:val="00362500"/>
    <w:rsid w:val="00364C55"/>
    <w:rsid w:val="0036571A"/>
    <w:rsid w:val="00366334"/>
    <w:rsid w:val="003704C0"/>
    <w:rsid w:val="0037194B"/>
    <w:rsid w:val="00372148"/>
    <w:rsid w:val="00372F9D"/>
    <w:rsid w:val="00374888"/>
    <w:rsid w:val="00374E40"/>
    <w:rsid w:val="00374F54"/>
    <w:rsid w:val="00380C26"/>
    <w:rsid w:val="00381141"/>
    <w:rsid w:val="00381B1E"/>
    <w:rsid w:val="00387390"/>
    <w:rsid w:val="00391684"/>
    <w:rsid w:val="00393FF1"/>
    <w:rsid w:val="003940E9"/>
    <w:rsid w:val="0039490B"/>
    <w:rsid w:val="0039641F"/>
    <w:rsid w:val="0039756C"/>
    <w:rsid w:val="003A19E8"/>
    <w:rsid w:val="003A2904"/>
    <w:rsid w:val="003A4032"/>
    <w:rsid w:val="003B1C91"/>
    <w:rsid w:val="003B3129"/>
    <w:rsid w:val="003B59BA"/>
    <w:rsid w:val="003C063D"/>
    <w:rsid w:val="003C0892"/>
    <w:rsid w:val="003C13CD"/>
    <w:rsid w:val="003C1474"/>
    <w:rsid w:val="003C1E2F"/>
    <w:rsid w:val="003C294F"/>
    <w:rsid w:val="003C3678"/>
    <w:rsid w:val="003D148A"/>
    <w:rsid w:val="003D462B"/>
    <w:rsid w:val="003D487D"/>
    <w:rsid w:val="003D5812"/>
    <w:rsid w:val="003E03AF"/>
    <w:rsid w:val="003E1B50"/>
    <w:rsid w:val="003E1F26"/>
    <w:rsid w:val="003E2A31"/>
    <w:rsid w:val="003E3239"/>
    <w:rsid w:val="003E3E3C"/>
    <w:rsid w:val="003E4407"/>
    <w:rsid w:val="003E74FB"/>
    <w:rsid w:val="003E7555"/>
    <w:rsid w:val="003F3221"/>
    <w:rsid w:val="003F38D9"/>
    <w:rsid w:val="003F5EC3"/>
    <w:rsid w:val="00400315"/>
    <w:rsid w:val="00400921"/>
    <w:rsid w:val="004023DD"/>
    <w:rsid w:val="0040323A"/>
    <w:rsid w:val="00405862"/>
    <w:rsid w:val="00414DCD"/>
    <w:rsid w:val="004151A3"/>
    <w:rsid w:val="004179C8"/>
    <w:rsid w:val="00422BB2"/>
    <w:rsid w:val="00423DF1"/>
    <w:rsid w:val="00424C5E"/>
    <w:rsid w:val="00425A29"/>
    <w:rsid w:val="00425E5A"/>
    <w:rsid w:val="00426616"/>
    <w:rsid w:val="00427B30"/>
    <w:rsid w:val="00430544"/>
    <w:rsid w:val="00430C58"/>
    <w:rsid w:val="004312ED"/>
    <w:rsid w:val="00431A3E"/>
    <w:rsid w:val="004325DC"/>
    <w:rsid w:val="00432F22"/>
    <w:rsid w:val="004331C4"/>
    <w:rsid w:val="00434867"/>
    <w:rsid w:val="00434C50"/>
    <w:rsid w:val="00434D4B"/>
    <w:rsid w:val="0043548D"/>
    <w:rsid w:val="0043564D"/>
    <w:rsid w:val="004375C6"/>
    <w:rsid w:val="0044126F"/>
    <w:rsid w:val="00441C25"/>
    <w:rsid w:val="0044455E"/>
    <w:rsid w:val="0044460D"/>
    <w:rsid w:val="00446452"/>
    <w:rsid w:val="0044655B"/>
    <w:rsid w:val="004478F9"/>
    <w:rsid w:val="00447A0B"/>
    <w:rsid w:val="00450563"/>
    <w:rsid w:val="004505BC"/>
    <w:rsid w:val="00451BE2"/>
    <w:rsid w:val="0045316C"/>
    <w:rsid w:val="004531CB"/>
    <w:rsid w:val="0045378F"/>
    <w:rsid w:val="00453E54"/>
    <w:rsid w:val="004571C5"/>
    <w:rsid w:val="00463DC4"/>
    <w:rsid w:val="004645C9"/>
    <w:rsid w:val="00464A3A"/>
    <w:rsid w:val="00464F5E"/>
    <w:rsid w:val="0046708B"/>
    <w:rsid w:val="00467EB9"/>
    <w:rsid w:val="00471263"/>
    <w:rsid w:val="00471790"/>
    <w:rsid w:val="00471F0A"/>
    <w:rsid w:val="00472DC8"/>
    <w:rsid w:val="0047361E"/>
    <w:rsid w:val="00475D85"/>
    <w:rsid w:val="004762C8"/>
    <w:rsid w:val="004802EC"/>
    <w:rsid w:val="00481CAA"/>
    <w:rsid w:val="00482683"/>
    <w:rsid w:val="004831C4"/>
    <w:rsid w:val="004838E2"/>
    <w:rsid w:val="00483F71"/>
    <w:rsid w:val="00484AB9"/>
    <w:rsid w:val="004852FA"/>
    <w:rsid w:val="004858D9"/>
    <w:rsid w:val="00486105"/>
    <w:rsid w:val="00487B99"/>
    <w:rsid w:val="0049111C"/>
    <w:rsid w:val="0049158B"/>
    <w:rsid w:val="00491D9D"/>
    <w:rsid w:val="00492229"/>
    <w:rsid w:val="00492D41"/>
    <w:rsid w:val="00495136"/>
    <w:rsid w:val="004967D1"/>
    <w:rsid w:val="00496DA8"/>
    <w:rsid w:val="0049757A"/>
    <w:rsid w:val="004A035D"/>
    <w:rsid w:val="004A0514"/>
    <w:rsid w:val="004A099F"/>
    <w:rsid w:val="004A0C59"/>
    <w:rsid w:val="004A22DC"/>
    <w:rsid w:val="004A29F1"/>
    <w:rsid w:val="004A34DF"/>
    <w:rsid w:val="004A38B3"/>
    <w:rsid w:val="004A4CF0"/>
    <w:rsid w:val="004A638A"/>
    <w:rsid w:val="004A6641"/>
    <w:rsid w:val="004B0E51"/>
    <w:rsid w:val="004B0F76"/>
    <w:rsid w:val="004B178B"/>
    <w:rsid w:val="004B1E94"/>
    <w:rsid w:val="004B33FF"/>
    <w:rsid w:val="004B417C"/>
    <w:rsid w:val="004B5350"/>
    <w:rsid w:val="004B7C41"/>
    <w:rsid w:val="004C0FC8"/>
    <w:rsid w:val="004C1364"/>
    <w:rsid w:val="004C145F"/>
    <w:rsid w:val="004C1FC0"/>
    <w:rsid w:val="004C263B"/>
    <w:rsid w:val="004C43F9"/>
    <w:rsid w:val="004D2F69"/>
    <w:rsid w:val="004D3704"/>
    <w:rsid w:val="004D3D8E"/>
    <w:rsid w:val="004D3E5A"/>
    <w:rsid w:val="004D480F"/>
    <w:rsid w:val="004D532B"/>
    <w:rsid w:val="004E1321"/>
    <w:rsid w:val="004E1A16"/>
    <w:rsid w:val="004E2160"/>
    <w:rsid w:val="004E2820"/>
    <w:rsid w:val="004E3646"/>
    <w:rsid w:val="004E4045"/>
    <w:rsid w:val="004E4FBA"/>
    <w:rsid w:val="004E603A"/>
    <w:rsid w:val="004F10FA"/>
    <w:rsid w:val="004F1BD9"/>
    <w:rsid w:val="004F2327"/>
    <w:rsid w:val="004F29B9"/>
    <w:rsid w:val="004F3B19"/>
    <w:rsid w:val="004F6997"/>
    <w:rsid w:val="004F7A53"/>
    <w:rsid w:val="00502045"/>
    <w:rsid w:val="00502BCF"/>
    <w:rsid w:val="00503385"/>
    <w:rsid w:val="00506EBB"/>
    <w:rsid w:val="00507374"/>
    <w:rsid w:val="00507B3E"/>
    <w:rsid w:val="00510141"/>
    <w:rsid w:val="00511114"/>
    <w:rsid w:val="005131F1"/>
    <w:rsid w:val="005132C9"/>
    <w:rsid w:val="0051484F"/>
    <w:rsid w:val="005149F6"/>
    <w:rsid w:val="00515C23"/>
    <w:rsid w:val="0051637C"/>
    <w:rsid w:val="005165CE"/>
    <w:rsid w:val="00516B3E"/>
    <w:rsid w:val="00521A11"/>
    <w:rsid w:val="00521A92"/>
    <w:rsid w:val="00523625"/>
    <w:rsid w:val="00524180"/>
    <w:rsid w:val="00524D11"/>
    <w:rsid w:val="00525251"/>
    <w:rsid w:val="00525364"/>
    <w:rsid w:val="005262C9"/>
    <w:rsid w:val="00530046"/>
    <w:rsid w:val="0053066E"/>
    <w:rsid w:val="00531889"/>
    <w:rsid w:val="00531C47"/>
    <w:rsid w:val="00531D70"/>
    <w:rsid w:val="005337B3"/>
    <w:rsid w:val="00534302"/>
    <w:rsid w:val="00534CD5"/>
    <w:rsid w:val="00540DB6"/>
    <w:rsid w:val="00541020"/>
    <w:rsid w:val="00541769"/>
    <w:rsid w:val="0054232B"/>
    <w:rsid w:val="005437DD"/>
    <w:rsid w:val="0054514D"/>
    <w:rsid w:val="0054750E"/>
    <w:rsid w:val="00550229"/>
    <w:rsid w:val="0055213F"/>
    <w:rsid w:val="00552F1B"/>
    <w:rsid w:val="005534CB"/>
    <w:rsid w:val="00553E54"/>
    <w:rsid w:val="00556454"/>
    <w:rsid w:val="0056023E"/>
    <w:rsid w:val="00560F39"/>
    <w:rsid w:val="00561F38"/>
    <w:rsid w:val="00564054"/>
    <w:rsid w:val="005645F2"/>
    <w:rsid w:val="00565284"/>
    <w:rsid w:val="00565771"/>
    <w:rsid w:val="00566BF6"/>
    <w:rsid w:val="0057192F"/>
    <w:rsid w:val="00572CF6"/>
    <w:rsid w:val="00577C96"/>
    <w:rsid w:val="005813B6"/>
    <w:rsid w:val="0058310B"/>
    <w:rsid w:val="00583434"/>
    <w:rsid w:val="0058349F"/>
    <w:rsid w:val="005836F0"/>
    <w:rsid w:val="0058424B"/>
    <w:rsid w:val="00587DF4"/>
    <w:rsid w:val="00590D76"/>
    <w:rsid w:val="00591891"/>
    <w:rsid w:val="00591AF7"/>
    <w:rsid w:val="00592F6D"/>
    <w:rsid w:val="005933C3"/>
    <w:rsid w:val="0059423C"/>
    <w:rsid w:val="005955D5"/>
    <w:rsid w:val="005956BC"/>
    <w:rsid w:val="005956D6"/>
    <w:rsid w:val="005958BE"/>
    <w:rsid w:val="0059636C"/>
    <w:rsid w:val="00596BDC"/>
    <w:rsid w:val="00596D7A"/>
    <w:rsid w:val="00597CE2"/>
    <w:rsid w:val="005A0187"/>
    <w:rsid w:val="005A0C3C"/>
    <w:rsid w:val="005A395B"/>
    <w:rsid w:val="005A6542"/>
    <w:rsid w:val="005A78BF"/>
    <w:rsid w:val="005A7ECD"/>
    <w:rsid w:val="005B3D28"/>
    <w:rsid w:val="005B4CBF"/>
    <w:rsid w:val="005B5BBF"/>
    <w:rsid w:val="005B6AC0"/>
    <w:rsid w:val="005B6B4C"/>
    <w:rsid w:val="005C24D8"/>
    <w:rsid w:val="005C2548"/>
    <w:rsid w:val="005C4A61"/>
    <w:rsid w:val="005C620E"/>
    <w:rsid w:val="005C730C"/>
    <w:rsid w:val="005C7516"/>
    <w:rsid w:val="005D03B3"/>
    <w:rsid w:val="005D0CD1"/>
    <w:rsid w:val="005D1522"/>
    <w:rsid w:val="005D2874"/>
    <w:rsid w:val="005D3064"/>
    <w:rsid w:val="005D4067"/>
    <w:rsid w:val="005D4367"/>
    <w:rsid w:val="005D6CBC"/>
    <w:rsid w:val="005D75AF"/>
    <w:rsid w:val="005E1E84"/>
    <w:rsid w:val="005E21BA"/>
    <w:rsid w:val="005E2A11"/>
    <w:rsid w:val="005E3F34"/>
    <w:rsid w:val="005E3F99"/>
    <w:rsid w:val="005E4A18"/>
    <w:rsid w:val="005E4D81"/>
    <w:rsid w:val="005E5212"/>
    <w:rsid w:val="005E5222"/>
    <w:rsid w:val="005E6997"/>
    <w:rsid w:val="005F0770"/>
    <w:rsid w:val="005F2054"/>
    <w:rsid w:val="005F4C2B"/>
    <w:rsid w:val="005F5C33"/>
    <w:rsid w:val="005F5F5F"/>
    <w:rsid w:val="005F76DA"/>
    <w:rsid w:val="00603BEC"/>
    <w:rsid w:val="00603F30"/>
    <w:rsid w:val="00606553"/>
    <w:rsid w:val="00607EE7"/>
    <w:rsid w:val="006159E6"/>
    <w:rsid w:val="00615F3C"/>
    <w:rsid w:val="00617576"/>
    <w:rsid w:val="0062006E"/>
    <w:rsid w:val="0062264A"/>
    <w:rsid w:val="0062400F"/>
    <w:rsid w:val="00624018"/>
    <w:rsid w:val="00624770"/>
    <w:rsid w:val="00624A23"/>
    <w:rsid w:val="00624C91"/>
    <w:rsid w:val="0062509B"/>
    <w:rsid w:val="00626348"/>
    <w:rsid w:val="0063095B"/>
    <w:rsid w:val="0063341A"/>
    <w:rsid w:val="00637892"/>
    <w:rsid w:val="00637D16"/>
    <w:rsid w:val="006419EA"/>
    <w:rsid w:val="0064250B"/>
    <w:rsid w:val="00642520"/>
    <w:rsid w:val="00642E9B"/>
    <w:rsid w:val="006432D4"/>
    <w:rsid w:val="00643CBB"/>
    <w:rsid w:val="00643FA7"/>
    <w:rsid w:val="006455E9"/>
    <w:rsid w:val="00647942"/>
    <w:rsid w:val="006479CA"/>
    <w:rsid w:val="00647F63"/>
    <w:rsid w:val="006500CD"/>
    <w:rsid w:val="0065411B"/>
    <w:rsid w:val="006545C6"/>
    <w:rsid w:val="006568A4"/>
    <w:rsid w:val="0066040A"/>
    <w:rsid w:val="00660AF6"/>
    <w:rsid w:val="0066127A"/>
    <w:rsid w:val="0066548D"/>
    <w:rsid w:val="00665F13"/>
    <w:rsid w:val="0066627F"/>
    <w:rsid w:val="00667732"/>
    <w:rsid w:val="0067053D"/>
    <w:rsid w:val="00673A5C"/>
    <w:rsid w:val="006751A3"/>
    <w:rsid w:val="006756D0"/>
    <w:rsid w:val="00677540"/>
    <w:rsid w:val="006826AA"/>
    <w:rsid w:val="00682AC5"/>
    <w:rsid w:val="0068356A"/>
    <w:rsid w:val="0068363B"/>
    <w:rsid w:val="00685532"/>
    <w:rsid w:val="006858E0"/>
    <w:rsid w:val="00686439"/>
    <w:rsid w:val="006906F5"/>
    <w:rsid w:val="00690786"/>
    <w:rsid w:val="00693502"/>
    <w:rsid w:val="00694BA8"/>
    <w:rsid w:val="006957EE"/>
    <w:rsid w:val="00695D97"/>
    <w:rsid w:val="006A02E2"/>
    <w:rsid w:val="006A0A04"/>
    <w:rsid w:val="006A0C65"/>
    <w:rsid w:val="006A0DB0"/>
    <w:rsid w:val="006A19BB"/>
    <w:rsid w:val="006A2275"/>
    <w:rsid w:val="006A2C93"/>
    <w:rsid w:val="006A3A36"/>
    <w:rsid w:val="006A41A1"/>
    <w:rsid w:val="006A4FAD"/>
    <w:rsid w:val="006A6629"/>
    <w:rsid w:val="006B19D4"/>
    <w:rsid w:val="006B1ED9"/>
    <w:rsid w:val="006B35EA"/>
    <w:rsid w:val="006B44C6"/>
    <w:rsid w:val="006B6B36"/>
    <w:rsid w:val="006B79B1"/>
    <w:rsid w:val="006C022A"/>
    <w:rsid w:val="006C189B"/>
    <w:rsid w:val="006C5E09"/>
    <w:rsid w:val="006C79D9"/>
    <w:rsid w:val="006D0C5D"/>
    <w:rsid w:val="006D1EB4"/>
    <w:rsid w:val="006D2718"/>
    <w:rsid w:val="006D4068"/>
    <w:rsid w:val="006D4283"/>
    <w:rsid w:val="006D4DB1"/>
    <w:rsid w:val="006D4F82"/>
    <w:rsid w:val="006D697C"/>
    <w:rsid w:val="006E20A8"/>
    <w:rsid w:val="006E2236"/>
    <w:rsid w:val="006E3F27"/>
    <w:rsid w:val="006E6896"/>
    <w:rsid w:val="006E6A8E"/>
    <w:rsid w:val="006E6ED9"/>
    <w:rsid w:val="006F0184"/>
    <w:rsid w:val="006F0B99"/>
    <w:rsid w:val="006F196D"/>
    <w:rsid w:val="006F6400"/>
    <w:rsid w:val="006F6B12"/>
    <w:rsid w:val="006F6B50"/>
    <w:rsid w:val="006F6CC6"/>
    <w:rsid w:val="006F72EF"/>
    <w:rsid w:val="006F7890"/>
    <w:rsid w:val="0070081B"/>
    <w:rsid w:val="0070495C"/>
    <w:rsid w:val="0070585A"/>
    <w:rsid w:val="00706133"/>
    <w:rsid w:val="00713191"/>
    <w:rsid w:val="0071364D"/>
    <w:rsid w:val="00715AC2"/>
    <w:rsid w:val="00716045"/>
    <w:rsid w:val="00716AA2"/>
    <w:rsid w:val="007175DC"/>
    <w:rsid w:val="00717BFB"/>
    <w:rsid w:val="00720527"/>
    <w:rsid w:val="00720D36"/>
    <w:rsid w:val="007223E6"/>
    <w:rsid w:val="007229DD"/>
    <w:rsid w:val="00723024"/>
    <w:rsid w:val="00723873"/>
    <w:rsid w:val="0072474F"/>
    <w:rsid w:val="00727DFE"/>
    <w:rsid w:val="007307F3"/>
    <w:rsid w:val="0073217C"/>
    <w:rsid w:val="007338F5"/>
    <w:rsid w:val="00734DE5"/>
    <w:rsid w:val="00736003"/>
    <w:rsid w:val="00737E16"/>
    <w:rsid w:val="00740A17"/>
    <w:rsid w:val="007450A4"/>
    <w:rsid w:val="00745C76"/>
    <w:rsid w:val="007462D6"/>
    <w:rsid w:val="0074738B"/>
    <w:rsid w:val="00747A41"/>
    <w:rsid w:val="00747BB5"/>
    <w:rsid w:val="0075259F"/>
    <w:rsid w:val="007525E5"/>
    <w:rsid w:val="0075392E"/>
    <w:rsid w:val="007541B6"/>
    <w:rsid w:val="0076062E"/>
    <w:rsid w:val="0076143A"/>
    <w:rsid w:val="00761E25"/>
    <w:rsid w:val="00762C50"/>
    <w:rsid w:val="00763985"/>
    <w:rsid w:val="00764B2A"/>
    <w:rsid w:val="007656D4"/>
    <w:rsid w:val="00770240"/>
    <w:rsid w:val="00773653"/>
    <w:rsid w:val="00775AF8"/>
    <w:rsid w:val="0077706B"/>
    <w:rsid w:val="00777A02"/>
    <w:rsid w:val="007813C6"/>
    <w:rsid w:val="007814EF"/>
    <w:rsid w:val="00781605"/>
    <w:rsid w:val="00782909"/>
    <w:rsid w:val="0078332E"/>
    <w:rsid w:val="007866FE"/>
    <w:rsid w:val="00786CBA"/>
    <w:rsid w:val="0078769C"/>
    <w:rsid w:val="00791B46"/>
    <w:rsid w:val="00791F29"/>
    <w:rsid w:val="007928D8"/>
    <w:rsid w:val="007933C1"/>
    <w:rsid w:val="007953F3"/>
    <w:rsid w:val="00795B35"/>
    <w:rsid w:val="007A268A"/>
    <w:rsid w:val="007A2C17"/>
    <w:rsid w:val="007A31A2"/>
    <w:rsid w:val="007A3644"/>
    <w:rsid w:val="007A4000"/>
    <w:rsid w:val="007A58F3"/>
    <w:rsid w:val="007A7803"/>
    <w:rsid w:val="007B02D7"/>
    <w:rsid w:val="007B1430"/>
    <w:rsid w:val="007B26B9"/>
    <w:rsid w:val="007B2DA5"/>
    <w:rsid w:val="007B48D5"/>
    <w:rsid w:val="007B6CC0"/>
    <w:rsid w:val="007B6FA5"/>
    <w:rsid w:val="007C072F"/>
    <w:rsid w:val="007C3579"/>
    <w:rsid w:val="007C465E"/>
    <w:rsid w:val="007C56CA"/>
    <w:rsid w:val="007D087C"/>
    <w:rsid w:val="007D0B09"/>
    <w:rsid w:val="007D1B78"/>
    <w:rsid w:val="007D2787"/>
    <w:rsid w:val="007D2E8D"/>
    <w:rsid w:val="007D3462"/>
    <w:rsid w:val="007D54E8"/>
    <w:rsid w:val="007E058A"/>
    <w:rsid w:val="007E0800"/>
    <w:rsid w:val="007E1789"/>
    <w:rsid w:val="007E1F8B"/>
    <w:rsid w:val="007E33E4"/>
    <w:rsid w:val="007E38F1"/>
    <w:rsid w:val="007E413D"/>
    <w:rsid w:val="007E4504"/>
    <w:rsid w:val="007E4CC9"/>
    <w:rsid w:val="007E6EA7"/>
    <w:rsid w:val="007E7F49"/>
    <w:rsid w:val="007E7F74"/>
    <w:rsid w:val="007F0237"/>
    <w:rsid w:val="007F1E2C"/>
    <w:rsid w:val="007F28D7"/>
    <w:rsid w:val="007F3FC0"/>
    <w:rsid w:val="007F46EB"/>
    <w:rsid w:val="007F60A5"/>
    <w:rsid w:val="007F6CC9"/>
    <w:rsid w:val="008001BC"/>
    <w:rsid w:val="00800D23"/>
    <w:rsid w:val="008013E6"/>
    <w:rsid w:val="008052BD"/>
    <w:rsid w:val="0080601C"/>
    <w:rsid w:val="008159E2"/>
    <w:rsid w:val="00816126"/>
    <w:rsid w:val="00816273"/>
    <w:rsid w:val="00820A3F"/>
    <w:rsid w:val="00820EA2"/>
    <w:rsid w:val="008216F7"/>
    <w:rsid w:val="00821982"/>
    <w:rsid w:val="00822C98"/>
    <w:rsid w:val="0082313C"/>
    <w:rsid w:val="00823169"/>
    <w:rsid w:val="00825AFF"/>
    <w:rsid w:val="00826F8C"/>
    <w:rsid w:val="0082717B"/>
    <w:rsid w:val="00827699"/>
    <w:rsid w:val="00827B04"/>
    <w:rsid w:val="0083032E"/>
    <w:rsid w:val="00833374"/>
    <w:rsid w:val="0083578C"/>
    <w:rsid w:val="00840147"/>
    <w:rsid w:val="0084176F"/>
    <w:rsid w:val="00841907"/>
    <w:rsid w:val="00841C50"/>
    <w:rsid w:val="00844D76"/>
    <w:rsid w:val="00844F2B"/>
    <w:rsid w:val="0084601C"/>
    <w:rsid w:val="008468E1"/>
    <w:rsid w:val="0084783E"/>
    <w:rsid w:val="008504A0"/>
    <w:rsid w:val="00851899"/>
    <w:rsid w:val="00852495"/>
    <w:rsid w:val="00854E27"/>
    <w:rsid w:val="00855221"/>
    <w:rsid w:val="00855AC5"/>
    <w:rsid w:val="00856565"/>
    <w:rsid w:val="00856CD5"/>
    <w:rsid w:val="008570B6"/>
    <w:rsid w:val="0086036A"/>
    <w:rsid w:val="0086074B"/>
    <w:rsid w:val="00861530"/>
    <w:rsid w:val="00861D2B"/>
    <w:rsid w:val="008653A3"/>
    <w:rsid w:val="008657A2"/>
    <w:rsid w:val="00866645"/>
    <w:rsid w:val="008717ED"/>
    <w:rsid w:val="00871D3E"/>
    <w:rsid w:val="008735E5"/>
    <w:rsid w:val="00874C37"/>
    <w:rsid w:val="00877773"/>
    <w:rsid w:val="00880796"/>
    <w:rsid w:val="00882210"/>
    <w:rsid w:val="008834BD"/>
    <w:rsid w:val="0088429A"/>
    <w:rsid w:val="008858C8"/>
    <w:rsid w:val="008860BB"/>
    <w:rsid w:val="0088751D"/>
    <w:rsid w:val="008902B9"/>
    <w:rsid w:val="00890D76"/>
    <w:rsid w:val="00890EA1"/>
    <w:rsid w:val="00891070"/>
    <w:rsid w:val="0089161A"/>
    <w:rsid w:val="0089185E"/>
    <w:rsid w:val="0089221A"/>
    <w:rsid w:val="0089404F"/>
    <w:rsid w:val="008962A8"/>
    <w:rsid w:val="00896714"/>
    <w:rsid w:val="008A0620"/>
    <w:rsid w:val="008A191B"/>
    <w:rsid w:val="008A238A"/>
    <w:rsid w:val="008A3F4E"/>
    <w:rsid w:val="008A4554"/>
    <w:rsid w:val="008A4A90"/>
    <w:rsid w:val="008A502A"/>
    <w:rsid w:val="008A5A29"/>
    <w:rsid w:val="008A6185"/>
    <w:rsid w:val="008A6AA7"/>
    <w:rsid w:val="008A6B39"/>
    <w:rsid w:val="008A6C92"/>
    <w:rsid w:val="008B257A"/>
    <w:rsid w:val="008B2821"/>
    <w:rsid w:val="008B2E33"/>
    <w:rsid w:val="008B46F2"/>
    <w:rsid w:val="008B5114"/>
    <w:rsid w:val="008B6006"/>
    <w:rsid w:val="008B65F7"/>
    <w:rsid w:val="008C1346"/>
    <w:rsid w:val="008C197F"/>
    <w:rsid w:val="008C1FE9"/>
    <w:rsid w:val="008C243C"/>
    <w:rsid w:val="008C352D"/>
    <w:rsid w:val="008C5D7F"/>
    <w:rsid w:val="008C5FB1"/>
    <w:rsid w:val="008C7C6B"/>
    <w:rsid w:val="008C7D60"/>
    <w:rsid w:val="008C7DCE"/>
    <w:rsid w:val="008D18FC"/>
    <w:rsid w:val="008D21BC"/>
    <w:rsid w:val="008D2926"/>
    <w:rsid w:val="008D398B"/>
    <w:rsid w:val="008D4C67"/>
    <w:rsid w:val="008D742F"/>
    <w:rsid w:val="008D7E49"/>
    <w:rsid w:val="008E0407"/>
    <w:rsid w:val="008E1762"/>
    <w:rsid w:val="008E4E82"/>
    <w:rsid w:val="008F0DCD"/>
    <w:rsid w:val="008F364A"/>
    <w:rsid w:val="008F3F53"/>
    <w:rsid w:val="008F4118"/>
    <w:rsid w:val="008F418B"/>
    <w:rsid w:val="008F4FAA"/>
    <w:rsid w:val="008F54FF"/>
    <w:rsid w:val="00901865"/>
    <w:rsid w:val="0090293C"/>
    <w:rsid w:val="00903F4C"/>
    <w:rsid w:val="00904358"/>
    <w:rsid w:val="00904413"/>
    <w:rsid w:val="00910D69"/>
    <w:rsid w:val="00911DDF"/>
    <w:rsid w:val="009132CF"/>
    <w:rsid w:val="00913E03"/>
    <w:rsid w:val="00914450"/>
    <w:rsid w:val="00914683"/>
    <w:rsid w:val="00915831"/>
    <w:rsid w:val="00915985"/>
    <w:rsid w:val="00917DA2"/>
    <w:rsid w:val="00920854"/>
    <w:rsid w:val="009229E9"/>
    <w:rsid w:val="0092376B"/>
    <w:rsid w:val="00923B1F"/>
    <w:rsid w:val="00924349"/>
    <w:rsid w:val="00924C3C"/>
    <w:rsid w:val="00926953"/>
    <w:rsid w:val="00927137"/>
    <w:rsid w:val="009273A3"/>
    <w:rsid w:val="00927824"/>
    <w:rsid w:val="00930029"/>
    <w:rsid w:val="009327F3"/>
    <w:rsid w:val="00933035"/>
    <w:rsid w:val="0093508F"/>
    <w:rsid w:val="009350A4"/>
    <w:rsid w:val="00935F07"/>
    <w:rsid w:val="00936469"/>
    <w:rsid w:val="00936F44"/>
    <w:rsid w:val="0094009C"/>
    <w:rsid w:val="009400B7"/>
    <w:rsid w:val="00940875"/>
    <w:rsid w:val="00943398"/>
    <w:rsid w:val="0094398A"/>
    <w:rsid w:val="0094445F"/>
    <w:rsid w:val="00945272"/>
    <w:rsid w:val="009454CB"/>
    <w:rsid w:val="00946BB5"/>
    <w:rsid w:val="00947305"/>
    <w:rsid w:val="009474F8"/>
    <w:rsid w:val="00951E2E"/>
    <w:rsid w:val="009546A2"/>
    <w:rsid w:val="00954DC2"/>
    <w:rsid w:val="00954F19"/>
    <w:rsid w:val="00956CDF"/>
    <w:rsid w:val="0095707B"/>
    <w:rsid w:val="009576F7"/>
    <w:rsid w:val="00957B92"/>
    <w:rsid w:val="00957FEA"/>
    <w:rsid w:val="00963790"/>
    <w:rsid w:val="009653E0"/>
    <w:rsid w:val="009654CB"/>
    <w:rsid w:val="009662D9"/>
    <w:rsid w:val="00967727"/>
    <w:rsid w:val="00967D9C"/>
    <w:rsid w:val="00967FB9"/>
    <w:rsid w:val="00970966"/>
    <w:rsid w:val="0097099D"/>
    <w:rsid w:val="00972CEC"/>
    <w:rsid w:val="00973A09"/>
    <w:rsid w:val="00973DCF"/>
    <w:rsid w:val="00974442"/>
    <w:rsid w:val="00976054"/>
    <w:rsid w:val="00977619"/>
    <w:rsid w:val="0098205D"/>
    <w:rsid w:val="00984D7D"/>
    <w:rsid w:val="009863F4"/>
    <w:rsid w:val="00986595"/>
    <w:rsid w:val="00986A91"/>
    <w:rsid w:val="00986E3D"/>
    <w:rsid w:val="00990A5F"/>
    <w:rsid w:val="00992759"/>
    <w:rsid w:val="00992B96"/>
    <w:rsid w:val="00993250"/>
    <w:rsid w:val="00993EB9"/>
    <w:rsid w:val="00994C58"/>
    <w:rsid w:val="00997AE0"/>
    <w:rsid w:val="009A05E3"/>
    <w:rsid w:val="009A3316"/>
    <w:rsid w:val="009A3F62"/>
    <w:rsid w:val="009A426C"/>
    <w:rsid w:val="009A44B1"/>
    <w:rsid w:val="009A57F8"/>
    <w:rsid w:val="009A5EB4"/>
    <w:rsid w:val="009A6B10"/>
    <w:rsid w:val="009A74B5"/>
    <w:rsid w:val="009B03E3"/>
    <w:rsid w:val="009B1D52"/>
    <w:rsid w:val="009B1DF4"/>
    <w:rsid w:val="009B29BC"/>
    <w:rsid w:val="009B2ACB"/>
    <w:rsid w:val="009B2CD8"/>
    <w:rsid w:val="009B3118"/>
    <w:rsid w:val="009B3A37"/>
    <w:rsid w:val="009C224F"/>
    <w:rsid w:val="009C2586"/>
    <w:rsid w:val="009C322C"/>
    <w:rsid w:val="009C4333"/>
    <w:rsid w:val="009C645A"/>
    <w:rsid w:val="009C7765"/>
    <w:rsid w:val="009C7E2B"/>
    <w:rsid w:val="009D100D"/>
    <w:rsid w:val="009D27A8"/>
    <w:rsid w:val="009D378B"/>
    <w:rsid w:val="009D41B4"/>
    <w:rsid w:val="009D6257"/>
    <w:rsid w:val="009D6B25"/>
    <w:rsid w:val="009D6CD8"/>
    <w:rsid w:val="009D78CC"/>
    <w:rsid w:val="009D7C1C"/>
    <w:rsid w:val="009E03BB"/>
    <w:rsid w:val="009E0A44"/>
    <w:rsid w:val="009E11EE"/>
    <w:rsid w:val="009E1E4A"/>
    <w:rsid w:val="009E21FE"/>
    <w:rsid w:val="009E5083"/>
    <w:rsid w:val="009E6F3F"/>
    <w:rsid w:val="009E7C77"/>
    <w:rsid w:val="009F08A2"/>
    <w:rsid w:val="009F1F69"/>
    <w:rsid w:val="009F1F87"/>
    <w:rsid w:val="009F30C4"/>
    <w:rsid w:val="009F3D8C"/>
    <w:rsid w:val="009F522E"/>
    <w:rsid w:val="009F5750"/>
    <w:rsid w:val="009F6958"/>
    <w:rsid w:val="009F756B"/>
    <w:rsid w:val="009F7928"/>
    <w:rsid w:val="00A00204"/>
    <w:rsid w:val="00A0131E"/>
    <w:rsid w:val="00A02C17"/>
    <w:rsid w:val="00A060BB"/>
    <w:rsid w:val="00A076B4"/>
    <w:rsid w:val="00A07DF9"/>
    <w:rsid w:val="00A1245D"/>
    <w:rsid w:val="00A12651"/>
    <w:rsid w:val="00A1434D"/>
    <w:rsid w:val="00A144C1"/>
    <w:rsid w:val="00A14A04"/>
    <w:rsid w:val="00A15CD1"/>
    <w:rsid w:val="00A1778B"/>
    <w:rsid w:val="00A200C4"/>
    <w:rsid w:val="00A21E63"/>
    <w:rsid w:val="00A22F95"/>
    <w:rsid w:val="00A23BF4"/>
    <w:rsid w:val="00A2593B"/>
    <w:rsid w:val="00A25C05"/>
    <w:rsid w:val="00A26BDA"/>
    <w:rsid w:val="00A27AC5"/>
    <w:rsid w:val="00A32073"/>
    <w:rsid w:val="00A33E9D"/>
    <w:rsid w:val="00A347D7"/>
    <w:rsid w:val="00A34E05"/>
    <w:rsid w:val="00A35D86"/>
    <w:rsid w:val="00A371EE"/>
    <w:rsid w:val="00A37209"/>
    <w:rsid w:val="00A37D04"/>
    <w:rsid w:val="00A41834"/>
    <w:rsid w:val="00A43D8B"/>
    <w:rsid w:val="00A443E2"/>
    <w:rsid w:val="00A4452A"/>
    <w:rsid w:val="00A4470E"/>
    <w:rsid w:val="00A44D69"/>
    <w:rsid w:val="00A454F1"/>
    <w:rsid w:val="00A45F56"/>
    <w:rsid w:val="00A45FE1"/>
    <w:rsid w:val="00A47776"/>
    <w:rsid w:val="00A50DA0"/>
    <w:rsid w:val="00A537DE"/>
    <w:rsid w:val="00A543CC"/>
    <w:rsid w:val="00A57E47"/>
    <w:rsid w:val="00A6019D"/>
    <w:rsid w:val="00A613D9"/>
    <w:rsid w:val="00A61716"/>
    <w:rsid w:val="00A6228A"/>
    <w:rsid w:val="00A63BC0"/>
    <w:rsid w:val="00A64D7F"/>
    <w:rsid w:val="00A659DC"/>
    <w:rsid w:val="00A66817"/>
    <w:rsid w:val="00A672A7"/>
    <w:rsid w:val="00A67DEA"/>
    <w:rsid w:val="00A702B9"/>
    <w:rsid w:val="00A7221F"/>
    <w:rsid w:val="00A72D35"/>
    <w:rsid w:val="00A73CCF"/>
    <w:rsid w:val="00A73D70"/>
    <w:rsid w:val="00A74302"/>
    <w:rsid w:val="00A75E89"/>
    <w:rsid w:val="00A769ED"/>
    <w:rsid w:val="00A80C60"/>
    <w:rsid w:val="00A828AE"/>
    <w:rsid w:val="00A8293B"/>
    <w:rsid w:val="00A83267"/>
    <w:rsid w:val="00A8404C"/>
    <w:rsid w:val="00A849D9"/>
    <w:rsid w:val="00A85751"/>
    <w:rsid w:val="00A8633F"/>
    <w:rsid w:val="00A86DB6"/>
    <w:rsid w:val="00A9116F"/>
    <w:rsid w:val="00A93489"/>
    <w:rsid w:val="00A93CFF"/>
    <w:rsid w:val="00A9566F"/>
    <w:rsid w:val="00A959A6"/>
    <w:rsid w:val="00A96D6A"/>
    <w:rsid w:val="00A97081"/>
    <w:rsid w:val="00AA1261"/>
    <w:rsid w:val="00AA1D82"/>
    <w:rsid w:val="00AA3303"/>
    <w:rsid w:val="00AA5707"/>
    <w:rsid w:val="00AA7EF2"/>
    <w:rsid w:val="00AB1F92"/>
    <w:rsid w:val="00AB26FA"/>
    <w:rsid w:val="00AB2E45"/>
    <w:rsid w:val="00AB376E"/>
    <w:rsid w:val="00AB3D27"/>
    <w:rsid w:val="00AB451D"/>
    <w:rsid w:val="00AB5FF1"/>
    <w:rsid w:val="00AB7DD2"/>
    <w:rsid w:val="00AC0099"/>
    <w:rsid w:val="00AC2228"/>
    <w:rsid w:val="00AC3F26"/>
    <w:rsid w:val="00AD0173"/>
    <w:rsid w:val="00AD2ECF"/>
    <w:rsid w:val="00AD4798"/>
    <w:rsid w:val="00AD47CF"/>
    <w:rsid w:val="00AD661B"/>
    <w:rsid w:val="00AD6BFA"/>
    <w:rsid w:val="00AD6DFC"/>
    <w:rsid w:val="00AD7984"/>
    <w:rsid w:val="00AE12B6"/>
    <w:rsid w:val="00AE2208"/>
    <w:rsid w:val="00AE2E88"/>
    <w:rsid w:val="00AE511C"/>
    <w:rsid w:val="00AE54FE"/>
    <w:rsid w:val="00AE709F"/>
    <w:rsid w:val="00AE74A2"/>
    <w:rsid w:val="00AE78E2"/>
    <w:rsid w:val="00AE7905"/>
    <w:rsid w:val="00AE7F98"/>
    <w:rsid w:val="00AF0083"/>
    <w:rsid w:val="00AF0C7C"/>
    <w:rsid w:val="00AF175A"/>
    <w:rsid w:val="00AF2507"/>
    <w:rsid w:val="00AF2891"/>
    <w:rsid w:val="00AF5F78"/>
    <w:rsid w:val="00AF613E"/>
    <w:rsid w:val="00AF658D"/>
    <w:rsid w:val="00B00598"/>
    <w:rsid w:val="00B01D86"/>
    <w:rsid w:val="00B02581"/>
    <w:rsid w:val="00B02C50"/>
    <w:rsid w:val="00B030C7"/>
    <w:rsid w:val="00B06856"/>
    <w:rsid w:val="00B078EC"/>
    <w:rsid w:val="00B07E4E"/>
    <w:rsid w:val="00B10774"/>
    <w:rsid w:val="00B11FD1"/>
    <w:rsid w:val="00B12AD0"/>
    <w:rsid w:val="00B137E9"/>
    <w:rsid w:val="00B152BB"/>
    <w:rsid w:val="00B16D69"/>
    <w:rsid w:val="00B17DC4"/>
    <w:rsid w:val="00B20695"/>
    <w:rsid w:val="00B236CE"/>
    <w:rsid w:val="00B2381D"/>
    <w:rsid w:val="00B23A21"/>
    <w:rsid w:val="00B23F0B"/>
    <w:rsid w:val="00B24E4F"/>
    <w:rsid w:val="00B2563D"/>
    <w:rsid w:val="00B25720"/>
    <w:rsid w:val="00B25DBD"/>
    <w:rsid w:val="00B30D9E"/>
    <w:rsid w:val="00B30EA2"/>
    <w:rsid w:val="00B31C0E"/>
    <w:rsid w:val="00B35B64"/>
    <w:rsid w:val="00B36ED3"/>
    <w:rsid w:val="00B37526"/>
    <w:rsid w:val="00B40D58"/>
    <w:rsid w:val="00B414C3"/>
    <w:rsid w:val="00B43A88"/>
    <w:rsid w:val="00B43C53"/>
    <w:rsid w:val="00B443F0"/>
    <w:rsid w:val="00B44572"/>
    <w:rsid w:val="00B4628C"/>
    <w:rsid w:val="00B513C9"/>
    <w:rsid w:val="00B53146"/>
    <w:rsid w:val="00B533A4"/>
    <w:rsid w:val="00B54762"/>
    <w:rsid w:val="00B54E4B"/>
    <w:rsid w:val="00B56EF4"/>
    <w:rsid w:val="00B601F7"/>
    <w:rsid w:val="00B617ED"/>
    <w:rsid w:val="00B64AAF"/>
    <w:rsid w:val="00B65DC4"/>
    <w:rsid w:val="00B65DD1"/>
    <w:rsid w:val="00B67A43"/>
    <w:rsid w:val="00B67C8D"/>
    <w:rsid w:val="00B70485"/>
    <w:rsid w:val="00B75EE9"/>
    <w:rsid w:val="00B76245"/>
    <w:rsid w:val="00B77362"/>
    <w:rsid w:val="00B77BFC"/>
    <w:rsid w:val="00B80B92"/>
    <w:rsid w:val="00B82A13"/>
    <w:rsid w:val="00B82E49"/>
    <w:rsid w:val="00B847F4"/>
    <w:rsid w:val="00B85DBE"/>
    <w:rsid w:val="00B90162"/>
    <w:rsid w:val="00B9192B"/>
    <w:rsid w:val="00B92A5F"/>
    <w:rsid w:val="00B9335E"/>
    <w:rsid w:val="00B9484C"/>
    <w:rsid w:val="00B94E94"/>
    <w:rsid w:val="00B95EDF"/>
    <w:rsid w:val="00B978DF"/>
    <w:rsid w:val="00BA1F41"/>
    <w:rsid w:val="00BA3B74"/>
    <w:rsid w:val="00BA4074"/>
    <w:rsid w:val="00BA582B"/>
    <w:rsid w:val="00BA625C"/>
    <w:rsid w:val="00BA69A1"/>
    <w:rsid w:val="00BB0823"/>
    <w:rsid w:val="00BB1A33"/>
    <w:rsid w:val="00BB1BE1"/>
    <w:rsid w:val="00BB2B93"/>
    <w:rsid w:val="00BB3986"/>
    <w:rsid w:val="00BB3DDE"/>
    <w:rsid w:val="00BB5001"/>
    <w:rsid w:val="00BB55C1"/>
    <w:rsid w:val="00BB6173"/>
    <w:rsid w:val="00BC0D22"/>
    <w:rsid w:val="00BC10B9"/>
    <w:rsid w:val="00BC1817"/>
    <w:rsid w:val="00BC3C96"/>
    <w:rsid w:val="00BC42FE"/>
    <w:rsid w:val="00BC449A"/>
    <w:rsid w:val="00BC4C74"/>
    <w:rsid w:val="00BC5C21"/>
    <w:rsid w:val="00BC7837"/>
    <w:rsid w:val="00BC7CCC"/>
    <w:rsid w:val="00BD1632"/>
    <w:rsid w:val="00BD1773"/>
    <w:rsid w:val="00BD1C63"/>
    <w:rsid w:val="00BD3DEA"/>
    <w:rsid w:val="00BD3F12"/>
    <w:rsid w:val="00BD455B"/>
    <w:rsid w:val="00BD5DDF"/>
    <w:rsid w:val="00BE110E"/>
    <w:rsid w:val="00BE1321"/>
    <w:rsid w:val="00BE1373"/>
    <w:rsid w:val="00BE2BCE"/>
    <w:rsid w:val="00BE4315"/>
    <w:rsid w:val="00BE6366"/>
    <w:rsid w:val="00BE7B79"/>
    <w:rsid w:val="00BE7D4A"/>
    <w:rsid w:val="00BF0272"/>
    <w:rsid w:val="00BF5CFD"/>
    <w:rsid w:val="00C0100F"/>
    <w:rsid w:val="00C026F2"/>
    <w:rsid w:val="00C02AF8"/>
    <w:rsid w:val="00C02C26"/>
    <w:rsid w:val="00C02E9E"/>
    <w:rsid w:val="00C05928"/>
    <w:rsid w:val="00C101BA"/>
    <w:rsid w:val="00C11B83"/>
    <w:rsid w:val="00C1250E"/>
    <w:rsid w:val="00C13F57"/>
    <w:rsid w:val="00C14577"/>
    <w:rsid w:val="00C14943"/>
    <w:rsid w:val="00C149A3"/>
    <w:rsid w:val="00C14DB7"/>
    <w:rsid w:val="00C17E01"/>
    <w:rsid w:val="00C17E4B"/>
    <w:rsid w:val="00C2079E"/>
    <w:rsid w:val="00C20DF0"/>
    <w:rsid w:val="00C21CA1"/>
    <w:rsid w:val="00C21CCC"/>
    <w:rsid w:val="00C21D58"/>
    <w:rsid w:val="00C22D68"/>
    <w:rsid w:val="00C24A69"/>
    <w:rsid w:val="00C27310"/>
    <w:rsid w:val="00C27743"/>
    <w:rsid w:val="00C27D89"/>
    <w:rsid w:val="00C309B3"/>
    <w:rsid w:val="00C30F61"/>
    <w:rsid w:val="00C31AC4"/>
    <w:rsid w:val="00C31E3F"/>
    <w:rsid w:val="00C323B7"/>
    <w:rsid w:val="00C33542"/>
    <w:rsid w:val="00C34AF8"/>
    <w:rsid w:val="00C409BE"/>
    <w:rsid w:val="00C423CA"/>
    <w:rsid w:val="00C43A69"/>
    <w:rsid w:val="00C43FC6"/>
    <w:rsid w:val="00C47DF7"/>
    <w:rsid w:val="00C50430"/>
    <w:rsid w:val="00C5103D"/>
    <w:rsid w:val="00C53152"/>
    <w:rsid w:val="00C54F6E"/>
    <w:rsid w:val="00C56298"/>
    <w:rsid w:val="00C60299"/>
    <w:rsid w:val="00C62419"/>
    <w:rsid w:val="00C63048"/>
    <w:rsid w:val="00C63FB5"/>
    <w:rsid w:val="00C65235"/>
    <w:rsid w:val="00C652ED"/>
    <w:rsid w:val="00C65586"/>
    <w:rsid w:val="00C665C9"/>
    <w:rsid w:val="00C717F9"/>
    <w:rsid w:val="00C73690"/>
    <w:rsid w:val="00C755F1"/>
    <w:rsid w:val="00C75CFE"/>
    <w:rsid w:val="00C7793C"/>
    <w:rsid w:val="00C77A7D"/>
    <w:rsid w:val="00C806C6"/>
    <w:rsid w:val="00C80E29"/>
    <w:rsid w:val="00C81B24"/>
    <w:rsid w:val="00C82EF3"/>
    <w:rsid w:val="00C82F84"/>
    <w:rsid w:val="00C830B3"/>
    <w:rsid w:val="00C83878"/>
    <w:rsid w:val="00C83906"/>
    <w:rsid w:val="00C83BAD"/>
    <w:rsid w:val="00C8484A"/>
    <w:rsid w:val="00C84D03"/>
    <w:rsid w:val="00C85DD7"/>
    <w:rsid w:val="00C8726F"/>
    <w:rsid w:val="00C91221"/>
    <w:rsid w:val="00C918AF"/>
    <w:rsid w:val="00C939A8"/>
    <w:rsid w:val="00C95915"/>
    <w:rsid w:val="00C95F6F"/>
    <w:rsid w:val="00C962EE"/>
    <w:rsid w:val="00C97145"/>
    <w:rsid w:val="00C9751A"/>
    <w:rsid w:val="00C97B6E"/>
    <w:rsid w:val="00C97F1F"/>
    <w:rsid w:val="00CA30E0"/>
    <w:rsid w:val="00CB0748"/>
    <w:rsid w:val="00CB115B"/>
    <w:rsid w:val="00CB12AF"/>
    <w:rsid w:val="00CB2151"/>
    <w:rsid w:val="00CB2164"/>
    <w:rsid w:val="00CB3504"/>
    <w:rsid w:val="00CB3509"/>
    <w:rsid w:val="00CB4470"/>
    <w:rsid w:val="00CB64C2"/>
    <w:rsid w:val="00CC0DDB"/>
    <w:rsid w:val="00CC5412"/>
    <w:rsid w:val="00CC7F95"/>
    <w:rsid w:val="00CD2A7A"/>
    <w:rsid w:val="00CD5048"/>
    <w:rsid w:val="00CD6D12"/>
    <w:rsid w:val="00CE0004"/>
    <w:rsid w:val="00CE0FDF"/>
    <w:rsid w:val="00CE2730"/>
    <w:rsid w:val="00CE390A"/>
    <w:rsid w:val="00CE4D98"/>
    <w:rsid w:val="00CE572A"/>
    <w:rsid w:val="00CE60E3"/>
    <w:rsid w:val="00CF11E2"/>
    <w:rsid w:val="00CF1F7E"/>
    <w:rsid w:val="00CF26D4"/>
    <w:rsid w:val="00CF28B9"/>
    <w:rsid w:val="00CF3819"/>
    <w:rsid w:val="00CF5CBF"/>
    <w:rsid w:val="00CF6385"/>
    <w:rsid w:val="00CF64AD"/>
    <w:rsid w:val="00CF67B1"/>
    <w:rsid w:val="00D010FD"/>
    <w:rsid w:val="00D012AC"/>
    <w:rsid w:val="00D0181F"/>
    <w:rsid w:val="00D02812"/>
    <w:rsid w:val="00D06694"/>
    <w:rsid w:val="00D069A3"/>
    <w:rsid w:val="00D1039E"/>
    <w:rsid w:val="00D17897"/>
    <w:rsid w:val="00D20056"/>
    <w:rsid w:val="00D236E8"/>
    <w:rsid w:val="00D24030"/>
    <w:rsid w:val="00D248D8"/>
    <w:rsid w:val="00D24AC5"/>
    <w:rsid w:val="00D252ED"/>
    <w:rsid w:val="00D25D55"/>
    <w:rsid w:val="00D30F85"/>
    <w:rsid w:val="00D30FCE"/>
    <w:rsid w:val="00D31836"/>
    <w:rsid w:val="00D32577"/>
    <w:rsid w:val="00D32DC6"/>
    <w:rsid w:val="00D33D47"/>
    <w:rsid w:val="00D35524"/>
    <w:rsid w:val="00D37AB7"/>
    <w:rsid w:val="00D405B8"/>
    <w:rsid w:val="00D41C8B"/>
    <w:rsid w:val="00D42016"/>
    <w:rsid w:val="00D42388"/>
    <w:rsid w:val="00D42AD2"/>
    <w:rsid w:val="00D43E0D"/>
    <w:rsid w:val="00D4624C"/>
    <w:rsid w:val="00D4689D"/>
    <w:rsid w:val="00D50B15"/>
    <w:rsid w:val="00D50C0F"/>
    <w:rsid w:val="00D52A1B"/>
    <w:rsid w:val="00D548F4"/>
    <w:rsid w:val="00D55D5C"/>
    <w:rsid w:val="00D5669B"/>
    <w:rsid w:val="00D57672"/>
    <w:rsid w:val="00D6192A"/>
    <w:rsid w:val="00D62454"/>
    <w:rsid w:val="00D63D5A"/>
    <w:rsid w:val="00D6403F"/>
    <w:rsid w:val="00D66553"/>
    <w:rsid w:val="00D71263"/>
    <w:rsid w:val="00D72D0D"/>
    <w:rsid w:val="00D73545"/>
    <w:rsid w:val="00D7395C"/>
    <w:rsid w:val="00D74E6F"/>
    <w:rsid w:val="00D751D7"/>
    <w:rsid w:val="00D7618B"/>
    <w:rsid w:val="00D807B1"/>
    <w:rsid w:val="00D808C4"/>
    <w:rsid w:val="00D81B65"/>
    <w:rsid w:val="00D82A81"/>
    <w:rsid w:val="00D85D7E"/>
    <w:rsid w:val="00D8783A"/>
    <w:rsid w:val="00D90968"/>
    <w:rsid w:val="00D90A63"/>
    <w:rsid w:val="00D9352F"/>
    <w:rsid w:val="00D94143"/>
    <w:rsid w:val="00D94650"/>
    <w:rsid w:val="00D94B12"/>
    <w:rsid w:val="00D9526D"/>
    <w:rsid w:val="00D976DB"/>
    <w:rsid w:val="00DA0F79"/>
    <w:rsid w:val="00DA1BB8"/>
    <w:rsid w:val="00DA2065"/>
    <w:rsid w:val="00DA264E"/>
    <w:rsid w:val="00DA340D"/>
    <w:rsid w:val="00DA455E"/>
    <w:rsid w:val="00DA63D4"/>
    <w:rsid w:val="00DA6FEA"/>
    <w:rsid w:val="00DA7107"/>
    <w:rsid w:val="00DA7BB8"/>
    <w:rsid w:val="00DB2119"/>
    <w:rsid w:val="00DB2391"/>
    <w:rsid w:val="00DB3FBF"/>
    <w:rsid w:val="00DB593A"/>
    <w:rsid w:val="00DB59C7"/>
    <w:rsid w:val="00DB736F"/>
    <w:rsid w:val="00DB758A"/>
    <w:rsid w:val="00DC05BC"/>
    <w:rsid w:val="00DC07C9"/>
    <w:rsid w:val="00DC24AD"/>
    <w:rsid w:val="00DC31A9"/>
    <w:rsid w:val="00DC34B5"/>
    <w:rsid w:val="00DC3D8B"/>
    <w:rsid w:val="00DC4A37"/>
    <w:rsid w:val="00DC4B10"/>
    <w:rsid w:val="00DC5366"/>
    <w:rsid w:val="00DC543B"/>
    <w:rsid w:val="00DC5624"/>
    <w:rsid w:val="00DC5DCE"/>
    <w:rsid w:val="00DC5F2A"/>
    <w:rsid w:val="00DC75B6"/>
    <w:rsid w:val="00DC7814"/>
    <w:rsid w:val="00DD0136"/>
    <w:rsid w:val="00DD0885"/>
    <w:rsid w:val="00DD19D2"/>
    <w:rsid w:val="00DD3203"/>
    <w:rsid w:val="00DD3A24"/>
    <w:rsid w:val="00DD3C5F"/>
    <w:rsid w:val="00DD55CD"/>
    <w:rsid w:val="00DD6723"/>
    <w:rsid w:val="00DD7941"/>
    <w:rsid w:val="00DE2492"/>
    <w:rsid w:val="00DE2580"/>
    <w:rsid w:val="00DE7790"/>
    <w:rsid w:val="00DF0376"/>
    <w:rsid w:val="00DF0992"/>
    <w:rsid w:val="00DF24AB"/>
    <w:rsid w:val="00DF28CD"/>
    <w:rsid w:val="00DF2B3C"/>
    <w:rsid w:val="00DF2CD7"/>
    <w:rsid w:val="00DF34C1"/>
    <w:rsid w:val="00DF3516"/>
    <w:rsid w:val="00DF3F3C"/>
    <w:rsid w:val="00E00008"/>
    <w:rsid w:val="00E0059A"/>
    <w:rsid w:val="00E03BA9"/>
    <w:rsid w:val="00E03C07"/>
    <w:rsid w:val="00E05BC8"/>
    <w:rsid w:val="00E05BDB"/>
    <w:rsid w:val="00E062FF"/>
    <w:rsid w:val="00E1088C"/>
    <w:rsid w:val="00E12AA0"/>
    <w:rsid w:val="00E15BA8"/>
    <w:rsid w:val="00E17382"/>
    <w:rsid w:val="00E20E3C"/>
    <w:rsid w:val="00E2127A"/>
    <w:rsid w:val="00E23C2D"/>
    <w:rsid w:val="00E24BBF"/>
    <w:rsid w:val="00E27641"/>
    <w:rsid w:val="00E30123"/>
    <w:rsid w:val="00E314A3"/>
    <w:rsid w:val="00E31ADC"/>
    <w:rsid w:val="00E33358"/>
    <w:rsid w:val="00E34286"/>
    <w:rsid w:val="00E36290"/>
    <w:rsid w:val="00E36819"/>
    <w:rsid w:val="00E37713"/>
    <w:rsid w:val="00E37774"/>
    <w:rsid w:val="00E37ABC"/>
    <w:rsid w:val="00E40681"/>
    <w:rsid w:val="00E4114A"/>
    <w:rsid w:val="00E41FAB"/>
    <w:rsid w:val="00E43138"/>
    <w:rsid w:val="00E45F09"/>
    <w:rsid w:val="00E4633C"/>
    <w:rsid w:val="00E471EC"/>
    <w:rsid w:val="00E47302"/>
    <w:rsid w:val="00E50691"/>
    <w:rsid w:val="00E51700"/>
    <w:rsid w:val="00E5337E"/>
    <w:rsid w:val="00E54DA6"/>
    <w:rsid w:val="00E57731"/>
    <w:rsid w:val="00E57B9D"/>
    <w:rsid w:val="00E61311"/>
    <w:rsid w:val="00E61CC3"/>
    <w:rsid w:val="00E63711"/>
    <w:rsid w:val="00E653FD"/>
    <w:rsid w:val="00E656A9"/>
    <w:rsid w:val="00E7010D"/>
    <w:rsid w:val="00E7067E"/>
    <w:rsid w:val="00E73750"/>
    <w:rsid w:val="00E74D9C"/>
    <w:rsid w:val="00E75BEB"/>
    <w:rsid w:val="00E7637B"/>
    <w:rsid w:val="00E76754"/>
    <w:rsid w:val="00E80AC3"/>
    <w:rsid w:val="00E80D5A"/>
    <w:rsid w:val="00E81B13"/>
    <w:rsid w:val="00E81E61"/>
    <w:rsid w:val="00E8378A"/>
    <w:rsid w:val="00E848B4"/>
    <w:rsid w:val="00E876CD"/>
    <w:rsid w:val="00E91417"/>
    <w:rsid w:val="00E917CE"/>
    <w:rsid w:val="00E92465"/>
    <w:rsid w:val="00E94329"/>
    <w:rsid w:val="00E947C1"/>
    <w:rsid w:val="00E96F7F"/>
    <w:rsid w:val="00EA03DB"/>
    <w:rsid w:val="00EA3B7A"/>
    <w:rsid w:val="00EA4332"/>
    <w:rsid w:val="00EA5242"/>
    <w:rsid w:val="00EA530E"/>
    <w:rsid w:val="00EA7137"/>
    <w:rsid w:val="00EA767D"/>
    <w:rsid w:val="00EB03CB"/>
    <w:rsid w:val="00EB1377"/>
    <w:rsid w:val="00EB2A0D"/>
    <w:rsid w:val="00EB3AED"/>
    <w:rsid w:val="00EB3E1D"/>
    <w:rsid w:val="00EB4198"/>
    <w:rsid w:val="00EB66D0"/>
    <w:rsid w:val="00EB7458"/>
    <w:rsid w:val="00EB78FC"/>
    <w:rsid w:val="00EC1A6A"/>
    <w:rsid w:val="00EC1B87"/>
    <w:rsid w:val="00EC1E33"/>
    <w:rsid w:val="00EC3877"/>
    <w:rsid w:val="00EC683B"/>
    <w:rsid w:val="00EC6B2F"/>
    <w:rsid w:val="00EC7CF3"/>
    <w:rsid w:val="00ED1622"/>
    <w:rsid w:val="00ED1C32"/>
    <w:rsid w:val="00ED1D71"/>
    <w:rsid w:val="00ED2433"/>
    <w:rsid w:val="00ED4A5E"/>
    <w:rsid w:val="00ED5723"/>
    <w:rsid w:val="00ED6B38"/>
    <w:rsid w:val="00ED6CBF"/>
    <w:rsid w:val="00ED7C55"/>
    <w:rsid w:val="00EE1213"/>
    <w:rsid w:val="00EE1488"/>
    <w:rsid w:val="00EE32B0"/>
    <w:rsid w:val="00EE5B02"/>
    <w:rsid w:val="00EE5D56"/>
    <w:rsid w:val="00EE78D9"/>
    <w:rsid w:val="00EF2E8A"/>
    <w:rsid w:val="00EF337D"/>
    <w:rsid w:val="00EF33E8"/>
    <w:rsid w:val="00EF3659"/>
    <w:rsid w:val="00EF4E5D"/>
    <w:rsid w:val="00EF5317"/>
    <w:rsid w:val="00EF7D2B"/>
    <w:rsid w:val="00F001A6"/>
    <w:rsid w:val="00F00BFC"/>
    <w:rsid w:val="00F02697"/>
    <w:rsid w:val="00F02F4A"/>
    <w:rsid w:val="00F02FF7"/>
    <w:rsid w:val="00F04D00"/>
    <w:rsid w:val="00F05828"/>
    <w:rsid w:val="00F05AF7"/>
    <w:rsid w:val="00F07022"/>
    <w:rsid w:val="00F07942"/>
    <w:rsid w:val="00F07AE2"/>
    <w:rsid w:val="00F10021"/>
    <w:rsid w:val="00F10F59"/>
    <w:rsid w:val="00F1119E"/>
    <w:rsid w:val="00F130C0"/>
    <w:rsid w:val="00F13618"/>
    <w:rsid w:val="00F139F3"/>
    <w:rsid w:val="00F1441A"/>
    <w:rsid w:val="00F15D1F"/>
    <w:rsid w:val="00F162CC"/>
    <w:rsid w:val="00F21E3C"/>
    <w:rsid w:val="00F21E64"/>
    <w:rsid w:val="00F21F20"/>
    <w:rsid w:val="00F22CFE"/>
    <w:rsid w:val="00F22F5B"/>
    <w:rsid w:val="00F24E9F"/>
    <w:rsid w:val="00F25783"/>
    <w:rsid w:val="00F25B6F"/>
    <w:rsid w:val="00F25CBE"/>
    <w:rsid w:val="00F2645B"/>
    <w:rsid w:val="00F26618"/>
    <w:rsid w:val="00F2692E"/>
    <w:rsid w:val="00F26E93"/>
    <w:rsid w:val="00F2734E"/>
    <w:rsid w:val="00F279CE"/>
    <w:rsid w:val="00F301C6"/>
    <w:rsid w:val="00F30E93"/>
    <w:rsid w:val="00F310D5"/>
    <w:rsid w:val="00F3273F"/>
    <w:rsid w:val="00F33996"/>
    <w:rsid w:val="00F33E30"/>
    <w:rsid w:val="00F33F2B"/>
    <w:rsid w:val="00F340A4"/>
    <w:rsid w:val="00F34491"/>
    <w:rsid w:val="00F35A34"/>
    <w:rsid w:val="00F3721B"/>
    <w:rsid w:val="00F37BAF"/>
    <w:rsid w:val="00F37F1E"/>
    <w:rsid w:val="00F40882"/>
    <w:rsid w:val="00F43559"/>
    <w:rsid w:val="00F4492B"/>
    <w:rsid w:val="00F46E00"/>
    <w:rsid w:val="00F471E7"/>
    <w:rsid w:val="00F47205"/>
    <w:rsid w:val="00F4783B"/>
    <w:rsid w:val="00F51A3F"/>
    <w:rsid w:val="00F527A4"/>
    <w:rsid w:val="00F537FB"/>
    <w:rsid w:val="00F54FBD"/>
    <w:rsid w:val="00F5789B"/>
    <w:rsid w:val="00F57DDF"/>
    <w:rsid w:val="00F60809"/>
    <w:rsid w:val="00F6191F"/>
    <w:rsid w:val="00F61AC7"/>
    <w:rsid w:val="00F63823"/>
    <w:rsid w:val="00F65C12"/>
    <w:rsid w:val="00F67781"/>
    <w:rsid w:val="00F71379"/>
    <w:rsid w:val="00F7189F"/>
    <w:rsid w:val="00F71C4A"/>
    <w:rsid w:val="00F7208B"/>
    <w:rsid w:val="00F72925"/>
    <w:rsid w:val="00F74136"/>
    <w:rsid w:val="00F74A96"/>
    <w:rsid w:val="00F74BCF"/>
    <w:rsid w:val="00F75037"/>
    <w:rsid w:val="00F75479"/>
    <w:rsid w:val="00F75AAB"/>
    <w:rsid w:val="00F75C76"/>
    <w:rsid w:val="00F75F5D"/>
    <w:rsid w:val="00F76950"/>
    <w:rsid w:val="00F80712"/>
    <w:rsid w:val="00F81A95"/>
    <w:rsid w:val="00F81CE5"/>
    <w:rsid w:val="00F826D3"/>
    <w:rsid w:val="00F829F2"/>
    <w:rsid w:val="00F8369B"/>
    <w:rsid w:val="00F85E72"/>
    <w:rsid w:val="00F95379"/>
    <w:rsid w:val="00FA11CF"/>
    <w:rsid w:val="00FA30CE"/>
    <w:rsid w:val="00FA3D5A"/>
    <w:rsid w:val="00FA47F4"/>
    <w:rsid w:val="00FA4B00"/>
    <w:rsid w:val="00FA5E62"/>
    <w:rsid w:val="00FB040A"/>
    <w:rsid w:val="00FB094B"/>
    <w:rsid w:val="00FB179A"/>
    <w:rsid w:val="00FB2901"/>
    <w:rsid w:val="00FB3012"/>
    <w:rsid w:val="00FB3E88"/>
    <w:rsid w:val="00FB48B3"/>
    <w:rsid w:val="00FB48DE"/>
    <w:rsid w:val="00FB4FA2"/>
    <w:rsid w:val="00FB7F5A"/>
    <w:rsid w:val="00FC0EB2"/>
    <w:rsid w:val="00FC38AF"/>
    <w:rsid w:val="00FC720B"/>
    <w:rsid w:val="00FC7AE8"/>
    <w:rsid w:val="00FD496D"/>
    <w:rsid w:val="00FD4A91"/>
    <w:rsid w:val="00FD52DD"/>
    <w:rsid w:val="00FD568D"/>
    <w:rsid w:val="00FD58B4"/>
    <w:rsid w:val="00FD5BBA"/>
    <w:rsid w:val="00FD5D79"/>
    <w:rsid w:val="00FE00CA"/>
    <w:rsid w:val="00FE1773"/>
    <w:rsid w:val="00FE1EFA"/>
    <w:rsid w:val="00FE25A3"/>
    <w:rsid w:val="00FE2FAD"/>
    <w:rsid w:val="00FE3500"/>
    <w:rsid w:val="00FE3FE9"/>
    <w:rsid w:val="00FE48CE"/>
    <w:rsid w:val="00FE4DDF"/>
    <w:rsid w:val="00FE4E89"/>
    <w:rsid w:val="00FE578B"/>
    <w:rsid w:val="00FE6A10"/>
    <w:rsid w:val="00FF15DD"/>
    <w:rsid w:val="00FF23ED"/>
    <w:rsid w:val="00FF3332"/>
    <w:rsid w:val="00FF3619"/>
    <w:rsid w:val="00FF7930"/>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D8C9"/>
  <w15:docId w15:val="{F09717B4-8B9F-426B-9025-3962DD81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 Char Char,Char Char,ft,Footnote text,ft2,fn,Char,Nota de rodapé,Char Char Char Char Char,Footnote Text Char Char Char Char Char,Footnote Text Char Char Char Char,Footnote reference,FA Fu,ft Char Ch,Footnotes,Footnote ak"/>
    <w:basedOn w:val="Normal"/>
    <w:link w:val="NotedebasdepageCar"/>
    <w:uiPriority w:val="99"/>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fr,Ref,de nota al pie,Char Char6 Char Char Char Char Char Char Char Char Char Char Char Char,Char6 Char Char Char Char Char Char Char Char Char Char Char Char Char,Footnot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customStyle="1" w:styleId="Tiret">
    <w:name w:val="Tiret"/>
    <w:basedOn w:val="Normal"/>
    <w:rsid w:val="00151C5D"/>
    <w:pPr>
      <w:numPr>
        <w:numId w:val="19"/>
      </w:numPr>
      <w:tabs>
        <w:tab w:val="clear" w:pos="1080"/>
      </w:tabs>
      <w:spacing w:before="60" w:after="60" w:line="360" w:lineRule="auto"/>
      <w:ind w:left="1134" w:hanging="414"/>
      <w:jc w:val="both"/>
    </w:pPr>
    <w:rPr>
      <w:kern w:val="28"/>
    </w:rPr>
  </w:style>
  <w:style w:type="character" w:customStyle="1" w:styleId="NotedebasdepageCar">
    <w:name w:val="Note de bas de page Car"/>
    <w:aliases w:val="Char Char Char Car,Char Char Car,ft Car,Footnote text Car,ft2 Car,fn Car,Char Car,Nota de rodapé Car,Char Char Char Char Char Car,Footnote Text Char Char Char Char Char Car,Footnote Text Char Char Char Char Car,FA Fu Car"/>
    <w:link w:val="Notedebasdepage"/>
    <w:uiPriority w:val="99"/>
    <w:rsid w:val="00151C5D"/>
    <w:rPr>
      <w:rFonts w:ascii="Arial" w:hAnsi="Arial"/>
      <w:lang w:eastAsia="fr-FR"/>
    </w:rPr>
  </w:style>
  <w:style w:type="character" w:customStyle="1" w:styleId="ParagrapheCar">
    <w:name w:val="Paragraphe Car"/>
    <w:link w:val="Paragraphe"/>
    <w:qFormat/>
    <w:rsid w:val="00151C5D"/>
    <w:rPr>
      <w:rFonts w:ascii="Arial" w:hAnsi="Arial"/>
      <w:kern w:val="28"/>
      <w:sz w:val="24"/>
      <w:lang w:eastAsia="fr-FR"/>
    </w:rPr>
  </w:style>
  <w:style w:type="paragraph" w:customStyle="1" w:styleId="paragraphe0">
    <w:name w:val="paragraphe"/>
    <w:basedOn w:val="Normal"/>
    <w:rsid w:val="00151C5D"/>
    <w:pPr>
      <w:spacing w:before="100" w:beforeAutospacing="1" w:after="100" w:afterAutospacing="1" w:line="240" w:lineRule="auto"/>
    </w:pPr>
    <w:rPr>
      <w:rFonts w:ascii="Times New Roman" w:hAnsi="Times New Roman"/>
      <w:szCs w:val="24"/>
      <w:lang w:eastAsia="fr-CA"/>
    </w:rPr>
  </w:style>
  <w:style w:type="character" w:customStyle="1" w:styleId="normaltextrun">
    <w:name w:val="normaltextrun"/>
    <w:basedOn w:val="Policepardfaut"/>
    <w:rsid w:val="00151C5D"/>
  </w:style>
  <w:style w:type="character" w:styleId="Hyperlien">
    <w:name w:val="Hyperlink"/>
    <w:basedOn w:val="Policepardfaut"/>
    <w:uiPriority w:val="99"/>
    <w:unhideWhenUsed/>
    <w:rsid w:val="00F2645B"/>
    <w:rPr>
      <w:color w:val="0000FF"/>
      <w:u w:val="single"/>
    </w:rPr>
  </w:style>
  <w:style w:type="paragraph" w:styleId="Paragraphedeliste">
    <w:name w:val="List Paragraph"/>
    <w:basedOn w:val="Normal"/>
    <w:uiPriority w:val="34"/>
    <w:qFormat/>
    <w:rsid w:val="009B1D52"/>
    <w:pPr>
      <w:ind w:left="720"/>
      <w:contextualSpacing/>
    </w:pPr>
  </w:style>
  <w:style w:type="paragraph" w:customStyle="1" w:styleId="citationenretrait0">
    <w:name w:val="citationenretrait"/>
    <w:basedOn w:val="Normal"/>
    <w:rsid w:val="00B4628C"/>
    <w:pPr>
      <w:spacing w:before="100" w:beforeAutospacing="1" w:after="100" w:afterAutospacing="1" w:line="240" w:lineRule="auto"/>
    </w:pPr>
    <w:rPr>
      <w:rFonts w:ascii="Times New Roman" w:hAnsi="Times New Roman"/>
      <w:szCs w:val="24"/>
      <w:lang w:eastAsia="fr-CA"/>
    </w:rPr>
  </w:style>
  <w:style w:type="paragraph" w:customStyle="1" w:styleId="Corps">
    <w:name w:val="Corps"/>
    <w:rsid w:val="000530F1"/>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rPr>
  </w:style>
  <w:style w:type="character" w:customStyle="1" w:styleId="Aucun">
    <w:name w:val="Aucun"/>
    <w:rsid w:val="000530F1"/>
    <w:rPr>
      <w:lang w:val="fr-FR"/>
    </w:rPr>
  </w:style>
  <w:style w:type="character" w:styleId="Accentuation">
    <w:name w:val="Emphasis"/>
    <w:basedOn w:val="Policepardfaut"/>
    <w:uiPriority w:val="20"/>
    <w:qFormat/>
    <w:rsid w:val="003C1474"/>
    <w:rPr>
      <w:i/>
      <w:iCs/>
    </w:rPr>
  </w:style>
  <w:style w:type="paragraph" w:customStyle="1" w:styleId="paranondepar-altn">
    <w:name w:val="paranondepar-altn"/>
    <w:basedOn w:val="Normal"/>
    <w:rsid w:val="00954F19"/>
    <w:pPr>
      <w:spacing w:before="100" w:beforeAutospacing="1" w:after="100" w:afterAutospacing="1" w:line="240" w:lineRule="auto"/>
    </w:pPr>
    <w:rPr>
      <w:rFonts w:ascii="Times New Roman" w:hAnsi="Times New Roman"/>
      <w:szCs w:val="24"/>
      <w:lang w:eastAsia="fr-CA"/>
    </w:rPr>
  </w:style>
  <w:style w:type="character" w:customStyle="1" w:styleId="highlight">
    <w:name w:val="highlight"/>
    <w:basedOn w:val="Policepardfaut"/>
    <w:rsid w:val="00954F19"/>
  </w:style>
  <w:style w:type="character" w:styleId="Marquedecommentaire">
    <w:name w:val="annotation reference"/>
    <w:basedOn w:val="Policepardfaut"/>
    <w:uiPriority w:val="99"/>
    <w:semiHidden/>
    <w:unhideWhenUsed/>
    <w:rsid w:val="00DC07C9"/>
    <w:rPr>
      <w:sz w:val="16"/>
      <w:szCs w:val="16"/>
    </w:rPr>
  </w:style>
  <w:style w:type="paragraph" w:styleId="Commentaire">
    <w:name w:val="annotation text"/>
    <w:basedOn w:val="Normal"/>
    <w:link w:val="CommentaireCar"/>
    <w:uiPriority w:val="99"/>
    <w:unhideWhenUsed/>
    <w:rsid w:val="00DC07C9"/>
    <w:pPr>
      <w:spacing w:line="240" w:lineRule="auto"/>
    </w:pPr>
    <w:rPr>
      <w:sz w:val="20"/>
    </w:rPr>
  </w:style>
  <w:style w:type="character" w:customStyle="1" w:styleId="CommentaireCar">
    <w:name w:val="Commentaire Car"/>
    <w:basedOn w:val="Policepardfaut"/>
    <w:link w:val="Commentaire"/>
    <w:uiPriority w:val="99"/>
    <w:rsid w:val="00DC07C9"/>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DC07C9"/>
    <w:rPr>
      <w:b/>
      <w:bCs/>
    </w:rPr>
  </w:style>
  <w:style w:type="character" w:customStyle="1" w:styleId="ObjetducommentaireCar">
    <w:name w:val="Objet du commentaire Car"/>
    <w:basedOn w:val="CommentaireCar"/>
    <w:link w:val="Objetducommentaire"/>
    <w:uiPriority w:val="99"/>
    <w:semiHidden/>
    <w:rsid w:val="00DC07C9"/>
    <w:rPr>
      <w:rFonts w:ascii="Arial" w:hAnsi="Arial"/>
      <w:b/>
      <w:bCs/>
      <w:lang w:eastAsia="fr-FR"/>
    </w:rPr>
  </w:style>
  <w:style w:type="character" w:customStyle="1" w:styleId="sccrespondentforindexchar">
    <w:name w:val="sccrespondentforindexchar"/>
    <w:basedOn w:val="Policepardfaut"/>
    <w:rsid w:val="00B43A88"/>
  </w:style>
  <w:style w:type="paragraph" w:styleId="Rvision">
    <w:name w:val="Revision"/>
    <w:hidden/>
    <w:uiPriority w:val="99"/>
    <w:semiHidden/>
    <w:rsid w:val="006756D0"/>
    <w:rPr>
      <w:rFonts w:ascii="Arial" w:hAnsi="Arial"/>
      <w:sz w:val="24"/>
      <w:lang w:eastAsia="fr-FR"/>
    </w:rPr>
  </w:style>
  <w:style w:type="character" w:styleId="Mentionnonrsolue">
    <w:name w:val="Unresolved Mention"/>
    <w:basedOn w:val="Policepardfaut"/>
    <w:uiPriority w:val="99"/>
    <w:semiHidden/>
    <w:unhideWhenUsed/>
    <w:rsid w:val="003E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373">
      <w:bodyDiv w:val="1"/>
      <w:marLeft w:val="0"/>
      <w:marRight w:val="0"/>
      <w:marTop w:val="0"/>
      <w:marBottom w:val="0"/>
      <w:divBdr>
        <w:top w:val="none" w:sz="0" w:space="0" w:color="auto"/>
        <w:left w:val="none" w:sz="0" w:space="0" w:color="auto"/>
        <w:bottom w:val="none" w:sz="0" w:space="0" w:color="auto"/>
        <w:right w:val="none" w:sz="0" w:space="0" w:color="auto"/>
      </w:divBdr>
    </w:div>
    <w:div w:id="838614663">
      <w:bodyDiv w:val="1"/>
      <w:marLeft w:val="0"/>
      <w:marRight w:val="0"/>
      <w:marTop w:val="0"/>
      <w:marBottom w:val="0"/>
      <w:divBdr>
        <w:top w:val="none" w:sz="0" w:space="0" w:color="auto"/>
        <w:left w:val="none" w:sz="0" w:space="0" w:color="auto"/>
        <w:bottom w:val="none" w:sz="0" w:space="0" w:color="auto"/>
        <w:right w:val="none" w:sz="0" w:space="0" w:color="auto"/>
      </w:divBdr>
    </w:div>
    <w:div w:id="1676806225">
      <w:bodyDiv w:val="1"/>
      <w:marLeft w:val="0"/>
      <w:marRight w:val="0"/>
      <w:marTop w:val="0"/>
      <w:marBottom w:val="0"/>
      <w:divBdr>
        <w:top w:val="none" w:sz="0" w:space="0" w:color="auto"/>
        <w:left w:val="none" w:sz="0" w:space="0" w:color="auto"/>
        <w:bottom w:val="none" w:sz="0" w:space="0" w:color="auto"/>
        <w:right w:val="none" w:sz="0" w:space="0" w:color="auto"/>
      </w:divBdr>
      <w:divsChild>
        <w:div w:id="423690743">
          <w:marLeft w:val="480"/>
          <w:marRight w:val="0"/>
          <w:marTop w:val="240"/>
          <w:marBottom w:val="0"/>
          <w:divBdr>
            <w:top w:val="none" w:sz="0" w:space="0" w:color="auto"/>
            <w:left w:val="none" w:sz="0" w:space="0" w:color="auto"/>
            <w:bottom w:val="none" w:sz="0" w:space="0" w:color="auto"/>
            <w:right w:val="none" w:sz="0" w:space="0" w:color="auto"/>
          </w:divBdr>
          <w:divsChild>
            <w:div w:id="666985213">
              <w:marLeft w:val="0"/>
              <w:marRight w:val="0"/>
              <w:marTop w:val="0"/>
              <w:marBottom w:val="0"/>
              <w:divBdr>
                <w:top w:val="none" w:sz="0" w:space="0" w:color="auto"/>
                <w:left w:val="none" w:sz="0" w:space="0" w:color="auto"/>
                <w:bottom w:val="none" w:sz="0" w:space="0" w:color="auto"/>
                <w:right w:val="none" w:sz="0" w:space="0" w:color="auto"/>
              </w:divBdr>
            </w:div>
          </w:divsChild>
        </w:div>
        <w:div w:id="2005010517">
          <w:marLeft w:val="0"/>
          <w:marRight w:val="0"/>
          <w:marTop w:val="240"/>
          <w:marBottom w:val="0"/>
          <w:divBdr>
            <w:top w:val="none" w:sz="0" w:space="0" w:color="auto"/>
            <w:left w:val="none" w:sz="0" w:space="0" w:color="auto"/>
            <w:bottom w:val="none" w:sz="0" w:space="0" w:color="auto"/>
            <w:right w:val="none" w:sz="0" w:space="0" w:color="auto"/>
          </w:divBdr>
          <w:divsChild>
            <w:div w:id="459954355">
              <w:marLeft w:val="0"/>
              <w:marRight w:val="0"/>
              <w:marTop w:val="0"/>
              <w:marBottom w:val="0"/>
              <w:divBdr>
                <w:top w:val="none" w:sz="0" w:space="0" w:color="auto"/>
                <w:left w:val="none" w:sz="0" w:space="0" w:color="auto"/>
                <w:bottom w:val="none" w:sz="0" w:space="0" w:color="auto"/>
                <w:right w:val="none" w:sz="0" w:space="0" w:color="auto"/>
              </w:divBdr>
              <w:divsChild>
                <w:div w:id="16266207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38437590">
      <w:bodyDiv w:val="1"/>
      <w:marLeft w:val="0"/>
      <w:marRight w:val="0"/>
      <w:marTop w:val="0"/>
      <w:marBottom w:val="0"/>
      <w:divBdr>
        <w:top w:val="none" w:sz="0" w:space="0" w:color="auto"/>
        <w:left w:val="none" w:sz="0" w:space="0" w:color="auto"/>
        <w:bottom w:val="none" w:sz="0" w:space="0" w:color="auto"/>
        <w:right w:val="none" w:sz="0" w:space="0" w:color="auto"/>
      </w:divBdr>
      <w:divsChild>
        <w:div w:id="1132094320">
          <w:marLeft w:val="0"/>
          <w:marRight w:val="0"/>
          <w:marTop w:val="0"/>
          <w:marBottom w:val="0"/>
          <w:divBdr>
            <w:top w:val="none" w:sz="0" w:space="0" w:color="auto"/>
            <w:left w:val="none" w:sz="0" w:space="0" w:color="auto"/>
            <w:bottom w:val="none" w:sz="0" w:space="0" w:color="auto"/>
            <w:right w:val="none" w:sz="0" w:space="0" w:color="auto"/>
          </w:divBdr>
        </w:div>
        <w:div w:id="1458642362">
          <w:marLeft w:val="0"/>
          <w:marRight w:val="0"/>
          <w:marTop w:val="0"/>
          <w:marBottom w:val="0"/>
          <w:divBdr>
            <w:top w:val="none" w:sz="0" w:space="0" w:color="auto"/>
            <w:left w:val="none" w:sz="0" w:space="0" w:color="auto"/>
            <w:bottom w:val="none" w:sz="0" w:space="0" w:color="auto"/>
            <w:right w:val="none" w:sz="0" w:space="0" w:color="auto"/>
          </w:divBdr>
        </w:div>
      </w:divsChild>
    </w:div>
    <w:div w:id="2071227396">
      <w:bodyDiv w:val="1"/>
      <w:marLeft w:val="0"/>
      <w:marRight w:val="0"/>
      <w:marTop w:val="0"/>
      <w:marBottom w:val="0"/>
      <w:divBdr>
        <w:top w:val="none" w:sz="0" w:space="0" w:color="auto"/>
        <w:left w:val="none" w:sz="0" w:space="0" w:color="auto"/>
        <w:bottom w:val="none" w:sz="0" w:space="0" w:color="auto"/>
        <w:right w:val="none" w:sz="0" w:space="0" w:color="auto"/>
      </w:divBdr>
    </w:div>
    <w:div w:id="2132742649">
      <w:bodyDiv w:val="1"/>
      <w:marLeft w:val="0"/>
      <w:marRight w:val="0"/>
      <w:marTop w:val="0"/>
      <w:marBottom w:val="0"/>
      <w:divBdr>
        <w:top w:val="none" w:sz="0" w:space="0" w:color="auto"/>
        <w:left w:val="none" w:sz="0" w:space="0" w:color="auto"/>
        <w:bottom w:val="none" w:sz="0" w:space="0" w:color="auto"/>
        <w:right w:val="none" w:sz="0" w:space="0" w:color="auto"/>
      </w:divBdr>
      <w:divsChild>
        <w:div w:id="355273378">
          <w:marLeft w:val="0"/>
          <w:marRight w:val="0"/>
          <w:marTop w:val="0"/>
          <w:marBottom w:val="0"/>
          <w:divBdr>
            <w:top w:val="none" w:sz="0" w:space="0" w:color="auto"/>
            <w:left w:val="none" w:sz="0" w:space="0" w:color="auto"/>
            <w:bottom w:val="none" w:sz="0" w:space="0" w:color="auto"/>
            <w:right w:val="none" w:sz="0" w:space="0" w:color="auto"/>
          </w:divBdr>
        </w:div>
        <w:div w:id="14389845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56DB-E585-48DA-9238-BB871244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11596</Words>
  <Characters>63781</Characters>
  <Application>Microsoft Office Word</Application>
  <DocSecurity>0</DocSecurity>
  <Lines>531</Lines>
  <Paragraphs>150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de jugement pour la cour d'appel</vt:lpstr>
      <vt:lpstr>Gabarit de jugement pour la cour d'appel</vt:lpstr>
    </vt:vector>
  </TitlesOfParts>
  <Manager>Patrice Tardif</Manager>
  <Company>MJQ</Company>
  <LinksUpToDate>false</LinksUpToDate>
  <CharactersWithSpaces>75227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Myriam Infantino</dc:creator>
  <cp:keywords/>
  <dc:description/>
  <cp:lastModifiedBy>Traduction</cp:lastModifiedBy>
  <cp:revision>2</cp:revision>
  <cp:lastPrinted>2023-09-21T12:35:00Z</cp:lastPrinted>
  <dcterms:created xsi:type="dcterms:W3CDTF">2024-11-19T13:35:00Z</dcterms:created>
  <dcterms:modified xsi:type="dcterms:W3CDTF">2024-11-19T13:35:00Z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