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86"/>
        <w:gridCol w:w="1365"/>
        <w:gridCol w:w="1239"/>
        <w:gridCol w:w="3690"/>
      </w:tblGrid>
      <w:tr w:rsidR="00C328A2" w:rsidRPr="00C328A2" w14:paraId="17E8621F" w14:textId="77777777" w:rsidTr="00C328A2">
        <w:trPr>
          <w:trHeight w:val="1786"/>
        </w:trPr>
        <w:tc>
          <w:tcPr>
            <w:tcW w:w="5000" w:type="pct"/>
            <w:gridSpan w:val="4"/>
          </w:tcPr>
          <w:p w14:paraId="7AA440DB" w14:textId="77777777" w:rsidR="00C328A2" w:rsidRPr="00C328A2" w:rsidRDefault="00C328A2" w:rsidP="00C328A2">
            <w:pPr>
              <w:jc w:val="center"/>
              <w:rPr>
                <w:b/>
                <w:lang w:val="fr-CA"/>
              </w:rPr>
            </w:pPr>
            <w:r w:rsidRPr="00C328A2">
              <w:rPr>
                <w:b/>
                <w:noProof/>
              </w:rPr>
              <w:drawing>
                <wp:inline distT="0" distB="0" distL="0" distR="0" wp14:anchorId="59DFBF1A" wp14:editId="77B340AA">
                  <wp:extent cx="1191895" cy="1638300"/>
                  <wp:effectExtent l="0" t="0" r="8255" b="0"/>
                  <wp:docPr id="3" name="Picture 3"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0A591E34" w14:textId="77777777" w:rsidR="00C328A2" w:rsidRPr="00C328A2" w:rsidRDefault="00C328A2" w:rsidP="00C328A2">
            <w:pPr>
              <w:spacing w:before="120" w:after="100" w:afterAutospacing="1"/>
              <w:jc w:val="center"/>
              <w:rPr>
                <w:lang w:val="fr-CA"/>
              </w:rPr>
            </w:pPr>
            <w:r w:rsidRPr="00C328A2">
              <w:rPr>
                <w:b/>
                <w:lang w:val="fr-CA"/>
              </w:rPr>
              <w:t>COUR SUPRÊME DU CANADA</w:t>
            </w:r>
          </w:p>
        </w:tc>
      </w:tr>
      <w:tr w:rsidR="00C328A2" w:rsidRPr="00C328A2" w14:paraId="04EDF459" w14:textId="77777777" w:rsidTr="00C328A2">
        <w:tblPrEx>
          <w:tblCellMar>
            <w:top w:w="58" w:type="dxa"/>
            <w:left w:w="58" w:type="dxa"/>
            <w:bottom w:w="58" w:type="dxa"/>
            <w:right w:w="58" w:type="dxa"/>
          </w:tblCellMar>
        </w:tblPrEx>
        <w:trPr>
          <w:cantSplit/>
        </w:trPr>
        <w:tc>
          <w:tcPr>
            <w:tcW w:w="2024" w:type="pct"/>
            <w:gridSpan w:val="2"/>
          </w:tcPr>
          <w:p w14:paraId="4908FFB3" w14:textId="77777777" w:rsidR="00C328A2" w:rsidRPr="00C328A2" w:rsidRDefault="00C328A2" w:rsidP="00C328A2">
            <w:pPr>
              <w:rPr>
                <w:b/>
                <w:smallCaps/>
                <w:lang w:val="fr-CA"/>
              </w:rPr>
            </w:pPr>
          </w:p>
          <w:p w14:paraId="794657F5" w14:textId="77777777" w:rsidR="00C328A2" w:rsidRPr="00C328A2" w:rsidRDefault="00C328A2" w:rsidP="00C328A2">
            <w:pPr>
              <w:rPr>
                <w:b/>
                <w:smallCaps/>
                <w:lang w:val="fr-CA"/>
              </w:rPr>
            </w:pPr>
            <w:r w:rsidRPr="00C328A2">
              <w:rPr>
                <w:b/>
                <w:smallCaps/>
                <w:lang w:val="fr-CA"/>
              </w:rPr>
              <w:t>Référence :</w:t>
            </w:r>
            <w:r w:rsidRPr="00C328A2">
              <w:rPr>
                <w:lang w:val="fr-CA"/>
              </w:rPr>
              <w:t xml:space="preserve"> Sanis Health Inc. </w:t>
            </w:r>
            <w:r w:rsidRPr="00C328A2">
              <w:rPr>
                <w:i/>
                <w:lang w:val="fr-CA"/>
              </w:rPr>
              <w:t>c.</w:t>
            </w:r>
            <w:r w:rsidRPr="00C328A2">
              <w:rPr>
                <w:lang w:val="fr-CA"/>
              </w:rPr>
              <w:t xml:space="preserve"> Colombie-Britannique, 2024 CSC 40</w:t>
            </w:r>
          </w:p>
        </w:tc>
        <w:tc>
          <w:tcPr>
            <w:tcW w:w="748" w:type="pct"/>
          </w:tcPr>
          <w:p w14:paraId="1AA93B5B" w14:textId="77777777" w:rsidR="00C328A2" w:rsidRPr="00C328A2" w:rsidRDefault="00C328A2" w:rsidP="00C328A2">
            <w:pPr>
              <w:rPr>
                <w:lang w:val="fr-CA"/>
              </w:rPr>
            </w:pPr>
          </w:p>
        </w:tc>
        <w:tc>
          <w:tcPr>
            <w:tcW w:w="2227" w:type="pct"/>
          </w:tcPr>
          <w:p w14:paraId="6956D485" w14:textId="77777777" w:rsidR="00C328A2" w:rsidRPr="00C328A2" w:rsidRDefault="00C328A2" w:rsidP="00C328A2">
            <w:pPr>
              <w:jc w:val="both"/>
              <w:rPr>
                <w:b/>
                <w:smallCaps/>
                <w:lang w:val="fr-CA"/>
              </w:rPr>
            </w:pPr>
          </w:p>
          <w:p w14:paraId="4323D094" w14:textId="77777777" w:rsidR="00C328A2" w:rsidRPr="00C328A2" w:rsidRDefault="00C328A2" w:rsidP="00C328A2">
            <w:pPr>
              <w:jc w:val="both"/>
              <w:rPr>
                <w:lang w:val="fr-CA"/>
              </w:rPr>
            </w:pPr>
            <w:r w:rsidRPr="00C328A2">
              <w:rPr>
                <w:b/>
                <w:smallCaps/>
                <w:lang w:val="fr-CA"/>
              </w:rPr>
              <w:t>Appel entendu :</w:t>
            </w:r>
            <w:r w:rsidRPr="00C328A2">
              <w:rPr>
                <w:lang w:val="fr-CA"/>
              </w:rPr>
              <w:t xml:space="preserve"> 23 et 24 mai 2024</w:t>
            </w:r>
          </w:p>
          <w:p w14:paraId="50058492" w14:textId="77777777" w:rsidR="00C328A2" w:rsidRPr="00C328A2" w:rsidRDefault="00C328A2" w:rsidP="00C328A2">
            <w:pPr>
              <w:rPr>
                <w:lang w:val="fr-CA"/>
              </w:rPr>
            </w:pPr>
            <w:r w:rsidRPr="00C328A2">
              <w:rPr>
                <w:b/>
                <w:smallCaps/>
                <w:lang w:val="fr-CA"/>
              </w:rPr>
              <w:t>Jugement rendu :</w:t>
            </w:r>
            <w:r w:rsidRPr="00C328A2">
              <w:rPr>
                <w:lang w:val="fr-CA"/>
              </w:rPr>
              <w:t xml:space="preserve"> 29 novembre 2024</w:t>
            </w:r>
          </w:p>
          <w:p w14:paraId="7EBBC7D3" w14:textId="77777777" w:rsidR="00C328A2" w:rsidRPr="00C328A2" w:rsidRDefault="00C328A2" w:rsidP="00C328A2">
            <w:pPr>
              <w:rPr>
                <w:lang w:val="fr-CA"/>
              </w:rPr>
            </w:pPr>
            <w:r w:rsidRPr="00C328A2">
              <w:rPr>
                <w:b/>
                <w:smallCaps/>
                <w:lang w:val="fr-CA"/>
              </w:rPr>
              <w:t>Dossier :</w:t>
            </w:r>
            <w:r w:rsidRPr="00C328A2">
              <w:rPr>
                <w:lang w:val="fr-CA"/>
              </w:rPr>
              <w:t xml:space="preserve"> 40864</w:t>
            </w:r>
          </w:p>
        </w:tc>
      </w:tr>
      <w:tr w:rsidR="00C328A2" w:rsidRPr="001518D0" w14:paraId="631C6B5A" w14:textId="77777777" w:rsidTr="00C328A2">
        <w:tblPrEx>
          <w:tblCellMar>
            <w:top w:w="58" w:type="dxa"/>
            <w:left w:w="58" w:type="dxa"/>
            <w:bottom w:w="58" w:type="dxa"/>
            <w:right w:w="58" w:type="dxa"/>
          </w:tblCellMar>
        </w:tblPrEx>
        <w:trPr>
          <w:cantSplit/>
        </w:trPr>
        <w:tc>
          <w:tcPr>
            <w:tcW w:w="5000" w:type="pct"/>
            <w:gridSpan w:val="4"/>
          </w:tcPr>
          <w:p w14:paraId="37C3B633" w14:textId="77777777" w:rsidR="00C328A2" w:rsidRPr="00C328A2" w:rsidRDefault="00C328A2" w:rsidP="00C328A2"/>
          <w:p w14:paraId="6A31A162" w14:textId="77777777" w:rsidR="00C328A2" w:rsidRPr="00C328A2" w:rsidRDefault="00C328A2" w:rsidP="00C328A2">
            <w:pPr>
              <w:rPr>
                <w:b/>
                <w:smallCaps/>
              </w:rPr>
            </w:pPr>
            <w:r w:rsidRPr="00C328A2">
              <w:rPr>
                <w:b/>
                <w:smallCaps/>
              </w:rPr>
              <w:t>Entre :</w:t>
            </w:r>
          </w:p>
          <w:p w14:paraId="0D092B29" w14:textId="77777777" w:rsidR="00C328A2" w:rsidRPr="00C328A2" w:rsidRDefault="00C328A2" w:rsidP="00C328A2"/>
          <w:p w14:paraId="33C96F5B" w14:textId="77777777" w:rsidR="00C328A2" w:rsidRPr="00C328A2" w:rsidRDefault="00C328A2" w:rsidP="00C328A2">
            <w:pPr>
              <w:jc w:val="center"/>
              <w:rPr>
                <w:b/>
              </w:rPr>
            </w:pPr>
            <w:r w:rsidRPr="00C328A2">
              <w:rPr>
                <w:b/>
              </w:rPr>
              <w:t>Sanis Health Inc., Shoppers Drug Mart Inc.,</w:t>
            </w:r>
          </w:p>
          <w:p w14:paraId="51C1B705" w14:textId="77777777" w:rsidR="00C328A2" w:rsidRPr="00C328A2" w:rsidRDefault="00C328A2" w:rsidP="00C328A2">
            <w:pPr>
              <w:jc w:val="center"/>
              <w:rPr>
                <w:b/>
                <w:lang w:val="fr-CA"/>
              </w:rPr>
            </w:pPr>
            <w:r w:rsidRPr="00C328A2">
              <w:rPr>
                <w:b/>
                <w:lang w:val="fr-CA"/>
              </w:rPr>
              <w:t>Sandoz Canada Inc. et Corporation McKesson Canada</w:t>
            </w:r>
          </w:p>
          <w:p w14:paraId="0F97272A" w14:textId="77777777" w:rsidR="00C328A2" w:rsidRPr="00C328A2" w:rsidRDefault="00C328A2" w:rsidP="00C328A2">
            <w:pPr>
              <w:jc w:val="center"/>
              <w:rPr>
                <w:lang w:val="fr-CA"/>
              </w:rPr>
            </w:pPr>
            <w:r w:rsidRPr="00C328A2">
              <w:rPr>
                <w:lang w:val="fr-CA"/>
              </w:rPr>
              <w:t>Appelantes</w:t>
            </w:r>
          </w:p>
          <w:p w14:paraId="34C642C3" w14:textId="77777777" w:rsidR="00C328A2" w:rsidRPr="00C328A2" w:rsidRDefault="00C328A2" w:rsidP="00C328A2">
            <w:pPr>
              <w:rPr>
                <w:lang w:val="fr-CA"/>
              </w:rPr>
            </w:pPr>
          </w:p>
          <w:p w14:paraId="34FBF7C6" w14:textId="77777777" w:rsidR="00C328A2" w:rsidRPr="00C328A2" w:rsidRDefault="00C328A2" w:rsidP="00C328A2">
            <w:pPr>
              <w:jc w:val="center"/>
              <w:rPr>
                <w:lang w:val="fr-CA"/>
              </w:rPr>
            </w:pPr>
            <w:r w:rsidRPr="00C328A2">
              <w:rPr>
                <w:lang w:val="fr-CA"/>
              </w:rPr>
              <w:t>et</w:t>
            </w:r>
          </w:p>
          <w:p w14:paraId="415D44F7" w14:textId="77777777" w:rsidR="00C328A2" w:rsidRPr="00C328A2" w:rsidRDefault="00C328A2" w:rsidP="00C328A2">
            <w:pPr>
              <w:rPr>
                <w:lang w:val="fr-CA"/>
              </w:rPr>
            </w:pPr>
          </w:p>
          <w:p w14:paraId="322B8FFF" w14:textId="77777777" w:rsidR="00C328A2" w:rsidRPr="00C328A2" w:rsidRDefault="00C328A2" w:rsidP="00C328A2">
            <w:pPr>
              <w:jc w:val="center"/>
              <w:rPr>
                <w:b/>
                <w:lang w:val="fr-CA"/>
              </w:rPr>
            </w:pPr>
            <w:r w:rsidRPr="00C328A2">
              <w:rPr>
                <w:b/>
                <w:lang w:val="fr-CA"/>
              </w:rPr>
              <w:t>Sa Majesté le Roi du chef de la province de la Colombie-Britannique</w:t>
            </w:r>
          </w:p>
          <w:p w14:paraId="4C40026D" w14:textId="77777777" w:rsidR="00C328A2" w:rsidRPr="00C328A2" w:rsidRDefault="00C328A2" w:rsidP="00C328A2">
            <w:pPr>
              <w:jc w:val="center"/>
              <w:rPr>
                <w:lang w:val="fr-CA"/>
              </w:rPr>
            </w:pPr>
            <w:r w:rsidRPr="00C328A2">
              <w:rPr>
                <w:lang w:val="fr-CA"/>
              </w:rPr>
              <w:t>Intimé</w:t>
            </w:r>
          </w:p>
          <w:p w14:paraId="4EA9F2CD" w14:textId="77777777" w:rsidR="00C328A2" w:rsidRPr="00C328A2" w:rsidRDefault="00C328A2" w:rsidP="00C328A2">
            <w:pPr>
              <w:rPr>
                <w:lang w:val="fr-CA"/>
              </w:rPr>
            </w:pPr>
          </w:p>
          <w:p w14:paraId="68D48F31" w14:textId="77777777" w:rsidR="00C328A2" w:rsidRPr="00C328A2" w:rsidRDefault="00C328A2" w:rsidP="00C328A2">
            <w:pPr>
              <w:jc w:val="center"/>
              <w:rPr>
                <w:lang w:val="fr-CA"/>
              </w:rPr>
            </w:pPr>
            <w:r w:rsidRPr="00C328A2">
              <w:rPr>
                <w:lang w:val="fr-CA"/>
              </w:rPr>
              <w:t>- et -</w:t>
            </w:r>
          </w:p>
          <w:p w14:paraId="3D863A25" w14:textId="77777777" w:rsidR="00C328A2" w:rsidRPr="00C328A2" w:rsidRDefault="00C328A2" w:rsidP="00C328A2">
            <w:pPr>
              <w:rPr>
                <w:lang w:val="fr-CA"/>
              </w:rPr>
            </w:pPr>
          </w:p>
          <w:p w14:paraId="61717422" w14:textId="77777777" w:rsidR="00C328A2" w:rsidRPr="00C328A2" w:rsidRDefault="00C328A2" w:rsidP="00C328A2">
            <w:pPr>
              <w:jc w:val="center"/>
              <w:rPr>
                <w:b/>
                <w:lang w:val="fr-CA"/>
              </w:rPr>
            </w:pPr>
            <w:r w:rsidRPr="00C328A2">
              <w:rPr>
                <w:b/>
                <w:lang w:val="fr-CA"/>
              </w:rPr>
              <w:t xml:space="preserve">Procureur général du Canada, procureur général de l’Ontario, </w:t>
            </w:r>
          </w:p>
          <w:p w14:paraId="58811C42" w14:textId="77777777" w:rsidR="00C328A2" w:rsidRPr="00C328A2" w:rsidRDefault="00C328A2" w:rsidP="00C328A2">
            <w:pPr>
              <w:jc w:val="center"/>
              <w:rPr>
                <w:b/>
                <w:lang w:val="fr-CA"/>
              </w:rPr>
            </w:pPr>
            <w:r w:rsidRPr="00C328A2">
              <w:rPr>
                <w:b/>
                <w:lang w:val="fr-CA"/>
              </w:rPr>
              <w:t xml:space="preserve">procureur général du Québec, procureur général de la Nouvelle-Écosse, </w:t>
            </w:r>
          </w:p>
          <w:p w14:paraId="6C25FCFF" w14:textId="77777777" w:rsidR="00C328A2" w:rsidRPr="00C328A2" w:rsidRDefault="00C328A2" w:rsidP="00C328A2">
            <w:pPr>
              <w:jc w:val="center"/>
              <w:rPr>
                <w:b/>
                <w:lang w:val="fr-CA"/>
              </w:rPr>
            </w:pPr>
            <w:r w:rsidRPr="00C328A2">
              <w:rPr>
                <w:b/>
                <w:lang w:val="fr-CA"/>
              </w:rPr>
              <w:t xml:space="preserve">procureur général du Nouveau-Brunswick, procureur général du Manitoba, </w:t>
            </w:r>
          </w:p>
          <w:p w14:paraId="0574190C" w14:textId="77777777" w:rsidR="000F18F1" w:rsidRDefault="00C328A2" w:rsidP="00C328A2">
            <w:pPr>
              <w:jc w:val="center"/>
              <w:rPr>
                <w:b/>
                <w:lang w:val="fr-CA"/>
              </w:rPr>
            </w:pPr>
            <w:r w:rsidRPr="00C328A2">
              <w:rPr>
                <w:b/>
                <w:lang w:val="fr-CA"/>
              </w:rPr>
              <w:t xml:space="preserve">procureur général de l’Île-du-Prince-Édouard, procureur général de la </w:t>
            </w:r>
          </w:p>
          <w:p w14:paraId="3E742A0F" w14:textId="77777777" w:rsidR="000F18F1" w:rsidRDefault="00C328A2" w:rsidP="00C328A2">
            <w:pPr>
              <w:jc w:val="center"/>
              <w:rPr>
                <w:b/>
                <w:lang w:val="fr-CA"/>
              </w:rPr>
            </w:pPr>
            <w:r w:rsidRPr="00C328A2">
              <w:rPr>
                <w:b/>
                <w:lang w:val="fr-CA"/>
              </w:rPr>
              <w:t xml:space="preserve">Saskatchewan, procureur général de l’Alberta, procureur général des </w:t>
            </w:r>
          </w:p>
          <w:p w14:paraId="01E356AB" w14:textId="097E4C15" w:rsidR="006B6BE2" w:rsidRDefault="00C328A2" w:rsidP="00C328A2">
            <w:pPr>
              <w:jc w:val="center"/>
              <w:rPr>
                <w:b/>
                <w:lang w:val="fr-CA"/>
              </w:rPr>
            </w:pPr>
            <w:r w:rsidRPr="00C328A2">
              <w:rPr>
                <w:b/>
                <w:lang w:val="fr-CA"/>
              </w:rPr>
              <w:t xml:space="preserve">Territoires du Nord-Ouest, procureur général du Territoire du Yukon, </w:t>
            </w:r>
          </w:p>
          <w:p w14:paraId="0B915322" w14:textId="481BAD8D" w:rsidR="00C328A2" w:rsidRPr="00C328A2" w:rsidRDefault="00C328A2" w:rsidP="00C328A2">
            <w:pPr>
              <w:jc w:val="center"/>
              <w:rPr>
                <w:b/>
                <w:lang w:val="fr-CA"/>
              </w:rPr>
            </w:pPr>
            <w:r w:rsidRPr="00C328A2">
              <w:rPr>
                <w:b/>
                <w:lang w:val="fr-CA"/>
              </w:rPr>
              <w:t>Groupe Jean Coutu (PJC) inc.</w:t>
            </w:r>
            <w:r w:rsidR="006B6BE2">
              <w:rPr>
                <w:b/>
                <w:lang w:val="fr-CA"/>
              </w:rPr>
              <w:t xml:space="preserve"> </w:t>
            </w:r>
            <w:r w:rsidRPr="00C328A2">
              <w:rPr>
                <w:b/>
                <w:lang w:val="fr-CA"/>
              </w:rPr>
              <w:t>et Pro Doc Ltée</w:t>
            </w:r>
          </w:p>
          <w:p w14:paraId="612F0854" w14:textId="77777777" w:rsidR="00C328A2" w:rsidRPr="00C328A2" w:rsidRDefault="00C328A2" w:rsidP="00C328A2">
            <w:pPr>
              <w:jc w:val="center"/>
              <w:rPr>
                <w:lang w:val="fr-CA"/>
              </w:rPr>
            </w:pPr>
            <w:r w:rsidRPr="00C328A2">
              <w:rPr>
                <w:lang w:val="fr-CA"/>
              </w:rPr>
              <w:t>Intervenants</w:t>
            </w:r>
          </w:p>
          <w:p w14:paraId="645F7B92" w14:textId="77777777" w:rsidR="00C328A2" w:rsidRPr="00C328A2" w:rsidRDefault="00C328A2" w:rsidP="00C328A2">
            <w:pPr>
              <w:rPr>
                <w:lang w:val="fr-CA"/>
              </w:rPr>
            </w:pPr>
          </w:p>
          <w:p w14:paraId="3E146FF3" w14:textId="77777777" w:rsidR="00C328A2" w:rsidRPr="00C328A2" w:rsidRDefault="00C328A2" w:rsidP="00C328A2">
            <w:pPr>
              <w:jc w:val="center"/>
              <w:rPr>
                <w:b/>
                <w:smallCaps/>
                <w:lang w:val="fr-CA"/>
              </w:rPr>
            </w:pPr>
            <w:r w:rsidRPr="00C328A2">
              <w:rPr>
                <w:b/>
                <w:smallCaps/>
                <w:lang w:val="fr-CA"/>
              </w:rPr>
              <w:t>Traduction française officielle</w:t>
            </w:r>
          </w:p>
          <w:p w14:paraId="311783F0" w14:textId="77777777" w:rsidR="00C328A2" w:rsidRPr="00C328A2" w:rsidRDefault="00C328A2" w:rsidP="00C328A2">
            <w:pPr>
              <w:rPr>
                <w:lang w:val="fr-CA"/>
              </w:rPr>
            </w:pPr>
          </w:p>
          <w:p w14:paraId="6E2D4CAD" w14:textId="77777777" w:rsidR="00C328A2" w:rsidRPr="00C328A2" w:rsidRDefault="00C328A2" w:rsidP="00C328A2">
            <w:pPr>
              <w:rPr>
                <w:lang w:val="fr-CA"/>
              </w:rPr>
            </w:pPr>
            <w:r w:rsidRPr="00C328A2">
              <w:rPr>
                <w:b/>
                <w:smallCaps/>
                <w:lang w:val="fr-CA"/>
              </w:rPr>
              <w:t>Coram :</w:t>
            </w:r>
            <w:r w:rsidRPr="00C328A2">
              <w:rPr>
                <w:lang w:val="fr-CA"/>
              </w:rPr>
              <w:t xml:space="preserve"> Le juge en chef Wagner et les juges Karakatsanis, Côté, Martin, Kasirer, O’Bonsawin et Moreau</w:t>
            </w:r>
          </w:p>
          <w:p w14:paraId="5AE3756B" w14:textId="77777777" w:rsidR="00C328A2" w:rsidRPr="00C328A2" w:rsidRDefault="00C328A2" w:rsidP="00C328A2">
            <w:pPr>
              <w:jc w:val="both"/>
              <w:rPr>
                <w:b/>
                <w:smallCaps/>
                <w:lang w:val="fr-CA"/>
              </w:rPr>
            </w:pPr>
          </w:p>
        </w:tc>
      </w:tr>
      <w:tr w:rsidR="00C328A2" w:rsidRPr="001518D0" w14:paraId="7C75C011" w14:textId="77777777" w:rsidTr="00C328A2">
        <w:tblPrEx>
          <w:tblCellMar>
            <w:top w:w="58" w:type="dxa"/>
            <w:left w:w="58" w:type="dxa"/>
            <w:bottom w:w="58" w:type="dxa"/>
            <w:right w:w="58" w:type="dxa"/>
          </w:tblCellMar>
        </w:tblPrEx>
        <w:trPr>
          <w:cantSplit/>
          <w:trHeight w:val="1218"/>
        </w:trPr>
        <w:tc>
          <w:tcPr>
            <w:tcW w:w="1200" w:type="pct"/>
          </w:tcPr>
          <w:p w14:paraId="544F4199" w14:textId="77777777" w:rsidR="00C328A2" w:rsidRPr="00C328A2" w:rsidRDefault="00C328A2" w:rsidP="00C328A2">
            <w:pPr>
              <w:rPr>
                <w:b/>
                <w:smallCaps/>
                <w:lang w:val="fr-CA"/>
              </w:rPr>
            </w:pPr>
            <w:r w:rsidRPr="00C328A2">
              <w:rPr>
                <w:b/>
                <w:smallCaps/>
                <w:lang w:val="fr-CA"/>
              </w:rPr>
              <w:t>Motifs de jugement :</w:t>
            </w:r>
          </w:p>
          <w:p w14:paraId="7F94659E" w14:textId="77777777" w:rsidR="00C328A2" w:rsidRPr="00C328A2" w:rsidRDefault="00C328A2" w:rsidP="00C328A2">
            <w:pPr>
              <w:rPr>
                <w:lang w:val="fr-CA"/>
              </w:rPr>
            </w:pPr>
            <w:r w:rsidRPr="00C328A2">
              <w:rPr>
                <w:lang w:val="fr-CA"/>
              </w:rPr>
              <w:t>(par. 1 à 110)</w:t>
            </w:r>
          </w:p>
        </w:tc>
        <w:tc>
          <w:tcPr>
            <w:tcW w:w="3800" w:type="pct"/>
            <w:gridSpan w:val="3"/>
          </w:tcPr>
          <w:p w14:paraId="7B0B52D5" w14:textId="77777777" w:rsidR="00C328A2" w:rsidRPr="00C328A2" w:rsidRDefault="00C328A2" w:rsidP="00C328A2">
            <w:pPr>
              <w:rPr>
                <w:lang w:val="fr-CA"/>
              </w:rPr>
            </w:pPr>
            <w:r w:rsidRPr="00C328A2">
              <w:rPr>
                <w:lang w:val="fr-CA"/>
              </w:rPr>
              <w:t>La juge Karakatsanis (avec l’accord du juge en chef Wagner et des juges Martin, Kasirer, O’Bonsawin et Moreau)</w:t>
            </w:r>
          </w:p>
        </w:tc>
      </w:tr>
      <w:tr w:rsidR="00C328A2" w:rsidRPr="00C328A2" w14:paraId="1F250219" w14:textId="77777777" w:rsidTr="00C328A2">
        <w:tblPrEx>
          <w:tblCellMar>
            <w:top w:w="58" w:type="dxa"/>
            <w:left w:w="58" w:type="dxa"/>
            <w:bottom w:w="58" w:type="dxa"/>
            <w:right w:w="58" w:type="dxa"/>
          </w:tblCellMar>
        </w:tblPrEx>
        <w:trPr>
          <w:cantSplit/>
          <w:trHeight w:val="944"/>
        </w:trPr>
        <w:tc>
          <w:tcPr>
            <w:tcW w:w="1200" w:type="pct"/>
          </w:tcPr>
          <w:p w14:paraId="4C5654C5" w14:textId="77777777" w:rsidR="00C328A2" w:rsidRPr="00C328A2" w:rsidRDefault="00C328A2" w:rsidP="00C328A2">
            <w:pPr>
              <w:rPr>
                <w:b/>
                <w:smallCaps/>
                <w:lang w:val="fr-CA"/>
              </w:rPr>
            </w:pPr>
            <w:r w:rsidRPr="00C328A2">
              <w:rPr>
                <w:b/>
                <w:smallCaps/>
                <w:lang w:val="fr-CA"/>
              </w:rPr>
              <w:lastRenderedPageBreak/>
              <w:t>Motifs dissidents :</w:t>
            </w:r>
          </w:p>
          <w:p w14:paraId="26FEE881" w14:textId="77777777" w:rsidR="00C328A2" w:rsidRPr="00C328A2" w:rsidRDefault="00C328A2" w:rsidP="00C328A2">
            <w:pPr>
              <w:rPr>
                <w:lang w:val="fr-CA"/>
              </w:rPr>
            </w:pPr>
            <w:r w:rsidRPr="00C328A2">
              <w:rPr>
                <w:lang w:val="fr-CA"/>
              </w:rPr>
              <w:t>(par. 111 à 208)</w:t>
            </w:r>
          </w:p>
        </w:tc>
        <w:tc>
          <w:tcPr>
            <w:tcW w:w="3800" w:type="pct"/>
            <w:gridSpan w:val="3"/>
          </w:tcPr>
          <w:p w14:paraId="1C2A55A9" w14:textId="77777777" w:rsidR="00C328A2" w:rsidRPr="00C328A2" w:rsidRDefault="00C328A2" w:rsidP="00C328A2">
            <w:pPr>
              <w:rPr>
                <w:lang w:val="fr-CA"/>
              </w:rPr>
            </w:pPr>
            <w:r w:rsidRPr="00C328A2">
              <w:rPr>
                <w:lang w:val="fr-CA"/>
              </w:rPr>
              <w:t xml:space="preserve">La juge Côté </w:t>
            </w:r>
          </w:p>
        </w:tc>
      </w:tr>
    </w:tbl>
    <w:p w14:paraId="69CE3A6B" w14:textId="77777777" w:rsidR="00C328A2" w:rsidRPr="00C328A2" w:rsidRDefault="00C328A2" w:rsidP="00C328A2">
      <w:pPr>
        <w:rPr>
          <w:rFonts w:eastAsiaTheme="minorHAnsi" w:cstheme="minorBidi"/>
          <w:szCs w:val="24"/>
          <w:lang w:val="fr-CA" w:eastAsia="en-US"/>
        </w:rPr>
      </w:pPr>
    </w:p>
    <w:p w14:paraId="27A403B3" w14:textId="77777777" w:rsidR="00C328A2" w:rsidRPr="00C328A2" w:rsidRDefault="00C328A2" w:rsidP="00C328A2">
      <w:pPr>
        <w:rPr>
          <w:rFonts w:eastAsiaTheme="minorHAnsi" w:cstheme="minorBidi"/>
          <w:szCs w:val="24"/>
          <w:lang w:val="fr-CA" w:eastAsia="en-US"/>
        </w:rPr>
      </w:pPr>
    </w:p>
    <w:p w14:paraId="5A2EA1EC" w14:textId="77777777" w:rsidR="00C328A2" w:rsidRPr="00C328A2" w:rsidRDefault="00C328A2" w:rsidP="00C328A2">
      <w:pPr>
        <w:rPr>
          <w:rFonts w:eastAsiaTheme="minorHAnsi" w:cstheme="minorBidi"/>
          <w:szCs w:val="24"/>
          <w:lang w:val="fr-CA" w:eastAsia="en-US"/>
        </w:rPr>
      </w:pPr>
      <w:r w:rsidRPr="00C328A2">
        <w:rPr>
          <w:rFonts w:eastAsiaTheme="minorHAnsi" w:cstheme="minorBidi"/>
          <w:b/>
          <w:smallCaps/>
          <w:szCs w:val="24"/>
          <w:lang w:val="fr-CA" w:eastAsia="en-US"/>
        </w:rPr>
        <w:t>Note :</w:t>
      </w:r>
      <w:r w:rsidRPr="00C328A2">
        <w:rPr>
          <w:rFonts w:eastAsiaTheme="minorHAnsi" w:cstheme="minorBidi"/>
          <w:b/>
          <w:szCs w:val="24"/>
          <w:lang w:val="fr-CA" w:eastAsia="en-US"/>
        </w:rPr>
        <w:t xml:space="preserve"> </w:t>
      </w:r>
      <w:r w:rsidRPr="00C328A2">
        <w:rPr>
          <w:rFonts w:eastAsiaTheme="minorHAnsi" w:cstheme="minorBidi"/>
          <w:szCs w:val="24"/>
          <w:lang w:val="fr-CA" w:eastAsia="en-US"/>
        </w:rPr>
        <w:t xml:space="preserve">Ce document fera l’objet de retouches de forme avant la parution de sa version définitive dans le </w:t>
      </w:r>
      <w:r w:rsidRPr="00C328A2">
        <w:rPr>
          <w:rFonts w:eastAsiaTheme="minorHAnsi" w:cstheme="minorBidi"/>
          <w:i/>
          <w:szCs w:val="24"/>
          <w:lang w:val="fr-CA" w:eastAsia="en-US"/>
        </w:rPr>
        <w:t>Recueil des arrêts de la Cour suprême du Canada</w:t>
      </w:r>
      <w:r w:rsidRPr="00C328A2">
        <w:rPr>
          <w:rFonts w:eastAsiaTheme="minorHAnsi" w:cstheme="minorBidi"/>
          <w:szCs w:val="24"/>
          <w:lang w:val="fr-CA"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C328A2" w:rsidRPr="001518D0" w14:paraId="11736ECA" w14:textId="77777777" w:rsidTr="000C5D45">
        <w:tc>
          <w:tcPr>
            <w:tcW w:w="1500" w:type="pct"/>
            <w:tcMar>
              <w:top w:w="284" w:type="dxa"/>
            </w:tcMar>
          </w:tcPr>
          <w:p w14:paraId="4A06C7E8" w14:textId="77777777" w:rsidR="00C328A2" w:rsidRPr="00C328A2" w:rsidRDefault="00C328A2" w:rsidP="00C328A2">
            <w:pPr>
              <w:rPr>
                <w:lang w:val="fr-CA"/>
              </w:rPr>
            </w:pPr>
          </w:p>
        </w:tc>
        <w:tc>
          <w:tcPr>
            <w:tcW w:w="2000" w:type="pct"/>
            <w:tcBorders>
              <w:bottom w:val="single" w:sz="4" w:space="0" w:color="auto"/>
            </w:tcBorders>
            <w:tcMar>
              <w:top w:w="284" w:type="dxa"/>
            </w:tcMar>
          </w:tcPr>
          <w:p w14:paraId="012FDBB6" w14:textId="77777777" w:rsidR="00C328A2" w:rsidRPr="00C328A2" w:rsidRDefault="00C328A2" w:rsidP="00C328A2">
            <w:pPr>
              <w:rPr>
                <w:lang w:val="fr-CA"/>
              </w:rPr>
            </w:pPr>
          </w:p>
        </w:tc>
        <w:tc>
          <w:tcPr>
            <w:tcW w:w="1500" w:type="pct"/>
            <w:tcMar>
              <w:top w:w="284" w:type="dxa"/>
            </w:tcMar>
          </w:tcPr>
          <w:p w14:paraId="240C9316" w14:textId="77777777" w:rsidR="00C328A2" w:rsidRPr="00C328A2" w:rsidRDefault="00C328A2" w:rsidP="00C328A2">
            <w:pPr>
              <w:rPr>
                <w:lang w:val="fr-CA"/>
              </w:rPr>
            </w:pPr>
          </w:p>
        </w:tc>
      </w:tr>
    </w:tbl>
    <w:p w14:paraId="146DF86A" w14:textId="77777777" w:rsidR="00C328A2" w:rsidRPr="00C328A2" w:rsidRDefault="00C328A2" w:rsidP="00C328A2">
      <w:pPr>
        <w:rPr>
          <w:rFonts w:eastAsiaTheme="minorHAnsi" w:cstheme="minorBidi"/>
          <w:szCs w:val="24"/>
          <w:lang w:val="fr-CA" w:eastAsia="en-US"/>
        </w:rPr>
      </w:pPr>
    </w:p>
    <w:p w14:paraId="72CFDE17" w14:textId="77777777" w:rsidR="00C328A2" w:rsidRPr="00C328A2" w:rsidRDefault="00C328A2">
      <w:pPr>
        <w:rPr>
          <w:b/>
          <w:lang w:val="fr-CA"/>
        </w:rPr>
      </w:pPr>
      <w:r w:rsidRPr="00C328A2">
        <w:rPr>
          <w:lang w:val="fr-CA"/>
        </w:rPr>
        <w:br w:type="page"/>
      </w:r>
    </w:p>
    <w:p w14:paraId="0314F85A" w14:textId="50088B2B" w:rsidR="009728D2" w:rsidRPr="00C328A2" w:rsidRDefault="00D94DD7">
      <w:pPr>
        <w:pStyle w:val="SCCLsocParty"/>
      </w:pPr>
      <w:r w:rsidRPr="00C328A2">
        <w:lastRenderedPageBreak/>
        <w:t>Sanis Health Inc.,</w:t>
      </w:r>
      <w:r w:rsidR="00AE2234" w:rsidRPr="00C328A2">
        <w:t xml:space="preserve"> </w:t>
      </w:r>
      <w:r w:rsidRPr="00C328A2">
        <w:rPr>
          <w:lang w:val="en-US"/>
        </w:rPr>
        <w:t>Shoppers Drug Mart Inc.,</w:t>
      </w:r>
    </w:p>
    <w:p w14:paraId="47CF346E" w14:textId="2B556E68" w:rsidR="009728D2" w:rsidRPr="00C328A2" w:rsidRDefault="00276D82" w:rsidP="00AE2234">
      <w:pPr>
        <w:pStyle w:val="SCCLsocParty"/>
        <w:spacing w:after="720"/>
        <w:rPr>
          <w:lang w:val="fr-CA"/>
        </w:rPr>
      </w:pPr>
      <w:r w:rsidRPr="00C328A2">
        <w:rPr>
          <w:lang w:val="fr-CA"/>
        </w:rPr>
        <w:t xml:space="preserve">Sandoz Canada Inc. </w:t>
      </w:r>
      <w:r w:rsidR="00AE2234" w:rsidRPr="00C328A2">
        <w:rPr>
          <w:lang w:val="fr-CA"/>
        </w:rPr>
        <w:t>e</w:t>
      </w:r>
      <w:r w:rsidRPr="00C328A2">
        <w:rPr>
          <w:lang w:val="fr-CA"/>
        </w:rPr>
        <w:t>t</w:t>
      </w:r>
      <w:r w:rsidR="00AE2234" w:rsidRPr="00C328A2">
        <w:rPr>
          <w:lang w:val="fr-CA"/>
        </w:rPr>
        <w:t xml:space="preserve"> </w:t>
      </w:r>
      <w:r w:rsidR="00D94DD7" w:rsidRPr="00C328A2">
        <w:rPr>
          <w:lang w:val="fr-CA"/>
        </w:rPr>
        <w:t>Corporation McKesson Canada</w:t>
      </w:r>
      <w:r w:rsidR="002D7EA1" w:rsidRPr="00C328A2">
        <w:rPr>
          <w:rStyle w:val="SCCLsocPartyRole"/>
          <w:lang w:val="fr-CA"/>
        </w:rPr>
        <w:tab/>
        <w:t>Appelante</w:t>
      </w:r>
      <w:r w:rsidR="00D94DD7" w:rsidRPr="00C328A2">
        <w:rPr>
          <w:rStyle w:val="SCCLsocPartyRole"/>
          <w:lang w:val="fr-CA"/>
        </w:rPr>
        <w:t>s</w:t>
      </w:r>
    </w:p>
    <w:p w14:paraId="731B45B6" w14:textId="77777777" w:rsidR="009728D2" w:rsidRPr="00C328A2" w:rsidRDefault="00D94DD7">
      <w:pPr>
        <w:pStyle w:val="SCCLsocVersus"/>
        <w:rPr>
          <w:lang w:val="fr-CA"/>
        </w:rPr>
      </w:pPr>
      <w:r w:rsidRPr="00C328A2">
        <w:rPr>
          <w:lang w:val="fr-CA"/>
        </w:rPr>
        <w:t>c.</w:t>
      </w:r>
    </w:p>
    <w:p w14:paraId="784E4A94" w14:textId="77777777" w:rsidR="009728D2" w:rsidRPr="00C328A2" w:rsidRDefault="00515528">
      <w:pPr>
        <w:pStyle w:val="SCCLsocLastPartyInRole"/>
        <w:rPr>
          <w:lang w:val="fr-CA"/>
        </w:rPr>
      </w:pPr>
      <w:r w:rsidRPr="00C328A2">
        <w:rPr>
          <w:lang w:val="fr-CA"/>
        </w:rPr>
        <w:t>Sa Majesté le Roi du chef de la p</w:t>
      </w:r>
      <w:r w:rsidR="00D94DD7" w:rsidRPr="00C328A2">
        <w:rPr>
          <w:lang w:val="fr-CA"/>
        </w:rPr>
        <w:t>rovince de la Colombie-Britannique</w:t>
      </w:r>
      <w:r w:rsidR="00E571B1" w:rsidRPr="00C328A2">
        <w:rPr>
          <w:rStyle w:val="SCCLsocPartyRole"/>
          <w:lang w:val="fr-CA"/>
        </w:rPr>
        <w:tab/>
        <w:t>Intimé</w:t>
      </w:r>
    </w:p>
    <w:p w14:paraId="6E900C85" w14:textId="77777777" w:rsidR="009728D2" w:rsidRPr="00C328A2" w:rsidRDefault="00D94DD7">
      <w:pPr>
        <w:pStyle w:val="SCCLsocOtherPartySeparator"/>
        <w:rPr>
          <w:lang w:val="fr-CA"/>
        </w:rPr>
      </w:pPr>
      <w:r w:rsidRPr="00C328A2">
        <w:rPr>
          <w:lang w:val="fr-CA"/>
        </w:rPr>
        <w:t>et</w:t>
      </w:r>
    </w:p>
    <w:p w14:paraId="273D34CB" w14:textId="77777777" w:rsidR="009728D2" w:rsidRPr="00C328A2" w:rsidRDefault="00D94DD7">
      <w:pPr>
        <w:pStyle w:val="SCCLsocParty"/>
        <w:rPr>
          <w:lang w:val="fr-CA"/>
        </w:rPr>
      </w:pPr>
      <w:r w:rsidRPr="00C328A2">
        <w:rPr>
          <w:lang w:val="fr-CA"/>
        </w:rPr>
        <w:t>Procureur général du Canada,</w:t>
      </w:r>
    </w:p>
    <w:p w14:paraId="721F0791" w14:textId="62946614" w:rsidR="009728D2" w:rsidRPr="00C328A2" w:rsidRDefault="000D6A63">
      <w:pPr>
        <w:pStyle w:val="SCCLsocParty"/>
        <w:rPr>
          <w:lang w:val="fr-CA"/>
        </w:rPr>
      </w:pPr>
      <w:r w:rsidRPr="00C328A2">
        <w:rPr>
          <w:lang w:val="fr-CA"/>
        </w:rPr>
        <w:t>p</w:t>
      </w:r>
      <w:r w:rsidR="00D94DD7" w:rsidRPr="00C328A2">
        <w:rPr>
          <w:lang w:val="fr-CA"/>
        </w:rPr>
        <w:t>rocureur général de l</w:t>
      </w:r>
      <w:r w:rsidR="00122F15" w:rsidRPr="00C328A2">
        <w:rPr>
          <w:lang w:val="fr-CA"/>
        </w:rPr>
        <w:t>’</w:t>
      </w:r>
      <w:r w:rsidR="00D94DD7" w:rsidRPr="00C328A2">
        <w:rPr>
          <w:lang w:val="fr-CA"/>
        </w:rPr>
        <w:t>Ontario,</w:t>
      </w:r>
    </w:p>
    <w:p w14:paraId="2B722BE1" w14:textId="5B2279BC" w:rsidR="009728D2" w:rsidRPr="00C328A2" w:rsidRDefault="000D6A63">
      <w:pPr>
        <w:pStyle w:val="SCCLsocParty"/>
        <w:rPr>
          <w:lang w:val="fr-CA"/>
        </w:rPr>
      </w:pPr>
      <w:r w:rsidRPr="00C328A2">
        <w:rPr>
          <w:lang w:val="fr-CA"/>
        </w:rPr>
        <w:t>p</w:t>
      </w:r>
      <w:r w:rsidR="00D94DD7" w:rsidRPr="00C328A2">
        <w:rPr>
          <w:lang w:val="fr-CA"/>
        </w:rPr>
        <w:t>rocureur général du Québec,</w:t>
      </w:r>
    </w:p>
    <w:p w14:paraId="560A2749" w14:textId="5C878E3E" w:rsidR="009728D2" w:rsidRPr="00C328A2" w:rsidRDefault="000D6A63">
      <w:pPr>
        <w:pStyle w:val="SCCLsocParty"/>
        <w:rPr>
          <w:lang w:val="fr-CA"/>
        </w:rPr>
      </w:pPr>
      <w:r w:rsidRPr="00C328A2">
        <w:rPr>
          <w:lang w:val="fr-CA"/>
        </w:rPr>
        <w:t>p</w:t>
      </w:r>
      <w:r w:rsidR="00D94DD7" w:rsidRPr="00C328A2">
        <w:rPr>
          <w:lang w:val="fr-CA"/>
        </w:rPr>
        <w:t>rocureur général de la Nouvelle-Écosse,</w:t>
      </w:r>
    </w:p>
    <w:p w14:paraId="5E91FF79" w14:textId="68B98855" w:rsidR="009728D2" w:rsidRPr="00C328A2" w:rsidRDefault="000D6A63">
      <w:pPr>
        <w:pStyle w:val="SCCLsocParty"/>
        <w:rPr>
          <w:lang w:val="fr-CA"/>
        </w:rPr>
      </w:pPr>
      <w:r w:rsidRPr="00C328A2">
        <w:rPr>
          <w:lang w:val="fr-CA"/>
        </w:rPr>
        <w:t>p</w:t>
      </w:r>
      <w:r w:rsidR="00D94DD7" w:rsidRPr="00C328A2">
        <w:rPr>
          <w:lang w:val="fr-CA"/>
        </w:rPr>
        <w:t>rocureur général du Nouveau-Brunswick,</w:t>
      </w:r>
    </w:p>
    <w:p w14:paraId="2202AAA3" w14:textId="6F1B78DA" w:rsidR="009728D2" w:rsidRPr="00C328A2" w:rsidRDefault="000D6A63">
      <w:pPr>
        <w:pStyle w:val="SCCLsocParty"/>
        <w:rPr>
          <w:lang w:val="fr-CA"/>
        </w:rPr>
      </w:pPr>
      <w:r w:rsidRPr="00C328A2">
        <w:rPr>
          <w:lang w:val="fr-CA"/>
        </w:rPr>
        <w:t>p</w:t>
      </w:r>
      <w:r w:rsidR="00D94DD7" w:rsidRPr="00C328A2">
        <w:rPr>
          <w:lang w:val="fr-CA"/>
        </w:rPr>
        <w:t>rocureur général du Manitoba,</w:t>
      </w:r>
    </w:p>
    <w:p w14:paraId="5B58F559" w14:textId="4CBD4321" w:rsidR="009728D2" w:rsidRPr="00C328A2" w:rsidRDefault="000D6A63">
      <w:pPr>
        <w:pStyle w:val="SCCLsocParty"/>
        <w:rPr>
          <w:lang w:val="fr-CA"/>
        </w:rPr>
      </w:pPr>
      <w:r w:rsidRPr="00C328A2">
        <w:rPr>
          <w:lang w:val="fr-CA"/>
        </w:rPr>
        <w:t>p</w:t>
      </w:r>
      <w:r w:rsidR="00181F3C" w:rsidRPr="00C328A2">
        <w:rPr>
          <w:lang w:val="fr-CA"/>
        </w:rPr>
        <w:t>rocureur général de l’Île-du-Prince-É</w:t>
      </w:r>
      <w:r w:rsidR="00D94DD7" w:rsidRPr="00C328A2">
        <w:rPr>
          <w:lang w:val="fr-CA"/>
        </w:rPr>
        <w:t>douard,</w:t>
      </w:r>
    </w:p>
    <w:p w14:paraId="7EC931C4" w14:textId="1014AB51" w:rsidR="009728D2" w:rsidRPr="00C328A2" w:rsidRDefault="000D6A63">
      <w:pPr>
        <w:pStyle w:val="SCCLsocParty"/>
        <w:rPr>
          <w:lang w:val="fr-CA"/>
        </w:rPr>
      </w:pPr>
      <w:r w:rsidRPr="00C328A2">
        <w:rPr>
          <w:lang w:val="fr-CA"/>
        </w:rPr>
        <w:t>p</w:t>
      </w:r>
      <w:r w:rsidR="00D94DD7" w:rsidRPr="00C328A2">
        <w:rPr>
          <w:lang w:val="fr-CA"/>
        </w:rPr>
        <w:t>rocureur général de la Saskatchewan,</w:t>
      </w:r>
    </w:p>
    <w:p w14:paraId="078735A0" w14:textId="1A1F1458" w:rsidR="009728D2" w:rsidRPr="00C328A2" w:rsidRDefault="000D6A63">
      <w:pPr>
        <w:pStyle w:val="SCCLsocParty"/>
        <w:rPr>
          <w:lang w:val="fr-CA"/>
        </w:rPr>
      </w:pPr>
      <w:r w:rsidRPr="00C328A2">
        <w:rPr>
          <w:lang w:val="fr-CA"/>
        </w:rPr>
        <w:t>p</w:t>
      </w:r>
      <w:r w:rsidR="00181F3C" w:rsidRPr="00C328A2">
        <w:rPr>
          <w:lang w:val="fr-CA"/>
        </w:rPr>
        <w:t>rocureur général de l’</w:t>
      </w:r>
      <w:r w:rsidR="00D94DD7" w:rsidRPr="00C328A2">
        <w:rPr>
          <w:lang w:val="fr-CA"/>
        </w:rPr>
        <w:t>Alberta,</w:t>
      </w:r>
    </w:p>
    <w:p w14:paraId="6920F3B2" w14:textId="2BFA6B3C" w:rsidR="009728D2" w:rsidRPr="00C328A2" w:rsidRDefault="000D6A63">
      <w:pPr>
        <w:pStyle w:val="SCCLsocParty"/>
        <w:rPr>
          <w:lang w:val="fr-CA"/>
        </w:rPr>
      </w:pPr>
      <w:r w:rsidRPr="00C328A2">
        <w:rPr>
          <w:lang w:val="fr-CA"/>
        </w:rPr>
        <w:t>p</w:t>
      </w:r>
      <w:r w:rsidR="00D94DD7" w:rsidRPr="00C328A2">
        <w:rPr>
          <w:lang w:val="fr-CA"/>
        </w:rPr>
        <w:t>rocureur général des Territoires du Nord-Ouest,</w:t>
      </w:r>
    </w:p>
    <w:p w14:paraId="3031D2D3" w14:textId="5B168E19" w:rsidR="009728D2" w:rsidRPr="00C328A2" w:rsidRDefault="000D6A63">
      <w:pPr>
        <w:pStyle w:val="SCCLsocParty"/>
        <w:rPr>
          <w:lang w:val="fr-CA"/>
        </w:rPr>
      </w:pPr>
      <w:r w:rsidRPr="00C328A2">
        <w:rPr>
          <w:lang w:val="fr-CA"/>
        </w:rPr>
        <w:t>p</w:t>
      </w:r>
      <w:r w:rsidR="00D94DD7" w:rsidRPr="00C328A2">
        <w:rPr>
          <w:lang w:val="fr-CA"/>
        </w:rPr>
        <w:t>rocureur général du Territoire du Yukon,</w:t>
      </w:r>
    </w:p>
    <w:p w14:paraId="0271B65B" w14:textId="47E85158" w:rsidR="009728D2" w:rsidRPr="00C328A2" w:rsidRDefault="00D94DD7" w:rsidP="004D6CE4">
      <w:pPr>
        <w:pStyle w:val="SCCLsocLastPartyInRole"/>
        <w:rPr>
          <w:lang w:val="fr-CA"/>
        </w:rPr>
      </w:pPr>
      <w:r w:rsidRPr="00C328A2">
        <w:rPr>
          <w:lang w:val="fr-CA"/>
        </w:rPr>
        <w:t>Groupe Jean Coutu</w:t>
      </w:r>
      <w:r w:rsidR="00181F3C" w:rsidRPr="00C328A2">
        <w:rPr>
          <w:lang w:val="fr-CA"/>
        </w:rPr>
        <w:t xml:space="preserve"> (PJC) inc.</w:t>
      </w:r>
      <w:r w:rsidR="00814BDB" w:rsidRPr="00C328A2">
        <w:rPr>
          <w:lang w:val="fr-CA"/>
        </w:rPr>
        <w:t xml:space="preserve"> et </w:t>
      </w:r>
      <w:r w:rsidR="0080309C" w:rsidRPr="00C328A2">
        <w:rPr>
          <w:lang w:val="fr-CA"/>
        </w:rPr>
        <w:t>Pro</w:t>
      </w:r>
      <w:r w:rsidR="00814BDB" w:rsidRPr="00C328A2">
        <w:rPr>
          <w:lang w:val="fr-CA"/>
        </w:rPr>
        <w:t xml:space="preserve"> Doc Ltée</w:t>
      </w:r>
      <w:r w:rsidR="0003291B" w:rsidRPr="00C328A2">
        <w:rPr>
          <w:rStyle w:val="SCCLsocPartyRole"/>
          <w:lang w:val="fr-CA"/>
        </w:rPr>
        <w:tab/>
        <w:t>Intervenant</w:t>
      </w:r>
      <w:r w:rsidRPr="00C328A2">
        <w:rPr>
          <w:rStyle w:val="SCCLsocPartyRole"/>
          <w:lang w:val="fr-CA"/>
        </w:rPr>
        <w:t>s</w:t>
      </w:r>
    </w:p>
    <w:p w14:paraId="14DEF816" w14:textId="34A2BADD" w:rsidR="004D7D95" w:rsidRPr="00C328A2" w:rsidRDefault="004D6CE4" w:rsidP="004D6CE4">
      <w:pPr>
        <w:spacing w:after="720"/>
        <w:jc w:val="both"/>
        <w:rPr>
          <w:b/>
          <w:lang w:val="fr-CA"/>
        </w:rPr>
      </w:pPr>
      <w:r w:rsidRPr="00C328A2">
        <w:rPr>
          <w:b/>
          <w:lang w:val="fr-CA"/>
        </w:rPr>
        <w:t xml:space="preserve">Répertorié : </w:t>
      </w:r>
      <w:r w:rsidR="000968E8" w:rsidRPr="00C328A2">
        <w:rPr>
          <w:rStyle w:val="SCCAppellantForIndexChar"/>
          <w:lang w:val="fr-CA"/>
        </w:rPr>
        <w:t xml:space="preserve">Sanis Health Inc. </w:t>
      </w:r>
      <w:r w:rsidR="004D7D95" w:rsidRPr="00C328A2">
        <w:rPr>
          <w:b/>
          <w:i/>
          <w:lang w:val="fr-CA"/>
        </w:rPr>
        <w:t>c.</w:t>
      </w:r>
      <w:r w:rsidR="004D7D95" w:rsidRPr="00C328A2">
        <w:rPr>
          <w:b/>
          <w:lang w:val="fr-CA"/>
        </w:rPr>
        <w:t xml:space="preserve"> </w:t>
      </w:r>
      <w:r w:rsidR="000968E8" w:rsidRPr="00C328A2">
        <w:rPr>
          <w:rStyle w:val="SCCRespondentForIndexChar"/>
          <w:lang w:val="fr-CA"/>
        </w:rPr>
        <w:t>Colombie-Britannique</w:t>
      </w:r>
    </w:p>
    <w:p w14:paraId="3B5736B2" w14:textId="79461486" w:rsidR="004D7D95" w:rsidRPr="00C328A2" w:rsidRDefault="00D17B0E" w:rsidP="004D6CE4">
      <w:pPr>
        <w:pStyle w:val="SCCSystemYear"/>
        <w:spacing w:after="720"/>
        <w:jc w:val="both"/>
        <w:rPr>
          <w:lang w:val="fr-CA"/>
        </w:rPr>
      </w:pPr>
      <w:r w:rsidRPr="00C328A2">
        <w:rPr>
          <w:lang w:val="fr-CA"/>
        </w:rPr>
        <w:t>2024</w:t>
      </w:r>
      <w:r w:rsidR="004D6CE4" w:rsidRPr="00C328A2">
        <w:rPr>
          <w:lang w:val="fr-CA"/>
        </w:rPr>
        <w:t xml:space="preserve"> CSC </w:t>
      </w:r>
      <w:r w:rsidR="0080309C" w:rsidRPr="00C328A2">
        <w:rPr>
          <w:lang w:val="fr-CA"/>
        </w:rPr>
        <w:t>40</w:t>
      </w:r>
    </w:p>
    <w:p w14:paraId="4CA07FCC" w14:textId="67BD0DC3" w:rsidR="004D7D95" w:rsidRPr="00C328A2" w:rsidRDefault="004D7D95" w:rsidP="004D6CE4">
      <w:pPr>
        <w:spacing w:after="720"/>
        <w:jc w:val="both"/>
        <w:rPr>
          <w:lang w:val="fr-CA"/>
        </w:rPr>
      </w:pPr>
      <w:r w:rsidRPr="00C328A2">
        <w:rPr>
          <w:lang w:val="fr-CA"/>
        </w:rPr>
        <w:t>N</w:t>
      </w:r>
      <w:r w:rsidRPr="00C328A2">
        <w:rPr>
          <w:vertAlign w:val="superscript"/>
          <w:lang w:val="fr-CA"/>
        </w:rPr>
        <w:t>o</w:t>
      </w:r>
      <w:r w:rsidR="004D6CE4" w:rsidRPr="00C328A2">
        <w:rPr>
          <w:lang w:val="fr-CA"/>
        </w:rPr>
        <w:t xml:space="preserve"> du greffe : </w:t>
      </w:r>
      <w:r w:rsidRPr="00C328A2">
        <w:rPr>
          <w:lang w:val="fr-CA"/>
        </w:rPr>
        <w:t>40864.</w:t>
      </w:r>
    </w:p>
    <w:p w14:paraId="134FE4D6" w14:textId="366C53CC" w:rsidR="004D7D95" w:rsidRPr="00C328A2" w:rsidRDefault="00C82B26" w:rsidP="004D6CE4">
      <w:pPr>
        <w:spacing w:after="720"/>
        <w:jc w:val="both"/>
        <w:rPr>
          <w:lang w:val="fr-CA"/>
        </w:rPr>
      </w:pPr>
      <w:r w:rsidRPr="00C328A2">
        <w:rPr>
          <w:lang w:val="fr-CA"/>
        </w:rPr>
        <w:t>2024 </w:t>
      </w:r>
      <w:r w:rsidR="00D17B0E" w:rsidRPr="00C328A2">
        <w:rPr>
          <w:lang w:val="fr-CA"/>
        </w:rPr>
        <w:t>: 23</w:t>
      </w:r>
      <w:r w:rsidR="007E603A" w:rsidRPr="00C328A2">
        <w:rPr>
          <w:lang w:val="fr-CA"/>
        </w:rPr>
        <w:t>, 24</w:t>
      </w:r>
      <w:r w:rsidR="00D17B0E" w:rsidRPr="00C328A2">
        <w:rPr>
          <w:lang w:val="fr-CA"/>
        </w:rPr>
        <w:t xml:space="preserve"> mai</w:t>
      </w:r>
      <w:r w:rsidR="004D7D95" w:rsidRPr="00C328A2">
        <w:rPr>
          <w:lang w:val="fr-CA"/>
        </w:rPr>
        <w:t xml:space="preserve">; </w:t>
      </w:r>
      <w:r w:rsidRPr="00C328A2">
        <w:rPr>
          <w:lang w:val="fr-CA"/>
        </w:rPr>
        <w:t xml:space="preserve">2024 : </w:t>
      </w:r>
      <w:r w:rsidR="00BF2610" w:rsidRPr="00C328A2">
        <w:rPr>
          <w:lang w:val="fr-CA"/>
        </w:rPr>
        <w:t>29 novembre</w:t>
      </w:r>
      <w:r w:rsidR="004D7D95" w:rsidRPr="00C328A2">
        <w:rPr>
          <w:lang w:val="fr-CA"/>
        </w:rPr>
        <w:t>.</w:t>
      </w:r>
    </w:p>
    <w:p w14:paraId="046341A0" w14:textId="746DDDFD" w:rsidR="004D7D95" w:rsidRPr="00C328A2" w:rsidRDefault="004D6CE4" w:rsidP="004D6CE4">
      <w:pPr>
        <w:spacing w:after="720"/>
        <w:jc w:val="both"/>
        <w:rPr>
          <w:lang w:val="fr-CA"/>
        </w:rPr>
      </w:pPr>
      <w:r w:rsidRPr="00C328A2">
        <w:rPr>
          <w:lang w:val="fr-CA"/>
        </w:rPr>
        <w:lastRenderedPageBreak/>
        <w:t xml:space="preserve">Présents : </w:t>
      </w:r>
      <w:r w:rsidR="004D7D95" w:rsidRPr="00C328A2">
        <w:rPr>
          <w:lang w:val="fr-CA"/>
        </w:rPr>
        <w:t>Le juge en chef Wagner et les juges Karakatsanis, Côté, Martin, Kasirer, O’Bonsawin et Moreau.</w:t>
      </w:r>
    </w:p>
    <w:p w14:paraId="2C944E6B" w14:textId="71EBF18E" w:rsidR="004D7D95" w:rsidRPr="00C328A2" w:rsidRDefault="004D7D95" w:rsidP="004D6CE4">
      <w:pPr>
        <w:spacing w:after="720"/>
        <w:jc w:val="both"/>
        <w:rPr>
          <w:smallCaps/>
          <w:lang w:val="fr-CA"/>
        </w:rPr>
      </w:pPr>
      <w:r w:rsidRPr="00C328A2">
        <w:rPr>
          <w:smallCaps/>
          <w:lang w:val="fr-CA"/>
        </w:rPr>
        <w:t xml:space="preserve">en appel de la cour d’appel de la </w:t>
      </w:r>
      <w:r w:rsidR="004D6CE4" w:rsidRPr="00C328A2">
        <w:rPr>
          <w:smallCaps/>
          <w:lang w:val="fr-CA"/>
        </w:rPr>
        <w:t>colombie</w:t>
      </w:r>
      <w:r w:rsidR="004D6CE4" w:rsidRPr="00C328A2">
        <w:rPr>
          <w:smallCaps/>
          <w:lang w:val="fr-CA"/>
        </w:rPr>
        <w:noBreakHyphen/>
      </w:r>
      <w:r w:rsidR="00B6638B" w:rsidRPr="00C328A2">
        <w:rPr>
          <w:smallCaps/>
          <w:lang w:val="fr-CA"/>
        </w:rPr>
        <w:t>britannique</w:t>
      </w:r>
    </w:p>
    <w:p w14:paraId="02D973AC" w14:textId="5B7BB67A" w:rsidR="00E914D6" w:rsidRPr="00C328A2" w:rsidRDefault="004D7D95" w:rsidP="00770417">
      <w:pPr>
        <w:pStyle w:val="SCCNormalDoubleSpacing"/>
        <w:spacing w:after="480"/>
        <w:rPr>
          <w:i/>
          <w:iCs/>
          <w:szCs w:val="24"/>
          <w:lang w:val="fr-CA"/>
        </w:rPr>
      </w:pPr>
      <w:r w:rsidRPr="00C328A2">
        <w:rPr>
          <w:lang w:val="fr-CA"/>
        </w:rPr>
        <w:tab/>
      </w:r>
      <w:r w:rsidR="00E914D6" w:rsidRPr="00C328A2">
        <w:rPr>
          <w:i/>
          <w:iCs/>
          <w:szCs w:val="24"/>
          <w:lang w:val="fr-CA"/>
        </w:rPr>
        <w:t xml:space="preserve">Droit constitutionnel — Partage des compétences — Extraterritorialité — </w:t>
      </w:r>
      <w:r w:rsidR="00EF6692" w:rsidRPr="00C328A2">
        <w:rPr>
          <w:i/>
          <w:iCs/>
          <w:szCs w:val="24"/>
          <w:lang w:val="fr-CA"/>
        </w:rPr>
        <w:t>Limites aux lois provinciales</w:t>
      </w:r>
      <w:r w:rsidR="00E914D6" w:rsidRPr="00C328A2">
        <w:rPr>
          <w:i/>
          <w:iCs/>
          <w:szCs w:val="24"/>
          <w:lang w:val="fr-CA"/>
        </w:rPr>
        <w:t xml:space="preserve"> —</w:t>
      </w:r>
      <w:r w:rsidR="00EF6692" w:rsidRPr="00C328A2">
        <w:rPr>
          <w:i/>
          <w:iCs/>
          <w:szCs w:val="24"/>
          <w:lang w:val="fr-CA"/>
        </w:rPr>
        <w:t xml:space="preserve"> A</w:t>
      </w:r>
      <w:r w:rsidR="00E914D6" w:rsidRPr="00C328A2">
        <w:rPr>
          <w:i/>
          <w:iCs/>
          <w:szCs w:val="24"/>
          <w:lang w:val="fr-CA"/>
        </w:rPr>
        <w:t>utorisation d’un recours collectif intenté contre des fabricants, négociants et distributeurs de produits opioïdes afin de recouvrer les frais de soins de santé engagés pour traiter des personnes exposées à ces produits</w:t>
      </w:r>
      <w:r w:rsidR="00EF6692" w:rsidRPr="00C328A2">
        <w:rPr>
          <w:i/>
          <w:iCs/>
          <w:szCs w:val="24"/>
          <w:lang w:val="fr-CA"/>
        </w:rPr>
        <w:t xml:space="preserve"> demandée par la Colombie-Britannique</w:t>
      </w:r>
      <w:r w:rsidR="00E914D6" w:rsidRPr="00C328A2">
        <w:rPr>
          <w:i/>
          <w:iCs/>
          <w:szCs w:val="24"/>
          <w:lang w:val="fr-CA"/>
        </w:rPr>
        <w:t xml:space="preserve"> — Adoption par la législature provinciale d’une loi comportant une disposition qui permet à la Colombie-Britannique d’agir à titre de représentante des demandeurs et d’ajouter d’autres gouvernements canadiens au groupe proposé sauf s’ils s’excluent du recours collectif conformément aux modalités de </w:t>
      </w:r>
      <w:r w:rsidR="00E914D6" w:rsidRPr="00C328A2">
        <w:rPr>
          <w:i/>
          <w:szCs w:val="24"/>
          <w:lang w:val="fr-CA"/>
        </w:rPr>
        <w:t>l’ordonnance d’autorisation</w:t>
      </w:r>
      <w:r w:rsidR="00E914D6" w:rsidRPr="00C328A2">
        <w:rPr>
          <w:i/>
          <w:iCs/>
          <w:szCs w:val="24"/>
          <w:lang w:val="fr-CA"/>
        </w:rPr>
        <w:t xml:space="preserve"> — Constitutionnalité de la disposition contestée par les défenderesses —</w:t>
      </w:r>
      <w:r w:rsidR="00770417" w:rsidRPr="00C328A2">
        <w:rPr>
          <w:i/>
          <w:iCs/>
          <w:szCs w:val="24"/>
          <w:lang w:val="fr-CA"/>
        </w:rPr>
        <w:t xml:space="preserve"> </w:t>
      </w:r>
      <w:r w:rsidR="00E914D6" w:rsidRPr="00C328A2">
        <w:rPr>
          <w:i/>
          <w:iCs/>
          <w:szCs w:val="24"/>
          <w:lang w:val="fr-CA"/>
        </w:rPr>
        <w:t>La disposition est-elle ultra vires de l’assemblée législative de la Colombie-Britannique?</w:t>
      </w:r>
      <w:r w:rsidR="00E914D6" w:rsidRPr="00C328A2">
        <w:rPr>
          <w:i/>
          <w:szCs w:val="24"/>
          <w:lang w:val="fr-CA"/>
        </w:rPr>
        <w:t xml:space="preserve"> </w:t>
      </w:r>
      <w:r w:rsidR="00E914D6" w:rsidRPr="00C328A2">
        <w:rPr>
          <w:i/>
          <w:iCs/>
          <w:szCs w:val="24"/>
          <w:lang w:val="fr-CA"/>
        </w:rPr>
        <w:t>—</w:t>
      </w:r>
      <w:r w:rsidR="00770417" w:rsidRPr="00C328A2">
        <w:rPr>
          <w:i/>
          <w:iCs/>
          <w:szCs w:val="24"/>
          <w:lang w:val="fr-CA"/>
        </w:rPr>
        <w:t xml:space="preserve"> </w:t>
      </w:r>
      <w:r w:rsidR="00E914D6" w:rsidRPr="00C328A2">
        <w:rPr>
          <w:i/>
          <w:iCs/>
          <w:szCs w:val="24"/>
          <w:lang w:val="fr-CA"/>
        </w:rPr>
        <w:t>Loi constitutionnelle de 1867, art. 92(13), (14)</w:t>
      </w:r>
      <w:r w:rsidR="00770417" w:rsidRPr="00C328A2">
        <w:rPr>
          <w:i/>
          <w:iCs/>
          <w:szCs w:val="24"/>
          <w:lang w:val="fr-CA"/>
        </w:rPr>
        <w:t xml:space="preserve"> </w:t>
      </w:r>
      <w:r w:rsidR="00E914D6" w:rsidRPr="00C328A2">
        <w:rPr>
          <w:i/>
          <w:iCs/>
          <w:szCs w:val="24"/>
          <w:lang w:val="fr-CA"/>
        </w:rPr>
        <w:t xml:space="preserve">— </w:t>
      </w:r>
      <w:r w:rsidR="00E914D6" w:rsidRPr="00C328A2">
        <w:rPr>
          <w:i/>
          <w:szCs w:val="24"/>
          <w:lang w:val="fr-CA"/>
        </w:rPr>
        <w:t>Opioid Damages and Health Care Costs Recovery Act, S.B.C. 2018, c.</w:t>
      </w:r>
      <w:r w:rsidR="00770417" w:rsidRPr="00C328A2">
        <w:rPr>
          <w:i/>
          <w:szCs w:val="24"/>
          <w:lang w:val="fr-CA"/>
        </w:rPr>
        <w:t> </w:t>
      </w:r>
      <w:r w:rsidR="00E914D6" w:rsidRPr="00C328A2">
        <w:rPr>
          <w:i/>
          <w:szCs w:val="24"/>
          <w:lang w:val="fr-CA"/>
        </w:rPr>
        <w:t>35, art. 11</w:t>
      </w:r>
      <w:r w:rsidR="00E914D6" w:rsidRPr="00C328A2">
        <w:rPr>
          <w:i/>
          <w:iCs/>
          <w:szCs w:val="24"/>
          <w:lang w:val="fr-CA"/>
        </w:rPr>
        <w:t>.</w:t>
      </w:r>
    </w:p>
    <w:p w14:paraId="6B372C5A" w14:textId="6E1E3450" w:rsidR="00E914D6" w:rsidRPr="00C328A2" w:rsidRDefault="00E914D6" w:rsidP="00770417">
      <w:pPr>
        <w:pStyle w:val="SCCNormalDoubleSpacing"/>
        <w:spacing w:after="480"/>
        <w:rPr>
          <w:szCs w:val="24"/>
          <w:lang w:val="fr-CA"/>
        </w:rPr>
      </w:pPr>
      <w:r w:rsidRPr="00C328A2">
        <w:rPr>
          <w:i/>
          <w:iCs/>
          <w:szCs w:val="24"/>
          <w:lang w:val="fr-CA"/>
        </w:rPr>
        <w:tab/>
      </w:r>
      <w:r w:rsidRPr="00C328A2">
        <w:rPr>
          <w:szCs w:val="24"/>
          <w:lang w:val="fr-CA"/>
        </w:rPr>
        <w:t>La Colombie</w:t>
      </w:r>
      <w:r w:rsidR="00770417" w:rsidRPr="00C328A2">
        <w:rPr>
          <w:szCs w:val="24"/>
          <w:lang w:val="fr-CA"/>
        </w:rPr>
        <w:noBreakHyphen/>
      </w:r>
      <w:r w:rsidRPr="00C328A2">
        <w:rPr>
          <w:szCs w:val="24"/>
          <w:lang w:val="fr-CA"/>
        </w:rPr>
        <w:t xml:space="preserve">Britannique a intenté à la Cour suprême de la province une action dans laquelle elle allègue que les fabricants, commerciaux et distributeurs de produits </w:t>
      </w:r>
      <w:r w:rsidRPr="00C328A2">
        <w:rPr>
          <w:lang w:val="fr-CA"/>
        </w:rPr>
        <w:t xml:space="preserve">opioïdes ont commis des délits civils en common law et des violations </w:t>
      </w:r>
      <w:r w:rsidRPr="00C328A2">
        <w:rPr>
          <w:szCs w:val="24"/>
          <w:lang w:val="fr-CA"/>
        </w:rPr>
        <w:t xml:space="preserve">de la </w:t>
      </w:r>
      <w:r w:rsidRPr="00C328A2">
        <w:rPr>
          <w:i/>
          <w:szCs w:val="24"/>
          <w:lang w:val="fr-CA"/>
        </w:rPr>
        <w:t>Loi sur la concurrence</w:t>
      </w:r>
      <w:r w:rsidRPr="00C328A2">
        <w:rPr>
          <w:szCs w:val="24"/>
          <w:lang w:val="fr-CA"/>
        </w:rPr>
        <w:t xml:space="preserve">. </w:t>
      </w:r>
      <w:r w:rsidRPr="00C328A2">
        <w:rPr>
          <w:lang w:val="fr-CA"/>
        </w:rPr>
        <w:t xml:space="preserve">Les actes de procédure font valoir que chaque province et territoire du Canada déplore un nombre élevé de dépendances, de maladies et de décès liés à l’épidémie d’opioïdes, et que les défenderesses ont contribué à l’épidémie en </w:t>
      </w:r>
      <w:r w:rsidRPr="00C328A2">
        <w:rPr>
          <w:lang w:val="fr-CA"/>
        </w:rPr>
        <w:lastRenderedPageBreak/>
        <w:t xml:space="preserve">présentant faussement leurs produits comme étant moins addictifs et moins susceptibles d’engendrer des problèmes de toxicomanie, de tolérance et de sevrage que d’autres médicaments contre la douleur. </w:t>
      </w:r>
      <w:r w:rsidRPr="00C328A2">
        <w:rPr>
          <w:szCs w:val="24"/>
          <w:lang w:val="fr-CA"/>
        </w:rPr>
        <w:t>La Colombie</w:t>
      </w:r>
      <w:r w:rsidR="00770417" w:rsidRPr="00C328A2">
        <w:rPr>
          <w:szCs w:val="24"/>
          <w:lang w:val="fr-CA"/>
        </w:rPr>
        <w:noBreakHyphen/>
      </w:r>
      <w:r w:rsidRPr="00C328A2">
        <w:rPr>
          <w:szCs w:val="24"/>
          <w:lang w:val="fr-CA"/>
        </w:rPr>
        <w:t xml:space="preserve">Britannique a demandé </w:t>
      </w:r>
      <w:r w:rsidR="00CE7CDE" w:rsidRPr="00C328A2">
        <w:rPr>
          <w:szCs w:val="24"/>
          <w:lang w:val="fr-CA"/>
        </w:rPr>
        <w:t>que</w:t>
      </w:r>
      <w:r w:rsidRPr="00C328A2">
        <w:rPr>
          <w:szCs w:val="24"/>
          <w:lang w:val="fr-CA"/>
        </w:rPr>
        <w:t xml:space="preserve"> l’action </w:t>
      </w:r>
      <w:r w:rsidR="00CE7CDE" w:rsidRPr="00C328A2">
        <w:rPr>
          <w:szCs w:val="24"/>
          <w:lang w:val="fr-CA"/>
        </w:rPr>
        <w:t xml:space="preserve">soit autorisée </w:t>
      </w:r>
      <w:r w:rsidRPr="00C328A2">
        <w:rPr>
          <w:szCs w:val="24"/>
          <w:lang w:val="fr-CA"/>
        </w:rPr>
        <w:t xml:space="preserve">en tant que recours collectif, </w:t>
      </w:r>
      <w:r w:rsidR="00CE7CDE" w:rsidRPr="00C328A2">
        <w:rPr>
          <w:szCs w:val="24"/>
          <w:lang w:val="fr-CA"/>
        </w:rPr>
        <w:t xml:space="preserve">et d’être autorisée à </w:t>
      </w:r>
      <w:r w:rsidRPr="00C328A2">
        <w:rPr>
          <w:szCs w:val="24"/>
          <w:lang w:val="fr-CA"/>
        </w:rPr>
        <w:t xml:space="preserve">agir titre de représentante des demandeurs </w:t>
      </w:r>
      <w:r w:rsidR="00CE7CDE" w:rsidRPr="00C328A2">
        <w:rPr>
          <w:szCs w:val="24"/>
          <w:lang w:val="fr-CA"/>
        </w:rPr>
        <w:t>au nom</w:t>
      </w:r>
      <w:r w:rsidRPr="00C328A2">
        <w:rPr>
          <w:szCs w:val="24"/>
          <w:lang w:val="fr-CA"/>
        </w:rPr>
        <w:t xml:space="preserve"> d’un groupe formé de l’ensemble du gouvernement fédéral, des organismes fédéraux et des gouvernements ou organismes de provinces et de territoires ayant supporté le coût de soins de santé, de produits pharmaceutiques et de traitement liés aux opioïdes. Q</w:t>
      </w:r>
      <w:r w:rsidRPr="00C328A2">
        <w:rPr>
          <w:lang w:val="fr-CA"/>
        </w:rPr>
        <w:t xml:space="preserve">uelques mois après l’introduction de l’action, </w:t>
      </w:r>
      <w:r w:rsidRPr="00C328A2">
        <w:rPr>
          <w:szCs w:val="24"/>
          <w:lang w:val="fr-CA"/>
        </w:rPr>
        <w:t>la législature de la Colombie</w:t>
      </w:r>
      <w:r w:rsidR="00770417" w:rsidRPr="00C328A2">
        <w:rPr>
          <w:szCs w:val="24"/>
          <w:lang w:val="fr-CA"/>
        </w:rPr>
        <w:noBreakHyphen/>
      </w:r>
      <w:r w:rsidRPr="00C328A2">
        <w:rPr>
          <w:szCs w:val="24"/>
          <w:lang w:val="fr-CA"/>
        </w:rPr>
        <w:t xml:space="preserve">Britannique a adopté la </w:t>
      </w:r>
      <w:r w:rsidRPr="00C328A2">
        <w:rPr>
          <w:i/>
          <w:szCs w:val="24"/>
          <w:lang w:val="fr-CA"/>
        </w:rPr>
        <w:t>Opioid Damages and Health Care Costs Recovery Act</w:t>
      </w:r>
      <w:r w:rsidRPr="00C328A2">
        <w:rPr>
          <w:szCs w:val="24"/>
          <w:lang w:val="fr-CA"/>
        </w:rPr>
        <w:t xml:space="preserve"> (« </w:t>
      </w:r>
      <w:r w:rsidRPr="00C328A2">
        <w:rPr>
          <w:i/>
          <w:szCs w:val="24"/>
          <w:lang w:val="fr-CA"/>
        </w:rPr>
        <w:t>ORA </w:t>
      </w:r>
      <w:r w:rsidRPr="00C328A2">
        <w:rPr>
          <w:szCs w:val="24"/>
          <w:lang w:val="fr-CA"/>
        </w:rPr>
        <w:t xml:space="preserve">») </w:t>
      </w:r>
      <w:r w:rsidRPr="00C328A2">
        <w:rPr>
          <w:lang w:val="fr-CA"/>
        </w:rPr>
        <w:t>pour conférer par voie législative un droit d’action direct dans l’instance</w:t>
      </w:r>
      <w:r w:rsidRPr="00C328A2">
        <w:rPr>
          <w:szCs w:val="24"/>
          <w:lang w:val="fr-CA"/>
        </w:rPr>
        <w:t xml:space="preserve">. </w:t>
      </w:r>
      <w:bookmarkStart w:id="0" w:name="_Hlk173919129"/>
      <w:r w:rsidRPr="00C328A2">
        <w:rPr>
          <w:szCs w:val="24"/>
          <w:lang w:val="fr-CA"/>
        </w:rPr>
        <w:t>L’article 11 de l’</w:t>
      </w:r>
      <w:r w:rsidRPr="00C328A2">
        <w:rPr>
          <w:i/>
          <w:szCs w:val="24"/>
          <w:lang w:val="fr-CA"/>
        </w:rPr>
        <w:t>ORA</w:t>
      </w:r>
      <w:r w:rsidRPr="00C328A2">
        <w:rPr>
          <w:szCs w:val="24"/>
          <w:lang w:val="fr-CA"/>
        </w:rPr>
        <w:t xml:space="preserve"> autorise la Colombie</w:t>
      </w:r>
      <w:r w:rsidR="00770417" w:rsidRPr="00C328A2">
        <w:rPr>
          <w:szCs w:val="24"/>
          <w:lang w:val="fr-CA"/>
        </w:rPr>
        <w:noBreakHyphen/>
      </w:r>
      <w:r w:rsidRPr="00C328A2">
        <w:rPr>
          <w:szCs w:val="24"/>
          <w:lang w:val="fr-CA"/>
        </w:rPr>
        <w:t xml:space="preserve">Britannique </w:t>
      </w:r>
      <w:r w:rsidRPr="00C328A2">
        <w:rPr>
          <w:lang w:val="fr-CA"/>
        </w:rPr>
        <w:t xml:space="preserve">à intenter une action au nom du groupe nommé dans le recours, mais permet à un membre du groupe de s’exclure du recours en vertu de l’art. 16 de la </w:t>
      </w:r>
      <w:r w:rsidRPr="00C328A2">
        <w:rPr>
          <w:i/>
          <w:szCs w:val="24"/>
          <w:lang w:val="fr-CA"/>
        </w:rPr>
        <w:t>Class Proceedings Act</w:t>
      </w:r>
      <w:bookmarkEnd w:id="0"/>
      <w:r w:rsidRPr="00C328A2">
        <w:rPr>
          <w:i/>
          <w:szCs w:val="24"/>
          <w:lang w:val="fr-CA"/>
        </w:rPr>
        <w:t xml:space="preserve"> </w:t>
      </w:r>
      <w:r w:rsidRPr="00C328A2">
        <w:rPr>
          <w:szCs w:val="24"/>
          <w:lang w:val="fr-CA"/>
        </w:rPr>
        <w:t>de la province, de la façon indiquée dans l’ordonnance autorisant le recours collectif. La Colombie</w:t>
      </w:r>
      <w:r w:rsidR="00770417" w:rsidRPr="00C328A2">
        <w:rPr>
          <w:szCs w:val="24"/>
          <w:lang w:val="fr-CA"/>
        </w:rPr>
        <w:noBreakHyphen/>
      </w:r>
      <w:r w:rsidRPr="00C328A2">
        <w:rPr>
          <w:szCs w:val="24"/>
          <w:lang w:val="fr-CA"/>
        </w:rPr>
        <w:t xml:space="preserve">Britannique a </w:t>
      </w:r>
      <w:r w:rsidRPr="00C328A2">
        <w:rPr>
          <w:lang w:val="fr-CA"/>
        </w:rPr>
        <w:t>modifié son avis d’action civile pour incorporer l’art. 11 de l’</w:t>
      </w:r>
      <w:r w:rsidRPr="00C328A2">
        <w:rPr>
          <w:i/>
          <w:lang w:val="fr-CA"/>
        </w:rPr>
        <w:t>ORA</w:t>
      </w:r>
      <w:r w:rsidRPr="00C328A2">
        <w:rPr>
          <w:lang w:val="fr-CA"/>
        </w:rPr>
        <w:t xml:space="preserve"> dans ses actes de procédure</w:t>
      </w:r>
      <w:r w:rsidRPr="00C328A2">
        <w:rPr>
          <w:szCs w:val="24"/>
          <w:lang w:val="fr-CA"/>
        </w:rPr>
        <w:t>.</w:t>
      </w:r>
    </w:p>
    <w:p w14:paraId="3EAD729B" w14:textId="31C79129" w:rsidR="00E914D6" w:rsidRPr="00C328A2" w:rsidRDefault="00E914D6" w:rsidP="00770417">
      <w:pPr>
        <w:pStyle w:val="SCCNormalDoubleSpacing"/>
        <w:spacing w:after="480"/>
        <w:rPr>
          <w:szCs w:val="24"/>
          <w:lang w:val="fr-CA"/>
        </w:rPr>
      </w:pPr>
      <w:r w:rsidRPr="00C328A2">
        <w:rPr>
          <w:szCs w:val="24"/>
          <w:lang w:val="fr-CA"/>
        </w:rPr>
        <w:tab/>
        <w:t xml:space="preserve">Plusieurs des défenderesses, des </w:t>
      </w:r>
      <w:r w:rsidRPr="00C328A2">
        <w:rPr>
          <w:lang w:val="fr-CA"/>
        </w:rPr>
        <w:t>sociétés pharmaceutiques qui fabriquent, commercialisent et distribuent des produits opioïdes partout au Canada, ont demandé une ordonnance radiant l’art. </w:t>
      </w:r>
      <w:r w:rsidRPr="00C328A2">
        <w:rPr>
          <w:szCs w:val="24"/>
          <w:lang w:val="fr-CA"/>
        </w:rPr>
        <w:t>11 de l’</w:t>
      </w:r>
      <w:r w:rsidRPr="00C328A2">
        <w:rPr>
          <w:i/>
          <w:szCs w:val="24"/>
          <w:lang w:val="fr-CA"/>
        </w:rPr>
        <w:t>ORA</w:t>
      </w:r>
      <w:r w:rsidRPr="00C328A2">
        <w:rPr>
          <w:szCs w:val="24"/>
          <w:lang w:val="fr-CA"/>
        </w:rPr>
        <w:t xml:space="preserve"> au motif qu’il est </w:t>
      </w:r>
      <w:r w:rsidRPr="00C328A2">
        <w:rPr>
          <w:i/>
          <w:szCs w:val="24"/>
          <w:lang w:val="fr-CA"/>
        </w:rPr>
        <w:t>ultra vires</w:t>
      </w:r>
      <w:r w:rsidRPr="00C328A2">
        <w:rPr>
          <w:szCs w:val="24"/>
          <w:lang w:val="fr-CA"/>
        </w:rPr>
        <w:t xml:space="preserve"> de la législature de la Colombie</w:t>
      </w:r>
      <w:r w:rsidR="00770417" w:rsidRPr="00C328A2">
        <w:rPr>
          <w:szCs w:val="24"/>
          <w:lang w:val="fr-CA"/>
        </w:rPr>
        <w:noBreakHyphen/>
      </w:r>
      <w:r w:rsidRPr="00C328A2">
        <w:rPr>
          <w:szCs w:val="24"/>
          <w:lang w:val="fr-CA"/>
        </w:rPr>
        <w:t>Britannique et inopérant suivant l’art.</w:t>
      </w:r>
      <w:r w:rsidR="00770417" w:rsidRPr="00C328A2">
        <w:rPr>
          <w:szCs w:val="24"/>
          <w:lang w:val="fr-CA"/>
        </w:rPr>
        <w:t> </w:t>
      </w:r>
      <w:r w:rsidRPr="00C328A2">
        <w:rPr>
          <w:szCs w:val="24"/>
          <w:lang w:val="fr-CA"/>
        </w:rPr>
        <w:t xml:space="preserve">52 de la </w:t>
      </w:r>
      <w:r w:rsidRPr="00C328A2">
        <w:rPr>
          <w:i/>
          <w:szCs w:val="24"/>
          <w:lang w:val="fr-CA"/>
        </w:rPr>
        <w:t>Loi</w:t>
      </w:r>
      <w:r w:rsidR="00770417" w:rsidRPr="00C328A2">
        <w:rPr>
          <w:i/>
          <w:szCs w:val="24"/>
          <w:lang w:val="fr-CA"/>
        </w:rPr>
        <w:t xml:space="preserve"> </w:t>
      </w:r>
      <w:r w:rsidRPr="00C328A2">
        <w:rPr>
          <w:i/>
          <w:szCs w:val="24"/>
          <w:lang w:val="fr-CA"/>
        </w:rPr>
        <w:t>constitutionnelle de 1982</w:t>
      </w:r>
      <w:r w:rsidRPr="00C328A2">
        <w:rPr>
          <w:szCs w:val="24"/>
          <w:lang w:val="fr-CA"/>
        </w:rPr>
        <w:t xml:space="preserve">. Elles </w:t>
      </w:r>
      <w:r w:rsidRPr="00C328A2">
        <w:rPr>
          <w:lang w:val="fr-CA"/>
        </w:rPr>
        <w:t xml:space="preserve">ont soutenu qu’il ne respecte pas les limites territoriales constitutionnelles des compétences législatives provinciales, et qu’il viole l’ordre constitutionnel du </w:t>
      </w:r>
      <w:r w:rsidRPr="00C328A2">
        <w:rPr>
          <w:lang w:val="fr-CA"/>
        </w:rPr>
        <w:lastRenderedPageBreak/>
        <w:t>Canada en portant atteinte à la souveraineté des autres gouvernements du Canada</w:t>
      </w:r>
      <w:r w:rsidRPr="00C328A2">
        <w:rPr>
          <w:szCs w:val="24"/>
          <w:lang w:val="fr-CA"/>
        </w:rPr>
        <w:t>. La Cour suprême de la Colombie</w:t>
      </w:r>
      <w:r w:rsidR="00770417" w:rsidRPr="00C328A2">
        <w:rPr>
          <w:szCs w:val="24"/>
          <w:lang w:val="fr-CA"/>
        </w:rPr>
        <w:noBreakHyphen/>
      </w:r>
      <w:r w:rsidRPr="00C328A2">
        <w:rPr>
          <w:szCs w:val="24"/>
          <w:lang w:val="fr-CA"/>
        </w:rPr>
        <w:t>Britannique a rejeté les demandes. Elle a conclu que l’art. 11 de l’</w:t>
      </w:r>
      <w:r w:rsidRPr="00C328A2">
        <w:rPr>
          <w:i/>
          <w:szCs w:val="24"/>
          <w:lang w:val="fr-CA"/>
        </w:rPr>
        <w:t>ORA</w:t>
      </w:r>
      <w:r w:rsidRPr="00C328A2">
        <w:rPr>
          <w:szCs w:val="24"/>
          <w:lang w:val="fr-CA"/>
        </w:rPr>
        <w:t xml:space="preserve"> constitue un mécanisme procédural </w:t>
      </w:r>
      <w:r w:rsidRPr="00C328A2">
        <w:rPr>
          <w:lang w:val="fr-CA"/>
        </w:rPr>
        <w:t>visant à faciliter le déroulement des instances dans lesquelles les revendications substantielles des autres gouvernements peuvent être instruites, et qu’il relève donc du par. </w:t>
      </w:r>
      <w:r w:rsidRPr="00C328A2">
        <w:rPr>
          <w:szCs w:val="24"/>
          <w:lang w:val="fr-CA"/>
        </w:rPr>
        <w:t xml:space="preserve">92(14) de la </w:t>
      </w:r>
      <w:r w:rsidRPr="00C328A2">
        <w:rPr>
          <w:i/>
          <w:szCs w:val="24"/>
          <w:lang w:val="fr-CA"/>
        </w:rPr>
        <w:t>Loi constitutionnelle de 1867</w:t>
      </w:r>
      <w:r w:rsidRPr="00C328A2">
        <w:rPr>
          <w:szCs w:val="24"/>
          <w:lang w:val="fr-CA"/>
        </w:rPr>
        <w:t xml:space="preserve">, en vertu du pouvoir de la province de légiférer sur l’administration de la justice dans la province. Le juge de première instance a conclu que l’art. 11 respecte </w:t>
      </w:r>
      <w:r w:rsidRPr="00C328A2">
        <w:rPr>
          <w:lang w:val="fr-CA"/>
        </w:rPr>
        <w:t xml:space="preserve">les limites territoriales fixées par la </w:t>
      </w:r>
      <w:r w:rsidRPr="00C328A2">
        <w:rPr>
          <w:i/>
          <w:lang w:val="fr-CA"/>
        </w:rPr>
        <w:t>Loi constitutionnelle de 1867</w:t>
      </w:r>
      <w:r w:rsidRPr="00C328A2">
        <w:rPr>
          <w:lang w:val="fr-CA"/>
        </w:rPr>
        <w:t xml:space="preserve">, puisqu’il ne touche les autres gouvernements que s’ils consentent à participer à l’instance, soit en décidant de faire partie du groupe, soit en n’exerçant pas leur droit de s’en exclure. </w:t>
      </w:r>
      <w:r w:rsidRPr="00C328A2">
        <w:rPr>
          <w:szCs w:val="24"/>
          <w:lang w:val="fr-CA"/>
        </w:rPr>
        <w:t>La Cour d’appel a rejeté l’appel des défenderesses.</w:t>
      </w:r>
    </w:p>
    <w:p w14:paraId="1F128318" w14:textId="360EA412" w:rsidR="00E914D6" w:rsidRPr="00C328A2" w:rsidRDefault="00E914D6" w:rsidP="00770417">
      <w:pPr>
        <w:pStyle w:val="SCCNormalDoubleSpacing"/>
        <w:spacing w:after="480"/>
        <w:rPr>
          <w:szCs w:val="24"/>
          <w:lang w:val="fr-CA"/>
        </w:rPr>
      </w:pPr>
      <w:r w:rsidRPr="00C328A2">
        <w:rPr>
          <w:szCs w:val="24"/>
          <w:lang w:val="fr-CA"/>
        </w:rPr>
        <w:tab/>
      </w:r>
      <w:r w:rsidRPr="00C328A2">
        <w:rPr>
          <w:i/>
          <w:szCs w:val="24"/>
          <w:lang w:val="fr-CA"/>
        </w:rPr>
        <w:t xml:space="preserve">Arrêt </w:t>
      </w:r>
      <w:r w:rsidRPr="00C328A2">
        <w:rPr>
          <w:szCs w:val="24"/>
          <w:lang w:val="fr-CA"/>
        </w:rPr>
        <w:t>(la juge Côté est dissidente) : Le pourvoi est rejeté.</w:t>
      </w:r>
    </w:p>
    <w:p w14:paraId="243C00F1" w14:textId="226561E9" w:rsidR="00E914D6" w:rsidRPr="00C328A2" w:rsidRDefault="00E914D6" w:rsidP="00770417">
      <w:pPr>
        <w:pStyle w:val="SCCNormalDoubleSpacing"/>
        <w:spacing w:after="480"/>
        <w:rPr>
          <w:szCs w:val="24"/>
          <w:lang w:val="fr-CA"/>
        </w:rPr>
      </w:pPr>
      <w:r w:rsidRPr="00C328A2">
        <w:rPr>
          <w:szCs w:val="24"/>
          <w:lang w:val="fr-CA"/>
        </w:rPr>
        <w:tab/>
      </w:r>
      <w:r w:rsidRPr="00C328A2">
        <w:rPr>
          <w:i/>
          <w:szCs w:val="24"/>
          <w:lang w:val="fr-CA"/>
        </w:rPr>
        <w:t xml:space="preserve">Le </w:t>
      </w:r>
      <w:r w:rsidRPr="00C328A2">
        <w:rPr>
          <w:szCs w:val="24"/>
          <w:lang w:val="fr-CA"/>
        </w:rPr>
        <w:t xml:space="preserve">juge en chef Wagner et les juges </w:t>
      </w:r>
      <w:r w:rsidRPr="00C328A2">
        <w:rPr>
          <w:b/>
          <w:szCs w:val="24"/>
          <w:lang w:val="fr-CA"/>
        </w:rPr>
        <w:t>Karakatsanis</w:t>
      </w:r>
      <w:r w:rsidRPr="00C328A2">
        <w:rPr>
          <w:szCs w:val="24"/>
          <w:lang w:val="fr-CA"/>
        </w:rPr>
        <w:t>, Martin, Kasirer, O’Bonsawin et Moreau : L’article 11 de l’</w:t>
      </w:r>
      <w:r w:rsidRPr="00C328A2">
        <w:rPr>
          <w:i/>
          <w:szCs w:val="24"/>
          <w:lang w:val="fr-CA"/>
        </w:rPr>
        <w:t>ORA</w:t>
      </w:r>
      <w:r w:rsidRPr="00C328A2">
        <w:rPr>
          <w:szCs w:val="24"/>
          <w:lang w:val="fr-CA"/>
        </w:rPr>
        <w:t xml:space="preserve"> </w:t>
      </w:r>
      <w:r w:rsidRPr="00C328A2">
        <w:rPr>
          <w:lang w:val="fr-CA"/>
        </w:rPr>
        <w:t>relève de la compétence de la province</w:t>
      </w:r>
      <w:r w:rsidRPr="00C328A2">
        <w:rPr>
          <w:szCs w:val="24"/>
          <w:lang w:val="fr-CA"/>
        </w:rPr>
        <w:t xml:space="preserve"> de la Colombie</w:t>
      </w:r>
      <w:r w:rsidR="00770417" w:rsidRPr="00C328A2">
        <w:rPr>
          <w:szCs w:val="24"/>
          <w:lang w:val="fr-CA"/>
        </w:rPr>
        <w:noBreakHyphen/>
      </w:r>
      <w:r w:rsidRPr="00C328A2">
        <w:rPr>
          <w:szCs w:val="24"/>
          <w:lang w:val="fr-CA"/>
        </w:rPr>
        <w:t xml:space="preserve">Britannique. </w:t>
      </w:r>
      <w:r w:rsidRPr="00C328A2">
        <w:rPr>
          <w:lang w:val="fr-CA"/>
        </w:rPr>
        <w:t>Les juridictions inférieures ont eu raison de conclure que, de par son caractère véritable, l’art. 11 vise à créer un mécanisme procédural qui permet d’appliquer l’</w:t>
      </w:r>
      <w:r w:rsidRPr="00C328A2">
        <w:rPr>
          <w:i/>
          <w:lang w:val="fr-CA"/>
        </w:rPr>
        <w:t>ORA</w:t>
      </w:r>
      <w:r w:rsidRPr="00C328A2">
        <w:rPr>
          <w:lang w:val="fr-CA"/>
        </w:rPr>
        <w:t xml:space="preserve"> à l’instance liée aux opioïdes déjà en cours. </w:t>
      </w:r>
      <w:r w:rsidRPr="00C328A2">
        <w:rPr>
          <w:szCs w:val="24"/>
          <w:lang w:val="fr-CA"/>
        </w:rPr>
        <w:t>L’article</w:t>
      </w:r>
      <w:r w:rsidR="00770417" w:rsidRPr="00C328A2">
        <w:rPr>
          <w:szCs w:val="24"/>
          <w:lang w:val="fr-CA"/>
        </w:rPr>
        <w:t xml:space="preserve"> </w:t>
      </w:r>
      <w:r w:rsidRPr="00C328A2">
        <w:rPr>
          <w:szCs w:val="24"/>
          <w:lang w:val="fr-CA"/>
        </w:rPr>
        <w:t xml:space="preserve">11 </w:t>
      </w:r>
      <w:r w:rsidRPr="00C328A2">
        <w:rPr>
          <w:lang w:val="fr-CA"/>
        </w:rPr>
        <w:t>ne traite pas de droits substantiels</w:t>
      </w:r>
      <w:r w:rsidRPr="00C328A2">
        <w:rPr>
          <w:szCs w:val="24"/>
          <w:lang w:val="fr-CA"/>
        </w:rPr>
        <w:t xml:space="preserve">, </w:t>
      </w:r>
      <w:r w:rsidR="00EF6692" w:rsidRPr="00C328A2">
        <w:rPr>
          <w:szCs w:val="24"/>
          <w:lang w:val="fr-CA"/>
        </w:rPr>
        <w:t xml:space="preserve">il </w:t>
      </w:r>
      <w:r w:rsidRPr="00C328A2">
        <w:rPr>
          <w:lang w:val="fr-CA"/>
        </w:rPr>
        <w:t>a un lien significatif avec la province de la Colombie</w:t>
      </w:r>
      <w:r w:rsidR="00770417" w:rsidRPr="00C328A2">
        <w:rPr>
          <w:lang w:val="fr-CA"/>
        </w:rPr>
        <w:noBreakHyphen/>
      </w:r>
      <w:r w:rsidRPr="00C328A2">
        <w:rPr>
          <w:lang w:val="fr-CA"/>
        </w:rPr>
        <w:t>Britannique, et il respecte la souveraineté législative des autres gouvernements canadiens</w:t>
      </w:r>
      <w:r w:rsidRPr="00C328A2">
        <w:rPr>
          <w:szCs w:val="24"/>
          <w:lang w:val="fr-CA"/>
        </w:rPr>
        <w:t xml:space="preserve">. Il </w:t>
      </w:r>
      <w:r w:rsidRPr="00C328A2">
        <w:rPr>
          <w:lang w:val="fr-CA"/>
        </w:rPr>
        <w:t xml:space="preserve">relève effectivement du par. 92(14) de la </w:t>
      </w:r>
      <w:r w:rsidRPr="00C328A2">
        <w:rPr>
          <w:i/>
          <w:lang w:val="fr-CA"/>
        </w:rPr>
        <w:t>Loi</w:t>
      </w:r>
      <w:r w:rsidR="00770417" w:rsidRPr="00C328A2">
        <w:rPr>
          <w:i/>
          <w:lang w:val="fr-CA"/>
        </w:rPr>
        <w:t xml:space="preserve"> </w:t>
      </w:r>
      <w:r w:rsidRPr="00C328A2">
        <w:rPr>
          <w:i/>
          <w:lang w:val="fr-CA"/>
        </w:rPr>
        <w:t>constitutionnelle de 1867</w:t>
      </w:r>
      <w:r w:rsidRPr="00C328A2">
        <w:rPr>
          <w:lang w:val="fr-CA"/>
        </w:rPr>
        <w:t xml:space="preserve">, lequel confère aux provinces le pouvoir de légiférer sur </w:t>
      </w:r>
      <w:r w:rsidRPr="00C328A2">
        <w:rPr>
          <w:lang w:val="fr-CA"/>
        </w:rPr>
        <w:lastRenderedPageBreak/>
        <w:t>l’administration de la justice dans la province</w:t>
      </w:r>
      <w:r w:rsidRPr="00C328A2">
        <w:rPr>
          <w:szCs w:val="24"/>
          <w:lang w:val="fr-CA"/>
        </w:rPr>
        <w:t xml:space="preserve">. </w:t>
      </w:r>
      <w:r w:rsidRPr="00C328A2">
        <w:rPr>
          <w:lang w:val="fr-CA"/>
        </w:rPr>
        <w:t>En vertu de ce chef de compétence, les provinces peuvent édicter des lois et prendre des règlements sur les tribunaux, les règles de procédure et la procédure civile</w:t>
      </w:r>
      <w:r w:rsidRPr="00C328A2">
        <w:rPr>
          <w:szCs w:val="24"/>
          <w:lang w:val="fr-CA"/>
        </w:rPr>
        <w:t>. L’article</w:t>
      </w:r>
      <w:r w:rsidR="00770417" w:rsidRPr="00C328A2">
        <w:rPr>
          <w:szCs w:val="24"/>
          <w:lang w:val="fr-CA"/>
        </w:rPr>
        <w:t xml:space="preserve"> </w:t>
      </w:r>
      <w:r w:rsidRPr="00C328A2">
        <w:rPr>
          <w:szCs w:val="24"/>
          <w:lang w:val="fr-CA"/>
        </w:rPr>
        <w:t xml:space="preserve">11 </w:t>
      </w:r>
      <w:r w:rsidRPr="00C328A2">
        <w:rPr>
          <w:lang w:val="fr-CA"/>
        </w:rPr>
        <w:t xml:space="preserve">permet </w:t>
      </w:r>
      <w:r w:rsidRPr="00C328A2">
        <w:rPr>
          <w:i/>
          <w:lang w:val="fr-CA"/>
        </w:rPr>
        <w:t>a priori</w:t>
      </w:r>
      <w:r w:rsidRPr="00C328A2">
        <w:rPr>
          <w:lang w:val="fr-CA"/>
        </w:rPr>
        <w:t xml:space="preserve"> à la Colombie</w:t>
      </w:r>
      <w:r w:rsidRPr="00C328A2">
        <w:rPr>
          <w:lang w:val="fr-CA"/>
        </w:rPr>
        <w:noBreakHyphen/>
        <w:t>Britannique d’agir en tant que représentante au nom d’un groupe de gouvernements canadiens qui choisissent de participer à ce recours collectif.</w:t>
      </w:r>
    </w:p>
    <w:p w14:paraId="2CFCF37F" w14:textId="6427E3F3" w:rsidR="00E914D6" w:rsidRPr="00C328A2" w:rsidRDefault="00E914D6" w:rsidP="00770417">
      <w:pPr>
        <w:pStyle w:val="SCCNormalDoubleSpacing"/>
        <w:spacing w:after="480"/>
        <w:rPr>
          <w:szCs w:val="24"/>
          <w:lang w:val="fr-CA"/>
        </w:rPr>
      </w:pPr>
      <w:r w:rsidRPr="00C328A2">
        <w:rPr>
          <w:szCs w:val="24"/>
          <w:lang w:val="fr-CA"/>
        </w:rPr>
        <w:tab/>
      </w:r>
      <w:r w:rsidRPr="00C328A2">
        <w:rPr>
          <w:lang w:val="fr-CA"/>
        </w:rPr>
        <w:t xml:space="preserve">La première étape du cadre d’analyse énoncé dans l’arrêt </w:t>
      </w:r>
      <w:r w:rsidRPr="00C328A2">
        <w:rPr>
          <w:i/>
          <w:lang w:val="fr-CA"/>
        </w:rPr>
        <w:t>Colombie-Britannique c. Imperial Tobacco Canada Ltée</w:t>
      </w:r>
      <w:r w:rsidRPr="00C328A2">
        <w:rPr>
          <w:lang w:val="fr-CA"/>
        </w:rPr>
        <w:t xml:space="preserve">, 2005 CSC 49, [2005] 2 R.C.S. 473, </w:t>
      </w:r>
      <w:r w:rsidR="00B56151" w:rsidRPr="00C328A2">
        <w:rPr>
          <w:lang w:val="fr-CA"/>
        </w:rPr>
        <w:t>lequel</w:t>
      </w:r>
      <w:r w:rsidRPr="00C328A2">
        <w:rPr>
          <w:lang w:val="fr-CA"/>
        </w:rPr>
        <w:t xml:space="preserve"> vise à déterminer la constitutionnalité d’une loi</w:t>
      </w:r>
      <w:r w:rsidR="00B56151" w:rsidRPr="00C328A2">
        <w:rPr>
          <w:lang w:val="fr-CA"/>
        </w:rPr>
        <w:t>,</w:t>
      </w:r>
      <w:r w:rsidRPr="00C328A2">
        <w:rPr>
          <w:lang w:val="fr-CA"/>
        </w:rPr>
        <w:t xml:space="preserve"> </w:t>
      </w:r>
      <w:r w:rsidR="00B56151" w:rsidRPr="00C328A2">
        <w:rPr>
          <w:lang w:val="fr-CA"/>
        </w:rPr>
        <w:t>consiste à cerner</w:t>
      </w:r>
      <w:r w:rsidRPr="00C328A2">
        <w:rPr>
          <w:lang w:val="fr-CA"/>
        </w:rPr>
        <w:t xml:space="preserve"> le caractère véritable</w:t>
      </w:r>
      <w:r w:rsidR="00B56151" w:rsidRPr="00C328A2">
        <w:rPr>
          <w:lang w:val="fr-CA"/>
        </w:rPr>
        <w:t xml:space="preserve"> de celle-ci</w:t>
      </w:r>
      <w:r w:rsidRPr="00C328A2">
        <w:rPr>
          <w:lang w:val="fr-CA"/>
        </w:rPr>
        <w:t>,</w:t>
      </w:r>
      <w:r w:rsidR="00B56151" w:rsidRPr="00C328A2">
        <w:rPr>
          <w:lang w:val="fr-CA"/>
        </w:rPr>
        <w:t xml:space="preserve"> c’est-à-dire d’en dégager l’objet principal ou</w:t>
      </w:r>
      <w:r w:rsidRPr="00C328A2">
        <w:rPr>
          <w:lang w:val="fr-CA"/>
        </w:rPr>
        <w:t xml:space="preserve"> la caractéristique dominante ou la plus importante.</w:t>
      </w:r>
      <w:r w:rsidRPr="00C328A2">
        <w:rPr>
          <w:szCs w:val="24"/>
          <w:lang w:val="fr-CA"/>
        </w:rPr>
        <w:t xml:space="preserve"> </w:t>
      </w:r>
      <w:r w:rsidRPr="00C328A2">
        <w:rPr>
          <w:lang w:val="fr-CA"/>
        </w:rPr>
        <w:t xml:space="preserve">Le tribunal examine l’objet et les effets de la loi en faisant appel à des éléments de preuve intrinsèques ainsi qu’à des éléments de preuve extrinsèques, et tient compte tant de ses effets juridiques que de ses effets pratiques. </w:t>
      </w:r>
      <w:r w:rsidRPr="00C328A2">
        <w:rPr>
          <w:szCs w:val="24"/>
          <w:lang w:val="fr-CA"/>
        </w:rPr>
        <w:t xml:space="preserve">Le tribunal présumera de la constitutionnalité, en supposant que le législateur n’avait pas l’intention </w:t>
      </w:r>
      <w:r w:rsidRPr="00C328A2">
        <w:rPr>
          <w:lang w:val="fr-CA"/>
        </w:rPr>
        <w:t xml:space="preserve">d’outrepasser ses pouvoirs, </w:t>
      </w:r>
      <w:r w:rsidRPr="00C328A2">
        <w:rPr>
          <w:szCs w:val="24"/>
          <w:lang w:val="fr-CA"/>
        </w:rPr>
        <w:t xml:space="preserve">surtout si les </w:t>
      </w:r>
      <w:r w:rsidRPr="00C328A2">
        <w:rPr>
          <w:lang w:val="fr-CA"/>
        </w:rPr>
        <w:t>procureurs généraux des ressorts touchés par la loi interviennent pour en défendre la validité</w:t>
      </w:r>
      <w:r w:rsidRPr="00C328A2">
        <w:rPr>
          <w:szCs w:val="24"/>
          <w:lang w:val="fr-CA"/>
        </w:rPr>
        <w:t>. L</w:t>
      </w:r>
      <w:r w:rsidRPr="00C328A2">
        <w:rPr>
          <w:lang w:val="fr-CA"/>
        </w:rPr>
        <w:t xml:space="preserve">a deuxième étape du cadre d’analyse sert à déterminer si la disposition contestée respecte les limites territoriales de la compétence de la province qui sont énoncées à la fois dans le passage liminaire de l’art. 92 de la </w:t>
      </w:r>
      <w:r w:rsidRPr="00C328A2">
        <w:rPr>
          <w:i/>
          <w:lang w:val="fr-CA"/>
        </w:rPr>
        <w:t>Loi constitutionnelle de 1867</w:t>
      </w:r>
      <w:r w:rsidRPr="00C328A2">
        <w:rPr>
          <w:lang w:val="fr-CA"/>
        </w:rPr>
        <w:t xml:space="preserve"> et les mots des chefs de compétence eux</w:t>
      </w:r>
      <w:r w:rsidRPr="00C328A2">
        <w:rPr>
          <w:lang w:val="fr-CA"/>
        </w:rPr>
        <w:noBreakHyphen/>
        <w:t xml:space="preserve">mêmes, </w:t>
      </w:r>
      <w:r w:rsidRPr="00C328A2">
        <w:rPr>
          <w:szCs w:val="24"/>
          <w:lang w:val="fr-CA"/>
        </w:rPr>
        <w:t xml:space="preserve">en établissant si la disposition conserve </w:t>
      </w:r>
      <w:r w:rsidRPr="00C328A2">
        <w:rPr>
          <w:lang w:val="fr-CA"/>
        </w:rPr>
        <w:t>un lien utile avec la province et respecte la souveraineté des autres provinces</w:t>
      </w:r>
      <w:r w:rsidRPr="00C328A2">
        <w:rPr>
          <w:szCs w:val="24"/>
          <w:lang w:val="fr-CA"/>
        </w:rPr>
        <w:t xml:space="preserve">. </w:t>
      </w:r>
      <w:r w:rsidRPr="00C328A2">
        <w:rPr>
          <w:lang w:val="fr-CA"/>
        </w:rPr>
        <w:t>Le tribunal vérifie l’existence d’un lien significatif en examinant le lien entre la loi et le territoire qui l’a adoptée, l’objet de la loi et les personnes qui y sont assujetties.</w:t>
      </w:r>
    </w:p>
    <w:p w14:paraId="7F160FB9" w14:textId="13D9885D" w:rsidR="00E914D6" w:rsidRPr="00C328A2" w:rsidRDefault="00E914D6" w:rsidP="00770417">
      <w:pPr>
        <w:pStyle w:val="SCCNormalDoubleSpacing"/>
        <w:spacing w:after="480"/>
        <w:rPr>
          <w:szCs w:val="24"/>
          <w:lang w:val="fr-CA"/>
        </w:rPr>
      </w:pPr>
      <w:r w:rsidRPr="00C328A2">
        <w:rPr>
          <w:szCs w:val="24"/>
          <w:lang w:val="fr-CA"/>
        </w:rPr>
        <w:lastRenderedPageBreak/>
        <w:tab/>
      </w:r>
      <w:r w:rsidRPr="00C328A2">
        <w:rPr>
          <w:lang w:val="fr-CA"/>
        </w:rPr>
        <w:t>L’article 11 de l’</w:t>
      </w:r>
      <w:r w:rsidRPr="00C328A2">
        <w:rPr>
          <w:i/>
          <w:lang w:val="fr-CA"/>
        </w:rPr>
        <w:t>ORA</w:t>
      </w:r>
      <w:r w:rsidRPr="00C328A2">
        <w:rPr>
          <w:lang w:val="fr-CA"/>
        </w:rPr>
        <w:t xml:space="preserve"> a pour objet de prévoir un mécanisme procédural qui explique comment les autres dispositions de l’</w:t>
      </w:r>
      <w:r w:rsidRPr="00C328A2">
        <w:rPr>
          <w:i/>
          <w:lang w:val="fr-CA"/>
        </w:rPr>
        <w:t xml:space="preserve">ORA </w:t>
      </w:r>
      <w:r w:rsidRPr="00C328A2">
        <w:rPr>
          <w:lang w:val="fr-CA"/>
        </w:rPr>
        <w:t>s’appliquent au recours collectif en cours en Colombie</w:t>
      </w:r>
      <w:r w:rsidRPr="00C328A2">
        <w:rPr>
          <w:lang w:val="fr-CA"/>
        </w:rPr>
        <w:noBreakHyphen/>
        <w:t>Britannique</w:t>
      </w:r>
      <w:r w:rsidRPr="00C328A2">
        <w:rPr>
          <w:szCs w:val="24"/>
          <w:lang w:val="fr-CA"/>
        </w:rPr>
        <w:t xml:space="preserve">. Les mots </w:t>
      </w:r>
      <w:r w:rsidRPr="00C328A2">
        <w:rPr>
          <w:lang w:val="fr-CA"/>
        </w:rPr>
        <w:t>« la Couronne » peuvent désigner soit la personnification de l’État, soit la personne physique du souverain, Sa</w:t>
      </w:r>
      <w:r w:rsidR="00770417" w:rsidRPr="00C328A2">
        <w:rPr>
          <w:lang w:val="fr-CA"/>
        </w:rPr>
        <w:t xml:space="preserve"> </w:t>
      </w:r>
      <w:r w:rsidRPr="00C328A2">
        <w:rPr>
          <w:lang w:val="fr-CA"/>
        </w:rPr>
        <w:t>Majesté le Roi</w:t>
      </w:r>
      <w:r w:rsidRPr="00C328A2">
        <w:rPr>
          <w:szCs w:val="24"/>
          <w:lang w:val="fr-CA"/>
        </w:rPr>
        <w:t>. À t</w:t>
      </w:r>
      <w:r w:rsidRPr="00C328A2">
        <w:rPr>
          <w:lang w:val="fr-CA"/>
        </w:rPr>
        <w:t xml:space="preserve">itre de demandeur dans une instance en vue de faire valoir un droit d’action reconnu en common law ou par la loi, la Couronne agit habituellement en sa qualité de personne physique. </w:t>
      </w:r>
      <w:r w:rsidRPr="00C328A2">
        <w:rPr>
          <w:szCs w:val="24"/>
          <w:lang w:val="fr-CA"/>
        </w:rPr>
        <w:t xml:space="preserve">Ainsi, </w:t>
      </w:r>
      <w:r w:rsidRPr="00C328A2">
        <w:rPr>
          <w:lang w:val="fr-CA"/>
        </w:rPr>
        <w:t>la Couronne du chef de la Colombie</w:t>
      </w:r>
      <w:r w:rsidRPr="00C328A2">
        <w:rPr>
          <w:lang w:val="fr-CA"/>
        </w:rPr>
        <w:noBreakHyphen/>
        <w:t xml:space="preserve">Britannique est une personne qui peut agir à titre de représentante des demandeurs en vertu de la </w:t>
      </w:r>
      <w:r w:rsidRPr="00C328A2">
        <w:rPr>
          <w:i/>
          <w:szCs w:val="24"/>
          <w:lang w:val="fr-CA"/>
        </w:rPr>
        <w:t>Class Proceedings Act</w:t>
      </w:r>
      <w:r w:rsidRPr="00C328A2">
        <w:rPr>
          <w:szCs w:val="24"/>
          <w:lang w:val="fr-CA"/>
        </w:rPr>
        <w:t xml:space="preserve">, et </w:t>
      </w:r>
      <w:r w:rsidRPr="00C328A2">
        <w:rPr>
          <w:lang w:val="fr-CA"/>
        </w:rPr>
        <w:t xml:space="preserve">les autres gouvernements </w:t>
      </w:r>
      <w:r w:rsidRPr="00C328A2">
        <w:rPr>
          <w:szCs w:val="24"/>
          <w:lang w:val="fr-CA"/>
        </w:rPr>
        <w:t>peuvent poursuivre devant tout tribunal ayant compétence dans le domaine pertinent. Rien dans la législation britanno</w:t>
      </w:r>
      <w:r w:rsidR="00770417" w:rsidRPr="00C328A2">
        <w:rPr>
          <w:szCs w:val="24"/>
          <w:lang w:val="fr-CA"/>
        </w:rPr>
        <w:noBreakHyphen/>
      </w:r>
      <w:r w:rsidRPr="00C328A2">
        <w:rPr>
          <w:szCs w:val="24"/>
          <w:lang w:val="fr-CA"/>
        </w:rPr>
        <w:t>colombienne n’empêche les autres gouvernements de participer à un recours collectif en Colombie</w:t>
      </w:r>
      <w:r w:rsidR="00770417" w:rsidRPr="00C328A2">
        <w:rPr>
          <w:szCs w:val="24"/>
          <w:lang w:val="fr-CA"/>
        </w:rPr>
        <w:noBreakHyphen/>
      </w:r>
      <w:r w:rsidRPr="00C328A2">
        <w:rPr>
          <w:szCs w:val="24"/>
          <w:lang w:val="fr-CA"/>
        </w:rPr>
        <w:t>Britannique en tant que membre d’un groupe de personnes. L’article</w:t>
      </w:r>
      <w:r w:rsidR="00770417" w:rsidRPr="00C328A2">
        <w:rPr>
          <w:szCs w:val="24"/>
          <w:lang w:val="fr-CA"/>
        </w:rPr>
        <w:t xml:space="preserve"> </w:t>
      </w:r>
      <w:r w:rsidRPr="00C328A2">
        <w:rPr>
          <w:szCs w:val="24"/>
          <w:lang w:val="fr-CA"/>
        </w:rPr>
        <w:t>11 de l’</w:t>
      </w:r>
      <w:r w:rsidRPr="00C328A2">
        <w:rPr>
          <w:i/>
          <w:szCs w:val="24"/>
          <w:lang w:val="fr-CA"/>
        </w:rPr>
        <w:t xml:space="preserve">ORA </w:t>
      </w:r>
      <w:r w:rsidRPr="00C328A2">
        <w:rPr>
          <w:lang w:val="fr-CA"/>
        </w:rPr>
        <w:t>permet à la Colombie</w:t>
      </w:r>
      <w:r w:rsidRPr="00C328A2">
        <w:rPr>
          <w:lang w:val="fr-CA"/>
        </w:rPr>
        <w:noBreakHyphen/>
        <w:t xml:space="preserve">Britannique d’intenter le recours collectif en cause dans la présente affaire en vertu de la </w:t>
      </w:r>
      <w:r w:rsidRPr="00C328A2">
        <w:rPr>
          <w:i/>
          <w:lang w:val="fr-CA"/>
        </w:rPr>
        <w:t>C</w:t>
      </w:r>
      <w:r w:rsidRPr="00C328A2">
        <w:rPr>
          <w:i/>
          <w:szCs w:val="24"/>
          <w:lang w:val="fr-CA"/>
        </w:rPr>
        <w:t>lass Proceedings Act</w:t>
      </w:r>
      <w:r w:rsidRPr="00C328A2">
        <w:rPr>
          <w:szCs w:val="24"/>
          <w:lang w:val="fr-CA"/>
        </w:rPr>
        <w:t xml:space="preserve">, </w:t>
      </w:r>
      <w:r w:rsidRPr="00C328A2">
        <w:rPr>
          <w:lang w:val="fr-CA"/>
        </w:rPr>
        <w:t>une loi purement procédurale</w:t>
      </w:r>
      <w:bookmarkStart w:id="1" w:name="_Hlk170884262"/>
      <w:r w:rsidRPr="00C328A2">
        <w:rPr>
          <w:szCs w:val="24"/>
          <w:lang w:val="fr-CA"/>
        </w:rPr>
        <w:t>. Le</w:t>
      </w:r>
      <w:r w:rsidRPr="00C328A2">
        <w:rPr>
          <w:lang w:val="fr-CA"/>
        </w:rPr>
        <w:t xml:space="preserve"> texte de l’art. 11 indique clairement que cet article a pour objet de prévoir un mécanisme procédural qui vise d’abord et avant tout à garantir l’efficacité continue du recours collectif intenté en Colombie-Britannique, ainsi que les avantages que lui procure l’</w:t>
      </w:r>
      <w:r w:rsidRPr="00C328A2">
        <w:rPr>
          <w:i/>
          <w:lang w:val="fr-CA"/>
        </w:rPr>
        <w:t>ORA</w:t>
      </w:r>
      <w:r w:rsidRPr="00C328A2">
        <w:rPr>
          <w:szCs w:val="24"/>
          <w:lang w:val="fr-CA"/>
        </w:rPr>
        <w:t>.</w:t>
      </w:r>
      <w:bookmarkEnd w:id="1"/>
      <w:r w:rsidRPr="00C328A2">
        <w:rPr>
          <w:szCs w:val="24"/>
          <w:lang w:val="fr-CA"/>
        </w:rPr>
        <w:t xml:space="preserve"> Il ressort en outre </w:t>
      </w:r>
      <w:r w:rsidRPr="00C328A2">
        <w:rPr>
          <w:lang w:val="fr-CA"/>
        </w:rPr>
        <w:t>clairement de tout le contexte de l’</w:t>
      </w:r>
      <w:r w:rsidRPr="00C328A2">
        <w:rPr>
          <w:i/>
          <w:lang w:val="fr-CA"/>
        </w:rPr>
        <w:t>ORA</w:t>
      </w:r>
      <w:r w:rsidRPr="00C328A2">
        <w:rPr>
          <w:szCs w:val="24"/>
          <w:lang w:val="fr-CA"/>
        </w:rPr>
        <w:t xml:space="preserve">, y compris ses autres dispositions qui </w:t>
      </w:r>
      <w:r w:rsidRPr="00C328A2">
        <w:rPr>
          <w:lang w:val="fr-CA"/>
        </w:rPr>
        <w:t xml:space="preserve">confèrent des avantages à l’instance et les éléments de preuve extrinsèques, </w:t>
      </w:r>
      <w:r w:rsidRPr="00C328A2">
        <w:rPr>
          <w:szCs w:val="24"/>
          <w:lang w:val="fr-CA"/>
        </w:rPr>
        <w:t xml:space="preserve">que </w:t>
      </w:r>
      <w:r w:rsidRPr="00C328A2">
        <w:rPr>
          <w:lang w:val="fr-CA"/>
        </w:rPr>
        <w:t>l’art. 11 de l’</w:t>
      </w:r>
      <w:r w:rsidRPr="00C328A2">
        <w:rPr>
          <w:i/>
          <w:lang w:val="fr-CA"/>
        </w:rPr>
        <w:t>ORA</w:t>
      </w:r>
      <w:r w:rsidRPr="00C328A2">
        <w:rPr>
          <w:lang w:val="fr-CA"/>
        </w:rPr>
        <w:t xml:space="preserve"> n’avait pas pour objet de conférer des droits substantiels à la Couronne</w:t>
      </w:r>
      <w:r w:rsidRPr="00C328A2">
        <w:rPr>
          <w:szCs w:val="24"/>
          <w:lang w:val="fr-CA"/>
        </w:rPr>
        <w:t>.</w:t>
      </w:r>
    </w:p>
    <w:p w14:paraId="0C661C14" w14:textId="3CA60A96" w:rsidR="00E914D6" w:rsidRPr="00C328A2" w:rsidRDefault="00E914D6" w:rsidP="00770417">
      <w:pPr>
        <w:pStyle w:val="SCCNormalDoubleSpacing"/>
        <w:spacing w:after="480"/>
        <w:rPr>
          <w:szCs w:val="24"/>
          <w:lang w:val="fr-CA"/>
        </w:rPr>
      </w:pPr>
      <w:r w:rsidRPr="00C328A2">
        <w:rPr>
          <w:szCs w:val="24"/>
          <w:lang w:val="fr-CA"/>
        </w:rPr>
        <w:lastRenderedPageBreak/>
        <w:tab/>
      </w:r>
      <w:r w:rsidRPr="00C328A2">
        <w:rPr>
          <w:lang w:val="fr-CA"/>
        </w:rPr>
        <w:t>Le justiciable qui choisit de participer à un recours collectif en tant que membre du groupé visé accepte nécessairement de renoncer à une partie des droits associés à l’autonomie dans la conduite d</w:t>
      </w:r>
      <w:r w:rsidR="004815F9" w:rsidRPr="00C328A2">
        <w:rPr>
          <w:lang w:val="fr-CA"/>
        </w:rPr>
        <w:t>u</w:t>
      </w:r>
      <w:r w:rsidRPr="00C328A2">
        <w:rPr>
          <w:lang w:val="fr-CA"/>
        </w:rPr>
        <w:t xml:space="preserve"> litige</w:t>
      </w:r>
      <w:r w:rsidRPr="00C328A2">
        <w:rPr>
          <w:szCs w:val="24"/>
          <w:lang w:val="fr-CA"/>
        </w:rPr>
        <w:t>. I</w:t>
      </w:r>
      <w:r w:rsidRPr="00C328A2">
        <w:rPr>
          <w:lang w:val="fr-CA"/>
        </w:rPr>
        <w:t>l ne s’ensuit pas pour autant que l’art. 11 de l’</w:t>
      </w:r>
      <w:r w:rsidRPr="00C328A2">
        <w:rPr>
          <w:i/>
          <w:lang w:val="fr-CA"/>
        </w:rPr>
        <w:t>ORA</w:t>
      </w:r>
      <w:r w:rsidRPr="00C328A2">
        <w:rPr>
          <w:lang w:val="fr-CA"/>
        </w:rPr>
        <w:t xml:space="preserve"> soit une disposition substantielle</w:t>
      </w:r>
      <w:r w:rsidRPr="00C328A2">
        <w:rPr>
          <w:szCs w:val="24"/>
          <w:lang w:val="fr-CA"/>
        </w:rPr>
        <w:t xml:space="preserve">. Le choix de la Couronne </w:t>
      </w:r>
      <w:r w:rsidRPr="00C328A2">
        <w:rPr>
          <w:lang w:val="fr-CA"/>
        </w:rPr>
        <w:t>d’ester en justice dans un autre ressort et de se soumettre aux règles de procédure de ce ressort ne viole aucun principe constitutionnel</w:t>
      </w:r>
      <w:r w:rsidRPr="00C328A2">
        <w:rPr>
          <w:szCs w:val="24"/>
          <w:lang w:val="fr-CA"/>
        </w:rPr>
        <w:t>. E</w:t>
      </w:r>
      <w:r w:rsidRPr="00C328A2">
        <w:rPr>
          <w:lang w:val="fr-CA"/>
        </w:rPr>
        <w:t>n tant que participant à un recours collectif, la Couronne sacrifie une part de son autonomie dans la conduite du litige, mais seulement si elle choisit de le faire en recourant au mécanisme d’adhésion volontaire (« </w:t>
      </w:r>
      <w:r w:rsidRPr="00C328A2">
        <w:rPr>
          <w:i/>
          <w:iCs/>
          <w:lang w:val="fr-CA"/>
        </w:rPr>
        <w:t>opt-in</w:t>
      </w:r>
      <w:r w:rsidRPr="00C328A2">
        <w:rPr>
          <w:lang w:val="fr-CA"/>
        </w:rPr>
        <w:t> ») ou d’exclusion (« </w:t>
      </w:r>
      <w:r w:rsidRPr="00C328A2">
        <w:rPr>
          <w:i/>
          <w:iCs/>
          <w:lang w:val="fr-CA"/>
        </w:rPr>
        <w:t>opt-out</w:t>
      </w:r>
      <w:r w:rsidRPr="00C328A2">
        <w:rPr>
          <w:lang w:val="fr-CA"/>
        </w:rPr>
        <w:t> »), un droit procédural reconnu comme une principale protection dont jouissent les membres du groupe dans le processus de recours collectif</w:t>
      </w:r>
      <w:r w:rsidRPr="00C328A2">
        <w:rPr>
          <w:szCs w:val="24"/>
          <w:lang w:val="fr-CA"/>
        </w:rPr>
        <w:t xml:space="preserve">. Le choix </w:t>
      </w:r>
      <w:r w:rsidRPr="00C328A2">
        <w:rPr>
          <w:lang w:val="fr-CA"/>
        </w:rPr>
        <w:t xml:space="preserve">de participer à l’instance, soit en décidant </w:t>
      </w:r>
      <w:r w:rsidR="00B56151" w:rsidRPr="00C328A2">
        <w:rPr>
          <w:lang w:val="fr-CA"/>
        </w:rPr>
        <w:t>d’adhérer au</w:t>
      </w:r>
      <w:r w:rsidRPr="00C328A2">
        <w:rPr>
          <w:lang w:val="fr-CA"/>
        </w:rPr>
        <w:t xml:space="preserve"> groupe, soit en s’abstenant de s’en exclure, constitue l’exercice de l’autonomie dans la conduite du litige, même si cela implique de sacrifier d’autres aspects de l’autonomie</w:t>
      </w:r>
      <w:r w:rsidRPr="00C328A2">
        <w:rPr>
          <w:szCs w:val="24"/>
          <w:lang w:val="fr-CA"/>
        </w:rPr>
        <w:t>. L</w:t>
      </w:r>
      <w:r w:rsidRPr="00C328A2">
        <w:rPr>
          <w:lang w:val="fr-CA"/>
        </w:rPr>
        <w:t xml:space="preserve">e membre du groupe continue de bénéficier de nombreux aspects de son autonomie dans la conduite du litige grâce aux garanties procédurales offertes aux demandeurs qui n’agissent pas comme représentants de l’ensemble des demandeurs et en vertu du pouvoir général de surveillance du tribunal. La décision de la Couronne d’accepter les conséquences de ses choix en ce qui concerne la conduite du litige ne porte pas atteinte à son autonomie, </w:t>
      </w:r>
      <w:r w:rsidRPr="00C328A2">
        <w:rPr>
          <w:szCs w:val="24"/>
          <w:lang w:val="fr-CA"/>
        </w:rPr>
        <w:t xml:space="preserve">et ces conséquences </w:t>
      </w:r>
      <w:r w:rsidRPr="00C328A2">
        <w:rPr>
          <w:lang w:val="fr-CA"/>
        </w:rPr>
        <w:t>ne transforment pas l’art. 11 de l’</w:t>
      </w:r>
      <w:r w:rsidRPr="00C328A2">
        <w:rPr>
          <w:i/>
          <w:lang w:val="fr-CA"/>
        </w:rPr>
        <w:t>ORA</w:t>
      </w:r>
      <w:r w:rsidRPr="00C328A2">
        <w:rPr>
          <w:lang w:val="fr-CA"/>
        </w:rPr>
        <w:t xml:space="preserve"> en une disposition portant sur des droits civils substantiels</w:t>
      </w:r>
      <w:r w:rsidRPr="00C328A2">
        <w:rPr>
          <w:szCs w:val="24"/>
          <w:lang w:val="fr-CA"/>
        </w:rPr>
        <w:t xml:space="preserve">. </w:t>
      </w:r>
      <w:r w:rsidRPr="00C328A2">
        <w:rPr>
          <w:lang w:val="fr-CA"/>
        </w:rPr>
        <w:t>Sur le plan juridique, l’art. 11 a pour effet d’encadrer la façon dont le recours collectif en cours devant les tribunaux de la Colombie</w:t>
      </w:r>
      <w:r w:rsidR="00770417" w:rsidRPr="00C328A2">
        <w:rPr>
          <w:lang w:val="fr-CA"/>
        </w:rPr>
        <w:noBreakHyphen/>
      </w:r>
      <w:r w:rsidRPr="00C328A2">
        <w:rPr>
          <w:lang w:val="fr-CA"/>
        </w:rPr>
        <w:t>Britannique se poursuivra sous une forme modifiée après l’entrée en vigueur de l’</w:t>
      </w:r>
      <w:r w:rsidRPr="00C328A2">
        <w:rPr>
          <w:i/>
          <w:lang w:val="fr-CA"/>
        </w:rPr>
        <w:t>ORA</w:t>
      </w:r>
      <w:r w:rsidRPr="00C328A2">
        <w:rPr>
          <w:lang w:val="fr-CA"/>
        </w:rPr>
        <w:t xml:space="preserve">. </w:t>
      </w:r>
      <w:r w:rsidRPr="00C328A2">
        <w:rPr>
          <w:szCs w:val="24"/>
          <w:lang w:val="fr-CA"/>
        </w:rPr>
        <w:t>L</w:t>
      </w:r>
      <w:r w:rsidRPr="00C328A2">
        <w:rPr>
          <w:lang w:val="fr-CA"/>
        </w:rPr>
        <w:t xml:space="preserve">es droits substantiels des autres gouvernements demeurent </w:t>
      </w:r>
      <w:r w:rsidRPr="00C328A2">
        <w:rPr>
          <w:lang w:val="fr-CA"/>
        </w:rPr>
        <w:lastRenderedPageBreak/>
        <w:t xml:space="preserve">inchangés. </w:t>
      </w:r>
      <w:r w:rsidRPr="00C328A2">
        <w:rPr>
          <w:szCs w:val="24"/>
          <w:lang w:val="fr-CA"/>
        </w:rPr>
        <w:t>L’article</w:t>
      </w:r>
      <w:r w:rsidR="00770417" w:rsidRPr="00C328A2">
        <w:rPr>
          <w:szCs w:val="24"/>
          <w:lang w:val="fr-CA"/>
        </w:rPr>
        <w:t xml:space="preserve"> </w:t>
      </w:r>
      <w:r w:rsidRPr="00C328A2">
        <w:rPr>
          <w:szCs w:val="24"/>
          <w:lang w:val="fr-CA"/>
        </w:rPr>
        <w:t xml:space="preserve">11 a pour effet pratique d’obliger </w:t>
      </w:r>
      <w:r w:rsidRPr="00C328A2">
        <w:rPr>
          <w:lang w:val="fr-CA"/>
        </w:rPr>
        <w:t>les autres gouvernements à décider s’ils acceptent les avantages et les contraintes procéduraux du recours collectif après avoir examiné les conséquences que ce choix peut avoir sur leurs droits.</w:t>
      </w:r>
      <w:bookmarkStart w:id="2" w:name="_Hlk178336717"/>
    </w:p>
    <w:p w14:paraId="444FE616" w14:textId="4438C885" w:rsidR="00E914D6" w:rsidRPr="00C328A2" w:rsidRDefault="00E914D6" w:rsidP="00513C15">
      <w:pPr>
        <w:pStyle w:val="SCCNormalDoubleSpacing"/>
        <w:spacing w:after="480"/>
        <w:rPr>
          <w:szCs w:val="24"/>
          <w:lang w:val="fr-CA"/>
        </w:rPr>
      </w:pPr>
      <w:r w:rsidRPr="00C328A2">
        <w:rPr>
          <w:szCs w:val="24"/>
          <w:lang w:val="fr-CA"/>
        </w:rPr>
        <w:tab/>
        <w:t>L’article 11 de l’</w:t>
      </w:r>
      <w:r w:rsidRPr="00C328A2">
        <w:rPr>
          <w:i/>
          <w:szCs w:val="24"/>
          <w:lang w:val="fr-CA"/>
        </w:rPr>
        <w:t>ORA</w:t>
      </w:r>
      <w:r w:rsidRPr="00C328A2">
        <w:rPr>
          <w:szCs w:val="24"/>
          <w:lang w:val="fr-CA"/>
        </w:rPr>
        <w:t xml:space="preserve"> </w:t>
      </w:r>
      <w:r w:rsidRPr="00C328A2">
        <w:rPr>
          <w:lang w:val="fr-CA"/>
        </w:rPr>
        <w:t>conserve un lien significatif avec la Colombie</w:t>
      </w:r>
      <w:r w:rsidRPr="00C328A2">
        <w:rPr>
          <w:lang w:val="fr-CA"/>
        </w:rPr>
        <w:noBreakHyphen/>
        <w:t>Britannique, tant de par la nature du recours collectif que par le choix des autres gouvernements de participer à l’instance</w:t>
      </w:r>
      <w:r w:rsidRPr="00C328A2">
        <w:rPr>
          <w:szCs w:val="24"/>
          <w:lang w:val="fr-CA"/>
        </w:rPr>
        <w:t xml:space="preserve">. Il </w:t>
      </w:r>
      <w:r w:rsidRPr="00C328A2">
        <w:rPr>
          <w:lang w:val="fr-CA"/>
        </w:rPr>
        <w:t xml:space="preserve">concerne une seule action qui est le dénominateur commun de défendeurs, de questions et de réclamations. </w:t>
      </w:r>
      <w:bookmarkEnd w:id="2"/>
      <w:r w:rsidRPr="00C328A2">
        <w:rPr>
          <w:lang w:val="fr-CA"/>
        </w:rPr>
        <w:t>Les lois et les tribunaux de la Colombie</w:t>
      </w:r>
      <w:r w:rsidRPr="00C328A2">
        <w:rPr>
          <w:lang w:val="fr-CA"/>
        </w:rPr>
        <w:noBreakHyphen/>
        <w:t>Britannique ne dépassent les limites de la province que si le tribunal est convaincu qu’il existe des questions communes au gouvernement de la Colombie</w:t>
      </w:r>
      <w:r w:rsidRPr="00C328A2">
        <w:rPr>
          <w:lang w:val="fr-CA"/>
        </w:rPr>
        <w:noBreakHyphen/>
        <w:t>Britannique et aux membres du groupe proposé, et considère que la Colombie</w:t>
      </w:r>
      <w:r w:rsidRPr="00C328A2">
        <w:rPr>
          <w:lang w:val="fr-CA"/>
        </w:rPr>
        <w:noBreakHyphen/>
        <w:t>Britannique est l’endroit indiqué pour régler ces questions communes</w:t>
      </w:r>
      <w:r w:rsidRPr="00C328A2">
        <w:rPr>
          <w:szCs w:val="24"/>
          <w:lang w:val="fr-CA"/>
        </w:rPr>
        <w:t xml:space="preserve">. Les questions communes établissent l’existence d’un lien réel et substantiel </w:t>
      </w:r>
      <w:r w:rsidRPr="00C328A2">
        <w:rPr>
          <w:lang w:val="fr-CA"/>
        </w:rPr>
        <w:t>conférant au tribunal une compétence juridictionnelle</w:t>
      </w:r>
      <w:r w:rsidRPr="00C328A2">
        <w:rPr>
          <w:szCs w:val="24"/>
          <w:lang w:val="fr-CA"/>
        </w:rPr>
        <w:t xml:space="preserve">. L’article 11 </w:t>
      </w:r>
      <w:r w:rsidRPr="00C328A2">
        <w:rPr>
          <w:lang w:val="fr-CA"/>
        </w:rPr>
        <w:t>n’a pas pour effet d’étendre ou de modifier la compétence du tribunal; il ne fait que fournir les règles procédurales que doit appliquer le tribunal une fois sa compétence établie. Il est légitime pour une province d’exercer son pouvoir afin de fixer les règles de procédure applicables aux instances qui sont de son ressort</w:t>
      </w:r>
      <w:r w:rsidRPr="00C328A2">
        <w:rPr>
          <w:szCs w:val="24"/>
          <w:lang w:val="fr-CA"/>
        </w:rPr>
        <w:t>.</w:t>
      </w:r>
    </w:p>
    <w:p w14:paraId="483AA405" w14:textId="2AADF958" w:rsidR="00E914D6" w:rsidRPr="00C328A2" w:rsidRDefault="00E914D6" w:rsidP="00513C15">
      <w:pPr>
        <w:pStyle w:val="SCCNormalDoubleSpacing"/>
        <w:spacing w:after="480"/>
        <w:rPr>
          <w:szCs w:val="24"/>
          <w:lang w:val="fr-CA"/>
        </w:rPr>
      </w:pPr>
      <w:r w:rsidRPr="00C328A2">
        <w:rPr>
          <w:szCs w:val="24"/>
          <w:lang w:val="fr-CA"/>
        </w:rPr>
        <w:tab/>
        <w:t>L’article</w:t>
      </w:r>
      <w:r w:rsidR="00513C15" w:rsidRPr="00C328A2">
        <w:rPr>
          <w:szCs w:val="24"/>
          <w:lang w:val="fr-CA"/>
        </w:rPr>
        <w:t xml:space="preserve"> </w:t>
      </w:r>
      <w:r w:rsidRPr="00C328A2">
        <w:rPr>
          <w:szCs w:val="24"/>
          <w:lang w:val="fr-CA"/>
        </w:rPr>
        <w:t>11 de l’</w:t>
      </w:r>
      <w:r w:rsidRPr="00C328A2">
        <w:rPr>
          <w:i/>
          <w:szCs w:val="24"/>
          <w:lang w:val="fr-CA"/>
        </w:rPr>
        <w:t>ORA</w:t>
      </w:r>
      <w:r w:rsidRPr="00C328A2">
        <w:rPr>
          <w:szCs w:val="24"/>
          <w:lang w:val="fr-CA"/>
        </w:rPr>
        <w:t xml:space="preserve"> </w:t>
      </w:r>
      <w:r w:rsidRPr="00C328A2">
        <w:rPr>
          <w:lang w:val="fr-CA"/>
        </w:rPr>
        <w:t>respecte la souveraineté législative des autres gouvernements canadiens</w:t>
      </w:r>
      <w:r w:rsidRPr="00C328A2">
        <w:rPr>
          <w:szCs w:val="24"/>
          <w:lang w:val="fr-CA"/>
        </w:rPr>
        <w:t>. L</w:t>
      </w:r>
      <w:r w:rsidRPr="00C328A2">
        <w:rPr>
          <w:lang w:val="fr-CA"/>
        </w:rPr>
        <w:t xml:space="preserve">orsqu’un gouvernement participe comme simple demandeur membre d’un groupe dans un recours collectif intenté dans une autre province, il se trouve alors assujetti aux règles de procédure de cette province en </w:t>
      </w:r>
      <w:r w:rsidRPr="00C328A2">
        <w:rPr>
          <w:lang w:val="fr-CA"/>
        </w:rPr>
        <w:lastRenderedPageBreak/>
        <w:t xml:space="preserve">matière de recours collectifs. </w:t>
      </w:r>
      <w:r w:rsidRPr="00C328A2">
        <w:rPr>
          <w:szCs w:val="24"/>
          <w:lang w:val="fr-CA"/>
        </w:rPr>
        <w:t>Toutefois, le</w:t>
      </w:r>
      <w:r w:rsidRPr="00C328A2">
        <w:rPr>
          <w:lang w:val="fr-CA"/>
        </w:rPr>
        <w:t xml:space="preserve"> droit d’action de chaque gouvernement a pris naissance sur son propre territoire et est donc soumis à ses propres règles substantielles. La coopération entre les divers gouvernements du Canada admet que des chevauchements législatifs sont inévitables à l’égard d’enjeux nationaux comme l’épidémie d’opioïdes, et que les gouvernements peuvent légiférer relativement à des objectifs légitimes dans les matières où il y a chevauchement</w:t>
      </w:r>
      <w:r w:rsidRPr="00C328A2">
        <w:rPr>
          <w:szCs w:val="24"/>
          <w:lang w:val="fr-CA"/>
        </w:rPr>
        <w:t xml:space="preserve">. Dans la présente affaire, </w:t>
      </w:r>
      <w:r w:rsidRPr="00C328A2">
        <w:rPr>
          <w:lang w:val="fr-CA"/>
        </w:rPr>
        <w:t>presque tous les gouvernements provinciaux et territoriaux du Canada</w:t>
      </w:r>
      <w:r w:rsidRPr="00C328A2">
        <w:rPr>
          <w:szCs w:val="24"/>
          <w:lang w:val="fr-CA"/>
        </w:rPr>
        <w:t xml:space="preserve"> ainsi que le gouvernement fédéral comptent participer au recours collectif. </w:t>
      </w:r>
      <w:r w:rsidRPr="00C328A2">
        <w:rPr>
          <w:lang w:val="fr-CA"/>
        </w:rPr>
        <w:t>Un tribunal devrait faire preuve d’une grande prudence avant de conclure que cette coopération est inconstitutionnelle</w:t>
      </w:r>
      <w:r w:rsidRPr="00C328A2">
        <w:rPr>
          <w:szCs w:val="24"/>
          <w:lang w:val="fr-CA"/>
        </w:rPr>
        <w:t xml:space="preserve">. </w:t>
      </w:r>
      <w:r w:rsidRPr="00C328A2">
        <w:rPr>
          <w:lang w:val="fr-CA"/>
        </w:rPr>
        <w:t>Dans la fédération canadienne, les tribunaux exigent la reconnaissance réciproque de leurs jugements lorsque leur compétence a été régulièrement exercée</w:t>
      </w:r>
      <w:r w:rsidRPr="00C328A2">
        <w:rPr>
          <w:szCs w:val="24"/>
          <w:lang w:val="fr-CA"/>
        </w:rPr>
        <w:t xml:space="preserve">. </w:t>
      </w:r>
      <w:r w:rsidRPr="00C328A2">
        <w:rPr>
          <w:lang w:val="fr-CA"/>
        </w:rPr>
        <w:t>Ces objectifs sont atteints lorsque les gouvernements coopèrent entre eux pour faire juger leurs revendications de façon efficace dans le cadre d’une seule et même action</w:t>
      </w:r>
      <w:r w:rsidRPr="00C328A2">
        <w:rPr>
          <w:szCs w:val="24"/>
          <w:lang w:val="fr-CA"/>
        </w:rPr>
        <w:t>. L’article</w:t>
      </w:r>
      <w:r w:rsidR="00513C15" w:rsidRPr="00C328A2">
        <w:rPr>
          <w:szCs w:val="24"/>
          <w:lang w:val="fr-CA"/>
        </w:rPr>
        <w:t xml:space="preserve"> </w:t>
      </w:r>
      <w:r w:rsidRPr="00C328A2">
        <w:rPr>
          <w:szCs w:val="24"/>
          <w:lang w:val="fr-CA"/>
        </w:rPr>
        <w:t xml:space="preserve">11 </w:t>
      </w:r>
      <w:r w:rsidRPr="00C328A2">
        <w:rPr>
          <w:lang w:val="fr-CA"/>
        </w:rPr>
        <w:t>illustre le rôle important que jouent les recours collectifs nationaux</w:t>
      </w:r>
      <w:r w:rsidRPr="00C328A2">
        <w:rPr>
          <w:szCs w:val="24"/>
          <w:lang w:val="fr-CA"/>
        </w:rPr>
        <w:t xml:space="preserve">, </w:t>
      </w:r>
      <w:r w:rsidRPr="00C328A2">
        <w:rPr>
          <w:lang w:val="fr-CA"/>
        </w:rPr>
        <w:t xml:space="preserve">en fournissant un mécanisme pour faciliter la concertation de nombreux gouvernements en vue d’atteindre le même objectif. Dans un monde moderne de plus en plus complexe, où l’État règlemente davantage des secteurs d’activité qui transcendent les limites territoriales, la coopération entre les gouvernements et les tribunaux d’un ressort à l’autre devient de plus en plus nécessaire. </w:t>
      </w:r>
      <w:r w:rsidRPr="00C328A2">
        <w:rPr>
          <w:szCs w:val="24"/>
          <w:lang w:val="fr-CA"/>
        </w:rPr>
        <w:t>L</w:t>
      </w:r>
      <w:r w:rsidRPr="00C328A2">
        <w:rPr>
          <w:lang w:val="fr-CA"/>
        </w:rPr>
        <w:t>es recours collectifs nationaux, et plus particulièrement les recours collectifs mettant en cause plusieurs gouvernements</w:t>
      </w:r>
      <w:r w:rsidRPr="00C328A2">
        <w:rPr>
          <w:szCs w:val="24"/>
          <w:lang w:val="fr-CA"/>
        </w:rPr>
        <w:t xml:space="preserve">, font en sorte </w:t>
      </w:r>
      <w:r w:rsidRPr="00C328A2">
        <w:rPr>
          <w:lang w:val="fr-CA"/>
        </w:rPr>
        <w:t>que les frontières provinciales ne fassent pas obstacle à la justice</w:t>
      </w:r>
      <w:r w:rsidRPr="00C328A2">
        <w:rPr>
          <w:szCs w:val="24"/>
          <w:lang w:val="fr-CA"/>
        </w:rPr>
        <w:t xml:space="preserve">. </w:t>
      </w:r>
      <w:r w:rsidRPr="00C328A2">
        <w:rPr>
          <w:lang w:val="fr-CA"/>
        </w:rPr>
        <w:t>L’épidémie d’opioïdes est un exemple frappant d’une crise qui devrait appeler la coopération et la courtoisie</w:t>
      </w:r>
      <w:r w:rsidRPr="00C328A2">
        <w:rPr>
          <w:szCs w:val="24"/>
          <w:lang w:val="fr-CA"/>
        </w:rPr>
        <w:t>.</w:t>
      </w:r>
    </w:p>
    <w:p w14:paraId="0CB33F58" w14:textId="1DFB879F" w:rsidR="00E914D6" w:rsidRPr="00C328A2" w:rsidRDefault="00513C15" w:rsidP="00513C15">
      <w:pPr>
        <w:pStyle w:val="SCCNormalDoubleSpacing"/>
        <w:spacing w:after="480"/>
        <w:rPr>
          <w:szCs w:val="24"/>
          <w:lang w:val="fr-CA"/>
        </w:rPr>
      </w:pPr>
      <w:r w:rsidRPr="00C328A2">
        <w:rPr>
          <w:i/>
          <w:szCs w:val="24"/>
          <w:lang w:val="fr-CA"/>
        </w:rPr>
        <w:lastRenderedPageBreak/>
        <w:tab/>
      </w:r>
      <w:r w:rsidR="00E914D6" w:rsidRPr="00C328A2">
        <w:rPr>
          <w:i/>
          <w:szCs w:val="24"/>
          <w:lang w:val="fr-CA"/>
        </w:rPr>
        <w:t>L</w:t>
      </w:r>
      <w:r w:rsidR="004815F9" w:rsidRPr="00C328A2">
        <w:rPr>
          <w:i/>
          <w:szCs w:val="24"/>
          <w:lang w:val="fr-CA"/>
        </w:rPr>
        <w:t>a</w:t>
      </w:r>
      <w:r w:rsidR="00E914D6" w:rsidRPr="00C328A2">
        <w:rPr>
          <w:szCs w:val="24"/>
          <w:lang w:val="fr-CA"/>
        </w:rPr>
        <w:t xml:space="preserve"> juge </w:t>
      </w:r>
      <w:r w:rsidR="00E914D6" w:rsidRPr="00C328A2">
        <w:rPr>
          <w:b/>
          <w:szCs w:val="24"/>
          <w:lang w:val="fr-CA"/>
        </w:rPr>
        <w:t xml:space="preserve">Côté </w:t>
      </w:r>
      <w:r w:rsidR="00E914D6" w:rsidRPr="00C328A2">
        <w:rPr>
          <w:szCs w:val="24"/>
          <w:lang w:val="fr-CA"/>
        </w:rPr>
        <w:t>(dissident</w:t>
      </w:r>
      <w:r w:rsidR="004815F9" w:rsidRPr="00C328A2">
        <w:rPr>
          <w:szCs w:val="24"/>
          <w:lang w:val="fr-CA"/>
        </w:rPr>
        <w:t>e</w:t>
      </w:r>
      <w:r w:rsidR="00E914D6" w:rsidRPr="00C328A2">
        <w:rPr>
          <w:szCs w:val="24"/>
          <w:lang w:val="fr-CA"/>
        </w:rPr>
        <w:t xml:space="preserve">) : Il y a lieu d’accueillir le pourvoi. </w:t>
      </w:r>
      <w:r w:rsidR="00E914D6" w:rsidRPr="00C328A2">
        <w:rPr>
          <w:lang w:val="fr-CA"/>
        </w:rPr>
        <w:t>L’alinéa 11(1)(b) et le par. 11(2) de l’</w:t>
      </w:r>
      <w:r w:rsidR="00E914D6" w:rsidRPr="00C328A2">
        <w:rPr>
          <w:i/>
          <w:lang w:val="fr-CA"/>
        </w:rPr>
        <w:t>ORA</w:t>
      </w:r>
      <w:r w:rsidR="00E914D6" w:rsidRPr="00C328A2">
        <w:rPr>
          <w:lang w:val="fr-CA"/>
        </w:rPr>
        <w:t xml:space="preserve"> sont </w:t>
      </w:r>
      <w:r w:rsidR="00E914D6" w:rsidRPr="00C328A2">
        <w:rPr>
          <w:i/>
          <w:lang w:val="fr-CA"/>
        </w:rPr>
        <w:t>ultra vires</w:t>
      </w:r>
      <w:r w:rsidR="00E914D6" w:rsidRPr="00C328A2">
        <w:rPr>
          <w:lang w:val="fr-CA"/>
        </w:rPr>
        <w:t xml:space="preserve"> de la législature de la Colombie</w:t>
      </w:r>
      <w:r w:rsidR="00E914D6" w:rsidRPr="00C328A2">
        <w:rPr>
          <w:lang w:val="fr-CA"/>
        </w:rPr>
        <w:noBreakHyphen/>
        <w:t xml:space="preserve">Britannique, et ils devraient être </w:t>
      </w:r>
      <w:r w:rsidR="0081073D" w:rsidRPr="00C328A2">
        <w:rPr>
          <w:lang w:val="fr-CA"/>
        </w:rPr>
        <w:t>dissociés</w:t>
      </w:r>
      <w:r w:rsidR="00E914D6" w:rsidRPr="00C328A2">
        <w:rPr>
          <w:lang w:val="fr-CA"/>
        </w:rPr>
        <w:t xml:space="preserve"> de la Loi. </w:t>
      </w:r>
      <w:bookmarkStart w:id="3" w:name="_Hlk176250090"/>
      <w:r w:rsidR="00E914D6" w:rsidRPr="00C328A2">
        <w:rPr>
          <w:szCs w:val="24"/>
          <w:lang w:val="fr-CA"/>
        </w:rPr>
        <w:t xml:space="preserve">La </w:t>
      </w:r>
      <w:r w:rsidR="00E914D6" w:rsidRPr="00C328A2">
        <w:rPr>
          <w:lang w:val="fr-CA"/>
        </w:rPr>
        <w:t>législature de la Colombie</w:t>
      </w:r>
      <w:r w:rsidRPr="00C328A2">
        <w:rPr>
          <w:lang w:val="fr-CA"/>
        </w:rPr>
        <w:noBreakHyphen/>
      </w:r>
      <w:r w:rsidR="00E914D6" w:rsidRPr="00C328A2">
        <w:rPr>
          <w:lang w:val="fr-CA"/>
        </w:rPr>
        <w:t>Britannique ne peut autoriser la province à intenter un recours collectif pour recouvrer le coût des soins de santé engagés par une autre province selon un mécanisme d’exclusion («</w:t>
      </w:r>
      <w:r w:rsidRPr="00C328A2">
        <w:rPr>
          <w:lang w:val="fr-CA"/>
        </w:rPr>
        <w:t> </w:t>
      </w:r>
      <w:r w:rsidR="00E914D6" w:rsidRPr="00C328A2">
        <w:rPr>
          <w:i/>
          <w:lang w:val="fr-CA"/>
        </w:rPr>
        <w:t>opt</w:t>
      </w:r>
      <w:r w:rsidR="00E914D6" w:rsidRPr="00C328A2">
        <w:rPr>
          <w:i/>
          <w:lang w:val="fr-CA"/>
        </w:rPr>
        <w:noBreakHyphen/>
        <w:t>out</w:t>
      </w:r>
      <w:r w:rsidR="00E914D6" w:rsidRPr="00C328A2">
        <w:rPr>
          <w:lang w:val="fr-CA"/>
        </w:rPr>
        <w:t xml:space="preserve"> »), obligeant ainsi cette dernière à entreprendre des démarches pour éviter de participer contre son gré au recours collectif. </w:t>
      </w:r>
      <w:bookmarkStart w:id="4" w:name="_Hlk176365354"/>
      <w:bookmarkEnd w:id="3"/>
      <w:r w:rsidR="00E914D6" w:rsidRPr="00C328A2">
        <w:rPr>
          <w:szCs w:val="24"/>
          <w:lang w:val="fr-CA"/>
        </w:rPr>
        <w:t xml:space="preserve">Lier d’autres </w:t>
      </w:r>
      <w:r w:rsidR="00E914D6" w:rsidRPr="00C328A2">
        <w:rPr>
          <w:lang w:val="fr-CA"/>
        </w:rPr>
        <w:t>gouvernements à titre de partie au recours collectif, à moins qu’ils prennent les mesures concrètes pour s’en exclure conformément à l’ordonnance d’autorisation, signifie que les tribunaux provinciaux de la Colombie</w:t>
      </w:r>
      <w:r w:rsidR="00E914D6" w:rsidRPr="00C328A2">
        <w:rPr>
          <w:lang w:val="fr-CA"/>
        </w:rPr>
        <w:noBreakHyphen/>
        <w:t xml:space="preserve">Britannique vont dicter la manière dont d’autres provinces et le gouvernement fédéral s’y prennent pour préserver leurs propres droits. </w:t>
      </w:r>
      <w:r w:rsidR="00E914D6" w:rsidRPr="00C328A2">
        <w:rPr>
          <w:szCs w:val="24"/>
          <w:lang w:val="fr-CA"/>
        </w:rPr>
        <w:t>L</w:t>
      </w:r>
      <w:r w:rsidR="00E914D6" w:rsidRPr="00C328A2">
        <w:rPr>
          <w:lang w:val="fr-CA"/>
        </w:rPr>
        <w:t>a législature d’une province n’a pas le pouvoir de légiférer de manière à s’ingérer dans les droits et les prérogatives des gouvernements provinciaux et du gouvernement fédéral</w:t>
      </w:r>
      <w:r w:rsidR="00E914D6" w:rsidRPr="00C328A2">
        <w:rPr>
          <w:szCs w:val="24"/>
          <w:lang w:val="fr-CA"/>
        </w:rPr>
        <w:t xml:space="preserve">. </w:t>
      </w:r>
      <w:bookmarkEnd w:id="4"/>
      <w:r w:rsidR="00E914D6" w:rsidRPr="00C328A2">
        <w:rPr>
          <w:szCs w:val="24"/>
          <w:lang w:val="fr-CA"/>
        </w:rPr>
        <w:t>L</w:t>
      </w:r>
      <w:r w:rsidR="00E914D6" w:rsidRPr="00C328A2">
        <w:rPr>
          <w:lang w:val="fr-CA"/>
        </w:rPr>
        <w:t xml:space="preserve">e caractère véritable de l’art. 11 est de légiférer à l’égard de la propriété et des droits civils à l’extérieur de la province, et ce, en violation des limites territoriales imposées par l’art. 92 de la </w:t>
      </w:r>
      <w:r w:rsidR="00E914D6" w:rsidRPr="00C328A2">
        <w:rPr>
          <w:i/>
          <w:iCs/>
          <w:lang w:val="fr-CA"/>
        </w:rPr>
        <w:t>Loi constitutionnelle de 1867</w:t>
      </w:r>
      <w:r w:rsidR="00E914D6" w:rsidRPr="00C328A2">
        <w:rPr>
          <w:szCs w:val="24"/>
          <w:lang w:val="fr-CA"/>
        </w:rPr>
        <w:t>. L</w:t>
      </w:r>
      <w:r w:rsidR="00E914D6" w:rsidRPr="00C328A2">
        <w:rPr>
          <w:lang w:val="fr-CA"/>
        </w:rPr>
        <w:t>a législature de la Colombie</w:t>
      </w:r>
      <w:r w:rsidR="00E914D6" w:rsidRPr="00C328A2">
        <w:rPr>
          <w:lang w:val="fr-CA"/>
        </w:rPr>
        <w:noBreakHyphen/>
        <w:t xml:space="preserve">Britannique cherche à regrouper les droits civils situés dans d’autres provinces en un seul recours collectif. Or, ses pouvoirs se limitent à la propriété et aux droits civils « dans la province ». </w:t>
      </w:r>
      <w:bookmarkStart w:id="5" w:name="_Hlk176342100"/>
      <w:r w:rsidR="00E914D6" w:rsidRPr="00C328A2">
        <w:rPr>
          <w:lang w:val="fr-CA"/>
        </w:rPr>
        <w:t>Les effets de l’art. 11 ne sont pas simplement accessoires</w:t>
      </w:r>
      <w:r w:rsidR="00E914D6" w:rsidRPr="00C328A2">
        <w:rPr>
          <w:szCs w:val="24"/>
          <w:lang w:val="fr-CA"/>
        </w:rPr>
        <w:t xml:space="preserve">. </w:t>
      </w:r>
      <w:bookmarkEnd w:id="5"/>
      <w:r w:rsidR="00E914D6" w:rsidRPr="00C328A2">
        <w:rPr>
          <w:szCs w:val="24"/>
          <w:lang w:val="fr-CA"/>
        </w:rPr>
        <w:t>Adopter la position par défaut de contraindre l</w:t>
      </w:r>
      <w:r w:rsidR="00E914D6" w:rsidRPr="00C328A2">
        <w:rPr>
          <w:lang w:val="fr-CA"/>
        </w:rPr>
        <w:t>es autres gouvernements à participer au recours collectif porte atteinte à leur autonomie dans la conduite des litiges</w:t>
      </w:r>
      <w:r w:rsidR="00E914D6" w:rsidRPr="00C328A2">
        <w:rPr>
          <w:szCs w:val="24"/>
          <w:lang w:val="fr-CA"/>
        </w:rPr>
        <w:t xml:space="preserve">. La possibilité pour </w:t>
      </w:r>
      <w:r w:rsidR="00E914D6" w:rsidRPr="00C328A2">
        <w:rPr>
          <w:lang w:val="fr-CA"/>
        </w:rPr>
        <w:t>ces autres gouvernements de s’exclure du recours collectif ne saurait pour autant valider ces effets juridiques inconstitutionnels</w:t>
      </w:r>
      <w:r w:rsidR="00E914D6" w:rsidRPr="00C328A2">
        <w:rPr>
          <w:szCs w:val="24"/>
          <w:lang w:val="fr-CA"/>
        </w:rPr>
        <w:t>. L</w:t>
      </w:r>
      <w:r w:rsidR="00E914D6" w:rsidRPr="00C328A2">
        <w:rPr>
          <w:lang w:val="fr-CA"/>
        </w:rPr>
        <w:t xml:space="preserve">e caractère </w:t>
      </w:r>
      <w:r w:rsidR="00E914D6" w:rsidRPr="00C328A2">
        <w:rPr>
          <w:lang w:val="fr-CA"/>
        </w:rPr>
        <w:lastRenderedPageBreak/>
        <w:t>véritable de l’art. 11 de l’</w:t>
      </w:r>
      <w:r w:rsidR="00E914D6" w:rsidRPr="00C328A2">
        <w:rPr>
          <w:i/>
          <w:lang w:val="fr-CA"/>
        </w:rPr>
        <w:t xml:space="preserve">ORA </w:t>
      </w:r>
      <w:r w:rsidR="00E914D6" w:rsidRPr="00C328A2">
        <w:rPr>
          <w:lang w:val="fr-CA"/>
        </w:rPr>
        <w:t>ne respecte pas les limites territoriales de la compétence accordée à la législature de la Colombie</w:t>
      </w:r>
      <w:r w:rsidR="00E914D6" w:rsidRPr="00C328A2">
        <w:rPr>
          <w:lang w:val="fr-CA"/>
        </w:rPr>
        <w:noBreakHyphen/>
        <w:t>Britannique</w:t>
      </w:r>
      <w:r w:rsidR="00E914D6" w:rsidRPr="00C328A2">
        <w:rPr>
          <w:szCs w:val="24"/>
          <w:lang w:val="fr-CA"/>
        </w:rPr>
        <w:t xml:space="preserve">. Bien </w:t>
      </w:r>
      <w:r w:rsidR="00E914D6" w:rsidRPr="00C328A2">
        <w:rPr>
          <w:lang w:val="fr-CA"/>
        </w:rPr>
        <w:t>que la coopération horizontale entre les gouvernements provinciaux et fédéral sur des enjeux communs soit un objectif louable, quelle que soit la méthode employée pour parvenir à une telle coopération, elle doit se conformer à la structure du fédéralisme canadien</w:t>
      </w:r>
      <w:r w:rsidR="00E914D6" w:rsidRPr="00C328A2">
        <w:rPr>
          <w:szCs w:val="24"/>
          <w:lang w:val="fr-CA"/>
        </w:rPr>
        <w:t>. Ce n’est pas le cas de l’art. 11 de l’</w:t>
      </w:r>
      <w:r w:rsidR="00E914D6" w:rsidRPr="00C328A2">
        <w:rPr>
          <w:i/>
          <w:szCs w:val="24"/>
          <w:lang w:val="fr-CA"/>
        </w:rPr>
        <w:t>ORA</w:t>
      </w:r>
      <w:r w:rsidR="00E914D6" w:rsidRPr="00C328A2">
        <w:rPr>
          <w:szCs w:val="24"/>
          <w:lang w:val="fr-CA"/>
        </w:rPr>
        <w:t>.</w:t>
      </w:r>
    </w:p>
    <w:p w14:paraId="187A0BFB" w14:textId="21797DFA" w:rsidR="00E914D6" w:rsidRPr="00C328A2" w:rsidRDefault="00513C15" w:rsidP="00513C15">
      <w:pPr>
        <w:pStyle w:val="SCCNormalDoubleSpacing"/>
        <w:spacing w:after="480"/>
        <w:rPr>
          <w:szCs w:val="24"/>
          <w:lang w:val="fr-CA"/>
        </w:rPr>
      </w:pPr>
      <w:r w:rsidRPr="00C328A2">
        <w:rPr>
          <w:szCs w:val="24"/>
          <w:lang w:val="fr-CA"/>
        </w:rPr>
        <w:tab/>
      </w:r>
      <w:r w:rsidR="00E914D6" w:rsidRPr="00C328A2">
        <w:rPr>
          <w:szCs w:val="24"/>
          <w:lang w:val="fr-CA"/>
        </w:rPr>
        <w:t>L</w:t>
      </w:r>
      <w:r w:rsidR="00E914D6" w:rsidRPr="00C328A2">
        <w:rPr>
          <w:lang w:val="fr-CA"/>
        </w:rPr>
        <w:t xml:space="preserve">orsque la validité d’une loi provinciale est contestée au motif qu’elle viole les limites territoriales imposées à une législature provinciale, l’évaluation de sa validité doit se faire conformément au cadre d’analyse établi dans l’arrêt </w:t>
      </w:r>
      <w:r w:rsidR="00E914D6" w:rsidRPr="00C328A2">
        <w:rPr>
          <w:i/>
          <w:lang w:val="fr-CA"/>
        </w:rPr>
        <w:t>Imperial</w:t>
      </w:r>
      <w:r w:rsidRPr="00C328A2">
        <w:rPr>
          <w:i/>
          <w:lang w:val="fr-CA"/>
        </w:rPr>
        <w:t xml:space="preserve"> </w:t>
      </w:r>
      <w:r w:rsidR="00E914D6" w:rsidRPr="00C328A2">
        <w:rPr>
          <w:i/>
          <w:lang w:val="fr-CA"/>
        </w:rPr>
        <w:t>Tobacco</w:t>
      </w:r>
      <w:r w:rsidR="00E914D6" w:rsidRPr="00C328A2">
        <w:rPr>
          <w:lang w:val="fr-CA"/>
        </w:rPr>
        <w:t xml:space="preserve">. </w:t>
      </w:r>
      <w:r w:rsidR="00E914D6" w:rsidRPr="00C328A2">
        <w:rPr>
          <w:szCs w:val="24"/>
          <w:lang w:val="fr-CA"/>
        </w:rPr>
        <w:t>La première étape consiste à déterminer le caractère véritable de la loi contestée, ce qui implique d’en préciser l’essence ou la caractéristique dominante, compte tenu de son objet et de son effet. L’article</w:t>
      </w:r>
      <w:r w:rsidRPr="00C328A2">
        <w:rPr>
          <w:szCs w:val="24"/>
          <w:lang w:val="fr-CA"/>
        </w:rPr>
        <w:t xml:space="preserve"> </w:t>
      </w:r>
      <w:r w:rsidR="00E914D6" w:rsidRPr="00C328A2">
        <w:rPr>
          <w:szCs w:val="24"/>
          <w:lang w:val="fr-CA"/>
        </w:rPr>
        <w:t>11 de l’</w:t>
      </w:r>
      <w:r w:rsidR="00E914D6" w:rsidRPr="00C328A2">
        <w:rPr>
          <w:i/>
          <w:szCs w:val="24"/>
          <w:lang w:val="fr-CA"/>
        </w:rPr>
        <w:t>ORA</w:t>
      </w:r>
      <w:r w:rsidR="00E914D6" w:rsidRPr="00C328A2">
        <w:rPr>
          <w:szCs w:val="24"/>
          <w:lang w:val="fr-CA"/>
        </w:rPr>
        <w:t xml:space="preserve"> met en jeu les droits substantiels d’autres gouvernement</w:t>
      </w:r>
      <w:r w:rsidR="00BE2CC6">
        <w:rPr>
          <w:szCs w:val="24"/>
          <w:lang w:val="fr-CA"/>
        </w:rPr>
        <w:t>s</w:t>
      </w:r>
      <w:r w:rsidR="00E914D6" w:rsidRPr="00C328A2">
        <w:rPr>
          <w:szCs w:val="24"/>
          <w:lang w:val="fr-CA"/>
        </w:rPr>
        <w:t xml:space="preserve"> et </w:t>
      </w:r>
      <w:r w:rsidR="00E914D6" w:rsidRPr="00C328A2">
        <w:rPr>
          <w:lang w:val="fr-CA"/>
        </w:rPr>
        <w:t>a</w:t>
      </w:r>
      <w:r w:rsidR="00E914D6" w:rsidRPr="00C328A2">
        <w:rPr>
          <w:i/>
          <w:iCs/>
          <w:lang w:val="fr-CA"/>
        </w:rPr>
        <w:t xml:space="preserve"> </w:t>
      </w:r>
      <w:r w:rsidR="00E914D6" w:rsidRPr="00C328A2">
        <w:rPr>
          <w:iCs/>
          <w:lang w:val="fr-CA"/>
        </w:rPr>
        <w:t xml:space="preserve">ultimement des effets sur ces </w:t>
      </w:r>
      <w:r w:rsidR="00E914D6" w:rsidRPr="00C328A2">
        <w:rPr>
          <w:lang w:val="fr-CA"/>
        </w:rPr>
        <w:t xml:space="preserve">droits qui l’emportent largement sur les </w:t>
      </w:r>
      <w:r w:rsidR="00E914D6" w:rsidRPr="00C328A2">
        <w:rPr>
          <w:iCs/>
          <w:lang w:val="fr-CA"/>
        </w:rPr>
        <w:t>avantages</w:t>
      </w:r>
      <w:r w:rsidR="00E914D6" w:rsidRPr="00C328A2">
        <w:rPr>
          <w:lang w:val="fr-CA"/>
        </w:rPr>
        <w:t xml:space="preserve"> procéduraux que confèrent les lois sur les recours collectifs</w:t>
      </w:r>
      <w:r w:rsidR="00E914D6" w:rsidRPr="00C328A2">
        <w:rPr>
          <w:szCs w:val="24"/>
          <w:lang w:val="fr-CA"/>
        </w:rPr>
        <w:t xml:space="preserve">. </w:t>
      </w:r>
      <w:bookmarkStart w:id="6" w:name="_Hlk176462150"/>
      <w:r w:rsidR="00E914D6" w:rsidRPr="00C328A2">
        <w:rPr>
          <w:szCs w:val="24"/>
          <w:lang w:val="fr-CA"/>
        </w:rPr>
        <w:t xml:space="preserve">Il </w:t>
      </w:r>
      <w:r w:rsidR="00E914D6" w:rsidRPr="00C328A2">
        <w:rPr>
          <w:lang w:val="fr-CA"/>
        </w:rPr>
        <w:t>a d’importantes répercussions sur l’autonomie des autres gouvernements dans la conduite des litiges</w:t>
      </w:r>
      <w:r w:rsidR="00E914D6" w:rsidRPr="00C328A2">
        <w:rPr>
          <w:szCs w:val="24"/>
          <w:lang w:val="fr-CA"/>
        </w:rPr>
        <w:t xml:space="preserve">. Son </w:t>
      </w:r>
      <w:r w:rsidR="00E914D6" w:rsidRPr="00C328A2">
        <w:rPr>
          <w:lang w:val="fr-CA"/>
        </w:rPr>
        <w:t>caractère véritable consiste à légiférer en matière de propriété et de droits civils à l’extérieur de la province</w:t>
      </w:r>
      <w:r w:rsidR="00E914D6" w:rsidRPr="00C328A2">
        <w:rPr>
          <w:szCs w:val="24"/>
          <w:lang w:val="fr-CA"/>
        </w:rPr>
        <w:t xml:space="preserve">. Il permet </w:t>
      </w:r>
      <w:r w:rsidR="00E914D6" w:rsidRPr="00C328A2">
        <w:rPr>
          <w:lang w:val="fr-CA"/>
        </w:rPr>
        <w:t>à la Colombie</w:t>
      </w:r>
      <w:r w:rsidR="00E914D6" w:rsidRPr="00C328A2">
        <w:rPr>
          <w:lang w:val="fr-CA"/>
        </w:rPr>
        <w:noBreakHyphen/>
        <w:t>Britannique de demander à être autorisée à exercer un recours collectif au nom d’un groupe de gouvernements qui revendiquent le droit de recouvrer les coûts des soins de santé liés aux opioïdes, en l’assortissant d’un mécanisme d’exclusion, de sorte que, par défaut, les gouvernements provinciaux et le gouvernement fédéral sont inclus dans le recours collectif</w:t>
      </w:r>
      <w:r w:rsidR="00E914D6" w:rsidRPr="00C328A2">
        <w:rPr>
          <w:szCs w:val="24"/>
          <w:lang w:val="fr-CA"/>
        </w:rPr>
        <w:t xml:space="preserve">. Cela </w:t>
      </w:r>
      <w:r w:rsidR="00E914D6" w:rsidRPr="00C328A2">
        <w:rPr>
          <w:lang w:val="fr-CA"/>
        </w:rPr>
        <w:t xml:space="preserve">crée un nouveau droit substantiel, parce que les </w:t>
      </w:r>
      <w:bookmarkStart w:id="7" w:name="_Hlk176463298"/>
      <w:bookmarkEnd w:id="6"/>
      <w:r w:rsidR="00E914D6" w:rsidRPr="00C328A2">
        <w:rPr>
          <w:szCs w:val="24"/>
          <w:lang w:val="fr-CA"/>
        </w:rPr>
        <w:lastRenderedPageBreak/>
        <w:t xml:space="preserve">gouvernements ne sont pas </w:t>
      </w:r>
      <w:r w:rsidR="00E914D6" w:rsidRPr="00C328A2">
        <w:rPr>
          <w:lang w:val="fr-CA"/>
        </w:rPr>
        <w:t xml:space="preserve">des personnes ou des membres d’un groupe de personnes pour l’application </w:t>
      </w:r>
      <w:r w:rsidR="00E914D6" w:rsidRPr="00C328A2">
        <w:rPr>
          <w:szCs w:val="24"/>
          <w:lang w:val="fr-CA"/>
        </w:rPr>
        <w:t xml:space="preserve">de la </w:t>
      </w:r>
      <w:r w:rsidR="00E914D6" w:rsidRPr="00C328A2">
        <w:rPr>
          <w:i/>
          <w:szCs w:val="24"/>
          <w:lang w:val="fr-CA"/>
        </w:rPr>
        <w:t>Class Proceedings Act</w:t>
      </w:r>
      <w:r w:rsidR="00E914D6" w:rsidRPr="00C328A2">
        <w:rPr>
          <w:szCs w:val="24"/>
          <w:lang w:val="fr-CA"/>
        </w:rPr>
        <w:t>. L’article</w:t>
      </w:r>
      <w:r w:rsidR="00157B64" w:rsidRPr="00C328A2">
        <w:rPr>
          <w:szCs w:val="24"/>
          <w:lang w:val="fr-CA"/>
        </w:rPr>
        <w:t xml:space="preserve"> </w:t>
      </w:r>
      <w:r w:rsidR="00E914D6" w:rsidRPr="00C328A2">
        <w:rPr>
          <w:szCs w:val="24"/>
          <w:lang w:val="fr-CA"/>
        </w:rPr>
        <w:t xml:space="preserve">11 </w:t>
      </w:r>
      <w:r w:rsidR="00E914D6" w:rsidRPr="00C328A2">
        <w:rPr>
          <w:lang w:val="fr-CA"/>
        </w:rPr>
        <w:t>octroie à la province la capacité de poser une action qu’elle ne pouvait pas poser auparavant</w:t>
      </w:r>
      <w:bookmarkStart w:id="8" w:name="_Hlk176463665"/>
      <w:bookmarkEnd w:id="7"/>
      <w:r w:rsidR="00E914D6" w:rsidRPr="00C328A2">
        <w:rPr>
          <w:szCs w:val="24"/>
          <w:lang w:val="fr-CA"/>
        </w:rPr>
        <w:t>. Ses e</w:t>
      </w:r>
      <w:r w:rsidR="00E914D6" w:rsidRPr="00C328A2">
        <w:rPr>
          <w:lang w:val="fr-CA"/>
        </w:rPr>
        <w:t>ffets ne se limitent pas à l’application de l’</w:t>
      </w:r>
      <w:r w:rsidR="00E914D6" w:rsidRPr="00C328A2">
        <w:rPr>
          <w:i/>
          <w:lang w:val="fr-CA"/>
        </w:rPr>
        <w:t>ORA</w:t>
      </w:r>
      <w:r w:rsidR="00E914D6" w:rsidRPr="00C328A2">
        <w:rPr>
          <w:lang w:val="fr-CA"/>
        </w:rPr>
        <w:t xml:space="preserve"> au recours collectif déjà entrepris</w:t>
      </w:r>
      <w:r w:rsidR="00E914D6" w:rsidRPr="00C328A2">
        <w:rPr>
          <w:szCs w:val="24"/>
          <w:lang w:val="fr-CA"/>
        </w:rPr>
        <w:t>.</w:t>
      </w:r>
      <w:bookmarkEnd w:id="8"/>
    </w:p>
    <w:p w14:paraId="7B41B7EF" w14:textId="3BD4CF40" w:rsidR="00E914D6" w:rsidRPr="00C328A2" w:rsidRDefault="00513C15" w:rsidP="00513C15">
      <w:pPr>
        <w:pStyle w:val="SCCNormalDoubleSpacing"/>
        <w:spacing w:after="480"/>
        <w:rPr>
          <w:szCs w:val="24"/>
          <w:lang w:val="fr-CA"/>
        </w:rPr>
      </w:pPr>
      <w:r w:rsidRPr="00C328A2">
        <w:rPr>
          <w:szCs w:val="24"/>
          <w:lang w:val="fr-CA"/>
        </w:rPr>
        <w:tab/>
      </w:r>
      <w:r w:rsidR="00E914D6" w:rsidRPr="00C328A2">
        <w:rPr>
          <w:szCs w:val="24"/>
          <w:lang w:val="fr-CA"/>
        </w:rPr>
        <w:t>Bien que l’art. 11 de l’</w:t>
      </w:r>
      <w:r w:rsidR="00E914D6" w:rsidRPr="00C328A2">
        <w:rPr>
          <w:i/>
          <w:szCs w:val="24"/>
          <w:lang w:val="fr-CA"/>
        </w:rPr>
        <w:t>ORA</w:t>
      </w:r>
      <w:r w:rsidR="00E914D6" w:rsidRPr="00C328A2">
        <w:rPr>
          <w:szCs w:val="24"/>
          <w:lang w:val="fr-CA"/>
        </w:rPr>
        <w:t xml:space="preserve"> soit </w:t>
      </w:r>
      <w:r w:rsidR="00E914D6" w:rsidRPr="00C328A2">
        <w:rPr>
          <w:lang w:val="fr-CA"/>
        </w:rPr>
        <w:t>une disposition procédurale à certains égards</w:t>
      </w:r>
      <w:r w:rsidR="00E914D6" w:rsidRPr="00C328A2">
        <w:rPr>
          <w:szCs w:val="24"/>
          <w:lang w:val="fr-CA"/>
        </w:rPr>
        <w:t>, l</w:t>
      </w:r>
      <w:r w:rsidR="00E914D6" w:rsidRPr="00C328A2">
        <w:rPr>
          <w:lang w:val="fr-CA"/>
        </w:rPr>
        <w:t xml:space="preserve">e fait que l’al. 11(1)(b) se trouve parmi des alinéas à caractère procédural ne signifie pas qu’il produit seulement des effets procéduraux. </w:t>
      </w:r>
      <w:r w:rsidR="00E914D6" w:rsidRPr="00C328A2">
        <w:rPr>
          <w:szCs w:val="24"/>
          <w:lang w:val="fr-CA"/>
        </w:rPr>
        <w:t>L</w:t>
      </w:r>
      <w:r w:rsidR="00E914D6" w:rsidRPr="00C328A2">
        <w:rPr>
          <w:lang w:val="fr-CA"/>
        </w:rPr>
        <w:t xml:space="preserve">’objet principal de l’art. 11 se dégage de l’al. 11(1)(b) et du par. 11(2). Le régime avec mécanisme d’exclusion prévu au par. 11(2) est essentiel au caractère véritable de l’art. 11 dans son ensemble. </w:t>
      </w:r>
      <w:r w:rsidR="00E914D6" w:rsidRPr="00C328A2">
        <w:rPr>
          <w:szCs w:val="24"/>
          <w:lang w:val="fr-CA"/>
        </w:rPr>
        <w:t>L</w:t>
      </w:r>
      <w:r w:rsidR="00E914D6" w:rsidRPr="00C328A2">
        <w:rPr>
          <w:lang w:val="fr-CA"/>
        </w:rPr>
        <w:t>’article</w:t>
      </w:r>
      <w:r w:rsidRPr="00C328A2">
        <w:rPr>
          <w:lang w:val="fr-CA"/>
        </w:rPr>
        <w:t xml:space="preserve"> </w:t>
      </w:r>
      <w:r w:rsidR="00E914D6" w:rsidRPr="00C328A2">
        <w:rPr>
          <w:lang w:val="fr-CA"/>
        </w:rPr>
        <w:t>11 ne peut être interprété comme prévoyant un régime d’adhésion volontaire (« </w:t>
      </w:r>
      <w:r w:rsidR="00E914D6" w:rsidRPr="00C328A2">
        <w:rPr>
          <w:i/>
          <w:lang w:val="fr-CA"/>
        </w:rPr>
        <w:t>opt-in</w:t>
      </w:r>
      <w:r w:rsidR="00E914D6" w:rsidRPr="00C328A2">
        <w:rPr>
          <w:lang w:val="fr-CA"/>
        </w:rPr>
        <w:t> »)</w:t>
      </w:r>
      <w:r w:rsidR="00E914D6" w:rsidRPr="00C328A2">
        <w:rPr>
          <w:szCs w:val="24"/>
          <w:lang w:val="fr-CA"/>
        </w:rPr>
        <w:t>; r</w:t>
      </w:r>
      <w:r w:rsidR="00E914D6" w:rsidRPr="00C328A2">
        <w:rPr>
          <w:lang w:val="fr-CA"/>
        </w:rPr>
        <w:t>ien n’indique que d’autres gouvernements ont le choix d’adhérer volontairement au recours collectif</w:t>
      </w:r>
      <w:r w:rsidR="00E914D6" w:rsidRPr="00C328A2">
        <w:rPr>
          <w:szCs w:val="24"/>
          <w:lang w:val="fr-CA"/>
        </w:rPr>
        <w:t>. La Colombie</w:t>
      </w:r>
      <w:r w:rsidRPr="00C328A2">
        <w:rPr>
          <w:szCs w:val="24"/>
          <w:lang w:val="fr-CA"/>
        </w:rPr>
        <w:noBreakHyphen/>
      </w:r>
      <w:r w:rsidR="00E914D6" w:rsidRPr="00C328A2">
        <w:rPr>
          <w:szCs w:val="24"/>
          <w:lang w:val="fr-CA"/>
        </w:rPr>
        <w:t xml:space="preserve">Britannique </w:t>
      </w:r>
      <w:r w:rsidR="00E914D6" w:rsidRPr="00C328A2">
        <w:rPr>
          <w:lang w:val="fr-CA"/>
        </w:rPr>
        <w:t xml:space="preserve">peut introduire une instance sans consulter les autres gouvernements. En mettant en œuvre un régime avec mécanisme d’exclusion, la législature cherche à préserver des droits substantiels </w:t>
      </w:r>
      <w:r w:rsidR="0081073D" w:rsidRPr="00C328A2">
        <w:rPr>
          <w:lang w:val="fr-CA"/>
        </w:rPr>
        <w:t>qu’</w:t>
      </w:r>
      <w:r w:rsidR="00E914D6" w:rsidRPr="00C328A2">
        <w:rPr>
          <w:lang w:val="fr-CA"/>
        </w:rPr>
        <w:t xml:space="preserve">elle s’est appropriés </w:t>
      </w:r>
      <w:r w:rsidR="00E914D6" w:rsidRPr="00C328A2">
        <w:rPr>
          <w:szCs w:val="24"/>
          <w:lang w:val="fr-CA"/>
        </w:rPr>
        <w:t xml:space="preserve">sans </w:t>
      </w:r>
      <w:r w:rsidR="00E914D6" w:rsidRPr="00C328A2">
        <w:rPr>
          <w:lang w:val="fr-CA"/>
        </w:rPr>
        <w:t>le consentement des autres gouvernements</w:t>
      </w:r>
      <w:r w:rsidR="00E914D6" w:rsidRPr="00C328A2">
        <w:rPr>
          <w:szCs w:val="24"/>
          <w:lang w:val="fr-CA"/>
        </w:rPr>
        <w:t xml:space="preserve">. En outre, les autres gouvernements </w:t>
      </w:r>
      <w:r w:rsidR="00E914D6" w:rsidRPr="00C328A2">
        <w:rPr>
          <w:lang w:val="fr-CA"/>
        </w:rPr>
        <w:t xml:space="preserve">ne peuvent intervenir de façon significative sur une foule d’aspects importants de l’instance, notamment en ce qui concerne le choix de l’avocat, la stratégie à adopter durant l’instance, les éléments de preuve à présenter, la négociation et le règlement du litige. </w:t>
      </w:r>
      <w:r w:rsidR="00E914D6" w:rsidRPr="00C328A2">
        <w:rPr>
          <w:szCs w:val="24"/>
          <w:lang w:val="fr-CA"/>
        </w:rPr>
        <w:t xml:space="preserve">Ils </w:t>
      </w:r>
      <w:r w:rsidR="00E914D6" w:rsidRPr="00C328A2">
        <w:rPr>
          <w:lang w:val="fr-CA"/>
        </w:rPr>
        <w:t>perdent leur droit d’intenter parallèlement leurs propres recours sur leur propre territoire</w:t>
      </w:r>
      <w:r w:rsidR="00E914D6" w:rsidRPr="00C328A2">
        <w:rPr>
          <w:szCs w:val="24"/>
          <w:lang w:val="fr-CA"/>
        </w:rPr>
        <w:t xml:space="preserve">. </w:t>
      </w:r>
      <w:bookmarkStart w:id="9" w:name="_Hlk176365305"/>
      <w:r w:rsidR="00E914D6" w:rsidRPr="00C328A2">
        <w:rPr>
          <w:lang w:val="fr-CA"/>
        </w:rPr>
        <w:t>Les lois de la Colombie</w:t>
      </w:r>
      <w:r w:rsidR="00E914D6" w:rsidRPr="00C328A2">
        <w:rPr>
          <w:lang w:val="fr-CA"/>
        </w:rPr>
        <w:noBreakHyphen/>
        <w:t xml:space="preserve">Britannique obligent nécessairement les autres gouvernements à faire un choix : s’exclure du recours collectif ou perdre leur autonomie en ce qui concerne la conduite du litige. </w:t>
      </w:r>
      <w:bookmarkStart w:id="10" w:name="_Hlk176365116"/>
      <w:bookmarkEnd w:id="9"/>
      <w:r w:rsidR="00E914D6" w:rsidRPr="00C328A2">
        <w:rPr>
          <w:szCs w:val="24"/>
          <w:lang w:val="fr-CA"/>
        </w:rPr>
        <w:t xml:space="preserve">Pour </w:t>
      </w:r>
      <w:r w:rsidR="00E914D6" w:rsidRPr="00C328A2">
        <w:rPr>
          <w:szCs w:val="24"/>
          <w:lang w:val="fr-CA"/>
        </w:rPr>
        <w:lastRenderedPageBreak/>
        <w:t xml:space="preserve">s’exclure du recours collectif, les autres gouvernements doivent prendre des mesures concrètes </w:t>
      </w:r>
      <w:r w:rsidR="00E914D6" w:rsidRPr="00C328A2">
        <w:rPr>
          <w:lang w:val="fr-CA"/>
        </w:rPr>
        <w:t>conformément à l’ordonnance d’autorisation, ce qui veut dire que les tribunaux provinciaux de la Colombie</w:t>
      </w:r>
      <w:r w:rsidR="00E914D6" w:rsidRPr="00C328A2">
        <w:rPr>
          <w:lang w:val="fr-CA"/>
        </w:rPr>
        <w:noBreakHyphen/>
        <w:t xml:space="preserve">Britannique vont dicter la manière dont ils peuvent s’y prendre pour préserver leurs propres droits. </w:t>
      </w:r>
      <w:bookmarkEnd w:id="10"/>
      <w:r w:rsidR="00E914D6" w:rsidRPr="00C328A2">
        <w:rPr>
          <w:szCs w:val="24"/>
          <w:lang w:val="fr-CA"/>
        </w:rPr>
        <w:t xml:space="preserve">De plus, l’art. 11 </w:t>
      </w:r>
      <w:r w:rsidR="00E914D6" w:rsidRPr="00C328A2">
        <w:rPr>
          <w:lang w:val="fr-CA"/>
        </w:rPr>
        <w:t xml:space="preserve">s’applique </w:t>
      </w:r>
      <w:r w:rsidR="00E914D6" w:rsidRPr="00C328A2">
        <w:rPr>
          <w:iCs/>
          <w:lang w:val="fr-CA"/>
        </w:rPr>
        <w:t>principalement</w:t>
      </w:r>
      <w:r w:rsidR="00E914D6" w:rsidRPr="00C328A2">
        <w:rPr>
          <w:i/>
          <w:lang w:val="fr-CA"/>
        </w:rPr>
        <w:t xml:space="preserve"> </w:t>
      </w:r>
      <w:r w:rsidR="00E914D6" w:rsidRPr="00C328A2">
        <w:rPr>
          <w:lang w:val="fr-CA"/>
        </w:rPr>
        <w:t>— et non accessoirement — à des parties se trouvant à l’extérieur de la Colombie</w:t>
      </w:r>
      <w:r w:rsidRPr="00C328A2">
        <w:rPr>
          <w:lang w:val="fr-CA"/>
        </w:rPr>
        <w:noBreakHyphen/>
      </w:r>
      <w:r w:rsidR="00E914D6" w:rsidRPr="00C328A2">
        <w:rPr>
          <w:lang w:val="fr-CA"/>
        </w:rPr>
        <w:t xml:space="preserve">Britannique. </w:t>
      </w:r>
      <w:bookmarkStart w:id="11" w:name="_Hlk176441104"/>
      <w:r w:rsidR="00E914D6" w:rsidRPr="00C328A2">
        <w:rPr>
          <w:szCs w:val="24"/>
          <w:lang w:val="fr-CA"/>
        </w:rPr>
        <w:t xml:space="preserve">La Couronne n’est toutefois pas une partie ordinaire. </w:t>
      </w:r>
      <w:r w:rsidR="00E914D6" w:rsidRPr="00C328A2">
        <w:rPr>
          <w:lang w:val="fr-CA"/>
        </w:rPr>
        <w:t xml:space="preserve">Toutes les provinces et le Parlement font appel à un procureur général qui exerce tant des fonctions exécutives que des fonctions judiciaires </w:t>
      </w:r>
      <w:r w:rsidR="00E914D6" w:rsidRPr="00C328A2">
        <w:rPr>
          <w:color w:val="000000"/>
          <w:lang w:val="fr-CA"/>
        </w:rPr>
        <w:t xml:space="preserve">en sa qualité de premier conseiller juridique. </w:t>
      </w:r>
      <w:bookmarkEnd w:id="11"/>
      <w:r w:rsidR="00E914D6" w:rsidRPr="00C328A2">
        <w:rPr>
          <w:lang w:val="fr-CA"/>
        </w:rPr>
        <w:t>Les effets de l’art. 11 sur les importantes fonctions des procureurs généraux des autres gouvernements ne sauraient être purement accessoires</w:t>
      </w:r>
      <w:r w:rsidR="00E914D6" w:rsidRPr="00C328A2">
        <w:rPr>
          <w:szCs w:val="24"/>
          <w:lang w:val="fr-CA"/>
        </w:rPr>
        <w:t>.</w:t>
      </w:r>
    </w:p>
    <w:p w14:paraId="0DD42242" w14:textId="2E8F4979" w:rsidR="00E914D6" w:rsidRPr="00C328A2" w:rsidRDefault="00513C15" w:rsidP="00513C15">
      <w:pPr>
        <w:pStyle w:val="SCCNormalDoubleSpacing"/>
        <w:spacing w:after="480"/>
        <w:rPr>
          <w:szCs w:val="24"/>
          <w:lang w:val="fr-CA"/>
        </w:rPr>
      </w:pPr>
      <w:r w:rsidRPr="00C328A2">
        <w:rPr>
          <w:szCs w:val="24"/>
          <w:lang w:val="fr-CA"/>
        </w:rPr>
        <w:tab/>
      </w:r>
      <w:r w:rsidR="00E914D6" w:rsidRPr="00C328A2">
        <w:rPr>
          <w:szCs w:val="24"/>
          <w:lang w:val="fr-CA"/>
        </w:rPr>
        <w:t xml:space="preserve">La possibilité pour des gouvernements de </w:t>
      </w:r>
      <w:r w:rsidR="00E914D6" w:rsidRPr="00C328A2">
        <w:rPr>
          <w:lang w:val="fr-CA"/>
        </w:rPr>
        <w:t xml:space="preserve">s’exclure du recours collectif ne change rien au fait que la loi constitue, à première vue, un empiètement sur la propriété et les droits civils dans d’autres provinces. </w:t>
      </w:r>
      <w:bookmarkStart w:id="12" w:name="_Hlk176500593"/>
      <w:r w:rsidR="00E914D6" w:rsidRPr="00C328A2">
        <w:rPr>
          <w:lang w:val="fr-CA"/>
        </w:rPr>
        <w:t xml:space="preserve">On ne peut donc qualifier de purement procédural un régime avec mécanisme d’exclusion étant donné les conséquences réelles et substantielles de la loi sur l’autonomie des membres du groupe en ce qui concerne la conduite du litige. </w:t>
      </w:r>
      <w:bookmarkEnd w:id="12"/>
      <w:r w:rsidR="00E914D6" w:rsidRPr="00C328A2">
        <w:rPr>
          <w:szCs w:val="24"/>
          <w:lang w:val="fr-CA"/>
        </w:rPr>
        <w:t xml:space="preserve">Puisque le caractère véritable </w:t>
      </w:r>
      <w:r w:rsidR="00E914D6" w:rsidRPr="00C328A2">
        <w:rPr>
          <w:lang w:val="fr-CA"/>
        </w:rPr>
        <w:t xml:space="preserve">de l’al. 11(1)(b) et le contexte d’exclusion dans lequel il opère consistent à légiférer sur les droits substantiels d’autres gouvernements, cet alinéa relève de « la propriété et [d]es droits civils » en vertu du par. 92(13) de la </w:t>
      </w:r>
      <w:r w:rsidR="00E914D6" w:rsidRPr="00C328A2">
        <w:rPr>
          <w:i/>
          <w:lang w:val="fr-CA"/>
        </w:rPr>
        <w:t>Loi</w:t>
      </w:r>
      <w:r w:rsidRPr="00C328A2">
        <w:rPr>
          <w:i/>
          <w:lang w:val="fr-CA"/>
        </w:rPr>
        <w:t xml:space="preserve"> </w:t>
      </w:r>
      <w:r w:rsidR="00E914D6" w:rsidRPr="00C328A2">
        <w:rPr>
          <w:i/>
          <w:lang w:val="fr-CA"/>
        </w:rPr>
        <w:t>constitutionnelle de 1867</w:t>
      </w:r>
      <w:r w:rsidR="00E914D6" w:rsidRPr="00C328A2">
        <w:rPr>
          <w:szCs w:val="24"/>
          <w:lang w:val="fr-CA"/>
        </w:rPr>
        <w:t>.</w:t>
      </w:r>
      <w:bookmarkStart w:id="13" w:name="_Hlk178669506"/>
    </w:p>
    <w:p w14:paraId="22D8E727" w14:textId="15306D55" w:rsidR="00E914D6" w:rsidRPr="00C328A2" w:rsidRDefault="00513C15" w:rsidP="00513C15">
      <w:pPr>
        <w:pStyle w:val="SCCNormalDoubleSpacing"/>
        <w:spacing w:after="480"/>
        <w:rPr>
          <w:szCs w:val="24"/>
          <w:lang w:val="fr-CA"/>
        </w:rPr>
      </w:pPr>
      <w:r w:rsidRPr="00C328A2">
        <w:rPr>
          <w:szCs w:val="24"/>
          <w:lang w:val="fr-CA"/>
        </w:rPr>
        <w:tab/>
      </w:r>
      <w:r w:rsidR="00E914D6" w:rsidRPr="00C328A2">
        <w:rPr>
          <w:szCs w:val="24"/>
          <w:lang w:val="fr-CA"/>
        </w:rPr>
        <w:t xml:space="preserve">Les questions communes susceptibles d’asseoir </w:t>
      </w:r>
      <w:r w:rsidR="00E914D6" w:rsidRPr="00C328A2">
        <w:rPr>
          <w:lang w:val="fr-CA"/>
        </w:rPr>
        <w:t xml:space="preserve">la compétence de la cour supérieure d’une province sur les recours collectifs impliquant différents </w:t>
      </w:r>
      <w:r w:rsidR="00E914D6" w:rsidRPr="00C328A2">
        <w:rPr>
          <w:lang w:val="fr-CA"/>
        </w:rPr>
        <w:lastRenderedPageBreak/>
        <w:t>gouvernements canadiens n’ont rien à voir avec la constitutionnalité de l’art. 11 de l’</w:t>
      </w:r>
      <w:r w:rsidR="00E914D6" w:rsidRPr="00C328A2">
        <w:rPr>
          <w:i/>
          <w:lang w:val="fr-CA"/>
        </w:rPr>
        <w:t>ORA</w:t>
      </w:r>
      <w:r w:rsidR="00E914D6" w:rsidRPr="00C328A2">
        <w:rPr>
          <w:szCs w:val="24"/>
          <w:lang w:val="fr-CA"/>
        </w:rPr>
        <w:t xml:space="preserve">. Un lien significatif ne peut être établi </w:t>
      </w:r>
      <w:r w:rsidR="00E914D6" w:rsidRPr="00C328A2">
        <w:rPr>
          <w:lang w:val="fr-CA"/>
        </w:rPr>
        <w:t xml:space="preserve">entre la province ayant légiféré, l’objet du texte de loi en cause et les personnes qui y sont assujetties </w:t>
      </w:r>
      <w:r w:rsidR="00E914D6" w:rsidRPr="00C328A2">
        <w:rPr>
          <w:szCs w:val="24"/>
          <w:lang w:val="fr-CA"/>
        </w:rPr>
        <w:t xml:space="preserve">sur la base du test </w:t>
      </w:r>
      <w:r w:rsidR="00E914D6" w:rsidRPr="00C328A2">
        <w:rPr>
          <w:lang w:val="fr-CA"/>
        </w:rPr>
        <w:t>du lien réel et substantiel qui est appliqué pour déterminer si un tribunal a compétence sur une question donnée</w:t>
      </w:r>
      <w:r w:rsidR="00E914D6" w:rsidRPr="00C328A2">
        <w:rPr>
          <w:szCs w:val="24"/>
          <w:lang w:val="fr-CA"/>
        </w:rPr>
        <w:t>. L</w:t>
      </w:r>
      <w:r w:rsidR="00E914D6" w:rsidRPr="00C328A2">
        <w:rPr>
          <w:lang w:val="fr-CA"/>
        </w:rPr>
        <w:t>a nature du recours collectif ainsi que le choix des autres gouvernements de participer à l’instance ne fournissent pas non plus un lien significatif</w:t>
      </w:r>
      <w:r w:rsidR="00E914D6" w:rsidRPr="00C328A2">
        <w:rPr>
          <w:szCs w:val="24"/>
          <w:lang w:val="fr-CA"/>
        </w:rPr>
        <w:t xml:space="preserve">; le consentement </w:t>
      </w:r>
      <w:r w:rsidR="00E914D6" w:rsidRPr="00C328A2">
        <w:rPr>
          <w:lang w:val="fr-CA"/>
        </w:rPr>
        <w:t>ne joue aucun rôle lorsqu’il s’agit de décider s’il y a un lien significatif</w:t>
      </w:r>
      <w:r w:rsidR="00E914D6" w:rsidRPr="00C328A2">
        <w:rPr>
          <w:szCs w:val="24"/>
          <w:lang w:val="fr-CA"/>
        </w:rPr>
        <w:t xml:space="preserve">. </w:t>
      </w:r>
      <w:bookmarkEnd w:id="13"/>
      <w:r w:rsidR="00E914D6" w:rsidRPr="00C328A2">
        <w:rPr>
          <w:szCs w:val="24"/>
          <w:lang w:val="fr-CA"/>
        </w:rPr>
        <w:t>L</w:t>
      </w:r>
      <w:r w:rsidR="00E914D6" w:rsidRPr="00C328A2">
        <w:rPr>
          <w:lang w:val="fr-CA"/>
        </w:rPr>
        <w:t>a détermination de l’existence d’un lien significatif doit se faire en tenant compte du caractère véritable de la disposition législative contestée</w:t>
      </w:r>
      <w:r w:rsidR="00E914D6" w:rsidRPr="00C328A2">
        <w:rPr>
          <w:szCs w:val="24"/>
          <w:lang w:val="fr-CA"/>
        </w:rPr>
        <w:t>. L’article</w:t>
      </w:r>
      <w:r w:rsidR="00157B64" w:rsidRPr="00C328A2">
        <w:rPr>
          <w:szCs w:val="24"/>
          <w:lang w:val="fr-CA"/>
        </w:rPr>
        <w:t xml:space="preserve"> </w:t>
      </w:r>
      <w:r w:rsidR="00E914D6" w:rsidRPr="00C328A2">
        <w:rPr>
          <w:szCs w:val="24"/>
          <w:lang w:val="fr-CA"/>
        </w:rPr>
        <w:t>11 de l’</w:t>
      </w:r>
      <w:r w:rsidR="00E914D6" w:rsidRPr="00C328A2">
        <w:rPr>
          <w:i/>
          <w:szCs w:val="24"/>
          <w:lang w:val="fr-CA"/>
        </w:rPr>
        <w:t>ORA</w:t>
      </w:r>
      <w:r w:rsidR="00E914D6" w:rsidRPr="00C328A2">
        <w:rPr>
          <w:szCs w:val="24"/>
          <w:lang w:val="fr-CA"/>
        </w:rPr>
        <w:t xml:space="preserve"> </w:t>
      </w:r>
      <w:r w:rsidR="00E914D6" w:rsidRPr="00C328A2">
        <w:rPr>
          <w:lang w:val="fr-CA"/>
        </w:rPr>
        <w:t>permet à la Colombie</w:t>
      </w:r>
      <w:r w:rsidRPr="00C328A2">
        <w:rPr>
          <w:lang w:val="fr-CA"/>
        </w:rPr>
        <w:noBreakHyphen/>
      </w:r>
      <w:r w:rsidR="00E914D6" w:rsidRPr="00C328A2">
        <w:rPr>
          <w:lang w:val="fr-CA"/>
        </w:rPr>
        <w:t>Britannique d’introduire un recours collectif au nom des tous les autres gouvernements du Canada</w:t>
      </w:r>
      <w:r w:rsidR="00E914D6" w:rsidRPr="00C328A2">
        <w:rPr>
          <w:szCs w:val="24"/>
          <w:lang w:val="fr-CA"/>
        </w:rPr>
        <w:t xml:space="preserve">. </w:t>
      </w:r>
      <w:r w:rsidR="00E914D6" w:rsidRPr="00C328A2">
        <w:rPr>
          <w:lang w:val="fr-CA"/>
        </w:rPr>
        <w:t>Le fait que l’objet de la loi concerne, en raison de son caractère véritable, les droits substantiels d’autres gouvernements signifie nécessairement qu’il n’a aucun lien significatif avec la Colombie</w:t>
      </w:r>
      <w:r w:rsidR="00157B64" w:rsidRPr="00C328A2">
        <w:rPr>
          <w:lang w:val="fr-CA"/>
        </w:rPr>
        <w:noBreakHyphen/>
      </w:r>
      <w:r w:rsidR="00E914D6" w:rsidRPr="00C328A2">
        <w:rPr>
          <w:lang w:val="fr-CA"/>
        </w:rPr>
        <w:t xml:space="preserve">Britannique. </w:t>
      </w:r>
      <w:r w:rsidR="00E914D6" w:rsidRPr="00C328A2">
        <w:rPr>
          <w:szCs w:val="24"/>
          <w:lang w:val="fr-CA"/>
        </w:rPr>
        <w:t xml:space="preserve">De plus, l’art. 11 </w:t>
      </w:r>
      <w:r w:rsidR="00E914D6" w:rsidRPr="00C328A2">
        <w:rPr>
          <w:lang w:val="fr-CA"/>
        </w:rPr>
        <w:t>a un objectif plus large que celui visant seulement à accorder un droit d’action contre les défenderesses pour des fautes commises dans la province; il concerne principalement les autres gouvernements en tant que demandeurs et l’exercice de leurs droits substantiels dans le cadre de l’action civile</w:t>
      </w:r>
      <w:r w:rsidR="00E914D6" w:rsidRPr="00C328A2">
        <w:rPr>
          <w:szCs w:val="24"/>
          <w:lang w:val="fr-CA"/>
        </w:rPr>
        <w:t xml:space="preserve">. Même si l’on part du principe </w:t>
      </w:r>
      <w:r w:rsidR="00E914D6" w:rsidRPr="00C328A2">
        <w:rPr>
          <w:lang w:val="fr-CA"/>
        </w:rPr>
        <w:t xml:space="preserve">que l’art. 11 est de nature procédurale et qu’il relève potentiellement du par. 92(14) de la </w:t>
      </w:r>
      <w:r w:rsidR="00E914D6" w:rsidRPr="00C328A2">
        <w:rPr>
          <w:i/>
          <w:lang w:val="fr-CA"/>
        </w:rPr>
        <w:t>Loi constitutionnelle de 1867</w:t>
      </w:r>
      <w:r w:rsidR="00E914D6" w:rsidRPr="00C328A2">
        <w:rPr>
          <w:lang w:val="fr-CA"/>
        </w:rPr>
        <w:t>, cette logique s’appliquerait. Pour ces motifs, on ne saurait affirmer que la Colombie</w:t>
      </w:r>
      <w:r w:rsidR="00E914D6" w:rsidRPr="00C328A2">
        <w:rPr>
          <w:lang w:val="fr-CA"/>
        </w:rPr>
        <w:noBreakHyphen/>
        <w:t>Britannique a un lien significatif avec l’objet de l’art. 11 et les personnes qui y sont assujetties</w:t>
      </w:r>
      <w:r w:rsidR="00E914D6" w:rsidRPr="00C328A2">
        <w:rPr>
          <w:szCs w:val="24"/>
          <w:lang w:val="fr-CA"/>
        </w:rPr>
        <w:t xml:space="preserve">. </w:t>
      </w:r>
      <w:r w:rsidR="00E914D6" w:rsidRPr="00C328A2">
        <w:rPr>
          <w:lang w:val="fr-CA"/>
        </w:rPr>
        <w:t xml:space="preserve">Par conséquent, l’art. 11 ne respecte pas les limites territoriales prescrites par l’art. 92 de la </w:t>
      </w:r>
      <w:r w:rsidR="00E914D6" w:rsidRPr="00C328A2">
        <w:rPr>
          <w:i/>
          <w:lang w:val="fr-CA"/>
        </w:rPr>
        <w:t>Loi constitutionnelle de 1867</w:t>
      </w:r>
      <w:r w:rsidR="00E914D6" w:rsidRPr="00C328A2">
        <w:rPr>
          <w:szCs w:val="24"/>
          <w:lang w:val="fr-CA"/>
        </w:rPr>
        <w:t>.</w:t>
      </w:r>
    </w:p>
    <w:p w14:paraId="0ACF38EF" w14:textId="6244B945" w:rsidR="00E914D6" w:rsidRPr="00C328A2" w:rsidRDefault="00513C15" w:rsidP="00513C15">
      <w:pPr>
        <w:pStyle w:val="SCCNormalDoubleSpacing"/>
        <w:spacing w:after="480"/>
        <w:rPr>
          <w:szCs w:val="24"/>
          <w:lang w:val="fr-CA"/>
        </w:rPr>
      </w:pPr>
      <w:r w:rsidRPr="00C328A2">
        <w:rPr>
          <w:lang w:val="fr-CA"/>
        </w:rPr>
        <w:lastRenderedPageBreak/>
        <w:tab/>
      </w:r>
      <w:r w:rsidR="00E914D6" w:rsidRPr="00C328A2">
        <w:rPr>
          <w:lang w:val="fr-CA"/>
        </w:rPr>
        <w:t>Ayant conclu qu’il n’y a aucun lien significatif entre la province qui a adopté la loi, l’objet de la loi et les personnes qui y sont assujetties, il n’est pas nécessaire, pour trancher le présent pourvoi, de décider si l’art. 11 de l’</w:t>
      </w:r>
      <w:r w:rsidR="00E914D6" w:rsidRPr="00C328A2">
        <w:rPr>
          <w:i/>
          <w:lang w:val="fr-CA"/>
        </w:rPr>
        <w:t>ORA</w:t>
      </w:r>
      <w:r w:rsidR="00E914D6" w:rsidRPr="00C328A2">
        <w:rPr>
          <w:lang w:val="fr-CA"/>
        </w:rPr>
        <w:t xml:space="preserve"> respecte la souveraineté législative des autres gouvernements provinciaux et du gouvernement fédéral. </w:t>
      </w:r>
      <w:r w:rsidR="00E914D6" w:rsidRPr="00C328A2">
        <w:rPr>
          <w:szCs w:val="24"/>
          <w:lang w:val="fr-CA"/>
        </w:rPr>
        <w:t>L</w:t>
      </w:r>
      <w:r w:rsidR="00E914D6" w:rsidRPr="00C328A2">
        <w:rPr>
          <w:lang w:val="fr-CA"/>
        </w:rPr>
        <w:t>e fait que les autres gouvernements se soient portés à la défense de la constitutionnalité de la disposition n’a toutefois aucune importance. Le soutien des autres gouvernements repose sur une mauvaise interprétation de l’art. 11 comme un mécanisme d’adhésion volontaire</w:t>
      </w:r>
      <w:r w:rsidR="00E914D6" w:rsidRPr="00C328A2">
        <w:rPr>
          <w:szCs w:val="24"/>
          <w:lang w:val="fr-CA"/>
        </w:rPr>
        <w:t xml:space="preserve">. Quoi qu’il en soit, les provinces </w:t>
      </w:r>
      <w:r w:rsidR="00E914D6" w:rsidRPr="00C328A2">
        <w:rPr>
          <w:lang w:val="fr-CA"/>
        </w:rPr>
        <w:t>ne peuvent pas modifier la Constitution par consentement mutuel</w:t>
      </w:r>
      <w:r w:rsidR="00E914D6" w:rsidRPr="00C328A2">
        <w:rPr>
          <w:szCs w:val="24"/>
          <w:lang w:val="fr-CA"/>
        </w:rPr>
        <w:t>.</w:t>
      </w:r>
    </w:p>
    <w:p w14:paraId="711EBED9" w14:textId="3BBE970F" w:rsidR="00E914D6" w:rsidRPr="00C328A2" w:rsidRDefault="00513C15" w:rsidP="00513C15">
      <w:pPr>
        <w:pStyle w:val="SCCNormalDoubleSpacing"/>
        <w:spacing w:after="480"/>
        <w:rPr>
          <w:szCs w:val="24"/>
          <w:lang w:val="fr-CA"/>
        </w:rPr>
      </w:pPr>
      <w:r w:rsidRPr="00C328A2">
        <w:rPr>
          <w:szCs w:val="24"/>
          <w:lang w:val="fr-CA"/>
        </w:rPr>
        <w:tab/>
      </w:r>
      <w:r w:rsidR="00E914D6" w:rsidRPr="00C328A2">
        <w:rPr>
          <w:szCs w:val="24"/>
          <w:lang w:val="fr-CA"/>
        </w:rPr>
        <w:t>Il ne convient pas d’appliquer l</w:t>
      </w:r>
      <w:r w:rsidR="00E914D6" w:rsidRPr="00C328A2">
        <w:rPr>
          <w:lang w:val="fr-CA"/>
        </w:rPr>
        <w:t>a doctrine des pouvoirs accessoires pour confirmer la constitutionnalité de l’art. 11</w:t>
      </w:r>
      <w:r w:rsidR="00E914D6" w:rsidRPr="00C328A2">
        <w:rPr>
          <w:szCs w:val="24"/>
          <w:lang w:val="fr-CA"/>
        </w:rPr>
        <w:t>. L’article</w:t>
      </w:r>
      <w:r w:rsidRPr="00C328A2">
        <w:rPr>
          <w:szCs w:val="24"/>
          <w:lang w:val="fr-CA"/>
        </w:rPr>
        <w:t xml:space="preserve"> </w:t>
      </w:r>
      <w:r w:rsidR="00E914D6" w:rsidRPr="00C328A2">
        <w:rPr>
          <w:szCs w:val="24"/>
          <w:lang w:val="fr-CA"/>
        </w:rPr>
        <w:t xml:space="preserve">11 est </w:t>
      </w:r>
      <w:r w:rsidR="00E914D6" w:rsidRPr="00C328A2">
        <w:rPr>
          <w:lang w:val="fr-CA"/>
        </w:rPr>
        <w:t>la seule disposition de l’</w:t>
      </w:r>
      <w:r w:rsidR="00E914D6" w:rsidRPr="00C328A2">
        <w:rPr>
          <w:i/>
          <w:lang w:val="fr-CA"/>
        </w:rPr>
        <w:t>ORA</w:t>
      </w:r>
      <w:r w:rsidR="00E914D6" w:rsidRPr="00C328A2">
        <w:rPr>
          <w:lang w:val="fr-CA"/>
        </w:rPr>
        <w:t xml:space="preserve"> qui concerne des droits d’action reconnus à d’autres gouvernements provinciaux ou territoriaux en vertu de leurs propres règles substantielles. Indépendamment de l’art. 11, l’</w:t>
      </w:r>
      <w:r w:rsidR="00E914D6" w:rsidRPr="00C328A2">
        <w:rPr>
          <w:i/>
          <w:lang w:val="fr-CA"/>
        </w:rPr>
        <w:t xml:space="preserve">ORA </w:t>
      </w:r>
      <w:r w:rsidR="00E914D6" w:rsidRPr="00C328A2">
        <w:rPr>
          <w:lang w:val="fr-CA"/>
        </w:rPr>
        <w:t>fonde et établit régulièrement un droit d’action direct et distinct contre les défenderesses</w:t>
      </w:r>
      <w:r w:rsidR="00E914D6" w:rsidRPr="00C328A2">
        <w:rPr>
          <w:szCs w:val="24"/>
          <w:lang w:val="fr-CA"/>
        </w:rPr>
        <w:t xml:space="preserve">. L’article 11 </w:t>
      </w:r>
      <w:r w:rsidR="00E914D6" w:rsidRPr="00C328A2">
        <w:rPr>
          <w:lang w:val="fr-CA"/>
        </w:rPr>
        <w:t>n’est pas nécessaire à la mise en œuvre des aspects substantiels du reste de l’</w:t>
      </w:r>
      <w:r w:rsidR="00E914D6" w:rsidRPr="00C328A2">
        <w:rPr>
          <w:i/>
          <w:lang w:val="fr-CA"/>
        </w:rPr>
        <w:t>ORA</w:t>
      </w:r>
      <w:r w:rsidR="00E914D6" w:rsidRPr="00C328A2">
        <w:rPr>
          <w:szCs w:val="24"/>
          <w:lang w:val="fr-CA"/>
        </w:rPr>
        <w:t>.</w:t>
      </w:r>
    </w:p>
    <w:p w14:paraId="7FECFEF7" w14:textId="6E1F9853" w:rsidR="00E914D6" w:rsidRPr="00C328A2" w:rsidRDefault="00E914D6" w:rsidP="00E914D6">
      <w:pPr>
        <w:pStyle w:val="SCCNormalDoubleSpacing"/>
        <w:spacing w:after="480"/>
        <w:rPr>
          <w:lang w:val="fr-CA"/>
        </w:rPr>
      </w:pPr>
      <w:r w:rsidRPr="00C328A2">
        <w:rPr>
          <w:szCs w:val="24"/>
          <w:lang w:val="fr-CA"/>
        </w:rPr>
        <w:tab/>
        <w:t>L</w:t>
      </w:r>
      <w:r w:rsidRPr="00C328A2">
        <w:rPr>
          <w:lang w:val="fr-CA"/>
        </w:rPr>
        <w:t>a réparation qu’il convient d’accorder en l’espèce est la dissociation de l’al. </w:t>
      </w:r>
      <w:r w:rsidRPr="00C328A2">
        <w:rPr>
          <w:szCs w:val="24"/>
          <w:lang w:val="fr-CA"/>
        </w:rPr>
        <w:t>11(1)(b) et du par.</w:t>
      </w:r>
      <w:r w:rsidR="00513C15" w:rsidRPr="00C328A2">
        <w:rPr>
          <w:szCs w:val="24"/>
          <w:lang w:val="fr-CA"/>
        </w:rPr>
        <w:t> </w:t>
      </w:r>
      <w:r w:rsidRPr="00C328A2">
        <w:rPr>
          <w:szCs w:val="24"/>
          <w:lang w:val="fr-CA"/>
        </w:rPr>
        <w:t>11(2) de l’</w:t>
      </w:r>
      <w:r w:rsidRPr="00C328A2">
        <w:rPr>
          <w:i/>
          <w:szCs w:val="24"/>
          <w:lang w:val="fr-CA"/>
        </w:rPr>
        <w:t>ORA</w:t>
      </w:r>
      <w:r w:rsidRPr="00C328A2">
        <w:rPr>
          <w:szCs w:val="24"/>
          <w:lang w:val="fr-CA"/>
        </w:rPr>
        <w:t>. L</w:t>
      </w:r>
      <w:r w:rsidRPr="00C328A2">
        <w:rPr>
          <w:lang w:val="fr-CA"/>
        </w:rPr>
        <w:t xml:space="preserve">a </w:t>
      </w:r>
      <w:r w:rsidRPr="00C328A2">
        <w:rPr>
          <w:lang w:val="fr-CA" w:bidi="en-US"/>
        </w:rPr>
        <w:t xml:space="preserve">dissociation devrait être utilisée dans la mesure du possible afin de préserver les aspects constitutionnels des lois. </w:t>
      </w:r>
      <w:r w:rsidRPr="00C328A2">
        <w:rPr>
          <w:szCs w:val="24"/>
          <w:lang w:val="fr-CA"/>
        </w:rPr>
        <w:t xml:space="preserve">Seule </w:t>
      </w:r>
      <w:r w:rsidRPr="00C328A2">
        <w:rPr>
          <w:lang w:val="fr-CA"/>
        </w:rPr>
        <w:t>une invalidation partielle de la loi est nécessaire</w:t>
      </w:r>
      <w:r w:rsidRPr="00C328A2">
        <w:rPr>
          <w:szCs w:val="24"/>
          <w:lang w:val="fr-CA"/>
        </w:rPr>
        <w:t xml:space="preserve">. </w:t>
      </w:r>
      <w:r w:rsidRPr="00C328A2">
        <w:rPr>
          <w:lang w:val="fr-CA"/>
        </w:rPr>
        <w:t>Il n’est pas nécessaire d’invalider les autres dispositions de l’art. 11, et le reste du régime législatif demeure valide</w:t>
      </w:r>
      <w:r w:rsidRPr="00C328A2">
        <w:rPr>
          <w:szCs w:val="24"/>
          <w:lang w:val="fr-CA"/>
        </w:rPr>
        <w:t>.</w:t>
      </w:r>
    </w:p>
    <w:p w14:paraId="6CAE9D2A" w14:textId="77777777" w:rsidR="004D7D95" w:rsidRPr="00C328A2" w:rsidRDefault="004D7D95" w:rsidP="004D6CE4">
      <w:pPr>
        <w:pStyle w:val="SCCNormalDoubleSpacing"/>
        <w:widowControl w:val="0"/>
        <w:spacing w:after="720" w:line="240" w:lineRule="auto"/>
        <w:rPr>
          <w:b/>
          <w:lang w:val="fr-CA"/>
        </w:rPr>
      </w:pPr>
      <w:r w:rsidRPr="00C328A2">
        <w:rPr>
          <w:b/>
          <w:lang w:val="fr-CA"/>
        </w:rPr>
        <w:lastRenderedPageBreak/>
        <w:t>Jurisprudence</w:t>
      </w:r>
    </w:p>
    <w:p w14:paraId="01D0452E" w14:textId="77777777" w:rsidR="004D7D95" w:rsidRPr="00C328A2" w:rsidRDefault="002F7435" w:rsidP="004D6CE4">
      <w:pPr>
        <w:pStyle w:val="SCCNormalDoubleSpacing"/>
        <w:widowControl w:val="0"/>
        <w:spacing w:after="720" w:line="240" w:lineRule="auto"/>
        <w:rPr>
          <w:lang w:val="fr-CA"/>
        </w:rPr>
      </w:pPr>
      <w:r w:rsidRPr="00C328A2">
        <w:rPr>
          <w:lang w:val="fr-CA"/>
        </w:rPr>
        <w:t>Citée par la juge Karakatsanis</w:t>
      </w:r>
    </w:p>
    <w:p w14:paraId="070FD60D" w14:textId="099AD5EE" w:rsidR="00C556A8" w:rsidRPr="00C328A2" w:rsidRDefault="004D7D95" w:rsidP="004D6CE4">
      <w:pPr>
        <w:pStyle w:val="SCCNormalDoubleSpacing"/>
        <w:widowControl w:val="0"/>
        <w:spacing w:after="480"/>
      </w:pPr>
      <w:r w:rsidRPr="00C328A2">
        <w:rPr>
          <w:lang w:val="fr-CA"/>
        </w:rPr>
        <w:tab/>
      </w:r>
      <w:r w:rsidR="0081073D" w:rsidRPr="00C328A2">
        <w:rPr>
          <w:b/>
          <w:lang w:val="fr-CA"/>
        </w:rPr>
        <w:t xml:space="preserve">Arrêt appliqué : </w:t>
      </w:r>
      <w:r w:rsidR="0081073D" w:rsidRPr="00C328A2">
        <w:rPr>
          <w:i/>
          <w:lang w:val="fr-CA"/>
        </w:rPr>
        <w:t>Colombie-Britannique c.</w:t>
      </w:r>
      <w:r w:rsidR="0081073D" w:rsidRPr="00C328A2">
        <w:rPr>
          <w:lang w:val="fr-CA"/>
        </w:rPr>
        <w:t xml:space="preserve"> </w:t>
      </w:r>
      <w:r w:rsidR="0081073D" w:rsidRPr="00C328A2">
        <w:rPr>
          <w:i/>
          <w:lang w:val="fr-CA"/>
        </w:rPr>
        <w:t>Imperial Tobacco Canada Ltée</w:t>
      </w:r>
      <w:r w:rsidR="0081073D" w:rsidRPr="00C328A2">
        <w:rPr>
          <w:lang w:val="fr-CA"/>
        </w:rPr>
        <w:t>, 2005 CSC 49, [2005] 2 R.C.S. 473;</w:t>
      </w:r>
      <w:r w:rsidR="0081073D" w:rsidRPr="00C328A2">
        <w:rPr>
          <w:i/>
          <w:iCs/>
          <w:lang w:val="fr-CA"/>
        </w:rPr>
        <w:t xml:space="preserve"> </w:t>
      </w:r>
      <w:r w:rsidR="0081073D" w:rsidRPr="00C328A2">
        <w:rPr>
          <w:b/>
          <w:lang w:val="fr-CA"/>
        </w:rPr>
        <w:t>a</w:t>
      </w:r>
      <w:r w:rsidR="00C556A8" w:rsidRPr="00C328A2">
        <w:rPr>
          <w:b/>
          <w:lang w:val="fr-CA"/>
        </w:rPr>
        <w:t>rrêts mentionnés :</w:t>
      </w:r>
      <w:r w:rsidR="00C556A8" w:rsidRPr="00C328A2">
        <w:rPr>
          <w:lang w:val="fr-CA"/>
        </w:rPr>
        <w:t xml:space="preserve"> </w:t>
      </w:r>
      <w:r w:rsidR="00C556A8" w:rsidRPr="00C328A2">
        <w:rPr>
          <w:i/>
          <w:lang w:val="fr-CA"/>
        </w:rPr>
        <w:t>Société canadienne des postes c. Lépine</w:t>
      </w:r>
      <w:r w:rsidR="00C556A8" w:rsidRPr="00C328A2">
        <w:rPr>
          <w:lang w:val="fr-CA"/>
        </w:rPr>
        <w:t>, 2009 CSC 16, [2009] 1 R.C.S. 549;</w:t>
      </w:r>
      <w:r w:rsidR="00C556A8" w:rsidRPr="00C328A2">
        <w:rPr>
          <w:i/>
          <w:lang w:val="fr-CA"/>
        </w:rPr>
        <w:t xml:space="preserve"> Western Canadian Shopping Centres Inc. c. Dutton</w:t>
      </w:r>
      <w:r w:rsidR="00C556A8" w:rsidRPr="00C328A2">
        <w:rPr>
          <w:lang w:val="fr-CA"/>
        </w:rPr>
        <w:t>, 2001 CSC 46, [2001] 2 R.C.S. 534;</w:t>
      </w:r>
      <w:r w:rsidR="00C556A8" w:rsidRPr="00C328A2">
        <w:rPr>
          <w:i/>
          <w:lang w:val="fr-CA"/>
        </w:rPr>
        <w:t xml:space="preserve"> Hollick c. Toronto (Ville)</w:t>
      </w:r>
      <w:r w:rsidR="00C556A8" w:rsidRPr="00C328A2">
        <w:rPr>
          <w:lang w:val="fr-CA"/>
        </w:rPr>
        <w:t>, 2001 CSC 68, [2001] 3 R.C.S. 158;</w:t>
      </w:r>
      <w:r w:rsidR="00C556A8" w:rsidRPr="00C328A2">
        <w:rPr>
          <w:i/>
          <w:iCs/>
          <w:lang w:val="fr-CA"/>
        </w:rPr>
        <w:t xml:space="preserve"> Rumley c. Colombie-Britannique</w:t>
      </w:r>
      <w:r w:rsidR="00C556A8" w:rsidRPr="00C328A2">
        <w:rPr>
          <w:lang w:val="fr-CA"/>
        </w:rPr>
        <w:t>, 2001 CSC 69, [2001] 3 R.C.S. 184;</w:t>
      </w:r>
      <w:r w:rsidR="00C556A8" w:rsidRPr="00C328A2">
        <w:rPr>
          <w:i/>
          <w:lang w:val="fr-CA"/>
        </w:rPr>
        <w:t xml:space="preserve"> Renvoi relatif à la sécession du Québec</w:t>
      </w:r>
      <w:r w:rsidR="00C556A8" w:rsidRPr="00C328A2">
        <w:rPr>
          <w:lang w:val="fr-CA"/>
        </w:rPr>
        <w:t xml:space="preserve">, [1998] 2 R.C.S. 217; </w:t>
      </w:r>
      <w:r w:rsidR="00C556A8" w:rsidRPr="00C328A2">
        <w:rPr>
          <w:i/>
          <w:lang w:val="fr-CA"/>
        </w:rPr>
        <w:t>Renvois relatifs à la Loi sur la tarification de la pollution causée par les gaz à effet de serre</w:t>
      </w:r>
      <w:r w:rsidR="00C556A8" w:rsidRPr="00C328A2">
        <w:rPr>
          <w:lang w:val="fr-CA"/>
        </w:rPr>
        <w:t xml:space="preserve">, 2021 CSC 11, [2021] 1 R.C.S. 175; </w:t>
      </w:r>
      <w:r w:rsidR="00C556A8" w:rsidRPr="00C328A2">
        <w:rPr>
          <w:i/>
          <w:lang w:val="fr-CA"/>
        </w:rPr>
        <w:t>Banque canadienne de l’Ouest c. Alberta</w:t>
      </w:r>
      <w:r w:rsidR="00C556A8" w:rsidRPr="00C328A2">
        <w:rPr>
          <w:lang w:val="fr-CA"/>
        </w:rPr>
        <w:t>, 2007 CSC 22, [2007] 2 R.C.S. 3;</w:t>
      </w:r>
      <w:r w:rsidR="00C556A8" w:rsidRPr="00C328A2">
        <w:rPr>
          <w:i/>
          <w:lang w:val="fr-CA"/>
        </w:rPr>
        <w:t xml:space="preserve"> Renvoi relatif à la Loi sur les valeurs mobilières</w:t>
      </w:r>
      <w:r w:rsidR="00C556A8" w:rsidRPr="00C328A2">
        <w:rPr>
          <w:lang w:val="fr-CA"/>
        </w:rPr>
        <w:t>, 2011 CSC 66, [2011] 3 R.C.S. 837;</w:t>
      </w:r>
      <w:r w:rsidR="00C556A8" w:rsidRPr="00C328A2">
        <w:rPr>
          <w:i/>
          <w:lang w:val="fr-CA"/>
        </w:rPr>
        <w:t xml:space="preserve"> Hunt c. T&amp;N plc</w:t>
      </w:r>
      <w:r w:rsidR="00C556A8" w:rsidRPr="00C328A2">
        <w:rPr>
          <w:lang w:val="fr-CA"/>
        </w:rPr>
        <w:t>, [1993] 4 R.C.S. 289;</w:t>
      </w:r>
      <w:r w:rsidR="00C556A8" w:rsidRPr="00C328A2">
        <w:rPr>
          <w:i/>
          <w:lang w:val="fr-CA"/>
        </w:rPr>
        <w:t xml:space="preserve"> Morguard Investments Ltd. c. De Savoye</w:t>
      </w:r>
      <w:r w:rsidR="00C556A8" w:rsidRPr="00C328A2">
        <w:rPr>
          <w:lang w:val="fr-CA"/>
        </w:rPr>
        <w:t>, [1990] 3 R.C.S. 1077;</w:t>
      </w:r>
      <w:r w:rsidR="00C556A8" w:rsidRPr="00C328A2">
        <w:rPr>
          <w:i/>
          <w:iCs/>
          <w:lang w:val="fr-CA"/>
        </w:rPr>
        <w:t xml:space="preserve"> R. c. Parranto</w:t>
      </w:r>
      <w:r w:rsidR="00C556A8" w:rsidRPr="00C328A2">
        <w:rPr>
          <w:lang w:val="fr-CA"/>
        </w:rPr>
        <w:t>, 2021 CSC 46</w:t>
      </w:r>
      <w:r w:rsidR="008B1D98" w:rsidRPr="00C328A2">
        <w:rPr>
          <w:lang w:val="fr-CA"/>
        </w:rPr>
        <w:t>, [2021] 3 R.C.S. 366</w:t>
      </w:r>
      <w:r w:rsidR="00C556A8" w:rsidRPr="00C328A2">
        <w:rPr>
          <w:lang w:val="fr-CA"/>
        </w:rPr>
        <w:t>;</w:t>
      </w:r>
      <w:r w:rsidR="00C556A8" w:rsidRPr="00C328A2">
        <w:rPr>
          <w:i/>
          <w:lang w:val="fr-CA"/>
        </w:rPr>
        <w:t xml:space="preserve"> </w:t>
      </w:r>
      <w:r w:rsidR="002E3A08" w:rsidRPr="00C328A2">
        <w:rPr>
          <w:i/>
          <w:iCs/>
          <w:lang w:val="fr-CA"/>
        </w:rPr>
        <w:t>Québec (Procureur général) c. Canada (Procureur général)</w:t>
      </w:r>
      <w:r w:rsidR="002E3A08" w:rsidRPr="00C328A2">
        <w:rPr>
          <w:lang w:val="fr-CA"/>
        </w:rPr>
        <w:t>, 2015 CSC 14, [2015] 1 R.C.S. 693;</w:t>
      </w:r>
      <w:r w:rsidR="00CA6999" w:rsidRPr="00C328A2">
        <w:rPr>
          <w:i/>
          <w:iCs/>
          <w:lang w:val="fr-CA"/>
        </w:rPr>
        <w:t xml:space="preserve"> Fédération des producteurs de volailles du Québec c. Pelland</w:t>
      </w:r>
      <w:r w:rsidR="00CA6999" w:rsidRPr="00C328A2">
        <w:rPr>
          <w:lang w:val="fr-CA"/>
        </w:rPr>
        <w:t>, 2005 CSC 20, [2005] 1 R.C.S. 292;</w:t>
      </w:r>
      <w:r w:rsidR="00CA6999" w:rsidRPr="00C328A2">
        <w:rPr>
          <w:i/>
          <w:iCs/>
          <w:color w:val="000000"/>
          <w:lang w:val="fr-CA"/>
        </w:rPr>
        <w:t xml:space="preserve"> Renvoi relatif à la réglementation pancanadienne des valeurs mobilières</w:t>
      </w:r>
      <w:r w:rsidR="00CA6999" w:rsidRPr="00C328A2">
        <w:rPr>
          <w:color w:val="000000"/>
          <w:lang w:val="fr-CA"/>
        </w:rPr>
        <w:t>, 2018 CSC 48, [2018] 3 R.C.S. 189;</w:t>
      </w:r>
      <w:r w:rsidR="00787778" w:rsidRPr="00C328A2">
        <w:rPr>
          <w:i/>
          <w:iCs/>
          <w:lang w:val="fr-CA"/>
        </w:rPr>
        <w:t xml:space="preserve"> Endean c. Colombie-Britannique</w:t>
      </w:r>
      <w:r w:rsidR="00787778" w:rsidRPr="00C328A2">
        <w:rPr>
          <w:lang w:val="fr-CA"/>
        </w:rPr>
        <w:t>, 2016 CSC 42, [2016] 2 R.C.S. 162;</w:t>
      </w:r>
      <w:r w:rsidR="003D4F99" w:rsidRPr="00C328A2">
        <w:rPr>
          <w:i/>
          <w:iCs/>
          <w:lang w:val="fr-CA"/>
        </w:rPr>
        <w:t xml:space="preserve"> Sharp c. Autorité des marchés financiers</w:t>
      </w:r>
      <w:r w:rsidR="003D4F99" w:rsidRPr="00C328A2">
        <w:rPr>
          <w:lang w:val="fr-CA"/>
        </w:rPr>
        <w:t>, 2023 CSC 29;</w:t>
      </w:r>
      <w:r w:rsidR="00617355" w:rsidRPr="00C328A2">
        <w:rPr>
          <w:i/>
          <w:lang w:val="fr-CA"/>
        </w:rPr>
        <w:t xml:space="preserve"> R. c. Morgentaler</w:t>
      </w:r>
      <w:r w:rsidR="00617355" w:rsidRPr="00C328A2">
        <w:rPr>
          <w:lang w:val="fr-CA"/>
        </w:rPr>
        <w:t>, [1993] 3 R.C.S. 463;</w:t>
      </w:r>
      <w:r w:rsidR="00E160A1" w:rsidRPr="00C328A2">
        <w:rPr>
          <w:i/>
          <w:lang w:val="fr-CA"/>
        </w:rPr>
        <w:t xml:space="preserve"> Murray-Hall c. Québec (Procureur général)</w:t>
      </w:r>
      <w:r w:rsidR="00E160A1" w:rsidRPr="00C328A2">
        <w:rPr>
          <w:lang w:val="fr-CA"/>
        </w:rPr>
        <w:t>, 2023 CSC 10;</w:t>
      </w:r>
      <w:r w:rsidR="00B25AE0" w:rsidRPr="00C328A2">
        <w:rPr>
          <w:i/>
          <w:lang w:val="fr-CA"/>
        </w:rPr>
        <w:t xml:space="preserve"> Renvoi relatif à la Loi sur la non-discrimination génétique</w:t>
      </w:r>
      <w:r w:rsidR="00B25AE0" w:rsidRPr="00C328A2">
        <w:rPr>
          <w:lang w:val="fr-CA"/>
        </w:rPr>
        <w:t>, 2020 CSC 17, [2020] 2 R.C.S. 283;</w:t>
      </w:r>
      <w:r w:rsidR="00B25AE0" w:rsidRPr="00C328A2">
        <w:rPr>
          <w:i/>
          <w:lang w:val="fr-CA"/>
        </w:rPr>
        <w:t xml:space="preserve"> Renvoi relatif à la Loi sur l’évaluation d’impact</w:t>
      </w:r>
      <w:r w:rsidR="00B25AE0" w:rsidRPr="00C328A2">
        <w:rPr>
          <w:lang w:val="fr-CA"/>
        </w:rPr>
        <w:t xml:space="preserve">, </w:t>
      </w:r>
      <w:r w:rsidR="00FC25EB" w:rsidRPr="00C328A2">
        <w:rPr>
          <w:lang w:val="fr-CA"/>
        </w:rPr>
        <w:t>2023 CS</w:t>
      </w:r>
      <w:r w:rsidR="00B25AE0" w:rsidRPr="00C328A2">
        <w:rPr>
          <w:lang w:val="fr-CA"/>
        </w:rPr>
        <w:t>C 23</w:t>
      </w:r>
      <w:r w:rsidR="00FC25EB" w:rsidRPr="00C328A2">
        <w:rPr>
          <w:lang w:val="fr-CA"/>
        </w:rPr>
        <w:t>;</w:t>
      </w:r>
      <w:r w:rsidR="00FC25EB" w:rsidRPr="00C328A2">
        <w:rPr>
          <w:i/>
          <w:lang w:val="fr-CA"/>
        </w:rPr>
        <w:t xml:space="preserve"> Bande Kitkatla c. Colombie-Britannique </w:t>
      </w:r>
      <w:r w:rsidR="00FC25EB" w:rsidRPr="00C328A2">
        <w:rPr>
          <w:i/>
          <w:lang w:val="fr-CA"/>
        </w:rPr>
        <w:lastRenderedPageBreak/>
        <w:t>(Ministre des Petites et moyennes ent</w:t>
      </w:r>
      <w:r w:rsidR="009B52BF" w:rsidRPr="00C328A2">
        <w:rPr>
          <w:i/>
          <w:lang w:val="fr-CA"/>
        </w:rPr>
        <w:t>reprises, du T</w:t>
      </w:r>
      <w:r w:rsidR="00FC25EB" w:rsidRPr="00C328A2">
        <w:rPr>
          <w:i/>
          <w:lang w:val="fr-CA"/>
        </w:rPr>
        <w:t>ourisme et de la Culture)</w:t>
      </w:r>
      <w:r w:rsidR="00FC25EB" w:rsidRPr="00C328A2">
        <w:rPr>
          <w:lang w:val="fr-CA"/>
        </w:rPr>
        <w:t>, 2002 CSC 31, [2002] 2 R.C.S. 146;</w:t>
      </w:r>
      <w:r w:rsidR="0071726B" w:rsidRPr="00C328A2">
        <w:rPr>
          <w:i/>
          <w:lang w:val="fr-CA"/>
        </w:rPr>
        <w:t xml:space="preserve"> Goodwin c. Colombie-Britannique (Superintendent of Motor Vehicles)</w:t>
      </w:r>
      <w:r w:rsidR="0071726B" w:rsidRPr="00C328A2">
        <w:rPr>
          <w:lang w:val="fr-CA"/>
        </w:rPr>
        <w:t xml:space="preserve">, 2015 CSC 46, [2015] 3 R.C.S. 250; </w:t>
      </w:r>
      <w:r w:rsidR="00E25189" w:rsidRPr="00C328A2">
        <w:rPr>
          <w:i/>
          <w:lang w:val="fr-CA"/>
        </w:rPr>
        <w:t>SEFPO c. Ontario (Procureur général)</w:t>
      </w:r>
      <w:r w:rsidR="00E25189" w:rsidRPr="00C328A2">
        <w:rPr>
          <w:lang w:val="fr-CA"/>
        </w:rPr>
        <w:t xml:space="preserve">, [1987] 2 R.C.S. 2; </w:t>
      </w:r>
      <w:r w:rsidR="00543F08" w:rsidRPr="00C328A2">
        <w:rPr>
          <w:i/>
          <w:lang w:val="fr-CA"/>
        </w:rPr>
        <w:t>Procureur général du Québec c. Labrecque</w:t>
      </w:r>
      <w:r w:rsidR="00543F08" w:rsidRPr="00C328A2">
        <w:rPr>
          <w:lang w:val="fr-CA"/>
        </w:rPr>
        <w:t xml:space="preserve">, [1980] 2 R.C.S. 1057; </w:t>
      </w:r>
      <w:r w:rsidR="00743ADD" w:rsidRPr="00C328A2">
        <w:rPr>
          <w:i/>
          <w:lang w:val="fr-CA"/>
        </w:rPr>
        <w:t>Verreault (J.E.) &amp; Fils Ltée c. Procureur général (Québec)</w:t>
      </w:r>
      <w:r w:rsidR="00743ADD" w:rsidRPr="00C328A2">
        <w:rPr>
          <w:lang w:val="fr-CA"/>
        </w:rPr>
        <w:t>, [1977] 1 R.C.S. 41;</w:t>
      </w:r>
      <w:r w:rsidR="00634C98" w:rsidRPr="00C328A2">
        <w:rPr>
          <w:i/>
          <w:lang w:val="fr-CA"/>
        </w:rPr>
        <w:t xml:space="preserve"> Procureur général de l’Ontario c. Fatehi</w:t>
      </w:r>
      <w:r w:rsidR="00634C98" w:rsidRPr="00C328A2">
        <w:rPr>
          <w:lang w:val="fr-CA"/>
        </w:rPr>
        <w:t>, [1984] 2 R.C.S. 536;</w:t>
      </w:r>
      <w:r w:rsidR="00B80938" w:rsidRPr="00C328A2">
        <w:rPr>
          <w:i/>
          <w:lang w:val="fr-CA"/>
        </w:rPr>
        <w:t xml:space="preserve"> R. c.</w:t>
      </w:r>
      <w:r w:rsidR="00B80938" w:rsidRPr="00C328A2">
        <w:rPr>
          <w:lang w:val="fr-CA"/>
        </w:rPr>
        <w:t xml:space="preserve"> </w:t>
      </w:r>
      <w:r w:rsidR="00B80938" w:rsidRPr="00C328A2">
        <w:rPr>
          <w:i/>
          <w:lang w:val="fr-CA"/>
        </w:rPr>
        <w:t>Murray</w:t>
      </w:r>
      <w:r w:rsidR="00B80938" w:rsidRPr="00C328A2">
        <w:rPr>
          <w:lang w:val="fr-CA"/>
        </w:rPr>
        <w:t>, [1967] R.C.S. 262;</w:t>
      </w:r>
      <w:r w:rsidR="002B65A2" w:rsidRPr="00C328A2">
        <w:rPr>
          <w:i/>
          <w:lang w:val="fr-CA"/>
        </w:rPr>
        <w:t xml:space="preserve"> R. c. McColman</w:t>
      </w:r>
      <w:r w:rsidR="002B65A2" w:rsidRPr="00C328A2">
        <w:rPr>
          <w:lang w:val="fr-CA"/>
        </w:rPr>
        <w:t>, 2023 CSC 8;</w:t>
      </w:r>
      <w:r w:rsidR="004E6640" w:rsidRPr="00C328A2">
        <w:rPr>
          <w:i/>
          <w:lang w:val="fr-CA"/>
        </w:rPr>
        <w:t xml:space="preserve"> R. c. British Columbia</w:t>
      </w:r>
      <w:r w:rsidR="004E6640" w:rsidRPr="00C328A2">
        <w:rPr>
          <w:lang w:val="fr-CA"/>
        </w:rPr>
        <w:t xml:space="preserve">, [1992] 4 W.W.R. 490; </w:t>
      </w:r>
      <w:r w:rsidR="004E6640" w:rsidRPr="00C328A2">
        <w:rPr>
          <w:i/>
          <w:lang w:val="fr-CA"/>
        </w:rPr>
        <w:t>Nelson (Ville) c. Marchi</w:t>
      </w:r>
      <w:r w:rsidR="004E6640" w:rsidRPr="00C328A2">
        <w:rPr>
          <w:lang w:val="fr-CA"/>
        </w:rPr>
        <w:t>, 2021 CSC 41</w:t>
      </w:r>
      <w:r w:rsidR="00DE2D54" w:rsidRPr="00C328A2">
        <w:rPr>
          <w:lang w:val="fr-CA"/>
        </w:rPr>
        <w:t>, [2021] 3 R.C.S. 55</w:t>
      </w:r>
      <w:r w:rsidR="004E6640" w:rsidRPr="00C328A2">
        <w:rPr>
          <w:lang w:val="fr-CA"/>
        </w:rPr>
        <w:t>;</w:t>
      </w:r>
      <w:r w:rsidR="00AB4899" w:rsidRPr="00C328A2">
        <w:rPr>
          <w:i/>
          <w:lang w:val="fr-CA"/>
        </w:rPr>
        <w:t xml:space="preserve"> </w:t>
      </w:r>
      <w:r w:rsidR="00AB4899" w:rsidRPr="00C328A2">
        <w:rPr>
          <w:i/>
          <w:iCs/>
          <w:color w:val="000000"/>
          <w:lang w:val="fr-CA"/>
        </w:rPr>
        <w:t>McNamara Construction (Western) Ltd. c. La Reine</w:t>
      </w:r>
      <w:r w:rsidR="00AB4899" w:rsidRPr="00C328A2">
        <w:rPr>
          <w:color w:val="000000"/>
          <w:lang w:val="fr-CA"/>
        </w:rPr>
        <w:t>, [1977] 2 R.C.S. 654;</w:t>
      </w:r>
      <w:r w:rsidR="00C66CCF" w:rsidRPr="00C328A2">
        <w:rPr>
          <w:i/>
          <w:lang w:val="fr-CA"/>
        </w:rPr>
        <w:t xml:space="preserve"> Pro-Sys Consultants Ltd. c. Microsoft Corporation</w:t>
      </w:r>
      <w:r w:rsidR="00C66CCF" w:rsidRPr="00C328A2">
        <w:rPr>
          <w:lang w:val="fr-CA"/>
        </w:rPr>
        <w:t>, 2013 CSC 57, [2013] 3 R.C.S. 477;</w:t>
      </w:r>
      <w:r w:rsidR="000C2518" w:rsidRPr="00C328A2">
        <w:rPr>
          <w:i/>
          <w:lang w:val="fr-CA"/>
        </w:rPr>
        <w:t xml:space="preserve"> Johnson c. Ontario</w:t>
      </w:r>
      <w:r w:rsidR="000C2518" w:rsidRPr="00C328A2">
        <w:rPr>
          <w:lang w:val="fr-CA"/>
        </w:rPr>
        <w:t xml:space="preserve">, 2022 ONCA 725, 475 D.L.R. (4th) 344; </w:t>
      </w:r>
      <w:r w:rsidR="00D15B61" w:rsidRPr="00C328A2">
        <w:rPr>
          <w:i/>
          <w:lang w:val="fr-CA"/>
        </w:rPr>
        <w:t>Coburn and Watson’s Metropolitan Home c. Home Depot of Canada Inc.</w:t>
      </w:r>
      <w:r w:rsidR="00D15B61" w:rsidRPr="00C328A2">
        <w:rPr>
          <w:lang w:val="fr-CA"/>
        </w:rPr>
        <w:t xml:space="preserve">, 2019 BCCA 308, 438 D.L.R. (4th) 533; </w:t>
      </w:r>
      <w:r w:rsidR="00C17720" w:rsidRPr="00C328A2">
        <w:rPr>
          <w:i/>
          <w:lang w:val="fr-CA"/>
        </w:rPr>
        <w:t>Johnson c. Ontario</w:t>
      </w:r>
      <w:r w:rsidR="00C17720" w:rsidRPr="00C328A2">
        <w:rPr>
          <w:lang w:val="fr-CA"/>
        </w:rPr>
        <w:t xml:space="preserve">, 2021 ONCA 650, 158 O.R. (3d) 266; </w:t>
      </w:r>
      <w:r w:rsidR="00E0205D" w:rsidRPr="00C328A2">
        <w:rPr>
          <w:i/>
          <w:lang w:val="fr-CA"/>
        </w:rPr>
        <w:t>Wannan c. Hutchison</w:t>
      </w:r>
      <w:r w:rsidR="00E0205D" w:rsidRPr="00C328A2">
        <w:rPr>
          <w:lang w:val="fr-CA"/>
        </w:rPr>
        <w:t xml:space="preserve">, 2020 BCSC 1233, 74 C.P.C. (8th) 222; </w:t>
      </w:r>
      <w:r w:rsidR="00DF0D30" w:rsidRPr="00C328A2">
        <w:rPr>
          <w:i/>
          <w:lang w:val="fr-CA"/>
        </w:rPr>
        <w:t>Milios c. Zagas</w:t>
      </w:r>
      <w:r w:rsidR="00DF0D30" w:rsidRPr="00C328A2">
        <w:rPr>
          <w:lang w:val="fr-CA"/>
        </w:rPr>
        <w:t xml:space="preserve"> (1998), 38 O.R. (3d) 218; </w:t>
      </w:r>
      <w:r w:rsidR="00BA219D" w:rsidRPr="00C328A2">
        <w:rPr>
          <w:i/>
          <w:lang w:val="fr-CA"/>
        </w:rPr>
        <w:t>DLC Holdings Corp. c. Payne</w:t>
      </w:r>
      <w:r w:rsidR="00BA219D" w:rsidRPr="00C328A2">
        <w:rPr>
          <w:lang w:val="fr-CA"/>
        </w:rPr>
        <w:t xml:space="preserve">, 2021 BCCA 31, 456 D.L.R. (4th) 337; </w:t>
      </w:r>
      <w:r w:rsidR="00BA219D" w:rsidRPr="00C328A2">
        <w:rPr>
          <w:i/>
          <w:lang w:val="fr-CA"/>
        </w:rPr>
        <w:t>Dubuc c. 1663066 Ontario Inc.</w:t>
      </w:r>
      <w:r w:rsidR="00BA219D" w:rsidRPr="00C328A2">
        <w:rPr>
          <w:lang w:val="fr-CA"/>
        </w:rPr>
        <w:t xml:space="preserve">, 2009 ONCA 914, 99 O.R. (3d) 476; </w:t>
      </w:r>
      <w:r w:rsidR="00BA219D" w:rsidRPr="00C328A2">
        <w:rPr>
          <w:i/>
          <w:lang w:val="fr-CA"/>
        </w:rPr>
        <w:t>Poffenroth Agri Ltd. c. Brown</w:t>
      </w:r>
      <w:r w:rsidR="00BA219D" w:rsidRPr="00C328A2">
        <w:rPr>
          <w:lang w:val="fr-CA"/>
        </w:rPr>
        <w:t>, 2020 SKCA 121, 65 C.P.C. (8th) 348;</w:t>
      </w:r>
      <w:r w:rsidR="00E82D5E" w:rsidRPr="00C328A2">
        <w:rPr>
          <w:i/>
          <w:lang w:val="fr-CA"/>
        </w:rPr>
        <w:t xml:space="preserve"> 1250264 Ontario Inc. c. Pet Valu Canada Inc.</w:t>
      </w:r>
      <w:r w:rsidR="00E82D5E" w:rsidRPr="00C328A2">
        <w:rPr>
          <w:lang w:val="fr-CA"/>
        </w:rPr>
        <w:t>, 2013 ONCA 279, 362 D.L.R. (4th) 88;</w:t>
      </w:r>
      <w:r w:rsidR="00675E65" w:rsidRPr="00C328A2">
        <w:rPr>
          <w:i/>
          <w:lang w:val="fr-CA"/>
        </w:rPr>
        <w:t xml:space="preserve"> </w:t>
      </w:r>
      <w:r w:rsidR="0090321B" w:rsidRPr="00C328A2">
        <w:rPr>
          <w:i/>
          <w:lang w:val="fr-CA"/>
        </w:rPr>
        <w:t>1176560 Ontario Ltd. c. Great Atlantic &amp; Pacific Co. of Canada Ltd.</w:t>
      </w:r>
      <w:r w:rsidR="0090321B" w:rsidRPr="00C328A2">
        <w:rPr>
          <w:lang w:val="fr-CA"/>
        </w:rPr>
        <w:t xml:space="preserve"> </w:t>
      </w:r>
      <w:r w:rsidR="0090321B" w:rsidRPr="00C328A2">
        <w:t xml:space="preserve">(2002), 62 O.R. (3d) 535; </w:t>
      </w:r>
      <w:r w:rsidR="00675E65" w:rsidRPr="00C328A2">
        <w:rPr>
          <w:i/>
          <w:lang w:val="en-US"/>
        </w:rPr>
        <w:t>Currie c. McDonald’s Restaurants of Canada Ltd.</w:t>
      </w:r>
      <w:r w:rsidR="00675E65" w:rsidRPr="00C328A2">
        <w:rPr>
          <w:lang w:val="en-US"/>
        </w:rPr>
        <w:t xml:space="preserve"> (2005), 250 D.L.R. (4th) 224;</w:t>
      </w:r>
      <w:r w:rsidR="00E20BF5" w:rsidRPr="00C328A2">
        <w:rPr>
          <w:i/>
          <w:lang w:val="en-US"/>
        </w:rPr>
        <w:t xml:space="preserve"> Herold c. Wassermann</w:t>
      </w:r>
      <w:r w:rsidR="00E20BF5" w:rsidRPr="00C328A2">
        <w:rPr>
          <w:lang w:val="en-US"/>
        </w:rPr>
        <w:t xml:space="preserve">, 2022 SKCA 103, 473 D.L.R. (4th) 281; </w:t>
      </w:r>
      <w:r w:rsidR="00084D0C" w:rsidRPr="00C328A2">
        <w:rPr>
          <w:i/>
          <w:lang w:val="en-US"/>
        </w:rPr>
        <w:t>Fitzsimmons c. Cie matériaux de construction BP Canada</w:t>
      </w:r>
      <w:r w:rsidR="00084D0C" w:rsidRPr="00C328A2">
        <w:rPr>
          <w:lang w:val="en-US"/>
        </w:rPr>
        <w:t>, 2016 QCCS 1446;</w:t>
      </w:r>
      <w:r w:rsidR="008F6B64" w:rsidRPr="00C328A2">
        <w:rPr>
          <w:i/>
          <w:lang w:val="en-US"/>
        </w:rPr>
        <w:t xml:space="preserve"> Tataskweyak Cree Nation c. Canada (A.G.)</w:t>
      </w:r>
      <w:r w:rsidR="008F6B64" w:rsidRPr="00C328A2">
        <w:rPr>
          <w:lang w:val="en-US"/>
        </w:rPr>
        <w:t>, 2021 MBQB 153;</w:t>
      </w:r>
      <w:r w:rsidR="00214D0B" w:rsidRPr="00C328A2">
        <w:rPr>
          <w:i/>
          <w:lang w:val="en-US"/>
        </w:rPr>
        <w:t xml:space="preserve"> Logan c. Ontario (Minister of Health) </w:t>
      </w:r>
      <w:r w:rsidR="00214D0B" w:rsidRPr="00C328A2">
        <w:rPr>
          <w:lang w:val="en-US"/>
        </w:rPr>
        <w:t>(2003), 36 C.P.C. (5th) 176</w:t>
      </w:r>
      <w:r w:rsidR="00C07FE9" w:rsidRPr="00C328A2">
        <w:rPr>
          <w:lang w:val="en-US"/>
        </w:rPr>
        <w:t xml:space="preserve">; </w:t>
      </w:r>
      <w:r w:rsidR="00C07FE9" w:rsidRPr="00C328A2">
        <w:rPr>
          <w:i/>
        </w:rPr>
        <w:t xml:space="preserve">Dabbs c. Sun Life Assurance Co. of </w:t>
      </w:r>
      <w:r w:rsidR="00C07FE9" w:rsidRPr="00C328A2">
        <w:rPr>
          <w:i/>
        </w:rPr>
        <w:lastRenderedPageBreak/>
        <w:t>Canada</w:t>
      </w:r>
      <w:r w:rsidR="00C07FE9" w:rsidRPr="00C328A2">
        <w:t xml:space="preserve"> (1998), 40 O.R. (3d) 429</w:t>
      </w:r>
      <w:r w:rsidR="00214D0B" w:rsidRPr="00C328A2">
        <w:rPr>
          <w:lang w:val="en-US"/>
        </w:rPr>
        <w:t>;</w:t>
      </w:r>
      <w:r w:rsidR="009122D5" w:rsidRPr="00C328A2">
        <w:rPr>
          <w:i/>
          <w:lang w:val="en-US"/>
        </w:rPr>
        <w:t xml:space="preserve"> Leonard c. The Manufacturers Life Insurance Company</w:t>
      </w:r>
      <w:r w:rsidR="009122D5" w:rsidRPr="00C328A2">
        <w:rPr>
          <w:lang w:val="en-US"/>
        </w:rPr>
        <w:t>, 2022 BCCA 28, 75 B.C.L.R. (6th) 235;</w:t>
      </w:r>
      <w:r w:rsidR="00FA1AA2" w:rsidRPr="00C328A2">
        <w:rPr>
          <w:i/>
          <w:lang w:val="en-US"/>
        </w:rPr>
        <w:t xml:space="preserve"> Berry c. Pulley</w:t>
      </w:r>
      <w:r w:rsidR="00FA1AA2" w:rsidRPr="00C328A2">
        <w:rPr>
          <w:lang w:val="en-US"/>
        </w:rPr>
        <w:t>, 2011 ONSC 1378, 106 O.R. (3d) 123;</w:t>
      </w:r>
      <w:r w:rsidR="009963DF" w:rsidRPr="00C328A2">
        <w:rPr>
          <w:i/>
          <w:lang w:val="en-US"/>
        </w:rPr>
        <w:t xml:space="preserve"> Alberta Government Telephones c. Canada (Conseil de la radiodiffusion et des télécommunications canadiennes)</w:t>
      </w:r>
      <w:r w:rsidR="009963DF" w:rsidRPr="00C328A2">
        <w:rPr>
          <w:lang w:val="en-US"/>
        </w:rPr>
        <w:t>, [1989] 2 R.C.S. 225;</w:t>
      </w:r>
      <w:r w:rsidR="00986A7C" w:rsidRPr="00C328A2">
        <w:rPr>
          <w:i/>
          <w:lang w:val="en-US"/>
        </w:rPr>
        <w:t xml:space="preserve"> AIC Limitée c. Fischer</w:t>
      </w:r>
      <w:r w:rsidR="00986A7C" w:rsidRPr="00C328A2">
        <w:rPr>
          <w:lang w:val="en-US"/>
        </w:rPr>
        <w:t>, 2013 CSC 69, [2013] 3 R.C.S. 949;</w:t>
      </w:r>
      <w:r w:rsidR="00354223" w:rsidRPr="00C328A2">
        <w:rPr>
          <w:i/>
          <w:lang w:val="en-US"/>
        </w:rPr>
        <w:t xml:space="preserve"> Bisaillon c. </w:t>
      </w:r>
      <w:r w:rsidR="008B75C6" w:rsidRPr="00C328A2">
        <w:rPr>
          <w:i/>
          <w:lang w:val="en-US"/>
        </w:rPr>
        <w:t>Université Concordia</w:t>
      </w:r>
      <w:r w:rsidR="00354223" w:rsidRPr="00C328A2">
        <w:rPr>
          <w:lang w:val="en-US"/>
        </w:rPr>
        <w:t>, 2006 CSC 19, [2006] 1 R.C.S. 666;</w:t>
      </w:r>
      <w:r w:rsidR="001D566C" w:rsidRPr="00C328A2">
        <w:rPr>
          <w:i/>
          <w:lang w:val="en-US"/>
        </w:rPr>
        <w:t xml:space="preserve"> Pioneer Corp. c. Godfrey</w:t>
      </w:r>
      <w:r w:rsidR="001D566C" w:rsidRPr="00C328A2">
        <w:rPr>
          <w:lang w:val="en-US"/>
        </w:rPr>
        <w:t>, 2019 CSC 42, [2019] 3 R.C.S. 295;</w:t>
      </w:r>
      <w:r w:rsidR="00D47821" w:rsidRPr="00C328A2">
        <w:rPr>
          <w:i/>
          <w:lang w:val="en-US"/>
        </w:rPr>
        <w:t xml:space="preserve"> Di Iorio c. Gardien de la prison de Montréal</w:t>
      </w:r>
      <w:r w:rsidR="00D47821" w:rsidRPr="00C328A2">
        <w:rPr>
          <w:lang w:val="en-US"/>
        </w:rPr>
        <w:t>, [1978] 1 R.C.S. 152;</w:t>
      </w:r>
      <w:r w:rsidR="004C7D38" w:rsidRPr="00C328A2">
        <w:rPr>
          <w:i/>
          <w:lang w:val="en-US"/>
        </w:rPr>
        <w:t xml:space="preserve"> Ontario c. Criminal Lawyers’ Association of Ontario</w:t>
      </w:r>
      <w:r w:rsidR="004C7D38" w:rsidRPr="00C328A2">
        <w:rPr>
          <w:lang w:val="en-US"/>
        </w:rPr>
        <w:t xml:space="preserve">, 2013 CSC 43, [2013] 3 R.C.S. 3; </w:t>
      </w:r>
      <w:r w:rsidR="005700A5" w:rsidRPr="00C328A2">
        <w:rPr>
          <w:i/>
          <w:lang w:val="en-US"/>
        </w:rPr>
        <w:t>Caron c. Alberta</w:t>
      </w:r>
      <w:r w:rsidR="005700A5" w:rsidRPr="00C328A2">
        <w:rPr>
          <w:lang w:val="en-US"/>
        </w:rPr>
        <w:t xml:space="preserve">, 2015 CSC 56, [2015] 3 R.C.S. 511; </w:t>
      </w:r>
      <w:r w:rsidR="00427773" w:rsidRPr="00C328A2">
        <w:rPr>
          <w:i/>
          <w:lang w:val="en-US"/>
        </w:rPr>
        <w:t>Castillo c. Castillo</w:t>
      </w:r>
      <w:r w:rsidR="00427773" w:rsidRPr="00C328A2">
        <w:rPr>
          <w:lang w:val="en-US"/>
        </w:rPr>
        <w:t xml:space="preserve">, 2005 CSC 83, [2005] 3 R.C.S. 870; </w:t>
      </w:r>
      <w:r w:rsidR="00B17EF4" w:rsidRPr="00C328A2">
        <w:rPr>
          <w:i/>
          <w:iCs/>
          <w:lang w:val="en-US"/>
        </w:rPr>
        <w:t>Renvoi relatif à la Upper Churchill Water Rights Reversion Act</w:t>
      </w:r>
      <w:r w:rsidR="00B17EF4" w:rsidRPr="00C328A2">
        <w:rPr>
          <w:lang w:val="en-US"/>
        </w:rPr>
        <w:t xml:space="preserve">, [1984] 1 R.C.S. 297; </w:t>
      </w:r>
      <w:r w:rsidR="00F87334" w:rsidRPr="00C328A2">
        <w:rPr>
          <w:i/>
          <w:iCs/>
          <w:lang w:val="en-US"/>
        </w:rPr>
        <w:t>Club Resorts Ltd. c. Van Breda</w:t>
      </w:r>
      <w:r w:rsidR="00F87334" w:rsidRPr="00C328A2">
        <w:rPr>
          <w:lang w:val="en-US"/>
        </w:rPr>
        <w:t>, 2012 CSC 17, [2012] 1 R.C.S. 572;</w:t>
      </w:r>
      <w:r w:rsidR="00DA4887" w:rsidRPr="00C328A2">
        <w:rPr>
          <w:lang w:val="en-US"/>
        </w:rPr>
        <w:t xml:space="preserve"> </w:t>
      </w:r>
      <w:r w:rsidR="00DA4887" w:rsidRPr="00C328A2">
        <w:rPr>
          <w:i/>
          <w:lang w:val="en-US"/>
        </w:rPr>
        <w:t>Global Securities Corp. c. Colombie-Britannique (Securities Commission)</w:t>
      </w:r>
      <w:r w:rsidR="00DA4887" w:rsidRPr="00C328A2">
        <w:rPr>
          <w:lang w:val="en-US"/>
        </w:rPr>
        <w:t xml:space="preserve">, 2000 CSC 21, [2000] 1 R.C.S. 494; </w:t>
      </w:r>
      <w:r w:rsidR="001F0B75" w:rsidRPr="00C328A2">
        <w:rPr>
          <w:i/>
          <w:lang w:val="en-US"/>
        </w:rPr>
        <w:t>Vivendi Canada Inc. c. Dell’Aniello</w:t>
      </w:r>
      <w:r w:rsidR="001F0B75" w:rsidRPr="00C328A2">
        <w:rPr>
          <w:lang w:val="en-US"/>
        </w:rPr>
        <w:t xml:space="preserve">, 2014 CSC 1, [2014] 1 R.C.S. 3; </w:t>
      </w:r>
      <w:r w:rsidR="00E30713" w:rsidRPr="00C328A2">
        <w:rPr>
          <w:i/>
          <w:lang w:val="en-US"/>
        </w:rPr>
        <w:t>Airia Brands Inc. c. Air Canada</w:t>
      </w:r>
      <w:r w:rsidR="00E30713" w:rsidRPr="00C328A2">
        <w:rPr>
          <w:lang w:val="en-US"/>
        </w:rPr>
        <w:t>, 2017 ONCA 792, 417 D.L.R. (4th) 467;</w:t>
      </w:r>
      <w:r w:rsidR="00E30713" w:rsidRPr="00C328A2">
        <w:rPr>
          <w:i/>
        </w:rPr>
        <w:t xml:space="preserve"> Harrington c. Dow Corning Corp.</w:t>
      </w:r>
      <w:r w:rsidR="00E30713" w:rsidRPr="00C328A2">
        <w:t>, 2000 BCCA 605, 193 D.L.R. (4th) 67</w:t>
      </w:r>
      <w:r w:rsidR="00C1433D" w:rsidRPr="00C328A2">
        <w:t>;</w:t>
      </w:r>
      <w:r w:rsidR="00CA6F4E" w:rsidRPr="00C328A2">
        <w:rPr>
          <w:i/>
        </w:rPr>
        <w:t xml:space="preserve"> Meeking c. Cash Store Inc.</w:t>
      </w:r>
      <w:r w:rsidR="00CA6F4E" w:rsidRPr="00C328A2">
        <w:t>, 2013 MBCA 81, 367 D.L.R. (4th) 684;</w:t>
      </w:r>
      <w:r w:rsidR="00160263" w:rsidRPr="00C328A2">
        <w:rPr>
          <w:i/>
        </w:rPr>
        <w:t xml:space="preserve"> Thorpe c. Honda Canada Inc.</w:t>
      </w:r>
      <w:r w:rsidR="00160263" w:rsidRPr="00C328A2">
        <w:t>, 2011 SKQB 72, [2011] 8 W.W.R. 529;</w:t>
      </w:r>
      <w:r w:rsidR="00904A75" w:rsidRPr="00C328A2">
        <w:rPr>
          <w:i/>
        </w:rPr>
        <w:t xml:space="preserve"> Wilson c. Servier Canada Inc. </w:t>
      </w:r>
      <w:r w:rsidR="00904A75" w:rsidRPr="00C328A2">
        <w:t>(2000), 50 O.R. (3d) 219;</w:t>
      </w:r>
      <w:r w:rsidR="00D9038D" w:rsidRPr="00C328A2">
        <w:rPr>
          <w:i/>
        </w:rPr>
        <w:t xml:space="preserve"> Beals c. Saldanha</w:t>
      </w:r>
      <w:r w:rsidR="00D9038D" w:rsidRPr="00C328A2">
        <w:t>, 2003 CSC 72, [2003] 3 R.C.S. 416;</w:t>
      </w:r>
      <w:r w:rsidR="00BE25A1" w:rsidRPr="00C328A2">
        <w:rPr>
          <w:i/>
        </w:rPr>
        <w:t xml:space="preserve"> Canada (Procureur général) c. British Columbia Investment Management Corp.</w:t>
      </w:r>
      <w:r w:rsidR="00BE25A1" w:rsidRPr="00C328A2">
        <w:t>, 2019 CSC 63, [2019] 4 R.C.S. 559;</w:t>
      </w:r>
      <w:r w:rsidR="009E6927" w:rsidRPr="00C328A2">
        <w:rPr>
          <w:i/>
        </w:rPr>
        <w:t xml:space="preserve"> Wells c. Terre-Neuve</w:t>
      </w:r>
      <w:r w:rsidR="009E6927" w:rsidRPr="00C328A2">
        <w:t>, [1999] 3 R.C.S. 199;</w:t>
      </w:r>
      <w:r w:rsidR="00864CD9" w:rsidRPr="00C328A2">
        <w:rPr>
          <w:i/>
          <w:iCs/>
          <w:color w:val="000000"/>
        </w:rPr>
        <w:t xml:space="preserve"> Renvoi relatif </w:t>
      </w:r>
      <w:r w:rsidR="00FA5DC8" w:rsidRPr="00C328A2">
        <w:rPr>
          <w:i/>
          <w:iCs/>
          <w:color w:val="000000"/>
        </w:rPr>
        <w:t>au Régime d’</w:t>
      </w:r>
      <w:r w:rsidR="00864CD9" w:rsidRPr="00C328A2">
        <w:rPr>
          <w:i/>
          <w:iCs/>
          <w:color w:val="000000"/>
        </w:rPr>
        <w:t>assistance publique du Canada (C.</w:t>
      </w:r>
      <w:r w:rsidR="00864CD9" w:rsidRPr="00C328A2">
        <w:rPr>
          <w:i/>
          <w:iCs/>
          <w:color w:val="000000"/>
        </w:rPr>
        <w:noBreakHyphen/>
        <w:t>B.)</w:t>
      </w:r>
      <w:r w:rsidR="00864CD9" w:rsidRPr="00C328A2">
        <w:rPr>
          <w:color w:val="000000"/>
        </w:rPr>
        <w:t xml:space="preserve">, [1991] 2 R.C.S. 525; </w:t>
      </w:r>
      <w:r w:rsidR="00923344" w:rsidRPr="00C328A2">
        <w:rPr>
          <w:i/>
        </w:rPr>
        <w:t>Banque de Montréal c. Procureur général (Québec)</w:t>
      </w:r>
      <w:r w:rsidR="00923344" w:rsidRPr="00C328A2">
        <w:t>, [1979] 1 R.C.S. 565;</w:t>
      </w:r>
      <w:r w:rsidR="005559A7" w:rsidRPr="00C328A2">
        <w:rPr>
          <w:i/>
        </w:rPr>
        <w:t xml:space="preserve"> Tolofson c. Jensen</w:t>
      </w:r>
      <w:r w:rsidR="005559A7" w:rsidRPr="00C328A2">
        <w:t>, [1994] 3 R.C.S. 1022;</w:t>
      </w:r>
      <w:r w:rsidR="0087456A" w:rsidRPr="00C328A2">
        <w:rPr>
          <w:i/>
        </w:rPr>
        <w:t xml:space="preserve"> Unifund Assurance Co. c. Insurance Corp. of British Columbia</w:t>
      </w:r>
      <w:r w:rsidR="0087456A" w:rsidRPr="00C328A2">
        <w:t xml:space="preserve">, </w:t>
      </w:r>
      <w:r w:rsidR="0087456A" w:rsidRPr="00C328A2">
        <w:lastRenderedPageBreak/>
        <w:t>2003 CSC 40, [2003] 2 R.C.S. 63;</w:t>
      </w:r>
      <w:r w:rsidR="00C678A9" w:rsidRPr="00C328A2">
        <w:rPr>
          <w:i/>
        </w:rPr>
        <w:t xml:space="preserve"> Canada (Procureur général) c. PHS Community Services Society</w:t>
      </w:r>
      <w:r w:rsidR="00C678A9" w:rsidRPr="00C328A2">
        <w:t>, 2011 CSC 44, [2011] 3 R.C.S. 134</w:t>
      </w:r>
      <w:r w:rsidR="00A97AA3" w:rsidRPr="00C328A2">
        <w:t>.</w:t>
      </w:r>
    </w:p>
    <w:p w14:paraId="5BDB0B26" w14:textId="28C82C20" w:rsidR="00A81D31" w:rsidRPr="00C328A2" w:rsidRDefault="00A81D31" w:rsidP="004D6CE4">
      <w:pPr>
        <w:pStyle w:val="SCCNormalDoubleSpacing"/>
        <w:widowControl w:val="0"/>
        <w:spacing w:after="720" w:line="240" w:lineRule="auto"/>
        <w:rPr>
          <w:lang w:val="fr-CA"/>
        </w:rPr>
      </w:pPr>
      <w:r w:rsidRPr="00C328A2">
        <w:rPr>
          <w:lang w:val="fr-CA"/>
        </w:rPr>
        <w:t>Citée par la juge Côté</w:t>
      </w:r>
      <w:r w:rsidR="00BC08A0" w:rsidRPr="00C328A2">
        <w:rPr>
          <w:lang w:val="fr-CA"/>
        </w:rPr>
        <w:t xml:space="preserve"> (dissidente)</w:t>
      </w:r>
    </w:p>
    <w:p w14:paraId="78548D16" w14:textId="563E8E27" w:rsidR="00EB5BB1" w:rsidRPr="00C328A2" w:rsidRDefault="00A81D31" w:rsidP="004D6CE4">
      <w:pPr>
        <w:pStyle w:val="SCCNormalDoubleSpacing"/>
        <w:widowControl w:val="0"/>
        <w:rPr>
          <w:lang w:val="fr-CA"/>
        </w:rPr>
      </w:pPr>
      <w:r w:rsidRPr="00C328A2">
        <w:rPr>
          <w:lang w:val="fr-CA"/>
        </w:rPr>
        <w:tab/>
      </w:r>
      <w:r w:rsidRPr="00C328A2">
        <w:rPr>
          <w:i/>
          <w:lang w:val="fr-CA"/>
        </w:rPr>
        <w:t>R. c. Parranto</w:t>
      </w:r>
      <w:r w:rsidRPr="00C328A2">
        <w:rPr>
          <w:lang w:val="fr-CA"/>
        </w:rPr>
        <w:t>, 2021 CSC 46</w:t>
      </w:r>
      <w:r w:rsidR="008B1D98" w:rsidRPr="00C328A2">
        <w:rPr>
          <w:lang w:val="fr-CA"/>
        </w:rPr>
        <w:t>, [2021] 3 R.C.S. 366</w:t>
      </w:r>
      <w:r w:rsidRPr="00C328A2">
        <w:rPr>
          <w:lang w:val="fr-CA"/>
        </w:rPr>
        <w:t>;</w:t>
      </w:r>
      <w:r w:rsidRPr="00C328A2">
        <w:rPr>
          <w:i/>
          <w:lang w:val="fr-CA"/>
        </w:rPr>
        <w:t xml:space="preserve"> R. c. Smith</w:t>
      </w:r>
      <w:r w:rsidRPr="00C328A2">
        <w:rPr>
          <w:lang w:val="fr-CA"/>
        </w:rPr>
        <w:t>, 2019 SKCA 100, 382 C.C.C. (3d) 455;</w:t>
      </w:r>
      <w:r w:rsidRPr="00C328A2">
        <w:rPr>
          <w:i/>
          <w:lang w:val="fr-CA"/>
        </w:rPr>
        <w:t xml:space="preserve"> R. c. Fyfe</w:t>
      </w:r>
      <w:r w:rsidRPr="00C328A2">
        <w:rPr>
          <w:lang w:val="fr-CA"/>
        </w:rPr>
        <w:t xml:space="preserve">, 2017 SKQB 5; </w:t>
      </w:r>
      <w:r w:rsidRPr="00C328A2">
        <w:rPr>
          <w:i/>
          <w:lang w:val="fr-CA"/>
        </w:rPr>
        <w:t>Colombie-Britannique c.</w:t>
      </w:r>
      <w:r w:rsidRPr="00C328A2">
        <w:rPr>
          <w:lang w:val="fr-CA"/>
        </w:rPr>
        <w:t xml:space="preserve"> </w:t>
      </w:r>
      <w:r w:rsidRPr="00C328A2">
        <w:rPr>
          <w:i/>
          <w:lang w:val="fr-CA"/>
        </w:rPr>
        <w:t>Imperial Tobacco Canada Ltée</w:t>
      </w:r>
      <w:r w:rsidRPr="00C328A2">
        <w:rPr>
          <w:lang w:val="fr-CA"/>
        </w:rPr>
        <w:t xml:space="preserve">, 2005 CSC 49, [2005] 2 R.C.S. 473; </w:t>
      </w:r>
      <w:r w:rsidRPr="00C328A2">
        <w:rPr>
          <w:i/>
          <w:lang w:val="fr-CA"/>
        </w:rPr>
        <w:t>Renvoi relatif à la Upper Churchill Water Rights Reversion Act</w:t>
      </w:r>
      <w:r w:rsidRPr="00C328A2">
        <w:rPr>
          <w:lang w:val="fr-CA"/>
        </w:rPr>
        <w:t xml:space="preserve">, [1984] 1 R.C.S. 297; </w:t>
      </w:r>
      <w:r w:rsidRPr="00C328A2">
        <w:rPr>
          <w:i/>
          <w:lang w:val="fr-CA"/>
        </w:rPr>
        <w:t>Global Securities Corp. c. Colombie‑Britannique (Securities Commission)</w:t>
      </w:r>
      <w:r w:rsidRPr="00C328A2">
        <w:rPr>
          <w:lang w:val="fr-CA"/>
        </w:rPr>
        <w:t xml:space="preserve">, 2000 CSC 21, [2000] 1 R.C.S. 494; </w:t>
      </w:r>
      <w:r w:rsidRPr="00C328A2">
        <w:rPr>
          <w:i/>
          <w:lang w:val="fr-CA"/>
        </w:rPr>
        <w:t>Pioneer Corp. c. Godfrey</w:t>
      </w:r>
      <w:r w:rsidRPr="00C328A2">
        <w:rPr>
          <w:lang w:val="fr-CA"/>
        </w:rPr>
        <w:t>, 2019 CSC 42, [2019] 3 R.C.S. 295;</w:t>
      </w:r>
      <w:r w:rsidR="00304BF4" w:rsidRPr="00C328A2">
        <w:rPr>
          <w:i/>
          <w:iCs/>
          <w:color w:val="000000"/>
          <w:lang w:val="fr-CA"/>
        </w:rPr>
        <w:t xml:space="preserve"> Western Canadian Shopping Centres Inc. c. Dutton</w:t>
      </w:r>
      <w:r w:rsidR="00304BF4" w:rsidRPr="00C328A2">
        <w:rPr>
          <w:color w:val="000000"/>
          <w:lang w:val="fr-CA"/>
        </w:rPr>
        <w:t>, 2001 CSC 46, [2001] 2 R.C.S. 534;</w:t>
      </w:r>
      <w:r w:rsidR="009554FF" w:rsidRPr="00C328A2">
        <w:rPr>
          <w:i/>
          <w:lang w:val="fr-CA"/>
        </w:rPr>
        <w:t xml:space="preserve"> </w:t>
      </w:r>
      <w:r w:rsidR="000F7C6E" w:rsidRPr="00C328A2">
        <w:rPr>
          <w:i/>
          <w:lang w:val="fr-CA"/>
        </w:rPr>
        <w:t>Gauthier c. The King</w:t>
      </w:r>
      <w:r w:rsidR="000F7C6E" w:rsidRPr="00C328A2">
        <w:rPr>
          <w:lang w:val="fr-CA"/>
        </w:rPr>
        <w:t xml:space="preserve"> (1918), 56 R.C.S. 176;</w:t>
      </w:r>
      <w:r w:rsidR="000F7C6E" w:rsidRPr="00C328A2">
        <w:rPr>
          <w:i/>
          <w:lang w:val="fr-CA"/>
        </w:rPr>
        <w:t xml:space="preserve"> Sharp c. Autorité des marchés financiers</w:t>
      </w:r>
      <w:r w:rsidR="000F7C6E" w:rsidRPr="00C328A2">
        <w:rPr>
          <w:lang w:val="fr-CA"/>
        </w:rPr>
        <w:t>, 2023 CSC 29;</w:t>
      </w:r>
      <w:r w:rsidR="00423F5D" w:rsidRPr="00C328A2">
        <w:rPr>
          <w:lang w:val="fr-CA"/>
        </w:rPr>
        <w:t xml:space="preserve"> </w:t>
      </w:r>
      <w:r w:rsidR="00423F5D" w:rsidRPr="00C328A2">
        <w:rPr>
          <w:i/>
          <w:iCs/>
          <w:color w:val="000000"/>
          <w:lang w:val="fr-CA"/>
        </w:rPr>
        <w:t>Sparling c. Québec (Caisse de dépôt et placement du Québec)</w:t>
      </w:r>
      <w:r w:rsidR="00423F5D" w:rsidRPr="00C328A2">
        <w:rPr>
          <w:color w:val="000000"/>
          <w:lang w:val="fr-CA"/>
        </w:rPr>
        <w:t>, [1988] 2 R.C.S. 1015; </w:t>
      </w:r>
      <w:r w:rsidR="00423F5D" w:rsidRPr="00C328A2">
        <w:rPr>
          <w:i/>
          <w:color w:val="000000"/>
          <w:lang w:val="fr-CA"/>
        </w:rPr>
        <w:t>Alberta Government Telephones c. Canada (Conseil de la radiodiffusion et des télécommunications canadiennes)</w:t>
      </w:r>
      <w:r w:rsidR="00423F5D" w:rsidRPr="00C328A2">
        <w:rPr>
          <w:color w:val="000000"/>
          <w:lang w:val="fr-CA"/>
        </w:rPr>
        <w:t>, [1989] 2 R.C.S. 225;</w:t>
      </w:r>
      <w:r w:rsidR="00107C1A" w:rsidRPr="00C328A2">
        <w:rPr>
          <w:i/>
          <w:iCs/>
          <w:lang w:val="fr-CA"/>
        </w:rPr>
        <w:t xml:space="preserve"> Currie c. McDonald’s Restaurants of Canada Ltd.</w:t>
      </w:r>
      <w:r w:rsidR="00107C1A" w:rsidRPr="00C328A2">
        <w:rPr>
          <w:lang w:val="fr-CA"/>
        </w:rPr>
        <w:t xml:space="preserve"> (2005), 74 O.R. (3d) 321;</w:t>
      </w:r>
      <w:r w:rsidR="00B53BA9" w:rsidRPr="00C328A2">
        <w:rPr>
          <w:lang w:val="fr-CA"/>
        </w:rPr>
        <w:t xml:space="preserve"> </w:t>
      </w:r>
      <w:r w:rsidR="00B53BA9" w:rsidRPr="00C328A2">
        <w:rPr>
          <w:i/>
          <w:lang w:val="fr-CA"/>
        </w:rPr>
        <w:t>Société canadienne des postes c. Lépine</w:t>
      </w:r>
      <w:r w:rsidR="00B53BA9" w:rsidRPr="00C328A2">
        <w:rPr>
          <w:lang w:val="fr-CA"/>
        </w:rPr>
        <w:t>, 2009 CSC 16, [2009] 1 R.C.S. 549;</w:t>
      </w:r>
      <w:r w:rsidR="00B53BA9" w:rsidRPr="00C328A2">
        <w:rPr>
          <w:i/>
          <w:iCs/>
          <w:lang w:val="fr-CA"/>
        </w:rPr>
        <w:t xml:space="preserve"> Turner c. Bell Mobility Inc</w:t>
      </w:r>
      <w:r w:rsidR="00B53BA9" w:rsidRPr="00C328A2">
        <w:rPr>
          <w:i/>
          <w:lang w:val="fr-CA"/>
        </w:rPr>
        <w:t>.</w:t>
      </w:r>
      <w:r w:rsidR="00B53BA9" w:rsidRPr="00C328A2">
        <w:rPr>
          <w:lang w:val="fr-CA"/>
        </w:rPr>
        <w:t>, 2016 ABCA 21, 394 D.L.R. (4th) 325;</w:t>
      </w:r>
      <w:r w:rsidR="00B53BA9" w:rsidRPr="00C328A2">
        <w:rPr>
          <w:i/>
          <w:iCs/>
          <w:lang w:val="fr-CA"/>
        </w:rPr>
        <w:t xml:space="preserve"> Gillis c. BCE Inc.</w:t>
      </w:r>
      <w:r w:rsidR="00B53BA9" w:rsidRPr="00C328A2">
        <w:rPr>
          <w:lang w:val="fr-CA"/>
        </w:rPr>
        <w:t>, 2015 NSCA 32, 358 N.S.R. (2d) 39;</w:t>
      </w:r>
      <w:r w:rsidR="0013533F" w:rsidRPr="00C328A2">
        <w:rPr>
          <w:i/>
          <w:iCs/>
          <w:lang w:val="fr-CA"/>
        </w:rPr>
        <w:t xml:space="preserve"> Frey c. BCE Inc.</w:t>
      </w:r>
      <w:r w:rsidR="0013533F" w:rsidRPr="00C328A2">
        <w:rPr>
          <w:lang w:val="fr-CA"/>
        </w:rPr>
        <w:t>, 2013 SKCA 26, 409 Sask.</w:t>
      </w:r>
      <w:r w:rsidR="000D4806" w:rsidRPr="00C328A2">
        <w:rPr>
          <w:lang w:val="fr-CA"/>
        </w:rPr>
        <w:t xml:space="preserve"> </w:t>
      </w:r>
      <w:r w:rsidR="0013533F" w:rsidRPr="00C328A2">
        <w:rPr>
          <w:lang w:val="fr-CA"/>
        </w:rPr>
        <w:t>R.</w:t>
      </w:r>
      <w:r w:rsidR="000D4806" w:rsidRPr="00C328A2">
        <w:rPr>
          <w:lang w:val="fr-CA"/>
        </w:rPr>
        <w:t xml:space="preserve"> </w:t>
      </w:r>
      <w:r w:rsidR="0013533F" w:rsidRPr="00C328A2">
        <w:rPr>
          <w:lang w:val="fr-CA"/>
        </w:rPr>
        <w:t>266;</w:t>
      </w:r>
      <w:r w:rsidR="00EF2153" w:rsidRPr="00C328A2">
        <w:rPr>
          <w:i/>
          <w:iCs/>
          <w:lang w:val="fr-CA"/>
        </w:rPr>
        <w:t xml:space="preserve"> Johnson c. Ontario</w:t>
      </w:r>
      <w:r w:rsidR="00EF2153" w:rsidRPr="00C328A2">
        <w:rPr>
          <w:lang w:val="fr-CA"/>
        </w:rPr>
        <w:t>, 2021 ONCA 650, 158 O.R. (3d) 266;</w:t>
      </w:r>
      <w:r w:rsidR="00EF2153" w:rsidRPr="00C328A2">
        <w:rPr>
          <w:i/>
          <w:iCs/>
          <w:lang w:val="fr-CA"/>
        </w:rPr>
        <w:t xml:space="preserve"> Johnson c. Ontario</w:t>
      </w:r>
      <w:r w:rsidR="00EF2153" w:rsidRPr="00C328A2">
        <w:rPr>
          <w:lang w:val="fr-CA"/>
        </w:rPr>
        <w:t>, 2022 ONCA 725, 164 O.R. (3d) 573;</w:t>
      </w:r>
      <w:r w:rsidR="009D65A3" w:rsidRPr="00C328A2">
        <w:rPr>
          <w:i/>
          <w:iCs/>
          <w:lang w:val="fr-CA"/>
        </w:rPr>
        <w:t xml:space="preserve"> Hamm c. Canada (Attorney General)</w:t>
      </w:r>
      <w:r w:rsidR="009D65A3" w:rsidRPr="00C328A2">
        <w:rPr>
          <w:lang w:val="fr-CA"/>
        </w:rPr>
        <w:t>, 2021 ABCA 329, 32 Alta. L.R. (7th) 213;</w:t>
      </w:r>
      <w:r w:rsidR="009D65A3" w:rsidRPr="00C328A2">
        <w:rPr>
          <w:i/>
          <w:iCs/>
          <w:lang w:val="fr-CA"/>
        </w:rPr>
        <w:t xml:space="preserve"> Herold c. Wassermann</w:t>
      </w:r>
      <w:r w:rsidR="009D65A3" w:rsidRPr="00C328A2">
        <w:rPr>
          <w:lang w:val="fr-CA"/>
        </w:rPr>
        <w:t xml:space="preserve">, 2022 SKCA 103, 473 D.L.R. (4th) 281; </w:t>
      </w:r>
      <w:r w:rsidR="009D65A3" w:rsidRPr="00C328A2">
        <w:rPr>
          <w:i/>
          <w:iCs/>
          <w:lang w:val="fr-CA"/>
        </w:rPr>
        <w:t xml:space="preserve">Coburn and Watson’s </w:t>
      </w:r>
      <w:r w:rsidR="009D65A3" w:rsidRPr="00C328A2">
        <w:rPr>
          <w:i/>
          <w:iCs/>
          <w:lang w:val="fr-CA"/>
        </w:rPr>
        <w:lastRenderedPageBreak/>
        <w:t>Metropolitan Home c. Home Depot of Canada Inc.</w:t>
      </w:r>
      <w:r w:rsidR="009D65A3" w:rsidRPr="00C328A2">
        <w:rPr>
          <w:lang w:val="fr-CA"/>
        </w:rPr>
        <w:t>, 2019 BCCA 308, 438 D.L.R. (4th) 533;</w:t>
      </w:r>
      <w:r w:rsidR="007849FD" w:rsidRPr="00C328A2">
        <w:rPr>
          <w:i/>
          <w:lang w:val="fr-CA"/>
        </w:rPr>
        <w:t xml:space="preserve"> Dubuc c. 1663066 Ontario Inc.</w:t>
      </w:r>
      <w:r w:rsidR="007849FD" w:rsidRPr="00C328A2">
        <w:rPr>
          <w:lang w:val="fr-CA"/>
        </w:rPr>
        <w:t>, 2009 ONCA 914, 99 O.R. (3d) 476;</w:t>
      </w:r>
      <w:r w:rsidR="00017CB5" w:rsidRPr="00C328A2">
        <w:rPr>
          <w:i/>
          <w:lang w:val="fr-CA"/>
        </w:rPr>
        <w:t xml:space="preserve"> In re Criminal Code </w:t>
      </w:r>
      <w:r w:rsidR="00017CB5" w:rsidRPr="00C328A2">
        <w:rPr>
          <w:lang w:val="fr-CA"/>
        </w:rPr>
        <w:t xml:space="preserve">(1910), 43 R.C.S. 434; </w:t>
      </w:r>
      <w:r w:rsidR="00017CB5" w:rsidRPr="00C328A2">
        <w:rPr>
          <w:i/>
          <w:lang w:val="fr-CA"/>
        </w:rPr>
        <w:t>Krieger c. Law Society of Alberta</w:t>
      </w:r>
      <w:r w:rsidR="00017CB5" w:rsidRPr="00C328A2">
        <w:rPr>
          <w:lang w:val="fr-CA"/>
        </w:rPr>
        <w:t xml:space="preserve">, 2002 CSC 65, [2002] 3 R.C.S. 372; </w:t>
      </w:r>
      <w:r w:rsidR="00017CB5" w:rsidRPr="00C328A2">
        <w:rPr>
          <w:i/>
          <w:lang w:val="fr-CA"/>
        </w:rPr>
        <w:t>Ontario c. Criminal Lawyers’ Association of Ontario</w:t>
      </w:r>
      <w:r w:rsidR="00017CB5" w:rsidRPr="00C328A2">
        <w:rPr>
          <w:lang w:val="fr-CA"/>
        </w:rPr>
        <w:t>, 2013 CSC 43, [2013] 3 R.C.S. 3</w:t>
      </w:r>
      <w:r w:rsidR="00E11D06" w:rsidRPr="00C328A2">
        <w:rPr>
          <w:lang w:val="fr-CA"/>
        </w:rPr>
        <w:t>;</w:t>
      </w:r>
      <w:r w:rsidR="00EB5BB1" w:rsidRPr="00C328A2">
        <w:rPr>
          <w:lang w:val="fr-CA"/>
        </w:rPr>
        <w:t xml:space="preserve"> </w:t>
      </w:r>
      <w:r w:rsidR="00EB5BB1" w:rsidRPr="00C328A2">
        <w:rPr>
          <w:i/>
          <w:lang w:val="fr-CA"/>
        </w:rPr>
        <w:t>Terre-Neuve-et-Labrador (Procureur général) c. Uashaunnuat (Innus de Uashat et de Mani-Utenam)</w:t>
      </w:r>
      <w:r w:rsidR="00EB5BB1" w:rsidRPr="00C328A2">
        <w:rPr>
          <w:lang w:val="fr-CA"/>
        </w:rPr>
        <w:t>, 2020 CSC 4, [2020] 1 R.C.S. 15;</w:t>
      </w:r>
    </w:p>
    <w:p w14:paraId="13A27E7C" w14:textId="6622EEE4" w:rsidR="00A81D31" w:rsidRPr="00C328A2" w:rsidRDefault="00EB5BB1" w:rsidP="004D6CE4">
      <w:pPr>
        <w:pStyle w:val="SCCNormalDoubleSpacing"/>
        <w:widowControl w:val="0"/>
        <w:spacing w:after="480"/>
        <w:rPr>
          <w:i/>
          <w:lang w:val="fr-CA"/>
        </w:rPr>
      </w:pPr>
      <w:r w:rsidRPr="00C328A2">
        <w:rPr>
          <w:i/>
          <w:lang w:val="fr-CA"/>
        </w:rPr>
        <w:t>Unifund Assurance Co. c. Insurance Corp. of British Columbia</w:t>
      </w:r>
      <w:r w:rsidRPr="00C328A2">
        <w:rPr>
          <w:lang w:val="fr-CA"/>
        </w:rPr>
        <w:t>, 2003 CSC 40, [2003] 2 R.C.S. 63;</w:t>
      </w:r>
      <w:r w:rsidR="004958BE" w:rsidRPr="00C328A2">
        <w:rPr>
          <w:i/>
          <w:lang w:val="fr-CA"/>
        </w:rPr>
        <w:t xml:space="preserve"> Club Resorts Ltd. c. Van Breda</w:t>
      </w:r>
      <w:r w:rsidR="004958BE" w:rsidRPr="00C328A2">
        <w:rPr>
          <w:lang w:val="fr-CA"/>
        </w:rPr>
        <w:t>, 2012 CSC 17, [2012] 1 R.C.S. 572;</w:t>
      </w:r>
      <w:r w:rsidR="006D085B" w:rsidRPr="00C328A2">
        <w:rPr>
          <w:lang w:val="fr-CA"/>
        </w:rPr>
        <w:t xml:space="preserve"> </w:t>
      </w:r>
      <w:r w:rsidR="006D085B" w:rsidRPr="00C328A2">
        <w:rPr>
          <w:i/>
          <w:lang w:val="fr-CA"/>
        </w:rPr>
        <w:t>Hunt c. T&amp;N plc</w:t>
      </w:r>
      <w:r w:rsidR="006D085B" w:rsidRPr="00C328A2">
        <w:rPr>
          <w:lang w:val="fr-CA"/>
        </w:rPr>
        <w:t>, [1993] 4 R.C.S. 289;</w:t>
      </w:r>
      <w:r w:rsidR="009A0CDD" w:rsidRPr="00C328A2">
        <w:rPr>
          <w:i/>
          <w:lang w:val="fr-CA"/>
        </w:rPr>
        <w:t xml:space="preserve"> </w:t>
      </w:r>
      <w:r w:rsidR="00C67292" w:rsidRPr="00C328A2">
        <w:rPr>
          <w:i/>
          <w:lang w:val="fr-CA"/>
        </w:rPr>
        <w:t>Castillo c. Castillo</w:t>
      </w:r>
      <w:r w:rsidR="00C67292" w:rsidRPr="00C328A2">
        <w:rPr>
          <w:lang w:val="fr-CA"/>
        </w:rPr>
        <w:t xml:space="preserve">, 2005 CSC 83, [2005] 3 R.C.S. 870; </w:t>
      </w:r>
      <w:r w:rsidR="009A0CDD" w:rsidRPr="00C328A2">
        <w:rPr>
          <w:i/>
          <w:lang w:val="fr-CA"/>
        </w:rPr>
        <w:t>Harrington c. Dow Corning Corp.</w:t>
      </w:r>
      <w:r w:rsidR="009A0CDD" w:rsidRPr="00C328A2">
        <w:rPr>
          <w:lang w:val="fr-CA"/>
        </w:rPr>
        <w:t>, 2000 BCCA 605, 193 D.L.R. (4th) 67;</w:t>
      </w:r>
      <w:r w:rsidR="009A0CDD" w:rsidRPr="00C328A2">
        <w:rPr>
          <w:i/>
          <w:lang w:val="fr-CA"/>
        </w:rPr>
        <w:t xml:space="preserve"> HSBC c. Hocking</w:t>
      </w:r>
      <w:r w:rsidR="004D6CE4" w:rsidRPr="00C328A2">
        <w:rPr>
          <w:lang w:val="fr-CA"/>
        </w:rPr>
        <w:t xml:space="preserve">, 2008 QCCA 800, [2008] </w:t>
      </w:r>
      <w:r w:rsidR="009A0CDD" w:rsidRPr="00C328A2">
        <w:rPr>
          <w:lang w:val="fr-CA"/>
        </w:rPr>
        <w:t>R.J.Q. 1189;</w:t>
      </w:r>
      <w:r w:rsidR="009A0CDD" w:rsidRPr="00C328A2">
        <w:rPr>
          <w:i/>
          <w:lang w:val="fr-CA"/>
        </w:rPr>
        <w:t xml:space="preserve"> Airia Brands Inc. c. Air Canada</w:t>
      </w:r>
      <w:r w:rsidR="009A0CDD" w:rsidRPr="00C328A2">
        <w:rPr>
          <w:lang w:val="fr-CA"/>
        </w:rPr>
        <w:t>, 2017 ONCA 792, 417 D.L.R. (4th) 467;</w:t>
      </w:r>
      <w:r w:rsidR="00F33AD0" w:rsidRPr="00C328A2">
        <w:rPr>
          <w:i/>
          <w:iCs/>
          <w:color w:val="000000"/>
          <w:lang w:val="fr-CA"/>
        </w:rPr>
        <w:t xml:space="preserve"> Renvoi relatif à la sécession du Québec</w:t>
      </w:r>
      <w:r w:rsidR="00F33AD0" w:rsidRPr="00C328A2">
        <w:rPr>
          <w:color w:val="000000"/>
          <w:lang w:val="fr-CA"/>
        </w:rPr>
        <w:t xml:space="preserve">, [1998] 2 R.C.S. 217; </w:t>
      </w:r>
      <w:r w:rsidR="00F33AD0" w:rsidRPr="00C328A2">
        <w:rPr>
          <w:i/>
          <w:iCs/>
          <w:color w:val="000000"/>
          <w:lang w:val="fr-CA"/>
        </w:rPr>
        <w:t>Renvoi relatif à la réglementation pancanadienne des valeurs mobilières</w:t>
      </w:r>
      <w:r w:rsidR="00F33AD0" w:rsidRPr="00C328A2">
        <w:rPr>
          <w:color w:val="000000"/>
          <w:lang w:val="fr-CA"/>
        </w:rPr>
        <w:t>, 2018 CSC 48, [2018] 3 R.C.S. 189;</w:t>
      </w:r>
      <w:r w:rsidR="00C45778" w:rsidRPr="00C328A2">
        <w:rPr>
          <w:color w:val="000000"/>
          <w:lang w:val="fr-CA"/>
        </w:rPr>
        <w:t xml:space="preserve"> </w:t>
      </w:r>
      <w:r w:rsidR="00C45778" w:rsidRPr="00C328A2">
        <w:rPr>
          <w:i/>
          <w:iCs/>
          <w:color w:val="000000"/>
          <w:lang w:val="fr-CA"/>
        </w:rPr>
        <w:t>Goodwin c. Colombie</w:t>
      </w:r>
      <w:r w:rsidR="00C45778" w:rsidRPr="00C328A2">
        <w:rPr>
          <w:i/>
          <w:iCs/>
          <w:color w:val="000000"/>
          <w:lang w:val="fr-CA"/>
        </w:rPr>
        <w:noBreakHyphen/>
        <w:t>Britannique (Superintendent of Motor Vehicles)</w:t>
      </w:r>
      <w:r w:rsidR="00C45778" w:rsidRPr="00C328A2">
        <w:rPr>
          <w:color w:val="000000"/>
          <w:lang w:val="fr-CA"/>
        </w:rPr>
        <w:t>, 2015 CSC 46, [2015] 3 R.C.S. 250;</w:t>
      </w:r>
      <w:r w:rsidR="00C45778" w:rsidRPr="00C328A2">
        <w:rPr>
          <w:i/>
          <w:lang w:val="fr-CA"/>
        </w:rPr>
        <w:t xml:space="preserve"> R. c. Brown</w:t>
      </w:r>
      <w:r w:rsidR="00C45778" w:rsidRPr="00C328A2">
        <w:rPr>
          <w:lang w:val="fr-CA"/>
        </w:rPr>
        <w:t>, 2022 CSC 18</w:t>
      </w:r>
      <w:r w:rsidR="00996915" w:rsidRPr="00C328A2">
        <w:rPr>
          <w:lang w:val="fr-CA"/>
        </w:rPr>
        <w:t>, [2022] 1 R.C.S. 374</w:t>
      </w:r>
      <w:r w:rsidR="00C45778" w:rsidRPr="00C328A2">
        <w:rPr>
          <w:lang w:val="fr-CA"/>
        </w:rPr>
        <w:t xml:space="preserve">; </w:t>
      </w:r>
      <w:r w:rsidR="00C45778" w:rsidRPr="00C328A2">
        <w:rPr>
          <w:i/>
          <w:lang w:val="fr-CA"/>
        </w:rPr>
        <w:t>Ontario c. Canadien Pacifique Ltée</w:t>
      </w:r>
      <w:r w:rsidR="00C45778" w:rsidRPr="00C328A2">
        <w:rPr>
          <w:lang w:val="fr-CA"/>
        </w:rPr>
        <w:t>, [1995] 2 R.C.S. 1031</w:t>
      </w:r>
      <w:r w:rsidR="00894140" w:rsidRPr="00C328A2">
        <w:rPr>
          <w:lang w:val="fr-CA"/>
        </w:rPr>
        <w:t xml:space="preserve">; </w:t>
      </w:r>
      <w:r w:rsidR="00894140" w:rsidRPr="00C328A2">
        <w:rPr>
          <w:i/>
          <w:iCs/>
          <w:lang w:val="fr-CA"/>
        </w:rPr>
        <w:t>Attorney General of Nova Scotia c. Attorney General of Canada</w:t>
      </w:r>
      <w:r w:rsidR="00894140" w:rsidRPr="00C328A2">
        <w:rPr>
          <w:lang w:val="fr-CA"/>
        </w:rPr>
        <w:t xml:space="preserve">, [1951] R.C.S. 31; </w:t>
      </w:r>
      <w:r w:rsidR="00894140" w:rsidRPr="00C328A2">
        <w:rPr>
          <w:i/>
          <w:lang w:val="fr-CA"/>
        </w:rPr>
        <w:t>Renvoi relatif à la Loi sur la procréation assistée</w:t>
      </w:r>
      <w:r w:rsidR="00894140" w:rsidRPr="00C328A2">
        <w:rPr>
          <w:lang w:val="fr-CA"/>
        </w:rPr>
        <w:t>, 2010 CSC 61, [2010] 3 R.C.S. 457;</w:t>
      </w:r>
      <w:r w:rsidR="000F7C6E" w:rsidRPr="00C328A2">
        <w:rPr>
          <w:lang w:val="fr-CA"/>
        </w:rPr>
        <w:t xml:space="preserve"> </w:t>
      </w:r>
      <w:r w:rsidR="009554FF" w:rsidRPr="00C328A2">
        <w:rPr>
          <w:i/>
          <w:lang w:val="fr-CA"/>
        </w:rPr>
        <w:t>Québec (Procureur général) c. Lacombe</w:t>
      </w:r>
      <w:r w:rsidR="009554FF" w:rsidRPr="00C328A2">
        <w:rPr>
          <w:lang w:val="fr-CA"/>
        </w:rPr>
        <w:t>, 2010 CSC 38, [2010] 2 R.C.S. 453;</w:t>
      </w:r>
      <w:r w:rsidR="00254B4A" w:rsidRPr="00C328A2">
        <w:rPr>
          <w:i/>
          <w:lang w:val="fr-CA"/>
        </w:rPr>
        <w:t xml:space="preserve"> Schachter c. Canada</w:t>
      </w:r>
      <w:r w:rsidR="00254B4A" w:rsidRPr="00C328A2">
        <w:rPr>
          <w:lang w:val="fr-CA"/>
        </w:rPr>
        <w:t>, [1992] 2 R.C.S. 679;</w:t>
      </w:r>
      <w:r w:rsidR="00254B4A" w:rsidRPr="00C328A2">
        <w:rPr>
          <w:i/>
          <w:lang w:val="fr-CA"/>
        </w:rPr>
        <w:t xml:space="preserve"> Ontario (Procureur général) c. G</w:t>
      </w:r>
      <w:r w:rsidR="00254B4A" w:rsidRPr="00C328A2">
        <w:rPr>
          <w:lang w:val="fr-CA"/>
        </w:rPr>
        <w:t>, 2020 CSC 38, [2020] 3 R.C.S. 629</w:t>
      </w:r>
      <w:r w:rsidR="003B58B7" w:rsidRPr="00C328A2">
        <w:rPr>
          <w:lang w:val="fr-CA"/>
        </w:rPr>
        <w:t>.</w:t>
      </w:r>
    </w:p>
    <w:p w14:paraId="13F3A970" w14:textId="77777777" w:rsidR="004D7D95" w:rsidRPr="00C328A2" w:rsidRDefault="004D7D95" w:rsidP="004D6CE4">
      <w:pPr>
        <w:pStyle w:val="SCCNormalDoubleSpacing"/>
        <w:spacing w:after="720" w:line="240" w:lineRule="auto"/>
        <w:rPr>
          <w:b/>
          <w:lang w:val="en-US"/>
        </w:rPr>
      </w:pPr>
      <w:r w:rsidRPr="00C328A2">
        <w:rPr>
          <w:b/>
          <w:lang w:val="en-US"/>
        </w:rPr>
        <w:t>Lois et règlements cités</w:t>
      </w:r>
    </w:p>
    <w:p w14:paraId="7B096823" w14:textId="1F8D34CC" w:rsidR="00B05101" w:rsidRPr="00C328A2" w:rsidRDefault="00B05101" w:rsidP="004D6CE4">
      <w:pPr>
        <w:pStyle w:val="SCCNormalDoubleSpacing"/>
        <w:spacing w:after="240" w:line="240" w:lineRule="auto"/>
        <w:ind w:left="540" w:hanging="540"/>
      </w:pPr>
      <w:r w:rsidRPr="00C328A2">
        <w:rPr>
          <w:i/>
        </w:rPr>
        <w:lastRenderedPageBreak/>
        <w:t>Class Proceedings Act</w:t>
      </w:r>
      <w:r w:rsidR="004D6CE4" w:rsidRPr="00C328A2">
        <w:t>, R.S.B.C. 1996, c. </w:t>
      </w:r>
      <w:r w:rsidRPr="00C328A2">
        <w:t>50</w:t>
      </w:r>
      <w:r w:rsidR="009B334E" w:rsidRPr="00C328A2">
        <w:t>, art. </w:t>
      </w:r>
      <w:r w:rsidR="00737ED9" w:rsidRPr="00C328A2">
        <w:t xml:space="preserve">1, 2(1), </w:t>
      </w:r>
      <w:r w:rsidR="00F0114A" w:rsidRPr="00C328A2">
        <w:t xml:space="preserve">4, </w:t>
      </w:r>
      <w:r w:rsidR="00737ED9" w:rsidRPr="00C328A2">
        <w:t xml:space="preserve">4.1, </w:t>
      </w:r>
      <w:r w:rsidR="00EE46E4" w:rsidRPr="00C328A2">
        <w:t>8(3), 10</w:t>
      </w:r>
      <w:r w:rsidR="00CE2651" w:rsidRPr="00C328A2">
        <w:t>, 12, 15(1)</w:t>
      </w:r>
      <w:r w:rsidR="00EE46E4" w:rsidRPr="00C328A2">
        <w:t xml:space="preserve">, </w:t>
      </w:r>
      <w:r w:rsidR="00737ED9" w:rsidRPr="00C328A2">
        <w:t xml:space="preserve">16, </w:t>
      </w:r>
      <w:r w:rsidR="00D50C6C" w:rsidRPr="00C328A2">
        <w:t xml:space="preserve">26, </w:t>
      </w:r>
      <w:r w:rsidR="00463D7C" w:rsidRPr="00C328A2">
        <w:t xml:space="preserve">35, 36(2), </w:t>
      </w:r>
      <w:r w:rsidR="00737ED9" w:rsidRPr="00C328A2">
        <w:t>44</w:t>
      </w:r>
      <w:r w:rsidRPr="00C328A2">
        <w:t>.</w:t>
      </w:r>
    </w:p>
    <w:p w14:paraId="17C8BEDA" w14:textId="6DA5F9FB" w:rsidR="004E6640" w:rsidRPr="00C328A2" w:rsidRDefault="004E6640" w:rsidP="004D6CE4">
      <w:pPr>
        <w:pStyle w:val="SCCNormalDoubleSpacing"/>
        <w:spacing w:after="240" w:line="240" w:lineRule="auto"/>
        <w:ind w:left="540" w:hanging="540"/>
      </w:pPr>
      <w:r w:rsidRPr="00C328A2">
        <w:rPr>
          <w:i/>
        </w:rPr>
        <w:t>Crown Proceeding Act</w:t>
      </w:r>
      <w:r w:rsidRPr="00C328A2">
        <w:t>, R.S.B.C. 1996, c. 89, art. 1 « </w:t>
      </w:r>
      <w:r w:rsidRPr="00C328A2">
        <w:rPr>
          <w:i/>
        </w:rPr>
        <w:t>person</w:t>
      </w:r>
      <w:r w:rsidRPr="00C328A2">
        <w:t> ».</w:t>
      </w:r>
    </w:p>
    <w:p w14:paraId="38EB00D1" w14:textId="4036F8CF" w:rsidR="0063658E" w:rsidRPr="00C328A2" w:rsidRDefault="0063658E" w:rsidP="004D6CE4">
      <w:pPr>
        <w:pStyle w:val="SCCNormalDoubleSpacing"/>
        <w:spacing w:after="240" w:line="240" w:lineRule="auto"/>
        <w:ind w:left="540" w:hanging="540"/>
      </w:pPr>
      <w:r w:rsidRPr="00C328A2">
        <w:rPr>
          <w:i/>
          <w:iCs/>
        </w:rPr>
        <w:t>Executive Council Act</w:t>
      </w:r>
      <w:r w:rsidRPr="00C328A2">
        <w:t>, S.N.L. 1995, c. E</w:t>
      </w:r>
      <w:r w:rsidRPr="00C328A2">
        <w:noBreakHyphen/>
        <w:t>16.1, art. 4(4).</w:t>
      </w:r>
    </w:p>
    <w:p w14:paraId="27263A45" w14:textId="52F313DB" w:rsidR="0043413D" w:rsidRPr="00C328A2" w:rsidRDefault="0043413D" w:rsidP="004D6CE4">
      <w:pPr>
        <w:pStyle w:val="SCCNormalDoubleSpacing"/>
        <w:spacing w:after="240" w:line="240" w:lineRule="auto"/>
        <w:ind w:left="540" w:hanging="540"/>
      </w:pPr>
      <w:r w:rsidRPr="00C328A2">
        <w:rPr>
          <w:i/>
          <w:iCs/>
        </w:rPr>
        <w:t>Government Organization Act</w:t>
      </w:r>
      <w:r w:rsidRPr="00C328A2">
        <w:t>, R.S.A. 2000, c. G</w:t>
      </w:r>
      <w:r w:rsidRPr="00C328A2">
        <w:noBreakHyphen/>
        <w:t>10, ann. 9, art. 2.</w:t>
      </w:r>
    </w:p>
    <w:p w14:paraId="05A98600" w14:textId="449324F7" w:rsidR="008B04F4" w:rsidRPr="00C328A2" w:rsidRDefault="008B04F4" w:rsidP="004D6CE4">
      <w:pPr>
        <w:pStyle w:val="SCCNormalDoubleSpacing"/>
        <w:spacing w:after="240" w:line="240" w:lineRule="auto"/>
        <w:ind w:left="540" w:hanging="540"/>
      </w:pPr>
      <w:r w:rsidRPr="00C328A2">
        <w:rPr>
          <w:i/>
        </w:rPr>
        <w:t>Interpretation Act</w:t>
      </w:r>
      <w:r w:rsidRPr="00C328A2">
        <w:t xml:space="preserve">, R.S.B.C. 1996, c. 238, art. 29 </w:t>
      </w:r>
      <w:r w:rsidR="00B056D2" w:rsidRPr="00C328A2">
        <w:t>« </w:t>
      </w:r>
      <w:r w:rsidR="00B056D2" w:rsidRPr="00C328A2">
        <w:rPr>
          <w:i/>
        </w:rPr>
        <w:t>corporation</w:t>
      </w:r>
      <w:r w:rsidR="00B056D2" w:rsidRPr="00C328A2">
        <w:t xml:space="preserve"> », </w:t>
      </w:r>
      <w:r w:rsidRPr="00C328A2">
        <w:t>« </w:t>
      </w:r>
      <w:r w:rsidRPr="00C328A2">
        <w:rPr>
          <w:i/>
        </w:rPr>
        <w:t>person</w:t>
      </w:r>
      <w:r w:rsidRPr="00C328A2">
        <w:t> ».</w:t>
      </w:r>
    </w:p>
    <w:p w14:paraId="4149DB6C" w14:textId="458D1C31" w:rsidR="003200C5" w:rsidRPr="00C328A2" w:rsidRDefault="003200C5" w:rsidP="004D6CE4">
      <w:pPr>
        <w:pStyle w:val="SCCNormalDoubleSpacing"/>
        <w:spacing w:after="240" w:line="240" w:lineRule="auto"/>
        <w:ind w:left="540" w:hanging="540"/>
      </w:pPr>
      <w:r w:rsidRPr="00C328A2">
        <w:rPr>
          <w:i/>
          <w:iCs/>
        </w:rPr>
        <w:t>Judicature Act</w:t>
      </w:r>
      <w:r w:rsidRPr="00C328A2">
        <w:t>, R.S.P.E.I. 1988, c. J</w:t>
      </w:r>
      <w:r w:rsidRPr="00C328A2">
        <w:noBreakHyphen/>
        <w:t>2.1, art. 36.</w:t>
      </w:r>
    </w:p>
    <w:p w14:paraId="4701BBA4" w14:textId="372A535D" w:rsidR="00023EDE" w:rsidRPr="00C328A2" w:rsidRDefault="00023EDE" w:rsidP="004D6CE4">
      <w:pPr>
        <w:pStyle w:val="SCCNormalDoubleSpacing"/>
        <w:spacing w:after="240" w:line="240" w:lineRule="auto"/>
        <w:ind w:left="540" w:hanging="540"/>
        <w:rPr>
          <w:color w:val="000000"/>
          <w:lang w:val="fr-CA"/>
        </w:rPr>
      </w:pPr>
      <w:r w:rsidRPr="00C328A2">
        <w:rPr>
          <w:i/>
          <w:iCs/>
          <w:color w:val="000000"/>
          <w:lang w:val="fr-CA"/>
        </w:rPr>
        <w:t>Loi constitutionnelle de 1867</w:t>
      </w:r>
      <w:r w:rsidRPr="00C328A2">
        <w:rPr>
          <w:color w:val="000000"/>
          <w:lang w:val="fr-CA"/>
        </w:rPr>
        <w:t>,</w:t>
      </w:r>
      <w:r w:rsidR="00814CB1" w:rsidRPr="00C328A2">
        <w:rPr>
          <w:color w:val="000000"/>
          <w:lang w:val="fr-CA"/>
        </w:rPr>
        <w:t xml:space="preserve"> </w:t>
      </w:r>
      <w:r w:rsidR="00817282" w:rsidRPr="00C328A2">
        <w:rPr>
          <w:color w:val="000000"/>
          <w:lang w:val="fr-CA"/>
        </w:rPr>
        <w:t xml:space="preserve">partie V, </w:t>
      </w:r>
      <w:r w:rsidR="00C45778" w:rsidRPr="00C328A2">
        <w:rPr>
          <w:color w:val="000000"/>
          <w:lang w:val="fr-CA"/>
        </w:rPr>
        <w:t xml:space="preserve">partie VI, </w:t>
      </w:r>
      <w:r w:rsidR="004D6CE4" w:rsidRPr="00C328A2">
        <w:rPr>
          <w:color w:val="000000"/>
          <w:lang w:val="fr-CA"/>
        </w:rPr>
        <w:t>art. </w:t>
      </w:r>
      <w:r w:rsidR="0014030C" w:rsidRPr="00C328A2">
        <w:rPr>
          <w:color w:val="000000"/>
          <w:lang w:val="fr-CA"/>
        </w:rPr>
        <w:t xml:space="preserve">91, </w:t>
      </w:r>
      <w:r w:rsidR="00814CB1" w:rsidRPr="00C328A2">
        <w:rPr>
          <w:color w:val="000000"/>
          <w:lang w:val="fr-CA"/>
        </w:rPr>
        <w:t>92</w:t>
      </w:r>
      <w:r w:rsidR="00EB5BB1" w:rsidRPr="00C328A2">
        <w:rPr>
          <w:color w:val="000000"/>
          <w:lang w:val="fr-CA"/>
        </w:rPr>
        <w:t>.</w:t>
      </w:r>
    </w:p>
    <w:p w14:paraId="2E88E9AA" w14:textId="6926E815" w:rsidR="00FE107E" w:rsidRPr="00C328A2" w:rsidRDefault="00FE107E" w:rsidP="004D6CE4">
      <w:pPr>
        <w:pStyle w:val="SCCNormalDoubleSpacing"/>
        <w:spacing w:after="240" w:line="240" w:lineRule="auto"/>
        <w:ind w:left="540" w:hanging="540"/>
        <w:rPr>
          <w:color w:val="000000"/>
          <w:lang w:val="fr-CA"/>
        </w:rPr>
      </w:pPr>
      <w:r w:rsidRPr="00C328A2">
        <w:rPr>
          <w:i/>
          <w:iCs/>
          <w:color w:val="000000"/>
          <w:lang w:val="fr-CA"/>
        </w:rPr>
        <w:t>Loi constitutionnelle de 1982</w:t>
      </w:r>
      <w:r w:rsidR="004D6CE4" w:rsidRPr="00C328A2">
        <w:rPr>
          <w:color w:val="000000"/>
          <w:lang w:val="fr-CA"/>
        </w:rPr>
        <w:t>, art. </w:t>
      </w:r>
      <w:r w:rsidRPr="00C328A2">
        <w:rPr>
          <w:color w:val="000000"/>
          <w:lang w:val="fr-CA"/>
        </w:rPr>
        <w:t>52.</w:t>
      </w:r>
    </w:p>
    <w:p w14:paraId="2308EF8F" w14:textId="137DCEBA" w:rsidR="00165513" w:rsidRPr="00C328A2" w:rsidRDefault="00165513" w:rsidP="004D6CE4">
      <w:pPr>
        <w:pStyle w:val="SCCNormalDoubleSpacing"/>
        <w:spacing w:after="240" w:line="240" w:lineRule="auto"/>
        <w:ind w:left="540" w:hanging="540"/>
        <w:rPr>
          <w:lang w:val="fr-CA"/>
        </w:rPr>
      </w:pPr>
      <w:r w:rsidRPr="00C328A2">
        <w:rPr>
          <w:i/>
          <w:lang w:val="fr-CA"/>
        </w:rPr>
        <w:t>Loi de 2019 sur le recouvrement des dommages-intérêts et du coût des soins de santé imputables aux opioïdes</w:t>
      </w:r>
      <w:r w:rsidRPr="00C328A2">
        <w:rPr>
          <w:lang w:val="fr-CA"/>
        </w:rPr>
        <w:t>, L.O. 2019, c. 17, ann. 2, art. </w:t>
      </w:r>
      <w:r w:rsidR="00D10A9F" w:rsidRPr="00C328A2">
        <w:rPr>
          <w:lang w:val="fr-CA"/>
        </w:rPr>
        <w:t xml:space="preserve">11, </w:t>
      </w:r>
      <w:r w:rsidRPr="00C328A2">
        <w:rPr>
          <w:lang w:val="fr-CA"/>
        </w:rPr>
        <w:t>12.</w:t>
      </w:r>
    </w:p>
    <w:p w14:paraId="148A4CCF" w14:textId="160B9F29" w:rsidR="00000F28" w:rsidRPr="00C328A2" w:rsidRDefault="00000F28" w:rsidP="004D6CE4">
      <w:pPr>
        <w:pStyle w:val="SCCNormalDoubleSpacing"/>
        <w:spacing w:after="240" w:line="240" w:lineRule="auto"/>
        <w:ind w:left="540" w:hanging="540"/>
        <w:rPr>
          <w:lang w:val="fr-CA"/>
        </w:rPr>
      </w:pPr>
      <w:r w:rsidRPr="00C328A2">
        <w:rPr>
          <w:i/>
          <w:lang w:val="fr-CA"/>
        </w:rPr>
        <w:t>Loi sur la concurrence</w:t>
      </w:r>
      <w:r w:rsidR="004D6CE4" w:rsidRPr="00C328A2">
        <w:rPr>
          <w:lang w:val="fr-CA"/>
        </w:rPr>
        <w:t>, L.R.C. 1985, c. C</w:t>
      </w:r>
      <w:r w:rsidR="004D6CE4" w:rsidRPr="00C328A2">
        <w:rPr>
          <w:lang w:val="fr-CA"/>
        </w:rPr>
        <w:noBreakHyphen/>
      </w:r>
      <w:r w:rsidRPr="00C328A2">
        <w:rPr>
          <w:lang w:val="fr-CA"/>
        </w:rPr>
        <w:t>34</w:t>
      </w:r>
      <w:r w:rsidR="00FC464B" w:rsidRPr="00C328A2">
        <w:rPr>
          <w:lang w:val="fr-CA"/>
        </w:rPr>
        <w:t>, art. 52</w:t>
      </w:r>
      <w:r w:rsidRPr="00C328A2">
        <w:rPr>
          <w:lang w:val="fr-CA"/>
        </w:rPr>
        <w:t>.</w:t>
      </w:r>
    </w:p>
    <w:p w14:paraId="6C055BB4" w14:textId="0492386F" w:rsidR="00254926" w:rsidRPr="00C328A2" w:rsidRDefault="00254926" w:rsidP="004D6CE4">
      <w:pPr>
        <w:pStyle w:val="SCCNormalDoubleSpacing"/>
        <w:spacing w:after="240" w:line="240" w:lineRule="auto"/>
        <w:ind w:left="540" w:hanging="540"/>
        <w:rPr>
          <w:lang w:val="fr-CA"/>
        </w:rPr>
      </w:pPr>
      <w:r w:rsidRPr="00C328A2">
        <w:rPr>
          <w:i/>
          <w:lang w:val="fr-CA"/>
        </w:rPr>
        <w:t>Loi sur le ministère de la Justice</w:t>
      </w:r>
      <w:r w:rsidRPr="00C328A2">
        <w:rPr>
          <w:lang w:val="fr-CA"/>
        </w:rPr>
        <w:t>, C.P.L.M. c. J35, art. 2, 2.1.</w:t>
      </w:r>
    </w:p>
    <w:p w14:paraId="2E350FD3" w14:textId="40D20D4E" w:rsidR="00966701" w:rsidRPr="00C328A2" w:rsidRDefault="0043413D" w:rsidP="004D6CE4">
      <w:pPr>
        <w:pStyle w:val="SCCNormalDoubleSpacing"/>
        <w:spacing w:after="240" w:line="240" w:lineRule="auto"/>
        <w:ind w:left="540" w:hanging="540"/>
        <w:rPr>
          <w:lang w:val="fr-CA"/>
        </w:rPr>
      </w:pPr>
      <w:r w:rsidRPr="00C328A2">
        <w:rPr>
          <w:i/>
          <w:lang w:val="fr-CA"/>
        </w:rPr>
        <w:t>Loi sur le ministère de la Justice</w:t>
      </w:r>
      <w:r w:rsidR="004D6CE4" w:rsidRPr="00C328A2">
        <w:rPr>
          <w:lang w:val="fr-CA"/>
        </w:rPr>
        <w:t>, L.R.C. 1985, c. J</w:t>
      </w:r>
      <w:r w:rsidR="004D6CE4" w:rsidRPr="00C328A2">
        <w:rPr>
          <w:lang w:val="fr-CA"/>
        </w:rPr>
        <w:noBreakHyphen/>
      </w:r>
      <w:r w:rsidRPr="00C328A2">
        <w:rPr>
          <w:lang w:val="fr-CA"/>
        </w:rPr>
        <w:t>2, art. 5.</w:t>
      </w:r>
    </w:p>
    <w:p w14:paraId="74556249" w14:textId="22891285" w:rsidR="00966701" w:rsidRPr="00C328A2" w:rsidRDefault="00966701" w:rsidP="004D6CE4">
      <w:pPr>
        <w:pStyle w:val="SCCNormalDoubleSpacing"/>
        <w:spacing w:after="240" w:line="240" w:lineRule="auto"/>
        <w:ind w:left="540" w:hanging="540"/>
        <w:rPr>
          <w:color w:val="000000"/>
          <w:lang w:val="fr-CA"/>
        </w:rPr>
      </w:pPr>
      <w:r w:rsidRPr="00C328A2">
        <w:rPr>
          <w:i/>
          <w:iCs/>
          <w:color w:val="000000"/>
          <w:lang w:val="fr-CA"/>
        </w:rPr>
        <w:t>Loi sur le ministère de la Justice</w:t>
      </w:r>
      <w:r w:rsidRPr="00C328A2">
        <w:rPr>
          <w:color w:val="000000"/>
          <w:lang w:val="fr-CA"/>
        </w:rPr>
        <w:t>, L.R.T.N.</w:t>
      </w:r>
      <w:r w:rsidRPr="00C328A2">
        <w:rPr>
          <w:color w:val="000000"/>
          <w:lang w:val="fr-CA"/>
        </w:rPr>
        <w:noBreakHyphen/>
        <w:t>O. (Nun.) 1988, c. 97 (Suppl.), art. 5.</w:t>
      </w:r>
    </w:p>
    <w:p w14:paraId="752D816B" w14:textId="697BCFE4" w:rsidR="003200C5" w:rsidRPr="00C328A2" w:rsidRDefault="003200C5" w:rsidP="004D6CE4">
      <w:pPr>
        <w:pStyle w:val="SCCNormalDoubleSpacing"/>
        <w:spacing w:after="240" w:line="240" w:lineRule="auto"/>
        <w:ind w:left="540" w:hanging="540"/>
        <w:rPr>
          <w:lang w:val="fr-CA"/>
        </w:rPr>
      </w:pPr>
      <w:r w:rsidRPr="00C328A2">
        <w:rPr>
          <w:i/>
          <w:iCs/>
          <w:color w:val="000000"/>
          <w:lang w:val="fr-CA"/>
        </w:rPr>
        <w:t>Loi sur le ministère de la Justice</w:t>
      </w:r>
      <w:r w:rsidRPr="00C328A2">
        <w:rPr>
          <w:lang w:val="fr-CA"/>
        </w:rPr>
        <w:t>, L.R.Y. 2002, c. 55, art. 7.</w:t>
      </w:r>
    </w:p>
    <w:p w14:paraId="7059BB55" w14:textId="69CFBCCE" w:rsidR="00254926" w:rsidRPr="00C328A2" w:rsidRDefault="00254926" w:rsidP="004D6CE4">
      <w:pPr>
        <w:pStyle w:val="SCCNormalDoubleSpacing"/>
        <w:spacing w:after="240" w:line="240" w:lineRule="auto"/>
        <w:ind w:left="540" w:hanging="540"/>
        <w:rPr>
          <w:lang w:val="fr-CA"/>
        </w:rPr>
      </w:pPr>
      <w:r w:rsidRPr="00C328A2">
        <w:rPr>
          <w:i/>
          <w:lang w:val="fr-CA"/>
        </w:rPr>
        <w:t>Loi sur le ministère de la Justice</w:t>
      </w:r>
      <w:r w:rsidRPr="00C328A2">
        <w:rPr>
          <w:lang w:val="fr-CA"/>
        </w:rPr>
        <w:t>, RLRQ</w:t>
      </w:r>
      <w:r w:rsidR="00480258" w:rsidRPr="00C328A2">
        <w:rPr>
          <w:lang w:val="fr-CA"/>
        </w:rPr>
        <w:t>,</w:t>
      </w:r>
      <w:r w:rsidRPr="00C328A2">
        <w:rPr>
          <w:lang w:val="fr-CA"/>
        </w:rPr>
        <w:t xml:space="preserve"> c. M</w:t>
      </w:r>
      <w:r w:rsidRPr="00C328A2">
        <w:rPr>
          <w:lang w:val="fr-CA"/>
        </w:rPr>
        <w:noBreakHyphen/>
        <w:t>19, art. 4.</w:t>
      </w:r>
    </w:p>
    <w:p w14:paraId="4740A672" w14:textId="4D62E59A" w:rsidR="00254926" w:rsidRPr="00C328A2" w:rsidRDefault="00254926" w:rsidP="004D6CE4">
      <w:pPr>
        <w:pStyle w:val="SCCNormalDoubleSpacing"/>
        <w:spacing w:after="240" w:line="240" w:lineRule="auto"/>
        <w:ind w:left="540" w:hanging="540"/>
        <w:rPr>
          <w:color w:val="000000"/>
          <w:lang w:val="fr-CA"/>
        </w:rPr>
      </w:pPr>
      <w:r w:rsidRPr="00C328A2">
        <w:rPr>
          <w:i/>
          <w:iCs/>
          <w:color w:val="000000"/>
          <w:lang w:val="fr-CA"/>
        </w:rPr>
        <w:t>Loi sur le ministère du Procureur général</w:t>
      </w:r>
      <w:r w:rsidR="00F238DA" w:rsidRPr="00C328A2">
        <w:rPr>
          <w:color w:val="000000"/>
          <w:lang w:val="fr-CA"/>
        </w:rPr>
        <w:t>, L.R.O. 1990, c</w:t>
      </w:r>
      <w:r w:rsidRPr="00C328A2">
        <w:rPr>
          <w:color w:val="000000"/>
          <w:lang w:val="fr-CA"/>
        </w:rPr>
        <w:t>. M.17, art. 5.</w:t>
      </w:r>
    </w:p>
    <w:p w14:paraId="1262FC0B" w14:textId="67732CBA" w:rsidR="006B7857" w:rsidRPr="00C328A2" w:rsidRDefault="006B7857" w:rsidP="004D6CE4">
      <w:pPr>
        <w:pStyle w:val="SCCNormalDoubleSpacing"/>
        <w:spacing w:after="240" w:line="240" w:lineRule="auto"/>
        <w:ind w:left="540" w:hanging="540"/>
        <w:rPr>
          <w:iCs/>
          <w:color w:val="000000"/>
          <w:lang w:val="fr-CA"/>
        </w:rPr>
      </w:pPr>
      <w:r w:rsidRPr="00C328A2">
        <w:rPr>
          <w:i/>
          <w:iCs/>
          <w:color w:val="000000"/>
          <w:lang w:val="fr-CA"/>
        </w:rPr>
        <w:t>Loi sur le recouvrement des dommages-intérêts et des coûts des soins de santé imputables aux opioïdes</w:t>
      </w:r>
      <w:r w:rsidRPr="00C328A2">
        <w:rPr>
          <w:iCs/>
          <w:color w:val="000000"/>
          <w:lang w:val="fr-CA"/>
        </w:rPr>
        <w:t>, L.N.</w:t>
      </w:r>
      <w:r w:rsidR="004D6CE4" w:rsidRPr="00C328A2">
        <w:rPr>
          <w:iCs/>
          <w:color w:val="000000"/>
          <w:lang w:val="fr-CA"/>
        </w:rPr>
        <w:noBreakHyphen/>
      </w:r>
      <w:r w:rsidRPr="00C328A2">
        <w:rPr>
          <w:iCs/>
          <w:color w:val="000000"/>
          <w:lang w:val="fr-CA"/>
        </w:rPr>
        <w:t>B. 2023, c</w:t>
      </w:r>
      <w:r w:rsidR="004D6CE4" w:rsidRPr="00C328A2">
        <w:rPr>
          <w:iCs/>
          <w:color w:val="000000"/>
          <w:lang w:val="fr-CA"/>
        </w:rPr>
        <w:t>. </w:t>
      </w:r>
      <w:r w:rsidRPr="00C328A2">
        <w:rPr>
          <w:iCs/>
          <w:color w:val="000000"/>
          <w:lang w:val="fr-CA"/>
        </w:rPr>
        <w:t>28.</w:t>
      </w:r>
    </w:p>
    <w:p w14:paraId="5699590C" w14:textId="67A497DF" w:rsidR="00D91AE0" w:rsidRPr="00C328A2" w:rsidRDefault="00D91AE0" w:rsidP="004D6CE4">
      <w:pPr>
        <w:pStyle w:val="SCCNormalDoubleSpacing"/>
        <w:spacing w:after="240" w:line="240" w:lineRule="auto"/>
        <w:ind w:left="540" w:hanging="540"/>
        <w:rPr>
          <w:iCs/>
          <w:color w:val="000000"/>
          <w:lang w:val="fr-CA"/>
        </w:rPr>
      </w:pPr>
      <w:r w:rsidRPr="00C328A2">
        <w:rPr>
          <w:i/>
          <w:iCs/>
          <w:color w:val="000000"/>
          <w:lang w:val="fr-CA"/>
        </w:rPr>
        <w:t>Loi sur le recouvrement des dommages-intérêts et du coût des soins de santé liés aux opioïdes</w:t>
      </w:r>
      <w:r w:rsidRPr="00C328A2">
        <w:rPr>
          <w:iCs/>
          <w:color w:val="000000"/>
          <w:lang w:val="fr-CA"/>
        </w:rPr>
        <w:t xml:space="preserve">, </w:t>
      </w:r>
      <w:r w:rsidRPr="00C328A2">
        <w:rPr>
          <w:lang w:val="fr-CA"/>
        </w:rPr>
        <w:t>L. Nun</w:t>
      </w:r>
      <w:r w:rsidR="004D6CE4" w:rsidRPr="00C328A2">
        <w:rPr>
          <w:lang w:val="fr-CA"/>
        </w:rPr>
        <w:t>. 2023, c. </w:t>
      </w:r>
      <w:r w:rsidRPr="00C328A2">
        <w:rPr>
          <w:lang w:val="fr-CA"/>
        </w:rPr>
        <w:t>19.</w:t>
      </w:r>
    </w:p>
    <w:p w14:paraId="14B022BB" w14:textId="19CB88DF" w:rsidR="00BA14A4" w:rsidRPr="00C328A2" w:rsidRDefault="00BA14A4" w:rsidP="004D6CE4">
      <w:pPr>
        <w:pStyle w:val="SCCNormalDoubleSpacing"/>
        <w:spacing w:after="240" w:line="240" w:lineRule="auto"/>
        <w:ind w:left="540" w:hanging="540"/>
        <w:rPr>
          <w:iCs/>
          <w:color w:val="000000"/>
          <w:lang w:val="fr-CA"/>
        </w:rPr>
      </w:pPr>
      <w:r w:rsidRPr="00C328A2">
        <w:rPr>
          <w:i/>
          <w:iCs/>
          <w:color w:val="000000"/>
          <w:lang w:val="fr-CA"/>
        </w:rPr>
        <w:t>Loi sur le recouvrement des dommages-intérêts et du coût des soins de santé liés aux opioïdes</w:t>
      </w:r>
      <w:r w:rsidRPr="00C328A2">
        <w:rPr>
          <w:iCs/>
          <w:color w:val="000000"/>
          <w:lang w:val="fr-CA"/>
        </w:rPr>
        <w:t>, L.T.N.-O. 2023, c</w:t>
      </w:r>
      <w:r w:rsidR="00B06790" w:rsidRPr="00C328A2">
        <w:rPr>
          <w:iCs/>
          <w:color w:val="000000"/>
          <w:lang w:val="fr-CA"/>
        </w:rPr>
        <w:t>.</w:t>
      </w:r>
      <w:r w:rsidR="004D6CE4" w:rsidRPr="00C328A2">
        <w:rPr>
          <w:iCs/>
          <w:color w:val="000000"/>
          <w:lang w:val="fr-CA"/>
        </w:rPr>
        <w:t> </w:t>
      </w:r>
      <w:r w:rsidRPr="00C328A2">
        <w:rPr>
          <w:iCs/>
          <w:color w:val="000000"/>
          <w:lang w:val="fr-CA"/>
        </w:rPr>
        <w:t>18.</w:t>
      </w:r>
    </w:p>
    <w:p w14:paraId="505E2E5C" w14:textId="5BA35B65" w:rsidR="00DD281D" w:rsidRPr="00C328A2" w:rsidRDefault="00DD281D" w:rsidP="004D6CE4">
      <w:pPr>
        <w:pStyle w:val="SCCNormalDoubleSpacing"/>
        <w:spacing w:after="240" w:line="240" w:lineRule="auto"/>
        <w:ind w:left="540" w:hanging="540"/>
        <w:rPr>
          <w:lang w:val="fr-CA"/>
        </w:rPr>
      </w:pPr>
      <w:r w:rsidRPr="00C328A2">
        <w:rPr>
          <w:i/>
          <w:lang w:val="fr-CA"/>
        </w:rPr>
        <w:t>Loi sur le recouvrement du coût des soins de santé et des dommages-intérêts liés aux opioïdes</w:t>
      </w:r>
      <w:r w:rsidRPr="00C328A2">
        <w:rPr>
          <w:lang w:val="fr-CA"/>
        </w:rPr>
        <w:t>, RLRQ</w:t>
      </w:r>
      <w:r w:rsidR="004D6CE4" w:rsidRPr="00C328A2">
        <w:rPr>
          <w:lang w:val="fr-CA"/>
        </w:rPr>
        <w:t>, c. R</w:t>
      </w:r>
      <w:r w:rsidR="004D6CE4" w:rsidRPr="00C328A2">
        <w:rPr>
          <w:lang w:val="fr-CA"/>
        </w:rPr>
        <w:noBreakHyphen/>
      </w:r>
      <w:r w:rsidRPr="00C328A2">
        <w:rPr>
          <w:lang w:val="fr-CA"/>
        </w:rPr>
        <w:t>2.2.0.0.01.</w:t>
      </w:r>
    </w:p>
    <w:p w14:paraId="444CEA02" w14:textId="1437C8D2" w:rsidR="002C5F85" w:rsidRPr="00C328A2" w:rsidRDefault="002C5F85" w:rsidP="004D6CE4">
      <w:pPr>
        <w:pStyle w:val="SCCNormalDoubleSpacing"/>
        <w:spacing w:after="240" w:line="240" w:lineRule="auto"/>
        <w:ind w:left="540" w:hanging="540"/>
        <w:rPr>
          <w:iCs/>
          <w:color w:val="000000"/>
          <w:lang w:val="fr-CA"/>
        </w:rPr>
      </w:pPr>
      <w:r w:rsidRPr="00C328A2">
        <w:rPr>
          <w:i/>
          <w:iCs/>
          <w:color w:val="000000"/>
          <w:lang w:val="fr-CA"/>
        </w:rPr>
        <w:t>Loi sur le recouvrement du montant des dommages-intérêts et du coût des soins de santé imputables aux opioïdes</w:t>
      </w:r>
      <w:r w:rsidRPr="00C328A2">
        <w:rPr>
          <w:iCs/>
          <w:color w:val="000000"/>
          <w:lang w:val="fr-CA"/>
        </w:rPr>
        <w:t>, C.P.L.M., c.</w:t>
      </w:r>
      <w:r w:rsidR="008A1FAD" w:rsidRPr="00C328A2">
        <w:rPr>
          <w:iCs/>
          <w:color w:val="000000"/>
          <w:lang w:val="fr-CA"/>
        </w:rPr>
        <w:t> </w:t>
      </w:r>
      <w:r w:rsidRPr="00C328A2">
        <w:rPr>
          <w:iCs/>
          <w:color w:val="000000"/>
          <w:lang w:val="fr-CA"/>
        </w:rPr>
        <w:t>O55.</w:t>
      </w:r>
    </w:p>
    <w:p w14:paraId="76AC1312" w14:textId="2EEA2DB2" w:rsidR="00254926" w:rsidRPr="00C328A2" w:rsidRDefault="00254926" w:rsidP="004D6CE4">
      <w:pPr>
        <w:pStyle w:val="SCCNormalDoubleSpacing"/>
        <w:spacing w:after="240" w:line="240" w:lineRule="auto"/>
        <w:ind w:left="540" w:hanging="540"/>
        <w:rPr>
          <w:lang w:val="fr-CA"/>
        </w:rPr>
      </w:pPr>
      <w:r w:rsidRPr="00C328A2">
        <w:rPr>
          <w:i/>
          <w:iCs/>
          <w:color w:val="000000"/>
          <w:lang w:val="fr-CA"/>
        </w:rPr>
        <w:lastRenderedPageBreak/>
        <w:t>Loi sur le rôle du procureur général</w:t>
      </w:r>
      <w:r w:rsidRPr="00C328A2">
        <w:rPr>
          <w:color w:val="000000"/>
          <w:lang w:val="fr-CA"/>
        </w:rPr>
        <w:t>, L.R.N.</w:t>
      </w:r>
      <w:r w:rsidRPr="00C328A2">
        <w:rPr>
          <w:color w:val="000000"/>
          <w:lang w:val="fr-CA"/>
        </w:rPr>
        <w:noBreakHyphen/>
        <w:t>B. 2011, c. 116, art. 2.</w:t>
      </w:r>
    </w:p>
    <w:p w14:paraId="4B91AF9D" w14:textId="0DC0969C" w:rsidR="00750439" w:rsidRPr="00C328A2" w:rsidRDefault="00750439" w:rsidP="004D6CE4">
      <w:pPr>
        <w:pStyle w:val="SCCNormalDoubleSpacing"/>
        <w:spacing w:after="240" w:line="240" w:lineRule="auto"/>
        <w:ind w:left="540" w:hanging="540"/>
      </w:pPr>
      <w:r w:rsidRPr="00C328A2">
        <w:rPr>
          <w:i/>
        </w:rPr>
        <w:t>Opioid Damages and Health Care Costs Recovery Act</w:t>
      </w:r>
      <w:r w:rsidR="004D6CE4" w:rsidRPr="00C328A2">
        <w:t>, S.P.E.I. 2020, c. </w:t>
      </w:r>
      <w:r w:rsidR="00404D3B" w:rsidRPr="00C328A2">
        <w:t>77</w:t>
      </w:r>
      <w:r w:rsidRPr="00C328A2">
        <w:t>.</w:t>
      </w:r>
    </w:p>
    <w:p w14:paraId="13D4A8E4" w14:textId="15F291F1" w:rsidR="002A478A" w:rsidRPr="00C328A2" w:rsidRDefault="002A478A" w:rsidP="004D6CE4">
      <w:pPr>
        <w:pStyle w:val="SCCNormalDoubleSpacing"/>
        <w:spacing w:after="240" w:line="240" w:lineRule="auto"/>
        <w:ind w:left="540" w:hanging="540"/>
        <w:rPr>
          <w:i/>
        </w:rPr>
      </w:pPr>
      <w:r w:rsidRPr="00C328A2">
        <w:rPr>
          <w:i/>
        </w:rPr>
        <w:t>Opioid Damages and Health Care Costs Recovery Act</w:t>
      </w:r>
      <w:r w:rsidR="004D6CE4" w:rsidRPr="00C328A2">
        <w:t>, S.A. 2019, c. O-8.5, art. </w:t>
      </w:r>
      <w:r w:rsidR="0090276D" w:rsidRPr="00C328A2">
        <w:t xml:space="preserve">12, </w:t>
      </w:r>
      <w:r w:rsidRPr="00C328A2">
        <w:t>13.</w:t>
      </w:r>
    </w:p>
    <w:p w14:paraId="698DFA0A" w14:textId="3E115C30" w:rsidR="004D7D95" w:rsidRPr="00C328A2" w:rsidRDefault="00023EDE" w:rsidP="004D6CE4">
      <w:pPr>
        <w:pStyle w:val="SCCNormalDoubleSpacing"/>
        <w:spacing w:after="240" w:line="240" w:lineRule="auto"/>
        <w:ind w:left="540" w:hanging="540"/>
      </w:pPr>
      <w:r w:rsidRPr="00C328A2">
        <w:rPr>
          <w:i/>
        </w:rPr>
        <w:t>Opioid Damages and Health Care Costs Recovery Act</w:t>
      </w:r>
      <w:r w:rsidR="004D6CE4" w:rsidRPr="00C328A2">
        <w:t>, S.B.C. 2018, c. </w:t>
      </w:r>
      <w:r w:rsidRPr="00C328A2">
        <w:t>35, art. </w:t>
      </w:r>
      <w:r w:rsidR="00670394" w:rsidRPr="00C328A2">
        <w:t>2, 3</w:t>
      </w:r>
      <w:r w:rsidR="00DA2C13" w:rsidRPr="00C328A2">
        <w:t>, 4</w:t>
      </w:r>
      <w:r w:rsidR="002A036C" w:rsidRPr="00C328A2">
        <w:t>, 5, 6</w:t>
      </w:r>
      <w:r w:rsidR="00DA2C13" w:rsidRPr="00C328A2">
        <w:t>, 7, 8</w:t>
      </w:r>
      <w:r w:rsidR="00670394" w:rsidRPr="00C328A2">
        <w:t xml:space="preserve">, </w:t>
      </w:r>
      <w:r w:rsidR="002A036C" w:rsidRPr="00C328A2">
        <w:t xml:space="preserve">10, </w:t>
      </w:r>
      <w:r w:rsidRPr="00C328A2">
        <w:t>11</w:t>
      </w:r>
      <w:r w:rsidR="002A036C" w:rsidRPr="00C328A2">
        <w:t>, 12</w:t>
      </w:r>
      <w:r w:rsidRPr="00C328A2">
        <w:t>.</w:t>
      </w:r>
    </w:p>
    <w:p w14:paraId="0720988E" w14:textId="52DD2BE7" w:rsidR="00B71949" w:rsidRPr="00C328A2" w:rsidRDefault="00B71949" w:rsidP="004D6CE4">
      <w:pPr>
        <w:pStyle w:val="SCCNormalDoubleSpacing"/>
        <w:spacing w:after="240" w:line="240" w:lineRule="auto"/>
        <w:ind w:left="540" w:hanging="540"/>
      </w:pPr>
      <w:r w:rsidRPr="00C328A2">
        <w:rPr>
          <w:i/>
        </w:rPr>
        <w:t>Opioid Damages and Health Care Costs Recovery Act</w:t>
      </w:r>
      <w:r w:rsidR="004D6CE4" w:rsidRPr="00C328A2">
        <w:t>, S.N.L. 2019, c.</w:t>
      </w:r>
      <w:r w:rsidR="008A1FAD" w:rsidRPr="00C328A2">
        <w:t> </w:t>
      </w:r>
      <w:r w:rsidR="004D6CE4" w:rsidRPr="00C328A2">
        <w:t>O</w:t>
      </w:r>
      <w:r w:rsidR="004D6CE4" w:rsidRPr="00C328A2">
        <w:noBreakHyphen/>
      </w:r>
      <w:r w:rsidRPr="00C328A2">
        <w:t>6.2.</w:t>
      </w:r>
    </w:p>
    <w:p w14:paraId="3CD2A858" w14:textId="56E5C171" w:rsidR="004921C5" w:rsidRPr="00C328A2" w:rsidRDefault="004921C5" w:rsidP="004D6CE4">
      <w:pPr>
        <w:pStyle w:val="SCCNormalDoubleSpacing"/>
        <w:spacing w:after="240" w:line="240" w:lineRule="auto"/>
        <w:ind w:left="540" w:hanging="540"/>
      </w:pPr>
      <w:r w:rsidRPr="00C328A2">
        <w:rPr>
          <w:i/>
        </w:rPr>
        <w:t xml:space="preserve">Opioid </w:t>
      </w:r>
      <w:r w:rsidRPr="00C328A2">
        <w:rPr>
          <w:i/>
          <w:szCs w:val="24"/>
        </w:rPr>
        <w:t>Damages and Health-care Costs Recovery Act</w:t>
      </w:r>
      <w:r w:rsidR="004D6CE4" w:rsidRPr="00C328A2">
        <w:rPr>
          <w:szCs w:val="24"/>
        </w:rPr>
        <w:t>, S.N.S. 2020, c. </w:t>
      </w:r>
      <w:r w:rsidRPr="00C328A2">
        <w:rPr>
          <w:szCs w:val="24"/>
        </w:rPr>
        <w:t>4.</w:t>
      </w:r>
    </w:p>
    <w:p w14:paraId="409F0C2D" w14:textId="37CA215E" w:rsidR="002C5F85" w:rsidRPr="00C328A2" w:rsidRDefault="002C5F85" w:rsidP="004D6CE4">
      <w:pPr>
        <w:pStyle w:val="SCCNormalDoubleSpacing"/>
        <w:spacing w:after="240" w:line="240" w:lineRule="auto"/>
        <w:ind w:left="540" w:hanging="540"/>
      </w:pPr>
      <w:r w:rsidRPr="00C328A2">
        <w:rPr>
          <w:i/>
        </w:rPr>
        <w:t>Opioid Damages and Health Care Costs Recovery Act</w:t>
      </w:r>
      <w:r w:rsidR="004D6CE4" w:rsidRPr="00C328A2">
        <w:t>, S.S. 2020, c. </w:t>
      </w:r>
      <w:r w:rsidRPr="00C328A2">
        <w:t>32.</w:t>
      </w:r>
    </w:p>
    <w:p w14:paraId="2FCDBF51" w14:textId="4427088F" w:rsidR="00254926" w:rsidRPr="00C328A2" w:rsidRDefault="00254926" w:rsidP="004D6CE4">
      <w:pPr>
        <w:pStyle w:val="SCCNormalDoubleSpacing"/>
        <w:spacing w:after="240" w:line="240" w:lineRule="auto"/>
        <w:ind w:left="540" w:hanging="540"/>
      </w:pPr>
      <w:r w:rsidRPr="00C328A2">
        <w:rPr>
          <w:i/>
          <w:iCs/>
        </w:rPr>
        <w:t>Public Service Act</w:t>
      </w:r>
      <w:r w:rsidRPr="00C328A2">
        <w:t>, R.S.N.S. 1989, c. 376, art. 29.</w:t>
      </w:r>
    </w:p>
    <w:p w14:paraId="70EB8683" w14:textId="698CE950" w:rsidR="0063658E" w:rsidRPr="00C328A2" w:rsidRDefault="0063658E" w:rsidP="004D6CE4">
      <w:pPr>
        <w:pStyle w:val="SCCNormalDoubleSpacing"/>
        <w:spacing w:after="240" w:line="240" w:lineRule="auto"/>
        <w:ind w:left="540" w:hanging="540"/>
      </w:pPr>
      <w:r w:rsidRPr="00C328A2">
        <w:rPr>
          <w:i/>
          <w:iCs/>
        </w:rPr>
        <w:t>The Justice and Attorney General Act</w:t>
      </w:r>
      <w:r w:rsidRPr="00C328A2">
        <w:t>, S.S. 1983, c. J</w:t>
      </w:r>
      <w:r w:rsidRPr="00C328A2">
        <w:noBreakHyphen/>
        <w:t>4.3, art. 10.</w:t>
      </w:r>
    </w:p>
    <w:p w14:paraId="4AB01A72" w14:textId="16FFE031" w:rsidR="005432D1" w:rsidRPr="00C328A2" w:rsidRDefault="005432D1" w:rsidP="004D6CE4">
      <w:pPr>
        <w:pStyle w:val="SCCNormalDoubleSpacing"/>
        <w:spacing w:after="720" w:line="240" w:lineRule="auto"/>
        <w:ind w:left="547" w:hanging="547"/>
      </w:pPr>
      <w:r w:rsidRPr="00C328A2">
        <w:rPr>
          <w:i/>
        </w:rPr>
        <w:t>Tobacco Damages and Health Care Costs Recovery Act</w:t>
      </w:r>
      <w:r w:rsidR="004D6CE4" w:rsidRPr="00C328A2">
        <w:t>, S.B.C. 2000, c. </w:t>
      </w:r>
      <w:r w:rsidRPr="00C328A2">
        <w:t>30</w:t>
      </w:r>
      <w:r w:rsidR="0043344F" w:rsidRPr="00C328A2">
        <w:t>, art. 5, 2(5)(a), 3(2).</w:t>
      </w:r>
    </w:p>
    <w:p w14:paraId="735432E1" w14:textId="77777777" w:rsidR="004D7D95" w:rsidRPr="00C328A2" w:rsidRDefault="004D7D95" w:rsidP="000D4806">
      <w:pPr>
        <w:pStyle w:val="SCCNormalDoubleSpacing"/>
        <w:spacing w:after="720" w:line="240" w:lineRule="auto"/>
        <w:rPr>
          <w:b/>
          <w:lang w:val="fr-CA"/>
        </w:rPr>
      </w:pPr>
      <w:r w:rsidRPr="00C328A2">
        <w:rPr>
          <w:b/>
          <w:lang w:val="fr-CA"/>
        </w:rPr>
        <w:t>Doctrine et autres documents cités</w:t>
      </w:r>
    </w:p>
    <w:p w14:paraId="00331E0A" w14:textId="1E5813C8" w:rsidR="00304BF4" w:rsidRPr="00C328A2" w:rsidRDefault="00304BF4" w:rsidP="004D6CE4">
      <w:pPr>
        <w:pStyle w:val="SCCNormalDoubleSpacing"/>
        <w:spacing w:after="240" w:line="240" w:lineRule="auto"/>
        <w:ind w:left="540" w:hanging="540"/>
        <w:rPr>
          <w:lang w:val="fr-CA"/>
        </w:rPr>
      </w:pPr>
      <w:r w:rsidRPr="00C328A2">
        <w:rPr>
          <w:lang w:val="fr-CA"/>
        </w:rPr>
        <w:t>Branch, Ward K.</w:t>
      </w:r>
      <w:r w:rsidR="00217F86" w:rsidRPr="00C328A2">
        <w:rPr>
          <w:lang w:val="fr-CA"/>
        </w:rPr>
        <w:t xml:space="preserve">, </w:t>
      </w:r>
      <w:r w:rsidR="000F2A26" w:rsidRPr="00C328A2">
        <w:rPr>
          <w:lang w:val="fr-CA"/>
        </w:rPr>
        <w:t>et</w:t>
      </w:r>
      <w:r w:rsidR="00217F86" w:rsidRPr="00C328A2">
        <w:rPr>
          <w:lang w:val="fr-CA"/>
        </w:rPr>
        <w:t xml:space="preserve"> Mathew P. Good.</w:t>
      </w:r>
      <w:r w:rsidRPr="00C328A2">
        <w:rPr>
          <w:lang w:val="fr-CA"/>
        </w:rPr>
        <w:t xml:space="preserve"> </w:t>
      </w:r>
      <w:r w:rsidRPr="00C328A2">
        <w:rPr>
          <w:i/>
          <w:lang w:val="fr-CA"/>
        </w:rPr>
        <w:t>Class Actions in Canada</w:t>
      </w:r>
      <w:r w:rsidRPr="00C328A2">
        <w:rPr>
          <w:lang w:val="fr-CA"/>
        </w:rPr>
        <w:t>,</w:t>
      </w:r>
      <w:r w:rsidR="007849FD" w:rsidRPr="00C328A2">
        <w:rPr>
          <w:lang w:val="fr-CA"/>
        </w:rPr>
        <w:t xml:space="preserve"> 2</w:t>
      </w:r>
      <w:r w:rsidR="007849FD" w:rsidRPr="00C328A2">
        <w:rPr>
          <w:vertAlign w:val="superscript"/>
          <w:lang w:val="fr-CA"/>
        </w:rPr>
        <w:t>e</w:t>
      </w:r>
      <w:r w:rsidR="007849FD" w:rsidRPr="00C328A2">
        <w:rPr>
          <w:lang w:val="fr-CA"/>
        </w:rPr>
        <w:t xml:space="preserve"> éd.,</w:t>
      </w:r>
      <w:r w:rsidRPr="00C328A2">
        <w:rPr>
          <w:lang w:val="fr-CA"/>
        </w:rPr>
        <w:t xml:space="preserve"> Toronto, Thomson Reuters, 2024 (</w:t>
      </w:r>
      <w:r w:rsidRPr="00C328A2">
        <w:rPr>
          <w:color w:val="000000"/>
          <w:lang w:val="fr-CA"/>
        </w:rPr>
        <w:t>feuilles mobiles mises à jour mai 2024, envoi n</w:t>
      </w:r>
      <w:r w:rsidRPr="00C328A2">
        <w:rPr>
          <w:color w:val="000000"/>
          <w:vertAlign w:val="superscript"/>
          <w:lang w:val="fr-CA"/>
        </w:rPr>
        <w:t>o</w:t>
      </w:r>
      <w:r w:rsidRPr="00C328A2">
        <w:rPr>
          <w:color w:val="000000"/>
          <w:lang w:val="fr-CA"/>
        </w:rPr>
        <w:t> 2</w:t>
      </w:r>
      <w:r w:rsidRPr="00C328A2">
        <w:rPr>
          <w:lang w:val="fr-CA"/>
        </w:rPr>
        <w:t>).</w:t>
      </w:r>
    </w:p>
    <w:p w14:paraId="58E6DFF6" w14:textId="44141822" w:rsidR="00304BF4" w:rsidRPr="00C328A2" w:rsidRDefault="00304BF4" w:rsidP="004D6CE4">
      <w:pPr>
        <w:pStyle w:val="SCCNormalDoubleSpacing"/>
        <w:spacing w:after="240" w:line="240" w:lineRule="auto"/>
        <w:ind w:left="540" w:hanging="540"/>
        <w:rPr>
          <w:lang w:val="fr-CA"/>
        </w:rPr>
      </w:pPr>
      <w:r w:rsidRPr="00C328A2">
        <w:rPr>
          <w:lang w:val="fr-CA"/>
        </w:rPr>
        <w:t xml:space="preserve">Brun, Henri, Guy Tremblay et Eugénie Brouillet. </w:t>
      </w:r>
      <w:r w:rsidRPr="00C328A2">
        <w:rPr>
          <w:i/>
          <w:lang w:val="fr-CA"/>
        </w:rPr>
        <w:t>Droit constitutionnel</w:t>
      </w:r>
      <w:r w:rsidRPr="00C328A2">
        <w:rPr>
          <w:lang w:val="fr-CA"/>
        </w:rPr>
        <w:t>, 6</w:t>
      </w:r>
      <w:r w:rsidRPr="00C328A2">
        <w:rPr>
          <w:vertAlign w:val="superscript"/>
          <w:lang w:val="fr-CA"/>
        </w:rPr>
        <w:t>e</w:t>
      </w:r>
      <w:r w:rsidRPr="00C328A2">
        <w:rPr>
          <w:lang w:val="fr-CA"/>
        </w:rPr>
        <w:t xml:space="preserve"> éd., Cowansville (Qc), Yvon Blais, 2014.</w:t>
      </w:r>
    </w:p>
    <w:p w14:paraId="39501983" w14:textId="2B584438" w:rsidR="00107DE8" w:rsidRPr="00C328A2" w:rsidRDefault="00107DE8" w:rsidP="004D6CE4">
      <w:pPr>
        <w:pStyle w:val="SCCNormalDoubleSpacing"/>
        <w:spacing w:after="240" w:line="240" w:lineRule="auto"/>
        <w:ind w:left="540" w:hanging="540"/>
        <w:rPr>
          <w:lang w:val="fr-CA"/>
        </w:rPr>
      </w:pPr>
      <w:r w:rsidRPr="00C328A2">
        <w:rPr>
          <w:lang w:val="fr-CA"/>
        </w:rPr>
        <w:t xml:space="preserve">Canada. </w:t>
      </w:r>
      <w:r w:rsidRPr="00C328A2">
        <w:rPr>
          <w:color w:val="000000"/>
          <w:lang w:val="fr-CA"/>
        </w:rPr>
        <w:t xml:space="preserve">Chambre des communes. </w:t>
      </w:r>
      <w:r w:rsidRPr="00C328A2">
        <w:rPr>
          <w:i/>
          <w:iCs/>
          <w:color w:val="000000"/>
          <w:lang w:val="fr-CA"/>
        </w:rPr>
        <w:t>Débats de la Chambre des communes</w:t>
      </w:r>
      <w:r w:rsidRPr="00C328A2">
        <w:rPr>
          <w:lang w:val="fr-CA"/>
        </w:rPr>
        <w:t xml:space="preserve">, vol. 151, </w:t>
      </w:r>
      <w:r w:rsidRPr="00C328A2">
        <w:rPr>
          <w:color w:val="000000"/>
          <w:lang w:val="fr-CA"/>
        </w:rPr>
        <w:t>n</w:t>
      </w:r>
      <w:r w:rsidRPr="00C328A2">
        <w:rPr>
          <w:color w:val="000000"/>
          <w:vertAlign w:val="superscript"/>
          <w:lang w:val="fr-CA"/>
        </w:rPr>
        <w:t>o</w:t>
      </w:r>
      <w:r w:rsidRPr="00C328A2">
        <w:rPr>
          <w:lang w:val="fr-CA"/>
        </w:rPr>
        <w:t> 216, 1</w:t>
      </w:r>
      <w:r w:rsidRPr="00C328A2">
        <w:rPr>
          <w:vertAlign w:val="superscript"/>
          <w:lang w:val="fr-CA"/>
        </w:rPr>
        <w:t>re</w:t>
      </w:r>
      <w:r w:rsidRPr="00C328A2">
        <w:rPr>
          <w:lang w:val="fr-CA"/>
        </w:rPr>
        <w:t xml:space="preserve"> sess., 44</w:t>
      </w:r>
      <w:r w:rsidRPr="00C328A2">
        <w:rPr>
          <w:vertAlign w:val="superscript"/>
          <w:lang w:val="fr-CA"/>
        </w:rPr>
        <w:t>e</w:t>
      </w:r>
      <w:r w:rsidRPr="00C328A2">
        <w:rPr>
          <w:lang w:val="fr-CA"/>
        </w:rPr>
        <w:t xml:space="preserve"> lég., 19 juin 2023, p. 16247.</w:t>
      </w:r>
    </w:p>
    <w:p w14:paraId="3B51649C" w14:textId="3E18DC30" w:rsidR="00C556A8" w:rsidRPr="00C328A2" w:rsidRDefault="00C556A8" w:rsidP="004D6CE4">
      <w:pPr>
        <w:pStyle w:val="SCCNormalDoubleSpacing"/>
        <w:spacing w:after="240" w:line="240" w:lineRule="auto"/>
        <w:ind w:left="540" w:hanging="540"/>
        <w:rPr>
          <w:lang w:val="fr-CA"/>
        </w:rPr>
      </w:pPr>
      <w:r w:rsidRPr="00C328A2">
        <w:rPr>
          <w:lang w:val="fr-CA"/>
        </w:rPr>
        <w:t xml:space="preserve">Canada. Comité consultatif spécial sur l’épidémie de surdoses d’opioïdes. </w:t>
      </w:r>
      <w:r w:rsidRPr="00C328A2">
        <w:rPr>
          <w:i/>
          <w:iCs/>
          <w:lang w:val="fr-CA"/>
        </w:rPr>
        <w:t>Méfaits associés aux opioïdes et aux stimulants au Canada</w:t>
      </w:r>
      <w:r w:rsidRPr="00C328A2">
        <w:rPr>
          <w:iCs/>
          <w:lang w:val="fr-CA"/>
        </w:rPr>
        <w:t>,</w:t>
      </w:r>
      <w:r w:rsidRPr="00C328A2">
        <w:rPr>
          <w:lang w:val="fr-CA"/>
        </w:rPr>
        <w:t xml:space="preserve"> septembre 2024 (en ligne :</w:t>
      </w:r>
      <w:r w:rsidR="00814BA2" w:rsidRPr="00C328A2">
        <w:rPr>
          <w:lang w:val="fr-CA"/>
        </w:rPr>
        <w:t xml:space="preserve"> </w:t>
      </w:r>
      <w:r w:rsidRPr="00C328A2">
        <w:rPr>
          <w:lang w:val="fr-CA"/>
        </w:rPr>
        <w:t xml:space="preserve">https://sante-infobase.canada.ca/mefaits-associes-aux-substances/opioides-stimulants/index.html; </w:t>
      </w:r>
      <w:r w:rsidR="00814BA2" w:rsidRPr="00C328A2">
        <w:rPr>
          <w:color w:val="000000"/>
          <w:lang w:val="fr-CA"/>
        </w:rPr>
        <w:t xml:space="preserve">version archivée : </w:t>
      </w:r>
      <w:hyperlink r:id="rId10" w:history="1">
        <w:r w:rsidRPr="00373EFC">
          <w:rPr>
            <w:rStyle w:val="Hyperlien"/>
            <w:rFonts w:eastAsiaTheme="majorEastAsia"/>
            <w:lang w:val="fr-CA"/>
          </w:rPr>
          <w:t>https://www.scc-csc.ca/cso-dce/2024SCC-CSC</w:t>
        </w:r>
        <w:r w:rsidR="002012D7" w:rsidRPr="00373EFC">
          <w:rPr>
            <w:rStyle w:val="Hyperlien"/>
            <w:rFonts w:eastAsiaTheme="majorEastAsia"/>
            <w:lang w:val="fr-CA"/>
          </w:rPr>
          <w:t>40</w:t>
        </w:r>
        <w:r w:rsidRPr="00373EFC">
          <w:rPr>
            <w:rStyle w:val="Hyperlien"/>
            <w:rFonts w:eastAsiaTheme="majorEastAsia"/>
            <w:lang w:val="fr-CA"/>
          </w:rPr>
          <w:t>_</w:t>
        </w:r>
        <w:r w:rsidR="00947D6A" w:rsidRPr="00373EFC">
          <w:rPr>
            <w:rStyle w:val="Hyperlien"/>
            <w:rFonts w:eastAsiaTheme="majorEastAsia"/>
            <w:lang w:val="fr-CA"/>
          </w:rPr>
          <w:t>2</w:t>
        </w:r>
        <w:r w:rsidRPr="00373EFC">
          <w:rPr>
            <w:rStyle w:val="Hyperlien"/>
            <w:rFonts w:eastAsiaTheme="majorEastAsia"/>
            <w:lang w:val="fr-CA"/>
          </w:rPr>
          <w:t>_fra.pdf</w:t>
        </w:r>
      </w:hyperlink>
      <w:r w:rsidRPr="00C328A2">
        <w:rPr>
          <w:lang w:val="fr-CA"/>
        </w:rPr>
        <w:t>).</w:t>
      </w:r>
    </w:p>
    <w:p w14:paraId="126F5EBC" w14:textId="132DEF09" w:rsidR="00F512EB" w:rsidRPr="00C328A2" w:rsidRDefault="00F512EB" w:rsidP="004D6CE4">
      <w:pPr>
        <w:pStyle w:val="SCCNormalDoubleSpacing"/>
        <w:spacing w:after="240" w:line="240" w:lineRule="auto"/>
        <w:ind w:left="540" w:hanging="540"/>
        <w:rPr>
          <w:lang w:val="en-US"/>
        </w:rPr>
      </w:pPr>
      <w:r w:rsidRPr="00C328A2">
        <w:rPr>
          <w:lang w:val="fr-CA"/>
        </w:rPr>
        <w:t xml:space="preserve">Cassels, Jamie, et Craig Jones. </w:t>
      </w:r>
      <w:r w:rsidRPr="00C328A2">
        <w:rPr>
          <w:i/>
        </w:rPr>
        <w:t>The Law of Large-Scale Claims : Product Liability, Mass Torts, and Complex Litigation in Canada</w:t>
      </w:r>
      <w:r w:rsidRPr="00C328A2">
        <w:t>, Toronto, Irwin Law, 2005.</w:t>
      </w:r>
    </w:p>
    <w:p w14:paraId="240EB725" w14:textId="38791EF7" w:rsidR="000F7C6E" w:rsidRPr="00C328A2" w:rsidRDefault="000F7C6E" w:rsidP="004D6CE4">
      <w:pPr>
        <w:pStyle w:val="SCCNormalDoubleSpacing"/>
        <w:spacing w:after="240" w:line="240" w:lineRule="auto"/>
        <w:ind w:left="540" w:hanging="540"/>
        <w:rPr>
          <w:lang w:val="fr-CA"/>
        </w:rPr>
      </w:pPr>
      <w:r w:rsidRPr="00C328A2">
        <w:rPr>
          <w:lang w:val="fr-CA"/>
        </w:rPr>
        <w:t xml:space="preserve">Côté, Pierre‐André, et Mathieu Devinat. </w:t>
      </w:r>
      <w:r w:rsidRPr="00C328A2">
        <w:rPr>
          <w:i/>
          <w:lang w:val="fr-CA"/>
        </w:rPr>
        <w:t>Interprétation des lois</w:t>
      </w:r>
      <w:r w:rsidRPr="00C328A2">
        <w:rPr>
          <w:lang w:val="fr-CA"/>
        </w:rPr>
        <w:t>, 5</w:t>
      </w:r>
      <w:r w:rsidRPr="00C328A2">
        <w:rPr>
          <w:vertAlign w:val="superscript"/>
          <w:lang w:val="fr-CA"/>
        </w:rPr>
        <w:t>e</w:t>
      </w:r>
      <w:r w:rsidRPr="00C328A2">
        <w:rPr>
          <w:lang w:val="fr-CA"/>
        </w:rPr>
        <w:t xml:space="preserve"> éd., Montréal, Thémis, 2021.</w:t>
      </w:r>
    </w:p>
    <w:p w14:paraId="3C2A5FE0" w14:textId="0C51CB5E" w:rsidR="00A80846" w:rsidRPr="00C328A2" w:rsidRDefault="00814BA2" w:rsidP="004D6CE4">
      <w:pPr>
        <w:pStyle w:val="SCCNormalDoubleSpacing"/>
        <w:spacing w:after="240" w:line="240" w:lineRule="auto"/>
        <w:ind w:left="540" w:hanging="540"/>
      </w:pPr>
      <w:r w:rsidRPr="00C328A2">
        <w:lastRenderedPageBreak/>
        <w:t>BC Government News</w:t>
      </w:r>
      <w:r w:rsidR="00A80846" w:rsidRPr="00C328A2">
        <w:t xml:space="preserve">. </w:t>
      </w:r>
      <w:r w:rsidR="00A80846" w:rsidRPr="00C328A2">
        <w:rPr>
          <w:i/>
        </w:rPr>
        <w:t>British Columbia files lawsuit against opioid industry</w:t>
      </w:r>
      <w:r w:rsidR="00A80846" w:rsidRPr="00C328A2">
        <w:t>, 29 août 2018 (en ligne :</w:t>
      </w:r>
      <w:r w:rsidRPr="00C328A2">
        <w:t xml:space="preserve"> </w:t>
      </w:r>
      <w:r w:rsidR="00A80846" w:rsidRPr="00C328A2">
        <w:rPr>
          <w:rStyle w:val="Hyperlien"/>
          <w:color w:val="auto"/>
        </w:rPr>
        <w:t>https://news.gov.bc.ca/17895</w:t>
      </w:r>
      <w:r w:rsidR="00A80846" w:rsidRPr="00C328A2">
        <w:t xml:space="preserve">; </w:t>
      </w:r>
      <w:r w:rsidRPr="00C328A2">
        <w:rPr>
          <w:color w:val="000000"/>
          <w:lang w:val="en-US"/>
        </w:rPr>
        <w:t xml:space="preserve">version archivée : </w:t>
      </w:r>
      <w:hyperlink r:id="rId11" w:history="1">
        <w:r w:rsidR="00A80846" w:rsidRPr="00373EFC">
          <w:rPr>
            <w:rStyle w:val="Hyperlien"/>
            <w:rFonts w:eastAsiaTheme="majorEastAsia"/>
            <w:lang w:val="en-US"/>
          </w:rPr>
          <w:t>https://www.scc-csc.ca/cso-dce/2024SCC-CSC</w:t>
        </w:r>
        <w:r w:rsidR="00D7770B" w:rsidRPr="00373EFC">
          <w:rPr>
            <w:rStyle w:val="Hyperlien"/>
            <w:rFonts w:eastAsiaTheme="majorEastAsia"/>
            <w:lang w:val="en-US"/>
          </w:rPr>
          <w:t>40</w:t>
        </w:r>
        <w:r w:rsidR="00A80846" w:rsidRPr="00373EFC">
          <w:rPr>
            <w:rStyle w:val="Hyperlien"/>
            <w:rFonts w:eastAsiaTheme="majorEastAsia"/>
            <w:lang w:val="en-US"/>
          </w:rPr>
          <w:t>_</w:t>
        </w:r>
        <w:r w:rsidR="00947D6A" w:rsidRPr="00373EFC">
          <w:rPr>
            <w:rStyle w:val="Hyperlien"/>
            <w:rFonts w:eastAsiaTheme="majorEastAsia"/>
            <w:lang w:val="en-US"/>
          </w:rPr>
          <w:t>1</w:t>
        </w:r>
        <w:r w:rsidR="00A80846" w:rsidRPr="00373EFC">
          <w:rPr>
            <w:rStyle w:val="Hyperlien"/>
            <w:rFonts w:eastAsiaTheme="majorEastAsia"/>
            <w:lang w:val="en-US"/>
          </w:rPr>
          <w:t>_</w:t>
        </w:r>
        <w:r w:rsidR="004071F2" w:rsidRPr="00373EFC">
          <w:rPr>
            <w:rStyle w:val="Hyperlien"/>
            <w:rFonts w:eastAsiaTheme="majorEastAsia"/>
            <w:lang w:val="en-US"/>
          </w:rPr>
          <w:t>eng</w:t>
        </w:r>
        <w:r w:rsidR="00A80846" w:rsidRPr="00373EFC">
          <w:rPr>
            <w:rStyle w:val="Hyperlien"/>
            <w:rFonts w:eastAsiaTheme="majorEastAsia"/>
            <w:lang w:val="en-US"/>
          </w:rPr>
          <w:t>.pdf</w:t>
        </w:r>
      </w:hyperlink>
      <w:r w:rsidR="00A80846" w:rsidRPr="00C328A2">
        <w:t>).</w:t>
      </w:r>
    </w:p>
    <w:p w14:paraId="27D5408B" w14:textId="27780579" w:rsidR="009A0CDD" w:rsidRPr="00C328A2" w:rsidRDefault="009366FE" w:rsidP="004D6CE4">
      <w:pPr>
        <w:pStyle w:val="SCCNormalDoubleSpacing"/>
        <w:spacing w:after="240" w:line="240" w:lineRule="auto"/>
        <w:ind w:left="540" w:hanging="540"/>
      </w:pPr>
      <w:r w:rsidRPr="00C328A2">
        <w:t xml:space="preserve">Colombie-Britannique. Legislative Assembly. </w:t>
      </w:r>
      <w:r w:rsidRPr="00C328A2">
        <w:rPr>
          <w:i/>
        </w:rPr>
        <w:t>Official Report of Debates (Hansard)</w:t>
      </w:r>
      <w:r w:rsidR="00B51C52" w:rsidRPr="00C328A2">
        <w:t xml:space="preserve">, </w:t>
      </w:r>
      <w:r w:rsidR="00B51C52" w:rsidRPr="00C328A2">
        <w:rPr>
          <w:color w:val="000000"/>
        </w:rPr>
        <w:t>n</w:t>
      </w:r>
      <w:r w:rsidR="00B51C52" w:rsidRPr="00C328A2">
        <w:rPr>
          <w:color w:val="000000"/>
          <w:vertAlign w:val="superscript"/>
        </w:rPr>
        <w:t>o</w:t>
      </w:r>
      <w:r w:rsidR="00B51C52" w:rsidRPr="00C328A2">
        <w:t> 150, 3</w:t>
      </w:r>
      <w:r w:rsidR="00B51C52" w:rsidRPr="00C328A2">
        <w:rPr>
          <w:vertAlign w:val="superscript"/>
        </w:rPr>
        <w:t>e</w:t>
      </w:r>
      <w:r w:rsidR="00B51C52" w:rsidRPr="00C328A2">
        <w:t xml:space="preserve"> sess., 41</w:t>
      </w:r>
      <w:r w:rsidR="00B51C52" w:rsidRPr="00C328A2">
        <w:rPr>
          <w:vertAlign w:val="superscript"/>
        </w:rPr>
        <w:t>e</w:t>
      </w:r>
      <w:r w:rsidR="00B51C52" w:rsidRPr="00C328A2">
        <w:t xml:space="preserve"> lég.</w:t>
      </w:r>
      <w:r w:rsidRPr="00C328A2">
        <w:t xml:space="preserve">, </w:t>
      </w:r>
      <w:r w:rsidR="00B51C52" w:rsidRPr="00C328A2">
        <w:t>1</w:t>
      </w:r>
      <w:r w:rsidR="00B51C52" w:rsidRPr="00C328A2">
        <w:rPr>
          <w:vertAlign w:val="superscript"/>
        </w:rPr>
        <w:t>er</w:t>
      </w:r>
      <w:r w:rsidR="00B51C52" w:rsidRPr="00C328A2">
        <w:t xml:space="preserve"> octob</w:t>
      </w:r>
      <w:r w:rsidRPr="00C328A2">
        <w:t>r</w:t>
      </w:r>
      <w:r w:rsidR="00B51C52" w:rsidRPr="00C328A2">
        <w:t xml:space="preserve">e </w:t>
      </w:r>
      <w:r w:rsidRPr="00C328A2">
        <w:t>2018</w:t>
      </w:r>
      <w:r w:rsidR="00BD7952" w:rsidRPr="00C328A2">
        <w:t>, p. 5331</w:t>
      </w:r>
      <w:r w:rsidR="000D4806" w:rsidRPr="00C328A2">
        <w:noBreakHyphen/>
      </w:r>
      <w:r w:rsidR="00BD7952" w:rsidRPr="00C328A2">
        <w:t>5332.</w:t>
      </w:r>
    </w:p>
    <w:p w14:paraId="5C71CB87" w14:textId="486BFD69" w:rsidR="002118B5" w:rsidRPr="00C328A2" w:rsidRDefault="002118B5" w:rsidP="002118B5">
      <w:pPr>
        <w:pStyle w:val="SCCNormalDoubleSpacing"/>
        <w:spacing w:after="240" w:line="240" w:lineRule="auto"/>
        <w:ind w:left="547" w:hanging="547"/>
      </w:pPr>
      <w:r w:rsidRPr="00C328A2">
        <w:t xml:space="preserve">Colombie-Britannique. Legislative Assembly. </w:t>
      </w:r>
      <w:r w:rsidRPr="00C328A2">
        <w:rPr>
          <w:i/>
        </w:rPr>
        <w:t>Official Report of Debates (Hansard)</w:t>
      </w:r>
      <w:r w:rsidRPr="00C328A2">
        <w:t xml:space="preserve">, </w:t>
      </w:r>
      <w:r w:rsidRPr="00C328A2">
        <w:rPr>
          <w:color w:val="000000"/>
        </w:rPr>
        <w:t>n</w:t>
      </w:r>
      <w:r w:rsidRPr="00C328A2">
        <w:rPr>
          <w:color w:val="000000"/>
          <w:vertAlign w:val="superscript"/>
        </w:rPr>
        <w:t>o</w:t>
      </w:r>
      <w:r w:rsidRPr="00C328A2">
        <w:t> 152, 3</w:t>
      </w:r>
      <w:r w:rsidRPr="00C328A2">
        <w:rPr>
          <w:vertAlign w:val="superscript"/>
        </w:rPr>
        <w:t>e</w:t>
      </w:r>
      <w:r w:rsidRPr="00C328A2">
        <w:t xml:space="preserve"> sess., 41</w:t>
      </w:r>
      <w:r w:rsidRPr="00C328A2">
        <w:rPr>
          <w:vertAlign w:val="superscript"/>
        </w:rPr>
        <w:t>e</w:t>
      </w:r>
      <w:r w:rsidRPr="00C328A2">
        <w:t xml:space="preserve"> lég., </w:t>
      </w:r>
      <w:r w:rsidR="00816879" w:rsidRPr="00C328A2">
        <w:t>2 octobre</w:t>
      </w:r>
      <w:r w:rsidRPr="00C328A2">
        <w:t xml:space="preserve"> 2018, p. 5390.</w:t>
      </w:r>
    </w:p>
    <w:p w14:paraId="6B7A7AB1" w14:textId="7C547267" w:rsidR="009A0CDD" w:rsidRPr="00C328A2" w:rsidRDefault="009A0CDD" w:rsidP="004D6CE4">
      <w:pPr>
        <w:pStyle w:val="SCCNormalDoubleSpacing"/>
        <w:spacing w:after="240" w:line="240" w:lineRule="auto"/>
        <w:ind w:left="540" w:hanging="540"/>
      </w:pPr>
      <w:r w:rsidRPr="00C328A2">
        <w:t>Edinger, Elizabeth. « </w:t>
      </w:r>
      <w:r w:rsidR="004D6CE4" w:rsidRPr="00C328A2">
        <w:rPr>
          <w:i/>
        </w:rPr>
        <w:t xml:space="preserve">British </w:t>
      </w:r>
      <w:r w:rsidRPr="00C328A2">
        <w:rPr>
          <w:i/>
        </w:rPr>
        <w:t>Columbia v. Imperial Tobacco Canada Ltd. </w:t>
      </w:r>
      <w:r w:rsidRPr="00C328A2">
        <w:t xml:space="preserve">: Extraterritoriality and Fundamental Principles » (2006), 43 </w:t>
      </w:r>
      <w:r w:rsidRPr="00C328A2">
        <w:rPr>
          <w:i/>
        </w:rPr>
        <w:t>Rev. can. dr. comm.</w:t>
      </w:r>
      <w:r w:rsidRPr="00C328A2">
        <w:t xml:space="preserve"> 301.</w:t>
      </w:r>
    </w:p>
    <w:p w14:paraId="0D1908A6" w14:textId="3367438B" w:rsidR="00D10716" w:rsidRPr="00C328A2" w:rsidRDefault="00D10716" w:rsidP="004D6CE4">
      <w:pPr>
        <w:pStyle w:val="SCCNormalDoubleSpacing"/>
        <w:spacing w:after="240" w:line="240" w:lineRule="auto"/>
        <w:ind w:left="540" w:hanging="540"/>
      </w:pPr>
      <w:r w:rsidRPr="00C328A2">
        <w:t>Fortin,</w:t>
      </w:r>
      <w:r w:rsidR="004D6CE4" w:rsidRPr="00C328A2">
        <w:t xml:space="preserve"> Marie</w:t>
      </w:r>
      <w:r w:rsidR="004D6CE4" w:rsidRPr="00C328A2">
        <w:noBreakHyphen/>
      </w:r>
      <w:r w:rsidRPr="00C328A2">
        <w:t xml:space="preserve">France. « The King’s Two Bodies and the Canadian Office of the Queen » (2021), 25 </w:t>
      </w:r>
      <w:r w:rsidRPr="00C328A2">
        <w:rPr>
          <w:i/>
          <w:iCs/>
          <w:color w:val="000000"/>
        </w:rPr>
        <w:t>R. études const.</w:t>
      </w:r>
      <w:r w:rsidRPr="00C328A2">
        <w:t xml:space="preserve"> 117.</w:t>
      </w:r>
    </w:p>
    <w:p w14:paraId="3CEFE7C6" w14:textId="1B5D1AC8" w:rsidR="00142962" w:rsidRPr="00C328A2" w:rsidRDefault="00142962" w:rsidP="004D6CE4">
      <w:pPr>
        <w:pStyle w:val="SCCNormalDoubleSpacing"/>
        <w:spacing w:after="240" w:line="240" w:lineRule="auto"/>
        <w:ind w:left="540" w:hanging="540"/>
      </w:pPr>
      <w:r w:rsidRPr="00C328A2">
        <w:t xml:space="preserve">Gibson, Dale. « Interjurisdictional Immunity in Canadian Federalism » (1969), 47 </w:t>
      </w:r>
      <w:r w:rsidRPr="00C328A2">
        <w:rPr>
          <w:i/>
        </w:rPr>
        <w:t>R. du B. can.</w:t>
      </w:r>
      <w:r w:rsidRPr="00C328A2">
        <w:t xml:space="preserve"> 40.</w:t>
      </w:r>
    </w:p>
    <w:p w14:paraId="4E306FEF" w14:textId="2DB265E4" w:rsidR="007D4F3D" w:rsidRPr="00C328A2" w:rsidRDefault="007D4F3D" w:rsidP="004D6CE4">
      <w:pPr>
        <w:pStyle w:val="SCCNormalDoubleSpacing"/>
        <w:spacing w:after="240" w:line="240" w:lineRule="auto"/>
        <w:ind w:left="540" w:hanging="540"/>
        <w:rPr>
          <w:lang w:val="fr-CA"/>
        </w:rPr>
      </w:pPr>
      <w:r w:rsidRPr="00C328A2">
        <w:t>Hogg, Peter W., et Wade K.</w:t>
      </w:r>
      <w:r w:rsidR="000D4806" w:rsidRPr="00C328A2">
        <w:t> </w:t>
      </w:r>
      <w:r w:rsidRPr="00C328A2">
        <w:t xml:space="preserve">Wright. </w:t>
      </w:r>
      <w:r w:rsidRPr="00C328A2">
        <w:rPr>
          <w:i/>
          <w:lang w:val="fr-CA"/>
        </w:rPr>
        <w:t>Constitutional Law of Canada</w:t>
      </w:r>
      <w:r w:rsidRPr="00C328A2">
        <w:rPr>
          <w:lang w:val="fr-CA"/>
        </w:rPr>
        <w:t>, 5</w:t>
      </w:r>
      <w:r w:rsidRPr="00C328A2">
        <w:rPr>
          <w:vertAlign w:val="superscript"/>
          <w:lang w:val="fr-CA"/>
        </w:rPr>
        <w:t>e</w:t>
      </w:r>
      <w:r w:rsidRPr="00C328A2">
        <w:rPr>
          <w:lang w:val="fr-CA"/>
        </w:rPr>
        <w:t xml:space="preserve"> éd. suppl.</w:t>
      </w:r>
      <w:r w:rsidR="00D10919" w:rsidRPr="00C328A2">
        <w:rPr>
          <w:lang w:val="fr-CA"/>
        </w:rPr>
        <w:t>, Toronto, Thomson Reuters, 2024</w:t>
      </w:r>
      <w:r w:rsidRPr="00C328A2">
        <w:rPr>
          <w:lang w:val="fr-CA"/>
        </w:rPr>
        <w:t xml:space="preserve"> (mise à jour </w:t>
      </w:r>
      <w:r w:rsidR="00D10919" w:rsidRPr="00C328A2">
        <w:rPr>
          <w:lang w:val="fr-CA"/>
        </w:rPr>
        <w:t>juillet 2024</w:t>
      </w:r>
      <w:r w:rsidRPr="00C328A2">
        <w:rPr>
          <w:lang w:val="fr-CA"/>
        </w:rPr>
        <w:t>, envoi n</w:t>
      </w:r>
      <w:r w:rsidRPr="00C328A2">
        <w:rPr>
          <w:vertAlign w:val="superscript"/>
          <w:lang w:val="fr-CA"/>
        </w:rPr>
        <w:t>o</w:t>
      </w:r>
      <w:r w:rsidRPr="00C328A2">
        <w:rPr>
          <w:lang w:val="fr-CA"/>
        </w:rPr>
        <w:t> 1).</w:t>
      </w:r>
    </w:p>
    <w:p w14:paraId="3B1BEC6A" w14:textId="4E2D9C57" w:rsidR="009554FF" w:rsidRPr="00C328A2" w:rsidRDefault="00304BF4" w:rsidP="004D6CE4">
      <w:pPr>
        <w:pStyle w:val="SCCNormalDoubleSpacing"/>
        <w:spacing w:after="240" w:line="240" w:lineRule="auto"/>
        <w:ind w:left="540" w:hanging="540"/>
      </w:pPr>
      <w:r w:rsidRPr="00C328A2">
        <w:t>Hogg, Peter W., Patrick J.</w:t>
      </w:r>
      <w:r w:rsidR="000D4806" w:rsidRPr="00C328A2">
        <w:t> </w:t>
      </w:r>
      <w:r w:rsidRPr="00C328A2">
        <w:t>Monahan et Wade K.</w:t>
      </w:r>
      <w:r w:rsidR="000D4806" w:rsidRPr="00C328A2">
        <w:t> </w:t>
      </w:r>
      <w:r w:rsidRPr="00C328A2">
        <w:t xml:space="preserve">Wright. </w:t>
      </w:r>
      <w:r w:rsidRPr="00C328A2">
        <w:rPr>
          <w:i/>
        </w:rPr>
        <w:t>Liability of the Crown</w:t>
      </w:r>
      <w:r w:rsidRPr="00C328A2">
        <w:t>, 4</w:t>
      </w:r>
      <w:r w:rsidRPr="00C328A2">
        <w:rPr>
          <w:vertAlign w:val="superscript"/>
        </w:rPr>
        <w:t>e</w:t>
      </w:r>
      <w:r w:rsidRPr="00C328A2">
        <w:t xml:space="preserve"> éd., Toronto, Carswell, 2011.</w:t>
      </w:r>
    </w:p>
    <w:p w14:paraId="7DF6446A" w14:textId="30CE91D6" w:rsidR="009554FF" w:rsidRPr="00C328A2" w:rsidRDefault="009554FF" w:rsidP="004D6CE4">
      <w:pPr>
        <w:pStyle w:val="SCCNormalDoubleSpacing"/>
        <w:spacing w:after="240" w:line="240" w:lineRule="auto"/>
        <w:ind w:left="540" w:hanging="540"/>
        <w:rPr>
          <w:lang w:val="en-US"/>
        </w:rPr>
      </w:pPr>
      <w:r w:rsidRPr="00C328A2">
        <w:t xml:space="preserve">Horsman, Karen, et Gareth Morley. </w:t>
      </w:r>
      <w:r w:rsidR="00833EC2" w:rsidRPr="00C328A2">
        <w:rPr>
          <w:i/>
          <w:lang w:val="en-US"/>
        </w:rPr>
        <w:t>Government Liability </w:t>
      </w:r>
      <w:r w:rsidRPr="00C328A2">
        <w:rPr>
          <w:i/>
          <w:lang w:val="en-US"/>
        </w:rPr>
        <w:t>: Law and Practice</w:t>
      </w:r>
      <w:r w:rsidR="00BA4FC1" w:rsidRPr="00C328A2">
        <w:rPr>
          <w:lang w:val="en-US"/>
        </w:rPr>
        <w:t>, Toronto, Thomson Reuters, 2024</w:t>
      </w:r>
      <w:r w:rsidRPr="00C328A2">
        <w:rPr>
          <w:lang w:val="en-US"/>
        </w:rPr>
        <w:t xml:space="preserve"> (feuilles mobiles mises à j</w:t>
      </w:r>
      <w:r w:rsidR="00833EC2" w:rsidRPr="00C328A2">
        <w:rPr>
          <w:lang w:val="en-US"/>
        </w:rPr>
        <w:t xml:space="preserve">our </w:t>
      </w:r>
      <w:r w:rsidR="00866D68" w:rsidRPr="00C328A2">
        <w:rPr>
          <w:lang w:val="en-US"/>
        </w:rPr>
        <w:t>août</w:t>
      </w:r>
      <w:r w:rsidR="00C61302" w:rsidRPr="00C328A2">
        <w:rPr>
          <w:lang w:val="en-US"/>
        </w:rPr>
        <w:t xml:space="preserve"> 2024</w:t>
      </w:r>
      <w:r w:rsidR="008F3911" w:rsidRPr="00C328A2">
        <w:rPr>
          <w:lang w:val="en-US"/>
        </w:rPr>
        <w:t xml:space="preserve">, </w:t>
      </w:r>
      <w:r w:rsidR="00833EC2" w:rsidRPr="00C328A2">
        <w:rPr>
          <w:color w:val="000000"/>
        </w:rPr>
        <w:t>envoi n</w:t>
      </w:r>
      <w:r w:rsidR="00833EC2" w:rsidRPr="00C328A2">
        <w:rPr>
          <w:color w:val="000000"/>
          <w:vertAlign w:val="superscript"/>
        </w:rPr>
        <w:t>o</w:t>
      </w:r>
      <w:r w:rsidR="008F3911" w:rsidRPr="00C328A2">
        <w:rPr>
          <w:lang w:val="en-US"/>
        </w:rPr>
        <w:t> </w:t>
      </w:r>
      <w:r w:rsidR="00866D68" w:rsidRPr="00C328A2">
        <w:rPr>
          <w:lang w:val="en-US"/>
        </w:rPr>
        <w:t>2</w:t>
      </w:r>
      <w:r w:rsidRPr="00C328A2">
        <w:rPr>
          <w:lang w:val="en-US"/>
        </w:rPr>
        <w:t>).</w:t>
      </w:r>
    </w:p>
    <w:p w14:paraId="36D28759" w14:textId="357E5623" w:rsidR="00EA2EAD" w:rsidRPr="00C328A2" w:rsidRDefault="00EA2EAD" w:rsidP="004D6CE4">
      <w:pPr>
        <w:pStyle w:val="SCCNormalDoubleSpacing"/>
        <w:spacing w:after="240" w:line="240" w:lineRule="auto"/>
        <w:ind w:left="540" w:hanging="540"/>
      </w:pPr>
      <w:r w:rsidRPr="00C328A2">
        <w:t xml:space="preserve">Jones, Craig. « The Case for the National Class » (2004), 1 </w:t>
      </w:r>
      <w:r w:rsidR="006A3F30" w:rsidRPr="00C328A2">
        <w:rPr>
          <w:i/>
          <w:iCs/>
          <w:color w:val="000000"/>
        </w:rPr>
        <w:t>R.C.R.C.</w:t>
      </w:r>
      <w:r w:rsidRPr="00C328A2">
        <w:t xml:space="preserve"> 29.</w:t>
      </w:r>
    </w:p>
    <w:p w14:paraId="7D3AD844" w14:textId="57CEE668" w:rsidR="00866D68" w:rsidRPr="00C328A2" w:rsidRDefault="00866D68" w:rsidP="004D6CE4">
      <w:pPr>
        <w:pStyle w:val="SCCNormalDoubleSpacing"/>
        <w:spacing w:after="240" w:line="240" w:lineRule="auto"/>
        <w:ind w:left="540" w:hanging="540"/>
      </w:pPr>
      <w:r w:rsidRPr="00C328A2">
        <w:t xml:space="preserve">Mathen, Carissima, et Patrick Macklem, dir. </w:t>
      </w:r>
      <w:r w:rsidRPr="00C328A2">
        <w:rPr>
          <w:i/>
        </w:rPr>
        <w:t>Canadian Constitutional Law</w:t>
      </w:r>
      <w:r w:rsidRPr="00C328A2">
        <w:t>, 6</w:t>
      </w:r>
      <w:r w:rsidRPr="00C328A2">
        <w:rPr>
          <w:vertAlign w:val="superscript"/>
        </w:rPr>
        <w:t>e</w:t>
      </w:r>
      <w:r w:rsidRPr="00C328A2">
        <w:t xml:space="preserve"> éd., Toronto, Emond, 2022.</w:t>
      </w:r>
    </w:p>
    <w:p w14:paraId="1BA39D71" w14:textId="5F45C932" w:rsidR="00111185" w:rsidRPr="00C328A2" w:rsidRDefault="00111185" w:rsidP="004D6CE4">
      <w:pPr>
        <w:pStyle w:val="SCCNormalDoubleSpacing"/>
        <w:spacing w:after="240" w:line="240" w:lineRule="auto"/>
        <w:ind w:left="540" w:hanging="540"/>
      </w:pPr>
      <w:r w:rsidRPr="00C328A2">
        <w:t xml:space="preserve">Monestier, Tanya J. « Personal Jurisdiction over Non-Resident Class Members : Have We Gone Down the Wrong Road? » (2010), 45 </w:t>
      </w:r>
      <w:r w:rsidRPr="00C328A2">
        <w:rPr>
          <w:i/>
        </w:rPr>
        <w:t>Tex. Int’l L.J.</w:t>
      </w:r>
      <w:r w:rsidRPr="00C328A2">
        <w:t xml:space="preserve"> 537.</w:t>
      </w:r>
    </w:p>
    <w:p w14:paraId="0427058D" w14:textId="0B8F2799" w:rsidR="00F33AD0" w:rsidRPr="00C328A2" w:rsidRDefault="00F33AD0" w:rsidP="004D6CE4">
      <w:pPr>
        <w:pStyle w:val="SCCNormalDoubleSpacing"/>
        <w:spacing w:after="240" w:line="240" w:lineRule="auto"/>
        <w:ind w:left="540" w:hanging="540"/>
      </w:pPr>
      <w:r w:rsidRPr="00C328A2">
        <w:t>Poirier, Johanne. « </w:t>
      </w:r>
      <w:r w:rsidR="004D6CE4" w:rsidRPr="00C328A2">
        <w:t>The 2018 Pan</w:t>
      </w:r>
      <w:r w:rsidR="004D6CE4" w:rsidRPr="00C328A2">
        <w:noBreakHyphen/>
      </w:r>
      <w:r w:rsidRPr="00C328A2">
        <w:t>Canadian Securities Regulation Reference</w:t>
      </w:r>
      <w:r w:rsidR="00142962" w:rsidRPr="00C328A2">
        <w:t> </w:t>
      </w:r>
      <w:r w:rsidRPr="00C328A2">
        <w:t xml:space="preserve">: Dualist Federalism to the Rescue of Cooperative Federalism » (2020), 94 </w:t>
      </w:r>
      <w:r w:rsidRPr="00C328A2">
        <w:rPr>
          <w:i/>
        </w:rPr>
        <w:t xml:space="preserve">S.C.L.R. </w:t>
      </w:r>
      <w:r w:rsidRPr="00C328A2">
        <w:t>(2d) 85.</w:t>
      </w:r>
    </w:p>
    <w:p w14:paraId="357ABAF8" w14:textId="05BCA1E5" w:rsidR="00221015" w:rsidRPr="00C328A2" w:rsidRDefault="00221015" w:rsidP="004D6CE4">
      <w:pPr>
        <w:pStyle w:val="SCCNormalDoubleSpacing"/>
        <w:spacing w:after="240" w:line="240" w:lineRule="auto"/>
        <w:ind w:left="540" w:hanging="540"/>
      </w:pPr>
      <w:r w:rsidRPr="00C328A2">
        <w:t xml:space="preserve">Redish, Martin H. </w:t>
      </w:r>
      <w:r w:rsidRPr="00C328A2">
        <w:rPr>
          <w:i/>
        </w:rPr>
        <w:t>Wholesale Justice : Constitutional Democracy and the Problem of the Class Action Lawsuit</w:t>
      </w:r>
      <w:r w:rsidRPr="00C328A2">
        <w:t>, Stanford, Stanford University Press, 2009.</w:t>
      </w:r>
    </w:p>
    <w:p w14:paraId="6122E6B0" w14:textId="77777777" w:rsidR="008F3911" w:rsidRPr="00C328A2" w:rsidRDefault="008F3911" w:rsidP="004D6CE4">
      <w:pPr>
        <w:pStyle w:val="SCCNormalDoubleSpacing"/>
        <w:spacing w:after="240" w:line="240" w:lineRule="auto"/>
        <w:ind w:left="540" w:hanging="540"/>
      </w:pPr>
      <w:r w:rsidRPr="00C328A2">
        <w:t xml:space="preserve">Sullivan, Ruth. </w:t>
      </w:r>
      <w:r w:rsidRPr="00C328A2">
        <w:rPr>
          <w:i/>
        </w:rPr>
        <w:t>The Construction of Statutes</w:t>
      </w:r>
      <w:r w:rsidRPr="00C328A2">
        <w:t>, 7</w:t>
      </w:r>
      <w:r w:rsidRPr="00C328A2">
        <w:rPr>
          <w:vertAlign w:val="superscript"/>
        </w:rPr>
        <w:t>e</w:t>
      </w:r>
      <w:r w:rsidRPr="00C328A2">
        <w:t xml:space="preserve"> éd., Toronto, LexisNexis, 2022.</w:t>
      </w:r>
    </w:p>
    <w:p w14:paraId="2654B7F9" w14:textId="43BD601B" w:rsidR="005C5E15" w:rsidRPr="00C328A2" w:rsidRDefault="005C5E15" w:rsidP="004D6CE4">
      <w:pPr>
        <w:pStyle w:val="SCCNormalDoubleSpacing"/>
        <w:spacing w:after="240" w:line="240" w:lineRule="auto"/>
        <w:ind w:left="540" w:hanging="540"/>
      </w:pPr>
      <w:r w:rsidRPr="00C328A2">
        <w:rPr>
          <w:color w:val="000000"/>
        </w:rPr>
        <w:t xml:space="preserve">Walker, Janet. </w:t>
      </w:r>
      <w:r w:rsidRPr="00C328A2">
        <w:rPr>
          <w:rStyle w:val="solexhl"/>
          <w:rFonts w:eastAsiaTheme="majorEastAsia"/>
          <w:i/>
          <w:iCs/>
          <w:color w:val="000000"/>
        </w:rPr>
        <w:t>Canadian Conflict of Laws</w:t>
      </w:r>
      <w:r w:rsidRPr="00C328A2">
        <w:rPr>
          <w:color w:val="000000"/>
        </w:rPr>
        <w:t xml:space="preserve">, </w:t>
      </w:r>
      <w:r w:rsidRPr="00C328A2">
        <w:t>7</w:t>
      </w:r>
      <w:r w:rsidRPr="00C328A2">
        <w:rPr>
          <w:vertAlign w:val="superscript"/>
        </w:rPr>
        <w:t>e</w:t>
      </w:r>
      <w:r w:rsidRPr="00C328A2">
        <w:t xml:space="preserve"> éd.</w:t>
      </w:r>
      <w:r w:rsidRPr="00C328A2">
        <w:rPr>
          <w:color w:val="000000"/>
        </w:rPr>
        <w:t>, Toronto, LexisNexis, 2024 (</w:t>
      </w:r>
      <w:r w:rsidRPr="00C328A2">
        <w:t>feuilles mobiles mises à jour</w:t>
      </w:r>
      <w:r w:rsidRPr="00C328A2">
        <w:rPr>
          <w:color w:val="000000"/>
        </w:rPr>
        <w:t xml:space="preserve"> février 2024, envoi n</w:t>
      </w:r>
      <w:r w:rsidRPr="00C328A2">
        <w:rPr>
          <w:color w:val="000000"/>
          <w:vertAlign w:val="superscript"/>
        </w:rPr>
        <w:t>o</w:t>
      </w:r>
      <w:r w:rsidRPr="00C328A2">
        <w:t> </w:t>
      </w:r>
      <w:r w:rsidRPr="00C328A2">
        <w:rPr>
          <w:color w:val="000000"/>
        </w:rPr>
        <w:t>104).</w:t>
      </w:r>
    </w:p>
    <w:p w14:paraId="5B80367D" w14:textId="549EE59F" w:rsidR="00B53BA9" w:rsidRPr="00C328A2" w:rsidRDefault="00B53BA9" w:rsidP="004D6CE4">
      <w:pPr>
        <w:pStyle w:val="SCCNormalDoubleSpacing"/>
        <w:spacing w:after="240" w:line="240" w:lineRule="auto"/>
        <w:ind w:left="540" w:hanging="540"/>
      </w:pPr>
      <w:r w:rsidRPr="00C328A2">
        <w:lastRenderedPageBreak/>
        <w:t>Walker,</w:t>
      </w:r>
      <w:r w:rsidR="00A23825" w:rsidRPr="00C328A2">
        <w:t xml:space="preserve"> Janet,</w:t>
      </w:r>
      <w:r w:rsidRPr="00C328A2">
        <w:t xml:space="preserve"> H. Michael Rosenberg et Jasminka Kalajdzic, dir. </w:t>
      </w:r>
      <w:r w:rsidRPr="00C328A2">
        <w:rPr>
          <w:i/>
        </w:rPr>
        <w:t>Class Actions in Canada : Cases, Notes, and Materials</w:t>
      </w:r>
      <w:r w:rsidRPr="00C328A2">
        <w:t>, 3</w:t>
      </w:r>
      <w:r w:rsidRPr="00C328A2">
        <w:rPr>
          <w:vertAlign w:val="superscript"/>
        </w:rPr>
        <w:t>e</w:t>
      </w:r>
      <w:r w:rsidRPr="00C328A2">
        <w:t xml:space="preserve"> éd., Toronto, Emond Montgomery Publicati</w:t>
      </w:r>
      <w:r w:rsidR="00410144" w:rsidRPr="00C328A2">
        <w:t>ons</w:t>
      </w:r>
      <w:r w:rsidRPr="00C328A2">
        <w:t>, 2024.</w:t>
      </w:r>
    </w:p>
    <w:p w14:paraId="5911F40D" w14:textId="083BCAA0" w:rsidR="00107C1A" w:rsidRPr="00C328A2" w:rsidRDefault="00107C1A" w:rsidP="00D434FF">
      <w:pPr>
        <w:pStyle w:val="SCCNormalDoubleSpacing"/>
        <w:spacing w:after="720" w:line="240" w:lineRule="auto"/>
        <w:ind w:left="547" w:hanging="547"/>
      </w:pPr>
      <w:r w:rsidRPr="00C328A2">
        <w:rPr>
          <w:lang w:val="fr-CA"/>
        </w:rPr>
        <w:t xml:space="preserve">Winkler, Warren K., et autres. </w:t>
      </w:r>
      <w:r w:rsidRPr="00C328A2">
        <w:rPr>
          <w:i/>
        </w:rPr>
        <w:t>The Law of Class Actions in Canada</w:t>
      </w:r>
      <w:r w:rsidRPr="00C328A2">
        <w:t xml:space="preserve">, Toronto, </w:t>
      </w:r>
      <w:r w:rsidR="00FA1AA2" w:rsidRPr="00C328A2">
        <w:t>Canada Law Book</w:t>
      </w:r>
      <w:r w:rsidRPr="00C328A2">
        <w:t>, 2014.</w:t>
      </w:r>
    </w:p>
    <w:p w14:paraId="6574481E" w14:textId="602970C2" w:rsidR="004D7D95" w:rsidRPr="00C328A2" w:rsidRDefault="004D7D95" w:rsidP="00B732C1">
      <w:pPr>
        <w:pStyle w:val="SCCNormalDoubleSpacing"/>
        <w:spacing w:after="480"/>
        <w:rPr>
          <w:lang w:val="fr-CA"/>
        </w:rPr>
      </w:pPr>
      <w:r w:rsidRPr="00C328A2">
        <w:tab/>
        <w:t xml:space="preserve">POURVOI contre un arrêt de la Cour d’appel de la </w:t>
      </w:r>
      <w:r w:rsidR="00B732C1" w:rsidRPr="00C328A2">
        <w:t>Colombie</w:t>
      </w:r>
      <w:r w:rsidR="00B732C1" w:rsidRPr="00C328A2">
        <w:noBreakHyphen/>
      </w:r>
      <w:r w:rsidR="00B6638B" w:rsidRPr="00C328A2">
        <w:t xml:space="preserve">Britannique </w:t>
      </w:r>
      <w:r w:rsidR="00A41677" w:rsidRPr="00C328A2">
        <w:t xml:space="preserve">(les juges Newbury, Fisher et Horsman), </w:t>
      </w:r>
      <w:hyperlink r:id="rId12" w:history="1">
        <w:r w:rsidR="00A41677" w:rsidRPr="00C328A2">
          <w:rPr>
            <w:rStyle w:val="Hyperlien"/>
          </w:rPr>
          <w:t>2023 BCCA 306</w:t>
        </w:r>
      </w:hyperlink>
      <w:r w:rsidR="00A41677" w:rsidRPr="00C328A2">
        <w:t>, 79 B.C.L.R. (6th) 1, 484 D.L.R. (4th) 512, [2024] 2 W.W.R. 436, [2023] B.C.J No. 1477 (Lexis), 2023 CarswellBC 2178 (WL), qui a confirmé</w:t>
      </w:r>
      <w:r w:rsidR="000E60C3" w:rsidRPr="00C328A2">
        <w:t xml:space="preserve"> une décision du juge</w:t>
      </w:r>
      <w:r w:rsidR="00A41677" w:rsidRPr="00C328A2">
        <w:t xml:space="preserve"> Brundrett, 2022 BCSC 2147, 77 B.C.L.R. (6th) 313, [2022] B.C.J. No. 2382 (Lexis), 2022 CarswellBC 3468 (WL). </w:t>
      </w:r>
      <w:r w:rsidR="000E60C3" w:rsidRPr="00C328A2">
        <w:rPr>
          <w:lang w:val="fr-CA"/>
        </w:rPr>
        <w:t>Pourvoi rejeté</w:t>
      </w:r>
      <w:r w:rsidR="00A41677" w:rsidRPr="00C328A2">
        <w:rPr>
          <w:lang w:val="fr-CA"/>
        </w:rPr>
        <w:t xml:space="preserve">, </w:t>
      </w:r>
      <w:r w:rsidR="000E60C3" w:rsidRPr="00C328A2">
        <w:rPr>
          <w:lang w:val="fr-CA"/>
        </w:rPr>
        <w:t xml:space="preserve">la juge </w:t>
      </w:r>
      <w:r w:rsidR="00A41677" w:rsidRPr="00C328A2">
        <w:rPr>
          <w:lang w:val="fr-CA"/>
        </w:rPr>
        <w:t xml:space="preserve">Côté </w:t>
      </w:r>
      <w:r w:rsidR="000E60C3" w:rsidRPr="00C328A2">
        <w:rPr>
          <w:lang w:val="fr-CA"/>
        </w:rPr>
        <w:t>est dissidente</w:t>
      </w:r>
      <w:r w:rsidR="00A41677" w:rsidRPr="00C328A2">
        <w:rPr>
          <w:lang w:val="fr-CA"/>
        </w:rPr>
        <w:t>.</w:t>
      </w:r>
    </w:p>
    <w:p w14:paraId="405BDD68" w14:textId="77777777" w:rsidR="009728D2" w:rsidRPr="00C328A2" w:rsidRDefault="00D94DD7" w:rsidP="00B732C1">
      <w:pPr>
        <w:pStyle w:val="SCCNormalDoubleSpacing"/>
        <w:spacing w:after="480"/>
        <w:rPr>
          <w:lang w:val="fr-CA"/>
        </w:rPr>
      </w:pPr>
      <w:r w:rsidRPr="00C328A2">
        <w:rPr>
          <w:rStyle w:val="SCCCounselNameChar"/>
          <w:lang w:val="fr-CA"/>
        </w:rPr>
        <w:tab/>
        <w:t>W. David Rankin</w:t>
      </w:r>
      <w:r w:rsidRPr="00C328A2">
        <w:rPr>
          <w:rStyle w:val="SCCCounselSeparatorChar"/>
          <w:lang w:val="fr-CA"/>
        </w:rPr>
        <w:t xml:space="preserve"> et </w:t>
      </w:r>
      <w:r w:rsidRPr="00C328A2">
        <w:rPr>
          <w:rStyle w:val="SCCCounselNameChar"/>
          <w:lang w:val="fr-CA"/>
        </w:rPr>
        <w:t>Ankita Gupta</w:t>
      </w:r>
      <w:r w:rsidRPr="00C328A2">
        <w:rPr>
          <w:rStyle w:val="SCCCounselPartyRoleChar"/>
          <w:lang w:val="fr-CA"/>
        </w:rPr>
        <w:t>, pour l</w:t>
      </w:r>
      <w:r w:rsidR="009003A9" w:rsidRPr="00C328A2">
        <w:rPr>
          <w:rStyle w:val="SCCCounselPartyRoleChar"/>
          <w:lang w:val="fr-CA"/>
        </w:rPr>
        <w:t>es appelantes Sanis Health Inc. et Shoppers Drug Mart Inc</w:t>
      </w:r>
      <w:r w:rsidRPr="00C328A2">
        <w:rPr>
          <w:rStyle w:val="SCCCounselPartyRoleChar"/>
          <w:lang w:val="fr-CA"/>
        </w:rPr>
        <w:t>.</w:t>
      </w:r>
    </w:p>
    <w:p w14:paraId="683FB452" w14:textId="77777777" w:rsidR="009728D2" w:rsidRPr="00C328A2" w:rsidRDefault="00D94DD7" w:rsidP="00B732C1">
      <w:pPr>
        <w:pStyle w:val="SCCNormalDoubleSpacing"/>
        <w:spacing w:after="480"/>
        <w:rPr>
          <w:lang w:val="fr-CA"/>
        </w:rPr>
      </w:pPr>
      <w:r w:rsidRPr="00C328A2">
        <w:rPr>
          <w:rStyle w:val="SCCCounselNameChar"/>
          <w:lang w:val="fr-CA"/>
        </w:rPr>
        <w:tab/>
      </w:r>
      <w:r w:rsidR="009003A9" w:rsidRPr="00C328A2">
        <w:rPr>
          <w:rStyle w:val="SCCCounselNameChar"/>
          <w:lang w:val="fr-CA"/>
        </w:rPr>
        <w:t>Peter J. Pliszka</w:t>
      </w:r>
      <w:r w:rsidR="009003A9" w:rsidRPr="00C328A2">
        <w:rPr>
          <w:rStyle w:val="SCCCounselNameChar"/>
          <w:i w:val="0"/>
          <w:lang w:val="fr-CA"/>
        </w:rPr>
        <w:t>,</w:t>
      </w:r>
      <w:r w:rsidR="009003A9" w:rsidRPr="00C328A2">
        <w:rPr>
          <w:rStyle w:val="SCCCounselNameChar"/>
          <w:lang w:val="fr-CA"/>
        </w:rPr>
        <w:t xml:space="preserve"> Andrew Borrell</w:t>
      </w:r>
      <w:r w:rsidR="009003A9" w:rsidRPr="00C328A2">
        <w:rPr>
          <w:rStyle w:val="SCCCounselSeparatorChar"/>
          <w:lang w:val="fr-CA"/>
        </w:rPr>
        <w:t xml:space="preserve"> et </w:t>
      </w:r>
      <w:r w:rsidR="009003A9" w:rsidRPr="00C328A2">
        <w:rPr>
          <w:rStyle w:val="SCCCounselNameChar"/>
          <w:lang w:val="fr-CA"/>
        </w:rPr>
        <w:t>Tom Posyniak</w:t>
      </w:r>
      <w:r w:rsidRPr="00C328A2">
        <w:rPr>
          <w:rStyle w:val="SCCCounselPartyRoleChar"/>
          <w:lang w:val="fr-CA"/>
        </w:rPr>
        <w:t>, pour l</w:t>
      </w:r>
      <w:r w:rsidR="00122F15" w:rsidRPr="00C328A2">
        <w:rPr>
          <w:rStyle w:val="SCCCounselPartyRoleChar"/>
          <w:lang w:val="fr-CA"/>
        </w:rPr>
        <w:t>’</w:t>
      </w:r>
      <w:r w:rsidRPr="00C328A2">
        <w:rPr>
          <w:rStyle w:val="SCCCounselPartyRoleChar"/>
          <w:lang w:val="fr-CA"/>
        </w:rPr>
        <w:t>ap</w:t>
      </w:r>
      <w:r w:rsidR="009003A9" w:rsidRPr="00C328A2">
        <w:rPr>
          <w:rStyle w:val="SCCCounselPartyRoleChar"/>
          <w:lang w:val="fr-CA"/>
        </w:rPr>
        <w:t>pelante Sandoz Canada Inc</w:t>
      </w:r>
      <w:r w:rsidRPr="00C328A2">
        <w:rPr>
          <w:rStyle w:val="SCCCounselPartyRoleChar"/>
          <w:lang w:val="fr-CA"/>
        </w:rPr>
        <w:t>.</w:t>
      </w:r>
    </w:p>
    <w:p w14:paraId="62239AD0" w14:textId="77777777" w:rsidR="009728D2" w:rsidRPr="00C328A2" w:rsidRDefault="00D94DD7" w:rsidP="00B732C1">
      <w:pPr>
        <w:pStyle w:val="SCCNormalDoubleSpacing"/>
        <w:spacing w:after="480"/>
        <w:rPr>
          <w:lang w:val="fr-CA"/>
        </w:rPr>
      </w:pPr>
      <w:r w:rsidRPr="00C328A2">
        <w:rPr>
          <w:rStyle w:val="SCCCounselNameChar"/>
          <w:lang w:val="fr-CA"/>
        </w:rPr>
        <w:tab/>
      </w:r>
      <w:r w:rsidR="009003A9" w:rsidRPr="00C328A2">
        <w:rPr>
          <w:rStyle w:val="SCCCounselNameChar"/>
          <w:lang w:val="fr-CA"/>
        </w:rPr>
        <w:t>Sandra A. Forbes</w:t>
      </w:r>
      <w:r w:rsidR="009003A9" w:rsidRPr="00C328A2">
        <w:rPr>
          <w:rStyle w:val="SCCCounselSeparatorChar"/>
          <w:lang w:val="fr-CA"/>
        </w:rPr>
        <w:t xml:space="preserve"> et </w:t>
      </w:r>
      <w:r w:rsidR="009003A9" w:rsidRPr="00C328A2">
        <w:rPr>
          <w:rStyle w:val="SCCCounselNameChar"/>
          <w:lang w:val="fr-CA"/>
        </w:rPr>
        <w:t>Chanakya A. Sethi</w:t>
      </w:r>
      <w:r w:rsidRPr="00C328A2">
        <w:rPr>
          <w:rStyle w:val="SCCCounselPartyRoleChar"/>
          <w:lang w:val="fr-CA"/>
        </w:rPr>
        <w:t>, pour l</w:t>
      </w:r>
      <w:r w:rsidR="00122F15" w:rsidRPr="00C328A2">
        <w:rPr>
          <w:rStyle w:val="SCCCounselPartyRoleChar"/>
          <w:lang w:val="fr-CA"/>
        </w:rPr>
        <w:t>’</w:t>
      </w:r>
      <w:r w:rsidR="009003A9" w:rsidRPr="00C328A2">
        <w:rPr>
          <w:rStyle w:val="SCCCounselPartyRoleChar"/>
          <w:lang w:val="fr-CA"/>
        </w:rPr>
        <w:t xml:space="preserve">appelante la </w:t>
      </w:r>
      <w:r w:rsidR="009003A9" w:rsidRPr="00C328A2">
        <w:rPr>
          <w:lang w:val="fr-CA"/>
        </w:rPr>
        <w:t>Corporation McKesson Canada</w:t>
      </w:r>
      <w:r w:rsidRPr="00C328A2">
        <w:rPr>
          <w:rStyle w:val="SCCCounselPartyRoleChar"/>
          <w:lang w:val="fr-CA"/>
        </w:rPr>
        <w:t>.</w:t>
      </w:r>
    </w:p>
    <w:p w14:paraId="449141A2" w14:textId="77777777" w:rsidR="009728D2" w:rsidRPr="00C328A2" w:rsidRDefault="00D94DD7" w:rsidP="00B732C1">
      <w:pPr>
        <w:pStyle w:val="SCCNormalDoubleSpacing"/>
        <w:spacing w:after="480"/>
        <w:rPr>
          <w:lang w:val="fr-CA"/>
        </w:rPr>
      </w:pPr>
      <w:r w:rsidRPr="00C328A2">
        <w:rPr>
          <w:rStyle w:val="SCCCounselNameChar"/>
          <w:lang w:val="fr-CA"/>
        </w:rPr>
        <w:tab/>
      </w:r>
      <w:r w:rsidR="009003A9" w:rsidRPr="00C328A2">
        <w:rPr>
          <w:rStyle w:val="SCCCounselNameChar"/>
          <w:lang w:val="fr-CA"/>
        </w:rPr>
        <w:t>Reidar M. Mogerman</w:t>
      </w:r>
      <w:r w:rsidR="009003A9" w:rsidRPr="00C328A2">
        <w:rPr>
          <w:rStyle w:val="SCCCounselNameChar"/>
          <w:i w:val="0"/>
          <w:lang w:val="fr-CA"/>
        </w:rPr>
        <w:t>,</w:t>
      </w:r>
      <w:r w:rsidR="009003A9" w:rsidRPr="00C328A2">
        <w:rPr>
          <w:rStyle w:val="SCCCounselNameChar"/>
          <w:lang w:val="fr-CA"/>
        </w:rPr>
        <w:t xml:space="preserve"> c.r.</w:t>
      </w:r>
      <w:r w:rsidR="009003A9" w:rsidRPr="00C328A2">
        <w:rPr>
          <w:rStyle w:val="SCCCounselNameChar"/>
          <w:i w:val="0"/>
          <w:lang w:val="fr-CA"/>
        </w:rPr>
        <w:t>,</w:t>
      </w:r>
      <w:r w:rsidR="009003A9" w:rsidRPr="00C328A2">
        <w:rPr>
          <w:rStyle w:val="SCCCounselSeparatorChar"/>
          <w:lang w:val="fr-CA"/>
        </w:rPr>
        <w:t xml:space="preserve"> </w:t>
      </w:r>
      <w:r w:rsidR="009003A9" w:rsidRPr="00C328A2">
        <w:rPr>
          <w:rStyle w:val="SCCCounselNameChar"/>
          <w:lang w:val="fr-CA"/>
        </w:rPr>
        <w:t>Katie I. Duke</w:t>
      </w:r>
      <w:r w:rsidR="009003A9" w:rsidRPr="00C328A2">
        <w:rPr>
          <w:rStyle w:val="SCCCounselNameChar"/>
          <w:i w:val="0"/>
          <w:lang w:val="fr-CA"/>
        </w:rPr>
        <w:t xml:space="preserve"> et</w:t>
      </w:r>
      <w:r w:rsidR="009003A9" w:rsidRPr="00C328A2">
        <w:rPr>
          <w:rStyle w:val="SCCCounselNameChar"/>
          <w:lang w:val="fr-CA"/>
        </w:rPr>
        <w:t xml:space="preserve"> Emily Lapper</w:t>
      </w:r>
      <w:r w:rsidRPr="00C328A2">
        <w:rPr>
          <w:rStyle w:val="SCCCounselPartyRoleChar"/>
          <w:lang w:val="fr-CA"/>
        </w:rPr>
        <w:t>, pour l</w:t>
      </w:r>
      <w:r w:rsidR="00122F15" w:rsidRPr="00C328A2">
        <w:rPr>
          <w:rStyle w:val="SCCCounselPartyRoleChar"/>
          <w:lang w:val="fr-CA"/>
        </w:rPr>
        <w:t>’</w:t>
      </w:r>
      <w:r w:rsidR="009003A9" w:rsidRPr="00C328A2">
        <w:rPr>
          <w:rStyle w:val="SCCCounselPartyRoleChar"/>
          <w:lang w:val="fr-CA"/>
        </w:rPr>
        <w:t>intimé</w:t>
      </w:r>
      <w:r w:rsidRPr="00C328A2">
        <w:rPr>
          <w:rStyle w:val="SCCCounselPartyRoleChar"/>
          <w:lang w:val="fr-CA"/>
        </w:rPr>
        <w:t>.</w:t>
      </w:r>
    </w:p>
    <w:p w14:paraId="0EEB2444" w14:textId="77777777" w:rsidR="009003A9" w:rsidRPr="00C328A2" w:rsidRDefault="00D94DD7" w:rsidP="00B732C1">
      <w:pPr>
        <w:pStyle w:val="SCCNormalDoubleSpacing"/>
        <w:spacing w:after="480"/>
        <w:rPr>
          <w:rStyle w:val="SCCCounselPartyRoleChar"/>
          <w:lang w:val="fr-CA"/>
        </w:rPr>
      </w:pPr>
      <w:r w:rsidRPr="00C328A2">
        <w:rPr>
          <w:rStyle w:val="SCCCounselNameChar"/>
          <w:lang w:val="fr-CA"/>
        </w:rPr>
        <w:tab/>
      </w:r>
      <w:r w:rsidR="009003A9" w:rsidRPr="00C328A2">
        <w:rPr>
          <w:rStyle w:val="SCCCounselNameChar"/>
          <w:lang w:val="fr-CA"/>
        </w:rPr>
        <w:t>Christine Mohr</w:t>
      </w:r>
      <w:r w:rsidR="009003A9" w:rsidRPr="00C328A2">
        <w:rPr>
          <w:rStyle w:val="SCCCounselSeparatorChar"/>
          <w:lang w:val="fr-CA"/>
        </w:rPr>
        <w:t xml:space="preserve"> et </w:t>
      </w:r>
      <w:r w:rsidR="009003A9" w:rsidRPr="00C328A2">
        <w:rPr>
          <w:rStyle w:val="SCCCounselNameChar"/>
          <w:lang w:val="fr-CA"/>
        </w:rPr>
        <w:t>Michelle Kellam</w:t>
      </w:r>
      <w:r w:rsidR="009003A9" w:rsidRPr="00C328A2">
        <w:rPr>
          <w:rStyle w:val="SCCCounselPartyRoleChar"/>
          <w:lang w:val="fr-CA"/>
        </w:rPr>
        <w:t xml:space="preserve">, </w:t>
      </w:r>
      <w:r w:rsidR="009003A9" w:rsidRPr="00C328A2">
        <w:rPr>
          <w:color w:val="000000"/>
          <w:lang w:val="fr-CA"/>
        </w:rPr>
        <w:t xml:space="preserve">pour l’intervenant le procureur général du </w:t>
      </w:r>
      <w:r w:rsidR="009003A9" w:rsidRPr="00C328A2">
        <w:rPr>
          <w:rStyle w:val="SCCCounselPartyRoleChar"/>
          <w:lang w:val="fr-CA"/>
        </w:rPr>
        <w:t>Canada.</w:t>
      </w:r>
    </w:p>
    <w:p w14:paraId="053EC513" w14:textId="77777777" w:rsidR="009003A9" w:rsidRPr="00C328A2" w:rsidRDefault="009003A9" w:rsidP="00B732C1">
      <w:pPr>
        <w:pStyle w:val="SCCNormalDoubleSpacing"/>
        <w:spacing w:after="480"/>
        <w:rPr>
          <w:lang w:val="fr-CA"/>
        </w:rPr>
      </w:pPr>
      <w:r w:rsidRPr="00C328A2">
        <w:rPr>
          <w:rStyle w:val="SCCCounselNameChar"/>
          <w:lang w:val="fr-CA"/>
        </w:rPr>
        <w:lastRenderedPageBreak/>
        <w:tab/>
        <w:t xml:space="preserve">Ryan Cookson </w:t>
      </w:r>
      <w:r w:rsidRPr="00C328A2">
        <w:rPr>
          <w:rStyle w:val="SCCCounselNameChar"/>
          <w:i w:val="0"/>
          <w:lang w:val="fr-CA"/>
        </w:rPr>
        <w:t xml:space="preserve">et </w:t>
      </w:r>
      <w:r w:rsidRPr="00C328A2">
        <w:rPr>
          <w:rStyle w:val="SCCCounselNameChar"/>
          <w:lang w:val="fr-CA"/>
        </w:rPr>
        <w:t>S. Zachary Green</w:t>
      </w:r>
      <w:r w:rsidRPr="00C328A2">
        <w:rPr>
          <w:rStyle w:val="SCCCounselPartyRoleChar"/>
          <w:lang w:val="fr-CA"/>
        </w:rPr>
        <w:t xml:space="preserve">, </w:t>
      </w:r>
      <w:r w:rsidRPr="00C328A2">
        <w:rPr>
          <w:color w:val="000000"/>
          <w:lang w:val="fr-CA"/>
        </w:rPr>
        <w:t>pour l’intervenant le procureur général de l’</w:t>
      </w:r>
      <w:r w:rsidRPr="00C328A2">
        <w:rPr>
          <w:rStyle w:val="SCCCounselPartyRoleChar"/>
          <w:lang w:val="fr-CA"/>
        </w:rPr>
        <w:t>Ontario.</w:t>
      </w:r>
    </w:p>
    <w:p w14:paraId="30BE52D7" w14:textId="77777777" w:rsidR="009003A9" w:rsidRPr="00C328A2" w:rsidRDefault="009003A9" w:rsidP="00B732C1">
      <w:pPr>
        <w:pStyle w:val="SCCNormalDoubleSpacing"/>
        <w:spacing w:after="480"/>
        <w:rPr>
          <w:lang w:val="fr-CA"/>
        </w:rPr>
      </w:pPr>
      <w:r w:rsidRPr="00C328A2">
        <w:rPr>
          <w:rStyle w:val="SCCCounselNameChar"/>
          <w:lang w:val="fr-CA"/>
        </w:rPr>
        <w:tab/>
        <w:t>Pierre-Luc Beauchesne</w:t>
      </w:r>
      <w:r w:rsidRPr="00C328A2">
        <w:rPr>
          <w:rStyle w:val="SCCCounselNameChar"/>
          <w:i w:val="0"/>
          <w:lang w:val="fr-CA"/>
        </w:rPr>
        <w:t xml:space="preserve">, </w:t>
      </w:r>
      <w:r w:rsidRPr="00C328A2">
        <w:rPr>
          <w:rStyle w:val="SCCCounselNameChar"/>
          <w:lang w:val="fr-CA"/>
        </w:rPr>
        <w:t>Marie-Catherine Bolduc</w:t>
      </w:r>
      <w:r w:rsidRPr="00C328A2">
        <w:rPr>
          <w:rStyle w:val="SCCCounselNameChar"/>
          <w:i w:val="0"/>
          <w:lang w:val="fr-CA"/>
        </w:rPr>
        <w:t xml:space="preserve"> et </w:t>
      </w:r>
      <w:r w:rsidRPr="00C328A2">
        <w:rPr>
          <w:rStyle w:val="SCCCounselNameChar"/>
          <w:lang w:val="fr-CA"/>
        </w:rPr>
        <w:t>Laurie Anctil</w:t>
      </w:r>
      <w:r w:rsidRPr="00C328A2">
        <w:rPr>
          <w:rStyle w:val="SCCCounselPartyRoleChar"/>
          <w:lang w:val="fr-CA"/>
        </w:rPr>
        <w:t xml:space="preserve">, </w:t>
      </w:r>
      <w:r w:rsidRPr="00C328A2">
        <w:rPr>
          <w:color w:val="000000"/>
          <w:lang w:val="fr-CA"/>
        </w:rPr>
        <w:t>pour l’intervenant le procureur général du</w:t>
      </w:r>
      <w:r w:rsidRPr="00C328A2">
        <w:rPr>
          <w:rStyle w:val="SCCCounselPartyRoleChar"/>
          <w:lang w:val="fr-CA"/>
        </w:rPr>
        <w:t xml:space="preserve"> Québec.</w:t>
      </w:r>
    </w:p>
    <w:p w14:paraId="1FF4F143" w14:textId="75B83083" w:rsidR="009003A9" w:rsidRPr="00C328A2" w:rsidRDefault="009003A9" w:rsidP="00B732C1">
      <w:pPr>
        <w:pStyle w:val="SCCNormalDoubleSpacing"/>
        <w:spacing w:after="480"/>
        <w:rPr>
          <w:rStyle w:val="SCCCounselPartyRoleChar"/>
          <w:lang w:val="fr-CA"/>
        </w:rPr>
      </w:pPr>
      <w:r w:rsidRPr="00C328A2">
        <w:rPr>
          <w:rStyle w:val="SCCCounselNameChar"/>
          <w:lang w:val="fr-CA"/>
        </w:rPr>
        <w:tab/>
        <w:t>Agnes MacNeil</w:t>
      </w:r>
      <w:r w:rsidRPr="00C328A2">
        <w:rPr>
          <w:rStyle w:val="SCCCounselNameChar"/>
          <w:i w:val="0"/>
          <w:lang w:val="fr-CA"/>
        </w:rPr>
        <w:t>,</w:t>
      </w:r>
      <w:r w:rsidRPr="00C328A2">
        <w:rPr>
          <w:rStyle w:val="SCCCounselNameChar"/>
          <w:lang w:val="fr-CA"/>
        </w:rPr>
        <w:t xml:space="preserve"> c.r.</w:t>
      </w:r>
      <w:r w:rsidRPr="00C328A2">
        <w:rPr>
          <w:rStyle w:val="SCCCounselNameChar"/>
          <w:i w:val="0"/>
          <w:lang w:val="fr-CA"/>
        </w:rPr>
        <w:t xml:space="preserve">, et </w:t>
      </w:r>
      <w:r w:rsidRPr="00C328A2">
        <w:rPr>
          <w:rStyle w:val="SCCCounselNameChar"/>
          <w:lang w:val="fr-CA"/>
        </w:rPr>
        <w:t>Edward A. Gores</w:t>
      </w:r>
      <w:r w:rsidRPr="00C328A2">
        <w:rPr>
          <w:rStyle w:val="SCCCounselNameChar"/>
          <w:i w:val="0"/>
          <w:lang w:val="fr-CA"/>
        </w:rPr>
        <w:t>,</w:t>
      </w:r>
      <w:r w:rsidRPr="00C328A2">
        <w:rPr>
          <w:rStyle w:val="SCCCounselNameChar"/>
          <w:lang w:val="fr-CA"/>
        </w:rPr>
        <w:t xml:space="preserve"> c.r.</w:t>
      </w:r>
      <w:r w:rsidRPr="00C328A2">
        <w:rPr>
          <w:rStyle w:val="SCCCounselPartyRoleChar"/>
          <w:lang w:val="fr-CA"/>
        </w:rPr>
        <w:t xml:space="preserve">, </w:t>
      </w:r>
      <w:r w:rsidRPr="00C328A2">
        <w:rPr>
          <w:color w:val="000000"/>
          <w:lang w:val="fr-CA"/>
        </w:rPr>
        <w:t xml:space="preserve">pour l’intervenant le procureur général de la </w:t>
      </w:r>
      <w:r w:rsidR="00B732C1" w:rsidRPr="00C328A2">
        <w:rPr>
          <w:lang w:val="fr-CA"/>
        </w:rPr>
        <w:t>Nouvelle</w:t>
      </w:r>
      <w:r w:rsidR="00B732C1" w:rsidRPr="00C328A2">
        <w:rPr>
          <w:lang w:val="fr-CA"/>
        </w:rPr>
        <w:noBreakHyphen/>
      </w:r>
      <w:r w:rsidRPr="00C328A2">
        <w:rPr>
          <w:lang w:val="fr-CA"/>
        </w:rPr>
        <w:t>Écosse</w:t>
      </w:r>
      <w:r w:rsidRPr="00C328A2">
        <w:rPr>
          <w:rStyle w:val="SCCCounselPartyRoleChar"/>
          <w:lang w:val="fr-CA"/>
        </w:rPr>
        <w:t>.</w:t>
      </w:r>
    </w:p>
    <w:p w14:paraId="11B1E375" w14:textId="08245D0C" w:rsidR="009003A9" w:rsidRPr="00C328A2" w:rsidRDefault="009003A9" w:rsidP="00B732C1">
      <w:pPr>
        <w:pStyle w:val="SCCNormalDoubleSpacing"/>
        <w:spacing w:after="480"/>
        <w:rPr>
          <w:lang w:val="fr-CA"/>
        </w:rPr>
      </w:pPr>
      <w:r w:rsidRPr="00C328A2">
        <w:rPr>
          <w:rStyle w:val="SCCCounselNameChar"/>
          <w:lang w:val="fr-CA"/>
        </w:rPr>
        <w:tab/>
      </w:r>
      <w:r w:rsidRPr="00C328A2">
        <w:rPr>
          <w:rStyle w:val="scccounselnamechar0"/>
          <w:rFonts w:eastAsiaTheme="majorEastAsia"/>
          <w:color w:val="000000"/>
          <w:lang w:val="fr-CA"/>
        </w:rPr>
        <w:t>Argumentation écrite seulement par</w:t>
      </w:r>
      <w:r w:rsidRPr="00C328A2">
        <w:rPr>
          <w:rStyle w:val="SCCCounselNameChar"/>
          <w:lang w:val="fr-CA"/>
        </w:rPr>
        <w:t xml:space="preserve"> Véronique R. Guitard</w:t>
      </w:r>
      <w:r w:rsidRPr="00C328A2">
        <w:rPr>
          <w:rStyle w:val="SCCCounselNameChar"/>
          <w:i w:val="0"/>
          <w:lang w:val="fr-CA"/>
        </w:rPr>
        <w:t xml:space="preserve"> </w:t>
      </w:r>
      <w:r w:rsidR="00B74A63" w:rsidRPr="00C328A2">
        <w:rPr>
          <w:rStyle w:val="SCCCounselNameChar"/>
          <w:i w:val="0"/>
          <w:lang w:val="fr-CA"/>
        </w:rPr>
        <w:t>et</w:t>
      </w:r>
      <w:r w:rsidRPr="00C328A2">
        <w:rPr>
          <w:rStyle w:val="SCCCounselNameChar"/>
          <w:i w:val="0"/>
          <w:lang w:val="fr-CA"/>
        </w:rPr>
        <w:t xml:space="preserve"> </w:t>
      </w:r>
      <w:r w:rsidRPr="00C328A2">
        <w:rPr>
          <w:rStyle w:val="SCCCounselNameChar"/>
          <w:lang w:val="fr-CA"/>
        </w:rPr>
        <w:t>Rose Campbell</w:t>
      </w:r>
      <w:r w:rsidRPr="00C328A2">
        <w:rPr>
          <w:rStyle w:val="SCCCounselPartyRoleChar"/>
          <w:lang w:val="fr-CA"/>
        </w:rPr>
        <w:t xml:space="preserve">, </w:t>
      </w:r>
      <w:r w:rsidR="00B74A63" w:rsidRPr="00C328A2">
        <w:rPr>
          <w:color w:val="000000"/>
          <w:lang w:val="fr-CA"/>
        </w:rPr>
        <w:t xml:space="preserve">pour l’intervenant </w:t>
      </w:r>
      <w:r w:rsidR="00B732C1" w:rsidRPr="00C328A2">
        <w:rPr>
          <w:color w:val="000000"/>
          <w:lang w:val="fr-CA"/>
        </w:rPr>
        <w:t>le procureur général du Nouveau</w:t>
      </w:r>
      <w:r w:rsidR="00B732C1" w:rsidRPr="00C328A2">
        <w:rPr>
          <w:color w:val="000000"/>
          <w:lang w:val="fr-CA"/>
        </w:rPr>
        <w:noBreakHyphen/>
      </w:r>
      <w:r w:rsidR="00B74A63" w:rsidRPr="00C328A2">
        <w:rPr>
          <w:color w:val="000000"/>
          <w:lang w:val="fr-CA"/>
        </w:rPr>
        <w:t>Brunswick.</w:t>
      </w:r>
    </w:p>
    <w:p w14:paraId="0BCFAF37" w14:textId="77777777" w:rsidR="009003A9" w:rsidRPr="00C328A2" w:rsidRDefault="009003A9" w:rsidP="00B732C1">
      <w:pPr>
        <w:pStyle w:val="SCCNormalDoubleSpacing"/>
        <w:spacing w:after="480"/>
        <w:rPr>
          <w:lang w:val="fr-CA"/>
        </w:rPr>
      </w:pPr>
      <w:r w:rsidRPr="00C328A2">
        <w:rPr>
          <w:rStyle w:val="SCCCounselNameChar"/>
          <w:lang w:val="fr-CA"/>
        </w:rPr>
        <w:tab/>
        <w:t>Michael Bodner</w:t>
      </w:r>
      <w:r w:rsidRPr="00C328A2">
        <w:rPr>
          <w:rStyle w:val="SCCCounselPartyRoleChar"/>
          <w:lang w:val="fr-CA"/>
        </w:rPr>
        <w:t xml:space="preserve">, </w:t>
      </w:r>
      <w:r w:rsidR="00B74A63" w:rsidRPr="00C328A2">
        <w:rPr>
          <w:color w:val="000000"/>
          <w:lang w:val="fr-CA"/>
        </w:rPr>
        <w:t xml:space="preserve">pour l’intervenant le procureur général du </w:t>
      </w:r>
      <w:r w:rsidRPr="00C328A2">
        <w:rPr>
          <w:rStyle w:val="SCCCounselPartyRoleChar"/>
          <w:lang w:val="fr-CA"/>
        </w:rPr>
        <w:t>Manitoba.</w:t>
      </w:r>
    </w:p>
    <w:p w14:paraId="3B0DB3CB" w14:textId="2C20987F" w:rsidR="009003A9" w:rsidRPr="00C328A2" w:rsidRDefault="009003A9" w:rsidP="00B732C1">
      <w:pPr>
        <w:pStyle w:val="SCCNormalDoubleSpacing"/>
        <w:spacing w:after="480"/>
        <w:rPr>
          <w:lang w:val="fr-CA"/>
        </w:rPr>
      </w:pPr>
      <w:r w:rsidRPr="00C328A2">
        <w:rPr>
          <w:rStyle w:val="SCCCounselNameChar"/>
          <w:lang w:val="fr-CA"/>
        </w:rPr>
        <w:tab/>
      </w:r>
      <w:r w:rsidR="00B74A63" w:rsidRPr="00C328A2">
        <w:rPr>
          <w:rStyle w:val="scccounselnamechar0"/>
          <w:rFonts w:eastAsiaTheme="majorEastAsia"/>
          <w:color w:val="000000"/>
          <w:lang w:val="fr-CA"/>
        </w:rPr>
        <w:t>Argumentation écrite seulement par</w:t>
      </w:r>
      <w:r w:rsidR="00B74A63" w:rsidRPr="00C328A2">
        <w:rPr>
          <w:rStyle w:val="SCCCounselNameChar"/>
          <w:lang w:val="fr-CA"/>
        </w:rPr>
        <w:t xml:space="preserve"> </w:t>
      </w:r>
      <w:r w:rsidRPr="00C328A2">
        <w:rPr>
          <w:rStyle w:val="SCCCounselNameChar"/>
          <w:lang w:val="fr-CA"/>
        </w:rPr>
        <w:t xml:space="preserve">Caroline Davison </w:t>
      </w:r>
      <w:r w:rsidR="00B74A63" w:rsidRPr="00C328A2">
        <w:rPr>
          <w:rStyle w:val="SCCCounselNameChar"/>
          <w:i w:val="0"/>
          <w:lang w:val="fr-CA"/>
        </w:rPr>
        <w:t>et</w:t>
      </w:r>
      <w:r w:rsidRPr="00C328A2">
        <w:rPr>
          <w:rStyle w:val="SCCCounselNameChar"/>
          <w:i w:val="0"/>
          <w:lang w:val="fr-CA"/>
        </w:rPr>
        <w:t xml:space="preserve"> </w:t>
      </w:r>
      <w:r w:rsidRPr="00C328A2">
        <w:rPr>
          <w:rStyle w:val="SCCCounselNameChar"/>
          <w:lang w:val="fr-CA"/>
        </w:rPr>
        <w:t>Michael Fleischmann</w:t>
      </w:r>
      <w:r w:rsidRPr="00C328A2">
        <w:rPr>
          <w:rStyle w:val="SCCCounselPartyRoleChar"/>
          <w:lang w:val="fr-CA"/>
        </w:rPr>
        <w:t xml:space="preserve">, </w:t>
      </w:r>
      <w:r w:rsidR="00B74A63" w:rsidRPr="00C328A2">
        <w:rPr>
          <w:color w:val="000000"/>
          <w:lang w:val="fr-CA"/>
        </w:rPr>
        <w:t xml:space="preserve">pour l’intervenant le procureur général de </w:t>
      </w:r>
      <w:r w:rsidR="00B732C1" w:rsidRPr="00C328A2">
        <w:rPr>
          <w:rStyle w:val="SCCCounselPartyRoleChar"/>
          <w:lang w:val="fr-CA"/>
        </w:rPr>
        <w:t>l’Île</w:t>
      </w:r>
      <w:r w:rsidR="00B732C1" w:rsidRPr="00C328A2">
        <w:rPr>
          <w:rStyle w:val="SCCCounselPartyRoleChar"/>
          <w:lang w:val="fr-CA"/>
        </w:rPr>
        <w:noBreakHyphen/>
        <w:t>du</w:t>
      </w:r>
      <w:r w:rsidR="00B732C1" w:rsidRPr="00C328A2">
        <w:rPr>
          <w:rStyle w:val="SCCCounselPartyRoleChar"/>
          <w:lang w:val="fr-CA"/>
        </w:rPr>
        <w:noBreakHyphen/>
        <w:t>Prince</w:t>
      </w:r>
      <w:r w:rsidR="00B732C1" w:rsidRPr="00C328A2">
        <w:rPr>
          <w:rStyle w:val="SCCCounselPartyRoleChar"/>
          <w:lang w:val="fr-CA"/>
        </w:rPr>
        <w:noBreakHyphen/>
      </w:r>
      <w:r w:rsidR="00B74A63" w:rsidRPr="00C328A2">
        <w:rPr>
          <w:rStyle w:val="SCCCounselPartyRoleChar"/>
          <w:lang w:val="fr-CA"/>
        </w:rPr>
        <w:t>Édouard</w:t>
      </w:r>
      <w:r w:rsidRPr="00C328A2">
        <w:rPr>
          <w:rStyle w:val="SCCCounselPartyRoleChar"/>
          <w:lang w:val="fr-CA"/>
        </w:rPr>
        <w:t>.</w:t>
      </w:r>
    </w:p>
    <w:p w14:paraId="6E6F233F" w14:textId="77777777" w:rsidR="009003A9" w:rsidRPr="00C328A2" w:rsidRDefault="009003A9" w:rsidP="00B732C1">
      <w:pPr>
        <w:pStyle w:val="SCCNormalDoubleSpacing"/>
        <w:spacing w:after="480"/>
        <w:rPr>
          <w:lang w:val="fr-CA"/>
        </w:rPr>
      </w:pPr>
      <w:r w:rsidRPr="00C328A2">
        <w:rPr>
          <w:rStyle w:val="SCCCounselNameChar"/>
          <w:lang w:val="fr-CA"/>
        </w:rPr>
        <w:tab/>
        <w:t>Noah Wernikowski</w:t>
      </w:r>
      <w:r w:rsidR="00B74A63" w:rsidRPr="00C328A2">
        <w:rPr>
          <w:rStyle w:val="SCCCounselSeparatorChar"/>
          <w:lang w:val="fr-CA"/>
        </w:rPr>
        <w:t xml:space="preserve"> et</w:t>
      </w:r>
      <w:r w:rsidRPr="00C328A2">
        <w:rPr>
          <w:rStyle w:val="SCCCounselSeparatorChar"/>
          <w:lang w:val="fr-CA"/>
        </w:rPr>
        <w:t xml:space="preserve"> </w:t>
      </w:r>
      <w:r w:rsidRPr="00C328A2">
        <w:rPr>
          <w:rStyle w:val="SCCCounselNameChar"/>
          <w:lang w:val="fr-CA"/>
        </w:rPr>
        <w:t>Justin Stevenson</w:t>
      </w:r>
      <w:r w:rsidR="00B74A63" w:rsidRPr="00C328A2">
        <w:rPr>
          <w:rStyle w:val="SCCCounselPartyRoleChar"/>
          <w:lang w:val="fr-CA"/>
        </w:rPr>
        <w:t xml:space="preserve">, </w:t>
      </w:r>
      <w:r w:rsidR="00B74A63" w:rsidRPr="00C328A2">
        <w:rPr>
          <w:color w:val="000000"/>
          <w:lang w:val="fr-CA"/>
        </w:rPr>
        <w:t xml:space="preserve">pour l’intervenant le procureur général de la </w:t>
      </w:r>
      <w:r w:rsidRPr="00C328A2">
        <w:rPr>
          <w:rStyle w:val="SCCCounselPartyRoleChar"/>
          <w:lang w:val="fr-CA"/>
        </w:rPr>
        <w:t>Saskatchewan.</w:t>
      </w:r>
    </w:p>
    <w:p w14:paraId="258CD250" w14:textId="77777777" w:rsidR="009003A9" w:rsidRPr="00C328A2" w:rsidRDefault="009003A9" w:rsidP="00B732C1">
      <w:pPr>
        <w:pStyle w:val="SCCNormalDoubleSpacing"/>
        <w:spacing w:after="480"/>
        <w:rPr>
          <w:lang w:val="fr-CA"/>
        </w:rPr>
      </w:pPr>
      <w:r w:rsidRPr="00C328A2">
        <w:rPr>
          <w:rStyle w:val="SCCCounselNameChar"/>
          <w:lang w:val="fr-CA"/>
        </w:rPr>
        <w:tab/>
        <w:t>Brooklyn LeClair</w:t>
      </w:r>
      <w:r w:rsidRPr="00C328A2">
        <w:rPr>
          <w:rStyle w:val="SCCCounselPartyRoleChar"/>
          <w:lang w:val="fr-CA"/>
        </w:rPr>
        <w:t xml:space="preserve">, </w:t>
      </w:r>
      <w:r w:rsidR="00B74A63" w:rsidRPr="00C328A2">
        <w:rPr>
          <w:color w:val="000000"/>
          <w:lang w:val="fr-CA"/>
        </w:rPr>
        <w:t>pour l’intervenant le procureur général de l’</w:t>
      </w:r>
      <w:r w:rsidRPr="00C328A2">
        <w:rPr>
          <w:rStyle w:val="SCCCounselPartyRoleChar"/>
          <w:lang w:val="fr-CA"/>
        </w:rPr>
        <w:t>Alberta.</w:t>
      </w:r>
    </w:p>
    <w:p w14:paraId="3FB45C35" w14:textId="4A8730D6" w:rsidR="009003A9" w:rsidRPr="00C328A2" w:rsidRDefault="009003A9" w:rsidP="00B732C1">
      <w:pPr>
        <w:pStyle w:val="SCCNormalDoubleSpacing"/>
        <w:spacing w:after="480"/>
        <w:rPr>
          <w:lang w:val="fr-CA"/>
        </w:rPr>
      </w:pPr>
      <w:r w:rsidRPr="00C328A2">
        <w:rPr>
          <w:rStyle w:val="SCCCounselNameChar"/>
          <w:lang w:val="fr-CA"/>
        </w:rPr>
        <w:tab/>
      </w:r>
      <w:r w:rsidR="00B74A63" w:rsidRPr="00C328A2">
        <w:rPr>
          <w:rStyle w:val="scccounselnamechar0"/>
          <w:rFonts w:eastAsiaTheme="majorEastAsia"/>
          <w:color w:val="000000"/>
          <w:lang w:val="fr-CA"/>
        </w:rPr>
        <w:t>Argumentation écrite seulement par</w:t>
      </w:r>
      <w:r w:rsidR="00B74A63" w:rsidRPr="00C328A2">
        <w:rPr>
          <w:rStyle w:val="SCCCounselNameChar"/>
          <w:lang w:val="fr-CA"/>
        </w:rPr>
        <w:t xml:space="preserve"> </w:t>
      </w:r>
      <w:r w:rsidRPr="00C328A2">
        <w:rPr>
          <w:rStyle w:val="SCCCounselNameChar"/>
          <w:lang w:val="fr-CA"/>
        </w:rPr>
        <w:t>Mark Ishack</w:t>
      </w:r>
      <w:r w:rsidR="00B74A63" w:rsidRPr="00C328A2">
        <w:rPr>
          <w:rStyle w:val="SCCCounselSeparatorChar"/>
          <w:lang w:val="fr-CA"/>
        </w:rPr>
        <w:t xml:space="preserve"> et</w:t>
      </w:r>
      <w:r w:rsidRPr="00C328A2">
        <w:rPr>
          <w:rStyle w:val="SCCCounselSeparatorChar"/>
          <w:lang w:val="fr-CA"/>
        </w:rPr>
        <w:t xml:space="preserve"> </w:t>
      </w:r>
      <w:r w:rsidRPr="00C328A2">
        <w:rPr>
          <w:rStyle w:val="SCCCounselNameChar"/>
          <w:lang w:val="fr-CA"/>
        </w:rPr>
        <w:t>Thomas Wallwork</w:t>
      </w:r>
      <w:r w:rsidRPr="00C328A2">
        <w:rPr>
          <w:rStyle w:val="SCCCounselPartyRoleChar"/>
          <w:lang w:val="fr-CA"/>
        </w:rPr>
        <w:t xml:space="preserve">, </w:t>
      </w:r>
      <w:r w:rsidR="00B74A63" w:rsidRPr="00C328A2">
        <w:rPr>
          <w:color w:val="000000"/>
          <w:lang w:val="fr-CA"/>
        </w:rPr>
        <w:t xml:space="preserve">pour l’intervenant le procureur général </w:t>
      </w:r>
      <w:r w:rsidR="00B732C1" w:rsidRPr="00C328A2">
        <w:rPr>
          <w:lang w:val="fr-CA"/>
        </w:rPr>
        <w:t>des Territoires du Nord</w:t>
      </w:r>
      <w:r w:rsidR="00B732C1" w:rsidRPr="00C328A2">
        <w:rPr>
          <w:lang w:val="fr-CA"/>
        </w:rPr>
        <w:noBreakHyphen/>
      </w:r>
      <w:r w:rsidR="00B74A63" w:rsidRPr="00C328A2">
        <w:rPr>
          <w:lang w:val="fr-CA"/>
        </w:rPr>
        <w:t>Ouest</w:t>
      </w:r>
      <w:r w:rsidRPr="00C328A2">
        <w:rPr>
          <w:rStyle w:val="SCCCounselPartyRoleChar"/>
          <w:lang w:val="fr-CA"/>
        </w:rPr>
        <w:t>.</w:t>
      </w:r>
    </w:p>
    <w:p w14:paraId="58904228" w14:textId="3801F022" w:rsidR="009003A9" w:rsidRPr="00C328A2" w:rsidRDefault="009003A9" w:rsidP="00B732C1">
      <w:pPr>
        <w:pStyle w:val="SCCNormalDoubleSpacing"/>
        <w:spacing w:after="480"/>
        <w:rPr>
          <w:lang w:val="fr-CA"/>
        </w:rPr>
      </w:pPr>
      <w:r w:rsidRPr="00C328A2">
        <w:rPr>
          <w:rStyle w:val="SCCCounselNameChar"/>
          <w:lang w:val="fr-CA"/>
        </w:rPr>
        <w:lastRenderedPageBreak/>
        <w:tab/>
      </w:r>
      <w:r w:rsidR="00B74A63" w:rsidRPr="00C328A2">
        <w:rPr>
          <w:rStyle w:val="scccounselnamechar0"/>
          <w:rFonts w:eastAsiaTheme="majorEastAsia"/>
          <w:color w:val="000000"/>
          <w:lang w:val="fr-CA"/>
        </w:rPr>
        <w:t>Argumentation écrite seulement par</w:t>
      </w:r>
      <w:r w:rsidR="00B74A63" w:rsidRPr="00C328A2">
        <w:rPr>
          <w:rStyle w:val="SCCCounselNameChar"/>
          <w:lang w:val="fr-CA"/>
        </w:rPr>
        <w:t xml:space="preserve"> </w:t>
      </w:r>
      <w:r w:rsidRPr="00C328A2">
        <w:rPr>
          <w:rStyle w:val="SCCCounselNameChar"/>
          <w:lang w:val="fr-CA"/>
        </w:rPr>
        <w:t>I.H. Fraser</w:t>
      </w:r>
      <w:r w:rsidRPr="00C328A2">
        <w:rPr>
          <w:rStyle w:val="SCCCounselPartyRoleChar"/>
          <w:lang w:val="fr-CA"/>
        </w:rPr>
        <w:t xml:space="preserve">, </w:t>
      </w:r>
      <w:r w:rsidR="00B74A63" w:rsidRPr="00C328A2">
        <w:rPr>
          <w:color w:val="000000"/>
          <w:lang w:val="fr-CA"/>
        </w:rPr>
        <w:t>pour l’intervenant</w:t>
      </w:r>
      <w:r w:rsidR="00962C65" w:rsidRPr="00C328A2">
        <w:rPr>
          <w:color w:val="000000"/>
          <w:lang w:val="fr-CA"/>
        </w:rPr>
        <w:t xml:space="preserve"> le</w:t>
      </w:r>
      <w:r w:rsidR="00B74A63" w:rsidRPr="00C328A2">
        <w:rPr>
          <w:color w:val="000000"/>
          <w:lang w:val="fr-CA"/>
        </w:rPr>
        <w:t xml:space="preserve"> procureur général</w:t>
      </w:r>
      <w:r w:rsidRPr="00C328A2">
        <w:rPr>
          <w:rStyle w:val="SCCCounselPartyRoleChar"/>
          <w:lang w:val="fr-CA"/>
        </w:rPr>
        <w:t xml:space="preserve"> </w:t>
      </w:r>
      <w:r w:rsidR="00B74A63" w:rsidRPr="00C328A2">
        <w:rPr>
          <w:lang w:val="fr-CA"/>
        </w:rPr>
        <w:t>du Territoire du Yukon</w:t>
      </w:r>
      <w:r w:rsidRPr="00C328A2">
        <w:rPr>
          <w:rStyle w:val="SCCCounselPartyRoleChar"/>
          <w:lang w:val="fr-CA"/>
        </w:rPr>
        <w:t>.</w:t>
      </w:r>
    </w:p>
    <w:p w14:paraId="06BEE424" w14:textId="77777777" w:rsidR="009003A9" w:rsidRPr="00C328A2" w:rsidRDefault="009003A9" w:rsidP="00B732C1">
      <w:pPr>
        <w:pStyle w:val="SCCNormalDoubleSpacing"/>
        <w:spacing w:after="480"/>
        <w:rPr>
          <w:lang w:val="fr-CA"/>
        </w:rPr>
      </w:pPr>
      <w:r w:rsidRPr="00C328A2">
        <w:rPr>
          <w:rStyle w:val="SCCCounselNameChar"/>
          <w:lang w:val="fr-CA"/>
        </w:rPr>
        <w:tab/>
        <w:t xml:space="preserve">Roger J. F. Lepage </w:t>
      </w:r>
      <w:r w:rsidR="00B74A63" w:rsidRPr="00C328A2">
        <w:rPr>
          <w:rStyle w:val="SCCCounselSeparatorChar"/>
          <w:lang w:val="fr-CA"/>
        </w:rPr>
        <w:t>et</w:t>
      </w:r>
      <w:r w:rsidRPr="00C328A2">
        <w:rPr>
          <w:rStyle w:val="SCCCounselSeparatorChar"/>
          <w:lang w:val="fr-CA"/>
        </w:rPr>
        <w:t xml:space="preserve"> </w:t>
      </w:r>
      <w:r w:rsidRPr="00C328A2">
        <w:rPr>
          <w:rStyle w:val="SCCCounselNameChar"/>
          <w:lang w:val="fr-CA"/>
        </w:rPr>
        <w:t>Fadi Amine</w:t>
      </w:r>
      <w:r w:rsidRPr="00C328A2">
        <w:rPr>
          <w:rStyle w:val="SCCCounselPartyRoleChar"/>
          <w:lang w:val="fr-CA"/>
        </w:rPr>
        <w:t xml:space="preserve">, </w:t>
      </w:r>
      <w:r w:rsidR="00B74A63" w:rsidRPr="00C328A2">
        <w:rPr>
          <w:color w:val="000000"/>
          <w:lang w:val="fr-CA"/>
        </w:rPr>
        <w:t xml:space="preserve">pour les intervenants </w:t>
      </w:r>
      <w:r w:rsidRPr="00C328A2">
        <w:rPr>
          <w:rStyle w:val="SCCCounselPartyRoleChar"/>
          <w:lang w:val="fr-CA"/>
        </w:rPr>
        <w:t xml:space="preserve">Groupe Jean Coutu </w:t>
      </w:r>
      <w:r w:rsidRPr="00C328A2">
        <w:rPr>
          <w:lang w:val="fr-CA"/>
        </w:rPr>
        <w:t>(PJC) inc.</w:t>
      </w:r>
      <w:r w:rsidR="00B74A63" w:rsidRPr="00C328A2">
        <w:rPr>
          <w:rStyle w:val="SCCCounselPartyRoleChar"/>
          <w:lang w:val="fr-CA"/>
        </w:rPr>
        <w:t xml:space="preserve"> et</w:t>
      </w:r>
      <w:r w:rsidRPr="00C328A2">
        <w:rPr>
          <w:rStyle w:val="SCCCounselPartyRoleChar"/>
          <w:lang w:val="fr-CA"/>
        </w:rPr>
        <w:t xml:space="preserve"> </w:t>
      </w:r>
      <w:r w:rsidR="00B74A63" w:rsidRPr="00C328A2">
        <w:rPr>
          <w:lang w:val="fr-CA"/>
        </w:rPr>
        <w:t>Pro Doc Ltée.</w:t>
      </w:r>
    </w:p>
    <w:p w14:paraId="2BB60157" w14:textId="77777777" w:rsidR="00C328A2" w:rsidRPr="00C328A2" w:rsidRDefault="00C328A2" w:rsidP="00C328A2">
      <w:pPr>
        <w:tabs>
          <w:tab w:val="left" w:pos="1134"/>
        </w:tabs>
        <w:spacing w:after="480" w:line="480" w:lineRule="auto"/>
        <w:jc w:val="both"/>
        <w:rPr>
          <w:lang w:val="fr-CA"/>
        </w:rPr>
      </w:pPr>
      <w:r w:rsidRPr="000F18F1">
        <w:rPr>
          <w:lang w:val="fr-CA"/>
        </w:rPr>
        <w:tab/>
      </w:r>
      <w:r w:rsidRPr="00C328A2">
        <w:rPr>
          <w:lang w:val="fr-CA"/>
        </w:rPr>
        <w:t>Version française du jugement du juge en chef Wagner et des juges Karakatsanis, Martin, Kasirer, O’Bonsawin et Moreau rendu par</w:t>
      </w:r>
    </w:p>
    <w:p w14:paraId="782F665A" w14:textId="77777777" w:rsidR="00C328A2" w:rsidRPr="00C328A2" w:rsidRDefault="00C328A2" w:rsidP="00373EFC">
      <w:pPr>
        <w:pStyle w:val="JudgeJuge"/>
        <w:tabs>
          <w:tab w:val="clear" w:pos="1166"/>
          <w:tab w:val="left" w:pos="1134"/>
        </w:tabs>
        <w:spacing w:before="240"/>
        <w:rPr>
          <w:lang w:val="fr-CA"/>
        </w:rPr>
      </w:pPr>
      <w:r w:rsidRPr="00C328A2">
        <w:rPr>
          <w:lang w:val="fr-CA"/>
        </w:rPr>
        <w:tab/>
        <w:t xml:space="preserve">La juge Karakatsanis — </w:t>
      </w:r>
    </w:p>
    <w:p w14:paraId="4D767698" w14:textId="77777777" w:rsidR="00C328A2" w:rsidRPr="00C328A2" w:rsidRDefault="00C328A2" w:rsidP="00C328A2">
      <w:pPr>
        <w:pStyle w:val="Title1LevelTitre1Niveau-AltL"/>
        <w:spacing w:before="0"/>
        <w:rPr>
          <w:rFonts w:cs="Times New Roman"/>
          <w:lang w:val="fr-CA"/>
        </w:rPr>
      </w:pPr>
      <w:r w:rsidRPr="00C328A2">
        <w:rPr>
          <w:rFonts w:cs="Times New Roman"/>
          <w:lang w:val="fr-CA"/>
        </w:rPr>
        <w:t>Introduction</w:t>
      </w:r>
    </w:p>
    <w:p w14:paraId="54B079D0"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Dans un monde moderne de plus en plus complexe, où l’État réglemente davantage des secteurs d’activité qui transcendent les limites territoriales, la coopération entre les gouvernements et les tribunaux d’un ressort à l’autre devient de plus en plus nécessaire. Notre Cour a reconnu ce besoin en préconisant une approche plus souple en matière de coopération intergouvernementale. Cette approche se traduit par le principe d’interprétation fondé sur le « fédéralisme coopératif », le respect et la reconnaissance de la compétence juridictionnelle des tribunaux de chacune des provinces dans un esprit de courtoisie mutuelle, et l’élaboration de cadres procéduraux permettant l’exercice de recours collectifs multiterritoriaux. Elle se traduit par la coopération horizontale entre les gouvernements pour le bien public.</w:t>
      </w:r>
    </w:p>
    <w:p w14:paraId="113DFD2D"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Au Canada, les recours collectifs nationaux, et plus particulièrement les recours collectifs mettant en cause plusieurs gouvernements, représentent la convergence de ces idées. Il y a une quinzaine d’années, notre Cour a exhorté les législatures provinciales à « porter plus d’attention au cadre des recours collectifs nationaux et aux problèmes posés par ceux</w:t>
      </w:r>
      <w:r w:rsidRPr="00C328A2">
        <w:rPr>
          <w:rFonts w:cs="Times New Roman"/>
          <w:lang w:val="fr-CA"/>
        </w:rPr>
        <w:noBreakHyphen/>
        <w:t>ci » (</w:t>
      </w:r>
      <w:r w:rsidRPr="00C328A2">
        <w:rPr>
          <w:rFonts w:cs="Times New Roman"/>
          <w:i/>
          <w:iCs/>
          <w:lang w:val="fr-CA"/>
        </w:rPr>
        <w:t>Société canadienne des postes c. Lépine</w:t>
      </w:r>
      <w:r w:rsidRPr="00C328A2">
        <w:rPr>
          <w:rFonts w:cs="Times New Roman"/>
          <w:lang w:val="fr-CA"/>
        </w:rPr>
        <w:t>, 2009 CSC 16, [2009] 1 R.C.S. 549, par. 57). Lorsque des produits, des gens et des problèmes traversent les limites des ressorts, la coopération et la courtoisie sont essentielles pour faire en sorte que les frontières provinciales ne fassent pas obstacle à la justice.</w:t>
      </w:r>
    </w:p>
    <w:p w14:paraId="12266E4F"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L’épidémie d’opioïdes qui sévit au Canada est un exemple frappant d’une crise qui appelle cette coopération et cette courtoisie. D’envergure nationale, elle met en évidence le rôle que peut jouer un recours collectif national pour assurer l’efficacité, la cohérence et l’accès à la justice pour tous les justiciables qui ont subi des préjudices, sans égard aux limites géographiques.</w:t>
      </w:r>
    </w:p>
    <w:p w14:paraId="676280B3"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Les appelantes, plusieurs sociétés pharmaceutiques qui fabriquent, commercialisent et distribuent des produits opioïdes partout au Canada, contestent l’art. 11 de la loi de la Colombie</w:t>
      </w:r>
      <w:r w:rsidRPr="00C328A2">
        <w:rPr>
          <w:rFonts w:cs="Times New Roman"/>
          <w:lang w:val="fr-CA"/>
        </w:rPr>
        <w:noBreakHyphen/>
        <w:t xml:space="preserve">Britannique intitulée </w:t>
      </w:r>
      <w:r w:rsidRPr="00C328A2">
        <w:rPr>
          <w:rFonts w:cs="Times New Roman"/>
          <w:i/>
          <w:lang w:val="fr-CA"/>
        </w:rPr>
        <w:t>Opioid Damages and Health Care Costs Recovery Act</w:t>
      </w:r>
      <w:r w:rsidRPr="00C328A2">
        <w:rPr>
          <w:rFonts w:cs="Times New Roman"/>
          <w:lang w:val="fr-CA"/>
        </w:rPr>
        <w:t>, S.B.C. 2018, c. 35 (</w:t>
      </w:r>
      <w:r w:rsidRPr="00C328A2">
        <w:rPr>
          <w:rFonts w:cs="Times New Roman"/>
          <w:i/>
          <w:lang w:val="fr-CA"/>
        </w:rPr>
        <w:t>ORA</w:t>
      </w:r>
      <w:r w:rsidRPr="00C328A2">
        <w:rPr>
          <w:rFonts w:cs="Times New Roman"/>
          <w:lang w:val="fr-CA"/>
        </w:rPr>
        <w:t>). Cette disposition autorise le gouvernement de la Colombie</w:t>
      </w:r>
      <w:r w:rsidRPr="00C328A2">
        <w:rPr>
          <w:rFonts w:cs="Times New Roman"/>
          <w:lang w:val="fr-CA"/>
        </w:rPr>
        <w:noBreakHyphen/>
        <w:t>Britannique à intenter une action au nom d’un groupe formé du gouvernement fédéral et d’autres gouvernements provinciaux et territoriaux du Canada afin de recouvrer les coûts de soins de santé que des [</w:t>
      </w:r>
      <w:r w:rsidRPr="00C328A2">
        <w:rPr>
          <w:rFonts w:cs="Times New Roman"/>
          <w:smallCaps/>
          <w:lang w:val="fr-CA"/>
        </w:rPr>
        <w:t>traduction]</w:t>
      </w:r>
      <w:r w:rsidRPr="00C328A2">
        <w:rPr>
          <w:rFonts w:cs="Times New Roman"/>
          <w:lang w:val="fr-CA"/>
        </w:rPr>
        <w:t xml:space="preserve"> </w:t>
      </w:r>
      <w:r w:rsidRPr="00C328A2">
        <w:rPr>
          <w:rFonts w:cs="Times New Roman"/>
          <w:lang w:val="fr-CA"/>
        </w:rPr>
        <w:lastRenderedPageBreak/>
        <w:t xml:space="preserve">« faute[s] liée[s] aux opioïdes » auraient occasionnés pour chacun d’eux. Les appelantes font valoir qu’elle ne respecte pas les limites territoriales des compétences législatives provinciales prévues par la </w:t>
      </w:r>
      <w:r w:rsidRPr="00C328A2">
        <w:rPr>
          <w:rFonts w:cs="Times New Roman"/>
          <w:i/>
          <w:lang w:val="fr-CA"/>
        </w:rPr>
        <w:t>Loi constitutionnelle de 1867</w:t>
      </w:r>
      <w:r w:rsidRPr="00C328A2">
        <w:rPr>
          <w:rFonts w:cs="Times New Roman"/>
          <w:lang w:val="fr-CA"/>
        </w:rPr>
        <w:t>. Elles soutiennent que le cadre qu’a retenu la Colombie</w:t>
      </w:r>
      <w:r w:rsidRPr="00C328A2">
        <w:rPr>
          <w:rFonts w:cs="Times New Roman"/>
          <w:lang w:val="fr-CA"/>
        </w:rPr>
        <w:noBreakHyphen/>
        <w:t>Britannique pour faciliter la coopération et la courtoisie en adoptant une loi permettant l’introduction de recours collectifs multigouvernementaux nationaux viole l’ordre constitutionnel canadien en portant atteinte à la souveraineté des autres gouvernements au Canada.</w:t>
      </w:r>
    </w:p>
    <w:p w14:paraId="48F02F1D"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La question fondamentale que soulève le présent pourvoi est la suivante : Plusieurs gouvernements canadiens peuvent</w:t>
      </w:r>
      <w:r w:rsidRPr="00C328A2">
        <w:rPr>
          <w:rFonts w:cs="Times New Roman"/>
          <w:lang w:val="fr-CA"/>
        </w:rPr>
        <w:noBreakHyphen/>
        <w:t>ils se regrouper au sein d’un seul recours collectif devant la cour supérieure d’une seule province, sans pour autant sacrifier leur autonomie ou leur souveraineté en violation de la Constitution?</w:t>
      </w:r>
    </w:p>
    <w:p w14:paraId="414C4E71" w14:textId="77777777" w:rsidR="00C328A2" w:rsidRPr="00C328A2" w:rsidRDefault="00C328A2" w:rsidP="00C328A2">
      <w:pPr>
        <w:pStyle w:val="ParaNoNdepar-AltN"/>
        <w:spacing w:before="0"/>
        <w:rPr>
          <w:rFonts w:cs="Times New Roman"/>
          <w:lang w:val="fr-CA"/>
        </w:rPr>
      </w:pPr>
      <w:r w:rsidRPr="00C328A2">
        <w:rPr>
          <w:rFonts w:cs="Times New Roman"/>
          <w:lang w:val="fr-CA"/>
        </w:rPr>
        <w:t>Plus précisément, les appelantes veulent savoir si une province peut déterminer les règles d’un recours collectif qui lieraient les autres gouvernements qui choisissent d’y participer. Inversement, un gouvernement peut</w:t>
      </w:r>
      <w:r w:rsidRPr="00C328A2">
        <w:rPr>
          <w:rFonts w:cs="Times New Roman"/>
          <w:lang w:val="fr-CA"/>
        </w:rPr>
        <w:noBreakHyphen/>
        <w:t>il accepter d’être lié par les règles d’une autre province, même si ces règles sont susceptibles de limiter les pouvoirs de sa législature et de celles qui lui succéderont?</w:t>
      </w:r>
    </w:p>
    <w:p w14:paraId="276A15E6" w14:textId="77777777" w:rsidR="00C328A2" w:rsidRPr="00C328A2" w:rsidRDefault="00C328A2" w:rsidP="00C328A2">
      <w:pPr>
        <w:pStyle w:val="ParaNoNdepar-AltN"/>
        <w:spacing w:before="0"/>
        <w:rPr>
          <w:rFonts w:cs="Times New Roman"/>
          <w:lang w:val="fr-CA"/>
        </w:rPr>
      </w:pPr>
      <w:r w:rsidRPr="00C328A2">
        <w:rPr>
          <w:rFonts w:cs="Times New Roman"/>
          <w:lang w:val="fr-CA"/>
        </w:rPr>
        <w:t>Suivant les appelantes, il faut répondre par la négative à cette question. Elles affirment que les règles encadrant les recours collectifs qui ont été édictées par la Colombie</w:t>
      </w:r>
      <w:r w:rsidRPr="00C328A2">
        <w:rPr>
          <w:rFonts w:cs="Times New Roman"/>
          <w:lang w:val="fr-CA"/>
        </w:rPr>
        <w:noBreakHyphen/>
        <w:t xml:space="preserve">Britannique à l’art. 11 vont à l’encontre de notre Constitution, car elles permettraient à la province de prendre le contrôle des droits civils substantiels d’autres gouvernements. En tant que représentant des demandeurs dans un recours collectif </w:t>
      </w:r>
      <w:r w:rsidRPr="00C328A2">
        <w:rPr>
          <w:rFonts w:cs="Times New Roman"/>
          <w:lang w:val="fr-CA"/>
        </w:rPr>
        <w:lastRenderedPageBreak/>
        <w:t>multiterritorial, la province de la Colombie</w:t>
      </w:r>
      <w:r w:rsidRPr="00C328A2">
        <w:rPr>
          <w:rFonts w:cs="Times New Roman"/>
          <w:lang w:val="fr-CA"/>
        </w:rPr>
        <w:noBreakHyphen/>
        <w:t>Britannique pourrait se charger de la conduite de l’instance au nom d’autres provinces et territoires souverains, qui seraient ainsi liés par ses décisions, ce qui porterait atteinte à leur autonomie quant à la conduite des litiges et violerait leur souveraineté législative en les empêchant d’adopter des lois potentiellement contradictoires. Les appelantes soutiennent que de telles règles ne peuvent être conciliées avec notre Constitution, qui limite la portée territoriale des lois provinciales aux matières « [d]ans chaque province » (</w:t>
      </w:r>
      <w:r w:rsidRPr="00C328A2">
        <w:rPr>
          <w:rFonts w:cs="Times New Roman"/>
          <w:i/>
          <w:lang w:val="fr-CA"/>
        </w:rPr>
        <w:t>Loi constitutionnelle de 1867</w:t>
      </w:r>
      <w:r w:rsidRPr="00C328A2">
        <w:rPr>
          <w:rFonts w:cs="Times New Roman"/>
          <w:lang w:val="fr-CA"/>
        </w:rPr>
        <w:t>, art. 92).</w:t>
      </w:r>
    </w:p>
    <w:p w14:paraId="2BD6F205" w14:textId="77777777" w:rsidR="00C328A2" w:rsidRPr="00C328A2" w:rsidRDefault="00C328A2" w:rsidP="00C328A2">
      <w:pPr>
        <w:pStyle w:val="ParaNoNdepar-AltN"/>
        <w:spacing w:before="0"/>
        <w:rPr>
          <w:rFonts w:cs="Times New Roman"/>
          <w:lang w:val="fr-CA"/>
        </w:rPr>
      </w:pPr>
      <w:r w:rsidRPr="00C328A2">
        <w:rPr>
          <w:rFonts w:cs="Times New Roman"/>
          <w:lang w:val="fr-CA"/>
        </w:rPr>
        <w:t>En l’espèce, les juridictions inférieures n’étaient pas de cet avis. Elles ont conclu que l’art. 11 de l’</w:t>
      </w:r>
      <w:r w:rsidRPr="00C328A2">
        <w:rPr>
          <w:rFonts w:cs="Times New Roman"/>
          <w:i/>
          <w:lang w:val="fr-CA"/>
        </w:rPr>
        <w:t>ORA</w:t>
      </w:r>
      <w:r w:rsidRPr="00C328A2">
        <w:rPr>
          <w:rFonts w:cs="Times New Roman"/>
          <w:lang w:val="fr-CA"/>
        </w:rPr>
        <w:t xml:space="preserve"> crée un mécanisme procédural qui permet </w:t>
      </w:r>
      <w:r w:rsidRPr="00C328A2">
        <w:rPr>
          <w:rFonts w:cs="Times New Roman"/>
          <w:i/>
          <w:lang w:val="fr-CA"/>
        </w:rPr>
        <w:t>a priori</w:t>
      </w:r>
      <w:r w:rsidRPr="00C328A2">
        <w:rPr>
          <w:rFonts w:cs="Times New Roman"/>
          <w:lang w:val="fr-CA"/>
        </w:rPr>
        <w:t xml:space="preserve"> à la Colombie</w:t>
      </w:r>
      <w:r w:rsidRPr="00C328A2">
        <w:rPr>
          <w:rFonts w:cs="Times New Roman"/>
          <w:lang w:val="fr-CA"/>
        </w:rPr>
        <w:noBreakHyphen/>
        <w:t xml:space="preserve">Britannique d’agir à titre de représentante des demandeurs dans une instance liée aux opioïdes au nom des autres gouvernements canadiens qui choisissent d’y participer. Elles ont statué que ce mécanisme relève de la compétence de cette province sur « [l]’administration de la justice dans la province » (par. 92(14) de la </w:t>
      </w:r>
      <w:r w:rsidRPr="00C328A2">
        <w:rPr>
          <w:rFonts w:cs="Times New Roman"/>
          <w:i/>
          <w:lang w:val="fr-CA"/>
        </w:rPr>
        <w:t>Loi constitutionnelle de 1867</w:t>
      </w:r>
      <w:r w:rsidRPr="00C328A2">
        <w:rPr>
          <w:rFonts w:cs="Times New Roman"/>
          <w:lang w:val="fr-CA"/>
        </w:rPr>
        <w:t>), et a un lien significatif avec la Colombie</w:t>
      </w:r>
      <w:r w:rsidRPr="00C328A2">
        <w:rPr>
          <w:rFonts w:cs="Times New Roman"/>
          <w:lang w:val="fr-CA"/>
        </w:rPr>
        <w:noBreakHyphen/>
        <w:t>Britannique, sans pour autant compromettre la souveraineté d’un autre gouvernement.</w:t>
      </w:r>
    </w:p>
    <w:p w14:paraId="700F7F02"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Je suis du même avis que les juridictions inférieures. Comme je vais l’expliquer, je n’accepte pas la thèse des appelantes selon laquelle la disposition contestée porte sur des droits substantiels et non sur des droits procéduraux. La disposition contestée a pour objet et pour effet de créer un mécanisme procédural visant à promouvoir l’efficacité des procès en regroupant les revendications de différents </w:t>
      </w:r>
      <w:r w:rsidRPr="00C328A2">
        <w:rPr>
          <w:rFonts w:cs="Times New Roman"/>
          <w:lang w:val="fr-CA"/>
        </w:rPr>
        <w:lastRenderedPageBreak/>
        <w:t xml:space="preserve">gouvernements canadiens qui consentent à y participer à titre de membres dans une seule et même instance, tout en veillant à ce que les réclamations de chaque gouvernement soient tranchées conformément à leur propre droit positif. L’article 11 relève de la compétence de la province sur « [l]’administration de la justice » prévue au par. 92(14) de la </w:t>
      </w:r>
      <w:r w:rsidRPr="00C328A2">
        <w:rPr>
          <w:rFonts w:cs="Times New Roman"/>
          <w:i/>
          <w:lang w:val="fr-CA"/>
        </w:rPr>
        <w:t>Loi constitutionnelle de 1867</w:t>
      </w:r>
      <w:r w:rsidRPr="00C328A2">
        <w:rPr>
          <w:rFonts w:cs="Times New Roman"/>
          <w:lang w:val="fr-CA"/>
        </w:rPr>
        <w:t>.</w:t>
      </w:r>
    </w:p>
    <w:p w14:paraId="1D885DB9"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L’article 11 de l’</w:t>
      </w:r>
      <w:r w:rsidRPr="00C328A2">
        <w:rPr>
          <w:rFonts w:cs="Times New Roman"/>
          <w:i/>
          <w:lang w:val="fr-CA"/>
        </w:rPr>
        <w:t>ORA</w:t>
      </w:r>
      <w:r w:rsidRPr="00C328A2">
        <w:rPr>
          <w:rFonts w:cs="Times New Roman"/>
          <w:lang w:val="fr-CA"/>
        </w:rPr>
        <w:t xml:space="preserve"> respecte également les limites territoriales définies au par. 92(14), qui prévoit que le pouvoir de légiférer d’une province doit être exercé « dans la province ». Il existe un lien significatif entre l’art. 11 et la Colombie-Britannique, dans la mesure où cet article prévoit un mécanisme procédural qui ne vaut que pour l’instance introduite devant un tribunal de la Colombie</w:t>
      </w:r>
      <w:r w:rsidRPr="00C328A2">
        <w:rPr>
          <w:rFonts w:cs="Times New Roman"/>
          <w:lang w:val="fr-CA"/>
        </w:rPr>
        <w:noBreakHyphen/>
        <w:t xml:space="preserve">Britannique et qui </w:t>
      </w:r>
      <w:bookmarkStart w:id="14" w:name="_Hlk175057396"/>
      <w:r w:rsidRPr="00C328A2">
        <w:rPr>
          <w:rFonts w:cs="Times New Roman"/>
          <w:lang w:val="fr-CA"/>
        </w:rPr>
        <w:t>n’a des effets sur les autres gouvernements que si ceux</w:t>
      </w:r>
      <w:r w:rsidRPr="00C328A2">
        <w:rPr>
          <w:rFonts w:cs="Times New Roman"/>
          <w:lang w:val="fr-CA"/>
        </w:rPr>
        <w:noBreakHyphen/>
        <w:t xml:space="preserve">ci acceptent de faire trancher ensemble leurs enjeux communs. </w:t>
      </w:r>
      <w:bookmarkEnd w:id="14"/>
      <w:r w:rsidRPr="00C328A2">
        <w:rPr>
          <w:rFonts w:cs="Times New Roman"/>
          <w:lang w:val="fr-CA"/>
        </w:rPr>
        <w:t>Les réclamations des autres gouvernements canadiens demeurent assujetties à leur propre assemblée législative, de sorte que la souveraineté législative de ces gouvernements est respectée.</w:t>
      </w:r>
    </w:p>
    <w:p w14:paraId="13804E90"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Je suis d’avis de rejeter le pourvoi.</w:t>
      </w:r>
    </w:p>
    <w:p w14:paraId="3C52A14F" w14:textId="77777777" w:rsidR="00C328A2" w:rsidRPr="00C328A2" w:rsidRDefault="00C328A2" w:rsidP="00C328A2">
      <w:pPr>
        <w:pStyle w:val="Title1LevelTitre1Niveau-AltL"/>
        <w:widowControl w:val="0"/>
        <w:spacing w:before="0"/>
        <w:rPr>
          <w:rFonts w:cs="Times New Roman"/>
          <w:lang w:val="fr-CA"/>
        </w:rPr>
      </w:pPr>
      <w:r w:rsidRPr="00C328A2">
        <w:rPr>
          <w:rFonts w:cs="Times New Roman"/>
          <w:lang w:val="fr-CA"/>
        </w:rPr>
        <w:t>Contexte</w:t>
      </w:r>
    </w:p>
    <w:p w14:paraId="490339FA" w14:textId="77777777" w:rsidR="00C328A2" w:rsidRPr="00C328A2" w:rsidRDefault="00C328A2" w:rsidP="00C328A2">
      <w:pPr>
        <w:pStyle w:val="ParaNoNdepar-AltN"/>
        <w:widowControl w:val="0"/>
        <w:spacing w:before="0"/>
        <w:rPr>
          <w:rFonts w:cs="Times New Roman"/>
          <w:lang w:val="fr-CA"/>
        </w:rPr>
      </w:pPr>
      <w:r w:rsidRPr="00C328A2">
        <w:rPr>
          <w:rFonts w:cs="Times New Roman"/>
          <w:lang w:val="fr-CA"/>
        </w:rPr>
        <w:t>L’émergence des recours collectifs nationaux au Canada témoigne de l’harmonie créée grâce à la coopération et à la courtoisie intergouvernementales qui imprègnent l’ordre constitutionnel de notre fédération. Les trois objectifs bien établis qui sous</w:t>
      </w:r>
      <w:r w:rsidRPr="00C328A2">
        <w:rPr>
          <w:rFonts w:cs="Times New Roman"/>
          <w:lang w:val="fr-CA"/>
        </w:rPr>
        <w:noBreakHyphen/>
        <w:t xml:space="preserve">tendent les recours collectifs — l’efficacité, l’accès à la justice et la dissuasion </w:t>
      </w:r>
      <w:r w:rsidRPr="00C328A2">
        <w:rPr>
          <w:rFonts w:cs="Times New Roman"/>
          <w:lang w:val="fr-CA"/>
        </w:rPr>
        <w:lastRenderedPageBreak/>
        <w:t>— lesquels ont été reconnus par la Cour dans les arrêts</w:t>
      </w:r>
      <w:r w:rsidRPr="00C328A2">
        <w:rPr>
          <w:rFonts w:cs="Times New Roman"/>
          <w:i/>
          <w:iCs/>
          <w:lang w:val="fr-CA"/>
        </w:rPr>
        <w:t xml:space="preserve"> Western Canadian Shopping Centres Inc. c. Dutton</w:t>
      </w:r>
      <w:r w:rsidRPr="00C328A2">
        <w:rPr>
          <w:rFonts w:cs="Times New Roman"/>
          <w:lang w:val="fr-CA"/>
        </w:rPr>
        <w:t xml:space="preserve">, 2001 CSC 46, [2001] 2 R.C.S. 534, </w:t>
      </w:r>
      <w:r w:rsidRPr="00C328A2">
        <w:rPr>
          <w:rFonts w:cs="Times New Roman"/>
          <w:i/>
          <w:iCs/>
          <w:lang w:val="fr-CA"/>
        </w:rPr>
        <w:t>Hollick c. Toronto (Ville)</w:t>
      </w:r>
      <w:r w:rsidRPr="00C328A2">
        <w:rPr>
          <w:rFonts w:cs="Times New Roman"/>
          <w:lang w:val="fr-CA"/>
        </w:rPr>
        <w:t xml:space="preserve">, 2001 CSC 68, [2001] 3 R.C.S. 158, et </w:t>
      </w:r>
      <w:r w:rsidRPr="00C328A2">
        <w:rPr>
          <w:rFonts w:cs="Times New Roman"/>
          <w:i/>
          <w:iCs/>
          <w:lang w:val="fr-CA"/>
        </w:rPr>
        <w:t>Rumley c. Colombie-Britannique</w:t>
      </w:r>
      <w:r w:rsidRPr="00C328A2">
        <w:rPr>
          <w:rFonts w:cs="Times New Roman"/>
          <w:lang w:val="fr-CA"/>
        </w:rPr>
        <w:t>, 2001 CSC 69, [2001] 3 R.C.S. 184, peuvent, dans certains cas, requérir une coopération intergouvernementale dans un régime fédéraliste.</w:t>
      </w:r>
    </w:p>
    <w:p w14:paraId="1BD40357" w14:textId="77777777" w:rsidR="00C328A2" w:rsidRPr="00C328A2" w:rsidRDefault="00C328A2" w:rsidP="00C328A2">
      <w:pPr>
        <w:pStyle w:val="ParaNoNdepar-AltN"/>
        <w:widowControl w:val="0"/>
        <w:spacing w:before="0"/>
        <w:rPr>
          <w:rFonts w:cs="Times New Roman"/>
          <w:lang w:val="fr-CA"/>
        </w:rPr>
      </w:pPr>
      <w:r w:rsidRPr="00C328A2">
        <w:rPr>
          <w:rFonts w:cs="Times New Roman"/>
          <w:lang w:val="fr-CA"/>
        </w:rPr>
        <w:t>Le fédéralisme est un des thèmes centraux de notre Constitution (</w:t>
      </w:r>
      <w:r w:rsidRPr="00C328A2">
        <w:rPr>
          <w:rFonts w:cs="Times New Roman"/>
          <w:i/>
          <w:lang w:val="fr-CA"/>
        </w:rPr>
        <w:t>Renvoi relatif à la sécession du Québec</w:t>
      </w:r>
      <w:r w:rsidRPr="00C328A2">
        <w:rPr>
          <w:rFonts w:cs="Times New Roman"/>
          <w:lang w:val="fr-CA"/>
        </w:rPr>
        <w:t xml:space="preserve">, [1998] 2 R.C.S. 217, par. 57). Il est « un principe fondateur » de notre </w:t>
      </w:r>
      <w:bookmarkStart w:id="15" w:name="_Hlk173327794"/>
      <w:r w:rsidRPr="00C328A2">
        <w:rPr>
          <w:rFonts w:cs="Times New Roman"/>
          <w:lang w:val="fr-CA"/>
        </w:rPr>
        <w:t>Constitution</w:t>
      </w:r>
      <w:bookmarkEnd w:id="15"/>
      <w:r w:rsidRPr="00C328A2">
        <w:rPr>
          <w:rFonts w:cs="Times New Roman"/>
          <w:lang w:val="fr-CA"/>
        </w:rPr>
        <w:t xml:space="preserve"> qui vise « à concilier l’unité et la diversité » et à « favoriser la coopération entre le Parlement et les législatures dans la recherche du bien commun » (</w:t>
      </w:r>
      <w:r w:rsidRPr="00C328A2">
        <w:rPr>
          <w:rFonts w:cs="Times New Roman"/>
          <w:i/>
          <w:iCs/>
          <w:lang w:val="fr-CA"/>
        </w:rPr>
        <w:t>Renvois relatifs à la Loi sur la tarification de la pollution causée par les gaz à effet de serre</w:t>
      </w:r>
      <w:r w:rsidRPr="00C328A2">
        <w:rPr>
          <w:rFonts w:cs="Times New Roman"/>
          <w:lang w:val="fr-CA"/>
        </w:rPr>
        <w:t>, 2021 CSC 11, [2021] 1 R.C.S. 175 (</w:t>
      </w:r>
      <w:r w:rsidRPr="00C328A2">
        <w:rPr>
          <w:rFonts w:cs="Times New Roman"/>
          <w:i/>
          <w:lang w:val="fr-CA"/>
        </w:rPr>
        <w:t>Renvois relatifs à la LTPGES</w:t>
      </w:r>
      <w:r w:rsidRPr="00C328A2">
        <w:rPr>
          <w:rFonts w:cs="Times New Roman"/>
          <w:lang w:val="fr-CA"/>
        </w:rPr>
        <w:t>), par. 48).</w:t>
      </w:r>
    </w:p>
    <w:p w14:paraId="2F90DA14" w14:textId="77777777" w:rsidR="00C328A2" w:rsidRPr="00C328A2" w:rsidRDefault="00C328A2" w:rsidP="00C328A2">
      <w:pPr>
        <w:pStyle w:val="ParaNoNdepar-AltN"/>
        <w:tabs>
          <w:tab w:val="clear" w:pos="1166"/>
          <w:tab w:val="num" w:pos="1152"/>
        </w:tabs>
        <w:spacing w:before="0"/>
        <w:rPr>
          <w:rFonts w:cs="Times New Roman"/>
          <w:i/>
          <w:lang w:val="fr-CA"/>
        </w:rPr>
      </w:pPr>
      <w:r w:rsidRPr="00C328A2">
        <w:rPr>
          <w:rFonts w:cs="Times New Roman"/>
          <w:lang w:val="fr-CA"/>
        </w:rPr>
        <w:t>Notre Cour a reconnu que la coopération et la courtoisie sont de plus en plus nécessaires au bon fonctionnement d’un système fédéral au 21</w:t>
      </w:r>
      <w:r w:rsidRPr="00C328A2">
        <w:rPr>
          <w:rFonts w:cs="Times New Roman"/>
          <w:vertAlign w:val="superscript"/>
          <w:lang w:val="fr-CA"/>
        </w:rPr>
        <w:t>e</w:t>
      </w:r>
      <w:r w:rsidRPr="00C328A2">
        <w:rPr>
          <w:rFonts w:cs="Times New Roman"/>
          <w:lang w:val="fr-CA"/>
        </w:rPr>
        <w:t xml:space="preserve"> siècle (voir, p. ex., </w:t>
      </w:r>
      <w:r w:rsidRPr="00C328A2">
        <w:rPr>
          <w:rFonts w:cs="Times New Roman"/>
          <w:i/>
          <w:iCs/>
          <w:lang w:val="fr-CA"/>
        </w:rPr>
        <w:t>Banque canadienne de l’Ouest c. Alberta</w:t>
      </w:r>
      <w:r w:rsidRPr="00C328A2">
        <w:rPr>
          <w:rFonts w:cs="Times New Roman"/>
          <w:lang w:val="fr-CA"/>
        </w:rPr>
        <w:t xml:space="preserve">, 2007 CSC 22, [2007] 2 R.C.S. 3, par. 24). Différents ordres de gouvernement sont incités à se concerter pour établir des régimes de réglementation qui sont imbriqués, voire qui se chevauchent, afin de résoudre des problèmes qui intéressent plusieurs gouvernements (voir, p. ex., </w:t>
      </w:r>
      <w:r w:rsidRPr="00C328A2">
        <w:rPr>
          <w:rFonts w:cs="Times New Roman"/>
          <w:i/>
          <w:iCs/>
          <w:lang w:val="fr-CA"/>
        </w:rPr>
        <w:t>Renvoi relatif à la Loi sur les valeurs mobilières</w:t>
      </w:r>
      <w:r w:rsidRPr="00C328A2">
        <w:rPr>
          <w:rFonts w:cs="Times New Roman"/>
          <w:lang w:val="fr-CA"/>
        </w:rPr>
        <w:t>, 2011 CSC 66, [2011] 3 R.C.S. 837, par. 57</w:t>
      </w:r>
      <w:r w:rsidRPr="00C328A2">
        <w:rPr>
          <w:rFonts w:cs="Times New Roman"/>
          <w:lang w:val="fr-CA"/>
        </w:rPr>
        <w:noBreakHyphen/>
        <w:t xml:space="preserve">62). On s’attend à ce que les tribunaux fassent preuve de courtoisie en reconnaissant les jugements émanant des tribunaux d’un autre ressort sur des sujets qui transcendent les frontières </w:t>
      </w:r>
      <w:r w:rsidRPr="00C328A2">
        <w:rPr>
          <w:rFonts w:cs="Times New Roman"/>
          <w:lang w:val="fr-CA"/>
        </w:rPr>
        <w:lastRenderedPageBreak/>
        <w:t>provinciales — ou donnent foi à ces jugements et s’en remettent entièrement à ceux</w:t>
      </w:r>
      <w:r w:rsidRPr="00C328A2">
        <w:rPr>
          <w:rFonts w:cs="Times New Roman"/>
          <w:lang w:val="fr-CA"/>
        </w:rPr>
        <w:noBreakHyphen/>
        <w:t xml:space="preserve">ci (voir, p. ex., </w:t>
      </w:r>
      <w:r w:rsidRPr="00C328A2">
        <w:rPr>
          <w:rFonts w:cs="Times New Roman"/>
          <w:i/>
          <w:lang w:val="fr-CA"/>
        </w:rPr>
        <w:t>Hunt c. T&amp;N plc</w:t>
      </w:r>
      <w:r w:rsidRPr="00C328A2">
        <w:rPr>
          <w:rFonts w:cs="Times New Roman"/>
          <w:lang w:val="fr-CA"/>
        </w:rPr>
        <w:t>, [1993] 4 R.C.S. 289, p. 324). Toute reconnaissance moindre serait « absolument contrair[e] à l’intention manifeste de la Constitution d’établir un seul et même pays » (</w:t>
      </w:r>
      <w:r w:rsidRPr="00C328A2">
        <w:rPr>
          <w:rFonts w:cs="Times New Roman"/>
          <w:i/>
          <w:lang w:val="fr-CA"/>
        </w:rPr>
        <w:t>Morguard Investments Ltd. c. De Savoye</w:t>
      </w:r>
      <w:r w:rsidRPr="00C328A2">
        <w:rPr>
          <w:rFonts w:cs="Times New Roman"/>
          <w:lang w:val="fr-CA"/>
        </w:rPr>
        <w:t>, [1990] 3 R.C.S. 1077, p. 1099).</w:t>
      </w:r>
    </w:p>
    <w:p w14:paraId="630AF0F4" w14:textId="77777777" w:rsidR="00C328A2" w:rsidRPr="00C328A2" w:rsidRDefault="00C328A2" w:rsidP="00C328A2">
      <w:pPr>
        <w:pStyle w:val="ParaNoNdepar-AltN"/>
        <w:tabs>
          <w:tab w:val="clear" w:pos="1166"/>
          <w:tab w:val="num" w:pos="1152"/>
        </w:tabs>
        <w:spacing w:before="0"/>
        <w:rPr>
          <w:rFonts w:cs="Times New Roman"/>
          <w:i/>
          <w:lang w:val="fr-CA"/>
        </w:rPr>
      </w:pPr>
      <w:r w:rsidRPr="00C328A2">
        <w:rPr>
          <w:rFonts w:cs="Times New Roman"/>
          <w:lang w:val="fr-CA"/>
        </w:rPr>
        <w:t>L’essor des recours collectifs nationaux illustre bien cette coopération essentielle. Même si les recours collectifs peuvent être intentés en common law depuis le 17</w:t>
      </w:r>
      <w:r w:rsidRPr="00C328A2">
        <w:rPr>
          <w:rFonts w:cs="Times New Roman"/>
          <w:vertAlign w:val="superscript"/>
          <w:lang w:val="fr-CA"/>
        </w:rPr>
        <w:t>e</w:t>
      </w:r>
      <w:r w:rsidRPr="00C328A2">
        <w:rPr>
          <w:rFonts w:cs="Times New Roman"/>
          <w:lang w:val="fr-CA"/>
        </w:rPr>
        <w:t xml:space="preserve"> siècle, il a fallu attendre la fin du 20</w:t>
      </w:r>
      <w:r w:rsidRPr="00C328A2">
        <w:rPr>
          <w:rFonts w:cs="Times New Roman"/>
          <w:vertAlign w:val="superscript"/>
          <w:lang w:val="fr-CA"/>
        </w:rPr>
        <w:t xml:space="preserve">e </w:t>
      </w:r>
      <w:r w:rsidRPr="00C328A2">
        <w:rPr>
          <w:rFonts w:cs="Times New Roman"/>
          <w:lang w:val="fr-CA"/>
        </w:rPr>
        <w:t>siècle pour assister à l’adoption par des assemblées législatives provinciales des premières lois sur les recours collectifs dans une volonté de simplifier le regroupement, l’instruction et la résolution des demandes de ce genre au moyen d’une série de mécanismes procéduraux utiles (</w:t>
      </w:r>
      <w:r w:rsidRPr="00C328A2">
        <w:rPr>
          <w:rFonts w:cs="Times New Roman"/>
          <w:i/>
          <w:lang w:val="fr-CA"/>
        </w:rPr>
        <w:t>Dutton</w:t>
      </w:r>
      <w:r w:rsidRPr="00C328A2">
        <w:rPr>
          <w:rFonts w:cs="Times New Roman"/>
          <w:lang w:val="fr-CA"/>
        </w:rPr>
        <w:t xml:space="preserve">, par. 19 et 26; </w:t>
      </w:r>
      <w:r w:rsidRPr="00C328A2">
        <w:rPr>
          <w:rFonts w:cs="Times New Roman"/>
          <w:i/>
          <w:lang w:val="fr-CA"/>
        </w:rPr>
        <w:t>Hollick</w:t>
      </w:r>
      <w:r w:rsidRPr="00C328A2">
        <w:rPr>
          <w:rFonts w:cs="Times New Roman"/>
          <w:lang w:val="fr-CA"/>
        </w:rPr>
        <w:t>, par. 13). Toutefois, le manque de coopération entre les gouvernements et les parties dans le cadre de ces nouveaux mécanismes procéduraux a parfois donné lieu à des recours collectifs qui se chevauchaient dans plusieurs provinces et qui portaient sur les mêmes revendications, les mêmes défendeurs, voire les mêmes demandeurs.</w:t>
      </w:r>
    </w:p>
    <w:p w14:paraId="35CAA99E" w14:textId="77777777" w:rsidR="00C328A2" w:rsidRPr="00C328A2" w:rsidRDefault="00C328A2" w:rsidP="00C328A2">
      <w:pPr>
        <w:pStyle w:val="ParaNoNdepar-AltN"/>
        <w:tabs>
          <w:tab w:val="clear" w:pos="1166"/>
          <w:tab w:val="num" w:pos="1152"/>
        </w:tabs>
        <w:spacing w:before="0"/>
        <w:rPr>
          <w:rFonts w:cs="Times New Roman"/>
          <w:i/>
          <w:lang w:val="fr-CA"/>
        </w:rPr>
      </w:pPr>
      <w:r w:rsidRPr="00C328A2">
        <w:rPr>
          <w:rFonts w:cs="Times New Roman"/>
          <w:lang w:val="fr-CA"/>
        </w:rPr>
        <w:t xml:space="preserve">Pour résoudre ces problèmes interjuridictionnels, plusieurs provinces ont modifié leurs lois en matière de recours collectifs pour préciser que leurs cours supérieures respectives pouvaient autoriser l’exercice d’une action visant un groupe de demandeurs comprenant des résidents de l’extérieur de la province (voir W. K. Branch et M. P. Good, </w:t>
      </w:r>
      <w:r w:rsidRPr="00C328A2">
        <w:rPr>
          <w:rFonts w:cs="Times New Roman"/>
          <w:i/>
          <w:lang w:val="fr-CA"/>
        </w:rPr>
        <w:t xml:space="preserve">Class Actions in Canada </w:t>
      </w:r>
      <w:r w:rsidRPr="00C328A2">
        <w:rPr>
          <w:rFonts w:cs="Times New Roman"/>
          <w:lang w:val="fr-CA"/>
        </w:rPr>
        <w:t>(2</w:t>
      </w:r>
      <w:r w:rsidRPr="00C328A2">
        <w:rPr>
          <w:rFonts w:cs="Times New Roman"/>
          <w:vertAlign w:val="superscript"/>
          <w:lang w:val="fr-CA"/>
        </w:rPr>
        <w:t>e</w:t>
      </w:r>
      <w:r w:rsidRPr="00C328A2">
        <w:rPr>
          <w:rFonts w:cs="Times New Roman"/>
          <w:lang w:val="fr-CA"/>
        </w:rPr>
        <w:t xml:space="preserve"> éd. (feuilles mobiles)), § 12:2</w:t>
      </w:r>
      <w:r w:rsidRPr="00C328A2">
        <w:rPr>
          <w:rFonts w:cs="Times New Roman"/>
          <w:lang w:val="fr-CA"/>
        </w:rPr>
        <w:noBreakHyphen/>
        <w:t xml:space="preserve">12:9). </w:t>
      </w:r>
      <w:r w:rsidRPr="00C328A2">
        <w:rPr>
          <w:rFonts w:cs="Times New Roman"/>
          <w:lang w:val="fr-CA"/>
        </w:rPr>
        <w:lastRenderedPageBreak/>
        <w:t>Presque toutes les provinces ont maintenant des lois qui permettent à des demandeurs d’autres provinces de faire juger leurs réclamations efficacement dans le cadre d’une seule et même instance devant une cour supérieure, dont le jugement sera respecté et exécuté par les tribunaux de leur province « d’origine ».</w:t>
      </w:r>
    </w:p>
    <w:p w14:paraId="3AD9D83B" w14:textId="77777777" w:rsidR="00C328A2" w:rsidRPr="00C328A2" w:rsidRDefault="00C328A2" w:rsidP="00C328A2">
      <w:pPr>
        <w:pStyle w:val="ParaNoNdepar-AltN"/>
        <w:tabs>
          <w:tab w:val="clear" w:pos="1166"/>
          <w:tab w:val="num" w:pos="1152"/>
        </w:tabs>
        <w:spacing w:before="0"/>
        <w:rPr>
          <w:rFonts w:cs="Times New Roman"/>
          <w:i/>
          <w:lang w:val="fr-CA"/>
        </w:rPr>
      </w:pPr>
      <w:r w:rsidRPr="00C328A2">
        <w:rPr>
          <w:rFonts w:cs="Times New Roman"/>
          <w:lang w:val="fr-CA"/>
        </w:rPr>
        <w:t>Ces recours collectifs nationaux, facilités par des régimes législatifs provinciaux axés sur la coopération, de même que par la reconnaissance judiciaire des jugements des cours supérieures conformément aux règles du droit international privé, aident les Canadiens et les Canadiennes à composer avec des produits, des personnes et des problèmes qui transcendent les limites territoriales d’une seule province. De plus, les recours collectifs mettant en cause plusieurs gouvernements sont un exemple de coordination intergouvernementale horizontale entre les provinces et le gouvernement fédéral dans le traitement d’enjeux complexes qui dépassent les limites d’un ressort.</w:t>
      </w:r>
    </w:p>
    <w:p w14:paraId="5249345C" w14:textId="77777777" w:rsidR="00C328A2" w:rsidRPr="00C328A2" w:rsidRDefault="00C328A2" w:rsidP="00C328A2">
      <w:pPr>
        <w:pStyle w:val="ParaNoNdepar-AltN"/>
        <w:tabs>
          <w:tab w:val="clear" w:pos="1166"/>
          <w:tab w:val="num" w:pos="1152"/>
        </w:tabs>
        <w:spacing w:before="0"/>
        <w:rPr>
          <w:rFonts w:cs="Times New Roman"/>
          <w:i/>
          <w:lang w:val="fr-CA"/>
        </w:rPr>
      </w:pPr>
      <w:r w:rsidRPr="00C328A2">
        <w:rPr>
          <w:rFonts w:cs="Times New Roman"/>
          <w:lang w:val="fr-CA"/>
        </w:rPr>
        <w:t xml:space="preserve">L’épidémie d’opioïdes qui sévit au Canada illustre de façon tragique les problèmes qui dépassent les frontières d’une seule province et qui appellent la coopération et la courtoisie entre les ressorts. L’ampleur et la portée de la crise des opioïdes sont bien connues (voir, p. ex., </w:t>
      </w:r>
      <w:r w:rsidRPr="00C328A2">
        <w:rPr>
          <w:rFonts w:cs="Times New Roman"/>
          <w:i/>
          <w:iCs/>
          <w:lang w:val="fr-CA"/>
        </w:rPr>
        <w:t>R. c. Parranto</w:t>
      </w:r>
      <w:r w:rsidRPr="00C328A2">
        <w:rPr>
          <w:rFonts w:cs="Times New Roman"/>
          <w:lang w:val="fr-CA"/>
        </w:rPr>
        <w:t>, 2021 CSC 46, [2021] 3 R.C.S. 366, par. 93</w:t>
      </w:r>
      <w:r w:rsidRPr="00C328A2">
        <w:rPr>
          <w:rFonts w:cs="Times New Roman"/>
          <w:lang w:val="fr-CA"/>
        </w:rPr>
        <w:noBreakHyphen/>
        <w:t xml:space="preserve">97, le juge Moldaver; Comité consultatif spécial sur l’épidémie de surdoses d’opioïdes, </w:t>
      </w:r>
      <w:r w:rsidRPr="00C328A2">
        <w:rPr>
          <w:rFonts w:cs="Times New Roman"/>
          <w:i/>
          <w:lang w:val="fr-CA"/>
        </w:rPr>
        <w:t>Méfaits associés aux opioïdes</w:t>
      </w:r>
      <w:r w:rsidRPr="00C328A2">
        <w:rPr>
          <w:rFonts w:cs="Times New Roman"/>
          <w:i/>
          <w:iCs/>
          <w:lang w:val="fr-CA"/>
        </w:rPr>
        <w:t xml:space="preserve"> et aux stimulants au Canada</w:t>
      </w:r>
      <w:r w:rsidRPr="00C328A2">
        <w:rPr>
          <w:rFonts w:cs="Times New Roman"/>
          <w:iCs/>
          <w:lang w:val="fr-CA"/>
        </w:rPr>
        <w:t xml:space="preserve">, </w:t>
      </w:r>
      <w:r w:rsidRPr="00C328A2">
        <w:rPr>
          <w:rFonts w:cs="Times New Roman"/>
          <w:lang w:val="fr-CA"/>
        </w:rPr>
        <w:t xml:space="preserve">septembre 2024 (en ligne)). Les opioïdes forment une catégorie d’analgésiques puissants. Bien que certains opioïdes aient été associés au trafic de stupéfiants, la plupart servent à des fins médicales légitimes lorsqu’ils sont correctement administrés. </w:t>
      </w:r>
      <w:r w:rsidRPr="00C328A2">
        <w:rPr>
          <w:rFonts w:cs="Times New Roman"/>
          <w:lang w:val="fr-CA"/>
        </w:rPr>
        <w:lastRenderedPageBreak/>
        <w:t>Cependant, lorsqu’ils sont mal utilisés, les opioïdes peuvent provoquer une dépendance.</w:t>
      </w:r>
    </w:p>
    <w:p w14:paraId="5D6AA0F6" w14:textId="77777777" w:rsidR="00C328A2" w:rsidRPr="00C328A2" w:rsidRDefault="00C328A2" w:rsidP="00C328A2">
      <w:pPr>
        <w:pStyle w:val="ParaNoNdepar-AltN"/>
        <w:tabs>
          <w:tab w:val="clear" w:pos="1166"/>
          <w:tab w:val="num" w:pos="1152"/>
        </w:tabs>
        <w:spacing w:before="0"/>
        <w:rPr>
          <w:rFonts w:cs="Times New Roman"/>
          <w:i/>
          <w:lang w:val="fr-CA"/>
        </w:rPr>
      </w:pPr>
      <w:r w:rsidRPr="00C328A2">
        <w:rPr>
          <w:rFonts w:cs="Times New Roman"/>
          <w:lang w:val="fr-CA"/>
        </w:rPr>
        <w:t>Les actes de procédure font valoir qu’au Canada on déplore un nombre élevé de dépendances, de maladies et de décès liés aux opioïdes, et que l’épidémie n’a épargné aucune province et aucun territoire au Canada et a fait des ravages dans les collectivités, les familles et la vie des citoyens à l’échelle nationale.</w:t>
      </w:r>
    </w:p>
    <w:p w14:paraId="5EADDAA7" w14:textId="77777777" w:rsidR="00C328A2" w:rsidRPr="00C328A2" w:rsidRDefault="00C328A2" w:rsidP="00C328A2">
      <w:pPr>
        <w:pStyle w:val="ParaNoNdepar-AltN"/>
        <w:tabs>
          <w:tab w:val="clear" w:pos="1166"/>
          <w:tab w:val="num" w:pos="1152"/>
        </w:tabs>
        <w:spacing w:before="0"/>
        <w:rPr>
          <w:rFonts w:cs="Times New Roman"/>
          <w:i/>
          <w:lang w:val="fr-CA"/>
        </w:rPr>
      </w:pPr>
      <w:r w:rsidRPr="00C328A2">
        <w:rPr>
          <w:rFonts w:cs="Times New Roman"/>
          <w:lang w:val="fr-CA"/>
        </w:rPr>
        <w:t>Face à l’épidémie d’opioïdes, la Colombie</w:t>
      </w:r>
      <w:r w:rsidRPr="00C328A2">
        <w:rPr>
          <w:rFonts w:cs="Times New Roman"/>
          <w:lang w:val="fr-CA"/>
        </w:rPr>
        <w:noBreakHyphen/>
        <w:t>Britannique a introduit en 2018 une action en justice contre 49 sociétés qui fabriquent, commercialisent et distribuent des produits opioïdes, alléguant que ces dernières ont contribué à l’épidémie des opioïdes en présentant faussement leurs produits comme étant moins addictifs et moins susceptibles d’engendrer des problèmes de toxicomanie, de tolérance et de sevrage que d’autres médicaments contre la douleur. La Colombie</w:t>
      </w:r>
      <w:r w:rsidRPr="00C328A2">
        <w:rPr>
          <w:rFonts w:cs="Times New Roman"/>
          <w:lang w:val="fr-CA"/>
        </w:rPr>
        <w:noBreakHyphen/>
        <w:t xml:space="preserve">Britannique a poursuivi ces sociétés pour plusieurs délits civils en common law, y compris la négligence, l’enrichissement sans cause, des assertions inexactes et frauduleuses ainsi que des violations de l’art. 52 de la </w:t>
      </w:r>
      <w:r w:rsidRPr="00C328A2">
        <w:rPr>
          <w:rFonts w:cs="Times New Roman"/>
          <w:i/>
          <w:lang w:val="fr-CA"/>
        </w:rPr>
        <w:t>Loi sur la concurrence</w:t>
      </w:r>
      <w:r w:rsidRPr="00C328A2">
        <w:rPr>
          <w:rFonts w:cs="Times New Roman"/>
          <w:lang w:val="fr-CA"/>
        </w:rPr>
        <w:t>, L.R.C. 1985, c. C</w:t>
      </w:r>
      <w:r w:rsidRPr="00C328A2">
        <w:rPr>
          <w:rFonts w:cs="Times New Roman"/>
          <w:lang w:val="fr-CA"/>
        </w:rPr>
        <w:noBreakHyphen/>
        <w:t>34.</w:t>
      </w:r>
    </w:p>
    <w:p w14:paraId="4EAA17FA" w14:textId="77777777" w:rsidR="00C328A2" w:rsidRPr="00C328A2" w:rsidRDefault="00C328A2" w:rsidP="00C328A2">
      <w:pPr>
        <w:pStyle w:val="ParaNoNdepar-AltN"/>
        <w:tabs>
          <w:tab w:val="clear" w:pos="1166"/>
          <w:tab w:val="num" w:pos="1152"/>
        </w:tabs>
        <w:spacing w:before="0"/>
        <w:rPr>
          <w:rFonts w:cs="Times New Roman"/>
          <w:i/>
          <w:lang w:val="fr-CA"/>
        </w:rPr>
      </w:pPr>
      <w:r w:rsidRPr="00C328A2">
        <w:rPr>
          <w:rFonts w:cs="Times New Roman"/>
          <w:lang w:val="fr-CA"/>
        </w:rPr>
        <w:t>La Colombie</w:t>
      </w:r>
      <w:r w:rsidRPr="00C328A2">
        <w:rPr>
          <w:rFonts w:cs="Times New Roman"/>
          <w:lang w:val="fr-CA"/>
        </w:rPr>
        <w:noBreakHyphen/>
        <w:t>Britannique a introduit la présente instance sous forme de recours collectif projeté en vertu de la loi de la Colombie</w:t>
      </w:r>
      <w:r w:rsidRPr="00C328A2">
        <w:rPr>
          <w:rFonts w:cs="Times New Roman"/>
          <w:lang w:val="fr-CA"/>
        </w:rPr>
        <w:noBreakHyphen/>
        <w:t xml:space="preserve">Britannique intitulée </w:t>
      </w:r>
      <w:r w:rsidRPr="00C328A2">
        <w:rPr>
          <w:rFonts w:cs="Times New Roman"/>
          <w:i/>
          <w:lang w:val="fr-CA"/>
        </w:rPr>
        <w:t>Class Proceedings Act</w:t>
      </w:r>
      <w:r w:rsidRPr="00C328A2">
        <w:rPr>
          <w:rFonts w:cs="Times New Roman"/>
          <w:lang w:val="fr-CA"/>
        </w:rPr>
        <w:t>, R.S.B.C. 1996, c. 50 (</w:t>
      </w:r>
      <w:r w:rsidRPr="00C328A2">
        <w:rPr>
          <w:rFonts w:cs="Times New Roman"/>
          <w:i/>
          <w:lang w:val="fr-CA"/>
        </w:rPr>
        <w:t>CPA</w:t>
      </w:r>
      <w:r w:rsidRPr="00C328A2">
        <w:rPr>
          <w:rFonts w:cs="Times New Roman"/>
          <w:lang w:val="fr-CA"/>
        </w:rPr>
        <w:t xml:space="preserve">), en demandant au tribunal de l’autoriser en tant que représentante des demandeurs à agir </w:t>
      </w:r>
      <w:r w:rsidRPr="00C328A2">
        <w:rPr>
          <w:rFonts w:cs="Times New Roman"/>
          <w:szCs w:val="24"/>
          <w:lang w:val="fr-CA"/>
        </w:rPr>
        <w:t xml:space="preserve">au nom d’un groupe formé </w:t>
      </w:r>
      <w:bookmarkStart w:id="16" w:name="_Hlk183177364"/>
      <w:r w:rsidRPr="00C328A2">
        <w:rPr>
          <w:rFonts w:cs="Times New Roman"/>
          <w:szCs w:val="24"/>
          <w:lang w:val="fr-CA"/>
        </w:rPr>
        <w:t xml:space="preserve">du gouvernement du Canada, des organismes fédéraux, ainsi que des gouvernements et </w:t>
      </w:r>
      <w:r w:rsidRPr="00C328A2">
        <w:rPr>
          <w:rFonts w:cs="Times New Roman"/>
          <w:szCs w:val="24"/>
          <w:lang w:val="fr-CA"/>
        </w:rPr>
        <w:lastRenderedPageBreak/>
        <w:t>organismes provinciaux et territoriaux qui ont</w:t>
      </w:r>
      <w:bookmarkEnd w:id="16"/>
      <w:r w:rsidRPr="00C328A2">
        <w:rPr>
          <w:rFonts w:cs="Times New Roman"/>
          <w:szCs w:val="24"/>
          <w:lang w:val="fr-CA"/>
        </w:rPr>
        <w:t xml:space="preserve"> supporté le coût de soins de santé, de produits pharmaceutiques et de traitement liés aux opioïdes</w:t>
      </w:r>
      <w:r w:rsidRPr="00C328A2">
        <w:rPr>
          <w:rFonts w:cs="Times New Roman"/>
          <w:lang w:val="fr-CA"/>
        </w:rPr>
        <w:t>.</w:t>
      </w:r>
    </w:p>
    <w:p w14:paraId="6E66AD75" w14:textId="77777777" w:rsidR="00C328A2" w:rsidRPr="00C328A2" w:rsidRDefault="00C328A2" w:rsidP="00C328A2">
      <w:pPr>
        <w:pStyle w:val="ParaNoNdepar-AltN"/>
        <w:tabs>
          <w:tab w:val="clear" w:pos="1166"/>
          <w:tab w:val="num" w:pos="1152"/>
        </w:tabs>
        <w:spacing w:before="0"/>
        <w:rPr>
          <w:rFonts w:cs="Times New Roman"/>
          <w:i/>
          <w:lang w:val="fr-CA"/>
        </w:rPr>
      </w:pPr>
      <w:r w:rsidRPr="00C328A2">
        <w:rPr>
          <w:rFonts w:cs="Times New Roman"/>
          <w:lang w:val="fr-CA"/>
        </w:rPr>
        <w:t xml:space="preserve">Peu de temps après, une loi a été adoptée </w:t>
      </w:r>
      <w:bookmarkStart w:id="17" w:name="_Hlk183177740"/>
      <w:r w:rsidRPr="00C328A2">
        <w:rPr>
          <w:rFonts w:cs="Times New Roman"/>
          <w:lang w:val="fr-CA"/>
        </w:rPr>
        <w:t>pour conférer par voie législative à la province un droit d’action direct dans l’instance qu’elle avait introduite</w:t>
      </w:r>
      <w:bookmarkEnd w:id="17"/>
      <w:r w:rsidRPr="00C328A2">
        <w:rPr>
          <w:rFonts w:cs="Times New Roman"/>
          <w:lang w:val="fr-CA"/>
        </w:rPr>
        <w:t>. Elle a introduit de nouvelles règles de preuve et d’autres mécanismes procéduraux, en s’inspirant d’une loi précédemment adoptée par la Colombie</w:t>
      </w:r>
      <w:r w:rsidRPr="00C328A2">
        <w:rPr>
          <w:rFonts w:cs="Times New Roman"/>
          <w:lang w:val="fr-CA"/>
        </w:rPr>
        <w:noBreakHyphen/>
        <w:t xml:space="preserve">Britannique, la </w:t>
      </w:r>
      <w:r w:rsidRPr="00C328A2">
        <w:rPr>
          <w:rFonts w:cs="Times New Roman"/>
          <w:i/>
          <w:lang w:val="fr-CA"/>
        </w:rPr>
        <w:t>Tobacco Damages and Health Care Costs Recovery Act</w:t>
      </w:r>
      <w:r w:rsidRPr="00C328A2">
        <w:rPr>
          <w:rFonts w:cs="Times New Roman"/>
          <w:lang w:val="fr-CA"/>
        </w:rPr>
        <w:t>, S.B.C. 2000, c. 30 (</w:t>
      </w:r>
      <w:r w:rsidRPr="00C328A2">
        <w:rPr>
          <w:rFonts w:cs="Times New Roman"/>
          <w:i/>
          <w:lang w:val="fr-CA"/>
        </w:rPr>
        <w:t>TRA</w:t>
      </w:r>
      <w:r w:rsidRPr="00C328A2">
        <w:rPr>
          <w:rFonts w:cs="Times New Roman"/>
          <w:lang w:val="fr-CA"/>
        </w:rPr>
        <w:t xml:space="preserve">), dont notre Cour a confirmé la validité dans l’arrêt </w:t>
      </w:r>
      <w:r w:rsidRPr="00C328A2">
        <w:rPr>
          <w:rFonts w:cs="Times New Roman"/>
          <w:i/>
          <w:iCs/>
          <w:lang w:val="fr-CA"/>
        </w:rPr>
        <w:t>Colombie-Britannique</w:t>
      </w:r>
      <w:r w:rsidRPr="00C328A2">
        <w:rPr>
          <w:rFonts w:cs="Times New Roman"/>
          <w:i/>
          <w:lang w:val="fr-CA"/>
        </w:rPr>
        <w:t xml:space="preserve"> c.</w:t>
      </w:r>
      <w:r w:rsidRPr="00C328A2">
        <w:rPr>
          <w:rFonts w:cs="Times New Roman"/>
          <w:lang w:val="fr-CA"/>
        </w:rPr>
        <w:t xml:space="preserve"> </w:t>
      </w:r>
      <w:r w:rsidRPr="00C328A2">
        <w:rPr>
          <w:rFonts w:cs="Times New Roman"/>
          <w:i/>
          <w:lang w:val="fr-CA"/>
        </w:rPr>
        <w:t>Imperial Tobacco Canada Ltée</w:t>
      </w:r>
      <w:r w:rsidRPr="00C328A2">
        <w:rPr>
          <w:rFonts w:cs="Times New Roman"/>
          <w:lang w:val="fr-CA"/>
        </w:rPr>
        <w:t>, 2005 CSC 49, [2005] 2 R.C.S. 473 (voir assemblée législative de la Colombie</w:t>
      </w:r>
      <w:r w:rsidRPr="00C328A2">
        <w:rPr>
          <w:rFonts w:cs="Times New Roman"/>
          <w:lang w:val="fr-CA"/>
        </w:rPr>
        <w:noBreakHyphen/>
        <w:t xml:space="preserve">Britannique, </w:t>
      </w:r>
      <w:r w:rsidRPr="00C328A2">
        <w:rPr>
          <w:rFonts w:cs="Times New Roman"/>
          <w:i/>
          <w:lang w:val="fr-CA"/>
        </w:rPr>
        <w:t>Official Report of Debates (Hansard)</w:t>
      </w:r>
      <w:r w:rsidRPr="00C328A2">
        <w:rPr>
          <w:rFonts w:cs="Times New Roman"/>
          <w:lang w:val="fr-CA"/>
        </w:rPr>
        <w:t>, n</w:t>
      </w:r>
      <w:r w:rsidRPr="00C328A2">
        <w:rPr>
          <w:rFonts w:cs="Times New Roman"/>
          <w:vertAlign w:val="superscript"/>
          <w:lang w:val="fr-CA"/>
        </w:rPr>
        <w:t>o</w:t>
      </w:r>
      <w:r w:rsidRPr="00C328A2">
        <w:rPr>
          <w:rFonts w:cs="Times New Roman"/>
          <w:lang w:val="fr-CA"/>
        </w:rPr>
        <w:t xml:space="preserve"> 150, 3</w:t>
      </w:r>
      <w:r w:rsidRPr="00C328A2">
        <w:rPr>
          <w:rFonts w:cs="Times New Roman"/>
          <w:vertAlign w:val="superscript"/>
          <w:lang w:val="fr-CA"/>
        </w:rPr>
        <w:t>e</w:t>
      </w:r>
      <w:r w:rsidRPr="00C328A2">
        <w:rPr>
          <w:rFonts w:cs="Times New Roman"/>
          <w:lang w:val="fr-CA"/>
        </w:rPr>
        <w:t xml:space="preserve"> sess., 41</w:t>
      </w:r>
      <w:r w:rsidRPr="00C328A2">
        <w:rPr>
          <w:rFonts w:cs="Times New Roman"/>
          <w:vertAlign w:val="superscript"/>
          <w:lang w:val="fr-CA"/>
        </w:rPr>
        <w:t>e</w:t>
      </w:r>
      <w:r w:rsidRPr="00C328A2">
        <w:rPr>
          <w:rFonts w:cs="Times New Roman"/>
          <w:lang w:val="fr-CA"/>
        </w:rPr>
        <w:t xml:space="preserve"> lég., 1</w:t>
      </w:r>
      <w:r w:rsidRPr="00C328A2">
        <w:rPr>
          <w:rFonts w:cs="Times New Roman"/>
          <w:vertAlign w:val="superscript"/>
          <w:lang w:val="fr-CA"/>
        </w:rPr>
        <w:t>er</w:t>
      </w:r>
      <w:r w:rsidRPr="00C328A2">
        <w:rPr>
          <w:rFonts w:cs="Times New Roman"/>
          <w:lang w:val="fr-CA"/>
        </w:rPr>
        <w:t xml:space="preserve"> octobre 2018, p. 5331</w:t>
      </w:r>
      <w:r w:rsidRPr="00C328A2">
        <w:rPr>
          <w:rFonts w:cs="Times New Roman"/>
          <w:lang w:val="fr-CA"/>
        </w:rPr>
        <w:noBreakHyphen/>
        <w:t>5332 (l’hon. David Eby)). À titre d’exemple, ces règles déclarent admissibles en preuve les renseignements statistiques visant à établir un lien de causalité (art. 5), dispensent le gouvernement de l’obligation de prouver à l’égard d’une personne en particulier la cause de tout préjudice lié aux opioïdes (al. 2(5)(a)) et obligent le tribunal à présumer que les personnes lésées n’auraient pas consommé d’opioïdes, n’eussent été les actes fautifs des défendeurs (par. 3(2)).</w:t>
      </w:r>
    </w:p>
    <w:p w14:paraId="741940F6" w14:textId="77777777" w:rsidR="00C328A2" w:rsidRPr="00C328A2" w:rsidRDefault="00C328A2" w:rsidP="00C328A2">
      <w:pPr>
        <w:pStyle w:val="ParaNoNdepar-AltN"/>
        <w:tabs>
          <w:tab w:val="clear" w:pos="1166"/>
          <w:tab w:val="num" w:pos="1152"/>
        </w:tabs>
        <w:spacing w:before="0"/>
        <w:rPr>
          <w:rFonts w:cs="Times New Roman"/>
          <w:i/>
          <w:lang w:val="fr-CA"/>
        </w:rPr>
      </w:pPr>
      <w:r w:rsidRPr="00C328A2">
        <w:rPr>
          <w:rFonts w:cs="Times New Roman"/>
          <w:lang w:val="fr-CA"/>
        </w:rPr>
        <w:t xml:space="preserve">Toutefois, contrairement à la </w:t>
      </w:r>
      <w:r w:rsidRPr="00C328A2">
        <w:rPr>
          <w:rFonts w:cs="Times New Roman"/>
          <w:i/>
          <w:lang w:val="fr-CA"/>
        </w:rPr>
        <w:t>TRA</w:t>
      </w:r>
      <w:r w:rsidRPr="00C328A2">
        <w:rPr>
          <w:rFonts w:cs="Times New Roman"/>
          <w:lang w:val="fr-CA"/>
        </w:rPr>
        <w:t xml:space="preserve"> précédente, l’al. 11(b) de l’</w:t>
      </w:r>
      <w:r w:rsidRPr="00C328A2">
        <w:rPr>
          <w:rFonts w:cs="Times New Roman"/>
          <w:i/>
          <w:lang w:val="fr-CA"/>
        </w:rPr>
        <w:t>ORA</w:t>
      </w:r>
      <w:r w:rsidRPr="00C328A2">
        <w:rPr>
          <w:rFonts w:cs="Times New Roman"/>
          <w:lang w:val="fr-CA"/>
        </w:rPr>
        <w:t xml:space="preserve"> autorise le gouvernement de la Colombie</w:t>
      </w:r>
      <w:r w:rsidRPr="00C328A2">
        <w:rPr>
          <w:rFonts w:cs="Times New Roman"/>
          <w:lang w:val="fr-CA"/>
        </w:rPr>
        <w:noBreakHyphen/>
        <w:t xml:space="preserve">Britannique, dans le cadre de l’instance qu’elle a déjà introduite, </w:t>
      </w:r>
      <w:bookmarkStart w:id="18" w:name="_Hlk183177898"/>
      <w:r w:rsidRPr="00C328A2">
        <w:rPr>
          <w:rFonts w:cs="Times New Roman"/>
          <w:lang w:val="fr-CA"/>
        </w:rPr>
        <w:t xml:space="preserve">à </w:t>
      </w:r>
      <w:r w:rsidRPr="00C328A2">
        <w:rPr>
          <w:rFonts w:cs="Times New Roman"/>
          <w:smallCaps/>
          <w:lang w:val="fr-CA"/>
        </w:rPr>
        <w:t>[traduction]</w:t>
      </w:r>
      <w:r w:rsidRPr="00C328A2">
        <w:rPr>
          <w:rFonts w:cs="Times New Roman"/>
          <w:lang w:val="fr-CA"/>
        </w:rPr>
        <w:t xml:space="preserve"> « intenter une action au nom d’un groupe </w:t>
      </w:r>
      <w:bookmarkEnd w:id="18"/>
      <w:r w:rsidRPr="00C328A2">
        <w:rPr>
          <w:rFonts w:cs="Times New Roman"/>
          <w:lang w:val="fr-CA"/>
        </w:rPr>
        <w:t>formé »</w:t>
      </w:r>
      <w:r w:rsidRPr="00C328A2">
        <w:rPr>
          <w:rFonts w:cs="Times New Roman"/>
          <w:szCs w:val="24"/>
          <w:lang w:val="fr-CA"/>
        </w:rPr>
        <w:t xml:space="preserve"> du gouvernement du Canada, d’autres gouvernements provinciaux et territoriaux canadiens, ainsi que de leurs organismes de santé publique </w:t>
      </w:r>
      <w:r w:rsidRPr="00C328A2">
        <w:rPr>
          <w:rFonts w:cs="Times New Roman"/>
          <w:lang w:val="fr-CA"/>
        </w:rPr>
        <w:t xml:space="preserve">(comme la </w:t>
      </w:r>
      <w:r w:rsidRPr="00C328A2">
        <w:rPr>
          <w:rFonts w:cs="Times New Roman"/>
          <w:lang w:val="fr-CA"/>
        </w:rPr>
        <w:lastRenderedPageBreak/>
        <w:t>Colombie</w:t>
      </w:r>
      <w:r w:rsidRPr="00C328A2">
        <w:rPr>
          <w:rFonts w:cs="Times New Roman"/>
          <w:lang w:val="fr-CA"/>
        </w:rPr>
        <w:noBreakHyphen/>
        <w:t xml:space="preserve">Britannique l’avait déjà fait), à moins que ces gouvernements ne s’excluent du groupe en vertu de l’art. 16 de la </w:t>
      </w:r>
      <w:r w:rsidRPr="00C328A2">
        <w:rPr>
          <w:rFonts w:cs="Times New Roman"/>
          <w:i/>
          <w:lang w:val="fr-CA"/>
        </w:rPr>
        <w:t>CPA</w:t>
      </w:r>
      <w:r w:rsidRPr="00C328A2">
        <w:rPr>
          <w:rFonts w:cs="Times New Roman"/>
          <w:lang w:val="fr-CA"/>
        </w:rPr>
        <w:t>.</w:t>
      </w:r>
    </w:p>
    <w:p w14:paraId="07DE0718" w14:textId="77777777" w:rsidR="00C328A2" w:rsidRPr="00C328A2" w:rsidRDefault="00C328A2" w:rsidP="00C328A2">
      <w:pPr>
        <w:pStyle w:val="ParaNoNdepar-AltN"/>
        <w:tabs>
          <w:tab w:val="clear" w:pos="1166"/>
          <w:tab w:val="num" w:pos="1152"/>
        </w:tabs>
        <w:spacing w:before="0"/>
        <w:rPr>
          <w:rFonts w:cs="Times New Roman"/>
          <w:i/>
          <w:lang w:val="fr-CA"/>
        </w:rPr>
      </w:pPr>
      <w:r w:rsidRPr="00C328A2">
        <w:rPr>
          <w:rFonts w:cs="Times New Roman"/>
          <w:lang w:val="fr-CA"/>
        </w:rPr>
        <w:t>L’</w:t>
      </w:r>
      <w:r w:rsidRPr="00C328A2">
        <w:rPr>
          <w:rFonts w:cs="Times New Roman"/>
          <w:i/>
          <w:lang w:val="fr-CA"/>
        </w:rPr>
        <w:t>ORA</w:t>
      </w:r>
      <w:r w:rsidRPr="00C328A2">
        <w:rPr>
          <w:rFonts w:cs="Times New Roman"/>
          <w:lang w:val="fr-CA"/>
        </w:rPr>
        <w:t xml:space="preserve"> est entrée en vigueur </w:t>
      </w:r>
      <w:bookmarkStart w:id="19" w:name="_Hlk183177583"/>
      <w:r w:rsidRPr="00C328A2">
        <w:rPr>
          <w:rFonts w:cs="Times New Roman"/>
          <w:lang w:val="fr-CA"/>
        </w:rPr>
        <w:t>quelques mois après l’introduction</w:t>
      </w:r>
      <w:bookmarkEnd w:id="19"/>
      <w:r w:rsidRPr="00C328A2">
        <w:rPr>
          <w:rFonts w:cs="Times New Roman"/>
          <w:lang w:val="fr-CA"/>
        </w:rPr>
        <w:t>, par la Colombie</w:t>
      </w:r>
      <w:r w:rsidRPr="00C328A2">
        <w:rPr>
          <w:rFonts w:cs="Times New Roman"/>
          <w:lang w:val="fr-CA"/>
        </w:rPr>
        <w:noBreakHyphen/>
        <w:t xml:space="preserve">Britannique, de son action fondée sur des droits d’action reconnus en common law et par la </w:t>
      </w:r>
      <w:r w:rsidRPr="00C328A2">
        <w:rPr>
          <w:rFonts w:cs="Times New Roman"/>
          <w:i/>
          <w:lang w:val="fr-CA"/>
        </w:rPr>
        <w:t>Loi sur la concurrence</w:t>
      </w:r>
      <w:r w:rsidRPr="00C328A2">
        <w:rPr>
          <w:rFonts w:cs="Times New Roman"/>
          <w:lang w:val="fr-CA"/>
        </w:rPr>
        <w:t>. La Colombie</w:t>
      </w:r>
      <w:r w:rsidRPr="00C328A2">
        <w:rPr>
          <w:rFonts w:cs="Times New Roman"/>
          <w:lang w:val="fr-CA"/>
        </w:rPr>
        <w:noBreakHyphen/>
        <w:t xml:space="preserve">Britannique </w:t>
      </w:r>
      <w:bookmarkStart w:id="20" w:name="_Hlk183178208"/>
      <w:r w:rsidRPr="00C328A2">
        <w:rPr>
          <w:rFonts w:cs="Times New Roman"/>
          <w:lang w:val="fr-CA"/>
        </w:rPr>
        <w:t>a alors modifié son avis d’action civile pour incorporer expressément l’art. 11 dans ses actes de procédure</w:t>
      </w:r>
      <w:bookmarkEnd w:id="20"/>
      <w:r w:rsidRPr="00C328A2">
        <w:rPr>
          <w:rFonts w:cs="Times New Roman"/>
          <w:lang w:val="fr-CA"/>
        </w:rPr>
        <w:t>. Son avis d’action civile modifié le plus récent propose également deux sous</w:t>
      </w:r>
      <w:r w:rsidRPr="00C328A2">
        <w:rPr>
          <w:rFonts w:cs="Times New Roman"/>
          <w:lang w:val="fr-CA"/>
        </w:rPr>
        <w:noBreakHyphen/>
        <w:t xml:space="preserve">catégories de demandeurs : une catégorie pour tous les gouvernements qui invoquent des causes d’action reconnues en common law et par la </w:t>
      </w:r>
      <w:r w:rsidRPr="00C328A2">
        <w:rPr>
          <w:rFonts w:cs="Times New Roman"/>
          <w:i/>
          <w:lang w:val="fr-CA"/>
        </w:rPr>
        <w:t>Loi sur la concurrence</w:t>
      </w:r>
      <w:r w:rsidRPr="00C328A2">
        <w:rPr>
          <w:rFonts w:cs="Times New Roman"/>
          <w:lang w:val="fr-CA"/>
        </w:rPr>
        <w:t xml:space="preserve">, et une autre catégorie pour </w:t>
      </w:r>
      <w:r w:rsidRPr="00C328A2">
        <w:rPr>
          <w:rFonts w:cs="Times New Roman"/>
          <w:smallCaps/>
          <w:lang w:val="fr-CA"/>
        </w:rPr>
        <w:t>[traduction]</w:t>
      </w:r>
      <w:r w:rsidRPr="00C328A2">
        <w:rPr>
          <w:rFonts w:cs="Times New Roman"/>
          <w:lang w:val="fr-CA"/>
        </w:rPr>
        <w:t xml:space="preserve"> « les gouvernements qui ont adopté des lois visant expressément le recouvrement des dommages</w:t>
      </w:r>
      <w:r w:rsidRPr="00C328A2">
        <w:rPr>
          <w:rFonts w:cs="Times New Roman"/>
          <w:lang w:val="fr-CA"/>
        </w:rPr>
        <w:noBreakHyphen/>
        <w:t>intérêts et du coût des soins de santé imputables à l’épidémie d’opioïdes » (d.a., vol. IV, p. 167; d.a., vol. VII, p. 136).</w:t>
      </w:r>
    </w:p>
    <w:p w14:paraId="6BC2E295" w14:textId="77777777" w:rsidR="00C328A2" w:rsidRPr="00C328A2" w:rsidRDefault="00C328A2" w:rsidP="00C328A2">
      <w:pPr>
        <w:pStyle w:val="ParaNoNdepar-AltN"/>
        <w:tabs>
          <w:tab w:val="clear" w:pos="1166"/>
          <w:tab w:val="num" w:pos="1152"/>
        </w:tabs>
        <w:spacing w:before="0"/>
        <w:rPr>
          <w:rFonts w:cs="Times New Roman"/>
          <w:i/>
          <w:lang w:val="fr-CA"/>
        </w:rPr>
      </w:pPr>
      <w:r w:rsidRPr="00C328A2">
        <w:rPr>
          <w:rFonts w:cs="Times New Roman"/>
          <w:lang w:val="fr-CA"/>
        </w:rPr>
        <w:t>Cette seconde sous</w:t>
      </w:r>
      <w:r w:rsidRPr="00C328A2">
        <w:rPr>
          <w:rFonts w:cs="Times New Roman"/>
          <w:lang w:val="fr-CA"/>
        </w:rPr>
        <w:noBreakHyphen/>
        <w:t xml:space="preserve">catégorie témoigne du fait que la quasi-totalité des provinces et des territoires canadiens ont depuis adopté leur </w:t>
      </w:r>
      <w:r w:rsidRPr="00C328A2">
        <w:rPr>
          <w:rFonts w:cs="Times New Roman"/>
          <w:i/>
          <w:iCs/>
          <w:lang w:val="fr-CA"/>
        </w:rPr>
        <w:t>propre</w:t>
      </w:r>
      <w:r w:rsidRPr="00C328A2">
        <w:rPr>
          <w:rFonts w:cs="Times New Roman"/>
          <w:lang w:val="fr-CA"/>
        </w:rPr>
        <w:t xml:space="preserve"> version d’une loi sur le recouvrement des coûts des soins de santé semblable à l’</w:t>
      </w:r>
      <w:r w:rsidRPr="00C328A2">
        <w:rPr>
          <w:rFonts w:cs="Times New Roman"/>
          <w:i/>
          <w:iCs/>
          <w:lang w:val="fr-CA"/>
        </w:rPr>
        <w:t>ORA</w:t>
      </w:r>
      <w:r w:rsidRPr="00C328A2">
        <w:rPr>
          <w:rFonts w:cs="Times New Roman"/>
          <w:lang w:val="fr-CA"/>
        </w:rPr>
        <w:t xml:space="preserve"> de la Colombie-Britannique</w:t>
      </w:r>
      <w:r w:rsidRPr="000D7A7B">
        <w:rPr>
          <w:rStyle w:val="Hyperlien"/>
          <w:vertAlign w:val="superscript"/>
        </w:rPr>
        <w:footnoteReference w:id="1"/>
      </w:r>
      <w:r w:rsidRPr="00C328A2">
        <w:rPr>
          <w:rFonts w:cs="Times New Roman"/>
          <w:lang w:val="fr-CA"/>
        </w:rPr>
        <w:t xml:space="preserve">. Chacune de ces lois comporte une disposition sensiblement similaire à </w:t>
      </w:r>
      <w:r w:rsidRPr="00C328A2">
        <w:rPr>
          <w:rFonts w:cs="Times New Roman"/>
          <w:lang w:val="fr-CA"/>
        </w:rPr>
        <w:lastRenderedPageBreak/>
        <w:t>l’art. 11 de l’</w:t>
      </w:r>
      <w:r w:rsidRPr="00C328A2">
        <w:rPr>
          <w:rFonts w:cs="Times New Roman"/>
          <w:i/>
          <w:iCs/>
          <w:lang w:val="fr-CA"/>
        </w:rPr>
        <w:t>ORA</w:t>
      </w:r>
      <w:r w:rsidRPr="00C328A2">
        <w:rPr>
          <w:rFonts w:cs="Times New Roman"/>
          <w:lang w:val="fr-CA"/>
        </w:rPr>
        <w:t xml:space="preserve"> de la Colombie</w:t>
      </w:r>
      <w:r w:rsidRPr="00C328A2">
        <w:rPr>
          <w:rFonts w:cs="Times New Roman"/>
          <w:lang w:val="fr-CA"/>
        </w:rPr>
        <w:noBreakHyphen/>
        <w:t>Britannique (voir, p. ex., l’</w:t>
      </w:r>
      <w:r w:rsidRPr="00C328A2">
        <w:rPr>
          <w:rFonts w:cs="Times New Roman"/>
          <w:i/>
          <w:lang w:val="fr-CA"/>
        </w:rPr>
        <w:t>Opioid Damages and Health Care Costs Recovery Act</w:t>
      </w:r>
      <w:r w:rsidRPr="00C328A2">
        <w:rPr>
          <w:rFonts w:cs="Times New Roman"/>
          <w:lang w:val="fr-CA"/>
        </w:rPr>
        <w:t>, S.A. 2019, c. O</w:t>
      </w:r>
      <w:r w:rsidRPr="00C328A2">
        <w:rPr>
          <w:rFonts w:cs="Times New Roman"/>
          <w:lang w:val="fr-CA"/>
        </w:rPr>
        <w:noBreakHyphen/>
        <w:t xml:space="preserve">8.5, art. 13; </w:t>
      </w:r>
      <w:r w:rsidRPr="00C328A2">
        <w:rPr>
          <w:rFonts w:cs="Times New Roman"/>
          <w:i/>
          <w:lang w:val="fr-CA"/>
        </w:rPr>
        <w:t>Loi de 2019 sur le recouvrement des dommages-intérêts et du coût des soins de santé imputables aux opioïdes</w:t>
      </w:r>
      <w:r w:rsidRPr="00C328A2">
        <w:rPr>
          <w:rFonts w:cs="Times New Roman"/>
          <w:lang w:val="fr-CA"/>
        </w:rPr>
        <w:t xml:space="preserve">, L.O. 2019, c. 17, ann. 2, art. 12). Bon nombre de ces lois comportent également une disposition qui prévoit que, si une autre province a intenté un recours collectif, la réclamation de la province est assujettie aux règles de procédure de l’autre province, tandis que ses droits substantiels demeurent ceux que lui reconnaît sa propre </w:t>
      </w:r>
      <w:r w:rsidRPr="00C328A2">
        <w:rPr>
          <w:rFonts w:cs="Times New Roman"/>
          <w:i/>
          <w:lang w:val="fr-CA"/>
        </w:rPr>
        <w:t>ORA</w:t>
      </w:r>
      <w:r w:rsidRPr="00C328A2">
        <w:rPr>
          <w:rFonts w:cs="Times New Roman"/>
          <w:lang w:val="fr-CA"/>
        </w:rPr>
        <w:t xml:space="preserve"> (voir, p. ex., l’</w:t>
      </w:r>
      <w:r w:rsidRPr="00C328A2">
        <w:rPr>
          <w:rFonts w:cs="Times New Roman"/>
          <w:i/>
          <w:lang w:val="fr-CA"/>
        </w:rPr>
        <w:t xml:space="preserve">Opioid Damages and Health Care Costs Recovery Act </w:t>
      </w:r>
      <w:r w:rsidRPr="00C328A2">
        <w:rPr>
          <w:rFonts w:cs="Times New Roman"/>
          <w:lang w:val="fr-CA"/>
        </w:rPr>
        <w:t xml:space="preserve">de l’Alberta, art. 12; </w:t>
      </w:r>
      <w:r w:rsidRPr="00C328A2">
        <w:rPr>
          <w:rFonts w:cs="Times New Roman"/>
          <w:i/>
          <w:lang w:val="fr-CA"/>
        </w:rPr>
        <w:t xml:space="preserve">Loi de 2019 sur le recouvrement des dommages-intérêts et du coût des soins de santé imputables aux opioïdes </w:t>
      </w:r>
      <w:r w:rsidRPr="00C328A2">
        <w:rPr>
          <w:rFonts w:cs="Times New Roman"/>
          <w:lang w:val="fr-CA"/>
        </w:rPr>
        <w:t>de l’Ontario, art. 11).</w:t>
      </w:r>
    </w:p>
    <w:p w14:paraId="2E7B572E" w14:textId="77777777" w:rsidR="00C328A2" w:rsidRPr="00C328A2" w:rsidRDefault="00C328A2" w:rsidP="00C328A2">
      <w:pPr>
        <w:pStyle w:val="Title1LevelTitre1Niveau-AltL"/>
        <w:spacing w:before="0"/>
        <w:rPr>
          <w:rFonts w:cs="Times New Roman"/>
          <w:lang w:val="fr-CA"/>
        </w:rPr>
      </w:pPr>
      <w:r w:rsidRPr="00C328A2">
        <w:rPr>
          <w:rFonts w:cs="Times New Roman"/>
          <w:lang w:val="fr-CA"/>
        </w:rPr>
        <w:t>Historique judiciaire</w:t>
      </w:r>
    </w:p>
    <w:p w14:paraId="4CCC4CA9" w14:textId="77777777" w:rsidR="00C328A2" w:rsidRPr="00C328A2" w:rsidRDefault="00C328A2" w:rsidP="00C328A2">
      <w:pPr>
        <w:pStyle w:val="Title2LevelTitre2Niveau"/>
        <w:spacing w:before="0"/>
        <w:rPr>
          <w:rFonts w:cs="Times New Roman"/>
          <w:lang w:val="fr-CA"/>
        </w:rPr>
      </w:pPr>
      <w:r w:rsidRPr="00C328A2">
        <w:rPr>
          <w:rFonts w:cs="Times New Roman"/>
          <w:lang w:val="fr-CA"/>
        </w:rPr>
        <w:t>Cour suprême de la Colombie-Britannique, 2022 BCSC 2147, 77 B.C.L.R. (6th) 313 (le juge Brundrett)</w:t>
      </w:r>
    </w:p>
    <w:p w14:paraId="54A5DE23"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Les sociétés pharmaceutiques appelantes ont présenté une requête visant à obtenir une ordonnance déclarant l’art. 11 de l’</w:t>
      </w:r>
      <w:r w:rsidRPr="00C328A2">
        <w:rPr>
          <w:rFonts w:cs="Times New Roman"/>
          <w:i/>
          <w:lang w:val="fr-CA"/>
        </w:rPr>
        <w:t>ORA</w:t>
      </w:r>
      <w:r w:rsidRPr="00C328A2">
        <w:rPr>
          <w:rFonts w:cs="Times New Roman"/>
          <w:lang w:val="fr-CA"/>
        </w:rPr>
        <w:t xml:space="preserve"> inopérant parce qu’</w:t>
      </w:r>
      <w:r w:rsidRPr="00C328A2">
        <w:rPr>
          <w:rFonts w:cs="Times New Roman"/>
          <w:i/>
          <w:lang w:val="fr-CA"/>
        </w:rPr>
        <w:t>ultra</w:t>
      </w:r>
      <w:r w:rsidRPr="00C328A2">
        <w:rPr>
          <w:rFonts w:cs="Times New Roman"/>
          <w:lang w:val="fr-CA"/>
        </w:rPr>
        <w:t xml:space="preserve"> </w:t>
      </w:r>
      <w:r w:rsidRPr="00C328A2">
        <w:rPr>
          <w:rFonts w:cs="Times New Roman"/>
          <w:i/>
          <w:lang w:val="fr-CA"/>
        </w:rPr>
        <w:t>vires</w:t>
      </w:r>
      <w:r w:rsidRPr="00C328A2">
        <w:rPr>
          <w:rFonts w:cs="Times New Roman"/>
          <w:lang w:val="fr-CA"/>
        </w:rPr>
        <w:t xml:space="preserve"> de l’assemblée législative de la Colombie</w:t>
      </w:r>
      <w:r w:rsidRPr="00C328A2">
        <w:rPr>
          <w:rFonts w:cs="Times New Roman"/>
          <w:lang w:val="fr-CA"/>
        </w:rPr>
        <w:noBreakHyphen/>
        <w:t xml:space="preserve">Britannique. Elles soutenaient que l’art. 11 portait sur « [l]a propriété et les droits civils », mais que, comme il traite des droits civils d’autres gouvernements, cet article ne constituait pas une disposition adoptée </w:t>
      </w:r>
      <w:r w:rsidRPr="00C328A2">
        <w:rPr>
          <w:rFonts w:cs="Times New Roman"/>
          <w:lang w:val="fr-CA"/>
        </w:rPr>
        <w:lastRenderedPageBreak/>
        <w:t xml:space="preserve">« dans la province » et qu’il ne relevait donc pas de la compétence qu’accorde à la législature provinciale le par. 92(13) de la </w:t>
      </w:r>
      <w:r w:rsidRPr="00C328A2">
        <w:rPr>
          <w:rFonts w:cs="Times New Roman"/>
          <w:i/>
          <w:lang w:val="fr-CA"/>
        </w:rPr>
        <w:t>Loi constitutionnelle de 1867</w:t>
      </w:r>
      <w:r w:rsidRPr="00C328A2">
        <w:rPr>
          <w:rFonts w:cs="Times New Roman"/>
          <w:lang w:val="fr-CA"/>
        </w:rPr>
        <w:t xml:space="preserve"> (par. 4).</w:t>
      </w:r>
    </w:p>
    <w:p w14:paraId="7A47D062"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Le juge Brundrett a plutôt qualifié cette disposition de </w:t>
      </w:r>
      <w:r w:rsidRPr="00C328A2">
        <w:rPr>
          <w:rFonts w:cs="Times New Roman"/>
          <w:smallCaps/>
          <w:lang w:val="fr-CA"/>
        </w:rPr>
        <w:t>[traduction]</w:t>
      </w:r>
      <w:r w:rsidRPr="00C328A2">
        <w:rPr>
          <w:rFonts w:cs="Times New Roman"/>
          <w:lang w:val="fr-CA"/>
        </w:rPr>
        <w:t xml:space="preserve"> « mécanisme procédural visant à faciliter le déroulement des instances prévues par l’</w:t>
      </w:r>
      <w:r w:rsidRPr="00C328A2">
        <w:rPr>
          <w:rFonts w:cs="Times New Roman"/>
          <w:i/>
          <w:lang w:val="fr-CA"/>
        </w:rPr>
        <w:t>ORA</w:t>
      </w:r>
      <w:r w:rsidRPr="00C328A2">
        <w:rPr>
          <w:rFonts w:cs="Times New Roman"/>
          <w:lang w:val="fr-CA"/>
        </w:rPr>
        <w:t xml:space="preserve">, la </w:t>
      </w:r>
      <w:r w:rsidRPr="00C328A2">
        <w:rPr>
          <w:rFonts w:cs="Times New Roman"/>
          <w:i/>
          <w:lang w:val="fr-CA"/>
        </w:rPr>
        <w:t>CPA</w:t>
      </w:r>
      <w:r w:rsidRPr="00C328A2">
        <w:rPr>
          <w:rFonts w:cs="Times New Roman"/>
          <w:lang w:val="fr-CA"/>
        </w:rPr>
        <w:t xml:space="preserve"> et les </w:t>
      </w:r>
      <w:r w:rsidRPr="00C328A2">
        <w:rPr>
          <w:rFonts w:cs="Times New Roman"/>
          <w:i/>
          <w:lang w:val="fr-CA"/>
        </w:rPr>
        <w:t xml:space="preserve">Supreme Court Civil Rules </w:t>
      </w:r>
      <w:r w:rsidRPr="00C328A2">
        <w:rPr>
          <w:rFonts w:cs="Times New Roman"/>
          <w:lang w:val="fr-CA"/>
        </w:rPr>
        <w:t>dans lesquelles les revendications substantielles des autres gouvernements peuvent être instruites et plaidées devant un tribunal de la Colombie</w:t>
      </w:r>
      <w:r w:rsidRPr="00C328A2">
        <w:rPr>
          <w:rFonts w:cs="Times New Roman"/>
          <w:lang w:val="fr-CA"/>
        </w:rPr>
        <w:noBreakHyphen/>
        <w:t>Britannique » (par. 58). Suivant le juge Brundrett, ce mécanisme procédural permet a priori à la Colombie</w:t>
      </w:r>
      <w:r w:rsidRPr="00C328A2">
        <w:rPr>
          <w:rFonts w:cs="Times New Roman"/>
          <w:lang w:val="fr-CA"/>
        </w:rPr>
        <w:noBreakHyphen/>
        <w:t>Britannique d’agir pour le compte d’autres gouvernements dans le cadre d’une instance introduite en vertu de l’</w:t>
      </w:r>
      <w:r w:rsidRPr="00C328A2">
        <w:rPr>
          <w:rFonts w:cs="Times New Roman"/>
          <w:i/>
          <w:lang w:val="fr-CA"/>
        </w:rPr>
        <w:t>ORA</w:t>
      </w:r>
      <w:r w:rsidRPr="00C328A2">
        <w:rPr>
          <w:rFonts w:cs="Times New Roman"/>
          <w:lang w:val="fr-CA"/>
        </w:rPr>
        <w:t xml:space="preserve"> et relève de la compétence que possède la province, en vertu du par. 92(14) de la </w:t>
      </w:r>
      <w:r w:rsidRPr="00C328A2">
        <w:rPr>
          <w:rFonts w:cs="Times New Roman"/>
          <w:i/>
          <w:lang w:val="fr-CA"/>
        </w:rPr>
        <w:t>Loi constitutionnelle de 1867</w:t>
      </w:r>
      <w:r w:rsidRPr="00C328A2">
        <w:rPr>
          <w:rFonts w:cs="Times New Roman"/>
          <w:lang w:val="fr-CA"/>
        </w:rPr>
        <w:t>, pour légiférer sur « [l]’administration de la justice dans la province » (par. 76).</w:t>
      </w:r>
    </w:p>
    <w:p w14:paraId="3012407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En ce qui concerne la question de savoir si l’art. 11 respecte les limites territoriales de la province, le juge Brundrett a conclu que cette disposition visait à encadrer une seule et même instance introduite devant les tribunaux de la Colombie</w:t>
      </w:r>
      <w:r w:rsidRPr="00C328A2">
        <w:rPr>
          <w:rFonts w:cs="Times New Roman"/>
          <w:lang w:val="fr-CA"/>
        </w:rPr>
        <w:noBreakHyphen/>
        <w:t>Britannique, tout en permettant à d’autres gouvernements de faire juger leurs réclamations dans le cadre de cette instance s’ils le souhaitaient (par. 84). Dans cette optique, même s’il relevait du par. 92(13),</w:t>
      </w:r>
      <w:r w:rsidRPr="00C328A2" w:rsidDel="006E57AF">
        <w:rPr>
          <w:rFonts w:cs="Times New Roman"/>
          <w:lang w:val="fr-CA"/>
        </w:rPr>
        <w:t xml:space="preserve"> </w:t>
      </w:r>
      <w:r w:rsidRPr="00C328A2">
        <w:rPr>
          <w:rFonts w:cs="Times New Roman"/>
          <w:lang w:val="fr-CA"/>
        </w:rPr>
        <w:t xml:space="preserve">l’art. 11 respectait tout de même les limites territoriales fixées par la </w:t>
      </w:r>
      <w:r w:rsidRPr="00C328A2">
        <w:rPr>
          <w:rFonts w:cs="Times New Roman"/>
          <w:i/>
          <w:lang w:val="fr-CA"/>
        </w:rPr>
        <w:t>Loi constitutionnelle de 1867</w:t>
      </w:r>
      <w:r w:rsidRPr="00C328A2">
        <w:rPr>
          <w:rFonts w:cs="Times New Roman"/>
          <w:lang w:val="fr-CA"/>
        </w:rPr>
        <w:t xml:space="preserve">, puisqu’il ne toucherait les autres gouvernements que s’ils consentent à participer à l’instance, soit en décidant d’adhérer au groupe, soit en n’exerçant pas leur droit de s’en exclure (par. 81 et 87). Même si la </w:t>
      </w:r>
      <w:r w:rsidRPr="00C328A2">
        <w:rPr>
          <w:rFonts w:cs="Times New Roman"/>
          <w:lang w:val="fr-CA"/>
        </w:rPr>
        <w:lastRenderedPageBreak/>
        <w:t>province a demandé en l’espèce l’autorisation du recours collectif selon un mécanisme d’adhésion volontaire (« </w:t>
      </w:r>
      <w:r w:rsidRPr="00C328A2">
        <w:rPr>
          <w:rFonts w:cs="Times New Roman"/>
          <w:i/>
          <w:iCs/>
          <w:lang w:val="fr-CA"/>
        </w:rPr>
        <w:t>opt-in</w:t>
      </w:r>
      <w:r w:rsidRPr="00C328A2">
        <w:rPr>
          <w:rFonts w:cs="Times New Roman"/>
          <w:lang w:val="fr-CA"/>
        </w:rPr>
        <w:t> ») plutôt que suivant le mécanisme d’exclusion (« </w:t>
      </w:r>
      <w:r w:rsidRPr="00C328A2">
        <w:rPr>
          <w:rFonts w:cs="Times New Roman"/>
          <w:i/>
          <w:iCs/>
          <w:lang w:val="fr-CA"/>
        </w:rPr>
        <w:t>opt-out</w:t>
      </w:r>
      <w:r w:rsidRPr="00C328A2">
        <w:rPr>
          <w:rFonts w:cs="Times New Roman"/>
          <w:lang w:val="fr-CA"/>
        </w:rPr>
        <w:t> ») prévu au par. 11(2) de l’</w:t>
      </w:r>
      <w:r w:rsidRPr="00C328A2">
        <w:rPr>
          <w:rFonts w:cs="Times New Roman"/>
          <w:i/>
          <w:lang w:val="fr-CA"/>
        </w:rPr>
        <w:t>ORA</w:t>
      </w:r>
      <w:r w:rsidRPr="00C328A2">
        <w:rPr>
          <w:rFonts w:cs="Times New Roman"/>
          <w:lang w:val="fr-CA"/>
        </w:rPr>
        <w:t xml:space="preserve"> et de l’art. 16 de la </w:t>
      </w:r>
      <w:r w:rsidRPr="00C328A2">
        <w:rPr>
          <w:rFonts w:cs="Times New Roman"/>
          <w:i/>
          <w:lang w:val="fr-CA"/>
        </w:rPr>
        <w:t>CPA</w:t>
      </w:r>
      <w:r w:rsidRPr="00C328A2">
        <w:rPr>
          <w:rFonts w:cs="Times New Roman"/>
          <w:lang w:val="fr-CA"/>
        </w:rPr>
        <w:t xml:space="preserve">, cette demande </w:t>
      </w:r>
      <w:r w:rsidRPr="00C328A2">
        <w:rPr>
          <w:rFonts w:cs="Times New Roman"/>
          <w:smallCaps/>
          <w:lang w:val="fr-CA"/>
        </w:rPr>
        <w:t>[traduction]</w:t>
      </w:r>
      <w:r w:rsidRPr="00C328A2">
        <w:rPr>
          <w:rFonts w:cs="Times New Roman"/>
          <w:lang w:val="fr-CA"/>
        </w:rPr>
        <w:t xml:space="preserve"> « ne change pas grand</w:t>
      </w:r>
      <w:r w:rsidRPr="00C328A2">
        <w:rPr>
          <w:rFonts w:cs="Times New Roman"/>
          <w:lang w:val="fr-CA"/>
        </w:rPr>
        <w:noBreakHyphen/>
        <w:t xml:space="preserve">chose dans les faits », parce qu’indépendamment de la formule choisie, la décision des autres gouvernements de participer à l’instance ferait disparaître tout risque que l’art. 11 porte atteinte à leur souveraineté législative (par. 67 et 81). Le juge Brundrett a par conséquent conclu que l’art. 11 était </w:t>
      </w:r>
      <w:r w:rsidRPr="00C328A2">
        <w:rPr>
          <w:rFonts w:cs="Times New Roman"/>
          <w:i/>
          <w:lang w:val="fr-CA"/>
        </w:rPr>
        <w:t>intra vires</w:t>
      </w:r>
      <w:r w:rsidRPr="00C328A2">
        <w:rPr>
          <w:rFonts w:cs="Times New Roman"/>
          <w:lang w:val="fr-CA"/>
        </w:rPr>
        <w:t xml:space="preserve"> de la législature de la Colombie</w:t>
      </w:r>
      <w:r w:rsidRPr="00C328A2">
        <w:rPr>
          <w:rFonts w:cs="Times New Roman"/>
          <w:lang w:val="fr-CA"/>
        </w:rPr>
        <w:noBreakHyphen/>
        <w:t>Britannique.</w:t>
      </w:r>
    </w:p>
    <w:p w14:paraId="47407258" w14:textId="77777777" w:rsidR="00C328A2" w:rsidRPr="00C328A2" w:rsidRDefault="00C328A2" w:rsidP="00C328A2">
      <w:pPr>
        <w:pStyle w:val="Title2LevelTitre2Niveau"/>
        <w:spacing w:before="0"/>
        <w:rPr>
          <w:rFonts w:cs="Times New Roman"/>
          <w:lang w:val="fr-CA"/>
        </w:rPr>
      </w:pPr>
      <w:r w:rsidRPr="00C328A2">
        <w:rPr>
          <w:rFonts w:cs="Times New Roman"/>
          <w:lang w:val="fr-CA"/>
        </w:rPr>
        <w:t>Cour d’appel de la Colombie-Britannique, 2023 BCCA 306, 79 B.C.L.R. (6th) 1 (la juge Newbury, avec l’accord des juges Fisher et Horsman)</w:t>
      </w:r>
    </w:p>
    <w:p w14:paraId="0E6F74A3"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La Cour d’appel de la Colombie-Britannique a rejeté l’appel à l’unanimité. La juge Newbury, qui s’exprimait au nom de la cour, a convenu que l’art. 11 de l’</w:t>
      </w:r>
      <w:r w:rsidRPr="00C328A2">
        <w:rPr>
          <w:rFonts w:cs="Times New Roman"/>
          <w:i/>
          <w:lang w:val="fr-CA"/>
        </w:rPr>
        <w:t>ORA</w:t>
      </w:r>
      <w:r w:rsidRPr="00C328A2">
        <w:rPr>
          <w:rFonts w:cs="Times New Roman"/>
          <w:lang w:val="fr-CA"/>
        </w:rPr>
        <w:t xml:space="preserve"> créait simplement un mécanisme procédural permettant à la province d’agir au nom d’autres gouvernements canadiens dans le cadre du recours collectif projeté. Puisque les réclamations substantielles des autres gouvernements seraient jugées selon leur droit substantif respectif, y compris le cas échéant selon leur propre loi de type </w:t>
      </w:r>
      <w:r w:rsidRPr="00C328A2">
        <w:rPr>
          <w:rFonts w:cs="Times New Roman"/>
          <w:i/>
          <w:lang w:val="fr-CA"/>
        </w:rPr>
        <w:t>ORA</w:t>
      </w:r>
      <w:r w:rsidRPr="00C328A2">
        <w:rPr>
          <w:rFonts w:cs="Times New Roman"/>
          <w:lang w:val="fr-CA"/>
        </w:rPr>
        <w:t>, l’art. 11 n’influait pas sur les droits civils substantiels des autres gouvernements.</w:t>
      </w:r>
      <w:r w:rsidRPr="00C328A2">
        <w:rPr>
          <w:rFonts w:eastAsia="Times New Roman" w:cs="Times New Roman"/>
          <w:szCs w:val="24"/>
          <w:lang w:val="fr-CA" w:eastAsia="en-CA"/>
        </w:rPr>
        <w:t xml:space="preserve"> À l’instar des lois sur les recours collectifs</w:t>
      </w:r>
      <w:r w:rsidRPr="00C328A2">
        <w:rPr>
          <w:rFonts w:cs="Times New Roman"/>
          <w:lang w:val="fr-CA"/>
        </w:rPr>
        <w:t>, l’art. 11 était simplement un mécanisme procédural qui relevait du par. 92(14) et qui n’était pas visé par le par. 92(13).</w:t>
      </w:r>
    </w:p>
    <w:p w14:paraId="64DA3C72"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En ce qui concerne la portée territoriale de la disposition en cause, la juge Newbury a convenu avec le juge Brundrett que </w:t>
      </w:r>
      <w:r w:rsidRPr="00C328A2">
        <w:rPr>
          <w:rFonts w:cs="Times New Roman"/>
          <w:smallCaps/>
          <w:lang w:val="fr-CA"/>
        </w:rPr>
        <w:t>[traduction]</w:t>
      </w:r>
      <w:r w:rsidRPr="00C328A2">
        <w:rPr>
          <w:rFonts w:cs="Times New Roman"/>
          <w:lang w:val="fr-CA"/>
        </w:rPr>
        <w:t xml:space="preserve"> « dans la réalité », </w:t>
      </w:r>
      <w:r w:rsidRPr="00C328A2">
        <w:rPr>
          <w:rFonts w:cs="Times New Roman"/>
          <w:lang w:val="fr-CA"/>
        </w:rPr>
        <w:lastRenderedPageBreak/>
        <w:t>chaque gouvernement participant choisirait de participer au recours collectif — en y adhérant volontairement (« </w:t>
      </w:r>
      <w:r w:rsidRPr="00C328A2">
        <w:rPr>
          <w:rFonts w:cs="Times New Roman"/>
          <w:i/>
          <w:iCs/>
          <w:lang w:val="fr-CA"/>
        </w:rPr>
        <w:t>opting in</w:t>
      </w:r>
      <w:r w:rsidRPr="00C328A2">
        <w:rPr>
          <w:rFonts w:cs="Times New Roman"/>
          <w:lang w:val="fr-CA"/>
        </w:rPr>
        <w:t> ») ou en refusant de s’en exclure (« </w:t>
      </w:r>
      <w:r w:rsidRPr="00C328A2">
        <w:rPr>
          <w:rFonts w:cs="Times New Roman"/>
          <w:i/>
          <w:iCs/>
          <w:lang w:val="fr-CA"/>
        </w:rPr>
        <w:t>opting out</w:t>
      </w:r>
      <w:r w:rsidRPr="00C328A2">
        <w:rPr>
          <w:rFonts w:cs="Times New Roman"/>
          <w:lang w:val="fr-CA"/>
        </w:rPr>
        <w:t> ») —, et que cela constituait un « lien significatif » entre les réclamations de ces gouvernements, la province de la Colombie</w:t>
      </w:r>
      <w:r w:rsidRPr="00C328A2">
        <w:rPr>
          <w:rFonts w:cs="Times New Roman"/>
          <w:lang w:val="fr-CA"/>
        </w:rPr>
        <w:noBreakHyphen/>
        <w:t>Britannique et la Cour suprême de la Colombie</w:t>
      </w:r>
      <w:r w:rsidRPr="00C328A2">
        <w:rPr>
          <w:rFonts w:cs="Times New Roman"/>
          <w:lang w:val="fr-CA"/>
        </w:rPr>
        <w:noBreakHyphen/>
        <w:t xml:space="preserve">Britannique (par. 97). De plus, l’art. 11 ne portait pas atteinte à la souveraineté législative des autres gouvernements qui avaient choisi de regrouper leurs réclamations </w:t>
      </w:r>
      <w:r w:rsidRPr="00C328A2">
        <w:rPr>
          <w:rFonts w:cs="Times New Roman"/>
          <w:smallCaps/>
          <w:lang w:val="fr-CA"/>
        </w:rPr>
        <w:t>[traduction]</w:t>
      </w:r>
      <w:r w:rsidRPr="00C328A2">
        <w:rPr>
          <w:rFonts w:cs="Times New Roman"/>
          <w:lang w:val="fr-CA"/>
        </w:rPr>
        <w:t xml:space="preserve"> « pour éviter les frais et les inconvénients entraînés par une multiplication des recours au Canada et pour servir en fin de compte l’intérêt public » (par. 100). La juge Newbury s’est dite d’avis que, même s’il constituait </w:t>
      </w:r>
      <w:r w:rsidRPr="00C328A2">
        <w:rPr>
          <w:rFonts w:cs="Times New Roman"/>
          <w:smallCaps/>
          <w:lang w:val="fr-CA"/>
        </w:rPr>
        <w:t>[traduction]</w:t>
      </w:r>
      <w:r w:rsidRPr="00C328A2">
        <w:rPr>
          <w:rFonts w:cs="Times New Roman"/>
          <w:lang w:val="fr-CA"/>
        </w:rPr>
        <w:t xml:space="preserve"> « une mesure audacieuse, voire expérimentale » en matière de recours collectifs nationaux, l’art. 11 relevait de la compétence de la province (par. 3).</w:t>
      </w:r>
    </w:p>
    <w:p w14:paraId="234DDA33" w14:textId="77777777" w:rsidR="00C328A2" w:rsidRPr="00C328A2" w:rsidRDefault="00C328A2" w:rsidP="00C328A2">
      <w:pPr>
        <w:pStyle w:val="Title1LevelTitre1Niveau-AltL"/>
        <w:widowControl w:val="0"/>
        <w:spacing w:before="0"/>
        <w:rPr>
          <w:rFonts w:cs="Times New Roman"/>
          <w:lang w:val="fr-CA"/>
        </w:rPr>
      </w:pPr>
      <w:r w:rsidRPr="00C328A2">
        <w:rPr>
          <w:rFonts w:cs="Times New Roman"/>
          <w:lang w:val="fr-CA"/>
        </w:rPr>
        <w:t>Questions en litige et positions des parties</w:t>
      </w:r>
    </w:p>
    <w:p w14:paraId="7CB8A8DF"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La question fondamentale en l’espèce est de savoir si l’art. 11 de l’</w:t>
      </w:r>
      <w:r w:rsidRPr="00C328A2">
        <w:rPr>
          <w:rFonts w:cs="Times New Roman"/>
          <w:i/>
          <w:lang w:val="fr-CA"/>
        </w:rPr>
        <w:t xml:space="preserve">ORA </w:t>
      </w:r>
      <w:r w:rsidRPr="00C328A2">
        <w:rPr>
          <w:rFonts w:cs="Times New Roman"/>
          <w:lang w:val="fr-CA"/>
        </w:rPr>
        <w:t xml:space="preserve">est </w:t>
      </w:r>
      <w:r w:rsidRPr="00C328A2">
        <w:rPr>
          <w:rFonts w:cs="Times New Roman"/>
          <w:i/>
          <w:lang w:val="fr-CA"/>
        </w:rPr>
        <w:t>ultra vires</w:t>
      </w:r>
      <w:r w:rsidRPr="00C328A2">
        <w:rPr>
          <w:rFonts w:cs="Times New Roman"/>
          <w:lang w:val="fr-CA"/>
        </w:rPr>
        <w:t xml:space="preserve"> du fait qu’il excède </w:t>
      </w:r>
      <w:r w:rsidRPr="00C328A2">
        <w:rPr>
          <w:rFonts w:cs="Times New Roman"/>
          <w:iCs/>
          <w:lang w:val="fr-CA"/>
        </w:rPr>
        <w:t>la compétence législative</w:t>
      </w:r>
      <w:r w:rsidRPr="00C328A2">
        <w:rPr>
          <w:rFonts w:cs="Times New Roman"/>
          <w:lang w:val="fr-CA"/>
        </w:rPr>
        <w:t xml:space="preserve"> territoriale de la province de la Colombie</w:t>
      </w:r>
      <w:r w:rsidRPr="00C328A2">
        <w:rPr>
          <w:rFonts w:cs="Times New Roman"/>
          <w:lang w:val="fr-CA"/>
        </w:rPr>
        <w:noBreakHyphen/>
        <w:t>Britannique,</w:t>
      </w:r>
      <w:r w:rsidRPr="00C328A2">
        <w:rPr>
          <w:rFonts w:cs="Times New Roman"/>
          <w:iCs/>
          <w:lang w:val="fr-CA"/>
        </w:rPr>
        <w:t xml:space="preserve"> établie par l’art</w:t>
      </w:r>
      <w:r w:rsidRPr="00C328A2">
        <w:rPr>
          <w:rFonts w:cs="Times New Roman"/>
          <w:lang w:val="fr-CA"/>
        </w:rPr>
        <w:t xml:space="preserve">. 92 de la </w:t>
      </w:r>
      <w:r w:rsidRPr="00C328A2">
        <w:rPr>
          <w:rFonts w:cs="Times New Roman"/>
          <w:i/>
          <w:lang w:val="fr-CA"/>
        </w:rPr>
        <w:t>Loi constitutionnelle de 1867</w:t>
      </w:r>
      <w:r w:rsidRPr="00C328A2">
        <w:rPr>
          <w:rFonts w:cs="Times New Roman"/>
          <w:lang w:val="fr-CA"/>
        </w:rPr>
        <w:t>. Si l’art. 11 est jugé inconstitutionnel, la Cour doit également se demander si cette disposition peut être sauvegardée par la doctrine des pouvoirs accessoires.</w:t>
      </w:r>
    </w:p>
    <w:p w14:paraId="533364C1"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Les appelantes contestent la validité de l’art. 11 au motif qu’il ne respecte pas les limites territoriales imposées à la province de la Colombie</w:t>
      </w:r>
      <w:r w:rsidRPr="00C328A2">
        <w:rPr>
          <w:rFonts w:cs="Times New Roman"/>
          <w:lang w:val="fr-CA"/>
        </w:rPr>
        <w:noBreakHyphen/>
        <w:t xml:space="preserve">Britannique par l’art. 92 de la </w:t>
      </w:r>
      <w:r w:rsidRPr="00C328A2">
        <w:rPr>
          <w:rFonts w:cs="Times New Roman"/>
          <w:i/>
          <w:lang w:val="fr-CA"/>
        </w:rPr>
        <w:t>Loi constitutionnelle de 1867</w:t>
      </w:r>
      <w:r w:rsidRPr="00C328A2">
        <w:rPr>
          <w:rFonts w:cs="Times New Roman"/>
          <w:lang w:val="fr-CA"/>
        </w:rPr>
        <w:t xml:space="preserve">, et qu’il est donc inopérant par application de l’art. 52 de la </w:t>
      </w:r>
      <w:r w:rsidRPr="00C328A2">
        <w:rPr>
          <w:rFonts w:cs="Times New Roman"/>
          <w:i/>
          <w:lang w:val="fr-CA"/>
        </w:rPr>
        <w:t>Loi constitutionnelle de 1982</w:t>
      </w:r>
      <w:r w:rsidRPr="00C328A2">
        <w:rPr>
          <w:rFonts w:cs="Times New Roman"/>
          <w:lang w:val="fr-CA"/>
        </w:rPr>
        <w:t xml:space="preserve">. Elles affirment que l’art. 11 permet à la </w:t>
      </w:r>
      <w:r w:rsidRPr="00C328A2">
        <w:rPr>
          <w:rFonts w:cs="Times New Roman"/>
          <w:lang w:val="fr-CA"/>
        </w:rPr>
        <w:lastRenderedPageBreak/>
        <w:t>Couronne du chef de la Colombie</w:t>
      </w:r>
      <w:r w:rsidRPr="00C328A2">
        <w:rPr>
          <w:rFonts w:cs="Times New Roman"/>
          <w:lang w:val="fr-CA"/>
        </w:rPr>
        <w:noBreakHyphen/>
        <w:t>Britannique de prendre le contrôle des droits civils substantiels d’autres gouvernements et, en fin de compte, de les définir. Selon elles, l’art. 11 relève donc de la compétence de la Colombie</w:t>
      </w:r>
      <w:r w:rsidRPr="00C328A2">
        <w:rPr>
          <w:rFonts w:cs="Times New Roman"/>
          <w:lang w:val="fr-CA"/>
        </w:rPr>
        <w:noBreakHyphen/>
        <w:t xml:space="preserve">Britannique sur « [l]a propriété et les droits civils » aux termes du par. 92(13) de la </w:t>
      </w:r>
      <w:r w:rsidRPr="00C328A2">
        <w:rPr>
          <w:rFonts w:cs="Times New Roman"/>
          <w:i/>
          <w:lang w:val="fr-CA"/>
        </w:rPr>
        <w:t>Loi constitutionnelle de 1867</w:t>
      </w:r>
      <w:r w:rsidRPr="00C328A2">
        <w:rPr>
          <w:rFonts w:cs="Times New Roman"/>
          <w:lang w:val="fr-CA"/>
        </w:rPr>
        <w:t>. Les appelantes affirment que, même s’il relevait du par. 92(14), aucune province ne pourrait avoir un lien significatif avec les réclamations substantielles des autres gouvernements, dont la souveraineté serait violée s’ils ne sont pas en mesure de légiférer sur l’instruction de ces réclamations. L’article 11 supprime le droit des autres gouvernements de contrôler le déroulement de l’instance, ce qui lie les gouvernements qui leur succéderont et viole le principe de la souveraineté parlementaire — tous des effets substantiels qui n’ont aucun lien significatif avec la Colombie</w:t>
      </w:r>
      <w:r w:rsidRPr="00C328A2">
        <w:rPr>
          <w:rFonts w:cs="Times New Roman"/>
          <w:lang w:val="fr-CA"/>
        </w:rPr>
        <w:noBreakHyphen/>
        <w:t>Britannique.</w:t>
      </w:r>
    </w:p>
    <w:p w14:paraId="75AD0FC2"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Pour sa part, la Colombie</w:t>
      </w:r>
      <w:r w:rsidRPr="00C328A2">
        <w:rPr>
          <w:rFonts w:cs="Times New Roman"/>
          <w:lang w:val="fr-CA"/>
        </w:rPr>
        <w:noBreakHyphen/>
        <w:t>Britannique soutient que l’art. 11 se caractérise principalement par la création d’un mécanisme procédural qui lui permet d’intenter en Colombie</w:t>
      </w:r>
      <w:r w:rsidRPr="00C328A2">
        <w:rPr>
          <w:rFonts w:cs="Times New Roman"/>
          <w:lang w:val="fr-CA"/>
        </w:rPr>
        <w:noBreakHyphen/>
        <w:t>Britannique une action au nom d’autres gouvernements qui acceptent de participer à l’action collective et qui cherchent à récupérer les coûts des soins de santé imputables aux opioïdes et qu’à ce titre, l’art. 11 relève de la compétence de la province en matière d’« administration de la justice » en vertu du par. 92(14). Il existe un lien significatif entre la portée territoriale de l’art. 11 et la Colombie</w:t>
      </w:r>
      <w:r w:rsidRPr="00C328A2">
        <w:rPr>
          <w:rFonts w:cs="Times New Roman"/>
          <w:lang w:val="fr-CA"/>
        </w:rPr>
        <w:noBreakHyphen/>
        <w:t>Britannique. En effet, l’art. 11 précise le cadre procédural qui s’applique à la seule et unique action intentée devant les tribunaux de la Colombie</w:t>
      </w:r>
      <w:r w:rsidRPr="00C328A2">
        <w:rPr>
          <w:rFonts w:cs="Times New Roman"/>
          <w:lang w:val="fr-CA"/>
        </w:rPr>
        <w:noBreakHyphen/>
        <w:t>Britannique; il n’a d’incidence sur les autres gouvernements que si ceux</w:t>
      </w:r>
      <w:r w:rsidRPr="00C328A2">
        <w:rPr>
          <w:rFonts w:cs="Times New Roman"/>
          <w:lang w:val="fr-CA"/>
        </w:rPr>
        <w:noBreakHyphen/>
        <w:t xml:space="preserve">ci choisissent d’y participer, et il protège leur droit de faire juger leurs revendications individuelles conformément à leurs propres règles </w:t>
      </w:r>
      <w:r w:rsidRPr="00C328A2">
        <w:rPr>
          <w:rFonts w:cs="Times New Roman"/>
          <w:lang w:val="fr-CA"/>
        </w:rPr>
        <w:lastRenderedPageBreak/>
        <w:t>substantielles. Il demeure loisible pour les autres gouvernements de légiférer sur les aspects substantiels de leurs droits d’action.</w:t>
      </w:r>
    </w:p>
    <w:p w14:paraId="0B4288E8" w14:textId="77777777" w:rsidR="00C328A2" w:rsidRPr="00C328A2" w:rsidRDefault="00C328A2" w:rsidP="00C328A2">
      <w:pPr>
        <w:pStyle w:val="Title1LevelTitre1Niveau-AltL"/>
        <w:widowControl w:val="0"/>
        <w:spacing w:before="0"/>
        <w:rPr>
          <w:rFonts w:cs="Times New Roman"/>
          <w:lang w:val="fr-CA"/>
        </w:rPr>
      </w:pPr>
      <w:r w:rsidRPr="00C328A2">
        <w:rPr>
          <w:rFonts w:cs="Times New Roman"/>
          <w:lang w:val="fr-CA"/>
        </w:rPr>
        <w:t>Analyse</w:t>
      </w:r>
    </w:p>
    <w:p w14:paraId="128AD07A"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Pour répondre à la question de savoir si l’art. 11 relève régulièrement de la compétence de la Colombie</w:t>
      </w:r>
      <w:r w:rsidRPr="00C328A2">
        <w:rPr>
          <w:rFonts w:cs="Times New Roman"/>
          <w:lang w:val="fr-CA"/>
        </w:rPr>
        <w:noBreakHyphen/>
        <w:t xml:space="preserve">Britannique pour légiférer sur des matières « dans la province », il faut appliquer le cadre d’analyse en deux volets établi par notre Cour dans l’arrêt </w:t>
      </w:r>
      <w:r w:rsidRPr="00C328A2">
        <w:rPr>
          <w:rFonts w:cs="Times New Roman"/>
          <w:i/>
          <w:lang w:val="fr-CA"/>
        </w:rPr>
        <w:t>Imperial Tobacco</w:t>
      </w:r>
      <w:r w:rsidRPr="00C328A2">
        <w:rPr>
          <w:rFonts w:cs="Times New Roman"/>
          <w:lang w:val="fr-CA"/>
        </w:rPr>
        <w:t>. Il me faut d’abord caractériser et qualifier la disposition contestée avant de déterminer si elle respecte les limites territoriales des autres provinces. La validité du texte législatif adopté par la Colombie</w:t>
      </w:r>
      <w:r w:rsidRPr="00C328A2">
        <w:rPr>
          <w:rFonts w:cs="Times New Roman"/>
          <w:lang w:val="fr-CA"/>
        </w:rPr>
        <w:noBreakHyphen/>
        <w:t xml:space="preserve">Britannique dépend en fin de compte de la question de savoir s’il se trouve, comme il se doit, « dans la province », comme l’exige l’art. 92 de la </w:t>
      </w:r>
      <w:r w:rsidRPr="00C328A2">
        <w:rPr>
          <w:rFonts w:cs="Times New Roman"/>
          <w:i/>
          <w:lang w:val="fr-CA"/>
        </w:rPr>
        <w:t>Loi constitutionnelle de 1867</w:t>
      </w:r>
      <w:r w:rsidRPr="00C328A2">
        <w:rPr>
          <w:rFonts w:cs="Times New Roman"/>
          <w:lang w:val="fr-CA"/>
        </w:rPr>
        <w:t>.</w:t>
      </w:r>
    </w:p>
    <w:p w14:paraId="726C8187"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La contestation des appelantes porte essentiellement sur la question de savoir si le cadre établi par l’art. 11 en ce qui concerne les recours collectifs nationaux mettant en cause plusieurs gouvernements excède irrégulièrement les limites territoriales de la Colombie</w:t>
      </w:r>
      <w:r w:rsidRPr="00C328A2">
        <w:rPr>
          <w:rFonts w:cs="Times New Roman"/>
          <w:lang w:val="fr-CA"/>
        </w:rPr>
        <w:noBreakHyphen/>
        <w:t>Britannique, prend le contrôle des droits civils substantiels d’autres gouvernements, en plus de les obliger à comparaître devant les tribunaux de la Colombie</w:t>
      </w:r>
      <w:r w:rsidRPr="00C328A2">
        <w:rPr>
          <w:rFonts w:cs="Times New Roman"/>
          <w:lang w:val="fr-CA"/>
        </w:rPr>
        <w:noBreakHyphen/>
        <w:t>Britannique et à respecter les décisions rendues par ces derniers.</w:t>
      </w:r>
    </w:p>
    <w:p w14:paraId="47B21480"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 xml:space="preserve">Je rejette cette contestation. Je conclus que l’art. 11 constitue un cadre procédural valide qui vise à favoriser la coopération et la courtoisie entre les gouvernements, permettant ainsi à notre fédération de relever les défis du monde </w:t>
      </w:r>
      <w:r w:rsidRPr="00C328A2">
        <w:rPr>
          <w:rFonts w:cs="Times New Roman"/>
          <w:lang w:val="fr-CA"/>
        </w:rPr>
        <w:lastRenderedPageBreak/>
        <w:t>moderne.</w:t>
      </w:r>
    </w:p>
    <w:p w14:paraId="15C9411A"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Notre Cour reconnaît depuis longtemps qu’une « interprétation, stricte et fondée sur des compartiments étanches, du partage des compétences législatives » risque de nuire aux régimes réglementaires coopératifs établis dans l’intérêt public (voir </w:t>
      </w:r>
      <w:r w:rsidRPr="00C328A2">
        <w:rPr>
          <w:rFonts w:cs="Times New Roman"/>
          <w:i/>
          <w:iCs/>
          <w:lang w:val="fr-CA"/>
        </w:rPr>
        <w:t>Québec (Procureur général) c. Canada (Procureur général)</w:t>
      </w:r>
      <w:r w:rsidRPr="00C328A2">
        <w:rPr>
          <w:rFonts w:cs="Times New Roman"/>
          <w:lang w:val="fr-CA"/>
        </w:rPr>
        <w:t>, 2015 CSC 14, [2015] 1 R.C.S. 693 (</w:t>
      </w:r>
      <w:r w:rsidRPr="00C328A2">
        <w:rPr>
          <w:rFonts w:cs="Times New Roman"/>
          <w:i/>
          <w:lang w:val="fr-CA"/>
        </w:rPr>
        <w:t>Québec (Procureur général)</w:t>
      </w:r>
      <w:r w:rsidRPr="00C328A2">
        <w:rPr>
          <w:rFonts w:cs="Times New Roman"/>
          <w:lang w:val="fr-CA"/>
        </w:rPr>
        <w:t xml:space="preserve">), par. 17). Entre le gouvernement fédéral et les provinces, cette conception de la coopération trouve sa manifestation dans le principe du « fédéralisme coopératif », un principe d’interprétation qui est appliqué en matière de partage des compétences (voir </w:t>
      </w:r>
      <w:r w:rsidRPr="00C328A2">
        <w:rPr>
          <w:rFonts w:cs="Times New Roman"/>
          <w:i/>
          <w:lang w:val="fr-CA"/>
        </w:rPr>
        <w:t>Renvois relatifs à la LTPGES</w:t>
      </w:r>
      <w:r w:rsidRPr="00C328A2">
        <w:rPr>
          <w:rFonts w:cs="Times New Roman"/>
          <w:lang w:val="fr-CA"/>
        </w:rPr>
        <w:t xml:space="preserve">, par. 50). Sur le plan horizontal, entre les provinces, une coopération utile peut prendre la forme d’une participation commune à des accords commerciaux interprovinciaux visant à établir des régimes de réglementation harmonieux (voir, p. ex., </w:t>
      </w:r>
      <w:r w:rsidRPr="00C328A2">
        <w:rPr>
          <w:rFonts w:cs="Times New Roman"/>
          <w:i/>
          <w:lang w:val="fr-CA"/>
        </w:rPr>
        <w:t>Fédération des producteurs de volailles du Québec c. Pelland</w:t>
      </w:r>
      <w:r w:rsidRPr="00C328A2">
        <w:rPr>
          <w:rFonts w:cs="Times New Roman"/>
          <w:lang w:val="fr-CA"/>
        </w:rPr>
        <w:t xml:space="preserve">, 2005 CSC 20, [2005] 1 R.C.S. 292, par. 4 et 15), de régimes coopératifs de réglementation des marchés des capitaux (voir, p. ex., </w:t>
      </w:r>
      <w:r w:rsidRPr="00C328A2">
        <w:rPr>
          <w:rFonts w:cs="Times New Roman"/>
          <w:i/>
          <w:iCs/>
          <w:lang w:val="fr-CA"/>
        </w:rPr>
        <w:t>Renvoi relatif à la réglementation pancanadienne des valeurs mobilières</w:t>
      </w:r>
      <w:r w:rsidRPr="00C328A2">
        <w:rPr>
          <w:rFonts w:cs="Times New Roman"/>
          <w:lang w:val="fr-CA"/>
        </w:rPr>
        <w:t>, 2018 CSC 48, [2018] 3 R.C.S. 189, par. 1</w:t>
      </w:r>
      <w:r w:rsidRPr="00C328A2">
        <w:rPr>
          <w:rFonts w:cs="Times New Roman"/>
          <w:lang w:val="fr-CA"/>
        </w:rPr>
        <w:noBreakHyphen/>
        <w:t>7, 19, 21</w:t>
      </w:r>
      <w:r w:rsidRPr="00C328A2">
        <w:rPr>
          <w:rFonts w:cs="Times New Roman"/>
          <w:lang w:val="fr-CA"/>
        </w:rPr>
        <w:noBreakHyphen/>
        <w:t xml:space="preserve">22 et 130), ou encore de mécanismes procéduraux imbriqués qui s’appliquent à des recours collectifs comme ceux qui sont prévus par la </w:t>
      </w:r>
      <w:r w:rsidRPr="00C328A2">
        <w:rPr>
          <w:rFonts w:cs="Times New Roman"/>
          <w:i/>
          <w:lang w:val="fr-CA"/>
        </w:rPr>
        <w:t>CPA</w:t>
      </w:r>
      <w:r w:rsidRPr="00C328A2">
        <w:rPr>
          <w:rFonts w:cs="Times New Roman"/>
          <w:lang w:val="fr-CA"/>
        </w:rPr>
        <w:t xml:space="preserve"> ou par les lois équivalentes d’autres provinces.</w:t>
      </w:r>
    </w:p>
    <w:p w14:paraId="64D34AAD"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Outre la coopération entre les pouvoirs législatifs et exécutifs, notre Cour a souligné la nécessité pour les cours supérieures des provinces d’adopter un esprit de courtoisie sur le plan décisionnel. Un degré de coopération nationale entre elles est </w:t>
      </w:r>
      <w:r w:rsidRPr="00C328A2">
        <w:rPr>
          <w:rFonts w:cs="Times New Roman"/>
          <w:lang w:val="fr-CA"/>
        </w:rPr>
        <w:lastRenderedPageBreak/>
        <w:t>essentiel au sein de notre fédération dans l’intérêt de la justice en ce 21</w:t>
      </w:r>
      <w:r w:rsidRPr="00C328A2">
        <w:rPr>
          <w:rFonts w:cs="Times New Roman"/>
          <w:vertAlign w:val="superscript"/>
          <w:lang w:val="fr-CA"/>
        </w:rPr>
        <w:t>e</w:t>
      </w:r>
      <w:r w:rsidRPr="00C328A2">
        <w:rPr>
          <w:rFonts w:cs="Times New Roman"/>
          <w:lang w:val="fr-CA"/>
        </w:rPr>
        <w:t xml:space="preserve"> siècle (voir, p. ex., </w:t>
      </w:r>
      <w:r w:rsidRPr="00C328A2">
        <w:rPr>
          <w:rFonts w:cs="Times New Roman"/>
          <w:i/>
          <w:lang w:val="fr-CA"/>
        </w:rPr>
        <w:t>Morguard</w:t>
      </w:r>
      <w:r w:rsidRPr="00C328A2">
        <w:rPr>
          <w:rFonts w:cs="Times New Roman"/>
          <w:lang w:val="fr-CA"/>
        </w:rPr>
        <w:t>, p. 1099</w:t>
      </w:r>
      <w:r w:rsidRPr="00C328A2">
        <w:rPr>
          <w:rFonts w:cs="Times New Roman"/>
          <w:lang w:val="fr-CA"/>
        </w:rPr>
        <w:noBreakHyphen/>
        <w:t xml:space="preserve">1100; </w:t>
      </w:r>
      <w:r w:rsidRPr="00C328A2">
        <w:rPr>
          <w:rFonts w:cs="Times New Roman"/>
          <w:i/>
          <w:lang w:val="fr-CA"/>
        </w:rPr>
        <w:t>Hunt</w:t>
      </w:r>
      <w:r w:rsidRPr="00C328A2">
        <w:rPr>
          <w:rFonts w:cs="Times New Roman"/>
          <w:lang w:val="fr-CA"/>
        </w:rPr>
        <w:t>, p. 324</w:t>
      </w:r>
      <w:r w:rsidRPr="00C328A2">
        <w:rPr>
          <w:rFonts w:cs="Times New Roman"/>
          <w:lang w:val="fr-CA"/>
        </w:rPr>
        <w:noBreakHyphen/>
        <w:t xml:space="preserve">325; </w:t>
      </w:r>
      <w:r w:rsidRPr="00C328A2">
        <w:rPr>
          <w:rFonts w:cs="Times New Roman"/>
          <w:i/>
          <w:iCs/>
          <w:lang w:val="fr-CA"/>
        </w:rPr>
        <w:t>Endean c. Colombie</w:t>
      </w:r>
      <w:r w:rsidRPr="00C328A2">
        <w:rPr>
          <w:rFonts w:cs="Times New Roman"/>
          <w:i/>
          <w:iCs/>
          <w:lang w:val="fr-CA"/>
        </w:rPr>
        <w:noBreakHyphen/>
        <w:t>Britannique</w:t>
      </w:r>
      <w:r w:rsidRPr="00C328A2">
        <w:rPr>
          <w:rFonts w:cs="Times New Roman"/>
          <w:lang w:val="fr-CA"/>
        </w:rPr>
        <w:t>, 2016 CSC 42, [2016] 2 R.C.S. 162, par. 4, 17 et 58). Notre Cour a statué que, compte tenu de la qualité comparable de la justice offerte par nos tribunaux et des nombreux aspects de la vie moderne qui transcendent les frontières provinciales, les tribunaux canadiens se devaient une reconnaissance totale mutuelle, et que cet impératif constitutionnel s’appliquait chaque fois qu’il existe un lien réel et substantiel entre l’objet de l’action et le ressort où elle est intentée (</w:t>
      </w:r>
      <w:r w:rsidRPr="00C328A2">
        <w:rPr>
          <w:rFonts w:cs="Times New Roman"/>
          <w:i/>
          <w:lang w:val="fr-CA"/>
        </w:rPr>
        <w:t>Hunt</w:t>
      </w:r>
      <w:r w:rsidRPr="00C328A2">
        <w:rPr>
          <w:rFonts w:cs="Times New Roman"/>
          <w:lang w:val="fr-CA"/>
        </w:rPr>
        <w:t xml:space="preserve">, p. 324; voir aussi </w:t>
      </w:r>
      <w:r w:rsidRPr="00C328A2">
        <w:rPr>
          <w:rFonts w:cs="Times New Roman"/>
          <w:i/>
          <w:lang w:val="fr-CA"/>
        </w:rPr>
        <w:t>Sharp c. Autorité des marchés financiers</w:t>
      </w:r>
      <w:r w:rsidRPr="00C328A2">
        <w:rPr>
          <w:rFonts w:cs="Times New Roman"/>
          <w:lang w:val="fr-CA"/>
        </w:rPr>
        <w:t>, 2023 CSC 29, par. 110</w:t>
      </w:r>
      <w:r w:rsidRPr="00C328A2">
        <w:rPr>
          <w:rFonts w:cs="Times New Roman"/>
          <w:lang w:val="fr-CA"/>
        </w:rPr>
        <w:noBreakHyphen/>
        <w:t>122).</w:t>
      </w:r>
    </w:p>
    <w:p w14:paraId="18E4AC96"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Une bonne coopération est par conséquent nécessaire entre les organes législatif, exécutif et judiciaire de l’État dans l’ordre constitutionnel de notre pays. Dans l’analyse qui suit, j’explique pourquoi le mécanisme choisi par la province de la Colombie</w:t>
      </w:r>
      <w:r w:rsidRPr="00C328A2">
        <w:rPr>
          <w:rFonts w:cs="Times New Roman"/>
          <w:lang w:val="fr-CA"/>
        </w:rPr>
        <w:noBreakHyphen/>
        <w:t>Britannique pour faciliter cette coopération est constitutionnellement valide.</w:t>
      </w:r>
    </w:p>
    <w:p w14:paraId="17BDB2E3" w14:textId="77777777" w:rsidR="00C328A2" w:rsidRPr="00C328A2" w:rsidRDefault="00C328A2" w:rsidP="00C328A2">
      <w:pPr>
        <w:pStyle w:val="Title2LevelTitre2Niveau"/>
        <w:widowControl w:val="0"/>
        <w:spacing w:before="0"/>
        <w:rPr>
          <w:rFonts w:cs="Times New Roman"/>
          <w:lang w:val="fr-CA"/>
        </w:rPr>
      </w:pPr>
      <w:r w:rsidRPr="00C328A2">
        <w:rPr>
          <w:rFonts w:cs="Times New Roman"/>
          <w:lang w:val="fr-CA"/>
        </w:rPr>
        <w:t>Dispositions législatives applicables</w:t>
      </w:r>
    </w:p>
    <w:p w14:paraId="63847160" w14:textId="77777777" w:rsidR="00C328A2" w:rsidRPr="00C328A2" w:rsidRDefault="00C328A2" w:rsidP="00C328A2">
      <w:pPr>
        <w:pStyle w:val="ParaNoNdepar-AltN"/>
        <w:widowControl w:val="0"/>
        <w:spacing w:before="0"/>
        <w:rPr>
          <w:rFonts w:cs="Times New Roman"/>
          <w:lang w:val="fr-CA"/>
        </w:rPr>
      </w:pPr>
      <w:r w:rsidRPr="00C328A2">
        <w:rPr>
          <w:rFonts w:cs="Times New Roman"/>
          <w:lang w:val="fr-CA"/>
        </w:rPr>
        <w:t>L’article 11 est la seule disposition de l’</w:t>
      </w:r>
      <w:r w:rsidRPr="00C328A2">
        <w:rPr>
          <w:rFonts w:cs="Times New Roman"/>
          <w:i/>
          <w:lang w:val="fr-CA"/>
        </w:rPr>
        <w:t>ORA</w:t>
      </w:r>
      <w:r w:rsidRPr="00C328A2">
        <w:rPr>
          <w:rFonts w:cs="Times New Roman"/>
          <w:lang w:val="fr-CA"/>
        </w:rPr>
        <w:t xml:space="preserve"> que contestent les appelantes. En voici le texte :</w:t>
      </w:r>
    </w:p>
    <w:p w14:paraId="6AFE5194" w14:textId="77777777" w:rsidR="00C328A2" w:rsidRPr="00C328A2" w:rsidRDefault="00C328A2" w:rsidP="00C328A2">
      <w:pPr>
        <w:pStyle w:val="Paragraphedeliste"/>
        <w:spacing w:after="240"/>
        <w:ind w:left="1170" w:hanging="360"/>
        <w:contextualSpacing w:val="0"/>
        <w:jc w:val="both"/>
      </w:pPr>
      <w:bookmarkStart w:id="21" w:name="_Hlk175132083"/>
      <w:r w:rsidRPr="00C328A2">
        <w:tab/>
        <w:t>[</w:t>
      </w:r>
      <w:r w:rsidRPr="00C328A2">
        <w:rPr>
          <w:smallCaps/>
        </w:rPr>
        <w:t>traduction</w:t>
      </w:r>
      <w:r w:rsidRPr="00C328A2">
        <w:t>]</w:t>
      </w:r>
    </w:p>
    <w:p w14:paraId="398C9593" w14:textId="77777777" w:rsidR="00C328A2" w:rsidRPr="00C328A2" w:rsidRDefault="00C328A2" w:rsidP="00C328A2">
      <w:pPr>
        <w:pStyle w:val="Paragraphedeliste"/>
        <w:tabs>
          <w:tab w:val="left" w:pos="1890"/>
        </w:tabs>
        <w:spacing w:after="240"/>
        <w:ind w:left="1890" w:hanging="720"/>
        <w:contextualSpacing w:val="0"/>
        <w:jc w:val="both"/>
      </w:pPr>
      <w:r w:rsidRPr="00C328A2">
        <w:rPr>
          <w:b/>
        </w:rPr>
        <w:t>11</w:t>
      </w:r>
      <w:r w:rsidRPr="00C328A2">
        <w:t xml:space="preserve"> (1)</w:t>
      </w:r>
      <w:r w:rsidRPr="00C328A2">
        <w:tab/>
        <w:t>Si le gouvernement a introduit une instance à l’égard d’une faute liée aux opioïdes et que l’instance est en cours à la date d’entrée en vigueur du présent article :</w:t>
      </w:r>
    </w:p>
    <w:p w14:paraId="6152F726" w14:textId="77777777" w:rsidR="00C328A2" w:rsidRPr="00C328A2" w:rsidRDefault="00C328A2" w:rsidP="00C328A2">
      <w:pPr>
        <w:pStyle w:val="Paragraphedeliste"/>
        <w:numPr>
          <w:ilvl w:val="4"/>
          <w:numId w:val="1"/>
        </w:numPr>
        <w:tabs>
          <w:tab w:val="left" w:pos="2250"/>
        </w:tabs>
        <w:spacing w:after="240"/>
        <w:ind w:left="2245" w:hanging="357"/>
        <w:contextualSpacing w:val="0"/>
        <w:jc w:val="both"/>
      </w:pPr>
      <w:r w:rsidRPr="00C328A2">
        <w:t>l’instance se poursuit conformément à la présente loi;</w:t>
      </w:r>
    </w:p>
    <w:p w14:paraId="46E06956" w14:textId="77777777" w:rsidR="00C328A2" w:rsidRPr="00C328A2" w:rsidRDefault="00C328A2" w:rsidP="00C328A2">
      <w:pPr>
        <w:pStyle w:val="Paragraphedeliste"/>
        <w:numPr>
          <w:ilvl w:val="4"/>
          <w:numId w:val="1"/>
        </w:numPr>
        <w:spacing w:after="240"/>
        <w:ind w:left="2250"/>
        <w:contextualSpacing w:val="0"/>
        <w:jc w:val="both"/>
      </w:pPr>
      <w:r w:rsidRPr="00C328A2">
        <w:lastRenderedPageBreak/>
        <w:t xml:space="preserve">pour l’application de l’article 4 de la </w:t>
      </w:r>
      <w:r w:rsidRPr="00C328A2">
        <w:rPr>
          <w:i/>
        </w:rPr>
        <w:t>Class Proceedings Act</w:t>
      </w:r>
      <w:r w:rsidRPr="00C328A2">
        <w:t>, le gouvernement peut intenter une action au nom d’un groupe formé :</w:t>
      </w:r>
    </w:p>
    <w:p w14:paraId="2A35DDBD" w14:textId="77777777" w:rsidR="00C328A2" w:rsidRPr="00C328A2" w:rsidRDefault="00C328A2" w:rsidP="00C328A2">
      <w:pPr>
        <w:pStyle w:val="Paragraphedeliste"/>
        <w:numPr>
          <w:ilvl w:val="5"/>
          <w:numId w:val="1"/>
        </w:numPr>
        <w:spacing w:after="240"/>
        <w:ind w:left="2610"/>
        <w:contextualSpacing w:val="0"/>
        <w:jc w:val="both"/>
      </w:pPr>
      <w:r w:rsidRPr="00C328A2">
        <w:t>d’une part, soit du gouvernement du Canada, soit de celui d’un ressort canadien, soit de plusieurs gouvernements,</w:t>
      </w:r>
    </w:p>
    <w:p w14:paraId="6F8858CD" w14:textId="77777777" w:rsidR="00C328A2" w:rsidRPr="00C328A2" w:rsidRDefault="00C328A2" w:rsidP="00C328A2">
      <w:pPr>
        <w:pStyle w:val="Paragraphedeliste"/>
        <w:numPr>
          <w:ilvl w:val="5"/>
          <w:numId w:val="1"/>
        </w:numPr>
        <w:spacing w:after="240"/>
        <w:ind w:left="2606"/>
        <w:contextualSpacing w:val="0"/>
        <w:jc w:val="both"/>
      </w:pPr>
      <w:r w:rsidRPr="00C328A2">
        <w:t>d’autre part, d’un organisme gouvernemental de paiement fédéral ou provincial qui rembourse le coût de services de la nature de services de soins de santé au sens de la présente loi;</w:t>
      </w:r>
    </w:p>
    <w:p w14:paraId="5CC392B4" w14:textId="77777777" w:rsidR="00C328A2" w:rsidRPr="00C328A2" w:rsidRDefault="00C328A2" w:rsidP="00C328A2">
      <w:pPr>
        <w:pStyle w:val="Paragraphedeliste"/>
        <w:numPr>
          <w:ilvl w:val="4"/>
          <w:numId w:val="1"/>
        </w:numPr>
        <w:spacing w:after="240"/>
        <w:ind w:left="2250"/>
        <w:contextualSpacing w:val="0"/>
        <w:jc w:val="both"/>
      </w:pPr>
      <w:r w:rsidRPr="00C328A2">
        <w:t>les procédures terminées et les ordonnances rendues avant l’entrée en vigueur du présent article continuent de produire leurs effets sauf dans l’un ou l’autre des cas suivants :</w:t>
      </w:r>
    </w:p>
    <w:p w14:paraId="55DFE253" w14:textId="77777777" w:rsidR="00C328A2" w:rsidRPr="00C328A2" w:rsidRDefault="00C328A2" w:rsidP="00C328A2">
      <w:pPr>
        <w:pStyle w:val="Paragraphedeliste"/>
        <w:numPr>
          <w:ilvl w:val="5"/>
          <w:numId w:val="19"/>
        </w:numPr>
        <w:spacing w:after="240"/>
        <w:ind w:left="2610"/>
        <w:contextualSpacing w:val="0"/>
        <w:jc w:val="both"/>
      </w:pPr>
      <w:r w:rsidRPr="00C328A2">
        <w:t>elles seraient incompatibles avec la présente loi,</w:t>
      </w:r>
    </w:p>
    <w:p w14:paraId="08FA6951" w14:textId="77777777" w:rsidR="00C328A2" w:rsidRPr="00C328A2" w:rsidRDefault="00C328A2" w:rsidP="00C328A2">
      <w:pPr>
        <w:pStyle w:val="Paragraphedeliste"/>
        <w:numPr>
          <w:ilvl w:val="5"/>
          <w:numId w:val="1"/>
        </w:numPr>
        <w:spacing w:after="240"/>
        <w:ind w:left="2610"/>
        <w:contextualSpacing w:val="0"/>
        <w:jc w:val="both"/>
      </w:pPr>
      <w:r w:rsidRPr="00C328A2">
        <w:t>une ordonnance à l’effet contraire est rendue par le tribunal;</w:t>
      </w:r>
    </w:p>
    <w:p w14:paraId="09A6EFC4" w14:textId="77777777" w:rsidR="00C328A2" w:rsidRPr="00C328A2" w:rsidRDefault="00C328A2" w:rsidP="00C328A2">
      <w:pPr>
        <w:pStyle w:val="Paragraphedeliste"/>
        <w:numPr>
          <w:ilvl w:val="4"/>
          <w:numId w:val="1"/>
        </w:numPr>
        <w:spacing w:after="240"/>
        <w:ind w:left="2250"/>
        <w:contextualSpacing w:val="0"/>
        <w:jc w:val="both"/>
      </w:pPr>
      <w:r w:rsidRPr="00C328A2">
        <w:t>une procédure amorcée mais non terminée avant l’entrée en vigueur du présent article doit être menée à terme conformément à la présente loi.</w:t>
      </w:r>
    </w:p>
    <w:p w14:paraId="6448F38A" w14:textId="77777777" w:rsidR="00C328A2" w:rsidRPr="00C328A2" w:rsidRDefault="00C328A2" w:rsidP="00C328A2">
      <w:pPr>
        <w:pStyle w:val="Citation-AltC"/>
        <w:ind w:left="1886" w:hanging="360"/>
        <w:contextualSpacing w:val="0"/>
        <w:rPr>
          <w:lang w:val="fr-CA"/>
        </w:rPr>
      </w:pPr>
      <w:r w:rsidRPr="00C328A2">
        <w:rPr>
          <w:lang w:val="fr-CA"/>
        </w:rPr>
        <w:t>(2)</w:t>
      </w:r>
      <w:r w:rsidRPr="00C328A2">
        <w:rPr>
          <w:lang w:val="fr-CA"/>
        </w:rPr>
        <w:tab/>
        <w:t xml:space="preserve">L’alinéa (1) (b) du présent article n’a pas pour effet d’empêcher un membre du groupe décrit dans cette disposition de s’exclure de l’instance conformément à l’article 16 de la </w:t>
      </w:r>
      <w:r w:rsidRPr="00C328A2">
        <w:rPr>
          <w:i/>
          <w:lang w:val="fr-CA"/>
        </w:rPr>
        <w:t>Class Proceedings Act</w:t>
      </w:r>
      <w:r w:rsidRPr="00C328A2">
        <w:rPr>
          <w:lang w:val="fr-CA"/>
        </w:rPr>
        <w:t>.</w:t>
      </w:r>
    </w:p>
    <w:p w14:paraId="5DB3DDF5" w14:textId="77777777" w:rsidR="00C328A2" w:rsidRPr="00C328A2" w:rsidRDefault="00C328A2" w:rsidP="00C328A2">
      <w:pPr>
        <w:pStyle w:val="ParaNoNdepar-AltN"/>
        <w:spacing w:before="0"/>
        <w:rPr>
          <w:rFonts w:cs="Times New Roman"/>
          <w:lang w:val="fr-CA"/>
        </w:rPr>
      </w:pPr>
      <w:r w:rsidRPr="00C328A2">
        <w:rPr>
          <w:rFonts w:cs="Times New Roman"/>
          <w:lang w:val="fr-CA"/>
        </w:rPr>
        <w:t xml:space="preserve">L’article 4 de la </w:t>
      </w:r>
      <w:r w:rsidRPr="00C328A2">
        <w:rPr>
          <w:rFonts w:cs="Times New Roman"/>
          <w:i/>
          <w:lang w:val="fr-CA"/>
        </w:rPr>
        <w:t>CPA</w:t>
      </w:r>
      <w:r w:rsidRPr="00C328A2">
        <w:rPr>
          <w:rFonts w:cs="Times New Roman"/>
          <w:lang w:val="fr-CA"/>
        </w:rPr>
        <w:t>, qui est mentionné à l’al. 11(1)(b) de l’</w:t>
      </w:r>
      <w:r w:rsidRPr="00C328A2">
        <w:rPr>
          <w:rFonts w:cs="Times New Roman"/>
          <w:i/>
          <w:lang w:val="fr-CA"/>
        </w:rPr>
        <w:t>ORA</w:t>
      </w:r>
      <w:r w:rsidRPr="00C328A2">
        <w:rPr>
          <w:rFonts w:cs="Times New Roman"/>
          <w:lang w:val="fr-CA"/>
        </w:rPr>
        <w:t>, énumère en ses par. (1) et (2) les conditions qui doivent être réunies pour que le tribunal autorise le recours collectif. Les paragraphes (3) et (4) traitent expressément des facteurs dont le tribunal doit tenir compte lorsque le recours collectif projeté concerne le même objet que celui visé par une instance introduite dans une autre province, notamment en se demandant s’il serait préférable que les questions communes soulevées par les demandeurs soient réglées dans le cadre de l’instance introduite dans l’autre province plutôt que devant les tribunaux de la Colombie</w:t>
      </w:r>
      <w:r w:rsidRPr="00C328A2">
        <w:rPr>
          <w:rFonts w:cs="Times New Roman"/>
          <w:lang w:val="fr-CA"/>
        </w:rPr>
        <w:noBreakHyphen/>
        <w:t>Britannique.</w:t>
      </w:r>
    </w:p>
    <w:bookmarkEnd w:id="21"/>
    <w:p w14:paraId="5856DE43" w14:textId="77777777" w:rsidR="00C328A2" w:rsidRPr="00C328A2" w:rsidRDefault="00C328A2" w:rsidP="00C328A2">
      <w:pPr>
        <w:pStyle w:val="ParaNoNdepar-AltN"/>
        <w:rPr>
          <w:rFonts w:cs="Times New Roman"/>
          <w:lang w:val="fr-CA"/>
        </w:rPr>
      </w:pPr>
      <w:r w:rsidRPr="00C328A2">
        <w:rPr>
          <w:rFonts w:cs="Times New Roman"/>
          <w:lang w:val="fr-CA"/>
        </w:rPr>
        <w:lastRenderedPageBreak/>
        <w:t xml:space="preserve">L’article 16 de la </w:t>
      </w:r>
      <w:r w:rsidRPr="00C328A2">
        <w:rPr>
          <w:rFonts w:cs="Times New Roman"/>
          <w:i/>
          <w:lang w:val="fr-CA"/>
        </w:rPr>
        <w:t>CPA</w:t>
      </w:r>
      <w:r w:rsidRPr="00C328A2">
        <w:rPr>
          <w:rFonts w:cs="Times New Roman"/>
          <w:lang w:val="fr-CA"/>
        </w:rPr>
        <w:t>, qui est mentionné au par. 11(2) de l’</w:t>
      </w:r>
      <w:r w:rsidRPr="00C328A2">
        <w:rPr>
          <w:rFonts w:cs="Times New Roman"/>
          <w:i/>
          <w:lang w:val="fr-CA"/>
        </w:rPr>
        <w:t>ORA</w:t>
      </w:r>
      <w:r w:rsidRPr="00C328A2">
        <w:rPr>
          <w:rFonts w:cs="Times New Roman"/>
          <w:lang w:val="fr-CA"/>
        </w:rPr>
        <w:t>, dispose :</w:t>
      </w:r>
    </w:p>
    <w:p w14:paraId="17999D83" w14:textId="77777777" w:rsidR="00C328A2" w:rsidRPr="00C328A2" w:rsidRDefault="00C328A2" w:rsidP="00C328A2">
      <w:pPr>
        <w:pStyle w:val="Citation-AltC"/>
        <w:spacing w:after="240"/>
        <w:ind w:left="1170" w:hanging="356"/>
        <w:contextualSpacing w:val="0"/>
        <w:rPr>
          <w:bCs/>
          <w:smallCaps/>
          <w:lang w:val="fr-CA"/>
        </w:rPr>
      </w:pPr>
      <w:r w:rsidRPr="00C328A2">
        <w:rPr>
          <w:bCs/>
          <w:smallCaps/>
          <w:lang w:val="fr-CA"/>
        </w:rPr>
        <w:tab/>
        <w:t>[traduction]</w:t>
      </w:r>
    </w:p>
    <w:p w14:paraId="7B3C7703" w14:textId="77777777" w:rsidR="00C328A2" w:rsidRPr="00C328A2" w:rsidRDefault="00C328A2" w:rsidP="00C328A2">
      <w:pPr>
        <w:pStyle w:val="Citation-AltC"/>
        <w:ind w:left="1800" w:hanging="634"/>
        <w:contextualSpacing w:val="0"/>
        <w:rPr>
          <w:lang w:val="fr-CA"/>
        </w:rPr>
      </w:pPr>
      <w:r w:rsidRPr="00C328A2">
        <w:rPr>
          <w:b/>
          <w:lang w:val="fr-CA"/>
        </w:rPr>
        <w:t>16</w:t>
      </w:r>
      <w:r w:rsidRPr="00C328A2">
        <w:rPr>
          <w:lang w:val="fr-CA"/>
        </w:rPr>
        <w:t xml:space="preserve"> (1)</w:t>
      </w:r>
      <w:r w:rsidRPr="00C328A2">
        <w:rPr>
          <w:lang w:val="fr-CA"/>
        </w:rPr>
        <w:tab/>
        <w:t>Tout membre d’un groupe visé par un recours collectif peut s’en exclure de la façon et dans le délai indiqués dans l’ordonnance d’autorisation.</w:t>
      </w:r>
    </w:p>
    <w:p w14:paraId="59AEB8C8" w14:textId="77777777" w:rsidR="00C328A2" w:rsidRPr="00C328A2" w:rsidRDefault="00C328A2" w:rsidP="00C328A2">
      <w:pPr>
        <w:pStyle w:val="Title2LevelTitre2Niveau"/>
        <w:widowControl w:val="0"/>
        <w:spacing w:before="0"/>
        <w:rPr>
          <w:rFonts w:cs="Times New Roman"/>
          <w:iCs/>
          <w:lang w:val="fr-CA"/>
        </w:rPr>
      </w:pPr>
      <w:r w:rsidRPr="00C328A2">
        <w:rPr>
          <w:rFonts w:cs="Times New Roman"/>
          <w:iCs/>
          <w:lang w:val="fr-CA"/>
        </w:rPr>
        <w:t>Quelle est la caractérisation correcte de l’art. 11, compte tenu de son objet et de ses effets?</w:t>
      </w:r>
    </w:p>
    <w:p w14:paraId="1EF3B2E4"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Passons à la première étape du cadre d’analyse de l’arrêt</w:t>
      </w:r>
      <w:r w:rsidRPr="00C328A2">
        <w:rPr>
          <w:rFonts w:cs="Times New Roman"/>
          <w:i/>
          <w:lang w:val="fr-CA"/>
        </w:rPr>
        <w:t xml:space="preserve"> Imperial Tobacco</w:t>
      </w:r>
      <w:r w:rsidRPr="00C328A2">
        <w:rPr>
          <w:rFonts w:cs="Times New Roman"/>
          <w:lang w:val="fr-CA"/>
        </w:rPr>
        <w:t>. Il faut cerner le « caractère véritable » de l’art. 11, c’est-à-dire d’en dégager « l’objet principal ou encore la caractéristique dominante ou la plus importante » (</w:t>
      </w:r>
      <w:r w:rsidRPr="00C328A2">
        <w:rPr>
          <w:rFonts w:cs="Times New Roman"/>
          <w:i/>
          <w:lang w:val="fr-CA"/>
        </w:rPr>
        <w:t>Renvois relatifs à la LTPGES</w:t>
      </w:r>
      <w:r w:rsidRPr="00C328A2">
        <w:rPr>
          <w:rFonts w:cs="Times New Roman"/>
          <w:lang w:val="fr-CA"/>
        </w:rPr>
        <w:t>, par. 51). Le tribunal doit qualifier la disposition contestée en en faisant ressortir l’« idée maîtresse » (</w:t>
      </w:r>
      <w:r w:rsidRPr="00C328A2">
        <w:rPr>
          <w:rFonts w:cs="Times New Roman"/>
          <w:i/>
          <w:lang w:val="fr-CA"/>
        </w:rPr>
        <w:t>R. c. Morgentaler</w:t>
      </w:r>
      <w:r w:rsidRPr="00C328A2">
        <w:rPr>
          <w:rFonts w:cs="Times New Roman"/>
          <w:lang w:val="fr-CA"/>
        </w:rPr>
        <w:t>, [1993] 3 R.C.S. 463, p. 481</w:t>
      </w:r>
      <w:r w:rsidRPr="00C328A2">
        <w:rPr>
          <w:rFonts w:cs="Times New Roman"/>
          <w:lang w:val="fr-CA"/>
        </w:rPr>
        <w:noBreakHyphen/>
        <w:t>483), « avec le plus de précision possible », sans égard à ses aspects accessoires ou secondaires (</w:t>
      </w:r>
      <w:r w:rsidRPr="00C328A2">
        <w:rPr>
          <w:rFonts w:cs="Times New Roman"/>
          <w:i/>
          <w:lang w:val="fr-CA"/>
        </w:rPr>
        <w:t>Renvois relatifs à la LTPGES</w:t>
      </w:r>
      <w:r w:rsidRPr="00C328A2">
        <w:rPr>
          <w:rFonts w:cs="Times New Roman"/>
          <w:lang w:val="fr-CA"/>
        </w:rPr>
        <w:t xml:space="preserve">, par. 52; voir aussi </w:t>
      </w:r>
      <w:r w:rsidRPr="00C328A2">
        <w:rPr>
          <w:rFonts w:cs="Times New Roman"/>
          <w:i/>
          <w:lang w:val="fr-CA"/>
        </w:rPr>
        <w:t>Imperial Tobacco</w:t>
      </w:r>
      <w:r w:rsidRPr="00C328A2">
        <w:rPr>
          <w:rFonts w:cs="Times New Roman"/>
          <w:lang w:val="fr-CA"/>
        </w:rPr>
        <w:t>, par. 28).</w:t>
      </w:r>
    </w:p>
    <w:p w14:paraId="06228D54"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Pour procéder à cette opération de qualification, </w:t>
      </w:r>
      <w:bookmarkStart w:id="22" w:name="_Hlk183184731"/>
      <w:r w:rsidRPr="00C328A2">
        <w:rPr>
          <w:rFonts w:cs="Times New Roman"/>
          <w:lang w:val="fr-CA"/>
        </w:rPr>
        <w:t>le tribunal examine l’objet et les effets de la loi. Pour déterminer l’objet d’une loi, le tribunal fait appel à des éléments de preuve intrinsèques — c’est</w:t>
      </w:r>
      <w:r w:rsidRPr="00C328A2">
        <w:rPr>
          <w:rFonts w:cs="Times New Roman"/>
          <w:lang w:val="fr-CA"/>
        </w:rPr>
        <w:noBreakHyphen/>
        <w:t>à</w:t>
      </w:r>
      <w:r w:rsidRPr="00C328A2">
        <w:rPr>
          <w:rFonts w:cs="Times New Roman"/>
          <w:lang w:val="fr-CA"/>
        </w:rPr>
        <w:noBreakHyphen/>
        <w:t xml:space="preserve">dire au texte même de la loi — ainsi qu’à des éléments de preuve extrinsèques </w:t>
      </w:r>
      <w:bookmarkEnd w:id="22"/>
      <w:r w:rsidRPr="00C328A2">
        <w:rPr>
          <w:rFonts w:cs="Times New Roman"/>
          <w:lang w:val="fr-CA"/>
        </w:rPr>
        <w:t>— y compris les débats parlementaires, les procès</w:t>
      </w:r>
      <w:r w:rsidRPr="00C328A2">
        <w:rPr>
          <w:rFonts w:cs="Times New Roman"/>
          <w:lang w:val="fr-CA"/>
        </w:rPr>
        <w:noBreakHyphen/>
        <w:t>verbaux de comités parlementaires et les publications gouvernementales pertinentes (</w:t>
      </w:r>
      <w:r w:rsidRPr="00C328A2">
        <w:rPr>
          <w:rFonts w:cs="Times New Roman"/>
          <w:i/>
          <w:lang w:val="fr-CA"/>
        </w:rPr>
        <w:t>Murray-Hall c. Québec (Procureur général)</w:t>
      </w:r>
      <w:r w:rsidRPr="00C328A2">
        <w:rPr>
          <w:rFonts w:cs="Times New Roman"/>
          <w:lang w:val="fr-CA"/>
        </w:rPr>
        <w:t xml:space="preserve">, 2023 CSC 10, par. 25). Pour </w:t>
      </w:r>
      <w:r w:rsidRPr="00C328A2">
        <w:rPr>
          <w:rFonts w:cs="Times New Roman"/>
          <w:lang w:val="fr-CA"/>
        </w:rPr>
        <w:lastRenderedPageBreak/>
        <w:t>déterminer les effets d’une loi, on peut tenir compte tant de ses effets juridiques — qui correspondent aux effets directs des dispositions de la loi elle</w:t>
      </w:r>
      <w:r w:rsidRPr="00C328A2">
        <w:rPr>
          <w:rFonts w:cs="Times New Roman"/>
          <w:lang w:val="fr-CA"/>
        </w:rPr>
        <w:noBreakHyphen/>
        <w:t>même — que de ses effets pratiques — qui découlent de son application (</w:t>
      </w:r>
      <w:r w:rsidRPr="00C328A2">
        <w:rPr>
          <w:rFonts w:cs="Times New Roman"/>
          <w:i/>
          <w:iCs/>
          <w:lang w:val="fr-CA"/>
        </w:rPr>
        <w:t>Renvoi relatif à la Loi sur la non</w:t>
      </w:r>
      <w:r w:rsidRPr="00C328A2">
        <w:rPr>
          <w:rFonts w:cs="Times New Roman"/>
          <w:i/>
          <w:iCs/>
          <w:lang w:val="fr-CA"/>
        </w:rPr>
        <w:noBreakHyphen/>
        <w:t>discrimination génétique</w:t>
      </w:r>
      <w:r w:rsidRPr="00C328A2">
        <w:rPr>
          <w:rFonts w:cs="Times New Roman"/>
          <w:lang w:val="fr-CA"/>
        </w:rPr>
        <w:t>, 2020 CSC 17, [2020] 2 R.C.S. 283, par. 51). Il s’agit d’une « opération essentiellement interprétative [qui] ne se veut ni technique, ni formaliste » (</w:t>
      </w:r>
      <w:r w:rsidRPr="00C328A2">
        <w:rPr>
          <w:rFonts w:cs="Times New Roman"/>
          <w:i/>
          <w:lang w:val="fr-CA"/>
        </w:rPr>
        <w:t>Murray-Hall</w:t>
      </w:r>
      <w:r w:rsidRPr="00C328A2">
        <w:rPr>
          <w:rFonts w:cs="Times New Roman"/>
          <w:lang w:val="fr-CA"/>
        </w:rPr>
        <w:t>, par. 24).</w:t>
      </w:r>
    </w:p>
    <w:p w14:paraId="76948157"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 tribunal aborde la question de la validité de la disposition législative en appliquant la présomption de constitutionnalité en matière d’interprétation législative selon laquelle le législateur est présumé ne pas avoir eu l’intention d’outrepasser ses pouvoirs, si la disposition en question peut recevoir un sens qui en limite la portée à ses champs de compétence (</w:t>
      </w:r>
      <w:r w:rsidRPr="00C328A2">
        <w:rPr>
          <w:rFonts w:cs="Times New Roman"/>
          <w:i/>
          <w:iCs/>
          <w:lang w:val="fr-CA"/>
        </w:rPr>
        <w:t>Renvoi relatif à la Loi sur l’évaluation d’impact</w:t>
      </w:r>
      <w:r w:rsidRPr="00C328A2">
        <w:rPr>
          <w:rFonts w:cs="Times New Roman"/>
          <w:lang w:val="fr-CA"/>
        </w:rPr>
        <w:t>, 2023 CSC 23, par. 72). Cette présomption est particulièrement forte lorsque les procureurs généraux des ressorts touchés par la loi interviennent pour en défendre la validité (</w:t>
      </w:r>
      <w:r w:rsidRPr="00C328A2">
        <w:rPr>
          <w:rFonts w:cs="Times New Roman"/>
          <w:i/>
          <w:iCs/>
          <w:lang w:val="fr-CA"/>
        </w:rPr>
        <w:t>Bande Kitkatla c. Colombie-Britannique (Ministre des Petites et moyennes entreprises, du Tourisme et de la Culture)</w:t>
      </w:r>
      <w:r w:rsidRPr="00C328A2">
        <w:rPr>
          <w:rFonts w:cs="Times New Roman"/>
          <w:lang w:val="fr-CA"/>
        </w:rPr>
        <w:t xml:space="preserve">, 2002 CSC 31, [2002] 2 R.C.S. 146, par. 73; </w:t>
      </w:r>
      <w:r w:rsidRPr="00C328A2">
        <w:rPr>
          <w:rFonts w:cs="Times New Roman"/>
          <w:i/>
          <w:iCs/>
          <w:lang w:val="fr-CA"/>
        </w:rPr>
        <w:t>Goodwin c. Colombie</w:t>
      </w:r>
      <w:r w:rsidRPr="00C328A2">
        <w:rPr>
          <w:rFonts w:cs="Times New Roman"/>
          <w:i/>
          <w:iCs/>
          <w:lang w:val="fr-CA"/>
        </w:rPr>
        <w:noBreakHyphen/>
        <w:t>Britannique (Superintendent of Motor Vehicles</w:t>
      </w:r>
      <w:r w:rsidRPr="00C328A2">
        <w:rPr>
          <w:rFonts w:cs="Times New Roman"/>
          <w:i/>
          <w:lang w:val="fr-CA"/>
        </w:rPr>
        <w:t>)</w:t>
      </w:r>
      <w:r w:rsidRPr="00C328A2">
        <w:rPr>
          <w:rFonts w:cs="Times New Roman"/>
          <w:lang w:val="fr-CA"/>
        </w:rPr>
        <w:t xml:space="preserve">, 2015 CSC 46, [2015] 3 R.C.S. 250, par. 33; </w:t>
      </w:r>
      <w:r w:rsidRPr="00C328A2">
        <w:rPr>
          <w:rFonts w:cs="Times New Roman"/>
          <w:i/>
          <w:iCs/>
          <w:lang w:val="fr-CA"/>
        </w:rPr>
        <w:t>SEFPO c. Ontario (Procureur général)</w:t>
      </w:r>
      <w:r w:rsidRPr="00C328A2">
        <w:rPr>
          <w:rFonts w:cs="Times New Roman"/>
          <w:lang w:val="fr-CA"/>
        </w:rPr>
        <w:t>, [1987] 2 R.C.S. 2, p. 19</w:t>
      </w:r>
      <w:r w:rsidRPr="00C328A2">
        <w:rPr>
          <w:rFonts w:cs="Times New Roman"/>
          <w:lang w:val="fr-CA"/>
        </w:rPr>
        <w:noBreakHyphen/>
        <w:t>20). Cela étant, le rôle du tribunal consiste à statuer sur la constitutionnalité de la loi, et non à s’en remettre tout simplement à l’opinion d’un procureur général quant à sa validité.</w:t>
      </w:r>
    </w:p>
    <w:p w14:paraId="3A32DECB" w14:textId="77777777" w:rsidR="00C328A2" w:rsidRPr="00C328A2" w:rsidRDefault="00C328A2" w:rsidP="00C328A2">
      <w:pPr>
        <w:pStyle w:val="Title3LevelTitre3Niveau"/>
        <w:widowControl w:val="0"/>
        <w:spacing w:before="0"/>
        <w:ind w:hanging="612"/>
        <w:rPr>
          <w:rFonts w:cs="Times New Roman"/>
          <w:lang w:val="fr-CA"/>
        </w:rPr>
      </w:pPr>
      <w:r w:rsidRPr="00C328A2">
        <w:rPr>
          <w:rFonts w:cs="Times New Roman"/>
          <w:lang w:val="fr-CA"/>
        </w:rPr>
        <w:t>Quel est l’objet de l’art. 11?</w:t>
      </w:r>
    </w:p>
    <w:p w14:paraId="4C99D2B5"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lastRenderedPageBreak/>
        <w:t>Les appelantes exhortent notre Cour à conclure que l’art. 11 a pour objet de conférer à la Couronne du chef de la Colombie</w:t>
      </w:r>
      <w:r w:rsidRPr="00C328A2">
        <w:rPr>
          <w:rFonts w:cs="Times New Roman"/>
          <w:lang w:val="fr-CA"/>
        </w:rPr>
        <w:noBreakHyphen/>
        <w:t xml:space="preserve">Britannique un droit d’action qui lui permet d’agir dans le cadre d’un recours collectif à titre de représentante des demandeurs pour le compte </w:t>
      </w:r>
      <w:r w:rsidRPr="00C328A2">
        <w:rPr>
          <w:rFonts w:cs="Times New Roman"/>
          <w:szCs w:val="24"/>
          <w:lang w:val="fr-CA"/>
        </w:rPr>
        <w:t xml:space="preserve">d’un groupe composé d’« autres » gouvernements, étant donné que la </w:t>
      </w:r>
      <w:r w:rsidRPr="00C328A2">
        <w:rPr>
          <w:rFonts w:cs="Times New Roman"/>
          <w:i/>
          <w:szCs w:val="24"/>
          <w:lang w:val="fr-CA"/>
        </w:rPr>
        <w:t>CPA</w:t>
      </w:r>
      <w:r w:rsidRPr="00C328A2">
        <w:rPr>
          <w:rFonts w:cs="Times New Roman"/>
          <w:szCs w:val="24"/>
          <w:lang w:val="fr-CA"/>
        </w:rPr>
        <w:t xml:space="preserve"> ne lui permettrait à elle seule d’agir à ce titre. Puisque </w:t>
      </w:r>
      <w:r w:rsidRPr="00C328A2">
        <w:rPr>
          <w:rFonts w:cs="Times New Roman"/>
          <w:lang w:val="fr-CA"/>
        </w:rPr>
        <w:t>la Couronne n’est pas une « personne » comme l’exige cette loi, elle ne pourrait pas autrement agir comme demandeur dans un recours collectif. Les appelantes soutiennent que, comme l’art. 29 de l’</w:t>
      </w:r>
      <w:r w:rsidRPr="00C328A2">
        <w:rPr>
          <w:rFonts w:cs="Times New Roman"/>
          <w:i/>
          <w:lang w:val="fr-CA"/>
        </w:rPr>
        <w:t>Interpretation Act</w:t>
      </w:r>
      <w:r w:rsidRPr="00C328A2">
        <w:rPr>
          <w:rFonts w:cs="Times New Roman"/>
          <w:lang w:val="fr-CA"/>
        </w:rPr>
        <w:t xml:space="preserve">, R.S.B.C. 1996, c. 238, et l’art. 1 de la </w:t>
      </w:r>
      <w:r w:rsidRPr="00C328A2">
        <w:rPr>
          <w:rFonts w:cs="Times New Roman"/>
          <w:i/>
          <w:lang w:val="fr-CA"/>
        </w:rPr>
        <w:t>Crown Proceeding Act</w:t>
      </w:r>
      <w:r w:rsidRPr="00C328A2">
        <w:rPr>
          <w:rFonts w:cs="Times New Roman"/>
          <w:lang w:val="fr-CA"/>
        </w:rPr>
        <w:t xml:space="preserve">, R.S.B.C. 1996, c. 89, excluent tous les deux la Couronne de la définition d’une </w:t>
      </w:r>
      <w:r w:rsidRPr="00C328A2">
        <w:rPr>
          <w:rFonts w:cs="Times New Roman"/>
          <w:smallCaps/>
          <w:lang w:val="fr-CA"/>
        </w:rPr>
        <w:t>[traduction]</w:t>
      </w:r>
      <w:r w:rsidRPr="00C328A2">
        <w:rPr>
          <w:rFonts w:cs="Times New Roman"/>
          <w:lang w:val="fr-CA"/>
        </w:rPr>
        <w:t xml:space="preserve"> « personne », l’art. 11 a pour objet de conférer à la Couronne du chef de la Colombie</w:t>
      </w:r>
      <w:r w:rsidRPr="00C328A2">
        <w:rPr>
          <w:rFonts w:cs="Times New Roman"/>
          <w:lang w:val="fr-CA"/>
        </w:rPr>
        <w:noBreakHyphen/>
        <w:t xml:space="preserve">Britannique et à la Couronne du chef des autres provinces des droits substantiels qu’elles ne possédaient pas auparavant. Cet argument nous oblige à nous demander si, abstraction faite de l’art. 11, la Couronne est une « personne » ou fait partie </w:t>
      </w:r>
      <w:r w:rsidRPr="00C328A2">
        <w:rPr>
          <w:rFonts w:cs="Times New Roman"/>
          <w:smallCaps/>
          <w:lang w:val="fr-CA"/>
        </w:rPr>
        <w:t>[traduction]</w:t>
      </w:r>
      <w:r w:rsidRPr="00C328A2">
        <w:rPr>
          <w:rFonts w:cs="Times New Roman"/>
          <w:lang w:val="fr-CA"/>
        </w:rPr>
        <w:t xml:space="preserve"> « d’un groupe de personnes » au sens du par. 2(1) et de l’al. 4(1)(b) de la </w:t>
      </w:r>
      <w:r w:rsidRPr="00C328A2">
        <w:rPr>
          <w:rFonts w:cs="Times New Roman"/>
          <w:i/>
          <w:lang w:val="fr-CA"/>
        </w:rPr>
        <w:t>CPA</w:t>
      </w:r>
      <w:r w:rsidRPr="00C328A2">
        <w:rPr>
          <w:rFonts w:cs="Times New Roman"/>
          <w:lang w:val="fr-CA"/>
        </w:rPr>
        <w:t>.</w:t>
      </w:r>
    </w:p>
    <w:p w14:paraId="4435561A"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Je suis d’avis de ne pas retenir l’argument avancé par les appelantes sur l’objet de l’art. 11. </w:t>
      </w:r>
      <w:bookmarkStart w:id="23" w:name="_Hlk175142247"/>
      <w:r w:rsidRPr="00C328A2">
        <w:rPr>
          <w:rFonts w:cs="Times New Roman"/>
          <w:lang w:val="fr-CA"/>
        </w:rPr>
        <w:t>En droit anglo</w:t>
      </w:r>
      <w:r w:rsidRPr="00C328A2">
        <w:rPr>
          <w:rFonts w:cs="Times New Roman"/>
          <w:lang w:val="fr-CA"/>
        </w:rPr>
        <w:noBreakHyphen/>
        <w:t xml:space="preserve">canadien, </w:t>
      </w:r>
      <w:bookmarkStart w:id="24" w:name="_Hlk183420292"/>
      <w:r w:rsidRPr="00C328A2">
        <w:rPr>
          <w:rFonts w:cs="Times New Roman"/>
          <w:lang w:val="fr-CA"/>
        </w:rPr>
        <w:t>« la Couronne » (« </w:t>
      </w:r>
      <w:r w:rsidRPr="00C328A2">
        <w:rPr>
          <w:rFonts w:cs="Times New Roman"/>
          <w:i/>
          <w:iCs/>
          <w:lang w:val="fr-CA"/>
        </w:rPr>
        <w:t>the Crown </w:t>
      </w:r>
      <w:r w:rsidRPr="00C328A2">
        <w:rPr>
          <w:rFonts w:cs="Times New Roman"/>
          <w:lang w:val="fr-CA"/>
        </w:rPr>
        <w:t>») s’entend à la fois de la personnification de l’État et de la personne physique du souverain</w:t>
      </w:r>
      <w:bookmarkEnd w:id="24"/>
      <w:r w:rsidRPr="00C328A2">
        <w:rPr>
          <w:rFonts w:cs="Times New Roman"/>
          <w:lang w:val="fr-CA"/>
        </w:rPr>
        <w:t xml:space="preserve">, </w:t>
      </w:r>
      <w:bookmarkStart w:id="25" w:name="_Hlk183420478"/>
      <w:r w:rsidRPr="00C328A2">
        <w:rPr>
          <w:rFonts w:cs="Times New Roman"/>
          <w:lang w:val="fr-CA"/>
        </w:rPr>
        <w:t xml:space="preserve">Sa Majesté le Roi </w:t>
      </w:r>
      <w:bookmarkEnd w:id="25"/>
      <w:r w:rsidRPr="00C328A2">
        <w:rPr>
          <w:rFonts w:cs="Times New Roman"/>
          <w:lang w:val="fr-CA"/>
        </w:rPr>
        <w:t>(</w:t>
      </w:r>
      <w:r w:rsidRPr="00C328A2">
        <w:rPr>
          <w:rFonts w:cs="Times New Roman"/>
          <w:i/>
          <w:lang w:val="fr-CA"/>
        </w:rPr>
        <w:t>Procureur général du Québec c. Labrecque</w:t>
      </w:r>
      <w:r w:rsidRPr="00C328A2">
        <w:rPr>
          <w:rFonts w:cs="Times New Roman"/>
          <w:lang w:val="fr-CA"/>
        </w:rPr>
        <w:t xml:space="preserve">, [1980] 2 R.C.S. 1057, p. 1082; </w:t>
      </w:r>
      <w:r w:rsidRPr="00C328A2">
        <w:rPr>
          <w:rFonts w:cs="Times New Roman"/>
          <w:i/>
          <w:lang w:val="fr-CA"/>
        </w:rPr>
        <w:t xml:space="preserve">Verreault (J.E.) </w:t>
      </w:r>
      <w:r w:rsidRPr="00C328A2">
        <w:rPr>
          <w:rFonts w:cs="Times New Roman"/>
          <w:i/>
        </w:rPr>
        <w:t>&amp; Fils Ltée c. Procureur général (Québec)</w:t>
      </w:r>
      <w:r w:rsidRPr="00C328A2">
        <w:rPr>
          <w:rFonts w:cs="Times New Roman"/>
        </w:rPr>
        <w:t xml:space="preserve">, [1977] 1 R.C.S. 41, p. 47; P. W. Hogg, P. J. Monahan et W. K. Wright, </w:t>
      </w:r>
      <w:r w:rsidRPr="00C328A2">
        <w:rPr>
          <w:rFonts w:cs="Times New Roman"/>
          <w:i/>
        </w:rPr>
        <w:t>Liability of the Crown</w:t>
      </w:r>
      <w:r w:rsidRPr="00C328A2">
        <w:rPr>
          <w:rFonts w:cs="Times New Roman"/>
        </w:rPr>
        <w:t xml:space="preserve"> (4</w:t>
      </w:r>
      <w:r w:rsidRPr="00C328A2">
        <w:rPr>
          <w:rFonts w:cs="Times New Roman"/>
          <w:vertAlign w:val="superscript"/>
        </w:rPr>
        <w:t>e</w:t>
      </w:r>
      <w:r w:rsidRPr="00C328A2">
        <w:rPr>
          <w:rFonts w:cs="Times New Roman"/>
        </w:rPr>
        <w:t> éd. 2011), p. 12; voir aussi M.</w:t>
      </w:r>
      <w:r w:rsidRPr="00C328A2">
        <w:rPr>
          <w:rFonts w:cs="Times New Roman"/>
        </w:rPr>
        <w:noBreakHyphen/>
        <w:t xml:space="preserve">F. Fortin, « The King’s Two Bodies and the Canadian </w:t>
      </w:r>
      <w:r w:rsidRPr="00C328A2">
        <w:rPr>
          <w:rFonts w:cs="Times New Roman"/>
        </w:rPr>
        <w:lastRenderedPageBreak/>
        <w:t xml:space="preserve">Office of the Queen » (2021), 25 </w:t>
      </w:r>
      <w:r w:rsidRPr="00C328A2">
        <w:rPr>
          <w:rFonts w:cs="Times New Roman"/>
          <w:i/>
        </w:rPr>
        <w:t>R. études const.</w:t>
      </w:r>
      <w:r w:rsidRPr="00C328A2">
        <w:rPr>
          <w:rFonts w:cs="Times New Roman"/>
        </w:rPr>
        <w:t xml:space="preserve"> </w:t>
      </w:r>
      <w:r w:rsidRPr="00C328A2">
        <w:rPr>
          <w:rFonts w:cs="Times New Roman"/>
          <w:lang w:val="fr-CA"/>
        </w:rPr>
        <w:t>117). Dans ce dernier sens, en tant que personne physique, « la Couronne » jouit en vertu de la common law de bon nombre des mêmes pouvoirs qu’un simple particulier</w:t>
      </w:r>
      <w:bookmarkEnd w:id="23"/>
      <w:r w:rsidRPr="00C328A2">
        <w:rPr>
          <w:rFonts w:cs="Times New Roman"/>
          <w:lang w:val="fr-CA"/>
        </w:rPr>
        <w:t>, à moins que ces pouvoirs ne soient expressément restreints par la loi (</w:t>
      </w:r>
      <w:r w:rsidRPr="00C328A2">
        <w:rPr>
          <w:rFonts w:cs="Times New Roman"/>
          <w:i/>
          <w:lang w:val="fr-CA"/>
        </w:rPr>
        <w:t>Procureur général de l’Ontario c. Fatehi</w:t>
      </w:r>
      <w:r w:rsidRPr="00C328A2">
        <w:rPr>
          <w:rFonts w:cs="Times New Roman"/>
          <w:lang w:val="fr-CA"/>
        </w:rPr>
        <w:t xml:space="preserve">, [1984] 2 R.C.S. 536, p. 551; voir aussi K. Horsman et G. Morley, </w:t>
      </w:r>
      <w:r w:rsidRPr="00C328A2">
        <w:rPr>
          <w:rFonts w:cs="Times New Roman"/>
          <w:i/>
          <w:lang w:val="fr-CA"/>
        </w:rPr>
        <w:t>Government Liability : Law and Practice</w:t>
      </w:r>
      <w:r w:rsidRPr="00C328A2">
        <w:rPr>
          <w:rFonts w:cs="Times New Roman"/>
          <w:lang w:val="fr-CA"/>
        </w:rPr>
        <w:t xml:space="preserve"> (feuilles mobiles), § 1:10</w:t>
      </w:r>
      <w:r w:rsidRPr="00C328A2">
        <w:rPr>
          <w:rFonts w:cs="Times New Roman"/>
          <w:lang w:val="fr-CA"/>
        </w:rPr>
        <w:noBreakHyphen/>
        <w:t>1:11). Ainsi, la Couronne peut, en tant que personne physique, détenir des biens, contracter et dépenser de l’argent comme toute autre personne (voir Hogg, Monahan et Wright, p. 12).</w:t>
      </w:r>
    </w:p>
    <w:p w14:paraId="4D34EFF2" w14:textId="77777777" w:rsidR="00C328A2" w:rsidRPr="00C328A2" w:rsidRDefault="00C328A2" w:rsidP="00C328A2">
      <w:pPr>
        <w:pStyle w:val="ParaNoNdepar-AltN"/>
        <w:tabs>
          <w:tab w:val="clear" w:pos="1166"/>
          <w:tab w:val="num" w:pos="1152"/>
        </w:tabs>
        <w:spacing w:before="0"/>
        <w:rPr>
          <w:rFonts w:cs="Times New Roman"/>
          <w:lang w:val="fr-CA"/>
        </w:rPr>
      </w:pPr>
      <w:bookmarkStart w:id="26" w:name="_Hlk183420536"/>
      <w:r w:rsidRPr="00C328A2">
        <w:rPr>
          <w:rFonts w:cs="Times New Roman"/>
          <w:lang w:val="fr-CA"/>
        </w:rPr>
        <w:t xml:space="preserve">Lorsque la Couronne participe à titre de demandeur à une instance en vue de faire valoir un droit d’action reconnu en common law ou par la loi, elle agit habituellement en tant que personne physique </w:t>
      </w:r>
      <w:bookmarkEnd w:id="26"/>
      <w:r w:rsidRPr="00C328A2">
        <w:rPr>
          <w:rFonts w:cs="Times New Roman"/>
          <w:lang w:val="fr-CA"/>
        </w:rPr>
        <w:t>(</w:t>
      </w:r>
      <w:r w:rsidRPr="00C328A2">
        <w:rPr>
          <w:rFonts w:cs="Times New Roman"/>
          <w:i/>
          <w:lang w:val="fr-CA"/>
        </w:rPr>
        <w:t>Fatehi</w:t>
      </w:r>
      <w:r w:rsidRPr="00C328A2">
        <w:rPr>
          <w:rFonts w:cs="Times New Roman"/>
          <w:lang w:val="fr-CA"/>
        </w:rPr>
        <w:t>, p. 551</w:t>
      </w:r>
      <w:r w:rsidRPr="00C328A2">
        <w:rPr>
          <w:rFonts w:cs="Times New Roman"/>
          <w:lang w:val="fr-CA"/>
        </w:rPr>
        <w:noBreakHyphen/>
        <w:t>552; Hogg, Monahan et Wright, p. 74). La Couronne peut intenter une poursuite pour atteinte à ses droits civils au même titre que tout justiciable, et ce, que la loi l’autorise ou non à le faire (</w:t>
      </w:r>
      <w:r w:rsidRPr="00C328A2">
        <w:rPr>
          <w:rFonts w:cs="Times New Roman"/>
          <w:i/>
          <w:lang w:val="fr-CA"/>
        </w:rPr>
        <w:t>R. c.</w:t>
      </w:r>
      <w:r w:rsidRPr="00C328A2">
        <w:rPr>
          <w:rFonts w:cs="Times New Roman"/>
          <w:lang w:val="fr-CA"/>
        </w:rPr>
        <w:t xml:space="preserve"> </w:t>
      </w:r>
      <w:r w:rsidRPr="00C328A2">
        <w:rPr>
          <w:rFonts w:cs="Times New Roman"/>
          <w:i/>
          <w:lang w:val="fr-CA"/>
        </w:rPr>
        <w:t>Murray</w:t>
      </w:r>
      <w:r w:rsidRPr="00C328A2">
        <w:rPr>
          <w:rFonts w:cs="Times New Roman"/>
          <w:lang w:val="fr-CA"/>
        </w:rPr>
        <w:t>, [1967] R.C.S. 262; Horsman et Morley, § 1:11).</w:t>
      </w:r>
    </w:p>
    <w:p w14:paraId="02E60237"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La Couronne est toutefois soumise, en tant que personne physique, à son Parlement ou à sa législature (voir P. W. Hogg et W. K. Wright, </w:t>
      </w:r>
      <w:r w:rsidRPr="00C328A2">
        <w:rPr>
          <w:rFonts w:cs="Times New Roman"/>
          <w:i/>
          <w:lang w:val="fr-CA"/>
        </w:rPr>
        <w:t xml:space="preserve">Constitutional Law of Canada </w:t>
      </w:r>
      <w:r w:rsidRPr="00C328A2">
        <w:rPr>
          <w:rFonts w:cs="Times New Roman"/>
          <w:lang w:val="fr-CA"/>
        </w:rPr>
        <w:t>(5</w:t>
      </w:r>
      <w:r w:rsidRPr="00C328A2">
        <w:rPr>
          <w:rFonts w:cs="Times New Roman"/>
          <w:vertAlign w:val="superscript"/>
          <w:lang w:val="fr-CA"/>
        </w:rPr>
        <w:t>e</w:t>
      </w:r>
      <w:r w:rsidRPr="00C328A2">
        <w:rPr>
          <w:rFonts w:cs="Times New Roman"/>
          <w:lang w:val="fr-CA"/>
        </w:rPr>
        <w:t xml:space="preserve"> éd. suppl.), § 10:13). Ainsi, bien qu’elle ait le droit d’ester en justice pour faire valoir ses droits, la Couronne peut voir cette capacité limitée par une loi si, par exemple, elle ne peut se prévaloir d’un droit ou d’une procédure en particulier.</w:t>
      </w:r>
    </w:p>
    <w:p w14:paraId="4CEFAFA7"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Les appelantes plaident que l’art. 29 de l’</w:t>
      </w:r>
      <w:r w:rsidRPr="00C328A2">
        <w:rPr>
          <w:rFonts w:cs="Times New Roman"/>
          <w:i/>
          <w:lang w:val="fr-CA"/>
        </w:rPr>
        <w:t>Interpretation Act</w:t>
      </w:r>
      <w:r w:rsidRPr="00C328A2">
        <w:rPr>
          <w:rFonts w:cs="Times New Roman"/>
          <w:lang w:val="fr-CA"/>
        </w:rPr>
        <w:t xml:space="preserve"> restreint ainsi la capacité de la Couronne d’ester en justice en vertu de la </w:t>
      </w:r>
      <w:r w:rsidRPr="00C328A2">
        <w:rPr>
          <w:rFonts w:cs="Times New Roman"/>
          <w:i/>
          <w:lang w:val="fr-CA"/>
        </w:rPr>
        <w:t>CPA</w:t>
      </w:r>
      <w:r w:rsidRPr="00C328A2">
        <w:rPr>
          <w:rFonts w:cs="Times New Roman"/>
          <w:lang w:val="fr-CA"/>
        </w:rPr>
        <w:t xml:space="preserve">. L’article 29 de </w:t>
      </w:r>
      <w:r w:rsidRPr="00C328A2">
        <w:rPr>
          <w:rFonts w:cs="Times New Roman"/>
          <w:lang w:val="fr-CA"/>
        </w:rPr>
        <w:lastRenderedPageBreak/>
        <w:t>l’</w:t>
      </w:r>
      <w:r w:rsidRPr="00C328A2">
        <w:rPr>
          <w:rFonts w:cs="Times New Roman"/>
          <w:i/>
          <w:lang w:val="fr-CA"/>
        </w:rPr>
        <w:t xml:space="preserve">Interpretation Act </w:t>
      </w:r>
      <w:r w:rsidRPr="00C328A2">
        <w:rPr>
          <w:rFonts w:cs="Times New Roman"/>
          <w:lang w:val="fr-CA"/>
        </w:rPr>
        <w:t>— qui renferme des définitions générales applicables à toutes les lois en vigueur en Colombie</w:t>
      </w:r>
      <w:r w:rsidRPr="00C328A2">
        <w:rPr>
          <w:rFonts w:cs="Times New Roman"/>
          <w:lang w:val="fr-CA"/>
        </w:rPr>
        <w:noBreakHyphen/>
        <w:t>Britannique — précise que le terme « </w:t>
      </w:r>
      <w:r w:rsidRPr="00C328A2">
        <w:rPr>
          <w:rFonts w:cs="Times New Roman"/>
          <w:i/>
          <w:iCs/>
          <w:lang w:val="fr-CA"/>
        </w:rPr>
        <w:t>person</w:t>
      </w:r>
      <w:r w:rsidRPr="00C328A2">
        <w:rPr>
          <w:rFonts w:cs="Times New Roman"/>
          <w:lang w:val="fr-CA"/>
        </w:rPr>
        <w:t xml:space="preserve"> » (« personne ») englobe notamment </w:t>
      </w:r>
      <w:r w:rsidRPr="00C328A2">
        <w:rPr>
          <w:rFonts w:cs="Times New Roman"/>
          <w:smallCaps/>
          <w:lang w:val="fr-CA"/>
        </w:rPr>
        <w:t>[traduction]</w:t>
      </w:r>
      <w:r w:rsidRPr="00C328A2">
        <w:rPr>
          <w:rFonts w:cs="Times New Roman"/>
          <w:lang w:val="fr-CA"/>
        </w:rPr>
        <w:t xml:space="preserve"> « </w:t>
      </w:r>
      <w:r w:rsidRPr="00C328A2">
        <w:rPr>
          <w:rFonts w:cs="Times New Roman"/>
          <w:u w:val="single"/>
          <w:lang w:val="fr-CA"/>
        </w:rPr>
        <w:t xml:space="preserve">une </w:t>
      </w:r>
      <w:r w:rsidRPr="00C328A2">
        <w:rPr>
          <w:rFonts w:cs="Times New Roman"/>
          <w:iCs/>
          <w:u w:val="single"/>
          <w:lang w:val="fr-CA"/>
        </w:rPr>
        <w:t>personne morale</w:t>
      </w:r>
      <w:r w:rsidRPr="00C328A2">
        <w:rPr>
          <w:rFonts w:cs="Times New Roman"/>
          <w:lang w:val="fr-CA"/>
        </w:rPr>
        <w:t>, une société en nom collectif ou un justiciable, et le représentant personnel ou autre représentant juridique d’une personne à laquelle peut s’appliquer le contexte selon la loi ». On trouve dans le même article la définition suivante du terme « </w:t>
      </w:r>
      <w:r w:rsidRPr="00C328A2">
        <w:rPr>
          <w:rFonts w:cs="Times New Roman"/>
          <w:i/>
          <w:iCs/>
          <w:lang w:val="fr-CA"/>
        </w:rPr>
        <w:t>corporation</w:t>
      </w:r>
      <w:r w:rsidRPr="00C328A2">
        <w:rPr>
          <w:rFonts w:cs="Times New Roman"/>
          <w:lang w:val="fr-CA"/>
        </w:rPr>
        <w:t xml:space="preserve"> » (« personne morale ») : </w:t>
      </w:r>
      <w:r w:rsidRPr="00C328A2">
        <w:rPr>
          <w:rFonts w:cs="Times New Roman"/>
          <w:smallCaps/>
          <w:lang w:val="fr-CA"/>
        </w:rPr>
        <w:t>[traduction]</w:t>
      </w:r>
      <w:r w:rsidRPr="00C328A2">
        <w:rPr>
          <w:rFonts w:cs="Times New Roman"/>
          <w:lang w:val="fr-CA"/>
        </w:rPr>
        <w:t xml:space="preserve"> « [. . .] s’entend en outre d’une personne morale individuelle </w:t>
      </w:r>
      <w:r w:rsidRPr="00C328A2">
        <w:rPr>
          <w:rFonts w:cs="Times New Roman"/>
          <w:iCs/>
          <w:u w:val="single"/>
          <w:lang w:val="fr-CA"/>
        </w:rPr>
        <w:t>autre que</w:t>
      </w:r>
      <w:r w:rsidRPr="00C328A2">
        <w:rPr>
          <w:rFonts w:cs="Times New Roman"/>
          <w:lang w:val="fr-CA"/>
        </w:rPr>
        <w:t xml:space="preserve"> Sa Majesté ». Les appelantes soutiennent qu’il résulte forcément du rapprochement de ces dispositions qu’une « personne morale » est une « personne », sauf si cette personne morale est « Sa Majesté ».</w:t>
      </w:r>
    </w:p>
    <w:p w14:paraId="223271F0"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Je ne suis pas convaincue que ces définitions permettent de conclure que la Couronne ne répond pas à la définition de « personne » pour l’application de la </w:t>
      </w:r>
      <w:r w:rsidRPr="00C328A2">
        <w:rPr>
          <w:rFonts w:cs="Times New Roman"/>
          <w:i/>
          <w:lang w:val="fr-CA"/>
        </w:rPr>
        <w:t>CPA</w:t>
      </w:r>
      <w:r w:rsidRPr="00C328A2">
        <w:rPr>
          <w:rFonts w:cs="Times New Roman"/>
          <w:lang w:val="fr-CA"/>
        </w:rPr>
        <w:t xml:space="preserve"> et de l’art. 11 de l’</w:t>
      </w:r>
      <w:r w:rsidRPr="00C328A2">
        <w:rPr>
          <w:rFonts w:cs="Times New Roman"/>
          <w:i/>
          <w:lang w:val="fr-CA"/>
        </w:rPr>
        <w:t>ORA</w:t>
      </w:r>
      <w:r w:rsidRPr="00C328A2">
        <w:rPr>
          <w:rFonts w:cs="Times New Roman"/>
          <w:lang w:val="fr-CA"/>
        </w:rPr>
        <w:t>. L’article 29 de l’</w:t>
      </w:r>
      <w:r w:rsidRPr="00C328A2">
        <w:rPr>
          <w:rFonts w:cs="Times New Roman"/>
          <w:i/>
          <w:lang w:val="fr-CA"/>
        </w:rPr>
        <w:t>Interpretation Act</w:t>
      </w:r>
      <w:r w:rsidRPr="00C328A2">
        <w:rPr>
          <w:rFonts w:cs="Times New Roman"/>
          <w:lang w:val="fr-CA"/>
        </w:rPr>
        <w:t xml:space="preserve"> prévoit que le terme « personne » </w:t>
      </w:r>
      <w:r w:rsidRPr="00C328A2">
        <w:rPr>
          <w:rFonts w:cs="Times New Roman"/>
          <w:smallCaps/>
          <w:lang w:val="fr-CA"/>
        </w:rPr>
        <w:t>[traduction]</w:t>
      </w:r>
      <w:r w:rsidRPr="00C328A2">
        <w:rPr>
          <w:rFonts w:cs="Times New Roman"/>
          <w:lang w:val="fr-CA"/>
        </w:rPr>
        <w:t xml:space="preserve"> « </w:t>
      </w:r>
      <w:r w:rsidRPr="00C328A2">
        <w:rPr>
          <w:rFonts w:cs="Times New Roman"/>
          <w:iCs/>
          <w:lang w:val="fr-CA"/>
        </w:rPr>
        <w:t>s’</w:t>
      </w:r>
      <w:r w:rsidRPr="00C328A2">
        <w:rPr>
          <w:rFonts w:cs="Times New Roman"/>
          <w:iCs/>
          <w:u w:val="single"/>
          <w:lang w:val="fr-CA"/>
        </w:rPr>
        <w:t>entend</w:t>
      </w:r>
      <w:r w:rsidRPr="00C328A2">
        <w:rPr>
          <w:rFonts w:cs="Times New Roman"/>
          <w:iCs/>
          <w:lang w:val="fr-CA"/>
        </w:rPr>
        <w:t xml:space="preserve"> en outre</w:t>
      </w:r>
      <w:r w:rsidRPr="00C328A2">
        <w:rPr>
          <w:rFonts w:cs="Times New Roman"/>
          <w:lang w:val="fr-CA"/>
        </w:rPr>
        <w:t xml:space="preserve"> </w:t>
      </w:r>
      <w:r w:rsidRPr="00C328A2">
        <w:rPr>
          <w:rFonts w:cs="Times New Roman"/>
          <w:iCs/>
          <w:lang w:val="fr-CA"/>
        </w:rPr>
        <w:t>d</w:t>
      </w:r>
      <w:r w:rsidRPr="00C328A2">
        <w:rPr>
          <w:rFonts w:cs="Times New Roman"/>
          <w:lang w:val="fr-CA"/>
        </w:rPr>
        <w:t>’une personne morale » « autre que Sa Majesté ». La présence, en anglais, du mot « </w:t>
      </w:r>
      <w:r w:rsidRPr="00C328A2">
        <w:rPr>
          <w:rFonts w:cs="Times New Roman"/>
          <w:i/>
          <w:iCs/>
          <w:lang w:val="fr-CA"/>
        </w:rPr>
        <w:t>includes</w:t>
      </w:r>
      <w:r w:rsidRPr="00C328A2">
        <w:rPr>
          <w:rFonts w:cs="Times New Roman"/>
          <w:lang w:val="fr-CA"/>
        </w:rPr>
        <w:t xml:space="preserve"> » dans une définition indique généralement la volonté du législateur de ne fournir l’énumération qui suit qu’à titre d’exemple, et non dans le but de donner une définition exhaustive (voir </w:t>
      </w:r>
      <w:r w:rsidRPr="00C328A2">
        <w:rPr>
          <w:rFonts w:cs="Times New Roman"/>
          <w:i/>
          <w:lang w:val="fr-CA"/>
        </w:rPr>
        <w:t>R. c. McColman</w:t>
      </w:r>
      <w:r w:rsidRPr="00C328A2">
        <w:rPr>
          <w:rFonts w:cs="Times New Roman"/>
          <w:lang w:val="fr-CA"/>
        </w:rPr>
        <w:t xml:space="preserve">, 2023 CSC 8, par. 38; R. Sullivan, </w:t>
      </w:r>
      <w:r w:rsidRPr="00C328A2">
        <w:rPr>
          <w:rFonts w:cs="Times New Roman"/>
          <w:i/>
          <w:lang w:val="fr-CA"/>
        </w:rPr>
        <w:t>The Construction of Statutes</w:t>
      </w:r>
      <w:r w:rsidRPr="00C328A2">
        <w:rPr>
          <w:rFonts w:cs="Times New Roman"/>
          <w:lang w:val="fr-CA"/>
        </w:rPr>
        <w:t xml:space="preserve"> (7</w:t>
      </w:r>
      <w:r w:rsidRPr="00C328A2">
        <w:rPr>
          <w:rFonts w:cs="Times New Roman"/>
          <w:vertAlign w:val="superscript"/>
          <w:lang w:val="fr-CA"/>
        </w:rPr>
        <w:t>e</w:t>
      </w:r>
      <w:r w:rsidRPr="00C328A2">
        <w:rPr>
          <w:rFonts w:cs="Times New Roman"/>
          <w:lang w:val="fr-CA"/>
        </w:rPr>
        <w:t> éd. 2022), § 4.04). La définition non exhaustive que l’</w:t>
      </w:r>
      <w:r w:rsidRPr="00C328A2">
        <w:rPr>
          <w:rFonts w:cs="Times New Roman"/>
          <w:i/>
          <w:lang w:val="fr-CA"/>
        </w:rPr>
        <w:t>Interpretation Act</w:t>
      </w:r>
      <w:r w:rsidRPr="00C328A2">
        <w:rPr>
          <w:rFonts w:cs="Times New Roman"/>
          <w:lang w:val="fr-CA"/>
        </w:rPr>
        <w:t xml:space="preserve"> donne du mot « personne » ne permet pas d’écarter le sens ordinaire de ce mot ou de ne pas assimiler la Couronne, en common law, à une personne physique ayant la capacité d’ester en justice pour faire valoir ses droits (voir </w:t>
      </w:r>
      <w:r w:rsidRPr="00C328A2">
        <w:rPr>
          <w:rFonts w:cs="Times New Roman"/>
          <w:i/>
          <w:lang w:val="fr-CA"/>
        </w:rPr>
        <w:t>R. c. British Columbia</w:t>
      </w:r>
      <w:r w:rsidRPr="00C328A2">
        <w:rPr>
          <w:rFonts w:cs="Times New Roman"/>
          <w:lang w:val="fr-CA"/>
        </w:rPr>
        <w:t xml:space="preserve">, [1992] 4 W.W.R. 490, </w:t>
      </w:r>
      <w:r w:rsidRPr="00C328A2">
        <w:rPr>
          <w:rFonts w:cs="Times New Roman"/>
          <w:lang w:val="fr-CA"/>
        </w:rPr>
        <w:lastRenderedPageBreak/>
        <w:t>par. 17 (C.S. C.</w:t>
      </w:r>
      <w:r w:rsidRPr="00C328A2">
        <w:rPr>
          <w:rFonts w:cs="Times New Roman"/>
          <w:lang w:val="fr-CA"/>
        </w:rPr>
        <w:noBreakHyphen/>
        <w:t>B.); Sullivan, § 4.04). Le fait que l’art. 29 soustrait la Couronne à l’application des lois régissant les sociétés privées n’a pas non plus pour effet de restreindre sa capacité d’ester en justice en tant que personne.</w:t>
      </w:r>
    </w:p>
    <w:p w14:paraId="0449CD9F"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En ce qui concerne l’art. 1 de la </w:t>
      </w:r>
      <w:r w:rsidRPr="00C328A2">
        <w:rPr>
          <w:rFonts w:cs="Times New Roman"/>
          <w:i/>
          <w:lang w:val="fr-CA"/>
        </w:rPr>
        <w:t>Crown Proceeding Act</w:t>
      </w:r>
      <w:r w:rsidRPr="00C328A2">
        <w:rPr>
          <w:rFonts w:cs="Times New Roman"/>
          <w:lang w:val="fr-CA"/>
        </w:rPr>
        <w:t>, il dispose que le terme « </w:t>
      </w:r>
      <w:r w:rsidRPr="00C328A2">
        <w:rPr>
          <w:rFonts w:cs="Times New Roman"/>
          <w:i/>
          <w:iCs/>
          <w:lang w:val="fr-CA"/>
        </w:rPr>
        <w:t>person</w:t>
      </w:r>
      <w:r w:rsidRPr="00C328A2">
        <w:rPr>
          <w:rFonts w:cs="Times New Roman"/>
          <w:lang w:val="fr-CA"/>
        </w:rPr>
        <w:t xml:space="preserve"> » (« personne ») n’englobe pas </w:t>
      </w:r>
      <w:r w:rsidRPr="00C328A2">
        <w:rPr>
          <w:rFonts w:cs="Times New Roman"/>
          <w:smallCaps/>
          <w:lang w:val="fr-CA"/>
        </w:rPr>
        <w:t>[traduction]</w:t>
      </w:r>
      <w:r w:rsidRPr="00C328A2">
        <w:rPr>
          <w:rFonts w:cs="Times New Roman"/>
          <w:lang w:val="fr-CA"/>
        </w:rPr>
        <w:t xml:space="preserve"> « le gouvernement ». Il précise toutefois que cette définition s’applique </w:t>
      </w:r>
      <w:r w:rsidRPr="00C328A2">
        <w:rPr>
          <w:rFonts w:cs="Times New Roman"/>
          <w:smallCaps/>
          <w:lang w:val="fr-CA"/>
        </w:rPr>
        <w:t>[traduction]</w:t>
      </w:r>
      <w:r w:rsidRPr="00C328A2">
        <w:rPr>
          <w:rFonts w:cs="Times New Roman"/>
          <w:lang w:val="fr-CA"/>
        </w:rPr>
        <w:t xml:space="preserve"> « à la présente loi », contrairement aux définitions générales que l’on trouve dans l’</w:t>
      </w:r>
      <w:r w:rsidRPr="00C328A2">
        <w:rPr>
          <w:rFonts w:cs="Times New Roman"/>
          <w:i/>
          <w:lang w:val="fr-CA"/>
        </w:rPr>
        <w:t>Interpretation Act</w:t>
      </w:r>
      <w:r w:rsidRPr="00C328A2">
        <w:rPr>
          <w:rFonts w:cs="Times New Roman"/>
          <w:lang w:val="fr-CA"/>
        </w:rPr>
        <w:t xml:space="preserve">. La </w:t>
      </w:r>
      <w:r w:rsidRPr="00C328A2">
        <w:rPr>
          <w:rFonts w:cs="Times New Roman"/>
          <w:i/>
          <w:lang w:val="fr-CA"/>
        </w:rPr>
        <w:t>Crown Proceeding Act</w:t>
      </w:r>
      <w:r w:rsidRPr="00C328A2">
        <w:rPr>
          <w:rFonts w:cs="Times New Roman"/>
          <w:lang w:val="fr-CA"/>
        </w:rPr>
        <w:t xml:space="preserve"> indique dans quels cas la Couronne peut être </w:t>
      </w:r>
      <w:r w:rsidRPr="00C328A2">
        <w:rPr>
          <w:rFonts w:cs="Times New Roman"/>
          <w:i/>
          <w:iCs/>
          <w:lang w:val="fr-CA"/>
        </w:rPr>
        <w:t>poursuivie</w:t>
      </w:r>
      <w:r w:rsidRPr="00C328A2">
        <w:rPr>
          <w:rFonts w:cs="Times New Roman"/>
          <w:lang w:val="fr-CA"/>
        </w:rPr>
        <w:t xml:space="preserve"> en tant que </w:t>
      </w:r>
      <w:r w:rsidRPr="00C328A2">
        <w:rPr>
          <w:rFonts w:cs="Times New Roman"/>
          <w:i/>
          <w:lang w:val="fr-CA"/>
        </w:rPr>
        <w:t>défenderesse</w:t>
      </w:r>
      <w:r w:rsidRPr="00C328A2">
        <w:rPr>
          <w:rFonts w:cs="Times New Roman"/>
          <w:lang w:val="fr-CA"/>
        </w:rPr>
        <w:t xml:space="preserve">. Il s’agit d’une dérogation législative à la règle de la common law qui confère à la Couronne une immunité à l’égard de toute responsabilité, et la loi en question ne traite donc pas des cas dans lesquels la Couronne </w:t>
      </w:r>
      <w:r w:rsidRPr="00C328A2">
        <w:rPr>
          <w:rFonts w:cs="Times New Roman"/>
          <w:i/>
          <w:iCs/>
          <w:lang w:val="fr-CA"/>
        </w:rPr>
        <w:t>intente une poursuite</w:t>
      </w:r>
      <w:r w:rsidRPr="00C328A2">
        <w:rPr>
          <w:rFonts w:cs="Times New Roman"/>
          <w:lang w:val="fr-CA"/>
        </w:rPr>
        <w:t xml:space="preserve"> en tant que </w:t>
      </w:r>
      <w:r w:rsidRPr="00C328A2">
        <w:rPr>
          <w:rFonts w:cs="Times New Roman"/>
          <w:i/>
          <w:iCs/>
          <w:lang w:val="fr-CA"/>
        </w:rPr>
        <w:t xml:space="preserve">demanderesse </w:t>
      </w:r>
      <w:r w:rsidRPr="00C328A2">
        <w:rPr>
          <w:rFonts w:cs="Times New Roman"/>
          <w:lang w:val="fr-CA"/>
        </w:rPr>
        <w:t xml:space="preserve">(voir </w:t>
      </w:r>
      <w:r w:rsidRPr="00C328A2">
        <w:rPr>
          <w:rFonts w:cs="Times New Roman"/>
          <w:i/>
          <w:lang w:val="fr-CA"/>
        </w:rPr>
        <w:t>Nelson (Ville) c. Marchi</w:t>
      </w:r>
      <w:r w:rsidRPr="00C328A2">
        <w:rPr>
          <w:rFonts w:cs="Times New Roman"/>
          <w:lang w:val="fr-CA"/>
        </w:rPr>
        <w:t>, 2021 CSC 41, [2021] 3 R.C.S. 55, par. 38; Hogg et Wright, § 10:12).</w:t>
      </w:r>
    </w:p>
    <w:p w14:paraId="1E62008A"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Je conclus que </w:t>
      </w:r>
      <w:bookmarkStart w:id="27" w:name="_Hlk183420785"/>
      <w:r w:rsidRPr="00C328A2">
        <w:rPr>
          <w:rFonts w:cs="Times New Roman"/>
          <w:lang w:val="fr-CA"/>
        </w:rPr>
        <w:t>la Couronne du chef de la Colombie</w:t>
      </w:r>
      <w:r w:rsidRPr="00C328A2">
        <w:rPr>
          <w:rFonts w:cs="Times New Roman"/>
          <w:lang w:val="fr-CA"/>
        </w:rPr>
        <w:noBreakHyphen/>
        <w:t xml:space="preserve">Britannique était déjà une « personne » qui avait la capacité de faire valoir ses droits civils en vertu de la </w:t>
      </w:r>
      <w:r w:rsidRPr="00C328A2">
        <w:rPr>
          <w:rFonts w:cs="Times New Roman"/>
          <w:i/>
          <w:lang w:val="fr-CA"/>
        </w:rPr>
        <w:t>CPA</w:t>
      </w:r>
      <w:r w:rsidRPr="00C328A2">
        <w:rPr>
          <w:rFonts w:cs="Times New Roman"/>
          <w:lang w:val="fr-CA"/>
        </w:rPr>
        <w:t>, qu’elle agisse ou non à titre de représentante des demandeurs</w:t>
      </w:r>
      <w:bookmarkEnd w:id="27"/>
      <w:r w:rsidRPr="00C328A2">
        <w:rPr>
          <w:rFonts w:cs="Times New Roman"/>
          <w:lang w:val="fr-CA"/>
        </w:rPr>
        <w:t>.</w:t>
      </w:r>
    </w:p>
    <w:p w14:paraId="30BB7551"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La même conclusion vaut pour </w:t>
      </w:r>
      <w:bookmarkStart w:id="28" w:name="_Hlk183420917"/>
      <w:r w:rsidRPr="00C328A2">
        <w:rPr>
          <w:rFonts w:cs="Times New Roman"/>
          <w:lang w:val="fr-CA"/>
        </w:rPr>
        <w:t xml:space="preserve">les « autres » gouvernements. Ils peuvent ester en justice à titre de « personne » en vertu de la </w:t>
      </w:r>
      <w:r w:rsidRPr="00C328A2">
        <w:rPr>
          <w:rFonts w:cs="Times New Roman"/>
          <w:i/>
          <w:lang w:val="fr-CA"/>
        </w:rPr>
        <w:t>CPA</w:t>
      </w:r>
      <w:r w:rsidRPr="00C328A2">
        <w:rPr>
          <w:rFonts w:cs="Times New Roman"/>
          <w:lang w:val="fr-CA"/>
        </w:rPr>
        <w:t xml:space="preserve">. Étant eux aussi des personnes physiques, les autres gouvernements </w:t>
      </w:r>
      <w:r w:rsidRPr="00C328A2">
        <w:rPr>
          <w:rFonts w:cs="Times New Roman"/>
          <w:szCs w:val="24"/>
          <w:lang w:val="fr-CA"/>
        </w:rPr>
        <w:t>« peu[vent] poursuivre devant tout tribunal ayant compétence dans le domaine pertinent</w:t>
      </w:r>
      <w:bookmarkEnd w:id="28"/>
      <w:r w:rsidRPr="00C328A2">
        <w:rPr>
          <w:rFonts w:cs="Times New Roman"/>
          <w:szCs w:val="24"/>
          <w:lang w:val="fr-CA"/>
        </w:rPr>
        <w:t> »</w:t>
      </w:r>
      <w:r w:rsidRPr="00C328A2">
        <w:rPr>
          <w:rFonts w:cs="Times New Roman"/>
          <w:lang w:val="fr-CA"/>
        </w:rPr>
        <w:t xml:space="preserve"> (</w:t>
      </w:r>
      <w:r w:rsidRPr="00C328A2">
        <w:rPr>
          <w:rFonts w:cs="Times New Roman"/>
          <w:i/>
          <w:lang w:val="fr-CA"/>
        </w:rPr>
        <w:t>McNamara Construction (Western) Ltd. c. La Reine</w:t>
      </w:r>
      <w:r w:rsidRPr="00C328A2">
        <w:rPr>
          <w:rFonts w:cs="Times New Roman"/>
          <w:lang w:val="fr-CA"/>
        </w:rPr>
        <w:t xml:space="preserve">, [1977] 2 R.C.S. 654, p. 660; voir aussi Hogg, Monahan et Wright, p. 493). </w:t>
      </w:r>
      <w:r w:rsidRPr="00C328A2">
        <w:rPr>
          <w:rFonts w:cs="Times New Roman"/>
          <w:smallCaps/>
          <w:lang w:val="fr-CA"/>
        </w:rPr>
        <w:lastRenderedPageBreak/>
        <w:t>[traduction]</w:t>
      </w:r>
      <w:r w:rsidRPr="00C328A2">
        <w:rPr>
          <w:rFonts w:cs="Times New Roman"/>
          <w:lang w:val="fr-CA"/>
        </w:rPr>
        <w:t xml:space="preserve"> « La Couronne du chef d’une province (ou du Dominion) a les mêmes pouvoirs qu’une personne physique [. . .] et n’est pas soumise à des restrictions territoriales dans l’exercice des pouvoirs que lui confère la common law » (Hogg et Wright, § 13:8; voir aussi Horsman et Morley, § 1:11).</w:t>
      </w:r>
    </w:p>
    <w:p w14:paraId="22906D55"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Si l’on fait abstraction des questions soulevées au sujet des effets d’un recours collectif multiterritorial sur l’autonomie de la Couronne ou la souveraineté parlementaire, rien dans la </w:t>
      </w:r>
      <w:r w:rsidRPr="00C328A2">
        <w:rPr>
          <w:rFonts w:cs="Times New Roman"/>
          <w:i/>
          <w:lang w:val="fr-CA"/>
        </w:rPr>
        <w:t>CPA</w:t>
      </w:r>
      <w:r w:rsidRPr="00C328A2">
        <w:rPr>
          <w:rFonts w:cs="Times New Roman"/>
          <w:lang w:val="fr-CA"/>
        </w:rPr>
        <w:t>, l’</w:t>
      </w:r>
      <w:r w:rsidRPr="00C328A2">
        <w:rPr>
          <w:rFonts w:cs="Times New Roman"/>
          <w:i/>
          <w:lang w:val="fr-CA"/>
        </w:rPr>
        <w:t>Interpretation Act</w:t>
      </w:r>
      <w:r w:rsidRPr="00C328A2">
        <w:rPr>
          <w:rFonts w:cs="Times New Roman"/>
          <w:lang w:val="fr-CA"/>
        </w:rPr>
        <w:t xml:space="preserve"> ou la </w:t>
      </w:r>
      <w:r w:rsidRPr="00C328A2">
        <w:rPr>
          <w:rFonts w:cs="Times New Roman"/>
          <w:i/>
          <w:lang w:val="fr-CA"/>
        </w:rPr>
        <w:t>Crown Proceeding Act</w:t>
      </w:r>
      <w:r w:rsidRPr="00C328A2">
        <w:rPr>
          <w:rFonts w:cs="Times New Roman"/>
          <w:lang w:val="fr-CA"/>
        </w:rPr>
        <w:t xml:space="preserve"> n’</w:t>
      </w:r>
      <w:r w:rsidRPr="00C328A2">
        <w:rPr>
          <w:rFonts w:cs="Times New Roman"/>
          <w:i/>
          <w:lang w:val="fr-CA"/>
        </w:rPr>
        <w:t>empêche</w:t>
      </w:r>
      <w:r w:rsidRPr="00C328A2">
        <w:rPr>
          <w:rFonts w:cs="Times New Roman"/>
          <w:lang w:val="fr-CA"/>
        </w:rPr>
        <w:t xml:space="preserve"> la Couronne du chef de la Colombie</w:t>
      </w:r>
      <w:r w:rsidRPr="00C328A2">
        <w:rPr>
          <w:rFonts w:cs="Times New Roman"/>
          <w:lang w:val="fr-CA"/>
        </w:rPr>
        <w:noBreakHyphen/>
        <w:t xml:space="preserve">Britannique ou d’« autres » gouvernements </w:t>
      </w:r>
      <w:r w:rsidRPr="00C328A2">
        <w:rPr>
          <w:rFonts w:cs="Times New Roman"/>
          <w:szCs w:val="24"/>
          <w:lang w:val="fr-CA"/>
        </w:rPr>
        <w:t xml:space="preserve">de satisfaire à l’exigence la plus élémentaire d’une </w:t>
      </w:r>
      <w:r w:rsidRPr="00C328A2">
        <w:rPr>
          <w:rFonts w:cs="Times New Roman"/>
          <w:lang w:val="fr-CA"/>
        </w:rPr>
        <w:t xml:space="preserve">participation à un recours collectif, à savoir d’être </w:t>
      </w:r>
      <w:r w:rsidRPr="00C328A2">
        <w:rPr>
          <w:rFonts w:cs="Times New Roman"/>
          <w:smallCaps/>
          <w:lang w:val="fr-CA"/>
        </w:rPr>
        <w:t>[traduction]</w:t>
      </w:r>
      <w:r w:rsidRPr="00C328A2">
        <w:rPr>
          <w:rFonts w:cs="Times New Roman"/>
          <w:lang w:val="fr-CA"/>
        </w:rPr>
        <w:t xml:space="preserve"> « membre d’un groupe de personnes » (</w:t>
      </w:r>
      <w:r w:rsidRPr="00C328A2">
        <w:rPr>
          <w:rFonts w:cs="Times New Roman"/>
          <w:i/>
          <w:lang w:val="fr-CA"/>
        </w:rPr>
        <w:t>CPA</w:t>
      </w:r>
      <w:r w:rsidRPr="00C328A2">
        <w:rPr>
          <w:rFonts w:cs="Times New Roman"/>
          <w:lang w:val="fr-CA"/>
        </w:rPr>
        <w:t>,</w:t>
      </w:r>
      <w:r w:rsidRPr="00C328A2">
        <w:rPr>
          <w:rFonts w:cs="Times New Roman"/>
          <w:i/>
          <w:lang w:val="fr-CA"/>
        </w:rPr>
        <w:t xml:space="preserve"> </w:t>
      </w:r>
      <w:r w:rsidRPr="00C328A2">
        <w:rPr>
          <w:rFonts w:cs="Times New Roman"/>
          <w:lang w:val="fr-CA"/>
        </w:rPr>
        <w:t xml:space="preserve">par. 2(1)). Lorsque la </w:t>
      </w:r>
      <w:r w:rsidRPr="00C328A2">
        <w:rPr>
          <w:rFonts w:cs="Times New Roman"/>
          <w:szCs w:val="24"/>
          <w:lang w:val="fr-CA"/>
        </w:rPr>
        <w:t xml:space="preserve">Couronne du chef d’un ou de </w:t>
      </w:r>
      <w:r w:rsidRPr="00C328A2">
        <w:rPr>
          <w:rFonts w:cs="Times New Roman"/>
          <w:lang w:val="fr-CA"/>
        </w:rPr>
        <w:t xml:space="preserve">plusieurs ressorts intente une poursuite en tant que demanderesse, ses droits </w:t>
      </w:r>
      <w:r w:rsidRPr="00C328A2">
        <w:rPr>
          <w:rFonts w:cs="Times New Roman"/>
          <w:smallCaps/>
          <w:lang w:val="fr-CA"/>
        </w:rPr>
        <w:t>[traduction]</w:t>
      </w:r>
      <w:r w:rsidRPr="00C328A2">
        <w:rPr>
          <w:rFonts w:cs="Times New Roman"/>
          <w:lang w:val="fr-CA"/>
        </w:rPr>
        <w:t xml:space="preserve"> « ne sont pas différents de ceux d’un justiciable, et ne l’ont jamais été » (Horsman et Morley, § 1:11).</w:t>
      </w:r>
    </w:p>
    <w:p w14:paraId="19BF259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De plus, l’art. 11 n’existe pas en vase clos. L’alinéa 11(1)(b) </w:t>
      </w:r>
      <w:bookmarkStart w:id="29" w:name="_Hlk183421419"/>
      <w:r w:rsidRPr="00C328A2">
        <w:rPr>
          <w:rFonts w:cs="Times New Roman"/>
          <w:lang w:val="fr-CA"/>
        </w:rPr>
        <w:t>permet à la Colombie</w:t>
      </w:r>
      <w:r w:rsidRPr="00C328A2">
        <w:rPr>
          <w:rFonts w:cs="Times New Roman"/>
          <w:lang w:val="fr-CA"/>
        </w:rPr>
        <w:noBreakHyphen/>
        <w:t xml:space="preserve">Britannique d’« intenter une action » en vertu de la </w:t>
      </w:r>
      <w:r w:rsidRPr="00C328A2">
        <w:rPr>
          <w:rFonts w:cs="Times New Roman"/>
          <w:i/>
          <w:lang w:val="fr-CA"/>
        </w:rPr>
        <w:t>CPA</w:t>
      </w:r>
      <w:r w:rsidRPr="00C328A2">
        <w:rPr>
          <w:rFonts w:cs="Times New Roman"/>
          <w:lang w:val="fr-CA"/>
        </w:rPr>
        <w:t xml:space="preserve"> </w:t>
      </w:r>
      <w:bookmarkEnd w:id="29"/>
      <w:r w:rsidRPr="00C328A2">
        <w:rPr>
          <w:rFonts w:cs="Times New Roman"/>
          <w:lang w:val="fr-CA"/>
        </w:rPr>
        <w:t>—</w:t>
      </w:r>
      <w:bookmarkStart w:id="30" w:name="_Hlk183421949"/>
      <w:r w:rsidRPr="00C328A2">
        <w:rPr>
          <w:rFonts w:cs="Times New Roman"/>
          <w:lang w:val="fr-CA"/>
        </w:rPr>
        <w:t xml:space="preserve"> une loi purement procédurale </w:t>
      </w:r>
      <w:bookmarkEnd w:id="30"/>
      <w:r w:rsidRPr="00C328A2">
        <w:rPr>
          <w:rFonts w:cs="Times New Roman"/>
          <w:lang w:val="fr-CA"/>
        </w:rPr>
        <w:t xml:space="preserve">qui, selon notre Cour, ne confère ni ne retire de droits substantiels (voir </w:t>
      </w:r>
      <w:r w:rsidRPr="00C328A2">
        <w:rPr>
          <w:rFonts w:cs="Times New Roman"/>
          <w:i/>
          <w:lang w:val="fr-CA"/>
        </w:rPr>
        <w:t>Pro-Sys Consultants Ltd. c. Microsoft Corporation</w:t>
      </w:r>
      <w:r w:rsidRPr="00C328A2">
        <w:rPr>
          <w:rFonts w:cs="Times New Roman"/>
          <w:lang w:val="fr-CA"/>
        </w:rPr>
        <w:t>, 2013 CSC 57, [2013] 3 R.C.S. 477, par. 133). Je rejette donc l’affirmation des appelantes selon laquelle l’art. 11 a pour objet de conférer des droits substantiels à la Couronne du chef de la Colombie</w:t>
      </w:r>
      <w:r w:rsidRPr="00C328A2">
        <w:rPr>
          <w:rFonts w:cs="Times New Roman"/>
          <w:lang w:val="fr-CA"/>
        </w:rPr>
        <w:noBreakHyphen/>
        <w:t>Britannique ou de retirer de tels droits aux autres gouvernements.</w:t>
      </w:r>
    </w:p>
    <w:p w14:paraId="551268F9"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 xml:space="preserve">Au contraire, les éléments de preuve intrinsèques qui se dégagent </w:t>
      </w:r>
      <w:bookmarkStart w:id="31" w:name="_Hlk183422100"/>
      <w:r w:rsidRPr="00C328A2">
        <w:rPr>
          <w:rFonts w:cs="Times New Roman"/>
          <w:lang w:val="fr-CA"/>
        </w:rPr>
        <w:t xml:space="preserve">du texte de l’art. 11 indiquent clairement que cet article a pour objet de prévoir un mécanisme procédural </w:t>
      </w:r>
      <w:bookmarkEnd w:id="31"/>
      <w:r w:rsidRPr="00C328A2">
        <w:rPr>
          <w:rFonts w:cs="Times New Roman"/>
          <w:lang w:val="fr-CA"/>
        </w:rPr>
        <w:t>qui explique comment les autres dispositions de l’</w:t>
      </w:r>
      <w:r w:rsidRPr="00C328A2">
        <w:rPr>
          <w:rFonts w:cs="Times New Roman"/>
          <w:i/>
          <w:lang w:val="fr-CA"/>
        </w:rPr>
        <w:t>ORA</w:t>
      </w:r>
      <w:r w:rsidRPr="00C328A2">
        <w:rPr>
          <w:rFonts w:cs="Times New Roman"/>
          <w:lang w:val="fr-CA"/>
        </w:rPr>
        <w:t xml:space="preserve"> — y compris le droit d’action que cette loi confère à la Colombie</w:t>
      </w:r>
      <w:r w:rsidRPr="00C328A2">
        <w:rPr>
          <w:rFonts w:cs="Times New Roman"/>
          <w:lang w:val="fr-CA"/>
        </w:rPr>
        <w:noBreakHyphen/>
        <w:t>Britannique et les diverses autres règles de preuve et de procédure uniques qu’elle contient — s’appliquent à l’instance en cours en Colombie</w:t>
      </w:r>
      <w:r w:rsidRPr="00C328A2">
        <w:rPr>
          <w:rFonts w:cs="Times New Roman"/>
          <w:lang w:val="fr-CA"/>
        </w:rPr>
        <w:noBreakHyphen/>
        <w:t>Britannique après l’entrée en vigueur de l’</w:t>
      </w:r>
      <w:r w:rsidRPr="00C328A2">
        <w:rPr>
          <w:rFonts w:cs="Times New Roman"/>
          <w:i/>
          <w:lang w:val="fr-CA"/>
        </w:rPr>
        <w:t>ORA</w:t>
      </w:r>
      <w:r w:rsidRPr="00C328A2">
        <w:rPr>
          <w:rFonts w:cs="Times New Roman"/>
          <w:lang w:val="fr-CA"/>
        </w:rPr>
        <w:t>. Cette disposition ne crée pas de nouvelle instance. L’alinéa 11(1)(a), ainsi que le préambule de cette disposition, précise plutôt que l’instance en question relève de l’</w:t>
      </w:r>
      <w:r w:rsidRPr="00C328A2">
        <w:rPr>
          <w:rFonts w:cs="Times New Roman"/>
          <w:i/>
          <w:lang w:val="fr-CA"/>
        </w:rPr>
        <w:t>ORA</w:t>
      </w:r>
      <w:r w:rsidRPr="00C328A2">
        <w:rPr>
          <w:rFonts w:cs="Times New Roman"/>
          <w:lang w:val="fr-CA"/>
        </w:rPr>
        <w:t xml:space="preserve"> et ajoute que si cette instance est toujours en cours après l’entrée en vigueur de l’</w:t>
      </w:r>
      <w:r w:rsidRPr="00C328A2">
        <w:rPr>
          <w:rFonts w:cs="Times New Roman"/>
          <w:i/>
          <w:lang w:val="fr-CA"/>
        </w:rPr>
        <w:t>ORA</w:t>
      </w:r>
      <w:r w:rsidRPr="00C328A2">
        <w:rPr>
          <w:rFonts w:cs="Times New Roman"/>
          <w:lang w:val="fr-CA"/>
        </w:rPr>
        <w:t xml:space="preserve">, elle se poursuit conformément à cette dernière. L’alinéa 11(1)(b) autorise le gouvernement à intenter son action au nom des autres gouvernements canadiens et de leurs organismes de soins de la santé, confirmant ainsi que la demande que le gouvernement a présentée en vertu des mécanismes que la </w:t>
      </w:r>
      <w:r w:rsidRPr="00C328A2">
        <w:rPr>
          <w:rFonts w:cs="Times New Roman"/>
          <w:i/>
          <w:lang w:val="fr-CA"/>
        </w:rPr>
        <w:t>CPA</w:t>
      </w:r>
      <w:r w:rsidRPr="00C328A2">
        <w:rPr>
          <w:rFonts w:cs="Times New Roman"/>
          <w:lang w:val="fr-CA"/>
        </w:rPr>
        <w:t xml:space="preserve"> met déjà à sa disposition, demeure valable, tout en établissant des limites quant aux personnes que le gouvernement peut proposer d’inclure dans le groupe. L’alinéa 11(1)(c) prévoit que la procédure terminée et l’ordonnance rendue sont poursuivies, sauf en cas d’incompatibilité avec l’</w:t>
      </w:r>
      <w:r w:rsidRPr="00C328A2">
        <w:rPr>
          <w:rFonts w:cs="Times New Roman"/>
          <w:i/>
          <w:lang w:val="fr-CA"/>
        </w:rPr>
        <w:t>ORA</w:t>
      </w:r>
      <w:r w:rsidRPr="00C328A2">
        <w:rPr>
          <w:rFonts w:cs="Times New Roman"/>
          <w:lang w:val="fr-CA"/>
        </w:rPr>
        <w:t xml:space="preserve">. Enfin, le par. 11(2) confirme la possibilité pour les membres du groupe proposé de s’exclure du recours en vertu de l’art. 16 de la </w:t>
      </w:r>
      <w:r w:rsidRPr="00C328A2">
        <w:rPr>
          <w:rFonts w:cs="Times New Roman"/>
          <w:i/>
          <w:lang w:val="fr-CA"/>
        </w:rPr>
        <w:t>CPA</w:t>
      </w:r>
      <w:r w:rsidRPr="00C328A2">
        <w:rPr>
          <w:rFonts w:cs="Times New Roman"/>
          <w:lang w:val="fr-CA"/>
        </w:rPr>
        <w:t>. Le texte de l’art. 11 indique que celui</w:t>
      </w:r>
      <w:r w:rsidRPr="00C328A2">
        <w:rPr>
          <w:rFonts w:cs="Times New Roman"/>
          <w:lang w:val="fr-CA"/>
        </w:rPr>
        <w:noBreakHyphen/>
        <w:t xml:space="preserve">ci </w:t>
      </w:r>
      <w:bookmarkStart w:id="32" w:name="_Hlk183422195"/>
      <w:r w:rsidRPr="00C328A2">
        <w:rPr>
          <w:rFonts w:cs="Times New Roman"/>
          <w:lang w:val="fr-CA"/>
        </w:rPr>
        <w:t>vise d’abord et avant tout à garantir l’efficacité continue de l’instance en cours devant les tribunaux de la Colombie-Britannique, ainsi que les avantages que lui procurerait l’</w:t>
      </w:r>
      <w:r w:rsidRPr="00C328A2">
        <w:rPr>
          <w:rFonts w:cs="Times New Roman"/>
          <w:i/>
          <w:lang w:val="fr-CA"/>
        </w:rPr>
        <w:t>ORA</w:t>
      </w:r>
      <w:bookmarkEnd w:id="32"/>
      <w:r w:rsidRPr="00C328A2">
        <w:rPr>
          <w:rFonts w:cs="Times New Roman"/>
          <w:lang w:val="fr-CA"/>
        </w:rPr>
        <w:t>, y compris l’efficience accrue qu’un recours collectif mettant en cause plusieurs gouvernements offrirait à toutes les personnes concernées.</w:t>
      </w:r>
    </w:p>
    <w:p w14:paraId="3E52051A"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 xml:space="preserve">Cet objet de l’art. 11 </w:t>
      </w:r>
      <w:bookmarkStart w:id="33" w:name="_Hlk183422323"/>
      <w:r w:rsidRPr="00C328A2">
        <w:rPr>
          <w:rFonts w:cs="Times New Roman"/>
          <w:lang w:val="fr-CA"/>
        </w:rPr>
        <w:t>ressort clairement de tout le contexte de l’</w:t>
      </w:r>
      <w:r w:rsidRPr="00C328A2">
        <w:rPr>
          <w:rFonts w:cs="Times New Roman"/>
          <w:i/>
          <w:lang w:val="fr-CA"/>
        </w:rPr>
        <w:t>ORA</w:t>
      </w:r>
      <w:bookmarkEnd w:id="33"/>
      <w:r w:rsidRPr="00C328A2">
        <w:rPr>
          <w:rFonts w:cs="Times New Roman"/>
          <w:lang w:val="fr-CA"/>
        </w:rPr>
        <w:t>. Bien que le tribunal doive qualifier la disposition contestée plutôt que la loi dans son ensemble, le caractère de la disposition doit être examiné en tenant compte de l’économie générale de la loi, vu que son lien avec celle</w:t>
      </w:r>
      <w:r w:rsidRPr="00C328A2">
        <w:rPr>
          <w:rFonts w:cs="Times New Roman"/>
          <w:lang w:val="fr-CA"/>
        </w:rPr>
        <w:noBreakHyphen/>
        <w:t>ci « peut être une considération importante lorsqu’il s’agit d’établir son caractère véritable » (</w:t>
      </w:r>
      <w:r w:rsidRPr="00C328A2">
        <w:rPr>
          <w:rFonts w:cs="Times New Roman"/>
          <w:i/>
          <w:lang w:val="fr-CA"/>
        </w:rPr>
        <w:t>Québec (Procureur général)</w:t>
      </w:r>
      <w:r w:rsidRPr="00C328A2">
        <w:rPr>
          <w:rFonts w:cs="Times New Roman"/>
          <w:lang w:val="fr-CA"/>
        </w:rPr>
        <w:t>,</w:t>
      </w:r>
      <w:r w:rsidRPr="00C328A2">
        <w:rPr>
          <w:rFonts w:cs="Times New Roman"/>
          <w:i/>
          <w:lang w:val="fr-CA"/>
        </w:rPr>
        <w:t xml:space="preserve"> </w:t>
      </w:r>
      <w:r w:rsidRPr="00C328A2">
        <w:rPr>
          <w:rFonts w:cs="Times New Roman"/>
          <w:lang w:val="fr-CA"/>
        </w:rPr>
        <w:t>par. 30). Plusieurs des dispositions de l’</w:t>
      </w:r>
      <w:r w:rsidRPr="00C328A2">
        <w:rPr>
          <w:rFonts w:cs="Times New Roman"/>
          <w:i/>
          <w:lang w:val="fr-CA"/>
        </w:rPr>
        <w:t>ORA</w:t>
      </w:r>
      <w:r w:rsidRPr="00C328A2">
        <w:rPr>
          <w:rFonts w:cs="Times New Roman"/>
          <w:lang w:val="fr-CA"/>
        </w:rPr>
        <w:t xml:space="preserve"> confèrent des avantages à l’instance visée à l’art. 11, dont la plus importante est le </w:t>
      </w:r>
      <w:r w:rsidRPr="00C328A2">
        <w:rPr>
          <w:rFonts w:cs="Times New Roman"/>
          <w:smallCaps/>
          <w:lang w:val="fr-CA"/>
        </w:rPr>
        <w:t>[traduction]</w:t>
      </w:r>
      <w:r w:rsidRPr="00C328A2">
        <w:rPr>
          <w:rFonts w:cs="Times New Roman"/>
          <w:lang w:val="fr-CA"/>
        </w:rPr>
        <w:t xml:space="preserve"> « droit d’action direct et distinct » que l’</w:t>
      </w:r>
      <w:r w:rsidRPr="00C328A2">
        <w:rPr>
          <w:rFonts w:cs="Times New Roman"/>
          <w:i/>
          <w:lang w:val="fr-CA"/>
        </w:rPr>
        <w:t xml:space="preserve">ORA </w:t>
      </w:r>
      <w:r w:rsidRPr="00C328A2">
        <w:rPr>
          <w:rFonts w:cs="Times New Roman"/>
          <w:lang w:val="fr-CA"/>
        </w:rPr>
        <w:t>accorde à la Colombie</w:t>
      </w:r>
      <w:r w:rsidRPr="00C328A2">
        <w:rPr>
          <w:rFonts w:cs="Times New Roman"/>
          <w:lang w:val="fr-CA"/>
        </w:rPr>
        <w:noBreakHyphen/>
        <w:t>Britannique (art. 2 et 3). En outre, des dispositions permettent de conclure à la responsabilité conjointe de plusieurs défendeurs (art. 4, 7 et 8) et précise les éléments de preuve que le tribunal peut examiner pour que soit établi le lien de causalité et que soient quantifiés les dommages</w:t>
      </w:r>
      <w:r w:rsidRPr="00C328A2">
        <w:rPr>
          <w:rFonts w:cs="Times New Roman"/>
          <w:lang w:val="fr-CA"/>
        </w:rPr>
        <w:noBreakHyphen/>
        <w:t>intérêts (art. 5). D’autres dispositions visent simplement à préciser, à l’instar de l’art. 11 lui</w:t>
      </w:r>
      <w:r w:rsidRPr="00C328A2">
        <w:rPr>
          <w:rFonts w:cs="Times New Roman"/>
          <w:lang w:val="fr-CA"/>
        </w:rPr>
        <w:noBreakHyphen/>
        <w:t>même, ce qui arrive au moment de l’entrée en vigueur de la loi. Ainsi, l’art. 6 proroge tout délai de prescription applicable; l’art. 10 prévoit la rétroactivité de la loi, et l’art. 12 dispose que toute transaction existante demeure valide. Dans ces conditions, l’art. 11 vise à préciser les modalités d’application de ces diverses dispositions de fond et de procédure à l’instance déjà en cours devant le tribunal — une conclusion renforcée par le fait que l’art. 11 suit immédiatement l’effet rétroactif de l’art. 10.</w:t>
      </w:r>
    </w:p>
    <w:p w14:paraId="6B9A9ED1"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Les éléments de preuve extrinsèques appuient cette interprétation. Lorsque le gouvernement de la Colombie</w:t>
      </w:r>
      <w:r w:rsidRPr="00C328A2">
        <w:rPr>
          <w:rFonts w:cs="Times New Roman"/>
          <w:lang w:val="fr-CA"/>
        </w:rPr>
        <w:noBreakHyphen/>
        <w:t xml:space="preserve">Britannique a annoncé qu’il entamait cette poursuite, il a indiqué dans son communiqué de presse qu’il allait présenter sous peu une mesure législative </w:t>
      </w:r>
      <w:r w:rsidRPr="00C328A2">
        <w:rPr>
          <w:rFonts w:cs="Times New Roman"/>
          <w:smallCaps/>
          <w:lang w:val="fr-CA"/>
        </w:rPr>
        <w:t>[traduction]</w:t>
      </w:r>
      <w:r w:rsidRPr="00C328A2">
        <w:rPr>
          <w:rFonts w:cs="Times New Roman"/>
          <w:lang w:val="fr-CA"/>
        </w:rPr>
        <w:t xml:space="preserve"> « [p]our faciliter le processus judiciaire » (BC Government </w:t>
      </w:r>
      <w:r w:rsidRPr="00C328A2">
        <w:rPr>
          <w:rFonts w:cs="Times New Roman"/>
          <w:lang w:val="fr-CA"/>
        </w:rPr>
        <w:lastRenderedPageBreak/>
        <w:t xml:space="preserve">News, </w:t>
      </w:r>
      <w:r w:rsidRPr="00C328A2">
        <w:rPr>
          <w:rFonts w:cs="Times New Roman"/>
          <w:i/>
          <w:lang w:val="fr-CA"/>
        </w:rPr>
        <w:t>British Columbia files lawsuit against opioid industry</w:t>
      </w:r>
      <w:r w:rsidRPr="00C328A2">
        <w:rPr>
          <w:rFonts w:cs="Times New Roman"/>
          <w:lang w:val="fr-CA"/>
        </w:rPr>
        <w:t>, 29 août 2018 (en ligne)). Lorsque l’</w:t>
      </w:r>
      <w:r w:rsidRPr="00C328A2">
        <w:rPr>
          <w:rFonts w:cs="Times New Roman"/>
          <w:i/>
          <w:lang w:val="fr-CA"/>
        </w:rPr>
        <w:t>ORA</w:t>
      </w:r>
      <w:r w:rsidRPr="00C328A2">
        <w:rPr>
          <w:rFonts w:cs="Times New Roman"/>
          <w:lang w:val="fr-CA"/>
        </w:rPr>
        <w:t xml:space="preserve"> a par la suite été présentée à l’assemblée législative, le procureur général a indiqué que cette loi visait à </w:t>
      </w:r>
      <w:r w:rsidRPr="00C328A2">
        <w:rPr>
          <w:rFonts w:cs="Times New Roman"/>
          <w:smallCaps/>
          <w:lang w:val="fr-CA"/>
        </w:rPr>
        <w:t>[traduction]</w:t>
      </w:r>
      <w:r w:rsidRPr="00C328A2">
        <w:rPr>
          <w:rFonts w:cs="Times New Roman"/>
          <w:lang w:val="fr-CA"/>
        </w:rPr>
        <w:t xml:space="preserve"> « permettre au gouvernement de poursuivre les fabricants et grossistes de produits opioïdes en s’inspirant du modèle suivi pour les poursuites intentées contre des compagnies de tabac » (</w:t>
      </w:r>
      <w:r w:rsidRPr="00C328A2">
        <w:rPr>
          <w:rFonts w:cs="Times New Roman"/>
          <w:i/>
          <w:lang w:val="fr-CA"/>
        </w:rPr>
        <w:t>Official Report of Debates (Hansard)</w:t>
      </w:r>
      <w:r w:rsidRPr="00C328A2">
        <w:rPr>
          <w:rFonts w:cs="Times New Roman"/>
          <w:lang w:val="fr-CA"/>
        </w:rPr>
        <w:t>, 1</w:t>
      </w:r>
      <w:r w:rsidRPr="00C328A2">
        <w:rPr>
          <w:rFonts w:cs="Times New Roman"/>
          <w:vertAlign w:val="superscript"/>
          <w:lang w:val="fr-CA"/>
        </w:rPr>
        <w:t>er</w:t>
      </w:r>
      <w:r w:rsidRPr="00C328A2">
        <w:rPr>
          <w:rFonts w:cs="Times New Roman"/>
          <w:lang w:val="fr-CA"/>
        </w:rPr>
        <w:t xml:space="preserve"> octobre 2018, p. 5331 (l’hon. David Eby)). Prenant acte de l’instance en cours, le procureur général a signalé, à l’occasion de la deuxième lecture du projet de loi, que </w:t>
      </w:r>
      <w:r w:rsidRPr="00C328A2">
        <w:rPr>
          <w:rFonts w:cs="Times New Roman"/>
          <w:smallCaps/>
          <w:lang w:val="fr-CA"/>
        </w:rPr>
        <w:t>[traduction]</w:t>
      </w:r>
      <w:r w:rsidRPr="00C328A2">
        <w:rPr>
          <w:rFonts w:cs="Times New Roman"/>
          <w:lang w:val="fr-CA"/>
        </w:rPr>
        <w:t xml:space="preserve"> « [l]e recours collectif qui a été intenté sera poursuivi en vertu de cette loi, qui permettra d’étendre l’application des règles de procédure qu’elle contient à l’action en cours » (</w:t>
      </w:r>
      <w:r w:rsidRPr="00C328A2">
        <w:rPr>
          <w:rFonts w:cs="Times New Roman"/>
          <w:i/>
          <w:lang w:val="fr-CA"/>
        </w:rPr>
        <w:t>Official Report of Debates (Hansard)</w:t>
      </w:r>
      <w:r w:rsidRPr="00C328A2">
        <w:rPr>
          <w:rFonts w:cs="Times New Roman"/>
          <w:lang w:val="fr-CA"/>
        </w:rPr>
        <w:t>, n</w:t>
      </w:r>
      <w:r w:rsidRPr="00C328A2">
        <w:rPr>
          <w:rFonts w:cs="Times New Roman"/>
          <w:vertAlign w:val="superscript"/>
          <w:lang w:val="fr-CA"/>
        </w:rPr>
        <w:t>o</w:t>
      </w:r>
      <w:r w:rsidRPr="00C328A2">
        <w:rPr>
          <w:rFonts w:cs="Times New Roman"/>
          <w:lang w:val="fr-CA"/>
        </w:rPr>
        <w:t> 152, 3</w:t>
      </w:r>
      <w:r w:rsidRPr="00C328A2">
        <w:rPr>
          <w:rFonts w:cs="Times New Roman"/>
          <w:vertAlign w:val="superscript"/>
          <w:lang w:val="fr-CA"/>
        </w:rPr>
        <w:t>e</w:t>
      </w:r>
      <w:r w:rsidRPr="00C328A2">
        <w:rPr>
          <w:rFonts w:cs="Times New Roman"/>
          <w:lang w:val="fr-CA"/>
        </w:rPr>
        <w:t xml:space="preserve"> sess., 41</w:t>
      </w:r>
      <w:r w:rsidRPr="00C328A2">
        <w:rPr>
          <w:rFonts w:cs="Times New Roman"/>
          <w:vertAlign w:val="superscript"/>
          <w:lang w:val="fr-CA"/>
        </w:rPr>
        <w:t>e</w:t>
      </w:r>
      <w:r w:rsidRPr="00C328A2">
        <w:rPr>
          <w:rFonts w:cs="Times New Roman"/>
          <w:lang w:val="fr-CA"/>
        </w:rPr>
        <w:t xml:space="preserve"> lég., 2 octobre 2018, p. 5390 (l’hon. David Eby)).</w:t>
      </w:r>
    </w:p>
    <w:p w14:paraId="25CBB91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J’abonde dans le sens de la Colombie</w:t>
      </w:r>
      <w:r w:rsidRPr="00C328A2">
        <w:rPr>
          <w:rFonts w:cs="Times New Roman"/>
          <w:lang w:val="fr-CA"/>
        </w:rPr>
        <w:noBreakHyphen/>
        <w:t xml:space="preserve">Britannique et des juridictions inférieures. Je ne souscris pas à l’idée que </w:t>
      </w:r>
      <w:bookmarkStart w:id="34" w:name="_Hlk183422471"/>
      <w:r w:rsidRPr="00C328A2">
        <w:rPr>
          <w:rFonts w:cs="Times New Roman"/>
          <w:lang w:val="fr-CA"/>
        </w:rPr>
        <w:t>l’art. 11 de l’</w:t>
      </w:r>
      <w:r w:rsidRPr="00C328A2">
        <w:rPr>
          <w:rFonts w:cs="Times New Roman"/>
          <w:i/>
          <w:lang w:val="fr-CA"/>
        </w:rPr>
        <w:t>ORA</w:t>
      </w:r>
      <w:r w:rsidRPr="00C328A2">
        <w:rPr>
          <w:rFonts w:cs="Times New Roman"/>
          <w:lang w:val="fr-CA"/>
        </w:rPr>
        <w:t xml:space="preserve"> aurait pour objet de conférer des droits substantiels à la Couronne</w:t>
      </w:r>
      <w:bookmarkEnd w:id="34"/>
      <w:r w:rsidRPr="00C328A2">
        <w:rPr>
          <w:rFonts w:cs="Times New Roman"/>
          <w:lang w:val="fr-CA"/>
        </w:rPr>
        <w:t xml:space="preserve"> en permettant à cette dernière d’intenter une action que la </w:t>
      </w:r>
      <w:r w:rsidRPr="00C328A2">
        <w:rPr>
          <w:rFonts w:cs="Times New Roman"/>
          <w:i/>
          <w:lang w:val="fr-CA"/>
        </w:rPr>
        <w:t>CPA</w:t>
      </w:r>
      <w:r w:rsidRPr="00C328A2">
        <w:rPr>
          <w:rFonts w:cs="Times New Roman"/>
          <w:lang w:val="fr-CA"/>
        </w:rPr>
        <w:t xml:space="preserve"> ne lui aurait autrement pas permis d’entamer. Selon les éléments de preuve intrinsèques et extrinsèques dont nous disposons, l’art. 11 a pour objet de prévoir un mécanisme procédural par lequel les dispositions plus générales de l’</w:t>
      </w:r>
      <w:r w:rsidRPr="00C328A2">
        <w:rPr>
          <w:rFonts w:cs="Times New Roman"/>
          <w:i/>
          <w:lang w:val="fr-CA"/>
        </w:rPr>
        <w:t>ORA</w:t>
      </w:r>
      <w:r w:rsidRPr="00C328A2">
        <w:rPr>
          <w:rFonts w:cs="Times New Roman"/>
          <w:lang w:val="fr-CA"/>
        </w:rPr>
        <w:t xml:space="preserve"> pourraient s’appliquer au recours collectif mettant en cause plusieurs gouvernements proposé par la Colombie</w:t>
      </w:r>
      <w:r w:rsidRPr="00C328A2">
        <w:rPr>
          <w:rFonts w:cs="Times New Roman"/>
          <w:lang w:val="fr-CA"/>
        </w:rPr>
        <w:noBreakHyphen/>
        <w:t>Britannique.</w:t>
      </w:r>
    </w:p>
    <w:p w14:paraId="1388F9FB" w14:textId="77777777" w:rsidR="00C328A2" w:rsidRPr="00C328A2" w:rsidRDefault="00C328A2" w:rsidP="00C328A2">
      <w:pPr>
        <w:pStyle w:val="Title3LevelTitre3Niveau"/>
        <w:widowControl w:val="0"/>
        <w:spacing w:before="0"/>
        <w:ind w:hanging="612"/>
        <w:rPr>
          <w:rFonts w:cs="Times New Roman"/>
          <w:lang w:val="fr-CA"/>
        </w:rPr>
      </w:pPr>
      <w:r w:rsidRPr="00C328A2">
        <w:rPr>
          <w:rFonts w:cs="Times New Roman"/>
          <w:lang w:val="fr-CA"/>
        </w:rPr>
        <w:t>Quels sont les effets de l’art. 11?</w:t>
      </w:r>
    </w:p>
    <w:p w14:paraId="08EADC5E" w14:textId="77777777" w:rsidR="00C328A2" w:rsidRPr="00C328A2" w:rsidRDefault="00C328A2" w:rsidP="00C328A2">
      <w:pPr>
        <w:pStyle w:val="ParaNoNdepar-AltN"/>
        <w:widowControl w:val="0"/>
        <w:tabs>
          <w:tab w:val="clear" w:pos="1166"/>
          <w:tab w:val="num" w:pos="1152"/>
        </w:tabs>
        <w:spacing w:before="0"/>
        <w:rPr>
          <w:rFonts w:cs="Times New Roman"/>
          <w:lang w:val="fr-CA"/>
        </w:rPr>
      </w:pPr>
      <w:bookmarkStart w:id="35" w:name="_Hlk175136330"/>
      <w:r w:rsidRPr="00C328A2">
        <w:rPr>
          <w:rFonts w:cs="Times New Roman"/>
          <w:lang w:val="fr-CA"/>
        </w:rPr>
        <w:t xml:space="preserve">Les appelantes plaident que l’art. 11 a une incidence sur les droits </w:t>
      </w:r>
      <w:r w:rsidRPr="00C328A2">
        <w:rPr>
          <w:rFonts w:cs="Times New Roman"/>
          <w:lang w:val="fr-CA"/>
        </w:rPr>
        <w:lastRenderedPageBreak/>
        <w:t>substantiels des autres gouvernements en les forçant à renoncer au profit du gouvernement de la Colombie</w:t>
      </w:r>
      <w:r w:rsidRPr="00C328A2">
        <w:rPr>
          <w:rFonts w:cs="Times New Roman"/>
          <w:lang w:val="fr-CA"/>
        </w:rPr>
        <w:noBreakHyphen/>
        <w:t>Britannique à leur [</w:t>
      </w:r>
      <w:r w:rsidRPr="00C328A2">
        <w:rPr>
          <w:rFonts w:cs="Times New Roman"/>
          <w:smallCaps/>
          <w:lang w:val="fr-CA"/>
        </w:rPr>
        <w:t>traduction</w:t>
      </w:r>
      <w:r w:rsidRPr="00C328A2">
        <w:rPr>
          <w:rFonts w:cs="Times New Roman"/>
          <w:lang w:val="fr-CA"/>
        </w:rPr>
        <w:t>] « autonomie dans la conduite du litige » (</w:t>
      </w:r>
      <w:bookmarkEnd w:id="35"/>
      <w:r w:rsidRPr="00C328A2">
        <w:rPr>
          <w:rFonts w:cs="Times New Roman"/>
          <w:lang w:val="fr-CA"/>
        </w:rPr>
        <w:t>concept désignant les droits civils substantiels liés à la capacité souveraine de la Couronne d’intenter des actions en justice de façon indépendante et de se charger du déroulement de l’instance) (m.a., par. 63</w:t>
      </w:r>
      <w:r w:rsidRPr="00C328A2">
        <w:rPr>
          <w:rFonts w:cs="Times New Roman"/>
          <w:lang w:val="fr-CA"/>
        </w:rPr>
        <w:noBreakHyphen/>
        <w:t>64). Elles ajoutent que cette disposition forcerait également les autres gouvernements à prendre une décision qui va à l’encontre de la Constitution en les obligeant à participer au présent recours collectif ou à s’en exclure.</w:t>
      </w:r>
    </w:p>
    <w:p w14:paraId="3514AEE2"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La Colombie</w:t>
      </w:r>
      <w:r w:rsidRPr="00C328A2">
        <w:rPr>
          <w:rFonts w:cs="Times New Roman"/>
          <w:lang w:val="fr-CA"/>
        </w:rPr>
        <w:noBreakHyphen/>
        <w:t>Britannique rétorque que les gouvernements doivent toujours sacrifier des aspects de leur « autonomie dans la conduite du litige » lorsqu’ils décident d’ester en justice à l’extérieur de leur territoire. Cette réalité ne contrevient à aucun principe constitutionnel, même lorsque les gouvernements participent à une instance en se soumettant au cadre procédural prévu par une loi sur les recours collectifs. En l’espèce, les effets se limitent à la présente instance, une seule et même instance, qui protège les droits substantiels des autres gouvernements membres, qui seront déterminés selon leurs propres lois.</w:t>
      </w:r>
    </w:p>
    <w:p w14:paraId="7585D86F"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 </w:t>
      </w:r>
      <w:bookmarkStart w:id="36" w:name="_Hlk183423218"/>
      <w:r w:rsidRPr="00C328A2">
        <w:rPr>
          <w:rFonts w:cs="Times New Roman"/>
          <w:lang w:val="fr-CA"/>
        </w:rPr>
        <w:t>autonomie dans la conduite du litige </w:t>
      </w:r>
      <w:bookmarkEnd w:id="36"/>
      <w:r w:rsidRPr="00C328A2">
        <w:rPr>
          <w:rFonts w:cs="Times New Roman"/>
          <w:lang w:val="fr-CA"/>
        </w:rPr>
        <w:t>» désigne une série de droits importants, tels que le droit de sélectionner l’avocat de son choix, le droit de participer à l’élaboration de la stratégie à adopter dans le cadre du litige et le droit de participer à des négociations en vue du règlement de l’action (</w:t>
      </w:r>
      <w:r w:rsidRPr="00C328A2">
        <w:rPr>
          <w:rFonts w:cs="Times New Roman"/>
          <w:i/>
          <w:lang w:val="fr-CA"/>
        </w:rPr>
        <w:t>Johnson c. Ontario</w:t>
      </w:r>
      <w:r w:rsidRPr="00C328A2">
        <w:rPr>
          <w:rFonts w:cs="Times New Roman"/>
          <w:lang w:val="fr-CA"/>
        </w:rPr>
        <w:t xml:space="preserve">, 2022 ONCA 725, 475 D.L.R. (4th) 344, par. 47; </w:t>
      </w:r>
      <w:r w:rsidRPr="00C328A2">
        <w:rPr>
          <w:rFonts w:cs="Times New Roman"/>
          <w:i/>
          <w:lang w:val="fr-CA"/>
        </w:rPr>
        <w:t xml:space="preserve">Coburn and Watson’s Metropolitan Home c. Home </w:t>
      </w:r>
      <w:r w:rsidRPr="00C328A2">
        <w:rPr>
          <w:rFonts w:cs="Times New Roman"/>
          <w:i/>
          <w:lang w:val="fr-CA"/>
        </w:rPr>
        <w:lastRenderedPageBreak/>
        <w:t>Depot of Canada Inc.</w:t>
      </w:r>
      <w:r w:rsidRPr="00C328A2">
        <w:rPr>
          <w:rFonts w:cs="Times New Roman"/>
          <w:lang w:val="fr-CA"/>
        </w:rPr>
        <w:t xml:space="preserve">, 2019 BCCA 308, 438 D.L.R. (4th) 533, par. 14). </w:t>
      </w:r>
      <w:r w:rsidRPr="00C328A2">
        <w:rPr>
          <w:rFonts w:cs="Times New Roman"/>
          <w:smallCaps/>
          <w:lang w:val="fr-CA"/>
        </w:rPr>
        <w:t>[traduction]</w:t>
      </w:r>
      <w:r w:rsidRPr="00C328A2">
        <w:rPr>
          <w:rFonts w:cs="Times New Roman"/>
          <w:lang w:val="fr-CA"/>
        </w:rPr>
        <w:t xml:space="preserve"> « Notre société accorde une grande importance à la capacité du justiciable d’intenter une poursuite et d’y participer, en tant qu’élément de son autonomie personnelle » (</w:t>
      </w:r>
      <w:r w:rsidRPr="00C328A2">
        <w:rPr>
          <w:rFonts w:cs="Times New Roman"/>
          <w:i/>
          <w:lang w:val="fr-CA"/>
        </w:rPr>
        <w:t>Johnson c. Ontario</w:t>
      </w:r>
      <w:r w:rsidRPr="00C328A2">
        <w:rPr>
          <w:rFonts w:cs="Times New Roman"/>
          <w:lang w:val="fr-CA"/>
        </w:rPr>
        <w:t xml:space="preserve">, 2021 ONCA 650, 158 O.R. (3d) 266, par. 16). </w:t>
      </w:r>
      <w:bookmarkStart w:id="37" w:name="_Hlk183423153"/>
      <w:r w:rsidRPr="00C328A2">
        <w:rPr>
          <w:rFonts w:cs="Times New Roman"/>
          <w:lang w:val="fr-CA"/>
        </w:rPr>
        <w:t xml:space="preserve">Le justiciable qui choisit de participer à un recours collectif en tant que membre du groupé visé accepte nécessairement de renoncer à une partie de ses droits </w:t>
      </w:r>
      <w:bookmarkEnd w:id="37"/>
      <w:r w:rsidRPr="00C328A2">
        <w:rPr>
          <w:rFonts w:cs="Times New Roman"/>
          <w:lang w:val="fr-CA"/>
        </w:rPr>
        <w:t xml:space="preserve">comme </w:t>
      </w:r>
      <w:r w:rsidRPr="00C328A2">
        <w:rPr>
          <w:rFonts w:cs="Times New Roman"/>
          <w:smallCaps/>
          <w:lang w:val="fr-CA"/>
        </w:rPr>
        <w:t>[traduction]</w:t>
      </w:r>
      <w:r w:rsidRPr="00C328A2">
        <w:rPr>
          <w:rFonts w:cs="Times New Roman"/>
          <w:lang w:val="fr-CA"/>
        </w:rPr>
        <w:t xml:space="preserve"> « prix à payer pour pouvoir bénéficier des avantages du recours collectif » (</w:t>
      </w:r>
      <w:r w:rsidRPr="00C328A2">
        <w:rPr>
          <w:rFonts w:cs="Times New Roman"/>
          <w:i/>
          <w:lang w:val="fr-CA"/>
        </w:rPr>
        <w:t>Coburn and Watson’s Metropolitan Home</w:t>
      </w:r>
      <w:r w:rsidRPr="00C328A2">
        <w:rPr>
          <w:rFonts w:cs="Times New Roman"/>
          <w:lang w:val="fr-CA"/>
        </w:rPr>
        <w:t xml:space="preserve">, par. 14; M. H. Redish, </w:t>
      </w:r>
      <w:r w:rsidRPr="00C328A2">
        <w:rPr>
          <w:rFonts w:cs="Times New Roman"/>
          <w:i/>
          <w:lang w:val="fr-CA"/>
        </w:rPr>
        <w:t>Wholesale Justice: Constitutional Democracy and the Problem of the Class Action Lawsuit</w:t>
      </w:r>
      <w:r w:rsidRPr="00C328A2">
        <w:rPr>
          <w:rFonts w:cs="Times New Roman"/>
          <w:lang w:val="fr-CA"/>
        </w:rPr>
        <w:t xml:space="preserve"> (2009), p. 135</w:t>
      </w:r>
      <w:r w:rsidRPr="00C328A2">
        <w:rPr>
          <w:rFonts w:cs="Times New Roman"/>
          <w:lang w:val="fr-CA"/>
        </w:rPr>
        <w:noBreakHyphen/>
        <w:t>175).</w:t>
      </w:r>
    </w:p>
    <w:p w14:paraId="2ACD0D57"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Dans le cas des recours collectifs mettant en cause plusieurs gouvernements, il découle de ce choix que le gouvernement au pouvoir peut obliger les gouvernements qui lui succéderont à respecter sa décision de céder certains de ses droits d’ester en justice. Les autres gouvernements se voient</w:t>
      </w:r>
      <w:r w:rsidRPr="00C328A2">
        <w:rPr>
          <w:rFonts w:cs="Times New Roman"/>
          <w:lang w:val="fr-CA"/>
        </w:rPr>
        <w:noBreakHyphen/>
        <w:t>ils ainsi contraints, en violation de la Constitution, de sacrifier certains de leurs droits substantiels?</w:t>
      </w:r>
    </w:p>
    <w:p w14:paraId="1785958E"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Ma réponse est « non ». Bien que la participation à un recours collectif implique de sacrifier jusqu’à un certain point son autonomie dans la conduite du litige, </w:t>
      </w:r>
      <w:bookmarkStart w:id="38" w:name="_Hlk183423463"/>
      <w:r w:rsidRPr="00C328A2">
        <w:rPr>
          <w:rFonts w:cs="Times New Roman"/>
          <w:lang w:val="fr-CA"/>
        </w:rPr>
        <w:t xml:space="preserve">il ne s’ensuit pas pour autant que l’art. 11 soit une disposition substantielle </w:t>
      </w:r>
      <w:bookmarkEnd w:id="38"/>
      <w:r w:rsidRPr="00C328A2">
        <w:rPr>
          <w:rFonts w:cs="Times New Roman"/>
          <w:lang w:val="fr-CA"/>
        </w:rPr>
        <w:t>ou qu’il implique de sacrifier des droits substantiels en violation de la Constitution.</w:t>
      </w:r>
    </w:p>
    <w:p w14:paraId="7AC71EF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Chaque fois que </w:t>
      </w:r>
      <w:bookmarkStart w:id="39" w:name="_Hlk174885901"/>
      <w:r w:rsidRPr="00C328A2">
        <w:rPr>
          <w:rFonts w:cs="Times New Roman"/>
          <w:lang w:val="fr-CA"/>
        </w:rPr>
        <w:t xml:space="preserve">la Couronne décide d’introduire </w:t>
      </w:r>
      <w:bookmarkEnd w:id="39"/>
      <w:r w:rsidRPr="00C328A2">
        <w:rPr>
          <w:rFonts w:cs="Times New Roman"/>
          <w:lang w:val="fr-CA"/>
        </w:rPr>
        <w:t xml:space="preserve">une instance pour faire valoir ses droits civils, y compris sur son propre territoire, elle renonce à une partie de </w:t>
      </w:r>
      <w:r w:rsidRPr="00C328A2">
        <w:rPr>
          <w:rFonts w:cs="Times New Roman"/>
          <w:lang w:val="fr-CA"/>
        </w:rPr>
        <w:lastRenderedPageBreak/>
        <w:t xml:space="preserve">son autonomie dans la conduite du litige. Ce choix peut avoir des conséquences contraignantes pour ses successeurs, sans pour autant les obliger à sacrifier des droits substantiels. Comme je l’ai expliqué, la Couronne a les mêmes pouvoirs qu’un particulier lorsqu’elle agit comme plaideur pour faire valoir ses droits civils. Comme tout autre plaideur, la Couronne ne peut pas s’exclure de l’instance ou en contrôler le déroulement une fois qu’un tribunal indépendant a été saisi de la demande, d’autant plus que les questions relatives à son autonomie dans la conduite du litige sont souvent laissées à l’appréciation du tribunal. Par exemple, le juge a le droit de refuser d’exécuter la transaction intervenue entre les parties (voir, p. ex., </w:t>
      </w:r>
      <w:r w:rsidRPr="00C328A2">
        <w:rPr>
          <w:rFonts w:cs="Times New Roman"/>
          <w:i/>
          <w:lang w:val="fr-CA"/>
        </w:rPr>
        <w:t>Wannan c. Hutchison</w:t>
      </w:r>
      <w:r w:rsidRPr="00C328A2">
        <w:rPr>
          <w:rFonts w:cs="Times New Roman"/>
          <w:lang w:val="fr-CA"/>
        </w:rPr>
        <w:t xml:space="preserve">, 2020 BCSC 1233, 74 C.P.C. (8th) 222; </w:t>
      </w:r>
      <w:r w:rsidRPr="00C328A2">
        <w:rPr>
          <w:rFonts w:cs="Times New Roman"/>
          <w:i/>
          <w:lang w:val="fr-CA"/>
        </w:rPr>
        <w:t>Milios c. Zagas</w:t>
      </w:r>
      <w:r w:rsidRPr="00C328A2">
        <w:rPr>
          <w:rFonts w:cs="Times New Roman"/>
          <w:lang w:val="fr-CA"/>
        </w:rPr>
        <w:t xml:space="preserve"> (1998), 38 O.R. (3d) 218 (C.A.)). Le juge peut également refuser, dans certaines circonstances, de permettre au demandeur de s’exclure ou de se désister de son action (voir, p. ex., </w:t>
      </w:r>
      <w:r w:rsidRPr="00C328A2">
        <w:rPr>
          <w:rFonts w:cs="Times New Roman"/>
          <w:i/>
          <w:lang w:val="fr-CA"/>
        </w:rPr>
        <w:t>DLC Holdings Corp. c. Payne</w:t>
      </w:r>
      <w:r w:rsidRPr="00C328A2">
        <w:rPr>
          <w:rFonts w:cs="Times New Roman"/>
          <w:lang w:val="fr-CA"/>
        </w:rPr>
        <w:t xml:space="preserve">, 2021 BCCA 31, 456 D.L.R. (4th) 337; </w:t>
      </w:r>
      <w:r w:rsidRPr="00C328A2">
        <w:rPr>
          <w:rFonts w:cs="Times New Roman"/>
          <w:i/>
          <w:lang w:val="fr-CA"/>
        </w:rPr>
        <w:t>Dubuc c. 1663066 Ontario Inc.</w:t>
      </w:r>
      <w:r w:rsidRPr="00C328A2">
        <w:rPr>
          <w:rFonts w:cs="Times New Roman"/>
          <w:lang w:val="fr-CA"/>
        </w:rPr>
        <w:t xml:space="preserve">, 2009 ONCA 914, 99 O.R. (3d) 476; </w:t>
      </w:r>
      <w:r w:rsidRPr="00C328A2">
        <w:rPr>
          <w:rFonts w:cs="Times New Roman"/>
          <w:i/>
          <w:lang w:val="fr-CA"/>
        </w:rPr>
        <w:t>Poffenroth Agri Ltd. c. Brown</w:t>
      </w:r>
      <w:r w:rsidRPr="00C328A2">
        <w:rPr>
          <w:rFonts w:cs="Times New Roman"/>
          <w:lang w:val="fr-CA"/>
        </w:rPr>
        <w:t>, 2020 SKCA 121, 65 C.P.C. (8th) 348). Donc, bon nombre des choix faits au sujet du litige ont pour conséquence de priver les parties de leur liberté d’agir comme elles le souhaiteraient.</w:t>
      </w:r>
    </w:p>
    <w:p w14:paraId="43FC7E71"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Lorsque la Couronne choisit d’ester en justice dans un autre ressort, ce choix aura des conséquences encore plus importantes et contraignantes. La Couronne du chef du Canada ou d’une province peut intenter des poursuites dans toute province ayant compétence sur la demande, mais </w:t>
      </w:r>
      <w:bookmarkStart w:id="40" w:name="_Hlk183423748"/>
      <w:r w:rsidRPr="00C328A2">
        <w:rPr>
          <w:rFonts w:cs="Times New Roman"/>
          <w:lang w:val="fr-CA"/>
        </w:rPr>
        <w:t xml:space="preserve">la Couronne qui choisit d’ester en justice dans une autre province doit se soumettre aux règles de procédure de cette province </w:t>
      </w:r>
      <w:bookmarkEnd w:id="40"/>
      <w:r w:rsidRPr="00C328A2">
        <w:rPr>
          <w:rFonts w:cs="Times New Roman"/>
          <w:lang w:val="fr-CA"/>
        </w:rPr>
        <w:t xml:space="preserve">(voir </w:t>
      </w:r>
      <w:r w:rsidRPr="00C328A2">
        <w:rPr>
          <w:rFonts w:cs="Times New Roman"/>
          <w:i/>
          <w:lang w:val="fr-CA"/>
        </w:rPr>
        <w:t>McNamara Construction</w:t>
      </w:r>
      <w:r w:rsidRPr="00C328A2">
        <w:rPr>
          <w:rFonts w:cs="Times New Roman"/>
          <w:lang w:val="fr-CA"/>
        </w:rPr>
        <w:t xml:space="preserve">, p. 660; Hogg, Monahan et Wright, p. 493; Horsman et </w:t>
      </w:r>
      <w:r w:rsidRPr="00C328A2">
        <w:rPr>
          <w:rFonts w:cs="Times New Roman"/>
          <w:lang w:val="fr-CA"/>
        </w:rPr>
        <w:lastRenderedPageBreak/>
        <w:t xml:space="preserve">Morley, § 13:14). Ces règles de procédure sont déterminées par l’assemblée législative de cette autre province. Comme les appelantes l’ont reconnu à l’audience, le fait pour la Couronne du chef d’une province ou d’un territoire de se soumettre aux règles de procédure d’un autre ressort dans le cadre d’un litige ordinaire </w:t>
      </w:r>
      <w:bookmarkStart w:id="41" w:name="_Hlk183423826"/>
      <w:r w:rsidRPr="00C328A2">
        <w:rPr>
          <w:rFonts w:cs="Times New Roman"/>
          <w:lang w:val="fr-CA"/>
        </w:rPr>
        <w:t>ne viole aucun principe constitutionnel</w:t>
      </w:r>
      <w:bookmarkEnd w:id="41"/>
      <w:r w:rsidRPr="00C328A2">
        <w:rPr>
          <w:rFonts w:cs="Times New Roman"/>
          <w:lang w:val="fr-CA"/>
        </w:rPr>
        <w:t xml:space="preserve"> (transcription, jour 1, p. 6; voir Hogg et Wright, § 10:20). Ils soutiennent toutefois que le degré de renoncement à l’autonomie dans la conduite du litige qu’exigerait un recours collectif mettant en cause plusieurs gouvernements est excessif et viole la Constitution.</w:t>
      </w:r>
    </w:p>
    <w:p w14:paraId="488B873F" w14:textId="77777777" w:rsidR="00C328A2" w:rsidRPr="00C328A2" w:rsidRDefault="00C328A2" w:rsidP="00C328A2">
      <w:pPr>
        <w:pStyle w:val="ParaNoNdepar-AltN"/>
        <w:tabs>
          <w:tab w:val="clear" w:pos="1166"/>
          <w:tab w:val="num" w:pos="1152"/>
        </w:tabs>
        <w:spacing w:before="0"/>
        <w:rPr>
          <w:rFonts w:cs="Times New Roman"/>
          <w:i/>
          <w:lang w:val="fr-CA"/>
        </w:rPr>
      </w:pPr>
      <w:r w:rsidRPr="00C328A2">
        <w:rPr>
          <w:rFonts w:cs="Times New Roman"/>
          <w:lang w:val="fr-CA"/>
        </w:rPr>
        <w:t xml:space="preserve">Certes, </w:t>
      </w:r>
      <w:bookmarkStart w:id="42" w:name="_Hlk183423883"/>
      <w:r w:rsidRPr="00C328A2">
        <w:rPr>
          <w:rFonts w:cs="Times New Roman"/>
          <w:lang w:val="fr-CA"/>
        </w:rPr>
        <w:t>en tant que participant à un recours collectif, la Couronne sacrifierait une plus grande part de son autonomie dans la conduite du litige, mais seulement si elle choisit de le faire en recourant au mécanisme d’adhésion volontaire ou d’exclusion</w:t>
      </w:r>
      <w:bookmarkEnd w:id="42"/>
      <w:r w:rsidRPr="00C328A2">
        <w:rPr>
          <w:rFonts w:cs="Times New Roman"/>
          <w:lang w:val="fr-CA"/>
        </w:rPr>
        <w:t xml:space="preserve">. Ce droit procédural a été reconnu comme étant </w:t>
      </w:r>
      <w:r w:rsidRPr="00C328A2">
        <w:rPr>
          <w:rFonts w:cs="Times New Roman"/>
          <w:smallCaps/>
          <w:lang w:val="fr-CA"/>
        </w:rPr>
        <w:t>[traduction]</w:t>
      </w:r>
      <w:r w:rsidRPr="00C328A2">
        <w:rPr>
          <w:rFonts w:cs="Times New Roman"/>
          <w:lang w:val="fr-CA"/>
        </w:rPr>
        <w:t xml:space="preserve"> « [l]a principale protection dont jouissent les membres absents du groupe dans le processus de recours collectif » (</w:t>
      </w:r>
      <w:r w:rsidRPr="00C328A2">
        <w:rPr>
          <w:rFonts w:cs="Times New Roman"/>
          <w:i/>
          <w:lang w:val="fr-CA"/>
        </w:rPr>
        <w:t>1250264 Ontario Inc. c. Pet Valu Canada Inc.</w:t>
      </w:r>
      <w:r w:rsidRPr="00C328A2">
        <w:rPr>
          <w:rFonts w:cs="Times New Roman"/>
          <w:lang w:val="fr-CA"/>
        </w:rPr>
        <w:t xml:space="preserve">, 2013 ONCA 279, 362 D.L.R. (4th) 88, par. 41, citant </w:t>
      </w:r>
      <w:r w:rsidRPr="00C328A2">
        <w:rPr>
          <w:rFonts w:cs="Times New Roman"/>
          <w:i/>
          <w:lang w:val="fr-CA"/>
        </w:rPr>
        <w:t>1176560 Ontario Ltd. c. Great Atlantic &amp; Pacific Co. of Canada Ltd.</w:t>
      </w:r>
      <w:r w:rsidRPr="00C328A2">
        <w:rPr>
          <w:rFonts w:cs="Times New Roman"/>
          <w:lang w:val="fr-CA"/>
        </w:rPr>
        <w:t xml:space="preserve"> (2002), 62 O.R. (3d) 535 (C.S.J.), par. 75). En décidant de participer à l’instance, soit en décidant d’adhérer au groupe, soit en s’abstenant de s’en exclure, tout membre du groupe, y compris la Couronne, profite des avantages du recours collectif (comme l’économie de coûts et l’élimination de la multiplication des recours) en échange de certaines contraintes (comme le fait d’être lié par les décisions du représentant des demandeurs) (voir </w:t>
      </w:r>
      <w:r w:rsidRPr="00C328A2">
        <w:rPr>
          <w:rFonts w:cs="Times New Roman"/>
          <w:i/>
          <w:lang w:val="fr-CA"/>
        </w:rPr>
        <w:t>Coburn and Watson’s Metropolitan Home</w:t>
      </w:r>
      <w:r w:rsidRPr="00C328A2">
        <w:rPr>
          <w:rFonts w:cs="Times New Roman"/>
          <w:lang w:val="fr-CA"/>
        </w:rPr>
        <w:t>, par. 14</w:t>
      </w:r>
      <w:r w:rsidRPr="00C328A2">
        <w:rPr>
          <w:rFonts w:cs="Times New Roman"/>
          <w:lang w:val="fr-CA"/>
        </w:rPr>
        <w:noBreakHyphen/>
        <w:t xml:space="preserve">15). C’est la raison pour laquelle les avis qui doivent être donnés dans le cadre </w:t>
      </w:r>
      <w:r w:rsidRPr="00C328A2">
        <w:rPr>
          <w:rFonts w:cs="Times New Roman"/>
          <w:lang w:val="fr-CA"/>
        </w:rPr>
        <w:lastRenderedPageBreak/>
        <w:t xml:space="preserve">du mécanisme d’adhésion et d’exclusion constituent une protection procédurale si importante, dès lors qu’ils permettent de s’assurer que le membre du groupe est au courant des droits auxquels il renoncera s’il participe à l’instance (voir </w:t>
      </w:r>
      <w:r w:rsidRPr="00C328A2">
        <w:rPr>
          <w:rFonts w:cs="Times New Roman"/>
          <w:i/>
          <w:lang w:val="fr-CA"/>
        </w:rPr>
        <w:t>Lépine</w:t>
      </w:r>
      <w:r w:rsidRPr="00C328A2">
        <w:rPr>
          <w:rFonts w:cs="Times New Roman"/>
          <w:lang w:val="fr-CA"/>
        </w:rPr>
        <w:t>, par. 42</w:t>
      </w:r>
      <w:r w:rsidRPr="00C328A2">
        <w:rPr>
          <w:rFonts w:cs="Times New Roman"/>
          <w:lang w:val="fr-CA"/>
        </w:rPr>
        <w:noBreakHyphen/>
        <w:t xml:space="preserve">43; </w:t>
      </w:r>
      <w:r w:rsidRPr="00C328A2">
        <w:rPr>
          <w:rFonts w:cs="Times New Roman"/>
          <w:i/>
          <w:lang w:val="fr-CA"/>
        </w:rPr>
        <w:t>Dutton</w:t>
      </w:r>
      <w:r w:rsidRPr="00C328A2">
        <w:rPr>
          <w:rFonts w:cs="Times New Roman"/>
          <w:lang w:val="fr-CA"/>
        </w:rPr>
        <w:t xml:space="preserve">, par. 49; </w:t>
      </w:r>
      <w:r w:rsidRPr="00C328A2">
        <w:rPr>
          <w:rFonts w:cs="Times New Roman"/>
          <w:i/>
          <w:lang w:val="fr-CA"/>
        </w:rPr>
        <w:t>Currie c. McDonald’s Restaurants of Canada Ltd.</w:t>
      </w:r>
      <w:r w:rsidRPr="00C328A2">
        <w:rPr>
          <w:rFonts w:cs="Times New Roman"/>
          <w:lang w:val="fr-CA"/>
        </w:rPr>
        <w:t xml:space="preserve"> </w:t>
      </w:r>
      <w:r w:rsidRPr="00C328A2">
        <w:rPr>
          <w:rFonts w:cs="Times New Roman"/>
        </w:rPr>
        <w:t xml:space="preserve">(2005), 250 D.L.R. (4th) 224 (C.A. Ont.), par. 28; </w:t>
      </w:r>
      <w:r w:rsidRPr="00C328A2">
        <w:rPr>
          <w:rFonts w:cs="Times New Roman"/>
          <w:i/>
        </w:rPr>
        <w:t>Herold c. Wassermann</w:t>
      </w:r>
      <w:r w:rsidRPr="00C328A2">
        <w:rPr>
          <w:rFonts w:cs="Times New Roman"/>
        </w:rPr>
        <w:t xml:space="preserve">, 2022 SKCA 103, 473 D.L.R. (4th) 281, par. 36). </w:t>
      </w:r>
      <w:r w:rsidRPr="00C328A2">
        <w:rPr>
          <w:rFonts w:cs="Times New Roman"/>
          <w:lang w:val="fr-CA"/>
        </w:rPr>
        <w:t>Le membre du groupe qui a été dûment avisé et qui choisit de participer à l’instance exerce son autonomie dans la conduite du litige, même si cela l’oblige à sacrifier d’autres aspects de son autonomie.</w:t>
      </w:r>
    </w:p>
    <w:p w14:paraId="2BD05FB1" w14:textId="77777777" w:rsidR="00C328A2" w:rsidRPr="00C328A2" w:rsidRDefault="00C328A2" w:rsidP="00C328A2">
      <w:pPr>
        <w:pStyle w:val="ParaNoNdepar-AltN"/>
        <w:tabs>
          <w:tab w:val="clear" w:pos="1166"/>
          <w:tab w:val="num" w:pos="1152"/>
        </w:tabs>
        <w:spacing w:before="0"/>
        <w:rPr>
          <w:rFonts w:cs="Times New Roman"/>
          <w:i/>
          <w:lang w:val="fr-CA"/>
        </w:rPr>
      </w:pPr>
      <w:r w:rsidRPr="00C328A2">
        <w:rPr>
          <w:rFonts w:cs="Times New Roman"/>
          <w:lang w:val="fr-CA"/>
        </w:rPr>
        <w:t xml:space="preserve">Même alors, le membre du groupe continue de bénéficier de nombreux aspects de son autonomie dans la conduite du litige grâce aux garanties procédurales offertes aux demandeurs qui n’agissent pas comme représentants de l’ensemble des demandeurs dans les recours collectifs, y compris un autre gouvernement. Par exemple, le tribunal conserve le pouvoir discrétionnaire de permettre à un membre du groupe d’y adhérer ou de s’en exclure tardivement, si ce membre peut démontrer qu’il n’était pas au courant de l’instance ou s’il démontre qu’il a subi un préjudice (voir </w:t>
      </w:r>
      <w:r w:rsidRPr="00C328A2">
        <w:rPr>
          <w:rFonts w:cs="Times New Roman"/>
          <w:i/>
          <w:lang w:val="fr-CA"/>
        </w:rPr>
        <w:t>CPA</w:t>
      </w:r>
      <w:r w:rsidRPr="00C328A2">
        <w:rPr>
          <w:rFonts w:cs="Times New Roman"/>
          <w:lang w:val="fr-CA"/>
        </w:rPr>
        <w:t>, par. 8(3) et art. 10;</w:t>
      </w:r>
      <w:r w:rsidRPr="00C328A2">
        <w:rPr>
          <w:rFonts w:cs="Times New Roman"/>
          <w:i/>
          <w:lang w:val="fr-CA"/>
        </w:rPr>
        <w:t xml:space="preserve"> Fitzsimmons c. Cie matériaux de construction BP Canada</w:t>
      </w:r>
      <w:r w:rsidRPr="00C328A2">
        <w:rPr>
          <w:rFonts w:cs="Times New Roman"/>
          <w:lang w:val="fr-CA"/>
        </w:rPr>
        <w:t xml:space="preserve">, 2016 QCCS 1446; Branch et Good, § 11:1). Le tribunal peut, en tout temps au cours de l’instance, permettre à un membre du groupe de participer à l’instance afin de s’assurer que les intérêts du groupe soient représentés de façon juste et appropriée (voir </w:t>
      </w:r>
      <w:r w:rsidRPr="00C328A2">
        <w:rPr>
          <w:rFonts w:cs="Times New Roman"/>
          <w:i/>
          <w:lang w:val="fr-CA"/>
        </w:rPr>
        <w:t>CPA</w:t>
      </w:r>
      <w:r w:rsidRPr="00C328A2">
        <w:rPr>
          <w:rFonts w:cs="Times New Roman"/>
          <w:lang w:val="fr-CA"/>
        </w:rPr>
        <w:t xml:space="preserve">, art. 12 et par. 15(1); voir aussi </w:t>
      </w:r>
      <w:r w:rsidRPr="00C328A2">
        <w:rPr>
          <w:rFonts w:cs="Times New Roman"/>
          <w:i/>
          <w:lang w:val="fr-CA"/>
        </w:rPr>
        <w:t>Tataskweyak Cree Nation c. Canada (A.G.)</w:t>
      </w:r>
      <w:r w:rsidRPr="00C328A2">
        <w:rPr>
          <w:rFonts w:cs="Times New Roman"/>
          <w:lang w:val="fr-CA"/>
        </w:rPr>
        <w:t>, 2021 MBQB 153;</w:t>
      </w:r>
      <w:r w:rsidRPr="00C328A2">
        <w:rPr>
          <w:rFonts w:cs="Times New Roman"/>
          <w:i/>
          <w:lang w:val="fr-CA"/>
        </w:rPr>
        <w:t xml:space="preserve"> </w:t>
      </w:r>
      <w:r w:rsidRPr="00C328A2">
        <w:rPr>
          <w:rFonts w:cs="Times New Roman"/>
          <w:lang w:val="fr-CA"/>
        </w:rPr>
        <w:t>Branch et Good, § 16:6). Les membres du groupe peuvent demander au tribunal de remplacer le représentant des demandeurs si celui</w:t>
      </w:r>
      <w:r w:rsidRPr="00C328A2">
        <w:rPr>
          <w:rFonts w:cs="Times New Roman"/>
          <w:lang w:val="fr-CA"/>
        </w:rPr>
        <w:noBreakHyphen/>
        <w:t xml:space="preserve">ci ne représente pas de façon </w:t>
      </w:r>
      <w:r w:rsidRPr="00C328A2">
        <w:rPr>
          <w:rFonts w:cs="Times New Roman"/>
          <w:lang w:val="fr-CA"/>
        </w:rPr>
        <w:lastRenderedPageBreak/>
        <w:t xml:space="preserve">adéquate les intérêts du groupe (voir </w:t>
      </w:r>
      <w:r w:rsidRPr="00C328A2">
        <w:rPr>
          <w:rFonts w:cs="Times New Roman"/>
          <w:i/>
          <w:lang w:val="fr-CA"/>
        </w:rPr>
        <w:t>CPA</w:t>
      </w:r>
      <w:r w:rsidRPr="00C328A2">
        <w:rPr>
          <w:rFonts w:cs="Times New Roman"/>
          <w:lang w:val="fr-CA"/>
        </w:rPr>
        <w:t xml:space="preserve">, par. 8(3) et 10(1); </w:t>
      </w:r>
      <w:r w:rsidRPr="00C328A2">
        <w:rPr>
          <w:rFonts w:cs="Times New Roman"/>
          <w:i/>
          <w:lang w:val="fr-CA"/>
        </w:rPr>
        <w:t xml:space="preserve">Logan c. Ontario (Minister of Health) </w:t>
      </w:r>
      <w:r w:rsidRPr="00C328A2">
        <w:rPr>
          <w:rFonts w:cs="Times New Roman"/>
          <w:lang w:val="fr-CA"/>
        </w:rPr>
        <w:t xml:space="preserve">(2003), 36 C.P.C. (5th) 176 (C.S.J. Ont.); Branch et Good, § 16:4). Les membres du groupe peuvent également s’opposer au règlement proposé (voir </w:t>
      </w:r>
      <w:r w:rsidRPr="00C328A2">
        <w:rPr>
          <w:rFonts w:cs="Times New Roman"/>
          <w:i/>
          <w:lang w:val="fr-CA"/>
        </w:rPr>
        <w:t>CPA</w:t>
      </w:r>
      <w:r w:rsidRPr="00C328A2">
        <w:rPr>
          <w:rFonts w:cs="Times New Roman"/>
          <w:lang w:val="fr-CA"/>
        </w:rPr>
        <w:t xml:space="preserve">, art. 35; </w:t>
      </w:r>
      <w:r w:rsidRPr="00C328A2">
        <w:rPr>
          <w:rFonts w:cs="Times New Roman"/>
          <w:i/>
          <w:lang w:val="fr-CA"/>
        </w:rPr>
        <w:t>Dabbs c. Sun Life Assurance Co. of Canada</w:t>
      </w:r>
      <w:r w:rsidRPr="00C328A2">
        <w:rPr>
          <w:rFonts w:cs="Times New Roman"/>
          <w:lang w:val="fr-CA"/>
        </w:rPr>
        <w:t xml:space="preserve"> (1998), 40 O.R. (3d) 429 (C.J. (Div. gén.)); Branch et Good, § 17:2). Les membres du groupe peuvent même demander au tribunal l’autorisation d’agir à titre de représentant des demandeurs et de se charger de l’appel d’une ordonnance rendue dans le cadre d’un recours collectif lorsque le représentant des demandeurs refuse d’agir (voir </w:t>
      </w:r>
      <w:r w:rsidRPr="00C328A2">
        <w:rPr>
          <w:rFonts w:cs="Times New Roman"/>
          <w:i/>
          <w:lang w:val="fr-CA"/>
        </w:rPr>
        <w:t>CPA</w:t>
      </w:r>
      <w:r w:rsidRPr="00C328A2">
        <w:rPr>
          <w:rFonts w:cs="Times New Roman"/>
          <w:lang w:val="fr-CA"/>
        </w:rPr>
        <w:t xml:space="preserve">, par. 36(2); </w:t>
      </w:r>
      <w:r w:rsidRPr="00C328A2">
        <w:rPr>
          <w:rFonts w:cs="Times New Roman"/>
          <w:i/>
          <w:lang w:val="fr-CA"/>
        </w:rPr>
        <w:t>Leonard c. The Manufacturers Life Insurance Company</w:t>
      </w:r>
      <w:r w:rsidRPr="00C328A2">
        <w:rPr>
          <w:rFonts w:cs="Times New Roman"/>
          <w:lang w:val="fr-CA"/>
        </w:rPr>
        <w:t xml:space="preserve">, 2022 BCCA 28, 75 B.C.L.R. (6th) 235, par. 16; Branch et Good, § 21:1). À tout cela s’ajoute le pouvoir général de surveillance du tribunal sur le déroulement de l’instance, qui s’applique dès le début du recours collectif proposé et qui oblige le tribunal à veiller à ce que les intérêts des membres du groupe soient protégés (voir </w:t>
      </w:r>
      <w:r w:rsidRPr="00C328A2">
        <w:rPr>
          <w:rFonts w:cs="Times New Roman"/>
          <w:i/>
          <w:lang w:val="fr-CA"/>
        </w:rPr>
        <w:t>CPA</w:t>
      </w:r>
      <w:r w:rsidRPr="00C328A2">
        <w:rPr>
          <w:rFonts w:cs="Times New Roman"/>
          <w:lang w:val="fr-CA"/>
        </w:rPr>
        <w:t xml:space="preserve">, art. 12; </w:t>
      </w:r>
      <w:r w:rsidRPr="00C328A2">
        <w:rPr>
          <w:rFonts w:cs="Times New Roman"/>
          <w:i/>
          <w:lang w:val="fr-CA"/>
        </w:rPr>
        <w:t>Coburn and Watson’s Metropolitan Home</w:t>
      </w:r>
      <w:r w:rsidRPr="00C328A2">
        <w:rPr>
          <w:rFonts w:cs="Times New Roman"/>
          <w:lang w:val="fr-CA"/>
        </w:rPr>
        <w:t xml:space="preserve">, par. 14; W. K. Winkler et autres, </w:t>
      </w:r>
      <w:r w:rsidRPr="00C328A2">
        <w:rPr>
          <w:rFonts w:cs="Times New Roman"/>
          <w:i/>
          <w:lang w:val="fr-CA"/>
        </w:rPr>
        <w:t>The Law of Class Actions in Canada</w:t>
      </w:r>
      <w:r w:rsidRPr="00C328A2">
        <w:rPr>
          <w:rFonts w:cs="Times New Roman"/>
          <w:lang w:val="fr-CA"/>
        </w:rPr>
        <w:t xml:space="preserve"> (2014), p. 20).</w:t>
      </w:r>
    </w:p>
    <w:p w14:paraId="73F3E10A"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Ces garanties procédurales, qui sont inscrites dans les lois sur les recours collectifs et qui relèvent de la compétence inhérente du tribunal, protègent les aspects de l’autonomie dans la conduite du litige auxquels les membres du groupe devraient autrement renoncer lorsqu’ils participent à une action collective. Accorder une trop grande protection à l’autonomie des membres du groupe dans la conduite du litige, y compris dans le cas de la Couronne, annulerait probablement bon nombre des avantages que les lois sur les recours collectifs sont censées procurer (voir </w:t>
      </w:r>
      <w:r w:rsidRPr="00C328A2">
        <w:rPr>
          <w:rFonts w:cs="Times New Roman"/>
          <w:i/>
          <w:lang w:val="fr-CA"/>
        </w:rPr>
        <w:t>Berry c. Pulley</w:t>
      </w:r>
      <w:r w:rsidRPr="00C328A2">
        <w:rPr>
          <w:rFonts w:cs="Times New Roman"/>
          <w:lang w:val="fr-CA"/>
        </w:rPr>
        <w:t>, 2011 ONSC 1378, 106 O.R. (3d) 123, par. 62;</w:t>
      </w:r>
      <w:r w:rsidRPr="00C328A2">
        <w:rPr>
          <w:rFonts w:cs="Times New Roman"/>
          <w:i/>
          <w:lang w:val="fr-CA"/>
        </w:rPr>
        <w:t xml:space="preserve"> </w:t>
      </w:r>
      <w:r w:rsidRPr="00C328A2">
        <w:rPr>
          <w:rFonts w:cs="Times New Roman"/>
          <w:lang w:val="fr-CA"/>
        </w:rPr>
        <w:t xml:space="preserve">J. Cassels et C. Jones, </w:t>
      </w:r>
      <w:r w:rsidRPr="00C328A2">
        <w:rPr>
          <w:rFonts w:cs="Times New Roman"/>
          <w:i/>
          <w:lang w:val="fr-CA"/>
        </w:rPr>
        <w:t xml:space="preserve">The Law of Large-Scale </w:t>
      </w:r>
      <w:r w:rsidRPr="00C328A2">
        <w:rPr>
          <w:rFonts w:cs="Times New Roman"/>
          <w:i/>
          <w:lang w:val="fr-CA"/>
        </w:rPr>
        <w:lastRenderedPageBreak/>
        <w:t>Claims : Product Liability, Mass Torts, and Complex Litigation in Canada</w:t>
      </w:r>
      <w:r w:rsidRPr="00C328A2">
        <w:rPr>
          <w:rFonts w:cs="Times New Roman"/>
          <w:lang w:val="fr-CA"/>
        </w:rPr>
        <w:t xml:space="preserve"> (2005), p. 434</w:t>
      </w:r>
      <w:r w:rsidRPr="00C328A2">
        <w:rPr>
          <w:rFonts w:cs="Times New Roman"/>
          <w:lang w:val="fr-CA"/>
        </w:rPr>
        <w:noBreakHyphen/>
        <w:t>438).</w:t>
      </w:r>
    </w:p>
    <w:p w14:paraId="6E0D315E"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Ainsi, la participation à un recours collectif comporte à la fois des avantages et des contraintes pour ce qui est de l’autonomie des membres dans la conduite du litige. La Couronne qui se prévaut des avantages que comporte une loi sur les recours collectifs en accepte aussi les contraintes (</w:t>
      </w:r>
      <w:r w:rsidRPr="00C328A2">
        <w:rPr>
          <w:rFonts w:cs="Times New Roman"/>
          <w:i/>
          <w:iCs/>
          <w:lang w:val="fr-CA"/>
        </w:rPr>
        <w:t>Alberta Government Telephones c. Canada (Conseil de la radiodiffusion et des télécommunications canadiennes)</w:t>
      </w:r>
      <w:r w:rsidRPr="00C328A2">
        <w:rPr>
          <w:rFonts w:cs="Times New Roman"/>
          <w:lang w:val="fr-CA"/>
        </w:rPr>
        <w:t>, [1989] 2 R.C.S. 225, p. 284). La décision de la Couronne d’accepter les conséquences de ses choix en ce qui concerne la conduite du litige en tant que demanderesse ne porte pas atteinte à son autonomie.</w:t>
      </w:r>
      <w:r w:rsidRPr="00C328A2" w:rsidDel="006660BA">
        <w:rPr>
          <w:rFonts w:cs="Times New Roman"/>
          <w:lang w:val="fr-CA"/>
        </w:rPr>
        <w:t xml:space="preserve"> </w:t>
      </w:r>
      <w:r w:rsidRPr="00C328A2">
        <w:rPr>
          <w:rFonts w:cs="Times New Roman"/>
          <w:lang w:val="fr-CA"/>
        </w:rPr>
        <w:t>Des conséquences ne sont pas des règles substantielles.</w:t>
      </w:r>
    </w:p>
    <w:p w14:paraId="0B2BE35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Les conséquences en question sur les choix de la Couronne quant au déroulement de l’instance ne transforment pas non plus l’art. 11 de l’</w:t>
      </w:r>
      <w:r w:rsidRPr="00C328A2">
        <w:rPr>
          <w:rFonts w:cs="Times New Roman"/>
          <w:i/>
          <w:lang w:val="fr-CA"/>
        </w:rPr>
        <w:t>ORA</w:t>
      </w:r>
      <w:r w:rsidRPr="00C328A2">
        <w:rPr>
          <w:rFonts w:cs="Times New Roman"/>
          <w:lang w:val="fr-CA"/>
        </w:rPr>
        <w:t xml:space="preserve"> en une disposition portant sur des droits civils substantiels simplement parce que ces choix peuvent avoir une incidence sur les droits substantiels de la Couronne. Même si la participation au recours collectif en tant que membre du groupe a incontestablement des </w:t>
      </w:r>
      <w:r w:rsidRPr="00C328A2">
        <w:rPr>
          <w:rFonts w:cs="Times New Roman"/>
          <w:i/>
          <w:iCs/>
          <w:lang w:val="fr-CA"/>
        </w:rPr>
        <w:t>effets</w:t>
      </w:r>
      <w:r w:rsidRPr="00C328A2">
        <w:rPr>
          <w:rFonts w:cs="Times New Roman"/>
          <w:lang w:val="fr-CA"/>
        </w:rPr>
        <w:t xml:space="preserve"> sur les droits substantiels, l’aptitude à devenir membre du groupe n’est qu’un droit procédural (</w:t>
      </w:r>
      <w:r w:rsidRPr="00C328A2">
        <w:rPr>
          <w:rFonts w:cs="Times New Roman"/>
          <w:i/>
          <w:lang w:val="fr-CA"/>
        </w:rPr>
        <w:t>AIC Limitée c. Fischer</w:t>
      </w:r>
      <w:r w:rsidRPr="00C328A2">
        <w:rPr>
          <w:rFonts w:cs="Times New Roman"/>
          <w:lang w:val="fr-CA"/>
        </w:rPr>
        <w:t xml:space="preserve">, 2013 CSC 69, [2013] 3 R.C.S. 949, par. 34). Notre Cour a affirmé à maintes reprises que les lois sur les recours collectifs sont des lois procédurales qui ne modifient ni ne créent de droits substantiels (voir, p. ex., </w:t>
      </w:r>
      <w:r w:rsidRPr="00C328A2">
        <w:rPr>
          <w:rFonts w:cs="Times New Roman"/>
          <w:i/>
          <w:lang w:val="fr-CA"/>
        </w:rPr>
        <w:t>Bisaillon c. Université Concordia</w:t>
      </w:r>
      <w:r w:rsidRPr="00C328A2">
        <w:rPr>
          <w:rFonts w:cs="Times New Roman"/>
          <w:lang w:val="fr-CA"/>
        </w:rPr>
        <w:t xml:space="preserve">, 2006 CSC 19, [2006] 1 R.C.S. 666, par. 17; </w:t>
      </w:r>
      <w:r w:rsidRPr="00C328A2">
        <w:rPr>
          <w:rFonts w:cs="Times New Roman"/>
          <w:i/>
          <w:lang w:val="fr-CA"/>
        </w:rPr>
        <w:t>Pro-Sys Consultants</w:t>
      </w:r>
      <w:r w:rsidRPr="00C328A2">
        <w:rPr>
          <w:rFonts w:cs="Times New Roman"/>
          <w:lang w:val="fr-CA"/>
        </w:rPr>
        <w:t>, par. 131</w:t>
      </w:r>
      <w:r w:rsidRPr="00C328A2">
        <w:rPr>
          <w:rFonts w:cs="Times New Roman"/>
          <w:lang w:val="fr-CA"/>
        </w:rPr>
        <w:noBreakHyphen/>
        <w:t xml:space="preserve">133; </w:t>
      </w:r>
      <w:r w:rsidRPr="00C328A2">
        <w:rPr>
          <w:rFonts w:cs="Times New Roman"/>
          <w:i/>
          <w:lang w:val="fr-CA"/>
        </w:rPr>
        <w:t>Pioneer Corp. c. Godfrey</w:t>
      </w:r>
      <w:r w:rsidRPr="00C328A2">
        <w:rPr>
          <w:rFonts w:cs="Times New Roman"/>
          <w:lang w:val="fr-CA"/>
        </w:rPr>
        <w:t xml:space="preserve">, 2019 CSC 42, [2019] 3 R.C.S. </w:t>
      </w:r>
      <w:r w:rsidRPr="00C328A2">
        <w:rPr>
          <w:rFonts w:cs="Times New Roman"/>
          <w:lang w:val="fr-CA"/>
        </w:rPr>
        <w:lastRenderedPageBreak/>
        <w:t>295, par. 116). Les droits substantiels de tout autre gouvernement qui choisit de participer à la présente instance seront toujours déterminés selon ses propres lois, lesquelles peuvent être modifiées par son assemblée législative et par les gouvernements qui lui succéderont.</w:t>
      </w:r>
    </w:p>
    <w:p w14:paraId="2DBDC572" w14:textId="77777777" w:rsidR="00C328A2" w:rsidRPr="00C328A2" w:rsidRDefault="00C328A2" w:rsidP="00C328A2">
      <w:pPr>
        <w:pStyle w:val="ParaNoNdepar-AltN"/>
        <w:spacing w:before="0"/>
        <w:rPr>
          <w:rFonts w:cs="Times New Roman"/>
          <w:lang w:val="fr-CA"/>
        </w:rPr>
      </w:pPr>
      <w:r w:rsidRPr="00C328A2">
        <w:rPr>
          <w:rFonts w:cs="Times New Roman"/>
          <w:lang w:val="fr-CA"/>
        </w:rPr>
        <w:t>Je conviens donc avec les juridictions inférieures que, sur le plan juridique, l’art. 11 a pour effet d’encadrer la façon dont l’instance en cours sera reprise devant les tribunaux de la Colombie</w:t>
      </w:r>
      <w:r w:rsidRPr="00C328A2">
        <w:rPr>
          <w:rFonts w:cs="Times New Roman"/>
          <w:lang w:val="fr-CA"/>
        </w:rPr>
        <w:noBreakHyphen/>
        <w:t xml:space="preserve">Britannique sous une forme modifiée, et à préciser les mécanismes procéduraux de la </w:t>
      </w:r>
      <w:r w:rsidRPr="00C328A2">
        <w:rPr>
          <w:rFonts w:cs="Times New Roman"/>
          <w:i/>
          <w:lang w:val="fr-CA"/>
        </w:rPr>
        <w:t>CPA</w:t>
      </w:r>
      <w:r w:rsidRPr="00C328A2">
        <w:rPr>
          <w:rFonts w:cs="Times New Roman"/>
          <w:lang w:val="fr-CA"/>
        </w:rPr>
        <w:t xml:space="preserve"> qui s’appliqueront à cette instance après l’entrée en vigueur de l’</w:t>
      </w:r>
      <w:r w:rsidRPr="00C328A2">
        <w:rPr>
          <w:rFonts w:cs="Times New Roman"/>
          <w:i/>
          <w:lang w:val="fr-CA"/>
        </w:rPr>
        <w:t>ORA</w:t>
      </w:r>
      <w:r w:rsidRPr="00C328A2">
        <w:rPr>
          <w:rFonts w:cs="Times New Roman"/>
          <w:lang w:val="fr-CA"/>
        </w:rPr>
        <w:t>. L’article 11 autorise le gouvernement de la Colombie</w:t>
      </w:r>
      <w:r w:rsidRPr="00C328A2">
        <w:rPr>
          <w:rFonts w:cs="Times New Roman"/>
          <w:lang w:val="fr-CA"/>
        </w:rPr>
        <w:noBreakHyphen/>
        <w:t>Britannique à intenter le présent recours collectif proposé au nom des membres du groupe potentiel dont il est question à l’al. 11(1)b). L’article 11 fait également relever de cette instance les autres droits substantiels et recours que l’</w:t>
      </w:r>
      <w:r w:rsidRPr="00C328A2">
        <w:rPr>
          <w:rFonts w:cs="Times New Roman"/>
          <w:i/>
          <w:lang w:val="fr-CA"/>
        </w:rPr>
        <w:t xml:space="preserve">ORA </w:t>
      </w:r>
      <w:r w:rsidRPr="00C328A2">
        <w:rPr>
          <w:rFonts w:cs="Times New Roman"/>
          <w:lang w:val="fr-CA"/>
        </w:rPr>
        <w:t>accorde exclusivement à la Colombie</w:t>
      </w:r>
      <w:r w:rsidRPr="00C328A2">
        <w:rPr>
          <w:rFonts w:cs="Times New Roman"/>
          <w:lang w:val="fr-CA"/>
        </w:rPr>
        <w:noBreakHyphen/>
        <w:t>Britannique, alors que les droits substantiels des autres gouvernements qui choisissent de participer à l’instance en se conformant à ce cadre procédural demeurent inchangés.</w:t>
      </w:r>
    </w:p>
    <w:p w14:paraId="644C6068"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Les effets pratiques de l’art. 11 sont en outre limités : il ne fait qu’obliger les autres gouvernements à décider s’ils acceptent les avantages et les contraintes procéduraux du recours collectif que l’art. 11 autorise la Couronne du chef de la Colombie</w:t>
      </w:r>
      <w:r w:rsidRPr="00C328A2">
        <w:rPr>
          <w:rFonts w:cs="Times New Roman"/>
          <w:lang w:val="fr-CA"/>
        </w:rPr>
        <w:noBreakHyphen/>
        <w:t xml:space="preserve">Britannique à introduire en leur nom, après avoir examiné les conséquences que ce choix peut avoir sur leurs droits. Loin de les placer devant un </w:t>
      </w:r>
      <w:r w:rsidRPr="00C328A2">
        <w:rPr>
          <w:rFonts w:cs="Times New Roman"/>
          <w:smallCaps/>
          <w:lang w:val="fr-CA"/>
        </w:rPr>
        <w:t>[traduction]</w:t>
      </w:r>
      <w:r w:rsidRPr="00C328A2">
        <w:rPr>
          <w:rFonts w:cs="Times New Roman"/>
          <w:lang w:val="fr-CA"/>
        </w:rPr>
        <w:t xml:space="preserve"> « choix contraire à la Constitution », comme le prétendent les appelantes (m.a., par. 3 </w:t>
      </w:r>
      <w:r w:rsidRPr="00C328A2">
        <w:rPr>
          <w:rFonts w:cs="Times New Roman"/>
          <w:lang w:val="fr-CA"/>
        </w:rPr>
        <w:lastRenderedPageBreak/>
        <w:t>et 77), l’art. 11 permet aux autres gouvernements d’exercer leur autonomie et de décider s’il est dans leur intérêt de chercher à obtenir réparation pour leurs préjudices liés aux opioïdes dans le cadre d’une seule et même instance regroupant d’autres réclamations, ou de s’exclure du recours collectif et de faire cavalier seul. Comme le procureur général des Territoires du Nord</w:t>
      </w:r>
      <w:r w:rsidRPr="00C328A2">
        <w:rPr>
          <w:rFonts w:cs="Times New Roman"/>
          <w:lang w:val="fr-CA"/>
        </w:rPr>
        <w:noBreakHyphen/>
        <w:t>Ouest et le procureur général de l’Île</w:t>
      </w:r>
      <w:r w:rsidRPr="00C328A2">
        <w:rPr>
          <w:rFonts w:cs="Times New Roman"/>
          <w:lang w:val="fr-CA"/>
        </w:rPr>
        <w:noBreakHyphen/>
        <w:t>du</w:t>
      </w:r>
      <w:r w:rsidRPr="00C328A2">
        <w:rPr>
          <w:rFonts w:cs="Times New Roman"/>
          <w:lang w:val="fr-CA"/>
        </w:rPr>
        <w:noBreakHyphen/>
        <w:t>Prince</w:t>
      </w:r>
      <w:r w:rsidRPr="00C328A2">
        <w:rPr>
          <w:rFonts w:cs="Times New Roman"/>
          <w:lang w:val="fr-CA"/>
        </w:rPr>
        <w:noBreakHyphen/>
        <w:t>Édouard le soulignent, l’existence de ce choix représente peut</w:t>
      </w:r>
      <w:r w:rsidRPr="00C328A2">
        <w:rPr>
          <w:rFonts w:cs="Times New Roman"/>
          <w:lang w:val="fr-CA"/>
        </w:rPr>
        <w:noBreakHyphen/>
        <w:t>être la seule façon pour les provinces et territoires plus petits d’obtenir réparation (m. interv., procureur général des Territoires du Nord</w:t>
      </w:r>
      <w:r w:rsidRPr="00C328A2">
        <w:rPr>
          <w:rFonts w:cs="Times New Roman"/>
          <w:lang w:val="fr-CA"/>
        </w:rPr>
        <w:noBreakHyphen/>
        <w:t>Ouest, par. 11</w:t>
      </w:r>
      <w:r w:rsidRPr="00C328A2">
        <w:rPr>
          <w:rFonts w:cs="Times New Roman"/>
          <w:lang w:val="fr-CA"/>
        </w:rPr>
        <w:noBreakHyphen/>
        <w:t>22; m. interv., procureur général de l’Île</w:t>
      </w:r>
      <w:r w:rsidRPr="00C328A2">
        <w:rPr>
          <w:rFonts w:cs="Times New Roman"/>
          <w:lang w:val="fr-CA"/>
        </w:rPr>
        <w:noBreakHyphen/>
        <w:t>du</w:t>
      </w:r>
      <w:r w:rsidRPr="00C328A2">
        <w:rPr>
          <w:rFonts w:cs="Times New Roman"/>
          <w:lang w:val="fr-CA"/>
        </w:rPr>
        <w:noBreakHyphen/>
        <w:t>Prince</w:t>
      </w:r>
      <w:r w:rsidRPr="00C328A2">
        <w:rPr>
          <w:rFonts w:cs="Times New Roman"/>
          <w:lang w:val="fr-CA"/>
        </w:rPr>
        <w:noBreakHyphen/>
        <w:t>Édouard, par. 18). S’ils étaient acceptés, les arguments des appelantes empêcheraient les gouvernements d’exercer leur autonomie et de faire valoir efficacement leurs revendications de manière collective en prétendant qu’ils ne peuvent se prévaloir de ce choix. Je conclus qu’un gouvernement peut accepter de se soumettre aux règles de procédure d’une autre province qui s’appliquent à un recours collectif, même si ce choix peut avoir pour conséquence de limiter la capacité de son assemblée législative et de ses successeurs de se soustraire aux conséquences de ce choix.</w:t>
      </w:r>
    </w:p>
    <w:p w14:paraId="611B663F" w14:textId="77777777" w:rsidR="00C328A2" w:rsidRPr="00C328A2" w:rsidRDefault="00C328A2" w:rsidP="00C328A2">
      <w:pPr>
        <w:pStyle w:val="Title3LevelTitre3Niveau"/>
        <w:widowControl w:val="0"/>
        <w:ind w:hanging="612"/>
        <w:rPr>
          <w:rFonts w:cs="Times New Roman"/>
          <w:lang w:val="fr-CA"/>
        </w:rPr>
      </w:pPr>
      <w:r w:rsidRPr="00C328A2">
        <w:rPr>
          <w:rFonts w:cs="Times New Roman"/>
          <w:lang w:val="fr-CA"/>
        </w:rPr>
        <w:t>Quel est le caractère véritable de l’art. 11?</w:t>
      </w:r>
    </w:p>
    <w:p w14:paraId="732E7160" w14:textId="77777777" w:rsidR="00C328A2" w:rsidRPr="00C328A2" w:rsidRDefault="00C328A2" w:rsidP="00C328A2">
      <w:pPr>
        <w:pStyle w:val="ParaNoNdepar-AltN"/>
        <w:widowControl w:val="0"/>
        <w:tabs>
          <w:tab w:val="clear" w:pos="1166"/>
          <w:tab w:val="num" w:pos="1152"/>
        </w:tabs>
        <w:spacing w:before="0"/>
        <w:rPr>
          <w:rFonts w:cs="Times New Roman"/>
          <w:lang w:val="fr-CA"/>
        </w:rPr>
      </w:pPr>
      <w:bookmarkStart w:id="43" w:name="_Hlk169777223"/>
      <w:r w:rsidRPr="00C328A2">
        <w:rPr>
          <w:rFonts w:cs="Times New Roman"/>
          <w:lang w:val="fr-CA"/>
        </w:rPr>
        <w:t>En somme, l’art. 11 a pour objet et pour effet de favoriser l’efficacité des procès en regroupant les revendications des gouvernements qui acceptent de participer au recours collectif à titre de membres dans une seule et même instance dont les tribunaux de la Colombie</w:t>
      </w:r>
      <w:r w:rsidRPr="00C328A2">
        <w:rPr>
          <w:rFonts w:cs="Times New Roman"/>
          <w:lang w:val="fr-CA"/>
        </w:rPr>
        <w:noBreakHyphen/>
        <w:t xml:space="preserve">Britannique sont déjà saisis, pour permettre à leurs </w:t>
      </w:r>
      <w:r w:rsidRPr="00C328A2">
        <w:rPr>
          <w:rFonts w:cs="Times New Roman"/>
          <w:lang w:val="fr-CA"/>
        </w:rPr>
        <w:lastRenderedPageBreak/>
        <w:t>revendications individuelles de bénéficier de l’efficacité et de la cohérence qu’offrent les recours collectifs et l’</w:t>
      </w:r>
      <w:r w:rsidRPr="00C328A2">
        <w:rPr>
          <w:rFonts w:cs="Times New Roman"/>
          <w:i/>
          <w:lang w:val="fr-CA"/>
        </w:rPr>
        <w:t>ORA</w:t>
      </w:r>
      <w:r w:rsidRPr="00C328A2">
        <w:rPr>
          <w:rFonts w:cs="Times New Roman"/>
          <w:lang w:val="fr-CA"/>
        </w:rPr>
        <w:t>.</w:t>
      </w:r>
    </w:p>
    <w:p w14:paraId="57C05EB1"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Les juridictions inférieures ont eu raison de conclure que, de par son caractère véritable, l’art. 11 vise à créer un mécanisme procédural qui permet d’appliquer l’</w:t>
      </w:r>
      <w:r w:rsidRPr="00C328A2">
        <w:rPr>
          <w:rFonts w:cs="Times New Roman"/>
          <w:i/>
          <w:lang w:val="fr-CA"/>
        </w:rPr>
        <w:t>ORA</w:t>
      </w:r>
      <w:r w:rsidRPr="00C328A2">
        <w:rPr>
          <w:rFonts w:cs="Times New Roman"/>
          <w:lang w:val="fr-CA"/>
        </w:rPr>
        <w:t xml:space="preserve"> à l’instance liée aux opioïdes déjà en cours que la province de la Colombie</w:t>
      </w:r>
      <w:r w:rsidRPr="00C328A2">
        <w:rPr>
          <w:rFonts w:cs="Times New Roman"/>
          <w:lang w:val="fr-CA"/>
        </w:rPr>
        <w:noBreakHyphen/>
        <w:t>Britannique est autorisée à poursuivre en tant que représentante des demandeurs, au nom des autres gouvernements canadiens qui ont choisi d’y participer.</w:t>
      </w:r>
    </w:p>
    <w:bookmarkEnd w:id="43"/>
    <w:p w14:paraId="09FD9F05" w14:textId="77777777" w:rsidR="00C328A2" w:rsidRPr="00C328A2" w:rsidRDefault="00C328A2" w:rsidP="00C328A2">
      <w:pPr>
        <w:pStyle w:val="Title2LevelTitre2Niveau"/>
        <w:widowControl w:val="0"/>
        <w:spacing w:before="0"/>
        <w:rPr>
          <w:rFonts w:cs="Times New Roman"/>
          <w:lang w:val="fr-CA"/>
        </w:rPr>
      </w:pPr>
      <w:r w:rsidRPr="00C328A2">
        <w:rPr>
          <w:rFonts w:cs="Times New Roman"/>
          <w:iCs/>
          <w:lang w:val="fr-CA"/>
        </w:rPr>
        <w:t>L’article 11 relève-t-</w:t>
      </w:r>
      <w:r w:rsidRPr="00C328A2">
        <w:rPr>
          <w:rFonts w:cs="Times New Roman"/>
          <w:lang w:val="fr-CA"/>
        </w:rPr>
        <w:t>il du par. 92(13), « la propriété et les droits civils », ou du par. 92(14), « l’administration de la justice »?</w:t>
      </w:r>
    </w:p>
    <w:p w14:paraId="61CA39D0"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 xml:space="preserve">Après avoir établi le caractère véritable de la disposition en cause, elle doit être « classée » sous l’un des chefs de compétence législative prévus aux art. 91 et 92 de la </w:t>
      </w:r>
      <w:r w:rsidRPr="00C328A2">
        <w:rPr>
          <w:rFonts w:cs="Times New Roman"/>
          <w:i/>
          <w:lang w:val="fr-CA"/>
        </w:rPr>
        <w:t>Loi constitutionnelle de 1867</w:t>
      </w:r>
      <w:r w:rsidRPr="00C328A2">
        <w:rPr>
          <w:rFonts w:cs="Times New Roman"/>
          <w:lang w:val="fr-CA"/>
        </w:rPr>
        <w:t xml:space="preserve"> (</w:t>
      </w:r>
      <w:r w:rsidRPr="00C328A2">
        <w:rPr>
          <w:rFonts w:cs="Times New Roman"/>
          <w:i/>
          <w:lang w:val="fr-CA"/>
        </w:rPr>
        <w:t>Québec (Procureur général)</w:t>
      </w:r>
      <w:r w:rsidRPr="00C328A2">
        <w:rPr>
          <w:rFonts w:cs="Times New Roman"/>
          <w:lang w:val="fr-CA"/>
        </w:rPr>
        <w:t>, par. 32).</w:t>
      </w:r>
    </w:p>
    <w:p w14:paraId="2618C6D7"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Premièrement, j’arrive à la conclusion que l’art. 11 est procédural et qu’il ne traite pas de droits substantiels. Par conséquent, l’art. 11 ne relève pas du par. 92(13), parce que, de par son caractère véritable, il ne porte pas sur « [l]a propriété et les droits civils ».</w:t>
      </w:r>
    </w:p>
    <w:p w14:paraId="1F90FDA0"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Je conclus plutôt que l’art. 11 relève effectivement du par. 92(14) de la </w:t>
      </w:r>
      <w:r w:rsidRPr="00C328A2">
        <w:rPr>
          <w:rFonts w:cs="Times New Roman"/>
          <w:i/>
          <w:lang w:val="fr-CA"/>
        </w:rPr>
        <w:t>Loi constitutionnelle de 1867</w:t>
      </w:r>
      <w:r w:rsidRPr="00C328A2">
        <w:rPr>
          <w:rFonts w:cs="Times New Roman"/>
          <w:lang w:val="fr-CA"/>
        </w:rPr>
        <w:t xml:space="preserve">, lequel confère aux provinces le pouvoir de légiférer sur « [l]’administration de la justice dans la province, y compris la création, le maintien et </w:t>
      </w:r>
      <w:r w:rsidRPr="00C328A2">
        <w:rPr>
          <w:rFonts w:cs="Times New Roman"/>
          <w:lang w:val="fr-CA"/>
        </w:rPr>
        <w:lastRenderedPageBreak/>
        <w:t>l’organisation de tribunaux de justice pour la province, ayant juridiction civile et criminelle, y compris la procédure en matières civiles dans ces tribunaux ». Cette formulation est délibérément générale, étant donné qu’« [a]vant la Confédération, les pouvoirs des provinces en matière d’administration de la justice, tant civile que criminelle, étaient sans restriction » (</w:t>
      </w:r>
      <w:r w:rsidRPr="00C328A2">
        <w:rPr>
          <w:rFonts w:cs="Times New Roman"/>
          <w:i/>
          <w:lang w:val="fr-CA"/>
        </w:rPr>
        <w:t>Di Iorio c. Gardien de la prison de Montréal</w:t>
      </w:r>
      <w:r w:rsidRPr="00C328A2">
        <w:rPr>
          <w:rFonts w:cs="Times New Roman"/>
          <w:lang w:val="fr-CA"/>
        </w:rPr>
        <w:t>, [1978] 1 R.C.S. 152, p. 204). Cette disposition fournit donc une liste non exhaustive de matières sur lesquelles les provinces peuvent légiférer, sans pour autant limiter leur compétence à ces seules matières (p. 204</w:t>
      </w:r>
      <w:r w:rsidRPr="00C328A2">
        <w:rPr>
          <w:rFonts w:cs="Times New Roman"/>
          <w:lang w:val="fr-CA"/>
        </w:rPr>
        <w:noBreakHyphen/>
        <w:t>205).</w:t>
      </w:r>
    </w:p>
    <w:p w14:paraId="185E9C99"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En vertu de ce chef de compétence, les provinces peuvent « édicte[r] des lois et pren[dre] des règlements sur les tribunaux, les règles de procédure et la procédure civile » (</w:t>
      </w:r>
      <w:r w:rsidRPr="00C328A2">
        <w:rPr>
          <w:rFonts w:cs="Times New Roman"/>
          <w:i/>
          <w:lang w:val="fr-CA"/>
        </w:rPr>
        <w:t>Ontario c. Criminal Lawyers’ Association of Ontario</w:t>
      </w:r>
      <w:r w:rsidRPr="00C328A2">
        <w:rPr>
          <w:rFonts w:cs="Times New Roman"/>
          <w:lang w:val="fr-CA"/>
        </w:rPr>
        <w:t xml:space="preserve">, 2013 CSC 43, [2013] 3 R.C.S. 3, par. 33; voir aussi </w:t>
      </w:r>
      <w:r w:rsidRPr="00C328A2">
        <w:rPr>
          <w:rFonts w:cs="Times New Roman"/>
          <w:i/>
          <w:lang w:val="fr-CA"/>
        </w:rPr>
        <w:t>Caron c. Alberta</w:t>
      </w:r>
      <w:r w:rsidRPr="00C328A2">
        <w:rPr>
          <w:rFonts w:cs="Times New Roman"/>
          <w:lang w:val="fr-CA"/>
        </w:rPr>
        <w:t>, 2015 CSC 56, [2015] 3 R.C.S. 511, par. 79). Une loi relève généralement du par. 92(14) si elle concerne le fonctionnement administratif des tribunaux d’une province ou le cadre procédural régissant les actions dont sont saisis les tribunaux de la province (</w:t>
      </w:r>
      <w:r w:rsidRPr="00C328A2">
        <w:rPr>
          <w:rFonts w:cs="Times New Roman"/>
          <w:i/>
          <w:lang w:val="fr-CA"/>
        </w:rPr>
        <w:t>Castillo c. Castillo</w:t>
      </w:r>
      <w:r w:rsidRPr="00C328A2">
        <w:rPr>
          <w:rFonts w:cs="Times New Roman"/>
          <w:lang w:val="fr-CA"/>
        </w:rPr>
        <w:t xml:space="preserve">, 2005 CSC 83, [2005] 3 R.C.S. 870, par. 37, le juge Bastarache, motifs concordants; voir aussi </w:t>
      </w:r>
      <w:r w:rsidRPr="00C328A2">
        <w:rPr>
          <w:rFonts w:cs="Times New Roman"/>
          <w:i/>
          <w:lang w:val="fr-CA"/>
        </w:rPr>
        <w:t>Criminal Lawyers’ Association of Ontario</w:t>
      </w:r>
      <w:r w:rsidRPr="00C328A2">
        <w:rPr>
          <w:rFonts w:cs="Times New Roman"/>
          <w:lang w:val="fr-CA"/>
        </w:rPr>
        <w:t>, par. 33).</w:t>
      </w:r>
    </w:p>
    <w:p w14:paraId="00AA5946"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L’article 11 de l’</w:t>
      </w:r>
      <w:r w:rsidRPr="00C328A2">
        <w:rPr>
          <w:rFonts w:cs="Times New Roman"/>
          <w:i/>
          <w:lang w:val="fr-CA"/>
        </w:rPr>
        <w:t>ORA</w:t>
      </w:r>
      <w:r w:rsidRPr="00C328A2">
        <w:rPr>
          <w:rFonts w:cs="Times New Roman"/>
          <w:lang w:val="fr-CA"/>
        </w:rPr>
        <w:t xml:space="preserve"> est un mécanisme procédural qui s’applique de concert avec la </w:t>
      </w:r>
      <w:r w:rsidRPr="00C328A2">
        <w:rPr>
          <w:rFonts w:cs="Times New Roman"/>
          <w:i/>
          <w:lang w:val="fr-CA"/>
        </w:rPr>
        <w:t>CPA</w:t>
      </w:r>
      <w:r w:rsidRPr="00C328A2">
        <w:rPr>
          <w:rFonts w:cs="Times New Roman"/>
          <w:lang w:val="fr-CA"/>
        </w:rPr>
        <w:t>, une loi purement procédurale, et qui permet a priori au gouvernement de la Colombie</w:t>
      </w:r>
      <w:r w:rsidRPr="00C328A2">
        <w:rPr>
          <w:rFonts w:cs="Times New Roman"/>
          <w:lang w:val="fr-CA"/>
        </w:rPr>
        <w:noBreakHyphen/>
        <w:t xml:space="preserve">Britannique d’ester en justice au nom d’un groupe de gouvernements canadiens qui acceptent de participer au recours collectif à titre de </w:t>
      </w:r>
      <w:r w:rsidRPr="00C328A2">
        <w:rPr>
          <w:rFonts w:cs="Times New Roman"/>
          <w:lang w:val="fr-CA"/>
        </w:rPr>
        <w:lastRenderedPageBreak/>
        <w:t>membres. Comme toute règle de procédure, l’art. 11 entre en jeu lorsqu’il s’agit de déterminer des droits substantiels et il touche ces derniers jusqu’à un certain point, sans toutefois avoir pour effet de créer ou de modifier des droits substantiels. L’article 11 aide plutôt les gouvernements à collaborer entre eux dans le cadre d’une démarche commune dans le but de faire valoir leurs revendications individuelles, et il aide les tribunaux de la Colombie</w:t>
      </w:r>
      <w:r w:rsidRPr="00C328A2">
        <w:rPr>
          <w:rFonts w:cs="Times New Roman"/>
          <w:lang w:val="fr-CA"/>
        </w:rPr>
        <w:noBreakHyphen/>
        <w:t>Britannique à assurer la direction de cette démarche.</w:t>
      </w:r>
    </w:p>
    <w:p w14:paraId="222F950B" w14:textId="77777777" w:rsidR="00C328A2" w:rsidRPr="00C328A2" w:rsidRDefault="00C328A2" w:rsidP="00C328A2">
      <w:pPr>
        <w:pStyle w:val="Title2LevelTitre2Niveau"/>
        <w:widowControl w:val="0"/>
        <w:spacing w:before="0"/>
        <w:rPr>
          <w:rFonts w:cs="Times New Roman"/>
          <w:lang w:val="fr-CA"/>
        </w:rPr>
      </w:pPr>
      <w:r w:rsidRPr="00C328A2">
        <w:rPr>
          <w:rFonts w:cs="Times New Roman"/>
          <w:lang w:val="fr-CA"/>
        </w:rPr>
        <w:t>L’article 11 a-t-il une portée extraterritoriale excessive?</w:t>
      </w:r>
    </w:p>
    <w:p w14:paraId="16758CD5"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Pour ce qui est de la deuxième étape du cadre d’analyse de l’arrêt</w:t>
      </w:r>
      <w:r w:rsidRPr="00C328A2">
        <w:rPr>
          <w:rFonts w:cs="Times New Roman"/>
          <w:i/>
          <w:lang w:val="fr-CA"/>
        </w:rPr>
        <w:t xml:space="preserve"> Imperial Tobacco</w:t>
      </w:r>
      <w:r w:rsidRPr="00C328A2">
        <w:rPr>
          <w:rFonts w:cs="Times New Roman"/>
          <w:lang w:val="fr-CA"/>
        </w:rPr>
        <w:t>, la question est de savoir si la disposition contestée respecte les limites territoriales de la compétence de la province. Ces limites sont énoncées tout d’abord dans le passage liminaire de l’art. 92, qui précise que « [d]ans chaque province », la législature pourra légiférer exclusivement sur les matières qui y sont énumérées. Elles ressortent ensuite de la formulation de plusieurs chefs de compétence eux</w:t>
      </w:r>
      <w:r w:rsidRPr="00C328A2">
        <w:rPr>
          <w:rFonts w:cs="Times New Roman"/>
          <w:lang w:val="fr-CA"/>
        </w:rPr>
        <w:noBreakHyphen/>
        <w:t>mêmes, laquelle exige que les lois portent sur des matières « dans la province » (p. ex., les par. 92(8), (12), (13), (14) et (16)).</w:t>
      </w:r>
    </w:p>
    <w:p w14:paraId="36A89172" w14:textId="77777777" w:rsidR="00C328A2" w:rsidRPr="00C328A2" w:rsidRDefault="00C328A2" w:rsidP="00C328A2">
      <w:pPr>
        <w:pStyle w:val="ParaNoNdepar-AltN"/>
        <w:tabs>
          <w:tab w:val="clear" w:pos="1166"/>
          <w:tab w:val="num" w:pos="1152"/>
        </w:tabs>
        <w:rPr>
          <w:rFonts w:cs="Times New Roman"/>
          <w:lang w:val="fr-CA"/>
        </w:rPr>
      </w:pPr>
      <w:r w:rsidRPr="00C328A2">
        <w:rPr>
          <w:rFonts w:cs="Times New Roman"/>
          <w:lang w:val="fr-CA"/>
        </w:rPr>
        <w:t>Les limites territoriales de la compétence provinciale « reflètent les exigences d’ordre et d’équité qui sous</w:t>
      </w:r>
      <w:r w:rsidRPr="00C328A2">
        <w:rPr>
          <w:rFonts w:cs="Times New Roman"/>
          <w:lang w:val="fr-CA"/>
        </w:rPr>
        <w:noBreakHyphen/>
        <w:t>tendent les structures fédérales canadiennes » (</w:t>
      </w:r>
      <w:r w:rsidRPr="00C328A2">
        <w:rPr>
          <w:rFonts w:cs="Times New Roman"/>
          <w:i/>
          <w:lang w:val="fr-CA"/>
        </w:rPr>
        <w:t>Imperial Tobacco</w:t>
      </w:r>
      <w:r w:rsidRPr="00C328A2">
        <w:rPr>
          <w:rFonts w:cs="Times New Roman"/>
          <w:lang w:val="fr-CA"/>
        </w:rPr>
        <w:t xml:space="preserve">, par. 27; voir aussi </w:t>
      </w:r>
      <w:r w:rsidRPr="00C328A2">
        <w:rPr>
          <w:rFonts w:cs="Times New Roman"/>
          <w:i/>
          <w:iCs/>
          <w:lang w:val="fr-CA"/>
        </w:rPr>
        <w:t>Renvoi relatif à la Upper Churchill Water Rights Reversion Act</w:t>
      </w:r>
      <w:r w:rsidRPr="00C328A2">
        <w:rPr>
          <w:rFonts w:cs="Times New Roman"/>
          <w:lang w:val="fr-CA"/>
        </w:rPr>
        <w:t>, [1984] 1 R.C.S. 297 (</w:t>
      </w:r>
      <w:r w:rsidRPr="00C328A2">
        <w:rPr>
          <w:rFonts w:cs="Times New Roman"/>
          <w:i/>
          <w:lang w:val="fr-CA"/>
        </w:rPr>
        <w:t>Churchill Falls</w:t>
      </w:r>
      <w:r w:rsidRPr="00C328A2">
        <w:rPr>
          <w:rFonts w:cs="Times New Roman"/>
          <w:lang w:val="fr-CA"/>
        </w:rPr>
        <w:t xml:space="preserve">), p. 328; </w:t>
      </w:r>
      <w:r w:rsidRPr="00C328A2">
        <w:rPr>
          <w:rFonts w:cs="Times New Roman"/>
          <w:i/>
          <w:lang w:val="fr-CA"/>
        </w:rPr>
        <w:t>Club Resorts Ltd. c. Van Breda</w:t>
      </w:r>
      <w:r w:rsidRPr="00C328A2">
        <w:rPr>
          <w:rFonts w:cs="Times New Roman"/>
          <w:lang w:val="fr-CA"/>
        </w:rPr>
        <w:t xml:space="preserve">, 2012 CSC 17, [2012] 1 R.C.S. 572, par. 31). Ces limites ont deux objectifs : garantir que les lois provinciales conservent un lien utile avec la province qui les adopte </w:t>
      </w:r>
      <w:r w:rsidRPr="00C328A2">
        <w:rPr>
          <w:rFonts w:cs="Times New Roman"/>
          <w:lang w:val="fr-CA"/>
        </w:rPr>
        <w:lastRenderedPageBreak/>
        <w:t>et qu’elles respectent la souveraineté législative des autres provinces dans leurs champs de compétence respectifs (</w:t>
      </w:r>
      <w:r w:rsidRPr="00C328A2">
        <w:rPr>
          <w:rFonts w:cs="Times New Roman"/>
          <w:i/>
          <w:lang w:val="fr-CA"/>
        </w:rPr>
        <w:t>Imperial Tobacco</w:t>
      </w:r>
      <w:r w:rsidRPr="00C328A2">
        <w:rPr>
          <w:rFonts w:cs="Times New Roman"/>
          <w:lang w:val="fr-CA"/>
        </w:rPr>
        <w:t>, par. 27). Si le caractère véritable de la disposition contestée est intangible, comme c’est le cas en l’espèce, le tribunal doit se demander si cette disposition respecte le double objet des limites territoriales prévues à l’art. 92 : A</w:t>
      </w:r>
      <w:r w:rsidRPr="00C328A2">
        <w:rPr>
          <w:rFonts w:cs="Times New Roman"/>
          <w:lang w:val="fr-CA"/>
        </w:rPr>
        <w:noBreakHyphen/>
        <w:t>t</w:t>
      </w:r>
      <w:r w:rsidRPr="00C328A2">
        <w:rPr>
          <w:rFonts w:cs="Times New Roman"/>
          <w:lang w:val="fr-CA"/>
        </w:rPr>
        <w:noBreakHyphen/>
        <w:t>elle un lien significatif avec la province qui l’adopte et respecte</w:t>
      </w:r>
      <w:r w:rsidRPr="00C328A2">
        <w:rPr>
          <w:rFonts w:cs="Times New Roman"/>
          <w:lang w:val="fr-CA"/>
        </w:rPr>
        <w:noBreakHyphen/>
        <w:t>t</w:t>
      </w:r>
      <w:r w:rsidRPr="00C328A2">
        <w:rPr>
          <w:rFonts w:cs="Times New Roman"/>
          <w:lang w:val="fr-CA"/>
        </w:rPr>
        <w:noBreakHyphen/>
        <w:t>elle la souveraineté législative des autres territoires (par. 36)? Dans l’affirmative, la disposition est valide.</w:t>
      </w:r>
    </w:p>
    <w:p w14:paraId="7BE09E3C" w14:textId="77777777" w:rsidR="00C328A2" w:rsidRPr="00C328A2" w:rsidRDefault="00C328A2" w:rsidP="00C328A2">
      <w:pPr>
        <w:pStyle w:val="Title3LevelTitre3Niveau"/>
        <w:rPr>
          <w:rFonts w:cs="Times New Roman"/>
          <w:lang w:val="fr-CA"/>
        </w:rPr>
      </w:pPr>
      <w:r w:rsidRPr="00C328A2">
        <w:rPr>
          <w:rFonts w:cs="Times New Roman"/>
          <w:lang w:val="fr-CA"/>
        </w:rPr>
        <w:t>Existe</w:t>
      </w:r>
      <w:r w:rsidRPr="00C328A2">
        <w:rPr>
          <w:rFonts w:cs="Times New Roman"/>
          <w:lang w:val="fr-CA"/>
        </w:rPr>
        <w:noBreakHyphen/>
        <w:t>t</w:t>
      </w:r>
      <w:r w:rsidRPr="00C328A2">
        <w:rPr>
          <w:rFonts w:cs="Times New Roman"/>
          <w:lang w:val="fr-CA"/>
        </w:rPr>
        <w:noBreakHyphen/>
        <w:t>il un lien significatif entre l’art. 11 et le territoire de la Colombie</w:t>
      </w:r>
      <w:r w:rsidRPr="00C328A2">
        <w:rPr>
          <w:rFonts w:cs="Times New Roman"/>
          <w:lang w:val="fr-CA"/>
        </w:rPr>
        <w:noBreakHyphen/>
        <w:t>Britannique, l’objet de la disposition et les parties qui y sont assujetties?</w:t>
      </w:r>
    </w:p>
    <w:p w14:paraId="732367D1"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L’exigence, prévue par le cadre d’analyse de l’arrêt</w:t>
      </w:r>
      <w:r w:rsidRPr="00C328A2">
        <w:rPr>
          <w:rFonts w:cs="Times New Roman"/>
          <w:i/>
          <w:lang w:val="fr-CA"/>
        </w:rPr>
        <w:t xml:space="preserve"> Imperial Tobacco</w:t>
      </w:r>
      <w:r w:rsidRPr="00C328A2">
        <w:rPr>
          <w:rFonts w:cs="Times New Roman"/>
          <w:lang w:val="fr-CA"/>
        </w:rPr>
        <w:t xml:space="preserve">, selon laquelle une loi doit avoir un « lien significatif » avec la province ou le territoire qui l’a adoptée (par. 27), s’explique par le souci de s’assurer que l’État exerce ses pouvoirs légitimement (voir </w:t>
      </w:r>
      <w:r w:rsidRPr="00C328A2">
        <w:rPr>
          <w:rFonts w:cs="Times New Roman"/>
          <w:i/>
          <w:lang w:val="fr-CA"/>
        </w:rPr>
        <w:t>Van Breda</w:t>
      </w:r>
      <w:r w:rsidRPr="00C328A2">
        <w:rPr>
          <w:rFonts w:cs="Times New Roman"/>
          <w:lang w:val="fr-CA"/>
        </w:rPr>
        <w:t>, par. 31). Une « famille de critères » a été élaborée pour déterminer s’il existe un lien entre l’organe de l’État qui essaie d’exercer un pouvoir et le sujet visé par l’exercice de ce pouvoir (</w:t>
      </w:r>
      <w:r w:rsidRPr="00C328A2">
        <w:rPr>
          <w:rFonts w:cs="Times New Roman"/>
          <w:i/>
          <w:lang w:val="fr-CA"/>
        </w:rPr>
        <w:t>Sharp</w:t>
      </w:r>
      <w:r w:rsidRPr="00C328A2">
        <w:rPr>
          <w:rFonts w:cs="Times New Roman"/>
          <w:lang w:val="fr-CA"/>
        </w:rPr>
        <w:t>, par. 118). Le critère particulier qui s’applique dans le cadre de cette analyse dépend du contexte, bien qu’il soit inévitable que certains facteurs se recoupent puisque l’objectif sous</w:t>
      </w:r>
      <w:r w:rsidRPr="00C328A2">
        <w:rPr>
          <w:rFonts w:cs="Times New Roman"/>
          <w:lang w:val="fr-CA"/>
        </w:rPr>
        <w:noBreakHyphen/>
        <w:t>jacent de chaque critère demeure le même (par. 118; voir aussi les par. 119</w:t>
      </w:r>
      <w:r w:rsidRPr="00C328A2">
        <w:rPr>
          <w:rFonts w:cs="Times New Roman"/>
          <w:lang w:val="fr-CA"/>
        </w:rPr>
        <w:noBreakHyphen/>
        <w:t>122).</w:t>
      </w:r>
    </w:p>
    <w:p w14:paraId="3052BF3A"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Lorsqu’il évalue la </w:t>
      </w:r>
      <w:r w:rsidRPr="00C328A2">
        <w:rPr>
          <w:rFonts w:cs="Times New Roman"/>
          <w:i/>
          <w:lang w:val="fr-CA"/>
        </w:rPr>
        <w:t>validité</w:t>
      </w:r>
      <w:r w:rsidRPr="00C328A2">
        <w:rPr>
          <w:rFonts w:cs="Times New Roman"/>
          <w:lang w:val="fr-CA"/>
        </w:rPr>
        <w:t xml:space="preserve"> constitutionnelle d’une loi, le tribunal vérifie l’existence d’un « lien significatif » en examinant le lien entre la loi et le territoire qui l’a adoptée, l’objet de la loi et les personnes qui y sont assujetties (</w:t>
      </w:r>
      <w:r w:rsidRPr="00C328A2">
        <w:rPr>
          <w:rFonts w:cs="Times New Roman"/>
          <w:i/>
          <w:lang w:val="fr-CA"/>
        </w:rPr>
        <w:t>Imperial Tobacco</w:t>
      </w:r>
      <w:r w:rsidRPr="00C328A2">
        <w:rPr>
          <w:rFonts w:cs="Times New Roman"/>
          <w:lang w:val="fr-CA"/>
        </w:rPr>
        <w:t xml:space="preserve">, </w:t>
      </w:r>
      <w:r w:rsidRPr="00C328A2">
        <w:rPr>
          <w:rFonts w:cs="Times New Roman"/>
          <w:lang w:val="fr-CA"/>
        </w:rPr>
        <w:lastRenderedPageBreak/>
        <w:t xml:space="preserve">par. 36). Bien que l’existence d’un « lien solide » entre ces facteurs permette au tribunal de conclure « facilement » à l’existence d’un lien significatif entre la loi et la province, l’analyse vise d’abord et avant tout à déterminer s’il existe un « lien significatif » et non à vérifier si le lien </w:t>
      </w:r>
      <w:r w:rsidRPr="00C328A2">
        <w:rPr>
          <w:rFonts w:cs="Times New Roman"/>
          <w:i/>
          <w:iCs/>
          <w:lang w:val="fr-CA"/>
        </w:rPr>
        <w:t>n’a pas</w:t>
      </w:r>
      <w:r w:rsidRPr="00C328A2">
        <w:rPr>
          <w:rFonts w:cs="Times New Roman"/>
          <w:lang w:val="fr-CA"/>
        </w:rPr>
        <w:t xml:space="preserve"> de portée extraterritoriale (par. 37). De simples effets accessoires qui se font sentir à l’extérieur de la province « ne rendent pas inconstitutionnelle une loi par ailleurs </w:t>
      </w:r>
      <w:r w:rsidRPr="00C328A2">
        <w:rPr>
          <w:rFonts w:cs="Times New Roman"/>
          <w:i/>
          <w:lang w:val="fr-CA"/>
        </w:rPr>
        <w:t>intra vires</w:t>
      </w:r>
      <w:r w:rsidRPr="00C328A2">
        <w:rPr>
          <w:rFonts w:cs="Times New Roman"/>
          <w:lang w:val="fr-CA"/>
        </w:rPr>
        <w:t> » (</w:t>
      </w:r>
      <w:r w:rsidRPr="00C328A2">
        <w:rPr>
          <w:rFonts w:cs="Times New Roman"/>
          <w:i/>
          <w:lang w:val="fr-CA"/>
        </w:rPr>
        <w:t>Global Securities Corp. c. Colombie-Britannique (Securities Commission)</w:t>
      </w:r>
      <w:r w:rsidRPr="00C328A2">
        <w:rPr>
          <w:rFonts w:cs="Times New Roman"/>
          <w:lang w:val="fr-CA"/>
        </w:rPr>
        <w:t xml:space="preserve">, 2000 CSC 21, [2000] 1 R.C.S. 494, par. 23; voir aussi </w:t>
      </w:r>
      <w:r w:rsidRPr="00C328A2">
        <w:rPr>
          <w:rFonts w:cs="Times New Roman"/>
          <w:i/>
          <w:lang w:val="fr-CA"/>
        </w:rPr>
        <w:t>Imperial Tobacco</w:t>
      </w:r>
      <w:r w:rsidRPr="00C328A2">
        <w:rPr>
          <w:rFonts w:cs="Times New Roman"/>
          <w:lang w:val="fr-CA"/>
        </w:rPr>
        <w:t>, par. 28). Des empiètements sur les pouvoirs d’autres gouvernements « sont acceptables et prévisibles » dans une fédération où la coopération entre les gouvernements sur des enjeux qui transcendent les frontières est essentielle (</w:t>
      </w:r>
      <w:r w:rsidRPr="00C328A2">
        <w:rPr>
          <w:rFonts w:cs="Times New Roman"/>
          <w:i/>
          <w:lang w:val="fr-CA"/>
        </w:rPr>
        <w:t>Banque canadienne de l’Ouest</w:t>
      </w:r>
      <w:r w:rsidRPr="00C328A2">
        <w:rPr>
          <w:rFonts w:cs="Times New Roman"/>
          <w:lang w:val="fr-CA"/>
        </w:rPr>
        <w:t>, par. 28).</w:t>
      </w:r>
    </w:p>
    <w:p w14:paraId="717EE91C"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L’article 11 concerne un recours collectif unique intenté devant les tribunaux de la Colombie</w:t>
      </w:r>
      <w:r w:rsidRPr="00C328A2">
        <w:rPr>
          <w:rFonts w:cs="Times New Roman"/>
          <w:lang w:val="fr-CA"/>
        </w:rPr>
        <w:noBreakHyphen/>
        <w:t>Britannique et opposant le gouvernement de cette province et des défendeurs qui ont exercé des activités commerciales dans la province et qui y auraient causé des préjudices liés aux opioïdes.</w:t>
      </w:r>
    </w:p>
    <w:p w14:paraId="2CC1DD98"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Toutefois, les objections que les appelantes formulent à l’encontre de l’art. 11 nous obligent à examiner son lien significatif avec la Colombie</w:t>
      </w:r>
      <w:r w:rsidRPr="00C328A2">
        <w:rPr>
          <w:rFonts w:cs="Times New Roman"/>
          <w:lang w:val="fr-CA"/>
        </w:rPr>
        <w:noBreakHyphen/>
        <w:t>Britannique dans les cas où d’autres gouvernements seraient touchés. Les appelantes affirment que l’art. 11 donne ouverture à un recours collectif lorsque les réclamations substantielles présentées par les</w:t>
      </w:r>
      <w:r w:rsidRPr="00C328A2">
        <w:rPr>
          <w:rFonts w:cs="Times New Roman"/>
          <w:i/>
          <w:lang w:val="fr-CA"/>
        </w:rPr>
        <w:t xml:space="preserve"> autres </w:t>
      </w:r>
      <w:r w:rsidRPr="00C328A2">
        <w:rPr>
          <w:rFonts w:cs="Times New Roman"/>
          <w:lang w:val="fr-CA"/>
        </w:rPr>
        <w:t>gouvernements pour des fautes qui auraient été commises dans d’</w:t>
      </w:r>
      <w:r w:rsidRPr="00C328A2">
        <w:rPr>
          <w:rFonts w:cs="Times New Roman"/>
          <w:i/>
          <w:iCs/>
          <w:lang w:val="fr-CA"/>
        </w:rPr>
        <w:t>autres</w:t>
      </w:r>
      <w:r w:rsidRPr="00C328A2">
        <w:rPr>
          <w:rFonts w:cs="Times New Roman"/>
          <w:lang w:val="fr-CA"/>
        </w:rPr>
        <w:t xml:space="preserve"> provinces et territoires selon le droit applicable dans ces </w:t>
      </w:r>
      <w:r w:rsidRPr="00C328A2">
        <w:rPr>
          <w:rFonts w:cs="Times New Roman"/>
          <w:i/>
          <w:iCs/>
          <w:lang w:val="fr-CA"/>
        </w:rPr>
        <w:t>autres</w:t>
      </w:r>
      <w:r w:rsidRPr="00C328A2">
        <w:rPr>
          <w:rFonts w:cs="Times New Roman"/>
          <w:lang w:val="fr-CA"/>
        </w:rPr>
        <w:t xml:space="preserve"> provinces et </w:t>
      </w:r>
      <w:r w:rsidRPr="00C328A2">
        <w:rPr>
          <w:rFonts w:cs="Times New Roman"/>
          <w:lang w:val="fr-CA"/>
        </w:rPr>
        <w:lastRenderedPageBreak/>
        <w:t>territoires feront l’objet d’une poursuite intentée par le gouvernement de la Colombie</w:t>
      </w:r>
      <w:r w:rsidRPr="00C328A2">
        <w:rPr>
          <w:rFonts w:cs="Times New Roman"/>
          <w:lang w:val="fr-CA"/>
        </w:rPr>
        <w:noBreakHyphen/>
        <w:t>Britannique et seront jugées par un tribunal de la Colombie</w:t>
      </w:r>
      <w:r w:rsidRPr="00C328A2">
        <w:rPr>
          <w:rFonts w:cs="Times New Roman"/>
          <w:lang w:val="fr-CA"/>
        </w:rPr>
        <w:noBreakHyphen/>
        <w:t>Britannique, éliminant ainsi, à leur avis, tout lien significatif que l’art. 11 aurait autrement pu avoir avec cette province.</w:t>
      </w:r>
    </w:p>
    <w:p w14:paraId="245EE4F7"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Je ne suis pas de cet avis. L’article 11 conserve un lien significatif avec la Colombie</w:t>
      </w:r>
      <w:r w:rsidRPr="00C328A2">
        <w:rPr>
          <w:rFonts w:cs="Times New Roman"/>
          <w:lang w:val="fr-CA"/>
        </w:rPr>
        <w:noBreakHyphen/>
        <w:t>Britannique, tant de par la nature du recours collectif que par le choix des autres gouvernements de participer à l’instance. La disposition concerne une seule action qui est le dénominateur commun de défendeurs, de questions et de réclamations.</w:t>
      </w:r>
    </w:p>
    <w:p w14:paraId="67829BEA"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L’article 11 s’accorde avec la manière dont les tribunaux se déclarent compétents à l’égard des membres du groupe de l’extérieur de la province. Rien dans l’art. 11 ne modifie ce processus. Le tribunal doit toujours conclure à l’existence d’un lien réel et substantiel entre la Colombie</w:t>
      </w:r>
      <w:r w:rsidRPr="00C328A2">
        <w:rPr>
          <w:rFonts w:cs="Times New Roman"/>
          <w:lang w:val="fr-CA"/>
        </w:rPr>
        <w:noBreakHyphen/>
        <w:t>Britannique et le groupe dans son ensemble pour se déclarer compétent, et l’assemblée législative de la Colombie</w:t>
      </w:r>
      <w:r w:rsidRPr="00C328A2">
        <w:rPr>
          <w:rFonts w:cs="Times New Roman"/>
          <w:lang w:val="fr-CA"/>
        </w:rPr>
        <w:noBreakHyphen/>
        <w:t>Britannique ne peut donc imposer ses règles de procédure aux autres gouvernements que si le tribunal est d’abord convaincu qu’il existe un lien réel et substantiel entre la Colombie-Britannique et le groupe. Dans l’instance que l’art. 11 permet d’introduire, les lois et les tribunaux de la Colombie</w:t>
      </w:r>
      <w:r w:rsidRPr="00C328A2">
        <w:rPr>
          <w:rFonts w:cs="Times New Roman"/>
          <w:lang w:val="fr-CA"/>
        </w:rPr>
        <w:noBreakHyphen/>
        <w:t>Britannique ne dépassent les limites de la province que si le tribunal est convaincu qu’il existe des questions communes au gouvernement de la Colombie</w:t>
      </w:r>
      <w:r w:rsidRPr="00C328A2">
        <w:rPr>
          <w:rFonts w:cs="Times New Roman"/>
          <w:lang w:val="fr-CA"/>
        </w:rPr>
        <w:noBreakHyphen/>
        <w:t>Britannique et aux membres du groupe proposé, et considère que la Colombie</w:t>
      </w:r>
      <w:r w:rsidRPr="00C328A2">
        <w:rPr>
          <w:rFonts w:cs="Times New Roman"/>
          <w:lang w:val="fr-CA"/>
        </w:rPr>
        <w:noBreakHyphen/>
        <w:t xml:space="preserve">Britannique est l’endroit indiqué pour régler ces questions communes (voir </w:t>
      </w:r>
      <w:r w:rsidRPr="00C328A2">
        <w:rPr>
          <w:rFonts w:cs="Times New Roman"/>
          <w:i/>
          <w:lang w:val="fr-CA"/>
        </w:rPr>
        <w:t>CPA</w:t>
      </w:r>
      <w:r w:rsidRPr="00C328A2">
        <w:rPr>
          <w:rFonts w:cs="Times New Roman"/>
          <w:lang w:val="fr-CA"/>
        </w:rPr>
        <w:t xml:space="preserve">, par. 4(1) et al. 4.1(1)(a); </w:t>
      </w:r>
      <w:r w:rsidRPr="00C328A2">
        <w:rPr>
          <w:rFonts w:cs="Times New Roman"/>
          <w:i/>
          <w:lang w:val="fr-CA"/>
        </w:rPr>
        <w:t>ORA</w:t>
      </w:r>
      <w:r w:rsidRPr="00C328A2">
        <w:rPr>
          <w:rFonts w:cs="Times New Roman"/>
          <w:lang w:val="fr-CA"/>
        </w:rPr>
        <w:t>, al. 11(1)(b)).</w:t>
      </w:r>
    </w:p>
    <w:p w14:paraId="18A44517"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 xml:space="preserve">Notre Cour et de nombreuses autres au Canada ont souscrit à l’idée qu’il suffit que les demandeurs membres du groupe qui proviennent d’autres provinces ou territoires et le représentant des demandeurs qui réside dans le ressort du tribunal aient des questions communes à faire trancher pour conclure à l’existence d’un lien réel et substantiel conférant au tribunal une compétence juridictionnelle sur le groupe en question (voir, p. ex., </w:t>
      </w:r>
      <w:r w:rsidRPr="00C328A2">
        <w:rPr>
          <w:rFonts w:cs="Times New Roman"/>
          <w:i/>
          <w:lang w:val="fr-CA"/>
        </w:rPr>
        <w:t>Dutton</w:t>
      </w:r>
      <w:r w:rsidRPr="00C328A2">
        <w:rPr>
          <w:rFonts w:cs="Times New Roman"/>
          <w:lang w:val="fr-CA"/>
        </w:rPr>
        <w:t>, par. 52</w:t>
      </w:r>
      <w:r w:rsidRPr="00C328A2">
        <w:rPr>
          <w:rFonts w:cs="Times New Roman"/>
          <w:lang w:val="fr-CA"/>
        </w:rPr>
        <w:noBreakHyphen/>
        <w:t xml:space="preserve">54; </w:t>
      </w:r>
      <w:r w:rsidRPr="00C328A2">
        <w:rPr>
          <w:rFonts w:cs="Times New Roman"/>
          <w:i/>
          <w:lang w:val="fr-CA"/>
        </w:rPr>
        <w:t>Vivendi Canada Inc. c. Dell’Aniello</w:t>
      </w:r>
      <w:r w:rsidRPr="00C328A2">
        <w:rPr>
          <w:rFonts w:cs="Times New Roman"/>
          <w:lang w:val="fr-CA"/>
        </w:rPr>
        <w:t>, 2014 CSC 1, [2014] 1 R.C.S. 3, par. 61</w:t>
      </w:r>
      <w:r w:rsidRPr="00C328A2">
        <w:rPr>
          <w:rFonts w:cs="Times New Roman"/>
          <w:lang w:val="fr-CA"/>
        </w:rPr>
        <w:noBreakHyphen/>
        <w:t xml:space="preserve">63; </w:t>
      </w:r>
      <w:r w:rsidRPr="00C328A2">
        <w:rPr>
          <w:rFonts w:cs="Times New Roman"/>
          <w:i/>
          <w:lang w:val="fr-CA"/>
        </w:rPr>
        <w:t>Endean</w:t>
      </w:r>
      <w:r w:rsidRPr="00C328A2">
        <w:rPr>
          <w:rFonts w:cs="Times New Roman"/>
          <w:lang w:val="fr-CA"/>
        </w:rPr>
        <w:t>,</w:t>
      </w:r>
      <w:r w:rsidRPr="00C328A2">
        <w:rPr>
          <w:rFonts w:cs="Times New Roman"/>
          <w:i/>
          <w:lang w:val="fr-CA"/>
        </w:rPr>
        <w:t xml:space="preserve"> </w:t>
      </w:r>
      <w:r w:rsidRPr="00C328A2">
        <w:rPr>
          <w:rFonts w:cs="Times New Roman"/>
          <w:lang w:val="fr-CA"/>
        </w:rPr>
        <w:t xml:space="preserve">par. 6, 17 et 58; </w:t>
      </w:r>
      <w:r w:rsidRPr="00C328A2">
        <w:rPr>
          <w:rFonts w:cs="Times New Roman"/>
          <w:i/>
          <w:lang w:val="fr-CA"/>
        </w:rPr>
        <w:t>Airia Brands Inc. c. Air Canada</w:t>
      </w:r>
      <w:r w:rsidRPr="00C328A2">
        <w:rPr>
          <w:rFonts w:cs="Times New Roman"/>
          <w:lang w:val="fr-CA"/>
        </w:rPr>
        <w:t xml:space="preserve">, 2017 ONCA 792, 417 D.L.R. (4th) 467, par. 107; </w:t>
      </w:r>
      <w:r w:rsidRPr="00C328A2">
        <w:rPr>
          <w:rFonts w:cs="Times New Roman"/>
          <w:i/>
          <w:lang w:val="fr-CA"/>
        </w:rPr>
        <w:t>Harrington c. Dow Corning Corp.</w:t>
      </w:r>
      <w:r w:rsidRPr="00C328A2">
        <w:rPr>
          <w:rFonts w:cs="Times New Roman"/>
          <w:lang w:val="fr-CA"/>
        </w:rPr>
        <w:t xml:space="preserve">, 2000 BCCA 605, 193 D.L.R. (4th) 67, par. 96; </w:t>
      </w:r>
      <w:r w:rsidRPr="00C328A2">
        <w:rPr>
          <w:rFonts w:cs="Times New Roman"/>
          <w:i/>
          <w:lang w:val="fr-CA"/>
        </w:rPr>
        <w:t>Meeking c. Cash Store Inc.</w:t>
      </w:r>
      <w:r w:rsidRPr="00C328A2">
        <w:rPr>
          <w:rFonts w:cs="Times New Roman"/>
          <w:lang w:val="fr-CA"/>
        </w:rPr>
        <w:t xml:space="preserve">, 2013 MBCA 81, 367 D.L.R. (4th) 684, par. 97; </w:t>
      </w:r>
      <w:r w:rsidRPr="00C328A2">
        <w:rPr>
          <w:rFonts w:cs="Times New Roman"/>
          <w:i/>
          <w:lang w:val="fr-CA"/>
        </w:rPr>
        <w:t>Thorpe c. Honda Canada Inc.</w:t>
      </w:r>
      <w:r w:rsidRPr="00C328A2">
        <w:rPr>
          <w:rFonts w:cs="Times New Roman"/>
          <w:lang w:val="fr-CA"/>
        </w:rPr>
        <w:t xml:space="preserve">, 2011 SKQB 72, [2011] 8 W.W.R. 529, par. 135; </w:t>
      </w:r>
      <w:r w:rsidRPr="00C328A2">
        <w:rPr>
          <w:rFonts w:cs="Times New Roman"/>
          <w:i/>
          <w:lang w:val="fr-CA"/>
        </w:rPr>
        <w:t xml:space="preserve">Wilson c. Servier Canada Inc. </w:t>
      </w:r>
      <w:r w:rsidRPr="00C328A2">
        <w:rPr>
          <w:rFonts w:cs="Times New Roman"/>
        </w:rPr>
        <w:t xml:space="preserve">(2000), 50 O.R. (3d) 219 (C.S.J.); voir aussi C. Jones, « The Case for the National Class » 1:1 (2004), 1 </w:t>
      </w:r>
      <w:r w:rsidRPr="00C328A2">
        <w:rPr>
          <w:rFonts w:cs="Times New Roman"/>
          <w:i/>
        </w:rPr>
        <w:t xml:space="preserve">R.C.R.C. </w:t>
      </w:r>
      <w:r w:rsidRPr="00C328A2">
        <w:rPr>
          <w:rFonts w:cs="Times New Roman"/>
        </w:rPr>
        <w:t>29, p. 46-47; T. J. Monestier, « Personal Jurisdiction over Non</w:t>
      </w:r>
      <w:r w:rsidRPr="00C328A2">
        <w:rPr>
          <w:rFonts w:cs="Times New Roman"/>
        </w:rPr>
        <w:noBreakHyphen/>
        <w:t xml:space="preserve">Resident Class Members : Have We Gone Down the Wrong Road? » (2010), 45 </w:t>
      </w:r>
      <w:r w:rsidRPr="00C328A2">
        <w:rPr>
          <w:rFonts w:cs="Times New Roman"/>
          <w:i/>
        </w:rPr>
        <w:t>Tex. Int’l L.J.</w:t>
      </w:r>
      <w:r w:rsidRPr="00C328A2">
        <w:rPr>
          <w:rFonts w:cs="Times New Roman"/>
        </w:rPr>
        <w:t xml:space="preserve"> 537, p. 546</w:t>
      </w:r>
      <w:r w:rsidRPr="00C328A2">
        <w:rPr>
          <w:rFonts w:cs="Times New Roman"/>
        </w:rPr>
        <w:noBreakHyphen/>
        <w:t xml:space="preserve">548; J. Walker, </w:t>
      </w:r>
      <w:r w:rsidRPr="00C328A2">
        <w:rPr>
          <w:rFonts w:cs="Times New Roman"/>
          <w:i/>
        </w:rPr>
        <w:t>Canadian Conflict of Laws</w:t>
      </w:r>
      <w:r w:rsidRPr="00C328A2">
        <w:rPr>
          <w:rFonts w:cs="Times New Roman"/>
        </w:rPr>
        <w:t xml:space="preserve"> (7</w:t>
      </w:r>
      <w:r w:rsidRPr="00C328A2">
        <w:rPr>
          <w:rFonts w:cs="Times New Roman"/>
          <w:vertAlign w:val="superscript"/>
        </w:rPr>
        <w:t>e</w:t>
      </w:r>
      <w:r w:rsidRPr="00C328A2">
        <w:rPr>
          <w:rFonts w:cs="Times New Roman"/>
        </w:rPr>
        <w:t xml:space="preserve"> éd. </w:t>
      </w:r>
      <w:r w:rsidRPr="00C328A2">
        <w:rPr>
          <w:rFonts w:cs="Times New Roman"/>
          <w:lang w:val="fr-CA"/>
        </w:rPr>
        <w:t>(feuilles mobiles)), § 4.03). L’article 11 de l’</w:t>
      </w:r>
      <w:r w:rsidRPr="00C328A2">
        <w:rPr>
          <w:rFonts w:cs="Times New Roman"/>
          <w:i/>
          <w:lang w:val="fr-CA"/>
        </w:rPr>
        <w:t>ORA</w:t>
      </w:r>
      <w:r w:rsidRPr="00C328A2">
        <w:rPr>
          <w:rFonts w:cs="Times New Roman"/>
          <w:lang w:val="fr-CA"/>
        </w:rPr>
        <w:t xml:space="preserve"> et les dispositions pertinentes de la </w:t>
      </w:r>
      <w:r w:rsidRPr="00C328A2">
        <w:rPr>
          <w:rFonts w:cs="Times New Roman"/>
          <w:i/>
          <w:lang w:val="fr-CA"/>
        </w:rPr>
        <w:t xml:space="preserve">CPA </w:t>
      </w:r>
      <w:r w:rsidRPr="00C328A2">
        <w:rPr>
          <w:rFonts w:cs="Times New Roman"/>
          <w:lang w:val="fr-CA"/>
        </w:rPr>
        <w:t>n’ont pas pour effet d’étendre ou de modifier la compétence du tribunal à l’égard de ces demandeurs ou de ces questions de l’extérieur du ressort en question. Cette compétence découle de l’autorité souveraine du tribunal, ancrée dans le lien réel et substantiel attribuable aux questions communes des demandeurs (</w:t>
      </w:r>
      <w:r w:rsidRPr="00C328A2">
        <w:rPr>
          <w:rFonts w:cs="Times New Roman"/>
          <w:i/>
          <w:lang w:val="fr-CA"/>
        </w:rPr>
        <w:t>Dutton</w:t>
      </w:r>
      <w:r w:rsidRPr="00C328A2">
        <w:rPr>
          <w:rFonts w:cs="Times New Roman"/>
          <w:lang w:val="fr-CA"/>
        </w:rPr>
        <w:t>, par. 19</w:t>
      </w:r>
      <w:r w:rsidRPr="00C328A2">
        <w:rPr>
          <w:rFonts w:cs="Times New Roman"/>
          <w:lang w:val="fr-CA"/>
        </w:rPr>
        <w:noBreakHyphen/>
        <w:t>24, 33</w:t>
      </w:r>
      <w:r w:rsidRPr="00C328A2">
        <w:rPr>
          <w:rFonts w:cs="Times New Roman"/>
          <w:lang w:val="fr-CA"/>
        </w:rPr>
        <w:noBreakHyphen/>
        <w:t xml:space="preserve">34 et 39; </w:t>
      </w:r>
      <w:r w:rsidRPr="00C328A2">
        <w:rPr>
          <w:rFonts w:cs="Times New Roman"/>
          <w:i/>
          <w:lang w:val="fr-CA"/>
        </w:rPr>
        <w:t>Meeking</w:t>
      </w:r>
      <w:r w:rsidRPr="00C328A2">
        <w:rPr>
          <w:rFonts w:cs="Times New Roman"/>
          <w:lang w:val="fr-CA"/>
        </w:rPr>
        <w:t>, par. 92</w:t>
      </w:r>
      <w:r w:rsidRPr="00C328A2">
        <w:rPr>
          <w:rFonts w:cs="Times New Roman"/>
          <w:lang w:val="fr-CA"/>
        </w:rPr>
        <w:noBreakHyphen/>
        <w:t xml:space="preserve">97; </w:t>
      </w:r>
      <w:r w:rsidRPr="00C328A2">
        <w:rPr>
          <w:rFonts w:cs="Times New Roman"/>
          <w:i/>
          <w:lang w:val="fr-CA"/>
        </w:rPr>
        <w:t>Thorpe</w:t>
      </w:r>
      <w:r w:rsidRPr="00C328A2">
        <w:rPr>
          <w:rFonts w:cs="Times New Roman"/>
          <w:lang w:val="fr-CA"/>
        </w:rPr>
        <w:t>, par. 119 et 135; Jones, p. 46</w:t>
      </w:r>
      <w:r w:rsidRPr="00C328A2">
        <w:rPr>
          <w:rFonts w:cs="Times New Roman"/>
          <w:lang w:val="fr-CA"/>
        </w:rPr>
        <w:noBreakHyphen/>
        <w:t>47; Walker, § 4.03). L’article 11 de l’</w:t>
      </w:r>
      <w:r w:rsidRPr="00C328A2">
        <w:rPr>
          <w:rFonts w:cs="Times New Roman"/>
          <w:i/>
          <w:lang w:val="fr-CA"/>
        </w:rPr>
        <w:t>ORA</w:t>
      </w:r>
      <w:r w:rsidRPr="00C328A2">
        <w:rPr>
          <w:rFonts w:cs="Times New Roman"/>
          <w:lang w:val="fr-CA"/>
        </w:rPr>
        <w:t xml:space="preserve"> et les dispositions pertinentes de la </w:t>
      </w:r>
      <w:r w:rsidRPr="00C328A2">
        <w:rPr>
          <w:rFonts w:cs="Times New Roman"/>
          <w:i/>
          <w:lang w:val="fr-CA"/>
        </w:rPr>
        <w:t xml:space="preserve">CPA </w:t>
      </w:r>
      <w:r w:rsidRPr="00C328A2">
        <w:rPr>
          <w:rFonts w:cs="Times New Roman"/>
          <w:lang w:val="fr-CA"/>
        </w:rPr>
        <w:t xml:space="preserve">ne font que fournir les règles procédurales que doit appliquer le tribunal une fois sa compétence établie. Il est </w:t>
      </w:r>
      <w:r w:rsidRPr="00C328A2">
        <w:rPr>
          <w:rFonts w:cs="Times New Roman"/>
          <w:lang w:val="fr-CA"/>
        </w:rPr>
        <w:lastRenderedPageBreak/>
        <w:t xml:space="preserve">légitime pour une province d’exercer son pouvoir afin de fixer les règles de procédure applicables aux instances qui sont de son ressort. </w:t>
      </w:r>
    </w:p>
    <w:p w14:paraId="70FB381A"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L’article 11 autorise donc le gouvernement de la Colombie</w:t>
      </w:r>
      <w:r w:rsidRPr="00C328A2">
        <w:rPr>
          <w:rFonts w:cs="Times New Roman"/>
          <w:lang w:val="fr-CA"/>
        </w:rPr>
        <w:noBreakHyphen/>
        <w:t>Britannique à intenter une action qui maintient un lien significatif avec la Colombie</w:t>
      </w:r>
      <w:r w:rsidRPr="00C328A2">
        <w:rPr>
          <w:rFonts w:cs="Times New Roman"/>
          <w:lang w:val="fr-CA"/>
        </w:rPr>
        <w:noBreakHyphen/>
        <w:t>Britannique en raison des questions communes à l’instance introduite dans cette province, de la compétence du tribunal sur ces questions et du consentement de tous les gouvernements qui participent à l’instance. La disposition n’a une incidence sur les autres gouvernements que s’ils ne s’excluent pas de l’instance (</w:t>
      </w:r>
      <w:r w:rsidRPr="00C328A2">
        <w:rPr>
          <w:rFonts w:cs="Times New Roman"/>
          <w:i/>
          <w:lang w:val="fr-CA"/>
        </w:rPr>
        <w:t>ORA</w:t>
      </w:r>
      <w:r w:rsidRPr="00C328A2">
        <w:rPr>
          <w:rFonts w:cs="Times New Roman"/>
          <w:lang w:val="fr-CA"/>
        </w:rPr>
        <w:t>,</w:t>
      </w:r>
      <w:r w:rsidRPr="00C328A2">
        <w:rPr>
          <w:rFonts w:cs="Times New Roman"/>
          <w:i/>
          <w:lang w:val="fr-CA"/>
        </w:rPr>
        <w:t xml:space="preserve"> </w:t>
      </w:r>
      <w:r w:rsidRPr="00C328A2">
        <w:rPr>
          <w:rFonts w:cs="Times New Roman"/>
          <w:lang w:val="fr-CA"/>
        </w:rPr>
        <w:t xml:space="preserve">par. 11(2); </w:t>
      </w:r>
      <w:r w:rsidRPr="00C328A2">
        <w:rPr>
          <w:rFonts w:cs="Times New Roman"/>
          <w:i/>
          <w:lang w:val="fr-CA"/>
        </w:rPr>
        <w:t>CPA</w:t>
      </w:r>
      <w:r w:rsidRPr="00C328A2">
        <w:rPr>
          <w:rFonts w:cs="Times New Roman"/>
          <w:lang w:val="fr-CA"/>
        </w:rPr>
        <w:t>, art. 16). Aucun gouvernement n’est contraint de participer contre son gré au recours collectif, et le mécanisme d’exclusion permet à tout gouvernement de prendre une décision libre et éclairée quant à l’opportunité de se soumettre aux tribunaux de la Colombie-Britannique et à leurs règles de procédure (</w:t>
      </w:r>
      <w:r w:rsidRPr="00C328A2">
        <w:rPr>
          <w:rFonts w:cs="Times New Roman"/>
          <w:i/>
          <w:lang w:val="fr-CA"/>
        </w:rPr>
        <w:t>Lépine</w:t>
      </w:r>
      <w:r w:rsidRPr="00C328A2">
        <w:rPr>
          <w:rFonts w:cs="Times New Roman"/>
          <w:lang w:val="fr-CA"/>
        </w:rPr>
        <w:t>, par. 42</w:t>
      </w:r>
      <w:r w:rsidRPr="00C328A2">
        <w:rPr>
          <w:rFonts w:cs="Times New Roman"/>
          <w:lang w:val="fr-CA"/>
        </w:rPr>
        <w:noBreakHyphen/>
        <w:t xml:space="preserve">43). S’il choisit de participer au recours collectif, le gouvernement reconnaît que le tribunal de la Colombie-Britannique est compétent pour se charger de l’examen et du règlement des questions communes dont il reconnaît qu’elles sont essentiellement les mêmes que celles présentées par la représentante des demandeurs, confirmant ainsi encore plus le lien qui existe entre ses propres revendications et la province de la Colombie-Britannique (voir </w:t>
      </w:r>
      <w:r w:rsidRPr="00C328A2">
        <w:rPr>
          <w:rFonts w:cs="Times New Roman"/>
          <w:i/>
          <w:lang w:val="fr-CA"/>
        </w:rPr>
        <w:t>Harrington</w:t>
      </w:r>
      <w:r w:rsidRPr="00C328A2">
        <w:rPr>
          <w:rFonts w:cs="Times New Roman"/>
          <w:lang w:val="fr-CA"/>
        </w:rPr>
        <w:t xml:space="preserve">, par. 99; voir aussi </w:t>
      </w:r>
      <w:r w:rsidRPr="00C328A2">
        <w:rPr>
          <w:rFonts w:cs="Times New Roman"/>
          <w:i/>
          <w:lang w:val="fr-CA"/>
        </w:rPr>
        <w:t>Beals c. Saldanha</w:t>
      </w:r>
      <w:r w:rsidRPr="00C328A2">
        <w:rPr>
          <w:rFonts w:cs="Times New Roman"/>
          <w:lang w:val="fr-CA"/>
        </w:rPr>
        <w:t xml:space="preserve">, 2003 CSC 72, [2003] 3 R.C.S. 416, par. 37; </w:t>
      </w:r>
      <w:r w:rsidRPr="00C328A2">
        <w:rPr>
          <w:rFonts w:cs="Times New Roman"/>
          <w:i/>
          <w:lang w:val="fr-CA"/>
        </w:rPr>
        <w:t>Morguard</w:t>
      </w:r>
      <w:r w:rsidRPr="00C328A2">
        <w:rPr>
          <w:rFonts w:cs="Times New Roman"/>
          <w:lang w:val="fr-CA"/>
        </w:rPr>
        <w:t>, p. 1103</w:t>
      </w:r>
      <w:r w:rsidRPr="00C328A2">
        <w:rPr>
          <w:rFonts w:cs="Times New Roman"/>
          <w:lang w:val="fr-CA"/>
        </w:rPr>
        <w:noBreakHyphen/>
        <w:t xml:space="preserve">1104; </w:t>
      </w:r>
      <w:r w:rsidRPr="00C328A2">
        <w:rPr>
          <w:rFonts w:cs="Times New Roman"/>
          <w:i/>
          <w:lang w:val="fr-CA"/>
        </w:rPr>
        <w:t>Van Breda</w:t>
      </w:r>
      <w:r w:rsidRPr="00C328A2">
        <w:rPr>
          <w:rFonts w:cs="Times New Roman"/>
          <w:lang w:val="fr-CA"/>
        </w:rPr>
        <w:t>, par. 79; Walker, § 2.02). Et si le gouvernement en question choisit de ne pas participer au recours collectif, l’affaire s’arrête là.</w:t>
      </w:r>
    </w:p>
    <w:p w14:paraId="70A438D9"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 xml:space="preserve">L’argument des appelantes selon lequel le fait que les revendications soient formulées par d’autres gouvernements rend impossible l’existence d’un lien significatif est également mal fondé. Les cours supérieures sont souvent saisies d’affaires mettant en cause des revendications émanant d’autres territoires ou exigeant l’application du droit d’un autre territoire (voir, p. ex., </w:t>
      </w:r>
      <w:r w:rsidRPr="00C328A2">
        <w:rPr>
          <w:rFonts w:cs="Times New Roman"/>
          <w:i/>
          <w:lang w:val="fr-CA"/>
        </w:rPr>
        <w:t>Van Breda</w:t>
      </w:r>
      <w:r w:rsidRPr="00C328A2">
        <w:rPr>
          <w:rFonts w:cs="Times New Roman"/>
          <w:lang w:val="fr-CA"/>
        </w:rPr>
        <w:t xml:space="preserve">). Le fait d’appliquer le droit d’un autre territoire à une partie de l’extérieur ne détruit pas nécessairement le « lien réel et substantiel » exigé pour donner compétence au tribunal sur la demande dont il est saisi, pas plus qu’elle ne compromet le « lien significatif » entre les règles procédurales qui facilitent le déroulement de cette action et la province qui les a édictées. Aucun de ces deux critères n’exige l’absence de tout facteur de rattachement avec d’autres provinces (voir </w:t>
      </w:r>
      <w:r w:rsidRPr="00C328A2">
        <w:rPr>
          <w:rFonts w:cs="Times New Roman"/>
          <w:i/>
          <w:lang w:val="fr-CA"/>
        </w:rPr>
        <w:t>Imperial Tobacco</w:t>
      </w:r>
      <w:r w:rsidRPr="00C328A2">
        <w:rPr>
          <w:rFonts w:cs="Times New Roman"/>
          <w:lang w:val="fr-CA"/>
        </w:rPr>
        <w:t>, par. 37</w:t>
      </w:r>
      <w:r w:rsidRPr="00C328A2">
        <w:rPr>
          <w:rFonts w:cs="Times New Roman"/>
          <w:lang w:val="fr-CA"/>
        </w:rPr>
        <w:noBreakHyphen/>
        <w:t>38).</w:t>
      </w:r>
    </w:p>
    <w:p w14:paraId="6725E354"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Accepter les arguments des appelantes sur ce point contredirait des décennies d’une jurisprudence constante confirmant que les cours supérieures peuvent assurer la direction de recours collectifs de portée nationale. Les tribunaux qui pilotent ces demandes doivent suivre les règles de procédure de leur propre territoire, tout en appliquant dans bien des cas les règles substantielles d’autres provinces aux revendications individuelles de chaque membre du groupe. Notre Cour a approuvé l’exercice de recours collectifs nationaux dans plusieurs décisions (voir, p. ex., </w:t>
      </w:r>
      <w:r w:rsidRPr="00C328A2">
        <w:rPr>
          <w:rFonts w:cs="Times New Roman"/>
          <w:i/>
          <w:lang w:val="fr-CA"/>
        </w:rPr>
        <w:t>Dutton</w:t>
      </w:r>
      <w:r w:rsidRPr="00C328A2">
        <w:rPr>
          <w:rFonts w:cs="Times New Roman"/>
          <w:lang w:val="fr-CA"/>
        </w:rPr>
        <w:t xml:space="preserve">; </w:t>
      </w:r>
      <w:r w:rsidRPr="00C328A2">
        <w:rPr>
          <w:rFonts w:cs="Times New Roman"/>
          <w:i/>
          <w:lang w:val="fr-CA"/>
        </w:rPr>
        <w:t>Vivendi Canada Inc.</w:t>
      </w:r>
      <w:r w:rsidRPr="00C328A2">
        <w:rPr>
          <w:rFonts w:cs="Times New Roman"/>
          <w:lang w:val="fr-CA"/>
        </w:rPr>
        <w:t xml:space="preserve">; </w:t>
      </w:r>
      <w:r w:rsidRPr="00C328A2">
        <w:rPr>
          <w:rFonts w:cs="Times New Roman"/>
          <w:i/>
          <w:lang w:val="fr-CA"/>
        </w:rPr>
        <w:t>Endean</w:t>
      </w:r>
      <w:r w:rsidRPr="00C328A2">
        <w:rPr>
          <w:rFonts w:cs="Times New Roman"/>
          <w:lang w:val="fr-CA"/>
        </w:rPr>
        <w:t>). Ces recours constituent un moyen de plus en plus important pour de nombreux Canadiens d’accéder à la justice dans notre monde moderne.</w:t>
      </w:r>
    </w:p>
    <w:p w14:paraId="338EE927"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L’article 11 a donc pour objet une instance introduite par le gouvernement de la Colombie</w:t>
      </w:r>
      <w:r w:rsidRPr="00C328A2">
        <w:rPr>
          <w:rFonts w:cs="Times New Roman"/>
          <w:lang w:val="fr-CA"/>
        </w:rPr>
        <w:noBreakHyphen/>
        <w:t>Britannique devant la Cour suprême de cette province. Avant l’autorisation du recours collectif, seuls la Colombie</w:t>
      </w:r>
      <w:r w:rsidRPr="00C328A2">
        <w:rPr>
          <w:rFonts w:cs="Times New Roman"/>
          <w:lang w:val="fr-CA"/>
        </w:rPr>
        <w:noBreakHyphen/>
        <w:t>Britannique et les défendeurs y sont assujettis. Après son autorisation, seuls les autres gouvernements qui consentent à y participer et qui ont des questions communes avec celles du gouvernement de la Colombie</w:t>
      </w:r>
      <w:r w:rsidRPr="00C328A2">
        <w:rPr>
          <w:rFonts w:cs="Times New Roman"/>
          <w:lang w:val="fr-CA"/>
        </w:rPr>
        <w:noBreakHyphen/>
        <w:t>Britannique y sont assujettis. Il existe donc un lien significatif entre l’assemblée législative de la Colombie</w:t>
      </w:r>
      <w:r w:rsidRPr="00C328A2">
        <w:rPr>
          <w:rFonts w:cs="Times New Roman"/>
          <w:lang w:val="fr-CA"/>
        </w:rPr>
        <w:noBreakHyphen/>
        <w:t>Britannique, une disposition qui concerne la procédure à suivre devant ses tribunaux et les parties qui choisissent de participer à de telles instances, où leurs questions communes seront résolues collectivement.</w:t>
      </w:r>
    </w:p>
    <w:p w14:paraId="0C935CA1" w14:textId="77777777" w:rsidR="00C328A2" w:rsidRPr="00C328A2" w:rsidRDefault="00C328A2" w:rsidP="00C328A2">
      <w:pPr>
        <w:pStyle w:val="Title3LevelTitre3Niveau"/>
        <w:spacing w:before="0"/>
        <w:rPr>
          <w:rFonts w:cs="Times New Roman"/>
          <w:lang w:val="fr-CA"/>
        </w:rPr>
      </w:pPr>
      <w:r w:rsidRPr="00C328A2">
        <w:rPr>
          <w:rFonts w:cs="Times New Roman"/>
          <w:lang w:val="fr-CA"/>
        </w:rPr>
        <w:t>L’article 11 respecte</w:t>
      </w:r>
      <w:r w:rsidRPr="00C328A2">
        <w:rPr>
          <w:rFonts w:cs="Times New Roman"/>
          <w:lang w:val="fr-CA"/>
        </w:rPr>
        <w:noBreakHyphen/>
        <w:t>t</w:t>
      </w:r>
      <w:r w:rsidRPr="00C328A2">
        <w:rPr>
          <w:rFonts w:cs="Times New Roman"/>
          <w:lang w:val="fr-CA"/>
        </w:rPr>
        <w:noBreakHyphen/>
        <w:t>il la souveraineté législative des autres gouvernements canadiens?</w:t>
      </w:r>
    </w:p>
    <w:p w14:paraId="0C554FB4"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Les appelantes soutiennent que l’art. 11 ne respecte pas la souveraineté législative des autres gouvernements canadiens en les forçant soit à s’exclure de l’instance, soit à y participer et à sacrifier leur souveraineté en renonçant à leur capacité de légiférer sur leurs droits substantiels en matière de recouvrement des coûts des soins de santé liés aux opioïdes ou à leur autonomie en matière de litiges sur ces droits. Ils affirment que l’appui des autres gouvernements à cette loi n’est pas pertinent.</w:t>
      </w:r>
    </w:p>
    <w:p w14:paraId="3FDF5D3F" w14:textId="77777777" w:rsidR="00C328A2" w:rsidRPr="00C328A2" w:rsidRDefault="00C328A2" w:rsidP="00C328A2">
      <w:pPr>
        <w:pStyle w:val="ParaNoNdepar-AltN"/>
        <w:spacing w:before="0"/>
        <w:rPr>
          <w:rFonts w:cs="Times New Roman"/>
          <w:lang w:val="fr-CA"/>
        </w:rPr>
      </w:pPr>
      <w:r w:rsidRPr="00C328A2">
        <w:rPr>
          <w:rFonts w:cs="Times New Roman"/>
          <w:lang w:val="fr-CA"/>
        </w:rPr>
        <w:t xml:space="preserve">Comme je l’ai expliqué, les craintes exprimées par les appelantes au sujet des effets contraignants d’un recours collectif sur l’autonomie d’une autre province dans la conduite des litiges ne compromettent pas la souveraineté de cette dernière. Tout procès comporte des conséquences, et ces conséquences peuvent être inévitables, </w:t>
      </w:r>
      <w:r w:rsidRPr="00C328A2">
        <w:rPr>
          <w:rFonts w:cs="Times New Roman"/>
          <w:lang w:val="fr-CA"/>
        </w:rPr>
        <w:lastRenderedPageBreak/>
        <w:t xml:space="preserve">surtout lorsqu’elles surviennent dans des ressorts qui échappent au contrôle de la législature d’un gouvernement. Aucun principe constitutionnel ne l’interdit. Les arguments des appelantes estompent la distinction entre les pouvoirs législatif et exécutif. La législature d’un ordre de gouvernement ne peut transférer à la législature d’un autre ordre son pouvoir de légiférer </w:t>
      </w:r>
      <w:r w:rsidRPr="00C328A2">
        <w:rPr>
          <w:rFonts w:cs="Times New Roman"/>
          <w:iCs/>
          <w:lang w:val="fr-CA"/>
        </w:rPr>
        <w:t>primaire</w:t>
      </w:r>
      <w:r w:rsidRPr="00C328A2">
        <w:rPr>
          <w:rFonts w:cs="Times New Roman"/>
          <w:lang w:val="fr-CA"/>
        </w:rPr>
        <w:t xml:space="preserve"> (</w:t>
      </w:r>
      <w:r w:rsidRPr="00C328A2">
        <w:rPr>
          <w:rFonts w:cs="Times New Roman"/>
          <w:i/>
          <w:lang w:val="fr-CA"/>
        </w:rPr>
        <w:t>Renvoi relatif à la réglementation pancanadienne des valeurs mobilières</w:t>
      </w:r>
      <w:r w:rsidRPr="00C328A2">
        <w:rPr>
          <w:rFonts w:cs="Times New Roman"/>
          <w:lang w:val="fr-CA"/>
        </w:rPr>
        <w:t>, par. 75</w:t>
      </w:r>
      <w:r w:rsidRPr="00C328A2">
        <w:rPr>
          <w:rFonts w:cs="Times New Roman"/>
          <w:lang w:val="fr-CA"/>
        </w:rPr>
        <w:noBreakHyphen/>
        <w:t>76). Toutefois, aucune règle de ce genre ne s’applique à la délégation de pouvoirs exécutifs de conduite d’un litige.</w:t>
      </w:r>
    </w:p>
    <w:p w14:paraId="7708FDD8"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Bien entendu, un gouvernement ne peut écarter les lois existantes par une intervention de l’exécutif, et « une législature a le droit d’adopter une loi qui est incompatible avec des engagements pris par le gouvernement aux termes d’un accord antérieur » (</w:t>
      </w:r>
      <w:r w:rsidRPr="00C328A2">
        <w:rPr>
          <w:rFonts w:cs="Times New Roman"/>
          <w:i/>
          <w:lang w:val="fr-CA"/>
        </w:rPr>
        <w:t>Canada (Procureur général) c. British Columbia Investment Management Corp.</w:t>
      </w:r>
      <w:r w:rsidRPr="00C328A2">
        <w:rPr>
          <w:rFonts w:cs="Times New Roman"/>
          <w:lang w:val="fr-CA"/>
        </w:rPr>
        <w:t>, 2019 CSC 63, [2019] 4 R.C.S. 559, par. 92). Ainsi, selon un principe constitutionnel général, ni l’exécutif ni la législature elle</w:t>
      </w:r>
      <w:r w:rsidRPr="00C328A2">
        <w:rPr>
          <w:rFonts w:cs="Times New Roman"/>
          <w:lang w:val="fr-CA"/>
        </w:rPr>
        <w:noBreakHyphen/>
        <w:t>même ne peuvent imposer des restrictions au pouvoir de légiférer des législatures futures (</w:t>
      </w:r>
      <w:r w:rsidRPr="00C328A2">
        <w:rPr>
          <w:rFonts w:cs="Times New Roman"/>
          <w:i/>
          <w:iCs/>
          <w:lang w:val="fr-CA"/>
        </w:rPr>
        <w:t>Renvoi relatif à la réglementation pancanadienne des valeurs mobilières</w:t>
      </w:r>
      <w:r w:rsidRPr="00C328A2">
        <w:rPr>
          <w:rFonts w:cs="Times New Roman"/>
          <w:lang w:val="fr-CA"/>
        </w:rPr>
        <w:t>, par. 54</w:t>
      </w:r>
      <w:r w:rsidRPr="00C328A2">
        <w:rPr>
          <w:rFonts w:cs="Times New Roman"/>
          <w:lang w:val="fr-CA"/>
        </w:rPr>
        <w:noBreakHyphen/>
        <w:t xml:space="preserve">59; </w:t>
      </w:r>
      <w:r w:rsidRPr="00C328A2">
        <w:rPr>
          <w:rFonts w:cs="Times New Roman"/>
          <w:i/>
          <w:lang w:val="fr-CA"/>
        </w:rPr>
        <w:t>Wells c. Terre-Neuve</w:t>
      </w:r>
      <w:r w:rsidRPr="00C328A2">
        <w:rPr>
          <w:rFonts w:cs="Times New Roman"/>
          <w:lang w:val="fr-CA"/>
        </w:rPr>
        <w:t xml:space="preserve">, [1999] 3 R.C.S. 199, par. 37; </w:t>
      </w:r>
      <w:r w:rsidRPr="00C328A2">
        <w:rPr>
          <w:rFonts w:cs="Times New Roman"/>
          <w:i/>
          <w:iCs/>
          <w:lang w:val="fr-CA"/>
        </w:rPr>
        <w:t>Renvoi relatif au Régime d’assistance publique du Canada (C.-B.)</w:t>
      </w:r>
      <w:r w:rsidRPr="00C328A2">
        <w:rPr>
          <w:rFonts w:cs="Times New Roman"/>
          <w:lang w:val="fr-CA"/>
        </w:rPr>
        <w:t>, [1991] 2 R.C.S. 525, p. 560).</w:t>
      </w:r>
    </w:p>
    <w:p w14:paraId="2EFF3E02"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Mais ce principe général comporte des limites lorsqu’un gouvernement exerce ses droits civils en sa qualité de personne physique dans des domaines où son assemblée législative n’a pas compétence pour légiférer. Indépendamment des conséquences que cette décision peut avoir sur la volonté d’un gouvernement d’ester </w:t>
      </w:r>
      <w:r w:rsidRPr="00C328A2">
        <w:rPr>
          <w:rFonts w:cs="Times New Roman"/>
          <w:lang w:val="fr-CA"/>
        </w:rPr>
        <w:lastRenderedPageBreak/>
        <w:t xml:space="preserve">en justice comme il le souhaite dans un autre ressort, le gouvernement qui agit en sa capacité de personne physique dans une autre province ou un autre territoire pourrait aussi devoir assumer les conséquences juridiques qui ne relèvent pas de sa compétence législative, telles que la création de droits et de devoirs privés dans d’autres provinces. Par exemple, lorsqu’un gouvernement conclut un contrat dans une autre province, ce contrat relève de la compétence législative de cette </w:t>
      </w:r>
      <w:r w:rsidRPr="00C328A2">
        <w:rPr>
          <w:rFonts w:cs="Times New Roman"/>
          <w:i/>
          <w:lang w:val="fr-CA"/>
        </w:rPr>
        <w:t xml:space="preserve">autre </w:t>
      </w:r>
      <w:r w:rsidRPr="00C328A2">
        <w:rPr>
          <w:rFonts w:cs="Times New Roman"/>
          <w:lang w:val="fr-CA"/>
        </w:rPr>
        <w:t xml:space="preserve">province sur « [l]a propriété et les droits civils dans la province » (par. 92(13) de la </w:t>
      </w:r>
      <w:r w:rsidRPr="00C328A2">
        <w:rPr>
          <w:rFonts w:cs="Times New Roman"/>
          <w:i/>
          <w:lang w:val="fr-CA"/>
        </w:rPr>
        <w:t>Loi constitutionnelle de 1867</w:t>
      </w:r>
      <w:r w:rsidRPr="00C328A2">
        <w:rPr>
          <w:rFonts w:cs="Times New Roman"/>
          <w:lang w:val="fr-CA"/>
        </w:rPr>
        <w:t xml:space="preserve">). L’assemblée législative du gouvernement qui a conclu le contrat ne peut pas, en adoptant une loi, tenter d’annuler ces droits contractuels extraprovinciaux, et elle est liée par cette obligation contractuelle au même titre qu’une personne physique (voir </w:t>
      </w:r>
      <w:r w:rsidRPr="00C328A2">
        <w:rPr>
          <w:rFonts w:cs="Times New Roman"/>
          <w:i/>
          <w:lang w:val="fr-CA"/>
        </w:rPr>
        <w:t>Churchill Falls</w:t>
      </w:r>
      <w:r w:rsidRPr="00C328A2">
        <w:rPr>
          <w:rFonts w:cs="Times New Roman"/>
          <w:lang w:val="fr-CA"/>
        </w:rPr>
        <w:t>, p. 332</w:t>
      </w:r>
      <w:r w:rsidRPr="00C328A2">
        <w:rPr>
          <w:rFonts w:cs="Times New Roman"/>
          <w:lang w:val="fr-CA"/>
        </w:rPr>
        <w:noBreakHyphen/>
        <w:t xml:space="preserve">333; voir aussi </w:t>
      </w:r>
      <w:r w:rsidRPr="00C328A2">
        <w:rPr>
          <w:rFonts w:cs="Times New Roman"/>
          <w:i/>
          <w:lang w:val="fr-CA"/>
        </w:rPr>
        <w:t>Banque de Montréal c. Procureur général (Québec)</w:t>
      </w:r>
      <w:r w:rsidRPr="00C328A2">
        <w:rPr>
          <w:rFonts w:cs="Times New Roman"/>
          <w:lang w:val="fr-CA"/>
        </w:rPr>
        <w:t>, [1979] 1 R.C.S. 565, p. 574).</w:t>
      </w:r>
    </w:p>
    <w:p w14:paraId="10FA93FE" w14:textId="77777777" w:rsidR="00C328A2" w:rsidRPr="00C328A2" w:rsidRDefault="00C328A2" w:rsidP="00C328A2">
      <w:pPr>
        <w:pStyle w:val="ParaNoNdepar-AltN"/>
        <w:tabs>
          <w:tab w:val="clear" w:pos="1166"/>
          <w:tab w:val="num" w:pos="1152"/>
        </w:tabs>
        <w:rPr>
          <w:rFonts w:cs="Times New Roman"/>
          <w:lang w:val="fr-CA"/>
        </w:rPr>
      </w:pPr>
      <w:r w:rsidRPr="00C328A2">
        <w:rPr>
          <w:rFonts w:cs="Times New Roman"/>
          <w:lang w:val="fr-CA"/>
        </w:rPr>
        <w:t xml:space="preserve">Ainsi, le gouvernement qui exerce les mêmes droits civils qu’un particulier est assujetti aux conséquences de ses actes dans une autre province lorsque ces actes relèvent de la souveraineté législative de cette autre province. Bien qu’il soit souverain sur son propre territoire dans ces matières, un gouvernement ne peut se soustraire par voie législative à des situations qu’il aurait pu contrôler sur son propre territoire. Rien n’oblige une province à exercer des activités ailleurs, mais lorsqu’elle le fait, elle doit se conformer aux lois de cette autre province (voir D. Gibson, « Interjurisdictional Immunity in Canadian Federalism » (1969), 47 </w:t>
      </w:r>
      <w:r w:rsidRPr="00C328A2">
        <w:rPr>
          <w:rFonts w:cs="Times New Roman"/>
          <w:i/>
          <w:lang w:val="fr-CA"/>
        </w:rPr>
        <w:t>R. du B. can.</w:t>
      </w:r>
      <w:r w:rsidRPr="00C328A2">
        <w:rPr>
          <w:rFonts w:cs="Times New Roman"/>
          <w:lang w:val="fr-CA"/>
        </w:rPr>
        <w:t xml:space="preserve"> 40, p. 60; Hogg et Wright, § 10:20).</w:t>
      </w:r>
    </w:p>
    <w:p w14:paraId="780C32C3"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C’est ce qui se produit lorsqu’un gouvernement exerce ses droits civils en participant comme simple demandeur membre d’un groupe dans un recours collectif intenté dans une autre province. Il se trouve alors assujetti aux règles de procédure de cette province en matière de recours collectifs, y compris aux règles procédurales relatives au caractère contraignant des jugements du tribunal ou aux transactions négociées par les parties (</w:t>
      </w:r>
      <w:r w:rsidRPr="00C328A2">
        <w:rPr>
          <w:rFonts w:cs="Times New Roman"/>
          <w:i/>
          <w:lang w:val="fr-CA"/>
        </w:rPr>
        <w:t>CPA</w:t>
      </w:r>
      <w:r w:rsidRPr="00C328A2">
        <w:rPr>
          <w:rFonts w:cs="Times New Roman"/>
          <w:lang w:val="fr-CA"/>
        </w:rPr>
        <w:t>, art. 26 et 35).</w:t>
      </w:r>
    </w:p>
    <w:p w14:paraId="07046B96"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Toutefois, l’application de ces </w:t>
      </w:r>
      <w:r w:rsidRPr="00C328A2">
        <w:rPr>
          <w:rFonts w:cs="Times New Roman"/>
          <w:iCs/>
          <w:lang w:val="fr-CA"/>
        </w:rPr>
        <w:t>règles de</w:t>
      </w:r>
      <w:r w:rsidRPr="00C328A2">
        <w:rPr>
          <w:rFonts w:cs="Times New Roman"/>
          <w:i/>
          <w:lang w:val="fr-CA"/>
        </w:rPr>
        <w:t xml:space="preserve"> procédure</w:t>
      </w:r>
      <w:r w:rsidRPr="00C328A2">
        <w:rPr>
          <w:rFonts w:cs="Times New Roman"/>
          <w:lang w:val="fr-CA"/>
        </w:rPr>
        <w:t xml:space="preserve"> aux autres gouvernements qui participent au recours collectif ne détermine pas quelles règles </w:t>
      </w:r>
      <w:r w:rsidRPr="00C328A2">
        <w:rPr>
          <w:rFonts w:cs="Times New Roman"/>
          <w:i/>
          <w:lang w:val="fr-CA"/>
        </w:rPr>
        <w:t>substantielles</w:t>
      </w:r>
      <w:r w:rsidRPr="00C328A2">
        <w:rPr>
          <w:rFonts w:cs="Times New Roman"/>
          <w:lang w:val="fr-CA"/>
        </w:rPr>
        <w:t xml:space="preserve"> s’appliquent à ces gouvernements (voir </w:t>
      </w:r>
      <w:r w:rsidRPr="00C328A2">
        <w:rPr>
          <w:rFonts w:cs="Times New Roman"/>
          <w:i/>
          <w:lang w:val="fr-CA"/>
        </w:rPr>
        <w:t>Wilson</w:t>
      </w:r>
      <w:r w:rsidRPr="00C328A2">
        <w:rPr>
          <w:rFonts w:cs="Times New Roman"/>
          <w:lang w:val="fr-CA"/>
        </w:rPr>
        <w:t xml:space="preserve">, par. 83; </w:t>
      </w:r>
      <w:r w:rsidRPr="00C328A2">
        <w:rPr>
          <w:rFonts w:cs="Times New Roman"/>
          <w:i/>
          <w:lang w:val="fr-CA"/>
        </w:rPr>
        <w:t>Thorpe</w:t>
      </w:r>
      <w:r w:rsidRPr="00C328A2">
        <w:rPr>
          <w:rFonts w:cs="Times New Roman"/>
          <w:lang w:val="fr-CA"/>
        </w:rPr>
        <w:t xml:space="preserve">, par. 135; Walker, § 4.03). En l’espèce, les actes fautifs à l’origine du droit d’action de chaque gouvernement ont été accomplis sur son propre territoire et sont donc soumis à ses propres règles substantielles (voir </w:t>
      </w:r>
      <w:r w:rsidRPr="00C328A2">
        <w:rPr>
          <w:rFonts w:cs="Times New Roman"/>
          <w:i/>
          <w:lang w:val="fr-CA"/>
        </w:rPr>
        <w:t>Tolofson c. Jensen</w:t>
      </w:r>
      <w:r w:rsidRPr="00C328A2">
        <w:rPr>
          <w:rFonts w:cs="Times New Roman"/>
          <w:lang w:val="fr-CA"/>
        </w:rPr>
        <w:t>, [1994] 3 R.C.S. 1022, p. 1050 et 1064</w:t>
      </w:r>
      <w:r w:rsidRPr="00C328A2">
        <w:rPr>
          <w:rFonts w:cs="Times New Roman"/>
          <w:lang w:val="fr-CA"/>
        </w:rPr>
        <w:noBreakHyphen/>
        <w:t xml:space="preserve">1065; </w:t>
      </w:r>
      <w:r w:rsidRPr="00C328A2">
        <w:rPr>
          <w:rFonts w:cs="Times New Roman"/>
          <w:i/>
          <w:lang w:val="fr-CA"/>
        </w:rPr>
        <w:t>Unifund Assurance Co. c. Insurance Corp. of British Columbia</w:t>
      </w:r>
      <w:r w:rsidRPr="00C328A2">
        <w:rPr>
          <w:rFonts w:cs="Times New Roman"/>
          <w:lang w:val="fr-CA"/>
        </w:rPr>
        <w:t xml:space="preserve">, 2003 CSC 40, [2003] 2 R.C.S. 63, par. 25 et 80; </w:t>
      </w:r>
      <w:r w:rsidRPr="00C328A2">
        <w:rPr>
          <w:rFonts w:cs="Times New Roman"/>
          <w:i/>
          <w:lang w:val="fr-CA"/>
        </w:rPr>
        <w:t>Van Breda</w:t>
      </w:r>
      <w:r w:rsidRPr="00C328A2">
        <w:rPr>
          <w:rFonts w:cs="Times New Roman"/>
          <w:lang w:val="fr-CA"/>
        </w:rPr>
        <w:t xml:space="preserve">, par. 37; Walker, § 1.02[2][e]). Ces règles substantielles demeurent soumises à la souveraineté de chaque législature, y compris sa propre loi de type </w:t>
      </w:r>
      <w:r w:rsidRPr="00C328A2">
        <w:rPr>
          <w:rFonts w:cs="Times New Roman"/>
          <w:i/>
          <w:lang w:val="fr-CA"/>
        </w:rPr>
        <w:t>ORA</w:t>
      </w:r>
      <w:r w:rsidRPr="00C328A2">
        <w:rPr>
          <w:rFonts w:cs="Times New Roman"/>
          <w:lang w:val="fr-CA"/>
        </w:rPr>
        <w:t xml:space="preserve"> qui détermine ses droits d’action.</w:t>
      </w:r>
    </w:p>
    <w:p w14:paraId="4FA02000"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Je ne crois pas non plus que l’art. 11 ne respecte pas la souveraineté des autres gouvernements en raison du risque que leurs diverses lois de type </w:t>
      </w:r>
      <w:r w:rsidRPr="00C328A2">
        <w:rPr>
          <w:rFonts w:cs="Times New Roman"/>
          <w:i/>
          <w:lang w:val="fr-CA"/>
        </w:rPr>
        <w:t xml:space="preserve">ORA </w:t>
      </w:r>
      <w:r w:rsidRPr="00C328A2">
        <w:rPr>
          <w:rFonts w:cs="Times New Roman"/>
          <w:lang w:val="fr-CA"/>
        </w:rPr>
        <w:t>et les instances que celles</w:t>
      </w:r>
      <w:r w:rsidRPr="00C328A2">
        <w:rPr>
          <w:rFonts w:cs="Times New Roman"/>
          <w:lang w:val="fr-CA"/>
        </w:rPr>
        <w:noBreakHyphen/>
        <w:t xml:space="preserve">ci autorisent se chevauchent et s’opposent. Le chevauchement des lois des divers ressorts est un phénomène normal dans une fédération; il ne pose pas problème, dès lors qu’il est le résultat de l’exercice de sa compétence législative </w:t>
      </w:r>
      <w:r w:rsidRPr="00C328A2">
        <w:rPr>
          <w:rFonts w:cs="Times New Roman"/>
          <w:lang w:val="fr-CA"/>
        </w:rPr>
        <w:lastRenderedPageBreak/>
        <w:t xml:space="preserve">légitime par le gouvernement qui adopte la loi en question (voir </w:t>
      </w:r>
      <w:r w:rsidRPr="00C328A2">
        <w:rPr>
          <w:rFonts w:cs="Times New Roman"/>
          <w:i/>
          <w:lang w:val="fr-CA"/>
        </w:rPr>
        <w:t>Canada (Procureur général) c. PHS Community Services Society</w:t>
      </w:r>
      <w:r w:rsidRPr="00C328A2">
        <w:rPr>
          <w:rFonts w:cs="Times New Roman"/>
          <w:lang w:val="fr-CA"/>
        </w:rPr>
        <w:t xml:space="preserve">, 2011 CSC 44, [2011] 3 R.C.S. 134, par. 62; </w:t>
      </w:r>
      <w:r w:rsidRPr="00C328A2">
        <w:rPr>
          <w:rFonts w:cs="Times New Roman"/>
          <w:i/>
          <w:lang w:val="fr-CA"/>
        </w:rPr>
        <w:t>Banque canadienne de l’Ouest</w:t>
      </w:r>
      <w:r w:rsidRPr="00C328A2">
        <w:rPr>
          <w:rFonts w:cs="Times New Roman"/>
          <w:lang w:val="fr-CA"/>
        </w:rPr>
        <w:t>, par. 36</w:t>
      </w:r>
      <w:r w:rsidRPr="00C328A2">
        <w:rPr>
          <w:rFonts w:cs="Times New Roman"/>
          <w:lang w:val="fr-CA"/>
        </w:rPr>
        <w:noBreakHyphen/>
        <w:t>37). La participation de plusieurs gouvernements à un recours collectif national en vertu de l’autorisation que lui accorde sa propre loi est le fruit de la concertation de divers gouvernements et de la courtoisie mutuelle des tribunaux.</w:t>
      </w:r>
    </w:p>
    <w:p w14:paraId="4CF876E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La coopération entre les divers gouvernements du Canada admet que des chevauchements sont inévitables à l’égard d’enjeux nationaux comme l’épidémie d’opioïdes, et que l’on devrait permettre « aux [. . .] gouvernement[s] de légiférer relativement à des objectifs légitimes dans les matières où il y a chevauchement » (</w:t>
      </w:r>
      <w:r w:rsidRPr="00C328A2">
        <w:rPr>
          <w:rFonts w:cs="Times New Roman"/>
          <w:i/>
          <w:lang w:val="fr-CA"/>
        </w:rPr>
        <w:t>PHS Community Services Society</w:t>
      </w:r>
      <w:r w:rsidRPr="00C328A2">
        <w:rPr>
          <w:rFonts w:cs="Times New Roman"/>
          <w:lang w:val="fr-CA"/>
        </w:rPr>
        <w:t>, par. 62). Bien que les tribunaux demeurent les arbitres ultimes de la constitutionnalité des mesures prises par les gouvernements pour encadrer des questions d’envergure nationale comme celles</w:t>
      </w:r>
      <w:r w:rsidRPr="00C328A2">
        <w:rPr>
          <w:rFonts w:cs="Times New Roman"/>
          <w:lang w:val="fr-CA"/>
        </w:rPr>
        <w:noBreakHyphen/>
        <w:t>ci, la tâche quotidienne que représente le maintien de l’équilibre des compétences en ce qui concerne les régimes législatifs fondés sur la coopération « relève avant tout des gouvernements » (</w:t>
      </w:r>
      <w:r w:rsidRPr="00C328A2">
        <w:rPr>
          <w:rFonts w:cs="Times New Roman"/>
          <w:i/>
          <w:lang w:val="fr-CA"/>
        </w:rPr>
        <w:t>Banque canadienne de l’Ouest</w:t>
      </w:r>
      <w:r w:rsidRPr="00C328A2">
        <w:rPr>
          <w:rFonts w:cs="Times New Roman"/>
          <w:lang w:val="fr-CA"/>
        </w:rPr>
        <w:t>, par. 24).</w:t>
      </w:r>
    </w:p>
    <w:p w14:paraId="72F6E3D1"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Dans le cas qui nous occupe, presque tous les gouvernements provinciaux et territoriaux du Canada ont choisi de se concerter en adoptant des lois pratiquement identiques, en indiquant leur intention de participer à des recours collectifs à titre de membres du groupe visé et en intervenant dans le présent pourvoi pour soutenir la Colombie</w:t>
      </w:r>
      <w:r w:rsidRPr="00C328A2">
        <w:rPr>
          <w:rFonts w:cs="Times New Roman"/>
          <w:lang w:val="fr-CA"/>
        </w:rPr>
        <w:noBreakHyphen/>
        <w:t xml:space="preserve">Britannique. Le gouvernement fédéral, qui est également intervenu en </w:t>
      </w:r>
      <w:r w:rsidRPr="00C328A2">
        <w:rPr>
          <w:rFonts w:cs="Times New Roman"/>
          <w:lang w:val="fr-CA"/>
        </w:rPr>
        <w:lastRenderedPageBreak/>
        <w:t>faveur de l’intimé, a fait connaître son intention de participer lui aussi au recours collectif (</w:t>
      </w:r>
      <w:r w:rsidRPr="00C328A2">
        <w:rPr>
          <w:rFonts w:cs="Times New Roman"/>
          <w:i/>
          <w:lang w:val="fr-CA"/>
        </w:rPr>
        <w:t>Débats de la Chambre des communes</w:t>
      </w:r>
      <w:r w:rsidRPr="00C328A2">
        <w:rPr>
          <w:rFonts w:cs="Times New Roman"/>
          <w:lang w:val="fr-CA"/>
        </w:rPr>
        <w:t>, vol. 151, n</w:t>
      </w:r>
      <w:r w:rsidRPr="00C328A2">
        <w:rPr>
          <w:rFonts w:cs="Times New Roman"/>
          <w:vertAlign w:val="superscript"/>
          <w:lang w:val="fr-CA"/>
        </w:rPr>
        <w:t>o</w:t>
      </w:r>
      <w:r w:rsidRPr="00C328A2">
        <w:rPr>
          <w:rFonts w:cs="Times New Roman"/>
          <w:lang w:val="fr-CA"/>
        </w:rPr>
        <w:t> 216, 1</w:t>
      </w:r>
      <w:r w:rsidRPr="00C328A2">
        <w:rPr>
          <w:rFonts w:cs="Times New Roman"/>
          <w:vertAlign w:val="superscript"/>
          <w:lang w:val="fr-CA"/>
        </w:rPr>
        <w:t>re</w:t>
      </w:r>
      <w:r w:rsidRPr="00C328A2">
        <w:rPr>
          <w:rFonts w:cs="Times New Roman"/>
          <w:lang w:val="fr-CA"/>
        </w:rPr>
        <w:t xml:space="preserve"> sess., 44</w:t>
      </w:r>
      <w:r w:rsidRPr="00C328A2">
        <w:rPr>
          <w:rFonts w:cs="Times New Roman"/>
          <w:vertAlign w:val="superscript"/>
          <w:lang w:val="fr-CA"/>
        </w:rPr>
        <w:t>e</w:t>
      </w:r>
      <w:r w:rsidRPr="00C328A2">
        <w:rPr>
          <w:rFonts w:cs="Times New Roman"/>
          <w:lang w:val="fr-CA"/>
        </w:rPr>
        <w:t xml:space="preserve"> lég., 19 juin 2023, p. 16247 (l’hon. Carolyn Bennett)). Cette participation de plusieurs gouvernements s’inscrit dans la foulée de l’approche préconisée par notre Cour en matière de coopération intergouvernementale sur des enjeux nationaux, où la collaboration entre les organes exécutif et législatif des deux ordres de gouvernement est vitale. Compte tenu notamment de la présomption de constitutionnalité des lois, un tribunal devrait faire preuve d’une grande prudence avant de conclure qu’une coopération entre les organes exécutif et législatif de plusieurs gouvernements est inconstitutionnelle (voir </w:t>
      </w:r>
      <w:r w:rsidRPr="00C328A2">
        <w:rPr>
          <w:rFonts w:cs="Times New Roman"/>
          <w:i/>
          <w:lang w:val="fr-CA"/>
        </w:rPr>
        <w:t>Murray-Hall</w:t>
      </w:r>
      <w:r w:rsidRPr="00C328A2">
        <w:rPr>
          <w:rFonts w:cs="Times New Roman"/>
          <w:lang w:val="fr-CA"/>
        </w:rPr>
        <w:t xml:space="preserve">, par. 79 et 82; </w:t>
      </w:r>
      <w:r w:rsidRPr="00C328A2">
        <w:rPr>
          <w:rFonts w:cs="Times New Roman"/>
          <w:i/>
          <w:iCs/>
          <w:lang w:val="fr-CA"/>
        </w:rPr>
        <w:t>Renvoi relatif à la Loi sur l’évaluation d’impact</w:t>
      </w:r>
      <w:r w:rsidRPr="00C328A2">
        <w:rPr>
          <w:rFonts w:cs="Times New Roman"/>
          <w:lang w:val="fr-CA"/>
        </w:rPr>
        <w:t xml:space="preserve">, par. 69; </w:t>
      </w:r>
      <w:r w:rsidRPr="00C328A2">
        <w:rPr>
          <w:rFonts w:cs="Times New Roman"/>
          <w:i/>
          <w:lang w:val="fr-CA"/>
        </w:rPr>
        <w:t>Kitkatla</w:t>
      </w:r>
      <w:r w:rsidRPr="00C328A2">
        <w:rPr>
          <w:rFonts w:cs="Times New Roman"/>
          <w:lang w:val="fr-CA"/>
        </w:rPr>
        <w:t>, par. 72</w:t>
      </w:r>
      <w:r w:rsidRPr="00C328A2">
        <w:rPr>
          <w:rFonts w:cs="Times New Roman"/>
          <w:lang w:val="fr-CA"/>
        </w:rPr>
        <w:noBreakHyphen/>
        <w:t xml:space="preserve">73; </w:t>
      </w:r>
      <w:r w:rsidRPr="00C328A2">
        <w:rPr>
          <w:rFonts w:cs="Times New Roman"/>
          <w:i/>
          <w:lang w:val="fr-CA"/>
        </w:rPr>
        <w:t>SEFPO</w:t>
      </w:r>
      <w:r w:rsidRPr="00C328A2">
        <w:rPr>
          <w:rFonts w:cs="Times New Roman"/>
          <w:lang w:val="fr-CA"/>
        </w:rPr>
        <w:t>, p. 19</w:t>
      </w:r>
      <w:r w:rsidRPr="00C328A2">
        <w:rPr>
          <w:rFonts w:cs="Times New Roman"/>
          <w:lang w:val="fr-CA"/>
        </w:rPr>
        <w:noBreakHyphen/>
        <w:t>20).</w:t>
      </w:r>
    </w:p>
    <w:p w14:paraId="048ECFF3"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En ce qui concerne l’organe judiciaire de l’État, notre Cour a reconnu qu’« [u]ne plus grande courtoisie est nécessaire à l’époque moderne où les opérations internationales impliquent une circulation constante de produits, de richesses et de personnes partout dans le monde » (</w:t>
      </w:r>
      <w:r w:rsidRPr="00C328A2">
        <w:rPr>
          <w:rFonts w:cs="Times New Roman"/>
          <w:i/>
          <w:lang w:val="fr-CA"/>
        </w:rPr>
        <w:t>Hunt</w:t>
      </w:r>
      <w:r w:rsidRPr="00C328A2">
        <w:rPr>
          <w:rFonts w:cs="Times New Roman"/>
          <w:lang w:val="fr-CA"/>
        </w:rPr>
        <w:t>, p. 292). Dans notre fédération, les tribunaux offrent une justice d’une qualité comparable, et ils exigent donc la reconnaissance réciproque de leurs jugements, lorsque leur compétence a été exercée correctement (</w:t>
      </w:r>
      <w:r w:rsidRPr="00C328A2">
        <w:rPr>
          <w:rFonts w:cs="Times New Roman"/>
          <w:i/>
          <w:lang w:val="fr-CA"/>
        </w:rPr>
        <w:t>Morguard</w:t>
      </w:r>
      <w:r w:rsidRPr="00C328A2">
        <w:rPr>
          <w:rFonts w:cs="Times New Roman"/>
          <w:lang w:val="fr-CA"/>
        </w:rPr>
        <w:t xml:space="preserve">, p. 1099). En cas de chevauchement des instances, les tribunaux disposent des outils nécessaires pour prévenir tout abus de procédure (voir, p. ex., </w:t>
      </w:r>
      <w:r w:rsidRPr="00C328A2">
        <w:rPr>
          <w:rFonts w:cs="Times New Roman"/>
          <w:i/>
          <w:lang w:val="fr-CA"/>
        </w:rPr>
        <w:t>CPA</w:t>
      </w:r>
      <w:r w:rsidRPr="00C328A2">
        <w:rPr>
          <w:rFonts w:cs="Times New Roman"/>
          <w:lang w:val="fr-CA"/>
        </w:rPr>
        <w:t>, art. 4(3) à 4.1). Au sein de notre fédération, la courtoisie entre les tribunaux facilite l’accès à la justice dans un monde où les gens et les problèmes ne tiennent plus compte des frontières ou de la législature ou du tribunal dont ils relèvent.</w:t>
      </w:r>
    </w:p>
    <w:p w14:paraId="75CC5D0A"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C’est précisément le but visé par le recours collectif, en l’occurrence « faciliter l’accès à la justice aux citoyens qui partagent des problèmes communs et qui, en l’absence de ce mécanisme, seraient peu incités à s’adresser individuellement aux tribunaux pour faire valoir leurs droits » (</w:t>
      </w:r>
      <w:r w:rsidRPr="00C328A2">
        <w:rPr>
          <w:rFonts w:cs="Times New Roman"/>
          <w:i/>
          <w:lang w:val="fr-CA"/>
        </w:rPr>
        <w:t>Bisaillon</w:t>
      </w:r>
      <w:r w:rsidRPr="00C328A2">
        <w:rPr>
          <w:rFonts w:cs="Times New Roman"/>
          <w:lang w:val="fr-CA"/>
        </w:rPr>
        <w:t>, par. 16). Notre Cour a fait observer que les recours collectifs permettent d’économiser les ressources judiciaires, de favoriser l’accès à la justice et de modifier le comportement des contrevenants qui, autrement, pourraient échapper à la responsabilité de leurs actes (</w:t>
      </w:r>
      <w:r w:rsidRPr="00C328A2">
        <w:rPr>
          <w:rFonts w:cs="Times New Roman"/>
          <w:i/>
          <w:lang w:val="fr-CA"/>
        </w:rPr>
        <w:t>Dutton</w:t>
      </w:r>
      <w:r w:rsidRPr="00C328A2">
        <w:rPr>
          <w:rFonts w:cs="Times New Roman"/>
          <w:lang w:val="fr-CA"/>
        </w:rPr>
        <w:t>, par. 27</w:t>
      </w:r>
      <w:r w:rsidRPr="00C328A2">
        <w:rPr>
          <w:rFonts w:cs="Times New Roman"/>
          <w:lang w:val="fr-CA"/>
        </w:rPr>
        <w:noBreakHyphen/>
        <w:t xml:space="preserve">29; </w:t>
      </w:r>
      <w:r w:rsidRPr="00C328A2">
        <w:rPr>
          <w:rFonts w:cs="Times New Roman"/>
          <w:i/>
          <w:lang w:val="fr-CA"/>
        </w:rPr>
        <w:t>Hollick</w:t>
      </w:r>
      <w:r w:rsidRPr="00C328A2">
        <w:rPr>
          <w:rFonts w:cs="Times New Roman"/>
          <w:lang w:val="fr-CA"/>
        </w:rPr>
        <w:t>, par. 15). Ces objectifs sont atteints lorsque les gouvernements coopèrent entre eux pour faire juger leurs revendications de façon efficace dans le cadre d’une seule et même action intentée devant la cour supérieure d’une province, dont la procédure et le jugement seront respectés par les autres tribunaux de notre fédération en vertu du principe de courtoisie.</w:t>
      </w:r>
    </w:p>
    <w:p w14:paraId="3C1A3894" w14:textId="77777777" w:rsidR="00C328A2" w:rsidRPr="00C328A2" w:rsidRDefault="00C328A2" w:rsidP="00C328A2">
      <w:pPr>
        <w:pStyle w:val="ParaNoNdepar-AltN"/>
        <w:widowControl w:val="0"/>
        <w:tabs>
          <w:tab w:val="clear" w:pos="1166"/>
          <w:tab w:val="num" w:pos="1152"/>
        </w:tabs>
        <w:rPr>
          <w:rFonts w:cs="Times New Roman"/>
          <w:lang w:val="fr-CA"/>
        </w:rPr>
      </w:pPr>
      <w:r w:rsidRPr="00C328A2">
        <w:rPr>
          <w:rFonts w:cs="Times New Roman"/>
          <w:lang w:val="fr-CA"/>
        </w:rPr>
        <w:t>L’article 11 de l’</w:t>
      </w:r>
      <w:r w:rsidRPr="00C328A2">
        <w:rPr>
          <w:rFonts w:cs="Times New Roman"/>
          <w:i/>
          <w:lang w:val="fr-CA"/>
        </w:rPr>
        <w:t>ORA</w:t>
      </w:r>
      <w:r w:rsidRPr="00C328A2">
        <w:rPr>
          <w:rFonts w:cs="Times New Roman"/>
          <w:lang w:val="fr-CA"/>
        </w:rPr>
        <w:t xml:space="preserve"> respecte donc la souveraineté législative des autres gouvernements canadiens. Il illustre le rôle important que jouent les recours collectifs nationaux dans les affaires d’envergure nationale, en fournissant un mécanisme pour faciliter la concertation de nombreux gouvernements en vue d’atteindre le même objectif.</w:t>
      </w:r>
    </w:p>
    <w:p w14:paraId="54F947A0" w14:textId="77777777" w:rsidR="00C328A2" w:rsidRPr="00C328A2" w:rsidRDefault="00C328A2" w:rsidP="00C328A2">
      <w:pPr>
        <w:pStyle w:val="Title3LevelTitre3Niveau"/>
        <w:widowControl w:val="0"/>
        <w:numPr>
          <w:ilvl w:val="2"/>
          <w:numId w:val="18"/>
        </w:numPr>
        <w:spacing w:before="0"/>
        <w:ind w:hanging="612"/>
        <w:rPr>
          <w:rFonts w:cs="Times New Roman"/>
          <w:lang w:val="fr-CA"/>
        </w:rPr>
      </w:pPr>
      <w:r w:rsidRPr="00C328A2">
        <w:rPr>
          <w:rFonts w:cs="Times New Roman"/>
          <w:lang w:val="fr-CA"/>
        </w:rPr>
        <w:t>Conclusion sur la portée territoriale</w:t>
      </w:r>
    </w:p>
    <w:p w14:paraId="7A3DB85D" w14:textId="77777777" w:rsidR="00C328A2" w:rsidRPr="00C328A2" w:rsidRDefault="00C328A2" w:rsidP="00C328A2">
      <w:pPr>
        <w:pStyle w:val="ParaNoNdepar-AltN"/>
        <w:widowControl w:val="0"/>
        <w:tabs>
          <w:tab w:val="clear" w:pos="1166"/>
          <w:tab w:val="num" w:pos="1152"/>
        </w:tabs>
        <w:spacing w:before="0"/>
        <w:rPr>
          <w:rFonts w:cs="Times New Roman"/>
          <w:lang w:val="fr-CA"/>
        </w:rPr>
      </w:pPr>
      <w:bookmarkStart w:id="44" w:name="_Hlk169777233"/>
      <w:r w:rsidRPr="00C328A2">
        <w:rPr>
          <w:rFonts w:cs="Times New Roman"/>
          <w:lang w:val="fr-CA"/>
        </w:rPr>
        <w:t>L’article 11 a un lien significatif avec la province de la Colombie</w:t>
      </w:r>
      <w:r w:rsidRPr="00C328A2">
        <w:rPr>
          <w:rFonts w:cs="Times New Roman"/>
          <w:lang w:val="fr-CA"/>
        </w:rPr>
        <w:noBreakHyphen/>
        <w:t xml:space="preserve">Britannique, et il respecte la souveraineté législative des autres gouvernements canadiens. Tout effet extraterritorial que l’art. 11 pourrait avoir sur les </w:t>
      </w:r>
      <w:r w:rsidRPr="00C328A2">
        <w:rPr>
          <w:rFonts w:cs="Times New Roman"/>
          <w:lang w:val="fr-CA"/>
        </w:rPr>
        <w:lastRenderedPageBreak/>
        <w:t>droits substantiels des autres gouvernements est accessoire et n’a aucune incidence sur sa validité.</w:t>
      </w:r>
    </w:p>
    <w:bookmarkEnd w:id="44"/>
    <w:p w14:paraId="2CD6AF90" w14:textId="77777777" w:rsidR="00C328A2" w:rsidRPr="00C328A2" w:rsidRDefault="00C328A2" w:rsidP="00C328A2">
      <w:pPr>
        <w:pStyle w:val="Title1LevelTitre1Niveau-AltL"/>
        <w:widowControl w:val="0"/>
        <w:spacing w:before="0"/>
        <w:rPr>
          <w:rFonts w:cs="Times New Roman"/>
          <w:lang w:val="fr-CA"/>
        </w:rPr>
      </w:pPr>
      <w:r w:rsidRPr="00C328A2">
        <w:rPr>
          <w:rFonts w:cs="Times New Roman"/>
          <w:lang w:val="fr-CA"/>
        </w:rPr>
        <w:t>Conclusion</w:t>
      </w:r>
    </w:p>
    <w:p w14:paraId="4319F0D1"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L’article 11 de l’</w:t>
      </w:r>
      <w:r w:rsidRPr="00C328A2">
        <w:rPr>
          <w:rFonts w:cs="Times New Roman"/>
          <w:i/>
          <w:lang w:val="fr-CA"/>
        </w:rPr>
        <w:t>ORA</w:t>
      </w:r>
      <w:r w:rsidRPr="00C328A2">
        <w:rPr>
          <w:rFonts w:cs="Times New Roman"/>
          <w:lang w:val="fr-CA"/>
        </w:rPr>
        <w:t xml:space="preserve"> est un mécanisme procédural par lequel les réclamations des autres gouvernements qui acceptent d’y participer peuvent être jugées dans le cadre d’une seule et même instance introduite devant les tribunaux de la Colombie</w:t>
      </w:r>
      <w:r w:rsidRPr="00C328A2">
        <w:rPr>
          <w:rFonts w:cs="Times New Roman"/>
          <w:lang w:val="fr-CA"/>
        </w:rPr>
        <w:noBreakHyphen/>
        <w:t>Britannique, dans laquelle le gouvernement de la Colombie</w:t>
      </w:r>
      <w:r w:rsidRPr="00C328A2">
        <w:rPr>
          <w:rFonts w:cs="Times New Roman"/>
          <w:lang w:val="fr-CA"/>
        </w:rPr>
        <w:noBreakHyphen/>
        <w:t xml:space="preserve">Britannique agit comme représentant des demandeurs. Ce mécanisme procédural relève de la compétence de la province sur « [l]’administration de la justice dans la province » en vertu du par. 92(14). Il comporte un lien significatif avec la province, et il respecte la souveraineté législative des autres gouvernements. En conséquence, l’art. 11 est </w:t>
      </w:r>
      <w:r w:rsidRPr="00C328A2">
        <w:rPr>
          <w:rFonts w:cs="Times New Roman"/>
          <w:i/>
          <w:lang w:val="fr-CA"/>
        </w:rPr>
        <w:t>intra vires</w:t>
      </w:r>
      <w:r w:rsidRPr="00C328A2">
        <w:rPr>
          <w:rFonts w:cs="Times New Roman"/>
          <w:lang w:val="fr-CA"/>
        </w:rPr>
        <w:t xml:space="preserve"> de la province, et il n’est pas nécessaire d’examiner la doctrine des pouvoirs accessoires.</w:t>
      </w:r>
    </w:p>
    <w:p w14:paraId="55386308" w14:textId="77777777" w:rsid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Je suis d’avis de rejeter le pourvoi avec dépens.</w:t>
      </w:r>
    </w:p>
    <w:p w14:paraId="1EB48423" w14:textId="0E3DFE2C" w:rsidR="001518D0" w:rsidRDefault="001518D0">
      <w:pPr>
        <w:rPr>
          <w:rFonts w:eastAsiaTheme="minorEastAsia"/>
          <w:szCs w:val="22"/>
          <w:lang w:val="fr-CA" w:eastAsia="en-US"/>
        </w:rPr>
      </w:pPr>
      <w:r>
        <w:rPr>
          <w:lang w:val="fr-CA"/>
        </w:rPr>
        <w:br w:type="page"/>
      </w:r>
    </w:p>
    <w:p w14:paraId="10220017" w14:textId="77777777" w:rsidR="00C328A2" w:rsidRPr="00C328A2" w:rsidRDefault="00C328A2" w:rsidP="00C328A2">
      <w:pPr>
        <w:tabs>
          <w:tab w:val="left" w:pos="1134"/>
        </w:tabs>
        <w:spacing w:after="480" w:line="480" w:lineRule="auto"/>
        <w:jc w:val="both"/>
        <w:rPr>
          <w:lang w:val="fr-CA"/>
        </w:rPr>
      </w:pPr>
      <w:r w:rsidRPr="000F18F1">
        <w:rPr>
          <w:lang w:val="fr-CA"/>
        </w:rPr>
        <w:lastRenderedPageBreak/>
        <w:tab/>
      </w:r>
      <w:r w:rsidRPr="00C328A2">
        <w:rPr>
          <w:lang w:val="fr-CA"/>
        </w:rPr>
        <w:t>Version française des motifs rendus par</w:t>
      </w:r>
    </w:p>
    <w:p w14:paraId="350725AC" w14:textId="77777777" w:rsidR="00C328A2" w:rsidRPr="00C328A2" w:rsidRDefault="00C328A2" w:rsidP="00143FBF">
      <w:pPr>
        <w:pStyle w:val="JudgeJuge"/>
        <w:tabs>
          <w:tab w:val="clear" w:pos="1166"/>
          <w:tab w:val="left" w:pos="1134"/>
          <w:tab w:val="left" w:pos="4620"/>
        </w:tabs>
        <w:spacing w:before="240"/>
        <w:rPr>
          <w:lang w:val="fr-CA"/>
        </w:rPr>
      </w:pPr>
      <w:r w:rsidRPr="00C328A2">
        <w:rPr>
          <w:lang w:val="fr-CA"/>
        </w:rPr>
        <w:tab/>
        <w:t xml:space="preserve">La juge Côté — </w:t>
      </w:r>
    </w:p>
    <w:p w14:paraId="6E3D18F7" w14:textId="42F3D35C" w:rsidR="00C328A2" w:rsidRPr="00C328A2" w:rsidRDefault="00C328A2" w:rsidP="00C328A2">
      <w:pPr>
        <w:rPr>
          <w:smallCaps/>
          <w:lang w:val="fr-CA"/>
        </w:rPr>
      </w:pPr>
    </w:p>
    <w:tbl>
      <w:tblPr>
        <w:tblW w:w="9356" w:type="dxa"/>
        <w:tblLayout w:type="fixed"/>
        <w:tblCellMar>
          <w:left w:w="0" w:type="dxa"/>
          <w:right w:w="0" w:type="dxa"/>
        </w:tblCellMar>
        <w:tblLook w:val="04A0" w:firstRow="1" w:lastRow="0" w:firstColumn="1" w:lastColumn="0" w:noHBand="0" w:noVBand="1"/>
      </w:tblPr>
      <w:tblGrid>
        <w:gridCol w:w="8505"/>
        <w:gridCol w:w="851"/>
      </w:tblGrid>
      <w:tr w:rsidR="00C328A2" w:rsidRPr="00C328A2" w14:paraId="2EB85EE8" w14:textId="77777777" w:rsidTr="000C5D45">
        <w:trPr>
          <w:trHeight w:val="432"/>
        </w:trPr>
        <w:tc>
          <w:tcPr>
            <w:tcW w:w="9356" w:type="dxa"/>
            <w:gridSpan w:val="2"/>
          </w:tcPr>
          <w:p w14:paraId="38F3A1A2" w14:textId="77777777" w:rsidR="00C328A2" w:rsidRPr="00C328A2" w:rsidRDefault="00C328A2" w:rsidP="000C5D45">
            <w:pPr>
              <w:tabs>
                <w:tab w:val="center" w:pos="4050"/>
              </w:tabs>
              <w:rPr>
                <w:b/>
                <w:szCs w:val="24"/>
                <w:lang w:val="fr-FR"/>
              </w:rPr>
            </w:pPr>
            <w:r w:rsidRPr="00C328A2">
              <w:rPr>
                <w:b/>
                <w:szCs w:val="24"/>
              </w:rPr>
              <w:tab/>
            </w:r>
            <w:r w:rsidRPr="00C328A2">
              <w:rPr>
                <w:b/>
                <w:szCs w:val="24"/>
                <w:lang w:val="fr-FR"/>
              </w:rPr>
              <w:t>TABLE DES MATIÈRES</w:t>
            </w:r>
          </w:p>
          <w:p w14:paraId="758C9EE3" w14:textId="77777777" w:rsidR="00C328A2" w:rsidRPr="00C328A2" w:rsidRDefault="00C328A2" w:rsidP="000C5D45">
            <w:pPr>
              <w:tabs>
                <w:tab w:val="center" w:pos="4050"/>
              </w:tabs>
              <w:rPr>
                <w:b/>
                <w:szCs w:val="24"/>
                <w:lang w:val="fr-FR"/>
              </w:rPr>
            </w:pPr>
          </w:p>
        </w:tc>
      </w:tr>
      <w:tr w:rsidR="00C328A2" w:rsidRPr="00C328A2" w14:paraId="76CC5B0A" w14:textId="77777777" w:rsidTr="000C5D45">
        <w:trPr>
          <w:trHeight w:val="432"/>
        </w:trPr>
        <w:tc>
          <w:tcPr>
            <w:tcW w:w="9356" w:type="dxa"/>
            <w:gridSpan w:val="2"/>
          </w:tcPr>
          <w:p w14:paraId="721DA83F" w14:textId="77777777" w:rsidR="00C328A2" w:rsidRPr="00C328A2" w:rsidRDefault="00C328A2" w:rsidP="000C5D45">
            <w:pPr>
              <w:tabs>
                <w:tab w:val="center" w:pos="4050"/>
              </w:tabs>
              <w:jc w:val="right"/>
              <w:rPr>
                <w:szCs w:val="24"/>
              </w:rPr>
            </w:pPr>
            <w:r w:rsidRPr="00C328A2">
              <w:rPr>
                <w:szCs w:val="24"/>
              </w:rPr>
              <w:t>Paragraphe</w:t>
            </w:r>
          </w:p>
        </w:tc>
      </w:tr>
      <w:tr w:rsidR="00C328A2" w:rsidRPr="00C328A2" w14:paraId="7AC0A364" w14:textId="77777777" w:rsidTr="000C5D45">
        <w:trPr>
          <w:trHeight w:val="432"/>
        </w:trPr>
        <w:tc>
          <w:tcPr>
            <w:tcW w:w="8505" w:type="dxa"/>
          </w:tcPr>
          <w:p w14:paraId="18CD8D0A" w14:textId="77777777" w:rsidR="00C328A2" w:rsidRPr="00C328A2" w:rsidRDefault="00C328A2" w:rsidP="000C5D45">
            <w:pPr>
              <w:tabs>
                <w:tab w:val="left" w:pos="480"/>
                <w:tab w:val="right" w:leader="dot" w:pos="8270"/>
              </w:tabs>
              <w:spacing w:after="100"/>
              <w:jc w:val="both"/>
              <w:rPr>
                <w:noProof/>
                <w:szCs w:val="24"/>
                <w:u w:val="single"/>
              </w:rPr>
            </w:pPr>
            <w:r w:rsidRPr="00C328A2">
              <w:rPr>
                <w:noProof/>
                <w:szCs w:val="24"/>
              </w:rPr>
              <w:t>I.</w:t>
            </w:r>
            <w:r w:rsidRPr="00C328A2">
              <w:rPr>
                <w:noProof/>
                <w:szCs w:val="24"/>
              </w:rPr>
              <w:tab/>
            </w:r>
            <w:r w:rsidRPr="00C328A2">
              <w:rPr>
                <w:noProof/>
                <w:szCs w:val="24"/>
                <w:u w:val="single"/>
              </w:rPr>
              <w:t>Introduction</w:t>
            </w:r>
          </w:p>
        </w:tc>
        <w:tc>
          <w:tcPr>
            <w:tcW w:w="851" w:type="dxa"/>
          </w:tcPr>
          <w:p w14:paraId="20A87C98" w14:textId="77777777" w:rsidR="00C328A2" w:rsidRPr="00C328A2" w:rsidRDefault="00C328A2" w:rsidP="000C5D45">
            <w:pPr>
              <w:tabs>
                <w:tab w:val="left" w:pos="480"/>
                <w:tab w:val="right" w:leader="dot" w:pos="8270"/>
              </w:tabs>
              <w:spacing w:after="100"/>
              <w:jc w:val="right"/>
              <w:rPr>
                <w:szCs w:val="24"/>
              </w:rPr>
            </w:pPr>
            <w:r w:rsidRPr="00C328A2">
              <w:rPr>
                <w:szCs w:val="24"/>
              </w:rPr>
              <w:t>111</w:t>
            </w:r>
          </w:p>
        </w:tc>
      </w:tr>
      <w:tr w:rsidR="00C328A2" w:rsidRPr="00C328A2" w14:paraId="710FCA9B" w14:textId="77777777" w:rsidTr="000C5D45">
        <w:trPr>
          <w:trHeight w:val="432"/>
        </w:trPr>
        <w:tc>
          <w:tcPr>
            <w:tcW w:w="8505" w:type="dxa"/>
          </w:tcPr>
          <w:p w14:paraId="4B491ACE" w14:textId="77777777" w:rsidR="00C328A2" w:rsidRPr="00C328A2" w:rsidRDefault="00C328A2" w:rsidP="000C5D45">
            <w:pPr>
              <w:tabs>
                <w:tab w:val="left" w:pos="480"/>
                <w:tab w:val="right" w:leader="dot" w:pos="8270"/>
              </w:tabs>
              <w:spacing w:after="100"/>
              <w:jc w:val="both"/>
              <w:rPr>
                <w:noProof/>
                <w:szCs w:val="24"/>
                <w:u w:val="single"/>
              </w:rPr>
            </w:pPr>
            <w:r w:rsidRPr="00C328A2">
              <w:rPr>
                <w:noProof/>
                <w:szCs w:val="24"/>
              </w:rPr>
              <w:t>II.</w:t>
            </w:r>
            <w:r w:rsidRPr="00C328A2">
              <w:rPr>
                <w:noProof/>
                <w:szCs w:val="24"/>
              </w:rPr>
              <w:tab/>
            </w:r>
            <w:r w:rsidRPr="00C328A2">
              <w:rPr>
                <w:noProof/>
                <w:szCs w:val="24"/>
                <w:u w:val="single"/>
              </w:rPr>
              <w:t>Analyse</w:t>
            </w:r>
          </w:p>
        </w:tc>
        <w:tc>
          <w:tcPr>
            <w:tcW w:w="851" w:type="dxa"/>
          </w:tcPr>
          <w:p w14:paraId="4E9624D4" w14:textId="77777777" w:rsidR="00C328A2" w:rsidRPr="00C328A2" w:rsidRDefault="00C328A2" w:rsidP="000C5D45">
            <w:pPr>
              <w:tabs>
                <w:tab w:val="left" w:pos="480"/>
                <w:tab w:val="right" w:leader="dot" w:pos="8270"/>
              </w:tabs>
              <w:spacing w:after="100"/>
              <w:jc w:val="right"/>
              <w:rPr>
                <w:szCs w:val="24"/>
              </w:rPr>
            </w:pPr>
            <w:r w:rsidRPr="00C328A2">
              <w:rPr>
                <w:szCs w:val="24"/>
              </w:rPr>
              <w:t>121</w:t>
            </w:r>
          </w:p>
        </w:tc>
      </w:tr>
      <w:tr w:rsidR="00C328A2" w:rsidRPr="00C328A2" w14:paraId="133A0207" w14:textId="77777777" w:rsidTr="000C5D45">
        <w:trPr>
          <w:trHeight w:val="432"/>
        </w:trPr>
        <w:tc>
          <w:tcPr>
            <w:tcW w:w="8505" w:type="dxa"/>
          </w:tcPr>
          <w:p w14:paraId="05DC843D" w14:textId="77777777" w:rsidR="00C328A2" w:rsidRPr="00C328A2" w:rsidRDefault="00C328A2" w:rsidP="000C5D45">
            <w:pPr>
              <w:tabs>
                <w:tab w:val="left" w:pos="480"/>
                <w:tab w:val="right" w:leader="dot" w:pos="8270"/>
              </w:tabs>
              <w:spacing w:after="100"/>
              <w:jc w:val="both"/>
              <w:rPr>
                <w:noProof/>
                <w:szCs w:val="24"/>
              </w:rPr>
            </w:pPr>
            <w:r w:rsidRPr="00C328A2">
              <w:rPr>
                <w:noProof/>
                <w:szCs w:val="24"/>
              </w:rPr>
              <w:t>A.</w:t>
            </w:r>
            <w:r w:rsidRPr="00C328A2">
              <w:rPr>
                <w:noProof/>
                <w:szCs w:val="24"/>
              </w:rPr>
              <w:tab/>
            </w:r>
            <w:r w:rsidRPr="00C328A2">
              <w:rPr>
                <w:iCs/>
                <w:noProof/>
                <w:szCs w:val="24"/>
                <w:lang w:val="fr-CA"/>
              </w:rPr>
              <w:t>Caractère véritable</w:t>
            </w:r>
          </w:p>
        </w:tc>
        <w:tc>
          <w:tcPr>
            <w:tcW w:w="851" w:type="dxa"/>
          </w:tcPr>
          <w:p w14:paraId="77C9C93C" w14:textId="77777777" w:rsidR="00C328A2" w:rsidRPr="00C328A2" w:rsidRDefault="00C328A2" w:rsidP="000C5D45">
            <w:pPr>
              <w:tabs>
                <w:tab w:val="left" w:pos="480"/>
                <w:tab w:val="right" w:leader="dot" w:pos="8270"/>
              </w:tabs>
              <w:spacing w:after="100"/>
              <w:jc w:val="right"/>
              <w:rPr>
                <w:szCs w:val="24"/>
              </w:rPr>
            </w:pPr>
            <w:r w:rsidRPr="00C328A2">
              <w:rPr>
                <w:szCs w:val="24"/>
              </w:rPr>
              <w:t>126</w:t>
            </w:r>
          </w:p>
        </w:tc>
      </w:tr>
      <w:tr w:rsidR="00C328A2" w:rsidRPr="00C328A2" w14:paraId="33540BBF" w14:textId="77777777" w:rsidTr="000C5D45">
        <w:trPr>
          <w:trHeight w:val="432"/>
        </w:trPr>
        <w:tc>
          <w:tcPr>
            <w:tcW w:w="8505" w:type="dxa"/>
          </w:tcPr>
          <w:p w14:paraId="336C8A81" w14:textId="77777777" w:rsidR="00C328A2" w:rsidRPr="00C328A2" w:rsidRDefault="00C328A2" w:rsidP="00691E79">
            <w:pPr>
              <w:tabs>
                <w:tab w:val="left" w:pos="1100"/>
                <w:tab w:val="right" w:leader="dot" w:pos="8270"/>
              </w:tabs>
              <w:spacing w:after="100"/>
              <w:ind w:left="950" w:hanging="475"/>
              <w:jc w:val="both"/>
              <w:rPr>
                <w:noProof/>
                <w:szCs w:val="24"/>
                <w:lang w:val="fr-CA"/>
              </w:rPr>
            </w:pPr>
            <w:r w:rsidRPr="00C328A2">
              <w:rPr>
                <w:noProof/>
                <w:szCs w:val="24"/>
                <w:lang w:val="fr-CA"/>
                <w14:scene3d>
                  <w14:camera w14:prst="orthographicFront"/>
                  <w14:lightRig w14:rig="threePt" w14:dir="t">
                    <w14:rot w14:lat="0" w14:lon="0" w14:rev="0"/>
                  </w14:lightRig>
                </w14:scene3d>
              </w:rPr>
              <w:t>(1)</w:t>
            </w:r>
            <w:r w:rsidRPr="00C328A2">
              <w:rPr>
                <w:noProof/>
                <w:szCs w:val="24"/>
                <w:lang w:val="fr-CA"/>
              </w:rPr>
              <w:tab/>
            </w:r>
            <w:r w:rsidRPr="00C328A2">
              <w:rPr>
                <w:noProof/>
                <w:szCs w:val="24"/>
                <w:u w:val="single"/>
                <w:lang w:val="fr-CA"/>
              </w:rPr>
              <w:t>Objectif : Demander l’autorisation d’un recours pour un groupe de gouvernements qui souhaitent recouvrir le coût des soins de santé liés aux opioïdes</w:t>
            </w:r>
          </w:p>
        </w:tc>
        <w:tc>
          <w:tcPr>
            <w:tcW w:w="851" w:type="dxa"/>
          </w:tcPr>
          <w:p w14:paraId="660A4709" w14:textId="77777777" w:rsidR="00C328A2" w:rsidRPr="00C328A2" w:rsidRDefault="00C328A2" w:rsidP="000C5D45">
            <w:pPr>
              <w:tabs>
                <w:tab w:val="left" w:pos="480"/>
                <w:tab w:val="right" w:leader="dot" w:pos="8270"/>
              </w:tabs>
              <w:spacing w:after="100"/>
              <w:jc w:val="right"/>
              <w:rPr>
                <w:szCs w:val="24"/>
              </w:rPr>
            </w:pPr>
            <w:r w:rsidRPr="00C328A2">
              <w:rPr>
                <w:szCs w:val="24"/>
              </w:rPr>
              <w:t>129</w:t>
            </w:r>
          </w:p>
        </w:tc>
      </w:tr>
      <w:tr w:rsidR="00C328A2" w:rsidRPr="00C328A2" w14:paraId="0EAC170E" w14:textId="77777777" w:rsidTr="000C5D45">
        <w:trPr>
          <w:trHeight w:val="432"/>
        </w:trPr>
        <w:tc>
          <w:tcPr>
            <w:tcW w:w="8505" w:type="dxa"/>
          </w:tcPr>
          <w:p w14:paraId="3A53724F" w14:textId="77777777" w:rsidR="00C328A2" w:rsidRPr="00C328A2" w:rsidRDefault="00C328A2" w:rsidP="00691E79">
            <w:pPr>
              <w:tabs>
                <w:tab w:val="left" w:pos="1100"/>
                <w:tab w:val="right" w:leader="dot" w:pos="8270"/>
              </w:tabs>
              <w:spacing w:after="100"/>
              <w:ind w:left="950" w:hanging="475"/>
              <w:jc w:val="both"/>
              <w:rPr>
                <w:noProof/>
                <w:szCs w:val="24"/>
                <w:lang w:val="fr-CA"/>
              </w:rPr>
            </w:pPr>
            <w:r w:rsidRPr="00C328A2">
              <w:rPr>
                <w:noProof/>
                <w:szCs w:val="24"/>
                <w:lang w:val="fr-CA"/>
                <w14:scene3d>
                  <w14:camera w14:prst="orthographicFront"/>
                  <w14:lightRig w14:rig="threePt" w14:dir="t">
                    <w14:rot w14:lat="0" w14:lon="0" w14:rev="0"/>
                  </w14:lightRig>
                </w14:scene3d>
              </w:rPr>
              <w:t>(2)</w:t>
            </w:r>
            <w:r w:rsidRPr="00C328A2">
              <w:rPr>
                <w:noProof/>
                <w:szCs w:val="24"/>
                <w:lang w:val="fr-CA"/>
              </w:rPr>
              <w:tab/>
            </w:r>
            <w:r w:rsidRPr="00C328A2">
              <w:rPr>
                <w:noProof/>
                <w:szCs w:val="24"/>
                <w:u w:val="single"/>
                <w:lang w:val="fr-CA"/>
              </w:rPr>
              <w:t>Effets : inclusion automatique des autres gouvernements</w:t>
            </w:r>
          </w:p>
        </w:tc>
        <w:tc>
          <w:tcPr>
            <w:tcW w:w="851" w:type="dxa"/>
          </w:tcPr>
          <w:p w14:paraId="2E5504F6" w14:textId="77777777" w:rsidR="00C328A2" w:rsidRPr="00C328A2" w:rsidRDefault="00C328A2" w:rsidP="000C5D45">
            <w:pPr>
              <w:tabs>
                <w:tab w:val="left" w:pos="480"/>
                <w:tab w:val="right" w:leader="dot" w:pos="8270"/>
              </w:tabs>
              <w:spacing w:after="100"/>
              <w:jc w:val="right"/>
              <w:rPr>
                <w:szCs w:val="24"/>
              </w:rPr>
            </w:pPr>
            <w:r w:rsidRPr="00C328A2">
              <w:rPr>
                <w:szCs w:val="24"/>
              </w:rPr>
              <w:t>136</w:t>
            </w:r>
          </w:p>
        </w:tc>
      </w:tr>
      <w:tr w:rsidR="00C328A2" w:rsidRPr="00C328A2" w14:paraId="42CA3517" w14:textId="77777777" w:rsidTr="000C5D45">
        <w:trPr>
          <w:trHeight w:val="432"/>
        </w:trPr>
        <w:tc>
          <w:tcPr>
            <w:tcW w:w="8505" w:type="dxa"/>
          </w:tcPr>
          <w:p w14:paraId="7AFD24B6" w14:textId="77777777" w:rsidR="00C328A2" w:rsidRPr="00C328A2" w:rsidRDefault="00C328A2" w:rsidP="00691E79">
            <w:pPr>
              <w:tabs>
                <w:tab w:val="left" w:pos="1100"/>
                <w:tab w:val="right" w:leader="dot" w:pos="8270"/>
              </w:tabs>
              <w:spacing w:after="100"/>
              <w:ind w:left="950" w:hanging="475"/>
              <w:jc w:val="both"/>
              <w:rPr>
                <w:noProof/>
                <w:szCs w:val="24"/>
                <w:lang w:val="fr-CA"/>
                <w14:scene3d>
                  <w14:camera w14:prst="orthographicFront"/>
                  <w14:lightRig w14:rig="threePt" w14:dir="t">
                    <w14:rot w14:lat="0" w14:lon="0" w14:rev="0"/>
                  </w14:lightRig>
                </w14:scene3d>
              </w:rPr>
            </w:pPr>
            <w:r w:rsidRPr="00C328A2">
              <w:rPr>
                <w:noProof/>
                <w:szCs w:val="24"/>
                <w:lang w:val="fr-CA"/>
                <w14:scene3d>
                  <w14:camera w14:prst="orthographicFront"/>
                  <w14:lightRig w14:rig="threePt" w14:dir="t">
                    <w14:rot w14:lat="0" w14:lon="0" w14:rev="0"/>
                  </w14:lightRig>
                </w14:scene3d>
              </w:rPr>
              <w:t>a)</w:t>
            </w:r>
            <w:r w:rsidRPr="00C328A2">
              <w:rPr>
                <w:noProof/>
                <w:szCs w:val="24"/>
                <w:lang w:val="fr-CA"/>
              </w:rPr>
              <w:tab/>
            </w:r>
            <w:r w:rsidRPr="00C328A2">
              <w:rPr>
                <w:noProof/>
                <w:szCs w:val="24"/>
                <w:lang w:val="fr-CA"/>
                <w14:scene3d>
                  <w14:camera w14:prst="orthographicFront"/>
                  <w14:lightRig w14:rig="threePt" w14:dir="t">
                    <w14:rot w14:lat="0" w14:lon="0" w14:rev="0"/>
                  </w14:lightRig>
                </w14:scene3d>
              </w:rPr>
              <w:t>Le régime avec mécanisme d’exclusion : droits et effets substantiels</w:t>
            </w:r>
          </w:p>
        </w:tc>
        <w:tc>
          <w:tcPr>
            <w:tcW w:w="851" w:type="dxa"/>
          </w:tcPr>
          <w:p w14:paraId="5C7655E6" w14:textId="77777777" w:rsidR="00C328A2" w:rsidRPr="00C328A2" w:rsidRDefault="00C328A2" w:rsidP="000C5D45">
            <w:pPr>
              <w:tabs>
                <w:tab w:val="left" w:pos="480"/>
                <w:tab w:val="right" w:leader="dot" w:pos="8270"/>
              </w:tabs>
              <w:spacing w:after="100"/>
              <w:jc w:val="right"/>
              <w:rPr>
                <w:szCs w:val="24"/>
              </w:rPr>
            </w:pPr>
            <w:r w:rsidRPr="00C328A2">
              <w:rPr>
                <w:szCs w:val="24"/>
              </w:rPr>
              <w:t>136</w:t>
            </w:r>
          </w:p>
        </w:tc>
      </w:tr>
      <w:tr w:rsidR="00C328A2" w:rsidRPr="00C328A2" w14:paraId="577966DF" w14:textId="77777777" w:rsidTr="000C5D45">
        <w:trPr>
          <w:trHeight w:val="432"/>
        </w:trPr>
        <w:tc>
          <w:tcPr>
            <w:tcW w:w="8505" w:type="dxa"/>
          </w:tcPr>
          <w:p w14:paraId="626399B5" w14:textId="77777777" w:rsidR="00C328A2" w:rsidRPr="00C328A2" w:rsidRDefault="00C328A2" w:rsidP="00691E79">
            <w:pPr>
              <w:tabs>
                <w:tab w:val="left" w:pos="1100"/>
                <w:tab w:val="right" w:leader="dot" w:pos="8270"/>
              </w:tabs>
              <w:spacing w:after="100"/>
              <w:ind w:left="950" w:hanging="475"/>
              <w:jc w:val="both"/>
              <w:rPr>
                <w:noProof/>
                <w:szCs w:val="24"/>
                <w:lang w:val="fr-CA"/>
                <w14:scene3d>
                  <w14:camera w14:prst="orthographicFront"/>
                  <w14:lightRig w14:rig="threePt" w14:dir="t">
                    <w14:rot w14:lat="0" w14:lon="0" w14:rev="0"/>
                  </w14:lightRig>
                </w14:scene3d>
              </w:rPr>
            </w:pPr>
            <w:r w:rsidRPr="00C328A2">
              <w:rPr>
                <w:noProof/>
                <w:szCs w:val="24"/>
                <w:lang w:val="fr-CA"/>
                <w14:scene3d>
                  <w14:camera w14:prst="orthographicFront"/>
                  <w14:lightRig w14:rig="threePt" w14:dir="t">
                    <w14:rot w14:lat="0" w14:lon="0" w14:rev="0"/>
                  </w14:lightRig>
                </w14:scene3d>
              </w:rPr>
              <w:t>b)</w:t>
            </w:r>
            <w:r w:rsidRPr="00C328A2">
              <w:rPr>
                <w:noProof/>
                <w:szCs w:val="24"/>
                <w:lang w:val="fr-CA"/>
              </w:rPr>
              <w:tab/>
              <w:t>Les effets ne sont pas purement accessoires</w:t>
            </w:r>
          </w:p>
        </w:tc>
        <w:tc>
          <w:tcPr>
            <w:tcW w:w="851" w:type="dxa"/>
          </w:tcPr>
          <w:p w14:paraId="220C933E" w14:textId="77777777" w:rsidR="00C328A2" w:rsidRPr="00C328A2" w:rsidRDefault="00C328A2" w:rsidP="000C5D45">
            <w:pPr>
              <w:tabs>
                <w:tab w:val="left" w:pos="480"/>
                <w:tab w:val="right" w:leader="dot" w:pos="8270"/>
              </w:tabs>
              <w:spacing w:after="100"/>
              <w:jc w:val="right"/>
              <w:rPr>
                <w:szCs w:val="24"/>
              </w:rPr>
            </w:pPr>
            <w:r w:rsidRPr="00C328A2">
              <w:rPr>
                <w:szCs w:val="24"/>
              </w:rPr>
              <w:t>155</w:t>
            </w:r>
          </w:p>
        </w:tc>
      </w:tr>
      <w:tr w:rsidR="00C328A2" w:rsidRPr="00C328A2" w14:paraId="73E809AB" w14:textId="77777777" w:rsidTr="000C5D45">
        <w:trPr>
          <w:trHeight w:val="432"/>
        </w:trPr>
        <w:tc>
          <w:tcPr>
            <w:tcW w:w="8505" w:type="dxa"/>
          </w:tcPr>
          <w:p w14:paraId="676C5F70" w14:textId="77777777" w:rsidR="00C328A2" w:rsidRPr="00C328A2" w:rsidRDefault="00C328A2" w:rsidP="00691E79">
            <w:pPr>
              <w:tabs>
                <w:tab w:val="left" w:pos="1100"/>
                <w:tab w:val="right" w:leader="dot" w:pos="8270"/>
              </w:tabs>
              <w:spacing w:after="100"/>
              <w:ind w:left="950" w:hanging="475"/>
              <w:jc w:val="both"/>
              <w:rPr>
                <w:noProof/>
                <w:szCs w:val="24"/>
                <w:lang w:val="fr-CA"/>
                <w14:scene3d>
                  <w14:camera w14:prst="orthographicFront"/>
                  <w14:lightRig w14:rig="threePt" w14:dir="t">
                    <w14:rot w14:lat="0" w14:lon="0" w14:rev="0"/>
                  </w14:lightRig>
                </w14:scene3d>
              </w:rPr>
            </w:pPr>
            <w:r w:rsidRPr="00C328A2">
              <w:rPr>
                <w:noProof/>
                <w:szCs w:val="24"/>
                <w:lang w:val="fr-CA"/>
                <w14:scene3d>
                  <w14:camera w14:prst="orthographicFront"/>
                  <w14:lightRig w14:rig="threePt" w14:dir="t">
                    <w14:rot w14:lat="0" w14:lon="0" w14:rev="0"/>
                  </w14:lightRig>
                </w14:scene3d>
              </w:rPr>
              <w:t>c)</w:t>
            </w:r>
            <w:r w:rsidRPr="00C328A2">
              <w:rPr>
                <w:noProof/>
                <w:szCs w:val="24"/>
                <w:lang w:val="fr-CA"/>
              </w:rPr>
              <w:tab/>
              <w:t>Mise en balance des effets juridiques et des effets pratiques</w:t>
            </w:r>
          </w:p>
        </w:tc>
        <w:tc>
          <w:tcPr>
            <w:tcW w:w="851" w:type="dxa"/>
          </w:tcPr>
          <w:p w14:paraId="43963124" w14:textId="77777777" w:rsidR="00C328A2" w:rsidRPr="00C328A2" w:rsidRDefault="00C328A2" w:rsidP="000C5D45">
            <w:pPr>
              <w:tabs>
                <w:tab w:val="left" w:pos="480"/>
                <w:tab w:val="right" w:leader="dot" w:pos="8270"/>
              </w:tabs>
              <w:spacing w:after="100"/>
              <w:jc w:val="right"/>
              <w:rPr>
                <w:szCs w:val="24"/>
              </w:rPr>
            </w:pPr>
            <w:r w:rsidRPr="00C328A2">
              <w:rPr>
                <w:szCs w:val="24"/>
              </w:rPr>
              <w:t>159</w:t>
            </w:r>
          </w:p>
        </w:tc>
      </w:tr>
      <w:tr w:rsidR="00C328A2" w:rsidRPr="00C328A2" w14:paraId="56C4A91B" w14:textId="77777777" w:rsidTr="000C5D45">
        <w:trPr>
          <w:trHeight w:val="432"/>
        </w:trPr>
        <w:tc>
          <w:tcPr>
            <w:tcW w:w="8505" w:type="dxa"/>
          </w:tcPr>
          <w:p w14:paraId="27C7CBED" w14:textId="77777777" w:rsidR="00C328A2" w:rsidRPr="00C328A2" w:rsidRDefault="00C328A2" w:rsidP="00691E79">
            <w:pPr>
              <w:tabs>
                <w:tab w:val="left" w:pos="1100"/>
                <w:tab w:val="right" w:leader="dot" w:pos="8270"/>
              </w:tabs>
              <w:spacing w:after="100"/>
              <w:ind w:left="950" w:hanging="475"/>
              <w:jc w:val="both"/>
              <w:rPr>
                <w:noProof/>
                <w:szCs w:val="24"/>
                <w:lang w:val="fr-CA"/>
              </w:rPr>
            </w:pPr>
            <w:r w:rsidRPr="00C328A2">
              <w:rPr>
                <w:noProof/>
                <w:szCs w:val="24"/>
                <w:lang w:val="fr-CA"/>
                <w14:scene3d>
                  <w14:camera w14:prst="orthographicFront"/>
                  <w14:lightRig w14:rig="threePt" w14:dir="t">
                    <w14:rot w14:lat="0" w14:lon="0" w14:rev="0"/>
                  </w14:lightRig>
                </w14:scene3d>
              </w:rPr>
              <w:t>(3)</w:t>
            </w:r>
            <w:r w:rsidRPr="00C328A2">
              <w:rPr>
                <w:noProof/>
                <w:szCs w:val="24"/>
                <w:lang w:val="fr-CA"/>
              </w:rPr>
              <w:tab/>
            </w:r>
            <w:r w:rsidRPr="00C328A2">
              <w:rPr>
                <w:noProof/>
                <w:szCs w:val="24"/>
                <w:u w:val="single"/>
                <w:lang w:val="fr-CA"/>
              </w:rPr>
              <w:t>Conclusion sur le caractère véritable</w:t>
            </w:r>
          </w:p>
        </w:tc>
        <w:tc>
          <w:tcPr>
            <w:tcW w:w="851" w:type="dxa"/>
          </w:tcPr>
          <w:p w14:paraId="36E6FEAB" w14:textId="77777777" w:rsidR="00C328A2" w:rsidRPr="00C328A2" w:rsidRDefault="00C328A2" w:rsidP="000C5D45">
            <w:pPr>
              <w:tabs>
                <w:tab w:val="left" w:pos="480"/>
                <w:tab w:val="right" w:leader="dot" w:pos="8270"/>
              </w:tabs>
              <w:spacing w:after="100"/>
              <w:jc w:val="right"/>
              <w:rPr>
                <w:szCs w:val="24"/>
              </w:rPr>
            </w:pPr>
            <w:r w:rsidRPr="00C328A2">
              <w:rPr>
                <w:szCs w:val="24"/>
              </w:rPr>
              <w:t>163</w:t>
            </w:r>
          </w:p>
        </w:tc>
      </w:tr>
      <w:tr w:rsidR="00C328A2" w:rsidRPr="00C328A2" w14:paraId="0FD39D90" w14:textId="77777777" w:rsidTr="000C5D45">
        <w:trPr>
          <w:trHeight w:val="432"/>
        </w:trPr>
        <w:tc>
          <w:tcPr>
            <w:tcW w:w="8505" w:type="dxa"/>
          </w:tcPr>
          <w:p w14:paraId="5198597C" w14:textId="77777777" w:rsidR="00C328A2" w:rsidRPr="00C328A2" w:rsidRDefault="00C328A2" w:rsidP="000C5D45">
            <w:pPr>
              <w:tabs>
                <w:tab w:val="left" w:pos="480"/>
                <w:tab w:val="right" w:leader="dot" w:pos="8270"/>
              </w:tabs>
              <w:spacing w:after="100"/>
              <w:ind w:left="421" w:hanging="421"/>
              <w:jc w:val="both"/>
            </w:pPr>
            <w:r w:rsidRPr="00C328A2">
              <w:rPr>
                <w:noProof/>
                <w:szCs w:val="24"/>
              </w:rPr>
              <w:t>B.</w:t>
            </w:r>
            <w:r w:rsidRPr="00C328A2">
              <w:rPr>
                <w:noProof/>
                <w:szCs w:val="24"/>
              </w:rPr>
              <w:tab/>
            </w:r>
            <w:r w:rsidRPr="00C328A2">
              <w:rPr>
                <w:noProof/>
                <w:szCs w:val="24"/>
                <w:lang w:val="fr-CA"/>
                <w14:scene3d>
                  <w14:camera w14:prst="orthographicFront"/>
                  <w14:lightRig w14:rig="threePt" w14:dir="t">
                    <w14:rot w14:lat="0" w14:lon="0" w14:rev="0"/>
                  </w14:lightRig>
                </w14:scene3d>
              </w:rPr>
              <w:t>Limites territoriales</w:t>
            </w:r>
          </w:p>
        </w:tc>
        <w:tc>
          <w:tcPr>
            <w:tcW w:w="851" w:type="dxa"/>
          </w:tcPr>
          <w:p w14:paraId="5CADBA5E" w14:textId="77777777" w:rsidR="00C328A2" w:rsidRPr="00C328A2" w:rsidRDefault="00C328A2" w:rsidP="000C5D45">
            <w:pPr>
              <w:tabs>
                <w:tab w:val="left" w:pos="480"/>
                <w:tab w:val="right" w:leader="dot" w:pos="8270"/>
              </w:tabs>
              <w:spacing w:after="100"/>
              <w:jc w:val="right"/>
              <w:rPr>
                <w:szCs w:val="24"/>
              </w:rPr>
            </w:pPr>
            <w:r w:rsidRPr="00C328A2">
              <w:rPr>
                <w:szCs w:val="24"/>
              </w:rPr>
              <w:t>164</w:t>
            </w:r>
          </w:p>
        </w:tc>
      </w:tr>
      <w:tr w:rsidR="00C328A2" w:rsidRPr="00C328A2" w14:paraId="2016B829" w14:textId="77777777" w:rsidTr="000C5D45">
        <w:trPr>
          <w:trHeight w:val="432"/>
        </w:trPr>
        <w:tc>
          <w:tcPr>
            <w:tcW w:w="8505" w:type="dxa"/>
          </w:tcPr>
          <w:p w14:paraId="445068FD" w14:textId="77777777" w:rsidR="00C328A2" w:rsidRPr="00C328A2" w:rsidRDefault="00C328A2" w:rsidP="00691E79">
            <w:pPr>
              <w:tabs>
                <w:tab w:val="left" w:pos="1100"/>
                <w:tab w:val="right" w:leader="dot" w:pos="8270"/>
              </w:tabs>
              <w:spacing w:after="100"/>
              <w:ind w:left="950" w:hanging="475"/>
              <w:jc w:val="both"/>
              <w:rPr>
                <w:noProof/>
                <w:szCs w:val="24"/>
                <w14:scene3d>
                  <w14:camera w14:prst="orthographicFront"/>
                  <w14:lightRig w14:rig="threePt" w14:dir="t">
                    <w14:rot w14:lat="0" w14:lon="0" w14:rev="0"/>
                  </w14:lightRig>
                </w14:scene3d>
              </w:rPr>
            </w:pPr>
            <w:r w:rsidRPr="00C328A2">
              <w:rPr>
                <w:noProof/>
                <w:szCs w:val="24"/>
                <w14:scene3d>
                  <w14:camera w14:prst="orthographicFront"/>
                  <w14:lightRig w14:rig="threePt" w14:dir="t">
                    <w14:rot w14:lat="0" w14:lon="0" w14:rev="0"/>
                  </w14:lightRig>
                </w14:scene3d>
              </w:rPr>
              <w:t>(1)</w:t>
            </w:r>
            <w:r w:rsidRPr="00C328A2">
              <w:rPr>
                <w:noProof/>
                <w:szCs w:val="24"/>
              </w:rPr>
              <w:tab/>
            </w:r>
            <w:r w:rsidRPr="00C328A2">
              <w:rPr>
                <w:noProof/>
                <w:szCs w:val="24"/>
                <w:u w:val="single"/>
                <w:lang w:val="fr-CA"/>
                <w14:scene3d>
                  <w14:camera w14:prst="orthographicFront"/>
                  <w14:lightRig w14:rig="threePt" w14:dir="t">
                    <w14:rot w14:lat="0" w14:lon="0" w14:rev="0"/>
                  </w14:lightRig>
                </w14:scene3d>
              </w:rPr>
              <w:t>Lien significatif</w:t>
            </w:r>
          </w:p>
        </w:tc>
        <w:tc>
          <w:tcPr>
            <w:tcW w:w="851" w:type="dxa"/>
          </w:tcPr>
          <w:p w14:paraId="5BD89D48" w14:textId="77777777" w:rsidR="00C328A2" w:rsidRPr="00C328A2" w:rsidRDefault="00C328A2" w:rsidP="000C5D45">
            <w:pPr>
              <w:tabs>
                <w:tab w:val="left" w:pos="480"/>
                <w:tab w:val="right" w:leader="dot" w:pos="8270"/>
              </w:tabs>
              <w:spacing w:after="100"/>
              <w:jc w:val="right"/>
              <w:rPr>
                <w:szCs w:val="24"/>
              </w:rPr>
            </w:pPr>
            <w:r w:rsidRPr="00C328A2">
              <w:rPr>
                <w:szCs w:val="24"/>
              </w:rPr>
              <w:t>165</w:t>
            </w:r>
          </w:p>
        </w:tc>
      </w:tr>
      <w:tr w:rsidR="00C328A2" w:rsidRPr="00C328A2" w14:paraId="235D82CB" w14:textId="77777777" w:rsidTr="000C5D45">
        <w:trPr>
          <w:trHeight w:val="432"/>
        </w:trPr>
        <w:tc>
          <w:tcPr>
            <w:tcW w:w="8505" w:type="dxa"/>
          </w:tcPr>
          <w:p w14:paraId="22A3D10B" w14:textId="77777777" w:rsidR="00C328A2" w:rsidRPr="00C328A2" w:rsidRDefault="00C328A2" w:rsidP="00691E79">
            <w:pPr>
              <w:tabs>
                <w:tab w:val="left" w:pos="1100"/>
                <w:tab w:val="right" w:leader="dot" w:pos="8270"/>
              </w:tabs>
              <w:spacing w:after="100"/>
              <w:ind w:left="950" w:hanging="475"/>
              <w:jc w:val="both"/>
              <w:rPr>
                <w:noProof/>
                <w:szCs w:val="24"/>
                <w:lang w:val="fr-CA"/>
                <w14:scene3d>
                  <w14:camera w14:prst="orthographicFront"/>
                  <w14:lightRig w14:rig="threePt" w14:dir="t">
                    <w14:rot w14:lat="0" w14:lon="0" w14:rev="0"/>
                  </w14:lightRig>
                </w14:scene3d>
              </w:rPr>
            </w:pPr>
            <w:r w:rsidRPr="00C328A2">
              <w:rPr>
                <w:noProof/>
                <w:szCs w:val="24"/>
                <w:lang w:val="fr-CA"/>
                <w14:scene3d>
                  <w14:camera w14:prst="orthographicFront"/>
                  <w14:lightRig w14:rig="threePt" w14:dir="t">
                    <w14:rot w14:lat="0" w14:lon="0" w14:rev="0"/>
                  </w14:lightRig>
                </w14:scene3d>
              </w:rPr>
              <w:t>a)</w:t>
            </w:r>
            <w:r w:rsidRPr="00C328A2">
              <w:rPr>
                <w:noProof/>
                <w:szCs w:val="24"/>
                <w:lang w:val="fr-CA"/>
              </w:rPr>
              <w:tab/>
            </w:r>
            <w:r w:rsidRPr="00C328A2">
              <w:rPr>
                <w:noProof/>
                <w:szCs w:val="24"/>
                <w:lang w:val="fr-CA"/>
                <w14:scene3d>
                  <w14:camera w14:prst="orthographicFront"/>
                  <w14:lightRig w14:rig="threePt" w14:dir="t">
                    <w14:rot w14:lat="0" w14:lon="0" w14:rev="0"/>
                  </w14:lightRig>
                </w14:scene3d>
              </w:rPr>
              <w:t>Compétence législative et compétence juridictionnelle</w:t>
            </w:r>
          </w:p>
        </w:tc>
        <w:tc>
          <w:tcPr>
            <w:tcW w:w="851" w:type="dxa"/>
          </w:tcPr>
          <w:p w14:paraId="019745CD" w14:textId="77777777" w:rsidR="00C328A2" w:rsidRPr="00C328A2" w:rsidRDefault="00C328A2" w:rsidP="000C5D45">
            <w:pPr>
              <w:tabs>
                <w:tab w:val="left" w:pos="480"/>
                <w:tab w:val="right" w:leader="dot" w:pos="8270"/>
              </w:tabs>
              <w:spacing w:after="100"/>
              <w:jc w:val="right"/>
              <w:rPr>
                <w:szCs w:val="24"/>
              </w:rPr>
            </w:pPr>
            <w:r w:rsidRPr="00C328A2">
              <w:rPr>
                <w:szCs w:val="24"/>
              </w:rPr>
              <w:t>167</w:t>
            </w:r>
          </w:p>
        </w:tc>
      </w:tr>
      <w:tr w:rsidR="00C328A2" w:rsidRPr="00C328A2" w14:paraId="73E13058" w14:textId="77777777" w:rsidTr="000C5D45">
        <w:trPr>
          <w:trHeight w:val="432"/>
        </w:trPr>
        <w:tc>
          <w:tcPr>
            <w:tcW w:w="8505" w:type="dxa"/>
          </w:tcPr>
          <w:p w14:paraId="556F7DDD" w14:textId="77777777" w:rsidR="00C328A2" w:rsidRPr="00C328A2" w:rsidRDefault="00C328A2" w:rsidP="00691E79">
            <w:pPr>
              <w:tabs>
                <w:tab w:val="left" w:pos="1100"/>
                <w:tab w:val="right" w:leader="dot" w:pos="8270"/>
              </w:tabs>
              <w:spacing w:after="100"/>
              <w:ind w:left="950" w:hanging="475"/>
              <w:jc w:val="both"/>
              <w:rPr>
                <w:noProof/>
                <w:szCs w:val="24"/>
                <w:lang w:val="fr-CA"/>
                <w14:scene3d>
                  <w14:camera w14:prst="orthographicFront"/>
                  <w14:lightRig w14:rig="threePt" w14:dir="t">
                    <w14:rot w14:lat="0" w14:lon="0" w14:rev="0"/>
                  </w14:lightRig>
                </w14:scene3d>
              </w:rPr>
            </w:pPr>
            <w:r w:rsidRPr="00C328A2">
              <w:rPr>
                <w:noProof/>
                <w:szCs w:val="24"/>
                <w:lang w:val="fr-CA"/>
                <w14:scene3d>
                  <w14:camera w14:prst="orthographicFront"/>
                  <w14:lightRig w14:rig="threePt" w14:dir="t">
                    <w14:rot w14:lat="0" w14:lon="0" w14:rev="0"/>
                  </w14:lightRig>
                </w14:scene3d>
              </w:rPr>
              <w:t>b)</w:t>
            </w:r>
            <w:r w:rsidRPr="00C328A2">
              <w:rPr>
                <w:noProof/>
                <w:szCs w:val="24"/>
                <w:lang w:val="fr-CA"/>
              </w:rPr>
              <w:tab/>
            </w:r>
            <w:r w:rsidRPr="00C328A2">
              <w:rPr>
                <w:noProof/>
                <w:szCs w:val="24"/>
                <w:lang w:val="fr-CA"/>
                <w14:scene3d>
                  <w14:camera w14:prst="orthographicFront"/>
                  <w14:lightRig w14:rig="threePt" w14:dir="t">
                    <w14:rot w14:lat="0" w14:lon="0" w14:rev="0"/>
                  </w14:lightRig>
                </w14:scene3d>
              </w:rPr>
              <w:t xml:space="preserve">Il n’existe pas de lien significatif en l’espèce </w:t>
            </w:r>
          </w:p>
        </w:tc>
        <w:tc>
          <w:tcPr>
            <w:tcW w:w="851" w:type="dxa"/>
          </w:tcPr>
          <w:p w14:paraId="313C5DA4" w14:textId="77777777" w:rsidR="00C328A2" w:rsidRPr="00C328A2" w:rsidRDefault="00C328A2" w:rsidP="000C5D45">
            <w:pPr>
              <w:tabs>
                <w:tab w:val="left" w:pos="480"/>
                <w:tab w:val="right" w:leader="dot" w:pos="8270"/>
              </w:tabs>
              <w:spacing w:after="100"/>
              <w:jc w:val="right"/>
              <w:rPr>
                <w:szCs w:val="24"/>
              </w:rPr>
            </w:pPr>
            <w:r w:rsidRPr="00C328A2">
              <w:rPr>
                <w:szCs w:val="24"/>
              </w:rPr>
              <w:t>178</w:t>
            </w:r>
          </w:p>
        </w:tc>
      </w:tr>
      <w:tr w:rsidR="00C328A2" w:rsidRPr="00C328A2" w14:paraId="5F256323" w14:textId="77777777" w:rsidTr="000C5D45">
        <w:trPr>
          <w:trHeight w:val="432"/>
        </w:trPr>
        <w:tc>
          <w:tcPr>
            <w:tcW w:w="8505" w:type="dxa"/>
          </w:tcPr>
          <w:p w14:paraId="2108A305" w14:textId="77777777" w:rsidR="00C328A2" w:rsidRPr="00C328A2" w:rsidRDefault="00C328A2" w:rsidP="00691E79">
            <w:pPr>
              <w:tabs>
                <w:tab w:val="left" w:pos="1100"/>
                <w:tab w:val="right" w:leader="dot" w:pos="8270"/>
              </w:tabs>
              <w:spacing w:after="100"/>
              <w:ind w:left="950" w:hanging="475"/>
              <w:jc w:val="both"/>
              <w:rPr>
                <w:noProof/>
                <w:szCs w:val="24"/>
                <w14:scene3d>
                  <w14:camera w14:prst="orthographicFront"/>
                  <w14:lightRig w14:rig="threePt" w14:dir="t">
                    <w14:rot w14:lat="0" w14:lon="0" w14:rev="0"/>
                  </w14:lightRig>
                </w14:scene3d>
              </w:rPr>
            </w:pPr>
            <w:r w:rsidRPr="00C328A2">
              <w:rPr>
                <w:noProof/>
                <w:szCs w:val="24"/>
                <w14:scene3d>
                  <w14:camera w14:prst="orthographicFront"/>
                  <w14:lightRig w14:rig="threePt" w14:dir="t">
                    <w14:rot w14:lat="0" w14:lon="0" w14:rev="0"/>
                  </w14:lightRig>
                </w14:scene3d>
              </w:rPr>
              <w:t>(2)</w:t>
            </w:r>
            <w:r w:rsidRPr="00C328A2">
              <w:rPr>
                <w:noProof/>
                <w:szCs w:val="24"/>
              </w:rPr>
              <w:tab/>
            </w:r>
            <w:r w:rsidRPr="00C328A2">
              <w:rPr>
                <w:noProof/>
                <w:szCs w:val="24"/>
                <w:u w:val="single"/>
                <w:lang w:val="fr-CA"/>
              </w:rPr>
              <w:t>Souveraineté législative</w:t>
            </w:r>
          </w:p>
        </w:tc>
        <w:tc>
          <w:tcPr>
            <w:tcW w:w="851" w:type="dxa"/>
          </w:tcPr>
          <w:p w14:paraId="6362C4D1" w14:textId="77777777" w:rsidR="00C328A2" w:rsidRPr="00C328A2" w:rsidRDefault="00C328A2" w:rsidP="000C5D45">
            <w:pPr>
              <w:tabs>
                <w:tab w:val="left" w:pos="480"/>
                <w:tab w:val="right" w:leader="dot" w:pos="8270"/>
              </w:tabs>
              <w:spacing w:after="100"/>
              <w:jc w:val="right"/>
              <w:rPr>
                <w:szCs w:val="24"/>
              </w:rPr>
            </w:pPr>
            <w:r w:rsidRPr="00C328A2">
              <w:rPr>
                <w:szCs w:val="24"/>
              </w:rPr>
              <w:t>188</w:t>
            </w:r>
          </w:p>
        </w:tc>
      </w:tr>
      <w:tr w:rsidR="00C328A2" w:rsidRPr="00C328A2" w14:paraId="17AF538E" w14:textId="77777777" w:rsidTr="000C5D45">
        <w:trPr>
          <w:trHeight w:val="432"/>
        </w:trPr>
        <w:tc>
          <w:tcPr>
            <w:tcW w:w="8505" w:type="dxa"/>
          </w:tcPr>
          <w:p w14:paraId="38590E0E" w14:textId="77777777" w:rsidR="00C328A2" w:rsidRPr="00C328A2" w:rsidRDefault="00C328A2" w:rsidP="00691E79">
            <w:pPr>
              <w:tabs>
                <w:tab w:val="left" w:pos="1100"/>
                <w:tab w:val="right" w:leader="dot" w:pos="8270"/>
              </w:tabs>
              <w:spacing w:after="100"/>
              <w:ind w:left="950" w:hanging="475"/>
              <w:jc w:val="both"/>
              <w:rPr>
                <w:noProof/>
                <w:szCs w:val="24"/>
                <w:lang w:val="fr-CA"/>
                <w14:scene3d>
                  <w14:camera w14:prst="orthographicFront"/>
                  <w14:lightRig w14:rig="threePt" w14:dir="t">
                    <w14:rot w14:lat="0" w14:lon="0" w14:rev="0"/>
                  </w14:lightRig>
                </w14:scene3d>
              </w:rPr>
            </w:pPr>
            <w:r w:rsidRPr="00C328A2">
              <w:rPr>
                <w:noProof/>
                <w:szCs w:val="24"/>
                <w:lang w:val="fr-CA"/>
                <w14:scene3d>
                  <w14:camera w14:prst="orthographicFront"/>
                  <w14:lightRig w14:rig="threePt" w14:dir="t">
                    <w14:rot w14:lat="0" w14:lon="0" w14:rev="0"/>
                  </w14:lightRig>
                </w14:scene3d>
              </w:rPr>
              <w:t>(3)</w:t>
            </w:r>
            <w:r w:rsidRPr="00C328A2">
              <w:rPr>
                <w:noProof/>
                <w:szCs w:val="24"/>
                <w:lang w:val="fr-CA"/>
              </w:rPr>
              <w:tab/>
            </w:r>
            <w:r w:rsidRPr="00C328A2">
              <w:rPr>
                <w:noProof/>
                <w:szCs w:val="24"/>
                <w:u w:val="single"/>
                <w:lang w:val="fr-CA"/>
              </w:rPr>
              <w:t>Conclusion sur les limites territoriales</w:t>
            </w:r>
          </w:p>
        </w:tc>
        <w:tc>
          <w:tcPr>
            <w:tcW w:w="851" w:type="dxa"/>
          </w:tcPr>
          <w:p w14:paraId="4B7D0ED8" w14:textId="77777777" w:rsidR="00C328A2" w:rsidRPr="00C328A2" w:rsidRDefault="00C328A2" w:rsidP="000C5D45">
            <w:pPr>
              <w:tabs>
                <w:tab w:val="left" w:pos="480"/>
                <w:tab w:val="right" w:leader="dot" w:pos="8270"/>
              </w:tabs>
              <w:spacing w:after="100"/>
              <w:jc w:val="right"/>
              <w:rPr>
                <w:szCs w:val="24"/>
              </w:rPr>
            </w:pPr>
            <w:r w:rsidRPr="00C328A2">
              <w:rPr>
                <w:szCs w:val="24"/>
              </w:rPr>
              <w:t>197</w:t>
            </w:r>
          </w:p>
        </w:tc>
      </w:tr>
      <w:tr w:rsidR="00C328A2" w:rsidRPr="00C328A2" w14:paraId="67C26956" w14:textId="77777777" w:rsidTr="000C5D45">
        <w:trPr>
          <w:trHeight w:val="432"/>
        </w:trPr>
        <w:tc>
          <w:tcPr>
            <w:tcW w:w="8505" w:type="dxa"/>
          </w:tcPr>
          <w:p w14:paraId="3C253552" w14:textId="77777777" w:rsidR="00C328A2" w:rsidRPr="00C328A2" w:rsidRDefault="00C328A2" w:rsidP="000C5D45">
            <w:pPr>
              <w:tabs>
                <w:tab w:val="left" w:pos="480"/>
                <w:tab w:val="right" w:leader="dot" w:pos="8270"/>
              </w:tabs>
              <w:spacing w:after="100"/>
              <w:ind w:left="421" w:hanging="421"/>
              <w:jc w:val="both"/>
            </w:pPr>
            <w:r w:rsidRPr="00C328A2">
              <w:rPr>
                <w:noProof/>
                <w:szCs w:val="24"/>
              </w:rPr>
              <w:t>C.</w:t>
            </w:r>
            <w:r w:rsidRPr="00C328A2">
              <w:rPr>
                <w:noProof/>
                <w:szCs w:val="24"/>
              </w:rPr>
              <w:tab/>
            </w:r>
            <w:r w:rsidRPr="00C328A2">
              <w:rPr>
                <w:noProof/>
                <w:szCs w:val="24"/>
                <w:lang w:val="fr-CA"/>
              </w:rPr>
              <w:t>Pouvoirs accessoires</w:t>
            </w:r>
          </w:p>
        </w:tc>
        <w:tc>
          <w:tcPr>
            <w:tcW w:w="851" w:type="dxa"/>
          </w:tcPr>
          <w:p w14:paraId="7A7B503F" w14:textId="77777777" w:rsidR="00C328A2" w:rsidRPr="00C328A2" w:rsidRDefault="00C328A2" w:rsidP="000C5D45">
            <w:pPr>
              <w:tabs>
                <w:tab w:val="left" w:pos="480"/>
                <w:tab w:val="right" w:leader="dot" w:pos="8270"/>
              </w:tabs>
              <w:spacing w:after="100"/>
              <w:jc w:val="right"/>
              <w:rPr>
                <w:szCs w:val="24"/>
              </w:rPr>
            </w:pPr>
            <w:r w:rsidRPr="00C328A2">
              <w:rPr>
                <w:szCs w:val="24"/>
              </w:rPr>
              <w:t>198</w:t>
            </w:r>
          </w:p>
        </w:tc>
      </w:tr>
      <w:tr w:rsidR="00C328A2" w:rsidRPr="00C328A2" w14:paraId="12D63C8F" w14:textId="77777777" w:rsidTr="000C5D45">
        <w:trPr>
          <w:trHeight w:val="432"/>
        </w:trPr>
        <w:tc>
          <w:tcPr>
            <w:tcW w:w="8505" w:type="dxa"/>
          </w:tcPr>
          <w:p w14:paraId="284FEA2D" w14:textId="77777777" w:rsidR="00C328A2" w:rsidRPr="00C328A2" w:rsidRDefault="00C328A2" w:rsidP="000C5D45">
            <w:pPr>
              <w:tabs>
                <w:tab w:val="left" w:pos="480"/>
                <w:tab w:val="right" w:leader="dot" w:pos="8270"/>
              </w:tabs>
              <w:spacing w:after="100"/>
              <w:ind w:left="421" w:hanging="421"/>
              <w:jc w:val="both"/>
            </w:pPr>
            <w:r w:rsidRPr="00C328A2">
              <w:rPr>
                <w:noProof/>
                <w:szCs w:val="24"/>
              </w:rPr>
              <w:t>D.</w:t>
            </w:r>
            <w:r w:rsidRPr="00C328A2">
              <w:rPr>
                <w:noProof/>
                <w:szCs w:val="24"/>
              </w:rPr>
              <w:tab/>
            </w:r>
            <w:r w:rsidRPr="00C328A2">
              <w:rPr>
                <w:noProof/>
                <w:szCs w:val="24"/>
                <w:lang w:val="fr-CA"/>
              </w:rPr>
              <w:t>Réparation</w:t>
            </w:r>
          </w:p>
        </w:tc>
        <w:tc>
          <w:tcPr>
            <w:tcW w:w="851" w:type="dxa"/>
          </w:tcPr>
          <w:p w14:paraId="1CD78356" w14:textId="77777777" w:rsidR="00C328A2" w:rsidRPr="00C328A2" w:rsidRDefault="00C328A2" w:rsidP="000C5D45">
            <w:pPr>
              <w:tabs>
                <w:tab w:val="left" w:pos="480"/>
                <w:tab w:val="right" w:leader="dot" w:pos="8270"/>
              </w:tabs>
              <w:spacing w:after="100"/>
              <w:jc w:val="right"/>
              <w:rPr>
                <w:szCs w:val="24"/>
              </w:rPr>
            </w:pPr>
            <w:r w:rsidRPr="00C328A2">
              <w:rPr>
                <w:szCs w:val="24"/>
              </w:rPr>
              <w:t>205</w:t>
            </w:r>
          </w:p>
        </w:tc>
      </w:tr>
      <w:tr w:rsidR="00C328A2" w:rsidRPr="00C328A2" w14:paraId="63C1E857" w14:textId="77777777" w:rsidTr="000C5D45">
        <w:trPr>
          <w:trHeight w:val="432"/>
        </w:trPr>
        <w:tc>
          <w:tcPr>
            <w:tcW w:w="8505" w:type="dxa"/>
          </w:tcPr>
          <w:p w14:paraId="3FDDE3E9" w14:textId="77777777" w:rsidR="00C328A2" w:rsidRPr="00C328A2" w:rsidRDefault="00C328A2" w:rsidP="000C5D45">
            <w:pPr>
              <w:tabs>
                <w:tab w:val="left" w:pos="480"/>
                <w:tab w:val="right" w:leader="dot" w:pos="8270"/>
              </w:tabs>
              <w:spacing w:after="100"/>
              <w:jc w:val="both"/>
              <w:rPr>
                <w:noProof/>
                <w:szCs w:val="24"/>
              </w:rPr>
            </w:pPr>
            <w:r w:rsidRPr="00C328A2">
              <w:rPr>
                <w:noProof/>
                <w:szCs w:val="24"/>
              </w:rPr>
              <w:t>III.</w:t>
            </w:r>
            <w:r w:rsidRPr="00C328A2">
              <w:rPr>
                <w:noProof/>
                <w:szCs w:val="24"/>
              </w:rPr>
              <w:tab/>
            </w:r>
            <w:r w:rsidRPr="00C328A2">
              <w:rPr>
                <w:noProof/>
                <w:szCs w:val="24"/>
                <w:u w:val="single"/>
              </w:rPr>
              <w:t>Conclusion</w:t>
            </w:r>
          </w:p>
        </w:tc>
        <w:tc>
          <w:tcPr>
            <w:tcW w:w="851" w:type="dxa"/>
          </w:tcPr>
          <w:p w14:paraId="3E7D30B2" w14:textId="77777777" w:rsidR="00C328A2" w:rsidRPr="00C328A2" w:rsidRDefault="00C328A2" w:rsidP="000C5D45">
            <w:pPr>
              <w:tabs>
                <w:tab w:val="left" w:pos="480"/>
                <w:tab w:val="right" w:leader="dot" w:pos="8270"/>
              </w:tabs>
              <w:spacing w:after="100"/>
              <w:jc w:val="right"/>
              <w:rPr>
                <w:szCs w:val="24"/>
              </w:rPr>
            </w:pPr>
            <w:r w:rsidRPr="00C328A2">
              <w:rPr>
                <w:szCs w:val="24"/>
              </w:rPr>
              <w:t>208</w:t>
            </w:r>
          </w:p>
        </w:tc>
      </w:tr>
    </w:tbl>
    <w:p w14:paraId="20FB3CFB" w14:textId="77777777" w:rsidR="00C328A2" w:rsidRPr="00143FBF" w:rsidRDefault="00C328A2" w:rsidP="00143FBF">
      <w:pPr>
        <w:pStyle w:val="Title1LevelTitre1Niveau-AltL"/>
        <w:numPr>
          <w:ilvl w:val="0"/>
          <w:numId w:val="35"/>
        </w:numPr>
        <w:rPr>
          <w:rFonts w:cs="Times New Roman"/>
          <w:lang w:val="fr-CA"/>
        </w:rPr>
      </w:pPr>
      <w:bookmarkStart w:id="45" w:name="_Toc173313454"/>
      <w:r w:rsidRPr="00143FBF">
        <w:rPr>
          <w:rFonts w:cs="Times New Roman"/>
          <w:lang w:val="fr-CA"/>
        </w:rPr>
        <w:t>Introduction</w:t>
      </w:r>
      <w:bookmarkEnd w:id="45"/>
    </w:p>
    <w:p w14:paraId="615F27D2" w14:textId="77777777" w:rsidR="00C328A2" w:rsidRPr="00C328A2" w:rsidRDefault="00C328A2" w:rsidP="00C328A2">
      <w:pPr>
        <w:pStyle w:val="ParaNoNdepar-AltN"/>
        <w:tabs>
          <w:tab w:val="clear" w:pos="1166"/>
          <w:tab w:val="num" w:pos="1152"/>
        </w:tabs>
        <w:rPr>
          <w:rFonts w:cs="Times New Roman"/>
          <w:lang w:val="fr-CA"/>
        </w:rPr>
      </w:pPr>
      <w:r w:rsidRPr="00C328A2">
        <w:rPr>
          <w:rFonts w:cs="Times New Roman"/>
          <w:lang w:val="fr-CA"/>
        </w:rPr>
        <w:lastRenderedPageBreak/>
        <w:t>La gravité de la crise des opioïdes qui sévit partout au Canada ne saurait être sous</w:t>
      </w:r>
      <w:r w:rsidRPr="00C328A2">
        <w:rPr>
          <w:rFonts w:cs="Times New Roman"/>
          <w:lang w:val="fr-CA"/>
        </w:rPr>
        <w:noBreakHyphen/>
        <w:t xml:space="preserve">estimée, et la crise ne montre toujours aucun signe d’essoufflement (voir </w:t>
      </w:r>
      <w:r w:rsidRPr="00C328A2">
        <w:rPr>
          <w:rFonts w:cs="Times New Roman"/>
          <w:i/>
          <w:lang w:val="fr-CA"/>
        </w:rPr>
        <w:t>R. c. Parranto</w:t>
      </w:r>
      <w:r w:rsidRPr="00C328A2">
        <w:rPr>
          <w:rFonts w:cs="Times New Roman"/>
          <w:lang w:val="fr-CA"/>
        </w:rPr>
        <w:t>, 2021 CSC 46, [2021] 3 R.C.S. 366, par. 96, le juge Moldaver). Bien que je reconnaisse et ne souhaite aucunement minimiser la gravité de la situation concernant les opioïdes de même que ses profondes répercussions sur les Canadiens et les Canadiennes (</w:t>
      </w:r>
      <w:r w:rsidRPr="00C328A2">
        <w:rPr>
          <w:rFonts w:cs="Times New Roman"/>
          <w:i/>
          <w:lang w:val="fr-CA"/>
        </w:rPr>
        <w:t>R. c. Smith</w:t>
      </w:r>
      <w:r w:rsidRPr="00C328A2">
        <w:rPr>
          <w:rFonts w:cs="Times New Roman"/>
          <w:lang w:val="fr-CA"/>
        </w:rPr>
        <w:t>, 2019 SKCA 100, 382 C.C.C. (3d) 455, par. 90, citant</w:t>
      </w:r>
      <w:r w:rsidRPr="00C328A2">
        <w:rPr>
          <w:rFonts w:cs="Times New Roman"/>
          <w:i/>
          <w:lang w:val="fr-CA"/>
        </w:rPr>
        <w:t xml:space="preserve"> R. c. Fyfe</w:t>
      </w:r>
      <w:r w:rsidRPr="00C328A2">
        <w:rPr>
          <w:rFonts w:cs="Times New Roman"/>
          <w:lang w:val="fr-CA"/>
        </w:rPr>
        <w:t>, 2017 SKQB 5, par. 157</w:t>
      </w:r>
      <w:r w:rsidRPr="00C328A2">
        <w:rPr>
          <w:rFonts w:cs="Times New Roman"/>
          <w:lang w:val="fr-CA"/>
        </w:rPr>
        <w:noBreakHyphen/>
        <w:t>163), j’estime que notre Cour ne peut s’autoriser de la gravité de la situation pour modifier la Constitution. Améliorer l’accès à la justice et faciliter la coopération entre les gouvernements sont des objectifs louables, mais ces objectifs doivent être réalisés sans entrer en conflit avec la structure fondamentale du fédéralisme canadien.</w:t>
      </w:r>
    </w:p>
    <w:p w14:paraId="1A879DCD"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Le présent pourvoi soulève la question de savoir si l’art. 11 de la loi intitulée </w:t>
      </w:r>
      <w:r w:rsidRPr="00C328A2">
        <w:rPr>
          <w:rFonts w:cs="Times New Roman"/>
          <w:i/>
          <w:lang w:val="fr-CA"/>
        </w:rPr>
        <w:t>Opioid Damages and Health Care Costs Recovery Act</w:t>
      </w:r>
      <w:r w:rsidRPr="00C328A2">
        <w:rPr>
          <w:rFonts w:cs="Times New Roman"/>
          <w:lang w:val="fr-CA"/>
        </w:rPr>
        <w:t>, S.B.C. 2018, c. 35 (« </w:t>
      </w:r>
      <w:r w:rsidRPr="00C328A2">
        <w:rPr>
          <w:rFonts w:cs="Times New Roman"/>
          <w:i/>
          <w:lang w:val="fr-CA"/>
        </w:rPr>
        <w:t>ORA</w:t>
      </w:r>
      <w:r w:rsidRPr="00C328A2">
        <w:rPr>
          <w:rFonts w:cs="Times New Roman"/>
          <w:lang w:val="fr-CA"/>
        </w:rPr>
        <w:t xml:space="preserve"> »), est </w:t>
      </w:r>
      <w:r w:rsidRPr="00C328A2">
        <w:rPr>
          <w:rFonts w:cs="Times New Roman"/>
          <w:i/>
          <w:lang w:val="fr-CA"/>
        </w:rPr>
        <w:t>ultra vires</w:t>
      </w:r>
      <w:r w:rsidRPr="00C328A2">
        <w:rPr>
          <w:rFonts w:cs="Times New Roman"/>
          <w:lang w:val="fr-CA"/>
        </w:rPr>
        <w:t xml:space="preserve"> de la législature </w:t>
      </w:r>
      <w:r w:rsidRPr="00C328A2">
        <w:rPr>
          <w:rFonts w:cs="Times New Roman"/>
          <w:iCs/>
          <w:lang w:val="fr-CA"/>
        </w:rPr>
        <w:t xml:space="preserve">de la </w:t>
      </w:r>
      <w:r w:rsidRPr="00C328A2">
        <w:rPr>
          <w:rFonts w:cs="Times New Roman"/>
          <w:lang w:val="fr-CA"/>
        </w:rPr>
        <w:t>Colombie</w:t>
      </w:r>
      <w:r w:rsidRPr="00C328A2">
        <w:rPr>
          <w:rFonts w:cs="Times New Roman"/>
          <w:lang w:val="fr-CA"/>
        </w:rPr>
        <w:noBreakHyphen/>
        <w:t>Britannique. En particulier, cette législature peut</w:t>
      </w:r>
      <w:r w:rsidRPr="00C328A2">
        <w:rPr>
          <w:rFonts w:cs="Times New Roman"/>
          <w:lang w:val="fr-CA"/>
        </w:rPr>
        <w:noBreakHyphen/>
        <w:t>elle autoriser la province à intenter un recours collectif pour recouvrer le coût des soins de santé engagés par une autre province, selon un mécanisme d’exclusion (« </w:t>
      </w:r>
      <w:r w:rsidRPr="00C328A2">
        <w:rPr>
          <w:rFonts w:cs="Times New Roman"/>
          <w:i/>
          <w:lang w:val="fr-CA"/>
        </w:rPr>
        <w:t>opt</w:t>
      </w:r>
      <w:r w:rsidRPr="00C328A2">
        <w:rPr>
          <w:rFonts w:cs="Times New Roman"/>
          <w:i/>
          <w:lang w:val="fr-CA"/>
        </w:rPr>
        <w:noBreakHyphen/>
        <w:t>out</w:t>
      </w:r>
      <w:r w:rsidRPr="00C328A2">
        <w:rPr>
          <w:rFonts w:cs="Times New Roman"/>
          <w:lang w:val="fr-CA"/>
        </w:rPr>
        <w:t> »), obligeant ainsi cette dernière à entreprendre des démarches pour éviter de participer contre son gré à une procédure judiciaire donnée? Outre la question en litige, le présent pourvoi aura des répercussions majeures sur l’analyse du caractère véritable et sur la recherche d’un juste équilibre entre les effets juridiques et pratiques d’une disposition législative contestée pour en déterminer le principal objet.</w:t>
      </w:r>
    </w:p>
    <w:p w14:paraId="5FBD7446"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Je ne remets pas en cause la constitutionnalité du régime législatif prévu par l’</w:t>
      </w:r>
      <w:r w:rsidRPr="00C328A2">
        <w:rPr>
          <w:rFonts w:cs="Times New Roman"/>
          <w:i/>
          <w:lang w:val="fr-CA"/>
        </w:rPr>
        <w:t>ORA</w:t>
      </w:r>
      <w:r w:rsidRPr="00C328A2">
        <w:rPr>
          <w:rFonts w:cs="Times New Roman"/>
          <w:lang w:val="fr-CA"/>
        </w:rPr>
        <w:t xml:space="preserve"> dans la mesure où il est calqué sur celui de la </w:t>
      </w:r>
      <w:r w:rsidRPr="00C328A2">
        <w:rPr>
          <w:rFonts w:cs="Times New Roman"/>
          <w:i/>
          <w:iCs/>
          <w:lang w:val="fr-CA"/>
        </w:rPr>
        <w:t>Tobacco Damages and Health Care Costs Recovery Act</w:t>
      </w:r>
      <w:r w:rsidRPr="00C328A2">
        <w:rPr>
          <w:rFonts w:cs="Times New Roman"/>
          <w:lang w:val="fr-CA"/>
        </w:rPr>
        <w:t>, S.B.C. 2000, c. 30 (« </w:t>
      </w:r>
      <w:r w:rsidRPr="00C328A2">
        <w:rPr>
          <w:rFonts w:cs="Times New Roman"/>
          <w:i/>
          <w:lang w:val="fr-CA"/>
        </w:rPr>
        <w:t>TRA</w:t>
      </w:r>
      <w:r w:rsidRPr="00C328A2">
        <w:rPr>
          <w:rFonts w:cs="Times New Roman"/>
          <w:lang w:val="fr-CA"/>
        </w:rPr>
        <w:t xml:space="preserve"> »), dont notre Cour a confirmé la constitutionnalité dans l’arrêt </w:t>
      </w:r>
      <w:r w:rsidRPr="00C328A2">
        <w:rPr>
          <w:rFonts w:cs="Times New Roman"/>
          <w:i/>
          <w:iCs/>
          <w:lang w:val="fr-CA"/>
        </w:rPr>
        <w:t>Colombie</w:t>
      </w:r>
      <w:r w:rsidRPr="00C328A2">
        <w:rPr>
          <w:rFonts w:cs="Times New Roman"/>
          <w:i/>
          <w:iCs/>
          <w:lang w:val="fr-CA"/>
        </w:rPr>
        <w:noBreakHyphen/>
        <w:t>Britannique c. Imperial Tobacco Canada Ltée</w:t>
      </w:r>
      <w:r w:rsidRPr="00C328A2">
        <w:rPr>
          <w:rFonts w:cs="Times New Roman"/>
          <w:lang w:val="fr-CA"/>
        </w:rPr>
        <w:t xml:space="preserve">, 2005 CSC 49, [2005] 2 R.C.S. 473. Toutefois, contrairement à la </w:t>
      </w:r>
      <w:r w:rsidRPr="00C328A2">
        <w:rPr>
          <w:rFonts w:cs="Times New Roman"/>
          <w:i/>
          <w:lang w:val="fr-CA"/>
        </w:rPr>
        <w:t>TRA</w:t>
      </w:r>
      <w:r w:rsidRPr="00C328A2">
        <w:rPr>
          <w:rFonts w:cs="Times New Roman"/>
          <w:lang w:val="fr-CA"/>
        </w:rPr>
        <w:t>, l’</w:t>
      </w:r>
      <w:r w:rsidRPr="00C328A2">
        <w:rPr>
          <w:rFonts w:cs="Times New Roman"/>
          <w:i/>
          <w:lang w:val="fr-CA"/>
        </w:rPr>
        <w:t>ORA</w:t>
      </w:r>
      <w:r w:rsidRPr="00C328A2">
        <w:rPr>
          <w:rFonts w:cs="Times New Roman"/>
          <w:lang w:val="fr-CA"/>
        </w:rPr>
        <w:t xml:space="preserve"> contient une disposition qui permet à la Couronne du chef de la Colombie</w:t>
      </w:r>
      <w:r w:rsidRPr="00C328A2">
        <w:rPr>
          <w:rFonts w:cs="Times New Roman"/>
          <w:lang w:val="fr-CA"/>
        </w:rPr>
        <w:noBreakHyphen/>
        <w:t>Britannique, en tant que représentante des demandeurs, d’intenter un recours collectif multiterritorial au nom des autres gouvernements provinciaux et du gouvernement fédéral, et de lier ces gouvernements à titre de partie au recours collectif, à moins qu’ils prennent les mesures concrètes pour s’en exclure. En outre, la décision de s’en exclure doit être prise conformément à l’ordonnance d’autorisation, ce qui signifie que les tribunaux provinciaux de la Colombie</w:t>
      </w:r>
      <w:r w:rsidRPr="00C328A2">
        <w:rPr>
          <w:rFonts w:cs="Times New Roman"/>
          <w:lang w:val="fr-CA"/>
        </w:rPr>
        <w:noBreakHyphen/>
        <w:t>Britannique vont dicter la manière dont d’autres provinces et le gouvernement fédéral s’y prennent pour préserver leurs propres droits. À mon avis, la question pertinente et connexe qu’il faut se poser est celle de savoir si la législature d’une province a le pouvoir de légiférer de manière à s’ingérer dans les droits et les prérogatives des gouvernements provinciaux et du gouvernement fédéral. Il faut répondre à cette question par la négative.</w:t>
      </w:r>
    </w:p>
    <w:p w14:paraId="0222811E"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Les appelantes, qui sont les défenderesses nommément désignées dans l’action au cœur du présent pourvoi, contestent la constitutionnalité de l’art. 11 de l’</w:t>
      </w:r>
      <w:r w:rsidRPr="00C328A2">
        <w:rPr>
          <w:rFonts w:cs="Times New Roman"/>
          <w:i/>
          <w:lang w:val="fr-CA"/>
        </w:rPr>
        <w:t>ORA</w:t>
      </w:r>
      <w:r w:rsidRPr="00C328A2">
        <w:rPr>
          <w:rFonts w:cs="Times New Roman"/>
          <w:lang w:val="fr-CA"/>
        </w:rPr>
        <w:t>. Elles font valoir que, de par son caractère véritable, l’art. 11 touche des droits substantiels et se situe en dehors des limites juridictionnelles (ou territoriales) et de la compétence législative de la Colombie</w:t>
      </w:r>
      <w:r w:rsidRPr="00C328A2">
        <w:rPr>
          <w:rFonts w:cs="Times New Roman"/>
          <w:lang w:val="fr-CA"/>
        </w:rPr>
        <w:noBreakHyphen/>
        <w:t xml:space="preserve">Britannique. Elles affirment que l’art. 11 </w:t>
      </w:r>
      <w:r w:rsidRPr="00C328A2">
        <w:rPr>
          <w:rFonts w:cs="Times New Roman"/>
          <w:lang w:val="fr-CA"/>
        </w:rPr>
        <w:lastRenderedPageBreak/>
        <w:t>constitue un affront sans précédent à des principes constitutionnels établis. L’intimé, Sa Majesté le Roi du chef de la Colombie</w:t>
      </w:r>
      <w:r w:rsidRPr="00C328A2">
        <w:rPr>
          <w:rFonts w:cs="Times New Roman"/>
          <w:lang w:val="fr-CA"/>
        </w:rPr>
        <w:noBreakHyphen/>
        <w:t xml:space="preserve">Britannique, soutient que le caractère véritable de la disposition consiste à légiférer sur des pouvoirs procéduraux de la province et respecte les limites territoriales imposées par la </w:t>
      </w:r>
      <w:r w:rsidRPr="00C328A2">
        <w:rPr>
          <w:rFonts w:cs="Times New Roman"/>
          <w:i/>
          <w:lang w:val="fr-CA"/>
        </w:rPr>
        <w:t>Loi constitutionnelle de 1867</w:t>
      </w:r>
      <w:r w:rsidRPr="00C328A2">
        <w:rPr>
          <w:rFonts w:cs="Times New Roman"/>
          <w:lang w:val="fr-CA"/>
        </w:rPr>
        <w:t>.</w:t>
      </w:r>
    </w:p>
    <w:p w14:paraId="00C00DA8"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Je suis d’avis que le caractère véritable de l’art. 11 de l’</w:t>
      </w:r>
      <w:r w:rsidRPr="00C328A2">
        <w:rPr>
          <w:rFonts w:cs="Times New Roman"/>
          <w:i/>
          <w:lang w:val="fr-CA"/>
        </w:rPr>
        <w:t>ORA</w:t>
      </w:r>
      <w:r w:rsidRPr="00C328A2">
        <w:rPr>
          <w:rFonts w:cs="Times New Roman"/>
          <w:lang w:val="fr-CA"/>
        </w:rPr>
        <w:t xml:space="preserve"> est de légiférer à l’égard de la propriété et des droits civils à l’extérieur de la province, et ce, en violation des limites territoriales que l’art. 92 de la </w:t>
      </w:r>
      <w:r w:rsidRPr="00C328A2">
        <w:rPr>
          <w:rFonts w:cs="Times New Roman"/>
          <w:i/>
          <w:iCs/>
          <w:lang w:val="fr-CA"/>
        </w:rPr>
        <w:t>Loi constitutionnelle de 1867</w:t>
      </w:r>
      <w:r w:rsidRPr="00C328A2">
        <w:rPr>
          <w:rFonts w:cs="Times New Roman"/>
          <w:lang w:val="fr-CA"/>
        </w:rPr>
        <w:t xml:space="preserve"> impose nécessairement aux législatures provinciales. Par le biais de l’art. 11, la législature de la Colombie</w:t>
      </w:r>
      <w:r w:rsidRPr="00C328A2">
        <w:rPr>
          <w:rFonts w:cs="Times New Roman"/>
          <w:lang w:val="fr-CA"/>
        </w:rPr>
        <w:noBreakHyphen/>
        <w:t>Britannique cherche à regrouper les droits civils situés dans d’autres provinces en un seul recours collectif. Or, ses pouvoirs se limitent à la propriété et aux droits civils « dans la province » aux termes de l’art. 92. Les effets de l’art. 11 sur les droits substantiels des gouvernements provinciaux et du gouvernement fédéral ne sont pas simplement accessoires. Les autres gouvernements se voient plutôt contraints de participer au recours collectif, dans la mesure où, en raison de son caractère véritable, l’application par défaut de cette disposition porte atteinte à l’autonomie des autres gouvernements dans la conduite du litige. Je ne prétends pas que l’art. 11 de l’</w:t>
      </w:r>
      <w:r w:rsidRPr="00C328A2">
        <w:rPr>
          <w:rFonts w:cs="Times New Roman"/>
          <w:i/>
          <w:lang w:val="fr-CA"/>
        </w:rPr>
        <w:t>ORA</w:t>
      </w:r>
      <w:r w:rsidRPr="00C328A2">
        <w:rPr>
          <w:rFonts w:cs="Times New Roman"/>
          <w:lang w:val="fr-CA"/>
        </w:rPr>
        <w:t xml:space="preserve"> </w:t>
      </w:r>
      <w:r w:rsidRPr="00C328A2">
        <w:rPr>
          <w:rFonts w:cs="Times New Roman"/>
          <w:i/>
          <w:iCs/>
          <w:lang w:val="fr-CA"/>
        </w:rPr>
        <w:t xml:space="preserve">crée </w:t>
      </w:r>
      <w:r w:rsidRPr="00C328A2">
        <w:rPr>
          <w:rFonts w:cs="Times New Roman"/>
          <w:lang w:val="fr-CA"/>
        </w:rPr>
        <w:t xml:space="preserve">des droits substantiels, mais plutôt qu’il </w:t>
      </w:r>
      <w:r w:rsidRPr="00C328A2">
        <w:rPr>
          <w:rFonts w:cs="Times New Roman"/>
          <w:i/>
          <w:iCs/>
          <w:lang w:val="fr-CA"/>
        </w:rPr>
        <w:t>touche</w:t>
      </w:r>
      <w:r w:rsidRPr="00C328A2">
        <w:rPr>
          <w:rFonts w:cs="Times New Roman"/>
          <w:lang w:val="fr-CA"/>
        </w:rPr>
        <w:t xml:space="preserve"> de manière non accessoire aux droits substantiels d’autres gouvernements à l’extérieur de la Colombie</w:t>
      </w:r>
      <w:r w:rsidRPr="00C328A2">
        <w:rPr>
          <w:rFonts w:cs="Times New Roman"/>
          <w:lang w:val="fr-CA"/>
        </w:rPr>
        <w:noBreakHyphen/>
        <w:t xml:space="preserve">Britannique. Comme je l’explique dans les présents motifs, la possibilité pour ces autres gouvernements de s’exclure du recours collectif intenté par la </w:t>
      </w:r>
      <w:r w:rsidRPr="00C328A2">
        <w:rPr>
          <w:rFonts w:cs="Times New Roman"/>
          <w:lang w:val="fr-CA"/>
        </w:rPr>
        <w:lastRenderedPageBreak/>
        <w:t>Colombie</w:t>
      </w:r>
      <w:r w:rsidRPr="00C328A2">
        <w:rPr>
          <w:rFonts w:cs="Times New Roman"/>
          <w:lang w:val="fr-CA"/>
        </w:rPr>
        <w:noBreakHyphen/>
        <w:t>Britannique ne saurait pour autant valider ces effets juridiques inconstitutionnels.</w:t>
      </w:r>
    </w:p>
    <w:p w14:paraId="62D88A86"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Je reconnais qu’un jugement d’autorisation s’impose pour que la disposition prenne effet. À cet égard, je souligne et fais miens les arguments avancés par les avocats des appelantes qui, lors des débats, ont admis la nécessité d’une autorisation, mais ont soutenu que l’objet principal de l’art. 11 de l’</w:t>
      </w:r>
      <w:r w:rsidRPr="00C328A2">
        <w:rPr>
          <w:rFonts w:cs="Times New Roman"/>
          <w:i/>
          <w:lang w:val="fr-CA"/>
        </w:rPr>
        <w:t>ORA</w:t>
      </w:r>
      <w:r w:rsidRPr="00C328A2">
        <w:rPr>
          <w:rFonts w:cs="Times New Roman"/>
          <w:lang w:val="fr-CA"/>
        </w:rPr>
        <w:t xml:space="preserve"> portait ultimement sur ce qui se passe après que le recours collectif soit autorisé. L’autorisation est un élément essentiel de l’art. 11, et un tribunal ne pourrait pas autoriser l’exercice d’un recours collectif en l’absence de cette disposition. Bien entendu, si le recours collectif proposé par la Colombie</w:t>
      </w:r>
      <w:r w:rsidRPr="00C328A2">
        <w:rPr>
          <w:rFonts w:cs="Times New Roman"/>
          <w:lang w:val="fr-CA"/>
        </w:rPr>
        <w:noBreakHyphen/>
        <w:t>Britannique n’était pas autorisé, le présent débat serait vidé de son sens.</w:t>
      </w:r>
    </w:p>
    <w:p w14:paraId="284712C3"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Je conclus que le caractère véritable de l’art. 11 de l’</w:t>
      </w:r>
      <w:r w:rsidRPr="00C328A2">
        <w:rPr>
          <w:rFonts w:cs="Times New Roman"/>
          <w:i/>
          <w:lang w:val="fr-CA"/>
        </w:rPr>
        <w:t xml:space="preserve">ORA </w:t>
      </w:r>
      <w:r w:rsidRPr="00C328A2">
        <w:rPr>
          <w:rFonts w:cs="Times New Roman"/>
          <w:lang w:val="fr-CA"/>
        </w:rPr>
        <w:t xml:space="preserve">consiste à légiférer sur le droit substantiel d’autres gouvernements d’ester en justice pour recouvrer le coût de soins de santé. Je suis donc d’avis que cette disposition relève du par. 92(13) de la </w:t>
      </w:r>
      <w:r w:rsidRPr="00C328A2">
        <w:rPr>
          <w:rFonts w:cs="Times New Roman"/>
          <w:i/>
          <w:lang w:val="fr-CA"/>
        </w:rPr>
        <w:t>Loi constitutionnelle de 1867</w:t>
      </w:r>
      <w:r w:rsidRPr="00C328A2">
        <w:rPr>
          <w:rFonts w:cs="Times New Roman"/>
          <w:lang w:val="fr-CA"/>
        </w:rPr>
        <w:t>. La disposition ne respecte pas les limites territoriales de la compétence accordée à la législature de la Colombie</w:t>
      </w:r>
      <w:r w:rsidRPr="00C328A2">
        <w:rPr>
          <w:rFonts w:cs="Times New Roman"/>
          <w:lang w:val="fr-CA"/>
        </w:rPr>
        <w:noBreakHyphen/>
        <w:t xml:space="preserve">Britannique, et son caractère véritable n’est pas « dans la province » pour l’application de l’art. 92. Plus précisément, il n’existe aucun lien significatif entre le territoire ayant légiféré, l’objet de la loi et les personnes qui y sont assujetties. J’en viendrais à la même conclusion dans l’hypothèse où le caractère véritable de la disposition relevait du par. 92(14). Comme je le souligne plus loin dans les présents </w:t>
      </w:r>
      <w:r w:rsidRPr="00C328A2">
        <w:rPr>
          <w:rFonts w:cs="Times New Roman"/>
          <w:lang w:val="fr-CA"/>
        </w:rPr>
        <w:lastRenderedPageBreak/>
        <w:t>motifs, j’exprime également de sérieuses réserves quant aux incidences qu’une telle disposition aurait sur la souveraineté législative des autres provinces.</w:t>
      </w:r>
    </w:p>
    <w:p w14:paraId="49A792A3"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Je suis d’accord avec ma collègue pour dire que la coopération horizontale entre les gouvernements provinciaux et fédéral sur des enjeux communs est un objectif louable. Cependant, quelle que soit la méthode élaborée par les provinces et le gouvernement fédéral pour parvenir à une telle coopération, elle </w:t>
      </w:r>
      <w:r w:rsidRPr="00C328A2">
        <w:rPr>
          <w:rFonts w:cs="Times New Roman"/>
          <w:i/>
          <w:lang w:val="fr-CA"/>
        </w:rPr>
        <w:t>doit</w:t>
      </w:r>
      <w:r w:rsidRPr="00C328A2">
        <w:rPr>
          <w:rFonts w:cs="Times New Roman"/>
          <w:lang w:val="fr-CA"/>
        </w:rPr>
        <w:t xml:space="preserve"> se conformer à la structure du fédéralisme canadien, peu importe s’il peut être avantageux d’empiéter sur la compétence d’autres gouvernements dans un cas donné. Les gouvernements pourraient décider, par exemple, sous réserve de questions de juridiction, de joindre leurs actions dans une seule province. Cela leur permettrait de partager certains frais des actions, favorisant par le fait même l’efficacité propre au mécanisme procédural du recours collectif sans empiéter sur la capacité d’autres provinces de choisir activement de participer ou non et de décider de la manière d’intenter une poursuite. Le mécanisme d’exclusion de l’</w:t>
      </w:r>
      <w:r w:rsidRPr="00C328A2">
        <w:rPr>
          <w:rFonts w:cs="Times New Roman"/>
          <w:i/>
          <w:lang w:val="fr-CA"/>
        </w:rPr>
        <w:t>ORA</w:t>
      </w:r>
      <w:r w:rsidRPr="00C328A2">
        <w:rPr>
          <w:rFonts w:cs="Times New Roman"/>
          <w:lang w:val="fr-CA"/>
        </w:rPr>
        <w:t xml:space="preserve"> ne permet pas de faire activement ce choix. L’article 11 impose la participation par défaut, et cette participation oblige les autres provinces à se soumettre aux décisions en matière de contentieux de la province de la Colombie</w:t>
      </w:r>
      <w:r w:rsidRPr="00C328A2">
        <w:rPr>
          <w:rFonts w:cs="Times New Roman"/>
          <w:lang w:val="fr-CA"/>
        </w:rPr>
        <w:noBreakHyphen/>
        <w:t>Britannique.</w:t>
      </w:r>
    </w:p>
    <w:p w14:paraId="3CB16237"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Les appelantes ont également fait des observations selon lesquelles l’art. 11 serait inconstitutionnel même s’il instaurait un régime d’adhésion volontaire, plutôt qu’un régime avec mécanisme d’exclusion, pour les recours collectifs mettant en cause plusieurs gouvernements. J’estime néanmoins qu’il n’est pas nécessaire de me </w:t>
      </w:r>
      <w:r w:rsidRPr="00C328A2">
        <w:rPr>
          <w:rFonts w:cs="Times New Roman"/>
          <w:lang w:val="fr-CA"/>
        </w:rPr>
        <w:lastRenderedPageBreak/>
        <w:t>prononcer sur ce point dans les circonstances de l’espèce, car la question dont nous sommes saisis se rapporte à la constitutionnalité de l’art. 11 dans sa forme actuelle.</w:t>
      </w:r>
    </w:p>
    <w:p w14:paraId="7C119A24"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Pour les motifs qui suivent, je suis d’avis d’accueillir le pourvoi.</w:t>
      </w:r>
    </w:p>
    <w:p w14:paraId="4A533FD4" w14:textId="77777777" w:rsidR="00C328A2" w:rsidRPr="00C328A2" w:rsidRDefault="00C328A2" w:rsidP="00C328A2">
      <w:pPr>
        <w:pStyle w:val="Title1LevelTitre1Niveau-AltL"/>
        <w:widowControl w:val="0"/>
        <w:numPr>
          <w:ilvl w:val="0"/>
          <w:numId w:val="8"/>
        </w:numPr>
        <w:spacing w:before="0"/>
        <w:rPr>
          <w:rFonts w:cs="Times New Roman"/>
          <w:lang w:val="fr-CA"/>
        </w:rPr>
      </w:pPr>
      <w:bookmarkStart w:id="46" w:name="_Toc173313455"/>
      <w:r w:rsidRPr="00C328A2">
        <w:rPr>
          <w:rFonts w:cs="Times New Roman"/>
          <w:lang w:val="fr-CA"/>
        </w:rPr>
        <w:t>Analys</w:t>
      </w:r>
      <w:bookmarkEnd w:id="46"/>
      <w:r w:rsidRPr="00C328A2">
        <w:rPr>
          <w:rFonts w:cs="Times New Roman"/>
          <w:lang w:val="fr-CA"/>
        </w:rPr>
        <w:t>e</w:t>
      </w:r>
    </w:p>
    <w:p w14:paraId="76C47F74"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 xml:space="preserve">Je suis d’accord avec ma collègue pour dire que, lorsque la validité d’une loi provinciale est contestée au motif qu’elle viole les limites territoriales imposées à une législature provinciale, l’évaluation de sa validité doit se faire conformément au cadre d’analyse à deux volets établi par notre Cour dans l’arrêt </w:t>
      </w:r>
      <w:r w:rsidRPr="00C328A2">
        <w:rPr>
          <w:rFonts w:cs="Times New Roman"/>
          <w:i/>
          <w:lang w:val="fr-CA"/>
        </w:rPr>
        <w:t>Imperial Tobacco</w:t>
      </w:r>
      <w:r w:rsidRPr="00C328A2">
        <w:rPr>
          <w:rFonts w:cs="Times New Roman"/>
          <w:lang w:val="fr-CA"/>
        </w:rPr>
        <w:t>.</w:t>
      </w:r>
    </w:p>
    <w:p w14:paraId="6B5A845E"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La première étape consiste à déterminer le caractère véritable de la loi contestée, ce qui implique d’en préciser « l’essence ou la caractéristique dominante », compte tenu de son objet et de ses effets (</w:t>
      </w:r>
      <w:r w:rsidRPr="00C328A2">
        <w:rPr>
          <w:rFonts w:cs="Times New Roman"/>
          <w:i/>
          <w:iCs/>
          <w:lang w:val="fr-CA"/>
        </w:rPr>
        <w:t>Imperial Tobacco</w:t>
      </w:r>
      <w:r w:rsidRPr="00C328A2">
        <w:rPr>
          <w:rFonts w:cs="Times New Roman"/>
          <w:lang w:val="fr-CA"/>
        </w:rPr>
        <w:t xml:space="preserve">, par. 29). Le tribunal doit ensuite déterminer de quel chef de compétence de l’art. 92 de la </w:t>
      </w:r>
      <w:r w:rsidRPr="00C328A2">
        <w:rPr>
          <w:rFonts w:cs="Times New Roman"/>
          <w:i/>
          <w:lang w:val="fr-CA"/>
        </w:rPr>
        <w:t>Loi constitutionnelle de 1867</w:t>
      </w:r>
      <w:r w:rsidRPr="00C328A2">
        <w:rPr>
          <w:rFonts w:cs="Times New Roman"/>
          <w:lang w:val="fr-CA"/>
        </w:rPr>
        <w:t xml:space="preserve"> la loi provinciale contestée relève en raison de son caractère véritable. La </w:t>
      </w:r>
      <w:r w:rsidRPr="00C328A2">
        <w:rPr>
          <w:rFonts w:cs="Times New Roman"/>
          <w:lang w:val="fr-CA" w:bidi="en-US"/>
        </w:rPr>
        <w:t>deuxième étape oblige le tribunal à déterminer si le caractère véritable de la disposition contestée « respecte les limites territoriales de ce chef de compétence — c.</w:t>
      </w:r>
      <w:r w:rsidRPr="00C328A2">
        <w:rPr>
          <w:rFonts w:cs="Times New Roman"/>
          <w:lang w:val="fr-CA" w:bidi="en-US"/>
        </w:rPr>
        <w:noBreakHyphen/>
        <w:t>à</w:t>
      </w:r>
      <w:r w:rsidRPr="00C328A2">
        <w:rPr>
          <w:rFonts w:cs="Times New Roman"/>
          <w:lang w:val="fr-CA" w:bidi="en-US"/>
        </w:rPr>
        <w:noBreakHyphen/>
        <w:t>d., s’il se trouve dans la province »</w:t>
      </w:r>
      <w:r w:rsidRPr="00C328A2">
        <w:rPr>
          <w:rFonts w:cs="Times New Roman"/>
          <w:lang w:val="fr-CA"/>
        </w:rPr>
        <w:t xml:space="preserve"> (par. 36). À cet égard, la loi doit avoir un lien significatif avec la province qui l’a adoptée, et respecter la souveraineté législative des autres provinces.</w:t>
      </w:r>
    </w:p>
    <w:p w14:paraId="0A94F47A"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D’entrée de jeu, je tiens à faire quelques remarques pour préciser le contexte dans lequel s’inscrivent les présents motifs. Tout d’abord, je reconnais que </w:t>
      </w:r>
      <w:r w:rsidRPr="00C328A2">
        <w:rPr>
          <w:rFonts w:cs="Times New Roman"/>
          <w:lang w:val="fr-CA"/>
        </w:rPr>
        <w:lastRenderedPageBreak/>
        <w:t xml:space="preserve">l’analyse constitutionnelle du caractère véritable d’une disposition législative contestée met l’accent sur l’objet véritable de la loi et tolère des effets extraprovinciaux accessoires ou secondaires. Depuis l’arrêt de notre Cour dans le </w:t>
      </w:r>
      <w:r w:rsidRPr="00C328A2">
        <w:rPr>
          <w:rFonts w:cs="Times New Roman"/>
          <w:i/>
          <w:iCs/>
          <w:lang w:val="fr-CA" w:bidi="en-US"/>
        </w:rPr>
        <w:t>Renvoi relatif à la Upper Churchill Water Rights Reversion Act</w:t>
      </w:r>
      <w:r w:rsidRPr="00C328A2">
        <w:rPr>
          <w:rFonts w:cs="Times New Roman"/>
          <w:lang w:val="fr-CA"/>
        </w:rPr>
        <w:t xml:space="preserve">, [1984] 1 R.C.S. 297, p. 332, il est de jurisprudence constante que les effets extraprovinciaux simplement accessoires n’ont pas d’incidence sur la constitutionnalité d’une loi par ailleurs </w:t>
      </w:r>
      <w:r w:rsidRPr="00C328A2">
        <w:rPr>
          <w:rFonts w:cs="Times New Roman"/>
          <w:i/>
          <w:iCs/>
          <w:lang w:val="fr-CA"/>
        </w:rPr>
        <w:t>intra vires</w:t>
      </w:r>
      <w:r w:rsidRPr="00C328A2">
        <w:rPr>
          <w:rFonts w:cs="Times New Roman"/>
          <w:lang w:val="fr-CA"/>
        </w:rPr>
        <w:t xml:space="preserve">. Notre Cour a confirmé ce point à de nombreuses reprises (voir, p. ex., </w:t>
      </w:r>
      <w:r w:rsidRPr="00C328A2">
        <w:rPr>
          <w:rFonts w:cs="Times New Roman"/>
          <w:i/>
          <w:iCs/>
          <w:lang w:val="fr-CA"/>
        </w:rPr>
        <w:t>Global Securities Corp. c. Colombie</w:t>
      </w:r>
      <w:r w:rsidRPr="00C328A2">
        <w:rPr>
          <w:rFonts w:cs="Times New Roman"/>
          <w:i/>
          <w:iCs/>
          <w:lang w:val="fr-CA"/>
        </w:rPr>
        <w:noBreakHyphen/>
        <w:t>Britannique (Securities Commission)</w:t>
      </w:r>
      <w:r w:rsidRPr="00C328A2">
        <w:rPr>
          <w:rFonts w:cs="Times New Roman"/>
          <w:lang w:val="fr-CA"/>
        </w:rPr>
        <w:t>, 2000 CSC 21, [2000] 1 R.C.S. 494, par. 23;</w:t>
      </w:r>
      <w:r w:rsidRPr="00C328A2">
        <w:rPr>
          <w:rFonts w:cs="Times New Roman"/>
          <w:i/>
          <w:iCs/>
          <w:lang w:val="fr-CA"/>
        </w:rPr>
        <w:t xml:space="preserve"> Imperial Tobacco</w:t>
      </w:r>
      <w:r w:rsidRPr="00C328A2">
        <w:rPr>
          <w:rFonts w:cs="Times New Roman"/>
          <w:lang w:val="fr-CA"/>
        </w:rPr>
        <w:t xml:space="preserve">, par. 28). Cela dit, je tiens à citer les propos que le juge McIntyre a tenus dans l’arrêt </w:t>
      </w:r>
      <w:r w:rsidRPr="00C328A2">
        <w:rPr>
          <w:rFonts w:cs="Times New Roman"/>
          <w:i/>
          <w:lang w:val="fr-CA"/>
        </w:rPr>
        <w:t>Upper Churchill</w:t>
      </w:r>
      <w:r w:rsidRPr="00C328A2">
        <w:rPr>
          <w:rFonts w:cs="Times New Roman"/>
          <w:lang w:val="fr-CA"/>
        </w:rPr>
        <w:t>, p. 332, où il écrit que « </w:t>
      </w:r>
      <w:r w:rsidRPr="00C328A2">
        <w:rPr>
          <w:rFonts w:cs="Times New Roman"/>
          <w:lang w:val="fr-CA" w:bidi="en-US"/>
        </w:rPr>
        <w:t>si de par son caractère véritable la loi provinciale porte atteinte à des droits extra</w:t>
      </w:r>
      <w:r w:rsidRPr="00C328A2">
        <w:rPr>
          <w:rFonts w:cs="Times New Roman"/>
          <w:lang w:val="fr-CA" w:bidi="en-US"/>
        </w:rPr>
        <w:noBreakHyphen/>
        <w:t xml:space="preserve">provinciaux ou les élimine, elle est </w:t>
      </w:r>
      <w:r w:rsidRPr="00C328A2">
        <w:rPr>
          <w:rFonts w:cs="Times New Roman"/>
          <w:i/>
          <w:iCs/>
          <w:lang w:val="fr-CA" w:bidi="en-US"/>
        </w:rPr>
        <w:t>ultra vires</w:t>
      </w:r>
      <w:r w:rsidRPr="00C328A2">
        <w:rPr>
          <w:rFonts w:cs="Times New Roman"/>
          <w:lang w:val="fr-CA" w:bidi="en-US"/>
        </w:rPr>
        <w:t> »</w:t>
      </w:r>
      <w:r w:rsidRPr="00C328A2">
        <w:rPr>
          <w:rFonts w:cs="Times New Roman"/>
          <w:lang w:val="fr-CA"/>
        </w:rPr>
        <w:t xml:space="preserve"> (voir aussi </w:t>
      </w:r>
      <w:r w:rsidRPr="00C328A2">
        <w:rPr>
          <w:rFonts w:cs="Times New Roman"/>
          <w:i/>
          <w:iCs/>
          <w:lang w:val="fr-CA"/>
        </w:rPr>
        <w:t>Global Securities Corp</w:t>
      </w:r>
      <w:r w:rsidRPr="00C328A2">
        <w:rPr>
          <w:rFonts w:cs="Times New Roman"/>
          <w:i/>
          <w:lang w:val="fr-CA"/>
        </w:rPr>
        <w:t>.</w:t>
      </w:r>
      <w:r w:rsidRPr="00C328A2">
        <w:rPr>
          <w:rFonts w:cs="Times New Roman"/>
          <w:lang w:val="fr-CA"/>
        </w:rPr>
        <w:t>, par. 24).</w:t>
      </w:r>
    </w:p>
    <w:p w14:paraId="0F739635"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Ensuite, je prends acte de l’affirmation récente de notre Cour selon laquelle, dans le contexte d</w:t>
      </w:r>
      <w:r w:rsidRPr="00C328A2">
        <w:rPr>
          <w:rFonts w:cs="Times New Roman"/>
          <w:lang w:val="fr-CA" w:bidi="en-US"/>
        </w:rPr>
        <w:t>e dispositions sur les dommages</w:t>
      </w:r>
      <w:r w:rsidRPr="00C328A2">
        <w:rPr>
          <w:rFonts w:cs="Times New Roman"/>
          <w:lang w:val="fr-CA" w:bidi="en-US"/>
        </w:rPr>
        <w:noBreakHyphen/>
        <w:t>intérêts globaux,</w:t>
      </w:r>
      <w:r w:rsidRPr="00C328A2">
        <w:rPr>
          <w:rFonts w:cs="Times New Roman"/>
          <w:lang w:val="fr-CA"/>
        </w:rPr>
        <w:t xml:space="preserve"> « </w:t>
      </w:r>
      <w:r w:rsidRPr="00C328A2">
        <w:rPr>
          <w:rFonts w:cs="Times New Roman"/>
          <w:lang w:val="fr-CA" w:bidi="en-US"/>
        </w:rPr>
        <w:t>les avantages offerts par les lois en matière de recours collectifs sont purement procéduraux et ne confèrent pas de droits substantiels »</w:t>
      </w:r>
      <w:r w:rsidRPr="00C328A2">
        <w:rPr>
          <w:rFonts w:cs="Times New Roman"/>
          <w:lang w:val="fr-CA"/>
        </w:rPr>
        <w:t xml:space="preserve"> (</w:t>
      </w:r>
      <w:r w:rsidRPr="00C328A2">
        <w:rPr>
          <w:rFonts w:cs="Times New Roman"/>
          <w:i/>
          <w:iCs/>
          <w:lang w:val="fr-CA"/>
        </w:rPr>
        <w:t>Pioneer Corp. c. Godfrey</w:t>
      </w:r>
      <w:r w:rsidRPr="00C328A2">
        <w:rPr>
          <w:rFonts w:cs="Times New Roman"/>
          <w:lang w:val="fr-CA"/>
        </w:rPr>
        <w:t xml:space="preserve">, 2019 CSC 42, [2019] 3 R.C.S. 295, par. 116; voir aussi </w:t>
      </w:r>
      <w:r w:rsidRPr="00C328A2">
        <w:rPr>
          <w:rFonts w:cs="Times New Roman"/>
          <w:i/>
          <w:iCs/>
          <w:lang w:val="fr-CA"/>
        </w:rPr>
        <w:t>Western Canadian Shopping Centres Inc. c. Dutton</w:t>
      </w:r>
      <w:r w:rsidRPr="00C328A2">
        <w:rPr>
          <w:rFonts w:cs="Times New Roman"/>
          <w:lang w:val="fr-CA"/>
        </w:rPr>
        <w:t xml:space="preserve">, 2001 CSC 46, [2001] 2 R.C.S. 534, par. 46). Même si cela est vrai, j’estime que la disposition contestée met en jeu des </w:t>
      </w:r>
      <w:r w:rsidRPr="00C328A2">
        <w:rPr>
          <w:rFonts w:cs="Times New Roman"/>
          <w:i/>
          <w:iCs/>
          <w:lang w:val="fr-CA"/>
        </w:rPr>
        <w:t>droits</w:t>
      </w:r>
      <w:r w:rsidRPr="00C328A2">
        <w:rPr>
          <w:rFonts w:cs="Times New Roman"/>
          <w:lang w:val="fr-CA"/>
        </w:rPr>
        <w:t xml:space="preserve"> substantiels </w:t>
      </w:r>
      <w:bookmarkStart w:id="47" w:name="_Hlk183437485"/>
      <w:r w:rsidRPr="00C328A2">
        <w:rPr>
          <w:rFonts w:cs="Times New Roman"/>
          <w:lang w:val="fr-CA"/>
        </w:rPr>
        <w:t>et qu’elle a</w:t>
      </w:r>
      <w:r w:rsidRPr="00C328A2">
        <w:rPr>
          <w:rFonts w:cs="Times New Roman"/>
          <w:i/>
          <w:iCs/>
          <w:lang w:val="fr-CA"/>
        </w:rPr>
        <w:t xml:space="preserve"> </w:t>
      </w:r>
      <w:r w:rsidRPr="00C328A2">
        <w:rPr>
          <w:rFonts w:cs="Times New Roman"/>
          <w:iCs/>
          <w:lang w:val="fr-CA"/>
        </w:rPr>
        <w:t xml:space="preserve">ultimement des effets sur ces </w:t>
      </w:r>
      <w:r w:rsidRPr="00C328A2">
        <w:rPr>
          <w:rFonts w:cs="Times New Roman"/>
          <w:lang w:val="fr-CA"/>
        </w:rPr>
        <w:t xml:space="preserve">droits qui l’emportent largement sur les </w:t>
      </w:r>
      <w:r w:rsidRPr="00C328A2">
        <w:rPr>
          <w:rFonts w:cs="Times New Roman"/>
          <w:i/>
          <w:iCs/>
          <w:lang w:val="fr-CA"/>
        </w:rPr>
        <w:t>avantages</w:t>
      </w:r>
      <w:r w:rsidRPr="00C328A2">
        <w:rPr>
          <w:rFonts w:cs="Times New Roman"/>
          <w:lang w:val="fr-CA"/>
        </w:rPr>
        <w:t xml:space="preserve"> procéduraux que confèrent les lois sur les recours collectifs</w:t>
      </w:r>
      <w:bookmarkEnd w:id="47"/>
      <w:r w:rsidRPr="00C328A2">
        <w:rPr>
          <w:rFonts w:cs="Times New Roman"/>
          <w:lang w:val="fr-CA"/>
        </w:rPr>
        <w:t xml:space="preserve">. En fait, cette disposition a </w:t>
      </w:r>
      <w:r w:rsidRPr="00C328A2">
        <w:rPr>
          <w:rFonts w:cs="Times New Roman"/>
          <w:lang w:val="fr-CA"/>
        </w:rPr>
        <w:lastRenderedPageBreak/>
        <w:t>d’importantes répercussions sur l’autonomie des autres gouvernements dans la conduite du litige.</w:t>
      </w:r>
    </w:p>
    <w:p w14:paraId="60563755"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Mon analyse se décline en deux parties. Dans un premier temps, j’explique en quoi l’application par défaut de l’art. 11 de l’</w:t>
      </w:r>
      <w:r w:rsidRPr="00C328A2">
        <w:rPr>
          <w:rFonts w:cs="Times New Roman"/>
          <w:i/>
          <w:lang w:val="fr-CA"/>
        </w:rPr>
        <w:t>ORA</w:t>
      </w:r>
      <w:r w:rsidRPr="00C328A2">
        <w:rPr>
          <w:rFonts w:cs="Times New Roman"/>
          <w:lang w:val="fr-CA"/>
        </w:rPr>
        <w:t xml:space="preserve"> fait en sorte que, de par leur caractère véritable, l’objet et les effets de la disposition ont un caractère substantiel. Je conclus que </w:t>
      </w:r>
      <w:bookmarkStart w:id="48" w:name="_Hlk183437719"/>
      <w:r w:rsidRPr="00C328A2">
        <w:rPr>
          <w:rFonts w:cs="Times New Roman"/>
          <w:lang w:val="fr-CA"/>
        </w:rPr>
        <w:t xml:space="preserve">le caractère véritable de cette disposition consiste à légiférer en matière de propriété et de droits civils à l’extérieur de la province </w:t>
      </w:r>
      <w:bookmarkEnd w:id="48"/>
      <w:r w:rsidRPr="00C328A2">
        <w:rPr>
          <w:rFonts w:cs="Times New Roman"/>
          <w:lang w:val="fr-CA"/>
        </w:rPr>
        <w:t xml:space="preserve">et qu’elle relève par conséquent du par. 92(13) de la </w:t>
      </w:r>
      <w:r w:rsidRPr="00C328A2">
        <w:rPr>
          <w:rFonts w:cs="Times New Roman"/>
          <w:i/>
          <w:lang w:val="fr-CA"/>
        </w:rPr>
        <w:t>Loi constitutionnelle de 1867</w:t>
      </w:r>
      <w:r w:rsidRPr="00C328A2">
        <w:rPr>
          <w:rFonts w:cs="Times New Roman"/>
          <w:lang w:val="fr-CA"/>
        </w:rPr>
        <w:t xml:space="preserve">. Dans la seconde partie, je conclus toutefois que, peu importe que l’art. 11 relève ou non du par. 92(13) ou, si mon analyse s’avérait inexacte, qu’elle relève ou non plutôt du par. 92(14), la disposition demeure </w:t>
      </w:r>
      <w:r w:rsidRPr="00C328A2">
        <w:rPr>
          <w:rFonts w:cs="Times New Roman"/>
          <w:i/>
          <w:lang w:val="fr-CA"/>
        </w:rPr>
        <w:t>ultra vires</w:t>
      </w:r>
      <w:r w:rsidRPr="00C328A2">
        <w:rPr>
          <w:rFonts w:cs="Times New Roman"/>
          <w:lang w:val="fr-CA"/>
        </w:rPr>
        <w:t xml:space="preserve"> de la législature </w:t>
      </w:r>
      <w:r w:rsidRPr="00C328A2">
        <w:rPr>
          <w:rFonts w:cs="Times New Roman"/>
          <w:iCs/>
          <w:lang w:val="fr-CA"/>
        </w:rPr>
        <w:t>de la</w:t>
      </w:r>
      <w:r w:rsidRPr="00C328A2">
        <w:rPr>
          <w:rFonts w:cs="Times New Roman"/>
          <w:lang w:val="fr-CA"/>
        </w:rPr>
        <w:t xml:space="preserve"> Colombie</w:t>
      </w:r>
      <w:r w:rsidRPr="00C328A2">
        <w:rPr>
          <w:rFonts w:cs="Times New Roman"/>
          <w:lang w:val="fr-CA"/>
        </w:rPr>
        <w:noBreakHyphen/>
        <w:t>Britannique, car elle ne respecte pas les limites territoriales qui lui sont imposées par la Constitution. En effet, il n’y a pas de lien significatif entre le territoire ayant légiféré, l’objet de la loi et les personnes qui y sont assujetties. Plus précisément, il n’y a aucun lien significatif entre la Colombie</w:t>
      </w:r>
      <w:r w:rsidRPr="00C328A2">
        <w:rPr>
          <w:rFonts w:cs="Times New Roman"/>
          <w:lang w:val="fr-CA"/>
        </w:rPr>
        <w:noBreakHyphen/>
        <w:t>Britannique et les autres gouvernements nommément désignés dans le recours collectif, les réclamations de ces gouvernements et l’objet de l’art. 11. Hormis la réclamation de la Colombie</w:t>
      </w:r>
      <w:r w:rsidRPr="00C328A2">
        <w:rPr>
          <w:rFonts w:cs="Times New Roman"/>
          <w:lang w:val="fr-CA"/>
        </w:rPr>
        <w:noBreakHyphen/>
        <w:t>Britannique elle</w:t>
      </w:r>
      <w:r w:rsidRPr="00C328A2">
        <w:rPr>
          <w:rFonts w:cs="Times New Roman"/>
          <w:lang w:val="fr-CA"/>
        </w:rPr>
        <w:noBreakHyphen/>
        <w:t>même, toutes les autres réclamations relèvent d’une émanation de la Couronne située à l’extérieur de la Colombie</w:t>
      </w:r>
      <w:r w:rsidRPr="00C328A2">
        <w:rPr>
          <w:rFonts w:cs="Times New Roman"/>
          <w:lang w:val="fr-CA"/>
        </w:rPr>
        <w:noBreakHyphen/>
        <w:t>Britannique.</w:t>
      </w:r>
    </w:p>
    <w:p w14:paraId="6695AE0A" w14:textId="77777777" w:rsidR="00C328A2" w:rsidRPr="00C328A2" w:rsidRDefault="00C328A2" w:rsidP="00C328A2">
      <w:pPr>
        <w:pStyle w:val="Title2LevelTitre2Niveau"/>
        <w:widowControl w:val="0"/>
        <w:numPr>
          <w:ilvl w:val="1"/>
          <w:numId w:val="8"/>
        </w:numPr>
        <w:spacing w:before="0"/>
        <w:rPr>
          <w:rFonts w:cs="Times New Roman"/>
          <w:lang w:val="fr-CA"/>
        </w:rPr>
      </w:pPr>
      <w:bookmarkStart w:id="49" w:name="_Toc173313456"/>
      <w:r w:rsidRPr="00C328A2">
        <w:rPr>
          <w:rFonts w:cs="Times New Roman"/>
          <w:lang w:val="fr-CA"/>
        </w:rPr>
        <w:t>Caractère véritable</w:t>
      </w:r>
      <w:bookmarkEnd w:id="49"/>
    </w:p>
    <w:p w14:paraId="1742A0A2"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 xml:space="preserve">J’aborde maintenant le caractère véritable de la disposition contestée. Je </w:t>
      </w:r>
      <w:r w:rsidRPr="00C328A2">
        <w:rPr>
          <w:rFonts w:cs="Times New Roman"/>
          <w:lang w:val="fr-CA"/>
        </w:rPr>
        <w:lastRenderedPageBreak/>
        <w:t>reproduis ci</w:t>
      </w:r>
      <w:r w:rsidRPr="00C328A2">
        <w:rPr>
          <w:rFonts w:cs="Times New Roman"/>
          <w:lang w:val="fr-CA"/>
        </w:rPr>
        <w:noBreakHyphen/>
        <w:t>dessous par souci de commodité l’intégralité de l’art. 11 de l’</w:t>
      </w:r>
      <w:r w:rsidRPr="00C328A2">
        <w:rPr>
          <w:rFonts w:cs="Times New Roman"/>
          <w:i/>
          <w:lang w:val="fr-CA"/>
        </w:rPr>
        <w:t>ORA</w:t>
      </w:r>
      <w:r w:rsidRPr="00C328A2">
        <w:rPr>
          <w:rFonts w:cs="Times New Roman"/>
          <w:lang w:val="fr-CA"/>
        </w:rPr>
        <w:t> :</w:t>
      </w:r>
    </w:p>
    <w:p w14:paraId="72192903" w14:textId="77777777" w:rsidR="00C328A2" w:rsidRPr="00C328A2" w:rsidRDefault="00C328A2" w:rsidP="00C328A2">
      <w:pPr>
        <w:pStyle w:val="Paragraphedeliste"/>
        <w:spacing w:after="240"/>
        <w:ind w:left="1166" w:hanging="360"/>
        <w:contextualSpacing w:val="0"/>
        <w:jc w:val="both"/>
      </w:pPr>
      <w:r w:rsidRPr="00C328A2">
        <w:tab/>
        <w:t>[</w:t>
      </w:r>
      <w:r w:rsidRPr="00C328A2">
        <w:rPr>
          <w:smallCaps/>
        </w:rPr>
        <w:t>traduction</w:t>
      </w:r>
      <w:r w:rsidRPr="00C328A2">
        <w:t>]</w:t>
      </w:r>
    </w:p>
    <w:p w14:paraId="4A4740D7" w14:textId="77777777" w:rsidR="00C328A2" w:rsidRPr="00C328A2" w:rsidRDefault="00C328A2" w:rsidP="00C328A2">
      <w:pPr>
        <w:pStyle w:val="Paragraphedeliste"/>
        <w:tabs>
          <w:tab w:val="left" w:pos="1890"/>
        </w:tabs>
        <w:spacing w:after="240"/>
        <w:ind w:left="1890" w:hanging="720"/>
        <w:contextualSpacing w:val="0"/>
        <w:jc w:val="both"/>
      </w:pPr>
      <w:r w:rsidRPr="00C328A2">
        <w:rPr>
          <w:b/>
        </w:rPr>
        <w:t>11</w:t>
      </w:r>
      <w:r w:rsidRPr="00C328A2">
        <w:t> (1)</w:t>
      </w:r>
      <w:r w:rsidRPr="00C328A2">
        <w:tab/>
        <w:t>Si le gouvernement a introduit une instance à l’égard d’une faute liée aux opioïdes et que l’instance est en cours à la date d’entrée en vigueur du présent article :</w:t>
      </w:r>
    </w:p>
    <w:p w14:paraId="2A8F4F8C" w14:textId="77777777" w:rsidR="00C328A2" w:rsidRPr="00C328A2" w:rsidRDefault="00C328A2" w:rsidP="00C328A2">
      <w:pPr>
        <w:pStyle w:val="Paragraphedeliste"/>
        <w:numPr>
          <w:ilvl w:val="4"/>
          <w:numId w:val="1"/>
        </w:numPr>
        <w:tabs>
          <w:tab w:val="left" w:pos="2250"/>
        </w:tabs>
        <w:spacing w:after="240"/>
        <w:ind w:left="2246"/>
        <w:contextualSpacing w:val="0"/>
        <w:jc w:val="both"/>
      </w:pPr>
      <w:r w:rsidRPr="00C328A2">
        <w:t>l’instance se poursuit conformément à la présente loi;</w:t>
      </w:r>
    </w:p>
    <w:p w14:paraId="56EB86B9" w14:textId="77777777" w:rsidR="00C328A2" w:rsidRPr="00C328A2" w:rsidRDefault="00C328A2" w:rsidP="00C328A2">
      <w:pPr>
        <w:pStyle w:val="Paragraphedeliste"/>
        <w:numPr>
          <w:ilvl w:val="4"/>
          <w:numId w:val="1"/>
        </w:numPr>
        <w:spacing w:after="240"/>
        <w:ind w:left="2250"/>
        <w:contextualSpacing w:val="0"/>
        <w:jc w:val="both"/>
      </w:pPr>
      <w:r w:rsidRPr="00C328A2">
        <w:t xml:space="preserve">pour l’application de l’article 4 de la </w:t>
      </w:r>
      <w:r w:rsidRPr="00C328A2">
        <w:rPr>
          <w:i/>
        </w:rPr>
        <w:t>Class Proceedings Act</w:t>
      </w:r>
      <w:r w:rsidRPr="00C328A2">
        <w:t>, le gouvernement peut intenter une action au nom d’un groupe formé :</w:t>
      </w:r>
    </w:p>
    <w:p w14:paraId="249C5162" w14:textId="77777777" w:rsidR="00C328A2" w:rsidRPr="00C328A2" w:rsidRDefault="00C328A2" w:rsidP="00C328A2">
      <w:pPr>
        <w:pStyle w:val="Paragraphedeliste"/>
        <w:numPr>
          <w:ilvl w:val="5"/>
          <w:numId w:val="1"/>
        </w:numPr>
        <w:spacing w:after="240"/>
        <w:ind w:left="2602" w:hanging="357"/>
        <w:contextualSpacing w:val="0"/>
        <w:jc w:val="both"/>
      </w:pPr>
      <w:r w:rsidRPr="00C328A2">
        <w:t>d’une part, soit du gouvernement du Canada, soit de celui d’un ressort canadien, soit de plusieurs gouvernements,</w:t>
      </w:r>
    </w:p>
    <w:p w14:paraId="1BEADED7" w14:textId="77777777" w:rsidR="00C328A2" w:rsidRPr="00C328A2" w:rsidRDefault="00C328A2" w:rsidP="00C328A2">
      <w:pPr>
        <w:pStyle w:val="Paragraphedeliste"/>
        <w:numPr>
          <w:ilvl w:val="5"/>
          <w:numId w:val="1"/>
        </w:numPr>
        <w:spacing w:after="240"/>
        <w:ind w:left="2602" w:hanging="357"/>
        <w:contextualSpacing w:val="0"/>
        <w:jc w:val="both"/>
      </w:pPr>
      <w:r w:rsidRPr="00C328A2">
        <w:t>d’autre part, d’un organisme gouvernemental de paiement fédéral ou provincial qui rembourse le coût de services de la nature de services de soins de santé au sens de la présente loi;</w:t>
      </w:r>
    </w:p>
    <w:p w14:paraId="1C73A776" w14:textId="77777777" w:rsidR="00C328A2" w:rsidRPr="00C328A2" w:rsidRDefault="00C328A2" w:rsidP="00C328A2">
      <w:pPr>
        <w:pStyle w:val="Paragraphedeliste"/>
        <w:numPr>
          <w:ilvl w:val="4"/>
          <w:numId w:val="1"/>
        </w:numPr>
        <w:spacing w:after="240"/>
        <w:ind w:left="2250"/>
        <w:contextualSpacing w:val="0"/>
        <w:jc w:val="both"/>
      </w:pPr>
      <w:r w:rsidRPr="00C328A2">
        <w:t>les procédures terminées et les ordonnances rendues avant l’entrée en vigueur du présent article continuent de produire leurs effets sauf dans l’un ou l’autre des cas suivants :</w:t>
      </w:r>
    </w:p>
    <w:p w14:paraId="1BEC2D0A" w14:textId="77777777" w:rsidR="00C328A2" w:rsidRPr="00C328A2" w:rsidRDefault="00C328A2" w:rsidP="00C328A2">
      <w:pPr>
        <w:pStyle w:val="Paragraphedeliste"/>
        <w:numPr>
          <w:ilvl w:val="5"/>
          <w:numId w:val="19"/>
        </w:numPr>
        <w:spacing w:after="240"/>
        <w:ind w:left="2602" w:hanging="357"/>
        <w:contextualSpacing w:val="0"/>
        <w:jc w:val="both"/>
      </w:pPr>
      <w:r w:rsidRPr="00C328A2">
        <w:t>elles seraient incompatibles avec la présente loi,</w:t>
      </w:r>
    </w:p>
    <w:p w14:paraId="4E88A3EF" w14:textId="77777777" w:rsidR="00C328A2" w:rsidRPr="00C328A2" w:rsidRDefault="00C328A2" w:rsidP="00C328A2">
      <w:pPr>
        <w:pStyle w:val="Paragraphedeliste"/>
        <w:numPr>
          <w:ilvl w:val="5"/>
          <w:numId w:val="1"/>
        </w:numPr>
        <w:spacing w:after="240"/>
        <w:ind w:left="2602" w:hanging="357"/>
        <w:contextualSpacing w:val="0"/>
        <w:jc w:val="both"/>
      </w:pPr>
      <w:r w:rsidRPr="00C328A2">
        <w:t>une ordonnance à l’effet contraire est rendue par le tribunal;</w:t>
      </w:r>
    </w:p>
    <w:p w14:paraId="6B05F6B7" w14:textId="77777777" w:rsidR="00C328A2" w:rsidRPr="00C328A2" w:rsidRDefault="00C328A2" w:rsidP="00C328A2">
      <w:pPr>
        <w:pStyle w:val="Paragraphedeliste"/>
        <w:numPr>
          <w:ilvl w:val="4"/>
          <w:numId w:val="1"/>
        </w:numPr>
        <w:spacing w:after="240"/>
        <w:ind w:left="2250"/>
        <w:contextualSpacing w:val="0"/>
        <w:jc w:val="both"/>
      </w:pPr>
      <w:r w:rsidRPr="00C328A2">
        <w:t>une procédure amorcée mais non terminée avant l’entrée en vigueur du présent article doit être menée à terme conformément à la présente loi.</w:t>
      </w:r>
    </w:p>
    <w:p w14:paraId="5ED6C416" w14:textId="77777777" w:rsidR="00C328A2" w:rsidRPr="00C328A2" w:rsidRDefault="00C328A2" w:rsidP="00C328A2">
      <w:pPr>
        <w:pStyle w:val="Citation-AltC"/>
        <w:numPr>
          <w:ilvl w:val="3"/>
          <w:numId w:val="1"/>
        </w:numPr>
        <w:ind w:left="1972" w:hanging="446"/>
        <w:contextualSpacing w:val="0"/>
        <w:rPr>
          <w:lang w:val="fr-CA"/>
        </w:rPr>
      </w:pPr>
      <w:r w:rsidRPr="00C328A2">
        <w:rPr>
          <w:lang w:val="fr-CA"/>
        </w:rPr>
        <w:t xml:space="preserve">L’alinéa (1) (b) du présent article n’a pas pour effet d’empêcher un membre du groupe décrit dans cette disposition de s’exclure de l’instance conformément à l’article 16 de la </w:t>
      </w:r>
      <w:r w:rsidRPr="00C328A2">
        <w:rPr>
          <w:i/>
          <w:lang w:val="fr-CA"/>
        </w:rPr>
        <w:t>Class Proceedings Act</w:t>
      </w:r>
      <w:r w:rsidRPr="00C328A2">
        <w:rPr>
          <w:lang w:val="fr-CA"/>
        </w:rPr>
        <w:t>.</w:t>
      </w:r>
    </w:p>
    <w:p w14:paraId="702D78B3"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La conclusion de ma collègue au sujet du caractère véritable de l’art. 11 de l’</w:t>
      </w:r>
      <w:r w:rsidRPr="00C328A2">
        <w:rPr>
          <w:rFonts w:cs="Times New Roman"/>
          <w:i/>
          <w:lang w:val="fr-CA"/>
        </w:rPr>
        <w:t>ORA</w:t>
      </w:r>
      <w:r w:rsidRPr="00C328A2">
        <w:rPr>
          <w:rFonts w:cs="Times New Roman"/>
          <w:lang w:val="fr-CA"/>
        </w:rPr>
        <w:t xml:space="preserve"> correspond à celles des juridictions inférieures :</w:t>
      </w:r>
    </w:p>
    <w:p w14:paraId="1B7C5CC5" w14:textId="77777777" w:rsidR="00C328A2" w:rsidRPr="00C328A2" w:rsidRDefault="00C328A2" w:rsidP="00C328A2">
      <w:pPr>
        <w:pStyle w:val="Citation-AltC"/>
        <w:spacing w:after="240"/>
        <w:ind w:hanging="1166"/>
        <w:contextualSpacing w:val="0"/>
        <w:rPr>
          <w:lang w:val="fr-CA"/>
        </w:rPr>
      </w:pPr>
      <w:r w:rsidRPr="00C328A2">
        <w:rPr>
          <w:lang w:val="fr-CA"/>
        </w:rPr>
        <w:lastRenderedPageBreak/>
        <w:tab/>
      </w:r>
      <w:r w:rsidRPr="00C328A2">
        <w:rPr>
          <w:lang w:val="fr-CA"/>
        </w:rPr>
        <w:tab/>
        <w:t>. . . de par son caractère véritable, l’art. 11 vise à créer un mécanisme procédural qui permet d’appliquer l’</w:t>
      </w:r>
      <w:r w:rsidRPr="00C328A2">
        <w:rPr>
          <w:i/>
          <w:lang w:val="fr-CA"/>
        </w:rPr>
        <w:t>ORA</w:t>
      </w:r>
      <w:r w:rsidRPr="00C328A2">
        <w:rPr>
          <w:lang w:val="fr-CA"/>
        </w:rPr>
        <w:t xml:space="preserve"> à une instance liée aux opioïdes déjà en cours que la province de la Colombie</w:t>
      </w:r>
      <w:r w:rsidRPr="00C328A2">
        <w:rPr>
          <w:lang w:val="fr-CA"/>
        </w:rPr>
        <w:noBreakHyphen/>
        <w:t>Britannique est autorisée à poursuivre en tant que représentante des demandeurs, au nom des autres gouvernements canadiens qui ont choisi d’y participer. [par. 76]</w:t>
      </w:r>
    </w:p>
    <w:p w14:paraId="0CFFC138" w14:textId="77777777" w:rsidR="00C328A2" w:rsidRPr="00C328A2" w:rsidRDefault="00C328A2" w:rsidP="00C328A2">
      <w:pPr>
        <w:pStyle w:val="Citation-AltC"/>
        <w:ind w:hanging="1166"/>
        <w:contextualSpacing w:val="0"/>
        <w:rPr>
          <w:lang w:val="fr-CA"/>
        </w:rPr>
      </w:pPr>
      <w:r w:rsidRPr="00C328A2">
        <w:rPr>
          <w:lang w:val="fr-CA"/>
        </w:rPr>
        <w:tab/>
        <w:t>(Voir aussi 2022 BCSC 2147, 77 B.C.L.R. (6th) 313, par. 73; 2023 BCCA 306, 79 B.C.L.R. (6th) 1, par. 54 et 85.)</w:t>
      </w:r>
    </w:p>
    <w:p w14:paraId="4AA4380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D’entrée de jeu, je conviens avec les appelantes que </w:t>
      </w:r>
      <w:bookmarkStart w:id="50" w:name="_Hlk183437849"/>
      <w:r w:rsidRPr="00C328A2">
        <w:rPr>
          <w:rFonts w:cs="Times New Roman"/>
          <w:lang w:val="fr-CA"/>
        </w:rPr>
        <w:t>l’art. 11 a pour objet de permettre à la province de la Colombie</w:t>
      </w:r>
      <w:r w:rsidRPr="00C328A2">
        <w:rPr>
          <w:rFonts w:cs="Times New Roman"/>
          <w:lang w:val="fr-CA"/>
        </w:rPr>
        <w:noBreakHyphen/>
        <w:t>Britannique de demander à être autorisée à exercer un recours collectif au nom d’un groupe de gouvernements qui revendiquent le droit de recouvrer les coûts des soins de santé liés aux opioïdes. À cette fin, la province peut demander au tribunal d’autoriser ce recours en l’assortissant d’un mécanisme d’exclusion, de sorte que, par défaut, les gouvernements provinciaux et le gouvernement fédéral sont inclus dans le recours collectif</w:t>
      </w:r>
      <w:bookmarkEnd w:id="50"/>
      <w:r w:rsidRPr="00C328A2">
        <w:rPr>
          <w:rFonts w:cs="Times New Roman"/>
          <w:lang w:val="fr-CA"/>
        </w:rPr>
        <w:t>, si c’est ce que choisit la Colombie</w:t>
      </w:r>
      <w:r w:rsidRPr="00C328A2">
        <w:rPr>
          <w:rFonts w:cs="Times New Roman"/>
          <w:lang w:val="fr-CA"/>
        </w:rPr>
        <w:noBreakHyphen/>
        <w:t>Britannique. Bien que l’intimé n’ait pas tort d’affirmer que l’art. 11 ouvre la porte aux répercussions procédurales de l’entrée en vigueur de l’</w:t>
      </w:r>
      <w:r w:rsidRPr="00C328A2">
        <w:rPr>
          <w:rFonts w:cs="Times New Roman"/>
          <w:i/>
          <w:lang w:val="fr-CA"/>
        </w:rPr>
        <w:t>ORA</w:t>
      </w:r>
      <w:r w:rsidRPr="00C328A2">
        <w:rPr>
          <w:rFonts w:cs="Times New Roman"/>
          <w:lang w:val="fr-CA"/>
        </w:rPr>
        <w:t xml:space="preserve"> sur l’action relative aux opioïdes, j’estime, en réalité, que cette disposition a une incidence sur les droits substantiels des autres gouvernements.</w:t>
      </w:r>
    </w:p>
    <w:p w14:paraId="1906C867" w14:textId="77777777" w:rsidR="00C328A2" w:rsidRPr="00C328A2" w:rsidRDefault="00C328A2" w:rsidP="00C328A2">
      <w:pPr>
        <w:pStyle w:val="Title3LevelTitre3Niveau"/>
        <w:numPr>
          <w:ilvl w:val="2"/>
          <w:numId w:val="8"/>
        </w:numPr>
        <w:spacing w:before="0"/>
        <w:rPr>
          <w:rFonts w:cs="Times New Roman"/>
          <w:lang w:val="fr-CA"/>
        </w:rPr>
      </w:pPr>
      <w:bookmarkStart w:id="51" w:name="_Toc173313457"/>
      <w:r w:rsidRPr="00C328A2">
        <w:rPr>
          <w:rFonts w:cs="Times New Roman"/>
          <w:lang w:val="fr-CA"/>
        </w:rPr>
        <w:t>Objectif : D</w:t>
      </w:r>
      <w:r w:rsidRPr="00C328A2">
        <w:rPr>
          <w:rFonts w:cs="Times New Roman"/>
          <w:noProof/>
          <w:szCs w:val="24"/>
          <w:lang w:val="fr-CA"/>
        </w:rPr>
        <w:t>emander l’autorisation d’un recours pour un groupe de gouvernements qui souhaitent recouvrir le coût des soins de santé liés aux opioïdes</w:t>
      </w:r>
      <w:bookmarkEnd w:id="51"/>
    </w:p>
    <w:p w14:paraId="3442D90E"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En premier lieu, je définis l’objet de l’art. 11 de l’</w:t>
      </w:r>
      <w:r w:rsidRPr="00C328A2">
        <w:rPr>
          <w:rFonts w:cs="Times New Roman"/>
          <w:i/>
          <w:lang w:val="fr-CA"/>
        </w:rPr>
        <w:t>ORA</w:t>
      </w:r>
      <w:r w:rsidRPr="00C328A2">
        <w:rPr>
          <w:rFonts w:cs="Times New Roman"/>
          <w:lang w:val="fr-CA"/>
        </w:rPr>
        <w:t>. Ma collègue affirme que la Couronne du chef de la Colombie</w:t>
      </w:r>
      <w:r w:rsidRPr="00C328A2">
        <w:rPr>
          <w:rFonts w:cs="Times New Roman"/>
          <w:lang w:val="fr-CA"/>
        </w:rPr>
        <w:noBreakHyphen/>
        <w:t xml:space="preserve">Britannique était déjà une « personne » ayant la capacité d’introduire une action au nom de groupes de personnes, </w:t>
      </w:r>
      <w:r w:rsidRPr="00C328A2">
        <w:rPr>
          <w:rFonts w:cs="Times New Roman"/>
          <w:lang w:val="fr-CA"/>
        </w:rPr>
        <w:lastRenderedPageBreak/>
        <w:t>y compris de personnes résidant à l’extérieur de la Colombie</w:t>
      </w:r>
      <w:r w:rsidRPr="00C328A2">
        <w:rPr>
          <w:rFonts w:cs="Times New Roman"/>
          <w:lang w:val="fr-CA"/>
        </w:rPr>
        <w:noBreakHyphen/>
        <w:t>Britannique. Elle suggère que l’art. 11 ne crée donc pas un nouveau pouvoir pour la province. Par conséquent, selon elle, la disposition n’a pas pour objet d’accorder de nouveaux droits à la Couronne du chef de la Colombie</w:t>
      </w:r>
      <w:r w:rsidRPr="00C328A2">
        <w:rPr>
          <w:rFonts w:cs="Times New Roman"/>
          <w:lang w:val="fr-CA"/>
        </w:rPr>
        <w:noBreakHyphen/>
        <w:t>Britannique et des autres provinces. Le juge de première instance a estimé qu’il s’agissait là d’une [</w:t>
      </w:r>
      <w:r w:rsidRPr="00C328A2">
        <w:rPr>
          <w:rFonts w:cs="Times New Roman"/>
          <w:smallCaps/>
          <w:lang w:val="fr-CA"/>
        </w:rPr>
        <w:t>traduction</w:t>
      </w:r>
      <w:r w:rsidRPr="00C328A2">
        <w:rPr>
          <w:rFonts w:cs="Times New Roman"/>
          <w:lang w:val="fr-CA"/>
        </w:rPr>
        <w:t>] « question accessoire » (par. 62), et la Cour d’appel a jugé que, comme la contestation portait sur la validité de la disposition et non sur l’instance elle</w:t>
      </w:r>
      <w:r w:rsidRPr="00C328A2">
        <w:rPr>
          <w:rFonts w:cs="Times New Roman"/>
          <w:lang w:val="fr-CA"/>
        </w:rPr>
        <w:noBreakHyphen/>
        <w:t>même, la question n’était pas pertinente (par. 82</w:t>
      </w:r>
      <w:r w:rsidRPr="00C328A2">
        <w:rPr>
          <w:rFonts w:cs="Times New Roman"/>
          <w:lang w:val="fr-CA"/>
        </w:rPr>
        <w:noBreakHyphen/>
        <w:t>83).</w:t>
      </w:r>
    </w:p>
    <w:p w14:paraId="038DCC6D"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Il se peut fort bien que la province de la Colombie</w:t>
      </w:r>
      <w:r w:rsidRPr="00C328A2">
        <w:rPr>
          <w:rFonts w:cs="Times New Roman"/>
          <w:lang w:val="fr-CA"/>
        </w:rPr>
        <w:noBreakHyphen/>
        <w:t>Britannique soit une [</w:t>
      </w:r>
      <w:r w:rsidRPr="00C328A2">
        <w:rPr>
          <w:rFonts w:cs="Times New Roman"/>
          <w:smallCaps/>
          <w:lang w:val="fr-CA"/>
        </w:rPr>
        <w:t>traduction</w:t>
      </w:r>
      <w:r w:rsidRPr="00C328A2">
        <w:rPr>
          <w:rFonts w:cs="Times New Roman"/>
          <w:lang w:val="fr-CA"/>
        </w:rPr>
        <w:t xml:space="preserve">] « personne » pour l’application de la </w:t>
      </w:r>
      <w:r w:rsidRPr="00C328A2">
        <w:rPr>
          <w:rFonts w:cs="Times New Roman"/>
          <w:i/>
          <w:lang w:val="fr-CA"/>
        </w:rPr>
        <w:t>Class Proceedings Act</w:t>
      </w:r>
      <w:r w:rsidRPr="00C328A2">
        <w:rPr>
          <w:rFonts w:cs="Times New Roman"/>
          <w:lang w:val="fr-CA"/>
        </w:rPr>
        <w:t>, R.S.B.C. 1996, c. 50 (« </w:t>
      </w:r>
      <w:r w:rsidRPr="00C328A2">
        <w:rPr>
          <w:rFonts w:cs="Times New Roman"/>
          <w:i/>
          <w:lang w:val="fr-CA"/>
        </w:rPr>
        <w:t>CPA</w:t>
      </w:r>
      <w:r w:rsidRPr="00C328A2">
        <w:rPr>
          <w:rFonts w:cs="Times New Roman"/>
          <w:lang w:val="fr-CA"/>
        </w:rPr>
        <w:t xml:space="preserve"> »), et que, par conséquent, elle puisse intenter un recours collectif dans le cadre de ce régime. Malgré cela, je suis d’accord avec les juridictions inférieures pour dire qu’il n’est pas nécessaire de résoudre cette question dans le présent pourvoi. La question pertinente est celle de savoir si, du point de vue de l’interprétation législative, la Couronne du chef des </w:t>
      </w:r>
      <w:r w:rsidRPr="00C328A2">
        <w:rPr>
          <w:rFonts w:cs="Times New Roman"/>
          <w:i/>
          <w:lang w:val="fr-CA"/>
        </w:rPr>
        <w:t>autres</w:t>
      </w:r>
      <w:r w:rsidRPr="00C328A2">
        <w:rPr>
          <w:rFonts w:cs="Times New Roman"/>
          <w:lang w:val="fr-CA"/>
        </w:rPr>
        <w:t xml:space="preserve"> provinces et la Couronne fédérale répondent à la définition de « personne » pour les besoins d’un recours collectif multiterritorial visé par la </w:t>
      </w:r>
      <w:r w:rsidRPr="00C328A2">
        <w:rPr>
          <w:rFonts w:cs="Times New Roman"/>
          <w:i/>
          <w:lang w:val="fr-CA"/>
        </w:rPr>
        <w:t>CPA</w:t>
      </w:r>
      <w:r w:rsidRPr="00C328A2">
        <w:rPr>
          <w:rFonts w:cs="Times New Roman"/>
          <w:lang w:val="fr-CA"/>
        </w:rPr>
        <w:t xml:space="preserve"> (voir, p. ex., </w:t>
      </w:r>
      <w:r w:rsidRPr="00C328A2">
        <w:rPr>
          <w:rFonts w:cs="Times New Roman"/>
          <w:i/>
          <w:lang w:val="fr-CA"/>
        </w:rPr>
        <w:t>CPA</w:t>
      </w:r>
      <w:r w:rsidRPr="00C328A2">
        <w:rPr>
          <w:rFonts w:cs="Times New Roman"/>
          <w:lang w:val="fr-CA"/>
        </w:rPr>
        <w:t xml:space="preserve">, art. 1, par. 2(1) et art. 4.1 et 44). Si elles ne répondent pas à cette définition, alors l’art. 11 </w:t>
      </w:r>
      <w:bookmarkStart w:id="52" w:name="_Hlk183438446"/>
      <w:r w:rsidRPr="00C328A2">
        <w:rPr>
          <w:rFonts w:cs="Times New Roman"/>
          <w:lang w:val="fr-CA"/>
        </w:rPr>
        <w:t xml:space="preserve">crée un nouveau droit substantiel </w:t>
      </w:r>
      <w:bookmarkEnd w:id="52"/>
      <w:r w:rsidRPr="00C328A2">
        <w:rPr>
          <w:rFonts w:cs="Times New Roman"/>
          <w:lang w:val="fr-CA"/>
        </w:rPr>
        <w:t>d’intenter un recours collectif au nom d’autres gouvernements. Le fait que la Couronne du chef d’une province puisse se soumettre à la compétence de tribunaux d’autres provinces ou que les pouvoirs que lui reconnaît la common law ne soient pas soumis à des restrictions territoriales, n’est aucunement déterminant quant à cette démarche interprétative.</w:t>
      </w:r>
    </w:p>
    <w:p w14:paraId="71E81902"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Outre la question de savoir si ce qui précède serait acceptable sur le plan constitutionnel, on ne peut affirmer que la législature de la Colombie</w:t>
      </w:r>
      <w:r w:rsidRPr="00C328A2">
        <w:rPr>
          <w:rFonts w:cs="Times New Roman"/>
          <w:lang w:val="fr-CA"/>
        </w:rPr>
        <w:noBreakHyphen/>
        <w:t xml:space="preserve">Britannique avait l’intention que d’autres gouvernements provinciaux et le gouvernement fédéral soient membres d’un groupe pour l’application de la </w:t>
      </w:r>
      <w:r w:rsidRPr="00C328A2">
        <w:rPr>
          <w:rFonts w:cs="Times New Roman"/>
          <w:i/>
          <w:lang w:val="fr-CA"/>
        </w:rPr>
        <w:t>CPA</w:t>
      </w:r>
      <w:r w:rsidRPr="00C328A2">
        <w:rPr>
          <w:rFonts w:cs="Times New Roman"/>
          <w:lang w:val="fr-CA"/>
        </w:rPr>
        <w:t xml:space="preserve">. </w:t>
      </w:r>
      <w:r w:rsidRPr="00C328A2">
        <w:rPr>
          <w:rFonts w:cs="Times New Roman"/>
          <w:lang w:val="fr-CA" w:bidi="en-US"/>
        </w:rPr>
        <w:t>Selon un principe bien établi, [</w:t>
      </w:r>
      <w:r w:rsidRPr="00C328A2">
        <w:rPr>
          <w:rFonts w:cs="Times New Roman"/>
          <w:smallCaps/>
          <w:lang w:val="fr-CA" w:bidi="en-US"/>
        </w:rPr>
        <w:t>traduction</w:t>
      </w:r>
      <w:r w:rsidRPr="00C328A2">
        <w:rPr>
          <w:rFonts w:cs="Times New Roman"/>
          <w:lang w:val="fr-CA" w:bidi="en-US"/>
        </w:rPr>
        <w:t>] « la Couronne n’est liée par aucun texte législatif, si ce n’est par des termes exprès ou nettement implicites. Il s’ensuit que lorsque le législateur emploie des termes généraux, te[l] que “personne” [. . .], ceux</w:t>
      </w:r>
      <w:r w:rsidRPr="00C328A2">
        <w:rPr>
          <w:rFonts w:cs="Times New Roman"/>
          <w:lang w:val="fr-CA" w:bidi="en-US"/>
        </w:rPr>
        <w:noBreakHyphen/>
        <w:t xml:space="preserve">ci sont interprétés comme ne s’appliquant pas à la Couronne » </w:t>
      </w:r>
      <w:r w:rsidRPr="00C328A2">
        <w:rPr>
          <w:rFonts w:cs="Times New Roman"/>
          <w:lang w:val="fr-CA"/>
        </w:rPr>
        <w:t xml:space="preserve">(P. W. Hogg, P. J. Monahan et W. K. Wright, </w:t>
      </w:r>
      <w:r w:rsidRPr="00C328A2">
        <w:rPr>
          <w:rFonts w:cs="Times New Roman"/>
          <w:i/>
          <w:lang w:val="fr-CA"/>
        </w:rPr>
        <w:t>Liability of the Crown</w:t>
      </w:r>
      <w:r w:rsidRPr="00C328A2">
        <w:rPr>
          <w:rFonts w:cs="Times New Roman"/>
          <w:lang w:val="fr-CA"/>
        </w:rPr>
        <w:t xml:space="preserve"> (4</w:t>
      </w:r>
      <w:r w:rsidRPr="00C328A2">
        <w:rPr>
          <w:rFonts w:cs="Times New Roman"/>
          <w:vertAlign w:val="superscript"/>
          <w:lang w:val="fr-CA"/>
        </w:rPr>
        <w:t>e</w:t>
      </w:r>
      <w:r w:rsidRPr="00C328A2">
        <w:rPr>
          <w:rFonts w:cs="Times New Roman"/>
          <w:lang w:val="fr-CA"/>
        </w:rPr>
        <w:t xml:space="preserve"> éd. 2011), p. 398; voir aussi H. Brun, G. Tremblay et E. Brouillet, </w:t>
      </w:r>
      <w:r w:rsidRPr="00C328A2">
        <w:rPr>
          <w:rFonts w:cs="Times New Roman"/>
          <w:i/>
          <w:lang w:val="fr-CA"/>
        </w:rPr>
        <w:t>Droit constitutionnel</w:t>
      </w:r>
      <w:r w:rsidRPr="00C328A2">
        <w:rPr>
          <w:rFonts w:cs="Times New Roman"/>
          <w:lang w:val="fr-CA"/>
        </w:rPr>
        <w:t xml:space="preserve"> (6</w:t>
      </w:r>
      <w:r w:rsidRPr="00C328A2">
        <w:rPr>
          <w:rFonts w:cs="Times New Roman"/>
          <w:vertAlign w:val="superscript"/>
          <w:lang w:val="fr-CA"/>
        </w:rPr>
        <w:t>e</w:t>
      </w:r>
      <w:r w:rsidRPr="00C328A2">
        <w:rPr>
          <w:rFonts w:cs="Times New Roman"/>
          <w:lang w:val="fr-CA"/>
        </w:rPr>
        <w:t xml:space="preserve"> éd. 2014), par. IX</w:t>
      </w:r>
      <w:r w:rsidRPr="00C328A2">
        <w:rPr>
          <w:rFonts w:cs="Times New Roman"/>
          <w:lang w:val="fr-CA"/>
        </w:rPr>
        <w:noBreakHyphen/>
        <w:t xml:space="preserve">86; K. Horsman et G. Morley, </w:t>
      </w:r>
      <w:r w:rsidRPr="00C328A2">
        <w:rPr>
          <w:rFonts w:cs="Times New Roman"/>
          <w:i/>
          <w:lang w:val="fr-CA"/>
        </w:rPr>
        <w:t>Government Liability : Law and Practice</w:t>
      </w:r>
      <w:r w:rsidRPr="00C328A2">
        <w:rPr>
          <w:rFonts w:cs="Times New Roman"/>
          <w:lang w:val="fr-CA"/>
        </w:rPr>
        <w:t xml:space="preserve"> (édition à feuilles mobiles), § 1.15). Il s’agit du principe de l’immunité de la Couronne.</w:t>
      </w:r>
    </w:p>
    <w:p w14:paraId="70145065"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Même lorsqu’on dit que le libellé d’une loi provinciale inclut la Couronne, il ne vise pas pour autant d’autres émanations de la Couronne. Comme l’écrivait le juge Anglin dans l’arrêt </w:t>
      </w:r>
      <w:r w:rsidRPr="00C328A2">
        <w:rPr>
          <w:rFonts w:cs="Times New Roman"/>
          <w:i/>
          <w:lang w:val="fr-CA"/>
        </w:rPr>
        <w:t>Gauthier c. The King</w:t>
      </w:r>
      <w:r w:rsidRPr="00C328A2">
        <w:rPr>
          <w:rFonts w:cs="Times New Roman"/>
          <w:lang w:val="fr-CA"/>
        </w:rPr>
        <w:t xml:space="preserve"> (1918), 56 R.C.S. 176, p. 194, </w:t>
      </w:r>
      <w:r w:rsidRPr="00C328A2">
        <w:rPr>
          <w:rFonts w:cs="Times New Roman"/>
          <w:smallCaps/>
          <w:lang w:val="fr-CA"/>
        </w:rPr>
        <w:t>[traduction]</w:t>
      </w:r>
      <w:r w:rsidRPr="00C328A2">
        <w:rPr>
          <w:rFonts w:cs="Times New Roman"/>
          <w:lang w:val="fr-CA"/>
        </w:rPr>
        <w:t xml:space="preserve"> « lorsqu’il est fait mention de la Couronne dans une loi provinciale, on peut, sans risque d’erreur, interpréter cette mention comme désignant </w:t>
      </w:r>
      <w:r w:rsidRPr="00C328A2">
        <w:rPr>
          <w:rFonts w:cs="Times New Roman"/>
          <w:iCs/>
          <w:u w:val="single"/>
          <w:lang w:val="fr-CA"/>
        </w:rPr>
        <w:t>uniquement</w:t>
      </w:r>
      <w:r w:rsidRPr="00C328A2">
        <w:rPr>
          <w:rFonts w:cs="Times New Roman"/>
          <w:iCs/>
          <w:lang w:val="fr-CA"/>
        </w:rPr>
        <w:t xml:space="preserve"> </w:t>
      </w:r>
      <w:r w:rsidRPr="00C328A2">
        <w:rPr>
          <w:rFonts w:cs="Times New Roman"/>
          <w:lang w:val="fr-CA"/>
        </w:rPr>
        <w:t>la Couronne du chef de la province, à moins que les termes mêmes ou l’esprit de la loi en question n’indiquent clairement que le mot Couronne est utilisé dans un autre sens » (je souligne). Dans cette affaire, la Cour avait jugé qu’une disposition appliquant les termes d’une loi provinciale à Sa Majesté ne devait pas être interprétée comme assujettissant la Couronne fédérale aux restrictions énoncées dans cette loi.</w:t>
      </w:r>
    </w:p>
    <w:p w14:paraId="565D1778"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 xml:space="preserve">Ce raisonnement devrait s’appliquer à plus forte raison à la Couronne du chef d’autres provinces, compte tenu des limites territoriales imposées à la compétence législative provinciale par l’art. 92 de la </w:t>
      </w:r>
      <w:r w:rsidRPr="00C328A2">
        <w:rPr>
          <w:rFonts w:cs="Times New Roman"/>
          <w:i/>
          <w:lang w:val="fr-CA"/>
        </w:rPr>
        <w:t>Loi constitutionnelle de 1867</w:t>
      </w:r>
      <w:r w:rsidRPr="00C328A2">
        <w:rPr>
          <w:rFonts w:cs="Times New Roman"/>
          <w:lang w:val="fr-CA"/>
        </w:rPr>
        <w:t xml:space="preserve">. Une loi provinciale devrait être interprétée en conformité avec ces limites territoriales (voir </w:t>
      </w:r>
      <w:r w:rsidRPr="00C328A2">
        <w:rPr>
          <w:rFonts w:cs="Times New Roman"/>
          <w:i/>
          <w:lang w:val="fr-CA"/>
        </w:rPr>
        <w:t>Sharp c. Autorité des marchés financiers</w:t>
      </w:r>
      <w:r w:rsidRPr="00C328A2">
        <w:rPr>
          <w:rFonts w:cs="Times New Roman"/>
          <w:lang w:val="fr-CA"/>
        </w:rPr>
        <w:t>, 2023 CSC 29, par. 113</w:t>
      </w:r>
      <w:r w:rsidRPr="00C328A2">
        <w:rPr>
          <w:rFonts w:cs="Times New Roman"/>
          <w:lang w:val="fr-CA"/>
        </w:rPr>
        <w:noBreakHyphen/>
        <w:t>114; P.</w:t>
      </w:r>
      <w:r w:rsidRPr="00C328A2">
        <w:rPr>
          <w:rFonts w:cs="Times New Roman"/>
          <w:lang w:val="fr-CA"/>
        </w:rPr>
        <w:noBreakHyphen/>
        <w:t xml:space="preserve">A. Côté et M. Devinat, </w:t>
      </w:r>
      <w:r w:rsidRPr="00C328A2">
        <w:rPr>
          <w:rFonts w:cs="Times New Roman"/>
          <w:i/>
          <w:lang w:val="fr-CA"/>
        </w:rPr>
        <w:t xml:space="preserve">Interprétation des lois </w:t>
      </w:r>
      <w:r w:rsidRPr="00C328A2">
        <w:rPr>
          <w:rFonts w:cs="Times New Roman"/>
          <w:lang w:val="fr-CA"/>
        </w:rPr>
        <w:t>(5 éd. 2021), par. 779</w:t>
      </w:r>
      <w:r w:rsidRPr="00C328A2">
        <w:rPr>
          <w:rFonts w:cs="Times New Roman"/>
          <w:lang w:val="fr-CA"/>
        </w:rPr>
        <w:noBreakHyphen/>
        <w:t xml:space="preserve">782; </w:t>
      </w:r>
      <w:r w:rsidRPr="00C328A2">
        <w:rPr>
          <w:rFonts w:cs="Times New Roman"/>
          <w:noProof/>
          <w:lang w:val="fr-CA"/>
        </w:rPr>
        <w:t xml:space="preserve">R. Sullivan, </w:t>
      </w:r>
      <w:r w:rsidRPr="00C328A2">
        <w:rPr>
          <w:rFonts w:cs="Times New Roman"/>
          <w:i/>
          <w:noProof/>
          <w:lang w:val="fr-CA"/>
        </w:rPr>
        <w:t>The</w:t>
      </w:r>
      <w:r w:rsidRPr="00C328A2">
        <w:rPr>
          <w:rFonts w:cs="Times New Roman"/>
          <w:noProof/>
          <w:lang w:val="fr-CA"/>
        </w:rPr>
        <w:t xml:space="preserve"> </w:t>
      </w:r>
      <w:r w:rsidRPr="00C328A2">
        <w:rPr>
          <w:rFonts w:cs="Times New Roman"/>
          <w:i/>
          <w:noProof/>
          <w:lang w:val="fr-CA"/>
        </w:rPr>
        <w:t>Construction of Statutes</w:t>
      </w:r>
      <w:r w:rsidRPr="00C328A2">
        <w:rPr>
          <w:rFonts w:cs="Times New Roman"/>
          <w:noProof/>
          <w:lang w:val="fr-CA"/>
        </w:rPr>
        <w:t xml:space="preserve"> (7</w:t>
      </w:r>
      <w:r w:rsidRPr="00C328A2">
        <w:rPr>
          <w:rFonts w:cs="Times New Roman"/>
          <w:noProof/>
          <w:vertAlign w:val="superscript"/>
          <w:lang w:val="fr-CA"/>
        </w:rPr>
        <w:t>e</w:t>
      </w:r>
      <w:r w:rsidRPr="00C328A2">
        <w:rPr>
          <w:rFonts w:cs="Times New Roman"/>
          <w:noProof/>
          <w:lang w:val="fr-CA"/>
        </w:rPr>
        <w:t> éd. 2022</w:t>
      </w:r>
      <w:r w:rsidRPr="00C328A2">
        <w:rPr>
          <w:rFonts w:cs="Times New Roman"/>
          <w:lang w:val="fr-CA"/>
        </w:rPr>
        <w:t>), p. 807 et 815).</w:t>
      </w:r>
    </w:p>
    <w:p w14:paraId="4C5A3C45"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Il est vrai, comme l’affirme l’intimé, que la Couronne peut se prévaloir d’un régime législatif auquel elle ne serait pas autrement assujettie et renoncer à son immunité. Par exemple, si elle intente une action assortie de certaines restrictions, la Couronne sera liée par celles</w:t>
      </w:r>
      <w:r w:rsidRPr="00C328A2">
        <w:rPr>
          <w:rFonts w:cs="Times New Roman"/>
          <w:lang w:val="fr-CA"/>
        </w:rPr>
        <w:noBreakHyphen/>
        <w:t xml:space="preserve">ci (voir </w:t>
      </w:r>
      <w:r w:rsidRPr="00C328A2">
        <w:rPr>
          <w:rFonts w:cs="Times New Roman"/>
          <w:i/>
          <w:iCs/>
          <w:lang w:val="fr-CA" w:bidi="en-US"/>
        </w:rPr>
        <w:t>Sparling c. Québec (Caisse de dépôt et placement du Québec)</w:t>
      </w:r>
      <w:r w:rsidRPr="00C328A2">
        <w:rPr>
          <w:rFonts w:cs="Times New Roman"/>
          <w:lang w:val="fr-CA" w:bidi="en-US"/>
        </w:rPr>
        <w:t xml:space="preserve">, </w:t>
      </w:r>
      <w:r w:rsidRPr="00C328A2">
        <w:rPr>
          <w:rFonts w:cs="Times New Roman"/>
          <w:lang w:val="fr-CA"/>
        </w:rPr>
        <w:t xml:space="preserve">[1988] 2 R.C.S. 1015, p. 1027; </w:t>
      </w:r>
      <w:r w:rsidRPr="00C328A2">
        <w:rPr>
          <w:rFonts w:cs="Times New Roman"/>
          <w:i/>
          <w:iCs/>
          <w:lang w:val="fr-CA"/>
        </w:rPr>
        <w:t>Alberta Government Telephones c. Canada (Conseil de la radiodiffusion et des télécommunications canadiennes)</w:t>
      </w:r>
      <w:r w:rsidRPr="00C328A2">
        <w:rPr>
          <w:rFonts w:cs="Times New Roman"/>
          <w:lang w:val="fr-CA"/>
        </w:rPr>
        <w:t>, [1989] 2 R.C.S. 225, p. 284</w:t>
      </w:r>
      <w:r w:rsidRPr="00C328A2">
        <w:rPr>
          <w:rFonts w:cs="Times New Roman"/>
          <w:lang w:val="fr-CA"/>
        </w:rPr>
        <w:noBreakHyphen/>
        <w:t xml:space="preserve">286). Cette exception à l’immunité de la Couronne est restreinte et elle n’est pas adaptée au contexte présent. En effet, en raison de cette immunité, la Couronne du chef d’autres provinces et la Couronne fédérale sont présumées ne pas répondre à la définition du mot « personne » au sens de la </w:t>
      </w:r>
      <w:r w:rsidRPr="00C328A2">
        <w:rPr>
          <w:rFonts w:cs="Times New Roman"/>
          <w:i/>
          <w:lang w:val="fr-CA"/>
        </w:rPr>
        <w:t>CPA</w:t>
      </w:r>
      <w:r w:rsidRPr="00C328A2">
        <w:rPr>
          <w:rFonts w:cs="Times New Roman"/>
          <w:lang w:val="fr-CA"/>
        </w:rPr>
        <w:t xml:space="preserve">. Une législature ne peut forcer la Couronne d’une autre province (p. ex., par le biais d’un régime avec mécanisme d’exclusion) à se prévaloir d’un régime législatif qu’elle a adopté; elle ne peut forcer la Couronne d’une autre province ou l’État à renoncer à son immunité. Dans le cas qui nous occupe, je ne puis accepter l’argument de l’intimé selon lequel les autres </w:t>
      </w:r>
      <w:r w:rsidRPr="00C328A2">
        <w:rPr>
          <w:rFonts w:cs="Times New Roman"/>
          <w:lang w:val="fr-CA"/>
        </w:rPr>
        <w:lastRenderedPageBreak/>
        <w:t xml:space="preserve">gouvernements </w:t>
      </w:r>
      <w:bookmarkStart w:id="53" w:name="_Hlk183438538"/>
      <w:r w:rsidRPr="00C328A2">
        <w:rPr>
          <w:rFonts w:cs="Times New Roman"/>
          <w:lang w:val="fr-CA"/>
        </w:rPr>
        <w:t xml:space="preserve">sont des « personnes » ou des </w:t>
      </w:r>
      <w:r w:rsidRPr="00C328A2">
        <w:rPr>
          <w:rFonts w:cs="Times New Roman"/>
          <w:smallCaps/>
          <w:lang w:val="fr-CA"/>
        </w:rPr>
        <w:t>[traduction]</w:t>
      </w:r>
      <w:r w:rsidRPr="00C328A2">
        <w:rPr>
          <w:rFonts w:cs="Times New Roman"/>
          <w:lang w:val="fr-CA"/>
        </w:rPr>
        <w:t xml:space="preserve"> « membres d’un groupe de personnes » pour l’application de la </w:t>
      </w:r>
      <w:r w:rsidRPr="00C328A2">
        <w:rPr>
          <w:rFonts w:cs="Times New Roman"/>
          <w:i/>
          <w:lang w:val="fr-CA"/>
        </w:rPr>
        <w:t>CPA</w:t>
      </w:r>
      <w:bookmarkEnd w:id="53"/>
      <w:r w:rsidRPr="00C328A2">
        <w:rPr>
          <w:rFonts w:cs="Times New Roman"/>
          <w:lang w:val="fr-CA"/>
        </w:rPr>
        <w:t>.</w:t>
      </w:r>
    </w:p>
    <w:p w14:paraId="3CC70F90"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Comme l’art. 11 de l’</w:t>
      </w:r>
      <w:r w:rsidRPr="00C328A2">
        <w:rPr>
          <w:rFonts w:cs="Times New Roman"/>
          <w:i/>
          <w:lang w:val="fr-CA"/>
        </w:rPr>
        <w:t>ORA</w:t>
      </w:r>
      <w:r w:rsidRPr="00C328A2">
        <w:rPr>
          <w:rFonts w:cs="Times New Roman"/>
          <w:lang w:val="fr-CA"/>
        </w:rPr>
        <w:t xml:space="preserve"> </w:t>
      </w:r>
      <w:bookmarkStart w:id="54" w:name="_Hlk183438596"/>
      <w:r w:rsidRPr="00C328A2">
        <w:rPr>
          <w:rFonts w:cs="Times New Roman"/>
          <w:lang w:val="fr-CA"/>
        </w:rPr>
        <w:t>octroie à la province de la Colombie</w:t>
      </w:r>
      <w:r w:rsidRPr="00C328A2">
        <w:rPr>
          <w:rFonts w:cs="Times New Roman"/>
          <w:lang w:val="fr-CA"/>
        </w:rPr>
        <w:noBreakHyphen/>
        <w:t>Britannique la capacité de poser une action qu’elle ne pouvait pas poser auparavant</w:t>
      </w:r>
      <w:bookmarkEnd w:id="54"/>
      <w:r w:rsidRPr="00C328A2">
        <w:rPr>
          <w:rFonts w:cs="Times New Roman"/>
          <w:lang w:val="fr-CA"/>
        </w:rPr>
        <w:t>, je conclus que la disposition a pour objet de permettre à la province de la Colombie</w:t>
      </w:r>
      <w:r w:rsidRPr="00C328A2">
        <w:rPr>
          <w:rFonts w:cs="Times New Roman"/>
          <w:lang w:val="fr-CA"/>
        </w:rPr>
        <w:noBreakHyphen/>
        <w:t xml:space="preserve">Britannique de demander l’autorisation d’un recours pour un groupe de gouvernements revendiquant le droit de recouvrer les coûts des soins de santé liés aux opioïdes. Contrairement à ce que prétend l’intimé, le fait que la </w:t>
      </w:r>
      <w:r w:rsidRPr="00C328A2">
        <w:rPr>
          <w:rFonts w:cs="Times New Roman"/>
          <w:i/>
          <w:lang w:val="fr-CA"/>
        </w:rPr>
        <w:t>CPA</w:t>
      </w:r>
      <w:r w:rsidRPr="00C328A2">
        <w:rPr>
          <w:rFonts w:cs="Times New Roman"/>
          <w:lang w:val="fr-CA"/>
        </w:rPr>
        <w:t xml:space="preserve"> ne permet pas les recours collectifs multiterritoriaux en Colombie</w:t>
      </w:r>
      <w:r w:rsidRPr="00C328A2">
        <w:rPr>
          <w:rFonts w:cs="Times New Roman"/>
          <w:lang w:val="fr-CA"/>
        </w:rPr>
        <w:noBreakHyphen/>
        <w:t xml:space="preserve">Britannique importe aux fins de l’analyse constitutionnelle. Par conséquent, </w:t>
      </w:r>
      <w:bookmarkStart w:id="55" w:name="_Hlk183438698"/>
      <w:r w:rsidRPr="00C328A2">
        <w:rPr>
          <w:rFonts w:cs="Times New Roman"/>
          <w:lang w:val="fr-CA"/>
        </w:rPr>
        <w:t>les effets de l’art. 11 ne se limitent pas à l’application des dispositions de l’</w:t>
      </w:r>
      <w:r w:rsidRPr="00C328A2">
        <w:rPr>
          <w:rFonts w:cs="Times New Roman"/>
          <w:i/>
          <w:lang w:val="fr-CA"/>
        </w:rPr>
        <w:t>ORA</w:t>
      </w:r>
      <w:r w:rsidRPr="00C328A2">
        <w:rPr>
          <w:rFonts w:cs="Times New Roman"/>
          <w:lang w:val="fr-CA"/>
        </w:rPr>
        <w:t xml:space="preserve"> au recours collectif déjà entrepris</w:t>
      </w:r>
      <w:bookmarkEnd w:id="55"/>
      <w:r w:rsidRPr="00C328A2">
        <w:rPr>
          <w:rFonts w:cs="Times New Roman"/>
          <w:lang w:val="fr-CA"/>
        </w:rPr>
        <w:t>; ils ont une portée beaucoup plus vaste.</w:t>
      </w:r>
    </w:p>
    <w:p w14:paraId="3BACE1C0" w14:textId="77777777" w:rsidR="00C328A2" w:rsidRPr="00C328A2" w:rsidRDefault="00C328A2" w:rsidP="00C328A2">
      <w:pPr>
        <w:pStyle w:val="Title3LevelTitre3Niveau"/>
        <w:widowControl w:val="0"/>
        <w:numPr>
          <w:ilvl w:val="2"/>
          <w:numId w:val="8"/>
        </w:numPr>
        <w:spacing w:before="0"/>
        <w:ind w:hanging="612"/>
        <w:rPr>
          <w:rFonts w:cs="Times New Roman"/>
          <w:lang w:val="fr-CA"/>
        </w:rPr>
      </w:pPr>
      <w:bookmarkStart w:id="56" w:name="_Toc173313458"/>
      <w:r w:rsidRPr="00C328A2">
        <w:rPr>
          <w:rFonts w:cs="Times New Roman"/>
          <w:lang w:val="fr-CA"/>
        </w:rPr>
        <w:t>Effets : inclusion automatique des autres gouvernements</w:t>
      </w:r>
      <w:bookmarkEnd w:id="56"/>
    </w:p>
    <w:p w14:paraId="725D65CD" w14:textId="77777777" w:rsidR="00C328A2" w:rsidRPr="00C328A2" w:rsidRDefault="00C328A2" w:rsidP="00C328A2">
      <w:pPr>
        <w:pStyle w:val="Title4LevelTitre4Niveau"/>
        <w:widowControl w:val="0"/>
        <w:numPr>
          <w:ilvl w:val="0"/>
          <w:numId w:val="0"/>
        </w:numPr>
        <w:spacing w:before="0"/>
        <w:ind w:left="1170" w:hanging="612"/>
        <w:rPr>
          <w:rFonts w:cs="Times New Roman"/>
          <w:lang w:val="fr-CA"/>
        </w:rPr>
      </w:pPr>
      <w:r w:rsidRPr="00C328A2">
        <w:rPr>
          <w:rFonts w:cs="Times New Roman"/>
          <w:i w:val="0"/>
          <w:lang w:val="fr-CA"/>
        </w:rPr>
        <w:t>a)</w:t>
      </w:r>
      <w:r w:rsidRPr="00C328A2">
        <w:rPr>
          <w:rFonts w:cs="Times New Roman"/>
          <w:lang w:val="fr-CA"/>
        </w:rPr>
        <w:tab/>
        <w:t>Le régime avec mécanisme d’exclusion : droits et effets substantiels</w:t>
      </w:r>
    </w:p>
    <w:p w14:paraId="04176EA0"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 xml:space="preserve">J’aborde maintenant les effets de la disposition contestée. Je ne remets pas en question le fait </w:t>
      </w:r>
      <w:bookmarkStart w:id="57" w:name="_Hlk183439147"/>
      <w:r w:rsidRPr="00C328A2">
        <w:rPr>
          <w:rFonts w:cs="Times New Roman"/>
          <w:lang w:val="fr-CA"/>
        </w:rPr>
        <w:t>que l’art. 11 de l’</w:t>
      </w:r>
      <w:r w:rsidRPr="00C328A2">
        <w:rPr>
          <w:rFonts w:cs="Times New Roman"/>
          <w:i/>
          <w:lang w:val="fr-CA"/>
        </w:rPr>
        <w:t>ORA</w:t>
      </w:r>
      <w:r w:rsidRPr="00C328A2">
        <w:rPr>
          <w:rFonts w:cs="Times New Roman"/>
          <w:lang w:val="fr-CA"/>
        </w:rPr>
        <w:t xml:space="preserve"> est une disposition procédurale à certains égards</w:t>
      </w:r>
      <w:bookmarkEnd w:id="57"/>
      <w:r w:rsidRPr="00C328A2">
        <w:rPr>
          <w:rFonts w:cs="Times New Roman"/>
          <w:lang w:val="fr-CA"/>
        </w:rPr>
        <w:t>. Par exemple, l’al. 11(1)(a) prévoit que l’instance introduite relativement à une faute liée aux opioïdes se poursuit conformément à l’</w:t>
      </w:r>
      <w:r w:rsidRPr="00C328A2">
        <w:rPr>
          <w:rFonts w:cs="Times New Roman"/>
          <w:i/>
          <w:lang w:val="fr-CA"/>
        </w:rPr>
        <w:t>ORA</w:t>
      </w:r>
      <w:r w:rsidRPr="00C328A2">
        <w:rPr>
          <w:rFonts w:cs="Times New Roman"/>
          <w:lang w:val="fr-CA"/>
        </w:rPr>
        <w:t>. Toute procédure qui est fondée sur d’autres droits d’action et qui a été introduite avant l’entrée en vigueur de l’</w:t>
      </w:r>
      <w:r w:rsidRPr="00C328A2">
        <w:rPr>
          <w:rFonts w:cs="Times New Roman"/>
          <w:i/>
          <w:lang w:val="fr-CA"/>
        </w:rPr>
        <w:t>ORA</w:t>
      </w:r>
      <w:r w:rsidRPr="00C328A2">
        <w:rPr>
          <w:rFonts w:cs="Times New Roman"/>
          <w:lang w:val="fr-CA"/>
        </w:rPr>
        <w:t xml:space="preserve"> relève donc, sous le régime de cette loi, d’un droit d’action direct et distinct. Par </w:t>
      </w:r>
      <w:r w:rsidRPr="00C328A2">
        <w:rPr>
          <w:rFonts w:cs="Times New Roman"/>
          <w:lang w:val="fr-CA"/>
        </w:rPr>
        <w:lastRenderedPageBreak/>
        <w:t>conséquent, comme le démontre le dossier, la Colombie</w:t>
      </w:r>
      <w:r w:rsidRPr="00C328A2">
        <w:rPr>
          <w:rFonts w:cs="Times New Roman"/>
          <w:lang w:val="fr-CA"/>
        </w:rPr>
        <w:noBreakHyphen/>
        <w:t>Britannique a, à juste titre, modifié sa demande en justice dans le cadre du présent pourvoi pour s’assurer qu’elle soit intentée en vertu de l’</w:t>
      </w:r>
      <w:r w:rsidRPr="00C328A2">
        <w:rPr>
          <w:rFonts w:cs="Times New Roman"/>
          <w:i/>
          <w:lang w:val="fr-CA"/>
        </w:rPr>
        <w:t>ORA</w:t>
      </w:r>
      <w:r w:rsidRPr="00C328A2">
        <w:rPr>
          <w:rFonts w:cs="Times New Roman"/>
          <w:lang w:val="fr-CA"/>
        </w:rPr>
        <w:t>. De même, l’al. 11(1)(c) prévoit qu’une procédure achevée et une ordonnance rendue avant l’entrée en vigueur de l’</w:t>
      </w:r>
      <w:r w:rsidRPr="00C328A2">
        <w:rPr>
          <w:rFonts w:cs="Times New Roman"/>
          <w:i/>
          <w:lang w:val="fr-CA"/>
        </w:rPr>
        <w:t>ORA</w:t>
      </w:r>
      <w:r w:rsidRPr="00C328A2">
        <w:rPr>
          <w:rFonts w:cs="Times New Roman"/>
          <w:lang w:val="fr-CA"/>
        </w:rPr>
        <w:t xml:space="preserve"> continuent de produire leurs effets, sauf en cas d’incompatibilité avec l’</w:t>
      </w:r>
      <w:r w:rsidRPr="00C328A2">
        <w:rPr>
          <w:rFonts w:cs="Times New Roman"/>
          <w:i/>
          <w:lang w:val="fr-CA"/>
        </w:rPr>
        <w:t>ORA</w:t>
      </w:r>
      <w:r w:rsidRPr="00C328A2">
        <w:rPr>
          <w:rFonts w:cs="Times New Roman"/>
          <w:lang w:val="fr-CA"/>
        </w:rPr>
        <w:t>. L’alinéa 11(1)(d) prévoit que la procédure introduite, mais non terminée avant l’entrée en vigueur de l’</w:t>
      </w:r>
      <w:r w:rsidRPr="00C328A2">
        <w:rPr>
          <w:rFonts w:cs="Times New Roman"/>
          <w:i/>
          <w:lang w:val="fr-CA"/>
        </w:rPr>
        <w:t>ORA</w:t>
      </w:r>
      <w:r w:rsidRPr="00C328A2">
        <w:rPr>
          <w:rFonts w:cs="Times New Roman"/>
          <w:lang w:val="fr-CA"/>
        </w:rPr>
        <w:t>, est menée à terme conformément à l’</w:t>
      </w:r>
      <w:r w:rsidRPr="00C328A2">
        <w:rPr>
          <w:rFonts w:cs="Times New Roman"/>
          <w:i/>
          <w:lang w:val="fr-CA"/>
        </w:rPr>
        <w:t>ORA</w:t>
      </w:r>
      <w:r w:rsidRPr="00C328A2">
        <w:rPr>
          <w:rFonts w:cs="Times New Roman"/>
          <w:lang w:val="fr-CA"/>
        </w:rPr>
        <w:t>.</w:t>
      </w:r>
    </w:p>
    <w:p w14:paraId="11FB9B10" w14:textId="77777777" w:rsidR="00C328A2" w:rsidRPr="00C328A2" w:rsidRDefault="00C328A2" w:rsidP="00C328A2">
      <w:pPr>
        <w:pStyle w:val="ParaNoNdepar-AltN"/>
        <w:tabs>
          <w:tab w:val="clear" w:pos="1166"/>
          <w:tab w:val="num" w:pos="1152"/>
        </w:tabs>
        <w:spacing w:before="0"/>
        <w:rPr>
          <w:rFonts w:cs="Times New Roman"/>
          <w:lang w:val="fr-CA"/>
        </w:rPr>
      </w:pPr>
      <w:bookmarkStart w:id="58" w:name="_Hlk183439188"/>
      <w:r w:rsidRPr="00C328A2">
        <w:rPr>
          <w:rFonts w:cs="Times New Roman"/>
          <w:lang w:val="fr-CA"/>
        </w:rPr>
        <w:t>Le fait que l’al. 11(1)(b) se trouve parmi des alinéas à caractère procédural ne signifie pas qu’il produit seulement des effets procéduraux</w:t>
      </w:r>
      <w:bookmarkEnd w:id="58"/>
      <w:r w:rsidRPr="00C328A2">
        <w:rPr>
          <w:rFonts w:cs="Times New Roman"/>
          <w:lang w:val="fr-CA"/>
        </w:rPr>
        <w:t xml:space="preserve">. Ce fait n’est pas non plus déterminant quant au caractère véritable de l’art. 11 dans son ensemble. En fait, je partage l’avis des juridictions inférieures selon lequel </w:t>
      </w:r>
      <w:bookmarkStart w:id="59" w:name="_Hlk183439297"/>
      <w:r w:rsidRPr="00C328A2">
        <w:rPr>
          <w:rFonts w:cs="Times New Roman"/>
          <w:lang w:val="fr-CA"/>
        </w:rPr>
        <w:t>l’objet principal de l’art. 11 se dégage de l’al. 11(1)(b) et du par. 11(2)</w:t>
      </w:r>
      <w:bookmarkEnd w:id="59"/>
      <w:r w:rsidRPr="00C328A2">
        <w:rPr>
          <w:rFonts w:cs="Times New Roman"/>
          <w:lang w:val="fr-CA"/>
        </w:rPr>
        <w:t xml:space="preserve">. En effet, la Cour d’appel a reconnu l’importance de la manière dont le par. 11(2) restreint l’al. 11(1)(b); pris isolément, l’al. 11(1)(b) aurait une </w:t>
      </w:r>
      <w:r w:rsidRPr="00C328A2">
        <w:rPr>
          <w:rFonts w:cs="Times New Roman"/>
          <w:smallCaps/>
          <w:lang w:val="fr-CA"/>
        </w:rPr>
        <w:t>[traduction]</w:t>
      </w:r>
      <w:r w:rsidRPr="00C328A2">
        <w:rPr>
          <w:rFonts w:cs="Times New Roman"/>
          <w:lang w:val="fr-CA"/>
        </w:rPr>
        <w:t xml:space="preserve"> « validité douteuse » (par. 76).</w:t>
      </w:r>
    </w:p>
    <w:p w14:paraId="7C786B5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Outre le fait que l’al. 11(1)(b) se trouve entre des alinéas à caractère procédural, ma collègue souligne également la position de l’art. 11 dans son ensemble; ce dernier suit immédiatement l’effet rétroactif de l’art. 10, ce qui renforcerait sa nature procédurale (par. 58). Cependant, le fait que l’article se trouve à cet emplacement ou qu’il comporte certains </w:t>
      </w:r>
      <w:r w:rsidRPr="00C328A2">
        <w:rPr>
          <w:rFonts w:cs="Times New Roman"/>
          <w:i/>
          <w:lang w:val="fr-CA"/>
        </w:rPr>
        <w:t>aspects</w:t>
      </w:r>
      <w:r w:rsidRPr="00C328A2">
        <w:rPr>
          <w:rFonts w:cs="Times New Roman"/>
          <w:lang w:val="fr-CA"/>
        </w:rPr>
        <w:t xml:space="preserve"> procéduraux ne le rend pas procédural dans son ensemble. L’impact de l’art. 11 est d’ordre substantiel.</w:t>
      </w:r>
    </w:p>
    <w:p w14:paraId="32BB8B41"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Le régime avec mécanisme d’exclusion prévu au par. 11(2) de l’</w:t>
      </w:r>
      <w:r w:rsidRPr="00C328A2">
        <w:rPr>
          <w:rFonts w:cs="Times New Roman"/>
          <w:i/>
          <w:lang w:val="fr-CA"/>
        </w:rPr>
        <w:t>ORA</w:t>
      </w:r>
      <w:r w:rsidRPr="00C328A2">
        <w:rPr>
          <w:rFonts w:cs="Times New Roman"/>
          <w:lang w:val="fr-CA"/>
        </w:rPr>
        <w:t xml:space="preserve"> joue un rôle déterminant dans l’analyse du caractère véritable de l’art. 11 dans son ensemble. Le paragraphe 11(2) s’applique nécessairement en parallèle avec l’al. 11(1)(b), qui codifie et confère un droit d’action direct et distinct autorisant la province de la Colombie</w:t>
      </w:r>
      <w:r w:rsidRPr="00C328A2">
        <w:rPr>
          <w:rFonts w:cs="Times New Roman"/>
          <w:lang w:val="fr-CA"/>
        </w:rPr>
        <w:noBreakHyphen/>
        <w:t>Britannique à poursuivre des fabricants, des grossistes ou des consultants au nom des autres gouvernements. À première vue, ces dispositions semblent n’avoir que des effets procéduraux, puisqu’elles concernent les recours collectifs et procurent les avantages associés à ces recours. Il résulte toutefois d’une lecture conjointe de l’al. 11(1)(b) et du par. 11(2) que ces deux dispositions constituent une ingérence dans la propriété et les droits civils dans d’autres provinces. À mon avis, en ce qui a trait aux droits des autres gouvernements, on ne peut considérer que ces effets substantiels sont simplement accessoires, puisqu’en réalité, ils touchent au caractère véritable de la disposition.</w:t>
      </w:r>
    </w:p>
    <w:p w14:paraId="5FDA0691"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 paragraphe 11(2) de l’</w:t>
      </w:r>
      <w:r w:rsidRPr="00C328A2">
        <w:rPr>
          <w:rFonts w:cs="Times New Roman"/>
          <w:i/>
          <w:lang w:val="fr-CA"/>
        </w:rPr>
        <w:t>ORA</w:t>
      </w:r>
      <w:r w:rsidRPr="00C328A2">
        <w:rPr>
          <w:rFonts w:cs="Times New Roman"/>
          <w:lang w:val="fr-CA"/>
        </w:rPr>
        <w:t xml:space="preserve"> prévoit qu’un membre du groupe peut s’exclure du recours collectif conformément à l’article 16 de la </w:t>
      </w:r>
      <w:r w:rsidRPr="00C328A2">
        <w:rPr>
          <w:rFonts w:cs="Times New Roman"/>
          <w:i/>
          <w:lang w:val="fr-CA"/>
        </w:rPr>
        <w:t>CPA</w:t>
      </w:r>
      <w:r w:rsidRPr="00C328A2">
        <w:rPr>
          <w:rFonts w:cs="Times New Roman"/>
          <w:lang w:val="fr-CA"/>
        </w:rPr>
        <w:t xml:space="preserve"> même s’il a déjà été inclus dans le recours en vertu de l’al. 11(1)(b) de l’</w:t>
      </w:r>
      <w:r w:rsidRPr="00C328A2">
        <w:rPr>
          <w:rFonts w:cs="Times New Roman"/>
          <w:i/>
          <w:lang w:val="fr-CA"/>
        </w:rPr>
        <w:t>ORA</w:t>
      </w:r>
      <w:r w:rsidRPr="00C328A2">
        <w:rPr>
          <w:rFonts w:cs="Times New Roman"/>
          <w:lang w:val="fr-CA"/>
        </w:rPr>
        <w:t xml:space="preserve">. De façon connexe, l’art. 16 de la </w:t>
      </w:r>
      <w:r w:rsidRPr="00C328A2">
        <w:rPr>
          <w:rFonts w:cs="Times New Roman"/>
          <w:i/>
          <w:lang w:val="fr-CA"/>
        </w:rPr>
        <w:t>CPA</w:t>
      </w:r>
      <w:r w:rsidRPr="00C328A2">
        <w:rPr>
          <w:rFonts w:cs="Times New Roman"/>
          <w:lang w:val="fr-CA"/>
        </w:rPr>
        <w:t xml:space="preserve"> dispose : </w:t>
      </w:r>
      <w:r w:rsidRPr="00C328A2">
        <w:rPr>
          <w:rFonts w:cs="Times New Roman"/>
          <w:bCs/>
          <w:smallCaps/>
          <w:lang w:val="fr-CA"/>
        </w:rPr>
        <w:t>[traduction] « </w:t>
      </w:r>
      <w:r w:rsidRPr="00C328A2">
        <w:rPr>
          <w:rFonts w:cs="Times New Roman"/>
          <w:lang w:val="fr-CA"/>
        </w:rPr>
        <w:t xml:space="preserve">Tout membre d’un groupe visé par un recours collectif peut s’en exclure </w:t>
      </w:r>
      <w:r w:rsidRPr="00C328A2">
        <w:rPr>
          <w:rFonts w:cs="Times New Roman"/>
          <w:u w:val="single"/>
          <w:lang w:val="fr-CA"/>
        </w:rPr>
        <w:t>de la façon et dans le délai indiqués dans l’ordonnance d’autorisation</w:t>
      </w:r>
      <w:r w:rsidRPr="00C328A2">
        <w:rPr>
          <w:rFonts w:cs="Times New Roman"/>
          <w:lang w:val="fr-CA"/>
        </w:rPr>
        <w:t>. » Il n’est donc pas étonnant que le par. 11(2) de l’</w:t>
      </w:r>
      <w:r w:rsidRPr="00C328A2">
        <w:rPr>
          <w:rFonts w:cs="Times New Roman"/>
          <w:i/>
          <w:lang w:val="fr-CA"/>
        </w:rPr>
        <w:t>ORA</w:t>
      </w:r>
      <w:r w:rsidRPr="00C328A2">
        <w:rPr>
          <w:rFonts w:cs="Times New Roman"/>
          <w:lang w:val="fr-CA"/>
        </w:rPr>
        <w:t xml:space="preserve"> protège expressément le droit de tout gouvernement de s’exclure, droit qui lui est par ailleurs reconnu par la </w:t>
      </w:r>
      <w:r w:rsidRPr="00C328A2">
        <w:rPr>
          <w:rFonts w:cs="Times New Roman"/>
          <w:i/>
          <w:lang w:val="fr-CA"/>
        </w:rPr>
        <w:t>CPA</w:t>
      </w:r>
      <w:r w:rsidRPr="00C328A2">
        <w:rPr>
          <w:rFonts w:cs="Times New Roman"/>
          <w:lang w:val="fr-CA"/>
        </w:rPr>
        <w:t>.</w:t>
      </w:r>
    </w:p>
    <w:p w14:paraId="4A3ACD3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Je suis d’accord avec ma collègue pour dire que l’art. 11 de l’</w:t>
      </w:r>
      <w:r w:rsidRPr="00C328A2">
        <w:rPr>
          <w:rFonts w:cs="Times New Roman"/>
          <w:i/>
          <w:lang w:val="fr-CA"/>
        </w:rPr>
        <w:t>ORA</w:t>
      </w:r>
      <w:r w:rsidRPr="00C328A2">
        <w:rPr>
          <w:rFonts w:cs="Times New Roman"/>
          <w:lang w:val="fr-CA"/>
        </w:rPr>
        <w:t xml:space="preserve"> ne peut être interprété comme prévoyant un régime d’adhésion volontaire (« </w:t>
      </w:r>
      <w:r w:rsidRPr="00C328A2">
        <w:rPr>
          <w:rFonts w:cs="Times New Roman"/>
          <w:i/>
          <w:lang w:val="fr-CA"/>
        </w:rPr>
        <w:t>opt</w:t>
      </w:r>
      <w:r w:rsidRPr="00C328A2">
        <w:rPr>
          <w:rFonts w:cs="Times New Roman"/>
          <w:i/>
          <w:lang w:val="fr-CA"/>
        </w:rPr>
        <w:noBreakHyphen/>
        <w:t>in</w:t>
      </w:r>
      <w:r w:rsidRPr="00C328A2">
        <w:rPr>
          <w:rFonts w:cs="Times New Roman"/>
          <w:lang w:val="fr-CA"/>
        </w:rPr>
        <w:t> ») et qu’il doit plutôt être considéré comme un mécanisme offrant aux gouvernements la possibilité de s’exclure du recours. Rien dans le libellé de l’</w:t>
      </w:r>
      <w:r w:rsidRPr="00C328A2">
        <w:rPr>
          <w:rFonts w:cs="Times New Roman"/>
          <w:i/>
          <w:lang w:val="fr-CA"/>
        </w:rPr>
        <w:t>ORA</w:t>
      </w:r>
      <w:r w:rsidRPr="00C328A2">
        <w:rPr>
          <w:rFonts w:cs="Times New Roman"/>
          <w:lang w:val="fr-CA"/>
        </w:rPr>
        <w:t xml:space="preserve"> ou de la </w:t>
      </w:r>
      <w:r w:rsidRPr="00C328A2">
        <w:rPr>
          <w:rFonts w:cs="Times New Roman"/>
          <w:i/>
          <w:lang w:val="fr-CA"/>
        </w:rPr>
        <w:t>CPA</w:t>
      </w:r>
      <w:r w:rsidRPr="00C328A2">
        <w:rPr>
          <w:rFonts w:cs="Times New Roman"/>
          <w:lang w:val="fr-CA"/>
        </w:rPr>
        <w:t xml:space="preserve"> n’indique que le gouvernement fédéral ou les autres gouvernements provinciaux auraient le choix d’adhérer volontairement au recours collectif. Le sous</w:t>
      </w:r>
      <w:r w:rsidRPr="00C328A2">
        <w:rPr>
          <w:rFonts w:cs="Times New Roman"/>
          <w:lang w:val="fr-CA"/>
        </w:rPr>
        <w:noBreakHyphen/>
        <w:t>alinéa 11(1)(b)(i) de l’</w:t>
      </w:r>
      <w:r w:rsidRPr="00C328A2">
        <w:rPr>
          <w:rFonts w:cs="Times New Roman"/>
          <w:i/>
          <w:lang w:val="fr-CA"/>
        </w:rPr>
        <w:t>ORA</w:t>
      </w:r>
      <w:r w:rsidRPr="00C328A2">
        <w:rPr>
          <w:rFonts w:cs="Times New Roman"/>
          <w:lang w:val="fr-CA"/>
        </w:rPr>
        <w:t xml:space="preserve"> accorde à la Colombie</w:t>
      </w:r>
      <w:r w:rsidRPr="00C328A2">
        <w:rPr>
          <w:rFonts w:cs="Times New Roman"/>
          <w:lang w:val="fr-CA"/>
        </w:rPr>
        <w:noBreakHyphen/>
        <w:t>Britannique le pouvoir, à tout le moins, d’</w:t>
      </w:r>
      <w:r w:rsidRPr="00C328A2">
        <w:rPr>
          <w:rFonts w:cs="Times New Roman"/>
          <w:i/>
          <w:iCs/>
          <w:lang w:val="fr-CA"/>
        </w:rPr>
        <w:t>introduire</w:t>
      </w:r>
      <w:r w:rsidRPr="00C328A2">
        <w:rPr>
          <w:rFonts w:cs="Times New Roman"/>
          <w:iCs/>
          <w:lang w:val="fr-CA"/>
        </w:rPr>
        <w:t>,</w:t>
      </w:r>
      <w:r w:rsidRPr="00C328A2">
        <w:rPr>
          <w:rFonts w:cs="Times New Roman"/>
          <w:lang w:val="fr-CA"/>
        </w:rPr>
        <w:t xml:space="preserve"> de son propre chef, une action au nom d’un groupe qui comprend les autres gouvernements. En d’autres termes, la province peut introduire le recours sans consulter les autres gouvernements et sans leur consentement. Par conséquent, la Cour d’appel a eu raison de dire qu’en tout état de cause, on ne peut considérer la disposition comme autorisant une « adhésion volontaire » si l’on s’en remet uniquement au libellé de l’art. 11 (par. 54).</w:t>
      </w:r>
    </w:p>
    <w:p w14:paraId="4CE02122"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Bien que ma collègue et moi</w:t>
      </w:r>
      <w:r w:rsidRPr="00C328A2">
        <w:rPr>
          <w:rFonts w:cs="Times New Roman"/>
          <w:lang w:val="fr-CA"/>
        </w:rPr>
        <w:noBreakHyphen/>
        <w:t>même estimions toutes deux que l’art. 11 de l’</w:t>
      </w:r>
      <w:r w:rsidRPr="00C328A2">
        <w:rPr>
          <w:rFonts w:cs="Times New Roman"/>
          <w:i/>
          <w:lang w:val="fr-CA"/>
        </w:rPr>
        <w:t>ORA</w:t>
      </w:r>
      <w:r w:rsidRPr="00C328A2">
        <w:rPr>
          <w:rFonts w:cs="Times New Roman"/>
          <w:lang w:val="fr-CA"/>
        </w:rPr>
        <w:t xml:space="preserve"> instaure un régime avec mécanisme d’exclusion, nous divergeons d’opinion quant à l’incidence de cette conclusion. Tout au long de ses motifs, ma collègue ne semble faire aucune distinction entre les effets d’un régime d’adhésion volontaire et ceux d’un régime avec mécanisme d’exclusion — les deux consistent selon elle à choisir de participer ou non à un recours collectif. Avec égards, je ne puis convenir que les effets sont les mêmes. Un régime avec mécanisme d’exclusion lie automatiquement les autres provinces et le gouvernement fédéral au droit de la Colombie</w:t>
      </w:r>
      <w:r w:rsidRPr="00C328A2">
        <w:rPr>
          <w:rFonts w:cs="Times New Roman"/>
          <w:lang w:val="fr-CA"/>
        </w:rPr>
        <w:noBreakHyphen/>
        <w:t>Britannique si rien n’est fait pour en empêcher l’application.</w:t>
      </w:r>
    </w:p>
    <w:p w14:paraId="4D63E0E1"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 xml:space="preserve">Un régime avec mécanisme d’exclusion est utilisé depuis longtemps en matière de recours collectifs. Les tenants de ce modèle insistent sur sa capacité à offrir une protection procédurale aux demandeurs qui ne sont pas désignés nommément (voir </w:t>
      </w:r>
      <w:r w:rsidRPr="00C328A2">
        <w:rPr>
          <w:rFonts w:cs="Times New Roman"/>
          <w:i/>
          <w:iCs/>
          <w:lang w:val="fr-CA"/>
        </w:rPr>
        <w:t>Currie c. McDonald’s Restaurants of Canada Ltd.</w:t>
      </w:r>
      <w:r w:rsidRPr="00C328A2">
        <w:rPr>
          <w:rFonts w:cs="Times New Roman"/>
          <w:lang w:val="fr-CA"/>
        </w:rPr>
        <w:t xml:space="preserve"> (2005), 74 O.R. (3d) 321 (C.A.), par. 28; voir aussi W. K. Winkler et autres, </w:t>
      </w:r>
      <w:r w:rsidRPr="00C328A2">
        <w:rPr>
          <w:rFonts w:cs="Times New Roman"/>
          <w:i/>
          <w:lang w:val="fr-CA"/>
        </w:rPr>
        <w:t>The</w:t>
      </w:r>
      <w:r w:rsidRPr="00C328A2">
        <w:rPr>
          <w:rFonts w:cs="Times New Roman"/>
          <w:lang w:val="fr-CA"/>
        </w:rPr>
        <w:t xml:space="preserve"> </w:t>
      </w:r>
      <w:r w:rsidRPr="00C328A2">
        <w:rPr>
          <w:rFonts w:cs="Times New Roman"/>
          <w:i/>
          <w:lang w:val="fr-CA"/>
        </w:rPr>
        <w:t xml:space="preserve">Law of Class Actions in Canada </w:t>
      </w:r>
      <w:r w:rsidRPr="00C328A2">
        <w:rPr>
          <w:rFonts w:cs="Times New Roman"/>
          <w:lang w:val="fr-CA"/>
        </w:rPr>
        <w:t>(2014), p. 213). Le mécanisme d’exclusion permet aux demandeurs qui se trouvent habituellement à l’extérieur de la province (ou les non</w:t>
      </w:r>
      <w:r w:rsidRPr="00C328A2">
        <w:rPr>
          <w:rFonts w:cs="Times New Roman"/>
          <w:lang w:val="fr-CA"/>
        </w:rPr>
        <w:noBreakHyphen/>
        <w:t xml:space="preserve">résidents) de faire valoir leurs réclamations dans leur propre province et d’éviter d’être assujettis à </w:t>
      </w:r>
      <w:r w:rsidRPr="00C328A2">
        <w:rPr>
          <w:rFonts w:cs="Times New Roman"/>
          <w:iCs/>
          <w:lang w:val="fr-CA"/>
        </w:rPr>
        <w:t>la compétence</w:t>
      </w:r>
      <w:r w:rsidRPr="00C328A2">
        <w:rPr>
          <w:rFonts w:cs="Times New Roman"/>
          <w:i/>
          <w:lang w:val="fr-CA"/>
        </w:rPr>
        <w:t xml:space="preserve"> juridictionnelle</w:t>
      </w:r>
      <w:r w:rsidRPr="00C328A2">
        <w:rPr>
          <w:rFonts w:cs="Times New Roman"/>
          <w:lang w:val="fr-CA"/>
        </w:rPr>
        <w:t xml:space="preserve"> du tribunal de la province où a été introduit le recours collectif. Cela dit, </w:t>
      </w:r>
      <w:r w:rsidRPr="00C328A2">
        <w:rPr>
          <w:rFonts w:cs="Times New Roman"/>
          <w:lang w:val="fr-CA" w:bidi="en-US"/>
        </w:rPr>
        <w:t>un jugement ne lie un membre du groupe « que s’il a été avisé de la poursuite et a eu la possibilité de s’exclure de la procédure »</w:t>
      </w:r>
      <w:r w:rsidRPr="00C328A2">
        <w:rPr>
          <w:rFonts w:cs="Times New Roman"/>
          <w:lang w:val="fr-CA"/>
        </w:rPr>
        <w:t xml:space="preserve"> (</w:t>
      </w:r>
      <w:r w:rsidRPr="00C328A2">
        <w:rPr>
          <w:rFonts w:cs="Times New Roman"/>
          <w:i/>
          <w:iCs/>
          <w:lang w:val="fr-CA"/>
        </w:rPr>
        <w:t>Western Canadian Shopping Centres</w:t>
      </w:r>
      <w:r w:rsidRPr="00C328A2">
        <w:rPr>
          <w:rFonts w:cs="Times New Roman"/>
          <w:lang w:val="fr-CA"/>
        </w:rPr>
        <w:t xml:space="preserve">, par. 49). En d’autres termes, la notification adéquate des membres du groupe à propos de la possibilité de s’exclure du recours collectif est essentielle au bon fonctionnement de ce mécanisme (voir </w:t>
      </w:r>
      <w:r w:rsidRPr="00C328A2">
        <w:rPr>
          <w:rFonts w:cs="Times New Roman"/>
          <w:i/>
          <w:iCs/>
          <w:lang w:val="fr-CA"/>
        </w:rPr>
        <w:t>Société canadienne des postes c. Lépine</w:t>
      </w:r>
      <w:r w:rsidRPr="00C328A2">
        <w:rPr>
          <w:rFonts w:cs="Times New Roman"/>
          <w:lang w:val="fr-CA"/>
        </w:rPr>
        <w:t xml:space="preserve">, 2009 CSC 16, [2009] 1 R.C.S. 549, par. 42; voir aussi </w:t>
      </w:r>
      <w:r w:rsidRPr="00C328A2">
        <w:rPr>
          <w:rFonts w:cs="Times New Roman"/>
          <w:i/>
          <w:iCs/>
          <w:lang w:val="fr-CA"/>
        </w:rPr>
        <w:t>Western Canadian Shopping Centres</w:t>
      </w:r>
      <w:r w:rsidRPr="00C328A2">
        <w:rPr>
          <w:rFonts w:cs="Times New Roman"/>
          <w:lang w:val="fr-CA"/>
        </w:rPr>
        <w:t>, par. 49). En effet, un régime avec mécanisme d’exclusion est avantageux pour ceux qui ne feraient normalement pas valoir leurs droits en justice, puisqu’ils sont automatiquement réputés être des membres potentiels du groupe visé par le recours collectif.</w:t>
      </w:r>
    </w:p>
    <w:p w14:paraId="0BB6F52D"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En revanche, un régime avec mécanisme d’exclusion peut être contraignant et créer des obstacles pour ceux qui y sont assujettis. Essentiellement, l’existence d’un mécanisme d’exclusion nécessite d’abord que les demandeurs soient automatiquement réputés être des membres potentiels du groupe, à moins qu’ils ne choisissent en fin de </w:t>
      </w:r>
      <w:r w:rsidRPr="00C328A2">
        <w:rPr>
          <w:rFonts w:cs="Times New Roman"/>
          <w:lang w:val="fr-CA"/>
        </w:rPr>
        <w:lastRenderedPageBreak/>
        <w:t xml:space="preserve">compte d’exercer leur droit de s’exclure du recours collectif (voir </w:t>
      </w:r>
      <w:r w:rsidRPr="00C328A2">
        <w:rPr>
          <w:rFonts w:cs="Times New Roman"/>
          <w:i/>
          <w:iCs/>
          <w:lang w:val="fr-CA"/>
        </w:rPr>
        <w:t>Turner c. Bell Mobility Inc</w:t>
      </w:r>
      <w:r w:rsidRPr="00C328A2">
        <w:rPr>
          <w:rFonts w:cs="Times New Roman"/>
          <w:lang w:val="fr-CA"/>
        </w:rPr>
        <w:t xml:space="preserve">., 2016 ABCA 21, 394 D.L.R. (4th) 325, par. 11). Quiconque répond à la définition de membre du groupe pour les besoins du recours collectif déjà introduit fait </w:t>
      </w:r>
      <w:r w:rsidRPr="00C328A2">
        <w:rPr>
          <w:rFonts w:cs="Times New Roman"/>
          <w:smallCaps/>
          <w:lang w:val="fr-CA"/>
        </w:rPr>
        <w:t>[traduction]</w:t>
      </w:r>
      <w:r w:rsidRPr="00C328A2">
        <w:rPr>
          <w:rFonts w:cs="Times New Roman"/>
          <w:lang w:val="fr-CA"/>
        </w:rPr>
        <w:t xml:space="preserve"> « partie du groupe de demandeurs visé par le recours collectif, à moins de s’en exclure » (</w:t>
      </w:r>
      <w:r w:rsidRPr="00C328A2">
        <w:rPr>
          <w:rFonts w:cs="Times New Roman"/>
          <w:i/>
          <w:iCs/>
          <w:lang w:val="fr-CA"/>
        </w:rPr>
        <w:t>Gillis c. BCE Inc.</w:t>
      </w:r>
      <w:r w:rsidRPr="00C328A2">
        <w:rPr>
          <w:rFonts w:cs="Times New Roman"/>
          <w:lang w:val="fr-CA"/>
        </w:rPr>
        <w:t xml:space="preserve">, 2015 NSCA 32, 358 N.S.R. (2d) 39, par. 8; voir aussi </w:t>
      </w:r>
      <w:r w:rsidRPr="00C328A2">
        <w:rPr>
          <w:rFonts w:cs="Times New Roman"/>
          <w:i/>
          <w:iCs/>
          <w:lang w:val="fr-CA"/>
        </w:rPr>
        <w:t>Frey c. BCE Inc.</w:t>
      </w:r>
      <w:r w:rsidRPr="00C328A2">
        <w:rPr>
          <w:rFonts w:cs="Times New Roman"/>
          <w:lang w:val="fr-CA"/>
        </w:rPr>
        <w:t xml:space="preserve">, 2013 SKCA 26, 409 Sask. R. 266). Ainsi, ces personnes </w:t>
      </w:r>
      <w:r w:rsidRPr="00C328A2">
        <w:rPr>
          <w:rFonts w:cs="Times New Roman"/>
          <w:smallCaps/>
          <w:lang w:val="fr-CA"/>
        </w:rPr>
        <w:t>[traduction]</w:t>
      </w:r>
      <w:r w:rsidRPr="00C328A2">
        <w:rPr>
          <w:rFonts w:cs="Times New Roman"/>
          <w:lang w:val="fr-CA"/>
        </w:rPr>
        <w:t xml:space="preserve"> « seront généralement liées par le résultat du recours collectif dont l’exercice a été autorisé, à moins qu’elles ne prennent l’initiative de s’en exclure » (J. Walker, H. M. Rosenberg et J. Kalajdzic, </w:t>
      </w:r>
      <w:r w:rsidRPr="00C328A2">
        <w:rPr>
          <w:rFonts w:cs="Times New Roman"/>
          <w:i/>
          <w:lang w:val="fr-CA"/>
        </w:rPr>
        <w:t>Class Actions in Canada : Cases, Notes, and Materials</w:t>
      </w:r>
      <w:r w:rsidRPr="00C328A2">
        <w:rPr>
          <w:rFonts w:cs="Times New Roman"/>
          <w:lang w:val="fr-CA"/>
        </w:rPr>
        <w:t xml:space="preserve"> (3</w:t>
      </w:r>
      <w:r w:rsidRPr="00C328A2">
        <w:rPr>
          <w:rFonts w:cs="Times New Roman"/>
          <w:vertAlign w:val="superscript"/>
          <w:lang w:val="fr-CA"/>
        </w:rPr>
        <w:t>e</w:t>
      </w:r>
      <w:r w:rsidRPr="00C328A2">
        <w:rPr>
          <w:rFonts w:cs="Times New Roman"/>
          <w:lang w:val="fr-CA"/>
        </w:rPr>
        <w:t xml:space="preserve"> éd. 2024), p. 35). La dynamique d’un régime avec mécanisme d’exclusion est différente de celle d’un régime à adhésion volontaire : ce dernier permet à des personnes qui ne sont pas membres du groupe de prendre des mesures concrètes et positives pour </w:t>
      </w:r>
      <w:r w:rsidRPr="00C328A2">
        <w:rPr>
          <w:rFonts w:cs="Times New Roman"/>
          <w:i/>
          <w:lang w:val="fr-CA"/>
        </w:rPr>
        <w:t xml:space="preserve">devenir </w:t>
      </w:r>
      <w:r w:rsidRPr="00C328A2">
        <w:rPr>
          <w:rFonts w:cs="Times New Roman"/>
          <w:lang w:val="fr-CA"/>
        </w:rPr>
        <w:t>membres du groupe visé par le recours collectif (p. 229). Les personnes qui ne sont pas membres du groupe ne sont donc pas automatiquement considérées comme des membres potentiels du groupe visé par le recours collectif.</w:t>
      </w:r>
    </w:p>
    <w:p w14:paraId="04E8863C"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À mon avis, la décision de la législature de la Colombie</w:t>
      </w:r>
      <w:r w:rsidRPr="00C328A2">
        <w:rPr>
          <w:rFonts w:cs="Times New Roman"/>
          <w:lang w:val="fr-CA"/>
        </w:rPr>
        <w:noBreakHyphen/>
        <w:t>Britannique d’imposer un mécanisme avec mécanisme d’exclusion plutôt qu’un régime à adhésion volontaire a des répercussions juridiques importantes sur les droits des membres du groupe d’ester en justice. La législature de la Colombie</w:t>
      </w:r>
      <w:r w:rsidRPr="00C328A2">
        <w:rPr>
          <w:rFonts w:cs="Times New Roman"/>
          <w:lang w:val="fr-CA"/>
        </w:rPr>
        <w:noBreakHyphen/>
        <w:t>Britannique a choisi de permettre à cette province d’introduire un recours collectif tout en incluant automatiquement les autres gouvernements dans le recours. Bien qu’une certaine jurisprudence considère le régime avec mécanisme d’exclusion lui</w:t>
      </w:r>
      <w:r w:rsidRPr="00C328A2">
        <w:rPr>
          <w:rFonts w:cs="Times New Roman"/>
          <w:lang w:val="fr-CA"/>
        </w:rPr>
        <w:noBreakHyphen/>
        <w:t xml:space="preserve">même comme un </w:t>
      </w:r>
      <w:r w:rsidRPr="00C328A2">
        <w:rPr>
          <w:rFonts w:cs="Times New Roman"/>
          <w:lang w:val="fr-CA"/>
        </w:rPr>
        <w:lastRenderedPageBreak/>
        <w:t xml:space="preserve">mécanisme de protection procédurale (voir </w:t>
      </w:r>
      <w:r w:rsidRPr="00C328A2">
        <w:rPr>
          <w:rFonts w:cs="Times New Roman"/>
          <w:i/>
          <w:lang w:val="fr-CA"/>
        </w:rPr>
        <w:t>Currie</w:t>
      </w:r>
      <w:r w:rsidRPr="00C328A2">
        <w:rPr>
          <w:rFonts w:cs="Times New Roman"/>
          <w:lang w:val="fr-CA"/>
        </w:rPr>
        <w:t>, par. 28), je suis d’accord avec les appelantes pour dire qu’il est plus juste de qualifier de substantiels et de non accessoires les effets de l’imposition de ce régime (transcription, jour 1, p. 28). En mettant en œuvre un tel régime, la législature cherche à préserver des droits substantiels qu’elle s’est appropriés en imposant automatiquement le recours collectif à d’autres gouvernements. Elle introduit l’action sans le consentement des autres gouvernements (voir les motifs de la C.A., par. 76).</w:t>
      </w:r>
    </w:p>
    <w:p w14:paraId="677258D4" w14:textId="77777777" w:rsidR="00C328A2" w:rsidRPr="00C328A2" w:rsidRDefault="00C328A2" w:rsidP="00C328A2">
      <w:pPr>
        <w:pStyle w:val="ParaNoNdepar-AltN"/>
        <w:spacing w:before="0"/>
        <w:rPr>
          <w:rFonts w:cs="Times New Roman"/>
          <w:lang w:val="fr-CA"/>
        </w:rPr>
      </w:pPr>
      <w:r w:rsidRPr="00C328A2">
        <w:rPr>
          <w:rFonts w:cs="Times New Roman"/>
          <w:lang w:val="fr-CA"/>
        </w:rPr>
        <w:t xml:space="preserve">En ce sens, je partage l’opinion de la Cour d’appel de l’Ontario qui, dans l’arrêt </w:t>
      </w:r>
      <w:r w:rsidRPr="00C328A2">
        <w:rPr>
          <w:rFonts w:cs="Times New Roman"/>
          <w:i/>
          <w:iCs/>
          <w:lang w:val="fr-CA"/>
        </w:rPr>
        <w:t>Johnson c. Ontario</w:t>
      </w:r>
      <w:r w:rsidRPr="00C328A2">
        <w:rPr>
          <w:rFonts w:cs="Times New Roman"/>
          <w:lang w:val="fr-CA"/>
        </w:rPr>
        <w:t xml:space="preserve">, 2021 ONCA 650, 158 O.R. (3d) 266, par. 15, sous la plume du juge Lauwers, déclarait ce qui suit : </w:t>
      </w:r>
      <w:r w:rsidRPr="00C328A2">
        <w:rPr>
          <w:rFonts w:cs="Times New Roman"/>
          <w:smallCaps/>
          <w:lang w:val="fr-CA"/>
        </w:rPr>
        <w:t>[traduction]</w:t>
      </w:r>
      <w:r w:rsidRPr="00C328A2">
        <w:rPr>
          <w:rFonts w:cs="Times New Roman"/>
          <w:lang w:val="fr-CA"/>
        </w:rPr>
        <w:t xml:space="preserve"> « . . . le droit d’exclusion est lui</w:t>
      </w:r>
      <w:r w:rsidRPr="00C328A2">
        <w:rPr>
          <w:rFonts w:cs="Times New Roman"/>
          <w:lang w:val="fr-CA"/>
        </w:rPr>
        <w:noBreakHyphen/>
        <w:t xml:space="preserve">même un droit substantiel ». Dans cette affaire, la cour a conclu que le justiciable avait </w:t>
      </w:r>
      <w:r w:rsidRPr="00C328A2">
        <w:rPr>
          <w:rFonts w:cs="Times New Roman"/>
          <w:smallCaps/>
          <w:lang w:val="fr-CA"/>
        </w:rPr>
        <w:t>[traduction]</w:t>
      </w:r>
      <w:r w:rsidRPr="00C328A2">
        <w:rPr>
          <w:rFonts w:cs="Times New Roman"/>
          <w:lang w:val="fr-CA"/>
        </w:rPr>
        <w:t xml:space="preserve"> « perdu des droits substantiels d’une importance significative lorsqu’il a été débouté de sa requête en prorogation du délai qui lui était imparti pour s’exclure du recours collectif » (par. 26). La perte de droits substantiels importants découlait du fait pour le justiciable d’être automatiquement considéré comme un membre potentiel du groupe. Comme le juge Lauwers l’écrit, au par. 16 :</w:t>
      </w:r>
    </w:p>
    <w:p w14:paraId="28C69D3A" w14:textId="77777777" w:rsidR="00C328A2" w:rsidRPr="00C328A2" w:rsidRDefault="00C328A2" w:rsidP="00C328A2">
      <w:pPr>
        <w:pStyle w:val="Citation-AltC"/>
        <w:ind w:hanging="1166"/>
        <w:contextualSpacing w:val="0"/>
        <w:rPr>
          <w:lang w:val="fr-CA"/>
        </w:rPr>
      </w:pPr>
      <w:r w:rsidRPr="00C328A2">
        <w:rPr>
          <w:smallCaps/>
          <w:lang w:val="fr-CA"/>
        </w:rPr>
        <w:tab/>
      </w:r>
      <w:r w:rsidRPr="00C328A2">
        <w:rPr>
          <w:smallCaps/>
          <w:lang w:val="fr-CA"/>
        </w:rPr>
        <w:tab/>
        <w:t xml:space="preserve">[traduction] </w:t>
      </w:r>
      <w:r w:rsidRPr="00C328A2">
        <w:rPr>
          <w:lang w:val="fr-CA"/>
        </w:rPr>
        <w:t>Notre société accorde une grande importance à la capacité du justiciable d’intenter une poursuite et d’y participer, en tant qu’élément de son autonomie personnelle. Cette autonomie s’accompagne du droit de sélectionner l’avocat de son choix, de participer à l’élaboration de la stratégie à adopter dans le cadre du litige et de participer à des négociations en vue du règlement de l’action. Le droit que la loi lui reconnaît de s’exclure du recours collectif fait partie de ces droits importants.</w:t>
      </w:r>
    </w:p>
    <w:p w14:paraId="668A763C"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 xml:space="preserve">Comme je l’ai mentionné précédemment, une des conséquences du régime avec mécanisme d’exclusion — par opposition à un mécanisme permettant aux demandeurs « d’adhérer volontairement » au recours collectif en tant que membre du groupe visé — est le fait que les membres du groupe visé sont automatiquement réputés faire partie du recours collectif, sauf s’ils prennent des mesures proactives pour s’en exclure. Hormis le représentant des demandeurs, aucun membre du groupe ne peut intervenir de façon significative sur une foule d’aspects importants de l’instance, notamment en ce qui concerne le choix de l’avocat, la stratégie à adopter durant l’instance, les éléments de preuve à présenter, la participation aux pourparlers de négociation et, ultimement, le règlement du litige (voir le m.a., par. 49). Comme l’a souligné la Cour d’appel de l’Ontario, la faculté de s’exclure du recours collectif </w:t>
      </w:r>
      <w:r w:rsidRPr="00C328A2">
        <w:rPr>
          <w:rFonts w:cs="Times New Roman"/>
          <w:smallCaps/>
          <w:lang w:val="fr-CA"/>
        </w:rPr>
        <w:t>[traduction]</w:t>
      </w:r>
      <w:r w:rsidRPr="00C328A2">
        <w:rPr>
          <w:rFonts w:cs="Times New Roman"/>
          <w:lang w:val="fr-CA"/>
        </w:rPr>
        <w:t xml:space="preserve"> « </w:t>
      </w:r>
      <w:r w:rsidRPr="00C328A2">
        <w:rPr>
          <w:rFonts w:cs="Times New Roman"/>
          <w:lang w:val="fr-CA" w:bidi="en-US"/>
        </w:rPr>
        <w:t xml:space="preserve">donne aux membres du groupe la possibilité de privilégier leur propre autonomie quant à la conduite du litige afin de développer leur propre stratégie, d’engager leur propre avocat, de régler le dossier ou de plaider comme ils le souhaitent en contrepartie des avantage que comporte un recours collectif mené en leur nom, mais sur lequel ils n’ont pas le contrôle » </w:t>
      </w:r>
      <w:r w:rsidRPr="00C328A2">
        <w:rPr>
          <w:rFonts w:cs="Times New Roman"/>
          <w:lang w:val="fr-CA"/>
        </w:rPr>
        <w:t>(</w:t>
      </w:r>
      <w:r w:rsidRPr="00C328A2">
        <w:rPr>
          <w:rFonts w:cs="Times New Roman"/>
          <w:i/>
          <w:iCs/>
          <w:lang w:val="fr-CA"/>
        </w:rPr>
        <w:t>Johnson c. Ontario</w:t>
      </w:r>
      <w:r w:rsidRPr="00C328A2">
        <w:rPr>
          <w:rFonts w:cs="Times New Roman"/>
          <w:lang w:val="fr-CA"/>
        </w:rPr>
        <w:t xml:space="preserve">, 2022 ONCA 725, 164 O.R. (3d) 573, par. 47, citant </w:t>
      </w:r>
      <w:r w:rsidRPr="00C328A2">
        <w:rPr>
          <w:rFonts w:cs="Times New Roman"/>
          <w:i/>
          <w:iCs/>
          <w:lang w:val="fr-CA"/>
        </w:rPr>
        <w:t>Johnson</w:t>
      </w:r>
      <w:r w:rsidRPr="00C328A2">
        <w:rPr>
          <w:rFonts w:cs="Times New Roman"/>
          <w:lang w:val="fr-CA"/>
        </w:rPr>
        <w:t xml:space="preserve"> (2021), par. 16).</w:t>
      </w:r>
    </w:p>
    <w:p w14:paraId="68E6D687"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Il est tout aussi important de noter que, dans le cas d’un régime avec mécanisme d’exclusion, les membres du groupe qui répondent à la définition du groupe perdent leur droit d’intenter parallèlement leurs propres recours sur leur propre territoire. Par exemple, si une autre province, comme l’Ontario, intente une action collective dans sa propre province en vertu de sa propre législation (voir, p. ex., </w:t>
      </w:r>
      <w:r w:rsidRPr="00C328A2">
        <w:rPr>
          <w:rFonts w:cs="Times New Roman"/>
          <w:i/>
          <w:iCs/>
          <w:lang w:val="fr-CA" w:bidi="en-US"/>
        </w:rPr>
        <w:t xml:space="preserve">Loi de </w:t>
      </w:r>
      <w:r w:rsidRPr="00C328A2">
        <w:rPr>
          <w:rFonts w:cs="Times New Roman"/>
          <w:i/>
          <w:iCs/>
          <w:lang w:val="fr-CA" w:bidi="en-US"/>
        </w:rPr>
        <w:lastRenderedPageBreak/>
        <w:t>2019 sur le recouvrement des dommages</w:t>
      </w:r>
      <w:r w:rsidRPr="00C328A2">
        <w:rPr>
          <w:rFonts w:cs="Times New Roman"/>
          <w:i/>
          <w:iCs/>
          <w:lang w:val="fr-CA" w:bidi="en-US"/>
        </w:rPr>
        <w:noBreakHyphen/>
        <w:t>intérêts et du coût des soins de santé imputables aux opioïdes</w:t>
      </w:r>
      <w:r w:rsidRPr="00C328A2">
        <w:rPr>
          <w:rFonts w:cs="Times New Roman"/>
          <w:lang w:val="fr-CA"/>
        </w:rPr>
        <w:t>, L.O. 2019, c. 17, ann. 2,</w:t>
      </w:r>
      <w:r w:rsidRPr="00C328A2">
        <w:rPr>
          <w:rFonts w:cs="Times New Roman"/>
          <w:i/>
          <w:iCs/>
          <w:lang w:val="fr-CA"/>
        </w:rPr>
        <w:t xml:space="preserve"> </w:t>
      </w:r>
      <w:r w:rsidRPr="00C328A2">
        <w:rPr>
          <w:rFonts w:cs="Times New Roman"/>
          <w:lang w:val="fr-CA"/>
        </w:rPr>
        <w:t>par. 12(1)) et qu’elle inclut automatiquement la province de la Colombie</w:t>
      </w:r>
      <w:r w:rsidRPr="00C328A2">
        <w:rPr>
          <w:rFonts w:cs="Times New Roman"/>
          <w:lang w:val="fr-CA"/>
        </w:rPr>
        <w:noBreakHyphen/>
        <w:t>Britannique parmi les membres du groupe visé, cette dernière ne serait pas en mesure de mettre en œuvre ou d’appliquer sur son propre territoire le texte législatif adopté par sa propre législature. En d’autres termes, la province de la Colombie</w:t>
      </w:r>
      <w:r w:rsidRPr="00C328A2">
        <w:rPr>
          <w:rFonts w:cs="Times New Roman"/>
          <w:lang w:val="fr-CA"/>
        </w:rPr>
        <w:noBreakHyphen/>
        <w:t>Britannique ne serait pas en mesure d’intenter une action devant ses propres tribunaux en Colombie</w:t>
      </w:r>
      <w:r w:rsidRPr="00C328A2">
        <w:rPr>
          <w:rFonts w:cs="Times New Roman"/>
          <w:lang w:val="fr-CA"/>
        </w:rPr>
        <w:noBreakHyphen/>
        <w:t>Britannique. Ce conflit potentiel pourrait bel et bien faire obstacle à l’application d’une loi adoptée par le législateur fédéral ou par d’autres législatures provinciales.</w:t>
      </w:r>
    </w:p>
    <w:p w14:paraId="7AC0E71C"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Ma collègue avance l’idée que, dans le cadre du présent recours collectif, les revendications de chaque province seraient jugées conformément aux règles substantielles de chacune d’entre elles. À mon humble avis, ce constat n’a aucune incidence sur l’analyse constitutionnelle. Il ne s’agit pas d’un effet de l’art. 11 de l’</w:t>
      </w:r>
      <w:r w:rsidRPr="00C328A2">
        <w:rPr>
          <w:rFonts w:cs="Times New Roman"/>
          <w:i/>
          <w:lang w:val="fr-CA"/>
        </w:rPr>
        <w:t>ORA</w:t>
      </w:r>
      <w:r w:rsidRPr="00C328A2">
        <w:rPr>
          <w:rFonts w:cs="Times New Roman"/>
          <w:lang w:val="fr-CA"/>
        </w:rPr>
        <w:t xml:space="preserve"> lui</w:t>
      </w:r>
      <w:r w:rsidRPr="00C328A2">
        <w:rPr>
          <w:rFonts w:cs="Times New Roman"/>
          <w:lang w:val="fr-CA"/>
        </w:rPr>
        <w:noBreakHyphen/>
        <w:t>même ni d’une conséquence nécessaire de son application. Il s’agit plutôt d’une conséquence qui découle de la stratégie qu’a adoptée la province de la Colombie</w:t>
      </w:r>
      <w:r w:rsidRPr="00C328A2">
        <w:rPr>
          <w:rFonts w:cs="Times New Roman"/>
          <w:lang w:val="fr-CA"/>
        </w:rPr>
        <w:noBreakHyphen/>
        <w:t>Britannique dans le cadre du litige pour s’assurer que la compétence juridictionnelle de la Cour suprême de la Colombie</w:t>
      </w:r>
      <w:r w:rsidRPr="00C328A2">
        <w:rPr>
          <w:rFonts w:cs="Times New Roman"/>
          <w:lang w:val="fr-CA"/>
        </w:rPr>
        <w:noBreakHyphen/>
        <w:t>Britannique s’applique aux réclamations de toutes les autres provinces, et de mieux contrôler l’issue possible de l’application des règles relatives au choix de la loi applicable.</w:t>
      </w:r>
    </w:p>
    <w:p w14:paraId="556F16D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De plus, une fois qu’un recours collectif a été introduit dans la province de la Colombie</w:t>
      </w:r>
      <w:r w:rsidRPr="00C328A2">
        <w:rPr>
          <w:rFonts w:cs="Times New Roman"/>
          <w:lang w:val="fr-CA"/>
        </w:rPr>
        <w:noBreakHyphen/>
        <w:t xml:space="preserve">Britannique, les autres gouvernements deviennent également assujettis à </w:t>
      </w:r>
      <w:r w:rsidRPr="00C328A2">
        <w:rPr>
          <w:rFonts w:cs="Times New Roman"/>
          <w:lang w:val="fr-CA"/>
        </w:rPr>
        <w:lastRenderedPageBreak/>
        <w:t>la compétence juridictionnelle du tribunal de la province où a été introduit le recours collectif sans avoir pris de mesures pour y adhérer (</w:t>
      </w:r>
      <w:r w:rsidRPr="00C328A2">
        <w:rPr>
          <w:rFonts w:cs="Times New Roman"/>
          <w:i/>
          <w:iCs/>
          <w:lang w:val="fr-CA"/>
        </w:rPr>
        <w:t>Hamm c. Canada (Attorney General)</w:t>
      </w:r>
      <w:r w:rsidRPr="00C328A2">
        <w:rPr>
          <w:rFonts w:cs="Times New Roman"/>
          <w:lang w:val="fr-CA"/>
        </w:rPr>
        <w:t>, 2021 ABCA 329, 32 Alta. L.R. (7th) 213, par. 15). Les lois de la Colombie</w:t>
      </w:r>
      <w:r w:rsidRPr="00C328A2">
        <w:rPr>
          <w:rFonts w:cs="Times New Roman"/>
          <w:lang w:val="fr-CA"/>
        </w:rPr>
        <w:noBreakHyphen/>
        <w:t>Britannique, en l’occurrence l’</w:t>
      </w:r>
      <w:r w:rsidRPr="00C328A2">
        <w:rPr>
          <w:rFonts w:cs="Times New Roman"/>
          <w:i/>
          <w:lang w:val="fr-CA"/>
        </w:rPr>
        <w:t>ORA</w:t>
      </w:r>
      <w:r w:rsidRPr="00C328A2">
        <w:rPr>
          <w:rFonts w:cs="Times New Roman"/>
          <w:lang w:val="fr-CA"/>
        </w:rPr>
        <w:t>, obligent nécessairement les autres gouvernements à faire un choix. Ainsi, le membre du groupe qui ne s’exclut pas du recours collectif perd son autonomie en ce qui concerne la conduite du litige (</w:t>
      </w:r>
      <w:r w:rsidRPr="00C328A2">
        <w:rPr>
          <w:rFonts w:cs="Times New Roman"/>
          <w:i/>
          <w:iCs/>
          <w:lang w:val="fr-CA"/>
        </w:rPr>
        <w:t>Herold c. Wassermann</w:t>
      </w:r>
      <w:r w:rsidRPr="00C328A2">
        <w:rPr>
          <w:rFonts w:cs="Times New Roman"/>
          <w:lang w:val="fr-CA"/>
        </w:rPr>
        <w:t>, 2022 SKCA 103, 473 D.L.R. (4th) 281, par. 39). Ainsi que la Cour d’appel de la Colombie</w:t>
      </w:r>
      <w:r w:rsidRPr="00C328A2">
        <w:rPr>
          <w:rFonts w:cs="Times New Roman"/>
          <w:lang w:val="fr-CA"/>
        </w:rPr>
        <w:noBreakHyphen/>
        <w:t xml:space="preserve">Britannique l’a écrit dans l’arrêt </w:t>
      </w:r>
      <w:r w:rsidRPr="00C328A2">
        <w:rPr>
          <w:rFonts w:cs="Times New Roman"/>
          <w:i/>
          <w:iCs/>
          <w:lang w:val="fr-CA"/>
        </w:rPr>
        <w:t>Coburn and Watson’s Metropolitan Home c. Home Depot of Canada Inc.</w:t>
      </w:r>
      <w:r w:rsidRPr="00C328A2">
        <w:rPr>
          <w:rFonts w:cs="Times New Roman"/>
          <w:lang w:val="fr-CA"/>
        </w:rPr>
        <w:t xml:space="preserve">, 2019 BCCA 308, 438 D.L.R. (4th) 533, par. 14, c’est </w:t>
      </w:r>
      <w:r w:rsidRPr="00C328A2">
        <w:rPr>
          <w:rFonts w:cs="Times New Roman"/>
          <w:smallCaps/>
          <w:lang w:val="fr-CA"/>
        </w:rPr>
        <w:t>[traduction]</w:t>
      </w:r>
      <w:r w:rsidRPr="00C328A2">
        <w:rPr>
          <w:rFonts w:cs="Times New Roman"/>
          <w:lang w:val="fr-CA"/>
        </w:rPr>
        <w:t xml:space="preserve"> « le prix à payer pour pouvoir bénéficier des avantages d’un recours collectif ».</w:t>
      </w:r>
    </w:p>
    <w:p w14:paraId="21CCA8CD"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Je m’empresse d’ajouter que la situation qui nous occupe est différente de celle où un gouvernement participe à une instance introduite devant le tribunal d’une autre province à titre de partie au litige ou d’intervenant. En pareil cas, ce gouvernement conserve malgré tout son autonomie et son pouvoir décisionnel et peut choisir de </w:t>
      </w:r>
      <w:r w:rsidRPr="00C328A2">
        <w:rPr>
          <w:rFonts w:cs="Times New Roman"/>
          <w:smallCaps/>
          <w:lang w:val="fr-CA"/>
        </w:rPr>
        <w:t>[traduction]</w:t>
      </w:r>
      <w:r w:rsidRPr="00C328A2">
        <w:rPr>
          <w:rFonts w:cs="Times New Roman"/>
          <w:lang w:val="fr-CA"/>
        </w:rPr>
        <w:t xml:space="preserve"> « régler ou de renoncer à participer » à l’instance introduite devant le tribunal de l’autre province (m.r.a., par. 8). Ce gouvernement conserve son pouvoir décisionnel à l’égard de tous les aspects substantiels de sa cause, indépendamment du fait qu’il est assujetti aux règles de procédure civile du tribunal de la province où le recours collectif a été introduit. Ma collègue cite certaines décisions pour affirmer qu’un pouvoir décisionnel exercé dans le contexte d’une action en justice peut être restreint par des tribunaux étrangers dans d’autres affaires. Il s’agit de cas où un tribunal </w:t>
      </w:r>
      <w:r w:rsidRPr="00C328A2">
        <w:rPr>
          <w:rFonts w:cs="Times New Roman"/>
          <w:lang w:val="fr-CA"/>
        </w:rPr>
        <w:lastRenderedPageBreak/>
        <w:t xml:space="preserve">a refusé la requête présentée par un demandeur pour se retirer ou se désister d’une action. À mon humble avis, ces décisions ne sont pas utiles dans le présent contexte. Elles concernent des situations particulières dans lesquelles les demandeurs ont tenté de contourner d’importantes règles de procédure, comme celles en matière de taxation et le paiement des dépens (voir, p. ex., </w:t>
      </w:r>
      <w:r w:rsidRPr="00C328A2">
        <w:rPr>
          <w:rFonts w:cs="Times New Roman"/>
          <w:i/>
          <w:lang w:val="fr-CA"/>
        </w:rPr>
        <w:t>Dubuc c. 1663066 Ontario Inc.</w:t>
      </w:r>
      <w:r w:rsidRPr="00C328A2">
        <w:rPr>
          <w:rFonts w:cs="Times New Roman"/>
          <w:lang w:val="fr-CA"/>
        </w:rPr>
        <w:t xml:space="preserve">, 2009 ONCA 914, 99 O.R. (3d) 476). Voilà des exemples de cas où les tribunaux ont enlevé certains droits individuels appartenant à des justiciables en raison de circonstances exceptionnelles. Par ailleurs, l’art. 11 est </w:t>
      </w:r>
      <w:r w:rsidRPr="00C328A2">
        <w:rPr>
          <w:rFonts w:cs="Times New Roman"/>
          <w:i/>
          <w:lang w:val="fr-CA"/>
        </w:rPr>
        <w:t xml:space="preserve">présumé </w:t>
      </w:r>
      <w:r w:rsidRPr="00C328A2">
        <w:rPr>
          <w:rFonts w:cs="Times New Roman"/>
          <w:lang w:val="fr-CA"/>
        </w:rPr>
        <w:t xml:space="preserve">avoir pour effet d’écarter pratiquement </w:t>
      </w:r>
      <w:r w:rsidRPr="00C328A2">
        <w:rPr>
          <w:rFonts w:cs="Times New Roman"/>
          <w:i/>
          <w:lang w:val="fr-CA"/>
        </w:rPr>
        <w:t xml:space="preserve">tout </w:t>
      </w:r>
      <w:r w:rsidRPr="00C328A2">
        <w:rPr>
          <w:rFonts w:cs="Times New Roman"/>
          <w:lang w:val="fr-CA"/>
        </w:rPr>
        <w:t>pouvoir décisionnel en matière de litiges.</w:t>
      </w:r>
    </w:p>
    <w:p w14:paraId="437480C3"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Les effets de la disposition contestée dans le présent pourvoi sont diamétralement à l’opposé de ce qu’est l’autonomie dans la conduite du litige. Le fait que l’art. 11 de l’</w:t>
      </w:r>
      <w:r w:rsidRPr="00C328A2">
        <w:rPr>
          <w:rFonts w:cs="Times New Roman"/>
          <w:i/>
          <w:lang w:val="fr-CA"/>
        </w:rPr>
        <w:t xml:space="preserve">ORA </w:t>
      </w:r>
      <w:r w:rsidRPr="00C328A2">
        <w:rPr>
          <w:rFonts w:cs="Times New Roman"/>
          <w:lang w:val="fr-CA"/>
        </w:rPr>
        <w:t>s’applique dans le cadre d’un régime avec mécanisme d’exclusion signifie nécessairement que, par défaut, les autres gouvernements provinciaux et le gouvernement fédéral sont inclus dans le recours collectif. Ayant été automatiquement inclus en vertu du sous</w:t>
      </w:r>
      <w:r w:rsidRPr="00C328A2">
        <w:rPr>
          <w:rFonts w:cs="Times New Roman"/>
          <w:lang w:val="fr-CA"/>
        </w:rPr>
        <w:noBreakHyphen/>
        <w:t>al. 11(1)(b)(i), ces gouvernements se voient dépouillés de leur autonomie dans la conduite du litige s’ils ne prennent pas de mesures concrètes pour s’exclure de l’instance. Il faut entreprendre ces mesures conformément à l’ordonnance d’autorisation, ce qui veut dire que les tribunaux provinciaux de la Colombie</w:t>
      </w:r>
      <w:r w:rsidRPr="00C328A2">
        <w:rPr>
          <w:rFonts w:cs="Times New Roman"/>
          <w:lang w:val="fr-CA"/>
        </w:rPr>
        <w:noBreakHyphen/>
        <w:t xml:space="preserve">Britannique vont dicter la manière dont les autres provinces et le gouvernement fédéral s’y prennent pour préserver leurs propres droits. D’ailleurs, leur décision de s’exclure est une décision formelle qui doit être signalée au tribunal (voir </w:t>
      </w:r>
      <w:r w:rsidRPr="00C328A2">
        <w:rPr>
          <w:rFonts w:cs="Times New Roman"/>
          <w:lang w:val="fr-CA"/>
        </w:rPr>
        <w:lastRenderedPageBreak/>
        <w:t xml:space="preserve">W. K. Branch et M. P. Good, </w:t>
      </w:r>
      <w:r w:rsidRPr="00C328A2">
        <w:rPr>
          <w:rFonts w:cs="Times New Roman"/>
          <w:i/>
          <w:lang w:val="fr-CA"/>
        </w:rPr>
        <w:t>Class Actions in Canada</w:t>
      </w:r>
      <w:r w:rsidRPr="00C328A2">
        <w:rPr>
          <w:rFonts w:cs="Times New Roman"/>
          <w:lang w:val="fr-CA"/>
        </w:rPr>
        <w:t xml:space="preserve"> (2</w:t>
      </w:r>
      <w:r w:rsidRPr="00C328A2">
        <w:rPr>
          <w:rFonts w:cs="Times New Roman"/>
          <w:vertAlign w:val="superscript"/>
          <w:lang w:val="fr-CA"/>
        </w:rPr>
        <w:t>e</w:t>
      </w:r>
      <w:r w:rsidRPr="00C328A2">
        <w:rPr>
          <w:rFonts w:cs="Times New Roman"/>
          <w:lang w:val="fr-CA"/>
        </w:rPr>
        <w:t xml:space="preserve"> éd. (feuilles mobiles)), § 11:1).</w:t>
      </w:r>
    </w:p>
    <w:p w14:paraId="677C8CD5"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Il convient de noter que, dans sa lettre de soutien (ou lettres d’appui), chaque gouvernement a qualifié l’art. 11 de « mécanisme d’adhésion volontaire » leur accordant la possibilité de se joindre au recours collectif après avoir pris des mesures concrètes en ce sens. Leur compréhension de l’art. 11 ne concorde pas avec le libellé explicite de cet article. Il faut signaler par ailleurs que, comme l’a reconnu la Cour d’appel en l’espèce, dans le cadre de sa stratégie en vue du procès, la province de la Colombie</w:t>
      </w:r>
      <w:r w:rsidRPr="00C328A2">
        <w:rPr>
          <w:rFonts w:cs="Times New Roman"/>
          <w:lang w:val="fr-CA"/>
        </w:rPr>
        <w:noBreakHyphen/>
        <w:t xml:space="preserve">Britannique a décidé de </w:t>
      </w:r>
      <w:r w:rsidRPr="00C328A2">
        <w:rPr>
          <w:rFonts w:cs="Times New Roman"/>
          <w:smallCaps/>
          <w:lang w:val="fr-CA"/>
        </w:rPr>
        <w:t>[traduction]</w:t>
      </w:r>
      <w:r w:rsidRPr="00C328A2">
        <w:rPr>
          <w:rFonts w:cs="Times New Roman"/>
          <w:lang w:val="fr-CA"/>
        </w:rPr>
        <w:t xml:space="preserve"> « demande[r] au tribunal de préciser dans l’ordonnance autorisant le recours collectif que les gouvernements qui n’ont pas “positivement </w:t>
      </w:r>
      <w:r w:rsidRPr="00C328A2">
        <w:rPr>
          <w:rFonts w:cs="Times New Roman"/>
          <w:i/>
          <w:iCs/>
          <w:lang w:val="fr-CA"/>
        </w:rPr>
        <w:t>adhéré</w:t>
      </w:r>
      <w:r w:rsidRPr="00C328A2">
        <w:rPr>
          <w:rFonts w:cs="Times New Roman"/>
          <w:lang w:val="fr-CA"/>
        </w:rPr>
        <w:t xml:space="preserve">” au recours seront réputés s’en être </w:t>
      </w:r>
      <w:r w:rsidRPr="00C328A2">
        <w:rPr>
          <w:rFonts w:cs="Times New Roman"/>
          <w:i/>
          <w:iCs/>
          <w:lang w:val="fr-CA"/>
        </w:rPr>
        <w:t>exclus</w:t>
      </w:r>
      <w:r w:rsidRPr="00C328A2">
        <w:rPr>
          <w:rFonts w:cs="Times New Roman"/>
          <w:lang w:val="fr-CA"/>
        </w:rPr>
        <w:t> » (par. 54 (en italique dans l’original)). Là encore, ce n’est pas ce que prévoit l’art. 11. Pour déterminer si l’art. 11 est constitutionnel, notre Cour doit examiner ce que l’art. 11 autorise la Colombie</w:t>
      </w:r>
      <w:r w:rsidRPr="00C328A2">
        <w:rPr>
          <w:rFonts w:cs="Times New Roman"/>
          <w:lang w:val="fr-CA"/>
        </w:rPr>
        <w:noBreakHyphen/>
        <w:t>Britannique à faire, et non la tentative de cette province de restreindre les effets inconstitutionnels de la disposition en ajoutant un mécanisme d’adhésion volontaire dans l’ordonnance d’autorisation.</w:t>
      </w:r>
    </w:p>
    <w:p w14:paraId="3033B8F9"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Encore une fois, je reconnais que le cœur de la disposition concerne l’autorisation; mais l’objet principal de l’art. 11 n’est déterminé qu’en fonction de ce qui se passe ultimement dans le cadre du recours collectif une fois que celui</w:t>
      </w:r>
      <w:r w:rsidRPr="00C328A2">
        <w:rPr>
          <w:rFonts w:cs="Times New Roman"/>
          <w:lang w:val="fr-CA"/>
        </w:rPr>
        <w:noBreakHyphen/>
        <w:t xml:space="preserve">ci a été autorisé. Dans le cas qui nous occupe, les provinces seraient, comme elles l’ont toutes reconnu, liées par les ordonnances rendues dans le cadre du recours collectif. Elles </w:t>
      </w:r>
      <w:r w:rsidRPr="00C328A2">
        <w:rPr>
          <w:rFonts w:cs="Times New Roman"/>
          <w:lang w:val="fr-CA"/>
        </w:rPr>
        <w:lastRenderedPageBreak/>
        <w:t>renonceraient entièrement à leur autonomie dans la conduite du litige (transcription, jour 1, p. 29). Ainsi, la disposition contestée permet à la législature de la Colombie</w:t>
      </w:r>
      <w:r w:rsidRPr="00C328A2">
        <w:rPr>
          <w:rFonts w:cs="Times New Roman"/>
          <w:lang w:val="fr-CA"/>
        </w:rPr>
        <w:noBreakHyphen/>
        <w:t>Britannique de s’ingérer dans les droits et les prérogatives des autres gouvernements provinciaux et du gouvernement fédéral.</w:t>
      </w:r>
    </w:p>
    <w:p w14:paraId="4B4BEA05" w14:textId="77777777" w:rsidR="00C328A2" w:rsidRPr="00C328A2" w:rsidRDefault="00C328A2" w:rsidP="00C328A2">
      <w:pPr>
        <w:pStyle w:val="Title4LevelTitre4Niveau"/>
        <w:widowControl w:val="0"/>
        <w:numPr>
          <w:ilvl w:val="0"/>
          <w:numId w:val="0"/>
        </w:numPr>
        <w:spacing w:before="0"/>
        <w:ind w:left="1170" w:hanging="630"/>
        <w:rPr>
          <w:rFonts w:cs="Times New Roman"/>
          <w:lang w:val="fr-CA"/>
        </w:rPr>
      </w:pPr>
      <w:r w:rsidRPr="00C328A2">
        <w:rPr>
          <w:rFonts w:cs="Times New Roman"/>
          <w:i w:val="0"/>
          <w:lang w:val="fr-CA"/>
        </w:rPr>
        <w:t>b)</w:t>
      </w:r>
      <w:r w:rsidRPr="00C328A2">
        <w:rPr>
          <w:rFonts w:cs="Times New Roman"/>
          <w:lang w:val="fr-CA"/>
        </w:rPr>
        <w:tab/>
        <w:t>Les effets ne sont pas purement accessoires</w:t>
      </w:r>
    </w:p>
    <w:p w14:paraId="3A5D992F"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Avec égards, je ne puis accepter la conclusion de ma collègue selon laquelle les effets de l’art. 11 sur l’autonomie des autres gouvernements dans la conduite du litige sont accessoires. Bien que les effets découlant d’une ingérence automatique ou présumée dans les droits substantiels des parties se trouvant à l’extérieur de la province puissent être accessoires dans certains cas (quoique je m’abstienne de me prononcer sur cette question), ce n’est pas le cas dans le contexte de l’art. 11 de l’</w:t>
      </w:r>
      <w:r w:rsidRPr="00C328A2">
        <w:rPr>
          <w:rFonts w:cs="Times New Roman"/>
          <w:i/>
          <w:lang w:val="fr-CA"/>
        </w:rPr>
        <w:t>ORA</w:t>
      </w:r>
      <w:r w:rsidRPr="00C328A2">
        <w:rPr>
          <w:rFonts w:cs="Times New Roman"/>
          <w:lang w:val="fr-CA"/>
        </w:rPr>
        <w:t>. Je m’explique.</w:t>
      </w:r>
    </w:p>
    <w:p w14:paraId="33CA71F9"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Tout d’abord, l’art. 11 s’applique </w:t>
      </w:r>
      <w:r w:rsidRPr="00C328A2">
        <w:rPr>
          <w:rFonts w:cs="Times New Roman"/>
          <w:i/>
          <w:iCs/>
          <w:lang w:val="fr-CA"/>
        </w:rPr>
        <w:t>principalement</w:t>
      </w:r>
      <w:r w:rsidRPr="00C328A2">
        <w:rPr>
          <w:rFonts w:cs="Times New Roman"/>
          <w:i/>
          <w:lang w:val="fr-CA"/>
        </w:rPr>
        <w:t xml:space="preserve"> </w:t>
      </w:r>
      <w:r w:rsidRPr="00C328A2">
        <w:rPr>
          <w:rFonts w:cs="Times New Roman"/>
          <w:lang w:val="fr-CA"/>
        </w:rPr>
        <w:t>— et non accessoirement — à des parties se trouvant à l’extérieur de la province qui a adopté la loi. Il vise d’abord et avant tout non pas les membres du groupe qui se trouvent sur le territoire de la province, mais ceux qui sont à l’extérieur de la province, à savoir les autres gouvernements provinciaux et le gouvernement fédéral.</w:t>
      </w:r>
    </w:p>
    <w:p w14:paraId="78832563"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Ensuite, la Couronne n’est pas une partie ordinaire. Il en est ainsi parce que toutes les législatures provinciales et le Parlement fédéral ont accordé à leur propre procureur général le pouvoir et le devoir d’ester en justice au nom de la Couronne (</w:t>
      </w:r>
      <w:r w:rsidRPr="00C328A2">
        <w:rPr>
          <w:rFonts w:cs="Times New Roman"/>
          <w:i/>
          <w:iCs/>
          <w:lang w:val="fr-CA"/>
        </w:rPr>
        <w:t xml:space="preserve">Loi </w:t>
      </w:r>
      <w:r w:rsidRPr="00C328A2">
        <w:rPr>
          <w:rFonts w:cs="Times New Roman"/>
          <w:i/>
          <w:iCs/>
          <w:lang w:val="fr-CA"/>
        </w:rPr>
        <w:lastRenderedPageBreak/>
        <w:t>sur le ministère de la Justice</w:t>
      </w:r>
      <w:r w:rsidRPr="00C328A2">
        <w:rPr>
          <w:rFonts w:cs="Times New Roman"/>
          <w:lang w:val="fr-CA"/>
        </w:rPr>
        <w:t>, L.R.C. 1985, c. J</w:t>
      </w:r>
      <w:r w:rsidRPr="00C328A2">
        <w:rPr>
          <w:rFonts w:cs="Times New Roman"/>
          <w:lang w:val="fr-CA"/>
        </w:rPr>
        <w:noBreakHyphen/>
        <w:t xml:space="preserve">2, art. 5; </w:t>
      </w:r>
      <w:r w:rsidRPr="00C328A2">
        <w:rPr>
          <w:rFonts w:cs="Times New Roman"/>
          <w:i/>
          <w:iCs/>
          <w:lang w:val="fr-CA"/>
        </w:rPr>
        <w:t>Government Organization Act</w:t>
      </w:r>
      <w:r w:rsidRPr="00C328A2">
        <w:rPr>
          <w:rFonts w:cs="Times New Roman"/>
          <w:lang w:val="fr-CA"/>
        </w:rPr>
        <w:t>, R.S.A. 2000, c. G</w:t>
      </w:r>
      <w:r w:rsidRPr="00C328A2">
        <w:rPr>
          <w:rFonts w:cs="Times New Roman"/>
          <w:lang w:val="fr-CA"/>
        </w:rPr>
        <w:noBreakHyphen/>
        <w:t xml:space="preserve">10, ann. 9, art. 2; </w:t>
      </w:r>
      <w:r w:rsidRPr="00C328A2">
        <w:rPr>
          <w:rFonts w:cs="Times New Roman"/>
          <w:i/>
          <w:iCs/>
          <w:lang w:val="fr-CA"/>
        </w:rPr>
        <w:t>Loi sur le ministère de la Justice</w:t>
      </w:r>
      <w:r w:rsidRPr="00C328A2">
        <w:rPr>
          <w:rFonts w:cs="Times New Roman"/>
          <w:lang w:val="fr-CA"/>
        </w:rPr>
        <w:t xml:space="preserve">, C.P.L.M. c. J35, art. 2 et 2.1; </w:t>
      </w:r>
      <w:r w:rsidRPr="00C328A2">
        <w:rPr>
          <w:rFonts w:cs="Times New Roman"/>
          <w:i/>
          <w:iCs/>
          <w:lang w:val="fr-CA" w:bidi="en-US"/>
        </w:rPr>
        <w:t>Loi sur le rôle du procureur général</w:t>
      </w:r>
      <w:r w:rsidRPr="00C328A2">
        <w:rPr>
          <w:rFonts w:cs="Times New Roman"/>
          <w:lang w:val="fr-CA"/>
        </w:rPr>
        <w:t>, L.R.N.</w:t>
      </w:r>
      <w:r w:rsidRPr="00C328A2">
        <w:rPr>
          <w:rFonts w:cs="Times New Roman"/>
          <w:lang w:val="fr-CA"/>
        </w:rPr>
        <w:noBreakHyphen/>
        <w:t xml:space="preserve">B. 2011, c. 116, art. 2; </w:t>
      </w:r>
      <w:r w:rsidRPr="00C328A2">
        <w:rPr>
          <w:rFonts w:cs="Times New Roman"/>
          <w:i/>
          <w:iCs/>
          <w:lang w:val="fr-CA"/>
        </w:rPr>
        <w:t>Public Service Act</w:t>
      </w:r>
      <w:r w:rsidRPr="00C328A2">
        <w:rPr>
          <w:rFonts w:cs="Times New Roman"/>
          <w:lang w:val="fr-CA"/>
        </w:rPr>
        <w:t xml:space="preserve">, R.S.N.S. 1989, c. 376, art. 29; </w:t>
      </w:r>
      <w:r w:rsidRPr="00C328A2">
        <w:rPr>
          <w:rFonts w:cs="Times New Roman"/>
          <w:i/>
          <w:iCs/>
          <w:lang w:val="fr-CA" w:bidi="en-US"/>
        </w:rPr>
        <w:t>Loi sur le ministère du Procureur général</w:t>
      </w:r>
      <w:r w:rsidRPr="00C328A2">
        <w:rPr>
          <w:rFonts w:cs="Times New Roman"/>
          <w:lang w:val="fr-CA"/>
        </w:rPr>
        <w:t xml:space="preserve">, L.R.O. 1990, c. M.17, art. 5; </w:t>
      </w:r>
      <w:r w:rsidRPr="00C328A2">
        <w:rPr>
          <w:rFonts w:cs="Times New Roman"/>
          <w:i/>
          <w:iCs/>
          <w:lang w:val="fr-CA"/>
        </w:rPr>
        <w:t>Loi sur le ministère de la Justice</w:t>
      </w:r>
      <w:r w:rsidRPr="00C328A2">
        <w:rPr>
          <w:rFonts w:cs="Times New Roman"/>
          <w:lang w:val="fr-CA"/>
        </w:rPr>
        <w:t>, RLRQ, c. M</w:t>
      </w:r>
      <w:r w:rsidRPr="00C328A2">
        <w:rPr>
          <w:rFonts w:cs="Times New Roman"/>
          <w:lang w:val="fr-CA"/>
        </w:rPr>
        <w:noBreakHyphen/>
        <w:t xml:space="preserve">19, art. 4; </w:t>
      </w:r>
      <w:r w:rsidRPr="00C328A2">
        <w:rPr>
          <w:rFonts w:cs="Times New Roman"/>
          <w:i/>
          <w:iCs/>
          <w:lang w:val="fr-CA"/>
        </w:rPr>
        <w:t>The Justice and Attorney General Act</w:t>
      </w:r>
      <w:r w:rsidRPr="00C328A2">
        <w:rPr>
          <w:rFonts w:cs="Times New Roman"/>
          <w:lang w:val="fr-CA"/>
        </w:rPr>
        <w:t>, S.S. 1983, c. J</w:t>
      </w:r>
      <w:r w:rsidRPr="00C328A2">
        <w:rPr>
          <w:rFonts w:cs="Times New Roman"/>
          <w:lang w:val="fr-CA"/>
        </w:rPr>
        <w:noBreakHyphen/>
        <w:t xml:space="preserve">4.3, art. 10; </w:t>
      </w:r>
      <w:r w:rsidRPr="00C328A2">
        <w:rPr>
          <w:rFonts w:cs="Times New Roman"/>
          <w:i/>
          <w:iCs/>
          <w:lang w:val="fr-CA"/>
        </w:rPr>
        <w:t>Executive Council Act</w:t>
      </w:r>
      <w:r w:rsidRPr="00C328A2">
        <w:rPr>
          <w:rFonts w:cs="Times New Roman"/>
          <w:lang w:val="fr-CA"/>
        </w:rPr>
        <w:t>, S.N.L. 1995, c. E</w:t>
      </w:r>
      <w:r w:rsidRPr="00C328A2">
        <w:rPr>
          <w:rFonts w:cs="Times New Roman"/>
          <w:lang w:val="fr-CA"/>
        </w:rPr>
        <w:noBreakHyphen/>
        <w:t xml:space="preserve">16.1, par. 4(4); </w:t>
      </w:r>
      <w:r w:rsidRPr="00C328A2">
        <w:rPr>
          <w:rFonts w:cs="Times New Roman"/>
          <w:i/>
          <w:iCs/>
          <w:lang w:val="fr-CA"/>
        </w:rPr>
        <w:t>Loi sur le ministère de la Justice</w:t>
      </w:r>
      <w:r w:rsidRPr="00C328A2">
        <w:rPr>
          <w:rFonts w:cs="Times New Roman"/>
          <w:lang w:val="fr-CA"/>
        </w:rPr>
        <w:t>, L.R.T.N.</w:t>
      </w:r>
      <w:r w:rsidRPr="00C328A2">
        <w:rPr>
          <w:rFonts w:cs="Times New Roman"/>
          <w:lang w:val="fr-CA"/>
        </w:rPr>
        <w:noBreakHyphen/>
        <w:t xml:space="preserve">O. (Nun.) 1988, c. 97 (suppl.), art. 5; </w:t>
      </w:r>
      <w:r w:rsidRPr="00C328A2">
        <w:rPr>
          <w:rFonts w:cs="Times New Roman"/>
          <w:i/>
          <w:iCs/>
          <w:lang w:val="fr-CA"/>
        </w:rPr>
        <w:t>Judicature Act</w:t>
      </w:r>
      <w:r w:rsidRPr="00C328A2">
        <w:rPr>
          <w:rFonts w:cs="Times New Roman"/>
          <w:lang w:val="fr-CA"/>
        </w:rPr>
        <w:t>, R.S.P.E.I. 1988, c. J</w:t>
      </w:r>
      <w:r w:rsidRPr="00C328A2">
        <w:rPr>
          <w:rFonts w:cs="Times New Roman"/>
          <w:lang w:val="fr-CA"/>
        </w:rPr>
        <w:noBreakHyphen/>
        <w:t xml:space="preserve">2.1, art. 36; </w:t>
      </w:r>
      <w:r w:rsidRPr="00C328A2">
        <w:rPr>
          <w:rFonts w:cs="Times New Roman"/>
          <w:i/>
          <w:iCs/>
          <w:lang w:val="fr-CA"/>
        </w:rPr>
        <w:t>Loi sur le ministère de la Justice</w:t>
      </w:r>
      <w:r w:rsidRPr="00C328A2">
        <w:rPr>
          <w:rFonts w:cs="Times New Roman"/>
          <w:lang w:val="fr-CA"/>
        </w:rPr>
        <w:t>, L.R.Y. 2002, c. 55, art. 7).</w:t>
      </w:r>
    </w:p>
    <w:p w14:paraId="5A3E2F30"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Les appelantes ont raison d’affirmer que les obligations et les pouvoirs des procureurs généraux d’ester en justice au nom de leur gouvernement respectif comportent des dimensions constitutionnelles qui ont pour fondement [</w:t>
      </w:r>
      <w:r w:rsidRPr="00C328A2">
        <w:rPr>
          <w:rFonts w:cs="Times New Roman"/>
          <w:smallCaps/>
          <w:lang w:val="fr-CA"/>
        </w:rPr>
        <w:t>traduction</w:t>
      </w:r>
      <w:r w:rsidRPr="00C328A2">
        <w:rPr>
          <w:rFonts w:cs="Times New Roman"/>
          <w:lang w:val="fr-CA"/>
        </w:rPr>
        <w:t xml:space="preserve">] </w:t>
      </w:r>
      <w:r w:rsidRPr="00C328A2">
        <w:rPr>
          <w:rFonts w:cs="Times New Roman"/>
          <w:lang w:val="fr-CA" w:bidi="en-US"/>
        </w:rPr>
        <w:t>« la coutume, la tradition et l’usage constitutionnel »</w:t>
      </w:r>
      <w:r w:rsidRPr="00C328A2">
        <w:rPr>
          <w:rFonts w:cs="Times New Roman"/>
          <w:lang w:val="fr-CA"/>
        </w:rPr>
        <w:t xml:space="preserve"> (voir </w:t>
      </w:r>
      <w:r w:rsidRPr="00C328A2">
        <w:rPr>
          <w:rFonts w:cs="Times New Roman"/>
          <w:i/>
          <w:lang w:val="fr-CA"/>
        </w:rPr>
        <w:t xml:space="preserve">In re Criminal Code </w:t>
      </w:r>
      <w:r w:rsidRPr="00C328A2">
        <w:rPr>
          <w:rFonts w:cs="Times New Roman"/>
          <w:lang w:val="fr-CA"/>
        </w:rPr>
        <w:t xml:space="preserve">(1910), 43 R.C.S. 434, p. 443, le juge Idington). La partie V de la </w:t>
      </w:r>
      <w:r w:rsidRPr="00C328A2">
        <w:rPr>
          <w:rFonts w:cs="Times New Roman"/>
          <w:i/>
          <w:lang w:val="fr-CA"/>
        </w:rPr>
        <w:t>Loi constitutionnelle de 1867</w:t>
      </w:r>
      <w:r w:rsidRPr="00C328A2">
        <w:rPr>
          <w:rFonts w:cs="Times New Roman"/>
          <w:lang w:val="fr-CA"/>
        </w:rPr>
        <w:t xml:space="preserve"> reconnaît expressément que la charge de procureur général fait partie des constitutions provinciales. De plus, les procureurs généraux exercent tant des fonctions exécutives que des fonctions judiciaires. D’ailleurs, en leur qualité de premiers conseillers juridiques de l’État, les procureurs généraux exercent leur fonction au nom du pouvoir exécutif en application de la compétence reconnue aux provinces au par. 92(14) de la </w:t>
      </w:r>
      <w:r w:rsidRPr="00C328A2">
        <w:rPr>
          <w:rFonts w:cs="Times New Roman"/>
          <w:i/>
          <w:lang w:val="fr-CA"/>
        </w:rPr>
        <w:t>Loi constitutionnelle de 1867</w:t>
      </w:r>
      <w:r w:rsidRPr="00C328A2">
        <w:rPr>
          <w:rFonts w:cs="Times New Roman"/>
          <w:lang w:val="fr-CA"/>
        </w:rPr>
        <w:t xml:space="preserve"> (voir </w:t>
      </w:r>
      <w:r w:rsidRPr="00C328A2">
        <w:rPr>
          <w:rFonts w:cs="Times New Roman"/>
          <w:i/>
          <w:iCs/>
          <w:lang w:val="fr-CA"/>
        </w:rPr>
        <w:t>Krieger c. Law Society of Alberta</w:t>
      </w:r>
      <w:r w:rsidRPr="00C328A2">
        <w:rPr>
          <w:rFonts w:cs="Times New Roman"/>
          <w:lang w:val="fr-CA"/>
        </w:rPr>
        <w:t>, 2002 CSC 65, [2002] 3 R.C.S. 372, par. 24</w:t>
      </w:r>
      <w:r w:rsidRPr="00C328A2">
        <w:rPr>
          <w:rFonts w:cs="Times New Roman"/>
          <w:lang w:val="fr-CA"/>
        </w:rPr>
        <w:noBreakHyphen/>
        <w:t xml:space="preserve">27; </w:t>
      </w:r>
      <w:r w:rsidRPr="00C328A2">
        <w:rPr>
          <w:rFonts w:cs="Times New Roman"/>
          <w:i/>
          <w:iCs/>
          <w:lang w:val="fr-CA"/>
        </w:rPr>
        <w:t>Ontario c. Criminal Lawyers’ Association of Ontari</w:t>
      </w:r>
      <w:r w:rsidRPr="00C328A2">
        <w:rPr>
          <w:rFonts w:cs="Times New Roman"/>
          <w:i/>
          <w:lang w:val="fr-CA"/>
        </w:rPr>
        <w:t>o</w:t>
      </w:r>
      <w:r w:rsidRPr="00C328A2">
        <w:rPr>
          <w:rFonts w:cs="Times New Roman"/>
          <w:lang w:val="fr-CA"/>
        </w:rPr>
        <w:t xml:space="preserve">, </w:t>
      </w:r>
      <w:r w:rsidRPr="00C328A2">
        <w:rPr>
          <w:rFonts w:cs="Times New Roman"/>
          <w:lang w:val="fr-CA"/>
        </w:rPr>
        <w:lastRenderedPageBreak/>
        <w:t>2013 CSC 43, [2013] 3 R.C.S. 3, par. 34</w:t>
      </w:r>
      <w:r w:rsidRPr="00C328A2">
        <w:rPr>
          <w:rFonts w:cs="Times New Roman"/>
          <w:lang w:val="fr-CA"/>
        </w:rPr>
        <w:noBreakHyphen/>
        <w:t>35). Les effets de l’art. 11 sur ces importantes fonctions ne sauraient être qualifiés de purement accessoires.</w:t>
      </w:r>
    </w:p>
    <w:p w14:paraId="1EA537C1" w14:textId="77777777" w:rsidR="00C328A2" w:rsidRPr="00C328A2" w:rsidRDefault="00C328A2" w:rsidP="00C328A2">
      <w:pPr>
        <w:pStyle w:val="Title4LevelTitre4Niveau"/>
        <w:widowControl w:val="0"/>
        <w:numPr>
          <w:ilvl w:val="0"/>
          <w:numId w:val="0"/>
        </w:numPr>
        <w:spacing w:before="0"/>
        <w:ind w:left="1170" w:hanging="630"/>
        <w:rPr>
          <w:rFonts w:cs="Times New Roman"/>
          <w:lang w:val="fr-CA"/>
        </w:rPr>
      </w:pPr>
      <w:r w:rsidRPr="00C328A2">
        <w:rPr>
          <w:rFonts w:cs="Times New Roman"/>
          <w:i w:val="0"/>
          <w:lang w:val="fr-CA"/>
        </w:rPr>
        <w:t>c)</w:t>
      </w:r>
      <w:r w:rsidRPr="00C328A2">
        <w:rPr>
          <w:rFonts w:cs="Times New Roman"/>
          <w:i w:val="0"/>
          <w:lang w:val="fr-CA"/>
        </w:rPr>
        <w:tab/>
      </w:r>
      <w:r w:rsidRPr="00C328A2">
        <w:rPr>
          <w:rFonts w:cs="Times New Roman"/>
          <w:lang w:val="fr-CA"/>
        </w:rPr>
        <w:t>Mise en balance des effets juridiques et des effets pratiques</w:t>
      </w:r>
    </w:p>
    <w:p w14:paraId="4358AF7E"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Pour les besoins de l’analyse du caractère véritable, il est vrai que ces effets juridiques s’appliquent en parallèle avec les effets pratiques découlant de la disposition contestée. Je reconnais qu’en l’espèce, le principal effet pratique consiste, pour les autres gouvernements provinciaux et le gouvernement fédéral, à choisir de s’exclure ou non du recours collectif en vertu du par. 11(2) de l’</w:t>
      </w:r>
      <w:r w:rsidRPr="00C328A2">
        <w:rPr>
          <w:rFonts w:cs="Times New Roman"/>
          <w:i/>
          <w:lang w:val="fr-CA"/>
        </w:rPr>
        <w:t>ORA</w:t>
      </w:r>
      <w:r w:rsidRPr="00C328A2">
        <w:rPr>
          <w:rFonts w:cs="Times New Roman"/>
          <w:lang w:val="fr-CA"/>
        </w:rPr>
        <w:t>. Ma collègue affirme que cela signifie que les gouvernements peuvent conserver en dernière analyse leur autonomie dans la conduite du litige en se retirant du recours collectif afin d’être en mesure de faire valoir leurs propres revendications sur leur propre territoire. Ce n’est qu’à partir du moment où les gouvernements ont officiellement décidé de ne pas s’exclure du recours collectif que leur autonomie dans la conduite du litige serait touchée.</w:t>
      </w:r>
    </w:p>
    <w:p w14:paraId="3C516072"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Avec égards, ce point de vue considère de manière beaucoup trop restrictive l’effet véritable de l’art. 11 de l’</w:t>
      </w:r>
      <w:r w:rsidRPr="00C328A2">
        <w:rPr>
          <w:rFonts w:cs="Times New Roman"/>
          <w:i/>
          <w:lang w:val="fr-CA"/>
        </w:rPr>
        <w:t>ORA</w:t>
      </w:r>
      <w:r w:rsidRPr="00C328A2">
        <w:rPr>
          <w:rFonts w:cs="Times New Roman"/>
          <w:lang w:val="fr-CA"/>
        </w:rPr>
        <w:t>. À mon avis, pour bien analyser le caractère véritable de l’art. 11, notre Cour doit accorder le poids qui convient à la considération fondamentale en cause : l’art. 11 permet à la législature de la Colombie</w:t>
      </w:r>
      <w:r w:rsidRPr="00C328A2">
        <w:rPr>
          <w:rFonts w:cs="Times New Roman"/>
          <w:lang w:val="fr-CA"/>
        </w:rPr>
        <w:noBreakHyphen/>
        <w:t xml:space="preserve">Britannique de légiférer automatiquement (ou par défaut) sur la propriété et les droits civils des autres gouvernements provinciaux et du gouvernement fédéral. S’il est vrai que ces gouvernements peuvent s’exclure du recours collectif, cela ne change </w:t>
      </w:r>
      <w:r w:rsidRPr="00C328A2">
        <w:rPr>
          <w:rFonts w:cs="Times New Roman"/>
          <w:lang w:val="fr-CA"/>
        </w:rPr>
        <w:lastRenderedPageBreak/>
        <w:t>rien au fait que la loi constitue, à première vue, une ingérence de la Colombie</w:t>
      </w:r>
      <w:r w:rsidRPr="00C328A2">
        <w:rPr>
          <w:rFonts w:cs="Times New Roman"/>
          <w:lang w:val="fr-CA"/>
        </w:rPr>
        <w:noBreakHyphen/>
        <w:t>Britannique dans les affaires d’autres gouvernements. L’effet juridique le plus important réside dans le fait que la province de la Colombie</w:t>
      </w:r>
      <w:r w:rsidRPr="00C328A2">
        <w:rPr>
          <w:rFonts w:cs="Times New Roman"/>
          <w:lang w:val="fr-CA"/>
        </w:rPr>
        <w:noBreakHyphen/>
        <w:t>Britannique peut empiéter sur la propriété et les droits civils d’autres gouvernements.</w:t>
      </w:r>
    </w:p>
    <w:p w14:paraId="18EDCFEE"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La faculté de s’exclure effectivement du recours collectif ne neutralise pas les effets automatiques ou par défaut de l’art. 11. Au contraire, ce régime avec mécanisme d’exclusion a pour effet de </w:t>
      </w:r>
      <w:r w:rsidRPr="00C328A2">
        <w:rPr>
          <w:rFonts w:cs="Times New Roman"/>
          <w:smallCaps/>
          <w:lang w:val="fr-CA"/>
        </w:rPr>
        <w:t>[traduction]</w:t>
      </w:r>
      <w:r w:rsidRPr="00C328A2">
        <w:rPr>
          <w:rFonts w:cs="Times New Roman"/>
          <w:lang w:val="fr-CA"/>
        </w:rPr>
        <w:t xml:space="preserve"> « forcer » les autres gouvernements provinciaux et le gouvernement fédéral « à décider » d’assujettir ou non leurs réclamations à la compétence de la Colombie</w:t>
      </w:r>
      <w:r w:rsidRPr="00C328A2">
        <w:rPr>
          <w:rFonts w:cs="Times New Roman"/>
          <w:lang w:val="fr-CA"/>
        </w:rPr>
        <w:noBreakHyphen/>
        <w:t>Britannique (voir le m.a., par. 62). J’ajouterais qu’en cherchant à minimiser ces effets juridiques très importants par le biais des aspects pratiques d’une disposition, le législateur peut modifier ou masquer l’objet véritable de sa loi. En effet, les autres gouvernements sont automatiquement présumés faire partie du recours collectif, ce qui signifie que, l’application par défaut de cette disposition compromettrait, en raison de son caractère véritable, leur autonomie dans la conduite du litige. Le fait que les autres gouvernements provinciaux et le gouvernement fédéral ont la possibilité de s’exclure du recours collectif ne saurait en aucun cas rendre valides de tels effets inconstitutionnels.</w:t>
      </w:r>
    </w:p>
    <w:p w14:paraId="764EA11E"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 xml:space="preserve">On ne peut donc qualifier de purement procédural un régime avec mécanisme d’exclusion. À mon humble avis, cette idée fait abstraction des conséquences réelles et substantielles de la loi sur l’autonomie des membres du groupe </w:t>
      </w:r>
      <w:r w:rsidRPr="00C328A2">
        <w:rPr>
          <w:rFonts w:cs="Times New Roman"/>
          <w:lang w:val="fr-CA"/>
        </w:rPr>
        <w:lastRenderedPageBreak/>
        <w:t>en ce qui concerne la conduite du litige. Il semble que l’intimé ait perçu cette difficulté en faisant valoir que, si l’art. 11 de l’</w:t>
      </w:r>
      <w:r w:rsidRPr="00C328A2">
        <w:rPr>
          <w:rFonts w:cs="Times New Roman"/>
          <w:i/>
          <w:lang w:val="fr-CA"/>
        </w:rPr>
        <w:t>ORA</w:t>
      </w:r>
      <w:r w:rsidRPr="00C328A2">
        <w:rPr>
          <w:rFonts w:cs="Times New Roman"/>
          <w:lang w:val="fr-CA"/>
        </w:rPr>
        <w:t xml:space="preserve"> excède la compétence législative de la législature provinciale, la disponibilité d’un régime à adhésion volontaire devrait être interprétée comme faisant partie du par. 11(2) de l’</w:t>
      </w:r>
      <w:r w:rsidRPr="00C328A2">
        <w:rPr>
          <w:rFonts w:cs="Times New Roman"/>
          <w:i/>
          <w:lang w:val="fr-CA"/>
        </w:rPr>
        <w:t>ORA</w:t>
      </w:r>
      <w:r w:rsidRPr="00C328A2">
        <w:rPr>
          <w:rFonts w:cs="Times New Roman"/>
          <w:lang w:val="fr-CA"/>
        </w:rPr>
        <w:t xml:space="preserve"> (voir le m.i., par. 33 et 118</w:t>
      </w:r>
      <w:r w:rsidRPr="00C328A2">
        <w:rPr>
          <w:rFonts w:cs="Times New Roman"/>
          <w:lang w:val="fr-CA"/>
        </w:rPr>
        <w:noBreakHyphen/>
        <w:t>127). Je suis d’accord avec la Cour d’appel pour dire que cette concession, qui vise à sauvegarder la constitutionnalité de l’art. 11, est mal conçue (par. 54). Sans me prononcer sur la question de savoir si un régime à adhésion volontaire rendrait l’art. 11 constitutionnel, je conclus que le texte du par. 11(2) de l’</w:t>
      </w:r>
      <w:r w:rsidRPr="00C328A2">
        <w:rPr>
          <w:rFonts w:cs="Times New Roman"/>
          <w:i/>
          <w:lang w:val="fr-CA"/>
        </w:rPr>
        <w:t>ORA</w:t>
      </w:r>
      <w:r w:rsidRPr="00C328A2">
        <w:rPr>
          <w:rFonts w:cs="Times New Roman"/>
          <w:lang w:val="fr-CA"/>
        </w:rPr>
        <w:t xml:space="preserve"> et l’art. 16 de la </w:t>
      </w:r>
      <w:r w:rsidRPr="00C328A2">
        <w:rPr>
          <w:rFonts w:cs="Times New Roman"/>
          <w:i/>
          <w:lang w:val="fr-CA"/>
        </w:rPr>
        <w:t>CPA</w:t>
      </w:r>
      <w:r w:rsidRPr="00C328A2">
        <w:rPr>
          <w:rFonts w:cs="Times New Roman"/>
          <w:lang w:val="fr-CA"/>
        </w:rPr>
        <w:t xml:space="preserve"> ne sauraient appuyer l’interprétation de l’intimé.</w:t>
      </w:r>
    </w:p>
    <w:p w14:paraId="4187FCED" w14:textId="77777777" w:rsidR="00C328A2" w:rsidRPr="00C328A2" w:rsidRDefault="00C328A2" w:rsidP="00C328A2">
      <w:pPr>
        <w:pStyle w:val="Title3LevelTitre3Niveau"/>
        <w:widowControl w:val="0"/>
        <w:numPr>
          <w:ilvl w:val="2"/>
          <w:numId w:val="8"/>
        </w:numPr>
        <w:spacing w:before="0"/>
        <w:ind w:hanging="612"/>
        <w:rPr>
          <w:rFonts w:cs="Times New Roman"/>
          <w:lang w:val="fr-CA"/>
        </w:rPr>
      </w:pPr>
      <w:bookmarkStart w:id="60" w:name="_Toc173313459"/>
      <w:r w:rsidRPr="00C328A2">
        <w:rPr>
          <w:rFonts w:cs="Times New Roman"/>
          <w:lang w:val="fr-CA"/>
        </w:rPr>
        <w:t>Conclusion sur le caractère véritable</w:t>
      </w:r>
      <w:bookmarkEnd w:id="60"/>
    </w:p>
    <w:p w14:paraId="18FEE1D9"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Compte tenu de l’application par défaut de l’al. 11(1)(b) de l’</w:t>
      </w:r>
      <w:r w:rsidRPr="00C328A2">
        <w:rPr>
          <w:rFonts w:cs="Times New Roman"/>
          <w:i/>
          <w:lang w:val="fr-CA"/>
        </w:rPr>
        <w:t>ORA</w:t>
      </w:r>
      <w:r w:rsidRPr="00C328A2">
        <w:rPr>
          <w:rFonts w:cs="Times New Roman"/>
          <w:lang w:val="fr-CA"/>
        </w:rPr>
        <w:t xml:space="preserve"> et du contexte d’exclusion dans lequel opère l’art. 11, je conclus que le caractère véritable de cette disposition</w:t>
      </w:r>
      <w:r w:rsidRPr="00C328A2">
        <w:rPr>
          <w:rFonts w:cs="Times New Roman"/>
          <w:i/>
          <w:lang w:val="fr-CA"/>
        </w:rPr>
        <w:t xml:space="preserve"> </w:t>
      </w:r>
      <w:r w:rsidRPr="00C328A2">
        <w:rPr>
          <w:rFonts w:cs="Times New Roman"/>
          <w:lang w:val="fr-CA"/>
        </w:rPr>
        <w:t>est de légiférer sur le droit substantiel d’autres gouvernements d’ester en justice pour recouvrer le coût de soins de santé. En conséquence, je partage l’opinion des appelantes et je suis d’avis de conclure que l’art. 11 de l’</w:t>
      </w:r>
      <w:r w:rsidRPr="00C328A2">
        <w:rPr>
          <w:rFonts w:cs="Times New Roman"/>
          <w:i/>
          <w:lang w:val="fr-CA"/>
        </w:rPr>
        <w:t xml:space="preserve">ORA </w:t>
      </w:r>
      <w:r w:rsidRPr="00C328A2">
        <w:rPr>
          <w:rFonts w:cs="Times New Roman"/>
          <w:lang w:val="fr-CA"/>
        </w:rPr>
        <w:t xml:space="preserve">relève de « la propriété et [d]es droits civils » en vertu du par. 92(13) de la </w:t>
      </w:r>
      <w:r w:rsidRPr="00C328A2">
        <w:rPr>
          <w:rFonts w:cs="Times New Roman"/>
          <w:i/>
          <w:lang w:val="fr-CA"/>
        </w:rPr>
        <w:t>Loi constitutionnelle de 1867</w:t>
      </w:r>
      <w:r w:rsidRPr="00C328A2">
        <w:rPr>
          <w:rFonts w:cs="Times New Roman"/>
          <w:lang w:val="fr-CA"/>
        </w:rPr>
        <w:t>.</w:t>
      </w:r>
    </w:p>
    <w:p w14:paraId="052AFBD5" w14:textId="77777777" w:rsidR="00C328A2" w:rsidRPr="00C328A2" w:rsidRDefault="00C328A2" w:rsidP="00C328A2">
      <w:pPr>
        <w:pStyle w:val="Title2LevelTitre2Niveau"/>
        <w:widowControl w:val="0"/>
        <w:numPr>
          <w:ilvl w:val="1"/>
          <w:numId w:val="8"/>
        </w:numPr>
        <w:spacing w:before="0"/>
        <w:rPr>
          <w:rFonts w:cs="Times New Roman"/>
          <w:lang w:val="fr-CA"/>
        </w:rPr>
      </w:pPr>
      <w:bookmarkStart w:id="61" w:name="_Toc173313460"/>
      <w:r w:rsidRPr="00C328A2">
        <w:rPr>
          <w:rFonts w:cs="Times New Roman"/>
          <w:lang w:val="fr-CA"/>
        </w:rPr>
        <w:t>Limites territoriales</w:t>
      </w:r>
      <w:bookmarkEnd w:id="61"/>
    </w:p>
    <w:p w14:paraId="5D0BBE1E"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 xml:space="preserve">Étant donné que le caractère véritable de la disposition contestée en l’espèce se rapporte à une matière intangible, je vais maintenant déterminer si la </w:t>
      </w:r>
      <w:r w:rsidRPr="00C328A2">
        <w:rPr>
          <w:rFonts w:cs="Times New Roman"/>
          <w:lang w:val="fr-CA"/>
        </w:rPr>
        <w:lastRenderedPageBreak/>
        <w:t>disposition contestée « </w:t>
      </w:r>
      <w:r w:rsidRPr="00C328A2">
        <w:rPr>
          <w:rFonts w:cs="Times New Roman"/>
          <w:lang w:val="fr-CA" w:bidi="en-US"/>
        </w:rPr>
        <w:t>respecte le double objet des limites territoriales prévues à l’art. 92 »</w:t>
      </w:r>
      <w:r w:rsidRPr="00C328A2">
        <w:rPr>
          <w:rFonts w:cs="Times New Roman"/>
          <w:lang w:val="fr-CA"/>
        </w:rPr>
        <w:t xml:space="preserve"> (</w:t>
      </w:r>
      <w:r w:rsidRPr="00C328A2">
        <w:rPr>
          <w:rFonts w:cs="Times New Roman"/>
          <w:i/>
          <w:iCs/>
          <w:lang w:val="fr-CA"/>
        </w:rPr>
        <w:t>Imperial Tobacco</w:t>
      </w:r>
      <w:r w:rsidRPr="00C328A2">
        <w:rPr>
          <w:rFonts w:cs="Times New Roman"/>
          <w:lang w:val="fr-CA"/>
        </w:rPr>
        <w:t>, par. 36). Même si j’avais tort de conclure que l’art. 11 de l’</w:t>
      </w:r>
      <w:r w:rsidRPr="00C328A2">
        <w:rPr>
          <w:rFonts w:cs="Times New Roman"/>
          <w:i/>
          <w:lang w:val="fr-CA"/>
        </w:rPr>
        <w:t>ORA</w:t>
      </w:r>
      <w:r w:rsidRPr="00C328A2">
        <w:rPr>
          <w:rFonts w:cs="Times New Roman"/>
          <w:lang w:val="fr-CA"/>
        </w:rPr>
        <w:t xml:space="preserve"> relève du par. 92(13) alors qu’il relèverait plutôt du par. 92(14), je suis d’avis que l’art. 11 excède les limites territoriales de la compétence législative de la Colombie</w:t>
      </w:r>
      <w:r w:rsidRPr="00C328A2">
        <w:rPr>
          <w:rFonts w:cs="Times New Roman"/>
          <w:lang w:val="fr-CA"/>
        </w:rPr>
        <w:noBreakHyphen/>
        <w:t>Britannique. À mon avis, la province qui a adopté la loi n’a aucun lien significatif à la fois avec la disposition contestée et avec les personnes qui y sont assujetties. Je tiens par ailleurs à exprimer de sérieuses réserves quant aux incidences éventuelles de cette disposition sur la souveraineté législative des autres provinces.</w:t>
      </w:r>
    </w:p>
    <w:p w14:paraId="26897764" w14:textId="77777777" w:rsidR="00C328A2" w:rsidRPr="00C328A2" w:rsidRDefault="00C328A2" w:rsidP="00C328A2">
      <w:pPr>
        <w:pStyle w:val="Title3LevelTitre3Niveau"/>
        <w:widowControl w:val="0"/>
        <w:numPr>
          <w:ilvl w:val="2"/>
          <w:numId w:val="8"/>
        </w:numPr>
        <w:spacing w:before="0"/>
        <w:ind w:hanging="612"/>
        <w:rPr>
          <w:rFonts w:cs="Times New Roman"/>
          <w:lang w:val="fr-CA"/>
        </w:rPr>
      </w:pPr>
      <w:r w:rsidRPr="00C328A2">
        <w:rPr>
          <w:rFonts w:cs="Times New Roman"/>
          <w:lang w:val="fr-CA"/>
        </w:rPr>
        <w:t>Lien significatif</w:t>
      </w:r>
    </w:p>
    <w:p w14:paraId="02B5FFCA"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En définitive, je conclus que l’intimé n’a pas démontré l’existence d’un lien significatif dans le cas qui nous occupe. Ayant conclu que, en raison de son caractère véritable, l’art. 11 de l’</w:t>
      </w:r>
      <w:r w:rsidRPr="00C328A2">
        <w:rPr>
          <w:rFonts w:cs="Times New Roman"/>
          <w:i/>
          <w:lang w:val="fr-CA"/>
        </w:rPr>
        <w:t xml:space="preserve">ORA </w:t>
      </w:r>
      <w:r w:rsidRPr="00C328A2">
        <w:rPr>
          <w:rFonts w:cs="Times New Roman"/>
          <w:lang w:val="fr-CA"/>
        </w:rPr>
        <w:t xml:space="preserve">est de nature substantielle, de sorte qu’il relève du par. 92(13) de la </w:t>
      </w:r>
      <w:r w:rsidRPr="00C328A2">
        <w:rPr>
          <w:rFonts w:cs="Times New Roman"/>
          <w:i/>
          <w:lang w:val="fr-CA"/>
        </w:rPr>
        <w:t>Loi constitutionnelle de 1867</w:t>
      </w:r>
      <w:r w:rsidRPr="00C328A2">
        <w:rPr>
          <w:rFonts w:cs="Times New Roman"/>
          <w:lang w:val="fr-CA"/>
        </w:rPr>
        <w:t>,</w:t>
      </w:r>
      <w:r w:rsidRPr="00C328A2">
        <w:rPr>
          <w:rFonts w:cs="Times New Roman"/>
          <w:i/>
          <w:lang w:val="fr-CA"/>
        </w:rPr>
        <w:t xml:space="preserve"> </w:t>
      </w:r>
      <w:r w:rsidRPr="00C328A2">
        <w:rPr>
          <w:rFonts w:cs="Times New Roman"/>
          <w:lang w:val="fr-CA"/>
        </w:rPr>
        <w:t xml:space="preserve">je conclus que la législature qui l’a adopté n’a pas de lien significatif à la fois avec l’objet de la loi </w:t>
      </w:r>
      <w:r w:rsidRPr="00C328A2">
        <w:rPr>
          <w:rFonts w:cs="Times New Roman"/>
          <w:i/>
          <w:iCs/>
          <w:lang w:val="fr-CA"/>
        </w:rPr>
        <w:t>et</w:t>
      </w:r>
      <w:r w:rsidRPr="00C328A2">
        <w:rPr>
          <w:rFonts w:cs="Times New Roman"/>
          <w:lang w:val="fr-CA"/>
        </w:rPr>
        <w:t xml:space="preserve"> avec les personnes qui y sont assujetties. </w:t>
      </w:r>
      <w:bookmarkStart w:id="62" w:name="_Hlk172832560"/>
      <w:r w:rsidRPr="00C328A2">
        <w:rPr>
          <w:rFonts w:cs="Times New Roman"/>
          <w:lang w:val="fr-CA"/>
        </w:rPr>
        <w:t>Toutefois, même si je partais du principe que, de par son caractère véritable, cette disposition est d’ordre procédural et qu’elle relève donc du par. 92(14), je conclurais quand même qu’il n’existe aucun lien significatif entre la législature qui a adopté l’art. 11 et les personnes qui y sont assujetties.</w:t>
      </w:r>
    </w:p>
    <w:p w14:paraId="1B228E4D"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Tout d’abord, le fait que l’objet de la loi, de par son caractère véritable, touche les droits substantiels d’autres gouvernements veut nécessairement dire qu’il n’a aucun lien significatif avec la province qui l’a adoptée. Ensuite, les personnes « qui </w:t>
      </w:r>
      <w:r w:rsidRPr="00C328A2">
        <w:rPr>
          <w:rFonts w:cs="Times New Roman"/>
          <w:lang w:val="fr-CA"/>
        </w:rPr>
        <w:lastRenderedPageBreak/>
        <w:t>sont assujetties à » l’art. 11 de l’</w:t>
      </w:r>
      <w:r w:rsidRPr="00C328A2">
        <w:rPr>
          <w:rFonts w:cs="Times New Roman"/>
          <w:i/>
          <w:lang w:val="fr-CA"/>
        </w:rPr>
        <w:t>ORA</w:t>
      </w:r>
      <w:r w:rsidRPr="00C328A2">
        <w:rPr>
          <w:rFonts w:cs="Times New Roman"/>
          <w:lang w:val="fr-CA"/>
        </w:rPr>
        <w:t xml:space="preserve"> sont les autres gouvernements provinciaux et le gouvernement fédéral, qui n’ont tous aucun lien significatif avec la province qui a adopté la loi. Même si ce sont les défendeurs qui sont assujettis à l’</w:t>
      </w:r>
      <w:r w:rsidRPr="00C328A2">
        <w:rPr>
          <w:rFonts w:cs="Times New Roman"/>
          <w:i/>
          <w:lang w:val="fr-CA"/>
        </w:rPr>
        <w:t>ORA</w:t>
      </w:r>
      <w:r w:rsidRPr="00C328A2">
        <w:rPr>
          <w:rFonts w:cs="Times New Roman"/>
          <w:lang w:val="fr-CA"/>
        </w:rPr>
        <w:t xml:space="preserve"> dans son ensemble — tout comme c’était le cas des défendeurs assujettis à la</w:t>
      </w:r>
      <w:r w:rsidRPr="00C328A2">
        <w:rPr>
          <w:rFonts w:cs="Times New Roman"/>
          <w:iCs/>
          <w:lang w:val="fr-CA"/>
        </w:rPr>
        <w:t xml:space="preserve"> </w:t>
      </w:r>
      <w:r w:rsidRPr="00C328A2">
        <w:rPr>
          <w:rFonts w:cs="Times New Roman"/>
          <w:i/>
          <w:iCs/>
          <w:lang w:val="fr-CA"/>
        </w:rPr>
        <w:t>TRA</w:t>
      </w:r>
      <w:r w:rsidRPr="00C328A2">
        <w:rPr>
          <w:rFonts w:cs="Times New Roman"/>
          <w:lang w:val="fr-CA"/>
        </w:rPr>
        <w:t xml:space="preserve"> dans l’affaire </w:t>
      </w:r>
      <w:r w:rsidRPr="00C328A2">
        <w:rPr>
          <w:rFonts w:cs="Times New Roman"/>
          <w:i/>
          <w:iCs/>
          <w:lang w:val="fr-CA"/>
        </w:rPr>
        <w:t xml:space="preserve">Imperial Tobacco </w:t>
      </w:r>
      <w:r w:rsidRPr="00C328A2">
        <w:rPr>
          <w:rFonts w:cs="Times New Roman"/>
          <w:lang w:val="fr-CA"/>
        </w:rPr>
        <w:t>—, ce sont les autres gouvernements qui sont assujettis à l’art. 11. C’est en leur nom que le recours collectif a été introduit. Je reviendrai sur ce point plus loin dans les présents motifs.</w:t>
      </w:r>
    </w:p>
    <w:bookmarkEnd w:id="62"/>
    <w:p w14:paraId="17B9D002" w14:textId="77777777" w:rsidR="00C328A2" w:rsidRPr="00C328A2" w:rsidRDefault="00C328A2" w:rsidP="00C328A2">
      <w:pPr>
        <w:pStyle w:val="Title4LevelTitre4Niveau"/>
        <w:widowControl w:val="0"/>
        <w:numPr>
          <w:ilvl w:val="0"/>
          <w:numId w:val="0"/>
        </w:numPr>
        <w:spacing w:before="0"/>
        <w:ind w:left="1166" w:hanging="619"/>
        <w:rPr>
          <w:rFonts w:cs="Times New Roman"/>
          <w:lang w:val="fr-CA"/>
        </w:rPr>
      </w:pPr>
      <w:r w:rsidRPr="00C328A2">
        <w:rPr>
          <w:rFonts w:cs="Times New Roman"/>
          <w:i w:val="0"/>
          <w:lang w:val="fr-CA"/>
        </w:rPr>
        <w:t>a)</w:t>
      </w:r>
      <w:r w:rsidRPr="00C328A2">
        <w:rPr>
          <w:rFonts w:cs="Times New Roman"/>
          <w:i w:val="0"/>
          <w:lang w:val="fr-CA"/>
        </w:rPr>
        <w:tab/>
      </w:r>
      <w:r w:rsidRPr="00C328A2">
        <w:rPr>
          <w:rFonts w:cs="Times New Roman"/>
          <w:lang w:val="fr-CA"/>
        </w:rPr>
        <w:t>Compétence législative et compétence juridictionnelle</w:t>
      </w:r>
    </w:p>
    <w:p w14:paraId="4E6D9167"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Avant de procéder à mon analyse de la question du lien significatif, j’ouvre ici une parenthèse pour commenter le fait que ma collègue s’appuie sur le test du lien réel et substantiel pour étayer sa conclusion suivant laquelle, compte tenu des enjeux communs en cause, l’art. 11 de l’</w:t>
      </w:r>
      <w:r w:rsidRPr="00C328A2">
        <w:rPr>
          <w:rFonts w:cs="Times New Roman"/>
          <w:i/>
          <w:lang w:val="fr-CA"/>
        </w:rPr>
        <w:t>ORA</w:t>
      </w:r>
      <w:r w:rsidRPr="00C328A2">
        <w:rPr>
          <w:rFonts w:cs="Times New Roman"/>
          <w:lang w:val="fr-CA"/>
        </w:rPr>
        <w:t xml:space="preserve"> présente un lien significatif avec la Colombie</w:t>
      </w:r>
      <w:r w:rsidRPr="00C328A2">
        <w:rPr>
          <w:rFonts w:cs="Times New Roman"/>
          <w:lang w:val="fr-CA"/>
        </w:rPr>
        <w:noBreakHyphen/>
        <w:t>Britannique. Je crois qu’il est nécessaire, dans le but de circonscrire la portée du présent pourvoi, de signaler ce que j’estime être une confusion entre la compétence législative normative de la législature de la Colombie</w:t>
      </w:r>
      <w:r w:rsidRPr="00C328A2">
        <w:rPr>
          <w:rFonts w:cs="Times New Roman"/>
          <w:lang w:val="fr-CA"/>
        </w:rPr>
        <w:noBreakHyphen/>
        <w:t>Britannique et la compétence juridictionnelle des tribunaux de la Colombie</w:t>
      </w:r>
      <w:r w:rsidRPr="00C328A2">
        <w:rPr>
          <w:rFonts w:cs="Times New Roman"/>
          <w:lang w:val="fr-CA"/>
        </w:rPr>
        <w:noBreakHyphen/>
        <w:t>Britannique.</w:t>
      </w:r>
    </w:p>
    <w:p w14:paraId="5C6FEA7E"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 présent pourvoi concerne la constitutionnalité de l’art. 11 de l’</w:t>
      </w:r>
      <w:r w:rsidRPr="00C328A2">
        <w:rPr>
          <w:rFonts w:cs="Times New Roman"/>
          <w:i/>
          <w:lang w:val="fr-CA"/>
        </w:rPr>
        <w:t>ORA</w:t>
      </w:r>
      <w:r w:rsidRPr="00C328A2">
        <w:rPr>
          <w:rFonts w:cs="Times New Roman"/>
          <w:lang w:val="fr-CA"/>
        </w:rPr>
        <w:t>,</w:t>
      </w:r>
      <w:r w:rsidRPr="00C328A2">
        <w:rPr>
          <w:rFonts w:cs="Times New Roman"/>
          <w:i/>
          <w:lang w:val="fr-CA"/>
        </w:rPr>
        <w:t xml:space="preserve"> </w:t>
      </w:r>
      <w:r w:rsidRPr="00C328A2">
        <w:rPr>
          <w:rFonts w:cs="Times New Roman"/>
          <w:lang w:val="fr-CA"/>
        </w:rPr>
        <w:t xml:space="preserve">et non la question de savoir si l’existence de questions communes est suffisante pour asseoir la compétence de la cour supérieure d’une province sur les recours collectifs impliquant différents gouvernements canadiens, ou les recours collectifs multiterritoriaux en général. La constitutionnalité des recours collectifs nationaux n’a </w:t>
      </w:r>
      <w:r w:rsidRPr="00C328A2">
        <w:rPr>
          <w:rFonts w:cs="Times New Roman"/>
          <w:lang w:val="fr-CA"/>
        </w:rPr>
        <w:lastRenderedPageBreak/>
        <w:t>rien à voir avec la constitutionnalité de l’art. 11 de l’</w:t>
      </w:r>
      <w:r w:rsidRPr="00C328A2">
        <w:rPr>
          <w:rFonts w:cs="Times New Roman"/>
          <w:i/>
          <w:lang w:val="fr-CA"/>
        </w:rPr>
        <w:t>ORA</w:t>
      </w:r>
      <w:r w:rsidRPr="00C328A2">
        <w:rPr>
          <w:rFonts w:cs="Times New Roman"/>
          <w:lang w:val="fr-CA"/>
        </w:rPr>
        <w:t xml:space="preserve"> parce que chacune fait intervenir des considérations différentes. Les premiers s’intéressent à la compétence juridictionnelle des tribunaux de la Colombie</w:t>
      </w:r>
      <w:r w:rsidRPr="00C328A2">
        <w:rPr>
          <w:rFonts w:cs="Times New Roman"/>
          <w:lang w:val="fr-CA"/>
        </w:rPr>
        <w:noBreakHyphen/>
        <w:t>Britannique, alors que les secondes concernent les limites territoriales imposées à la compétence législative de la législature de la Colombie</w:t>
      </w:r>
      <w:r w:rsidRPr="00C328A2">
        <w:rPr>
          <w:rFonts w:cs="Times New Roman"/>
          <w:lang w:val="fr-CA"/>
        </w:rPr>
        <w:noBreakHyphen/>
        <w:t xml:space="preserve">Britannique. En ce sens, je partage l’opinion exprimée par notre Cour dans l’arrêt </w:t>
      </w:r>
      <w:r w:rsidRPr="00C328A2">
        <w:rPr>
          <w:rFonts w:cs="Times New Roman"/>
          <w:i/>
          <w:iCs/>
          <w:lang w:val="fr-CA" w:bidi="en-US"/>
        </w:rPr>
        <w:t>Terre</w:t>
      </w:r>
      <w:r w:rsidRPr="00C328A2">
        <w:rPr>
          <w:rFonts w:cs="Times New Roman"/>
          <w:i/>
          <w:iCs/>
          <w:lang w:val="fr-CA" w:bidi="en-US"/>
        </w:rPr>
        <w:noBreakHyphen/>
        <w:t>Neuve</w:t>
      </w:r>
      <w:r w:rsidRPr="00C328A2">
        <w:rPr>
          <w:rFonts w:cs="Times New Roman"/>
          <w:i/>
          <w:iCs/>
          <w:lang w:val="fr-CA" w:bidi="en-US"/>
        </w:rPr>
        <w:noBreakHyphen/>
        <w:t>et</w:t>
      </w:r>
      <w:r w:rsidRPr="00C328A2">
        <w:rPr>
          <w:rFonts w:cs="Times New Roman"/>
          <w:i/>
          <w:iCs/>
          <w:lang w:val="fr-CA" w:bidi="en-US"/>
        </w:rPr>
        <w:noBreakHyphen/>
        <w:t>Labrador (Procureur général) c. Uashaunnuat (Innus de Uashat et de Mani</w:t>
      </w:r>
      <w:r w:rsidRPr="00C328A2">
        <w:rPr>
          <w:rFonts w:cs="Times New Roman"/>
          <w:i/>
          <w:iCs/>
          <w:lang w:val="fr-CA" w:bidi="en-US"/>
        </w:rPr>
        <w:noBreakHyphen/>
        <w:t>Utenam)</w:t>
      </w:r>
      <w:r w:rsidRPr="00C328A2">
        <w:rPr>
          <w:rFonts w:cs="Times New Roman"/>
          <w:lang w:val="fr-CA" w:bidi="en-US"/>
        </w:rPr>
        <w:t>, 2020 CSC 4</w:t>
      </w:r>
      <w:r w:rsidRPr="00C328A2">
        <w:rPr>
          <w:rFonts w:cs="Times New Roman"/>
          <w:lang w:val="fr-CA"/>
        </w:rPr>
        <w:t xml:space="preserve">, [2020] 1 R.C.S. 15, par. 16, selon laquelle </w:t>
      </w:r>
      <w:r w:rsidRPr="00C328A2">
        <w:rPr>
          <w:rFonts w:cs="Times New Roman"/>
          <w:lang w:val="fr-CA" w:bidi="en-US"/>
        </w:rPr>
        <w:t>« il importe de ne pas confondre la compétence juridictionnelle des cours supérieures provinciales avec la compétence législative des provinces »</w:t>
      </w:r>
      <w:r w:rsidRPr="00C328A2">
        <w:rPr>
          <w:rFonts w:cs="Times New Roman"/>
          <w:lang w:val="fr-CA"/>
        </w:rPr>
        <w:t>.</w:t>
      </w:r>
    </w:p>
    <w:p w14:paraId="4C83C7F4"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Ma collègue mentionne que l’art. 11 « s’accorde avec la manière dont les tribunaux se déclarent compétents à l’égard des membres du groupe de l’extérieur de la province » (par. 89). Avec égards, il s’agit là d’un parfait exemple de la façon dont son analyse confond la compétence juridictionnelle des tribunaux et la compétence législative de la province.</w:t>
      </w:r>
    </w:p>
    <w:p w14:paraId="769AAFD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Les limites territoriales que l’art. 92 de la </w:t>
      </w:r>
      <w:r w:rsidRPr="00C328A2">
        <w:rPr>
          <w:rFonts w:cs="Times New Roman"/>
          <w:i/>
          <w:lang w:val="fr-CA"/>
        </w:rPr>
        <w:t>Loi constitutionnelle de 1867</w:t>
      </w:r>
      <w:r w:rsidRPr="00C328A2">
        <w:rPr>
          <w:rFonts w:cs="Times New Roman"/>
          <w:lang w:val="fr-CA"/>
        </w:rPr>
        <w:t xml:space="preserve"> impose au champ de la compétence législative provinciale empêchent </w:t>
      </w:r>
      <w:r w:rsidRPr="00C328A2">
        <w:rPr>
          <w:rFonts w:cs="Times New Roman"/>
          <w:i/>
          <w:lang w:val="fr-CA"/>
        </w:rPr>
        <w:t xml:space="preserve">à la fois </w:t>
      </w:r>
      <w:r w:rsidRPr="00C328A2">
        <w:rPr>
          <w:rFonts w:cs="Times New Roman"/>
          <w:lang w:val="fr-CA"/>
        </w:rPr>
        <w:t>l’adoption de lois qui, de par leur caractère véritable, portent sur des questions se situant à l’extérieur de la province et l’application d’une loi de la province à des matières qui n’ont pas de lien avec cette province. La validité d’un texte de loi exige que l’on établisse l’existence d’un « lien significatif » entre la province ayant légiféré, l’objet du texte de loi en cause et les personnes qui y sont assujetties (</w:t>
      </w:r>
      <w:r w:rsidRPr="00C328A2">
        <w:rPr>
          <w:rFonts w:cs="Times New Roman"/>
          <w:i/>
          <w:lang w:val="fr-CA"/>
        </w:rPr>
        <w:t>Imperial Tobacco</w:t>
      </w:r>
      <w:r w:rsidRPr="00C328A2">
        <w:rPr>
          <w:rFonts w:cs="Times New Roman"/>
          <w:lang w:val="fr-CA"/>
        </w:rPr>
        <w:t xml:space="preserve">, </w:t>
      </w:r>
      <w:r w:rsidRPr="00C328A2">
        <w:rPr>
          <w:rFonts w:cs="Times New Roman"/>
          <w:lang w:val="fr-CA"/>
        </w:rPr>
        <w:lastRenderedPageBreak/>
        <w:t>par. 36). En revanche, les tribunaux peuvent appliquer une loi, par ailleurs valide, à des personnes ou des entités situées à l’extérieur de la province lorsque l’existence d’un « lien suffisant » est établie (</w:t>
      </w:r>
      <w:r w:rsidRPr="00C328A2">
        <w:rPr>
          <w:rFonts w:cs="Times New Roman"/>
          <w:i/>
          <w:iCs/>
          <w:lang w:val="fr-CA"/>
        </w:rPr>
        <w:t>Unifund Assurance Co. c. Insurance Corp. of British Columbia</w:t>
      </w:r>
      <w:r w:rsidRPr="00C328A2">
        <w:rPr>
          <w:rFonts w:cs="Times New Roman"/>
          <w:lang w:val="fr-CA"/>
        </w:rPr>
        <w:t xml:space="preserve">, 2003 CSC 40, [2003] 2 R.C.S. 63, par. 56; </w:t>
      </w:r>
      <w:r w:rsidRPr="00C328A2">
        <w:rPr>
          <w:rFonts w:cs="Times New Roman"/>
          <w:i/>
          <w:lang w:val="fr-CA"/>
        </w:rPr>
        <w:t>Sharp</w:t>
      </w:r>
      <w:r w:rsidRPr="00C328A2">
        <w:rPr>
          <w:rFonts w:cs="Times New Roman"/>
          <w:lang w:val="fr-CA"/>
        </w:rPr>
        <w:t>, par. 112).</w:t>
      </w:r>
    </w:p>
    <w:p w14:paraId="27596B0F"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Ces tests ne doivent pas être confondus avec celui du « lien réel et substantiel » qui est appliqué pour déterminer si le tribunal d’une province se déclarera compétent sur une question donnée ou si les règles de conflit sont incompatibles avec les limites territoriales imposées par l’art. 92 de la </w:t>
      </w:r>
      <w:r w:rsidRPr="00C328A2">
        <w:rPr>
          <w:rFonts w:cs="Times New Roman"/>
          <w:i/>
          <w:lang w:val="fr-CA"/>
        </w:rPr>
        <w:t xml:space="preserve">Loi constitutionnelle de 1867 </w:t>
      </w:r>
      <w:r w:rsidRPr="00C328A2">
        <w:rPr>
          <w:rFonts w:cs="Times New Roman"/>
          <w:lang w:val="fr-CA"/>
        </w:rPr>
        <w:t xml:space="preserve">(voir </w:t>
      </w:r>
      <w:r w:rsidRPr="00C328A2">
        <w:rPr>
          <w:rFonts w:cs="Times New Roman"/>
          <w:i/>
          <w:lang w:val="fr-CA"/>
        </w:rPr>
        <w:t>Club Resorts Ltd. c. Van Breda</w:t>
      </w:r>
      <w:r w:rsidRPr="00C328A2">
        <w:rPr>
          <w:rFonts w:cs="Times New Roman"/>
          <w:lang w:val="fr-CA"/>
        </w:rPr>
        <w:t>, 2012 CSC 17, [2012] 1 R.C.S. 572, par. 21</w:t>
      </w:r>
      <w:r w:rsidRPr="00C328A2">
        <w:rPr>
          <w:rFonts w:cs="Times New Roman"/>
          <w:lang w:val="fr-CA"/>
        </w:rPr>
        <w:noBreakHyphen/>
        <w:t xml:space="preserve">34). Dans l’arrêt </w:t>
      </w:r>
      <w:r w:rsidRPr="00C328A2">
        <w:rPr>
          <w:rFonts w:cs="Times New Roman"/>
          <w:i/>
          <w:lang w:val="fr-CA"/>
        </w:rPr>
        <w:t>Hunt c. T&amp;N plc</w:t>
      </w:r>
      <w:r w:rsidRPr="00C328A2">
        <w:rPr>
          <w:rFonts w:cs="Times New Roman"/>
          <w:lang w:val="fr-CA"/>
        </w:rPr>
        <w:t xml:space="preserve">, [1993] 4 R.C.S. 289, p. 325, </w:t>
      </w:r>
      <w:r w:rsidRPr="00C328A2">
        <w:rPr>
          <w:rFonts w:cs="Times New Roman"/>
          <w:lang w:val="fr-CA" w:bidi="en-US"/>
        </w:rPr>
        <w:t>le juge La Forest mentionne que le test du lien réel et substantiel « ne se voulait pas un critère rigide, mais visait simplement à exprimer l’idée que les revendications de compétence doivent être assujetties à certaines limites ».</w:t>
      </w:r>
      <w:r w:rsidRPr="00C328A2">
        <w:rPr>
          <w:rFonts w:cs="Times New Roman"/>
          <w:lang w:val="fr-CA"/>
        </w:rPr>
        <w:t xml:space="preserve"> À cet égard, je suis entièrement d’accord avec le juge Bastarache lorsqu’il dit que « </w:t>
      </w:r>
      <w:r w:rsidRPr="00C328A2">
        <w:rPr>
          <w:rFonts w:cs="Times New Roman"/>
          <w:lang w:val="fr-CA" w:bidi="en-US"/>
        </w:rPr>
        <w:t>[l]e lien réel et substantiel nécessaire pour que les tribunaux d’une province se déclarent compétents à l’égard d’une affaire est un critère moins strict que le lien significatif requis pour qu’une province puisse légiférer à l’égard des droits en cause »</w:t>
      </w:r>
      <w:r w:rsidRPr="00C328A2">
        <w:rPr>
          <w:rFonts w:cs="Times New Roman"/>
          <w:lang w:val="fr-CA"/>
        </w:rPr>
        <w:t xml:space="preserve"> (</w:t>
      </w:r>
      <w:r w:rsidRPr="00C328A2">
        <w:rPr>
          <w:rFonts w:cs="Times New Roman"/>
          <w:i/>
          <w:lang w:val="fr-CA"/>
        </w:rPr>
        <w:t>Castillo c. Castillo</w:t>
      </w:r>
      <w:r w:rsidRPr="00C328A2">
        <w:rPr>
          <w:rFonts w:cs="Times New Roman"/>
          <w:lang w:val="fr-CA"/>
        </w:rPr>
        <w:t xml:space="preserve">, 2005 CSC 83, [2005] 3 R.C.S. 870, par. 44, le juge Bastarache, motifs concordants; </w:t>
      </w:r>
      <w:r w:rsidRPr="00C328A2">
        <w:rPr>
          <w:rFonts w:cs="Times New Roman"/>
          <w:iCs/>
          <w:lang w:val="fr-CA"/>
        </w:rPr>
        <w:t xml:space="preserve">voir aussi </w:t>
      </w:r>
      <w:r w:rsidRPr="00C328A2">
        <w:rPr>
          <w:rFonts w:cs="Times New Roman"/>
          <w:i/>
          <w:iCs/>
          <w:lang w:val="fr-CA"/>
        </w:rPr>
        <w:t>Unifund</w:t>
      </w:r>
      <w:r w:rsidRPr="00C328A2">
        <w:rPr>
          <w:rFonts w:cs="Times New Roman"/>
          <w:iCs/>
          <w:lang w:val="fr-CA"/>
        </w:rPr>
        <w:t>, par. </w:t>
      </w:r>
      <w:r w:rsidRPr="00C328A2">
        <w:rPr>
          <w:rFonts w:cs="Times New Roman"/>
          <w:lang w:val="fr-CA"/>
        </w:rPr>
        <w:t xml:space="preserve">58 et 80; </w:t>
      </w:r>
      <w:r w:rsidRPr="00C328A2">
        <w:rPr>
          <w:rFonts w:cs="Times New Roman"/>
          <w:i/>
          <w:lang w:val="fr-CA"/>
        </w:rPr>
        <w:t>Sharp</w:t>
      </w:r>
      <w:r w:rsidRPr="00C328A2">
        <w:rPr>
          <w:rFonts w:cs="Times New Roman"/>
          <w:lang w:val="fr-CA"/>
        </w:rPr>
        <w:t>, par. 116). Avec égards, la tentative de ma collègue d’incorporer un lien significatif dans le test du lien réel et substantiel brouille la distinction habilement énoncée par le juge Bastarache, même si la règle est claire : le premier constitue une norme plus élevée.</w:t>
      </w:r>
    </w:p>
    <w:p w14:paraId="2C6CD3BA"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En toute déférence, je suis en désaccord avec l’interprétation voulant que l’autorisation d’un recours collectif fondée sur l’existence d’un lien réel et substantiel démontrée par la présence de questions communes — ou de points communs — entre les intéressés confirme l’existence d’un lien significatif entre le territoire ayant légiféré, l’objet du texte de loi en cause et les personnes qui y sont assujetties. Compte tenu de la distinction entre lien réel et substantiel et lien significatif, conclure à l’existence du premier ne permet pas nécessairement de conclure à celle du second. Inversement, conclure qu’aucun lien significatif ne peut être établi n’a aucune incidence sur la question de savoir si les points communs entre les membres non</w:t>
      </w:r>
      <w:r w:rsidRPr="00C328A2">
        <w:rPr>
          <w:rFonts w:cs="Times New Roman"/>
          <w:lang w:val="fr-CA"/>
        </w:rPr>
        <w:noBreakHyphen/>
        <w:t xml:space="preserve">résidents et le représentant des demandeurs </w:t>
      </w:r>
      <w:bookmarkStart w:id="63" w:name="_Hlk172876088"/>
      <w:r w:rsidRPr="00C328A2">
        <w:rPr>
          <w:rFonts w:cs="Times New Roman"/>
          <w:lang w:val="fr-CA"/>
        </w:rPr>
        <w:t xml:space="preserve">résidant dans le ressort du recours collectif sont suffisants pour établir un lien réel et substantiel pour les besoins de la compétence juridictionnelle sur un recours collectif </w:t>
      </w:r>
      <w:bookmarkEnd w:id="63"/>
      <w:r w:rsidRPr="00C328A2">
        <w:rPr>
          <w:rFonts w:cs="Times New Roman"/>
          <w:lang w:val="fr-CA"/>
        </w:rPr>
        <w:t>multiterritorial. L’analyse de ma collègue ne tient pas compte de la distinction entre les deux tests ou bien l’ignore, et ce, malgré les arguments soulevés par les appelantes sur ce point (m.i., par. 98)</w:t>
      </w:r>
    </w:p>
    <w:p w14:paraId="66033FAA"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Cela dit, il serait imprudent de formuler des observations sur les conditions à remplir pour satisfaire au test du lien réel et substantiel dans le contexte des recours collectifs multiterritoriaux — une question qui n’a pas été soulevée par les parties dans le présent pourvoi. Notre Cour ne s’est jamais prononcée sur cette question. Il existe par ailleurs des opinions divergentes au sein des cours d’appel, de même qu’un débat doctrinal considérable, quant à savoir s’il suffit pour un tribunal d’autoriser les questions communes afin d’asseoir la compétence d’une cour supérieure sur les membres du groupe de l’extérieur du ressort (voir </w:t>
      </w:r>
      <w:r w:rsidRPr="00C328A2">
        <w:rPr>
          <w:rFonts w:cs="Times New Roman"/>
          <w:i/>
          <w:lang w:val="fr-CA"/>
        </w:rPr>
        <w:t>Harrington c. Dow Corning Corp</w:t>
      </w:r>
      <w:r w:rsidRPr="00C328A2">
        <w:rPr>
          <w:rFonts w:cs="Times New Roman"/>
          <w:lang w:val="fr-CA"/>
        </w:rPr>
        <w:t xml:space="preserve">., </w:t>
      </w:r>
      <w:r w:rsidRPr="00C328A2">
        <w:rPr>
          <w:rFonts w:cs="Times New Roman"/>
          <w:lang w:val="fr-CA"/>
        </w:rPr>
        <w:lastRenderedPageBreak/>
        <w:t xml:space="preserve">2000 BCCA 605, 193 D.L.R. (4th) 67; </w:t>
      </w:r>
      <w:r w:rsidRPr="00C328A2">
        <w:rPr>
          <w:rFonts w:cs="Times New Roman"/>
          <w:i/>
          <w:lang w:val="fr-CA"/>
        </w:rPr>
        <w:t>HSBC c. Hocking</w:t>
      </w:r>
      <w:r w:rsidRPr="00C328A2">
        <w:rPr>
          <w:rFonts w:cs="Times New Roman"/>
          <w:lang w:val="fr-CA"/>
        </w:rPr>
        <w:t xml:space="preserve">, 2008 QCCA 800, [2008] R.J.Q. 1189; </w:t>
      </w:r>
      <w:r w:rsidRPr="00C328A2">
        <w:rPr>
          <w:rFonts w:cs="Times New Roman"/>
          <w:i/>
          <w:lang w:val="fr-CA"/>
        </w:rPr>
        <w:t>Airia Brands Inc. c. Air Canada</w:t>
      </w:r>
      <w:r w:rsidRPr="00C328A2">
        <w:rPr>
          <w:rFonts w:cs="Times New Roman"/>
          <w:lang w:val="fr-CA"/>
        </w:rPr>
        <w:t>, 2017 ONCA 792, 417 D.L.R. (4th) 467). Dans ces conditions, j’hésite à commenter cette question sans qu’elle soit soulevée sur la base d’un dossier approprié.</w:t>
      </w:r>
    </w:p>
    <w:p w14:paraId="25AE4655"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Ma collègue ajoute que la « nature du recours collectif », ainsi que le « choix des autres gouvernements de participer à l’instance », est ce qui permet à l’art. 11 de conserver un lien significatif avec la Colombie</w:t>
      </w:r>
      <w:r w:rsidRPr="00C328A2">
        <w:rPr>
          <w:rFonts w:cs="Times New Roman"/>
          <w:lang w:val="fr-CA"/>
        </w:rPr>
        <w:noBreakHyphen/>
        <w:t>Britannique (par. 88). On ignore à quoi peut renvoyer la « nature du recours collectif », à part l’opportunité de résoudre les questions communes. De surcroît, l’allusion, par ma collègue, au soi</w:t>
      </w:r>
      <w:r w:rsidRPr="00C328A2">
        <w:rPr>
          <w:rFonts w:cs="Times New Roman"/>
          <w:lang w:val="fr-CA"/>
        </w:rPr>
        <w:noBreakHyphen/>
        <w:t>disant « choix » des autres gouvernements de participer à l’instance, ou à leur « consentement », pose problème (par. 91).</w:t>
      </w:r>
    </w:p>
    <w:p w14:paraId="29CD0219"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Je ne souscris pas à l’affirmation selon laquelle les autres gouvernements ont choisi de participer. Ils ne l’ont pas fait, car la nature d’un régime avec mécanisme d’exclusion est telle que les autres gouvernements ne « choisissent » pas en fait de participer. Il n’existe pas de véritable choix, puisqu’à moins que les provinces ne prennent des mesures pour s’exclure à l’intérieur du délai et aux conditions précisées par le juge chargé de l’autorisation, elles participent déjà au recours collectif.</w:t>
      </w:r>
    </w:p>
    <w:p w14:paraId="38D63D0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De plus, même si un véritable consentement de la part des autres gouvernements </w:t>
      </w:r>
      <w:r w:rsidRPr="00C328A2">
        <w:rPr>
          <w:rFonts w:cs="Times New Roman"/>
          <w:i/>
          <w:lang w:val="fr-CA"/>
        </w:rPr>
        <w:t>était</w:t>
      </w:r>
      <w:r w:rsidRPr="00C328A2">
        <w:rPr>
          <w:rFonts w:cs="Times New Roman"/>
          <w:lang w:val="fr-CA"/>
        </w:rPr>
        <w:t xml:space="preserve"> obtenu, le consentement ne jouerait malgré tout aucun rôle lorsqu’il s’agit de décider s’il y a un lien significatif. Le consentement d’autres gouvernements ne saurait établir la constitutionnalité d’une disposition attaquée. </w:t>
      </w:r>
      <w:r w:rsidRPr="00C328A2">
        <w:rPr>
          <w:rFonts w:cs="Times New Roman"/>
          <w:lang w:val="fr-CA"/>
        </w:rPr>
        <w:lastRenderedPageBreak/>
        <w:t xml:space="preserve">Comme je l’ai mentionné précédemment, il peut y avoir des cas où d’autres gouvernements croient que la loi d’une province leur est favorable, même si cette loi dépasse les pouvoirs législatifs de cette province. Un commun accord ne peut sauvegarder une loi </w:t>
      </w:r>
      <w:r w:rsidRPr="00C328A2">
        <w:rPr>
          <w:rFonts w:cs="Times New Roman"/>
          <w:i/>
          <w:lang w:val="fr-CA"/>
        </w:rPr>
        <w:t>ultra vires</w:t>
      </w:r>
      <w:r w:rsidRPr="00C328A2">
        <w:rPr>
          <w:rFonts w:cs="Times New Roman"/>
          <w:lang w:val="fr-CA"/>
        </w:rPr>
        <w:t xml:space="preserve"> de la province.</w:t>
      </w:r>
    </w:p>
    <w:p w14:paraId="0DF09F2C"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Ayant apporté cette précision, je passe maintenant à la question de savoir s’il est possible d’établir un lien significatif en l’espèce.</w:t>
      </w:r>
    </w:p>
    <w:p w14:paraId="63171C18" w14:textId="77777777" w:rsidR="00C328A2" w:rsidRPr="00C328A2" w:rsidRDefault="00C328A2" w:rsidP="00C328A2">
      <w:pPr>
        <w:pStyle w:val="Title4LevelTitre4Niveau"/>
        <w:widowControl w:val="0"/>
        <w:numPr>
          <w:ilvl w:val="0"/>
          <w:numId w:val="0"/>
        </w:numPr>
        <w:spacing w:before="0"/>
        <w:ind w:left="1152" w:hanging="612"/>
        <w:rPr>
          <w:rFonts w:cs="Times New Roman"/>
          <w:lang w:val="fr-CA"/>
        </w:rPr>
      </w:pPr>
      <w:r w:rsidRPr="00C328A2">
        <w:rPr>
          <w:rFonts w:cs="Times New Roman"/>
          <w:i w:val="0"/>
          <w:lang w:val="fr-CA"/>
        </w:rPr>
        <w:t>b)</w:t>
      </w:r>
      <w:r w:rsidRPr="00C328A2">
        <w:rPr>
          <w:rFonts w:cs="Times New Roman"/>
          <w:i w:val="0"/>
          <w:lang w:val="fr-CA"/>
        </w:rPr>
        <w:tab/>
      </w:r>
      <w:r w:rsidRPr="00C328A2">
        <w:rPr>
          <w:rFonts w:cs="Times New Roman"/>
          <w:lang w:val="fr-CA"/>
        </w:rPr>
        <w:t>Il n’existe pas de lien significatif en l’espèce</w:t>
      </w:r>
    </w:p>
    <w:p w14:paraId="089DBF01"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 xml:space="preserve">Ma collègue conclut qu’il existe un lien significatif entre la province qui a adopté la loi, l’objet de la loi et les personnes qui y sont assujetties, conformément au test appliqué dans l’arrêt </w:t>
      </w:r>
      <w:r w:rsidRPr="00C328A2">
        <w:rPr>
          <w:rFonts w:cs="Times New Roman"/>
          <w:i/>
          <w:lang w:val="fr-CA"/>
        </w:rPr>
        <w:t>Imperial Tobacco</w:t>
      </w:r>
      <w:r w:rsidRPr="00C328A2">
        <w:rPr>
          <w:rFonts w:cs="Times New Roman"/>
          <w:lang w:val="fr-CA"/>
        </w:rPr>
        <w:t>. Elle fonde notamment sa conclusion sur le fait que, selon elle, une fois que l’autorisation d’exercer le recours collectif a été accordée, les effets extraterritoriaux sur les autres gouvernements ne découlent pas directement de l’art. 11, mais de la décision du tribunal d’autoriser le recours collectif (par. 90).</w:t>
      </w:r>
    </w:p>
    <w:p w14:paraId="26B54DA0"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Je ne suis pas d’accord avec cette prémisse. Les effets extraterritoriaux découlent de la disposition elle</w:t>
      </w:r>
      <w:r w:rsidRPr="00C328A2">
        <w:rPr>
          <w:rFonts w:cs="Times New Roman"/>
          <w:lang w:val="fr-CA"/>
        </w:rPr>
        <w:noBreakHyphen/>
        <w:t xml:space="preserve">même, et non de l’autorisation accordée par le tribunal. Tout d’abord, l’art. 11 a pour objet de permettre à la province de demander au tribunal de l’autoriser à exercer un recours collectif. Le recours ne pourrait être autorisé si l’art. 11 n’existait pas. Ensuite, la détermination de l’existence d’un lien significatif doit se faire en tenant compte du caractère véritable de la disposition législative </w:t>
      </w:r>
      <w:r w:rsidRPr="00C328A2">
        <w:rPr>
          <w:rFonts w:cs="Times New Roman"/>
          <w:lang w:val="fr-CA"/>
        </w:rPr>
        <w:lastRenderedPageBreak/>
        <w:t>contestée. Je le répète : la caractéristique principale de l’art. 11 ne peut être établie qu’en fonction de ce qui se passe après que l’autorisation d’exercer le recours collectif ait été accordée.</w:t>
      </w:r>
    </w:p>
    <w:p w14:paraId="146FB8D0"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À mon avis, le test adopté par le juge Major dans </w:t>
      </w:r>
      <w:r w:rsidRPr="00C328A2">
        <w:rPr>
          <w:rFonts w:cs="Times New Roman"/>
          <w:i/>
          <w:lang w:val="fr-CA"/>
        </w:rPr>
        <w:t>Imperial Tobacco</w:t>
      </w:r>
      <w:r w:rsidRPr="00C328A2">
        <w:rPr>
          <w:rFonts w:cs="Times New Roman"/>
          <w:lang w:val="fr-CA"/>
        </w:rPr>
        <w:t xml:space="preserve"> doit être considéré en tenant compte du contexte particulier de cette affaire, dans laquelle l’analyse portait sur la </w:t>
      </w:r>
      <w:r w:rsidRPr="00C328A2">
        <w:rPr>
          <w:rFonts w:cs="Times New Roman"/>
          <w:i/>
          <w:lang w:val="fr-CA"/>
        </w:rPr>
        <w:t>TRA</w:t>
      </w:r>
      <w:r w:rsidRPr="00C328A2">
        <w:rPr>
          <w:rFonts w:cs="Times New Roman"/>
          <w:lang w:val="fr-CA"/>
        </w:rPr>
        <w:t xml:space="preserve"> dans son ensemble. Dans le présent pourvoi, l’analyse touche une disposition bien précise : l’art. 11 de l’</w:t>
      </w:r>
      <w:r w:rsidRPr="00C328A2">
        <w:rPr>
          <w:rFonts w:cs="Times New Roman"/>
          <w:i/>
          <w:lang w:val="fr-CA"/>
        </w:rPr>
        <w:t>ORA</w:t>
      </w:r>
      <w:r w:rsidRPr="00C328A2">
        <w:rPr>
          <w:rFonts w:cs="Times New Roman"/>
          <w:lang w:val="fr-CA"/>
        </w:rPr>
        <w:t>.</w:t>
      </w:r>
    </w:p>
    <w:p w14:paraId="1D11B432"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De plus, il y a un écart marqué entre le contexte et la loi qui étaient en cause dans l’affaire </w:t>
      </w:r>
      <w:r w:rsidRPr="00C328A2">
        <w:rPr>
          <w:rFonts w:cs="Times New Roman"/>
          <w:i/>
          <w:lang w:val="fr-CA"/>
        </w:rPr>
        <w:t>Imperial Tobacco</w:t>
      </w:r>
      <w:r w:rsidRPr="00C328A2">
        <w:rPr>
          <w:rFonts w:cs="Times New Roman"/>
          <w:lang w:val="fr-CA"/>
        </w:rPr>
        <w:t xml:space="preserve"> et ceux qui nous intéressent en l’espèce. Dans l’affaire </w:t>
      </w:r>
      <w:r w:rsidRPr="00C328A2">
        <w:rPr>
          <w:rFonts w:cs="Times New Roman"/>
          <w:i/>
          <w:lang w:val="fr-CA"/>
        </w:rPr>
        <w:t>Imperial Tobacco</w:t>
      </w:r>
      <w:r w:rsidRPr="00C328A2">
        <w:rPr>
          <w:rFonts w:cs="Times New Roman"/>
          <w:lang w:val="fr-CA"/>
        </w:rPr>
        <w:t xml:space="preserve">, les fabricants de tabac défendeurs contestaient la constitutionnalité de la </w:t>
      </w:r>
      <w:r w:rsidRPr="00C328A2">
        <w:rPr>
          <w:rFonts w:cs="Times New Roman"/>
          <w:i/>
          <w:lang w:val="fr-CA"/>
        </w:rPr>
        <w:t>TRA</w:t>
      </w:r>
      <w:r w:rsidRPr="00C328A2">
        <w:rPr>
          <w:rFonts w:cs="Times New Roman"/>
          <w:lang w:val="fr-CA"/>
        </w:rPr>
        <w:t xml:space="preserve"> de la Colombie</w:t>
      </w:r>
      <w:r w:rsidRPr="00C328A2">
        <w:rPr>
          <w:rFonts w:cs="Times New Roman"/>
          <w:lang w:val="fr-CA"/>
        </w:rPr>
        <w:noBreakHyphen/>
        <w:t>Britannique. Cette loi accordait à la province de la Colombie</w:t>
      </w:r>
      <w:r w:rsidRPr="00C328A2">
        <w:rPr>
          <w:rFonts w:cs="Times New Roman"/>
          <w:lang w:val="fr-CA"/>
        </w:rPr>
        <w:noBreakHyphen/>
        <w:t>Britannique un droit d’action direct et distinct qui lui permettait de poursuivre les fabricants de tabac en vue de recouvrer les frais de soins de santé liés au tabac qu’elle avait engagés. C’était là le caractère véritable de cette loi, qui ne visait pas à mettre en jeu les droits d’une autre province (voir E. Edinger, « </w:t>
      </w:r>
      <w:r w:rsidRPr="00C328A2">
        <w:rPr>
          <w:rFonts w:cs="Times New Roman"/>
          <w:i/>
          <w:lang w:val="fr-CA"/>
        </w:rPr>
        <w:t>British Columbia v. Imperial Tobacco Canada Ltd. :</w:t>
      </w:r>
      <w:r w:rsidRPr="00C328A2">
        <w:rPr>
          <w:rFonts w:cs="Times New Roman"/>
          <w:lang w:val="fr-CA"/>
        </w:rPr>
        <w:t xml:space="preserve"> Extraterritoriality and Fundamental Principles » (2006), 43 </w:t>
      </w:r>
      <w:r w:rsidRPr="00C328A2">
        <w:rPr>
          <w:rFonts w:cs="Times New Roman"/>
          <w:i/>
          <w:iCs/>
          <w:lang w:val="fr-CA" w:bidi="en-US"/>
        </w:rPr>
        <w:t>Rev. can. dr. comm.</w:t>
      </w:r>
      <w:r w:rsidRPr="00C328A2">
        <w:rPr>
          <w:rFonts w:cs="Times New Roman"/>
          <w:lang w:val="fr-CA"/>
        </w:rPr>
        <w:t xml:space="preserve"> 301, p. 306</w:t>
      </w:r>
      <w:r w:rsidRPr="00C328A2">
        <w:rPr>
          <w:rFonts w:cs="Times New Roman"/>
          <w:lang w:val="fr-CA"/>
        </w:rPr>
        <w:noBreakHyphen/>
        <w:t xml:space="preserve">307). Cette loi ne s’appliquait pas non plus dans le contexte d’un recours collectif. Le caractère véritable de la </w:t>
      </w:r>
      <w:r w:rsidRPr="00C328A2">
        <w:rPr>
          <w:rFonts w:cs="Times New Roman"/>
          <w:i/>
          <w:lang w:val="fr-CA"/>
        </w:rPr>
        <w:t>TRA</w:t>
      </w:r>
      <w:r w:rsidRPr="00C328A2">
        <w:rPr>
          <w:rFonts w:cs="Times New Roman"/>
          <w:lang w:val="fr-CA"/>
        </w:rPr>
        <w:t xml:space="preserve"> consistait à créer un nouveau droit d’action dans la province et à simplifier les exigences y afférentes en matière de preuve.</w:t>
      </w:r>
    </w:p>
    <w:p w14:paraId="4B3A9138"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 xml:space="preserve">S’exprimant au nom d’une cour unanime, le juge Major a reconnu que, pour déterminer la validité d’une loi, il fallait tenir compte du </w:t>
      </w:r>
      <w:r w:rsidRPr="00C328A2">
        <w:rPr>
          <w:rFonts w:cs="Times New Roman"/>
          <w:lang w:val="fr-CA" w:bidi="en-US"/>
        </w:rPr>
        <w:t>« lien entre le territoire ayant légiféré, l’objet du texte de loi en cause et [les] personne[s] qu’on entendait assujettir à celui</w:t>
      </w:r>
      <w:r w:rsidRPr="00C328A2">
        <w:rPr>
          <w:rFonts w:cs="Times New Roman"/>
          <w:lang w:val="fr-CA" w:bidi="en-US"/>
        </w:rPr>
        <w:noBreakHyphen/>
        <w:t xml:space="preserve">ci » </w:t>
      </w:r>
      <w:r w:rsidRPr="00C328A2">
        <w:rPr>
          <w:rFonts w:cs="Times New Roman"/>
          <w:lang w:val="fr-CA"/>
        </w:rPr>
        <w:t>(</w:t>
      </w:r>
      <w:r w:rsidRPr="00C328A2">
        <w:rPr>
          <w:rFonts w:cs="Times New Roman"/>
          <w:i/>
          <w:iCs/>
          <w:lang w:val="fr-CA"/>
        </w:rPr>
        <w:t>Imperial Tobacco</w:t>
      </w:r>
      <w:r w:rsidRPr="00C328A2">
        <w:rPr>
          <w:rFonts w:cs="Times New Roman"/>
          <w:lang w:val="fr-CA"/>
        </w:rPr>
        <w:t xml:space="preserve">, par. 35, citant </w:t>
      </w:r>
      <w:r w:rsidRPr="00C328A2">
        <w:rPr>
          <w:rFonts w:cs="Times New Roman"/>
          <w:i/>
          <w:lang w:val="fr-CA"/>
        </w:rPr>
        <w:t>Unifund</w:t>
      </w:r>
      <w:r w:rsidRPr="00C328A2">
        <w:rPr>
          <w:rFonts w:cs="Times New Roman"/>
          <w:lang w:val="fr-CA"/>
        </w:rPr>
        <w:t>, par. 63). Il a conclu que le caractère véritable de la loi se situait dans la province, indépendamment du fait que les défendeurs n’y étaient pas tous physiquement présents. En ce qui concerne le lien significatif requis, il est arrivé à la conclusion suivante, au par. 37 :</w:t>
      </w:r>
    </w:p>
    <w:p w14:paraId="20E1EDE2" w14:textId="77777777" w:rsidR="00C328A2" w:rsidRPr="00C328A2" w:rsidRDefault="00C328A2" w:rsidP="00C328A2">
      <w:pPr>
        <w:pStyle w:val="Citation-AltC"/>
        <w:ind w:hanging="1166"/>
        <w:contextualSpacing w:val="0"/>
        <w:rPr>
          <w:lang w:val="fr-CA"/>
        </w:rPr>
      </w:pPr>
      <w:r w:rsidRPr="00C328A2">
        <w:rPr>
          <w:lang w:val="fr-CA" w:bidi="en-US"/>
        </w:rPr>
        <w:tab/>
      </w:r>
      <w:r w:rsidRPr="00C328A2">
        <w:rPr>
          <w:lang w:val="fr-CA" w:bidi="en-US"/>
        </w:rPr>
        <w:tab/>
        <w:t>En l’espèce, la cause d’action qui constitue le caractère véritable de la Loi sert exclusivement à faire en sorte que les personnes ultimement responsables des maladies liées au tabac dont souffrent les Britanno</w:t>
      </w:r>
      <w:r w:rsidRPr="00C328A2">
        <w:rPr>
          <w:lang w:val="fr-CA" w:bidi="en-US"/>
        </w:rPr>
        <w:noBreakHyphen/>
        <w:t>Colombiens — à savoir les fabricants de produits du tabac qui, par leurs actes fautifs, ont exposé au tabac ces Britanno</w:t>
      </w:r>
      <w:r w:rsidRPr="00C328A2">
        <w:rPr>
          <w:lang w:val="fr-CA" w:bidi="en-US"/>
        </w:rPr>
        <w:noBreakHyphen/>
        <w:t>Colombiens — deviennent responsables des frais engagés par le gouvernement de la Colombie</w:t>
      </w:r>
      <w:r w:rsidRPr="00C328A2">
        <w:rPr>
          <w:lang w:val="fr-CA" w:bidi="en-US"/>
        </w:rPr>
        <w:noBreakHyphen/>
        <w:t>Britannique pour le traitement de ces maladies. Il existe donc un lien solide entre le territoire ayant légiféré (la Colombie</w:t>
      </w:r>
      <w:r w:rsidRPr="00C328A2">
        <w:rPr>
          <w:lang w:val="fr-CA" w:bidi="en-US"/>
        </w:rPr>
        <w:noBreakHyphen/>
        <w:t>Britannique), l’objet de la loi (l’indemnisation pour les coûts des soins de santé liés au tabac engagés par le gouvernement de la Colombie</w:t>
      </w:r>
      <w:r w:rsidRPr="00C328A2">
        <w:rPr>
          <w:lang w:val="fr-CA" w:bidi="en-US"/>
        </w:rPr>
        <w:noBreakHyphen/>
        <w:t>Britannique) et les personnes assujetties à cette loi (les fabricants de produits du tabac ultimement responsables de ces coûts). On peut alors conclure facilement à l’existence d’un lien significatif entre la Loi et la province</w:t>
      </w:r>
      <w:r w:rsidRPr="00C328A2">
        <w:rPr>
          <w:lang w:val="fr-CA"/>
        </w:rPr>
        <w:t>. [Je souligne.]</w:t>
      </w:r>
    </w:p>
    <w:p w14:paraId="166FB718"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Les parties au présent pourvoi ne contestent pas qu’à l’exception de l’art. 11, la loi au cœur de la présente affaire est très semblable à la </w:t>
      </w:r>
      <w:r w:rsidRPr="00C328A2">
        <w:rPr>
          <w:rFonts w:cs="Times New Roman"/>
          <w:i/>
          <w:lang w:val="fr-CA"/>
        </w:rPr>
        <w:t>TRA</w:t>
      </w:r>
      <w:r w:rsidRPr="00C328A2">
        <w:rPr>
          <w:rFonts w:cs="Times New Roman"/>
          <w:lang w:val="fr-CA"/>
        </w:rPr>
        <w:t xml:space="preserve"> examinée par notre Cour dans l’affaire </w:t>
      </w:r>
      <w:r w:rsidRPr="00C328A2">
        <w:rPr>
          <w:rFonts w:cs="Times New Roman"/>
          <w:i/>
          <w:lang w:val="fr-CA"/>
        </w:rPr>
        <w:t>Imperial Tobacco</w:t>
      </w:r>
      <w:r w:rsidRPr="00C328A2">
        <w:rPr>
          <w:rFonts w:cs="Times New Roman"/>
          <w:lang w:val="fr-CA"/>
        </w:rPr>
        <w:t xml:space="preserve"> (voir le m.a., par. 13; m.i., par. 15). J’accepte cette proposition. En effet, l’</w:t>
      </w:r>
      <w:r w:rsidRPr="00C328A2">
        <w:rPr>
          <w:rFonts w:cs="Times New Roman"/>
          <w:i/>
          <w:lang w:val="fr-CA"/>
        </w:rPr>
        <w:t xml:space="preserve">ORA </w:t>
      </w:r>
      <w:r w:rsidRPr="00C328A2">
        <w:rPr>
          <w:rFonts w:cs="Times New Roman"/>
          <w:lang w:val="fr-CA"/>
        </w:rPr>
        <w:t xml:space="preserve">et la </w:t>
      </w:r>
      <w:r w:rsidRPr="00C328A2">
        <w:rPr>
          <w:rFonts w:cs="Times New Roman"/>
          <w:i/>
          <w:lang w:val="fr-CA"/>
        </w:rPr>
        <w:t xml:space="preserve">TRA </w:t>
      </w:r>
      <w:r w:rsidRPr="00C328A2">
        <w:rPr>
          <w:rFonts w:cs="Times New Roman"/>
          <w:lang w:val="fr-CA"/>
        </w:rPr>
        <w:t>accordent toutes les deux à la province qui a adopté la loi un droit d’action direct et distinct relativement à une faute particulière, qu’elle soit liée au tabac ou aux opioïdes. Je ne remets pas en question le fait que l’adoption de l’</w:t>
      </w:r>
      <w:r w:rsidRPr="00C328A2">
        <w:rPr>
          <w:rFonts w:cs="Times New Roman"/>
          <w:i/>
          <w:lang w:val="fr-CA"/>
        </w:rPr>
        <w:t>ORA</w:t>
      </w:r>
      <w:r w:rsidRPr="00C328A2">
        <w:rPr>
          <w:rFonts w:cs="Times New Roman"/>
          <w:lang w:val="fr-CA"/>
        </w:rPr>
        <w:t xml:space="preserve">, comme celle de la </w:t>
      </w:r>
      <w:r w:rsidRPr="00C328A2">
        <w:rPr>
          <w:rFonts w:cs="Times New Roman"/>
          <w:i/>
          <w:lang w:val="fr-CA"/>
        </w:rPr>
        <w:t>TRA</w:t>
      </w:r>
      <w:r w:rsidRPr="00C328A2">
        <w:rPr>
          <w:rFonts w:cs="Times New Roman"/>
          <w:lang w:val="fr-CA"/>
        </w:rPr>
        <w:t xml:space="preserve">, a eu pour effet de simplifier les </w:t>
      </w:r>
      <w:r w:rsidRPr="00C328A2">
        <w:rPr>
          <w:rFonts w:cs="Times New Roman"/>
          <w:lang w:val="fr-CA"/>
        </w:rPr>
        <w:lastRenderedPageBreak/>
        <w:t>règles et de conférer à la Province un droit d’action.</w:t>
      </w:r>
      <w:r w:rsidRPr="00C328A2">
        <w:rPr>
          <w:rFonts w:cs="Times New Roman"/>
          <w:i/>
          <w:lang w:val="fr-CA"/>
        </w:rPr>
        <w:t xml:space="preserve"> </w:t>
      </w:r>
      <w:r w:rsidRPr="00C328A2">
        <w:rPr>
          <w:rFonts w:cs="Times New Roman"/>
          <w:lang w:val="fr-CA"/>
        </w:rPr>
        <w:t>Mais l’</w:t>
      </w:r>
      <w:r w:rsidRPr="00C328A2">
        <w:rPr>
          <w:rFonts w:cs="Times New Roman"/>
          <w:i/>
          <w:lang w:val="fr-CA"/>
        </w:rPr>
        <w:t>ORA</w:t>
      </w:r>
      <w:r w:rsidRPr="00C328A2">
        <w:rPr>
          <w:rFonts w:cs="Times New Roman"/>
          <w:lang w:val="fr-CA"/>
        </w:rPr>
        <w:t xml:space="preserve"> se distingue sous un aspect important. L’article 11 permet à la province de la Colombie</w:t>
      </w:r>
      <w:r w:rsidRPr="00C328A2">
        <w:rPr>
          <w:rFonts w:cs="Times New Roman"/>
          <w:lang w:val="fr-CA"/>
        </w:rPr>
        <w:noBreakHyphen/>
        <w:t xml:space="preserve">Britannique d’introduire un recours collectif au nom des tous les autres gouvernements du Canada. La </w:t>
      </w:r>
      <w:r w:rsidRPr="00C328A2">
        <w:rPr>
          <w:rFonts w:cs="Times New Roman"/>
          <w:i/>
          <w:lang w:val="fr-CA"/>
        </w:rPr>
        <w:t xml:space="preserve">TRA </w:t>
      </w:r>
      <w:r w:rsidRPr="00C328A2">
        <w:rPr>
          <w:rFonts w:cs="Times New Roman"/>
          <w:lang w:val="fr-CA"/>
        </w:rPr>
        <w:t>n’accordait aucun mécanisme semblable à la province.</w:t>
      </w:r>
    </w:p>
    <w:p w14:paraId="56CFCBD7"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À mon avis, l’issue de l’analyse en l’espèce se distingue à deux égards. Tout d’abord, le fait que l’objet de la loi concerne, en raison de son caractère véritable, les droits substantiels d’autres gouvernements signifie nécessairement qu’il n’a aucun lien significatif avec la province qui l’a adoptée. Contrairement à la situation qui prévalait dans l’affaire </w:t>
      </w:r>
      <w:r w:rsidRPr="00C328A2">
        <w:rPr>
          <w:rFonts w:cs="Times New Roman"/>
          <w:i/>
          <w:lang w:val="fr-CA"/>
        </w:rPr>
        <w:t>Imperial Tobacco</w:t>
      </w:r>
      <w:r w:rsidRPr="00C328A2">
        <w:rPr>
          <w:rFonts w:cs="Times New Roman"/>
          <w:lang w:val="fr-CA"/>
        </w:rPr>
        <w:t>, on ne peut dire que la province de la Colombie</w:t>
      </w:r>
      <w:r w:rsidRPr="00C328A2">
        <w:rPr>
          <w:rFonts w:cs="Times New Roman"/>
          <w:lang w:val="fr-CA"/>
        </w:rPr>
        <w:noBreakHyphen/>
        <w:t>Britannique a un lien significatif avec les droits substantiels des autres gouvernements provinciaux et du gouvernement fédéral. D’ailleurs, les modalités d’exercice des droits substantiels des autres provinces — en l’occurrence, la capacité d’ester en justice en vue de recouvrer les coûts des soins de santé — dans le cadre d’une action civile introduite en Colombie</w:t>
      </w:r>
      <w:r w:rsidRPr="00C328A2">
        <w:rPr>
          <w:rFonts w:cs="Times New Roman"/>
          <w:lang w:val="fr-CA"/>
        </w:rPr>
        <w:noBreakHyphen/>
        <w:t xml:space="preserve">Britannique ne relèvent pas de la compétence de la province qui a adopté la loi. Pour reprendre les propos du juge McIntyre dans l’arrêt </w:t>
      </w:r>
      <w:r w:rsidRPr="00C328A2">
        <w:rPr>
          <w:rFonts w:cs="Times New Roman"/>
          <w:i/>
          <w:iCs/>
          <w:lang w:val="fr-CA"/>
        </w:rPr>
        <w:t>Upper Churchill</w:t>
      </w:r>
      <w:r w:rsidRPr="00C328A2">
        <w:rPr>
          <w:rFonts w:cs="Times New Roman"/>
          <w:lang w:val="fr-CA"/>
        </w:rPr>
        <w:t>, je suis d’avis de conclure qu’il s’ensuit que l’art. 11 « </w:t>
      </w:r>
      <w:r w:rsidRPr="00C328A2">
        <w:rPr>
          <w:rFonts w:cs="Times New Roman"/>
          <w:lang w:val="fr-CA" w:bidi="en-US"/>
        </w:rPr>
        <w:t>porte atteinte à des droits extra</w:t>
      </w:r>
      <w:r w:rsidRPr="00C328A2">
        <w:rPr>
          <w:rFonts w:cs="Times New Roman"/>
          <w:lang w:val="fr-CA" w:bidi="en-US"/>
        </w:rPr>
        <w:noBreakHyphen/>
        <w:t>provinciaux ou les élimine »</w:t>
      </w:r>
      <w:r w:rsidRPr="00C328A2">
        <w:rPr>
          <w:rFonts w:cs="Times New Roman"/>
          <w:lang w:val="fr-CA"/>
        </w:rPr>
        <w:t xml:space="preserve"> (p. 332).</w:t>
      </w:r>
    </w:p>
    <w:p w14:paraId="7CCBD2D0"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Ensuite, il y a une différence entre les personnes et les entités qui étaient « assujetties » à la loi dans l’affaire </w:t>
      </w:r>
      <w:r w:rsidRPr="00C328A2">
        <w:rPr>
          <w:rFonts w:cs="Times New Roman"/>
          <w:i/>
          <w:lang w:val="fr-CA"/>
        </w:rPr>
        <w:t xml:space="preserve">Imperial Tobacco </w:t>
      </w:r>
      <w:r w:rsidRPr="00C328A2">
        <w:rPr>
          <w:rFonts w:cs="Times New Roman"/>
          <w:lang w:val="fr-CA"/>
        </w:rPr>
        <w:t>et celles qui sont assujetties à l’art. 11 de l’</w:t>
      </w:r>
      <w:r w:rsidRPr="00C328A2">
        <w:rPr>
          <w:rFonts w:cs="Times New Roman"/>
          <w:i/>
          <w:lang w:val="fr-CA"/>
        </w:rPr>
        <w:t>ORA</w:t>
      </w:r>
      <w:r w:rsidRPr="00C328A2">
        <w:rPr>
          <w:rFonts w:cs="Times New Roman"/>
          <w:lang w:val="fr-CA"/>
        </w:rPr>
        <w:t xml:space="preserve">. Comme l’extrait précité l’illustre bien, il était allégué que les fabricants de tabac défendeurs dans </w:t>
      </w:r>
      <w:r w:rsidRPr="00C328A2">
        <w:rPr>
          <w:rFonts w:cs="Times New Roman"/>
          <w:i/>
          <w:lang w:val="fr-CA"/>
        </w:rPr>
        <w:t>Imperial Tobacco</w:t>
      </w:r>
      <w:r w:rsidRPr="00C328A2">
        <w:rPr>
          <w:rFonts w:cs="Times New Roman"/>
          <w:lang w:val="fr-CA"/>
        </w:rPr>
        <w:t xml:space="preserve"> étaient assujettis à la </w:t>
      </w:r>
      <w:r w:rsidRPr="00C328A2">
        <w:rPr>
          <w:rFonts w:cs="Times New Roman"/>
          <w:i/>
          <w:lang w:val="fr-CA"/>
        </w:rPr>
        <w:t>TRA</w:t>
      </w:r>
      <w:r w:rsidRPr="00C328A2">
        <w:rPr>
          <w:rFonts w:cs="Times New Roman"/>
          <w:lang w:val="fr-CA"/>
        </w:rPr>
        <w:t xml:space="preserve">. Dans </w:t>
      </w:r>
      <w:r w:rsidRPr="00C328A2">
        <w:rPr>
          <w:rFonts w:cs="Times New Roman"/>
          <w:lang w:val="fr-CA"/>
        </w:rPr>
        <w:lastRenderedPageBreak/>
        <w:t>cette affaire, la loi accordait à la province de la Colombie</w:t>
      </w:r>
      <w:r w:rsidRPr="00C328A2">
        <w:rPr>
          <w:rFonts w:cs="Times New Roman"/>
          <w:lang w:val="fr-CA"/>
        </w:rPr>
        <w:noBreakHyphen/>
        <w:t>Britannique un droit d’action direct et distinct contre les défendeurs en question relativement aux dommages causés par le tabac aux citoyens de la Colombie</w:t>
      </w:r>
      <w:r w:rsidRPr="00C328A2">
        <w:rPr>
          <w:rFonts w:cs="Times New Roman"/>
          <w:lang w:val="fr-CA"/>
        </w:rPr>
        <w:noBreakHyphen/>
        <w:t>Britannique. Comme le juge Major l’a reconnu, « </w:t>
      </w:r>
      <w:r w:rsidRPr="00C328A2">
        <w:rPr>
          <w:rFonts w:cs="Times New Roman"/>
          <w:lang w:val="fr-CA" w:bidi="en-US"/>
        </w:rPr>
        <w:t>un lien critique et exclusif [unissait les défendeurs et la province] en tout temps : le recouvrement qu’autorise l’action se rapporte aux dépenses engagées par le gouvernement de la Colombie</w:t>
      </w:r>
      <w:r w:rsidRPr="00C328A2">
        <w:rPr>
          <w:rFonts w:cs="Times New Roman"/>
          <w:lang w:val="fr-CA" w:bidi="en-US"/>
        </w:rPr>
        <w:noBreakHyphen/>
        <w:t>Britannique pour les soins de santé des Britanno</w:t>
      </w:r>
      <w:r w:rsidRPr="00C328A2">
        <w:rPr>
          <w:rFonts w:cs="Times New Roman"/>
          <w:lang w:val="fr-CA" w:bidi="en-US"/>
        </w:rPr>
        <w:noBreakHyphen/>
        <w:t>Colombiens »</w:t>
      </w:r>
      <w:r w:rsidRPr="00C328A2">
        <w:rPr>
          <w:rFonts w:cs="Times New Roman"/>
          <w:lang w:val="fr-CA"/>
        </w:rPr>
        <w:t xml:space="preserve"> (par. 38). Le droit d’action reconnu par la loi visait à simplifier et à codifier le mécanisme permettant à la province de recouvrer le coût des soins de santé à la suite d</w:t>
      </w:r>
      <w:r w:rsidRPr="00C328A2">
        <w:rPr>
          <w:rFonts w:cs="Times New Roman"/>
          <w:lang w:val="fr-CA" w:bidi="en-US"/>
        </w:rPr>
        <w:t>es manquements des fabricants en question à leurs obligations envers « des personnes en Colombie</w:t>
      </w:r>
      <w:r w:rsidRPr="00C328A2">
        <w:rPr>
          <w:rFonts w:cs="Times New Roman"/>
          <w:lang w:val="fr-CA" w:bidi="en-US"/>
        </w:rPr>
        <w:noBreakHyphen/>
        <w:t xml:space="preserve">Britannique » </w:t>
      </w:r>
      <w:r w:rsidRPr="00C328A2">
        <w:rPr>
          <w:rFonts w:cs="Times New Roman"/>
          <w:lang w:val="fr-CA"/>
        </w:rPr>
        <w:t>(par. 40</w:t>
      </w:r>
      <w:r w:rsidRPr="00C328A2">
        <w:rPr>
          <w:rFonts w:cs="Times New Roman"/>
          <w:lang w:val="fr-CA"/>
        </w:rPr>
        <w:noBreakHyphen/>
        <w:t>41). L’action elle</w:t>
      </w:r>
      <w:r w:rsidRPr="00C328A2">
        <w:rPr>
          <w:rFonts w:cs="Times New Roman"/>
          <w:lang w:val="fr-CA"/>
        </w:rPr>
        <w:noBreakHyphen/>
        <w:t xml:space="preserve">même était intentée contre les défendeurs, et l’obligation incombait à ces derniers. L’élément central de la </w:t>
      </w:r>
      <w:r w:rsidRPr="00C328A2">
        <w:rPr>
          <w:rFonts w:cs="Times New Roman"/>
          <w:i/>
          <w:lang w:val="fr-CA"/>
        </w:rPr>
        <w:t>TRA</w:t>
      </w:r>
      <w:r w:rsidRPr="00C328A2">
        <w:rPr>
          <w:rFonts w:cs="Times New Roman"/>
          <w:lang w:val="fr-CA"/>
        </w:rPr>
        <w:t xml:space="preserve"> était donc le droit d’action direct et distinct contre les défendeurs qui étaient assujettis à la loi en raison des fautes qu’ils auraient commises. La province de la Colombie</w:t>
      </w:r>
      <w:r w:rsidRPr="00C328A2">
        <w:rPr>
          <w:rFonts w:cs="Times New Roman"/>
          <w:lang w:val="fr-CA"/>
        </w:rPr>
        <w:noBreakHyphen/>
        <w:t>Britannique a été autorisée à intenter une action au nom de sa propre province pour les fautes commises sur son territoire.</w:t>
      </w:r>
    </w:p>
    <w:p w14:paraId="3263825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En revanche, l’art. 11 de l’</w:t>
      </w:r>
      <w:r w:rsidRPr="00C328A2">
        <w:rPr>
          <w:rFonts w:cs="Times New Roman"/>
          <w:i/>
          <w:lang w:val="fr-CA"/>
        </w:rPr>
        <w:t>ORA</w:t>
      </w:r>
      <w:r w:rsidRPr="00C328A2">
        <w:rPr>
          <w:rFonts w:cs="Times New Roman"/>
          <w:lang w:val="fr-CA"/>
        </w:rPr>
        <w:t xml:space="preserve"> a un objectif plus large que celui visant seulement à accorder ou à conférer à la province de la Colombie</w:t>
      </w:r>
      <w:r w:rsidRPr="00C328A2">
        <w:rPr>
          <w:rFonts w:cs="Times New Roman"/>
          <w:lang w:val="fr-CA"/>
        </w:rPr>
        <w:noBreakHyphen/>
        <w:t>Britannique un droit d’action contre les défenderesses : c’est là l’objet de l’</w:t>
      </w:r>
      <w:r w:rsidRPr="00C328A2">
        <w:rPr>
          <w:rFonts w:cs="Times New Roman"/>
          <w:i/>
          <w:lang w:val="fr-CA"/>
        </w:rPr>
        <w:t>ORA</w:t>
      </w:r>
      <w:r w:rsidRPr="00C328A2">
        <w:rPr>
          <w:rFonts w:cs="Times New Roman"/>
          <w:lang w:val="fr-CA"/>
        </w:rPr>
        <w:t xml:space="preserve"> dans son ensemble (voir les motifs de la C.A., par. 1 et 96). Contrairement aux autres dispositions de l’</w:t>
      </w:r>
      <w:r w:rsidRPr="00C328A2">
        <w:rPr>
          <w:rFonts w:cs="Times New Roman"/>
          <w:i/>
          <w:lang w:val="fr-CA"/>
        </w:rPr>
        <w:t>ORA</w:t>
      </w:r>
      <w:r w:rsidRPr="00C328A2">
        <w:rPr>
          <w:rFonts w:cs="Times New Roman"/>
          <w:lang w:val="fr-CA"/>
        </w:rPr>
        <w:t xml:space="preserve">, l’art. 11 ne concerne pas uniquement un droit d’action reconnu par la loi relativement à des fautes liées aux opioïdes </w:t>
      </w:r>
      <w:r w:rsidRPr="00C328A2">
        <w:rPr>
          <w:rFonts w:cs="Times New Roman"/>
          <w:i/>
          <w:lang w:val="fr-CA"/>
        </w:rPr>
        <w:t>dans la province</w:t>
      </w:r>
      <w:r w:rsidRPr="00C328A2">
        <w:rPr>
          <w:rFonts w:cs="Times New Roman"/>
          <w:lang w:val="fr-CA"/>
        </w:rPr>
        <w:t xml:space="preserve">. Il ne concerne pas non plus les défenderesses dans la présente affaire. Ce sont là des objectifs qui sont traités et réalisés </w:t>
      </w:r>
      <w:r w:rsidRPr="00C328A2">
        <w:rPr>
          <w:rFonts w:cs="Times New Roman"/>
          <w:lang w:val="fr-CA"/>
        </w:rPr>
        <w:lastRenderedPageBreak/>
        <w:t>par le reste de l’</w:t>
      </w:r>
      <w:r w:rsidRPr="00C328A2">
        <w:rPr>
          <w:rFonts w:cs="Times New Roman"/>
          <w:i/>
          <w:lang w:val="fr-CA"/>
        </w:rPr>
        <w:t>ORA</w:t>
      </w:r>
      <w:r w:rsidRPr="00C328A2">
        <w:rPr>
          <w:rFonts w:cs="Times New Roman"/>
          <w:lang w:val="fr-CA"/>
        </w:rPr>
        <w:t xml:space="preserve">. L’article 11 concerne plutôt principalement les autres gouvernements en tant que demandeurs et à l’exercice de leurs droits substantiels dans le cadre de l’action civile. </w:t>
      </w:r>
      <w:r w:rsidRPr="00C328A2">
        <w:rPr>
          <w:rFonts w:cs="Times New Roman"/>
          <w:i/>
          <w:lang w:val="fr-CA"/>
        </w:rPr>
        <w:t>A priori</w:t>
      </w:r>
      <w:r w:rsidRPr="00C328A2">
        <w:rPr>
          <w:rFonts w:cs="Times New Roman"/>
          <w:lang w:val="fr-CA"/>
        </w:rPr>
        <w:t>, l’art. 11 permet à la province de la Colombie</w:t>
      </w:r>
      <w:r w:rsidRPr="00C328A2">
        <w:rPr>
          <w:rFonts w:cs="Times New Roman"/>
          <w:lang w:val="fr-CA"/>
        </w:rPr>
        <w:noBreakHyphen/>
        <w:t xml:space="preserve">Britannique d’agir, en tant que représentant des demandeurs, au nom des autres gouvernements provinciaux et du gouvernement fédéral dans le cadre d’un recours collectif. Contrairement à ce que prétend l’intimé (voir le m.i., par. 91), ce ne sont ni la province ni les défenderesses qui sont assujetties aux restrictions de l’art. 11. Ce sont plutôt les autres gouvernements provinciaux et le gouvernement fédéral. Je suivrais la même logique si je concluais que l’art. 11 est de nature procédurale et qu’il relève potentiellement du par. 92(14) de la </w:t>
      </w:r>
      <w:r w:rsidRPr="00C328A2">
        <w:rPr>
          <w:rFonts w:cs="Times New Roman"/>
          <w:i/>
          <w:lang w:val="fr-CA"/>
        </w:rPr>
        <w:t>Loi constitutionnelle de 1867</w:t>
      </w:r>
      <w:r w:rsidRPr="00C328A2">
        <w:rPr>
          <w:rFonts w:cs="Times New Roman"/>
          <w:lang w:val="fr-CA"/>
        </w:rPr>
        <w:t>.</w:t>
      </w:r>
    </w:p>
    <w:p w14:paraId="2E8C9C39"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Pour ces motifs, je suis d’avis que la province de la Colombie</w:t>
      </w:r>
      <w:r w:rsidRPr="00C328A2">
        <w:rPr>
          <w:rFonts w:cs="Times New Roman"/>
          <w:lang w:val="fr-CA"/>
        </w:rPr>
        <w:noBreakHyphen/>
        <w:t xml:space="preserve">Britannique n’a pas de lien significatif avec l’objet de l’art. 11 </w:t>
      </w:r>
      <w:r w:rsidRPr="00C328A2">
        <w:rPr>
          <w:rFonts w:cs="Times New Roman"/>
          <w:i/>
          <w:iCs/>
          <w:lang w:val="fr-CA"/>
        </w:rPr>
        <w:t>ou</w:t>
      </w:r>
      <w:r w:rsidRPr="00C328A2">
        <w:rPr>
          <w:rFonts w:cs="Times New Roman"/>
          <w:lang w:val="fr-CA"/>
        </w:rPr>
        <w:t xml:space="preserve"> avec les personnes qui y sont assujetties. Plus précisément, il n’existe aucun lien entre la province de la Colombie</w:t>
      </w:r>
      <w:r w:rsidRPr="00C328A2">
        <w:rPr>
          <w:rFonts w:cs="Times New Roman"/>
          <w:lang w:val="fr-CA"/>
        </w:rPr>
        <w:noBreakHyphen/>
        <w:t>Britannique et les autres gouvernements nommément désignés dans l’action collective, entre la province de la Colombie</w:t>
      </w:r>
      <w:r w:rsidRPr="00C328A2">
        <w:rPr>
          <w:rFonts w:cs="Times New Roman"/>
          <w:lang w:val="fr-CA"/>
        </w:rPr>
        <w:noBreakHyphen/>
        <w:t>Britannique et les réclamations des autres gouvernements et entre la province de la Colombie</w:t>
      </w:r>
      <w:r w:rsidRPr="00C328A2">
        <w:rPr>
          <w:rFonts w:cs="Times New Roman"/>
          <w:lang w:val="fr-CA"/>
        </w:rPr>
        <w:noBreakHyphen/>
        <w:t>Britannique et l’objet de l’art. 11. Par conséquent, l’art. 11 de l’</w:t>
      </w:r>
      <w:r w:rsidRPr="00C328A2">
        <w:rPr>
          <w:rFonts w:cs="Times New Roman"/>
          <w:i/>
          <w:lang w:val="fr-CA"/>
        </w:rPr>
        <w:t>ORA</w:t>
      </w:r>
      <w:r w:rsidRPr="00C328A2">
        <w:rPr>
          <w:rFonts w:cs="Times New Roman"/>
          <w:lang w:val="fr-CA"/>
        </w:rPr>
        <w:t xml:space="preserve"> ne respecte pas les limites territoriales prescrites par l’art. 92 de la </w:t>
      </w:r>
      <w:r w:rsidRPr="00C328A2">
        <w:rPr>
          <w:rFonts w:cs="Times New Roman"/>
          <w:i/>
          <w:lang w:val="fr-CA"/>
        </w:rPr>
        <w:t>Loi constitutionnelle de 1867</w:t>
      </w:r>
      <w:r w:rsidRPr="00C328A2">
        <w:rPr>
          <w:rFonts w:cs="Times New Roman"/>
          <w:lang w:val="fr-CA"/>
        </w:rPr>
        <w:t>.</w:t>
      </w:r>
    </w:p>
    <w:p w14:paraId="63521544" w14:textId="77777777" w:rsidR="00C328A2" w:rsidRPr="00C328A2" w:rsidRDefault="00C328A2" w:rsidP="00C328A2">
      <w:pPr>
        <w:pStyle w:val="Title3LevelTitre3Niveau"/>
        <w:widowControl w:val="0"/>
        <w:numPr>
          <w:ilvl w:val="2"/>
          <w:numId w:val="8"/>
        </w:numPr>
        <w:spacing w:before="0"/>
        <w:ind w:hanging="612"/>
        <w:rPr>
          <w:rFonts w:cs="Times New Roman"/>
          <w:lang w:val="fr-CA"/>
        </w:rPr>
      </w:pPr>
      <w:r w:rsidRPr="00C328A2">
        <w:rPr>
          <w:rFonts w:cs="Times New Roman"/>
          <w:lang w:val="fr-CA"/>
        </w:rPr>
        <w:t>Souveraineté législative</w:t>
      </w:r>
    </w:p>
    <w:p w14:paraId="5F06B462"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 xml:space="preserve">Ayant conclu qu’il n’y a aucun lien significatif entre la province qui a adopté la loi, l’objet de la loi et les personnes qui y sont assujetties, il n’est pas </w:t>
      </w:r>
      <w:r w:rsidRPr="00C328A2">
        <w:rPr>
          <w:rFonts w:cs="Times New Roman"/>
          <w:lang w:val="fr-CA"/>
        </w:rPr>
        <w:lastRenderedPageBreak/>
        <w:t>nécessaire, pour trancher le présent pourvoi, que je me prononce sur la question de savoir si l’art. 11 de l’</w:t>
      </w:r>
      <w:r w:rsidRPr="00C328A2">
        <w:rPr>
          <w:rFonts w:cs="Times New Roman"/>
          <w:i/>
          <w:lang w:val="fr-CA"/>
        </w:rPr>
        <w:t>ORA</w:t>
      </w:r>
      <w:r w:rsidRPr="00C328A2">
        <w:rPr>
          <w:rFonts w:cs="Times New Roman"/>
          <w:lang w:val="fr-CA"/>
        </w:rPr>
        <w:t xml:space="preserve"> respecte la souveraineté législative des autres gouvernements provinciaux et du gouvernement fédéral. Je tiens toutefois à exprimer certaines réserves quant à la capacité d’une législature d’empiéter sur la souveraineté législative d’autres provinces et du gouvernement fédéral, ou de lier effectivement les législatures provinciales et le Parlement par défaut.</w:t>
      </w:r>
    </w:p>
    <w:p w14:paraId="1F42F5E9"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L’égale souveraineté des provinces et du gouvernement fédéral est un principe fondateur de notre régime fédéral (</w:t>
      </w:r>
      <w:r w:rsidRPr="00C328A2">
        <w:rPr>
          <w:rFonts w:cs="Times New Roman"/>
          <w:i/>
          <w:lang w:val="fr-CA" w:bidi="en-US"/>
        </w:rPr>
        <w:t>Renvoi relatif à la sécession du Québec</w:t>
      </w:r>
      <w:r w:rsidRPr="00C328A2">
        <w:rPr>
          <w:rFonts w:cs="Times New Roman"/>
          <w:lang w:val="fr-CA"/>
        </w:rPr>
        <w:t>, [1998] 2 R.C.S. 217, par. 56</w:t>
      </w:r>
      <w:r w:rsidRPr="00C328A2">
        <w:rPr>
          <w:rFonts w:cs="Times New Roman"/>
          <w:lang w:val="fr-CA"/>
        </w:rPr>
        <w:noBreakHyphen/>
        <w:t xml:space="preserve">59). En raison des restrictions territoriales que lui impose l’art. 92 de la </w:t>
      </w:r>
      <w:r w:rsidRPr="00C328A2">
        <w:rPr>
          <w:rFonts w:cs="Times New Roman"/>
          <w:i/>
          <w:lang w:val="fr-CA"/>
        </w:rPr>
        <w:t>Loi constitutionnelle de 1867</w:t>
      </w:r>
      <w:r w:rsidRPr="00C328A2">
        <w:rPr>
          <w:rFonts w:cs="Times New Roman"/>
          <w:lang w:val="fr-CA"/>
        </w:rPr>
        <w:t>, chaque province est tenue de respecter la souveraineté législative des autres provinces dans leurs sphères législatives respectives et s’attend au même respect en retour (</w:t>
      </w:r>
      <w:r w:rsidRPr="00C328A2">
        <w:rPr>
          <w:rFonts w:cs="Times New Roman"/>
          <w:i/>
          <w:lang w:val="fr-CA"/>
        </w:rPr>
        <w:t>Unifund</w:t>
      </w:r>
      <w:r w:rsidRPr="00C328A2">
        <w:rPr>
          <w:rFonts w:cs="Times New Roman"/>
          <w:lang w:val="fr-CA"/>
        </w:rPr>
        <w:t>, par. 50</w:t>
      </w:r>
      <w:r w:rsidRPr="00C328A2">
        <w:rPr>
          <w:rFonts w:cs="Times New Roman"/>
          <w:lang w:val="fr-CA"/>
        </w:rPr>
        <w:noBreakHyphen/>
        <w:t xml:space="preserve">51; </w:t>
      </w:r>
      <w:r w:rsidRPr="00C328A2">
        <w:rPr>
          <w:rFonts w:cs="Times New Roman"/>
          <w:i/>
          <w:lang w:val="fr-CA"/>
        </w:rPr>
        <w:t>Imperial Tobacco</w:t>
      </w:r>
      <w:r w:rsidRPr="00C328A2">
        <w:rPr>
          <w:rFonts w:cs="Times New Roman"/>
          <w:lang w:val="fr-CA"/>
        </w:rPr>
        <w:t>, par. 27). Une province doit par conséquent éviter d’empiéter par voie législative sur des questions qui relèvent à juste titre de la compétence exclusive d’autres provinces.</w:t>
      </w:r>
    </w:p>
    <w:p w14:paraId="66E0AB1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Dans l’arrêt </w:t>
      </w:r>
      <w:r w:rsidRPr="00C328A2">
        <w:rPr>
          <w:rFonts w:cs="Times New Roman"/>
          <w:i/>
          <w:lang w:val="fr-CA"/>
        </w:rPr>
        <w:t>Imperial Tobacco</w:t>
      </w:r>
      <w:r w:rsidRPr="00C328A2">
        <w:rPr>
          <w:rFonts w:cs="Times New Roman"/>
          <w:lang w:val="fr-CA"/>
        </w:rPr>
        <w:t xml:space="preserve">, le juge Major n’a pas précisé à quelle exigence une disposition contestée doit satisfaire pour que son caractère véritable respecte la compétence législative des autres provinces. Fait important, toutefois, il a souligné que, même si </w:t>
      </w:r>
      <w:r w:rsidRPr="00C328A2">
        <w:rPr>
          <w:rFonts w:cs="Times New Roman"/>
          <w:lang w:val="fr-CA" w:bidi="en-US"/>
        </w:rPr>
        <w:t xml:space="preserve">le </w:t>
      </w:r>
      <w:r w:rsidRPr="00C328A2">
        <w:rPr>
          <w:rFonts w:cs="Times New Roman"/>
          <w:lang w:val="fr-CA"/>
        </w:rPr>
        <w:t xml:space="preserve">droit d’action créé par la </w:t>
      </w:r>
      <w:r w:rsidRPr="00C328A2">
        <w:rPr>
          <w:rFonts w:cs="Times New Roman"/>
          <w:i/>
          <w:lang w:val="fr-CA"/>
        </w:rPr>
        <w:t>TRA</w:t>
      </w:r>
      <w:r w:rsidRPr="00C328A2">
        <w:rPr>
          <w:rFonts w:cs="Times New Roman"/>
          <w:lang w:val="fr-CA"/>
        </w:rPr>
        <w:t xml:space="preserve"> pouvait </w:t>
      </w:r>
      <w:r w:rsidRPr="00C328A2">
        <w:rPr>
          <w:rFonts w:cs="Times New Roman"/>
          <w:lang w:val="fr-CA" w:bidi="en-US"/>
        </w:rPr>
        <w:t>« dans une certaine mesure, viser des activités menées à l’extérieur de la Colombie</w:t>
      </w:r>
      <w:r w:rsidRPr="00C328A2">
        <w:rPr>
          <w:rFonts w:cs="Times New Roman"/>
          <w:lang w:val="fr-CA" w:bidi="en-US"/>
        </w:rPr>
        <w:noBreakHyphen/>
        <w:t>Britannique », il n’y avait pas atteinte à la souveraineté des autres provinces parce qu’« aucun territoire autre que la Colombie</w:t>
      </w:r>
      <w:r w:rsidRPr="00C328A2">
        <w:rPr>
          <w:rFonts w:cs="Times New Roman"/>
          <w:lang w:val="fr-CA" w:bidi="en-US"/>
        </w:rPr>
        <w:noBreakHyphen/>
        <w:t xml:space="preserve">Britannique ne pourrait prétendre à l’existence d’un lien plus fort avec </w:t>
      </w:r>
      <w:r w:rsidRPr="00C328A2">
        <w:rPr>
          <w:rFonts w:cs="Times New Roman"/>
          <w:lang w:val="fr-CA" w:bidi="en-US"/>
        </w:rPr>
        <w:lastRenderedPageBreak/>
        <w:t>cette cause d’action »</w:t>
      </w:r>
      <w:r w:rsidRPr="00C328A2">
        <w:rPr>
          <w:rFonts w:cs="Times New Roman"/>
          <w:lang w:val="fr-CA"/>
        </w:rPr>
        <w:t xml:space="preserve"> (par. 38). En revanche, dans le cas qui nous occupe, on ne peut dire qu’il existe un lien très fort entre la province de la Colombie</w:t>
      </w:r>
      <w:r w:rsidRPr="00C328A2">
        <w:rPr>
          <w:rFonts w:cs="Times New Roman"/>
          <w:lang w:val="fr-CA"/>
        </w:rPr>
        <w:noBreakHyphen/>
        <w:t>Britannique et le droit substantiel des autres gouvernements d’ester en justice pour recouvrer le coût de leurs soins de santé.</w:t>
      </w:r>
    </w:p>
    <w:p w14:paraId="5411253E" w14:textId="77777777" w:rsidR="00C328A2" w:rsidRPr="00C328A2" w:rsidRDefault="00C328A2" w:rsidP="00C328A2">
      <w:pPr>
        <w:pStyle w:val="ParaNoNdepar-AltN"/>
        <w:spacing w:before="0"/>
        <w:rPr>
          <w:rFonts w:cs="Times New Roman"/>
          <w:lang w:val="fr-CA"/>
        </w:rPr>
      </w:pPr>
      <w:r w:rsidRPr="00C328A2">
        <w:rPr>
          <w:rFonts w:cs="Times New Roman"/>
          <w:lang w:val="fr-CA"/>
        </w:rPr>
        <w:t>Permettre à la Colombie</w:t>
      </w:r>
      <w:r w:rsidRPr="00C328A2">
        <w:rPr>
          <w:rFonts w:cs="Times New Roman"/>
          <w:lang w:val="fr-CA"/>
        </w:rPr>
        <w:noBreakHyphen/>
        <w:t>Britannique de lier d’autres gouvernements provinciaux et le gouvernement fédéral à son recours collectif mettant en cause plusieurs gouvernements risque de porter atteinte à la souveraineté législative de ces gouvernements. Leur participation à ce recours collectif pourrait effectivement lier les législatures provinciales et le Parlement. En effet, dans le cas qui nous occupe, si l’exécutif ne s’exclut pas du recours collectif qui a été engagé, le pouvoir des législatures et du Parlement serait entravé, car ils ne pourraient pas légiférer valablement pour se retirer du recours. La participation au recours collectif se ferait au détriment du pouvoir des législatures et du Parlement d’encadrer le déroulement des instances introduites par des gouvernements par le biais de leurs procureurs généraux.</w:t>
      </w:r>
    </w:p>
    <w:p w14:paraId="30CE8DB9"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Cette situation contraste nettement avec celle qui prévalait dans le </w:t>
      </w:r>
      <w:r w:rsidRPr="00C328A2">
        <w:rPr>
          <w:rFonts w:cs="Times New Roman"/>
          <w:i/>
          <w:iCs/>
          <w:lang w:val="fr-CA"/>
        </w:rPr>
        <w:t>Renvoi relatif à la réglementation pancanadienne des valeurs mobilières</w:t>
      </w:r>
      <w:r w:rsidRPr="00C328A2">
        <w:rPr>
          <w:rFonts w:cs="Times New Roman"/>
          <w:lang w:val="fr-CA"/>
        </w:rPr>
        <w:t xml:space="preserve">, 2018 CSC 48, [2018] 3 R.C.S. 189, dans lequel notre Cour a jugé que l’accord conclu entre l’exécutif de divers gouvernements, en vue de mettre en place un régime coopératif national de réglementation des marchés des capitaux, n’entravait pas et ne pouvait entraver la souveraineté des législatures des provinces participantes. En effet, les provinces pouvaient toujours légiférer pour retirer l’exécutif de l’accord (par. 67; voir aussi </w:t>
      </w:r>
      <w:r w:rsidRPr="00C328A2">
        <w:rPr>
          <w:rFonts w:cs="Times New Roman"/>
          <w:lang w:val="fr-CA"/>
        </w:rPr>
        <w:lastRenderedPageBreak/>
        <w:t>J. Poirier, « The 2018 Pan</w:t>
      </w:r>
      <w:r w:rsidRPr="00C328A2">
        <w:rPr>
          <w:rFonts w:cs="Times New Roman"/>
          <w:lang w:val="fr-CA"/>
        </w:rPr>
        <w:noBreakHyphen/>
        <w:t xml:space="preserve">Canadian Securities Regulation Reference : Dualist Federalism to the Rescue of Cooperative Federalism » (2020), 94 </w:t>
      </w:r>
      <w:r w:rsidRPr="00C328A2">
        <w:rPr>
          <w:rFonts w:cs="Times New Roman"/>
          <w:i/>
          <w:lang w:val="fr-CA"/>
        </w:rPr>
        <w:t xml:space="preserve">S.C.L.R. </w:t>
      </w:r>
      <w:r w:rsidRPr="00C328A2">
        <w:rPr>
          <w:rFonts w:cs="Times New Roman"/>
          <w:lang w:val="fr-CA"/>
        </w:rPr>
        <w:t>(2d) 85).</w:t>
      </w:r>
    </w:p>
    <w:p w14:paraId="7F1FAFA5" w14:textId="77777777" w:rsidR="00C328A2" w:rsidRPr="00C328A2" w:rsidRDefault="00C328A2" w:rsidP="00C328A2">
      <w:pPr>
        <w:pStyle w:val="ParaNoNdepar-AltN"/>
        <w:spacing w:before="0"/>
        <w:rPr>
          <w:rFonts w:cs="Times New Roman"/>
          <w:lang w:val="fr-CA"/>
        </w:rPr>
      </w:pPr>
      <w:r w:rsidRPr="00C328A2">
        <w:rPr>
          <w:rFonts w:cs="Times New Roman"/>
          <w:lang w:val="fr-CA"/>
        </w:rPr>
        <w:t xml:space="preserve">Il se peut que la Couronne du chef d’une province soit liée par les conséquences de ses actions lorsqu’elle décide d’exercer ses droits civils ou d’agir à l’extérieur de la province en sa qualité de personne physique (voir D. Gibson, « Interjurisdictional Immunity in Canadian Federalism » (1969), 47 </w:t>
      </w:r>
      <w:r w:rsidRPr="00C328A2">
        <w:rPr>
          <w:rFonts w:cs="Times New Roman"/>
          <w:i/>
          <w:lang w:val="fr-CA"/>
        </w:rPr>
        <w:t>R. du B. can.</w:t>
      </w:r>
      <w:r w:rsidRPr="00C328A2">
        <w:rPr>
          <w:rFonts w:cs="Times New Roman"/>
          <w:lang w:val="fr-CA"/>
        </w:rPr>
        <w:t xml:space="preserve"> 40, p. 60</w:t>
      </w:r>
      <w:r w:rsidRPr="00C328A2">
        <w:rPr>
          <w:rFonts w:cs="Times New Roman"/>
          <w:lang w:val="fr-CA"/>
        </w:rPr>
        <w:noBreakHyphen/>
        <w:t xml:space="preserve">61). En pareil cas, les limites territoriales imposées aux pouvoirs provinciaux empêcheraient la législature de cette province de soustraire la Couronne à ces conséquences. Il ne s’agit pas ici d’un cas où la Couronne lie la législature, mais d’une simple application des limites territoriales imposées par l’art. 92 de la </w:t>
      </w:r>
      <w:r w:rsidRPr="00C328A2">
        <w:rPr>
          <w:rFonts w:cs="Times New Roman"/>
          <w:i/>
          <w:lang w:val="fr-CA"/>
        </w:rPr>
        <w:t>Loi constitutionnelle de 1867</w:t>
      </w:r>
      <w:r w:rsidRPr="00C328A2">
        <w:rPr>
          <w:rFonts w:cs="Times New Roman"/>
          <w:lang w:val="fr-CA"/>
        </w:rPr>
        <w:t xml:space="preserve">. Contrairement à la situation qui prévalait dans </w:t>
      </w:r>
      <w:r w:rsidRPr="00C328A2">
        <w:rPr>
          <w:rFonts w:cs="Times New Roman"/>
          <w:i/>
          <w:iCs/>
          <w:lang w:val="fr-CA"/>
        </w:rPr>
        <w:t>Upper Churchill</w:t>
      </w:r>
      <w:r w:rsidRPr="00C328A2">
        <w:rPr>
          <w:rFonts w:cs="Times New Roman"/>
          <w:lang w:val="fr-CA"/>
        </w:rPr>
        <w:t>, lorsqu’un autre gouvernement est contraint de participer à un recours collectif en raison de l’art. 11 de l’</w:t>
      </w:r>
      <w:r w:rsidRPr="00C328A2">
        <w:rPr>
          <w:rFonts w:cs="Times New Roman"/>
          <w:i/>
          <w:lang w:val="fr-CA"/>
        </w:rPr>
        <w:t>ORA</w:t>
      </w:r>
      <w:r w:rsidRPr="00C328A2">
        <w:rPr>
          <w:rFonts w:cs="Times New Roman"/>
          <w:lang w:val="fr-CA"/>
        </w:rPr>
        <w:t>, c’est la province en question qui en subit les conséquences. On ne s’attend pas à ce qu’une province légifère à l’égard d’un contrat conclu dans une autre province. Mais on s’attend normalement à ce qu’une province puisse légiférer relativement au recouvrement du coût des soins de santé encourus dans sa propre province, indépendamment des régimes législatifs adoptés par d’autres provinces. C’est une question qui relève à bon droit de cette province. Toutefois, je remets à une autre occasion l’examen de la question de savoir si la Couronne du chef d’une province peut volontairement participer au recours collectif et ainsi lier sa propre législature.</w:t>
      </w:r>
    </w:p>
    <w:p w14:paraId="7DA24B0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 xml:space="preserve">J’ajoute qu’à mon avis, le fait que les autres gouvernements se soient portés à la défense de la constitutionnalité de la disposition n’a aucune importance en l’espèce et ne permet pas d’en sauvegarder la validité. Il est vrai que les autres gouvernements, vu la manière dont ils conçoivent le régime, ont exprimé leur soutien à la constitutionnalité de la disposition dans des lettres d’appui (voir recueil condensé des appelantes, onglet 7). Dans leurs lettres, les autres gouvernements provinciaux et le gouvernement fédéral qualifient l’art. 11 de « mécanisme d’adhésion volontaire » qui leur accorde la liberté de prendre des mesures concrètes pour se joindre au recours collectif en tant que simples membres. Chacune de ces lettres reflète l’idée selon laquelle, si la présente action est autorisée, le gouvernement </w:t>
      </w:r>
      <w:r w:rsidRPr="00C328A2">
        <w:rPr>
          <w:rFonts w:cs="Times New Roman"/>
          <w:smallCaps/>
          <w:lang w:val="fr-CA"/>
        </w:rPr>
        <w:t>[traduction]</w:t>
      </w:r>
      <w:r w:rsidRPr="00C328A2">
        <w:rPr>
          <w:rFonts w:cs="Times New Roman"/>
          <w:lang w:val="fr-CA"/>
        </w:rPr>
        <w:t xml:space="preserve"> « aura le droit d’adhérer volontairement au recours collectif » (voir, p. ex., l’onglet 7). Il s’agit là d’une interprétation erronée de la disposition, qui opère dans le contexte d’un régime avec mécanisme d’exclusion.</w:t>
      </w:r>
    </w:p>
    <w:p w14:paraId="5625D9CF"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Le soutien des autres gouvernements — exprimé dans leurs lettres d’appui — n’est d’aucune utilité et on ne devrait pas lui accorder beaucoup de poids. À mon humble avis, s’il est vrai que la prudence est de mise face à l’appui exprimé par d’autres procureurs généraux à l’égard de la validité d’un texte législatif adopté par une autre législature (voir </w:t>
      </w:r>
      <w:r w:rsidRPr="00C328A2">
        <w:rPr>
          <w:rFonts w:cs="Times New Roman"/>
          <w:i/>
          <w:lang w:val="fr-CA"/>
        </w:rPr>
        <w:t>Goodwin c. Colombie</w:t>
      </w:r>
      <w:r w:rsidRPr="00C328A2">
        <w:rPr>
          <w:rFonts w:cs="Times New Roman"/>
          <w:i/>
          <w:lang w:val="fr-CA"/>
        </w:rPr>
        <w:noBreakHyphen/>
        <w:t>Britannique (Superintendent of Motor Vehicles)</w:t>
      </w:r>
      <w:r w:rsidRPr="00C328A2">
        <w:rPr>
          <w:rFonts w:cs="Times New Roman"/>
          <w:lang w:val="fr-CA"/>
        </w:rPr>
        <w:t xml:space="preserve">, 2015 CSC 46, [2015] 3 R.C.S. 250, par. 33), cela diffère grandement de la prétention de ma collègue selon laquelle la présomption de constitutionnalité « est particulièrement forte » lorsque les autres procureurs généraux défendent la validité de la loi. En l’espèce, chacune des lettres d’appui versées au dossier interprète, de toute </w:t>
      </w:r>
      <w:r w:rsidRPr="00C328A2">
        <w:rPr>
          <w:rFonts w:cs="Times New Roman"/>
          <w:lang w:val="fr-CA"/>
        </w:rPr>
        <w:lastRenderedPageBreak/>
        <w:t xml:space="preserve">évidence à tort, l’art. 11 comme un mécanisme d’adhésion volontaire. Cette interprétation de la disposition contestée n’est pas défendable, et la présomption ne peut donc pas être invoquée (voir </w:t>
      </w:r>
      <w:r w:rsidRPr="00C328A2">
        <w:rPr>
          <w:rFonts w:cs="Times New Roman"/>
          <w:i/>
          <w:lang w:val="fr-CA"/>
        </w:rPr>
        <w:t>R. c. Brown</w:t>
      </w:r>
      <w:r w:rsidRPr="00C328A2">
        <w:rPr>
          <w:rFonts w:cs="Times New Roman"/>
          <w:lang w:val="fr-CA"/>
        </w:rPr>
        <w:t xml:space="preserve">, 2022 CSC 18, [2022] 1 R.C.S. 374, par. 88; </w:t>
      </w:r>
      <w:r w:rsidRPr="00C328A2">
        <w:rPr>
          <w:rFonts w:cs="Times New Roman"/>
          <w:i/>
          <w:lang w:val="fr-CA"/>
        </w:rPr>
        <w:t>Ontario c. Canadien Pacifique Ltée</w:t>
      </w:r>
      <w:r w:rsidRPr="00C328A2">
        <w:rPr>
          <w:rFonts w:cs="Times New Roman"/>
          <w:lang w:val="fr-CA"/>
        </w:rPr>
        <w:t>, [1995] 2 R.C.S. 1031, par. 15). Le régime avec mécanisme d’exclusion a pour effet d’inclure automatiquement les autres gouvernements dans le recours collectif tout en leur reconnaissant le droit de s’en exclure. Il n’offre pas aux autres gouvernements le choix d’adhérer au recours collectif, après les en avoir exclus par défaut. L’appui des gouvernements repose sur une interprétation erronée de la disposition.</w:t>
      </w:r>
    </w:p>
    <w:p w14:paraId="0521BAF0"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Je m’en voudrais de ne pas ajouter la remarque suivante. Tout comme les législatures provinciales ne peuvent déléguer leur compétence législative sur des questions qui relèvent de leur compétence exclusive en vertu de la partie VI de la </w:t>
      </w:r>
      <w:r w:rsidRPr="00C328A2">
        <w:rPr>
          <w:rFonts w:cs="Times New Roman"/>
          <w:i/>
          <w:lang w:val="fr-CA"/>
        </w:rPr>
        <w:t>Loi constitutionnelle de 1867</w:t>
      </w:r>
      <w:r w:rsidRPr="00C328A2">
        <w:rPr>
          <w:rFonts w:cs="Times New Roman"/>
          <w:lang w:val="fr-CA"/>
        </w:rPr>
        <w:t xml:space="preserve">, elles ne peuvent non plus consentir à ce que d’autres provinces s’arrogent ce pouvoir (voir </w:t>
      </w:r>
      <w:r w:rsidRPr="00C328A2">
        <w:rPr>
          <w:rFonts w:cs="Times New Roman"/>
          <w:i/>
          <w:iCs/>
          <w:lang w:val="fr-CA"/>
        </w:rPr>
        <w:t>Attorney General of Nova Scotia c. Attorney General of Canada</w:t>
      </w:r>
      <w:r w:rsidRPr="00C328A2">
        <w:rPr>
          <w:rFonts w:cs="Times New Roman"/>
          <w:lang w:val="fr-CA"/>
        </w:rPr>
        <w:t>, [1951] R.C.S. 31;</w:t>
      </w:r>
      <w:r w:rsidRPr="00C328A2">
        <w:rPr>
          <w:rFonts w:cs="Times New Roman"/>
          <w:i/>
          <w:iCs/>
          <w:lang w:val="fr-CA"/>
        </w:rPr>
        <w:t xml:space="preserve"> Renvoi relatif à la réglementation pancanadienne des valeurs mobilières</w:t>
      </w:r>
      <w:r w:rsidRPr="00C328A2">
        <w:rPr>
          <w:rFonts w:cs="Times New Roman"/>
          <w:lang w:val="fr-CA"/>
        </w:rPr>
        <w:t>, par. 75). Les provinces ne peuvent pas modifier la Constitution par consentement mutuel.</w:t>
      </w:r>
    </w:p>
    <w:p w14:paraId="7A0D2967" w14:textId="77777777" w:rsidR="00C328A2" w:rsidRPr="00C328A2" w:rsidRDefault="00C328A2" w:rsidP="00C328A2">
      <w:pPr>
        <w:pStyle w:val="Title3LevelTitre3Niveau"/>
        <w:widowControl w:val="0"/>
        <w:numPr>
          <w:ilvl w:val="2"/>
          <w:numId w:val="8"/>
        </w:numPr>
        <w:spacing w:before="0"/>
        <w:ind w:hanging="612"/>
        <w:rPr>
          <w:rFonts w:cs="Times New Roman"/>
          <w:lang w:val="fr-CA"/>
        </w:rPr>
      </w:pPr>
      <w:bookmarkStart w:id="64" w:name="_Toc173313463"/>
      <w:r w:rsidRPr="00C328A2">
        <w:rPr>
          <w:rFonts w:cs="Times New Roman"/>
          <w:lang w:val="fr-CA"/>
        </w:rPr>
        <w:t>Conclusion sur les limites territoriales</w:t>
      </w:r>
      <w:bookmarkEnd w:id="64"/>
    </w:p>
    <w:p w14:paraId="65FA58AA" w14:textId="77777777" w:rsidR="00C328A2" w:rsidRPr="00C328A2" w:rsidRDefault="00C328A2" w:rsidP="00C328A2">
      <w:pPr>
        <w:pStyle w:val="ParaNoNdepar-AltN"/>
        <w:widowControl w:val="0"/>
        <w:spacing w:before="0"/>
        <w:rPr>
          <w:rFonts w:cs="Times New Roman"/>
          <w:lang w:val="fr-CA"/>
        </w:rPr>
      </w:pPr>
      <w:r w:rsidRPr="00C328A2">
        <w:rPr>
          <w:rFonts w:cs="Times New Roman"/>
          <w:lang w:val="fr-CA"/>
        </w:rPr>
        <w:t>Je conclus que l’art. 11 excède les limites territoriales de la compétence législative de la Colombie</w:t>
      </w:r>
      <w:r w:rsidRPr="00C328A2">
        <w:rPr>
          <w:rFonts w:cs="Times New Roman"/>
          <w:lang w:val="fr-CA"/>
        </w:rPr>
        <w:noBreakHyphen/>
        <w:t xml:space="preserve">Britannique. À mon avis, la province qui a adopté la loi n’a pas de lien significatif avec à la fois la disposition contestée et avec les personnes qui </w:t>
      </w:r>
      <w:r w:rsidRPr="00C328A2">
        <w:rPr>
          <w:rFonts w:cs="Times New Roman"/>
          <w:lang w:val="fr-CA"/>
        </w:rPr>
        <w:lastRenderedPageBreak/>
        <w:t>y sont assujetties. Bien que notre Cour ait souvent insisté sur l’importance d’améliorer l’accès à la justice et de faciliter la coopération intergouvernementale, les limites constitutionnelles sur lesquelles repose la structure fondamentale du fédéralisme canadien doivent être respectées.</w:t>
      </w:r>
    </w:p>
    <w:p w14:paraId="50286286" w14:textId="77777777" w:rsidR="00C328A2" w:rsidRPr="00C328A2" w:rsidRDefault="00C328A2" w:rsidP="00C328A2">
      <w:pPr>
        <w:pStyle w:val="Title2LevelTitre2Niveau"/>
        <w:widowControl w:val="0"/>
        <w:numPr>
          <w:ilvl w:val="1"/>
          <w:numId w:val="8"/>
        </w:numPr>
        <w:spacing w:before="0"/>
        <w:rPr>
          <w:rFonts w:cs="Times New Roman"/>
          <w:lang w:val="fr-CA"/>
        </w:rPr>
      </w:pPr>
      <w:bookmarkStart w:id="65" w:name="_Toc173313464"/>
      <w:r w:rsidRPr="00C328A2">
        <w:rPr>
          <w:rFonts w:cs="Times New Roman"/>
          <w:lang w:val="fr-CA"/>
        </w:rPr>
        <w:t>Pouvoirs accessoires</w:t>
      </w:r>
      <w:bookmarkEnd w:id="65"/>
    </w:p>
    <w:p w14:paraId="385896AE"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Vu ma conclusion selon laquelle l’art. 11 de l’</w:t>
      </w:r>
      <w:r w:rsidRPr="00C328A2">
        <w:rPr>
          <w:rFonts w:cs="Times New Roman"/>
          <w:i/>
          <w:lang w:val="fr-CA"/>
        </w:rPr>
        <w:t>ORA</w:t>
      </w:r>
      <w:r w:rsidRPr="00C328A2">
        <w:rPr>
          <w:rFonts w:cs="Times New Roman"/>
          <w:lang w:val="fr-CA"/>
        </w:rPr>
        <w:t xml:space="preserve"> est </w:t>
      </w:r>
      <w:r w:rsidRPr="00C328A2">
        <w:rPr>
          <w:rFonts w:cs="Times New Roman"/>
          <w:i/>
          <w:lang w:val="fr-CA"/>
        </w:rPr>
        <w:t>ultra vires</w:t>
      </w:r>
      <w:r w:rsidRPr="00C328A2">
        <w:rPr>
          <w:rFonts w:cs="Times New Roman"/>
          <w:lang w:val="fr-CA"/>
        </w:rPr>
        <w:t xml:space="preserve"> de la législature de la Colombie</w:t>
      </w:r>
      <w:r w:rsidRPr="00C328A2">
        <w:rPr>
          <w:rFonts w:cs="Times New Roman"/>
          <w:lang w:val="fr-CA"/>
        </w:rPr>
        <w:noBreakHyphen/>
        <w:t>Britannique, il est nécessaire d’examiner brièvement si cette disposition à première vue invalide peut être sauvegardée par la doctrine des pouvoirs accessoires.</w:t>
      </w:r>
    </w:p>
    <w:p w14:paraId="39996F8C"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La doctrine des pouvoirs accessoires applique un test rationnel et fonctionnel pour déterminer s’il existe un lien entre la disposition contestée examinée dans le cadre de l’analyse du caractère véritable et un régime législatif valide. Comme notre Cour l’a indiqué dans le </w:t>
      </w:r>
      <w:r w:rsidRPr="00C328A2">
        <w:rPr>
          <w:rFonts w:cs="Times New Roman"/>
          <w:i/>
          <w:iCs/>
          <w:lang w:val="fr-CA" w:bidi="en-US"/>
        </w:rPr>
        <w:t>Renvoi relatif à la Loi sur la procréation assistée</w:t>
      </w:r>
      <w:r w:rsidRPr="00C328A2">
        <w:rPr>
          <w:rFonts w:cs="Times New Roman"/>
          <w:lang w:val="fr-CA" w:bidi="en-US"/>
        </w:rPr>
        <w:t>, 2010 CSC 61, [2010] 3 R.C.S. 457,</w:t>
      </w:r>
      <w:r w:rsidRPr="00C328A2">
        <w:rPr>
          <w:rFonts w:cs="Times New Roman"/>
          <w:lang w:val="fr-CA"/>
        </w:rPr>
        <w:t xml:space="preserve"> par. 127, le test </w:t>
      </w:r>
      <w:r w:rsidRPr="00C328A2">
        <w:rPr>
          <w:rFonts w:cs="Times New Roman"/>
          <w:lang w:val="fr-CA" w:bidi="en-US"/>
        </w:rPr>
        <w:t>de « nécessité » s’applique « lorsque l’empiétement sur la compétence de l’autre ordre de gouvernement est substantiel</w:t>
      </w:r>
      <w:r w:rsidRPr="00C328A2">
        <w:rPr>
          <w:rFonts w:cs="Times New Roman"/>
          <w:lang w:val="fr-CA"/>
        </w:rPr>
        <w:t> ». Notre Cour fait ensuite la distinction entre ces deux démarches, au par. 138 :</w:t>
      </w:r>
    </w:p>
    <w:p w14:paraId="4E591BA2" w14:textId="77777777" w:rsidR="00C328A2" w:rsidRPr="00C328A2" w:rsidRDefault="00C328A2" w:rsidP="00C328A2">
      <w:pPr>
        <w:pStyle w:val="Citation-AltC"/>
        <w:ind w:hanging="1166"/>
        <w:contextualSpacing w:val="0"/>
        <w:rPr>
          <w:lang w:val="fr-CA"/>
        </w:rPr>
      </w:pPr>
      <w:r w:rsidRPr="00C328A2">
        <w:rPr>
          <w:lang w:val="fr-CA" w:bidi="en-US"/>
        </w:rPr>
        <w:tab/>
      </w:r>
      <w:r w:rsidRPr="00C328A2">
        <w:rPr>
          <w:lang w:val="fr-CA" w:bidi="en-US"/>
        </w:rPr>
        <w:tab/>
        <w:t>Appliquer le critère du lien rationnel et fonctionnel consiste à déterminer la nature de la relation entre les dispositions accessoires et le régime législatif par ailleurs valide qui les renferme. Les dispositions accessoires doivent appuyer le régime d’une manière rationnelle quant à l’objet et fonctionnelle quant à l’effet</w:t>
      </w:r>
      <w:r w:rsidRPr="00C328A2">
        <w:rPr>
          <w:lang w:val="fr-CA"/>
        </w:rPr>
        <w:t xml:space="preserve"> [. . .] </w:t>
      </w:r>
      <w:r w:rsidRPr="00C328A2">
        <w:rPr>
          <w:lang w:val="fr-CA" w:bidi="en-US"/>
        </w:rPr>
        <w:t xml:space="preserve">Il n’est pas nécessaire d’établir que, sans les dispositions accessoires, le régime serait voué à l’échec, car il s’agirait alors du critère de la nécessité. Les dispositions accessoires </w:t>
      </w:r>
      <w:r w:rsidRPr="00C328A2">
        <w:rPr>
          <w:lang w:val="fr-CA" w:bidi="en-US"/>
        </w:rPr>
        <w:lastRenderedPageBreak/>
        <w:t>doivent plutôt jouer, comme telles, un rôle de complément aux autres dispositions du régime, et elles ne peuvent avoir été insérées seulement par souci de commodité.</w:t>
      </w:r>
    </w:p>
    <w:p w14:paraId="4B860485"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Les appelantes affirment qu’il n’y a pas de lien rationnel et fonctionnel entre l’art. 11 et l’</w:t>
      </w:r>
      <w:r w:rsidRPr="00C328A2">
        <w:rPr>
          <w:rFonts w:cs="Times New Roman"/>
          <w:i/>
          <w:lang w:val="fr-CA"/>
        </w:rPr>
        <w:t>ORA</w:t>
      </w:r>
      <w:r w:rsidRPr="00C328A2">
        <w:rPr>
          <w:rFonts w:cs="Times New Roman"/>
          <w:lang w:val="fr-CA"/>
        </w:rPr>
        <w:t>, de sorte que l’art. 11 ne peut pas être sauvegardé par application de la doctrine. L’intimé soutient que s’il y a empiétement, celui</w:t>
      </w:r>
      <w:r w:rsidRPr="00C328A2">
        <w:rPr>
          <w:rFonts w:cs="Times New Roman"/>
          <w:lang w:val="fr-CA"/>
        </w:rPr>
        <w:noBreakHyphen/>
        <w:t>ci est minime. L’intimé affirme plus particulièrement qu’il existe un lien rationnel et fonctionnel entre l’art. 11 de l’</w:t>
      </w:r>
      <w:r w:rsidRPr="00C328A2">
        <w:rPr>
          <w:rFonts w:cs="Times New Roman"/>
          <w:i/>
          <w:lang w:val="fr-CA"/>
        </w:rPr>
        <w:t>ORA</w:t>
      </w:r>
      <w:r w:rsidRPr="00C328A2">
        <w:rPr>
          <w:rFonts w:cs="Times New Roman"/>
          <w:lang w:val="fr-CA"/>
        </w:rPr>
        <w:t xml:space="preserve"> et le régime législatif dans son ensemble.</w:t>
      </w:r>
    </w:p>
    <w:p w14:paraId="6F684704"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Tout en reconnaissant la souplesse de l’approche adoptée par notre Cour (voir </w:t>
      </w:r>
      <w:r w:rsidRPr="00C328A2">
        <w:rPr>
          <w:rFonts w:cs="Times New Roman"/>
          <w:i/>
          <w:iCs/>
          <w:lang w:val="fr-CA" w:bidi="en-US"/>
        </w:rPr>
        <w:t>Renvoi relatif à la Loi sur la procréation assistée</w:t>
      </w:r>
      <w:r w:rsidRPr="00C328A2">
        <w:rPr>
          <w:rFonts w:cs="Times New Roman"/>
          <w:lang w:val="fr-CA" w:bidi="en-US"/>
        </w:rPr>
        <w:t>,</w:t>
      </w:r>
      <w:r w:rsidRPr="00C328A2">
        <w:rPr>
          <w:rFonts w:cs="Times New Roman"/>
          <w:lang w:val="fr-CA"/>
        </w:rPr>
        <w:t xml:space="preserve"> par. 139), ainsi que les propos de ma collègue au sujet de la coopération entre les régimes de réglementation au Canada (par. 37), je suis d’avis que la doctrine des pouvoirs accessoires ne permet pas en l’espèce de confirmer la constitutionnalité de l’art. 11 de l’</w:t>
      </w:r>
      <w:r w:rsidRPr="00C328A2">
        <w:rPr>
          <w:rFonts w:cs="Times New Roman"/>
          <w:i/>
          <w:lang w:val="fr-CA"/>
        </w:rPr>
        <w:t>ORA</w:t>
      </w:r>
      <w:r w:rsidRPr="00C328A2">
        <w:rPr>
          <w:rFonts w:cs="Times New Roman"/>
          <w:lang w:val="fr-CA"/>
        </w:rPr>
        <w:t>.</w:t>
      </w:r>
    </w:p>
    <w:p w14:paraId="0E796974"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Comme le soutiennent les appelantes, l’art. 11 de l’</w:t>
      </w:r>
      <w:r w:rsidRPr="00C328A2">
        <w:rPr>
          <w:rFonts w:cs="Times New Roman"/>
          <w:i/>
          <w:lang w:val="fr-CA"/>
        </w:rPr>
        <w:t xml:space="preserve">ORA </w:t>
      </w:r>
      <w:r w:rsidRPr="00C328A2">
        <w:rPr>
          <w:rFonts w:cs="Times New Roman"/>
          <w:lang w:val="fr-CA"/>
        </w:rPr>
        <w:t xml:space="preserve">est </w:t>
      </w:r>
      <w:r w:rsidRPr="00C328A2">
        <w:rPr>
          <w:rFonts w:cs="Times New Roman"/>
          <w:smallCaps/>
          <w:lang w:val="fr-CA"/>
        </w:rPr>
        <w:t>[traduction]</w:t>
      </w:r>
      <w:r w:rsidRPr="00C328A2">
        <w:rPr>
          <w:rFonts w:cs="Times New Roman"/>
          <w:lang w:val="fr-CA"/>
        </w:rPr>
        <w:t xml:space="preserve"> « la seule disposition de l’</w:t>
      </w:r>
      <w:r w:rsidRPr="00C328A2">
        <w:rPr>
          <w:rFonts w:cs="Times New Roman"/>
          <w:i/>
          <w:lang w:val="fr-CA"/>
        </w:rPr>
        <w:t>ORA</w:t>
      </w:r>
      <w:r w:rsidRPr="00C328A2">
        <w:rPr>
          <w:rFonts w:cs="Times New Roman"/>
          <w:lang w:val="fr-CA"/>
        </w:rPr>
        <w:t xml:space="preserve"> qui concerne des droits d’action reconnus à d’autres gouvernements provinciaux ou territoriaux en vertu de leurs propres règles substantielles » (m.a., par. 112). Comme je l’ai indiqué plus tôt et comme ma collègue le fait remarquer au par. 22 de ses motifs, l’</w:t>
      </w:r>
      <w:r w:rsidRPr="00C328A2">
        <w:rPr>
          <w:rFonts w:cs="Times New Roman"/>
          <w:i/>
          <w:lang w:val="fr-CA"/>
        </w:rPr>
        <w:t>ORA</w:t>
      </w:r>
      <w:r w:rsidRPr="00C328A2">
        <w:rPr>
          <w:rFonts w:cs="Times New Roman"/>
          <w:lang w:val="fr-CA"/>
        </w:rPr>
        <w:t xml:space="preserve"> s’inspire par ailleurs largement de la </w:t>
      </w:r>
      <w:r w:rsidRPr="00C328A2">
        <w:rPr>
          <w:rFonts w:cs="Times New Roman"/>
          <w:i/>
          <w:lang w:val="fr-CA"/>
        </w:rPr>
        <w:t>TRA</w:t>
      </w:r>
      <w:r w:rsidRPr="00C328A2">
        <w:rPr>
          <w:rFonts w:cs="Times New Roman"/>
          <w:lang w:val="fr-CA"/>
        </w:rPr>
        <w:t xml:space="preserve"> que notre Cour a examinée dans l’affaire </w:t>
      </w:r>
      <w:r w:rsidRPr="00C328A2">
        <w:rPr>
          <w:rFonts w:cs="Times New Roman"/>
          <w:i/>
          <w:lang w:val="fr-CA"/>
        </w:rPr>
        <w:t>Imperial Tobacco</w:t>
      </w:r>
      <w:r w:rsidRPr="00C328A2">
        <w:rPr>
          <w:rFonts w:cs="Times New Roman"/>
          <w:lang w:val="fr-CA"/>
        </w:rPr>
        <w:t xml:space="preserve">. La </w:t>
      </w:r>
      <w:r w:rsidRPr="00C328A2">
        <w:rPr>
          <w:rFonts w:cs="Times New Roman"/>
          <w:i/>
          <w:lang w:val="fr-CA"/>
        </w:rPr>
        <w:t>TRA</w:t>
      </w:r>
      <w:r w:rsidRPr="00C328A2">
        <w:rPr>
          <w:rFonts w:cs="Times New Roman"/>
          <w:lang w:val="fr-CA"/>
        </w:rPr>
        <w:t xml:space="preserve"> avait pour objectif d’accorder ou de créer un droit d’action direct et distinct contre les défenderesses. D’ailleurs, la </w:t>
      </w:r>
      <w:r w:rsidRPr="00C328A2">
        <w:rPr>
          <w:rFonts w:cs="Times New Roman"/>
          <w:i/>
          <w:lang w:val="fr-CA"/>
        </w:rPr>
        <w:t>TRA</w:t>
      </w:r>
      <w:r w:rsidRPr="00C328A2">
        <w:rPr>
          <w:rFonts w:cs="Times New Roman"/>
          <w:lang w:val="fr-CA"/>
        </w:rPr>
        <w:t xml:space="preserve"> remplit son rôle indépendamment de l’existence d’une disposition relative aux actions collectives multiterritoriales.</w:t>
      </w:r>
    </w:p>
    <w:p w14:paraId="62CF4A80"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lastRenderedPageBreak/>
        <w:t>Il devrait en être de même pour l’</w:t>
      </w:r>
      <w:r w:rsidRPr="00C328A2">
        <w:rPr>
          <w:rFonts w:cs="Times New Roman"/>
          <w:i/>
          <w:lang w:val="fr-CA"/>
        </w:rPr>
        <w:t>ORA</w:t>
      </w:r>
      <w:r w:rsidRPr="00C328A2">
        <w:rPr>
          <w:rFonts w:cs="Times New Roman"/>
          <w:lang w:val="fr-CA"/>
        </w:rPr>
        <w:t>. Indépendamment de l’art. 11, l’</w:t>
      </w:r>
      <w:r w:rsidRPr="00C328A2">
        <w:rPr>
          <w:rFonts w:cs="Times New Roman"/>
          <w:i/>
          <w:lang w:val="fr-CA"/>
        </w:rPr>
        <w:t xml:space="preserve">ORA </w:t>
      </w:r>
      <w:r w:rsidRPr="00C328A2">
        <w:rPr>
          <w:rFonts w:cs="Times New Roman"/>
          <w:lang w:val="fr-CA"/>
        </w:rPr>
        <w:t>fonde et établit régulièrement un droit d’action direct et distinct contre des fabricants, des grossistes ou des consultants pour des fautes liées aux opioïdes. Comme je l’ai indiqué dans les présents motifs, l’empiètement de l’art. 11 sur la compétence d’autres gouvernements est substantiel; par conséquent, « </w:t>
      </w:r>
      <w:r w:rsidRPr="00C328A2">
        <w:rPr>
          <w:rFonts w:cs="Times New Roman"/>
          <w:lang w:val="fr-CA" w:bidi="en-US"/>
        </w:rPr>
        <w:t>le critère à satisfaire [. . .] pour qu’[il] puisse être valid[é] sur le fondement de la doctrine des pouvoirs accessoires [est plus strict] »</w:t>
      </w:r>
      <w:r w:rsidRPr="00C328A2">
        <w:rPr>
          <w:rFonts w:cs="Times New Roman"/>
          <w:lang w:val="fr-CA"/>
        </w:rPr>
        <w:t xml:space="preserve"> (</w:t>
      </w:r>
      <w:r w:rsidRPr="00C328A2">
        <w:rPr>
          <w:rFonts w:cs="Times New Roman"/>
          <w:i/>
          <w:iCs/>
          <w:lang w:val="fr-CA" w:bidi="en-US"/>
        </w:rPr>
        <w:t>Renvoi relatif à la Loi sur la procréation assistée</w:t>
      </w:r>
      <w:r w:rsidRPr="00C328A2">
        <w:rPr>
          <w:rFonts w:cs="Times New Roman"/>
          <w:lang w:val="fr-CA" w:bidi="en-US"/>
        </w:rPr>
        <w:t>,</w:t>
      </w:r>
      <w:r w:rsidRPr="00C328A2">
        <w:rPr>
          <w:rFonts w:cs="Times New Roman"/>
          <w:lang w:val="fr-CA"/>
        </w:rPr>
        <w:t xml:space="preserve"> par. 127). Cette disposition n’est pas nécessaire à la mise en œuvre des aspects substantiels du reste de l’</w:t>
      </w:r>
      <w:r w:rsidRPr="00C328A2">
        <w:rPr>
          <w:rFonts w:cs="Times New Roman"/>
          <w:i/>
          <w:lang w:val="fr-CA"/>
        </w:rPr>
        <w:t>ORA</w:t>
      </w:r>
      <w:r w:rsidRPr="00C328A2">
        <w:rPr>
          <w:rFonts w:cs="Times New Roman"/>
          <w:lang w:val="fr-CA"/>
        </w:rPr>
        <w:t>. En fait, la province de la Colombie</w:t>
      </w:r>
      <w:r w:rsidRPr="00C328A2">
        <w:rPr>
          <w:rFonts w:cs="Times New Roman"/>
          <w:lang w:val="fr-CA"/>
        </w:rPr>
        <w:noBreakHyphen/>
        <w:t>Britannique peut présenter sa propre réclamation dans sa propre province indépendamment de l’art. 11.</w:t>
      </w:r>
    </w:p>
    <w:p w14:paraId="4569F5A7"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Je conclus donc que la constitutionnalité de l’art. 11 de l’</w:t>
      </w:r>
      <w:r w:rsidRPr="00C328A2">
        <w:rPr>
          <w:rFonts w:cs="Times New Roman"/>
          <w:i/>
          <w:lang w:val="fr-CA"/>
        </w:rPr>
        <w:t xml:space="preserve">ORA </w:t>
      </w:r>
      <w:r w:rsidRPr="00C328A2">
        <w:rPr>
          <w:rFonts w:cs="Times New Roman"/>
          <w:lang w:val="fr-CA"/>
        </w:rPr>
        <w:t>ne peut être confirmée en vertu de la doctrine des pouvoirs accessoires. L’</w:t>
      </w:r>
      <w:r w:rsidRPr="00C328A2">
        <w:rPr>
          <w:rFonts w:cs="Times New Roman"/>
          <w:i/>
          <w:lang w:val="fr-CA"/>
        </w:rPr>
        <w:t>ORA</w:t>
      </w:r>
      <w:r w:rsidRPr="00C328A2">
        <w:rPr>
          <w:rFonts w:cs="Times New Roman"/>
          <w:lang w:val="fr-CA"/>
        </w:rPr>
        <w:t xml:space="preserve"> demeure valide et contribue à la réalisation des objectifs de la législature de la Colombie</w:t>
      </w:r>
      <w:r w:rsidRPr="00C328A2">
        <w:rPr>
          <w:rFonts w:cs="Times New Roman"/>
          <w:lang w:val="fr-CA"/>
        </w:rPr>
        <w:noBreakHyphen/>
        <w:t xml:space="preserve">Britannique sans l’aide de l’art. 11, puisque cette disposition n’est pas « nécessairement accessoire » à un régime par ailleurs valide et qu’elle ne contribue pas « activement à la réalisation de ses objectifs » (voir C. Mathen et P. Macklem, dir., </w:t>
      </w:r>
      <w:r w:rsidRPr="00C328A2">
        <w:rPr>
          <w:rFonts w:cs="Times New Roman"/>
          <w:i/>
          <w:lang w:val="fr-CA"/>
        </w:rPr>
        <w:t xml:space="preserve">Canadian Constitutional Law </w:t>
      </w:r>
      <w:r w:rsidRPr="00C328A2">
        <w:rPr>
          <w:rFonts w:cs="Times New Roman"/>
          <w:lang w:val="fr-CA"/>
        </w:rPr>
        <w:t>(6</w:t>
      </w:r>
      <w:r w:rsidRPr="00C328A2">
        <w:rPr>
          <w:rFonts w:cs="Times New Roman"/>
          <w:vertAlign w:val="superscript"/>
          <w:lang w:val="fr-CA"/>
        </w:rPr>
        <w:t>e</w:t>
      </w:r>
      <w:r w:rsidRPr="00C328A2">
        <w:rPr>
          <w:rFonts w:cs="Times New Roman"/>
          <w:lang w:val="fr-CA"/>
        </w:rPr>
        <w:t xml:space="preserve"> éd. 2022),</w:t>
      </w:r>
      <w:r w:rsidRPr="00C328A2">
        <w:rPr>
          <w:rFonts w:cs="Times New Roman"/>
          <w:i/>
          <w:lang w:val="fr-CA"/>
        </w:rPr>
        <w:t xml:space="preserve"> </w:t>
      </w:r>
      <w:r w:rsidRPr="00C328A2">
        <w:rPr>
          <w:rFonts w:cs="Times New Roman"/>
          <w:lang w:val="fr-CA"/>
        </w:rPr>
        <w:t>p. 215 et 225; Brun, Tremblay et Brouillet, par. VI</w:t>
      </w:r>
      <w:r w:rsidRPr="00C328A2">
        <w:rPr>
          <w:rFonts w:cs="Times New Roman"/>
          <w:lang w:val="fr-CA"/>
        </w:rPr>
        <w:noBreakHyphen/>
        <w:t>2.49 à VI</w:t>
      </w:r>
      <w:r w:rsidRPr="00C328A2">
        <w:rPr>
          <w:rFonts w:cs="Times New Roman"/>
          <w:lang w:val="fr-CA"/>
        </w:rPr>
        <w:noBreakHyphen/>
        <w:t xml:space="preserve">2.54; voir aussi </w:t>
      </w:r>
      <w:r w:rsidRPr="00C328A2">
        <w:rPr>
          <w:rFonts w:cs="Times New Roman"/>
          <w:i/>
          <w:iCs/>
          <w:lang w:val="fr-CA" w:bidi="en-US"/>
        </w:rPr>
        <w:t>Québec (Procureur général) c. Lacombe</w:t>
      </w:r>
      <w:r w:rsidRPr="00C328A2">
        <w:rPr>
          <w:rFonts w:cs="Times New Roman"/>
          <w:lang w:val="fr-CA" w:bidi="en-US"/>
        </w:rPr>
        <w:t>, 2010 CSC 38</w:t>
      </w:r>
      <w:r w:rsidRPr="00C328A2">
        <w:rPr>
          <w:rFonts w:cs="Times New Roman"/>
          <w:lang w:val="fr-CA"/>
        </w:rPr>
        <w:t>, [2010] 2 R.C.S. 453).</w:t>
      </w:r>
    </w:p>
    <w:p w14:paraId="0D01E9C1" w14:textId="77777777" w:rsidR="00C328A2" w:rsidRPr="00C328A2" w:rsidRDefault="00C328A2" w:rsidP="00C328A2">
      <w:pPr>
        <w:pStyle w:val="Title2LevelTitre2Niveau"/>
        <w:widowControl w:val="0"/>
        <w:numPr>
          <w:ilvl w:val="1"/>
          <w:numId w:val="8"/>
        </w:numPr>
        <w:spacing w:before="0"/>
        <w:rPr>
          <w:rFonts w:cs="Times New Roman"/>
          <w:lang w:val="fr-CA"/>
        </w:rPr>
      </w:pPr>
      <w:bookmarkStart w:id="66" w:name="_Toc173313465"/>
      <w:r w:rsidRPr="00C328A2">
        <w:rPr>
          <w:rFonts w:cs="Times New Roman"/>
          <w:lang w:val="fr-CA"/>
        </w:rPr>
        <w:t>R</w:t>
      </w:r>
      <w:bookmarkEnd w:id="66"/>
      <w:r w:rsidRPr="00C328A2">
        <w:rPr>
          <w:rFonts w:cs="Times New Roman"/>
          <w:lang w:val="fr-CA"/>
        </w:rPr>
        <w:t>éparation</w:t>
      </w:r>
    </w:p>
    <w:p w14:paraId="1D713BAD" w14:textId="77777777" w:rsidR="00C328A2" w:rsidRPr="00C328A2" w:rsidRDefault="00C328A2" w:rsidP="00C328A2">
      <w:pPr>
        <w:pStyle w:val="ParaNoNdepar-AltN"/>
        <w:widowControl w:val="0"/>
        <w:tabs>
          <w:tab w:val="clear" w:pos="1166"/>
          <w:tab w:val="num" w:pos="1152"/>
        </w:tabs>
        <w:spacing w:before="0"/>
        <w:rPr>
          <w:rFonts w:cs="Times New Roman"/>
          <w:lang w:val="fr-CA"/>
        </w:rPr>
      </w:pPr>
      <w:r w:rsidRPr="00C328A2">
        <w:rPr>
          <w:rFonts w:cs="Times New Roman"/>
          <w:lang w:val="fr-CA"/>
        </w:rPr>
        <w:t xml:space="preserve">Comme j’ai conclu que le caractère véritable de la disposition contestée ne respecte pas les limites territoriales imposées aux provinces par la Constitution, je passe </w:t>
      </w:r>
      <w:r w:rsidRPr="00C328A2">
        <w:rPr>
          <w:rFonts w:cs="Times New Roman"/>
          <w:lang w:val="fr-CA"/>
        </w:rPr>
        <w:lastRenderedPageBreak/>
        <w:t>à la question de la réparation à accorder.</w:t>
      </w:r>
    </w:p>
    <w:p w14:paraId="1C0B15EB" w14:textId="77777777" w:rsidR="00C328A2" w:rsidRPr="00C328A2" w:rsidRDefault="00C328A2" w:rsidP="00C328A2">
      <w:pPr>
        <w:pStyle w:val="ParaNoNdepar-AltN"/>
        <w:tabs>
          <w:tab w:val="clear" w:pos="1166"/>
          <w:tab w:val="num" w:pos="1152"/>
        </w:tabs>
        <w:spacing w:before="0"/>
        <w:rPr>
          <w:rFonts w:cs="Times New Roman"/>
          <w:lang w:val="fr-CA"/>
        </w:rPr>
      </w:pPr>
      <w:r w:rsidRPr="00C328A2">
        <w:rPr>
          <w:rFonts w:cs="Times New Roman"/>
          <w:lang w:val="fr-CA"/>
        </w:rPr>
        <w:t xml:space="preserve">En résumé, la dissociation est la réparation qu’il convient d’accorder en l’espèce. </w:t>
      </w:r>
      <w:r w:rsidRPr="00C328A2">
        <w:rPr>
          <w:rFonts w:cs="Times New Roman"/>
          <w:lang w:val="fr-CA" w:bidi="en-US"/>
        </w:rPr>
        <w:t>Le tribunal qui a recours à la dissociation le fait dans le but de « s’ingérer le moins possible dans les lois adoptées par le corps législatif »</w:t>
      </w:r>
      <w:r w:rsidRPr="00C328A2">
        <w:rPr>
          <w:rFonts w:cs="Times New Roman"/>
          <w:lang w:val="fr-CA"/>
        </w:rPr>
        <w:t xml:space="preserve"> (</w:t>
      </w:r>
      <w:r w:rsidRPr="00C328A2">
        <w:rPr>
          <w:rFonts w:cs="Times New Roman"/>
          <w:i/>
          <w:lang w:val="fr-CA"/>
        </w:rPr>
        <w:t>Schachter c. Canada</w:t>
      </w:r>
      <w:r w:rsidRPr="00C328A2">
        <w:rPr>
          <w:rFonts w:cs="Times New Roman"/>
          <w:lang w:val="fr-CA"/>
        </w:rPr>
        <w:t xml:space="preserve">, [1992] 2 R.C.S. 679, p. 696). Comme notre Cour l’a dit dans l’arrêt </w:t>
      </w:r>
      <w:r w:rsidRPr="00C328A2">
        <w:rPr>
          <w:rFonts w:cs="Times New Roman"/>
          <w:i/>
          <w:lang w:val="fr-CA"/>
        </w:rPr>
        <w:t>Schachter</w:t>
      </w:r>
      <w:r w:rsidRPr="00C328A2">
        <w:rPr>
          <w:rFonts w:cs="Times New Roman"/>
          <w:lang w:val="fr-CA"/>
        </w:rPr>
        <w:t>, p. 696, « </w:t>
      </w:r>
      <w:r w:rsidRPr="00C328A2">
        <w:rPr>
          <w:rFonts w:cs="Times New Roman"/>
          <w:lang w:val="fr-CA" w:bidi="en-US"/>
        </w:rPr>
        <w:t>lorsque seulement une partie d’une [. . .] disposition viole la Constitution, il est logique de déclarer inopérante seulement la partie fautive et de maintenir en vigueur le reste du texte ».</w:t>
      </w:r>
      <w:r w:rsidRPr="00C328A2">
        <w:rPr>
          <w:rFonts w:cs="Times New Roman"/>
          <w:lang w:val="fr-CA"/>
        </w:rPr>
        <w:t xml:space="preserve"> Dans une décision plus récente, notre Cour a expliqué qu’au lieu d’invalider </w:t>
      </w:r>
      <w:r w:rsidRPr="00C328A2">
        <w:rPr>
          <w:rFonts w:cs="Times New Roman"/>
          <w:lang w:val="fr-CA" w:bidi="en-US"/>
        </w:rPr>
        <w:t xml:space="preserve">une loi au complet, ce qui est rarement la solution retenue, des réparations comme </w:t>
      </w:r>
      <w:r w:rsidRPr="00C328A2">
        <w:rPr>
          <w:rFonts w:cs="Times New Roman"/>
          <w:lang w:val="fr-CA"/>
        </w:rPr>
        <w:t xml:space="preserve">la </w:t>
      </w:r>
      <w:r w:rsidRPr="00C328A2">
        <w:rPr>
          <w:rFonts w:cs="Times New Roman"/>
          <w:lang w:val="fr-CA" w:bidi="en-US"/>
        </w:rPr>
        <w:t>dissociation « devraient être utilisées dans la mesure du possible afin de préserver les aspects constitutionnels des lois »</w:t>
      </w:r>
      <w:r w:rsidRPr="00C328A2">
        <w:rPr>
          <w:rFonts w:cs="Times New Roman"/>
          <w:lang w:val="fr-CA"/>
        </w:rPr>
        <w:t xml:space="preserve"> (</w:t>
      </w:r>
      <w:r w:rsidRPr="00C328A2">
        <w:rPr>
          <w:rFonts w:cs="Times New Roman"/>
          <w:i/>
          <w:lang w:val="fr-CA"/>
        </w:rPr>
        <w:t>Ontario (Procureur général) c. G</w:t>
      </w:r>
      <w:r w:rsidRPr="00C328A2">
        <w:rPr>
          <w:rFonts w:cs="Times New Roman"/>
          <w:lang w:val="fr-CA"/>
        </w:rPr>
        <w:t>, 2020 CSC 38, [2020] 3 R.C.S. 629, par. 116).</w:t>
      </w:r>
    </w:p>
    <w:p w14:paraId="7054A971" w14:textId="77777777" w:rsidR="00C328A2" w:rsidRPr="00C328A2" w:rsidRDefault="00C328A2" w:rsidP="00C328A2">
      <w:pPr>
        <w:pStyle w:val="ParaNoNdepar-AltN"/>
        <w:numPr>
          <w:ilvl w:val="0"/>
          <w:numId w:val="0"/>
        </w:numPr>
        <w:tabs>
          <w:tab w:val="left" w:pos="1170"/>
        </w:tabs>
        <w:rPr>
          <w:rFonts w:cs="Times New Roman"/>
          <w:lang w:val="fr-CA"/>
        </w:rPr>
      </w:pPr>
      <w:r w:rsidRPr="00C328A2">
        <w:rPr>
          <w:rFonts w:cs="Times New Roman"/>
          <w:lang w:val="fr-CA"/>
        </w:rPr>
        <w:t>[207]</w:t>
      </w:r>
      <w:r w:rsidRPr="00C328A2">
        <w:rPr>
          <w:rFonts w:cs="Times New Roman"/>
          <w:lang w:val="fr-CA"/>
        </w:rPr>
        <w:tab/>
        <w:t>À mon avis, il convient de dissocier l’al. 11(1)(b) et le par. 11(2) du reste de l’</w:t>
      </w:r>
      <w:r w:rsidRPr="00C328A2">
        <w:rPr>
          <w:rFonts w:cs="Times New Roman"/>
          <w:i/>
          <w:lang w:val="fr-CA"/>
        </w:rPr>
        <w:t>ORA</w:t>
      </w:r>
      <w:r w:rsidRPr="00C328A2">
        <w:rPr>
          <w:rFonts w:cs="Times New Roman"/>
          <w:lang w:val="fr-CA"/>
        </w:rPr>
        <w:t xml:space="preserve"> et de préserver les autres dispositions de l’art. 11. L’</w:t>
      </w:r>
      <w:r w:rsidRPr="00C328A2">
        <w:rPr>
          <w:rFonts w:cs="Times New Roman"/>
          <w:i/>
          <w:lang w:val="fr-CA"/>
        </w:rPr>
        <w:t>ORA</w:t>
      </w:r>
      <w:r w:rsidRPr="00C328A2">
        <w:rPr>
          <w:rFonts w:cs="Times New Roman"/>
          <w:lang w:val="fr-CA"/>
        </w:rPr>
        <w:t xml:space="preserve"> n’est pas inextricablement liée à ces dispositions, et elle est par ailleurs calquée sur la </w:t>
      </w:r>
      <w:r w:rsidRPr="00C328A2">
        <w:rPr>
          <w:rFonts w:cs="Times New Roman"/>
          <w:i/>
          <w:lang w:val="fr-CA"/>
        </w:rPr>
        <w:t>TRA</w:t>
      </w:r>
      <w:r w:rsidRPr="00C328A2">
        <w:rPr>
          <w:rFonts w:cs="Times New Roman"/>
          <w:lang w:val="fr-CA"/>
        </w:rPr>
        <w:t xml:space="preserve">, que notre Cour a jugée constitutionnelle dans l’arrêt </w:t>
      </w:r>
      <w:r w:rsidRPr="00C328A2">
        <w:rPr>
          <w:rFonts w:cs="Times New Roman"/>
          <w:i/>
          <w:iCs/>
          <w:lang w:val="fr-CA"/>
        </w:rPr>
        <w:t>Imperial Tobacco</w:t>
      </w:r>
      <w:r w:rsidRPr="00C328A2">
        <w:rPr>
          <w:rFonts w:cs="Times New Roman"/>
          <w:lang w:val="fr-CA"/>
        </w:rPr>
        <w:t xml:space="preserve">. Le reste du régime législatif demeure valide, et seule une </w:t>
      </w:r>
      <w:r w:rsidRPr="00C328A2">
        <w:rPr>
          <w:rFonts w:cs="Times New Roman"/>
          <w:smallCaps/>
          <w:lang w:val="fr-CA"/>
        </w:rPr>
        <w:t>[traduction]</w:t>
      </w:r>
      <w:r w:rsidRPr="00C328A2">
        <w:rPr>
          <w:rFonts w:cs="Times New Roman"/>
          <w:lang w:val="fr-CA"/>
        </w:rPr>
        <w:t xml:space="preserve"> « invalidation partielle de la loi » est nécessaire (voir Mathen et Macklem, p. 1306). Il n’est pas nécessaire non plus d’invalider les autres dispositions de l’art. 11.</w:t>
      </w:r>
    </w:p>
    <w:p w14:paraId="7AF5426B" w14:textId="77777777" w:rsidR="00C328A2" w:rsidRPr="00C328A2" w:rsidRDefault="00C328A2" w:rsidP="00C328A2">
      <w:pPr>
        <w:pStyle w:val="Title1LevelTitre1Niveau-AltL"/>
        <w:numPr>
          <w:ilvl w:val="0"/>
          <w:numId w:val="8"/>
        </w:numPr>
        <w:spacing w:before="0"/>
        <w:rPr>
          <w:rFonts w:cs="Times New Roman"/>
          <w:lang w:val="fr-CA"/>
        </w:rPr>
      </w:pPr>
      <w:bookmarkStart w:id="67" w:name="_Toc173313466"/>
      <w:r w:rsidRPr="00C328A2">
        <w:rPr>
          <w:rFonts w:cs="Times New Roman"/>
          <w:lang w:val="fr-CA"/>
        </w:rPr>
        <w:t>Dispositif</w:t>
      </w:r>
      <w:bookmarkEnd w:id="67"/>
    </w:p>
    <w:p w14:paraId="2E01F224" w14:textId="77777777" w:rsidR="00C328A2" w:rsidRPr="00C328A2" w:rsidRDefault="00C328A2" w:rsidP="00C328A2">
      <w:pPr>
        <w:pStyle w:val="ParaNoNdepar-AltN"/>
        <w:numPr>
          <w:ilvl w:val="0"/>
          <w:numId w:val="0"/>
        </w:numPr>
        <w:tabs>
          <w:tab w:val="left" w:pos="1170"/>
        </w:tabs>
        <w:spacing w:before="0"/>
        <w:rPr>
          <w:rFonts w:cs="Times New Roman"/>
          <w:lang w:val="fr-CA"/>
        </w:rPr>
      </w:pPr>
      <w:r w:rsidRPr="00C328A2">
        <w:rPr>
          <w:rFonts w:cs="Times New Roman"/>
          <w:lang w:val="fr-CA"/>
        </w:rPr>
        <w:lastRenderedPageBreak/>
        <w:t>[208]</w:t>
      </w:r>
      <w:r w:rsidRPr="00C328A2">
        <w:rPr>
          <w:rFonts w:cs="Times New Roman"/>
          <w:lang w:val="fr-CA"/>
        </w:rPr>
        <w:tab/>
        <w:t xml:space="preserve">Pour ces motifs, je suis d’avis d’accueillir le pourvoi et de déclarer que </w:t>
      </w:r>
      <w:bookmarkStart w:id="68" w:name="_Hlk183431159"/>
      <w:r w:rsidRPr="00C328A2">
        <w:rPr>
          <w:rFonts w:cs="Times New Roman"/>
          <w:lang w:val="fr-CA"/>
        </w:rPr>
        <w:t xml:space="preserve">l’al. 11(1)(b) et le par. 11(2) sont </w:t>
      </w:r>
      <w:r w:rsidRPr="00C328A2">
        <w:rPr>
          <w:rFonts w:cs="Times New Roman"/>
          <w:i/>
          <w:lang w:val="fr-CA"/>
        </w:rPr>
        <w:t>ultra vires</w:t>
      </w:r>
      <w:r w:rsidRPr="00C328A2">
        <w:rPr>
          <w:rFonts w:cs="Times New Roman"/>
          <w:lang w:val="fr-CA"/>
        </w:rPr>
        <w:t xml:space="preserve"> de la législature de la Colombie</w:t>
      </w:r>
      <w:r w:rsidRPr="00C328A2">
        <w:rPr>
          <w:rFonts w:cs="Times New Roman"/>
          <w:lang w:val="fr-CA"/>
        </w:rPr>
        <w:noBreakHyphen/>
        <w:t xml:space="preserve">Britannique, et ils devraient être dissociés de </w:t>
      </w:r>
      <w:bookmarkEnd w:id="68"/>
      <w:r w:rsidRPr="00C328A2">
        <w:rPr>
          <w:rFonts w:cs="Times New Roman"/>
          <w:lang w:val="fr-CA"/>
        </w:rPr>
        <w:t>l’</w:t>
      </w:r>
      <w:r w:rsidRPr="00C328A2">
        <w:rPr>
          <w:rFonts w:cs="Times New Roman"/>
          <w:i/>
          <w:lang w:val="fr-CA"/>
        </w:rPr>
        <w:t>ORA</w:t>
      </w:r>
      <w:r w:rsidRPr="00C328A2">
        <w:rPr>
          <w:rFonts w:cs="Times New Roman"/>
          <w:lang w:val="fr-CA"/>
        </w:rPr>
        <w:t>.</w:t>
      </w:r>
    </w:p>
    <w:p w14:paraId="786B1EE2" w14:textId="1F8136A7" w:rsidR="004D7D95" w:rsidRPr="00C328A2" w:rsidRDefault="004D7D95" w:rsidP="00B732C1">
      <w:pPr>
        <w:pStyle w:val="SCCNormalDoubleSpacing"/>
        <w:spacing w:after="480"/>
        <w:rPr>
          <w:lang w:val="fr-CA"/>
        </w:rPr>
      </w:pPr>
      <w:r w:rsidRPr="00C328A2">
        <w:rPr>
          <w:lang w:val="fr-CA"/>
        </w:rPr>
        <w:tab/>
      </w:r>
      <w:r w:rsidR="00962C65" w:rsidRPr="00C328A2">
        <w:rPr>
          <w:i/>
          <w:lang w:val="fr-CA"/>
        </w:rPr>
        <w:t>Pourvoi rejeté avec dépens, la juge</w:t>
      </w:r>
      <w:r w:rsidR="00962C65" w:rsidRPr="00C328A2">
        <w:rPr>
          <w:lang w:val="fr-CA"/>
        </w:rPr>
        <w:t xml:space="preserve"> </w:t>
      </w:r>
      <w:r w:rsidR="00962C65" w:rsidRPr="00C328A2">
        <w:rPr>
          <w:smallCaps/>
          <w:lang w:val="fr-CA"/>
        </w:rPr>
        <w:t>Côté</w:t>
      </w:r>
      <w:r w:rsidR="00962C65" w:rsidRPr="00C328A2">
        <w:rPr>
          <w:lang w:val="fr-CA"/>
        </w:rPr>
        <w:t xml:space="preserve"> </w:t>
      </w:r>
      <w:r w:rsidR="00962C65" w:rsidRPr="00C328A2">
        <w:rPr>
          <w:i/>
          <w:lang w:val="fr-CA"/>
        </w:rPr>
        <w:t>est dissidente.</w:t>
      </w:r>
    </w:p>
    <w:p w14:paraId="6FE6FD99" w14:textId="77777777" w:rsidR="00114EBA" w:rsidRPr="00C328A2" w:rsidRDefault="00D94DD7" w:rsidP="00B732C1">
      <w:pPr>
        <w:pStyle w:val="SCCNormalDoubleSpacing"/>
        <w:spacing w:after="480"/>
        <w:rPr>
          <w:i/>
          <w:lang w:val="fr-CA"/>
        </w:rPr>
      </w:pPr>
      <w:r w:rsidRPr="00C328A2">
        <w:rPr>
          <w:lang w:val="fr-CA"/>
        </w:rPr>
        <w:tab/>
      </w:r>
      <w:r w:rsidR="00114EBA" w:rsidRPr="00C328A2">
        <w:rPr>
          <w:i/>
          <w:iCs/>
          <w:color w:val="000000"/>
          <w:lang w:val="fr-CA"/>
        </w:rPr>
        <w:t xml:space="preserve">Procureurs des appelantes </w:t>
      </w:r>
      <w:r w:rsidR="00114EBA" w:rsidRPr="00C328A2">
        <w:rPr>
          <w:rStyle w:val="SCCCounselPartyRoleChar"/>
          <w:i/>
          <w:lang w:val="fr-CA"/>
        </w:rPr>
        <w:t>Sanis Health Inc. et Shoppers Drug Mart Inc. </w:t>
      </w:r>
      <w:r w:rsidR="00114EBA" w:rsidRPr="00C328A2">
        <w:rPr>
          <w:i/>
          <w:lang w:val="fr-CA"/>
        </w:rPr>
        <w:t>: Osler, Hoskin &amp; Harcourt, Toronto.</w:t>
      </w:r>
    </w:p>
    <w:p w14:paraId="75354735" w14:textId="77777777" w:rsidR="00114EBA" w:rsidRPr="00C328A2" w:rsidRDefault="00114EBA" w:rsidP="00B732C1">
      <w:pPr>
        <w:pStyle w:val="SCCNormalDoubleSpacing"/>
        <w:spacing w:after="480"/>
        <w:rPr>
          <w:i/>
          <w:lang w:val="fr-CA"/>
        </w:rPr>
      </w:pPr>
      <w:r w:rsidRPr="00C328A2">
        <w:rPr>
          <w:lang w:val="fr-CA"/>
        </w:rPr>
        <w:tab/>
      </w:r>
      <w:r w:rsidRPr="00C328A2">
        <w:rPr>
          <w:i/>
          <w:iCs/>
          <w:color w:val="000000"/>
          <w:lang w:val="fr-CA"/>
        </w:rPr>
        <w:t>Procureurs de l’appelante</w:t>
      </w:r>
      <w:r w:rsidRPr="00C328A2">
        <w:rPr>
          <w:rStyle w:val="SCCCounselPartyRoleChar"/>
          <w:i/>
          <w:lang w:val="fr-CA"/>
        </w:rPr>
        <w:t xml:space="preserve"> Sandoz Canada Inc. </w:t>
      </w:r>
      <w:r w:rsidRPr="00C328A2">
        <w:rPr>
          <w:i/>
          <w:lang w:val="fr-CA"/>
        </w:rPr>
        <w:t>: Fasken Martineau DuMoulin, Vancouver.</w:t>
      </w:r>
    </w:p>
    <w:p w14:paraId="62D3C56B" w14:textId="77777777" w:rsidR="00114EBA" w:rsidRPr="00C328A2" w:rsidRDefault="00114EBA" w:rsidP="00B732C1">
      <w:pPr>
        <w:pStyle w:val="SCCNormalDoubleSpacing"/>
        <w:spacing w:after="480"/>
        <w:rPr>
          <w:i/>
          <w:lang w:val="fr-CA"/>
        </w:rPr>
      </w:pPr>
      <w:r w:rsidRPr="00C328A2">
        <w:rPr>
          <w:lang w:val="fr-CA"/>
        </w:rPr>
        <w:tab/>
      </w:r>
      <w:r w:rsidRPr="00C328A2">
        <w:rPr>
          <w:i/>
          <w:iCs/>
          <w:color w:val="000000"/>
          <w:lang w:val="fr-CA"/>
        </w:rPr>
        <w:t xml:space="preserve">Procureurs de l’appelante </w:t>
      </w:r>
      <w:r w:rsidRPr="00C328A2">
        <w:rPr>
          <w:i/>
          <w:lang w:val="fr-CA"/>
        </w:rPr>
        <w:t>la Corporation McKesson Canada</w:t>
      </w:r>
      <w:r w:rsidRPr="00C328A2">
        <w:rPr>
          <w:rStyle w:val="SCCCounselPartyRoleChar"/>
          <w:i/>
          <w:lang w:val="fr-CA"/>
        </w:rPr>
        <w:t> </w:t>
      </w:r>
      <w:r w:rsidRPr="00C328A2">
        <w:rPr>
          <w:i/>
          <w:lang w:val="fr-CA"/>
        </w:rPr>
        <w:t>: Davies Ward Phillips &amp; Vineberg, Toronto.</w:t>
      </w:r>
    </w:p>
    <w:p w14:paraId="2D5B5716" w14:textId="77777777" w:rsidR="00114EBA" w:rsidRPr="00C328A2" w:rsidRDefault="00114EBA" w:rsidP="00B732C1">
      <w:pPr>
        <w:pStyle w:val="SCCLawFirm"/>
        <w:spacing w:after="480"/>
        <w:rPr>
          <w:lang w:val="fr-CA"/>
        </w:rPr>
      </w:pPr>
      <w:r w:rsidRPr="00C328A2">
        <w:rPr>
          <w:lang w:val="fr-CA"/>
        </w:rPr>
        <w:tab/>
        <w:t xml:space="preserve">Procureurs de l’intimé : CFM Lawyers, Vancouver; </w:t>
      </w:r>
      <w:r w:rsidR="00FF65FF" w:rsidRPr="00C328A2">
        <w:rPr>
          <w:lang w:val="fr-CA"/>
        </w:rPr>
        <w:t>Procureur général de la Colombie-Britannique</w:t>
      </w:r>
      <w:r w:rsidRPr="00C328A2">
        <w:rPr>
          <w:lang w:val="fr-CA"/>
        </w:rPr>
        <w:t>, Vancouver.</w:t>
      </w:r>
    </w:p>
    <w:p w14:paraId="4A8BBC46" w14:textId="77777777" w:rsidR="00114EBA" w:rsidRPr="00C328A2" w:rsidRDefault="00114EBA" w:rsidP="00B732C1">
      <w:pPr>
        <w:pStyle w:val="SCCNormalDoubleSpacing"/>
        <w:spacing w:after="480"/>
        <w:rPr>
          <w:i/>
          <w:lang w:val="fr-CA"/>
        </w:rPr>
      </w:pPr>
      <w:r w:rsidRPr="00C328A2">
        <w:rPr>
          <w:lang w:val="fr-CA"/>
        </w:rPr>
        <w:tab/>
      </w:r>
      <w:r w:rsidRPr="00C328A2">
        <w:rPr>
          <w:i/>
          <w:iCs/>
          <w:color w:val="000000"/>
          <w:lang w:val="fr-CA"/>
        </w:rPr>
        <w:t xml:space="preserve">Procureur de l’intervenant le </w:t>
      </w:r>
      <w:r w:rsidRPr="00C328A2">
        <w:rPr>
          <w:i/>
          <w:lang w:val="fr-CA"/>
        </w:rPr>
        <w:t xml:space="preserve">procureur général du Canada : </w:t>
      </w:r>
      <w:r w:rsidR="00FF65FF" w:rsidRPr="00C328A2">
        <w:rPr>
          <w:i/>
          <w:iCs/>
          <w:color w:val="000000"/>
          <w:lang w:val="fr-CA"/>
        </w:rPr>
        <w:t>Ministère de la Justice Canada, Secteur national du contentieux</w:t>
      </w:r>
      <w:r w:rsidRPr="00C328A2">
        <w:rPr>
          <w:i/>
          <w:lang w:val="fr-CA"/>
        </w:rPr>
        <w:t>, Toronto.</w:t>
      </w:r>
    </w:p>
    <w:p w14:paraId="60F848FA" w14:textId="77777777" w:rsidR="00114EBA" w:rsidRPr="00C328A2" w:rsidRDefault="00114EBA" w:rsidP="00B732C1">
      <w:pPr>
        <w:pStyle w:val="SCCLawFirm"/>
        <w:spacing w:after="480"/>
        <w:rPr>
          <w:lang w:val="fr-CA"/>
        </w:rPr>
      </w:pPr>
      <w:r w:rsidRPr="00C328A2">
        <w:rPr>
          <w:lang w:val="fr-CA"/>
        </w:rPr>
        <w:tab/>
        <w:t xml:space="preserve">Procureur de l’intervenant le procureur général de l’Ontario : </w:t>
      </w:r>
      <w:r w:rsidR="00FF65FF" w:rsidRPr="00C328A2">
        <w:rPr>
          <w:lang w:val="fr-CA"/>
        </w:rPr>
        <w:t>Procureur général de l’Ontario, Direction du droit constitutionnel</w:t>
      </w:r>
      <w:r w:rsidRPr="00C328A2">
        <w:rPr>
          <w:lang w:val="fr-CA"/>
        </w:rPr>
        <w:t>, Toronto.</w:t>
      </w:r>
    </w:p>
    <w:p w14:paraId="1CE43761" w14:textId="55A4E218" w:rsidR="00114EBA" w:rsidRPr="00C328A2" w:rsidRDefault="00114EBA" w:rsidP="00B732C1">
      <w:pPr>
        <w:pStyle w:val="SCCLawFirm"/>
        <w:spacing w:after="480"/>
        <w:rPr>
          <w:lang w:val="fr-CA"/>
        </w:rPr>
      </w:pPr>
      <w:r w:rsidRPr="00C328A2">
        <w:rPr>
          <w:lang w:val="fr-CA"/>
        </w:rPr>
        <w:lastRenderedPageBreak/>
        <w:tab/>
      </w:r>
      <w:r w:rsidR="005544F5" w:rsidRPr="00C328A2">
        <w:rPr>
          <w:lang w:val="fr-CA"/>
        </w:rPr>
        <w:t>Procureurs de l’intervenant le procureur général du Qué</w:t>
      </w:r>
      <w:r w:rsidRPr="00C328A2">
        <w:rPr>
          <w:lang w:val="fr-CA"/>
        </w:rPr>
        <w:t>bec : Bernard, Roy (Justice-Québec), Direction du contentieux de Montréal, Direction générale du contentieux du Procureur général du Québec, Sous-ministériat</w:t>
      </w:r>
      <w:r w:rsidR="003A52D0" w:rsidRPr="00C328A2">
        <w:rPr>
          <w:lang w:val="fr-CA"/>
        </w:rPr>
        <w:t xml:space="preserve"> des affaires juridiques, Montréal</w:t>
      </w:r>
      <w:r w:rsidRPr="00C328A2">
        <w:rPr>
          <w:lang w:val="fr-CA"/>
        </w:rPr>
        <w:t>; Ministère de la Justice du Québec, Direction du droit constitutionnel et autochtone, Québec.</w:t>
      </w:r>
    </w:p>
    <w:p w14:paraId="354067D3" w14:textId="77777777" w:rsidR="00114EBA" w:rsidRPr="00C328A2" w:rsidRDefault="00114EBA" w:rsidP="00B732C1">
      <w:pPr>
        <w:pStyle w:val="SCCLawFirm"/>
        <w:spacing w:after="480"/>
        <w:rPr>
          <w:lang w:val="fr-CA"/>
        </w:rPr>
      </w:pPr>
      <w:r w:rsidRPr="00C328A2">
        <w:rPr>
          <w:lang w:val="fr-CA"/>
        </w:rPr>
        <w:tab/>
      </w:r>
      <w:r w:rsidR="005544F5" w:rsidRPr="00C328A2">
        <w:rPr>
          <w:lang w:val="fr-CA"/>
        </w:rPr>
        <w:t>Procureur de l’intervenant le procureur général de la Nouvelle-Écosse</w:t>
      </w:r>
      <w:r w:rsidRPr="00C328A2">
        <w:rPr>
          <w:lang w:val="fr-CA"/>
        </w:rPr>
        <w:t xml:space="preserve"> : </w:t>
      </w:r>
      <w:r w:rsidR="00FF65FF" w:rsidRPr="00C328A2">
        <w:rPr>
          <w:lang w:val="fr-CA"/>
        </w:rPr>
        <w:t>Procureur général de la Nouvelle‑Écosse</w:t>
      </w:r>
      <w:r w:rsidRPr="00C328A2">
        <w:rPr>
          <w:lang w:val="fr-CA"/>
        </w:rPr>
        <w:t xml:space="preserve">, </w:t>
      </w:r>
      <w:r w:rsidR="00FF65FF" w:rsidRPr="00C328A2">
        <w:rPr>
          <w:lang w:val="fr-CA"/>
        </w:rPr>
        <w:t>Services juridiques</w:t>
      </w:r>
      <w:r w:rsidRPr="00C328A2">
        <w:rPr>
          <w:lang w:val="fr-CA"/>
        </w:rPr>
        <w:t>, Halifax.</w:t>
      </w:r>
    </w:p>
    <w:p w14:paraId="465D4558" w14:textId="77777777" w:rsidR="00114EBA" w:rsidRPr="00C328A2" w:rsidRDefault="00114EBA" w:rsidP="00B732C1">
      <w:pPr>
        <w:pStyle w:val="SCCLawFirm"/>
        <w:spacing w:after="480"/>
        <w:rPr>
          <w:lang w:val="fr-CA"/>
        </w:rPr>
      </w:pPr>
      <w:r w:rsidRPr="00C328A2">
        <w:rPr>
          <w:lang w:val="fr-CA"/>
        </w:rPr>
        <w:tab/>
      </w:r>
      <w:r w:rsidR="005544F5" w:rsidRPr="00C328A2">
        <w:rPr>
          <w:lang w:val="fr-CA"/>
        </w:rPr>
        <w:t>Procureur de l’intervenant le procureur général du Nouveau-</w:t>
      </w:r>
      <w:r w:rsidRPr="00C328A2">
        <w:rPr>
          <w:lang w:val="fr-CA"/>
        </w:rPr>
        <w:t xml:space="preserve">Brunswick : </w:t>
      </w:r>
      <w:r w:rsidR="00FF65FF" w:rsidRPr="00C328A2">
        <w:rPr>
          <w:lang w:val="fr-CA"/>
        </w:rPr>
        <w:t xml:space="preserve">Procureur général du Nouveau‑Brunswick, Services juridiques, Groupe de droit constitutionnel, </w:t>
      </w:r>
      <w:r w:rsidRPr="00C328A2">
        <w:rPr>
          <w:lang w:val="fr-CA"/>
        </w:rPr>
        <w:t>Fredericton.</w:t>
      </w:r>
    </w:p>
    <w:p w14:paraId="690C09E3" w14:textId="77777777" w:rsidR="00114EBA" w:rsidRPr="00C328A2" w:rsidRDefault="00114EBA" w:rsidP="00B732C1">
      <w:pPr>
        <w:pStyle w:val="SCCLawFirm"/>
        <w:spacing w:after="480"/>
        <w:rPr>
          <w:lang w:val="fr-CA"/>
        </w:rPr>
      </w:pPr>
      <w:r w:rsidRPr="00C328A2">
        <w:rPr>
          <w:lang w:val="fr-CA"/>
        </w:rPr>
        <w:tab/>
      </w:r>
      <w:r w:rsidR="005544F5" w:rsidRPr="00C328A2">
        <w:rPr>
          <w:lang w:val="fr-CA"/>
        </w:rPr>
        <w:t>Procureur de l’intervenant le procureur général du</w:t>
      </w:r>
      <w:r w:rsidRPr="00C328A2">
        <w:rPr>
          <w:lang w:val="fr-CA"/>
        </w:rPr>
        <w:t xml:space="preserve"> Manitoba : Manitoba Justice, Legal Services Branch, Winnipeg.</w:t>
      </w:r>
    </w:p>
    <w:p w14:paraId="06FCCF8E" w14:textId="77777777" w:rsidR="00114EBA" w:rsidRPr="00C328A2" w:rsidRDefault="00114EBA" w:rsidP="00B732C1">
      <w:pPr>
        <w:pStyle w:val="SCCLawFirm"/>
        <w:spacing w:after="480"/>
        <w:rPr>
          <w:lang w:val="fr-CA"/>
        </w:rPr>
      </w:pPr>
      <w:r w:rsidRPr="00C328A2">
        <w:rPr>
          <w:lang w:val="fr-CA"/>
        </w:rPr>
        <w:tab/>
      </w:r>
      <w:r w:rsidR="005544F5" w:rsidRPr="00C328A2">
        <w:rPr>
          <w:lang w:val="fr-CA"/>
        </w:rPr>
        <w:t>Procureur de l’intervenant le procureur général de l’Île-du-Prince-Édouard</w:t>
      </w:r>
      <w:r w:rsidRPr="00C328A2">
        <w:rPr>
          <w:lang w:val="fr-CA"/>
        </w:rPr>
        <w:t xml:space="preserve"> : </w:t>
      </w:r>
      <w:r w:rsidR="00F86092" w:rsidRPr="00C328A2">
        <w:rPr>
          <w:lang w:val="fr-CA"/>
        </w:rPr>
        <w:t>Ministère de la Justice et de la Sécurité publique</w:t>
      </w:r>
      <w:r w:rsidRPr="00C328A2">
        <w:rPr>
          <w:lang w:val="fr-CA"/>
        </w:rPr>
        <w:t>, Charlottetown.</w:t>
      </w:r>
    </w:p>
    <w:p w14:paraId="12C47B74" w14:textId="77777777" w:rsidR="00114EBA" w:rsidRPr="00C328A2" w:rsidRDefault="00114EBA" w:rsidP="00B732C1">
      <w:pPr>
        <w:pStyle w:val="SCCLawFirm"/>
        <w:spacing w:after="480"/>
        <w:rPr>
          <w:lang w:val="fr-CA"/>
        </w:rPr>
      </w:pPr>
      <w:r w:rsidRPr="00C328A2">
        <w:rPr>
          <w:lang w:val="fr-CA"/>
        </w:rPr>
        <w:tab/>
      </w:r>
      <w:r w:rsidR="005544F5" w:rsidRPr="00C328A2">
        <w:rPr>
          <w:lang w:val="fr-CA"/>
        </w:rPr>
        <w:t xml:space="preserve">Procureur de l’intervenant le procureur général de la </w:t>
      </w:r>
      <w:r w:rsidRPr="00C328A2">
        <w:rPr>
          <w:lang w:val="fr-CA"/>
        </w:rPr>
        <w:t>Saskatchewan : Government of Saskatchewan, Regina.</w:t>
      </w:r>
    </w:p>
    <w:p w14:paraId="7FA7CC03" w14:textId="77777777" w:rsidR="00114EBA" w:rsidRPr="00C328A2" w:rsidRDefault="00114EBA" w:rsidP="00B732C1">
      <w:pPr>
        <w:pStyle w:val="SCCLawFirm"/>
        <w:spacing w:after="480"/>
        <w:rPr>
          <w:lang w:val="fr-CA"/>
        </w:rPr>
      </w:pPr>
      <w:r w:rsidRPr="00C328A2">
        <w:rPr>
          <w:lang w:val="fr-CA"/>
        </w:rPr>
        <w:tab/>
      </w:r>
      <w:r w:rsidR="005544F5" w:rsidRPr="00C328A2">
        <w:rPr>
          <w:lang w:val="fr-CA"/>
        </w:rPr>
        <w:t>Procureur de l’intervenant le procureur général de l’</w:t>
      </w:r>
      <w:r w:rsidRPr="00C328A2">
        <w:rPr>
          <w:lang w:val="fr-CA"/>
        </w:rPr>
        <w:t>Alberta : Alberta Justice, Constitutional and Aboriginal Law, Edmonton.</w:t>
      </w:r>
    </w:p>
    <w:p w14:paraId="3BCD1FFF" w14:textId="08D26B3B" w:rsidR="00114EBA" w:rsidRPr="00C328A2" w:rsidRDefault="00114EBA" w:rsidP="00B732C1">
      <w:pPr>
        <w:pStyle w:val="SCCLawFirm"/>
        <w:spacing w:after="480"/>
        <w:rPr>
          <w:lang w:val="fr-CA"/>
        </w:rPr>
      </w:pPr>
      <w:r w:rsidRPr="00C328A2">
        <w:rPr>
          <w:lang w:val="fr-CA"/>
        </w:rPr>
        <w:lastRenderedPageBreak/>
        <w:tab/>
      </w:r>
      <w:r w:rsidR="005544F5" w:rsidRPr="00C328A2">
        <w:rPr>
          <w:lang w:val="fr-CA"/>
        </w:rPr>
        <w:t>Procureur de l’intervenant le procureur général des Territoires du Nord-Ouest </w:t>
      </w:r>
      <w:r w:rsidRPr="00C328A2">
        <w:rPr>
          <w:lang w:val="fr-CA"/>
        </w:rPr>
        <w:t xml:space="preserve">: </w:t>
      </w:r>
      <w:r w:rsidR="000E4B86" w:rsidRPr="00C328A2">
        <w:rPr>
          <w:lang w:val="fr-CA"/>
        </w:rPr>
        <w:t>Gouvernement des Territoires du Nord-Ouest</w:t>
      </w:r>
      <w:r w:rsidRPr="00C328A2">
        <w:rPr>
          <w:lang w:val="fr-CA"/>
        </w:rPr>
        <w:t xml:space="preserve">, </w:t>
      </w:r>
      <w:r w:rsidR="004278C4" w:rsidRPr="00C328A2">
        <w:rPr>
          <w:lang w:val="fr-CA"/>
        </w:rPr>
        <w:t xml:space="preserve">Division des affaires juridiques, </w:t>
      </w:r>
      <w:r w:rsidRPr="00C328A2">
        <w:rPr>
          <w:lang w:val="fr-CA"/>
        </w:rPr>
        <w:t>Yellowknife.</w:t>
      </w:r>
    </w:p>
    <w:p w14:paraId="16835AEB" w14:textId="2A9DF43C" w:rsidR="00114EBA" w:rsidRPr="00C328A2" w:rsidRDefault="00114EBA" w:rsidP="00B732C1">
      <w:pPr>
        <w:pStyle w:val="SCCLawFirm"/>
        <w:spacing w:after="480"/>
        <w:rPr>
          <w:lang w:val="fr-CA"/>
        </w:rPr>
      </w:pPr>
      <w:r w:rsidRPr="00C328A2">
        <w:rPr>
          <w:lang w:val="fr-CA"/>
        </w:rPr>
        <w:tab/>
      </w:r>
      <w:r w:rsidR="005544F5" w:rsidRPr="00C328A2">
        <w:rPr>
          <w:lang w:val="fr-CA"/>
        </w:rPr>
        <w:t>Procureur de l’intervenant</w:t>
      </w:r>
      <w:r w:rsidR="00962C65" w:rsidRPr="00C328A2">
        <w:rPr>
          <w:lang w:val="fr-CA"/>
        </w:rPr>
        <w:t xml:space="preserve"> le</w:t>
      </w:r>
      <w:r w:rsidR="005544F5" w:rsidRPr="00C328A2">
        <w:rPr>
          <w:lang w:val="fr-CA"/>
        </w:rPr>
        <w:t xml:space="preserve"> procureur général du Territoire du Yukon </w:t>
      </w:r>
      <w:r w:rsidRPr="00C328A2">
        <w:rPr>
          <w:lang w:val="fr-CA"/>
        </w:rPr>
        <w:t xml:space="preserve">: </w:t>
      </w:r>
      <w:r w:rsidR="00103250" w:rsidRPr="00C328A2">
        <w:rPr>
          <w:lang w:val="fr-CA"/>
        </w:rPr>
        <w:t>Ministère de la Justice, Direction des services juridiques</w:t>
      </w:r>
      <w:r w:rsidRPr="00C328A2">
        <w:rPr>
          <w:lang w:val="fr-CA"/>
        </w:rPr>
        <w:t>, Whitehorse.</w:t>
      </w:r>
    </w:p>
    <w:p w14:paraId="648BE683" w14:textId="1FABEF3C" w:rsidR="009B57B3" w:rsidRPr="005544F5" w:rsidRDefault="00114EBA" w:rsidP="00B732C1">
      <w:pPr>
        <w:pStyle w:val="SCCLawFirm"/>
        <w:spacing w:after="480"/>
        <w:rPr>
          <w:lang w:val="fr-CA"/>
        </w:rPr>
      </w:pPr>
      <w:r w:rsidRPr="00C328A2">
        <w:rPr>
          <w:lang w:val="fr-CA"/>
        </w:rPr>
        <w:tab/>
      </w:r>
      <w:r w:rsidR="005544F5" w:rsidRPr="00C328A2">
        <w:rPr>
          <w:lang w:val="fr-CA"/>
        </w:rPr>
        <w:t xml:space="preserve">Procureurs des intervenantes </w:t>
      </w:r>
      <w:r w:rsidRPr="00C328A2">
        <w:rPr>
          <w:rStyle w:val="SCCCounselPartyRoleChar"/>
          <w:lang w:val="fr-CA"/>
        </w:rPr>
        <w:t xml:space="preserve">Groupe Jean Coutu </w:t>
      </w:r>
      <w:r w:rsidRPr="00C328A2">
        <w:rPr>
          <w:lang w:val="fr-CA"/>
        </w:rPr>
        <w:t>(PJC) inc.</w:t>
      </w:r>
      <w:r w:rsidR="00526760" w:rsidRPr="00C328A2">
        <w:rPr>
          <w:rStyle w:val="SCCCounselPartyRoleChar"/>
          <w:lang w:val="fr-CA"/>
        </w:rPr>
        <w:t xml:space="preserve"> et</w:t>
      </w:r>
      <w:r w:rsidRPr="00C328A2">
        <w:rPr>
          <w:rStyle w:val="SCCCounselPartyRoleChar"/>
          <w:lang w:val="fr-CA"/>
        </w:rPr>
        <w:t xml:space="preserve"> </w:t>
      </w:r>
      <w:r w:rsidR="00526760" w:rsidRPr="00C328A2">
        <w:rPr>
          <w:lang w:val="fr-CA"/>
        </w:rPr>
        <w:t>Pro Doc Ltée</w:t>
      </w:r>
      <w:r w:rsidRPr="00C328A2">
        <w:rPr>
          <w:rStyle w:val="SCCCounselPartyRoleChar"/>
          <w:lang w:val="fr-CA"/>
        </w:rPr>
        <w:t> </w:t>
      </w:r>
      <w:r w:rsidRPr="00C328A2">
        <w:rPr>
          <w:lang w:val="fr-CA"/>
        </w:rPr>
        <w:t>: Miller Thomson, Regina.</w:t>
      </w:r>
    </w:p>
    <w:sectPr w:rsidR="009B57B3" w:rsidRPr="005544F5" w:rsidSect="001518D0">
      <w:headerReference w:type="default" r:id="rId13"/>
      <w:pgSz w:w="12240" w:h="15840"/>
      <w:pgMar w:top="1267" w:right="2160" w:bottom="720" w:left="1800" w:header="180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F9B1" w14:textId="77777777" w:rsidR="00AC3738" w:rsidRDefault="00AC3738">
      <w:r>
        <w:separator/>
      </w:r>
    </w:p>
  </w:endnote>
  <w:endnote w:type="continuationSeparator" w:id="0">
    <w:p w14:paraId="0E58A63D" w14:textId="77777777" w:rsidR="00AC3738" w:rsidRDefault="00AC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811B2" w14:textId="77777777" w:rsidR="00AC3738" w:rsidRDefault="00AC3738">
      <w:r>
        <w:separator/>
      </w:r>
    </w:p>
  </w:footnote>
  <w:footnote w:type="continuationSeparator" w:id="0">
    <w:p w14:paraId="2404DDA5" w14:textId="77777777" w:rsidR="00AC3738" w:rsidRDefault="00AC3738">
      <w:r>
        <w:continuationSeparator/>
      </w:r>
    </w:p>
  </w:footnote>
  <w:footnote w:id="1">
    <w:p w14:paraId="6F3C1354" w14:textId="77777777" w:rsidR="00C328A2" w:rsidRPr="006E0542" w:rsidRDefault="00C328A2" w:rsidP="00C328A2">
      <w:pPr>
        <w:pStyle w:val="Notedebasdepage"/>
        <w:rPr>
          <w:sz w:val="24"/>
        </w:rPr>
      </w:pPr>
      <w:r w:rsidRPr="00C71875">
        <w:footnoteRef/>
      </w:r>
      <w:r>
        <w:t> </w:t>
      </w:r>
      <w:r w:rsidRPr="00C71875">
        <w:rPr>
          <w:i/>
        </w:rPr>
        <w:t>Opioid Damages and Health Care Costs Recovery Act</w:t>
      </w:r>
      <w:r w:rsidRPr="00C71875">
        <w:t xml:space="preserve">, S.A. 2019, c. O-8.5; </w:t>
      </w:r>
      <w:r>
        <w:rPr>
          <w:i/>
        </w:rPr>
        <w:t xml:space="preserve">The </w:t>
      </w:r>
      <w:r w:rsidRPr="00C71875">
        <w:rPr>
          <w:i/>
        </w:rPr>
        <w:t>Opioid Damages and Health Care Costs Recovery Act</w:t>
      </w:r>
      <w:r>
        <w:t>, S.S. 2020, c. </w:t>
      </w:r>
      <w:r w:rsidRPr="00C71875">
        <w:t xml:space="preserve">32; </w:t>
      </w:r>
      <w:r w:rsidRPr="002E53D8">
        <w:rPr>
          <w:i/>
          <w:iCs/>
        </w:rPr>
        <w:t>Loi sur le recouvrement du montant des dommages-intérêts et du coût des soins de santé imputables aux opioïdes</w:t>
      </w:r>
      <w:r w:rsidRPr="002E53D8">
        <w:t>, C.P.L.M</w:t>
      </w:r>
      <w:r>
        <w:t>., c. O55</w:t>
      </w:r>
      <w:r w:rsidRPr="00C71875">
        <w:t xml:space="preserve">; </w:t>
      </w:r>
      <w:r w:rsidRPr="002E53D8">
        <w:rPr>
          <w:i/>
          <w:iCs/>
        </w:rPr>
        <w:t>Loi de 2019 sur le recouvrement des dommages-intérêts et du coût des soins de santé imputables aux opioïdes</w:t>
      </w:r>
      <w:r w:rsidRPr="00C71875">
        <w:t xml:space="preserve">, </w:t>
      </w:r>
      <w:r>
        <w:t>L.O. 2019, c. </w:t>
      </w:r>
      <w:r w:rsidRPr="00C71875">
        <w:t xml:space="preserve">17, </w:t>
      </w:r>
      <w:r>
        <w:t>ann. </w:t>
      </w:r>
      <w:r w:rsidRPr="00C71875">
        <w:t xml:space="preserve">2; </w:t>
      </w:r>
      <w:r w:rsidRPr="002E53D8">
        <w:rPr>
          <w:i/>
          <w:iCs/>
        </w:rPr>
        <w:t>Loi sur le recouvrement du coût des soins de santé et des dommages</w:t>
      </w:r>
      <w:r>
        <w:rPr>
          <w:i/>
          <w:iCs/>
        </w:rPr>
        <w:noBreakHyphen/>
      </w:r>
      <w:r w:rsidRPr="002E53D8">
        <w:rPr>
          <w:i/>
          <w:iCs/>
        </w:rPr>
        <w:t>intérêts liés aux opioïdes</w:t>
      </w:r>
      <w:r w:rsidRPr="002E53D8">
        <w:t xml:space="preserve">, </w:t>
      </w:r>
      <w:r>
        <w:t xml:space="preserve">RLRQ, c. </w:t>
      </w:r>
      <w:r w:rsidRPr="004D17ED">
        <w:t>R-2.2.0.0.01</w:t>
      </w:r>
      <w:r w:rsidRPr="00C71875">
        <w:t xml:space="preserve">; </w:t>
      </w:r>
      <w:r w:rsidRPr="002E53D8">
        <w:rPr>
          <w:i/>
          <w:iCs/>
        </w:rPr>
        <w:t>Loi sur le recouvrement des dommages-intérêts et des coûts des soins de santé imputables aux opioïdes</w:t>
      </w:r>
      <w:r w:rsidRPr="00C71875">
        <w:t xml:space="preserve">, </w:t>
      </w:r>
      <w:r>
        <w:t>L</w:t>
      </w:r>
      <w:r w:rsidRPr="00C71875">
        <w:t>.N.</w:t>
      </w:r>
      <w:r>
        <w:t>-B. 2023, c. </w:t>
      </w:r>
      <w:r w:rsidRPr="00C71875">
        <w:t xml:space="preserve">28; </w:t>
      </w:r>
      <w:r w:rsidRPr="00C71875">
        <w:rPr>
          <w:i/>
        </w:rPr>
        <w:t>Opioid Damages and Health-care Costs Recovery Act</w:t>
      </w:r>
      <w:r>
        <w:t>, S.N.S. 2020, c. </w:t>
      </w:r>
      <w:r w:rsidRPr="00C71875">
        <w:t xml:space="preserve">4; </w:t>
      </w:r>
      <w:r w:rsidRPr="00C71875">
        <w:rPr>
          <w:i/>
        </w:rPr>
        <w:t>Opioid Damages and Health Care Costs Recovery Act</w:t>
      </w:r>
      <w:r w:rsidRPr="00C71875">
        <w:t xml:space="preserve">, S.P.E.I. </w:t>
      </w:r>
      <w:r>
        <w:t>2020</w:t>
      </w:r>
      <w:r w:rsidRPr="00C71875">
        <w:t xml:space="preserve">, c. </w:t>
      </w:r>
      <w:r>
        <w:t>77</w:t>
      </w:r>
      <w:r w:rsidRPr="00C71875">
        <w:t xml:space="preserve">; </w:t>
      </w:r>
      <w:r w:rsidRPr="002E53D8">
        <w:rPr>
          <w:i/>
          <w:iCs/>
        </w:rPr>
        <w:t>Loi sur le recouvrement des dommages-intérêts et du coût des soins de santé liés aux opioïde</w:t>
      </w:r>
      <w:r>
        <w:rPr>
          <w:i/>
          <w:iCs/>
        </w:rPr>
        <w:t>s</w:t>
      </w:r>
      <w:r w:rsidRPr="002E53D8">
        <w:t>, L</w:t>
      </w:r>
      <w:r>
        <w:t>.</w:t>
      </w:r>
      <w:r w:rsidRPr="002E53D8">
        <w:t>T</w:t>
      </w:r>
      <w:r>
        <w:t>.</w:t>
      </w:r>
      <w:r w:rsidRPr="002E53D8">
        <w:t>N</w:t>
      </w:r>
      <w:r>
        <w:t>.</w:t>
      </w:r>
      <w:r w:rsidRPr="002E53D8">
        <w:t>-O</w:t>
      </w:r>
      <w:r>
        <w:t>. 2023, c. 18</w:t>
      </w:r>
      <w:r w:rsidRPr="00C71875">
        <w:t xml:space="preserve">; </w:t>
      </w:r>
      <w:r w:rsidRPr="002E53D8">
        <w:rPr>
          <w:i/>
          <w:iCs/>
        </w:rPr>
        <w:t>Loi sur le recouvrement des dommages-intérêts et du coût des soins de santé liés aux opioïde</w:t>
      </w:r>
      <w:r>
        <w:rPr>
          <w:i/>
          <w:iCs/>
        </w:rPr>
        <w:t>s</w:t>
      </w:r>
      <w:r w:rsidRPr="002E53D8">
        <w:t xml:space="preserve">, </w:t>
      </w:r>
      <w:r>
        <w:t>L. Nun. 2023, c. </w:t>
      </w:r>
      <w:r w:rsidRPr="00C71875">
        <w:t xml:space="preserve">19; </w:t>
      </w:r>
      <w:r w:rsidRPr="00C71875">
        <w:rPr>
          <w:i/>
        </w:rPr>
        <w:t>Opioid Damages and Health Care Costs Recovery Act</w:t>
      </w:r>
      <w:r w:rsidRPr="00C71875">
        <w:t>, S.N.L. 2019, c. O-6.2 (</w:t>
      </w:r>
      <w:r>
        <w:t>pas encore en vigueur</w:t>
      </w:r>
      <w:r w:rsidRPr="00C7187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21571"/>
      <w:docPartObj>
        <w:docPartGallery w:val="Page Numbers (Top of Page)"/>
        <w:docPartUnique/>
      </w:docPartObj>
    </w:sdtPr>
    <w:sdtContent>
      <w:p w14:paraId="65AE1DBF" w14:textId="6AC8714E" w:rsidR="001518D0" w:rsidRDefault="001518D0">
        <w:pPr>
          <w:pStyle w:val="En-tte"/>
          <w:jc w:val="center"/>
        </w:pPr>
        <w:r>
          <w:fldChar w:fldCharType="begin"/>
        </w:r>
        <w:r>
          <w:instrText>PAGE   \* MERGEFORMAT</w:instrText>
        </w:r>
        <w:r>
          <w:fldChar w:fldCharType="separate"/>
        </w:r>
        <w:r>
          <w:rPr>
            <w:lang w:val="fr-CA"/>
          </w:rPr>
          <w:t>2</w:t>
        </w:r>
        <w:r>
          <w:fldChar w:fldCharType="end"/>
        </w:r>
      </w:p>
    </w:sdtContent>
  </w:sdt>
  <w:p w14:paraId="6A3AC45A" w14:textId="77777777" w:rsidR="00450352" w:rsidRPr="00D337D6" w:rsidRDefault="00450352" w:rsidP="00D337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A6B6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BA7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C4DB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A69C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2484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B033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2A59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667D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326A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42DA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57AFF"/>
    <w:multiLevelType w:val="hybridMultilevel"/>
    <w:tmpl w:val="ABF0B9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C0729DB"/>
    <w:multiLevelType w:val="hybridMultilevel"/>
    <w:tmpl w:val="64E644B0"/>
    <w:lvl w:ilvl="0" w:tplc="38AC6F40">
      <w:start w:val="1"/>
      <w:numFmt w:val="decimal"/>
      <w:lvlText w:val="(%1)"/>
      <w:lvlJc w:val="left"/>
      <w:pPr>
        <w:ind w:left="840" w:hanging="48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01506D"/>
    <w:multiLevelType w:val="hybridMultilevel"/>
    <w:tmpl w:val="C7E656E2"/>
    <w:lvl w:ilvl="0" w:tplc="51C8FF96">
      <w:start w:val="11"/>
      <w:numFmt w:val="decimal"/>
      <w:lvlText w:val="%1"/>
      <w:lvlJc w:val="left"/>
      <w:pPr>
        <w:ind w:left="1526" w:hanging="360"/>
      </w:pPr>
      <w:rPr>
        <w:rFonts w:hint="default"/>
        <w:b/>
      </w:rPr>
    </w:lvl>
    <w:lvl w:ilvl="1" w:tplc="0C0C0019" w:tentative="1">
      <w:start w:val="1"/>
      <w:numFmt w:val="lowerLetter"/>
      <w:lvlText w:val="%2."/>
      <w:lvlJc w:val="left"/>
      <w:pPr>
        <w:ind w:left="2246" w:hanging="360"/>
      </w:pPr>
    </w:lvl>
    <w:lvl w:ilvl="2" w:tplc="0C0C001B" w:tentative="1">
      <w:start w:val="1"/>
      <w:numFmt w:val="lowerRoman"/>
      <w:lvlText w:val="%3."/>
      <w:lvlJc w:val="right"/>
      <w:pPr>
        <w:ind w:left="2966" w:hanging="180"/>
      </w:pPr>
    </w:lvl>
    <w:lvl w:ilvl="3" w:tplc="0C0C000F" w:tentative="1">
      <w:start w:val="1"/>
      <w:numFmt w:val="decimal"/>
      <w:lvlText w:val="%4."/>
      <w:lvlJc w:val="left"/>
      <w:pPr>
        <w:ind w:left="3686" w:hanging="360"/>
      </w:pPr>
    </w:lvl>
    <w:lvl w:ilvl="4" w:tplc="0C0C0019" w:tentative="1">
      <w:start w:val="1"/>
      <w:numFmt w:val="lowerLetter"/>
      <w:lvlText w:val="%5."/>
      <w:lvlJc w:val="left"/>
      <w:pPr>
        <w:ind w:left="4406" w:hanging="360"/>
      </w:pPr>
    </w:lvl>
    <w:lvl w:ilvl="5" w:tplc="0C0C001B" w:tentative="1">
      <w:start w:val="1"/>
      <w:numFmt w:val="lowerRoman"/>
      <w:lvlText w:val="%6."/>
      <w:lvlJc w:val="right"/>
      <w:pPr>
        <w:ind w:left="5126" w:hanging="180"/>
      </w:pPr>
    </w:lvl>
    <w:lvl w:ilvl="6" w:tplc="0C0C000F" w:tentative="1">
      <w:start w:val="1"/>
      <w:numFmt w:val="decimal"/>
      <w:lvlText w:val="%7."/>
      <w:lvlJc w:val="left"/>
      <w:pPr>
        <w:ind w:left="5846" w:hanging="360"/>
      </w:pPr>
    </w:lvl>
    <w:lvl w:ilvl="7" w:tplc="0C0C0019" w:tentative="1">
      <w:start w:val="1"/>
      <w:numFmt w:val="lowerLetter"/>
      <w:lvlText w:val="%8."/>
      <w:lvlJc w:val="left"/>
      <w:pPr>
        <w:ind w:left="6566" w:hanging="360"/>
      </w:pPr>
    </w:lvl>
    <w:lvl w:ilvl="8" w:tplc="0C0C001B" w:tentative="1">
      <w:start w:val="1"/>
      <w:numFmt w:val="lowerRoman"/>
      <w:lvlText w:val="%9."/>
      <w:lvlJc w:val="right"/>
      <w:pPr>
        <w:ind w:left="7286" w:hanging="180"/>
      </w:pPr>
    </w:lvl>
  </w:abstractNum>
  <w:abstractNum w:abstractNumId="15" w15:restartNumberingAfterBreak="0">
    <w:nsid w:val="360F12DA"/>
    <w:multiLevelType w:val="hybridMultilevel"/>
    <w:tmpl w:val="C6567FF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C1002FE"/>
    <w:multiLevelType w:val="multilevel"/>
    <w:tmpl w:val="FA32E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36ADF"/>
    <w:multiLevelType w:val="hybridMultilevel"/>
    <w:tmpl w:val="82DCA4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ED77CC9"/>
    <w:multiLevelType w:val="hybridMultilevel"/>
    <w:tmpl w:val="8EFE53C8"/>
    <w:lvl w:ilvl="0" w:tplc="5E1CAF1E">
      <w:start w:val="2"/>
      <w:numFmt w:val="decimal"/>
      <w:lvlText w:val="(%1)"/>
      <w:lvlJc w:val="left"/>
      <w:pPr>
        <w:ind w:left="1886" w:hanging="360"/>
      </w:pPr>
      <w:rPr>
        <w:rFonts w:hint="default"/>
      </w:rPr>
    </w:lvl>
    <w:lvl w:ilvl="1" w:tplc="0C0C0019" w:tentative="1">
      <w:start w:val="1"/>
      <w:numFmt w:val="lowerLetter"/>
      <w:lvlText w:val="%2."/>
      <w:lvlJc w:val="left"/>
      <w:pPr>
        <w:ind w:left="2606" w:hanging="360"/>
      </w:pPr>
    </w:lvl>
    <w:lvl w:ilvl="2" w:tplc="0C0C001B" w:tentative="1">
      <w:start w:val="1"/>
      <w:numFmt w:val="lowerRoman"/>
      <w:lvlText w:val="%3."/>
      <w:lvlJc w:val="right"/>
      <w:pPr>
        <w:ind w:left="3326" w:hanging="180"/>
      </w:pPr>
    </w:lvl>
    <w:lvl w:ilvl="3" w:tplc="0C0C000F" w:tentative="1">
      <w:start w:val="1"/>
      <w:numFmt w:val="decimal"/>
      <w:lvlText w:val="%4."/>
      <w:lvlJc w:val="left"/>
      <w:pPr>
        <w:ind w:left="4046" w:hanging="360"/>
      </w:pPr>
    </w:lvl>
    <w:lvl w:ilvl="4" w:tplc="0C0C0019" w:tentative="1">
      <w:start w:val="1"/>
      <w:numFmt w:val="lowerLetter"/>
      <w:lvlText w:val="%5."/>
      <w:lvlJc w:val="left"/>
      <w:pPr>
        <w:ind w:left="4766" w:hanging="360"/>
      </w:pPr>
    </w:lvl>
    <w:lvl w:ilvl="5" w:tplc="0C0C001B" w:tentative="1">
      <w:start w:val="1"/>
      <w:numFmt w:val="lowerRoman"/>
      <w:lvlText w:val="%6."/>
      <w:lvlJc w:val="right"/>
      <w:pPr>
        <w:ind w:left="5486" w:hanging="180"/>
      </w:pPr>
    </w:lvl>
    <w:lvl w:ilvl="6" w:tplc="0C0C000F" w:tentative="1">
      <w:start w:val="1"/>
      <w:numFmt w:val="decimal"/>
      <w:lvlText w:val="%7."/>
      <w:lvlJc w:val="left"/>
      <w:pPr>
        <w:ind w:left="6206" w:hanging="360"/>
      </w:pPr>
    </w:lvl>
    <w:lvl w:ilvl="7" w:tplc="0C0C0019" w:tentative="1">
      <w:start w:val="1"/>
      <w:numFmt w:val="lowerLetter"/>
      <w:lvlText w:val="%8."/>
      <w:lvlJc w:val="left"/>
      <w:pPr>
        <w:ind w:left="6926" w:hanging="360"/>
      </w:pPr>
    </w:lvl>
    <w:lvl w:ilvl="8" w:tplc="0C0C001B" w:tentative="1">
      <w:start w:val="1"/>
      <w:numFmt w:val="lowerRoman"/>
      <w:lvlText w:val="%9."/>
      <w:lvlJc w:val="right"/>
      <w:pPr>
        <w:ind w:left="7646" w:hanging="180"/>
      </w:pPr>
    </w:lvl>
  </w:abstractNum>
  <w:abstractNum w:abstractNumId="19" w15:restartNumberingAfterBreak="0">
    <w:nsid w:val="43A269BE"/>
    <w:multiLevelType w:val="hybridMultilevel"/>
    <w:tmpl w:val="424E113C"/>
    <w:lvl w:ilvl="0" w:tplc="846E002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3E50CB"/>
    <w:multiLevelType w:val="hybridMultilevel"/>
    <w:tmpl w:val="DD7A21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603130A"/>
    <w:multiLevelType w:val="multilevel"/>
    <w:tmpl w:val="E0E4408C"/>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22" w15:restartNumberingAfterBreak="0">
    <w:nsid w:val="4AC64FE2"/>
    <w:multiLevelType w:val="hybridMultilevel"/>
    <w:tmpl w:val="0B76EEBC"/>
    <w:lvl w:ilvl="0" w:tplc="434646E8">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24"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4283EE8"/>
    <w:multiLevelType w:val="multilevel"/>
    <w:tmpl w:val="3484237C"/>
    <w:lvl w:ilvl="0">
      <w:start w:val="1"/>
      <w:numFmt w:val="decimal"/>
      <w:pStyle w:val="ParaNoNdepar-AltN"/>
      <w:lvlText w:val="[%1]"/>
      <w:lvlJc w:val="left"/>
      <w:pPr>
        <w:tabs>
          <w:tab w:val="num" w:pos="1152"/>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890202"/>
    <w:multiLevelType w:val="hybridMultilevel"/>
    <w:tmpl w:val="45ECC79C"/>
    <w:lvl w:ilvl="0" w:tplc="1946D698">
      <w:start w:val="1"/>
      <w:numFmt w:val="decimal"/>
      <w:lvlText w:val="(%1)"/>
      <w:lvlJc w:val="left"/>
      <w:pPr>
        <w:ind w:left="1104" w:hanging="624"/>
      </w:pPr>
      <w:rPr>
        <w:rFonts w:hint="default"/>
      </w:rPr>
    </w:lvl>
    <w:lvl w:ilvl="1" w:tplc="0C0C0019" w:tentative="1">
      <w:start w:val="1"/>
      <w:numFmt w:val="lowerLetter"/>
      <w:lvlText w:val="%2."/>
      <w:lvlJc w:val="left"/>
      <w:pPr>
        <w:ind w:left="1560" w:hanging="360"/>
      </w:pPr>
    </w:lvl>
    <w:lvl w:ilvl="2" w:tplc="0C0C001B" w:tentative="1">
      <w:start w:val="1"/>
      <w:numFmt w:val="lowerRoman"/>
      <w:lvlText w:val="%3."/>
      <w:lvlJc w:val="right"/>
      <w:pPr>
        <w:ind w:left="2280" w:hanging="180"/>
      </w:pPr>
    </w:lvl>
    <w:lvl w:ilvl="3" w:tplc="0C0C000F" w:tentative="1">
      <w:start w:val="1"/>
      <w:numFmt w:val="decimal"/>
      <w:lvlText w:val="%4."/>
      <w:lvlJc w:val="left"/>
      <w:pPr>
        <w:ind w:left="3000" w:hanging="360"/>
      </w:pPr>
    </w:lvl>
    <w:lvl w:ilvl="4" w:tplc="0C0C0019" w:tentative="1">
      <w:start w:val="1"/>
      <w:numFmt w:val="lowerLetter"/>
      <w:lvlText w:val="%5."/>
      <w:lvlJc w:val="left"/>
      <w:pPr>
        <w:ind w:left="3720" w:hanging="360"/>
      </w:pPr>
    </w:lvl>
    <w:lvl w:ilvl="5" w:tplc="0C0C001B" w:tentative="1">
      <w:start w:val="1"/>
      <w:numFmt w:val="lowerRoman"/>
      <w:lvlText w:val="%6."/>
      <w:lvlJc w:val="right"/>
      <w:pPr>
        <w:ind w:left="4440" w:hanging="180"/>
      </w:pPr>
    </w:lvl>
    <w:lvl w:ilvl="6" w:tplc="0C0C000F" w:tentative="1">
      <w:start w:val="1"/>
      <w:numFmt w:val="decimal"/>
      <w:lvlText w:val="%7."/>
      <w:lvlJc w:val="left"/>
      <w:pPr>
        <w:ind w:left="5160" w:hanging="360"/>
      </w:pPr>
    </w:lvl>
    <w:lvl w:ilvl="7" w:tplc="0C0C0019" w:tentative="1">
      <w:start w:val="1"/>
      <w:numFmt w:val="lowerLetter"/>
      <w:lvlText w:val="%8."/>
      <w:lvlJc w:val="left"/>
      <w:pPr>
        <w:ind w:left="5880" w:hanging="360"/>
      </w:pPr>
    </w:lvl>
    <w:lvl w:ilvl="8" w:tplc="0C0C001B" w:tentative="1">
      <w:start w:val="1"/>
      <w:numFmt w:val="lowerRoman"/>
      <w:lvlText w:val="%9."/>
      <w:lvlJc w:val="right"/>
      <w:pPr>
        <w:ind w:left="6600" w:hanging="180"/>
      </w:pPr>
    </w:lvl>
  </w:abstractNum>
  <w:num w:numId="1" w16cid:durableId="690298493">
    <w:abstractNumId w:val="25"/>
  </w:num>
  <w:num w:numId="2" w16cid:durableId="806167907">
    <w:abstractNumId w:val="26"/>
  </w:num>
  <w:num w:numId="3" w16cid:durableId="959801434">
    <w:abstractNumId w:val="13"/>
  </w:num>
  <w:num w:numId="4" w16cid:durableId="1353072410">
    <w:abstractNumId w:val="12"/>
  </w:num>
  <w:num w:numId="5" w16cid:durableId="2143888147">
    <w:abstractNumId w:val="23"/>
  </w:num>
  <w:num w:numId="6" w16cid:durableId="1159544157">
    <w:abstractNumId w:val="24"/>
  </w:num>
  <w:num w:numId="7" w16cid:durableId="324474196">
    <w:abstractNumId w:val="21"/>
  </w:num>
  <w:num w:numId="8" w16cid:durableId="1224364711">
    <w:abstractNumId w:val="21"/>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16cid:durableId="1970891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1258247">
    <w:abstractNumId w:val="21"/>
    <w:lvlOverride w:ilvl="0">
      <w:startOverride w:val="1"/>
      <w:lvl w:ilvl="0">
        <w:start w:val="1"/>
        <w:numFmt w:val="upperRoman"/>
        <w:pStyle w:val="Title1LevelTitre1Niveau-AltL"/>
        <w:lvlText w:val="%1."/>
        <w:lvlJc w:val="left"/>
        <w:pPr>
          <w:tabs>
            <w:tab w:val="num" w:pos="576"/>
          </w:tabs>
          <w:ind w:left="576" w:hanging="576"/>
        </w:pPr>
        <w:rPr>
          <w:rFonts w:hint="default"/>
          <w:sz w:val="24"/>
        </w:rPr>
      </w:lvl>
    </w:lvlOverride>
    <w:lvlOverride w:ilvl="1">
      <w:startOverride w:va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startOverride w:val="1"/>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startOverride w:val="1"/>
      <w:lvl w:ilvl="3">
        <w:start w:val="1"/>
        <w:numFmt w:val="lowerLetter"/>
        <w:pStyle w:val="Title4LevelTitre4Niveau"/>
        <w:lvlText w:val="(%4)"/>
        <w:lvlJc w:val="left"/>
        <w:pPr>
          <w:tabs>
            <w:tab w:val="num" w:pos="1152"/>
          </w:tabs>
          <w:ind w:left="1152" w:hanging="576"/>
        </w:pPr>
        <w:rPr>
          <w:rFonts w:hint="default"/>
          <w:b w:val="0"/>
          <w:i w:val="0"/>
        </w:rPr>
      </w:lvl>
    </w:lvlOverride>
    <w:lvlOverride w:ilvl="4">
      <w:startOverride w:val="1"/>
      <w:lvl w:ilvl="4">
        <w:start w:val="1"/>
        <w:numFmt w:val="lowerRoman"/>
        <w:pStyle w:val="Title5LevelTitre5Niveau"/>
        <w:lvlText w:val="(%5)"/>
        <w:lvlJc w:val="left"/>
        <w:pPr>
          <w:tabs>
            <w:tab w:val="num" w:pos="1728"/>
          </w:tabs>
          <w:ind w:left="1728" w:hanging="576"/>
        </w:pPr>
        <w:rPr>
          <w:rFonts w:hint="default"/>
        </w:rPr>
      </w:lvl>
    </w:lvlOverride>
    <w:lvlOverride w:ilvl="5">
      <w:startOverride w:val="1"/>
      <w:lvl w:ilvl="5">
        <w:start w:val="1"/>
        <w:numFmt w:val="decimal"/>
        <w:pStyle w:val="Title6LevelTitre6Niveau"/>
        <w:lvlText w:val="%6."/>
        <w:lvlJc w:val="left"/>
        <w:pPr>
          <w:tabs>
            <w:tab w:val="num" w:pos="1728"/>
          </w:tabs>
          <w:ind w:left="1728" w:hanging="576"/>
        </w:pPr>
        <w:rPr>
          <w:rFonts w:hint="default"/>
          <w:b w:val="0"/>
          <w:i w:val="0"/>
        </w:rPr>
      </w:lvl>
    </w:lvlOverride>
    <w:lvlOverride w:ilvl="6">
      <w:startOverride w:val="1"/>
      <w:lvl w:ilvl="6">
        <w:start w:val="1"/>
        <w:numFmt w:val="decimal"/>
        <w:lvlText w:val="%7."/>
        <w:lvlJc w:val="left"/>
        <w:pPr>
          <w:ind w:left="8208" w:hanging="432"/>
        </w:pPr>
        <w:rPr>
          <w:rFonts w:hint="default"/>
        </w:rPr>
      </w:lvl>
    </w:lvlOverride>
    <w:lvlOverride w:ilvl="7">
      <w:startOverride w:val="1"/>
      <w:lvl w:ilvl="7">
        <w:start w:val="1"/>
        <w:numFmt w:val="lowerLetter"/>
        <w:lvlText w:val="%8."/>
        <w:lvlJc w:val="left"/>
        <w:pPr>
          <w:ind w:left="8640" w:hanging="432"/>
        </w:pPr>
        <w:rPr>
          <w:rFonts w:hint="default"/>
        </w:rPr>
      </w:lvl>
    </w:lvlOverride>
    <w:lvlOverride w:ilvl="8">
      <w:startOverride w:val="1"/>
      <w:lvl w:ilvl="8">
        <w:start w:val="1"/>
        <w:numFmt w:val="lowerRoman"/>
        <w:lvlText w:val="%9."/>
        <w:lvlJc w:val="left"/>
        <w:pPr>
          <w:ind w:left="9072" w:hanging="432"/>
        </w:pPr>
        <w:rPr>
          <w:rFonts w:hint="default"/>
        </w:rPr>
      </w:lvl>
    </w:lvlOverride>
  </w:num>
  <w:num w:numId="11" w16cid:durableId="387000921">
    <w:abstractNumId w:val="20"/>
  </w:num>
  <w:num w:numId="12" w16cid:durableId="767501171">
    <w:abstractNumId w:val="10"/>
  </w:num>
  <w:num w:numId="13" w16cid:durableId="570851011">
    <w:abstractNumId w:val="17"/>
  </w:num>
  <w:num w:numId="14" w16cid:durableId="2025788821">
    <w:abstractNumId w:val="15"/>
  </w:num>
  <w:num w:numId="15" w16cid:durableId="657730948">
    <w:abstractNumId w:val="14"/>
  </w:num>
  <w:num w:numId="16" w16cid:durableId="1109162644">
    <w:abstractNumId w:val="18"/>
  </w:num>
  <w:num w:numId="17" w16cid:durableId="1459568742">
    <w:abstractNumId w:val="25"/>
    <w:lvlOverride w:ilvl="0">
      <w:startOverride w:val="1"/>
    </w:lvlOverride>
    <w:lvlOverride w:ilvl="1">
      <w:startOverride w:val="1"/>
    </w:lvlOverride>
    <w:lvlOverride w:ilvl="2">
      <w:startOverride w:val="1"/>
    </w:lvlOverride>
    <w:lvlOverride w:ilvl="3">
      <w:startOverride w:val="2"/>
    </w:lvlOverride>
  </w:num>
  <w:num w:numId="18" w16cid:durableId="1236475408">
    <w:abstractNumId w:val="21"/>
    <w:lvlOverride w:ilvl="0">
      <w:startOverride w:val="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7359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9532739">
    <w:abstractNumId w:val="22"/>
  </w:num>
  <w:num w:numId="21" w16cid:durableId="1322587410">
    <w:abstractNumId w:val="9"/>
  </w:num>
  <w:num w:numId="22" w16cid:durableId="1649749715">
    <w:abstractNumId w:val="7"/>
  </w:num>
  <w:num w:numId="23" w16cid:durableId="1607541858">
    <w:abstractNumId w:val="6"/>
  </w:num>
  <w:num w:numId="24" w16cid:durableId="2034335401">
    <w:abstractNumId w:val="5"/>
  </w:num>
  <w:num w:numId="25" w16cid:durableId="1774088679">
    <w:abstractNumId w:val="4"/>
  </w:num>
  <w:num w:numId="26" w16cid:durableId="2080441019">
    <w:abstractNumId w:val="8"/>
  </w:num>
  <w:num w:numId="27" w16cid:durableId="283585266">
    <w:abstractNumId w:val="3"/>
  </w:num>
  <w:num w:numId="28" w16cid:durableId="2077585191">
    <w:abstractNumId w:val="2"/>
  </w:num>
  <w:num w:numId="29" w16cid:durableId="660082687">
    <w:abstractNumId w:val="1"/>
  </w:num>
  <w:num w:numId="30" w16cid:durableId="49498253">
    <w:abstractNumId w:val="0"/>
  </w:num>
  <w:num w:numId="31" w16cid:durableId="1649477320">
    <w:abstractNumId w:val="19"/>
  </w:num>
  <w:num w:numId="32" w16cid:durableId="1818955047">
    <w:abstractNumId w:val="27"/>
  </w:num>
  <w:num w:numId="33" w16cid:durableId="933979097">
    <w:abstractNumId w:val="16"/>
  </w:num>
  <w:num w:numId="34" w16cid:durableId="509949180">
    <w:abstractNumId w:val="11"/>
  </w:num>
  <w:num w:numId="35" w16cid:durableId="2032299080">
    <w:abstractNumId w:val="21"/>
    <w:lvlOverride w:ilvl="0">
      <w:startOverride w:val="1"/>
      <w:lvl w:ilvl="0">
        <w:start w:val="1"/>
        <w:numFmt w:val="upperRoman"/>
        <w:pStyle w:val="Title1LevelTitre1Niveau-AltL"/>
        <w:lvlText w:val="%1."/>
        <w:lvlJc w:val="left"/>
        <w:pPr>
          <w:tabs>
            <w:tab w:val="num" w:pos="576"/>
          </w:tabs>
          <w:ind w:left="576" w:hanging="576"/>
        </w:pPr>
        <w:rPr>
          <w:rFonts w:hint="default"/>
          <w:sz w:val="24"/>
        </w:rPr>
      </w:lvl>
    </w:lvlOverride>
    <w:lvlOverride w:ilvl="1">
      <w:startOverride w:va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startOverride w:val="1"/>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startOverride w:val="1"/>
      <w:lvl w:ilvl="3">
        <w:start w:val="1"/>
        <w:numFmt w:val="lowerLetter"/>
        <w:pStyle w:val="Title4LevelTitre4Niveau"/>
        <w:lvlText w:val="(%4)"/>
        <w:lvlJc w:val="left"/>
        <w:pPr>
          <w:tabs>
            <w:tab w:val="num" w:pos="1152"/>
          </w:tabs>
          <w:ind w:left="1152" w:hanging="576"/>
        </w:pPr>
        <w:rPr>
          <w:rFonts w:hint="default"/>
          <w:b w:val="0"/>
          <w:i w:val="0"/>
        </w:rPr>
      </w:lvl>
    </w:lvlOverride>
    <w:lvlOverride w:ilvl="4">
      <w:startOverride w:val="1"/>
      <w:lvl w:ilvl="4">
        <w:start w:val="1"/>
        <w:numFmt w:val="lowerRoman"/>
        <w:pStyle w:val="Title5LevelTitre5Niveau"/>
        <w:lvlText w:val="(%5)"/>
        <w:lvlJc w:val="left"/>
        <w:pPr>
          <w:tabs>
            <w:tab w:val="num" w:pos="1728"/>
          </w:tabs>
          <w:ind w:left="1728" w:hanging="576"/>
        </w:pPr>
        <w:rPr>
          <w:rFonts w:hint="default"/>
        </w:rPr>
      </w:lvl>
    </w:lvlOverride>
    <w:lvlOverride w:ilvl="5">
      <w:startOverride w:val="1"/>
      <w:lvl w:ilvl="5">
        <w:start w:val="1"/>
        <w:numFmt w:val="decimal"/>
        <w:pStyle w:val="Title6LevelTitre6Niveau"/>
        <w:lvlText w:val="%6."/>
        <w:lvlJc w:val="left"/>
        <w:pPr>
          <w:tabs>
            <w:tab w:val="num" w:pos="1728"/>
          </w:tabs>
          <w:ind w:left="1728" w:hanging="576"/>
        </w:pPr>
        <w:rPr>
          <w:rFonts w:hint="default"/>
          <w:b w:val="0"/>
          <w:i w:val="0"/>
        </w:rPr>
      </w:lvl>
    </w:lvlOverride>
    <w:lvlOverride w:ilvl="6">
      <w:startOverride w:val="1"/>
      <w:lvl w:ilvl="6">
        <w:start w:val="1"/>
        <w:numFmt w:val="decimal"/>
        <w:lvlText w:val="%7."/>
        <w:lvlJc w:val="left"/>
        <w:pPr>
          <w:ind w:left="8208" w:hanging="432"/>
        </w:pPr>
        <w:rPr>
          <w:rFonts w:hint="default"/>
        </w:rPr>
      </w:lvl>
    </w:lvlOverride>
    <w:lvlOverride w:ilvl="7">
      <w:startOverride w:val="1"/>
      <w:lvl w:ilvl="7">
        <w:start w:val="1"/>
        <w:numFmt w:val="lowerLetter"/>
        <w:lvlText w:val="%8."/>
        <w:lvlJc w:val="left"/>
        <w:pPr>
          <w:ind w:left="8640" w:hanging="432"/>
        </w:pPr>
        <w:rPr>
          <w:rFonts w:hint="default"/>
        </w:rPr>
      </w:lvl>
    </w:lvlOverride>
    <w:lvlOverride w:ilvl="8">
      <w:startOverride w:val="1"/>
      <w:lvl w:ilvl="8">
        <w:start w:val="1"/>
        <w:numFmt w:val="lowerRoman"/>
        <w:lvlText w:val="%9."/>
        <w:lvlJc w:val="left"/>
        <w:pPr>
          <w:ind w:left="9072"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14C"/>
    <w:rsid w:val="00000ED4"/>
    <w:rsid w:val="00000F28"/>
    <w:rsid w:val="00017CB5"/>
    <w:rsid w:val="0002360B"/>
    <w:rsid w:val="00023EDE"/>
    <w:rsid w:val="00023FC7"/>
    <w:rsid w:val="00025198"/>
    <w:rsid w:val="00025353"/>
    <w:rsid w:val="0003291B"/>
    <w:rsid w:val="00037E01"/>
    <w:rsid w:val="00047C77"/>
    <w:rsid w:val="000578A3"/>
    <w:rsid w:val="000648CC"/>
    <w:rsid w:val="00065962"/>
    <w:rsid w:val="00066404"/>
    <w:rsid w:val="00084D0C"/>
    <w:rsid w:val="000968E8"/>
    <w:rsid w:val="000A18A9"/>
    <w:rsid w:val="000B7E8A"/>
    <w:rsid w:val="000C2518"/>
    <w:rsid w:val="000C5975"/>
    <w:rsid w:val="000C59B8"/>
    <w:rsid w:val="000C6AF0"/>
    <w:rsid w:val="000D0A77"/>
    <w:rsid w:val="000D4806"/>
    <w:rsid w:val="000D6A63"/>
    <w:rsid w:val="000D7A7B"/>
    <w:rsid w:val="000E4B86"/>
    <w:rsid w:val="000E60C3"/>
    <w:rsid w:val="000F01A7"/>
    <w:rsid w:val="000F18F1"/>
    <w:rsid w:val="000F2A26"/>
    <w:rsid w:val="000F7993"/>
    <w:rsid w:val="000F7C6E"/>
    <w:rsid w:val="000F7C9C"/>
    <w:rsid w:val="00101233"/>
    <w:rsid w:val="00103250"/>
    <w:rsid w:val="00104F33"/>
    <w:rsid w:val="001063FB"/>
    <w:rsid w:val="00107C1A"/>
    <w:rsid w:val="00107DE8"/>
    <w:rsid w:val="00111185"/>
    <w:rsid w:val="00111DE2"/>
    <w:rsid w:val="00114EBA"/>
    <w:rsid w:val="00116B38"/>
    <w:rsid w:val="00122DD8"/>
    <w:rsid w:val="00122F15"/>
    <w:rsid w:val="0013533F"/>
    <w:rsid w:val="00135406"/>
    <w:rsid w:val="00135972"/>
    <w:rsid w:val="0014030C"/>
    <w:rsid w:val="001414A9"/>
    <w:rsid w:val="001426A9"/>
    <w:rsid w:val="00142962"/>
    <w:rsid w:val="00143FBF"/>
    <w:rsid w:val="001518D0"/>
    <w:rsid w:val="00154D7C"/>
    <w:rsid w:val="001570B0"/>
    <w:rsid w:val="0015752C"/>
    <w:rsid w:val="00157737"/>
    <w:rsid w:val="00157B64"/>
    <w:rsid w:val="00160263"/>
    <w:rsid w:val="00165231"/>
    <w:rsid w:val="00165277"/>
    <w:rsid w:val="00165513"/>
    <w:rsid w:val="00170592"/>
    <w:rsid w:val="001720F7"/>
    <w:rsid w:val="00176553"/>
    <w:rsid w:val="00181F3C"/>
    <w:rsid w:val="00195D83"/>
    <w:rsid w:val="001A00C1"/>
    <w:rsid w:val="001B33E0"/>
    <w:rsid w:val="001B4573"/>
    <w:rsid w:val="001B6AE7"/>
    <w:rsid w:val="001B6E82"/>
    <w:rsid w:val="001C779F"/>
    <w:rsid w:val="001D2AC1"/>
    <w:rsid w:val="001D4E88"/>
    <w:rsid w:val="001D566C"/>
    <w:rsid w:val="001E0A1E"/>
    <w:rsid w:val="001F0B75"/>
    <w:rsid w:val="002012D7"/>
    <w:rsid w:val="002027E8"/>
    <w:rsid w:val="00202802"/>
    <w:rsid w:val="002118B5"/>
    <w:rsid w:val="00214D0B"/>
    <w:rsid w:val="00217F86"/>
    <w:rsid w:val="00220FC2"/>
    <w:rsid w:val="00221015"/>
    <w:rsid w:val="002222F4"/>
    <w:rsid w:val="00224FC0"/>
    <w:rsid w:val="00225EA4"/>
    <w:rsid w:val="00226EAF"/>
    <w:rsid w:val="00231F3A"/>
    <w:rsid w:val="002406EE"/>
    <w:rsid w:val="00240A69"/>
    <w:rsid w:val="00243EC8"/>
    <w:rsid w:val="00254926"/>
    <w:rsid w:val="00254B4A"/>
    <w:rsid w:val="0026273B"/>
    <w:rsid w:val="00270D93"/>
    <w:rsid w:val="002745CC"/>
    <w:rsid w:val="002769E7"/>
    <w:rsid w:val="00276D82"/>
    <w:rsid w:val="002A036C"/>
    <w:rsid w:val="002A478A"/>
    <w:rsid w:val="002A779B"/>
    <w:rsid w:val="002B65A2"/>
    <w:rsid w:val="002B6FBE"/>
    <w:rsid w:val="002B7924"/>
    <w:rsid w:val="002C10A6"/>
    <w:rsid w:val="002C5F85"/>
    <w:rsid w:val="002D28C3"/>
    <w:rsid w:val="002D39A4"/>
    <w:rsid w:val="002D7EA1"/>
    <w:rsid w:val="002E3A08"/>
    <w:rsid w:val="002E5884"/>
    <w:rsid w:val="002E6705"/>
    <w:rsid w:val="002F7435"/>
    <w:rsid w:val="00302F64"/>
    <w:rsid w:val="0030329A"/>
    <w:rsid w:val="00304BF4"/>
    <w:rsid w:val="0031086F"/>
    <w:rsid w:val="00311CBD"/>
    <w:rsid w:val="0031414C"/>
    <w:rsid w:val="00314E01"/>
    <w:rsid w:val="003200C5"/>
    <w:rsid w:val="0032089D"/>
    <w:rsid w:val="0032726D"/>
    <w:rsid w:val="003310DE"/>
    <w:rsid w:val="003323B0"/>
    <w:rsid w:val="00340A49"/>
    <w:rsid w:val="0035169A"/>
    <w:rsid w:val="0035259D"/>
    <w:rsid w:val="00354223"/>
    <w:rsid w:val="00364B18"/>
    <w:rsid w:val="00373EFC"/>
    <w:rsid w:val="0039350F"/>
    <w:rsid w:val="003A125D"/>
    <w:rsid w:val="003A28C9"/>
    <w:rsid w:val="003A4C70"/>
    <w:rsid w:val="003A50A2"/>
    <w:rsid w:val="003A52D0"/>
    <w:rsid w:val="003A6BF9"/>
    <w:rsid w:val="003B215F"/>
    <w:rsid w:val="003B58B7"/>
    <w:rsid w:val="003B7B4E"/>
    <w:rsid w:val="003C799C"/>
    <w:rsid w:val="003D0399"/>
    <w:rsid w:val="003D4F99"/>
    <w:rsid w:val="003E1C71"/>
    <w:rsid w:val="003F327B"/>
    <w:rsid w:val="00404D3B"/>
    <w:rsid w:val="00406166"/>
    <w:rsid w:val="0040704B"/>
    <w:rsid w:val="004071F2"/>
    <w:rsid w:val="00410144"/>
    <w:rsid w:val="004104C1"/>
    <w:rsid w:val="00410A55"/>
    <w:rsid w:val="00411300"/>
    <w:rsid w:val="00413F17"/>
    <w:rsid w:val="00415417"/>
    <w:rsid w:val="00423F5D"/>
    <w:rsid w:val="00426659"/>
    <w:rsid w:val="00427773"/>
    <w:rsid w:val="004278C4"/>
    <w:rsid w:val="00427ADB"/>
    <w:rsid w:val="0043344F"/>
    <w:rsid w:val="0043413D"/>
    <w:rsid w:val="00450352"/>
    <w:rsid w:val="00454BDB"/>
    <w:rsid w:val="00463D7C"/>
    <w:rsid w:val="004642F2"/>
    <w:rsid w:val="00465132"/>
    <w:rsid w:val="0047390C"/>
    <w:rsid w:val="00480258"/>
    <w:rsid w:val="00480C90"/>
    <w:rsid w:val="004815F9"/>
    <w:rsid w:val="0048396F"/>
    <w:rsid w:val="004911AF"/>
    <w:rsid w:val="004921C5"/>
    <w:rsid w:val="00493C18"/>
    <w:rsid w:val="004958BE"/>
    <w:rsid w:val="004A44A0"/>
    <w:rsid w:val="004A600C"/>
    <w:rsid w:val="004A6118"/>
    <w:rsid w:val="004C478D"/>
    <w:rsid w:val="004C7D38"/>
    <w:rsid w:val="004D6CE4"/>
    <w:rsid w:val="004D7D95"/>
    <w:rsid w:val="004E2C26"/>
    <w:rsid w:val="004E6640"/>
    <w:rsid w:val="004E6EDE"/>
    <w:rsid w:val="005125A8"/>
    <w:rsid w:val="00513C15"/>
    <w:rsid w:val="00515528"/>
    <w:rsid w:val="00517549"/>
    <w:rsid w:val="00520ABC"/>
    <w:rsid w:val="00521649"/>
    <w:rsid w:val="00521AE8"/>
    <w:rsid w:val="00526760"/>
    <w:rsid w:val="00527180"/>
    <w:rsid w:val="00531716"/>
    <w:rsid w:val="005432D1"/>
    <w:rsid w:val="00543F08"/>
    <w:rsid w:val="00552CD6"/>
    <w:rsid w:val="005544F5"/>
    <w:rsid w:val="00555291"/>
    <w:rsid w:val="005559A7"/>
    <w:rsid w:val="0056396B"/>
    <w:rsid w:val="00566AD1"/>
    <w:rsid w:val="005700A5"/>
    <w:rsid w:val="0057153E"/>
    <w:rsid w:val="00576ECC"/>
    <w:rsid w:val="00583EDE"/>
    <w:rsid w:val="00586AA3"/>
    <w:rsid w:val="005A0F6C"/>
    <w:rsid w:val="005A6079"/>
    <w:rsid w:val="005C5E15"/>
    <w:rsid w:val="005C72FE"/>
    <w:rsid w:val="005E4698"/>
    <w:rsid w:val="00601419"/>
    <w:rsid w:val="00603924"/>
    <w:rsid w:val="00603CF3"/>
    <w:rsid w:val="00610539"/>
    <w:rsid w:val="00613969"/>
    <w:rsid w:val="00617355"/>
    <w:rsid w:val="00625C35"/>
    <w:rsid w:val="00634C98"/>
    <w:rsid w:val="0063658E"/>
    <w:rsid w:val="00636AFD"/>
    <w:rsid w:val="00642A01"/>
    <w:rsid w:val="00646FE1"/>
    <w:rsid w:val="00647E49"/>
    <w:rsid w:val="00656313"/>
    <w:rsid w:val="006565F4"/>
    <w:rsid w:val="00670394"/>
    <w:rsid w:val="00670D69"/>
    <w:rsid w:val="00675E65"/>
    <w:rsid w:val="00684EEA"/>
    <w:rsid w:val="00691E79"/>
    <w:rsid w:val="0069689B"/>
    <w:rsid w:val="006A0FC6"/>
    <w:rsid w:val="006A29A7"/>
    <w:rsid w:val="006A3F30"/>
    <w:rsid w:val="006B0CBC"/>
    <w:rsid w:val="006B5FF5"/>
    <w:rsid w:val="006B6BE2"/>
    <w:rsid w:val="006B7857"/>
    <w:rsid w:val="006C4CCC"/>
    <w:rsid w:val="006D0853"/>
    <w:rsid w:val="006D085B"/>
    <w:rsid w:val="006D4149"/>
    <w:rsid w:val="006D4D46"/>
    <w:rsid w:val="006D56FE"/>
    <w:rsid w:val="006F30AF"/>
    <w:rsid w:val="00701759"/>
    <w:rsid w:val="00705C15"/>
    <w:rsid w:val="007110F6"/>
    <w:rsid w:val="00715DC3"/>
    <w:rsid w:val="0071726B"/>
    <w:rsid w:val="0071731B"/>
    <w:rsid w:val="007179F0"/>
    <w:rsid w:val="007208D1"/>
    <w:rsid w:val="00737ED9"/>
    <w:rsid w:val="00743ADD"/>
    <w:rsid w:val="00744518"/>
    <w:rsid w:val="00745514"/>
    <w:rsid w:val="00747288"/>
    <w:rsid w:val="00747DD3"/>
    <w:rsid w:val="00750439"/>
    <w:rsid w:val="007510A6"/>
    <w:rsid w:val="0075300C"/>
    <w:rsid w:val="00753232"/>
    <w:rsid w:val="007549C8"/>
    <w:rsid w:val="0076072A"/>
    <w:rsid w:val="00766D14"/>
    <w:rsid w:val="00767A0F"/>
    <w:rsid w:val="00770417"/>
    <w:rsid w:val="007849FD"/>
    <w:rsid w:val="00787778"/>
    <w:rsid w:val="00790A43"/>
    <w:rsid w:val="00791272"/>
    <w:rsid w:val="007A05F6"/>
    <w:rsid w:val="007A7DEE"/>
    <w:rsid w:val="007B6F4A"/>
    <w:rsid w:val="007D35B4"/>
    <w:rsid w:val="007D4F3D"/>
    <w:rsid w:val="007D60B7"/>
    <w:rsid w:val="007E1C47"/>
    <w:rsid w:val="007E337A"/>
    <w:rsid w:val="007E5C70"/>
    <w:rsid w:val="007E603A"/>
    <w:rsid w:val="007F2FF5"/>
    <w:rsid w:val="007F3F08"/>
    <w:rsid w:val="0080309C"/>
    <w:rsid w:val="00804CC6"/>
    <w:rsid w:val="0081073D"/>
    <w:rsid w:val="00812143"/>
    <w:rsid w:val="00814BA2"/>
    <w:rsid w:val="00814BDB"/>
    <w:rsid w:val="00814CB1"/>
    <w:rsid w:val="00816879"/>
    <w:rsid w:val="00817190"/>
    <w:rsid w:val="00817282"/>
    <w:rsid w:val="00824A77"/>
    <w:rsid w:val="008260E2"/>
    <w:rsid w:val="008322BD"/>
    <w:rsid w:val="00833EC2"/>
    <w:rsid w:val="00834F73"/>
    <w:rsid w:val="00842311"/>
    <w:rsid w:val="00864C8A"/>
    <w:rsid w:val="00864CD9"/>
    <w:rsid w:val="00864CF8"/>
    <w:rsid w:val="00866D68"/>
    <w:rsid w:val="00874506"/>
    <w:rsid w:val="0087456A"/>
    <w:rsid w:val="00874914"/>
    <w:rsid w:val="008779CD"/>
    <w:rsid w:val="00882D8E"/>
    <w:rsid w:val="00885183"/>
    <w:rsid w:val="008860D1"/>
    <w:rsid w:val="00891422"/>
    <w:rsid w:val="00892298"/>
    <w:rsid w:val="00892E1A"/>
    <w:rsid w:val="00894140"/>
    <w:rsid w:val="008A1FAD"/>
    <w:rsid w:val="008B04F4"/>
    <w:rsid w:val="008B1D98"/>
    <w:rsid w:val="008B660A"/>
    <w:rsid w:val="008B75C6"/>
    <w:rsid w:val="008C01DA"/>
    <w:rsid w:val="008C77B7"/>
    <w:rsid w:val="008D0044"/>
    <w:rsid w:val="008F2674"/>
    <w:rsid w:val="008F3911"/>
    <w:rsid w:val="008F6B64"/>
    <w:rsid w:val="008F78E9"/>
    <w:rsid w:val="009003A9"/>
    <w:rsid w:val="0090276D"/>
    <w:rsid w:val="0090321B"/>
    <w:rsid w:val="00904A75"/>
    <w:rsid w:val="0091097D"/>
    <w:rsid w:val="009122D5"/>
    <w:rsid w:val="00915900"/>
    <w:rsid w:val="009179F9"/>
    <w:rsid w:val="00917C7A"/>
    <w:rsid w:val="00923344"/>
    <w:rsid w:val="00933E5E"/>
    <w:rsid w:val="00935218"/>
    <w:rsid w:val="009366FE"/>
    <w:rsid w:val="00937C52"/>
    <w:rsid w:val="009403F3"/>
    <w:rsid w:val="00947D6A"/>
    <w:rsid w:val="009554FF"/>
    <w:rsid w:val="009555B7"/>
    <w:rsid w:val="009567AA"/>
    <w:rsid w:val="009602C9"/>
    <w:rsid w:val="00960E45"/>
    <w:rsid w:val="00962C65"/>
    <w:rsid w:val="00966701"/>
    <w:rsid w:val="00967374"/>
    <w:rsid w:val="009711F7"/>
    <w:rsid w:val="009728D2"/>
    <w:rsid w:val="00972FEB"/>
    <w:rsid w:val="00986A7C"/>
    <w:rsid w:val="009963DF"/>
    <w:rsid w:val="00996915"/>
    <w:rsid w:val="009A0CDD"/>
    <w:rsid w:val="009A343A"/>
    <w:rsid w:val="009B2F23"/>
    <w:rsid w:val="009B334E"/>
    <w:rsid w:val="009B52BF"/>
    <w:rsid w:val="009B57B3"/>
    <w:rsid w:val="009C4534"/>
    <w:rsid w:val="009D2920"/>
    <w:rsid w:val="009D5AEB"/>
    <w:rsid w:val="009D65A3"/>
    <w:rsid w:val="009E6927"/>
    <w:rsid w:val="009F0E33"/>
    <w:rsid w:val="00A06DA0"/>
    <w:rsid w:val="00A149DF"/>
    <w:rsid w:val="00A1755C"/>
    <w:rsid w:val="00A21B90"/>
    <w:rsid w:val="00A22AAC"/>
    <w:rsid w:val="00A23825"/>
    <w:rsid w:val="00A265BC"/>
    <w:rsid w:val="00A41677"/>
    <w:rsid w:val="00A41805"/>
    <w:rsid w:val="00A51882"/>
    <w:rsid w:val="00A52AFB"/>
    <w:rsid w:val="00A548CB"/>
    <w:rsid w:val="00A5521C"/>
    <w:rsid w:val="00A643E7"/>
    <w:rsid w:val="00A73C38"/>
    <w:rsid w:val="00A80846"/>
    <w:rsid w:val="00A81D31"/>
    <w:rsid w:val="00A921A7"/>
    <w:rsid w:val="00A9430F"/>
    <w:rsid w:val="00A94757"/>
    <w:rsid w:val="00A95092"/>
    <w:rsid w:val="00A97AA3"/>
    <w:rsid w:val="00AB4899"/>
    <w:rsid w:val="00AB670D"/>
    <w:rsid w:val="00AC3738"/>
    <w:rsid w:val="00AE2234"/>
    <w:rsid w:val="00AE71ED"/>
    <w:rsid w:val="00AF03C5"/>
    <w:rsid w:val="00AF7AF3"/>
    <w:rsid w:val="00B000D8"/>
    <w:rsid w:val="00B00F75"/>
    <w:rsid w:val="00B05101"/>
    <w:rsid w:val="00B056D2"/>
    <w:rsid w:val="00B06790"/>
    <w:rsid w:val="00B145B6"/>
    <w:rsid w:val="00B17EF4"/>
    <w:rsid w:val="00B25AE0"/>
    <w:rsid w:val="00B279EB"/>
    <w:rsid w:val="00B50C81"/>
    <w:rsid w:val="00B51C52"/>
    <w:rsid w:val="00B53BA9"/>
    <w:rsid w:val="00B557F8"/>
    <w:rsid w:val="00B56151"/>
    <w:rsid w:val="00B6638B"/>
    <w:rsid w:val="00B71949"/>
    <w:rsid w:val="00B732C1"/>
    <w:rsid w:val="00B74A63"/>
    <w:rsid w:val="00B80938"/>
    <w:rsid w:val="00B815FC"/>
    <w:rsid w:val="00B93FBC"/>
    <w:rsid w:val="00BA14A4"/>
    <w:rsid w:val="00BA219D"/>
    <w:rsid w:val="00BA4FC1"/>
    <w:rsid w:val="00BA6FD7"/>
    <w:rsid w:val="00BA7DA0"/>
    <w:rsid w:val="00BB2EE4"/>
    <w:rsid w:val="00BB4C92"/>
    <w:rsid w:val="00BC08A0"/>
    <w:rsid w:val="00BC2108"/>
    <w:rsid w:val="00BC760A"/>
    <w:rsid w:val="00BD0E9E"/>
    <w:rsid w:val="00BD1BEC"/>
    <w:rsid w:val="00BD32FF"/>
    <w:rsid w:val="00BD7952"/>
    <w:rsid w:val="00BE25A1"/>
    <w:rsid w:val="00BE2CC6"/>
    <w:rsid w:val="00BF2146"/>
    <w:rsid w:val="00BF2610"/>
    <w:rsid w:val="00BF6B32"/>
    <w:rsid w:val="00BF6FE9"/>
    <w:rsid w:val="00C02092"/>
    <w:rsid w:val="00C07FE9"/>
    <w:rsid w:val="00C1433D"/>
    <w:rsid w:val="00C17720"/>
    <w:rsid w:val="00C24D91"/>
    <w:rsid w:val="00C26DB2"/>
    <w:rsid w:val="00C328A2"/>
    <w:rsid w:val="00C45778"/>
    <w:rsid w:val="00C52A89"/>
    <w:rsid w:val="00C53B7C"/>
    <w:rsid w:val="00C53F14"/>
    <w:rsid w:val="00C556A8"/>
    <w:rsid w:val="00C600CF"/>
    <w:rsid w:val="00C6084F"/>
    <w:rsid w:val="00C609B7"/>
    <w:rsid w:val="00C61302"/>
    <w:rsid w:val="00C62A66"/>
    <w:rsid w:val="00C66359"/>
    <w:rsid w:val="00C66CCF"/>
    <w:rsid w:val="00C67292"/>
    <w:rsid w:val="00C678A9"/>
    <w:rsid w:val="00C71458"/>
    <w:rsid w:val="00C77613"/>
    <w:rsid w:val="00C7761D"/>
    <w:rsid w:val="00C828E7"/>
    <w:rsid w:val="00C82B26"/>
    <w:rsid w:val="00C86719"/>
    <w:rsid w:val="00C87D1F"/>
    <w:rsid w:val="00C921DD"/>
    <w:rsid w:val="00C96980"/>
    <w:rsid w:val="00CA5512"/>
    <w:rsid w:val="00CA6391"/>
    <w:rsid w:val="00CA6999"/>
    <w:rsid w:val="00CA6F4E"/>
    <w:rsid w:val="00CB242D"/>
    <w:rsid w:val="00CD69C9"/>
    <w:rsid w:val="00CE036E"/>
    <w:rsid w:val="00CE1061"/>
    <w:rsid w:val="00CE249E"/>
    <w:rsid w:val="00CE2651"/>
    <w:rsid w:val="00CE3171"/>
    <w:rsid w:val="00CE72F6"/>
    <w:rsid w:val="00CE7CDE"/>
    <w:rsid w:val="00CF1601"/>
    <w:rsid w:val="00D0172F"/>
    <w:rsid w:val="00D01E33"/>
    <w:rsid w:val="00D068A7"/>
    <w:rsid w:val="00D10716"/>
    <w:rsid w:val="00D10919"/>
    <w:rsid w:val="00D10A9F"/>
    <w:rsid w:val="00D15B61"/>
    <w:rsid w:val="00D17476"/>
    <w:rsid w:val="00D17B0E"/>
    <w:rsid w:val="00D22291"/>
    <w:rsid w:val="00D26FD6"/>
    <w:rsid w:val="00D32086"/>
    <w:rsid w:val="00D337D6"/>
    <w:rsid w:val="00D37A3F"/>
    <w:rsid w:val="00D434FF"/>
    <w:rsid w:val="00D43EEF"/>
    <w:rsid w:val="00D4431D"/>
    <w:rsid w:val="00D4667A"/>
    <w:rsid w:val="00D47821"/>
    <w:rsid w:val="00D50C6C"/>
    <w:rsid w:val="00D56988"/>
    <w:rsid w:val="00D56A20"/>
    <w:rsid w:val="00D60E29"/>
    <w:rsid w:val="00D63A1C"/>
    <w:rsid w:val="00D7516F"/>
    <w:rsid w:val="00D76DFA"/>
    <w:rsid w:val="00D776D5"/>
    <w:rsid w:val="00D7770B"/>
    <w:rsid w:val="00D9038D"/>
    <w:rsid w:val="00D91AE0"/>
    <w:rsid w:val="00D94DD7"/>
    <w:rsid w:val="00D95F8E"/>
    <w:rsid w:val="00D97FC6"/>
    <w:rsid w:val="00DA0590"/>
    <w:rsid w:val="00DA2C13"/>
    <w:rsid w:val="00DA4887"/>
    <w:rsid w:val="00DC1739"/>
    <w:rsid w:val="00DC1788"/>
    <w:rsid w:val="00DD281D"/>
    <w:rsid w:val="00DE15AF"/>
    <w:rsid w:val="00DE2D54"/>
    <w:rsid w:val="00DE319C"/>
    <w:rsid w:val="00DF0CA8"/>
    <w:rsid w:val="00DF0D30"/>
    <w:rsid w:val="00DF2B48"/>
    <w:rsid w:val="00DF49A7"/>
    <w:rsid w:val="00E0205D"/>
    <w:rsid w:val="00E07EE2"/>
    <w:rsid w:val="00E07FD1"/>
    <w:rsid w:val="00E11D06"/>
    <w:rsid w:val="00E13B2F"/>
    <w:rsid w:val="00E14336"/>
    <w:rsid w:val="00E160A1"/>
    <w:rsid w:val="00E20BF5"/>
    <w:rsid w:val="00E24573"/>
    <w:rsid w:val="00E25189"/>
    <w:rsid w:val="00E25E1E"/>
    <w:rsid w:val="00E27EE7"/>
    <w:rsid w:val="00E30713"/>
    <w:rsid w:val="00E35404"/>
    <w:rsid w:val="00E45109"/>
    <w:rsid w:val="00E47B7A"/>
    <w:rsid w:val="00E56A44"/>
    <w:rsid w:val="00E571B1"/>
    <w:rsid w:val="00E60269"/>
    <w:rsid w:val="00E82D5E"/>
    <w:rsid w:val="00E914D6"/>
    <w:rsid w:val="00E97830"/>
    <w:rsid w:val="00EA2EAD"/>
    <w:rsid w:val="00EB5BB1"/>
    <w:rsid w:val="00EB62DF"/>
    <w:rsid w:val="00EC69C9"/>
    <w:rsid w:val="00EE0830"/>
    <w:rsid w:val="00EE46E4"/>
    <w:rsid w:val="00EE6CB8"/>
    <w:rsid w:val="00EF0683"/>
    <w:rsid w:val="00EF2153"/>
    <w:rsid w:val="00EF6692"/>
    <w:rsid w:val="00F0070C"/>
    <w:rsid w:val="00F00EB7"/>
    <w:rsid w:val="00F0114A"/>
    <w:rsid w:val="00F012D4"/>
    <w:rsid w:val="00F238DA"/>
    <w:rsid w:val="00F33AD0"/>
    <w:rsid w:val="00F34CA5"/>
    <w:rsid w:val="00F36AB6"/>
    <w:rsid w:val="00F37A09"/>
    <w:rsid w:val="00F409CE"/>
    <w:rsid w:val="00F4379D"/>
    <w:rsid w:val="00F50D2D"/>
    <w:rsid w:val="00F512EB"/>
    <w:rsid w:val="00F56C8B"/>
    <w:rsid w:val="00F62639"/>
    <w:rsid w:val="00F66810"/>
    <w:rsid w:val="00F73544"/>
    <w:rsid w:val="00F84DF4"/>
    <w:rsid w:val="00F85C97"/>
    <w:rsid w:val="00F86092"/>
    <w:rsid w:val="00F87334"/>
    <w:rsid w:val="00F9085A"/>
    <w:rsid w:val="00FA1AA2"/>
    <w:rsid w:val="00FA5DC8"/>
    <w:rsid w:val="00FB37D2"/>
    <w:rsid w:val="00FB6D9F"/>
    <w:rsid w:val="00FC25EB"/>
    <w:rsid w:val="00FC464B"/>
    <w:rsid w:val="00FC4EFB"/>
    <w:rsid w:val="00FD068D"/>
    <w:rsid w:val="00FD4F28"/>
    <w:rsid w:val="00FE107E"/>
    <w:rsid w:val="00FE6784"/>
    <w:rsid w:val="00FE7A8B"/>
    <w:rsid w:val="00FF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E3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A7B"/>
    <w:rPr>
      <w:sz w:val="24"/>
    </w:rPr>
  </w:style>
  <w:style w:type="paragraph" w:styleId="Titre1">
    <w:name w:val="heading 1"/>
    <w:basedOn w:val="Normal"/>
    <w:next w:val="Normal"/>
    <w:link w:val="Titre1C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E2D54"/>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rsid w:val="00C328A2"/>
    <w:pPr>
      <w:keepNext/>
      <w:keepLines/>
      <w:spacing w:before="200"/>
      <w:outlineLvl w:val="3"/>
    </w:pPr>
    <w:rPr>
      <w:rFonts w:asciiTheme="majorHAnsi" w:eastAsiaTheme="majorEastAsia" w:hAnsiTheme="majorHAnsi" w:cstheme="majorBidi"/>
      <w:b/>
      <w:bCs/>
      <w:i/>
      <w:iCs/>
      <w:color w:val="4F81BD" w:themeColor="accent1"/>
      <w:szCs w:val="22"/>
      <w:lang w:val="en-US" w:eastAsia="en-US" w:bidi="en-US"/>
    </w:rPr>
  </w:style>
  <w:style w:type="paragraph" w:styleId="Titre5">
    <w:name w:val="heading 5"/>
    <w:basedOn w:val="Normal"/>
    <w:next w:val="Normal"/>
    <w:link w:val="Titre5Car"/>
    <w:uiPriority w:val="9"/>
    <w:semiHidden/>
    <w:unhideWhenUsed/>
    <w:qFormat/>
    <w:rsid w:val="00C328A2"/>
    <w:pPr>
      <w:keepNext/>
      <w:keepLines/>
      <w:spacing w:before="200"/>
      <w:outlineLvl w:val="4"/>
    </w:pPr>
    <w:rPr>
      <w:rFonts w:asciiTheme="majorHAnsi" w:eastAsiaTheme="majorEastAsia" w:hAnsiTheme="majorHAnsi" w:cstheme="majorBidi"/>
      <w:color w:val="243F60" w:themeColor="accent1" w:themeShade="7F"/>
      <w:szCs w:val="22"/>
      <w:lang w:val="en-US" w:eastAsia="en-US" w:bidi="en-US"/>
    </w:rPr>
  </w:style>
  <w:style w:type="paragraph" w:styleId="Titre6">
    <w:name w:val="heading 6"/>
    <w:basedOn w:val="Normal"/>
    <w:next w:val="Normal"/>
    <w:link w:val="Titre6Car"/>
    <w:uiPriority w:val="9"/>
    <w:semiHidden/>
    <w:unhideWhenUsed/>
    <w:qFormat/>
    <w:rsid w:val="00C328A2"/>
    <w:pPr>
      <w:keepNext/>
      <w:keepLines/>
      <w:spacing w:before="200"/>
      <w:outlineLvl w:val="5"/>
    </w:pPr>
    <w:rPr>
      <w:rFonts w:asciiTheme="majorHAnsi" w:eastAsiaTheme="majorEastAsia" w:hAnsiTheme="majorHAnsi" w:cstheme="majorBidi"/>
      <w:i/>
      <w:iCs/>
      <w:color w:val="243F60" w:themeColor="accent1" w:themeShade="7F"/>
      <w:szCs w:val="22"/>
      <w:lang w:val="en-US" w:eastAsia="en-US" w:bidi="en-US"/>
    </w:rPr>
  </w:style>
  <w:style w:type="paragraph" w:styleId="Titre7">
    <w:name w:val="heading 7"/>
    <w:basedOn w:val="Normal"/>
    <w:next w:val="Normal"/>
    <w:link w:val="Titre7Car"/>
    <w:uiPriority w:val="9"/>
    <w:semiHidden/>
    <w:unhideWhenUsed/>
    <w:qFormat/>
    <w:rsid w:val="00C328A2"/>
    <w:pPr>
      <w:keepNext/>
      <w:keepLines/>
      <w:spacing w:before="200"/>
      <w:outlineLvl w:val="6"/>
    </w:pPr>
    <w:rPr>
      <w:rFonts w:asciiTheme="majorHAnsi" w:eastAsiaTheme="majorEastAsia" w:hAnsiTheme="majorHAnsi" w:cstheme="majorBidi"/>
      <w:i/>
      <w:iCs/>
      <w:color w:val="404040" w:themeColor="text1" w:themeTint="BF"/>
      <w:szCs w:val="22"/>
      <w:lang w:val="en-US" w:eastAsia="en-US" w:bidi="en-US"/>
    </w:rPr>
  </w:style>
  <w:style w:type="paragraph" w:styleId="Titre8">
    <w:name w:val="heading 8"/>
    <w:basedOn w:val="Normal"/>
    <w:next w:val="Normal"/>
    <w:link w:val="Titre8Car"/>
    <w:uiPriority w:val="9"/>
    <w:semiHidden/>
    <w:unhideWhenUsed/>
    <w:qFormat/>
    <w:rsid w:val="00C328A2"/>
    <w:pPr>
      <w:keepNext/>
      <w:keepLines/>
      <w:spacing w:before="200"/>
      <w:outlineLvl w:val="7"/>
    </w:pPr>
    <w:rPr>
      <w:rFonts w:asciiTheme="majorHAnsi" w:eastAsiaTheme="majorEastAsia" w:hAnsiTheme="majorHAnsi" w:cstheme="majorBidi"/>
      <w:color w:val="4F81BD" w:themeColor="accent1"/>
      <w:sz w:val="20"/>
      <w:lang w:val="en-US" w:eastAsia="en-US" w:bidi="en-US"/>
    </w:rPr>
  </w:style>
  <w:style w:type="paragraph" w:styleId="Titre9">
    <w:name w:val="heading 9"/>
    <w:basedOn w:val="Normal"/>
    <w:next w:val="Normal"/>
    <w:link w:val="Titre9Car"/>
    <w:uiPriority w:val="9"/>
    <w:semiHidden/>
    <w:unhideWhenUsed/>
    <w:qFormat/>
    <w:rsid w:val="00C328A2"/>
    <w:pPr>
      <w:keepNext/>
      <w:keepLines/>
      <w:spacing w:before="200"/>
      <w:outlineLvl w:val="8"/>
    </w:pPr>
    <w:rPr>
      <w:rFonts w:asciiTheme="majorHAnsi" w:eastAsiaTheme="majorEastAsia" w:hAnsiTheme="majorHAnsi" w:cstheme="majorBidi"/>
      <w:i/>
      <w:iCs/>
      <w:color w:val="404040" w:themeColor="text1" w:themeTint="BF"/>
      <w:sz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Policepardfaut"/>
    <w:link w:val="SCCNormalDoubleSpacing"/>
    <w:rsid w:val="00104F33"/>
    <w:rPr>
      <w:sz w:val="24"/>
    </w:rPr>
  </w:style>
  <w:style w:type="character" w:styleId="lev">
    <w:name w:val="Strong"/>
    <w:basedOn w:val="Policepardfaut"/>
    <w:uiPriority w:val="22"/>
    <w:qFormat/>
    <w:rsid w:val="00C53F14"/>
    <w:rPr>
      <w:b/>
      <w:bCs/>
    </w:rPr>
  </w:style>
  <w:style w:type="paragraph" w:styleId="Citation">
    <w:name w:val="Quote"/>
    <w:basedOn w:val="Normal"/>
    <w:next w:val="Normal"/>
    <w:link w:val="CitationCar"/>
    <w:uiPriority w:val="29"/>
    <w:qFormat/>
    <w:rsid w:val="00A548CB"/>
    <w:rPr>
      <w:i/>
      <w:iCs/>
      <w:color w:val="000000" w:themeColor="text1"/>
    </w:rPr>
  </w:style>
  <w:style w:type="character" w:customStyle="1" w:styleId="CitationCar">
    <w:name w:val="Citation Car"/>
    <w:basedOn w:val="Policepardfaut"/>
    <w:link w:val="Citation"/>
    <w:uiPriority w:val="29"/>
    <w:rsid w:val="00A548CB"/>
    <w:rPr>
      <w:i/>
      <w:iCs/>
      <w:color w:val="000000" w:themeColor="text1"/>
      <w:sz w:val="24"/>
      <w:lang w:val="en-US"/>
    </w:rPr>
  </w:style>
  <w:style w:type="character" w:styleId="Textedelespacerserv">
    <w:name w:val="Placeholder Text"/>
    <w:basedOn w:val="Policepardfaut"/>
    <w:uiPriority w:val="99"/>
    <w:semiHidden/>
    <w:rsid w:val="00CE3171"/>
    <w:rPr>
      <w:color w:val="808080"/>
    </w:rPr>
  </w:style>
  <w:style w:type="paragraph" w:styleId="Textedebulles">
    <w:name w:val="Balloon Text"/>
    <w:basedOn w:val="Normal"/>
    <w:link w:val="TextedebullesCar"/>
    <w:uiPriority w:val="99"/>
    <w:semiHidden/>
    <w:unhideWhenUsed/>
    <w:rsid w:val="00CE3171"/>
    <w:rPr>
      <w:rFonts w:ascii="Tahoma" w:hAnsi="Tahoma" w:cs="Tahoma"/>
      <w:sz w:val="16"/>
      <w:szCs w:val="16"/>
    </w:rPr>
  </w:style>
  <w:style w:type="character" w:customStyle="1" w:styleId="TextedebullesCar">
    <w:name w:val="Texte de bulles Car"/>
    <w:basedOn w:val="Policepardfaut"/>
    <w:link w:val="Textedebulles"/>
    <w:uiPriority w:val="99"/>
    <w:semiHidden/>
    <w:rsid w:val="00CE3171"/>
    <w:rPr>
      <w:rFonts w:ascii="Tahoma" w:hAnsi="Tahoma" w:cs="Tahoma"/>
      <w:sz w:val="16"/>
      <w:szCs w:val="16"/>
      <w:lang w:val="en-US"/>
    </w:rPr>
  </w:style>
  <w:style w:type="paragraph" w:styleId="En-tte">
    <w:name w:val="header"/>
    <w:basedOn w:val="Normal"/>
    <w:link w:val="En-tteCar"/>
    <w:uiPriority w:val="99"/>
    <w:unhideWhenUsed/>
    <w:rsid w:val="000C59B8"/>
    <w:pPr>
      <w:tabs>
        <w:tab w:val="center" w:pos="4680"/>
        <w:tab w:val="right" w:pos="9360"/>
      </w:tabs>
    </w:pPr>
  </w:style>
  <w:style w:type="character" w:customStyle="1" w:styleId="En-tteCar">
    <w:name w:val="En-tête Car"/>
    <w:basedOn w:val="Policepardfaut"/>
    <w:link w:val="En-tte"/>
    <w:uiPriority w:val="99"/>
    <w:rsid w:val="000C59B8"/>
    <w:rPr>
      <w:sz w:val="24"/>
      <w:lang w:val="en-US"/>
    </w:rPr>
  </w:style>
  <w:style w:type="paragraph" w:styleId="Pieddepage">
    <w:name w:val="footer"/>
    <w:basedOn w:val="Normal"/>
    <w:link w:val="PieddepageCar"/>
    <w:uiPriority w:val="99"/>
    <w:unhideWhenUsed/>
    <w:rsid w:val="000C59B8"/>
    <w:pPr>
      <w:tabs>
        <w:tab w:val="center" w:pos="4680"/>
        <w:tab w:val="right" w:pos="9360"/>
      </w:tabs>
    </w:pPr>
  </w:style>
  <w:style w:type="character" w:customStyle="1" w:styleId="PieddepageCar">
    <w:name w:val="Pied de page Car"/>
    <w:basedOn w:val="Policepardfaut"/>
    <w:link w:val="Pieddepage"/>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Policepardfau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Policepardfau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Policepardfau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Policepardfaut"/>
    <w:link w:val="SCCLsocOtherPartySeparator"/>
    <w:rsid w:val="003323B0"/>
    <w:rPr>
      <w:sz w:val="24"/>
    </w:rPr>
  </w:style>
  <w:style w:type="character" w:customStyle="1" w:styleId="Titre1Car">
    <w:name w:val="Titre 1 Car"/>
    <w:basedOn w:val="Policepardfaut"/>
    <w:link w:val="Titre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Policepardfau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Policepardfau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Policepardfau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Policepardfau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Policepardfau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Policepardfau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Policepardfau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character" w:styleId="Hyperlien">
    <w:name w:val="Hyperlink"/>
    <w:basedOn w:val="Policepardfaut"/>
    <w:uiPriority w:val="99"/>
    <w:unhideWhenUsed/>
    <w:rsid w:val="00157B64"/>
    <w:rPr>
      <w:color w:val="660000"/>
      <w:u w:val="none"/>
    </w:rPr>
  </w:style>
  <w:style w:type="character" w:styleId="Marquedecommentaire">
    <w:name w:val="annotation reference"/>
    <w:basedOn w:val="Policepardfaut"/>
    <w:uiPriority w:val="99"/>
    <w:semiHidden/>
    <w:unhideWhenUsed/>
    <w:rsid w:val="009003A9"/>
    <w:rPr>
      <w:sz w:val="16"/>
      <w:szCs w:val="16"/>
    </w:rPr>
  </w:style>
  <w:style w:type="paragraph" w:styleId="Commentaire">
    <w:name w:val="annotation text"/>
    <w:basedOn w:val="Normal"/>
    <w:link w:val="CommentaireCar"/>
    <w:uiPriority w:val="99"/>
    <w:unhideWhenUsed/>
    <w:rsid w:val="009003A9"/>
    <w:rPr>
      <w:sz w:val="20"/>
    </w:rPr>
  </w:style>
  <w:style w:type="character" w:customStyle="1" w:styleId="CommentaireCar">
    <w:name w:val="Commentaire Car"/>
    <w:basedOn w:val="Policepardfaut"/>
    <w:link w:val="Commentaire"/>
    <w:uiPriority w:val="99"/>
    <w:rsid w:val="009003A9"/>
  </w:style>
  <w:style w:type="character" w:customStyle="1" w:styleId="scccounselnamechar0">
    <w:name w:val="scccounselnamechar"/>
    <w:basedOn w:val="Policepardfaut"/>
    <w:rsid w:val="009003A9"/>
  </w:style>
  <w:style w:type="paragraph" w:styleId="Objetducommentaire">
    <w:name w:val="annotation subject"/>
    <w:basedOn w:val="Commentaire"/>
    <w:next w:val="Commentaire"/>
    <w:link w:val="ObjetducommentaireCar"/>
    <w:uiPriority w:val="99"/>
    <w:semiHidden/>
    <w:unhideWhenUsed/>
    <w:rsid w:val="005432D1"/>
    <w:rPr>
      <w:b/>
      <w:bCs/>
    </w:rPr>
  </w:style>
  <w:style w:type="character" w:customStyle="1" w:styleId="ObjetducommentaireCar">
    <w:name w:val="Objet du commentaire Car"/>
    <w:basedOn w:val="CommentaireCar"/>
    <w:link w:val="Objetducommentaire"/>
    <w:uiPriority w:val="99"/>
    <w:semiHidden/>
    <w:rsid w:val="005432D1"/>
    <w:rPr>
      <w:b/>
      <w:bCs/>
    </w:rPr>
  </w:style>
  <w:style w:type="character" w:customStyle="1" w:styleId="solexhl">
    <w:name w:val="solexhl"/>
    <w:basedOn w:val="Policepardfaut"/>
    <w:rsid w:val="005C5E15"/>
  </w:style>
  <w:style w:type="character" w:styleId="Lienvisit">
    <w:name w:val="FollowedHyperlink"/>
    <w:basedOn w:val="Policepardfaut"/>
    <w:uiPriority w:val="99"/>
    <w:semiHidden/>
    <w:unhideWhenUsed/>
    <w:rsid w:val="004071F2"/>
    <w:rPr>
      <w:color w:val="800080" w:themeColor="followedHyperlink"/>
      <w:u w:val="single"/>
    </w:rPr>
  </w:style>
  <w:style w:type="character" w:customStyle="1" w:styleId="Titre3Car">
    <w:name w:val="Titre 3 Car"/>
    <w:basedOn w:val="Policepardfaut"/>
    <w:link w:val="Titre3"/>
    <w:uiPriority w:val="9"/>
    <w:semiHidden/>
    <w:rsid w:val="00DE2D54"/>
    <w:rPr>
      <w:rFonts w:asciiTheme="majorHAnsi" w:eastAsiaTheme="majorEastAsia" w:hAnsiTheme="majorHAnsi" w:cstheme="majorBidi"/>
      <w:color w:val="243F60" w:themeColor="accent1" w:themeShade="7F"/>
      <w:sz w:val="24"/>
      <w:szCs w:val="24"/>
    </w:rPr>
  </w:style>
  <w:style w:type="paragraph" w:customStyle="1" w:styleId="ParaNoNdepar-AltN">
    <w:name w:val="Para. No. / Nº de par. - Alt N"/>
    <w:link w:val="ParaNoNdepar-AltNChar"/>
    <w:qFormat/>
    <w:rsid w:val="00E914D6"/>
    <w:pPr>
      <w:numPr>
        <w:numId w:val="1"/>
      </w:numPr>
      <w:tabs>
        <w:tab w:val="clear" w:pos="1152"/>
        <w:tab w:val="left" w:pos="1166"/>
      </w:tabs>
      <w:spacing w:before="480" w:after="480" w:line="480" w:lineRule="auto"/>
      <w:jc w:val="both"/>
    </w:pPr>
    <w:rPr>
      <w:rFonts w:eastAsiaTheme="minorEastAsia" w:cstheme="minorBidi"/>
      <w:sz w:val="24"/>
      <w:szCs w:val="22"/>
      <w:lang w:eastAsia="en-US"/>
    </w:rPr>
  </w:style>
  <w:style w:type="character" w:customStyle="1" w:styleId="ParaNoNdepar-AltNChar">
    <w:name w:val="Para. No. / Nº de par. - Alt N Char"/>
    <w:basedOn w:val="Policepardfaut"/>
    <w:link w:val="ParaNoNdepar-AltN"/>
    <w:rsid w:val="00E914D6"/>
    <w:rPr>
      <w:rFonts w:eastAsiaTheme="minorEastAsia" w:cstheme="minorBidi"/>
      <w:sz w:val="24"/>
      <w:szCs w:val="22"/>
      <w:lang w:eastAsia="en-US"/>
    </w:rPr>
  </w:style>
  <w:style w:type="paragraph" w:customStyle="1" w:styleId="SCCLsocOtherPartyRoleSeparator">
    <w:name w:val="SCC.Lsoc.OtherPartyRoleSeparator"/>
    <w:basedOn w:val="Normal"/>
    <w:next w:val="Normal"/>
    <w:link w:val="SCCLsocOtherPartyRoleSeparatorChar"/>
    <w:rsid w:val="00C328A2"/>
    <w:pPr>
      <w:spacing w:after="480"/>
    </w:pPr>
    <w:rPr>
      <w:rFonts w:eastAsiaTheme="minorHAnsi" w:cstheme="minorBidi"/>
      <w:szCs w:val="22"/>
      <w:lang w:val="fr-CA" w:eastAsia="en-US"/>
    </w:rPr>
  </w:style>
  <w:style w:type="paragraph" w:customStyle="1" w:styleId="SCCCoram">
    <w:name w:val="SCC.Coram"/>
    <w:basedOn w:val="Normal"/>
    <w:next w:val="Normal"/>
    <w:link w:val="SCCCoramChar"/>
    <w:rsid w:val="00C328A2"/>
    <w:pPr>
      <w:pBdr>
        <w:bottom w:val="single" w:sz="4" w:space="1" w:color="auto"/>
      </w:pBdr>
    </w:pPr>
    <w:rPr>
      <w:rFonts w:eastAsiaTheme="minorHAnsi" w:cstheme="minorBidi"/>
      <w:szCs w:val="22"/>
      <w:lang w:val="fr-CA" w:eastAsia="en-US"/>
    </w:rPr>
  </w:style>
  <w:style w:type="character" w:customStyle="1" w:styleId="SCCCoramChar">
    <w:name w:val="SCC.Coram Char"/>
    <w:basedOn w:val="Policepardfaut"/>
    <w:link w:val="SCCCoram"/>
    <w:rsid w:val="00C328A2"/>
    <w:rPr>
      <w:rFonts w:eastAsiaTheme="minorHAnsi" w:cstheme="minorBidi"/>
      <w:sz w:val="24"/>
      <w:szCs w:val="22"/>
      <w:lang w:val="fr-CA" w:eastAsia="en-US"/>
    </w:rPr>
  </w:style>
  <w:style w:type="character" w:customStyle="1" w:styleId="SCCLsocOtherPartyRoleSeparatorChar">
    <w:name w:val="SCC.Lsoc.OtherPartyRoleSeparator Char"/>
    <w:basedOn w:val="Policepardfaut"/>
    <w:link w:val="SCCLsocOtherPartyRoleSeparator"/>
    <w:rsid w:val="00C328A2"/>
    <w:rPr>
      <w:rFonts w:eastAsiaTheme="minorHAnsi" w:cstheme="minorBidi"/>
      <w:sz w:val="24"/>
      <w:szCs w:val="22"/>
      <w:lang w:val="fr-CA" w:eastAsia="en-US"/>
    </w:rPr>
  </w:style>
  <w:style w:type="character" w:customStyle="1" w:styleId="SCCBanSummaryChar">
    <w:name w:val="SCC.BanSummary Char"/>
    <w:basedOn w:val="Policepardfaut"/>
    <w:link w:val="SCCBanSummary"/>
    <w:rsid w:val="00C328A2"/>
    <w:rPr>
      <w:b/>
      <w:sz w:val="24"/>
    </w:rPr>
  </w:style>
  <w:style w:type="table" w:styleId="Grilledutableau">
    <w:name w:val="Table Grid"/>
    <w:basedOn w:val="TableauNormal"/>
    <w:uiPriority w:val="59"/>
    <w:rsid w:val="00C328A2"/>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C328A2"/>
    <w:pPr>
      <w:spacing w:after="720"/>
      <w:ind w:left="1166"/>
      <w:contextualSpacing/>
      <w:jc w:val="both"/>
    </w:pPr>
    <w:rPr>
      <w:sz w:val="24"/>
      <w:szCs w:val="24"/>
    </w:rPr>
  </w:style>
  <w:style w:type="paragraph" w:customStyle="1" w:styleId="ContinueParaSuitedupar-AltP">
    <w:name w:val="Continue Para. / Suite du par. - Alt P"/>
    <w:next w:val="ParaNoNdepar-AltN"/>
    <w:uiPriority w:val="1"/>
    <w:qFormat/>
    <w:rsid w:val="00C328A2"/>
    <w:pPr>
      <w:spacing w:before="480" w:after="480" w:line="480" w:lineRule="auto"/>
      <w:jc w:val="both"/>
    </w:pPr>
    <w:rPr>
      <w:rFonts w:eastAsiaTheme="minorHAnsi" w:cstheme="minorBidi"/>
      <w:sz w:val="24"/>
      <w:szCs w:val="22"/>
      <w:lang w:eastAsia="en-US"/>
    </w:rPr>
  </w:style>
  <w:style w:type="paragraph" w:customStyle="1" w:styleId="JudgeJuge">
    <w:name w:val="Judge / Juge"/>
    <w:link w:val="JudgeJugeChar"/>
    <w:uiPriority w:val="3"/>
    <w:rsid w:val="00C328A2"/>
    <w:pPr>
      <w:tabs>
        <w:tab w:val="left" w:pos="1166"/>
      </w:tabs>
      <w:spacing w:after="480" w:line="480" w:lineRule="auto"/>
    </w:pPr>
    <w:rPr>
      <w:smallCaps/>
      <w:sz w:val="24"/>
      <w:szCs w:val="24"/>
    </w:rPr>
  </w:style>
  <w:style w:type="paragraph" w:customStyle="1" w:styleId="Title1LevelTitre1Niveau-AltL">
    <w:name w:val="Title 1 Level / Titre 1 Niveau - Alt L"/>
    <w:next w:val="ParaNoNdepar-AltN"/>
    <w:uiPriority w:val="4"/>
    <w:qFormat/>
    <w:rsid w:val="00C328A2"/>
    <w:pPr>
      <w:numPr>
        <w:numId w:val="7"/>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C328A2"/>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C328A2"/>
    <w:pPr>
      <w:numPr>
        <w:ilvl w:val="2"/>
      </w:numPr>
      <w:outlineLvl w:val="2"/>
    </w:pPr>
  </w:style>
  <w:style w:type="paragraph" w:customStyle="1" w:styleId="Title4LevelTitre4Niveau">
    <w:name w:val="Title 4 Level / Titre 4 Niveau"/>
    <w:basedOn w:val="Title3LevelTitre3Niveau"/>
    <w:next w:val="ParaNoNdepar-AltN"/>
    <w:uiPriority w:val="4"/>
    <w:qFormat/>
    <w:rsid w:val="00C328A2"/>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C328A2"/>
    <w:pPr>
      <w:numPr>
        <w:ilvl w:val="4"/>
      </w:numPr>
      <w:outlineLvl w:val="4"/>
    </w:pPr>
  </w:style>
  <w:style w:type="paragraph" w:styleId="TM1">
    <w:name w:val="toc 1"/>
    <w:basedOn w:val="Normal"/>
    <w:next w:val="Normal"/>
    <w:autoRedefine/>
    <w:uiPriority w:val="39"/>
    <w:unhideWhenUsed/>
    <w:rsid w:val="00C328A2"/>
    <w:pPr>
      <w:tabs>
        <w:tab w:val="left" w:pos="360"/>
        <w:tab w:val="right" w:leader="dot" w:pos="8270"/>
      </w:tabs>
      <w:spacing w:before="120" w:after="120"/>
    </w:pPr>
    <w:rPr>
      <w:noProof/>
      <w:u w:val="single"/>
      <w:lang w:val="fr-CA"/>
    </w:rPr>
  </w:style>
  <w:style w:type="paragraph" w:styleId="TM2">
    <w:name w:val="toc 2"/>
    <w:basedOn w:val="Normal"/>
    <w:next w:val="Normal"/>
    <w:autoRedefine/>
    <w:uiPriority w:val="39"/>
    <w:unhideWhenUsed/>
    <w:rsid w:val="00C328A2"/>
    <w:pPr>
      <w:tabs>
        <w:tab w:val="left" w:pos="720"/>
        <w:tab w:val="right" w:leader="dot" w:pos="8270"/>
      </w:tabs>
      <w:spacing w:before="120" w:after="120"/>
      <w:ind w:left="432" w:hanging="432"/>
    </w:pPr>
    <w:rPr>
      <w:i/>
      <w:szCs w:val="24"/>
      <w:lang w:val="fr-CA"/>
    </w:rPr>
  </w:style>
  <w:style w:type="paragraph" w:styleId="TM3">
    <w:name w:val="toc 3"/>
    <w:basedOn w:val="Normal"/>
    <w:next w:val="Normal"/>
    <w:autoRedefine/>
    <w:uiPriority w:val="39"/>
    <w:unhideWhenUsed/>
    <w:rsid w:val="00C328A2"/>
    <w:pPr>
      <w:tabs>
        <w:tab w:val="left" w:pos="1080"/>
        <w:tab w:val="right" w:leader="dot" w:pos="8270"/>
      </w:tabs>
      <w:spacing w:before="120" w:after="120"/>
      <w:ind w:left="864" w:hanging="432"/>
    </w:pPr>
    <w:rPr>
      <w:noProof/>
      <w:u w:val="single"/>
      <w:lang w:val="fr-CA"/>
    </w:rPr>
  </w:style>
  <w:style w:type="paragraph" w:styleId="TM4">
    <w:name w:val="toc 4"/>
    <w:basedOn w:val="Normal"/>
    <w:next w:val="Normal"/>
    <w:autoRedefine/>
    <w:uiPriority w:val="39"/>
    <w:unhideWhenUsed/>
    <w:rsid w:val="00C328A2"/>
    <w:pPr>
      <w:tabs>
        <w:tab w:val="left" w:pos="900"/>
        <w:tab w:val="right" w:leader="dot" w:pos="8270"/>
      </w:tabs>
      <w:spacing w:before="120" w:after="120"/>
      <w:ind w:left="900" w:hanging="450"/>
    </w:pPr>
    <w:rPr>
      <w:rFonts w:eastAsiaTheme="minorEastAsia" w:cstheme="minorBidi"/>
      <w:i/>
      <w:noProof/>
      <w:szCs w:val="22"/>
      <w:lang w:val="fr-CA"/>
    </w:rPr>
  </w:style>
  <w:style w:type="paragraph" w:styleId="TM5">
    <w:name w:val="toc 5"/>
    <w:basedOn w:val="Normal"/>
    <w:next w:val="Normal"/>
    <w:autoRedefine/>
    <w:uiPriority w:val="39"/>
    <w:unhideWhenUsed/>
    <w:rsid w:val="00C328A2"/>
    <w:pPr>
      <w:tabs>
        <w:tab w:val="left" w:pos="1440"/>
        <w:tab w:val="right" w:leader="dot" w:pos="8270"/>
      </w:tabs>
      <w:spacing w:before="120" w:after="120"/>
      <w:ind w:left="1454" w:hanging="547"/>
    </w:pPr>
    <w:rPr>
      <w:noProof/>
      <w:u w:val="single"/>
      <w:lang w:val="fr-CA"/>
    </w:rPr>
  </w:style>
  <w:style w:type="paragraph" w:styleId="TM6">
    <w:name w:val="toc 6"/>
    <w:basedOn w:val="Normal"/>
    <w:next w:val="Normal"/>
    <w:autoRedefine/>
    <w:uiPriority w:val="39"/>
    <w:unhideWhenUsed/>
    <w:rsid w:val="00C328A2"/>
    <w:pPr>
      <w:tabs>
        <w:tab w:val="left" w:pos="2160"/>
        <w:tab w:val="right" w:leader="dot" w:pos="8270"/>
      </w:tabs>
      <w:spacing w:after="100"/>
      <w:ind w:left="1800"/>
    </w:pPr>
    <w:rPr>
      <w:noProof/>
      <w:lang w:val="fr-CA"/>
    </w:rPr>
  </w:style>
  <w:style w:type="table" w:customStyle="1" w:styleId="TableGrid1">
    <w:name w:val="Table Grid1"/>
    <w:basedOn w:val="TableauNormal"/>
    <w:uiPriority w:val="59"/>
    <w:rsid w:val="00C328A2"/>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C328A2"/>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C328A2"/>
    <w:pPr>
      <w:numPr>
        <w:ilvl w:val="5"/>
      </w:numPr>
      <w:outlineLvl w:val="5"/>
    </w:pPr>
    <w:rPr>
      <w:i/>
      <w:u w:val="none"/>
    </w:rPr>
  </w:style>
  <w:style w:type="paragraph" w:styleId="Notedebasdepage">
    <w:name w:val="footnote text"/>
    <w:basedOn w:val="Normal"/>
    <w:link w:val="NotedebasdepageCar"/>
    <w:uiPriority w:val="99"/>
    <w:unhideWhenUsed/>
    <w:rsid w:val="00C328A2"/>
    <w:pPr>
      <w:tabs>
        <w:tab w:val="left" w:pos="180"/>
      </w:tabs>
      <w:ind w:left="187" w:hanging="187"/>
      <w:jc w:val="both"/>
    </w:pPr>
    <w:rPr>
      <w:sz w:val="20"/>
      <w:lang w:val="fr-CA"/>
    </w:rPr>
  </w:style>
  <w:style w:type="character" w:customStyle="1" w:styleId="NotedebasdepageCar">
    <w:name w:val="Note de bas de page Car"/>
    <w:basedOn w:val="Policepardfaut"/>
    <w:link w:val="Notedebasdepage"/>
    <w:uiPriority w:val="99"/>
    <w:rsid w:val="00C328A2"/>
    <w:rPr>
      <w:lang w:val="fr-CA"/>
    </w:rPr>
  </w:style>
  <w:style w:type="paragraph" w:styleId="Paragraphedeliste">
    <w:name w:val="List Paragraph"/>
    <w:basedOn w:val="Normal"/>
    <w:uiPriority w:val="34"/>
    <w:qFormat/>
    <w:rsid w:val="00C328A2"/>
    <w:pPr>
      <w:ind w:left="720"/>
      <w:contextualSpacing/>
    </w:pPr>
    <w:rPr>
      <w:szCs w:val="24"/>
      <w:lang w:val="fr-CA"/>
    </w:rPr>
  </w:style>
  <w:style w:type="character" w:customStyle="1" w:styleId="Titre4Car">
    <w:name w:val="Titre 4 Car"/>
    <w:basedOn w:val="Policepardfaut"/>
    <w:link w:val="Titre4"/>
    <w:uiPriority w:val="9"/>
    <w:semiHidden/>
    <w:rsid w:val="00C328A2"/>
    <w:rPr>
      <w:rFonts w:asciiTheme="majorHAnsi" w:eastAsiaTheme="majorEastAsia" w:hAnsiTheme="majorHAnsi" w:cstheme="majorBidi"/>
      <w:b/>
      <w:bCs/>
      <w:i/>
      <w:iCs/>
      <w:color w:val="4F81BD" w:themeColor="accent1"/>
      <w:sz w:val="24"/>
      <w:szCs w:val="22"/>
      <w:lang w:val="en-US" w:eastAsia="en-US" w:bidi="en-US"/>
    </w:rPr>
  </w:style>
  <w:style w:type="character" w:customStyle="1" w:styleId="Titre5Car">
    <w:name w:val="Titre 5 Car"/>
    <w:basedOn w:val="Policepardfaut"/>
    <w:link w:val="Titre5"/>
    <w:uiPriority w:val="9"/>
    <w:semiHidden/>
    <w:rsid w:val="00C328A2"/>
    <w:rPr>
      <w:rFonts w:asciiTheme="majorHAnsi" w:eastAsiaTheme="majorEastAsia" w:hAnsiTheme="majorHAnsi" w:cstheme="majorBidi"/>
      <w:color w:val="243F60" w:themeColor="accent1" w:themeShade="7F"/>
      <w:sz w:val="24"/>
      <w:szCs w:val="22"/>
      <w:lang w:val="en-US" w:eastAsia="en-US" w:bidi="en-US"/>
    </w:rPr>
  </w:style>
  <w:style w:type="character" w:customStyle="1" w:styleId="Titre6Car">
    <w:name w:val="Titre 6 Car"/>
    <w:basedOn w:val="Policepardfaut"/>
    <w:link w:val="Titre6"/>
    <w:uiPriority w:val="9"/>
    <w:semiHidden/>
    <w:rsid w:val="00C328A2"/>
    <w:rPr>
      <w:rFonts w:asciiTheme="majorHAnsi" w:eastAsiaTheme="majorEastAsia" w:hAnsiTheme="majorHAnsi" w:cstheme="majorBidi"/>
      <w:i/>
      <w:iCs/>
      <w:color w:val="243F60" w:themeColor="accent1" w:themeShade="7F"/>
      <w:sz w:val="24"/>
      <w:szCs w:val="22"/>
      <w:lang w:val="en-US" w:eastAsia="en-US" w:bidi="en-US"/>
    </w:rPr>
  </w:style>
  <w:style w:type="character" w:customStyle="1" w:styleId="Titre7Car">
    <w:name w:val="Titre 7 Car"/>
    <w:basedOn w:val="Policepardfaut"/>
    <w:link w:val="Titre7"/>
    <w:uiPriority w:val="9"/>
    <w:semiHidden/>
    <w:rsid w:val="00C328A2"/>
    <w:rPr>
      <w:rFonts w:asciiTheme="majorHAnsi" w:eastAsiaTheme="majorEastAsia" w:hAnsiTheme="majorHAnsi" w:cstheme="majorBidi"/>
      <w:i/>
      <w:iCs/>
      <w:color w:val="404040" w:themeColor="text1" w:themeTint="BF"/>
      <w:sz w:val="24"/>
      <w:szCs w:val="22"/>
      <w:lang w:val="en-US" w:eastAsia="en-US" w:bidi="en-US"/>
    </w:rPr>
  </w:style>
  <w:style w:type="character" w:customStyle="1" w:styleId="Titre8Car">
    <w:name w:val="Titre 8 Car"/>
    <w:basedOn w:val="Policepardfaut"/>
    <w:link w:val="Titre8"/>
    <w:uiPriority w:val="9"/>
    <w:semiHidden/>
    <w:rsid w:val="00C328A2"/>
    <w:rPr>
      <w:rFonts w:asciiTheme="majorHAnsi" w:eastAsiaTheme="majorEastAsia" w:hAnsiTheme="majorHAnsi" w:cstheme="majorBidi"/>
      <w:color w:val="4F81BD" w:themeColor="accent1"/>
      <w:lang w:val="en-US" w:eastAsia="en-US" w:bidi="en-US"/>
    </w:rPr>
  </w:style>
  <w:style w:type="character" w:customStyle="1" w:styleId="Titre9Car">
    <w:name w:val="Titre 9 Car"/>
    <w:basedOn w:val="Policepardfaut"/>
    <w:link w:val="Titre9"/>
    <w:uiPriority w:val="9"/>
    <w:semiHidden/>
    <w:rsid w:val="00C328A2"/>
    <w:rPr>
      <w:rFonts w:asciiTheme="majorHAnsi" w:eastAsiaTheme="majorEastAsia" w:hAnsiTheme="majorHAnsi" w:cstheme="majorBidi"/>
      <w:i/>
      <w:iCs/>
      <w:color w:val="404040" w:themeColor="text1" w:themeTint="BF"/>
      <w:lang w:val="en-US" w:eastAsia="en-US" w:bidi="en-US"/>
    </w:rPr>
  </w:style>
  <w:style w:type="character" w:customStyle="1" w:styleId="JudgeJugeChar">
    <w:name w:val="Judge / Juge Char"/>
    <w:basedOn w:val="Policepardfaut"/>
    <w:link w:val="JudgeJuge"/>
    <w:uiPriority w:val="3"/>
    <w:rsid w:val="00C328A2"/>
    <w:rPr>
      <w:smallCaps/>
      <w:sz w:val="24"/>
      <w:szCs w:val="24"/>
    </w:rPr>
  </w:style>
  <w:style w:type="paragraph" w:styleId="En-ttedetabledesmatires">
    <w:name w:val="TOC Heading"/>
    <w:basedOn w:val="Titre1"/>
    <w:next w:val="Normal"/>
    <w:uiPriority w:val="39"/>
    <w:unhideWhenUsed/>
    <w:qFormat/>
    <w:rsid w:val="00C328A2"/>
    <w:pPr>
      <w:spacing w:before="480" w:after="0"/>
      <w:ind w:left="0" w:firstLine="0"/>
      <w:outlineLvl w:val="9"/>
    </w:pPr>
    <w:rPr>
      <w:lang w:val="en-US" w:eastAsia="en-US" w:bidi="en-US"/>
    </w:rPr>
  </w:style>
  <w:style w:type="paragraph" w:styleId="Sansinterligne">
    <w:name w:val="No Spacing"/>
    <w:uiPriority w:val="1"/>
    <w:rsid w:val="00C328A2"/>
    <w:rPr>
      <w:rFonts w:eastAsiaTheme="minorHAnsi" w:cstheme="minorBidi"/>
      <w:sz w:val="24"/>
      <w:szCs w:val="22"/>
      <w:lang w:val="en-US" w:eastAsia="en-US" w:bidi="en-US"/>
    </w:rPr>
  </w:style>
  <w:style w:type="paragraph" w:styleId="Lgende">
    <w:name w:val="caption"/>
    <w:basedOn w:val="Normal"/>
    <w:next w:val="Normal"/>
    <w:uiPriority w:val="35"/>
    <w:semiHidden/>
    <w:unhideWhenUsed/>
    <w:qFormat/>
    <w:rsid w:val="00C328A2"/>
    <w:rPr>
      <w:rFonts w:eastAsiaTheme="minorHAnsi" w:cstheme="minorBidi"/>
      <w:b/>
      <w:bCs/>
      <w:color w:val="4F81BD" w:themeColor="accent1"/>
      <w:sz w:val="18"/>
      <w:szCs w:val="18"/>
      <w:lang w:val="en-US" w:eastAsia="en-US" w:bidi="en-US"/>
    </w:rPr>
  </w:style>
  <w:style w:type="paragraph" w:styleId="Titre">
    <w:name w:val="Title"/>
    <w:basedOn w:val="Normal"/>
    <w:next w:val="Normal"/>
    <w:link w:val="TitreCar"/>
    <w:uiPriority w:val="10"/>
    <w:rsid w:val="00C328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reCar">
    <w:name w:val="Titre Car"/>
    <w:basedOn w:val="Policepardfaut"/>
    <w:link w:val="Titre"/>
    <w:uiPriority w:val="10"/>
    <w:rsid w:val="00C328A2"/>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Sous-titre">
    <w:name w:val="Subtitle"/>
    <w:basedOn w:val="Normal"/>
    <w:next w:val="Normal"/>
    <w:link w:val="Sous-titreCar"/>
    <w:uiPriority w:val="11"/>
    <w:rsid w:val="00C328A2"/>
    <w:pPr>
      <w:numPr>
        <w:ilvl w:val="1"/>
      </w:numPr>
    </w:pPr>
    <w:rPr>
      <w:rFonts w:asciiTheme="majorHAnsi" w:eastAsiaTheme="majorEastAsia" w:hAnsiTheme="majorHAnsi" w:cstheme="majorBidi"/>
      <w:i/>
      <w:iCs/>
      <w:color w:val="4F81BD" w:themeColor="accent1"/>
      <w:spacing w:val="15"/>
      <w:szCs w:val="24"/>
      <w:lang w:val="en-US" w:eastAsia="en-US" w:bidi="en-US"/>
    </w:rPr>
  </w:style>
  <w:style w:type="character" w:customStyle="1" w:styleId="Sous-titreCar">
    <w:name w:val="Sous-titre Car"/>
    <w:basedOn w:val="Policepardfaut"/>
    <w:link w:val="Sous-titre"/>
    <w:uiPriority w:val="11"/>
    <w:rsid w:val="00C328A2"/>
    <w:rPr>
      <w:rFonts w:asciiTheme="majorHAnsi" w:eastAsiaTheme="majorEastAsia" w:hAnsiTheme="majorHAnsi" w:cstheme="majorBidi"/>
      <w:i/>
      <w:iCs/>
      <w:color w:val="4F81BD" w:themeColor="accent1"/>
      <w:spacing w:val="15"/>
      <w:sz w:val="24"/>
      <w:szCs w:val="24"/>
      <w:lang w:val="en-US" w:eastAsia="en-US" w:bidi="en-US"/>
    </w:rPr>
  </w:style>
  <w:style w:type="paragraph" w:styleId="Citationintense">
    <w:name w:val="Intense Quote"/>
    <w:basedOn w:val="Normal"/>
    <w:next w:val="Normal"/>
    <w:link w:val="CitationintenseCar"/>
    <w:uiPriority w:val="30"/>
    <w:rsid w:val="00C328A2"/>
    <w:pPr>
      <w:pBdr>
        <w:bottom w:val="single" w:sz="4" w:space="4" w:color="4F81BD" w:themeColor="accent1"/>
      </w:pBdr>
      <w:spacing w:before="200" w:after="280"/>
      <w:ind w:left="936" w:right="936"/>
    </w:pPr>
    <w:rPr>
      <w:rFonts w:eastAsiaTheme="minorHAnsi" w:cstheme="minorBidi"/>
      <w:b/>
      <w:bCs/>
      <w:i/>
      <w:iCs/>
      <w:color w:val="4F81BD" w:themeColor="accent1"/>
      <w:szCs w:val="22"/>
      <w:lang w:val="en-US" w:eastAsia="en-US" w:bidi="en-US"/>
    </w:rPr>
  </w:style>
  <w:style w:type="character" w:customStyle="1" w:styleId="CitationintenseCar">
    <w:name w:val="Citation intense Car"/>
    <w:basedOn w:val="Policepardfaut"/>
    <w:link w:val="Citationintense"/>
    <w:uiPriority w:val="30"/>
    <w:rsid w:val="00C328A2"/>
    <w:rPr>
      <w:rFonts w:eastAsiaTheme="minorHAnsi" w:cstheme="minorBidi"/>
      <w:b/>
      <w:bCs/>
      <w:i/>
      <w:iCs/>
      <w:color w:val="4F81BD" w:themeColor="accent1"/>
      <w:sz w:val="24"/>
      <w:szCs w:val="22"/>
      <w:lang w:val="en-US" w:eastAsia="en-US" w:bidi="en-US"/>
    </w:rPr>
  </w:style>
  <w:style w:type="paragraph" w:styleId="Rvision">
    <w:name w:val="Revision"/>
    <w:hidden/>
    <w:uiPriority w:val="99"/>
    <w:semiHidden/>
    <w:rsid w:val="00C328A2"/>
    <w:rPr>
      <w:rFonts w:eastAsiaTheme="minorHAnsi" w:cstheme="minorBidi"/>
      <w:sz w:val="24"/>
      <w:szCs w:val="22"/>
      <w:lang w:val="en-US" w:eastAsia="en-US" w:bidi="en-US"/>
    </w:rPr>
  </w:style>
  <w:style w:type="paragraph" w:styleId="NormalWeb">
    <w:name w:val="Normal (Web)"/>
    <w:basedOn w:val="Normal"/>
    <w:uiPriority w:val="99"/>
    <w:semiHidden/>
    <w:unhideWhenUsed/>
    <w:rsid w:val="00C328A2"/>
    <w:pPr>
      <w:spacing w:before="100" w:beforeAutospacing="1" w:after="100" w:afterAutospacing="1"/>
    </w:pPr>
    <w:rPr>
      <w:szCs w:val="24"/>
    </w:rPr>
  </w:style>
  <w:style w:type="table" w:customStyle="1" w:styleId="TableGrid2">
    <w:name w:val="Table Grid2"/>
    <w:basedOn w:val="TableauNormal"/>
    <w:next w:val="Grilledutableau"/>
    <w:uiPriority w:val="59"/>
    <w:rsid w:val="00C328A2"/>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2730">
      <w:bodyDiv w:val="1"/>
      <w:marLeft w:val="0"/>
      <w:marRight w:val="0"/>
      <w:marTop w:val="0"/>
      <w:marBottom w:val="0"/>
      <w:divBdr>
        <w:top w:val="none" w:sz="0" w:space="0" w:color="auto"/>
        <w:left w:val="none" w:sz="0" w:space="0" w:color="auto"/>
        <w:bottom w:val="none" w:sz="0" w:space="0" w:color="auto"/>
        <w:right w:val="none" w:sz="0" w:space="0" w:color="auto"/>
      </w:divBdr>
    </w:div>
    <w:div w:id="708606178">
      <w:bodyDiv w:val="1"/>
      <w:marLeft w:val="0"/>
      <w:marRight w:val="0"/>
      <w:marTop w:val="0"/>
      <w:marBottom w:val="0"/>
      <w:divBdr>
        <w:top w:val="none" w:sz="0" w:space="0" w:color="auto"/>
        <w:left w:val="none" w:sz="0" w:space="0" w:color="auto"/>
        <w:bottom w:val="none" w:sz="0" w:space="0" w:color="auto"/>
        <w:right w:val="none" w:sz="0" w:space="0" w:color="auto"/>
      </w:divBdr>
    </w:div>
    <w:div w:id="831070722">
      <w:bodyDiv w:val="1"/>
      <w:marLeft w:val="0"/>
      <w:marRight w:val="0"/>
      <w:marTop w:val="0"/>
      <w:marBottom w:val="0"/>
      <w:divBdr>
        <w:top w:val="none" w:sz="0" w:space="0" w:color="auto"/>
        <w:left w:val="none" w:sz="0" w:space="0" w:color="auto"/>
        <w:bottom w:val="none" w:sz="0" w:space="0" w:color="auto"/>
        <w:right w:val="none" w:sz="0" w:space="0" w:color="auto"/>
      </w:divBdr>
    </w:div>
    <w:div w:id="13731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courts.ca/jdb-txt/ca/23/03/2023BCCA0306cor2.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so-dce/2024SCC-CSC40_1_eng.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c-csc.ca/cso-dce/2024SCC-CSC40_2_fra.pdf" TargetMode="External"/><Relationship Id="rId4" Type="http://schemas.openxmlformats.org/officeDocument/2006/relationships/settings" Target="settings.xml"/><Relationship Id="rId9" Type="http://schemas.openxmlformats.org/officeDocument/2006/relationships/image" Target="cid:image001.jpg@01D72252.19B69D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D92B-95A0-434E-8B0C-EE9984A1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35555</Words>
  <Characters>190724</Characters>
  <Application>Microsoft Office Word</Application>
  <DocSecurity>0</DocSecurity>
  <Lines>1589</Lines>
  <Paragraphs>451</Paragraphs>
  <ScaleCrop>false</ScaleCrop>
  <Company/>
  <LinksUpToDate>false</LinksUpToDate>
  <CharactersWithSpaces>225828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2024-11-29T00:31:00Z</dcterms:created>
  <dcterms:modified xsi:type="dcterms:W3CDTF">2024-11-29T14:48:00Z</dcterms:modified>
</cp:coreProperties>
</file>