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10FD" w14:textId="7140E5DF" w:rsidR="00C05FA3" w:rsidRPr="00105125" w:rsidRDefault="00C05FA3">
      <w:pPr>
        <w:rPr>
          <w:lang w:val="en-CA"/>
        </w:rPr>
      </w:pPr>
      <w:r w:rsidRPr="00105125">
        <w:rPr>
          <w:lang w:val="en-CA"/>
        </w:rPr>
        <w:t>English translation of the judgment of the Court by SOQUIJ</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EA43D9" w:rsidRPr="00105125" w14:paraId="081C2572" w14:textId="77777777" w:rsidTr="008D18FC">
        <w:trPr>
          <w:trHeight w:val="248"/>
        </w:trPr>
        <w:tc>
          <w:tcPr>
            <w:tcW w:w="7372" w:type="dxa"/>
            <w:gridSpan w:val="5"/>
          </w:tcPr>
          <w:p w14:paraId="06D31204" w14:textId="3FB430FE" w:rsidR="008F364A" w:rsidRPr="001444DD" w:rsidRDefault="004A7BFD" w:rsidP="00FC443B">
            <w:pPr>
              <w:pStyle w:val="zSoquijdatRepertorie"/>
              <w:rPr>
                <w:rFonts w:cs="Arial"/>
              </w:rPr>
            </w:pPr>
            <w:r w:rsidRPr="001444DD">
              <w:rPr>
                <w:rFonts w:cs="Arial"/>
              </w:rPr>
              <w:t xml:space="preserve">Procureur général du Québec c. </w:t>
            </w:r>
            <w:proofErr w:type="spellStart"/>
            <w:r w:rsidRPr="001444DD">
              <w:rPr>
                <w:rFonts w:cs="Arial"/>
              </w:rPr>
              <w:t>Kanyinda</w:t>
            </w:r>
            <w:proofErr w:type="spellEnd"/>
          </w:p>
        </w:tc>
        <w:tc>
          <w:tcPr>
            <w:tcW w:w="1988" w:type="dxa"/>
          </w:tcPr>
          <w:p w14:paraId="6A66E2EA" w14:textId="6F8DE456" w:rsidR="008F364A" w:rsidRPr="00105125" w:rsidRDefault="004A7BFD" w:rsidP="00DE5938">
            <w:pPr>
              <w:pStyle w:val="zSoquijdatRefNeutre"/>
              <w:jc w:val="right"/>
              <w:rPr>
                <w:rFonts w:cs="Arial"/>
                <w:lang w:val="en-CA"/>
              </w:rPr>
            </w:pPr>
            <w:r w:rsidRPr="00105125">
              <w:rPr>
                <w:rFonts w:cs="Arial"/>
                <w:lang w:val="en-CA"/>
              </w:rPr>
              <w:t>2024 QCCA 144</w:t>
            </w:r>
          </w:p>
        </w:tc>
      </w:tr>
      <w:tr w:rsidR="00EA43D9" w:rsidRPr="00105125" w14:paraId="1FF57EB2" w14:textId="77777777" w:rsidTr="008D18FC">
        <w:trPr>
          <w:trHeight w:val="247"/>
        </w:trPr>
        <w:tc>
          <w:tcPr>
            <w:tcW w:w="9360" w:type="dxa"/>
            <w:gridSpan w:val="6"/>
          </w:tcPr>
          <w:p w14:paraId="3AD5323F" w14:textId="0D602C99" w:rsidR="008F364A" w:rsidRPr="00105125" w:rsidRDefault="00C05FA3">
            <w:pPr>
              <w:pStyle w:val="zSoquijlblCour"/>
              <w:rPr>
                <w:lang w:val="en-CA"/>
              </w:rPr>
            </w:pPr>
            <w:r w:rsidRPr="00105125">
              <w:rPr>
                <w:lang w:val="en-CA"/>
              </w:rPr>
              <w:t>COURT OF APPEAL</w:t>
            </w:r>
          </w:p>
        </w:tc>
      </w:tr>
      <w:tr w:rsidR="00EA43D9" w:rsidRPr="00105125" w14:paraId="2815885F" w14:textId="77777777" w:rsidTr="008D18FC">
        <w:trPr>
          <w:trHeight w:val="540"/>
        </w:trPr>
        <w:tc>
          <w:tcPr>
            <w:tcW w:w="9360" w:type="dxa"/>
            <w:gridSpan w:val="6"/>
          </w:tcPr>
          <w:p w14:paraId="280A240B" w14:textId="77777777" w:rsidR="008F364A" w:rsidRPr="00105125" w:rsidRDefault="008F364A">
            <w:pPr>
              <w:pStyle w:val="zSoquijdatDivision"/>
              <w:rPr>
                <w:lang w:val="en-CA"/>
              </w:rPr>
            </w:pPr>
          </w:p>
        </w:tc>
      </w:tr>
      <w:tr w:rsidR="00EA43D9" w:rsidRPr="00105125" w14:paraId="4F7F54A0" w14:textId="77777777" w:rsidTr="008D18FC">
        <w:tc>
          <w:tcPr>
            <w:tcW w:w="9360" w:type="dxa"/>
            <w:gridSpan w:val="6"/>
          </w:tcPr>
          <w:p w14:paraId="5D1D7E33" w14:textId="77777777" w:rsidR="008F364A" w:rsidRPr="00105125" w:rsidRDefault="004A7BFD">
            <w:pPr>
              <w:pStyle w:val="zSoquijlblPays"/>
              <w:rPr>
                <w:lang w:val="en-CA"/>
              </w:rPr>
            </w:pPr>
            <w:r w:rsidRPr="00105125">
              <w:rPr>
                <w:lang w:val="en-CA"/>
              </w:rPr>
              <w:t>CANADA</w:t>
            </w:r>
          </w:p>
        </w:tc>
      </w:tr>
      <w:tr w:rsidR="00EA43D9" w:rsidRPr="00105125" w14:paraId="080C62F5" w14:textId="77777777" w:rsidTr="008D18FC">
        <w:tc>
          <w:tcPr>
            <w:tcW w:w="9360" w:type="dxa"/>
            <w:gridSpan w:val="6"/>
          </w:tcPr>
          <w:p w14:paraId="62DE5FC1" w14:textId="163E361D" w:rsidR="008F364A" w:rsidRPr="00105125" w:rsidRDefault="00C05FA3">
            <w:pPr>
              <w:pStyle w:val="zSoquijlblProvince"/>
              <w:rPr>
                <w:lang w:val="en-CA"/>
              </w:rPr>
            </w:pPr>
            <w:r w:rsidRPr="00105125">
              <w:rPr>
                <w:lang w:val="en-CA"/>
              </w:rPr>
              <w:t>PROVINCE OF QUEBEC</w:t>
            </w:r>
          </w:p>
        </w:tc>
      </w:tr>
      <w:tr w:rsidR="00EA43D9" w:rsidRPr="00105125" w14:paraId="1839F6F2" w14:textId="77777777" w:rsidTr="00BC104D">
        <w:tc>
          <w:tcPr>
            <w:tcW w:w="1701" w:type="dxa"/>
            <w:gridSpan w:val="3"/>
          </w:tcPr>
          <w:p w14:paraId="5E3CFD6F" w14:textId="2A85BB2E" w:rsidR="008F364A" w:rsidRPr="00105125" w:rsidRDefault="00C05FA3">
            <w:pPr>
              <w:pStyle w:val="zSoquijlblGreffe"/>
              <w:rPr>
                <w:lang w:val="en-CA"/>
              </w:rPr>
            </w:pPr>
            <w:r w:rsidRPr="00105125">
              <w:rPr>
                <w:lang w:val="en-CA"/>
              </w:rPr>
              <w:t>REGISTRY OF</w:t>
            </w:r>
          </w:p>
          <w:p w14:paraId="64D38083" w14:textId="77777777" w:rsidR="008F364A" w:rsidRPr="00105125" w:rsidRDefault="008F364A">
            <w:pPr>
              <w:pStyle w:val="zSoquijlblGreffe"/>
              <w:rPr>
                <w:lang w:val="en-CA"/>
              </w:rPr>
            </w:pPr>
          </w:p>
        </w:tc>
        <w:tc>
          <w:tcPr>
            <w:tcW w:w="7659" w:type="dxa"/>
            <w:gridSpan w:val="3"/>
          </w:tcPr>
          <w:p w14:paraId="20F5FEBA" w14:textId="015A59DE" w:rsidR="008F364A" w:rsidRPr="00105125" w:rsidRDefault="00C05FA3">
            <w:pPr>
              <w:pStyle w:val="zSoquijdatGreffe"/>
              <w:rPr>
                <w:lang w:val="en-CA"/>
              </w:rPr>
            </w:pPr>
            <w:r w:rsidRPr="00105125">
              <w:rPr>
                <w:lang w:val="en-CA"/>
              </w:rPr>
              <w:t>MONTREAL</w:t>
            </w:r>
          </w:p>
        </w:tc>
      </w:tr>
      <w:tr w:rsidR="00EA43D9" w:rsidRPr="00105125" w14:paraId="19B4D9BE" w14:textId="77777777" w:rsidTr="008D18FC">
        <w:tc>
          <w:tcPr>
            <w:tcW w:w="1030" w:type="dxa"/>
          </w:tcPr>
          <w:p w14:paraId="02C35F6F" w14:textId="6E0DAE73" w:rsidR="008F364A" w:rsidRPr="00105125" w:rsidRDefault="00C05FA3">
            <w:pPr>
              <w:pStyle w:val="zSoquijlblNoDossier"/>
              <w:rPr>
                <w:lang w:val="en-CA"/>
              </w:rPr>
            </w:pPr>
            <w:r w:rsidRPr="00105125">
              <w:rPr>
                <w:lang w:val="en-CA"/>
              </w:rPr>
              <w:t>N</w:t>
            </w:r>
            <w:r w:rsidR="00BC104D" w:rsidRPr="00105125">
              <w:rPr>
                <w:lang w:val="en-CA"/>
              </w:rPr>
              <w:t>o</w:t>
            </w:r>
            <w:r w:rsidRPr="00105125">
              <w:rPr>
                <w:lang w:val="en-CA"/>
              </w:rPr>
              <w:t>.:</w:t>
            </w:r>
          </w:p>
        </w:tc>
        <w:tc>
          <w:tcPr>
            <w:tcW w:w="8330" w:type="dxa"/>
            <w:gridSpan w:val="5"/>
          </w:tcPr>
          <w:p w14:paraId="1C30DDAC" w14:textId="11402CBC" w:rsidR="008F364A" w:rsidRPr="00105125" w:rsidRDefault="004A7BFD">
            <w:pPr>
              <w:pStyle w:val="zSoquijdatNoDossier"/>
              <w:rPr>
                <w:lang w:val="en-CA"/>
              </w:rPr>
            </w:pPr>
            <w:bookmarkStart w:id="0" w:name="NoDossier"/>
            <w:r w:rsidRPr="00105125">
              <w:rPr>
                <w:lang w:val="en-CA"/>
              </w:rPr>
              <w:t>500-09-030116-222</w:t>
            </w:r>
            <w:bookmarkEnd w:id="0"/>
          </w:p>
        </w:tc>
      </w:tr>
      <w:tr w:rsidR="00EA43D9" w:rsidRPr="00105125" w14:paraId="14EF2CE3" w14:textId="77777777" w:rsidTr="008D18FC">
        <w:tc>
          <w:tcPr>
            <w:tcW w:w="9360" w:type="dxa"/>
            <w:gridSpan w:val="6"/>
          </w:tcPr>
          <w:p w14:paraId="60B4D8D4" w14:textId="3699BB36" w:rsidR="008005DB" w:rsidRPr="00105125" w:rsidRDefault="004A7BFD" w:rsidP="008005DB">
            <w:pPr>
              <w:pStyle w:val="zSoquijdatNoDossierAnt"/>
              <w:rPr>
                <w:lang w:val="en-CA"/>
              </w:rPr>
            </w:pPr>
            <w:r w:rsidRPr="00105125">
              <w:rPr>
                <w:lang w:val="en-CA"/>
              </w:rPr>
              <w:t>(500-17-108083-190)</w:t>
            </w:r>
          </w:p>
        </w:tc>
      </w:tr>
      <w:tr w:rsidR="00EA43D9" w:rsidRPr="00105125" w14:paraId="334B7515" w14:textId="77777777" w:rsidTr="008D18FC">
        <w:tc>
          <w:tcPr>
            <w:tcW w:w="9360" w:type="dxa"/>
            <w:gridSpan w:val="6"/>
          </w:tcPr>
          <w:p w14:paraId="4A1218BA" w14:textId="77777777" w:rsidR="008F364A" w:rsidRPr="00105125" w:rsidRDefault="008F364A">
            <w:pPr>
              <w:rPr>
                <w:lang w:val="en-CA"/>
              </w:rPr>
            </w:pPr>
          </w:p>
        </w:tc>
      </w:tr>
      <w:tr w:rsidR="00EA43D9" w:rsidRPr="00105125" w14:paraId="4E66D4BC" w14:textId="77777777" w:rsidTr="008D18FC">
        <w:tc>
          <w:tcPr>
            <w:tcW w:w="1030" w:type="dxa"/>
          </w:tcPr>
          <w:p w14:paraId="70D7747A" w14:textId="2BFD17D4" w:rsidR="008F364A" w:rsidRPr="00105125" w:rsidRDefault="00C05FA3">
            <w:pPr>
              <w:pStyle w:val="zSoquijlblDateJugement"/>
              <w:rPr>
                <w:lang w:val="en-CA"/>
              </w:rPr>
            </w:pPr>
            <w:r w:rsidRPr="00105125">
              <w:rPr>
                <w:lang w:val="en-CA"/>
              </w:rPr>
              <w:t>DATE:</w:t>
            </w:r>
          </w:p>
        </w:tc>
        <w:tc>
          <w:tcPr>
            <w:tcW w:w="8330" w:type="dxa"/>
            <w:gridSpan w:val="5"/>
          </w:tcPr>
          <w:p w14:paraId="149C61F6" w14:textId="251648EA" w:rsidR="008F364A" w:rsidRPr="00105125" w:rsidRDefault="00806CD1">
            <w:pPr>
              <w:pStyle w:val="zSoquijdatDateJugement"/>
              <w:rPr>
                <w:lang w:val="en-CA"/>
              </w:rPr>
            </w:pPr>
            <w:r w:rsidRPr="00105125">
              <w:rPr>
                <w:lang w:val="en-CA"/>
              </w:rPr>
              <w:t xml:space="preserve"> </w:t>
            </w:r>
            <w:r w:rsidR="00C05FA3" w:rsidRPr="00105125">
              <w:rPr>
                <w:lang w:val="en-CA"/>
              </w:rPr>
              <w:t>February 7, 2024</w:t>
            </w:r>
          </w:p>
        </w:tc>
      </w:tr>
      <w:tr w:rsidR="00EA43D9" w:rsidRPr="00105125" w14:paraId="37FAB169" w14:textId="77777777" w:rsidTr="008D18FC">
        <w:tc>
          <w:tcPr>
            <w:tcW w:w="9360" w:type="dxa"/>
            <w:gridSpan w:val="6"/>
            <w:tcBorders>
              <w:bottom w:val="single" w:sz="8" w:space="0" w:color="auto"/>
            </w:tcBorders>
          </w:tcPr>
          <w:p w14:paraId="59FC1D3E" w14:textId="77777777" w:rsidR="008F364A" w:rsidRPr="00105125" w:rsidRDefault="008F364A">
            <w:pPr>
              <w:rPr>
                <w:lang w:val="en-CA"/>
              </w:rPr>
            </w:pPr>
          </w:p>
        </w:tc>
      </w:tr>
      <w:tr w:rsidR="00EA43D9" w:rsidRPr="00105125" w14:paraId="47E1A9FD" w14:textId="77777777" w:rsidTr="008D18FC">
        <w:tc>
          <w:tcPr>
            <w:tcW w:w="9360" w:type="dxa"/>
            <w:gridSpan w:val="6"/>
            <w:tcBorders>
              <w:top w:val="single" w:sz="8" w:space="0" w:color="auto"/>
            </w:tcBorders>
          </w:tcPr>
          <w:p w14:paraId="2774D37A" w14:textId="77777777" w:rsidR="008F364A" w:rsidRPr="00105125" w:rsidRDefault="008F364A">
            <w:pPr>
              <w:rPr>
                <w:lang w:val="en-CA"/>
              </w:rPr>
            </w:pPr>
          </w:p>
        </w:tc>
      </w:tr>
      <w:tr w:rsidR="00EA43D9" w:rsidRPr="00105125" w14:paraId="051F2F61" w14:textId="77777777" w:rsidTr="008D18FC">
        <w:tc>
          <w:tcPr>
            <w:tcW w:w="1620" w:type="dxa"/>
            <w:gridSpan w:val="2"/>
          </w:tcPr>
          <w:p w14:paraId="3743315E" w14:textId="6114CAB8" w:rsidR="008F364A" w:rsidRPr="00105125" w:rsidRDefault="00C05FA3" w:rsidP="00423DF1">
            <w:pPr>
              <w:pStyle w:val="zSoquijlblJuge"/>
              <w:ind w:right="-142"/>
              <w:rPr>
                <w:lang w:val="en-CA"/>
              </w:rPr>
            </w:pPr>
            <w:r w:rsidRPr="00105125">
              <w:rPr>
                <w:lang w:val="en-CA"/>
              </w:rPr>
              <w:t>CORAM:</w:t>
            </w:r>
          </w:p>
        </w:tc>
        <w:tc>
          <w:tcPr>
            <w:tcW w:w="2350" w:type="dxa"/>
            <w:gridSpan w:val="2"/>
          </w:tcPr>
          <w:p w14:paraId="27C9B08D" w14:textId="440D61D2" w:rsidR="008F364A" w:rsidRPr="00105125" w:rsidRDefault="00C05FA3">
            <w:pPr>
              <w:pStyle w:val="zSoquijdatQteJuge"/>
              <w:rPr>
                <w:lang w:val="en-CA"/>
              </w:rPr>
            </w:pPr>
            <w:r w:rsidRPr="00105125">
              <w:rPr>
                <w:lang w:val="en-CA"/>
              </w:rPr>
              <w:t>THE HONOURABLE</w:t>
            </w:r>
          </w:p>
        </w:tc>
        <w:tc>
          <w:tcPr>
            <w:tcW w:w="5390" w:type="dxa"/>
            <w:gridSpan w:val="2"/>
          </w:tcPr>
          <w:p w14:paraId="7F86DD0C" w14:textId="3BCEFE29" w:rsidR="008F364A" w:rsidRPr="001444DD" w:rsidRDefault="00C05FA3">
            <w:pPr>
              <w:pStyle w:val="zSoquijdatJuge"/>
            </w:pPr>
            <w:r w:rsidRPr="001444DD">
              <w:t>JULIE DUTIL J.A.</w:t>
            </w:r>
          </w:p>
          <w:p w14:paraId="73DB0EAA" w14:textId="691FEC92" w:rsidR="008F364A" w:rsidRPr="001444DD" w:rsidRDefault="00C05FA3">
            <w:pPr>
              <w:pStyle w:val="zSoquijdatJuge"/>
            </w:pPr>
            <w:r w:rsidRPr="001444DD">
              <w:t>ROBERT M. MAINVILLE, J.A.</w:t>
            </w:r>
          </w:p>
          <w:p w14:paraId="4011C77F" w14:textId="0BE1F9B9" w:rsidR="005A78BF" w:rsidRPr="00105125" w:rsidRDefault="00C05FA3" w:rsidP="008005DB">
            <w:pPr>
              <w:pStyle w:val="zSoquijdatJuge"/>
              <w:rPr>
                <w:lang w:val="en-CA"/>
              </w:rPr>
            </w:pPr>
            <w:bookmarkStart w:id="1" w:name="_Hlt520513784"/>
            <w:bookmarkEnd w:id="1"/>
            <w:r w:rsidRPr="00105125">
              <w:rPr>
                <w:lang w:val="en-CA"/>
              </w:rPr>
              <w:t>BENOÎT MOORE, J.A.</w:t>
            </w:r>
          </w:p>
        </w:tc>
      </w:tr>
      <w:tr w:rsidR="00EA43D9" w:rsidRPr="00105125" w14:paraId="18D6ABAB" w14:textId="77777777" w:rsidTr="008D18FC">
        <w:tc>
          <w:tcPr>
            <w:tcW w:w="9360" w:type="dxa"/>
            <w:gridSpan w:val="6"/>
            <w:tcBorders>
              <w:bottom w:val="single" w:sz="8" w:space="0" w:color="auto"/>
            </w:tcBorders>
          </w:tcPr>
          <w:p w14:paraId="1869405B" w14:textId="77777777" w:rsidR="008F364A" w:rsidRPr="00105125" w:rsidRDefault="008F364A">
            <w:pPr>
              <w:rPr>
                <w:lang w:val="en-CA"/>
              </w:rPr>
            </w:pPr>
          </w:p>
        </w:tc>
      </w:tr>
      <w:tr w:rsidR="00EA43D9" w:rsidRPr="00105125" w14:paraId="3A3B889C" w14:textId="77777777" w:rsidTr="008D18FC">
        <w:tc>
          <w:tcPr>
            <w:tcW w:w="9360" w:type="dxa"/>
            <w:gridSpan w:val="6"/>
          </w:tcPr>
          <w:p w14:paraId="7E8472F8" w14:textId="77777777" w:rsidR="008F364A" w:rsidRPr="00105125" w:rsidRDefault="008F364A">
            <w:pPr>
              <w:pStyle w:val="zSoquijlblTitrePartie"/>
              <w:rPr>
                <w:lang w:val="en-CA"/>
              </w:rPr>
            </w:pPr>
          </w:p>
        </w:tc>
      </w:tr>
      <w:tr w:rsidR="00EA43D9" w:rsidRPr="00105125" w14:paraId="78E67178" w14:textId="77777777" w:rsidTr="008D18FC">
        <w:tc>
          <w:tcPr>
            <w:tcW w:w="9360" w:type="dxa"/>
            <w:gridSpan w:val="6"/>
          </w:tcPr>
          <w:p w14:paraId="18F48D89" w14:textId="523A5953" w:rsidR="008F364A" w:rsidRPr="00105125" w:rsidRDefault="00C05FA3">
            <w:pPr>
              <w:pStyle w:val="zSoquijdatNomPartieDem"/>
              <w:rPr>
                <w:lang w:val="en-CA"/>
              </w:rPr>
            </w:pPr>
            <w:r w:rsidRPr="00105125">
              <w:rPr>
                <w:lang w:val="en-CA"/>
              </w:rPr>
              <w:t>ATTORNEY GENERAL OF QUEBEC</w:t>
            </w:r>
          </w:p>
        </w:tc>
      </w:tr>
      <w:tr w:rsidR="00EA43D9" w:rsidRPr="00105125" w14:paraId="6C6C0775" w14:textId="77777777" w:rsidTr="008D18FC">
        <w:tc>
          <w:tcPr>
            <w:tcW w:w="9360" w:type="dxa"/>
            <w:gridSpan w:val="6"/>
          </w:tcPr>
          <w:p w14:paraId="3B9C0B58" w14:textId="7B6DD1EC" w:rsidR="008F364A" w:rsidRPr="00105125" w:rsidRDefault="00C05FA3">
            <w:pPr>
              <w:pStyle w:val="zSoquijdatQtePartieDem"/>
              <w:rPr>
                <w:lang w:val="en-CA"/>
              </w:rPr>
            </w:pPr>
            <w:r w:rsidRPr="00105125">
              <w:rPr>
                <w:lang w:val="en-CA"/>
              </w:rPr>
              <w:t>APPELLANT</w:t>
            </w:r>
            <w:r w:rsidR="00D30C78">
              <w:rPr>
                <w:lang w:val="en-CA"/>
              </w:rPr>
              <w:t>/</w:t>
            </w:r>
            <w:r w:rsidRPr="00105125">
              <w:rPr>
                <w:lang w:val="en-CA"/>
              </w:rPr>
              <w:t xml:space="preserve">INCIDENTAL RESPONDENT – </w:t>
            </w:r>
            <w:r w:rsidR="00D30C78">
              <w:rPr>
                <w:lang w:val="en-CA"/>
              </w:rPr>
              <w:t>D</w:t>
            </w:r>
            <w:r w:rsidRPr="00105125">
              <w:rPr>
                <w:lang w:val="en-CA"/>
              </w:rPr>
              <w:t>efendant</w:t>
            </w:r>
          </w:p>
        </w:tc>
      </w:tr>
      <w:tr w:rsidR="00EA43D9" w:rsidRPr="00105125" w14:paraId="15A5D85F" w14:textId="77777777" w:rsidTr="008D18FC">
        <w:tc>
          <w:tcPr>
            <w:tcW w:w="9360" w:type="dxa"/>
            <w:gridSpan w:val="6"/>
          </w:tcPr>
          <w:p w14:paraId="07670134" w14:textId="2C911C80" w:rsidR="008F364A" w:rsidRPr="00105125" w:rsidRDefault="00C05FA3">
            <w:pPr>
              <w:pStyle w:val="zSoquijlblLienParties"/>
              <w:rPr>
                <w:lang w:val="en-CA"/>
              </w:rPr>
            </w:pPr>
            <w:r w:rsidRPr="00105125">
              <w:rPr>
                <w:lang w:val="en-CA"/>
              </w:rPr>
              <w:t>v.</w:t>
            </w:r>
          </w:p>
        </w:tc>
      </w:tr>
      <w:tr w:rsidR="00EA43D9" w:rsidRPr="00105125" w14:paraId="0E23A40E" w14:textId="77777777" w:rsidTr="008D18FC">
        <w:tc>
          <w:tcPr>
            <w:tcW w:w="9360" w:type="dxa"/>
            <w:gridSpan w:val="6"/>
          </w:tcPr>
          <w:p w14:paraId="166A7BFF" w14:textId="77777777" w:rsidR="008F364A" w:rsidRPr="00105125" w:rsidRDefault="008F364A">
            <w:pPr>
              <w:rPr>
                <w:lang w:val="en-CA"/>
              </w:rPr>
            </w:pPr>
          </w:p>
        </w:tc>
      </w:tr>
      <w:tr w:rsidR="00EA43D9" w:rsidRPr="00105125" w14:paraId="699D91AE" w14:textId="77777777" w:rsidTr="008D18FC">
        <w:tc>
          <w:tcPr>
            <w:tcW w:w="9360" w:type="dxa"/>
            <w:gridSpan w:val="6"/>
          </w:tcPr>
          <w:p w14:paraId="08596C54" w14:textId="03690924" w:rsidR="008F364A" w:rsidRPr="00105125" w:rsidRDefault="004A7BFD">
            <w:pPr>
              <w:pStyle w:val="zSoquijdatNomPartieDef"/>
              <w:rPr>
                <w:lang w:val="en-CA"/>
              </w:rPr>
            </w:pPr>
            <w:r w:rsidRPr="00105125">
              <w:rPr>
                <w:lang w:val="en-CA"/>
              </w:rPr>
              <w:t>BIJOU CIBUABUA KANYINDA</w:t>
            </w:r>
          </w:p>
        </w:tc>
      </w:tr>
      <w:tr w:rsidR="00EA43D9" w:rsidRPr="00105125" w14:paraId="2FD9CE40" w14:textId="77777777" w:rsidTr="008D18FC">
        <w:tc>
          <w:tcPr>
            <w:tcW w:w="9360" w:type="dxa"/>
            <w:gridSpan w:val="6"/>
          </w:tcPr>
          <w:p w14:paraId="5CEA9EC5" w14:textId="11569622" w:rsidR="008F364A" w:rsidRPr="00105125" w:rsidRDefault="00C05FA3">
            <w:pPr>
              <w:pStyle w:val="zSoquijdatQtePartieDef"/>
              <w:rPr>
                <w:lang w:val="en-CA"/>
              </w:rPr>
            </w:pPr>
            <w:r w:rsidRPr="00105125">
              <w:rPr>
                <w:lang w:val="en-CA"/>
              </w:rPr>
              <w:t>RESPONDENT</w:t>
            </w:r>
            <w:r w:rsidR="00D30C78">
              <w:rPr>
                <w:lang w:val="en-CA"/>
              </w:rPr>
              <w:t>/</w:t>
            </w:r>
            <w:r w:rsidRPr="00105125">
              <w:rPr>
                <w:lang w:val="en-CA"/>
              </w:rPr>
              <w:t xml:space="preserve">INCIDENTAL APPELLANT – </w:t>
            </w:r>
            <w:r w:rsidR="00D30C78">
              <w:rPr>
                <w:lang w:val="en-CA"/>
              </w:rPr>
              <w:t>P</w:t>
            </w:r>
            <w:r w:rsidRPr="00105125">
              <w:rPr>
                <w:lang w:val="en-CA"/>
              </w:rPr>
              <w:t>laintiff</w:t>
            </w:r>
          </w:p>
        </w:tc>
      </w:tr>
      <w:tr w:rsidR="00EA43D9" w:rsidRPr="00105125" w14:paraId="27FBAE9F" w14:textId="77777777" w:rsidTr="008D18FC">
        <w:tc>
          <w:tcPr>
            <w:tcW w:w="9360" w:type="dxa"/>
            <w:gridSpan w:val="6"/>
          </w:tcPr>
          <w:p w14:paraId="0244E46C" w14:textId="08C6F875" w:rsidR="008005DB" w:rsidRPr="00105125" w:rsidRDefault="00D30C78" w:rsidP="008005DB">
            <w:pPr>
              <w:rPr>
                <w:lang w:val="en-CA"/>
              </w:rPr>
            </w:pPr>
            <w:r w:rsidRPr="00105125">
              <w:rPr>
                <w:lang w:val="en-CA"/>
              </w:rPr>
              <w:t>A</w:t>
            </w:r>
            <w:r w:rsidR="00C05FA3" w:rsidRPr="00105125">
              <w:rPr>
                <w:lang w:val="en-CA"/>
              </w:rPr>
              <w:t>nd</w:t>
            </w:r>
          </w:p>
        </w:tc>
      </w:tr>
      <w:tr w:rsidR="00EA43D9" w:rsidRPr="00105125" w14:paraId="6A70CA95" w14:textId="77777777" w:rsidTr="008D18FC">
        <w:tc>
          <w:tcPr>
            <w:tcW w:w="9360" w:type="dxa"/>
            <w:gridSpan w:val="6"/>
          </w:tcPr>
          <w:p w14:paraId="7D66C3C1" w14:textId="5E9C3D3B" w:rsidR="008005DB" w:rsidRPr="001444DD" w:rsidRDefault="00C05FA3" w:rsidP="008005DB">
            <w:pPr>
              <w:pStyle w:val="zSoquijdatNomPartieDef"/>
            </w:pPr>
            <w:r w:rsidRPr="001444DD">
              <w:t>COMMISSION DES DROITS DE LA PERSONNE ET DES DROITS DE LA JEUNESSE</w:t>
            </w:r>
          </w:p>
        </w:tc>
      </w:tr>
      <w:tr w:rsidR="00EA43D9" w:rsidRPr="00D97121" w14:paraId="3FADD3DE" w14:textId="77777777" w:rsidTr="008D18FC">
        <w:tc>
          <w:tcPr>
            <w:tcW w:w="9360" w:type="dxa"/>
            <w:gridSpan w:val="6"/>
          </w:tcPr>
          <w:p w14:paraId="04189F8F" w14:textId="55102D19" w:rsidR="008005DB" w:rsidRPr="00105125" w:rsidRDefault="00C05FA3" w:rsidP="008005DB">
            <w:pPr>
              <w:pStyle w:val="zSoquijdatQtePartieDef"/>
              <w:rPr>
                <w:lang w:val="en-CA"/>
              </w:rPr>
            </w:pPr>
            <w:r w:rsidRPr="00105125">
              <w:rPr>
                <w:lang w:val="en-CA"/>
              </w:rPr>
              <w:t>IMPLEADED PARTY</w:t>
            </w:r>
            <w:r w:rsidR="00D30C78">
              <w:rPr>
                <w:lang w:val="en-CA"/>
              </w:rPr>
              <w:t>/</w:t>
            </w:r>
            <w:r w:rsidRPr="00105125">
              <w:rPr>
                <w:lang w:val="en-CA"/>
              </w:rPr>
              <w:t>INCIDENTAL APPELLANT – Interven</w:t>
            </w:r>
            <w:r w:rsidR="00D30C78">
              <w:rPr>
                <w:lang w:val="en-CA"/>
              </w:rPr>
              <w:t>e</w:t>
            </w:r>
            <w:r w:rsidRPr="00105125">
              <w:rPr>
                <w:lang w:val="en-CA"/>
              </w:rPr>
              <w:t>r</w:t>
            </w:r>
          </w:p>
        </w:tc>
      </w:tr>
      <w:tr w:rsidR="00EA43D9" w:rsidRPr="00D97121" w14:paraId="539B22A1" w14:textId="77777777" w:rsidTr="008D18FC">
        <w:tc>
          <w:tcPr>
            <w:tcW w:w="9360" w:type="dxa"/>
            <w:gridSpan w:val="6"/>
          </w:tcPr>
          <w:p w14:paraId="51CA2931" w14:textId="77777777" w:rsidR="008F364A" w:rsidRPr="00105125" w:rsidRDefault="008F364A">
            <w:pPr>
              <w:rPr>
                <w:lang w:val="en-CA"/>
              </w:rPr>
            </w:pPr>
          </w:p>
        </w:tc>
      </w:tr>
      <w:tr w:rsidR="00EA43D9" w:rsidRPr="00D97121" w14:paraId="7EAE9624" w14:textId="77777777" w:rsidTr="008D18FC">
        <w:tc>
          <w:tcPr>
            <w:tcW w:w="9360" w:type="dxa"/>
            <w:gridSpan w:val="6"/>
            <w:tcBorders>
              <w:top w:val="single" w:sz="8" w:space="0" w:color="auto"/>
            </w:tcBorders>
          </w:tcPr>
          <w:p w14:paraId="018C4E90" w14:textId="77777777" w:rsidR="008F364A" w:rsidRPr="00105125" w:rsidRDefault="008F364A">
            <w:pPr>
              <w:rPr>
                <w:lang w:val="en-CA"/>
              </w:rPr>
            </w:pPr>
            <w:bookmarkStart w:id="2" w:name="Arret"/>
          </w:p>
        </w:tc>
      </w:tr>
      <w:tr w:rsidR="00EA43D9" w:rsidRPr="00105125" w14:paraId="73146D2A" w14:textId="77777777" w:rsidTr="008D18FC">
        <w:tc>
          <w:tcPr>
            <w:tcW w:w="9360" w:type="dxa"/>
            <w:gridSpan w:val="6"/>
          </w:tcPr>
          <w:p w14:paraId="0AC2ED40" w14:textId="4D919B9D" w:rsidR="008F364A" w:rsidRPr="00105125" w:rsidRDefault="00C05FA3">
            <w:pPr>
              <w:pStyle w:val="zSoquijlblTypeDocument"/>
              <w:rPr>
                <w:lang w:val="en-CA"/>
              </w:rPr>
            </w:pPr>
            <w:r w:rsidRPr="00105125">
              <w:rPr>
                <w:lang w:val="en-CA"/>
              </w:rPr>
              <w:t>JUDGMENT</w:t>
            </w:r>
          </w:p>
        </w:tc>
      </w:tr>
      <w:tr w:rsidR="00EA43D9" w:rsidRPr="00105125" w14:paraId="0EE54A24" w14:textId="77777777" w:rsidTr="008D18FC">
        <w:tc>
          <w:tcPr>
            <w:tcW w:w="9360" w:type="dxa"/>
            <w:gridSpan w:val="6"/>
            <w:tcBorders>
              <w:bottom w:val="single" w:sz="8" w:space="0" w:color="auto"/>
            </w:tcBorders>
          </w:tcPr>
          <w:p w14:paraId="71ACD7F2" w14:textId="77777777" w:rsidR="008F364A" w:rsidRPr="00105125" w:rsidRDefault="008F364A">
            <w:pPr>
              <w:rPr>
                <w:lang w:val="en-CA"/>
              </w:rPr>
            </w:pPr>
          </w:p>
        </w:tc>
      </w:tr>
      <w:tr w:rsidR="00EA43D9" w:rsidRPr="00105125" w14:paraId="4F866FEA" w14:textId="77777777" w:rsidTr="008D18FC">
        <w:tc>
          <w:tcPr>
            <w:tcW w:w="9360" w:type="dxa"/>
            <w:gridSpan w:val="6"/>
            <w:tcBorders>
              <w:top w:val="single" w:sz="8" w:space="0" w:color="auto"/>
            </w:tcBorders>
          </w:tcPr>
          <w:p w14:paraId="0D59F7DC" w14:textId="77777777" w:rsidR="008F364A" w:rsidRPr="00105125" w:rsidRDefault="008F364A">
            <w:pPr>
              <w:rPr>
                <w:lang w:val="en-CA"/>
              </w:rPr>
            </w:pPr>
          </w:p>
        </w:tc>
      </w:tr>
    </w:tbl>
    <w:p w14:paraId="5A511986" w14:textId="1809ECD6" w:rsidR="00C773F3" w:rsidRPr="00105125" w:rsidRDefault="00C05FA3" w:rsidP="00EA16C4">
      <w:pPr>
        <w:pStyle w:val="Paragraphe"/>
        <w:spacing w:before="240" w:line="280" w:lineRule="exact"/>
        <w:rPr>
          <w:lang w:val="en-CA"/>
        </w:rPr>
      </w:pPr>
      <w:r w:rsidRPr="00105125">
        <w:rPr>
          <w:lang w:val="en-CA"/>
        </w:rPr>
        <w:t>The appellant appeals from a judgment rendered on May 25, 20</w:t>
      </w:r>
      <w:r w:rsidR="00FE061B" w:rsidRPr="00105125">
        <w:rPr>
          <w:lang w:val="en-CA"/>
        </w:rPr>
        <w:t>2</w:t>
      </w:r>
      <w:r w:rsidRPr="00105125">
        <w:rPr>
          <w:lang w:val="en-CA"/>
        </w:rPr>
        <w:t xml:space="preserve">2, by the Superior Court, District of Montreal (the Honourable Marc St-Pierre), granting in part the respondent’s amended application for judicial review, declaring that section 3 of the </w:t>
      </w:r>
      <w:r w:rsidR="00F8495C" w:rsidRPr="00105125">
        <w:rPr>
          <w:bCs/>
          <w:i/>
          <w:lang w:val="en-CA"/>
        </w:rPr>
        <w:t>Reduced Contribution Regulation</w:t>
      </w:r>
      <w:r w:rsidRPr="00105125">
        <w:rPr>
          <w:lang w:val="en-CA"/>
        </w:rPr>
        <w:t xml:space="preserve"> is </w:t>
      </w:r>
      <w:r w:rsidRPr="00105125">
        <w:rPr>
          <w:i/>
          <w:lang w:val="en-CA"/>
        </w:rPr>
        <w:t>ultra vires</w:t>
      </w:r>
      <w:r w:rsidRPr="00105125">
        <w:rPr>
          <w:lang w:val="en-CA"/>
        </w:rPr>
        <w:t xml:space="preserve"> the </w:t>
      </w:r>
      <w:r w:rsidR="00D30C78">
        <w:rPr>
          <w:lang w:val="en-CA"/>
        </w:rPr>
        <w:t xml:space="preserve">government’s </w:t>
      </w:r>
      <w:r w:rsidRPr="00105125">
        <w:rPr>
          <w:lang w:val="en-CA"/>
        </w:rPr>
        <w:t>regulatory powers and that the respondent was entitled to subsidized childcare services.</w:t>
      </w:r>
    </w:p>
    <w:p w14:paraId="4CDCD0D6" w14:textId="0DC314F4" w:rsidR="00C773F3" w:rsidRPr="00105125" w:rsidRDefault="00C05FA3" w:rsidP="00EA16C4">
      <w:pPr>
        <w:pStyle w:val="Paragraphe"/>
        <w:spacing w:line="280" w:lineRule="exact"/>
        <w:rPr>
          <w:lang w:val="en-CA"/>
        </w:rPr>
      </w:pPr>
      <w:r w:rsidRPr="00105125">
        <w:rPr>
          <w:lang w:val="en-CA"/>
        </w:rPr>
        <w:t xml:space="preserve">The respondent and the impleaded party have brought an incidental appeal and argue that part of section 3 of the </w:t>
      </w:r>
      <w:r w:rsidRPr="00105125">
        <w:rPr>
          <w:i/>
          <w:lang w:val="en-CA"/>
        </w:rPr>
        <w:t>Regulation</w:t>
      </w:r>
      <w:r w:rsidRPr="00105125">
        <w:rPr>
          <w:lang w:val="en-CA"/>
        </w:rPr>
        <w:t xml:space="preserve"> is unconstitutional under section 15 of the </w:t>
      </w:r>
      <w:r w:rsidRPr="00105125">
        <w:rPr>
          <w:i/>
          <w:lang w:val="en-CA"/>
        </w:rPr>
        <w:lastRenderedPageBreak/>
        <w:t>Canadian Charter of Rights and Freedoms</w:t>
      </w:r>
      <w:r w:rsidRPr="00105125">
        <w:rPr>
          <w:lang w:val="en-CA"/>
        </w:rPr>
        <w:t xml:space="preserve"> and section 10 of the </w:t>
      </w:r>
      <w:r w:rsidRPr="00105125">
        <w:rPr>
          <w:i/>
          <w:lang w:val="en-CA"/>
        </w:rPr>
        <w:t xml:space="preserve">Charter of </w:t>
      </w:r>
      <w:r w:rsidR="00EA4E2C">
        <w:rPr>
          <w:i/>
          <w:lang w:val="en-CA"/>
        </w:rPr>
        <w:t>H</w:t>
      </w:r>
      <w:r w:rsidRPr="00105125">
        <w:rPr>
          <w:i/>
          <w:lang w:val="en-CA"/>
        </w:rPr>
        <w:t xml:space="preserve">uman </w:t>
      </w:r>
      <w:r w:rsidR="00EA4E2C">
        <w:rPr>
          <w:i/>
          <w:lang w:val="en-CA"/>
        </w:rPr>
        <w:t>R</w:t>
      </w:r>
      <w:r w:rsidRPr="00105125">
        <w:rPr>
          <w:i/>
          <w:lang w:val="en-CA"/>
        </w:rPr>
        <w:t xml:space="preserve">ights and </w:t>
      </w:r>
      <w:r w:rsidR="00EA4E2C">
        <w:rPr>
          <w:i/>
          <w:lang w:val="en-CA"/>
        </w:rPr>
        <w:t>F</w:t>
      </w:r>
      <w:r w:rsidRPr="00105125">
        <w:rPr>
          <w:i/>
          <w:lang w:val="en-CA"/>
        </w:rPr>
        <w:t>reedoms</w:t>
      </w:r>
      <w:r w:rsidRPr="00105125">
        <w:rPr>
          <w:lang w:val="en-CA"/>
        </w:rPr>
        <w:t>.</w:t>
      </w:r>
    </w:p>
    <w:p w14:paraId="360080E3" w14:textId="1F668506" w:rsidR="00C773F3" w:rsidRPr="00105125" w:rsidRDefault="00C05FA3" w:rsidP="00EA16C4">
      <w:pPr>
        <w:pStyle w:val="Paragraphe"/>
        <w:spacing w:line="280" w:lineRule="exact"/>
        <w:rPr>
          <w:lang w:val="en-CA"/>
        </w:rPr>
      </w:pPr>
      <w:r w:rsidRPr="00105125">
        <w:rPr>
          <w:lang w:val="en-CA"/>
        </w:rPr>
        <w:t xml:space="preserve">For the reasons of Dutil, J.A., with which Mainville and Moore, JJ.A. agree, </w:t>
      </w:r>
      <w:r w:rsidRPr="00105125">
        <w:rPr>
          <w:b/>
          <w:lang w:val="en-CA"/>
        </w:rPr>
        <w:t>THE COURT:</w:t>
      </w:r>
    </w:p>
    <w:p w14:paraId="31C74CBD" w14:textId="44C6851F" w:rsidR="00C773F3" w:rsidRPr="00105125" w:rsidRDefault="00C05FA3" w:rsidP="00EA16C4">
      <w:pPr>
        <w:pStyle w:val="Paragraphe"/>
        <w:spacing w:line="280" w:lineRule="exact"/>
        <w:rPr>
          <w:lang w:val="en-CA"/>
        </w:rPr>
      </w:pPr>
      <w:r w:rsidRPr="00105125">
        <w:rPr>
          <w:b/>
          <w:bCs/>
          <w:lang w:val="en-CA"/>
        </w:rPr>
        <w:t>ALLOWS</w:t>
      </w:r>
      <w:r w:rsidRPr="00105125">
        <w:rPr>
          <w:bCs/>
          <w:lang w:val="en-CA"/>
        </w:rPr>
        <w:t xml:space="preserve"> </w:t>
      </w:r>
      <w:r w:rsidR="00D30C78">
        <w:rPr>
          <w:bCs/>
          <w:lang w:val="en-CA"/>
        </w:rPr>
        <w:t xml:space="preserve">in part </w:t>
      </w:r>
      <w:r w:rsidRPr="00105125">
        <w:rPr>
          <w:bCs/>
          <w:lang w:val="en-CA"/>
        </w:rPr>
        <w:t>the principal appeal for the sole purpose of setting aside paragraph 82 of the trial judgment;</w:t>
      </w:r>
    </w:p>
    <w:p w14:paraId="7F4E0989" w14:textId="05120B2D" w:rsidR="00C773F3" w:rsidRPr="00105125" w:rsidRDefault="00C05FA3" w:rsidP="00EA16C4">
      <w:pPr>
        <w:pStyle w:val="Paragraphe"/>
        <w:spacing w:line="280" w:lineRule="exact"/>
        <w:rPr>
          <w:lang w:val="en-CA"/>
        </w:rPr>
      </w:pPr>
      <w:r w:rsidRPr="00105125">
        <w:rPr>
          <w:b/>
          <w:bCs/>
          <w:lang w:val="en-CA"/>
        </w:rPr>
        <w:t>SETS ASIDE</w:t>
      </w:r>
      <w:r w:rsidRPr="00105125">
        <w:rPr>
          <w:bCs/>
          <w:lang w:val="en-CA"/>
        </w:rPr>
        <w:t xml:space="preserve"> paragraph 82 of the trial judgment;</w:t>
      </w:r>
    </w:p>
    <w:p w14:paraId="369F51DD" w14:textId="4C48D70C" w:rsidR="00C773F3" w:rsidRPr="00105125" w:rsidRDefault="00C05FA3" w:rsidP="00EA16C4">
      <w:pPr>
        <w:pStyle w:val="Paragraphe"/>
        <w:spacing w:line="280" w:lineRule="exact"/>
        <w:rPr>
          <w:lang w:val="en-CA"/>
        </w:rPr>
      </w:pPr>
      <w:r w:rsidRPr="00105125">
        <w:rPr>
          <w:b/>
          <w:bCs/>
          <w:lang w:val="en-CA"/>
        </w:rPr>
        <w:t>ALLOWS</w:t>
      </w:r>
      <w:r w:rsidRPr="00105125">
        <w:rPr>
          <w:bCs/>
          <w:lang w:val="en-CA"/>
        </w:rPr>
        <w:t xml:space="preserve"> in part </w:t>
      </w:r>
      <w:r w:rsidR="00990C35">
        <w:rPr>
          <w:bCs/>
          <w:lang w:val="en-CA"/>
        </w:rPr>
        <w:t xml:space="preserve">the </w:t>
      </w:r>
      <w:r w:rsidR="00990C35" w:rsidRPr="00105125">
        <w:rPr>
          <w:bCs/>
          <w:lang w:val="en-CA"/>
        </w:rPr>
        <w:t xml:space="preserve">incidental appeal </w:t>
      </w:r>
      <w:r w:rsidR="00990C35">
        <w:rPr>
          <w:bCs/>
          <w:lang w:val="en-CA"/>
        </w:rPr>
        <w:t xml:space="preserve">of </w:t>
      </w:r>
      <w:r w:rsidRPr="00105125">
        <w:rPr>
          <w:bCs/>
          <w:lang w:val="en-CA"/>
        </w:rPr>
        <w:t xml:space="preserve">the respondent </w:t>
      </w:r>
      <w:r w:rsidR="00990C35">
        <w:rPr>
          <w:bCs/>
          <w:lang w:val="en-CA"/>
        </w:rPr>
        <w:t>–</w:t>
      </w:r>
      <w:r w:rsidRPr="00105125">
        <w:rPr>
          <w:bCs/>
          <w:lang w:val="en-CA"/>
        </w:rPr>
        <w:t xml:space="preserve"> incidental appellant;</w:t>
      </w:r>
    </w:p>
    <w:p w14:paraId="3B986F68" w14:textId="251B249A" w:rsidR="00C773F3" w:rsidRPr="00105125" w:rsidRDefault="00C05FA3" w:rsidP="00EA16C4">
      <w:pPr>
        <w:pStyle w:val="Paragraphe"/>
        <w:spacing w:line="280" w:lineRule="exact"/>
        <w:rPr>
          <w:lang w:val="en-CA"/>
        </w:rPr>
      </w:pPr>
      <w:r w:rsidRPr="00105125">
        <w:rPr>
          <w:b/>
          <w:bCs/>
          <w:lang w:val="en-CA"/>
        </w:rPr>
        <w:t>DECLARES</w:t>
      </w:r>
      <w:r w:rsidRPr="00105125">
        <w:rPr>
          <w:bCs/>
          <w:lang w:val="en-CA"/>
        </w:rPr>
        <w:t xml:space="preserve"> that the exclusion, in section 3 of the </w:t>
      </w:r>
      <w:r w:rsidR="00F8495C" w:rsidRPr="00105125">
        <w:rPr>
          <w:bCs/>
          <w:i/>
          <w:lang w:val="en-CA"/>
        </w:rPr>
        <w:t>Reduced Contribution Regulation</w:t>
      </w:r>
      <w:r w:rsidRPr="00105125">
        <w:rPr>
          <w:bCs/>
          <w:lang w:val="en-CA"/>
        </w:rPr>
        <w:t xml:space="preserve"> (CQLR, c. S-4.1.1, r.1)</w:t>
      </w:r>
      <w:r w:rsidR="00E07995">
        <w:rPr>
          <w:bCs/>
          <w:lang w:val="en-CA"/>
        </w:rPr>
        <w:t>,</w:t>
      </w:r>
      <w:r w:rsidRPr="00105125">
        <w:rPr>
          <w:bCs/>
          <w:lang w:val="en-CA"/>
        </w:rPr>
        <w:t xml:space="preserve"> of parents who are </w:t>
      </w:r>
      <w:r w:rsidR="00990C35">
        <w:rPr>
          <w:bCs/>
          <w:lang w:val="en-CA"/>
        </w:rPr>
        <w:t xml:space="preserve">refugee claimants </w:t>
      </w:r>
      <w:r w:rsidRPr="00105125">
        <w:rPr>
          <w:bCs/>
          <w:lang w:val="en-CA"/>
        </w:rPr>
        <w:t xml:space="preserve">staying in Quebec </w:t>
      </w:r>
      <w:r w:rsidR="00F8495C" w:rsidRPr="00105125">
        <w:rPr>
          <w:bCs/>
          <w:lang w:val="en-CA"/>
        </w:rPr>
        <w:t xml:space="preserve">who hold </w:t>
      </w:r>
      <w:r w:rsidRPr="00105125">
        <w:rPr>
          <w:bCs/>
          <w:lang w:val="en-CA"/>
        </w:rPr>
        <w:t xml:space="preserve">a work permit </w:t>
      </w:r>
      <w:r w:rsidR="00990C35">
        <w:rPr>
          <w:bCs/>
          <w:lang w:val="en-CA"/>
        </w:rPr>
        <w:t xml:space="preserve">constitutes </w:t>
      </w:r>
      <w:r w:rsidRPr="00105125">
        <w:rPr>
          <w:bCs/>
          <w:lang w:val="en-CA"/>
        </w:rPr>
        <w:t>discrimination bas</w:t>
      </w:r>
      <w:r w:rsidR="00990C35">
        <w:rPr>
          <w:bCs/>
          <w:lang w:val="en-CA"/>
        </w:rPr>
        <w:t>ed on</w:t>
      </w:r>
      <w:r w:rsidRPr="00105125">
        <w:rPr>
          <w:bCs/>
          <w:lang w:val="en-CA"/>
        </w:rPr>
        <w:t xml:space="preserve"> sex that infringes section 15 of the </w:t>
      </w:r>
      <w:r w:rsidRPr="00105125">
        <w:rPr>
          <w:bCs/>
          <w:i/>
          <w:lang w:val="en-CA"/>
        </w:rPr>
        <w:t>Canadian Charter of Rights and Freedoms</w:t>
      </w:r>
      <w:r w:rsidRPr="00105125">
        <w:rPr>
          <w:bCs/>
          <w:lang w:val="en-CA"/>
        </w:rPr>
        <w:t>;</w:t>
      </w:r>
    </w:p>
    <w:p w14:paraId="4FA40151" w14:textId="490DF940" w:rsidR="00C773F3" w:rsidRPr="00105125" w:rsidRDefault="00C05FA3" w:rsidP="00EA16C4">
      <w:pPr>
        <w:pStyle w:val="Paragraphe"/>
        <w:spacing w:line="280" w:lineRule="exact"/>
        <w:rPr>
          <w:lang w:val="en-CA"/>
        </w:rPr>
      </w:pPr>
      <w:r w:rsidRPr="00105125">
        <w:rPr>
          <w:b/>
          <w:bCs/>
          <w:lang w:val="en-CA"/>
        </w:rPr>
        <w:t>DECLARES</w:t>
      </w:r>
      <w:r w:rsidRPr="00105125">
        <w:rPr>
          <w:bCs/>
          <w:lang w:val="en-CA"/>
        </w:rPr>
        <w:t xml:space="preserve"> that this infringement is not justified under section 1 of the </w:t>
      </w:r>
      <w:r w:rsidRPr="00105125">
        <w:rPr>
          <w:bCs/>
          <w:i/>
          <w:lang w:val="en-CA"/>
        </w:rPr>
        <w:t>Canadian Charter of Rights and Freedoms</w:t>
      </w:r>
      <w:r w:rsidRPr="00105125">
        <w:rPr>
          <w:bCs/>
          <w:lang w:val="en-CA"/>
        </w:rPr>
        <w:t>;</w:t>
      </w:r>
    </w:p>
    <w:p w14:paraId="61D35F5C" w14:textId="6FC3EF76" w:rsidR="00C773F3" w:rsidRPr="00105125" w:rsidRDefault="00C05FA3" w:rsidP="00EA16C4">
      <w:pPr>
        <w:pStyle w:val="Paragraphe"/>
        <w:spacing w:line="280" w:lineRule="exact"/>
        <w:rPr>
          <w:lang w:val="en-CA"/>
        </w:rPr>
      </w:pPr>
      <w:r w:rsidRPr="00105125">
        <w:rPr>
          <w:b/>
          <w:bCs/>
          <w:lang w:val="en-CA"/>
        </w:rPr>
        <w:t>DECLARES</w:t>
      </w:r>
      <w:r w:rsidRPr="00105125">
        <w:rPr>
          <w:bCs/>
          <w:lang w:val="en-CA"/>
        </w:rPr>
        <w:t xml:space="preserve"> that section 3(3) of the </w:t>
      </w:r>
      <w:r w:rsidRPr="00105125">
        <w:rPr>
          <w:bCs/>
          <w:i/>
          <w:lang w:val="en-CA"/>
        </w:rPr>
        <w:t>Re</w:t>
      </w:r>
      <w:r w:rsidR="00F8495C" w:rsidRPr="00105125">
        <w:rPr>
          <w:bCs/>
          <w:i/>
          <w:lang w:val="en-CA"/>
        </w:rPr>
        <w:t>duced C</w:t>
      </w:r>
      <w:r w:rsidRPr="00105125">
        <w:rPr>
          <w:bCs/>
          <w:i/>
          <w:lang w:val="en-CA"/>
        </w:rPr>
        <w:t>ontribution</w:t>
      </w:r>
      <w:r w:rsidR="00F8495C" w:rsidRPr="00105125">
        <w:rPr>
          <w:bCs/>
          <w:i/>
          <w:lang w:val="en-CA"/>
        </w:rPr>
        <w:t xml:space="preserve"> Regulation</w:t>
      </w:r>
      <w:r w:rsidRPr="00105125">
        <w:rPr>
          <w:bCs/>
          <w:lang w:val="en-CA"/>
        </w:rPr>
        <w:t xml:space="preserve"> (CQLR, c.</w:t>
      </w:r>
      <w:r w:rsidR="00B71C69" w:rsidRPr="00105125">
        <w:rPr>
          <w:bCs/>
          <w:lang w:val="en-CA"/>
        </w:rPr>
        <w:t> </w:t>
      </w:r>
      <w:r w:rsidRPr="00105125">
        <w:rPr>
          <w:bCs/>
          <w:lang w:val="en-CA"/>
        </w:rPr>
        <w:t xml:space="preserve">S-4.1.1, r.1) </w:t>
      </w:r>
      <w:r w:rsidR="00475634">
        <w:rPr>
          <w:bCs/>
          <w:lang w:val="en-CA"/>
        </w:rPr>
        <w:t>must</w:t>
      </w:r>
      <w:r w:rsidR="00475634" w:rsidRPr="00105125">
        <w:rPr>
          <w:bCs/>
          <w:lang w:val="en-CA"/>
        </w:rPr>
        <w:t xml:space="preserve"> </w:t>
      </w:r>
      <w:r w:rsidRPr="00105125">
        <w:rPr>
          <w:bCs/>
          <w:lang w:val="en-CA"/>
        </w:rPr>
        <w:t xml:space="preserve">henceforth be read as </w:t>
      </w:r>
      <w:r w:rsidR="00990C35">
        <w:rPr>
          <w:bCs/>
          <w:lang w:val="en-CA"/>
        </w:rPr>
        <w:t>making</w:t>
      </w:r>
      <w:r w:rsidRPr="00105125">
        <w:rPr>
          <w:bCs/>
          <w:lang w:val="en-CA"/>
        </w:rPr>
        <w:t xml:space="preserve"> parents who </w:t>
      </w:r>
      <w:r w:rsidR="009818FE">
        <w:rPr>
          <w:bCs/>
          <w:lang w:val="en-CA"/>
        </w:rPr>
        <w:t xml:space="preserve">reside </w:t>
      </w:r>
      <w:r w:rsidRPr="00105125">
        <w:rPr>
          <w:bCs/>
          <w:lang w:val="en-CA"/>
        </w:rPr>
        <w:t xml:space="preserve">in Quebec for the purpose of a </w:t>
      </w:r>
      <w:r w:rsidR="00F80CB8">
        <w:rPr>
          <w:lang w:val="en-CA"/>
        </w:rPr>
        <w:t xml:space="preserve">claim </w:t>
      </w:r>
      <w:r w:rsidR="00F80CB8" w:rsidRPr="00105125">
        <w:rPr>
          <w:lang w:val="en-CA"/>
        </w:rPr>
        <w:t xml:space="preserve">for </w:t>
      </w:r>
      <w:r w:rsidR="00F80CB8">
        <w:rPr>
          <w:lang w:val="en-CA"/>
        </w:rPr>
        <w:t xml:space="preserve">refugee protection </w:t>
      </w:r>
      <w:r w:rsidRPr="00105125">
        <w:rPr>
          <w:bCs/>
          <w:lang w:val="en-CA"/>
        </w:rPr>
        <w:t>while holding a work permit eligible for the reduced contribution;</w:t>
      </w:r>
    </w:p>
    <w:p w14:paraId="25DAC0D5" w14:textId="17A83753" w:rsidR="00C773F3" w:rsidRPr="00105125" w:rsidRDefault="00C05FA3" w:rsidP="00EA16C4">
      <w:pPr>
        <w:pStyle w:val="Paragraphe"/>
        <w:spacing w:line="280" w:lineRule="exact"/>
        <w:rPr>
          <w:lang w:val="en-CA"/>
        </w:rPr>
      </w:pPr>
      <w:r w:rsidRPr="00105125">
        <w:rPr>
          <w:b/>
          <w:bCs/>
          <w:lang w:val="en-CA"/>
        </w:rPr>
        <w:t>DISMISSES</w:t>
      </w:r>
      <w:r w:rsidRPr="00105125">
        <w:rPr>
          <w:bCs/>
          <w:lang w:val="en-CA"/>
        </w:rPr>
        <w:t xml:space="preserve"> the incidental appeal of the impleaded party </w:t>
      </w:r>
      <w:r w:rsidR="009818FE">
        <w:rPr>
          <w:bCs/>
          <w:lang w:val="en-CA"/>
        </w:rPr>
        <w:t>–</w:t>
      </w:r>
      <w:r w:rsidRPr="00105125">
        <w:rPr>
          <w:bCs/>
          <w:lang w:val="en-CA"/>
        </w:rPr>
        <w:t xml:space="preserve"> incidental appel</w:t>
      </w:r>
      <w:r w:rsidR="009818FE">
        <w:rPr>
          <w:bCs/>
          <w:lang w:val="en-CA"/>
        </w:rPr>
        <w:t>lant</w:t>
      </w:r>
      <w:r w:rsidRPr="00105125">
        <w:rPr>
          <w:bCs/>
          <w:lang w:val="en-CA"/>
        </w:rPr>
        <w:t>;</w:t>
      </w:r>
    </w:p>
    <w:p w14:paraId="4E6E856F" w14:textId="16479C04" w:rsidR="00C773F3" w:rsidRPr="00105125" w:rsidRDefault="00C05FA3" w:rsidP="00EA16C4">
      <w:pPr>
        <w:pStyle w:val="Paragraphe"/>
        <w:spacing w:line="280" w:lineRule="exact"/>
        <w:rPr>
          <w:lang w:val="en-CA"/>
        </w:rPr>
      </w:pPr>
      <w:r w:rsidRPr="00105125">
        <w:rPr>
          <w:b/>
          <w:bCs/>
          <w:lang w:val="en-CA"/>
        </w:rPr>
        <w:t>THE WHOLE</w:t>
      </w:r>
      <w:r w:rsidRPr="00105125">
        <w:rPr>
          <w:bCs/>
          <w:lang w:val="en-CA"/>
        </w:rPr>
        <w:t xml:space="preserve"> without legal costs on appeal given the mixed outcome of the appeals.</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EA43D9" w:rsidRPr="00D97121" w14:paraId="34BAB558" w14:textId="77777777" w:rsidTr="003E3239">
        <w:trPr>
          <w:trHeight w:val="576"/>
        </w:trPr>
        <w:tc>
          <w:tcPr>
            <w:tcW w:w="9362" w:type="dxa"/>
            <w:gridSpan w:val="3"/>
            <w:tcBorders>
              <w:top w:val="nil"/>
              <w:bottom w:val="nil"/>
            </w:tcBorders>
          </w:tcPr>
          <w:p w14:paraId="18FCC914" w14:textId="77777777" w:rsidR="008F364A" w:rsidRPr="00105125" w:rsidRDefault="008F364A">
            <w:pPr>
              <w:keepNext/>
              <w:rPr>
                <w:lang w:val="en-CA"/>
              </w:rPr>
            </w:pPr>
          </w:p>
        </w:tc>
      </w:tr>
      <w:tr w:rsidR="00EA43D9" w:rsidRPr="00D97121" w14:paraId="2D6F3BE6" w14:textId="77777777" w:rsidTr="00117914">
        <w:trPr>
          <w:trHeight w:val="283"/>
        </w:trPr>
        <w:tc>
          <w:tcPr>
            <w:tcW w:w="4682" w:type="dxa"/>
            <w:gridSpan w:val="2"/>
            <w:tcBorders>
              <w:top w:val="nil"/>
              <w:bottom w:val="nil"/>
            </w:tcBorders>
          </w:tcPr>
          <w:p w14:paraId="79CBC9D5" w14:textId="77777777" w:rsidR="008F364A" w:rsidRPr="00105125" w:rsidRDefault="008F364A">
            <w:pPr>
              <w:keepNext/>
              <w:rPr>
                <w:lang w:val="en-CA"/>
              </w:rPr>
            </w:pPr>
          </w:p>
        </w:tc>
        <w:tc>
          <w:tcPr>
            <w:tcW w:w="4680" w:type="dxa"/>
            <w:tcBorders>
              <w:top w:val="nil"/>
              <w:bottom w:val="single" w:sz="8" w:space="0" w:color="auto"/>
            </w:tcBorders>
          </w:tcPr>
          <w:p w14:paraId="1A0ADA8E" w14:textId="77777777" w:rsidR="008F364A" w:rsidRPr="00105125" w:rsidRDefault="008F364A">
            <w:pPr>
              <w:keepNext/>
              <w:rPr>
                <w:lang w:val="en-CA"/>
              </w:rPr>
            </w:pPr>
          </w:p>
        </w:tc>
      </w:tr>
      <w:tr w:rsidR="00EA43D9" w:rsidRPr="00105125" w14:paraId="05C3A510" w14:textId="77777777" w:rsidTr="00117914">
        <w:trPr>
          <w:trHeight w:val="283"/>
        </w:trPr>
        <w:tc>
          <w:tcPr>
            <w:tcW w:w="4682" w:type="dxa"/>
            <w:gridSpan w:val="2"/>
            <w:tcBorders>
              <w:top w:val="nil"/>
            </w:tcBorders>
          </w:tcPr>
          <w:p w14:paraId="1F59B6E1" w14:textId="77777777" w:rsidR="008F364A" w:rsidRPr="00105125" w:rsidRDefault="008F364A">
            <w:pPr>
              <w:keepNext/>
              <w:rPr>
                <w:lang w:val="en-CA"/>
              </w:rPr>
            </w:pPr>
          </w:p>
        </w:tc>
        <w:tc>
          <w:tcPr>
            <w:tcW w:w="4680" w:type="dxa"/>
            <w:tcBorders>
              <w:top w:val="single" w:sz="8" w:space="0" w:color="auto"/>
            </w:tcBorders>
          </w:tcPr>
          <w:p w14:paraId="4FC9A4C9" w14:textId="0D10A37D" w:rsidR="008F364A" w:rsidRPr="00105125" w:rsidRDefault="00C05FA3">
            <w:pPr>
              <w:rPr>
                <w:lang w:val="en-CA"/>
              </w:rPr>
            </w:pPr>
            <w:r w:rsidRPr="00105125">
              <w:rPr>
                <w:lang w:val="en-CA"/>
              </w:rPr>
              <w:t>JULIE DUTIL J.A.</w:t>
            </w:r>
          </w:p>
        </w:tc>
      </w:tr>
      <w:tr w:rsidR="00EA43D9" w:rsidRPr="00105125" w14:paraId="4BA80D64" w14:textId="77777777" w:rsidTr="00117914">
        <w:trPr>
          <w:trHeight w:val="283"/>
        </w:trPr>
        <w:tc>
          <w:tcPr>
            <w:tcW w:w="4682" w:type="dxa"/>
            <w:gridSpan w:val="2"/>
            <w:tcBorders>
              <w:top w:val="nil"/>
            </w:tcBorders>
          </w:tcPr>
          <w:p w14:paraId="3DA01BD2" w14:textId="77777777" w:rsidR="008F364A" w:rsidRPr="00105125" w:rsidRDefault="008F364A">
            <w:pPr>
              <w:keepNext/>
              <w:rPr>
                <w:lang w:val="en-CA"/>
              </w:rPr>
            </w:pPr>
            <w:bookmarkStart w:id="3" w:name="Signature2"/>
          </w:p>
        </w:tc>
        <w:tc>
          <w:tcPr>
            <w:tcW w:w="4680" w:type="dxa"/>
            <w:tcBorders>
              <w:top w:val="nil"/>
            </w:tcBorders>
          </w:tcPr>
          <w:p w14:paraId="42582C4B" w14:textId="77777777" w:rsidR="008F364A" w:rsidRPr="00105125" w:rsidRDefault="008F364A">
            <w:pPr>
              <w:keepNext/>
              <w:rPr>
                <w:lang w:val="en-CA"/>
              </w:rPr>
            </w:pPr>
          </w:p>
        </w:tc>
      </w:tr>
      <w:tr w:rsidR="00EA43D9" w:rsidRPr="00105125" w14:paraId="67D8FB9E" w14:textId="77777777" w:rsidTr="00117914">
        <w:trPr>
          <w:trHeight w:val="283"/>
        </w:trPr>
        <w:tc>
          <w:tcPr>
            <w:tcW w:w="4682" w:type="dxa"/>
            <w:gridSpan w:val="2"/>
            <w:tcBorders>
              <w:top w:val="nil"/>
              <w:bottom w:val="nil"/>
            </w:tcBorders>
          </w:tcPr>
          <w:p w14:paraId="09168E7F" w14:textId="77777777" w:rsidR="008F364A" w:rsidRPr="00105125" w:rsidRDefault="008F364A">
            <w:pPr>
              <w:keepNext/>
              <w:rPr>
                <w:lang w:val="en-CA"/>
              </w:rPr>
            </w:pPr>
          </w:p>
        </w:tc>
        <w:tc>
          <w:tcPr>
            <w:tcW w:w="4680" w:type="dxa"/>
            <w:tcBorders>
              <w:top w:val="nil"/>
              <w:bottom w:val="single" w:sz="8" w:space="0" w:color="auto"/>
            </w:tcBorders>
          </w:tcPr>
          <w:p w14:paraId="41655775" w14:textId="77777777" w:rsidR="008F364A" w:rsidRPr="00105125" w:rsidRDefault="008F364A">
            <w:pPr>
              <w:keepNext/>
              <w:rPr>
                <w:lang w:val="en-CA"/>
              </w:rPr>
            </w:pPr>
          </w:p>
        </w:tc>
      </w:tr>
      <w:tr w:rsidR="00EA43D9" w:rsidRPr="00105125" w14:paraId="0703B9A9" w14:textId="77777777" w:rsidTr="00117914">
        <w:trPr>
          <w:trHeight w:val="283"/>
        </w:trPr>
        <w:tc>
          <w:tcPr>
            <w:tcW w:w="4682" w:type="dxa"/>
            <w:gridSpan w:val="2"/>
            <w:tcBorders>
              <w:top w:val="nil"/>
            </w:tcBorders>
          </w:tcPr>
          <w:p w14:paraId="0A39CD9E" w14:textId="77777777" w:rsidR="008F364A" w:rsidRPr="00105125" w:rsidRDefault="008F364A">
            <w:pPr>
              <w:keepNext/>
              <w:rPr>
                <w:lang w:val="en-CA"/>
              </w:rPr>
            </w:pPr>
          </w:p>
        </w:tc>
        <w:tc>
          <w:tcPr>
            <w:tcW w:w="4680" w:type="dxa"/>
            <w:tcBorders>
              <w:top w:val="single" w:sz="8" w:space="0" w:color="auto"/>
            </w:tcBorders>
          </w:tcPr>
          <w:p w14:paraId="6691EB7B" w14:textId="51747C37" w:rsidR="008F364A" w:rsidRPr="001444DD" w:rsidRDefault="00C05FA3">
            <w:pPr>
              <w:keepNext/>
            </w:pPr>
            <w:r w:rsidRPr="001444DD">
              <w:t>ROBERT M. MAINVILLE, J.A.</w:t>
            </w:r>
          </w:p>
        </w:tc>
      </w:tr>
      <w:tr w:rsidR="00EA43D9" w:rsidRPr="00105125" w14:paraId="4DB60249" w14:textId="77777777" w:rsidTr="00117914">
        <w:trPr>
          <w:trHeight w:val="283"/>
        </w:trPr>
        <w:tc>
          <w:tcPr>
            <w:tcW w:w="4682" w:type="dxa"/>
            <w:gridSpan w:val="2"/>
            <w:tcBorders>
              <w:top w:val="nil"/>
            </w:tcBorders>
          </w:tcPr>
          <w:p w14:paraId="34F6320E" w14:textId="77777777" w:rsidR="008F364A" w:rsidRPr="001444DD" w:rsidRDefault="008F364A">
            <w:pPr>
              <w:keepNext/>
            </w:pPr>
            <w:bookmarkStart w:id="4" w:name="Signature3"/>
            <w:bookmarkEnd w:id="3"/>
          </w:p>
        </w:tc>
        <w:tc>
          <w:tcPr>
            <w:tcW w:w="4680" w:type="dxa"/>
            <w:tcBorders>
              <w:top w:val="nil"/>
            </w:tcBorders>
          </w:tcPr>
          <w:p w14:paraId="63EB1CA0" w14:textId="77777777" w:rsidR="008F364A" w:rsidRPr="001444DD" w:rsidRDefault="008F364A">
            <w:pPr>
              <w:keepNext/>
            </w:pPr>
          </w:p>
        </w:tc>
      </w:tr>
      <w:tr w:rsidR="00EA43D9" w:rsidRPr="00105125" w14:paraId="7D86E9B5" w14:textId="77777777" w:rsidTr="00117914">
        <w:trPr>
          <w:trHeight w:val="283"/>
        </w:trPr>
        <w:tc>
          <w:tcPr>
            <w:tcW w:w="4682" w:type="dxa"/>
            <w:gridSpan w:val="2"/>
            <w:tcBorders>
              <w:top w:val="nil"/>
              <w:bottom w:val="nil"/>
            </w:tcBorders>
          </w:tcPr>
          <w:p w14:paraId="5A829464" w14:textId="77777777" w:rsidR="008F364A" w:rsidRPr="001444DD" w:rsidRDefault="008F364A">
            <w:pPr>
              <w:keepNext/>
            </w:pPr>
          </w:p>
        </w:tc>
        <w:tc>
          <w:tcPr>
            <w:tcW w:w="4680" w:type="dxa"/>
            <w:tcBorders>
              <w:top w:val="nil"/>
              <w:bottom w:val="single" w:sz="8" w:space="0" w:color="auto"/>
            </w:tcBorders>
          </w:tcPr>
          <w:p w14:paraId="5E83B36B" w14:textId="77777777" w:rsidR="008F364A" w:rsidRPr="001444DD" w:rsidRDefault="008F364A">
            <w:pPr>
              <w:keepNext/>
            </w:pPr>
          </w:p>
        </w:tc>
      </w:tr>
      <w:tr w:rsidR="00EA43D9" w:rsidRPr="00105125" w14:paraId="596DBBE5" w14:textId="77777777" w:rsidTr="00117914">
        <w:trPr>
          <w:trHeight w:val="283"/>
        </w:trPr>
        <w:tc>
          <w:tcPr>
            <w:tcW w:w="4682" w:type="dxa"/>
            <w:gridSpan w:val="2"/>
            <w:tcBorders>
              <w:top w:val="nil"/>
            </w:tcBorders>
          </w:tcPr>
          <w:p w14:paraId="3BC0BCCA" w14:textId="77777777" w:rsidR="008F364A" w:rsidRPr="001444DD" w:rsidRDefault="008F364A">
            <w:pPr>
              <w:keepNext/>
            </w:pPr>
          </w:p>
        </w:tc>
        <w:tc>
          <w:tcPr>
            <w:tcW w:w="4680" w:type="dxa"/>
            <w:tcBorders>
              <w:top w:val="single" w:sz="8" w:space="0" w:color="auto"/>
            </w:tcBorders>
          </w:tcPr>
          <w:p w14:paraId="6C176AEB" w14:textId="68FD49CC" w:rsidR="008F364A" w:rsidRPr="00105125" w:rsidRDefault="00C05FA3">
            <w:pPr>
              <w:keepNext/>
              <w:rPr>
                <w:lang w:val="en-CA"/>
              </w:rPr>
            </w:pPr>
            <w:r w:rsidRPr="00105125">
              <w:rPr>
                <w:lang w:val="en-CA"/>
              </w:rPr>
              <w:t>BENOÎT MOORE, J.A.</w:t>
            </w:r>
          </w:p>
        </w:tc>
      </w:tr>
      <w:bookmarkEnd w:id="4"/>
      <w:tr w:rsidR="00EA43D9" w:rsidRPr="00105125" w14:paraId="75026C6D" w14:textId="77777777" w:rsidTr="00423DF1">
        <w:tc>
          <w:tcPr>
            <w:tcW w:w="9362" w:type="dxa"/>
            <w:gridSpan w:val="3"/>
          </w:tcPr>
          <w:p w14:paraId="61A794C0" w14:textId="77777777" w:rsidR="005A78BF" w:rsidRPr="00105125" w:rsidRDefault="005A78BF" w:rsidP="005A78BF">
            <w:pPr>
              <w:rPr>
                <w:lang w:val="en-CA"/>
              </w:rPr>
            </w:pPr>
          </w:p>
        </w:tc>
      </w:tr>
      <w:tr w:rsidR="00EA43D9" w:rsidRPr="00105125" w14:paraId="0D590889" w14:textId="77777777" w:rsidTr="00423DF1">
        <w:tc>
          <w:tcPr>
            <w:tcW w:w="9362" w:type="dxa"/>
            <w:gridSpan w:val="3"/>
          </w:tcPr>
          <w:p w14:paraId="7642E6BF" w14:textId="2C2DAC0B" w:rsidR="008005DB" w:rsidRPr="001444DD" w:rsidRDefault="00C05FA3" w:rsidP="005A78BF">
            <w:pPr>
              <w:pStyle w:val="zSoquijdatNomProcureurDem"/>
            </w:pPr>
            <w:proofErr w:type="spellStart"/>
            <w:r w:rsidRPr="001444DD">
              <w:lastRenderedPageBreak/>
              <w:t>Mtre</w:t>
            </w:r>
            <w:proofErr w:type="spellEnd"/>
            <w:r w:rsidRPr="001444DD">
              <w:t xml:space="preserve"> Manuel Klein</w:t>
            </w:r>
          </w:p>
          <w:p w14:paraId="79069A44" w14:textId="5057271B" w:rsidR="008005DB" w:rsidRPr="001444DD" w:rsidRDefault="00C05FA3" w:rsidP="005A78BF">
            <w:pPr>
              <w:pStyle w:val="zSoquijdatNomProcureurDem"/>
            </w:pPr>
            <w:proofErr w:type="spellStart"/>
            <w:r w:rsidRPr="001444DD">
              <w:t>Mtre</w:t>
            </w:r>
            <w:proofErr w:type="spellEnd"/>
            <w:r w:rsidRPr="001444DD">
              <w:t xml:space="preserve"> Christophe </w:t>
            </w:r>
            <w:proofErr w:type="spellStart"/>
            <w:r w:rsidRPr="001444DD">
              <w:t>Achdjian</w:t>
            </w:r>
            <w:proofErr w:type="spellEnd"/>
          </w:p>
        </w:tc>
      </w:tr>
      <w:tr w:rsidR="00EA43D9" w:rsidRPr="00105125" w14:paraId="11DF8364" w14:textId="77777777" w:rsidTr="00423DF1">
        <w:tc>
          <w:tcPr>
            <w:tcW w:w="9362" w:type="dxa"/>
            <w:gridSpan w:val="3"/>
          </w:tcPr>
          <w:p w14:paraId="2BA91D8D" w14:textId="5B907A71" w:rsidR="005A78BF" w:rsidRPr="00105125" w:rsidRDefault="004A7BFD" w:rsidP="005A78BF">
            <w:pPr>
              <w:pStyle w:val="zSoquijdatCabinetProcureurDem"/>
              <w:rPr>
                <w:smallCaps/>
                <w:lang w:val="en-CA"/>
              </w:rPr>
            </w:pPr>
            <w:proofErr w:type="spellStart"/>
            <w:r w:rsidRPr="00105125">
              <w:rPr>
                <w:smallCaps/>
                <w:lang w:val="en-CA"/>
              </w:rPr>
              <w:t>bernard</w:t>
            </w:r>
            <w:proofErr w:type="spellEnd"/>
            <w:r w:rsidRPr="00105125">
              <w:rPr>
                <w:smallCaps/>
                <w:lang w:val="en-CA"/>
              </w:rPr>
              <w:t xml:space="preserve">, </w:t>
            </w:r>
            <w:proofErr w:type="spellStart"/>
            <w:r w:rsidRPr="00105125">
              <w:rPr>
                <w:smallCaps/>
                <w:lang w:val="en-CA"/>
              </w:rPr>
              <w:t>roy</w:t>
            </w:r>
            <w:proofErr w:type="spellEnd"/>
            <w:r w:rsidRPr="00105125">
              <w:rPr>
                <w:smallCaps/>
                <w:lang w:val="en-CA"/>
              </w:rPr>
              <w:t xml:space="preserve"> </w:t>
            </w:r>
            <w:r w:rsidRPr="00105125">
              <w:rPr>
                <w:smallCaps/>
                <w:sz w:val="20"/>
                <w:lang w:val="en-CA"/>
              </w:rPr>
              <w:t>(</w:t>
            </w:r>
            <w:r w:rsidRPr="00105125">
              <w:rPr>
                <w:smallCaps/>
                <w:lang w:val="en-CA"/>
              </w:rPr>
              <w:t xml:space="preserve">justice – </w:t>
            </w:r>
            <w:proofErr w:type="spellStart"/>
            <w:r w:rsidRPr="00105125">
              <w:rPr>
                <w:smallCaps/>
                <w:lang w:val="en-CA"/>
              </w:rPr>
              <w:t>québec</w:t>
            </w:r>
            <w:proofErr w:type="spellEnd"/>
            <w:r w:rsidRPr="00105125">
              <w:rPr>
                <w:smallCaps/>
                <w:sz w:val="20"/>
                <w:lang w:val="en-CA"/>
              </w:rPr>
              <w:t>)</w:t>
            </w:r>
          </w:p>
        </w:tc>
      </w:tr>
      <w:tr w:rsidR="00EA43D9" w:rsidRPr="00D97121" w14:paraId="5A49546B" w14:textId="77777777" w:rsidTr="00423DF1">
        <w:tc>
          <w:tcPr>
            <w:tcW w:w="9362" w:type="dxa"/>
            <w:gridSpan w:val="3"/>
          </w:tcPr>
          <w:p w14:paraId="46C04CA6" w14:textId="7887F613" w:rsidR="005A78BF" w:rsidRPr="00105125" w:rsidRDefault="00C05FA3" w:rsidP="005A78BF">
            <w:pPr>
              <w:pStyle w:val="zSoquijlblProcureurDem"/>
              <w:rPr>
                <w:lang w:val="en-CA"/>
              </w:rPr>
            </w:pPr>
            <w:r w:rsidRPr="00105125">
              <w:rPr>
                <w:lang w:val="en-CA"/>
              </w:rPr>
              <w:t>For the appellant – incidental respondent</w:t>
            </w:r>
          </w:p>
        </w:tc>
      </w:tr>
      <w:tr w:rsidR="00EA43D9" w:rsidRPr="00D97121" w14:paraId="7449FD70" w14:textId="77777777" w:rsidTr="00EA16C4">
        <w:tc>
          <w:tcPr>
            <w:tcW w:w="9362" w:type="dxa"/>
            <w:gridSpan w:val="3"/>
            <w:tcBorders>
              <w:bottom w:val="nil"/>
            </w:tcBorders>
          </w:tcPr>
          <w:p w14:paraId="4A387E16" w14:textId="77777777" w:rsidR="005A78BF" w:rsidRPr="00105125" w:rsidRDefault="005A78BF" w:rsidP="005A78BF">
            <w:pPr>
              <w:rPr>
                <w:lang w:val="en-CA"/>
              </w:rPr>
            </w:pPr>
          </w:p>
        </w:tc>
      </w:tr>
      <w:tr w:rsidR="00EA43D9" w:rsidRPr="00105125" w14:paraId="0E892C7F" w14:textId="77777777" w:rsidTr="00EA16C4">
        <w:tc>
          <w:tcPr>
            <w:tcW w:w="9362" w:type="dxa"/>
            <w:gridSpan w:val="3"/>
            <w:tcBorders>
              <w:top w:val="nil"/>
            </w:tcBorders>
          </w:tcPr>
          <w:p w14:paraId="1EF100BE" w14:textId="58021192" w:rsidR="005A78BF" w:rsidRPr="001444DD" w:rsidRDefault="00C05FA3" w:rsidP="005A78BF">
            <w:pPr>
              <w:pStyle w:val="zSoquijdatNomProcureurDef"/>
            </w:pPr>
            <w:proofErr w:type="spellStart"/>
            <w:r w:rsidRPr="001444DD">
              <w:t>Mtre</w:t>
            </w:r>
            <w:proofErr w:type="spellEnd"/>
            <w:r w:rsidRPr="001444DD">
              <w:t xml:space="preserve"> </w:t>
            </w:r>
            <w:proofErr w:type="spellStart"/>
            <w:r w:rsidRPr="001444DD">
              <w:t>Sibel</w:t>
            </w:r>
            <w:proofErr w:type="spellEnd"/>
            <w:r w:rsidRPr="001444DD">
              <w:t xml:space="preserve"> </w:t>
            </w:r>
            <w:proofErr w:type="spellStart"/>
            <w:r w:rsidRPr="001444DD">
              <w:t>Ataogul</w:t>
            </w:r>
            <w:proofErr w:type="spellEnd"/>
          </w:p>
          <w:p w14:paraId="558C9DA8" w14:textId="6FB3BBF7" w:rsidR="008005DB" w:rsidRPr="001444DD" w:rsidRDefault="00C05FA3" w:rsidP="005A78BF">
            <w:pPr>
              <w:pStyle w:val="zSoquijdatNomProcureurDef"/>
            </w:pPr>
            <w:proofErr w:type="spellStart"/>
            <w:r w:rsidRPr="001444DD">
              <w:t>Mtre</w:t>
            </w:r>
            <w:proofErr w:type="spellEnd"/>
            <w:r w:rsidRPr="001444DD">
              <w:t xml:space="preserve"> Guillaume Grenier</w:t>
            </w:r>
          </w:p>
        </w:tc>
      </w:tr>
      <w:tr w:rsidR="00EA43D9" w:rsidRPr="00105125" w14:paraId="2F9CA833" w14:textId="77777777" w:rsidTr="00423DF1">
        <w:tc>
          <w:tcPr>
            <w:tcW w:w="9362" w:type="dxa"/>
            <w:gridSpan w:val="3"/>
          </w:tcPr>
          <w:p w14:paraId="3F7CBE48" w14:textId="66009B19" w:rsidR="005A78BF" w:rsidRPr="00105125" w:rsidRDefault="004A7BFD" w:rsidP="005A78BF">
            <w:pPr>
              <w:pStyle w:val="zSoquijdatCabinetProcureurDef"/>
              <w:rPr>
                <w:smallCaps/>
                <w:lang w:val="en-CA"/>
              </w:rPr>
            </w:pPr>
            <w:proofErr w:type="spellStart"/>
            <w:r w:rsidRPr="00105125">
              <w:rPr>
                <w:smallCaps/>
                <w:lang w:val="en-CA"/>
              </w:rPr>
              <w:t>mmgc</w:t>
            </w:r>
            <w:proofErr w:type="spellEnd"/>
          </w:p>
        </w:tc>
      </w:tr>
      <w:tr w:rsidR="00EA43D9" w:rsidRPr="00D97121" w14:paraId="5AFE5BB6" w14:textId="77777777" w:rsidTr="00423DF1">
        <w:tc>
          <w:tcPr>
            <w:tcW w:w="9362" w:type="dxa"/>
            <w:gridSpan w:val="3"/>
          </w:tcPr>
          <w:p w14:paraId="27ED706A" w14:textId="0F55821F" w:rsidR="005A78BF" w:rsidRPr="00105125" w:rsidRDefault="00C05FA3" w:rsidP="005A78BF">
            <w:pPr>
              <w:pStyle w:val="zSoquijlblProcureurDef"/>
              <w:rPr>
                <w:lang w:val="en-CA"/>
              </w:rPr>
            </w:pPr>
            <w:r w:rsidRPr="00105125">
              <w:rPr>
                <w:lang w:val="en-CA"/>
              </w:rPr>
              <w:t>For the respondent</w:t>
            </w:r>
            <w:r w:rsidR="00F80CB8">
              <w:rPr>
                <w:lang w:val="en-CA"/>
              </w:rPr>
              <w:t xml:space="preserve"> </w:t>
            </w:r>
            <w:r w:rsidR="00F80CB8" w:rsidRPr="00105125">
              <w:rPr>
                <w:lang w:val="en-CA"/>
              </w:rPr>
              <w:t>–</w:t>
            </w:r>
            <w:r w:rsidR="00F80CB8">
              <w:rPr>
                <w:lang w:val="en-CA"/>
              </w:rPr>
              <w:t xml:space="preserve"> </w:t>
            </w:r>
            <w:r w:rsidRPr="00105125">
              <w:rPr>
                <w:lang w:val="en-CA"/>
              </w:rPr>
              <w:t>incidental appellant</w:t>
            </w:r>
          </w:p>
        </w:tc>
      </w:tr>
      <w:tr w:rsidR="00EA43D9" w:rsidRPr="00D97121" w14:paraId="22488CED" w14:textId="77777777" w:rsidTr="00423DF1">
        <w:tc>
          <w:tcPr>
            <w:tcW w:w="9362" w:type="dxa"/>
            <w:gridSpan w:val="3"/>
          </w:tcPr>
          <w:p w14:paraId="7026F9C2" w14:textId="77777777" w:rsidR="00726A4E" w:rsidRPr="00105125" w:rsidRDefault="00726A4E" w:rsidP="005A78BF">
            <w:pPr>
              <w:rPr>
                <w:lang w:val="en-CA"/>
              </w:rPr>
            </w:pPr>
          </w:p>
        </w:tc>
      </w:tr>
      <w:tr w:rsidR="00EA43D9" w:rsidRPr="00105125" w14:paraId="15085EB6" w14:textId="77777777" w:rsidTr="00423DF1">
        <w:tc>
          <w:tcPr>
            <w:tcW w:w="9362" w:type="dxa"/>
            <w:gridSpan w:val="3"/>
          </w:tcPr>
          <w:p w14:paraId="7CD7EB1D" w14:textId="0EBE1568" w:rsidR="00726A4E" w:rsidRPr="001444DD" w:rsidRDefault="00C05FA3" w:rsidP="00726A4E">
            <w:pPr>
              <w:pStyle w:val="zSoquijdatNomProcureurDef"/>
            </w:pPr>
            <w:proofErr w:type="spellStart"/>
            <w:r w:rsidRPr="001444DD">
              <w:t>Mtre</w:t>
            </w:r>
            <w:proofErr w:type="spellEnd"/>
            <w:r w:rsidRPr="001444DD">
              <w:t xml:space="preserve"> Justine St-Jacques</w:t>
            </w:r>
          </w:p>
          <w:p w14:paraId="545326E7" w14:textId="3D6DFB11" w:rsidR="000C26BE" w:rsidRPr="001444DD" w:rsidRDefault="00C05FA3" w:rsidP="00726A4E">
            <w:pPr>
              <w:pStyle w:val="zSoquijdatNomProcureurDef"/>
            </w:pPr>
            <w:proofErr w:type="spellStart"/>
            <w:r w:rsidRPr="001444DD">
              <w:t>Mtre</w:t>
            </w:r>
            <w:proofErr w:type="spellEnd"/>
            <w:r w:rsidRPr="001444DD">
              <w:t xml:space="preserve"> Christine Campbell</w:t>
            </w:r>
          </w:p>
        </w:tc>
      </w:tr>
      <w:tr w:rsidR="00EA43D9" w:rsidRPr="00105125" w14:paraId="3C2949C9" w14:textId="77777777" w:rsidTr="00423DF1">
        <w:tc>
          <w:tcPr>
            <w:tcW w:w="9362" w:type="dxa"/>
            <w:gridSpan w:val="3"/>
          </w:tcPr>
          <w:p w14:paraId="7D262A14" w14:textId="6707FBC3" w:rsidR="00726A4E" w:rsidRPr="00105125" w:rsidRDefault="004A7BFD" w:rsidP="00726A4E">
            <w:pPr>
              <w:pStyle w:val="zSoquijdatCabinetProcureurDef"/>
              <w:rPr>
                <w:smallCaps/>
                <w:lang w:val="en-CA"/>
              </w:rPr>
            </w:pPr>
            <w:proofErr w:type="spellStart"/>
            <w:r w:rsidRPr="00105125">
              <w:rPr>
                <w:smallCaps/>
                <w:lang w:val="en-CA"/>
              </w:rPr>
              <w:t>bitzakidis</w:t>
            </w:r>
            <w:proofErr w:type="spellEnd"/>
            <w:r w:rsidRPr="00105125">
              <w:rPr>
                <w:smallCaps/>
                <w:lang w:val="en-CA"/>
              </w:rPr>
              <w:t xml:space="preserve">, </w:t>
            </w:r>
            <w:proofErr w:type="spellStart"/>
            <w:r w:rsidRPr="00105125">
              <w:rPr>
                <w:smallCaps/>
                <w:lang w:val="en-CA"/>
              </w:rPr>
              <w:t>clément</w:t>
            </w:r>
            <w:proofErr w:type="spellEnd"/>
            <w:r w:rsidRPr="00105125">
              <w:rPr>
                <w:smallCaps/>
                <w:lang w:val="en-CA"/>
              </w:rPr>
              <w:t xml:space="preserve">-majors, </w:t>
            </w:r>
            <w:proofErr w:type="spellStart"/>
            <w:r w:rsidRPr="00105125">
              <w:rPr>
                <w:smallCaps/>
                <w:lang w:val="en-CA"/>
              </w:rPr>
              <w:t>fournier</w:t>
            </w:r>
            <w:proofErr w:type="spellEnd"/>
          </w:p>
        </w:tc>
      </w:tr>
      <w:tr w:rsidR="00EA43D9" w:rsidRPr="00D97121" w14:paraId="08A435B4" w14:textId="77777777" w:rsidTr="00423DF1">
        <w:tc>
          <w:tcPr>
            <w:tcW w:w="9362" w:type="dxa"/>
            <w:gridSpan w:val="3"/>
          </w:tcPr>
          <w:p w14:paraId="17007C10" w14:textId="75DC6043" w:rsidR="00726A4E" w:rsidRPr="00105125" w:rsidRDefault="00C05FA3" w:rsidP="00726A4E">
            <w:pPr>
              <w:pStyle w:val="zSoquijlblProcureurDef"/>
              <w:rPr>
                <w:lang w:val="en-CA"/>
              </w:rPr>
            </w:pPr>
            <w:r w:rsidRPr="00105125">
              <w:rPr>
                <w:lang w:val="en-CA"/>
              </w:rPr>
              <w:t xml:space="preserve">For the impleaded party </w:t>
            </w:r>
            <w:r w:rsidR="009818FE">
              <w:rPr>
                <w:lang w:val="en-CA"/>
              </w:rPr>
              <w:softHyphen/>
              <w:t>–</w:t>
            </w:r>
            <w:r w:rsidRPr="00105125">
              <w:rPr>
                <w:lang w:val="en-CA"/>
              </w:rPr>
              <w:t xml:space="preserve"> incidental appellant</w:t>
            </w:r>
          </w:p>
        </w:tc>
      </w:tr>
      <w:tr w:rsidR="00EA43D9" w:rsidRPr="00D97121" w14:paraId="0FEC8007" w14:textId="77777777" w:rsidTr="00423DF1">
        <w:tc>
          <w:tcPr>
            <w:tcW w:w="9362" w:type="dxa"/>
            <w:gridSpan w:val="3"/>
          </w:tcPr>
          <w:p w14:paraId="6B1140B6" w14:textId="77777777" w:rsidR="005A78BF" w:rsidRPr="00105125" w:rsidRDefault="005A78BF" w:rsidP="005A78BF">
            <w:pPr>
              <w:rPr>
                <w:lang w:val="en-CA"/>
              </w:rPr>
            </w:pPr>
          </w:p>
        </w:tc>
      </w:tr>
      <w:tr w:rsidR="00EA43D9" w:rsidRPr="00105125" w14:paraId="558E0435" w14:textId="77777777" w:rsidTr="00423DF1">
        <w:tc>
          <w:tcPr>
            <w:tcW w:w="1997" w:type="dxa"/>
          </w:tcPr>
          <w:p w14:paraId="7EF85465" w14:textId="141C0E6F" w:rsidR="005A78BF" w:rsidRPr="00105125" w:rsidRDefault="00C05FA3" w:rsidP="005A78BF">
            <w:pPr>
              <w:pStyle w:val="zSoquijlblDateAudience"/>
              <w:rPr>
                <w:lang w:val="en-CA"/>
              </w:rPr>
            </w:pPr>
            <w:r w:rsidRPr="00105125">
              <w:rPr>
                <w:lang w:val="en-CA"/>
              </w:rPr>
              <w:t>Date of hearing:</w:t>
            </w:r>
          </w:p>
        </w:tc>
        <w:tc>
          <w:tcPr>
            <w:tcW w:w="7365" w:type="dxa"/>
            <w:gridSpan w:val="2"/>
          </w:tcPr>
          <w:p w14:paraId="17CAAE50" w14:textId="41A90AD3" w:rsidR="005A78BF" w:rsidRPr="00105125" w:rsidRDefault="00C05FA3" w:rsidP="005A78BF">
            <w:pPr>
              <w:pStyle w:val="zSoquijdatDateAudience"/>
              <w:rPr>
                <w:lang w:val="en-CA"/>
              </w:rPr>
            </w:pPr>
            <w:r w:rsidRPr="00105125">
              <w:rPr>
                <w:lang w:val="en-CA"/>
              </w:rPr>
              <w:t>November 2, 2023</w:t>
            </w:r>
          </w:p>
        </w:tc>
      </w:tr>
    </w:tbl>
    <w:p w14:paraId="01D59110" w14:textId="77777777" w:rsidR="0072362A" w:rsidRPr="00105125" w:rsidRDefault="0072362A" w:rsidP="0072362A">
      <w:pPr>
        <w:rPr>
          <w:lang w:val="en-CA"/>
        </w:rPr>
        <w:sectPr w:rsidR="0072362A" w:rsidRPr="00105125" w:rsidSect="009B260D">
          <w:headerReference w:type="even" r:id="rId8"/>
          <w:headerReference w:type="default" r:id="rId9"/>
          <w:footerReference w:type="even" r:id="rId10"/>
          <w:footerReference w:type="default" r:id="rId11"/>
          <w:headerReference w:type="first" r:id="rId12"/>
          <w:footerReference w:type="first" r:id="rId13"/>
          <w:pgSz w:w="12242" w:h="15842" w:code="1"/>
          <w:pgMar w:top="1440" w:right="1008" w:bottom="1440" w:left="1872" w:header="1440" w:footer="792" w:gutter="0"/>
          <w:paperSrc w:first="4" w:other="4"/>
          <w:cols w:space="720"/>
          <w:formProt w:val="0"/>
          <w:titlePg/>
        </w:sectPr>
      </w:pPr>
      <w:bookmarkStart w:id="5" w:name="Opinion"/>
      <w:bookmarkEnd w:id="2"/>
    </w:p>
    <w:tbl>
      <w:tblPr>
        <w:tblW w:w="0" w:type="auto"/>
        <w:tblLayout w:type="fixed"/>
        <w:tblCellMar>
          <w:left w:w="0" w:type="dxa"/>
          <w:right w:w="0" w:type="dxa"/>
        </w:tblCellMar>
        <w:tblLook w:val="0000" w:firstRow="0" w:lastRow="0" w:firstColumn="0" w:lastColumn="0" w:noHBand="0" w:noVBand="0"/>
      </w:tblPr>
      <w:tblGrid>
        <w:gridCol w:w="9360"/>
      </w:tblGrid>
      <w:tr w:rsidR="00EA43D9" w:rsidRPr="00105125" w14:paraId="78CF3903" w14:textId="77777777" w:rsidTr="00F62D35">
        <w:tc>
          <w:tcPr>
            <w:tcW w:w="9360" w:type="dxa"/>
            <w:tcBorders>
              <w:bottom w:val="single" w:sz="8" w:space="0" w:color="auto"/>
            </w:tcBorders>
          </w:tcPr>
          <w:p w14:paraId="792AC4DD" w14:textId="77777777" w:rsidR="0072362A" w:rsidRPr="00105125" w:rsidRDefault="004A7BFD" w:rsidP="00F62D35">
            <w:pPr>
              <w:rPr>
                <w:lang w:val="en-CA"/>
              </w:rPr>
            </w:pPr>
            <w:r w:rsidRPr="00105125">
              <w:rPr>
                <w:lang w:val="en-CA"/>
              </w:rPr>
              <w:lastRenderedPageBreak/>
              <w:br w:type="page"/>
            </w:r>
          </w:p>
        </w:tc>
      </w:tr>
      <w:tr w:rsidR="00EA43D9" w:rsidRPr="00105125" w14:paraId="4AB36F90" w14:textId="77777777" w:rsidTr="00F62D35">
        <w:tc>
          <w:tcPr>
            <w:tcW w:w="9360" w:type="dxa"/>
            <w:tcBorders>
              <w:top w:val="single" w:sz="8" w:space="0" w:color="auto"/>
            </w:tcBorders>
          </w:tcPr>
          <w:p w14:paraId="40CB1A0E" w14:textId="77777777" w:rsidR="0072362A" w:rsidRPr="00105125" w:rsidRDefault="0072362A" w:rsidP="00F62D35">
            <w:pPr>
              <w:rPr>
                <w:lang w:val="en-CA"/>
              </w:rPr>
            </w:pPr>
          </w:p>
        </w:tc>
      </w:tr>
      <w:tr w:rsidR="00EA43D9" w:rsidRPr="00D97121" w14:paraId="0713806F" w14:textId="77777777" w:rsidTr="00F62D35">
        <w:tc>
          <w:tcPr>
            <w:tcW w:w="9360" w:type="dxa"/>
          </w:tcPr>
          <w:p w14:paraId="60CBD767" w14:textId="4EB1DA4A" w:rsidR="0072362A" w:rsidRPr="00105125" w:rsidRDefault="00C05FA3" w:rsidP="00F62D35">
            <w:pPr>
              <w:pStyle w:val="zSoquijlblOpinionJuge"/>
              <w:rPr>
                <w:lang w:val="en-CA"/>
              </w:rPr>
            </w:pPr>
            <w:r w:rsidRPr="00105125">
              <w:rPr>
                <w:lang w:val="en-CA"/>
              </w:rPr>
              <w:t>REASONS OF DUTIL J.A.</w:t>
            </w:r>
          </w:p>
        </w:tc>
      </w:tr>
      <w:tr w:rsidR="00EA43D9" w:rsidRPr="00D97121" w14:paraId="43BC8595" w14:textId="77777777" w:rsidTr="00F62D35">
        <w:tc>
          <w:tcPr>
            <w:tcW w:w="9360" w:type="dxa"/>
            <w:tcBorders>
              <w:bottom w:val="single" w:sz="8" w:space="0" w:color="auto"/>
            </w:tcBorders>
          </w:tcPr>
          <w:p w14:paraId="1232D906" w14:textId="77777777" w:rsidR="0072362A" w:rsidRPr="00105125" w:rsidRDefault="0072362A" w:rsidP="00F62D35">
            <w:pPr>
              <w:rPr>
                <w:lang w:val="en-CA"/>
              </w:rPr>
            </w:pPr>
          </w:p>
        </w:tc>
      </w:tr>
      <w:tr w:rsidR="00EA43D9" w:rsidRPr="00D97121" w14:paraId="49FC0953" w14:textId="77777777" w:rsidTr="00F62D35">
        <w:tc>
          <w:tcPr>
            <w:tcW w:w="9360" w:type="dxa"/>
            <w:tcBorders>
              <w:top w:val="single" w:sz="8" w:space="0" w:color="auto"/>
            </w:tcBorders>
          </w:tcPr>
          <w:p w14:paraId="325D8D21" w14:textId="77777777" w:rsidR="0072362A" w:rsidRPr="00105125" w:rsidRDefault="0072362A" w:rsidP="00F62D35">
            <w:pPr>
              <w:rPr>
                <w:lang w:val="en-CA"/>
              </w:rPr>
            </w:pPr>
          </w:p>
        </w:tc>
      </w:tr>
    </w:tbl>
    <w:p w14:paraId="64FE82ED" w14:textId="4877AFA3" w:rsidR="0072362A" w:rsidRPr="00105125" w:rsidRDefault="00F8495C" w:rsidP="00AD265D">
      <w:pPr>
        <w:pStyle w:val="Paragraphe"/>
        <w:spacing w:before="240" w:line="280" w:lineRule="exact"/>
        <w:rPr>
          <w:lang w:val="en-CA"/>
        </w:rPr>
      </w:pPr>
      <w:bookmarkStart w:id="6" w:name="_Hlk155619138"/>
      <w:r w:rsidRPr="00105125">
        <w:rPr>
          <w:lang w:val="en-CA"/>
        </w:rPr>
        <w:t xml:space="preserve">The three appeals </w:t>
      </w:r>
      <w:r w:rsidR="00AD3F43">
        <w:rPr>
          <w:lang w:val="en-CA"/>
        </w:rPr>
        <w:t xml:space="preserve">before the Court are </w:t>
      </w:r>
      <w:r w:rsidRPr="00105125">
        <w:rPr>
          <w:lang w:val="en-CA"/>
        </w:rPr>
        <w:t xml:space="preserve">to determine whether </w:t>
      </w:r>
      <w:r w:rsidR="009F3E87">
        <w:rPr>
          <w:lang w:val="en-CA"/>
        </w:rPr>
        <w:t xml:space="preserve">refugee claimants </w:t>
      </w:r>
      <w:r w:rsidRPr="00105125">
        <w:rPr>
          <w:lang w:val="en-CA"/>
        </w:rPr>
        <w:t xml:space="preserve">staying in Quebec who hold a work permit may be excluded from the subsidized </w:t>
      </w:r>
      <w:r w:rsidR="009F3E87">
        <w:rPr>
          <w:lang w:val="en-CA"/>
        </w:rPr>
        <w:t>child</w:t>
      </w:r>
      <w:r w:rsidRPr="00105125">
        <w:rPr>
          <w:lang w:val="en-CA"/>
        </w:rPr>
        <w:t>care program for their children.</w:t>
      </w:r>
    </w:p>
    <w:bookmarkEnd w:id="6"/>
    <w:p w14:paraId="12F1ACC5" w14:textId="1615572B" w:rsidR="0072362A" w:rsidRPr="00105125" w:rsidRDefault="00F8495C" w:rsidP="00AD265D">
      <w:pPr>
        <w:pStyle w:val="Paragraphe"/>
        <w:spacing w:line="280" w:lineRule="exact"/>
        <w:rPr>
          <w:lang w:val="en-CA"/>
        </w:rPr>
      </w:pPr>
      <w:r w:rsidRPr="00105125">
        <w:rPr>
          <w:lang w:val="en-CA"/>
        </w:rPr>
        <w:t xml:space="preserve">The principal appeal of the Attorney General of Quebec (“AGQ”) concerns the validity of section 3 of the </w:t>
      </w:r>
      <w:r w:rsidRPr="00105125">
        <w:rPr>
          <w:i/>
          <w:lang w:val="en-CA"/>
        </w:rPr>
        <w:t xml:space="preserve">Reduced </w:t>
      </w:r>
      <w:r w:rsidR="00905D57" w:rsidRPr="00105125">
        <w:rPr>
          <w:i/>
          <w:lang w:val="en-CA"/>
        </w:rPr>
        <w:t>C</w:t>
      </w:r>
      <w:r w:rsidRPr="00105125">
        <w:rPr>
          <w:i/>
          <w:lang w:val="en-CA"/>
        </w:rPr>
        <w:t xml:space="preserve">ontribution </w:t>
      </w:r>
      <w:r w:rsidR="00905D57" w:rsidRPr="00105125">
        <w:rPr>
          <w:i/>
          <w:lang w:val="en-CA"/>
        </w:rPr>
        <w:t>R</w:t>
      </w:r>
      <w:r w:rsidRPr="00105125">
        <w:rPr>
          <w:i/>
          <w:lang w:val="en-CA"/>
        </w:rPr>
        <w:t xml:space="preserve">egulation </w:t>
      </w:r>
      <w:r w:rsidRPr="00105125">
        <w:rPr>
          <w:lang w:val="en-CA"/>
        </w:rPr>
        <w:t>(“</w:t>
      </w:r>
      <w:r w:rsidRPr="00105125">
        <w:rPr>
          <w:i/>
          <w:lang w:val="en-CA"/>
        </w:rPr>
        <w:t>RCR</w:t>
      </w:r>
      <w:r w:rsidRPr="00105125">
        <w:rPr>
          <w:lang w:val="en-CA"/>
        </w:rPr>
        <w:t>”)</w:t>
      </w:r>
      <w:r w:rsidRPr="00105125">
        <w:rPr>
          <w:rStyle w:val="Appelnotedebasdep"/>
          <w:lang w:val="en-CA"/>
        </w:rPr>
        <w:footnoteReference w:id="1"/>
      </w:r>
      <w:r w:rsidR="009F3E87">
        <w:rPr>
          <w:lang w:val="en-CA"/>
        </w:rPr>
        <w:t xml:space="preserve"> from an administrative law perspective</w:t>
      </w:r>
      <w:r w:rsidRPr="00105125">
        <w:rPr>
          <w:lang w:val="en-CA"/>
        </w:rPr>
        <w:t xml:space="preserve"> </w:t>
      </w:r>
      <w:r w:rsidR="009F3E87">
        <w:rPr>
          <w:lang w:val="en-CA"/>
        </w:rPr>
        <w:t>since</w:t>
      </w:r>
      <w:r w:rsidRPr="00105125">
        <w:rPr>
          <w:lang w:val="en-CA"/>
        </w:rPr>
        <w:t xml:space="preserve"> the trial judge declared it </w:t>
      </w:r>
      <w:r w:rsidR="00B71C69" w:rsidRPr="00105125">
        <w:rPr>
          <w:lang w:val="en-CA"/>
        </w:rPr>
        <w:t>void</w:t>
      </w:r>
      <w:r w:rsidRPr="00105125">
        <w:rPr>
          <w:lang w:val="en-CA"/>
        </w:rPr>
        <w:t xml:space="preserve"> and </w:t>
      </w:r>
      <w:r w:rsidRPr="00105125">
        <w:rPr>
          <w:i/>
          <w:lang w:val="en-CA"/>
        </w:rPr>
        <w:t>ultra vires</w:t>
      </w:r>
      <w:r w:rsidRPr="00105125">
        <w:rPr>
          <w:lang w:val="en-CA"/>
        </w:rPr>
        <w:t>.</w:t>
      </w:r>
    </w:p>
    <w:p w14:paraId="5C7DBFE8" w14:textId="4FEF48B0" w:rsidR="0072362A" w:rsidRPr="00105125" w:rsidRDefault="008011AA" w:rsidP="00AD265D">
      <w:pPr>
        <w:pStyle w:val="Paragraphe"/>
        <w:spacing w:line="280" w:lineRule="exact"/>
        <w:rPr>
          <w:lang w:val="en-CA"/>
        </w:rPr>
      </w:pPr>
      <w:r>
        <w:rPr>
          <w:lang w:val="en-CA"/>
        </w:rPr>
        <w:t>T</w:t>
      </w:r>
      <w:r w:rsidR="00F8495C" w:rsidRPr="00105125">
        <w:rPr>
          <w:lang w:val="en-CA"/>
        </w:rPr>
        <w:t xml:space="preserve">he incidental appeal of the respondent </w:t>
      </w:r>
      <w:r w:rsidR="009F3E87">
        <w:rPr>
          <w:lang w:val="en-CA"/>
        </w:rPr>
        <w:t>–</w:t>
      </w:r>
      <w:r w:rsidR="00F8495C" w:rsidRPr="00105125">
        <w:rPr>
          <w:lang w:val="en-CA"/>
        </w:rPr>
        <w:t xml:space="preserve"> incidental appellant, Ms. </w:t>
      </w:r>
      <w:proofErr w:type="spellStart"/>
      <w:r w:rsidR="00F8495C" w:rsidRPr="00105125">
        <w:rPr>
          <w:lang w:val="en-CA"/>
        </w:rPr>
        <w:t>Kanyinda</w:t>
      </w:r>
      <w:proofErr w:type="spellEnd"/>
      <w:r w:rsidR="00F8495C" w:rsidRPr="00105125">
        <w:rPr>
          <w:lang w:val="en-CA"/>
        </w:rPr>
        <w:t xml:space="preserve">, argues that section 3 of the </w:t>
      </w:r>
      <w:r w:rsidR="00F8495C" w:rsidRPr="00105125">
        <w:rPr>
          <w:i/>
          <w:lang w:val="en-CA"/>
        </w:rPr>
        <w:t>RCR</w:t>
      </w:r>
      <w:r w:rsidR="00F8495C" w:rsidRPr="00105125">
        <w:rPr>
          <w:lang w:val="en-CA"/>
        </w:rPr>
        <w:t xml:space="preserve"> is unconstitutional within the meaning of section 15 of the </w:t>
      </w:r>
      <w:r w:rsidR="00F8495C" w:rsidRPr="00105125">
        <w:rPr>
          <w:i/>
          <w:lang w:val="en-CA"/>
        </w:rPr>
        <w:t>Canadian Charter of Rights and Freedoms</w:t>
      </w:r>
      <w:r w:rsidR="00F8495C" w:rsidRPr="00105125">
        <w:rPr>
          <w:lang w:val="en-CA"/>
        </w:rPr>
        <w:t xml:space="preserve"> (“</w:t>
      </w:r>
      <w:r w:rsidR="00F8495C" w:rsidRPr="00105125">
        <w:rPr>
          <w:i/>
          <w:lang w:val="en-CA"/>
        </w:rPr>
        <w:t>Canadian Charter</w:t>
      </w:r>
      <w:r w:rsidR="00F8495C" w:rsidRPr="00105125">
        <w:rPr>
          <w:lang w:val="en-CA"/>
        </w:rPr>
        <w:t>”)</w:t>
      </w:r>
      <w:r w:rsidR="005103C8">
        <w:rPr>
          <w:lang w:val="en-CA"/>
        </w:rPr>
        <w:t>,</w:t>
      </w:r>
      <w:r w:rsidR="00F8495C" w:rsidRPr="00105125">
        <w:rPr>
          <w:lang w:val="en-CA"/>
        </w:rPr>
        <w:t xml:space="preserve"> </w:t>
      </w:r>
      <w:r w:rsidR="005103C8">
        <w:rPr>
          <w:lang w:val="en-CA"/>
        </w:rPr>
        <w:t>while</w:t>
      </w:r>
      <w:r w:rsidR="005103C8" w:rsidRPr="00105125">
        <w:rPr>
          <w:lang w:val="en-CA"/>
        </w:rPr>
        <w:t xml:space="preserve"> </w:t>
      </w:r>
      <w:r w:rsidR="00F8495C" w:rsidRPr="00105125">
        <w:rPr>
          <w:lang w:val="en-CA"/>
        </w:rPr>
        <w:t xml:space="preserve">the appeal of the impleaded party </w:t>
      </w:r>
      <w:r w:rsidR="009F3E87">
        <w:rPr>
          <w:lang w:val="en-CA"/>
        </w:rPr>
        <w:t>–</w:t>
      </w:r>
      <w:r w:rsidR="00F8495C" w:rsidRPr="00105125">
        <w:rPr>
          <w:lang w:val="en-CA"/>
        </w:rPr>
        <w:t xml:space="preserve"> incidental appellant, the Commission des droits de la </w:t>
      </w:r>
      <w:proofErr w:type="spellStart"/>
      <w:r w:rsidR="00F8495C" w:rsidRPr="00105125">
        <w:rPr>
          <w:lang w:val="en-CA"/>
        </w:rPr>
        <w:t>personne</w:t>
      </w:r>
      <w:proofErr w:type="spellEnd"/>
      <w:r w:rsidR="00F8495C" w:rsidRPr="00105125">
        <w:rPr>
          <w:lang w:val="en-CA"/>
        </w:rPr>
        <w:t xml:space="preserve"> et des droits de la jeunesse (“CDPDJ”), also concerns the </w:t>
      </w:r>
      <w:r w:rsidR="009F3E87">
        <w:rPr>
          <w:lang w:val="en-CA"/>
        </w:rPr>
        <w:t>un</w:t>
      </w:r>
      <w:r w:rsidR="00F8495C" w:rsidRPr="00105125">
        <w:rPr>
          <w:lang w:val="en-CA"/>
        </w:rPr>
        <w:t xml:space="preserve">constitutionality of this provision, but under section 10 of the </w:t>
      </w:r>
      <w:r w:rsidR="00F8495C" w:rsidRPr="00105125">
        <w:rPr>
          <w:i/>
          <w:lang w:val="en-CA"/>
        </w:rPr>
        <w:t xml:space="preserve">Charter of </w:t>
      </w:r>
      <w:r w:rsidR="00F676DB">
        <w:rPr>
          <w:i/>
          <w:lang w:val="en-CA"/>
        </w:rPr>
        <w:t>H</w:t>
      </w:r>
      <w:r w:rsidR="00F8495C" w:rsidRPr="00105125">
        <w:rPr>
          <w:i/>
          <w:lang w:val="en-CA"/>
        </w:rPr>
        <w:t xml:space="preserve">uman </w:t>
      </w:r>
      <w:r w:rsidR="00F676DB">
        <w:rPr>
          <w:i/>
          <w:lang w:val="en-CA"/>
        </w:rPr>
        <w:t>R</w:t>
      </w:r>
      <w:r w:rsidR="00F8495C" w:rsidRPr="00105125">
        <w:rPr>
          <w:i/>
          <w:lang w:val="en-CA"/>
        </w:rPr>
        <w:t xml:space="preserve">ights and </w:t>
      </w:r>
      <w:r w:rsidR="00F676DB">
        <w:rPr>
          <w:i/>
          <w:lang w:val="en-CA"/>
        </w:rPr>
        <w:t>F</w:t>
      </w:r>
      <w:r w:rsidR="00F8495C" w:rsidRPr="00105125">
        <w:rPr>
          <w:i/>
          <w:lang w:val="en-CA"/>
        </w:rPr>
        <w:t>reedoms</w:t>
      </w:r>
      <w:r w:rsidR="00F8495C" w:rsidRPr="00105125">
        <w:rPr>
          <w:lang w:val="en-CA"/>
        </w:rPr>
        <w:t xml:space="preserve"> (“</w:t>
      </w:r>
      <w:r w:rsidR="00F8495C" w:rsidRPr="00105125">
        <w:rPr>
          <w:i/>
          <w:lang w:val="en-CA"/>
        </w:rPr>
        <w:t>Quebec Charter</w:t>
      </w:r>
      <w:r w:rsidR="00F8495C" w:rsidRPr="00105125">
        <w:rPr>
          <w:lang w:val="en-CA"/>
        </w:rPr>
        <w:t>”).</w:t>
      </w:r>
    </w:p>
    <w:p w14:paraId="5F3805EA" w14:textId="77777777" w:rsidR="0072362A" w:rsidRPr="00105125" w:rsidRDefault="004A7BFD" w:rsidP="0072362A">
      <w:pPr>
        <w:spacing w:before="120" w:after="120"/>
        <w:jc w:val="center"/>
        <w:rPr>
          <w:sz w:val="28"/>
          <w:szCs w:val="28"/>
          <w:lang w:val="en-CA"/>
        </w:rPr>
      </w:pPr>
      <w:r w:rsidRPr="00105125">
        <w:rPr>
          <w:sz w:val="28"/>
          <w:szCs w:val="28"/>
          <w:lang w:val="en-CA"/>
        </w:rPr>
        <w:t>* * *</w:t>
      </w:r>
    </w:p>
    <w:p w14:paraId="0347CBA9" w14:textId="6A25A4F5" w:rsidR="0072362A" w:rsidRPr="00105125" w:rsidRDefault="00F8495C" w:rsidP="00AD265D">
      <w:pPr>
        <w:pStyle w:val="Titre2"/>
        <w:rPr>
          <w:i w:val="0"/>
          <w:iCs/>
          <w:lang w:val="en-CA"/>
        </w:rPr>
      </w:pPr>
      <w:r w:rsidRPr="00105125">
        <w:rPr>
          <w:i w:val="0"/>
          <w:iCs/>
          <w:lang w:val="en-CA"/>
        </w:rPr>
        <w:t>Background</w:t>
      </w:r>
    </w:p>
    <w:p w14:paraId="745CCA37" w14:textId="7394BA51" w:rsidR="0072362A" w:rsidRPr="00105125" w:rsidRDefault="00F8495C" w:rsidP="00AD265D">
      <w:pPr>
        <w:pStyle w:val="Paragraphe"/>
        <w:spacing w:line="280" w:lineRule="exact"/>
        <w:rPr>
          <w:lang w:val="en-CA"/>
        </w:rPr>
      </w:pPr>
      <w:r w:rsidRPr="00105125">
        <w:rPr>
          <w:lang w:val="en-CA"/>
        </w:rPr>
        <w:t xml:space="preserve">The facts useful </w:t>
      </w:r>
      <w:r w:rsidR="001444DD">
        <w:rPr>
          <w:lang w:val="en-CA"/>
        </w:rPr>
        <w:t>to consider</w:t>
      </w:r>
      <w:r w:rsidRPr="00105125">
        <w:rPr>
          <w:lang w:val="en-CA"/>
        </w:rPr>
        <w:t xml:space="preserve"> the appeal are simple and undisputed.</w:t>
      </w:r>
    </w:p>
    <w:p w14:paraId="26C68630" w14:textId="6EF7545D" w:rsidR="0072362A" w:rsidRPr="00105125" w:rsidRDefault="00F8495C" w:rsidP="00AD265D">
      <w:pPr>
        <w:pStyle w:val="Paragraphe"/>
        <w:spacing w:line="280" w:lineRule="exact"/>
        <w:rPr>
          <w:lang w:val="en-CA"/>
        </w:rPr>
      </w:pPr>
      <w:r w:rsidRPr="00105125">
        <w:rPr>
          <w:lang w:val="en-CA"/>
        </w:rPr>
        <w:t xml:space="preserve">Ms. </w:t>
      </w:r>
      <w:proofErr w:type="spellStart"/>
      <w:r w:rsidRPr="00105125">
        <w:rPr>
          <w:lang w:val="en-CA"/>
        </w:rPr>
        <w:t>Kanyinda</w:t>
      </w:r>
      <w:proofErr w:type="spellEnd"/>
      <w:r w:rsidRPr="00105125">
        <w:rPr>
          <w:lang w:val="en-CA"/>
        </w:rPr>
        <w:t xml:space="preserve"> </w:t>
      </w:r>
      <w:r w:rsidR="009F3E87">
        <w:rPr>
          <w:lang w:val="en-CA"/>
        </w:rPr>
        <w:t xml:space="preserve">is from </w:t>
      </w:r>
      <w:r w:rsidRPr="00105125">
        <w:rPr>
          <w:lang w:val="en-CA"/>
        </w:rPr>
        <w:t>the Democratic Republic of Congo.</w:t>
      </w:r>
      <w:r w:rsidR="004A7BFD" w:rsidRPr="00105125">
        <w:rPr>
          <w:lang w:val="en-CA"/>
        </w:rPr>
        <w:t xml:space="preserve"> </w:t>
      </w:r>
      <w:r w:rsidRPr="00105125">
        <w:rPr>
          <w:lang w:val="en-CA"/>
        </w:rPr>
        <w:t xml:space="preserve">After a stay in the United States, she entered Quebec on or around October 9, 2018, </w:t>
      </w:r>
      <w:r w:rsidR="001444DD">
        <w:rPr>
          <w:lang w:val="en-CA"/>
        </w:rPr>
        <w:t xml:space="preserve">through the </w:t>
      </w:r>
      <w:r w:rsidRPr="00105125">
        <w:rPr>
          <w:lang w:val="en-CA"/>
        </w:rPr>
        <w:t>point of entry known as “</w:t>
      </w:r>
      <w:proofErr w:type="spellStart"/>
      <w:r w:rsidRPr="00105125">
        <w:rPr>
          <w:lang w:val="en-CA"/>
        </w:rPr>
        <w:t>Roxham</w:t>
      </w:r>
      <w:proofErr w:type="spellEnd"/>
      <w:r w:rsidRPr="00105125">
        <w:rPr>
          <w:lang w:val="en-CA"/>
        </w:rPr>
        <w:t xml:space="preserve"> Road”, since closed following an agreement between the governments of Canada and the United States.</w:t>
      </w:r>
      <w:r w:rsidR="004A7BFD" w:rsidRPr="00105125">
        <w:rPr>
          <w:lang w:val="en-CA"/>
        </w:rPr>
        <w:t xml:space="preserve"> </w:t>
      </w:r>
      <w:r w:rsidR="00905D57" w:rsidRPr="00105125">
        <w:rPr>
          <w:lang w:val="en-CA"/>
        </w:rPr>
        <w:t xml:space="preserve">She </w:t>
      </w:r>
      <w:r w:rsidR="00515FB8">
        <w:rPr>
          <w:lang w:val="en-CA"/>
        </w:rPr>
        <w:t>is the mother of</w:t>
      </w:r>
      <w:r w:rsidR="00515FB8" w:rsidRPr="00105125">
        <w:rPr>
          <w:lang w:val="en-CA"/>
        </w:rPr>
        <w:t xml:space="preserve"> </w:t>
      </w:r>
      <w:r w:rsidR="00905D57" w:rsidRPr="00105125">
        <w:rPr>
          <w:lang w:val="en-CA"/>
        </w:rPr>
        <w:t xml:space="preserve">three children who accompanied her to Quebec and were 5, 4, and 2 years old at the time the </w:t>
      </w:r>
      <w:r w:rsidR="001444DD">
        <w:rPr>
          <w:lang w:val="en-CA"/>
        </w:rPr>
        <w:t xml:space="preserve">proceeding </w:t>
      </w:r>
      <w:r w:rsidR="00905D57" w:rsidRPr="00105125">
        <w:rPr>
          <w:lang w:val="en-CA"/>
        </w:rPr>
        <w:t>was filed.</w:t>
      </w:r>
    </w:p>
    <w:p w14:paraId="2916A0B4" w14:textId="6130F9CA" w:rsidR="0072362A" w:rsidRPr="00105125" w:rsidRDefault="00905D57" w:rsidP="00AD265D">
      <w:pPr>
        <w:pStyle w:val="Paragraphe"/>
        <w:spacing w:line="280" w:lineRule="exact"/>
        <w:rPr>
          <w:lang w:val="en-CA"/>
        </w:rPr>
      </w:pPr>
      <w:r w:rsidRPr="00105125">
        <w:rPr>
          <w:lang w:val="en-CA"/>
        </w:rPr>
        <w:t xml:space="preserve">As soon as she arrived in Quebec, Ms. </w:t>
      </w:r>
      <w:proofErr w:type="spellStart"/>
      <w:r w:rsidRPr="00105125">
        <w:rPr>
          <w:lang w:val="en-CA"/>
        </w:rPr>
        <w:t>Kanyinda</w:t>
      </w:r>
      <w:proofErr w:type="spellEnd"/>
      <w:r w:rsidRPr="00105125">
        <w:rPr>
          <w:lang w:val="en-CA"/>
        </w:rPr>
        <w:t xml:space="preserve"> </w:t>
      </w:r>
      <w:r w:rsidR="001444DD">
        <w:rPr>
          <w:lang w:val="en-CA"/>
        </w:rPr>
        <w:t xml:space="preserve">made a claim </w:t>
      </w:r>
      <w:r w:rsidRPr="00105125">
        <w:rPr>
          <w:lang w:val="en-CA"/>
        </w:rPr>
        <w:t xml:space="preserve">for </w:t>
      </w:r>
      <w:r w:rsidR="001444DD">
        <w:rPr>
          <w:lang w:val="en-CA"/>
        </w:rPr>
        <w:t xml:space="preserve">refugee protection </w:t>
      </w:r>
      <w:r w:rsidRPr="00105125">
        <w:rPr>
          <w:lang w:val="en-CA"/>
        </w:rPr>
        <w:t xml:space="preserve">under the </w:t>
      </w:r>
      <w:r w:rsidRPr="00105125">
        <w:rPr>
          <w:i/>
          <w:lang w:val="en-CA"/>
        </w:rPr>
        <w:t>Immigration and Refugee Protection Act</w:t>
      </w:r>
      <w:r w:rsidRPr="00105125">
        <w:rPr>
          <w:lang w:val="en-CA"/>
        </w:rPr>
        <w:t xml:space="preserve"> (“</w:t>
      </w:r>
      <w:r w:rsidRPr="00105125">
        <w:rPr>
          <w:i/>
          <w:lang w:val="en-CA"/>
        </w:rPr>
        <w:t>IRPA</w:t>
      </w:r>
      <w:r w:rsidRPr="00105125">
        <w:rPr>
          <w:lang w:val="en-CA"/>
        </w:rPr>
        <w:t>”).</w:t>
      </w:r>
      <w:r w:rsidRPr="00105125">
        <w:rPr>
          <w:vertAlign w:val="superscript"/>
          <w:lang w:val="en-CA"/>
        </w:rPr>
        <w:footnoteReference w:id="2"/>
      </w:r>
      <w:r w:rsidR="004A7BFD" w:rsidRPr="00105125">
        <w:rPr>
          <w:lang w:val="en-CA"/>
        </w:rPr>
        <w:t xml:space="preserve"> </w:t>
      </w:r>
      <w:r w:rsidRPr="00105125">
        <w:rPr>
          <w:lang w:val="en-CA"/>
        </w:rPr>
        <w:t xml:space="preserve">Although this type of </w:t>
      </w:r>
      <w:r w:rsidR="001444DD">
        <w:rPr>
          <w:lang w:val="en-CA"/>
        </w:rPr>
        <w:t>claim</w:t>
      </w:r>
      <w:r w:rsidRPr="00105125">
        <w:rPr>
          <w:lang w:val="en-CA"/>
        </w:rPr>
        <w:t xml:space="preserve"> should have been </w:t>
      </w:r>
      <w:r w:rsidR="001444DD">
        <w:rPr>
          <w:lang w:val="en-CA"/>
        </w:rPr>
        <w:t xml:space="preserve">processed </w:t>
      </w:r>
      <w:r w:rsidRPr="00105125">
        <w:rPr>
          <w:lang w:val="en-CA"/>
        </w:rPr>
        <w:t>quickly, according to the applicable legislation,</w:t>
      </w:r>
      <w:r w:rsidR="00F676DB" w:rsidRPr="00105125">
        <w:rPr>
          <w:rStyle w:val="Appelnotedebasdep"/>
          <w:lang w:val="en-CA"/>
        </w:rPr>
        <w:footnoteReference w:id="3"/>
      </w:r>
      <w:r w:rsidRPr="00105125">
        <w:rPr>
          <w:lang w:val="en-CA"/>
        </w:rPr>
        <w:t xml:space="preserve"> the </w:t>
      </w:r>
      <w:r w:rsidR="001444DD">
        <w:rPr>
          <w:lang w:val="en-CA"/>
        </w:rPr>
        <w:t>period</w:t>
      </w:r>
      <w:r w:rsidRPr="00105125">
        <w:rPr>
          <w:lang w:val="en-CA"/>
        </w:rPr>
        <w:t>s required to determine refugee status are often very long.</w:t>
      </w:r>
      <w:r w:rsidR="004A7BFD" w:rsidRPr="00105125">
        <w:rPr>
          <w:lang w:val="en-CA"/>
        </w:rPr>
        <w:t xml:space="preserve"> </w:t>
      </w:r>
      <w:r w:rsidRPr="00105125">
        <w:rPr>
          <w:lang w:val="en-CA"/>
        </w:rPr>
        <w:t xml:space="preserve">In this case, Ms. </w:t>
      </w:r>
      <w:proofErr w:type="spellStart"/>
      <w:r w:rsidRPr="00105125">
        <w:rPr>
          <w:lang w:val="en-CA"/>
        </w:rPr>
        <w:lastRenderedPageBreak/>
        <w:t>Kanyinda</w:t>
      </w:r>
      <w:proofErr w:type="spellEnd"/>
      <w:r w:rsidRPr="00105125">
        <w:rPr>
          <w:lang w:val="en-CA"/>
        </w:rPr>
        <w:t xml:space="preserve"> had not yet </w:t>
      </w:r>
      <w:r w:rsidR="00E10835">
        <w:rPr>
          <w:lang w:val="en-CA"/>
        </w:rPr>
        <w:t xml:space="preserve">been granted </w:t>
      </w:r>
      <w:r w:rsidRPr="00105125">
        <w:rPr>
          <w:lang w:val="en-CA"/>
        </w:rPr>
        <w:t>refugee status on November 26, 2019, at the time of the AGQ’s pre-trial examination.</w:t>
      </w:r>
      <w:r w:rsidR="004A7BFD" w:rsidRPr="00105125">
        <w:rPr>
          <w:lang w:val="en-CA"/>
        </w:rPr>
        <w:t xml:space="preserve"> </w:t>
      </w:r>
      <w:r w:rsidRPr="00105125">
        <w:rPr>
          <w:lang w:val="en-CA"/>
        </w:rPr>
        <w:t xml:space="preserve">However, she </w:t>
      </w:r>
      <w:r w:rsidR="00FA0351">
        <w:rPr>
          <w:lang w:val="en-CA"/>
        </w:rPr>
        <w:t xml:space="preserve">had </w:t>
      </w:r>
      <w:r w:rsidRPr="00105125">
        <w:rPr>
          <w:lang w:val="en-CA"/>
        </w:rPr>
        <w:t>that status at the trial on April</w:t>
      </w:r>
      <w:r w:rsidR="00A74190">
        <w:rPr>
          <w:lang w:val="en-CA"/>
        </w:rPr>
        <w:t> </w:t>
      </w:r>
      <w:r w:rsidRPr="00105125">
        <w:rPr>
          <w:lang w:val="en-CA"/>
        </w:rPr>
        <w:t>21</w:t>
      </w:r>
      <w:r w:rsidR="00A74190">
        <w:rPr>
          <w:lang w:val="en-CA"/>
        </w:rPr>
        <w:t> </w:t>
      </w:r>
      <w:r w:rsidRPr="00105125">
        <w:rPr>
          <w:lang w:val="en-CA"/>
        </w:rPr>
        <w:t>and</w:t>
      </w:r>
      <w:r w:rsidR="00A74190">
        <w:rPr>
          <w:lang w:val="en-CA"/>
        </w:rPr>
        <w:t> </w:t>
      </w:r>
      <w:r w:rsidRPr="00105125">
        <w:rPr>
          <w:lang w:val="en-CA"/>
        </w:rPr>
        <w:t>22,</w:t>
      </w:r>
      <w:r w:rsidR="00A74190">
        <w:rPr>
          <w:lang w:val="en-CA"/>
        </w:rPr>
        <w:t> </w:t>
      </w:r>
      <w:r w:rsidRPr="00105125">
        <w:rPr>
          <w:lang w:val="en-CA"/>
        </w:rPr>
        <w:t xml:space="preserve">2022. </w:t>
      </w:r>
    </w:p>
    <w:p w14:paraId="641FD4E2" w14:textId="3C4BC84C" w:rsidR="0072362A" w:rsidRPr="00105125" w:rsidRDefault="00FA0351" w:rsidP="00AD265D">
      <w:pPr>
        <w:pStyle w:val="Paragraphe"/>
        <w:spacing w:line="280" w:lineRule="exact"/>
        <w:rPr>
          <w:lang w:val="en-CA"/>
        </w:rPr>
      </w:pPr>
      <w:r>
        <w:rPr>
          <w:lang w:val="en-CA"/>
        </w:rPr>
        <w:t xml:space="preserve">After </w:t>
      </w:r>
      <w:r w:rsidR="00905D57" w:rsidRPr="00105125">
        <w:rPr>
          <w:lang w:val="en-CA"/>
        </w:rPr>
        <w:t xml:space="preserve">she filed her claim and </w:t>
      </w:r>
      <w:r>
        <w:rPr>
          <w:lang w:val="en-CA"/>
        </w:rPr>
        <w:t xml:space="preserve">while waiting for </w:t>
      </w:r>
      <w:r w:rsidR="004E175C" w:rsidRPr="00105125">
        <w:rPr>
          <w:lang w:val="en-CA"/>
        </w:rPr>
        <w:t xml:space="preserve">the </w:t>
      </w:r>
      <w:r w:rsidR="00905D57" w:rsidRPr="00105125">
        <w:rPr>
          <w:lang w:val="en-CA"/>
        </w:rPr>
        <w:t xml:space="preserve">federal authorities </w:t>
      </w:r>
      <w:r w:rsidR="004E175C" w:rsidRPr="00105125">
        <w:rPr>
          <w:lang w:val="en-CA"/>
        </w:rPr>
        <w:t>t</w:t>
      </w:r>
      <w:r w:rsidR="00905D57" w:rsidRPr="00105125">
        <w:rPr>
          <w:lang w:val="en-CA"/>
        </w:rPr>
        <w:t xml:space="preserve">o grant her refugee status, Ms. </w:t>
      </w:r>
      <w:proofErr w:type="spellStart"/>
      <w:r w:rsidR="00905D57" w:rsidRPr="00105125">
        <w:rPr>
          <w:lang w:val="en-CA"/>
        </w:rPr>
        <w:t>Kanyinda</w:t>
      </w:r>
      <w:proofErr w:type="spellEnd"/>
      <w:r w:rsidR="00905D57" w:rsidRPr="00105125">
        <w:rPr>
          <w:lang w:val="en-CA"/>
        </w:rPr>
        <w:t xml:space="preserve"> obtained a work permit allow</w:t>
      </w:r>
      <w:r>
        <w:rPr>
          <w:lang w:val="en-CA"/>
        </w:rPr>
        <w:t>ing</w:t>
      </w:r>
      <w:r w:rsidR="00905D57" w:rsidRPr="00105125">
        <w:rPr>
          <w:lang w:val="en-CA"/>
        </w:rPr>
        <w:t xml:space="preserve"> </w:t>
      </w:r>
      <w:r>
        <w:rPr>
          <w:lang w:val="en-CA"/>
        </w:rPr>
        <w:t xml:space="preserve">her to </w:t>
      </w:r>
      <w:r w:rsidR="00905D57" w:rsidRPr="00105125">
        <w:rPr>
          <w:lang w:val="en-CA"/>
        </w:rPr>
        <w:t>hold employment in Quebec.</w:t>
      </w:r>
      <w:r w:rsidR="004A7BFD" w:rsidRPr="00105125">
        <w:rPr>
          <w:lang w:val="en-CA"/>
        </w:rPr>
        <w:t xml:space="preserve"> </w:t>
      </w:r>
      <w:r w:rsidR="00905D57" w:rsidRPr="00105125">
        <w:rPr>
          <w:lang w:val="en-CA"/>
        </w:rPr>
        <w:t xml:space="preserve">She also </w:t>
      </w:r>
      <w:r w:rsidR="00E10835">
        <w:rPr>
          <w:lang w:val="en-CA"/>
        </w:rPr>
        <w:t>contacted</w:t>
      </w:r>
      <w:r w:rsidR="00905D57" w:rsidRPr="00105125">
        <w:rPr>
          <w:lang w:val="en-CA"/>
        </w:rPr>
        <w:t xml:space="preserve"> three daycares to find subsidized </w:t>
      </w:r>
      <w:r>
        <w:rPr>
          <w:lang w:val="en-CA"/>
        </w:rPr>
        <w:t>s</w:t>
      </w:r>
      <w:r w:rsidR="00905D57" w:rsidRPr="00105125">
        <w:rPr>
          <w:lang w:val="en-CA"/>
        </w:rPr>
        <w:t>paces for her children.</w:t>
      </w:r>
      <w:r w:rsidR="004A7BFD" w:rsidRPr="00105125">
        <w:rPr>
          <w:lang w:val="en-CA"/>
        </w:rPr>
        <w:t xml:space="preserve"> </w:t>
      </w:r>
      <w:r w:rsidR="00905D57" w:rsidRPr="00105125">
        <w:rPr>
          <w:lang w:val="en-CA"/>
        </w:rPr>
        <w:t>She was refused access to this service at each daycare</w:t>
      </w:r>
      <w:r>
        <w:rPr>
          <w:lang w:val="en-CA"/>
        </w:rPr>
        <w:t>, however,</w:t>
      </w:r>
      <w:r w:rsidR="00905D57" w:rsidRPr="00105125">
        <w:rPr>
          <w:lang w:val="en-CA"/>
        </w:rPr>
        <w:t xml:space="preserve"> because she </w:t>
      </w:r>
      <w:r>
        <w:rPr>
          <w:lang w:val="en-CA"/>
        </w:rPr>
        <w:t>wa</w:t>
      </w:r>
      <w:r w:rsidR="00905D57" w:rsidRPr="00105125">
        <w:rPr>
          <w:lang w:val="en-CA"/>
        </w:rPr>
        <w:t>s excluded from subsidized childcare</w:t>
      </w:r>
      <w:r>
        <w:rPr>
          <w:lang w:val="en-CA"/>
        </w:rPr>
        <w:t xml:space="preserve"> services, which are </w:t>
      </w:r>
      <w:r w:rsidR="00905D57" w:rsidRPr="00105125">
        <w:rPr>
          <w:lang w:val="en-CA"/>
        </w:rPr>
        <w:t xml:space="preserve">available to people who have been officially recognized as refugees by the federal authorities, not those waiting for </w:t>
      </w:r>
      <w:r w:rsidR="00E10835">
        <w:rPr>
          <w:lang w:val="en-CA"/>
        </w:rPr>
        <w:t>the</w:t>
      </w:r>
      <w:r w:rsidR="00905D57" w:rsidRPr="00105125">
        <w:rPr>
          <w:lang w:val="en-CA"/>
        </w:rPr>
        <w:t xml:space="preserve"> </w:t>
      </w:r>
      <w:r w:rsidRPr="00105125">
        <w:rPr>
          <w:lang w:val="en-CA"/>
        </w:rPr>
        <w:t>federal authorities</w:t>
      </w:r>
      <w:r w:rsidR="00E10835">
        <w:rPr>
          <w:lang w:val="en-CA"/>
        </w:rPr>
        <w:t>’ decision</w:t>
      </w:r>
      <w:r w:rsidRPr="00105125">
        <w:rPr>
          <w:lang w:val="en-CA"/>
        </w:rPr>
        <w:t xml:space="preserve"> </w:t>
      </w:r>
      <w:r w:rsidR="00905D57" w:rsidRPr="00105125">
        <w:rPr>
          <w:lang w:val="en-CA"/>
        </w:rPr>
        <w:t xml:space="preserve">on refugee status. </w:t>
      </w:r>
    </w:p>
    <w:p w14:paraId="3436C47C" w14:textId="3992277F" w:rsidR="0072362A" w:rsidRPr="00105125" w:rsidRDefault="00905D57" w:rsidP="00AD265D">
      <w:pPr>
        <w:pStyle w:val="Paragraphe"/>
        <w:spacing w:line="280" w:lineRule="exact"/>
        <w:rPr>
          <w:lang w:val="en-CA"/>
        </w:rPr>
      </w:pPr>
      <w:r w:rsidRPr="00105125">
        <w:rPr>
          <w:lang w:val="en-CA"/>
        </w:rPr>
        <w:t xml:space="preserve">On May 31, 2019, Ms. </w:t>
      </w:r>
      <w:proofErr w:type="spellStart"/>
      <w:r w:rsidRPr="00105125">
        <w:rPr>
          <w:lang w:val="en-CA"/>
        </w:rPr>
        <w:t>Kanyinda</w:t>
      </w:r>
      <w:proofErr w:type="spellEnd"/>
      <w:r w:rsidRPr="00105125">
        <w:rPr>
          <w:lang w:val="en-CA"/>
        </w:rPr>
        <w:t xml:space="preserve"> filed an application for judicial review, which was amended on August 16, 2019.</w:t>
      </w:r>
      <w:r w:rsidR="004A7BFD" w:rsidRPr="00105125">
        <w:rPr>
          <w:lang w:val="en-CA"/>
        </w:rPr>
        <w:t xml:space="preserve"> </w:t>
      </w:r>
      <w:r w:rsidRPr="00105125">
        <w:rPr>
          <w:lang w:val="en-CA"/>
        </w:rPr>
        <w:t xml:space="preserve">This application has three </w:t>
      </w:r>
      <w:r w:rsidR="00B71C69" w:rsidRPr="00105125">
        <w:rPr>
          <w:lang w:val="en-CA"/>
        </w:rPr>
        <w:t>components</w:t>
      </w:r>
      <w:r w:rsidRPr="00105125">
        <w:rPr>
          <w:lang w:val="en-CA"/>
        </w:rPr>
        <w:t xml:space="preserve"> that she describes as follows in her appeal brief:</w:t>
      </w:r>
    </w:p>
    <w:p w14:paraId="53649175" w14:textId="6B919844" w:rsidR="0086305C" w:rsidRDefault="0086305C" w:rsidP="00E10835">
      <w:pPr>
        <w:spacing w:before="120" w:after="120"/>
        <w:ind w:left="709" w:right="720"/>
        <w:jc w:val="both"/>
        <w:rPr>
          <w:kern w:val="24"/>
          <w:sz w:val="22"/>
          <w:lang w:val="en-CA"/>
        </w:rPr>
      </w:pPr>
      <w:r>
        <w:rPr>
          <w:kern w:val="24"/>
          <w:sz w:val="22"/>
          <w:lang w:val="en-CA"/>
        </w:rPr>
        <w:t>[</w:t>
      </w:r>
      <w:r w:rsidRPr="00E10835">
        <w:rPr>
          <w:smallCaps/>
          <w:kern w:val="24"/>
          <w:sz w:val="22"/>
          <w:lang w:val="en-CA"/>
        </w:rPr>
        <w:t>translation</w:t>
      </w:r>
      <w:r>
        <w:rPr>
          <w:kern w:val="24"/>
          <w:sz w:val="22"/>
          <w:lang w:val="en-CA"/>
        </w:rPr>
        <w:t>]</w:t>
      </w:r>
    </w:p>
    <w:p w14:paraId="341C8F7B" w14:textId="7280D47C" w:rsidR="0072362A" w:rsidRPr="00105125" w:rsidRDefault="00905D57" w:rsidP="0072362A">
      <w:pPr>
        <w:numPr>
          <w:ilvl w:val="0"/>
          <w:numId w:val="19"/>
        </w:numPr>
        <w:spacing w:before="120" w:after="120"/>
        <w:ind w:right="720"/>
        <w:jc w:val="both"/>
        <w:rPr>
          <w:kern w:val="24"/>
          <w:sz w:val="22"/>
          <w:lang w:val="en-CA"/>
        </w:rPr>
      </w:pPr>
      <w:r w:rsidRPr="00105125">
        <w:rPr>
          <w:kern w:val="24"/>
          <w:sz w:val="22"/>
          <w:lang w:val="en-CA"/>
        </w:rPr>
        <w:t xml:space="preserve">an interpretative and declaratory </w:t>
      </w:r>
      <w:r w:rsidR="00B71C69" w:rsidRPr="00105125">
        <w:rPr>
          <w:kern w:val="24"/>
          <w:sz w:val="22"/>
          <w:lang w:val="en-CA"/>
        </w:rPr>
        <w:t>component</w:t>
      </w:r>
      <w:r w:rsidRPr="00105125">
        <w:rPr>
          <w:kern w:val="24"/>
          <w:sz w:val="22"/>
          <w:lang w:val="en-CA"/>
        </w:rPr>
        <w:t xml:space="preserve"> (under article 142 of the </w:t>
      </w:r>
      <w:r w:rsidRPr="00105125">
        <w:rPr>
          <w:i/>
          <w:kern w:val="24"/>
          <w:sz w:val="22"/>
          <w:lang w:val="en-CA"/>
        </w:rPr>
        <w:t>Code of Civil Procedure</w:t>
      </w:r>
      <w:r w:rsidRPr="00105125">
        <w:rPr>
          <w:kern w:val="24"/>
          <w:sz w:val="22"/>
          <w:lang w:val="en-CA"/>
        </w:rPr>
        <w:t xml:space="preserve">) seeking recognition that a </w:t>
      </w:r>
      <w:r w:rsidR="001B7796">
        <w:rPr>
          <w:kern w:val="24"/>
          <w:sz w:val="22"/>
          <w:lang w:val="en-CA"/>
        </w:rPr>
        <w:t xml:space="preserve">refugee claimant </w:t>
      </w:r>
      <w:r w:rsidRPr="00105125">
        <w:rPr>
          <w:kern w:val="24"/>
          <w:sz w:val="22"/>
          <w:lang w:val="en-CA"/>
        </w:rPr>
        <w:t xml:space="preserve">staying in Quebec who holds a work permit is eligible for the reduced contribution under the existing provisions of the </w:t>
      </w:r>
      <w:r w:rsidRPr="00105125">
        <w:rPr>
          <w:i/>
          <w:kern w:val="24"/>
          <w:sz w:val="22"/>
          <w:lang w:val="en-CA"/>
        </w:rPr>
        <w:t>Educational Childcare Act</w:t>
      </w:r>
      <w:r w:rsidRPr="00105125">
        <w:rPr>
          <w:kern w:val="24"/>
          <w:sz w:val="22"/>
          <w:lang w:val="en-CA"/>
        </w:rPr>
        <w:t xml:space="preserve"> (the “</w:t>
      </w:r>
      <w:r w:rsidRPr="00105125">
        <w:rPr>
          <w:i/>
          <w:kern w:val="24"/>
          <w:sz w:val="22"/>
          <w:lang w:val="en-CA"/>
        </w:rPr>
        <w:t>ECA</w:t>
      </w:r>
      <w:r w:rsidRPr="00105125">
        <w:rPr>
          <w:kern w:val="24"/>
          <w:sz w:val="22"/>
          <w:lang w:val="en-CA"/>
        </w:rPr>
        <w:t xml:space="preserve">”) and the </w:t>
      </w:r>
      <w:r w:rsidRPr="00105125">
        <w:rPr>
          <w:i/>
          <w:kern w:val="24"/>
          <w:sz w:val="22"/>
          <w:lang w:val="en-CA"/>
        </w:rPr>
        <w:t>RCR</w:t>
      </w:r>
      <w:r w:rsidRPr="00105125">
        <w:rPr>
          <w:kern w:val="24"/>
          <w:sz w:val="22"/>
          <w:lang w:val="en-CA"/>
        </w:rPr>
        <w:t>;</w:t>
      </w:r>
    </w:p>
    <w:p w14:paraId="46B931A2" w14:textId="41C46B72" w:rsidR="0072362A" w:rsidRPr="00105125" w:rsidRDefault="00905D57" w:rsidP="0072362A">
      <w:pPr>
        <w:numPr>
          <w:ilvl w:val="0"/>
          <w:numId w:val="19"/>
        </w:numPr>
        <w:spacing w:before="120" w:after="120"/>
        <w:ind w:right="720"/>
        <w:jc w:val="both"/>
        <w:rPr>
          <w:kern w:val="24"/>
          <w:sz w:val="22"/>
          <w:lang w:val="en-CA"/>
        </w:rPr>
      </w:pPr>
      <w:r w:rsidRPr="00105125">
        <w:rPr>
          <w:kern w:val="24"/>
          <w:sz w:val="22"/>
          <w:lang w:val="en-CA"/>
        </w:rPr>
        <w:t xml:space="preserve">an administrative </w:t>
      </w:r>
      <w:r w:rsidR="00962A7B">
        <w:rPr>
          <w:kern w:val="24"/>
          <w:sz w:val="22"/>
          <w:lang w:val="en-CA"/>
        </w:rPr>
        <w:t xml:space="preserve">law </w:t>
      </w:r>
      <w:r w:rsidR="00B71C69" w:rsidRPr="00105125">
        <w:rPr>
          <w:kern w:val="24"/>
          <w:sz w:val="22"/>
          <w:lang w:val="en-CA"/>
        </w:rPr>
        <w:t>component</w:t>
      </w:r>
      <w:r w:rsidRPr="00105125">
        <w:rPr>
          <w:kern w:val="24"/>
          <w:sz w:val="22"/>
          <w:lang w:val="en-CA"/>
        </w:rPr>
        <w:t xml:space="preserve"> alleging that section 3 of the </w:t>
      </w:r>
      <w:r w:rsidRPr="00105125">
        <w:rPr>
          <w:i/>
          <w:kern w:val="24"/>
          <w:sz w:val="22"/>
          <w:lang w:val="en-CA"/>
        </w:rPr>
        <w:t>RCR</w:t>
      </w:r>
      <w:r w:rsidRPr="00105125">
        <w:rPr>
          <w:kern w:val="24"/>
          <w:sz w:val="22"/>
          <w:lang w:val="en-CA"/>
        </w:rPr>
        <w:t xml:space="preserve"> is </w:t>
      </w:r>
      <w:r w:rsidR="00E95B85">
        <w:rPr>
          <w:kern w:val="24"/>
          <w:sz w:val="22"/>
          <w:lang w:val="en-CA"/>
        </w:rPr>
        <w:t xml:space="preserve">void </w:t>
      </w:r>
      <w:r w:rsidRPr="00105125">
        <w:rPr>
          <w:kern w:val="24"/>
          <w:sz w:val="22"/>
          <w:lang w:val="en-CA"/>
        </w:rPr>
        <w:t xml:space="preserve">and illegal, either because the </w:t>
      </w:r>
      <w:r w:rsidRPr="00105125">
        <w:rPr>
          <w:i/>
          <w:kern w:val="24"/>
          <w:sz w:val="22"/>
          <w:lang w:val="en-CA"/>
        </w:rPr>
        <w:t>ECA</w:t>
      </w:r>
      <w:r w:rsidRPr="00105125">
        <w:rPr>
          <w:kern w:val="24"/>
          <w:sz w:val="22"/>
          <w:lang w:val="en-CA"/>
        </w:rPr>
        <w:t xml:space="preserve"> does not grant the government </w:t>
      </w:r>
      <w:r w:rsidR="00E95B85">
        <w:rPr>
          <w:kern w:val="24"/>
          <w:sz w:val="22"/>
          <w:lang w:val="en-CA"/>
        </w:rPr>
        <w:t xml:space="preserve">any </w:t>
      </w:r>
      <w:r w:rsidRPr="00105125">
        <w:rPr>
          <w:kern w:val="24"/>
          <w:sz w:val="22"/>
          <w:lang w:val="en-CA"/>
        </w:rPr>
        <w:t xml:space="preserve">power to enact a regulation defining the eligibility conditions for the reduced contribution, such that section 3 of the </w:t>
      </w:r>
      <w:r w:rsidRPr="00105125">
        <w:rPr>
          <w:i/>
          <w:kern w:val="24"/>
          <w:sz w:val="22"/>
          <w:lang w:val="en-CA"/>
        </w:rPr>
        <w:t>RCR</w:t>
      </w:r>
      <w:r w:rsidRPr="00105125">
        <w:rPr>
          <w:kern w:val="24"/>
          <w:sz w:val="22"/>
          <w:lang w:val="en-CA"/>
        </w:rPr>
        <w:t xml:space="preserve"> was enacted without valid statutory authorization, or because if there was valid statutory authorization, it did not authorize the creation of distinctions or categories of people limiting the right to the reduced contribution (discrimination </w:t>
      </w:r>
      <w:r w:rsidR="00E10835">
        <w:rPr>
          <w:kern w:val="24"/>
          <w:sz w:val="22"/>
          <w:lang w:val="en-CA"/>
        </w:rPr>
        <w:t>in the administrative law sense</w:t>
      </w:r>
      <w:r w:rsidRPr="00105125">
        <w:rPr>
          <w:kern w:val="24"/>
          <w:sz w:val="22"/>
          <w:lang w:val="en-CA"/>
        </w:rPr>
        <w:t xml:space="preserve">); </w:t>
      </w:r>
    </w:p>
    <w:p w14:paraId="49B1E66C" w14:textId="4A9D4F07" w:rsidR="0072362A" w:rsidRPr="00105125" w:rsidRDefault="00B71C69" w:rsidP="0072362A">
      <w:pPr>
        <w:numPr>
          <w:ilvl w:val="0"/>
          <w:numId w:val="19"/>
        </w:numPr>
        <w:spacing w:before="120" w:after="120"/>
        <w:ind w:right="720"/>
        <w:jc w:val="both"/>
        <w:rPr>
          <w:kern w:val="24"/>
          <w:sz w:val="22"/>
          <w:lang w:val="en-CA"/>
        </w:rPr>
      </w:pPr>
      <w:r w:rsidRPr="00105125">
        <w:rPr>
          <w:kern w:val="24"/>
          <w:sz w:val="22"/>
          <w:lang w:val="en-CA"/>
        </w:rPr>
        <w:t xml:space="preserve">a constitutional component alleging that </w:t>
      </w:r>
      <w:r w:rsidR="00E95B85">
        <w:rPr>
          <w:kern w:val="24"/>
          <w:sz w:val="22"/>
          <w:lang w:val="en-CA"/>
        </w:rPr>
        <w:t xml:space="preserve">the exclusion of refugee claimants </w:t>
      </w:r>
      <w:r w:rsidRPr="00105125">
        <w:rPr>
          <w:kern w:val="24"/>
          <w:sz w:val="22"/>
          <w:lang w:val="en-CA"/>
        </w:rPr>
        <w:t xml:space="preserve">staying in Quebec who hold a work permit from the </w:t>
      </w:r>
      <w:r w:rsidR="00E95B85">
        <w:rPr>
          <w:kern w:val="24"/>
          <w:sz w:val="22"/>
          <w:lang w:val="en-CA"/>
        </w:rPr>
        <w:t xml:space="preserve">right to the </w:t>
      </w:r>
      <w:r w:rsidRPr="00105125">
        <w:rPr>
          <w:kern w:val="24"/>
          <w:sz w:val="22"/>
          <w:lang w:val="en-CA"/>
        </w:rPr>
        <w:t xml:space="preserve">reduced contribution is unconstitutional because it unjustly infringes </w:t>
      </w:r>
      <w:r w:rsidR="00E95B85">
        <w:rPr>
          <w:kern w:val="24"/>
          <w:sz w:val="22"/>
          <w:lang w:val="en-CA"/>
        </w:rPr>
        <w:t xml:space="preserve">on </w:t>
      </w:r>
      <w:r w:rsidRPr="00105125">
        <w:rPr>
          <w:kern w:val="24"/>
          <w:sz w:val="22"/>
          <w:lang w:val="en-CA"/>
        </w:rPr>
        <w:t xml:space="preserve">the right to equality guaranteed by section 15 of the </w:t>
      </w:r>
      <w:r w:rsidRPr="00105125">
        <w:rPr>
          <w:i/>
          <w:kern w:val="24"/>
          <w:sz w:val="22"/>
          <w:lang w:val="en-CA"/>
        </w:rPr>
        <w:t>Canadian Charter of Rights and Freedoms</w:t>
      </w:r>
      <w:r w:rsidRPr="00105125">
        <w:rPr>
          <w:kern w:val="24"/>
          <w:sz w:val="22"/>
          <w:lang w:val="en-CA"/>
        </w:rPr>
        <w:t xml:space="preserve"> (the “</w:t>
      </w:r>
      <w:r w:rsidRPr="00105125">
        <w:rPr>
          <w:i/>
          <w:kern w:val="24"/>
          <w:sz w:val="22"/>
          <w:lang w:val="en-CA"/>
        </w:rPr>
        <w:t>Canadian Charter</w:t>
      </w:r>
      <w:r w:rsidRPr="00105125">
        <w:rPr>
          <w:kern w:val="24"/>
          <w:sz w:val="22"/>
          <w:lang w:val="en-CA"/>
        </w:rPr>
        <w:t xml:space="preserve">”) and by section 10 of the </w:t>
      </w:r>
      <w:r w:rsidRPr="00105125">
        <w:rPr>
          <w:i/>
          <w:kern w:val="24"/>
          <w:sz w:val="22"/>
          <w:lang w:val="en-CA"/>
        </w:rPr>
        <w:t>Charter of human rights and freedoms</w:t>
      </w:r>
      <w:r w:rsidRPr="00105125">
        <w:rPr>
          <w:kern w:val="24"/>
          <w:sz w:val="22"/>
          <w:lang w:val="en-CA"/>
        </w:rPr>
        <w:t xml:space="preserve"> (the “</w:t>
      </w:r>
      <w:r w:rsidRPr="00105125">
        <w:rPr>
          <w:i/>
          <w:kern w:val="24"/>
          <w:sz w:val="22"/>
          <w:lang w:val="en-CA"/>
        </w:rPr>
        <w:t>Quebec Charter</w:t>
      </w:r>
      <w:r w:rsidRPr="00105125">
        <w:rPr>
          <w:kern w:val="24"/>
          <w:sz w:val="22"/>
          <w:lang w:val="en-CA"/>
        </w:rPr>
        <w:t xml:space="preserve">”), constitutes cruel and unusual treatment within the meaning of section 12 of the </w:t>
      </w:r>
      <w:r w:rsidRPr="00105125">
        <w:rPr>
          <w:i/>
          <w:kern w:val="24"/>
          <w:sz w:val="22"/>
          <w:lang w:val="en-CA"/>
        </w:rPr>
        <w:t>Canadian Charter</w:t>
      </w:r>
      <w:r w:rsidR="00E95B85">
        <w:rPr>
          <w:i/>
          <w:kern w:val="24"/>
          <w:sz w:val="22"/>
          <w:lang w:val="en-CA"/>
        </w:rPr>
        <w:t>,</w:t>
      </w:r>
      <w:r w:rsidRPr="00105125">
        <w:rPr>
          <w:kern w:val="24"/>
          <w:sz w:val="22"/>
          <w:lang w:val="en-CA"/>
        </w:rPr>
        <w:t xml:space="preserve"> and </w:t>
      </w:r>
      <w:r w:rsidR="00E95B85">
        <w:rPr>
          <w:kern w:val="24"/>
          <w:sz w:val="22"/>
          <w:lang w:val="en-CA"/>
        </w:rPr>
        <w:t>interferes with</w:t>
      </w:r>
      <w:r w:rsidRPr="00105125">
        <w:rPr>
          <w:kern w:val="24"/>
          <w:sz w:val="22"/>
          <w:lang w:val="en-CA"/>
        </w:rPr>
        <w:t xml:space="preserve"> the right to dignity of the person guaranteed by section 4 of the </w:t>
      </w:r>
      <w:r w:rsidRPr="00105125">
        <w:rPr>
          <w:i/>
          <w:kern w:val="24"/>
          <w:sz w:val="22"/>
          <w:lang w:val="en-CA"/>
        </w:rPr>
        <w:t>Quebec Charter</w:t>
      </w:r>
      <w:r w:rsidRPr="00105125">
        <w:rPr>
          <w:kern w:val="24"/>
          <w:sz w:val="22"/>
          <w:lang w:val="en-CA"/>
        </w:rPr>
        <w:t>.</w:t>
      </w:r>
    </w:p>
    <w:p w14:paraId="48E19D84" w14:textId="187B4718" w:rsidR="0072362A" w:rsidRPr="00105125" w:rsidRDefault="00B71C69" w:rsidP="00AD265D">
      <w:pPr>
        <w:pStyle w:val="Paragraphe"/>
        <w:spacing w:line="280" w:lineRule="exact"/>
        <w:rPr>
          <w:lang w:val="en-CA"/>
        </w:rPr>
      </w:pPr>
      <w:r w:rsidRPr="00105125">
        <w:rPr>
          <w:lang w:val="en-CA"/>
        </w:rPr>
        <w:t>The CDPDJ intervened on September 20, 2019.</w:t>
      </w:r>
    </w:p>
    <w:p w14:paraId="1264BA75" w14:textId="39C2048F" w:rsidR="0072362A" w:rsidRPr="00105125" w:rsidRDefault="00B71C69" w:rsidP="00AD265D">
      <w:pPr>
        <w:pStyle w:val="Paragraphe"/>
        <w:spacing w:line="280" w:lineRule="exact"/>
        <w:rPr>
          <w:lang w:val="en-CA"/>
        </w:rPr>
      </w:pPr>
      <w:r w:rsidRPr="00105125">
        <w:rPr>
          <w:lang w:val="en-CA"/>
        </w:rPr>
        <w:lastRenderedPageBreak/>
        <w:t>On May 25, 2022, the trial judge granted in part the application for judicial review concerning the administrative component.</w:t>
      </w:r>
      <w:r w:rsidR="004A7BFD" w:rsidRPr="00105125">
        <w:rPr>
          <w:lang w:val="en-CA"/>
        </w:rPr>
        <w:t xml:space="preserve"> </w:t>
      </w:r>
      <w:r w:rsidRPr="00105125">
        <w:rPr>
          <w:lang w:val="en-CA"/>
        </w:rPr>
        <w:t xml:space="preserve">He </w:t>
      </w:r>
      <w:r w:rsidR="00DB4C7D">
        <w:rPr>
          <w:lang w:val="en-CA"/>
        </w:rPr>
        <w:t>concluded</w:t>
      </w:r>
      <w:r w:rsidR="00DB4C7D" w:rsidRPr="00105125">
        <w:rPr>
          <w:lang w:val="en-CA"/>
        </w:rPr>
        <w:t xml:space="preserve"> </w:t>
      </w:r>
      <w:r w:rsidRPr="00105125">
        <w:rPr>
          <w:lang w:val="en-CA"/>
        </w:rPr>
        <w:t xml:space="preserve">that section 3 </w:t>
      </w:r>
      <w:r w:rsidR="00AD6235">
        <w:rPr>
          <w:lang w:val="en-CA"/>
        </w:rPr>
        <w:t xml:space="preserve">of the </w:t>
      </w:r>
      <w:r w:rsidRPr="00105125">
        <w:rPr>
          <w:i/>
          <w:lang w:val="en-CA"/>
        </w:rPr>
        <w:t>RCR</w:t>
      </w:r>
      <w:r w:rsidRPr="00105125">
        <w:rPr>
          <w:lang w:val="en-CA"/>
        </w:rPr>
        <w:t xml:space="preserve"> was enacted without statutory authorization and is therefore </w:t>
      </w:r>
      <w:r w:rsidRPr="00105125">
        <w:rPr>
          <w:i/>
          <w:lang w:val="en-CA"/>
        </w:rPr>
        <w:t>ultra vires</w:t>
      </w:r>
      <w:r w:rsidRPr="00105125">
        <w:rPr>
          <w:lang w:val="en-CA"/>
        </w:rPr>
        <w:t xml:space="preserve"> and void.</w:t>
      </w:r>
      <w:r w:rsidR="004A7BFD" w:rsidRPr="00105125">
        <w:rPr>
          <w:lang w:val="en-CA"/>
        </w:rPr>
        <w:t xml:space="preserve"> </w:t>
      </w:r>
      <w:r w:rsidR="00146A4C" w:rsidRPr="00105125">
        <w:rPr>
          <w:lang w:val="en-CA"/>
        </w:rPr>
        <w:t xml:space="preserve">However, the judge rejected Ms. </w:t>
      </w:r>
      <w:proofErr w:type="spellStart"/>
      <w:r w:rsidR="00146A4C" w:rsidRPr="00105125">
        <w:rPr>
          <w:lang w:val="en-CA"/>
        </w:rPr>
        <w:t>Kanyinda’s</w:t>
      </w:r>
      <w:proofErr w:type="spellEnd"/>
      <w:r w:rsidR="00146A4C" w:rsidRPr="00105125">
        <w:rPr>
          <w:lang w:val="en-CA"/>
        </w:rPr>
        <w:t xml:space="preserve"> arguments on the interpretative and constitutional components.</w:t>
      </w:r>
      <w:r w:rsidR="00146A4C" w:rsidRPr="00105125">
        <w:rPr>
          <w:rStyle w:val="Appelnotedebasdep"/>
          <w:lang w:val="en-CA"/>
        </w:rPr>
        <w:footnoteReference w:id="4"/>
      </w:r>
    </w:p>
    <w:p w14:paraId="3D51C464" w14:textId="1CCAEA48" w:rsidR="0072362A" w:rsidRPr="00105125" w:rsidRDefault="00B71C69" w:rsidP="00AD265D">
      <w:pPr>
        <w:pStyle w:val="Paragraphe"/>
        <w:spacing w:line="280" w:lineRule="exact"/>
        <w:rPr>
          <w:lang w:val="en-CA"/>
        </w:rPr>
      </w:pPr>
      <w:r w:rsidRPr="00105125">
        <w:rPr>
          <w:lang w:val="en-CA"/>
        </w:rPr>
        <w:t>The three parties appeal the trial judgment.</w:t>
      </w:r>
    </w:p>
    <w:p w14:paraId="04E7F86A" w14:textId="55D2302B" w:rsidR="0072362A" w:rsidRPr="00105125" w:rsidRDefault="00B71C69" w:rsidP="00AD265D">
      <w:pPr>
        <w:pStyle w:val="Titre2"/>
        <w:rPr>
          <w:i w:val="0"/>
          <w:iCs/>
          <w:lang w:val="en-CA"/>
        </w:rPr>
      </w:pPr>
      <w:r w:rsidRPr="00105125">
        <w:rPr>
          <w:i w:val="0"/>
          <w:iCs/>
          <w:lang w:val="en-CA"/>
        </w:rPr>
        <w:t>The judgment under appeal</w:t>
      </w:r>
    </w:p>
    <w:p w14:paraId="5231A3F1" w14:textId="3CBBD89E" w:rsidR="0072362A" w:rsidRPr="00105125" w:rsidRDefault="00B71C69" w:rsidP="00AD265D">
      <w:pPr>
        <w:pStyle w:val="Paragraphe"/>
        <w:spacing w:line="280" w:lineRule="exact"/>
        <w:rPr>
          <w:lang w:val="en-CA"/>
        </w:rPr>
      </w:pPr>
      <w:r w:rsidRPr="00105125">
        <w:rPr>
          <w:lang w:val="en-CA"/>
        </w:rPr>
        <w:t xml:space="preserve">The judge first examined the usefulness of ruling on the dispute given that Ms. </w:t>
      </w:r>
      <w:proofErr w:type="spellStart"/>
      <w:r w:rsidRPr="00105125">
        <w:rPr>
          <w:lang w:val="en-CA"/>
        </w:rPr>
        <w:t>Kanyinda</w:t>
      </w:r>
      <w:proofErr w:type="spellEnd"/>
      <w:r w:rsidRPr="00105125">
        <w:rPr>
          <w:lang w:val="en-CA"/>
        </w:rPr>
        <w:t xml:space="preserve"> had </w:t>
      </w:r>
      <w:r w:rsidR="00C95422">
        <w:rPr>
          <w:lang w:val="en-CA"/>
        </w:rPr>
        <w:t>been granted</w:t>
      </w:r>
      <w:r w:rsidR="00C95422" w:rsidRPr="00105125">
        <w:rPr>
          <w:lang w:val="en-CA"/>
        </w:rPr>
        <w:t xml:space="preserve"> </w:t>
      </w:r>
      <w:r w:rsidRPr="00105125">
        <w:rPr>
          <w:lang w:val="en-CA"/>
        </w:rPr>
        <w:t xml:space="preserve">refugee status since </w:t>
      </w:r>
      <w:r w:rsidR="00D73F8E">
        <w:rPr>
          <w:lang w:val="en-CA"/>
        </w:rPr>
        <w:t>filing</w:t>
      </w:r>
      <w:r w:rsidRPr="00105125">
        <w:rPr>
          <w:lang w:val="en-CA"/>
        </w:rPr>
        <w:t xml:space="preserve"> her application for judicial review and was no</w:t>
      </w:r>
      <w:r w:rsidR="00EB2AFC">
        <w:rPr>
          <w:lang w:val="en-CA"/>
        </w:rPr>
        <w:t>w</w:t>
      </w:r>
      <w:r w:rsidRPr="00105125">
        <w:rPr>
          <w:lang w:val="en-CA"/>
        </w:rPr>
        <w:t xml:space="preserve"> eligible for reduced contributions in subsidized daycares.</w:t>
      </w:r>
      <w:r w:rsidR="004A7BFD" w:rsidRPr="00105125">
        <w:rPr>
          <w:lang w:val="en-CA"/>
        </w:rPr>
        <w:t xml:space="preserve"> </w:t>
      </w:r>
      <w:r w:rsidRPr="00105125">
        <w:rPr>
          <w:lang w:val="en-CA"/>
        </w:rPr>
        <w:t>He found that the issue was serious and that i</w:t>
      </w:r>
      <w:r w:rsidR="00EB2AFC">
        <w:rPr>
          <w:lang w:val="en-CA"/>
        </w:rPr>
        <w:t>t</w:t>
      </w:r>
      <w:r w:rsidRPr="00105125">
        <w:rPr>
          <w:lang w:val="en-CA"/>
        </w:rPr>
        <w:t xml:space="preserve"> was useful to </w:t>
      </w:r>
      <w:r w:rsidR="00EB2AFC">
        <w:rPr>
          <w:lang w:val="en-CA"/>
        </w:rPr>
        <w:t xml:space="preserve">determine </w:t>
      </w:r>
      <w:r w:rsidRPr="00105125">
        <w:rPr>
          <w:lang w:val="en-CA"/>
        </w:rPr>
        <w:t>it.</w:t>
      </w:r>
      <w:r w:rsidRPr="00105125">
        <w:rPr>
          <w:rStyle w:val="Appelnotedebasdep"/>
          <w:lang w:val="en-CA"/>
        </w:rPr>
        <w:footnoteReference w:id="5"/>
      </w:r>
    </w:p>
    <w:p w14:paraId="556B3F8C" w14:textId="167E4395" w:rsidR="0072362A" w:rsidRPr="00105125" w:rsidRDefault="00B71C69" w:rsidP="00AD265D">
      <w:pPr>
        <w:pStyle w:val="Paragraphe"/>
        <w:spacing w:line="280" w:lineRule="exact"/>
        <w:rPr>
          <w:lang w:val="en-CA"/>
        </w:rPr>
      </w:pPr>
      <w:r w:rsidRPr="00105125">
        <w:rPr>
          <w:lang w:val="en-CA"/>
        </w:rPr>
        <w:t xml:space="preserve">The judge then discussed the interpretation to be given to section 3 </w:t>
      </w:r>
      <w:r w:rsidR="00AD6235">
        <w:rPr>
          <w:lang w:val="en-CA"/>
        </w:rPr>
        <w:t xml:space="preserve">of the </w:t>
      </w:r>
      <w:r w:rsidRPr="00105125">
        <w:rPr>
          <w:i/>
          <w:lang w:val="en-CA"/>
        </w:rPr>
        <w:t>RCR</w:t>
      </w:r>
      <w:r w:rsidRPr="00105125">
        <w:rPr>
          <w:lang w:val="en-CA"/>
        </w:rPr>
        <w:t>.</w:t>
      </w:r>
      <w:r w:rsidR="004A7BFD" w:rsidRPr="00105125">
        <w:rPr>
          <w:lang w:val="en-CA"/>
        </w:rPr>
        <w:t xml:space="preserve"> </w:t>
      </w:r>
      <w:r w:rsidRPr="00105125">
        <w:rPr>
          <w:lang w:val="en-CA"/>
        </w:rPr>
        <w:t xml:space="preserve">In his </w:t>
      </w:r>
      <w:r w:rsidR="00EB2AFC">
        <w:rPr>
          <w:lang w:val="en-CA"/>
        </w:rPr>
        <w:t>view</w:t>
      </w:r>
      <w:r w:rsidRPr="00105125">
        <w:rPr>
          <w:lang w:val="en-CA"/>
        </w:rPr>
        <w:t>, th</w:t>
      </w:r>
      <w:r w:rsidR="00E656EE">
        <w:rPr>
          <w:lang w:val="en-CA"/>
        </w:rPr>
        <w:t>is</w:t>
      </w:r>
      <w:r w:rsidRPr="00105125">
        <w:rPr>
          <w:lang w:val="en-CA"/>
        </w:rPr>
        <w:t xml:space="preserve"> provision </w:t>
      </w:r>
      <w:r w:rsidR="003F399D">
        <w:rPr>
          <w:lang w:val="en-CA"/>
        </w:rPr>
        <w:t xml:space="preserve">excludes </w:t>
      </w:r>
      <w:r w:rsidR="00EB2AFC">
        <w:rPr>
          <w:lang w:val="en-CA"/>
        </w:rPr>
        <w:t xml:space="preserve">refugee claimants </w:t>
      </w:r>
      <w:r w:rsidR="003F399D">
        <w:rPr>
          <w:lang w:val="en-CA"/>
        </w:rPr>
        <w:t xml:space="preserve">from </w:t>
      </w:r>
      <w:r w:rsidRPr="00105125">
        <w:rPr>
          <w:lang w:val="en-CA"/>
        </w:rPr>
        <w:t xml:space="preserve">the categories of people eligible for reduced contributions; he therefore rejected the </w:t>
      </w:r>
      <w:r w:rsidR="008E1B40" w:rsidRPr="00105125">
        <w:rPr>
          <w:lang w:val="en-CA"/>
        </w:rPr>
        <w:t xml:space="preserve">reading in </w:t>
      </w:r>
      <w:r w:rsidRPr="00105125">
        <w:rPr>
          <w:lang w:val="en-CA"/>
        </w:rPr>
        <w:t>adv</w:t>
      </w:r>
      <w:r w:rsidR="00EB2AFC">
        <w:rPr>
          <w:lang w:val="en-CA"/>
        </w:rPr>
        <w:t>ocat</w:t>
      </w:r>
      <w:r w:rsidRPr="00105125">
        <w:rPr>
          <w:lang w:val="en-CA"/>
        </w:rPr>
        <w:t xml:space="preserve">ed by Ms. </w:t>
      </w:r>
      <w:proofErr w:type="spellStart"/>
      <w:r w:rsidRPr="00105125">
        <w:rPr>
          <w:lang w:val="en-CA"/>
        </w:rPr>
        <w:t>Kanyinda</w:t>
      </w:r>
      <w:proofErr w:type="spellEnd"/>
      <w:r w:rsidRPr="00105125">
        <w:rPr>
          <w:lang w:val="en-CA"/>
        </w:rPr>
        <w:t>.</w:t>
      </w:r>
      <w:r w:rsidRPr="00105125">
        <w:rPr>
          <w:vertAlign w:val="superscript"/>
          <w:lang w:val="en-CA"/>
        </w:rPr>
        <w:footnoteReference w:id="6"/>
      </w:r>
    </w:p>
    <w:p w14:paraId="0E71C663" w14:textId="384FCF57" w:rsidR="0072362A" w:rsidRPr="00105125" w:rsidRDefault="00847B97" w:rsidP="00AD265D">
      <w:pPr>
        <w:pStyle w:val="Paragraphe"/>
        <w:spacing w:line="280" w:lineRule="exact"/>
        <w:rPr>
          <w:lang w:val="en-CA"/>
        </w:rPr>
      </w:pPr>
      <w:r>
        <w:rPr>
          <w:lang w:val="en-CA"/>
        </w:rPr>
        <w:t>Furthermore, t</w:t>
      </w:r>
      <w:r w:rsidR="00B71C69" w:rsidRPr="00105125">
        <w:rPr>
          <w:lang w:val="en-CA"/>
        </w:rPr>
        <w:t xml:space="preserve">he judge </w:t>
      </w:r>
      <w:r w:rsidR="00F203E9">
        <w:rPr>
          <w:lang w:val="en-CA"/>
        </w:rPr>
        <w:t xml:space="preserve">found </w:t>
      </w:r>
      <w:r w:rsidR="00B71C69" w:rsidRPr="00105125">
        <w:rPr>
          <w:lang w:val="en-CA"/>
        </w:rPr>
        <w:t xml:space="preserve">that the government </w:t>
      </w:r>
      <w:r w:rsidR="00EB2AFC">
        <w:rPr>
          <w:lang w:val="en-CA"/>
        </w:rPr>
        <w:t xml:space="preserve">was </w:t>
      </w:r>
      <w:r w:rsidR="00B71C69" w:rsidRPr="00105125">
        <w:rPr>
          <w:lang w:val="en-CA"/>
        </w:rPr>
        <w:t xml:space="preserve">not </w:t>
      </w:r>
      <w:r w:rsidR="00EB2AFC">
        <w:rPr>
          <w:lang w:val="en-CA"/>
        </w:rPr>
        <w:t>em</w:t>
      </w:r>
      <w:r w:rsidR="00B71C69" w:rsidRPr="00105125">
        <w:rPr>
          <w:lang w:val="en-CA"/>
        </w:rPr>
        <w:t>power</w:t>
      </w:r>
      <w:r w:rsidR="00EB2AFC">
        <w:rPr>
          <w:lang w:val="en-CA"/>
        </w:rPr>
        <w:t>ed</w:t>
      </w:r>
      <w:r w:rsidR="00B71C69" w:rsidRPr="00105125">
        <w:rPr>
          <w:lang w:val="en-CA"/>
        </w:rPr>
        <w:t xml:space="preserve"> to enact section 3 </w:t>
      </w:r>
      <w:r w:rsidR="00AD6235">
        <w:rPr>
          <w:lang w:val="en-CA"/>
        </w:rPr>
        <w:t xml:space="preserve">of the </w:t>
      </w:r>
      <w:r w:rsidR="00B71C69" w:rsidRPr="00105125">
        <w:rPr>
          <w:i/>
          <w:lang w:val="en-CA"/>
        </w:rPr>
        <w:t>RCR</w:t>
      </w:r>
      <w:r w:rsidR="00B71C69" w:rsidRPr="00105125">
        <w:rPr>
          <w:lang w:val="en-CA"/>
        </w:rPr>
        <w:t xml:space="preserve"> because the </w:t>
      </w:r>
      <w:r w:rsidR="00B71C69" w:rsidRPr="00105125">
        <w:rPr>
          <w:i/>
          <w:lang w:val="en-CA"/>
        </w:rPr>
        <w:t>ECA</w:t>
      </w:r>
      <w:r w:rsidR="00B71C69" w:rsidRPr="00105125">
        <w:rPr>
          <w:lang w:val="en-CA"/>
        </w:rPr>
        <w:t xml:space="preserve"> did not expressly grant this regulatory power.</w:t>
      </w:r>
      <w:r w:rsidR="004A7BFD" w:rsidRPr="00105125">
        <w:rPr>
          <w:lang w:val="en-CA"/>
        </w:rPr>
        <w:t xml:space="preserve"> </w:t>
      </w:r>
      <w:r w:rsidR="00D73F8E">
        <w:rPr>
          <w:lang w:val="en-CA"/>
        </w:rPr>
        <w:t>At the same time, h</w:t>
      </w:r>
      <w:r w:rsidR="00EB2AFC">
        <w:rPr>
          <w:lang w:val="en-CA"/>
        </w:rPr>
        <w:t xml:space="preserve">e </w:t>
      </w:r>
      <w:r w:rsidR="00B71C69" w:rsidRPr="00105125">
        <w:rPr>
          <w:lang w:val="en-CA"/>
        </w:rPr>
        <w:t xml:space="preserve">rejected the application of the </w:t>
      </w:r>
      <w:r w:rsidR="008C4037">
        <w:rPr>
          <w:lang w:val="en-CA"/>
        </w:rPr>
        <w:t xml:space="preserve">doctrine </w:t>
      </w:r>
      <w:r w:rsidR="00B71C69" w:rsidRPr="00105125">
        <w:rPr>
          <w:lang w:val="en-CA"/>
        </w:rPr>
        <w:t xml:space="preserve">of indirect authorization as the </w:t>
      </w:r>
      <w:r w:rsidR="00B71C69" w:rsidRPr="00105125">
        <w:rPr>
          <w:i/>
          <w:lang w:val="en-CA"/>
        </w:rPr>
        <w:t>ECA</w:t>
      </w:r>
      <w:r w:rsidR="00B71C69" w:rsidRPr="00105125">
        <w:rPr>
          <w:lang w:val="en-CA"/>
        </w:rPr>
        <w:t xml:space="preserve"> does not identify </w:t>
      </w:r>
      <w:r w:rsidR="00A44ADC">
        <w:rPr>
          <w:lang w:val="en-CA"/>
        </w:rPr>
        <w:t>the holder of</w:t>
      </w:r>
      <w:r w:rsidR="00B71C69" w:rsidRPr="00105125">
        <w:rPr>
          <w:lang w:val="en-CA"/>
        </w:rPr>
        <w:t xml:space="preserve"> this authorization power.</w:t>
      </w:r>
      <w:r w:rsidR="004A7BFD" w:rsidRPr="00105125">
        <w:rPr>
          <w:lang w:val="en-CA"/>
        </w:rPr>
        <w:t xml:space="preserve"> </w:t>
      </w:r>
      <w:r w:rsidR="00B71C69" w:rsidRPr="00105125">
        <w:rPr>
          <w:lang w:val="en-CA"/>
        </w:rPr>
        <w:t xml:space="preserve">He therefore declared this </w:t>
      </w:r>
      <w:r w:rsidR="00AD6235" w:rsidRPr="00E20DF7">
        <w:rPr>
          <w:i/>
          <w:iCs/>
          <w:lang w:val="en-CA"/>
        </w:rPr>
        <w:t>RCR</w:t>
      </w:r>
      <w:r w:rsidR="00AD6235">
        <w:rPr>
          <w:lang w:val="en-CA"/>
        </w:rPr>
        <w:t xml:space="preserve"> </w:t>
      </w:r>
      <w:r w:rsidR="00B71C69" w:rsidRPr="00105125">
        <w:rPr>
          <w:lang w:val="en-CA"/>
        </w:rPr>
        <w:t xml:space="preserve">provision void and </w:t>
      </w:r>
      <w:r w:rsidR="00B71C69" w:rsidRPr="00105125">
        <w:rPr>
          <w:i/>
          <w:lang w:val="en-CA"/>
        </w:rPr>
        <w:t>ultra vires</w:t>
      </w:r>
      <w:r w:rsidR="00B71C69" w:rsidRPr="00105125">
        <w:rPr>
          <w:lang w:val="en-CA"/>
        </w:rPr>
        <w:t>.</w:t>
      </w:r>
      <w:r w:rsidR="00B71C69" w:rsidRPr="00105125">
        <w:rPr>
          <w:vertAlign w:val="superscript"/>
          <w:lang w:val="en-CA"/>
        </w:rPr>
        <w:footnoteReference w:id="7"/>
      </w:r>
    </w:p>
    <w:p w14:paraId="3DD4865A" w14:textId="3C1D0E5B" w:rsidR="0072362A" w:rsidRPr="00105125" w:rsidRDefault="00B71C69" w:rsidP="00AD265D">
      <w:pPr>
        <w:pStyle w:val="Paragraphe"/>
        <w:spacing w:line="280" w:lineRule="exact"/>
        <w:rPr>
          <w:lang w:val="en-CA"/>
        </w:rPr>
      </w:pPr>
      <w:r w:rsidRPr="00105125">
        <w:rPr>
          <w:lang w:val="en-CA"/>
        </w:rPr>
        <w:t xml:space="preserve">With respect to the constitutional component, the judge </w:t>
      </w:r>
      <w:r w:rsidR="003C46C1">
        <w:rPr>
          <w:lang w:val="en-CA"/>
        </w:rPr>
        <w:t>concluded</w:t>
      </w:r>
      <w:r w:rsidR="003C46C1" w:rsidRPr="00105125">
        <w:rPr>
          <w:lang w:val="en-CA"/>
        </w:rPr>
        <w:t xml:space="preserve"> </w:t>
      </w:r>
      <w:r w:rsidRPr="00105125">
        <w:rPr>
          <w:lang w:val="en-CA"/>
        </w:rPr>
        <w:t xml:space="preserve">that section 3 </w:t>
      </w:r>
      <w:r w:rsidR="00AD6235">
        <w:rPr>
          <w:lang w:val="en-CA"/>
        </w:rPr>
        <w:t xml:space="preserve">of the </w:t>
      </w:r>
      <w:r w:rsidRPr="00105125">
        <w:rPr>
          <w:i/>
          <w:lang w:val="en-CA"/>
        </w:rPr>
        <w:t>RCR</w:t>
      </w:r>
      <w:r w:rsidRPr="00105125">
        <w:rPr>
          <w:lang w:val="en-CA"/>
        </w:rPr>
        <w:t xml:space="preserve"> is not discriminatory within the meaning of section 15 of the </w:t>
      </w:r>
      <w:r w:rsidRPr="00105125">
        <w:rPr>
          <w:i/>
          <w:lang w:val="en-CA"/>
        </w:rPr>
        <w:t>Canadian Charter</w:t>
      </w:r>
      <w:r w:rsidRPr="00105125">
        <w:rPr>
          <w:lang w:val="en-CA"/>
        </w:rPr>
        <w:t>.</w:t>
      </w:r>
      <w:r w:rsidR="004A7BFD" w:rsidRPr="00105125">
        <w:rPr>
          <w:lang w:val="en-CA"/>
        </w:rPr>
        <w:t xml:space="preserve"> </w:t>
      </w:r>
      <w:r w:rsidRPr="00105125">
        <w:rPr>
          <w:lang w:val="en-CA"/>
        </w:rPr>
        <w:t>There is no discrimination based on sex because</w:t>
      </w:r>
      <w:r w:rsidR="00BA7546">
        <w:rPr>
          <w:lang w:val="en-CA"/>
        </w:rPr>
        <w:t xml:space="preserve"> </w:t>
      </w:r>
      <w:bookmarkStart w:id="7" w:name="_Hlk187137142"/>
      <w:r w:rsidR="00510B93">
        <w:rPr>
          <w:lang w:val="en-CA"/>
        </w:rPr>
        <w:t xml:space="preserve">there is nothing </w:t>
      </w:r>
      <w:r w:rsidR="00510B93" w:rsidRPr="00105125">
        <w:rPr>
          <w:lang w:val="en-CA"/>
        </w:rPr>
        <w:t xml:space="preserve">to determine in what proportion </w:t>
      </w:r>
      <w:r w:rsidR="00510B93">
        <w:rPr>
          <w:lang w:val="en-CA"/>
        </w:rPr>
        <w:t>women</w:t>
      </w:r>
      <w:r w:rsidR="00510B93" w:rsidRPr="00105125">
        <w:rPr>
          <w:lang w:val="en-CA"/>
        </w:rPr>
        <w:t xml:space="preserve"> refugee claimants pay </w:t>
      </w:r>
      <w:r w:rsidR="00D80F01">
        <w:rPr>
          <w:lang w:val="en-CA"/>
        </w:rPr>
        <w:t xml:space="preserve">the </w:t>
      </w:r>
      <w:r w:rsidR="00510B93" w:rsidRPr="00105125">
        <w:rPr>
          <w:lang w:val="en-CA"/>
        </w:rPr>
        <w:t>additional childcare expenses for their children</w:t>
      </w:r>
      <w:bookmarkEnd w:id="7"/>
      <w:r w:rsidRPr="00105125">
        <w:rPr>
          <w:lang w:val="en-CA"/>
        </w:rPr>
        <w:t>.</w:t>
      </w:r>
      <w:r w:rsidRPr="00105125">
        <w:rPr>
          <w:vertAlign w:val="superscript"/>
          <w:lang w:val="en-CA"/>
        </w:rPr>
        <w:footnoteReference w:id="8"/>
      </w:r>
      <w:r w:rsidR="004A7BFD" w:rsidRPr="00105125">
        <w:rPr>
          <w:lang w:val="en-CA"/>
        </w:rPr>
        <w:t xml:space="preserve"> </w:t>
      </w:r>
      <w:r w:rsidRPr="00105125">
        <w:rPr>
          <w:lang w:val="en-CA"/>
        </w:rPr>
        <w:t xml:space="preserve">He also rejected the argument that there is discrimination based on citizenship because section </w:t>
      </w:r>
      <w:r w:rsidR="00F82A0E" w:rsidRPr="00105125">
        <w:rPr>
          <w:lang w:val="en-CA"/>
        </w:rPr>
        <w:t xml:space="preserve">3 </w:t>
      </w:r>
      <w:r w:rsidR="00AD6235">
        <w:rPr>
          <w:lang w:val="en-CA"/>
        </w:rPr>
        <w:t xml:space="preserve">of the </w:t>
      </w:r>
      <w:r w:rsidRPr="00105125">
        <w:rPr>
          <w:i/>
          <w:iCs/>
          <w:lang w:val="en-CA"/>
        </w:rPr>
        <w:t>RCR</w:t>
      </w:r>
      <w:r w:rsidRPr="00105125">
        <w:rPr>
          <w:lang w:val="en-CA"/>
        </w:rPr>
        <w:t xml:space="preserve"> </w:t>
      </w:r>
      <w:r w:rsidR="00A626D2">
        <w:rPr>
          <w:lang w:val="en-CA"/>
        </w:rPr>
        <w:t>applies to</w:t>
      </w:r>
      <w:r w:rsidRPr="00105125">
        <w:rPr>
          <w:lang w:val="en-CA"/>
        </w:rPr>
        <w:t xml:space="preserve"> both Canadian citizens and non-citizens.</w:t>
      </w:r>
      <w:r w:rsidRPr="00105125">
        <w:rPr>
          <w:vertAlign w:val="superscript"/>
          <w:lang w:val="en-CA"/>
        </w:rPr>
        <w:footnoteReference w:id="9"/>
      </w:r>
      <w:r w:rsidR="004A7BFD" w:rsidRPr="00105125">
        <w:rPr>
          <w:lang w:val="en-CA"/>
        </w:rPr>
        <w:t xml:space="preserve"> </w:t>
      </w:r>
      <w:r w:rsidR="00F82A0E" w:rsidRPr="00105125">
        <w:rPr>
          <w:lang w:val="en-CA"/>
        </w:rPr>
        <w:t xml:space="preserve">Last, according to the judge, the ground </w:t>
      </w:r>
      <w:r w:rsidR="00A626D2">
        <w:rPr>
          <w:lang w:val="en-CA"/>
        </w:rPr>
        <w:t>o</w:t>
      </w:r>
      <w:r w:rsidR="00F82A0E" w:rsidRPr="00105125">
        <w:rPr>
          <w:lang w:val="en-CA"/>
        </w:rPr>
        <w:t>f immigration status is not sufficiently immutable to be recognized as an analogous ground of discrimination.</w:t>
      </w:r>
      <w:r w:rsidR="00F82A0E" w:rsidRPr="00105125">
        <w:rPr>
          <w:vertAlign w:val="superscript"/>
          <w:lang w:val="en-CA"/>
        </w:rPr>
        <w:footnoteReference w:id="10"/>
      </w:r>
    </w:p>
    <w:p w14:paraId="1D3301FD" w14:textId="038D68BE" w:rsidR="0072362A" w:rsidRPr="00105125" w:rsidRDefault="00F82A0E" w:rsidP="00AD265D">
      <w:pPr>
        <w:pStyle w:val="Paragraphe"/>
        <w:spacing w:line="280" w:lineRule="exact"/>
        <w:rPr>
          <w:lang w:val="en-CA"/>
        </w:rPr>
      </w:pPr>
      <w:r w:rsidRPr="00105125">
        <w:rPr>
          <w:lang w:val="en-CA"/>
        </w:rPr>
        <w:t xml:space="preserve">The judge also rejected the constitutional argument based on section 12 of the </w:t>
      </w:r>
      <w:r w:rsidRPr="00105125">
        <w:rPr>
          <w:i/>
          <w:lang w:val="en-CA"/>
        </w:rPr>
        <w:t>Canadian Charter</w:t>
      </w:r>
      <w:r w:rsidRPr="00105125">
        <w:rPr>
          <w:lang w:val="en-CA"/>
        </w:rPr>
        <w:t xml:space="preserve"> that guarantees each person the right to protection against cruel and </w:t>
      </w:r>
      <w:r w:rsidRPr="00105125">
        <w:rPr>
          <w:lang w:val="en-CA"/>
        </w:rPr>
        <w:lastRenderedPageBreak/>
        <w:t>unusual treatment or punishment.</w:t>
      </w:r>
      <w:r w:rsidR="004A7BFD" w:rsidRPr="00105125">
        <w:rPr>
          <w:i/>
          <w:iCs/>
          <w:lang w:val="en-CA"/>
        </w:rPr>
        <w:t xml:space="preserve"> </w:t>
      </w:r>
      <w:r w:rsidRPr="00105125">
        <w:rPr>
          <w:lang w:val="en-CA"/>
        </w:rPr>
        <w:t xml:space="preserve">Nothing proves that the </w:t>
      </w:r>
      <w:r w:rsidRPr="00105125">
        <w:rPr>
          <w:i/>
          <w:lang w:val="en-CA"/>
        </w:rPr>
        <w:t>RCR</w:t>
      </w:r>
      <w:r w:rsidRPr="00105125">
        <w:rPr>
          <w:lang w:val="en-CA"/>
        </w:rPr>
        <w:t xml:space="preserve"> was enacted to exclude </w:t>
      </w:r>
      <w:r w:rsidR="004E175C" w:rsidRPr="00105125">
        <w:rPr>
          <w:rFonts w:cs="Arial"/>
          <w:lang w:val="en-CA"/>
        </w:rPr>
        <w:t>[</w:t>
      </w:r>
      <w:r w:rsidR="004E175C" w:rsidRPr="00105125">
        <w:rPr>
          <w:rFonts w:cs="Arial"/>
          <w:smallCaps/>
          <w:lang w:val="en-CA"/>
        </w:rPr>
        <w:t>translation</w:t>
      </w:r>
      <w:r w:rsidR="004E175C" w:rsidRPr="00105125">
        <w:rPr>
          <w:rFonts w:cs="Arial"/>
          <w:lang w:val="en-CA"/>
        </w:rPr>
        <w:t>]</w:t>
      </w:r>
      <w:r w:rsidR="004E175C" w:rsidRPr="00105125">
        <w:rPr>
          <w:lang w:val="en-CA"/>
        </w:rPr>
        <w:t xml:space="preserve"> </w:t>
      </w:r>
      <w:r w:rsidRPr="00105125">
        <w:rPr>
          <w:lang w:val="en-CA"/>
        </w:rPr>
        <w:t>“</w:t>
      </w:r>
      <w:r w:rsidR="00AB762D" w:rsidRPr="00105125">
        <w:rPr>
          <w:lang w:val="en-CA"/>
        </w:rPr>
        <w:t>bogus</w:t>
      </w:r>
      <w:r w:rsidRPr="00105125">
        <w:rPr>
          <w:lang w:val="en-CA"/>
        </w:rPr>
        <w:t xml:space="preserve"> refugees”.</w:t>
      </w:r>
      <w:r w:rsidR="004A7BFD" w:rsidRPr="00105125">
        <w:rPr>
          <w:lang w:val="en-CA"/>
        </w:rPr>
        <w:t xml:space="preserve"> </w:t>
      </w:r>
      <w:r w:rsidR="00A626D2">
        <w:rPr>
          <w:lang w:val="en-CA"/>
        </w:rPr>
        <w:t>However, t</w:t>
      </w:r>
      <w:r w:rsidRPr="00105125">
        <w:rPr>
          <w:lang w:val="en-CA"/>
        </w:rPr>
        <w:t>he terms “cruel and unusual” should be interpreted according to their ordinary meaning and not to allow the judiciary to take the place of elected officials.</w:t>
      </w:r>
      <w:r w:rsidRPr="00105125">
        <w:rPr>
          <w:vertAlign w:val="superscript"/>
          <w:lang w:val="en-CA"/>
        </w:rPr>
        <w:footnoteReference w:id="11"/>
      </w:r>
    </w:p>
    <w:p w14:paraId="48E011D7" w14:textId="3A8F6BA4" w:rsidR="0072362A" w:rsidRPr="00105125" w:rsidRDefault="00F82A0E" w:rsidP="00AD265D">
      <w:pPr>
        <w:pStyle w:val="Paragraphe"/>
        <w:spacing w:line="280" w:lineRule="exact"/>
        <w:rPr>
          <w:lang w:val="en-CA"/>
        </w:rPr>
      </w:pPr>
      <w:r w:rsidRPr="00105125">
        <w:rPr>
          <w:lang w:val="en-CA"/>
        </w:rPr>
        <w:t xml:space="preserve">The judge then ruled on the arguments based on the </w:t>
      </w:r>
      <w:r w:rsidRPr="00105125">
        <w:rPr>
          <w:i/>
          <w:lang w:val="en-CA"/>
        </w:rPr>
        <w:t>Quebec Charter</w:t>
      </w:r>
      <w:r w:rsidRPr="00105125">
        <w:rPr>
          <w:lang w:val="en-CA"/>
        </w:rPr>
        <w:t>.</w:t>
      </w:r>
      <w:r w:rsidR="004A7BFD" w:rsidRPr="00105125">
        <w:rPr>
          <w:lang w:val="en-CA"/>
        </w:rPr>
        <w:t xml:space="preserve"> </w:t>
      </w:r>
      <w:r w:rsidRPr="00105125">
        <w:rPr>
          <w:lang w:val="en-CA"/>
        </w:rPr>
        <w:t xml:space="preserve">He found that section 3 </w:t>
      </w:r>
      <w:r w:rsidR="00AD6235">
        <w:rPr>
          <w:lang w:val="en-CA"/>
        </w:rPr>
        <w:t xml:space="preserve">of the </w:t>
      </w:r>
      <w:r w:rsidRPr="00105125">
        <w:rPr>
          <w:i/>
          <w:lang w:val="en-CA"/>
        </w:rPr>
        <w:t>RCR</w:t>
      </w:r>
      <w:r w:rsidRPr="00105125">
        <w:rPr>
          <w:lang w:val="en-CA"/>
        </w:rPr>
        <w:t xml:space="preserve"> does not </w:t>
      </w:r>
      <w:r w:rsidR="00A626D2">
        <w:rPr>
          <w:lang w:val="en-CA"/>
        </w:rPr>
        <w:t xml:space="preserve">violate </w:t>
      </w:r>
      <w:r w:rsidRPr="00105125">
        <w:rPr>
          <w:lang w:val="en-CA"/>
        </w:rPr>
        <w:t xml:space="preserve">sections 10 and 12 and therefore rejected the arguments based on sex, ethnic origin, or social condition. He </w:t>
      </w:r>
      <w:r w:rsidR="00A626D2">
        <w:rPr>
          <w:lang w:val="en-CA"/>
        </w:rPr>
        <w:t xml:space="preserve">held </w:t>
      </w:r>
      <w:r w:rsidRPr="00105125">
        <w:rPr>
          <w:lang w:val="en-CA"/>
        </w:rPr>
        <w:t>that section 12 does not apply to regulatory texts, which are not included in the expression “make a juridical act”.</w:t>
      </w:r>
      <w:r w:rsidR="00847B97" w:rsidRPr="00105125">
        <w:rPr>
          <w:vertAlign w:val="superscript"/>
          <w:lang w:val="en-CA"/>
        </w:rPr>
        <w:footnoteReference w:id="12"/>
      </w:r>
    </w:p>
    <w:p w14:paraId="57193128" w14:textId="0AB49078" w:rsidR="0072362A" w:rsidRPr="00105125" w:rsidRDefault="00F82A0E" w:rsidP="00AD265D">
      <w:pPr>
        <w:pStyle w:val="Paragraphe"/>
        <w:spacing w:line="280" w:lineRule="exact"/>
        <w:rPr>
          <w:lang w:val="en-CA"/>
        </w:rPr>
      </w:pPr>
      <w:r w:rsidRPr="00105125">
        <w:rPr>
          <w:lang w:val="en-CA"/>
        </w:rPr>
        <w:t>The judge held that consider</w:t>
      </w:r>
      <w:r w:rsidR="00A626D2">
        <w:rPr>
          <w:lang w:val="en-CA"/>
        </w:rPr>
        <w:t>ing</w:t>
      </w:r>
      <w:r w:rsidRPr="00105125">
        <w:rPr>
          <w:lang w:val="en-CA"/>
        </w:rPr>
        <w:t xml:space="preserve"> </w:t>
      </w:r>
      <w:r w:rsidR="00A626D2">
        <w:rPr>
          <w:lang w:val="en-CA"/>
        </w:rPr>
        <w:t xml:space="preserve">refugee </w:t>
      </w:r>
      <w:r w:rsidRPr="00105125">
        <w:rPr>
          <w:lang w:val="en-CA"/>
        </w:rPr>
        <w:t xml:space="preserve">claimants as </w:t>
      </w:r>
      <w:r w:rsidR="00A626D2">
        <w:rPr>
          <w:lang w:val="en-CA"/>
        </w:rPr>
        <w:t>in</w:t>
      </w:r>
      <w:r w:rsidRPr="00105125">
        <w:rPr>
          <w:lang w:val="en-CA"/>
        </w:rPr>
        <w:t xml:space="preserve">eligible for the reduced contribution does not violate section 4 of the </w:t>
      </w:r>
      <w:r w:rsidRPr="00105125">
        <w:rPr>
          <w:i/>
          <w:lang w:val="en-CA"/>
        </w:rPr>
        <w:t>Quebec Charter</w:t>
      </w:r>
      <w:r w:rsidRPr="00105125">
        <w:rPr>
          <w:lang w:val="en-CA"/>
        </w:rPr>
        <w:t>, which enshrines the right of every person to the safeguard of their dignity, honour, and reputation.</w:t>
      </w:r>
      <w:r w:rsidRPr="00105125">
        <w:rPr>
          <w:rStyle w:val="Appelnotedebasdep"/>
          <w:lang w:val="en-CA"/>
        </w:rPr>
        <w:footnoteReference w:id="13"/>
      </w:r>
    </w:p>
    <w:p w14:paraId="7C7FB361" w14:textId="272DCDD7" w:rsidR="0072362A" w:rsidRPr="00105125" w:rsidRDefault="00F82A0E" w:rsidP="00AD265D">
      <w:pPr>
        <w:pStyle w:val="Paragraphe"/>
        <w:spacing w:line="280" w:lineRule="exact"/>
        <w:rPr>
          <w:lang w:val="en-CA"/>
        </w:rPr>
      </w:pPr>
      <w:r w:rsidRPr="00105125">
        <w:rPr>
          <w:lang w:val="en-CA"/>
        </w:rPr>
        <w:t xml:space="preserve">Thus, the judge accepted only the ground of lack of statutory authorization to grant Ms. </w:t>
      </w:r>
      <w:proofErr w:type="spellStart"/>
      <w:r w:rsidRPr="00105125">
        <w:rPr>
          <w:lang w:val="en-CA"/>
        </w:rPr>
        <w:t>Kanyinda’s</w:t>
      </w:r>
      <w:proofErr w:type="spellEnd"/>
      <w:r w:rsidRPr="00105125">
        <w:rPr>
          <w:lang w:val="en-CA"/>
        </w:rPr>
        <w:t xml:space="preserve"> application for judicial review in part.</w:t>
      </w:r>
    </w:p>
    <w:p w14:paraId="4A118700" w14:textId="6C9B577F" w:rsidR="0072362A" w:rsidRPr="00105125" w:rsidRDefault="00F82A0E" w:rsidP="00AD265D">
      <w:pPr>
        <w:pStyle w:val="Titre2"/>
        <w:rPr>
          <w:i w:val="0"/>
          <w:iCs/>
          <w:lang w:val="en-CA"/>
        </w:rPr>
      </w:pPr>
      <w:r w:rsidRPr="00105125">
        <w:rPr>
          <w:i w:val="0"/>
          <w:iCs/>
          <w:lang w:val="en-CA"/>
        </w:rPr>
        <w:t>Issues</w:t>
      </w:r>
    </w:p>
    <w:p w14:paraId="1D74E118" w14:textId="4648C4AF" w:rsidR="0072362A" w:rsidRPr="00105125" w:rsidRDefault="00F82A0E" w:rsidP="00AD265D">
      <w:pPr>
        <w:pStyle w:val="Paragraphe"/>
        <w:spacing w:line="280" w:lineRule="exact"/>
        <w:rPr>
          <w:lang w:val="en-CA"/>
        </w:rPr>
      </w:pPr>
      <w:r w:rsidRPr="00105125">
        <w:rPr>
          <w:lang w:val="en-CA"/>
        </w:rPr>
        <w:t>The appeals raise several issues that may be grouped as follows:</w:t>
      </w:r>
    </w:p>
    <w:p w14:paraId="27EC243F" w14:textId="461B2620" w:rsidR="0072362A" w:rsidRPr="00105125" w:rsidRDefault="00F82A0E" w:rsidP="00C46657">
      <w:pPr>
        <w:pStyle w:val="Paragraphe"/>
        <w:numPr>
          <w:ilvl w:val="0"/>
          <w:numId w:val="0"/>
        </w:numPr>
        <w:spacing w:line="280" w:lineRule="exact"/>
        <w:rPr>
          <w:lang w:val="en-CA"/>
        </w:rPr>
      </w:pPr>
      <w:r w:rsidRPr="00105125">
        <w:rPr>
          <w:lang w:val="en-CA"/>
        </w:rPr>
        <w:t>AGQ’s principal appeal</w:t>
      </w:r>
    </w:p>
    <w:p w14:paraId="29374627" w14:textId="1A80C064" w:rsidR="0072362A" w:rsidRPr="00105125" w:rsidRDefault="00F82A0E" w:rsidP="00C46657">
      <w:pPr>
        <w:pStyle w:val="Paragraphedeliste"/>
        <w:numPr>
          <w:ilvl w:val="0"/>
          <w:numId w:val="20"/>
        </w:numPr>
        <w:spacing w:before="120" w:after="120"/>
        <w:contextualSpacing w:val="0"/>
        <w:jc w:val="both"/>
        <w:rPr>
          <w:kern w:val="28"/>
          <w:lang w:val="en-CA"/>
        </w:rPr>
      </w:pPr>
      <w:r w:rsidRPr="00105125">
        <w:rPr>
          <w:kern w:val="28"/>
          <w:lang w:val="en-CA"/>
        </w:rPr>
        <w:t xml:space="preserve">Did the trial judge err in concluding that section 3 of the </w:t>
      </w:r>
      <w:r w:rsidRPr="00105125">
        <w:rPr>
          <w:i/>
          <w:kern w:val="28"/>
          <w:lang w:val="en-CA"/>
        </w:rPr>
        <w:t>RCR</w:t>
      </w:r>
      <w:r w:rsidRPr="00105125">
        <w:rPr>
          <w:kern w:val="28"/>
          <w:lang w:val="en-CA"/>
        </w:rPr>
        <w:t xml:space="preserve"> was enacted without valid statutory authorization?</w:t>
      </w:r>
    </w:p>
    <w:p w14:paraId="488B01A9" w14:textId="4F4E96E9" w:rsidR="0072362A" w:rsidRPr="00105125" w:rsidRDefault="00F82A0E" w:rsidP="00C46657">
      <w:pPr>
        <w:pStyle w:val="Paragraphedeliste"/>
        <w:numPr>
          <w:ilvl w:val="0"/>
          <w:numId w:val="20"/>
        </w:numPr>
        <w:spacing w:before="120" w:after="120"/>
        <w:contextualSpacing w:val="0"/>
        <w:jc w:val="both"/>
        <w:rPr>
          <w:kern w:val="28"/>
          <w:lang w:val="en-CA"/>
        </w:rPr>
      </w:pPr>
      <w:r w:rsidRPr="00105125">
        <w:rPr>
          <w:kern w:val="28"/>
          <w:lang w:val="en-CA"/>
        </w:rPr>
        <w:t>Are the distinctions re</w:t>
      </w:r>
      <w:r w:rsidR="00C00B0B">
        <w:rPr>
          <w:kern w:val="28"/>
          <w:lang w:val="en-CA"/>
        </w:rPr>
        <w:t xml:space="preserve">lating to </w:t>
      </w:r>
      <w:r w:rsidRPr="00105125">
        <w:rPr>
          <w:kern w:val="28"/>
          <w:lang w:val="en-CA"/>
        </w:rPr>
        <w:t xml:space="preserve">immigration status, introduced by section 3 </w:t>
      </w:r>
      <w:r w:rsidR="00AD6235">
        <w:rPr>
          <w:kern w:val="28"/>
          <w:lang w:val="en-CA"/>
        </w:rPr>
        <w:t xml:space="preserve">of the </w:t>
      </w:r>
      <w:r w:rsidRPr="00105125">
        <w:rPr>
          <w:i/>
          <w:kern w:val="28"/>
          <w:lang w:val="en-CA"/>
        </w:rPr>
        <w:t>RCR</w:t>
      </w:r>
      <w:r w:rsidRPr="00105125">
        <w:rPr>
          <w:kern w:val="28"/>
          <w:lang w:val="en-CA"/>
        </w:rPr>
        <w:t xml:space="preserve">, </w:t>
      </w:r>
      <w:r w:rsidR="00C00B0B">
        <w:rPr>
          <w:kern w:val="28"/>
          <w:lang w:val="en-CA"/>
        </w:rPr>
        <w:t xml:space="preserve">rationally justified </w:t>
      </w:r>
      <w:r w:rsidRPr="00105125">
        <w:rPr>
          <w:kern w:val="28"/>
          <w:lang w:val="en-CA"/>
        </w:rPr>
        <w:t>under the rules of administrative law in light of the enabling provision and the legislative objective</w:t>
      </w:r>
      <w:r w:rsidR="001F2FFF">
        <w:rPr>
          <w:kern w:val="28"/>
          <w:lang w:val="en-CA"/>
        </w:rPr>
        <w:t>?</w:t>
      </w:r>
    </w:p>
    <w:p w14:paraId="17CB92C7" w14:textId="7B64125A" w:rsidR="0072362A" w:rsidRPr="00105125" w:rsidRDefault="00F82A0E" w:rsidP="00C46657">
      <w:pPr>
        <w:keepNext/>
        <w:spacing w:before="120" w:after="120"/>
        <w:jc w:val="both"/>
        <w:rPr>
          <w:kern w:val="28"/>
          <w:lang w:val="en-CA"/>
        </w:rPr>
      </w:pPr>
      <w:r w:rsidRPr="00105125">
        <w:rPr>
          <w:kern w:val="28"/>
          <w:lang w:val="en-CA"/>
        </w:rPr>
        <w:t xml:space="preserve">Ms. </w:t>
      </w:r>
      <w:proofErr w:type="spellStart"/>
      <w:r w:rsidRPr="00105125">
        <w:rPr>
          <w:kern w:val="28"/>
          <w:lang w:val="en-CA"/>
        </w:rPr>
        <w:t>Kayinda’s</w:t>
      </w:r>
      <w:proofErr w:type="spellEnd"/>
      <w:r w:rsidRPr="00105125">
        <w:rPr>
          <w:kern w:val="28"/>
          <w:lang w:val="en-CA"/>
        </w:rPr>
        <w:t xml:space="preserve"> incidental appeal</w:t>
      </w:r>
    </w:p>
    <w:p w14:paraId="77CAA2B9" w14:textId="56BF7158" w:rsidR="0072362A" w:rsidRPr="00105125" w:rsidRDefault="00F82A0E" w:rsidP="00C46657">
      <w:pPr>
        <w:pStyle w:val="Paragraphedeliste"/>
        <w:keepNext/>
        <w:numPr>
          <w:ilvl w:val="0"/>
          <w:numId w:val="21"/>
        </w:numPr>
        <w:spacing w:before="120" w:after="120"/>
        <w:contextualSpacing w:val="0"/>
        <w:jc w:val="both"/>
        <w:rPr>
          <w:kern w:val="28"/>
          <w:lang w:val="en-CA"/>
        </w:rPr>
      </w:pPr>
      <w:r w:rsidRPr="00105125">
        <w:rPr>
          <w:kern w:val="28"/>
          <w:lang w:val="en-CA"/>
        </w:rPr>
        <w:t xml:space="preserve">Did the trial judge err in concluding that section 3 </w:t>
      </w:r>
      <w:r w:rsidR="00AD6235">
        <w:rPr>
          <w:kern w:val="28"/>
          <w:lang w:val="en-CA"/>
        </w:rPr>
        <w:t xml:space="preserve">of the </w:t>
      </w:r>
      <w:r w:rsidRPr="00105125">
        <w:rPr>
          <w:i/>
          <w:kern w:val="28"/>
          <w:lang w:val="en-CA"/>
        </w:rPr>
        <w:t>RCR</w:t>
      </w:r>
      <w:r w:rsidRPr="00105125">
        <w:rPr>
          <w:kern w:val="28"/>
          <w:lang w:val="en-CA"/>
        </w:rPr>
        <w:t xml:space="preserve"> did not infringe the right to equality protected by section 15 of the </w:t>
      </w:r>
      <w:r w:rsidRPr="00105125">
        <w:rPr>
          <w:i/>
          <w:kern w:val="28"/>
          <w:lang w:val="en-CA"/>
        </w:rPr>
        <w:t>Canadian Charter</w:t>
      </w:r>
      <w:r w:rsidRPr="00105125">
        <w:rPr>
          <w:kern w:val="28"/>
          <w:lang w:val="en-CA"/>
        </w:rPr>
        <w:t>?</w:t>
      </w:r>
    </w:p>
    <w:p w14:paraId="33D18985" w14:textId="6669C415" w:rsidR="0072362A" w:rsidRPr="00105125" w:rsidRDefault="00F82A0E" w:rsidP="00C46657">
      <w:pPr>
        <w:spacing w:before="120" w:after="120"/>
        <w:jc w:val="both"/>
        <w:rPr>
          <w:kern w:val="28"/>
          <w:lang w:val="en-CA"/>
        </w:rPr>
      </w:pPr>
      <w:r w:rsidRPr="00105125">
        <w:rPr>
          <w:kern w:val="28"/>
          <w:lang w:val="en-CA"/>
        </w:rPr>
        <w:t>CDPDJ’s incidental appeal</w:t>
      </w:r>
    </w:p>
    <w:p w14:paraId="089585F7" w14:textId="6D62D657" w:rsidR="0072362A" w:rsidRPr="00105125" w:rsidRDefault="00F82A0E" w:rsidP="00C46657">
      <w:pPr>
        <w:pStyle w:val="Paragraphedeliste"/>
        <w:numPr>
          <w:ilvl w:val="0"/>
          <w:numId w:val="21"/>
        </w:numPr>
        <w:spacing w:before="120" w:after="120"/>
        <w:contextualSpacing w:val="0"/>
        <w:jc w:val="both"/>
        <w:rPr>
          <w:kern w:val="28"/>
          <w:lang w:val="en-CA"/>
        </w:rPr>
      </w:pPr>
      <w:r w:rsidRPr="00105125">
        <w:rPr>
          <w:kern w:val="28"/>
          <w:lang w:val="en-CA"/>
        </w:rPr>
        <w:lastRenderedPageBreak/>
        <w:t xml:space="preserve">Did the trial judge err in law in concluding at paragraphs 21 to 27 of his judgment that section 3 </w:t>
      </w:r>
      <w:r w:rsidR="00AD6235">
        <w:rPr>
          <w:kern w:val="28"/>
          <w:lang w:val="en-CA"/>
        </w:rPr>
        <w:t xml:space="preserve">of the </w:t>
      </w:r>
      <w:r w:rsidRPr="00105125">
        <w:rPr>
          <w:i/>
          <w:kern w:val="28"/>
          <w:lang w:val="en-CA"/>
        </w:rPr>
        <w:t>RCR</w:t>
      </w:r>
      <w:r w:rsidRPr="00105125">
        <w:rPr>
          <w:kern w:val="28"/>
          <w:lang w:val="en-CA"/>
        </w:rPr>
        <w:t xml:space="preserve"> is clear and excludes </w:t>
      </w:r>
      <w:r w:rsidR="00C00B0B">
        <w:rPr>
          <w:kern w:val="28"/>
          <w:lang w:val="en-CA"/>
        </w:rPr>
        <w:t>refugee claimants</w:t>
      </w:r>
      <w:r w:rsidRPr="00105125">
        <w:rPr>
          <w:kern w:val="28"/>
          <w:lang w:val="en-CA"/>
        </w:rPr>
        <w:t>?</w:t>
      </w:r>
    </w:p>
    <w:p w14:paraId="6B41159E" w14:textId="27640273" w:rsidR="0072362A" w:rsidRPr="00105125" w:rsidRDefault="00F82A0E" w:rsidP="00C46657">
      <w:pPr>
        <w:pStyle w:val="Paragraphedeliste"/>
        <w:numPr>
          <w:ilvl w:val="0"/>
          <w:numId w:val="21"/>
        </w:numPr>
        <w:spacing w:before="120" w:after="120"/>
        <w:contextualSpacing w:val="0"/>
        <w:jc w:val="both"/>
        <w:rPr>
          <w:kern w:val="28"/>
          <w:lang w:val="en-CA"/>
        </w:rPr>
      </w:pPr>
      <w:r w:rsidRPr="00105125">
        <w:rPr>
          <w:kern w:val="28"/>
          <w:lang w:val="en-CA"/>
        </w:rPr>
        <w:t>Did the trial judge err at paragraphs 63 to 71 of his judgment in concluding that the exclu</w:t>
      </w:r>
      <w:r w:rsidR="00C00B0B">
        <w:rPr>
          <w:kern w:val="28"/>
          <w:lang w:val="en-CA"/>
        </w:rPr>
        <w:t>sion of</w:t>
      </w:r>
      <w:r w:rsidRPr="00105125">
        <w:rPr>
          <w:kern w:val="28"/>
          <w:lang w:val="en-CA"/>
        </w:rPr>
        <w:t xml:space="preserve"> </w:t>
      </w:r>
      <w:r w:rsidR="00C00B0B">
        <w:rPr>
          <w:kern w:val="28"/>
          <w:lang w:val="en-CA"/>
        </w:rPr>
        <w:t>refugee claimants</w:t>
      </w:r>
      <w:r w:rsidRPr="00105125">
        <w:rPr>
          <w:kern w:val="28"/>
          <w:lang w:val="en-CA"/>
        </w:rPr>
        <w:t xml:space="preserve"> from the reduced contribution is not discrimination within the meaning of sections 10 and 12 of the </w:t>
      </w:r>
      <w:r w:rsidRPr="00105125">
        <w:rPr>
          <w:i/>
          <w:kern w:val="28"/>
          <w:lang w:val="en-CA"/>
        </w:rPr>
        <w:t>Quebec Charter</w:t>
      </w:r>
      <w:r w:rsidRPr="00105125">
        <w:rPr>
          <w:kern w:val="28"/>
          <w:lang w:val="en-CA"/>
        </w:rPr>
        <w:t>?</w:t>
      </w:r>
    </w:p>
    <w:p w14:paraId="3AE733C7" w14:textId="577D4828" w:rsidR="0072362A" w:rsidRPr="00105125" w:rsidRDefault="00F82A0E" w:rsidP="00AD265D">
      <w:pPr>
        <w:pStyle w:val="Titre4"/>
        <w:rPr>
          <w:lang w:val="en-CA"/>
        </w:rPr>
      </w:pPr>
      <w:r w:rsidRPr="00105125">
        <w:rPr>
          <w:lang w:val="en-CA"/>
        </w:rPr>
        <w:t>Analysis</w:t>
      </w:r>
    </w:p>
    <w:p w14:paraId="52BA29FD" w14:textId="38F3B8BC" w:rsidR="0072362A" w:rsidRPr="00105125" w:rsidRDefault="00F82A0E" w:rsidP="00AD265D">
      <w:pPr>
        <w:pStyle w:val="Paragraphe"/>
        <w:spacing w:line="280" w:lineRule="exact"/>
        <w:rPr>
          <w:lang w:val="en-CA"/>
        </w:rPr>
      </w:pPr>
      <w:r w:rsidRPr="00105125">
        <w:rPr>
          <w:lang w:val="en-CA"/>
        </w:rPr>
        <w:t xml:space="preserve">I will </w:t>
      </w:r>
      <w:r w:rsidR="00C00B0B">
        <w:rPr>
          <w:lang w:val="en-CA"/>
        </w:rPr>
        <w:t xml:space="preserve">begin </w:t>
      </w:r>
      <w:r w:rsidRPr="00105125">
        <w:rPr>
          <w:lang w:val="en-CA"/>
        </w:rPr>
        <w:t xml:space="preserve">by dealing with the issues related to the validity of the </w:t>
      </w:r>
      <w:r w:rsidRPr="00105125">
        <w:rPr>
          <w:i/>
          <w:iCs/>
          <w:lang w:val="en-CA"/>
        </w:rPr>
        <w:t>RCR</w:t>
      </w:r>
      <w:r w:rsidRPr="00105125">
        <w:rPr>
          <w:lang w:val="en-CA"/>
        </w:rPr>
        <w:t xml:space="preserve">, its interpretation, and the fact that it might be discriminatory </w:t>
      </w:r>
      <w:r w:rsidR="00AD6235">
        <w:rPr>
          <w:lang w:val="en-CA"/>
        </w:rPr>
        <w:t>in the administrative law sense</w:t>
      </w:r>
      <w:r w:rsidRPr="00105125">
        <w:rPr>
          <w:lang w:val="en-CA"/>
        </w:rPr>
        <w:t xml:space="preserve">. I will </w:t>
      </w:r>
      <w:r w:rsidR="00FF2E03">
        <w:rPr>
          <w:lang w:val="en-CA"/>
        </w:rPr>
        <w:t xml:space="preserve">then </w:t>
      </w:r>
      <w:r w:rsidRPr="00105125">
        <w:rPr>
          <w:lang w:val="en-CA"/>
        </w:rPr>
        <w:t xml:space="preserve">continue my analysis </w:t>
      </w:r>
      <w:r w:rsidR="00412C67">
        <w:rPr>
          <w:lang w:val="en-CA"/>
        </w:rPr>
        <w:t>in order to</w:t>
      </w:r>
      <w:r w:rsidR="00AE28F0">
        <w:rPr>
          <w:lang w:val="en-CA"/>
        </w:rPr>
        <w:t xml:space="preserve"> </w:t>
      </w:r>
      <w:r w:rsidRPr="00105125">
        <w:rPr>
          <w:lang w:val="en-CA"/>
        </w:rPr>
        <w:t xml:space="preserve">determine whether section 3 </w:t>
      </w:r>
      <w:r w:rsidR="00AD6235">
        <w:rPr>
          <w:lang w:val="en-CA"/>
        </w:rPr>
        <w:t xml:space="preserve">of the </w:t>
      </w:r>
      <w:r w:rsidRPr="00105125">
        <w:rPr>
          <w:i/>
          <w:lang w:val="en-CA"/>
        </w:rPr>
        <w:t>RCR</w:t>
      </w:r>
      <w:r w:rsidRPr="00105125">
        <w:rPr>
          <w:lang w:val="en-CA"/>
        </w:rPr>
        <w:t xml:space="preserve"> infringes the right to equality protected by section 15 of the </w:t>
      </w:r>
      <w:r w:rsidRPr="00105125">
        <w:rPr>
          <w:i/>
          <w:lang w:val="en-CA"/>
        </w:rPr>
        <w:t>Canadian Charter</w:t>
      </w:r>
      <w:r w:rsidRPr="00105125">
        <w:rPr>
          <w:lang w:val="en-CA"/>
        </w:rPr>
        <w:t xml:space="preserve"> and by sections 10 and 12 of the </w:t>
      </w:r>
      <w:r w:rsidRPr="00105125">
        <w:rPr>
          <w:i/>
          <w:lang w:val="en-CA"/>
        </w:rPr>
        <w:t>Quebec Charter</w:t>
      </w:r>
      <w:r w:rsidRPr="00105125">
        <w:rPr>
          <w:lang w:val="en-CA"/>
        </w:rPr>
        <w:t>.</w:t>
      </w:r>
    </w:p>
    <w:p w14:paraId="4AE9C0CD" w14:textId="48AE1361" w:rsidR="0072362A" w:rsidRPr="00105125" w:rsidRDefault="00412C67" w:rsidP="00AD265D">
      <w:pPr>
        <w:pStyle w:val="Paragraphe"/>
        <w:numPr>
          <w:ilvl w:val="0"/>
          <w:numId w:val="0"/>
        </w:numPr>
        <w:spacing w:line="280" w:lineRule="exact"/>
        <w:rPr>
          <w:bCs/>
          <w:lang w:val="en-CA"/>
        </w:rPr>
      </w:pPr>
      <w:r>
        <w:rPr>
          <w:i/>
          <w:iCs/>
          <w:lang w:val="en-CA"/>
        </w:rPr>
        <w:t>Statutory authorization</w:t>
      </w:r>
    </w:p>
    <w:p w14:paraId="049655EA" w14:textId="10DC4C18" w:rsidR="0072362A" w:rsidRPr="00105125" w:rsidRDefault="00AE28F0" w:rsidP="00AD265D">
      <w:pPr>
        <w:pStyle w:val="Paragraphe"/>
        <w:spacing w:line="280" w:lineRule="exact"/>
        <w:rPr>
          <w:lang w:val="en-CA"/>
        </w:rPr>
      </w:pPr>
      <w:r>
        <w:rPr>
          <w:lang w:val="en-CA"/>
        </w:rPr>
        <w:t xml:space="preserve">In </w:t>
      </w:r>
      <w:r w:rsidR="00F82A0E" w:rsidRPr="00105125">
        <w:rPr>
          <w:lang w:val="en-CA"/>
        </w:rPr>
        <w:t xml:space="preserve">the principal appeal, the AGQ argues that the judge erred in concluding that section 3 </w:t>
      </w:r>
      <w:r w:rsidR="00AD6235">
        <w:rPr>
          <w:lang w:val="en-CA"/>
        </w:rPr>
        <w:t xml:space="preserve">of the </w:t>
      </w:r>
      <w:r w:rsidR="00F82A0E" w:rsidRPr="00105125">
        <w:rPr>
          <w:i/>
          <w:lang w:val="en-CA"/>
        </w:rPr>
        <w:t>RCR</w:t>
      </w:r>
      <w:r w:rsidR="00F82A0E" w:rsidRPr="00105125">
        <w:rPr>
          <w:lang w:val="en-CA"/>
        </w:rPr>
        <w:t xml:space="preserve"> was enacted without valid statutory authori</w:t>
      </w:r>
      <w:r>
        <w:rPr>
          <w:lang w:val="en-CA"/>
        </w:rPr>
        <w:t>zation</w:t>
      </w:r>
      <w:r w:rsidR="00F82A0E" w:rsidRPr="00105125">
        <w:rPr>
          <w:lang w:val="en-CA"/>
        </w:rPr>
        <w:t>.</w:t>
      </w:r>
      <w:r w:rsidR="004A7BFD" w:rsidRPr="00105125">
        <w:rPr>
          <w:lang w:val="en-CA"/>
        </w:rPr>
        <w:t xml:space="preserve"> </w:t>
      </w:r>
      <w:r w:rsidR="00F82A0E" w:rsidRPr="00105125">
        <w:rPr>
          <w:lang w:val="en-CA"/>
        </w:rPr>
        <w:t xml:space="preserve">In </w:t>
      </w:r>
      <w:r>
        <w:rPr>
          <w:lang w:val="en-CA"/>
        </w:rPr>
        <w:t xml:space="preserve">the AGQ’s </w:t>
      </w:r>
      <w:r w:rsidR="00F82A0E" w:rsidRPr="00105125">
        <w:rPr>
          <w:lang w:val="en-CA"/>
        </w:rPr>
        <w:t xml:space="preserve">view, the </w:t>
      </w:r>
      <w:r w:rsidR="00F82A0E" w:rsidRPr="00105125">
        <w:rPr>
          <w:i/>
          <w:lang w:val="en-CA"/>
        </w:rPr>
        <w:t>ECA</w:t>
      </w:r>
      <w:r w:rsidR="00F82A0E" w:rsidRPr="00105125">
        <w:rPr>
          <w:lang w:val="en-CA"/>
        </w:rPr>
        <w:t xml:space="preserve">, read as a whole, and more particularly taking into account </w:t>
      </w:r>
      <w:r w:rsidR="003F399D">
        <w:rPr>
          <w:lang w:val="en-CA"/>
        </w:rPr>
        <w:t xml:space="preserve">its </w:t>
      </w:r>
      <w:r w:rsidR="00F82A0E" w:rsidRPr="00105125">
        <w:rPr>
          <w:lang w:val="en-CA"/>
        </w:rPr>
        <w:t>sections 87</w:t>
      </w:r>
      <w:r w:rsidR="00412C67">
        <w:rPr>
          <w:lang w:val="en-CA"/>
        </w:rPr>
        <w:t>,</w:t>
      </w:r>
      <w:r w:rsidR="00F82A0E" w:rsidRPr="00105125">
        <w:rPr>
          <w:lang w:val="en-CA"/>
        </w:rPr>
        <w:t xml:space="preserve"> 42(4) and 106(26), </w:t>
      </w:r>
      <w:r>
        <w:rPr>
          <w:lang w:val="en-CA"/>
        </w:rPr>
        <w:t xml:space="preserve">empowers </w:t>
      </w:r>
      <w:r w:rsidR="00F82A0E" w:rsidRPr="00105125">
        <w:rPr>
          <w:lang w:val="en-CA"/>
        </w:rPr>
        <w:t xml:space="preserve">the Quebec government to establish the cases and </w:t>
      </w:r>
      <w:r>
        <w:rPr>
          <w:lang w:val="en-CA"/>
        </w:rPr>
        <w:t>conditions</w:t>
      </w:r>
      <w:r w:rsidRPr="00105125">
        <w:rPr>
          <w:lang w:val="en-CA"/>
        </w:rPr>
        <w:t xml:space="preserve"> </w:t>
      </w:r>
      <w:r>
        <w:rPr>
          <w:lang w:val="en-CA"/>
        </w:rPr>
        <w:t xml:space="preserve">of </w:t>
      </w:r>
      <w:r w:rsidR="00F82A0E" w:rsidRPr="00105125">
        <w:rPr>
          <w:lang w:val="en-CA"/>
        </w:rPr>
        <w:t xml:space="preserve">eligibility for the reduced contribution. The </w:t>
      </w:r>
      <w:r w:rsidR="00F82A0E" w:rsidRPr="00105125">
        <w:rPr>
          <w:i/>
          <w:lang w:val="en-CA"/>
        </w:rPr>
        <w:t>ECA</w:t>
      </w:r>
      <w:r w:rsidR="00F82A0E" w:rsidRPr="00105125">
        <w:rPr>
          <w:lang w:val="en-CA"/>
        </w:rPr>
        <w:t xml:space="preserve"> provisions </w:t>
      </w:r>
      <w:r>
        <w:rPr>
          <w:lang w:val="en-CA"/>
        </w:rPr>
        <w:t xml:space="preserve">in fact </w:t>
      </w:r>
      <w:r w:rsidR="00F82A0E" w:rsidRPr="00105125">
        <w:rPr>
          <w:lang w:val="en-CA"/>
        </w:rPr>
        <w:t xml:space="preserve">reveal that the legislature decided to </w:t>
      </w:r>
      <w:r>
        <w:rPr>
          <w:lang w:val="en-CA"/>
        </w:rPr>
        <w:t xml:space="preserve">grant </w:t>
      </w:r>
      <w:r w:rsidR="00F82A0E" w:rsidRPr="00105125">
        <w:rPr>
          <w:lang w:val="en-CA"/>
        </w:rPr>
        <w:t xml:space="preserve">the government all the regulatory powers likely to have a major social and financial impact </w:t>
      </w:r>
      <w:r>
        <w:rPr>
          <w:lang w:val="en-CA"/>
        </w:rPr>
        <w:t>on</w:t>
      </w:r>
      <w:r w:rsidR="00F82A0E" w:rsidRPr="00105125">
        <w:rPr>
          <w:lang w:val="en-CA"/>
        </w:rPr>
        <w:t xml:space="preserve"> childcare services.</w:t>
      </w:r>
      <w:r w:rsidR="004A7BFD" w:rsidRPr="00105125">
        <w:rPr>
          <w:lang w:val="en-CA"/>
        </w:rPr>
        <w:t xml:space="preserve"> </w:t>
      </w:r>
      <w:r w:rsidR="00F82A0E" w:rsidRPr="00105125">
        <w:rPr>
          <w:lang w:val="en-CA"/>
        </w:rPr>
        <w:t xml:space="preserve">These broad powers include the power to determine the eligibility </w:t>
      </w:r>
      <w:r>
        <w:rPr>
          <w:lang w:val="en-CA"/>
        </w:rPr>
        <w:t xml:space="preserve">conditions </w:t>
      </w:r>
      <w:r w:rsidR="00F82A0E" w:rsidRPr="00105125">
        <w:rPr>
          <w:lang w:val="en-CA"/>
        </w:rPr>
        <w:t>for the reduced contribution.</w:t>
      </w:r>
    </w:p>
    <w:p w14:paraId="166A9288" w14:textId="1AD2F7D7" w:rsidR="0072362A" w:rsidRPr="00105125" w:rsidRDefault="00F82A0E" w:rsidP="00AD265D">
      <w:pPr>
        <w:pStyle w:val="Paragraphe"/>
        <w:spacing w:line="280" w:lineRule="exact"/>
        <w:rPr>
          <w:lang w:val="en-CA"/>
        </w:rPr>
      </w:pPr>
      <w:r w:rsidRPr="00105125">
        <w:rPr>
          <w:lang w:val="en-CA"/>
        </w:rPr>
        <w:t xml:space="preserve">Ms. </w:t>
      </w:r>
      <w:proofErr w:type="spellStart"/>
      <w:r w:rsidRPr="00105125">
        <w:rPr>
          <w:lang w:val="en-CA"/>
        </w:rPr>
        <w:t>Kanyinda</w:t>
      </w:r>
      <w:proofErr w:type="spellEnd"/>
      <w:r w:rsidRPr="00105125">
        <w:rPr>
          <w:lang w:val="en-CA"/>
        </w:rPr>
        <w:t xml:space="preserve"> submits that no </w:t>
      </w:r>
      <w:r w:rsidR="00AE28F0">
        <w:rPr>
          <w:lang w:val="en-CA"/>
        </w:rPr>
        <w:t xml:space="preserve">enabling </w:t>
      </w:r>
      <w:r w:rsidRPr="00105125">
        <w:rPr>
          <w:lang w:val="en-CA"/>
        </w:rPr>
        <w:t>provision grant</w:t>
      </w:r>
      <w:r w:rsidR="00AE28F0">
        <w:rPr>
          <w:lang w:val="en-CA"/>
        </w:rPr>
        <w:t>s</w:t>
      </w:r>
      <w:r w:rsidRPr="00105125">
        <w:rPr>
          <w:lang w:val="en-CA"/>
        </w:rPr>
        <w:t xml:space="preserve"> the government the power to establish </w:t>
      </w:r>
      <w:r w:rsidR="003F399D">
        <w:rPr>
          <w:lang w:val="en-CA"/>
        </w:rPr>
        <w:t xml:space="preserve">in a regulation </w:t>
      </w:r>
      <w:r w:rsidRPr="00105125">
        <w:rPr>
          <w:lang w:val="en-CA"/>
        </w:rPr>
        <w:t>eligibility for the reduced contribution.</w:t>
      </w:r>
      <w:r w:rsidR="004A7BFD" w:rsidRPr="00105125">
        <w:rPr>
          <w:lang w:val="en-CA"/>
        </w:rPr>
        <w:t xml:space="preserve"> </w:t>
      </w:r>
      <w:r w:rsidRPr="00105125">
        <w:rPr>
          <w:lang w:val="en-CA"/>
        </w:rPr>
        <w:t xml:space="preserve">Section 106 </w:t>
      </w:r>
      <w:r w:rsidRPr="00105125">
        <w:rPr>
          <w:i/>
          <w:lang w:val="en-CA"/>
        </w:rPr>
        <w:t>ECA</w:t>
      </w:r>
      <w:r w:rsidRPr="00105125">
        <w:rPr>
          <w:lang w:val="en-CA"/>
        </w:rPr>
        <w:t xml:space="preserve"> exhaustively lists the </w:t>
      </w:r>
      <w:r w:rsidR="00AE28F0">
        <w:rPr>
          <w:lang w:val="en-CA"/>
        </w:rPr>
        <w:t xml:space="preserve">regulatory </w:t>
      </w:r>
      <w:r w:rsidR="00412C67">
        <w:rPr>
          <w:lang w:val="en-CA"/>
        </w:rPr>
        <w:t>powers</w:t>
      </w:r>
      <w:r w:rsidR="00AE28F0">
        <w:rPr>
          <w:lang w:val="en-CA"/>
        </w:rPr>
        <w:t xml:space="preserve"> </w:t>
      </w:r>
      <w:r w:rsidRPr="00105125">
        <w:rPr>
          <w:lang w:val="en-CA"/>
        </w:rPr>
        <w:t>grant</w:t>
      </w:r>
      <w:r w:rsidR="00AE28F0">
        <w:rPr>
          <w:lang w:val="en-CA"/>
        </w:rPr>
        <w:t>ed to</w:t>
      </w:r>
      <w:r w:rsidRPr="00105125">
        <w:rPr>
          <w:lang w:val="en-CA"/>
        </w:rPr>
        <w:t xml:space="preserve"> the government.</w:t>
      </w:r>
      <w:r w:rsidR="004A7BFD" w:rsidRPr="00105125">
        <w:rPr>
          <w:lang w:val="en-CA"/>
        </w:rPr>
        <w:t xml:space="preserve"> </w:t>
      </w:r>
      <w:r w:rsidR="00AE28F0">
        <w:rPr>
          <w:lang w:val="en-CA"/>
        </w:rPr>
        <w:t xml:space="preserve">It has no </w:t>
      </w:r>
      <w:r w:rsidRPr="00105125">
        <w:rPr>
          <w:lang w:val="en-CA"/>
        </w:rPr>
        <w:t>direct</w:t>
      </w:r>
      <w:r w:rsidR="00016E3B">
        <w:rPr>
          <w:lang w:val="en-CA"/>
        </w:rPr>
        <w:t xml:space="preserve"> power</w:t>
      </w:r>
      <w:r w:rsidR="00AE28F0">
        <w:rPr>
          <w:lang w:val="en-CA"/>
        </w:rPr>
        <w:t xml:space="preserve"> </w:t>
      </w:r>
      <w:r w:rsidRPr="00105125">
        <w:rPr>
          <w:lang w:val="en-CA"/>
        </w:rPr>
        <w:t xml:space="preserve">to determine the eligibility </w:t>
      </w:r>
      <w:r w:rsidR="00AE28F0">
        <w:rPr>
          <w:lang w:val="en-CA"/>
        </w:rPr>
        <w:t>conditions</w:t>
      </w:r>
      <w:r w:rsidRPr="00105125">
        <w:rPr>
          <w:lang w:val="en-CA"/>
        </w:rPr>
        <w:t>.</w:t>
      </w:r>
      <w:r w:rsidR="004A7BFD" w:rsidRPr="00105125">
        <w:rPr>
          <w:lang w:val="en-CA"/>
        </w:rPr>
        <w:t xml:space="preserve"> </w:t>
      </w:r>
      <w:r w:rsidRPr="00105125">
        <w:rPr>
          <w:lang w:val="en-CA"/>
        </w:rPr>
        <w:t xml:space="preserve">Nor is this power </w:t>
      </w:r>
      <w:r w:rsidR="00AE28F0">
        <w:rPr>
          <w:lang w:val="en-CA"/>
        </w:rPr>
        <w:t>granted under</w:t>
      </w:r>
      <w:r w:rsidRPr="00105125">
        <w:rPr>
          <w:lang w:val="en-CA"/>
        </w:rPr>
        <w:t xml:space="preserve"> section 84 </w:t>
      </w:r>
      <w:r w:rsidR="00AD6235">
        <w:rPr>
          <w:lang w:val="en-CA"/>
        </w:rPr>
        <w:t xml:space="preserve">of the </w:t>
      </w:r>
      <w:r w:rsidRPr="00105125">
        <w:rPr>
          <w:i/>
          <w:lang w:val="en-CA"/>
        </w:rPr>
        <w:t>ECA</w:t>
      </w:r>
      <w:r w:rsidRPr="00105125">
        <w:rPr>
          <w:lang w:val="en-CA"/>
        </w:rPr>
        <w:t xml:space="preserve">, reiterated in section 106(26), because it concerns something other than the determination of eligibility </w:t>
      </w:r>
      <w:r w:rsidR="00AE28F0">
        <w:rPr>
          <w:lang w:val="en-CA"/>
        </w:rPr>
        <w:t>conditions</w:t>
      </w:r>
      <w:r w:rsidRPr="00105125">
        <w:rPr>
          <w:lang w:val="en-CA"/>
        </w:rPr>
        <w:t xml:space="preserve"> for the reduced contribution. </w:t>
      </w:r>
    </w:p>
    <w:p w14:paraId="11841871" w14:textId="28DE61A4" w:rsidR="0072362A" w:rsidRPr="00105125" w:rsidRDefault="00F82A0E" w:rsidP="00AD265D">
      <w:pPr>
        <w:pStyle w:val="Paragraphe"/>
        <w:spacing w:line="280" w:lineRule="exact"/>
        <w:rPr>
          <w:lang w:val="en-CA"/>
        </w:rPr>
      </w:pPr>
      <w:r w:rsidRPr="00105125">
        <w:rPr>
          <w:lang w:val="en-CA"/>
        </w:rPr>
        <w:t xml:space="preserve">According to Ms. </w:t>
      </w:r>
      <w:proofErr w:type="spellStart"/>
      <w:r w:rsidRPr="00105125">
        <w:rPr>
          <w:lang w:val="en-CA"/>
        </w:rPr>
        <w:t>Kanyinda</w:t>
      </w:r>
      <w:proofErr w:type="spellEnd"/>
      <w:r w:rsidRPr="00105125">
        <w:rPr>
          <w:lang w:val="en-CA"/>
        </w:rPr>
        <w:t xml:space="preserve">, the </w:t>
      </w:r>
      <w:proofErr w:type="spellStart"/>
      <w:r w:rsidRPr="00105125">
        <w:rPr>
          <w:i/>
          <w:lang w:val="en-CA"/>
        </w:rPr>
        <w:t>ECA</w:t>
      </w:r>
      <w:r w:rsidRPr="00105125">
        <w:rPr>
          <w:lang w:val="en-CA"/>
        </w:rPr>
        <w:t>’s</w:t>
      </w:r>
      <w:proofErr w:type="spellEnd"/>
      <w:r w:rsidRPr="00105125">
        <w:rPr>
          <w:lang w:val="en-CA"/>
        </w:rPr>
        <w:t xml:space="preserve"> general scheme </w:t>
      </w:r>
      <w:r w:rsidR="00F9551D">
        <w:rPr>
          <w:lang w:val="en-CA"/>
        </w:rPr>
        <w:t xml:space="preserve">with respect to </w:t>
      </w:r>
      <w:r w:rsidRPr="00105125">
        <w:rPr>
          <w:lang w:val="en-CA"/>
        </w:rPr>
        <w:t xml:space="preserve">regulatory </w:t>
      </w:r>
      <w:r w:rsidR="00F9551D">
        <w:rPr>
          <w:lang w:val="en-CA"/>
        </w:rPr>
        <w:t xml:space="preserve">powers </w:t>
      </w:r>
      <w:r w:rsidR="003C46C1">
        <w:rPr>
          <w:lang w:val="en-CA"/>
        </w:rPr>
        <w:t>indicates</w:t>
      </w:r>
      <w:r w:rsidR="003C46C1" w:rsidRPr="00105125">
        <w:rPr>
          <w:lang w:val="en-CA"/>
        </w:rPr>
        <w:t xml:space="preserve"> </w:t>
      </w:r>
      <w:r w:rsidRPr="00105125">
        <w:rPr>
          <w:lang w:val="en-CA"/>
        </w:rPr>
        <w:t xml:space="preserve">that </w:t>
      </w:r>
      <w:r w:rsidR="00F9551D">
        <w:rPr>
          <w:lang w:val="en-CA"/>
        </w:rPr>
        <w:t xml:space="preserve">each time </w:t>
      </w:r>
      <w:r w:rsidRPr="00105125">
        <w:rPr>
          <w:lang w:val="en-CA"/>
        </w:rPr>
        <w:t xml:space="preserve">the legislature refers to regulatory standards, without granting </w:t>
      </w:r>
      <w:r w:rsidR="009F2F47">
        <w:rPr>
          <w:lang w:val="en-CA"/>
        </w:rPr>
        <w:t xml:space="preserve">a </w:t>
      </w:r>
      <w:r w:rsidRPr="00105125">
        <w:rPr>
          <w:lang w:val="en-CA"/>
        </w:rPr>
        <w:t>regulatory power to a clearly specified holder, it confirms its existence and grants it to the holder identified in section 106, that is, the government.</w:t>
      </w:r>
      <w:r w:rsidR="004A7BFD" w:rsidRPr="00105125">
        <w:rPr>
          <w:lang w:val="en-CA"/>
        </w:rPr>
        <w:t xml:space="preserve"> </w:t>
      </w:r>
      <w:r w:rsidRPr="00105125">
        <w:rPr>
          <w:lang w:val="en-CA"/>
        </w:rPr>
        <w:t xml:space="preserve">This authorization technique </w:t>
      </w:r>
      <w:r w:rsidR="003C46C1">
        <w:rPr>
          <w:lang w:val="en-CA"/>
        </w:rPr>
        <w:t xml:space="preserve">used </w:t>
      </w:r>
      <w:r w:rsidRPr="00105125">
        <w:rPr>
          <w:lang w:val="en-CA"/>
        </w:rPr>
        <w:t xml:space="preserve">systematically by the legislature in the </w:t>
      </w:r>
      <w:r w:rsidRPr="00105125">
        <w:rPr>
          <w:i/>
          <w:lang w:val="en-CA"/>
        </w:rPr>
        <w:t>ECA</w:t>
      </w:r>
      <w:r w:rsidRPr="00105125">
        <w:rPr>
          <w:lang w:val="en-CA"/>
        </w:rPr>
        <w:t xml:space="preserve"> is not used in section 42(4), which means that </w:t>
      </w:r>
      <w:r w:rsidR="00E65DA5">
        <w:rPr>
          <w:lang w:val="en-CA"/>
        </w:rPr>
        <w:t xml:space="preserve">it contains </w:t>
      </w:r>
      <w:r w:rsidRPr="00105125">
        <w:rPr>
          <w:lang w:val="en-CA"/>
        </w:rPr>
        <w:t>no indirect authorization.</w:t>
      </w:r>
      <w:r w:rsidR="004A7BFD" w:rsidRPr="00105125">
        <w:rPr>
          <w:lang w:val="en-CA"/>
        </w:rPr>
        <w:t xml:space="preserve"> </w:t>
      </w:r>
      <w:r w:rsidR="000777CC">
        <w:rPr>
          <w:lang w:val="en-CA"/>
        </w:rPr>
        <w:t>T</w:t>
      </w:r>
      <w:r w:rsidRPr="00105125">
        <w:rPr>
          <w:lang w:val="en-CA"/>
        </w:rPr>
        <w:t>he reference to a regulation</w:t>
      </w:r>
      <w:r w:rsidR="00C82FCF">
        <w:rPr>
          <w:lang w:val="en-CA"/>
        </w:rPr>
        <w:t xml:space="preserve"> </w:t>
      </w:r>
      <w:r w:rsidR="00E65DA5">
        <w:rPr>
          <w:lang w:val="en-CA"/>
        </w:rPr>
        <w:t>in</w:t>
      </w:r>
      <w:r w:rsidR="00C82FCF" w:rsidRPr="00105125">
        <w:rPr>
          <w:lang w:val="en-CA"/>
        </w:rPr>
        <w:t xml:space="preserve"> </w:t>
      </w:r>
      <w:r w:rsidRPr="00105125">
        <w:rPr>
          <w:lang w:val="en-CA"/>
        </w:rPr>
        <w:t xml:space="preserve">section 87 </w:t>
      </w:r>
      <w:r w:rsidR="000777CC">
        <w:rPr>
          <w:lang w:val="en-CA"/>
        </w:rPr>
        <w:t xml:space="preserve">of the </w:t>
      </w:r>
      <w:r w:rsidRPr="00105125">
        <w:rPr>
          <w:i/>
          <w:lang w:val="en-CA"/>
        </w:rPr>
        <w:t>ECA</w:t>
      </w:r>
      <w:r w:rsidR="00C82FCF">
        <w:rPr>
          <w:iCs/>
          <w:lang w:val="en-CA"/>
        </w:rPr>
        <w:t xml:space="preserve"> </w:t>
      </w:r>
      <w:r w:rsidRPr="00105125">
        <w:rPr>
          <w:lang w:val="en-CA"/>
        </w:rPr>
        <w:t>concerns the contribution set by regulation</w:t>
      </w:r>
      <w:r w:rsidR="0078340B">
        <w:rPr>
          <w:lang w:val="en-CA"/>
        </w:rPr>
        <w:t>. This provision</w:t>
      </w:r>
      <w:r w:rsidR="00F9551D">
        <w:rPr>
          <w:lang w:val="en-CA"/>
        </w:rPr>
        <w:t xml:space="preserve"> </w:t>
      </w:r>
      <w:r w:rsidRPr="00105125">
        <w:rPr>
          <w:lang w:val="en-CA"/>
        </w:rPr>
        <w:t xml:space="preserve">does not grant any regulatory power to determine the eligibility </w:t>
      </w:r>
      <w:r w:rsidR="00F9551D">
        <w:rPr>
          <w:lang w:val="en-CA"/>
        </w:rPr>
        <w:t xml:space="preserve">conditions </w:t>
      </w:r>
      <w:r w:rsidRPr="00105125">
        <w:rPr>
          <w:lang w:val="en-CA"/>
        </w:rPr>
        <w:t>for the reduced contribution.</w:t>
      </w:r>
    </w:p>
    <w:p w14:paraId="13AA60E6" w14:textId="0FCE5181" w:rsidR="0072362A" w:rsidRPr="00105125" w:rsidRDefault="00F82A0E" w:rsidP="00AD265D">
      <w:pPr>
        <w:pStyle w:val="Paragraphe"/>
        <w:spacing w:line="280" w:lineRule="exact"/>
        <w:rPr>
          <w:lang w:val="en-CA"/>
        </w:rPr>
      </w:pPr>
      <w:r w:rsidRPr="00105125">
        <w:rPr>
          <w:lang w:val="en-CA"/>
        </w:rPr>
        <w:lastRenderedPageBreak/>
        <w:t>The judge stated the following on this issue:</w:t>
      </w:r>
    </w:p>
    <w:p w14:paraId="5B77D4C7" w14:textId="1760FC7B" w:rsidR="00D77C08" w:rsidRPr="00105125" w:rsidRDefault="00D77C08" w:rsidP="00F9551D">
      <w:pPr>
        <w:pStyle w:val="Citationenretrait"/>
        <w:keepNext/>
        <w:rPr>
          <w:lang w:val="en-CA"/>
        </w:rPr>
      </w:pPr>
      <w:r w:rsidRPr="00105125">
        <w:rPr>
          <w:rFonts w:cs="Arial"/>
          <w:lang w:val="en-CA"/>
        </w:rPr>
        <w:t>[</w:t>
      </w:r>
      <w:r w:rsidRPr="00105125">
        <w:rPr>
          <w:rFonts w:cs="Arial"/>
          <w:smallCaps/>
          <w:lang w:val="en-CA"/>
        </w:rPr>
        <w:t>translation</w:t>
      </w:r>
      <w:r w:rsidRPr="00105125">
        <w:rPr>
          <w:rFonts w:cs="Arial"/>
          <w:lang w:val="en-CA"/>
        </w:rPr>
        <w:t>]</w:t>
      </w:r>
    </w:p>
    <w:p w14:paraId="0A5413BA" w14:textId="39CDAF82" w:rsidR="0072362A" w:rsidRPr="00105125" w:rsidRDefault="004A7BFD" w:rsidP="00F9551D">
      <w:pPr>
        <w:pStyle w:val="Citationenretrait"/>
        <w:keepNext/>
        <w:rPr>
          <w:lang w:val="en-CA"/>
        </w:rPr>
      </w:pPr>
      <w:r w:rsidRPr="00105125">
        <w:rPr>
          <w:lang w:val="en-CA"/>
        </w:rPr>
        <w:t>[29]</w:t>
      </w:r>
      <w:r w:rsidRPr="00105125">
        <w:rPr>
          <w:lang w:val="en-CA"/>
        </w:rPr>
        <w:tab/>
      </w:r>
      <w:r w:rsidR="00F82A0E" w:rsidRPr="00105125">
        <w:rPr>
          <w:lang w:val="en-CA"/>
        </w:rPr>
        <w:t xml:space="preserve">The Attorney General referred to sections 84 and </w:t>
      </w:r>
      <w:r w:rsidR="005C02BA">
        <w:rPr>
          <w:lang w:val="en-CA"/>
        </w:rPr>
        <w:t xml:space="preserve">subparagraph (26) of section </w:t>
      </w:r>
      <w:r w:rsidR="00F82A0E" w:rsidRPr="00105125">
        <w:rPr>
          <w:lang w:val="en-CA"/>
        </w:rPr>
        <w:t>106</w:t>
      </w:r>
      <w:r w:rsidR="000A5C58">
        <w:rPr>
          <w:lang w:val="en-CA"/>
        </w:rPr>
        <w:t xml:space="preserve"> which, if </w:t>
      </w:r>
      <w:r w:rsidR="000A5C58" w:rsidRPr="000A5C58">
        <w:rPr>
          <w:i/>
          <w:iCs/>
          <w:lang w:val="en-CA"/>
        </w:rPr>
        <w:t>interpreted using a</w:t>
      </w:r>
      <w:r w:rsidR="00F82A0E" w:rsidRPr="00105125">
        <w:rPr>
          <w:lang w:val="en-CA"/>
        </w:rPr>
        <w:t xml:space="preserve"> </w:t>
      </w:r>
      <w:r w:rsidR="00F82A0E" w:rsidRPr="00F9551D">
        <w:rPr>
          <w:i/>
          <w:iCs/>
          <w:lang w:val="en-CA"/>
        </w:rPr>
        <w:t xml:space="preserve">broad </w:t>
      </w:r>
      <w:r w:rsidR="00F9551D">
        <w:rPr>
          <w:i/>
          <w:iCs/>
          <w:lang w:val="en-CA"/>
        </w:rPr>
        <w:t xml:space="preserve">and </w:t>
      </w:r>
      <w:r w:rsidR="00F82A0E" w:rsidRPr="00F9551D">
        <w:rPr>
          <w:i/>
          <w:iCs/>
          <w:lang w:val="en-CA"/>
        </w:rPr>
        <w:t xml:space="preserve">purposive </w:t>
      </w:r>
      <w:r w:rsidR="000A5C58">
        <w:rPr>
          <w:i/>
          <w:iCs/>
          <w:lang w:val="en-CA"/>
        </w:rPr>
        <w:t>approach,</w:t>
      </w:r>
      <w:r w:rsidR="000A5C58">
        <w:rPr>
          <w:lang w:val="en-CA"/>
        </w:rPr>
        <w:t xml:space="preserve"> </w:t>
      </w:r>
      <w:r w:rsidR="00F82A0E" w:rsidRPr="00105125">
        <w:rPr>
          <w:lang w:val="en-CA"/>
        </w:rPr>
        <w:t xml:space="preserve">would </w:t>
      </w:r>
      <w:r w:rsidR="00AE6F82">
        <w:rPr>
          <w:lang w:val="en-CA"/>
        </w:rPr>
        <w:t xml:space="preserve">authorize </w:t>
      </w:r>
      <w:r w:rsidR="00F82A0E" w:rsidRPr="00105125">
        <w:rPr>
          <w:lang w:val="en-CA"/>
        </w:rPr>
        <w:t xml:space="preserve">the government to identify </w:t>
      </w:r>
      <w:r w:rsidR="000A5C58">
        <w:rPr>
          <w:lang w:val="en-CA"/>
        </w:rPr>
        <w:t xml:space="preserve">the </w:t>
      </w:r>
      <w:r w:rsidR="00F82A0E" w:rsidRPr="00105125">
        <w:rPr>
          <w:lang w:val="en-CA"/>
        </w:rPr>
        <w:t>eligible</w:t>
      </w:r>
      <w:r w:rsidR="000A5C58">
        <w:rPr>
          <w:lang w:val="en-CA"/>
        </w:rPr>
        <w:t xml:space="preserve"> persons</w:t>
      </w:r>
      <w:r w:rsidR="00F82A0E" w:rsidRPr="00105125">
        <w:rPr>
          <w:lang w:val="en-CA"/>
        </w:rPr>
        <w:t xml:space="preserve">: </w:t>
      </w:r>
    </w:p>
    <w:p w14:paraId="56857493" w14:textId="4DF70760" w:rsidR="0072362A" w:rsidRPr="00105125" w:rsidRDefault="004A7BFD" w:rsidP="0072362A">
      <w:pPr>
        <w:pStyle w:val="Citationenretrait"/>
        <w:ind w:left="1440" w:right="1080"/>
        <w:rPr>
          <w:lang w:val="en-CA"/>
        </w:rPr>
      </w:pPr>
      <w:r w:rsidRPr="00105125">
        <w:rPr>
          <w:lang w:val="en-CA"/>
        </w:rPr>
        <w:t>84.</w:t>
      </w:r>
      <w:r w:rsidRPr="00105125">
        <w:rPr>
          <w:lang w:val="en-CA"/>
        </w:rPr>
        <w:tab/>
      </w:r>
      <w:r w:rsidR="000A0D4C" w:rsidRPr="00105125">
        <w:rPr>
          <w:rFonts w:cs="Arial"/>
          <w:color w:val="000000"/>
          <w:szCs w:val="22"/>
          <w:lang w:val="en-CA"/>
        </w:rPr>
        <w:t>The Government may, by regulation, determine conditions of payment of the parental contribution for a day or half day of childcare, and cases in which full or partial exemption from the contribution is granted for the services determined by the Government.</w:t>
      </w:r>
    </w:p>
    <w:p w14:paraId="58D61979" w14:textId="27276029" w:rsidR="0072362A" w:rsidRPr="00105125" w:rsidRDefault="000A0D4C" w:rsidP="0072362A">
      <w:pPr>
        <w:pStyle w:val="Citationenretrait"/>
        <w:ind w:left="1440" w:right="1080"/>
        <w:rPr>
          <w:sz w:val="28"/>
          <w:szCs w:val="24"/>
          <w:lang w:val="en-CA"/>
        </w:rPr>
      </w:pPr>
      <w:r w:rsidRPr="00105125">
        <w:rPr>
          <w:rFonts w:cs="Arial"/>
          <w:color w:val="000000"/>
          <w:szCs w:val="22"/>
          <w:lang w:val="en-CA"/>
        </w:rPr>
        <w:t>2005, c. 47, s. 84; 2015, c. 8, s. 165; 2020, c. 5, s. 11.</w:t>
      </w:r>
    </w:p>
    <w:p w14:paraId="289C0A47" w14:textId="485363CD" w:rsidR="0072362A" w:rsidRPr="00105125" w:rsidRDefault="004A7BFD" w:rsidP="0072362A">
      <w:pPr>
        <w:pStyle w:val="Citationenretrait"/>
        <w:ind w:left="1440" w:right="1080"/>
        <w:rPr>
          <w:lang w:val="en-CA"/>
        </w:rPr>
      </w:pPr>
      <w:r w:rsidRPr="00105125">
        <w:rPr>
          <w:lang w:val="en-CA"/>
        </w:rPr>
        <w:t>106.</w:t>
      </w:r>
      <w:r w:rsidRPr="00105125">
        <w:rPr>
          <w:lang w:val="en-CA"/>
        </w:rPr>
        <w:tab/>
      </w:r>
      <w:r w:rsidR="000A0D4C" w:rsidRPr="00105125">
        <w:rPr>
          <w:rFonts w:cs="Arial"/>
          <w:color w:val="000000"/>
          <w:szCs w:val="22"/>
          <w:lang w:val="en-CA"/>
        </w:rPr>
        <w:t>The Government may, by regulation, for part or all of Québec,</w:t>
      </w:r>
    </w:p>
    <w:p w14:paraId="05431F09" w14:textId="6B029857" w:rsidR="0072362A" w:rsidRPr="00105125" w:rsidRDefault="000A0D4C" w:rsidP="0072362A">
      <w:pPr>
        <w:pStyle w:val="Citationenretrait"/>
        <w:ind w:left="1440" w:right="1080"/>
        <w:rPr>
          <w:lang w:val="en-CA"/>
        </w:rPr>
      </w:pPr>
      <w:r w:rsidRPr="00105125">
        <w:rPr>
          <w:rStyle w:val="Normal1"/>
          <w:rFonts w:cs="Arial"/>
          <w:color w:val="000000"/>
          <w:szCs w:val="22"/>
          <w:lang w:val="en-CA"/>
        </w:rPr>
        <w:t>(</w:t>
      </w:r>
      <w:r w:rsidRPr="00105125">
        <w:rPr>
          <w:rStyle w:val="label-z"/>
          <w:rFonts w:cs="Arial"/>
          <w:color w:val="000000"/>
          <w:szCs w:val="22"/>
          <w:lang w:val="en-CA"/>
        </w:rPr>
        <w:t>26</w:t>
      </w:r>
      <w:r w:rsidRPr="00105125">
        <w:rPr>
          <w:rStyle w:val="Normal1"/>
          <w:rFonts w:cs="Arial"/>
          <w:color w:val="000000"/>
          <w:szCs w:val="22"/>
          <w:lang w:val="en-CA"/>
        </w:rPr>
        <w:t>) </w:t>
      </w:r>
      <w:r w:rsidRPr="00105125">
        <w:rPr>
          <w:rStyle w:val="widthfixforlabel"/>
          <w:rFonts w:cs="Arial"/>
          <w:color w:val="000000"/>
          <w:szCs w:val="22"/>
          <w:lang w:val="en-CA"/>
        </w:rPr>
        <w:t> </w:t>
      </w:r>
      <w:r w:rsidRPr="00105125">
        <w:rPr>
          <w:rStyle w:val="paragraph"/>
          <w:rFonts w:cs="Arial"/>
          <w:color w:val="000000"/>
          <w:szCs w:val="22"/>
          <w:lang w:val="en-CA"/>
        </w:rPr>
        <w:t>determine the terms and conditions for payment of the parental contribution set by the Government and define the cases in which a parent may be fully or partially exempted from paying that contribution for all or some services, as specified;</w:t>
      </w:r>
    </w:p>
    <w:p w14:paraId="7B0A5C8E" w14:textId="01D38EDA" w:rsidR="0072362A" w:rsidRPr="00105125" w:rsidRDefault="00D77C08" w:rsidP="0072362A">
      <w:pPr>
        <w:pStyle w:val="Citationenretrait"/>
        <w:rPr>
          <w:lang w:val="en-CA"/>
        </w:rPr>
      </w:pPr>
      <w:r w:rsidRPr="00105125">
        <w:rPr>
          <w:lang w:val="en-CA"/>
        </w:rPr>
        <w:t xml:space="preserve">which clearly concerns something else; had the legislature wanted these provisions to apply to </w:t>
      </w:r>
      <w:r w:rsidR="000A5C58">
        <w:rPr>
          <w:lang w:val="en-CA"/>
        </w:rPr>
        <w:t xml:space="preserve">the </w:t>
      </w:r>
      <w:r w:rsidRPr="00105125">
        <w:rPr>
          <w:lang w:val="en-CA"/>
        </w:rPr>
        <w:t xml:space="preserve">categories of persons eligible for the reduced contribution, it would have written it </w:t>
      </w:r>
      <w:r w:rsidR="000A5C58">
        <w:rPr>
          <w:lang w:val="en-CA"/>
        </w:rPr>
        <w:t xml:space="preserve">using </w:t>
      </w:r>
      <w:r w:rsidRPr="00105125">
        <w:rPr>
          <w:lang w:val="en-CA"/>
        </w:rPr>
        <w:t>those exact or similar words.</w:t>
      </w:r>
    </w:p>
    <w:p w14:paraId="578DADF1" w14:textId="1B72C2E3" w:rsidR="0072362A" w:rsidRPr="00105125" w:rsidRDefault="004A7BFD" w:rsidP="0072362A">
      <w:pPr>
        <w:pStyle w:val="Citationenretrait"/>
        <w:rPr>
          <w:lang w:val="en-CA"/>
        </w:rPr>
      </w:pPr>
      <w:r w:rsidRPr="00105125">
        <w:rPr>
          <w:lang w:val="en-CA"/>
        </w:rPr>
        <w:t>[30]</w:t>
      </w:r>
      <w:r w:rsidRPr="00105125">
        <w:rPr>
          <w:lang w:val="en-CA"/>
        </w:rPr>
        <w:tab/>
      </w:r>
      <w:r w:rsidR="00D77C08" w:rsidRPr="00105125">
        <w:rPr>
          <w:lang w:val="en-CA"/>
        </w:rPr>
        <w:t>The Attorney General</w:t>
      </w:r>
      <w:r w:rsidR="00A14AEE">
        <w:rPr>
          <w:lang w:val="en-CA"/>
        </w:rPr>
        <w:t xml:space="preserve"> </w:t>
      </w:r>
      <w:r w:rsidR="00E80AED">
        <w:rPr>
          <w:lang w:val="en-CA"/>
        </w:rPr>
        <w:t xml:space="preserve">also relies on </w:t>
      </w:r>
      <w:r w:rsidR="00D77C08" w:rsidRPr="00105125">
        <w:rPr>
          <w:lang w:val="en-CA"/>
        </w:rPr>
        <w:t xml:space="preserve">the </w:t>
      </w:r>
      <w:r w:rsidR="008C4037">
        <w:rPr>
          <w:lang w:val="en-CA"/>
        </w:rPr>
        <w:t>doctrine</w:t>
      </w:r>
      <w:r w:rsidR="00D77C08" w:rsidRPr="00105125">
        <w:rPr>
          <w:lang w:val="en-CA"/>
        </w:rPr>
        <w:t xml:space="preserve"> of indirect authorization </w:t>
      </w:r>
      <w:r w:rsidR="00E80AED">
        <w:rPr>
          <w:lang w:val="en-CA"/>
        </w:rPr>
        <w:t xml:space="preserve">such that </w:t>
      </w:r>
      <w:r w:rsidR="00D77C08" w:rsidRPr="00105125">
        <w:rPr>
          <w:lang w:val="en-CA"/>
        </w:rPr>
        <w:t xml:space="preserve">the Court should accept that section 3 </w:t>
      </w:r>
      <w:r w:rsidR="00AD6235">
        <w:rPr>
          <w:kern w:val="28"/>
          <w:lang w:val="en-CA"/>
        </w:rPr>
        <w:t xml:space="preserve">of the </w:t>
      </w:r>
      <w:r w:rsidR="00D77C08" w:rsidRPr="00105125">
        <w:rPr>
          <w:i/>
          <w:lang w:val="en-CA"/>
        </w:rPr>
        <w:t>RCR</w:t>
      </w:r>
      <w:r w:rsidR="00D77C08" w:rsidRPr="00105125">
        <w:rPr>
          <w:lang w:val="en-CA"/>
        </w:rPr>
        <w:t xml:space="preserve"> is legal based on the provision </w:t>
      </w:r>
      <w:r w:rsidR="00E80AED">
        <w:rPr>
          <w:lang w:val="en-CA"/>
        </w:rPr>
        <w:t xml:space="preserve">in the </w:t>
      </w:r>
      <w:r w:rsidR="006911D2" w:rsidRPr="006911D2">
        <w:rPr>
          <w:i/>
          <w:iCs/>
          <w:lang w:val="en-CA"/>
        </w:rPr>
        <w:t>EC</w:t>
      </w:r>
      <w:r w:rsidR="00E80AED" w:rsidRPr="006911D2">
        <w:rPr>
          <w:i/>
          <w:iCs/>
          <w:lang w:val="en-CA"/>
        </w:rPr>
        <w:t>A</w:t>
      </w:r>
      <w:r w:rsidR="00E80AED">
        <w:rPr>
          <w:lang w:val="en-CA"/>
        </w:rPr>
        <w:t xml:space="preserve"> </w:t>
      </w:r>
      <w:r w:rsidR="00D77C08" w:rsidRPr="00105125">
        <w:rPr>
          <w:lang w:val="en-CA"/>
        </w:rPr>
        <w:t xml:space="preserve">that refers to the eligibility </w:t>
      </w:r>
      <w:r w:rsidR="00EA659B">
        <w:rPr>
          <w:lang w:val="en-CA"/>
        </w:rPr>
        <w:t xml:space="preserve">conditions </w:t>
      </w:r>
      <w:r w:rsidR="00D77C08" w:rsidRPr="00105125">
        <w:rPr>
          <w:lang w:val="en-CA"/>
        </w:rPr>
        <w:t xml:space="preserve">of parents </w:t>
      </w:r>
      <w:r w:rsidR="00EA659B">
        <w:rPr>
          <w:lang w:val="en-CA"/>
        </w:rPr>
        <w:t xml:space="preserve">for </w:t>
      </w:r>
      <w:r w:rsidR="00D77C08" w:rsidRPr="00105125">
        <w:rPr>
          <w:lang w:val="en-CA"/>
        </w:rPr>
        <w:t xml:space="preserve">the reduced contribution </w:t>
      </w:r>
      <w:r w:rsidR="00D77C08" w:rsidRPr="00EA659B">
        <w:rPr>
          <w:u w:val="single"/>
          <w:lang w:val="en-CA"/>
        </w:rPr>
        <w:t>determined by regulation</w:t>
      </w:r>
      <w:r w:rsidR="00D77C08" w:rsidRPr="00105125">
        <w:rPr>
          <w:lang w:val="en-CA"/>
        </w:rPr>
        <w:t xml:space="preserve">, that is, </w:t>
      </w:r>
      <w:r w:rsidR="001D43C1">
        <w:rPr>
          <w:lang w:val="en-CA"/>
        </w:rPr>
        <w:t>sub</w:t>
      </w:r>
      <w:r w:rsidR="00D77C08" w:rsidRPr="00105125">
        <w:rPr>
          <w:lang w:val="en-CA"/>
        </w:rPr>
        <w:t xml:space="preserve">paragraph (4) of </w:t>
      </w:r>
      <w:r w:rsidR="001D43C1">
        <w:rPr>
          <w:lang w:val="en-CA"/>
        </w:rPr>
        <w:t xml:space="preserve">the first paragraph of </w:t>
      </w:r>
      <w:r w:rsidR="00D77C08" w:rsidRPr="00105125">
        <w:rPr>
          <w:lang w:val="en-CA"/>
        </w:rPr>
        <w:t xml:space="preserve">section 42 of the </w:t>
      </w:r>
      <w:r w:rsidR="006911D2" w:rsidRPr="006911D2">
        <w:rPr>
          <w:i/>
          <w:iCs/>
          <w:lang w:val="en-CA"/>
        </w:rPr>
        <w:t>EC</w:t>
      </w:r>
      <w:r w:rsidR="00E80AED" w:rsidRPr="006911D2">
        <w:rPr>
          <w:i/>
          <w:iCs/>
          <w:lang w:val="en-CA"/>
        </w:rPr>
        <w:t>A</w:t>
      </w:r>
      <w:r w:rsidR="00D77C08" w:rsidRPr="00105125">
        <w:rPr>
          <w:lang w:val="en-CA"/>
        </w:rPr>
        <w:t>, which reads:</w:t>
      </w:r>
    </w:p>
    <w:p w14:paraId="36B9B5FA" w14:textId="77777777" w:rsidR="00EA659B" w:rsidRDefault="004A7BFD" w:rsidP="0072362A">
      <w:pPr>
        <w:pStyle w:val="Citationenretrait"/>
        <w:ind w:left="1440" w:right="1080"/>
        <w:rPr>
          <w:rFonts w:cs="Arial"/>
          <w:color w:val="000000"/>
          <w:szCs w:val="22"/>
          <w:lang w:val="en-CA"/>
        </w:rPr>
      </w:pPr>
      <w:r w:rsidRPr="00105125">
        <w:rPr>
          <w:szCs w:val="22"/>
          <w:lang w:val="en-CA"/>
        </w:rPr>
        <w:t>42.</w:t>
      </w:r>
      <w:r w:rsidRPr="00105125">
        <w:rPr>
          <w:szCs w:val="22"/>
          <w:lang w:val="en-CA"/>
        </w:rPr>
        <w:tab/>
      </w:r>
      <w:r w:rsidR="000A0D4C" w:rsidRPr="00105125">
        <w:rPr>
          <w:rFonts w:cs="Arial"/>
          <w:color w:val="000000"/>
          <w:szCs w:val="22"/>
          <w:lang w:val="en-CA"/>
        </w:rPr>
        <w:t>A home educational childcare coordinating office has the following functions in the territory assigned to it</w:t>
      </w:r>
      <w:r w:rsidR="00EA659B">
        <w:rPr>
          <w:rFonts w:cs="Arial"/>
          <w:color w:val="000000"/>
          <w:szCs w:val="22"/>
          <w:lang w:val="en-CA"/>
        </w:rPr>
        <w:t>:</w:t>
      </w:r>
    </w:p>
    <w:p w14:paraId="2E1774E0" w14:textId="7103B813" w:rsidR="0072362A" w:rsidRPr="00105125" w:rsidRDefault="000A0D4C" w:rsidP="0072362A">
      <w:pPr>
        <w:pStyle w:val="Citationenretrait"/>
        <w:ind w:left="1440" w:right="1080"/>
        <w:rPr>
          <w:szCs w:val="22"/>
          <w:lang w:val="en-CA"/>
        </w:rPr>
      </w:pPr>
      <w:r w:rsidRPr="00105125">
        <w:rPr>
          <w:rStyle w:val="Normal1"/>
          <w:rFonts w:cs="Arial"/>
          <w:color w:val="000000"/>
          <w:szCs w:val="22"/>
          <w:lang w:val="en-CA"/>
        </w:rPr>
        <w:t>(</w:t>
      </w:r>
      <w:r w:rsidRPr="00105125">
        <w:rPr>
          <w:rStyle w:val="label-z"/>
          <w:rFonts w:cs="Arial"/>
          <w:color w:val="000000"/>
          <w:szCs w:val="22"/>
          <w:lang w:val="en-CA"/>
        </w:rPr>
        <w:t>4</w:t>
      </w:r>
      <w:r w:rsidRPr="00105125">
        <w:rPr>
          <w:rStyle w:val="Normal1"/>
          <w:rFonts w:cs="Arial"/>
          <w:color w:val="000000"/>
          <w:szCs w:val="22"/>
          <w:lang w:val="en-CA"/>
        </w:rPr>
        <w:t>) </w:t>
      </w:r>
      <w:r w:rsidRPr="00105125">
        <w:rPr>
          <w:rStyle w:val="widthfixforlabel"/>
          <w:rFonts w:cs="Arial"/>
          <w:color w:val="000000"/>
          <w:szCs w:val="22"/>
          <w:lang w:val="en-CA"/>
        </w:rPr>
        <w:t> </w:t>
      </w:r>
      <w:r w:rsidRPr="00105125">
        <w:rPr>
          <w:rStyle w:val="paragraph"/>
          <w:rFonts w:cs="Arial"/>
          <w:color w:val="000000"/>
          <w:szCs w:val="22"/>
          <w:lang w:val="en-CA"/>
        </w:rPr>
        <w:t>to determine, according to the cases and conditions determined by regulation, a parent’s eligibility for payment of the contribution set by the Government under section 82;</w:t>
      </w:r>
    </w:p>
    <w:p w14:paraId="54EB889F" w14:textId="242D4525" w:rsidR="0072362A" w:rsidRPr="00105125" w:rsidRDefault="004A7BFD" w:rsidP="0072362A">
      <w:pPr>
        <w:pStyle w:val="Citationenretrait"/>
        <w:rPr>
          <w:lang w:val="en-CA"/>
        </w:rPr>
      </w:pPr>
      <w:r w:rsidRPr="00105125">
        <w:rPr>
          <w:lang w:val="en-CA"/>
        </w:rPr>
        <w:t>[31]</w:t>
      </w:r>
      <w:r w:rsidRPr="00105125">
        <w:rPr>
          <w:lang w:val="en-CA"/>
        </w:rPr>
        <w:tab/>
      </w:r>
      <w:r w:rsidR="001D43C1">
        <w:rPr>
          <w:lang w:val="en-CA"/>
        </w:rPr>
        <w:t>B</w:t>
      </w:r>
      <w:r w:rsidR="001D43C1" w:rsidRPr="00105125">
        <w:rPr>
          <w:lang w:val="en-CA"/>
        </w:rPr>
        <w:t xml:space="preserve">ased on this provision, </w:t>
      </w:r>
      <w:r w:rsidR="001D43C1">
        <w:rPr>
          <w:lang w:val="en-CA"/>
        </w:rPr>
        <w:t>t</w:t>
      </w:r>
      <w:r w:rsidR="00D77C08" w:rsidRPr="00105125">
        <w:rPr>
          <w:lang w:val="en-CA"/>
        </w:rPr>
        <w:t xml:space="preserve">he Attorney General argues </w:t>
      </w:r>
      <w:r w:rsidR="00EA659B">
        <w:rPr>
          <w:lang w:val="en-CA"/>
        </w:rPr>
        <w:t xml:space="preserve">that </w:t>
      </w:r>
      <w:r w:rsidR="00D77C08" w:rsidRPr="00105125">
        <w:rPr>
          <w:lang w:val="en-CA"/>
        </w:rPr>
        <w:t xml:space="preserve">the </w:t>
      </w:r>
      <w:r w:rsidR="00D77C08" w:rsidRPr="00105125">
        <w:rPr>
          <w:i/>
          <w:lang w:val="en-CA"/>
        </w:rPr>
        <w:t>ECA</w:t>
      </w:r>
      <w:r w:rsidR="00D77C08" w:rsidRPr="00105125">
        <w:rPr>
          <w:lang w:val="en-CA"/>
        </w:rPr>
        <w:t xml:space="preserve"> clearly provides for a regulation on eligibility</w:t>
      </w:r>
      <w:r w:rsidR="00EA659B">
        <w:rPr>
          <w:lang w:val="en-CA"/>
        </w:rPr>
        <w:t xml:space="preserve"> and thus</w:t>
      </w:r>
      <w:r w:rsidR="00D77C08" w:rsidRPr="00105125">
        <w:rPr>
          <w:lang w:val="en-CA"/>
        </w:rPr>
        <w:t xml:space="preserve"> allow</w:t>
      </w:r>
      <w:r w:rsidR="00EA659B">
        <w:rPr>
          <w:lang w:val="en-CA"/>
        </w:rPr>
        <w:t>s</w:t>
      </w:r>
      <w:r w:rsidR="00A33665">
        <w:rPr>
          <w:lang w:val="en-CA"/>
        </w:rPr>
        <w:t xml:space="preserve"> the</w:t>
      </w:r>
      <w:r w:rsidR="00D77C08" w:rsidRPr="00105125">
        <w:rPr>
          <w:lang w:val="en-CA"/>
        </w:rPr>
        <w:t xml:space="preserve"> categories of persons </w:t>
      </w:r>
      <w:r w:rsidR="00E81C8B">
        <w:rPr>
          <w:lang w:val="en-CA"/>
        </w:rPr>
        <w:t>who could benefit from</w:t>
      </w:r>
      <w:r w:rsidR="00D77C08" w:rsidRPr="00105125">
        <w:rPr>
          <w:lang w:val="en-CA"/>
        </w:rPr>
        <w:t xml:space="preserve"> the reduced contribution to be determined; the Court agrees with this position.</w:t>
      </w:r>
    </w:p>
    <w:p w14:paraId="6AE50E08" w14:textId="15AE18BE" w:rsidR="0072362A" w:rsidRPr="00105125" w:rsidRDefault="004A7BFD" w:rsidP="0072362A">
      <w:pPr>
        <w:pStyle w:val="Citationenretrait"/>
        <w:rPr>
          <w:lang w:val="en-CA"/>
        </w:rPr>
      </w:pPr>
      <w:r w:rsidRPr="00105125">
        <w:rPr>
          <w:lang w:val="en-CA"/>
        </w:rPr>
        <w:lastRenderedPageBreak/>
        <w:t>[32]</w:t>
      </w:r>
      <w:r w:rsidRPr="00105125">
        <w:rPr>
          <w:lang w:val="en-CA"/>
        </w:rPr>
        <w:tab/>
      </w:r>
      <w:r w:rsidR="00D77C08" w:rsidRPr="00105125">
        <w:rPr>
          <w:lang w:val="en-CA"/>
        </w:rPr>
        <w:t xml:space="preserve">However, </w:t>
      </w:r>
      <w:r w:rsidR="00A33665">
        <w:rPr>
          <w:lang w:val="en-CA"/>
        </w:rPr>
        <w:t>in</w:t>
      </w:r>
      <w:r w:rsidR="00D77C08" w:rsidRPr="00105125">
        <w:rPr>
          <w:lang w:val="en-CA"/>
        </w:rPr>
        <w:t xml:space="preserve"> the </w:t>
      </w:r>
      <w:r w:rsidR="00EA659B">
        <w:rPr>
          <w:lang w:val="en-CA"/>
        </w:rPr>
        <w:t xml:space="preserve">scholarly commentary </w:t>
      </w:r>
      <w:r w:rsidR="00D77C08" w:rsidRPr="00105125">
        <w:rPr>
          <w:lang w:val="en-CA"/>
        </w:rPr>
        <w:t xml:space="preserve">raised by the plaintiff, </w:t>
      </w:r>
      <w:proofErr w:type="spellStart"/>
      <w:r w:rsidR="00D77C08" w:rsidRPr="00105125">
        <w:rPr>
          <w:lang w:val="en-CA"/>
        </w:rPr>
        <w:t>Garant</w:t>
      </w:r>
      <w:proofErr w:type="spellEnd"/>
      <w:r w:rsidR="00361110">
        <w:rPr>
          <w:lang w:val="en-CA"/>
        </w:rPr>
        <w:t>,</w:t>
      </w:r>
      <w:r w:rsidR="00D77C08" w:rsidRPr="00105125">
        <w:rPr>
          <w:lang w:val="en-CA"/>
        </w:rPr>
        <w:t xml:space="preserve"> as well as </w:t>
      </w:r>
      <w:proofErr w:type="spellStart"/>
      <w:r w:rsidR="00D77C08" w:rsidRPr="00105125">
        <w:rPr>
          <w:lang w:val="en-CA"/>
        </w:rPr>
        <w:t>Issaly</w:t>
      </w:r>
      <w:proofErr w:type="spellEnd"/>
      <w:r w:rsidR="00D77C08" w:rsidRPr="00105125">
        <w:rPr>
          <w:lang w:val="en-CA"/>
        </w:rPr>
        <w:t xml:space="preserve"> and Lemieux</w:t>
      </w:r>
      <w:r w:rsidR="00361110">
        <w:rPr>
          <w:lang w:val="en-CA"/>
        </w:rPr>
        <w:t>,</w:t>
      </w:r>
      <w:r w:rsidR="00D77C08" w:rsidRPr="00105125">
        <w:rPr>
          <w:lang w:val="en-CA"/>
        </w:rPr>
        <w:t xml:space="preserve"> write</w:t>
      </w:r>
      <w:r w:rsidR="007566A7">
        <w:rPr>
          <w:lang w:val="en-CA"/>
        </w:rPr>
        <w:t>s</w:t>
      </w:r>
      <w:r w:rsidR="00EA659B">
        <w:rPr>
          <w:lang w:val="en-CA"/>
        </w:rPr>
        <w:t>,</w:t>
      </w:r>
      <w:r w:rsidR="00D77C08" w:rsidRPr="00105125">
        <w:rPr>
          <w:lang w:val="en-CA"/>
        </w:rPr>
        <w:t xml:space="preserve"> in reference to indirect authorization</w:t>
      </w:r>
      <w:r w:rsidR="00EA659B">
        <w:rPr>
          <w:lang w:val="en-CA"/>
        </w:rPr>
        <w:t>,</w:t>
      </w:r>
      <w:r w:rsidR="00D77C08" w:rsidRPr="00105125">
        <w:rPr>
          <w:lang w:val="en-CA"/>
        </w:rPr>
        <w:t xml:space="preserve"> that the power holder </w:t>
      </w:r>
      <w:r w:rsidR="00361110">
        <w:rPr>
          <w:lang w:val="en-CA"/>
        </w:rPr>
        <w:t xml:space="preserve">(of authorization) </w:t>
      </w:r>
      <w:r w:rsidR="00D77C08" w:rsidRPr="00105125">
        <w:rPr>
          <w:lang w:val="en-CA"/>
        </w:rPr>
        <w:t>must at least be identified; the Attorney General does not question this determination by the authors.</w:t>
      </w:r>
    </w:p>
    <w:p w14:paraId="705833AD" w14:textId="45A830B5" w:rsidR="0072362A" w:rsidRPr="00105125" w:rsidRDefault="004A7BFD" w:rsidP="0072362A">
      <w:pPr>
        <w:pStyle w:val="Citationenretrait"/>
        <w:rPr>
          <w:lang w:val="en-CA"/>
        </w:rPr>
      </w:pPr>
      <w:r w:rsidRPr="00105125">
        <w:rPr>
          <w:lang w:val="en-CA"/>
        </w:rPr>
        <w:t>[33]</w:t>
      </w:r>
      <w:r w:rsidRPr="00105125">
        <w:rPr>
          <w:lang w:val="en-CA"/>
        </w:rPr>
        <w:tab/>
      </w:r>
      <w:r w:rsidR="00D77C08" w:rsidRPr="00105125">
        <w:rPr>
          <w:lang w:val="en-CA"/>
        </w:rPr>
        <w:t xml:space="preserve">The Attorney General instead argues that the authority to </w:t>
      </w:r>
      <w:r w:rsidR="00EA659B">
        <w:rPr>
          <w:lang w:val="en-CA"/>
        </w:rPr>
        <w:t>enact</w:t>
      </w:r>
      <w:r w:rsidR="00D77C08" w:rsidRPr="00105125">
        <w:rPr>
          <w:lang w:val="en-CA"/>
        </w:rPr>
        <w:t xml:space="preserve"> </w:t>
      </w:r>
      <w:r w:rsidR="002E26D0" w:rsidRPr="00105125">
        <w:rPr>
          <w:lang w:val="en-CA"/>
        </w:rPr>
        <w:t xml:space="preserve">the eligibility requirements for the contribution </w:t>
      </w:r>
      <w:r w:rsidR="00EA659B">
        <w:rPr>
          <w:lang w:val="en-CA"/>
        </w:rPr>
        <w:t xml:space="preserve">in a regulation </w:t>
      </w:r>
      <w:r w:rsidR="00D77C08" w:rsidRPr="00105125">
        <w:rPr>
          <w:lang w:val="en-CA"/>
        </w:rPr>
        <w:t xml:space="preserve">clearly arises from the wording of the </w:t>
      </w:r>
      <w:r w:rsidR="006911D2" w:rsidRPr="0073744A">
        <w:rPr>
          <w:i/>
          <w:iCs/>
          <w:lang w:val="en-CA"/>
        </w:rPr>
        <w:t>ECA</w:t>
      </w:r>
      <w:r w:rsidR="00361110">
        <w:rPr>
          <w:lang w:val="en-CA"/>
        </w:rPr>
        <w:t xml:space="preserve"> </w:t>
      </w:r>
      <w:r w:rsidR="00D77C08" w:rsidRPr="00105125">
        <w:rPr>
          <w:lang w:val="en-CA"/>
        </w:rPr>
        <w:t xml:space="preserve">and that the only other holder of the right to enact regulations under the </w:t>
      </w:r>
      <w:r w:rsidR="006911D2" w:rsidRPr="006911D2">
        <w:rPr>
          <w:i/>
          <w:iCs/>
          <w:lang w:val="en-CA"/>
        </w:rPr>
        <w:t>EC</w:t>
      </w:r>
      <w:r w:rsidR="00361110" w:rsidRPr="006911D2">
        <w:rPr>
          <w:i/>
          <w:iCs/>
          <w:lang w:val="en-CA"/>
        </w:rPr>
        <w:t>A</w:t>
      </w:r>
      <w:r w:rsidR="00D77C08" w:rsidRPr="00105125">
        <w:rPr>
          <w:lang w:val="en-CA"/>
        </w:rPr>
        <w:t xml:space="preserve">, the Minister, has been granted the power to enact a regulation within a very limited </w:t>
      </w:r>
      <w:r w:rsidR="00167843">
        <w:rPr>
          <w:lang w:val="en-CA"/>
        </w:rPr>
        <w:t>area</w:t>
      </w:r>
      <w:r w:rsidR="00167843" w:rsidRPr="00105125">
        <w:rPr>
          <w:lang w:val="en-CA"/>
        </w:rPr>
        <w:t xml:space="preserve"> </w:t>
      </w:r>
      <w:r w:rsidR="00167843">
        <w:rPr>
          <w:lang w:val="en-CA"/>
        </w:rPr>
        <w:t>unrelated to</w:t>
      </w:r>
      <w:r w:rsidR="00D77C08" w:rsidRPr="00105125">
        <w:rPr>
          <w:lang w:val="en-CA"/>
        </w:rPr>
        <w:t xml:space="preserve"> the contribution (section 107 of the </w:t>
      </w:r>
      <w:r w:rsidR="006911D2" w:rsidRPr="006911D2">
        <w:rPr>
          <w:i/>
          <w:iCs/>
          <w:lang w:val="en-CA"/>
        </w:rPr>
        <w:t>ECA</w:t>
      </w:r>
      <w:r w:rsidR="00D77C08" w:rsidRPr="00105125">
        <w:rPr>
          <w:lang w:val="en-CA"/>
        </w:rPr>
        <w:t>).</w:t>
      </w:r>
    </w:p>
    <w:p w14:paraId="02C36DE9" w14:textId="6DD4573F" w:rsidR="0072362A" w:rsidRPr="00105125" w:rsidRDefault="004A7BFD" w:rsidP="0072362A">
      <w:pPr>
        <w:pStyle w:val="Citationenretrait"/>
        <w:rPr>
          <w:lang w:val="en-CA"/>
        </w:rPr>
      </w:pPr>
      <w:r w:rsidRPr="00105125">
        <w:rPr>
          <w:lang w:val="en-CA"/>
        </w:rPr>
        <w:t>[34]</w:t>
      </w:r>
      <w:r w:rsidRPr="00105125">
        <w:rPr>
          <w:lang w:val="en-CA"/>
        </w:rPr>
        <w:tab/>
      </w:r>
      <w:r w:rsidR="00D77C08" w:rsidRPr="00C2660E">
        <w:rPr>
          <w:lang w:val="en-CA"/>
        </w:rPr>
        <w:t xml:space="preserve">For the undersigned, however, even </w:t>
      </w:r>
      <w:r w:rsidR="00C2660E" w:rsidRPr="00C2660E">
        <w:rPr>
          <w:lang w:val="en-CA"/>
        </w:rPr>
        <w:t>were this</w:t>
      </w:r>
      <w:r w:rsidR="00D77C08" w:rsidRPr="00C2660E">
        <w:rPr>
          <w:lang w:val="en-CA"/>
        </w:rPr>
        <w:t xml:space="preserve"> logical (that the government has the </w:t>
      </w:r>
      <w:r w:rsidR="001E4238" w:rsidRPr="00C2660E">
        <w:rPr>
          <w:lang w:val="en-CA"/>
        </w:rPr>
        <w:t>authority</w:t>
      </w:r>
      <w:r w:rsidR="00D77C08" w:rsidRPr="00C2660E">
        <w:rPr>
          <w:lang w:val="en-CA"/>
        </w:rPr>
        <w:t xml:space="preserve">), </w:t>
      </w:r>
      <w:r w:rsidR="008048D0">
        <w:rPr>
          <w:lang w:val="en-CA"/>
        </w:rPr>
        <w:t xml:space="preserve">this </w:t>
      </w:r>
      <w:r w:rsidR="00D77C08" w:rsidRPr="00C2660E">
        <w:rPr>
          <w:lang w:val="en-CA"/>
        </w:rPr>
        <w:t xml:space="preserve">would add something not </w:t>
      </w:r>
      <w:r w:rsidR="00C2660E" w:rsidRPr="00C2660E">
        <w:rPr>
          <w:lang w:val="en-CA"/>
        </w:rPr>
        <w:t xml:space="preserve">found </w:t>
      </w:r>
      <w:r w:rsidR="00D77C08" w:rsidRPr="00C2660E">
        <w:rPr>
          <w:lang w:val="en-CA"/>
        </w:rPr>
        <w:t xml:space="preserve">in the teaching </w:t>
      </w:r>
      <w:r w:rsidR="00C2660E" w:rsidRPr="00C2660E">
        <w:rPr>
          <w:lang w:val="en-CA"/>
        </w:rPr>
        <w:t xml:space="preserve">to be drawn from </w:t>
      </w:r>
      <w:r w:rsidR="00D77C08" w:rsidRPr="00C2660E">
        <w:rPr>
          <w:lang w:val="en-CA"/>
        </w:rPr>
        <w:t xml:space="preserve">the </w:t>
      </w:r>
      <w:r w:rsidR="00C2660E">
        <w:rPr>
          <w:lang w:val="en-CA"/>
        </w:rPr>
        <w:t>scholarly commentary</w:t>
      </w:r>
      <w:r w:rsidR="00E81C8B">
        <w:rPr>
          <w:lang w:val="en-CA"/>
        </w:rPr>
        <w:t>;</w:t>
      </w:r>
      <w:r w:rsidR="00D77C08" w:rsidRPr="00C2660E">
        <w:rPr>
          <w:lang w:val="en-CA"/>
        </w:rPr>
        <w:t xml:space="preserve"> to accept the AGQ’s proposal</w:t>
      </w:r>
      <w:r w:rsidR="00C2660E" w:rsidRPr="00C2660E">
        <w:rPr>
          <w:lang w:val="en-CA"/>
        </w:rPr>
        <w:t xml:space="preserve"> </w:t>
      </w:r>
      <w:r w:rsidR="00D77C08" w:rsidRPr="00C2660E">
        <w:rPr>
          <w:lang w:val="en-CA"/>
        </w:rPr>
        <w:t>that</w:t>
      </w:r>
      <w:r w:rsidR="00E81C8B">
        <w:rPr>
          <w:lang w:val="en-CA"/>
        </w:rPr>
        <w:t xml:space="preserve"> </w:t>
      </w:r>
      <w:r w:rsidR="00D77C08" w:rsidRPr="00C2660E">
        <w:rPr>
          <w:lang w:val="en-CA"/>
        </w:rPr>
        <w:t xml:space="preserve">the Court </w:t>
      </w:r>
      <w:r w:rsidR="009B415F" w:rsidRPr="00C2660E">
        <w:rPr>
          <w:lang w:val="en-CA"/>
        </w:rPr>
        <w:t xml:space="preserve">itself </w:t>
      </w:r>
      <w:r w:rsidR="00D77C08" w:rsidRPr="00C2660E">
        <w:rPr>
          <w:lang w:val="en-CA"/>
        </w:rPr>
        <w:t>identif</w:t>
      </w:r>
      <w:r w:rsidR="009B4D1D">
        <w:rPr>
          <w:lang w:val="en-CA"/>
        </w:rPr>
        <w:t>ies</w:t>
      </w:r>
      <w:r w:rsidR="00D77C08" w:rsidRPr="00C2660E">
        <w:rPr>
          <w:lang w:val="en-CA"/>
        </w:rPr>
        <w:t xml:space="preserve"> the holder of statutory authorization, when it must be the </w:t>
      </w:r>
      <w:r w:rsidR="006911D2" w:rsidRPr="009B4D1D">
        <w:rPr>
          <w:i/>
          <w:iCs/>
          <w:lang w:val="en-CA"/>
        </w:rPr>
        <w:t>ECA</w:t>
      </w:r>
      <w:r w:rsidR="00D77C08" w:rsidRPr="00C2660E">
        <w:rPr>
          <w:lang w:val="en-CA"/>
        </w:rPr>
        <w:t>.</w:t>
      </w:r>
    </w:p>
    <w:p w14:paraId="1E5C3314" w14:textId="1DDAB366" w:rsidR="0072362A" w:rsidRPr="00105125" w:rsidRDefault="004A7BFD" w:rsidP="0072362A">
      <w:pPr>
        <w:pStyle w:val="Citationenretrait"/>
        <w:rPr>
          <w:lang w:val="en-CA"/>
        </w:rPr>
      </w:pPr>
      <w:r w:rsidRPr="00105125">
        <w:rPr>
          <w:lang w:val="en-CA"/>
        </w:rPr>
        <w:t>[35]</w:t>
      </w:r>
      <w:r w:rsidRPr="00105125">
        <w:rPr>
          <w:lang w:val="en-CA"/>
        </w:rPr>
        <w:tab/>
      </w:r>
      <w:r w:rsidR="00D77C08" w:rsidRPr="00105125">
        <w:rPr>
          <w:lang w:val="en-CA"/>
        </w:rPr>
        <w:t xml:space="preserve">In the circumstances, the Court </w:t>
      </w:r>
      <w:r w:rsidR="00E81C8B">
        <w:rPr>
          <w:lang w:val="en-CA"/>
        </w:rPr>
        <w:t xml:space="preserve">is of the view </w:t>
      </w:r>
      <w:r w:rsidR="00D77C08" w:rsidRPr="00105125">
        <w:rPr>
          <w:lang w:val="en-CA"/>
        </w:rPr>
        <w:t xml:space="preserve">that the government does not have the authority to enact section 3 </w:t>
      </w:r>
      <w:r w:rsidR="00AD6235">
        <w:rPr>
          <w:kern w:val="28"/>
          <w:lang w:val="en-CA"/>
        </w:rPr>
        <w:t xml:space="preserve">of the </w:t>
      </w:r>
      <w:r w:rsidR="00D77C08" w:rsidRPr="00105125">
        <w:rPr>
          <w:i/>
          <w:lang w:val="en-CA"/>
        </w:rPr>
        <w:t>RCR</w:t>
      </w:r>
      <w:r w:rsidR="00D77C08" w:rsidRPr="00105125">
        <w:rPr>
          <w:lang w:val="en-CA"/>
        </w:rPr>
        <w:t xml:space="preserve"> </w:t>
      </w:r>
      <w:r w:rsidR="00697FDE">
        <w:rPr>
          <w:lang w:val="en-CA"/>
        </w:rPr>
        <w:t>determining</w:t>
      </w:r>
      <w:r w:rsidR="00697FDE" w:rsidRPr="00105125">
        <w:rPr>
          <w:lang w:val="en-CA"/>
        </w:rPr>
        <w:t xml:space="preserve"> </w:t>
      </w:r>
      <w:r w:rsidR="00D77C08" w:rsidRPr="00105125">
        <w:rPr>
          <w:lang w:val="en-CA"/>
        </w:rPr>
        <w:t xml:space="preserve">the categories of persons </w:t>
      </w:r>
      <w:r w:rsidR="00E81C8B">
        <w:rPr>
          <w:lang w:val="en-CA"/>
        </w:rPr>
        <w:t xml:space="preserve">who could benefit from </w:t>
      </w:r>
      <w:r w:rsidR="00D77C08" w:rsidRPr="00105125">
        <w:rPr>
          <w:lang w:val="en-CA"/>
        </w:rPr>
        <w:t xml:space="preserve">the reduced contribution; section 3 of the </w:t>
      </w:r>
      <w:r w:rsidR="00D77C08" w:rsidRPr="00105125">
        <w:rPr>
          <w:i/>
          <w:lang w:val="en-CA"/>
        </w:rPr>
        <w:t>Regulation</w:t>
      </w:r>
      <w:r w:rsidR="00D77C08" w:rsidRPr="00105125">
        <w:rPr>
          <w:lang w:val="en-CA"/>
        </w:rPr>
        <w:t xml:space="preserve"> </w:t>
      </w:r>
      <w:r w:rsidR="001E4238">
        <w:rPr>
          <w:lang w:val="en-CA"/>
        </w:rPr>
        <w:t xml:space="preserve">will </w:t>
      </w:r>
      <w:r w:rsidR="00D77C08" w:rsidRPr="00105125">
        <w:rPr>
          <w:lang w:val="en-CA"/>
        </w:rPr>
        <w:t xml:space="preserve">therefore </w:t>
      </w:r>
      <w:r w:rsidR="001E4238">
        <w:rPr>
          <w:lang w:val="en-CA"/>
        </w:rPr>
        <w:t xml:space="preserve">be </w:t>
      </w:r>
      <w:r w:rsidR="00D77C08" w:rsidRPr="00105125">
        <w:rPr>
          <w:lang w:val="en-CA"/>
        </w:rPr>
        <w:t xml:space="preserve">declared </w:t>
      </w:r>
      <w:r w:rsidR="00D77C08" w:rsidRPr="00105125">
        <w:rPr>
          <w:i/>
          <w:lang w:val="en-CA"/>
        </w:rPr>
        <w:t>ultra vires</w:t>
      </w:r>
      <w:r w:rsidR="00D77C08" w:rsidRPr="00105125">
        <w:rPr>
          <w:lang w:val="en-CA"/>
        </w:rPr>
        <w:t>.</w:t>
      </w:r>
      <w:r w:rsidRPr="00105125">
        <w:rPr>
          <w:rStyle w:val="Appelnotedebasdep"/>
          <w:lang w:val="en-CA"/>
        </w:rPr>
        <w:footnoteReference w:id="14"/>
      </w:r>
    </w:p>
    <w:p w14:paraId="522038EB" w14:textId="7035F7C8" w:rsidR="0072362A" w:rsidRPr="00105125" w:rsidRDefault="00D77C08" w:rsidP="00AD265D">
      <w:pPr>
        <w:pStyle w:val="Citationenretrait"/>
        <w:jc w:val="right"/>
        <w:rPr>
          <w:lang w:val="en-CA"/>
        </w:rPr>
      </w:pPr>
      <w:r w:rsidRPr="00105125">
        <w:rPr>
          <w:rFonts w:cs="Arial"/>
          <w:lang w:val="en-CA"/>
        </w:rPr>
        <w:t xml:space="preserve">[Emphasis in the original; </w:t>
      </w:r>
      <w:r w:rsidR="00EE7468">
        <w:rPr>
          <w:rFonts w:cs="Arial"/>
          <w:lang w:val="en-CA"/>
        </w:rPr>
        <w:t>references</w:t>
      </w:r>
      <w:r w:rsidRPr="00105125">
        <w:rPr>
          <w:rFonts w:cs="Arial"/>
          <w:lang w:val="en-CA"/>
        </w:rPr>
        <w:t xml:space="preserve"> omitted]</w:t>
      </w:r>
    </w:p>
    <w:p w14:paraId="3934781F" w14:textId="32E8677F" w:rsidR="0072362A" w:rsidRPr="00105125" w:rsidRDefault="00D77C08" w:rsidP="00AD265D">
      <w:pPr>
        <w:pStyle w:val="Paragraphe"/>
        <w:spacing w:line="280" w:lineRule="exact"/>
        <w:rPr>
          <w:lang w:val="en-CA"/>
        </w:rPr>
      </w:pPr>
      <w:r w:rsidRPr="00105125">
        <w:rPr>
          <w:lang w:val="en-CA"/>
        </w:rPr>
        <w:t xml:space="preserve">The judge </w:t>
      </w:r>
      <w:r w:rsidR="00697FDE">
        <w:rPr>
          <w:lang w:val="en-CA"/>
        </w:rPr>
        <w:t>concluded</w:t>
      </w:r>
      <w:r w:rsidR="00697FDE" w:rsidRPr="00105125">
        <w:rPr>
          <w:lang w:val="en-CA"/>
        </w:rPr>
        <w:t xml:space="preserve"> </w:t>
      </w:r>
      <w:r w:rsidRPr="00105125">
        <w:rPr>
          <w:lang w:val="en-CA"/>
        </w:rPr>
        <w:t xml:space="preserve">that section 106(26) </w:t>
      </w:r>
      <w:r w:rsidR="00AD6235">
        <w:rPr>
          <w:lang w:val="en-CA"/>
        </w:rPr>
        <w:t xml:space="preserve">of the </w:t>
      </w:r>
      <w:r w:rsidRPr="00105125">
        <w:rPr>
          <w:i/>
          <w:lang w:val="en-CA"/>
        </w:rPr>
        <w:t>ECA</w:t>
      </w:r>
      <w:r w:rsidRPr="00105125">
        <w:rPr>
          <w:lang w:val="en-CA"/>
        </w:rPr>
        <w:t xml:space="preserve"> does not </w:t>
      </w:r>
      <w:r w:rsidR="001E4238">
        <w:rPr>
          <w:lang w:val="en-CA"/>
        </w:rPr>
        <w:t>empower</w:t>
      </w:r>
      <w:r w:rsidRPr="00105125">
        <w:rPr>
          <w:lang w:val="en-CA"/>
        </w:rPr>
        <w:t xml:space="preserve"> the government to make a regulation determining </w:t>
      </w:r>
      <w:r w:rsidR="001E4238">
        <w:rPr>
          <w:lang w:val="en-CA"/>
        </w:rPr>
        <w:t xml:space="preserve">the </w:t>
      </w:r>
      <w:r w:rsidRPr="00105125">
        <w:rPr>
          <w:lang w:val="en-CA"/>
        </w:rPr>
        <w:t xml:space="preserve">eligibility </w:t>
      </w:r>
      <w:r w:rsidR="001E4238">
        <w:rPr>
          <w:lang w:val="en-CA"/>
        </w:rPr>
        <w:t xml:space="preserve">conditions </w:t>
      </w:r>
      <w:r w:rsidRPr="00105125">
        <w:rPr>
          <w:lang w:val="en-CA"/>
        </w:rPr>
        <w:t>for the reduced contribution.</w:t>
      </w:r>
      <w:r w:rsidR="004A7BFD" w:rsidRPr="00105125">
        <w:rPr>
          <w:lang w:val="en-CA"/>
        </w:rPr>
        <w:t xml:space="preserve"> </w:t>
      </w:r>
      <w:r w:rsidRPr="00105125">
        <w:rPr>
          <w:lang w:val="en-CA"/>
        </w:rPr>
        <w:t xml:space="preserve">Nor did he find </w:t>
      </w:r>
      <w:r w:rsidR="00697FDE">
        <w:rPr>
          <w:lang w:val="en-CA"/>
        </w:rPr>
        <w:t xml:space="preserve">indirect </w:t>
      </w:r>
      <w:r w:rsidR="00354C2E">
        <w:rPr>
          <w:lang w:val="en-CA"/>
        </w:rPr>
        <w:t xml:space="preserve">statutory </w:t>
      </w:r>
      <w:r w:rsidR="00697FDE">
        <w:rPr>
          <w:lang w:val="en-CA"/>
        </w:rPr>
        <w:t>authorization in</w:t>
      </w:r>
      <w:r w:rsidR="00697FDE" w:rsidRPr="00105125">
        <w:rPr>
          <w:lang w:val="en-CA"/>
        </w:rPr>
        <w:t xml:space="preserve"> </w:t>
      </w:r>
      <w:r w:rsidRPr="00105125">
        <w:rPr>
          <w:lang w:val="en-CA"/>
        </w:rPr>
        <w:t>section 42(4).</w:t>
      </w:r>
    </w:p>
    <w:p w14:paraId="2CF1148E" w14:textId="6F2C455D" w:rsidR="0072362A" w:rsidRPr="00105125" w:rsidRDefault="00D77C08" w:rsidP="00AD265D">
      <w:pPr>
        <w:pStyle w:val="Paragraphe"/>
        <w:spacing w:line="280" w:lineRule="exact"/>
        <w:rPr>
          <w:lang w:val="en-CA"/>
        </w:rPr>
      </w:pPr>
      <w:r w:rsidRPr="00105125">
        <w:rPr>
          <w:lang w:val="en-CA"/>
        </w:rPr>
        <w:t xml:space="preserve">In my view, the judge made a reviewable error in declaring section 3 </w:t>
      </w:r>
      <w:r w:rsidR="00AD6235">
        <w:rPr>
          <w:lang w:val="en-CA"/>
        </w:rPr>
        <w:t xml:space="preserve">of the </w:t>
      </w:r>
      <w:r w:rsidRPr="00105125">
        <w:rPr>
          <w:i/>
          <w:lang w:val="en-CA"/>
        </w:rPr>
        <w:t>RCR</w:t>
      </w:r>
      <w:r w:rsidRPr="00105125">
        <w:rPr>
          <w:lang w:val="en-CA"/>
        </w:rPr>
        <w:t xml:space="preserve"> </w:t>
      </w:r>
      <w:r w:rsidRPr="00105125">
        <w:rPr>
          <w:i/>
          <w:lang w:val="en-CA"/>
        </w:rPr>
        <w:t>ultra vires</w:t>
      </w:r>
      <w:r w:rsidRPr="00105125">
        <w:rPr>
          <w:lang w:val="en-CA"/>
        </w:rPr>
        <w:t>.</w:t>
      </w:r>
    </w:p>
    <w:p w14:paraId="37AE5684" w14:textId="511B7E1D" w:rsidR="0072362A" w:rsidRPr="00105125" w:rsidRDefault="00D77C08" w:rsidP="00AD265D">
      <w:pPr>
        <w:pStyle w:val="Paragraphe"/>
        <w:spacing w:line="280" w:lineRule="exact"/>
        <w:rPr>
          <w:lang w:val="en-CA"/>
        </w:rPr>
      </w:pPr>
      <w:r w:rsidRPr="00105125">
        <w:rPr>
          <w:lang w:val="en-CA"/>
        </w:rPr>
        <w:t xml:space="preserve">Section 3 </w:t>
      </w:r>
      <w:r w:rsidR="00AD6235">
        <w:rPr>
          <w:lang w:val="en-CA"/>
        </w:rPr>
        <w:t xml:space="preserve">of the </w:t>
      </w:r>
      <w:r w:rsidRPr="00105125">
        <w:rPr>
          <w:i/>
          <w:lang w:val="en-CA"/>
        </w:rPr>
        <w:t>RCR</w:t>
      </w:r>
      <w:r w:rsidRPr="00105125">
        <w:rPr>
          <w:lang w:val="en-CA"/>
        </w:rPr>
        <w:t xml:space="preserve"> </w:t>
      </w:r>
      <w:r w:rsidR="001E4238">
        <w:rPr>
          <w:lang w:val="en-CA"/>
        </w:rPr>
        <w:t xml:space="preserve">states </w:t>
      </w:r>
      <w:r w:rsidRPr="00105125">
        <w:rPr>
          <w:lang w:val="en-CA"/>
        </w:rPr>
        <w:t>which parents residing in Quebec are eligible for the reduced contribution to access subsidized childcare services</w:t>
      </w:r>
      <w:r w:rsidR="001E4238">
        <w:rPr>
          <w:lang w:val="en-CA"/>
        </w:rPr>
        <w:t xml:space="preserve"> for their children</w:t>
      </w:r>
      <w:r w:rsidRPr="00105125">
        <w:rPr>
          <w:lang w:val="en-CA"/>
        </w:rPr>
        <w:t>:</w:t>
      </w:r>
    </w:p>
    <w:tbl>
      <w:tblPr>
        <w:tblW w:w="0" w:type="auto"/>
        <w:tblCellMar>
          <w:left w:w="70" w:type="dxa"/>
          <w:right w:w="70" w:type="dxa"/>
        </w:tblCellMar>
        <w:tblLook w:val="0000" w:firstRow="0" w:lastRow="0" w:firstColumn="0" w:lastColumn="0" w:noHBand="0" w:noVBand="0"/>
      </w:tblPr>
      <w:tblGrid>
        <w:gridCol w:w="4680"/>
        <w:gridCol w:w="4680"/>
      </w:tblGrid>
      <w:tr w:rsidR="004E175C" w:rsidRPr="00105125" w14:paraId="39EE2F55" w14:textId="5F91EAC7" w:rsidTr="00F90F4E">
        <w:tc>
          <w:tcPr>
            <w:tcW w:w="4680" w:type="dxa"/>
          </w:tcPr>
          <w:p w14:paraId="33F40B01" w14:textId="77777777" w:rsidR="004E175C" w:rsidRPr="00105125" w:rsidRDefault="004E175C" w:rsidP="00EE7468">
            <w:pPr>
              <w:ind w:left="638" w:right="219"/>
              <w:jc w:val="both"/>
              <w:rPr>
                <w:sz w:val="22"/>
                <w:lang w:val="en-CA"/>
              </w:rPr>
            </w:pPr>
            <w:r w:rsidRPr="00105125">
              <w:rPr>
                <w:b/>
                <w:bCs/>
                <w:sz w:val="22"/>
                <w:lang w:val="en-CA"/>
              </w:rPr>
              <w:t>3.</w:t>
            </w:r>
            <w:r w:rsidRPr="00105125">
              <w:rPr>
                <w:sz w:val="22"/>
                <w:lang w:val="en-CA"/>
              </w:rPr>
              <w:t xml:space="preserve"> A parent residing in Québec who meets any of the following conditions is eligible for the reduced contribution:</w:t>
            </w:r>
          </w:p>
          <w:p w14:paraId="3456E3EE" w14:textId="77777777" w:rsidR="004E175C" w:rsidRPr="00105125" w:rsidRDefault="004E175C" w:rsidP="00EE7468">
            <w:pPr>
              <w:ind w:left="638" w:right="219"/>
              <w:jc w:val="both"/>
              <w:rPr>
                <w:sz w:val="22"/>
                <w:lang w:val="en-CA"/>
              </w:rPr>
            </w:pPr>
          </w:p>
          <w:p w14:paraId="0472EEA4" w14:textId="77777777" w:rsidR="004E175C" w:rsidRPr="00105125" w:rsidRDefault="004E175C" w:rsidP="00EE7468">
            <w:pPr>
              <w:ind w:left="638" w:right="219"/>
              <w:jc w:val="both"/>
              <w:rPr>
                <w:sz w:val="22"/>
                <w:lang w:val="en-CA"/>
              </w:rPr>
            </w:pPr>
          </w:p>
          <w:p w14:paraId="4839C080" w14:textId="77777777" w:rsidR="004E175C" w:rsidRPr="00105125" w:rsidRDefault="004E175C" w:rsidP="00EE7468">
            <w:pPr>
              <w:numPr>
                <w:ilvl w:val="0"/>
                <w:numId w:val="22"/>
              </w:numPr>
              <w:ind w:left="638" w:right="219" w:firstLine="0"/>
              <w:jc w:val="both"/>
              <w:rPr>
                <w:sz w:val="22"/>
                <w:lang w:val="en-CA"/>
              </w:rPr>
            </w:pPr>
            <w:r w:rsidRPr="00105125">
              <w:rPr>
                <w:sz w:val="22"/>
                <w:lang w:val="en-CA"/>
              </w:rPr>
              <w:t>the parent is a Canadian citizen;</w:t>
            </w:r>
          </w:p>
          <w:p w14:paraId="6A9ACDCE" w14:textId="77777777" w:rsidR="004E175C" w:rsidRPr="00105125" w:rsidRDefault="004E175C" w:rsidP="00EE7468">
            <w:pPr>
              <w:ind w:left="638" w:right="219"/>
              <w:jc w:val="both"/>
              <w:rPr>
                <w:sz w:val="22"/>
                <w:lang w:val="en-CA"/>
              </w:rPr>
            </w:pPr>
          </w:p>
          <w:p w14:paraId="4FD659D6" w14:textId="77777777" w:rsidR="004E175C" w:rsidRPr="00105125" w:rsidRDefault="004E175C" w:rsidP="00EE7468">
            <w:pPr>
              <w:ind w:left="638" w:right="219"/>
              <w:jc w:val="both"/>
              <w:rPr>
                <w:sz w:val="22"/>
                <w:lang w:val="en-CA"/>
              </w:rPr>
            </w:pPr>
            <w:r w:rsidRPr="00105125">
              <w:rPr>
                <w:sz w:val="22"/>
                <w:lang w:val="en-CA"/>
              </w:rPr>
              <w:t xml:space="preserve">(2) the parent is a permanent resident within the meaning of the Immigration </w:t>
            </w:r>
            <w:r w:rsidRPr="00105125">
              <w:rPr>
                <w:sz w:val="22"/>
                <w:lang w:val="en-CA"/>
              </w:rPr>
              <w:lastRenderedPageBreak/>
              <w:t>and Refugee Protection Act (S.C. 2001, c. 27);</w:t>
            </w:r>
          </w:p>
          <w:p w14:paraId="6D414633" w14:textId="77777777" w:rsidR="004E175C" w:rsidRPr="00105125" w:rsidRDefault="004E175C" w:rsidP="00EE7468">
            <w:pPr>
              <w:ind w:left="638" w:right="219"/>
              <w:jc w:val="both"/>
              <w:rPr>
                <w:sz w:val="22"/>
                <w:lang w:val="en-CA"/>
              </w:rPr>
            </w:pPr>
          </w:p>
          <w:p w14:paraId="7C2EFC19" w14:textId="77777777" w:rsidR="004E175C" w:rsidRPr="00105125" w:rsidRDefault="004E175C" w:rsidP="00EE7468">
            <w:pPr>
              <w:ind w:left="638" w:right="219"/>
              <w:jc w:val="both"/>
              <w:rPr>
                <w:sz w:val="22"/>
                <w:lang w:val="en-CA"/>
              </w:rPr>
            </w:pPr>
            <w:r w:rsidRPr="00105125">
              <w:rPr>
                <w:sz w:val="22"/>
                <w:lang w:val="en-CA"/>
              </w:rPr>
              <w:t>(3) the parent is staying in Québec primarily for work purposes and holds a work permit issued under the Immigration and Refugee Protection Act or is exempted from holding such a permit under that Act;</w:t>
            </w:r>
          </w:p>
          <w:p w14:paraId="318A48BD" w14:textId="77777777" w:rsidR="004E175C" w:rsidRPr="00105125" w:rsidRDefault="004E175C" w:rsidP="00EE7468">
            <w:pPr>
              <w:ind w:left="638" w:right="219"/>
              <w:jc w:val="both"/>
              <w:rPr>
                <w:sz w:val="22"/>
                <w:lang w:val="en-CA"/>
              </w:rPr>
            </w:pPr>
          </w:p>
          <w:p w14:paraId="211545AA" w14:textId="77777777" w:rsidR="004E175C" w:rsidRPr="00105125" w:rsidRDefault="004E175C" w:rsidP="00D535EC">
            <w:pPr>
              <w:ind w:right="219"/>
              <w:jc w:val="both"/>
              <w:rPr>
                <w:sz w:val="22"/>
                <w:lang w:val="en-CA"/>
              </w:rPr>
            </w:pPr>
          </w:p>
          <w:p w14:paraId="481E5DC7" w14:textId="55465592" w:rsidR="004E175C" w:rsidRPr="00105125" w:rsidRDefault="004E175C" w:rsidP="00EE7468">
            <w:pPr>
              <w:ind w:left="638" w:right="219"/>
              <w:jc w:val="both"/>
              <w:rPr>
                <w:sz w:val="22"/>
                <w:lang w:val="en-CA"/>
              </w:rPr>
            </w:pPr>
          </w:p>
          <w:p w14:paraId="50007F06" w14:textId="77777777" w:rsidR="004E175C" w:rsidRPr="00105125" w:rsidRDefault="004E175C" w:rsidP="00EE7468">
            <w:pPr>
              <w:ind w:left="638" w:right="219"/>
              <w:jc w:val="both"/>
              <w:rPr>
                <w:sz w:val="22"/>
                <w:lang w:val="en-CA"/>
              </w:rPr>
            </w:pPr>
            <w:r w:rsidRPr="00105125">
              <w:rPr>
                <w:sz w:val="22"/>
                <w:lang w:val="en-CA"/>
              </w:rPr>
              <w:t>(4) the parent is a foreign student holding a certificate of acceptance issued under the Québec Immigration Act (chapter I-0.2.1) and is receiving a scholarship from the Government of Québec pursuant to the policy applying to foreign students in Québec colleges and universities;</w:t>
            </w:r>
          </w:p>
          <w:p w14:paraId="3E15D9F4" w14:textId="77777777" w:rsidR="004E175C" w:rsidRPr="00105125" w:rsidRDefault="004E175C" w:rsidP="00EE7468">
            <w:pPr>
              <w:ind w:left="638" w:right="219"/>
              <w:jc w:val="both"/>
              <w:rPr>
                <w:sz w:val="22"/>
                <w:lang w:val="en-CA"/>
              </w:rPr>
            </w:pPr>
          </w:p>
          <w:p w14:paraId="67573822" w14:textId="77777777" w:rsidR="004E175C" w:rsidRPr="00105125" w:rsidRDefault="004E175C" w:rsidP="00EE7468">
            <w:pPr>
              <w:ind w:left="638" w:right="219"/>
              <w:jc w:val="both"/>
              <w:rPr>
                <w:sz w:val="22"/>
                <w:lang w:val="en-CA"/>
              </w:rPr>
            </w:pPr>
          </w:p>
          <w:p w14:paraId="18117008" w14:textId="77777777" w:rsidR="004E175C" w:rsidRPr="00105125" w:rsidRDefault="004E175C" w:rsidP="00EE7468">
            <w:pPr>
              <w:ind w:left="638" w:right="219"/>
              <w:jc w:val="both"/>
              <w:rPr>
                <w:sz w:val="22"/>
                <w:lang w:val="en-CA"/>
              </w:rPr>
            </w:pPr>
            <w:r w:rsidRPr="00105125">
              <w:rPr>
                <w:sz w:val="22"/>
                <w:lang w:val="en-CA"/>
              </w:rPr>
              <w:t>(5) the parent is recognized by a court in Canada of competent jurisdiction as a refugee or protected person within the meaning of the Immigration and Refugee Protection Act and holds a selection certificate issued under section 3.1 of the Québec Immigration Act;</w:t>
            </w:r>
          </w:p>
          <w:p w14:paraId="7003AA29" w14:textId="77777777" w:rsidR="004E175C" w:rsidRPr="00105125" w:rsidRDefault="004E175C" w:rsidP="00EE7468">
            <w:pPr>
              <w:ind w:left="638" w:right="219"/>
              <w:jc w:val="both"/>
              <w:rPr>
                <w:sz w:val="22"/>
                <w:lang w:val="en-CA"/>
              </w:rPr>
            </w:pPr>
          </w:p>
          <w:p w14:paraId="57A3DD21" w14:textId="77777777" w:rsidR="004E175C" w:rsidRPr="00105125" w:rsidRDefault="004E175C" w:rsidP="00EE7468">
            <w:pPr>
              <w:ind w:left="638" w:right="219"/>
              <w:jc w:val="both"/>
              <w:rPr>
                <w:sz w:val="22"/>
                <w:lang w:val="en-CA"/>
              </w:rPr>
            </w:pPr>
            <w:r w:rsidRPr="00105125">
              <w:rPr>
                <w:sz w:val="22"/>
                <w:lang w:val="en-CA"/>
              </w:rPr>
              <w:t>(6) the Minister of Citizenship and Immigration has granted protection to the parent under the Immigration and Refugee Protection Act and the parent holds the selection certificate referred to in paragraph 5;</w:t>
            </w:r>
          </w:p>
          <w:p w14:paraId="44672D1B" w14:textId="77777777" w:rsidR="004E175C" w:rsidRPr="00105125" w:rsidRDefault="004E175C" w:rsidP="00EE7468">
            <w:pPr>
              <w:ind w:left="638" w:right="219"/>
              <w:jc w:val="both"/>
              <w:rPr>
                <w:sz w:val="22"/>
                <w:lang w:val="en-CA"/>
              </w:rPr>
            </w:pPr>
          </w:p>
          <w:p w14:paraId="453A30C9" w14:textId="77777777" w:rsidR="004E175C" w:rsidRPr="00105125" w:rsidRDefault="004E175C" w:rsidP="00EE7468">
            <w:pPr>
              <w:ind w:left="638" w:right="219"/>
              <w:jc w:val="both"/>
              <w:rPr>
                <w:sz w:val="22"/>
                <w:lang w:val="en-CA"/>
              </w:rPr>
            </w:pPr>
            <w:r w:rsidRPr="00105125">
              <w:rPr>
                <w:sz w:val="22"/>
                <w:lang w:val="en-CA"/>
              </w:rPr>
              <w:t xml:space="preserve">(7) the parent holds a temporary resident permit issued under section 24 of the Immigration and Refugee Protection Act in view of the granting of permanent residence and holds the </w:t>
            </w:r>
            <w:r w:rsidRPr="00105125">
              <w:rPr>
                <w:sz w:val="22"/>
                <w:lang w:val="en-CA"/>
              </w:rPr>
              <w:lastRenderedPageBreak/>
              <w:t>selection certificate referred to in paragraph 5; or</w:t>
            </w:r>
          </w:p>
          <w:p w14:paraId="646E6FE6" w14:textId="77777777" w:rsidR="004E175C" w:rsidRPr="00105125" w:rsidRDefault="004E175C" w:rsidP="00EE7468">
            <w:pPr>
              <w:ind w:left="638" w:right="219"/>
              <w:jc w:val="both"/>
              <w:rPr>
                <w:sz w:val="22"/>
                <w:lang w:val="en-CA"/>
              </w:rPr>
            </w:pPr>
          </w:p>
          <w:p w14:paraId="7BC7C56F" w14:textId="77777777" w:rsidR="004E175C" w:rsidRPr="00105125" w:rsidRDefault="004E175C" w:rsidP="00EE7468">
            <w:pPr>
              <w:ind w:left="638" w:right="219"/>
              <w:jc w:val="both"/>
              <w:rPr>
                <w:b/>
                <w:bCs/>
                <w:sz w:val="22"/>
                <w:lang w:val="en-CA"/>
              </w:rPr>
            </w:pPr>
            <w:r w:rsidRPr="00105125">
              <w:rPr>
                <w:sz w:val="22"/>
                <w:lang w:val="en-CA"/>
              </w:rPr>
              <w:t>(8) the parent is authorized to file in Canada an application for permanent residence under the Immigration and Refugee Protection Act or the Immigration and Refugee Protection Regulations (SOR/02-227) and holds the selection certificate referred to in paragraph 5.</w:t>
            </w:r>
          </w:p>
        </w:tc>
        <w:tc>
          <w:tcPr>
            <w:tcW w:w="4680" w:type="dxa"/>
          </w:tcPr>
          <w:p w14:paraId="3610872A" w14:textId="77777777" w:rsidR="004E175C" w:rsidRPr="001444DD" w:rsidRDefault="004E175C" w:rsidP="00EE7468">
            <w:pPr>
              <w:ind w:left="74" w:right="642"/>
              <w:jc w:val="both"/>
              <w:rPr>
                <w:sz w:val="22"/>
              </w:rPr>
            </w:pPr>
            <w:r w:rsidRPr="001444DD">
              <w:rPr>
                <w:b/>
                <w:bCs/>
                <w:sz w:val="22"/>
              </w:rPr>
              <w:lastRenderedPageBreak/>
              <w:t>3.</w:t>
            </w:r>
            <w:r w:rsidRPr="001444DD">
              <w:rPr>
                <w:sz w:val="22"/>
              </w:rPr>
              <w:t xml:space="preserve"> Est admissible au paiement de la contribution réduite, le parent qui réside au Québec et qui satisfait à l’une des conditions suivantes :</w:t>
            </w:r>
          </w:p>
          <w:p w14:paraId="331E1E91" w14:textId="77777777" w:rsidR="004E175C" w:rsidRPr="001444DD" w:rsidRDefault="004E175C" w:rsidP="00EE7468">
            <w:pPr>
              <w:ind w:left="74" w:right="642"/>
              <w:jc w:val="both"/>
              <w:rPr>
                <w:sz w:val="22"/>
              </w:rPr>
            </w:pPr>
          </w:p>
          <w:p w14:paraId="25875F05" w14:textId="77777777" w:rsidR="004E175C" w:rsidRPr="001444DD" w:rsidRDefault="004E175C" w:rsidP="00EE7468">
            <w:pPr>
              <w:ind w:left="74" w:right="642"/>
              <w:jc w:val="both"/>
              <w:rPr>
                <w:sz w:val="22"/>
              </w:rPr>
            </w:pPr>
            <w:r w:rsidRPr="001444DD">
              <w:rPr>
                <w:sz w:val="22"/>
              </w:rPr>
              <w:t>1° il est citoyen canadien;</w:t>
            </w:r>
          </w:p>
          <w:p w14:paraId="5554FB16" w14:textId="77777777" w:rsidR="004E175C" w:rsidRPr="001444DD" w:rsidRDefault="004E175C" w:rsidP="00EE7468">
            <w:pPr>
              <w:ind w:left="74" w:right="642"/>
              <w:jc w:val="both"/>
              <w:rPr>
                <w:sz w:val="22"/>
              </w:rPr>
            </w:pPr>
          </w:p>
          <w:p w14:paraId="383164A4" w14:textId="4F4E1920" w:rsidR="004E175C" w:rsidRPr="001444DD" w:rsidRDefault="004E175C" w:rsidP="00EE7468">
            <w:pPr>
              <w:ind w:left="74" w:right="642"/>
              <w:jc w:val="both"/>
              <w:rPr>
                <w:sz w:val="22"/>
              </w:rPr>
            </w:pPr>
            <w:r w:rsidRPr="001444DD">
              <w:rPr>
                <w:sz w:val="22"/>
              </w:rPr>
              <w:t xml:space="preserve">2° il est résident permanent au sens de la </w:t>
            </w:r>
            <w:r w:rsidR="00115F18" w:rsidRPr="00EF302C">
              <w:rPr>
                <w:sz w:val="22"/>
              </w:rPr>
              <w:t>Loi sur l’immigration et la protection des réfugiés</w:t>
            </w:r>
            <w:r w:rsidRPr="001444DD">
              <w:rPr>
                <w:sz w:val="22"/>
              </w:rPr>
              <w:t xml:space="preserve"> (L.C. 2001, c. 27);</w:t>
            </w:r>
          </w:p>
          <w:p w14:paraId="35FED46D" w14:textId="77777777" w:rsidR="00D535EC" w:rsidRPr="001444DD" w:rsidRDefault="00D535EC" w:rsidP="00EE7468">
            <w:pPr>
              <w:ind w:left="74" w:right="642"/>
              <w:jc w:val="both"/>
              <w:rPr>
                <w:sz w:val="22"/>
              </w:rPr>
            </w:pPr>
          </w:p>
          <w:p w14:paraId="3825B00B" w14:textId="43D59D54" w:rsidR="004E175C" w:rsidRPr="001444DD" w:rsidRDefault="004E175C" w:rsidP="00EE7468">
            <w:pPr>
              <w:ind w:left="74" w:right="642"/>
              <w:jc w:val="both"/>
              <w:rPr>
                <w:sz w:val="22"/>
              </w:rPr>
            </w:pPr>
            <w:r w:rsidRPr="001444DD">
              <w:rPr>
                <w:sz w:val="22"/>
              </w:rPr>
              <w:t xml:space="preserve">3° il séjourne au Québec principalement afin d’y travailler et il est titulaire d’un permis de travail délivré conformément à la </w:t>
            </w:r>
            <w:r w:rsidR="00115F18" w:rsidRPr="00EF302C">
              <w:rPr>
                <w:sz w:val="22"/>
              </w:rPr>
              <w:t>Loi sur l’immigration et la protection des réfugiés</w:t>
            </w:r>
            <w:r w:rsidRPr="001444DD">
              <w:rPr>
                <w:sz w:val="22"/>
              </w:rPr>
              <w:t xml:space="preserve"> ou est exempté de l’obligation d’être titulaire d’un tel permis en vertu de cette loi;</w:t>
            </w:r>
          </w:p>
          <w:p w14:paraId="18DF668C" w14:textId="77777777" w:rsidR="004E175C" w:rsidRPr="001444DD" w:rsidRDefault="004E175C" w:rsidP="00EE7468">
            <w:pPr>
              <w:ind w:left="74" w:right="642"/>
              <w:jc w:val="both"/>
              <w:rPr>
                <w:sz w:val="22"/>
              </w:rPr>
            </w:pPr>
          </w:p>
          <w:p w14:paraId="4D6DC673" w14:textId="77777777" w:rsidR="004E175C" w:rsidRPr="001444DD" w:rsidRDefault="004E175C" w:rsidP="00EE7468">
            <w:pPr>
              <w:ind w:left="74" w:right="642"/>
              <w:jc w:val="both"/>
              <w:rPr>
                <w:sz w:val="22"/>
              </w:rPr>
            </w:pPr>
            <w:r w:rsidRPr="001444DD">
              <w:rPr>
                <w:sz w:val="22"/>
              </w:rPr>
              <w:t>4° il est un étudiant étranger, titulaire d’un certificat d’acceptation délivré en vertu de la Loi sur l’immigration au Québec (chapitre I-0.2.1) et récipiendaire d’une bourse d’études du gouvernement du Québec en application de la politique relative aux étudiants étrangers dans les collèges et universités du Québec;</w:t>
            </w:r>
          </w:p>
          <w:p w14:paraId="07630F75" w14:textId="77777777" w:rsidR="004E175C" w:rsidRPr="001444DD" w:rsidRDefault="004E175C" w:rsidP="00EE7468">
            <w:pPr>
              <w:ind w:left="74" w:right="642"/>
              <w:jc w:val="both"/>
              <w:rPr>
                <w:sz w:val="22"/>
              </w:rPr>
            </w:pPr>
          </w:p>
          <w:p w14:paraId="7E54C1A2" w14:textId="127FC34F" w:rsidR="004E175C" w:rsidRPr="001444DD" w:rsidRDefault="004E175C" w:rsidP="00EE7468">
            <w:pPr>
              <w:ind w:left="74" w:right="642"/>
              <w:jc w:val="both"/>
              <w:rPr>
                <w:sz w:val="22"/>
              </w:rPr>
            </w:pPr>
            <w:r w:rsidRPr="001444DD">
              <w:rPr>
                <w:sz w:val="22"/>
              </w:rPr>
              <w:t xml:space="preserve">5° il est reconnu, par le tribunal canadien compétent, comme réfugié ou personne à protéger au sens de </w:t>
            </w:r>
            <w:r w:rsidR="00115F18" w:rsidRPr="00EF302C">
              <w:rPr>
                <w:sz w:val="22"/>
              </w:rPr>
              <w:t>Loi sur l’immigration et la protection des réfugiés</w:t>
            </w:r>
            <w:r w:rsidRPr="001444DD">
              <w:rPr>
                <w:sz w:val="22"/>
              </w:rPr>
              <w:t xml:space="preserve"> et il est titulaire d’un certificat de sélection délivré en vertu de l’article 3.1 de la Loi sur l’immigration au Québec;</w:t>
            </w:r>
          </w:p>
          <w:p w14:paraId="149564A8" w14:textId="77777777" w:rsidR="004E175C" w:rsidRPr="001444DD" w:rsidRDefault="004E175C" w:rsidP="00EE7468">
            <w:pPr>
              <w:ind w:left="74" w:right="642"/>
              <w:jc w:val="both"/>
              <w:rPr>
                <w:sz w:val="22"/>
              </w:rPr>
            </w:pPr>
          </w:p>
          <w:p w14:paraId="42433DCC" w14:textId="6FB5D958" w:rsidR="004E175C" w:rsidRPr="001444DD" w:rsidRDefault="004E175C" w:rsidP="00EE7468">
            <w:pPr>
              <w:ind w:left="74" w:right="642"/>
              <w:jc w:val="both"/>
              <w:rPr>
                <w:sz w:val="22"/>
              </w:rPr>
            </w:pPr>
            <w:r w:rsidRPr="001444DD">
              <w:rPr>
                <w:sz w:val="22"/>
              </w:rPr>
              <w:t xml:space="preserve">6° le ministre de la Citoyenneté et de l’Immigration lui a accordé la protection en vertu de la </w:t>
            </w:r>
            <w:r w:rsidR="00115F18" w:rsidRPr="00EF302C">
              <w:rPr>
                <w:sz w:val="22"/>
              </w:rPr>
              <w:t>Loi sur l’immigration et la protection des réfugiés</w:t>
            </w:r>
            <w:r w:rsidR="00115F18" w:rsidRPr="001444DD" w:rsidDel="00115F18">
              <w:rPr>
                <w:sz w:val="22"/>
              </w:rPr>
              <w:t xml:space="preserve"> </w:t>
            </w:r>
            <w:r w:rsidRPr="001444DD">
              <w:rPr>
                <w:sz w:val="22"/>
              </w:rPr>
              <w:t>et il est titulaire du certificat de sélection visé au paragraphe 5;</w:t>
            </w:r>
          </w:p>
          <w:p w14:paraId="28A6A0DD" w14:textId="77777777" w:rsidR="004E175C" w:rsidRPr="001444DD" w:rsidRDefault="004E175C" w:rsidP="00EE7468">
            <w:pPr>
              <w:ind w:left="74" w:right="642"/>
              <w:jc w:val="both"/>
              <w:rPr>
                <w:sz w:val="22"/>
              </w:rPr>
            </w:pPr>
          </w:p>
          <w:p w14:paraId="1B760B64" w14:textId="6F237159" w:rsidR="004E175C" w:rsidRPr="001444DD" w:rsidRDefault="004E175C" w:rsidP="00EE7468">
            <w:pPr>
              <w:ind w:left="74" w:right="642"/>
              <w:jc w:val="both"/>
              <w:rPr>
                <w:sz w:val="22"/>
              </w:rPr>
            </w:pPr>
            <w:r w:rsidRPr="001444DD">
              <w:rPr>
                <w:sz w:val="22"/>
              </w:rPr>
              <w:t xml:space="preserve">7° il est titulaire d’un permis de séjour temporaire délivré en vertu de l’article 24 de la </w:t>
            </w:r>
            <w:r w:rsidR="00115F18" w:rsidRPr="00EF302C">
              <w:rPr>
                <w:sz w:val="22"/>
              </w:rPr>
              <w:t>Loi sur l’immigration et la protection des réfugiés</w:t>
            </w:r>
            <w:r w:rsidR="00115F18" w:rsidRPr="001444DD" w:rsidDel="00115F18">
              <w:rPr>
                <w:sz w:val="22"/>
              </w:rPr>
              <w:t xml:space="preserve"> </w:t>
            </w:r>
            <w:r w:rsidRPr="001444DD">
              <w:rPr>
                <w:sz w:val="22"/>
              </w:rPr>
              <w:t>en vue de l’octroi éventuel de la résidence permanente et du certificat de sélection visé au paragraphe 5;</w:t>
            </w:r>
          </w:p>
          <w:p w14:paraId="1A9FAB49" w14:textId="77777777" w:rsidR="004E175C" w:rsidRPr="001444DD" w:rsidRDefault="004E175C" w:rsidP="00EE7468">
            <w:pPr>
              <w:ind w:left="74" w:right="642"/>
              <w:jc w:val="both"/>
              <w:rPr>
                <w:sz w:val="22"/>
              </w:rPr>
            </w:pPr>
          </w:p>
          <w:p w14:paraId="7BE8AD01" w14:textId="77C83717" w:rsidR="004E175C" w:rsidRPr="001444DD" w:rsidRDefault="004E175C" w:rsidP="00EE7468">
            <w:pPr>
              <w:ind w:left="74" w:right="642"/>
              <w:jc w:val="both"/>
              <w:rPr>
                <w:b/>
                <w:bCs/>
                <w:sz w:val="22"/>
              </w:rPr>
            </w:pPr>
            <w:r w:rsidRPr="001444DD">
              <w:rPr>
                <w:sz w:val="22"/>
              </w:rPr>
              <w:lastRenderedPageBreak/>
              <w:t xml:space="preserve">8° il est autorisé à soumettre au Canada une demande de résidence permanente en vertu de la </w:t>
            </w:r>
            <w:r w:rsidR="00115F18" w:rsidRPr="00EF302C">
              <w:rPr>
                <w:sz w:val="22"/>
              </w:rPr>
              <w:t>Loi sur l’immigration et la protection des réfugiés</w:t>
            </w:r>
            <w:r w:rsidR="00115F18" w:rsidRPr="001444DD" w:rsidDel="00115F18">
              <w:rPr>
                <w:sz w:val="22"/>
              </w:rPr>
              <w:t xml:space="preserve"> </w:t>
            </w:r>
            <w:r w:rsidRPr="001444DD">
              <w:rPr>
                <w:sz w:val="22"/>
              </w:rPr>
              <w:t>ou du Règlement sur l’immigration et la protection des réfugiés (DORS/02-227) et il est titulaire du certificat de sélection visé au paragraphe 5.</w:t>
            </w:r>
          </w:p>
        </w:tc>
      </w:tr>
    </w:tbl>
    <w:p w14:paraId="019A9B09" w14:textId="3FC98068" w:rsidR="0072362A" w:rsidRPr="00105125" w:rsidRDefault="004A7BFD" w:rsidP="00765C6A">
      <w:pPr>
        <w:pStyle w:val="Paragraphe"/>
        <w:keepNext/>
        <w:spacing w:before="240" w:line="280" w:lineRule="exact"/>
        <w:rPr>
          <w:lang w:val="en-CA"/>
        </w:rPr>
      </w:pPr>
      <w:r w:rsidRPr="00105125">
        <w:rPr>
          <w:lang w:val="en-CA"/>
        </w:rPr>
        <w:lastRenderedPageBreak/>
        <w:t xml:space="preserve">The trial judge did not </w:t>
      </w:r>
      <w:r w:rsidR="00647DEB">
        <w:rPr>
          <w:lang w:val="en-CA"/>
        </w:rPr>
        <w:t xml:space="preserve">rule on </w:t>
      </w:r>
      <w:r w:rsidRPr="00105125">
        <w:rPr>
          <w:lang w:val="en-CA"/>
        </w:rPr>
        <w:t xml:space="preserve">the standard of review to apply to the legality of regulations. Much has been written </w:t>
      </w:r>
      <w:r w:rsidR="0067378E">
        <w:rPr>
          <w:lang w:val="en-CA"/>
        </w:rPr>
        <w:t>on</w:t>
      </w:r>
      <w:r w:rsidR="0067378E" w:rsidRPr="00105125">
        <w:rPr>
          <w:lang w:val="en-CA"/>
        </w:rPr>
        <w:t xml:space="preserve"> </w:t>
      </w:r>
      <w:r w:rsidRPr="00105125">
        <w:rPr>
          <w:lang w:val="en-CA"/>
        </w:rPr>
        <w:t>this subject in recent years and the Supreme Court will reconsider it shortly.</w:t>
      </w:r>
      <w:bookmarkStart w:id="8" w:name="_Ref152673056"/>
      <w:r w:rsidRPr="00105125">
        <w:rPr>
          <w:rStyle w:val="Appelnotedebasdep"/>
          <w:lang w:val="en-CA"/>
        </w:rPr>
        <w:footnoteReference w:id="15"/>
      </w:r>
      <w:bookmarkEnd w:id="8"/>
      <w:r w:rsidRPr="00105125">
        <w:rPr>
          <w:lang w:val="en-CA"/>
        </w:rPr>
        <w:t xml:space="preserve"> </w:t>
      </w:r>
      <w:r w:rsidR="0067378E">
        <w:rPr>
          <w:lang w:val="en-CA"/>
        </w:rPr>
        <w:t>Indeed, s</w:t>
      </w:r>
      <w:r w:rsidRPr="00105125">
        <w:rPr>
          <w:lang w:val="en-CA"/>
        </w:rPr>
        <w:t xml:space="preserve">ince </w:t>
      </w:r>
      <w:r w:rsidRPr="00105125">
        <w:rPr>
          <w:i/>
          <w:lang w:val="en-CA"/>
        </w:rPr>
        <w:t>Dunsmuir v. New Brunswick</w:t>
      </w:r>
      <w:r w:rsidRPr="00105125">
        <w:rPr>
          <w:lang w:val="en-CA"/>
        </w:rPr>
        <w:t>,</w:t>
      </w:r>
      <w:r w:rsidRPr="00105125">
        <w:rPr>
          <w:rStyle w:val="Appelnotedebasdep"/>
          <w:lang w:val="en-CA"/>
        </w:rPr>
        <w:footnoteReference w:id="16"/>
      </w:r>
      <w:r w:rsidRPr="00105125">
        <w:rPr>
          <w:lang w:val="en-CA"/>
        </w:rPr>
        <w:t xml:space="preserve"> rendered in 2008, followed by </w:t>
      </w:r>
      <w:r w:rsidRPr="00105125">
        <w:rPr>
          <w:i/>
          <w:lang w:val="en-CA"/>
        </w:rPr>
        <w:t>Vavilov</w:t>
      </w:r>
      <w:r w:rsidRPr="00105125">
        <w:rPr>
          <w:lang w:val="en-CA"/>
        </w:rPr>
        <w:t>,</w:t>
      </w:r>
      <w:bookmarkStart w:id="9" w:name="_Ref152674663"/>
      <w:r w:rsidRPr="00105125">
        <w:rPr>
          <w:rStyle w:val="Appelnotedebasdep"/>
          <w:lang w:val="en-CA"/>
        </w:rPr>
        <w:footnoteReference w:id="17"/>
      </w:r>
      <w:bookmarkEnd w:id="9"/>
      <w:r w:rsidRPr="00105125">
        <w:rPr>
          <w:lang w:val="en-CA"/>
        </w:rPr>
        <w:t xml:space="preserve"> there has been some confusion about the applicable standard of review.</w:t>
      </w:r>
      <w:r w:rsidR="00A31B75" w:rsidRPr="00105125">
        <w:rPr>
          <w:lang w:val="en-CA"/>
        </w:rPr>
        <w:t xml:space="preserve"> </w:t>
      </w:r>
      <w:proofErr w:type="spellStart"/>
      <w:r w:rsidRPr="00105125">
        <w:rPr>
          <w:lang w:val="en-CA"/>
        </w:rPr>
        <w:t>Montmigny</w:t>
      </w:r>
      <w:proofErr w:type="spellEnd"/>
      <w:r w:rsidRPr="00105125">
        <w:rPr>
          <w:lang w:val="en-CA"/>
        </w:rPr>
        <w:t xml:space="preserve"> J.A., now chief justice of the Federal Court of Appeal, aptly summarized the </w:t>
      </w:r>
      <w:r w:rsidR="008C4037">
        <w:rPr>
          <w:lang w:val="en-CA"/>
        </w:rPr>
        <w:t xml:space="preserve">current </w:t>
      </w:r>
      <w:r w:rsidRPr="00105125">
        <w:rPr>
          <w:lang w:val="en-CA"/>
        </w:rPr>
        <w:t xml:space="preserve">arguments </w:t>
      </w:r>
      <w:r w:rsidR="008C4037">
        <w:rPr>
          <w:lang w:val="en-CA"/>
        </w:rPr>
        <w:t>in</w:t>
      </w:r>
      <w:r w:rsidRPr="00105125">
        <w:rPr>
          <w:lang w:val="en-CA"/>
        </w:rPr>
        <w:t xml:space="preserve"> this </w:t>
      </w:r>
      <w:r w:rsidR="008C4037">
        <w:rPr>
          <w:lang w:val="en-CA"/>
        </w:rPr>
        <w:t xml:space="preserve">regard </w:t>
      </w:r>
      <w:r w:rsidRPr="00105125">
        <w:rPr>
          <w:lang w:val="en-CA"/>
        </w:rPr>
        <w:t xml:space="preserve">in </w:t>
      </w:r>
      <w:r w:rsidRPr="00105125">
        <w:rPr>
          <w:i/>
          <w:lang w:val="en-CA"/>
        </w:rPr>
        <w:t>International Air Transport Association</w:t>
      </w:r>
      <w:r w:rsidRPr="00105125">
        <w:rPr>
          <w:lang w:val="en-CA"/>
        </w:rPr>
        <w:t>:</w:t>
      </w:r>
    </w:p>
    <w:p w14:paraId="233A62DE" w14:textId="5AA4AFFC" w:rsidR="0072362A" w:rsidRPr="00105125" w:rsidRDefault="004A7BFD" w:rsidP="00765C6A">
      <w:pPr>
        <w:pStyle w:val="Citationenretrait"/>
        <w:keepNext/>
        <w:rPr>
          <w:lang w:val="en-CA"/>
        </w:rPr>
      </w:pPr>
      <w:r w:rsidRPr="00105125">
        <w:rPr>
          <w:lang w:val="en-CA"/>
        </w:rPr>
        <w:t>[186]</w:t>
      </w:r>
      <w:r w:rsidRPr="00105125">
        <w:rPr>
          <w:lang w:val="en-CA"/>
        </w:rPr>
        <w:tab/>
      </w:r>
      <w:r w:rsidR="000A0D4C" w:rsidRPr="00105125">
        <w:rPr>
          <w:color w:val="000000"/>
          <w:lang w:val="en-CA"/>
        </w:rPr>
        <w:t>Prior to </w:t>
      </w:r>
      <w:r w:rsidR="000A0D4C" w:rsidRPr="00105125">
        <w:rPr>
          <w:rStyle w:val="Accentuation"/>
          <w:color w:val="000000"/>
          <w:lang w:val="en-CA"/>
        </w:rPr>
        <w:t>Dunsmuir v. New Brunswick</w:t>
      </w:r>
      <w:r w:rsidR="000A0D4C" w:rsidRPr="00105125">
        <w:rPr>
          <w:color w:val="000000"/>
          <w:lang w:val="en-CA"/>
        </w:rPr>
        <w:t>, </w:t>
      </w:r>
      <w:r w:rsidR="000A0D4C" w:rsidRPr="00105125">
        <w:rPr>
          <w:lang w:val="en-CA"/>
        </w:rPr>
        <w:t>2008 SCC 9</w:t>
      </w:r>
      <w:r w:rsidR="000A0D4C" w:rsidRPr="00105125">
        <w:rPr>
          <w:color w:val="000000"/>
          <w:lang w:val="en-CA"/>
        </w:rPr>
        <w:t>, [2008] 1 S.C.R. 190 [</w:t>
      </w:r>
      <w:r w:rsidR="000A0D4C" w:rsidRPr="00105125">
        <w:rPr>
          <w:rStyle w:val="Accentuation"/>
          <w:color w:val="000000"/>
          <w:lang w:val="en-CA"/>
        </w:rPr>
        <w:t>Dunsmuir</w:t>
      </w:r>
      <w:r w:rsidR="000A0D4C" w:rsidRPr="00105125">
        <w:rPr>
          <w:color w:val="000000"/>
          <w:lang w:val="en-CA"/>
        </w:rPr>
        <w:t>], the analytical framework for the judicial review of delegated legislation was firmly established, and rested on the </w:t>
      </w:r>
      <w:r w:rsidR="000A0D4C" w:rsidRPr="00105125">
        <w:rPr>
          <w:rStyle w:val="Accentuation"/>
          <w:color w:val="000000"/>
          <w:lang w:val="en-CA"/>
        </w:rPr>
        <w:t>ultra vires</w:t>
      </w:r>
      <w:r w:rsidR="000A0D4C" w:rsidRPr="00105125">
        <w:rPr>
          <w:color w:val="000000"/>
          <w:lang w:val="en-CA"/>
        </w:rPr>
        <w:t> doctrine. When the validity of delegated legislation was challenged, reviewing courts interpreted the statutory grant of authority to determine whether, correctly interpreted, it fell within or outside its ambit. This was essentially an exercise of statutory interpretation, with no deference to the delegate’s interpretation</w:t>
      </w:r>
      <w:r w:rsidRPr="00105125">
        <w:rPr>
          <w:lang w:val="en-CA"/>
        </w:rPr>
        <w:t>.</w:t>
      </w:r>
    </w:p>
    <w:p w14:paraId="11EF93C7" w14:textId="6C21D2F1" w:rsidR="0072362A" w:rsidRPr="00105125" w:rsidRDefault="004A7BFD" w:rsidP="0072362A">
      <w:pPr>
        <w:pStyle w:val="Citationenretrait"/>
        <w:rPr>
          <w:lang w:val="en-CA"/>
        </w:rPr>
      </w:pPr>
      <w:r w:rsidRPr="00105125">
        <w:rPr>
          <w:lang w:val="en-CA"/>
        </w:rPr>
        <w:t>[187]</w:t>
      </w:r>
      <w:r w:rsidRPr="00105125">
        <w:rPr>
          <w:lang w:val="en-CA"/>
        </w:rPr>
        <w:tab/>
      </w:r>
      <w:r w:rsidR="000A0D4C" w:rsidRPr="00105125">
        <w:rPr>
          <w:color w:val="000000"/>
          <w:lang w:val="en-CA"/>
        </w:rPr>
        <w:t>In the years following </w:t>
      </w:r>
      <w:r w:rsidR="000A0D4C" w:rsidRPr="00105125">
        <w:rPr>
          <w:rStyle w:val="Accentuation"/>
          <w:color w:val="000000"/>
          <w:lang w:val="en-CA"/>
        </w:rPr>
        <w:t>Dunsmuir</w:t>
      </w:r>
      <w:r w:rsidR="000A0D4C" w:rsidRPr="00105125">
        <w:rPr>
          <w:color w:val="000000"/>
          <w:lang w:val="en-CA"/>
        </w:rPr>
        <w:t>, some confusion arose in the highest court on this issue, no doubt because that decision was focused on the judicial review of decisions of adjudicative tribunals and not on delegated legislation. In some cases, the Court applied the judicial review framework (see </w:t>
      </w:r>
      <w:r w:rsidR="000A0D4C" w:rsidRPr="00105125">
        <w:rPr>
          <w:rStyle w:val="Accentuation"/>
          <w:color w:val="000000"/>
          <w:lang w:val="en-CA"/>
        </w:rPr>
        <w:t>Catalyst Paper Corp. v. North Cowichan (District)</w:t>
      </w:r>
      <w:r w:rsidR="000A0D4C" w:rsidRPr="00105125">
        <w:rPr>
          <w:color w:val="000000"/>
          <w:lang w:val="en-CA"/>
        </w:rPr>
        <w:t>, </w:t>
      </w:r>
      <w:r w:rsidR="000A0D4C" w:rsidRPr="00105125">
        <w:rPr>
          <w:lang w:val="en-CA"/>
        </w:rPr>
        <w:t>2012 SCC 2</w:t>
      </w:r>
      <w:r w:rsidR="000A0D4C" w:rsidRPr="00105125">
        <w:rPr>
          <w:color w:val="000000"/>
          <w:lang w:val="en-CA"/>
        </w:rPr>
        <w:t>, [2012] 1 S.C.R. 5; </w:t>
      </w:r>
      <w:r w:rsidR="000A0D4C" w:rsidRPr="00105125">
        <w:rPr>
          <w:rStyle w:val="Accentuation"/>
          <w:color w:val="000000"/>
          <w:lang w:val="en-CA"/>
        </w:rPr>
        <w:t>Green v. Law Society of Manitoba</w:t>
      </w:r>
      <w:r w:rsidR="000A0D4C" w:rsidRPr="00105125">
        <w:rPr>
          <w:color w:val="000000"/>
          <w:lang w:val="en-CA"/>
        </w:rPr>
        <w:t>, </w:t>
      </w:r>
      <w:r w:rsidR="000A0D4C" w:rsidRPr="00105125">
        <w:rPr>
          <w:lang w:val="en-CA"/>
        </w:rPr>
        <w:t>2017 SCC 20</w:t>
      </w:r>
      <w:r w:rsidR="000A0D4C" w:rsidRPr="00105125">
        <w:rPr>
          <w:color w:val="000000"/>
          <w:lang w:val="en-CA"/>
        </w:rPr>
        <w:t>, [2017] 1 S.C.R. 360; </w:t>
      </w:r>
      <w:r w:rsidR="000A0D4C" w:rsidRPr="00105125">
        <w:rPr>
          <w:rStyle w:val="Accentuation"/>
          <w:color w:val="000000"/>
          <w:lang w:val="en-CA"/>
        </w:rPr>
        <w:t>West Fraser Mills Ltd. v. British Columbia (Workers’ Compensation Appeal Tribunal)</w:t>
      </w:r>
      <w:r w:rsidR="000A0D4C" w:rsidRPr="00105125">
        <w:rPr>
          <w:color w:val="000000"/>
          <w:lang w:val="en-CA"/>
        </w:rPr>
        <w:t>, </w:t>
      </w:r>
      <w:r w:rsidR="000A0D4C" w:rsidRPr="00105125">
        <w:rPr>
          <w:lang w:val="en-CA"/>
        </w:rPr>
        <w:t>2018 SCC 22</w:t>
      </w:r>
      <w:r w:rsidR="000A0D4C" w:rsidRPr="00105125">
        <w:rPr>
          <w:color w:val="000000"/>
          <w:lang w:val="en-CA"/>
        </w:rPr>
        <w:t>, [2018] 1 S.C.R. 635), whereas in other cases the Court reverted to the </w:t>
      </w:r>
      <w:r w:rsidR="000A0D4C" w:rsidRPr="00105125">
        <w:rPr>
          <w:rStyle w:val="Accentuation"/>
          <w:color w:val="000000"/>
          <w:lang w:val="en-CA"/>
        </w:rPr>
        <w:t>vires</w:t>
      </w:r>
      <w:r w:rsidR="000A0D4C" w:rsidRPr="00105125">
        <w:rPr>
          <w:color w:val="000000"/>
          <w:lang w:val="en-CA"/>
        </w:rPr>
        <w:t xml:space="preserve"> analysis (see </w:t>
      </w:r>
      <w:r w:rsidR="000A0D4C" w:rsidRPr="00105125">
        <w:rPr>
          <w:color w:val="000000"/>
          <w:lang w:val="en-CA"/>
        </w:rPr>
        <w:lastRenderedPageBreak/>
        <w:t>for example, </w:t>
      </w:r>
      <w:r w:rsidR="000A0D4C" w:rsidRPr="00105125">
        <w:rPr>
          <w:rStyle w:val="Accentuation"/>
          <w:color w:val="000000"/>
          <w:lang w:val="en-CA"/>
        </w:rPr>
        <w:t>Katz Group Canada Inc. v. Ontario (Health and Long-Term Care), </w:t>
      </w:r>
      <w:r w:rsidR="000A0D4C" w:rsidRPr="00105125">
        <w:rPr>
          <w:lang w:val="en-CA"/>
        </w:rPr>
        <w:t>2013 SCC 64</w:t>
      </w:r>
      <w:r w:rsidR="000A0D4C" w:rsidRPr="00105125">
        <w:rPr>
          <w:color w:val="000000"/>
          <w:lang w:val="en-CA"/>
        </w:rPr>
        <w:t>, [2013] 3 S.C.R. 810 [</w:t>
      </w:r>
      <w:r w:rsidR="000A0D4C" w:rsidRPr="00105125">
        <w:rPr>
          <w:rStyle w:val="Accentuation"/>
          <w:color w:val="000000"/>
          <w:lang w:val="en-CA"/>
        </w:rPr>
        <w:t>Katz</w:t>
      </w:r>
      <w:r w:rsidR="000A0D4C" w:rsidRPr="00105125">
        <w:rPr>
          <w:color w:val="000000"/>
          <w:lang w:val="en-CA"/>
        </w:rPr>
        <w:t>]; </w:t>
      </w:r>
      <w:r w:rsidR="000A0D4C" w:rsidRPr="00105125">
        <w:rPr>
          <w:rStyle w:val="Accentuation"/>
          <w:color w:val="000000"/>
          <w:lang w:val="en-CA"/>
        </w:rPr>
        <w:t>Canadian National Railway Co. v. Canada (Attorney General)</w:t>
      </w:r>
      <w:r w:rsidR="000A0D4C" w:rsidRPr="00105125">
        <w:rPr>
          <w:color w:val="000000"/>
          <w:lang w:val="en-CA"/>
        </w:rPr>
        <w:t>, </w:t>
      </w:r>
      <w:r w:rsidR="000A0D4C" w:rsidRPr="00105125">
        <w:rPr>
          <w:lang w:val="en-CA"/>
        </w:rPr>
        <w:t>2014 SCC 40</w:t>
      </w:r>
      <w:r w:rsidR="000A0D4C" w:rsidRPr="00105125">
        <w:rPr>
          <w:color w:val="000000"/>
          <w:lang w:val="en-CA"/>
        </w:rPr>
        <w:t>, [2014] 2 S.C.R. 135 at para. </w:t>
      </w:r>
      <w:r w:rsidR="000A0D4C" w:rsidRPr="00105125">
        <w:rPr>
          <w:lang w:val="en-CA"/>
        </w:rPr>
        <w:t>51</w:t>
      </w:r>
      <w:r w:rsidR="000A0D4C" w:rsidRPr="00105125">
        <w:rPr>
          <w:color w:val="000000"/>
          <w:lang w:val="en-CA"/>
        </w:rPr>
        <w:t>; Donald Brown &amp; John Evans, </w:t>
      </w:r>
      <w:r w:rsidR="000A0D4C" w:rsidRPr="00105125">
        <w:rPr>
          <w:rStyle w:val="Accentuation"/>
          <w:color w:val="000000"/>
          <w:lang w:val="en-CA"/>
        </w:rPr>
        <w:t>Judicial Review of Administrative Action in Canada</w:t>
      </w:r>
      <w:r w:rsidR="000A0D4C" w:rsidRPr="00105125">
        <w:rPr>
          <w:color w:val="000000"/>
          <w:lang w:val="en-CA"/>
        </w:rPr>
        <w:t> (Toronto: Thomson Reuters Canada Ltd., 2022), Chap. 2021, at section 2021:5(ii)(3)).</w:t>
      </w:r>
    </w:p>
    <w:p w14:paraId="2F04EFF4" w14:textId="4D632267" w:rsidR="0072362A" w:rsidRPr="00105125" w:rsidRDefault="004A7BFD" w:rsidP="0072362A">
      <w:pPr>
        <w:pStyle w:val="Citationenretrait"/>
        <w:rPr>
          <w:lang w:val="en-CA"/>
        </w:rPr>
      </w:pPr>
      <w:r w:rsidRPr="00105125">
        <w:rPr>
          <w:lang w:val="en-CA"/>
        </w:rPr>
        <w:t>[188]</w:t>
      </w:r>
      <w:r w:rsidRPr="00105125">
        <w:rPr>
          <w:lang w:val="en-CA"/>
        </w:rPr>
        <w:tab/>
      </w:r>
      <w:r w:rsidR="000A0D4C" w:rsidRPr="00105125">
        <w:rPr>
          <w:color w:val="000000"/>
          <w:lang w:val="en-CA"/>
        </w:rPr>
        <w:t>Unfortunately, </w:t>
      </w:r>
      <w:r w:rsidR="000A0D4C" w:rsidRPr="00105125">
        <w:rPr>
          <w:rStyle w:val="Accentuation"/>
          <w:color w:val="000000"/>
          <w:lang w:val="en-CA"/>
        </w:rPr>
        <w:t>Vavilov</w:t>
      </w:r>
      <w:r w:rsidR="000A0D4C" w:rsidRPr="00105125">
        <w:rPr>
          <w:color w:val="000000"/>
          <w:lang w:val="en-CA"/>
        </w:rPr>
        <w:t> did not bring much clarity to that confusion. Because the Supreme Court purported to adopt the reasonableness standard as the default standard of review to all administrative actions, most intermediate appeal courts adopted the view that delegated legislation would henceforth be reviewed against that standard: see, for example, </w:t>
      </w:r>
      <w:r w:rsidR="000A0D4C" w:rsidRPr="00105125">
        <w:rPr>
          <w:rStyle w:val="Accentuation"/>
          <w:color w:val="000000"/>
          <w:lang w:val="en-CA"/>
        </w:rPr>
        <w:t>1193652 B.C. Ltd. v. New Westminster (City)</w:t>
      </w:r>
      <w:r w:rsidR="000A0D4C" w:rsidRPr="00105125">
        <w:rPr>
          <w:color w:val="000000"/>
          <w:lang w:val="en-CA"/>
        </w:rPr>
        <w:t>, </w:t>
      </w:r>
      <w:r w:rsidR="000A0D4C" w:rsidRPr="00105125">
        <w:rPr>
          <w:lang w:val="en-CA"/>
        </w:rPr>
        <w:t>2021 BCCA 176</w:t>
      </w:r>
      <w:r w:rsidR="000A0D4C" w:rsidRPr="00105125">
        <w:rPr>
          <w:color w:val="000000"/>
          <w:lang w:val="en-CA"/>
        </w:rPr>
        <w:t> at paras. </w:t>
      </w:r>
      <w:r w:rsidR="000A0D4C" w:rsidRPr="00105125">
        <w:rPr>
          <w:lang w:val="en-CA"/>
        </w:rPr>
        <w:t>48-59</w:t>
      </w:r>
      <w:r w:rsidR="000A0D4C" w:rsidRPr="00105125">
        <w:rPr>
          <w:color w:val="000000"/>
          <w:lang w:val="en-CA"/>
        </w:rPr>
        <w:t>; </w:t>
      </w:r>
      <w:proofErr w:type="spellStart"/>
      <w:r w:rsidR="000A0D4C" w:rsidRPr="00105125">
        <w:rPr>
          <w:rStyle w:val="Accentuation"/>
          <w:color w:val="000000"/>
          <w:lang w:val="en-CA"/>
        </w:rPr>
        <w:t>Portnov</w:t>
      </w:r>
      <w:proofErr w:type="spellEnd"/>
      <w:r w:rsidR="000A0D4C" w:rsidRPr="00105125">
        <w:rPr>
          <w:rStyle w:val="Accentuation"/>
          <w:color w:val="000000"/>
          <w:lang w:val="en-CA"/>
        </w:rPr>
        <w:t xml:space="preserve"> v. Canada (Attorney General)</w:t>
      </w:r>
      <w:r w:rsidR="000A0D4C" w:rsidRPr="00105125">
        <w:rPr>
          <w:color w:val="000000"/>
          <w:lang w:val="en-CA"/>
        </w:rPr>
        <w:t>, </w:t>
      </w:r>
      <w:r w:rsidR="000A0D4C" w:rsidRPr="00105125">
        <w:rPr>
          <w:lang w:val="en-CA"/>
        </w:rPr>
        <w:t>2021 FCA 171</w:t>
      </w:r>
      <w:r w:rsidR="000A0D4C" w:rsidRPr="00105125">
        <w:rPr>
          <w:color w:val="000000"/>
          <w:lang w:val="en-CA"/>
        </w:rPr>
        <w:t>; </w:t>
      </w:r>
      <w:r w:rsidR="000A0D4C" w:rsidRPr="00105125">
        <w:rPr>
          <w:rStyle w:val="Accentuation"/>
          <w:color w:val="000000"/>
          <w:lang w:val="en-CA"/>
        </w:rPr>
        <w:t>Canadian Association of Refugee Lawyers v. Canada (Citizenship and Immigration)</w:t>
      </w:r>
      <w:r w:rsidR="000A0D4C" w:rsidRPr="00105125">
        <w:rPr>
          <w:color w:val="000000"/>
          <w:lang w:val="en-CA"/>
        </w:rPr>
        <w:t>, </w:t>
      </w:r>
      <w:r w:rsidR="000A0D4C" w:rsidRPr="00105125">
        <w:rPr>
          <w:lang w:val="en-CA"/>
        </w:rPr>
        <w:t>2020 FCA 196</w:t>
      </w:r>
      <w:r w:rsidR="000A0D4C" w:rsidRPr="00105125">
        <w:rPr>
          <w:color w:val="000000"/>
          <w:lang w:val="en-CA"/>
        </w:rPr>
        <w:t> [2021] 1 F.C.R. 271; Paul Daly, </w:t>
      </w:r>
      <w:r w:rsidR="000A0D4C" w:rsidRPr="00105125">
        <w:rPr>
          <w:rStyle w:val="citationcar"/>
          <w:lang w:val="en-CA"/>
        </w:rPr>
        <w:t>“Regulations and Reasonableness Review”</w:t>
      </w:r>
      <w:r w:rsidR="000A0D4C" w:rsidRPr="00105125">
        <w:rPr>
          <w:color w:val="000000"/>
          <w:lang w:val="en-CA"/>
        </w:rPr>
        <w:t> (January 29, 2021), online (blog): </w:t>
      </w:r>
      <w:r w:rsidR="000A0D4C" w:rsidRPr="00105125">
        <w:rPr>
          <w:rStyle w:val="Accentuation"/>
          <w:color w:val="000000"/>
          <w:lang w:val="en-CA"/>
        </w:rPr>
        <w:t>Administrative Law Matters </w:t>
      </w:r>
      <w:r w:rsidR="000A0D4C" w:rsidRPr="00105125">
        <w:rPr>
          <w:color w:val="000000"/>
          <w:lang w:val="en-CA"/>
        </w:rPr>
        <w:t>&lt;https://www.administrativelawmatters.com/blog/2021/01/29/regulations-and-reasonableness-review/and the cases cited therein&gt;</w:t>
      </w:r>
      <w:r w:rsidRPr="00105125">
        <w:rPr>
          <w:lang w:val="en-CA"/>
        </w:rPr>
        <w:t>.</w:t>
      </w:r>
    </w:p>
    <w:p w14:paraId="6B763DBD" w14:textId="4B05084E" w:rsidR="0072362A" w:rsidRPr="00105125" w:rsidRDefault="004A7BFD" w:rsidP="0072362A">
      <w:pPr>
        <w:pStyle w:val="Citationenretrait"/>
        <w:rPr>
          <w:lang w:val="en-CA"/>
        </w:rPr>
      </w:pPr>
      <w:r w:rsidRPr="00105125">
        <w:rPr>
          <w:lang w:val="en-CA"/>
        </w:rPr>
        <w:t>[189]</w:t>
      </w:r>
      <w:r w:rsidRPr="00105125">
        <w:rPr>
          <w:lang w:val="en-CA"/>
        </w:rPr>
        <w:tab/>
      </w:r>
      <w:r w:rsidR="000A0D4C" w:rsidRPr="00105125">
        <w:rPr>
          <w:color w:val="000000"/>
          <w:lang w:val="en-CA"/>
        </w:rPr>
        <w:t>This approach, however, has not been followed unanimously: see, for example, </w:t>
      </w:r>
      <w:r w:rsidR="000A0D4C" w:rsidRPr="00105125">
        <w:rPr>
          <w:rStyle w:val="Accentuation"/>
          <w:color w:val="000000"/>
          <w:lang w:val="en-CA"/>
        </w:rPr>
        <w:t>Hudson’s Bay Company ULC v. Ontario (Attorney General)</w:t>
      </w:r>
      <w:r w:rsidR="000A0D4C" w:rsidRPr="00105125">
        <w:rPr>
          <w:color w:val="000000"/>
          <w:lang w:val="en-CA"/>
        </w:rPr>
        <w:t>, </w:t>
      </w:r>
      <w:r w:rsidR="000A0D4C" w:rsidRPr="00105125">
        <w:rPr>
          <w:lang w:val="en-CA"/>
        </w:rPr>
        <w:t>2020 ONSC 8046</w:t>
      </w:r>
      <w:r w:rsidR="000A0D4C" w:rsidRPr="00105125">
        <w:rPr>
          <w:color w:val="000000"/>
          <w:lang w:val="en-CA"/>
        </w:rPr>
        <w:t>, 154 O.R. (3d) 103; </w:t>
      </w:r>
      <w:r w:rsidR="000A0D4C" w:rsidRPr="00105125">
        <w:rPr>
          <w:rStyle w:val="Accentuation"/>
          <w:color w:val="000000"/>
          <w:lang w:val="en-CA"/>
        </w:rPr>
        <w:t>Friends of Simcoe Forest Inc. v. Minister of Municipal Affairs and Housing</w:t>
      </w:r>
      <w:r w:rsidR="000A0D4C" w:rsidRPr="00105125">
        <w:rPr>
          <w:color w:val="000000"/>
          <w:lang w:val="en-CA"/>
        </w:rPr>
        <w:t>, </w:t>
      </w:r>
      <w:r w:rsidR="000A0D4C" w:rsidRPr="00105125">
        <w:rPr>
          <w:lang w:val="en-CA"/>
        </w:rPr>
        <w:t>2021 ONSC 3813</w:t>
      </w:r>
      <w:r w:rsidR="000A0D4C" w:rsidRPr="00105125">
        <w:rPr>
          <w:color w:val="000000"/>
          <w:lang w:val="en-CA"/>
        </w:rPr>
        <w:t> at para. </w:t>
      </w:r>
      <w:r w:rsidR="000A0D4C" w:rsidRPr="00105125">
        <w:rPr>
          <w:lang w:val="en-CA"/>
        </w:rPr>
        <w:t>25</w:t>
      </w:r>
      <w:r w:rsidR="000A0D4C" w:rsidRPr="00105125">
        <w:rPr>
          <w:color w:val="000000"/>
          <w:lang w:val="en-CA"/>
        </w:rPr>
        <w:t>. Indeed, the reasonableness standard review is fraught with difficulties, not the least of which is that it assumes the body or person that has been granted the power to adopt delegated legislation has also been vested with the power to decide questions of law and to determine the proper interpretation of the habilitating statute; yet, this is obviously not always the case: see John M. Evans, </w:t>
      </w:r>
      <w:r w:rsidR="000A0D4C" w:rsidRPr="00105125">
        <w:rPr>
          <w:rStyle w:val="citationcar"/>
          <w:lang w:val="en-CA"/>
        </w:rPr>
        <w:t>“Reviewing Delegated Legislation After </w:t>
      </w:r>
      <w:r w:rsidR="000A0D4C" w:rsidRPr="00105125">
        <w:rPr>
          <w:rStyle w:val="Accentuation"/>
          <w:lang w:val="en-CA"/>
        </w:rPr>
        <w:t>Vavilov</w:t>
      </w:r>
      <w:r w:rsidR="000A0D4C" w:rsidRPr="00105125">
        <w:rPr>
          <w:rStyle w:val="citationcar"/>
          <w:lang w:val="en-CA"/>
        </w:rPr>
        <w:t>: </w:t>
      </w:r>
      <w:r w:rsidR="000A0D4C" w:rsidRPr="00105125">
        <w:rPr>
          <w:rStyle w:val="Accentuation"/>
          <w:lang w:val="en-CA"/>
        </w:rPr>
        <w:t>Vires</w:t>
      </w:r>
      <w:r w:rsidR="000A0D4C" w:rsidRPr="00105125">
        <w:rPr>
          <w:rStyle w:val="citationcar"/>
          <w:lang w:val="en-CA"/>
        </w:rPr>
        <w:t> or Reasonableness?”</w:t>
      </w:r>
      <w:r w:rsidR="000A0D4C" w:rsidRPr="00105125">
        <w:rPr>
          <w:color w:val="000000"/>
          <w:lang w:val="en-CA"/>
        </w:rPr>
        <w:t> (2021) 34:1 Can. J. Admin. L.&amp; P. 1.</w:t>
      </w:r>
    </w:p>
    <w:p w14:paraId="322B78E7" w14:textId="3A3103B7" w:rsidR="0072362A" w:rsidRPr="00105125" w:rsidRDefault="004A7BFD" w:rsidP="0072362A">
      <w:pPr>
        <w:pStyle w:val="Citationenretrait"/>
        <w:rPr>
          <w:lang w:val="en-CA"/>
        </w:rPr>
      </w:pPr>
      <w:r w:rsidRPr="00105125">
        <w:rPr>
          <w:lang w:val="en-CA"/>
        </w:rPr>
        <w:t>[190]</w:t>
      </w:r>
      <w:r w:rsidRPr="00105125">
        <w:rPr>
          <w:lang w:val="en-CA"/>
        </w:rPr>
        <w:tab/>
      </w:r>
      <w:r w:rsidR="000A0D4C" w:rsidRPr="00105125">
        <w:rPr>
          <w:color w:val="000000"/>
          <w:lang w:val="en-CA"/>
        </w:rPr>
        <w:t>More recently, the Supreme Court has brought grist to the mill of those who support the view that the </w:t>
      </w:r>
      <w:r w:rsidR="000A0D4C" w:rsidRPr="00105125">
        <w:rPr>
          <w:rStyle w:val="Accentuation"/>
          <w:color w:val="000000"/>
          <w:lang w:val="en-CA"/>
        </w:rPr>
        <w:t>Vavilov</w:t>
      </w:r>
      <w:r w:rsidR="000A0D4C" w:rsidRPr="00105125">
        <w:rPr>
          <w:color w:val="000000"/>
          <w:lang w:val="en-CA"/>
        </w:rPr>
        <w:t> judicial review framework does not apply to delegated legislation. In </w:t>
      </w:r>
      <w:r w:rsidR="000A0D4C" w:rsidRPr="00105125">
        <w:rPr>
          <w:rStyle w:val="Accentuation"/>
          <w:color w:val="000000"/>
          <w:lang w:val="en-CA"/>
        </w:rPr>
        <w:t>References re Greenhouse Gas Pollution Pricing Act</w:t>
      </w:r>
      <w:r w:rsidR="000A0D4C" w:rsidRPr="00105125">
        <w:rPr>
          <w:color w:val="000000"/>
          <w:lang w:val="en-CA"/>
        </w:rPr>
        <w:t>, </w:t>
      </w:r>
      <w:r w:rsidR="000A0D4C" w:rsidRPr="00105125">
        <w:rPr>
          <w:lang w:val="en-CA"/>
        </w:rPr>
        <w:t>2021 SCC 11</w:t>
      </w:r>
      <w:r w:rsidR="000A0D4C" w:rsidRPr="00105125">
        <w:rPr>
          <w:color w:val="000000"/>
          <w:lang w:val="en-CA"/>
        </w:rPr>
        <w:t>, 455 D.L.R. (4th) 1 [</w:t>
      </w:r>
      <w:r w:rsidR="000A0D4C" w:rsidRPr="00105125">
        <w:rPr>
          <w:rStyle w:val="Accentuation"/>
          <w:color w:val="000000"/>
          <w:lang w:val="en-CA"/>
        </w:rPr>
        <w:t>Ref re Greenhouse Gas</w:t>
      </w:r>
      <w:r w:rsidR="000A0D4C" w:rsidRPr="00105125">
        <w:rPr>
          <w:color w:val="000000"/>
          <w:lang w:val="en-CA"/>
        </w:rPr>
        <w:t>], the Court reviewed the validity of the regulations at issue on the basis of its own interpretation of the enabling statute, without expressing any deference to Cabinet on the interpretative issue. It is true that the majority (in contrast to the dissenting opinion of Rowe J.) made no mention of the </w:t>
      </w:r>
      <w:r w:rsidR="000A0D4C" w:rsidRPr="00105125">
        <w:rPr>
          <w:rStyle w:val="Accentuation"/>
          <w:color w:val="000000"/>
          <w:lang w:val="en-CA"/>
        </w:rPr>
        <w:t>ultra vires</w:t>
      </w:r>
      <w:r w:rsidR="000A0D4C" w:rsidRPr="00105125">
        <w:rPr>
          <w:color w:val="000000"/>
          <w:lang w:val="en-CA"/>
        </w:rPr>
        <w:t> doctrine, but neither did it refer to </w:t>
      </w:r>
      <w:r w:rsidR="000A0D4C" w:rsidRPr="00105125">
        <w:rPr>
          <w:rStyle w:val="Accentuation"/>
          <w:color w:val="000000"/>
          <w:lang w:val="en-CA"/>
        </w:rPr>
        <w:t>Vavilov</w:t>
      </w:r>
      <w:r w:rsidR="000A0D4C" w:rsidRPr="00105125">
        <w:rPr>
          <w:color w:val="000000"/>
          <w:lang w:val="en-CA"/>
        </w:rPr>
        <w:t> nor to reasonableness review. On the contrary, the majority took it upon itself to interpret the scope of the regulation-making powers found in the </w:t>
      </w:r>
      <w:r w:rsidR="000A0D4C" w:rsidRPr="00105125">
        <w:rPr>
          <w:rStyle w:val="Accentuation"/>
          <w:color w:val="000000"/>
          <w:lang w:val="en-CA"/>
        </w:rPr>
        <w:t xml:space="preserve">Greenhouse Gas </w:t>
      </w:r>
      <w:r w:rsidR="000A0D4C" w:rsidRPr="00105125">
        <w:rPr>
          <w:rStyle w:val="Accentuation"/>
          <w:color w:val="000000"/>
          <w:lang w:val="en-CA"/>
        </w:rPr>
        <w:lastRenderedPageBreak/>
        <w:t>Pollution Pricing Act</w:t>
      </w:r>
      <w:r w:rsidR="000A0D4C" w:rsidRPr="00105125">
        <w:rPr>
          <w:color w:val="000000"/>
          <w:lang w:val="en-CA"/>
        </w:rPr>
        <w:t>, </w:t>
      </w:r>
      <w:r w:rsidR="000A0D4C" w:rsidRPr="00105125">
        <w:rPr>
          <w:lang w:val="en-CA"/>
        </w:rPr>
        <w:t>S.C. 2018, c. 12</w:t>
      </w:r>
      <w:r w:rsidR="000A0D4C" w:rsidRPr="00105125">
        <w:rPr>
          <w:color w:val="000000"/>
          <w:lang w:val="en-CA"/>
        </w:rPr>
        <w:t>. While this is clearly not the last word on the subject, it signals at the very least that the issue is far from settled.</w:t>
      </w:r>
      <w:r w:rsidRPr="00105125">
        <w:rPr>
          <w:rStyle w:val="Appelnotedebasdep"/>
          <w:lang w:val="en-CA"/>
        </w:rPr>
        <w:footnoteReference w:id="18"/>
      </w:r>
    </w:p>
    <w:p w14:paraId="48CA141A" w14:textId="08E780DF" w:rsidR="0072362A" w:rsidRPr="00105125" w:rsidRDefault="004A7BFD" w:rsidP="00AD265D">
      <w:pPr>
        <w:pStyle w:val="Paragraphe"/>
        <w:spacing w:line="280" w:lineRule="exact"/>
        <w:rPr>
          <w:lang w:val="en-CA"/>
        </w:rPr>
      </w:pPr>
      <w:r w:rsidRPr="00105125">
        <w:rPr>
          <w:lang w:val="en-CA"/>
        </w:rPr>
        <w:t xml:space="preserve"> I see </w:t>
      </w:r>
      <w:r w:rsidR="008C4037">
        <w:rPr>
          <w:lang w:val="en-CA"/>
        </w:rPr>
        <w:t>no</w:t>
      </w:r>
      <w:r w:rsidRPr="00105125">
        <w:rPr>
          <w:lang w:val="en-CA"/>
        </w:rPr>
        <w:t xml:space="preserve"> need for the Court to </w:t>
      </w:r>
      <w:r w:rsidR="008C4037">
        <w:rPr>
          <w:lang w:val="en-CA"/>
        </w:rPr>
        <w:t xml:space="preserve">rule on </w:t>
      </w:r>
      <w:r w:rsidRPr="00105125">
        <w:rPr>
          <w:lang w:val="en-CA"/>
        </w:rPr>
        <w:t xml:space="preserve">this controversy. Section 3 </w:t>
      </w:r>
      <w:r w:rsidR="00AD6235">
        <w:rPr>
          <w:lang w:val="en-CA"/>
        </w:rPr>
        <w:t xml:space="preserve">of the </w:t>
      </w:r>
      <w:r w:rsidRPr="00105125">
        <w:rPr>
          <w:i/>
          <w:lang w:val="en-CA"/>
        </w:rPr>
        <w:t>RCR</w:t>
      </w:r>
      <w:r w:rsidRPr="00105125">
        <w:rPr>
          <w:lang w:val="en-CA"/>
        </w:rPr>
        <w:t xml:space="preserve"> is not </w:t>
      </w:r>
      <w:r w:rsidRPr="008C4037">
        <w:rPr>
          <w:i/>
          <w:iCs/>
          <w:lang w:val="en-CA"/>
        </w:rPr>
        <w:t>ultra vires</w:t>
      </w:r>
      <w:r w:rsidRPr="00105125">
        <w:rPr>
          <w:lang w:val="en-CA"/>
        </w:rPr>
        <w:t xml:space="preserve">, whether pursuant to the teachings in </w:t>
      </w:r>
      <w:r w:rsidRPr="00105125">
        <w:rPr>
          <w:i/>
          <w:lang w:val="en-CA"/>
        </w:rPr>
        <w:t>Katz</w:t>
      </w:r>
      <w:r w:rsidRPr="00105125">
        <w:rPr>
          <w:lang w:val="en-CA"/>
        </w:rPr>
        <w:t>,</w:t>
      </w:r>
      <w:bookmarkStart w:id="10" w:name="_Ref152673264"/>
      <w:r w:rsidRPr="00105125">
        <w:rPr>
          <w:rStyle w:val="Appelnotedebasdep"/>
          <w:lang w:val="en-CA"/>
        </w:rPr>
        <w:footnoteReference w:id="19"/>
      </w:r>
      <w:bookmarkEnd w:id="10"/>
      <w:r w:rsidRPr="00105125">
        <w:rPr>
          <w:lang w:val="en-CA"/>
        </w:rPr>
        <w:t xml:space="preserve"> which </w:t>
      </w:r>
      <w:r w:rsidR="0067671C">
        <w:rPr>
          <w:lang w:val="en-CA"/>
        </w:rPr>
        <w:t>favours</w:t>
      </w:r>
      <w:r w:rsidR="0067671C" w:rsidRPr="00105125">
        <w:rPr>
          <w:lang w:val="en-CA"/>
        </w:rPr>
        <w:t xml:space="preserve"> </w:t>
      </w:r>
      <w:r w:rsidRPr="00105125">
        <w:rPr>
          <w:lang w:val="en-CA"/>
        </w:rPr>
        <w:t xml:space="preserve">a stricter standard, or according to </w:t>
      </w:r>
      <w:r w:rsidR="008C4037">
        <w:rPr>
          <w:lang w:val="en-CA"/>
        </w:rPr>
        <w:t xml:space="preserve">the </w:t>
      </w:r>
      <w:r w:rsidRPr="00105125">
        <w:rPr>
          <w:lang w:val="en-CA"/>
        </w:rPr>
        <w:t xml:space="preserve">reasonableness </w:t>
      </w:r>
      <w:r w:rsidR="008C4037">
        <w:rPr>
          <w:lang w:val="en-CA"/>
        </w:rPr>
        <w:t xml:space="preserve">standard set out </w:t>
      </w:r>
      <w:r w:rsidRPr="00105125">
        <w:rPr>
          <w:lang w:val="en-CA"/>
        </w:rPr>
        <w:t xml:space="preserve">in </w:t>
      </w:r>
      <w:r w:rsidRPr="00105125">
        <w:rPr>
          <w:i/>
          <w:lang w:val="en-CA"/>
        </w:rPr>
        <w:t>Vavilov</w:t>
      </w:r>
      <w:r w:rsidRPr="00105125">
        <w:rPr>
          <w:lang w:val="en-CA"/>
        </w:rPr>
        <w:t>.</w:t>
      </w:r>
    </w:p>
    <w:p w14:paraId="0B720FA7" w14:textId="5031CB07" w:rsidR="0072362A" w:rsidRPr="00105125" w:rsidRDefault="004A7BFD" w:rsidP="00AD265D">
      <w:pPr>
        <w:pStyle w:val="Paragraphe"/>
        <w:spacing w:line="280" w:lineRule="exact"/>
        <w:rPr>
          <w:lang w:val="en-CA"/>
        </w:rPr>
      </w:pPr>
      <w:r w:rsidRPr="002B55DC">
        <w:rPr>
          <w:lang w:val="en-CA"/>
        </w:rPr>
        <w:t xml:space="preserve">Professor </w:t>
      </w:r>
      <w:proofErr w:type="spellStart"/>
      <w:r w:rsidRPr="002B55DC">
        <w:rPr>
          <w:lang w:val="en-CA"/>
        </w:rPr>
        <w:t>Garant</w:t>
      </w:r>
      <w:proofErr w:type="spellEnd"/>
      <w:r w:rsidRPr="002B55DC">
        <w:rPr>
          <w:lang w:val="en-CA"/>
        </w:rPr>
        <w:t xml:space="preserve"> defines </w:t>
      </w:r>
      <w:r w:rsidR="006D4F76" w:rsidRPr="002B55DC">
        <w:rPr>
          <w:lang w:val="en-CA"/>
        </w:rPr>
        <w:t xml:space="preserve">a </w:t>
      </w:r>
      <w:r w:rsidRPr="002B55DC">
        <w:rPr>
          <w:lang w:val="en-CA"/>
        </w:rPr>
        <w:t>regulation</w:t>
      </w:r>
      <w:r w:rsidRPr="00105125">
        <w:rPr>
          <w:lang w:val="en-CA"/>
        </w:rPr>
        <w:t xml:space="preserve"> as a </w:t>
      </w:r>
      <w:r w:rsidRPr="00105125">
        <w:rPr>
          <w:rFonts w:cs="Arial"/>
          <w:lang w:val="en-CA"/>
        </w:rPr>
        <w:t>[</w:t>
      </w:r>
      <w:r w:rsidRPr="00105125">
        <w:rPr>
          <w:rFonts w:cs="Arial"/>
          <w:smallCaps/>
          <w:lang w:val="en-CA"/>
        </w:rPr>
        <w:t>translation</w:t>
      </w:r>
      <w:r w:rsidRPr="00105125">
        <w:rPr>
          <w:rFonts w:cs="Arial"/>
          <w:lang w:val="en-CA"/>
        </w:rPr>
        <w:t>]</w:t>
      </w:r>
      <w:r w:rsidRPr="00105125">
        <w:rPr>
          <w:lang w:val="en-CA"/>
        </w:rPr>
        <w:t xml:space="preserve"> “normative </w:t>
      </w:r>
      <w:r w:rsidR="00F95E20">
        <w:rPr>
          <w:lang w:val="en-CA"/>
        </w:rPr>
        <w:t>instrument</w:t>
      </w:r>
      <w:r w:rsidR="001178FD">
        <w:rPr>
          <w:lang w:val="en-CA"/>
        </w:rPr>
        <w:t xml:space="preserve">, </w:t>
      </w:r>
      <w:r w:rsidR="008561C6">
        <w:rPr>
          <w:lang w:val="en-CA"/>
        </w:rPr>
        <w:t xml:space="preserve">under </w:t>
      </w:r>
      <w:r w:rsidR="008561C6" w:rsidRPr="00105125">
        <w:rPr>
          <w:lang w:val="en-CA"/>
        </w:rPr>
        <w:t>an exp</w:t>
      </w:r>
      <w:r w:rsidR="00E77E09">
        <w:rPr>
          <w:lang w:val="en-CA"/>
        </w:rPr>
        <w:t>ress</w:t>
      </w:r>
      <w:r w:rsidR="008561C6">
        <w:rPr>
          <w:lang w:val="en-CA"/>
        </w:rPr>
        <w:t xml:space="preserve"> statutory authorization, </w:t>
      </w:r>
      <w:r w:rsidR="005B2B86">
        <w:rPr>
          <w:lang w:val="en-CA"/>
        </w:rPr>
        <w:t>that disposes in</w:t>
      </w:r>
      <w:r w:rsidR="00F95E20">
        <w:rPr>
          <w:lang w:val="en-CA"/>
        </w:rPr>
        <w:t xml:space="preserve"> a general and impersonal </w:t>
      </w:r>
      <w:r w:rsidR="005B2B86">
        <w:rPr>
          <w:lang w:val="en-CA"/>
        </w:rPr>
        <w:t>manner</w:t>
      </w:r>
      <w:r w:rsidR="00F95E20">
        <w:rPr>
          <w:lang w:val="en-CA"/>
        </w:rPr>
        <w:t xml:space="preserve">, under </w:t>
      </w:r>
      <w:r w:rsidRPr="00105125">
        <w:rPr>
          <w:lang w:val="en-CA"/>
        </w:rPr>
        <w:t>an exp</w:t>
      </w:r>
      <w:r w:rsidR="00E77E09">
        <w:rPr>
          <w:lang w:val="en-CA"/>
        </w:rPr>
        <w:t>ress</w:t>
      </w:r>
      <w:r w:rsidR="00F95E20">
        <w:rPr>
          <w:lang w:val="en-CA"/>
        </w:rPr>
        <w:t xml:space="preserve"> statutory authorization</w:t>
      </w:r>
      <w:r w:rsidRPr="00105125">
        <w:rPr>
          <w:lang w:val="en-CA"/>
        </w:rPr>
        <w:t>”.</w:t>
      </w:r>
      <w:bookmarkStart w:id="11" w:name="_Ref152678668"/>
      <w:r w:rsidRPr="00105125">
        <w:rPr>
          <w:rStyle w:val="Appelnotedebasdep"/>
          <w:lang w:val="en-CA"/>
        </w:rPr>
        <w:footnoteReference w:id="20"/>
      </w:r>
      <w:bookmarkEnd w:id="11"/>
      <w:r w:rsidRPr="00105125">
        <w:rPr>
          <w:lang w:val="en-CA"/>
        </w:rPr>
        <w:t xml:space="preserve"> Any analysis of its validity is </w:t>
      </w:r>
      <w:r w:rsidR="005B2B86">
        <w:rPr>
          <w:lang w:val="en-CA"/>
        </w:rPr>
        <w:t xml:space="preserve">therefore </w:t>
      </w:r>
      <w:r w:rsidR="00F95E20">
        <w:rPr>
          <w:lang w:val="en-CA"/>
        </w:rPr>
        <w:t xml:space="preserve">conducted </w:t>
      </w:r>
      <w:r w:rsidR="005B2B86">
        <w:rPr>
          <w:lang w:val="en-CA"/>
        </w:rPr>
        <w:t xml:space="preserve">by </w:t>
      </w:r>
      <w:r w:rsidRPr="00105125">
        <w:rPr>
          <w:rFonts w:cs="Arial"/>
          <w:lang w:val="en-CA"/>
        </w:rPr>
        <w:t>[</w:t>
      </w:r>
      <w:r w:rsidRPr="00105125">
        <w:rPr>
          <w:rFonts w:cs="Arial"/>
          <w:smallCaps/>
          <w:lang w:val="en-CA"/>
        </w:rPr>
        <w:t>translation</w:t>
      </w:r>
      <w:r w:rsidRPr="00105125">
        <w:rPr>
          <w:rFonts w:cs="Arial"/>
          <w:lang w:val="en-CA"/>
        </w:rPr>
        <w:t>]</w:t>
      </w:r>
      <w:r w:rsidRPr="00105125">
        <w:rPr>
          <w:lang w:val="en-CA"/>
        </w:rPr>
        <w:t xml:space="preserve"> “careful</w:t>
      </w:r>
      <w:r w:rsidR="005B2B86">
        <w:rPr>
          <w:lang w:val="en-CA"/>
        </w:rPr>
        <w:t>ly</w:t>
      </w:r>
      <w:r w:rsidRPr="00105125">
        <w:rPr>
          <w:lang w:val="en-CA"/>
        </w:rPr>
        <w:t xml:space="preserve"> reading the words chosen by the legislature to grant the </w:t>
      </w:r>
      <w:r w:rsidR="005B2B86">
        <w:rPr>
          <w:lang w:val="en-CA"/>
        </w:rPr>
        <w:t xml:space="preserve">authority </w:t>
      </w:r>
      <w:r w:rsidR="00B3633A">
        <w:rPr>
          <w:lang w:val="en-CA"/>
        </w:rPr>
        <w:t>to make regulations</w:t>
      </w:r>
      <w:r w:rsidRPr="00105125">
        <w:rPr>
          <w:lang w:val="en-CA"/>
        </w:rPr>
        <w:t>”.</w:t>
      </w:r>
      <w:bookmarkStart w:id="12" w:name="_Ref152678113"/>
      <w:r w:rsidRPr="00105125">
        <w:rPr>
          <w:rStyle w:val="Appelnotedebasdep"/>
          <w:lang w:val="en-CA"/>
        </w:rPr>
        <w:footnoteReference w:id="21"/>
      </w:r>
      <w:bookmarkEnd w:id="12"/>
    </w:p>
    <w:p w14:paraId="31CF23DB" w14:textId="73DD6F64" w:rsidR="0072362A" w:rsidRPr="00105125" w:rsidRDefault="004A7BFD" w:rsidP="001D61A3">
      <w:pPr>
        <w:pStyle w:val="Paragraphe"/>
        <w:spacing w:line="280" w:lineRule="exact"/>
        <w:rPr>
          <w:lang w:val="en-CA"/>
        </w:rPr>
      </w:pPr>
      <w:r w:rsidRPr="00105125">
        <w:rPr>
          <w:i/>
          <w:lang w:val="en-CA"/>
        </w:rPr>
        <w:t>Katz</w:t>
      </w:r>
      <w:r w:rsidRPr="00105125">
        <w:rPr>
          <w:lang w:val="en-CA"/>
        </w:rPr>
        <w:t>,</w:t>
      </w:r>
      <w:r w:rsidRPr="00105125">
        <w:rPr>
          <w:rStyle w:val="Appelnotedebasdep"/>
          <w:lang w:val="en-CA"/>
        </w:rPr>
        <w:footnoteReference w:id="22"/>
      </w:r>
      <w:r w:rsidRPr="00105125">
        <w:rPr>
          <w:lang w:val="en-CA"/>
        </w:rPr>
        <w:t xml:space="preserve"> rendered by the Supreme Court in 2013, is </w:t>
      </w:r>
      <w:r w:rsidR="00B97DDC">
        <w:rPr>
          <w:lang w:val="en-CA"/>
        </w:rPr>
        <w:t>a</w:t>
      </w:r>
      <w:r w:rsidR="00B97DDC" w:rsidRPr="00105125">
        <w:rPr>
          <w:lang w:val="en-CA"/>
        </w:rPr>
        <w:t xml:space="preserve"> </w:t>
      </w:r>
      <w:r w:rsidRPr="00105125">
        <w:rPr>
          <w:lang w:val="en-CA"/>
        </w:rPr>
        <w:t>leading case to determine a regulation</w:t>
      </w:r>
      <w:r w:rsidR="00647DEB">
        <w:rPr>
          <w:lang w:val="en-CA"/>
        </w:rPr>
        <w:t>’s validity</w:t>
      </w:r>
      <w:r w:rsidRPr="00105125">
        <w:rPr>
          <w:lang w:val="en-CA"/>
        </w:rPr>
        <w:t xml:space="preserve">. </w:t>
      </w:r>
      <w:proofErr w:type="spellStart"/>
      <w:r w:rsidRPr="00105125">
        <w:rPr>
          <w:lang w:val="en-CA"/>
        </w:rPr>
        <w:t>Abella</w:t>
      </w:r>
      <w:proofErr w:type="spellEnd"/>
      <w:r w:rsidRPr="00105125">
        <w:rPr>
          <w:lang w:val="en-CA"/>
        </w:rPr>
        <w:t xml:space="preserve"> J., on behalf of the Court, explained that regulations benefit from a presumption of validity. </w:t>
      </w:r>
      <w:r w:rsidR="001D4CD8">
        <w:rPr>
          <w:lang w:val="en-CA"/>
        </w:rPr>
        <w:t xml:space="preserve">The burden is </w:t>
      </w:r>
      <w:r w:rsidR="00647DEB">
        <w:rPr>
          <w:lang w:val="en-CA"/>
        </w:rPr>
        <w:t xml:space="preserve">therefore </w:t>
      </w:r>
      <w:r w:rsidR="001D4CD8">
        <w:rPr>
          <w:lang w:val="en-CA"/>
        </w:rPr>
        <w:t>on c</w:t>
      </w:r>
      <w:r w:rsidRPr="00105125">
        <w:rPr>
          <w:lang w:val="en-CA"/>
        </w:rPr>
        <w:t>hallenge</w:t>
      </w:r>
      <w:r w:rsidR="001D4CD8">
        <w:rPr>
          <w:lang w:val="en-CA"/>
        </w:rPr>
        <w:t>r</w:t>
      </w:r>
      <w:r w:rsidRPr="00105125">
        <w:rPr>
          <w:lang w:val="en-CA"/>
        </w:rPr>
        <w:t xml:space="preserve">s </w:t>
      </w:r>
      <w:r w:rsidR="001D4CD8">
        <w:rPr>
          <w:lang w:val="en-CA"/>
        </w:rPr>
        <w:t>t</w:t>
      </w:r>
      <w:r w:rsidRPr="00105125">
        <w:rPr>
          <w:lang w:val="en-CA"/>
        </w:rPr>
        <w:t>o demonstrat</w:t>
      </w:r>
      <w:r w:rsidR="001D4CD8">
        <w:rPr>
          <w:lang w:val="en-CA"/>
        </w:rPr>
        <w:t>e</w:t>
      </w:r>
      <w:r w:rsidRPr="00105125">
        <w:rPr>
          <w:lang w:val="en-CA"/>
        </w:rPr>
        <w:t xml:space="preserve"> </w:t>
      </w:r>
      <w:r w:rsidR="001D4CD8">
        <w:rPr>
          <w:lang w:val="en-CA"/>
        </w:rPr>
        <w:t>their</w:t>
      </w:r>
      <w:r w:rsidRPr="00105125">
        <w:rPr>
          <w:lang w:val="en-CA"/>
        </w:rPr>
        <w:t xml:space="preserve"> invalidity. To do so, it must be shown that the regulation is “inconsistent with the objective of the enabling statute or the scope of the statutory mandate”.</w:t>
      </w:r>
      <w:r w:rsidRPr="00105125">
        <w:rPr>
          <w:rStyle w:val="Appelnotedebasdep"/>
          <w:lang w:val="en-CA"/>
        </w:rPr>
        <w:footnoteReference w:id="23"/>
      </w:r>
      <w:r w:rsidRPr="00105125">
        <w:rPr>
          <w:lang w:val="en-CA"/>
        </w:rPr>
        <w:t xml:space="preserve"> Moreover, a purposive </w:t>
      </w:r>
      <w:r w:rsidR="001D4CD8">
        <w:rPr>
          <w:lang w:val="en-CA"/>
        </w:rPr>
        <w:t>approach</w:t>
      </w:r>
      <w:r w:rsidRPr="00105125">
        <w:rPr>
          <w:lang w:val="en-CA"/>
        </w:rPr>
        <w:t xml:space="preserve"> is favoured so that, where possible, the regulation is construed in a manner which renders it </w:t>
      </w:r>
      <w:r w:rsidRPr="00105125">
        <w:rPr>
          <w:i/>
          <w:lang w:val="en-CA"/>
        </w:rPr>
        <w:t>intra vires</w:t>
      </w:r>
      <w:r w:rsidRPr="00105125">
        <w:rPr>
          <w:lang w:val="en-CA"/>
        </w:rPr>
        <w:t xml:space="preserve">. </w:t>
      </w:r>
      <w:proofErr w:type="spellStart"/>
      <w:r w:rsidRPr="00105125">
        <w:rPr>
          <w:lang w:val="en-CA"/>
        </w:rPr>
        <w:t>Abella</w:t>
      </w:r>
      <w:proofErr w:type="spellEnd"/>
      <w:r w:rsidRPr="00105125">
        <w:rPr>
          <w:lang w:val="en-CA"/>
        </w:rPr>
        <w:t xml:space="preserve"> J. stated:</w:t>
      </w:r>
    </w:p>
    <w:p w14:paraId="729F4626" w14:textId="1BFF1771" w:rsidR="0072362A" w:rsidRPr="001D4CD8" w:rsidRDefault="004A7BFD" w:rsidP="0072362A">
      <w:pPr>
        <w:spacing w:before="120" w:after="120"/>
        <w:ind w:left="720" w:right="720"/>
        <w:jc w:val="both"/>
        <w:rPr>
          <w:kern w:val="24"/>
          <w:sz w:val="22"/>
          <w:szCs w:val="22"/>
          <w:lang w:val="en-CA"/>
        </w:rPr>
      </w:pPr>
      <w:r w:rsidRPr="001D4CD8">
        <w:rPr>
          <w:kern w:val="24"/>
          <w:sz w:val="22"/>
          <w:szCs w:val="22"/>
          <w:lang w:val="en-CA"/>
        </w:rPr>
        <w:t>[25]</w:t>
      </w:r>
      <w:r w:rsidRPr="001D4CD8">
        <w:rPr>
          <w:kern w:val="24"/>
          <w:sz w:val="22"/>
          <w:szCs w:val="22"/>
          <w:lang w:val="en-CA"/>
        </w:rPr>
        <w:tab/>
      </w:r>
      <w:r w:rsidR="000A0D4C" w:rsidRPr="001D4CD8">
        <w:rPr>
          <w:color w:val="000000"/>
          <w:sz w:val="22"/>
          <w:szCs w:val="22"/>
          <w:lang w:val="en-CA"/>
        </w:rPr>
        <w:t xml:space="preserve">Regulations benefit from a </w:t>
      </w:r>
      <w:r w:rsidR="000A0D4C" w:rsidRPr="001D4CD8">
        <w:rPr>
          <w:color w:val="000000"/>
          <w:sz w:val="22"/>
          <w:szCs w:val="22"/>
          <w:u w:val="single"/>
          <w:lang w:val="en-CA"/>
        </w:rPr>
        <w:t>presumption of validity</w:t>
      </w:r>
      <w:r w:rsidR="000A0D4C" w:rsidRPr="001D4CD8">
        <w:rPr>
          <w:color w:val="000000"/>
          <w:sz w:val="22"/>
          <w:szCs w:val="22"/>
          <w:lang w:val="en-CA"/>
        </w:rPr>
        <w:t xml:space="preserve"> (Ruth Sullivan, </w:t>
      </w:r>
      <w:r w:rsidR="000A0D4C" w:rsidRPr="001D4CD8">
        <w:rPr>
          <w:i/>
          <w:iCs/>
          <w:color w:val="000000"/>
          <w:sz w:val="22"/>
          <w:szCs w:val="22"/>
          <w:lang w:val="en-CA"/>
        </w:rPr>
        <w:t>Sullivan on the Construction of Statutes</w:t>
      </w:r>
      <w:r w:rsidR="000A0D4C" w:rsidRPr="001D4CD8">
        <w:rPr>
          <w:color w:val="000000"/>
          <w:sz w:val="22"/>
          <w:szCs w:val="22"/>
          <w:lang w:val="en-CA"/>
        </w:rPr>
        <w:t> (5th ed. 2008), at p. 458). This presumption has two aspects: it places the burden on challengers to demonstrate the invalidity of regulations, rather than on regulatory bodies to justify them (John Mark Keyes, </w:t>
      </w:r>
      <w:r w:rsidR="000A0D4C" w:rsidRPr="001D4CD8">
        <w:rPr>
          <w:i/>
          <w:iCs/>
          <w:color w:val="000000"/>
          <w:sz w:val="22"/>
          <w:szCs w:val="22"/>
          <w:lang w:val="en-CA"/>
        </w:rPr>
        <w:t>Executive Legislation </w:t>
      </w:r>
      <w:r w:rsidR="000A0D4C" w:rsidRPr="001D4CD8">
        <w:rPr>
          <w:color w:val="000000"/>
          <w:sz w:val="22"/>
          <w:szCs w:val="22"/>
          <w:lang w:val="en-CA"/>
        </w:rPr>
        <w:t xml:space="preserve">(2nd ed. 2010), at pp. 544-50); and it favours </w:t>
      </w:r>
      <w:r w:rsidR="000A0D4C" w:rsidRPr="001D4CD8">
        <w:rPr>
          <w:color w:val="000000"/>
          <w:sz w:val="22"/>
          <w:szCs w:val="22"/>
          <w:u w:val="single"/>
          <w:lang w:val="en-CA"/>
        </w:rPr>
        <w:t>an interpretative approach that reconciles the regulation with its enabling statute</w:t>
      </w:r>
      <w:r w:rsidR="000A0D4C" w:rsidRPr="001D4CD8">
        <w:rPr>
          <w:color w:val="000000"/>
          <w:sz w:val="22"/>
          <w:szCs w:val="22"/>
          <w:lang w:val="en-CA"/>
        </w:rPr>
        <w:t xml:space="preserve"> so that, </w:t>
      </w:r>
      <w:r w:rsidR="000A0D4C" w:rsidRPr="001D4CD8">
        <w:rPr>
          <w:i/>
          <w:iCs/>
          <w:color w:val="000000"/>
          <w:sz w:val="22"/>
          <w:szCs w:val="22"/>
          <w:lang w:val="en-CA"/>
        </w:rPr>
        <w:t>where possible</w:t>
      </w:r>
      <w:r w:rsidR="000A0D4C" w:rsidRPr="001D4CD8">
        <w:rPr>
          <w:color w:val="000000"/>
          <w:sz w:val="22"/>
          <w:szCs w:val="22"/>
          <w:lang w:val="en-CA"/>
        </w:rPr>
        <w:t>, the regulation is construed in a manner which renders it </w:t>
      </w:r>
      <w:r w:rsidR="000A0D4C" w:rsidRPr="001D4CD8">
        <w:rPr>
          <w:i/>
          <w:iCs/>
          <w:color w:val="000000"/>
          <w:sz w:val="22"/>
          <w:szCs w:val="22"/>
          <w:lang w:val="en-CA"/>
        </w:rPr>
        <w:t>intra vires</w:t>
      </w:r>
      <w:r w:rsidRPr="001D4CD8">
        <w:rPr>
          <w:kern w:val="24"/>
          <w:sz w:val="22"/>
          <w:szCs w:val="22"/>
          <w:lang w:val="en-CA"/>
        </w:rPr>
        <w:t>.</w:t>
      </w:r>
    </w:p>
    <w:p w14:paraId="6353057B" w14:textId="06B84491" w:rsidR="0072362A" w:rsidRPr="001D4CD8" w:rsidRDefault="004A7BFD" w:rsidP="0072362A">
      <w:pPr>
        <w:spacing w:before="120" w:after="120"/>
        <w:ind w:left="720" w:right="720"/>
        <w:jc w:val="both"/>
        <w:rPr>
          <w:kern w:val="24"/>
          <w:sz w:val="22"/>
          <w:szCs w:val="22"/>
          <w:lang w:val="en-CA"/>
        </w:rPr>
      </w:pPr>
      <w:r w:rsidRPr="001D4CD8">
        <w:rPr>
          <w:kern w:val="24"/>
          <w:sz w:val="22"/>
          <w:szCs w:val="22"/>
          <w:lang w:val="en-CA"/>
        </w:rPr>
        <w:t>[26]</w:t>
      </w:r>
      <w:r w:rsidRPr="001D4CD8">
        <w:rPr>
          <w:kern w:val="24"/>
          <w:sz w:val="22"/>
          <w:szCs w:val="22"/>
          <w:lang w:val="en-CA"/>
        </w:rPr>
        <w:tab/>
      </w:r>
      <w:r w:rsidR="000A0D4C" w:rsidRPr="001D4CD8">
        <w:rPr>
          <w:color w:val="000000"/>
          <w:sz w:val="22"/>
          <w:szCs w:val="22"/>
          <w:lang w:val="en-CA"/>
        </w:rPr>
        <w:t>Both the challenged regulation and the enabling statute should be interpreted using a “</w:t>
      </w:r>
      <w:r w:rsidR="000A0D4C" w:rsidRPr="001D4CD8">
        <w:rPr>
          <w:color w:val="000000"/>
          <w:sz w:val="22"/>
          <w:szCs w:val="22"/>
          <w:u w:val="single"/>
          <w:lang w:val="en-CA"/>
        </w:rPr>
        <w:t>broad and purposive approach</w:t>
      </w:r>
      <w:r w:rsidR="000A0D4C" w:rsidRPr="001D4CD8">
        <w:rPr>
          <w:color w:val="000000"/>
          <w:sz w:val="22"/>
          <w:szCs w:val="22"/>
          <w:lang w:val="en-CA"/>
        </w:rPr>
        <w:t xml:space="preserve"> . . . consistent with this Court’s approach to statutory interpretation generally”</w:t>
      </w:r>
      <w:r w:rsidRPr="001D4CD8">
        <w:rPr>
          <w:kern w:val="24"/>
          <w:sz w:val="22"/>
          <w:szCs w:val="22"/>
          <w:lang w:val="en-CA"/>
        </w:rPr>
        <w:t>.</w:t>
      </w:r>
    </w:p>
    <w:p w14:paraId="03062C42" w14:textId="642F531B" w:rsidR="0072362A" w:rsidRPr="001D4CD8" w:rsidRDefault="004A7BFD" w:rsidP="0072362A">
      <w:pPr>
        <w:spacing w:before="120" w:after="120"/>
        <w:ind w:left="720" w:right="720"/>
        <w:jc w:val="both"/>
        <w:rPr>
          <w:kern w:val="24"/>
          <w:sz w:val="22"/>
          <w:szCs w:val="22"/>
          <w:lang w:val="en-CA"/>
        </w:rPr>
      </w:pPr>
      <w:r w:rsidRPr="001D4CD8">
        <w:rPr>
          <w:kern w:val="24"/>
          <w:sz w:val="22"/>
          <w:szCs w:val="22"/>
          <w:lang w:val="en-CA"/>
        </w:rPr>
        <w:lastRenderedPageBreak/>
        <w:t>[27]</w:t>
      </w:r>
      <w:r w:rsidRPr="001D4CD8">
        <w:rPr>
          <w:kern w:val="24"/>
          <w:sz w:val="22"/>
          <w:szCs w:val="22"/>
          <w:lang w:val="en-CA"/>
        </w:rPr>
        <w:tab/>
      </w:r>
      <w:r w:rsidR="000A0D4C" w:rsidRPr="001D4CD8">
        <w:rPr>
          <w:color w:val="000000"/>
          <w:sz w:val="22"/>
          <w:szCs w:val="22"/>
          <w:lang w:val="en-CA"/>
        </w:rPr>
        <w:t>This inquiry does not involve assessing the policy merits of the regulations to determine whether they are “necessary, wise, or effective in practice” (</w:t>
      </w:r>
      <w:r w:rsidR="000A0D4C" w:rsidRPr="001D4CD8">
        <w:rPr>
          <w:i/>
          <w:iCs/>
          <w:color w:val="000000"/>
          <w:sz w:val="22"/>
          <w:szCs w:val="22"/>
          <w:lang w:val="en-CA"/>
        </w:rPr>
        <w:t>Jafari v. Canada (Minister of Employment and Immigration)</w:t>
      </w:r>
      <w:r w:rsidR="000A0D4C" w:rsidRPr="001D4CD8">
        <w:rPr>
          <w:color w:val="000000"/>
          <w:sz w:val="22"/>
          <w:szCs w:val="22"/>
          <w:lang w:val="en-CA"/>
        </w:rPr>
        <w:t>, </w:t>
      </w:r>
      <w:r w:rsidR="000A0D4C" w:rsidRPr="001D4CD8">
        <w:rPr>
          <w:sz w:val="22"/>
          <w:szCs w:val="22"/>
          <w:lang w:val="en-CA"/>
        </w:rPr>
        <w:t>1995 CanLII 3592 (FCA)</w:t>
      </w:r>
      <w:r w:rsidR="000A0D4C" w:rsidRPr="001D4CD8">
        <w:rPr>
          <w:color w:val="000000"/>
          <w:sz w:val="22"/>
          <w:szCs w:val="22"/>
          <w:lang w:val="en-CA"/>
        </w:rPr>
        <w:t>, [1995] 2 F.C. 595 (C.A.), at p. 604). As explained in </w:t>
      </w:r>
      <w:r w:rsidR="000A0D4C" w:rsidRPr="001D4CD8">
        <w:rPr>
          <w:i/>
          <w:iCs/>
          <w:color w:val="000000"/>
          <w:sz w:val="22"/>
          <w:szCs w:val="22"/>
          <w:lang w:val="en-CA"/>
        </w:rPr>
        <w:t>Ontario Federation of Anglers &amp; Hunters v. Ontario (Ministry of Natural Resources)</w:t>
      </w:r>
      <w:r w:rsidRPr="001D4CD8">
        <w:rPr>
          <w:kern w:val="24"/>
          <w:sz w:val="22"/>
          <w:szCs w:val="22"/>
          <w:lang w:val="en-CA"/>
        </w:rPr>
        <w:t> ...:</w:t>
      </w:r>
    </w:p>
    <w:p w14:paraId="1EDC9B06" w14:textId="6A4917C5" w:rsidR="0072362A" w:rsidRPr="001D4CD8" w:rsidRDefault="000A0D4C" w:rsidP="0072362A">
      <w:pPr>
        <w:spacing w:before="120" w:after="120" w:line="240" w:lineRule="auto"/>
        <w:ind w:left="1440" w:right="720"/>
        <w:jc w:val="both"/>
        <w:rPr>
          <w:kern w:val="24"/>
          <w:sz w:val="20"/>
          <w:lang w:val="en-CA"/>
        </w:rPr>
      </w:pPr>
      <w:r w:rsidRPr="001D4CD8">
        <w:rPr>
          <w:color w:val="000000"/>
          <w:sz w:val="20"/>
          <w:lang w:val="en-CA"/>
        </w:rPr>
        <w:t>. . . the judicial review of regulations, as opposed to administrative decisions, is usually restricted to the grounds that they are inconsistent with the purpose of the statute or that some condition precedent in the statute has not been observed. The motives for their promulgation are irrelevant. [para. 41]</w:t>
      </w:r>
    </w:p>
    <w:p w14:paraId="1033EDC2" w14:textId="7AAFBC1E" w:rsidR="0072362A" w:rsidRPr="00105125" w:rsidRDefault="004A7BFD" w:rsidP="0072362A">
      <w:pPr>
        <w:pStyle w:val="Citationenretrait"/>
        <w:rPr>
          <w:lang w:val="en-CA"/>
        </w:rPr>
      </w:pPr>
      <w:r w:rsidRPr="001D4CD8">
        <w:rPr>
          <w:szCs w:val="22"/>
          <w:lang w:val="en-CA"/>
        </w:rPr>
        <w:t>[28]</w:t>
      </w:r>
      <w:r w:rsidRPr="001D4CD8">
        <w:rPr>
          <w:szCs w:val="22"/>
          <w:lang w:val="en-CA"/>
        </w:rPr>
        <w:tab/>
      </w:r>
      <w:r w:rsidR="000A0D4C" w:rsidRPr="001D4CD8">
        <w:rPr>
          <w:color w:val="000000"/>
          <w:szCs w:val="22"/>
          <w:lang w:val="en-CA"/>
        </w:rPr>
        <w:t>It is not an inquiry into the underlying “political, economic, social or partisan considerations” (</w:t>
      </w:r>
      <w:r w:rsidR="000A0D4C" w:rsidRPr="001D4CD8">
        <w:rPr>
          <w:i/>
          <w:iCs/>
          <w:color w:val="000000"/>
          <w:szCs w:val="22"/>
          <w:lang w:val="en-CA"/>
        </w:rPr>
        <w:t>Thorne’s Hardware Ltd. v. The Queen</w:t>
      </w:r>
      <w:r w:rsidR="000A0D4C" w:rsidRPr="001D4CD8">
        <w:rPr>
          <w:color w:val="000000"/>
          <w:szCs w:val="22"/>
          <w:lang w:val="en-CA"/>
        </w:rPr>
        <w:t>, </w:t>
      </w:r>
      <w:r w:rsidR="000A0D4C" w:rsidRPr="001D4CD8">
        <w:rPr>
          <w:szCs w:val="22"/>
          <w:lang w:val="en-CA"/>
        </w:rPr>
        <w:t>1983 CanLII 20 (SCC)</w:t>
      </w:r>
      <w:r w:rsidR="000A0D4C" w:rsidRPr="001D4CD8">
        <w:rPr>
          <w:color w:val="000000"/>
          <w:szCs w:val="22"/>
          <w:lang w:val="en-CA"/>
        </w:rPr>
        <w:t>, [1983] 1 S.C.R. 106, at pp. 112-13). Nor does the </w:t>
      </w:r>
      <w:r w:rsidR="000A0D4C" w:rsidRPr="001D4CD8">
        <w:rPr>
          <w:i/>
          <w:iCs/>
          <w:color w:val="000000"/>
          <w:szCs w:val="22"/>
          <w:lang w:val="en-CA"/>
        </w:rPr>
        <w:t>vires</w:t>
      </w:r>
      <w:r w:rsidR="000A0D4C" w:rsidRPr="001D4CD8">
        <w:rPr>
          <w:color w:val="000000"/>
          <w:szCs w:val="22"/>
          <w:lang w:val="en-CA"/>
        </w:rPr>
        <w:t> of regulations hinge on whether, in the court’s view, they will actually succeed at achieving the statutory objectives (</w:t>
      </w:r>
      <w:r w:rsidR="000A0D4C" w:rsidRPr="001D4CD8">
        <w:rPr>
          <w:i/>
          <w:iCs/>
          <w:color w:val="000000"/>
          <w:szCs w:val="22"/>
          <w:lang w:val="en-CA"/>
        </w:rPr>
        <w:t>CKOY Ltd. v. The Queen</w:t>
      </w:r>
      <w:r w:rsidR="000A0D4C" w:rsidRPr="001D4CD8">
        <w:rPr>
          <w:color w:val="000000"/>
          <w:szCs w:val="22"/>
          <w:lang w:val="en-CA"/>
        </w:rPr>
        <w:t>, </w:t>
      </w:r>
      <w:r w:rsidR="000A0D4C" w:rsidRPr="001D4CD8">
        <w:rPr>
          <w:szCs w:val="22"/>
          <w:lang w:val="en-CA"/>
        </w:rPr>
        <w:t>1978 CanLII 40 (SCC)</w:t>
      </w:r>
      <w:r w:rsidR="000A0D4C" w:rsidRPr="001D4CD8">
        <w:rPr>
          <w:color w:val="000000"/>
          <w:szCs w:val="22"/>
          <w:lang w:val="en-CA"/>
        </w:rPr>
        <w:t>, [1979] 1 S.C.R. 2, at p. 12; see also</w:t>
      </w:r>
      <w:r w:rsidR="000A0D4C" w:rsidRPr="001D4CD8">
        <w:rPr>
          <w:b/>
          <w:bCs/>
          <w:color w:val="000000"/>
          <w:szCs w:val="22"/>
          <w:lang w:val="en-CA"/>
        </w:rPr>
        <w:t> </w:t>
      </w:r>
      <w:r w:rsidR="000A0D4C" w:rsidRPr="001D4CD8">
        <w:rPr>
          <w:i/>
          <w:iCs/>
          <w:color w:val="000000"/>
          <w:szCs w:val="22"/>
          <w:lang w:val="en-CA"/>
        </w:rPr>
        <w:t>Jafari</w:t>
      </w:r>
      <w:r w:rsidR="000A0D4C" w:rsidRPr="001D4CD8">
        <w:rPr>
          <w:color w:val="000000"/>
          <w:szCs w:val="22"/>
          <w:lang w:val="en-CA"/>
        </w:rPr>
        <w:t>,</w:t>
      </w:r>
      <w:r w:rsidR="000A0D4C" w:rsidRPr="001D4CD8">
        <w:rPr>
          <w:i/>
          <w:iCs/>
          <w:color w:val="000000"/>
          <w:szCs w:val="22"/>
          <w:lang w:val="en-CA"/>
        </w:rPr>
        <w:t> </w:t>
      </w:r>
      <w:r w:rsidR="000A0D4C" w:rsidRPr="001D4CD8">
        <w:rPr>
          <w:color w:val="000000"/>
          <w:szCs w:val="22"/>
          <w:lang w:val="en-CA"/>
        </w:rPr>
        <w:t>at p. 602; Keyes, at p. 266).  They must be “irrelevant”, “extraneous” or “completely unrelated” to the statutory purpose to be found to be </w:t>
      </w:r>
      <w:r w:rsidR="000A0D4C" w:rsidRPr="001D4CD8">
        <w:rPr>
          <w:i/>
          <w:iCs/>
          <w:color w:val="000000"/>
          <w:szCs w:val="22"/>
          <w:lang w:val="en-CA"/>
        </w:rPr>
        <w:t>ultra vires</w:t>
      </w:r>
      <w:r w:rsidR="000A0D4C" w:rsidRPr="001D4CD8">
        <w:rPr>
          <w:color w:val="000000"/>
          <w:szCs w:val="22"/>
          <w:lang w:val="en-CA"/>
        </w:rPr>
        <w:t> on the basis of inconsistency with statutory purpose (</w:t>
      </w:r>
      <w:r w:rsidR="000A0D4C" w:rsidRPr="001D4CD8">
        <w:rPr>
          <w:i/>
          <w:iCs/>
          <w:color w:val="000000"/>
          <w:szCs w:val="22"/>
          <w:lang w:val="en-CA"/>
        </w:rPr>
        <w:t xml:space="preserve">Alaska </w:t>
      </w:r>
      <w:proofErr w:type="spellStart"/>
      <w:r w:rsidR="000A0D4C" w:rsidRPr="001D4CD8">
        <w:rPr>
          <w:i/>
          <w:iCs/>
          <w:color w:val="000000"/>
          <w:szCs w:val="22"/>
          <w:lang w:val="en-CA"/>
        </w:rPr>
        <w:t>Trainship</w:t>
      </w:r>
      <w:proofErr w:type="spellEnd"/>
      <w:r w:rsidR="000A0D4C" w:rsidRPr="001D4CD8">
        <w:rPr>
          <w:i/>
          <w:iCs/>
          <w:color w:val="000000"/>
          <w:szCs w:val="22"/>
          <w:lang w:val="en-CA"/>
        </w:rPr>
        <w:t xml:space="preserve"> Corp. v. Pacific Pilotage Authority</w:t>
      </w:r>
      <w:r w:rsidR="000A0D4C" w:rsidRPr="001D4CD8">
        <w:rPr>
          <w:color w:val="000000"/>
          <w:szCs w:val="22"/>
          <w:lang w:val="en-CA"/>
        </w:rPr>
        <w:t>, </w:t>
      </w:r>
      <w:r w:rsidR="000A0D4C" w:rsidRPr="001D4CD8">
        <w:rPr>
          <w:szCs w:val="22"/>
          <w:lang w:val="en-CA"/>
        </w:rPr>
        <w:t>1981 CanLII 175 (SCC)</w:t>
      </w:r>
      <w:r w:rsidR="000A0D4C" w:rsidRPr="001D4CD8">
        <w:rPr>
          <w:color w:val="000000"/>
          <w:szCs w:val="22"/>
          <w:lang w:val="en-CA"/>
        </w:rPr>
        <w:t>, [1981] 1 S.C.R. 261; </w:t>
      </w:r>
      <w:r w:rsidR="000A0D4C" w:rsidRPr="001D4CD8">
        <w:rPr>
          <w:i/>
          <w:iCs/>
          <w:color w:val="000000"/>
          <w:szCs w:val="22"/>
          <w:lang w:val="en-CA"/>
        </w:rPr>
        <w:t>Re Doctors Hospital and Minister of Health </w:t>
      </w:r>
      <w:r w:rsidR="000A0D4C" w:rsidRPr="001D4CD8">
        <w:rPr>
          <w:color w:val="000000"/>
          <w:szCs w:val="22"/>
          <w:lang w:val="en-CA"/>
        </w:rPr>
        <w:t>(1976), </w:t>
      </w:r>
      <w:r w:rsidR="000A0D4C" w:rsidRPr="001D4CD8">
        <w:rPr>
          <w:szCs w:val="22"/>
          <w:lang w:val="en-CA"/>
        </w:rPr>
        <w:t>1976 CanLII 739 (ON SC)</w:t>
      </w:r>
      <w:r w:rsidR="000A0D4C" w:rsidRPr="001D4CD8">
        <w:rPr>
          <w:color w:val="000000"/>
          <w:szCs w:val="22"/>
          <w:lang w:val="en-CA"/>
        </w:rPr>
        <w:t>, 12 O.R. (2d) 164 (Div. Ct.); </w:t>
      </w:r>
      <w:r w:rsidR="000A0D4C" w:rsidRPr="001D4CD8">
        <w:rPr>
          <w:i/>
          <w:iCs/>
          <w:color w:val="000000"/>
          <w:szCs w:val="22"/>
          <w:lang w:val="en-CA"/>
        </w:rPr>
        <w:t>Shell Canada Products Ltd. v. Vancouver (City)</w:t>
      </w:r>
      <w:r w:rsidR="000A0D4C" w:rsidRPr="001D4CD8">
        <w:rPr>
          <w:color w:val="000000"/>
          <w:szCs w:val="22"/>
          <w:lang w:val="en-CA"/>
        </w:rPr>
        <w:t>, </w:t>
      </w:r>
      <w:r w:rsidR="000A0D4C" w:rsidRPr="001D4CD8">
        <w:rPr>
          <w:szCs w:val="22"/>
          <w:lang w:val="en-CA"/>
        </w:rPr>
        <w:t>1994 CanLII 115 (SCC)</w:t>
      </w:r>
      <w:r w:rsidR="000A0D4C" w:rsidRPr="001D4CD8">
        <w:rPr>
          <w:color w:val="000000"/>
          <w:szCs w:val="22"/>
          <w:lang w:val="en-CA"/>
        </w:rPr>
        <w:t>, [1994] 1 S.C.R. 231, at p. 280; </w:t>
      </w:r>
      <w:r w:rsidR="000A0D4C" w:rsidRPr="001D4CD8">
        <w:rPr>
          <w:i/>
          <w:iCs/>
          <w:color w:val="000000"/>
          <w:szCs w:val="22"/>
          <w:lang w:val="en-CA"/>
        </w:rPr>
        <w:t>Jafari</w:t>
      </w:r>
      <w:r w:rsidR="000A0D4C" w:rsidRPr="001D4CD8">
        <w:rPr>
          <w:color w:val="000000"/>
          <w:szCs w:val="22"/>
          <w:lang w:val="en-CA"/>
        </w:rPr>
        <w:t>, at p. 604; Brown and Evans, at 15:3261).  In effect, although it is possible to strike down regulations as </w:t>
      </w:r>
      <w:r w:rsidR="000A0D4C" w:rsidRPr="001D4CD8">
        <w:rPr>
          <w:i/>
          <w:iCs/>
          <w:color w:val="000000"/>
          <w:szCs w:val="22"/>
          <w:lang w:val="en-CA"/>
        </w:rPr>
        <w:t>ultra vires</w:t>
      </w:r>
      <w:r w:rsidR="000A0D4C" w:rsidRPr="001D4CD8">
        <w:rPr>
          <w:color w:val="000000"/>
          <w:szCs w:val="22"/>
          <w:lang w:val="en-CA"/>
        </w:rPr>
        <w:t> on this basis, as Dickson J. observed, “it would take an egregious case to warrant such action”</w:t>
      </w:r>
      <w:r w:rsidR="00F74EE8" w:rsidRPr="001D4CD8">
        <w:rPr>
          <w:color w:val="000000"/>
          <w:szCs w:val="22"/>
          <w:lang w:val="en-CA"/>
        </w:rPr>
        <w:t>.</w:t>
      </w:r>
      <w:r w:rsidRPr="001D4CD8">
        <w:rPr>
          <w:szCs w:val="22"/>
          <w:vertAlign w:val="superscript"/>
          <w:lang w:val="en-CA"/>
        </w:rPr>
        <w:footnoteReference w:id="24"/>
      </w:r>
    </w:p>
    <w:p w14:paraId="3334D4EA" w14:textId="69030A97" w:rsidR="0072362A" w:rsidRPr="00105125" w:rsidRDefault="004A7BFD" w:rsidP="0072362A">
      <w:pPr>
        <w:spacing w:before="120" w:after="120"/>
        <w:ind w:left="4820" w:right="720"/>
        <w:jc w:val="right"/>
        <w:rPr>
          <w:kern w:val="24"/>
          <w:sz w:val="22"/>
          <w:lang w:val="en-CA"/>
        </w:rPr>
      </w:pPr>
      <w:r w:rsidRPr="00105125">
        <w:rPr>
          <w:kern w:val="24"/>
          <w:sz w:val="22"/>
          <w:lang w:val="en-CA"/>
        </w:rPr>
        <w:t xml:space="preserve"> [Emphasis added; </w:t>
      </w:r>
      <w:r w:rsidR="00EE7468">
        <w:rPr>
          <w:kern w:val="24"/>
          <w:sz w:val="22"/>
          <w:lang w:val="en-CA"/>
        </w:rPr>
        <w:t>references</w:t>
      </w:r>
      <w:r w:rsidRPr="00105125">
        <w:rPr>
          <w:kern w:val="24"/>
          <w:sz w:val="22"/>
          <w:lang w:val="en-CA"/>
        </w:rPr>
        <w:t xml:space="preserve"> omitted]</w:t>
      </w:r>
    </w:p>
    <w:p w14:paraId="0CD8D9A5" w14:textId="063C4BE7" w:rsidR="0072362A" w:rsidRPr="00105125" w:rsidRDefault="00AF2E71" w:rsidP="001D61A3">
      <w:pPr>
        <w:pStyle w:val="Paragraphe"/>
        <w:spacing w:line="280" w:lineRule="exact"/>
        <w:rPr>
          <w:lang w:val="en-CA"/>
        </w:rPr>
      </w:pPr>
      <w:r w:rsidRPr="00105125">
        <w:rPr>
          <w:lang w:val="en-CA"/>
        </w:rPr>
        <w:t xml:space="preserve">The test that emerges from </w:t>
      </w:r>
      <w:r w:rsidR="004A7BFD" w:rsidRPr="00105125">
        <w:rPr>
          <w:i/>
          <w:iCs/>
          <w:lang w:val="en-CA"/>
        </w:rPr>
        <w:t>Katz</w:t>
      </w:r>
      <w:r w:rsidR="004A7BFD" w:rsidRPr="00105125">
        <w:rPr>
          <w:lang w:val="en-CA"/>
        </w:rPr>
        <w:t xml:space="preserve"> </w:t>
      </w:r>
      <w:r w:rsidRPr="00105125">
        <w:rPr>
          <w:lang w:val="en-CA"/>
        </w:rPr>
        <w:t xml:space="preserve">is therefore stringent because the </w:t>
      </w:r>
      <w:r w:rsidR="008E6B2F">
        <w:rPr>
          <w:lang w:val="en-CA"/>
        </w:rPr>
        <w:t>r</w:t>
      </w:r>
      <w:r w:rsidRPr="008E6B2F">
        <w:rPr>
          <w:lang w:val="en-CA"/>
        </w:rPr>
        <w:t>egulation</w:t>
      </w:r>
      <w:r w:rsidRPr="00105125">
        <w:rPr>
          <w:lang w:val="en-CA"/>
        </w:rPr>
        <w:t xml:space="preserve"> is presumed valid</w:t>
      </w:r>
      <w:r w:rsidR="004A7BFD" w:rsidRPr="00105125">
        <w:rPr>
          <w:lang w:val="en-CA"/>
        </w:rPr>
        <w:t xml:space="preserve">. </w:t>
      </w:r>
      <w:r w:rsidRPr="00105125">
        <w:rPr>
          <w:lang w:val="en-CA"/>
        </w:rPr>
        <w:t xml:space="preserve">Moreover, it must be irrelevant, extraneous or even completely unrelated to the statutory purpose to be found to be </w:t>
      </w:r>
      <w:r w:rsidRPr="00105125">
        <w:rPr>
          <w:i/>
          <w:iCs/>
          <w:lang w:val="en-CA"/>
        </w:rPr>
        <w:t>ultra vires</w:t>
      </w:r>
      <w:r w:rsidR="004A7BFD" w:rsidRPr="00105125">
        <w:rPr>
          <w:lang w:val="en-CA"/>
        </w:rPr>
        <w:t>.</w:t>
      </w:r>
    </w:p>
    <w:p w14:paraId="7622511A" w14:textId="1D2513BF" w:rsidR="0072362A" w:rsidRPr="00105125" w:rsidRDefault="008E6B2F" w:rsidP="001D61A3">
      <w:pPr>
        <w:pStyle w:val="Paragraphe"/>
        <w:spacing w:line="280" w:lineRule="exact"/>
        <w:rPr>
          <w:lang w:val="en-CA"/>
        </w:rPr>
      </w:pPr>
      <w:r>
        <w:rPr>
          <w:lang w:val="en-CA"/>
        </w:rPr>
        <w:t xml:space="preserve">With respect </w:t>
      </w:r>
      <w:r w:rsidR="00AF2E71" w:rsidRPr="00105125">
        <w:rPr>
          <w:lang w:val="en-CA"/>
        </w:rPr>
        <w:t>to the reasonableness standard</w:t>
      </w:r>
      <w:r w:rsidR="004A7BFD" w:rsidRPr="00105125">
        <w:rPr>
          <w:lang w:val="en-CA"/>
        </w:rPr>
        <w:t xml:space="preserve">, </w:t>
      </w:r>
      <w:r w:rsidR="00AF2E71" w:rsidRPr="00105125">
        <w:rPr>
          <w:lang w:val="en-CA"/>
        </w:rPr>
        <w:t xml:space="preserve">in </w:t>
      </w:r>
      <w:r w:rsidR="004A7BFD" w:rsidRPr="00105125">
        <w:rPr>
          <w:i/>
          <w:iCs/>
          <w:lang w:val="en-CA"/>
        </w:rPr>
        <w:t>Vavilov</w:t>
      </w:r>
      <w:r w:rsidR="004A7BFD" w:rsidRPr="00105125">
        <w:rPr>
          <w:lang w:val="en-CA"/>
        </w:rPr>
        <w:t xml:space="preserve">, </w:t>
      </w:r>
      <w:r w:rsidR="00AF2E71" w:rsidRPr="00105125">
        <w:rPr>
          <w:lang w:val="en-CA"/>
        </w:rPr>
        <w:t xml:space="preserve">the Supreme Court stated that the reasonableness of the regulatory act must nonetheless be measured in light of the </w:t>
      </w:r>
      <w:r w:rsidR="004A7BFD" w:rsidRPr="00105125">
        <w:rPr>
          <w:i/>
          <w:iCs/>
          <w:lang w:val="en-CA"/>
        </w:rPr>
        <w:t>Katz</w:t>
      </w:r>
      <w:bookmarkStart w:id="15" w:name="_Ref152678497"/>
      <w:r w:rsidRPr="008E6B2F">
        <w:rPr>
          <w:lang w:val="en-CA"/>
        </w:rPr>
        <w:t xml:space="preserve"> </w:t>
      </w:r>
      <w:r w:rsidRPr="00105125">
        <w:rPr>
          <w:lang w:val="en-CA"/>
        </w:rPr>
        <w:t>principles</w:t>
      </w:r>
      <w:r w:rsidR="004A7BFD" w:rsidRPr="00105125">
        <w:rPr>
          <w:lang w:val="en-CA"/>
        </w:rPr>
        <w:t>:</w:t>
      </w:r>
    </w:p>
    <w:p w14:paraId="1D8E3B33" w14:textId="272FE0CE" w:rsidR="0072362A" w:rsidRPr="00105125" w:rsidRDefault="004A7BFD" w:rsidP="0072362A">
      <w:pPr>
        <w:pStyle w:val="Citationenretrait"/>
        <w:rPr>
          <w:lang w:val="en-CA"/>
        </w:rPr>
      </w:pPr>
      <w:r w:rsidRPr="00105125">
        <w:rPr>
          <w:noProof/>
          <w:lang w:val="en-CA"/>
        </w:rPr>
        <w:t xml:space="preserve">[111] </w:t>
      </w:r>
      <w:r w:rsidR="009D16D4" w:rsidRPr="00105125">
        <w:rPr>
          <w:color w:val="000000"/>
          <w:lang w:val="en-CA"/>
        </w:rPr>
        <w:t>It is evident that both statutory and common law will impose constraints on how and what an administrative decision maker can lawfully decide: see </w:t>
      </w:r>
      <w:r w:rsidR="009D16D4" w:rsidRPr="00105125">
        <w:rPr>
          <w:i/>
          <w:iCs/>
          <w:color w:val="000000"/>
          <w:lang w:val="en-CA"/>
        </w:rPr>
        <w:t>Dunsmuir</w:t>
      </w:r>
      <w:r w:rsidR="009D16D4" w:rsidRPr="00105125">
        <w:rPr>
          <w:color w:val="000000"/>
          <w:lang w:val="en-CA"/>
        </w:rPr>
        <w:t>, at paras. </w:t>
      </w:r>
      <w:r w:rsidR="009D16D4" w:rsidRPr="00105125">
        <w:rPr>
          <w:lang w:val="en-CA"/>
        </w:rPr>
        <w:t>47 and 74</w:t>
      </w:r>
      <w:r w:rsidR="009D16D4" w:rsidRPr="00105125">
        <w:rPr>
          <w:color w:val="000000"/>
          <w:lang w:val="en-CA"/>
        </w:rPr>
        <w:t>. For example, an administrative decision maker interpreting the scope of its regulation-making authority in order to exercise that authority cannot adopt an interpretation that is inconsistent with applicable common law principles regarding the nature of statutory powers: see </w:t>
      </w:r>
      <w:r w:rsidR="009D16D4" w:rsidRPr="00105125">
        <w:rPr>
          <w:i/>
          <w:iCs/>
          <w:color w:val="000000"/>
          <w:lang w:val="en-CA"/>
        </w:rPr>
        <w:t xml:space="preserve">Katz Group Canada Inc. </w:t>
      </w:r>
      <w:r w:rsidR="009D16D4" w:rsidRPr="00105125">
        <w:rPr>
          <w:i/>
          <w:iCs/>
          <w:color w:val="000000"/>
          <w:lang w:val="en-CA"/>
        </w:rPr>
        <w:lastRenderedPageBreak/>
        <w:t>v. Ontario (Health and Long</w:t>
      </w:r>
      <w:r w:rsidR="009D16D4" w:rsidRPr="00105125">
        <w:rPr>
          <w:i/>
          <w:iCs/>
          <w:color w:val="000000"/>
          <w:lang w:val="en-CA"/>
        </w:rPr>
        <w:noBreakHyphen/>
        <w:t>Term Care)</w:t>
      </w:r>
      <w:r w:rsidR="009D16D4" w:rsidRPr="00105125">
        <w:rPr>
          <w:color w:val="000000"/>
          <w:lang w:val="en-CA"/>
        </w:rPr>
        <w:t>, </w:t>
      </w:r>
      <w:r w:rsidR="009D16D4" w:rsidRPr="00105125">
        <w:rPr>
          <w:lang w:val="en-CA"/>
        </w:rPr>
        <w:t>2013 SCC 64</w:t>
      </w:r>
      <w:r w:rsidR="009D16D4" w:rsidRPr="00105125">
        <w:rPr>
          <w:color w:val="000000"/>
          <w:lang w:val="en-CA"/>
        </w:rPr>
        <w:t>, [2013] 3 S.C.R. 810, at paras. </w:t>
      </w:r>
      <w:r w:rsidR="009D16D4" w:rsidRPr="00105125">
        <w:rPr>
          <w:lang w:val="en-CA"/>
        </w:rPr>
        <w:t>45-48</w:t>
      </w:r>
      <w:r w:rsidR="009D16D4" w:rsidRPr="00105125">
        <w:rPr>
          <w:color w:val="000000"/>
          <w:lang w:val="en-CA"/>
        </w:rPr>
        <w:t>.</w:t>
      </w:r>
      <w:r w:rsidRPr="00105125">
        <w:rPr>
          <w:rStyle w:val="Appelnotedebasdep"/>
          <w:lang w:val="en-CA"/>
        </w:rPr>
        <w:footnoteReference w:id="25"/>
      </w:r>
      <w:bookmarkEnd w:id="15"/>
    </w:p>
    <w:p w14:paraId="7481C49A" w14:textId="41795A5C" w:rsidR="0072362A" w:rsidRPr="00105125" w:rsidRDefault="00AF2E71" w:rsidP="001D61A3">
      <w:pPr>
        <w:pStyle w:val="Paragraphe"/>
        <w:spacing w:line="280" w:lineRule="exact"/>
        <w:rPr>
          <w:lang w:val="en-CA"/>
        </w:rPr>
      </w:pPr>
      <w:r w:rsidRPr="00105125">
        <w:rPr>
          <w:lang w:val="en-CA"/>
        </w:rPr>
        <w:t>In this case, I agree with the A</w:t>
      </w:r>
      <w:r w:rsidR="004A7BFD" w:rsidRPr="00105125">
        <w:rPr>
          <w:lang w:val="en-CA"/>
        </w:rPr>
        <w:t xml:space="preserve">GQ </w:t>
      </w:r>
      <w:r w:rsidRPr="00105125">
        <w:rPr>
          <w:lang w:val="en-CA"/>
        </w:rPr>
        <w:t xml:space="preserve">that the </w:t>
      </w:r>
      <w:r w:rsidR="0088279E">
        <w:rPr>
          <w:lang w:val="en-CA"/>
        </w:rPr>
        <w:t>words</w:t>
      </w:r>
      <w:r w:rsidRPr="00105125">
        <w:rPr>
          <w:lang w:val="en-CA"/>
        </w:rPr>
        <w:t xml:space="preserve"> of the </w:t>
      </w:r>
      <w:r w:rsidRPr="008E6B2F">
        <w:rPr>
          <w:i/>
          <w:iCs/>
          <w:lang w:val="en-CA"/>
        </w:rPr>
        <w:t>ECA</w:t>
      </w:r>
      <w:r w:rsidRPr="00105125">
        <w:rPr>
          <w:lang w:val="en-CA"/>
        </w:rPr>
        <w:t xml:space="preserve"> must be </w:t>
      </w:r>
      <w:r w:rsidR="0088279E">
        <w:rPr>
          <w:lang w:val="en-CA"/>
        </w:rPr>
        <w:t xml:space="preserve">read as a whole </w:t>
      </w:r>
      <w:r w:rsidRPr="00105125">
        <w:rPr>
          <w:lang w:val="en-CA"/>
        </w:rPr>
        <w:t xml:space="preserve">to decide whether the government could </w:t>
      </w:r>
      <w:r w:rsidR="00CB7281">
        <w:rPr>
          <w:lang w:val="en-CA"/>
        </w:rPr>
        <w:t>enact</w:t>
      </w:r>
      <w:r w:rsidRPr="00105125">
        <w:rPr>
          <w:lang w:val="en-CA"/>
        </w:rPr>
        <w:t xml:space="preserve"> section </w:t>
      </w:r>
      <w:r w:rsidR="004A7BFD" w:rsidRPr="00105125">
        <w:rPr>
          <w:lang w:val="en-CA"/>
        </w:rPr>
        <w:t xml:space="preserve">3 </w:t>
      </w:r>
      <w:r w:rsidR="00AD6235">
        <w:rPr>
          <w:lang w:val="en-CA"/>
        </w:rPr>
        <w:t xml:space="preserve">of the </w:t>
      </w:r>
      <w:r w:rsidR="004A7BFD" w:rsidRPr="00105125">
        <w:rPr>
          <w:i/>
          <w:iCs/>
          <w:lang w:val="en-CA"/>
        </w:rPr>
        <w:t>RCR</w:t>
      </w:r>
      <w:r w:rsidR="004A7BFD" w:rsidRPr="00105125">
        <w:rPr>
          <w:lang w:val="en-CA"/>
        </w:rPr>
        <w:t xml:space="preserve">. </w:t>
      </w:r>
      <w:r w:rsidR="005B2B86">
        <w:rPr>
          <w:lang w:val="en-CA"/>
        </w:rPr>
        <w:t>Moreover, t</w:t>
      </w:r>
      <w:r w:rsidRPr="00105125">
        <w:rPr>
          <w:lang w:val="en-CA"/>
        </w:rPr>
        <w:t xml:space="preserve">he </w:t>
      </w:r>
      <w:r w:rsidR="00146A4C" w:rsidRPr="00105125">
        <w:rPr>
          <w:lang w:val="en-CA"/>
        </w:rPr>
        <w:t>“</w:t>
      </w:r>
      <w:r w:rsidRPr="00105125">
        <w:rPr>
          <w:lang w:val="en-CA"/>
        </w:rPr>
        <w:t>modern principle</w:t>
      </w:r>
      <w:r w:rsidR="00146A4C" w:rsidRPr="00105125">
        <w:rPr>
          <w:lang w:val="en-CA"/>
        </w:rPr>
        <w:t>”</w:t>
      </w:r>
      <w:r w:rsidR="004A7BFD" w:rsidRPr="00105125">
        <w:rPr>
          <w:lang w:val="en-CA"/>
        </w:rPr>
        <w:t xml:space="preserve"> </w:t>
      </w:r>
      <w:r w:rsidRPr="00105125">
        <w:rPr>
          <w:lang w:val="en-CA"/>
        </w:rPr>
        <w:t xml:space="preserve">of statutory interpretation, as stated by </w:t>
      </w:r>
      <w:r w:rsidR="004A7BFD" w:rsidRPr="00105125">
        <w:rPr>
          <w:lang w:val="en-CA"/>
        </w:rPr>
        <w:t xml:space="preserve">Elmer </w:t>
      </w:r>
      <w:proofErr w:type="spellStart"/>
      <w:r w:rsidR="004A7BFD" w:rsidRPr="00105125">
        <w:rPr>
          <w:lang w:val="en-CA"/>
        </w:rPr>
        <w:t>Driedger</w:t>
      </w:r>
      <w:proofErr w:type="spellEnd"/>
      <w:r w:rsidR="004A7BFD" w:rsidRPr="00105125">
        <w:rPr>
          <w:lang w:val="en-CA"/>
        </w:rPr>
        <w:t xml:space="preserve">, </w:t>
      </w:r>
      <w:r w:rsidRPr="00105125">
        <w:rPr>
          <w:lang w:val="en-CA"/>
        </w:rPr>
        <w:t xml:space="preserve">recognizes the important role of context, which </w:t>
      </w:r>
      <w:r w:rsidR="00C4109E">
        <w:rPr>
          <w:lang w:val="en-CA"/>
        </w:rPr>
        <w:t xml:space="preserve">allows for </w:t>
      </w:r>
      <w:r w:rsidRPr="00105125">
        <w:rPr>
          <w:lang w:val="en-CA"/>
        </w:rPr>
        <w:t xml:space="preserve">an interpretation </w:t>
      </w:r>
      <w:r w:rsidR="0088279E">
        <w:rPr>
          <w:lang w:val="en-CA"/>
        </w:rPr>
        <w:t xml:space="preserve">that is </w:t>
      </w:r>
      <w:r w:rsidRPr="00105125">
        <w:rPr>
          <w:lang w:val="en-CA"/>
        </w:rPr>
        <w:t>harmon</w:t>
      </w:r>
      <w:r w:rsidR="0088279E">
        <w:rPr>
          <w:lang w:val="en-CA"/>
        </w:rPr>
        <w:t>ious</w:t>
      </w:r>
      <w:r w:rsidRPr="00105125">
        <w:rPr>
          <w:lang w:val="en-CA"/>
        </w:rPr>
        <w:t xml:space="preserve"> with the </w:t>
      </w:r>
      <w:r w:rsidR="00146A4C" w:rsidRPr="00105125">
        <w:rPr>
          <w:lang w:val="en-CA"/>
        </w:rPr>
        <w:t>s</w:t>
      </w:r>
      <w:r w:rsidR="0088279E">
        <w:rPr>
          <w:lang w:val="en-CA"/>
        </w:rPr>
        <w:t>cheme</w:t>
      </w:r>
      <w:r w:rsidR="00146A4C" w:rsidRPr="00105125">
        <w:rPr>
          <w:lang w:val="en-CA"/>
        </w:rPr>
        <w:t xml:space="preserve"> </w:t>
      </w:r>
      <w:r w:rsidRPr="00105125">
        <w:rPr>
          <w:lang w:val="en-CA"/>
        </w:rPr>
        <w:t xml:space="preserve">of the </w:t>
      </w:r>
      <w:r w:rsidR="00146A4C" w:rsidRPr="00105125">
        <w:rPr>
          <w:lang w:val="en-CA"/>
        </w:rPr>
        <w:t>Act</w:t>
      </w:r>
      <w:r w:rsidRPr="00105125">
        <w:rPr>
          <w:lang w:val="en-CA"/>
        </w:rPr>
        <w:t xml:space="preserve">, </w:t>
      </w:r>
      <w:r w:rsidR="0088279E">
        <w:rPr>
          <w:lang w:val="en-CA"/>
        </w:rPr>
        <w:t>its</w:t>
      </w:r>
      <w:r w:rsidR="00146A4C" w:rsidRPr="00105125">
        <w:rPr>
          <w:lang w:val="en-CA"/>
        </w:rPr>
        <w:t xml:space="preserve"> </w:t>
      </w:r>
      <w:r w:rsidR="0088279E">
        <w:rPr>
          <w:lang w:val="en-CA"/>
        </w:rPr>
        <w:t>object</w:t>
      </w:r>
      <w:r w:rsidRPr="00105125">
        <w:rPr>
          <w:lang w:val="en-CA"/>
        </w:rPr>
        <w:t xml:space="preserve">, and the </w:t>
      </w:r>
      <w:r w:rsidR="0088279E">
        <w:rPr>
          <w:lang w:val="en-CA"/>
        </w:rPr>
        <w:t xml:space="preserve">intention of the </w:t>
      </w:r>
      <w:bookmarkStart w:id="16" w:name="_Ref152676933"/>
      <w:r w:rsidR="00236DC4">
        <w:rPr>
          <w:lang w:val="en-CA"/>
        </w:rPr>
        <w:t>legislature</w:t>
      </w:r>
      <w:r w:rsidRPr="00105125">
        <w:rPr>
          <w:lang w:val="en-CA"/>
        </w:rPr>
        <w:t>.</w:t>
      </w:r>
      <w:r w:rsidR="004A7BFD" w:rsidRPr="00105125">
        <w:rPr>
          <w:rStyle w:val="Appelnotedebasdep"/>
          <w:lang w:val="en-CA"/>
        </w:rPr>
        <w:footnoteReference w:id="26"/>
      </w:r>
      <w:bookmarkEnd w:id="16"/>
      <w:r w:rsidR="004A7BFD" w:rsidRPr="00105125">
        <w:rPr>
          <w:lang w:val="en-CA"/>
        </w:rPr>
        <w:t xml:space="preserve"> </w:t>
      </w:r>
      <w:r w:rsidR="00C4109E">
        <w:rPr>
          <w:lang w:val="en-CA"/>
        </w:rPr>
        <w:t>Words must not be added w</w:t>
      </w:r>
      <w:r w:rsidRPr="00105125">
        <w:rPr>
          <w:lang w:val="en-CA"/>
        </w:rPr>
        <w:t>hen interpreting a law</w:t>
      </w:r>
      <w:r w:rsidR="004A7BFD" w:rsidRPr="00105125">
        <w:rPr>
          <w:lang w:val="en-CA"/>
        </w:rPr>
        <w:t xml:space="preserve">, </w:t>
      </w:r>
      <w:r w:rsidRPr="00105125">
        <w:rPr>
          <w:lang w:val="en-CA"/>
        </w:rPr>
        <w:t xml:space="preserve">but this does not mean the implicit meaning of a text cannot be </w:t>
      </w:r>
      <w:r w:rsidR="00935331">
        <w:rPr>
          <w:lang w:val="en-CA"/>
        </w:rPr>
        <w:t xml:space="preserve">ascertained </w:t>
      </w:r>
      <w:r w:rsidRPr="00105125">
        <w:rPr>
          <w:lang w:val="en-CA"/>
        </w:rPr>
        <w:t>by necessary inference</w:t>
      </w:r>
      <w:r w:rsidR="004A7BFD" w:rsidRPr="00105125">
        <w:rPr>
          <w:lang w:val="en-CA"/>
        </w:rPr>
        <w:t xml:space="preserve">. </w:t>
      </w:r>
      <w:r w:rsidRPr="00105125">
        <w:rPr>
          <w:lang w:val="en-CA"/>
        </w:rPr>
        <w:t>P</w:t>
      </w:r>
      <w:r w:rsidR="004A7BFD" w:rsidRPr="00105125">
        <w:rPr>
          <w:lang w:val="en-CA"/>
        </w:rPr>
        <w:t>rofess</w:t>
      </w:r>
      <w:r w:rsidRPr="00105125">
        <w:rPr>
          <w:lang w:val="en-CA"/>
        </w:rPr>
        <w:t>o</w:t>
      </w:r>
      <w:r w:rsidR="004A7BFD" w:rsidRPr="00105125">
        <w:rPr>
          <w:lang w:val="en-CA"/>
        </w:rPr>
        <w:t xml:space="preserve">rs </w:t>
      </w:r>
      <w:proofErr w:type="spellStart"/>
      <w:r w:rsidR="004A7BFD" w:rsidRPr="00105125">
        <w:rPr>
          <w:lang w:val="en-CA"/>
        </w:rPr>
        <w:t>Côté</w:t>
      </w:r>
      <w:proofErr w:type="spellEnd"/>
      <w:r w:rsidR="004A7BFD" w:rsidRPr="00105125">
        <w:rPr>
          <w:lang w:val="en-CA"/>
        </w:rPr>
        <w:t xml:space="preserve"> </w:t>
      </w:r>
      <w:r w:rsidRPr="00105125">
        <w:rPr>
          <w:lang w:val="en-CA"/>
        </w:rPr>
        <w:t>and</w:t>
      </w:r>
      <w:r w:rsidR="004A7BFD" w:rsidRPr="00105125">
        <w:rPr>
          <w:lang w:val="en-CA"/>
        </w:rPr>
        <w:t xml:space="preserve"> </w:t>
      </w:r>
      <w:proofErr w:type="spellStart"/>
      <w:r w:rsidR="004A7BFD" w:rsidRPr="00105125">
        <w:rPr>
          <w:lang w:val="en-CA"/>
        </w:rPr>
        <w:t>Devinat</w:t>
      </w:r>
      <w:proofErr w:type="spellEnd"/>
      <w:r w:rsidR="004A7BFD" w:rsidRPr="00105125">
        <w:rPr>
          <w:lang w:val="en-CA"/>
        </w:rPr>
        <w:t xml:space="preserve"> </w:t>
      </w:r>
      <w:r w:rsidRPr="00105125">
        <w:rPr>
          <w:lang w:val="en-CA"/>
        </w:rPr>
        <w:t>clearly explain the caution required when applying the presumption against adding or removing words</w:t>
      </w:r>
      <w:r w:rsidR="004A7BFD" w:rsidRPr="00105125">
        <w:rPr>
          <w:lang w:val="en-CA"/>
        </w:rPr>
        <w:t>:</w:t>
      </w:r>
    </w:p>
    <w:p w14:paraId="4B006049" w14:textId="0A2A127B" w:rsidR="00AF2E71" w:rsidRPr="00105125" w:rsidRDefault="00AF2E71" w:rsidP="0072362A">
      <w:pPr>
        <w:pStyle w:val="Citationenretrait"/>
        <w:rPr>
          <w:lang w:val="en-CA"/>
        </w:rPr>
      </w:pPr>
      <w:r w:rsidRPr="00105125">
        <w:rPr>
          <w:rFonts w:cs="Arial"/>
          <w:lang w:val="en-CA"/>
        </w:rPr>
        <w:t>[</w:t>
      </w:r>
      <w:r w:rsidRPr="00105125">
        <w:rPr>
          <w:rFonts w:cs="Arial"/>
          <w:smallCaps/>
          <w:lang w:val="en-CA"/>
        </w:rPr>
        <w:t>translation</w:t>
      </w:r>
      <w:r w:rsidRPr="00105125">
        <w:rPr>
          <w:rFonts w:cs="Arial"/>
          <w:lang w:val="en-CA"/>
        </w:rPr>
        <w:t>]</w:t>
      </w:r>
    </w:p>
    <w:p w14:paraId="3160472D" w14:textId="620ACAFB" w:rsidR="0072362A" w:rsidRPr="00105125" w:rsidRDefault="00AB762D" w:rsidP="0072362A">
      <w:pPr>
        <w:pStyle w:val="Citationenretrait"/>
        <w:rPr>
          <w:lang w:val="en-CA"/>
        </w:rPr>
      </w:pPr>
      <w:r w:rsidRPr="00105125">
        <w:rPr>
          <w:lang w:val="en-CA"/>
        </w:rPr>
        <w:t xml:space="preserve">Despite the many </w:t>
      </w:r>
      <w:r w:rsidR="00935331">
        <w:rPr>
          <w:lang w:val="en-CA"/>
        </w:rPr>
        <w:t xml:space="preserve">times this </w:t>
      </w:r>
      <w:r w:rsidRPr="00105125">
        <w:rPr>
          <w:lang w:val="en-CA"/>
        </w:rPr>
        <w:t xml:space="preserve">presumption </w:t>
      </w:r>
      <w:r w:rsidR="00935331">
        <w:rPr>
          <w:lang w:val="en-CA"/>
        </w:rPr>
        <w:t xml:space="preserve">has been applied </w:t>
      </w:r>
      <w:r w:rsidRPr="00105125">
        <w:rPr>
          <w:lang w:val="en-CA"/>
        </w:rPr>
        <w:t>in the case law</w:t>
      </w:r>
      <w:r w:rsidR="004A7BFD" w:rsidRPr="00105125">
        <w:rPr>
          <w:lang w:val="en-CA"/>
        </w:rPr>
        <w:t xml:space="preserve">, </w:t>
      </w:r>
      <w:r w:rsidRPr="00105125">
        <w:rPr>
          <w:lang w:val="en-CA"/>
        </w:rPr>
        <w:t>it must be applied with caution</w:t>
      </w:r>
      <w:r w:rsidR="004A7BFD" w:rsidRPr="00105125">
        <w:rPr>
          <w:lang w:val="en-CA"/>
        </w:rPr>
        <w:t xml:space="preserve"> </w:t>
      </w:r>
      <w:r w:rsidRPr="00105125">
        <w:rPr>
          <w:lang w:val="en-CA"/>
        </w:rPr>
        <w:t>because legal communication</w:t>
      </w:r>
      <w:r w:rsidR="004A7BFD" w:rsidRPr="00105125">
        <w:rPr>
          <w:lang w:val="en-CA"/>
        </w:rPr>
        <w:t xml:space="preserve">, </w:t>
      </w:r>
      <w:r w:rsidRPr="00105125">
        <w:rPr>
          <w:lang w:val="en-CA"/>
        </w:rPr>
        <w:t>like any other communication</w:t>
      </w:r>
      <w:r w:rsidR="004A7BFD" w:rsidRPr="00105125">
        <w:rPr>
          <w:lang w:val="en-CA"/>
        </w:rPr>
        <w:t xml:space="preserve">, </w:t>
      </w:r>
      <w:r w:rsidR="0088279E">
        <w:rPr>
          <w:lang w:val="en-CA"/>
        </w:rPr>
        <w:t xml:space="preserve">is </w:t>
      </w:r>
      <w:r w:rsidRPr="00105125">
        <w:rPr>
          <w:lang w:val="en-CA"/>
        </w:rPr>
        <w:t xml:space="preserve">comprised of two </w:t>
      </w:r>
      <w:r w:rsidR="00CB7281">
        <w:rPr>
          <w:lang w:val="en-CA"/>
        </w:rPr>
        <w:t>elements</w:t>
      </w:r>
      <w:r w:rsidR="004A7BFD" w:rsidRPr="00105125">
        <w:rPr>
          <w:lang w:val="en-CA"/>
        </w:rPr>
        <w:t xml:space="preserve">, </w:t>
      </w:r>
      <w:r w:rsidRPr="00105125">
        <w:rPr>
          <w:lang w:val="en-CA"/>
        </w:rPr>
        <w:t>the express</w:t>
      </w:r>
      <w:r w:rsidR="004A7BFD" w:rsidRPr="00105125">
        <w:rPr>
          <w:lang w:val="en-CA"/>
        </w:rPr>
        <w:t xml:space="preserve"> (</w:t>
      </w:r>
      <w:r w:rsidRPr="00105125">
        <w:rPr>
          <w:lang w:val="en-CA"/>
        </w:rPr>
        <w:t>the wording</w:t>
      </w:r>
      <w:r w:rsidR="004A7BFD" w:rsidRPr="00105125">
        <w:rPr>
          <w:lang w:val="en-CA"/>
        </w:rPr>
        <w:t xml:space="preserve">) </w:t>
      </w:r>
      <w:r w:rsidRPr="00105125">
        <w:rPr>
          <w:lang w:val="en-CA"/>
        </w:rPr>
        <w:t>and the implicit</w:t>
      </w:r>
      <w:r w:rsidR="004A7BFD" w:rsidRPr="00105125">
        <w:rPr>
          <w:lang w:val="en-CA"/>
        </w:rPr>
        <w:t xml:space="preserve"> (</w:t>
      </w:r>
      <w:r w:rsidRPr="00105125">
        <w:rPr>
          <w:lang w:val="en-CA"/>
        </w:rPr>
        <w:t>the overall context of the statement</w:t>
      </w:r>
      <w:r w:rsidR="004A7BFD" w:rsidRPr="00105125">
        <w:rPr>
          <w:lang w:val="en-CA"/>
        </w:rPr>
        <w:t xml:space="preserve">). </w:t>
      </w:r>
      <w:r w:rsidRPr="00105125">
        <w:rPr>
          <w:lang w:val="en-CA"/>
        </w:rPr>
        <w:t xml:space="preserve">The presumption studied focuses solely on the express </w:t>
      </w:r>
      <w:r w:rsidR="00CB7281">
        <w:rPr>
          <w:lang w:val="en-CA"/>
        </w:rPr>
        <w:t xml:space="preserve">element </w:t>
      </w:r>
      <w:r w:rsidRPr="00105125">
        <w:rPr>
          <w:lang w:val="en-CA"/>
        </w:rPr>
        <w:t xml:space="preserve">of the </w:t>
      </w:r>
      <w:r w:rsidR="004A7BFD" w:rsidRPr="00105125">
        <w:rPr>
          <w:lang w:val="en-CA"/>
        </w:rPr>
        <w:t xml:space="preserve">communication. </w:t>
      </w:r>
      <w:r w:rsidRPr="00105125">
        <w:rPr>
          <w:lang w:val="en-CA"/>
        </w:rPr>
        <w:t xml:space="preserve">It assumes that judges who add or remove words from </w:t>
      </w:r>
      <w:r w:rsidR="0088279E">
        <w:rPr>
          <w:lang w:val="en-CA"/>
        </w:rPr>
        <w:t>the</w:t>
      </w:r>
      <w:r w:rsidRPr="00105125">
        <w:rPr>
          <w:lang w:val="en-CA"/>
        </w:rPr>
        <w:t xml:space="preserve"> legislative text are usurping the </w:t>
      </w:r>
      <w:r w:rsidR="00113251">
        <w:rPr>
          <w:lang w:val="en-CA"/>
        </w:rPr>
        <w:t>legislature’s</w:t>
      </w:r>
      <w:r w:rsidR="00113251" w:rsidRPr="00105125">
        <w:rPr>
          <w:lang w:val="en-CA"/>
        </w:rPr>
        <w:t xml:space="preserve"> </w:t>
      </w:r>
      <w:r w:rsidRPr="00105125">
        <w:rPr>
          <w:lang w:val="en-CA"/>
        </w:rPr>
        <w:t>role</w:t>
      </w:r>
      <w:r w:rsidR="004A7BFD" w:rsidRPr="00105125">
        <w:rPr>
          <w:lang w:val="en-CA"/>
        </w:rPr>
        <w:t xml:space="preserve">. </w:t>
      </w:r>
      <w:r w:rsidRPr="00105125">
        <w:rPr>
          <w:lang w:val="en-CA"/>
        </w:rPr>
        <w:t>However</w:t>
      </w:r>
      <w:r w:rsidR="004A7BFD" w:rsidRPr="00105125">
        <w:rPr>
          <w:lang w:val="en-CA"/>
        </w:rPr>
        <w:t xml:space="preserve">, </w:t>
      </w:r>
      <w:r w:rsidRPr="00105125">
        <w:rPr>
          <w:lang w:val="en-CA"/>
        </w:rPr>
        <w:t xml:space="preserve">the interpreter is only revealing the </w:t>
      </w:r>
      <w:r w:rsidR="00113251">
        <w:rPr>
          <w:lang w:val="en-CA"/>
        </w:rPr>
        <w:t>legislature’s</w:t>
      </w:r>
      <w:r w:rsidR="00113251" w:rsidRPr="00105125">
        <w:rPr>
          <w:lang w:val="en-CA"/>
        </w:rPr>
        <w:t xml:space="preserve"> </w:t>
      </w:r>
      <w:r w:rsidRPr="00105125">
        <w:rPr>
          <w:lang w:val="en-CA"/>
        </w:rPr>
        <w:t xml:space="preserve">intention insofar as they are </w:t>
      </w:r>
      <w:r w:rsidR="00935331">
        <w:rPr>
          <w:lang w:val="en-CA"/>
        </w:rPr>
        <w:t xml:space="preserve">making explicit that which is </w:t>
      </w:r>
      <w:r w:rsidRPr="00105125">
        <w:rPr>
          <w:lang w:val="en-CA"/>
        </w:rPr>
        <w:t>implicit in the text</w:t>
      </w:r>
      <w:r w:rsidR="004A7BFD" w:rsidRPr="00105125">
        <w:rPr>
          <w:lang w:val="en-CA"/>
        </w:rPr>
        <w:t xml:space="preserve">. </w:t>
      </w:r>
      <w:r w:rsidRPr="00105125">
        <w:rPr>
          <w:lang w:val="en-CA"/>
        </w:rPr>
        <w:t xml:space="preserve">The </w:t>
      </w:r>
      <w:r w:rsidR="004A7BFD" w:rsidRPr="00105125">
        <w:rPr>
          <w:lang w:val="en-CA"/>
        </w:rPr>
        <w:t xml:space="preserve">question </w:t>
      </w:r>
      <w:r w:rsidRPr="00105125">
        <w:rPr>
          <w:lang w:val="en-CA"/>
        </w:rPr>
        <w:t xml:space="preserve">therefore is not so much whether the judge may add words, but whether the words added have </w:t>
      </w:r>
      <w:r w:rsidR="00935331">
        <w:rPr>
          <w:lang w:val="en-CA"/>
        </w:rPr>
        <w:t xml:space="preserve">an </w:t>
      </w:r>
      <w:r w:rsidRPr="00105125">
        <w:rPr>
          <w:lang w:val="en-CA"/>
        </w:rPr>
        <w:t xml:space="preserve">effect </w:t>
      </w:r>
      <w:r w:rsidR="00935331">
        <w:rPr>
          <w:lang w:val="en-CA"/>
        </w:rPr>
        <w:t xml:space="preserve">other </w:t>
      </w:r>
      <w:r w:rsidRPr="00105125">
        <w:rPr>
          <w:lang w:val="en-CA"/>
        </w:rPr>
        <w:t xml:space="preserve">than to explain the implicit </w:t>
      </w:r>
      <w:r w:rsidR="00935331">
        <w:rPr>
          <w:lang w:val="en-CA"/>
        </w:rPr>
        <w:t xml:space="preserve">element </w:t>
      </w:r>
      <w:r w:rsidRPr="00105125">
        <w:rPr>
          <w:lang w:val="en-CA"/>
        </w:rPr>
        <w:t xml:space="preserve">of the legal </w:t>
      </w:r>
      <w:r w:rsidR="004A7BFD" w:rsidRPr="00105125">
        <w:rPr>
          <w:lang w:val="en-CA"/>
        </w:rPr>
        <w:t>communication.</w:t>
      </w:r>
      <w:r w:rsidR="004A7BFD" w:rsidRPr="00105125">
        <w:rPr>
          <w:rStyle w:val="Appelnotedebasdep"/>
          <w:lang w:val="en-CA"/>
        </w:rPr>
        <w:footnoteReference w:id="27"/>
      </w:r>
    </w:p>
    <w:p w14:paraId="55974D4E" w14:textId="44D545FE" w:rsidR="0072362A" w:rsidRPr="00105125" w:rsidRDefault="003E23AC" w:rsidP="0072362A">
      <w:pPr>
        <w:pStyle w:val="Citationenretrait"/>
        <w:jc w:val="right"/>
        <w:rPr>
          <w:lang w:val="en-CA"/>
        </w:rPr>
      </w:pPr>
      <w:r w:rsidRPr="00105125">
        <w:rPr>
          <w:lang w:val="en-CA"/>
        </w:rPr>
        <w:t>[References omitted]</w:t>
      </w:r>
    </w:p>
    <w:p w14:paraId="287D9FE0" w14:textId="64BD5008" w:rsidR="0072362A" w:rsidRPr="00105125" w:rsidRDefault="00AB762D" w:rsidP="001D61A3">
      <w:pPr>
        <w:pStyle w:val="Paragraphe"/>
        <w:spacing w:line="280" w:lineRule="exact"/>
        <w:rPr>
          <w:lang w:val="en-CA"/>
        </w:rPr>
      </w:pPr>
      <w:r w:rsidRPr="00105125">
        <w:rPr>
          <w:lang w:val="en-CA"/>
        </w:rPr>
        <w:t>The interpretation of an enabling provision is subject to the same principles</w:t>
      </w:r>
      <w:r w:rsidR="004A7BFD" w:rsidRPr="00105125">
        <w:rPr>
          <w:lang w:val="en-CA"/>
        </w:rPr>
        <w:t xml:space="preserve">. </w:t>
      </w:r>
      <w:r w:rsidRPr="00105125">
        <w:rPr>
          <w:lang w:val="en-CA"/>
        </w:rPr>
        <w:t xml:space="preserve">The legislative context as a whole must be considered, and the challenged regulation and its enabling statute should be interpreted using a broad and purposive approach consistent with the Supreme Court’s </w:t>
      </w:r>
      <w:r w:rsidR="00E86256">
        <w:rPr>
          <w:lang w:val="en-CA"/>
        </w:rPr>
        <w:t xml:space="preserve">general </w:t>
      </w:r>
      <w:r w:rsidRPr="00105125">
        <w:rPr>
          <w:lang w:val="en-CA"/>
        </w:rPr>
        <w:t>approach to statutory interpretation.</w:t>
      </w:r>
      <w:r w:rsidR="004A7BFD" w:rsidRPr="00105125">
        <w:rPr>
          <w:rStyle w:val="Appelnotedebasdep"/>
          <w:lang w:val="en-CA"/>
        </w:rPr>
        <w:footnoteReference w:id="28"/>
      </w:r>
    </w:p>
    <w:p w14:paraId="766B157C" w14:textId="04DFE8AA" w:rsidR="0072362A" w:rsidRPr="00105125" w:rsidRDefault="009D16D4" w:rsidP="001D61A3">
      <w:pPr>
        <w:pStyle w:val="Paragraphe"/>
        <w:spacing w:line="280" w:lineRule="exact"/>
        <w:rPr>
          <w:lang w:val="en-CA"/>
        </w:rPr>
      </w:pPr>
      <w:r w:rsidRPr="00105125">
        <w:rPr>
          <w:lang w:val="en-CA"/>
        </w:rPr>
        <w:t xml:space="preserve">The </w:t>
      </w:r>
      <w:r w:rsidRPr="00105125">
        <w:rPr>
          <w:i/>
          <w:iCs/>
          <w:lang w:val="en-CA"/>
        </w:rPr>
        <w:t>ECA</w:t>
      </w:r>
      <w:r w:rsidR="00935331">
        <w:rPr>
          <w:lang w:val="en-CA"/>
        </w:rPr>
        <w:t>’s object</w:t>
      </w:r>
      <w:r w:rsidRPr="00105125">
        <w:rPr>
          <w:lang w:val="en-CA"/>
        </w:rPr>
        <w:t xml:space="preserve"> is </w:t>
      </w:r>
      <w:r w:rsidR="00935331">
        <w:rPr>
          <w:lang w:val="en-CA"/>
        </w:rPr>
        <w:t xml:space="preserve">stated </w:t>
      </w:r>
      <w:r w:rsidRPr="00105125">
        <w:rPr>
          <w:lang w:val="en-CA"/>
        </w:rPr>
        <w:t>in section 1</w:t>
      </w:r>
      <w:r w:rsidR="004A7BFD" w:rsidRPr="00105125">
        <w:rPr>
          <w:lang w:val="en-CA"/>
        </w:rPr>
        <w:t>:</w:t>
      </w:r>
    </w:p>
    <w:tbl>
      <w:tblPr>
        <w:tblW w:w="0" w:type="auto"/>
        <w:tblLayout w:type="fixed"/>
        <w:tblCellMar>
          <w:left w:w="70" w:type="dxa"/>
          <w:right w:w="70" w:type="dxa"/>
        </w:tblCellMar>
        <w:tblLook w:val="0000" w:firstRow="0" w:lastRow="0" w:firstColumn="0" w:lastColumn="0" w:noHBand="0" w:noVBand="0"/>
      </w:tblPr>
      <w:tblGrid>
        <w:gridCol w:w="4680"/>
        <w:gridCol w:w="4680"/>
      </w:tblGrid>
      <w:tr w:rsidR="009D16D4" w:rsidRPr="00105125" w14:paraId="4C49084B" w14:textId="64EEED89" w:rsidTr="00906559">
        <w:tc>
          <w:tcPr>
            <w:tcW w:w="4680" w:type="dxa"/>
            <w:shd w:val="clear" w:color="auto" w:fill="auto"/>
          </w:tcPr>
          <w:p w14:paraId="6C778AD4" w14:textId="77777777" w:rsidR="009D16D4" w:rsidRPr="00105125" w:rsidRDefault="009D16D4" w:rsidP="00935331">
            <w:pPr>
              <w:pStyle w:val="Tableaudroiteanglais"/>
              <w:ind w:left="638" w:right="219"/>
            </w:pPr>
            <w:r w:rsidRPr="00105125">
              <w:rPr>
                <w:b/>
                <w:bCs/>
              </w:rPr>
              <w:t>1.</w:t>
            </w:r>
            <w:r w:rsidRPr="00105125">
              <w:t xml:space="preserve"> The object of this Act is to enhance the quality of the educational services intended for children before their </w:t>
            </w:r>
            <w:r w:rsidRPr="00105125">
              <w:lastRenderedPageBreak/>
              <w:t>admission to school so as to ensure the health and safety of the children to whom childcare services are provided, particularly those with special needs or who live in a precarious socio-economic situation, foster their development, educational success and well-being and provide them with equality of opportunity.</w:t>
            </w:r>
          </w:p>
          <w:p w14:paraId="4115E2CC" w14:textId="77777777" w:rsidR="009D16D4" w:rsidRPr="00105125" w:rsidRDefault="009D16D4" w:rsidP="00935331">
            <w:pPr>
              <w:pStyle w:val="Tableaudroiteanglais"/>
              <w:ind w:left="638" w:right="219"/>
            </w:pPr>
          </w:p>
          <w:p w14:paraId="7FAA88A4" w14:textId="77777777" w:rsidR="009D16D4" w:rsidRPr="00105125" w:rsidRDefault="009D16D4" w:rsidP="00935331">
            <w:pPr>
              <w:pStyle w:val="Tableaudroiteanglais"/>
              <w:ind w:left="638" w:right="219"/>
            </w:pPr>
            <w:r w:rsidRPr="00105125">
              <w:t>A further object of this Act is to foster the harmonious development of an educational childcare service supply that is sustainable and that takes into account the needs of parents, in order to facilitate the reconciliation of their parental responsibilities with their professional or student responsibilities, as well as their right to choose the educational childcare provider.</w:t>
            </w:r>
          </w:p>
        </w:tc>
        <w:tc>
          <w:tcPr>
            <w:tcW w:w="4680" w:type="dxa"/>
          </w:tcPr>
          <w:p w14:paraId="6A15750E" w14:textId="77777777" w:rsidR="009D16D4" w:rsidRPr="001444DD" w:rsidRDefault="009D16D4" w:rsidP="00935331">
            <w:pPr>
              <w:pStyle w:val="Tableaugauchefranais"/>
              <w:ind w:left="74" w:right="642"/>
              <w:jc w:val="both"/>
            </w:pPr>
            <w:r w:rsidRPr="001444DD">
              <w:lastRenderedPageBreak/>
              <w:t xml:space="preserve">1. La présente loi a pour objet de promouvoir la qualité des services de garde éducatifs destinés aux enfants </w:t>
            </w:r>
            <w:r w:rsidRPr="001444DD">
              <w:lastRenderedPageBreak/>
              <w:t>avant leur admission à l’école en vue d’assurer la santé, la sécurité, le développement, la réussite éducative, le bien-être et l’égalité des chances des enfants qui reçoivent ces services, notamment ceux qui présentent des besoins particuliers ou qui vivent dans des contextes de précarité socio-économique.</w:t>
            </w:r>
          </w:p>
          <w:p w14:paraId="543876EC" w14:textId="77777777" w:rsidR="009D16D4" w:rsidRPr="001444DD" w:rsidRDefault="009D16D4" w:rsidP="00935331">
            <w:pPr>
              <w:pStyle w:val="Tableaugauchefranais"/>
              <w:ind w:left="74" w:right="642"/>
              <w:jc w:val="both"/>
            </w:pPr>
          </w:p>
          <w:p w14:paraId="3D1B9489" w14:textId="15371799" w:rsidR="009D16D4" w:rsidRPr="001444DD" w:rsidRDefault="009D16D4" w:rsidP="00935331">
            <w:pPr>
              <w:pStyle w:val="Tableaudroiteanglais"/>
              <w:ind w:left="74" w:right="642"/>
              <w:rPr>
                <w:b/>
                <w:bCs/>
                <w:lang w:val="fr-CA"/>
              </w:rPr>
            </w:pPr>
            <w:r w:rsidRPr="001444DD">
              <w:rPr>
                <w:lang w:val="fr-CA"/>
              </w:rPr>
              <w:t>Elle a également pour objet de favoriser le développement harmonieux d’une offre de services de garde éducatifs à l’enfance qui soit pérenne et qui tienne compte des besoins des parents, afin de faciliter la conciliation de leurs responsabilités parentales avec leurs responsabilités professionnelles ou étudiantes, ainsi que de leur droit de choisir le prestataire de services de garde éducatifs.</w:t>
            </w:r>
          </w:p>
        </w:tc>
      </w:tr>
    </w:tbl>
    <w:p w14:paraId="28D003E2" w14:textId="13020835" w:rsidR="0072362A" w:rsidRPr="00105125" w:rsidRDefault="00BC104D" w:rsidP="001D61A3">
      <w:pPr>
        <w:pStyle w:val="Paragraphe"/>
        <w:spacing w:line="280" w:lineRule="exact"/>
        <w:rPr>
          <w:lang w:val="en-CA"/>
        </w:rPr>
      </w:pPr>
      <w:r w:rsidRPr="00105125">
        <w:rPr>
          <w:lang w:val="en-CA"/>
        </w:rPr>
        <w:lastRenderedPageBreak/>
        <w:t xml:space="preserve">The </w:t>
      </w:r>
      <w:r w:rsidRPr="00105125">
        <w:rPr>
          <w:i/>
          <w:lang w:val="en-CA"/>
        </w:rPr>
        <w:t>ECA</w:t>
      </w:r>
      <w:r w:rsidRPr="00105125">
        <w:rPr>
          <w:lang w:val="en-CA"/>
        </w:rPr>
        <w:t xml:space="preserve"> </w:t>
      </w:r>
      <w:r w:rsidR="00335158">
        <w:rPr>
          <w:lang w:val="en-CA"/>
        </w:rPr>
        <w:t>set up</w:t>
      </w:r>
      <w:r w:rsidR="00335158" w:rsidRPr="00105125">
        <w:rPr>
          <w:lang w:val="en-CA"/>
        </w:rPr>
        <w:t xml:space="preserve"> </w:t>
      </w:r>
      <w:r w:rsidRPr="00105125">
        <w:rPr>
          <w:lang w:val="en-CA"/>
        </w:rPr>
        <w:t>a network of subsidized childcare providers in Quebec.</w:t>
      </w:r>
      <w:r w:rsidR="004A7BFD" w:rsidRPr="00105125">
        <w:rPr>
          <w:lang w:val="en-CA"/>
        </w:rPr>
        <w:t xml:space="preserve"> </w:t>
      </w:r>
      <w:r w:rsidRPr="00105125">
        <w:rPr>
          <w:lang w:val="en-CA"/>
        </w:rPr>
        <w:t xml:space="preserve">Parents who have a </w:t>
      </w:r>
      <w:r w:rsidR="00EE7468">
        <w:rPr>
          <w:lang w:val="en-CA"/>
        </w:rPr>
        <w:t>s</w:t>
      </w:r>
      <w:r w:rsidRPr="00105125">
        <w:rPr>
          <w:lang w:val="en-CA"/>
        </w:rPr>
        <w:t xml:space="preserve">pace for their child in the network pay the contribution </w:t>
      </w:r>
      <w:r w:rsidR="00EE7468">
        <w:rPr>
          <w:lang w:val="en-CA"/>
        </w:rPr>
        <w:t>set</w:t>
      </w:r>
      <w:r w:rsidRPr="00105125">
        <w:rPr>
          <w:lang w:val="en-CA"/>
        </w:rPr>
        <w:t xml:space="preserve"> by regulation.</w:t>
      </w:r>
      <w:r w:rsidR="004A7BFD" w:rsidRPr="00105125">
        <w:rPr>
          <w:lang w:val="en-CA"/>
        </w:rPr>
        <w:t xml:space="preserve"> </w:t>
      </w:r>
      <w:r w:rsidRPr="00105125">
        <w:rPr>
          <w:lang w:val="en-CA"/>
        </w:rPr>
        <w:t>Section 42(4) states that the coordinating office has the function of determining a parent’s eligibility for the reduced contribution.</w:t>
      </w:r>
      <w:r w:rsidR="004A7BFD" w:rsidRPr="00105125">
        <w:rPr>
          <w:lang w:val="en-CA"/>
        </w:rPr>
        <w:t xml:space="preserve"> </w:t>
      </w:r>
      <w:r w:rsidRPr="00105125">
        <w:rPr>
          <w:lang w:val="en-CA"/>
        </w:rPr>
        <w:t>This provision reads:</w:t>
      </w:r>
    </w:p>
    <w:tbl>
      <w:tblPr>
        <w:tblW w:w="0" w:type="auto"/>
        <w:tblCellMar>
          <w:left w:w="70" w:type="dxa"/>
          <w:right w:w="70" w:type="dxa"/>
        </w:tblCellMar>
        <w:tblLook w:val="0000" w:firstRow="0" w:lastRow="0" w:firstColumn="0" w:lastColumn="0" w:noHBand="0" w:noVBand="0"/>
      </w:tblPr>
      <w:tblGrid>
        <w:gridCol w:w="4678"/>
        <w:gridCol w:w="4678"/>
      </w:tblGrid>
      <w:tr w:rsidR="009D16D4" w:rsidRPr="00105125" w14:paraId="0F2FCD1D" w14:textId="5FBA4D33" w:rsidTr="007A0F12">
        <w:tc>
          <w:tcPr>
            <w:tcW w:w="4678" w:type="dxa"/>
          </w:tcPr>
          <w:p w14:paraId="37A31F5D" w14:textId="77777777" w:rsidR="009D16D4" w:rsidRPr="00105125" w:rsidRDefault="009D16D4" w:rsidP="00EE7468">
            <w:pPr>
              <w:pStyle w:val="Tableaudroiteanglais"/>
              <w:ind w:left="638" w:right="209"/>
            </w:pPr>
            <w:r w:rsidRPr="00105125">
              <w:rPr>
                <w:b/>
                <w:bCs/>
              </w:rPr>
              <w:t xml:space="preserve">42. </w:t>
            </w:r>
            <w:r w:rsidRPr="00105125">
              <w:t>A home educational childcare coordinating office has the following functions in the territory assigned to it, in compliance with the instructions given by the Minister under the second paragraph of section 40.0.1:</w:t>
            </w:r>
          </w:p>
          <w:p w14:paraId="07F71445" w14:textId="77777777" w:rsidR="009D16D4" w:rsidRPr="00105125" w:rsidRDefault="009D16D4" w:rsidP="00EE7468">
            <w:pPr>
              <w:pStyle w:val="Tableaudroiteanglais"/>
              <w:ind w:left="638" w:right="209"/>
            </w:pPr>
          </w:p>
          <w:p w14:paraId="2CD15A9B" w14:textId="7B65DBC6" w:rsidR="009D16D4" w:rsidRPr="00105125" w:rsidRDefault="009D16D4" w:rsidP="00EE7468">
            <w:pPr>
              <w:pStyle w:val="Tableaudroiteanglais"/>
              <w:ind w:left="638" w:right="209"/>
            </w:pPr>
            <w:r w:rsidRPr="00105125">
              <w:t>…</w:t>
            </w:r>
          </w:p>
          <w:p w14:paraId="768DC758" w14:textId="77777777" w:rsidR="009D16D4" w:rsidRPr="00105125" w:rsidRDefault="009D16D4" w:rsidP="00EE7468">
            <w:pPr>
              <w:pStyle w:val="Tableaudroiteanglais"/>
              <w:ind w:left="638" w:right="209"/>
            </w:pPr>
          </w:p>
          <w:p w14:paraId="38256F68" w14:textId="77777777" w:rsidR="009D16D4" w:rsidRPr="00105125" w:rsidRDefault="009D16D4" w:rsidP="00EE7468">
            <w:pPr>
              <w:pStyle w:val="Tableaudroiteanglais"/>
              <w:ind w:left="638" w:right="209"/>
              <w:rPr>
                <w:b/>
                <w:bCs/>
              </w:rPr>
            </w:pPr>
            <w:r w:rsidRPr="00105125">
              <w:rPr>
                <w:b/>
                <w:bCs/>
              </w:rPr>
              <w:t>(4) </w:t>
            </w:r>
            <w:r w:rsidRPr="00105125">
              <w:t>to determine, according to the cases and conditions determined by regulation, a parent’s eligibility for payment of the contribution set by the Government under section 82;</w:t>
            </w:r>
          </w:p>
        </w:tc>
        <w:tc>
          <w:tcPr>
            <w:tcW w:w="4678" w:type="dxa"/>
          </w:tcPr>
          <w:p w14:paraId="55021576" w14:textId="77777777" w:rsidR="009D16D4" w:rsidRPr="001444DD" w:rsidRDefault="009D16D4" w:rsidP="00EE7468">
            <w:pPr>
              <w:ind w:left="74" w:right="642"/>
              <w:jc w:val="both"/>
              <w:rPr>
                <w:sz w:val="22"/>
              </w:rPr>
            </w:pPr>
            <w:r w:rsidRPr="001444DD">
              <w:rPr>
                <w:b/>
                <w:bCs/>
                <w:sz w:val="22"/>
              </w:rPr>
              <w:t xml:space="preserve">42. </w:t>
            </w:r>
            <w:r w:rsidRPr="001444DD">
              <w:rPr>
                <w:sz w:val="22"/>
              </w:rPr>
              <w:t>Le bureau coordonnateur a pour fonctions, dans le territoire qui lui est attribué et dans le respect des instructions données en vertu du deuxième alinéa de l’article 40.0.1 :</w:t>
            </w:r>
          </w:p>
          <w:p w14:paraId="4BFE413C" w14:textId="77777777" w:rsidR="009D16D4" w:rsidRPr="001444DD" w:rsidRDefault="009D16D4" w:rsidP="00EE7468">
            <w:pPr>
              <w:ind w:left="74" w:right="642"/>
              <w:jc w:val="both"/>
              <w:rPr>
                <w:sz w:val="22"/>
              </w:rPr>
            </w:pPr>
          </w:p>
          <w:p w14:paraId="74196DD1" w14:textId="77777777" w:rsidR="009D16D4" w:rsidRPr="001444DD" w:rsidRDefault="009D16D4" w:rsidP="00EE7468">
            <w:pPr>
              <w:ind w:left="74" w:right="642"/>
              <w:jc w:val="both"/>
              <w:rPr>
                <w:sz w:val="22"/>
              </w:rPr>
            </w:pPr>
          </w:p>
          <w:p w14:paraId="0E96CEA9" w14:textId="77777777" w:rsidR="009D16D4" w:rsidRPr="001444DD" w:rsidRDefault="009D16D4" w:rsidP="00EE7468">
            <w:pPr>
              <w:ind w:left="74" w:right="642"/>
              <w:jc w:val="both"/>
              <w:rPr>
                <w:sz w:val="22"/>
              </w:rPr>
            </w:pPr>
            <w:r w:rsidRPr="001444DD">
              <w:rPr>
                <w:sz w:val="22"/>
              </w:rPr>
              <w:t>[…]</w:t>
            </w:r>
          </w:p>
          <w:p w14:paraId="4A82D3E1" w14:textId="77777777" w:rsidR="009D16D4" w:rsidRPr="001444DD" w:rsidRDefault="009D16D4" w:rsidP="00EE7468">
            <w:pPr>
              <w:ind w:left="74" w:right="642"/>
              <w:jc w:val="both"/>
              <w:rPr>
                <w:sz w:val="22"/>
              </w:rPr>
            </w:pPr>
          </w:p>
          <w:p w14:paraId="09308F0C" w14:textId="18073835" w:rsidR="009D16D4" w:rsidRPr="001444DD" w:rsidRDefault="009D16D4" w:rsidP="00EE7468">
            <w:pPr>
              <w:pStyle w:val="Tableaudroiteanglais"/>
              <w:ind w:left="74" w:right="642"/>
              <w:rPr>
                <w:b/>
                <w:bCs/>
                <w:lang w:val="fr-CA"/>
              </w:rPr>
            </w:pPr>
            <w:r w:rsidRPr="001444DD">
              <w:rPr>
                <w:b/>
                <w:bCs/>
                <w:lang w:val="fr-CA"/>
              </w:rPr>
              <w:t>4° </w:t>
            </w:r>
            <w:r w:rsidRPr="001444DD">
              <w:rPr>
                <w:lang w:val="fr-CA"/>
              </w:rPr>
              <w:t>de déterminer, selon les cas et conditions déterminées par règlement, l’admissibilité d’un parent à la contribution fixée par le gouvernement en vertu de l’article 82;</w:t>
            </w:r>
          </w:p>
        </w:tc>
      </w:tr>
    </w:tbl>
    <w:p w14:paraId="37DC8D54" w14:textId="0C5EE757" w:rsidR="0072362A" w:rsidRPr="00105125" w:rsidRDefault="00BC104D" w:rsidP="00B84671">
      <w:pPr>
        <w:pStyle w:val="Paragraphe"/>
        <w:spacing w:before="240" w:line="280" w:lineRule="exact"/>
        <w:rPr>
          <w:lang w:val="en-CA"/>
        </w:rPr>
      </w:pPr>
      <w:r w:rsidRPr="009C246D">
        <w:rPr>
          <w:lang w:val="en-CA"/>
        </w:rPr>
        <w:t>The AGQ</w:t>
      </w:r>
      <w:r w:rsidRPr="00105125">
        <w:rPr>
          <w:lang w:val="en-CA"/>
        </w:rPr>
        <w:t xml:space="preserve"> argues that the </w:t>
      </w:r>
      <w:r w:rsidR="00992924">
        <w:rPr>
          <w:lang w:val="en-CA"/>
        </w:rPr>
        <w:t>legislature’s</w:t>
      </w:r>
      <w:r w:rsidR="00992924" w:rsidRPr="00105125">
        <w:rPr>
          <w:lang w:val="en-CA"/>
        </w:rPr>
        <w:t xml:space="preserve"> </w:t>
      </w:r>
      <w:r w:rsidRPr="00105125">
        <w:rPr>
          <w:lang w:val="en-CA"/>
        </w:rPr>
        <w:t xml:space="preserve">intention is to </w:t>
      </w:r>
      <w:r w:rsidR="00992924">
        <w:rPr>
          <w:lang w:val="en-CA"/>
        </w:rPr>
        <w:t xml:space="preserve">entrust </w:t>
      </w:r>
      <w:r w:rsidR="00335158">
        <w:rPr>
          <w:lang w:val="en-CA"/>
        </w:rPr>
        <w:t>to</w:t>
      </w:r>
      <w:r w:rsidR="00335158" w:rsidRPr="00105125">
        <w:rPr>
          <w:lang w:val="en-CA"/>
        </w:rPr>
        <w:t xml:space="preserve"> </w:t>
      </w:r>
      <w:r w:rsidR="00335158">
        <w:rPr>
          <w:lang w:val="en-CA"/>
        </w:rPr>
        <w:t>a regulatory authority</w:t>
      </w:r>
      <w:r w:rsidR="00335158" w:rsidRPr="00105125">
        <w:rPr>
          <w:lang w:val="en-CA"/>
        </w:rPr>
        <w:t xml:space="preserve"> </w:t>
      </w:r>
      <w:r w:rsidR="009C246D" w:rsidRPr="00105125">
        <w:rPr>
          <w:lang w:val="en-CA"/>
        </w:rPr>
        <w:t>not only the determination of the parents’ contribution</w:t>
      </w:r>
      <w:r w:rsidR="009C246D">
        <w:rPr>
          <w:lang w:val="en-CA"/>
        </w:rPr>
        <w:t xml:space="preserve">, </w:t>
      </w:r>
      <w:r w:rsidRPr="00105125">
        <w:rPr>
          <w:lang w:val="en-CA"/>
        </w:rPr>
        <w:t xml:space="preserve">but the eligibility </w:t>
      </w:r>
      <w:r w:rsidRPr="00105125">
        <w:rPr>
          <w:lang w:val="en-CA"/>
        </w:rPr>
        <w:lastRenderedPageBreak/>
        <w:t>conditions</w:t>
      </w:r>
      <w:r w:rsidR="009C246D">
        <w:rPr>
          <w:lang w:val="en-CA"/>
        </w:rPr>
        <w:t xml:space="preserve"> as well</w:t>
      </w:r>
      <w:r w:rsidRPr="00105125">
        <w:rPr>
          <w:lang w:val="en-CA"/>
        </w:rPr>
        <w:t>.</w:t>
      </w:r>
      <w:r w:rsidR="004A7BFD" w:rsidRPr="00105125">
        <w:rPr>
          <w:lang w:val="en-CA"/>
        </w:rPr>
        <w:t xml:space="preserve"> </w:t>
      </w:r>
      <w:r w:rsidRPr="00105125">
        <w:rPr>
          <w:lang w:val="en-CA"/>
        </w:rPr>
        <w:t xml:space="preserve">The AGQ in fact </w:t>
      </w:r>
      <w:r w:rsidR="009C246D">
        <w:rPr>
          <w:lang w:val="en-CA"/>
        </w:rPr>
        <w:t>contends</w:t>
      </w:r>
      <w:r w:rsidRPr="00105125">
        <w:rPr>
          <w:lang w:val="en-CA"/>
        </w:rPr>
        <w:t xml:space="preserve"> that it is </w:t>
      </w:r>
      <w:r w:rsidR="009C246D">
        <w:rPr>
          <w:lang w:val="en-CA"/>
        </w:rPr>
        <w:t xml:space="preserve">an </w:t>
      </w:r>
      <w:r w:rsidRPr="00105125">
        <w:rPr>
          <w:lang w:val="en-CA"/>
        </w:rPr>
        <w:t xml:space="preserve">indirect authorization, described as follows by authors </w:t>
      </w:r>
      <w:proofErr w:type="spellStart"/>
      <w:r w:rsidRPr="00105125">
        <w:rPr>
          <w:lang w:val="en-CA"/>
        </w:rPr>
        <w:t>Issalys</w:t>
      </w:r>
      <w:proofErr w:type="spellEnd"/>
      <w:r w:rsidRPr="00105125">
        <w:rPr>
          <w:lang w:val="en-CA"/>
        </w:rPr>
        <w:t xml:space="preserve"> and Lemieux:</w:t>
      </w:r>
    </w:p>
    <w:p w14:paraId="0637D416" w14:textId="071B99D2" w:rsidR="00BC6A63" w:rsidRPr="00105125" w:rsidRDefault="00BC6A63" w:rsidP="0072362A">
      <w:pPr>
        <w:pStyle w:val="Citationenretrait"/>
        <w:rPr>
          <w:lang w:val="en-CA"/>
        </w:rPr>
      </w:pPr>
      <w:r w:rsidRPr="00105125">
        <w:rPr>
          <w:rFonts w:cs="Arial"/>
          <w:lang w:val="en-CA"/>
        </w:rPr>
        <w:t>[</w:t>
      </w:r>
      <w:r w:rsidRPr="00105125">
        <w:rPr>
          <w:rFonts w:cs="Arial"/>
          <w:smallCaps/>
          <w:lang w:val="en-CA"/>
        </w:rPr>
        <w:t>translation</w:t>
      </w:r>
      <w:r w:rsidRPr="00105125">
        <w:rPr>
          <w:rFonts w:cs="Arial"/>
          <w:lang w:val="en-CA"/>
        </w:rPr>
        <w:t>]</w:t>
      </w:r>
    </w:p>
    <w:p w14:paraId="2326A769" w14:textId="77FB4185" w:rsidR="0072362A" w:rsidRPr="00105125" w:rsidRDefault="00BC104D" w:rsidP="0072362A">
      <w:pPr>
        <w:pStyle w:val="Citationenretrait"/>
        <w:rPr>
          <w:lang w:val="en-CA"/>
        </w:rPr>
      </w:pPr>
      <w:r w:rsidRPr="00105125">
        <w:rPr>
          <w:lang w:val="en-CA"/>
        </w:rPr>
        <w:t xml:space="preserve">Indirect authorization refers to the existence of regulations and therefore assumes a power to establish the regulations, </w:t>
      </w:r>
      <w:r w:rsidR="009C246D">
        <w:rPr>
          <w:lang w:val="en-CA"/>
        </w:rPr>
        <w:t xml:space="preserve">even though </w:t>
      </w:r>
      <w:r w:rsidRPr="00105125">
        <w:rPr>
          <w:lang w:val="en-CA"/>
        </w:rPr>
        <w:t>th</w:t>
      </w:r>
      <w:r w:rsidR="00335158">
        <w:rPr>
          <w:lang w:val="en-CA"/>
        </w:rPr>
        <w:t>at</w:t>
      </w:r>
      <w:r w:rsidRPr="00105125">
        <w:rPr>
          <w:lang w:val="en-CA"/>
        </w:rPr>
        <w:t xml:space="preserve"> </w:t>
      </w:r>
      <w:r w:rsidR="00335158">
        <w:rPr>
          <w:lang w:val="en-CA"/>
        </w:rPr>
        <w:t xml:space="preserve">Act </w:t>
      </w:r>
      <w:r w:rsidRPr="00105125">
        <w:rPr>
          <w:lang w:val="en-CA"/>
        </w:rPr>
        <w:t xml:space="preserve">does not </w:t>
      </w:r>
      <w:r w:rsidR="0083669B">
        <w:rPr>
          <w:lang w:val="en-CA"/>
        </w:rPr>
        <w:t xml:space="preserve">otherwise </w:t>
      </w:r>
      <w:r w:rsidRPr="00105125">
        <w:rPr>
          <w:lang w:val="en-CA"/>
        </w:rPr>
        <w:t xml:space="preserve">specifically </w:t>
      </w:r>
      <w:r w:rsidR="00335158">
        <w:rPr>
          <w:lang w:val="en-CA"/>
        </w:rPr>
        <w:t xml:space="preserve">assign </w:t>
      </w:r>
      <w:r w:rsidRPr="00105125">
        <w:rPr>
          <w:lang w:val="en-CA"/>
        </w:rPr>
        <w:t>this power.</w:t>
      </w:r>
      <w:r w:rsidR="004A7BFD" w:rsidRPr="00105125">
        <w:rPr>
          <w:lang w:val="en-CA"/>
        </w:rPr>
        <w:t xml:space="preserve"> </w:t>
      </w:r>
      <w:r w:rsidRPr="00105125">
        <w:rPr>
          <w:lang w:val="en-CA"/>
        </w:rPr>
        <w:t xml:space="preserve">It </w:t>
      </w:r>
      <w:r w:rsidR="009C246D">
        <w:rPr>
          <w:lang w:val="en-CA"/>
        </w:rPr>
        <w:t xml:space="preserve">leaves </w:t>
      </w:r>
      <w:r w:rsidR="00D9146D">
        <w:rPr>
          <w:lang w:val="en-CA"/>
        </w:rPr>
        <w:t xml:space="preserve">room for </w:t>
      </w:r>
      <w:r w:rsidRPr="00105125">
        <w:rPr>
          <w:lang w:val="en-CA"/>
        </w:rPr>
        <w:t xml:space="preserve">doubt </w:t>
      </w:r>
      <w:r w:rsidR="00D9146D">
        <w:rPr>
          <w:lang w:val="en-CA"/>
        </w:rPr>
        <w:t xml:space="preserve">on </w:t>
      </w:r>
      <w:r w:rsidRPr="00105125">
        <w:rPr>
          <w:lang w:val="en-CA"/>
        </w:rPr>
        <w:t>the existence and exact scope of the regulatory power.</w:t>
      </w:r>
      <w:r w:rsidR="004A7BFD" w:rsidRPr="00105125">
        <w:rPr>
          <w:rStyle w:val="Appelnotedebasdep"/>
          <w:lang w:val="en-CA"/>
        </w:rPr>
        <w:footnoteReference w:id="29"/>
      </w:r>
    </w:p>
    <w:p w14:paraId="1CF11D18" w14:textId="3F04A02C" w:rsidR="0072362A" w:rsidRPr="00105125" w:rsidRDefault="00BC104D" w:rsidP="001D61A3">
      <w:pPr>
        <w:pStyle w:val="Paragraphe"/>
        <w:spacing w:line="280" w:lineRule="exact"/>
        <w:rPr>
          <w:lang w:val="en-CA"/>
        </w:rPr>
      </w:pPr>
      <w:r w:rsidRPr="00105125">
        <w:rPr>
          <w:lang w:val="en-CA"/>
        </w:rPr>
        <w:t>I share the AGQ’s position that it is an indirect authorization.</w:t>
      </w:r>
    </w:p>
    <w:p w14:paraId="68F5F32A" w14:textId="151B6DA7" w:rsidR="0072362A" w:rsidRPr="00105125" w:rsidRDefault="00BC104D" w:rsidP="001D61A3">
      <w:pPr>
        <w:pStyle w:val="Paragraphe"/>
        <w:spacing w:line="280" w:lineRule="exact"/>
        <w:rPr>
          <w:lang w:val="en-CA"/>
        </w:rPr>
      </w:pPr>
      <w:r w:rsidRPr="00105125">
        <w:rPr>
          <w:lang w:val="en-CA"/>
        </w:rPr>
        <w:t xml:space="preserve">This </w:t>
      </w:r>
      <w:r w:rsidR="00335158">
        <w:rPr>
          <w:lang w:val="en-CA"/>
        </w:rPr>
        <w:t xml:space="preserve">is clear </w:t>
      </w:r>
      <w:r w:rsidR="00D9146D">
        <w:rPr>
          <w:lang w:val="en-CA"/>
        </w:rPr>
        <w:t>from</w:t>
      </w:r>
      <w:r w:rsidRPr="00105125">
        <w:rPr>
          <w:lang w:val="en-CA"/>
        </w:rPr>
        <w:t xml:space="preserve"> section 42(4), but also </w:t>
      </w:r>
      <w:r w:rsidR="00D9146D">
        <w:rPr>
          <w:lang w:val="en-CA"/>
        </w:rPr>
        <w:t xml:space="preserve">from </w:t>
      </w:r>
      <w:r w:rsidRPr="00105125">
        <w:rPr>
          <w:lang w:val="en-CA"/>
        </w:rPr>
        <w:t xml:space="preserve">section 87 </w:t>
      </w:r>
      <w:r w:rsidR="000777CC">
        <w:rPr>
          <w:lang w:val="en-CA"/>
        </w:rPr>
        <w:t xml:space="preserve">of the </w:t>
      </w:r>
      <w:r w:rsidRPr="00105125">
        <w:rPr>
          <w:i/>
          <w:lang w:val="en-CA"/>
        </w:rPr>
        <w:t>ECA</w:t>
      </w:r>
      <w:r w:rsidRPr="00105125">
        <w:rPr>
          <w:lang w:val="en-CA"/>
        </w:rPr>
        <w:t>, which states that a parent may contest the decision of a permit holder or coordinating office regarding the parent’s eligibility or exemption:</w:t>
      </w:r>
    </w:p>
    <w:tbl>
      <w:tblPr>
        <w:tblW w:w="0" w:type="auto"/>
        <w:tblLayout w:type="fixed"/>
        <w:tblCellMar>
          <w:left w:w="70" w:type="dxa"/>
          <w:right w:w="70" w:type="dxa"/>
        </w:tblCellMar>
        <w:tblLook w:val="0000" w:firstRow="0" w:lastRow="0" w:firstColumn="0" w:lastColumn="0" w:noHBand="0" w:noVBand="0"/>
      </w:tblPr>
      <w:tblGrid>
        <w:gridCol w:w="4680"/>
        <w:gridCol w:w="4680"/>
      </w:tblGrid>
      <w:tr w:rsidR="009D16D4" w:rsidRPr="00105125" w14:paraId="7ADE98FB" w14:textId="4F4E15BB" w:rsidTr="00E64D18">
        <w:tc>
          <w:tcPr>
            <w:tcW w:w="4680" w:type="dxa"/>
            <w:shd w:val="clear" w:color="auto" w:fill="auto"/>
          </w:tcPr>
          <w:p w14:paraId="366349C0" w14:textId="77777777" w:rsidR="009D16D4" w:rsidRPr="00105125" w:rsidRDefault="009D16D4" w:rsidP="00EE7468">
            <w:pPr>
              <w:pStyle w:val="Tableaudroiteanglais"/>
              <w:ind w:left="638" w:right="219"/>
            </w:pPr>
            <w:r w:rsidRPr="00105125">
              <w:rPr>
                <w:b/>
                <w:bCs/>
              </w:rPr>
              <w:t>87.</w:t>
            </w:r>
            <w:r w:rsidRPr="00105125">
              <w:t xml:space="preserve"> A parent who believes he or she has been wronged by the decision of a permit holder or home educational childcare coordinating office regarding the parent’s eligibility for payment of the contribution set by regulation or for an exemption may apply to the Minister for a review of the decision.</w:t>
            </w:r>
          </w:p>
          <w:p w14:paraId="1A111801" w14:textId="77777777" w:rsidR="009D16D4" w:rsidRPr="00105125" w:rsidRDefault="009D16D4" w:rsidP="00EE7468">
            <w:pPr>
              <w:pStyle w:val="Tableaudroiteanglais"/>
              <w:ind w:left="638" w:right="219"/>
            </w:pPr>
          </w:p>
          <w:p w14:paraId="1CD29C42" w14:textId="77777777" w:rsidR="009D16D4" w:rsidRPr="00105125" w:rsidRDefault="009D16D4" w:rsidP="00EE7468">
            <w:pPr>
              <w:pStyle w:val="Tableaudroiteanglais"/>
              <w:ind w:left="638" w:right="219"/>
            </w:pPr>
            <w:r w:rsidRPr="00105125">
              <w:t>The application must be made in writing within 90 days after the day on which the parent is notified of the decision, and must contain a brief summary of the grounds for the review.</w:t>
            </w:r>
          </w:p>
          <w:p w14:paraId="56C144CD" w14:textId="77777777" w:rsidR="009D16D4" w:rsidRPr="00105125" w:rsidRDefault="009D16D4" w:rsidP="00EE7468">
            <w:pPr>
              <w:pStyle w:val="Tableaudroiteanglais"/>
              <w:ind w:left="638" w:right="219"/>
            </w:pPr>
          </w:p>
          <w:p w14:paraId="4F79487C" w14:textId="77777777" w:rsidR="009D16D4" w:rsidRPr="00105125" w:rsidRDefault="009D16D4" w:rsidP="00EE7468">
            <w:pPr>
              <w:pStyle w:val="Tableaudroiteanglais"/>
              <w:ind w:left="638" w:right="219"/>
            </w:pPr>
            <w:r w:rsidRPr="00105125">
              <w:t>The Minister may grant an extension if the parent can show that he or she was unable, for serious and valid reasons, to act sooner.</w:t>
            </w:r>
          </w:p>
        </w:tc>
        <w:tc>
          <w:tcPr>
            <w:tcW w:w="4680" w:type="dxa"/>
          </w:tcPr>
          <w:p w14:paraId="441B7C11" w14:textId="77777777" w:rsidR="009D16D4" w:rsidRPr="001444DD" w:rsidRDefault="009D16D4" w:rsidP="00FF5794">
            <w:pPr>
              <w:pStyle w:val="Tableaugauchefranais"/>
              <w:ind w:left="74" w:right="642"/>
              <w:jc w:val="both"/>
            </w:pPr>
            <w:r w:rsidRPr="001444DD">
              <w:rPr>
                <w:b/>
                <w:bCs/>
              </w:rPr>
              <w:t>87.</w:t>
            </w:r>
            <w:r w:rsidRPr="001444DD">
              <w:t xml:space="preserve"> Le parent qui se croit lésé par la décision d’un titulaire de permis ou d’un bureau coordonnateur de la garde éducative en milieu familial à propos de son admissibilité à la contribution fixée par règlement ou à son exemption peut demander au ministre de réviser cette décision.</w:t>
            </w:r>
          </w:p>
          <w:p w14:paraId="6D736952" w14:textId="77777777" w:rsidR="009D16D4" w:rsidRPr="001444DD" w:rsidRDefault="009D16D4" w:rsidP="00FF5794">
            <w:pPr>
              <w:pStyle w:val="Tableaugauchefranais"/>
              <w:ind w:left="74" w:right="642"/>
              <w:jc w:val="both"/>
            </w:pPr>
          </w:p>
          <w:p w14:paraId="7F9C6420" w14:textId="77777777" w:rsidR="009D16D4" w:rsidRPr="001444DD" w:rsidRDefault="009D16D4" w:rsidP="00FF5794">
            <w:pPr>
              <w:pStyle w:val="Tableaugauchefranais"/>
              <w:ind w:left="74" w:right="642"/>
              <w:jc w:val="both"/>
            </w:pPr>
            <w:r w:rsidRPr="001444DD">
              <w:t>La demande est faite par écrit et elle expose sommairement les motifs invoqués. Elle est présentée dans les 90 jours suivant la date à laquelle le parent est avisé de la décision.</w:t>
            </w:r>
          </w:p>
          <w:p w14:paraId="2DBA0AD9" w14:textId="77777777" w:rsidR="009D16D4" w:rsidRPr="001444DD" w:rsidRDefault="009D16D4" w:rsidP="00FF5794">
            <w:pPr>
              <w:pStyle w:val="Tableaugauchefranais"/>
              <w:ind w:left="74" w:right="642"/>
              <w:jc w:val="both"/>
            </w:pPr>
          </w:p>
          <w:p w14:paraId="553EFDF9" w14:textId="77777777" w:rsidR="009D16D4" w:rsidRPr="001444DD" w:rsidRDefault="009D16D4" w:rsidP="00FF5794">
            <w:pPr>
              <w:pStyle w:val="Tableaugauchefranais"/>
              <w:ind w:left="74" w:right="642"/>
              <w:jc w:val="both"/>
            </w:pPr>
          </w:p>
          <w:p w14:paraId="01A4911C" w14:textId="6CA21CCF" w:rsidR="009D16D4" w:rsidRPr="001444DD" w:rsidRDefault="009D16D4" w:rsidP="00FF5794">
            <w:pPr>
              <w:pStyle w:val="Tableaudroiteanglais"/>
              <w:ind w:left="74" w:right="642"/>
              <w:rPr>
                <w:b/>
                <w:bCs/>
                <w:lang w:val="fr-CA"/>
              </w:rPr>
            </w:pPr>
            <w:r w:rsidRPr="001444DD">
              <w:rPr>
                <w:lang w:val="fr-CA"/>
              </w:rPr>
              <w:t>Le ministre peut prolonger ce délai si le parent démontre qu’il n’a pu pour des motifs sérieux et légitimes agir plus tôt.</w:t>
            </w:r>
          </w:p>
        </w:tc>
      </w:tr>
    </w:tbl>
    <w:p w14:paraId="489FD084" w14:textId="0F2D672E" w:rsidR="0072362A" w:rsidRPr="00105125" w:rsidRDefault="00BC104D" w:rsidP="00B84671">
      <w:pPr>
        <w:pStyle w:val="Paragraphe"/>
        <w:spacing w:before="240" w:line="280" w:lineRule="exact"/>
        <w:rPr>
          <w:lang w:val="en-CA"/>
        </w:rPr>
      </w:pPr>
      <w:r w:rsidRPr="00105125">
        <w:rPr>
          <w:lang w:val="en-CA"/>
        </w:rPr>
        <w:t xml:space="preserve">Section 106 </w:t>
      </w:r>
      <w:r w:rsidRPr="00105125">
        <w:rPr>
          <w:i/>
          <w:iCs/>
          <w:lang w:val="en-CA"/>
        </w:rPr>
        <w:t>ECA</w:t>
      </w:r>
      <w:r w:rsidRPr="00105125">
        <w:rPr>
          <w:lang w:val="en-CA"/>
        </w:rPr>
        <w:t xml:space="preserve"> </w:t>
      </w:r>
      <w:r w:rsidRPr="00105125">
        <w:rPr>
          <w:iCs/>
          <w:lang w:val="en-CA"/>
        </w:rPr>
        <w:t>lists</w:t>
      </w:r>
      <w:r w:rsidRPr="00105125">
        <w:rPr>
          <w:lang w:val="en-CA"/>
        </w:rPr>
        <w:t xml:space="preserve"> </w:t>
      </w:r>
      <w:r w:rsidR="00613A92">
        <w:rPr>
          <w:lang w:val="en-CA"/>
        </w:rPr>
        <w:t>numerous</w:t>
      </w:r>
      <w:r w:rsidRPr="00105125">
        <w:rPr>
          <w:lang w:val="en-CA"/>
        </w:rPr>
        <w:t xml:space="preserve"> regulatory powers vested in the government of Quebec</w:t>
      </w:r>
      <w:r w:rsidR="00613A92">
        <w:rPr>
          <w:lang w:val="en-CA"/>
        </w:rPr>
        <w:t>, that is, 52 in total</w:t>
      </w:r>
      <w:r w:rsidRPr="00105125">
        <w:rPr>
          <w:lang w:val="en-CA"/>
        </w:rPr>
        <w:t>.</w:t>
      </w:r>
      <w:r w:rsidR="004A7BFD" w:rsidRPr="00105125">
        <w:rPr>
          <w:lang w:val="en-CA"/>
        </w:rPr>
        <w:t xml:space="preserve"> </w:t>
      </w:r>
      <w:r w:rsidRPr="00105125">
        <w:rPr>
          <w:lang w:val="en-CA"/>
        </w:rPr>
        <w:t xml:space="preserve">These authorizations cover all regulatory powers with a major </w:t>
      </w:r>
      <w:r w:rsidR="00D9146D">
        <w:rPr>
          <w:lang w:val="en-CA"/>
        </w:rPr>
        <w:t xml:space="preserve">financial or </w:t>
      </w:r>
      <w:r w:rsidRPr="00105125">
        <w:rPr>
          <w:lang w:val="en-CA"/>
        </w:rPr>
        <w:t>social impact on the childcare service</w:t>
      </w:r>
      <w:r w:rsidR="00D9146D">
        <w:rPr>
          <w:lang w:val="en-CA"/>
        </w:rPr>
        <w:t>s</w:t>
      </w:r>
      <w:r w:rsidRPr="00105125">
        <w:rPr>
          <w:lang w:val="en-CA"/>
        </w:rPr>
        <w:t xml:space="preserve"> network </w:t>
      </w:r>
      <w:r w:rsidR="00D9146D">
        <w:rPr>
          <w:lang w:val="en-CA"/>
        </w:rPr>
        <w:t xml:space="preserve">governed by </w:t>
      </w:r>
      <w:r w:rsidRPr="00105125">
        <w:rPr>
          <w:lang w:val="en-CA"/>
        </w:rPr>
        <w:t xml:space="preserve">the </w:t>
      </w:r>
      <w:r w:rsidRPr="00105125">
        <w:rPr>
          <w:i/>
          <w:lang w:val="en-CA"/>
        </w:rPr>
        <w:t>ECA</w:t>
      </w:r>
      <w:r w:rsidRPr="00105125">
        <w:rPr>
          <w:lang w:val="en-CA"/>
        </w:rPr>
        <w:t>.</w:t>
      </w:r>
      <w:r w:rsidR="004A7BFD" w:rsidRPr="00105125">
        <w:rPr>
          <w:lang w:val="en-CA"/>
        </w:rPr>
        <w:t xml:space="preserve"> </w:t>
      </w:r>
      <w:r w:rsidRPr="00105125">
        <w:rPr>
          <w:lang w:val="en-CA"/>
        </w:rPr>
        <w:t>Section 106(26) states:</w:t>
      </w:r>
      <w:r w:rsidR="004A7BFD" w:rsidRPr="00105125">
        <w:rPr>
          <w:lang w:val="en-CA"/>
        </w:rPr>
        <w:t xml:space="preserve"> </w:t>
      </w:r>
    </w:p>
    <w:tbl>
      <w:tblPr>
        <w:tblW w:w="9366" w:type="dxa"/>
        <w:tblCellMar>
          <w:left w:w="70" w:type="dxa"/>
          <w:right w:w="70" w:type="dxa"/>
        </w:tblCellMar>
        <w:tblLook w:val="0000" w:firstRow="0" w:lastRow="0" w:firstColumn="0" w:lastColumn="0" w:noHBand="0" w:noVBand="0"/>
      </w:tblPr>
      <w:tblGrid>
        <w:gridCol w:w="4683"/>
        <w:gridCol w:w="4683"/>
      </w:tblGrid>
      <w:tr w:rsidR="009D16D4" w:rsidRPr="00105125" w14:paraId="642E5CE3" w14:textId="5AE1F871" w:rsidTr="009D16D4">
        <w:tc>
          <w:tcPr>
            <w:tcW w:w="4683" w:type="dxa"/>
          </w:tcPr>
          <w:p w14:paraId="200C7494" w14:textId="77777777" w:rsidR="009D16D4" w:rsidRPr="00105125" w:rsidRDefault="009D16D4" w:rsidP="00EE7468">
            <w:pPr>
              <w:pStyle w:val="Tableaudroiteanglais"/>
              <w:ind w:left="355" w:right="219"/>
            </w:pPr>
            <w:r w:rsidRPr="00105125">
              <w:rPr>
                <w:b/>
                <w:bCs/>
              </w:rPr>
              <w:lastRenderedPageBreak/>
              <w:t xml:space="preserve">106. </w:t>
            </w:r>
            <w:r w:rsidRPr="00105125">
              <w:t>The Government may, by regulation, for part or all of Québec,</w:t>
            </w:r>
          </w:p>
          <w:p w14:paraId="18E1240A" w14:textId="77777777" w:rsidR="009D16D4" w:rsidRPr="00105125" w:rsidRDefault="009D16D4" w:rsidP="00EE7468">
            <w:pPr>
              <w:pStyle w:val="Tableaudroiteanglais"/>
              <w:ind w:left="355" w:right="219"/>
            </w:pPr>
          </w:p>
          <w:p w14:paraId="1030580C" w14:textId="63F69CB4" w:rsidR="009D16D4" w:rsidRPr="00105125" w:rsidRDefault="009D16D4" w:rsidP="00EE7468">
            <w:pPr>
              <w:pStyle w:val="Tableaudroiteanglais"/>
              <w:ind w:left="355" w:right="219"/>
            </w:pPr>
            <w:r w:rsidRPr="00105125">
              <w:t>…</w:t>
            </w:r>
          </w:p>
          <w:p w14:paraId="29AE719E" w14:textId="77777777" w:rsidR="009D16D4" w:rsidRPr="00105125" w:rsidRDefault="009D16D4" w:rsidP="00EE7468">
            <w:pPr>
              <w:pStyle w:val="Tableaudroiteanglais"/>
              <w:ind w:left="355" w:right="219"/>
            </w:pPr>
          </w:p>
          <w:p w14:paraId="24498926" w14:textId="77777777" w:rsidR="009D16D4" w:rsidRPr="00105125" w:rsidRDefault="009D16D4" w:rsidP="00EE7468">
            <w:pPr>
              <w:pStyle w:val="Tableaudroiteanglais"/>
              <w:ind w:left="355" w:right="219"/>
            </w:pPr>
          </w:p>
          <w:p w14:paraId="341F4CF9" w14:textId="77777777" w:rsidR="009D16D4" w:rsidRPr="00105125" w:rsidRDefault="009D16D4" w:rsidP="00EE7468">
            <w:pPr>
              <w:pStyle w:val="Tableaudroiteanglais"/>
              <w:ind w:left="355" w:right="219"/>
            </w:pPr>
            <w:r w:rsidRPr="00105125">
              <w:rPr>
                <w:b/>
                <w:bCs/>
              </w:rPr>
              <w:t>(26</w:t>
            </w:r>
            <w:r w:rsidRPr="00105125">
              <w:rPr>
                <w:b/>
                <w:bCs/>
                <w:u w:val="single"/>
              </w:rPr>
              <w:t>)</w:t>
            </w:r>
            <w:r w:rsidRPr="00105125">
              <w:rPr>
                <w:u w:val="single"/>
              </w:rPr>
              <w:t xml:space="preserve"> determine the terms and conditions for payment of the parental contribution set</w:t>
            </w:r>
            <w:r w:rsidRPr="00105125">
              <w:t xml:space="preserve"> by the Government and define the cases in which a parent may be fully or partially exempted from paying that contribution for all or some services, as specified;</w:t>
            </w:r>
          </w:p>
          <w:p w14:paraId="2FD8C1F4" w14:textId="77777777" w:rsidR="009D16D4" w:rsidRPr="00105125" w:rsidRDefault="009D16D4" w:rsidP="00EE7468">
            <w:pPr>
              <w:pStyle w:val="Tableaudroiteanglais"/>
              <w:ind w:left="355" w:right="219"/>
            </w:pPr>
          </w:p>
          <w:p w14:paraId="29956AC9" w14:textId="0049A518" w:rsidR="009D16D4" w:rsidRPr="00105125" w:rsidRDefault="009D16D4" w:rsidP="00EE7468">
            <w:pPr>
              <w:pStyle w:val="Tableaudroiteanglais"/>
              <w:ind w:left="355" w:right="219"/>
              <w:jc w:val="right"/>
            </w:pPr>
          </w:p>
        </w:tc>
        <w:tc>
          <w:tcPr>
            <w:tcW w:w="4683" w:type="dxa"/>
          </w:tcPr>
          <w:p w14:paraId="210B8E9C" w14:textId="77777777" w:rsidR="009D16D4" w:rsidRPr="001444DD" w:rsidRDefault="009D16D4" w:rsidP="00FF5794">
            <w:pPr>
              <w:pStyle w:val="Tableaugauchefranais"/>
              <w:ind w:left="64" w:right="652"/>
              <w:jc w:val="both"/>
            </w:pPr>
            <w:r w:rsidRPr="001444DD">
              <w:rPr>
                <w:b/>
                <w:bCs/>
              </w:rPr>
              <w:t xml:space="preserve">106. </w:t>
            </w:r>
            <w:r w:rsidRPr="001444DD">
              <w:t>Le gouvernement peut, par règlement, pour l’ensemble ou une partie du territoire du Québec :</w:t>
            </w:r>
          </w:p>
          <w:p w14:paraId="536AAA39" w14:textId="77777777" w:rsidR="009D16D4" w:rsidRPr="001444DD" w:rsidRDefault="009D16D4" w:rsidP="00FF5794">
            <w:pPr>
              <w:pStyle w:val="Tableaugauchefranais"/>
              <w:ind w:left="64" w:right="652"/>
              <w:jc w:val="both"/>
            </w:pPr>
          </w:p>
          <w:p w14:paraId="3E112559" w14:textId="4AC0616E" w:rsidR="009D16D4" w:rsidRPr="001444DD" w:rsidRDefault="009D16D4" w:rsidP="00FF5794">
            <w:pPr>
              <w:pStyle w:val="Tableaugauchefranais"/>
              <w:ind w:left="64" w:right="652"/>
              <w:jc w:val="both"/>
            </w:pPr>
            <w:r w:rsidRPr="001444DD">
              <w:t>[…]</w:t>
            </w:r>
          </w:p>
          <w:p w14:paraId="32D29C9A" w14:textId="77777777" w:rsidR="009D16D4" w:rsidRPr="001444DD" w:rsidRDefault="009D16D4" w:rsidP="00FF5794">
            <w:pPr>
              <w:pStyle w:val="Tableaugauchefranais"/>
              <w:ind w:left="64" w:right="652"/>
              <w:jc w:val="both"/>
            </w:pPr>
          </w:p>
          <w:p w14:paraId="10418973" w14:textId="77777777" w:rsidR="009D16D4" w:rsidRPr="001444DD" w:rsidRDefault="009D16D4" w:rsidP="00FF5794">
            <w:pPr>
              <w:pStyle w:val="Tableaudroiteanglais"/>
              <w:ind w:left="64" w:right="652"/>
              <w:rPr>
                <w:lang w:val="fr-CA"/>
              </w:rPr>
            </w:pPr>
            <w:r w:rsidRPr="001444DD">
              <w:rPr>
                <w:b/>
                <w:bCs/>
                <w:lang w:val="fr-CA"/>
              </w:rPr>
              <w:t xml:space="preserve">26° </w:t>
            </w:r>
            <w:r w:rsidRPr="001444DD">
              <w:rPr>
                <w:lang w:val="fr-CA"/>
              </w:rPr>
              <w:t xml:space="preserve">déterminer les </w:t>
            </w:r>
            <w:r w:rsidRPr="001444DD">
              <w:rPr>
                <w:u w:val="single"/>
                <w:lang w:val="fr-CA"/>
              </w:rPr>
              <w:t>conditions et modalités suivant lesquelles le parent verse la contribution fixée</w:t>
            </w:r>
            <w:r w:rsidRPr="001444DD">
              <w:rPr>
                <w:lang w:val="fr-CA"/>
              </w:rPr>
              <w:t xml:space="preserve"> par le gouvernement et les cas où le parent en est exempté, totalement ou partiellement, pour tout ou partie des services déterminés;</w:t>
            </w:r>
          </w:p>
          <w:p w14:paraId="465FACE0" w14:textId="77777777" w:rsidR="009D16D4" w:rsidRPr="001444DD" w:rsidRDefault="009D16D4" w:rsidP="00FF5794">
            <w:pPr>
              <w:pStyle w:val="Tableaudroiteanglais"/>
              <w:ind w:left="64" w:right="652"/>
              <w:rPr>
                <w:b/>
                <w:bCs/>
                <w:lang w:val="fr-CA"/>
              </w:rPr>
            </w:pPr>
          </w:p>
          <w:p w14:paraId="2A04F619" w14:textId="7DE6F55D" w:rsidR="009D16D4" w:rsidRPr="00105125" w:rsidRDefault="009D16D4" w:rsidP="00FF5794">
            <w:pPr>
              <w:pStyle w:val="Tableaudroiteanglais"/>
              <w:ind w:left="64" w:right="652"/>
              <w:jc w:val="right"/>
              <w:rPr>
                <w:b/>
                <w:bCs/>
              </w:rPr>
            </w:pPr>
            <w:r w:rsidRPr="00105125">
              <w:rPr>
                <w:rFonts w:cs="Arial"/>
              </w:rPr>
              <w:t>[Emphasis added]</w:t>
            </w:r>
          </w:p>
        </w:tc>
      </w:tr>
    </w:tbl>
    <w:p w14:paraId="61AE4F53" w14:textId="20A5623B" w:rsidR="0072362A" w:rsidRPr="00105125" w:rsidRDefault="00FE061B" w:rsidP="00E35E35">
      <w:pPr>
        <w:pStyle w:val="Paragraphe"/>
        <w:spacing w:before="240" w:line="280" w:lineRule="exact"/>
        <w:rPr>
          <w:lang w:val="en-CA"/>
        </w:rPr>
      </w:pPr>
      <w:r w:rsidRPr="00105125">
        <w:rPr>
          <w:lang w:val="en-CA"/>
        </w:rPr>
        <w:t xml:space="preserve">Moreover, the vast majority of regulatory powers in the </w:t>
      </w:r>
      <w:r w:rsidRPr="00105125">
        <w:rPr>
          <w:i/>
          <w:lang w:val="en-CA"/>
        </w:rPr>
        <w:t>ECA</w:t>
      </w:r>
      <w:r w:rsidRPr="00105125">
        <w:rPr>
          <w:lang w:val="en-CA"/>
        </w:rPr>
        <w:t xml:space="preserve"> is </w:t>
      </w:r>
      <w:r w:rsidR="00D9146D">
        <w:rPr>
          <w:lang w:val="en-CA"/>
        </w:rPr>
        <w:t>grant</w:t>
      </w:r>
      <w:r w:rsidRPr="00105125">
        <w:rPr>
          <w:lang w:val="en-CA"/>
        </w:rPr>
        <w:t>ed to the government.</w:t>
      </w:r>
      <w:r w:rsidR="004A7BFD" w:rsidRPr="00105125">
        <w:rPr>
          <w:lang w:val="en-CA"/>
        </w:rPr>
        <w:t xml:space="preserve"> </w:t>
      </w:r>
      <w:r w:rsidRPr="00105125">
        <w:rPr>
          <w:lang w:val="en-CA"/>
        </w:rPr>
        <w:t>Only one is granted to the Minister of Family</w:t>
      </w:r>
      <w:r w:rsidR="00D9146D">
        <w:rPr>
          <w:lang w:val="en-CA"/>
        </w:rPr>
        <w:t>. It is</w:t>
      </w:r>
      <w:r w:rsidRPr="00105125">
        <w:rPr>
          <w:lang w:val="en-CA"/>
        </w:rPr>
        <w:t xml:space="preserve"> </w:t>
      </w:r>
      <w:r w:rsidR="00D9146D">
        <w:rPr>
          <w:lang w:val="en-CA"/>
        </w:rPr>
        <w:t xml:space="preserve">set out </w:t>
      </w:r>
      <w:r w:rsidRPr="00105125">
        <w:rPr>
          <w:lang w:val="en-CA"/>
        </w:rPr>
        <w:t xml:space="preserve">in section 107 </w:t>
      </w:r>
      <w:r w:rsidR="00AD6235">
        <w:rPr>
          <w:lang w:val="en-CA"/>
        </w:rPr>
        <w:t xml:space="preserve">of the </w:t>
      </w:r>
      <w:r w:rsidRPr="00105125">
        <w:rPr>
          <w:i/>
          <w:lang w:val="en-CA"/>
        </w:rPr>
        <w:t>ECA</w:t>
      </w:r>
      <w:r w:rsidR="004A7BFD" w:rsidRPr="00105125">
        <w:rPr>
          <w:lang w:val="en-CA"/>
        </w:rPr>
        <w:t xml:space="preserve"> </w:t>
      </w:r>
      <w:r w:rsidR="00D9146D">
        <w:rPr>
          <w:lang w:val="en-CA"/>
        </w:rPr>
        <w:t xml:space="preserve">and </w:t>
      </w:r>
      <w:r w:rsidRPr="00105125">
        <w:rPr>
          <w:lang w:val="en-CA"/>
        </w:rPr>
        <w:t>concerns accreditation.</w:t>
      </w:r>
    </w:p>
    <w:p w14:paraId="7725FB57" w14:textId="0F26CCA7" w:rsidR="0072362A" w:rsidRPr="00105125" w:rsidRDefault="00FE061B" w:rsidP="001D61A3">
      <w:pPr>
        <w:pStyle w:val="Paragraphe"/>
        <w:spacing w:line="280" w:lineRule="exact"/>
        <w:rPr>
          <w:lang w:val="en-CA"/>
        </w:rPr>
      </w:pPr>
      <w:r w:rsidRPr="00105125">
        <w:rPr>
          <w:lang w:val="en-CA"/>
        </w:rPr>
        <w:t xml:space="preserve">By considering both the object of the </w:t>
      </w:r>
      <w:r w:rsidRPr="00105125">
        <w:rPr>
          <w:i/>
          <w:lang w:val="en-CA"/>
        </w:rPr>
        <w:t>ECA</w:t>
      </w:r>
      <w:r w:rsidRPr="00105125">
        <w:rPr>
          <w:lang w:val="en-CA"/>
        </w:rPr>
        <w:t xml:space="preserve"> </w:t>
      </w:r>
      <w:r w:rsidR="00D9146D">
        <w:rPr>
          <w:lang w:val="en-CA"/>
        </w:rPr>
        <w:t>and th</w:t>
      </w:r>
      <w:r w:rsidR="00335158">
        <w:rPr>
          <w:lang w:val="en-CA"/>
        </w:rPr>
        <w:t>at</w:t>
      </w:r>
      <w:r w:rsidR="00D9146D">
        <w:rPr>
          <w:lang w:val="en-CA"/>
        </w:rPr>
        <w:t xml:space="preserve"> </w:t>
      </w:r>
      <w:r w:rsidR="00335158">
        <w:rPr>
          <w:lang w:val="en-CA"/>
        </w:rPr>
        <w:t xml:space="preserve">Act </w:t>
      </w:r>
      <w:r w:rsidRPr="00105125">
        <w:rPr>
          <w:lang w:val="en-CA"/>
        </w:rPr>
        <w:t xml:space="preserve">as a whole and its purpose, I am of the view that the government could determine the eligibility </w:t>
      </w:r>
      <w:r w:rsidR="00D9146D">
        <w:rPr>
          <w:lang w:val="en-CA"/>
        </w:rPr>
        <w:t xml:space="preserve">conditions </w:t>
      </w:r>
      <w:r w:rsidRPr="00105125">
        <w:rPr>
          <w:lang w:val="en-CA"/>
        </w:rPr>
        <w:t xml:space="preserve">prescribed in section 3 </w:t>
      </w:r>
      <w:r w:rsidR="00AD6235">
        <w:rPr>
          <w:lang w:val="en-CA"/>
        </w:rPr>
        <w:t xml:space="preserve">of the </w:t>
      </w:r>
      <w:r w:rsidRPr="00105125">
        <w:rPr>
          <w:i/>
          <w:lang w:val="en-CA"/>
        </w:rPr>
        <w:t>RCR</w:t>
      </w:r>
      <w:r w:rsidRPr="00105125">
        <w:rPr>
          <w:lang w:val="en-CA"/>
        </w:rPr>
        <w:t>.</w:t>
      </w:r>
      <w:r w:rsidR="004A7BFD" w:rsidRPr="00105125">
        <w:rPr>
          <w:lang w:val="en-CA"/>
        </w:rPr>
        <w:t xml:space="preserve"> </w:t>
      </w:r>
      <w:r w:rsidRPr="00105125">
        <w:rPr>
          <w:lang w:val="en-CA"/>
        </w:rPr>
        <w:t xml:space="preserve">The </w:t>
      </w:r>
      <w:r w:rsidRPr="00105125">
        <w:rPr>
          <w:i/>
          <w:lang w:val="en-CA"/>
        </w:rPr>
        <w:t>ECA</w:t>
      </w:r>
      <w:r w:rsidRPr="00105125">
        <w:rPr>
          <w:lang w:val="en-CA"/>
        </w:rPr>
        <w:t xml:space="preserve"> must be considered “in [the] entire context and in their grammatical and ordinary sense harmoniously with the scheme of the Act, the object of the Act, and the intention of </w:t>
      </w:r>
      <w:r w:rsidR="0004670D">
        <w:rPr>
          <w:rFonts w:cs="Arial"/>
          <w:lang w:val="en-CA"/>
        </w:rPr>
        <w:t>[the legislature]</w:t>
      </w:r>
      <w:r w:rsidRPr="00105125">
        <w:rPr>
          <w:lang w:val="en-CA"/>
        </w:rPr>
        <w:t>”.</w:t>
      </w:r>
      <w:r w:rsidRPr="00105125">
        <w:rPr>
          <w:rStyle w:val="Appelnotedebasdep"/>
          <w:lang w:val="en-CA"/>
        </w:rPr>
        <w:footnoteReference w:id="30"/>
      </w:r>
      <w:r w:rsidR="004A7BFD" w:rsidRPr="00105125">
        <w:rPr>
          <w:lang w:val="en-CA"/>
        </w:rPr>
        <w:t xml:space="preserve"> </w:t>
      </w:r>
      <w:r w:rsidR="005C3597" w:rsidRPr="00105125">
        <w:rPr>
          <w:lang w:val="en-CA"/>
        </w:rPr>
        <w:t>By interpret</w:t>
      </w:r>
      <w:r w:rsidR="00402D40">
        <w:rPr>
          <w:lang w:val="en-CA"/>
        </w:rPr>
        <w:t>ing</w:t>
      </w:r>
      <w:r w:rsidR="005C3597" w:rsidRPr="00105125">
        <w:rPr>
          <w:lang w:val="en-CA"/>
        </w:rPr>
        <w:t xml:space="preserve"> the </w:t>
      </w:r>
      <w:r w:rsidR="005C3597" w:rsidRPr="00105125">
        <w:rPr>
          <w:i/>
          <w:lang w:val="en-CA"/>
        </w:rPr>
        <w:t>ECA</w:t>
      </w:r>
      <w:r w:rsidR="00402D40">
        <w:rPr>
          <w:iCs/>
          <w:lang w:val="en-CA"/>
        </w:rPr>
        <w:t xml:space="preserve"> according to these teachings</w:t>
      </w:r>
      <w:r w:rsidR="005C3597" w:rsidRPr="00105125">
        <w:rPr>
          <w:lang w:val="en-CA"/>
        </w:rPr>
        <w:t xml:space="preserve">, the </w:t>
      </w:r>
      <w:r w:rsidR="005C3597" w:rsidRPr="00402D40">
        <w:rPr>
          <w:i/>
          <w:iCs/>
          <w:lang w:val="en-CA"/>
        </w:rPr>
        <w:t>terms and conditions</w:t>
      </w:r>
      <w:r w:rsidR="005C3597" w:rsidRPr="00105125">
        <w:rPr>
          <w:lang w:val="en-CA"/>
        </w:rPr>
        <w:t xml:space="preserve"> referred to in section 106(26) “for payment of the basic parental contribution set by the Government” include, in my opinion, the eligibility </w:t>
      </w:r>
      <w:r w:rsidR="004F56CE">
        <w:rPr>
          <w:lang w:val="en-CA"/>
        </w:rPr>
        <w:t>conditions</w:t>
      </w:r>
      <w:r w:rsidR="005C3597" w:rsidRPr="00105125">
        <w:rPr>
          <w:lang w:val="en-CA"/>
        </w:rPr>
        <w:t xml:space="preserve"> that must be met to benefit from the reduced contribution and to which the legislature refers in sections 42(2) and 87 </w:t>
      </w:r>
      <w:r w:rsidR="00AD6235">
        <w:rPr>
          <w:lang w:val="en-CA"/>
        </w:rPr>
        <w:t xml:space="preserve">of the </w:t>
      </w:r>
      <w:r w:rsidR="005C3597" w:rsidRPr="00105125">
        <w:rPr>
          <w:i/>
          <w:lang w:val="en-CA"/>
        </w:rPr>
        <w:t>ECA</w:t>
      </w:r>
      <w:r w:rsidR="005C3597" w:rsidRPr="00105125">
        <w:rPr>
          <w:lang w:val="en-CA"/>
        </w:rPr>
        <w:t>.</w:t>
      </w:r>
      <w:r w:rsidR="004A7BFD" w:rsidRPr="00105125">
        <w:rPr>
          <w:lang w:val="en-CA"/>
        </w:rPr>
        <w:t xml:space="preserve"> </w:t>
      </w:r>
      <w:r w:rsidR="005C3597" w:rsidRPr="00105125">
        <w:rPr>
          <w:lang w:val="en-CA"/>
        </w:rPr>
        <w:t>This is logical and consistent.</w:t>
      </w:r>
      <w:r w:rsidR="004A7BFD" w:rsidRPr="00105125">
        <w:rPr>
          <w:lang w:val="en-CA"/>
        </w:rPr>
        <w:t xml:space="preserve"> </w:t>
      </w:r>
      <w:r w:rsidR="00402D40">
        <w:rPr>
          <w:lang w:val="en-CA"/>
        </w:rPr>
        <w:t>Indeed, a</w:t>
      </w:r>
      <w:r w:rsidR="005C3597" w:rsidRPr="00105125">
        <w:rPr>
          <w:lang w:val="en-CA"/>
        </w:rPr>
        <w:t xml:space="preserve">s the AGQ argues, it is difficult to claim that the government </w:t>
      </w:r>
      <w:r w:rsidR="00402D40">
        <w:rPr>
          <w:lang w:val="en-CA"/>
        </w:rPr>
        <w:t>can,</w:t>
      </w:r>
      <w:r w:rsidR="005C3597" w:rsidRPr="00105125">
        <w:rPr>
          <w:lang w:val="en-CA"/>
        </w:rPr>
        <w:t xml:space="preserve"> </w:t>
      </w:r>
      <w:r w:rsidR="00402D40">
        <w:rPr>
          <w:lang w:val="en-CA"/>
        </w:rPr>
        <w:t>in a</w:t>
      </w:r>
      <w:r w:rsidR="005C3597" w:rsidRPr="00105125">
        <w:rPr>
          <w:lang w:val="en-CA"/>
        </w:rPr>
        <w:t xml:space="preserve"> regulation</w:t>
      </w:r>
      <w:r w:rsidR="00402D40">
        <w:rPr>
          <w:lang w:val="en-CA"/>
        </w:rPr>
        <w:t>,</w:t>
      </w:r>
      <w:r w:rsidR="00402D40" w:rsidRPr="00402D40">
        <w:rPr>
          <w:lang w:val="en-CA"/>
        </w:rPr>
        <w:t xml:space="preserve"> </w:t>
      </w:r>
      <w:r w:rsidR="00402D40" w:rsidRPr="00105125">
        <w:rPr>
          <w:lang w:val="en-CA"/>
        </w:rPr>
        <w:t>establish</w:t>
      </w:r>
      <w:r w:rsidR="005C3597" w:rsidRPr="00105125">
        <w:rPr>
          <w:lang w:val="en-CA"/>
        </w:rPr>
        <w:t xml:space="preserve"> </w:t>
      </w:r>
      <w:r w:rsidR="00402D40">
        <w:rPr>
          <w:lang w:val="en-CA"/>
        </w:rPr>
        <w:t>situations</w:t>
      </w:r>
      <w:r w:rsidR="005C3597" w:rsidRPr="00105125">
        <w:rPr>
          <w:lang w:val="en-CA"/>
        </w:rPr>
        <w:t xml:space="preserve"> where a parent may be exempted from paying </w:t>
      </w:r>
      <w:r w:rsidR="00402D40">
        <w:rPr>
          <w:lang w:val="en-CA"/>
        </w:rPr>
        <w:t>a</w:t>
      </w:r>
      <w:r w:rsidR="005C3597" w:rsidRPr="00105125">
        <w:rPr>
          <w:lang w:val="en-CA"/>
        </w:rPr>
        <w:t xml:space="preserve"> reduced contribution but </w:t>
      </w:r>
      <w:r w:rsidR="00402D40">
        <w:rPr>
          <w:lang w:val="en-CA"/>
        </w:rPr>
        <w:t>can</w:t>
      </w:r>
      <w:r w:rsidR="005C3597" w:rsidRPr="00105125">
        <w:rPr>
          <w:lang w:val="en-CA"/>
        </w:rPr>
        <w:t xml:space="preserve">not determine the eligibility </w:t>
      </w:r>
      <w:r w:rsidR="00402D40">
        <w:rPr>
          <w:lang w:val="en-CA"/>
        </w:rPr>
        <w:t>conditions</w:t>
      </w:r>
      <w:r w:rsidR="005C3597" w:rsidRPr="00105125">
        <w:rPr>
          <w:lang w:val="en-CA"/>
        </w:rPr>
        <w:t>.</w:t>
      </w:r>
      <w:r w:rsidR="004A7BFD" w:rsidRPr="00105125">
        <w:rPr>
          <w:lang w:val="en-CA"/>
        </w:rPr>
        <w:t xml:space="preserve"> </w:t>
      </w:r>
      <w:r w:rsidR="005C3597" w:rsidRPr="00105125">
        <w:rPr>
          <w:lang w:val="en-CA"/>
        </w:rPr>
        <w:t xml:space="preserve">I therefore </w:t>
      </w:r>
      <w:r w:rsidR="009D055A">
        <w:rPr>
          <w:lang w:val="en-CA"/>
        </w:rPr>
        <w:t>conclude</w:t>
      </w:r>
      <w:r w:rsidR="009D055A" w:rsidRPr="00105125">
        <w:rPr>
          <w:lang w:val="en-CA"/>
        </w:rPr>
        <w:t xml:space="preserve"> </w:t>
      </w:r>
      <w:r w:rsidR="005C3597" w:rsidRPr="00105125">
        <w:rPr>
          <w:lang w:val="en-CA"/>
        </w:rPr>
        <w:t xml:space="preserve">that the trial judge made a reviewable error in determining that the government could not </w:t>
      </w:r>
      <w:r w:rsidR="00402D40">
        <w:rPr>
          <w:lang w:val="en-CA"/>
        </w:rPr>
        <w:t xml:space="preserve">establish </w:t>
      </w:r>
      <w:r w:rsidR="005C3597" w:rsidRPr="00105125">
        <w:rPr>
          <w:lang w:val="en-CA"/>
        </w:rPr>
        <w:t xml:space="preserve">the eligibility </w:t>
      </w:r>
      <w:r w:rsidR="004F56CE">
        <w:rPr>
          <w:lang w:val="en-CA"/>
        </w:rPr>
        <w:t xml:space="preserve">conditions </w:t>
      </w:r>
      <w:r w:rsidR="005C3597" w:rsidRPr="00105125">
        <w:rPr>
          <w:lang w:val="en-CA"/>
        </w:rPr>
        <w:t xml:space="preserve">for the reduced contribution in section 3 </w:t>
      </w:r>
      <w:r w:rsidR="00AD6235">
        <w:rPr>
          <w:lang w:val="en-CA"/>
        </w:rPr>
        <w:t xml:space="preserve">of the </w:t>
      </w:r>
      <w:r w:rsidR="005C3597" w:rsidRPr="00105125">
        <w:rPr>
          <w:i/>
          <w:lang w:val="en-CA"/>
        </w:rPr>
        <w:t>RCR</w:t>
      </w:r>
      <w:r w:rsidR="005C3597" w:rsidRPr="00105125">
        <w:rPr>
          <w:lang w:val="en-CA"/>
        </w:rPr>
        <w:t>.</w:t>
      </w:r>
      <w:r w:rsidR="004A7BFD" w:rsidRPr="00105125">
        <w:rPr>
          <w:lang w:val="en-CA"/>
        </w:rPr>
        <w:t xml:space="preserve"> </w:t>
      </w:r>
      <w:r w:rsidR="005C3597" w:rsidRPr="00105125">
        <w:rPr>
          <w:lang w:val="en-CA"/>
        </w:rPr>
        <w:t xml:space="preserve">In my </w:t>
      </w:r>
      <w:r w:rsidR="00402D40">
        <w:rPr>
          <w:lang w:val="en-CA"/>
        </w:rPr>
        <w:t>view</w:t>
      </w:r>
      <w:r w:rsidR="005C3597" w:rsidRPr="00105125">
        <w:rPr>
          <w:lang w:val="en-CA"/>
        </w:rPr>
        <w:t xml:space="preserve">, the government </w:t>
      </w:r>
      <w:r w:rsidR="004F56CE">
        <w:rPr>
          <w:lang w:val="en-CA"/>
        </w:rPr>
        <w:t>was</w:t>
      </w:r>
      <w:r w:rsidR="005C3597" w:rsidRPr="00105125">
        <w:rPr>
          <w:lang w:val="en-CA"/>
        </w:rPr>
        <w:t xml:space="preserve"> authori</w:t>
      </w:r>
      <w:r w:rsidR="004F56CE">
        <w:rPr>
          <w:lang w:val="en-CA"/>
        </w:rPr>
        <w:t>zed</w:t>
      </w:r>
      <w:r w:rsidR="005C3597" w:rsidRPr="00105125">
        <w:rPr>
          <w:lang w:val="en-CA"/>
        </w:rPr>
        <w:t xml:space="preserve"> to enact this regulatory provision.</w:t>
      </w:r>
    </w:p>
    <w:p w14:paraId="072830CB" w14:textId="103E942E" w:rsidR="0072362A" w:rsidRPr="00105125" w:rsidRDefault="005C3597" w:rsidP="006F1E32">
      <w:pPr>
        <w:pStyle w:val="Titre2"/>
        <w:rPr>
          <w:b w:val="0"/>
          <w:bCs/>
          <w:i w:val="0"/>
          <w:lang w:val="en-CA"/>
        </w:rPr>
      </w:pPr>
      <w:r w:rsidRPr="00105125">
        <w:rPr>
          <w:b w:val="0"/>
          <w:bCs/>
          <w:lang w:val="en-CA"/>
        </w:rPr>
        <w:t>Interpretation of the regulation</w:t>
      </w:r>
    </w:p>
    <w:p w14:paraId="2BE49CB6" w14:textId="337C113C" w:rsidR="0072362A" w:rsidRPr="00105125" w:rsidRDefault="005C3597" w:rsidP="006F1E32">
      <w:pPr>
        <w:pStyle w:val="Paragraphe"/>
        <w:spacing w:line="280" w:lineRule="exact"/>
        <w:rPr>
          <w:lang w:val="en-CA"/>
        </w:rPr>
      </w:pPr>
      <w:r w:rsidRPr="00105125">
        <w:rPr>
          <w:lang w:val="en-CA"/>
        </w:rPr>
        <w:t xml:space="preserve">In its incidental appeal, the CDPDJ argues that the judge erred in determining that the </w:t>
      </w:r>
      <w:r w:rsidRPr="00105125">
        <w:rPr>
          <w:i/>
          <w:lang w:val="en-CA"/>
        </w:rPr>
        <w:t>RCR</w:t>
      </w:r>
      <w:r w:rsidRPr="00105125">
        <w:rPr>
          <w:lang w:val="en-CA"/>
        </w:rPr>
        <w:t xml:space="preserve"> is clear</w:t>
      </w:r>
      <w:r w:rsidR="00402D40">
        <w:rPr>
          <w:lang w:val="en-CA"/>
        </w:rPr>
        <w:t>,</w:t>
      </w:r>
      <w:r w:rsidRPr="00105125">
        <w:rPr>
          <w:lang w:val="en-CA"/>
        </w:rPr>
        <w:t xml:space="preserve"> and that</w:t>
      </w:r>
      <w:r w:rsidR="009A0AE7">
        <w:rPr>
          <w:lang w:val="en-CA"/>
        </w:rPr>
        <w:t xml:space="preserve"> the effect of</w:t>
      </w:r>
      <w:r w:rsidRPr="00105125">
        <w:rPr>
          <w:lang w:val="en-CA"/>
        </w:rPr>
        <w:t xml:space="preserve"> </w:t>
      </w:r>
      <w:r w:rsidR="00A67E42">
        <w:rPr>
          <w:lang w:val="en-CA"/>
        </w:rPr>
        <w:t xml:space="preserve">subparagraph (5) of </w:t>
      </w:r>
      <w:r w:rsidRPr="00105125">
        <w:rPr>
          <w:lang w:val="en-CA"/>
        </w:rPr>
        <w:t>section 3</w:t>
      </w:r>
      <w:r w:rsidR="00A82B30">
        <w:rPr>
          <w:lang w:val="en-CA"/>
        </w:rPr>
        <w:t xml:space="preserve"> </w:t>
      </w:r>
      <w:r w:rsidR="009A0AE7">
        <w:rPr>
          <w:lang w:val="en-CA"/>
        </w:rPr>
        <w:t xml:space="preserve">is to </w:t>
      </w:r>
      <w:r w:rsidRPr="00105125">
        <w:rPr>
          <w:lang w:val="en-CA"/>
        </w:rPr>
        <w:t xml:space="preserve">exclude </w:t>
      </w:r>
      <w:r w:rsidR="003E23AC" w:rsidRPr="00105125">
        <w:rPr>
          <w:lang w:val="en-CA"/>
        </w:rPr>
        <w:t>refugee claimants</w:t>
      </w:r>
      <w:r w:rsidRPr="00105125">
        <w:rPr>
          <w:lang w:val="en-CA"/>
        </w:rPr>
        <w:t xml:space="preserve"> because those whose refugee status has been recognized</w:t>
      </w:r>
      <w:r w:rsidR="00122788">
        <w:rPr>
          <w:lang w:val="en-CA"/>
        </w:rPr>
        <w:t xml:space="preserve"> are eligible</w:t>
      </w:r>
      <w:r w:rsidRPr="00105125">
        <w:rPr>
          <w:lang w:val="en-CA"/>
        </w:rPr>
        <w:t xml:space="preserve">. The fact </w:t>
      </w:r>
      <w:r w:rsidRPr="00105125">
        <w:rPr>
          <w:lang w:val="en-CA"/>
        </w:rPr>
        <w:lastRenderedPageBreak/>
        <w:t>that</w:t>
      </w:r>
      <w:r w:rsidR="009A0AE7">
        <w:rPr>
          <w:lang w:val="en-CA"/>
        </w:rPr>
        <w:t xml:space="preserve"> recognized</w:t>
      </w:r>
      <w:r w:rsidRPr="00105125">
        <w:rPr>
          <w:lang w:val="en-CA"/>
        </w:rPr>
        <w:t xml:space="preserve"> refugees are eligible for the reduced contribution under this </w:t>
      </w:r>
      <w:r w:rsidR="00402D40">
        <w:rPr>
          <w:lang w:val="en-CA"/>
        </w:rPr>
        <w:t>provision</w:t>
      </w:r>
      <w:r w:rsidRPr="00105125">
        <w:rPr>
          <w:lang w:val="en-CA"/>
        </w:rPr>
        <w:t xml:space="preserve"> does not exclude the possibility that </w:t>
      </w:r>
      <w:r w:rsidR="003E23AC" w:rsidRPr="00105125">
        <w:rPr>
          <w:lang w:val="en-CA"/>
        </w:rPr>
        <w:t>refugee claimants</w:t>
      </w:r>
      <w:r w:rsidRPr="00105125">
        <w:rPr>
          <w:lang w:val="en-CA"/>
        </w:rPr>
        <w:t xml:space="preserve"> </w:t>
      </w:r>
      <w:r w:rsidR="00402D40">
        <w:rPr>
          <w:lang w:val="en-CA"/>
        </w:rPr>
        <w:t>are</w:t>
      </w:r>
      <w:r w:rsidRPr="00105125">
        <w:rPr>
          <w:lang w:val="en-CA"/>
        </w:rPr>
        <w:t xml:space="preserve"> eligible under another </w:t>
      </w:r>
      <w:r w:rsidR="00402D40">
        <w:rPr>
          <w:lang w:val="en-CA"/>
        </w:rPr>
        <w:t>provision</w:t>
      </w:r>
      <w:r w:rsidRPr="00105125">
        <w:rPr>
          <w:lang w:val="en-CA"/>
        </w:rPr>
        <w:t>.</w:t>
      </w:r>
      <w:r w:rsidR="004A7BFD" w:rsidRPr="00105125">
        <w:rPr>
          <w:lang w:val="en-CA"/>
        </w:rPr>
        <w:t xml:space="preserve"> </w:t>
      </w:r>
      <w:r w:rsidRPr="00105125">
        <w:rPr>
          <w:lang w:val="en-CA"/>
        </w:rPr>
        <w:t xml:space="preserve">Moreover, the CDPDJ contests the judge’s statement that </w:t>
      </w:r>
      <w:r w:rsidR="00A67E42">
        <w:rPr>
          <w:lang w:val="en-CA"/>
        </w:rPr>
        <w:t xml:space="preserve">subparagraph (3) of </w:t>
      </w:r>
      <w:r w:rsidRPr="00105125">
        <w:rPr>
          <w:lang w:val="en-CA"/>
        </w:rPr>
        <w:t xml:space="preserve">section 3 </w:t>
      </w:r>
      <w:r w:rsidR="00AD6235">
        <w:rPr>
          <w:lang w:val="en-CA"/>
        </w:rPr>
        <w:t xml:space="preserve">of the </w:t>
      </w:r>
      <w:r w:rsidRPr="00105125">
        <w:rPr>
          <w:i/>
          <w:lang w:val="en-CA"/>
        </w:rPr>
        <w:t>RCR</w:t>
      </w:r>
      <w:r w:rsidRPr="00105125">
        <w:rPr>
          <w:lang w:val="en-CA"/>
        </w:rPr>
        <w:t xml:space="preserve"> </w:t>
      </w:r>
      <w:r w:rsidR="00402D40">
        <w:rPr>
          <w:lang w:val="en-CA"/>
        </w:rPr>
        <w:t xml:space="preserve">applies </w:t>
      </w:r>
      <w:r w:rsidRPr="00105125">
        <w:rPr>
          <w:lang w:val="en-CA"/>
        </w:rPr>
        <w:t xml:space="preserve">only </w:t>
      </w:r>
      <w:r w:rsidR="00402D40">
        <w:rPr>
          <w:lang w:val="en-CA"/>
        </w:rPr>
        <w:t xml:space="preserve">to </w:t>
      </w:r>
      <w:r w:rsidRPr="00105125">
        <w:rPr>
          <w:lang w:val="en-CA"/>
        </w:rPr>
        <w:t xml:space="preserve">seasonal workers who come here during the summer to help in </w:t>
      </w:r>
      <w:r w:rsidR="00402D40">
        <w:rPr>
          <w:lang w:val="en-CA"/>
        </w:rPr>
        <w:t>our</w:t>
      </w:r>
      <w:r w:rsidRPr="00105125">
        <w:rPr>
          <w:lang w:val="en-CA"/>
        </w:rPr>
        <w:t xml:space="preserve"> fields because it is not supported by any evidence.</w:t>
      </w:r>
    </w:p>
    <w:p w14:paraId="0C0F89F3" w14:textId="06BBAB04" w:rsidR="0072362A" w:rsidRPr="00105125" w:rsidRDefault="005C3597" w:rsidP="006F1E32">
      <w:pPr>
        <w:pStyle w:val="Paragraphe"/>
        <w:spacing w:line="280" w:lineRule="exact"/>
        <w:rPr>
          <w:lang w:val="en-CA"/>
        </w:rPr>
      </w:pPr>
      <w:r w:rsidRPr="00105125">
        <w:rPr>
          <w:lang w:val="en-CA"/>
        </w:rPr>
        <w:t>According to the CDPDJ, both the purposive, historic</w:t>
      </w:r>
      <w:r w:rsidR="00402D40">
        <w:rPr>
          <w:lang w:val="en-CA"/>
        </w:rPr>
        <w:t>al</w:t>
      </w:r>
      <w:r w:rsidRPr="00105125">
        <w:rPr>
          <w:lang w:val="en-CA"/>
        </w:rPr>
        <w:t xml:space="preserve">, systemic and logical approaches </w:t>
      </w:r>
      <w:r w:rsidR="00402D40">
        <w:rPr>
          <w:lang w:val="en-CA"/>
        </w:rPr>
        <w:t xml:space="preserve">to interpretation </w:t>
      </w:r>
      <w:r w:rsidR="00555D8D">
        <w:rPr>
          <w:lang w:val="en-CA"/>
        </w:rPr>
        <w:t xml:space="preserve">support </w:t>
      </w:r>
      <w:r w:rsidRPr="00105125">
        <w:rPr>
          <w:lang w:val="en-CA"/>
        </w:rPr>
        <w:t xml:space="preserve">the conclusion that </w:t>
      </w:r>
      <w:r w:rsidR="003E23AC" w:rsidRPr="00105125">
        <w:rPr>
          <w:lang w:val="en-CA"/>
        </w:rPr>
        <w:t>refugee claimants</w:t>
      </w:r>
      <w:r w:rsidRPr="00105125">
        <w:rPr>
          <w:lang w:val="en-CA"/>
        </w:rPr>
        <w:t xml:space="preserve"> are also eligible for the reduced contribution under section 3 </w:t>
      </w:r>
      <w:r w:rsidR="00AD6235">
        <w:rPr>
          <w:lang w:val="en-CA"/>
        </w:rPr>
        <w:t xml:space="preserve">of the </w:t>
      </w:r>
      <w:r w:rsidRPr="00105125">
        <w:rPr>
          <w:i/>
          <w:lang w:val="en-CA"/>
        </w:rPr>
        <w:t>RCR</w:t>
      </w:r>
      <w:r w:rsidRPr="00105125">
        <w:rPr>
          <w:lang w:val="en-CA"/>
        </w:rPr>
        <w:t>.</w:t>
      </w:r>
    </w:p>
    <w:p w14:paraId="4B2BF449" w14:textId="780D213E" w:rsidR="0072362A" w:rsidRPr="00105125" w:rsidRDefault="00AE1C0E" w:rsidP="006F1E32">
      <w:pPr>
        <w:pStyle w:val="Paragraphe"/>
        <w:spacing w:line="280" w:lineRule="exact"/>
        <w:rPr>
          <w:lang w:val="en-CA"/>
        </w:rPr>
      </w:pPr>
      <w:r w:rsidRPr="00105125">
        <w:rPr>
          <w:lang w:val="en-CA"/>
        </w:rPr>
        <w:t>At the hearing before the Court, the CDPDJ added that this provision</w:t>
      </w:r>
      <w:r w:rsidR="00F172F9">
        <w:rPr>
          <w:lang w:val="en-CA"/>
        </w:rPr>
        <w:t>, moreover,</w:t>
      </w:r>
      <w:r w:rsidRPr="00105125">
        <w:rPr>
          <w:lang w:val="en-CA"/>
        </w:rPr>
        <w:t xml:space="preserve"> grants discretion to the </w:t>
      </w:r>
      <w:proofErr w:type="spellStart"/>
      <w:r w:rsidRPr="00105125">
        <w:rPr>
          <w:lang w:val="en-CA"/>
        </w:rPr>
        <w:t>Ministère</w:t>
      </w:r>
      <w:proofErr w:type="spellEnd"/>
      <w:r w:rsidRPr="00105125">
        <w:rPr>
          <w:lang w:val="en-CA"/>
        </w:rPr>
        <w:t xml:space="preserve"> to include or exclude eligible persons, as it did between 2015 and 2018, by considering </w:t>
      </w:r>
      <w:r w:rsidR="003E23AC" w:rsidRPr="00105125">
        <w:rPr>
          <w:lang w:val="en-CA"/>
        </w:rPr>
        <w:t>refugee claimants</w:t>
      </w:r>
      <w:r w:rsidRPr="00105125">
        <w:rPr>
          <w:lang w:val="en-CA"/>
        </w:rPr>
        <w:t xml:space="preserve"> eligible for the reduced contribution.</w:t>
      </w:r>
    </w:p>
    <w:p w14:paraId="70477985" w14:textId="4AECB704" w:rsidR="0072362A" w:rsidRPr="00105125" w:rsidRDefault="00AE1C0E" w:rsidP="006F1E32">
      <w:pPr>
        <w:pStyle w:val="Paragraphe"/>
        <w:spacing w:line="280" w:lineRule="exact"/>
        <w:rPr>
          <w:lang w:val="en-CA"/>
        </w:rPr>
      </w:pPr>
      <w:r w:rsidRPr="00105125">
        <w:rPr>
          <w:lang w:val="en-CA"/>
        </w:rPr>
        <w:t xml:space="preserve">The judge </w:t>
      </w:r>
      <w:r w:rsidR="00920702">
        <w:rPr>
          <w:lang w:val="en-CA"/>
        </w:rPr>
        <w:t>ruled on</w:t>
      </w:r>
      <w:r w:rsidR="00920702" w:rsidRPr="00105125">
        <w:rPr>
          <w:lang w:val="en-CA"/>
        </w:rPr>
        <w:t xml:space="preserve"> </w:t>
      </w:r>
      <w:r w:rsidRPr="00105125">
        <w:rPr>
          <w:lang w:val="en-CA"/>
        </w:rPr>
        <w:t>this issue in paragraphs 21 to 27 of his judgment.</w:t>
      </w:r>
      <w:r w:rsidR="004A7BFD" w:rsidRPr="00105125">
        <w:rPr>
          <w:lang w:val="en-CA"/>
        </w:rPr>
        <w:t xml:space="preserve"> </w:t>
      </w:r>
      <w:r w:rsidRPr="00105125">
        <w:rPr>
          <w:lang w:val="en-CA"/>
        </w:rPr>
        <w:t>He wrote:</w:t>
      </w:r>
    </w:p>
    <w:p w14:paraId="290A8B55" w14:textId="56ACBBD8" w:rsidR="006260BF" w:rsidRPr="00105125" w:rsidRDefault="006260BF" w:rsidP="0072362A">
      <w:pPr>
        <w:pStyle w:val="Citationenretrait"/>
        <w:rPr>
          <w:lang w:val="en-CA"/>
        </w:rPr>
      </w:pPr>
      <w:r w:rsidRPr="00105125">
        <w:rPr>
          <w:rFonts w:cs="Arial"/>
          <w:lang w:val="en-CA"/>
        </w:rPr>
        <w:t>[</w:t>
      </w:r>
      <w:r w:rsidRPr="00105125">
        <w:rPr>
          <w:rFonts w:cs="Arial"/>
          <w:smallCaps/>
          <w:lang w:val="en-CA"/>
        </w:rPr>
        <w:t>translation</w:t>
      </w:r>
      <w:r w:rsidRPr="00105125">
        <w:rPr>
          <w:rFonts w:cs="Arial"/>
          <w:lang w:val="en-CA"/>
        </w:rPr>
        <w:t>]</w:t>
      </w:r>
    </w:p>
    <w:p w14:paraId="010DDDD4" w14:textId="0AE4CD02" w:rsidR="0072362A" w:rsidRPr="00105125" w:rsidRDefault="00AE1C0E" w:rsidP="0072362A">
      <w:pPr>
        <w:pStyle w:val="Citationenretrait"/>
        <w:rPr>
          <w:lang w:val="en-CA"/>
        </w:rPr>
      </w:pPr>
      <w:r w:rsidRPr="00105125">
        <w:rPr>
          <w:b/>
          <w:bCs/>
          <w:lang w:val="en-CA"/>
        </w:rPr>
        <w:t>SECOND ISSUE:</w:t>
      </w:r>
      <w:r w:rsidRPr="00105125">
        <w:rPr>
          <w:bCs/>
          <w:lang w:val="en-CA"/>
        </w:rPr>
        <w:t xml:space="preserve"> Does section 3 of the </w:t>
      </w:r>
      <w:r w:rsidRPr="00105125">
        <w:rPr>
          <w:bCs/>
          <w:i/>
          <w:lang w:val="en-CA"/>
        </w:rPr>
        <w:t>Reduced Contribution Regulation</w:t>
      </w:r>
      <w:r w:rsidRPr="00105125">
        <w:rPr>
          <w:bCs/>
          <w:lang w:val="en-CA"/>
        </w:rPr>
        <w:t xml:space="preserve"> exclude </w:t>
      </w:r>
      <w:r w:rsidR="003E23AC" w:rsidRPr="00105125">
        <w:rPr>
          <w:bCs/>
          <w:lang w:val="en-CA"/>
        </w:rPr>
        <w:t>refugee claimants</w:t>
      </w:r>
      <w:r w:rsidRPr="00105125">
        <w:rPr>
          <w:bCs/>
          <w:lang w:val="en-CA"/>
        </w:rPr>
        <w:t xml:space="preserve"> from the reduced contribution?</w:t>
      </w:r>
    </w:p>
    <w:p w14:paraId="0C03C0E5" w14:textId="14C2B9F0" w:rsidR="0072362A" w:rsidRPr="00105125" w:rsidRDefault="004A7BFD" w:rsidP="0072362A">
      <w:pPr>
        <w:pStyle w:val="Citationenretrait"/>
        <w:rPr>
          <w:lang w:val="en-CA"/>
        </w:rPr>
      </w:pPr>
      <w:r w:rsidRPr="00105125">
        <w:rPr>
          <w:lang w:val="en-CA"/>
        </w:rPr>
        <w:t>[21]</w:t>
      </w:r>
      <w:r w:rsidRPr="00105125">
        <w:rPr>
          <w:lang w:val="en-CA"/>
        </w:rPr>
        <w:tab/>
      </w:r>
      <w:r w:rsidR="00F26569" w:rsidRPr="00105125">
        <w:rPr>
          <w:lang w:val="en-CA"/>
        </w:rPr>
        <w:t xml:space="preserve">Section </w:t>
      </w:r>
      <w:r w:rsidRPr="00105125">
        <w:rPr>
          <w:lang w:val="en-CA"/>
        </w:rPr>
        <w:t xml:space="preserve">3 </w:t>
      </w:r>
      <w:r w:rsidR="00F26569" w:rsidRPr="00105125">
        <w:rPr>
          <w:lang w:val="en-CA"/>
        </w:rPr>
        <w:t xml:space="preserve">of the </w:t>
      </w:r>
      <w:r w:rsidR="00F26569" w:rsidRPr="00105125">
        <w:rPr>
          <w:i/>
          <w:iCs/>
          <w:lang w:val="en-CA"/>
        </w:rPr>
        <w:t>Reduced Contribution Regulation</w:t>
      </w:r>
      <w:r w:rsidR="00F26569" w:rsidRPr="00105125">
        <w:rPr>
          <w:lang w:val="en-CA"/>
        </w:rPr>
        <w:t xml:space="preserve"> states the following</w:t>
      </w:r>
      <w:r w:rsidRPr="00105125">
        <w:rPr>
          <w:lang w:val="en-CA"/>
        </w:rPr>
        <w:t>:</w:t>
      </w:r>
    </w:p>
    <w:p w14:paraId="070BD17C" w14:textId="56AB2FA7" w:rsidR="0072362A" w:rsidRPr="00105125" w:rsidRDefault="004A7BFD" w:rsidP="0072362A">
      <w:pPr>
        <w:pStyle w:val="Citationenretrait"/>
        <w:ind w:left="1440" w:right="1080"/>
        <w:rPr>
          <w:lang w:val="en-CA"/>
        </w:rPr>
      </w:pPr>
      <w:r w:rsidRPr="00105125">
        <w:rPr>
          <w:lang w:val="en-CA"/>
        </w:rPr>
        <w:t xml:space="preserve">3.  </w:t>
      </w:r>
      <w:r w:rsidR="00F26569" w:rsidRPr="00105125">
        <w:rPr>
          <w:rFonts w:cs="Arial"/>
          <w:color w:val="000000"/>
          <w:szCs w:val="22"/>
          <w:lang w:val="en-CA"/>
        </w:rPr>
        <w:t>A parent residing in Québec who meets any of the following conditions is eligible for the reduced contribution:</w:t>
      </w:r>
    </w:p>
    <w:p w14:paraId="6B703B2D" w14:textId="5E39FE20" w:rsidR="0072362A" w:rsidRPr="00105125" w:rsidRDefault="00F26569" w:rsidP="0072362A">
      <w:pPr>
        <w:pStyle w:val="Citationenretrait"/>
        <w:ind w:left="1440" w:right="1080"/>
        <w:rPr>
          <w:lang w:val="en-CA"/>
        </w:rPr>
      </w:pPr>
      <w:r w:rsidRPr="00105125">
        <w:rPr>
          <w:rStyle w:val="Normal1"/>
          <w:rFonts w:cs="Arial"/>
          <w:color w:val="000000"/>
          <w:szCs w:val="22"/>
          <w:lang w:val="en-CA"/>
        </w:rPr>
        <w:t>(</w:t>
      </w:r>
      <w:r w:rsidRPr="00105125">
        <w:rPr>
          <w:rStyle w:val="label-z"/>
          <w:rFonts w:cs="Arial"/>
          <w:color w:val="000000"/>
          <w:szCs w:val="22"/>
          <w:lang w:val="en-CA"/>
        </w:rPr>
        <w:t>1</w:t>
      </w:r>
      <w:r w:rsidRPr="00105125">
        <w:rPr>
          <w:rStyle w:val="Normal1"/>
          <w:rFonts w:cs="Arial"/>
          <w:color w:val="000000"/>
          <w:szCs w:val="22"/>
          <w:lang w:val="en-CA"/>
        </w:rPr>
        <w:t>) </w:t>
      </w:r>
      <w:r w:rsidRPr="00105125">
        <w:rPr>
          <w:rStyle w:val="widthfixforlabel"/>
          <w:rFonts w:cs="Arial"/>
          <w:color w:val="000000"/>
          <w:szCs w:val="22"/>
          <w:lang w:val="en-CA"/>
        </w:rPr>
        <w:t> </w:t>
      </w:r>
      <w:r w:rsidRPr="00105125">
        <w:rPr>
          <w:rStyle w:val="paragraph"/>
          <w:rFonts w:cs="Arial"/>
          <w:color w:val="000000"/>
          <w:szCs w:val="22"/>
          <w:lang w:val="en-CA"/>
        </w:rPr>
        <w:t>the parent is a Canadian citizen;</w:t>
      </w:r>
    </w:p>
    <w:p w14:paraId="4B9B2D96" w14:textId="104FAAE1" w:rsidR="0072362A" w:rsidRPr="00105125" w:rsidRDefault="00F26569" w:rsidP="0072362A">
      <w:pPr>
        <w:pStyle w:val="Citationenretrait"/>
        <w:ind w:left="1440" w:right="1080"/>
        <w:rPr>
          <w:lang w:val="en-CA"/>
        </w:rPr>
      </w:pPr>
      <w:r w:rsidRPr="00105125">
        <w:rPr>
          <w:rStyle w:val="Normal1"/>
          <w:rFonts w:cs="Arial"/>
          <w:color w:val="000000"/>
          <w:szCs w:val="22"/>
          <w:lang w:val="en-CA"/>
        </w:rPr>
        <w:t>(</w:t>
      </w:r>
      <w:r w:rsidRPr="00105125">
        <w:rPr>
          <w:rStyle w:val="label-z"/>
          <w:rFonts w:cs="Arial"/>
          <w:color w:val="000000"/>
          <w:szCs w:val="22"/>
          <w:lang w:val="en-CA"/>
        </w:rPr>
        <w:t>2</w:t>
      </w:r>
      <w:r w:rsidRPr="00105125">
        <w:rPr>
          <w:rStyle w:val="Normal1"/>
          <w:rFonts w:cs="Arial"/>
          <w:color w:val="000000"/>
          <w:szCs w:val="22"/>
          <w:lang w:val="en-CA"/>
        </w:rPr>
        <w:t>) </w:t>
      </w:r>
      <w:r w:rsidRPr="00105125">
        <w:rPr>
          <w:rStyle w:val="widthfixforlabel"/>
          <w:rFonts w:cs="Arial"/>
          <w:color w:val="000000"/>
          <w:szCs w:val="22"/>
          <w:lang w:val="en-CA"/>
        </w:rPr>
        <w:t> </w:t>
      </w:r>
      <w:r w:rsidRPr="00105125">
        <w:rPr>
          <w:rStyle w:val="paragraph"/>
          <w:rFonts w:cs="Arial"/>
          <w:color w:val="000000"/>
          <w:szCs w:val="22"/>
          <w:lang w:val="en-CA"/>
        </w:rPr>
        <w:t>the parent is a permanent resident within the meaning of the Immigration and Refugee Protection Act (S.C. 2001, c. 27);</w:t>
      </w:r>
    </w:p>
    <w:p w14:paraId="1B30BBDF" w14:textId="2334DEB0" w:rsidR="0072362A" w:rsidRPr="00105125" w:rsidRDefault="00F26569" w:rsidP="0072362A">
      <w:pPr>
        <w:pStyle w:val="Citationenretrait"/>
        <w:ind w:left="1440" w:right="1080"/>
        <w:rPr>
          <w:lang w:val="en-CA"/>
        </w:rPr>
      </w:pPr>
      <w:r w:rsidRPr="00105125">
        <w:rPr>
          <w:rStyle w:val="Normal1"/>
          <w:rFonts w:cs="Arial"/>
          <w:color w:val="000000"/>
          <w:szCs w:val="22"/>
          <w:lang w:val="en-CA"/>
        </w:rPr>
        <w:t>(</w:t>
      </w:r>
      <w:r w:rsidRPr="00105125">
        <w:rPr>
          <w:rStyle w:val="label-z"/>
          <w:rFonts w:cs="Arial"/>
          <w:color w:val="000000"/>
          <w:szCs w:val="22"/>
          <w:lang w:val="en-CA"/>
        </w:rPr>
        <w:t>3</w:t>
      </w:r>
      <w:r w:rsidRPr="00105125">
        <w:rPr>
          <w:rStyle w:val="Normal1"/>
          <w:rFonts w:cs="Arial"/>
          <w:color w:val="000000"/>
          <w:szCs w:val="22"/>
          <w:lang w:val="en-CA"/>
        </w:rPr>
        <w:t>) </w:t>
      </w:r>
      <w:r w:rsidRPr="00105125">
        <w:rPr>
          <w:rStyle w:val="widthfixforlabel"/>
          <w:rFonts w:cs="Arial"/>
          <w:color w:val="000000"/>
          <w:szCs w:val="22"/>
          <w:lang w:val="en-CA"/>
        </w:rPr>
        <w:t> </w:t>
      </w:r>
      <w:r w:rsidRPr="00105125">
        <w:rPr>
          <w:rStyle w:val="paragraph"/>
          <w:rFonts w:cs="Arial"/>
          <w:color w:val="000000"/>
          <w:szCs w:val="22"/>
          <w:lang w:val="en-CA"/>
        </w:rPr>
        <w:t>the parent is staying in Québec primarily for work purposes and holds a work permit issued under the Immigration and Refugee Protection Act or is exempted from holding such a permit under that Act;</w:t>
      </w:r>
    </w:p>
    <w:p w14:paraId="37A40E76" w14:textId="3B90EBFE" w:rsidR="0072362A" w:rsidRPr="00105125" w:rsidRDefault="00F26569" w:rsidP="0072362A">
      <w:pPr>
        <w:pStyle w:val="Citationenretrait"/>
        <w:ind w:left="1440" w:right="1080"/>
        <w:rPr>
          <w:lang w:val="en-CA"/>
        </w:rPr>
      </w:pPr>
      <w:r w:rsidRPr="00105125">
        <w:rPr>
          <w:rStyle w:val="Normal1"/>
          <w:rFonts w:cs="Arial"/>
          <w:color w:val="000000"/>
          <w:szCs w:val="22"/>
          <w:lang w:val="en-CA"/>
        </w:rPr>
        <w:t>(</w:t>
      </w:r>
      <w:r w:rsidRPr="00105125">
        <w:rPr>
          <w:rStyle w:val="label-z"/>
          <w:rFonts w:cs="Arial"/>
          <w:color w:val="000000"/>
          <w:szCs w:val="22"/>
          <w:lang w:val="en-CA"/>
        </w:rPr>
        <w:t>4</w:t>
      </w:r>
      <w:r w:rsidRPr="00105125">
        <w:rPr>
          <w:rStyle w:val="Normal1"/>
          <w:rFonts w:cs="Arial"/>
          <w:color w:val="000000"/>
          <w:szCs w:val="22"/>
          <w:lang w:val="en-CA"/>
        </w:rPr>
        <w:t>) </w:t>
      </w:r>
      <w:r w:rsidRPr="00105125">
        <w:rPr>
          <w:rStyle w:val="widthfixforlabel"/>
          <w:rFonts w:cs="Arial"/>
          <w:color w:val="000000"/>
          <w:szCs w:val="22"/>
          <w:lang w:val="en-CA"/>
        </w:rPr>
        <w:t> </w:t>
      </w:r>
      <w:r w:rsidRPr="00105125">
        <w:rPr>
          <w:rStyle w:val="paragraph"/>
          <w:rFonts w:cs="Arial"/>
          <w:color w:val="000000"/>
          <w:szCs w:val="22"/>
          <w:lang w:val="en-CA"/>
        </w:rPr>
        <w:t>the parent is a foreign student holding a certificate of acceptance issued under the Québec Immigration Act (chapter I-0.2.1) and is receiving a scholarship from the Government of Québec pursuant to the policy applying to foreign students in Québec colleges and universities</w:t>
      </w:r>
      <w:r w:rsidR="004A7BFD" w:rsidRPr="00105125">
        <w:rPr>
          <w:lang w:val="en-CA"/>
        </w:rPr>
        <w:t>;</w:t>
      </w:r>
    </w:p>
    <w:p w14:paraId="2BCBA467" w14:textId="2EABE535" w:rsidR="0072362A" w:rsidRPr="00105125" w:rsidRDefault="00F26569" w:rsidP="0072362A">
      <w:pPr>
        <w:pStyle w:val="Citationenretrait"/>
        <w:ind w:left="1440" w:right="1080"/>
        <w:rPr>
          <w:lang w:val="en-CA"/>
        </w:rPr>
      </w:pPr>
      <w:r w:rsidRPr="00105125">
        <w:rPr>
          <w:rStyle w:val="Normal1"/>
          <w:rFonts w:cs="Arial"/>
          <w:color w:val="000000"/>
          <w:szCs w:val="22"/>
          <w:lang w:val="en-CA"/>
        </w:rPr>
        <w:t>(</w:t>
      </w:r>
      <w:r w:rsidRPr="00105125">
        <w:rPr>
          <w:rStyle w:val="label-z"/>
          <w:rFonts w:cs="Arial"/>
          <w:color w:val="000000"/>
          <w:szCs w:val="22"/>
          <w:lang w:val="en-CA"/>
        </w:rPr>
        <w:t>5</w:t>
      </w:r>
      <w:r w:rsidRPr="00105125">
        <w:rPr>
          <w:rStyle w:val="Normal1"/>
          <w:rFonts w:cs="Arial"/>
          <w:color w:val="000000"/>
          <w:szCs w:val="22"/>
          <w:lang w:val="en-CA"/>
        </w:rPr>
        <w:t>) </w:t>
      </w:r>
      <w:r w:rsidRPr="00105125">
        <w:rPr>
          <w:rStyle w:val="widthfixforlabel"/>
          <w:rFonts w:cs="Arial"/>
          <w:color w:val="000000"/>
          <w:szCs w:val="22"/>
          <w:lang w:val="en-CA"/>
        </w:rPr>
        <w:t> </w:t>
      </w:r>
      <w:r w:rsidRPr="00105125">
        <w:rPr>
          <w:rStyle w:val="paragraph"/>
          <w:rFonts w:cs="Arial"/>
          <w:color w:val="000000"/>
          <w:szCs w:val="22"/>
          <w:lang w:val="en-CA"/>
        </w:rPr>
        <w:t xml:space="preserve">the parent is recognized by a court in Canada of competent jurisdiction as a refugee or protected person within the meaning of </w:t>
      </w:r>
      <w:r w:rsidRPr="00105125">
        <w:rPr>
          <w:rStyle w:val="paragraph"/>
          <w:rFonts w:cs="Arial"/>
          <w:color w:val="000000"/>
          <w:szCs w:val="22"/>
          <w:lang w:val="en-CA"/>
        </w:rPr>
        <w:lastRenderedPageBreak/>
        <w:t>the Immigration and Refugee Protection Act and holds a selection certificate issued under section 3.1 of the Québec Immigration Act</w:t>
      </w:r>
      <w:r w:rsidR="00792358" w:rsidRPr="00105125">
        <w:rPr>
          <w:lang w:val="en-CA"/>
        </w:rPr>
        <w:t>;</w:t>
      </w:r>
    </w:p>
    <w:p w14:paraId="3E6ECD99" w14:textId="21A35F57" w:rsidR="0072362A" w:rsidRPr="00105125" w:rsidRDefault="00F26569" w:rsidP="0072362A">
      <w:pPr>
        <w:pStyle w:val="Citationenretrait"/>
        <w:ind w:left="1440" w:right="1080"/>
        <w:rPr>
          <w:lang w:val="en-CA"/>
        </w:rPr>
      </w:pPr>
      <w:r w:rsidRPr="00105125">
        <w:rPr>
          <w:rStyle w:val="Normal1"/>
          <w:rFonts w:cs="Arial"/>
          <w:color w:val="000000"/>
          <w:szCs w:val="22"/>
          <w:lang w:val="en-CA"/>
        </w:rPr>
        <w:t>(</w:t>
      </w:r>
      <w:r w:rsidRPr="00105125">
        <w:rPr>
          <w:rStyle w:val="label-z"/>
          <w:rFonts w:cs="Arial"/>
          <w:color w:val="000000"/>
          <w:szCs w:val="22"/>
          <w:lang w:val="en-CA"/>
        </w:rPr>
        <w:t>6</w:t>
      </w:r>
      <w:r w:rsidRPr="00105125">
        <w:rPr>
          <w:rStyle w:val="Normal1"/>
          <w:rFonts w:cs="Arial"/>
          <w:color w:val="000000"/>
          <w:szCs w:val="22"/>
          <w:lang w:val="en-CA"/>
        </w:rPr>
        <w:t>) </w:t>
      </w:r>
      <w:r w:rsidRPr="00105125">
        <w:rPr>
          <w:rStyle w:val="widthfixforlabel"/>
          <w:rFonts w:cs="Arial"/>
          <w:color w:val="000000"/>
          <w:szCs w:val="22"/>
          <w:lang w:val="en-CA"/>
        </w:rPr>
        <w:t> </w:t>
      </w:r>
      <w:r w:rsidRPr="00105125">
        <w:rPr>
          <w:rStyle w:val="paragraph"/>
          <w:rFonts w:cs="Arial"/>
          <w:color w:val="000000"/>
          <w:szCs w:val="22"/>
          <w:lang w:val="en-CA"/>
        </w:rPr>
        <w:t>the Minister of Citizenship and Immigration has granted protection to the parent under the Immigration and Refugee Protection Act and the parent holds the selection certificate referred to in paragraph 5</w:t>
      </w:r>
      <w:r w:rsidR="004A7BFD" w:rsidRPr="00105125">
        <w:rPr>
          <w:lang w:val="en-CA"/>
        </w:rPr>
        <w:t>;</w:t>
      </w:r>
    </w:p>
    <w:p w14:paraId="3BD239AE" w14:textId="0E15FB62" w:rsidR="0072362A" w:rsidRPr="00105125" w:rsidRDefault="00F26569" w:rsidP="0072362A">
      <w:pPr>
        <w:pStyle w:val="Citationenretrait"/>
        <w:ind w:left="1440" w:right="1080"/>
        <w:rPr>
          <w:lang w:val="en-CA"/>
        </w:rPr>
      </w:pPr>
      <w:r w:rsidRPr="00105125">
        <w:rPr>
          <w:rStyle w:val="Normal1"/>
          <w:rFonts w:cs="Arial"/>
          <w:color w:val="000000"/>
          <w:szCs w:val="22"/>
          <w:lang w:val="en-CA"/>
        </w:rPr>
        <w:t>(</w:t>
      </w:r>
      <w:r w:rsidRPr="00105125">
        <w:rPr>
          <w:rStyle w:val="label-z"/>
          <w:rFonts w:cs="Arial"/>
          <w:color w:val="000000"/>
          <w:szCs w:val="22"/>
          <w:lang w:val="en-CA"/>
        </w:rPr>
        <w:t>7</w:t>
      </w:r>
      <w:r w:rsidRPr="00105125">
        <w:rPr>
          <w:rStyle w:val="Normal1"/>
          <w:rFonts w:cs="Arial"/>
          <w:color w:val="000000"/>
          <w:szCs w:val="22"/>
          <w:lang w:val="en-CA"/>
        </w:rPr>
        <w:t>) </w:t>
      </w:r>
      <w:r w:rsidRPr="00105125">
        <w:rPr>
          <w:rStyle w:val="widthfixforlabel"/>
          <w:rFonts w:cs="Arial"/>
          <w:color w:val="000000"/>
          <w:szCs w:val="22"/>
          <w:lang w:val="en-CA"/>
        </w:rPr>
        <w:t> </w:t>
      </w:r>
      <w:r w:rsidRPr="00105125">
        <w:rPr>
          <w:rStyle w:val="paragraph"/>
          <w:rFonts w:cs="Arial"/>
          <w:color w:val="000000"/>
          <w:szCs w:val="22"/>
          <w:lang w:val="en-CA"/>
        </w:rPr>
        <w:t>the parent holds a temporary resident permit issued under section 24 of the Immigration and Refugee Protection Act in view of the granting of permanent residence and holds the selection certificate referred to in paragraph 5; or</w:t>
      </w:r>
      <w:r w:rsidR="004A7BFD" w:rsidRPr="00105125">
        <w:rPr>
          <w:lang w:val="en-CA"/>
        </w:rPr>
        <w:t>;</w:t>
      </w:r>
    </w:p>
    <w:p w14:paraId="0AFB8C8D" w14:textId="275DA68A" w:rsidR="0072362A" w:rsidRPr="00105125" w:rsidRDefault="00F26569" w:rsidP="00F26569">
      <w:pPr>
        <w:spacing w:line="240" w:lineRule="auto"/>
        <w:ind w:left="1440" w:right="998"/>
        <w:jc w:val="both"/>
        <w:rPr>
          <w:rFonts w:cs="Arial"/>
          <w:color w:val="000000"/>
          <w:sz w:val="22"/>
          <w:szCs w:val="22"/>
          <w:lang w:val="en-CA" w:eastAsia="en-CA"/>
        </w:rPr>
      </w:pPr>
      <w:r w:rsidRPr="00105125">
        <w:rPr>
          <w:rStyle w:val="Normal1"/>
          <w:rFonts w:cs="Arial"/>
          <w:color w:val="000000"/>
          <w:szCs w:val="22"/>
          <w:lang w:val="en-CA"/>
        </w:rPr>
        <w:t>(</w:t>
      </w:r>
      <w:r w:rsidRPr="00105125">
        <w:rPr>
          <w:rStyle w:val="label-z"/>
          <w:rFonts w:cs="Arial"/>
          <w:color w:val="000000"/>
          <w:sz w:val="22"/>
          <w:szCs w:val="22"/>
          <w:lang w:val="en-CA"/>
        </w:rPr>
        <w:t>8</w:t>
      </w:r>
      <w:r w:rsidRPr="00105125">
        <w:rPr>
          <w:rStyle w:val="Normal1"/>
          <w:rFonts w:cs="Arial"/>
          <w:color w:val="000000"/>
          <w:szCs w:val="22"/>
          <w:lang w:val="en-CA"/>
        </w:rPr>
        <w:t>) </w:t>
      </w:r>
      <w:r w:rsidRPr="00105125">
        <w:rPr>
          <w:rStyle w:val="widthfixforlabel"/>
          <w:rFonts w:cs="Arial"/>
          <w:color w:val="000000"/>
          <w:sz w:val="22"/>
          <w:szCs w:val="22"/>
          <w:lang w:val="en-CA"/>
        </w:rPr>
        <w:t> </w:t>
      </w:r>
      <w:r w:rsidRPr="00105125">
        <w:rPr>
          <w:rStyle w:val="paragraph"/>
          <w:rFonts w:cs="Arial"/>
          <w:color w:val="000000"/>
          <w:sz w:val="22"/>
          <w:szCs w:val="22"/>
          <w:lang w:val="en-CA"/>
        </w:rPr>
        <w:t>the parent is authorized to file in Canada an application for permanent residence under the Immigration and Refugee Protection Act or the Immigration and Refugee Protection Regulations (SOR/02-227) and holds the selection certificate referred to in paragraph 5.</w:t>
      </w:r>
    </w:p>
    <w:p w14:paraId="6F4BA382" w14:textId="5CF00F60" w:rsidR="0072362A" w:rsidRPr="00105125" w:rsidRDefault="00F26569" w:rsidP="0072362A">
      <w:pPr>
        <w:pStyle w:val="Citationenretrait"/>
        <w:ind w:left="1440" w:right="1080"/>
        <w:rPr>
          <w:lang w:val="en-CA"/>
        </w:rPr>
      </w:pPr>
      <w:r w:rsidRPr="00105125">
        <w:rPr>
          <w:rFonts w:cs="Arial"/>
          <w:color w:val="000000"/>
          <w:szCs w:val="22"/>
          <w:lang w:val="en-CA"/>
        </w:rPr>
        <w:t>O.C. 583-2006, s. 3; S.Q. 2015, c. 8, s. 178; S.Q. 2020, c. 5, s. 13</w:t>
      </w:r>
    </w:p>
    <w:p w14:paraId="43CCAB76" w14:textId="180BB4A5" w:rsidR="0072362A" w:rsidRPr="00105125" w:rsidRDefault="004A7BFD" w:rsidP="0072362A">
      <w:pPr>
        <w:pStyle w:val="Citationenretrait"/>
        <w:rPr>
          <w:lang w:val="en-CA"/>
        </w:rPr>
      </w:pPr>
      <w:r w:rsidRPr="00105125">
        <w:rPr>
          <w:lang w:val="en-CA"/>
        </w:rPr>
        <w:t>[22]</w:t>
      </w:r>
      <w:r w:rsidRPr="00105125">
        <w:rPr>
          <w:lang w:val="en-CA"/>
        </w:rPr>
        <w:tab/>
      </w:r>
      <w:r w:rsidR="00AE1C0E" w:rsidRPr="00105125">
        <w:rPr>
          <w:lang w:val="en-CA"/>
        </w:rPr>
        <w:t xml:space="preserve">It is probably worth reproducing section 4 of the applicable law, the </w:t>
      </w:r>
      <w:r w:rsidR="00AE1C0E" w:rsidRPr="00105125">
        <w:rPr>
          <w:i/>
          <w:lang w:val="en-CA"/>
        </w:rPr>
        <w:t>Educational Childcare Act</w:t>
      </w:r>
      <w:r w:rsidR="00AE1C0E" w:rsidRPr="00105125">
        <w:rPr>
          <w:lang w:val="en-CA"/>
        </w:rPr>
        <w:t xml:space="preserve">, to place section 3 </w:t>
      </w:r>
      <w:r w:rsidR="00AD6235">
        <w:rPr>
          <w:kern w:val="28"/>
          <w:lang w:val="en-CA"/>
        </w:rPr>
        <w:t xml:space="preserve">of the </w:t>
      </w:r>
      <w:r w:rsidR="00AE1C0E" w:rsidRPr="00105125">
        <w:rPr>
          <w:i/>
          <w:lang w:val="en-CA"/>
        </w:rPr>
        <w:t>RCR</w:t>
      </w:r>
      <w:r w:rsidR="00AE1C0E" w:rsidRPr="00105125">
        <w:rPr>
          <w:lang w:val="en-CA"/>
        </w:rPr>
        <w:t xml:space="preserve"> in context:</w:t>
      </w:r>
    </w:p>
    <w:p w14:paraId="1DDAA3D0" w14:textId="7F0AA074" w:rsidR="0072362A" w:rsidRPr="00105125" w:rsidRDefault="004A7BFD" w:rsidP="0072362A">
      <w:pPr>
        <w:pStyle w:val="Citationenretrait"/>
        <w:ind w:left="1440" w:right="1080"/>
        <w:rPr>
          <w:lang w:val="en-CA"/>
        </w:rPr>
      </w:pPr>
      <w:r w:rsidRPr="00105125">
        <w:rPr>
          <w:lang w:val="en-CA"/>
        </w:rPr>
        <w:t xml:space="preserve">4.  </w:t>
      </w:r>
      <w:r w:rsidR="00791652" w:rsidRPr="00105125">
        <w:rPr>
          <w:rFonts w:cs="Arial"/>
          <w:color w:val="000000"/>
          <w:szCs w:val="22"/>
          <w:lang w:val="en-CA"/>
        </w:rPr>
        <w:t>Every child has a right to quality personalized educational childcare services until the end of elementary school.</w:t>
      </w:r>
    </w:p>
    <w:p w14:paraId="67CB2326" w14:textId="0A2FE6C1" w:rsidR="0072362A" w:rsidRPr="00105125" w:rsidRDefault="00791652" w:rsidP="0072362A">
      <w:pPr>
        <w:pStyle w:val="Citationenretrait"/>
        <w:ind w:left="1440" w:right="1080"/>
        <w:rPr>
          <w:lang w:val="en-CA"/>
        </w:rPr>
      </w:pPr>
      <w:r w:rsidRPr="00105125">
        <w:rPr>
          <w:rFonts w:cs="Arial"/>
          <w:color w:val="000000"/>
          <w:szCs w:val="22"/>
          <w:lang w:val="en-CA"/>
        </w:rPr>
        <w:t>Such right must be exercised taking into account the organization and resources of childcare providers and of accredited home childcare coordinating offices and their right to agree or refuse to provide childcare to a child, the rules relating to subsidies and the priority given to children from birth until their admission to preschool education</w:t>
      </w:r>
      <w:r w:rsidR="004A7BFD" w:rsidRPr="00105125">
        <w:rPr>
          <w:lang w:val="en-CA"/>
        </w:rPr>
        <w:t>.</w:t>
      </w:r>
    </w:p>
    <w:p w14:paraId="771058AB" w14:textId="07EDF6F6" w:rsidR="0072362A" w:rsidRPr="00105125" w:rsidRDefault="004A7BFD" w:rsidP="0072362A">
      <w:pPr>
        <w:pStyle w:val="Citationenretrait"/>
        <w:rPr>
          <w:lang w:val="en-CA"/>
        </w:rPr>
      </w:pPr>
      <w:r w:rsidRPr="00105125">
        <w:rPr>
          <w:lang w:val="en-CA"/>
        </w:rPr>
        <w:t>[23]</w:t>
      </w:r>
      <w:r w:rsidRPr="00105125">
        <w:rPr>
          <w:lang w:val="en-CA"/>
        </w:rPr>
        <w:tab/>
      </w:r>
      <w:r w:rsidR="006260BF" w:rsidRPr="00F74451">
        <w:rPr>
          <w:lang w:val="en-CA"/>
        </w:rPr>
        <w:t xml:space="preserve">Section 3 </w:t>
      </w:r>
      <w:r w:rsidR="00AD6235">
        <w:rPr>
          <w:kern w:val="28"/>
          <w:lang w:val="en-CA"/>
        </w:rPr>
        <w:t xml:space="preserve">of the </w:t>
      </w:r>
      <w:r w:rsidR="006260BF" w:rsidRPr="00F74451">
        <w:rPr>
          <w:i/>
          <w:lang w:val="en-CA"/>
        </w:rPr>
        <w:t>RCR</w:t>
      </w:r>
      <w:r w:rsidR="006260BF" w:rsidRPr="00F74451">
        <w:rPr>
          <w:lang w:val="en-CA"/>
        </w:rPr>
        <w:t xml:space="preserve"> is therefore the provision that identifies</w:t>
      </w:r>
      <w:r w:rsidR="00920702">
        <w:rPr>
          <w:lang w:val="en-CA"/>
        </w:rPr>
        <w:t xml:space="preserve"> the</w:t>
      </w:r>
      <w:r w:rsidR="006260BF" w:rsidRPr="00F74451">
        <w:rPr>
          <w:lang w:val="en-CA"/>
        </w:rPr>
        <w:t xml:space="preserve"> persons eligible for subsidized </w:t>
      </w:r>
      <w:r w:rsidR="009B6D8E" w:rsidRPr="00F74451">
        <w:rPr>
          <w:lang w:val="en-CA"/>
        </w:rPr>
        <w:t>sp</w:t>
      </w:r>
      <w:r w:rsidR="006260BF" w:rsidRPr="00F74451">
        <w:rPr>
          <w:lang w:val="en-CA"/>
        </w:rPr>
        <w:t xml:space="preserve">aces at the reduced contribution originally </w:t>
      </w:r>
      <w:r w:rsidR="00F74451" w:rsidRPr="00F74451">
        <w:rPr>
          <w:lang w:val="en-CA"/>
        </w:rPr>
        <w:t xml:space="preserve">set at </w:t>
      </w:r>
      <w:r w:rsidR="006260BF" w:rsidRPr="00F74451">
        <w:rPr>
          <w:lang w:val="en-CA"/>
        </w:rPr>
        <w:t xml:space="preserve">five dollars ($5) but apparently </w:t>
      </w:r>
      <w:r w:rsidR="00F74451" w:rsidRPr="00F74451">
        <w:rPr>
          <w:lang w:val="en-CA"/>
        </w:rPr>
        <w:t xml:space="preserve">now </w:t>
      </w:r>
      <w:r w:rsidR="006260BF" w:rsidRPr="00F74451">
        <w:rPr>
          <w:lang w:val="en-CA"/>
        </w:rPr>
        <w:t>eight dollars and seventy cents ($8.70).</w:t>
      </w:r>
    </w:p>
    <w:p w14:paraId="49269F97" w14:textId="46F04E65" w:rsidR="0072362A" w:rsidRPr="00105125" w:rsidRDefault="004A7BFD" w:rsidP="0072362A">
      <w:pPr>
        <w:pStyle w:val="Citationenretrait"/>
        <w:rPr>
          <w:lang w:val="en-CA"/>
        </w:rPr>
      </w:pPr>
      <w:r w:rsidRPr="00105125">
        <w:rPr>
          <w:lang w:val="en-CA"/>
        </w:rPr>
        <w:t>[24]</w:t>
      </w:r>
      <w:r w:rsidRPr="00105125">
        <w:rPr>
          <w:lang w:val="en-CA"/>
        </w:rPr>
        <w:tab/>
      </w:r>
      <w:r w:rsidR="006260BF" w:rsidRPr="00105125">
        <w:rPr>
          <w:lang w:val="en-CA"/>
        </w:rPr>
        <w:t xml:space="preserve">The plaintiff and the Commission </w:t>
      </w:r>
      <w:r w:rsidR="00C4109E">
        <w:rPr>
          <w:lang w:val="en-CA"/>
        </w:rPr>
        <w:t xml:space="preserve">contest </w:t>
      </w:r>
      <w:r w:rsidR="006260BF" w:rsidRPr="00105125">
        <w:rPr>
          <w:lang w:val="en-CA"/>
        </w:rPr>
        <w:t xml:space="preserve">more particularly the shift in orientation by the </w:t>
      </w:r>
      <w:proofErr w:type="spellStart"/>
      <w:r w:rsidR="000E51FB">
        <w:rPr>
          <w:lang w:val="en-CA"/>
        </w:rPr>
        <w:t>Ministère’s</w:t>
      </w:r>
      <w:proofErr w:type="spellEnd"/>
      <w:r w:rsidR="000E51FB">
        <w:rPr>
          <w:lang w:val="en-CA"/>
        </w:rPr>
        <w:t xml:space="preserve"> </w:t>
      </w:r>
      <w:r w:rsidR="006260BF" w:rsidRPr="00105125">
        <w:rPr>
          <w:lang w:val="en-CA"/>
        </w:rPr>
        <w:t xml:space="preserve">public servants who, after a few years of application, </w:t>
      </w:r>
      <w:r w:rsidR="00F74451" w:rsidRPr="00105125">
        <w:rPr>
          <w:lang w:val="en-CA"/>
        </w:rPr>
        <w:t xml:space="preserve">decided to interpret </w:t>
      </w:r>
      <w:r w:rsidR="006260BF" w:rsidRPr="00105125">
        <w:rPr>
          <w:lang w:val="en-CA"/>
        </w:rPr>
        <w:t xml:space="preserve">the beginning of </w:t>
      </w:r>
      <w:r w:rsidR="000E51FB">
        <w:rPr>
          <w:lang w:val="en-CA"/>
        </w:rPr>
        <w:t>sub</w:t>
      </w:r>
      <w:r w:rsidR="006260BF" w:rsidRPr="00105125">
        <w:rPr>
          <w:lang w:val="en-CA"/>
        </w:rPr>
        <w:t>paragraph (3) “the parent is staying in Québec primarily for work purposes”</w:t>
      </w:r>
      <w:r w:rsidRPr="00105125">
        <w:rPr>
          <w:lang w:val="en-CA"/>
        </w:rPr>
        <w:t> </w:t>
      </w:r>
      <w:r w:rsidR="006260BF" w:rsidRPr="00105125">
        <w:rPr>
          <w:lang w:val="en-CA"/>
        </w:rPr>
        <w:t xml:space="preserve">as excluding </w:t>
      </w:r>
      <w:r w:rsidR="003E23AC" w:rsidRPr="00105125">
        <w:rPr>
          <w:lang w:val="en-CA"/>
        </w:rPr>
        <w:t>refugee claimants</w:t>
      </w:r>
      <w:r w:rsidR="00F74451">
        <w:rPr>
          <w:lang w:val="en-CA"/>
        </w:rPr>
        <w:t>.</w:t>
      </w:r>
      <w:r w:rsidR="006260BF" w:rsidRPr="00105125">
        <w:rPr>
          <w:lang w:val="en-CA"/>
        </w:rPr>
        <w:t xml:space="preserve"> </w:t>
      </w:r>
      <w:r w:rsidR="00F74451">
        <w:rPr>
          <w:lang w:val="en-CA"/>
        </w:rPr>
        <w:t>T</w:t>
      </w:r>
      <w:r w:rsidR="006260BF" w:rsidRPr="00105125">
        <w:rPr>
          <w:lang w:val="en-CA"/>
        </w:rPr>
        <w:t xml:space="preserve">he Commission </w:t>
      </w:r>
      <w:r w:rsidR="00F74451" w:rsidRPr="00F74451">
        <w:rPr>
          <w:lang w:val="en-CA"/>
        </w:rPr>
        <w:t>a</w:t>
      </w:r>
      <w:r w:rsidR="00F74451">
        <w:rPr>
          <w:lang w:val="en-CA"/>
        </w:rPr>
        <w:t xml:space="preserve">lso </w:t>
      </w:r>
      <w:r w:rsidR="006260BF" w:rsidRPr="00105125">
        <w:rPr>
          <w:lang w:val="en-CA"/>
        </w:rPr>
        <w:t xml:space="preserve">rightly </w:t>
      </w:r>
      <w:r w:rsidR="000E51FB">
        <w:rPr>
          <w:lang w:val="en-CA"/>
        </w:rPr>
        <w:t>contests</w:t>
      </w:r>
      <w:r w:rsidR="006260BF" w:rsidRPr="00105125">
        <w:rPr>
          <w:lang w:val="en-CA"/>
        </w:rPr>
        <w:t xml:space="preserve"> </w:t>
      </w:r>
      <w:r w:rsidR="000E51FB">
        <w:rPr>
          <w:lang w:val="en-CA"/>
        </w:rPr>
        <w:t xml:space="preserve">the </w:t>
      </w:r>
      <w:r w:rsidR="006260BF" w:rsidRPr="00105125">
        <w:rPr>
          <w:lang w:val="en-CA"/>
        </w:rPr>
        <w:t>public servants’ addition of conditions to the regulatory provisions.</w:t>
      </w:r>
    </w:p>
    <w:p w14:paraId="69C54D47" w14:textId="4E2B1E50" w:rsidR="0072362A" w:rsidRPr="00105125" w:rsidRDefault="004A7BFD" w:rsidP="0072362A">
      <w:pPr>
        <w:pStyle w:val="Citationenretrait"/>
        <w:rPr>
          <w:lang w:val="en-CA"/>
        </w:rPr>
      </w:pPr>
      <w:r w:rsidRPr="00105125">
        <w:rPr>
          <w:lang w:val="en-CA"/>
        </w:rPr>
        <w:t>[25]</w:t>
      </w:r>
      <w:r w:rsidRPr="00105125">
        <w:rPr>
          <w:lang w:val="en-CA"/>
        </w:rPr>
        <w:tab/>
      </w:r>
      <w:r w:rsidR="006260BF" w:rsidRPr="00105125">
        <w:rPr>
          <w:lang w:val="en-CA"/>
        </w:rPr>
        <w:t xml:space="preserve">However, the Court tends to believe that the words “primarily for work purposes” in </w:t>
      </w:r>
      <w:r w:rsidR="005C02BA">
        <w:rPr>
          <w:lang w:val="en-CA"/>
        </w:rPr>
        <w:t xml:space="preserve">subparagraph (3) of </w:t>
      </w:r>
      <w:r w:rsidR="006260BF" w:rsidRPr="00105125">
        <w:rPr>
          <w:lang w:val="en-CA"/>
        </w:rPr>
        <w:t xml:space="preserve">section 3 </w:t>
      </w:r>
      <w:r w:rsidR="00AD6235">
        <w:rPr>
          <w:kern w:val="28"/>
          <w:lang w:val="en-CA"/>
        </w:rPr>
        <w:t xml:space="preserve">of the </w:t>
      </w:r>
      <w:r w:rsidR="006260BF" w:rsidRPr="00105125">
        <w:rPr>
          <w:i/>
          <w:lang w:val="en-CA"/>
        </w:rPr>
        <w:t>RCR</w:t>
      </w:r>
      <w:r w:rsidR="006260BF" w:rsidRPr="00105125">
        <w:rPr>
          <w:lang w:val="en-CA"/>
        </w:rPr>
        <w:t xml:space="preserve"> </w:t>
      </w:r>
      <w:r w:rsidR="00F74451">
        <w:rPr>
          <w:lang w:val="en-CA"/>
        </w:rPr>
        <w:t xml:space="preserve">refers to </w:t>
      </w:r>
      <w:r w:rsidR="006260BF" w:rsidRPr="00105125">
        <w:rPr>
          <w:lang w:val="en-CA"/>
        </w:rPr>
        <w:t xml:space="preserve">seasonal workers from Mexico or other Central or South American countries who come </w:t>
      </w:r>
      <w:r w:rsidR="00F74451">
        <w:rPr>
          <w:lang w:val="en-CA"/>
        </w:rPr>
        <w:t xml:space="preserve">to </w:t>
      </w:r>
      <w:r w:rsidR="006260BF" w:rsidRPr="00105125">
        <w:rPr>
          <w:lang w:val="en-CA"/>
        </w:rPr>
        <w:t xml:space="preserve">help in the </w:t>
      </w:r>
      <w:r w:rsidR="006260BF" w:rsidRPr="00105125">
        <w:rPr>
          <w:lang w:val="en-CA"/>
        </w:rPr>
        <w:lastRenderedPageBreak/>
        <w:t>fields during the summer</w:t>
      </w:r>
      <w:r w:rsidR="00F74451">
        <w:rPr>
          <w:lang w:val="en-CA"/>
        </w:rPr>
        <w:t>.</w:t>
      </w:r>
      <w:r w:rsidR="006260BF" w:rsidRPr="00105125">
        <w:rPr>
          <w:lang w:val="en-CA"/>
        </w:rPr>
        <w:t xml:space="preserve"> </w:t>
      </w:r>
      <w:r w:rsidR="00F74451">
        <w:rPr>
          <w:lang w:val="en-CA"/>
        </w:rPr>
        <w:t>C</w:t>
      </w:r>
      <w:r w:rsidR="006260BF" w:rsidRPr="00105125">
        <w:rPr>
          <w:lang w:val="en-CA"/>
        </w:rPr>
        <w:t xml:space="preserve">ounsel for the plaintiff </w:t>
      </w:r>
      <w:r w:rsidR="00F74451">
        <w:rPr>
          <w:lang w:val="en-CA"/>
        </w:rPr>
        <w:t>in fact stated</w:t>
      </w:r>
      <w:r w:rsidR="006260BF" w:rsidRPr="00105125">
        <w:rPr>
          <w:lang w:val="en-CA"/>
        </w:rPr>
        <w:t xml:space="preserve"> that she represents several of them when the Court brought this up at the hearing, thereby </w:t>
      </w:r>
      <w:r w:rsidR="00F74451">
        <w:rPr>
          <w:lang w:val="en-CA"/>
        </w:rPr>
        <w:t xml:space="preserve">in a way </w:t>
      </w:r>
      <w:r w:rsidR="006260BF" w:rsidRPr="00105125">
        <w:rPr>
          <w:lang w:val="en-CA"/>
        </w:rPr>
        <w:t>suggesting that she agrees.</w:t>
      </w:r>
    </w:p>
    <w:p w14:paraId="51328C6F" w14:textId="6436826D" w:rsidR="0072362A" w:rsidRPr="00105125" w:rsidRDefault="004A7BFD" w:rsidP="0072362A">
      <w:pPr>
        <w:pStyle w:val="Citationenretrait"/>
        <w:rPr>
          <w:lang w:val="en-CA"/>
        </w:rPr>
      </w:pPr>
      <w:r w:rsidRPr="00105125">
        <w:rPr>
          <w:lang w:val="en-CA"/>
        </w:rPr>
        <w:t>[26]</w:t>
      </w:r>
      <w:r w:rsidRPr="00105125">
        <w:rPr>
          <w:lang w:val="en-CA"/>
        </w:rPr>
        <w:tab/>
      </w:r>
      <w:r w:rsidR="006260BF" w:rsidRPr="00105125">
        <w:rPr>
          <w:lang w:val="en-CA"/>
        </w:rPr>
        <w:t xml:space="preserve">Counsel for the Commission relied on principles of interpretation drawn from a </w:t>
      </w:r>
      <w:r w:rsidR="00AF04D5">
        <w:rPr>
          <w:lang w:val="en-CA"/>
        </w:rPr>
        <w:t>well-</w:t>
      </w:r>
      <w:r w:rsidR="006260BF" w:rsidRPr="00105125">
        <w:rPr>
          <w:lang w:val="en-CA"/>
        </w:rPr>
        <w:t xml:space="preserve">known </w:t>
      </w:r>
      <w:r w:rsidR="003122D3">
        <w:rPr>
          <w:lang w:val="en-CA"/>
        </w:rPr>
        <w:t xml:space="preserve">treatise </w:t>
      </w:r>
      <w:r w:rsidR="006260BF" w:rsidRPr="00105125">
        <w:rPr>
          <w:lang w:val="en-CA"/>
        </w:rPr>
        <w:t>to argue that it should be viewed otherwise.</w:t>
      </w:r>
    </w:p>
    <w:p w14:paraId="1B4270E4" w14:textId="16A238A5" w:rsidR="0072362A" w:rsidRPr="00105125" w:rsidRDefault="004A7BFD" w:rsidP="00E35E35">
      <w:pPr>
        <w:pStyle w:val="Citationenretrait"/>
        <w:keepNext/>
        <w:rPr>
          <w:lang w:val="en-CA"/>
        </w:rPr>
      </w:pPr>
      <w:r w:rsidRPr="00105125">
        <w:rPr>
          <w:lang w:val="en-CA"/>
        </w:rPr>
        <w:t>[27]</w:t>
      </w:r>
      <w:r w:rsidRPr="00105125">
        <w:rPr>
          <w:lang w:val="en-CA"/>
        </w:rPr>
        <w:tab/>
      </w:r>
      <w:r w:rsidR="006260BF" w:rsidRPr="00105125">
        <w:rPr>
          <w:lang w:val="en-CA"/>
        </w:rPr>
        <w:t xml:space="preserve">However, </w:t>
      </w:r>
      <w:r w:rsidR="00AE6C63">
        <w:rPr>
          <w:lang w:val="en-CA"/>
        </w:rPr>
        <w:t xml:space="preserve">in </w:t>
      </w:r>
      <w:r w:rsidR="006260BF" w:rsidRPr="00105125">
        <w:rPr>
          <w:lang w:val="en-CA"/>
        </w:rPr>
        <w:t>the Court</w:t>
      </w:r>
      <w:r w:rsidR="00AE6C63">
        <w:rPr>
          <w:lang w:val="en-CA"/>
        </w:rPr>
        <w:t>’s view,</w:t>
      </w:r>
      <w:r w:rsidR="006260BF" w:rsidRPr="00105125">
        <w:rPr>
          <w:lang w:val="en-CA"/>
        </w:rPr>
        <w:t xml:space="preserve"> </w:t>
      </w:r>
      <w:r w:rsidR="00AE6C63">
        <w:rPr>
          <w:lang w:val="en-CA"/>
        </w:rPr>
        <w:t xml:space="preserve">it is primarily </w:t>
      </w:r>
      <w:r w:rsidR="005C02BA">
        <w:rPr>
          <w:lang w:val="en-CA"/>
        </w:rPr>
        <w:t>sub</w:t>
      </w:r>
      <w:r w:rsidR="00AE6C63" w:rsidRPr="00105125">
        <w:rPr>
          <w:lang w:val="en-CA"/>
        </w:rPr>
        <w:t xml:space="preserve">paragraph (5) </w:t>
      </w:r>
      <w:r w:rsidR="006260BF" w:rsidRPr="00105125">
        <w:rPr>
          <w:lang w:val="en-CA"/>
        </w:rPr>
        <w:t xml:space="preserve">that </w:t>
      </w:r>
      <w:r w:rsidR="004C2F2B">
        <w:rPr>
          <w:lang w:val="en-CA"/>
        </w:rPr>
        <w:t xml:space="preserve">excludes </w:t>
      </w:r>
      <w:r w:rsidR="004C2F2B" w:rsidRPr="00105125">
        <w:rPr>
          <w:i/>
          <w:lang w:val="en-CA"/>
        </w:rPr>
        <w:t xml:space="preserve">a </w:t>
      </w:r>
      <w:proofErr w:type="spellStart"/>
      <w:r w:rsidR="004C2F2B" w:rsidRPr="00105125">
        <w:rPr>
          <w:i/>
          <w:lang w:val="en-CA"/>
        </w:rPr>
        <w:t>contrario</w:t>
      </w:r>
      <w:proofErr w:type="spellEnd"/>
      <w:r w:rsidR="004C2F2B" w:rsidRPr="00105125">
        <w:rPr>
          <w:lang w:val="en-CA"/>
        </w:rPr>
        <w:t xml:space="preserve"> </w:t>
      </w:r>
      <w:r w:rsidR="003E23AC" w:rsidRPr="00105125">
        <w:rPr>
          <w:lang w:val="en-CA"/>
        </w:rPr>
        <w:t>refugee claimants</w:t>
      </w:r>
      <w:r w:rsidR="004C2F2B">
        <w:rPr>
          <w:lang w:val="en-CA"/>
        </w:rPr>
        <w:t>,</w:t>
      </w:r>
      <w:r w:rsidR="006260BF" w:rsidRPr="00105125">
        <w:rPr>
          <w:lang w:val="en-CA"/>
        </w:rPr>
        <w:t xml:space="preserve"> because it refers to recognized refugees (as being among eligible persons); </w:t>
      </w:r>
      <w:r w:rsidR="003E23AC" w:rsidRPr="00105125">
        <w:rPr>
          <w:lang w:val="en-CA"/>
        </w:rPr>
        <w:t>refugee claimants</w:t>
      </w:r>
      <w:r w:rsidR="006260BF" w:rsidRPr="00105125">
        <w:rPr>
          <w:lang w:val="en-CA"/>
        </w:rPr>
        <w:t xml:space="preserve"> are precisely persons who </w:t>
      </w:r>
      <w:r w:rsidR="00F74451">
        <w:rPr>
          <w:lang w:val="en-CA"/>
        </w:rPr>
        <w:t xml:space="preserve">have </w:t>
      </w:r>
      <w:r w:rsidR="006260BF" w:rsidRPr="00105125">
        <w:rPr>
          <w:lang w:val="en-CA"/>
        </w:rPr>
        <w:t>appl</w:t>
      </w:r>
      <w:r w:rsidR="00F74451">
        <w:rPr>
          <w:lang w:val="en-CA"/>
        </w:rPr>
        <w:t>ied</w:t>
      </w:r>
      <w:r w:rsidR="006260BF" w:rsidRPr="00105125">
        <w:rPr>
          <w:lang w:val="en-CA"/>
        </w:rPr>
        <w:t xml:space="preserve"> </w:t>
      </w:r>
      <w:r w:rsidR="00F74451">
        <w:rPr>
          <w:lang w:val="en-CA"/>
        </w:rPr>
        <w:t>to be recognized as</w:t>
      </w:r>
      <w:r w:rsidR="006260BF" w:rsidRPr="00105125">
        <w:rPr>
          <w:lang w:val="en-CA"/>
        </w:rPr>
        <w:t xml:space="preserve"> refugee</w:t>
      </w:r>
      <w:r w:rsidR="00F74451">
        <w:rPr>
          <w:lang w:val="en-CA"/>
        </w:rPr>
        <w:t>s</w:t>
      </w:r>
      <w:r w:rsidR="006260BF" w:rsidRPr="00105125">
        <w:rPr>
          <w:lang w:val="en-CA"/>
        </w:rPr>
        <w:t>.</w:t>
      </w:r>
      <w:r w:rsidRPr="00105125">
        <w:rPr>
          <w:rStyle w:val="Appelnotedebasdep"/>
          <w:lang w:val="en-CA"/>
        </w:rPr>
        <w:footnoteReference w:id="31"/>
      </w:r>
    </w:p>
    <w:p w14:paraId="5EF1AA40" w14:textId="205FE6BA" w:rsidR="0072362A" w:rsidRPr="00105125" w:rsidRDefault="006260BF" w:rsidP="00E35E35">
      <w:pPr>
        <w:pStyle w:val="Citationenretrait"/>
        <w:keepNext/>
        <w:jc w:val="right"/>
        <w:rPr>
          <w:lang w:val="en-CA"/>
        </w:rPr>
      </w:pPr>
      <w:r w:rsidRPr="00105125">
        <w:rPr>
          <w:lang w:val="en-CA"/>
        </w:rPr>
        <w:t>[References omitted]</w:t>
      </w:r>
    </w:p>
    <w:p w14:paraId="781D47C4" w14:textId="32DEA4B5" w:rsidR="0072362A" w:rsidRPr="00105125" w:rsidRDefault="001F0E3E" w:rsidP="006F1E32">
      <w:pPr>
        <w:pStyle w:val="Paragraphe"/>
        <w:spacing w:line="280" w:lineRule="exact"/>
        <w:rPr>
          <w:lang w:val="en-CA"/>
        </w:rPr>
      </w:pPr>
      <w:r w:rsidRPr="00105125">
        <w:rPr>
          <w:lang w:val="en-CA"/>
        </w:rPr>
        <w:t>The judge’s analysis is succinct</w:t>
      </w:r>
      <w:r w:rsidR="00BC6A63" w:rsidRPr="00105125">
        <w:rPr>
          <w:lang w:val="en-CA"/>
        </w:rPr>
        <w:t>,</w:t>
      </w:r>
      <w:r w:rsidRPr="00105125">
        <w:rPr>
          <w:lang w:val="en-CA"/>
        </w:rPr>
        <w:t xml:space="preserve"> and I do not believe that </w:t>
      </w:r>
      <w:r w:rsidR="00A67E42">
        <w:rPr>
          <w:lang w:val="en-CA"/>
        </w:rPr>
        <w:t xml:space="preserve">subparagraph (3) of </w:t>
      </w:r>
      <w:r w:rsidRPr="00105125">
        <w:rPr>
          <w:lang w:val="en-CA"/>
        </w:rPr>
        <w:t xml:space="preserve">section 3 </w:t>
      </w:r>
      <w:r w:rsidR="00AD6235">
        <w:rPr>
          <w:lang w:val="en-CA"/>
        </w:rPr>
        <w:t xml:space="preserve">of the </w:t>
      </w:r>
      <w:r w:rsidRPr="00105125">
        <w:rPr>
          <w:i/>
          <w:lang w:val="en-CA"/>
        </w:rPr>
        <w:t>RCR</w:t>
      </w:r>
      <w:r w:rsidRPr="00105125">
        <w:rPr>
          <w:lang w:val="en-CA"/>
        </w:rPr>
        <w:t xml:space="preserve"> </w:t>
      </w:r>
      <w:r w:rsidR="00F74451">
        <w:rPr>
          <w:lang w:val="en-CA"/>
        </w:rPr>
        <w:t xml:space="preserve">refers solely </w:t>
      </w:r>
      <w:r w:rsidRPr="00105125">
        <w:rPr>
          <w:lang w:val="en-CA"/>
        </w:rPr>
        <w:t xml:space="preserve">to seasonal workers who come </w:t>
      </w:r>
      <w:r w:rsidR="00F74451">
        <w:rPr>
          <w:lang w:val="en-CA"/>
        </w:rPr>
        <w:t xml:space="preserve">during </w:t>
      </w:r>
      <w:r w:rsidRPr="00105125">
        <w:rPr>
          <w:lang w:val="en-CA"/>
        </w:rPr>
        <w:t>the summer to work in the fields, as he said.</w:t>
      </w:r>
      <w:r w:rsidR="004A7BFD" w:rsidRPr="00105125">
        <w:rPr>
          <w:lang w:val="en-CA"/>
        </w:rPr>
        <w:t xml:space="preserve"> </w:t>
      </w:r>
      <w:r w:rsidRPr="00105125">
        <w:rPr>
          <w:lang w:val="en-CA"/>
        </w:rPr>
        <w:t xml:space="preserve">However, I agree that section 3 </w:t>
      </w:r>
      <w:r w:rsidR="00AD6235">
        <w:rPr>
          <w:lang w:val="en-CA"/>
        </w:rPr>
        <w:t xml:space="preserve">of the </w:t>
      </w:r>
      <w:r w:rsidRPr="00105125">
        <w:rPr>
          <w:i/>
          <w:lang w:val="en-CA"/>
        </w:rPr>
        <w:t>RCR</w:t>
      </w:r>
      <w:r w:rsidRPr="00105125">
        <w:rPr>
          <w:lang w:val="en-CA"/>
        </w:rPr>
        <w:t xml:space="preserve"> does not apply to </w:t>
      </w:r>
      <w:r w:rsidR="003E23AC" w:rsidRPr="00105125">
        <w:rPr>
          <w:lang w:val="en-CA"/>
        </w:rPr>
        <w:t>refugee claimants</w:t>
      </w:r>
      <w:r w:rsidRPr="00105125">
        <w:rPr>
          <w:lang w:val="en-CA"/>
        </w:rPr>
        <w:t>.</w:t>
      </w:r>
      <w:r w:rsidR="004A7BFD" w:rsidRPr="00105125">
        <w:rPr>
          <w:lang w:val="en-CA"/>
        </w:rPr>
        <w:t xml:space="preserve"> </w:t>
      </w:r>
      <w:r w:rsidRPr="00105125">
        <w:rPr>
          <w:lang w:val="en-CA"/>
        </w:rPr>
        <w:t>Therefore, they are not eligible for the reduced contribution.</w:t>
      </w:r>
    </w:p>
    <w:p w14:paraId="16572756" w14:textId="135E6DB6" w:rsidR="0072362A" w:rsidRPr="00105125" w:rsidRDefault="001F0E3E" w:rsidP="006F1E32">
      <w:pPr>
        <w:pStyle w:val="Paragraphe"/>
        <w:spacing w:line="280" w:lineRule="exact"/>
        <w:rPr>
          <w:lang w:val="en-CA"/>
        </w:rPr>
      </w:pPr>
      <w:r w:rsidRPr="00105125">
        <w:rPr>
          <w:lang w:val="en-CA"/>
        </w:rPr>
        <w:t xml:space="preserve">The </w:t>
      </w:r>
      <w:r w:rsidR="005D08CE">
        <w:rPr>
          <w:lang w:val="en-CA"/>
        </w:rPr>
        <w:t xml:space="preserve">proper </w:t>
      </w:r>
      <w:r w:rsidRPr="00105125">
        <w:rPr>
          <w:lang w:val="en-CA"/>
        </w:rPr>
        <w:t xml:space="preserve">approach to interpret section 3 </w:t>
      </w:r>
      <w:r w:rsidR="00AD6235">
        <w:rPr>
          <w:lang w:val="en-CA"/>
        </w:rPr>
        <w:t xml:space="preserve">of the </w:t>
      </w:r>
      <w:r w:rsidRPr="00105125">
        <w:rPr>
          <w:i/>
          <w:lang w:val="en-CA"/>
        </w:rPr>
        <w:t>RCR</w:t>
      </w:r>
      <w:r w:rsidRPr="00105125">
        <w:rPr>
          <w:lang w:val="en-CA"/>
        </w:rPr>
        <w:t xml:space="preserve"> is again that of </w:t>
      </w:r>
      <w:proofErr w:type="spellStart"/>
      <w:r w:rsidRPr="00105125">
        <w:rPr>
          <w:lang w:val="en-CA"/>
        </w:rPr>
        <w:t>Driedger</w:t>
      </w:r>
      <w:proofErr w:type="spellEnd"/>
      <w:r w:rsidRPr="00105125">
        <w:rPr>
          <w:lang w:val="en-CA"/>
        </w:rPr>
        <w:t xml:space="preserve">: the words of an </w:t>
      </w:r>
      <w:r w:rsidRPr="003C2C58">
        <w:rPr>
          <w:lang w:val="en-CA"/>
        </w:rPr>
        <w:t>Act</w:t>
      </w:r>
      <w:r w:rsidRPr="00105125">
        <w:rPr>
          <w:lang w:val="en-CA"/>
        </w:rPr>
        <w:t xml:space="preserve"> are to be read in their entire context and in their grammatical and ordinary sense harmoniously with the scheme of the Act, the object of the Act, and the intention of the legislature.</w:t>
      </w:r>
      <w:r w:rsidRPr="00105125">
        <w:rPr>
          <w:rStyle w:val="Appelnotedebasdep"/>
          <w:lang w:val="en-CA"/>
        </w:rPr>
        <w:footnoteReference w:id="32"/>
      </w:r>
    </w:p>
    <w:p w14:paraId="288CCEE8" w14:textId="5BABAB75" w:rsidR="0072362A" w:rsidRPr="00105125" w:rsidRDefault="00A67E42" w:rsidP="006F1E32">
      <w:pPr>
        <w:pStyle w:val="Paragraphe"/>
        <w:spacing w:line="280" w:lineRule="exact"/>
        <w:rPr>
          <w:lang w:val="en-CA"/>
        </w:rPr>
      </w:pPr>
      <w:r>
        <w:rPr>
          <w:lang w:val="en-CA"/>
        </w:rPr>
        <w:t>Subparagraph (3) of s</w:t>
      </w:r>
      <w:r w:rsidR="001F0E3E" w:rsidRPr="00105125">
        <w:rPr>
          <w:lang w:val="en-CA"/>
        </w:rPr>
        <w:t xml:space="preserve">ection 3 </w:t>
      </w:r>
      <w:r w:rsidR="00AD6235">
        <w:rPr>
          <w:lang w:val="en-CA"/>
        </w:rPr>
        <w:t xml:space="preserve">of the </w:t>
      </w:r>
      <w:r w:rsidR="001F0E3E" w:rsidRPr="00105125">
        <w:rPr>
          <w:i/>
          <w:lang w:val="en-CA"/>
        </w:rPr>
        <w:t>RCR</w:t>
      </w:r>
      <w:r w:rsidR="001F0E3E" w:rsidRPr="00105125">
        <w:rPr>
          <w:lang w:val="en-CA"/>
        </w:rPr>
        <w:t xml:space="preserve"> applies to persons staying in Quebec primarily for work purposes.</w:t>
      </w:r>
      <w:r w:rsidR="004A7BFD" w:rsidRPr="00105125">
        <w:rPr>
          <w:lang w:val="en-CA"/>
        </w:rPr>
        <w:t xml:space="preserve"> </w:t>
      </w:r>
      <w:r w:rsidR="001F0E3E" w:rsidRPr="00105125">
        <w:rPr>
          <w:lang w:val="en-CA"/>
        </w:rPr>
        <w:t xml:space="preserve">As the AGQ argues, three conditions must be met for that provision to apply: (1) the person must be staying in Quebec; (2) primarily for work purposes; and (3) hold a work permit issued under the </w:t>
      </w:r>
      <w:r w:rsidR="001F0E3E" w:rsidRPr="00105125">
        <w:rPr>
          <w:i/>
          <w:lang w:val="en-CA"/>
        </w:rPr>
        <w:t>Immigration and Refugee Protection Act</w:t>
      </w:r>
      <w:r w:rsidR="001F0E3E" w:rsidRPr="00105125">
        <w:rPr>
          <w:lang w:val="en-CA"/>
        </w:rPr>
        <w:t xml:space="preserve"> or </w:t>
      </w:r>
      <w:r w:rsidR="003C2C58">
        <w:rPr>
          <w:lang w:val="en-CA"/>
        </w:rPr>
        <w:t>be</w:t>
      </w:r>
      <w:r w:rsidR="003C2C58" w:rsidRPr="00105125">
        <w:rPr>
          <w:lang w:val="en-CA"/>
        </w:rPr>
        <w:t xml:space="preserve"> </w:t>
      </w:r>
      <w:r w:rsidR="001F0E3E" w:rsidRPr="00105125">
        <w:rPr>
          <w:lang w:val="en-CA"/>
        </w:rPr>
        <w:t xml:space="preserve">exempted from holding such a permit under that </w:t>
      </w:r>
      <w:r w:rsidR="001F0E3E" w:rsidRPr="00F74451">
        <w:rPr>
          <w:i/>
          <w:iCs/>
          <w:lang w:val="en-CA"/>
        </w:rPr>
        <w:t>Act</w:t>
      </w:r>
      <w:r w:rsidR="001F0E3E" w:rsidRPr="00105125">
        <w:rPr>
          <w:lang w:val="en-CA"/>
        </w:rPr>
        <w:t>.</w:t>
      </w:r>
    </w:p>
    <w:p w14:paraId="3CEA6AC1" w14:textId="4B4A00DE" w:rsidR="0072362A" w:rsidRPr="00105125" w:rsidRDefault="001F0E3E" w:rsidP="006F1E32">
      <w:pPr>
        <w:pStyle w:val="Paragraphe"/>
        <w:spacing w:line="280" w:lineRule="exact"/>
        <w:rPr>
          <w:lang w:val="en-CA"/>
        </w:rPr>
      </w:pPr>
      <w:r w:rsidRPr="00105125">
        <w:rPr>
          <w:lang w:val="en-CA"/>
        </w:rPr>
        <w:t xml:space="preserve">In this case, Ms. </w:t>
      </w:r>
      <w:proofErr w:type="spellStart"/>
      <w:r w:rsidRPr="00105125">
        <w:rPr>
          <w:lang w:val="en-CA"/>
        </w:rPr>
        <w:t>Kanyinda</w:t>
      </w:r>
      <w:proofErr w:type="spellEnd"/>
      <w:r w:rsidRPr="00105125">
        <w:rPr>
          <w:lang w:val="en-CA"/>
        </w:rPr>
        <w:t xml:space="preserve"> held a work permit but was not staying in Quebec primarily for work purposes.</w:t>
      </w:r>
      <w:r w:rsidR="004A7BFD" w:rsidRPr="00105125">
        <w:rPr>
          <w:lang w:val="en-CA"/>
        </w:rPr>
        <w:t xml:space="preserve"> </w:t>
      </w:r>
      <w:r w:rsidRPr="00105125">
        <w:rPr>
          <w:lang w:val="en-CA"/>
        </w:rPr>
        <w:t xml:space="preserve">Instead, she hoped to be accepted as a refugee with her children and </w:t>
      </w:r>
      <w:r w:rsidR="00497216">
        <w:rPr>
          <w:lang w:val="en-CA"/>
        </w:rPr>
        <w:t>live</w:t>
      </w:r>
      <w:r w:rsidRPr="00105125">
        <w:rPr>
          <w:lang w:val="en-CA"/>
        </w:rPr>
        <w:t xml:space="preserve"> here.</w:t>
      </w:r>
      <w:r w:rsidR="004A7BFD" w:rsidRPr="00105125">
        <w:rPr>
          <w:lang w:val="en-CA"/>
        </w:rPr>
        <w:t xml:space="preserve"> </w:t>
      </w:r>
      <w:r w:rsidRPr="00105125">
        <w:rPr>
          <w:lang w:val="en-CA"/>
        </w:rPr>
        <w:t xml:space="preserve">The Quebec legislature gives the terms “stay” and “settle” different meanings. This distinction appears in the </w:t>
      </w:r>
      <w:r w:rsidRPr="00105125">
        <w:rPr>
          <w:i/>
          <w:lang w:val="en-CA"/>
        </w:rPr>
        <w:t>Québec Immigration Act</w:t>
      </w:r>
      <w:r w:rsidRPr="00105125">
        <w:rPr>
          <w:lang w:val="en-CA"/>
        </w:rPr>
        <w:t>,</w:t>
      </w:r>
      <w:r w:rsidRPr="00105125">
        <w:rPr>
          <w:rStyle w:val="Appelnotedebasdep"/>
          <w:lang w:val="en-CA"/>
        </w:rPr>
        <w:footnoteReference w:id="33"/>
      </w:r>
      <w:r w:rsidRPr="00105125">
        <w:rPr>
          <w:lang w:val="en-CA"/>
        </w:rPr>
        <w:t xml:space="preserve"> where both terms are used to distinguish temporary </w:t>
      </w:r>
      <w:r w:rsidR="00BC6A63" w:rsidRPr="00105125">
        <w:rPr>
          <w:lang w:val="en-CA"/>
        </w:rPr>
        <w:t>immigration</w:t>
      </w:r>
      <w:r w:rsidRPr="00105125">
        <w:rPr>
          <w:lang w:val="en-CA"/>
        </w:rPr>
        <w:t xml:space="preserve"> status from permanent status:</w:t>
      </w:r>
    </w:p>
    <w:tbl>
      <w:tblPr>
        <w:tblW w:w="0" w:type="auto"/>
        <w:tblLayout w:type="fixed"/>
        <w:tblCellMar>
          <w:left w:w="70" w:type="dxa"/>
          <w:right w:w="70" w:type="dxa"/>
        </w:tblCellMar>
        <w:tblLook w:val="0000" w:firstRow="0" w:lastRow="0" w:firstColumn="0" w:lastColumn="0" w:noHBand="0" w:noVBand="0"/>
      </w:tblPr>
      <w:tblGrid>
        <w:gridCol w:w="4680"/>
        <w:gridCol w:w="4680"/>
      </w:tblGrid>
      <w:tr w:rsidR="009D16D4" w:rsidRPr="00105125" w14:paraId="1630D0F8" w14:textId="1E75C0A2" w:rsidTr="00C72EDA">
        <w:tc>
          <w:tcPr>
            <w:tcW w:w="4680" w:type="dxa"/>
            <w:shd w:val="clear" w:color="auto" w:fill="auto"/>
          </w:tcPr>
          <w:p w14:paraId="45F07925" w14:textId="4CCF77AE" w:rsidR="009D16D4" w:rsidRPr="00105125" w:rsidRDefault="009D16D4" w:rsidP="00EE7468">
            <w:pPr>
              <w:pStyle w:val="Tableaudroiteanglais"/>
              <w:ind w:left="638" w:right="219"/>
            </w:pPr>
            <w:r w:rsidRPr="00105125">
              <w:rPr>
                <w:b/>
                <w:bCs/>
              </w:rPr>
              <w:t>1.</w:t>
            </w:r>
            <w:r w:rsidRPr="00105125">
              <w:t xml:space="preserve"> The purposes of this Act are the selection of foreign nationals wishing </w:t>
            </w:r>
            <w:r w:rsidRPr="00105125">
              <w:rPr>
                <w:u w:val="single"/>
              </w:rPr>
              <w:t>to stay temporarily or settle permanently in Québec</w:t>
            </w:r>
            <w:r w:rsidRPr="00105125">
              <w:t>, …</w:t>
            </w:r>
          </w:p>
          <w:p w14:paraId="356456E9" w14:textId="77777777" w:rsidR="009D16D4" w:rsidRPr="00105125" w:rsidRDefault="009D16D4" w:rsidP="00EE7468">
            <w:pPr>
              <w:pStyle w:val="Tableaudroiteanglais"/>
              <w:ind w:left="638" w:right="219"/>
            </w:pPr>
          </w:p>
          <w:p w14:paraId="6566F3A5" w14:textId="77777777" w:rsidR="009D16D4" w:rsidRPr="00105125" w:rsidRDefault="009D16D4" w:rsidP="00EE7468">
            <w:pPr>
              <w:pStyle w:val="Tableaudroiteanglais"/>
              <w:ind w:left="638" w:right="219"/>
            </w:pPr>
          </w:p>
          <w:p w14:paraId="399DFA53" w14:textId="686F11D1" w:rsidR="009D16D4" w:rsidRPr="00105125" w:rsidRDefault="009D16D4" w:rsidP="00EE7468">
            <w:pPr>
              <w:pStyle w:val="Tableaudroiteanglais"/>
              <w:ind w:left="638" w:right="219"/>
            </w:pPr>
            <w:r w:rsidRPr="00105125">
              <w:t>…</w:t>
            </w:r>
          </w:p>
          <w:p w14:paraId="7C9925E1" w14:textId="77777777" w:rsidR="009D16D4" w:rsidRPr="00105125" w:rsidRDefault="009D16D4" w:rsidP="00EE7468">
            <w:pPr>
              <w:pStyle w:val="Tableaudroiteanglais"/>
              <w:ind w:left="638" w:right="219"/>
            </w:pPr>
          </w:p>
          <w:p w14:paraId="1A4F1FE0" w14:textId="77777777" w:rsidR="009D16D4" w:rsidRPr="00105125" w:rsidRDefault="009D16D4" w:rsidP="00EE7468">
            <w:pPr>
              <w:pStyle w:val="Tableaudroiteanglais"/>
              <w:ind w:left="638" w:right="219"/>
            </w:pPr>
            <w:r w:rsidRPr="00105125">
              <w:rPr>
                <w:b/>
                <w:bCs/>
              </w:rPr>
              <w:t>6.</w:t>
            </w:r>
            <w:r w:rsidRPr="00105125">
              <w:t xml:space="preserve"> The classes of foreign nationals </w:t>
            </w:r>
            <w:r w:rsidRPr="00105125">
              <w:rPr>
                <w:u w:val="single"/>
              </w:rPr>
              <w:t>wishing to stay temporarily</w:t>
            </w:r>
            <w:r w:rsidRPr="00105125">
              <w:t xml:space="preserve"> in Québec are</w:t>
            </w:r>
          </w:p>
          <w:p w14:paraId="10C25212" w14:textId="754EC4AC" w:rsidR="009D16D4" w:rsidRPr="00105125" w:rsidRDefault="009D16D4" w:rsidP="00EE7468">
            <w:pPr>
              <w:pStyle w:val="Tableaudroiteanglais"/>
              <w:ind w:left="638" w:right="219"/>
            </w:pPr>
          </w:p>
          <w:p w14:paraId="69DBDF30" w14:textId="77777777" w:rsidR="009D16D4" w:rsidRPr="00105125" w:rsidRDefault="009D16D4" w:rsidP="00EE7468">
            <w:pPr>
              <w:pStyle w:val="Tableaudroiteanglais"/>
              <w:ind w:left="638" w:right="219"/>
            </w:pPr>
          </w:p>
          <w:p w14:paraId="09D33B8F" w14:textId="77777777" w:rsidR="009D16D4" w:rsidRPr="00105125" w:rsidRDefault="009D16D4" w:rsidP="00EE7468">
            <w:pPr>
              <w:pStyle w:val="Tableaudroiteanglais"/>
              <w:ind w:left="638" w:right="219"/>
            </w:pPr>
            <w:r w:rsidRPr="00105125">
              <w:t>(1) the temporary foreign worker class;</w:t>
            </w:r>
          </w:p>
          <w:p w14:paraId="07A08736" w14:textId="77777777" w:rsidR="009D16D4" w:rsidRPr="00105125" w:rsidRDefault="009D16D4" w:rsidP="00EE7468">
            <w:pPr>
              <w:pStyle w:val="Tableaudroiteanglais"/>
              <w:ind w:left="638" w:right="219"/>
            </w:pPr>
          </w:p>
          <w:p w14:paraId="346FE72D" w14:textId="77777777" w:rsidR="009D16D4" w:rsidRPr="00105125" w:rsidRDefault="009D16D4" w:rsidP="00EE7468">
            <w:pPr>
              <w:pStyle w:val="Tableaudroiteanglais"/>
              <w:ind w:left="638" w:right="219"/>
            </w:pPr>
            <w:r w:rsidRPr="00105125">
              <w:t>(2) the international student class; and</w:t>
            </w:r>
          </w:p>
          <w:p w14:paraId="44048AE8" w14:textId="77777777" w:rsidR="009D16D4" w:rsidRPr="00105125" w:rsidRDefault="009D16D4" w:rsidP="00EE7468">
            <w:pPr>
              <w:pStyle w:val="Tableaudroiteanglais"/>
              <w:ind w:left="638" w:right="219"/>
            </w:pPr>
          </w:p>
          <w:p w14:paraId="7D51ACC9" w14:textId="77777777" w:rsidR="009D16D4" w:rsidRPr="00105125" w:rsidRDefault="009D16D4" w:rsidP="00EE7468">
            <w:pPr>
              <w:pStyle w:val="Tableaudroiteanglais"/>
              <w:ind w:left="638" w:right="219"/>
            </w:pPr>
          </w:p>
          <w:p w14:paraId="6505906C" w14:textId="77777777" w:rsidR="009D16D4" w:rsidRPr="00105125" w:rsidRDefault="009D16D4" w:rsidP="00EE7468">
            <w:pPr>
              <w:pStyle w:val="Tableaudroiteanglais"/>
              <w:ind w:left="638" w:right="219"/>
            </w:pPr>
            <w:r w:rsidRPr="00105125">
              <w:t>(3) the person on a temporary stay for medical treatment class.</w:t>
            </w:r>
          </w:p>
          <w:p w14:paraId="21825FE5" w14:textId="27A9E736" w:rsidR="009D16D4" w:rsidRPr="00105125" w:rsidRDefault="009D16D4" w:rsidP="00EE7468">
            <w:pPr>
              <w:pStyle w:val="Tableaudroiteanglais"/>
              <w:ind w:left="638" w:right="219"/>
            </w:pPr>
          </w:p>
          <w:p w14:paraId="3C17C561" w14:textId="77777777" w:rsidR="009D16D4" w:rsidRPr="00105125" w:rsidRDefault="009D16D4" w:rsidP="00EE7468">
            <w:pPr>
              <w:pStyle w:val="Tableaudroiteanglais"/>
              <w:ind w:left="638" w:right="219"/>
            </w:pPr>
          </w:p>
          <w:p w14:paraId="682427D7" w14:textId="37A3BA01" w:rsidR="009D16D4" w:rsidRPr="00105125" w:rsidRDefault="009D16D4" w:rsidP="00EE7468">
            <w:pPr>
              <w:pStyle w:val="Tableaudroiteanglais"/>
              <w:ind w:left="638" w:right="219"/>
            </w:pPr>
            <w:r w:rsidRPr="00105125">
              <w:t>…</w:t>
            </w:r>
          </w:p>
          <w:p w14:paraId="4E19536C" w14:textId="505B6EFB" w:rsidR="009D16D4" w:rsidRPr="00105125" w:rsidRDefault="009D16D4" w:rsidP="00EE7468">
            <w:pPr>
              <w:pStyle w:val="Tableaudroiteanglais"/>
              <w:ind w:left="638" w:right="219"/>
            </w:pPr>
          </w:p>
          <w:p w14:paraId="3CA23ACA" w14:textId="30931EBF" w:rsidR="009D16D4" w:rsidRPr="00105125" w:rsidRDefault="009D16D4" w:rsidP="00EE7468">
            <w:pPr>
              <w:pStyle w:val="Tableaudroiteanglais"/>
              <w:ind w:left="638" w:right="219"/>
            </w:pPr>
            <w:r w:rsidRPr="00105125">
              <w:rPr>
                <w:b/>
                <w:bCs/>
              </w:rPr>
              <w:t>10.</w:t>
            </w:r>
            <w:r w:rsidRPr="00105125">
              <w:t> </w:t>
            </w:r>
            <w:r w:rsidRPr="00105125">
              <w:rPr>
                <w:u w:val="single"/>
              </w:rPr>
              <w:t>To stay or settle</w:t>
            </w:r>
            <w:r w:rsidRPr="00105125">
              <w:rPr>
                <w:rFonts w:cs="Arial"/>
              </w:rPr>
              <w:t xml:space="preserve"> in Québec, foreign nationals belonging to one of the classes listed in sections 6 and 7 must file an application with the Minister under an immigration program, unless they are covered by an exemption provided for by government regulation. …</w:t>
            </w:r>
          </w:p>
          <w:p w14:paraId="052C7929" w14:textId="45344526" w:rsidR="009D16D4" w:rsidRPr="00105125" w:rsidRDefault="009D16D4" w:rsidP="00EE7468">
            <w:pPr>
              <w:pStyle w:val="Tableaudroiteanglais"/>
              <w:ind w:left="638" w:right="219"/>
            </w:pPr>
          </w:p>
        </w:tc>
        <w:tc>
          <w:tcPr>
            <w:tcW w:w="4680" w:type="dxa"/>
          </w:tcPr>
          <w:p w14:paraId="0BB1159A" w14:textId="77777777" w:rsidR="009D16D4" w:rsidRPr="001444DD" w:rsidRDefault="009D16D4" w:rsidP="00EE7468">
            <w:pPr>
              <w:pStyle w:val="Tableaugauchefranais"/>
              <w:ind w:left="74" w:right="642"/>
              <w:jc w:val="both"/>
            </w:pPr>
            <w:r w:rsidRPr="001444DD">
              <w:rPr>
                <w:b/>
                <w:bCs/>
              </w:rPr>
              <w:lastRenderedPageBreak/>
              <w:t>1.</w:t>
            </w:r>
            <w:r w:rsidRPr="001444DD">
              <w:t xml:space="preserve"> La présente loi a pour objets la sélection de ressortissants étrangers souhaitant </w:t>
            </w:r>
            <w:r w:rsidRPr="001444DD">
              <w:rPr>
                <w:u w:val="single"/>
              </w:rPr>
              <w:t>séjourner au Québec à titre temporaire ou s’y établir à titre permanent</w:t>
            </w:r>
            <w:r w:rsidRPr="001444DD">
              <w:rPr>
                <w:rFonts w:cs="Arial"/>
              </w:rPr>
              <w:t xml:space="preserve"> […]</w:t>
            </w:r>
          </w:p>
          <w:p w14:paraId="23965F0F" w14:textId="77777777" w:rsidR="009D16D4" w:rsidRPr="001444DD" w:rsidRDefault="009D16D4" w:rsidP="00EE7468">
            <w:pPr>
              <w:pStyle w:val="Tableaugauchefranais"/>
              <w:ind w:left="74" w:right="642"/>
              <w:jc w:val="both"/>
            </w:pPr>
          </w:p>
          <w:p w14:paraId="5AC97912" w14:textId="6CEF55F6" w:rsidR="009D16D4" w:rsidRPr="001444DD" w:rsidRDefault="009D16D4" w:rsidP="00EE7468">
            <w:pPr>
              <w:pStyle w:val="Tableaugauchefranais"/>
              <w:ind w:left="74" w:right="642"/>
              <w:jc w:val="both"/>
            </w:pPr>
            <w:r w:rsidRPr="001444DD">
              <w:rPr>
                <w:rFonts w:cs="Arial"/>
              </w:rPr>
              <w:t>[…]</w:t>
            </w:r>
          </w:p>
          <w:p w14:paraId="7E369156" w14:textId="77777777" w:rsidR="009D16D4" w:rsidRPr="001444DD" w:rsidRDefault="009D16D4" w:rsidP="00EE7468">
            <w:pPr>
              <w:pStyle w:val="Tableaugauchefranais"/>
              <w:ind w:left="74" w:right="642"/>
              <w:jc w:val="both"/>
            </w:pPr>
          </w:p>
          <w:p w14:paraId="0E727C5E" w14:textId="77777777" w:rsidR="009D16D4" w:rsidRPr="001444DD" w:rsidRDefault="009D16D4" w:rsidP="00EE7468">
            <w:pPr>
              <w:pStyle w:val="Tableaugauchefranais"/>
              <w:ind w:left="74" w:right="642"/>
              <w:jc w:val="both"/>
            </w:pPr>
            <w:r w:rsidRPr="001444DD">
              <w:rPr>
                <w:b/>
                <w:bCs/>
              </w:rPr>
              <w:t>6.</w:t>
            </w:r>
            <w:r w:rsidRPr="001444DD">
              <w:t xml:space="preserve"> Les catégories de ressortissants étrangers qui souhaitent </w:t>
            </w:r>
            <w:r w:rsidRPr="001444DD">
              <w:rPr>
                <w:u w:val="single"/>
              </w:rPr>
              <w:t xml:space="preserve">séjourner à titre temporaire </w:t>
            </w:r>
            <w:r w:rsidRPr="001444DD">
              <w:t>au Québec sont les suivantes:</w:t>
            </w:r>
          </w:p>
          <w:p w14:paraId="5919D9D2" w14:textId="77777777" w:rsidR="009D16D4" w:rsidRPr="001444DD" w:rsidRDefault="009D16D4" w:rsidP="00EE7468">
            <w:pPr>
              <w:pStyle w:val="Tableaugauchefranais"/>
              <w:ind w:left="74" w:right="642"/>
              <w:jc w:val="both"/>
            </w:pPr>
          </w:p>
          <w:p w14:paraId="4FC6258E" w14:textId="77777777" w:rsidR="009D16D4" w:rsidRPr="001444DD" w:rsidRDefault="009D16D4" w:rsidP="00EE7468">
            <w:pPr>
              <w:pStyle w:val="Tableaugauchefranais"/>
              <w:ind w:left="74" w:right="642"/>
              <w:jc w:val="both"/>
            </w:pPr>
            <w:r w:rsidRPr="001444DD">
              <w:t>1°  la catégorie des travailleurs étrangers temporaires;</w:t>
            </w:r>
          </w:p>
          <w:p w14:paraId="7F9B915F" w14:textId="77777777" w:rsidR="009D16D4" w:rsidRPr="001444DD" w:rsidRDefault="009D16D4" w:rsidP="00EE7468">
            <w:pPr>
              <w:pStyle w:val="Tableaugauchefranais"/>
              <w:ind w:left="74" w:right="642"/>
              <w:jc w:val="both"/>
            </w:pPr>
          </w:p>
          <w:p w14:paraId="0E24F315" w14:textId="77777777" w:rsidR="009D16D4" w:rsidRPr="001444DD" w:rsidRDefault="009D16D4" w:rsidP="00EE7468">
            <w:pPr>
              <w:pStyle w:val="Tableaugauchefranais"/>
              <w:ind w:left="74" w:right="642"/>
              <w:jc w:val="both"/>
            </w:pPr>
            <w:r w:rsidRPr="001444DD">
              <w:t>2°  la catégorie des étudiants étrangers;</w:t>
            </w:r>
          </w:p>
          <w:p w14:paraId="3A8E32FD" w14:textId="77777777" w:rsidR="009D16D4" w:rsidRPr="001444DD" w:rsidRDefault="009D16D4" w:rsidP="00EE7468">
            <w:pPr>
              <w:pStyle w:val="Tableaugauchefranais"/>
              <w:ind w:left="74" w:right="642"/>
              <w:jc w:val="both"/>
            </w:pPr>
          </w:p>
          <w:p w14:paraId="7C46DCE3" w14:textId="77777777" w:rsidR="009D16D4" w:rsidRPr="001444DD" w:rsidRDefault="009D16D4" w:rsidP="00EE7468">
            <w:pPr>
              <w:pStyle w:val="Tableaugauchefranais"/>
              <w:ind w:left="74" w:right="642"/>
              <w:jc w:val="both"/>
            </w:pPr>
            <w:r w:rsidRPr="001444DD">
              <w:t>3°  la catégorie des personnes en séjour temporaire pour traitement médical.</w:t>
            </w:r>
          </w:p>
          <w:p w14:paraId="4594ED85" w14:textId="77777777" w:rsidR="009D16D4" w:rsidRPr="001444DD" w:rsidRDefault="009D16D4" w:rsidP="00EE7468">
            <w:pPr>
              <w:pStyle w:val="Tableaugauchefranais"/>
              <w:ind w:left="74" w:right="642"/>
              <w:jc w:val="both"/>
            </w:pPr>
          </w:p>
          <w:p w14:paraId="7D68E74C" w14:textId="52D4CFE6" w:rsidR="009D16D4" w:rsidRPr="001444DD" w:rsidRDefault="009D16D4" w:rsidP="00EE7468">
            <w:pPr>
              <w:pStyle w:val="Tableaugauchefranais"/>
              <w:ind w:left="74" w:right="642"/>
              <w:jc w:val="both"/>
            </w:pPr>
            <w:r w:rsidRPr="001444DD">
              <w:rPr>
                <w:rFonts w:cs="Arial"/>
              </w:rPr>
              <w:t>[…]</w:t>
            </w:r>
          </w:p>
          <w:p w14:paraId="3C7E4299" w14:textId="77777777" w:rsidR="009D16D4" w:rsidRPr="001444DD" w:rsidRDefault="009D16D4" w:rsidP="00EE7468">
            <w:pPr>
              <w:pStyle w:val="Tableaugauchefranais"/>
              <w:ind w:left="74" w:right="642"/>
              <w:jc w:val="both"/>
            </w:pPr>
          </w:p>
          <w:p w14:paraId="52CDC850" w14:textId="2FFB05CF" w:rsidR="009D16D4" w:rsidRPr="003C3B66" w:rsidRDefault="009D16D4" w:rsidP="00EE7468">
            <w:pPr>
              <w:pStyle w:val="Tableaugauchefranais"/>
              <w:ind w:left="74" w:right="642"/>
              <w:jc w:val="both"/>
              <w:rPr>
                <w:lang w:val="en-CA"/>
              </w:rPr>
            </w:pPr>
            <w:r w:rsidRPr="001444DD">
              <w:rPr>
                <w:b/>
                <w:bCs/>
              </w:rPr>
              <w:t>10.</w:t>
            </w:r>
            <w:r w:rsidRPr="001444DD">
              <w:t xml:space="preserve"> Un ressortissant étranger appartenant à l’une des catégories prévues aux articles 6 et 7 doit, </w:t>
            </w:r>
            <w:r w:rsidRPr="001444DD">
              <w:rPr>
                <w:u w:val="single"/>
              </w:rPr>
              <w:t>pour séjourner ou s’établir au Québec</w:t>
            </w:r>
            <w:r w:rsidRPr="001444DD">
              <w:rPr>
                <w:rFonts w:cs="Arial"/>
              </w:rPr>
              <w:t xml:space="preserve">, présenter une demande au ministre dans le cadre d’un programme d’immigration, à moins qu’il ne soit visé par une exemption établie par règlement du gouvernement. </w:t>
            </w:r>
            <w:r w:rsidRPr="003C3B66">
              <w:rPr>
                <w:rFonts w:cs="Arial"/>
                <w:lang w:val="en-CA"/>
              </w:rPr>
              <w:t>[…]</w:t>
            </w:r>
          </w:p>
          <w:p w14:paraId="266BCC16" w14:textId="7B85E70D" w:rsidR="009D16D4" w:rsidRPr="003C3B66" w:rsidRDefault="009D16D4" w:rsidP="00EE7468">
            <w:pPr>
              <w:pStyle w:val="Tableaudroiteanglais"/>
              <w:ind w:left="74" w:right="642"/>
              <w:rPr>
                <w:b/>
                <w:bCs/>
              </w:rPr>
            </w:pPr>
          </w:p>
        </w:tc>
      </w:tr>
    </w:tbl>
    <w:p w14:paraId="69CD80F9" w14:textId="46AC1ED3" w:rsidR="0072362A" w:rsidRPr="00105125" w:rsidRDefault="003C2C58" w:rsidP="00B84671">
      <w:pPr>
        <w:pStyle w:val="Paragraphe"/>
        <w:spacing w:before="240" w:line="280" w:lineRule="exact"/>
        <w:rPr>
          <w:lang w:val="en-CA"/>
        </w:rPr>
      </w:pPr>
      <w:r>
        <w:rPr>
          <w:lang w:val="en-CA"/>
        </w:rPr>
        <w:lastRenderedPageBreak/>
        <w:t xml:space="preserve">It </w:t>
      </w:r>
      <w:r w:rsidR="005D08CE">
        <w:rPr>
          <w:lang w:val="en-CA"/>
        </w:rPr>
        <w:t xml:space="preserve">is clear </w:t>
      </w:r>
      <w:r>
        <w:rPr>
          <w:lang w:val="en-CA"/>
        </w:rPr>
        <w:t>from</w:t>
      </w:r>
      <w:r w:rsidR="00E80F4F" w:rsidRPr="00105125">
        <w:rPr>
          <w:lang w:val="en-CA"/>
        </w:rPr>
        <w:t xml:space="preserve"> </w:t>
      </w:r>
      <w:r w:rsidR="00A67E42">
        <w:rPr>
          <w:lang w:val="en-CA"/>
        </w:rPr>
        <w:t>subparagraph (3) of s</w:t>
      </w:r>
      <w:r w:rsidR="00A67E42" w:rsidRPr="00105125">
        <w:rPr>
          <w:lang w:val="en-CA"/>
        </w:rPr>
        <w:t>ection 3</w:t>
      </w:r>
      <w:r w:rsidR="00E80F4F" w:rsidRPr="00105125">
        <w:rPr>
          <w:lang w:val="en-CA"/>
        </w:rPr>
        <w:t xml:space="preserve"> </w:t>
      </w:r>
      <w:r w:rsidR="00AD6235">
        <w:rPr>
          <w:lang w:val="en-CA"/>
        </w:rPr>
        <w:t xml:space="preserve">of the </w:t>
      </w:r>
      <w:r w:rsidR="00E80F4F" w:rsidRPr="00105125">
        <w:rPr>
          <w:i/>
          <w:lang w:val="en-CA"/>
        </w:rPr>
        <w:t>RCR</w:t>
      </w:r>
      <w:r w:rsidR="00E80F4F" w:rsidRPr="00105125">
        <w:rPr>
          <w:lang w:val="en-CA"/>
        </w:rPr>
        <w:t xml:space="preserve"> </w:t>
      </w:r>
      <w:r>
        <w:rPr>
          <w:lang w:val="en-CA"/>
        </w:rPr>
        <w:t xml:space="preserve">that </w:t>
      </w:r>
      <w:r w:rsidR="00E80F4F" w:rsidRPr="00105125">
        <w:rPr>
          <w:lang w:val="en-CA"/>
        </w:rPr>
        <w:t>the persons covered are those who enter the country for the purpose of staying here temporarily to work.</w:t>
      </w:r>
      <w:r w:rsidR="004A7BFD" w:rsidRPr="00105125">
        <w:rPr>
          <w:lang w:val="en-CA"/>
        </w:rPr>
        <w:t xml:space="preserve"> </w:t>
      </w:r>
      <w:r w:rsidR="00E80F4F" w:rsidRPr="00105125">
        <w:rPr>
          <w:lang w:val="en-CA"/>
        </w:rPr>
        <w:t xml:space="preserve">That provision does not apply to persons waiting for a decision on their refugee status, even though they hold a work permit, as was the case for Ms. </w:t>
      </w:r>
      <w:proofErr w:type="spellStart"/>
      <w:r w:rsidR="00E80F4F" w:rsidRPr="00105125">
        <w:rPr>
          <w:lang w:val="en-CA"/>
        </w:rPr>
        <w:t>Kanyinda</w:t>
      </w:r>
      <w:proofErr w:type="spellEnd"/>
      <w:r w:rsidR="00E80F4F" w:rsidRPr="00105125">
        <w:rPr>
          <w:lang w:val="en-CA"/>
        </w:rPr>
        <w:t>.</w:t>
      </w:r>
    </w:p>
    <w:p w14:paraId="0BD9CA38" w14:textId="1A65E62D" w:rsidR="0072362A" w:rsidRPr="00105125" w:rsidRDefault="00E80F4F" w:rsidP="00602DBB">
      <w:pPr>
        <w:pStyle w:val="Paragraphe"/>
        <w:spacing w:line="280" w:lineRule="exact"/>
        <w:rPr>
          <w:lang w:val="en-CA"/>
        </w:rPr>
      </w:pPr>
      <w:r w:rsidRPr="00105125">
        <w:rPr>
          <w:lang w:val="en-CA"/>
        </w:rPr>
        <w:t xml:space="preserve">This interpretation of </w:t>
      </w:r>
      <w:r w:rsidR="00A67E42">
        <w:rPr>
          <w:lang w:val="en-CA"/>
        </w:rPr>
        <w:t>subparagraph (3) of s</w:t>
      </w:r>
      <w:r w:rsidR="00A67E42" w:rsidRPr="00105125">
        <w:rPr>
          <w:lang w:val="en-CA"/>
        </w:rPr>
        <w:t>ection 3</w:t>
      </w:r>
      <w:r w:rsidRPr="00105125">
        <w:rPr>
          <w:lang w:val="en-CA"/>
        </w:rPr>
        <w:t xml:space="preserve"> </w:t>
      </w:r>
      <w:r w:rsidR="00AD6235">
        <w:rPr>
          <w:lang w:val="en-CA"/>
        </w:rPr>
        <w:t xml:space="preserve">of the </w:t>
      </w:r>
      <w:r w:rsidRPr="00105125">
        <w:rPr>
          <w:i/>
          <w:lang w:val="en-CA"/>
        </w:rPr>
        <w:t>RCR</w:t>
      </w:r>
      <w:r w:rsidRPr="00105125">
        <w:rPr>
          <w:lang w:val="en-CA"/>
        </w:rPr>
        <w:t xml:space="preserve"> is also consistent with the wording of </w:t>
      </w:r>
      <w:r w:rsidR="00A67E42">
        <w:rPr>
          <w:lang w:val="en-CA"/>
        </w:rPr>
        <w:t>subparagraph (5) of s</w:t>
      </w:r>
      <w:r w:rsidR="00A67E42" w:rsidRPr="00105125">
        <w:rPr>
          <w:lang w:val="en-CA"/>
        </w:rPr>
        <w:t>ection 3</w:t>
      </w:r>
      <w:r w:rsidRPr="00105125">
        <w:rPr>
          <w:lang w:val="en-CA"/>
        </w:rPr>
        <w:t xml:space="preserve"> </w:t>
      </w:r>
      <w:r w:rsidR="00AD6235">
        <w:rPr>
          <w:lang w:val="en-CA"/>
        </w:rPr>
        <w:t xml:space="preserve">of the </w:t>
      </w:r>
      <w:r w:rsidRPr="00105125">
        <w:rPr>
          <w:i/>
          <w:lang w:val="en-CA"/>
        </w:rPr>
        <w:t>RCR</w:t>
      </w:r>
      <w:r w:rsidRPr="00105125">
        <w:rPr>
          <w:lang w:val="en-CA"/>
        </w:rPr>
        <w:t>, which applies to refugees.</w:t>
      </w:r>
      <w:r w:rsidR="004A7BFD" w:rsidRPr="00105125">
        <w:rPr>
          <w:lang w:val="en-CA"/>
        </w:rPr>
        <w:t xml:space="preserve"> </w:t>
      </w:r>
      <w:r w:rsidR="00B22A9B">
        <w:rPr>
          <w:lang w:val="en-CA"/>
        </w:rPr>
        <w:t xml:space="preserve">For </w:t>
      </w:r>
      <w:r w:rsidR="00C2660E" w:rsidRPr="00C2660E">
        <w:rPr>
          <w:lang w:val="en-CA"/>
        </w:rPr>
        <w:t xml:space="preserve">refugee claimants </w:t>
      </w:r>
      <w:r w:rsidR="00B22A9B">
        <w:rPr>
          <w:lang w:val="en-CA"/>
        </w:rPr>
        <w:t>to be</w:t>
      </w:r>
      <w:r w:rsidR="00B22A9B" w:rsidRPr="00C2660E">
        <w:rPr>
          <w:lang w:val="en-CA"/>
        </w:rPr>
        <w:t xml:space="preserve"> </w:t>
      </w:r>
      <w:r w:rsidR="00C2660E" w:rsidRPr="00C2660E">
        <w:rPr>
          <w:lang w:val="en-CA"/>
        </w:rPr>
        <w:t>eligible for the reduced contribution</w:t>
      </w:r>
      <w:r w:rsidR="00C633AE">
        <w:rPr>
          <w:lang w:val="en-CA"/>
        </w:rPr>
        <w:t>, it w</w:t>
      </w:r>
      <w:r w:rsidR="00647DEB">
        <w:rPr>
          <w:lang w:val="en-CA"/>
        </w:rPr>
        <w:t xml:space="preserve">ould have to have been </w:t>
      </w:r>
      <w:r w:rsidR="00C633AE">
        <w:rPr>
          <w:lang w:val="en-CA"/>
        </w:rPr>
        <w:t xml:space="preserve">expressly </w:t>
      </w:r>
      <w:r w:rsidR="00647DEB">
        <w:rPr>
          <w:lang w:val="en-CA"/>
        </w:rPr>
        <w:t>stated</w:t>
      </w:r>
      <w:r w:rsidRPr="00105125">
        <w:rPr>
          <w:lang w:val="en-CA"/>
        </w:rPr>
        <w:t xml:space="preserve">. </w:t>
      </w:r>
      <w:r w:rsidR="00A67E42">
        <w:rPr>
          <w:lang w:val="en-CA"/>
        </w:rPr>
        <w:t>Subparagraph (5) of s</w:t>
      </w:r>
      <w:r w:rsidR="00A67E42" w:rsidRPr="00105125">
        <w:rPr>
          <w:lang w:val="en-CA"/>
        </w:rPr>
        <w:t>ection 3</w:t>
      </w:r>
      <w:r w:rsidRPr="00105125">
        <w:rPr>
          <w:lang w:val="en-CA"/>
        </w:rPr>
        <w:t xml:space="preserve"> </w:t>
      </w:r>
      <w:r w:rsidR="00AD6235">
        <w:rPr>
          <w:lang w:val="en-CA"/>
        </w:rPr>
        <w:t xml:space="preserve">of the </w:t>
      </w:r>
      <w:r w:rsidRPr="00105125">
        <w:rPr>
          <w:i/>
          <w:lang w:val="en-CA"/>
        </w:rPr>
        <w:t>RCR</w:t>
      </w:r>
      <w:r w:rsidRPr="00105125">
        <w:rPr>
          <w:lang w:val="en-CA"/>
        </w:rPr>
        <w:t xml:space="preserve"> as worded cannot include this category of persons.</w:t>
      </w:r>
    </w:p>
    <w:p w14:paraId="3D2F8030" w14:textId="53357269" w:rsidR="0072362A" w:rsidRPr="00105125" w:rsidRDefault="00E80F4F" w:rsidP="00602DBB">
      <w:pPr>
        <w:pStyle w:val="Paragraphe"/>
        <w:spacing w:line="280" w:lineRule="exact"/>
        <w:rPr>
          <w:lang w:val="en-CA"/>
        </w:rPr>
      </w:pPr>
      <w:r w:rsidRPr="00105125">
        <w:rPr>
          <w:lang w:val="en-CA"/>
        </w:rPr>
        <w:lastRenderedPageBreak/>
        <w:t xml:space="preserve">Nor do I accept the CDPDJ’s argument that the </w:t>
      </w:r>
      <w:r w:rsidRPr="00105125">
        <w:rPr>
          <w:i/>
          <w:lang w:val="en-CA"/>
        </w:rPr>
        <w:t>RCR</w:t>
      </w:r>
      <w:r w:rsidRPr="00105125">
        <w:rPr>
          <w:lang w:val="en-CA"/>
        </w:rPr>
        <w:t xml:space="preserve"> calls for </w:t>
      </w:r>
      <w:r w:rsidR="00EB49EF">
        <w:rPr>
          <w:lang w:val="en-CA"/>
        </w:rPr>
        <w:t>the application</w:t>
      </w:r>
      <w:r w:rsidRPr="00105125">
        <w:rPr>
          <w:lang w:val="en-CA"/>
        </w:rPr>
        <w:t xml:space="preserve"> of discretion.</w:t>
      </w:r>
      <w:r w:rsidR="004A7BFD" w:rsidRPr="00105125">
        <w:rPr>
          <w:lang w:val="en-CA"/>
        </w:rPr>
        <w:t xml:space="preserve"> </w:t>
      </w:r>
      <w:r w:rsidR="00A67E42">
        <w:rPr>
          <w:lang w:val="en-CA"/>
        </w:rPr>
        <w:t>Subparagraph (3) of s</w:t>
      </w:r>
      <w:r w:rsidR="00A67E42" w:rsidRPr="00105125">
        <w:rPr>
          <w:lang w:val="en-CA"/>
        </w:rPr>
        <w:t>ection 3</w:t>
      </w:r>
      <w:r w:rsidRPr="00105125">
        <w:rPr>
          <w:lang w:val="en-CA"/>
        </w:rPr>
        <w:t xml:space="preserve"> </w:t>
      </w:r>
      <w:r w:rsidR="00AD6235">
        <w:rPr>
          <w:lang w:val="en-CA"/>
        </w:rPr>
        <w:t xml:space="preserve">of the </w:t>
      </w:r>
      <w:r w:rsidRPr="00105125">
        <w:rPr>
          <w:i/>
          <w:iCs/>
          <w:lang w:val="en-CA"/>
        </w:rPr>
        <w:t>RCR</w:t>
      </w:r>
      <w:r w:rsidRPr="00105125">
        <w:rPr>
          <w:lang w:val="en-CA"/>
        </w:rPr>
        <w:t xml:space="preserve"> must be interpreted and does not grant a discretionary power.</w:t>
      </w:r>
      <w:r w:rsidR="004A7BFD" w:rsidRPr="00105125">
        <w:rPr>
          <w:lang w:val="en-CA"/>
        </w:rPr>
        <w:t xml:space="preserve"> </w:t>
      </w:r>
      <w:r w:rsidRPr="00105125">
        <w:rPr>
          <w:lang w:val="en-CA"/>
        </w:rPr>
        <w:t xml:space="preserve">The </w:t>
      </w:r>
      <w:proofErr w:type="spellStart"/>
      <w:r w:rsidRPr="00105125">
        <w:rPr>
          <w:lang w:val="en-CA"/>
        </w:rPr>
        <w:t>Ministère</w:t>
      </w:r>
      <w:proofErr w:type="spellEnd"/>
      <w:r w:rsidRPr="00105125">
        <w:rPr>
          <w:lang w:val="en-CA"/>
        </w:rPr>
        <w:t xml:space="preserve"> </w:t>
      </w:r>
      <w:r w:rsidR="00D733FA">
        <w:rPr>
          <w:lang w:val="en-CA"/>
        </w:rPr>
        <w:t xml:space="preserve">did </w:t>
      </w:r>
      <w:r w:rsidRPr="00105125">
        <w:rPr>
          <w:lang w:val="en-CA"/>
        </w:rPr>
        <w:t xml:space="preserve">consider </w:t>
      </w:r>
      <w:r w:rsidR="003E23AC" w:rsidRPr="00105125">
        <w:rPr>
          <w:lang w:val="en-CA"/>
        </w:rPr>
        <w:t>refugee claimants</w:t>
      </w:r>
      <w:r w:rsidRPr="00105125">
        <w:rPr>
          <w:lang w:val="en-CA"/>
        </w:rPr>
        <w:t xml:space="preserve"> </w:t>
      </w:r>
      <w:r w:rsidR="00D733FA">
        <w:rPr>
          <w:lang w:val="en-CA"/>
        </w:rPr>
        <w:t xml:space="preserve">as </w:t>
      </w:r>
      <w:r w:rsidRPr="00105125">
        <w:rPr>
          <w:lang w:val="en-CA"/>
        </w:rPr>
        <w:t>eligible for the reduced contribution from 2015 to 2018 but excluded them starting in 2018 without amending the text.</w:t>
      </w:r>
      <w:r w:rsidR="004A7BFD" w:rsidRPr="00105125">
        <w:rPr>
          <w:lang w:val="en-CA"/>
        </w:rPr>
        <w:t xml:space="preserve"> </w:t>
      </w:r>
      <w:r w:rsidR="00EB49EF">
        <w:rPr>
          <w:lang w:val="en-CA"/>
        </w:rPr>
        <w:t xml:space="preserve">It </w:t>
      </w:r>
      <w:r w:rsidR="00647DEB">
        <w:rPr>
          <w:lang w:val="en-CA"/>
        </w:rPr>
        <w:t>wa</w:t>
      </w:r>
      <w:r w:rsidR="00EB49EF">
        <w:rPr>
          <w:lang w:val="en-CA"/>
        </w:rPr>
        <w:t>s an</w:t>
      </w:r>
      <w:r w:rsidR="00EB49EF" w:rsidRPr="00105125">
        <w:rPr>
          <w:lang w:val="en-CA"/>
        </w:rPr>
        <w:t xml:space="preserve"> </w:t>
      </w:r>
      <w:r w:rsidRPr="00105125">
        <w:rPr>
          <w:lang w:val="en-CA"/>
        </w:rPr>
        <w:t xml:space="preserve">interpretation of section 3 </w:t>
      </w:r>
      <w:r w:rsidR="00AD6235">
        <w:rPr>
          <w:lang w:val="en-CA"/>
        </w:rPr>
        <w:t xml:space="preserve">of the </w:t>
      </w:r>
      <w:r w:rsidRPr="00105125">
        <w:rPr>
          <w:i/>
          <w:lang w:val="en-CA"/>
        </w:rPr>
        <w:t>RCR</w:t>
      </w:r>
      <w:r w:rsidRPr="00105125">
        <w:rPr>
          <w:lang w:val="en-CA"/>
        </w:rPr>
        <w:t xml:space="preserve"> </w:t>
      </w:r>
      <w:r w:rsidR="00EB49EF">
        <w:rPr>
          <w:lang w:val="en-CA"/>
        </w:rPr>
        <w:t xml:space="preserve">that </w:t>
      </w:r>
      <w:r w:rsidRPr="00105125">
        <w:rPr>
          <w:lang w:val="en-CA"/>
        </w:rPr>
        <w:t>has varied over time.</w:t>
      </w:r>
    </w:p>
    <w:p w14:paraId="625593F7" w14:textId="0095E514" w:rsidR="0072362A" w:rsidRPr="00105125" w:rsidRDefault="00E80F4F" w:rsidP="00602DBB">
      <w:pPr>
        <w:pStyle w:val="Paragraphe"/>
        <w:spacing w:line="280" w:lineRule="exact"/>
        <w:rPr>
          <w:lang w:val="en-CA"/>
        </w:rPr>
      </w:pPr>
      <w:r w:rsidRPr="00105125">
        <w:rPr>
          <w:lang w:val="en-CA"/>
        </w:rPr>
        <w:t xml:space="preserve">In short, the government established eligibility requirements for </w:t>
      </w:r>
      <w:r w:rsidR="00D733FA">
        <w:rPr>
          <w:lang w:val="en-CA"/>
        </w:rPr>
        <w:t xml:space="preserve">the </w:t>
      </w:r>
      <w:r w:rsidRPr="00105125">
        <w:rPr>
          <w:lang w:val="en-CA"/>
        </w:rPr>
        <w:t>reduced contribution.</w:t>
      </w:r>
      <w:r w:rsidR="004A7BFD" w:rsidRPr="00105125">
        <w:rPr>
          <w:lang w:val="en-CA"/>
        </w:rPr>
        <w:t xml:space="preserve"> </w:t>
      </w:r>
      <w:r w:rsidRPr="00105125">
        <w:rPr>
          <w:lang w:val="en-CA"/>
        </w:rPr>
        <w:t xml:space="preserve">As stated above, to be eligible, a person must be covered by one of the </w:t>
      </w:r>
      <w:r w:rsidR="00A67E42">
        <w:rPr>
          <w:lang w:val="en-CA"/>
        </w:rPr>
        <w:t>sub</w:t>
      </w:r>
      <w:r w:rsidRPr="00105125">
        <w:rPr>
          <w:lang w:val="en-CA"/>
        </w:rPr>
        <w:t xml:space="preserve">paragraphs in section 3 </w:t>
      </w:r>
      <w:r w:rsidR="00AD6235">
        <w:rPr>
          <w:lang w:val="en-CA"/>
        </w:rPr>
        <w:t xml:space="preserve">of the </w:t>
      </w:r>
      <w:r w:rsidRPr="00105125">
        <w:rPr>
          <w:i/>
          <w:lang w:val="en-CA"/>
        </w:rPr>
        <w:t>RCR</w:t>
      </w:r>
      <w:r w:rsidRPr="00105125">
        <w:rPr>
          <w:lang w:val="en-CA"/>
        </w:rPr>
        <w:t xml:space="preserve">. </w:t>
      </w:r>
      <w:r w:rsidR="00D733FA">
        <w:rPr>
          <w:lang w:val="en-CA"/>
        </w:rPr>
        <w:t>T</w:t>
      </w:r>
      <w:r w:rsidRPr="00105125">
        <w:rPr>
          <w:lang w:val="en-CA"/>
        </w:rPr>
        <w:t xml:space="preserve">he terms used in </w:t>
      </w:r>
      <w:r w:rsidR="00A67E42">
        <w:rPr>
          <w:lang w:val="en-CA"/>
        </w:rPr>
        <w:t>subparagraph (3) of s</w:t>
      </w:r>
      <w:r w:rsidR="00A67E42" w:rsidRPr="00105125">
        <w:rPr>
          <w:lang w:val="en-CA"/>
        </w:rPr>
        <w:t>ection 3</w:t>
      </w:r>
      <w:r w:rsidRPr="00105125">
        <w:rPr>
          <w:lang w:val="en-CA"/>
        </w:rPr>
        <w:t xml:space="preserve"> </w:t>
      </w:r>
      <w:r w:rsidR="00AD6235">
        <w:rPr>
          <w:lang w:val="en-CA"/>
        </w:rPr>
        <w:t xml:space="preserve">of the </w:t>
      </w:r>
      <w:r w:rsidRPr="00105125">
        <w:rPr>
          <w:i/>
          <w:lang w:val="en-CA"/>
        </w:rPr>
        <w:t>RCR</w:t>
      </w:r>
      <w:r w:rsidR="00D733FA">
        <w:rPr>
          <w:iCs/>
          <w:lang w:val="en-CA"/>
        </w:rPr>
        <w:t>, however,</w:t>
      </w:r>
      <w:r w:rsidRPr="00105125">
        <w:rPr>
          <w:lang w:val="en-CA"/>
        </w:rPr>
        <w:t xml:space="preserve"> do not grant discretion to recognize </w:t>
      </w:r>
      <w:r w:rsidR="003E23AC" w:rsidRPr="00105125">
        <w:rPr>
          <w:lang w:val="en-CA"/>
        </w:rPr>
        <w:t>refugee claimants</w:t>
      </w:r>
      <w:r w:rsidRPr="00105125">
        <w:rPr>
          <w:lang w:val="en-CA"/>
        </w:rPr>
        <w:t xml:space="preserve"> whose refugee status has not been officially recognized under the </w:t>
      </w:r>
      <w:r w:rsidRPr="00105125">
        <w:rPr>
          <w:i/>
          <w:lang w:val="en-CA"/>
        </w:rPr>
        <w:t>IRPA</w:t>
      </w:r>
      <w:r w:rsidRPr="00105125">
        <w:rPr>
          <w:lang w:val="en-CA"/>
        </w:rPr>
        <w:t xml:space="preserve"> as eligible for the reduced contribution.</w:t>
      </w:r>
      <w:r w:rsidR="004A7BFD" w:rsidRPr="00105125">
        <w:rPr>
          <w:lang w:val="en-CA"/>
        </w:rPr>
        <w:t xml:space="preserve"> </w:t>
      </w:r>
      <w:r w:rsidRPr="00105125">
        <w:rPr>
          <w:lang w:val="en-CA"/>
        </w:rPr>
        <w:t>These requirements are established by regulation and must be complied with by those responsible for its application.</w:t>
      </w:r>
    </w:p>
    <w:p w14:paraId="081A6577" w14:textId="1348490B" w:rsidR="0072362A" w:rsidRPr="00105125" w:rsidRDefault="00E80F4F" w:rsidP="00602DBB">
      <w:pPr>
        <w:pStyle w:val="Titre2"/>
        <w:rPr>
          <w:b w:val="0"/>
          <w:bCs/>
          <w:i w:val="0"/>
          <w:lang w:val="en-CA"/>
        </w:rPr>
      </w:pPr>
      <w:r w:rsidRPr="00105125">
        <w:rPr>
          <w:b w:val="0"/>
          <w:bCs/>
          <w:lang w:val="en-CA"/>
        </w:rPr>
        <w:t>Discrimination</w:t>
      </w:r>
      <w:r w:rsidR="00C95422">
        <w:rPr>
          <w:b w:val="0"/>
          <w:bCs/>
          <w:lang w:val="en-CA"/>
        </w:rPr>
        <w:t xml:space="preserve"> </w:t>
      </w:r>
      <w:r w:rsidR="00C95422" w:rsidRPr="00C95422">
        <w:rPr>
          <w:b w:val="0"/>
          <w:bCs/>
          <w:kern w:val="24"/>
          <w:szCs w:val="22"/>
          <w:lang w:val="en-CA"/>
        </w:rPr>
        <w:t>in the administrative law sense</w:t>
      </w:r>
      <w:r w:rsidRPr="00C95422">
        <w:rPr>
          <w:b w:val="0"/>
          <w:bCs/>
          <w:sz w:val="28"/>
          <w:szCs w:val="22"/>
          <w:lang w:val="en-CA"/>
        </w:rPr>
        <w:t xml:space="preserve"> </w:t>
      </w:r>
    </w:p>
    <w:p w14:paraId="77B34DEF" w14:textId="305E979F" w:rsidR="0072362A" w:rsidRPr="00105125" w:rsidRDefault="00A856EC" w:rsidP="00602DBB">
      <w:pPr>
        <w:pStyle w:val="Paragraphe"/>
        <w:spacing w:line="280" w:lineRule="exact"/>
        <w:rPr>
          <w:lang w:val="en-CA"/>
        </w:rPr>
      </w:pPr>
      <w:r w:rsidRPr="00105125">
        <w:rPr>
          <w:lang w:val="en-CA"/>
        </w:rPr>
        <w:t xml:space="preserve">I must now determine whether the distinctions relating to immigration status introduced by section 3 </w:t>
      </w:r>
      <w:r w:rsidR="00AD6235">
        <w:rPr>
          <w:lang w:val="en-CA"/>
        </w:rPr>
        <w:t xml:space="preserve">of the </w:t>
      </w:r>
      <w:r w:rsidRPr="00105125">
        <w:rPr>
          <w:i/>
          <w:lang w:val="en-CA"/>
        </w:rPr>
        <w:t>RCR</w:t>
      </w:r>
      <w:r w:rsidRPr="00105125">
        <w:rPr>
          <w:lang w:val="en-CA"/>
        </w:rPr>
        <w:t xml:space="preserve"> are rationally justified in light of the enabling provision and legislative objective.</w:t>
      </w:r>
      <w:r w:rsidR="004A7BFD" w:rsidRPr="00105125">
        <w:rPr>
          <w:lang w:val="en-CA"/>
        </w:rPr>
        <w:t xml:space="preserve"> </w:t>
      </w:r>
      <w:r w:rsidRPr="00105125">
        <w:rPr>
          <w:lang w:val="en-CA"/>
        </w:rPr>
        <w:t xml:space="preserve">In other words, is section 3 </w:t>
      </w:r>
      <w:r w:rsidR="00AD6235">
        <w:rPr>
          <w:lang w:val="en-CA"/>
        </w:rPr>
        <w:t xml:space="preserve">of the </w:t>
      </w:r>
      <w:r w:rsidRPr="00105125">
        <w:rPr>
          <w:i/>
          <w:lang w:val="en-CA"/>
        </w:rPr>
        <w:t>RCR</w:t>
      </w:r>
      <w:r w:rsidRPr="00105125">
        <w:rPr>
          <w:lang w:val="en-CA"/>
        </w:rPr>
        <w:t xml:space="preserve"> discriminatory </w:t>
      </w:r>
      <w:r w:rsidR="00AD6235">
        <w:rPr>
          <w:lang w:val="en-CA"/>
        </w:rPr>
        <w:t>in the administrative law sense</w:t>
      </w:r>
      <w:r w:rsidRPr="00105125">
        <w:rPr>
          <w:lang w:val="en-CA"/>
        </w:rPr>
        <w:t>?</w:t>
      </w:r>
    </w:p>
    <w:p w14:paraId="34C1C382" w14:textId="12545113" w:rsidR="0072362A" w:rsidRPr="00105125" w:rsidRDefault="00A856EC" w:rsidP="00602DBB">
      <w:pPr>
        <w:pStyle w:val="Paragraphe"/>
        <w:spacing w:line="280" w:lineRule="exact"/>
        <w:rPr>
          <w:lang w:val="en-CA"/>
        </w:rPr>
      </w:pPr>
      <w:r w:rsidRPr="00105125">
        <w:rPr>
          <w:lang w:val="en-CA"/>
        </w:rPr>
        <w:t xml:space="preserve">The judge did not </w:t>
      </w:r>
      <w:r w:rsidR="00916707">
        <w:rPr>
          <w:lang w:val="en-CA"/>
        </w:rPr>
        <w:t>rule on</w:t>
      </w:r>
      <w:r w:rsidRPr="00105125">
        <w:rPr>
          <w:lang w:val="en-CA"/>
        </w:rPr>
        <w:t xml:space="preserve"> this issue raised by Ms. </w:t>
      </w:r>
      <w:proofErr w:type="spellStart"/>
      <w:r w:rsidRPr="00105125">
        <w:rPr>
          <w:lang w:val="en-CA"/>
        </w:rPr>
        <w:t>Kanyinda</w:t>
      </w:r>
      <w:proofErr w:type="spellEnd"/>
      <w:r w:rsidRPr="00105125">
        <w:rPr>
          <w:lang w:val="en-CA"/>
        </w:rPr>
        <w:t xml:space="preserve"> at trial.</w:t>
      </w:r>
    </w:p>
    <w:p w14:paraId="08762B78" w14:textId="091ADB40" w:rsidR="0072362A" w:rsidRPr="00105125" w:rsidRDefault="00A856EC" w:rsidP="00602DBB">
      <w:pPr>
        <w:pStyle w:val="Paragraphe"/>
        <w:spacing w:line="280" w:lineRule="exact"/>
        <w:rPr>
          <w:lang w:val="en-CA"/>
        </w:rPr>
      </w:pPr>
      <w:r w:rsidRPr="00105125">
        <w:rPr>
          <w:lang w:val="en-CA"/>
        </w:rPr>
        <w:t xml:space="preserve">The AGQ argues that the very purpose of the power delegated by the legislature </w:t>
      </w:r>
      <w:r w:rsidR="00470F85">
        <w:rPr>
          <w:lang w:val="en-CA"/>
        </w:rPr>
        <w:t xml:space="preserve">allows </w:t>
      </w:r>
      <w:r w:rsidRPr="00105125">
        <w:rPr>
          <w:lang w:val="en-CA"/>
        </w:rPr>
        <w:t>distinctions</w:t>
      </w:r>
      <w:r w:rsidR="00470F85">
        <w:rPr>
          <w:lang w:val="en-CA"/>
        </w:rPr>
        <w:t xml:space="preserve"> to be made</w:t>
      </w:r>
      <w:r w:rsidRPr="00105125">
        <w:rPr>
          <w:lang w:val="en-CA"/>
        </w:rPr>
        <w:t xml:space="preserve"> between parents who are eligible and those who are not.</w:t>
      </w:r>
      <w:r w:rsidR="004A7BFD" w:rsidRPr="00105125">
        <w:rPr>
          <w:lang w:val="en-CA"/>
        </w:rPr>
        <w:t xml:space="preserve"> </w:t>
      </w:r>
      <w:r w:rsidR="00DF206B" w:rsidRPr="00105125">
        <w:rPr>
          <w:lang w:val="en-CA"/>
        </w:rPr>
        <w:t xml:space="preserve">In fact, the enabling statute grants the government </w:t>
      </w:r>
      <w:r w:rsidR="000777CC">
        <w:rPr>
          <w:lang w:val="en-CA"/>
        </w:rPr>
        <w:t xml:space="preserve">considerable </w:t>
      </w:r>
      <w:r w:rsidR="00DF206B" w:rsidRPr="00105125">
        <w:rPr>
          <w:lang w:val="en-CA"/>
        </w:rPr>
        <w:t>discretion to make distinctions based on legitimate policy choices between different categories of persons.</w:t>
      </w:r>
      <w:r w:rsidR="004A7BFD" w:rsidRPr="00105125">
        <w:rPr>
          <w:lang w:val="en-CA"/>
        </w:rPr>
        <w:t xml:space="preserve"> </w:t>
      </w:r>
      <w:r w:rsidR="00DF206B" w:rsidRPr="00105125">
        <w:rPr>
          <w:lang w:val="en-CA"/>
        </w:rPr>
        <w:t xml:space="preserve">Consequently, the distinctions based on immigration status in section 3 </w:t>
      </w:r>
      <w:r w:rsidR="00AD6235">
        <w:rPr>
          <w:lang w:val="en-CA"/>
        </w:rPr>
        <w:t xml:space="preserve">of the </w:t>
      </w:r>
      <w:r w:rsidR="00DF206B" w:rsidRPr="00105125">
        <w:rPr>
          <w:i/>
          <w:lang w:val="en-CA"/>
        </w:rPr>
        <w:t>RCR</w:t>
      </w:r>
      <w:r w:rsidR="00DF206B" w:rsidRPr="00105125">
        <w:rPr>
          <w:lang w:val="en-CA"/>
        </w:rPr>
        <w:t xml:space="preserve"> are reasonable, justified, and consistent with the discretion granted by the legislature.</w:t>
      </w:r>
    </w:p>
    <w:p w14:paraId="386E5AE2" w14:textId="1AAE5FC6" w:rsidR="0072362A" w:rsidRPr="00105125" w:rsidRDefault="00DF206B" w:rsidP="00602DBB">
      <w:pPr>
        <w:pStyle w:val="Paragraphe"/>
        <w:spacing w:line="280" w:lineRule="exact"/>
        <w:rPr>
          <w:lang w:val="en-CA"/>
        </w:rPr>
      </w:pPr>
      <w:r w:rsidRPr="00105125">
        <w:rPr>
          <w:lang w:val="en-CA"/>
        </w:rPr>
        <w:t xml:space="preserve">Ms. </w:t>
      </w:r>
      <w:proofErr w:type="spellStart"/>
      <w:r w:rsidRPr="00105125">
        <w:rPr>
          <w:lang w:val="en-CA"/>
        </w:rPr>
        <w:t>Kanyinda</w:t>
      </w:r>
      <w:proofErr w:type="spellEnd"/>
      <w:r w:rsidRPr="00105125">
        <w:rPr>
          <w:lang w:val="en-CA"/>
        </w:rPr>
        <w:t xml:space="preserve"> argues that the </w:t>
      </w:r>
      <w:r w:rsidR="005B2B86">
        <w:rPr>
          <w:lang w:val="en-CA"/>
        </w:rPr>
        <w:t>authority</w:t>
      </w:r>
      <w:r w:rsidR="005B2B86" w:rsidRPr="00105125">
        <w:rPr>
          <w:lang w:val="en-CA"/>
        </w:rPr>
        <w:t xml:space="preserve"> </w:t>
      </w:r>
      <w:r w:rsidRPr="00105125">
        <w:rPr>
          <w:lang w:val="en-CA"/>
        </w:rPr>
        <w:t>to make regulations does not authorize the enactment of discriminatory provisions, except where “the discrimination is a necessary incident to exercising the power delegated by the province”.</w:t>
      </w:r>
      <w:bookmarkStart w:id="17" w:name="_Ref152678363"/>
      <w:r w:rsidRPr="00105125">
        <w:rPr>
          <w:rStyle w:val="Appelnotedebasdep"/>
          <w:lang w:val="en-CA"/>
        </w:rPr>
        <w:footnoteReference w:id="34"/>
      </w:r>
      <w:bookmarkEnd w:id="17"/>
      <w:r w:rsidR="004A7BFD" w:rsidRPr="00105125">
        <w:rPr>
          <w:lang w:val="en-CA"/>
        </w:rPr>
        <w:t xml:space="preserve"> </w:t>
      </w:r>
      <w:r w:rsidRPr="00105125">
        <w:rPr>
          <w:lang w:val="en-CA"/>
        </w:rPr>
        <w:t xml:space="preserve">No </w:t>
      </w:r>
      <w:r w:rsidR="00916707">
        <w:rPr>
          <w:lang w:val="en-CA"/>
        </w:rPr>
        <w:t xml:space="preserve">statutory </w:t>
      </w:r>
      <w:r w:rsidRPr="00105125">
        <w:rPr>
          <w:lang w:val="en-CA"/>
        </w:rPr>
        <w:t xml:space="preserve">authorization, however, </w:t>
      </w:r>
      <w:r w:rsidR="00916707">
        <w:rPr>
          <w:lang w:val="en-CA"/>
        </w:rPr>
        <w:t>allows</w:t>
      </w:r>
      <w:r w:rsidRPr="00105125">
        <w:rPr>
          <w:lang w:val="en-CA"/>
        </w:rPr>
        <w:t xml:space="preserve"> the government to determine by regulation the eligibility </w:t>
      </w:r>
      <w:r w:rsidR="00916707">
        <w:rPr>
          <w:lang w:val="en-CA"/>
        </w:rPr>
        <w:t xml:space="preserve">conditions </w:t>
      </w:r>
      <w:r w:rsidRPr="00105125">
        <w:rPr>
          <w:lang w:val="en-CA"/>
        </w:rPr>
        <w:t>for the reduced contribution.</w:t>
      </w:r>
      <w:r w:rsidR="004A7BFD" w:rsidRPr="00105125">
        <w:rPr>
          <w:lang w:val="en-CA"/>
        </w:rPr>
        <w:t xml:space="preserve"> </w:t>
      </w:r>
      <w:r w:rsidRPr="00105125">
        <w:rPr>
          <w:lang w:val="en-CA"/>
        </w:rPr>
        <w:t xml:space="preserve">The </w:t>
      </w:r>
      <w:r w:rsidRPr="00105125">
        <w:rPr>
          <w:i/>
          <w:lang w:val="en-CA"/>
        </w:rPr>
        <w:t>ECA</w:t>
      </w:r>
      <w:r w:rsidRPr="00105125">
        <w:rPr>
          <w:lang w:val="en-CA"/>
        </w:rPr>
        <w:t xml:space="preserve"> does not authorize or </w:t>
      </w:r>
      <w:r w:rsidR="00916707" w:rsidRPr="00105125">
        <w:rPr>
          <w:lang w:val="en-CA"/>
        </w:rPr>
        <w:t xml:space="preserve">necessarily </w:t>
      </w:r>
      <w:r w:rsidRPr="00105125">
        <w:rPr>
          <w:lang w:val="en-CA"/>
        </w:rPr>
        <w:t>involve the establishment of distinctions between different categories of persons in this matter.</w:t>
      </w:r>
      <w:r w:rsidR="004A7BFD" w:rsidRPr="00105125">
        <w:rPr>
          <w:lang w:val="en-CA"/>
        </w:rPr>
        <w:t xml:space="preserve"> </w:t>
      </w:r>
      <w:r w:rsidRPr="00105125">
        <w:rPr>
          <w:lang w:val="en-CA"/>
        </w:rPr>
        <w:t xml:space="preserve">Section 3 </w:t>
      </w:r>
      <w:r w:rsidR="00AD6235">
        <w:rPr>
          <w:lang w:val="en-CA"/>
        </w:rPr>
        <w:t xml:space="preserve">of the </w:t>
      </w:r>
      <w:r w:rsidRPr="00105125">
        <w:rPr>
          <w:i/>
          <w:lang w:val="en-CA"/>
        </w:rPr>
        <w:t>RCR</w:t>
      </w:r>
      <w:r w:rsidRPr="00105125">
        <w:rPr>
          <w:lang w:val="en-CA"/>
        </w:rPr>
        <w:t xml:space="preserve"> is therefore discriminatory </w:t>
      </w:r>
      <w:r w:rsidR="00AD6235">
        <w:rPr>
          <w:lang w:val="en-CA"/>
        </w:rPr>
        <w:t xml:space="preserve">in the administrative law sense </w:t>
      </w:r>
      <w:r w:rsidRPr="00105125">
        <w:rPr>
          <w:lang w:val="en-CA"/>
        </w:rPr>
        <w:t>and is illegal.</w:t>
      </w:r>
    </w:p>
    <w:p w14:paraId="7CA16418" w14:textId="105EFE4B" w:rsidR="0072362A" w:rsidRPr="00105125" w:rsidRDefault="00DF206B" w:rsidP="00602DBB">
      <w:pPr>
        <w:pStyle w:val="Paragraphe"/>
        <w:spacing w:line="280" w:lineRule="exact"/>
        <w:rPr>
          <w:lang w:val="en-CA"/>
        </w:rPr>
      </w:pPr>
      <w:r w:rsidRPr="00105125">
        <w:rPr>
          <w:lang w:val="en-CA"/>
        </w:rPr>
        <w:lastRenderedPageBreak/>
        <w:t>In regulatory matters, the notion of administrative discrimination</w:t>
      </w:r>
      <w:r w:rsidR="0089028A">
        <w:rPr>
          <w:lang w:val="en-CA"/>
        </w:rPr>
        <w:t xml:space="preserve"> presupposes</w:t>
      </w:r>
      <w:r w:rsidRPr="00105125">
        <w:rPr>
          <w:lang w:val="en-CA"/>
        </w:rPr>
        <w:t xml:space="preserve"> a distinction between categories of persons or </w:t>
      </w:r>
      <w:r w:rsidR="00916707">
        <w:rPr>
          <w:lang w:val="en-CA"/>
        </w:rPr>
        <w:t>circumstances</w:t>
      </w:r>
      <w:r w:rsidRPr="00105125">
        <w:rPr>
          <w:lang w:val="en-CA"/>
        </w:rPr>
        <w:t xml:space="preserve"> that is not rationally justifiable with respect to the terms and public interest purpose of the enabling statute.</w:t>
      </w:r>
      <w:r w:rsidRPr="00105125">
        <w:rPr>
          <w:rStyle w:val="Appelnotedebasdep"/>
          <w:lang w:val="en-CA"/>
        </w:rPr>
        <w:footnoteReference w:id="35"/>
      </w:r>
      <w:r w:rsidR="004A7BFD" w:rsidRPr="00105125">
        <w:rPr>
          <w:lang w:val="en-CA"/>
        </w:rPr>
        <w:t xml:space="preserve"> </w:t>
      </w:r>
      <w:r w:rsidRPr="00105125">
        <w:rPr>
          <w:lang w:val="en-CA"/>
        </w:rPr>
        <w:t xml:space="preserve">It </w:t>
      </w:r>
      <w:r w:rsidR="00FA71BB">
        <w:rPr>
          <w:lang w:val="en-CA"/>
        </w:rPr>
        <w:t>differs</w:t>
      </w:r>
      <w:r w:rsidRPr="00105125">
        <w:rPr>
          <w:lang w:val="en-CA"/>
        </w:rPr>
        <w:t>, however, from discrimination in</w:t>
      </w:r>
      <w:r w:rsidR="00FA71BB">
        <w:rPr>
          <w:lang w:val="en-CA"/>
        </w:rPr>
        <w:t xml:space="preserve"> </w:t>
      </w:r>
      <w:r w:rsidR="00647DEB">
        <w:rPr>
          <w:lang w:val="en-CA"/>
        </w:rPr>
        <w:t>relation t</w:t>
      </w:r>
      <w:r w:rsidR="00FA71BB">
        <w:rPr>
          <w:lang w:val="en-CA"/>
        </w:rPr>
        <w:t>o</w:t>
      </w:r>
      <w:r w:rsidRPr="00105125">
        <w:rPr>
          <w:lang w:val="en-CA"/>
        </w:rPr>
        <w:t xml:space="preserve"> fundamental rights insofar as it </w:t>
      </w:r>
      <w:r w:rsidR="00916707">
        <w:rPr>
          <w:lang w:val="en-CA"/>
        </w:rPr>
        <w:t>i</w:t>
      </w:r>
      <w:r w:rsidRPr="00105125">
        <w:rPr>
          <w:lang w:val="en-CA"/>
        </w:rPr>
        <w:t xml:space="preserve">s not necessarily </w:t>
      </w:r>
      <w:r w:rsidR="00916707">
        <w:rPr>
          <w:lang w:val="en-CA"/>
        </w:rPr>
        <w:t xml:space="preserve">based </w:t>
      </w:r>
      <w:r w:rsidRPr="00105125">
        <w:rPr>
          <w:lang w:val="en-CA"/>
        </w:rPr>
        <w:t>on immutable or constructively immutable personal characteristics.</w:t>
      </w:r>
      <w:r w:rsidRPr="00105125">
        <w:rPr>
          <w:rStyle w:val="Appelnotedebasdep"/>
          <w:lang w:val="en-CA"/>
        </w:rPr>
        <w:footnoteReference w:id="36"/>
      </w:r>
    </w:p>
    <w:p w14:paraId="5689DE4F" w14:textId="5754373B" w:rsidR="0072362A" w:rsidRPr="00105125" w:rsidRDefault="00DF206B" w:rsidP="00602DBB">
      <w:pPr>
        <w:pStyle w:val="Paragraphe"/>
        <w:spacing w:line="280" w:lineRule="exact"/>
        <w:rPr>
          <w:lang w:val="en-CA"/>
        </w:rPr>
      </w:pPr>
      <w:r w:rsidRPr="00105125">
        <w:rPr>
          <w:lang w:val="en-CA"/>
        </w:rPr>
        <w:t xml:space="preserve">In </w:t>
      </w:r>
      <w:r w:rsidRPr="00105125">
        <w:rPr>
          <w:i/>
          <w:lang w:val="en-CA"/>
        </w:rPr>
        <w:t>Arcade Amusements</w:t>
      </w:r>
      <w:r w:rsidRPr="00105125">
        <w:rPr>
          <w:lang w:val="en-CA"/>
        </w:rPr>
        <w:t>,</w:t>
      </w:r>
      <w:r w:rsidRPr="00105125">
        <w:rPr>
          <w:rStyle w:val="Appelnotedebasdep"/>
          <w:lang w:val="en-CA"/>
        </w:rPr>
        <w:footnoteReference w:id="37"/>
      </w:r>
      <w:r w:rsidRPr="00105125">
        <w:rPr>
          <w:lang w:val="en-CA"/>
        </w:rPr>
        <w:t xml:space="preserve"> the Supreme Court explained that discriminatory regulations may be rendered invalid even if they are rational or reasonable.</w:t>
      </w:r>
      <w:r w:rsidR="004A7BFD" w:rsidRPr="00105125">
        <w:rPr>
          <w:lang w:val="en-CA"/>
        </w:rPr>
        <w:t xml:space="preserve"> </w:t>
      </w:r>
      <w:r w:rsidRPr="00105125">
        <w:rPr>
          <w:lang w:val="en-CA"/>
        </w:rPr>
        <w:t>Since then, the courts have applied the rule prohibiting administrative discrimination many times.</w:t>
      </w:r>
      <w:bookmarkStart w:id="18" w:name="_Ref156292175"/>
      <w:r w:rsidRPr="00105125">
        <w:rPr>
          <w:rStyle w:val="Appelnotedebasdep"/>
          <w:lang w:val="en-CA"/>
        </w:rPr>
        <w:footnoteReference w:id="38"/>
      </w:r>
      <w:bookmarkEnd w:id="18"/>
      <w:r w:rsidR="004A7BFD" w:rsidRPr="00105125">
        <w:rPr>
          <w:lang w:val="en-CA"/>
        </w:rPr>
        <w:t xml:space="preserve"> </w:t>
      </w:r>
      <w:r w:rsidRPr="00105125">
        <w:rPr>
          <w:lang w:val="en-CA"/>
        </w:rPr>
        <w:t>It is not, however, absolute.</w:t>
      </w:r>
      <w:r w:rsidR="004A7BFD" w:rsidRPr="00105125">
        <w:rPr>
          <w:lang w:val="en-CA"/>
        </w:rPr>
        <w:t xml:space="preserve"> </w:t>
      </w:r>
      <w:r w:rsidRPr="00105125">
        <w:rPr>
          <w:lang w:val="en-CA"/>
        </w:rPr>
        <w:t>Distinctions may be expressly or implicitly authorized by the enabling statute.</w:t>
      </w:r>
      <w:r w:rsidRPr="00105125">
        <w:rPr>
          <w:rStyle w:val="Appelnotedebasdep"/>
          <w:lang w:val="en-CA"/>
        </w:rPr>
        <w:footnoteReference w:id="39"/>
      </w:r>
      <w:r w:rsidR="004A7BFD" w:rsidRPr="00105125">
        <w:rPr>
          <w:lang w:val="en-CA"/>
        </w:rPr>
        <w:t xml:space="preserve"> </w:t>
      </w:r>
      <w:r w:rsidRPr="00105125">
        <w:rPr>
          <w:lang w:val="en-CA"/>
        </w:rPr>
        <w:t xml:space="preserve">Moreover, in certain matters, the purpose of the </w:t>
      </w:r>
      <w:r w:rsidRPr="00105125">
        <w:rPr>
          <w:rFonts w:cs="Arial"/>
          <w:lang w:val="en-CA"/>
        </w:rPr>
        <w:t>[</w:t>
      </w:r>
      <w:r w:rsidRPr="00105125">
        <w:rPr>
          <w:rFonts w:cs="Arial"/>
          <w:smallCaps/>
          <w:lang w:val="en-CA"/>
        </w:rPr>
        <w:t>translation</w:t>
      </w:r>
      <w:r w:rsidRPr="00105125">
        <w:rPr>
          <w:rFonts w:cs="Arial"/>
          <w:lang w:val="en-CA"/>
        </w:rPr>
        <w:t>]</w:t>
      </w:r>
      <w:r w:rsidRPr="00105125">
        <w:rPr>
          <w:lang w:val="en-CA"/>
        </w:rPr>
        <w:t xml:space="preserve"> “regulation inevitably includes a certain form of discrimination </w:t>
      </w:r>
      <w:r w:rsidR="00647DEB">
        <w:rPr>
          <w:lang w:val="en-CA"/>
        </w:rPr>
        <w:t>which</w:t>
      </w:r>
      <w:r w:rsidR="00647DEB" w:rsidRPr="00105125">
        <w:rPr>
          <w:lang w:val="en-CA"/>
        </w:rPr>
        <w:t xml:space="preserve"> </w:t>
      </w:r>
      <w:r w:rsidRPr="00105125">
        <w:rPr>
          <w:lang w:val="en-CA"/>
        </w:rPr>
        <w:t>is then admissible”.</w:t>
      </w:r>
      <w:r w:rsidRPr="00105125">
        <w:rPr>
          <w:rStyle w:val="Appelnotedebasdep"/>
          <w:lang w:val="en-CA"/>
        </w:rPr>
        <w:footnoteReference w:id="40"/>
      </w:r>
    </w:p>
    <w:p w14:paraId="022264A1" w14:textId="36835888" w:rsidR="0072362A" w:rsidRPr="00105125" w:rsidRDefault="00DF206B" w:rsidP="00602DBB">
      <w:pPr>
        <w:pStyle w:val="Paragraphe"/>
        <w:spacing w:line="280" w:lineRule="exact"/>
        <w:rPr>
          <w:lang w:val="en-CA"/>
        </w:rPr>
      </w:pPr>
      <w:r w:rsidRPr="00105125">
        <w:rPr>
          <w:lang w:val="en-CA"/>
        </w:rPr>
        <w:t xml:space="preserve">The case law and the </w:t>
      </w:r>
      <w:r w:rsidR="006911D2">
        <w:rPr>
          <w:lang w:val="en-CA"/>
        </w:rPr>
        <w:t xml:space="preserve">scholarly </w:t>
      </w:r>
      <w:r w:rsidRPr="00105125">
        <w:rPr>
          <w:lang w:val="en-CA"/>
        </w:rPr>
        <w:t xml:space="preserve">commentary reveal that the issue of administrative discrimination is related to </w:t>
      </w:r>
      <w:r w:rsidR="006911D2">
        <w:rPr>
          <w:lang w:val="en-CA"/>
        </w:rPr>
        <w:t xml:space="preserve">the existence of </w:t>
      </w:r>
      <w:r w:rsidRPr="00105125">
        <w:rPr>
          <w:lang w:val="en-CA"/>
        </w:rPr>
        <w:t xml:space="preserve">a statutory </w:t>
      </w:r>
      <w:r w:rsidR="006911D2">
        <w:rPr>
          <w:lang w:val="en-CA"/>
        </w:rPr>
        <w:t xml:space="preserve">authorization </w:t>
      </w:r>
      <w:r w:rsidRPr="00105125">
        <w:rPr>
          <w:lang w:val="en-CA"/>
        </w:rPr>
        <w:t>to establish regulatory distinctions.</w:t>
      </w:r>
      <w:r w:rsidRPr="00105125">
        <w:rPr>
          <w:rStyle w:val="Appelnotedebasdep"/>
          <w:lang w:val="en-CA"/>
        </w:rPr>
        <w:footnoteReference w:id="41"/>
      </w:r>
      <w:r w:rsidR="004A7BFD" w:rsidRPr="00105125">
        <w:rPr>
          <w:lang w:val="en-CA"/>
        </w:rPr>
        <w:t xml:space="preserve"> </w:t>
      </w:r>
      <w:r w:rsidRPr="00105125">
        <w:rPr>
          <w:lang w:val="en-CA"/>
        </w:rPr>
        <w:t xml:space="preserve">Authors Jacques </w:t>
      </w:r>
      <w:proofErr w:type="spellStart"/>
      <w:r w:rsidRPr="00105125">
        <w:rPr>
          <w:lang w:val="en-CA"/>
        </w:rPr>
        <w:t>Lagacé</w:t>
      </w:r>
      <w:proofErr w:type="spellEnd"/>
      <w:r w:rsidRPr="00105125">
        <w:rPr>
          <w:lang w:val="en-CA"/>
        </w:rPr>
        <w:t xml:space="preserve"> and Richard Tremblay explain </w:t>
      </w:r>
      <w:r w:rsidR="00543357" w:rsidRPr="00105125">
        <w:rPr>
          <w:rFonts w:cs="Arial"/>
          <w:lang w:val="en-CA"/>
        </w:rPr>
        <w:t>[</w:t>
      </w:r>
      <w:r w:rsidR="00543357" w:rsidRPr="00105125">
        <w:rPr>
          <w:rFonts w:cs="Arial"/>
          <w:smallCaps/>
          <w:lang w:val="en-CA"/>
        </w:rPr>
        <w:t>translation</w:t>
      </w:r>
      <w:r w:rsidR="00543357" w:rsidRPr="00105125">
        <w:rPr>
          <w:rFonts w:cs="Arial"/>
          <w:lang w:val="en-CA"/>
        </w:rPr>
        <w:t>]</w:t>
      </w:r>
      <w:r w:rsidR="00543357" w:rsidRPr="00105125">
        <w:rPr>
          <w:lang w:val="en-CA"/>
        </w:rPr>
        <w:t xml:space="preserve"> </w:t>
      </w:r>
      <w:r w:rsidRPr="00105125">
        <w:rPr>
          <w:lang w:val="en-CA"/>
        </w:rPr>
        <w:t xml:space="preserve">“that the approach verifying, using a narrow interpretation of the enabling </w:t>
      </w:r>
      <w:r w:rsidR="007422B0">
        <w:rPr>
          <w:lang w:val="en-CA"/>
        </w:rPr>
        <w:t>statute</w:t>
      </w:r>
      <w:r w:rsidR="008A2886">
        <w:rPr>
          <w:lang w:val="en-CA"/>
        </w:rPr>
        <w:t xml:space="preserve"> provisions</w:t>
      </w:r>
      <w:r w:rsidRPr="00105125">
        <w:rPr>
          <w:lang w:val="en-CA"/>
        </w:rPr>
        <w:t>, whether the legislature authorized the regulatory body to discriminate, is largely dissatisfactory”.</w:t>
      </w:r>
      <w:bookmarkStart w:id="19" w:name="_Ref157503403"/>
      <w:r w:rsidRPr="00105125">
        <w:rPr>
          <w:rStyle w:val="Appelnotedebasdep"/>
          <w:lang w:val="en-CA"/>
        </w:rPr>
        <w:footnoteReference w:id="42"/>
      </w:r>
      <w:bookmarkEnd w:id="19"/>
      <w:r w:rsidR="004A7BFD" w:rsidRPr="00105125">
        <w:rPr>
          <w:lang w:val="en-CA"/>
        </w:rPr>
        <w:t xml:space="preserve"> </w:t>
      </w:r>
      <w:r w:rsidRPr="00105125">
        <w:rPr>
          <w:lang w:val="en-CA"/>
        </w:rPr>
        <w:t>The power to discriminate is inherent in the power to regulate.</w:t>
      </w:r>
      <w:r w:rsidR="004A7BFD" w:rsidRPr="00105125">
        <w:rPr>
          <w:lang w:val="en-CA"/>
        </w:rPr>
        <w:t xml:space="preserve"> </w:t>
      </w:r>
      <w:r w:rsidRPr="00105125">
        <w:rPr>
          <w:lang w:val="en-CA"/>
        </w:rPr>
        <w:t>The regulatory body has implicit power to discriminate.</w:t>
      </w:r>
      <w:r w:rsidRPr="00105125">
        <w:rPr>
          <w:rStyle w:val="Appelnotedebasdep"/>
          <w:lang w:val="en-CA"/>
        </w:rPr>
        <w:footnoteReference w:id="43"/>
      </w:r>
      <w:r w:rsidR="004A7BFD" w:rsidRPr="00105125">
        <w:rPr>
          <w:lang w:val="en-CA"/>
        </w:rPr>
        <w:t xml:space="preserve"> </w:t>
      </w:r>
      <w:r w:rsidRPr="00105125">
        <w:rPr>
          <w:lang w:val="en-CA"/>
        </w:rPr>
        <w:t>The distinctions</w:t>
      </w:r>
      <w:r w:rsidR="00543357">
        <w:rPr>
          <w:lang w:val="en-CA"/>
        </w:rPr>
        <w:t xml:space="preserve"> between circumstances</w:t>
      </w:r>
      <w:r w:rsidRPr="00105125">
        <w:rPr>
          <w:lang w:val="en-CA"/>
        </w:rPr>
        <w:t xml:space="preserve">, however, must be reasonable and consistent with the </w:t>
      </w:r>
      <w:r w:rsidR="007422B0">
        <w:rPr>
          <w:lang w:val="en-CA"/>
        </w:rPr>
        <w:t>object</w:t>
      </w:r>
      <w:r w:rsidR="007422B0" w:rsidRPr="00105125">
        <w:rPr>
          <w:lang w:val="en-CA"/>
        </w:rPr>
        <w:t xml:space="preserve"> </w:t>
      </w:r>
      <w:r w:rsidRPr="00105125">
        <w:rPr>
          <w:lang w:val="en-CA"/>
        </w:rPr>
        <w:t xml:space="preserve">of the </w:t>
      </w:r>
      <w:r w:rsidR="007422B0">
        <w:rPr>
          <w:lang w:val="en-CA"/>
        </w:rPr>
        <w:t>Act</w:t>
      </w:r>
      <w:r w:rsidRPr="00105125">
        <w:rPr>
          <w:lang w:val="en-CA"/>
        </w:rPr>
        <w:t>.</w:t>
      </w:r>
      <w:r w:rsidR="004A7BFD" w:rsidRPr="00105125">
        <w:rPr>
          <w:lang w:val="en-CA"/>
        </w:rPr>
        <w:t xml:space="preserve"> </w:t>
      </w:r>
      <w:r w:rsidRPr="00105125">
        <w:rPr>
          <w:lang w:val="en-CA"/>
        </w:rPr>
        <w:t xml:space="preserve">The regulatory power holder cannot discriminate arbitrarily, and the discrimination cannot infringe the dignity of the person or be </w:t>
      </w:r>
      <w:r w:rsidR="00543357">
        <w:rPr>
          <w:lang w:val="en-CA"/>
        </w:rPr>
        <w:t>based</w:t>
      </w:r>
      <w:r w:rsidRPr="00105125">
        <w:rPr>
          <w:lang w:val="en-CA"/>
        </w:rPr>
        <w:t xml:space="preserve"> on grounds prohibited by the </w:t>
      </w:r>
      <w:r w:rsidRPr="00105125">
        <w:rPr>
          <w:i/>
          <w:lang w:val="en-CA"/>
        </w:rPr>
        <w:t>Charters</w:t>
      </w:r>
      <w:r w:rsidRPr="00105125">
        <w:rPr>
          <w:lang w:val="en-CA"/>
        </w:rPr>
        <w:t>.</w:t>
      </w:r>
      <w:r w:rsidRPr="00105125">
        <w:rPr>
          <w:rStyle w:val="Appelnotedebasdep"/>
          <w:lang w:val="en-CA"/>
        </w:rPr>
        <w:footnoteReference w:id="44"/>
      </w:r>
    </w:p>
    <w:p w14:paraId="7C7B257D" w14:textId="06CA367C" w:rsidR="0072362A" w:rsidRPr="00105125" w:rsidRDefault="00DF206B" w:rsidP="00602DBB">
      <w:pPr>
        <w:pStyle w:val="Paragraphe"/>
        <w:spacing w:line="280" w:lineRule="exact"/>
        <w:rPr>
          <w:lang w:val="en-CA"/>
        </w:rPr>
      </w:pPr>
      <w:r w:rsidRPr="00105125">
        <w:rPr>
          <w:lang w:val="en-CA"/>
        </w:rPr>
        <w:t>In this case, the legislature states that there are eligibility requirements for the reduced contribution.</w:t>
      </w:r>
      <w:r w:rsidR="004A7BFD" w:rsidRPr="00105125">
        <w:rPr>
          <w:lang w:val="en-CA"/>
        </w:rPr>
        <w:t xml:space="preserve"> </w:t>
      </w:r>
      <w:r w:rsidRPr="00105125">
        <w:rPr>
          <w:lang w:val="en-CA"/>
        </w:rPr>
        <w:t xml:space="preserve">Since I have concluded that the government was empowered to determine these eligibility </w:t>
      </w:r>
      <w:r w:rsidR="00543357">
        <w:rPr>
          <w:lang w:val="en-CA"/>
        </w:rPr>
        <w:t xml:space="preserve">conditions </w:t>
      </w:r>
      <w:r w:rsidRPr="00105125">
        <w:rPr>
          <w:lang w:val="en-CA"/>
        </w:rPr>
        <w:t>by regulation, it thus had the discretion to make distinctions between certain categories of persons to determine which ones were eligible.</w:t>
      </w:r>
      <w:r w:rsidR="004A7BFD" w:rsidRPr="00105125">
        <w:rPr>
          <w:lang w:val="en-CA"/>
        </w:rPr>
        <w:t xml:space="preserve"> </w:t>
      </w:r>
      <w:r w:rsidRPr="00105125">
        <w:rPr>
          <w:lang w:val="en-CA"/>
        </w:rPr>
        <w:lastRenderedPageBreak/>
        <w:t xml:space="preserve">This is consistent with the </w:t>
      </w:r>
      <w:r w:rsidR="007422B0">
        <w:rPr>
          <w:lang w:val="en-CA"/>
        </w:rPr>
        <w:t>object</w:t>
      </w:r>
      <w:r w:rsidR="007422B0" w:rsidRPr="00105125">
        <w:rPr>
          <w:lang w:val="en-CA"/>
        </w:rPr>
        <w:t xml:space="preserve"> </w:t>
      </w:r>
      <w:r w:rsidRPr="00105125">
        <w:rPr>
          <w:lang w:val="en-CA"/>
        </w:rPr>
        <w:t xml:space="preserve">of the </w:t>
      </w:r>
      <w:r w:rsidR="001B7578" w:rsidRPr="001B7578">
        <w:rPr>
          <w:i/>
          <w:iCs/>
          <w:lang w:val="en-CA"/>
        </w:rPr>
        <w:t>ECA</w:t>
      </w:r>
      <w:r w:rsidR="004E2F99" w:rsidRPr="00105125">
        <w:rPr>
          <w:lang w:val="en-CA"/>
        </w:rPr>
        <w:t xml:space="preserve"> </w:t>
      </w:r>
      <w:r w:rsidRPr="00105125">
        <w:rPr>
          <w:lang w:val="en-CA"/>
        </w:rPr>
        <w:t xml:space="preserve">and does not make section 3 </w:t>
      </w:r>
      <w:r w:rsidR="00AD6235">
        <w:rPr>
          <w:lang w:val="en-CA"/>
        </w:rPr>
        <w:t xml:space="preserve">of the </w:t>
      </w:r>
      <w:r w:rsidRPr="00105125">
        <w:rPr>
          <w:i/>
          <w:lang w:val="en-CA"/>
        </w:rPr>
        <w:t>RCR</w:t>
      </w:r>
      <w:r w:rsidRPr="00105125">
        <w:rPr>
          <w:lang w:val="en-CA"/>
        </w:rPr>
        <w:t xml:space="preserve"> discriminatory </w:t>
      </w:r>
      <w:r w:rsidR="00260F98">
        <w:rPr>
          <w:lang w:val="en-CA"/>
        </w:rPr>
        <w:t xml:space="preserve">in the </w:t>
      </w:r>
      <w:r w:rsidRPr="00105125">
        <w:rPr>
          <w:lang w:val="en-CA"/>
        </w:rPr>
        <w:t>administrative law</w:t>
      </w:r>
      <w:r w:rsidR="00260F98">
        <w:rPr>
          <w:lang w:val="en-CA"/>
        </w:rPr>
        <w:t xml:space="preserve"> sense</w:t>
      </w:r>
      <w:r w:rsidRPr="00105125">
        <w:rPr>
          <w:lang w:val="en-CA"/>
        </w:rPr>
        <w:t>.</w:t>
      </w:r>
      <w:r w:rsidR="004A7BFD" w:rsidRPr="00105125">
        <w:rPr>
          <w:lang w:val="en-CA"/>
        </w:rPr>
        <w:t xml:space="preserve"> </w:t>
      </w:r>
      <w:r w:rsidRPr="00105125">
        <w:rPr>
          <w:lang w:val="en-CA"/>
        </w:rPr>
        <w:t xml:space="preserve">I must nonetheless determine whether the distinction that excludes </w:t>
      </w:r>
      <w:r w:rsidR="003E23AC" w:rsidRPr="00105125">
        <w:rPr>
          <w:lang w:val="en-CA"/>
        </w:rPr>
        <w:t>refugee claimants</w:t>
      </w:r>
      <w:r w:rsidRPr="00105125">
        <w:rPr>
          <w:lang w:val="en-CA"/>
        </w:rPr>
        <w:t xml:space="preserve"> is consistent with the </w:t>
      </w:r>
      <w:r w:rsidRPr="00105125">
        <w:rPr>
          <w:i/>
          <w:lang w:val="en-CA"/>
        </w:rPr>
        <w:t>Charters</w:t>
      </w:r>
      <w:r w:rsidRPr="00105125">
        <w:rPr>
          <w:lang w:val="en-CA"/>
        </w:rPr>
        <w:t>, which I will do in the next section.</w:t>
      </w:r>
    </w:p>
    <w:p w14:paraId="1B5A24AD" w14:textId="49B0B914" w:rsidR="0072362A" w:rsidRPr="00105125" w:rsidRDefault="00DF206B" w:rsidP="0072362A">
      <w:pPr>
        <w:pStyle w:val="Titre4"/>
        <w:rPr>
          <w:lang w:val="en-CA"/>
        </w:rPr>
      </w:pPr>
      <w:r w:rsidRPr="00105125">
        <w:rPr>
          <w:lang w:val="en-CA"/>
        </w:rPr>
        <w:t xml:space="preserve">Does section 3 </w:t>
      </w:r>
      <w:r w:rsidR="00AD6235">
        <w:rPr>
          <w:kern w:val="28"/>
          <w:lang w:val="en-CA"/>
        </w:rPr>
        <w:t xml:space="preserve">of the </w:t>
      </w:r>
      <w:r w:rsidRPr="00105125">
        <w:rPr>
          <w:i/>
          <w:lang w:val="en-CA"/>
        </w:rPr>
        <w:t>RCR</w:t>
      </w:r>
      <w:r w:rsidRPr="00105125">
        <w:rPr>
          <w:lang w:val="en-CA"/>
        </w:rPr>
        <w:t xml:space="preserve"> infringe the right to equality protected by section 15 of the </w:t>
      </w:r>
      <w:r w:rsidRPr="00105125">
        <w:rPr>
          <w:i/>
          <w:lang w:val="en-CA"/>
        </w:rPr>
        <w:t>Canadian Charter</w:t>
      </w:r>
      <w:r w:rsidRPr="00105125">
        <w:rPr>
          <w:lang w:val="en-CA"/>
        </w:rPr>
        <w:t>?</w:t>
      </w:r>
    </w:p>
    <w:p w14:paraId="16FF1D08" w14:textId="088F339C" w:rsidR="0072362A" w:rsidRPr="00105125" w:rsidRDefault="00B71967" w:rsidP="00602DBB">
      <w:pPr>
        <w:pStyle w:val="Paragraphe"/>
        <w:spacing w:line="280" w:lineRule="exact"/>
        <w:rPr>
          <w:lang w:val="en-CA"/>
        </w:rPr>
      </w:pPr>
      <w:r w:rsidRPr="00105125">
        <w:rPr>
          <w:lang w:val="en-CA"/>
        </w:rPr>
        <w:t xml:space="preserve">Ms. </w:t>
      </w:r>
      <w:proofErr w:type="spellStart"/>
      <w:r w:rsidRPr="00105125">
        <w:rPr>
          <w:lang w:val="en-CA"/>
        </w:rPr>
        <w:t>Kanyinda</w:t>
      </w:r>
      <w:proofErr w:type="spellEnd"/>
      <w:r w:rsidRPr="00105125">
        <w:rPr>
          <w:lang w:val="en-CA"/>
        </w:rPr>
        <w:t xml:space="preserve"> raises three grounds of discrimination, that is sex</w:t>
      </w:r>
      <w:r w:rsidR="00543357">
        <w:rPr>
          <w:lang w:val="en-CA"/>
        </w:rPr>
        <w:t xml:space="preserve"> by</w:t>
      </w:r>
      <w:r w:rsidRPr="00105125">
        <w:rPr>
          <w:lang w:val="en-CA"/>
        </w:rPr>
        <w:t xml:space="preserve"> </w:t>
      </w:r>
      <w:r w:rsidR="00B1445B" w:rsidRPr="00105125">
        <w:rPr>
          <w:lang w:val="en-CA"/>
        </w:rPr>
        <w:t>adverse effects</w:t>
      </w:r>
      <w:r w:rsidRPr="00105125">
        <w:rPr>
          <w:lang w:val="en-CA"/>
        </w:rPr>
        <w:t xml:space="preserve">, citizenship and immigration status, as an analogous ground. </w:t>
      </w:r>
    </w:p>
    <w:p w14:paraId="540989C1" w14:textId="7AB19C54" w:rsidR="0072362A" w:rsidRPr="00105125" w:rsidRDefault="00B71967" w:rsidP="00602DBB">
      <w:pPr>
        <w:pStyle w:val="Titre2"/>
        <w:keepNext w:val="0"/>
        <w:rPr>
          <w:b w:val="0"/>
          <w:bCs/>
          <w:i w:val="0"/>
          <w:lang w:val="en-CA"/>
        </w:rPr>
      </w:pPr>
      <w:r w:rsidRPr="00105125">
        <w:rPr>
          <w:b w:val="0"/>
          <w:bCs/>
          <w:lang w:val="en-CA"/>
        </w:rPr>
        <w:t>Discrimination bas</w:t>
      </w:r>
      <w:r w:rsidR="00543357">
        <w:rPr>
          <w:b w:val="0"/>
          <w:bCs/>
          <w:lang w:val="en-CA"/>
        </w:rPr>
        <w:t>ed</w:t>
      </w:r>
      <w:r w:rsidRPr="00105125">
        <w:rPr>
          <w:b w:val="0"/>
          <w:bCs/>
          <w:lang w:val="en-CA"/>
        </w:rPr>
        <w:t xml:space="preserve"> o</w:t>
      </w:r>
      <w:r w:rsidR="00543357">
        <w:rPr>
          <w:b w:val="0"/>
          <w:bCs/>
          <w:lang w:val="en-CA"/>
        </w:rPr>
        <w:t>n</w:t>
      </w:r>
      <w:r w:rsidRPr="00105125">
        <w:rPr>
          <w:b w:val="0"/>
          <w:bCs/>
          <w:lang w:val="en-CA"/>
        </w:rPr>
        <w:t xml:space="preserve"> sex</w:t>
      </w:r>
    </w:p>
    <w:p w14:paraId="0CF6A6C1" w14:textId="6D828EAC" w:rsidR="0072362A" w:rsidRPr="00105125" w:rsidRDefault="00B71967" w:rsidP="00602DBB">
      <w:pPr>
        <w:pStyle w:val="Paragraphe"/>
        <w:spacing w:line="280" w:lineRule="exact"/>
        <w:rPr>
          <w:lang w:val="en-CA"/>
        </w:rPr>
      </w:pPr>
      <w:r w:rsidRPr="00105125">
        <w:rPr>
          <w:lang w:val="en-CA"/>
        </w:rPr>
        <w:t xml:space="preserve">Ms. </w:t>
      </w:r>
      <w:proofErr w:type="spellStart"/>
      <w:r w:rsidRPr="00105125">
        <w:rPr>
          <w:lang w:val="en-CA"/>
        </w:rPr>
        <w:t>Kanyinda</w:t>
      </w:r>
      <w:proofErr w:type="spellEnd"/>
      <w:r w:rsidRPr="00105125">
        <w:rPr>
          <w:lang w:val="en-CA"/>
        </w:rPr>
        <w:t xml:space="preserve"> argues that section 3 </w:t>
      </w:r>
      <w:r w:rsidR="00AD6235">
        <w:rPr>
          <w:lang w:val="en-CA"/>
        </w:rPr>
        <w:t xml:space="preserve">of the </w:t>
      </w:r>
      <w:r w:rsidRPr="00105125">
        <w:rPr>
          <w:i/>
          <w:lang w:val="en-CA"/>
        </w:rPr>
        <w:t>RCR</w:t>
      </w:r>
      <w:r w:rsidRPr="00105125">
        <w:rPr>
          <w:lang w:val="en-CA"/>
        </w:rPr>
        <w:t xml:space="preserve"> does not directly </w:t>
      </w:r>
      <w:r w:rsidR="00543357">
        <w:rPr>
          <w:lang w:val="en-CA"/>
        </w:rPr>
        <w:t>target</w:t>
      </w:r>
      <w:r w:rsidRPr="00105125">
        <w:rPr>
          <w:lang w:val="en-CA"/>
        </w:rPr>
        <w:t xml:space="preserve"> women but that </w:t>
      </w:r>
      <w:r w:rsidR="00647DEB">
        <w:rPr>
          <w:lang w:val="en-CA"/>
        </w:rPr>
        <w:t>it affects them</w:t>
      </w:r>
      <w:r w:rsidRPr="00105125">
        <w:rPr>
          <w:lang w:val="en-CA"/>
        </w:rPr>
        <w:t xml:space="preserve"> disproportionately.</w:t>
      </w:r>
      <w:r w:rsidR="004A7BFD" w:rsidRPr="00105125">
        <w:rPr>
          <w:lang w:val="en-CA"/>
        </w:rPr>
        <w:t xml:space="preserve"> </w:t>
      </w:r>
      <w:r w:rsidRPr="00105125">
        <w:rPr>
          <w:lang w:val="en-CA"/>
        </w:rPr>
        <w:t xml:space="preserve">The result is that there is </w:t>
      </w:r>
      <w:r w:rsidR="00B1445B" w:rsidRPr="00105125">
        <w:rPr>
          <w:lang w:val="en-CA"/>
        </w:rPr>
        <w:t xml:space="preserve">adverse effects </w:t>
      </w:r>
      <w:r w:rsidRPr="00105125">
        <w:rPr>
          <w:lang w:val="en-CA"/>
        </w:rPr>
        <w:t xml:space="preserve">discrimination since women </w:t>
      </w:r>
      <w:r w:rsidR="000B561A">
        <w:rPr>
          <w:lang w:val="en-CA"/>
        </w:rPr>
        <w:t>bear a</w:t>
      </w:r>
      <w:r w:rsidR="009B4D1D">
        <w:rPr>
          <w:lang w:val="en-CA"/>
        </w:rPr>
        <w:t xml:space="preserve"> </w:t>
      </w:r>
      <w:r w:rsidRPr="00105125">
        <w:rPr>
          <w:lang w:val="en-CA"/>
        </w:rPr>
        <w:t xml:space="preserve">disproportionate </w:t>
      </w:r>
      <w:r w:rsidR="000B561A">
        <w:rPr>
          <w:lang w:val="en-CA"/>
        </w:rPr>
        <w:t>share</w:t>
      </w:r>
      <w:r w:rsidRPr="00105125">
        <w:rPr>
          <w:lang w:val="en-CA"/>
        </w:rPr>
        <w:t xml:space="preserve">, alone or in a couple, </w:t>
      </w:r>
      <w:r w:rsidR="000B561A">
        <w:rPr>
          <w:lang w:val="en-CA"/>
        </w:rPr>
        <w:t xml:space="preserve">of the responsibility for </w:t>
      </w:r>
      <w:r w:rsidRPr="00105125">
        <w:rPr>
          <w:lang w:val="en-CA"/>
        </w:rPr>
        <w:t>the care and custody of children.</w:t>
      </w:r>
      <w:r w:rsidR="004A7BFD" w:rsidRPr="00105125">
        <w:rPr>
          <w:lang w:val="en-CA"/>
        </w:rPr>
        <w:t xml:space="preserve"> </w:t>
      </w:r>
      <w:r w:rsidRPr="00105125">
        <w:rPr>
          <w:lang w:val="en-CA"/>
        </w:rPr>
        <w:t xml:space="preserve">Section 3 </w:t>
      </w:r>
      <w:r w:rsidR="00AD6235">
        <w:rPr>
          <w:lang w:val="en-CA"/>
        </w:rPr>
        <w:t xml:space="preserve">of the </w:t>
      </w:r>
      <w:r w:rsidRPr="00105125">
        <w:rPr>
          <w:i/>
          <w:lang w:val="en-CA"/>
        </w:rPr>
        <w:t>RCR</w:t>
      </w:r>
      <w:r w:rsidRPr="00105125">
        <w:rPr>
          <w:lang w:val="en-CA"/>
        </w:rPr>
        <w:t xml:space="preserve"> therefore constitutes a barrier to </w:t>
      </w:r>
      <w:r w:rsidR="007422B0">
        <w:rPr>
          <w:lang w:val="en-CA"/>
        </w:rPr>
        <w:t xml:space="preserve">entry into the </w:t>
      </w:r>
      <w:r w:rsidR="00391A42">
        <w:rPr>
          <w:lang w:val="en-CA"/>
        </w:rPr>
        <w:t>labour market</w:t>
      </w:r>
      <w:r w:rsidRPr="00105125">
        <w:rPr>
          <w:lang w:val="en-CA"/>
        </w:rPr>
        <w:t xml:space="preserve">, </w:t>
      </w:r>
      <w:r w:rsidR="00543357">
        <w:rPr>
          <w:lang w:val="en-CA"/>
        </w:rPr>
        <w:t xml:space="preserve">to </w:t>
      </w:r>
      <w:r w:rsidRPr="00105125">
        <w:rPr>
          <w:lang w:val="en-CA"/>
        </w:rPr>
        <w:t xml:space="preserve">francization, and more broadly, </w:t>
      </w:r>
      <w:r w:rsidR="00543357">
        <w:rPr>
          <w:lang w:val="en-CA"/>
        </w:rPr>
        <w:t xml:space="preserve">to </w:t>
      </w:r>
      <w:r w:rsidR="00AC36CB" w:rsidRPr="00105125">
        <w:rPr>
          <w:lang w:val="en-CA"/>
        </w:rPr>
        <w:t>integrat</w:t>
      </w:r>
      <w:r w:rsidR="00AC36CB">
        <w:rPr>
          <w:lang w:val="en-CA"/>
        </w:rPr>
        <w:t>ion</w:t>
      </w:r>
      <w:r w:rsidR="00AC36CB" w:rsidRPr="00105125">
        <w:rPr>
          <w:lang w:val="en-CA"/>
        </w:rPr>
        <w:t xml:space="preserve"> </w:t>
      </w:r>
      <w:r w:rsidRPr="00105125">
        <w:rPr>
          <w:lang w:val="en-CA"/>
        </w:rPr>
        <w:t>into Quebec society.</w:t>
      </w:r>
      <w:r w:rsidR="004A7BFD" w:rsidRPr="00105125">
        <w:rPr>
          <w:lang w:val="en-CA"/>
        </w:rPr>
        <w:t xml:space="preserve"> </w:t>
      </w:r>
      <w:r w:rsidR="00647DEB">
        <w:rPr>
          <w:lang w:val="en-CA"/>
        </w:rPr>
        <w:t xml:space="preserve">It disproportionately </w:t>
      </w:r>
      <w:r w:rsidR="005C02BA">
        <w:rPr>
          <w:lang w:val="en-CA"/>
        </w:rPr>
        <w:t xml:space="preserve">impacts </w:t>
      </w:r>
      <w:r w:rsidR="00647DEB">
        <w:rPr>
          <w:lang w:val="en-CA"/>
        </w:rPr>
        <w:t>w</w:t>
      </w:r>
      <w:r w:rsidR="00853309">
        <w:rPr>
          <w:lang w:val="en-CA"/>
        </w:rPr>
        <w:t xml:space="preserve">omen </w:t>
      </w:r>
      <w:r w:rsidR="003E23AC" w:rsidRPr="00105125">
        <w:rPr>
          <w:lang w:val="en-CA"/>
        </w:rPr>
        <w:t>refugee claimants</w:t>
      </w:r>
      <w:r w:rsidRPr="00105125">
        <w:rPr>
          <w:lang w:val="en-CA"/>
        </w:rPr>
        <w:t>.</w:t>
      </w:r>
    </w:p>
    <w:p w14:paraId="6D67F455" w14:textId="51B6642F" w:rsidR="0072362A" w:rsidRPr="00105125" w:rsidRDefault="00B71967" w:rsidP="00602DBB">
      <w:pPr>
        <w:pStyle w:val="Paragraphe"/>
        <w:spacing w:line="280" w:lineRule="exact"/>
        <w:rPr>
          <w:lang w:val="en-CA"/>
        </w:rPr>
      </w:pPr>
      <w:r w:rsidRPr="00105125">
        <w:rPr>
          <w:lang w:val="en-CA"/>
        </w:rPr>
        <w:t xml:space="preserve">For the AGQ, the distinction </w:t>
      </w:r>
      <w:r w:rsidR="005336CE">
        <w:rPr>
          <w:lang w:val="en-CA"/>
        </w:rPr>
        <w:t>created</w:t>
      </w:r>
      <w:r w:rsidR="005336CE" w:rsidRPr="00105125">
        <w:rPr>
          <w:lang w:val="en-CA"/>
        </w:rPr>
        <w:t xml:space="preserve"> </w:t>
      </w:r>
      <w:r w:rsidRPr="00105125">
        <w:rPr>
          <w:lang w:val="en-CA"/>
        </w:rPr>
        <w:t xml:space="preserve">by this provision is not based on sex but rather </w:t>
      </w:r>
      <w:r w:rsidR="00543357">
        <w:rPr>
          <w:lang w:val="en-CA"/>
        </w:rPr>
        <w:t xml:space="preserve">on </w:t>
      </w:r>
      <w:r w:rsidRPr="00105125">
        <w:rPr>
          <w:lang w:val="en-CA"/>
        </w:rPr>
        <w:t xml:space="preserve">immigration status, which is not an analogous ground within the meaning of section 15 of the </w:t>
      </w:r>
      <w:r w:rsidRPr="00105125">
        <w:rPr>
          <w:i/>
          <w:lang w:val="en-CA"/>
        </w:rPr>
        <w:t>Canadian Charter</w:t>
      </w:r>
      <w:r w:rsidRPr="00105125">
        <w:rPr>
          <w:lang w:val="en-CA"/>
        </w:rPr>
        <w:t>.</w:t>
      </w:r>
      <w:r w:rsidR="004A7BFD" w:rsidRPr="00105125">
        <w:rPr>
          <w:lang w:val="en-CA"/>
        </w:rPr>
        <w:t xml:space="preserve"> </w:t>
      </w:r>
      <w:r w:rsidR="00B1445B" w:rsidRPr="00105125">
        <w:rPr>
          <w:lang w:val="en-CA"/>
        </w:rPr>
        <w:t>In the alternative, should the Court conclude that section</w:t>
      </w:r>
      <w:r w:rsidR="000A74CC">
        <w:rPr>
          <w:lang w:val="en-CA"/>
        </w:rPr>
        <w:t xml:space="preserve"> 3</w:t>
      </w:r>
      <w:r w:rsidR="00B1445B" w:rsidRPr="00105125">
        <w:rPr>
          <w:lang w:val="en-CA"/>
        </w:rPr>
        <w:t xml:space="preserve"> </w:t>
      </w:r>
      <w:r w:rsidR="00AD6235">
        <w:rPr>
          <w:lang w:val="en-CA"/>
        </w:rPr>
        <w:t xml:space="preserve">of the </w:t>
      </w:r>
      <w:r w:rsidR="00B1445B" w:rsidRPr="00105125">
        <w:rPr>
          <w:i/>
          <w:lang w:val="en-CA"/>
        </w:rPr>
        <w:t>RCR</w:t>
      </w:r>
      <w:r w:rsidR="00B1445B" w:rsidRPr="00105125">
        <w:rPr>
          <w:lang w:val="en-CA"/>
        </w:rPr>
        <w:t xml:space="preserve"> infringes a </w:t>
      </w:r>
      <w:r w:rsidR="0019530B">
        <w:rPr>
          <w:lang w:val="en-CA"/>
        </w:rPr>
        <w:t xml:space="preserve">right protected by </w:t>
      </w:r>
      <w:r w:rsidR="00B1445B" w:rsidRPr="00105125">
        <w:rPr>
          <w:lang w:val="en-CA"/>
        </w:rPr>
        <w:t>section 15, this infringement is justified in a free and democratic society.</w:t>
      </w:r>
      <w:r w:rsidR="004A7BFD" w:rsidRPr="00105125">
        <w:rPr>
          <w:lang w:val="en-CA"/>
        </w:rPr>
        <w:t xml:space="preserve"> </w:t>
      </w:r>
      <w:r w:rsidR="0019530B">
        <w:rPr>
          <w:lang w:val="en-CA"/>
        </w:rPr>
        <w:t>Indeed, a</w:t>
      </w:r>
      <w:r w:rsidR="00B1445B" w:rsidRPr="00105125">
        <w:rPr>
          <w:lang w:val="en-CA"/>
        </w:rPr>
        <w:t xml:space="preserve">ccording to the AGQ, </w:t>
      </w:r>
      <w:r w:rsidR="0019530B">
        <w:rPr>
          <w:lang w:val="en-CA"/>
        </w:rPr>
        <w:t>reserving</w:t>
      </w:r>
      <w:r w:rsidR="00B1445B" w:rsidRPr="00105125">
        <w:rPr>
          <w:lang w:val="en-CA"/>
        </w:rPr>
        <w:t xml:space="preserve"> eligibility for the reduced contribution to persons with recognized refugee status</w:t>
      </w:r>
      <w:r w:rsidR="00751438">
        <w:rPr>
          <w:lang w:val="en-CA"/>
        </w:rPr>
        <w:t xml:space="preserve"> is justified</w:t>
      </w:r>
      <w:r w:rsidR="00B1445B" w:rsidRPr="00105125">
        <w:rPr>
          <w:lang w:val="en-CA"/>
        </w:rPr>
        <w:t>.</w:t>
      </w:r>
    </w:p>
    <w:p w14:paraId="48153FE3" w14:textId="01EA7972" w:rsidR="0072362A" w:rsidRPr="00105125" w:rsidRDefault="00B1445B" w:rsidP="00602DBB">
      <w:pPr>
        <w:pStyle w:val="Paragraphe"/>
        <w:spacing w:line="280" w:lineRule="exact"/>
        <w:rPr>
          <w:lang w:val="en-CA"/>
        </w:rPr>
      </w:pPr>
      <w:r w:rsidRPr="00105125">
        <w:rPr>
          <w:lang w:val="en-CA"/>
        </w:rPr>
        <w:t xml:space="preserve">The trial judge briefly examined the three grounds of discrimination raised by Ms. </w:t>
      </w:r>
      <w:proofErr w:type="spellStart"/>
      <w:r w:rsidRPr="00105125">
        <w:rPr>
          <w:lang w:val="en-CA"/>
        </w:rPr>
        <w:t>Kanyinda</w:t>
      </w:r>
      <w:proofErr w:type="spellEnd"/>
      <w:r w:rsidRPr="00105125">
        <w:rPr>
          <w:lang w:val="en-CA"/>
        </w:rPr>
        <w:t>.</w:t>
      </w:r>
      <w:r w:rsidR="004A7BFD" w:rsidRPr="00105125">
        <w:rPr>
          <w:lang w:val="en-CA"/>
        </w:rPr>
        <w:t xml:space="preserve"> </w:t>
      </w:r>
      <w:r w:rsidRPr="00105125">
        <w:rPr>
          <w:lang w:val="en-CA"/>
        </w:rPr>
        <w:t>With respect to the ground based on sex, he wrote:</w:t>
      </w:r>
    </w:p>
    <w:p w14:paraId="564F9D51" w14:textId="2299DD99" w:rsidR="00BC6A63" w:rsidRPr="00105125" w:rsidRDefault="00BC6A63" w:rsidP="00A67E42">
      <w:pPr>
        <w:pStyle w:val="Citationenretrait"/>
        <w:keepNext/>
        <w:rPr>
          <w:lang w:val="en-CA"/>
        </w:rPr>
      </w:pPr>
      <w:r w:rsidRPr="00105125">
        <w:rPr>
          <w:rFonts w:cs="Arial"/>
          <w:lang w:val="en-CA"/>
        </w:rPr>
        <w:t>[</w:t>
      </w:r>
      <w:r w:rsidRPr="00105125">
        <w:rPr>
          <w:rFonts w:cs="Arial"/>
          <w:smallCaps/>
          <w:lang w:val="en-CA"/>
        </w:rPr>
        <w:t>translation</w:t>
      </w:r>
      <w:r w:rsidRPr="00105125">
        <w:rPr>
          <w:rFonts w:cs="Arial"/>
          <w:lang w:val="en-CA"/>
        </w:rPr>
        <w:t>]</w:t>
      </w:r>
    </w:p>
    <w:p w14:paraId="7240CD97" w14:textId="221337C7" w:rsidR="0072362A" w:rsidRPr="00105125" w:rsidRDefault="004A7BFD" w:rsidP="00A67E42">
      <w:pPr>
        <w:pStyle w:val="Citationenretrait"/>
        <w:keepNext/>
        <w:rPr>
          <w:lang w:val="en-CA"/>
        </w:rPr>
      </w:pPr>
      <w:r w:rsidRPr="00105125">
        <w:rPr>
          <w:lang w:val="en-CA"/>
        </w:rPr>
        <w:t>[38]</w:t>
      </w:r>
      <w:r w:rsidRPr="00105125">
        <w:rPr>
          <w:lang w:val="en-CA"/>
        </w:rPr>
        <w:tab/>
      </w:r>
      <w:r w:rsidR="00B1445B" w:rsidRPr="00105125">
        <w:rPr>
          <w:lang w:val="en-CA"/>
        </w:rPr>
        <w:t xml:space="preserve">The ground of sex is based essentially on the Supreme Court of Canada judgment in </w:t>
      </w:r>
      <w:r w:rsidR="00B1445B" w:rsidRPr="00105125">
        <w:rPr>
          <w:i/>
          <w:lang w:val="en-CA"/>
        </w:rPr>
        <w:t>Fraser v. Canada (Attorney General)</w:t>
      </w:r>
      <w:r w:rsidR="00B1445B" w:rsidRPr="00105125">
        <w:rPr>
          <w:lang w:val="en-CA"/>
        </w:rPr>
        <w:t>, a case involving adverse effects discrimination.</w:t>
      </w:r>
    </w:p>
    <w:p w14:paraId="3B1C09CD" w14:textId="3561FD86" w:rsidR="0072362A" w:rsidRPr="00105125" w:rsidRDefault="004A7BFD" w:rsidP="0072362A">
      <w:pPr>
        <w:pStyle w:val="Citationenretrait"/>
        <w:rPr>
          <w:lang w:val="en-CA"/>
        </w:rPr>
      </w:pPr>
      <w:r w:rsidRPr="00105125">
        <w:rPr>
          <w:lang w:val="en-CA"/>
        </w:rPr>
        <w:t>[39]</w:t>
      </w:r>
      <w:r w:rsidRPr="00105125">
        <w:rPr>
          <w:lang w:val="en-CA"/>
        </w:rPr>
        <w:tab/>
      </w:r>
      <w:r w:rsidR="00B1445B" w:rsidRPr="00105125">
        <w:rPr>
          <w:lang w:val="en-CA"/>
        </w:rPr>
        <w:t xml:space="preserve">In that case, the employees, Royal Canadian Mounted Police constables, complained that they could not accumulate full-time service for the </w:t>
      </w:r>
      <w:r w:rsidR="00760420">
        <w:rPr>
          <w:lang w:val="en-CA"/>
        </w:rPr>
        <w:t xml:space="preserve">purposes of the </w:t>
      </w:r>
      <w:r w:rsidR="00B1445B" w:rsidRPr="00105125">
        <w:rPr>
          <w:lang w:val="en-CA"/>
        </w:rPr>
        <w:t xml:space="preserve">pension plan </w:t>
      </w:r>
      <w:r w:rsidR="00B92B71">
        <w:rPr>
          <w:lang w:val="en-CA"/>
        </w:rPr>
        <w:t>when</w:t>
      </w:r>
      <w:r w:rsidR="00B92B71" w:rsidRPr="00105125">
        <w:rPr>
          <w:lang w:val="en-CA"/>
        </w:rPr>
        <w:t xml:space="preserve"> </w:t>
      </w:r>
      <w:r w:rsidR="00B92B71">
        <w:rPr>
          <w:lang w:val="en-CA"/>
        </w:rPr>
        <w:t xml:space="preserve">they </w:t>
      </w:r>
      <w:r w:rsidR="00B1445B" w:rsidRPr="00105125">
        <w:rPr>
          <w:lang w:val="en-CA"/>
        </w:rPr>
        <w:t>reduced their work</w:t>
      </w:r>
      <w:r w:rsidR="00760420">
        <w:rPr>
          <w:lang w:val="en-CA"/>
        </w:rPr>
        <w:t xml:space="preserve">ing hours </w:t>
      </w:r>
      <w:r w:rsidR="00B1445B" w:rsidRPr="00105125">
        <w:rPr>
          <w:lang w:val="en-CA"/>
        </w:rPr>
        <w:t>under a job-sharing agreement</w:t>
      </w:r>
      <w:r w:rsidR="00861382">
        <w:rPr>
          <w:lang w:val="en-CA"/>
        </w:rPr>
        <w:t xml:space="preserve"> that</w:t>
      </w:r>
      <w:r w:rsidR="00B1445B" w:rsidRPr="00105125">
        <w:rPr>
          <w:lang w:val="en-CA"/>
        </w:rPr>
        <w:t xml:space="preserve"> allowed two full-time employees to combine their work</w:t>
      </w:r>
      <w:r w:rsidR="00A54490">
        <w:rPr>
          <w:lang w:val="en-CA"/>
        </w:rPr>
        <w:t>ing</w:t>
      </w:r>
      <w:r w:rsidR="00B1445B" w:rsidRPr="00105125">
        <w:rPr>
          <w:lang w:val="en-CA"/>
        </w:rPr>
        <w:t xml:space="preserve"> </w:t>
      </w:r>
      <w:r w:rsidR="00861382">
        <w:rPr>
          <w:lang w:val="en-CA"/>
        </w:rPr>
        <w:t xml:space="preserve">hours </w:t>
      </w:r>
      <w:r w:rsidR="00B1445B" w:rsidRPr="00105125">
        <w:rPr>
          <w:lang w:val="en-CA"/>
        </w:rPr>
        <w:t>into one full-time position.</w:t>
      </w:r>
    </w:p>
    <w:p w14:paraId="3DB0BF56" w14:textId="5CE9106F" w:rsidR="0072362A" w:rsidRPr="00105125" w:rsidRDefault="004A7BFD" w:rsidP="0072362A">
      <w:pPr>
        <w:pStyle w:val="Citationenretrait"/>
        <w:rPr>
          <w:lang w:val="en-CA"/>
        </w:rPr>
      </w:pPr>
      <w:r w:rsidRPr="00105125">
        <w:rPr>
          <w:lang w:val="en-CA"/>
        </w:rPr>
        <w:t>[40]</w:t>
      </w:r>
      <w:r w:rsidRPr="00105125">
        <w:rPr>
          <w:lang w:val="en-CA"/>
        </w:rPr>
        <w:tab/>
      </w:r>
      <w:r w:rsidR="00B1445B" w:rsidRPr="00105125">
        <w:rPr>
          <w:lang w:val="en-CA"/>
        </w:rPr>
        <w:t xml:space="preserve">The Supreme Court determined that the scheme disproportionately affected women because they were mostly, if not exclusively, the ones who took </w:t>
      </w:r>
      <w:r w:rsidR="00B1445B" w:rsidRPr="00105125">
        <w:rPr>
          <w:lang w:val="en-CA"/>
        </w:rPr>
        <w:lastRenderedPageBreak/>
        <w:t>advantage of the program primarily to look after children. There was therefore discrimination bas</w:t>
      </w:r>
      <w:r w:rsidR="0080039E">
        <w:rPr>
          <w:lang w:val="en-CA"/>
        </w:rPr>
        <w:t>ed</w:t>
      </w:r>
      <w:r w:rsidR="00B1445B" w:rsidRPr="00105125">
        <w:rPr>
          <w:lang w:val="en-CA"/>
        </w:rPr>
        <w:t xml:space="preserve"> o</w:t>
      </w:r>
      <w:r w:rsidR="0080039E">
        <w:rPr>
          <w:lang w:val="en-CA"/>
        </w:rPr>
        <w:t>n</w:t>
      </w:r>
      <w:r w:rsidR="00B1445B" w:rsidRPr="00105125">
        <w:rPr>
          <w:lang w:val="en-CA"/>
        </w:rPr>
        <w:t xml:space="preserve"> sex</w:t>
      </w:r>
      <w:r w:rsidR="0080039E">
        <w:rPr>
          <w:lang w:val="en-CA"/>
        </w:rPr>
        <w:t>,</w:t>
      </w:r>
      <w:r w:rsidR="00B1445B" w:rsidRPr="00105125">
        <w:rPr>
          <w:lang w:val="en-CA"/>
        </w:rPr>
        <w:t xml:space="preserve"> even though men could </w:t>
      </w:r>
      <w:r w:rsidR="0080039E">
        <w:rPr>
          <w:lang w:val="en-CA"/>
        </w:rPr>
        <w:t xml:space="preserve">avail themselves </w:t>
      </w:r>
      <w:r w:rsidR="00B1445B" w:rsidRPr="00105125">
        <w:rPr>
          <w:lang w:val="en-CA"/>
        </w:rPr>
        <w:t>of the job-sharing program, due to the adverse effects of a seemingly neutral condition of employment.</w:t>
      </w:r>
    </w:p>
    <w:p w14:paraId="40A9131E" w14:textId="7832B24D" w:rsidR="0072362A" w:rsidRPr="00105125" w:rsidRDefault="004A7BFD" w:rsidP="0072362A">
      <w:pPr>
        <w:pStyle w:val="Citationenretrait"/>
        <w:rPr>
          <w:lang w:val="en-CA"/>
        </w:rPr>
      </w:pPr>
      <w:r w:rsidRPr="00105125">
        <w:rPr>
          <w:lang w:val="en-CA"/>
        </w:rPr>
        <w:t>[41]</w:t>
      </w:r>
      <w:r w:rsidRPr="00105125">
        <w:rPr>
          <w:lang w:val="en-CA"/>
        </w:rPr>
        <w:tab/>
      </w:r>
      <w:r w:rsidR="00B1445B" w:rsidRPr="00105125">
        <w:rPr>
          <w:lang w:val="en-CA"/>
        </w:rPr>
        <w:t xml:space="preserve">The Attorney General </w:t>
      </w:r>
      <w:r w:rsidR="0080039E">
        <w:rPr>
          <w:lang w:val="en-CA"/>
        </w:rPr>
        <w:t xml:space="preserve">relies on </w:t>
      </w:r>
      <w:r w:rsidR="00B1445B" w:rsidRPr="00105125">
        <w:rPr>
          <w:i/>
          <w:lang w:val="en-CA"/>
        </w:rPr>
        <w:t>Symes v. Canada</w:t>
      </w:r>
      <w:r w:rsidR="00B1445B" w:rsidRPr="00105125">
        <w:rPr>
          <w:lang w:val="en-CA"/>
        </w:rPr>
        <w:t xml:space="preserve">, which deals with the discriminatory impact of a provision </w:t>
      </w:r>
      <w:r w:rsidR="007422B0">
        <w:rPr>
          <w:lang w:val="en-CA"/>
        </w:rPr>
        <w:t xml:space="preserve">of the </w:t>
      </w:r>
      <w:r w:rsidR="007422B0" w:rsidRPr="007422B0">
        <w:rPr>
          <w:i/>
          <w:iCs/>
          <w:lang w:val="en-CA"/>
        </w:rPr>
        <w:t>Income Tax Act</w:t>
      </w:r>
      <w:r w:rsidR="007422B0">
        <w:rPr>
          <w:lang w:val="en-CA"/>
        </w:rPr>
        <w:t xml:space="preserve"> </w:t>
      </w:r>
      <w:r w:rsidR="00B1445B" w:rsidRPr="00105125">
        <w:rPr>
          <w:lang w:val="en-CA"/>
        </w:rPr>
        <w:t>that prevented businesswomen from deducting childcare expenses from their income.</w:t>
      </w:r>
    </w:p>
    <w:p w14:paraId="314F4DAD" w14:textId="34AA9F8C" w:rsidR="0072362A" w:rsidRPr="00105125" w:rsidRDefault="004A7BFD" w:rsidP="0072362A">
      <w:pPr>
        <w:pStyle w:val="Citationenretrait"/>
        <w:rPr>
          <w:lang w:val="en-CA"/>
        </w:rPr>
      </w:pPr>
      <w:r w:rsidRPr="00105125">
        <w:rPr>
          <w:lang w:val="en-CA"/>
        </w:rPr>
        <w:t>[42]</w:t>
      </w:r>
      <w:r w:rsidRPr="00105125">
        <w:rPr>
          <w:lang w:val="en-CA"/>
        </w:rPr>
        <w:tab/>
      </w:r>
      <w:r w:rsidR="00B1445B" w:rsidRPr="00105125">
        <w:rPr>
          <w:lang w:val="en-CA"/>
        </w:rPr>
        <w:t xml:space="preserve">The Supreme Court decided that even </w:t>
      </w:r>
      <w:r w:rsidR="00861382">
        <w:rPr>
          <w:lang w:val="en-CA"/>
        </w:rPr>
        <w:t>though it</w:t>
      </w:r>
      <w:r w:rsidR="00B1445B" w:rsidRPr="00105125">
        <w:rPr>
          <w:lang w:val="en-CA"/>
        </w:rPr>
        <w:t xml:space="preserve"> was agreed that </w:t>
      </w:r>
      <w:r w:rsidR="0080039E">
        <w:rPr>
          <w:lang w:val="en-CA"/>
        </w:rPr>
        <w:t xml:space="preserve">women </w:t>
      </w:r>
      <w:r w:rsidR="00B92B71">
        <w:rPr>
          <w:lang w:val="en-CA"/>
        </w:rPr>
        <w:t xml:space="preserve">pay </w:t>
      </w:r>
      <w:r w:rsidR="00051E7D">
        <w:rPr>
          <w:lang w:val="en-CA"/>
        </w:rPr>
        <w:t xml:space="preserve">far more of </w:t>
      </w:r>
      <w:r w:rsidR="00B1445B" w:rsidRPr="00105125">
        <w:rPr>
          <w:lang w:val="en-CA"/>
        </w:rPr>
        <w:t xml:space="preserve">the social costs </w:t>
      </w:r>
      <w:r w:rsidR="00051E7D">
        <w:rPr>
          <w:lang w:val="en-CA"/>
        </w:rPr>
        <w:t>caused by having</w:t>
      </w:r>
      <w:r w:rsidR="00B92B71">
        <w:rPr>
          <w:lang w:val="en-CA"/>
        </w:rPr>
        <w:t xml:space="preserve"> </w:t>
      </w:r>
      <w:r w:rsidR="0080039E" w:rsidRPr="00105125">
        <w:rPr>
          <w:lang w:val="en-CA"/>
        </w:rPr>
        <w:t xml:space="preserve">children </w:t>
      </w:r>
      <w:r w:rsidR="00B1445B" w:rsidRPr="00105125">
        <w:rPr>
          <w:lang w:val="en-CA"/>
        </w:rPr>
        <w:t>than men, it would have required evidence that women pa</w:t>
      </w:r>
      <w:r w:rsidR="0080039E">
        <w:rPr>
          <w:lang w:val="en-CA"/>
        </w:rPr>
        <w:t>y</w:t>
      </w:r>
      <w:r w:rsidR="00B1445B" w:rsidRPr="00105125">
        <w:rPr>
          <w:lang w:val="en-CA"/>
        </w:rPr>
        <w:t xml:space="preserve"> childcare expenses disproportionately</w:t>
      </w:r>
      <w:r w:rsidR="008B1721" w:rsidRPr="008B1721">
        <w:rPr>
          <w:lang w:val="en-CA"/>
        </w:rPr>
        <w:t>—</w:t>
      </w:r>
      <w:r w:rsidR="00B1445B" w:rsidRPr="00105125">
        <w:rPr>
          <w:lang w:val="en-CA"/>
        </w:rPr>
        <w:t>which was not presented.</w:t>
      </w:r>
    </w:p>
    <w:p w14:paraId="4A63AF47" w14:textId="47C642A8" w:rsidR="0072362A" w:rsidRPr="00105125" w:rsidRDefault="004A7BFD" w:rsidP="0072362A">
      <w:pPr>
        <w:pStyle w:val="Citationenretrait"/>
        <w:rPr>
          <w:lang w:val="en-CA"/>
        </w:rPr>
      </w:pPr>
      <w:r w:rsidRPr="00105125">
        <w:rPr>
          <w:lang w:val="en-CA"/>
        </w:rPr>
        <w:t>[43]</w:t>
      </w:r>
      <w:r w:rsidRPr="00105125">
        <w:rPr>
          <w:lang w:val="en-CA"/>
        </w:rPr>
        <w:tab/>
      </w:r>
      <w:r w:rsidR="00B1445B" w:rsidRPr="00105125">
        <w:rPr>
          <w:lang w:val="en-CA"/>
        </w:rPr>
        <w:t xml:space="preserve">Moreover, the Attorney General distinguished </w:t>
      </w:r>
      <w:r w:rsidR="0080039E">
        <w:rPr>
          <w:lang w:val="en-CA"/>
        </w:rPr>
        <w:t xml:space="preserve">it from </w:t>
      </w:r>
      <w:r w:rsidR="00B1445B" w:rsidRPr="00105125">
        <w:rPr>
          <w:i/>
          <w:lang w:val="en-CA"/>
        </w:rPr>
        <w:t>Fraser</w:t>
      </w:r>
      <w:r w:rsidR="00B1445B" w:rsidRPr="00105125">
        <w:rPr>
          <w:lang w:val="en-CA"/>
        </w:rPr>
        <w:t xml:space="preserve">, where there was evidence on the percentage of women who used the job-sharing agreement, for example, 100% during the period from 2010 to 2014, whereas the figures of the plaintiff’s expert </w:t>
      </w:r>
      <w:r w:rsidR="0080039E">
        <w:rPr>
          <w:lang w:val="en-CA"/>
        </w:rPr>
        <w:t>we</w:t>
      </w:r>
      <w:r w:rsidR="00B1445B" w:rsidRPr="00105125">
        <w:rPr>
          <w:lang w:val="en-CA"/>
        </w:rPr>
        <w:t>re not conclusive.</w:t>
      </w:r>
    </w:p>
    <w:p w14:paraId="6D4810EE" w14:textId="422F75AC" w:rsidR="0072362A" w:rsidRPr="00105125" w:rsidRDefault="004A7BFD" w:rsidP="0072362A">
      <w:pPr>
        <w:pStyle w:val="Citationenretrait"/>
        <w:rPr>
          <w:lang w:val="en-CA"/>
        </w:rPr>
      </w:pPr>
      <w:r w:rsidRPr="00105125">
        <w:rPr>
          <w:lang w:val="en-CA"/>
        </w:rPr>
        <w:t>[44]</w:t>
      </w:r>
      <w:r w:rsidRPr="00105125">
        <w:rPr>
          <w:lang w:val="en-CA"/>
        </w:rPr>
        <w:tab/>
      </w:r>
      <w:r w:rsidR="00B1445B" w:rsidRPr="00105125">
        <w:rPr>
          <w:lang w:val="en-CA"/>
        </w:rPr>
        <w:t>The Court finds that it must agree with the Attorney General that</w:t>
      </w:r>
      <w:r w:rsidR="00D80F01">
        <w:rPr>
          <w:lang w:val="en-CA"/>
        </w:rPr>
        <w:t>,</w:t>
      </w:r>
      <w:r w:rsidR="00B1445B" w:rsidRPr="00105125">
        <w:rPr>
          <w:lang w:val="en-CA"/>
        </w:rPr>
        <w:t xml:space="preserve"> </w:t>
      </w:r>
      <w:r w:rsidR="00510B93">
        <w:rPr>
          <w:lang w:val="en-CA"/>
        </w:rPr>
        <w:t xml:space="preserve">in this case, </w:t>
      </w:r>
      <w:bookmarkStart w:id="20" w:name="_Hlk187137210"/>
      <w:r w:rsidR="00510B93">
        <w:rPr>
          <w:lang w:val="en-CA"/>
        </w:rPr>
        <w:t xml:space="preserve">there is also nothing </w:t>
      </w:r>
      <w:r w:rsidR="00B1445B" w:rsidRPr="00105125">
        <w:rPr>
          <w:lang w:val="en-CA"/>
        </w:rPr>
        <w:t xml:space="preserve">to determine in what proportion </w:t>
      </w:r>
      <w:r w:rsidR="000C7160">
        <w:rPr>
          <w:lang w:val="en-CA"/>
        </w:rPr>
        <w:t>men</w:t>
      </w:r>
      <w:r w:rsidR="0080039E">
        <w:rPr>
          <w:lang w:val="en-CA"/>
        </w:rPr>
        <w:t xml:space="preserve"> </w:t>
      </w:r>
      <w:r w:rsidR="00B1445B" w:rsidRPr="00105125">
        <w:rPr>
          <w:lang w:val="en-CA"/>
        </w:rPr>
        <w:t xml:space="preserve">and </w:t>
      </w:r>
      <w:r w:rsidR="000C7160">
        <w:rPr>
          <w:lang w:val="en-CA"/>
        </w:rPr>
        <w:t>women</w:t>
      </w:r>
      <w:r w:rsidR="00B1445B" w:rsidRPr="00105125">
        <w:rPr>
          <w:lang w:val="en-CA"/>
        </w:rPr>
        <w:t xml:space="preserve"> </w:t>
      </w:r>
      <w:r w:rsidR="003E23AC" w:rsidRPr="00105125">
        <w:rPr>
          <w:lang w:val="en-CA"/>
        </w:rPr>
        <w:t>refugee claimants</w:t>
      </w:r>
      <w:r w:rsidR="00B1445B" w:rsidRPr="00105125">
        <w:rPr>
          <w:lang w:val="en-CA"/>
        </w:rPr>
        <w:t xml:space="preserve"> will pay the additional childcare expenses for their children</w:t>
      </w:r>
      <w:r w:rsidR="0080039E">
        <w:rPr>
          <w:lang w:val="en-CA"/>
        </w:rPr>
        <w:t>.</w:t>
      </w:r>
      <w:r w:rsidR="00B1445B" w:rsidRPr="00105125">
        <w:rPr>
          <w:lang w:val="en-CA"/>
        </w:rPr>
        <w:t xml:space="preserve"> </w:t>
      </w:r>
      <w:r w:rsidR="0080039E">
        <w:rPr>
          <w:lang w:val="en-CA"/>
        </w:rPr>
        <w:t>T</w:t>
      </w:r>
      <w:r w:rsidR="00B1445B" w:rsidRPr="00105125">
        <w:rPr>
          <w:lang w:val="en-CA"/>
        </w:rPr>
        <w:t>he case of the plaintiff, who arrived alone with her children, cannot be considered statistical evidence</w:t>
      </w:r>
      <w:bookmarkEnd w:id="20"/>
      <w:r w:rsidR="00B1445B" w:rsidRPr="00105125">
        <w:rPr>
          <w:lang w:val="en-CA"/>
        </w:rPr>
        <w:t>.</w:t>
      </w:r>
      <w:r w:rsidRPr="00105125">
        <w:rPr>
          <w:rStyle w:val="Appelnotedebasdep"/>
          <w:lang w:val="en-CA"/>
        </w:rPr>
        <w:footnoteReference w:id="45"/>
      </w:r>
    </w:p>
    <w:p w14:paraId="00BE6803" w14:textId="41B32C9A" w:rsidR="0072362A" w:rsidRPr="00105125" w:rsidRDefault="00B1445B" w:rsidP="0072362A">
      <w:pPr>
        <w:pStyle w:val="Citationenretrait"/>
        <w:jc w:val="right"/>
        <w:rPr>
          <w:lang w:val="en-CA"/>
        </w:rPr>
      </w:pPr>
      <w:r w:rsidRPr="00105125">
        <w:rPr>
          <w:lang w:val="en-CA"/>
        </w:rPr>
        <w:t>[References omitted]</w:t>
      </w:r>
    </w:p>
    <w:p w14:paraId="23A8DDC9" w14:textId="6FE43440" w:rsidR="0072362A" w:rsidRPr="00105125" w:rsidRDefault="00B1445B" w:rsidP="00602DBB">
      <w:pPr>
        <w:pStyle w:val="Paragraphe"/>
        <w:spacing w:line="280" w:lineRule="exact"/>
        <w:rPr>
          <w:lang w:val="en-CA"/>
        </w:rPr>
      </w:pPr>
      <w:r w:rsidRPr="00105125">
        <w:rPr>
          <w:lang w:val="en-CA"/>
        </w:rPr>
        <w:t xml:space="preserve">I am of the view that the judge erred in concluding that section 3 </w:t>
      </w:r>
      <w:r w:rsidR="00E20DF7">
        <w:rPr>
          <w:lang w:val="en-CA"/>
        </w:rPr>
        <w:t xml:space="preserve">of the </w:t>
      </w:r>
      <w:r w:rsidRPr="00105125">
        <w:rPr>
          <w:i/>
          <w:lang w:val="en-CA"/>
        </w:rPr>
        <w:t>RCR</w:t>
      </w:r>
      <w:r w:rsidRPr="00105125">
        <w:rPr>
          <w:lang w:val="en-CA"/>
        </w:rPr>
        <w:t xml:space="preserve"> does not adversely discriminate against </w:t>
      </w:r>
      <w:r w:rsidR="000C7160">
        <w:rPr>
          <w:lang w:val="en-CA"/>
        </w:rPr>
        <w:t xml:space="preserve">women </w:t>
      </w:r>
      <w:r w:rsidR="003E23AC" w:rsidRPr="00105125">
        <w:rPr>
          <w:lang w:val="en-CA"/>
        </w:rPr>
        <w:t>refugee claimants</w:t>
      </w:r>
      <w:r w:rsidRPr="00105125">
        <w:rPr>
          <w:lang w:val="en-CA"/>
        </w:rPr>
        <w:t xml:space="preserve"> bas</w:t>
      </w:r>
      <w:r w:rsidR="000C7160">
        <w:rPr>
          <w:lang w:val="en-CA"/>
        </w:rPr>
        <w:t>ed</w:t>
      </w:r>
      <w:r w:rsidRPr="00105125">
        <w:rPr>
          <w:lang w:val="en-CA"/>
        </w:rPr>
        <w:t xml:space="preserve"> o</w:t>
      </w:r>
      <w:r w:rsidR="000C7160">
        <w:rPr>
          <w:lang w:val="en-CA"/>
        </w:rPr>
        <w:t>n</w:t>
      </w:r>
      <w:r w:rsidRPr="00105125">
        <w:rPr>
          <w:lang w:val="en-CA"/>
        </w:rPr>
        <w:t xml:space="preserve"> sex. </w:t>
      </w:r>
    </w:p>
    <w:p w14:paraId="20511F52" w14:textId="4F993384" w:rsidR="0072362A" w:rsidRPr="00105125" w:rsidRDefault="00B1445B" w:rsidP="00602DBB">
      <w:pPr>
        <w:pStyle w:val="Paragraphe"/>
        <w:spacing w:line="280" w:lineRule="exact"/>
        <w:rPr>
          <w:lang w:val="en-CA"/>
        </w:rPr>
      </w:pPr>
      <w:r w:rsidRPr="00105125">
        <w:rPr>
          <w:lang w:val="en-CA"/>
        </w:rPr>
        <w:t xml:space="preserve">The right to equality is set out in section 15(1) of the </w:t>
      </w:r>
      <w:r w:rsidRPr="00105125">
        <w:rPr>
          <w:i/>
          <w:lang w:val="en-CA"/>
        </w:rPr>
        <w:t>Canadian Charter</w:t>
      </w:r>
      <w:r w:rsidRPr="00105125">
        <w:rPr>
          <w:lang w:val="en-CA"/>
        </w:rPr>
        <w:t>:</w:t>
      </w:r>
    </w:p>
    <w:tbl>
      <w:tblPr>
        <w:tblW w:w="0" w:type="auto"/>
        <w:tblCellMar>
          <w:left w:w="70" w:type="dxa"/>
          <w:right w:w="70" w:type="dxa"/>
        </w:tblCellMar>
        <w:tblLook w:val="0000" w:firstRow="0" w:lastRow="0" w:firstColumn="0" w:lastColumn="0" w:noHBand="0" w:noVBand="0"/>
      </w:tblPr>
      <w:tblGrid>
        <w:gridCol w:w="4675"/>
        <w:gridCol w:w="4675"/>
      </w:tblGrid>
      <w:tr w:rsidR="009D16D4" w:rsidRPr="00105125" w14:paraId="3A57759A" w14:textId="6A0417E3" w:rsidTr="00F92FFE">
        <w:tc>
          <w:tcPr>
            <w:tcW w:w="4675" w:type="dxa"/>
          </w:tcPr>
          <w:p w14:paraId="0F513B2A" w14:textId="77777777" w:rsidR="009D16D4" w:rsidRPr="00105125" w:rsidRDefault="009D16D4" w:rsidP="00EE7468">
            <w:pPr>
              <w:pStyle w:val="Tableaudroiteanglais"/>
              <w:ind w:left="638" w:right="209"/>
              <w:rPr>
                <w:b/>
                <w:bCs/>
              </w:rPr>
            </w:pPr>
            <w:r w:rsidRPr="00105125">
              <w:rPr>
                <w:b/>
                <w:bCs/>
              </w:rPr>
              <w:t xml:space="preserve">15 (1) </w:t>
            </w:r>
            <w:r w:rsidRPr="00105125">
              <w:t>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p>
        </w:tc>
        <w:tc>
          <w:tcPr>
            <w:tcW w:w="4675" w:type="dxa"/>
          </w:tcPr>
          <w:p w14:paraId="3A1551BB" w14:textId="2C547DB7" w:rsidR="009D16D4" w:rsidRPr="001444DD" w:rsidRDefault="009D16D4" w:rsidP="00EE7468">
            <w:pPr>
              <w:pStyle w:val="Tableaudroiteanglais"/>
              <w:ind w:left="74" w:right="632"/>
              <w:rPr>
                <w:b/>
                <w:bCs/>
                <w:lang w:val="fr-CA"/>
              </w:rPr>
            </w:pPr>
            <w:r w:rsidRPr="001444DD">
              <w:rPr>
                <w:b/>
                <w:bCs/>
                <w:lang w:val="fr-CA"/>
              </w:rPr>
              <w:t xml:space="preserve">15 (1) </w:t>
            </w:r>
            <w:r w:rsidRPr="001444DD">
              <w:rPr>
                <w:lang w:val="fr-CA"/>
              </w:rPr>
              <w:t>La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déficiences mentales ou physiques.</w:t>
            </w:r>
          </w:p>
        </w:tc>
      </w:tr>
    </w:tbl>
    <w:p w14:paraId="48476964" w14:textId="70810E8A" w:rsidR="0072362A" w:rsidRPr="00105125" w:rsidRDefault="00B1445B" w:rsidP="00602DBB">
      <w:pPr>
        <w:pStyle w:val="Paragraphe"/>
        <w:spacing w:line="280" w:lineRule="exact"/>
        <w:rPr>
          <w:lang w:val="en-CA"/>
        </w:rPr>
      </w:pPr>
      <w:r w:rsidRPr="00105125">
        <w:rPr>
          <w:lang w:val="en-CA"/>
        </w:rPr>
        <w:lastRenderedPageBreak/>
        <w:t>Over the years, the Supreme Court has ruled many times on the test applicable to a section 15 analysis.</w:t>
      </w:r>
      <w:bookmarkStart w:id="21" w:name="_Ref152683455"/>
      <w:r w:rsidRPr="00105125">
        <w:rPr>
          <w:vertAlign w:val="superscript"/>
          <w:lang w:val="en-CA"/>
        </w:rPr>
        <w:footnoteReference w:id="46"/>
      </w:r>
      <w:bookmarkEnd w:id="21"/>
      <w:r w:rsidR="004A7BFD" w:rsidRPr="00105125">
        <w:rPr>
          <w:lang w:val="en-CA"/>
        </w:rPr>
        <w:t xml:space="preserve"> </w:t>
      </w:r>
      <w:r w:rsidRPr="00105125">
        <w:rPr>
          <w:lang w:val="en-CA"/>
        </w:rPr>
        <w:t xml:space="preserve">Indeed, </w:t>
      </w:r>
      <w:r w:rsidR="00F6629C">
        <w:rPr>
          <w:lang w:val="en-CA"/>
        </w:rPr>
        <w:t xml:space="preserve">the </w:t>
      </w:r>
      <w:r w:rsidR="00F6629C" w:rsidRPr="00105125">
        <w:rPr>
          <w:lang w:val="en-CA"/>
        </w:rPr>
        <w:t>Supreme Court</w:t>
      </w:r>
      <w:r w:rsidRPr="00105125">
        <w:rPr>
          <w:lang w:val="en-CA"/>
        </w:rPr>
        <w:t xml:space="preserve"> </w:t>
      </w:r>
      <w:r w:rsidR="00F6629C">
        <w:rPr>
          <w:lang w:val="en-CA"/>
        </w:rPr>
        <w:t xml:space="preserve">has </w:t>
      </w:r>
      <w:r w:rsidRPr="00105125">
        <w:rPr>
          <w:lang w:val="en-CA"/>
        </w:rPr>
        <w:t xml:space="preserve">characterized section 15(1) as “the </w:t>
      </w:r>
      <w:r w:rsidRPr="00105125">
        <w:rPr>
          <w:i/>
          <w:lang w:val="en-CA"/>
        </w:rPr>
        <w:t>Charter</w:t>
      </w:r>
      <w:r w:rsidRPr="00105125">
        <w:rPr>
          <w:lang w:val="en-CA"/>
        </w:rPr>
        <w:t>’s most conceptually difficult provision”.</w:t>
      </w:r>
      <w:bookmarkStart w:id="22" w:name="_Ref152683563"/>
      <w:r w:rsidRPr="00105125">
        <w:rPr>
          <w:rStyle w:val="Appelnotedebasdep"/>
          <w:lang w:val="en-CA"/>
        </w:rPr>
        <w:footnoteReference w:id="47"/>
      </w:r>
      <w:bookmarkEnd w:id="22"/>
      <w:r w:rsidR="004A7BFD" w:rsidRPr="00105125">
        <w:rPr>
          <w:lang w:val="en-CA"/>
        </w:rPr>
        <w:t xml:space="preserve"> </w:t>
      </w:r>
      <w:r w:rsidR="000C7160">
        <w:rPr>
          <w:lang w:val="en-CA"/>
        </w:rPr>
        <w:t xml:space="preserve">Its </w:t>
      </w:r>
      <w:r w:rsidR="00BC6A63" w:rsidRPr="00105125">
        <w:rPr>
          <w:lang w:val="en-CA"/>
        </w:rPr>
        <w:t xml:space="preserve">analytical framework was clarified over the years and </w:t>
      </w:r>
      <w:r w:rsidR="00647DEB">
        <w:rPr>
          <w:lang w:val="en-CA"/>
        </w:rPr>
        <w:t xml:space="preserve">reconsidered by </w:t>
      </w:r>
      <w:r w:rsidR="00BC6A63" w:rsidRPr="00105125">
        <w:rPr>
          <w:lang w:val="en-CA"/>
        </w:rPr>
        <w:t xml:space="preserve">the Supreme Court in 2022 in </w:t>
      </w:r>
      <w:r w:rsidR="00BC6A63" w:rsidRPr="00105125">
        <w:rPr>
          <w:i/>
          <w:lang w:val="en-CA"/>
        </w:rPr>
        <w:t>Sharma</w:t>
      </w:r>
      <w:r w:rsidR="00BC6A63" w:rsidRPr="00105125">
        <w:rPr>
          <w:lang w:val="en-CA"/>
        </w:rPr>
        <w:t>.</w:t>
      </w:r>
      <w:r w:rsidR="00BC6A63" w:rsidRPr="00105125">
        <w:rPr>
          <w:rStyle w:val="Appelnotedebasdep"/>
          <w:lang w:val="en-CA"/>
        </w:rPr>
        <w:footnoteReference w:id="48"/>
      </w:r>
      <w:r w:rsidR="004A7BFD" w:rsidRPr="00105125">
        <w:rPr>
          <w:lang w:val="en-CA"/>
        </w:rPr>
        <w:t xml:space="preserve"> </w:t>
      </w:r>
      <w:r w:rsidR="00F6629C">
        <w:rPr>
          <w:lang w:val="en-CA"/>
        </w:rPr>
        <w:t>The Supreme Court</w:t>
      </w:r>
      <w:r w:rsidR="00F6629C" w:rsidRPr="00105125">
        <w:rPr>
          <w:lang w:val="en-CA"/>
        </w:rPr>
        <w:t xml:space="preserve"> </w:t>
      </w:r>
      <w:r w:rsidR="00BC6A63" w:rsidRPr="00105125">
        <w:rPr>
          <w:lang w:val="en-CA"/>
        </w:rPr>
        <w:t>revisited the analysis to provide guidance o</w:t>
      </w:r>
      <w:r w:rsidR="000C7160">
        <w:rPr>
          <w:lang w:val="en-CA"/>
        </w:rPr>
        <w:t>n</w:t>
      </w:r>
      <w:r w:rsidR="00BC6A63" w:rsidRPr="00105125">
        <w:rPr>
          <w:lang w:val="en-CA"/>
        </w:rPr>
        <w:t xml:space="preserve"> the application,</w:t>
      </w:r>
      <w:r w:rsidR="00BC6A63" w:rsidRPr="00105125">
        <w:rPr>
          <w:rStyle w:val="Appelnotedebasdep"/>
          <w:lang w:val="en-CA"/>
        </w:rPr>
        <w:footnoteReference w:id="49"/>
      </w:r>
      <w:r w:rsidR="00BC6A63" w:rsidRPr="00105125">
        <w:rPr>
          <w:lang w:val="en-CA"/>
        </w:rPr>
        <w:t xml:space="preserve"> but stated that the two-step test is not at issue.</w:t>
      </w:r>
      <w:r w:rsidR="004A7BFD" w:rsidRPr="00105125">
        <w:rPr>
          <w:lang w:val="en-CA"/>
        </w:rPr>
        <w:t xml:space="preserve"> </w:t>
      </w:r>
      <w:r w:rsidR="00BC6A63" w:rsidRPr="00105125">
        <w:rPr>
          <w:lang w:val="en-CA"/>
        </w:rPr>
        <w:t>The Court stated:</w:t>
      </w:r>
    </w:p>
    <w:p w14:paraId="76A2F000" w14:textId="68488261" w:rsidR="0072362A" w:rsidRPr="00105125" w:rsidRDefault="005A6BBD" w:rsidP="0072362A">
      <w:pPr>
        <w:pStyle w:val="Citationenretrait"/>
        <w:rPr>
          <w:lang w:val="en-CA"/>
        </w:rPr>
      </w:pPr>
      <w:r w:rsidRPr="00105125">
        <w:rPr>
          <w:lang w:val="en-CA"/>
        </w:rPr>
        <w:t>[28]</w:t>
      </w:r>
      <w:r w:rsidRPr="00105125">
        <w:rPr>
          <w:lang w:val="en-CA"/>
        </w:rPr>
        <w:tab/>
      </w:r>
      <w:r w:rsidR="00791652" w:rsidRPr="00105125">
        <w:rPr>
          <w:color w:val="000000"/>
          <w:lang w:val="en-CA"/>
        </w:rPr>
        <w:t>The two</w:t>
      </w:r>
      <w:r w:rsidR="00791652" w:rsidRPr="00105125">
        <w:rPr>
          <w:color w:val="000000"/>
          <w:lang w:val="en-CA"/>
        </w:rPr>
        <w:noBreakHyphen/>
        <w:t>step test for assessing a s. 15(1) claim is not at issue in this case. It requires the claimant to demonstrate that the impugned law or state action</w:t>
      </w:r>
      <w:r w:rsidRPr="00105125">
        <w:rPr>
          <w:lang w:val="en-CA"/>
        </w:rPr>
        <w:t>:</w:t>
      </w:r>
    </w:p>
    <w:p w14:paraId="63DE2590" w14:textId="71A980E7" w:rsidR="0072362A" w:rsidRPr="00105125" w:rsidRDefault="00791652" w:rsidP="0072362A">
      <w:pPr>
        <w:pStyle w:val="Citationenretrait"/>
        <w:rPr>
          <w:lang w:val="en-CA"/>
        </w:rPr>
      </w:pPr>
      <w:r w:rsidRPr="00105125">
        <w:rPr>
          <w:color w:val="000000"/>
          <w:lang w:val="en-CA"/>
        </w:rPr>
        <w:t>(a)</w:t>
      </w:r>
      <w:r w:rsidRPr="00105125">
        <w:rPr>
          <w:color w:val="000000"/>
          <w:sz w:val="14"/>
          <w:szCs w:val="14"/>
          <w:lang w:val="en-CA"/>
        </w:rPr>
        <w:t>   </w:t>
      </w:r>
      <w:r w:rsidRPr="00105125">
        <w:rPr>
          <w:color w:val="000000"/>
          <w:lang w:val="en-CA"/>
        </w:rPr>
        <w:t>creates a distinction based on enumerated or analogous grounds, on its face or in its impact; and</w:t>
      </w:r>
      <w:r w:rsidR="004A7BFD" w:rsidRPr="00105125">
        <w:rPr>
          <w:lang w:val="en-CA"/>
        </w:rPr>
        <w:t>;</w:t>
      </w:r>
    </w:p>
    <w:p w14:paraId="5C53DF00" w14:textId="024122B3" w:rsidR="0072362A" w:rsidRPr="00105125" w:rsidRDefault="00791652" w:rsidP="0072362A">
      <w:pPr>
        <w:pStyle w:val="Citationenretrait"/>
        <w:rPr>
          <w:lang w:val="en-CA"/>
        </w:rPr>
      </w:pPr>
      <w:r w:rsidRPr="00105125">
        <w:rPr>
          <w:color w:val="000000"/>
          <w:lang w:val="en-CA"/>
        </w:rPr>
        <w:t>(b)</w:t>
      </w:r>
      <w:r w:rsidRPr="00105125">
        <w:rPr>
          <w:color w:val="000000"/>
          <w:sz w:val="14"/>
          <w:szCs w:val="14"/>
          <w:lang w:val="en-CA"/>
        </w:rPr>
        <w:t>   </w:t>
      </w:r>
      <w:r w:rsidRPr="00105125">
        <w:rPr>
          <w:color w:val="000000"/>
          <w:lang w:val="en-CA"/>
        </w:rPr>
        <w:t>imposes a burden or denies a benefit in a manner that has the effect of reinforcing, perpetuating, or exacerbating disadvantage (</w:t>
      </w:r>
      <w:r w:rsidRPr="00105125">
        <w:rPr>
          <w:i/>
          <w:iCs/>
          <w:color w:val="000000"/>
          <w:lang w:val="en-CA"/>
        </w:rPr>
        <w:t>R. v. C.P.</w:t>
      </w:r>
      <w:r w:rsidRPr="00105125">
        <w:rPr>
          <w:color w:val="000000"/>
          <w:lang w:val="en-CA"/>
        </w:rPr>
        <w:t>, </w:t>
      </w:r>
      <w:r w:rsidRPr="00105125">
        <w:rPr>
          <w:lang w:val="en-CA"/>
        </w:rPr>
        <w:t>2021 SCC 19</w:t>
      </w:r>
      <w:r w:rsidRPr="00105125">
        <w:rPr>
          <w:color w:val="000000"/>
          <w:lang w:val="en-CA"/>
        </w:rPr>
        <w:t>, at paras. </w:t>
      </w:r>
      <w:r w:rsidRPr="00105125">
        <w:rPr>
          <w:lang w:val="en-CA"/>
        </w:rPr>
        <w:t>56 and 141</w:t>
      </w:r>
      <w:r w:rsidRPr="00105125">
        <w:rPr>
          <w:color w:val="000000"/>
          <w:lang w:val="en-CA"/>
        </w:rPr>
        <w:t>; </w:t>
      </w:r>
      <w:r w:rsidRPr="00105125">
        <w:rPr>
          <w:i/>
          <w:iCs/>
          <w:color w:val="000000"/>
          <w:lang w:val="en-CA"/>
        </w:rPr>
        <w:t>Fraser v. Canada (Attorney General)</w:t>
      </w:r>
      <w:r w:rsidRPr="00105125">
        <w:rPr>
          <w:color w:val="000000"/>
          <w:lang w:val="en-CA"/>
        </w:rPr>
        <w:t>, </w:t>
      </w:r>
      <w:r w:rsidRPr="00105125">
        <w:rPr>
          <w:lang w:val="en-CA"/>
        </w:rPr>
        <w:t>2020 SCC 28</w:t>
      </w:r>
      <w:r w:rsidRPr="00105125">
        <w:rPr>
          <w:color w:val="000000"/>
          <w:lang w:val="en-CA"/>
        </w:rPr>
        <w:t>, at para. </w:t>
      </w:r>
      <w:r w:rsidRPr="00105125">
        <w:rPr>
          <w:lang w:val="en-CA"/>
        </w:rPr>
        <w:t>27</w:t>
      </w:r>
      <w:r w:rsidRPr="00105125">
        <w:rPr>
          <w:color w:val="000000"/>
          <w:lang w:val="en-CA"/>
        </w:rPr>
        <w:t>; </w:t>
      </w:r>
      <w:proofErr w:type="spellStart"/>
      <w:r w:rsidRPr="00105125">
        <w:rPr>
          <w:i/>
          <w:iCs/>
          <w:color w:val="000000"/>
          <w:lang w:val="en-CA"/>
        </w:rPr>
        <w:t>Kahkewistahaw</w:t>
      </w:r>
      <w:proofErr w:type="spellEnd"/>
      <w:r w:rsidRPr="00105125">
        <w:rPr>
          <w:i/>
          <w:iCs/>
          <w:color w:val="000000"/>
          <w:lang w:val="en-CA"/>
        </w:rPr>
        <w:t xml:space="preserve"> First Nation v. </w:t>
      </w:r>
      <w:proofErr w:type="spellStart"/>
      <w:r w:rsidRPr="00105125">
        <w:rPr>
          <w:i/>
          <w:iCs/>
          <w:color w:val="000000"/>
          <w:lang w:val="en-CA"/>
        </w:rPr>
        <w:t>Taypotat</w:t>
      </w:r>
      <w:proofErr w:type="spellEnd"/>
      <w:r w:rsidRPr="00105125">
        <w:rPr>
          <w:color w:val="000000"/>
          <w:lang w:val="en-CA"/>
        </w:rPr>
        <w:t>, </w:t>
      </w:r>
      <w:r w:rsidRPr="00105125">
        <w:rPr>
          <w:lang w:val="en-CA"/>
        </w:rPr>
        <w:t>2015 SCC 30</w:t>
      </w:r>
      <w:r w:rsidRPr="00105125">
        <w:rPr>
          <w:color w:val="000000"/>
          <w:lang w:val="en-CA"/>
        </w:rPr>
        <w:t>, [2015] 2 S.C.R. 548, at paras. </w:t>
      </w:r>
      <w:r w:rsidRPr="00105125">
        <w:rPr>
          <w:lang w:val="en-CA"/>
        </w:rPr>
        <w:t>19</w:t>
      </w:r>
      <w:r w:rsidRPr="00105125">
        <w:rPr>
          <w:lang w:val="en-CA"/>
        </w:rPr>
        <w:noBreakHyphen/>
        <w:t>20</w:t>
      </w:r>
      <w:r w:rsidRPr="00105125">
        <w:rPr>
          <w:color w:val="000000"/>
          <w:lang w:val="en-CA"/>
        </w:rPr>
        <w:t>)</w:t>
      </w:r>
      <w:r w:rsidR="004A7BFD" w:rsidRPr="00105125">
        <w:rPr>
          <w:lang w:val="en-CA"/>
        </w:rPr>
        <w:t>.</w:t>
      </w:r>
      <w:r w:rsidR="004A7BFD" w:rsidRPr="00105125">
        <w:rPr>
          <w:rStyle w:val="Appelnotedebasdep"/>
          <w:lang w:val="en-CA"/>
        </w:rPr>
        <w:footnoteReference w:id="50"/>
      </w:r>
    </w:p>
    <w:p w14:paraId="189EED1A" w14:textId="367EDECD" w:rsidR="0072362A" w:rsidRPr="00105125" w:rsidRDefault="002A5338" w:rsidP="00602DBB">
      <w:pPr>
        <w:pStyle w:val="Paragraphe"/>
        <w:spacing w:line="280" w:lineRule="exact"/>
        <w:rPr>
          <w:lang w:val="en-CA"/>
        </w:rPr>
      </w:pPr>
      <w:r w:rsidRPr="00105125">
        <w:rPr>
          <w:lang w:val="en-CA"/>
        </w:rPr>
        <w:t>In that case, the Supreme Court explained that the way the two-step test must be applied and the burden at each step are not clear, more particularly in cases of adverse effects discrimination which “occurs when a seemingly neutral law has a disproportionate impact on members of groups protected on the basis of an enumerated or analogous ground”.</w:t>
      </w:r>
      <w:bookmarkStart w:id="23" w:name="_Ref152683882"/>
      <w:r w:rsidRPr="00105125">
        <w:rPr>
          <w:rStyle w:val="Appelnotedebasdep"/>
          <w:lang w:val="en-CA"/>
        </w:rPr>
        <w:footnoteReference w:id="51"/>
      </w:r>
      <w:bookmarkEnd w:id="23"/>
      <w:r w:rsidR="004A7BFD" w:rsidRPr="00105125">
        <w:rPr>
          <w:lang w:val="en-CA"/>
        </w:rPr>
        <w:t xml:space="preserve"> </w:t>
      </w:r>
      <w:r w:rsidRPr="00105125">
        <w:rPr>
          <w:lang w:val="en-CA"/>
        </w:rPr>
        <w:t>The law indirectly targets members of the protected group.</w:t>
      </w:r>
    </w:p>
    <w:p w14:paraId="23FAB9B7" w14:textId="6717429A" w:rsidR="0072362A" w:rsidRPr="00105125" w:rsidRDefault="002A5338" w:rsidP="00602DBB">
      <w:pPr>
        <w:pStyle w:val="Paragraphe"/>
        <w:spacing w:line="280" w:lineRule="exact"/>
        <w:rPr>
          <w:lang w:val="en-CA"/>
        </w:rPr>
      </w:pPr>
      <w:r w:rsidRPr="00105125">
        <w:rPr>
          <w:lang w:val="en-CA"/>
        </w:rPr>
        <w:t>The first step is therefore to demonstrate that the law creates</w:t>
      </w:r>
      <w:r w:rsidR="0051103C">
        <w:rPr>
          <w:lang w:val="en-CA"/>
        </w:rPr>
        <w:t>,</w:t>
      </w:r>
      <w:r w:rsidR="0051103C" w:rsidRPr="0051103C">
        <w:rPr>
          <w:lang w:val="en-CA"/>
        </w:rPr>
        <w:t xml:space="preserve"> </w:t>
      </w:r>
      <w:r w:rsidR="0051103C" w:rsidRPr="00105125">
        <w:rPr>
          <w:lang w:val="en-CA"/>
        </w:rPr>
        <w:t>on its face or in its impact</w:t>
      </w:r>
      <w:r w:rsidR="0051103C">
        <w:rPr>
          <w:lang w:val="en-CA"/>
        </w:rPr>
        <w:t>,</w:t>
      </w:r>
      <w:r w:rsidRPr="00105125">
        <w:rPr>
          <w:lang w:val="en-CA"/>
        </w:rPr>
        <w:t xml:space="preserve"> a distinction based on a protected ground.</w:t>
      </w:r>
      <w:r w:rsidR="004A7BFD" w:rsidRPr="00105125">
        <w:rPr>
          <w:lang w:val="en-CA"/>
        </w:rPr>
        <w:t xml:space="preserve"> </w:t>
      </w:r>
      <w:r w:rsidRPr="00105125">
        <w:rPr>
          <w:color w:val="000000"/>
          <w:lang w:val="en-CA"/>
        </w:rPr>
        <w:t>There must be a disproportionate impact on a protected group, as compared to non-group members.</w:t>
      </w:r>
      <w:r w:rsidRPr="00105125">
        <w:rPr>
          <w:rStyle w:val="Appelnotedebasdep"/>
          <w:lang w:val="en-CA"/>
        </w:rPr>
        <w:footnoteReference w:id="52"/>
      </w:r>
      <w:r w:rsidR="004A7BFD" w:rsidRPr="00105125">
        <w:rPr>
          <w:color w:val="000000"/>
          <w:lang w:val="en-CA"/>
        </w:rPr>
        <w:t xml:space="preserve"> </w:t>
      </w:r>
      <w:r w:rsidRPr="00105125">
        <w:rPr>
          <w:color w:val="000000"/>
          <w:lang w:val="en-CA"/>
        </w:rPr>
        <w:t>For example, this form of distinction means that a law may create “built-in headwinds” for members of protected groups.</w:t>
      </w:r>
      <w:bookmarkStart w:id="24" w:name="_Ref152684220"/>
      <w:r w:rsidRPr="00105125">
        <w:rPr>
          <w:color w:val="000000"/>
          <w:vertAlign w:val="superscript"/>
          <w:lang w:val="en-CA"/>
        </w:rPr>
        <w:footnoteReference w:id="53"/>
      </w:r>
      <w:bookmarkEnd w:id="24"/>
      <w:r w:rsidR="004A7BFD" w:rsidRPr="00105125">
        <w:rPr>
          <w:color w:val="000000"/>
          <w:lang w:val="en-CA"/>
        </w:rPr>
        <w:t xml:space="preserve"> </w:t>
      </w:r>
      <w:r w:rsidRPr="00105125">
        <w:rPr>
          <w:lang w:val="en-CA"/>
        </w:rPr>
        <w:t xml:space="preserve">It may also be </w:t>
      </w:r>
      <w:r w:rsidR="00647DEB">
        <w:rPr>
          <w:lang w:val="en-CA"/>
        </w:rPr>
        <w:t>manifested</w:t>
      </w:r>
      <w:r w:rsidR="00647DEB" w:rsidRPr="00105125">
        <w:rPr>
          <w:lang w:val="en-CA"/>
        </w:rPr>
        <w:t xml:space="preserve"> </w:t>
      </w:r>
      <w:r w:rsidRPr="00105125">
        <w:rPr>
          <w:lang w:val="en-CA"/>
        </w:rPr>
        <w:t xml:space="preserve">by “the absence of accommodation for </w:t>
      </w:r>
      <w:r w:rsidRPr="00105125">
        <w:rPr>
          <w:lang w:val="en-CA"/>
        </w:rPr>
        <w:lastRenderedPageBreak/>
        <w:t>members of protected groups”.</w:t>
      </w:r>
      <w:r w:rsidRPr="00105125">
        <w:rPr>
          <w:color w:val="000000"/>
          <w:vertAlign w:val="superscript"/>
          <w:lang w:val="en-CA"/>
        </w:rPr>
        <w:footnoteReference w:id="54"/>
      </w:r>
      <w:r w:rsidR="004A7BFD" w:rsidRPr="00105125">
        <w:rPr>
          <w:lang w:val="en-CA"/>
        </w:rPr>
        <w:t xml:space="preserve"> </w:t>
      </w:r>
      <w:r w:rsidRPr="00105125">
        <w:rPr>
          <w:color w:val="000000"/>
          <w:lang w:val="en-CA"/>
        </w:rPr>
        <w:t xml:space="preserve">In </w:t>
      </w:r>
      <w:r w:rsidRPr="00105125">
        <w:rPr>
          <w:i/>
          <w:color w:val="000000"/>
          <w:lang w:val="en-CA"/>
        </w:rPr>
        <w:t>Sharma</w:t>
      </w:r>
      <w:r w:rsidRPr="00105125">
        <w:rPr>
          <w:color w:val="000000"/>
          <w:lang w:val="en-CA"/>
        </w:rPr>
        <w:t>, however, the Supreme Court recalled that “s. 15(1)</w:t>
      </w:r>
      <w:r w:rsidR="004A7BFD" w:rsidRPr="00105125">
        <w:rPr>
          <w:color w:val="000000"/>
          <w:lang w:val="en-CA"/>
        </w:rPr>
        <w:t xml:space="preserve"> </w:t>
      </w:r>
      <w:r w:rsidRPr="00105125">
        <w:rPr>
          <w:lang w:val="en-CA"/>
        </w:rPr>
        <w:t>does not impose a general, positive obligation on the state to remedy social inequalities or enact remedial legislation”.</w:t>
      </w:r>
      <w:r w:rsidRPr="00105125">
        <w:rPr>
          <w:color w:val="000000"/>
          <w:vertAlign w:val="superscript"/>
          <w:lang w:val="en-CA"/>
        </w:rPr>
        <w:footnoteReference w:id="55"/>
      </w:r>
    </w:p>
    <w:p w14:paraId="27448CC1" w14:textId="528E3519" w:rsidR="00887C2D" w:rsidRPr="00105125" w:rsidRDefault="002A5338" w:rsidP="00602DBB">
      <w:pPr>
        <w:pStyle w:val="Paragraphe"/>
        <w:spacing w:line="280" w:lineRule="exact"/>
        <w:rPr>
          <w:lang w:val="en-CA"/>
        </w:rPr>
      </w:pPr>
      <w:r w:rsidRPr="00105125">
        <w:rPr>
          <w:lang w:val="en-CA"/>
        </w:rPr>
        <w:t xml:space="preserve">Moreover, in that same judgment, the Court stated the following on the </w:t>
      </w:r>
      <w:r w:rsidR="00AD7DE1" w:rsidRPr="00AD7DE1">
        <w:rPr>
          <w:lang w:val="en-CA"/>
        </w:rPr>
        <w:t>comparative exercise</w:t>
      </w:r>
      <w:r w:rsidR="00AD7DE1">
        <w:rPr>
          <w:lang w:val="en-CA"/>
        </w:rPr>
        <w:t xml:space="preserve"> </w:t>
      </w:r>
      <w:r w:rsidRPr="00105125">
        <w:rPr>
          <w:lang w:val="en-CA"/>
        </w:rPr>
        <w:t>at that step:</w:t>
      </w:r>
      <w:r w:rsidR="00DE26EA" w:rsidRPr="00105125">
        <w:rPr>
          <w:lang w:val="en-CA"/>
        </w:rPr>
        <w:t xml:space="preserve"> </w:t>
      </w:r>
    </w:p>
    <w:p w14:paraId="73325A52" w14:textId="6550995C" w:rsidR="00887C2D" w:rsidRPr="00105125" w:rsidRDefault="004A7BFD" w:rsidP="0070159E">
      <w:pPr>
        <w:pStyle w:val="Citationenretrait"/>
        <w:rPr>
          <w:noProof/>
          <w:szCs w:val="24"/>
          <w:lang w:val="en-CA"/>
        </w:rPr>
      </w:pPr>
      <w:r w:rsidRPr="00105125">
        <w:rPr>
          <w:noProof/>
          <w:lang w:val="en-CA"/>
        </w:rPr>
        <w:t>[41]</w:t>
      </w:r>
      <w:r w:rsidRPr="00105125">
        <w:rPr>
          <w:noProof/>
          <w:lang w:val="en-CA"/>
        </w:rPr>
        <w:tab/>
      </w:r>
      <w:r w:rsidR="00791652" w:rsidRPr="00105125">
        <w:rPr>
          <w:color w:val="000000"/>
          <w:lang w:val="en-CA"/>
        </w:rPr>
        <w:t>The disproportionate impact requirement necessarily introduces comparison into the first step. As McIntyre J. explained in </w:t>
      </w:r>
      <w:r w:rsidR="00791652" w:rsidRPr="00105125">
        <w:rPr>
          <w:i/>
          <w:iCs/>
          <w:color w:val="000000"/>
          <w:lang w:val="en-CA"/>
        </w:rPr>
        <w:t>Andrews</w:t>
      </w:r>
      <w:r w:rsidR="00791652" w:rsidRPr="00105125">
        <w:rPr>
          <w:color w:val="000000"/>
          <w:lang w:val="en-CA"/>
        </w:rPr>
        <w:t>: “[Equality] is a comparative concept, the condition of which may only be attained or discerned by comparison with the condition of others in the social and political setting in which the question arises” (p. 164; see also </w:t>
      </w:r>
      <w:r w:rsidR="00791652" w:rsidRPr="00105125">
        <w:rPr>
          <w:i/>
          <w:iCs/>
          <w:color w:val="000000"/>
          <w:lang w:val="en-CA"/>
        </w:rPr>
        <w:t>Fraser</w:t>
      </w:r>
      <w:r w:rsidR="00791652" w:rsidRPr="00105125">
        <w:rPr>
          <w:color w:val="000000"/>
          <w:lang w:val="en-CA"/>
        </w:rPr>
        <w:t>, at para. </w:t>
      </w:r>
      <w:r w:rsidR="00791652" w:rsidRPr="00105125">
        <w:rPr>
          <w:lang w:val="en-CA"/>
        </w:rPr>
        <w:t>55</w:t>
      </w:r>
      <w:r w:rsidR="00791652" w:rsidRPr="00105125">
        <w:rPr>
          <w:color w:val="000000"/>
          <w:lang w:val="en-CA"/>
        </w:rPr>
        <w:t>). This Court no longer requires a “mirror comparator group” (</w:t>
      </w:r>
      <w:proofErr w:type="spellStart"/>
      <w:r w:rsidR="00791652" w:rsidRPr="00105125">
        <w:rPr>
          <w:i/>
          <w:iCs/>
          <w:color w:val="000000"/>
          <w:lang w:val="en-CA"/>
        </w:rPr>
        <w:t>Withler</w:t>
      </w:r>
      <w:proofErr w:type="spellEnd"/>
      <w:r w:rsidR="00791652" w:rsidRPr="00105125">
        <w:rPr>
          <w:color w:val="000000"/>
          <w:lang w:val="en-CA"/>
        </w:rPr>
        <w:t>, at paras. </w:t>
      </w:r>
      <w:r w:rsidR="00791652" w:rsidRPr="00105125">
        <w:rPr>
          <w:lang w:val="en-CA"/>
        </w:rPr>
        <w:t>55</w:t>
      </w:r>
      <w:r w:rsidR="00791652" w:rsidRPr="00105125">
        <w:rPr>
          <w:lang w:val="en-CA"/>
        </w:rPr>
        <w:noBreakHyphen/>
        <w:t>64</w:t>
      </w:r>
      <w:r w:rsidR="00791652" w:rsidRPr="00105125">
        <w:rPr>
          <w:color w:val="000000"/>
          <w:lang w:val="en-CA"/>
        </w:rPr>
        <w:t>; </w:t>
      </w:r>
      <w:r w:rsidR="00791652" w:rsidRPr="00105125">
        <w:rPr>
          <w:i/>
          <w:iCs/>
          <w:color w:val="000000"/>
          <w:lang w:val="en-CA"/>
        </w:rPr>
        <w:t>Fraser</w:t>
      </w:r>
      <w:r w:rsidR="00791652" w:rsidRPr="00105125">
        <w:rPr>
          <w:color w:val="000000"/>
          <w:lang w:val="en-CA"/>
        </w:rPr>
        <w:t>, at para. </w:t>
      </w:r>
      <w:r w:rsidR="00791652" w:rsidRPr="00105125">
        <w:rPr>
          <w:lang w:val="en-CA"/>
        </w:rPr>
        <w:t>94</w:t>
      </w:r>
      <w:r w:rsidR="00791652" w:rsidRPr="00105125">
        <w:rPr>
          <w:color w:val="000000"/>
          <w:lang w:val="en-CA"/>
        </w:rPr>
        <w:t>). However, </w:t>
      </w:r>
      <w:proofErr w:type="spellStart"/>
      <w:r w:rsidR="00791652" w:rsidRPr="00105125">
        <w:rPr>
          <w:i/>
          <w:iCs/>
          <w:color w:val="000000"/>
          <w:lang w:val="en-CA"/>
        </w:rPr>
        <w:t>Withler</w:t>
      </w:r>
      <w:proofErr w:type="spellEnd"/>
      <w:r w:rsidR="00791652" w:rsidRPr="00105125">
        <w:rPr>
          <w:color w:val="000000"/>
          <w:lang w:val="en-CA"/>
        </w:rPr>
        <w:t> confirms that comparison plays a role at both steps of the s.</w:t>
      </w:r>
      <w:r w:rsidR="0051103C">
        <w:rPr>
          <w:color w:val="000000"/>
          <w:lang w:val="en-CA"/>
        </w:rPr>
        <w:t> </w:t>
      </w:r>
      <w:r w:rsidR="00791652" w:rsidRPr="00105125">
        <w:rPr>
          <w:color w:val="000000"/>
          <w:lang w:val="en-CA"/>
        </w:rPr>
        <w:t>15(1) analysis. At the first step, the word “distinction” itself implies that the claimant is treated differently than others, whether directly or indirectly (</w:t>
      </w:r>
      <w:proofErr w:type="spellStart"/>
      <w:r w:rsidR="00791652" w:rsidRPr="00105125">
        <w:rPr>
          <w:i/>
          <w:iCs/>
          <w:color w:val="000000"/>
          <w:lang w:val="en-CA"/>
        </w:rPr>
        <w:t>Withler</w:t>
      </w:r>
      <w:proofErr w:type="spellEnd"/>
      <w:r w:rsidR="00791652" w:rsidRPr="00105125">
        <w:rPr>
          <w:color w:val="000000"/>
          <w:lang w:val="en-CA"/>
        </w:rPr>
        <w:t>, at para. </w:t>
      </w:r>
      <w:r w:rsidR="00791652" w:rsidRPr="00105125">
        <w:rPr>
          <w:lang w:val="en-CA"/>
        </w:rPr>
        <w:t>62</w:t>
      </w:r>
      <w:r w:rsidR="00791652" w:rsidRPr="00105125">
        <w:rPr>
          <w:color w:val="000000"/>
          <w:lang w:val="en-CA"/>
        </w:rPr>
        <w:t>, cited in </w:t>
      </w:r>
      <w:r w:rsidR="00791652" w:rsidRPr="00105125">
        <w:rPr>
          <w:i/>
          <w:iCs/>
          <w:color w:val="000000"/>
          <w:lang w:val="en-CA"/>
        </w:rPr>
        <w:t>Fraser</w:t>
      </w:r>
      <w:r w:rsidR="00791652" w:rsidRPr="00105125">
        <w:rPr>
          <w:color w:val="000000"/>
          <w:lang w:val="en-CA"/>
        </w:rPr>
        <w:t>, at para. </w:t>
      </w:r>
      <w:r w:rsidR="00791652" w:rsidRPr="00105125">
        <w:rPr>
          <w:lang w:val="en-CA"/>
        </w:rPr>
        <w:t>48</w:t>
      </w:r>
      <w:r w:rsidR="00791652" w:rsidRPr="00105125">
        <w:rPr>
          <w:color w:val="000000"/>
          <w:lang w:val="en-CA"/>
        </w:rPr>
        <w:t>).</w:t>
      </w:r>
      <w:r w:rsidRPr="00105125">
        <w:rPr>
          <w:vertAlign w:val="superscript"/>
          <w:lang w:val="en-CA"/>
        </w:rPr>
        <w:footnoteReference w:id="56"/>
      </w:r>
    </w:p>
    <w:p w14:paraId="52B47FCD" w14:textId="1A4E47CE" w:rsidR="0072362A" w:rsidRPr="00105125" w:rsidRDefault="002A5338" w:rsidP="00602DBB">
      <w:pPr>
        <w:pStyle w:val="Paragraphe"/>
        <w:spacing w:line="280" w:lineRule="exact"/>
        <w:rPr>
          <w:lang w:val="en-CA"/>
        </w:rPr>
      </w:pPr>
      <w:r w:rsidRPr="00105125">
        <w:rPr>
          <w:lang w:val="en-CA"/>
        </w:rPr>
        <w:t xml:space="preserve">A few remarks first about the judge’s interpretation of </w:t>
      </w:r>
      <w:r w:rsidRPr="00105125">
        <w:rPr>
          <w:i/>
          <w:lang w:val="en-CA"/>
        </w:rPr>
        <w:t>Symes</w:t>
      </w:r>
      <w:bookmarkStart w:id="25" w:name="_Ref157506487"/>
      <w:r w:rsidRPr="00105125">
        <w:rPr>
          <w:rStyle w:val="Appelnotedebasdep"/>
          <w:lang w:val="en-CA"/>
        </w:rPr>
        <w:footnoteReference w:id="57"/>
      </w:r>
      <w:bookmarkEnd w:id="25"/>
      <w:r w:rsidRPr="00105125">
        <w:rPr>
          <w:lang w:val="en-CA"/>
        </w:rPr>
        <w:t xml:space="preserve"> of the Supreme Court.</w:t>
      </w:r>
      <w:r w:rsidR="004A7BFD" w:rsidRPr="00105125">
        <w:rPr>
          <w:lang w:val="en-CA"/>
        </w:rPr>
        <w:t xml:space="preserve"> </w:t>
      </w:r>
      <w:r w:rsidR="003E23AC" w:rsidRPr="00105125">
        <w:rPr>
          <w:lang w:val="en-CA"/>
        </w:rPr>
        <w:t xml:space="preserve">He appears to </w:t>
      </w:r>
      <w:r w:rsidR="00AD7DE1">
        <w:rPr>
          <w:lang w:val="en-CA"/>
        </w:rPr>
        <w:t>rely</w:t>
      </w:r>
      <w:r w:rsidR="003E23AC" w:rsidRPr="00105125">
        <w:rPr>
          <w:lang w:val="en-CA"/>
        </w:rPr>
        <w:t xml:space="preserve"> primarily on </w:t>
      </w:r>
      <w:r w:rsidR="003E23AC" w:rsidRPr="00105125">
        <w:rPr>
          <w:i/>
          <w:lang w:val="en-CA"/>
        </w:rPr>
        <w:t>Symes</w:t>
      </w:r>
      <w:r w:rsidR="003E23AC" w:rsidRPr="00105125">
        <w:rPr>
          <w:lang w:val="en-CA"/>
        </w:rPr>
        <w:t xml:space="preserve"> to </w:t>
      </w:r>
      <w:r w:rsidR="00647DEB">
        <w:rPr>
          <w:lang w:val="en-CA"/>
        </w:rPr>
        <w:t>conclude</w:t>
      </w:r>
      <w:r w:rsidR="00647DEB" w:rsidRPr="00105125">
        <w:rPr>
          <w:lang w:val="en-CA"/>
        </w:rPr>
        <w:t xml:space="preserve"> </w:t>
      </w:r>
      <w:r w:rsidR="003E23AC" w:rsidRPr="00105125">
        <w:rPr>
          <w:lang w:val="en-CA"/>
        </w:rPr>
        <w:t xml:space="preserve">that there is no discrimination, stating that </w:t>
      </w:r>
      <w:r w:rsidR="0051103C" w:rsidRPr="00105125">
        <w:rPr>
          <w:rFonts w:cs="Arial"/>
          <w:lang w:val="en-CA"/>
        </w:rPr>
        <w:t>[</w:t>
      </w:r>
      <w:r w:rsidR="0051103C" w:rsidRPr="00105125">
        <w:rPr>
          <w:rFonts w:cs="Arial"/>
          <w:smallCaps/>
          <w:lang w:val="en-CA"/>
        </w:rPr>
        <w:t>translation</w:t>
      </w:r>
      <w:r w:rsidR="0051103C" w:rsidRPr="00105125">
        <w:rPr>
          <w:rFonts w:cs="Arial"/>
          <w:lang w:val="en-CA"/>
        </w:rPr>
        <w:t>]</w:t>
      </w:r>
      <w:r w:rsidR="0051103C" w:rsidRPr="00105125">
        <w:rPr>
          <w:lang w:val="en-CA"/>
        </w:rPr>
        <w:t xml:space="preserve"> </w:t>
      </w:r>
      <w:r w:rsidR="003E23AC" w:rsidRPr="00105125">
        <w:rPr>
          <w:lang w:val="en-CA"/>
        </w:rPr>
        <w:t>“</w:t>
      </w:r>
      <w:bookmarkStart w:id="26" w:name="_Hlk187137184"/>
      <w:r w:rsidR="00D80F01">
        <w:rPr>
          <w:lang w:val="en-CA"/>
        </w:rPr>
        <w:t xml:space="preserve">there is </w:t>
      </w:r>
      <w:r w:rsidR="00510B93">
        <w:rPr>
          <w:lang w:val="en-CA"/>
        </w:rPr>
        <w:t xml:space="preserve">nothing </w:t>
      </w:r>
      <w:r w:rsidR="00510B93" w:rsidRPr="00105125">
        <w:rPr>
          <w:lang w:val="en-CA"/>
        </w:rPr>
        <w:t xml:space="preserve">to determine in what proportion </w:t>
      </w:r>
      <w:r w:rsidR="00510B93">
        <w:rPr>
          <w:lang w:val="en-CA"/>
        </w:rPr>
        <w:t xml:space="preserve">men </w:t>
      </w:r>
      <w:r w:rsidR="00510B93" w:rsidRPr="00105125">
        <w:rPr>
          <w:lang w:val="en-CA"/>
        </w:rPr>
        <w:t xml:space="preserve">and </w:t>
      </w:r>
      <w:r w:rsidR="00510B93">
        <w:rPr>
          <w:lang w:val="en-CA"/>
        </w:rPr>
        <w:t>women</w:t>
      </w:r>
      <w:r w:rsidR="00510B93" w:rsidRPr="00105125">
        <w:rPr>
          <w:lang w:val="en-CA"/>
        </w:rPr>
        <w:t xml:space="preserve"> refugee claimants will pay the additional childcare expenses for their children</w:t>
      </w:r>
      <w:r w:rsidR="0051103C">
        <w:rPr>
          <w:lang w:val="en-CA"/>
        </w:rPr>
        <w:t>.</w:t>
      </w:r>
      <w:r w:rsidR="0051103C" w:rsidRPr="00105125">
        <w:rPr>
          <w:lang w:val="en-CA"/>
        </w:rPr>
        <w:t xml:space="preserve"> </w:t>
      </w:r>
      <w:r w:rsidR="0051103C">
        <w:rPr>
          <w:lang w:val="en-CA"/>
        </w:rPr>
        <w:t>T</w:t>
      </w:r>
      <w:r w:rsidR="0051103C" w:rsidRPr="00105125">
        <w:rPr>
          <w:lang w:val="en-CA"/>
        </w:rPr>
        <w:t>he case of the plaintiff, who arrived alone with her children, cannot be considered statistical evidence</w:t>
      </w:r>
      <w:bookmarkEnd w:id="26"/>
      <w:r w:rsidR="003E23AC" w:rsidRPr="00105125">
        <w:rPr>
          <w:lang w:val="en-CA"/>
        </w:rPr>
        <w:t>”.</w:t>
      </w:r>
      <w:r w:rsidR="003E23AC" w:rsidRPr="00105125">
        <w:rPr>
          <w:rStyle w:val="Appelnotedebasdep"/>
          <w:lang w:val="en-CA"/>
        </w:rPr>
        <w:footnoteReference w:id="58"/>
      </w:r>
      <w:r w:rsidR="004A7BFD" w:rsidRPr="00105125">
        <w:rPr>
          <w:lang w:val="en-CA"/>
        </w:rPr>
        <w:t xml:space="preserve"> </w:t>
      </w:r>
      <w:r w:rsidR="003E23AC" w:rsidRPr="00105125">
        <w:rPr>
          <w:lang w:val="en-CA"/>
        </w:rPr>
        <w:t xml:space="preserve">In that judgment, </w:t>
      </w:r>
      <w:r w:rsidR="005E08F0">
        <w:rPr>
          <w:lang w:val="en-CA"/>
        </w:rPr>
        <w:t xml:space="preserve">however, </w:t>
      </w:r>
      <w:r w:rsidR="003E23AC" w:rsidRPr="00105125">
        <w:rPr>
          <w:lang w:val="en-CA"/>
        </w:rPr>
        <w:t>the situation was very different because of the type of claim.</w:t>
      </w:r>
      <w:r w:rsidR="004A7BFD" w:rsidRPr="00105125">
        <w:rPr>
          <w:lang w:val="en-CA"/>
        </w:rPr>
        <w:t xml:space="preserve"> </w:t>
      </w:r>
      <w:r w:rsidR="003E23AC" w:rsidRPr="00105125">
        <w:rPr>
          <w:lang w:val="en-CA"/>
        </w:rPr>
        <w:t>Ms. Symes alleg</w:t>
      </w:r>
      <w:r w:rsidR="005E08F0">
        <w:rPr>
          <w:lang w:val="en-CA"/>
        </w:rPr>
        <w:t>ed</w:t>
      </w:r>
      <w:r w:rsidR="003E23AC" w:rsidRPr="00105125">
        <w:rPr>
          <w:lang w:val="en-CA"/>
        </w:rPr>
        <w:t xml:space="preserve"> that a provision of the </w:t>
      </w:r>
      <w:r w:rsidR="003E23AC" w:rsidRPr="00105125">
        <w:rPr>
          <w:i/>
          <w:lang w:val="en-CA"/>
        </w:rPr>
        <w:t>Income Tax Act</w:t>
      </w:r>
      <w:r w:rsidR="003E23AC" w:rsidRPr="00105125">
        <w:rPr>
          <w:lang w:val="en-CA"/>
        </w:rPr>
        <w:t xml:space="preserve"> refusing to allow her to deduct her babysitter</w:t>
      </w:r>
      <w:r w:rsidR="005E08F0">
        <w:rPr>
          <w:lang w:val="en-CA"/>
        </w:rPr>
        <w:t>’s salary</w:t>
      </w:r>
      <w:r w:rsidR="003E23AC" w:rsidRPr="00105125">
        <w:rPr>
          <w:lang w:val="en-CA"/>
        </w:rPr>
        <w:t xml:space="preserve"> as </w:t>
      </w:r>
      <w:r w:rsidR="005E08F0">
        <w:rPr>
          <w:lang w:val="en-CA"/>
        </w:rPr>
        <w:t xml:space="preserve">a </w:t>
      </w:r>
      <w:r w:rsidR="003E23AC" w:rsidRPr="00105125">
        <w:rPr>
          <w:lang w:val="en-CA"/>
        </w:rPr>
        <w:t xml:space="preserve">business expense infringed section 15 of the </w:t>
      </w:r>
      <w:r w:rsidR="003E23AC" w:rsidRPr="00105125">
        <w:rPr>
          <w:i/>
          <w:lang w:val="en-CA"/>
        </w:rPr>
        <w:t>Canadian Charter</w:t>
      </w:r>
      <w:r w:rsidR="003E23AC" w:rsidRPr="00105125">
        <w:rPr>
          <w:lang w:val="en-CA"/>
        </w:rPr>
        <w:t>.</w:t>
      </w:r>
      <w:r w:rsidR="004A7BFD" w:rsidRPr="00105125">
        <w:rPr>
          <w:lang w:val="en-CA"/>
        </w:rPr>
        <w:t xml:space="preserve"> </w:t>
      </w:r>
      <w:r w:rsidR="003E23AC" w:rsidRPr="00105125">
        <w:rPr>
          <w:lang w:val="en-CA"/>
        </w:rPr>
        <w:t>The arguments concerned only the alleged prejudice for the specific subgroup of married businesswomen who were denied this tax deduction.</w:t>
      </w:r>
      <w:r w:rsidR="004A7BFD" w:rsidRPr="00105125">
        <w:rPr>
          <w:lang w:val="en-CA"/>
        </w:rPr>
        <w:t xml:space="preserve"> </w:t>
      </w:r>
      <w:proofErr w:type="spellStart"/>
      <w:r w:rsidR="003E23AC" w:rsidRPr="00105125">
        <w:rPr>
          <w:lang w:val="en-CA"/>
        </w:rPr>
        <w:t>Iacobucci</w:t>
      </w:r>
      <w:proofErr w:type="spellEnd"/>
      <w:r w:rsidR="003E23AC" w:rsidRPr="00105125">
        <w:rPr>
          <w:lang w:val="en-CA"/>
        </w:rPr>
        <w:t xml:space="preserve"> J., on behalf of the majority, explained why it was necessary, in this case, to demonstrate that women disproportionately pay the childcare expenses:</w:t>
      </w:r>
    </w:p>
    <w:p w14:paraId="7197AA4B" w14:textId="2BBAFD23" w:rsidR="0072362A" w:rsidRPr="00105125" w:rsidRDefault="009D16D4" w:rsidP="0072362A">
      <w:pPr>
        <w:pStyle w:val="Citationenretrait"/>
        <w:rPr>
          <w:lang w:val="en-CA"/>
        </w:rPr>
      </w:pPr>
      <w:bookmarkStart w:id="27" w:name="_Ref152745127"/>
      <w:r w:rsidRPr="00105125">
        <w:rPr>
          <w:rFonts w:cs="Arial"/>
          <w:color w:val="000000"/>
          <w:spacing w:val="-3"/>
          <w:lang w:val="en-CA"/>
        </w:rPr>
        <w:t>Only if women disproportionately pay such expenses can s. 63 have any effect at all, since s. 63's only effect is to limit the tax deduction with respect to such expenses</w:t>
      </w:r>
      <w:r w:rsidR="004A7BFD" w:rsidRPr="00105125">
        <w:rPr>
          <w:lang w:val="en-CA"/>
        </w:rPr>
        <w:t>.</w:t>
      </w:r>
      <w:r w:rsidR="004A7BFD" w:rsidRPr="00105125">
        <w:rPr>
          <w:rStyle w:val="Appelnotedebasdep"/>
          <w:lang w:val="en-CA"/>
        </w:rPr>
        <w:footnoteReference w:id="59"/>
      </w:r>
      <w:bookmarkEnd w:id="27"/>
    </w:p>
    <w:p w14:paraId="626D02BE" w14:textId="0E3A3D38" w:rsidR="0072362A" w:rsidRPr="00105125" w:rsidRDefault="003E23AC" w:rsidP="00602DBB">
      <w:pPr>
        <w:pStyle w:val="Paragraphe"/>
        <w:spacing w:line="280" w:lineRule="exact"/>
        <w:rPr>
          <w:lang w:val="en-CA"/>
        </w:rPr>
      </w:pPr>
      <w:r w:rsidRPr="00105125">
        <w:rPr>
          <w:lang w:val="en-CA"/>
        </w:rPr>
        <w:lastRenderedPageBreak/>
        <w:t xml:space="preserve">In this case, the issue </w:t>
      </w:r>
      <w:r w:rsidR="0025436C">
        <w:rPr>
          <w:lang w:val="en-CA"/>
        </w:rPr>
        <w:t xml:space="preserve">to decide </w:t>
      </w:r>
      <w:r w:rsidRPr="00105125">
        <w:rPr>
          <w:lang w:val="en-CA"/>
        </w:rPr>
        <w:t>is of a very different nature.</w:t>
      </w:r>
      <w:r w:rsidR="004A7BFD" w:rsidRPr="00105125">
        <w:rPr>
          <w:lang w:val="en-CA"/>
        </w:rPr>
        <w:t xml:space="preserve"> </w:t>
      </w:r>
      <w:r w:rsidRPr="00105125">
        <w:rPr>
          <w:lang w:val="en-CA"/>
        </w:rPr>
        <w:t xml:space="preserve">Ineligibility for the subsidized daycare program arising from the application of section 3 </w:t>
      </w:r>
      <w:r w:rsidR="00E20DF7">
        <w:rPr>
          <w:lang w:val="en-CA"/>
        </w:rPr>
        <w:t xml:space="preserve">of the </w:t>
      </w:r>
      <w:r w:rsidRPr="00105125">
        <w:rPr>
          <w:i/>
          <w:lang w:val="en-CA"/>
        </w:rPr>
        <w:t>RCR</w:t>
      </w:r>
      <w:r w:rsidRPr="00105125">
        <w:rPr>
          <w:lang w:val="en-CA"/>
        </w:rPr>
        <w:t xml:space="preserve"> is an additional barrier to entering the </w:t>
      </w:r>
      <w:r w:rsidR="00391A42">
        <w:rPr>
          <w:lang w:val="en-CA"/>
        </w:rPr>
        <w:t>labour market</w:t>
      </w:r>
      <w:r w:rsidR="00391A42" w:rsidRPr="00105125">
        <w:rPr>
          <w:lang w:val="en-CA"/>
        </w:rPr>
        <w:t xml:space="preserve"> </w:t>
      </w:r>
      <w:r w:rsidRPr="00105125">
        <w:rPr>
          <w:lang w:val="en-CA"/>
        </w:rPr>
        <w:t xml:space="preserve">which disproportionately </w:t>
      </w:r>
      <w:r w:rsidR="00647DEB">
        <w:rPr>
          <w:lang w:val="en-CA"/>
        </w:rPr>
        <w:t xml:space="preserve">impacts </w:t>
      </w:r>
      <w:r w:rsidRPr="00105125">
        <w:rPr>
          <w:lang w:val="en-CA"/>
        </w:rPr>
        <w:t>women who want to work.</w:t>
      </w:r>
      <w:r w:rsidR="004A7BFD" w:rsidRPr="00105125">
        <w:rPr>
          <w:lang w:val="en-CA"/>
        </w:rPr>
        <w:t xml:space="preserve"> </w:t>
      </w:r>
      <w:r w:rsidRPr="00105125">
        <w:rPr>
          <w:lang w:val="en-CA"/>
        </w:rPr>
        <w:t xml:space="preserve">The judge could not reduce his analysis to the respective share of childcare expenses paid by men and women. </w:t>
      </w:r>
    </w:p>
    <w:p w14:paraId="0B0F2AD6" w14:textId="39EC9CBA" w:rsidR="0072362A" w:rsidRPr="00105125" w:rsidRDefault="003E23AC" w:rsidP="00602DBB">
      <w:pPr>
        <w:pStyle w:val="Paragraphe"/>
        <w:spacing w:line="280" w:lineRule="exact"/>
        <w:rPr>
          <w:lang w:val="en-CA"/>
        </w:rPr>
      </w:pPr>
      <w:r w:rsidRPr="00105125">
        <w:rPr>
          <w:lang w:val="en-CA"/>
        </w:rPr>
        <w:t xml:space="preserve">I return now to </w:t>
      </w:r>
      <w:r w:rsidR="00494FD0">
        <w:rPr>
          <w:lang w:val="en-CA"/>
        </w:rPr>
        <w:t xml:space="preserve">the examination of </w:t>
      </w:r>
      <w:r w:rsidRPr="00105125">
        <w:rPr>
          <w:lang w:val="en-CA"/>
        </w:rPr>
        <w:t xml:space="preserve">section 3 </w:t>
      </w:r>
      <w:r w:rsidR="00E20DF7">
        <w:rPr>
          <w:lang w:val="en-CA"/>
        </w:rPr>
        <w:t xml:space="preserve">of the </w:t>
      </w:r>
      <w:r w:rsidRPr="00105125">
        <w:rPr>
          <w:i/>
          <w:lang w:val="en-CA"/>
        </w:rPr>
        <w:t>RCR</w:t>
      </w:r>
      <w:r w:rsidRPr="00105125">
        <w:rPr>
          <w:lang w:val="en-CA"/>
        </w:rPr>
        <w:t>.</w:t>
      </w:r>
      <w:r w:rsidR="004A7BFD" w:rsidRPr="00105125">
        <w:rPr>
          <w:lang w:val="en-CA"/>
        </w:rPr>
        <w:t xml:space="preserve"> </w:t>
      </w:r>
      <w:r w:rsidRPr="00105125">
        <w:rPr>
          <w:lang w:val="en-CA"/>
        </w:rPr>
        <w:t xml:space="preserve">As Ms. </w:t>
      </w:r>
      <w:proofErr w:type="spellStart"/>
      <w:r w:rsidRPr="00105125">
        <w:rPr>
          <w:lang w:val="en-CA"/>
        </w:rPr>
        <w:t>Kanyinda</w:t>
      </w:r>
      <w:proofErr w:type="spellEnd"/>
      <w:r w:rsidRPr="00105125">
        <w:rPr>
          <w:lang w:val="en-CA"/>
        </w:rPr>
        <w:t xml:space="preserve"> acknowledged, it does not directly </w:t>
      </w:r>
      <w:r w:rsidR="0025436C">
        <w:rPr>
          <w:lang w:val="en-CA"/>
        </w:rPr>
        <w:t>concern</w:t>
      </w:r>
      <w:r w:rsidRPr="00105125">
        <w:rPr>
          <w:lang w:val="en-CA"/>
        </w:rPr>
        <w:t xml:space="preserve"> women.</w:t>
      </w:r>
      <w:r w:rsidR="004A7BFD" w:rsidRPr="00105125">
        <w:rPr>
          <w:lang w:val="en-CA"/>
        </w:rPr>
        <w:t xml:space="preserve"> </w:t>
      </w:r>
      <w:r w:rsidR="0025436C">
        <w:rPr>
          <w:lang w:val="en-CA"/>
        </w:rPr>
        <w:t>It is neutral o</w:t>
      </w:r>
      <w:r w:rsidRPr="00105125">
        <w:rPr>
          <w:lang w:val="en-CA"/>
        </w:rPr>
        <w:t>n its face since parents are either men or women.</w:t>
      </w:r>
      <w:r w:rsidR="004A7BFD" w:rsidRPr="00105125">
        <w:rPr>
          <w:lang w:val="en-CA"/>
        </w:rPr>
        <w:t xml:space="preserve"> </w:t>
      </w:r>
      <w:r w:rsidRPr="00105125">
        <w:rPr>
          <w:lang w:val="en-CA"/>
        </w:rPr>
        <w:t xml:space="preserve">However, by excluding refugee claimants, it </w:t>
      </w:r>
      <w:r w:rsidR="00AC00B7">
        <w:rPr>
          <w:lang w:val="en-CA"/>
        </w:rPr>
        <w:t xml:space="preserve">has a </w:t>
      </w:r>
      <w:r w:rsidRPr="00105125">
        <w:rPr>
          <w:lang w:val="en-CA"/>
        </w:rPr>
        <w:t>disproportion</w:t>
      </w:r>
      <w:r w:rsidR="00AC00B7">
        <w:rPr>
          <w:lang w:val="en-CA"/>
        </w:rPr>
        <w:t>ately</w:t>
      </w:r>
      <w:r w:rsidR="0025436C">
        <w:rPr>
          <w:lang w:val="en-CA"/>
        </w:rPr>
        <w:t xml:space="preserve"> negative</w:t>
      </w:r>
      <w:r w:rsidRPr="00105125">
        <w:rPr>
          <w:lang w:val="en-CA"/>
        </w:rPr>
        <w:t xml:space="preserve"> </w:t>
      </w:r>
      <w:r w:rsidR="00AC00B7">
        <w:rPr>
          <w:lang w:val="en-CA"/>
        </w:rPr>
        <w:t xml:space="preserve">impact on </w:t>
      </w:r>
      <w:r w:rsidRPr="00105125">
        <w:rPr>
          <w:lang w:val="en-CA"/>
        </w:rPr>
        <w:t xml:space="preserve">women refugee claimants and is therefore </w:t>
      </w:r>
      <w:r w:rsidR="00AC00B7">
        <w:rPr>
          <w:lang w:val="en-CA"/>
        </w:rPr>
        <w:t xml:space="preserve">adverse effect </w:t>
      </w:r>
      <w:r w:rsidRPr="00105125">
        <w:rPr>
          <w:lang w:val="en-CA"/>
        </w:rPr>
        <w:t>discriminat</w:t>
      </w:r>
      <w:r w:rsidR="00AC00B7">
        <w:rPr>
          <w:lang w:val="en-CA"/>
        </w:rPr>
        <w:t>ion</w:t>
      </w:r>
      <w:r w:rsidRPr="00105125">
        <w:rPr>
          <w:lang w:val="en-CA"/>
        </w:rPr>
        <w:t>.</w:t>
      </w:r>
    </w:p>
    <w:p w14:paraId="5FEB183A" w14:textId="143A8D95" w:rsidR="0072362A" w:rsidRPr="00105125" w:rsidRDefault="003E23AC" w:rsidP="00602DBB">
      <w:pPr>
        <w:pStyle w:val="Paragraphe"/>
        <w:spacing w:line="280" w:lineRule="exact"/>
        <w:rPr>
          <w:lang w:val="en-CA"/>
        </w:rPr>
      </w:pPr>
      <w:r w:rsidRPr="00105125">
        <w:rPr>
          <w:lang w:val="en-CA"/>
        </w:rPr>
        <w:t xml:space="preserve">In my </w:t>
      </w:r>
      <w:r w:rsidR="00AC00B7">
        <w:rPr>
          <w:lang w:val="en-CA"/>
        </w:rPr>
        <w:t>view</w:t>
      </w:r>
      <w:r w:rsidRPr="00105125">
        <w:rPr>
          <w:lang w:val="en-CA"/>
        </w:rPr>
        <w:t xml:space="preserve">, </w:t>
      </w:r>
      <w:r w:rsidR="00877DE7">
        <w:rPr>
          <w:lang w:val="en-CA"/>
        </w:rPr>
        <w:t>it appears from</w:t>
      </w:r>
      <w:r w:rsidR="00AC00B7">
        <w:rPr>
          <w:lang w:val="en-CA"/>
        </w:rPr>
        <w:t xml:space="preserve"> </w:t>
      </w:r>
      <w:r w:rsidRPr="00105125">
        <w:rPr>
          <w:lang w:val="en-CA"/>
        </w:rPr>
        <w:t>the evidence</w:t>
      </w:r>
      <w:r w:rsidR="00877DE7">
        <w:rPr>
          <w:lang w:val="en-CA"/>
        </w:rPr>
        <w:t xml:space="preserve"> that</w:t>
      </w:r>
      <w:r w:rsidR="00877DE7" w:rsidRPr="00105125">
        <w:rPr>
          <w:lang w:val="en-CA"/>
        </w:rPr>
        <w:t xml:space="preserve"> </w:t>
      </w:r>
      <w:r w:rsidRPr="00105125">
        <w:rPr>
          <w:lang w:val="en-CA"/>
        </w:rPr>
        <w:t xml:space="preserve">Ms. </w:t>
      </w:r>
      <w:proofErr w:type="spellStart"/>
      <w:r w:rsidRPr="00105125">
        <w:rPr>
          <w:lang w:val="en-CA"/>
        </w:rPr>
        <w:t>Kanyinda</w:t>
      </w:r>
      <w:proofErr w:type="spellEnd"/>
      <w:r w:rsidRPr="00105125">
        <w:rPr>
          <w:lang w:val="en-CA"/>
        </w:rPr>
        <w:t xml:space="preserve"> has met her burden at the</w:t>
      </w:r>
      <w:r w:rsidR="00234B25" w:rsidRPr="00105125">
        <w:rPr>
          <w:lang w:val="en-CA"/>
        </w:rPr>
        <w:t xml:space="preserve"> </w:t>
      </w:r>
      <w:r w:rsidRPr="00105125">
        <w:rPr>
          <w:lang w:val="en-CA"/>
        </w:rPr>
        <w:t xml:space="preserve">first step of demonstrating the adverse impact </w:t>
      </w:r>
      <w:r w:rsidR="00AC00B7">
        <w:rPr>
          <w:lang w:val="en-CA"/>
        </w:rPr>
        <w:t xml:space="preserve">relating to </w:t>
      </w:r>
      <w:r w:rsidRPr="00105125">
        <w:rPr>
          <w:lang w:val="en-CA"/>
        </w:rPr>
        <w:t xml:space="preserve">the ground of sex. She has demonstrated that the exclusion under section 3 </w:t>
      </w:r>
      <w:r w:rsidR="00E20DF7">
        <w:rPr>
          <w:lang w:val="en-CA"/>
        </w:rPr>
        <w:t xml:space="preserve">of the </w:t>
      </w:r>
      <w:r w:rsidRPr="00105125">
        <w:rPr>
          <w:i/>
          <w:lang w:val="en-CA"/>
        </w:rPr>
        <w:t>RCR</w:t>
      </w:r>
      <w:r w:rsidRPr="00105125">
        <w:rPr>
          <w:lang w:val="en-CA"/>
        </w:rPr>
        <w:t xml:space="preserve"> creates or contributes to creating a disproportionate impact on the group of women refugee claimants.</w:t>
      </w:r>
      <w:r w:rsidR="004A7BFD" w:rsidRPr="00105125">
        <w:rPr>
          <w:lang w:val="en-CA"/>
        </w:rPr>
        <w:t xml:space="preserve"> </w:t>
      </w:r>
      <w:r w:rsidRPr="00105125">
        <w:rPr>
          <w:lang w:val="en-CA"/>
        </w:rPr>
        <w:t xml:space="preserve">Ms. </w:t>
      </w:r>
      <w:proofErr w:type="spellStart"/>
      <w:r w:rsidRPr="00105125">
        <w:rPr>
          <w:lang w:val="en-CA"/>
        </w:rPr>
        <w:t>Kanyinda</w:t>
      </w:r>
      <w:proofErr w:type="spellEnd"/>
      <w:r w:rsidRPr="00105125">
        <w:rPr>
          <w:lang w:val="en-CA"/>
        </w:rPr>
        <w:t xml:space="preserve"> has filed convincing scientific evidence in support of her arguments, more particularly Jill Hanley’s expert report.</w:t>
      </w:r>
    </w:p>
    <w:p w14:paraId="590D43A8" w14:textId="093CCD62" w:rsidR="0072362A" w:rsidRPr="00105125" w:rsidRDefault="003E23AC" w:rsidP="00602DBB">
      <w:pPr>
        <w:pStyle w:val="Paragraphe"/>
        <w:spacing w:line="280" w:lineRule="exact"/>
        <w:rPr>
          <w:lang w:val="en-CA"/>
        </w:rPr>
      </w:pPr>
      <w:r w:rsidRPr="00105125">
        <w:rPr>
          <w:lang w:val="en-CA"/>
        </w:rPr>
        <w:t xml:space="preserve">Dr. Hanley, a professor </w:t>
      </w:r>
      <w:r w:rsidR="00853309">
        <w:rPr>
          <w:lang w:val="en-CA"/>
        </w:rPr>
        <w:t xml:space="preserve">at the McGill School of Social Work </w:t>
      </w:r>
      <w:r w:rsidRPr="00105125">
        <w:rPr>
          <w:lang w:val="en-CA"/>
        </w:rPr>
        <w:t>since 2006, filed a report titled “The labour implications of the exclusion of refugee claimants from Quebec’s subsidized childcare program”.</w:t>
      </w:r>
      <w:r w:rsidR="004A7BFD" w:rsidRPr="00105125">
        <w:rPr>
          <w:lang w:val="en-CA"/>
        </w:rPr>
        <w:t xml:space="preserve"> </w:t>
      </w:r>
      <w:r w:rsidRPr="00105125">
        <w:rPr>
          <w:lang w:val="en-CA"/>
        </w:rPr>
        <w:t xml:space="preserve">She states that affordable childcare increases women’s access to the </w:t>
      </w:r>
      <w:r w:rsidR="00391A42">
        <w:rPr>
          <w:lang w:val="en-CA"/>
        </w:rPr>
        <w:t>labour market:</w:t>
      </w:r>
    </w:p>
    <w:p w14:paraId="6CE97505" w14:textId="77777777" w:rsidR="0072362A" w:rsidRPr="00105125" w:rsidRDefault="004A7BFD" w:rsidP="00602DBB">
      <w:pPr>
        <w:pStyle w:val="Citationenretrait"/>
        <w:keepNext/>
        <w:rPr>
          <w:lang w:val="en-CA"/>
        </w:rPr>
      </w:pPr>
      <w:r w:rsidRPr="00105125">
        <w:rPr>
          <w:lang w:val="en-CA"/>
        </w:rPr>
        <w:t>22.</w:t>
      </w:r>
      <w:r w:rsidRPr="00105125">
        <w:rPr>
          <w:lang w:val="en-CA"/>
        </w:rPr>
        <w:tab/>
        <w:t>For decades there have been calls in Canada for a national affordable childcare program. Arguments in support of public provision or subsidy often assert that the provision of affordable childcare increases women’s access to the workforce, has positive outcomes for child development and has broader socioeconomic benefits. The introduction of Quebec’s universal subsidized childcare program in 1997 has been the envy of many outside of the province and is widely considered a success according to the above objectives.</w:t>
      </w:r>
      <w:r w:rsidRPr="00105125">
        <w:rPr>
          <w:rStyle w:val="Appelnotedebasdep"/>
          <w:lang w:val="en-CA"/>
        </w:rPr>
        <w:footnoteReference w:id="60"/>
      </w:r>
    </w:p>
    <w:p w14:paraId="533B3DB9" w14:textId="18508402" w:rsidR="0072362A" w:rsidRPr="00105125" w:rsidRDefault="003E23AC" w:rsidP="00602DBB">
      <w:pPr>
        <w:pStyle w:val="Citationenretrait"/>
        <w:keepNext/>
        <w:jc w:val="right"/>
        <w:rPr>
          <w:lang w:val="en-CA"/>
        </w:rPr>
      </w:pPr>
      <w:r w:rsidRPr="00105125">
        <w:rPr>
          <w:lang w:val="en-CA"/>
        </w:rPr>
        <w:t>[References omitted]</w:t>
      </w:r>
    </w:p>
    <w:p w14:paraId="22BBB441" w14:textId="212A41C3" w:rsidR="0072362A" w:rsidRPr="00105125" w:rsidRDefault="003E23AC" w:rsidP="00602DBB">
      <w:pPr>
        <w:pStyle w:val="Paragraphe"/>
        <w:spacing w:line="280" w:lineRule="exact"/>
        <w:rPr>
          <w:lang w:val="en-CA"/>
        </w:rPr>
      </w:pPr>
      <w:r w:rsidRPr="00105125">
        <w:rPr>
          <w:lang w:val="en-CA"/>
        </w:rPr>
        <w:t xml:space="preserve">In support of these assertions, Dr. Hanley referred to </w:t>
      </w:r>
      <w:r w:rsidR="00F66E47">
        <w:rPr>
          <w:lang w:val="en-CA"/>
        </w:rPr>
        <w:t xml:space="preserve">two </w:t>
      </w:r>
      <w:r w:rsidRPr="00105125">
        <w:rPr>
          <w:lang w:val="en-CA"/>
        </w:rPr>
        <w:t xml:space="preserve">reports, among others, by Cleveland and </w:t>
      </w:r>
      <w:proofErr w:type="spellStart"/>
      <w:r w:rsidRPr="00105125">
        <w:rPr>
          <w:lang w:val="en-CA"/>
        </w:rPr>
        <w:t>Krashinsky</w:t>
      </w:r>
      <w:proofErr w:type="spellEnd"/>
      <w:r w:rsidRPr="00105125">
        <w:rPr>
          <w:lang w:val="en-CA"/>
        </w:rPr>
        <w:t xml:space="preserve"> (1998) and by Lefebvre and </w:t>
      </w:r>
      <w:proofErr w:type="spellStart"/>
      <w:r w:rsidRPr="00105125">
        <w:rPr>
          <w:lang w:val="en-CA"/>
        </w:rPr>
        <w:t>Merrigan</w:t>
      </w:r>
      <w:proofErr w:type="spellEnd"/>
      <w:r w:rsidRPr="00105125">
        <w:rPr>
          <w:lang w:val="en-CA"/>
        </w:rPr>
        <w:t xml:space="preserve"> (2008):</w:t>
      </w:r>
    </w:p>
    <w:p w14:paraId="15FEF77C" w14:textId="77777777" w:rsidR="0072362A" w:rsidRPr="00105125" w:rsidRDefault="004A7BFD" w:rsidP="00E35E35">
      <w:pPr>
        <w:pStyle w:val="Citationenretrait"/>
        <w:spacing w:after="0"/>
        <w:rPr>
          <w:lang w:val="en-CA"/>
        </w:rPr>
      </w:pPr>
      <w:r w:rsidRPr="00105125">
        <w:rPr>
          <w:lang w:val="en-CA"/>
        </w:rPr>
        <w:t xml:space="preserve">This report details an assessment of the economic impact of a major investment of public money in good quality child care for Canadian children 2 to 5 years of age… Chapter 3 presents and analyzes evidence concerning the economic </w:t>
      </w:r>
      <w:r w:rsidRPr="00105125">
        <w:rPr>
          <w:lang w:val="en-CA"/>
        </w:rPr>
        <w:lastRenderedPageBreak/>
        <w:t>impacts of child care on mothers’ participation in the labor force in particular, and on family life in general…</w:t>
      </w:r>
      <w:r w:rsidRPr="00105125">
        <w:rPr>
          <w:rStyle w:val="Appelnotedebasdep"/>
          <w:lang w:val="en-CA"/>
        </w:rPr>
        <w:footnoteReference w:id="61"/>
      </w:r>
    </w:p>
    <w:p w14:paraId="716909AA" w14:textId="77777777" w:rsidR="0072362A" w:rsidRPr="00105125" w:rsidRDefault="004A7BFD" w:rsidP="00E35E35">
      <w:pPr>
        <w:pStyle w:val="Citationenretrait"/>
        <w:spacing w:before="0"/>
        <w:jc w:val="right"/>
        <w:rPr>
          <w:lang w:val="en-CA"/>
        </w:rPr>
      </w:pPr>
      <w:r w:rsidRPr="00105125">
        <w:rPr>
          <w:lang w:val="en-CA"/>
        </w:rPr>
        <w:t xml:space="preserve">(Cleveland &amp; </w:t>
      </w:r>
      <w:proofErr w:type="spellStart"/>
      <w:r w:rsidRPr="00105125">
        <w:rPr>
          <w:lang w:val="en-CA"/>
        </w:rPr>
        <w:t>Krashinsky</w:t>
      </w:r>
      <w:proofErr w:type="spellEnd"/>
      <w:r w:rsidRPr="00105125">
        <w:rPr>
          <w:lang w:val="en-CA"/>
        </w:rPr>
        <w:t>)</w:t>
      </w:r>
    </w:p>
    <w:p w14:paraId="65A4B2BF" w14:textId="77777777" w:rsidR="0072362A" w:rsidRPr="00105125" w:rsidRDefault="004A7BFD" w:rsidP="0072362A">
      <w:pPr>
        <w:pStyle w:val="Citationenretrait"/>
        <w:rPr>
          <w:lang w:val="en-CA"/>
        </w:rPr>
      </w:pPr>
      <w:r w:rsidRPr="00105125">
        <w:rPr>
          <w:lang w:val="en-CA"/>
        </w:rPr>
        <w:t>In 1997, the provincial government of Québec, the second most populous province in Canada, initiated a new child-care policy. Licensed child-care service providers began offering day-care spaces at the reduced fee of $5.00 per day per child for children aged 4. By 2000, the policy applied to all children not in kindergarten. Using annual data (1993-2002) drawn from Statistics Canada’s Survey of Labour and Income Dynamics, the results show that the policy had a large and statistically significant impact on the labor supply of mothers with preschool children.</w:t>
      </w:r>
      <w:r w:rsidRPr="00105125">
        <w:rPr>
          <w:rStyle w:val="Appelnotedebasdep"/>
          <w:lang w:val="en-CA"/>
        </w:rPr>
        <w:footnoteReference w:id="62"/>
      </w:r>
    </w:p>
    <w:p w14:paraId="7A6A2A1E" w14:textId="77777777" w:rsidR="0072362A" w:rsidRPr="00105125" w:rsidRDefault="004A7BFD" w:rsidP="0072362A">
      <w:pPr>
        <w:pStyle w:val="Citationenretrait"/>
        <w:jc w:val="right"/>
        <w:rPr>
          <w:lang w:val="en-CA"/>
        </w:rPr>
      </w:pPr>
      <w:r w:rsidRPr="00105125">
        <w:rPr>
          <w:lang w:val="en-CA"/>
        </w:rPr>
        <w:t xml:space="preserve">(Lefebvre &amp; </w:t>
      </w:r>
      <w:proofErr w:type="spellStart"/>
      <w:r w:rsidRPr="00105125">
        <w:rPr>
          <w:lang w:val="en-CA"/>
        </w:rPr>
        <w:t>Merrigan</w:t>
      </w:r>
      <w:proofErr w:type="spellEnd"/>
      <w:r w:rsidRPr="00105125">
        <w:rPr>
          <w:lang w:val="en-CA"/>
        </w:rPr>
        <w:t>)</w:t>
      </w:r>
    </w:p>
    <w:p w14:paraId="55DEADD8" w14:textId="1B382389" w:rsidR="0072362A" w:rsidRPr="00105125" w:rsidRDefault="003E23AC" w:rsidP="00BC2CB0">
      <w:pPr>
        <w:pStyle w:val="Paragraphe"/>
        <w:spacing w:line="280" w:lineRule="exact"/>
        <w:rPr>
          <w:lang w:val="en-CA"/>
        </w:rPr>
      </w:pPr>
      <w:r w:rsidRPr="00105125">
        <w:rPr>
          <w:lang w:val="en-CA"/>
        </w:rPr>
        <w:t xml:space="preserve">Moreover, as Dr. Hanley explained, there is a high degree of consensus in the Canadian and international literature that access to affordable childcare increases women’s participation in the </w:t>
      </w:r>
      <w:r w:rsidR="00391A42">
        <w:rPr>
          <w:lang w:val="en-CA"/>
        </w:rPr>
        <w:t>labour market</w:t>
      </w:r>
      <w:r w:rsidRPr="00105125">
        <w:rPr>
          <w:lang w:val="en-CA"/>
        </w:rPr>
        <w:t>.</w:t>
      </w:r>
      <w:r w:rsidR="004A7BFD" w:rsidRPr="00105125">
        <w:rPr>
          <w:lang w:val="en-CA"/>
        </w:rPr>
        <w:t xml:space="preserve"> </w:t>
      </w:r>
      <w:r w:rsidRPr="00105125">
        <w:rPr>
          <w:lang w:val="en-CA"/>
        </w:rPr>
        <w:t>She state</w:t>
      </w:r>
      <w:r w:rsidR="00DE7B04">
        <w:rPr>
          <w:lang w:val="en-CA"/>
        </w:rPr>
        <w:t>s</w:t>
      </w:r>
      <w:r w:rsidRPr="00105125">
        <w:rPr>
          <w:lang w:val="en-CA"/>
        </w:rPr>
        <w:t xml:space="preserve"> the following:</w:t>
      </w:r>
    </w:p>
    <w:p w14:paraId="5AC01581" w14:textId="77777777" w:rsidR="0072362A" w:rsidRPr="00105125" w:rsidRDefault="004A7BFD" w:rsidP="0072362A">
      <w:pPr>
        <w:pStyle w:val="Citationenretrait"/>
        <w:rPr>
          <w:lang w:val="en-CA"/>
        </w:rPr>
      </w:pPr>
      <w:r w:rsidRPr="00105125">
        <w:rPr>
          <w:lang w:val="en-CA"/>
        </w:rPr>
        <w:t>There is a high degree of consensus in the Canadian and international literature (Quebec, North America, Europe, Latin America) and over several decades, that access to affordable childcare increases women’s (i.e. mothers’) participation in the labour force and, conversely, that high costs of childcare discourage women’s employment.</w:t>
      </w:r>
    </w:p>
    <w:p w14:paraId="1605CE22" w14:textId="77777777" w:rsidR="0072362A" w:rsidRPr="00105125" w:rsidRDefault="004A7BFD" w:rsidP="00E35E35">
      <w:pPr>
        <w:pStyle w:val="Citationenretrait"/>
        <w:spacing w:after="0"/>
        <w:rPr>
          <w:lang w:val="en-CA"/>
        </w:rPr>
      </w:pPr>
      <w:r w:rsidRPr="00105125">
        <w:rPr>
          <w:lang w:val="en-CA"/>
        </w:rPr>
        <w:t>Women continue to have disproportionate responsibility for children within two-parent heterosexual families and such couples are much more likely to decide that the female parent will say home to care for children if the cost or availability of childcare is prohibitive to seeking employment.</w:t>
      </w:r>
      <w:r w:rsidRPr="00105125">
        <w:rPr>
          <w:rStyle w:val="Appelnotedebasdep"/>
          <w:lang w:val="en-CA"/>
        </w:rPr>
        <w:footnoteReference w:id="63"/>
      </w:r>
    </w:p>
    <w:p w14:paraId="77C1A0C6" w14:textId="2DA9457C" w:rsidR="0072362A" w:rsidRPr="00105125" w:rsidRDefault="003E23AC" w:rsidP="005A0DF4">
      <w:pPr>
        <w:pStyle w:val="Citationenretrait"/>
        <w:spacing w:before="0"/>
        <w:jc w:val="right"/>
        <w:rPr>
          <w:lang w:val="en-CA"/>
        </w:rPr>
      </w:pPr>
      <w:r w:rsidRPr="00105125">
        <w:rPr>
          <w:lang w:val="en-CA"/>
        </w:rPr>
        <w:t>[References omitted]</w:t>
      </w:r>
    </w:p>
    <w:p w14:paraId="5A41D57F" w14:textId="4ADCBBDF" w:rsidR="0072362A" w:rsidRPr="00105125" w:rsidRDefault="003E23AC" w:rsidP="005A0DF4">
      <w:pPr>
        <w:pStyle w:val="Paragraphe"/>
        <w:spacing w:line="280" w:lineRule="exact"/>
        <w:rPr>
          <w:lang w:val="en-CA"/>
        </w:rPr>
      </w:pPr>
      <w:r w:rsidRPr="00105125">
        <w:rPr>
          <w:lang w:val="en-CA"/>
        </w:rPr>
        <w:t xml:space="preserve">Dr. Hanley added that the majority of single-parent families are headed by women, which means that when the cost of childcare is too high compared to the salary earned, mothers </w:t>
      </w:r>
      <w:r w:rsidR="00391A42">
        <w:rPr>
          <w:lang w:val="en-CA"/>
        </w:rPr>
        <w:t xml:space="preserve">face </w:t>
      </w:r>
      <w:r w:rsidRPr="00105125">
        <w:rPr>
          <w:lang w:val="en-CA"/>
        </w:rPr>
        <w:t xml:space="preserve">significant barriers to </w:t>
      </w:r>
      <w:r w:rsidR="004631FC">
        <w:rPr>
          <w:lang w:val="en-CA"/>
        </w:rPr>
        <w:t xml:space="preserve">accessing </w:t>
      </w:r>
      <w:r w:rsidRPr="00105125">
        <w:rPr>
          <w:lang w:val="en-CA"/>
        </w:rPr>
        <w:t xml:space="preserve">the </w:t>
      </w:r>
      <w:r w:rsidR="00391A42">
        <w:rPr>
          <w:lang w:val="en-CA"/>
        </w:rPr>
        <w:t>labour market</w:t>
      </w:r>
      <w:r w:rsidRPr="00105125">
        <w:rPr>
          <w:lang w:val="en-CA"/>
        </w:rPr>
        <w:t>.</w:t>
      </w:r>
      <w:r w:rsidRPr="00105125">
        <w:rPr>
          <w:rStyle w:val="Appelnotedebasdep"/>
          <w:lang w:val="en-CA"/>
        </w:rPr>
        <w:footnoteReference w:id="64"/>
      </w:r>
    </w:p>
    <w:p w14:paraId="2AA855DC" w14:textId="1780E14C" w:rsidR="0072362A" w:rsidRPr="00105125" w:rsidRDefault="003E23AC" w:rsidP="005A0DF4">
      <w:pPr>
        <w:pStyle w:val="Paragraphe"/>
        <w:spacing w:line="280" w:lineRule="exact"/>
        <w:rPr>
          <w:lang w:val="en-CA"/>
        </w:rPr>
      </w:pPr>
      <w:r w:rsidRPr="00105125">
        <w:rPr>
          <w:lang w:val="en-CA"/>
        </w:rPr>
        <w:t>With respect to the empirical studies on refugee claimants, Dr. Hanley stated the following:</w:t>
      </w:r>
    </w:p>
    <w:p w14:paraId="16F2A1E8" w14:textId="77777777" w:rsidR="0072362A" w:rsidRPr="00105125" w:rsidRDefault="004A7BFD" w:rsidP="0072362A">
      <w:pPr>
        <w:pStyle w:val="Citationenretrait"/>
        <w:rPr>
          <w:lang w:val="en-CA"/>
        </w:rPr>
      </w:pPr>
      <w:r w:rsidRPr="00105125">
        <w:rPr>
          <w:lang w:val="en-CA"/>
        </w:rPr>
        <w:t>43. In our recent study on refugee claimants, it was clear that childcare would be a necessity for many of our participants to work:</w:t>
      </w:r>
    </w:p>
    <w:p w14:paraId="7539F19B" w14:textId="77777777" w:rsidR="0072362A" w:rsidRPr="00105125" w:rsidRDefault="004A7BFD" w:rsidP="0072362A">
      <w:pPr>
        <w:pStyle w:val="Citationenretrait"/>
        <w:numPr>
          <w:ilvl w:val="0"/>
          <w:numId w:val="29"/>
        </w:numPr>
        <w:rPr>
          <w:lang w:val="en-CA"/>
        </w:rPr>
      </w:pPr>
      <w:r w:rsidRPr="00105125">
        <w:rPr>
          <w:lang w:val="en-CA"/>
        </w:rPr>
        <w:lastRenderedPageBreak/>
        <w:t>53.5% (174) of our 325 respondents had children with them here in Quebec.</w:t>
      </w:r>
    </w:p>
    <w:p w14:paraId="4AF6CD94" w14:textId="454570E1" w:rsidR="0072362A" w:rsidRPr="00105125" w:rsidRDefault="004A7BFD" w:rsidP="0072362A">
      <w:pPr>
        <w:pStyle w:val="Citationenretrait"/>
        <w:numPr>
          <w:ilvl w:val="0"/>
          <w:numId w:val="29"/>
        </w:numPr>
        <w:rPr>
          <w:lang w:val="en-CA"/>
        </w:rPr>
      </w:pPr>
      <w:r w:rsidRPr="00105125">
        <w:rPr>
          <w:lang w:val="en-CA"/>
        </w:rPr>
        <w:t>Of the 174 respondents with children in Quebec, 57% had children who were 0-5 years old and therefore of the age for childcare.</w:t>
      </w:r>
    </w:p>
    <w:p w14:paraId="793993C8" w14:textId="77777777" w:rsidR="0072362A" w:rsidRPr="00105125" w:rsidRDefault="004A7BFD" w:rsidP="0072362A">
      <w:pPr>
        <w:pStyle w:val="Citationenretrait"/>
        <w:numPr>
          <w:ilvl w:val="0"/>
          <w:numId w:val="29"/>
        </w:numPr>
        <w:rPr>
          <w:lang w:val="en-CA"/>
        </w:rPr>
      </w:pPr>
      <w:r w:rsidRPr="00105125">
        <w:rPr>
          <w:lang w:val="en-CA"/>
        </w:rPr>
        <w:t>57.5% of the 174 respondents with children in Quebec did not have a spouse in Quebec and so were, in regard to providing direct care for their children, single parents.</w:t>
      </w:r>
    </w:p>
    <w:p w14:paraId="30E76AE0" w14:textId="77777777" w:rsidR="0072362A" w:rsidRPr="00105125" w:rsidRDefault="004A7BFD" w:rsidP="005A0DF4">
      <w:pPr>
        <w:pStyle w:val="Citationenretrait"/>
        <w:spacing w:after="0"/>
        <w:rPr>
          <w:lang w:val="en-CA"/>
        </w:rPr>
      </w:pPr>
      <w:r w:rsidRPr="00105125">
        <w:rPr>
          <w:lang w:val="en-CA"/>
        </w:rPr>
        <w:t>44. Among those not working, most of them had children under 6 years old (54.5%). A quarter of unemployed respondents with children under 6</w:t>
      </w:r>
      <w:r w:rsidRPr="00105125">
        <w:rPr>
          <w:b/>
          <w:bCs/>
          <w:lang w:val="en-CA"/>
        </w:rPr>
        <w:t xml:space="preserve"> </w:t>
      </w:r>
      <w:r w:rsidRPr="00105125">
        <w:rPr>
          <w:lang w:val="en-CA"/>
        </w:rPr>
        <w:t>say that they are not working because childcare is too expensive. Of these, 100% are women, and 61% are single parents.</w:t>
      </w:r>
      <w:r w:rsidRPr="00105125">
        <w:rPr>
          <w:vertAlign w:val="superscript"/>
          <w:lang w:val="en-CA"/>
        </w:rPr>
        <w:footnoteReference w:id="65"/>
      </w:r>
    </w:p>
    <w:p w14:paraId="38FBD9BC" w14:textId="69FE5757" w:rsidR="0072362A" w:rsidRPr="00105125" w:rsidRDefault="003E23AC" w:rsidP="00E35E35">
      <w:pPr>
        <w:pStyle w:val="Citationenretrait"/>
        <w:spacing w:before="0"/>
        <w:jc w:val="right"/>
        <w:rPr>
          <w:lang w:val="en-CA"/>
        </w:rPr>
      </w:pPr>
      <w:r w:rsidRPr="00105125">
        <w:rPr>
          <w:lang w:val="en-CA"/>
        </w:rPr>
        <w:t>[References omitted, emphasis omitted]</w:t>
      </w:r>
    </w:p>
    <w:p w14:paraId="30DCCA47" w14:textId="29115D5D" w:rsidR="0072362A" w:rsidRPr="00105125" w:rsidRDefault="00234B25" w:rsidP="005A0DF4">
      <w:pPr>
        <w:pStyle w:val="Paragraphe"/>
        <w:spacing w:line="280" w:lineRule="exact"/>
        <w:rPr>
          <w:lang w:val="en-CA"/>
        </w:rPr>
      </w:pPr>
      <w:r w:rsidRPr="00105125">
        <w:rPr>
          <w:lang w:val="en-CA"/>
        </w:rPr>
        <w:t xml:space="preserve">She concluded that many studies have established a link between the lack of access to affordable childcare and women’s access to the </w:t>
      </w:r>
      <w:r w:rsidR="00391A42">
        <w:rPr>
          <w:lang w:val="en-CA"/>
        </w:rPr>
        <w:t>labour market</w:t>
      </w:r>
      <w:r w:rsidRPr="00105125">
        <w:rPr>
          <w:lang w:val="en-CA"/>
        </w:rPr>
        <w:t xml:space="preserve">, more particularly </w:t>
      </w:r>
      <w:r w:rsidR="00853309">
        <w:rPr>
          <w:lang w:val="en-CA"/>
        </w:rPr>
        <w:t xml:space="preserve">women </w:t>
      </w:r>
      <w:r w:rsidRPr="00105125">
        <w:rPr>
          <w:lang w:val="en-CA"/>
        </w:rPr>
        <w:t>refugee claimants.</w:t>
      </w:r>
    </w:p>
    <w:p w14:paraId="2148DC7D" w14:textId="77777777" w:rsidR="0072362A" w:rsidRPr="00105125" w:rsidRDefault="004A7BFD" w:rsidP="0072362A">
      <w:pPr>
        <w:pStyle w:val="Citationenretrait"/>
        <w:rPr>
          <w:lang w:val="en-CA"/>
        </w:rPr>
      </w:pPr>
      <w:r w:rsidRPr="00105125">
        <w:rPr>
          <w:lang w:val="en-CA"/>
        </w:rPr>
        <w:t>58. I have reviewed the Canadian and international literature on the topic of the effects of affordable childcare and offered some preliminary quantitative and qualitative data from Quebec-specific research. We can be very confident that the exclusion of refugee claimants – a highly racialized population – from Quebec’s subsidized childcare program results in the following effects:</w:t>
      </w:r>
    </w:p>
    <w:p w14:paraId="033F60F6" w14:textId="77777777" w:rsidR="0072362A" w:rsidRPr="00105125" w:rsidRDefault="004A7BFD" w:rsidP="0072362A">
      <w:pPr>
        <w:pStyle w:val="Citationenretrait"/>
        <w:ind w:left="1440"/>
        <w:rPr>
          <w:lang w:val="en-CA"/>
        </w:rPr>
      </w:pPr>
      <w:r w:rsidRPr="00105125">
        <w:rPr>
          <w:lang w:val="en-CA"/>
        </w:rPr>
        <w:t>A. Many parents – particularly mothers, and even more so single mothers – of young children are unable to access the labour market in the absence of affordable childcare.</w:t>
      </w:r>
    </w:p>
    <w:p w14:paraId="31775DAA" w14:textId="77777777" w:rsidR="0072362A" w:rsidRPr="00105125" w:rsidRDefault="004A7BFD" w:rsidP="0072362A">
      <w:pPr>
        <w:pStyle w:val="Citationenretrait"/>
        <w:ind w:left="1440"/>
        <w:rPr>
          <w:lang w:val="en-CA"/>
        </w:rPr>
      </w:pPr>
      <w:r w:rsidRPr="00105125">
        <w:rPr>
          <w:lang w:val="en-CA"/>
        </w:rPr>
        <w:t>B. Parents denied access to the labour market find themselves dependent on Last Resort Financial Assistance, at high cost both for the state and in terms of parents’ financial and social wellbeing.</w:t>
      </w:r>
    </w:p>
    <w:p w14:paraId="4B510140" w14:textId="77777777" w:rsidR="0072362A" w:rsidRPr="00105125" w:rsidRDefault="004A7BFD" w:rsidP="0072362A">
      <w:pPr>
        <w:pStyle w:val="Citationenretrait"/>
        <w:ind w:left="1440"/>
        <w:rPr>
          <w:lang w:val="en-CA"/>
        </w:rPr>
      </w:pPr>
      <w:r w:rsidRPr="00105125">
        <w:rPr>
          <w:lang w:val="en-CA"/>
        </w:rPr>
        <w:t>C. Other parents enter the workforce while either paying an unreasonably high proportion of their income on childcare (introducing other budgetary problems) or relying on informal, unregulated childcare (introducing instability into their job tenure).</w:t>
      </w:r>
    </w:p>
    <w:p w14:paraId="7DA9D175" w14:textId="77777777" w:rsidR="0072362A" w:rsidRPr="00105125" w:rsidRDefault="004A7BFD" w:rsidP="0072362A">
      <w:pPr>
        <w:pStyle w:val="Citationenretrait"/>
        <w:ind w:left="1440"/>
        <w:rPr>
          <w:lang w:val="en-CA"/>
        </w:rPr>
      </w:pPr>
      <w:r w:rsidRPr="00105125">
        <w:rPr>
          <w:lang w:val="en-CA"/>
        </w:rPr>
        <w:t xml:space="preserve">D. Refugee claimants who are unable to work while their children are preschool age (the claims process takes years to complete) face lifelong employment effects related to deskilling, earning potential and career </w:t>
      </w:r>
      <w:r w:rsidRPr="00105125">
        <w:rPr>
          <w:lang w:val="en-CA"/>
        </w:rPr>
        <w:lastRenderedPageBreak/>
        <w:t>trajectories that will follow many of them into their lives as Permanent Residents and, eventually, Canadian citizens.</w:t>
      </w:r>
    </w:p>
    <w:p w14:paraId="76D57434" w14:textId="77777777" w:rsidR="0072362A" w:rsidRPr="00105125" w:rsidRDefault="004A7BFD" w:rsidP="0072362A">
      <w:pPr>
        <w:pStyle w:val="Citationenretrait"/>
        <w:ind w:left="1440"/>
        <w:rPr>
          <w:lang w:val="en-CA"/>
        </w:rPr>
      </w:pPr>
      <w:r w:rsidRPr="00105125">
        <w:rPr>
          <w:lang w:val="en-CA"/>
        </w:rPr>
        <w:t>E. Denial of subsidized childcare to refugee claimants creates social exclusion. Refugee claimants may feel unable to contribute socially while experiencing reinforced dependence on social assistance and many parents feel acutely that their children are being denied opportunities for development and social connection.</w:t>
      </w:r>
      <w:r w:rsidRPr="00105125">
        <w:rPr>
          <w:rStyle w:val="Appelnotedebasdep"/>
          <w:lang w:val="en-CA"/>
        </w:rPr>
        <w:footnoteReference w:id="66"/>
      </w:r>
    </w:p>
    <w:p w14:paraId="75D7F516" w14:textId="6FB366C6" w:rsidR="0072362A" w:rsidRPr="00105125" w:rsidRDefault="00391A42" w:rsidP="005A0DF4">
      <w:pPr>
        <w:pStyle w:val="Paragraphe"/>
        <w:spacing w:line="280" w:lineRule="exact"/>
        <w:rPr>
          <w:lang w:val="en-CA"/>
        </w:rPr>
      </w:pPr>
      <w:r>
        <w:rPr>
          <w:lang w:val="en-CA"/>
        </w:rPr>
        <w:t>The AGQ did not contradict t</w:t>
      </w:r>
      <w:r w:rsidR="00234B25" w:rsidRPr="00105125">
        <w:rPr>
          <w:lang w:val="en-CA"/>
        </w:rPr>
        <w:t>hese findings</w:t>
      </w:r>
      <w:r>
        <w:rPr>
          <w:lang w:val="en-CA"/>
        </w:rPr>
        <w:t>,</w:t>
      </w:r>
      <w:r w:rsidR="00234B25" w:rsidRPr="00105125">
        <w:rPr>
          <w:lang w:val="en-CA"/>
        </w:rPr>
        <w:t xml:space="preserve"> </w:t>
      </w:r>
      <w:r>
        <w:rPr>
          <w:lang w:val="en-CA"/>
        </w:rPr>
        <w:t xml:space="preserve">by </w:t>
      </w:r>
      <w:r w:rsidR="00234B25" w:rsidRPr="00105125">
        <w:rPr>
          <w:lang w:val="en-CA"/>
        </w:rPr>
        <w:t>an expert or otherwise.</w:t>
      </w:r>
    </w:p>
    <w:p w14:paraId="78E2331E" w14:textId="46880F64" w:rsidR="0072362A" w:rsidRPr="00105125" w:rsidRDefault="00234B25" w:rsidP="005A0DF4">
      <w:pPr>
        <w:pStyle w:val="Paragraphe"/>
        <w:spacing w:line="280" w:lineRule="exact"/>
        <w:rPr>
          <w:lang w:val="en-CA"/>
        </w:rPr>
      </w:pPr>
      <w:r w:rsidRPr="00105125">
        <w:rPr>
          <w:lang w:val="en-CA"/>
        </w:rPr>
        <w:t xml:space="preserve">In </w:t>
      </w:r>
      <w:r w:rsidRPr="00105125">
        <w:rPr>
          <w:i/>
          <w:lang w:val="en-CA"/>
        </w:rPr>
        <w:t>Sharma</w:t>
      </w:r>
      <w:r w:rsidRPr="00105125">
        <w:rPr>
          <w:lang w:val="en-CA"/>
        </w:rPr>
        <w:t>, the Supreme Court set out the factors courts should consider to confirm the causation burden at step one of the analysis of a section 15(1) claim:</w:t>
      </w:r>
    </w:p>
    <w:p w14:paraId="18CFF5EB" w14:textId="2365A5B5" w:rsidR="0072362A" w:rsidRPr="00105125" w:rsidRDefault="004A7BFD" w:rsidP="0072362A">
      <w:pPr>
        <w:pStyle w:val="Citationenretrait"/>
        <w:rPr>
          <w:lang w:val="en-CA"/>
        </w:rPr>
      </w:pPr>
      <w:r w:rsidRPr="00105125">
        <w:rPr>
          <w:lang w:val="en-CA"/>
        </w:rPr>
        <w:t xml:space="preserve">[49] … </w:t>
      </w:r>
      <w:r w:rsidR="00791652" w:rsidRPr="00105125">
        <w:rPr>
          <w:color w:val="000000"/>
          <w:lang w:val="en-CA"/>
        </w:rPr>
        <w:t>Ideally, claims of adverse impact discrimination should be supported by </w:t>
      </w:r>
      <w:r w:rsidR="00791652" w:rsidRPr="00105125">
        <w:rPr>
          <w:i/>
          <w:iCs/>
          <w:color w:val="000000"/>
          <w:lang w:val="en-CA"/>
        </w:rPr>
        <w:t>both</w:t>
      </w:r>
      <w:r w:rsidR="00791652" w:rsidRPr="00105125">
        <w:rPr>
          <w:color w:val="000000"/>
          <w:lang w:val="en-CA"/>
        </w:rPr>
        <w:t> (para. 60). To give proper effect to the promise of s. 15(1), however, a claimant’s evidentiary burden cannot be unduly difficult to meet. In that regard, courts should bear in mind the following considerations:</w:t>
      </w:r>
    </w:p>
    <w:p w14:paraId="7D1A0120" w14:textId="7D2FFB66" w:rsidR="0072362A" w:rsidRPr="00105125" w:rsidRDefault="00791652" w:rsidP="0072362A">
      <w:pPr>
        <w:pStyle w:val="Citationenretrait"/>
        <w:rPr>
          <w:lang w:val="en-CA"/>
        </w:rPr>
      </w:pPr>
      <w:r w:rsidRPr="00105125">
        <w:rPr>
          <w:color w:val="000000"/>
          <w:lang w:val="en-CA"/>
        </w:rPr>
        <w:t>(a)</w:t>
      </w:r>
      <w:r w:rsidRPr="00105125">
        <w:rPr>
          <w:color w:val="000000"/>
          <w:sz w:val="14"/>
          <w:szCs w:val="14"/>
          <w:lang w:val="en-CA"/>
        </w:rPr>
        <w:t>   </w:t>
      </w:r>
      <w:r w:rsidRPr="00105125">
        <w:rPr>
          <w:color w:val="000000"/>
          <w:lang w:val="en-CA"/>
        </w:rPr>
        <w:t>No specific form of evidence is required.</w:t>
      </w:r>
    </w:p>
    <w:p w14:paraId="69AA10C6" w14:textId="193E11AA" w:rsidR="0072362A" w:rsidRPr="00105125" w:rsidRDefault="00791652" w:rsidP="0072362A">
      <w:pPr>
        <w:pStyle w:val="Citationenretrait"/>
        <w:rPr>
          <w:lang w:val="en-CA"/>
        </w:rPr>
      </w:pPr>
      <w:r w:rsidRPr="00105125">
        <w:rPr>
          <w:color w:val="000000"/>
          <w:lang w:val="en-CA"/>
        </w:rPr>
        <w:t>(b)</w:t>
      </w:r>
      <w:r w:rsidRPr="00105125">
        <w:rPr>
          <w:color w:val="000000"/>
          <w:sz w:val="14"/>
          <w:szCs w:val="14"/>
          <w:lang w:val="en-CA"/>
        </w:rPr>
        <w:t>   </w:t>
      </w:r>
      <w:r w:rsidRPr="00105125">
        <w:rPr>
          <w:color w:val="000000"/>
          <w:lang w:val="en-CA"/>
        </w:rPr>
        <w:t>The claimant need not show the impugned law or state action was the </w:t>
      </w:r>
      <w:r w:rsidRPr="00105125">
        <w:rPr>
          <w:i/>
          <w:iCs/>
          <w:color w:val="000000"/>
          <w:lang w:val="en-CA"/>
        </w:rPr>
        <w:t>only </w:t>
      </w:r>
      <w:r w:rsidRPr="00105125">
        <w:rPr>
          <w:color w:val="000000"/>
          <w:lang w:val="en-CA"/>
        </w:rPr>
        <w:t>or the</w:t>
      </w:r>
      <w:r w:rsidRPr="00105125">
        <w:rPr>
          <w:i/>
          <w:iCs/>
          <w:color w:val="000000"/>
          <w:lang w:val="en-CA"/>
        </w:rPr>
        <w:t> dominant</w:t>
      </w:r>
      <w:r w:rsidRPr="00105125">
        <w:rPr>
          <w:color w:val="000000"/>
          <w:lang w:val="en-CA"/>
        </w:rPr>
        <w:t xml:space="preserve"> cause of the disproportionate impact </w:t>
      </w:r>
      <w:r w:rsidRPr="00105125">
        <w:rPr>
          <w:rFonts w:ascii="Tahoma" w:hAnsi="Tahoma" w:cs="Tahoma"/>
          <w:color w:val="000000"/>
          <w:lang w:val="en-CA"/>
        </w:rPr>
        <w:t>⸺</w:t>
      </w:r>
      <w:r w:rsidRPr="00105125">
        <w:rPr>
          <w:color w:val="000000"/>
          <w:lang w:val="en-CA"/>
        </w:rPr>
        <w:t xml:space="preserve"> they need only demonstrate that the law was </w:t>
      </w:r>
      <w:r w:rsidRPr="00105125">
        <w:rPr>
          <w:i/>
          <w:iCs/>
          <w:color w:val="000000"/>
          <w:lang w:val="en-CA"/>
        </w:rPr>
        <w:t>a</w:t>
      </w:r>
      <w:r w:rsidRPr="00105125">
        <w:rPr>
          <w:color w:val="000000"/>
          <w:lang w:val="en-CA"/>
        </w:rPr>
        <w:t> cause (that is, the law created</w:t>
      </w:r>
      <w:r w:rsidRPr="00105125">
        <w:rPr>
          <w:i/>
          <w:iCs/>
          <w:color w:val="000000"/>
          <w:lang w:val="en-CA"/>
        </w:rPr>
        <w:t> or contributed to </w:t>
      </w:r>
      <w:r w:rsidRPr="00105125">
        <w:rPr>
          <w:color w:val="000000"/>
          <w:lang w:val="en-CA"/>
        </w:rPr>
        <w:t>the disproportionate impact on a protected group).</w:t>
      </w:r>
    </w:p>
    <w:p w14:paraId="3C52685A" w14:textId="332B3473" w:rsidR="0072362A" w:rsidRPr="00105125" w:rsidRDefault="00791652" w:rsidP="0072362A">
      <w:pPr>
        <w:pStyle w:val="Citationenretrait"/>
        <w:rPr>
          <w:lang w:val="en-CA"/>
        </w:rPr>
      </w:pPr>
      <w:r w:rsidRPr="00105125">
        <w:rPr>
          <w:color w:val="000000"/>
          <w:lang w:val="en-CA"/>
        </w:rPr>
        <w:t>(c)</w:t>
      </w:r>
      <w:r w:rsidRPr="00105125">
        <w:rPr>
          <w:color w:val="000000"/>
          <w:sz w:val="14"/>
          <w:szCs w:val="14"/>
          <w:lang w:val="en-CA"/>
        </w:rPr>
        <w:t>   </w:t>
      </w:r>
      <w:r w:rsidRPr="00105125">
        <w:rPr>
          <w:color w:val="000000"/>
          <w:lang w:val="en-CA"/>
        </w:rPr>
        <w:t>The causal connection may be satisfied by a reasonable inference. Depending on the impugned law or state action at issue, causation may be obvious and require no evidence. Where evidence is required, courts should remain mindful that statistics may not be available. Expert testimony, case studies, or other qualitative evidence may be sufficient. In all circumstances, courts should examine evidence that purports to demonstrate a causal connection to ensure that it conforms with standards associated to its discipline</w:t>
      </w:r>
      <w:r w:rsidR="004A7BFD" w:rsidRPr="00105125">
        <w:rPr>
          <w:lang w:val="en-CA"/>
        </w:rPr>
        <w:t>.</w:t>
      </w:r>
    </w:p>
    <w:p w14:paraId="407A182A" w14:textId="5D25AAA1" w:rsidR="0072362A" w:rsidRPr="00105125" w:rsidRDefault="00791652" w:rsidP="0072362A">
      <w:pPr>
        <w:pStyle w:val="Citationenretrait"/>
        <w:rPr>
          <w:lang w:val="en-CA"/>
        </w:rPr>
      </w:pPr>
      <w:r w:rsidRPr="00105125">
        <w:rPr>
          <w:color w:val="000000"/>
          <w:lang w:val="en-CA"/>
        </w:rPr>
        <w:t>(d)</w:t>
      </w:r>
      <w:r w:rsidRPr="00105125">
        <w:rPr>
          <w:color w:val="000000"/>
          <w:sz w:val="14"/>
          <w:szCs w:val="14"/>
          <w:lang w:val="en-CA"/>
        </w:rPr>
        <w:t>   </w:t>
      </w:r>
      <w:r w:rsidRPr="00105125">
        <w:rPr>
          <w:color w:val="000000"/>
          <w:lang w:val="en-CA"/>
        </w:rPr>
        <w:t>Courts should carefully scrutinize scientific evidence (see National Judicial Institute, </w:t>
      </w:r>
      <w:r w:rsidRPr="00105125">
        <w:rPr>
          <w:i/>
          <w:iCs/>
          <w:color w:val="000000"/>
          <w:lang w:val="en-CA"/>
        </w:rPr>
        <w:t>Science Manual for Canadian Judges</w:t>
      </w:r>
      <w:r w:rsidRPr="00105125">
        <w:rPr>
          <w:color w:val="000000"/>
          <w:lang w:val="en-CA"/>
        </w:rPr>
        <w:t> (2018); see also National Research Council and Federal Judicial Center, </w:t>
      </w:r>
      <w:r w:rsidRPr="00105125">
        <w:rPr>
          <w:i/>
          <w:iCs/>
          <w:color w:val="000000"/>
          <w:lang w:val="en-CA"/>
        </w:rPr>
        <w:t>Reference Manual on Scientific Evidence</w:t>
      </w:r>
      <w:r w:rsidRPr="00105125">
        <w:rPr>
          <w:color w:val="000000"/>
          <w:lang w:val="en-CA"/>
        </w:rPr>
        <w:t> (3rd ed. 2011)).</w:t>
      </w:r>
    </w:p>
    <w:p w14:paraId="26FDEA70" w14:textId="4806614F" w:rsidR="0072362A" w:rsidRPr="00105125" w:rsidRDefault="00791652" w:rsidP="0072362A">
      <w:pPr>
        <w:pStyle w:val="Citationenretrait"/>
        <w:rPr>
          <w:lang w:val="en-CA"/>
        </w:rPr>
      </w:pPr>
      <w:r w:rsidRPr="00105125">
        <w:rPr>
          <w:color w:val="000000"/>
          <w:lang w:val="en-CA"/>
        </w:rPr>
        <w:lastRenderedPageBreak/>
        <w:t>(e)</w:t>
      </w:r>
      <w:r w:rsidRPr="00105125">
        <w:rPr>
          <w:color w:val="000000"/>
          <w:sz w:val="14"/>
          <w:szCs w:val="14"/>
          <w:lang w:val="en-CA"/>
        </w:rPr>
        <w:t>   </w:t>
      </w:r>
      <w:r w:rsidRPr="00105125">
        <w:rPr>
          <w:color w:val="000000"/>
          <w:lang w:val="en-CA"/>
        </w:rPr>
        <w:t>If the scientific evidence is novel, courts should admit it only if it has a “reliable foundation” (</w:t>
      </w:r>
      <w:r w:rsidRPr="00105125">
        <w:rPr>
          <w:i/>
          <w:iCs/>
          <w:color w:val="000000"/>
          <w:lang w:val="en-CA"/>
        </w:rPr>
        <w:t>R. v. J.-L.J.</w:t>
      </w:r>
      <w:r w:rsidRPr="00105125">
        <w:rPr>
          <w:color w:val="000000"/>
          <w:lang w:val="en-CA"/>
        </w:rPr>
        <w:t>, </w:t>
      </w:r>
      <w:r w:rsidRPr="00105125">
        <w:rPr>
          <w:lang w:val="en-CA"/>
        </w:rPr>
        <w:t>2000 SCC 51</w:t>
      </w:r>
      <w:r w:rsidRPr="00105125">
        <w:rPr>
          <w:color w:val="000000"/>
          <w:lang w:val="en-CA"/>
        </w:rPr>
        <w:t>, [2000] 2 S.C.R. 600, at para. </w:t>
      </w:r>
      <w:r w:rsidRPr="00105125">
        <w:rPr>
          <w:lang w:val="en-CA"/>
        </w:rPr>
        <w:t>33</w:t>
      </w:r>
      <w:r w:rsidRPr="00105125">
        <w:rPr>
          <w:color w:val="000000"/>
          <w:lang w:val="en-CA"/>
        </w:rPr>
        <w:t>; see also </w:t>
      </w:r>
      <w:r w:rsidRPr="00105125">
        <w:rPr>
          <w:i/>
          <w:iCs/>
          <w:color w:val="000000"/>
          <w:lang w:val="en-CA"/>
        </w:rPr>
        <w:t xml:space="preserve">R. v. </w:t>
      </w:r>
      <w:proofErr w:type="spellStart"/>
      <w:r w:rsidRPr="00105125">
        <w:rPr>
          <w:i/>
          <w:iCs/>
          <w:color w:val="000000"/>
          <w:lang w:val="en-CA"/>
        </w:rPr>
        <w:t>Trochym</w:t>
      </w:r>
      <w:proofErr w:type="spellEnd"/>
      <w:r w:rsidRPr="00105125">
        <w:rPr>
          <w:color w:val="000000"/>
          <w:lang w:val="en-CA"/>
        </w:rPr>
        <w:t>, </w:t>
      </w:r>
      <w:r w:rsidRPr="00105125">
        <w:rPr>
          <w:lang w:val="en-CA"/>
        </w:rPr>
        <w:t>2007 SCC 6</w:t>
      </w:r>
      <w:r w:rsidRPr="00105125">
        <w:rPr>
          <w:color w:val="000000"/>
          <w:lang w:val="en-CA"/>
        </w:rPr>
        <w:t>, [2007] 1 S.C.R. 239, at para. </w:t>
      </w:r>
      <w:r w:rsidRPr="00105125">
        <w:rPr>
          <w:lang w:val="en-CA"/>
        </w:rPr>
        <w:t>36</w:t>
      </w:r>
      <w:r w:rsidRPr="00105125">
        <w:rPr>
          <w:color w:val="000000"/>
          <w:lang w:val="en-CA"/>
        </w:rPr>
        <w:t>)</w:t>
      </w:r>
      <w:r w:rsidR="004A7BFD" w:rsidRPr="00105125">
        <w:rPr>
          <w:lang w:val="en-CA"/>
        </w:rPr>
        <w:t>.</w:t>
      </w:r>
      <w:r w:rsidR="004A7BFD" w:rsidRPr="00105125">
        <w:rPr>
          <w:rStyle w:val="Appelnotedebasdep"/>
          <w:lang w:val="en-CA"/>
        </w:rPr>
        <w:footnoteReference w:id="67"/>
      </w:r>
    </w:p>
    <w:p w14:paraId="761782BB" w14:textId="150834A3" w:rsidR="0072362A" w:rsidRPr="00105125" w:rsidRDefault="00234B25" w:rsidP="005A0DF4">
      <w:pPr>
        <w:pStyle w:val="Paragraphe"/>
        <w:spacing w:line="280" w:lineRule="exact"/>
        <w:rPr>
          <w:lang w:val="en-CA"/>
        </w:rPr>
      </w:pPr>
      <w:r w:rsidRPr="00105125">
        <w:rPr>
          <w:lang w:val="en-CA"/>
        </w:rPr>
        <w:t>In this case, Dr. Hanley’s studies are recent.</w:t>
      </w:r>
      <w:r w:rsidR="004A7BFD" w:rsidRPr="00105125">
        <w:rPr>
          <w:lang w:val="en-CA"/>
        </w:rPr>
        <w:t xml:space="preserve"> </w:t>
      </w:r>
      <w:r w:rsidRPr="00105125">
        <w:rPr>
          <w:lang w:val="en-CA"/>
        </w:rPr>
        <w:t xml:space="preserve">They have a </w:t>
      </w:r>
      <w:r w:rsidR="004B05CA">
        <w:rPr>
          <w:lang w:val="en-CA"/>
        </w:rPr>
        <w:t xml:space="preserve">reliable basis, </w:t>
      </w:r>
      <w:r w:rsidRPr="00105125">
        <w:rPr>
          <w:lang w:val="en-CA"/>
        </w:rPr>
        <w:t>however</w:t>
      </w:r>
      <w:r w:rsidR="004B05CA">
        <w:rPr>
          <w:lang w:val="en-CA"/>
        </w:rPr>
        <w:t>,</w:t>
      </w:r>
      <w:r w:rsidRPr="00105125">
        <w:rPr>
          <w:lang w:val="en-CA"/>
        </w:rPr>
        <w:t xml:space="preserve"> since the disadvantages </w:t>
      </w:r>
      <w:r w:rsidR="00957236">
        <w:rPr>
          <w:lang w:val="en-CA"/>
        </w:rPr>
        <w:t>suffered by</w:t>
      </w:r>
      <w:r w:rsidR="00957236" w:rsidRPr="00105125">
        <w:rPr>
          <w:lang w:val="en-CA"/>
        </w:rPr>
        <w:t xml:space="preserve"> </w:t>
      </w:r>
      <w:r w:rsidRPr="00105125">
        <w:rPr>
          <w:lang w:val="en-CA"/>
        </w:rPr>
        <w:t xml:space="preserve">women who want to </w:t>
      </w:r>
      <w:r w:rsidR="004B05CA">
        <w:rPr>
          <w:lang w:val="en-CA"/>
        </w:rPr>
        <w:t xml:space="preserve">access </w:t>
      </w:r>
      <w:r w:rsidRPr="00105125">
        <w:rPr>
          <w:lang w:val="en-CA"/>
        </w:rPr>
        <w:t xml:space="preserve">the </w:t>
      </w:r>
      <w:r w:rsidR="00391A42">
        <w:rPr>
          <w:lang w:val="en-CA"/>
        </w:rPr>
        <w:t>labour market</w:t>
      </w:r>
      <w:r w:rsidRPr="00105125">
        <w:rPr>
          <w:lang w:val="en-CA"/>
        </w:rPr>
        <w:t xml:space="preserve"> have been </w:t>
      </w:r>
      <w:r w:rsidR="004B05CA">
        <w:rPr>
          <w:lang w:val="en-CA"/>
        </w:rPr>
        <w:t xml:space="preserve">recognized </w:t>
      </w:r>
      <w:r w:rsidR="00A67E42">
        <w:rPr>
          <w:lang w:val="en-CA"/>
        </w:rPr>
        <w:t>by</w:t>
      </w:r>
      <w:r w:rsidR="00A67E42" w:rsidRPr="00105125">
        <w:rPr>
          <w:lang w:val="en-CA"/>
        </w:rPr>
        <w:t xml:space="preserve"> </w:t>
      </w:r>
      <w:r w:rsidRPr="00105125">
        <w:rPr>
          <w:lang w:val="en-CA"/>
        </w:rPr>
        <w:t xml:space="preserve">the </w:t>
      </w:r>
      <w:r w:rsidR="00A67E42">
        <w:rPr>
          <w:lang w:val="en-CA"/>
        </w:rPr>
        <w:t xml:space="preserve">jurisprudence </w:t>
      </w:r>
      <w:r w:rsidR="00957236">
        <w:rPr>
          <w:lang w:val="en-CA"/>
        </w:rPr>
        <w:t xml:space="preserve">of the </w:t>
      </w:r>
      <w:r w:rsidRPr="00105125">
        <w:rPr>
          <w:lang w:val="en-CA"/>
        </w:rPr>
        <w:t>Supreme Court on this issue.</w:t>
      </w:r>
    </w:p>
    <w:p w14:paraId="7EFF3B0A" w14:textId="64718E9B" w:rsidR="0072362A" w:rsidRPr="00105125" w:rsidRDefault="00234B25" w:rsidP="005A0DF4">
      <w:pPr>
        <w:pStyle w:val="Paragraphe"/>
        <w:spacing w:line="280" w:lineRule="exact"/>
        <w:rPr>
          <w:lang w:val="en-CA"/>
        </w:rPr>
      </w:pPr>
      <w:r w:rsidRPr="00105125">
        <w:rPr>
          <w:lang w:val="en-CA"/>
        </w:rPr>
        <w:t xml:space="preserve">It has long been </w:t>
      </w:r>
      <w:r w:rsidR="004B05CA">
        <w:rPr>
          <w:lang w:val="en-CA"/>
        </w:rPr>
        <w:t xml:space="preserve">recognized </w:t>
      </w:r>
      <w:r w:rsidRPr="00105125">
        <w:rPr>
          <w:lang w:val="en-CA"/>
        </w:rPr>
        <w:t xml:space="preserve">that women are disadvantaged </w:t>
      </w:r>
      <w:r w:rsidR="00957236">
        <w:rPr>
          <w:lang w:val="en-CA"/>
        </w:rPr>
        <w:t>i</w:t>
      </w:r>
      <w:r w:rsidR="00957236" w:rsidRPr="00105125">
        <w:rPr>
          <w:lang w:val="en-CA"/>
        </w:rPr>
        <w:t xml:space="preserve">n </w:t>
      </w:r>
      <w:r w:rsidRPr="00105125">
        <w:rPr>
          <w:lang w:val="en-CA"/>
        </w:rPr>
        <w:t xml:space="preserve">the </w:t>
      </w:r>
      <w:r w:rsidR="00391A42">
        <w:rPr>
          <w:lang w:val="en-CA"/>
        </w:rPr>
        <w:t>labour market</w:t>
      </w:r>
      <w:r w:rsidRPr="00105125">
        <w:rPr>
          <w:lang w:val="en-CA"/>
        </w:rPr>
        <w:t xml:space="preserve"> due to their family responsibilities.</w:t>
      </w:r>
      <w:r w:rsidR="004A7BFD" w:rsidRPr="00105125">
        <w:rPr>
          <w:lang w:val="en-CA"/>
        </w:rPr>
        <w:t xml:space="preserve"> </w:t>
      </w:r>
      <w:r w:rsidRPr="00105125">
        <w:rPr>
          <w:lang w:val="en-CA"/>
        </w:rPr>
        <w:t xml:space="preserve">In </w:t>
      </w:r>
      <w:r w:rsidRPr="00105125">
        <w:rPr>
          <w:i/>
          <w:lang w:val="en-CA"/>
        </w:rPr>
        <w:t>Fraser</w:t>
      </w:r>
      <w:r w:rsidRPr="00105125">
        <w:rPr>
          <w:lang w:val="en-CA"/>
        </w:rPr>
        <w:t xml:space="preserve">, </w:t>
      </w:r>
      <w:proofErr w:type="spellStart"/>
      <w:r w:rsidRPr="00105125">
        <w:rPr>
          <w:lang w:val="en-CA"/>
        </w:rPr>
        <w:t>Abella</w:t>
      </w:r>
      <w:proofErr w:type="spellEnd"/>
      <w:r w:rsidRPr="00105125">
        <w:rPr>
          <w:lang w:val="en-CA"/>
        </w:rPr>
        <w:t xml:space="preserve"> J. stated that the Court has recognized these disadvantages:</w:t>
      </w:r>
    </w:p>
    <w:p w14:paraId="2088D942" w14:textId="581AF044" w:rsidR="0072362A" w:rsidRPr="00105125" w:rsidRDefault="004A7BFD" w:rsidP="0072362A">
      <w:pPr>
        <w:pStyle w:val="Citationenretrait"/>
        <w:rPr>
          <w:lang w:val="en-CA"/>
        </w:rPr>
      </w:pPr>
      <w:r w:rsidRPr="00105125">
        <w:rPr>
          <w:lang w:val="en-CA"/>
        </w:rPr>
        <w:t>[103]</w:t>
      </w:r>
      <w:r w:rsidRPr="00105125">
        <w:rPr>
          <w:lang w:val="en-CA"/>
        </w:rPr>
        <w:tab/>
      </w:r>
      <w:r w:rsidR="002C660A" w:rsidRPr="00105125">
        <w:rPr>
          <w:color w:val="000000"/>
          <w:sz w:val="14"/>
          <w:szCs w:val="14"/>
          <w:lang w:val="en-CA"/>
        </w:rPr>
        <w:t> </w:t>
      </w:r>
      <w:r w:rsidR="002C660A" w:rsidRPr="00105125">
        <w:rPr>
          <w:color w:val="000000"/>
          <w:lang w:val="en-CA"/>
        </w:rPr>
        <w:t>Judgments of this Court have also recognized that women face disadvantages in the workplace because of their largely singular responsibility for domestic work. The Court has acknowledged the sacrifices women make at work “for the sake of domestic considerations” (</w:t>
      </w:r>
      <w:proofErr w:type="spellStart"/>
      <w:r w:rsidR="002C660A" w:rsidRPr="00105125">
        <w:rPr>
          <w:i/>
          <w:iCs/>
          <w:color w:val="000000"/>
          <w:lang w:val="en-CA"/>
        </w:rPr>
        <w:t>Moge</w:t>
      </w:r>
      <w:proofErr w:type="spellEnd"/>
      <w:r w:rsidR="002C660A" w:rsidRPr="00105125">
        <w:rPr>
          <w:color w:val="000000"/>
          <w:lang w:val="en-CA"/>
        </w:rPr>
        <w:t> </w:t>
      </w:r>
      <w:r w:rsidR="002C660A" w:rsidRPr="00105125">
        <w:rPr>
          <w:i/>
          <w:iCs/>
          <w:color w:val="000000"/>
          <w:lang w:val="en-CA"/>
        </w:rPr>
        <w:t xml:space="preserve">v. </w:t>
      </w:r>
      <w:proofErr w:type="spellStart"/>
      <w:r w:rsidR="002C660A" w:rsidRPr="00105125">
        <w:rPr>
          <w:i/>
          <w:iCs/>
          <w:color w:val="000000"/>
          <w:lang w:val="en-CA"/>
        </w:rPr>
        <w:t>Moge</w:t>
      </w:r>
      <w:proofErr w:type="spellEnd"/>
      <w:r w:rsidR="002C660A" w:rsidRPr="00105125">
        <w:rPr>
          <w:color w:val="000000"/>
          <w:lang w:val="en-CA"/>
        </w:rPr>
        <w:t>, [1992] 3 S.C.R. 813, at p. 861;</w:t>
      </w:r>
      <w:r w:rsidR="002C660A" w:rsidRPr="00105125">
        <w:rPr>
          <w:i/>
          <w:iCs/>
          <w:color w:val="000000"/>
          <w:lang w:val="en-CA"/>
        </w:rPr>
        <w:t> New Brunswick (Minister of Health and Community Services) v. G. (J.)</w:t>
      </w:r>
      <w:r w:rsidR="002C660A" w:rsidRPr="00105125">
        <w:rPr>
          <w:color w:val="000000"/>
          <w:lang w:val="en-CA"/>
        </w:rPr>
        <w:t>, [1999] 3 S.C.R. 46, at para. </w:t>
      </w:r>
      <w:r w:rsidR="002C660A" w:rsidRPr="00105125">
        <w:rPr>
          <w:lang w:val="en-CA"/>
        </w:rPr>
        <w:t>113</w:t>
      </w:r>
      <w:r w:rsidR="002C660A" w:rsidRPr="00105125">
        <w:rPr>
          <w:color w:val="000000"/>
          <w:lang w:val="en-CA"/>
        </w:rPr>
        <w:t>, per</w:t>
      </w:r>
      <w:r w:rsidR="002C660A" w:rsidRPr="00105125">
        <w:rPr>
          <w:i/>
          <w:iCs/>
          <w:color w:val="000000"/>
          <w:lang w:val="en-CA"/>
        </w:rPr>
        <w:t> </w:t>
      </w:r>
      <w:proofErr w:type="spellStart"/>
      <w:r w:rsidR="002C660A" w:rsidRPr="00105125">
        <w:rPr>
          <w:color w:val="000000"/>
          <w:lang w:val="en-CA"/>
        </w:rPr>
        <w:t>L’Heureux</w:t>
      </w:r>
      <w:proofErr w:type="spellEnd"/>
      <w:r w:rsidR="002C660A" w:rsidRPr="00105125">
        <w:rPr>
          <w:color w:val="000000"/>
          <w:lang w:val="en-CA"/>
        </w:rPr>
        <w:noBreakHyphen/>
        <w:t>Dubé J., concurring); and that “women bear a disproportionate share of the child care burden in Canada” (</w:t>
      </w:r>
      <w:r w:rsidR="002C660A" w:rsidRPr="00105125">
        <w:rPr>
          <w:i/>
          <w:iCs/>
          <w:color w:val="000000"/>
          <w:lang w:val="en-CA"/>
        </w:rPr>
        <w:t>Symes v. Canada</w:t>
      </w:r>
      <w:r w:rsidR="002C660A" w:rsidRPr="00105125">
        <w:rPr>
          <w:color w:val="000000"/>
          <w:lang w:val="en-CA"/>
        </w:rPr>
        <w:t>,</w:t>
      </w:r>
      <w:r w:rsidR="002C660A" w:rsidRPr="00105125">
        <w:rPr>
          <w:i/>
          <w:iCs/>
          <w:color w:val="000000"/>
          <w:lang w:val="en-CA"/>
        </w:rPr>
        <w:t> </w:t>
      </w:r>
      <w:r w:rsidR="002C660A" w:rsidRPr="00105125">
        <w:rPr>
          <w:color w:val="000000"/>
          <w:lang w:val="en-CA"/>
        </w:rPr>
        <w:t>[1993] 4 S.C.R. 695,</w:t>
      </w:r>
      <w:r w:rsidR="002C660A" w:rsidRPr="00105125">
        <w:rPr>
          <w:i/>
          <w:iCs/>
          <w:color w:val="000000"/>
          <w:lang w:val="en-CA"/>
        </w:rPr>
        <w:t> </w:t>
      </w:r>
      <w:r w:rsidR="002C660A" w:rsidRPr="00105125">
        <w:rPr>
          <w:color w:val="000000"/>
          <w:lang w:val="en-CA"/>
        </w:rPr>
        <w:t>at pp. 762</w:t>
      </w:r>
      <w:r w:rsidR="002C660A" w:rsidRPr="00105125">
        <w:rPr>
          <w:color w:val="000000"/>
          <w:lang w:val="en-CA"/>
        </w:rPr>
        <w:noBreakHyphen/>
        <w:t>63; see also </w:t>
      </w:r>
      <w:r w:rsidR="002C660A" w:rsidRPr="00105125">
        <w:rPr>
          <w:i/>
          <w:iCs/>
          <w:color w:val="000000"/>
          <w:lang w:val="en-CA"/>
        </w:rPr>
        <w:t>Young v. Young</w:t>
      </w:r>
      <w:r w:rsidR="002C660A" w:rsidRPr="00105125">
        <w:rPr>
          <w:color w:val="000000"/>
          <w:lang w:val="en-CA"/>
        </w:rPr>
        <w:t>, [1993] 4 S.C.R. 3, at pp. 49</w:t>
      </w:r>
      <w:r w:rsidR="002C660A" w:rsidRPr="00105125">
        <w:rPr>
          <w:color w:val="000000"/>
          <w:lang w:val="en-CA"/>
        </w:rPr>
        <w:noBreakHyphen/>
        <w:t xml:space="preserve">50, per </w:t>
      </w:r>
      <w:proofErr w:type="spellStart"/>
      <w:r w:rsidR="002C660A" w:rsidRPr="00105125">
        <w:rPr>
          <w:color w:val="000000"/>
          <w:lang w:val="en-CA"/>
        </w:rPr>
        <w:t>L’Heureux</w:t>
      </w:r>
      <w:proofErr w:type="spellEnd"/>
      <w:r w:rsidR="002C660A" w:rsidRPr="00105125">
        <w:rPr>
          <w:color w:val="000000"/>
          <w:lang w:val="en-CA"/>
        </w:rPr>
        <w:noBreakHyphen/>
        <w:t>Dubé J., dissenting)</w:t>
      </w:r>
      <w:r w:rsidRPr="00105125">
        <w:rPr>
          <w:lang w:val="en-CA"/>
        </w:rPr>
        <w:t>.</w:t>
      </w:r>
    </w:p>
    <w:p w14:paraId="3D037EBC" w14:textId="746B1581" w:rsidR="0072362A" w:rsidRPr="00105125" w:rsidRDefault="004A7BFD" w:rsidP="0072362A">
      <w:pPr>
        <w:pStyle w:val="Citationenretrait"/>
        <w:rPr>
          <w:lang w:val="en-CA"/>
        </w:rPr>
      </w:pPr>
      <w:r w:rsidRPr="00105125">
        <w:rPr>
          <w:lang w:val="en-CA"/>
        </w:rPr>
        <w:t>[104]</w:t>
      </w:r>
      <w:r w:rsidRPr="00105125">
        <w:rPr>
          <w:lang w:val="en-CA"/>
        </w:rPr>
        <w:tab/>
      </w:r>
      <w:r w:rsidR="002C660A" w:rsidRPr="00105125">
        <w:rPr>
          <w:color w:val="000000"/>
          <w:sz w:val="14"/>
          <w:szCs w:val="14"/>
          <w:lang w:val="en-CA"/>
        </w:rPr>
        <w:t> </w:t>
      </w:r>
      <w:r w:rsidR="002C660A" w:rsidRPr="00105125">
        <w:rPr>
          <w:color w:val="000000"/>
          <w:lang w:val="en-CA"/>
        </w:rPr>
        <w:t>Recognizing the reality of gender divisions in domestic labour and their impact on women’s working lives is neither new nor disputable (see </w:t>
      </w:r>
      <w:r w:rsidR="002C660A" w:rsidRPr="00105125">
        <w:rPr>
          <w:i/>
          <w:iCs/>
          <w:color w:val="000000"/>
          <w:lang w:val="en-CA"/>
        </w:rPr>
        <w:t>Beijing Declaration and Platform for Action</w:t>
      </w:r>
      <w:r w:rsidR="002C660A" w:rsidRPr="00105125">
        <w:rPr>
          <w:color w:val="000000"/>
          <w:lang w:val="en-CA"/>
        </w:rPr>
        <w:t>, U.N. Doc. A/CONF.177/20, October 17, 1995, at paras. 155</w:t>
      </w:r>
      <w:r w:rsidR="002C660A" w:rsidRPr="00105125">
        <w:rPr>
          <w:color w:val="000000"/>
          <w:lang w:val="en-CA"/>
        </w:rPr>
        <w:noBreakHyphen/>
        <w:t>56 and 158)</w:t>
      </w:r>
      <w:r w:rsidR="003C1B82" w:rsidRPr="00105125">
        <w:rPr>
          <w:color w:val="000000"/>
          <w:lang w:val="en-CA"/>
        </w:rPr>
        <w:t>.</w:t>
      </w:r>
      <w:r w:rsidRPr="00105125">
        <w:rPr>
          <w:rStyle w:val="Appelnotedebasdep"/>
          <w:lang w:val="en-CA"/>
        </w:rPr>
        <w:footnoteReference w:id="68"/>
      </w:r>
    </w:p>
    <w:p w14:paraId="4A21D042" w14:textId="2BF1AA4A" w:rsidR="0072362A" w:rsidRPr="00105125" w:rsidRDefault="00AD798E" w:rsidP="005A0DF4">
      <w:pPr>
        <w:pStyle w:val="Paragraphe"/>
        <w:spacing w:line="280" w:lineRule="exact"/>
        <w:rPr>
          <w:lang w:val="en-CA"/>
        </w:rPr>
      </w:pPr>
      <w:r w:rsidRPr="00105125">
        <w:rPr>
          <w:lang w:val="en-CA"/>
        </w:rPr>
        <w:t xml:space="preserve">In light of these </w:t>
      </w:r>
      <w:r w:rsidR="004B05CA" w:rsidRPr="00105125">
        <w:rPr>
          <w:lang w:val="en-CA"/>
        </w:rPr>
        <w:t xml:space="preserve">Supreme Court </w:t>
      </w:r>
      <w:r w:rsidRPr="00105125">
        <w:rPr>
          <w:lang w:val="en-CA"/>
        </w:rPr>
        <w:t xml:space="preserve">teachings, the evidence adduced by Ms. </w:t>
      </w:r>
      <w:proofErr w:type="spellStart"/>
      <w:r w:rsidRPr="00105125">
        <w:rPr>
          <w:lang w:val="en-CA"/>
        </w:rPr>
        <w:t>Kanyinda</w:t>
      </w:r>
      <w:proofErr w:type="spellEnd"/>
      <w:r w:rsidR="007A260F">
        <w:rPr>
          <w:lang w:val="en-CA"/>
        </w:rPr>
        <w:t>, which is uncontradicted,</w:t>
      </w:r>
      <w:r w:rsidRPr="00105125">
        <w:rPr>
          <w:lang w:val="en-CA"/>
        </w:rPr>
        <w:t xml:space="preserve"> supports the conclusion that section 3 </w:t>
      </w:r>
      <w:r w:rsidR="009975EE">
        <w:rPr>
          <w:lang w:val="en-CA"/>
        </w:rPr>
        <w:t xml:space="preserve">of the </w:t>
      </w:r>
      <w:r w:rsidRPr="00105125">
        <w:rPr>
          <w:i/>
          <w:lang w:val="en-CA"/>
        </w:rPr>
        <w:t>RCR</w:t>
      </w:r>
      <w:r w:rsidRPr="00105125">
        <w:rPr>
          <w:lang w:val="en-CA"/>
        </w:rPr>
        <w:t xml:space="preserve"> creates a distinction </w:t>
      </w:r>
      <w:r w:rsidR="004B05CA">
        <w:rPr>
          <w:lang w:val="en-CA"/>
        </w:rPr>
        <w:t xml:space="preserve">based </w:t>
      </w:r>
      <w:r w:rsidRPr="00105125">
        <w:rPr>
          <w:lang w:val="en-CA"/>
        </w:rPr>
        <w:t>on sex by excluding refugee claimants with work permits from the subsidized childcare program.</w:t>
      </w:r>
      <w:r w:rsidR="004A7BFD" w:rsidRPr="00105125">
        <w:rPr>
          <w:lang w:val="en-CA"/>
        </w:rPr>
        <w:t xml:space="preserve"> </w:t>
      </w:r>
      <w:r w:rsidRPr="00105125">
        <w:rPr>
          <w:lang w:val="en-CA"/>
        </w:rPr>
        <w:t xml:space="preserve">I find that Ms. </w:t>
      </w:r>
      <w:proofErr w:type="spellStart"/>
      <w:r w:rsidRPr="00105125">
        <w:rPr>
          <w:lang w:val="en-CA"/>
        </w:rPr>
        <w:t>Kanyinda</w:t>
      </w:r>
      <w:proofErr w:type="spellEnd"/>
      <w:r w:rsidRPr="00105125">
        <w:rPr>
          <w:lang w:val="en-CA"/>
        </w:rPr>
        <w:t xml:space="preserve"> has fulfilled the relevant evidentiary burden </w:t>
      </w:r>
      <w:r w:rsidR="004B05CA">
        <w:rPr>
          <w:lang w:val="en-CA"/>
        </w:rPr>
        <w:t>at</w:t>
      </w:r>
      <w:r w:rsidRPr="00105125">
        <w:rPr>
          <w:lang w:val="en-CA"/>
        </w:rPr>
        <w:t xml:space="preserve"> step </w:t>
      </w:r>
      <w:r w:rsidR="003C1B82" w:rsidRPr="00105125">
        <w:rPr>
          <w:lang w:val="en-CA"/>
        </w:rPr>
        <w:t xml:space="preserve">one </w:t>
      </w:r>
      <w:r w:rsidRPr="00105125">
        <w:rPr>
          <w:lang w:val="en-CA"/>
        </w:rPr>
        <w:t>of the analysis.</w:t>
      </w:r>
      <w:r w:rsidRPr="00105125">
        <w:rPr>
          <w:rStyle w:val="Appelnotedebasdep"/>
          <w:lang w:val="en-CA"/>
        </w:rPr>
        <w:footnoteReference w:id="69"/>
      </w:r>
    </w:p>
    <w:p w14:paraId="0E3F4547" w14:textId="3E63168E" w:rsidR="0072362A" w:rsidRPr="00105125" w:rsidRDefault="00AD798E" w:rsidP="005A0DF4">
      <w:pPr>
        <w:pStyle w:val="Paragraphe"/>
        <w:spacing w:line="280" w:lineRule="exact"/>
        <w:rPr>
          <w:lang w:val="en-CA"/>
        </w:rPr>
      </w:pPr>
      <w:r w:rsidRPr="00105125">
        <w:rPr>
          <w:lang w:val="en-CA"/>
        </w:rPr>
        <w:t xml:space="preserve">Step two of the analysis </w:t>
      </w:r>
      <w:r w:rsidR="004B05CA">
        <w:rPr>
          <w:lang w:val="en-CA"/>
        </w:rPr>
        <w:t>requires a</w:t>
      </w:r>
      <w:r w:rsidRPr="00105125">
        <w:rPr>
          <w:lang w:val="en-CA"/>
        </w:rPr>
        <w:t xml:space="preserve"> demonstrati</w:t>
      </w:r>
      <w:r w:rsidR="004B05CA">
        <w:rPr>
          <w:lang w:val="en-CA"/>
        </w:rPr>
        <w:t>on</w:t>
      </w:r>
      <w:r w:rsidRPr="00105125">
        <w:rPr>
          <w:lang w:val="en-CA"/>
        </w:rPr>
        <w:t xml:space="preserve"> that section 3 </w:t>
      </w:r>
      <w:r w:rsidR="009975EE">
        <w:rPr>
          <w:lang w:val="en-CA"/>
        </w:rPr>
        <w:t xml:space="preserve">of the </w:t>
      </w:r>
      <w:r w:rsidRPr="00105125">
        <w:rPr>
          <w:i/>
          <w:lang w:val="en-CA"/>
        </w:rPr>
        <w:t>RCR</w:t>
      </w:r>
      <w:r w:rsidRPr="00105125">
        <w:rPr>
          <w:lang w:val="en-CA"/>
        </w:rPr>
        <w:t xml:space="preserve"> </w:t>
      </w:r>
      <w:r w:rsidR="004B05CA" w:rsidRPr="00105125">
        <w:rPr>
          <w:color w:val="000000"/>
          <w:lang w:val="en-CA"/>
        </w:rPr>
        <w:t>imposes a burden or denies a benefit in a manner that has the effect of reinforcing, perpetuating, or exacerbating disadvantage</w:t>
      </w:r>
      <w:r w:rsidRPr="00105125">
        <w:rPr>
          <w:lang w:val="en-CA"/>
        </w:rPr>
        <w:t>.</w:t>
      </w:r>
      <w:r w:rsidR="004A7BFD" w:rsidRPr="00105125">
        <w:rPr>
          <w:lang w:val="en-CA"/>
        </w:rPr>
        <w:t xml:space="preserve"> </w:t>
      </w:r>
      <w:r w:rsidRPr="00105125">
        <w:rPr>
          <w:lang w:val="en-CA"/>
        </w:rPr>
        <w:t xml:space="preserve">I </w:t>
      </w:r>
      <w:r w:rsidR="00870C57">
        <w:rPr>
          <w:lang w:val="en-CA"/>
        </w:rPr>
        <w:t>conclude</w:t>
      </w:r>
      <w:r w:rsidR="00870C57" w:rsidRPr="00105125">
        <w:rPr>
          <w:lang w:val="en-CA"/>
        </w:rPr>
        <w:t xml:space="preserve"> </w:t>
      </w:r>
      <w:r w:rsidRPr="00105125">
        <w:rPr>
          <w:lang w:val="en-CA"/>
        </w:rPr>
        <w:t>that this is the case here.</w:t>
      </w:r>
    </w:p>
    <w:p w14:paraId="2C516B58" w14:textId="55CCD061" w:rsidR="0072362A" w:rsidRPr="00105125" w:rsidRDefault="00AD798E" w:rsidP="005A0DF4">
      <w:pPr>
        <w:pStyle w:val="Paragraphe"/>
        <w:spacing w:line="280" w:lineRule="exact"/>
        <w:rPr>
          <w:lang w:val="en-CA"/>
        </w:rPr>
      </w:pPr>
      <w:r w:rsidRPr="00105125">
        <w:rPr>
          <w:lang w:val="en-CA"/>
        </w:rPr>
        <w:t xml:space="preserve">Although women refugee </w:t>
      </w:r>
      <w:r w:rsidR="004B05CA">
        <w:rPr>
          <w:lang w:val="en-CA"/>
        </w:rPr>
        <w:t xml:space="preserve">claimants </w:t>
      </w:r>
      <w:r w:rsidRPr="00105125">
        <w:rPr>
          <w:lang w:val="en-CA"/>
        </w:rPr>
        <w:t>are not specifically excluded by section 3</w:t>
      </w:r>
      <w:r w:rsidR="009975EE">
        <w:rPr>
          <w:lang w:val="en-CA"/>
        </w:rPr>
        <w:t xml:space="preserve"> of the</w:t>
      </w:r>
      <w:r w:rsidRPr="00105125">
        <w:rPr>
          <w:lang w:val="en-CA"/>
        </w:rPr>
        <w:t xml:space="preserve"> </w:t>
      </w:r>
      <w:r w:rsidRPr="00105125">
        <w:rPr>
          <w:i/>
          <w:lang w:val="en-CA"/>
        </w:rPr>
        <w:t>RCR</w:t>
      </w:r>
      <w:r w:rsidRPr="00105125">
        <w:rPr>
          <w:lang w:val="en-CA"/>
        </w:rPr>
        <w:t xml:space="preserve">, </w:t>
      </w:r>
      <w:r w:rsidR="001030CB">
        <w:rPr>
          <w:lang w:val="en-CA"/>
        </w:rPr>
        <w:t>this provision</w:t>
      </w:r>
      <w:r w:rsidR="001030CB" w:rsidRPr="00105125">
        <w:rPr>
          <w:lang w:val="en-CA"/>
        </w:rPr>
        <w:t xml:space="preserve"> </w:t>
      </w:r>
      <w:r w:rsidRPr="00105125">
        <w:rPr>
          <w:lang w:val="en-CA"/>
        </w:rPr>
        <w:t xml:space="preserve">reinforces, perpetuates, and exacerbates the disadvantage </w:t>
      </w:r>
      <w:r w:rsidR="003C1B82" w:rsidRPr="00105125">
        <w:rPr>
          <w:lang w:val="en-CA"/>
        </w:rPr>
        <w:t xml:space="preserve">they </w:t>
      </w:r>
      <w:r w:rsidRPr="00105125">
        <w:rPr>
          <w:lang w:val="en-CA"/>
        </w:rPr>
        <w:t>suffer</w:t>
      </w:r>
      <w:r w:rsidR="001030CB">
        <w:rPr>
          <w:lang w:val="en-CA"/>
        </w:rPr>
        <w:t>,</w:t>
      </w:r>
      <w:r w:rsidRPr="00105125">
        <w:rPr>
          <w:lang w:val="en-CA"/>
        </w:rPr>
        <w:t xml:space="preserve"> as women</w:t>
      </w:r>
      <w:r w:rsidR="001030CB">
        <w:rPr>
          <w:lang w:val="en-CA"/>
        </w:rPr>
        <w:t>,</w:t>
      </w:r>
      <w:r w:rsidRPr="00105125">
        <w:rPr>
          <w:lang w:val="en-CA"/>
        </w:rPr>
        <w:t xml:space="preserve"> in the </w:t>
      </w:r>
      <w:r w:rsidR="00391A42">
        <w:rPr>
          <w:lang w:val="en-CA"/>
        </w:rPr>
        <w:t>labour market</w:t>
      </w:r>
      <w:r w:rsidR="001030CB">
        <w:rPr>
          <w:lang w:val="en-CA"/>
        </w:rPr>
        <w:t>, which</w:t>
      </w:r>
      <w:r w:rsidR="004A7BFD" w:rsidRPr="00105125">
        <w:rPr>
          <w:lang w:val="en-CA"/>
        </w:rPr>
        <w:t xml:space="preserve"> </w:t>
      </w:r>
      <w:r w:rsidR="00870C57">
        <w:rPr>
          <w:lang w:val="en-CA"/>
        </w:rPr>
        <w:t>is demonstrated by t</w:t>
      </w:r>
      <w:r w:rsidRPr="00105125">
        <w:rPr>
          <w:lang w:val="en-CA"/>
        </w:rPr>
        <w:t xml:space="preserve">he evidence adduced </w:t>
      </w:r>
      <w:r w:rsidRPr="00105125">
        <w:rPr>
          <w:lang w:val="en-CA"/>
        </w:rPr>
        <w:lastRenderedPageBreak/>
        <w:t xml:space="preserve">by Ms. </w:t>
      </w:r>
      <w:proofErr w:type="spellStart"/>
      <w:r w:rsidRPr="00105125">
        <w:rPr>
          <w:lang w:val="en-CA"/>
        </w:rPr>
        <w:t>Kanyinda</w:t>
      </w:r>
      <w:proofErr w:type="spellEnd"/>
      <w:r w:rsidRPr="00105125">
        <w:rPr>
          <w:lang w:val="en-CA"/>
        </w:rPr>
        <w:t>.</w:t>
      </w:r>
      <w:r w:rsidR="004A7BFD" w:rsidRPr="00105125">
        <w:rPr>
          <w:lang w:val="en-CA"/>
        </w:rPr>
        <w:t xml:space="preserve"> </w:t>
      </w:r>
      <w:r w:rsidRPr="00105125">
        <w:rPr>
          <w:lang w:val="en-CA"/>
        </w:rPr>
        <w:t xml:space="preserve">Women suffer a historical disadvantage in the workforce due to the fact </w:t>
      </w:r>
      <w:r w:rsidR="0028051E">
        <w:rPr>
          <w:lang w:val="en-CA"/>
        </w:rPr>
        <w:t xml:space="preserve">that </w:t>
      </w:r>
      <w:r w:rsidRPr="00105125">
        <w:rPr>
          <w:lang w:val="en-CA"/>
        </w:rPr>
        <w:t xml:space="preserve">they </w:t>
      </w:r>
      <w:r w:rsidR="000B561A">
        <w:rPr>
          <w:lang w:val="en-CA"/>
        </w:rPr>
        <w:t xml:space="preserve">bear a </w:t>
      </w:r>
      <w:r w:rsidR="000B561A" w:rsidRPr="00105125">
        <w:rPr>
          <w:lang w:val="en-CA"/>
        </w:rPr>
        <w:t xml:space="preserve">disproportionate </w:t>
      </w:r>
      <w:r w:rsidR="000B561A">
        <w:rPr>
          <w:lang w:val="en-CA"/>
        </w:rPr>
        <w:t>share</w:t>
      </w:r>
      <w:r w:rsidR="000B561A" w:rsidRPr="00105125">
        <w:rPr>
          <w:lang w:val="en-CA"/>
        </w:rPr>
        <w:t xml:space="preserve"> </w:t>
      </w:r>
      <w:r w:rsidR="000B561A">
        <w:rPr>
          <w:lang w:val="en-CA"/>
        </w:rPr>
        <w:t xml:space="preserve">of the responsibility for </w:t>
      </w:r>
      <w:r w:rsidR="000B561A" w:rsidRPr="00105125">
        <w:rPr>
          <w:lang w:val="en-CA"/>
        </w:rPr>
        <w:t>the care and custody of children</w:t>
      </w:r>
      <w:r w:rsidRPr="00105125">
        <w:rPr>
          <w:lang w:val="en-CA"/>
        </w:rPr>
        <w:t>.</w:t>
      </w:r>
      <w:r w:rsidR="004A7BFD" w:rsidRPr="00105125">
        <w:rPr>
          <w:lang w:val="en-CA"/>
        </w:rPr>
        <w:t xml:space="preserve"> </w:t>
      </w:r>
      <w:r w:rsidR="0028051E">
        <w:rPr>
          <w:lang w:val="en-CA"/>
        </w:rPr>
        <w:t>Indeed, t</w:t>
      </w:r>
      <w:r w:rsidRPr="00105125">
        <w:rPr>
          <w:lang w:val="en-CA"/>
        </w:rPr>
        <w:t>he Supreme Court has acknowledged this fact many times,</w:t>
      </w:r>
      <w:r w:rsidRPr="00105125">
        <w:rPr>
          <w:rStyle w:val="Appelnotedebasdep"/>
          <w:lang w:val="en-CA"/>
        </w:rPr>
        <w:footnoteReference w:id="70"/>
      </w:r>
      <w:r w:rsidRPr="00105125">
        <w:rPr>
          <w:lang w:val="en-CA"/>
        </w:rPr>
        <w:t xml:space="preserve"> as I stated.</w:t>
      </w:r>
      <w:r w:rsidR="004A7BFD" w:rsidRPr="00105125">
        <w:rPr>
          <w:lang w:val="en-CA"/>
        </w:rPr>
        <w:t xml:space="preserve"> </w:t>
      </w:r>
      <w:r w:rsidR="003C1B82" w:rsidRPr="00105125">
        <w:rPr>
          <w:lang w:val="en-CA"/>
        </w:rPr>
        <w:t xml:space="preserve">As a result, women participate less than men in the </w:t>
      </w:r>
      <w:r w:rsidR="00391A42">
        <w:rPr>
          <w:lang w:val="en-CA"/>
        </w:rPr>
        <w:t>labour market</w:t>
      </w:r>
      <w:r w:rsidR="003C1B82" w:rsidRPr="00105125">
        <w:rPr>
          <w:lang w:val="en-CA"/>
        </w:rPr>
        <w:t>.</w:t>
      </w:r>
      <w:r w:rsidR="004A7BFD" w:rsidRPr="00105125">
        <w:rPr>
          <w:lang w:val="en-CA"/>
        </w:rPr>
        <w:t xml:space="preserve"> </w:t>
      </w:r>
      <w:r w:rsidR="003C1B82" w:rsidRPr="00105125">
        <w:rPr>
          <w:lang w:val="en-CA"/>
        </w:rPr>
        <w:t xml:space="preserve">The fact that refugee claimants are, by this very fact, ineligible for the reduced contribution for subsidized childcare </w:t>
      </w:r>
      <w:r w:rsidR="0028051E">
        <w:rPr>
          <w:lang w:val="en-CA"/>
        </w:rPr>
        <w:t xml:space="preserve">spaces clearly </w:t>
      </w:r>
      <w:r w:rsidR="00A4559E">
        <w:rPr>
          <w:lang w:val="en-CA"/>
        </w:rPr>
        <w:t xml:space="preserve">has a </w:t>
      </w:r>
      <w:r w:rsidR="003C1B82" w:rsidRPr="00105125">
        <w:rPr>
          <w:lang w:val="en-CA"/>
        </w:rPr>
        <w:t xml:space="preserve">disproportionate </w:t>
      </w:r>
      <w:r w:rsidR="00335158">
        <w:rPr>
          <w:lang w:val="en-CA"/>
        </w:rPr>
        <w:t xml:space="preserve">impact on </w:t>
      </w:r>
      <w:r w:rsidR="003C1B82" w:rsidRPr="00105125">
        <w:rPr>
          <w:lang w:val="en-CA"/>
        </w:rPr>
        <w:t>women in this group.</w:t>
      </w:r>
    </w:p>
    <w:p w14:paraId="4A8FCB70" w14:textId="679871DB" w:rsidR="0072362A" w:rsidRPr="00105125" w:rsidRDefault="003C1B82" w:rsidP="005A0DF4">
      <w:pPr>
        <w:pStyle w:val="Paragraphe"/>
        <w:spacing w:line="280" w:lineRule="exact"/>
        <w:rPr>
          <w:lang w:val="en-CA"/>
        </w:rPr>
      </w:pPr>
      <w:r w:rsidRPr="00105125">
        <w:rPr>
          <w:lang w:val="en-CA"/>
        </w:rPr>
        <w:t xml:space="preserve">I </w:t>
      </w:r>
      <w:r w:rsidR="00806328">
        <w:rPr>
          <w:lang w:val="en-CA"/>
        </w:rPr>
        <w:t>conclude</w:t>
      </w:r>
      <w:r w:rsidR="00806328" w:rsidRPr="00105125">
        <w:rPr>
          <w:lang w:val="en-CA"/>
        </w:rPr>
        <w:t xml:space="preserve"> </w:t>
      </w:r>
      <w:r w:rsidRPr="00105125">
        <w:rPr>
          <w:lang w:val="en-CA"/>
        </w:rPr>
        <w:t xml:space="preserve">that section </w:t>
      </w:r>
      <w:r w:rsidR="00E20DF7">
        <w:rPr>
          <w:lang w:val="en-CA"/>
        </w:rPr>
        <w:t xml:space="preserve">3 of the </w:t>
      </w:r>
      <w:r w:rsidRPr="00105125">
        <w:rPr>
          <w:i/>
          <w:iCs/>
          <w:lang w:val="en-CA"/>
        </w:rPr>
        <w:t>RCR</w:t>
      </w:r>
      <w:r w:rsidRPr="00105125">
        <w:rPr>
          <w:lang w:val="en-CA"/>
        </w:rPr>
        <w:t xml:space="preserve"> reinforces and perpetuates the historical disadvantage suffered by women who want to participate in the </w:t>
      </w:r>
      <w:r w:rsidR="00391A42">
        <w:rPr>
          <w:lang w:val="en-CA"/>
        </w:rPr>
        <w:t>labour market</w:t>
      </w:r>
      <w:r w:rsidRPr="00105125">
        <w:rPr>
          <w:lang w:val="en-CA"/>
        </w:rPr>
        <w:t>.</w:t>
      </w:r>
      <w:r w:rsidR="004A7BFD" w:rsidRPr="00105125">
        <w:rPr>
          <w:lang w:val="en-CA"/>
        </w:rPr>
        <w:t xml:space="preserve"> </w:t>
      </w:r>
      <w:r w:rsidRPr="00105125">
        <w:rPr>
          <w:lang w:val="en-CA"/>
        </w:rPr>
        <w:t xml:space="preserve">The distinction it creates by excluding refugee claimants therefore constitutes adverse effect discrimination </w:t>
      </w:r>
      <w:r w:rsidR="0028051E">
        <w:rPr>
          <w:lang w:val="en-CA"/>
        </w:rPr>
        <w:t xml:space="preserve">based </w:t>
      </w:r>
      <w:r w:rsidRPr="00105125">
        <w:rPr>
          <w:lang w:val="en-CA"/>
        </w:rPr>
        <w:t xml:space="preserve">on sex within the meaning of section 15 of the </w:t>
      </w:r>
      <w:r w:rsidRPr="00105125">
        <w:rPr>
          <w:i/>
          <w:lang w:val="en-CA"/>
        </w:rPr>
        <w:t>Canadian Charter</w:t>
      </w:r>
      <w:r w:rsidRPr="00105125">
        <w:rPr>
          <w:lang w:val="en-CA"/>
        </w:rPr>
        <w:t>.</w:t>
      </w:r>
    </w:p>
    <w:p w14:paraId="097C5192" w14:textId="0F2946C2" w:rsidR="0072362A" w:rsidRPr="00B37ABE" w:rsidRDefault="003C1B82" w:rsidP="0072362A">
      <w:pPr>
        <w:pStyle w:val="Titre2"/>
        <w:rPr>
          <w:b w:val="0"/>
          <w:bCs/>
          <w:iCs/>
          <w:lang w:val="en-CA"/>
        </w:rPr>
      </w:pPr>
      <w:r w:rsidRPr="00B37ABE">
        <w:rPr>
          <w:b w:val="0"/>
          <w:bCs/>
          <w:iCs/>
          <w:lang w:val="en-CA"/>
        </w:rPr>
        <w:t>Is the discrimination justified under section 1 of the Canadian Charter?</w:t>
      </w:r>
    </w:p>
    <w:p w14:paraId="01520544" w14:textId="5B27B75E" w:rsidR="0072362A" w:rsidRPr="00105125" w:rsidRDefault="003C1B82" w:rsidP="005A0DF4">
      <w:pPr>
        <w:pStyle w:val="Paragraphe"/>
        <w:spacing w:line="280" w:lineRule="exact"/>
        <w:rPr>
          <w:lang w:val="en-CA"/>
        </w:rPr>
      </w:pPr>
      <w:r w:rsidRPr="00105125">
        <w:rPr>
          <w:lang w:val="en-CA"/>
        </w:rPr>
        <w:t xml:space="preserve">When a right protected by the </w:t>
      </w:r>
      <w:r w:rsidRPr="00105125">
        <w:rPr>
          <w:i/>
          <w:lang w:val="en-CA"/>
        </w:rPr>
        <w:t>Canadian Charter</w:t>
      </w:r>
      <w:r w:rsidRPr="00105125">
        <w:rPr>
          <w:lang w:val="en-CA"/>
        </w:rPr>
        <w:t xml:space="preserve"> is infringed, the state must establish that </w:t>
      </w:r>
      <w:r w:rsidR="007A6E65">
        <w:rPr>
          <w:lang w:val="en-CA"/>
        </w:rPr>
        <w:t xml:space="preserve">this infringement </w:t>
      </w:r>
      <w:r w:rsidRPr="00105125">
        <w:rPr>
          <w:lang w:val="en-CA"/>
        </w:rPr>
        <w:t>is justified in a free and democratic society.</w:t>
      </w:r>
      <w:r w:rsidR="004A7BFD" w:rsidRPr="00105125">
        <w:rPr>
          <w:lang w:val="en-CA"/>
        </w:rPr>
        <w:t xml:space="preserve"> </w:t>
      </w:r>
      <w:r w:rsidRPr="00105125">
        <w:rPr>
          <w:lang w:val="en-CA"/>
        </w:rPr>
        <w:t>In this case, the AGQ had the burden of proving</w:t>
      </w:r>
      <w:r w:rsidR="00E94F3A">
        <w:rPr>
          <w:lang w:val="en-CA"/>
        </w:rPr>
        <w:t xml:space="preserve"> that the infringement</w:t>
      </w:r>
      <w:r w:rsidRPr="00105125">
        <w:rPr>
          <w:lang w:val="en-CA"/>
        </w:rPr>
        <w:t xml:space="preserve">: (1) </w:t>
      </w:r>
      <w:r w:rsidR="00E94F3A">
        <w:rPr>
          <w:lang w:val="en-CA"/>
        </w:rPr>
        <w:t xml:space="preserve">is </w:t>
      </w:r>
      <w:r w:rsidRPr="00105125">
        <w:rPr>
          <w:lang w:val="en-CA"/>
        </w:rPr>
        <w:t>based on a pressing and substantial</w:t>
      </w:r>
      <w:r w:rsidR="00E94F3A">
        <w:rPr>
          <w:lang w:val="en-CA"/>
        </w:rPr>
        <w:t xml:space="preserve"> objective</w:t>
      </w:r>
      <w:r w:rsidRPr="00105125">
        <w:rPr>
          <w:lang w:val="en-CA"/>
        </w:rPr>
        <w:t xml:space="preserve">; (2) </w:t>
      </w:r>
      <w:r w:rsidR="00E94F3A">
        <w:rPr>
          <w:lang w:val="en-CA"/>
        </w:rPr>
        <w:t xml:space="preserve">is </w:t>
      </w:r>
      <w:r w:rsidRPr="00105125">
        <w:rPr>
          <w:lang w:val="en-CA"/>
        </w:rPr>
        <w:t xml:space="preserve">rationally connected to the objective; (3) is minimal; and (4) </w:t>
      </w:r>
      <w:r w:rsidR="00E94F3A">
        <w:rPr>
          <w:lang w:val="en-CA"/>
        </w:rPr>
        <w:t xml:space="preserve">that </w:t>
      </w:r>
      <w:r w:rsidRPr="00105125">
        <w:rPr>
          <w:lang w:val="en-CA"/>
        </w:rPr>
        <w:t>there is proportionality between its effects and the objective.</w:t>
      </w:r>
      <w:r w:rsidRPr="00105125">
        <w:rPr>
          <w:rStyle w:val="Appelnotedebasdep"/>
          <w:lang w:val="en-CA"/>
        </w:rPr>
        <w:footnoteReference w:id="71"/>
      </w:r>
    </w:p>
    <w:p w14:paraId="42A0B029" w14:textId="780BFDED" w:rsidR="0072362A" w:rsidRPr="00105125" w:rsidRDefault="003C1B82" w:rsidP="005A0DF4">
      <w:pPr>
        <w:pStyle w:val="Paragraphe"/>
        <w:spacing w:line="280" w:lineRule="exact"/>
        <w:rPr>
          <w:lang w:val="en-CA"/>
        </w:rPr>
      </w:pPr>
      <w:r w:rsidRPr="00105125">
        <w:rPr>
          <w:lang w:val="en-CA"/>
        </w:rPr>
        <w:t xml:space="preserve">The AGQ argues that the pressing and substantial objective of excluding refugee claimants from the reduced contribution for childcare </w:t>
      </w:r>
      <w:r w:rsidR="00E94F3A">
        <w:rPr>
          <w:lang w:val="en-CA"/>
        </w:rPr>
        <w:t xml:space="preserve">spaces </w:t>
      </w:r>
      <w:r w:rsidRPr="00105125">
        <w:rPr>
          <w:lang w:val="en-CA"/>
        </w:rPr>
        <w:t xml:space="preserve">is </w:t>
      </w:r>
      <w:r w:rsidR="00E94F3A">
        <w:rPr>
          <w:lang w:val="en-CA"/>
        </w:rPr>
        <w:t xml:space="preserve">that </w:t>
      </w:r>
      <w:r w:rsidRPr="00105125">
        <w:rPr>
          <w:lang w:val="en-CA"/>
        </w:rPr>
        <w:t xml:space="preserve">the legislature wants to </w:t>
      </w:r>
      <w:r w:rsidR="00E94F3A">
        <w:rPr>
          <w:lang w:val="en-CA"/>
        </w:rPr>
        <w:t>provide</w:t>
      </w:r>
      <w:r w:rsidRPr="00105125">
        <w:rPr>
          <w:lang w:val="en-CA"/>
        </w:rPr>
        <w:t xml:space="preserve"> financial assistance to </w:t>
      </w:r>
      <w:r w:rsidR="00E94F3A">
        <w:rPr>
          <w:lang w:val="en-CA"/>
        </w:rPr>
        <w:t xml:space="preserve">persons </w:t>
      </w:r>
      <w:r w:rsidRPr="00105125">
        <w:rPr>
          <w:lang w:val="en-CA"/>
        </w:rPr>
        <w:t>with a sufficient connection to Quebec.</w:t>
      </w:r>
      <w:r w:rsidR="004A7BFD" w:rsidRPr="00105125">
        <w:rPr>
          <w:lang w:val="en-CA"/>
        </w:rPr>
        <w:t xml:space="preserve"> </w:t>
      </w:r>
      <w:r w:rsidRPr="00105125">
        <w:rPr>
          <w:lang w:val="en-CA"/>
        </w:rPr>
        <w:t>The AGQ added that there is a rational connection because refugee claimants are waiting to be granted refugee status</w:t>
      </w:r>
      <w:r w:rsidR="00E94F3A">
        <w:rPr>
          <w:lang w:val="en-CA"/>
        </w:rPr>
        <w:t>. It follows that a</w:t>
      </w:r>
      <w:r w:rsidRPr="00105125">
        <w:rPr>
          <w:lang w:val="en-CA"/>
        </w:rPr>
        <w:t xml:space="preserve">s long as no decision </w:t>
      </w:r>
      <w:r w:rsidR="00E94F3A">
        <w:rPr>
          <w:lang w:val="en-CA"/>
        </w:rPr>
        <w:t xml:space="preserve">has been made </w:t>
      </w:r>
      <w:r w:rsidRPr="00105125">
        <w:rPr>
          <w:lang w:val="en-CA"/>
        </w:rPr>
        <w:t>on this status, the state cannot assume that the claim is justified.</w:t>
      </w:r>
      <w:r w:rsidR="004A7BFD" w:rsidRPr="00105125">
        <w:rPr>
          <w:lang w:val="en-CA"/>
        </w:rPr>
        <w:t xml:space="preserve"> </w:t>
      </w:r>
      <w:r w:rsidRPr="00105125">
        <w:rPr>
          <w:lang w:val="en-CA"/>
        </w:rPr>
        <w:t>The AGQ further argues that the impairment is minimal and proportionate.</w:t>
      </w:r>
      <w:r w:rsidR="004A7BFD" w:rsidRPr="00105125">
        <w:rPr>
          <w:lang w:val="en-CA"/>
        </w:rPr>
        <w:t xml:space="preserve"> </w:t>
      </w:r>
      <w:r w:rsidR="00E94F3A">
        <w:rPr>
          <w:lang w:val="en-CA"/>
        </w:rPr>
        <w:t>I</w:t>
      </w:r>
      <w:r w:rsidRPr="00105125">
        <w:rPr>
          <w:lang w:val="en-CA"/>
        </w:rPr>
        <w:t xml:space="preserve">neligibility is not permanent but solely during the period prior to the decision by federal authorities </w:t>
      </w:r>
      <w:r w:rsidR="00E94F3A">
        <w:rPr>
          <w:lang w:val="en-CA"/>
        </w:rPr>
        <w:t xml:space="preserve">on </w:t>
      </w:r>
      <w:r w:rsidRPr="00105125">
        <w:rPr>
          <w:lang w:val="en-CA"/>
        </w:rPr>
        <w:t>grant</w:t>
      </w:r>
      <w:r w:rsidR="00E94F3A">
        <w:rPr>
          <w:lang w:val="en-CA"/>
        </w:rPr>
        <w:t>ing</w:t>
      </w:r>
      <w:r w:rsidRPr="00105125">
        <w:rPr>
          <w:lang w:val="en-CA"/>
        </w:rPr>
        <w:t xml:space="preserve"> refugee status.</w:t>
      </w:r>
    </w:p>
    <w:p w14:paraId="2992E00D" w14:textId="4967490A" w:rsidR="0072362A" w:rsidRPr="00105125" w:rsidRDefault="003C1B82" w:rsidP="005A0DF4">
      <w:pPr>
        <w:pStyle w:val="Paragraphe"/>
        <w:spacing w:line="280" w:lineRule="exact"/>
        <w:rPr>
          <w:lang w:val="en-CA"/>
        </w:rPr>
      </w:pPr>
      <w:r w:rsidRPr="00105125">
        <w:rPr>
          <w:lang w:val="en-CA"/>
        </w:rPr>
        <w:t xml:space="preserve">Courts </w:t>
      </w:r>
      <w:r w:rsidR="00D07E7B">
        <w:rPr>
          <w:lang w:val="en-CA"/>
        </w:rPr>
        <w:t>typically</w:t>
      </w:r>
      <w:r w:rsidRPr="00105125">
        <w:rPr>
          <w:lang w:val="en-CA"/>
        </w:rPr>
        <w:t xml:space="preserve"> show deference when reviewing a pressing and substantial objective.</w:t>
      </w:r>
      <w:r w:rsidRPr="00105125">
        <w:rPr>
          <w:rStyle w:val="Appelnotedebasdep"/>
          <w:lang w:val="en-CA"/>
        </w:rPr>
        <w:footnoteReference w:id="72"/>
      </w:r>
      <w:r w:rsidR="004A7BFD" w:rsidRPr="00105125">
        <w:rPr>
          <w:lang w:val="en-CA"/>
        </w:rPr>
        <w:t xml:space="preserve"> </w:t>
      </w:r>
      <w:r w:rsidRPr="00105125">
        <w:rPr>
          <w:lang w:val="en-CA"/>
        </w:rPr>
        <w:t xml:space="preserve">As authors Brun, Tremblay, and </w:t>
      </w:r>
      <w:proofErr w:type="spellStart"/>
      <w:r w:rsidRPr="00105125">
        <w:rPr>
          <w:lang w:val="en-CA"/>
        </w:rPr>
        <w:t>Brouillet</w:t>
      </w:r>
      <w:proofErr w:type="spellEnd"/>
      <w:r w:rsidRPr="00105125">
        <w:rPr>
          <w:lang w:val="en-CA"/>
        </w:rPr>
        <w:t xml:space="preserve"> recall, the courts </w:t>
      </w:r>
      <w:r w:rsidR="00E94F3A">
        <w:rPr>
          <w:lang w:val="en-CA"/>
        </w:rPr>
        <w:t xml:space="preserve">will </w:t>
      </w:r>
      <w:r w:rsidRPr="00105125">
        <w:rPr>
          <w:lang w:val="en-CA"/>
        </w:rPr>
        <w:t xml:space="preserve">review objectives </w:t>
      </w:r>
      <w:r w:rsidR="00E94F3A">
        <w:rPr>
          <w:lang w:val="en-CA"/>
        </w:rPr>
        <w:t xml:space="preserve">in </w:t>
      </w:r>
      <w:r w:rsidRPr="00105125">
        <w:rPr>
          <w:lang w:val="en-CA"/>
        </w:rPr>
        <w:t xml:space="preserve">only </w:t>
      </w:r>
      <w:r w:rsidR="00E94F3A" w:rsidRPr="00105125">
        <w:rPr>
          <w:rFonts w:cs="Arial"/>
          <w:lang w:val="en-CA"/>
        </w:rPr>
        <w:t>[</w:t>
      </w:r>
      <w:r w:rsidR="00E94F3A" w:rsidRPr="00105125">
        <w:rPr>
          <w:rFonts w:cs="Arial"/>
          <w:smallCaps/>
          <w:lang w:val="en-CA"/>
        </w:rPr>
        <w:t>translation</w:t>
      </w:r>
      <w:r w:rsidR="00E94F3A" w:rsidRPr="00105125">
        <w:rPr>
          <w:rFonts w:cs="Arial"/>
          <w:lang w:val="en-CA"/>
        </w:rPr>
        <w:t>]</w:t>
      </w:r>
      <w:r w:rsidR="00E94F3A" w:rsidRPr="00105125">
        <w:rPr>
          <w:lang w:val="en-CA"/>
        </w:rPr>
        <w:t xml:space="preserve"> </w:t>
      </w:r>
      <w:r w:rsidRPr="00105125">
        <w:rPr>
          <w:lang w:val="en-CA"/>
        </w:rPr>
        <w:t xml:space="preserve">“the most </w:t>
      </w:r>
      <w:r w:rsidR="008B0ED7">
        <w:rPr>
          <w:lang w:val="en-CA"/>
        </w:rPr>
        <w:t>patently</w:t>
      </w:r>
      <w:r w:rsidRPr="00105125">
        <w:rPr>
          <w:lang w:val="en-CA"/>
        </w:rPr>
        <w:t xml:space="preserve"> extravagant” cases.</w:t>
      </w:r>
      <w:r w:rsidRPr="00105125">
        <w:rPr>
          <w:vertAlign w:val="superscript"/>
          <w:lang w:val="en-CA"/>
        </w:rPr>
        <w:footnoteReference w:id="73"/>
      </w:r>
      <w:r w:rsidR="004A7BFD" w:rsidRPr="00105125">
        <w:rPr>
          <w:lang w:val="en-CA"/>
        </w:rPr>
        <w:t xml:space="preserve"> </w:t>
      </w:r>
      <w:r w:rsidR="00E94F3A">
        <w:rPr>
          <w:lang w:val="en-CA"/>
        </w:rPr>
        <w:t>Here</w:t>
      </w:r>
      <w:r w:rsidRPr="00105125">
        <w:rPr>
          <w:lang w:val="en-CA"/>
        </w:rPr>
        <w:t xml:space="preserve">, although the objective of </w:t>
      </w:r>
      <w:r w:rsidRPr="00105125">
        <w:rPr>
          <w:rFonts w:cs="Arial"/>
          <w:lang w:val="en-CA"/>
        </w:rPr>
        <w:t>[</w:t>
      </w:r>
      <w:r w:rsidRPr="00105125">
        <w:rPr>
          <w:rFonts w:cs="Arial"/>
          <w:smallCaps/>
          <w:lang w:val="en-CA"/>
        </w:rPr>
        <w:t>translation</w:t>
      </w:r>
      <w:r w:rsidRPr="00105125">
        <w:rPr>
          <w:rFonts w:cs="Arial"/>
          <w:lang w:val="en-CA"/>
        </w:rPr>
        <w:t>]</w:t>
      </w:r>
      <w:r w:rsidRPr="00105125">
        <w:rPr>
          <w:lang w:val="en-CA"/>
        </w:rPr>
        <w:t xml:space="preserve"> “sufficient connection to Quebec” is based on very </w:t>
      </w:r>
      <w:r w:rsidR="008B0ED7">
        <w:rPr>
          <w:lang w:val="en-CA"/>
        </w:rPr>
        <w:t>general</w:t>
      </w:r>
      <w:r w:rsidRPr="00105125">
        <w:rPr>
          <w:lang w:val="en-CA"/>
        </w:rPr>
        <w:t xml:space="preserve"> </w:t>
      </w:r>
      <w:r w:rsidRPr="00105125">
        <w:rPr>
          <w:lang w:val="en-CA"/>
        </w:rPr>
        <w:lastRenderedPageBreak/>
        <w:t>considerations,</w:t>
      </w:r>
      <w:bookmarkStart w:id="29" w:name="_Ref152752163"/>
      <w:r w:rsidRPr="00105125">
        <w:rPr>
          <w:vertAlign w:val="superscript"/>
          <w:lang w:val="en-CA"/>
        </w:rPr>
        <w:footnoteReference w:id="74"/>
      </w:r>
      <w:bookmarkEnd w:id="29"/>
      <w:r w:rsidRPr="00105125">
        <w:rPr>
          <w:lang w:val="en-CA"/>
        </w:rPr>
        <w:t xml:space="preserve"> I find that it meets the first requirement of the section 1 test due to the flexibility that must prevail at this stage.</w:t>
      </w:r>
    </w:p>
    <w:p w14:paraId="02AA18C9" w14:textId="117FF569" w:rsidR="0072362A" w:rsidRPr="00105125" w:rsidRDefault="003C1B82" w:rsidP="005A0DF4">
      <w:pPr>
        <w:pStyle w:val="Paragraphe"/>
        <w:spacing w:line="280" w:lineRule="exact"/>
        <w:rPr>
          <w:lang w:val="en-CA"/>
        </w:rPr>
      </w:pPr>
      <w:r w:rsidRPr="00105125">
        <w:rPr>
          <w:lang w:val="en-CA"/>
        </w:rPr>
        <w:t>With respect to the rational connection between the impairment and the objective, the AGQ argues that the Supreme Court stated that “</w:t>
      </w:r>
      <w:r w:rsidRPr="00105125">
        <w:rPr>
          <w:rFonts w:cs="Arial"/>
          <w:lang w:val="en-CA"/>
        </w:rPr>
        <w:t>[</w:t>
      </w:r>
      <w:r w:rsidRPr="00105125">
        <w:rPr>
          <w:lang w:val="en-CA"/>
        </w:rPr>
        <w:t>t</w:t>
      </w:r>
      <w:r w:rsidRPr="00105125">
        <w:rPr>
          <w:rFonts w:cs="Arial"/>
          <w:lang w:val="en-CA"/>
        </w:rPr>
        <w:t>]</w:t>
      </w:r>
      <w:r w:rsidRPr="00105125">
        <w:rPr>
          <w:lang w:val="en-CA"/>
        </w:rPr>
        <w:t>he government must show that it is reasonable to suppose that the limit may further the goal, not that it will do so”.</w:t>
      </w:r>
      <w:r w:rsidRPr="00105125">
        <w:rPr>
          <w:rStyle w:val="Appelnotedebasdep"/>
          <w:lang w:val="en-CA"/>
        </w:rPr>
        <w:footnoteReference w:id="75"/>
      </w:r>
      <w:r w:rsidR="004A7BFD" w:rsidRPr="00105125">
        <w:rPr>
          <w:lang w:val="en-CA"/>
        </w:rPr>
        <w:t xml:space="preserve"> </w:t>
      </w:r>
      <w:r w:rsidRPr="00105125">
        <w:rPr>
          <w:lang w:val="en-CA"/>
        </w:rPr>
        <w:t>Moreover, the connection may be made out on the basis of reason or logic, as opposed to proof.</w:t>
      </w:r>
      <w:r w:rsidRPr="00105125">
        <w:rPr>
          <w:rStyle w:val="Appelnotedebasdep"/>
          <w:lang w:val="en-CA"/>
        </w:rPr>
        <w:footnoteReference w:id="76"/>
      </w:r>
    </w:p>
    <w:p w14:paraId="52858420" w14:textId="5BABF6BF" w:rsidR="0072362A" w:rsidRPr="00105125" w:rsidRDefault="003C1B82" w:rsidP="005A0DF4">
      <w:pPr>
        <w:pStyle w:val="Paragraphe"/>
        <w:spacing w:line="280" w:lineRule="exact"/>
        <w:rPr>
          <w:lang w:val="en-CA"/>
        </w:rPr>
      </w:pPr>
      <w:r w:rsidRPr="00105125">
        <w:rPr>
          <w:lang w:val="en-CA"/>
        </w:rPr>
        <w:t xml:space="preserve">In </w:t>
      </w:r>
      <w:r w:rsidRPr="00105125">
        <w:rPr>
          <w:i/>
          <w:lang w:val="en-CA"/>
        </w:rPr>
        <w:t>Frank v. Canada (Attorney General)</w:t>
      </w:r>
      <w:r w:rsidRPr="00105125">
        <w:rPr>
          <w:lang w:val="en-CA"/>
        </w:rPr>
        <w:t xml:space="preserve">, the Supreme Court recalled the question to </w:t>
      </w:r>
      <w:r w:rsidR="00472E45">
        <w:rPr>
          <w:lang w:val="en-CA"/>
        </w:rPr>
        <w:t>ask</w:t>
      </w:r>
      <w:r w:rsidR="00472E45" w:rsidRPr="00105125">
        <w:rPr>
          <w:lang w:val="en-CA"/>
        </w:rPr>
        <w:t xml:space="preserve"> </w:t>
      </w:r>
      <w:r w:rsidRPr="00105125">
        <w:rPr>
          <w:lang w:val="en-CA"/>
        </w:rPr>
        <w:t>to determine whether there is a rational connection.</w:t>
      </w:r>
      <w:r w:rsidR="004A7BFD" w:rsidRPr="00105125">
        <w:rPr>
          <w:lang w:val="en-CA"/>
        </w:rPr>
        <w:t xml:space="preserve"> </w:t>
      </w:r>
      <w:r w:rsidRPr="00105125">
        <w:rPr>
          <w:lang w:val="en-CA"/>
        </w:rPr>
        <w:t>It stated the following:</w:t>
      </w:r>
    </w:p>
    <w:p w14:paraId="672AA6CD" w14:textId="11AA6860" w:rsidR="0072362A" w:rsidRPr="00105125" w:rsidRDefault="004A7BFD" w:rsidP="0072362A">
      <w:pPr>
        <w:pStyle w:val="Citationenretrait"/>
        <w:rPr>
          <w:lang w:val="en-CA"/>
        </w:rPr>
      </w:pPr>
      <w:r w:rsidRPr="00105125">
        <w:rPr>
          <w:lang w:val="en-CA"/>
        </w:rPr>
        <w:t>[59]</w:t>
      </w:r>
      <w:r w:rsidRPr="00105125">
        <w:rPr>
          <w:lang w:val="en-CA"/>
        </w:rPr>
        <w:tab/>
      </w:r>
      <w:r w:rsidR="002C660A" w:rsidRPr="00105125">
        <w:rPr>
          <w:color w:val="000000"/>
          <w:lang w:val="en-CA"/>
        </w:rPr>
        <w:t>The question at the first step of the proportionality inquiry is whether the measure that has been adopted is rationally connected to the objective it was designed to achieve. The rational connection step requires that the measure not be “arbitrary, unfair, or based on irrational considerations” (</w:t>
      </w:r>
      <w:r w:rsidR="002C660A" w:rsidRPr="00105125">
        <w:rPr>
          <w:i/>
          <w:iCs/>
          <w:color w:val="000000"/>
          <w:lang w:val="en-CA"/>
        </w:rPr>
        <w:t>Oakes</w:t>
      </w:r>
      <w:r w:rsidR="002C660A" w:rsidRPr="00105125">
        <w:rPr>
          <w:color w:val="000000"/>
          <w:lang w:val="en-CA"/>
        </w:rPr>
        <w:t>, at p. 139). Essentially, the government must show that there is a causal connection between the limit and the intended purpose (</w:t>
      </w:r>
      <w:r w:rsidR="002C660A" w:rsidRPr="00105125">
        <w:rPr>
          <w:i/>
          <w:iCs/>
          <w:color w:val="000000"/>
          <w:lang w:val="en-CA"/>
        </w:rPr>
        <w:t>RJR-MacDonald</w:t>
      </w:r>
      <w:r w:rsidR="002C660A" w:rsidRPr="00105125">
        <w:rPr>
          <w:color w:val="000000"/>
          <w:lang w:val="en-CA"/>
        </w:rPr>
        <w:t>, at para. 153). In cases in which a causal connection is not scientifically measurable, one can be made out on the basis of reason or logic, as opposed to concrete proof (</w:t>
      </w:r>
      <w:r w:rsidR="002C660A" w:rsidRPr="00105125">
        <w:rPr>
          <w:i/>
          <w:iCs/>
          <w:color w:val="000000"/>
          <w:lang w:val="en-CA"/>
        </w:rPr>
        <w:t>RJR-MacDonald</w:t>
      </w:r>
      <w:r w:rsidR="002C660A" w:rsidRPr="00105125">
        <w:rPr>
          <w:color w:val="000000"/>
          <w:lang w:val="en-CA"/>
        </w:rPr>
        <w:t>, at para. 154; </w:t>
      </w:r>
      <w:r w:rsidR="002C660A" w:rsidRPr="00105125">
        <w:rPr>
          <w:i/>
          <w:iCs/>
          <w:color w:val="000000"/>
          <w:lang w:val="en-CA"/>
        </w:rPr>
        <w:t>Toronto Star</w:t>
      </w:r>
      <w:r w:rsidR="002C660A" w:rsidRPr="00105125">
        <w:rPr>
          <w:color w:val="000000"/>
          <w:lang w:val="en-CA"/>
        </w:rPr>
        <w:t>, at para. 25)</w:t>
      </w:r>
      <w:r w:rsidRPr="00105125">
        <w:rPr>
          <w:lang w:val="en-CA"/>
        </w:rPr>
        <w:t>.</w:t>
      </w:r>
      <w:r w:rsidRPr="00105125">
        <w:rPr>
          <w:rStyle w:val="Appelnotedebasdep"/>
          <w:lang w:val="en-CA"/>
        </w:rPr>
        <w:footnoteReference w:id="77"/>
      </w:r>
    </w:p>
    <w:p w14:paraId="6A4DFBE2" w14:textId="785851B4" w:rsidR="0072362A" w:rsidRPr="00105125" w:rsidRDefault="003C1B82" w:rsidP="005A0DF4">
      <w:pPr>
        <w:pStyle w:val="Paragraphe"/>
        <w:spacing w:line="280" w:lineRule="exact"/>
        <w:rPr>
          <w:lang w:val="en-CA"/>
        </w:rPr>
      </w:pPr>
      <w:r w:rsidRPr="00105125">
        <w:rPr>
          <w:lang w:val="en-CA"/>
        </w:rPr>
        <w:t xml:space="preserve">The AGQ </w:t>
      </w:r>
      <w:r w:rsidR="00556A44">
        <w:rPr>
          <w:lang w:val="en-CA"/>
        </w:rPr>
        <w:t>submits</w:t>
      </w:r>
      <w:r w:rsidRPr="00105125">
        <w:rPr>
          <w:lang w:val="en-CA"/>
        </w:rPr>
        <w:t xml:space="preserve"> that the state cannot assume that </w:t>
      </w:r>
      <w:r w:rsidR="00556A44">
        <w:rPr>
          <w:lang w:val="en-CA"/>
        </w:rPr>
        <w:t xml:space="preserve">the </w:t>
      </w:r>
      <w:r w:rsidRPr="00105125">
        <w:rPr>
          <w:lang w:val="en-CA"/>
        </w:rPr>
        <w:t xml:space="preserve">refugee claim is </w:t>
      </w:r>
      <w:r w:rsidR="00D65A0C">
        <w:rPr>
          <w:lang w:val="en-CA"/>
        </w:rPr>
        <w:t xml:space="preserve">well </w:t>
      </w:r>
      <w:r w:rsidRPr="00105125">
        <w:rPr>
          <w:lang w:val="en-CA"/>
        </w:rPr>
        <w:t xml:space="preserve">founded </w:t>
      </w:r>
      <w:r w:rsidR="00556A44">
        <w:rPr>
          <w:lang w:val="en-CA"/>
        </w:rPr>
        <w:t xml:space="preserve">and </w:t>
      </w:r>
      <w:r w:rsidRPr="00105125">
        <w:rPr>
          <w:lang w:val="en-CA"/>
        </w:rPr>
        <w:t>that the refugee claimant will remain in the country.</w:t>
      </w:r>
      <w:r w:rsidR="004A7BFD" w:rsidRPr="00105125">
        <w:rPr>
          <w:lang w:val="en-CA"/>
        </w:rPr>
        <w:t xml:space="preserve"> </w:t>
      </w:r>
      <w:r w:rsidRPr="00105125">
        <w:rPr>
          <w:lang w:val="en-CA"/>
        </w:rPr>
        <w:t>This demonstrates that the exclusion of persons whose status is not recognized is rationally connected to this objective.</w:t>
      </w:r>
    </w:p>
    <w:p w14:paraId="4CC4FF24" w14:textId="177D5FD2" w:rsidR="0072362A" w:rsidRPr="00105125" w:rsidRDefault="003C1B82" w:rsidP="005A0DF4">
      <w:pPr>
        <w:pStyle w:val="Paragraphe"/>
        <w:spacing w:line="280" w:lineRule="exact"/>
        <w:rPr>
          <w:lang w:val="en-CA"/>
        </w:rPr>
      </w:pPr>
      <w:r w:rsidRPr="00105125">
        <w:rPr>
          <w:lang w:val="en-CA"/>
        </w:rPr>
        <w:t xml:space="preserve">In my </w:t>
      </w:r>
      <w:r w:rsidR="00D65A0C">
        <w:rPr>
          <w:lang w:val="en-CA"/>
        </w:rPr>
        <w:t>view</w:t>
      </w:r>
      <w:r w:rsidRPr="00105125">
        <w:rPr>
          <w:lang w:val="en-CA"/>
        </w:rPr>
        <w:t xml:space="preserve">, the AGQ has not </w:t>
      </w:r>
      <w:r w:rsidR="00D65A0C">
        <w:rPr>
          <w:lang w:val="en-CA"/>
        </w:rPr>
        <w:t>demonstrated</w:t>
      </w:r>
      <w:r w:rsidR="00D65A0C" w:rsidRPr="00105125">
        <w:rPr>
          <w:lang w:val="en-CA"/>
        </w:rPr>
        <w:t xml:space="preserve"> </w:t>
      </w:r>
      <w:r w:rsidR="00556A44">
        <w:rPr>
          <w:lang w:val="en-CA"/>
        </w:rPr>
        <w:t xml:space="preserve">that </w:t>
      </w:r>
      <w:r w:rsidRPr="00105125">
        <w:rPr>
          <w:lang w:val="en-CA"/>
        </w:rPr>
        <w:t xml:space="preserve">the measure </w:t>
      </w:r>
      <w:r w:rsidR="00556A44">
        <w:rPr>
          <w:lang w:val="en-CA"/>
        </w:rPr>
        <w:t xml:space="preserve">is rationally connected to </w:t>
      </w:r>
      <w:r w:rsidRPr="00105125">
        <w:rPr>
          <w:lang w:val="en-CA"/>
        </w:rPr>
        <w:t>the pressing and substantial objective.</w:t>
      </w:r>
    </w:p>
    <w:p w14:paraId="3C7CF373" w14:textId="1E5AAAF7" w:rsidR="0072362A" w:rsidRPr="00105125" w:rsidRDefault="003C1B82" w:rsidP="005A0DF4">
      <w:pPr>
        <w:pStyle w:val="Paragraphe"/>
        <w:spacing w:line="280" w:lineRule="exact"/>
        <w:rPr>
          <w:lang w:val="en-CA"/>
        </w:rPr>
      </w:pPr>
      <w:r w:rsidRPr="00105125">
        <w:rPr>
          <w:lang w:val="en-CA"/>
        </w:rPr>
        <w:t xml:space="preserve">A </w:t>
      </w:r>
      <w:r w:rsidR="00556A44">
        <w:rPr>
          <w:lang w:val="en-CA"/>
        </w:rPr>
        <w:t xml:space="preserve">reading </w:t>
      </w:r>
      <w:r w:rsidRPr="00105125">
        <w:rPr>
          <w:lang w:val="en-CA"/>
        </w:rPr>
        <w:t xml:space="preserve">of section 3 </w:t>
      </w:r>
      <w:r w:rsidR="00E20DF7">
        <w:rPr>
          <w:lang w:val="en-CA"/>
        </w:rPr>
        <w:t xml:space="preserve">of the </w:t>
      </w:r>
      <w:r w:rsidRPr="00105125">
        <w:rPr>
          <w:i/>
          <w:lang w:val="en-CA"/>
        </w:rPr>
        <w:t>RCR</w:t>
      </w:r>
      <w:r w:rsidRPr="00105125">
        <w:rPr>
          <w:lang w:val="en-CA"/>
        </w:rPr>
        <w:t xml:space="preserve"> reveals that several categories of person</w:t>
      </w:r>
      <w:r w:rsidR="00556A44">
        <w:rPr>
          <w:lang w:val="en-CA"/>
        </w:rPr>
        <w:t>s</w:t>
      </w:r>
      <w:r w:rsidRPr="00105125">
        <w:rPr>
          <w:lang w:val="en-CA"/>
        </w:rPr>
        <w:t xml:space="preserve"> eligible for the reduced contribution are </w:t>
      </w:r>
      <w:r w:rsidR="00556A44">
        <w:rPr>
          <w:lang w:val="en-CA"/>
        </w:rPr>
        <w:t xml:space="preserve">staying </w:t>
      </w:r>
      <w:r w:rsidRPr="00105125">
        <w:rPr>
          <w:lang w:val="en-CA"/>
        </w:rPr>
        <w:t>in Quebec</w:t>
      </w:r>
      <w:r w:rsidR="00556A44" w:rsidRPr="00556A44">
        <w:rPr>
          <w:lang w:val="en-CA"/>
        </w:rPr>
        <w:t xml:space="preserve"> </w:t>
      </w:r>
      <w:r w:rsidR="00556A44">
        <w:rPr>
          <w:lang w:val="en-CA"/>
        </w:rPr>
        <w:t>only temporarily</w:t>
      </w:r>
      <w:r w:rsidRPr="00105125">
        <w:rPr>
          <w:lang w:val="en-CA"/>
        </w:rPr>
        <w:t xml:space="preserve">. </w:t>
      </w:r>
      <w:r w:rsidR="00556A44">
        <w:rPr>
          <w:lang w:val="en-CA"/>
        </w:rPr>
        <w:t xml:space="preserve">This </w:t>
      </w:r>
      <w:r w:rsidR="00EA7055" w:rsidRPr="00105125">
        <w:rPr>
          <w:lang w:val="en-CA"/>
        </w:rPr>
        <w:t xml:space="preserve">is the case, for example, </w:t>
      </w:r>
      <w:r w:rsidR="00556A44">
        <w:rPr>
          <w:lang w:val="en-CA"/>
        </w:rPr>
        <w:t>o</w:t>
      </w:r>
      <w:r w:rsidR="00EA7055" w:rsidRPr="00105125">
        <w:rPr>
          <w:lang w:val="en-CA"/>
        </w:rPr>
        <w:t>f workers with a work permit for a specific period (</w:t>
      </w:r>
      <w:r w:rsidR="00751438">
        <w:rPr>
          <w:lang w:val="en-CA"/>
        </w:rPr>
        <w:t>subparagraph</w:t>
      </w:r>
      <w:r w:rsidR="00751438" w:rsidRPr="00105125">
        <w:rPr>
          <w:lang w:val="en-CA"/>
        </w:rPr>
        <w:t xml:space="preserve"> </w:t>
      </w:r>
      <w:r w:rsidR="00751438">
        <w:rPr>
          <w:lang w:val="en-CA"/>
        </w:rPr>
        <w:t>(3)</w:t>
      </w:r>
      <w:r w:rsidR="00EA7055" w:rsidRPr="00105125">
        <w:rPr>
          <w:lang w:val="en-CA"/>
        </w:rPr>
        <w:t>), foreign students holding a certificate of acceptance issued by the Quebec government (</w:t>
      </w:r>
      <w:r w:rsidR="00751438">
        <w:rPr>
          <w:lang w:val="en-CA"/>
        </w:rPr>
        <w:t>subparagraph</w:t>
      </w:r>
      <w:r w:rsidR="00751438" w:rsidRPr="00105125">
        <w:rPr>
          <w:lang w:val="en-CA"/>
        </w:rPr>
        <w:t xml:space="preserve"> </w:t>
      </w:r>
      <w:r w:rsidR="00751438">
        <w:rPr>
          <w:lang w:val="en-CA"/>
        </w:rPr>
        <w:t>(4)</w:t>
      </w:r>
      <w:r w:rsidR="00EA7055" w:rsidRPr="00105125">
        <w:rPr>
          <w:lang w:val="en-CA"/>
        </w:rPr>
        <w:t xml:space="preserve">), and holders of temporary resident permits issued under section 24 of the </w:t>
      </w:r>
      <w:r w:rsidR="00EA7055" w:rsidRPr="00105125">
        <w:rPr>
          <w:i/>
          <w:lang w:val="en-CA"/>
        </w:rPr>
        <w:t>IRPA</w:t>
      </w:r>
      <w:r w:rsidR="00EA7055" w:rsidRPr="00105125">
        <w:rPr>
          <w:lang w:val="en-CA"/>
        </w:rPr>
        <w:t xml:space="preserve"> (</w:t>
      </w:r>
      <w:r w:rsidR="00751438">
        <w:rPr>
          <w:lang w:val="en-CA"/>
        </w:rPr>
        <w:t>subparagraph</w:t>
      </w:r>
      <w:r w:rsidR="00751438" w:rsidRPr="00105125">
        <w:rPr>
          <w:lang w:val="en-CA"/>
        </w:rPr>
        <w:t xml:space="preserve"> </w:t>
      </w:r>
      <w:r w:rsidR="00751438">
        <w:rPr>
          <w:lang w:val="en-CA"/>
        </w:rPr>
        <w:t>(7)</w:t>
      </w:r>
      <w:r w:rsidR="00EA7055" w:rsidRPr="00105125">
        <w:rPr>
          <w:lang w:val="en-CA"/>
        </w:rPr>
        <w:t>).</w:t>
      </w:r>
      <w:r w:rsidR="004A7BFD" w:rsidRPr="00105125">
        <w:rPr>
          <w:lang w:val="en-CA"/>
        </w:rPr>
        <w:t xml:space="preserve"> </w:t>
      </w:r>
      <w:r w:rsidR="00EA7055" w:rsidRPr="00105125">
        <w:rPr>
          <w:lang w:val="en-CA"/>
        </w:rPr>
        <w:t xml:space="preserve">As Ms. </w:t>
      </w:r>
      <w:proofErr w:type="spellStart"/>
      <w:r w:rsidR="00EA7055" w:rsidRPr="00105125">
        <w:rPr>
          <w:lang w:val="en-CA"/>
        </w:rPr>
        <w:t>Kanyinda</w:t>
      </w:r>
      <w:proofErr w:type="spellEnd"/>
      <w:r w:rsidR="00EA7055" w:rsidRPr="00105125">
        <w:rPr>
          <w:lang w:val="en-CA"/>
        </w:rPr>
        <w:t xml:space="preserve"> argues, this last case is particularly striking since this type of permit is granted in exceptional circumstances to allow a person to </w:t>
      </w:r>
      <w:r w:rsidR="00EA7055" w:rsidRPr="00105125">
        <w:rPr>
          <w:lang w:val="en-CA"/>
        </w:rPr>
        <w:lastRenderedPageBreak/>
        <w:t xml:space="preserve">remain in Canada despite inadmissibility or failure to comply with the </w:t>
      </w:r>
      <w:r w:rsidR="00EA7055" w:rsidRPr="00105125">
        <w:rPr>
          <w:i/>
          <w:lang w:val="en-CA"/>
        </w:rPr>
        <w:t>IRPA</w:t>
      </w:r>
      <w:r w:rsidR="00EA7055" w:rsidRPr="00105125">
        <w:rPr>
          <w:lang w:val="en-CA"/>
        </w:rPr>
        <w:t>.</w:t>
      </w:r>
      <w:r w:rsidR="004A7BFD" w:rsidRPr="00105125">
        <w:rPr>
          <w:lang w:val="en-CA"/>
        </w:rPr>
        <w:t xml:space="preserve"> </w:t>
      </w:r>
      <w:r w:rsidR="00EA7055" w:rsidRPr="00105125">
        <w:rPr>
          <w:lang w:val="en-CA"/>
        </w:rPr>
        <w:t>Th</w:t>
      </w:r>
      <w:r w:rsidR="00556A44">
        <w:rPr>
          <w:lang w:val="en-CA"/>
        </w:rPr>
        <w:t>is</w:t>
      </w:r>
      <w:r w:rsidR="00EA7055" w:rsidRPr="00105125">
        <w:rPr>
          <w:lang w:val="en-CA"/>
        </w:rPr>
        <w:t xml:space="preserve"> status is temporary and may be revoked at any time.</w:t>
      </w:r>
    </w:p>
    <w:p w14:paraId="209467C8" w14:textId="360141FD" w:rsidR="0072362A" w:rsidRPr="00105125" w:rsidRDefault="00EA7055" w:rsidP="005A0DF4">
      <w:pPr>
        <w:pStyle w:val="Paragraphe"/>
        <w:spacing w:line="280" w:lineRule="exact"/>
        <w:rPr>
          <w:lang w:val="en-CA"/>
        </w:rPr>
      </w:pPr>
      <w:r w:rsidRPr="00105125">
        <w:rPr>
          <w:lang w:val="en-CA"/>
        </w:rPr>
        <w:t xml:space="preserve">These persons are </w:t>
      </w:r>
      <w:r w:rsidR="00556A44">
        <w:rPr>
          <w:lang w:val="en-CA"/>
        </w:rPr>
        <w:t xml:space="preserve">therefore </w:t>
      </w:r>
      <w:r w:rsidRPr="00105125">
        <w:rPr>
          <w:lang w:val="en-CA"/>
        </w:rPr>
        <w:t xml:space="preserve">staying in Quebec </w:t>
      </w:r>
      <w:r w:rsidR="00556A44">
        <w:rPr>
          <w:lang w:val="en-CA"/>
        </w:rPr>
        <w:t xml:space="preserve">for </w:t>
      </w:r>
      <w:r w:rsidRPr="00105125">
        <w:rPr>
          <w:lang w:val="en-CA"/>
        </w:rPr>
        <w:t>only a limited time.</w:t>
      </w:r>
      <w:r w:rsidR="004A7BFD" w:rsidRPr="00105125">
        <w:rPr>
          <w:lang w:val="en-CA"/>
        </w:rPr>
        <w:t xml:space="preserve"> </w:t>
      </w:r>
      <w:r w:rsidRPr="00105125">
        <w:rPr>
          <w:lang w:val="en-CA"/>
        </w:rPr>
        <w:t xml:space="preserve">For persons covered under </w:t>
      </w:r>
      <w:r w:rsidR="00751438">
        <w:rPr>
          <w:lang w:val="en-CA"/>
        </w:rPr>
        <w:t xml:space="preserve">subparagraph (7) of </w:t>
      </w:r>
      <w:r w:rsidRPr="00105125">
        <w:rPr>
          <w:lang w:val="en-CA"/>
        </w:rPr>
        <w:t xml:space="preserve">section 3 </w:t>
      </w:r>
      <w:r w:rsidR="00AD6235">
        <w:rPr>
          <w:lang w:val="en-CA"/>
        </w:rPr>
        <w:t xml:space="preserve">of the </w:t>
      </w:r>
      <w:r w:rsidRPr="00105125">
        <w:rPr>
          <w:i/>
          <w:lang w:val="en-CA"/>
        </w:rPr>
        <w:t>RCR</w:t>
      </w:r>
      <w:r w:rsidRPr="00105125">
        <w:rPr>
          <w:lang w:val="en-CA"/>
        </w:rPr>
        <w:t>, the resident permit may be revoked at any time.</w:t>
      </w:r>
      <w:r w:rsidR="004A7BFD" w:rsidRPr="00105125">
        <w:rPr>
          <w:lang w:val="en-CA"/>
        </w:rPr>
        <w:t xml:space="preserve"> </w:t>
      </w:r>
      <w:r w:rsidRPr="00105125">
        <w:rPr>
          <w:lang w:val="en-CA"/>
        </w:rPr>
        <w:t xml:space="preserve">The common point between all the categories of persons covered by section 3 </w:t>
      </w:r>
      <w:r w:rsidR="00AD6235">
        <w:rPr>
          <w:lang w:val="en-CA"/>
        </w:rPr>
        <w:t xml:space="preserve">of the </w:t>
      </w:r>
      <w:r w:rsidRPr="00105125">
        <w:rPr>
          <w:i/>
          <w:lang w:val="en-CA"/>
        </w:rPr>
        <w:t>RCR</w:t>
      </w:r>
      <w:r w:rsidRPr="00105125">
        <w:rPr>
          <w:lang w:val="en-CA"/>
        </w:rPr>
        <w:t xml:space="preserve"> </w:t>
      </w:r>
      <w:r w:rsidR="00556A44">
        <w:rPr>
          <w:lang w:val="en-CA"/>
        </w:rPr>
        <w:t xml:space="preserve">is </w:t>
      </w:r>
      <w:r w:rsidRPr="00105125">
        <w:rPr>
          <w:lang w:val="en-CA"/>
        </w:rPr>
        <w:t>that they must all hold a work permit, not that they may remain in Quebec.</w:t>
      </w:r>
    </w:p>
    <w:p w14:paraId="785E37CC" w14:textId="4FEB2BEB" w:rsidR="0072362A" w:rsidRPr="00105125" w:rsidRDefault="00EA7055" w:rsidP="005A0DF4">
      <w:pPr>
        <w:pStyle w:val="Paragraphe"/>
        <w:spacing w:line="280" w:lineRule="exact"/>
        <w:rPr>
          <w:lang w:val="en-CA"/>
        </w:rPr>
      </w:pPr>
      <w:r w:rsidRPr="00105125">
        <w:rPr>
          <w:lang w:val="en-CA"/>
        </w:rPr>
        <w:t xml:space="preserve">The AGQ had to </w:t>
      </w:r>
      <w:r w:rsidR="00556A44">
        <w:rPr>
          <w:lang w:val="en-CA"/>
        </w:rPr>
        <w:t>demonstrate</w:t>
      </w:r>
      <w:r w:rsidRPr="00105125">
        <w:rPr>
          <w:lang w:val="en-CA"/>
        </w:rPr>
        <w:t xml:space="preserve"> the following concerning </w:t>
      </w:r>
      <w:r w:rsidR="00556A44">
        <w:rPr>
          <w:lang w:val="en-CA"/>
        </w:rPr>
        <w:t xml:space="preserve">the </w:t>
      </w:r>
      <w:r w:rsidRPr="00105125">
        <w:rPr>
          <w:lang w:val="en-CA"/>
        </w:rPr>
        <w:t>minimal impairment:</w:t>
      </w:r>
    </w:p>
    <w:p w14:paraId="518F8CA3" w14:textId="607BF913" w:rsidR="0072362A" w:rsidRPr="00105125" w:rsidRDefault="004A7BFD" w:rsidP="0072362A">
      <w:pPr>
        <w:pStyle w:val="Citationenretrait"/>
        <w:rPr>
          <w:lang w:val="en-CA"/>
        </w:rPr>
      </w:pPr>
      <w:r w:rsidRPr="00105125">
        <w:rPr>
          <w:lang w:val="en-CA"/>
        </w:rPr>
        <w:t>[66]</w:t>
      </w:r>
      <w:r w:rsidRPr="00105125">
        <w:rPr>
          <w:lang w:val="en-CA"/>
        </w:rPr>
        <w:tab/>
      </w:r>
      <w:r w:rsidR="002C660A" w:rsidRPr="00105125">
        <w:rPr>
          <w:color w:val="000000"/>
          <w:lang w:val="en-CA"/>
        </w:rPr>
        <w:t>The second component of the proportionality test requires the government to show that the measure at issue impairs the right as little as reasonably possible in furthering the legislative objective (</w:t>
      </w:r>
      <w:r w:rsidR="002C660A" w:rsidRPr="00105125">
        <w:rPr>
          <w:i/>
          <w:iCs/>
          <w:color w:val="000000"/>
          <w:lang w:val="en-CA"/>
        </w:rPr>
        <w:t>RJR-MacDonald</w:t>
      </w:r>
      <w:r w:rsidR="002C660A" w:rsidRPr="00105125">
        <w:rPr>
          <w:color w:val="000000"/>
          <w:lang w:val="en-CA"/>
        </w:rPr>
        <w:t>, at para. 160; </w:t>
      </w:r>
      <w:r w:rsidR="002C660A" w:rsidRPr="00105125">
        <w:rPr>
          <w:i/>
          <w:iCs/>
          <w:color w:val="000000"/>
          <w:lang w:val="en-CA"/>
        </w:rPr>
        <w:t>Oakes</w:t>
      </w:r>
      <w:r w:rsidR="002C660A" w:rsidRPr="00105125">
        <w:rPr>
          <w:color w:val="000000"/>
          <w:lang w:val="en-CA"/>
        </w:rPr>
        <w:t>, at p. 139). In other words, the measure must be “carefully tailored” to ensure that rights are impaired no more than is reasonably necessary (</w:t>
      </w:r>
      <w:r w:rsidR="002C660A" w:rsidRPr="00105125">
        <w:rPr>
          <w:i/>
          <w:iCs/>
          <w:color w:val="000000"/>
          <w:lang w:val="en-CA"/>
        </w:rPr>
        <w:t>RJR-MacDonald</w:t>
      </w:r>
      <w:r w:rsidR="002C660A" w:rsidRPr="00105125">
        <w:rPr>
          <w:color w:val="000000"/>
          <w:lang w:val="en-CA"/>
        </w:rPr>
        <w:t>, at para. 160; </w:t>
      </w:r>
      <w:r w:rsidR="002C660A" w:rsidRPr="00105125">
        <w:rPr>
          <w:i/>
          <w:iCs/>
          <w:color w:val="000000"/>
          <w:lang w:val="en-CA"/>
        </w:rPr>
        <w:t>Mounted Police Association</w:t>
      </w:r>
      <w:r w:rsidR="002C660A" w:rsidRPr="00105125">
        <w:rPr>
          <w:color w:val="000000"/>
          <w:lang w:val="en-CA"/>
        </w:rPr>
        <w:t>, at para. 149). However, some deference must be accorded to the legislature by giving it a certain latitude: “If the law falls within a range of reasonable alternatives, the courts will not find it overbroad merely because they can conceive of an alternative which might better tailor objective to infringement” (</w:t>
      </w:r>
      <w:r w:rsidR="002C660A" w:rsidRPr="00105125">
        <w:rPr>
          <w:i/>
          <w:iCs/>
          <w:color w:val="000000"/>
          <w:lang w:val="en-CA"/>
        </w:rPr>
        <w:t>RJR-MacDonald</w:t>
      </w:r>
      <w:r w:rsidR="002C660A" w:rsidRPr="00105125">
        <w:rPr>
          <w:color w:val="000000"/>
          <w:lang w:val="en-CA"/>
        </w:rPr>
        <w:t>, at para. 160)</w:t>
      </w:r>
      <w:r w:rsidRPr="00105125">
        <w:rPr>
          <w:lang w:val="en-CA"/>
        </w:rPr>
        <w:t>.</w:t>
      </w:r>
      <w:r w:rsidRPr="00105125">
        <w:rPr>
          <w:rStyle w:val="Appelnotedebasdep"/>
          <w:lang w:val="en-CA"/>
        </w:rPr>
        <w:footnoteReference w:id="78"/>
      </w:r>
    </w:p>
    <w:p w14:paraId="0B13290D" w14:textId="6C5F258A" w:rsidR="0072362A" w:rsidRPr="00105125" w:rsidRDefault="00FC4875" w:rsidP="005A0DF4">
      <w:pPr>
        <w:pStyle w:val="Paragraphe"/>
        <w:spacing w:line="280" w:lineRule="exact"/>
        <w:rPr>
          <w:lang w:val="en-CA"/>
        </w:rPr>
      </w:pPr>
      <w:r w:rsidRPr="00105125">
        <w:rPr>
          <w:lang w:val="en-CA"/>
        </w:rPr>
        <w:t xml:space="preserve">In my </w:t>
      </w:r>
      <w:r w:rsidR="00D65A0C">
        <w:rPr>
          <w:lang w:val="en-CA"/>
        </w:rPr>
        <w:t>view</w:t>
      </w:r>
      <w:r w:rsidRPr="00105125">
        <w:rPr>
          <w:lang w:val="en-CA"/>
        </w:rPr>
        <w:t xml:space="preserve">, the AGQ has not </w:t>
      </w:r>
      <w:r w:rsidR="00556A44">
        <w:rPr>
          <w:lang w:val="en-CA"/>
        </w:rPr>
        <w:t>demonstrated</w:t>
      </w:r>
      <w:r w:rsidRPr="00105125">
        <w:rPr>
          <w:lang w:val="en-CA"/>
        </w:rPr>
        <w:t xml:space="preserve"> that the impairment is minimal.</w:t>
      </w:r>
      <w:r w:rsidR="005E616B" w:rsidRPr="00105125">
        <w:rPr>
          <w:lang w:val="en-CA"/>
        </w:rPr>
        <w:t xml:space="preserve"> </w:t>
      </w:r>
      <w:r w:rsidRPr="00105125">
        <w:rPr>
          <w:lang w:val="en-CA"/>
        </w:rPr>
        <w:t xml:space="preserve">Even </w:t>
      </w:r>
      <w:r w:rsidR="00751438">
        <w:rPr>
          <w:lang w:val="en-CA"/>
        </w:rPr>
        <w:t xml:space="preserve">were it to be accepted </w:t>
      </w:r>
      <w:r w:rsidR="00556A44">
        <w:rPr>
          <w:lang w:val="en-CA"/>
        </w:rPr>
        <w:t>that</w:t>
      </w:r>
      <w:r w:rsidRPr="00105125">
        <w:rPr>
          <w:lang w:val="en-CA"/>
        </w:rPr>
        <w:t xml:space="preserve"> refugee claimants do not have a sufficient connection to Quebec, they </w:t>
      </w:r>
      <w:r w:rsidR="00EF1B0E">
        <w:rPr>
          <w:lang w:val="en-CA"/>
        </w:rPr>
        <w:t>could</w:t>
      </w:r>
      <w:r w:rsidRPr="00105125">
        <w:rPr>
          <w:lang w:val="en-CA"/>
        </w:rPr>
        <w:t xml:space="preserve"> be </w:t>
      </w:r>
      <w:r w:rsidR="00751438">
        <w:rPr>
          <w:lang w:val="en-CA"/>
        </w:rPr>
        <w:t xml:space="preserve">considered </w:t>
      </w:r>
      <w:r w:rsidR="00A31884">
        <w:rPr>
          <w:lang w:val="en-CA"/>
        </w:rPr>
        <w:t>eligible</w:t>
      </w:r>
      <w:r w:rsidR="00A31884" w:rsidRPr="00105125">
        <w:rPr>
          <w:lang w:val="en-CA"/>
        </w:rPr>
        <w:t xml:space="preserve"> </w:t>
      </w:r>
      <w:r w:rsidRPr="00105125">
        <w:rPr>
          <w:lang w:val="en-CA"/>
        </w:rPr>
        <w:t>for the reduced contribution while respecting the objective of favouring persons with such a connection according to the criteria determined by the government.</w:t>
      </w:r>
    </w:p>
    <w:p w14:paraId="791A9769" w14:textId="267C5011" w:rsidR="0072362A" w:rsidRPr="00105125" w:rsidRDefault="00FC4875" w:rsidP="005A0DF4">
      <w:pPr>
        <w:pStyle w:val="Paragraphe"/>
        <w:spacing w:line="280" w:lineRule="exact"/>
        <w:rPr>
          <w:lang w:val="en-CA"/>
        </w:rPr>
      </w:pPr>
      <w:r w:rsidRPr="00105125">
        <w:rPr>
          <w:lang w:val="en-CA"/>
        </w:rPr>
        <w:t xml:space="preserve">Proportionality between the effects and the objective has not been </w:t>
      </w:r>
      <w:r w:rsidR="00EF1B0E">
        <w:rPr>
          <w:lang w:val="en-CA"/>
        </w:rPr>
        <w:t>demonstrated</w:t>
      </w:r>
      <w:r w:rsidRPr="00105125">
        <w:rPr>
          <w:lang w:val="en-CA"/>
        </w:rPr>
        <w:t>.</w:t>
      </w:r>
      <w:r w:rsidR="004A7BFD" w:rsidRPr="00105125">
        <w:rPr>
          <w:lang w:val="en-CA"/>
        </w:rPr>
        <w:t xml:space="preserve"> </w:t>
      </w:r>
      <w:r w:rsidRPr="00105125">
        <w:rPr>
          <w:lang w:val="en-CA"/>
        </w:rPr>
        <w:t xml:space="preserve">The AGQ </w:t>
      </w:r>
      <w:r w:rsidR="00EF1B0E">
        <w:rPr>
          <w:lang w:val="en-CA"/>
        </w:rPr>
        <w:t xml:space="preserve">raises </w:t>
      </w:r>
      <w:r w:rsidRPr="00105125">
        <w:rPr>
          <w:lang w:val="en-CA"/>
        </w:rPr>
        <w:t>no benefi</w:t>
      </w:r>
      <w:r w:rsidR="00EF1B0E">
        <w:rPr>
          <w:lang w:val="en-CA"/>
        </w:rPr>
        <w:t>t</w:t>
      </w:r>
      <w:r w:rsidRPr="00105125">
        <w:rPr>
          <w:lang w:val="en-CA"/>
        </w:rPr>
        <w:t xml:space="preserve"> arising from th</w:t>
      </w:r>
      <w:r w:rsidR="00DF5D0D">
        <w:rPr>
          <w:lang w:val="en-CA"/>
        </w:rPr>
        <w:t>is</w:t>
      </w:r>
      <w:r w:rsidRPr="00105125">
        <w:rPr>
          <w:lang w:val="en-CA"/>
        </w:rPr>
        <w:t xml:space="preserve"> exclusion under section 3 </w:t>
      </w:r>
      <w:r w:rsidR="00E20DF7">
        <w:rPr>
          <w:lang w:val="en-CA"/>
        </w:rPr>
        <w:t xml:space="preserve">of the </w:t>
      </w:r>
      <w:r w:rsidRPr="00105125">
        <w:rPr>
          <w:i/>
          <w:lang w:val="en-CA"/>
        </w:rPr>
        <w:t>RCR</w:t>
      </w:r>
      <w:r w:rsidRPr="00105125">
        <w:rPr>
          <w:lang w:val="en-CA"/>
        </w:rPr>
        <w:t xml:space="preserve"> from the perspective of legislative policy or society as a whole.</w:t>
      </w:r>
      <w:r w:rsidR="004A7BFD" w:rsidRPr="00105125">
        <w:rPr>
          <w:lang w:val="en-CA"/>
        </w:rPr>
        <w:t xml:space="preserve"> </w:t>
      </w:r>
      <w:r w:rsidRPr="00105125">
        <w:rPr>
          <w:lang w:val="en-CA"/>
        </w:rPr>
        <w:t xml:space="preserve">On the contrary, Ms. </w:t>
      </w:r>
      <w:proofErr w:type="spellStart"/>
      <w:r w:rsidRPr="00105125">
        <w:rPr>
          <w:lang w:val="en-CA"/>
        </w:rPr>
        <w:t>Kanyinda</w:t>
      </w:r>
      <w:proofErr w:type="spellEnd"/>
      <w:r w:rsidRPr="00105125">
        <w:rPr>
          <w:lang w:val="en-CA"/>
        </w:rPr>
        <w:t xml:space="preserve"> has </w:t>
      </w:r>
      <w:r w:rsidR="00EF1B0E">
        <w:rPr>
          <w:lang w:val="en-CA"/>
        </w:rPr>
        <w:t xml:space="preserve">clearly demonstrated </w:t>
      </w:r>
      <w:r w:rsidRPr="00105125">
        <w:rPr>
          <w:lang w:val="en-CA"/>
        </w:rPr>
        <w:t>the adverse effects suffered by refugee claimants, supported by scientific evidence.</w:t>
      </w:r>
    </w:p>
    <w:p w14:paraId="0C2F801F" w14:textId="6CE57E0C" w:rsidR="0072362A" w:rsidRPr="00105125" w:rsidRDefault="00FC4875" w:rsidP="005A0DF4">
      <w:pPr>
        <w:numPr>
          <w:ilvl w:val="0"/>
          <w:numId w:val="18"/>
        </w:numPr>
        <w:spacing w:before="120" w:after="120"/>
        <w:jc w:val="both"/>
        <w:rPr>
          <w:kern w:val="28"/>
          <w:lang w:val="en-CA"/>
        </w:rPr>
      </w:pPr>
      <w:r w:rsidRPr="00105125">
        <w:rPr>
          <w:kern w:val="28"/>
          <w:lang w:val="en-CA"/>
        </w:rPr>
        <w:t xml:space="preserve">For all these reasons, I find that the violation of section 15 of the </w:t>
      </w:r>
      <w:r w:rsidRPr="00105125">
        <w:rPr>
          <w:i/>
          <w:kern w:val="28"/>
          <w:lang w:val="en-CA"/>
        </w:rPr>
        <w:t>Canadian Charter</w:t>
      </w:r>
      <w:r w:rsidRPr="00105125">
        <w:rPr>
          <w:kern w:val="28"/>
          <w:lang w:val="en-CA"/>
        </w:rPr>
        <w:t xml:space="preserve"> is not justified under section 1.</w:t>
      </w:r>
    </w:p>
    <w:p w14:paraId="1552EB2C" w14:textId="0D8B437B" w:rsidR="0072362A" w:rsidRPr="00105125" w:rsidRDefault="00FC4875" w:rsidP="0072362A">
      <w:pPr>
        <w:pStyle w:val="Titre2"/>
        <w:rPr>
          <w:b w:val="0"/>
          <w:bCs/>
          <w:lang w:val="en-CA"/>
        </w:rPr>
      </w:pPr>
      <w:r w:rsidRPr="00105125">
        <w:rPr>
          <w:b w:val="0"/>
          <w:bCs/>
          <w:lang w:val="en-CA"/>
        </w:rPr>
        <w:t>Appropriate remedy</w:t>
      </w:r>
    </w:p>
    <w:p w14:paraId="2914BC85" w14:textId="2091E39C" w:rsidR="0072362A" w:rsidRPr="00105125" w:rsidRDefault="00F667C2" w:rsidP="005A0DF4">
      <w:pPr>
        <w:pStyle w:val="Paragraphe"/>
        <w:spacing w:line="280" w:lineRule="exact"/>
        <w:rPr>
          <w:lang w:val="en-CA"/>
        </w:rPr>
      </w:pPr>
      <w:r>
        <w:rPr>
          <w:lang w:val="en-CA"/>
        </w:rPr>
        <w:t xml:space="preserve">As a remedy, </w:t>
      </w:r>
      <w:r w:rsidR="00FC4875" w:rsidRPr="00105125">
        <w:rPr>
          <w:lang w:val="en-CA"/>
        </w:rPr>
        <w:t xml:space="preserve">Ms. </w:t>
      </w:r>
      <w:proofErr w:type="spellStart"/>
      <w:r w:rsidR="00FC4875" w:rsidRPr="00105125">
        <w:rPr>
          <w:lang w:val="en-CA"/>
        </w:rPr>
        <w:t>Kanyinda</w:t>
      </w:r>
      <w:proofErr w:type="spellEnd"/>
      <w:r w:rsidR="00FC4875" w:rsidRPr="00105125">
        <w:rPr>
          <w:lang w:val="en-CA"/>
        </w:rPr>
        <w:t xml:space="preserve"> asks </w:t>
      </w:r>
      <w:r>
        <w:rPr>
          <w:lang w:val="en-CA"/>
        </w:rPr>
        <w:t xml:space="preserve">for a </w:t>
      </w:r>
      <w:r w:rsidR="00FC4875" w:rsidRPr="00105125">
        <w:rPr>
          <w:lang w:val="en-CA"/>
        </w:rPr>
        <w:t>read</w:t>
      </w:r>
      <w:r>
        <w:rPr>
          <w:lang w:val="en-CA"/>
        </w:rPr>
        <w:t>ing</w:t>
      </w:r>
      <w:r w:rsidR="00FC4875" w:rsidRPr="00105125">
        <w:rPr>
          <w:lang w:val="en-CA"/>
        </w:rPr>
        <w:t xml:space="preserve"> in.</w:t>
      </w:r>
      <w:r w:rsidR="004A7BFD" w:rsidRPr="00105125">
        <w:rPr>
          <w:lang w:val="en-CA"/>
        </w:rPr>
        <w:t xml:space="preserve"> </w:t>
      </w:r>
      <w:r w:rsidR="008E1B40" w:rsidRPr="00105125">
        <w:rPr>
          <w:lang w:val="en-CA"/>
        </w:rPr>
        <w:t xml:space="preserve">She contends that the three </w:t>
      </w:r>
      <w:r>
        <w:rPr>
          <w:lang w:val="en-CA"/>
        </w:rPr>
        <w:t>conditions</w:t>
      </w:r>
      <w:r w:rsidR="008E1B40" w:rsidRPr="00105125">
        <w:rPr>
          <w:lang w:val="en-CA"/>
        </w:rPr>
        <w:t xml:space="preserve"> </w:t>
      </w:r>
      <w:r>
        <w:rPr>
          <w:lang w:val="en-CA"/>
        </w:rPr>
        <w:t xml:space="preserve">established </w:t>
      </w:r>
      <w:r w:rsidR="008E1B40" w:rsidRPr="00105125">
        <w:rPr>
          <w:lang w:val="en-CA"/>
        </w:rPr>
        <w:t xml:space="preserve">by the case law for this remedy are met: (1) reading in would further the government objective of providing affordable quality educational childcare </w:t>
      </w:r>
      <w:r w:rsidR="008E1B40" w:rsidRPr="00105125">
        <w:rPr>
          <w:lang w:val="en-CA"/>
        </w:rPr>
        <w:lastRenderedPageBreak/>
        <w:t xml:space="preserve">services and would constitute a lesser interference with that objective than would striking down section 3 </w:t>
      </w:r>
      <w:r w:rsidR="00E20DF7">
        <w:rPr>
          <w:lang w:val="en-CA"/>
        </w:rPr>
        <w:t xml:space="preserve">of the </w:t>
      </w:r>
      <w:r w:rsidR="008E1B40" w:rsidRPr="00105125">
        <w:rPr>
          <w:i/>
          <w:lang w:val="en-CA"/>
        </w:rPr>
        <w:t>RCR</w:t>
      </w:r>
      <w:r w:rsidR="008E1B40" w:rsidRPr="00105125">
        <w:rPr>
          <w:lang w:val="en-CA"/>
        </w:rPr>
        <w:t>; (2) the choice of means used by the legislature to further that objective is not so unequivocal that reading in would constitute an unacceptable intrusion into the legislative domain; and (3) reading in would not involve an intrusion into legislative budgetary decisions so substantial as to change the nature of the subsidized childcare scheme.</w:t>
      </w:r>
      <w:r w:rsidR="008E1B40" w:rsidRPr="00105125">
        <w:rPr>
          <w:rStyle w:val="Appelnotedebasdep"/>
          <w:lang w:val="en-CA"/>
        </w:rPr>
        <w:footnoteReference w:id="79"/>
      </w:r>
    </w:p>
    <w:p w14:paraId="1B910360" w14:textId="1761E5DE" w:rsidR="0072362A" w:rsidRPr="00105125" w:rsidRDefault="008E1B40" w:rsidP="005A0DF4">
      <w:pPr>
        <w:pStyle w:val="Paragraphe"/>
        <w:spacing w:line="280" w:lineRule="exact"/>
        <w:rPr>
          <w:lang w:val="en-CA"/>
        </w:rPr>
      </w:pPr>
      <w:r w:rsidRPr="00105125">
        <w:rPr>
          <w:lang w:val="en-CA"/>
        </w:rPr>
        <w:t xml:space="preserve">The AGQ argues that the appropriate remedy is usually section 52(1) of the </w:t>
      </w:r>
      <w:r w:rsidRPr="00105125">
        <w:rPr>
          <w:i/>
          <w:lang w:val="en-CA"/>
        </w:rPr>
        <w:t>Constitution Act, 1982</w:t>
      </w:r>
      <w:r w:rsidRPr="00105125">
        <w:rPr>
          <w:lang w:val="en-CA"/>
        </w:rPr>
        <w:t>,</w:t>
      </w:r>
      <w:r w:rsidRPr="00105125">
        <w:rPr>
          <w:rStyle w:val="Appelnotedebasdep"/>
          <w:lang w:val="en-CA"/>
        </w:rPr>
        <w:footnoteReference w:id="80"/>
      </w:r>
      <w:r w:rsidRPr="00105125">
        <w:rPr>
          <w:lang w:val="en-CA"/>
        </w:rPr>
        <w:t xml:space="preserve"> and that the courts must </w:t>
      </w:r>
      <w:r w:rsidR="00DC2606">
        <w:rPr>
          <w:lang w:val="en-CA"/>
        </w:rPr>
        <w:t xml:space="preserve">proceed with </w:t>
      </w:r>
      <w:r w:rsidRPr="00105125">
        <w:rPr>
          <w:lang w:val="en-CA"/>
        </w:rPr>
        <w:t xml:space="preserve">restraint and </w:t>
      </w:r>
      <w:r w:rsidR="00DC2606">
        <w:rPr>
          <w:lang w:val="en-CA"/>
        </w:rPr>
        <w:t>caution</w:t>
      </w:r>
      <w:r w:rsidR="00DC2606" w:rsidRPr="00105125">
        <w:rPr>
          <w:lang w:val="en-CA"/>
        </w:rPr>
        <w:t xml:space="preserve"> </w:t>
      </w:r>
      <w:r w:rsidRPr="00105125">
        <w:rPr>
          <w:lang w:val="en-CA"/>
        </w:rPr>
        <w:t xml:space="preserve">before granting a remedy other than a declaration of </w:t>
      </w:r>
      <w:r w:rsidR="00DC2606">
        <w:rPr>
          <w:lang w:val="en-CA"/>
        </w:rPr>
        <w:t xml:space="preserve">inoperability </w:t>
      </w:r>
      <w:r w:rsidR="002B5575">
        <w:rPr>
          <w:lang w:val="en-CA"/>
        </w:rPr>
        <w:t>because they</w:t>
      </w:r>
      <w:r w:rsidRPr="00105125">
        <w:rPr>
          <w:lang w:val="en-CA"/>
        </w:rPr>
        <w:t xml:space="preserve"> risk intruding on the </w:t>
      </w:r>
      <w:r w:rsidR="00DC2606">
        <w:rPr>
          <w:lang w:val="en-CA"/>
        </w:rPr>
        <w:t xml:space="preserve">legislature’s </w:t>
      </w:r>
      <w:r w:rsidRPr="00105125">
        <w:rPr>
          <w:lang w:val="en-CA"/>
        </w:rPr>
        <w:t>role</w:t>
      </w:r>
      <w:bookmarkStart w:id="30" w:name="_Ref152753398"/>
      <w:r w:rsidRPr="00105125">
        <w:rPr>
          <w:lang w:val="en-CA"/>
        </w:rPr>
        <w:t>.</w:t>
      </w:r>
      <w:r w:rsidRPr="00105125">
        <w:rPr>
          <w:rStyle w:val="Appelnotedebasdep"/>
          <w:lang w:val="en-CA"/>
        </w:rPr>
        <w:footnoteReference w:id="81"/>
      </w:r>
      <w:bookmarkEnd w:id="30"/>
    </w:p>
    <w:p w14:paraId="253B312D" w14:textId="0F37624C" w:rsidR="0072362A" w:rsidRPr="00105125" w:rsidRDefault="008E1B40" w:rsidP="005A0DF4">
      <w:pPr>
        <w:pStyle w:val="Paragraphe"/>
        <w:spacing w:line="280" w:lineRule="exact"/>
        <w:rPr>
          <w:lang w:val="en-CA" w:eastAsia="fr-CA"/>
        </w:rPr>
      </w:pPr>
      <w:r w:rsidRPr="00105125">
        <w:rPr>
          <w:lang w:val="en-CA"/>
        </w:rPr>
        <w:t xml:space="preserve">In my view, reading in is the best way to remedy the </w:t>
      </w:r>
      <w:proofErr w:type="spellStart"/>
      <w:r w:rsidRPr="00105125">
        <w:rPr>
          <w:lang w:val="en-CA"/>
        </w:rPr>
        <w:t>underinclusiveness</w:t>
      </w:r>
      <w:proofErr w:type="spellEnd"/>
      <w:r w:rsidRPr="00105125">
        <w:rPr>
          <w:lang w:val="en-CA"/>
        </w:rPr>
        <w:t xml:space="preserve"> of section 3 </w:t>
      </w:r>
      <w:r w:rsidR="009975EE">
        <w:rPr>
          <w:lang w:val="en-CA"/>
        </w:rPr>
        <w:t xml:space="preserve">of the </w:t>
      </w:r>
      <w:r w:rsidRPr="00105125">
        <w:rPr>
          <w:i/>
          <w:lang w:val="en-CA"/>
        </w:rPr>
        <w:t>RCR</w:t>
      </w:r>
      <w:r w:rsidR="00DC2606">
        <w:rPr>
          <w:i/>
          <w:lang w:val="en-CA"/>
        </w:rPr>
        <w:t>.</w:t>
      </w:r>
      <w:r w:rsidR="00335158">
        <w:rPr>
          <w:lang w:val="en-CA"/>
        </w:rPr>
        <w:t xml:space="preserve"> </w:t>
      </w:r>
      <w:r w:rsidR="00DC2606">
        <w:rPr>
          <w:lang w:val="en-CA"/>
        </w:rPr>
        <w:t xml:space="preserve">It </w:t>
      </w:r>
      <w:r w:rsidRPr="00105125">
        <w:rPr>
          <w:lang w:val="en-CA"/>
        </w:rPr>
        <w:t xml:space="preserve">balances the elimination of discriminatory practices and the need to protect the rights of </w:t>
      </w:r>
      <w:r w:rsidR="005A26B1">
        <w:rPr>
          <w:lang w:val="en-CA"/>
        </w:rPr>
        <w:t xml:space="preserve">the </w:t>
      </w:r>
      <w:r w:rsidRPr="00105125">
        <w:rPr>
          <w:lang w:val="en-CA"/>
        </w:rPr>
        <w:t xml:space="preserve">other categories of persons protected by the </w:t>
      </w:r>
      <w:r w:rsidR="00CB71FE" w:rsidRPr="00CB71FE">
        <w:rPr>
          <w:i/>
          <w:iCs/>
          <w:lang w:val="en-CA"/>
        </w:rPr>
        <w:t>ECA</w:t>
      </w:r>
      <w:r w:rsidRPr="00105125">
        <w:rPr>
          <w:lang w:val="en-CA"/>
        </w:rPr>
        <w:t>.</w:t>
      </w:r>
      <w:r w:rsidR="004A7BFD" w:rsidRPr="00105125">
        <w:rPr>
          <w:lang w:val="en-CA"/>
        </w:rPr>
        <w:t xml:space="preserve"> </w:t>
      </w:r>
      <w:r w:rsidRPr="00105125">
        <w:rPr>
          <w:lang w:val="en-CA"/>
        </w:rPr>
        <w:t xml:space="preserve">As noted by author Vinay </w:t>
      </w:r>
      <w:proofErr w:type="spellStart"/>
      <w:r w:rsidRPr="00105125">
        <w:rPr>
          <w:lang w:val="en-CA"/>
        </w:rPr>
        <w:t>Shandal</w:t>
      </w:r>
      <w:proofErr w:type="spellEnd"/>
      <w:r w:rsidRPr="00105125">
        <w:rPr>
          <w:lang w:val="en-CA"/>
        </w:rPr>
        <w:t>, this interpretative approach is a logical solution when a statute grants benefits to some groups but excludes other groups, as in this case:</w:t>
      </w:r>
    </w:p>
    <w:p w14:paraId="6ADA40C5" w14:textId="77777777" w:rsidR="0072362A" w:rsidRPr="00105125" w:rsidRDefault="004A7BFD" w:rsidP="0072362A">
      <w:pPr>
        <w:spacing w:before="120" w:after="120"/>
        <w:ind w:left="720" w:right="720"/>
        <w:jc w:val="both"/>
        <w:rPr>
          <w:kern w:val="24"/>
          <w:sz w:val="22"/>
          <w:lang w:val="en-CA"/>
        </w:rPr>
      </w:pPr>
      <w:r w:rsidRPr="00105125">
        <w:rPr>
          <w:kern w:val="24"/>
          <w:sz w:val="22"/>
          <w:lang w:val="en-CA" w:eastAsia="fr-CA"/>
        </w:rPr>
        <w:t xml:space="preserve">A third section 52 remedy is reading in. Where a statute that grants benefits to some groups violates the Charter because it excludes other groups, a court can read in the excluded group as a way of extending the statutory benefit to the excluded group. </w:t>
      </w:r>
      <w:r w:rsidRPr="00105125">
        <w:rPr>
          <w:kern w:val="24"/>
          <w:sz w:val="22"/>
          <w:lang w:val="en-CA"/>
        </w:rPr>
        <w:t xml:space="preserve">As stated in </w:t>
      </w:r>
      <w:r w:rsidRPr="00105125">
        <w:rPr>
          <w:i/>
          <w:iCs/>
          <w:kern w:val="24"/>
          <w:sz w:val="22"/>
          <w:lang w:val="en-CA"/>
        </w:rPr>
        <w:t>Schachter</w:t>
      </w:r>
      <w:r w:rsidRPr="00105125">
        <w:rPr>
          <w:kern w:val="24"/>
          <w:sz w:val="22"/>
          <w:lang w:val="en-CA"/>
        </w:rPr>
        <w:t>, "where the inconsistency is defined as what the statute excludes, the logical result of declaring inoperative that inconsistency may be to include the excluded group within the statutory scheme”.</w:t>
      </w:r>
      <w:r w:rsidRPr="00105125">
        <w:rPr>
          <w:kern w:val="24"/>
          <w:sz w:val="22"/>
          <w:vertAlign w:val="superscript"/>
          <w:lang w:val="en-CA"/>
        </w:rPr>
        <w:footnoteReference w:id="82"/>
      </w:r>
    </w:p>
    <w:p w14:paraId="51F3B2F6" w14:textId="3E4A2B71" w:rsidR="0072362A" w:rsidRPr="00105125" w:rsidRDefault="00335158" w:rsidP="005A0DF4">
      <w:pPr>
        <w:pStyle w:val="Paragraphe"/>
        <w:spacing w:line="280" w:lineRule="exact"/>
        <w:rPr>
          <w:lang w:val="en-CA"/>
        </w:rPr>
      </w:pPr>
      <w:r>
        <w:rPr>
          <w:lang w:val="en-CA"/>
        </w:rPr>
        <w:t>Moreover, t</w:t>
      </w:r>
      <w:r w:rsidR="008E1B40" w:rsidRPr="00105125">
        <w:rPr>
          <w:lang w:val="en-CA"/>
        </w:rPr>
        <w:t xml:space="preserve">he inclusion of refugee claimants </w:t>
      </w:r>
      <w:r w:rsidR="005A26B1">
        <w:rPr>
          <w:lang w:val="en-CA"/>
        </w:rPr>
        <w:t>under</w:t>
      </w:r>
      <w:r w:rsidR="008E1B40" w:rsidRPr="00105125">
        <w:rPr>
          <w:lang w:val="en-CA"/>
        </w:rPr>
        <w:t xml:space="preserve"> section 3 </w:t>
      </w:r>
      <w:r w:rsidR="00E20DF7">
        <w:rPr>
          <w:lang w:val="en-CA"/>
        </w:rPr>
        <w:t xml:space="preserve">of the </w:t>
      </w:r>
      <w:r w:rsidR="008E1B40" w:rsidRPr="00105125">
        <w:rPr>
          <w:i/>
          <w:lang w:val="en-CA"/>
        </w:rPr>
        <w:t>RCR</w:t>
      </w:r>
      <w:r w:rsidR="008E1B40" w:rsidRPr="00105125">
        <w:rPr>
          <w:lang w:val="en-CA"/>
        </w:rPr>
        <w:t xml:space="preserve"> will not have significant financial </w:t>
      </w:r>
      <w:r w:rsidR="002B6A93">
        <w:rPr>
          <w:lang w:val="en-CA"/>
        </w:rPr>
        <w:t>repercussions</w:t>
      </w:r>
      <w:r w:rsidR="008E1B40" w:rsidRPr="00105125">
        <w:rPr>
          <w:lang w:val="en-CA"/>
        </w:rPr>
        <w:t xml:space="preserve"> because they </w:t>
      </w:r>
      <w:r>
        <w:rPr>
          <w:lang w:val="en-CA"/>
        </w:rPr>
        <w:t xml:space="preserve">will </w:t>
      </w:r>
      <w:r w:rsidR="008E1B40" w:rsidRPr="00105125">
        <w:rPr>
          <w:lang w:val="en-CA"/>
        </w:rPr>
        <w:t xml:space="preserve">not </w:t>
      </w:r>
      <w:r w:rsidR="005A26B1">
        <w:rPr>
          <w:lang w:val="en-CA"/>
        </w:rPr>
        <w:t xml:space="preserve">be </w:t>
      </w:r>
      <w:r w:rsidR="008E1B40" w:rsidRPr="00105125">
        <w:rPr>
          <w:lang w:val="en-CA"/>
        </w:rPr>
        <w:t xml:space="preserve">automatically </w:t>
      </w:r>
      <w:r w:rsidR="005A26B1">
        <w:rPr>
          <w:lang w:val="en-CA"/>
        </w:rPr>
        <w:t xml:space="preserve">eligible for </w:t>
      </w:r>
      <w:r w:rsidR="008E1B40" w:rsidRPr="00105125">
        <w:rPr>
          <w:lang w:val="en-CA"/>
        </w:rPr>
        <w:t xml:space="preserve">the reduced contribution, but rather </w:t>
      </w:r>
      <w:r>
        <w:rPr>
          <w:lang w:val="en-CA"/>
        </w:rPr>
        <w:t xml:space="preserve">the possibility of </w:t>
      </w:r>
      <w:r w:rsidR="005A26B1">
        <w:rPr>
          <w:lang w:val="en-CA"/>
        </w:rPr>
        <w:t>eligibility</w:t>
      </w:r>
      <w:r w:rsidR="008E1B40" w:rsidRPr="00105125">
        <w:rPr>
          <w:lang w:val="en-CA"/>
        </w:rPr>
        <w:t>.</w:t>
      </w:r>
      <w:r w:rsidR="004A7BFD" w:rsidRPr="00105125">
        <w:rPr>
          <w:lang w:val="en-CA"/>
        </w:rPr>
        <w:t xml:space="preserve"> </w:t>
      </w:r>
      <w:r w:rsidR="008E1B40" w:rsidRPr="00105125">
        <w:rPr>
          <w:lang w:val="en-CA"/>
        </w:rPr>
        <w:t xml:space="preserve">I therefore propose that section 3(3) </w:t>
      </w:r>
      <w:r w:rsidR="00E20DF7">
        <w:rPr>
          <w:lang w:val="en-CA"/>
        </w:rPr>
        <w:t xml:space="preserve">of the </w:t>
      </w:r>
      <w:r w:rsidR="008E1B40" w:rsidRPr="00105125">
        <w:rPr>
          <w:i/>
          <w:lang w:val="en-CA"/>
        </w:rPr>
        <w:t>RCR</w:t>
      </w:r>
      <w:r w:rsidR="008E1B40" w:rsidRPr="00105125">
        <w:rPr>
          <w:lang w:val="en-CA"/>
        </w:rPr>
        <w:t xml:space="preserve"> should be read as making parents who reside in Quebec for the purpose of a refugee claim while holding a work permit</w:t>
      </w:r>
      <w:r w:rsidR="00B1278D" w:rsidRPr="00B1278D">
        <w:rPr>
          <w:lang w:val="en-CA"/>
        </w:rPr>
        <w:t xml:space="preserve"> </w:t>
      </w:r>
      <w:r w:rsidR="00B1278D" w:rsidRPr="00105125">
        <w:rPr>
          <w:lang w:val="en-CA"/>
        </w:rPr>
        <w:t>eligible for the reduced contribution</w:t>
      </w:r>
      <w:r w:rsidR="008E1B40" w:rsidRPr="00105125">
        <w:rPr>
          <w:lang w:val="en-CA"/>
        </w:rPr>
        <w:t>.</w:t>
      </w:r>
    </w:p>
    <w:p w14:paraId="0D2568B4" w14:textId="2B751D86" w:rsidR="0072362A" w:rsidRPr="00105125" w:rsidRDefault="008E1B40" w:rsidP="0072362A">
      <w:pPr>
        <w:pStyle w:val="Titre2"/>
        <w:rPr>
          <w:b w:val="0"/>
          <w:bCs/>
          <w:lang w:val="en-CA"/>
        </w:rPr>
      </w:pPr>
      <w:r w:rsidRPr="00105125">
        <w:rPr>
          <w:b w:val="0"/>
          <w:bCs/>
          <w:lang w:val="en-CA"/>
        </w:rPr>
        <w:t xml:space="preserve">Discrimination </w:t>
      </w:r>
      <w:r w:rsidR="00B37ABE">
        <w:rPr>
          <w:b w:val="0"/>
          <w:bCs/>
          <w:lang w:val="en-CA"/>
        </w:rPr>
        <w:t>based on</w:t>
      </w:r>
      <w:r w:rsidRPr="00105125">
        <w:rPr>
          <w:b w:val="0"/>
          <w:bCs/>
          <w:lang w:val="en-CA"/>
        </w:rPr>
        <w:t xml:space="preserve"> citizenship and immigration status</w:t>
      </w:r>
    </w:p>
    <w:p w14:paraId="6F2E72FE" w14:textId="38A3AD5F" w:rsidR="0072362A" w:rsidRPr="00105125" w:rsidRDefault="008E1B40" w:rsidP="005A0DF4">
      <w:pPr>
        <w:pStyle w:val="Paragraphe"/>
        <w:spacing w:line="280" w:lineRule="exact"/>
        <w:rPr>
          <w:lang w:val="en-CA"/>
        </w:rPr>
      </w:pPr>
      <w:r w:rsidRPr="00105125">
        <w:rPr>
          <w:lang w:val="en-CA"/>
        </w:rPr>
        <w:t xml:space="preserve">Given my conclusion that there is adverse effect discrimination </w:t>
      </w:r>
      <w:r w:rsidR="00B37ABE">
        <w:rPr>
          <w:lang w:val="en-CA"/>
        </w:rPr>
        <w:t xml:space="preserve">based </w:t>
      </w:r>
      <w:r w:rsidRPr="00105125">
        <w:rPr>
          <w:lang w:val="en-CA"/>
        </w:rPr>
        <w:t xml:space="preserve">on sex, there is no need to </w:t>
      </w:r>
      <w:r w:rsidR="002B6A93">
        <w:rPr>
          <w:lang w:val="en-CA"/>
        </w:rPr>
        <w:t>rule on</w:t>
      </w:r>
      <w:r w:rsidRPr="00105125">
        <w:rPr>
          <w:lang w:val="en-CA"/>
        </w:rPr>
        <w:t xml:space="preserve"> the two other grounds of discrimination raised under the </w:t>
      </w:r>
      <w:r w:rsidRPr="00105125">
        <w:rPr>
          <w:i/>
          <w:lang w:val="en-CA"/>
        </w:rPr>
        <w:t>Canadian Charter</w:t>
      </w:r>
      <w:r w:rsidRPr="00105125">
        <w:rPr>
          <w:lang w:val="en-CA"/>
        </w:rPr>
        <w:t>.</w:t>
      </w:r>
    </w:p>
    <w:p w14:paraId="63FE5D8D" w14:textId="55EAAD57" w:rsidR="0072362A" w:rsidRPr="00D07E7B" w:rsidRDefault="008E1B40" w:rsidP="0072362A">
      <w:pPr>
        <w:pStyle w:val="Titre2"/>
        <w:rPr>
          <w:b w:val="0"/>
          <w:bCs/>
          <w:iCs/>
          <w:lang w:val="en-CA"/>
        </w:rPr>
      </w:pPr>
      <w:r w:rsidRPr="00D07E7B">
        <w:rPr>
          <w:b w:val="0"/>
          <w:bCs/>
          <w:iCs/>
          <w:lang w:val="en-CA"/>
        </w:rPr>
        <w:lastRenderedPageBreak/>
        <w:t>Discrimination under sections 10 and 12 of the Quebec Charter</w:t>
      </w:r>
    </w:p>
    <w:p w14:paraId="3057DDFD" w14:textId="3EB3017A" w:rsidR="0072362A" w:rsidRPr="00105125" w:rsidRDefault="008E1B40" w:rsidP="005A0DF4">
      <w:pPr>
        <w:pStyle w:val="Paragraphe"/>
        <w:spacing w:line="280" w:lineRule="exact"/>
        <w:rPr>
          <w:lang w:val="en-CA"/>
        </w:rPr>
      </w:pPr>
      <w:r w:rsidRPr="00105125">
        <w:rPr>
          <w:lang w:val="en-CA"/>
        </w:rPr>
        <w:t xml:space="preserve">In its incidental appeal, the CDPDJ argues that the judge erred in law by deciding that </w:t>
      </w:r>
      <w:r w:rsidR="00864239">
        <w:rPr>
          <w:lang w:val="en-CA"/>
        </w:rPr>
        <w:t xml:space="preserve">the </w:t>
      </w:r>
      <w:r w:rsidRPr="00105125">
        <w:rPr>
          <w:lang w:val="en-CA"/>
        </w:rPr>
        <w:t>exclu</w:t>
      </w:r>
      <w:r w:rsidR="00864239">
        <w:rPr>
          <w:lang w:val="en-CA"/>
        </w:rPr>
        <w:t>sion of</w:t>
      </w:r>
      <w:r w:rsidRPr="00105125">
        <w:rPr>
          <w:lang w:val="en-CA"/>
        </w:rPr>
        <w:t xml:space="preserve"> refugee claimants from eligibility for the reduced contribution for subsidized childcare does not violate sections 10 and 12 of the </w:t>
      </w:r>
      <w:r w:rsidRPr="00105125">
        <w:rPr>
          <w:i/>
          <w:lang w:val="en-CA"/>
        </w:rPr>
        <w:t>Quebec Charter</w:t>
      </w:r>
      <w:r w:rsidRPr="00105125">
        <w:rPr>
          <w:lang w:val="en-CA"/>
        </w:rPr>
        <w:t>.</w:t>
      </w:r>
      <w:r w:rsidR="004A7BFD" w:rsidRPr="00105125">
        <w:rPr>
          <w:lang w:val="en-CA"/>
        </w:rPr>
        <w:t xml:space="preserve"> </w:t>
      </w:r>
      <w:r w:rsidRPr="00105125">
        <w:rPr>
          <w:lang w:val="en-CA"/>
        </w:rPr>
        <w:t>The CDPDJ submits that, contrary to what the judge states, section 12 applies because</w:t>
      </w:r>
      <w:r w:rsidR="00B956FA">
        <w:rPr>
          <w:lang w:val="en-CA"/>
        </w:rPr>
        <w:t xml:space="preserve"> this case</w:t>
      </w:r>
      <w:r w:rsidR="005A26B1">
        <w:rPr>
          <w:lang w:val="en-CA"/>
        </w:rPr>
        <w:t xml:space="preserve"> does not concern </w:t>
      </w:r>
      <w:r w:rsidRPr="00105125">
        <w:rPr>
          <w:lang w:val="en-CA"/>
        </w:rPr>
        <w:t xml:space="preserve">a regulation, but </w:t>
      </w:r>
      <w:r w:rsidR="005A26B1">
        <w:rPr>
          <w:lang w:val="en-CA"/>
        </w:rPr>
        <w:t>the</w:t>
      </w:r>
      <w:r w:rsidRPr="00105125">
        <w:rPr>
          <w:lang w:val="en-CA"/>
        </w:rPr>
        <w:t xml:space="preserve"> </w:t>
      </w:r>
      <w:proofErr w:type="spellStart"/>
      <w:r w:rsidR="005A26B1">
        <w:rPr>
          <w:lang w:val="en-CA"/>
        </w:rPr>
        <w:t>Ministère’s</w:t>
      </w:r>
      <w:proofErr w:type="spellEnd"/>
      <w:r w:rsidRPr="00105125">
        <w:rPr>
          <w:lang w:val="en-CA"/>
        </w:rPr>
        <w:t xml:space="preserve"> decision to no longer grant the reduced contribution to refugee claimants.</w:t>
      </w:r>
      <w:r w:rsidR="004A7BFD" w:rsidRPr="00105125">
        <w:rPr>
          <w:lang w:val="en-CA"/>
        </w:rPr>
        <w:t xml:space="preserve"> </w:t>
      </w:r>
      <w:r w:rsidRPr="00105125">
        <w:rPr>
          <w:lang w:val="en-CA"/>
        </w:rPr>
        <w:t xml:space="preserve">According to the CDPDJ, the ineligibility of refugee claimants violates section 10 of the </w:t>
      </w:r>
      <w:r w:rsidRPr="00D07E7B">
        <w:rPr>
          <w:i/>
          <w:iCs/>
          <w:lang w:val="en-CA"/>
        </w:rPr>
        <w:t xml:space="preserve">Quebec </w:t>
      </w:r>
      <w:r w:rsidRPr="00B37ABE">
        <w:rPr>
          <w:i/>
          <w:iCs/>
          <w:lang w:val="en-CA"/>
        </w:rPr>
        <w:t>Charter</w:t>
      </w:r>
      <w:r w:rsidRPr="00105125">
        <w:rPr>
          <w:lang w:val="en-CA"/>
        </w:rPr>
        <w:t xml:space="preserve"> because it establishes a distinction bas</w:t>
      </w:r>
      <w:r w:rsidR="00B37ABE">
        <w:rPr>
          <w:lang w:val="en-CA"/>
        </w:rPr>
        <w:t>ed</w:t>
      </w:r>
      <w:r w:rsidRPr="00105125">
        <w:rPr>
          <w:lang w:val="en-CA"/>
        </w:rPr>
        <w:t xml:space="preserve"> o</w:t>
      </w:r>
      <w:r w:rsidR="00B37ABE">
        <w:rPr>
          <w:lang w:val="en-CA"/>
        </w:rPr>
        <w:t>n</w:t>
      </w:r>
      <w:r w:rsidRPr="00105125">
        <w:rPr>
          <w:lang w:val="en-CA"/>
        </w:rPr>
        <w:t xml:space="preserve"> sex, social condition, and ethnic origin, which jeopardizes the full and equal exercise of the</w:t>
      </w:r>
      <w:r w:rsidR="00864239">
        <w:rPr>
          <w:lang w:val="en-CA"/>
        </w:rPr>
        <w:t>ir</w:t>
      </w:r>
      <w:r w:rsidRPr="00105125">
        <w:rPr>
          <w:lang w:val="en-CA"/>
        </w:rPr>
        <w:t xml:space="preserve"> right to a service ordinarily offered to the public.</w:t>
      </w:r>
    </w:p>
    <w:p w14:paraId="35EBFEBD" w14:textId="7A0B7C78" w:rsidR="0072362A" w:rsidRPr="00105125" w:rsidRDefault="008E1B40" w:rsidP="005A0DF4">
      <w:pPr>
        <w:pStyle w:val="Paragraphe"/>
        <w:spacing w:line="280" w:lineRule="exact"/>
        <w:rPr>
          <w:lang w:val="en-CA"/>
        </w:rPr>
      </w:pPr>
      <w:r w:rsidRPr="00105125">
        <w:rPr>
          <w:lang w:val="en-CA"/>
        </w:rPr>
        <w:t xml:space="preserve">According to the AGQ, section 3 </w:t>
      </w:r>
      <w:r w:rsidR="00E20DF7">
        <w:rPr>
          <w:lang w:val="en-CA"/>
        </w:rPr>
        <w:t xml:space="preserve">of the </w:t>
      </w:r>
      <w:r w:rsidRPr="00105125">
        <w:rPr>
          <w:i/>
          <w:lang w:val="en-CA"/>
        </w:rPr>
        <w:t>RCR</w:t>
      </w:r>
      <w:r w:rsidRPr="00105125">
        <w:rPr>
          <w:lang w:val="en-CA"/>
        </w:rPr>
        <w:t xml:space="preserve"> </w:t>
      </w:r>
      <w:r w:rsidR="00B956FA">
        <w:rPr>
          <w:lang w:val="en-CA"/>
        </w:rPr>
        <w:t xml:space="preserve">does not </w:t>
      </w:r>
      <w:r w:rsidRPr="00105125">
        <w:rPr>
          <w:lang w:val="en-CA"/>
        </w:rPr>
        <w:t xml:space="preserve">create </w:t>
      </w:r>
      <w:r w:rsidR="00B956FA">
        <w:rPr>
          <w:lang w:val="en-CA"/>
        </w:rPr>
        <w:t>a</w:t>
      </w:r>
      <w:r w:rsidR="00B956FA" w:rsidRPr="00105125">
        <w:rPr>
          <w:lang w:val="en-CA"/>
        </w:rPr>
        <w:t xml:space="preserve"> </w:t>
      </w:r>
      <w:r w:rsidRPr="00105125">
        <w:rPr>
          <w:lang w:val="en-CA"/>
        </w:rPr>
        <w:t>distinction bas</w:t>
      </w:r>
      <w:r w:rsidR="00B37ABE">
        <w:rPr>
          <w:lang w:val="en-CA"/>
        </w:rPr>
        <w:t>ed</w:t>
      </w:r>
      <w:r w:rsidRPr="00105125">
        <w:rPr>
          <w:lang w:val="en-CA"/>
        </w:rPr>
        <w:t xml:space="preserve"> o</w:t>
      </w:r>
      <w:r w:rsidR="00B37ABE">
        <w:rPr>
          <w:lang w:val="en-CA"/>
        </w:rPr>
        <w:t>n</w:t>
      </w:r>
      <w:r w:rsidRPr="00105125">
        <w:rPr>
          <w:lang w:val="en-CA"/>
        </w:rPr>
        <w:t xml:space="preserve"> the grounds of discrimination cited by the CDPDJ.</w:t>
      </w:r>
      <w:r w:rsidR="004A7BFD" w:rsidRPr="00105125">
        <w:rPr>
          <w:lang w:val="en-CA"/>
        </w:rPr>
        <w:t xml:space="preserve"> </w:t>
      </w:r>
      <w:r w:rsidRPr="00105125">
        <w:rPr>
          <w:lang w:val="en-CA"/>
        </w:rPr>
        <w:t xml:space="preserve">Even </w:t>
      </w:r>
      <w:r w:rsidR="00B956FA">
        <w:rPr>
          <w:lang w:val="en-CA"/>
        </w:rPr>
        <w:t>if it did</w:t>
      </w:r>
      <w:r w:rsidRPr="00105125">
        <w:rPr>
          <w:lang w:val="en-CA"/>
        </w:rPr>
        <w:t xml:space="preserve">, the AGQ considers that the trial judge was right to conclude that section 12 of the </w:t>
      </w:r>
      <w:r w:rsidRPr="00105125">
        <w:rPr>
          <w:i/>
          <w:lang w:val="en-CA"/>
        </w:rPr>
        <w:t>Quebec Charter</w:t>
      </w:r>
      <w:r w:rsidRPr="00105125">
        <w:rPr>
          <w:lang w:val="en-CA"/>
        </w:rPr>
        <w:t>, which protects against discrimination when making a juridical act, does not apply here.</w:t>
      </w:r>
    </w:p>
    <w:p w14:paraId="39986B9B" w14:textId="40CFA8FD" w:rsidR="0072362A" w:rsidRPr="00105125" w:rsidRDefault="008E1B40" w:rsidP="005A0DF4">
      <w:pPr>
        <w:pStyle w:val="Paragraphe"/>
        <w:spacing w:line="280" w:lineRule="exact"/>
        <w:rPr>
          <w:lang w:val="en-CA"/>
        </w:rPr>
      </w:pPr>
      <w:r w:rsidRPr="00105125">
        <w:rPr>
          <w:lang w:val="en-CA"/>
        </w:rPr>
        <w:t xml:space="preserve">Given my conclusion on the violation of section 15 of the </w:t>
      </w:r>
      <w:r w:rsidRPr="00105125">
        <w:rPr>
          <w:i/>
          <w:lang w:val="en-CA"/>
        </w:rPr>
        <w:t>Canadian Charter</w:t>
      </w:r>
      <w:r w:rsidRPr="00105125">
        <w:rPr>
          <w:lang w:val="en-CA"/>
        </w:rPr>
        <w:t xml:space="preserve">, I will not rule on whether section 10 of the </w:t>
      </w:r>
      <w:r w:rsidRPr="00105125">
        <w:rPr>
          <w:i/>
          <w:lang w:val="en-CA"/>
        </w:rPr>
        <w:t>Quebec Charter</w:t>
      </w:r>
      <w:r w:rsidRPr="00105125">
        <w:rPr>
          <w:lang w:val="en-CA"/>
        </w:rPr>
        <w:t xml:space="preserve"> applies in this case. I will merely state that I cannot accept the CDPDJ’s argument that it was the </w:t>
      </w:r>
      <w:proofErr w:type="spellStart"/>
      <w:r w:rsidRPr="00105125">
        <w:rPr>
          <w:lang w:val="en-CA"/>
        </w:rPr>
        <w:t>Ministère’s</w:t>
      </w:r>
      <w:proofErr w:type="spellEnd"/>
      <w:r w:rsidRPr="00105125">
        <w:rPr>
          <w:lang w:val="en-CA"/>
        </w:rPr>
        <w:t xml:space="preserve"> decision to deny </w:t>
      </w:r>
      <w:r w:rsidR="005A26B1" w:rsidRPr="00105125">
        <w:rPr>
          <w:lang w:val="en-CA"/>
        </w:rPr>
        <w:t xml:space="preserve">refugee claimants </w:t>
      </w:r>
      <w:r w:rsidRPr="00105125">
        <w:rPr>
          <w:lang w:val="en-CA"/>
        </w:rPr>
        <w:t xml:space="preserve">the reduced contribution that is problematic </w:t>
      </w:r>
      <w:r w:rsidR="00B1278D">
        <w:rPr>
          <w:lang w:val="en-CA"/>
        </w:rPr>
        <w:t>here</w:t>
      </w:r>
      <w:r w:rsidRPr="00105125">
        <w:rPr>
          <w:lang w:val="en-CA"/>
        </w:rPr>
        <w:t>.</w:t>
      </w:r>
      <w:r w:rsidR="004A7BFD" w:rsidRPr="00105125">
        <w:rPr>
          <w:lang w:val="en-CA"/>
        </w:rPr>
        <w:t xml:space="preserve"> </w:t>
      </w:r>
      <w:r w:rsidRPr="00105125">
        <w:rPr>
          <w:lang w:val="en-CA"/>
        </w:rPr>
        <w:t xml:space="preserve">This was not a discretionary decision by the </w:t>
      </w:r>
      <w:proofErr w:type="spellStart"/>
      <w:r w:rsidRPr="00105125">
        <w:rPr>
          <w:lang w:val="en-CA"/>
        </w:rPr>
        <w:t>Ministère</w:t>
      </w:r>
      <w:proofErr w:type="spellEnd"/>
      <w:r w:rsidRPr="00105125">
        <w:rPr>
          <w:lang w:val="en-CA"/>
        </w:rPr>
        <w:t xml:space="preserve">, but a decision taken </w:t>
      </w:r>
      <w:r w:rsidR="00B1278D">
        <w:rPr>
          <w:lang w:val="en-CA"/>
        </w:rPr>
        <w:t>due to</w:t>
      </w:r>
      <w:r w:rsidRPr="00105125">
        <w:rPr>
          <w:lang w:val="en-CA"/>
        </w:rPr>
        <w:t xml:space="preserve"> the wording of section 3 </w:t>
      </w:r>
      <w:r w:rsidR="00E20DF7">
        <w:rPr>
          <w:lang w:val="en-CA"/>
        </w:rPr>
        <w:t xml:space="preserve">of the </w:t>
      </w:r>
      <w:r w:rsidRPr="00105125">
        <w:rPr>
          <w:i/>
          <w:lang w:val="en-CA"/>
        </w:rPr>
        <w:t>RCR</w:t>
      </w:r>
      <w:r w:rsidRPr="00105125">
        <w:rPr>
          <w:lang w:val="en-CA"/>
        </w:rPr>
        <w:t xml:space="preserve">, </w:t>
      </w:r>
      <w:r w:rsidR="00B1278D">
        <w:rPr>
          <w:lang w:val="en-CA"/>
        </w:rPr>
        <w:t xml:space="preserve">and </w:t>
      </w:r>
      <w:r w:rsidR="00555818">
        <w:rPr>
          <w:lang w:val="en-CA"/>
        </w:rPr>
        <w:t xml:space="preserve">it is this </w:t>
      </w:r>
      <w:r w:rsidRPr="00105125">
        <w:rPr>
          <w:lang w:val="en-CA"/>
        </w:rPr>
        <w:t>provision</w:t>
      </w:r>
      <w:r w:rsidR="00C803BE">
        <w:rPr>
          <w:lang w:val="en-CA"/>
        </w:rPr>
        <w:t xml:space="preserve"> </w:t>
      </w:r>
      <w:r w:rsidR="00555818">
        <w:rPr>
          <w:lang w:val="en-CA"/>
        </w:rPr>
        <w:t xml:space="preserve">which </w:t>
      </w:r>
      <w:r w:rsidR="00C803BE">
        <w:rPr>
          <w:lang w:val="en-CA"/>
        </w:rPr>
        <w:t>is</w:t>
      </w:r>
      <w:r w:rsidRPr="00105125">
        <w:rPr>
          <w:lang w:val="en-CA"/>
        </w:rPr>
        <w:t xml:space="preserve"> at issue.</w:t>
      </w:r>
    </w:p>
    <w:p w14:paraId="2764F612" w14:textId="325364BB" w:rsidR="0072362A" w:rsidRPr="00105125" w:rsidRDefault="008E1B40" w:rsidP="005A0DF4">
      <w:pPr>
        <w:pStyle w:val="Paragraphe"/>
        <w:spacing w:line="280" w:lineRule="exact"/>
        <w:rPr>
          <w:lang w:val="en-CA"/>
        </w:rPr>
      </w:pPr>
      <w:r w:rsidRPr="00105125">
        <w:rPr>
          <w:lang w:val="en-CA"/>
        </w:rPr>
        <w:t xml:space="preserve">For these reasons, I would allow the AGQ’s principal appeal in part, for the sole purpose of </w:t>
      </w:r>
      <w:r w:rsidR="00C803BE">
        <w:rPr>
          <w:lang w:val="en-CA"/>
        </w:rPr>
        <w:t>setting aside</w:t>
      </w:r>
      <w:r w:rsidR="00C803BE" w:rsidRPr="00105125">
        <w:rPr>
          <w:lang w:val="en-CA"/>
        </w:rPr>
        <w:t xml:space="preserve"> </w:t>
      </w:r>
      <w:r w:rsidRPr="00105125">
        <w:rPr>
          <w:lang w:val="en-CA"/>
        </w:rPr>
        <w:t xml:space="preserve">paragraph 82 of the trial judgment, allow Ms. </w:t>
      </w:r>
      <w:proofErr w:type="spellStart"/>
      <w:r w:rsidRPr="00105125">
        <w:rPr>
          <w:lang w:val="en-CA"/>
        </w:rPr>
        <w:t>Kanyinda’s</w:t>
      </w:r>
      <w:proofErr w:type="spellEnd"/>
      <w:r w:rsidRPr="00105125">
        <w:rPr>
          <w:lang w:val="en-CA"/>
        </w:rPr>
        <w:t xml:space="preserve"> incidental appeal in part, declare that section 3 </w:t>
      </w:r>
      <w:r w:rsidR="00E20DF7">
        <w:rPr>
          <w:lang w:val="en-CA"/>
        </w:rPr>
        <w:t xml:space="preserve">of the </w:t>
      </w:r>
      <w:r w:rsidRPr="00105125">
        <w:rPr>
          <w:i/>
          <w:lang w:val="en-CA"/>
        </w:rPr>
        <w:t>RCR</w:t>
      </w:r>
      <w:r w:rsidRPr="00105125">
        <w:rPr>
          <w:lang w:val="en-CA"/>
        </w:rPr>
        <w:t xml:space="preserve"> constitutes discrimination bas</w:t>
      </w:r>
      <w:r w:rsidR="00B37ABE">
        <w:rPr>
          <w:lang w:val="en-CA"/>
        </w:rPr>
        <w:t>ed</w:t>
      </w:r>
      <w:r w:rsidRPr="00105125">
        <w:rPr>
          <w:lang w:val="en-CA"/>
        </w:rPr>
        <w:t xml:space="preserve"> o</w:t>
      </w:r>
      <w:r w:rsidR="00B37ABE">
        <w:rPr>
          <w:lang w:val="en-CA"/>
        </w:rPr>
        <w:t>n</w:t>
      </w:r>
      <w:r w:rsidRPr="00105125">
        <w:rPr>
          <w:lang w:val="en-CA"/>
        </w:rPr>
        <w:t xml:space="preserve"> sex that infringes a right protected by section 15 of the </w:t>
      </w:r>
      <w:r w:rsidRPr="00105125">
        <w:rPr>
          <w:i/>
          <w:lang w:val="en-CA"/>
        </w:rPr>
        <w:t>Canadian Charter</w:t>
      </w:r>
      <w:r w:rsidRPr="00105125">
        <w:rPr>
          <w:lang w:val="en-CA"/>
        </w:rPr>
        <w:t xml:space="preserve">, declare that section 3(3) </w:t>
      </w:r>
      <w:r w:rsidR="00E20DF7">
        <w:rPr>
          <w:lang w:val="en-CA"/>
        </w:rPr>
        <w:t xml:space="preserve">of the </w:t>
      </w:r>
      <w:r w:rsidRPr="00105125">
        <w:rPr>
          <w:i/>
          <w:lang w:val="en-CA"/>
        </w:rPr>
        <w:t>RCR</w:t>
      </w:r>
      <w:r w:rsidRPr="00105125">
        <w:rPr>
          <w:lang w:val="en-CA"/>
        </w:rPr>
        <w:t xml:space="preserve"> should henceforth be read as making parents who reside in Quebec for the purpose of a refugee claim and hold a work permit eligible for the reduced contribution, and dismiss the CDPDJ’s incidental appeal, the whole without legal costs on appeal given the mixed outcome of the appeals. </w:t>
      </w:r>
    </w:p>
    <w:tbl>
      <w:tblPr>
        <w:tblW w:w="0" w:type="auto"/>
        <w:tblInd w:w="70" w:type="dxa"/>
        <w:tblLayout w:type="fixed"/>
        <w:tblCellMar>
          <w:left w:w="70" w:type="dxa"/>
          <w:right w:w="70" w:type="dxa"/>
        </w:tblCellMar>
        <w:tblLook w:val="0000" w:firstRow="0" w:lastRow="0" w:firstColumn="0" w:lastColumn="0" w:noHBand="0" w:noVBand="0"/>
      </w:tblPr>
      <w:tblGrid>
        <w:gridCol w:w="4735"/>
        <w:gridCol w:w="4625"/>
      </w:tblGrid>
      <w:tr w:rsidR="00EA43D9" w:rsidRPr="00D97121" w14:paraId="3FAEA572" w14:textId="77777777" w:rsidTr="00F62D35">
        <w:trPr>
          <w:cantSplit/>
          <w:trHeight w:val="513"/>
        </w:trPr>
        <w:tc>
          <w:tcPr>
            <w:tcW w:w="9360" w:type="dxa"/>
            <w:gridSpan w:val="2"/>
          </w:tcPr>
          <w:p w14:paraId="6740E56E" w14:textId="77777777" w:rsidR="0072362A" w:rsidRPr="00105125" w:rsidRDefault="0072362A" w:rsidP="00F62D35">
            <w:pPr>
              <w:rPr>
                <w:lang w:val="en-CA"/>
              </w:rPr>
            </w:pPr>
          </w:p>
        </w:tc>
      </w:tr>
      <w:tr w:rsidR="00EA43D9" w:rsidRPr="00D97121" w14:paraId="69C92889" w14:textId="77777777" w:rsidTr="00F62D35">
        <w:tblPrEx>
          <w:tblCellMar>
            <w:left w:w="0" w:type="dxa"/>
            <w:right w:w="0" w:type="dxa"/>
          </w:tblCellMar>
        </w:tblPrEx>
        <w:trPr>
          <w:cantSplit/>
          <w:trHeight w:val="277"/>
        </w:trPr>
        <w:tc>
          <w:tcPr>
            <w:tcW w:w="4735" w:type="dxa"/>
            <w:vMerge w:val="restart"/>
          </w:tcPr>
          <w:p w14:paraId="2A0DE340" w14:textId="77777777" w:rsidR="0072362A" w:rsidRPr="00105125" w:rsidRDefault="0072362A" w:rsidP="00F62D35">
            <w:pPr>
              <w:rPr>
                <w:lang w:val="en-CA"/>
              </w:rPr>
            </w:pPr>
          </w:p>
        </w:tc>
        <w:tc>
          <w:tcPr>
            <w:tcW w:w="4625" w:type="dxa"/>
            <w:tcBorders>
              <w:bottom w:val="single" w:sz="8" w:space="0" w:color="auto"/>
            </w:tcBorders>
          </w:tcPr>
          <w:p w14:paraId="71D3EA1C" w14:textId="77777777" w:rsidR="0072362A" w:rsidRPr="00105125" w:rsidRDefault="0072362A" w:rsidP="00F62D35">
            <w:pPr>
              <w:rPr>
                <w:lang w:val="en-CA"/>
              </w:rPr>
            </w:pPr>
          </w:p>
        </w:tc>
      </w:tr>
      <w:tr w:rsidR="00EA43D9" w:rsidRPr="00105125" w14:paraId="28532B55" w14:textId="77777777" w:rsidTr="00F62D35">
        <w:tblPrEx>
          <w:tblCellMar>
            <w:left w:w="0" w:type="dxa"/>
            <w:right w:w="0" w:type="dxa"/>
          </w:tblCellMar>
        </w:tblPrEx>
        <w:trPr>
          <w:cantSplit/>
          <w:trHeight w:val="276"/>
        </w:trPr>
        <w:tc>
          <w:tcPr>
            <w:tcW w:w="4735" w:type="dxa"/>
            <w:vMerge/>
          </w:tcPr>
          <w:p w14:paraId="6524ED0E" w14:textId="77777777" w:rsidR="0072362A" w:rsidRPr="00105125" w:rsidRDefault="0072362A" w:rsidP="00F62D35">
            <w:pPr>
              <w:rPr>
                <w:lang w:val="en-CA"/>
              </w:rPr>
            </w:pPr>
          </w:p>
        </w:tc>
        <w:tc>
          <w:tcPr>
            <w:tcW w:w="4625" w:type="dxa"/>
          </w:tcPr>
          <w:p w14:paraId="54A71165" w14:textId="471589FB" w:rsidR="0072362A" w:rsidRPr="00105125" w:rsidRDefault="00C05FA3" w:rsidP="00F62D35">
            <w:pPr>
              <w:rPr>
                <w:lang w:val="en-CA"/>
              </w:rPr>
            </w:pPr>
            <w:r w:rsidRPr="00105125">
              <w:rPr>
                <w:lang w:val="en-CA"/>
              </w:rPr>
              <w:t>JULIE DUTIL J.A.</w:t>
            </w:r>
          </w:p>
        </w:tc>
      </w:tr>
      <w:bookmarkEnd w:id="5"/>
    </w:tbl>
    <w:p w14:paraId="25DA48CB" w14:textId="77777777" w:rsidR="00740A17" w:rsidRPr="00105125" w:rsidRDefault="00740A17" w:rsidP="008005DB">
      <w:pPr>
        <w:rPr>
          <w:lang w:val="en-CA"/>
        </w:rPr>
      </w:pPr>
    </w:p>
    <w:sectPr w:rsidR="00740A17" w:rsidRPr="00105125" w:rsidSect="009B260D">
      <w:headerReference w:type="default" r:id="rId14"/>
      <w:pgSz w:w="12242" w:h="15842" w:code="1"/>
      <w:pgMar w:top="1440" w:right="1008" w:bottom="1440" w:left="1872" w:header="1440" w:footer="792" w:gutter="0"/>
      <w:paperSrc w:first="4" w:other="4"/>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6629" w14:textId="77777777" w:rsidR="00797E01" w:rsidRDefault="00797E01">
      <w:pPr>
        <w:spacing w:line="240" w:lineRule="auto"/>
      </w:pPr>
      <w:r>
        <w:separator/>
      </w:r>
    </w:p>
  </w:endnote>
  <w:endnote w:type="continuationSeparator" w:id="0">
    <w:p w14:paraId="4522F15C" w14:textId="77777777" w:rsidR="00797E01" w:rsidRDefault="00797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E802" w14:textId="77777777" w:rsidR="00C05FA3" w:rsidRDefault="00C05F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8039" w14:textId="77777777" w:rsidR="00C05FA3" w:rsidRDefault="00C05FA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6DDB" w14:textId="77777777" w:rsidR="00C05FA3" w:rsidRDefault="00C05F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8F37" w14:textId="77777777" w:rsidR="00797E01" w:rsidRDefault="00797E01">
      <w:r>
        <w:separator/>
      </w:r>
    </w:p>
  </w:footnote>
  <w:footnote w:type="continuationSeparator" w:id="0">
    <w:p w14:paraId="5920291D" w14:textId="77777777" w:rsidR="00797E01" w:rsidRDefault="00797E01">
      <w:r>
        <w:continuationSeparator/>
      </w:r>
    </w:p>
  </w:footnote>
  <w:footnote w:id="1">
    <w:p w14:paraId="7F36EB7A" w14:textId="3D623277" w:rsidR="00F8495C" w:rsidRPr="00905D57" w:rsidRDefault="00F8495C" w:rsidP="00F8495C">
      <w:pPr>
        <w:pStyle w:val="Notedebasdepage"/>
        <w:rPr>
          <w:lang w:val="en-CA"/>
        </w:rPr>
      </w:pPr>
      <w:r>
        <w:rPr>
          <w:rStyle w:val="Appelnotedebasdep"/>
        </w:rPr>
        <w:footnoteRef/>
      </w:r>
      <w:r w:rsidRPr="00905D57">
        <w:rPr>
          <w:lang w:val="en-CA"/>
        </w:rPr>
        <w:t xml:space="preserve"> </w:t>
      </w:r>
      <w:r w:rsidRPr="00905D57">
        <w:rPr>
          <w:lang w:val="en-CA"/>
        </w:rPr>
        <w:tab/>
      </w:r>
      <w:r w:rsidR="00905D57" w:rsidRPr="008E1B40">
        <w:rPr>
          <w:i/>
          <w:iCs/>
          <w:lang w:val="en-CA"/>
        </w:rPr>
        <w:t>Reduced Contribution Regulation</w:t>
      </w:r>
      <w:r w:rsidRPr="008E1B40">
        <w:rPr>
          <w:lang w:val="en-CA"/>
        </w:rPr>
        <w:t xml:space="preserve">, </w:t>
      </w:r>
      <w:r w:rsidR="009F3E87">
        <w:rPr>
          <w:lang w:val="en-CA"/>
        </w:rPr>
        <w:t>CQLR</w:t>
      </w:r>
      <w:r w:rsidRPr="008E1B40">
        <w:rPr>
          <w:lang w:val="en-CA"/>
        </w:rPr>
        <w:t>, c. S-4.1.1, r. 1.</w:t>
      </w:r>
    </w:p>
  </w:footnote>
  <w:footnote w:id="2">
    <w:p w14:paraId="57AEB5C9" w14:textId="468EC5E7" w:rsidR="00905D57" w:rsidRPr="00905D57" w:rsidRDefault="00905D57" w:rsidP="00905D57">
      <w:pPr>
        <w:pStyle w:val="Notedebasdepage"/>
        <w:rPr>
          <w:lang w:val="en-CA"/>
        </w:rPr>
      </w:pPr>
      <w:r>
        <w:rPr>
          <w:rStyle w:val="Appelnotedebasdep"/>
        </w:rPr>
        <w:footnoteRef/>
      </w:r>
      <w:r w:rsidRPr="00905D57">
        <w:rPr>
          <w:lang w:val="en-CA"/>
        </w:rPr>
        <w:t xml:space="preserve"> </w:t>
      </w:r>
      <w:r w:rsidRPr="00905D57">
        <w:rPr>
          <w:lang w:val="en-CA"/>
        </w:rPr>
        <w:tab/>
      </w:r>
      <w:r w:rsidRPr="008E1B40">
        <w:rPr>
          <w:i/>
          <w:iCs/>
          <w:lang w:val="en-CA"/>
        </w:rPr>
        <w:t>Immigration and Refugee Protection Act</w:t>
      </w:r>
      <w:r w:rsidRPr="008E1B40">
        <w:rPr>
          <w:lang w:val="en-CA"/>
        </w:rPr>
        <w:t xml:space="preserve">, </w:t>
      </w:r>
      <w:r w:rsidR="00FD46A9" w:rsidRPr="008E1B40">
        <w:rPr>
          <w:lang w:val="en-CA"/>
        </w:rPr>
        <w:t>S</w:t>
      </w:r>
      <w:r w:rsidR="003F4D61">
        <w:rPr>
          <w:lang w:val="en-CA"/>
        </w:rPr>
        <w:t>.</w:t>
      </w:r>
      <w:r w:rsidRPr="008E1B40">
        <w:rPr>
          <w:lang w:val="en-CA"/>
        </w:rPr>
        <w:t>C</w:t>
      </w:r>
      <w:r w:rsidR="003F4D61">
        <w:rPr>
          <w:lang w:val="en-CA"/>
        </w:rPr>
        <w:t>.</w:t>
      </w:r>
      <w:r w:rsidRPr="008E1B40">
        <w:rPr>
          <w:lang w:val="en-CA"/>
        </w:rPr>
        <w:t xml:space="preserve"> 2001, c. 27.</w:t>
      </w:r>
    </w:p>
  </w:footnote>
  <w:footnote w:id="3">
    <w:p w14:paraId="0D0F428B" w14:textId="77777777" w:rsidR="00F676DB" w:rsidRPr="00905D57" w:rsidRDefault="00F676DB" w:rsidP="00F676DB">
      <w:pPr>
        <w:pStyle w:val="Notedebasdepage"/>
        <w:rPr>
          <w:lang w:val="en-CA"/>
        </w:rPr>
      </w:pPr>
      <w:r>
        <w:rPr>
          <w:rStyle w:val="Appelnotedebasdep"/>
        </w:rPr>
        <w:footnoteRef/>
      </w:r>
      <w:r w:rsidRPr="00BC104D">
        <w:rPr>
          <w:i/>
          <w:iCs/>
          <w:lang w:val="en-CA"/>
        </w:rPr>
        <w:t xml:space="preserve"> </w:t>
      </w:r>
      <w:r w:rsidRPr="00BC104D">
        <w:rPr>
          <w:i/>
          <w:iCs/>
          <w:lang w:val="en-CA"/>
        </w:rPr>
        <w:tab/>
      </w:r>
      <w:r w:rsidRPr="008E1B40">
        <w:rPr>
          <w:i/>
          <w:iCs/>
          <w:lang w:val="en-CA"/>
        </w:rPr>
        <w:t>Immigration and Refugee Protection Regulations,</w:t>
      </w:r>
      <w:r w:rsidRPr="008E1B40">
        <w:rPr>
          <w:lang w:val="en-CA"/>
        </w:rPr>
        <w:t xml:space="preserve"> SOR/2000-227, s.</w:t>
      </w:r>
      <w:r w:rsidRPr="00BC104D">
        <w:rPr>
          <w:lang w:val="en-CA"/>
        </w:rPr>
        <w:t xml:space="preserve"> 159.9. </w:t>
      </w:r>
      <w:r w:rsidRPr="00905D57">
        <w:rPr>
          <w:lang w:val="en-CA"/>
        </w:rPr>
        <w:t xml:space="preserve">The hearing before the Refugee Protection Division must </w:t>
      </w:r>
      <w:r>
        <w:rPr>
          <w:lang w:val="en-CA"/>
        </w:rPr>
        <w:t xml:space="preserve">normally be held </w:t>
      </w:r>
      <w:r w:rsidRPr="00905D57">
        <w:rPr>
          <w:lang w:val="en-CA"/>
        </w:rPr>
        <w:t xml:space="preserve">not later than 30, 45 or 60 days after the day on which the claim is referred, depending </w:t>
      </w:r>
      <w:r>
        <w:rPr>
          <w:lang w:val="en-CA"/>
        </w:rPr>
        <w:t>on the claimant’s situation</w:t>
      </w:r>
      <w:r w:rsidRPr="00905D57">
        <w:rPr>
          <w:lang w:val="en-CA"/>
        </w:rPr>
        <w:t>.</w:t>
      </w:r>
    </w:p>
  </w:footnote>
  <w:footnote w:id="4">
    <w:p w14:paraId="7F5F827D" w14:textId="529C10F3" w:rsidR="00146A4C" w:rsidRDefault="00146A4C" w:rsidP="00146A4C">
      <w:pPr>
        <w:pStyle w:val="Notedebasdepage"/>
      </w:pPr>
      <w:r>
        <w:rPr>
          <w:rStyle w:val="Appelnotedebasdep"/>
        </w:rPr>
        <w:footnoteRef/>
      </w:r>
      <w:r>
        <w:t xml:space="preserve"> </w:t>
      </w:r>
      <w:r>
        <w:tab/>
      </w:r>
      <w:proofErr w:type="spellStart"/>
      <w:r w:rsidRPr="00DF4994">
        <w:rPr>
          <w:i/>
          <w:iCs/>
        </w:rPr>
        <w:t>Kanyinda</w:t>
      </w:r>
      <w:proofErr w:type="spellEnd"/>
      <w:r w:rsidRPr="00DF4994">
        <w:rPr>
          <w:i/>
          <w:iCs/>
        </w:rPr>
        <w:t xml:space="preserve"> c. Procureur général du Québec</w:t>
      </w:r>
      <w:r w:rsidRPr="00A43138">
        <w:t xml:space="preserve">, 2022 </w:t>
      </w:r>
      <w:proofErr w:type="spellStart"/>
      <w:r w:rsidRPr="00A43138">
        <w:t>QCCS</w:t>
      </w:r>
      <w:proofErr w:type="spellEnd"/>
      <w:r w:rsidRPr="00A43138">
        <w:t xml:space="preserve"> 1887</w:t>
      </w:r>
      <w:r>
        <w:t xml:space="preserve"> [</w:t>
      </w:r>
      <w:proofErr w:type="spellStart"/>
      <w:r>
        <w:t>Judgment</w:t>
      </w:r>
      <w:proofErr w:type="spellEnd"/>
      <w:r>
        <w:t xml:space="preserve"> </w:t>
      </w:r>
      <w:proofErr w:type="spellStart"/>
      <w:r>
        <w:t>under</w:t>
      </w:r>
      <w:proofErr w:type="spellEnd"/>
      <w:r>
        <w:t xml:space="preserve"> </w:t>
      </w:r>
      <w:proofErr w:type="spellStart"/>
      <w:r>
        <w:t>appeal</w:t>
      </w:r>
      <w:proofErr w:type="spellEnd"/>
      <w:r>
        <w:t>].</w:t>
      </w:r>
    </w:p>
  </w:footnote>
  <w:footnote w:id="5">
    <w:p w14:paraId="187E41AD" w14:textId="08C76BBF" w:rsidR="00B71C69" w:rsidRPr="00FD46A9" w:rsidRDefault="00B71C69" w:rsidP="00B71C69">
      <w:pPr>
        <w:pStyle w:val="Notedebasdepage"/>
        <w:rPr>
          <w:lang w:val="en-CA"/>
        </w:rPr>
      </w:pPr>
      <w:r>
        <w:rPr>
          <w:rStyle w:val="Appelnotedebasdep"/>
        </w:rPr>
        <w:footnoteRef/>
      </w:r>
      <w:r w:rsidRPr="00FD46A9">
        <w:rPr>
          <w:lang w:val="en-CA"/>
        </w:rPr>
        <w:t xml:space="preserve"> </w:t>
      </w:r>
      <w:r w:rsidRPr="00FD46A9">
        <w:rPr>
          <w:lang w:val="en-CA"/>
        </w:rPr>
        <w:tab/>
      </w:r>
      <w:r w:rsidR="001A4975" w:rsidRPr="008E1B40">
        <w:rPr>
          <w:lang w:val="en-CA"/>
        </w:rPr>
        <w:t>Judgment under appeal</w:t>
      </w:r>
      <w:r w:rsidRPr="008E1B40">
        <w:rPr>
          <w:lang w:val="en-CA"/>
        </w:rPr>
        <w:t xml:space="preserve"> </w:t>
      </w:r>
      <w:r w:rsidR="00FD46A9" w:rsidRPr="008E1B40">
        <w:rPr>
          <w:lang w:val="en-CA"/>
        </w:rPr>
        <w:t xml:space="preserve">at </w:t>
      </w:r>
      <w:r w:rsidRPr="008E1B40">
        <w:rPr>
          <w:lang w:val="en-CA"/>
        </w:rPr>
        <w:t>para</w:t>
      </w:r>
      <w:r w:rsidR="00FD46A9" w:rsidRPr="008E1B40">
        <w:rPr>
          <w:lang w:val="en-CA"/>
        </w:rPr>
        <w:t>s</w:t>
      </w:r>
      <w:r w:rsidRPr="008E1B40">
        <w:rPr>
          <w:lang w:val="en-CA"/>
        </w:rPr>
        <w:t>.</w:t>
      </w:r>
      <w:r w:rsidRPr="00FD46A9">
        <w:rPr>
          <w:lang w:val="en-CA"/>
        </w:rPr>
        <w:t xml:space="preserve"> 13</w:t>
      </w:r>
      <w:r w:rsidR="00FD46A9" w:rsidRPr="00FD46A9">
        <w:rPr>
          <w:lang w:val="en-CA"/>
        </w:rPr>
        <w:t>–</w:t>
      </w:r>
      <w:r w:rsidRPr="00FD46A9">
        <w:rPr>
          <w:lang w:val="en-CA"/>
        </w:rPr>
        <w:t>20.</w:t>
      </w:r>
    </w:p>
  </w:footnote>
  <w:footnote w:id="6">
    <w:p w14:paraId="50C901DC" w14:textId="3FCF9DCB" w:rsidR="00B71C69" w:rsidRPr="00C05FA3" w:rsidRDefault="00B71C69" w:rsidP="00B71C69">
      <w:pPr>
        <w:pStyle w:val="Notedebasdepage"/>
        <w:rPr>
          <w:lang w:val="en-CA"/>
        </w:rPr>
      </w:pPr>
      <w:r>
        <w:rPr>
          <w:rStyle w:val="Appelnotedebasdep"/>
        </w:rPr>
        <w:footnoteRef/>
      </w:r>
      <w:r w:rsidRPr="00B71C69">
        <w:rPr>
          <w:lang w:val="en-CA"/>
        </w:rPr>
        <w:t xml:space="preserve"> </w:t>
      </w:r>
      <w:r w:rsidRPr="00B71C69">
        <w:rPr>
          <w:lang w:val="en-CA"/>
        </w:rPr>
        <w:tab/>
      </w:r>
      <w:r w:rsidRPr="008E1B40">
        <w:rPr>
          <w:i/>
          <w:iCs/>
          <w:lang w:val="en-CA"/>
        </w:rPr>
        <w:t>I</w:t>
      </w:r>
      <w:r w:rsidR="00FD46A9" w:rsidRPr="008E1B40">
        <w:rPr>
          <w:i/>
          <w:iCs/>
          <w:lang w:val="en-CA"/>
        </w:rPr>
        <w:t>bi</w:t>
      </w:r>
      <w:r w:rsidRPr="008E1B40">
        <w:rPr>
          <w:i/>
          <w:iCs/>
          <w:lang w:val="en-CA"/>
        </w:rPr>
        <w:t>d</w:t>
      </w:r>
      <w:r w:rsidRPr="008E1B40">
        <w:rPr>
          <w:lang w:val="en-CA"/>
        </w:rPr>
        <w:t xml:space="preserve">. </w:t>
      </w:r>
      <w:r w:rsidR="00FD46A9" w:rsidRPr="008E1B40">
        <w:rPr>
          <w:lang w:val="en-CA"/>
        </w:rPr>
        <w:t>at paras</w:t>
      </w:r>
      <w:r w:rsidR="00FD46A9">
        <w:rPr>
          <w:lang w:val="en-CA"/>
        </w:rPr>
        <w:t>.</w:t>
      </w:r>
      <w:r w:rsidRPr="00B71C69">
        <w:rPr>
          <w:lang w:val="en-CA"/>
        </w:rPr>
        <w:t> </w:t>
      </w:r>
      <w:r w:rsidRPr="00C05FA3">
        <w:rPr>
          <w:lang w:val="en-CA"/>
        </w:rPr>
        <w:t>21</w:t>
      </w:r>
      <w:r w:rsidR="00FD46A9">
        <w:rPr>
          <w:lang w:val="en-CA"/>
        </w:rPr>
        <w:t>–</w:t>
      </w:r>
      <w:r w:rsidRPr="00C05FA3">
        <w:rPr>
          <w:lang w:val="en-CA"/>
        </w:rPr>
        <w:t>27.</w:t>
      </w:r>
    </w:p>
  </w:footnote>
  <w:footnote w:id="7">
    <w:p w14:paraId="4F04C1E2" w14:textId="4094522E" w:rsidR="00B71C69" w:rsidRPr="00E7141E" w:rsidRDefault="00B71C69" w:rsidP="00B71C69">
      <w:pPr>
        <w:pStyle w:val="Notedebasdepage"/>
        <w:rPr>
          <w:lang w:val="en-CA"/>
        </w:rPr>
      </w:pPr>
      <w:r>
        <w:rPr>
          <w:rStyle w:val="Appelnotedebasdep"/>
        </w:rPr>
        <w:footnoteRef/>
      </w:r>
      <w:r w:rsidRPr="00E7141E">
        <w:rPr>
          <w:lang w:val="en-CA"/>
        </w:rPr>
        <w:t xml:space="preserve"> </w:t>
      </w:r>
      <w:r w:rsidRPr="00E7141E">
        <w:rPr>
          <w:lang w:val="en-CA"/>
        </w:rPr>
        <w:tab/>
      </w:r>
      <w:r w:rsidRPr="008E1B40">
        <w:rPr>
          <w:i/>
          <w:iCs/>
          <w:lang w:val="en-CA"/>
        </w:rPr>
        <w:t>I</w:t>
      </w:r>
      <w:r w:rsidR="00FD46A9" w:rsidRPr="008E1B40">
        <w:rPr>
          <w:i/>
          <w:iCs/>
          <w:lang w:val="en-CA"/>
        </w:rPr>
        <w:t>bi</w:t>
      </w:r>
      <w:r w:rsidRPr="008E1B40">
        <w:rPr>
          <w:i/>
          <w:iCs/>
          <w:lang w:val="en-CA"/>
        </w:rPr>
        <w:t>d</w:t>
      </w:r>
      <w:r w:rsidRPr="008E1B40">
        <w:rPr>
          <w:lang w:val="en-CA"/>
        </w:rPr>
        <w:t xml:space="preserve">. </w:t>
      </w:r>
      <w:r w:rsidR="00FD46A9" w:rsidRPr="008E1B40">
        <w:rPr>
          <w:lang w:val="en-CA"/>
        </w:rPr>
        <w:t xml:space="preserve">at </w:t>
      </w:r>
      <w:r w:rsidRPr="008E1B40">
        <w:rPr>
          <w:lang w:val="en-CA"/>
        </w:rPr>
        <w:t>para</w:t>
      </w:r>
      <w:r w:rsidR="00FD46A9" w:rsidRPr="008E1B40">
        <w:rPr>
          <w:lang w:val="en-CA"/>
        </w:rPr>
        <w:t>s</w:t>
      </w:r>
      <w:r w:rsidRPr="008E1B40">
        <w:rPr>
          <w:lang w:val="en-CA"/>
        </w:rPr>
        <w:t>.</w:t>
      </w:r>
      <w:r w:rsidRPr="00E7141E">
        <w:rPr>
          <w:lang w:val="en-CA"/>
        </w:rPr>
        <w:t> 28</w:t>
      </w:r>
      <w:r w:rsidR="00FD46A9">
        <w:rPr>
          <w:lang w:val="en-CA"/>
        </w:rPr>
        <w:t>–</w:t>
      </w:r>
      <w:r w:rsidRPr="00E7141E">
        <w:rPr>
          <w:lang w:val="en-CA"/>
        </w:rPr>
        <w:t>35.</w:t>
      </w:r>
    </w:p>
  </w:footnote>
  <w:footnote w:id="8">
    <w:p w14:paraId="3822BFAB" w14:textId="19D59F36" w:rsidR="00B71C69" w:rsidRPr="00E7141E" w:rsidRDefault="00B71C69" w:rsidP="00B71C69">
      <w:pPr>
        <w:pStyle w:val="Notedebasdepage"/>
        <w:rPr>
          <w:lang w:val="en-CA"/>
        </w:rPr>
      </w:pPr>
      <w:r>
        <w:rPr>
          <w:rStyle w:val="Appelnotedebasdep"/>
        </w:rPr>
        <w:footnoteRef/>
      </w:r>
      <w:r w:rsidRPr="00E7141E">
        <w:rPr>
          <w:lang w:val="en-CA"/>
        </w:rPr>
        <w:t xml:space="preserve"> </w:t>
      </w:r>
      <w:r w:rsidRPr="00E7141E">
        <w:rPr>
          <w:lang w:val="en-CA"/>
        </w:rPr>
        <w:tab/>
      </w:r>
      <w:r w:rsidRPr="008E1B40">
        <w:rPr>
          <w:i/>
          <w:iCs/>
          <w:lang w:val="en-CA"/>
        </w:rPr>
        <w:t>I</w:t>
      </w:r>
      <w:r w:rsidR="00FD46A9" w:rsidRPr="008E1B40">
        <w:rPr>
          <w:i/>
          <w:iCs/>
          <w:lang w:val="en-CA"/>
        </w:rPr>
        <w:t>bi</w:t>
      </w:r>
      <w:r w:rsidRPr="008E1B40">
        <w:rPr>
          <w:i/>
          <w:iCs/>
          <w:lang w:val="en-CA"/>
        </w:rPr>
        <w:t>d</w:t>
      </w:r>
      <w:r w:rsidRPr="008E1B40">
        <w:rPr>
          <w:lang w:val="en-CA"/>
        </w:rPr>
        <w:t xml:space="preserve">. </w:t>
      </w:r>
      <w:r w:rsidR="00FD46A9" w:rsidRPr="008E1B40">
        <w:rPr>
          <w:lang w:val="en-CA"/>
        </w:rPr>
        <w:t xml:space="preserve">at </w:t>
      </w:r>
      <w:r w:rsidRPr="008E1B40">
        <w:rPr>
          <w:lang w:val="en-CA"/>
        </w:rPr>
        <w:t>para</w:t>
      </w:r>
      <w:r w:rsidR="00FD46A9" w:rsidRPr="008E1B40">
        <w:rPr>
          <w:lang w:val="en-CA"/>
        </w:rPr>
        <w:t>s</w:t>
      </w:r>
      <w:r w:rsidRPr="008E1B40">
        <w:rPr>
          <w:lang w:val="en-CA"/>
        </w:rPr>
        <w:t>.</w:t>
      </w:r>
      <w:r w:rsidRPr="00E7141E">
        <w:rPr>
          <w:lang w:val="en-CA"/>
        </w:rPr>
        <w:t> 36</w:t>
      </w:r>
      <w:r w:rsidR="00FD46A9">
        <w:rPr>
          <w:lang w:val="en-CA"/>
        </w:rPr>
        <w:t>–</w:t>
      </w:r>
      <w:r w:rsidRPr="00E7141E">
        <w:rPr>
          <w:lang w:val="en-CA"/>
        </w:rPr>
        <w:t>44.</w:t>
      </w:r>
    </w:p>
  </w:footnote>
  <w:footnote w:id="9">
    <w:p w14:paraId="12D8C4B6" w14:textId="63315624" w:rsidR="00B71C69" w:rsidRPr="00E7141E" w:rsidRDefault="00B71C69" w:rsidP="00B71C69">
      <w:pPr>
        <w:pStyle w:val="Notedebasdepage"/>
        <w:rPr>
          <w:lang w:val="en-CA"/>
        </w:rPr>
      </w:pPr>
      <w:r>
        <w:rPr>
          <w:rStyle w:val="Appelnotedebasdep"/>
        </w:rPr>
        <w:footnoteRef/>
      </w:r>
      <w:r w:rsidRPr="00E7141E">
        <w:rPr>
          <w:lang w:val="en-CA"/>
        </w:rPr>
        <w:t xml:space="preserve"> </w:t>
      </w:r>
      <w:r w:rsidRPr="00E7141E">
        <w:rPr>
          <w:lang w:val="en-CA"/>
        </w:rPr>
        <w:tab/>
      </w:r>
      <w:r w:rsidRPr="008E1B40">
        <w:rPr>
          <w:i/>
          <w:iCs/>
          <w:lang w:val="en-CA"/>
        </w:rPr>
        <w:t>I</w:t>
      </w:r>
      <w:r w:rsidR="00FD46A9" w:rsidRPr="008E1B40">
        <w:rPr>
          <w:i/>
          <w:iCs/>
          <w:lang w:val="en-CA"/>
        </w:rPr>
        <w:t>bi</w:t>
      </w:r>
      <w:r w:rsidRPr="008E1B40">
        <w:rPr>
          <w:i/>
          <w:iCs/>
          <w:lang w:val="en-CA"/>
        </w:rPr>
        <w:t>d</w:t>
      </w:r>
      <w:r w:rsidRPr="008E1B40">
        <w:rPr>
          <w:lang w:val="en-CA"/>
        </w:rPr>
        <w:t xml:space="preserve">. </w:t>
      </w:r>
      <w:r w:rsidR="00FD46A9" w:rsidRPr="008E1B40">
        <w:rPr>
          <w:lang w:val="en-CA"/>
        </w:rPr>
        <w:t xml:space="preserve">at </w:t>
      </w:r>
      <w:r w:rsidRPr="008E1B40">
        <w:rPr>
          <w:lang w:val="en-CA"/>
        </w:rPr>
        <w:t>para</w:t>
      </w:r>
      <w:r w:rsidR="00FD46A9" w:rsidRPr="008E1B40">
        <w:rPr>
          <w:lang w:val="en-CA"/>
        </w:rPr>
        <w:t>s</w:t>
      </w:r>
      <w:r w:rsidRPr="008E1B40">
        <w:rPr>
          <w:lang w:val="en-CA"/>
        </w:rPr>
        <w:t>.</w:t>
      </w:r>
      <w:r w:rsidRPr="00E7141E">
        <w:rPr>
          <w:lang w:val="en-CA"/>
        </w:rPr>
        <w:t> 45</w:t>
      </w:r>
      <w:r w:rsidR="00FD46A9">
        <w:rPr>
          <w:lang w:val="en-CA"/>
        </w:rPr>
        <w:t>–</w:t>
      </w:r>
      <w:r w:rsidRPr="00E7141E">
        <w:rPr>
          <w:lang w:val="en-CA"/>
        </w:rPr>
        <w:t>47.</w:t>
      </w:r>
    </w:p>
  </w:footnote>
  <w:footnote w:id="10">
    <w:p w14:paraId="1854CD1E" w14:textId="77777777" w:rsidR="00F82A0E" w:rsidRPr="00E7141E" w:rsidRDefault="00F82A0E" w:rsidP="00F82A0E">
      <w:pPr>
        <w:pStyle w:val="Notedebasdepage"/>
        <w:rPr>
          <w:lang w:val="en-CA"/>
        </w:rPr>
      </w:pPr>
      <w:r>
        <w:rPr>
          <w:rStyle w:val="Appelnotedebasdep"/>
        </w:rPr>
        <w:footnoteRef/>
      </w:r>
      <w:r w:rsidRPr="00E7141E">
        <w:rPr>
          <w:lang w:val="en-CA"/>
        </w:rPr>
        <w:t xml:space="preserve"> </w:t>
      </w:r>
      <w:r w:rsidRPr="00E7141E">
        <w:rPr>
          <w:lang w:val="en-CA"/>
        </w:rPr>
        <w:tab/>
      </w:r>
      <w:r w:rsidRPr="008E1B40">
        <w:rPr>
          <w:i/>
          <w:iCs/>
          <w:lang w:val="en-CA"/>
        </w:rPr>
        <w:t>Ibid</w:t>
      </w:r>
      <w:r w:rsidRPr="008E1B40">
        <w:rPr>
          <w:lang w:val="en-CA"/>
        </w:rPr>
        <w:t>. at paras.</w:t>
      </w:r>
      <w:r w:rsidRPr="00E7141E">
        <w:rPr>
          <w:lang w:val="en-CA"/>
        </w:rPr>
        <w:t> 48</w:t>
      </w:r>
      <w:r>
        <w:rPr>
          <w:lang w:val="en-CA"/>
        </w:rPr>
        <w:t>–</w:t>
      </w:r>
      <w:r w:rsidRPr="00E7141E">
        <w:rPr>
          <w:lang w:val="en-CA"/>
        </w:rPr>
        <w:t>52.</w:t>
      </w:r>
    </w:p>
  </w:footnote>
  <w:footnote w:id="11">
    <w:p w14:paraId="5CF3858C" w14:textId="77777777" w:rsidR="00F82A0E" w:rsidRPr="00F82A0E" w:rsidRDefault="00F82A0E" w:rsidP="00F82A0E">
      <w:pPr>
        <w:pStyle w:val="Notedebasdepage"/>
        <w:rPr>
          <w:lang w:val="en-CA"/>
        </w:rPr>
      </w:pPr>
      <w:r>
        <w:rPr>
          <w:rStyle w:val="Appelnotedebasdep"/>
        </w:rPr>
        <w:footnoteRef/>
      </w:r>
      <w:r w:rsidRPr="00E7141E">
        <w:rPr>
          <w:lang w:val="en-CA"/>
        </w:rPr>
        <w:t xml:space="preserve"> </w:t>
      </w:r>
      <w:r w:rsidRPr="00E7141E">
        <w:rPr>
          <w:lang w:val="en-CA"/>
        </w:rPr>
        <w:tab/>
      </w:r>
      <w:r w:rsidRPr="008E1B40">
        <w:rPr>
          <w:i/>
          <w:iCs/>
          <w:lang w:val="en-CA"/>
        </w:rPr>
        <w:t>Ibid</w:t>
      </w:r>
      <w:r w:rsidRPr="008E1B40">
        <w:rPr>
          <w:lang w:val="en-CA"/>
        </w:rPr>
        <w:t>. at paras.</w:t>
      </w:r>
      <w:r w:rsidRPr="00E7141E">
        <w:rPr>
          <w:lang w:val="en-CA"/>
        </w:rPr>
        <w:t> 53</w:t>
      </w:r>
      <w:r>
        <w:rPr>
          <w:lang w:val="en-CA"/>
        </w:rPr>
        <w:t>–</w:t>
      </w:r>
      <w:r w:rsidRPr="00E7141E">
        <w:rPr>
          <w:lang w:val="en-CA"/>
        </w:rPr>
        <w:t>62.</w:t>
      </w:r>
    </w:p>
  </w:footnote>
  <w:footnote w:id="12">
    <w:p w14:paraId="7BD32B5F" w14:textId="77777777" w:rsidR="00847B97" w:rsidRPr="00FD46A9" w:rsidRDefault="00847B97" w:rsidP="00847B97">
      <w:pPr>
        <w:pStyle w:val="Notedebasdepage"/>
        <w:rPr>
          <w:lang w:val="en-CA"/>
        </w:rPr>
      </w:pPr>
      <w:r>
        <w:rPr>
          <w:rStyle w:val="Appelnotedebasdep"/>
        </w:rPr>
        <w:footnoteRef/>
      </w:r>
      <w:r w:rsidRPr="00E7141E">
        <w:rPr>
          <w:lang w:val="en-CA"/>
        </w:rPr>
        <w:t xml:space="preserve"> </w:t>
      </w:r>
      <w:r w:rsidRPr="00E7141E">
        <w:rPr>
          <w:lang w:val="en-CA"/>
        </w:rPr>
        <w:tab/>
      </w:r>
      <w:r w:rsidRPr="008E1B40">
        <w:rPr>
          <w:i/>
          <w:iCs/>
          <w:lang w:val="en-CA"/>
        </w:rPr>
        <w:t>Ibid</w:t>
      </w:r>
      <w:r w:rsidRPr="008E1B40">
        <w:rPr>
          <w:lang w:val="en-CA"/>
        </w:rPr>
        <w:t>. at paras.</w:t>
      </w:r>
      <w:r w:rsidRPr="00E7141E">
        <w:rPr>
          <w:lang w:val="en-CA"/>
        </w:rPr>
        <w:t> </w:t>
      </w:r>
      <w:r w:rsidRPr="00FD46A9">
        <w:rPr>
          <w:lang w:val="en-CA"/>
        </w:rPr>
        <w:t>63–71.</w:t>
      </w:r>
    </w:p>
  </w:footnote>
  <w:footnote w:id="13">
    <w:p w14:paraId="76B58997" w14:textId="77777777" w:rsidR="00F82A0E" w:rsidRPr="00FD46A9" w:rsidRDefault="00F82A0E" w:rsidP="00F82A0E">
      <w:pPr>
        <w:pStyle w:val="Notedebasdepage"/>
        <w:rPr>
          <w:lang w:val="en-CA"/>
        </w:rPr>
      </w:pPr>
      <w:r>
        <w:rPr>
          <w:rStyle w:val="Appelnotedebasdep"/>
        </w:rPr>
        <w:footnoteRef/>
      </w:r>
      <w:r w:rsidRPr="00FD46A9">
        <w:rPr>
          <w:lang w:val="en-CA"/>
        </w:rPr>
        <w:t xml:space="preserve"> </w:t>
      </w:r>
      <w:r w:rsidRPr="00FD46A9">
        <w:rPr>
          <w:lang w:val="en-CA"/>
        </w:rPr>
        <w:tab/>
      </w:r>
      <w:r w:rsidRPr="008E1B40">
        <w:rPr>
          <w:i/>
          <w:iCs/>
          <w:lang w:val="en-CA"/>
        </w:rPr>
        <w:t>Ibid</w:t>
      </w:r>
      <w:r w:rsidRPr="008E1B40">
        <w:rPr>
          <w:lang w:val="en-CA"/>
        </w:rPr>
        <w:t>. at paras.</w:t>
      </w:r>
      <w:r w:rsidRPr="00FD46A9">
        <w:rPr>
          <w:lang w:val="en-CA"/>
        </w:rPr>
        <w:t> 72–80.</w:t>
      </w:r>
    </w:p>
  </w:footnote>
  <w:footnote w:id="14">
    <w:p w14:paraId="10FEC19A" w14:textId="0311FEA5" w:rsidR="0072362A" w:rsidRPr="00BC104D" w:rsidRDefault="004A7BFD" w:rsidP="0072362A">
      <w:pPr>
        <w:pStyle w:val="Notedebasdepage"/>
        <w:rPr>
          <w:lang w:val="en-CA"/>
        </w:rPr>
      </w:pPr>
      <w:r>
        <w:rPr>
          <w:rStyle w:val="Appelnotedebasdep"/>
        </w:rPr>
        <w:footnoteRef/>
      </w:r>
      <w:r w:rsidRPr="00F82A0E">
        <w:rPr>
          <w:lang w:val="en-CA"/>
        </w:rPr>
        <w:t xml:space="preserve"> </w:t>
      </w:r>
      <w:r w:rsidRPr="00F82A0E">
        <w:rPr>
          <w:lang w:val="en-CA"/>
        </w:rPr>
        <w:tab/>
      </w:r>
      <w:r w:rsidR="00DF5017" w:rsidRPr="008E1B40">
        <w:rPr>
          <w:i/>
          <w:iCs/>
          <w:lang w:val="en-CA"/>
        </w:rPr>
        <w:t>I</w:t>
      </w:r>
      <w:r w:rsidR="000A0D4C" w:rsidRPr="008E1B40">
        <w:rPr>
          <w:i/>
          <w:iCs/>
          <w:lang w:val="en-CA"/>
        </w:rPr>
        <w:t>bi</w:t>
      </w:r>
      <w:r w:rsidR="00DF5017" w:rsidRPr="008E1B40">
        <w:rPr>
          <w:i/>
          <w:iCs/>
          <w:lang w:val="en-CA"/>
        </w:rPr>
        <w:t>d</w:t>
      </w:r>
      <w:r w:rsidRPr="008E1B40">
        <w:rPr>
          <w:lang w:val="en-CA"/>
        </w:rPr>
        <w:t xml:space="preserve">. </w:t>
      </w:r>
      <w:r w:rsidR="000A0D4C" w:rsidRPr="008E1B40">
        <w:rPr>
          <w:lang w:val="en-CA"/>
        </w:rPr>
        <w:t xml:space="preserve">at </w:t>
      </w:r>
      <w:r w:rsidRPr="008E1B40">
        <w:rPr>
          <w:lang w:val="en-CA"/>
        </w:rPr>
        <w:t>para</w:t>
      </w:r>
      <w:r w:rsidR="000A0D4C" w:rsidRPr="008E1B40">
        <w:rPr>
          <w:lang w:val="en-CA"/>
        </w:rPr>
        <w:t>s</w:t>
      </w:r>
      <w:r w:rsidRPr="008E1B40">
        <w:rPr>
          <w:lang w:val="en-CA"/>
        </w:rPr>
        <w:t>.</w:t>
      </w:r>
      <w:r w:rsidRPr="00F82A0E">
        <w:rPr>
          <w:lang w:val="en-CA"/>
        </w:rPr>
        <w:t xml:space="preserve"> </w:t>
      </w:r>
      <w:r w:rsidRPr="00BC104D">
        <w:rPr>
          <w:lang w:val="en-CA"/>
        </w:rPr>
        <w:t>29</w:t>
      </w:r>
      <w:r w:rsidR="000A0D4C" w:rsidRPr="00BC104D">
        <w:rPr>
          <w:lang w:val="en-CA"/>
        </w:rPr>
        <w:t>–</w:t>
      </w:r>
      <w:r w:rsidRPr="00BC104D">
        <w:rPr>
          <w:lang w:val="en-CA"/>
        </w:rPr>
        <w:t>35.</w:t>
      </w:r>
    </w:p>
  </w:footnote>
  <w:footnote w:id="15">
    <w:p w14:paraId="27FC87BA" w14:textId="59614378" w:rsidR="004A7BFD" w:rsidRPr="00FD46A9" w:rsidRDefault="004A7BFD" w:rsidP="004A7BFD">
      <w:pPr>
        <w:pStyle w:val="Notedebasdepage"/>
        <w:rPr>
          <w:lang w:val="en-CA"/>
        </w:rPr>
      </w:pPr>
      <w:r>
        <w:rPr>
          <w:rStyle w:val="Appelnotedebasdep"/>
        </w:rPr>
        <w:footnoteRef/>
      </w:r>
      <w:r w:rsidRPr="00FD46A9">
        <w:rPr>
          <w:lang w:val="en-CA"/>
        </w:rPr>
        <w:t xml:space="preserve"> </w:t>
      </w:r>
      <w:r w:rsidRPr="00FD46A9">
        <w:rPr>
          <w:lang w:val="en-CA"/>
        </w:rPr>
        <w:tab/>
      </w:r>
      <w:r>
        <w:rPr>
          <w:i/>
          <w:iCs/>
          <w:lang w:val="en-CA"/>
        </w:rPr>
        <w:t>Innovative Medicines</w:t>
      </w:r>
      <w:r w:rsidRPr="00FD46A9">
        <w:rPr>
          <w:i/>
          <w:iCs/>
          <w:lang w:val="en-CA"/>
        </w:rPr>
        <w:t xml:space="preserve"> Canada </w:t>
      </w:r>
      <w:r>
        <w:rPr>
          <w:i/>
          <w:iCs/>
          <w:lang w:val="en-CA"/>
        </w:rPr>
        <w:t>v</w:t>
      </w:r>
      <w:r w:rsidRPr="00FD46A9">
        <w:rPr>
          <w:i/>
          <w:iCs/>
          <w:lang w:val="en-CA"/>
        </w:rPr>
        <w:t>. Canada (</w:t>
      </w:r>
      <w:r>
        <w:rPr>
          <w:i/>
          <w:iCs/>
          <w:lang w:val="en-CA"/>
        </w:rPr>
        <w:t>Attorney General</w:t>
      </w:r>
      <w:r w:rsidRPr="00FD46A9">
        <w:rPr>
          <w:i/>
          <w:iCs/>
          <w:lang w:val="en-CA"/>
        </w:rPr>
        <w:t>),</w:t>
      </w:r>
      <w:r w:rsidRPr="00FD46A9">
        <w:rPr>
          <w:lang w:val="en-CA"/>
        </w:rPr>
        <w:t xml:space="preserve"> 2022 FCA 210; </w:t>
      </w:r>
      <w:r w:rsidRPr="00FD46A9">
        <w:rPr>
          <w:i/>
          <w:iCs/>
          <w:lang w:val="en-CA"/>
        </w:rPr>
        <w:t>TransAlta Generation Partnership v. Alberta (Minister of Municipal Affairs</w:t>
      </w:r>
      <w:r w:rsidRPr="00FD46A9">
        <w:rPr>
          <w:lang w:val="en-CA"/>
        </w:rPr>
        <w:t xml:space="preserve">), 2022 ABCA 381, leave to appeal to SCC granted, </w:t>
      </w:r>
      <w:r w:rsidR="008C4037" w:rsidRPr="00FD46A9">
        <w:rPr>
          <w:lang w:val="en-CA"/>
        </w:rPr>
        <w:t>40570</w:t>
      </w:r>
      <w:r w:rsidR="008C4037">
        <w:rPr>
          <w:lang w:val="en-CA"/>
        </w:rPr>
        <w:t xml:space="preserve"> (</w:t>
      </w:r>
      <w:r w:rsidRPr="00FD46A9">
        <w:rPr>
          <w:lang w:val="en-CA"/>
        </w:rPr>
        <w:t>26 October 2023</w:t>
      </w:r>
      <w:r w:rsidR="008C4037">
        <w:rPr>
          <w:lang w:val="en-CA"/>
        </w:rPr>
        <w:t>)</w:t>
      </w:r>
      <w:r w:rsidRPr="00FD46A9">
        <w:rPr>
          <w:lang w:val="en-CA"/>
        </w:rPr>
        <w:t xml:space="preserve">; </w:t>
      </w:r>
      <w:r w:rsidRPr="00FD46A9">
        <w:rPr>
          <w:i/>
          <w:iCs/>
          <w:lang w:val="en-CA"/>
        </w:rPr>
        <w:t>Auer v. Auer</w:t>
      </w:r>
      <w:r w:rsidRPr="00FD46A9">
        <w:rPr>
          <w:lang w:val="en-CA"/>
        </w:rPr>
        <w:t xml:space="preserve">, 2022 ABCA 375, leave to appeal to SCC granted, </w:t>
      </w:r>
      <w:r w:rsidR="008C4037" w:rsidRPr="00FD46A9">
        <w:rPr>
          <w:lang w:val="en-CA"/>
        </w:rPr>
        <w:t>40582</w:t>
      </w:r>
      <w:r w:rsidR="008C4037">
        <w:rPr>
          <w:lang w:val="en-CA"/>
        </w:rPr>
        <w:t xml:space="preserve"> (</w:t>
      </w:r>
      <w:r w:rsidRPr="00FD46A9">
        <w:rPr>
          <w:lang w:val="en-CA"/>
        </w:rPr>
        <w:t xml:space="preserve">26 </w:t>
      </w:r>
      <w:r>
        <w:rPr>
          <w:lang w:val="en-CA"/>
        </w:rPr>
        <w:t>O</w:t>
      </w:r>
      <w:r w:rsidRPr="00FD46A9">
        <w:rPr>
          <w:lang w:val="en-CA"/>
        </w:rPr>
        <w:t>ctob</w:t>
      </w:r>
      <w:r>
        <w:rPr>
          <w:lang w:val="en-CA"/>
        </w:rPr>
        <w:t>e</w:t>
      </w:r>
      <w:r w:rsidRPr="00FD46A9">
        <w:rPr>
          <w:lang w:val="en-CA"/>
        </w:rPr>
        <w:t>r 2023</w:t>
      </w:r>
      <w:r w:rsidR="008C4037">
        <w:rPr>
          <w:lang w:val="en-CA"/>
        </w:rPr>
        <w:t>)</w:t>
      </w:r>
      <w:r w:rsidRPr="00FD46A9">
        <w:rPr>
          <w:lang w:val="en-CA"/>
        </w:rPr>
        <w:t xml:space="preserve">; </w:t>
      </w:r>
      <w:r w:rsidRPr="00FD46A9">
        <w:rPr>
          <w:i/>
          <w:iCs/>
          <w:lang w:val="en-CA"/>
        </w:rPr>
        <w:t xml:space="preserve">International Air Transport Association </w:t>
      </w:r>
      <w:r>
        <w:rPr>
          <w:i/>
          <w:iCs/>
          <w:lang w:val="en-CA"/>
        </w:rPr>
        <w:t>v</w:t>
      </w:r>
      <w:r w:rsidRPr="00FD46A9">
        <w:rPr>
          <w:i/>
          <w:iCs/>
          <w:lang w:val="en-CA"/>
        </w:rPr>
        <w:t xml:space="preserve">. </w:t>
      </w:r>
      <w:r>
        <w:rPr>
          <w:i/>
          <w:iCs/>
          <w:lang w:val="en-CA"/>
        </w:rPr>
        <w:t>Canadian Transportation Agency</w:t>
      </w:r>
      <w:r w:rsidRPr="00FD46A9">
        <w:rPr>
          <w:lang w:val="en-CA"/>
        </w:rPr>
        <w:t>, 2022 F</w:t>
      </w:r>
      <w:r>
        <w:rPr>
          <w:lang w:val="en-CA"/>
        </w:rPr>
        <w:t>CA</w:t>
      </w:r>
      <w:r w:rsidRPr="00FD46A9">
        <w:rPr>
          <w:lang w:val="en-CA"/>
        </w:rPr>
        <w:t xml:space="preserve"> 211 </w:t>
      </w:r>
      <w:r>
        <w:rPr>
          <w:lang w:val="en-CA"/>
        </w:rPr>
        <w:t xml:space="preserve">at </w:t>
      </w:r>
      <w:r w:rsidRPr="00FD46A9">
        <w:rPr>
          <w:lang w:val="en-CA"/>
        </w:rPr>
        <w:t>para</w:t>
      </w:r>
      <w:r>
        <w:rPr>
          <w:lang w:val="en-CA"/>
        </w:rPr>
        <w:t>s</w:t>
      </w:r>
      <w:r w:rsidRPr="00FD46A9">
        <w:rPr>
          <w:lang w:val="en-CA"/>
        </w:rPr>
        <w:t>. </w:t>
      </w:r>
      <w:r w:rsidRPr="008E1B40">
        <w:rPr>
          <w:lang w:val="en-CA"/>
        </w:rPr>
        <w:t xml:space="preserve">185–193, </w:t>
      </w:r>
      <w:r w:rsidRPr="00FD46A9">
        <w:rPr>
          <w:lang w:val="en-CA"/>
        </w:rPr>
        <w:t>leave to appeal to SCC granted</w:t>
      </w:r>
      <w:r w:rsidRPr="008E1B40">
        <w:rPr>
          <w:lang w:val="en-CA"/>
        </w:rPr>
        <w:t xml:space="preserve">, </w:t>
      </w:r>
      <w:r w:rsidR="008C4037" w:rsidRPr="008E1B40">
        <w:rPr>
          <w:lang w:val="en-CA"/>
        </w:rPr>
        <w:t xml:space="preserve">40614 </w:t>
      </w:r>
      <w:r w:rsidR="008C4037">
        <w:rPr>
          <w:lang w:val="en-CA"/>
        </w:rPr>
        <w:t>(</w:t>
      </w:r>
      <w:r w:rsidRPr="008E1B40">
        <w:rPr>
          <w:lang w:val="en-CA"/>
        </w:rPr>
        <w:t>17 August 2023</w:t>
      </w:r>
      <w:r w:rsidR="008C4037">
        <w:rPr>
          <w:lang w:val="en-CA"/>
        </w:rPr>
        <w:t>)</w:t>
      </w:r>
      <w:r w:rsidRPr="008E1B40">
        <w:rPr>
          <w:lang w:val="en-CA"/>
        </w:rPr>
        <w:t xml:space="preserve"> [</w:t>
      </w:r>
      <w:r w:rsidRPr="008E1B40">
        <w:rPr>
          <w:i/>
          <w:iCs/>
          <w:lang w:val="en-CA"/>
        </w:rPr>
        <w:t>International Air Transport Association</w:t>
      </w:r>
      <w:r w:rsidRPr="008E1B40">
        <w:rPr>
          <w:lang w:val="en-CA"/>
        </w:rPr>
        <w:t>].</w:t>
      </w:r>
    </w:p>
  </w:footnote>
  <w:footnote w:id="16">
    <w:p w14:paraId="16555884" w14:textId="77777777" w:rsidR="004A7BFD" w:rsidRPr="00FD46A9" w:rsidRDefault="004A7BFD" w:rsidP="004A7BFD">
      <w:pPr>
        <w:pStyle w:val="Notedebasdepage"/>
        <w:rPr>
          <w:lang w:val="en-CA"/>
        </w:rPr>
      </w:pPr>
      <w:r>
        <w:rPr>
          <w:rStyle w:val="Appelnotedebasdep"/>
        </w:rPr>
        <w:footnoteRef/>
      </w:r>
      <w:r w:rsidRPr="00FD46A9">
        <w:rPr>
          <w:lang w:val="en-CA"/>
        </w:rPr>
        <w:t xml:space="preserve"> </w:t>
      </w:r>
      <w:r w:rsidRPr="00FD46A9">
        <w:rPr>
          <w:lang w:val="en-CA"/>
        </w:rPr>
        <w:tab/>
      </w:r>
      <w:r w:rsidRPr="008E1B40">
        <w:rPr>
          <w:i/>
          <w:iCs/>
          <w:lang w:val="en-CA"/>
        </w:rPr>
        <w:t>Dunsmuir v. New Brunswick,</w:t>
      </w:r>
      <w:r w:rsidRPr="008E1B40">
        <w:rPr>
          <w:lang w:val="en-CA"/>
        </w:rPr>
        <w:t xml:space="preserve"> 2008 SCC 9, [2008] 1 SCR</w:t>
      </w:r>
      <w:r w:rsidRPr="00FD46A9">
        <w:rPr>
          <w:lang w:val="en-CA"/>
        </w:rPr>
        <w:t xml:space="preserve"> </w:t>
      </w:r>
      <w:r w:rsidRPr="008E1B40">
        <w:rPr>
          <w:lang w:val="en-CA"/>
        </w:rPr>
        <w:t>190 [</w:t>
      </w:r>
      <w:r w:rsidRPr="008E1B40">
        <w:rPr>
          <w:i/>
          <w:iCs/>
          <w:lang w:val="en-CA"/>
        </w:rPr>
        <w:t>Dunsmuir</w:t>
      </w:r>
      <w:r w:rsidRPr="008E1B40">
        <w:rPr>
          <w:lang w:val="en-CA"/>
        </w:rPr>
        <w:t>].</w:t>
      </w:r>
    </w:p>
  </w:footnote>
  <w:footnote w:id="17">
    <w:p w14:paraId="37F52A9B" w14:textId="77777777" w:rsidR="004A7BFD" w:rsidRPr="00FD46A9" w:rsidRDefault="004A7BFD" w:rsidP="004A7BFD">
      <w:pPr>
        <w:pStyle w:val="Notedebasdepage"/>
        <w:rPr>
          <w:lang w:val="en-CA"/>
        </w:rPr>
      </w:pPr>
      <w:r>
        <w:rPr>
          <w:rStyle w:val="Appelnotedebasdep"/>
        </w:rPr>
        <w:footnoteRef/>
      </w:r>
      <w:r w:rsidRPr="00FD46A9">
        <w:rPr>
          <w:lang w:val="en-CA"/>
        </w:rPr>
        <w:t xml:space="preserve"> </w:t>
      </w:r>
      <w:r w:rsidRPr="00FD46A9">
        <w:rPr>
          <w:lang w:val="en-CA"/>
        </w:rPr>
        <w:tab/>
      </w:r>
      <w:r w:rsidRPr="008E1B40">
        <w:rPr>
          <w:i/>
          <w:iCs/>
          <w:lang w:val="en-CA"/>
        </w:rPr>
        <w:t>Canada (Minister</w:t>
      </w:r>
      <w:r w:rsidRPr="008E1B40">
        <w:rPr>
          <w:lang w:val="en-CA"/>
        </w:rPr>
        <w:t xml:space="preserve"> </w:t>
      </w:r>
      <w:r w:rsidRPr="008E1B40">
        <w:rPr>
          <w:i/>
          <w:iCs/>
          <w:lang w:val="en-CA"/>
        </w:rPr>
        <w:t>of Citizenship and</w:t>
      </w:r>
      <w:r w:rsidRPr="008E1B40">
        <w:rPr>
          <w:lang w:val="en-CA"/>
        </w:rPr>
        <w:t xml:space="preserve"> </w:t>
      </w:r>
      <w:r w:rsidRPr="008E1B40">
        <w:rPr>
          <w:i/>
          <w:iCs/>
          <w:lang w:val="en-CA"/>
        </w:rPr>
        <w:t>Immigration) v. Vavilov</w:t>
      </w:r>
      <w:r w:rsidRPr="008E1B40">
        <w:rPr>
          <w:lang w:val="en-CA"/>
        </w:rPr>
        <w:t>, 2019 SCC 65 [</w:t>
      </w:r>
      <w:r w:rsidRPr="008E1B40">
        <w:rPr>
          <w:i/>
          <w:iCs/>
          <w:lang w:val="en-CA"/>
        </w:rPr>
        <w:t>Vavilov</w:t>
      </w:r>
      <w:r w:rsidRPr="008E1B40">
        <w:rPr>
          <w:lang w:val="en-CA"/>
        </w:rPr>
        <w:t>].</w:t>
      </w:r>
    </w:p>
  </w:footnote>
  <w:footnote w:id="18">
    <w:p w14:paraId="643ABBD9" w14:textId="234F1912" w:rsidR="0072362A" w:rsidRPr="00BC104D" w:rsidRDefault="004A7BFD" w:rsidP="0072362A">
      <w:pPr>
        <w:pStyle w:val="Notedebasdepage"/>
        <w:rPr>
          <w:lang w:val="en-CA"/>
        </w:rPr>
      </w:pPr>
      <w:r>
        <w:rPr>
          <w:rStyle w:val="Appelnotedebasdep"/>
        </w:rPr>
        <w:footnoteRef/>
      </w:r>
      <w:r w:rsidRPr="00BC104D">
        <w:rPr>
          <w:lang w:val="en-CA"/>
        </w:rPr>
        <w:t xml:space="preserve"> </w:t>
      </w:r>
      <w:r w:rsidRPr="00BC104D">
        <w:rPr>
          <w:lang w:val="en-CA"/>
        </w:rPr>
        <w:tab/>
      </w:r>
      <w:r w:rsidRPr="008E1B40">
        <w:rPr>
          <w:i/>
          <w:iCs/>
          <w:lang w:val="en-CA"/>
        </w:rPr>
        <w:t>International Air Transport Association, supra</w:t>
      </w:r>
      <w:r w:rsidRPr="008E1B40">
        <w:rPr>
          <w:lang w:val="en-CA"/>
        </w:rPr>
        <w:t xml:space="preserve"> note</w:t>
      </w:r>
      <w:r w:rsidRPr="00BC104D">
        <w:rPr>
          <w:lang w:val="en-CA"/>
        </w:rPr>
        <w:t xml:space="preserve"> </w:t>
      </w:r>
      <w:r>
        <w:fldChar w:fldCharType="begin"/>
      </w:r>
      <w:r w:rsidRPr="00BC104D">
        <w:rPr>
          <w:lang w:val="en-CA"/>
        </w:rPr>
        <w:instrText xml:space="preserve"> NOTEREF _Ref152673056 \h </w:instrText>
      </w:r>
      <w:r>
        <w:fldChar w:fldCharType="separate"/>
      </w:r>
      <w:r w:rsidR="009B260D" w:rsidRPr="00BC104D">
        <w:rPr>
          <w:lang w:val="en-CA"/>
        </w:rPr>
        <w:t>15</w:t>
      </w:r>
      <w:r>
        <w:fldChar w:fldCharType="end"/>
      </w:r>
      <w:r w:rsidRPr="008E1B40">
        <w:rPr>
          <w:lang w:val="en-CA"/>
        </w:rPr>
        <w:t xml:space="preserve"> </w:t>
      </w:r>
      <w:r w:rsidR="00FD46A9" w:rsidRPr="008E1B40">
        <w:rPr>
          <w:lang w:val="en-CA"/>
        </w:rPr>
        <w:t xml:space="preserve">at </w:t>
      </w:r>
      <w:r w:rsidRPr="008E1B40">
        <w:rPr>
          <w:lang w:val="en-CA"/>
        </w:rPr>
        <w:t>para</w:t>
      </w:r>
      <w:r w:rsidR="00FD46A9" w:rsidRPr="008E1B40">
        <w:rPr>
          <w:lang w:val="en-CA"/>
        </w:rPr>
        <w:t>s</w:t>
      </w:r>
      <w:r w:rsidRPr="008E1B40">
        <w:rPr>
          <w:lang w:val="en-CA"/>
        </w:rPr>
        <w:t>.</w:t>
      </w:r>
      <w:r w:rsidRPr="00BC104D">
        <w:rPr>
          <w:lang w:val="en-CA"/>
        </w:rPr>
        <w:t> 186</w:t>
      </w:r>
      <w:r w:rsidR="00FD46A9" w:rsidRPr="00BC104D">
        <w:rPr>
          <w:lang w:val="en-CA"/>
        </w:rPr>
        <w:t>–</w:t>
      </w:r>
      <w:r w:rsidRPr="00BC104D">
        <w:rPr>
          <w:lang w:val="en-CA"/>
        </w:rPr>
        <w:t>190.</w:t>
      </w:r>
    </w:p>
  </w:footnote>
  <w:footnote w:id="19">
    <w:p w14:paraId="0563298F" w14:textId="77777777" w:rsidR="004A7BFD" w:rsidRPr="00FD46A9" w:rsidRDefault="004A7BFD" w:rsidP="004A7BFD">
      <w:pPr>
        <w:pStyle w:val="Notedebasdepage"/>
        <w:rPr>
          <w:lang w:val="en-CA"/>
        </w:rPr>
      </w:pPr>
      <w:r>
        <w:rPr>
          <w:rStyle w:val="Appelnotedebasdep"/>
        </w:rPr>
        <w:footnoteRef/>
      </w:r>
      <w:r w:rsidRPr="00FD46A9">
        <w:rPr>
          <w:lang w:val="en-CA"/>
        </w:rPr>
        <w:t xml:space="preserve"> </w:t>
      </w:r>
      <w:r w:rsidRPr="00FD46A9">
        <w:rPr>
          <w:lang w:val="en-CA"/>
        </w:rPr>
        <w:tab/>
      </w:r>
      <w:r w:rsidRPr="008E1B40">
        <w:rPr>
          <w:i/>
          <w:iCs/>
          <w:lang w:val="en-CA"/>
        </w:rPr>
        <w:t>Katz Group Canada Inc. v. Ontario (Health and Long-Term Care)</w:t>
      </w:r>
      <w:r w:rsidRPr="008E1B40">
        <w:rPr>
          <w:lang w:val="en-CA"/>
        </w:rPr>
        <w:t>, 2013 SCC 64 [</w:t>
      </w:r>
      <w:r w:rsidRPr="008E1B40">
        <w:rPr>
          <w:i/>
          <w:iCs/>
          <w:lang w:val="en-CA"/>
        </w:rPr>
        <w:t>Katz</w:t>
      </w:r>
      <w:r w:rsidRPr="008E1B40">
        <w:rPr>
          <w:lang w:val="en-CA"/>
        </w:rPr>
        <w:t>].</w:t>
      </w:r>
    </w:p>
  </w:footnote>
  <w:footnote w:id="20">
    <w:p w14:paraId="5B9BCDC0" w14:textId="13B7DE2E" w:rsidR="004A7BFD" w:rsidRDefault="004A7BFD" w:rsidP="004A7BFD">
      <w:pPr>
        <w:pStyle w:val="Notedebasdepage"/>
      </w:pPr>
      <w:r>
        <w:rPr>
          <w:rStyle w:val="Appelnotedebasdep"/>
        </w:rPr>
        <w:footnoteRef/>
      </w:r>
      <w:r w:rsidRPr="004A7BFD">
        <w:rPr>
          <w:lang w:val="en-CA"/>
        </w:rPr>
        <w:t xml:space="preserve"> </w:t>
      </w:r>
      <w:r w:rsidRPr="004A7BFD">
        <w:rPr>
          <w:lang w:val="en-CA"/>
        </w:rPr>
        <w:tab/>
      </w:r>
      <w:r w:rsidRPr="008E1B40">
        <w:rPr>
          <w:lang w:val="en-CA"/>
        </w:rPr>
        <w:t xml:space="preserve">Patrice </w:t>
      </w:r>
      <w:proofErr w:type="spellStart"/>
      <w:r w:rsidRPr="008E1B40">
        <w:rPr>
          <w:lang w:val="en-CA"/>
        </w:rPr>
        <w:t>Garant</w:t>
      </w:r>
      <w:proofErr w:type="spellEnd"/>
      <w:r w:rsidRPr="008E1B40">
        <w:rPr>
          <w:lang w:val="en-CA"/>
        </w:rPr>
        <w:t xml:space="preserve">, </w:t>
      </w:r>
      <w:r w:rsidRPr="008E1B40">
        <w:rPr>
          <w:i/>
          <w:iCs/>
          <w:lang w:val="en-CA"/>
        </w:rPr>
        <w:t xml:space="preserve">Droit </w:t>
      </w:r>
      <w:proofErr w:type="spellStart"/>
      <w:r w:rsidRPr="008E1B40">
        <w:rPr>
          <w:i/>
          <w:iCs/>
          <w:lang w:val="en-CA"/>
        </w:rPr>
        <w:t>administratif</w:t>
      </w:r>
      <w:proofErr w:type="spellEnd"/>
      <w:r w:rsidRPr="008E1B40">
        <w:rPr>
          <w:lang w:val="en-CA"/>
        </w:rPr>
        <w:t xml:space="preserve">, 7th ed. (Montreal: Yvon </w:t>
      </w:r>
      <w:proofErr w:type="spellStart"/>
      <w:r w:rsidRPr="008E1B40">
        <w:rPr>
          <w:lang w:val="en-CA"/>
        </w:rPr>
        <w:t>Blais</w:t>
      </w:r>
      <w:proofErr w:type="spellEnd"/>
      <w:r w:rsidRPr="008E1B40">
        <w:rPr>
          <w:lang w:val="en-CA"/>
        </w:rPr>
        <w:t>, 2017) at 270, No. 4.1.1.</w:t>
      </w:r>
      <w:r w:rsidRPr="004A7BFD">
        <w:rPr>
          <w:lang w:val="en-CA"/>
        </w:rPr>
        <w:t xml:space="preserve"> </w:t>
      </w:r>
      <w:r w:rsidR="005B2B86">
        <w:rPr>
          <w:lang w:val="en-CA"/>
        </w:rPr>
        <w:t xml:space="preserve">Cited </w:t>
      </w:r>
      <w:r w:rsidRPr="008E1B40">
        <w:rPr>
          <w:lang w:val="en-CA"/>
        </w:rPr>
        <w:t xml:space="preserve">by the Court of Appeal in </w:t>
      </w:r>
      <w:r w:rsidRPr="008E1B40">
        <w:rPr>
          <w:i/>
          <w:iCs/>
          <w:lang w:val="en-CA"/>
        </w:rPr>
        <w:t xml:space="preserve">Janssen inc. c. </w:t>
      </w:r>
      <w:proofErr w:type="spellStart"/>
      <w:r w:rsidRPr="008E1B40">
        <w:rPr>
          <w:i/>
          <w:iCs/>
          <w:lang w:val="en-CA"/>
        </w:rPr>
        <w:t>Ministre</w:t>
      </w:r>
      <w:proofErr w:type="spellEnd"/>
      <w:r w:rsidRPr="008E1B40">
        <w:rPr>
          <w:i/>
          <w:iCs/>
          <w:lang w:val="en-CA"/>
        </w:rPr>
        <w:t xml:space="preserve"> de la </w:t>
      </w:r>
      <w:proofErr w:type="spellStart"/>
      <w:r w:rsidRPr="008E1B40">
        <w:rPr>
          <w:i/>
          <w:iCs/>
          <w:lang w:val="en-CA"/>
        </w:rPr>
        <w:t>Santé</w:t>
      </w:r>
      <w:proofErr w:type="spellEnd"/>
      <w:r w:rsidRPr="008E1B40">
        <w:rPr>
          <w:i/>
          <w:iCs/>
          <w:lang w:val="en-CA"/>
        </w:rPr>
        <w:t xml:space="preserve"> et des Services </w:t>
      </w:r>
      <w:proofErr w:type="spellStart"/>
      <w:r w:rsidRPr="008E1B40">
        <w:rPr>
          <w:i/>
          <w:iCs/>
          <w:lang w:val="en-CA"/>
        </w:rPr>
        <w:t>sociaux</w:t>
      </w:r>
      <w:proofErr w:type="spellEnd"/>
      <w:r w:rsidRPr="008E1B40">
        <w:rPr>
          <w:lang w:val="en-CA"/>
        </w:rPr>
        <w:t>, 2019 QCCA 39 at para.</w:t>
      </w:r>
      <w:r w:rsidRPr="004A7BFD">
        <w:rPr>
          <w:lang w:val="en-CA"/>
        </w:rPr>
        <w:t> </w:t>
      </w:r>
      <w:r w:rsidRPr="008E1B40">
        <w:t xml:space="preserve">39; </w:t>
      </w:r>
      <w:r w:rsidRPr="008E1B40">
        <w:rPr>
          <w:i/>
          <w:iCs/>
        </w:rPr>
        <w:t>Ruel c. Québec (Éducation)</w:t>
      </w:r>
      <w:r w:rsidRPr="008E1B40">
        <w:t>, [2001] R.J.Q.</w:t>
      </w:r>
      <w:r>
        <w:t xml:space="preserve"> </w:t>
      </w:r>
      <w:r w:rsidRPr="008E1B40">
        <w:t>2590 at para.</w:t>
      </w:r>
      <w:r>
        <w:t xml:space="preserve"> </w:t>
      </w:r>
      <w:r w:rsidRPr="008E1B40">
        <w:t>49 (CA).</w:t>
      </w:r>
    </w:p>
  </w:footnote>
  <w:footnote w:id="21">
    <w:p w14:paraId="2B6D6E0A" w14:textId="5722915C" w:rsidR="004A7BFD" w:rsidRPr="00FD46A9" w:rsidRDefault="004A7BFD" w:rsidP="004A7BFD">
      <w:pPr>
        <w:pStyle w:val="Notedebasdepage"/>
        <w:rPr>
          <w:lang w:val="en-CA"/>
        </w:rPr>
      </w:pPr>
      <w:r>
        <w:rPr>
          <w:rStyle w:val="Appelnotedebasdep"/>
        </w:rPr>
        <w:footnoteRef/>
      </w:r>
      <w:r>
        <w:t xml:space="preserve"> </w:t>
      </w:r>
      <w:r>
        <w:tab/>
      </w:r>
      <w:r w:rsidRPr="008E1B40">
        <w:t xml:space="preserve">Pierre </w:t>
      </w:r>
      <w:proofErr w:type="spellStart"/>
      <w:r w:rsidRPr="008E1B40">
        <w:t>Issalys</w:t>
      </w:r>
      <w:proofErr w:type="spellEnd"/>
      <w:r w:rsidRPr="008E1B40">
        <w:t xml:space="preserve"> </w:t>
      </w:r>
      <w:r w:rsidR="00AB762D" w:rsidRPr="008E1B40">
        <w:t>&amp;</w:t>
      </w:r>
      <w:r w:rsidRPr="008E1B40">
        <w:t xml:space="preserve"> Denis Lemieux, </w:t>
      </w:r>
      <w:r w:rsidRPr="008E1B40">
        <w:rPr>
          <w:i/>
          <w:iCs/>
        </w:rPr>
        <w:t>L'action gouvernementale : précis de droit des institutions administratives</w:t>
      </w:r>
      <w:r w:rsidRPr="008E1B40">
        <w:t xml:space="preserve">, 4th </w:t>
      </w:r>
      <w:proofErr w:type="spellStart"/>
      <w:r w:rsidRPr="008E1B40">
        <w:t>ed</w:t>
      </w:r>
      <w:proofErr w:type="spellEnd"/>
      <w:r w:rsidRPr="008E1B40">
        <w:t xml:space="preserve">. </w:t>
      </w:r>
      <w:r w:rsidRPr="008E1B40">
        <w:rPr>
          <w:lang w:val="en-CA"/>
        </w:rPr>
        <w:t xml:space="preserve">(Montreal: Yvon </w:t>
      </w:r>
      <w:proofErr w:type="spellStart"/>
      <w:r w:rsidRPr="008E1B40">
        <w:rPr>
          <w:lang w:val="en-CA"/>
        </w:rPr>
        <w:t>Blais</w:t>
      </w:r>
      <w:proofErr w:type="spellEnd"/>
      <w:r w:rsidRPr="008E1B40">
        <w:rPr>
          <w:lang w:val="en-CA"/>
        </w:rPr>
        <w:t>, 2020) at 613, No. 7.9.</w:t>
      </w:r>
      <w:r w:rsidRPr="004A7BFD">
        <w:rPr>
          <w:lang w:val="en-CA"/>
        </w:rPr>
        <w:t xml:space="preserve"> See also: </w:t>
      </w:r>
      <w:bookmarkStart w:id="13" w:name="_Hlk152673112"/>
      <w:r w:rsidRPr="004A7BFD">
        <w:rPr>
          <w:lang w:val="en-CA"/>
        </w:rPr>
        <w:t xml:space="preserve">John Mark Keyes, </w:t>
      </w:r>
      <w:r w:rsidRPr="004A7BFD">
        <w:rPr>
          <w:i/>
          <w:iCs/>
          <w:lang w:val="en-CA"/>
        </w:rPr>
        <w:t>Executive legislation</w:t>
      </w:r>
      <w:bookmarkEnd w:id="13"/>
      <w:r w:rsidRPr="004A7BFD">
        <w:rPr>
          <w:lang w:val="en-CA"/>
        </w:rPr>
        <w:t xml:space="preserve">, 3rd ed. </w:t>
      </w:r>
      <w:r>
        <w:rPr>
          <w:lang w:val="en-CA"/>
        </w:rPr>
        <w:t>(</w:t>
      </w:r>
      <w:r w:rsidRPr="00FD46A9">
        <w:rPr>
          <w:lang w:val="en-CA"/>
        </w:rPr>
        <w:t>Toronto</w:t>
      </w:r>
      <w:r>
        <w:rPr>
          <w:lang w:val="en-CA"/>
        </w:rPr>
        <w:t>:</w:t>
      </w:r>
      <w:r w:rsidRPr="00FD46A9">
        <w:rPr>
          <w:lang w:val="en-CA"/>
        </w:rPr>
        <w:t xml:space="preserve"> LexisNexis Canada, 2021</w:t>
      </w:r>
      <w:r>
        <w:rPr>
          <w:lang w:val="en-CA"/>
        </w:rPr>
        <w:t>)</w:t>
      </w:r>
      <w:r w:rsidRPr="00FD46A9">
        <w:rPr>
          <w:lang w:val="en-CA"/>
        </w:rPr>
        <w:t xml:space="preserve"> </w:t>
      </w:r>
      <w:r>
        <w:rPr>
          <w:lang w:val="en-CA"/>
        </w:rPr>
        <w:t>at</w:t>
      </w:r>
      <w:r w:rsidRPr="00FD46A9">
        <w:rPr>
          <w:lang w:val="en-CA"/>
        </w:rPr>
        <w:t> 383.</w:t>
      </w:r>
    </w:p>
  </w:footnote>
  <w:footnote w:id="22">
    <w:p w14:paraId="3FDEE645" w14:textId="13ABB14C" w:rsidR="004A7BFD" w:rsidRPr="00FD46A9" w:rsidRDefault="004A7BFD" w:rsidP="004A7BFD">
      <w:pPr>
        <w:pStyle w:val="Notedebasdepage"/>
        <w:rPr>
          <w:lang w:val="en-CA"/>
        </w:rPr>
      </w:pPr>
      <w:r>
        <w:rPr>
          <w:rStyle w:val="Appelnotedebasdep"/>
        </w:rPr>
        <w:footnoteRef/>
      </w:r>
      <w:r w:rsidRPr="00FD46A9">
        <w:rPr>
          <w:lang w:val="en-CA"/>
        </w:rPr>
        <w:t xml:space="preserve"> </w:t>
      </w:r>
      <w:r w:rsidRPr="00FD46A9">
        <w:rPr>
          <w:lang w:val="en-CA"/>
        </w:rPr>
        <w:tab/>
      </w:r>
      <w:r w:rsidRPr="008E1B40">
        <w:rPr>
          <w:i/>
          <w:iCs/>
          <w:lang w:val="en-CA"/>
        </w:rPr>
        <w:t>Katz</w:t>
      </w:r>
      <w:r w:rsidR="00D76F32">
        <w:rPr>
          <w:i/>
          <w:iCs/>
          <w:lang w:val="en-CA"/>
        </w:rPr>
        <w:t>,</w:t>
      </w:r>
      <w:r w:rsidRPr="008E1B40">
        <w:rPr>
          <w:lang w:val="en-CA"/>
        </w:rPr>
        <w:t xml:space="preserve"> </w:t>
      </w:r>
      <w:r w:rsidRPr="008E1B40">
        <w:rPr>
          <w:i/>
          <w:iCs/>
          <w:lang w:val="en-CA"/>
        </w:rPr>
        <w:t>supra</w:t>
      </w:r>
      <w:r w:rsidRPr="008E1B40">
        <w:rPr>
          <w:lang w:val="en-CA"/>
        </w:rPr>
        <w:t xml:space="preserve"> note</w:t>
      </w:r>
      <w:r w:rsidRPr="00FD46A9">
        <w:rPr>
          <w:lang w:val="en-CA"/>
        </w:rPr>
        <w:t xml:space="preserve"> </w:t>
      </w:r>
      <w:r>
        <w:rPr>
          <w:lang w:val="en-CA"/>
        </w:rPr>
        <w:fldChar w:fldCharType="begin"/>
      </w:r>
      <w:r w:rsidRPr="00FD46A9">
        <w:rPr>
          <w:lang w:val="en-CA"/>
        </w:rPr>
        <w:instrText xml:space="preserve"> NOTEREF _Ref152673264 \h </w:instrText>
      </w:r>
      <w:r>
        <w:rPr>
          <w:lang w:val="en-CA"/>
        </w:rPr>
      </w:r>
      <w:r>
        <w:rPr>
          <w:lang w:val="en-CA"/>
        </w:rPr>
        <w:fldChar w:fldCharType="separate"/>
      </w:r>
      <w:r w:rsidRPr="00FD46A9">
        <w:rPr>
          <w:lang w:val="en-CA"/>
        </w:rPr>
        <w:t>19</w:t>
      </w:r>
      <w:r>
        <w:rPr>
          <w:lang w:val="en-CA"/>
        </w:rPr>
        <w:fldChar w:fldCharType="end"/>
      </w:r>
      <w:r w:rsidRPr="00FD46A9">
        <w:rPr>
          <w:lang w:val="en-CA"/>
        </w:rPr>
        <w:t>.</w:t>
      </w:r>
    </w:p>
  </w:footnote>
  <w:footnote w:id="23">
    <w:p w14:paraId="22D84319" w14:textId="77777777" w:rsidR="004A7BFD" w:rsidRPr="004A7BFD" w:rsidRDefault="004A7BFD" w:rsidP="004A7BFD">
      <w:pPr>
        <w:pStyle w:val="Notedebasdepage"/>
        <w:rPr>
          <w:lang w:val="en-CA"/>
        </w:rPr>
      </w:pPr>
      <w:r>
        <w:rPr>
          <w:rStyle w:val="Appelnotedebasdep"/>
        </w:rPr>
        <w:footnoteRef/>
      </w:r>
      <w:r w:rsidRPr="00FD46A9">
        <w:rPr>
          <w:lang w:val="en-CA"/>
        </w:rPr>
        <w:t xml:space="preserve"> </w:t>
      </w:r>
      <w:r w:rsidRPr="00FD46A9">
        <w:rPr>
          <w:lang w:val="en-CA"/>
        </w:rPr>
        <w:tab/>
      </w:r>
      <w:r w:rsidRPr="008E1B40">
        <w:rPr>
          <w:i/>
          <w:iCs/>
          <w:lang w:val="en-CA"/>
        </w:rPr>
        <w:t>Ibid</w:t>
      </w:r>
      <w:r w:rsidRPr="008E1B40">
        <w:rPr>
          <w:lang w:val="en-CA"/>
        </w:rPr>
        <w:t>. at para.</w:t>
      </w:r>
      <w:r w:rsidRPr="00FD46A9">
        <w:rPr>
          <w:lang w:val="en-CA"/>
        </w:rPr>
        <w:t xml:space="preserve"> </w:t>
      </w:r>
      <w:r w:rsidRPr="004A7BFD">
        <w:rPr>
          <w:lang w:val="en-CA"/>
        </w:rPr>
        <w:t>24.</w:t>
      </w:r>
    </w:p>
  </w:footnote>
  <w:footnote w:id="24">
    <w:p w14:paraId="4F0D72FE" w14:textId="6FC82D7A" w:rsidR="0072362A" w:rsidRPr="003D2FD7" w:rsidRDefault="004A7BFD" w:rsidP="0072362A">
      <w:pPr>
        <w:pStyle w:val="Notedebasdepage"/>
        <w:rPr>
          <w:lang w:val="en-CA"/>
        </w:rPr>
      </w:pPr>
      <w:r>
        <w:rPr>
          <w:rStyle w:val="Appelnotedebasdep"/>
        </w:rPr>
        <w:footnoteRef/>
      </w:r>
      <w:r w:rsidRPr="004A7BFD">
        <w:rPr>
          <w:lang w:val="en-CA"/>
        </w:rPr>
        <w:t xml:space="preserve"> </w:t>
      </w:r>
      <w:r w:rsidRPr="004A7BFD">
        <w:rPr>
          <w:lang w:val="en-CA"/>
        </w:rPr>
        <w:tab/>
      </w:r>
      <w:bookmarkStart w:id="14" w:name="_Hlk150439862"/>
      <w:r w:rsidRPr="008E1B40">
        <w:rPr>
          <w:i/>
          <w:iCs/>
          <w:lang w:val="en-CA"/>
        </w:rPr>
        <w:t>I</w:t>
      </w:r>
      <w:r w:rsidR="00FD46A9" w:rsidRPr="008E1B40">
        <w:rPr>
          <w:i/>
          <w:iCs/>
          <w:lang w:val="en-CA"/>
        </w:rPr>
        <w:t>bi</w:t>
      </w:r>
      <w:r w:rsidRPr="008E1B40">
        <w:rPr>
          <w:i/>
          <w:iCs/>
          <w:lang w:val="en-CA"/>
        </w:rPr>
        <w:t>d.</w:t>
      </w:r>
      <w:bookmarkEnd w:id="14"/>
      <w:r w:rsidRPr="008E1B40">
        <w:rPr>
          <w:lang w:val="en-CA"/>
        </w:rPr>
        <w:t xml:space="preserve"> </w:t>
      </w:r>
      <w:r w:rsidR="00FD46A9" w:rsidRPr="008E1B40">
        <w:rPr>
          <w:lang w:val="en-CA"/>
        </w:rPr>
        <w:t xml:space="preserve">at </w:t>
      </w:r>
      <w:r w:rsidRPr="008E1B40">
        <w:rPr>
          <w:lang w:val="en-CA"/>
        </w:rPr>
        <w:t>para</w:t>
      </w:r>
      <w:r w:rsidR="00FD46A9" w:rsidRPr="008E1B40">
        <w:rPr>
          <w:lang w:val="en-CA"/>
        </w:rPr>
        <w:t>s</w:t>
      </w:r>
      <w:r w:rsidRPr="008E1B40">
        <w:rPr>
          <w:lang w:val="en-CA"/>
        </w:rPr>
        <w:t>.</w:t>
      </w:r>
      <w:r w:rsidRPr="004A7BFD">
        <w:rPr>
          <w:lang w:val="en-CA"/>
        </w:rPr>
        <w:t> </w:t>
      </w:r>
      <w:r w:rsidRPr="003D2FD7">
        <w:rPr>
          <w:lang w:val="en-CA"/>
        </w:rPr>
        <w:t>25</w:t>
      </w:r>
      <w:r w:rsidR="00FD46A9">
        <w:rPr>
          <w:lang w:val="en-CA"/>
        </w:rPr>
        <w:t>–</w:t>
      </w:r>
      <w:r w:rsidRPr="003D2FD7">
        <w:rPr>
          <w:lang w:val="en-CA"/>
        </w:rPr>
        <w:t>28.</w:t>
      </w:r>
    </w:p>
  </w:footnote>
  <w:footnote w:id="25">
    <w:p w14:paraId="520161C0" w14:textId="0E44DE49" w:rsidR="0072362A" w:rsidRPr="00FB2B51" w:rsidRDefault="004A7BFD" w:rsidP="0072362A">
      <w:pPr>
        <w:pStyle w:val="Notedebasdepage"/>
        <w:rPr>
          <w:lang w:val="en-CA"/>
        </w:rPr>
      </w:pPr>
      <w:r>
        <w:rPr>
          <w:rStyle w:val="Appelnotedebasdep"/>
        </w:rPr>
        <w:footnoteRef/>
      </w:r>
      <w:r w:rsidRPr="00FB2B51">
        <w:rPr>
          <w:lang w:val="en-CA"/>
        </w:rPr>
        <w:t xml:space="preserve"> </w:t>
      </w:r>
      <w:r w:rsidRPr="00FB2B51">
        <w:rPr>
          <w:lang w:val="en-CA"/>
        </w:rPr>
        <w:tab/>
      </w:r>
      <w:r w:rsidRPr="008E1B40">
        <w:rPr>
          <w:i/>
          <w:iCs/>
          <w:lang w:val="en-CA"/>
        </w:rPr>
        <w:t>Vavilov</w:t>
      </w:r>
      <w:r w:rsidRPr="008E1B40">
        <w:rPr>
          <w:lang w:val="en-CA"/>
        </w:rPr>
        <w:t xml:space="preserve">, </w:t>
      </w:r>
      <w:r w:rsidRPr="008E1B40">
        <w:rPr>
          <w:i/>
          <w:iCs/>
          <w:lang w:val="en-CA"/>
        </w:rPr>
        <w:t>supra</w:t>
      </w:r>
      <w:r w:rsidRPr="008E1B40">
        <w:rPr>
          <w:lang w:val="en-CA"/>
        </w:rPr>
        <w:t xml:space="preserve"> note</w:t>
      </w:r>
      <w:r w:rsidRPr="00FB2B51">
        <w:rPr>
          <w:lang w:val="en-CA"/>
        </w:rPr>
        <w:t xml:space="preserve"> </w:t>
      </w:r>
      <w:r>
        <w:rPr>
          <w:lang w:val="en-CA"/>
        </w:rPr>
        <w:fldChar w:fldCharType="begin"/>
      </w:r>
      <w:r>
        <w:rPr>
          <w:lang w:val="en-CA"/>
        </w:rPr>
        <w:instrText xml:space="preserve"> NOTEREF _Ref152674663 \h </w:instrText>
      </w:r>
      <w:r>
        <w:rPr>
          <w:lang w:val="en-CA"/>
        </w:rPr>
      </w:r>
      <w:r>
        <w:rPr>
          <w:lang w:val="en-CA"/>
        </w:rPr>
        <w:fldChar w:fldCharType="separate"/>
      </w:r>
      <w:r w:rsidR="009B260D">
        <w:rPr>
          <w:lang w:val="en-CA"/>
        </w:rPr>
        <w:t>17</w:t>
      </w:r>
      <w:r>
        <w:rPr>
          <w:lang w:val="en-CA"/>
        </w:rPr>
        <w:fldChar w:fldCharType="end"/>
      </w:r>
      <w:r w:rsidRPr="008E1B40">
        <w:rPr>
          <w:lang w:val="en-CA"/>
        </w:rPr>
        <w:t xml:space="preserve"> </w:t>
      </w:r>
      <w:r w:rsidR="00FD46A9" w:rsidRPr="008E1B40">
        <w:rPr>
          <w:lang w:val="en-CA"/>
        </w:rPr>
        <w:t xml:space="preserve">at </w:t>
      </w:r>
      <w:r w:rsidRPr="008E1B40">
        <w:rPr>
          <w:lang w:val="en-CA"/>
        </w:rPr>
        <w:t>para.</w:t>
      </w:r>
      <w:r w:rsidRPr="00FB2B51">
        <w:rPr>
          <w:lang w:val="en-CA"/>
        </w:rPr>
        <w:t xml:space="preserve"> 111.</w:t>
      </w:r>
    </w:p>
  </w:footnote>
  <w:footnote w:id="26">
    <w:p w14:paraId="1A0FEDAD" w14:textId="49BA917E" w:rsidR="0072362A" w:rsidRPr="00BC104D" w:rsidRDefault="004A7BFD" w:rsidP="0072362A">
      <w:pPr>
        <w:pStyle w:val="Notedebasdepage"/>
      </w:pPr>
      <w:r>
        <w:rPr>
          <w:rStyle w:val="Appelnotedebasdep"/>
        </w:rPr>
        <w:footnoteRef/>
      </w:r>
      <w:r w:rsidRPr="00FE47FA">
        <w:rPr>
          <w:lang w:val="en-CA"/>
        </w:rPr>
        <w:t xml:space="preserve"> </w:t>
      </w:r>
      <w:r w:rsidRPr="00FE47FA">
        <w:rPr>
          <w:lang w:val="en-CA"/>
        </w:rPr>
        <w:tab/>
      </w:r>
      <w:r w:rsidRPr="008E1B40">
        <w:rPr>
          <w:i/>
          <w:iCs/>
          <w:lang w:val="en-CA"/>
        </w:rPr>
        <w:t xml:space="preserve">Bell ExpressVu Limited Partnership </w:t>
      </w:r>
      <w:r w:rsidR="00FD46A9" w:rsidRPr="008E1B40">
        <w:rPr>
          <w:i/>
          <w:iCs/>
          <w:lang w:val="en-CA"/>
        </w:rPr>
        <w:t>v</w:t>
      </w:r>
      <w:r w:rsidRPr="008E1B40">
        <w:rPr>
          <w:i/>
          <w:iCs/>
          <w:lang w:val="en-CA"/>
        </w:rPr>
        <w:t>. Rex</w:t>
      </w:r>
      <w:r w:rsidRPr="008E1B40">
        <w:rPr>
          <w:lang w:val="en-CA"/>
        </w:rPr>
        <w:t>, 2002 S</w:t>
      </w:r>
      <w:r w:rsidR="00FD46A9" w:rsidRPr="008E1B40">
        <w:rPr>
          <w:lang w:val="en-CA"/>
        </w:rPr>
        <w:t>C</w:t>
      </w:r>
      <w:r w:rsidRPr="008E1B40">
        <w:rPr>
          <w:lang w:val="en-CA"/>
        </w:rPr>
        <w:t xml:space="preserve">C 42 </w:t>
      </w:r>
      <w:r w:rsidR="00FD46A9" w:rsidRPr="008E1B40">
        <w:rPr>
          <w:lang w:val="en-CA"/>
        </w:rPr>
        <w:t xml:space="preserve">at </w:t>
      </w:r>
      <w:r w:rsidRPr="008E1B40">
        <w:rPr>
          <w:lang w:val="en-CA"/>
        </w:rPr>
        <w:t>para</w:t>
      </w:r>
      <w:r w:rsidR="00FD46A9" w:rsidRPr="008E1B40">
        <w:rPr>
          <w:lang w:val="en-CA"/>
        </w:rPr>
        <w:t>s</w:t>
      </w:r>
      <w:r w:rsidRPr="008E1B40">
        <w:rPr>
          <w:lang w:val="en-CA"/>
        </w:rPr>
        <w:t>.</w:t>
      </w:r>
      <w:r>
        <w:rPr>
          <w:lang w:val="en-CA"/>
        </w:rPr>
        <w:t xml:space="preserve"> 26</w:t>
      </w:r>
      <w:r w:rsidR="00FD46A9">
        <w:rPr>
          <w:lang w:val="en-CA"/>
        </w:rPr>
        <w:t>–</w:t>
      </w:r>
      <w:r>
        <w:rPr>
          <w:lang w:val="en-CA"/>
        </w:rPr>
        <w:t>27 [</w:t>
      </w:r>
      <w:r w:rsidRPr="00FE47FA">
        <w:rPr>
          <w:i/>
          <w:iCs/>
          <w:lang w:val="en-CA"/>
        </w:rPr>
        <w:t>Bell ExpressVu</w:t>
      </w:r>
      <w:r w:rsidRPr="00DF4994">
        <w:rPr>
          <w:lang w:val="en-CA"/>
        </w:rPr>
        <w:t>], cit</w:t>
      </w:r>
      <w:r w:rsidR="00FD46A9">
        <w:rPr>
          <w:lang w:val="en-CA"/>
        </w:rPr>
        <w:t>ing</w:t>
      </w:r>
      <w:r w:rsidRPr="00DF4994">
        <w:rPr>
          <w:lang w:val="en-CA"/>
        </w:rPr>
        <w:t xml:space="preserve"> Elmer A. </w:t>
      </w:r>
      <w:proofErr w:type="spellStart"/>
      <w:r w:rsidRPr="00DF4994">
        <w:rPr>
          <w:lang w:val="en-CA"/>
        </w:rPr>
        <w:t>Driedger</w:t>
      </w:r>
      <w:proofErr w:type="spellEnd"/>
      <w:r w:rsidRPr="00DF4994">
        <w:rPr>
          <w:lang w:val="en-CA"/>
        </w:rPr>
        <w:t xml:space="preserve">, </w:t>
      </w:r>
      <w:r w:rsidRPr="00DF4994">
        <w:rPr>
          <w:i/>
          <w:iCs/>
          <w:lang w:val="en-CA"/>
        </w:rPr>
        <w:t>Construction of Statutes</w:t>
      </w:r>
      <w:r w:rsidRPr="00DF4994">
        <w:rPr>
          <w:lang w:val="en-CA"/>
        </w:rPr>
        <w:t>, 2</w:t>
      </w:r>
      <w:r w:rsidR="00FD46A9">
        <w:rPr>
          <w:lang w:val="en-CA"/>
        </w:rPr>
        <w:t>nd</w:t>
      </w:r>
      <w:r>
        <w:rPr>
          <w:lang w:val="en-CA"/>
        </w:rPr>
        <w:t xml:space="preserve"> </w:t>
      </w:r>
      <w:r w:rsidR="00FD46A9">
        <w:rPr>
          <w:lang w:val="en-CA"/>
        </w:rPr>
        <w:t>e</w:t>
      </w:r>
      <w:r>
        <w:rPr>
          <w:lang w:val="en-CA"/>
        </w:rPr>
        <w:t xml:space="preserve">d. </w:t>
      </w:r>
      <w:r w:rsidR="00FD46A9">
        <w:rPr>
          <w:lang w:val="en-CA"/>
        </w:rPr>
        <w:t>(</w:t>
      </w:r>
      <w:r>
        <w:rPr>
          <w:lang w:val="en-CA"/>
        </w:rPr>
        <w:t>Toronto</w:t>
      </w:r>
      <w:r w:rsidR="00FD46A9">
        <w:rPr>
          <w:lang w:val="en-CA"/>
        </w:rPr>
        <w:t>:</w:t>
      </w:r>
      <w:r>
        <w:rPr>
          <w:lang w:val="en-CA"/>
        </w:rPr>
        <w:t xml:space="preserve"> Butterworths, 1983</w:t>
      </w:r>
      <w:r w:rsidR="00FD46A9">
        <w:rPr>
          <w:lang w:val="en-CA"/>
        </w:rPr>
        <w:t>)</w:t>
      </w:r>
      <w:r>
        <w:rPr>
          <w:lang w:val="en-CA"/>
        </w:rPr>
        <w:t xml:space="preserve"> </w:t>
      </w:r>
      <w:r w:rsidR="00FD46A9">
        <w:rPr>
          <w:lang w:val="en-CA"/>
        </w:rPr>
        <w:t>at</w:t>
      </w:r>
      <w:r>
        <w:rPr>
          <w:lang w:val="en-CA"/>
        </w:rPr>
        <w:t xml:space="preserve"> 87, </w:t>
      </w:r>
      <w:r w:rsidR="00FD46A9">
        <w:rPr>
          <w:lang w:val="en-CA"/>
        </w:rPr>
        <w:t>reproduced</w:t>
      </w:r>
      <w:r>
        <w:rPr>
          <w:lang w:val="en-CA"/>
        </w:rPr>
        <w:t xml:space="preserve"> </w:t>
      </w:r>
      <w:r w:rsidR="00FD46A9">
        <w:rPr>
          <w:lang w:val="en-CA"/>
        </w:rPr>
        <w:t>i</w:t>
      </w:r>
      <w:r>
        <w:rPr>
          <w:lang w:val="en-CA"/>
        </w:rPr>
        <w:t xml:space="preserve">n Ruth Sullivan, </w:t>
      </w:r>
      <w:r w:rsidRPr="00DF4994">
        <w:rPr>
          <w:i/>
          <w:iCs/>
          <w:lang w:val="en-CA"/>
        </w:rPr>
        <w:t>The Construction of Statutes</w:t>
      </w:r>
      <w:r>
        <w:rPr>
          <w:lang w:val="en-CA"/>
        </w:rPr>
        <w:t>, 7</w:t>
      </w:r>
      <w:r w:rsidR="00FD46A9">
        <w:rPr>
          <w:lang w:val="en-CA"/>
        </w:rPr>
        <w:t>th</w:t>
      </w:r>
      <w:r>
        <w:rPr>
          <w:lang w:val="en-CA"/>
        </w:rPr>
        <w:t xml:space="preserve"> </w:t>
      </w:r>
      <w:r w:rsidR="00FD46A9">
        <w:rPr>
          <w:lang w:val="en-CA"/>
        </w:rPr>
        <w:t>e</w:t>
      </w:r>
      <w:r>
        <w:rPr>
          <w:lang w:val="en-CA"/>
        </w:rPr>
        <w:t xml:space="preserve">d. </w:t>
      </w:r>
      <w:r w:rsidR="00FD46A9" w:rsidRPr="00BC104D">
        <w:t>(</w:t>
      </w:r>
      <w:r w:rsidRPr="00BC104D">
        <w:t>Toronto</w:t>
      </w:r>
      <w:r w:rsidR="00FD46A9" w:rsidRPr="00BC104D">
        <w:t>:</w:t>
      </w:r>
      <w:r w:rsidRPr="00BC104D">
        <w:t xml:space="preserve"> Lexis Nexis Canada</w:t>
      </w:r>
      <w:r w:rsidR="00FD46A9" w:rsidRPr="00BC104D">
        <w:t>,</w:t>
      </w:r>
      <w:r w:rsidRPr="00BC104D">
        <w:t xml:space="preserve"> 2022</w:t>
      </w:r>
      <w:r w:rsidR="00FD46A9" w:rsidRPr="00BC104D">
        <w:t>)</w:t>
      </w:r>
      <w:r w:rsidRPr="00BC104D">
        <w:t xml:space="preserve"> </w:t>
      </w:r>
      <w:r w:rsidR="00FD46A9" w:rsidRPr="00BC104D">
        <w:t>at</w:t>
      </w:r>
      <w:r w:rsidRPr="00BC104D">
        <w:t xml:space="preserve"> 7, </w:t>
      </w:r>
      <w:r w:rsidR="00FD46A9" w:rsidRPr="00BC104D">
        <w:t>No.</w:t>
      </w:r>
      <w:r w:rsidRPr="00BC104D">
        <w:rPr>
          <w:vertAlign w:val="superscript"/>
        </w:rPr>
        <w:t xml:space="preserve"> </w:t>
      </w:r>
      <w:r w:rsidRPr="00BC104D">
        <w:t>2.01.</w:t>
      </w:r>
    </w:p>
  </w:footnote>
  <w:footnote w:id="27">
    <w:p w14:paraId="701DC10A" w14:textId="39D8F3B9" w:rsidR="0072362A" w:rsidRPr="00BC104D" w:rsidRDefault="004A7BFD" w:rsidP="0072362A">
      <w:pPr>
        <w:pStyle w:val="Notedebasdepage"/>
        <w:rPr>
          <w:lang w:val="en-CA"/>
        </w:rPr>
      </w:pPr>
      <w:r>
        <w:rPr>
          <w:rStyle w:val="Appelnotedebasdep"/>
        </w:rPr>
        <w:footnoteRef/>
      </w:r>
      <w:r>
        <w:t xml:space="preserve"> </w:t>
      </w:r>
      <w:r>
        <w:tab/>
      </w:r>
      <w:r w:rsidRPr="008E1B40">
        <w:t xml:space="preserve">Pierre-André Côté </w:t>
      </w:r>
      <w:r w:rsidR="00FD46A9" w:rsidRPr="008E1B40">
        <w:t>&amp;</w:t>
      </w:r>
      <w:r w:rsidRPr="008E1B40">
        <w:t xml:space="preserve"> Mathieu </w:t>
      </w:r>
      <w:proofErr w:type="spellStart"/>
      <w:r w:rsidRPr="008E1B40">
        <w:t>Devinat</w:t>
      </w:r>
      <w:proofErr w:type="spellEnd"/>
      <w:r w:rsidRPr="008E1B40">
        <w:t xml:space="preserve">, </w:t>
      </w:r>
      <w:r w:rsidRPr="008E1B40">
        <w:rPr>
          <w:i/>
          <w:iCs/>
        </w:rPr>
        <w:t>Interprétation des lois</w:t>
      </w:r>
      <w:r w:rsidRPr="008E1B40">
        <w:t>, 5</w:t>
      </w:r>
      <w:r w:rsidR="00FD46A9" w:rsidRPr="008E1B40">
        <w:t>th</w:t>
      </w:r>
      <w:r w:rsidRPr="008E1B40">
        <w:t xml:space="preserve"> </w:t>
      </w:r>
      <w:proofErr w:type="spellStart"/>
      <w:r w:rsidR="00FD46A9" w:rsidRPr="008E1B40">
        <w:t>e</w:t>
      </w:r>
      <w:r w:rsidRPr="008E1B40">
        <w:t>d</w:t>
      </w:r>
      <w:proofErr w:type="spellEnd"/>
      <w:r w:rsidRPr="008E1B40">
        <w:t>.</w:t>
      </w:r>
      <w:r>
        <w:t xml:space="preserve"> </w:t>
      </w:r>
      <w:r w:rsidR="00FD46A9" w:rsidRPr="00BC104D">
        <w:rPr>
          <w:lang w:val="en-CA"/>
        </w:rPr>
        <w:t>(</w:t>
      </w:r>
      <w:r w:rsidRPr="008E1B40">
        <w:rPr>
          <w:lang w:val="en-CA"/>
        </w:rPr>
        <w:t>Montr</w:t>
      </w:r>
      <w:r w:rsidR="00FD46A9" w:rsidRPr="008E1B40">
        <w:rPr>
          <w:lang w:val="en-CA"/>
        </w:rPr>
        <w:t>e</w:t>
      </w:r>
      <w:r w:rsidRPr="008E1B40">
        <w:rPr>
          <w:lang w:val="en-CA"/>
        </w:rPr>
        <w:t xml:space="preserve">al, </w:t>
      </w:r>
      <w:proofErr w:type="spellStart"/>
      <w:r w:rsidRPr="008E1B40">
        <w:rPr>
          <w:lang w:val="en-CA"/>
        </w:rPr>
        <w:t>Thémis</w:t>
      </w:r>
      <w:proofErr w:type="spellEnd"/>
      <w:r w:rsidRPr="008E1B40">
        <w:rPr>
          <w:lang w:val="en-CA"/>
        </w:rPr>
        <w:t>, 2021</w:t>
      </w:r>
      <w:r w:rsidR="00FD46A9" w:rsidRPr="008E1B40">
        <w:rPr>
          <w:lang w:val="en-CA"/>
        </w:rPr>
        <w:t>)</w:t>
      </w:r>
      <w:r w:rsidRPr="008E1B40">
        <w:rPr>
          <w:lang w:val="en-CA"/>
        </w:rPr>
        <w:t xml:space="preserve"> </w:t>
      </w:r>
      <w:r w:rsidR="00FD46A9" w:rsidRPr="008E1B40">
        <w:rPr>
          <w:lang w:val="en-CA"/>
        </w:rPr>
        <w:t>at</w:t>
      </w:r>
      <w:r w:rsidRPr="008E1B40">
        <w:rPr>
          <w:lang w:val="en-CA"/>
        </w:rPr>
        <w:t xml:space="preserve"> 318, </w:t>
      </w:r>
      <w:r w:rsidR="00FD46A9" w:rsidRPr="008E1B40">
        <w:rPr>
          <w:lang w:val="en-CA"/>
        </w:rPr>
        <w:t>No.</w:t>
      </w:r>
      <w:r w:rsidRPr="008E1B40">
        <w:rPr>
          <w:vertAlign w:val="superscript"/>
          <w:lang w:val="en-CA"/>
        </w:rPr>
        <w:t xml:space="preserve"> </w:t>
      </w:r>
      <w:r w:rsidRPr="008E1B40">
        <w:rPr>
          <w:lang w:val="en-CA"/>
        </w:rPr>
        <w:t>1014.</w:t>
      </w:r>
    </w:p>
  </w:footnote>
  <w:footnote w:id="28">
    <w:p w14:paraId="40838981" w14:textId="0D1C4AC2" w:rsidR="0072362A" w:rsidRPr="00BC104D" w:rsidRDefault="004A7BFD" w:rsidP="0072362A">
      <w:pPr>
        <w:pStyle w:val="Notedebasdepage"/>
        <w:rPr>
          <w:lang w:val="en-CA"/>
        </w:rPr>
      </w:pPr>
      <w:r>
        <w:rPr>
          <w:rStyle w:val="Appelnotedebasdep"/>
        </w:rPr>
        <w:footnoteRef/>
      </w:r>
      <w:r w:rsidRPr="00FD46A9">
        <w:rPr>
          <w:lang w:val="en-CA"/>
        </w:rPr>
        <w:t xml:space="preserve"> </w:t>
      </w:r>
      <w:r w:rsidRPr="00FD46A9">
        <w:rPr>
          <w:lang w:val="en-CA"/>
        </w:rPr>
        <w:tab/>
      </w:r>
      <w:r w:rsidRPr="008E1B40">
        <w:rPr>
          <w:i/>
          <w:iCs/>
          <w:lang w:val="en-CA"/>
        </w:rPr>
        <w:t>Katz</w:t>
      </w:r>
      <w:r w:rsidRPr="008E1B40">
        <w:rPr>
          <w:lang w:val="en-CA"/>
        </w:rPr>
        <w:t xml:space="preserve">, </w:t>
      </w:r>
      <w:r w:rsidRPr="008E1B40">
        <w:rPr>
          <w:i/>
          <w:iCs/>
          <w:lang w:val="en-CA"/>
        </w:rPr>
        <w:t>supra</w:t>
      </w:r>
      <w:r w:rsidRPr="008E1B40">
        <w:rPr>
          <w:lang w:val="en-CA"/>
        </w:rPr>
        <w:t xml:space="preserve"> note</w:t>
      </w:r>
      <w:r w:rsidRPr="00FD46A9">
        <w:rPr>
          <w:lang w:val="en-CA"/>
        </w:rPr>
        <w:t xml:space="preserve"> </w:t>
      </w:r>
      <w:r>
        <w:fldChar w:fldCharType="begin"/>
      </w:r>
      <w:r w:rsidRPr="00FD46A9">
        <w:rPr>
          <w:lang w:val="en-CA"/>
        </w:rPr>
        <w:instrText xml:space="preserve"> NOTEREF _Ref152673264 \h </w:instrText>
      </w:r>
      <w:r>
        <w:fldChar w:fldCharType="separate"/>
      </w:r>
      <w:r w:rsidR="009B260D" w:rsidRPr="00FD46A9">
        <w:rPr>
          <w:lang w:val="en-CA"/>
        </w:rPr>
        <w:t>19</w:t>
      </w:r>
      <w:r>
        <w:fldChar w:fldCharType="end"/>
      </w:r>
      <w:r w:rsidRPr="008E1B40">
        <w:rPr>
          <w:lang w:val="en-CA"/>
        </w:rPr>
        <w:t xml:space="preserve"> </w:t>
      </w:r>
      <w:r w:rsidR="00FD46A9" w:rsidRPr="008E1B40">
        <w:rPr>
          <w:lang w:val="en-CA"/>
        </w:rPr>
        <w:t xml:space="preserve">at </w:t>
      </w:r>
      <w:r w:rsidRPr="008E1B40">
        <w:rPr>
          <w:lang w:val="en-CA"/>
        </w:rPr>
        <w:t>para.</w:t>
      </w:r>
      <w:r w:rsidRPr="00FD46A9">
        <w:rPr>
          <w:lang w:val="en-CA"/>
        </w:rPr>
        <w:t xml:space="preserve"> </w:t>
      </w:r>
      <w:r w:rsidRPr="00BC104D">
        <w:rPr>
          <w:lang w:val="en-CA"/>
        </w:rPr>
        <w:t>26.</w:t>
      </w:r>
    </w:p>
  </w:footnote>
  <w:footnote w:id="29">
    <w:p w14:paraId="113EF0DC" w14:textId="32D94438" w:rsidR="0072362A" w:rsidRPr="00FD46A9" w:rsidRDefault="004A7BFD" w:rsidP="0072362A">
      <w:pPr>
        <w:pStyle w:val="Notedebasdepage"/>
        <w:rPr>
          <w:lang w:val="en-CA"/>
        </w:rPr>
      </w:pPr>
      <w:r>
        <w:rPr>
          <w:rStyle w:val="Appelnotedebasdep"/>
        </w:rPr>
        <w:footnoteRef/>
      </w:r>
      <w:r w:rsidRPr="00FD46A9">
        <w:rPr>
          <w:lang w:val="en-CA"/>
        </w:rPr>
        <w:t xml:space="preserve"> </w:t>
      </w:r>
      <w:r w:rsidRPr="00FD46A9">
        <w:rPr>
          <w:lang w:val="en-CA"/>
        </w:rPr>
        <w:tab/>
      </w:r>
      <w:r w:rsidRPr="008E1B40">
        <w:rPr>
          <w:lang w:val="en-CA"/>
        </w:rPr>
        <w:t xml:space="preserve">P. </w:t>
      </w:r>
      <w:proofErr w:type="spellStart"/>
      <w:r w:rsidRPr="008E1B40">
        <w:rPr>
          <w:lang w:val="en-CA"/>
        </w:rPr>
        <w:t>Issalys</w:t>
      </w:r>
      <w:proofErr w:type="spellEnd"/>
      <w:r w:rsidRPr="008E1B40">
        <w:rPr>
          <w:lang w:val="en-CA"/>
        </w:rPr>
        <w:t xml:space="preserve"> </w:t>
      </w:r>
      <w:r w:rsidR="00FD46A9" w:rsidRPr="008E1B40">
        <w:rPr>
          <w:lang w:val="en-CA"/>
        </w:rPr>
        <w:t>&amp;</w:t>
      </w:r>
      <w:r w:rsidRPr="008E1B40">
        <w:rPr>
          <w:lang w:val="en-CA"/>
        </w:rPr>
        <w:t xml:space="preserve"> D. Lemieux, </w:t>
      </w:r>
      <w:r w:rsidRPr="008E1B40">
        <w:rPr>
          <w:i/>
          <w:iCs/>
          <w:lang w:val="en-CA"/>
        </w:rPr>
        <w:t>supra</w:t>
      </w:r>
      <w:r w:rsidRPr="008E1B40">
        <w:rPr>
          <w:lang w:val="en-CA"/>
        </w:rPr>
        <w:t xml:space="preserve"> note</w:t>
      </w:r>
      <w:r w:rsidRPr="00FD46A9">
        <w:rPr>
          <w:lang w:val="en-CA"/>
        </w:rPr>
        <w:t xml:space="preserve"> </w:t>
      </w:r>
      <w:r>
        <w:fldChar w:fldCharType="begin"/>
      </w:r>
      <w:r w:rsidRPr="00FD46A9">
        <w:rPr>
          <w:lang w:val="en-CA"/>
        </w:rPr>
        <w:instrText xml:space="preserve"> NOTEREF _Ref152678113 \h </w:instrText>
      </w:r>
      <w:r>
        <w:fldChar w:fldCharType="separate"/>
      </w:r>
      <w:r w:rsidR="009B260D" w:rsidRPr="00FD46A9">
        <w:rPr>
          <w:lang w:val="en-CA"/>
        </w:rPr>
        <w:t>21</w:t>
      </w:r>
      <w:r>
        <w:fldChar w:fldCharType="end"/>
      </w:r>
      <w:r w:rsidRPr="008E1B40">
        <w:rPr>
          <w:lang w:val="en-CA"/>
        </w:rPr>
        <w:t xml:space="preserve"> </w:t>
      </w:r>
      <w:r w:rsidR="00FD46A9" w:rsidRPr="008E1B40">
        <w:rPr>
          <w:lang w:val="en-CA"/>
        </w:rPr>
        <w:t>at</w:t>
      </w:r>
      <w:r w:rsidRPr="008E1B40">
        <w:rPr>
          <w:lang w:val="en-CA"/>
        </w:rPr>
        <w:t xml:space="preserve"> 622</w:t>
      </w:r>
      <w:r w:rsidR="00FD46A9" w:rsidRPr="008E1B40">
        <w:rPr>
          <w:lang w:val="en-CA"/>
        </w:rPr>
        <w:t>–</w:t>
      </w:r>
      <w:r w:rsidRPr="008E1B40">
        <w:rPr>
          <w:lang w:val="en-CA"/>
        </w:rPr>
        <w:t xml:space="preserve">624; </w:t>
      </w:r>
      <w:r w:rsidR="00FD46A9" w:rsidRPr="008E1B40">
        <w:rPr>
          <w:lang w:val="en-CA"/>
        </w:rPr>
        <w:t>See also</w:t>
      </w:r>
      <w:r w:rsidRPr="008E1B40">
        <w:rPr>
          <w:lang w:val="en-CA"/>
        </w:rPr>
        <w:t xml:space="preserve">: J. M. Keyes, </w:t>
      </w:r>
      <w:r w:rsidRPr="008E1B40">
        <w:rPr>
          <w:i/>
          <w:iCs/>
          <w:lang w:val="en-CA"/>
        </w:rPr>
        <w:t>supra</w:t>
      </w:r>
      <w:r w:rsidRPr="008E1B40">
        <w:rPr>
          <w:lang w:val="en-CA"/>
        </w:rPr>
        <w:t xml:space="preserve"> note</w:t>
      </w:r>
      <w:r w:rsidRPr="00FD46A9">
        <w:rPr>
          <w:lang w:val="en-CA"/>
        </w:rPr>
        <w:t xml:space="preserve"> </w:t>
      </w:r>
      <w:r>
        <w:fldChar w:fldCharType="begin"/>
      </w:r>
      <w:r w:rsidRPr="00FD46A9">
        <w:rPr>
          <w:lang w:val="en-CA"/>
        </w:rPr>
        <w:instrText xml:space="preserve"> NOTEREF _Ref152678113 \h </w:instrText>
      </w:r>
      <w:r>
        <w:fldChar w:fldCharType="separate"/>
      </w:r>
      <w:r w:rsidR="009B260D" w:rsidRPr="00FD46A9">
        <w:rPr>
          <w:lang w:val="en-CA"/>
        </w:rPr>
        <w:t>21</w:t>
      </w:r>
      <w:r>
        <w:fldChar w:fldCharType="end"/>
      </w:r>
      <w:r w:rsidRPr="008E1B40">
        <w:rPr>
          <w:lang w:val="en-CA"/>
        </w:rPr>
        <w:t xml:space="preserve"> </w:t>
      </w:r>
      <w:r w:rsidR="00FD46A9" w:rsidRPr="008E1B40">
        <w:rPr>
          <w:lang w:val="en-CA"/>
        </w:rPr>
        <w:t>at</w:t>
      </w:r>
      <w:r w:rsidRPr="008E1B40">
        <w:rPr>
          <w:lang w:val="en-CA"/>
        </w:rPr>
        <w:t> 358</w:t>
      </w:r>
      <w:r w:rsidR="00FD46A9" w:rsidRPr="008E1B40">
        <w:rPr>
          <w:lang w:val="en-CA"/>
        </w:rPr>
        <w:t>–</w:t>
      </w:r>
      <w:r w:rsidRPr="008E1B40">
        <w:rPr>
          <w:lang w:val="en-CA"/>
        </w:rPr>
        <w:t>359.</w:t>
      </w:r>
    </w:p>
  </w:footnote>
  <w:footnote w:id="30">
    <w:p w14:paraId="706454A7" w14:textId="77777777" w:rsidR="00FE061B" w:rsidRPr="00BC104D" w:rsidRDefault="00FE061B" w:rsidP="00FE061B">
      <w:pPr>
        <w:pStyle w:val="Notedebasdepage"/>
        <w:rPr>
          <w:lang w:val="en-CA"/>
        </w:rPr>
      </w:pPr>
      <w:r>
        <w:rPr>
          <w:rStyle w:val="Appelnotedebasdep"/>
        </w:rPr>
        <w:footnoteRef/>
      </w:r>
      <w:r w:rsidRPr="00BC104D">
        <w:rPr>
          <w:lang w:val="en-CA"/>
        </w:rPr>
        <w:t xml:space="preserve"> </w:t>
      </w:r>
      <w:r w:rsidRPr="00BC104D">
        <w:rPr>
          <w:lang w:val="en-CA"/>
        </w:rPr>
        <w:tab/>
      </w:r>
      <w:r w:rsidRPr="008E1B40">
        <w:rPr>
          <w:i/>
          <w:iCs/>
          <w:lang w:val="en-CA"/>
        </w:rPr>
        <w:t>Bell ExpressVu</w:t>
      </w:r>
      <w:r w:rsidRPr="008E1B40">
        <w:rPr>
          <w:lang w:val="en-CA"/>
        </w:rPr>
        <w:t xml:space="preserve">, </w:t>
      </w:r>
      <w:r w:rsidRPr="008E1B40">
        <w:rPr>
          <w:i/>
          <w:iCs/>
          <w:lang w:val="en-CA"/>
        </w:rPr>
        <w:t>supra</w:t>
      </w:r>
      <w:r w:rsidRPr="008E1B40">
        <w:rPr>
          <w:lang w:val="en-CA"/>
        </w:rPr>
        <w:t xml:space="preserve"> note</w:t>
      </w:r>
      <w:r w:rsidRPr="00BC104D">
        <w:rPr>
          <w:lang w:val="en-CA"/>
        </w:rPr>
        <w:t xml:space="preserve"> </w:t>
      </w:r>
      <w:r>
        <w:fldChar w:fldCharType="begin"/>
      </w:r>
      <w:r w:rsidRPr="00BC104D">
        <w:rPr>
          <w:lang w:val="en-CA"/>
        </w:rPr>
        <w:instrText xml:space="preserve"> NOTEREF _Ref152676933 \h </w:instrText>
      </w:r>
      <w:r>
        <w:fldChar w:fldCharType="separate"/>
      </w:r>
      <w:r w:rsidRPr="00BC104D">
        <w:rPr>
          <w:lang w:val="en-CA"/>
        </w:rPr>
        <w:t>26</w:t>
      </w:r>
      <w:r>
        <w:fldChar w:fldCharType="end"/>
      </w:r>
      <w:r w:rsidRPr="008E1B40">
        <w:rPr>
          <w:lang w:val="en-CA"/>
        </w:rPr>
        <w:t xml:space="preserve"> at paras.</w:t>
      </w:r>
      <w:r w:rsidRPr="00BC104D">
        <w:rPr>
          <w:lang w:val="en-CA"/>
        </w:rPr>
        <w:t xml:space="preserve"> 26–27.</w:t>
      </w:r>
    </w:p>
  </w:footnote>
  <w:footnote w:id="31">
    <w:p w14:paraId="5306115B" w14:textId="3C46F8B8" w:rsidR="0072362A" w:rsidRPr="00FD46A9" w:rsidRDefault="004A7BFD" w:rsidP="0072362A">
      <w:pPr>
        <w:pStyle w:val="Notedebasdepage"/>
        <w:rPr>
          <w:lang w:val="en-CA"/>
        </w:rPr>
      </w:pPr>
      <w:r>
        <w:rPr>
          <w:rStyle w:val="Appelnotedebasdep"/>
        </w:rPr>
        <w:footnoteRef/>
      </w:r>
      <w:r w:rsidRPr="00FD46A9">
        <w:rPr>
          <w:lang w:val="en-CA"/>
        </w:rPr>
        <w:t xml:space="preserve"> </w:t>
      </w:r>
      <w:r w:rsidRPr="00FD46A9">
        <w:rPr>
          <w:lang w:val="en-CA"/>
        </w:rPr>
        <w:tab/>
      </w:r>
      <w:r w:rsidR="001A4975" w:rsidRPr="008E1B40">
        <w:rPr>
          <w:lang w:val="en-CA"/>
        </w:rPr>
        <w:t>Judgment under appeal</w:t>
      </w:r>
      <w:r w:rsidRPr="008E1B40">
        <w:rPr>
          <w:lang w:val="en-CA"/>
        </w:rPr>
        <w:t xml:space="preserve"> </w:t>
      </w:r>
      <w:r w:rsidR="00FD46A9" w:rsidRPr="008E1B40">
        <w:rPr>
          <w:lang w:val="en-CA"/>
        </w:rPr>
        <w:t xml:space="preserve">at </w:t>
      </w:r>
      <w:r w:rsidRPr="008E1B40">
        <w:rPr>
          <w:lang w:val="en-CA"/>
        </w:rPr>
        <w:t>para</w:t>
      </w:r>
      <w:r w:rsidR="00FD46A9" w:rsidRPr="008E1B40">
        <w:rPr>
          <w:lang w:val="en-CA"/>
        </w:rPr>
        <w:t>s</w:t>
      </w:r>
      <w:r w:rsidRPr="008E1B40">
        <w:rPr>
          <w:lang w:val="en-CA"/>
        </w:rPr>
        <w:t>.</w:t>
      </w:r>
      <w:r w:rsidRPr="00FD46A9">
        <w:rPr>
          <w:lang w:val="en-CA"/>
        </w:rPr>
        <w:t xml:space="preserve"> 21</w:t>
      </w:r>
      <w:r w:rsidR="00FD46A9" w:rsidRPr="00FD46A9">
        <w:rPr>
          <w:lang w:val="en-CA"/>
        </w:rPr>
        <w:t>–</w:t>
      </w:r>
      <w:r w:rsidRPr="00FD46A9">
        <w:rPr>
          <w:lang w:val="en-CA"/>
        </w:rPr>
        <w:t>27.</w:t>
      </w:r>
    </w:p>
  </w:footnote>
  <w:footnote w:id="32">
    <w:p w14:paraId="0B1DF940" w14:textId="77777777" w:rsidR="001F0E3E" w:rsidRPr="00BC104D" w:rsidRDefault="001F0E3E" w:rsidP="001F0E3E">
      <w:pPr>
        <w:pStyle w:val="Notedebasdepage"/>
        <w:rPr>
          <w:lang w:val="en-CA"/>
        </w:rPr>
      </w:pPr>
      <w:r>
        <w:rPr>
          <w:rStyle w:val="Appelnotedebasdep"/>
        </w:rPr>
        <w:footnoteRef/>
      </w:r>
      <w:r w:rsidRPr="00FD46A9">
        <w:rPr>
          <w:lang w:val="en-CA"/>
        </w:rPr>
        <w:t xml:space="preserve"> </w:t>
      </w:r>
      <w:r w:rsidRPr="00FD46A9">
        <w:rPr>
          <w:lang w:val="en-CA"/>
        </w:rPr>
        <w:tab/>
      </w:r>
      <w:r w:rsidRPr="008E1B40">
        <w:rPr>
          <w:i/>
          <w:iCs/>
          <w:lang w:val="en-CA"/>
        </w:rPr>
        <w:t>Bell ExpressVu</w:t>
      </w:r>
      <w:r w:rsidRPr="008E1B40">
        <w:rPr>
          <w:lang w:val="en-CA"/>
        </w:rPr>
        <w:t xml:space="preserve">, </w:t>
      </w:r>
      <w:r w:rsidRPr="008E1B40">
        <w:rPr>
          <w:i/>
          <w:iCs/>
          <w:lang w:val="en-CA"/>
        </w:rPr>
        <w:t>supra</w:t>
      </w:r>
      <w:r w:rsidRPr="008E1B40">
        <w:rPr>
          <w:lang w:val="en-CA"/>
        </w:rPr>
        <w:t xml:space="preserve"> note</w:t>
      </w:r>
      <w:r w:rsidRPr="00FD46A9">
        <w:rPr>
          <w:lang w:val="en-CA"/>
        </w:rPr>
        <w:t xml:space="preserve"> </w:t>
      </w:r>
      <w:r>
        <w:fldChar w:fldCharType="begin"/>
      </w:r>
      <w:r w:rsidRPr="00FD46A9">
        <w:rPr>
          <w:lang w:val="en-CA"/>
        </w:rPr>
        <w:instrText xml:space="preserve"> NOTEREF _Ref152676933 \h </w:instrText>
      </w:r>
      <w:r>
        <w:fldChar w:fldCharType="separate"/>
      </w:r>
      <w:r w:rsidRPr="00FD46A9">
        <w:rPr>
          <w:lang w:val="en-CA"/>
        </w:rPr>
        <w:t>26</w:t>
      </w:r>
      <w:r>
        <w:fldChar w:fldCharType="end"/>
      </w:r>
      <w:r w:rsidRPr="008E1B40">
        <w:rPr>
          <w:lang w:val="en-CA"/>
        </w:rPr>
        <w:t xml:space="preserve"> at para.</w:t>
      </w:r>
      <w:r w:rsidRPr="00FD46A9">
        <w:rPr>
          <w:lang w:val="en-CA"/>
        </w:rPr>
        <w:t xml:space="preserve"> </w:t>
      </w:r>
      <w:r w:rsidRPr="00BC104D">
        <w:rPr>
          <w:lang w:val="en-CA"/>
        </w:rPr>
        <w:t>26.</w:t>
      </w:r>
    </w:p>
  </w:footnote>
  <w:footnote w:id="33">
    <w:p w14:paraId="4764029E" w14:textId="77777777" w:rsidR="001F0E3E" w:rsidRPr="00BC104D" w:rsidRDefault="001F0E3E" w:rsidP="001F0E3E">
      <w:pPr>
        <w:pStyle w:val="Notedebasdepage"/>
        <w:rPr>
          <w:lang w:val="en-CA"/>
        </w:rPr>
      </w:pPr>
      <w:r>
        <w:rPr>
          <w:rStyle w:val="Appelnotedebasdep"/>
        </w:rPr>
        <w:footnoteRef/>
      </w:r>
      <w:r w:rsidRPr="00BC104D">
        <w:rPr>
          <w:lang w:val="en-CA"/>
        </w:rPr>
        <w:t xml:space="preserve"> </w:t>
      </w:r>
      <w:r w:rsidRPr="00BC104D">
        <w:rPr>
          <w:lang w:val="en-CA"/>
        </w:rPr>
        <w:tab/>
      </w:r>
      <w:r w:rsidRPr="00BC104D">
        <w:rPr>
          <w:i/>
          <w:iCs/>
          <w:lang w:val="en-CA"/>
        </w:rPr>
        <w:t>Québec Immigration Act</w:t>
      </w:r>
      <w:r w:rsidRPr="00BC104D">
        <w:rPr>
          <w:lang w:val="en-CA"/>
        </w:rPr>
        <w:t>, CQLR, c. I-0.2.1.</w:t>
      </w:r>
    </w:p>
  </w:footnote>
  <w:footnote w:id="34">
    <w:p w14:paraId="5D7FED18" w14:textId="77777777" w:rsidR="00DF206B" w:rsidRPr="00BC104D" w:rsidRDefault="00DF206B" w:rsidP="00DF206B">
      <w:pPr>
        <w:pStyle w:val="Notedebasdepage"/>
        <w:rPr>
          <w:lang w:val="en-CA"/>
        </w:rPr>
      </w:pPr>
      <w:r>
        <w:rPr>
          <w:rStyle w:val="Appelnotedebasdep"/>
        </w:rPr>
        <w:footnoteRef/>
      </w:r>
      <w:r w:rsidRPr="00BC104D">
        <w:rPr>
          <w:lang w:val="en-CA"/>
        </w:rPr>
        <w:t xml:space="preserve"> </w:t>
      </w:r>
      <w:r w:rsidRPr="00BC104D">
        <w:rPr>
          <w:lang w:val="en-CA"/>
        </w:rPr>
        <w:tab/>
      </w:r>
      <w:r w:rsidRPr="00BC104D">
        <w:rPr>
          <w:i/>
          <w:iCs/>
          <w:lang w:val="en-CA"/>
        </w:rPr>
        <w:t xml:space="preserve">114957 </w:t>
      </w:r>
      <w:r w:rsidRPr="008E1B40">
        <w:rPr>
          <w:i/>
          <w:iCs/>
          <w:lang w:val="en-CA"/>
        </w:rPr>
        <w:t xml:space="preserve">Canada </w:t>
      </w:r>
      <w:proofErr w:type="spellStart"/>
      <w:r w:rsidRPr="008E1B40">
        <w:rPr>
          <w:i/>
          <w:iCs/>
          <w:lang w:val="en-CA"/>
        </w:rPr>
        <w:t>Ltée</w:t>
      </w:r>
      <w:proofErr w:type="spellEnd"/>
      <w:r w:rsidRPr="008E1B40">
        <w:rPr>
          <w:i/>
          <w:iCs/>
          <w:lang w:val="en-CA"/>
        </w:rPr>
        <w:t xml:space="preserve"> (</w:t>
      </w:r>
      <w:proofErr w:type="spellStart"/>
      <w:r w:rsidRPr="008E1B40">
        <w:rPr>
          <w:i/>
          <w:iCs/>
          <w:lang w:val="en-CA"/>
        </w:rPr>
        <w:t>Spraytech</w:t>
      </w:r>
      <w:proofErr w:type="spellEnd"/>
      <w:r w:rsidRPr="008E1B40">
        <w:rPr>
          <w:i/>
          <w:iCs/>
          <w:lang w:val="en-CA"/>
        </w:rPr>
        <w:t xml:space="preserve">, Société </w:t>
      </w:r>
      <w:proofErr w:type="spellStart"/>
      <w:r w:rsidRPr="008E1B40">
        <w:rPr>
          <w:i/>
          <w:iCs/>
          <w:lang w:val="en-CA"/>
        </w:rPr>
        <w:t>d'arrosage</w:t>
      </w:r>
      <w:proofErr w:type="spellEnd"/>
      <w:r w:rsidRPr="008E1B40">
        <w:rPr>
          <w:i/>
          <w:iCs/>
          <w:lang w:val="en-CA"/>
        </w:rPr>
        <w:t>) v. Hudson (Town)</w:t>
      </w:r>
      <w:r w:rsidRPr="008E1B40">
        <w:rPr>
          <w:lang w:val="en-CA"/>
        </w:rPr>
        <w:t>, 2001 SCC 40 at para.</w:t>
      </w:r>
      <w:r w:rsidRPr="00BC104D">
        <w:rPr>
          <w:lang w:val="en-CA"/>
        </w:rPr>
        <w:t xml:space="preserve"> 28 [</w:t>
      </w:r>
      <w:proofErr w:type="spellStart"/>
      <w:r w:rsidRPr="00BC104D">
        <w:rPr>
          <w:i/>
          <w:iCs/>
          <w:lang w:val="en-CA"/>
        </w:rPr>
        <w:t>Spraytech</w:t>
      </w:r>
      <w:proofErr w:type="spellEnd"/>
      <w:r w:rsidRPr="00BC104D">
        <w:rPr>
          <w:lang w:val="en-CA"/>
        </w:rPr>
        <w:t>].</w:t>
      </w:r>
    </w:p>
  </w:footnote>
  <w:footnote w:id="35">
    <w:p w14:paraId="7D322F1C" w14:textId="77777777" w:rsidR="00DF206B" w:rsidRPr="00FD46A9" w:rsidRDefault="00DF206B" w:rsidP="00DF206B">
      <w:pPr>
        <w:pStyle w:val="Notedebasdepage"/>
        <w:rPr>
          <w:lang w:val="en-CA"/>
        </w:rPr>
      </w:pPr>
      <w:r>
        <w:rPr>
          <w:rStyle w:val="Appelnotedebasdep"/>
        </w:rPr>
        <w:footnoteRef/>
      </w:r>
      <w:r w:rsidRPr="00FD46A9">
        <w:rPr>
          <w:lang w:val="en-CA"/>
        </w:rPr>
        <w:t xml:space="preserve"> </w:t>
      </w:r>
      <w:r w:rsidRPr="00FD46A9">
        <w:rPr>
          <w:lang w:val="en-CA"/>
        </w:rPr>
        <w:tab/>
      </w:r>
      <w:r w:rsidRPr="008E1B40">
        <w:rPr>
          <w:lang w:val="en-CA"/>
        </w:rPr>
        <w:t xml:space="preserve">P. </w:t>
      </w:r>
      <w:proofErr w:type="spellStart"/>
      <w:r w:rsidRPr="008E1B40">
        <w:rPr>
          <w:lang w:val="en-CA"/>
        </w:rPr>
        <w:t>Issalys</w:t>
      </w:r>
      <w:proofErr w:type="spellEnd"/>
      <w:r w:rsidRPr="008E1B40">
        <w:rPr>
          <w:lang w:val="en-CA"/>
        </w:rPr>
        <w:t xml:space="preserve"> &amp; D. Lemieux, </w:t>
      </w:r>
      <w:r w:rsidRPr="008E1B40">
        <w:rPr>
          <w:i/>
          <w:iCs/>
          <w:lang w:val="en-CA"/>
        </w:rPr>
        <w:t>supra</w:t>
      </w:r>
      <w:r w:rsidRPr="008E1B40">
        <w:rPr>
          <w:lang w:val="en-CA"/>
        </w:rPr>
        <w:t xml:space="preserve"> note</w:t>
      </w:r>
      <w:r w:rsidRPr="00FD46A9">
        <w:rPr>
          <w:lang w:val="en-CA"/>
        </w:rPr>
        <w:t xml:space="preserve"> </w:t>
      </w:r>
      <w:r>
        <w:fldChar w:fldCharType="begin"/>
      </w:r>
      <w:r w:rsidRPr="00FD46A9">
        <w:rPr>
          <w:lang w:val="en-CA"/>
        </w:rPr>
        <w:instrText xml:space="preserve"> NOTEREF _Ref152678113 \h </w:instrText>
      </w:r>
      <w:r>
        <w:fldChar w:fldCharType="separate"/>
      </w:r>
      <w:r w:rsidRPr="00FD46A9">
        <w:rPr>
          <w:lang w:val="en-CA"/>
        </w:rPr>
        <w:t>21</w:t>
      </w:r>
      <w:r>
        <w:fldChar w:fldCharType="end"/>
      </w:r>
      <w:r w:rsidRPr="008E1B40">
        <w:rPr>
          <w:lang w:val="en-CA"/>
        </w:rPr>
        <w:t xml:space="preserve"> at 694–695, No. 7.30.</w:t>
      </w:r>
    </w:p>
  </w:footnote>
  <w:footnote w:id="36">
    <w:p w14:paraId="744D3F6D" w14:textId="77777777" w:rsidR="00DF206B" w:rsidRPr="00760BCB" w:rsidRDefault="00DF206B" w:rsidP="00DF206B">
      <w:pPr>
        <w:pStyle w:val="Notedebasdepage"/>
        <w:rPr>
          <w:lang w:val="en-CA"/>
        </w:rPr>
      </w:pPr>
      <w:r>
        <w:rPr>
          <w:rStyle w:val="Appelnotedebasdep"/>
        </w:rPr>
        <w:footnoteRef/>
      </w:r>
      <w:r w:rsidRPr="00300DFF">
        <w:rPr>
          <w:lang w:val="en-CA"/>
        </w:rPr>
        <w:t xml:space="preserve"> </w:t>
      </w:r>
      <w:r w:rsidRPr="00300DFF">
        <w:rPr>
          <w:lang w:val="en-CA"/>
        </w:rPr>
        <w:tab/>
      </w:r>
      <w:r w:rsidRPr="008E1B40">
        <w:rPr>
          <w:lang w:val="en-CA"/>
        </w:rPr>
        <w:t xml:space="preserve">J. M. Keyes, </w:t>
      </w:r>
      <w:r w:rsidRPr="008E1B40">
        <w:rPr>
          <w:i/>
          <w:iCs/>
          <w:lang w:val="en-CA"/>
        </w:rPr>
        <w:t>supra</w:t>
      </w:r>
      <w:r w:rsidRPr="008E1B40">
        <w:rPr>
          <w:lang w:val="en-CA"/>
        </w:rPr>
        <w:t xml:space="preserve"> note</w:t>
      </w:r>
      <w:r w:rsidRPr="00DF4994">
        <w:rPr>
          <w:lang w:val="en-CA"/>
        </w:rPr>
        <w:t xml:space="preserve"> </w:t>
      </w:r>
      <w:r>
        <w:fldChar w:fldCharType="begin"/>
      </w:r>
      <w:r w:rsidRPr="00DF4994">
        <w:rPr>
          <w:lang w:val="en-CA"/>
        </w:rPr>
        <w:instrText xml:space="preserve"> NOTEREF _Ref152678113 \h </w:instrText>
      </w:r>
      <w:r>
        <w:fldChar w:fldCharType="separate"/>
      </w:r>
      <w:r>
        <w:rPr>
          <w:lang w:val="en-CA"/>
        </w:rPr>
        <w:t>21</w:t>
      </w:r>
      <w:r>
        <w:fldChar w:fldCharType="end"/>
      </w:r>
      <w:r w:rsidRPr="008E1B40">
        <w:rPr>
          <w:lang w:val="en-CA"/>
        </w:rPr>
        <w:t xml:space="preserve"> at 371.</w:t>
      </w:r>
    </w:p>
  </w:footnote>
  <w:footnote w:id="37">
    <w:p w14:paraId="0A0360EF" w14:textId="77777777" w:rsidR="00DF206B" w:rsidRDefault="00DF206B" w:rsidP="00DF206B">
      <w:pPr>
        <w:pStyle w:val="Notedebasdepage"/>
      </w:pPr>
      <w:r>
        <w:rPr>
          <w:rStyle w:val="Appelnotedebasdep"/>
        </w:rPr>
        <w:footnoteRef/>
      </w:r>
      <w:r>
        <w:t xml:space="preserve"> </w:t>
      </w:r>
      <w:r>
        <w:tab/>
      </w:r>
      <w:r w:rsidRPr="008E1B40">
        <w:rPr>
          <w:i/>
          <w:iCs/>
        </w:rPr>
        <w:t>Montréal v. Arcade Amusements Inc.,</w:t>
      </w:r>
      <w:r w:rsidRPr="008E1B40">
        <w:t xml:space="preserve"> [1985] 1 SCR</w:t>
      </w:r>
      <w:r>
        <w:t xml:space="preserve"> </w:t>
      </w:r>
      <w:r w:rsidRPr="008E1B40">
        <w:t>368 at 406.</w:t>
      </w:r>
    </w:p>
  </w:footnote>
  <w:footnote w:id="38">
    <w:p w14:paraId="10E1520C" w14:textId="0DBBD041" w:rsidR="00DF206B" w:rsidRDefault="00DF206B" w:rsidP="00DF206B">
      <w:pPr>
        <w:pStyle w:val="Notedebasdepage"/>
      </w:pPr>
      <w:r>
        <w:rPr>
          <w:rStyle w:val="Appelnotedebasdep"/>
        </w:rPr>
        <w:footnoteRef/>
      </w:r>
      <w:r w:rsidRPr="00FD46A9">
        <w:rPr>
          <w:lang w:val="en-CA"/>
        </w:rPr>
        <w:t xml:space="preserve"> </w:t>
      </w:r>
      <w:r w:rsidRPr="00FD46A9">
        <w:rPr>
          <w:lang w:val="en-CA"/>
        </w:rPr>
        <w:tab/>
      </w:r>
      <w:proofErr w:type="spellStart"/>
      <w:r w:rsidRPr="008E1B40">
        <w:rPr>
          <w:i/>
          <w:iCs/>
          <w:lang w:val="en-CA"/>
        </w:rPr>
        <w:t>Spraytech</w:t>
      </w:r>
      <w:proofErr w:type="spellEnd"/>
      <w:r w:rsidRPr="008E1B40">
        <w:rPr>
          <w:lang w:val="en-CA"/>
        </w:rPr>
        <w:t xml:space="preserve">, </w:t>
      </w:r>
      <w:r w:rsidRPr="008E1B40">
        <w:rPr>
          <w:i/>
          <w:iCs/>
          <w:lang w:val="en-CA"/>
        </w:rPr>
        <w:t>supra</w:t>
      </w:r>
      <w:r w:rsidRPr="008E1B40">
        <w:rPr>
          <w:lang w:val="en-CA"/>
        </w:rPr>
        <w:t xml:space="preserve"> note 34 at para.</w:t>
      </w:r>
      <w:r w:rsidRPr="00FD46A9">
        <w:rPr>
          <w:lang w:val="en-CA"/>
        </w:rPr>
        <w:t xml:space="preserve"> </w:t>
      </w:r>
      <w:r w:rsidRPr="008E1B40">
        <w:rPr>
          <w:lang w:val="en-CA"/>
        </w:rPr>
        <w:t xml:space="preserve">28; </w:t>
      </w:r>
      <w:r w:rsidRPr="008E1B40">
        <w:rPr>
          <w:i/>
          <w:iCs/>
          <w:lang w:val="en-CA"/>
        </w:rPr>
        <w:t>Allard Contractors Ltd. v. Coquitlam (District)</w:t>
      </w:r>
      <w:r w:rsidRPr="008E1B40">
        <w:rPr>
          <w:lang w:val="en-CA"/>
        </w:rPr>
        <w:t xml:space="preserve">, [1993] 4 </w:t>
      </w:r>
      <w:r>
        <w:rPr>
          <w:lang w:val="en-CA"/>
        </w:rPr>
        <w:t>SCR</w:t>
      </w:r>
      <w:r w:rsidRPr="00FD46A9">
        <w:rPr>
          <w:lang w:val="en-CA"/>
        </w:rPr>
        <w:t xml:space="preserve"> </w:t>
      </w:r>
      <w:r w:rsidRPr="008E1B40">
        <w:rPr>
          <w:lang w:val="en-CA"/>
        </w:rPr>
        <w:t xml:space="preserve">371 at 413; </w:t>
      </w:r>
      <w:r w:rsidRPr="008E1B40">
        <w:rPr>
          <w:i/>
          <w:iCs/>
          <w:lang w:val="en-CA"/>
        </w:rPr>
        <w:t>R. v. Greenbaum</w:t>
      </w:r>
      <w:r w:rsidRPr="008E1B40">
        <w:rPr>
          <w:lang w:val="en-CA"/>
        </w:rPr>
        <w:t xml:space="preserve">, [1993] 1 </w:t>
      </w:r>
      <w:r>
        <w:rPr>
          <w:lang w:val="en-CA"/>
        </w:rPr>
        <w:t>SCR</w:t>
      </w:r>
      <w:r w:rsidRPr="00FD46A9">
        <w:rPr>
          <w:lang w:val="en-CA"/>
        </w:rPr>
        <w:t xml:space="preserve"> </w:t>
      </w:r>
      <w:r w:rsidRPr="008E1B40">
        <w:rPr>
          <w:lang w:val="en-CA"/>
        </w:rPr>
        <w:t xml:space="preserve">674 at 694; </w:t>
      </w:r>
      <w:r w:rsidRPr="008E1B40">
        <w:rPr>
          <w:i/>
          <w:iCs/>
          <w:lang w:val="en-CA"/>
        </w:rPr>
        <w:t>R. v. Sharma</w:t>
      </w:r>
      <w:r w:rsidRPr="008E1B40">
        <w:rPr>
          <w:lang w:val="en-CA"/>
        </w:rPr>
        <w:t xml:space="preserve">, [1993] 1 </w:t>
      </w:r>
      <w:r>
        <w:rPr>
          <w:lang w:val="en-CA"/>
        </w:rPr>
        <w:t>SCR</w:t>
      </w:r>
      <w:r w:rsidRPr="00FD46A9">
        <w:rPr>
          <w:lang w:val="en-CA"/>
        </w:rPr>
        <w:t xml:space="preserve"> </w:t>
      </w:r>
      <w:r w:rsidRPr="008E1B40">
        <w:rPr>
          <w:lang w:val="en-CA"/>
        </w:rPr>
        <w:t xml:space="preserve">650 at 667–668; </w:t>
      </w:r>
      <w:r w:rsidRPr="008E1B40">
        <w:rPr>
          <w:i/>
          <w:iCs/>
          <w:lang w:val="en-CA"/>
        </w:rPr>
        <w:t>Restaurants Canada c. Ville de Montréal</w:t>
      </w:r>
      <w:r w:rsidRPr="008E1B40">
        <w:rPr>
          <w:lang w:val="en-CA"/>
        </w:rPr>
        <w:t>, 2021 QCCA 1639 at para.</w:t>
      </w:r>
      <w:r w:rsidRPr="00FD46A9">
        <w:rPr>
          <w:lang w:val="en-CA"/>
        </w:rPr>
        <w:t xml:space="preserve"> </w:t>
      </w:r>
      <w:r w:rsidRPr="008E1B40">
        <w:t>41 [</w:t>
      </w:r>
      <w:r w:rsidRPr="008E1B40">
        <w:rPr>
          <w:i/>
          <w:iCs/>
        </w:rPr>
        <w:t>Restaurants Canada</w:t>
      </w:r>
      <w:r w:rsidRPr="008E1B40">
        <w:t xml:space="preserve">]; </w:t>
      </w:r>
      <w:r w:rsidRPr="008E1B40">
        <w:rPr>
          <w:i/>
          <w:iCs/>
        </w:rPr>
        <w:t xml:space="preserve">Repentigny (Ville) c. </w:t>
      </w:r>
      <w:proofErr w:type="spellStart"/>
      <w:r w:rsidRPr="008E1B40">
        <w:rPr>
          <w:i/>
          <w:iCs/>
        </w:rPr>
        <w:t>Jotanau</w:t>
      </w:r>
      <w:proofErr w:type="spellEnd"/>
      <w:r w:rsidRPr="008E1B40">
        <w:rPr>
          <w:i/>
          <w:iCs/>
        </w:rPr>
        <w:t xml:space="preserve"> Inc.</w:t>
      </w:r>
      <w:r w:rsidRPr="008E1B40">
        <w:t>, J.E.</w:t>
      </w:r>
      <w:r>
        <w:t xml:space="preserve"> </w:t>
      </w:r>
      <w:r w:rsidRPr="008E1B40">
        <w:t>2001-96 at para.</w:t>
      </w:r>
      <w:r>
        <w:t> </w:t>
      </w:r>
      <w:r w:rsidRPr="008E1B40">
        <w:t>28 (CA).</w:t>
      </w:r>
    </w:p>
  </w:footnote>
  <w:footnote w:id="39">
    <w:p w14:paraId="13322686" w14:textId="79311265" w:rsidR="00DF206B" w:rsidRPr="00FD46A9" w:rsidRDefault="00DF206B" w:rsidP="00DF206B">
      <w:pPr>
        <w:pStyle w:val="Notedebasdepage"/>
        <w:rPr>
          <w:lang w:val="en-CA"/>
        </w:rPr>
      </w:pPr>
      <w:r>
        <w:rPr>
          <w:rStyle w:val="Appelnotedebasdep"/>
        </w:rPr>
        <w:footnoteRef/>
      </w:r>
      <w:r w:rsidRPr="00FD46A9">
        <w:rPr>
          <w:lang w:val="en-CA"/>
        </w:rPr>
        <w:t xml:space="preserve"> </w:t>
      </w:r>
      <w:r w:rsidRPr="00FD46A9">
        <w:rPr>
          <w:lang w:val="en-CA"/>
        </w:rPr>
        <w:tab/>
      </w:r>
      <w:r w:rsidRPr="008E1B40">
        <w:rPr>
          <w:lang w:val="en-CA"/>
        </w:rPr>
        <w:t xml:space="preserve">P. </w:t>
      </w:r>
      <w:proofErr w:type="spellStart"/>
      <w:r w:rsidRPr="008E1B40">
        <w:rPr>
          <w:lang w:val="en-CA"/>
        </w:rPr>
        <w:t>Garant</w:t>
      </w:r>
      <w:proofErr w:type="spellEnd"/>
      <w:r w:rsidRPr="008E1B40">
        <w:rPr>
          <w:lang w:val="en-CA"/>
        </w:rPr>
        <w:t xml:space="preserve">, </w:t>
      </w:r>
      <w:r w:rsidRPr="008E1B40">
        <w:rPr>
          <w:i/>
          <w:iCs/>
          <w:lang w:val="en-CA"/>
        </w:rPr>
        <w:t>supra</w:t>
      </w:r>
      <w:r w:rsidRPr="008E1B40">
        <w:rPr>
          <w:lang w:val="en-CA"/>
        </w:rPr>
        <w:t xml:space="preserve"> note</w:t>
      </w:r>
      <w:r w:rsidRPr="00FD46A9">
        <w:rPr>
          <w:lang w:val="en-CA"/>
        </w:rPr>
        <w:t xml:space="preserve"> </w:t>
      </w:r>
      <w:r>
        <w:fldChar w:fldCharType="begin"/>
      </w:r>
      <w:r w:rsidRPr="00FD46A9">
        <w:rPr>
          <w:lang w:val="en-CA"/>
        </w:rPr>
        <w:instrText xml:space="preserve"> NOTEREF _Ref152678668 \h </w:instrText>
      </w:r>
      <w:r>
        <w:fldChar w:fldCharType="separate"/>
      </w:r>
      <w:r w:rsidRPr="00FD46A9">
        <w:rPr>
          <w:lang w:val="en-CA"/>
        </w:rPr>
        <w:t>20</w:t>
      </w:r>
      <w:r>
        <w:fldChar w:fldCharType="end"/>
      </w:r>
      <w:r w:rsidRPr="008E1B40">
        <w:rPr>
          <w:lang w:val="en-CA"/>
        </w:rPr>
        <w:t xml:space="preserve"> at 320, No. 4.2.</w:t>
      </w:r>
    </w:p>
  </w:footnote>
  <w:footnote w:id="40">
    <w:p w14:paraId="587EEFDF" w14:textId="77777777" w:rsidR="00DF206B" w:rsidRDefault="00DF206B" w:rsidP="00DF206B">
      <w:pPr>
        <w:pStyle w:val="Notedebasdepage"/>
      </w:pPr>
      <w:r>
        <w:rPr>
          <w:rStyle w:val="Appelnotedebasdep"/>
        </w:rPr>
        <w:footnoteRef/>
      </w:r>
      <w:r>
        <w:t xml:space="preserve"> </w:t>
      </w:r>
      <w:r>
        <w:tab/>
      </w:r>
      <w:r w:rsidRPr="008E1B40">
        <w:t xml:space="preserve">P. </w:t>
      </w:r>
      <w:proofErr w:type="spellStart"/>
      <w:r w:rsidRPr="008E1B40">
        <w:t>Issalys</w:t>
      </w:r>
      <w:proofErr w:type="spellEnd"/>
      <w:r w:rsidRPr="008E1B40">
        <w:t xml:space="preserve"> &amp; D. Lemieux, </w:t>
      </w:r>
      <w:r w:rsidRPr="008E1B40">
        <w:rPr>
          <w:i/>
          <w:iCs/>
        </w:rPr>
        <w:t>supra</w:t>
      </w:r>
      <w:r w:rsidRPr="008E1B40">
        <w:t xml:space="preserve"> note</w:t>
      </w:r>
      <w:r>
        <w:t xml:space="preserve"> </w:t>
      </w:r>
      <w:r>
        <w:fldChar w:fldCharType="begin"/>
      </w:r>
      <w:r>
        <w:instrText xml:space="preserve"> NOTEREF _Ref152678113 \h </w:instrText>
      </w:r>
      <w:r>
        <w:fldChar w:fldCharType="separate"/>
      </w:r>
      <w:r>
        <w:t>21</w:t>
      </w:r>
      <w:r>
        <w:fldChar w:fldCharType="end"/>
      </w:r>
      <w:r w:rsidRPr="008E1B40">
        <w:t xml:space="preserve"> at 694–695.</w:t>
      </w:r>
    </w:p>
  </w:footnote>
  <w:footnote w:id="41">
    <w:p w14:paraId="458CBC68" w14:textId="77777777" w:rsidR="00DF206B" w:rsidRDefault="00DF206B" w:rsidP="00DF206B">
      <w:pPr>
        <w:pStyle w:val="Notedebasdepage"/>
      </w:pPr>
      <w:r>
        <w:rPr>
          <w:rStyle w:val="Appelnotedebasdep"/>
        </w:rPr>
        <w:footnoteRef/>
      </w:r>
      <w:r>
        <w:t xml:space="preserve"> </w:t>
      </w:r>
      <w:r>
        <w:tab/>
      </w:r>
      <w:r w:rsidRPr="008E1B40">
        <w:rPr>
          <w:i/>
          <w:iCs/>
        </w:rPr>
        <w:t>Restaurants Canada</w:t>
      </w:r>
      <w:r w:rsidRPr="008E1B40">
        <w:t xml:space="preserve">, </w:t>
      </w:r>
      <w:r w:rsidRPr="008E1B40">
        <w:rPr>
          <w:i/>
          <w:iCs/>
        </w:rPr>
        <w:t>supra</w:t>
      </w:r>
      <w:r w:rsidRPr="008E1B40">
        <w:t xml:space="preserve"> note</w:t>
      </w:r>
      <w:r>
        <w:t xml:space="preserve"> </w:t>
      </w:r>
      <w:r>
        <w:fldChar w:fldCharType="begin"/>
      </w:r>
      <w:r>
        <w:instrText xml:space="preserve"> NOTEREF _Ref156292175 \h </w:instrText>
      </w:r>
      <w:r>
        <w:fldChar w:fldCharType="separate"/>
      </w:r>
      <w:r>
        <w:t>38</w:t>
      </w:r>
      <w:r>
        <w:fldChar w:fldCharType="end"/>
      </w:r>
      <w:r w:rsidRPr="008E1B40">
        <w:rPr>
          <w:i/>
          <w:iCs/>
        </w:rPr>
        <w:t xml:space="preserve"> </w:t>
      </w:r>
      <w:r w:rsidRPr="008E1B40">
        <w:t>at</w:t>
      </w:r>
      <w:r w:rsidRPr="008E1B40">
        <w:rPr>
          <w:i/>
          <w:iCs/>
        </w:rPr>
        <w:t xml:space="preserve"> </w:t>
      </w:r>
      <w:r w:rsidRPr="008E1B40">
        <w:t>para.</w:t>
      </w:r>
      <w:r>
        <w:t xml:space="preserve"> 42.</w:t>
      </w:r>
    </w:p>
  </w:footnote>
  <w:footnote w:id="42">
    <w:p w14:paraId="75A9D5B6" w14:textId="72F6A18F" w:rsidR="00DF206B" w:rsidRPr="003C1B82" w:rsidRDefault="00DF206B" w:rsidP="00DF206B">
      <w:pPr>
        <w:pStyle w:val="Notedebasdepage"/>
      </w:pPr>
      <w:r>
        <w:rPr>
          <w:rStyle w:val="Appelnotedebasdep"/>
        </w:rPr>
        <w:footnoteRef/>
      </w:r>
      <w:r>
        <w:t xml:space="preserve"> </w:t>
      </w:r>
      <w:r>
        <w:tab/>
      </w:r>
      <w:r w:rsidRPr="003C1B82">
        <w:t xml:space="preserve">Jacques Carl Morin &amp; Richard Tremblay, </w:t>
      </w:r>
      <w:r w:rsidR="00BC6A63" w:rsidRPr="003C1B82">
        <w:t>“</w:t>
      </w:r>
      <w:r w:rsidRPr="003C1B82">
        <w:t>Les critères de la légalité des règlements</w:t>
      </w:r>
      <w:r w:rsidR="00BC6A63" w:rsidRPr="003C1B82">
        <w:t>”</w:t>
      </w:r>
      <w:r w:rsidRPr="003C1B82">
        <w:t>, in Richard Tremblay</w:t>
      </w:r>
      <w:r w:rsidR="00D76F32">
        <w:t>,</w:t>
      </w:r>
      <w:r w:rsidRPr="003C1B82">
        <w:t xml:space="preserve"> </w:t>
      </w:r>
      <w:proofErr w:type="spellStart"/>
      <w:r w:rsidR="00D76F32">
        <w:t>e</w:t>
      </w:r>
      <w:r w:rsidRPr="00D76F32">
        <w:t>d</w:t>
      </w:r>
      <w:proofErr w:type="spellEnd"/>
      <w:r w:rsidRPr="00D76F32">
        <w:t>.</w:t>
      </w:r>
      <w:r w:rsidRPr="003C1B82">
        <w:t xml:space="preserve">, </w:t>
      </w:r>
      <w:r w:rsidRPr="003C1B82">
        <w:rPr>
          <w:i/>
          <w:iCs/>
        </w:rPr>
        <w:t>Éléments de légistique - Comment rédiger les lois et les règlements</w:t>
      </w:r>
      <w:r w:rsidRPr="003C1B82">
        <w:t xml:space="preserve">, (Cowansville, </w:t>
      </w:r>
      <w:proofErr w:type="spellStart"/>
      <w:r w:rsidRPr="003C1B82">
        <w:t>Qc</w:t>
      </w:r>
      <w:proofErr w:type="spellEnd"/>
      <w:r w:rsidRPr="003C1B82">
        <w:t>.: Yvon Blais, 2010) 151 at 179.</w:t>
      </w:r>
    </w:p>
  </w:footnote>
  <w:footnote w:id="43">
    <w:p w14:paraId="6958659F" w14:textId="11D47B09" w:rsidR="00DF206B" w:rsidRPr="003C1B82" w:rsidRDefault="00DF206B" w:rsidP="00DF206B">
      <w:pPr>
        <w:pStyle w:val="Notedebasdepage"/>
      </w:pPr>
      <w:r w:rsidRPr="00BC6A63">
        <w:rPr>
          <w:rStyle w:val="Appelnotedebasdep"/>
          <w:lang w:val="en-CA"/>
        </w:rPr>
        <w:footnoteRef/>
      </w:r>
      <w:r w:rsidRPr="003C1B82">
        <w:t xml:space="preserve"> </w:t>
      </w:r>
      <w:r w:rsidRPr="003C1B82">
        <w:tab/>
        <w:t xml:space="preserve">Jacques Lagacé &amp; Richard Tremblay, </w:t>
      </w:r>
      <w:r w:rsidR="00BC6A63" w:rsidRPr="003C1B82">
        <w:t>“</w:t>
      </w:r>
      <w:r w:rsidRPr="003C1B82">
        <w:t>Les habilitations réglementaires</w:t>
      </w:r>
      <w:r w:rsidR="00BC6A63" w:rsidRPr="003C1B82">
        <w:t>”</w:t>
      </w:r>
      <w:r w:rsidRPr="003C1B82">
        <w:t>, in Richard Tremblay</w:t>
      </w:r>
      <w:r w:rsidR="00D76F32">
        <w:t>,</w:t>
      </w:r>
      <w:r w:rsidRPr="003C1B82">
        <w:t xml:space="preserve"> </w:t>
      </w:r>
      <w:proofErr w:type="spellStart"/>
      <w:r w:rsidR="00D76F32">
        <w:t>e</w:t>
      </w:r>
      <w:r w:rsidR="00D76F32" w:rsidRPr="00D76F32">
        <w:t>d</w:t>
      </w:r>
      <w:proofErr w:type="spellEnd"/>
      <w:r w:rsidR="00D76F32" w:rsidRPr="00D76F32">
        <w:t>.</w:t>
      </w:r>
      <w:r w:rsidRPr="00D76F32">
        <w:t>,</w:t>
      </w:r>
      <w:r w:rsidRPr="003C1B82">
        <w:t xml:space="preserve"> </w:t>
      </w:r>
      <w:r w:rsidRPr="003C1B82">
        <w:rPr>
          <w:i/>
          <w:iCs/>
        </w:rPr>
        <w:t>Éléments de légistique - Comment rédiger les lois et les règlements</w:t>
      </w:r>
      <w:r w:rsidRPr="003C1B82">
        <w:t xml:space="preserve">, (Cowansville, </w:t>
      </w:r>
      <w:proofErr w:type="spellStart"/>
      <w:r w:rsidRPr="003C1B82">
        <w:t>Qc</w:t>
      </w:r>
      <w:proofErr w:type="spellEnd"/>
      <w:r w:rsidRPr="003C1B82">
        <w:t>.: Yvon Blais, 2010) 617</w:t>
      </w:r>
      <w:r w:rsidR="007E4BCA">
        <w:t xml:space="preserve"> </w:t>
      </w:r>
      <w:r w:rsidRPr="003C1B82">
        <w:t>at 626.</w:t>
      </w:r>
    </w:p>
  </w:footnote>
  <w:footnote w:id="44">
    <w:p w14:paraId="23E0EDB2" w14:textId="77777777" w:rsidR="00DF206B" w:rsidRPr="00FD46A9" w:rsidRDefault="00DF206B" w:rsidP="00DF206B">
      <w:pPr>
        <w:pStyle w:val="Notedebasdepage"/>
        <w:rPr>
          <w:lang w:val="en-CA"/>
        </w:rPr>
      </w:pPr>
      <w:r>
        <w:rPr>
          <w:rStyle w:val="Appelnotedebasdep"/>
        </w:rPr>
        <w:footnoteRef/>
      </w:r>
      <w:r w:rsidRPr="00FD46A9">
        <w:rPr>
          <w:lang w:val="en-CA"/>
        </w:rPr>
        <w:t xml:space="preserve"> </w:t>
      </w:r>
      <w:r w:rsidRPr="00FD46A9">
        <w:rPr>
          <w:lang w:val="en-CA"/>
        </w:rPr>
        <w:tab/>
      </w:r>
      <w:r w:rsidRPr="008E1B40">
        <w:rPr>
          <w:lang w:val="en-CA"/>
        </w:rPr>
        <w:t xml:space="preserve">J. C. Morin &amp; R. Tremblay, </w:t>
      </w:r>
      <w:r w:rsidRPr="008E1B40">
        <w:rPr>
          <w:i/>
          <w:iCs/>
          <w:lang w:val="en-CA"/>
        </w:rPr>
        <w:t>supra</w:t>
      </w:r>
      <w:r w:rsidRPr="008E1B40">
        <w:rPr>
          <w:lang w:val="en-CA"/>
        </w:rPr>
        <w:t xml:space="preserve"> note</w:t>
      </w:r>
      <w:r w:rsidRPr="00FD46A9">
        <w:rPr>
          <w:lang w:val="en-CA"/>
        </w:rPr>
        <w:t xml:space="preserve"> </w:t>
      </w:r>
      <w:r>
        <w:fldChar w:fldCharType="begin"/>
      </w:r>
      <w:r w:rsidRPr="00FD46A9">
        <w:rPr>
          <w:lang w:val="en-CA"/>
        </w:rPr>
        <w:instrText xml:space="preserve"> NOTEREF _Ref157503403 \h </w:instrText>
      </w:r>
      <w:r>
        <w:fldChar w:fldCharType="separate"/>
      </w:r>
      <w:r w:rsidRPr="00FD46A9">
        <w:rPr>
          <w:lang w:val="en-CA"/>
        </w:rPr>
        <w:t>42</w:t>
      </w:r>
      <w:r>
        <w:fldChar w:fldCharType="end"/>
      </w:r>
      <w:r w:rsidRPr="008E1B40">
        <w:rPr>
          <w:lang w:val="en-CA"/>
        </w:rPr>
        <w:t xml:space="preserve"> at 180.</w:t>
      </w:r>
    </w:p>
  </w:footnote>
  <w:footnote w:id="45">
    <w:p w14:paraId="45FAA954" w14:textId="4F5C9366" w:rsidR="0072362A" w:rsidRPr="001A4975" w:rsidRDefault="004A7BFD" w:rsidP="0072362A">
      <w:pPr>
        <w:pStyle w:val="Notedebasdepage"/>
        <w:rPr>
          <w:lang w:val="en-CA"/>
        </w:rPr>
      </w:pPr>
      <w:r>
        <w:rPr>
          <w:rStyle w:val="Appelnotedebasdep"/>
        </w:rPr>
        <w:footnoteRef/>
      </w:r>
      <w:r w:rsidRPr="001A4975">
        <w:rPr>
          <w:lang w:val="en-CA"/>
        </w:rPr>
        <w:t xml:space="preserve"> </w:t>
      </w:r>
      <w:r w:rsidRPr="001A4975">
        <w:rPr>
          <w:lang w:val="en-CA"/>
        </w:rPr>
        <w:tab/>
      </w:r>
      <w:r w:rsidR="001A4975" w:rsidRPr="008E1B40">
        <w:rPr>
          <w:lang w:val="en-CA"/>
        </w:rPr>
        <w:t>Judgment under appeal at</w:t>
      </w:r>
      <w:r w:rsidRPr="008E1B40">
        <w:rPr>
          <w:lang w:val="en-CA"/>
        </w:rPr>
        <w:t xml:space="preserve"> para</w:t>
      </w:r>
      <w:r w:rsidR="001A4975" w:rsidRPr="008E1B40">
        <w:rPr>
          <w:lang w:val="en-CA"/>
        </w:rPr>
        <w:t>s</w:t>
      </w:r>
      <w:r w:rsidRPr="008E1B40">
        <w:rPr>
          <w:lang w:val="en-CA"/>
        </w:rPr>
        <w:t>.</w:t>
      </w:r>
      <w:r w:rsidRPr="001A4975">
        <w:rPr>
          <w:lang w:val="en-CA"/>
        </w:rPr>
        <w:t xml:space="preserve"> 38</w:t>
      </w:r>
      <w:r w:rsidR="001A4975" w:rsidRPr="001A4975">
        <w:rPr>
          <w:lang w:val="en-CA"/>
        </w:rPr>
        <w:t>–</w:t>
      </w:r>
      <w:r w:rsidRPr="001A4975">
        <w:rPr>
          <w:lang w:val="en-CA"/>
        </w:rPr>
        <w:t>44.</w:t>
      </w:r>
    </w:p>
  </w:footnote>
  <w:footnote w:id="46">
    <w:p w14:paraId="2FB3FFBE" w14:textId="77777777" w:rsidR="00B1445B" w:rsidRPr="00760BCB" w:rsidRDefault="00B1445B" w:rsidP="00B1445B">
      <w:pPr>
        <w:pStyle w:val="Notedebasdepage"/>
        <w:rPr>
          <w:lang w:val="en-CA"/>
        </w:rPr>
      </w:pPr>
      <w:r>
        <w:rPr>
          <w:rStyle w:val="Appelnotedebasdep"/>
        </w:rPr>
        <w:footnoteRef/>
      </w:r>
      <w:r w:rsidRPr="001A4975">
        <w:rPr>
          <w:lang w:val="en-CA"/>
        </w:rPr>
        <w:t xml:space="preserve"> </w:t>
      </w:r>
      <w:r w:rsidRPr="001A4975">
        <w:rPr>
          <w:lang w:val="en-CA"/>
        </w:rPr>
        <w:tab/>
      </w:r>
      <w:r w:rsidRPr="008E1B40">
        <w:rPr>
          <w:lang w:val="en-CA"/>
        </w:rPr>
        <w:t xml:space="preserve">See in particular: </w:t>
      </w:r>
      <w:proofErr w:type="spellStart"/>
      <w:r w:rsidRPr="008E1B40">
        <w:rPr>
          <w:i/>
          <w:iCs/>
          <w:lang w:val="en-CA"/>
        </w:rPr>
        <w:t>Withler</w:t>
      </w:r>
      <w:proofErr w:type="spellEnd"/>
      <w:r w:rsidRPr="008E1B40">
        <w:rPr>
          <w:i/>
          <w:iCs/>
          <w:lang w:val="en-CA"/>
        </w:rPr>
        <w:t xml:space="preserve"> v. Canada (Attorney General)</w:t>
      </w:r>
      <w:r w:rsidRPr="008E1B40">
        <w:rPr>
          <w:lang w:val="en-CA"/>
        </w:rPr>
        <w:t>, 2011 SCC 12 at para.</w:t>
      </w:r>
      <w:r w:rsidRPr="001A4975">
        <w:rPr>
          <w:lang w:val="en-CA"/>
        </w:rPr>
        <w:t> </w:t>
      </w:r>
      <w:r w:rsidRPr="008E1B40">
        <w:rPr>
          <w:lang w:val="en-CA"/>
        </w:rPr>
        <w:t>30 [</w:t>
      </w:r>
      <w:proofErr w:type="spellStart"/>
      <w:r w:rsidRPr="008E1B40">
        <w:rPr>
          <w:i/>
          <w:iCs/>
          <w:lang w:val="en-CA"/>
        </w:rPr>
        <w:t>Withler</w:t>
      </w:r>
      <w:proofErr w:type="spellEnd"/>
      <w:r w:rsidRPr="008E1B40">
        <w:rPr>
          <w:lang w:val="en-CA"/>
        </w:rPr>
        <w:t xml:space="preserve">]; </w:t>
      </w:r>
      <w:r w:rsidRPr="008E1B40">
        <w:rPr>
          <w:i/>
          <w:iCs/>
          <w:lang w:val="en-CA"/>
        </w:rPr>
        <w:t>R. v. Kapp</w:t>
      </w:r>
      <w:r w:rsidRPr="008E1B40">
        <w:rPr>
          <w:lang w:val="en-CA"/>
        </w:rPr>
        <w:t>, 2008 SCC 41 at para.</w:t>
      </w:r>
      <w:r w:rsidRPr="00BC104D">
        <w:rPr>
          <w:lang w:val="en-CA"/>
        </w:rPr>
        <w:t> </w:t>
      </w:r>
      <w:r w:rsidRPr="008E1B40">
        <w:rPr>
          <w:lang w:val="en-CA"/>
        </w:rPr>
        <w:t xml:space="preserve">17; </w:t>
      </w:r>
      <w:r w:rsidRPr="008E1B40">
        <w:rPr>
          <w:i/>
          <w:iCs/>
          <w:lang w:val="en-CA"/>
        </w:rPr>
        <w:t>Law v. Canada (Minister of Employment and Immigration)</w:t>
      </w:r>
      <w:r w:rsidRPr="008E1B40">
        <w:rPr>
          <w:lang w:val="en-CA"/>
        </w:rPr>
        <w:t>, [1999] 1 SCR</w:t>
      </w:r>
      <w:r w:rsidRPr="001A4975">
        <w:rPr>
          <w:lang w:val="en-CA"/>
        </w:rPr>
        <w:t xml:space="preserve"> </w:t>
      </w:r>
      <w:r w:rsidRPr="008E1B40">
        <w:rPr>
          <w:lang w:val="en-CA"/>
        </w:rPr>
        <w:t>497 at para.</w:t>
      </w:r>
      <w:r w:rsidRPr="001A4975">
        <w:rPr>
          <w:lang w:val="en-CA"/>
        </w:rPr>
        <w:t> </w:t>
      </w:r>
      <w:r w:rsidRPr="008E1B40">
        <w:rPr>
          <w:lang w:val="en-CA"/>
        </w:rPr>
        <w:t>23 [</w:t>
      </w:r>
      <w:r w:rsidRPr="008E1B40">
        <w:rPr>
          <w:i/>
          <w:iCs/>
          <w:lang w:val="en-CA"/>
        </w:rPr>
        <w:t>Law</w:t>
      </w:r>
      <w:r w:rsidRPr="008E1B40">
        <w:rPr>
          <w:lang w:val="en-CA"/>
        </w:rPr>
        <w:t xml:space="preserve">]; </w:t>
      </w:r>
      <w:r w:rsidRPr="008E1B40">
        <w:rPr>
          <w:i/>
          <w:iCs/>
          <w:lang w:val="en-CA"/>
        </w:rPr>
        <w:t>Andrews v. Law Society of British Columbia</w:t>
      </w:r>
      <w:r w:rsidRPr="008E1B40">
        <w:rPr>
          <w:lang w:val="en-CA"/>
        </w:rPr>
        <w:t>, [1989] 1S</w:t>
      </w:r>
      <w:r>
        <w:rPr>
          <w:lang w:val="en-CA"/>
        </w:rPr>
        <w:t xml:space="preserve">CR </w:t>
      </w:r>
      <w:r w:rsidRPr="008E1B40">
        <w:rPr>
          <w:lang w:val="en-CA"/>
        </w:rPr>
        <w:t>143 at 174–175 [</w:t>
      </w:r>
      <w:r w:rsidRPr="008E1B40">
        <w:rPr>
          <w:i/>
          <w:iCs/>
          <w:lang w:val="en-CA"/>
        </w:rPr>
        <w:t>Andrews</w:t>
      </w:r>
      <w:r w:rsidRPr="008E1B40">
        <w:rPr>
          <w:lang w:val="en-CA"/>
        </w:rPr>
        <w:t>].</w:t>
      </w:r>
      <w:r w:rsidRPr="00760BCB">
        <w:rPr>
          <w:lang w:val="en-CA"/>
        </w:rPr>
        <w:t xml:space="preserve"> </w:t>
      </w:r>
    </w:p>
  </w:footnote>
  <w:footnote w:id="47">
    <w:p w14:paraId="77E8522C" w14:textId="3A84B3F9" w:rsidR="00B1445B" w:rsidRPr="00C05FA3" w:rsidRDefault="00B1445B" w:rsidP="00B1445B">
      <w:pPr>
        <w:pStyle w:val="Notedebasdepage"/>
        <w:rPr>
          <w:lang w:val="en-CA"/>
        </w:rPr>
      </w:pPr>
      <w:r>
        <w:rPr>
          <w:rStyle w:val="Appelnotedebasdep"/>
        </w:rPr>
        <w:footnoteRef/>
      </w:r>
      <w:r w:rsidRPr="001A4975">
        <w:rPr>
          <w:lang w:val="en-CA"/>
        </w:rPr>
        <w:t xml:space="preserve"> </w:t>
      </w:r>
      <w:r w:rsidRPr="001A4975">
        <w:rPr>
          <w:lang w:val="en-CA"/>
        </w:rPr>
        <w:tab/>
      </w:r>
      <w:r w:rsidRPr="008E1B40">
        <w:rPr>
          <w:i/>
          <w:iCs/>
          <w:lang w:val="en-CA"/>
        </w:rPr>
        <w:t>Law</w:t>
      </w:r>
      <w:r w:rsidR="00D76F32">
        <w:rPr>
          <w:i/>
          <w:iCs/>
          <w:lang w:val="en-CA"/>
        </w:rPr>
        <w:t>,</w:t>
      </w:r>
      <w:r w:rsidRPr="008E1B40">
        <w:rPr>
          <w:lang w:val="en-CA"/>
        </w:rPr>
        <w:t xml:space="preserve"> </w:t>
      </w:r>
      <w:r w:rsidRPr="008E1B40">
        <w:rPr>
          <w:i/>
          <w:iCs/>
          <w:lang w:val="en-CA"/>
        </w:rPr>
        <w:t>supra</w:t>
      </w:r>
      <w:r w:rsidRPr="008E1B40">
        <w:rPr>
          <w:lang w:val="en-CA"/>
        </w:rPr>
        <w:t xml:space="preserve"> note</w:t>
      </w:r>
      <w:r w:rsidRPr="001A4975">
        <w:rPr>
          <w:lang w:val="en-CA"/>
        </w:rPr>
        <w:t xml:space="preserve"> </w:t>
      </w:r>
      <w:r>
        <w:fldChar w:fldCharType="begin"/>
      </w:r>
      <w:r w:rsidRPr="001A4975">
        <w:rPr>
          <w:lang w:val="en-CA"/>
        </w:rPr>
        <w:instrText xml:space="preserve"> NOTEREF _Ref152683455 \h </w:instrText>
      </w:r>
      <w:r>
        <w:fldChar w:fldCharType="separate"/>
      </w:r>
      <w:r w:rsidRPr="001A4975">
        <w:rPr>
          <w:lang w:val="en-CA"/>
        </w:rPr>
        <w:t>46</w:t>
      </w:r>
      <w:r>
        <w:fldChar w:fldCharType="end"/>
      </w:r>
      <w:r w:rsidRPr="008E1B40">
        <w:rPr>
          <w:lang w:val="en-CA"/>
        </w:rPr>
        <w:t xml:space="preserve"> at para.</w:t>
      </w:r>
      <w:r w:rsidRPr="001A4975">
        <w:rPr>
          <w:lang w:val="en-CA"/>
        </w:rPr>
        <w:t xml:space="preserve"> </w:t>
      </w:r>
      <w:r w:rsidRPr="008E1B40">
        <w:rPr>
          <w:lang w:val="en-CA"/>
        </w:rPr>
        <w:t xml:space="preserve">2, repeated in </w:t>
      </w:r>
      <w:r w:rsidRPr="008E1B40">
        <w:rPr>
          <w:i/>
          <w:iCs/>
          <w:lang w:val="en-CA"/>
        </w:rPr>
        <w:t>R. v. Sharma</w:t>
      </w:r>
      <w:r w:rsidRPr="008E1B40">
        <w:rPr>
          <w:lang w:val="en-CA"/>
        </w:rPr>
        <w:t>, 2022 SCC 39 at para.</w:t>
      </w:r>
      <w:r w:rsidRPr="001A4975">
        <w:rPr>
          <w:lang w:val="en-CA"/>
        </w:rPr>
        <w:t xml:space="preserve"> </w:t>
      </w:r>
      <w:r w:rsidRPr="008E1B40">
        <w:rPr>
          <w:lang w:val="en-CA"/>
        </w:rPr>
        <w:t>34 [</w:t>
      </w:r>
      <w:r w:rsidRPr="008E1B40">
        <w:rPr>
          <w:i/>
          <w:iCs/>
          <w:lang w:val="en-CA"/>
        </w:rPr>
        <w:t>Sharma</w:t>
      </w:r>
      <w:r w:rsidRPr="008E1B40">
        <w:rPr>
          <w:lang w:val="en-CA"/>
        </w:rPr>
        <w:t>].</w:t>
      </w:r>
    </w:p>
  </w:footnote>
  <w:footnote w:id="48">
    <w:p w14:paraId="3EEB2A24" w14:textId="5D1CD0ED" w:rsidR="00BC6A63" w:rsidRPr="00C05FA3" w:rsidRDefault="00BC6A63" w:rsidP="00BC6A63">
      <w:pPr>
        <w:pStyle w:val="Notedebasdepage"/>
        <w:rPr>
          <w:lang w:val="en-CA"/>
        </w:rPr>
      </w:pPr>
      <w:r>
        <w:rPr>
          <w:rStyle w:val="Appelnotedebasdep"/>
        </w:rPr>
        <w:footnoteRef/>
      </w:r>
      <w:r w:rsidRPr="00C05FA3">
        <w:rPr>
          <w:lang w:val="en-CA"/>
        </w:rPr>
        <w:t xml:space="preserve"> </w:t>
      </w:r>
      <w:r w:rsidRPr="00C05FA3">
        <w:rPr>
          <w:lang w:val="en-CA"/>
        </w:rPr>
        <w:tab/>
      </w:r>
      <w:r w:rsidRPr="008E1B40">
        <w:rPr>
          <w:i/>
          <w:iCs/>
          <w:lang w:val="en-CA"/>
        </w:rPr>
        <w:t>Sharma</w:t>
      </w:r>
      <w:r w:rsidR="007E4BCA">
        <w:rPr>
          <w:lang w:val="en-CA"/>
        </w:rPr>
        <w:t>,</w:t>
      </w:r>
      <w:r w:rsidRPr="008E1B40">
        <w:rPr>
          <w:lang w:val="en-CA"/>
        </w:rPr>
        <w:t xml:space="preserve"> </w:t>
      </w:r>
      <w:r w:rsidR="007E4BCA" w:rsidRPr="007E4BCA">
        <w:rPr>
          <w:i/>
          <w:iCs/>
          <w:lang w:val="en-CA"/>
        </w:rPr>
        <w:t>supra</w:t>
      </w:r>
      <w:r w:rsidR="007E4BCA" w:rsidRPr="008011AA">
        <w:rPr>
          <w:lang w:val="en-CA"/>
        </w:rPr>
        <w:t xml:space="preserve"> note </w:t>
      </w:r>
      <w:r w:rsidR="007E4BCA">
        <w:rPr>
          <w:lang w:val="en-CA"/>
        </w:rPr>
        <w:t>47</w:t>
      </w:r>
      <w:r w:rsidRPr="00C05FA3">
        <w:rPr>
          <w:lang w:val="en-CA"/>
        </w:rPr>
        <w:t>.</w:t>
      </w:r>
    </w:p>
  </w:footnote>
  <w:footnote w:id="49">
    <w:p w14:paraId="18DE030D" w14:textId="77777777" w:rsidR="00BC6A63" w:rsidRPr="00C05FA3" w:rsidRDefault="00BC6A63" w:rsidP="00BC6A63">
      <w:pPr>
        <w:pStyle w:val="Notedebasdepage"/>
        <w:rPr>
          <w:lang w:val="en-CA"/>
        </w:rPr>
      </w:pPr>
      <w:r>
        <w:rPr>
          <w:rStyle w:val="Appelnotedebasdep"/>
        </w:rPr>
        <w:footnoteRef/>
      </w:r>
      <w:r w:rsidRPr="00C05FA3">
        <w:rPr>
          <w:lang w:val="en-CA"/>
        </w:rPr>
        <w:t xml:space="preserve"> </w:t>
      </w:r>
      <w:r w:rsidRPr="00C05FA3">
        <w:rPr>
          <w:lang w:val="en-CA"/>
        </w:rPr>
        <w:tab/>
      </w:r>
      <w:r w:rsidRPr="008E1B40">
        <w:rPr>
          <w:i/>
          <w:iCs/>
          <w:lang w:val="en-CA"/>
        </w:rPr>
        <w:t>Ibid.</w:t>
      </w:r>
      <w:r w:rsidRPr="008E1B40">
        <w:rPr>
          <w:lang w:val="en-CA"/>
        </w:rPr>
        <w:t xml:space="preserve"> at para.</w:t>
      </w:r>
      <w:r w:rsidRPr="00C05FA3">
        <w:rPr>
          <w:lang w:val="en-CA"/>
        </w:rPr>
        <w:t xml:space="preserve"> 35.</w:t>
      </w:r>
    </w:p>
  </w:footnote>
  <w:footnote w:id="50">
    <w:p w14:paraId="79AA7D58" w14:textId="1D961F57" w:rsidR="0072362A" w:rsidRPr="00C05FA3" w:rsidRDefault="004A7BFD" w:rsidP="0072362A">
      <w:pPr>
        <w:pStyle w:val="Notedebasdepage"/>
        <w:rPr>
          <w:lang w:val="en-CA"/>
        </w:rPr>
      </w:pPr>
      <w:r>
        <w:rPr>
          <w:rStyle w:val="Appelnotedebasdep"/>
        </w:rPr>
        <w:footnoteRef/>
      </w:r>
      <w:r w:rsidRPr="00C05FA3">
        <w:rPr>
          <w:lang w:val="en-CA"/>
        </w:rPr>
        <w:t xml:space="preserve"> </w:t>
      </w:r>
      <w:r w:rsidRPr="00C05FA3">
        <w:rPr>
          <w:lang w:val="en-CA"/>
        </w:rPr>
        <w:tab/>
      </w:r>
      <w:r w:rsidRPr="008E1B40">
        <w:rPr>
          <w:i/>
          <w:iCs/>
          <w:lang w:val="en-CA"/>
        </w:rPr>
        <w:t>I</w:t>
      </w:r>
      <w:r w:rsidR="002C660A" w:rsidRPr="008E1B40">
        <w:rPr>
          <w:i/>
          <w:iCs/>
          <w:lang w:val="en-CA"/>
        </w:rPr>
        <w:t>bi</w:t>
      </w:r>
      <w:r w:rsidRPr="008E1B40">
        <w:rPr>
          <w:i/>
          <w:iCs/>
          <w:lang w:val="en-CA"/>
        </w:rPr>
        <w:t>d</w:t>
      </w:r>
      <w:r w:rsidRPr="008E1B40">
        <w:rPr>
          <w:lang w:val="en-CA"/>
        </w:rPr>
        <w:t xml:space="preserve">. </w:t>
      </w:r>
      <w:r w:rsidR="002C660A" w:rsidRPr="008E1B40">
        <w:rPr>
          <w:lang w:val="en-CA"/>
        </w:rPr>
        <w:t xml:space="preserve">at </w:t>
      </w:r>
      <w:r w:rsidRPr="008E1B40">
        <w:rPr>
          <w:lang w:val="en-CA"/>
        </w:rPr>
        <w:t>para.</w:t>
      </w:r>
      <w:r w:rsidRPr="00C05FA3">
        <w:rPr>
          <w:lang w:val="en-CA"/>
        </w:rPr>
        <w:t xml:space="preserve"> 28.</w:t>
      </w:r>
    </w:p>
  </w:footnote>
  <w:footnote w:id="51">
    <w:p w14:paraId="57588F1C" w14:textId="0FF93858" w:rsidR="002A5338" w:rsidRPr="00BC104D" w:rsidRDefault="002A5338" w:rsidP="002A5338">
      <w:pPr>
        <w:pStyle w:val="Notedebasdepage"/>
        <w:rPr>
          <w:lang w:val="en-CA"/>
        </w:rPr>
      </w:pPr>
      <w:r>
        <w:rPr>
          <w:rStyle w:val="Appelnotedebasdep"/>
        </w:rPr>
        <w:footnoteRef/>
      </w:r>
      <w:r w:rsidRPr="00C05FA3">
        <w:rPr>
          <w:lang w:val="en-CA"/>
        </w:rPr>
        <w:t xml:space="preserve"> </w:t>
      </w:r>
      <w:r w:rsidRPr="00C05FA3">
        <w:rPr>
          <w:lang w:val="en-CA"/>
        </w:rPr>
        <w:tab/>
      </w:r>
      <w:r w:rsidRPr="008E1B40">
        <w:rPr>
          <w:i/>
          <w:iCs/>
          <w:lang w:val="en-CA"/>
        </w:rPr>
        <w:t>Ibid</w:t>
      </w:r>
      <w:r w:rsidRPr="008E1B40">
        <w:rPr>
          <w:lang w:val="en-CA"/>
        </w:rPr>
        <w:t xml:space="preserve">. </w:t>
      </w:r>
      <w:r w:rsidR="0051103C">
        <w:rPr>
          <w:lang w:val="en-CA"/>
        </w:rPr>
        <w:t xml:space="preserve">at </w:t>
      </w:r>
      <w:r w:rsidRPr="008E1B40">
        <w:rPr>
          <w:lang w:val="en-CA"/>
        </w:rPr>
        <w:t>para.</w:t>
      </w:r>
      <w:r w:rsidRPr="00C05FA3">
        <w:rPr>
          <w:lang w:val="en-CA"/>
        </w:rPr>
        <w:t xml:space="preserve"> </w:t>
      </w:r>
      <w:r w:rsidRPr="008E1B40">
        <w:rPr>
          <w:lang w:val="en-CA"/>
        </w:rPr>
        <w:t xml:space="preserve">29, citing </w:t>
      </w:r>
      <w:r w:rsidRPr="008E1B40">
        <w:rPr>
          <w:i/>
          <w:iCs/>
          <w:lang w:val="en-CA"/>
        </w:rPr>
        <w:t>Fraser v. Canada</w:t>
      </w:r>
      <w:r w:rsidRPr="008E1B40">
        <w:rPr>
          <w:lang w:val="en-CA"/>
        </w:rPr>
        <w:t xml:space="preserve"> (</w:t>
      </w:r>
      <w:r w:rsidRPr="008E1B40">
        <w:rPr>
          <w:i/>
          <w:iCs/>
          <w:lang w:val="en-CA"/>
        </w:rPr>
        <w:t>Attorney General</w:t>
      </w:r>
      <w:r w:rsidRPr="008E1B40">
        <w:rPr>
          <w:lang w:val="en-CA"/>
        </w:rPr>
        <w:t>), 2020 SCC 28 at para.</w:t>
      </w:r>
      <w:r w:rsidRPr="002C660A">
        <w:rPr>
          <w:lang w:val="en-CA"/>
        </w:rPr>
        <w:t xml:space="preserve"> </w:t>
      </w:r>
      <w:r w:rsidRPr="008E1B40">
        <w:rPr>
          <w:lang w:val="en-CA"/>
        </w:rPr>
        <w:t>30 [</w:t>
      </w:r>
      <w:r w:rsidRPr="008E1B40">
        <w:rPr>
          <w:i/>
          <w:iCs/>
          <w:lang w:val="en-CA"/>
        </w:rPr>
        <w:t>Fraser</w:t>
      </w:r>
      <w:r w:rsidRPr="008E1B40">
        <w:rPr>
          <w:lang w:val="en-CA"/>
        </w:rPr>
        <w:t xml:space="preserve">]; </w:t>
      </w:r>
      <w:proofErr w:type="spellStart"/>
      <w:r w:rsidRPr="008E1B40">
        <w:rPr>
          <w:i/>
          <w:iCs/>
          <w:lang w:val="en-CA"/>
        </w:rPr>
        <w:t>Withler</w:t>
      </w:r>
      <w:proofErr w:type="spellEnd"/>
      <w:r w:rsidR="00D76F32">
        <w:rPr>
          <w:i/>
          <w:iCs/>
          <w:lang w:val="en-CA"/>
        </w:rPr>
        <w:t>,</w:t>
      </w:r>
      <w:r w:rsidRPr="008E1B40">
        <w:rPr>
          <w:lang w:val="en-CA"/>
        </w:rPr>
        <w:t xml:space="preserve"> </w:t>
      </w:r>
      <w:r w:rsidRPr="008E1B40">
        <w:rPr>
          <w:i/>
          <w:iCs/>
          <w:lang w:val="en-CA"/>
        </w:rPr>
        <w:t>supra</w:t>
      </w:r>
      <w:r w:rsidRPr="008E1B40">
        <w:rPr>
          <w:lang w:val="en-CA"/>
        </w:rPr>
        <w:t xml:space="preserve"> note</w:t>
      </w:r>
      <w:r w:rsidRPr="00BC104D">
        <w:rPr>
          <w:lang w:val="en-CA"/>
        </w:rPr>
        <w:t xml:space="preserve"> </w:t>
      </w:r>
      <w:r>
        <w:fldChar w:fldCharType="begin"/>
      </w:r>
      <w:r w:rsidRPr="00BC104D">
        <w:rPr>
          <w:lang w:val="en-CA"/>
        </w:rPr>
        <w:instrText xml:space="preserve"> NOTEREF _Ref152683455 \h </w:instrText>
      </w:r>
      <w:r>
        <w:fldChar w:fldCharType="separate"/>
      </w:r>
      <w:r w:rsidRPr="00BC104D">
        <w:rPr>
          <w:lang w:val="en-CA"/>
        </w:rPr>
        <w:t>46</w:t>
      </w:r>
      <w:r>
        <w:fldChar w:fldCharType="end"/>
      </w:r>
      <w:r w:rsidRPr="008E1B40">
        <w:rPr>
          <w:lang w:val="en-CA"/>
        </w:rPr>
        <w:t xml:space="preserve"> at para.</w:t>
      </w:r>
      <w:r w:rsidRPr="00BC104D">
        <w:rPr>
          <w:lang w:val="en-CA"/>
        </w:rPr>
        <w:t xml:space="preserve"> 64.</w:t>
      </w:r>
    </w:p>
  </w:footnote>
  <w:footnote w:id="52">
    <w:p w14:paraId="03BB4D5A" w14:textId="66F3361F" w:rsidR="002A5338" w:rsidRPr="00BC104D" w:rsidRDefault="002A5338" w:rsidP="002A5338">
      <w:pPr>
        <w:pStyle w:val="Notedebasdepage"/>
        <w:rPr>
          <w:lang w:val="en-CA"/>
        </w:rPr>
      </w:pPr>
      <w:r>
        <w:rPr>
          <w:rStyle w:val="Appelnotedebasdep"/>
        </w:rPr>
        <w:footnoteRef/>
      </w:r>
      <w:r w:rsidRPr="002C660A">
        <w:rPr>
          <w:lang w:val="en-CA"/>
        </w:rPr>
        <w:t xml:space="preserve"> </w:t>
      </w:r>
      <w:r w:rsidRPr="002C660A">
        <w:rPr>
          <w:lang w:val="en-CA"/>
        </w:rPr>
        <w:tab/>
      </w:r>
      <w:r w:rsidRPr="008E1B40">
        <w:rPr>
          <w:i/>
          <w:iCs/>
          <w:lang w:val="en-CA"/>
        </w:rPr>
        <w:t>Sharma</w:t>
      </w:r>
      <w:r w:rsidR="00D76F32">
        <w:rPr>
          <w:i/>
          <w:iCs/>
          <w:lang w:val="en-CA"/>
        </w:rPr>
        <w:t>,</w:t>
      </w:r>
      <w:r w:rsidRPr="008E1B40">
        <w:rPr>
          <w:lang w:val="en-CA"/>
        </w:rPr>
        <w:t xml:space="preserve"> </w:t>
      </w:r>
      <w:r w:rsidRPr="008E1B40">
        <w:rPr>
          <w:i/>
          <w:iCs/>
          <w:lang w:val="en-CA"/>
        </w:rPr>
        <w:t>supra</w:t>
      </w:r>
      <w:r w:rsidRPr="008E1B40">
        <w:rPr>
          <w:lang w:val="en-CA"/>
        </w:rPr>
        <w:t xml:space="preserve"> note</w:t>
      </w:r>
      <w:r w:rsidRPr="002C660A">
        <w:rPr>
          <w:lang w:val="en-CA"/>
        </w:rPr>
        <w:t xml:space="preserve"> </w:t>
      </w:r>
      <w:r>
        <w:fldChar w:fldCharType="begin"/>
      </w:r>
      <w:r w:rsidRPr="002C660A">
        <w:rPr>
          <w:lang w:val="en-CA"/>
        </w:rPr>
        <w:instrText xml:space="preserve"> NOTEREF _Ref152683563 \h </w:instrText>
      </w:r>
      <w:r>
        <w:fldChar w:fldCharType="separate"/>
      </w:r>
      <w:r w:rsidRPr="002C660A">
        <w:rPr>
          <w:lang w:val="en-CA"/>
        </w:rPr>
        <w:t>47</w:t>
      </w:r>
      <w:r>
        <w:fldChar w:fldCharType="end"/>
      </w:r>
      <w:r w:rsidRPr="008E1B40">
        <w:rPr>
          <w:lang w:val="en-CA"/>
        </w:rPr>
        <w:t xml:space="preserve"> at para.</w:t>
      </w:r>
      <w:r w:rsidRPr="002C660A">
        <w:rPr>
          <w:lang w:val="en-CA"/>
        </w:rPr>
        <w:t xml:space="preserve"> </w:t>
      </w:r>
      <w:r w:rsidRPr="00BC104D">
        <w:rPr>
          <w:lang w:val="en-CA"/>
        </w:rPr>
        <w:t>40.</w:t>
      </w:r>
    </w:p>
  </w:footnote>
  <w:footnote w:id="53">
    <w:p w14:paraId="5676DD19" w14:textId="1B703F45" w:rsidR="002A5338" w:rsidRPr="002C660A" w:rsidRDefault="002A5338" w:rsidP="002A5338">
      <w:pPr>
        <w:pStyle w:val="Notedebasdepage"/>
        <w:rPr>
          <w:lang w:val="en-CA"/>
        </w:rPr>
      </w:pPr>
      <w:r>
        <w:rPr>
          <w:rStyle w:val="Appelnotedebasdep"/>
        </w:rPr>
        <w:footnoteRef/>
      </w:r>
      <w:r w:rsidRPr="00BC104D">
        <w:rPr>
          <w:lang w:val="en-CA"/>
        </w:rPr>
        <w:t xml:space="preserve"> </w:t>
      </w:r>
      <w:r w:rsidRPr="00BC104D">
        <w:rPr>
          <w:lang w:val="en-CA"/>
        </w:rPr>
        <w:tab/>
      </w:r>
      <w:r w:rsidRPr="008E1B40">
        <w:rPr>
          <w:i/>
          <w:iCs/>
          <w:lang w:val="en-CA"/>
        </w:rPr>
        <w:t>Fraser</w:t>
      </w:r>
      <w:r w:rsidR="00D76F32">
        <w:rPr>
          <w:i/>
          <w:iCs/>
          <w:lang w:val="en-CA"/>
        </w:rPr>
        <w:t>,</w:t>
      </w:r>
      <w:r w:rsidRPr="008E1B40">
        <w:rPr>
          <w:lang w:val="en-CA"/>
        </w:rPr>
        <w:t xml:space="preserve"> </w:t>
      </w:r>
      <w:r w:rsidRPr="008E1B40">
        <w:rPr>
          <w:i/>
          <w:iCs/>
          <w:lang w:val="en-CA"/>
        </w:rPr>
        <w:t>supra</w:t>
      </w:r>
      <w:r w:rsidRPr="008E1B40">
        <w:rPr>
          <w:lang w:val="en-CA"/>
        </w:rPr>
        <w:t xml:space="preserve"> note</w:t>
      </w:r>
      <w:r w:rsidRPr="00BC104D">
        <w:rPr>
          <w:lang w:val="en-CA"/>
        </w:rPr>
        <w:t xml:space="preserve"> </w:t>
      </w:r>
      <w:r>
        <w:fldChar w:fldCharType="begin"/>
      </w:r>
      <w:r w:rsidRPr="00BC104D">
        <w:rPr>
          <w:lang w:val="en-CA"/>
        </w:rPr>
        <w:instrText xml:space="preserve"> NOTEREF _Ref152683882 \h </w:instrText>
      </w:r>
      <w:r>
        <w:fldChar w:fldCharType="separate"/>
      </w:r>
      <w:r w:rsidRPr="00BC104D">
        <w:rPr>
          <w:lang w:val="en-CA"/>
        </w:rPr>
        <w:t>51</w:t>
      </w:r>
      <w:r>
        <w:fldChar w:fldCharType="end"/>
      </w:r>
      <w:r w:rsidRPr="008E1B40">
        <w:rPr>
          <w:lang w:val="en-CA"/>
        </w:rPr>
        <w:t xml:space="preserve"> at para.</w:t>
      </w:r>
      <w:r w:rsidRPr="00BC104D">
        <w:rPr>
          <w:lang w:val="en-CA"/>
        </w:rPr>
        <w:t xml:space="preserve"> </w:t>
      </w:r>
      <w:r w:rsidRPr="008E1B40">
        <w:rPr>
          <w:lang w:val="en-CA"/>
        </w:rPr>
        <w:t xml:space="preserve">53, citing </w:t>
      </w:r>
      <w:r w:rsidRPr="008E1B40">
        <w:rPr>
          <w:i/>
          <w:iCs/>
          <w:lang w:val="en-CA"/>
        </w:rPr>
        <w:t>Eldridge v. British Columbia (Attorney General)</w:t>
      </w:r>
      <w:r w:rsidRPr="008E1B40">
        <w:rPr>
          <w:lang w:val="en-CA"/>
        </w:rPr>
        <w:t>, [1997] 3 SCR</w:t>
      </w:r>
      <w:r w:rsidRPr="002C660A">
        <w:rPr>
          <w:lang w:val="en-CA"/>
        </w:rPr>
        <w:t xml:space="preserve"> </w:t>
      </w:r>
      <w:r w:rsidRPr="008E1B40">
        <w:rPr>
          <w:lang w:val="en-CA"/>
        </w:rPr>
        <w:t>624 at paras.</w:t>
      </w:r>
      <w:r w:rsidRPr="002C660A">
        <w:rPr>
          <w:lang w:val="en-CA"/>
        </w:rPr>
        <w:t xml:space="preserve"> </w:t>
      </w:r>
      <w:r w:rsidRPr="008E1B40">
        <w:rPr>
          <w:lang w:val="en-CA"/>
        </w:rPr>
        <w:t>60–62 [</w:t>
      </w:r>
      <w:r w:rsidRPr="008E1B40">
        <w:rPr>
          <w:i/>
          <w:iCs/>
          <w:lang w:val="en-CA"/>
        </w:rPr>
        <w:t>Eldridge</w:t>
      </w:r>
      <w:r w:rsidRPr="008E1B40">
        <w:rPr>
          <w:lang w:val="en-CA"/>
        </w:rPr>
        <w:t xml:space="preserve">]; </w:t>
      </w:r>
      <w:proofErr w:type="spellStart"/>
      <w:r w:rsidRPr="008E1B40">
        <w:rPr>
          <w:i/>
          <w:iCs/>
          <w:lang w:val="en-CA"/>
        </w:rPr>
        <w:t>Vriend</w:t>
      </w:r>
      <w:proofErr w:type="spellEnd"/>
      <w:r w:rsidRPr="008E1B40">
        <w:rPr>
          <w:i/>
          <w:iCs/>
          <w:lang w:val="en-CA"/>
        </w:rPr>
        <w:t xml:space="preserve"> v. Alberta</w:t>
      </w:r>
      <w:r w:rsidRPr="008E1B40">
        <w:rPr>
          <w:lang w:val="en-CA"/>
        </w:rPr>
        <w:t>, [1998] 1 SCR</w:t>
      </w:r>
      <w:r w:rsidRPr="00BC104D">
        <w:rPr>
          <w:lang w:val="en-CA"/>
        </w:rPr>
        <w:t xml:space="preserve"> </w:t>
      </w:r>
      <w:r w:rsidRPr="008E1B40">
        <w:rPr>
          <w:lang w:val="en-CA"/>
        </w:rPr>
        <w:t>493 at para.</w:t>
      </w:r>
      <w:r w:rsidRPr="00BC104D">
        <w:rPr>
          <w:lang w:val="en-CA"/>
        </w:rPr>
        <w:t xml:space="preserve"> </w:t>
      </w:r>
      <w:r w:rsidRPr="008E1B40">
        <w:rPr>
          <w:lang w:val="en-CA"/>
        </w:rPr>
        <w:t xml:space="preserve">82; </w:t>
      </w:r>
      <w:r w:rsidRPr="008E1B40">
        <w:rPr>
          <w:i/>
          <w:iCs/>
          <w:lang w:val="en-CA"/>
        </w:rPr>
        <w:t>British Columbia (Public Service Employee Relations Commission) v. BCGSEU</w:t>
      </w:r>
      <w:r w:rsidRPr="008E1B40">
        <w:rPr>
          <w:lang w:val="en-CA"/>
        </w:rPr>
        <w:t xml:space="preserve">, [1999] 3 </w:t>
      </w:r>
      <w:r w:rsidRPr="00BC104D">
        <w:rPr>
          <w:lang w:val="en-CA"/>
        </w:rPr>
        <w:t xml:space="preserve">SCR </w:t>
      </w:r>
      <w:r w:rsidRPr="008E1B40">
        <w:rPr>
          <w:lang w:val="en-CA"/>
        </w:rPr>
        <w:t xml:space="preserve">3; </w:t>
      </w:r>
      <w:r w:rsidRPr="008E1B40">
        <w:rPr>
          <w:i/>
          <w:iCs/>
          <w:color w:val="000000"/>
          <w:lang w:val="en-CA"/>
        </w:rPr>
        <w:t>Ont. Human Rights Comm v. Simpsons</w:t>
      </w:r>
      <w:r w:rsidRPr="008E1B40">
        <w:rPr>
          <w:i/>
          <w:iCs/>
          <w:color w:val="000000"/>
          <w:lang w:val="en-CA"/>
        </w:rPr>
        <w:noBreakHyphen/>
        <w:t>Sears</w:t>
      </w:r>
      <w:r w:rsidRPr="008E1B40">
        <w:rPr>
          <w:color w:val="000000"/>
          <w:lang w:val="en-CA"/>
        </w:rPr>
        <w:t>, [1985] 2 SCR</w:t>
      </w:r>
      <w:r w:rsidRPr="002C660A">
        <w:rPr>
          <w:color w:val="000000"/>
          <w:lang w:val="en-CA"/>
        </w:rPr>
        <w:t xml:space="preserve"> 536.</w:t>
      </w:r>
    </w:p>
  </w:footnote>
  <w:footnote w:id="54">
    <w:p w14:paraId="2843446D" w14:textId="4C2A366E" w:rsidR="002A5338" w:rsidRPr="00D97121" w:rsidRDefault="002A5338" w:rsidP="002A5338">
      <w:pPr>
        <w:pStyle w:val="Notedebasdepage"/>
      </w:pPr>
      <w:r>
        <w:rPr>
          <w:rStyle w:val="Appelnotedebasdep"/>
        </w:rPr>
        <w:footnoteRef/>
      </w:r>
      <w:r w:rsidRPr="002C660A">
        <w:rPr>
          <w:lang w:val="en-CA"/>
        </w:rPr>
        <w:t xml:space="preserve"> </w:t>
      </w:r>
      <w:r w:rsidRPr="002C660A">
        <w:rPr>
          <w:lang w:val="en-CA"/>
        </w:rPr>
        <w:tab/>
      </w:r>
      <w:r w:rsidRPr="008E1B40">
        <w:rPr>
          <w:i/>
          <w:iCs/>
          <w:lang w:val="en-CA"/>
        </w:rPr>
        <w:t>Fraser</w:t>
      </w:r>
      <w:r w:rsidR="00D76F32">
        <w:rPr>
          <w:i/>
          <w:iCs/>
          <w:lang w:val="en-CA"/>
        </w:rPr>
        <w:t>,</w:t>
      </w:r>
      <w:r w:rsidRPr="008E1B40">
        <w:rPr>
          <w:i/>
          <w:iCs/>
          <w:lang w:val="en-CA"/>
        </w:rPr>
        <w:t xml:space="preserve"> supra</w:t>
      </w:r>
      <w:r w:rsidRPr="008E1B40">
        <w:rPr>
          <w:lang w:val="en-CA"/>
        </w:rPr>
        <w:t xml:space="preserve"> note</w:t>
      </w:r>
      <w:r w:rsidRPr="002C660A">
        <w:rPr>
          <w:lang w:val="en-CA"/>
        </w:rPr>
        <w:t xml:space="preserve"> </w:t>
      </w:r>
      <w:r>
        <w:fldChar w:fldCharType="begin"/>
      </w:r>
      <w:r w:rsidRPr="002C660A">
        <w:rPr>
          <w:lang w:val="en-CA"/>
        </w:rPr>
        <w:instrText xml:space="preserve"> NOTEREF _Ref152683882 \h </w:instrText>
      </w:r>
      <w:r>
        <w:fldChar w:fldCharType="separate"/>
      </w:r>
      <w:r w:rsidRPr="002C660A">
        <w:rPr>
          <w:lang w:val="en-CA"/>
        </w:rPr>
        <w:t>51</w:t>
      </w:r>
      <w:r>
        <w:fldChar w:fldCharType="end"/>
      </w:r>
      <w:r w:rsidRPr="008E1B40">
        <w:rPr>
          <w:lang w:val="en-CA"/>
        </w:rPr>
        <w:t xml:space="preserve"> at para.</w:t>
      </w:r>
      <w:r w:rsidRPr="002C660A">
        <w:rPr>
          <w:lang w:val="en-CA"/>
        </w:rPr>
        <w:t> </w:t>
      </w:r>
      <w:r w:rsidRPr="008E1B40">
        <w:rPr>
          <w:lang w:val="en-CA"/>
        </w:rPr>
        <w:t xml:space="preserve">54, citing </w:t>
      </w:r>
      <w:r w:rsidRPr="008E1B40">
        <w:rPr>
          <w:i/>
          <w:iCs/>
          <w:lang w:val="en-CA"/>
        </w:rPr>
        <w:t>Eldridge</w:t>
      </w:r>
      <w:r w:rsidR="00D76F32">
        <w:rPr>
          <w:i/>
          <w:iCs/>
          <w:lang w:val="en-CA"/>
        </w:rPr>
        <w:t>,</w:t>
      </w:r>
      <w:r w:rsidRPr="008E1B40">
        <w:rPr>
          <w:lang w:val="en-CA"/>
        </w:rPr>
        <w:t xml:space="preserve"> </w:t>
      </w:r>
      <w:r w:rsidRPr="008E1B40">
        <w:rPr>
          <w:i/>
          <w:iCs/>
          <w:lang w:val="en-CA"/>
        </w:rPr>
        <w:t>supra</w:t>
      </w:r>
      <w:r w:rsidRPr="008E1B40">
        <w:rPr>
          <w:lang w:val="en-CA"/>
        </w:rPr>
        <w:t xml:space="preserve"> note</w:t>
      </w:r>
      <w:r w:rsidRPr="002C660A">
        <w:rPr>
          <w:lang w:val="en-CA"/>
        </w:rPr>
        <w:t xml:space="preserve"> </w:t>
      </w:r>
      <w:r>
        <w:fldChar w:fldCharType="begin"/>
      </w:r>
      <w:r w:rsidRPr="002C660A">
        <w:rPr>
          <w:lang w:val="en-CA"/>
        </w:rPr>
        <w:instrText xml:space="preserve"> NOTEREF _Ref152684220 \h </w:instrText>
      </w:r>
      <w:r>
        <w:fldChar w:fldCharType="separate"/>
      </w:r>
      <w:r w:rsidRPr="002C660A">
        <w:rPr>
          <w:lang w:val="en-CA"/>
        </w:rPr>
        <w:t>53</w:t>
      </w:r>
      <w:r>
        <w:fldChar w:fldCharType="end"/>
      </w:r>
      <w:r w:rsidRPr="002C660A">
        <w:rPr>
          <w:lang w:val="en-CA"/>
        </w:rPr>
        <w:t xml:space="preserve"> at </w:t>
      </w:r>
      <w:r w:rsidRPr="008E1B40">
        <w:rPr>
          <w:lang w:val="en-CA"/>
        </w:rPr>
        <w:t>paras.</w:t>
      </w:r>
      <w:r w:rsidRPr="002C660A">
        <w:rPr>
          <w:lang w:val="en-CA"/>
        </w:rPr>
        <w:t> </w:t>
      </w:r>
      <w:r w:rsidRPr="00D97121">
        <w:t>69, 71 and 83.</w:t>
      </w:r>
    </w:p>
  </w:footnote>
  <w:footnote w:id="55">
    <w:p w14:paraId="3289269E" w14:textId="11512731" w:rsidR="002A5338" w:rsidRPr="00BC104D" w:rsidRDefault="002A5338" w:rsidP="002A5338">
      <w:pPr>
        <w:pStyle w:val="Notedebasdepage"/>
        <w:rPr>
          <w:lang w:val="en-CA"/>
        </w:rPr>
      </w:pPr>
      <w:r>
        <w:rPr>
          <w:rStyle w:val="Appelnotedebasdep"/>
        </w:rPr>
        <w:footnoteRef/>
      </w:r>
      <w:r w:rsidRPr="00D97121">
        <w:rPr>
          <w:lang w:val="en-CA"/>
        </w:rPr>
        <w:t xml:space="preserve"> </w:t>
      </w:r>
      <w:r w:rsidRPr="00D97121">
        <w:rPr>
          <w:lang w:val="en-CA"/>
        </w:rPr>
        <w:tab/>
      </w:r>
      <w:r w:rsidRPr="00D97121">
        <w:rPr>
          <w:i/>
          <w:iCs/>
          <w:lang w:val="en-CA"/>
        </w:rPr>
        <w:t>Sharma</w:t>
      </w:r>
      <w:r w:rsidR="00D76F32" w:rsidRPr="00D97121">
        <w:rPr>
          <w:i/>
          <w:iCs/>
          <w:lang w:val="en-CA"/>
        </w:rPr>
        <w:t>,</w:t>
      </w:r>
      <w:r w:rsidRPr="00D97121">
        <w:rPr>
          <w:lang w:val="en-CA"/>
        </w:rPr>
        <w:t xml:space="preserve"> </w:t>
      </w:r>
      <w:r w:rsidRPr="00D97121">
        <w:rPr>
          <w:i/>
          <w:iCs/>
          <w:lang w:val="en-CA"/>
        </w:rPr>
        <w:t>supra</w:t>
      </w:r>
      <w:r w:rsidRPr="00D97121">
        <w:rPr>
          <w:lang w:val="en-CA"/>
        </w:rPr>
        <w:t xml:space="preserve"> note </w:t>
      </w:r>
      <w:r>
        <w:fldChar w:fldCharType="begin"/>
      </w:r>
      <w:r w:rsidRPr="00D97121">
        <w:rPr>
          <w:lang w:val="en-CA"/>
        </w:rPr>
        <w:instrText xml:space="preserve"> NOTEREF _Ref152683563 \h </w:instrText>
      </w:r>
      <w:r>
        <w:fldChar w:fldCharType="separate"/>
      </w:r>
      <w:r w:rsidRPr="00D97121">
        <w:rPr>
          <w:lang w:val="en-CA"/>
        </w:rPr>
        <w:t>47</w:t>
      </w:r>
      <w:r>
        <w:fldChar w:fldCharType="end"/>
      </w:r>
      <w:r w:rsidRPr="00D97121">
        <w:rPr>
          <w:lang w:val="en-CA"/>
        </w:rPr>
        <w:t xml:space="preserve"> at para. </w:t>
      </w:r>
      <w:r w:rsidRPr="008E1B40">
        <w:t xml:space="preserve">63, </w:t>
      </w:r>
      <w:proofErr w:type="spellStart"/>
      <w:r w:rsidRPr="008E1B40">
        <w:t>citing</w:t>
      </w:r>
      <w:proofErr w:type="spellEnd"/>
      <w:r w:rsidRPr="008E1B40">
        <w:t xml:space="preserve"> </w:t>
      </w:r>
      <w:r w:rsidRPr="008E1B40">
        <w:rPr>
          <w:i/>
          <w:iCs/>
        </w:rPr>
        <w:t>Alliance du personnel professionnel et technique de la santé et des services sociaux</w:t>
      </w:r>
      <w:r w:rsidRPr="008E1B40">
        <w:t>, 2018 SCC 17 at paras.</w:t>
      </w:r>
      <w:r>
        <w:t xml:space="preserve"> </w:t>
      </w:r>
      <w:r w:rsidRPr="008E1B40">
        <w:rPr>
          <w:lang w:val="en-CA"/>
        </w:rPr>
        <w:t xml:space="preserve">33, 39 and 42; </w:t>
      </w:r>
      <w:proofErr w:type="spellStart"/>
      <w:r w:rsidRPr="008E1B40">
        <w:rPr>
          <w:i/>
          <w:iCs/>
          <w:lang w:val="en-CA"/>
        </w:rPr>
        <w:t>A</w:t>
      </w:r>
      <w:r w:rsidRPr="008E1B40">
        <w:rPr>
          <w:i/>
          <w:iCs/>
          <w:color w:val="000000"/>
          <w:lang w:val="en-CA"/>
        </w:rPr>
        <w:t>uton</w:t>
      </w:r>
      <w:proofErr w:type="spellEnd"/>
      <w:r w:rsidRPr="008E1B40">
        <w:rPr>
          <w:i/>
          <w:iCs/>
          <w:color w:val="000000"/>
          <w:lang w:val="en-CA"/>
        </w:rPr>
        <w:t xml:space="preserve"> (Guardian ad litem of) v. British Columbia (Attorney General)</w:t>
      </w:r>
      <w:r w:rsidRPr="008E1B40">
        <w:rPr>
          <w:color w:val="000000"/>
          <w:lang w:val="en-CA"/>
        </w:rPr>
        <w:t xml:space="preserve">, </w:t>
      </w:r>
      <w:r w:rsidRPr="008E1B40">
        <w:rPr>
          <w:lang w:val="en-CA"/>
        </w:rPr>
        <w:t>2004 SCC 78 at para.</w:t>
      </w:r>
      <w:r w:rsidRPr="002C660A">
        <w:rPr>
          <w:lang w:val="en-CA"/>
        </w:rPr>
        <w:t xml:space="preserve"> </w:t>
      </w:r>
      <w:r w:rsidRPr="008E1B40">
        <w:rPr>
          <w:lang w:val="en-CA"/>
        </w:rPr>
        <w:t xml:space="preserve">41; </w:t>
      </w:r>
      <w:r w:rsidRPr="008E1B40">
        <w:rPr>
          <w:i/>
          <w:iCs/>
          <w:lang w:val="en-CA"/>
        </w:rPr>
        <w:t>Eldridge</w:t>
      </w:r>
      <w:r w:rsidR="00D76F32">
        <w:rPr>
          <w:i/>
          <w:iCs/>
          <w:lang w:val="en-CA"/>
        </w:rPr>
        <w:t>,</w:t>
      </w:r>
      <w:r w:rsidRPr="008E1B40">
        <w:rPr>
          <w:lang w:val="en-CA"/>
        </w:rPr>
        <w:t xml:space="preserve"> </w:t>
      </w:r>
      <w:r w:rsidRPr="008E1B40">
        <w:rPr>
          <w:i/>
          <w:iCs/>
          <w:lang w:val="en-CA"/>
        </w:rPr>
        <w:t>supra</w:t>
      </w:r>
      <w:r w:rsidRPr="008E1B40">
        <w:rPr>
          <w:lang w:val="en-CA"/>
        </w:rPr>
        <w:t xml:space="preserve"> note</w:t>
      </w:r>
      <w:r w:rsidRPr="002C660A">
        <w:rPr>
          <w:lang w:val="en-CA"/>
        </w:rPr>
        <w:t xml:space="preserve"> </w:t>
      </w:r>
      <w:r>
        <w:fldChar w:fldCharType="begin"/>
      </w:r>
      <w:r w:rsidRPr="002C660A">
        <w:rPr>
          <w:lang w:val="en-CA"/>
        </w:rPr>
        <w:instrText xml:space="preserve"> NOTEREF _Ref152684220 \h </w:instrText>
      </w:r>
      <w:r>
        <w:fldChar w:fldCharType="separate"/>
      </w:r>
      <w:r w:rsidRPr="002C660A">
        <w:rPr>
          <w:lang w:val="en-CA"/>
        </w:rPr>
        <w:t>53</w:t>
      </w:r>
      <w:r>
        <w:fldChar w:fldCharType="end"/>
      </w:r>
      <w:r w:rsidRPr="008E1B40">
        <w:rPr>
          <w:lang w:val="en-CA"/>
        </w:rPr>
        <w:t xml:space="preserve"> at para.</w:t>
      </w:r>
      <w:r w:rsidRPr="002C660A">
        <w:rPr>
          <w:lang w:val="en-CA"/>
        </w:rPr>
        <w:t> </w:t>
      </w:r>
      <w:r w:rsidRPr="008E1B40">
        <w:rPr>
          <w:lang w:val="en-CA"/>
        </w:rPr>
        <w:t xml:space="preserve">73; </w:t>
      </w:r>
      <w:proofErr w:type="spellStart"/>
      <w:r w:rsidRPr="008E1B40">
        <w:rPr>
          <w:i/>
          <w:iCs/>
          <w:color w:val="000000"/>
          <w:lang w:val="en-CA"/>
        </w:rPr>
        <w:t>Thibaudeau</w:t>
      </w:r>
      <w:proofErr w:type="spellEnd"/>
      <w:r w:rsidRPr="008E1B40">
        <w:rPr>
          <w:i/>
          <w:iCs/>
          <w:color w:val="000000"/>
          <w:lang w:val="en-CA"/>
        </w:rPr>
        <w:t xml:space="preserve"> v. Canada</w:t>
      </w:r>
      <w:r w:rsidRPr="008E1B40">
        <w:rPr>
          <w:color w:val="000000"/>
          <w:lang w:val="en-CA"/>
        </w:rPr>
        <w:t>, [1995] 2 </w:t>
      </w:r>
      <w:r>
        <w:rPr>
          <w:color w:val="000000"/>
          <w:lang w:val="en-CA"/>
        </w:rPr>
        <w:t>SCR</w:t>
      </w:r>
      <w:r w:rsidRPr="002C660A">
        <w:rPr>
          <w:color w:val="000000"/>
          <w:lang w:val="en-CA"/>
        </w:rPr>
        <w:t xml:space="preserve"> </w:t>
      </w:r>
      <w:r w:rsidRPr="008E1B40">
        <w:rPr>
          <w:color w:val="000000"/>
          <w:lang w:val="en-CA"/>
        </w:rPr>
        <w:t>627 at para.</w:t>
      </w:r>
      <w:r w:rsidRPr="002C660A">
        <w:rPr>
          <w:color w:val="000000"/>
          <w:lang w:val="en-CA"/>
        </w:rPr>
        <w:t> </w:t>
      </w:r>
      <w:r w:rsidRPr="00BC104D">
        <w:rPr>
          <w:color w:val="000000"/>
          <w:lang w:val="en-CA"/>
        </w:rPr>
        <w:t>37.</w:t>
      </w:r>
    </w:p>
  </w:footnote>
  <w:footnote w:id="56">
    <w:p w14:paraId="586A5493" w14:textId="04E34639" w:rsidR="0070159E" w:rsidRPr="002C660A" w:rsidRDefault="004A7BFD" w:rsidP="0070159E">
      <w:pPr>
        <w:pStyle w:val="Notedebasdepage"/>
        <w:rPr>
          <w:lang w:val="en-CA"/>
        </w:rPr>
      </w:pPr>
      <w:r>
        <w:rPr>
          <w:rStyle w:val="Appelnotedebasdep"/>
        </w:rPr>
        <w:footnoteRef/>
      </w:r>
      <w:r w:rsidRPr="002C660A">
        <w:rPr>
          <w:lang w:val="en-CA"/>
        </w:rPr>
        <w:t xml:space="preserve"> </w:t>
      </w:r>
      <w:r w:rsidRPr="002C660A">
        <w:rPr>
          <w:lang w:val="en-CA"/>
        </w:rPr>
        <w:tab/>
      </w:r>
      <w:r w:rsidRPr="008E1B40">
        <w:rPr>
          <w:i/>
          <w:iCs/>
          <w:lang w:val="en-CA"/>
        </w:rPr>
        <w:t>Sharma</w:t>
      </w:r>
      <w:r w:rsidR="00D76F32">
        <w:rPr>
          <w:i/>
          <w:iCs/>
          <w:lang w:val="en-CA"/>
        </w:rPr>
        <w:t>,</w:t>
      </w:r>
      <w:r w:rsidRPr="008E1B40">
        <w:rPr>
          <w:lang w:val="en-CA"/>
        </w:rPr>
        <w:t xml:space="preserve"> </w:t>
      </w:r>
      <w:r w:rsidRPr="008E1B40">
        <w:rPr>
          <w:i/>
          <w:iCs/>
          <w:lang w:val="en-CA"/>
        </w:rPr>
        <w:t>supra</w:t>
      </w:r>
      <w:r w:rsidRPr="008E1B40">
        <w:rPr>
          <w:lang w:val="en-CA"/>
        </w:rPr>
        <w:t xml:space="preserve"> note</w:t>
      </w:r>
      <w:r w:rsidRPr="002C660A">
        <w:rPr>
          <w:lang w:val="en-CA"/>
        </w:rPr>
        <w:t xml:space="preserve"> </w:t>
      </w:r>
      <w:r>
        <w:fldChar w:fldCharType="begin"/>
      </w:r>
      <w:r w:rsidRPr="002C660A">
        <w:rPr>
          <w:lang w:val="en-CA"/>
        </w:rPr>
        <w:instrText xml:space="preserve"> NOTEREF _Ref152683563 \h </w:instrText>
      </w:r>
      <w:r>
        <w:fldChar w:fldCharType="separate"/>
      </w:r>
      <w:r w:rsidR="009B260D" w:rsidRPr="002C660A">
        <w:rPr>
          <w:lang w:val="en-CA"/>
        </w:rPr>
        <w:t>47</w:t>
      </w:r>
      <w:r>
        <w:fldChar w:fldCharType="end"/>
      </w:r>
      <w:r w:rsidRPr="008E1B40">
        <w:rPr>
          <w:lang w:val="en-CA"/>
        </w:rPr>
        <w:t xml:space="preserve"> </w:t>
      </w:r>
      <w:r w:rsidR="002C660A" w:rsidRPr="008E1B40">
        <w:rPr>
          <w:lang w:val="en-CA"/>
        </w:rPr>
        <w:t xml:space="preserve">at </w:t>
      </w:r>
      <w:r w:rsidRPr="008E1B40">
        <w:rPr>
          <w:lang w:val="en-CA"/>
        </w:rPr>
        <w:t>para.</w:t>
      </w:r>
      <w:r w:rsidRPr="002C660A">
        <w:rPr>
          <w:lang w:val="en-CA"/>
        </w:rPr>
        <w:t xml:space="preserve"> </w:t>
      </w:r>
      <w:r w:rsidRPr="008E1B40">
        <w:rPr>
          <w:lang w:val="en-CA"/>
        </w:rPr>
        <w:t>41, cit</w:t>
      </w:r>
      <w:r w:rsidR="002C660A" w:rsidRPr="008E1B40">
        <w:rPr>
          <w:lang w:val="en-CA"/>
        </w:rPr>
        <w:t>ing</w:t>
      </w:r>
      <w:r w:rsidRPr="008E1B40">
        <w:rPr>
          <w:lang w:val="en-CA"/>
        </w:rPr>
        <w:t xml:space="preserve"> </w:t>
      </w:r>
      <w:r w:rsidRPr="008E1B40">
        <w:rPr>
          <w:i/>
          <w:iCs/>
          <w:lang w:val="en-CA"/>
        </w:rPr>
        <w:t>Fraser supra</w:t>
      </w:r>
      <w:r w:rsidRPr="008E1B40">
        <w:rPr>
          <w:lang w:val="en-CA"/>
        </w:rPr>
        <w:t xml:space="preserve"> note</w:t>
      </w:r>
      <w:r w:rsidRPr="002C660A">
        <w:rPr>
          <w:lang w:val="en-CA"/>
        </w:rPr>
        <w:t xml:space="preserve"> </w:t>
      </w:r>
      <w:r>
        <w:fldChar w:fldCharType="begin"/>
      </w:r>
      <w:r w:rsidRPr="002C660A">
        <w:rPr>
          <w:lang w:val="en-CA"/>
        </w:rPr>
        <w:instrText xml:space="preserve"> NOTEREF _Ref152683882 \h </w:instrText>
      </w:r>
      <w:r>
        <w:fldChar w:fldCharType="separate"/>
      </w:r>
      <w:r w:rsidR="009B260D" w:rsidRPr="002C660A">
        <w:rPr>
          <w:lang w:val="en-CA"/>
        </w:rPr>
        <w:t>51</w:t>
      </w:r>
      <w:r>
        <w:fldChar w:fldCharType="end"/>
      </w:r>
      <w:r w:rsidRPr="008E1B40">
        <w:rPr>
          <w:lang w:val="en-CA"/>
        </w:rPr>
        <w:t xml:space="preserve">; </w:t>
      </w:r>
      <w:r w:rsidRPr="008E1B40">
        <w:rPr>
          <w:i/>
          <w:iCs/>
          <w:lang w:val="en-CA"/>
        </w:rPr>
        <w:t>Andrews</w:t>
      </w:r>
      <w:r w:rsidR="00D76F32">
        <w:rPr>
          <w:i/>
          <w:iCs/>
          <w:lang w:val="en-CA"/>
        </w:rPr>
        <w:t>,</w:t>
      </w:r>
      <w:r w:rsidRPr="008E1B40">
        <w:rPr>
          <w:lang w:val="en-CA"/>
        </w:rPr>
        <w:t xml:space="preserve"> </w:t>
      </w:r>
      <w:r w:rsidRPr="008E1B40">
        <w:rPr>
          <w:i/>
          <w:iCs/>
          <w:lang w:val="en-CA"/>
        </w:rPr>
        <w:t>supra</w:t>
      </w:r>
      <w:r w:rsidRPr="008E1B40">
        <w:rPr>
          <w:lang w:val="en-CA"/>
        </w:rPr>
        <w:t xml:space="preserve"> note</w:t>
      </w:r>
      <w:r w:rsidRPr="002C660A">
        <w:rPr>
          <w:lang w:val="en-CA"/>
        </w:rPr>
        <w:t xml:space="preserve"> </w:t>
      </w:r>
      <w:r>
        <w:fldChar w:fldCharType="begin"/>
      </w:r>
      <w:r w:rsidRPr="002C660A">
        <w:rPr>
          <w:lang w:val="en-CA"/>
        </w:rPr>
        <w:instrText xml:space="preserve"> NOTEREF _Ref152683455 \h </w:instrText>
      </w:r>
      <w:r>
        <w:fldChar w:fldCharType="separate"/>
      </w:r>
      <w:r w:rsidR="009B260D" w:rsidRPr="002C660A">
        <w:rPr>
          <w:lang w:val="en-CA"/>
        </w:rPr>
        <w:t>46</w:t>
      </w:r>
      <w:r>
        <w:fldChar w:fldCharType="end"/>
      </w:r>
      <w:r w:rsidRPr="008E1B40">
        <w:rPr>
          <w:lang w:val="en-CA"/>
        </w:rPr>
        <w:t xml:space="preserve"> </w:t>
      </w:r>
      <w:r w:rsidR="002C660A" w:rsidRPr="008E1B40">
        <w:rPr>
          <w:lang w:val="en-CA"/>
        </w:rPr>
        <w:t>at</w:t>
      </w:r>
      <w:r w:rsidRPr="008E1B40">
        <w:rPr>
          <w:lang w:val="en-CA"/>
        </w:rPr>
        <w:t> 164.</w:t>
      </w:r>
    </w:p>
  </w:footnote>
  <w:footnote w:id="57">
    <w:p w14:paraId="545A76CE" w14:textId="77777777" w:rsidR="002A5338" w:rsidRPr="002C660A" w:rsidRDefault="002A5338" w:rsidP="002A5338">
      <w:pPr>
        <w:pStyle w:val="Notedebasdepage"/>
        <w:rPr>
          <w:lang w:val="en-CA"/>
        </w:rPr>
      </w:pPr>
      <w:r>
        <w:rPr>
          <w:rStyle w:val="Appelnotedebasdep"/>
        </w:rPr>
        <w:footnoteRef/>
      </w:r>
      <w:r w:rsidRPr="002C660A">
        <w:rPr>
          <w:lang w:val="en-CA"/>
        </w:rPr>
        <w:t xml:space="preserve"> </w:t>
      </w:r>
      <w:r w:rsidRPr="002C660A">
        <w:rPr>
          <w:lang w:val="en-CA"/>
        </w:rPr>
        <w:tab/>
      </w:r>
      <w:r w:rsidRPr="008E1B40">
        <w:rPr>
          <w:i/>
          <w:iCs/>
          <w:lang w:val="en-CA"/>
        </w:rPr>
        <w:t>Symes v. Canada</w:t>
      </w:r>
      <w:r w:rsidRPr="008E1B40">
        <w:rPr>
          <w:lang w:val="en-CA"/>
        </w:rPr>
        <w:t>, [1993] 4 SCR</w:t>
      </w:r>
      <w:r w:rsidRPr="002C660A">
        <w:rPr>
          <w:lang w:val="en-CA"/>
        </w:rPr>
        <w:t xml:space="preserve"> </w:t>
      </w:r>
      <w:r w:rsidRPr="008E1B40">
        <w:rPr>
          <w:lang w:val="en-CA"/>
        </w:rPr>
        <w:t>695 [</w:t>
      </w:r>
      <w:r w:rsidRPr="008E1B40">
        <w:rPr>
          <w:i/>
          <w:iCs/>
          <w:lang w:val="en-CA"/>
        </w:rPr>
        <w:t>Symes</w:t>
      </w:r>
      <w:r w:rsidRPr="008E1B40">
        <w:rPr>
          <w:lang w:val="en-CA"/>
        </w:rPr>
        <w:t>].</w:t>
      </w:r>
    </w:p>
  </w:footnote>
  <w:footnote w:id="58">
    <w:p w14:paraId="7855EBE0" w14:textId="262F9039" w:rsidR="003E23AC" w:rsidRPr="001F0E3E" w:rsidRDefault="003E23AC" w:rsidP="003E23AC">
      <w:pPr>
        <w:pStyle w:val="Notedebasdepage"/>
        <w:rPr>
          <w:lang w:val="en-CA"/>
        </w:rPr>
      </w:pPr>
      <w:r>
        <w:rPr>
          <w:rStyle w:val="Appelnotedebasdep"/>
        </w:rPr>
        <w:footnoteRef/>
      </w:r>
      <w:r w:rsidRPr="002C660A">
        <w:rPr>
          <w:lang w:val="en-CA"/>
        </w:rPr>
        <w:t xml:space="preserve"> </w:t>
      </w:r>
      <w:r w:rsidRPr="002C660A">
        <w:rPr>
          <w:lang w:val="en-CA"/>
        </w:rPr>
        <w:tab/>
      </w:r>
      <w:r w:rsidRPr="008E1B40">
        <w:rPr>
          <w:lang w:val="en-CA"/>
        </w:rPr>
        <w:t xml:space="preserve">Judgment under appeal </w:t>
      </w:r>
      <w:r w:rsidR="0051103C">
        <w:rPr>
          <w:lang w:val="en-CA"/>
        </w:rPr>
        <w:t xml:space="preserve">at </w:t>
      </w:r>
      <w:r w:rsidRPr="008E1B40">
        <w:rPr>
          <w:lang w:val="en-CA"/>
        </w:rPr>
        <w:t>para.</w:t>
      </w:r>
      <w:r w:rsidRPr="002C660A">
        <w:rPr>
          <w:lang w:val="en-CA"/>
        </w:rPr>
        <w:t xml:space="preserve"> </w:t>
      </w:r>
      <w:r w:rsidRPr="008E1B40">
        <w:rPr>
          <w:lang w:val="en-CA"/>
        </w:rPr>
        <w:t>44</w:t>
      </w:r>
      <w:r w:rsidR="0051103C">
        <w:rPr>
          <w:lang w:val="en-CA"/>
        </w:rPr>
        <w:t xml:space="preserve"> </w:t>
      </w:r>
      <w:r w:rsidR="0051103C">
        <w:rPr>
          <w:rFonts w:cs="Arial"/>
          <w:lang w:val="en-CA"/>
        </w:rPr>
        <w:t>[</w:t>
      </w:r>
      <w:r w:rsidR="0051103C">
        <w:rPr>
          <w:lang w:val="en-CA"/>
        </w:rPr>
        <w:t>Reproduced verbatim</w:t>
      </w:r>
      <w:r w:rsidR="0051103C">
        <w:rPr>
          <w:rFonts w:cs="Arial"/>
          <w:lang w:val="en-CA"/>
        </w:rPr>
        <w:t>]</w:t>
      </w:r>
      <w:r w:rsidRPr="008E1B40">
        <w:rPr>
          <w:lang w:val="en-CA"/>
        </w:rPr>
        <w:t>.</w:t>
      </w:r>
    </w:p>
  </w:footnote>
  <w:footnote w:id="59">
    <w:p w14:paraId="1FE8EDB5" w14:textId="1E099B8D" w:rsidR="0072362A" w:rsidRPr="001F0E3E" w:rsidRDefault="004A7BFD" w:rsidP="0072362A">
      <w:pPr>
        <w:pStyle w:val="Notedebasdepage"/>
        <w:rPr>
          <w:lang w:val="en-CA"/>
        </w:rPr>
      </w:pPr>
      <w:r>
        <w:rPr>
          <w:rStyle w:val="Appelnotedebasdep"/>
        </w:rPr>
        <w:footnoteRef/>
      </w:r>
      <w:r w:rsidRPr="001F0E3E">
        <w:rPr>
          <w:lang w:val="en-CA"/>
        </w:rPr>
        <w:t xml:space="preserve"> </w:t>
      </w:r>
      <w:r w:rsidRPr="001F0E3E">
        <w:rPr>
          <w:lang w:val="en-CA"/>
        </w:rPr>
        <w:tab/>
      </w:r>
      <w:r w:rsidRPr="008E1B40">
        <w:rPr>
          <w:i/>
          <w:iCs/>
          <w:lang w:val="en-CA"/>
        </w:rPr>
        <w:t>Symes</w:t>
      </w:r>
      <w:r w:rsidR="00D76F32">
        <w:rPr>
          <w:i/>
          <w:iCs/>
          <w:lang w:val="en-CA"/>
        </w:rPr>
        <w:t>,</w:t>
      </w:r>
      <w:r w:rsidRPr="008E1B40">
        <w:rPr>
          <w:lang w:val="en-CA"/>
        </w:rPr>
        <w:t xml:space="preserve"> </w:t>
      </w:r>
      <w:r w:rsidRPr="008E1B40">
        <w:rPr>
          <w:i/>
          <w:iCs/>
          <w:lang w:val="en-CA"/>
        </w:rPr>
        <w:t xml:space="preserve">supra </w:t>
      </w:r>
      <w:r w:rsidRPr="008E1B40">
        <w:rPr>
          <w:lang w:val="en-CA"/>
        </w:rPr>
        <w:t>note</w:t>
      </w:r>
      <w:r w:rsidRPr="001F0E3E">
        <w:rPr>
          <w:lang w:val="en-CA"/>
        </w:rPr>
        <w:t xml:space="preserve"> </w:t>
      </w:r>
      <w:r w:rsidR="005A6BBD">
        <w:fldChar w:fldCharType="begin"/>
      </w:r>
      <w:r w:rsidR="005A6BBD" w:rsidRPr="001F0E3E">
        <w:rPr>
          <w:lang w:val="en-CA"/>
        </w:rPr>
        <w:instrText xml:space="preserve"> NOTEREF _Ref157506487 \h </w:instrText>
      </w:r>
      <w:r w:rsidR="005A6BBD">
        <w:fldChar w:fldCharType="separate"/>
      </w:r>
      <w:r w:rsidR="009B260D" w:rsidRPr="001F0E3E">
        <w:rPr>
          <w:lang w:val="en-CA"/>
        </w:rPr>
        <w:t>57</w:t>
      </w:r>
      <w:r w:rsidR="005A6BBD">
        <w:fldChar w:fldCharType="end"/>
      </w:r>
      <w:r w:rsidRPr="008E1B40">
        <w:rPr>
          <w:lang w:val="en-CA"/>
        </w:rPr>
        <w:t xml:space="preserve"> </w:t>
      </w:r>
      <w:r w:rsidR="002C660A" w:rsidRPr="008E1B40">
        <w:rPr>
          <w:lang w:val="en-CA"/>
        </w:rPr>
        <w:t>at</w:t>
      </w:r>
      <w:r w:rsidRPr="008E1B40">
        <w:rPr>
          <w:lang w:val="en-CA"/>
        </w:rPr>
        <w:t xml:space="preserve"> 763.</w:t>
      </w:r>
    </w:p>
  </w:footnote>
  <w:footnote w:id="60">
    <w:p w14:paraId="45F4046E" w14:textId="27128568" w:rsidR="0072362A" w:rsidRPr="00BC104D" w:rsidRDefault="004A7BFD" w:rsidP="0072362A">
      <w:pPr>
        <w:pStyle w:val="Notedebasdepage"/>
        <w:rPr>
          <w:lang w:val="en-CA"/>
        </w:rPr>
      </w:pPr>
      <w:r>
        <w:rPr>
          <w:rStyle w:val="Appelnotedebasdep"/>
        </w:rPr>
        <w:footnoteRef/>
      </w:r>
      <w:r w:rsidRPr="002C660A">
        <w:rPr>
          <w:lang w:val="en-CA"/>
        </w:rPr>
        <w:t xml:space="preserve"> </w:t>
      </w:r>
      <w:r w:rsidRPr="002C660A">
        <w:rPr>
          <w:lang w:val="en-CA"/>
        </w:rPr>
        <w:tab/>
      </w:r>
      <w:r w:rsidR="002C660A" w:rsidRPr="002C660A">
        <w:rPr>
          <w:lang w:val="en-CA"/>
        </w:rPr>
        <w:t xml:space="preserve">Expert report of </w:t>
      </w:r>
      <w:r w:rsidRPr="002C660A">
        <w:rPr>
          <w:lang w:val="en-CA"/>
        </w:rPr>
        <w:t>Dr</w:t>
      </w:r>
      <w:r w:rsidR="002C660A" w:rsidRPr="002C660A">
        <w:rPr>
          <w:lang w:val="en-CA"/>
        </w:rPr>
        <w:t>.</w:t>
      </w:r>
      <w:r w:rsidRPr="002C660A">
        <w:rPr>
          <w:lang w:val="en-CA"/>
        </w:rPr>
        <w:t xml:space="preserve"> Jill Hanley, 4 </w:t>
      </w:r>
      <w:r w:rsidR="002C660A">
        <w:rPr>
          <w:lang w:val="en-CA"/>
        </w:rPr>
        <w:t>N</w:t>
      </w:r>
      <w:r w:rsidRPr="002C660A">
        <w:rPr>
          <w:lang w:val="en-CA"/>
        </w:rPr>
        <w:t>ovemb</w:t>
      </w:r>
      <w:r w:rsidR="002C660A">
        <w:rPr>
          <w:lang w:val="en-CA"/>
        </w:rPr>
        <w:t>e</w:t>
      </w:r>
      <w:r w:rsidRPr="002C660A">
        <w:rPr>
          <w:lang w:val="en-CA"/>
        </w:rPr>
        <w:t xml:space="preserve">r 2020, </w:t>
      </w:r>
      <w:r w:rsidR="002C660A">
        <w:rPr>
          <w:lang w:val="en-CA"/>
        </w:rPr>
        <w:t>at</w:t>
      </w:r>
      <w:r w:rsidRPr="002C660A">
        <w:rPr>
          <w:lang w:val="en-CA"/>
        </w:rPr>
        <w:t xml:space="preserve"> 8, </w:t>
      </w:r>
      <w:r w:rsidR="00D72BAC">
        <w:rPr>
          <w:lang w:val="en-CA"/>
        </w:rPr>
        <w:t xml:space="preserve">at </w:t>
      </w:r>
      <w:r w:rsidRPr="002C660A">
        <w:rPr>
          <w:lang w:val="en-CA"/>
        </w:rPr>
        <w:t xml:space="preserve">para. </w:t>
      </w:r>
      <w:r w:rsidRPr="00BC104D">
        <w:rPr>
          <w:lang w:val="en-CA"/>
        </w:rPr>
        <w:t>22.</w:t>
      </w:r>
    </w:p>
  </w:footnote>
  <w:footnote w:id="61">
    <w:p w14:paraId="3D5ADB55" w14:textId="48BAF35B" w:rsidR="0072362A" w:rsidRPr="00BC104D" w:rsidRDefault="004A7BFD" w:rsidP="0072362A">
      <w:pPr>
        <w:pStyle w:val="Notedebasdepage"/>
        <w:rPr>
          <w:lang w:val="en-CA"/>
        </w:rPr>
      </w:pPr>
      <w:r>
        <w:rPr>
          <w:rStyle w:val="Appelnotedebasdep"/>
        </w:rPr>
        <w:footnoteRef/>
      </w:r>
      <w:r w:rsidRPr="00BC104D">
        <w:rPr>
          <w:lang w:val="en-CA"/>
        </w:rPr>
        <w:t xml:space="preserve"> </w:t>
      </w:r>
      <w:r w:rsidRPr="00BC104D">
        <w:rPr>
          <w:lang w:val="en-CA"/>
        </w:rPr>
        <w:tab/>
      </w:r>
      <w:r w:rsidRPr="008E1B40">
        <w:rPr>
          <w:i/>
          <w:iCs/>
          <w:lang w:val="en-CA"/>
        </w:rPr>
        <w:t>I</w:t>
      </w:r>
      <w:r w:rsidR="002C660A" w:rsidRPr="008E1B40">
        <w:rPr>
          <w:i/>
          <w:iCs/>
          <w:lang w:val="en-CA"/>
        </w:rPr>
        <w:t>bi</w:t>
      </w:r>
      <w:r w:rsidRPr="008E1B40">
        <w:rPr>
          <w:i/>
          <w:iCs/>
          <w:lang w:val="en-CA"/>
        </w:rPr>
        <w:t>d.</w:t>
      </w:r>
      <w:r w:rsidRPr="008E1B40">
        <w:rPr>
          <w:lang w:val="en-CA"/>
        </w:rPr>
        <w:t xml:space="preserve"> </w:t>
      </w:r>
      <w:r w:rsidR="00555D8D">
        <w:rPr>
          <w:lang w:val="en-CA"/>
        </w:rPr>
        <w:t xml:space="preserve">at </w:t>
      </w:r>
      <w:r w:rsidR="002C660A" w:rsidRPr="008E1B40">
        <w:rPr>
          <w:lang w:val="en-CA"/>
        </w:rPr>
        <w:t xml:space="preserve">note </w:t>
      </w:r>
      <w:r w:rsidRPr="008E1B40">
        <w:rPr>
          <w:lang w:val="en-CA"/>
        </w:rPr>
        <w:t>4.</w:t>
      </w:r>
    </w:p>
  </w:footnote>
  <w:footnote w:id="62">
    <w:p w14:paraId="619D30E1" w14:textId="31CCD05E" w:rsidR="0072362A" w:rsidRPr="00BC104D" w:rsidRDefault="004A7BFD" w:rsidP="0072362A">
      <w:pPr>
        <w:pStyle w:val="Notedebasdepage"/>
        <w:rPr>
          <w:lang w:val="en-CA"/>
        </w:rPr>
      </w:pPr>
      <w:r>
        <w:rPr>
          <w:rStyle w:val="Appelnotedebasdep"/>
        </w:rPr>
        <w:footnoteRef/>
      </w:r>
      <w:r w:rsidRPr="00BC104D">
        <w:rPr>
          <w:lang w:val="en-CA"/>
        </w:rPr>
        <w:t xml:space="preserve"> </w:t>
      </w:r>
      <w:r w:rsidRPr="00BC104D">
        <w:rPr>
          <w:lang w:val="en-CA"/>
        </w:rPr>
        <w:tab/>
      </w:r>
      <w:bookmarkStart w:id="28" w:name="_Hlk150946185"/>
      <w:r w:rsidRPr="008E1B40">
        <w:rPr>
          <w:i/>
          <w:iCs/>
          <w:lang w:val="en-CA"/>
        </w:rPr>
        <w:t>I</w:t>
      </w:r>
      <w:r w:rsidR="002C660A" w:rsidRPr="008E1B40">
        <w:rPr>
          <w:i/>
          <w:iCs/>
          <w:lang w:val="en-CA"/>
        </w:rPr>
        <w:t>bi</w:t>
      </w:r>
      <w:r w:rsidRPr="008E1B40">
        <w:rPr>
          <w:i/>
          <w:iCs/>
          <w:lang w:val="en-CA"/>
        </w:rPr>
        <w:t>d.</w:t>
      </w:r>
      <w:r w:rsidRPr="008E1B40">
        <w:rPr>
          <w:lang w:val="en-CA"/>
        </w:rPr>
        <w:t xml:space="preserve"> </w:t>
      </w:r>
      <w:r w:rsidR="00555D8D">
        <w:rPr>
          <w:lang w:val="en-CA"/>
        </w:rPr>
        <w:t xml:space="preserve">at </w:t>
      </w:r>
      <w:r w:rsidR="002C660A" w:rsidRPr="008E1B40">
        <w:rPr>
          <w:lang w:val="en-CA"/>
        </w:rPr>
        <w:t xml:space="preserve">note </w:t>
      </w:r>
      <w:r w:rsidRPr="008E1B40">
        <w:rPr>
          <w:lang w:val="en-CA"/>
        </w:rPr>
        <w:t>5</w:t>
      </w:r>
      <w:bookmarkEnd w:id="28"/>
      <w:r w:rsidRPr="008E1B40">
        <w:rPr>
          <w:lang w:val="en-CA"/>
        </w:rPr>
        <w:t>.</w:t>
      </w:r>
    </w:p>
  </w:footnote>
  <w:footnote w:id="63">
    <w:p w14:paraId="6669223E" w14:textId="49D86EA3" w:rsidR="0072362A" w:rsidRPr="00DF4994" w:rsidRDefault="004A7BFD" w:rsidP="0072362A">
      <w:pPr>
        <w:pStyle w:val="Notedebasdepage"/>
        <w:rPr>
          <w:lang w:val="en-CA"/>
        </w:rPr>
      </w:pPr>
      <w:r>
        <w:rPr>
          <w:rStyle w:val="Appelnotedebasdep"/>
        </w:rPr>
        <w:footnoteRef/>
      </w:r>
      <w:r w:rsidRPr="00DF4994">
        <w:rPr>
          <w:lang w:val="en-CA"/>
        </w:rPr>
        <w:t xml:space="preserve"> </w:t>
      </w:r>
      <w:r w:rsidRPr="00DF4994">
        <w:rPr>
          <w:lang w:val="en-CA"/>
        </w:rPr>
        <w:tab/>
      </w:r>
      <w:r w:rsidRPr="008E1B40">
        <w:rPr>
          <w:i/>
          <w:iCs/>
          <w:lang w:val="en-CA"/>
        </w:rPr>
        <w:t>I</w:t>
      </w:r>
      <w:r w:rsidR="002C660A" w:rsidRPr="008E1B40">
        <w:rPr>
          <w:i/>
          <w:iCs/>
          <w:lang w:val="en-CA"/>
        </w:rPr>
        <w:t>bi</w:t>
      </w:r>
      <w:r w:rsidRPr="008E1B40">
        <w:rPr>
          <w:i/>
          <w:iCs/>
          <w:lang w:val="en-CA"/>
        </w:rPr>
        <w:t>d.</w:t>
      </w:r>
      <w:r w:rsidRPr="008E1B40">
        <w:rPr>
          <w:lang w:val="en-CA"/>
        </w:rPr>
        <w:t xml:space="preserve"> </w:t>
      </w:r>
      <w:r w:rsidR="002C660A" w:rsidRPr="008E1B40">
        <w:rPr>
          <w:lang w:val="en-CA"/>
        </w:rPr>
        <w:t>at</w:t>
      </w:r>
      <w:r w:rsidRPr="008E1B40">
        <w:rPr>
          <w:lang w:val="en-CA"/>
        </w:rPr>
        <w:t xml:space="preserve"> 9</w:t>
      </w:r>
      <w:r w:rsidR="00D72BAC">
        <w:rPr>
          <w:lang w:val="en-CA"/>
        </w:rPr>
        <w:t>–</w:t>
      </w:r>
      <w:r w:rsidRPr="008E1B40">
        <w:rPr>
          <w:lang w:val="en-CA"/>
        </w:rPr>
        <w:t xml:space="preserve">11, </w:t>
      </w:r>
      <w:r w:rsidR="00D72BAC">
        <w:rPr>
          <w:lang w:val="en-CA"/>
        </w:rPr>
        <w:t xml:space="preserve">at </w:t>
      </w:r>
      <w:r w:rsidRPr="008E1B40">
        <w:rPr>
          <w:lang w:val="en-CA"/>
        </w:rPr>
        <w:t>para</w:t>
      </w:r>
      <w:r w:rsidR="002C660A" w:rsidRPr="008E1B40">
        <w:rPr>
          <w:lang w:val="en-CA"/>
        </w:rPr>
        <w:t>s</w:t>
      </w:r>
      <w:r w:rsidRPr="008E1B40">
        <w:rPr>
          <w:lang w:val="en-CA"/>
        </w:rPr>
        <w:t>.</w:t>
      </w:r>
      <w:r w:rsidRPr="00DF4994">
        <w:rPr>
          <w:lang w:val="en-CA"/>
        </w:rPr>
        <w:t xml:space="preserve"> 24</w:t>
      </w:r>
      <w:r w:rsidR="002C660A">
        <w:rPr>
          <w:lang w:val="en-CA"/>
        </w:rPr>
        <w:t>–</w:t>
      </w:r>
      <w:r w:rsidRPr="00DF4994">
        <w:rPr>
          <w:lang w:val="en-CA"/>
        </w:rPr>
        <w:t>25.</w:t>
      </w:r>
    </w:p>
  </w:footnote>
  <w:footnote w:id="64">
    <w:p w14:paraId="3CEDC85C" w14:textId="44C5781D" w:rsidR="003E23AC" w:rsidRPr="00221EB2" w:rsidRDefault="003E23AC" w:rsidP="003E23AC">
      <w:pPr>
        <w:pStyle w:val="Notedebasdepage"/>
        <w:rPr>
          <w:lang w:val="en-CA"/>
        </w:rPr>
      </w:pPr>
      <w:r>
        <w:rPr>
          <w:rStyle w:val="Appelnotedebasdep"/>
        </w:rPr>
        <w:footnoteRef/>
      </w:r>
      <w:r w:rsidRPr="00221EB2">
        <w:rPr>
          <w:lang w:val="en-CA"/>
        </w:rPr>
        <w:t xml:space="preserve"> </w:t>
      </w:r>
      <w:r w:rsidRPr="00221EB2">
        <w:rPr>
          <w:lang w:val="en-CA"/>
        </w:rPr>
        <w:tab/>
      </w:r>
      <w:r w:rsidRPr="008E1B40">
        <w:rPr>
          <w:i/>
          <w:iCs/>
          <w:lang w:val="en-CA"/>
        </w:rPr>
        <w:t>Ibid.</w:t>
      </w:r>
      <w:r w:rsidRPr="008E1B40">
        <w:rPr>
          <w:lang w:val="en-CA"/>
        </w:rPr>
        <w:t xml:space="preserve"> at 11, </w:t>
      </w:r>
      <w:r w:rsidR="00D72BAC">
        <w:rPr>
          <w:lang w:val="en-CA"/>
        </w:rPr>
        <w:t xml:space="preserve">at </w:t>
      </w:r>
      <w:r w:rsidRPr="008E1B40">
        <w:rPr>
          <w:lang w:val="en-CA"/>
        </w:rPr>
        <w:t>para.</w:t>
      </w:r>
      <w:r w:rsidRPr="00221EB2">
        <w:rPr>
          <w:lang w:val="en-CA"/>
        </w:rPr>
        <w:t xml:space="preserve"> 26.</w:t>
      </w:r>
    </w:p>
  </w:footnote>
  <w:footnote w:id="65">
    <w:p w14:paraId="25C96668" w14:textId="4D511E51" w:rsidR="0072362A" w:rsidRPr="00221EB2" w:rsidRDefault="004A7BFD" w:rsidP="0072362A">
      <w:pPr>
        <w:pStyle w:val="Notedebasdepage"/>
        <w:rPr>
          <w:lang w:val="en-CA"/>
        </w:rPr>
      </w:pPr>
      <w:r>
        <w:rPr>
          <w:rStyle w:val="Appelnotedebasdep"/>
        </w:rPr>
        <w:footnoteRef/>
      </w:r>
      <w:r w:rsidRPr="00221EB2">
        <w:rPr>
          <w:lang w:val="en-CA"/>
        </w:rPr>
        <w:t xml:space="preserve"> </w:t>
      </w:r>
      <w:r w:rsidRPr="00221EB2">
        <w:rPr>
          <w:lang w:val="en-CA"/>
        </w:rPr>
        <w:tab/>
      </w:r>
      <w:r w:rsidRPr="008E1B40">
        <w:rPr>
          <w:i/>
          <w:iCs/>
          <w:lang w:val="en-CA"/>
        </w:rPr>
        <w:t>I</w:t>
      </w:r>
      <w:r w:rsidR="002C660A" w:rsidRPr="008E1B40">
        <w:rPr>
          <w:i/>
          <w:iCs/>
          <w:lang w:val="en-CA"/>
        </w:rPr>
        <w:t>bi</w:t>
      </w:r>
      <w:r w:rsidRPr="008E1B40">
        <w:rPr>
          <w:i/>
          <w:iCs/>
          <w:lang w:val="en-CA"/>
        </w:rPr>
        <w:t>d</w:t>
      </w:r>
      <w:r w:rsidRPr="008E1B40">
        <w:rPr>
          <w:lang w:val="en-CA"/>
        </w:rPr>
        <w:t xml:space="preserve">. </w:t>
      </w:r>
      <w:r w:rsidR="002C660A" w:rsidRPr="008E1B40">
        <w:rPr>
          <w:lang w:val="en-CA"/>
        </w:rPr>
        <w:t>at</w:t>
      </w:r>
      <w:r w:rsidRPr="008E1B40">
        <w:rPr>
          <w:lang w:val="en-CA"/>
        </w:rPr>
        <w:t xml:space="preserve"> 16, </w:t>
      </w:r>
      <w:r w:rsidR="00D72BAC">
        <w:rPr>
          <w:lang w:val="en-CA"/>
        </w:rPr>
        <w:t xml:space="preserve">at </w:t>
      </w:r>
      <w:r w:rsidRPr="008E1B40">
        <w:rPr>
          <w:lang w:val="en-CA"/>
        </w:rPr>
        <w:t>para</w:t>
      </w:r>
      <w:r w:rsidR="002C660A" w:rsidRPr="008E1B40">
        <w:rPr>
          <w:lang w:val="en-CA"/>
        </w:rPr>
        <w:t>s</w:t>
      </w:r>
      <w:r w:rsidRPr="008E1B40">
        <w:rPr>
          <w:lang w:val="en-CA"/>
        </w:rPr>
        <w:t>.</w:t>
      </w:r>
      <w:r w:rsidRPr="00221EB2">
        <w:rPr>
          <w:lang w:val="en-CA"/>
        </w:rPr>
        <w:t xml:space="preserve"> 43</w:t>
      </w:r>
      <w:r w:rsidR="002C660A">
        <w:rPr>
          <w:lang w:val="en-CA"/>
        </w:rPr>
        <w:t>–</w:t>
      </w:r>
      <w:r w:rsidRPr="00221EB2">
        <w:rPr>
          <w:lang w:val="en-CA"/>
        </w:rPr>
        <w:t>44.</w:t>
      </w:r>
    </w:p>
  </w:footnote>
  <w:footnote w:id="66">
    <w:p w14:paraId="3A6A7BE6" w14:textId="08FC6800" w:rsidR="0072362A" w:rsidRPr="00BC104D" w:rsidRDefault="004A7BFD" w:rsidP="0072362A">
      <w:pPr>
        <w:pStyle w:val="Notedebasdepage"/>
        <w:rPr>
          <w:lang w:val="en-CA"/>
        </w:rPr>
      </w:pPr>
      <w:r>
        <w:rPr>
          <w:rStyle w:val="Appelnotedebasdep"/>
        </w:rPr>
        <w:footnoteRef/>
      </w:r>
      <w:r w:rsidRPr="00DF4994">
        <w:rPr>
          <w:lang w:val="en-CA"/>
        </w:rPr>
        <w:t xml:space="preserve"> </w:t>
      </w:r>
      <w:r w:rsidRPr="00DF4994">
        <w:rPr>
          <w:lang w:val="en-CA"/>
        </w:rPr>
        <w:tab/>
      </w:r>
      <w:r w:rsidRPr="008E1B40">
        <w:rPr>
          <w:i/>
          <w:iCs/>
          <w:lang w:val="en-CA"/>
        </w:rPr>
        <w:t>I</w:t>
      </w:r>
      <w:r w:rsidR="002C660A" w:rsidRPr="008E1B40">
        <w:rPr>
          <w:i/>
          <w:iCs/>
          <w:lang w:val="en-CA"/>
        </w:rPr>
        <w:t>bi</w:t>
      </w:r>
      <w:r w:rsidRPr="008E1B40">
        <w:rPr>
          <w:i/>
          <w:iCs/>
          <w:lang w:val="en-CA"/>
        </w:rPr>
        <w:t>d</w:t>
      </w:r>
      <w:r w:rsidRPr="008E1B40">
        <w:rPr>
          <w:lang w:val="en-CA"/>
        </w:rPr>
        <w:t xml:space="preserve">. </w:t>
      </w:r>
      <w:r w:rsidR="002C660A" w:rsidRPr="008E1B40">
        <w:rPr>
          <w:lang w:val="en-CA"/>
        </w:rPr>
        <w:t>at</w:t>
      </w:r>
      <w:r w:rsidRPr="008E1B40">
        <w:rPr>
          <w:lang w:val="en-CA"/>
        </w:rPr>
        <w:t xml:space="preserve"> 20, </w:t>
      </w:r>
      <w:r w:rsidR="00D72BAC">
        <w:rPr>
          <w:lang w:val="en-CA"/>
        </w:rPr>
        <w:t xml:space="preserve">at </w:t>
      </w:r>
      <w:r w:rsidRPr="008E1B40">
        <w:rPr>
          <w:lang w:val="en-CA"/>
        </w:rPr>
        <w:t>para.</w:t>
      </w:r>
      <w:r w:rsidRPr="00DF4994">
        <w:rPr>
          <w:lang w:val="en-CA"/>
        </w:rPr>
        <w:t xml:space="preserve"> </w:t>
      </w:r>
      <w:r w:rsidRPr="00BC104D">
        <w:rPr>
          <w:lang w:val="en-CA"/>
        </w:rPr>
        <w:t>58.</w:t>
      </w:r>
    </w:p>
  </w:footnote>
  <w:footnote w:id="67">
    <w:p w14:paraId="221FF169" w14:textId="71A13574" w:rsidR="0072362A" w:rsidRPr="00E32FA3" w:rsidRDefault="004A7BFD" w:rsidP="0072362A">
      <w:pPr>
        <w:pStyle w:val="Notedebasdepage"/>
      </w:pPr>
      <w:r>
        <w:rPr>
          <w:rStyle w:val="Appelnotedebasdep"/>
        </w:rPr>
        <w:footnoteRef/>
      </w:r>
      <w:r w:rsidRPr="002C660A">
        <w:rPr>
          <w:lang w:val="en-CA"/>
        </w:rPr>
        <w:t xml:space="preserve"> </w:t>
      </w:r>
      <w:r w:rsidRPr="002C660A">
        <w:rPr>
          <w:lang w:val="en-CA"/>
        </w:rPr>
        <w:tab/>
      </w:r>
      <w:r w:rsidRPr="008E1B40">
        <w:rPr>
          <w:i/>
          <w:iCs/>
          <w:lang w:val="en-CA"/>
        </w:rPr>
        <w:t>Sharma</w:t>
      </w:r>
      <w:r w:rsidR="00D76F32">
        <w:rPr>
          <w:i/>
          <w:iCs/>
          <w:lang w:val="en-CA"/>
        </w:rPr>
        <w:t>,</w:t>
      </w:r>
      <w:r w:rsidRPr="008E1B40">
        <w:rPr>
          <w:lang w:val="en-CA"/>
        </w:rPr>
        <w:t xml:space="preserve"> </w:t>
      </w:r>
      <w:r w:rsidRPr="008E1B40">
        <w:rPr>
          <w:i/>
          <w:iCs/>
          <w:lang w:val="en-CA"/>
        </w:rPr>
        <w:t>supra</w:t>
      </w:r>
      <w:r w:rsidRPr="008E1B40">
        <w:rPr>
          <w:lang w:val="en-CA"/>
        </w:rPr>
        <w:t xml:space="preserve"> note</w:t>
      </w:r>
      <w:r w:rsidRPr="002C660A">
        <w:rPr>
          <w:lang w:val="en-CA"/>
        </w:rPr>
        <w:t xml:space="preserve"> </w:t>
      </w:r>
      <w:r>
        <w:fldChar w:fldCharType="begin"/>
      </w:r>
      <w:r w:rsidRPr="002C660A">
        <w:rPr>
          <w:lang w:val="en-CA"/>
        </w:rPr>
        <w:instrText xml:space="preserve"> NOTEREF _Ref152683563 \h </w:instrText>
      </w:r>
      <w:r>
        <w:fldChar w:fldCharType="separate"/>
      </w:r>
      <w:r w:rsidR="009B260D" w:rsidRPr="002C660A">
        <w:rPr>
          <w:lang w:val="en-CA"/>
        </w:rPr>
        <w:t>47</w:t>
      </w:r>
      <w:r>
        <w:fldChar w:fldCharType="end"/>
      </w:r>
      <w:r w:rsidRPr="008E1B40">
        <w:rPr>
          <w:lang w:val="en-CA"/>
        </w:rPr>
        <w:t xml:space="preserve"> </w:t>
      </w:r>
      <w:r w:rsidR="002C660A" w:rsidRPr="008E1B40">
        <w:rPr>
          <w:lang w:val="en-CA"/>
        </w:rPr>
        <w:t xml:space="preserve">at </w:t>
      </w:r>
      <w:r w:rsidRPr="008E1B40">
        <w:rPr>
          <w:lang w:val="en-CA"/>
        </w:rPr>
        <w:t>para.</w:t>
      </w:r>
      <w:r w:rsidRPr="002C660A">
        <w:rPr>
          <w:lang w:val="en-CA"/>
        </w:rPr>
        <w:t xml:space="preserve"> </w:t>
      </w:r>
      <w:r w:rsidRPr="00E32FA3">
        <w:t>49.</w:t>
      </w:r>
    </w:p>
  </w:footnote>
  <w:footnote w:id="68">
    <w:p w14:paraId="3E7D0E3B" w14:textId="03679308" w:rsidR="0072362A" w:rsidRPr="00A31884" w:rsidRDefault="004A7BFD" w:rsidP="0072362A">
      <w:pPr>
        <w:pStyle w:val="Notedebasdepage"/>
        <w:rPr>
          <w:lang w:val="en-CA"/>
        </w:rPr>
      </w:pPr>
      <w:r>
        <w:rPr>
          <w:rStyle w:val="Appelnotedebasdep"/>
        </w:rPr>
        <w:footnoteRef/>
      </w:r>
      <w:r w:rsidRPr="00E32FA3">
        <w:t xml:space="preserve"> </w:t>
      </w:r>
      <w:r w:rsidRPr="00E32FA3">
        <w:tab/>
      </w:r>
      <w:r w:rsidRPr="008E1B40">
        <w:rPr>
          <w:i/>
          <w:iCs/>
        </w:rPr>
        <w:t>Fraser</w:t>
      </w:r>
      <w:r w:rsidR="0028051E">
        <w:rPr>
          <w:i/>
          <w:iCs/>
        </w:rPr>
        <w:t>,</w:t>
      </w:r>
      <w:r w:rsidRPr="008E1B40">
        <w:t xml:space="preserve"> </w:t>
      </w:r>
      <w:r w:rsidRPr="008E1B40">
        <w:rPr>
          <w:i/>
          <w:iCs/>
        </w:rPr>
        <w:t>supra</w:t>
      </w:r>
      <w:r w:rsidRPr="008E1B40">
        <w:t xml:space="preserve"> note</w:t>
      </w:r>
      <w:r w:rsidRPr="00E32FA3">
        <w:t xml:space="preserve"> </w:t>
      </w:r>
      <w:r>
        <w:fldChar w:fldCharType="begin"/>
      </w:r>
      <w:r w:rsidRPr="00E32FA3">
        <w:instrText xml:space="preserve"> NOTEREF _Ref152683882 \h </w:instrText>
      </w:r>
      <w:r>
        <w:fldChar w:fldCharType="separate"/>
      </w:r>
      <w:r w:rsidR="009B260D">
        <w:t>51</w:t>
      </w:r>
      <w:r>
        <w:fldChar w:fldCharType="end"/>
      </w:r>
      <w:r w:rsidRPr="008E1B40">
        <w:t xml:space="preserve"> </w:t>
      </w:r>
      <w:r w:rsidR="002C660A" w:rsidRPr="008E1B40">
        <w:t xml:space="preserve">at </w:t>
      </w:r>
      <w:r w:rsidRPr="008E1B40">
        <w:t>para</w:t>
      </w:r>
      <w:r w:rsidR="002C660A" w:rsidRPr="008E1B40">
        <w:t>s</w:t>
      </w:r>
      <w:r w:rsidRPr="008E1B40">
        <w:t>.</w:t>
      </w:r>
      <w:r w:rsidRPr="00226E38">
        <w:t xml:space="preserve"> </w:t>
      </w:r>
      <w:r w:rsidRPr="00A31884">
        <w:rPr>
          <w:lang w:val="en-CA"/>
        </w:rPr>
        <w:t>103</w:t>
      </w:r>
      <w:r w:rsidR="002C660A" w:rsidRPr="00A31884">
        <w:rPr>
          <w:lang w:val="en-CA"/>
        </w:rPr>
        <w:t>–</w:t>
      </w:r>
      <w:r w:rsidRPr="00A31884">
        <w:rPr>
          <w:lang w:val="en-CA"/>
        </w:rPr>
        <w:t>104.</w:t>
      </w:r>
    </w:p>
  </w:footnote>
  <w:footnote w:id="69">
    <w:p w14:paraId="3F652C69" w14:textId="3780570C" w:rsidR="00AD798E" w:rsidRPr="0028051E" w:rsidRDefault="00AD798E" w:rsidP="00AD798E">
      <w:pPr>
        <w:pStyle w:val="Notedebasdepage"/>
        <w:rPr>
          <w:lang w:val="en-CA"/>
        </w:rPr>
      </w:pPr>
      <w:r>
        <w:rPr>
          <w:rStyle w:val="Appelnotedebasdep"/>
        </w:rPr>
        <w:footnoteRef/>
      </w:r>
      <w:r w:rsidRPr="002C660A">
        <w:rPr>
          <w:lang w:val="en-CA"/>
        </w:rPr>
        <w:t xml:space="preserve"> </w:t>
      </w:r>
      <w:r w:rsidRPr="002C660A">
        <w:rPr>
          <w:lang w:val="en-CA"/>
        </w:rPr>
        <w:tab/>
      </w:r>
      <w:r w:rsidRPr="008E1B40">
        <w:rPr>
          <w:i/>
          <w:iCs/>
          <w:lang w:val="en-CA"/>
        </w:rPr>
        <w:t>Sharma</w:t>
      </w:r>
      <w:r w:rsidR="0028051E">
        <w:rPr>
          <w:i/>
          <w:iCs/>
          <w:lang w:val="en-CA"/>
        </w:rPr>
        <w:t>,</w:t>
      </w:r>
      <w:r w:rsidRPr="008E1B40">
        <w:rPr>
          <w:lang w:val="en-CA"/>
        </w:rPr>
        <w:t xml:space="preserve"> </w:t>
      </w:r>
      <w:r w:rsidRPr="008E1B40">
        <w:rPr>
          <w:i/>
          <w:iCs/>
          <w:lang w:val="en-CA"/>
        </w:rPr>
        <w:t>supra</w:t>
      </w:r>
      <w:r w:rsidRPr="008E1B40">
        <w:rPr>
          <w:lang w:val="en-CA"/>
        </w:rPr>
        <w:t xml:space="preserve"> note</w:t>
      </w:r>
      <w:r w:rsidRPr="002C660A">
        <w:rPr>
          <w:lang w:val="en-CA"/>
        </w:rPr>
        <w:t xml:space="preserve"> </w:t>
      </w:r>
      <w:r>
        <w:fldChar w:fldCharType="begin"/>
      </w:r>
      <w:r w:rsidRPr="002C660A">
        <w:rPr>
          <w:lang w:val="en-CA"/>
        </w:rPr>
        <w:instrText xml:space="preserve"> NOTEREF _Ref152683563 \h </w:instrText>
      </w:r>
      <w:r>
        <w:fldChar w:fldCharType="separate"/>
      </w:r>
      <w:r w:rsidRPr="002C660A">
        <w:rPr>
          <w:lang w:val="en-CA"/>
        </w:rPr>
        <w:t>47</w:t>
      </w:r>
      <w:r>
        <w:fldChar w:fldCharType="end"/>
      </w:r>
      <w:r w:rsidRPr="008E1B40">
        <w:rPr>
          <w:lang w:val="en-CA"/>
        </w:rPr>
        <w:t xml:space="preserve"> at para.</w:t>
      </w:r>
      <w:r w:rsidRPr="002C660A">
        <w:rPr>
          <w:lang w:val="en-CA"/>
        </w:rPr>
        <w:t xml:space="preserve"> </w:t>
      </w:r>
      <w:r w:rsidRPr="0028051E">
        <w:rPr>
          <w:lang w:val="en-CA"/>
        </w:rPr>
        <w:t>50.</w:t>
      </w:r>
    </w:p>
  </w:footnote>
  <w:footnote w:id="70">
    <w:p w14:paraId="6EB9977F" w14:textId="5A4C04B7" w:rsidR="00AD798E" w:rsidRPr="002C660A" w:rsidRDefault="00AD798E" w:rsidP="00AD798E">
      <w:pPr>
        <w:pStyle w:val="Notedebasdepage"/>
        <w:rPr>
          <w:lang w:val="en-CA"/>
        </w:rPr>
      </w:pPr>
      <w:r>
        <w:rPr>
          <w:rStyle w:val="Appelnotedebasdep"/>
        </w:rPr>
        <w:footnoteRef/>
      </w:r>
      <w:r w:rsidRPr="00D97121">
        <w:t xml:space="preserve"> </w:t>
      </w:r>
      <w:r w:rsidRPr="00D97121">
        <w:tab/>
      </w:r>
      <w:r w:rsidRPr="00D97121">
        <w:rPr>
          <w:i/>
          <w:iCs/>
        </w:rPr>
        <w:t>Fraser</w:t>
      </w:r>
      <w:r w:rsidR="0028051E" w:rsidRPr="00D97121">
        <w:rPr>
          <w:i/>
          <w:iCs/>
        </w:rPr>
        <w:t>,</w:t>
      </w:r>
      <w:r w:rsidRPr="00D97121">
        <w:t xml:space="preserve"> </w:t>
      </w:r>
      <w:r w:rsidRPr="00D97121">
        <w:rPr>
          <w:i/>
          <w:iCs/>
        </w:rPr>
        <w:t>supra</w:t>
      </w:r>
      <w:r w:rsidRPr="00D97121">
        <w:t xml:space="preserve"> note </w:t>
      </w:r>
      <w:r>
        <w:fldChar w:fldCharType="begin"/>
      </w:r>
      <w:r w:rsidRPr="00D97121">
        <w:instrText xml:space="preserve"> NOTEREF _Ref152683882 \h </w:instrText>
      </w:r>
      <w:r>
        <w:fldChar w:fldCharType="separate"/>
      </w:r>
      <w:r w:rsidRPr="00D97121">
        <w:t>51</w:t>
      </w:r>
      <w:r>
        <w:fldChar w:fldCharType="end"/>
      </w:r>
      <w:r w:rsidRPr="00D97121">
        <w:t xml:space="preserve"> at paras. </w:t>
      </w:r>
      <w:r w:rsidRPr="008E1B40">
        <w:rPr>
          <w:lang w:val="en-CA"/>
        </w:rPr>
        <w:t xml:space="preserve">103–104; </w:t>
      </w:r>
      <w:r w:rsidRPr="008E1B40">
        <w:rPr>
          <w:i/>
          <w:iCs/>
          <w:lang w:val="en-CA"/>
        </w:rPr>
        <w:t>Young v. Young</w:t>
      </w:r>
      <w:r w:rsidRPr="008E1B40">
        <w:rPr>
          <w:lang w:val="en-CA"/>
        </w:rPr>
        <w:t>, [1993] 4 SCR</w:t>
      </w:r>
      <w:r w:rsidRPr="002C660A">
        <w:rPr>
          <w:lang w:val="en-CA"/>
        </w:rPr>
        <w:t xml:space="preserve"> </w:t>
      </w:r>
      <w:r w:rsidRPr="008E1B40">
        <w:rPr>
          <w:lang w:val="en-CA"/>
        </w:rPr>
        <w:t xml:space="preserve">3 at 49–50; </w:t>
      </w:r>
      <w:r w:rsidRPr="008E1B40">
        <w:rPr>
          <w:i/>
          <w:iCs/>
          <w:lang w:val="en-CA"/>
        </w:rPr>
        <w:t>Symes</w:t>
      </w:r>
      <w:r w:rsidR="0028051E">
        <w:rPr>
          <w:i/>
          <w:iCs/>
          <w:lang w:val="en-CA"/>
        </w:rPr>
        <w:t>,</w:t>
      </w:r>
      <w:r w:rsidRPr="008E1B40">
        <w:rPr>
          <w:lang w:val="en-CA"/>
        </w:rPr>
        <w:t xml:space="preserve"> </w:t>
      </w:r>
      <w:r w:rsidRPr="008E1B40">
        <w:rPr>
          <w:i/>
          <w:iCs/>
          <w:lang w:val="en-CA"/>
        </w:rPr>
        <w:t>supra</w:t>
      </w:r>
      <w:r w:rsidRPr="008E1B40">
        <w:rPr>
          <w:lang w:val="en-CA"/>
        </w:rPr>
        <w:t xml:space="preserve"> note</w:t>
      </w:r>
      <w:r w:rsidRPr="002C660A">
        <w:rPr>
          <w:lang w:val="en-CA"/>
        </w:rPr>
        <w:t xml:space="preserve"> </w:t>
      </w:r>
      <w:r>
        <w:fldChar w:fldCharType="begin"/>
      </w:r>
      <w:r w:rsidRPr="002C660A">
        <w:rPr>
          <w:lang w:val="en-CA"/>
        </w:rPr>
        <w:instrText xml:space="preserve"> NOTEREF _Ref157506487 \h </w:instrText>
      </w:r>
      <w:r>
        <w:fldChar w:fldCharType="separate"/>
      </w:r>
      <w:r w:rsidRPr="002C660A">
        <w:rPr>
          <w:lang w:val="en-CA"/>
        </w:rPr>
        <w:t>57</w:t>
      </w:r>
      <w:r>
        <w:fldChar w:fldCharType="end"/>
      </w:r>
      <w:r w:rsidRPr="008E1B40">
        <w:rPr>
          <w:lang w:val="en-CA"/>
        </w:rPr>
        <w:t xml:space="preserve"> at 762–763.</w:t>
      </w:r>
    </w:p>
  </w:footnote>
  <w:footnote w:id="71">
    <w:p w14:paraId="506AD0F5" w14:textId="77777777" w:rsidR="003C1B82" w:rsidRPr="00CB41D9" w:rsidRDefault="003C1B82" w:rsidP="003C1B82">
      <w:pPr>
        <w:pStyle w:val="Notedebasdepage"/>
      </w:pPr>
      <w:r w:rsidRPr="00CB41D9">
        <w:rPr>
          <w:rStyle w:val="Appelnotedebasdep"/>
        </w:rPr>
        <w:footnoteRef/>
      </w:r>
      <w:r w:rsidRPr="002C660A">
        <w:rPr>
          <w:lang w:val="en-CA"/>
        </w:rPr>
        <w:t xml:space="preserve"> </w:t>
      </w:r>
      <w:r w:rsidRPr="002C660A">
        <w:rPr>
          <w:lang w:val="en-CA"/>
        </w:rPr>
        <w:tab/>
      </w:r>
      <w:r w:rsidRPr="008E1B40">
        <w:rPr>
          <w:i/>
          <w:iCs/>
          <w:lang w:val="en-CA"/>
        </w:rPr>
        <w:t>R. v. Oakes</w:t>
      </w:r>
      <w:r w:rsidRPr="008E1B40">
        <w:rPr>
          <w:lang w:val="en-CA"/>
        </w:rPr>
        <w:t>, [1986] 1 SCR</w:t>
      </w:r>
      <w:r w:rsidRPr="002C660A">
        <w:rPr>
          <w:lang w:val="en-CA"/>
        </w:rPr>
        <w:t xml:space="preserve"> </w:t>
      </w:r>
      <w:r w:rsidRPr="008E1B40">
        <w:rPr>
          <w:lang w:val="en-CA"/>
        </w:rPr>
        <w:t>103 at paras.</w:t>
      </w:r>
      <w:r w:rsidRPr="002C660A">
        <w:rPr>
          <w:lang w:val="en-CA"/>
        </w:rPr>
        <w:t xml:space="preserve"> </w:t>
      </w:r>
      <w:r w:rsidRPr="00CB41D9">
        <w:t>69</w:t>
      </w:r>
      <w:r>
        <w:t>–</w:t>
      </w:r>
      <w:r w:rsidRPr="00CB41D9">
        <w:t>70.</w:t>
      </w:r>
    </w:p>
  </w:footnote>
  <w:footnote w:id="72">
    <w:p w14:paraId="78B11D19" w14:textId="77777777" w:rsidR="003C1B82" w:rsidRPr="001444DD" w:rsidRDefault="003C1B82" w:rsidP="003C1B82">
      <w:pPr>
        <w:pStyle w:val="Notedebasdepage"/>
        <w:rPr>
          <w:lang w:val="en-CA"/>
        </w:rPr>
      </w:pPr>
      <w:r>
        <w:rPr>
          <w:rStyle w:val="Appelnotedebasdep"/>
        </w:rPr>
        <w:footnoteRef/>
      </w:r>
      <w:r w:rsidRPr="00195EDC">
        <w:t xml:space="preserve"> </w:t>
      </w:r>
      <w:r w:rsidRPr="00195EDC">
        <w:tab/>
      </w:r>
      <w:r w:rsidRPr="008E1B40">
        <w:t xml:space="preserve">Henri Brun, Guy Tremblay &amp; Eugénie Brouillet, </w:t>
      </w:r>
      <w:r w:rsidRPr="008E1B40">
        <w:rPr>
          <w:i/>
          <w:iCs/>
        </w:rPr>
        <w:t>Droit constitutionnel</w:t>
      </w:r>
      <w:r w:rsidRPr="008E1B40">
        <w:t xml:space="preserve">, 6th </w:t>
      </w:r>
      <w:proofErr w:type="spellStart"/>
      <w:r w:rsidRPr="008E1B40">
        <w:t>ed</w:t>
      </w:r>
      <w:proofErr w:type="spellEnd"/>
      <w:r w:rsidRPr="008E1B40">
        <w:t xml:space="preserve">. </w:t>
      </w:r>
      <w:r w:rsidRPr="001444DD">
        <w:rPr>
          <w:lang w:val="en-CA"/>
        </w:rPr>
        <w:t>(</w:t>
      </w:r>
      <w:proofErr w:type="spellStart"/>
      <w:r w:rsidRPr="001444DD">
        <w:rPr>
          <w:lang w:val="en-CA"/>
        </w:rPr>
        <w:t>Cowansville</w:t>
      </w:r>
      <w:proofErr w:type="spellEnd"/>
      <w:r w:rsidRPr="001444DD">
        <w:rPr>
          <w:lang w:val="en-CA"/>
        </w:rPr>
        <w:t xml:space="preserve">, Qc.: Yvon </w:t>
      </w:r>
      <w:proofErr w:type="spellStart"/>
      <w:r w:rsidRPr="001444DD">
        <w:rPr>
          <w:lang w:val="en-CA"/>
        </w:rPr>
        <w:t>Blais</w:t>
      </w:r>
      <w:proofErr w:type="spellEnd"/>
      <w:r w:rsidRPr="001444DD">
        <w:rPr>
          <w:lang w:val="en-CA"/>
        </w:rPr>
        <w:t>, 2014) at 1020, No. XII-3.78.</w:t>
      </w:r>
    </w:p>
  </w:footnote>
  <w:footnote w:id="73">
    <w:p w14:paraId="1F4339C5" w14:textId="77777777" w:rsidR="003C1B82" w:rsidRPr="001444DD" w:rsidRDefault="003C1B82" w:rsidP="003C1B82">
      <w:pPr>
        <w:pStyle w:val="Notedebasdepage"/>
        <w:rPr>
          <w:i/>
          <w:iCs/>
          <w:lang w:val="en-CA"/>
        </w:rPr>
      </w:pPr>
      <w:r>
        <w:rPr>
          <w:rStyle w:val="Appelnotedebasdep"/>
        </w:rPr>
        <w:footnoteRef/>
      </w:r>
      <w:r w:rsidRPr="001444DD">
        <w:rPr>
          <w:lang w:val="en-CA"/>
        </w:rPr>
        <w:tab/>
      </w:r>
      <w:r w:rsidRPr="001444DD">
        <w:rPr>
          <w:i/>
          <w:iCs/>
          <w:lang w:val="en-CA"/>
        </w:rPr>
        <w:t>Ibid.</w:t>
      </w:r>
    </w:p>
  </w:footnote>
  <w:footnote w:id="74">
    <w:p w14:paraId="428B2BAA" w14:textId="77777777" w:rsidR="003C1B82" w:rsidRPr="00E03F78" w:rsidRDefault="003C1B82" w:rsidP="003C1B82">
      <w:pPr>
        <w:pStyle w:val="Notedebasdepage"/>
        <w:rPr>
          <w:lang w:val="en-CA"/>
        </w:rPr>
      </w:pPr>
      <w:r>
        <w:rPr>
          <w:rStyle w:val="Appelnotedebasdep"/>
        </w:rPr>
        <w:footnoteRef/>
      </w:r>
      <w:r w:rsidRPr="003C1B82">
        <w:rPr>
          <w:lang w:val="en-CA"/>
        </w:rPr>
        <w:tab/>
        <w:t xml:space="preserve">On the </w:t>
      </w:r>
      <w:r w:rsidRPr="003C1B82">
        <w:rPr>
          <w:color w:val="000000"/>
          <w:lang w:val="en-CA"/>
        </w:rPr>
        <w:t>importance of articulating the measure’s purpose at an appropriate level of generality</w:t>
      </w:r>
      <w:r w:rsidRPr="003C1B82">
        <w:rPr>
          <w:lang w:val="en-CA"/>
        </w:rPr>
        <w:t>, s</w:t>
      </w:r>
      <w:r>
        <w:rPr>
          <w:lang w:val="en-CA"/>
        </w:rPr>
        <w:t>ee</w:t>
      </w:r>
      <w:r w:rsidRPr="003C1B82">
        <w:rPr>
          <w:lang w:val="en-CA"/>
        </w:rPr>
        <w:t xml:space="preserve">: </w:t>
      </w:r>
      <w:r w:rsidRPr="003C1B82">
        <w:rPr>
          <w:i/>
          <w:iCs/>
          <w:color w:val="000000"/>
          <w:lang w:val="en-CA"/>
        </w:rPr>
        <w:t>Frank v. Canada (Attorney General)</w:t>
      </w:r>
      <w:r w:rsidRPr="003C1B82">
        <w:rPr>
          <w:color w:val="000000"/>
          <w:lang w:val="en-CA"/>
        </w:rPr>
        <w:t xml:space="preserve">, 2019 SCC 1 at para. </w:t>
      </w:r>
      <w:r w:rsidRPr="00E03F78">
        <w:rPr>
          <w:color w:val="000000"/>
          <w:lang w:val="en-CA"/>
        </w:rPr>
        <w:t>46.</w:t>
      </w:r>
    </w:p>
  </w:footnote>
  <w:footnote w:id="75">
    <w:p w14:paraId="75A6EB39" w14:textId="77777777" w:rsidR="003C1B82" w:rsidRPr="0015308F" w:rsidRDefault="003C1B82" w:rsidP="003C1B82">
      <w:pPr>
        <w:pStyle w:val="Notedebasdepage"/>
        <w:rPr>
          <w:lang w:val="en-CA"/>
        </w:rPr>
      </w:pPr>
      <w:r>
        <w:rPr>
          <w:rStyle w:val="Appelnotedebasdep"/>
        </w:rPr>
        <w:footnoteRef/>
      </w:r>
      <w:r>
        <w:rPr>
          <w:lang w:val="en-CA"/>
        </w:rPr>
        <w:t xml:space="preserve"> </w:t>
      </w:r>
      <w:r>
        <w:rPr>
          <w:lang w:val="en-CA"/>
        </w:rPr>
        <w:tab/>
      </w:r>
      <w:r w:rsidRPr="008E1B40">
        <w:rPr>
          <w:i/>
          <w:iCs/>
          <w:lang w:val="en-CA"/>
        </w:rPr>
        <w:t>Alberta v. Hutterian Brethren of Wilson Colony</w:t>
      </w:r>
      <w:r w:rsidRPr="008E1B40">
        <w:rPr>
          <w:lang w:val="en-CA"/>
        </w:rPr>
        <w:t>, 2009 SCC 37 at para.</w:t>
      </w:r>
      <w:r w:rsidRPr="0015308F">
        <w:rPr>
          <w:lang w:val="en-CA"/>
        </w:rPr>
        <w:t xml:space="preserve"> 48.</w:t>
      </w:r>
    </w:p>
  </w:footnote>
  <w:footnote w:id="76">
    <w:p w14:paraId="53CE7A78" w14:textId="77777777" w:rsidR="003C1B82" w:rsidRPr="003C1B82" w:rsidRDefault="003C1B82" w:rsidP="003C1B82">
      <w:pPr>
        <w:pStyle w:val="Notedebasdepage"/>
        <w:rPr>
          <w:lang w:val="en-CA"/>
        </w:rPr>
      </w:pPr>
      <w:r>
        <w:rPr>
          <w:rStyle w:val="Appelnotedebasdep"/>
        </w:rPr>
        <w:footnoteRef/>
      </w:r>
      <w:r w:rsidRPr="002C660A">
        <w:rPr>
          <w:lang w:val="en-CA"/>
        </w:rPr>
        <w:t xml:space="preserve"> </w:t>
      </w:r>
      <w:r w:rsidRPr="002C660A">
        <w:rPr>
          <w:lang w:val="en-CA"/>
        </w:rPr>
        <w:tab/>
      </w:r>
      <w:r w:rsidRPr="008E1B40">
        <w:rPr>
          <w:i/>
          <w:iCs/>
          <w:lang w:val="en-CA"/>
        </w:rPr>
        <w:t>Frank v. Canada (Attorney General</w:t>
      </w:r>
      <w:r w:rsidRPr="008E1B40">
        <w:rPr>
          <w:lang w:val="en-CA"/>
        </w:rPr>
        <w:t xml:space="preserve">), </w:t>
      </w:r>
      <w:r w:rsidRPr="008E1B40">
        <w:rPr>
          <w:i/>
          <w:iCs/>
          <w:lang w:val="en-CA"/>
        </w:rPr>
        <w:t>supra</w:t>
      </w:r>
      <w:r w:rsidRPr="008E1B40">
        <w:rPr>
          <w:lang w:val="en-CA"/>
        </w:rPr>
        <w:t xml:space="preserve"> note</w:t>
      </w:r>
      <w:r w:rsidRPr="002C660A">
        <w:rPr>
          <w:lang w:val="en-CA"/>
        </w:rPr>
        <w:t xml:space="preserve"> </w:t>
      </w:r>
      <w:r>
        <w:fldChar w:fldCharType="begin"/>
      </w:r>
      <w:r w:rsidRPr="002C660A">
        <w:rPr>
          <w:lang w:val="en-CA"/>
        </w:rPr>
        <w:instrText xml:space="preserve"> NOTEREF _Ref152752163 \h </w:instrText>
      </w:r>
      <w:r>
        <w:fldChar w:fldCharType="separate"/>
      </w:r>
      <w:r w:rsidRPr="002C660A">
        <w:rPr>
          <w:lang w:val="en-CA"/>
        </w:rPr>
        <w:t>74</w:t>
      </w:r>
      <w:r>
        <w:fldChar w:fldCharType="end"/>
      </w:r>
      <w:r w:rsidRPr="008E1B40">
        <w:rPr>
          <w:lang w:val="en-CA"/>
        </w:rPr>
        <w:t xml:space="preserve"> at para.</w:t>
      </w:r>
      <w:r w:rsidRPr="002C660A">
        <w:rPr>
          <w:lang w:val="en-CA"/>
        </w:rPr>
        <w:t xml:space="preserve"> </w:t>
      </w:r>
      <w:r w:rsidRPr="003C1B82">
        <w:rPr>
          <w:lang w:val="en-CA"/>
        </w:rPr>
        <w:t>59.</w:t>
      </w:r>
    </w:p>
  </w:footnote>
  <w:footnote w:id="77">
    <w:p w14:paraId="53640CF1" w14:textId="77777777" w:rsidR="0072362A" w:rsidRPr="003C1B82" w:rsidRDefault="004A7BFD" w:rsidP="0072362A">
      <w:pPr>
        <w:pStyle w:val="Notedebasdepage"/>
        <w:rPr>
          <w:lang w:val="en-CA"/>
        </w:rPr>
      </w:pPr>
      <w:r>
        <w:rPr>
          <w:rStyle w:val="Appelnotedebasdep"/>
        </w:rPr>
        <w:footnoteRef/>
      </w:r>
      <w:r w:rsidRPr="003C1B82">
        <w:rPr>
          <w:lang w:val="en-CA"/>
        </w:rPr>
        <w:t xml:space="preserve"> </w:t>
      </w:r>
      <w:r w:rsidRPr="003C1B82">
        <w:rPr>
          <w:lang w:val="en-CA"/>
        </w:rPr>
        <w:tab/>
      </w:r>
      <w:r w:rsidRPr="008E1B40">
        <w:rPr>
          <w:i/>
          <w:iCs/>
          <w:lang w:val="en-CA"/>
        </w:rPr>
        <w:t>Ibid.</w:t>
      </w:r>
    </w:p>
  </w:footnote>
  <w:footnote w:id="78">
    <w:p w14:paraId="405149A6" w14:textId="52813F87" w:rsidR="0072362A" w:rsidRPr="001444DD" w:rsidRDefault="004A7BFD" w:rsidP="0072362A">
      <w:pPr>
        <w:pStyle w:val="Notedebasdepage"/>
        <w:rPr>
          <w:lang w:val="en-CA"/>
        </w:rPr>
      </w:pPr>
      <w:r>
        <w:rPr>
          <w:rStyle w:val="Appelnotedebasdep"/>
        </w:rPr>
        <w:footnoteRef/>
      </w:r>
      <w:r w:rsidRPr="001444DD">
        <w:rPr>
          <w:lang w:val="en-CA"/>
        </w:rPr>
        <w:t xml:space="preserve"> </w:t>
      </w:r>
      <w:r w:rsidRPr="001444DD">
        <w:rPr>
          <w:lang w:val="en-CA"/>
        </w:rPr>
        <w:tab/>
      </w:r>
      <w:r w:rsidRPr="001444DD">
        <w:rPr>
          <w:i/>
          <w:iCs/>
          <w:lang w:val="en-CA"/>
        </w:rPr>
        <w:t>I</w:t>
      </w:r>
      <w:r w:rsidR="002C660A" w:rsidRPr="001444DD">
        <w:rPr>
          <w:i/>
          <w:iCs/>
          <w:lang w:val="en-CA"/>
        </w:rPr>
        <w:t>bi</w:t>
      </w:r>
      <w:r w:rsidRPr="001444DD">
        <w:rPr>
          <w:i/>
          <w:iCs/>
          <w:lang w:val="en-CA"/>
        </w:rPr>
        <w:t>d.</w:t>
      </w:r>
      <w:r w:rsidRPr="001444DD">
        <w:rPr>
          <w:lang w:val="en-CA"/>
        </w:rPr>
        <w:t xml:space="preserve"> </w:t>
      </w:r>
      <w:r w:rsidR="002C660A" w:rsidRPr="001444DD">
        <w:rPr>
          <w:lang w:val="en-CA"/>
        </w:rPr>
        <w:t xml:space="preserve">at </w:t>
      </w:r>
      <w:r w:rsidRPr="001444DD">
        <w:rPr>
          <w:lang w:val="en-CA"/>
        </w:rPr>
        <w:t>para. 66.</w:t>
      </w:r>
    </w:p>
  </w:footnote>
  <w:footnote w:id="79">
    <w:p w14:paraId="18A2B375" w14:textId="77777777" w:rsidR="008E1B40" w:rsidRPr="008E1B40" w:rsidRDefault="008E1B40" w:rsidP="008E1B40">
      <w:pPr>
        <w:pStyle w:val="Notedebasdepage"/>
        <w:rPr>
          <w:lang w:val="en-CA"/>
        </w:rPr>
      </w:pPr>
      <w:r>
        <w:rPr>
          <w:rStyle w:val="Appelnotedebasdep"/>
        </w:rPr>
        <w:footnoteRef/>
      </w:r>
      <w:r w:rsidRPr="008E1B40">
        <w:rPr>
          <w:lang w:val="en-CA"/>
        </w:rPr>
        <w:t xml:space="preserve"> </w:t>
      </w:r>
      <w:r w:rsidRPr="008E1B40">
        <w:rPr>
          <w:lang w:val="en-CA"/>
        </w:rPr>
        <w:tab/>
      </w:r>
      <w:r w:rsidRPr="008E1B40">
        <w:rPr>
          <w:i/>
          <w:lang w:val="en-CA"/>
        </w:rPr>
        <w:t>Schachter</w:t>
      </w:r>
      <w:r w:rsidRPr="008E1B40">
        <w:rPr>
          <w:i/>
          <w:spacing w:val="6"/>
          <w:lang w:val="en-CA"/>
        </w:rPr>
        <w:t xml:space="preserve"> </w:t>
      </w:r>
      <w:r w:rsidRPr="008E1B40">
        <w:rPr>
          <w:i/>
          <w:lang w:val="en-CA"/>
        </w:rPr>
        <w:t>v.</w:t>
      </w:r>
      <w:r w:rsidRPr="008E1B40">
        <w:rPr>
          <w:i/>
          <w:spacing w:val="8"/>
          <w:lang w:val="en-CA"/>
        </w:rPr>
        <w:t xml:space="preserve"> </w:t>
      </w:r>
      <w:r w:rsidRPr="008E1B40">
        <w:rPr>
          <w:i/>
          <w:lang w:val="en-CA"/>
        </w:rPr>
        <w:t>Canada</w:t>
      </w:r>
      <w:r w:rsidRPr="008E1B40">
        <w:rPr>
          <w:lang w:val="en-CA"/>
        </w:rPr>
        <w:t>,</w:t>
      </w:r>
      <w:r w:rsidRPr="008E1B40">
        <w:rPr>
          <w:spacing w:val="7"/>
          <w:lang w:val="en-CA"/>
        </w:rPr>
        <w:t xml:space="preserve"> </w:t>
      </w:r>
      <w:r w:rsidRPr="008E1B40">
        <w:rPr>
          <w:lang w:val="en-CA"/>
        </w:rPr>
        <w:t>[1992]</w:t>
      </w:r>
      <w:r w:rsidRPr="008E1B40">
        <w:rPr>
          <w:spacing w:val="6"/>
          <w:lang w:val="en-CA"/>
        </w:rPr>
        <w:t xml:space="preserve"> </w:t>
      </w:r>
      <w:r w:rsidRPr="008E1B40">
        <w:rPr>
          <w:lang w:val="en-CA"/>
        </w:rPr>
        <w:t>2</w:t>
      </w:r>
      <w:r w:rsidRPr="008E1B40">
        <w:rPr>
          <w:spacing w:val="-6"/>
          <w:lang w:val="en-CA"/>
        </w:rPr>
        <w:t xml:space="preserve"> S</w:t>
      </w:r>
      <w:r w:rsidRPr="008E1B40">
        <w:rPr>
          <w:lang w:val="en-CA"/>
        </w:rPr>
        <w:t>CR</w:t>
      </w:r>
      <w:r w:rsidRPr="008E1B40">
        <w:rPr>
          <w:spacing w:val="-4"/>
          <w:lang w:val="en-CA"/>
        </w:rPr>
        <w:t xml:space="preserve"> </w:t>
      </w:r>
      <w:r w:rsidRPr="008E1B40">
        <w:rPr>
          <w:lang w:val="en-CA"/>
        </w:rPr>
        <w:t>679;</w:t>
      </w:r>
      <w:r w:rsidRPr="008E1B40">
        <w:rPr>
          <w:spacing w:val="8"/>
          <w:lang w:val="en-CA"/>
        </w:rPr>
        <w:t xml:space="preserve"> </w:t>
      </w:r>
      <w:proofErr w:type="spellStart"/>
      <w:r w:rsidRPr="008E1B40">
        <w:rPr>
          <w:i/>
          <w:lang w:val="en-CA"/>
        </w:rPr>
        <w:t>Vriend</w:t>
      </w:r>
      <w:proofErr w:type="spellEnd"/>
      <w:r w:rsidRPr="008E1B40">
        <w:rPr>
          <w:i/>
          <w:spacing w:val="5"/>
          <w:lang w:val="en-CA"/>
        </w:rPr>
        <w:t xml:space="preserve"> </w:t>
      </w:r>
      <w:r w:rsidRPr="008E1B40">
        <w:rPr>
          <w:i/>
          <w:lang w:val="en-CA"/>
        </w:rPr>
        <w:t>v.</w:t>
      </w:r>
      <w:r w:rsidRPr="008E1B40">
        <w:rPr>
          <w:i/>
          <w:spacing w:val="8"/>
          <w:lang w:val="en-CA"/>
        </w:rPr>
        <w:t xml:space="preserve"> </w:t>
      </w:r>
      <w:r w:rsidRPr="008E1B40">
        <w:rPr>
          <w:i/>
          <w:spacing w:val="-2"/>
          <w:lang w:val="en-CA"/>
        </w:rPr>
        <w:t>Alberta</w:t>
      </w:r>
      <w:r w:rsidRPr="008E1B40">
        <w:rPr>
          <w:spacing w:val="-2"/>
          <w:lang w:val="en-CA"/>
        </w:rPr>
        <w:t xml:space="preserve">, </w:t>
      </w:r>
      <w:r w:rsidRPr="008E1B40">
        <w:rPr>
          <w:i/>
          <w:iCs/>
          <w:lang w:val="en-CA"/>
        </w:rPr>
        <w:t>supra</w:t>
      </w:r>
      <w:r w:rsidRPr="008E1B40">
        <w:rPr>
          <w:lang w:val="en-CA"/>
        </w:rPr>
        <w:t xml:space="preserve"> note </w:t>
      </w:r>
      <w:r>
        <w:rPr>
          <w:lang w:val="en-CA"/>
        </w:rPr>
        <w:fldChar w:fldCharType="begin"/>
      </w:r>
      <w:r w:rsidRPr="008E1B40">
        <w:rPr>
          <w:lang w:val="en-CA"/>
        </w:rPr>
        <w:instrText xml:space="preserve"> NOTEREF _Ref152684220 \h </w:instrText>
      </w:r>
      <w:r>
        <w:rPr>
          <w:lang w:val="en-CA"/>
        </w:rPr>
      </w:r>
      <w:r>
        <w:rPr>
          <w:lang w:val="en-CA"/>
        </w:rPr>
        <w:fldChar w:fldCharType="separate"/>
      </w:r>
      <w:r w:rsidRPr="008E1B40">
        <w:rPr>
          <w:lang w:val="en-CA"/>
        </w:rPr>
        <w:t>53</w:t>
      </w:r>
      <w:r>
        <w:rPr>
          <w:lang w:val="en-CA"/>
        </w:rPr>
        <w:fldChar w:fldCharType="end"/>
      </w:r>
      <w:r w:rsidRPr="008E1B40">
        <w:rPr>
          <w:lang w:val="en-CA"/>
        </w:rPr>
        <w:t>.</w:t>
      </w:r>
    </w:p>
  </w:footnote>
  <w:footnote w:id="80">
    <w:p w14:paraId="4344F801" w14:textId="77777777" w:rsidR="008E1B40" w:rsidRPr="00FC4875" w:rsidRDefault="008E1B40" w:rsidP="008E1B40">
      <w:pPr>
        <w:pStyle w:val="Notedebasdepage"/>
        <w:rPr>
          <w:lang w:val="en-CA"/>
        </w:rPr>
      </w:pPr>
      <w:r>
        <w:rPr>
          <w:rStyle w:val="Appelnotedebasdep"/>
        </w:rPr>
        <w:footnoteRef/>
      </w:r>
      <w:r w:rsidRPr="00FC4875">
        <w:rPr>
          <w:lang w:val="en-CA"/>
        </w:rPr>
        <w:t xml:space="preserve"> </w:t>
      </w:r>
      <w:r w:rsidRPr="00FC4875">
        <w:rPr>
          <w:lang w:val="en-CA"/>
        </w:rPr>
        <w:tab/>
      </w:r>
      <w:r w:rsidRPr="008E1B40">
        <w:rPr>
          <w:i/>
          <w:iCs/>
          <w:lang w:val="en-CA"/>
        </w:rPr>
        <w:t>Constitution Act, 1982</w:t>
      </w:r>
      <w:r w:rsidRPr="008E1B40">
        <w:rPr>
          <w:lang w:val="en-CA"/>
        </w:rPr>
        <w:t xml:space="preserve">, being Schedule B to the </w:t>
      </w:r>
      <w:r w:rsidRPr="008E1B40">
        <w:rPr>
          <w:i/>
          <w:iCs/>
          <w:lang w:val="en-CA"/>
        </w:rPr>
        <w:t xml:space="preserve">Canada Act 1982 </w:t>
      </w:r>
      <w:r w:rsidRPr="008E1B40">
        <w:rPr>
          <w:lang w:val="en-CA"/>
        </w:rPr>
        <w:t>(U.K.), 1982, c. 11.</w:t>
      </w:r>
    </w:p>
  </w:footnote>
  <w:footnote w:id="81">
    <w:p w14:paraId="637CEE6A" w14:textId="77777777" w:rsidR="008E1B40" w:rsidRPr="00C05FA3" w:rsidRDefault="008E1B40" w:rsidP="008E1B40">
      <w:pPr>
        <w:pStyle w:val="Notedebasdepage"/>
        <w:rPr>
          <w:lang w:val="en-CA"/>
        </w:rPr>
      </w:pPr>
      <w:r>
        <w:rPr>
          <w:rStyle w:val="Appelnotedebasdep"/>
        </w:rPr>
        <w:footnoteRef/>
      </w:r>
      <w:r w:rsidRPr="002C660A">
        <w:rPr>
          <w:lang w:val="en-CA"/>
        </w:rPr>
        <w:t xml:space="preserve"> </w:t>
      </w:r>
      <w:r w:rsidRPr="002C660A">
        <w:rPr>
          <w:lang w:val="en-CA"/>
        </w:rPr>
        <w:tab/>
      </w:r>
      <w:r w:rsidRPr="008E1B40">
        <w:rPr>
          <w:i/>
          <w:iCs/>
          <w:lang w:val="en-CA"/>
        </w:rPr>
        <w:t>R. v. Ferguson</w:t>
      </w:r>
      <w:r w:rsidRPr="008E1B40">
        <w:rPr>
          <w:lang w:val="en-CA"/>
        </w:rPr>
        <w:t>, [2008] 1 SCR</w:t>
      </w:r>
      <w:r w:rsidRPr="002C660A">
        <w:rPr>
          <w:lang w:val="en-CA"/>
        </w:rPr>
        <w:t xml:space="preserve"> </w:t>
      </w:r>
      <w:r w:rsidRPr="008E1B40">
        <w:rPr>
          <w:lang w:val="en-CA"/>
        </w:rPr>
        <w:t>96 at para.</w:t>
      </w:r>
      <w:r w:rsidRPr="002C660A">
        <w:rPr>
          <w:lang w:val="en-CA"/>
        </w:rPr>
        <w:t xml:space="preserve"> </w:t>
      </w:r>
      <w:r w:rsidRPr="008E1B40">
        <w:rPr>
          <w:lang w:val="en-CA"/>
        </w:rPr>
        <w:t xml:space="preserve">50; </w:t>
      </w:r>
      <w:r w:rsidRPr="008E1B40">
        <w:rPr>
          <w:i/>
          <w:iCs/>
          <w:lang w:val="en-CA"/>
        </w:rPr>
        <w:t>Ontario (Attorney General) v. G</w:t>
      </w:r>
      <w:r w:rsidRPr="008E1B40">
        <w:rPr>
          <w:lang w:val="en-CA"/>
        </w:rPr>
        <w:t>, 2020 SCC 38 at paras.</w:t>
      </w:r>
      <w:r w:rsidRPr="002C660A">
        <w:rPr>
          <w:lang w:val="en-CA"/>
        </w:rPr>
        <w:t> </w:t>
      </w:r>
      <w:r w:rsidRPr="00C05FA3">
        <w:rPr>
          <w:lang w:val="en-CA"/>
        </w:rPr>
        <w:t>165</w:t>
      </w:r>
      <w:r>
        <w:rPr>
          <w:lang w:val="en-CA"/>
        </w:rPr>
        <w:t>–</w:t>
      </w:r>
      <w:r w:rsidRPr="00C05FA3">
        <w:rPr>
          <w:lang w:val="en-CA"/>
        </w:rPr>
        <w:t>166.</w:t>
      </w:r>
    </w:p>
  </w:footnote>
  <w:footnote w:id="82">
    <w:p w14:paraId="7C19415E" w14:textId="668D9CC0" w:rsidR="0072362A" w:rsidRPr="00880956" w:rsidRDefault="004A7BFD" w:rsidP="0072362A">
      <w:pPr>
        <w:pStyle w:val="Notedebasdepage"/>
        <w:rPr>
          <w:lang w:val="en-CA"/>
        </w:rPr>
      </w:pPr>
      <w:r>
        <w:rPr>
          <w:rStyle w:val="Appelnotedebasdep"/>
        </w:rPr>
        <w:footnoteRef/>
      </w:r>
      <w:r w:rsidRPr="00880956">
        <w:rPr>
          <w:lang w:val="en-CA"/>
        </w:rPr>
        <w:t xml:space="preserve"> </w:t>
      </w:r>
      <w:r w:rsidRPr="00880956">
        <w:rPr>
          <w:lang w:val="en-CA"/>
        </w:rPr>
        <w:tab/>
        <w:t xml:space="preserve">Vinay </w:t>
      </w:r>
      <w:proofErr w:type="spellStart"/>
      <w:r w:rsidRPr="00880956">
        <w:rPr>
          <w:lang w:val="en-CA"/>
        </w:rPr>
        <w:t>Shandal</w:t>
      </w:r>
      <w:proofErr w:type="spellEnd"/>
      <w:r w:rsidRPr="00880956">
        <w:rPr>
          <w:lang w:val="en-CA"/>
        </w:rPr>
        <w:t xml:space="preserve">, </w:t>
      </w:r>
      <w:r w:rsidR="002C660A">
        <w:rPr>
          <w:lang w:val="en-CA"/>
        </w:rPr>
        <w:t>“</w:t>
      </w:r>
      <w:r w:rsidRPr="00880956">
        <w:rPr>
          <w:lang w:val="en-CA"/>
        </w:rPr>
        <w:t>Combining Remedies Under Section 24 of the Charter and Section 52 of the Constitution Act, 1982: A Discretionary Approach</w:t>
      </w:r>
      <w:r w:rsidR="002C660A">
        <w:rPr>
          <w:lang w:val="en-CA"/>
        </w:rPr>
        <w:t>”</w:t>
      </w:r>
      <w:r w:rsidRPr="00880956">
        <w:rPr>
          <w:lang w:val="en-CA"/>
        </w:rPr>
        <w:t xml:space="preserve"> (2003) 61 </w:t>
      </w:r>
      <w:r w:rsidRPr="00FE061B">
        <w:rPr>
          <w:lang w:val="en-CA"/>
        </w:rPr>
        <w:t xml:space="preserve">UT Fac L </w:t>
      </w:r>
      <w:r w:rsidRPr="008E1B40">
        <w:rPr>
          <w:lang w:val="en-CA"/>
        </w:rPr>
        <w:t xml:space="preserve">Rev 175 </w:t>
      </w:r>
      <w:r w:rsidR="002C660A" w:rsidRPr="008E1B40">
        <w:rPr>
          <w:lang w:val="en-CA"/>
        </w:rPr>
        <w:t>at</w:t>
      </w:r>
      <w:r w:rsidRPr="008E1B40">
        <w:rPr>
          <w:lang w:val="en-CA"/>
        </w:rPr>
        <w:t xml:space="preserv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6BF7" w14:textId="77777777" w:rsidR="00C05FA3" w:rsidRDefault="00C05F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10AE" w14:textId="21176D73" w:rsidR="0072362A" w:rsidRDefault="004A7BFD" w:rsidP="002C2ED8">
    <w:pPr>
      <w:tabs>
        <w:tab w:val="center" w:pos="4709"/>
        <w:tab w:val="right" w:pos="9360"/>
      </w:tabs>
      <w:spacing w:line="360" w:lineRule="auto"/>
      <w:ind w:right="524"/>
    </w:pPr>
    <w:r>
      <w:t xml:space="preserve">500-09-030116-222 </w:t>
    </w:r>
    <w:r>
      <w:tab/>
    </w:r>
    <w:r>
      <w:tab/>
    </w:r>
    <w:r w:rsidR="00C05FA3" w:rsidRPr="008E1B40">
      <w:t>PAGE:</w:t>
    </w:r>
    <w:r>
      <w:t xml:space="preserve"> </w:t>
    </w:r>
    <w:r>
      <w:fldChar w:fldCharType="begin"/>
    </w:r>
    <w:r>
      <w:instrText xml:space="preserve"> PAGE </w:instrText>
    </w:r>
    <w:r>
      <w:fldChar w:fldCharType="separate"/>
    </w:r>
    <w:r>
      <w:t>1</w:t>
    </w:r>
    <w:r>
      <w:fldChar w:fldCharType="end"/>
    </w:r>
  </w:p>
  <w:p w14:paraId="508836FF" w14:textId="77777777" w:rsidR="0072362A" w:rsidRDefault="0072362A" w:rsidP="002C2ED8">
    <w:pPr>
      <w:tabs>
        <w:tab w:val="center" w:pos="4709"/>
        <w:tab w:val="right" w:pos="9360"/>
      </w:tabs>
      <w:spacing w:line="360" w:lineRule="auto"/>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4D97" w14:textId="77777777" w:rsidR="00C05FA3" w:rsidRDefault="00C05FA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7780" w14:textId="2C5FF511" w:rsidR="007E33E4" w:rsidRDefault="004A7BFD" w:rsidP="00DB2119">
    <w:pPr>
      <w:tabs>
        <w:tab w:val="center" w:pos="4709"/>
        <w:tab w:val="right" w:pos="9360"/>
      </w:tabs>
      <w:spacing w:line="360" w:lineRule="auto"/>
      <w:ind w:right="524"/>
    </w:pPr>
    <w:bookmarkStart w:id="31" w:name="EntDossier"/>
    <w:r>
      <w:t>500-09-030116-222</w:t>
    </w:r>
    <w:bookmarkEnd w:id="31"/>
    <w:r>
      <w:t xml:space="preserve"> </w:t>
    </w:r>
    <w:r>
      <w:tab/>
    </w:r>
    <w:r>
      <w:tab/>
    </w:r>
    <w:r w:rsidR="00C05FA3" w:rsidRPr="008E1B40">
      <w:t>PAGE:</w:t>
    </w:r>
    <w:r>
      <w:t xml:space="preserve"> </w:t>
    </w:r>
    <w:r>
      <w:fldChar w:fldCharType="begin"/>
    </w:r>
    <w:r>
      <w:instrText xml:space="preserve"> PAGE </w:instrText>
    </w:r>
    <w:r>
      <w:fldChar w:fldCharType="separate"/>
    </w:r>
    <w:r w:rsidR="008D18FC">
      <w:rPr>
        <w:noProof/>
      </w:rPr>
      <w:t>2</w:t>
    </w:r>
    <w:r>
      <w:fldChar w:fldCharType="end"/>
    </w:r>
  </w:p>
  <w:p w14:paraId="778629C9"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82B38"/>
    <w:multiLevelType w:val="hybridMultilevel"/>
    <w:tmpl w:val="0A2C7F32"/>
    <w:lvl w:ilvl="0" w:tplc="6F42C61C">
      <w:start w:val="1"/>
      <w:numFmt w:val="decimal"/>
      <w:lvlText w:val="(%1)"/>
      <w:lvlJc w:val="left"/>
      <w:pPr>
        <w:ind w:left="504" w:hanging="360"/>
      </w:pPr>
      <w:rPr>
        <w:rFonts w:hint="default"/>
      </w:rPr>
    </w:lvl>
    <w:lvl w:ilvl="1" w:tplc="ADF06BCA" w:tentative="1">
      <w:start w:val="1"/>
      <w:numFmt w:val="lowerLetter"/>
      <w:lvlText w:val="%2."/>
      <w:lvlJc w:val="left"/>
      <w:pPr>
        <w:ind w:left="1224" w:hanging="360"/>
      </w:pPr>
    </w:lvl>
    <w:lvl w:ilvl="2" w:tplc="B5785730" w:tentative="1">
      <w:start w:val="1"/>
      <w:numFmt w:val="lowerRoman"/>
      <w:lvlText w:val="%3."/>
      <w:lvlJc w:val="right"/>
      <w:pPr>
        <w:ind w:left="1944" w:hanging="180"/>
      </w:pPr>
    </w:lvl>
    <w:lvl w:ilvl="3" w:tplc="220CAD1A" w:tentative="1">
      <w:start w:val="1"/>
      <w:numFmt w:val="decimal"/>
      <w:lvlText w:val="%4."/>
      <w:lvlJc w:val="left"/>
      <w:pPr>
        <w:ind w:left="2664" w:hanging="360"/>
      </w:pPr>
    </w:lvl>
    <w:lvl w:ilvl="4" w:tplc="70083E50" w:tentative="1">
      <w:start w:val="1"/>
      <w:numFmt w:val="lowerLetter"/>
      <w:lvlText w:val="%5."/>
      <w:lvlJc w:val="left"/>
      <w:pPr>
        <w:ind w:left="3384" w:hanging="360"/>
      </w:pPr>
    </w:lvl>
    <w:lvl w:ilvl="5" w:tplc="1494F8B4" w:tentative="1">
      <w:start w:val="1"/>
      <w:numFmt w:val="lowerRoman"/>
      <w:lvlText w:val="%6."/>
      <w:lvlJc w:val="right"/>
      <w:pPr>
        <w:ind w:left="4104" w:hanging="180"/>
      </w:pPr>
    </w:lvl>
    <w:lvl w:ilvl="6" w:tplc="A17CC21C" w:tentative="1">
      <w:start w:val="1"/>
      <w:numFmt w:val="decimal"/>
      <w:lvlText w:val="%7."/>
      <w:lvlJc w:val="left"/>
      <w:pPr>
        <w:ind w:left="4824" w:hanging="360"/>
      </w:pPr>
    </w:lvl>
    <w:lvl w:ilvl="7" w:tplc="38EC1DC2" w:tentative="1">
      <w:start w:val="1"/>
      <w:numFmt w:val="lowerLetter"/>
      <w:lvlText w:val="%8."/>
      <w:lvlJc w:val="left"/>
      <w:pPr>
        <w:ind w:left="5544" w:hanging="360"/>
      </w:pPr>
    </w:lvl>
    <w:lvl w:ilvl="8" w:tplc="FFA889CA" w:tentative="1">
      <w:start w:val="1"/>
      <w:numFmt w:val="lowerRoman"/>
      <w:lvlText w:val="%9."/>
      <w:lvlJc w:val="right"/>
      <w:pPr>
        <w:ind w:left="6264" w:hanging="180"/>
      </w:pPr>
    </w:lvl>
  </w:abstractNum>
  <w:abstractNum w:abstractNumId="11" w15:restartNumberingAfterBreak="0">
    <w:nsid w:val="1B8212D9"/>
    <w:multiLevelType w:val="hybridMultilevel"/>
    <w:tmpl w:val="AD10D06A"/>
    <w:lvl w:ilvl="0" w:tplc="2960A8FA">
      <w:start w:val="1"/>
      <w:numFmt w:val="bullet"/>
      <w:lvlText w:val=""/>
      <w:lvlJc w:val="left"/>
      <w:pPr>
        <w:ind w:left="1440" w:hanging="360"/>
      </w:pPr>
      <w:rPr>
        <w:rFonts w:ascii="Symbol" w:hAnsi="Symbol" w:hint="default"/>
      </w:rPr>
    </w:lvl>
    <w:lvl w:ilvl="1" w:tplc="288E3FDE" w:tentative="1">
      <w:start w:val="1"/>
      <w:numFmt w:val="bullet"/>
      <w:lvlText w:val="o"/>
      <w:lvlJc w:val="left"/>
      <w:pPr>
        <w:ind w:left="2160" w:hanging="360"/>
      </w:pPr>
      <w:rPr>
        <w:rFonts w:ascii="Courier New" w:hAnsi="Courier New" w:cs="Courier New" w:hint="default"/>
      </w:rPr>
    </w:lvl>
    <w:lvl w:ilvl="2" w:tplc="8B9206E8" w:tentative="1">
      <w:start w:val="1"/>
      <w:numFmt w:val="bullet"/>
      <w:lvlText w:val=""/>
      <w:lvlJc w:val="left"/>
      <w:pPr>
        <w:ind w:left="2880" w:hanging="360"/>
      </w:pPr>
      <w:rPr>
        <w:rFonts w:ascii="Wingdings" w:hAnsi="Wingdings" w:hint="default"/>
      </w:rPr>
    </w:lvl>
    <w:lvl w:ilvl="3" w:tplc="57746612" w:tentative="1">
      <w:start w:val="1"/>
      <w:numFmt w:val="bullet"/>
      <w:lvlText w:val=""/>
      <w:lvlJc w:val="left"/>
      <w:pPr>
        <w:ind w:left="3600" w:hanging="360"/>
      </w:pPr>
      <w:rPr>
        <w:rFonts w:ascii="Symbol" w:hAnsi="Symbol" w:hint="default"/>
      </w:rPr>
    </w:lvl>
    <w:lvl w:ilvl="4" w:tplc="247C35EA" w:tentative="1">
      <w:start w:val="1"/>
      <w:numFmt w:val="bullet"/>
      <w:lvlText w:val="o"/>
      <w:lvlJc w:val="left"/>
      <w:pPr>
        <w:ind w:left="4320" w:hanging="360"/>
      </w:pPr>
      <w:rPr>
        <w:rFonts w:ascii="Courier New" w:hAnsi="Courier New" w:cs="Courier New" w:hint="default"/>
      </w:rPr>
    </w:lvl>
    <w:lvl w:ilvl="5" w:tplc="B008C726" w:tentative="1">
      <w:start w:val="1"/>
      <w:numFmt w:val="bullet"/>
      <w:lvlText w:val=""/>
      <w:lvlJc w:val="left"/>
      <w:pPr>
        <w:ind w:left="5040" w:hanging="360"/>
      </w:pPr>
      <w:rPr>
        <w:rFonts w:ascii="Wingdings" w:hAnsi="Wingdings" w:hint="default"/>
      </w:rPr>
    </w:lvl>
    <w:lvl w:ilvl="6" w:tplc="8362D0BC" w:tentative="1">
      <w:start w:val="1"/>
      <w:numFmt w:val="bullet"/>
      <w:lvlText w:val=""/>
      <w:lvlJc w:val="left"/>
      <w:pPr>
        <w:ind w:left="5760" w:hanging="360"/>
      </w:pPr>
      <w:rPr>
        <w:rFonts w:ascii="Symbol" w:hAnsi="Symbol" w:hint="default"/>
      </w:rPr>
    </w:lvl>
    <w:lvl w:ilvl="7" w:tplc="783E5F4E" w:tentative="1">
      <w:start w:val="1"/>
      <w:numFmt w:val="bullet"/>
      <w:lvlText w:val="o"/>
      <w:lvlJc w:val="left"/>
      <w:pPr>
        <w:ind w:left="6480" w:hanging="360"/>
      </w:pPr>
      <w:rPr>
        <w:rFonts w:ascii="Courier New" w:hAnsi="Courier New" w:cs="Courier New" w:hint="default"/>
      </w:rPr>
    </w:lvl>
    <w:lvl w:ilvl="8" w:tplc="9168ECA4" w:tentative="1">
      <w:start w:val="1"/>
      <w:numFmt w:val="bullet"/>
      <w:lvlText w:val=""/>
      <w:lvlJc w:val="left"/>
      <w:pPr>
        <w:ind w:left="7200" w:hanging="360"/>
      </w:pPr>
      <w:rPr>
        <w:rFonts w:ascii="Wingdings" w:hAnsi="Wingdings" w:hint="default"/>
      </w:rPr>
    </w:lvl>
  </w:abstractNum>
  <w:abstractNum w:abstractNumId="12" w15:restartNumberingAfterBreak="0">
    <w:nsid w:val="1F4A11F5"/>
    <w:multiLevelType w:val="hybridMultilevel"/>
    <w:tmpl w:val="1D8A7C82"/>
    <w:lvl w:ilvl="0" w:tplc="711482F0">
      <w:start w:val="1"/>
      <w:numFmt w:val="bullet"/>
      <w:lvlText w:val=""/>
      <w:lvlJc w:val="left"/>
      <w:pPr>
        <w:ind w:left="1440" w:hanging="360"/>
      </w:pPr>
      <w:rPr>
        <w:rFonts w:ascii="Symbol" w:hAnsi="Symbol" w:hint="default"/>
      </w:rPr>
    </w:lvl>
    <w:lvl w:ilvl="1" w:tplc="AB405E18" w:tentative="1">
      <w:start w:val="1"/>
      <w:numFmt w:val="bullet"/>
      <w:lvlText w:val="o"/>
      <w:lvlJc w:val="left"/>
      <w:pPr>
        <w:ind w:left="2160" w:hanging="360"/>
      </w:pPr>
      <w:rPr>
        <w:rFonts w:ascii="Courier New" w:hAnsi="Courier New" w:cs="Courier New" w:hint="default"/>
      </w:rPr>
    </w:lvl>
    <w:lvl w:ilvl="2" w:tplc="413867A6" w:tentative="1">
      <w:start w:val="1"/>
      <w:numFmt w:val="bullet"/>
      <w:lvlText w:val=""/>
      <w:lvlJc w:val="left"/>
      <w:pPr>
        <w:ind w:left="2880" w:hanging="360"/>
      </w:pPr>
      <w:rPr>
        <w:rFonts w:ascii="Wingdings" w:hAnsi="Wingdings" w:hint="default"/>
      </w:rPr>
    </w:lvl>
    <w:lvl w:ilvl="3" w:tplc="D94261CC" w:tentative="1">
      <w:start w:val="1"/>
      <w:numFmt w:val="bullet"/>
      <w:lvlText w:val=""/>
      <w:lvlJc w:val="left"/>
      <w:pPr>
        <w:ind w:left="3600" w:hanging="360"/>
      </w:pPr>
      <w:rPr>
        <w:rFonts w:ascii="Symbol" w:hAnsi="Symbol" w:hint="default"/>
      </w:rPr>
    </w:lvl>
    <w:lvl w:ilvl="4" w:tplc="58D0B70A" w:tentative="1">
      <w:start w:val="1"/>
      <w:numFmt w:val="bullet"/>
      <w:lvlText w:val="o"/>
      <w:lvlJc w:val="left"/>
      <w:pPr>
        <w:ind w:left="4320" w:hanging="360"/>
      </w:pPr>
      <w:rPr>
        <w:rFonts w:ascii="Courier New" w:hAnsi="Courier New" w:cs="Courier New" w:hint="default"/>
      </w:rPr>
    </w:lvl>
    <w:lvl w:ilvl="5" w:tplc="87EA8652" w:tentative="1">
      <w:start w:val="1"/>
      <w:numFmt w:val="bullet"/>
      <w:lvlText w:val=""/>
      <w:lvlJc w:val="left"/>
      <w:pPr>
        <w:ind w:left="5040" w:hanging="360"/>
      </w:pPr>
      <w:rPr>
        <w:rFonts w:ascii="Wingdings" w:hAnsi="Wingdings" w:hint="default"/>
      </w:rPr>
    </w:lvl>
    <w:lvl w:ilvl="6" w:tplc="921E2AE6" w:tentative="1">
      <w:start w:val="1"/>
      <w:numFmt w:val="bullet"/>
      <w:lvlText w:val=""/>
      <w:lvlJc w:val="left"/>
      <w:pPr>
        <w:ind w:left="5760" w:hanging="360"/>
      </w:pPr>
      <w:rPr>
        <w:rFonts w:ascii="Symbol" w:hAnsi="Symbol" w:hint="default"/>
      </w:rPr>
    </w:lvl>
    <w:lvl w:ilvl="7" w:tplc="0DB428FA" w:tentative="1">
      <w:start w:val="1"/>
      <w:numFmt w:val="bullet"/>
      <w:lvlText w:val="o"/>
      <w:lvlJc w:val="left"/>
      <w:pPr>
        <w:ind w:left="6480" w:hanging="360"/>
      </w:pPr>
      <w:rPr>
        <w:rFonts w:ascii="Courier New" w:hAnsi="Courier New" w:cs="Courier New" w:hint="default"/>
      </w:rPr>
    </w:lvl>
    <w:lvl w:ilvl="8" w:tplc="6D3E819C" w:tentative="1">
      <w:start w:val="1"/>
      <w:numFmt w:val="bullet"/>
      <w:lvlText w:val=""/>
      <w:lvlJc w:val="left"/>
      <w:pPr>
        <w:ind w:left="7200" w:hanging="360"/>
      </w:pPr>
      <w:rPr>
        <w:rFonts w:ascii="Wingdings" w:hAnsi="Wingdings" w:hint="default"/>
      </w:rPr>
    </w:lvl>
  </w:abstractNum>
  <w:abstractNum w:abstractNumId="13" w15:restartNumberingAfterBreak="0">
    <w:nsid w:val="1F6E6F43"/>
    <w:multiLevelType w:val="hybridMultilevel"/>
    <w:tmpl w:val="CBEA6B94"/>
    <w:lvl w:ilvl="0" w:tplc="AF946558">
      <w:start w:val="1"/>
      <w:numFmt w:val="decimal"/>
      <w:lvlText w:val="(%1)"/>
      <w:lvlJc w:val="left"/>
      <w:pPr>
        <w:ind w:left="534" w:hanging="390"/>
      </w:pPr>
      <w:rPr>
        <w:rFonts w:hint="default"/>
        <w:b w:val="0"/>
        <w:bCs/>
      </w:rPr>
    </w:lvl>
    <w:lvl w:ilvl="1" w:tplc="FF6675C0" w:tentative="1">
      <w:start w:val="1"/>
      <w:numFmt w:val="lowerLetter"/>
      <w:lvlText w:val="%2."/>
      <w:lvlJc w:val="left"/>
      <w:pPr>
        <w:ind w:left="1224" w:hanging="360"/>
      </w:pPr>
    </w:lvl>
    <w:lvl w:ilvl="2" w:tplc="BF907740" w:tentative="1">
      <w:start w:val="1"/>
      <w:numFmt w:val="lowerRoman"/>
      <w:lvlText w:val="%3."/>
      <w:lvlJc w:val="right"/>
      <w:pPr>
        <w:ind w:left="1944" w:hanging="180"/>
      </w:pPr>
    </w:lvl>
    <w:lvl w:ilvl="3" w:tplc="62B42F08" w:tentative="1">
      <w:start w:val="1"/>
      <w:numFmt w:val="decimal"/>
      <w:lvlText w:val="%4."/>
      <w:lvlJc w:val="left"/>
      <w:pPr>
        <w:ind w:left="2664" w:hanging="360"/>
      </w:pPr>
    </w:lvl>
    <w:lvl w:ilvl="4" w:tplc="9DFAFFC2" w:tentative="1">
      <w:start w:val="1"/>
      <w:numFmt w:val="lowerLetter"/>
      <w:lvlText w:val="%5."/>
      <w:lvlJc w:val="left"/>
      <w:pPr>
        <w:ind w:left="3384" w:hanging="360"/>
      </w:pPr>
    </w:lvl>
    <w:lvl w:ilvl="5" w:tplc="512A1A28" w:tentative="1">
      <w:start w:val="1"/>
      <w:numFmt w:val="lowerRoman"/>
      <w:lvlText w:val="%6."/>
      <w:lvlJc w:val="right"/>
      <w:pPr>
        <w:ind w:left="4104" w:hanging="180"/>
      </w:pPr>
    </w:lvl>
    <w:lvl w:ilvl="6" w:tplc="BAA280BA" w:tentative="1">
      <w:start w:val="1"/>
      <w:numFmt w:val="decimal"/>
      <w:lvlText w:val="%7."/>
      <w:lvlJc w:val="left"/>
      <w:pPr>
        <w:ind w:left="4824" w:hanging="360"/>
      </w:pPr>
    </w:lvl>
    <w:lvl w:ilvl="7" w:tplc="FF90E528" w:tentative="1">
      <w:start w:val="1"/>
      <w:numFmt w:val="lowerLetter"/>
      <w:lvlText w:val="%8."/>
      <w:lvlJc w:val="left"/>
      <w:pPr>
        <w:ind w:left="5544" w:hanging="360"/>
      </w:pPr>
    </w:lvl>
    <w:lvl w:ilvl="8" w:tplc="D14E4F02" w:tentative="1">
      <w:start w:val="1"/>
      <w:numFmt w:val="lowerRoman"/>
      <w:lvlText w:val="%9."/>
      <w:lvlJc w:val="right"/>
      <w:pPr>
        <w:ind w:left="6264" w:hanging="180"/>
      </w:pPr>
    </w:lvl>
  </w:abstractNum>
  <w:abstractNum w:abstractNumId="14"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BE43E18"/>
    <w:multiLevelType w:val="hybridMultilevel"/>
    <w:tmpl w:val="9DAA047A"/>
    <w:lvl w:ilvl="0" w:tplc="1FBCB79A">
      <w:start w:val="1"/>
      <w:numFmt w:val="lowerLetter"/>
      <w:lvlText w:val="%1."/>
      <w:lvlJc w:val="left"/>
      <w:pPr>
        <w:ind w:left="1080" w:hanging="360"/>
      </w:pPr>
      <w:rPr>
        <w:rFonts w:hint="default"/>
      </w:rPr>
    </w:lvl>
    <w:lvl w:ilvl="1" w:tplc="202C80CA" w:tentative="1">
      <w:start w:val="1"/>
      <w:numFmt w:val="lowerLetter"/>
      <w:lvlText w:val="%2."/>
      <w:lvlJc w:val="left"/>
      <w:pPr>
        <w:ind w:left="1800" w:hanging="360"/>
      </w:pPr>
    </w:lvl>
    <w:lvl w:ilvl="2" w:tplc="4CA00620" w:tentative="1">
      <w:start w:val="1"/>
      <w:numFmt w:val="lowerRoman"/>
      <w:lvlText w:val="%3."/>
      <w:lvlJc w:val="right"/>
      <w:pPr>
        <w:ind w:left="2520" w:hanging="180"/>
      </w:pPr>
    </w:lvl>
    <w:lvl w:ilvl="3" w:tplc="691CC48E" w:tentative="1">
      <w:start w:val="1"/>
      <w:numFmt w:val="decimal"/>
      <w:lvlText w:val="%4."/>
      <w:lvlJc w:val="left"/>
      <w:pPr>
        <w:ind w:left="3240" w:hanging="360"/>
      </w:pPr>
    </w:lvl>
    <w:lvl w:ilvl="4" w:tplc="161470DA" w:tentative="1">
      <w:start w:val="1"/>
      <w:numFmt w:val="lowerLetter"/>
      <w:lvlText w:val="%5."/>
      <w:lvlJc w:val="left"/>
      <w:pPr>
        <w:ind w:left="3960" w:hanging="360"/>
      </w:pPr>
    </w:lvl>
    <w:lvl w:ilvl="5" w:tplc="D9649032" w:tentative="1">
      <w:start w:val="1"/>
      <w:numFmt w:val="lowerRoman"/>
      <w:lvlText w:val="%6."/>
      <w:lvlJc w:val="right"/>
      <w:pPr>
        <w:ind w:left="4680" w:hanging="180"/>
      </w:pPr>
    </w:lvl>
    <w:lvl w:ilvl="6" w:tplc="7B48EBA2" w:tentative="1">
      <w:start w:val="1"/>
      <w:numFmt w:val="decimal"/>
      <w:lvlText w:val="%7."/>
      <w:lvlJc w:val="left"/>
      <w:pPr>
        <w:ind w:left="5400" w:hanging="360"/>
      </w:pPr>
    </w:lvl>
    <w:lvl w:ilvl="7" w:tplc="4A92599E" w:tentative="1">
      <w:start w:val="1"/>
      <w:numFmt w:val="lowerLetter"/>
      <w:lvlText w:val="%8."/>
      <w:lvlJc w:val="left"/>
      <w:pPr>
        <w:ind w:left="6120" w:hanging="360"/>
      </w:pPr>
    </w:lvl>
    <w:lvl w:ilvl="8" w:tplc="77CC5958" w:tentative="1">
      <w:start w:val="1"/>
      <w:numFmt w:val="lowerRoman"/>
      <w:lvlText w:val="%9."/>
      <w:lvlJc w:val="right"/>
      <w:pPr>
        <w:ind w:left="6840" w:hanging="180"/>
      </w:pPr>
    </w:lvl>
  </w:abstractNum>
  <w:abstractNum w:abstractNumId="17" w15:restartNumberingAfterBreak="0">
    <w:nsid w:val="52A435EA"/>
    <w:multiLevelType w:val="hybridMultilevel"/>
    <w:tmpl w:val="8324688E"/>
    <w:lvl w:ilvl="0" w:tplc="4A82F564">
      <w:start w:val="1"/>
      <w:numFmt w:val="decimal"/>
      <w:lvlText w:val="(%1)"/>
      <w:lvlJc w:val="left"/>
      <w:pPr>
        <w:ind w:left="504" w:hanging="360"/>
      </w:pPr>
      <w:rPr>
        <w:rFonts w:hint="default"/>
      </w:rPr>
    </w:lvl>
    <w:lvl w:ilvl="1" w:tplc="C38E923E" w:tentative="1">
      <w:start w:val="1"/>
      <w:numFmt w:val="lowerLetter"/>
      <w:lvlText w:val="%2."/>
      <w:lvlJc w:val="left"/>
      <w:pPr>
        <w:ind w:left="1224" w:hanging="360"/>
      </w:pPr>
    </w:lvl>
    <w:lvl w:ilvl="2" w:tplc="EFA4E758" w:tentative="1">
      <w:start w:val="1"/>
      <w:numFmt w:val="lowerRoman"/>
      <w:lvlText w:val="%3."/>
      <w:lvlJc w:val="right"/>
      <w:pPr>
        <w:ind w:left="1944" w:hanging="180"/>
      </w:pPr>
    </w:lvl>
    <w:lvl w:ilvl="3" w:tplc="AC441A60" w:tentative="1">
      <w:start w:val="1"/>
      <w:numFmt w:val="decimal"/>
      <w:lvlText w:val="%4."/>
      <w:lvlJc w:val="left"/>
      <w:pPr>
        <w:ind w:left="2664" w:hanging="360"/>
      </w:pPr>
    </w:lvl>
    <w:lvl w:ilvl="4" w:tplc="49DCE83A" w:tentative="1">
      <w:start w:val="1"/>
      <w:numFmt w:val="lowerLetter"/>
      <w:lvlText w:val="%5."/>
      <w:lvlJc w:val="left"/>
      <w:pPr>
        <w:ind w:left="3384" w:hanging="360"/>
      </w:pPr>
    </w:lvl>
    <w:lvl w:ilvl="5" w:tplc="7C3EE114" w:tentative="1">
      <w:start w:val="1"/>
      <w:numFmt w:val="lowerRoman"/>
      <w:lvlText w:val="%6."/>
      <w:lvlJc w:val="right"/>
      <w:pPr>
        <w:ind w:left="4104" w:hanging="180"/>
      </w:pPr>
    </w:lvl>
    <w:lvl w:ilvl="6" w:tplc="70804F5E" w:tentative="1">
      <w:start w:val="1"/>
      <w:numFmt w:val="decimal"/>
      <w:lvlText w:val="%7."/>
      <w:lvlJc w:val="left"/>
      <w:pPr>
        <w:ind w:left="4824" w:hanging="360"/>
      </w:pPr>
    </w:lvl>
    <w:lvl w:ilvl="7" w:tplc="36A4AF06" w:tentative="1">
      <w:start w:val="1"/>
      <w:numFmt w:val="lowerLetter"/>
      <w:lvlText w:val="%8."/>
      <w:lvlJc w:val="left"/>
      <w:pPr>
        <w:ind w:left="5544" w:hanging="360"/>
      </w:pPr>
    </w:lvl>
    <w:lvl w:ilvl="8" w:tplc="EEA60AD8" w:tentative="1">
      <w:start w:val="1"/>
      <w:numFmt w:val="lowerRoman"/>
      <w:lvlText w:val="%9."/>
      <w:lvlJc w:val="right"/>
      <w:pPr>
        <w:ind w:left="6264" w:hanging="180"/>
      </w:pPr>
    </w:lvl>
  </w:abstractNum>
  <w:abstractNum w:abstractNumId="18" w15:restartNumberingAfterBreak="0">
    <w:nsid w:val="54283EE8"/>
    <w:multiLevelType w:val="multilevel"/>
    <w:tmpl w:val="461CEFC6"/>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337F17"/>
    <w:multiLevelType w:val="hybridMultilevel"/>
    <w:tmpl w:val="C69CD344"/>
    <w:lvl w:ilvl="0" w:tplc="BC4680CC">
      <w:start w:val="1"/>
      <w:numFmt w:val="bullet"/>
      <w:lvlText w:val=""/>
      <w:lvlJc w:val="left"/>
      <w:pPr>
        <w:ind w:left="1440" w:hanging="360"/>
      </w:pPr>
      <w:rPr>
        <w:rFonts w:ascii="Symbol" w:hAnsi="Symbol" w:hint="default"/>
      </w:rPr>
    </w:lvl>
    <w:lvl w:ilvl="1" w:tplc="B7027E78" w:tentative="1">
      <w:start w:val="1"/>
      <w:numFmt w:val="bullet"/>
      <w:lvlText w:val="o"/>
      <w:lvlJc w:val="left"/>
      <w:pPr>
        <w:ind w:left="2160" w:hanging="360"/>
      </w:pPr>
      <w:rPr>
        <w:rFonts w:ascii="Courier New" w:hAnsi="Courier New" w:cs="Courier New" w:hint="default"/>
      </w:rPr>
    </w:lvl>
    <w:lvl w:ilvl="2" w:tplc="29D2D63C" w:tentative="1">
      <w:start w:val="1"/>
      <w:numFmt w:val="bullet"/>
      <w:lvlText w:val=""/>
      <w:lvlJc w:val="left"/>
      <w:pPr>
        <w:ind w:left="2880" w:hanging="360"/>
      </w:pPr>
      <w:rPr>
        <w:rFonts w:ascii="Wingdings" w:hAnsi="Wingdings" w:hint="default"/>
      </w:rPr>
    </w:lvl>
    <w:lvl w:ilvl="3" w:tplc="34E23A90" w:tentative="1">
      <w:start w:val="1"/>
      <w:numFmt w:val="bullet"/>
      <w:lvlText w:val=""/>
      <w:lvlJc w:val="left"/>
      <w:pPr>
        <w:ind w:left="3600" w:hanging="360"/>
      </w:pPr>
      <w:rPr>
        <w:rFonts w:ascii="Symbol" w:hAnsi="Symbol" w:hint="default"/>
      </w:rPr>
    </w:lvl>
    <w:lvl w:ilvl="4" w:tplc="24424C30" w:tentative="1">
      <w:start w:val="1"/>
      <w:numFmt w:val="bullet"/>
      <w:lvlText w:val="o"/>
      <w:lvlJc w:val="left"/>
      <w:pPr>
        <w:ind w:left="4320" w:hanging="360"/>
      </w:pPr>
      <w:rPr>
        <w:rFonts w:ascii="Courier New" w:hAnsi="Courier New" w:cs="Courier New" w:hint="default"/>
      </w:rPr>
    </w:lvl>
    <w:lvl w:ilvl="5" w:tplc="1B225E5C" w:tentative="1">
      <w:start w:val="1"/>
      <w:numFmt w:val="bullet"/>
      <w:lvlText w:val=""/>
      <w:lvlJc w:val="left"/>
      <w:pPr>
        <w:ind w:left="5040" w:hanging="360"/>
      </w:pPr>
      <w:rPr>
        <w:rFonts w:ascii="Wingdings" w:hAnsi="Wingdings" w:hint="default"/>
      </w:rPr>
    </w:lvl>
    <w:lvl w:ilvl="6" w:tplc="73EA49F8" w:tentative="1">
      <w:start w:val="1"/>
      <w:numFmt w:val="bullet"/>
      <w:lvlText w:val=""/>
      <w:lvlJc w:val="left"/>
      <w:pPr>
        <w:ind w:left="5760" w:hanging="360"/>
      </w:pPr>
      <w:rPr>
        <w:rFonts w:ascii="Symbol" w:hAnsi="Symbol" w:hint="default"/>
      </w:rPr>
    </w:lvl>
    <w:lvl w:ilvl="7" w:tplc="1F0EDDC2" w:tentative="1">
      <w:start w:val="1"/>
      <w:numFmt w:val="bullet"/>
      <w:lvlText w:val="o"/>
      <w:lvlJc w:val="left"/>
      <w:pPr>
        <w:ind w:left="6480" w:hanging="360"/>
      </w:pPr>
      <w:rPr>
        <w:rFonts w:ascii="Courier New" w:hAnsi="Courier New" w:cs="Courier New" w:hint="default"/>
      </w:rPr>
    </w:lvl>
    <w:lvl w:ilvl="8" w:tplc="E3640700" w:tentative="1">
      <w:start w:val="1"/>
      <w:numFmt w:val="bullet"/>
      <w:lvlText w:val=""/>
      <w:lvlJc w:val="left"/>
      <w:pPr>
        <w:ind w:left="7200" w:hanging="360"/>
      </w:pPr>
      <w:rPr>
        <w:rFonts w:ascii="Wingdings" w:hAnsi="Wingdings" w:hint="default"/>
      </w:rPr>
    </w:lvl>
  </w:abstractNum>
  <w:abstractNum w:abstractNumId="20"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B8804A4"/>
    <w:multiLevelType w:val="hybridMultilevel"/>
    <w:tmpl w:val="7D72E66C"/>
    <w:lvl w:ilvl="0" w:tplc="7B529A4C">
      <w:start w:val="1"/>
      <w:numFmt w:val="decimal"/>
      <w:lvlText w:val="(%1)"/>
      <w:lvlJc w:val="left"/>
      <w:pPr>
        <w:ind w:left="534" w:hanging="390"/>
      </w:pPr>
      <w:rPr>
        <w:rFonts w:hint="default"/>
      </w:rPr>
    </w:lvl>
    <w:lvl w:ilvl="1" w:tplc="ED149FFA" w:tentative="1">
      <w:start w:val="1"/>
      <w:numFmt w:val="lowerLetter"/>
      <w:lvlText w:val="%2."/>
      <w:lvlJc w:val="left"/>
      <w:pPr>
        <w:ind w:left="1224" w:hanging="360"/>
      </w:pPr>
    </w:lvl>
    <w:lvl w:ilvl="2" w:tplc="DEF2A5BE" w:tentative="1">
      <w:start w:val="1"/>
      <w:numFmt w:val="lowerRoman"/>
      <w:lvlText w:val="%3."/>
      <w:lvlJc w:val="right"/>
      <w:pPr>
        <w:ind w:left="1944" w:hanging="180"/>
      </w:pPr>
    </w:lvl>
    <w:lvl w:ilvl="3" w:tplc="EBB29C06" w:tentative="1">
      <w:start w:val="1"/>
      <w:numFmt w:val="decimal"/>
      <w:lvlText w:val="%4."/>
      <w:lvlJc w:val="left"/>
      <w:pPr>
        <w:ind w:left="2664" w:hanging="360"/>
      </w:pPr>
    </w:lvl>
    <w:lvl w:ilvl="4" w:tplc="17465E20" w:tentative="1">
      <w:start w:val="1"/>
      <w:numFmt w:val="lowerLetter"/>
      <w:lvlText w:val="%5."/>
      <w:lvlJc w:val="left"/>
      <w:pPr>
        <w:ind w:left="3384" w:hanging="360"/>
      </w:pPr>
    </w:lvl>
    <w:lvl w:ilvl="5" w:tplc="63D8D412" w:tentative="1">
      <w:start w:val="1"/>
      <w:numFmt w:val="lowerRoman"/>
      <w:lvlText w:val="%6."/>
      <w:lvlJc w:val="right"/>
      <w:pPr>
        <w:ind w:left="4104" w:hanging="180"/>
      </w:pPr>
    </w:lvl>
    <w:lvl w:ilvl="6" w:tplc="6EE4BC48" w:tentative="1">
      <w:start w:val="1"/>
      <w:numFmt w:val="decimal"/>
      <w:lvlText w:val="%7."/>
      <w:lvlJc w:val="left"/>
      <w:pPr>
        <w:ind w:left="4824" w:hanging="360"/>
      </w:pPr>
    </w:lvl>
    <w:lvl w:ilvl="7" w:tplc="C2500CAA" w:tentative="1">
      <w:start w:val="1"/>
      <w:numFmt w:val="lowerLetter"/>
      <w:lvlText w:val="%8."/>
      <w:lvlJc w:val="left"/>
      <w:pPr>
        <w:ind w:left="5544" w:hanging="360"/>
      </w:pPr>
    </w:lvl>
    <w:lvl w:ilvl="8" w:tplc="41805EC2" w:tentative="1">
      <w:start w:val="1"/>
      <w:numFmt w:val="lowerRoman"/>
      <w:lvlText w:val="%9."/>
      <w:lvlJc w:val="right"/>
      <w:pPr>
        <w:ind w:left="6264" w:hanging="180"/>
      </w:pPr>
    </w:lvl>
  </w:abstractNum>
  <w:abstractNum w:abstractNumId="22" w15:restartNumberingAfterBreak="0">
    <w:nsid w:val="71604A51"/>
    <w:multiLevelType w:val="hybridMultilevel"/>
    <w:tmpl w:val="9078E15C"/>
    <w:lvl w:ilvl="0" w:tplc="543007E0">
      <w:start w:val="1"/>
      <w:numFmt w:val="decimal"/>
      <w:lvlText w:val="%1."/>
      <w:lvlJc w:val="left"/>
      <w:pPr>
        <w:ind w:left="728" w:hanging="569"/>
      </w:pPr>
      <w:rPr>
        <w:rFonts w:ascii="Arial" w:eastAsia="Arial" w:hAnsi="Arial" w:cs="Arial" w:hint="default"/>
        <w:b w:val="0"/>
        <w:bCs w:val="0"/>
        <w:i w:val="0"/>
        <w:iCs w:val="0"/>
        <w:spacing w:val="-3"/>
        <w:w w:val="103"/>
        <w:sz w:val="23"/>
        <w:szCs w:val="23"/>
        <w:lang w:val="fr-FR" w:eastAsia="en-US" w:bidi="ar-SA"/>
      </w:rPr>
    </w:lvl>
    <w:lvl w:ilvl="1" w:tplc="72C451E2">
      <w:numFmt w:val="bullet"/>
      <w:lvlText w:val="•"/>
      <w:lvlJc w:val="left"/>
      <w:pPr>
        <w:ind w:left="1618" w:hanging="569"/>
      </w:pPr>
      <w:rPr>
        <w:rFonts w:hint="default"/>
        <w:lang w:val="fr-FR" w:eastAsia="en-US" w:bidi="ar-SA"/>
      </w:rPr>
    </w:lvl>
    <w:lvl w:ilvl="2" w:tplc="B82CDE24">
      <w:numFmt w:val="bullet"/>
      <w:lvlText w:val="•"/>
      <w:lvlJc w:val="left"/>
      <w:pPr>
        <w:ind w:left="2516" w:hanging="569"/>
      </w:pPr>
      <w:rPr>
        <w:rFonts w:hint="default"/>
        <w:lang w:val="fr-FR" w:eastAsia="en-US" w:bidi="ar-SA"/>
      </w:rPr>
    </w:lvl>
    <w:lvl w:ilvl="3" w:tplc="B428DC84">
      <w:numFmt w:val="bullet"/>
      <w:lvlText w:val="•"/>
      <w:lvlJc w:val="left"/>
      <w:pPr>
        <w:ind w:left="3414" w:hanging="569"/>
      </w:pPr>
      <w:rPr>
        <w:rFonts w:hint="default"/>
        <w:lang w:val="fr-FR" w:eastAsia="en-US" w:bidi="ar-SA"/>
      </w:rPr>
    </w:lvl>
    <w:lvl w:ilvl="4" w:tplc="65CA852A">
      <w:numFmt w:val="bullet"/>
      <w:lvlText w:val="•"/>
      <w:lvlJc w:val="left"/>
      <w:pPr>
        <w:ind w:left="4312" w:hanging="569"/>
      </w:pPr>
      <w:rPr>
        <w:rFonts w:hint="default"/>
        <w:lang w:val="fr-FR" w:eastAsia="en-US" w:bidi="ar-SA"/>
      </w:rPr>
    </w:lvl>
    <w:lvl w:ilvl="5" w:tplc="400A1254">
      <w:numFmt w:val="bullet"/>
      <w:lvlText w:val="•"/>
      <w:lvlJc w:val="left"/>
      <w:pPr>
        <w:ind w:left="5210" w:hanging="569"/>
      </w:pPr>
      <w:rPr>
        <w:rFonts w:hint="default"/>
        <w:lang w:val="fr-FR" w:eastAsia="en-US" w:bidi="ar-SA"/>
      </w:rPr>
    </w:lvl>
    <w:lvl w:ilvl="6" w:tplc="7130A446">
      <w:numFmt w:val="bullet"/>
      <w:lvlText w:val="•"/>
      <w:lvlJc w:val="left"/>
      <w:pPr>
        <w:ind w:left="6108" w:hanging="569"/>
      </w:pPr>
      <w:rPr>
        <w:rFonts w:hint="default"/>
        <w:lang w:val="fr-FR" w:eastAsia="en-US" w:bidi="ar-SA"/>
      </w:rPr>
    </w:lvl>
    <w:lvl w:ilvl="7" w:tplc="85349694">
      <w:numFmt w:val="bullet"/>
      <w:lvlText w:val="•"/>
      <w:lvlJc w:val="left"/>
      <w:pPr>
        <w:ind w:left="7006" w:hanging="569"/>
      </w:pPr>
      <w:rPr>
        <w:rFonts w:hint="default"/>
        <w:lang w:val="fr-FR" w:eastAsia="en-US" w:bidi="ar-SA"/>
      </w:rPr>
    </w:lvl>
    <w:lvl w:ilvl="8" w:tplc="3D00761A">
      <w:numFmt w:val="bullet"/>
      <w:lvlText w:val="•"/>
      <w:lvlJc w:val="left"/>
      <w:pPr>
        <w:ind w:left="7904" w:hanging="569"/>
      </w:pPr>
      <w:rPr>
        <w:rFonts w:hint="default"/>
        <w:lang w:val="fr-FR" w:eastAsia="en-US" w:bidi="ar-SA"/>
      </w:rPr>
    </w:lvl>
  </w:abstractNum>
  <w:abstractNum w:abstractNumId="23" w15:restartNumberingAfterBreak="0">
    <w:nsid w:val="7AFC5D3D"/>
    <w:multiLevelType w:val="hybridMultilevel"/>
    <w:tmpl w:val="174071AE"/>
    <w:lvl w:ilvl="0" w:tplc="DF7E5F0A">
      <w:start w:val="1"/>
      <w:numFmt w:val="bullet"/>
      <w:lvlText w:val=""/>
      <w:lvlJc w:val="left"/>
      <w:pPr>
        <w:ind w:left="1440" w:hanging="360"/>
      </w:pPr>
      <w:rPr>
        <w:rFonts w:ascii="Symbol" w:hAnsi="Symbol" w:hint="default"/>
      </w:rPr>
    </w:lvl>
    <w:lvl w:ilvl="1" w:tplc="67242D4E" w:tentative="1">
      <w:start w:val="1"/>
      <w:numFmt w:val="bullet"/>
      <w:lvlText w:val="o"/>
      <w:lvlJc w:val="left"/>
      <w:pPr>
        <w:ind w:left="2160" w:hanging="360"/>
      </w:pPr>
      <w:rPr>
        <w:rFonts w:ascii="Courier New" w:hAnsi="Courier New" w:cs="Courier New" w:hint="default"/>
      </w:rPr>
    </w:lvl>
    <w:lvl w:ilvl="2" w:tplc="918E92B6" w:tentative="1">
      <w:start w:val="1"/>
      <w:numFmt w:val="bullet"/>
      <w:lvlText w:val=""/>
      <w:lvlJc w:val="left"/>
      <w:pPr>
        <w:ind w:left="2880" w:hanging="360"/>
      </w:pPr>
      <w:rPr>
        <w:rFonts w:ascii="Wingdings" w:hAnsi="Wingdings" w:hint="default"/>
      </w:rPr>
    </w:lvl>
    <w:lvl w:ilvl="3" w:tplc="C658D400" w:tentative="1">
      <w:start w:val="1"/>
      <w:numFmt w:val="bullet"/>
      <w:lvlText w:val=""/>
      <w:lvlJc w:val="left"/>
      <w:pPr>
        <w:ind w:left="3600" w:hanging="360"/>
      </w:pPr>
      <w:rPr>
        <w:rFonts w:ascii="Symbol" w:hAnsi="Symbol" w:hint="default"/>
      </w:rPr>
    </w:lvl>
    <w:lvl w:ilvl="4" w:tplc="8800C938" w:tentative="1">
      <w:start w:val="1"/>
      <w:numFmt w:val="bullet"/>
      <w:lvlText w:val="o"/>
      <w:lvlJc w:val="left"/>
      <w:pPr>
        <w:ind w:left="4320" w:hanging="360"/>
      </w:pPr>
      <w:rPr>
        <w:rFonts w:ascii="Courier New" w:hAnsi="Courier New" w:cs="Courier New" w:hint="default"/>
      </w:rPr>
    </w:lvl>
    <w:lvl w:ilvl="5" w:tplc="25349556" w:tentative="1">
      <w:start w:val="1"/>
      <w:numFmt w:val="bullet"/>
      <w:lvlText w:val=""/>
      <w:lvlJc w:val="left"/>
      <w:pPr>
        <w:ind w:left="5040" w:hanging="360"/>
      </w:pPr>
      <w:rPr>
        <w:rFonts w:ascii="Wingdings" w:hAnsi="Wingdings" w:hint="default"/>
      </w:rPr>
    </w:lvl>
    <w:lvl w:ilvl="6" w:tplc="77DCC52A" w:tentative="1">
      <w:start w:val="1"/>
      <w:numFmt w:val="bullet"/>
      <w:lvlText w:val=""/>
      <w:lvlJc w:val="left"/>
      <w:pPr>
        <w:ind w:left="5760" w:hanging="360"/>
      </w:pPr>
      <w:rPr>
        <w:rFonts w:ascii="Symbol" w:hAnsi="Symbol" w:hint="default"/>
      </w:rPr>
    </w:lvl>
    <w:lvl w:ilvl="7" w:tplc="897E1034" w:tentative="1">
      <w:start w:val="1"/>
      <w:numFmt w:val="bullet"/>
      <w:lvlText w:val="o"/>
      <w:lvlJc w:val="left"/>
      <w:pPr>
        <w:ind w:left="6480" w:hanging="360"/>
      </w:pPr>
      <w:rPr>
        <w:rFonts w:ascii="Courier New" w:hAnsi="Courier New" w:cs="Courier New" w:hint="default"/>
      </w:rPr>
    </w:lvl>
    <w:lvl w:ilvl="8" w:tplc="1E227E58" w:tentative="1">
      <w:start w:val="1"/>
      <w:numFmt w:val="bullet"/>
      <w:lvlText w:val=""/>
      <w:lvlJc w:val="left"/>
      <w:pPr>
        <w:ind w:left="7200" w:hanging="360"/>
      </w:pPr>
      <w:rPr>
        <w:rFonts w:ascii="Wingdings" w:hAnsi="Wingdings" w:hint="default"/>
      </w:rPr>
    </w:lvl>
  </w:abstractNum>
  <w:num w:numId="1" w16cid:durableId="1079060595">
    <w:abstractNumId w:val="20"/>
  </w:num>
  <w:num w:numId="2" w16cid:durableId="1575701316">
    <w:abstractNumId w:val="20"/>
  </w:num>
  <w:num w:numId="3" w16cid:durableId="1514951985">
    <w:abstractNumId w:val="20"/>
  </w:num>
  <w:num w:numId="4" w16cid:durableId="1384057174">
    <w:abstractNumId w:val="8"/>
  </w:num>
  <w:num w:numId="5" w16cid:durableId="1168444140">
    <w:abstractNumId w:val="3"/>
  </w:num>
  <w:num w:numId="6" w16cid:durableId="748775666">
    <w:abstractNumId w:val="2"/>
  </w:num>
  <w:num w:numId="7" w16cid:durableId="1246038085">
    <w:abstractNumId w:val="1"/>
  </w:num>
  <w:num w:numId="8" w16cid:durableId="2012102972">
    <w:abstractNumId w:val="0"/>
  </w:num>
  <w:num w:numId="9" w16cid:durableId="759645619">
    <w:abstractNumId w:val="9"/>
  </w:num>
  <w:num w:numId="10" w16cid:durableId="167906898">
    <w:abstractNumId w:val="7"/>
  </w:num>
  <w:num w:numId="11" w16cid:durableId="1540892747">
    <w:abstractNumId w:val="6"/>
  </w:num>
  <w:num w:numId="12" w16cid:durableId="984286475">
    <w:abstractNumId w:val="5"/>
  </w:num>
  <w:num w:numId="13" w16cid:durableId="1279484755">
    <w:abstractNumId w:val="4"/>
  </w:num>
  <w:num w:numId="14" w16cid:durableId="2064911203">
    <w:abstractNumId w:val="20"/>
  </w:num>
  <w:num w:numId="15" w16cid:durableId="696127791">
    <w:abstractNumId w:val="20"/>
  </w:num>
  <w:num w:numId="16" w16cid:durableId="1472408789">
    <w:abstractNumId w:val="20"/>
  </w:num>
  <w:num w:numId="17" w16cid:durableId="1082337818">
    <w:abstractNumId w:val="15"/>
  </w:num>
  <w:num w:numId="18" w16cid:durableId="1288781438">
    <w:abstractNumId w:val="14"/>
  </w:num>
  <w:num w:numId="19" w16cid:durableId="1458139448">
    <w:abstractNumId w:val="16"/>
  </w:num>
  <w:num w:numId="20" w16cid:durableId="681778437">
    <w:abstractNumId w:val="11"/>
  </w:num>
  <w:num w:numId="21" w16cid:durableId="146017389">
    <w:abstractNumId w:val="19"/>
  </w:num>
  <w:num w:numId="22" w16cid:durableId="1144154123">
    <w:abstractNumId w:val="13"/>
  </w:num>
  <w:num w:numId="23" w16cid:durableId="321199715">
    <w:abstractNumId w:val="22"/>
  </w:num>
  <w:num w:numId="24" w16cid:durableId="1724793634">
    <w:abstractNumId w:val="23"/>
  </w:num>
  <w:num w:numId="25" w16cid:durableId="1547989734">
    <w:abstractNumId w:val="21"/>
  </w:num>
  <w:num w:numId="26" w16cid:durableId="1165895142">
    <w:abstractNumId w:val="17"/>
  </w:num>
  <w:num w:numId="27" w16cid:durableId="1008094192">
    <w:abstractNumId w:val="10"/>
  </w:num>
  <w:num w:numId="28" w16cid:durableId="1171604164">
    <w:abstractNumId w:val="18"/>
  </w:num>
  <w:num w:numId="29" w16cid:durableId="42092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NBChoix" w:val="3"/>
    <w:docVar w:name="MotifJuge1" w:val="MOTIFS DE LA JUGE"/>
    <w:docVar w:name="MotifJuge2" w:val="MOTIFS DU JUGE"/>
    <w:docVar w:name="MotifJuge3" w:val="MOTIFS DU JUGE"/>
    <w:docVar w:name="NomFamJuge1" w:val="DUTIL"/>
    <w:docVar w:name="NomFamJuge2" w:val="MAINVILLE"/>
    <w:docVar w:name="NomFamJuge3" w:val="MOORE"/>
    <w:docVar w:name="NomFamJuge4" w:val="MAILHOT"/>
    <w:docVar w:name="NomFamJuge5" w:val="BAUDOUIN"/>
    <w:docVar w:name="QteJuge1" w:val=", J.C.A."/>
    <w:docVar w:name="QteJuge2" w:val=", J.C.A."/>
    <w:docVar w:name="QteJuge3" w:val=", J.C.A."/>
    <w:docVar w:name="stPremiereFois" w:val="Non"/>
  </w:docVars>
  <w:rsids>
    <w:rsidRoot w:val="008005DB"/>
    <w:rsid w:val="00000167"/>
    <w:rsid w:val="00000DCC"/>
    <w:rsid w:val="00001D08"/>
    <w:rsid w:val="0000362B"/>
    <w:rsid w:val="00004343"/>
    <w:rsid w:val="000131E1"/>
    <w:rsid w:val="00016D75"/>
    <w:rsid w:val="00016E3B"/>
    <w:rsid w:val="00021F67"/>
    <w:rsid w:val="00023ED2"/>
    <w:rsid w:val="00032BEF"/>
    <w:rsid w:val="0004394C"/>
    <w:rsid w:val="0004670D"/>
    <w:rsid w:val="00050B3E"/>
    <w:rsid w:val="00051E7D"/>
    <w:rsid w:val="00053691"/>
    <w:rsid w:val="00053BDE"/>
    <w:rsid w:val="00062877"/>
    <w:rsid w:val="00074C34"/>
    <w:rsid w:val="000777CC"/>
    <w:rsid w:val="00084D17"/>
    <w:rsid w:val="00087D4B"/>
    <w:rsid w:val="000967F9"/>
    <w:rsid w:val="000A0D4C"/>
    <w:rsid w:val="000A2471"/>
    <w:rsid w:val="000A5C58"/>
    <w:rsid w:val="000A684E"/>
    <w:rsid w:val="000A74CC"/>
    <w:rsid w:val="000A7516"/>
    <w:rsid w:val="000B42AF"/>
    <w:rsid w:val="000B561A"/>
    <w:rsid w:val="000C26BE"/>
    <w:rsid w:val="000C7160"/>
    <w:rsid w:val="000D001F"/>
    <w:rsid w:val="000E51FB"/>
    <w:rsid w:val="000E56CC"/>
    <w:rsid w:val="001030CB"/>
    <w:rsid w:val="00103DF1"/>
    <w:rsid w:val="00105125"/>
    <w:rsid w:val="00110B53"/>
    <w:rsid w:val="001121BD"/>
    <w:rsid w:val="00112321"/>
    <w:rsid w:val="00113251"/>
    <w:rsid w:val="0011366B"/>
    <w:rsid w:val="00115F18"/>
    <w:rsid w:val="001178FD"/>
    <w:rsid w:val="00117914"/>
    <w:rsid w:val="00120722"/>
    <w:rsid w:val="00122788"/>
    <w:rsid w:val="0013028C"/>
    <w:rsid w:val="0013078D"/>
    <w:rsid w:val="00131E1E"/>
    <w:rsid w:val="00136491"/>
    <w:rsid w:val="001444DD"/>
    <w:rsid w:val="00146A4C"/>
    <w:rsid w:val="001528D9"/>
    <w:rsid w:val="0015308F"/>
    <w:rsid w:val="0015363F"/>
    <w:rsid w:val="0015610F"/>
    <w:rsid w:val="00160B31"/>
    <w:rsid w:val="00161E94"/>
    <w:rsid w:val="00162F43"/>
    <w:rsid w:val="00167843"/>
    <w:rsid w:val="001712E2"/>
    <w:rsid w:val="00181F56"/>
    <w:rsid w:val="00184213"/>
    <w:rsid w:val="00190B7D"/>
    <w:rsid w:val="00190FA7"/>
    <w:rsid w:val="0019530B"/>
    <w:rsid w:val="00195EDC"/>
    <w:rsid w:val="00196711"/>
    <w:rsid w:val="001972F2"/>
    <w:rsid w:val="001A33FB"/>
    <w:rsid w:val="001A4975"/>
    <w:rsid w:val="001A69F2"/>
    <w:rsid w:val="001A7C84"/>
    <w:rsid w:val="001B7511"/>
    <w:rsid w:val="001B7578"/>
    <w:rsid w:val="001B7796"/>
    <w:rsid w:val="001B7DC2"/>
    <w:rsid w:val="001D43C1"/>
    <w:rsid w:val="001D4CD8"/>
    <w:rsid w:val="001D61A3"/>
    <w:rsid w:val="001E4238"/>
    <w:rsid w:val="001F0E3E"/>
    <w:rsid w:val="001F270F"/>
    <w:rsid w:val="001F2FFF"/>
    <w:rsid w:val="0020096E"/>
    <w:rsid w:val="00205DC4"/>
    <w:rsid w:val="0021548E"/>
    <w:rsid w:val="0021765C"/>
    <w:rsid w:val="00220ED1"/>
    <w:rsid w:val="00221EB2"/>
    <w:rsid w:val="00226E38"/>
    <w:rsid w:val="002273F5"/>
    <w:rsid w:val="00234B25"/>
    <w:rsid w:val="00236DC4"/>
    <w:rsid w:val="002417F5"/>
    <w:rsid w:val="0024184E"/>
    <w:rsid w:val="00241E9B"/>
    <w:rsid w:val="00251A61"/>
    <w:rsid w:val="002535C4"/>
    <w:rsid w:val="00253F34"/>
    <w:rsid w:val="0025436C"/>
    <w:rsid w:val="00260F98"/>
    <w:rsid w:val="00264836"/>
    <w:rsid w:val="00271F0C"/>
    <w:rsid w:val="0028051E"/>
    <w:rsid w:val="00282AEE"/>
    <w:rsid w:val="00283033"/>
    <w:rsid w:val="002970C5"/>
    <w:rsid w:val="002A5338"/>
    <w:rsid w:val="002B1685"/>
    <w:rsid w:val="002B358C"/>
    <w:rsid w:val="002B4A07"/>
    <w:rsid w:val="002B5575"/>
    <w:rsid w:val="002B55DC"/>
    <w:rsid w:val="002B6A93"/>
    <w:rsid w:val="002B70CD"/>
    <w:rsid w:val="002C258C"/>
    <w:rsid w:val="002C2ED8"/>
    <w:rsid w:val="002C4107"/>
    <w:rsid w:val="002C43BA"/>
    <w:rsid w:val="002C660A"/>
    <w:rsid w:val="002C705B"/>
    <w:rsid w:val="002E0F17"/>
    <w:rsid w:val="002E1F0E"/>
    <w:rsid w:val="002E229C"/>
    <w:rsid w:val="002E26D0"/>
    <w:rsid w:val="002E3361"/>
    <w:rsid w:val="002E51F1"/>
    <w:rsid w:val="002F1350"/>
    <w:rsid w:val="002F29B4"/>
    <w:rsid w:val="002F6136"/>
    <w:rsid w:val="00300DFF"/>
    <w:rsid w:val="00301719"/>
    <w:rsid w:val="003122D3"/>
    <w:rsid w:val="0031238C"/>
    <w:rsid w:val="003165F2"/>
    <w:rsid w:val="00317288"/>
    <w:rsid w:val="00317B67"/>
    <w:rsid w:val="00322DE0"/>
    <w:rsid w:val="0032363D"/>
    <w:rsid w:val="0033190E"/>
    <w:rsid w:val="00335158"/>
    <w:rsid w:val="00342B70"/>
    <w:rsid w:val="00351415"/>
    <w:rsid w:val="00353E0F"/>
    <w:rsid w:val="00354C2E"/>
    <w:rsid w:val="00357B67"/>
    <w:rsid w:val="00361110"/>
    <w:rsid w:val="00361325"/>
    <w:rsid w:val="00366707"/>
    <w:rsid w:val="00374888"/>
    <w:rsid w:val="00374E40"/>
    <w:rsid w:val="003828F2"/>
    <w:rsid w:val="003864FE"/>
    <w:rsid w:val="00391768"/>
    <w:rsid w:val="00391A42"/>
    <w:rsid w:val="003A7F4E"/>
    <w:rsid w:val="003B0302"/>
    <w:rsid w:val="003B077B"/>
    <w:rsid w:val="003B7D88"/>
    <w:rsid w:val="003B7F79"/>
    <w:rsid w:val="003C19C8"/>
    <w:rsid w:val="003C1B82"/>
    <w:rsid w:val="003C2C58"/>
    <w:rsid w:val="003C3B66"/>
    <w:rsid w:val="003C46C1"/>
    <w:rsid w:val="003D2FD7"/>
    <w:rsid w:val="003D487D"/>
    <w:rsid w:val="003D73FC"/>
    <w:rsid w:val="003E23AC"/>
    <w:rsid w:val="003E3239"/>
    <w:rsid w:val="003E3E3C"/>
    <w:rsid w:val="003E486B"/>
    <w:rsid w:val="003E7706"/>
    <w:rsid w:val="003F1F78"/>
    <w:rsid w:val="003F399D"/>
    <w:rsid w:val="003F4D61"/>
    <w:rsid w:val="003F5EC5"/>
    <w:rsid w:val="003F6B5C"/>
    <w:rsid w:val="00402D40"/>
    <w:rsid w:val="00412C67"/>
    <w:rsid w:val="00421E0E"/>
    <w:rsid w:val="00423DF1"/>
    <w:rsid w:val="00430C58"/>
    <w:rsid w:val="00432F1B"/>
    <w:rsid w:val="004331C4"/>
    <w:rsid w:val="0043564D"/>
    <w:rsid w:val="00435B66"/>
    <w:rsid w:val="0043775D"/>
    <w:rsid w:val="00441C25"/>
    <w:rsid w:val="00446452"/>
    <w:rsid w:val="0044673B"/>
    <w:rsid w:val="00446959"/>
    <w:rsid w:val="00452C2E"/>
    <w:rsid w:val="004631FC"/>
    <w:rsid w:val="004636C1"/>
    <w:rsid w:val="00463AD8"/>
    <w:rsid w:val="00464C02"/>
    <w:rsid w:val="00467E2F"/>
    <w:rsid w:val="00470F85"/>
    <w:rsid w:val="00472DC8"/>
    <w:rsid w:val="00472E45"/>
    <w:rsid w:val="00474485"/>
    <w:rsid w:val="004746C5"/>
    <w:rsid w:val="00475634"/>
    <w:rsid w:val="004802EC"/>
    <w:rsid w:val="00482920"/>
    <w:rsid w:val="00486C52"/>
    <w:rsid w:val="00487BA9"/>
    <w:rsid w:val="00494DF6"/>
    <w:rsid w:val="00494FD0"/>
    <w:rsid w:val="00496E43"/>
    <w:rsid w:val="00497216"/>
    <w:rsid w:val="004A29F1"/>
    <w:rsid w:val="004A6641"/>
    <w:rsid w:val="004A7BFD"/>
    <w:rsid w:val="004B05CA"/>
    <w:rsid w:val="004B1E94"/>
    <w:rsid w:val="004B30BA"/>
    <w:rsid w:val="004B33FF"/>
    <w:rsid w:val="004C271D"/>
    <w:rsid w:val="004C2F2B"/>
    <w:rsid w:val="004C40D6"/>
    <w:rsid w:val="004C66D8"/>
    <w:rsid w:val="004D2F69"/>
    <w:rsid w:val="004E175C"/>
    <w:rsid w:val="004E2F99"/>
    <w:rsid w:val="004E4FBA"/>
    <w:rsid w:val="004E5F4B"/>
    <w:rsid w:val="004F56CE"/>
    <w:rsid w:val="005103C8"/>
    <w:rsid w:val="00510743"/>
    <w:rsid w:val="00510B93"/>
    <w:rsid w:val="0051103C"/>
    <w:rsid w:val="0051147D"/>
    <w:rsid w:val="005131F1"/>
    <w:rsid w:val="0051484F"/>
    <w:rsid w:val="00515FB8"/>
    <w:rsid w:val="00516B3E"/>
    <w:rsid w:val="005259AA"/>
    <w:rsid w:val="005262C9"/>
    <w:rsid w:val="00531D70"/>
    <w:rsid w:val="005336CE"/>
    <w:rsid w:val="00540DD6"/>
    <w:rsid w:val="00543357"/>
    <w:rsid w:val="00555818"/>
    <w:rsid w:val="00555D8D"/>
    <w:rsid w:val="00556A44"/>
    <w:rsid w:val="00565BA9"/>
    <w:rsid w:val="00566BF6"/>
    <w:rsid w:val="00567078"/>
    <w:rsid w:val="0057447E"/>
    <w:rsid w:val="00582983"/>
    <w:rsid w:val="00583434"/>
    <w:rsid w:val="0058349F"/>
    <w:rsid w:val="00586C6F"/>
    <w:rsid w:val="005A076B"/>
    <w:rsid w:val="005A0DF4"/>
    <w:rsid w:val="005A26B1"/>
    <w:rsid w:val="005A6BBD"/>
    <w:rsid w:val="005A78BF"/>
    <w:rsid w:val="005B2B86"/>
    <w:rsid w:val="005B6B4C"/>
    <w:rsid w:val="005B7C77"/>
    <w:rsid w:val="005C02BA"/>
    <w:rsid w:val="005C3597"/>
    <w:rsid w:val="005C4015"/>
    <w:rsid w:val="005C7516"/>
    <w:rsid w:val="005D08CE"/>
    <w:rsid w:val="005D1522"/>
    <w:rsid w:val="005D7BA1"/>
    <w:rsid w:val="005E08F0"/>
    <w:rsid w:val="005E20BF"/>
    <w:rsid w:val="005E616B"/>
    <w:rsid w:val="005E6640"/>
    <w:rsid w:val="005E723E"/>
    <w:rsid w:val="005F5F5F"/>
    <w:rsid w:val="00602DBB"/>
    <w:rsid w:val="00611A82"/>
    <w:rsid w:val="00613A92"/>
    <w:rsid w:val="00615A75"/>
    <w:rsid w:val="00615B83"/>
    <w:rsid w:val="00617148"/>
    <w:rsid w:val="00624770"/>
    <w:rsid w:val="00625D8A"/>
    <w:rsid w:val="006260BF"/>
    <w:rsid w:val="00635AB6"/>
    <w:rsid w:val="00635BCD"/>
    <w:rsid w:val="00636D2C"/>
    <w:rsid w:val="0064250B"/>
    <w:rsid w:val="00643F80"/>
    <w:rsid w:val="00647DEB"/>
    <w:rsid w:val="006542E5"/>
    <w:rsid w:val="0067378E"/>
    <w:rsid w:val="0067671C"/>
    <w:rsid w:val="006826AA"/>
    <w:rsid w:val="0068356A"/>
    <w:rsid w:val="0068760E"/>
    <w:rsid w:val="006911D2"/>
    <w:rsid w:val="00697FDE"/>
    <w:rsid w:val="006A0DB0"/>
    <w:rsid w:val="006A12CC"/>
    <w:rsid w:val="006A4D9D"/>
    <w:rsid w:val="006A5AC4"/>
    <w:rsid w:val="006A6629"/>
    <w:rsid w:val="006B4207"/>
    <w:rsid w:val="006C2208"/>
    <w:rsid w:val="006C3D31"/>
    <w:rsid w:val="006D1FDD"/>
    <w:rsid w:val="006D4F76"/>
    <w:rsid w:val="006E29F3"/>
    <w:rsid w:val="006E4BCF"/>
    <w:rsid w:val="006E6B88"/>
    <w:rsid w:val="006F1E32"/>
    <w:rsid w:val="006F3E53"/>
    <w:rsid w:val="006F69AF"/>
    <w:rsid w:val="0070159E"/>
    <w:rsid w:val="00703A0D"/>
    <w:rsid w:val="0071421E"/>
    <w:rsid w:val="00717437"/>
    <w:rsid w:val="0072167C"/>
    <w:rsid w:val="0072362A"/>
    <w:rsid w:val="00726A4E"/>
    <w:rsid w:val="00740A17"/>
    <w:rsid w:val="007422B0"/>
    <w:rsid w:val="007462D6"/>
    <w:rsid w:val="0074738B"/>
    <w:rsid w:val="00750713"/>
    <w:rsid w:val="00751438"/>
    <w:rsid w:val="007566A7"/>
    <w:rsid w:val="00760420"/>
    <w:rsid w:val="0076062E"/>
    <w:rsid w:val="00760BCB"/>
    <w:rsid w:val="00765C6A"/>
    <w:rsid w:val="00770FCB"/>
    <w:rsid w:val="007719DA"/>
    <w:rsid w:val="007734E5"/>
    <w:rsid w:val="007742B5"/>
    <w:rsid w:val="00777770"/>
    <w:rsid w:val="0078340B"/>
    <w:rsid w:val="00786142"/>
    <w:rsid w:val="00791652"/>
    <w:rsid w:val="00792358"/>
    <w:rsid w:val="007953F3"/>
    <w:rsid w:val="00797E01"/>
    <w:rsid w:val="007A260F"/>
    <w:rsid w:val="007A2786"/>
    <w:rsid w:val="007A6E65"/>
    <w:rsid w:val="007A7803"/>
    <w:rsid w:val="007B061E"/>
    <w:rsid w:val="007B48D5"/>
    <w:rsid w:val="007B7BA0"/>
    <w:rsid w:val="007B7DBA"/>
    <w:rsid w:val="007C22B3"/>
    <w:rsid w:val="007D087C"/>
    <w:rsid w:val="007D7F6A"/>
    <w:rsid w:val="007E33E4"/>
    <w:rsid w:val="007E4BCA"/>
    <w:rsid w:val="007E4CC9"/>
    <w:rsid w:val="007F1B24"/>
    <w:rsid w:val="007F2D1E"/>
    <w:rsid w:val="0080039E"/>
    <w:rsid w:val="008005DB"/>
    <w:rsid w:val="00800D23"/>
    <w:rsid w:val="008011AA"/>
    <w:rsid w:val="00801827"/>
    <w:rsid w:val="008048D0"/>
    <w:rsid w:val="00806328"/>
    <w:rsid w:val="00806CD1"/>
    <w:rsid w:val="00813248"/>
    <w:rsid w:val="008151CC"/>
    <w:rsid w:val="00815F58"/>
    <w:rsid w:val="00816273"/>
    <w:rsid w:val="008169F6"/>
    <w:rsid w:val="0082717B"/>
    <w:rsid w:val="00827B04"/>
    <w:rsid w:val="0083032E"/>
    <w:rsid w:val="0083669B"/>
    <w:rsid w:val="00841907"/>
    <w:rsid w:val="0084524D"/>
    <w:rsid w:val="00847565"/>
    <w:rsid w:val="00847B97"/>
    <w:rsid w:val="00853309"/>
    <w:rsid w:val="008561C6"/>
    <w:rsid w:val="0086036A"/>
    <w:rsid w:val="00861382"/>
    <w:rsid w:val="0086305C"/>
    <w:rsid w:val="00864239"/>
    <w:rsid w:val="00864464"/>
    <w:rsid w:val="008653A3"/>
    <w:rsid w:val="008657A2"/>
    <w:rsid w:val="00866115"/>
    <w:rsid w:val="00866645"/>
    <w:rsid w:val="00870C57"/>
    <w:rsid w:val="00876C02"/>
    <w:rsid w:val="00877DE7"/>
    <w:rsid w:val="00880956"/>
    <w:rsid w:val="00882210"/>
    <w:rsid w:val="0088279E"/>
    <w:rsid w:val="00887C2D"/>
    <w:rsid w:val="0089028A"/>
    <w:rsid w:val="00890623"/>
    <w:rsid w:val="00892F11"/>
    <w:rsid w:val="008A2886"/>
    <w:rsid w:val="008A6185"/>
    <w:rsid w:val="008B0ED7"/>
    <w:rsid w:val="008B1721"/>
    <w:rsid w:val="008C1FE9"/>
    <w:rsid w:val="008C4037"/>
    <w:rsid w:val="008C7DCE"/>
    <w:rsid w:val="008D18FC"/>
    <w:rsid w:val="008D398B"/>
    <w:rsid w:val="008D7E49"/>
    <w:rsid w:val="008E1B40"/>
    <w:rsid w:val="008E2EA8"/>
    <w:rsid w:val="008E6122"/>
    <w:rsid w:val="008E68E1"/>
    <w:rsid w:val="008E6B2F"/>
    <w:rsid w:val="008F3265"/>
    <w:rsid w:val="008F364A"/>
    <w:rsid w:val="008F3F53"/>
    <w:rsid w:val="00904240"/>
    <w:rsid w:val="00905CC6"/>
    <w:rsid w:val="00905D57"/>
    <w:rsid w:val="00906CD3"/>
    <w:rsid w:val="00913E03"/>
    <w:rsid w:val="00913EC1"/>
    <w:rsid w:val="00916707"/>
    <w:rsid w:val="00920702"/>
    <w:rsid w:val="009229E9"/>
    <w:rsid w:val="00923BD8"/>
    <w:rsid w:val="00924260"/>
    <w:rsid w:val="00926953"/>
    <w:rsid w:val="00932703"/>
    <w:rsid w:val="00935331"/>
    <w:rsid w:val="00936469"/>
    <w:rsid w:val="009400B7"/>
    <w:rsid w:val="00945171"/>
    <w:rsid w:val="00945A56"/>
    <w:rsid w:val="009520A1"/>
    <w:rsid w:val="00954DC2"/>
    <w:rsid w:val="00957236"/>
    <w:rsid w:val="00957B92"/>
    <w:rsid w:val="00962A7B"/>
    <w:rsid w:val="00970966"/>
    <w:rsid w:val="00970B58"/>
    <w:rsid w:val="00974442"/>
    <w:rsid w:val="00977302"/>
    <w:rsid w:val="00977D29"/>
    <w:rsid w:val="009818FE"/>
    <w:rsid w:val="0098467F"/>
    <w:rsid w:val="00990C35"/>
    <w:rsid w:val="00992924"/>
    <w:rsid w:val="009975EE"/>
    <w:rsid w:val="009A0AE7"/>
    <w:rsid w:val="009A3A84"/>
    <w:rsid w:val="009B260D"/>
    <w:rsid w:val="009B415F"/>
    <w:rsid w:val="009B4D1D"/>
    <w:rsid w:val="009B6D8E"/>
    <w:rsid w:val="009C0D3A"/>
    <w:rsid w:val="009C1B05"/>
    <w:rsid w:val="009C246D"/>
    <w:rsid w:val="009D055A"/>
    <w:rsid w:val="009D16D4"/>
    <w:rsid w:val="009D18C6"/>
    <w:rsid w:val="009D34B5"/>
    <w:rsid w:val="009D7D29"/>
    <w:rsid w:val="009F1F69"/>
    <w:rsid w:val="009F2B74"/>
    <w:rsid w:val="009F2F47"/>
    <w:rsid w:val="009F3E87"/>
    <w:rsid w:val="00A06DC3"/>
    <w:rsid w:val="00A14AEE"/>
    <w:rsid w:val="00A15444"/>
    <w:rsid w:val="00A21F71"/>
    <w:rsid w:val="00A23BF4"/>
    <w:rsid w:val="00A2593B"/>
    <w:rsid w:val="00A262F6"/>
    <w:rsid w:val="00A26A90"/>
    <w:rsid w:val="00A31884"/>
    <w:rsid w:val="00A31B75"/>
    <w:rsid w:val="00A33665"/>
    <w:rsid w:val="00A33758"/>
    <w:rsid w:val="00A34E05"/>
    <w:rsid w:val="00A365E0"/>
    <w:rsid w:val="00A37817"/>
    <w:rsid w:val="00A37C69"/>
    <w:rsid w:val="00A407D2"/>
    <w:rsid w:val="00A41705"/>
    <w:rsid w:val="00A43138"/>
    <w:rsid w:val="00A4351A"/>
    <w:rsid w:val="00A43D8B"/>
    <w:rsid w:val="00A44ADC"/>
    <w:rsid w:val="00A454F1"/>
    <w:rsid w:val="00A4559E"/>
    <w:rsid w:val="00A470E2"/>
    <w:rsid w:val="00A543CC"/>
    <w:rsid w:val="00A54490"/>
    <w:rsid w:val="00A55411"/>
    <w:rsid w:val="00A56020"/>
    <w:rsid w:val="00A56307"/>
    <w:rsid w:val="00A626D2"/>
    <w:rsid w:val="00A6674E"/>
    <w:rsid w:val="00A67E42"/>
    <w:rsid w:val="00A716F0"/>
    <w:rsid w:val="00A74190"/>
    <w:rsid w:val="00A82B30"/>
    <w:rsid w:val="00A856EC"/>
    <w:rsid w:val="00A86EEA"/>
    <w:rsid w:val="00A87FA8"/>
    <w:rsid w:val="00A91C83"/>
    <w:rsid w:val="00A93CFF"/>
    <w:rsid w:val="00A96AC7"/>
    <w:rsid w:val="00AA1F06"/>
    <w:rsid w:val="00AA20ED"/>
    <w:rsid w:val="00AA332F"/>
    <w:rsid w:val="00AB21F4"/>
    <w:rsid w:val="00AB762D"/>
    <w:rsid w:val="00AB7DD2"/>
    <w:rsid w:val="00AC00B7"/>
    <w:rsid w:val="00AC0864"/>
    <w:rsid w:val="00AC36CB"/>
    <w:rsid w:val="00AD25DC"/>
    <w:rsid w:val="00AD265D"/>
    <w:rsid w:val="00AD3F43"/>
    <w:rsid w:val="00AD6235"/>
    <w:rsid w:val="00AD798E"/>
    <w:rsid w:val="00AD7DE1"/>
    <w:rsid w:val="00AE1C0E"/>
    <w:rsid w:val="00AE28F0"/>
    <w:rsid w:val="00AE4EFE"/>
    <w:rsid w:val="00AE6C63"/>
    <w:rsid w:val="00AE6F82"/>
    <w:rsid w:val="00AF04D5"/>
    <w:rsid w:val="00AF0C7C"/>
    <w:rsid w:val="00AF2E71"/>
    <w:rsid w:val="00AF3E17"/>
    <w:rsid w:val="00AF43D5"/>
    <w:rsid w:val="00AF558E"/>
    <w:rsid w:val="00AF695E"/>
    <w:rsid w:val="00B01D86"/>
    <w:rsid w:val="00B07E4E"/>
    <w:rsid w:val="00B11FD1"/>
    <w:rsid w:val="00B1278D"/>
    <w:rsid w:val="00B137E9"/>
    <w:rsid w:val="00B1445B"/>
    <w:rsid w:val="00B22A9B"/>
    <w:rsid w:val="00B23D67"/>
    <w:rsid w:val="00B23FD7"/>
    <w:rsid w:val="00B25CF2"/>
    <w:rsid w:val="00B30EA2"/>
    <w:rsid w:val="00B3633A"/>
    <w:rsid w:val="00B36ED3"/>
    <w:rsid w:val="00B37ABE"/>
    <w:rsid w:val="00B45138"/>
    <w:rsid w:val="00B513C9"/>
    <w:rsid w:val="00B557EB"/>
    <w:rsid w:val="00B56EF4"/>
    <w:rsid w:val="00B63FDB"/>
    <w:rsid w:val="00B66BC4"/>
    <w:rsid w:val="00B70485"/>
    <w:rsid w:val="00B71967"/>
    <w:rsid w:val="00B71C69"/>
    <w:rsid w:val="00B75F07"/>
    <w:rsid w:val="00B77A18"/>
    <w:rsid w:val="00B82A13"/>
    <w:rsid w:val="00B84671"/>
    <w:rsid w:val="00B92B71"/>
    <w:rsid w:val="00B956FA"/>
    <w:rsid w:val="00B96C43"/>
    <w:rsid w:val="00B97DDC"/>
    <w:rsid w:val="00BA7546"/>
    <w:rsid w:val="00BC0D78"/>
    <w:rsid w:val="00BC104D"/>
    <w:rsid w:val="00BC2CB0"/>
    <w:rsid w:val="00BC2D48"/>
    <w:rsid w:val="00BC6A63"/>
    <w:rsid w:val="00BD4A61"/>
    <w:rsid w:val="00BF0F76"/>
    <w:rsid w:val="00BF1B93"/>
    <w:rsid w:val="00BF1EAB"/>
    <w:rsid w:val="00C00B0B"/>
    <w:rsid w:val="00C02AF8"/>
    <w:rsid w:val="00C05331"/>
    <w:rsid w:val="00C05FA3"/>
    <w:rsid w:val="00C15672"/>
    <w:rsid w:val="00C17E01"/>
    <w:rsid w:val="00C2660E"/>
    <w:rsid w:val="00C31AC4"/>
    <w:rsid w:val="00C328B8"/>
    <w:rsid w:val="00C3473A"/>
    <w:rsid w:val="00C409BE"/>
    <w:rsid w:val="00C4109E"/>
    <w:rsid w:val="00C423CA"/>
    <w:rsid w:val="00C46657"/>
    <w:rsid w:val="00C539DB"/>
    <w:rsid w:val="00C543A4"/>
    <w:rsid w:val="00C62FB7"/>
    <w:rsid w:val="00C633AE"/>
    <w:rsid w:val="00C647B0"/>
    <w:rsid w:val="00C652ED"/>
    <w:rsid w:val="00C773F3"/>
    <w:rsid w:val="00C7793C"/>
    <w:rsid w:val="00C803BE"/>
    <w:rsid w:val="00C82FCF"/>
    <w:rsid w:val="00C86148"/>
    <w:rsid w:val="00C939A8"/>
    <w:rsid w:val="00C95422"/>
    <w:rsid w:val="00C97145"/>
    <w:rsid w:val="00C97D59"/>
    <w:rsid w:val="00CA56CC"/>
    <w:rsid w:val="00CB41D9"/>
    <w:rsid w:val="00CB71FE"/>
    <w:rsid w:val="00CB7281"/>
    <w:rsid w:val="00CC1883"/>
    <w:rsid w:val="00CC7378"/>
    <w:rsid w:val="00CD469E"/>
    <w:rsid w:val="00D010FD"/>
    <w:rsid w:val="00D02812"/>
    <w:rsid w:val="00D04D5A"/>
    <w:rsid w:val="00D07E7B"/>
    <w:rsid w:val="00D10321"/>
    <w:rsid w:val="00D10787"/>
    <w:rsid w:val="00D20056"/>
    <w:rsid w:val="00D259C7"/>
    <w:rsid w:val="00D25BA4"/>
    <w:rsid w:val="00D30C78"/>
    <w:rsid w:val="00D3220C"/>
    <w:rsid w:val="00D41871"/>
    <w:rsid w:val="00D42553"/>
    <w:rsid w:val="00D535EC"/>
    <w:rsid w:val="00D61EC4"/>
    <w:rsid w:val="00D6570A"/>
    <w:rsid w:val="00D65A0C"/>
    <w:rsid w:val="00D66386"/>
    <w:rsid w:val="00D66E2B"/>
    <w:rsid w:val="00D72BAC"/>
    <w:rsid w:val="00D733FA"/>
    <w:rsid w:val="00D73F8E"/>
    <w:rsid w:val="00D76F32"/>
    <w:rsid w:val="00D77C08"/>
    <w:rsid w:val="00D80F01"/>
    <w:rsid w:val="00D900AA"/>
    <w:rsid w:val="00D910EA"/>
    <w:rsid w:val="00D9146D"/>
    <w:rsid w:val="00D9526E"/>
    <w:rsid w:val="00D95857"/>
    <w:rsid w:val="00D97121"/>
    <w:rsid w:val="00DA21D3"/>
    <w:rsid w:val="00DB2119"/>
    <w:rsid w:val="00DB3880"/>
    <w:rsid w:val="00DB4C7D"/>
    <w:rsid w:val="00DC019E"/>
    <w:rsid w:val="00DC05BC"/>
    <w:rsid w:val="00DC2606"/>
    <w:rsid w:val="00DC6F89"/>
    <w:rsid w:val="00DD0605"/>
    <w:rsid w:val="00DD3959"/>
    <w:rsid w:val="00DD3A24"/>
    <w:rsid w:val="00DE26EA"/>
    <w:rsid w:val="00DE4DFD"/>
    <w:rsid w:val="00DE5938"/>
    <w:rsid w:val="00DE7B04"/>
    <w:rsid w:val="00DF0BB7"/>
    <w:rsid w:val="00DF206B"/>
    <w:rsid w:val="00DF3516"/>
    <w:rsid w:val="00DF4994"/>
    <w:rsid w:val="00DF5017"/>
    <w:rsid w:val="00DF5D0D"/>
    <w:rsid w:val="00DF7234"/>
    <w:rsid w:val="00E03C07"/>
    <w:rsid w:val="00E03F78"/>
    <w:rsid w:val="00E07995"/>
    <w:rsid w:val="00E10835"/>
    <w:rsid w:val="00E20C57"/>
    <w:rsid w:val="00E20DF7"/>
    <w:rsid w:val="00E20E3C"/>
    <w:rsid w:val="00E24306"/>
    <w:rsid w:val="00E32FA3"/>
    <w:rsid w:val="00E35E35"/>
    <w:rsid w:val="00E36290"/>
    <w:rsid w:val="00E43D89"/>
    <w:rsid w:val="00E6078E"/>
    <w:rsid w:val="00E60986"/>
    <w:rsid w:val="00E61950"/>
    <w:rsid w:val="00E656EE"/>
    <w:rsid w:val="00E65DA5"/>
    <w:rsid w:val="00E7141E"/>
    <w:rsid w:val="00E74AC0"/>
    <w:rsid w:val="00E77E09"/>
    <w:rsid w:val="00E80AED"/>
    <w:rsid w:val="00E80F4F"/>
    <w:rsid w:val="00E81C8B"/>
    <w:rsid w:val="00E81E61"/>
    <w:rsid w:val="00E848B4"/>
    <w:rsid w:val="00E86256"/>
    <w:rsid w:val="00E903F4"/>
    <w:rsid w:val="00E91417"/>
    <w:rsid w:val="00E91FA4"/>
    <w:rsid w:val="00E92ABE"/>
    <w:rsid w:val="00E94329"/>
    <w:rsid w:val="00E94F3A"/>
    <w:rsid w:val="00E95B85"/>
    <w:rsid w:val="00EA16C4"/>
    <w:rsid w:val="00EA43D9"/>
    <w:rsid w:val="00EA4E2C"/>
    <w:rsid w:val="00EA5D22"/>
    <w:rsid w:val="00EA659B"/>
    <w:rsid w:val="00EA7055"/>
    <w:rsid w:val="00EB1377"/>
    <w:rsid w:val="00EB2AFC"/>
    <w:rsid w:val="00EB49EF"/>
    <w:rsid w:val="00EC04EF"/>
    <w:rsid w:val="00EC166A"/>
    <w:rsid w:val="00EC1E33"/>
    <w:rsid w:val="00ED10D3"/>
    <w:rsid w:val="00ED3B3E"/>
    <w:rsid w:val="00ED7FC7"/>
    <w:rsid w:val="00EE7468"/>
    <w:rsid w:val="00EF15EA"/>
    <w:rsid w:val="00EF1B0E"/>
    <w:rsid w:val="00EF302C"/>
    <w:rsid w:val="00F017FA"/>
    <w:rsid w:val="00F0222B"/>
    <w:rsid w:val="00F07022"/>
    <w:rsid w:val="00F1119E"/>
    <w:rsid w:val="00F13D90"/>
    <w:rsid w:val="00F160E2"/>
    <w:rsid w:val="00F172F9"/>
    <w:rsid w:val="00F203E9"/>
    <w:rsid w:val="00F21F1D"/>
    <w:rsid w:val="00F26569"/>
    <w:rsid w:val="00F33E30"/>
    <w:rsid w:val="00F35A34"/>
    <w:rsid w:val="00F405BC"/>
    <w:rsid w:val="00F40882"/>
    <w:rsid w:val="00F43559"/>
    <w:rsid w:val="00F507D6"/>
    <w:rsid w:val="00F51D2E"/>
    <w:rsid w:val="00F5267F"/>
    <w:rsid w:val="00F5789B"/>
    <w:rsid w:val="00F609B9"/>
    <w:rsid w:val="00F62D35"/>
    <w:rsid w:val="00F6629C"/>
    <w:rsid w:val="00F667C2"/>
    <w:rsid w:val="00F66E47"/>
    <w:rsid w:val="00F676DB"/>
    <w:rsid w:val="00F72C2C"/>
    <w:rsid w:val="00F74451"/>
    <w:rsid w:val="00F74EE8"/>
    <w:rsid w:val="00F75AAB"/>
    <w:rsid w:val="00F75C76"/>
    <w:rsid w:val="00F80CB8"/>
    <w:rsid w:val="00F81BE9"/>
    <w:rsid w:val="00F82A0E"/>
    <w:rsid w:val="00F8495C"/>
    <w:rsid w:val="00F84ED4"/>
    <w:rsid w:val="00F9060C"/>
    <w:rsid w:val="00F926E3"/>
    <w:rsid w:val="00F9551D"/>
    <w:rsid w:val="00F95E20"/>
    <w:rsid w:val="00FA0351"/>
    <w:rsid w:val="00FA34E5"/>
    <w:rsid w:val="00FA3C33"/>
    <w:rsid w:val="00FA4093"/>
    <w:rsid w:val="00FA600B"/>
    <w:rsid w:val="00FA71BB"/>
    <w:rsid w:val="00FA77F3"/>
    <w:rsid w:val="00FB2B51"/>
    <w:rsid w:val="00FC443B"/>
    <w:rsid w:val="00FC4875"/>
    <w:rsid w:val="00FC720B"/>
    <w:rsid w:val="00FD46A9"/>
    <w:rsid w:val="00FD5CFF"/>
    <w:rsid w:val="00FE061B"/>
    <w:rsid w:val="00FE22B7"/>
    <w:rsid w:val="00FE3FE9"/>
    <w:rsid w:val="00FE47FA"/>
    <w:rsid w:val="00FE6A10"/>
    <w:rsid w:val="00FF2E03"/>
    <w:rsid w:val="00FF57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B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 Char1 Char1 Char Char, Char1 Char1 Char1, Char1 Char2 Char, Char1 Char3,Char1 Char1 Char Char,Char1 Char1 Char1,Char1 Char2 Char,Footnote Text Char Char Char,Footnote Text Char Char1,Footnote Text Char1 Char,Footnote Text Char2,fn"/>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aliases w:val=" Char1 Char1 Char Char Car, Char1 Char1 Char1 Car, Char1 Char2 Char Car, Char1 Char3 Car,Char1 Char1 Char Char Car,Char1 Char1 Char1 Car,Char1 Char2 Char Car,Footnote Text Char Char Char Car,Footnote Text Char Char1 Car,fn Car"/>
    <w:basedOn w:val="Policepardfaut"/>
    <w:link w:val="Notedebasdepage"/>
    <w:rsid w:val="0072362A"/>
    <w:rPr>
      <w:rFonts w:ascii="Arial" w:hAnsi="Arial"/>
      <w:lang w:eastAsia="fr-FR"/>
    </w:rPr>
  </w:style>
  <w:style w:type="paragraph" w:styleId="Paragraphedeliste">
    <w:name w:val="List Paragraph"/>
    <w:basedOn w:val="Normal"/>
    <w:uiPriority w:val="1"/>
    <w:qFormat/>
    <w:rsid w:val="0072362A"/>
    <w:pPr>
      <w:ind w:left="720"/>
      <w:contextualSpacing/>
    </w:pPr>
  </w:style>
  <w:style w:type="paragraph" w:styleId="Rvision">
    <w:name w:val="Revision"/>
    <w:hidden/>
    <w:uiPriority w:val="99"/>
    <w:semiHidden/>
    <w:rsid w:val="0072362A"/>
    <w:rPr>
      <w:rFonts w:ascii="Arial" w:hAnsi="Arial"/>
      <w:sz w:val="24"/>
      <w:lang w:eastAsia="fr-FR"/>
    </w:rPr>
  </w:style>
  <w:style w:type="character" w:styleId="Marquedecommentaire">
    <w:name w:val="annotation reference"/>
    <w:basedOn w:val="Policepardfaut"/>
    <w:uiPriority w:val="99"/>
    <w:semiHidden/>
    <w:unhideWhenUsed/>
    <w:rsid w:val="0072362A"/>
    <w:rPr>
      <w:sz w:val="16"/>
      <w:szCs w:val="16"/>
    </w:rPr>
  </w:style>
  <w:style w:type="paragraph" w:styleId="Commentaire">
    <w:name w:val="annotation text"/>
    <w:basedOn w:val="Normal"/>
    <w:link w:val="CommentaireCar"/>
    <w:uiPriority w:val="99"/>
    <w:unhideWhenUsed/>
    <w:rsid w:val="0072362A"/>
    <w:pPr>
      <w:spacing w:line="240" w:lineRule="auto"/>
    </w:pPr>
    <w:rPr>
      <w:sz w:val="20"/>
    </w:rPr>
  </w:style>
  <w:style w:type="character" w:customStyle="1" w:styleId="CommentaireCar">
    <w:name w:val="Commentaire Car"/>
    <w:basedOn w:val="Policepardfaut"/>
    <w:link w:val="Commentaire"/>
    <w:uiPriority w:val="99"/>
    <w:rsid w:val="0072362A"/>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72362A"/>
    <w:rPr>
      <w:b/>
      <w:bCs/>
    </w:rPr>
  </w:style>
  <w:style w:type="character" w:customStyle="1" w:styleId="ObjetducommentaireCar">
    <w:name w:val="Objet du commentaire Car"/>
    <w:basedOn w:val="CommentaireCar"/>
    <w:link w:val="Objetducommentaire"/>
    <w:uiPriority w:val="99"/>
    <w:semiHidden/>
    <w:rsid w:val="0072362A"/>
    <w:rPr>
      <w:rFonts w:ascii="Arial" w:hAnsi="Arial"/>
      <w:b/>
      <w:bCs/>
      <w:lang w:eastAsia="fr-FR"/>
    </w:rPr>
  </w:style>
  <w:style w:type="paragraph" w:customStyle="1" w:styleId="ParaNoNdepar-AltN">
    <w:name w:val="Para. No. / Nº de par. - Alt N"/>
    <w:link w:val="ParaNoNdepar-AltNChar"/>
    <w:qFormat/>
    <w:rsid w:val="0072362A"/>
    <w:pPr>
      <w:numPr>
        <w:numId w:val="28"/>
      </w:numPr>
      <w:spacing w:before="480" w:after="480" w:line="480" w:lineRule="auto"/>
      <w:jc w:val="both"/>
    </w:pPr>
    <w:rPr>
      <w:rFonts w:eastAsiaTheme="minorEastAsia" w:cstheme="minorBidi"/>
      <w:sz w:val="24"/>
      <w:szCs w:val="22"/>
      <w:lang w:val="en-CA" w:eastAsia="en-US"/>
    </w:rPr>
  </w:style>
  <w:style w:type="character" w:styleId="Hyperlien">
    <w:name w:val="Hyperlink"/>
    <w:basedOn w:val="Policepardfaut"/>
    <w:uiPriority w:val="99"/>
    <w:unhideWhenUsed/>
    <w:rsid w:val="0072362A"/>
    <w:rPr>
      <w:color w:val="0563C1" w:themeColor="hyperlink"/>
      <w:u w:val="single"/>
    </w:rPr>
  </w:style>
  <w:style w:type="character" w:customStyle="1" w:styleId="Mentionnonrsolue1">
    <w:name w:val="Mention non résolue1"/>
    <w:basedOn w:val="Policepardfaut"/>
    <w:uiPriority w:val="99"/>
    <w:semiHidden/>
    <w:unhideWhenUsed/>
    <w:rsid w:val="0072362A"/>
    <w:rPr>
      <w:color w:val="605E5C"/>
      <w:shd w:val="clear" w:color="auto" w:fill="E1DFDD"/>
    </w:rPr>
  </w:style>
  <w:style w:type="character" w:customStyle="1" w:styleId="citationcar">
    <w:name w:val="citationcar"/>
    <w:basedOn w:val="Policepardfaut"/>
    <w:rsid w:val="0072362A"/>
  </w:style>
  <w:style w:type="character" w:styleId="Accentuation">
    <w:name w:val="Emphasis"/>
    <w:basedOn w:val="Policepardfaut"/>
    <w:uiPriority w:val="20"/>
    <w:qFormat/>
    <w:rsid w:val="0072362A"/>
    <w:rPr>
      <w:i/>
      <w:iCs/>
    </w:rPr>
  </w:style>
  <w:style w:type="character" w:customStyle="1" w:styleId="ParagrapheCar">
    <w:name w:val="Paragraphe Car"/>
    <w:link w:val="Paragraphe"/>
    <w:qFormat/>
    <w:rsid w:val="0072362A"/>
    <w:rPr>
      <w:rFonts w:ascii="Arial" w:hAnsi="Arial"/>
      <w:kern w:val="28"/>
      <w:sz w:val="24"/>
      <w:lang w:eastAsia="fr-FR"/>
    </w:rPr>
  </w:style>
  <w:style w:type="character" w:customStyle="1" w:styleId="ParaNoNdepar-AltNChar">
    <w:name w:val="Para. No. / Nº de par. - Alt N Char"/>
    <w:basedOn w:val="Policepardfaut"/>
    <w:link w:val="ParaNoNdepar-AltN"/>
    <w:locked/>
    <w:rsid w:val="00023ED2"/>
    <w:rPr>
      <w:rFonts w:eastAsiaTheme="minorEastAsia" w:cstheme="minorBidi"/>
      <w:sz w:val="24"/>
      <w:szCs w:val="22"/>
      <w:lang w:val="en-CA" w:eastAsia="en-US"/>
    </w:rPr>
  </w:style>
  <w:style w:type="character" w:styleId="Mentionnonrsolue">
    <w:name w:val="Unresolved Mention"/>
    <w:basedOn w:val="Policepardfaut"/>
    <w:uiPriority w:val="99"/>
    <w:semiHidden/>
    <w:unhideWhenUsed/>
    <w:rsid w:val="00F8495C"/>
    <w:rPr>
      <w:color w:val="605E5C"/>
      <w:shd w:val="clear" w:color="auto" w:fill="E1DFDD"/>
    </w:rPr>
  </w:style>
  <w:style w:type="character" w:customStyle="1" w:styleId="label-z">
    <w:name w:val="label-z"/>
    <w:basedOn w:val="Policepardfaut"/>
    <w:rsid w:val="000A0D4C"/>
  </w:style>
  <w:style w:type="character" w:customStyle="1" w:styleId="Normal1">
    <w:name w:val="Normal1"/>
    <w:basedOn w:val="Policepardfaut"/>
    <w:rsid w:val="000A0D4C"/>
  </w:style>
  <w:style w:type="character" w:customStyle="1" w:styleId="widthfixforlabel">
    <w:name w:val="widthfixforlabel"/>
    <w:basedOn w:val="Policepardfaut"/>
    <w:rsid w:val="000A0D4C"/>
  </w:style>
  <w:style w:type="character" w:customStyle="1" w:styleId="paragraph">
    <w:name w:val="paragraph"/>
    <w:basedOn w:val="Policepardfaut"/>
    <w:rsid w:val="000A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29668">
      <w:bodyDiv w:val="1"/>
      <w:marLeft w:val="0"/>
      <w:marRight w:val="0"/>
      <w:marTop w:val="0"/>
      <w:marBottom w:val="0"/>
      <w:divBdr>
        <w:top w:val="none" w:sz="0" w:space="0" w:color="auto"/>
        <w:left w:val="none" w:sz="0" w:space="0" w:color="auto"/>
        <w:bottom w:val="none" w:sz="0" w:space="0" w:color="auto"/>
        <w:right w:val="none" w:sz="0" w:space="0" w:color="auto"/>
      </w:divBdr>
      <w:divsChild>
        <w:div w:id="2055150528">
          <w:marLeft w:val="0"/>
          <w:marRight w:val="0"/>
          <w:marTop w:val="219"/>
          <w:marBottom w:val="0"/>
          <w:divBdr>
            <w:top w:val="none" w:sz="0" w:space="0" w:color="auto"/>
            <w:left w:val="none" w:sz="0" w:space="0" w:color="auto"/>
            <w:bottom w:val="none" w:sz="0" w:space="0" w:color="auto"/>
            <w:right w:val="none" w:sz="0" w:space="0" w:color="auto"/>
          </w:divBdr>
        </w:div>
      </w:divsChild>
    </w:div>
    <w:div w:id="2015955208">
      <w:bodyDiv w:val="1"/>
      <w:marLeft w:val="0"/>
      <w:marRight w:val="0"/>
      <w:marTop w:val="0"/>
      <w:marBottom w:val="0"/>
      <w:divBdr>
        <w:top w:val="none" w:sz="0" w:space="0" w:color="auto"/>
        <w:left w:val="none" w:sz="0" w:space="0" w:color="auto"/>
        <w:bottom w:val="none" w:sz="0" w:space="0" w:color="auto"/>
        <w:right w:val="none" w:sz="0" w:space="0" w:color="auto"/>
      </w:divBdr>
      <w:divsChild>
        <w:div w:id="1476531457">
          <w:marLeft w:val="0"/>
          <w:marRight w:val="0"/>
          <w:marTop w:val="21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3A1CA-C0E0-4405-AADE-0D11012F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13191</Words>
  <Characters>72551</Characters>
  <Application>Microsoft Office Word</Application>
  <DocSecurity>0</DocSecurity>
  <Lines>604</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2025-01-13T14:39:00Z</dcterms:created>
  <dcterms:modified xsi:type="dcterms:W3CDTF">2025-01-13T14:39:00Z</dcterms:modified>
</cp:coreProperties>
</file>