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5BD6" w14:textId="57C13B56" w:rsidR="002452EC" w:rsidRPr="00323FAB" w:rsidRDefault="002452EC">
      <w:pPr>
        <w:rPr>
          <w:lang w:val="en-CA"/>
        </w:rPr>
      </w:pPr>
      <w:r w:rsidRPr="00323FAB">
        <w:rPr>
          <w:lang w:val="en-CA"/>
        </w:rPr>
        <w:t xml:space="preserve">English </w:t>
      </w:r>
      <w:r w:rsidR="00F82AEC">
        <w:rPr>
          <w:lang w:val="en-CA"/>
        </w:rPr>
        <w:t>t</w:t>
      </w:r>
      <w:r w:rsidRPr="00323FAB">
        <w:rPr>
          <w:lang w:val="en-CA"/>
        </w:rPr>
        <w:t xml:space="preserve">ranslation of the </w:t>
      </w:r>
      <w:r w:rsidR="00F82AEC">
        <w:rPr>
          <w:lang w:val="en-CA"/>
        </w:rPr>
        <w:t>j</w:t>
      </w:r>
      <w:r w:rsidRPr="00323FAB">
        <w:rPr>
          <w:lang w:val="en-CA"/>
        </w:rPr>
        <w:t>udgment of the Court</w:t>
      </w:r>
      <w:r w:rsidR="00F82AEC">
        <w:rPr>
          <w:lang w:val="en-CA"/>
        </w:rPr>
        <w:t xml:space="preserve">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294039" w:rsidRPr="00361455" w14:paraId="4793EFAD" w14:textId="77777777" w:rsidTr="008D18FC">
        <w:trPr>
          <w:trHeight w:val="248"/>
        </w:trPr>
        <w:tc>
          <w:tcPr>
            <w:tcW w:w="7372" w:type="dxa"/>
            <w:gridSpan w:val="5"/>
          </w:tcPr>
          <w:p w14:paraId="5694592E" w14:textId="1872B583" w:rsidR="008F364A" w:rsidRPr="00361455" w:rsidRDefault="000A3725" w:rsidP="006644D1">
            <w:pPr>
              <w:pStyle w:val="zSoquijdatRepertorie"/>
              <w:rPr>
                <w:rFonts w:cs="Arial"/>
                <w:lang w:val="en-CA"/>
              </w:rPr>
            </w:pPr>
            <w:r w:rsidRPr="00361455">
              <w:rPr>
                <w:rFonts w:cs="Arial"/>
                <w:lang w:val="en-CA"/>
              </w:rPr>
              <w:t>Ratt c. R.</w:t>
            </w:r>
          </w:p>
        </w:tc>
        <w:tc>
          <w:tcPr>
            <w:tcW w:w="1988" w:type="dxa"/>
          </w:tcPr>
          <w:p w14:paraId="142E1979" w14:textId="7A3A8ABA" w:rsidR="008F364A" w:rsidRPr="00361455" w:rsidRDefault="000A3725" w:rsidP="008A18D9">
            <w:pPr>
              <w:pStyle w:val="zSoquijdatRefNeutre"/>
              <w:jc w:val="right"/>
              <w:rPr>
                <w:rFonts w:cs="Arial"/>
                <w:lang w:val="en-CA"/>
              </w:rPr>
            </w:pPr>
            <w:r w:rsidRPr="00361455">
              <w:rPr>
                <w:rFonts w:cs="Arial"/>
                <w:lang w:val="en-CA"/>
              </w:rPr>
              <w:t>2024 QCCA 463</w:t>
            </w:r>
          </w:p>
        </w:tc>
      </w:tr>
      <w:tr w:rsidR="00294039" w:rsidRPr="00361455" w14:paraId="781D855F" w14:textId="77777777" w:rsidTr="008D18FC">
        <w:trPr>
          <w:trHeight w:val="247"/>
        </w:trPr>
        <w:tc>
          <w:tcPr>
            <w:tcW w:w="9360" w:type="dxa"/>
            <w:gridSpan w:val="6"/>
          </w:tcPr>
          <w:p w14:paraId="115EACF2" w14:textId="3333ACC6" w:rsidR="008F364A" w:rsidRPr="00361455" w:rsidRDefault="006A4EA9">
            <w:pPr>
              <w:pStyle w:val="zSoquijlblCour"/>
              <w:rPr>
                <w:lang w:val="en-CA"/>
              </w:rPr>
            </w:pPr>
            <w:r w:rsidRPr="00361455">
              <w:rPr>
                <w:lang w:val="en-CA"/>
              </w:rPr>
              <w:t>COURT OF APPEAL</w:t>
            </w:r>
          </w:p>
        </w:tc>
      </w:tr>
      <w:tr w:rsidR="00294039" w:rsidRPr="00361455" w14:paraId="50C4404C" w14:textId="77777777" w:rsidTr="008D18FC">
        <w:trPr>
          <w:trHeight w:val="540"/>
        </w:trPr>
        <w:tc>
          <w:tcPr>
            <w:tcW w:w="9360" w:type="dxa"/>
            <w:gridSpan w:val="6"/>
          </w:tcPr>
          <w:p w14:paraId="1F9275F7" w14:textId="77777777" w:rsidR="008F364A" w:rsidRPr="00361455" w:rsidRDefault="008F364A">
            <w:pPr>
              <w:pStyle w:val="zSoquijdatDivision"/>
              <w:rPr>
                <w:lang w:val="en-CA"/>
              </w:rPr>
            </w:pPr>
          </w:p>
        </w:tc>
      </w:tr>
      <w:tr w:rsidR="00294039" w:rsidRPr="00361455" w14:paraId="1BA37BAE" w14:textId="77777777" w:rsidTr="008D18FC">
        <w:tc>
          <w:tcPr>
            <w:tcW w:w="9360" w:type="dxa"/>
            <w:gridSpan w:val="6"/>
          </w:tcPr>
          <w:p w14:paraId="13E38CF6" w14:textId="77777777" w:rsidR="008F364A" w:rsidRPr="00361455" w:rsidRDefault="000A3725">
            <w:pPr>
              <w:pStyle w:val="zSoquijlblPays"/>
              <w:rPr>
                <w:lang w:val="en-CA"/>
              </w:rPr>
            </w:pPr>
            <w:r w:rsidRPr="00361455">
              <w:rPr>
                <w:lang w:val="en-CA"/>
              </w:rPr>
              <w:t>CANADA</w:t>
            </w:r>
          </w:p>
        </w:tc>
      </w:tr>
      <w:tr w:rsidR="00294039" w:rsidRPr="00361455" w14:paraId="681E60D1" w14:textId="77777777" w:rsidTr="008D18FC">
        <w:tc>
          <w:tcPr>
            <w:tcW w:w="9360" w:type="dxa"/>
            <w:gridSpan w:val="6"/>
          </w:tcPr>
          <w:p w14:paraId="69CC9288" w14:textId="7641FBBC" w:rsidR="008F364A" w:rsidRPr="00361455" w:rsidRDefault="006A4EA9">
            <w:pPr>
              <w:pStyle w:val="zSoquijlblProvince"/>
              <w:rPr>
                <w:lang w:val="en-CA"/>
              </w:rPr>
            </w:pPr>
            <w:r w:rsidRPr="00361455">
              <w:rPr>
                <w:lang w:val="en-CA"/>
              </w:rPr>
              <w:t>PROVINCE OF QUEBEC</w:t>
            </w:r>
          </w:p>
        </w:tc>
      </w:tr>
      <w:tr w:rsidR="00294039" w:rsidRPr="00361455" w14:paraId="057FA7CC" w14:textId="77777777" w:rsidTr="006A4EA9">
        <w:tc>
          <w:tcPr>
            <w:tcW w:w="1701" w:type="dxa"/>
            <w:gridSpan w:val="3"/>
          </w:tcPr>
          <w:p w14:paraId="707523F7" w14:textId="6BFC00C3" w:rsidR="008F364A" w:rsidRPr="00361455" w:rsidRDefault="006A4EA9">
            <w:pPr>
              <w:pStyle w:val="zSoquijlblGreffe"/>
              <w:rPr>
                <w:lang w:val="en-CA"/>
              </w:rPr>
            </w:pPr>
            <w:r w:rsidRPr="00361455">
              <w:rPr>
                <w:lang w:val="en-CA"/>
              </w:rPr>
              <w:t>REGISTRY OF</w:t>
            </w:r>
          </w:p>
          <w:p w14:paraId="58F1A61A" w14:textId="77777777" w:rsidR="008F364A" w:rsidRPr="00361455" w:rsidRDefault="008F364A">
            <w:pPr>
              <w:pStyle w:val="zSoquijlblGreffe"/>
              <w:rPr>
                <w:lang w:val="en-CA"/>
              </w:rPr>
            </w:pPr>
          </w:p>
        </w:tc>
        <w:tc>
          <w:tcPr>
            <w:tcW w:w="7659" w:type="dxa"/>
            <w:gridSpan w:val="3"/>
          </w:tcPr>
          <w:p w14:paraId="497E1886" w14:textId="0DC385DB" w:rsidR="008F364A" w:rsidRPr="00361455" w:rsidRDefault="006A4EA9">
            <w:pPr>
              <w:pStyle w:val="zSoquijdatGreffe"/>
              <w:rPr>
                <w:lang w:val="en-CA"/>
              </w:rPr>
            </w:pPr>
            <w:r w:rsidRPr="00361455">
              <w:rPr>
                <w:lang w:val="en-CA"/>
              </w:rPr>
              <w:t>MONTREAL</w:t>
            </w:r>
          </w:p>
        </w:tc>
      </w:tr>
      <w:tr w:rsidR="00294039" w:rsidRPr="00361455" w14:paraId="5F73B7A5" w14:textId="77777777" w:rsidTr="008D18FC">
        <w:tc>
          <w:tcPr>
            <w:tcW w:w="1030" w:type="dxa"/>
          </w:tcPr>
          <w:p w14:paraId="0D54EBCB" w14:textId="1BC644FD" w:rsidR="008F364A" w:rsidRPr="00361455" w:rsidRDefault="006A4EA9">
            <w:pPr>
              <w:pStyle w:val="zSoquijlblNoDossier"/>
              <w:rPr>
                <w:lang w:val="en-CA"/>
              </w:rPr>
            </w:pPr>
            <w:r w:rsidRPr="00361455">
              <w:rPr>
                <w:lang w:val="en-CA"/>
              </w:rPr>
              <w:t>No.:</w:t>
            </w:r>
          </w:p>
        </w:tc>
        <w:tc>
          <w:tcPr>
            <w:tcW w:w="8330" w:type="dxa"/>
            <w:gridSpan w:val="5"/>
          </w:tcPr>
          <w:p w14:paraId="0DE68472" w14:textId="0408B3E2" w:rsidR="008F364A" w:rsidRPr="00361455" w:rsidRDefault="000A3725">
            <w:pPr>
              <w:pStyle w:val="zSoquijdatNoDossier"/>
              <w:rPr>
                <w:lang w:val="en-CA"/>
              </w:rPr>
            </w:pPr>
            <w:bookmarkStart w:id="0" w:name="NoDossier"/>
            <w:r w:rsidRPr="00361455">
              <w:rPr>
                <w:lang w:val="en-CA"/>
              </w:rPr>
              <w:t>500-10-007572-215</w:t>
            </w:r>
            <w:bookmarkEnd w:id="0"/>
            <w:r w:rsidR="00EB7B76" w:rsidRPr="00361455">
              <w:rPr>
                <w:lang w:val="en-CA"/>
              </w:rPr>
              <w:t xml:space="preserve">, </w:t>
            </w:r>
            <w:r w:rsidR="00EB7B76" w:rsidRPr="00361455">
              <w:rPr>
                <w:rFonts w:cs="Arial"/>
                <w:lang w:val="en-CA"/>
              </w:rPr>
              <w:t>500-10-007573-213</w:t>
            </w:r>
          </w:p>
        </w:tc>
      </w:tr>
      <w:tr w:rsidR="00294039" w:rsidRPr="00361455" w14:paraId="75033B8A" w14:textId="77777777" w:rsidTr="008D18FC">
        <w:tc>
          <w:tcPr>
            <w:tcW w:w="9360" w:type="dxa"/>
            <w:gridSpan w:val="6"/>
          </w:tcPr>
          <w:p w14:paraId="7559118D" w14:textId="03F17952" w:rsidR="00EB7B76" w:rsidRPr="00361455" w:rsidRDefault="000A3725" w:rsidP="00EB7B76">
            <w:pPr>
              <w:pStyle w:val="zSoquijdatNoDossierAnt"/>
              <w:rPr>
                <w:lang w:val="en-CA"/>
              </w:rPr>
            </w:pPr>
            <w:r w:rsidRPr="00361455">
              <w:rPr>
                <w:rFonts w:cs="Arial"/>
                <w:lang w:val="en-CA"/>
              </w:rPr>
              <w:t>(565-01-006925-184)</w:t>
            </w:r>
          </w:p>
        </w:tc>
      </w:tr>
      <w:tr w:rsidR="00294039" w:rsidRPr="00361455" w14:paraId="3D593CF4" w14:textId="77777777" w:rsidTr="008D18FC">
        <w:tc>
          <w:tcPr>
            <w:tcW w:w="9360" w:type="dxa"/>
            <w:gridSpan w:val="6"/>
          </w:tcPr>
          <w:p w14:paraId="18101DF0" w14:textId="77777777" w:rsidR="00EB7B76" w:rsidRPr="00361455" w:rsidRDefault="00EB7B76" w:rsidP="00EB7B76">
            <w:pPr>
              <w:rPr>
                <w:lang w:val="en-CA"/>
              </w:rPr>
            </w:pPr>
          </w:p>
        </w:tc>
      </w:tr>
      <w:tr w:rsidR="00294039" w:rsidRPr="00361455" w14:paraId="5F5CE710" w14:textId="77777777" w:rsidTr="008D18FC">
        <w:tc>
          <w:tcPr>
            <w:tcW w:w="1030" w:type="dxa"/>
          </w:tcPr>
          <w:p w14:paraId="23844265" w14:textId="20516698" w:rsidR="00EB7B76" w:rsidRPr="00361455" w:rsidRDefault="000A3725" w:rsidP="00EB7B76">
            <w:pPr>
              <w:pStyle w:val="zSoquijlblDateJugement"/>
              <w:rPr>
                <w:lang w:val="en-CA"/>
              </w:rPr>
            </w:pPr>
            <w:r w:rsidRPr="00361455">
              <w:rPr>
                <w:lang w:val="en-CA"/>
              </w:rPr>
              <w:t>DATE:</w:t>
            </w:r>
          </w:p>
        </w:tc>
        <w:tc>
          <w:tcPr>
            <w:tcW w:w="8330" w:type="dxa"/>
            <w:gridSpan w:val="5"/>
          </w:tcPr>
          <w:p w14:paraId="23F3E9CB" w14:textId="4E7799A9" w:rsidR="00EB7B76" w:rsidRPr="00361455" w:rsidRDefault="006A4EA9" w:rsidP="00EB7B76">
            <w:pPr>
              <w:pStyle w:val="zSoquijdatDateJugement"/>
              <w:rPr>
                <w:lang w:val="en-CA"/>
              </w:rPr>
            </w:pPr>
            <w:r w:rsidRPr="00361455">
              <w:rPr>
                <w:lang w:val="en-CA"/>
              </w:rPr>
              <w:t>April 17, 2024</w:t>
            </w:r>
          </w:p>
        </w:tc>
      </w:tr>
      <w:tr w:rsidR="00294039" w:rsidRPr="00361455" w14:paraId="03F609CA" w14:textId="77777777" w:rsidTr="008D18FC">
        <w:tc>
          <w:tcPr>
            <w:tcW w:w="9360" w:type="dxa"/>
            <w:gridSpan w:val="6"/>
            <w:tcBorders>
              <w:bottom w:val="single" w:sz="8" w:space="0" w:color="auto"/>
            </w:tcBorders>
          </w:tcPr>
          <w:p w14:paraId="0A19343F" w14:textId="77777777" w:rsidR="00EB7B76" w:rsidRPr="00361455" w:rsidRDefault="00EB7B76" w:rsidP="00EB7B76">
            <w:pPr>
              <w:rPr>
                <w:lang w:val="en-CA"/>
              </w:rPr>
            </w:pPr>
          </w:p>
        </w:tc>
      </w:tr>
      <w:tr w:rsidR="00294039" w:rsidRPr="00361455" w14:paraId="53CAA2D1" w14:textId="77777777" w:rsidTr="008D18FC">
        <w:tc>
          <w:tcPr>
            <w:tcW w:w="9360" w:type="dxa"/>
            <w:gridSpan w:val="6"/>
            <w:tcBorders>
              <w:top w:val="single" w:sz="8" w:space="0" w:color="auto"/>
            </w:tcBorders>
          </w:tcPr>
          <w:p w14:paraId="10E24701" w14:textId="77777777" w:rsidR="00EB7B76" w:rsidRPr="00361455" w:rsidRDefault="00EB7B76" w:rsidP="00EB7B76">
            <w:pPr>
              <w:rPr>
                <w:lang w:val="en-CA"/>
              </w:rPr>
            </w:pPr>
          </w:p>
        </w:tc>
      </w:tr>
      <w:tr w:rsidR="00294039" w:rsidRPr="00361455" w14:paraId="7D0E8D11" w14:textId="77777777" w:rsidTr="008D18FC">
        <w:tc>
          <w:tcPr>
            <w:tcW w:w="1620" w:type="dxa"/>
            <w:gridSpan w:val="2"/>
          </w:tcPr>
          <w:p w14:paraId="1FD50145" w14:textId="3424AAF3" w:rsidR="00EB7B76" w:rsidRPr="00361455" w:rsidRDefault="006A4EA9" w:rsidP="00EB7B76">
            <w:pPr>
              <w:pStyle w:val="zSoquijlblJuge"/>
              <w:ind w:right="-142"/>
              <w:rPr>
                <w:lang w:val="en-CA"/>
              </w:rPr>
            </w:pPr>
            <w:r w:rsidRPr="00361455">
              <w:rPr>
                <w:lang w:val="en-CA"/>
              </w:rPr>
              <w:t>CORAM:</w:t>
            </w:r>
          </w:p>
        </w:tc>
        <w:tc>
          <w:tcPr>
            <w:tcW w:w="2350" w:type="dxa"/>
            <w:gridSpan w:val="2"/>
          </w:tcPr>
          <w:p w14:paraId="499E89A2" w14:textId="2243D6A1" w:rsidR="00EB7B76" w:rsidRPr="00361455" w:rsidRDefault="006A4EA9" w:rsidP="00EB7B76">
            <w:pPr>
              <w:pStyle w:val="zSoquijdatQteJuge"/>
              <w:rPr>
                <w:lang w:val="en-CA"/>
              </w:rPr>
            </w:pPr>
            <w:r w:rsidRPr="00361455">
              <w:rPr>
                <w:lang w:val="en-CA"/>
              </w:rPr>
              <w:t>THE HONOURABLE</w:t>
            </w:r>
          </w:p>
        </w:tc>
        <w:tc>
          <w:tcPr>
            <w:tcW w:w="5390" w:type="dxa"/>
            <w:gridSpan w:val="2"/>
          </w:tcPr>
          <w:p w14:paraId="6212F653" w14:textId="134FE492" w:rsidR="00EB7B76" w:rsidRPr="00361455" w:rsidRDefault="000A3725" w:rsidP="00EB7B76">
            <w:pPr>
              <w:pStyle w:val="zSoquijdatJuge"/>
              <w:rPr>
                <w:lang w:val="en-CA"/>
              </w:rPr>
            </w:pPr>
            <w:bookmarkStart w:id="1" w:name="NomJuge1"/>
            <w:r w:rsidRPr="00361455">
              <w:rPr>
                <w:lang w:val="en-CA"/>
              </w:rPr>
              <w:t>MARTIN VAUCLAIR, J.A.</w:t>
            </w:r>
            <w:bookmarkEnd w:id="1"/>
          </w:p>
          <w:p w14:paraId="0C80AC44" w14:textId="5A7AFCEB" w:rsidR="00EB7B76" w:rsidRPr="00361455" w:rsidRDefault="000A3725" w:rsidP="00EB7B76">
            <w:pPr>
              <w:pStyle w:val="zSoquijdatJuge"/>
              <w:rPr>
                <w:lang w:val="en-CA"/>
              </w:rPr>
            </w:pPr>
            <w:bookmarkStart w:id="2" w:name="NomJuge2"/>
            <w:r w:rsidRPr="00361455">
              <w:rPr>
                <w:lang w:val="en-CA"/>
              </w:rPr>
              <w:t>PATRICK HEALY, J.A.</w:t>
            </w:r>
            <w:bookmarkEnd w:id="2"/>
          </w:p>
          <w:p w14:paraId="3F5D6593" w14:textId="304DBD74" w:rsidR="00EB7B76" w:rsidRPr="00361455" w:rsidRDefault="000A3725" w:rsidP="00EB7B76">
            <w:pPr>
              <w:pStyle w:val="zSoquijdatJuge"/>
              <w:rPr>
                <w:lang w:val="en-CA"/>
              </w:rPr>
            </w:pPr>
            <w:bookmarkStart w:id="3" w:name="_Hlt520513784"/>
            <w:bookmarkStart w:id="4" w:name="NomJuge3"/>
            <w:bookmarkEnd w:id="3"/>
            <w:r w:rsidRPr="00361455">
              <w:rPr>
                <w:lang w:val="en-CA"/>
              </w:rPr>
              <w:t>FRÉDÉRIC BACHAND, J.A.</w:t>
            </w:r>
            <w:bookmarkEnd w:id="4"/>
          </w:p>
        </w:tc>
      </w:tr>
      <w:tr w:rsidR="00294039" w:rsidRPr="00361455" w14:paraId="61849B2C" w14:textId="77777777" w:rsidTr="008D18FC">
        <w:tc>
          <w:tcPr>
            <w:tcW w:w="9360" w:type="dxa"/>
            <w:gridSpan w:val="6"/>
            <w:tcBorders>
              <w:bottom w:val="single" w:sz="8" w:space="0" w:color="auto"/>
            </w:tcBorders>
          </w:tcPr>
          <w:p w14:paraId="3246CF1F" w14:textId="77777777" w:rsidR="00EB7B76" w:rsidRPr="00361455" w:rsidRDefault="00EB7B76" w:rsidP="00EB7B76">
            <w:pPr>
              <w:rPr>
                <w:lang w:val="en-CA"/>
              </w:rPr>
            </w:pPr>
          </w:p>
        </w:tc>
      </w:tr>
      <w:tr w:rsidR="00294039" w:rsidRPr="00361455" w14:paraId="71BD02BE" w14:textId="77777777" w:rsidTr="008D18FC">
        <w:tc>
          <w:tcPr>
            <w:tcW w:w="9360" w:type="dxa"/>
            <w:gridSpan w:val="6"/>
          </w:tcPr>
          <w:p w14:paraId="3741C8B1" w14:textId="77777777" w:rsidR="00EB7B76" w:rsidRPr="00361455" w:rsidRDefault="00EB7B76" w:rsidP="00EB7B76">
            <w:pPr>
              <w:pStyle w:val="zSoquijlblTitrePartie"/>
              <w:rPr>
                <w:lang w:val="en-CA"/>
              </w:rPr>
            </w:pPr>
          </w:p>
        </w:tc>
      </w:tr>
      <w:tr w:rsidR="00294039" w:rsidRPr="00361455" w14:paraId="7550BD29" w14:textId="77777777" w:rsidTr="008D18FC">
        <w:tc>
          <w:tcPr>
            <w:tcW w:w="9360" w:type="dxa"/>
            <w:gridSpan w:val="6"/>
          </w:tcPr>
          <w:p w14:paraId="7B1F280F" w14:textId="53D03F03" w:rsidR="00EB7B76" w:rsidRPr="00361455" w:rsidRDefault="000A3725" w:rsidP="00EB7B76">
            <w:pPr>
              <w:pStyle w:val="zSoquijdatNomPartieDem"/>
              <w:rPr>
                <w:lang w:val="en-CA"/>
              </w:rPr>
            </w:pPr>
            <w:r w:rsidRPr="00361455">
              <w:rPr>
                <w:lang w:val="en-CA"/>
              </w:rPr>
              <w:t>HAKIM RATT</w:t>
            </w:r>
          </w:p>
        </w:tc>
      </w:tr>
      <w:tr w:rsidR="00294039" w:rsidRPr="00361455" w14:paraId="7FC1913E" w14:textId="77777777" w:rsidTr="008D18FC">
        <w:tc>
          <w:tcPr>
            <w:tcW w:w="9360" w:type="dxa"/>
            <w:gridSpan w:val="6"/>
          </w:tcPr>
          <w:p w14:paraId="3575B585" w14:textId="27A5D860" w:rsidR="00EB7B76" w:rsidRPr="00361455" w:rsidRDefault="006A4EA9" w:rsidP="00EB7B76">
            <w:pPr>
              <w:pStyle w:val="zSoquijdatQtePartieDem"/>
              <w:rPr>
                <w:lang w:val="en-CA"/>
              </w:rPr>
            </w:pPr>
            <w:r w:rsidRPr="00361455">
              <w:rPr>
                <w:lang w:val="en-CA"/>
              </w:rPr>
              <w:t>APPEL</w:t>
            </w:r>
            <w:r w:rsidR="00361455">
              <w:rPr>
                <w:lang w:val="en-CA"/>
              </w:rPr>
              <w:t>L</w:t>
            </w:r>
            <w:r w:rsidRPr="00361455">
              <w:rPr>
                <w:lang w:val="en-CA"/>
              </w:rPr>
              <w:t>ANT – accused</w:t>
            </w:r>
          </w:p>
        </w:tc>
      </w:tr>
      <w:tr w:rsidR="00294039" w:rsidRPr="00361455" w14:paraId="299871A0" w14:textId="77777777" w:rsidTr="008D18FC">
        <w:tc>
          <w:tcPr>
            <w:tcW w:w="9360" w:type="dxa"/>
            <w:gridSpan w:val="6"/>
          </w:tcPr>
          <w:p w14:paraId="3FEE073C" w14:textId="4C71996C" w:rsidR="00EB7B76" w:rsidRPr="00361455" w:rsidRDefault="006A4EA9" w:rsidP="00EB7B76">
            <w:pPr>
              <w:pStyle w:val="zSoquijlblLienParties"/>
              <w:rPr>
                <w:lang w:val="en-CA"/>
              </w:rPr>
            </w:pPr>
            <w:r w:rsidRPr="00361455">
              <w:rPr>
                <w:lang w:val="en-CA"/>
              </w:rPr>
              <w:t>v.</w:t>
            </w:r>
          </w:p>
        </w:tc>
      </w:tr>
      <w:tr w:rsidR="00294039" w:rsidRPr="00361455" w14:paraId="6CEC0FFC" w14:textId="77777777" w:rsidTr="008D18FC">
        <w:tc>
          <w:tcPr>
            <w:tcW w:w="9360" w:type="dxa"/>
            <w:gridSpan w:val="6"/>
          </w:tcPr>
          <w:p w14:paraId="584BBF05" w14:textId="77777777" w:rsidR="00EB7B76" w:rsidRPr="00361455" w:rsidRDefault="00EB7B76" w:rsidP="00EB7B76">
            <w:pPr>
              <w:rPr>
                <w:lang w:val="en-CA"/>
              </w:rPr>
            </w:pPr>
          </w:p>
        </w:tc>
      </w:tr>
      <w:tr w:rsidR="00294039" w:rsidRPr="00361455" w14:paraId="00F4AC93" w14:textId="77777777" w:rsidTr="008D18FC">
        <w:tc>
          <w:tcPr>
            <w:tcW w:w="9360" w:type="dxa"/>
            <w:gridSpan w:val="6"/>
          </w:tcPr>
          <w:p w14:paraId="372E2956" w14:textId="510C0E90" w:rsidR="00EB7B76" w:rsidRPr="00361455" w:rsidRDefault="006A4EA9" w:rsidP="00EB7B76">
            <w:pPr>
              <w:pStyle w:val="zSoquijdatNomPartieDef"/>
              <w:rPr>
                <w:lang w:val="en-CA"/>
              </w:rPr>
            </w:pPr>
            <w:r w:rsidRPr="00361455">
              <w:rPr>
                <w:lang w:val="en-CA"/>
              </w:rPr>
              <w:t>HIS MAJESTY THE KING</w:t>
            </w:r>
          </w:p>
        </w:tc>
      </w:tr>
      <w:tr w:rsidR="00294039" w:rsidRPr="00361455" w14:paraId="56BE390E" w14:textId="77777777" w:rsidTr="008D18FC">
        <w:tc>
          <w:tcPr>
            <w:tcW w:w="9360" w:type="dxa"/>
            <w:gridSpan w:val="6"/>
          </w:tcPr>
          <w:p w14:paraId="458D3F32" w14:textId="0C318F4D" w:rsidR="00EB7B76" w:rsidRPr="00361455" w:rsidRDefault="006A4EA9" w:rsidP="00EB7B76">
            <w:pPr>
              <w:pStyle w:val="zSoquijdatQtePartieDef"/>
              <w:rPr>
                <w:lang w:val="en-CA"/>
              </w:rPr>
            </w:pPr>
            <w:r w:rsidRPr="00361455">
              <w:rPr>
                <w:lang w:val="en-CA"/>
              </w:rPr>
              <w:t>RESPONDENT – prosecutor</w:t>
            </w:r>
          </w:p>
        </w:tc>
      </w:tr>
      <w:tr w:rsidR="00294039" w:rsidRPr="00361455" w14:paraId="3C10A8B7" w14:textId="77777777" w:rsidTr="008D18FC">
        <w:tc>
          <w:tcPr>
            <w:tcW w:w="9360" w:type="dxa"/>
            <w:gridSpan w:val="6"/>
          </w:tcPr>
          <w:p w14:paraId="5A9FB5DC" w14:textId="77777777" w:rsidR="00EB7B76" w:rsidRPr="00361455" w:rsidRDefault="00EB7B76" w:rsidP="00EB7B76">
            <w:pPr>
              <w:rPr>
                <w:lang w:val="en-CA"/>
              </w:rPr>
            </w:pPr>
          </w:p>
        </w:tc>
      </w:tr>
      <w:tr w:rsidR="00294039" w:rsidRPr="00361455" w14:paraId="4045F0F2" w14:textId="77777777" w:rsidTr="008D18FC">
        <w:tc>
          <w:tcPr>
            <w:tcW w:w="9360" w:type="dxa"/>
            <w:gridSpan w:val="6"/>
            <w:tcBorders>
              <w:top w:val="single" w:sz="8" w:space="0" w:color="auto"/>
            </w:tcBorders>
          </w:tcPr>
          <w:p w14:paraId="66254E9E" w14:textId="77777777" w:rsidR="00EB7B76" w:rsidRPr="00361455" w:rsidRDefault="00EB7B76" w:rsidP="00EB7B76">
            <w:pPr>
              <w:rPr>
                <w:lang w:val="en-CA"/>
              </w:rPr>
            </w:pPr>
          </w:p>
        </w:tc>
      </w:tr>
      <w:tr w:rsidR="00294039" w:rsidRPr="00361455" w14:paraId="6CDF1403" w14:textId="77777777" w:rsidTr="008D18FC">
        <w:tc>
          <w:tcPr>
            <w:tcW w:w="9360" w:type="dxa"/>
            <w:gridSpan w:val="6"/>
          </w:tcPr>
          <w:p w14:paraId="56393CD1" w14:textId="6947FCFC" w:rsidR="00EB7B76" w:rsidRPr="00361455" w:rsidRDefault="006A4EA9" w:rsidP="00EB7B76">
            <w:pPr>
              <w:pStyle w:val="zSoquijlblTypeDocument"/>
              <w:rPr>
                <w:lang w:val="en-CA"/>
              </w:rPr>
            </w:pPr>
            <w:r w:rsidRPr="00361455">
              <w:rPr>
                <w:lang w:val="en-CA"/>
              </w:rPr>
              <w:t>JUDGMENT</w:t>
            </w:r>
          </w:p>
        </w:tc>
      </w:tr>
      <w:tr w:rsidR="00294039" w:rsidRPr="00361455" w14:paraId="02BEBAA0" w14:textId="77777777" w:rsidTr="008D18FC">
        <w:tc>
          <w:tcPr>
            <w:tcW w:w="9360" w:type="dxa"/>
            <w:gridSpan w:val="6"/>
            <w:tcBorders>
              <w:bottom w:val="single" w:sz="8" w:space="0" w:color="auto"/>
            </w:tcBorders>
          </w:tcPr>
          <w:p w14:paraId="450F9B1E" w14:textId="77777777" w:rsidR="00EB7B76" w:rsidRPr="00361455" w:rsidRDefault="00EB7B76" w:rsidP="00EB7B76">
            <w:pPr>
              <w:rPr>
                <w:lang w:val="en-CA"/>
              </w:rPr>
            </w:pPr>
          </w:p>
        </w:tc>
      </w:tr>
      <w:tr w:rsidR="00294039" w:rsidRPr="00E91DDF" w14:paraId="23B005B8" w14:textId="77777777" w:rsidTr="008D18FC">
        <w:tc>
          <w:tcPr>
            <w:tcW w:w="9360" w:type="dxa"/>
            <w:gridSpan w:val="6"/>
            <w:tcBorders>
              <w:top w:val="single" w:sz="8" w:space="0" w:color="auto"/>
            </w:tcBorders>
          </w:tcPr>
          <w:p w14:paraId="7C3E53AC" w14:textId="77777777" w:rsidR="00EC79A1" w:rsidRPr="00361455" w:rsidRDefault="00EC79A1" w:rsidP="00EB7B76">
            <w:pPr>
              <w:tabs>
                <w:tab w:val="left" w:pos="630"/>
              </w:tabs>
              <w:spacing w:line="240" w:lineRule="auto"/>
              <w:jc w:val="both"/>
              <w:rPr>
                <w:rFonts w:asciiTheme="minorHAnsi" w:hAnsiTheme="minorHAnsi" w:cstheme="minorHAnsi"/>
                <w:b/>
                <w:bCs/>
                <w:color w:val="000000"/>
                <w:sz w:val="22"/>
                <w:szCs w:val="22"/>
                <w:u w:val="single"/>
                <w:lang w:val="en-CA"/>
              </w:rPr>
            </w:pPr>
          </w:p>
          <w:p w14:paraId="2BE04FA9" w14:textId="43CA0BD5" w:rsidR="00EB7B76" w:rsidRPr="00361455" w:rsidRDefault="006A4EA9" w:rsidP="00EB7B76">
            <w:pPr>
              <w:tabs>
                <w:tab w:val="left" w:pos="630"/>
              </w:tabs>
              <w:spacing w:line="240" w:lineRule="auto"/>
              <w:jc w:val="both"/>
              <w:rPr>
                <w:rFonts w:asciiTheme="minorHAnsi" w:hAnsiTheme="minorHAnsi" w:cstheme="minorHAnsi"/>
                <w:b/>
                <w:sz w:val="22"/>
                <w:szCs w:val="22"/>
                <w:lang w:val="en-CA"/>
              </w:rPr>
            </w:pPr>
            <w:r w:rsidRPr="004E2256">
              <w:rPr>
                <w:rFonts w:asciiTheme="minorHAnsi" w:hAnsiTheme="minorHAnsi" w:cstheme="minorHAnsi"/>
                <w:b/>
                <w:sz w:val="22"/>
                <w:szCs w:val="22"/>
                <w:u w:val="single"/>
                <w:lang w:val="en-CA"/>
              </w:rPr>
              <w:t>WARNING</w:t>
            </w:r>
            <w:r w:rsidRPr="00361455">
              <w:rPr>
                <w:rFonts w:asciiTheme="minorHAnsi" w:hAnsiTheme="minorHAnsi" w:cstheme="minorHAnsi"/>
                <w:b/>
                <w:color w:val="000000"/>
                <w:sz w:val="22"/>
                <w:szCs w:val="22"/>
                <w:lang w:val="en-CA"/>
              </w:rPr>
              <w:t>:</w:t>
            </w:r>
            <w:r w:rsidR="000A3725" w:rsidRPr="00361455">
              <w:rPr>
                <w:rFonts w:asciiTheme="minorHAnsi" w:hAnsiTheme="minorHAnsi" w:cstheme="minorHAnsi"/>
                <w:b/>
                <w:color w:val="000000"/>
                <w:sz w:val="22"/>
                <w:szCs w:val="22"/>
                <w:lang w:val="en-CA"/>
              </w:rPr>
              <w:t xml:space="preserve"> </w:t>
            </w:r>
            <w:r w:rsidRPr="00361455">
              <w:rPr>
                <w:rFonts w:asciiTheme="minorHAnsi" w:hAnsiTheme="minorHAnsi" w:cstheme="minorHAnsi"/>
                <w:b/>
                <w:color w:val="000000"/>
                <w:sz w:val="22"/>
                <w:szCs w:val="22"/>
                <w:lang w:val="en-CA"/>
              </w:rPr>
              <w:t>An order restricting publication was made at first instance under s</w:t>
            </w:r>
            <w:r w:rsidR="009F551A" w:rsidRPr="00361455">
              <w:rPr>
                <w:rFonts w:asciiTheme="minorHAnsi" w:hAnsiTheme="minorHAnsi" w:cstheme="minorHAnsi"/>
                <w:b/>
                <w:color w:val="000000"/>
                <w:sz w:val="22"/>
                <w:szCs w:val="22"/>
                <w:lang w:val="en-CA"/>
              </w:rPr>
              <w:t>ection</w:t>
            </w:r>
            <w:r w:rsidRPr="00361455">
              <w:rPr>
                <w:rFonts w:asciiTheme="minorHAnsi" w:hAnsiTheme="minorHAnsi" w:cstheme="minorHAnsi"/>
                <w:b/>
                <w:color w:val="000000"/>
                <w:sz w:val="22"/>
                <w:szCs w:val="22"/>
                <w:lang w:val="en-CA"/>
              </w:rPr>
              <w:t xml:space="preserve"> 486.4 </w:t>
            </w:r>
            <w:r w:rsidRPr="00361455">
              <w:rPr>
                <w:rFonts w:asciiTheme="minorHAnsi" w:hAnsiTheme="minorHAnsi" w:cstheme="minorHAnsi"/>
                <w:b/>
                <w:i/>
                <w:sz w:val="22"/>
                <w:szCs w:val="22"/>
                <w:lang w:val="en-CA"/>
              </w:rPr>
              <w:t xml:space="preserve">Cr. C. </w:t>
            </w:r>
            <w:r w:rsidRPr="00361455">
              <w:rPr>
                <w:rFonts w:asciiTheme="minorHAnsi" w:hAnsiTheme="minorHAnsi" w:cstheme="minorHAnsi"/>
                <w:b/>
                <w:sz w:val="22"/>
                <w:szCs w:val="22"/>
                <w:lang w:val="en-CA"/>
              </w:rPr>
              <w:t>directing that any information that could identify the victim shall not be published in any document or broadcast or transmitted in any way.</w:t>
            </w:r>
            <w:r w:rsidR="000A3725" w:rsidRPr="00361455">
              <w:rPr>
                <w:rFonts w:asciiTheme="minorHAnsi" w:hAnsiTheme="minorHAnsi" w:cstheme="minorHAnsi"/>
                <w:b/>
                <w:sz w:val="22"/>
                <w:szCs w:val="22"/>
                <w:lang w:val="en-CA"/>
              </w:rPr>
              <w:t xml:space="preserve"> </w:t>
            </w:r>
          </w:p>
          <w:p w14:paraId="6A0A2EBD" w14:textId="0B8EB18E" w:rsidR="002F785F" w:rsidRPr="00361455" w:rsidRDefault="002F785F" w:rsidP="00EB7B76">
            <w:pPr>
              <w:tabs>
                <w:tab w:val="left" w:pos="630"/>
              </w:tabs>
              <w:spacing w:line="240" w:lineRule="auto"/>
              <w:jc w:val="both"/>
              <w:rPr>
                <w:rFonts w:asciiTheme="minorHAnsi" w:hAnsiTheme="minorHAnsi" w:cstheme="minorHAnsi"/>
                <w:b/>
                <w:bCs/>
                <w:sz w:val="22"/>
                <w:szCs w:val="22"/>
                <w:highlight w:val="green"/>
                <w:lang w:val="en-CA"/>
              </w:rPr>
            </w:pPr>
          </w:p>
        </w:tc>
      </w:tr>
    </w:tbl>
    <w:p w14:paraId="32D83465" w14:textId="41A4A744" w:rsidR="008F364A" w:rsidRPr="00361455" w:rsidRDefault="009F551A" w:rsidP="002404D2">
      <w:pPr>
        <w:pStyle w:val="Paragraphe"/>
        <w:spacing w:line="280" w:lineRule="exact"/>
        <w:rPr>
          <w:lang w:val="en-CA"/>
        </w:rPr>
      </w:pPr>
      <w:bookmarkStart w:id="5" w:name="Arret"/>
      <w:r w:rsidRPr="00361455">
        <w:rPr>
          <w:lang w:val="en-CA"/>
        </w:rPr>
        <w:t xml:space="preserve">The </w:t>
      </w:r>
      <w:r w:rsidR="000A3725" w:rsidRPr="00361455">
        <w:rPr>
          <w:lang w:val="en-CA"/>
        </w:rPr>
        <w:t>appellant</w:t>
      </w:r>
      <w:r w:rsidRPr="00361455">
        <w:rPr>
          <w:lang w:val="en-CA"/>
        </w:rPr>
        <w:t xml:space="preserve"> appeals from a </w:t>
      </w:r>
      <w:r w:rsidR="000A3725" w:rsidRPr="00361455">
        <w:rPr>
          <w:lang w:val="en-CA"/>
        </w:rPr>
        <w:t>verdict</w:t>
      </w:r>
      <w:r w:rsidRPr="00361455">
        <w:rPr>
          <w:lang w:val="en-CA"/>
        </w:rPr>
        <w:t xml:space="preserve"> </w:t>
      </w:r>
      <w:r w:rsidR="000A3725" w:rsidRPr="00361455">
        <w:rPr>
          <w:lang w:val="en-CA"/>
        </w:rPr>
        <w:t>rendered</w:t>
      </w:r>
      <w:r w:rsidRPr="00361455">
        <w:rPr>
          <w:lang w:val="en-CA"/>
        </w:rPr>
        <w:t xml:space="preserve"> on October</w:t>
      </w:r>
      <w:r w:rsidR="000A3725" w:rsidRPr="00361455">
        <w:rPr>
          <w:lang w:val="en-CA"/>
        </w:rPr>
        <w:t xml:space="preserve"> 15</w:t>
      </w:r>
      <w:r w:rsidRPr="00361455">
        <w:rPr>
          <w:lang w:val="en-CA"/>
        </w:rPr>
        <w:t>,</w:t>
      </w:r>
      <w:r w:rsidR="000A3725" w:rsidRPr="00361455">
        <w:rPr>
          <w:lang w:val="en-CA"/>
        </w:rPr>
        <w:t xml:space="preserve"> 2020</w:t>
      </w:r>
      <w:r w:rsidRPr="00361455">
        <w:rPr>
          <w:lang w:val="en-CA"/>
        </w:rPr>
        <w:t>, by the H</w:t>
      </w:r>
      <w:r w:rsidR="000A3725" w:rsidRPr="00361455">
        <w:rPr>
          <w:lang w:val="en-CA"/>
        </w:rPr>
        <w:t xml:space="preserve">onourable Alexandra Marcil </w:t>
      </w:r>
      <w:r w:rsidR="004E2256">
        <w:rPr>
          <w:lang w:val="en-CA"/>
        </w:rPr>
        <w:t xml:space="preserve">J. </w:t>
      </w:r>
      <w:r w:rsidRPr="00361455">
        <w:rPr>
          <w:lang w:val="en-CA"/>
        </w:rPr>
        <w:t xml:space="preserve">of the </w:t>
      </w:r>
      <w:r w:rsidR="000A3725" w:rsidRPr="00361455">
        <w:rPr>
          <w:lang w:val="en-CA"/>
        </w:rPr>
        <w:t>Court</w:t>
      </w:r>
      <w:r w:rsidRPr="00361455">
        <w:rPr>
          <w:lang w:val="en-CA"/>
        </w:rPr>
        <w:t xml:space="preserve"> </w:t>
      </w:r>
      <w:r w:rsidR="000A3725" w:rsidRPr="00361455">
        <w:rPr>
          <w:lang w:val="en-CA"/>
        </w:rPr>
        <w:t>of</w:t>
      </w:r>
      <w:r w:rsidRPr="00361455">
        <w:rPr>
          <w:lang w:val="en-CA"/>
        </w:rPr>
        <w:t xml:space="preserve"> </w:t>
      </w:r>
      <w:r w:rsidR="000A3725" w:rsidRPr="00361455">
        <w:rPr>
          <w:lang w:val="en-CA"/>
        </w:rPr>
        <w:t>Qu</w:t>
      </w:r>
      <w:r w:rsidRPr="00361455">
        <w:rPr>
          <w:lang w:val="en-CA"/>
        </w:rPr>
        <w:t>é</w:t>
      </w:r>
      <w:r w:rsidR="000A3725" w:rsidRPr="00361455">
        <w:rPr>
          <w:lang w:val="en-CA"/>
        </w:rPr>
        <w:t xml:space="preserve">bec, </w:t>
      </w:r>
      <w:r w:rsidRPr="00361455">
        <w:rPr>
          <w:lang w:val="en-CA"/>
        </w:rPr>
        <w:t>D</w:t>
      </w:r>
      <w:r w:rsidR="000A3725" w:rsidRPr="00361455">
        <w:rPr>
          <w:lang w:val="en-CA"/>
        </w:rPr>
        <w:t xml:space="preserve">istrict </w:t>
      </w:r>
      <w:r w:rsidRPr="00361455">
        <w:rPr>
          <w:lang w:val="en-CA"/>
        </w:rPr>
        <w:t xml:space="preserve">of </w:t>
      </w:r>
      <w:r w:rsidR="000A3725" w:rsidRPr="00361455">
        <w:rPr>
          <w:lang w:val="en-CA"/>
        </w:rPr>
        <w:t xml:space="preserve">Gatineau, </w:t>
      </w:r>
      <w:r w:rsidRPr="00361455">
        <w:rPr>
          <w:lang w:val="en-CA"/>
        </w:rPr>
        <w:t xml:space="preserve">convicting him of the </w:t>
      </w:r>
      <w:r w:rsidR="000A3725" w:rsidRPr="00361455">
        <w:rPr>
          <w:lang w:val="en-CA"/>
        </w:rPr>
        <w:t>indictable</w:t>
      </w:r>
      <w:r w:rsidRPr="00361455">
        <w:rPr>
          <w:lang w:val="en-CA"/>
        </w:rPr>
        <w:t xml:space="preserve"> </w:t>
      </w:r>
      <w:r w:rsidR="000A3725" w:rsidRPr="00361455">
        <w:rPr>
          <w:lang w:val="en-CA"/>
        </w:rPr>
        <w:t>offence</w:t>
      </w:r>
      <w:r w:rsidRPr="00361455">
        <w:rPr>
          <w:lang w:val="en-CA"/>
        </w:rPr>
        <w:t xml:space="preserve"> set out in </w:t>
      </w:r>
      <w:r w:rsidR="000A3725" w:rsidRPr="00361455">
        <w:rPr>
          <w:lang w:val="en-CA"/>
        </w:rPr>
        <w:t>section 271</w:t>
      </w:r>
      <w:r w:rsidRPr="00361455">
        <w:rPr>
          <w:lang w:val="en-CA"/>
        </w:rPr>
        <w:t>(</w:t>
      </w:r>
      <w:r w:rsidR="000A3725" w:rsidRPr="00361455">
        <w:rPr>
          <w:lang w:val="en-CA"/>
        </w:rPr>
        <w:t xml:space="preserve">a) </w:t>
      </w:r>
      <w:r w:rsidRPr="00361455">
        <w:rPr>
          <w:lang w:val="en-CA"/>
        </w:rPr>
        <w:t xml:space="preserve">of the </w:t>
      </w:r>
      <w:r w:rsidR="000A3725" w:rsidRPr="00361455">
        <w:rPr>
          <w:i/>
          <w:lang w:val="en-CA"/>
        </w:rPr>
        <w:t>Criminal</w:t>
      </w:r>
      <w:r w:rsidRPr="00361455">
        <w:rPr>
          <w:i/>
          <w:lang w:val="en-CA"/>
        </w:rPr>
        <w:t xml:space="preserve"> </w:t>
      </w:r>
      <w:r w:rsidR="000A3725" w:rsidRPr="00361455">
        <w:rPr>
          <w:i/>
          <w:lang w:val="en-CA"/>
        </w:rPr>
        <w:t>Code</w:t>
      </w:r>
      <w:r w:rsidR="00A26FD0" w:rsidRPr="00361455">
        <w:rPr>
          <w:lang w:val="en-CA"/>
        </w:rPr>
        <w:t>.</w:t>
      </w:r>
    </w:p>
    <w:p w14:paraId="114CC6ED" w14:textId="21B11030" w:rsidR="00A26FD0" w:rsidRPr="00361455" w:rsidRDefault="006A4EA9" w:rsidP="002404D2">
      <w:pPr>
        <w:pStyle w:val="Paragraphe"/>
        <w:spacing w:line="280" w:lineRule="exact"/>
        <w:rPr>
          <w:lang w:val="en-CA"/>
        </w:rPr>
      </w:pPr>
      <w:r w:rsidRPr="00361455">
        <w:rPr>
          <w:lang w:val="en-CA"/>
        </w:rPr>
        <w:t xml:space="preserve">For the reasons of Vauclair J.A., with which Healy and Bachand JJ.A. agree, </w:t>
      </w:r>
      <w:r w:rsidRPr="00361455">
        <w:rPr>
          <w:b/>
          <w:lang w:val="en-CA"/>
        </w:rPr>
        <w:t>THE COURT:</w:t>
      </w:r>
    </w:p>
    <w:p w14:paraId="1D1E1B12" w14:textId="12EBA212" w:rsidR="00A26FD0" w:rsidRPr="00361455" w:rsidRDefault="000A3725" w:rsidP="002404D2">
      <w:pPr>
        <w:pStyle w:val="Paragraphe"/>
        <w:spacing w:line="280" w:lineRule="exact"/>
        <w:rPr>
          <w:lang w:val="en-CA"/>
        </w:rPr>
      </w:pPr>
      <w:r w:rsidRPr="00361455">
        <w:rPr>
          <w:b/>
          <w:lang w:val="en-CA"/>
        </w:rPr>
        <w:t>A</w:t>
      </w:r>
      <w:r w:rsidR="006A4EA9" w:rsidRPr="00361455">
        <w:rPr>
          <w:b/>
          <w:lang w:val="en-CA"/>
        </w:rPr>
        <w:t xml:space="preserve">LLOWS </w:t>
      </w:r>
      <w:r w:rsidR="006A4EA9" w:rsidRPr="00361455">
        <w:rPr>
          <w:bCs/>
          <w:lang w:val="en-CA"/>
        </w:rPr>
        <w:t xml:space="preserve">the </w:t>
      </w:r>
      <w:r w:rsidR="00C57528" w:rsidRPr="00361455">
        <w:rPr>
          <w:lang w:val="en-CA"/>
        </w:rPr>
        <w:t>appeal</w:t>
      </w:r>
      <w:r w:rsidR="006A4EA9" w:rsidRPr="00361455">
        <w:rPr>
          <w:lang w:val="en-CA"/>
        </w:rPr>
        <w:t xml:space="preserve"> in file No. </w:t>
      </w:r>
      <w:r w:rsidR="00C57528" w:rsidRPr="00361455">
        <w:rPr>
          <w:lang w:val="en-CA"/>
        </w:rPr>
        <w:t>500-10-007572-215;</w:t>
      </w:r>
    </w:p>
    <w:p w14:paraId="689E8361" w14:textId="013280C8" w:rsidR="00C57528" w:rsidRPr="00361455" w:rsidRDefault="00835CA4" w:rsidP="002404D2">
      <w:pPr>
        <w:pStyle w:val="Paragraphe"/>
        <w:spacing w:line="280" w:lineRule="exact"/>
        <w:rPr>
          <w:lang w:val="en-CA"/>
        </w:rPr>
      </w:pPr>
      <w:r w:rsidRPr="00361455">
        <w:rPr>
          <w:b/>
          <w:lang w:val="en-CA"/>
        </w:rPr>
        <w:t>QUASHES</w:t>
      </w:r>
      <w:r w:rsidR="000A3725" w:rsidRPr="00361455">
        <w:rPr>
          <w:b/>
          <w:lang w:val="en-CA"/>
        </w:rPr>
        <w:t xml:space="preserve"> </w:t>
      </w:r>
      <w:r w:rsidR="00CC294E" w:rsidRPr="00361455">
        <w:rPr>
          <w:bCs/>
          <w:lang w:val="en-CA"/>
        </w:rPr>
        <w:t>the conviction</w:t>
      </w:r>
      <w:r w:rsidR="000A3725" w:rsidRPr="00361455">
        <w:rPr>
          <w:bCs/>
          <w:lang w:val="en-CA"/>
        </w:rPr>
        <w:t>;</w:t>
      </w:r>
    </w:p>
    <w:p w14:paraId="4509BD54" w14:textId="4B5C9092" w:rsidR="004C6B27" w:rsidRPr="00361455" w:rsidRDefault="000A3725" w:rsidP="002404D2">
      <w:pPr>
        <w:pStyle w:val="Paragraphe"/>
        <w:spacing w:line="280" w:lineRule="exact"/>
        <w:rPr>
          <w:lang w:val="en-CA"/>
        </w:rPr>
      </w:pPr>
      <w:r w:rsidRPr="00361455">
        <w:rPr>
          <w:b/>
          <w:bCs/>
          <w:lang w:val="en-CA"/>
        </w:rPr>
        <w:lastRenderedPageBreak/>
        <w:t>ADM</w:t>
      </w:r>
      <w:r w:rsidR="00835CA4" w:rsidRPr="00361455">
        <w:rPr>
          <w:b/>
          <w:bCs/>
          <w:lang w:val="en-CA"/>
        </w:rPr>
        <w:t>ITS</w:t>
      </w:r>
      <w:r w:rsidRPr="00361455">
        <w:rPr>
          <w:lang w:val="en-CA"/>
        </w:rPr>
        <w:t xml:space="preserve"> </w:t>
      </w:r>
      <w:r w:rsidR="00835CA4" w:rsidRPr="00361455">
        <w:rPr>
          <w:lang w:val="en-CA"/>
        </w:rPr>
        <w:t xml:space="preserve">the </w:t>
      </w:r>
      <w:r w:rsidRPr="00361455">
        <w:rPr>
          <w:lang w:val="en-CA"/>
        </w:rPr>
        <w:t>fresh</w:t>
      </w:r>
      <w:r w:rsidR="00835CA4" w:rsidRPr="00361455">
        <w:rPr>
          <w:lang w:val="en-CA"/>
        </w:rPr>
        <w:t xml:space="preserve"> </w:t>
      </w:r>
      <w:r w:rsidRPr="00361455">
        <w:rPr>
          <w:lang w:val="en-CA"/>
        </w:rPr>
        <w:t>evidence;</w:t>
      </w:r>
    </w:p>
    <w:p w14:paraId="074BC3AB" w14:textId="3953ABAB" w:rsidR="00C57528" w:rsidRPr="00361455" w:rsidRDefault="000A3725" w:rsidP="002404D2">
      <w:pPr>
        <w:pStyle w:val="Paragraphe"/>
        <w:spacing w:line="280" w:lineRule="exact"/>
        <w:rPr>
          <w:lang w:val="en-CA"/>
        </w:rPr>
      </w:pPr>
      <w:r w:rsidRPr="00361455">
        <w:rPr>
          <w:b/>
          <w:lang w:val="en-CA"/>
        </w:rPr>
        <w:t>ORD</w:t>
      </w:r>
      <w:r w:rsidR="00601AD6" w:rsidRPr="00361455">
        <w:rPr>
          <w:b/>
          <w:lang w:val="en-CA"/>
        </w:rPr>
        <w:t>ERS</w:t>
      </w:r>
      <w:r w:rsidRPr="00361455">
        <w:rPr>
          <w:b/>
          <w:lang w:val="en-CA"/>
        </w:rPr>
        <w:t xml:space="preserve"> </w:t>
      </w:r>
      <w:r w:rsidR="00601AD6" w:rsidRPr="00361455">
        <w:rPr>
          <w:bCs/>
          <w:lang w:val="en-CA"/>
        </w:rPr>
        <w:t xml:space="preserve">a </w:t>
      </w:r>
      <w:r w:rsidR="00647845" w:rsidRPr="00361455">
        <w:rPr>
          <w:bCs/>
          <w:lang w:val="en-CA"/>
        </w:rPr>
        <w:t>new</w:t>
      </w:r>
      <w:r w:rsidR="00601AD6" w:rsidRPr="00361455">
        <w:rPr>
          <w:bCs/>
          <w:lang w:val="en-CA"/>
        </w:rPr>
        <w:t xml:space="preserve"> </w:t>
      </w:r>
      <w:r w:rsidR="00647845" w:rsidRPr="00361455">
        <w:rPr>
          <w:bCs/>
          <w:lang w:val="en-CA"/>
        </w:rPr>
        <w:t>trial;</w:t>
      </w:r>
    </w:p>
    <w:p w14:paraId="088082D6" w14:textId="654E88A9" w:rsidR="00647845" w:rsidRPr="00361455" w:rsidRDefault="000A3725" w:rsidP="002404D2">
      <w:pPr>
        <w:pStyle w:val="Paragraphe"/>
        <w:spacing w:line="280" w:lineRule="exact"/>
        <w:rPr>
          <w:lang w:val="en-CA"/>
        </w:rPr>
      </w:pPr>
      <w:r w:rsidRPr="00361455">
        <w:rPr>
          <w:b/>
          <w:lang w:val="en-CA"/>
        </w:rPr>
        <w:t>D</w:t>
      </w:r>
      <w:r w:rsidR="00575263" w:rsidRPr="00361455">
        <w:rPr>
          <w:b/>
          <w:lang w:val="en-CA"/>
        </w:rPr>
        <w:t>E</w:t>
      </w:r>
      <w:r w:rsidRPr="00361455">
        <w:rPr>
          <w:b/>
          <w:lang w:val="en-CA"/>
        </w:rPr>
        <w:t>CLARE</w:t>
      </w:r>
      <w:r w:rsidR="00575263" w:rsidRPr="00361455">
        <w:rPr>
          <w:b/>
          <w:lang w:val="en-CA"/>
        </w:rPr>
        <w:t>S MOOT</w:t>
      </w:r>
      <w:r w:rsidRPr="00361455">
        <w:rPr>
          <w:lang w:val="en-CA"/>
        </w:rPr>
        <w:t xml:space="preserve"> </w:t>
      </w:r>
      <w:r w:rsidR="00575263" w:rsidRPr="00361455">
        <w:rPr>
          <w:lang w:val="en-CA"/>
        </w:rPr>
        <w:t xml:space="preserve">the motions for </w:t>
      </w:r>
      <w:r w:rsidRPr="00361455">
        <w:rPr>
          <w:lang w:val="en-CA"/>
        </w:rPr>
        <w:t>leave</w:t>
      </w:r>
      <w:r w:rsidR="00575263" w:rsidRPr="00361455">
        <w:rPr>
          <w:lang w:val="en-CA"/>
        </w:rPr>
        <w:t xml:space="preserve"> </w:t>
      </w:r>
      <w:r w:rsidRPr="00361455">
        <w:rPr>
          <w:lang w:val="en-CA"/>
        </w:rPr>
        <w:t>to</w:t>
      </w:r>
      <w:r w:rsidR="00575263" w:rsidRPr="00361455">
        <w:rPr>
          <w:lang w:val="en-CA"/>
        </w:rPr>
        <w:t xml:space="preserve"> </w:t>
      </w:r>
      <w:r w:rsidRPr="00361455">
        <w:rPr>
          <w:lang w:val="en-CA"/>
        </w:rPr>
        <w:t>appeal</w:t>
      </w:r>
      <w:r w:rsidR="00575263" w:rsidRPr="00361455">
        <w:rPr>
          <w:lang w:val="en-CA"/>
        </w:rPr>
        <w:t xml:space="preserve"> referred in both File No.</w:t>
      </w:r>
      <w:r w:rsidRPr="00361455">
        <w:rPr>
          <w:lang w:val="en-CA"/>
        </w:rPr>
        <w:t xml:space="preserve"> 500-10-007572-215 </w:t>
      </w:r>
      <w:r w:rsidR="00575263" w:rsidRPr="00361455">
        <w:rPr>
          <w:lang w:val="en-CA"/>
        </w:rPr>
        <w:t xml:space="preserve">and in </w:t>
      </w:r>
      <w:r w:rsidRPr="00361455">
        <w:rPr>
          <w:lang w:val="en-CA"/>
        </w:rPr>
        <w:t>sentenc</w:t>
      </w:r>
      <w:r w:rsidR="00575263" w:rsidRPr="00361455">
        <w:rPr>
          <w:lang w:val="en-CA"/>
        </w:rPr>
        <w:t xml:space="preserve">ing File No. </w:t>
      </w:r>
      <w:r w:rsidRPr="00361455">
        <w:rPr>
          <w:lang w:val="en-CA"/>
        </w:rPr>
        <w:t>500-10-007573-213.</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294039" w:rsidRPr="00E91DDF" w14:paraId="6D9CE3D5" w14:textId="77777777" w:rsidTr="003E3239">
        <w:trPr>
          <w:trHeight w:val="576"/>
        </w:trPr>
        <w:tc>
          <w:tcPr>
            <w:tcW w:w="9362" w:type="dxa"/>
            <w:gridSpan w:val="3"/>
            <w:tcBorders>
              <w:top w:val="nil"/>
              <w:bottom w:val="nil"/>
            </w:tcBorders>
          </w:tcPr>
          <w:p w14:paraId="2B5EC449" w14:textId="77777777" w:rsidR="008F364A" w:rsidRPr="00361455" w:rsidRDefault="008F364A" w:rsidP="002404D2">
            <w:pPr>
              <w:keepNext/>
              <w:rPr>
                <w:lang w:val="en-CA"/>
              </w:rPr>
            </w:pPr>
          </w:p>
        </w:tc>
      </w:tr>
      <w:tr w:rsidR="00294039" w:rsidRPr="00E91DDF" w14:paraId="07432B9F" w14:textId="77777777" w:rsidTr="00117914">
        <w:trPr>
          <w:trHeight w:val="283"/>
        </w:trPr>
        <w:tc>
          <w:tcPr>
            <w:tcW w:w="4682" w:type="dxa"/>
            <w:gridSpan w:val="2"/>
            <w:tcBorders>
              <w:top w:val="nil"/>
              <w:bottom w:val="nil"/>
            </w:tcBorders>
          </w:tcPr>
          <w:p w14:paraId="36DD4EE0" w14:textId="77777777" w:rsidR="008F364A" w:rsidRPr="00361455" w:rsidRDefault="008F364A" w:rsidP="002404D2">
            <w:pPr>
              <w:keepNext/>
              <w:rPr>
                <w:lang w:val="en-CA"/>
              </w:rPr>
            </w:pPr>
          </w:p>
        </w:tc>
        <w:tc>
          <w:tcPr>
            <w:tcW w:w="4680" w:type="dxa"/>
            <w:tcBorders>
              <w:top w:val="nil"/>
              <w:bottom w:val="single" w:sz="8" w:space="0" w:color="auto"/>
            </w:tcBorders>
          </w:tcPr>
          <w:p w14:paraId="6327C1D0" w14:textId="77777777" w:rsidR="008F364A" w:rsidRPr="00361455" w:rsidRDefault="008F364A" w:rsidP="002404D2">
            <w:pPr>
              <w:keepNext/>
              <w:rPr>
                <w:lang w:val="en-CA"/>
              </w:rPr>
            </w:pPr>
          </w:p>
        </w:tc>
      </w:tr>
      <w:tr w:rsidR="00294039" w:rsidRPr="00361455" w14:paraId="31ECE88E" w14:textId="77777777" w:rsidTr="00117914">
        <w:trPr>
          <w:trHeight w:val="283"/>
        </w:trPr>
        <w:tc>
          <w:tcPr>
            <w:tcW w:w="4682" w:type="dxa"/>
            <w:gridSpan w:val="2"/>
            <w:tcBorders>
              <w:top w:val="nil"/>
            </w:tcBorders>
          </w:tcPr>
          <w:p w14:paraId="36ED2B2F" w14:textId="77777777" w:rsidR="008F364A" w:rsidRPr="00361455" w:rsidRDefault="008F364A" w:rsidP="002404D2">
            <w:pPr>
              <w:keepNext/>
              <w:rPr>
                <w:lang w:val="en-CA"/>
              </w:rPr>
            </w:pPr>
          </w:p>
        </w:tc>
        <w:tc>
          <w:tcPr>
            <w:tcW w:w="4680" w:type="dxa"/>
            <w:tcBorders>
              <w:top w:val="single" w:sz="8" w:space="0" w:color="auto"/>
            </w:tcBorders>
          </w:tcPr>
          <w:p w14:paraId="439E7B4C" w14:textId="06562ED7" w:rsidR="008F364A" w:rsidRPr="00361455" w:rsidRDefault="000A3725" w:rsidP="002404D2">
            <w:pPr>
              <w:rPr>
                <w:lang w:val="en-CA"/>
              </w:rPr>
            </w:pPr>
            <w:r w:rsidRPr="00361455">
              <w:rPr>
                <w:lang w:val="en-CA"/>
              </w:rPr>
              <w:t>MARTIN VAUCLAIR, J.A.</w:t>
            </w:r>
          </w:p>
        </w:tc>
      </w:tr>
      <w:tr w:rsidR="00294039" w:rsidRPr="00361455" w14:paraId="03D0674E" w14:textId="77777777" w:rsidTr="00117914">
        <w:trPr>
          <w:trHeight w:val="283"/>
        </w:trPr>
        <w:tc>
          <w:tcPr>
            <w:tcW w:w="4682" w:type="dxa"/>
            <w:gridSpan w:val="2"/>
            <w:tcBorders>
              <w:top w:val="nil"/>
            </w:tcBorders>
          </w:tcPr>
          <w:p w14:paraId="68A2502C" w14:textId="77777777" w:rsidR="008F364A" w:rsidRPr="00361455" w:rsidRDefault="008F364A" w:rsidP="002404D2">
            <w:pPr>
              <w:keepNext/>
              <w:rPr>
                <w:lang w:val="en-CA"/>
              </w:rPr>
            </w:pPr>
            <w:bookmarkStart w:id="6" w:name="Signature2"/>
          </w:p>
        </w:tc>
        <w:tc>
          <w:tcPr>
            <w:tcW w:w="4680" w:type="dxa"/>
            <w:tcBorders>
              <w:top w:val="nil"/>
            </w:tcBorders>
          </w:tcPr>
          <w:p w14:paraId="35EA97DA" w14:textId="77777777" w:rsidR="008F364A" w:rsidRPr="00361455" w:rsidRDefault="008F364A" w:rsidP="002404D2">
            <w:pPr>
              <w:keepNext/>
              <w:rPr>
                <w:lang w:val="en-CA"/>
              </w:rPr>
            </w:pPr>
          </w:p>
        </w:tc>
      </w:tr>
      <w:tr w:rsidR="00294039" w:rsidRPr="00361455" w14:paraId="079B8799" w14:textId="77777777" w:rsidTr="00117914">
        <w:trPr>
          <w:trHeight w:val="283"/>
        </w:trPr>
        <w:tc>
          <w:tcPr>
            <w:tcW w:w="4682" w:type="dxa"/>
            <w:gridSpan w:val="2"/>
            <w:tcBorders>
              <w:top w:val="nil"/>
              <w:bottom w:val="nil"/>
            </w:tcBorders>
          </w:tcPr>
          <w:p w14:paraId="6D17DE65" w14:textId="77777777" w:rsidR="008F364A" w:rsidRPr="00361455" w:rsidRDefault="008F364A" w:rsidP="002404D2">
            <w:pPr>
              <w:keepNext/>
              <w:rPr>
                <w:lang w:val="en-CA"/>
              </w:rPr>
            </w:pPr>
          </w:p>
        </w:tc>
        <w:tc>
          <w:tcPr>
            <w:tcW w:w="4680" w:type="dxa"/>
            <w:tcBorders>
              <w:top w:val="nil"/>
              <w:bottom w:val="single" w:sz="8" w:space="0" w:color="auto"/>
            </w:tcBorders>
          </w:tcPr>
          <w:p w14:paraId="47BBB856" w14:textId="77777777" w:rsidR="008F364A" w:rsidRPr="00361455" w:rsidRDefault="008F364A" w:rsidP="002404D2">
            <w:pPr>
              <w:keepNext/>
              <w:rPr>
                <w:lang w:val="en-CA"/>
              </w:rPr>
            </w:pPr>
          </w:p>
        </w:tc>
      </w:tr>
      <w:tr w:rsidR="00294039" w:rsidRPr="00361455" w14:paraId="13562897" w14:textId="77777777" w:rsidTr="00117914">
        <w:trPr>
          <w:trHeight w:val="283"/>
        </w:trPr>
        <w:tc>
          <w:tcPr>
            <w:tcW w:w="4682" w:type="dxa"/>
            <w:gridSpan w:val="2"/>
            <w:tcBorders>
              <w:top w:val="nil"/>
            </w:tcBorders>
          </w:tcPr>
          <w:p w14:paraId="74ADAF94" w14:textId="77777777" w:rsidR="008F364A" w:rsidRPr="00361455" w:rsidRDefault="008F364A" w:rsidP="002404D2">
            <w:pPr>
              <w:keepNext/>
              <w:rPr>
                <w:lang w:val="en-CA"/>
              </w:rPr>
            </w:pPr>
          </w:p>
        </w:tc>
        <w:tc>
          <w:tcPr>
            <w:tcW w:w="4680" w:type="dxa"/>
            <w:tcBorders>
              <w:top w:val="single" w:sz="8" w:space="0" w:color="auto"/>
            </w:tcBorders>
          </w:tcPr>
          <w:p w14:paraId="4635A70B" w14:textId="7E1270B4" w:rsidR="008F364A" w:rsidRPr="00361455" w:rsidRDefault="000A3725" w:rsidP="002404D2">
            <w:pPr>
              <w:keepNext/>
              <w:rPr>
                <w:lang w:val="en-CA"/>
              </w:rPr>
            </w:pPr>
            <w:r w:rsidRPr="00361455">
              <w:rPr>
                <w:lang w:val="en-CA"/>
              </w:rPr>
              <w:t>PATRICK HEALY, J.A.</w:t>
            </w:r>
          </w:p>
        </w:tc>
      </w:tr>
      <w:tr w:rsidR="00294039" w:rsidRPr="00361455" w14:paraId="7BC3DBC5" w14:textId="77777777" w:rsidTr="00117914">
        <w:trPr>
          <w:trHeight w:val="283"/>
        </w:trPr>
        <w:tc>
          <w:tcPr>
            <w:tcW w:w="4682" w:type="dxa"/>
            <w:gridSpan w:val="2"/>
            <w:tcBorders>
              <w:top w:val="nil"/>
            </w:tcBorders>
          </w:tcPr>
          <w:p w14:paraId="6B5FE94B" w14:textId="77777777" w:rsidR="008F364A" w:rsidRPr="00361455" w:rsidRDefault="008F364A" w:rsidP="002404D2">
            <w:pPr>
              <w:keepNext/>
              <w:rPr>
                <w:lang w:val="en-CA"/>
              </w:rPr>
            </w:pPr>
            <w:bookmarkStart w:id="7" w:name="Signature3"/>
            <w:bookmarkEnd w:id="6"/>
          </w:p>
        </w:tc>
        <w:tc>
          <w:tcPr>
            <w:tcW w:w="4680" w:type="dxa"/>
            <w:tcBorders>
              <w:top w:val="nil"/>
            </w:tcBorders>
          </w:tcPr>
          <w:p w14:paraId="5985C42D" w14:textId="77777777" w:rsidR="008F364A" w:rsidRPr="00361455" w:rsidRDefault="008F364A" w:rsidP="002404D2">
            <w:pPr>
              <w:keepNext/>
              <w:rPr>
                <w:lang w:val="en-CA"/>
              </w:rPr>
            </w:pPr>
          </w:p>
        </w:tc>
      </w:tr>
      <w:tr w:rsidR="00294039" w:rsidRPr="00361455" w14:paraId="721CA274" w14:textId="77777777" w:rsidTr="00117914">
        <w:trPr>
          <w:trHeight w:val="283"/>
        </w:trPr>
        <w:tc>
          <w:tcPr>
            <w:tcW w:w="4682" w:type="dxa"/>
            <w:gridSpan w:val="2"/>
            <w:tcBorders>
              <w:top w:val="nil"/>
              <w:bottom w:val="nil"/>
            </w:tcBorders>
          </w:tcPr>
          <w:p w14:paraId="23D30436" w14:textId="77777777" w:rsidR="008F364A" w:rsidRPr="00361455" w:rsidRDefault="008F364A" w:rsidP="002404D2">
            <w:pPr>
              <w:keepNext/>
              <w:rPr>
                <w:lang w:val="en-CA"/>
              </w:rPr>
            </w:pPr>
          </w:p>
        </w:tc>
        <w:tc>
          <w:tcPr>
            <w:tcW w:w="4680" w:type="dxa"/>
            <w:tcBorders>
              <w:top w:val="nil"/>
              <w:bottom w:val="single" w:sz="8" w:space="0" w:color="auto"/>
            </w:tcBorders>
          </w:tcPr>
          <w:p w14:paraId="715557F7" w14:textId="77777777" w:rsidR="008F364A" w:rsidRPr="00361455" w:rsidRDefault="008F364A" w:rsidP="002404D2">
            <w:pPr>
              <w:keepNext/>
              <w:rPr>
                <w:lang w:val="en-CA"/>
              </w:rPr>
            </w:pPr>
          </w:p>
        </w:tc>
      </w:tr>
      <w:tr w:rsidR="00294039" w:rsidRPr="00361455" w14:paraId="17767B74" w14:textId="77777777" w:rsidTr="00117914">
        <w:trPr>
          <w:trHeight w:val="283"/>
        </w:trPr>
        <w:tc>
          <w:tcPr>
            <w:tcW w:w="4682" w:type="dxa"/>
            <w:gridSpan w:val="2"/>
            <w:tcBorders>
              <w:top w:val="nil"/>
            </w:tcBorders>
          </w:tcPr>
          <w:p w14:paraId="4F912291" w14:textId="77777777" w:rsidR="008F364A" w:rsidRPr="00361455" w:rsidRDefault="008F364A" w:rsidP="002404D2">
            <w:pPr>
              <w:keepNext/>
              <w:rPr>
                <w:lang w:val="en-CA"/>
              </w:rPr>
            </w:pPr>
          </w:p>
        </w:tc>
        <w:tc>
          <w:tcPr>
            <w:tcW w:w="4680" w:type="dxa"/>
            <w:tcBorders>
              <w:top w:val="single" w:sz="8" w:space="0" w:color="auto"/>
            </w:tcBorders>
          </w:tcPr>
          <w:p w14:paraId="0DE7FA35" w14:textId="5257603D" w:rsidR="008F364A" w:rsidRPr="00361455" w:rsidRDefault="000A3725" w:rsidP="002404D2">
            <w:pPr>
              <w:keepNext/>
              <w:rPr>
                <w:lang w:val="en-CA"/>
              </w:rPr>
            </w:pPr>
            <w:r w:rsidRPr="00361455">
              <w:rPr>
                <w:lang w:val="en-CA"/>
              </w:rPr>
              <w:t>FRÉDÉRIC BACHAND, J.A.</w:t>
            </w:r>
          </w:p>
        </w:tc>
      </w:tr>
      <w:bookmarkEnd w:id="7"/>
      <w:tr w:rsidR="00294039" w:rsidRPr="00361455" w14:paraId="1758E3D0" w14:textId="77777777" w:rsidTr="009654C3">
        <w:tc>
          <w:tcPr>
            <w:tcW w:w="9362" w:type="dxa"/>
            <w:gridSpan w:val="3"/>
            <w:tcBorders>
              <w:bottom w:val="nil"/>
            </w:tcBorders>
          </w:tcPr>
          <w:p w14:paraId="376ACD75" w14:textId="77777777" w:rsidR="005A78BF" w:rsidRPr="00361455" w:rsidRDefault="005A78BF" w:rsidP="002404D2">
            <w:pPr>
              <w:rPr>
                <w:lang w:val="en-CA"/>
              </w:rPr>
            </w:pPr>
          </w:p>
        </w:tc>
      </w:tr>
      <w:tr w:rsidR="00294039" w:rsidRPr="00361455" w14:paraId="50457A9D" w14:textId="77777777" w:rsidTr="009654C3">
        <w:tc>
          <w:tcPr>
            <w:tcW w:w="9362" w:type="dxa"/>
            <w:gridSpan w:val="3"/>
            <w:tcBorders>
              <w:top w:val="nil"/>
            </w:tcBorders>
          </w:tcPr>
          <w:p w14:paraId="48286207" w14:textId="0E82E656" w:rsidR="005A78BF" w:rsidRPr="00361455" w:rsidRDefault="000A3725" w:rsidP="002404D2">
            <w:pPr>
              <w:pStyle w:val="zSoquijdatNomProcureurDem"/>
              <w:rPr>
                <w:lang w:val="en-CA"/>
              </w:rPr>
            </w:pPr>
            <w:r w:rsidRPr="00361455">
              <w:rPr>
                <w:lang w:val="en-CA"/>
              </w:rPr>
              <w:t>Mtre Christian Gauthier</w:t>
            </w:r>
          </w:p>
        </w:tc>
      </w:tr>
      <w:tr w:rsidR="00294039" w:rsidRPr="00361455" w14:paraId="341EDA3D" w14:textId="77777777" w:rsidTr="00423DF1">
        <w:tc>
          <w:tcPr>
            <w:tcW w:w="9362" w:type="dxa"/>
            <w:gridSpan w:val="3"/>
          </w:tcPr>
          <w:p w14:paraId="147DAB3C" w14:textId="5FEB273C" w:rsidR="005A78BF" w:rsidRPr="00361455" w:rsidRDefault="00337C45" w:rsidP="002404D2">
            <w:pPr>
              <w:pStyle w:val="zSoquijdatCabinetProcureurDem"/>
              <w:rPr>
                <w:lang w:val="en-CA"/>
              </w:rPr>
            </w:pPr>
            <w:r w:rsidRPr="00361455">
              <w:rPr>
                <w:lang w:val="en-CA"/>
              </w:rPr>
              <w:t xml:space="preserve">CHRISTIAN GAUTHIER </w:t>
            </w:r>
            <w:r w:rsidR="00601AD6" w:rsidRPr="00361455">
              <w:rPr>
                <w:lang w:val="en-CA"/>
              </w:rPr>
              <w:t>–</w:t>
            </w:r>
            <w:r w:rsidRPr="00361455">
              <w:rPr>
                <w:lang w:val="en-CA"/>
              </w:rPr>
              <w:t xml:space="preserve"> AVOCAT</w:t>
            </w:r>
          </w:p>
        </w:tc>
      </w:tr>
      <w:tr w:rsidR="00294039" w:rsidRPr="00361455" w14:paraId="0E98C54C" w14:textId="77777777" w:rsidTr="00423DF1">
        <w:tc>
          <w:tcPr>
            <w:tcW w:w="9362" w:type="dxa"/>
            <w:gridSpan w:val="3"/>
          </w:tcPr>
          <w:p w14:paraId="1EA72DE7" w14:textId="3844EC87" w:rsidR="005A78BF" w:rsidRPr="00361455" w:rsidRDefault="00601AD6" w:rsidP="002404D2">
            <w:pPr>
              <w:pStyle w:val="zSoquijlblProcureurDem"/>
              <w:rPr>
                <w:lang w:val="en-CA"/>
              </w:rPr>
            </w:pPr>
            <w:r w:rsidRPr="00361455">
              <w:rPr>
                <w:lang w:val="en-CA"/>
              </w:rPr>
              <w:t>For the appellant</w:t>
            </w:r>
          </w:p>
        </w:tc>
      </w:tr>
      <w:tr w:rsidR="00294039" w:rsidRPr="00361455" w14:paraId="409865EC" w14:textId="77777777" w:rsidTr="00423DF1">
        <w:tc>
          <w:tcPr>
            <w:tcW w:w="9362" w:type="dxa"/>
            <w:gridSpan w:val="3"/>
          </w:tcPr>
          <w:p w14:paraId="15D5A7F0" w14:textId="77777777" w:rsidR="005A78BF" w:rsidRPr="00361455" w:rsidRDefault="005A78BF" w:rsidP="002404D2">
            <w:pPr>
              <w:rPr>
                <w:lang w:val="en-CA"/>
              </w:rPr>
            </w:pPr>
          </w:p>
        </w:tc>
      </w:tr>
      <w:tr w:rsidR="00294039" w:rsidRPr="00361455" w14:paraId="3A3413A0" w14:textId="77777777" w:rsidTr="00423DF1">
        <w:tc>
          <w:tcPr>
            <w:tcW w:w="9362" w:type="dxa"/>
            <w:gridSpan w:val="3"/>
          </w:tcPr>
          <w:p w14:paraId="318AF05E" w14:textId="19954246" w:rsidR="005A78BF" w:rsidRPr="00361455" w:rsidRDefault="000A3725" w:rsidP="002404D2">
            <w:pPr>
              <w:pStyle w:val="zSoquijdatNomProcureurDef"/>
              <w:rPr>
                <w:lang w:val="en-CA"/>
              </w:rPr>
            </w:pPr>
            <w:r w:rsidRPr="00361455">
              <w:rPr>
                <w:lang w:val="en-CA"/>
              </w:rPr>
              <w:t>Mtre Patrick Cardinal</w:t>
            </w:r>
          </w:p>
        </w:tc>
      </w:tr>
      <w:tr w:rsidR="00294039" w:rsidRPr="00E91DDF" w14:paraId="3FC0338F" w14:textId="77777777" w:rsidTr="00423DF1">
        <w:tc>
          <w:tcPr>
            <w:tcW w:w="9362" w:type="dxa"/>
            <w:gridSpan w:val="3"/>
          </w:tcPr>
          <w:p w14:paraId="7AE1B3EB" w14:textId="6D55AD88" w:rsidR="005A78BF" w:rsidRPr="00361455" w:rsidRDefault="00601AD6" w:rsidP="002404D2">
            <w:pPr>
              <w:pStyle w:val="zSoquijdatCabinetProcureurDef"/>
              <w:rPr>
                <w:lang w:val="en-CA"/>
              </w:rPr>
            </w:pPr>
            <w:r w:rsidRPr="00361455">
              <w:rPr>
                <w:lang w:val="en-CA"/>
              </w:rPr>
              <w:t>DIRECTOR OF CRIMINAL AND PENAL PROSECUTIONS</w:t>
            </w:r>
          </w:p>
        </w:tc>
      </w:tr>
      <w:tr w:rsidR="00294039" w:rsidRPr="00361455" w14:paraId="0E36675E" w14:textId="77777777" w:rsidTr="00423DF1">
        <w:tc>
          <w:tcPr>
            <w:tcW w:w="9362" w:type="dxa"/>
            <w:gridSpan w:val="3"/>
          </w:tcPr>
          <w:p w14:paraId="4B86D216" w14:textId="153E14B7" w:rsidR="005A78BF" w:rsidRPr="00361455" w:rsidRDefault="00601AD6" w:rsidP="002404D2">
            <w:pPr>
              <w:pStyle w:val="zSoquijlblProcureurDef"/>
              <w:rPr>
                <w:lang w:val="en-CA"/>
              </w:rPr>
            </w:pPr>
            <w:r w:rsidRPr="00361455">
              <w:rPr>
                <w:lang w:val="en-CA"/>
              </w:rPr>
              <w:t>For the respondent</w:t>
            </w:r>
          </w:p>
        </w:tc>
      </w:tr>
      <w:tr w:rsidR="00294039" w:rsidRPr="00361455" w14:paraId="1AF8DE78" w14:textId="77777777" w:rsidTr="00423DF1">
        <w:tc>
          <w:tcPr>
            <w:tcW w:w="9362" w:type="dxa"/>
            <w:gridSpan w:val="3"/>
          </w:tcPr>
          <w:p w14:paraId="58283EAA" w14:textId="77777777" w:rsidR="005A78BF" w:rsidRPr="00361455" w:rsidRDefault="005A78BF" w:rsidP="002404D2">
            <w:pPr>
              <w:rPr>
                <w:lang w:val="en-CA"/>
              </w:rPr>
            </w:pPr>
          </w:p>
        </w:tc>
      </w:tr>
      <w:tr w:rsidR="00294039" w:rsidRPr="00361455" w14:paraId="228460C5" w14:textId="77777777" w:rsidTr="00423DF1">
        <w:tc>
          <w:tcPr>
            <w:tcW w:w="1997" w:type="dxa"/>
          </w:tcPr>
          <w:p w14:paraId="587B6BD9" w14:textId="5FEE30FD" w:rsidR="005A78BF" w:rsidRPr="00361455" w:rsidRDefault="00601AD6" w:rsidP="002404D2">
            <w:pPr>
              <w:pStyle w:val="zSoquijlblDateAudience"/>
              <w:rPr>
                <w:lang w:val="en-CA"/>
              </w:rPr>
            </w:pPr>
            <w:r w:rsidRPr="00361455">
              <w:rPr>
                <w:lang w:val="en-CA"/>
              </w:rPr>
              <w:t>Date of hearing:</w:t>
            </w:r>
          </w:p>
        </w:tc>
        <w:tc>
          <w:tcPr>
            <w:tcW w:w="7365" w:type="dxa"/>
            <w:gridSpan w:val="2"/>
          </w:tcPr>
          <w:p w14:paraId="11E53DE6" w14:textId="0233B097" w:rsidR="005A78BF" w:rsidRPr="00361455" w:rsidRDefault="00601AD6" w:rsidP="002404D2">
            <w:pPr>
              <w:pStyle w:val="zSoquijdatDateAudience"/>
              <w:rPr>
                <w:lang w:val="en-CA"/>
              </w:rPr>
            </w:pPr>
            <w:r w:rsidRPr="00361455">
              <w:rPr>
                <w:lang w:val="en-CA"/>
              </w:rPr>
              <w:t>February 29, 2024</w:t>
            </w:r>
          </w:p>
        </w:tc>
      </w:tr>
    </w:tbl>
    <w:p w14:paraId="6A5EB4F8" w14:textId="77777777" w:rsidR="005C6B8A" w:rsidRPr="00361455" w:rsidRDefault="005C6B8A" w:rsidP="002404D2">
      <w:pPr>
        <w:rPr>
          <w:lang w:val="en-CA"/>
        </w:rPr>
        <w:sectPr w:rsidR="005C6B8A" w:rsidRPr="00361455" w:rsidSect="00C23785">
          <w:headerReference w:type="default" r:id="rId8"/>
          <w:footerReference w:type="default" r:id="rId9"/>
          <w:pgSz w:w="12242" w:h="15842" w:code="1"/>
          <w:pgMar w:top="1440" w:right="1008" w:bottom="1440" w:left="1872" w:header="1440" w:footer="792" w:gutter="0"/>
          <w:cols w:space="720"/>
          <w:formProt w:val="0"/>
          <w:titlePg/>
        </w:sectPr>
      </w:pPr>
      <w:bookmarkStart w:id="8" w:name="Opinion"/>
      <w:bookmarkEnd w:id="5"/>
    </w:p>
    <w:tbl>
      <w:tblPr>
        <w:tblW w:w="0" w:type="auto"/>
        <w:tblLayout w:type="fixed"/>
        <w:tblCellMar>
          <w:left w:w="0" w:type="dxa"/>
          <w:right w:w="0" w:type="dxa"/>
        </w:tblCellMar>
        <w:tblLook w:val="0000" w:firstRow="0" w:lastRow="0" w:firstColumn="0" w:lastColumn="0" w:noHBand="0" w:noVBand="0"/>
      </w:tblPr>
      <w:tblGrid>
        <w:gridCol w:w="9360"/>
      </w:tblGrid>
      <w:tr w:rsidR="00294039" w:rsidRPr="00361455" w14:paraId="277A458D" w14:textId="77777777" w:rsidTr="0001453D">
        <w:tc>
          <w:tcPr>
            <w:tcW w:w="9360" w:type="dxa"/>
            <w:tcBorders>
              <w:bottom w:val="single" w:sz="8" w:space="0" w:color="auto"/>
            </w:tcBorders>
          </w:tcPr>
          <w:p w14:paraId="2596DBC8" w14:textId="1AC277AA" w:rsidR="005C6B8A" w:rsidRPr="00361455" w:rsidRDefault="000A3725" w:rsidP="002404D2">
            <w:pPr>
              <w:rPr>
                <w:lang w:val="en-CA"/>
              </w:rPr>
            </w:pPr>
            <w:r w:rsidRPr="00361455">
              <w:rPr>
                <w:lang w:val="en-CA"/>
              </w:rPr>
              <w:lastRenderedPageBreak/>
              <w:br w:type="page"/>
            </w:r>
          </w:p>
        </w:tc>
      </w:tr>
      <w:tr w:rsidR="00294039" w:rsidRPr="00361455" w14:paraId="3B0E935F" w14:textId="77777777" w:rsidTr="0001453D">
        <w:tc>
          <w:tcPr>
            <w:tcW w:w="9360" w:type="dxa"/>
            <w:tcBorders>
              <w:top w:val="single" w:sz="8" w:space="0" w:color="auto"/>
            </w:tcBorders>
          </w:tcPr>
          <w:p w14:paraId="18CAE70D" w14:textId="77777777" w:rsidR="005C6B8A" w:rsidRPr="00361455" w:rsidRDefault="005C6B8A" w:rsidP="002404D2">
            <w:pPr>
              <w:rPr>
                <w:lang w:val="en-CA"/>
              </w:rPr>
            </w:pPr>
          </w:p>
        </w:tc>
      </w:tr>
      <w:tr w:rsidR="00294039" w:rsidRPr="00E91DDF" w14:paraId="477E33BF" w14:textId="77777777" w:rsidTr="0001453D">
        <w:tc>
          <w:tcPr>
            <w:tcW w:w="9360" w:type="dxa"/>
          </w:tcPr>
          <w:p w14:paraId="39387F73" w14:textId="64A04B97" w:rsidR="005C6B8A" w:rsidRPr="00361455" w:rsidRDefault="00601AD6" w:rsidP="002404D2">
            <w:pPr>
              <w:pStyle w:val="zSoquijlblOpinionJuge"/>
              <w:rPr>
                <w:lang w:val="en-CA"/>
              </w:rPr>
            </w:pPr>
            <w:r w:rsidRPr="00361455">
              <w:rPr>
                <w:lang w:val="en-CA"/>
              </w:rPr>
              <w:t>REASONS OF VAUCLAIR, J.A.</w:t>
            </w:r>
          </w:p>
        </w:tc>
      </w:tr>
      <w:tr w:rsidR="00294039" w:rsidRPr="00E91DDF" w14:paraId="7BBCC408" w14:textId="77777777" w:rsidTr="0001453D">
        <w:tc>
          <w:tcPr>
            <w:tcW w:w="9360" w:type="dxa"/>
            <w:tcBorders>
              <w:bottom w:val="single" w:sz="8" w:space="0" w:color="auto"/>
            </w:tcBorders>
          </w:tcPr>
          <w:p w14:paraId="4F93FF7A" w14:textId="77777777" w:rsidR="005C6B8A" w:rsidRPr="00361455" w:rsidRDefault="005C6B8A" w:rsidP="002404D2">
            <w:pPr>
              <w:rPr>
                <w:lang w:val="en-CA"/>
              </w:rPr>
            </w:pPr>
          </w:p>
        </w:tc>
      </w:tr>
      <w:tr w:rsidR="00294039" w:rsidRPr="00E91DDF" w14:paraId="4B116AC8" w14:textId="77777777" w:rsidTr="0001453D">
        <w:tc>
          <w:tcPr>
            <w:tcW w:w="9360" w:type="dxa"/>
            <w:tcBorders>
              <w:top w:val="single" w:sz="8" w:space="0" w:color="auto"/>
            </w:tcBorders>
          </w:tcPr>
          <w:p w14:paraId="13B96982" w14:textId="77777777" w:rsidR="005C6B8A" w:rsidRPr="00361455" w:rsidRDefault="005C6B8A" w:rsidP="002404D2">
            <w:pPr>
              <w:rPr>
                <w:lang w:val="en-CA"/>
              </w:rPr>
            </w:pPr>
          </w:p>
        </w:tc>
      </w:tr>
    </w:tbl>
    <w:p w14:paraId="763A4A3A" w14:textId="0AD411AB" w:rsidR="005C6B8A" w:rsidRPr="00361455" w:rsidRDefault="002E139B" w:rsidP="002404D2">
      <w:pPr>
        <w:pStyle w:val="Paragraphe"/>
        <w:spacing w:line="280" w:lineRule="exact"/>
        <w:rPr>
          <w:lang w:val="en-CA"/>
        </w:rPr>
      </w:pPr>
      <w:r w:rsidRPr="00361455">
        <w:rPr>
          <w:lang w:val="en-CA"/>
        </w:rPr>
        <w:t xml:space="preserve">The </w:t>
      </w:r>
      <w:r w:rsidR="000A3725" w:rsidRPr="00361455">
        <w:rPr>
          <w:lang w:val="en-CA"/>
        </w:rPr>
        <w:t>appellant</w:t>
      </w:r>
      <w:r w:rsidRPr="00361455">
        <w:rPr>
          <w:lang w:val="en-CA"/>
        </w:rPr>
        <w:t xml:space="preserve"> is a young Indigenous man from the reserve located in </w:t>
      </w:r>
      <w:r w:rsidR="000A3725" w:rsidRPr="00361455">
        <w:rPr>
          <w:lang w:val="en-CA"/>
        </w:rPr>
        <w:br/>
        <w:t xml:space="preserve">Lac-Simon, </w:t>
      </w:r>
      <w:r w:rsidRPr="00361455">
        <w:rPr>
          <w:lang w:val="en-CA"/>
        </w:rPr>
        <w:t xml:space="preserve">near </w:t>
      </w:r>
      <w:r w:rsidR="000A3725" w:rsidRPr="00361455">
        <w:rPr>
          <w:lang w:val="en-CA"/>
        </w:rPr>
        <w:t>Val-</w:t>
      </w:r>
      <w:r w:rsidRPr="00361455">
        <w:rPr>
          <w:lang w:val="en-CA"/>
        </w:rPr>
        <w:t>d</w:t>
      </w:r>
      <w:r w:rsidR="000A3725" w:rsidRPr="00361455">
        <w:rPr>
          <w:lang w:val="en-CA"/>
        </w:rPr>
        <w:t xml:space="preserve">’Or. </w:t>
      </w:r>
      <w:r w:rsidRPr="00361455">
        <w:rPr>
          <w:lang w:val="en-CA"/>
        </w:rPr>
        <w:t>He was a junior hockey player</w:t>
      </w:r>
      <w:r w:rsidR="001652D9">
        <w:rPr>
          <w:lang w:val="en-CA"/>
        </w:rPr>
        <w:t xml:space="preserve"> playing for</w:t>
      </w:r>
      <w:r w:rsidRPr="00361455">
        <w:rPr>
          <w:lang w:val="en-CA"/>
        </w:rPr>
        <w:t xml:space="preserve"> a local team in </w:t>
      </w:r>
      <w:r w:rsidR="000A3725" w:rsidRPr="00361455">
        <w:rPr>
          <w:lang w:val="en-CA"/>
        </w:rPr>
        <w:t xml:space="preserve">Maniwaki, 250 km </w:t>
      </w:r>
      <w:r w:rsidRPr="00361455">
        <w:rPr>
          <w:lang w:val="en-CA"/>
        </w:rPr>
        <w:t xml:space="preserve">south of Val </w:t>
      </w:r>
      <w:r w:rsidR="002769EA" w:rsidRPr="00361455">
        <w:rPr>
          <w:lang w:val="en-CA"/>
        </w:rPr>
        <w:t>d’Or</w:t>
      </w:r>
      <w:r w:rsidR="000A3725" w:rsidRPr="00361455">
        <w:rPr>
          <w:lang w:val="en-CA"/>
        </w:rPr>
        <w:t xml:space="preserve">. Kevin Flamand, </w:t>
      </w:r>
      <w:r w:rsidR="002769EA" w:rsidRPr="00361455">
        <w:rPr>
          <w:lang w:val="en-CA"/>
        </w:rPr>
        <w:t xml:space="preserve">to whom the Court will return, also played </w:t>
      </w:r>
      <w:r w:rsidR="000A3725" w:rsidRPr="00361455">
        <w:rPr>
          <w:lang w:val="en-CA"/>
        </w:rPr>
        <w:t xml:space="preserve">hockey </w:t>
      </w:r>
      <w:r w:rsidR="002769EA" w:rsidRPr="00361455">
        <w:rPr>
          <w:lang w:val="en-CA"/>
        </w:rPr>
        <w:t xml:space="preserve">and </w:t>
      </w:r>
      <w:r w:rsidR="00CD4A6A" w:rsidRPr="00361455">
        <w:rPr>
          <w:lang w:val="en-CA"/>
        </w:rPr>
        <w:t>rented a shared room w</w:t>
      </w:r>
      <w:r w:rsidR="002769EA" w:rsidRPr="00361455">
        <w:rPr>
          <w:lang w:val="en-CA"/>
        </w:rPr>
        <w:t xml:space="preserve">ith the </w:t>
      </w:r>
      <w:r w:rsidR="000A3725" w:rsidRPr="00361455">
        <w:rPr>
          <w:lang w:val="en-CA"/>
        </w:rPr>
        <w:t xml:space="preserve">appellant </w:t>
      </w:r>
      <w:r w:rsidR="002769EA" w:rsidRPr="00361455">
        <w:rPr>
          <w:lang w:val="en-CA"/>
        </w:rPr>
        <w:t xml:space="preserve">from a landlady in </w:t>
      </w:r>
      <w:r w:rsidR="000A3725" w:rsidRPr="00361455">
        <w:rPr>
          <w:lang w:val="en-CA"/>
        </w:rPr>
        <w:t xml:space="preserve">Maniwaki. </w:t>
      </w:r>
      <w:r w:rsidR="002769EA" w:rsidRPr="00361455">
        <w:rPr>
          <w:lang w:val="en-CA"/>
        </w:rPr>
        <w:t xml:space="preserve">On the day of the assault, the </w:t>
      </w:r>
      <w:r w:rsidR="000A3725" w:rsidRPr="00361455">
        <w:rPr>
          <w:lang w:val="en-CA"/>
        </w:rPr>
        <w:t>appellant</w:t>
      </w:r>
      <w:r w:rsidR="002769EA" w:rsidRPr="00361455">
        <w:rPr>
          <w:lang w:val="en-CA"/>
        </w:rPr>
        <w:t xml:space="preserve"> left </w:t>
      </w:r>
      <w:r w:rsidR="000A3725" w:rsidRPr="00361455">
        <w:rPr>
          <w:lang w:val="en-CA"/>
        </w:rPr>
        <w:t xml:space="preserve">Maniwaki </w:t>
      </w:r>
      <w:r w:rsidR="002769EA" w:rsidRPr="00361455">
        <w:rPr>
          <w:lang w:val="en-CA"/>
        </w:rPr>
        <w:t>and never returned</w:t>
      </w:r>
      <w:r w:rsidR="000A3725" w:rsidRPr="00361455">
        <w:rPr>
          <w:lang w:val="en-CA"/>
        </w:rPr>
        <w:t xml:space="preserve">. </w:t>
      </w:r>
    </w:p>
    <w:p w14:paraId="353E8F87" w14:textId="1266B508" w:rsidR="005C6B8A" w:rsidRPr="00361455" w:rsidRDefault="002769EA" w:rsidP="002404D2">
      <w:pPr>
        <w:pStyle w:val="Paragraphe"/>
        <w:spacing w:line="280" w:lineRule="exact"/>
        <w:rPr>
          <w:lang w:val="en-CA"/>
        </w:rPr>
      </w:pPr>
      <w:r w:rsidRPr="00361455">
        <w:rPr>
          <w:lang w:val="en-CA"/>
        </w:rPr>
        <w:t xml:space="preserve">At the end of his trial, the </w:t>
      </w:r>
      <w:r w:rsidR="000A3725" w:rsidRPr="00361455">
        <w:rPr>
          <w:lang w:val="en-CA"/>
        </w:rPr>
        <w:t>appellant</w:t>
      </w:r>
      <w:r w:rsidRPr="00361455">
        <w:rPr>
          <w:lang w:val="en-CA"/>
        </w:rPr>
        <w:t xml:space="preserve"> was </w:t>
      </w:r>
      <w:r w:rsidR="000A3725" w:rsidRPr="00361455">
        <w:rPr>
          <w:lang w:val="en-CA"/>
        </w:rPr>
        <w:t>convicted</w:t>
      </w:r>
      <w:r w:rsidRPr="00361455">
        <w:rPr>
          <w:lang w:val="en-CA"/>
        </w:rPr>
        <w:t xml:space="preserve"> of </w:t>
      </w:r>
      <w:r w:rsidR="000A3725" w:rsidRPr="00361455">
        <w:rPr>
          <w:lang w:val="en-CA"/>
        </w:rPr>
        <w:t>sexual</w:t>
      </w:r>
      <w:r w:rsidRPr="00361455">
        <w:rPr>
          <w:lang w:val="en-CA"/>
        </w:rPr>
        <w:t xml:space="preserve"> </w:t>
      </w:r>
      <w:r w:rsidR="000A3725" w:rsidRPr="00361455">
        <w:rPr>
          <w:lang w:val="en-CA"/>
        </w:rPr>
        <w:t>assault</w:t>
      </w:r>
      <w:r w:rsidRPr="00361455">
        <w:rPr>
          <w:lang w:val="en-CA"/>
        </w:rPr>
        <w:t xml:space="preserve"> against the </w:t>
      </w:r>
      <w:r w:rsidR="000A3725" w:rsidRPr="00361455">
        <w:rPr>
          <w:lang w:val="en-CA"/>
        </w:rPr>
        <w:t>complainant</w:t>
      </w:r>
      <w:r w:rsidR="00433E5A">
        <w:rPr>
          <w:lang w:val="en-CA"/>
        </w:rPr>
        <w:t xml:space="preserve"> with respect to an incident that </w:t>
      </w:r>
      <w:r w:rsidRPr="00361455">
        <w:rPr>
          <w:lang w:val="en-CA"/>
        </w:rPr>
        <w:t xml:space="preserve">occurred in the early morning of </w:t>
      </w:r>
      <w:r w:rsidR="00433E5A">
        <w:rPr>
          <w:lang w:val="en-CA"/>
        </w:rPr>
        <w:t xml:space="preserve">Sunday, </w:t>
      </w:r>
      <w:r w:rsidRPr="00361455">
        <w:rPr>
          <w:lang w:val="en-CA"/>
        </w:rPr>
        <w:t xml:space="preserve">July </w:t>
      </w:r>
      <w:r w:rsidR="000A3725" w:rsidRPr="00361455">
        <w:rPr>
          <w:lang w:val="en-CA"/>
        </w:rPr>
        <w:t>15</w:t>
      </w:r>
      <w:r w:rsidRPr="00361455">
        <w:rPr>
          <w:lang w:val="en-CA"/>
        </w:rPr>
        <w:t>,</w:t>
      </w:r>
      <w:r w:rsidR="000A3725" w:rsidRPr="00361455">
        <w:rPr>
          <w:lang w:val="en-CA"/>
        </w:rPr>
        <w:t xml:space="preserve"> 2018, </w:t>
      </w:r>
      <w:r w:rsidRPr="00361455">
        <w:rPr>
          <w:lang w:val="en-CA"/>
        </w:rPr>
        <w:t xml:space="preserve">after a party at </w:t>
      </w:r>
      <w:r w:rsidR="004D2594" w:rsidRPr="00361455">
        <w:rPr>
          <w:lang w:val="en-CA"/>
        </w:rPr>
        <w:t xml:space="preserve">the home of some friends, which </w:t>
      </w:r>
      <w:r w:rsidR="000A3725" w:rsidRPr="00361455">
        <w:rPr>
          <w:lang w:val="en-CA"/>
        </w:rPr>
        <w:t xml:space="preserve">Kevin Flamand </w:t>
      </w:r>
      <w:r w:rsidR="00433E5A">
        <w:rPr>
          <w:lang w:val="en-CA"/>
        </w:rPr>
        <w:t xml:space="preserve">also </w:t>
      </w:r>
      <w:r w:rsidR="004D2594" w:rsidRPr="00361455">
        <w:rPr>
          <w:lang w:val="en-CA"/>
        </w:rPr>
        <w:t>attended</w:t>
      </w:r>
      <w:r w:rsidR="000A3725" w:rsidRPr="00361455">
        <w:rPr>
          <w:lang w:val="en-CA"/>
        </w:rPr>
        <w:t xml:space="preserve">: </w:t>
      </w:r>
      <w:r w:rsidR="000A3725" w:rsidRPr="00361455">
        <w:rPr>
          <w:i/>
          <w:iCs/>
          <w:lang w:val="en-CA"/>
        </w:rPr>
        <w:t>R. c. Ratt</w:t>
      </w:r>
      <w:r w:rsidR="000A3725" w:rsidRPr="00361455">
        <w:rPr>
          <w:lang w:val="en-CA"/>
        </w:rPr>
        <w:t xml:space="preserve">, 2020 QCCQ 5386. </w:t>
      </w:r>
    </w:p>
    <w:p w14:paraId="3C14FCA5" w14:textId="7DDE38F1" w:rsidR="005C6B8A" w:rsidRPr="00361455" w:rsidRDefault="00E341BE" w:rsidP="002404D2">
      <w:pPr>
        <w:pStyle w:val="Paragraphe"/>
        <w:spacing w:line="280" w:lineRule="exact"/>
        <w:rPr>
          <w:lang w:val="en-CA"/>
        </w:rPr>
      </w:pPr>
      <w:r w:rsidRPr="00361455">
        <w:rPr>
          <w:lang w:val="en-CA"/>
        </w:rPr>
        <w:t xml:space="preserve">The </w:t>
      </w:r>
      <w:r w:rsidR="000A3725" w:rsidRPr="00361455">
        <w:rPr>
          <w:lang w:val="en-CA"/>
        </w:rPr>
        <w:t>credibility</w:t>
      </w:r>
      <w:r w:rsidRPr="00361455">
        <w:rPr>
          <w:lang w:val="en-CA"/>
        </w:rPr>
        <w:t xml:space="preserve"> of the </w:t>
      </w:r>
      <w:r w:rsidR="000A3725" w:rsidRPr="00361455">
        <w:rPr>
          <w:lang w:val="en-CA"/>
        </w:rPr>
        <w:t>appellant</w:t>
      </w:r>
      <w:r w:rsidRPr="00361455">
        <w:rPr>
          <w:lang w:val="en-CA"/>
        </w:rPr>
        <w:t xml:space="preserve"> and that of the </w:t>
      </w:r>
      <w:r w:rsidR="000A3725" w:rsidRPr="00361455">
        <w:rPr>
          <w:lang w:val="en-CA"/>
        </w:rPr>
        <w:t>complainant</w:t>
      </w:r>
      <w:r w:rsidRPr="00361455">
        <w:rPr>
          <w:lang w:val="en-CA"/>
        </w:rPr>
        <w:t xml:space="preserve"> was the central issue at trial, even though other persons </w:t>
      </w:r>
      <w:r w:rsidR="000A3725" w:rsidRPr="00361455">
        <w:rPr>
          <w:lang w:val="en-CA"/>
        </w:rPr>
        <w:t>testified</w:t>
      </w:r>
      <w:r w:rsidRPr="00361455">
        <w:rPr>
          <w:lang w:val="en-CA"/>
        </w:rPr>
        <w:t xml:space="preserve"> and other </w:t>
      </w:r>
      <w:r w:rsidR="000A3725" w:rsidRPr="00361455">
        <w:rPr>
          <w:lang w:val="en-CA"/>
        </w:rPr>
        <w:t>evidence</w:t>
      </w:r>
      <w:r w:rsidR="00534218" w:rsidRPr="00361455">
        <w:rPr>
          <w:lang w:val="en-CA"/>
        </w:rPr>
        <w:t xml:space="preserve"> was adduced</w:t>
      </w:r>
      <w:r w:rsidR="000A3725" w:rsidRPr="00361455">
        <w:rPr>
          <w:lang w:val="en-CA"/>
        </w:rPr>
        <w:t xml:space="preserve">. </w:t>
      </w:r>
      <w:r w:rsidR="00534218" w:rsidRPr="00361455">
        <w:rPr>
          <w:lang w:val="en-CA"/>
        </w:rPr>
        <w:t xml:space="preserve">The </w:t>
      </w:r>
      <w:r w:rsidR="000A3725" w:rsidRPr="00361455">
        <w:rPr>
          <w:lang w:val="en-CA"/>
        </w:rPr>
        <w:t>appellant</w:t>
      </w:r>
      <w:r w:rsidR="00534218" w:rsidRPr="00361455">
        <w:rPr>
          <w:lang w:val="en-CA"/>
        </w:rPr>
        <w:t xml:space="preserve">’s account was that </w:t>
      </w:r>
      <w:r w:rsidR="00361455" w:rsidRPr="00361455">
        <w:rPr>
          <w:lang w:val="en-CA"/>
        </w:rPr>
        <w:t>he</w:t>
      </w:r>
      <w:r w:rsidR="00534218" w:rsidRPr="00361455">
        <w:rPr>
          <w:lang w:val="en-CA"/>
        </w:rPr>
        <w:t xml:space="preserve"> and the </w:t>
      </w:r>
      <w:r w:rsidR="000A3725" w:rsidRPr="00361455">
        <w:rPr>
          <w:lang w:val="en-CA"/>
        </w:rPr>
        <w:t>complainant</w:t>
      </w:r>
      <w:r w:rsidR="00534218" w:rsidRPr="00361455">
        <w:rPr>
          <w:lang w:val="en-CA"/>
        </w:rPr>
        <w:t xml:space="preserve"> had had contact throughout the evening, that she had </w:t>
      </w:r>
      <w:r w:rsidR="00E9139F" w:rsidRPr="00361455">
        <w:rPr>
          <w:lang w:val="en-CA"/>
        </w:rPr>
        <w:t xml:space="preserve">made advances toward him shortly before the sexual activity, that she had knowingly consented, and, last, that he had left </w:t>
      </w:r>
      <w:r w:rsidR="000A3725" w:rsidRPr="00361455">
        <w:rPr>
          <w:lang w:val="en-CA"/>
        </w:rPr>
        <w:t xml:space="preserve">Maniwaki </w:t>
      </w:r>
      <w:r w:rsidR="00E9139F" w:rsidRPr="00361455">
        <w:rPr>
          <w:lang w:val="en-CA"/>
        </w:rPr>
        <w:t xml:space="preserve">to return to </w:t>
      </w:r>
      <w:r w:rsidR="000A3725" w:rsidRPr="00361455">
        <w:rPr>
          <w:lang w:val="en-CA"/>
        </w:rPr>
        <w:t>Val-</w:t>
      </w:r>
      <w:r w:rsidR="00E9139F" w:rsidRPr="00361455">
        <w:rPr>
          <w:lang w:val="en-CA"/>
        </w:rPr>
        <w:t>d</w:t>
      </w:r>
      <w:r w:rsidR="000A3725" w:rsidRPr="00361455">
        <w:rPr>
          <w:lang w:val="en-CA"/>
        </w:rPr>
        <w:t xml:space="preserve">’Or </w:t>
      </w:r>
      <w:r w:rsidR="00E9139F" w:rsidRPr="00361455">
        <w:rPr>
          <w:lang w:val="en-CA"/>
        </w:rPr>
        <w:t>to get some clothes and to do an internship</w:t>
      </w:r>
      <w:r w:rsidR="001849C9">
        <w:rPr>
          <w:lang w:val="en-CA"/>
        </w:rPr>
        <w:t xml:space="preserve"> there</w:t>
      </w:r>
      <w:r w:rsidR="000A3725" w:rsidRPr="00361455">
        <w:rPr>
          <w:lang w:val="en-CA"/>
        </w:rPr>
        <w:t xml:space="preserve">. </w:t>
      </w:r>
    </w:p>
    <w:p w14:paraId="0C2D0E2D" w14:textId="504AEBEA" w:rsidR="005C6B8A" w:rsidRPr="00361455" w:rsidRDefault="00E9139F" w:rsidP="002404D2">
      <w:pPr>
        <w:pStyle w:val="Paragraphe"/>
        <w:spacing w:line="280" w:lineRule="exact"/>
        <w:rPr>
          <w:lang w:val="en-CA"/>
        </w:rPr>
      </w:pPr>
      <w:r w:rsidRPr="00361455">
        <w:rPr>
          <w:lang w:val="en-CA"/>
        </w:rPr>
        <w:t>As will be</w:t>
      </w:r>
      <w:r w:rsidR="001C2896" w:rsidRPr="00361455">
        <w:rPr>
          <w:lang w:val="en-CA"/>
        </w:rPr>
        <w:t xml:space="preserve"> explained, the </w:t>
      </w:r>
      <w:r w:rsidR="000A3725" w:rsidRPr="00361455">
        <w:rPr>
          <w:lang w:val="en-CA"/>
        </w:rPr>
        <w:t xml:space="preserve">appellant </w:t>
      </w:r>
      <w:r w:rsidR="001C2896" w:rsidRPr="00361455">
        <w:rPr>
          <w:lang w:val="en-CA"/>
        </w:rPr>
        <w:t xml:space="preserve">was never able to assert this </w:t>
      </w:r>
      <w:r w:rsidR="00AC3B47">
        <w:rPr>
          <w:lang w:val="en-CA"/>
        </w:rPr>
        <w:t>version of the facts</w:t>
      </w:r>
      <w:r w:rsidR="001C2896" w:rsidRPr="00361455">
        <w:rPr>
          <w:lang w:val="en-CA"/>
        </w:rPr>
        <w:t xml:space="preserve"> with the full </w:t>
      </w:r>
      <w:r w:rsidR="000A3725" w:rsidRPr="00361455">
        <w:rPr>
          <w:lang w:val="en-CA"/>
        </w:rPr>
        <w:t>force</w:t>
      </w:r>
      <w:r w:rsidR="001C2896" w:rsidRPr="00361455">
        <w:rPr>
          <w:lang w:val="en-CA"/>
        </w:rPr>
        <w:t xml:space="preserve"> that the facts supported due to the ineffective a</w:t>
      </w:r>
      <w:r w:rsidR="000A3725" w:rsidRPr="00361455">
        <w:rPr>
          <w:lang w:val="en-CA"/>
        </w:rPr>
        <w:t xml:space="preserve">ssistance </w:t>
      </w:r>
      <w:r w:rsidR="001C2896" w:rsidRPr="00361455">
        <w:rPr>
          <w:lang w:val="en-CA"/>
        </w:rPr>
        <w:t xml:space="preserve">of his </w:t>
      </w:r>
      <w:r w:rsidR="000A3725" w:rsidRPr="00361455">
        <w:rPr>
          <w:lang w:val="en-CA"/>
        </w:rPr>
        <w:t>counsel.</w:t>
      </w:r>
    </w:p>
    <w:p w14:paraId="37858BB8" w14:textId="2EC1D881" w:rsidR="005C6B8A" w:rsidRPr="00361455" w:rsidRDefault="001C2896" w:rsidP="002404D2">
      <w:pPr>
        <w:pStyle w:val="JgtPositionniv1"/>
        <w:spacing w:line="280" w:lineRule="exact"/>
        <w:rPr>
          <w:lang w:val="en-CA"/>
        </w:rPr>
      </w:pPr>
      <w:r w:rsidRPr="00361455">
        <w:rPr>
          <w:lang w:val="en-CA"/>
        </w:rPr>
        <w:t xml:space="preserve">The </w:t>
      </w:r>
      <w:r w:rsidR="000A3725" w:rsidRPr="00361455">
        <w:rPr>
          <w:lang w:val="en-CA"/>
        </w:rPr>
        <w:t>appeal </w:t>
      </w:r>
    </w:p>
    <w:p w14:paraId="194DF49A" w14:textId="3E72035F" w:rsidR="005C6B8A" w:rsidRPr="00361455" w:rsidRDefault="00657B40" w:rsidP="002404D2">
      <w:pPr>
        <w:pStyle w:val="Paragraphe"/>
        <w:spacing w:line="280" w:lineRule="exact"/>
        <w:rPr>
          <w:lang w:val="en-CA"/>
        </w:rPr>
      </w:pPr>
      <w:r w:rsidRPr="00361455">
        <w:rPr>
          <w:lang w:val="en-CA"/>
        </w:rPr>
        <w:t xml:space="preserve">On </w:t>
      </w:r>
      <w:r w:rsidR="000A3725" w:rsidRPr="00361455">
        <w:rPr>
          <w:lang w:val="en-CA"/>
        </w:rPr>
        <w:t xml:space="preserve">appeal, </w:t>
      </w:r>
      <w:r w:rsidRPr="00361455">
        <w:rPr>
          <w:lang w:val="en-CA"/>
        </w:rPr>
        <w:t xml:space="preserve">the </w:t>
      </w:r>
      <w:r w:rsidR="000A3725" w:rsidRPr="00361455">
        <w:rPr>
          <w:lang w:val="en-CA"/>
        </w:rPr>
        <w:t>appellant</w:t>
      </w:r>
      <w:r w:rsidRPr="00361455">
        <w:rPr>
          <w:lang w:val="en-CA"/>
        </w:rPr>
        <w:t xml:space="preserve"> raised several grounds concerning the </w:t>
      </w:r>
      <w:r w:rsidR="000A3725" w:rsidRPr="00361455">
        <w:rPr>
          <w:lang w:val="en-CA"/>
        </w:rPr>
        <w:t>verdict</w:t>
      </w:r>
      <w:r w:rsidRPr="00361455">
        <w:rPr>
          <w:lang w:val="en-CA"/>
        </w:rPr>
        <w:t xml:space="preserve">. A motion for leave to appeal on one of those grounds was referred to </w:t>
      </w:r>
      <w:r w:rsidR="000A3725" w:rsidRPr="00361455">
        <w:rPr>
          <w:lang w:val="en-CA"/>
        </w:rPr>
        <w:t>the</w:t>
      </w:r>
      <w:r w:rsidRPr="00361455">
        <w:rPr>
          <w:lang w:val="en-CA"/>
        </w:rPr>
        <w:t xml:space="preserve"> </w:t>
      </w:r>
      <w:r w:rsidR="000A3725" w:rsidRPr="00361455">
        <w:rPr>
          <w:lang w:val="en-CA"/>
        </w:rPr>
        <w:t>Court.</w:t>
      </w:r>
      <w:r w:rsidRPr="00361455">
        <w:rPr>
          <w:lang w:val="en-CA"/>
        </w:rPr>
        <w:t xml:space="preserve"> He also sought leave to </w:t>
      </w:r>
      <w:r w:rsidR="000A3725" w:rsidRPr="00361455">
        <w:rPr>
          <w:lang w:val="en-CA"/>
        </w:rPr>
        <w:t>appeal</w:t>
      </w:r>
      <w:r w:rsidRPr="00361455">
        <w:rPr>
          <w:lang w:val="en-CA"/>
        </w:rPr>
        <w:t xml:space="preserve"> from the </w:t>
      </w:r>
      <w:r w:rsidR="000A3725" w:rsidRPr="00361455">
        <w:rPr>
          <w:lang w:val="en-CA"/>
        </w:rPr>
        <w:t xml:space="preserve">sentence. </w:t>
      </w:r>
    </w:p>
    <w:p w14:paraId="5EAD7ADB" w14:textId="66A6B95C" w:rsidR="005C6B8A" w:rsidRPr="00361455" w:rsidRDefault="00657B40" w:rsidP="002404D2">
      <w:pPr>
        <w:pStyle w:val="Paragraphe"/>
        <w:spacing w:line="280" w:lineRule="exact"/>
        <w:rPr>
          <w:lang w:val="en-CA"/>
        </w:rPr>
      </w:pPr>
      <w:r w:rsidRPr="00361455">
        <w:rPr>
          <w:lang w:val="en-CA"/>
        </w:rPr>
        <w:t>At the start of the hearing, he</w:t>
      </w:r>
      <w:r w:rsidR="00A83098" w:rsidRPr="00361455">
        <w:rPr>
          <w:lang w:val="en-CA"/>
        </w:rPr>
        <w:t xml:space="preserve"> waived all of his </w:t>
      </w:r>
      <w:r w:rsidR="000A3725" w:rsidRPr="00361455">
        <w:rPr>
          <w:lang w:val="en-CA"/>
        </w:rPr>
        <w:t>grounds</w:t>
      </w:r>
      <w:r w:rsidR="00A83098" w:rsidRPr="00361455">
        <w:rPr>
          <w:lang w:val="en-CA"/>
        </w:rPr>
        <w:t xml:space="preserve"> </w:t>
      </w:r>
      <w:r w:rsidR="000A3725" w:rsidRPr="00361455">
        <w:rPr>
          <w:lang w:val="en-CA"/>
        </w:rPr>
        <w:t>of</w:t>
      </w:r>
      <w:r w:rsidR="00A83098" w:rsidRPr="00361455">
        <w:rPr>
          <w:lang w:val="en-CA"/>
        </w:rPr>
        <w:t xml:space="preserve"> </w:t>
      </w:r>
      <w:r w:rsidR="000A3725" w:rsidRPr="00361455">
        <w:rPr>
          <w:lang w:val="en-CA"/>
        </w:rPr>
        <w:t>appeal,</w:t>
      </w:r>
      <w:r w:rsidR="00A83098" w:rsidRPr="00361455">
        <w:rPr>
          <w:lang w:val="en-CA"/>
        </w:rPr>
        <w:t xml:space="preserve"> except the grounds concerning the ineffective </w:t>
      </w:r>
      <w:r w:rsidR="000A3725" w:rsidRPr="00361455">
        <w:rPr>
          <w:lang w:val="en-CA"/>
        </w:rPr>
        <w:t xml:space="preserve">assistance </w:t>
      </w:r>
      <w:r w:rsidR="00A83098" w:rsidRPr="00361455">
        <w:rPr>
          <w:lang w:val="en-CA"/>
        </w:rPr>
        <w:t xml:space="preserve">of his </w:t>
      </w:r>
      <w:r w:rsidR="006D5D7B" w:rsidRPr="00361455">
        <w:rPr>
          <w:lang w:val="en-CA"/>
        </w:rPr>
        <w:t xml:space="preserve">trial </w:t>
      </w:r>
      <w:r w:rsidR="000A3725" w:rsidRPr="00361455">
        <w:rPr>
          <w:lang w:val="en-CA"/>
        </w:rPr>
        <w:t xml:space="preserve">counsel. </w:t>
      </w:r>
      <w:r w:rsidR="00A83098" w:rsidRPr="00361455">
        <w:rPr>
          <w:lang w:val="en-CA"/>
        </w:rPr>
        <w:t>F</w:t>
      </w:r>
      <w:r w:rsidR="000A3725" w:rsidRPr="00361455">
        <w:rPr>
          <w:lang w:val="en-CA"/>
        </w:rPr>
        <w:t>resh</w:t>
      </w:r>
      <w:r w:rsidR="00A83098" w:rsidRPr="00361455">
        <w:rPr>
          <w:lang w:val="en-CA"/>
        </w:rPr>
        <w:t xml:space="preserve"> </w:t>
      </w:r>
      <w:r w:rsidR="000A3725" w:rsidRPr="00361455">
        <w:rPr>
          <w:lang w:val="en-CA"/>
        </w:rPr>
        <w:t>evidence</w:t>
      </w:r>
      <w:r w:rsidR="00A83098" w:rsidRPr="00361455">
        <w:rPr>
          <w:lang w:val="en-CA"/>
        </w:rPr>
        <w:t xml:space="preserve"> was adduced and </w:t>
      </w:r>
      <w:r w:rsidR="00B115B9">
        <w:rPr>
          <w:lang w:val="en-CA"/>
        </w:rPr>
        <w:t>must</w:t>
      </w:r>
      <w:r w:rsidR="00B115B9" w:rsidRPr="00361455">
        <w:rPr>
          <w:lang w:val="en-CA"/>
        </w:rPr>
        <w:t xml:space="preserve"> </w:t>
      </w:r>
      <w:r w:rsidR="00A83098" w:rsidRPr="00361455">
        <w:rPr>
          <w:lang w:val="en-CA"/>
        </w:rPr>
        <w:t xml:space="preserve">be admitted into the record. The motion for authorization to raise grounds concerning the </w:t>
      </w:r>
      <w:r w:rsidR="000A3725" w:rsidRPr="00361455">
        <w:rPr>
          <w:lang w:val="en-CA"/>
        </w:rPr>
        <w:t xml:space="preserve">verdict </w:t>
      </w:r>
      <w:r w:rsidR="00A83098" w:rsidRPr="00361455">
        <w:rPr>
          <w:lang w:val="en-CA"/>
        </w:rPr>
        <w:t xml:space="preserve">has thus become </w:t>
      </w:r>
      <w:r w:rsidR="000A3725" w:rsidRPr="00361455">
        <w:rPr>
          <w:lang w:val="en-CA"/>
        </w:rPr>
        <w:t>moot.</w:t>
      </w:r>
    </w:p>
    <w:p w14:paraId="404F0544" w14:textId="5A352842" w:rsidR="005C6B8A" w:rsidRPr="00361455" w:rsidRDefault="007A258D" w:rsidP="002404D2">
      <w:pPr>
        <w:pStyle w:val="Paragraphe"/>
        <w:spacing w:line="280" w:lineRule="exact"/>
        <w:rPr>
          <w:lang w:val="en-CA"/>
        </w:rPr>
      </w:pPr>
      <w:r w:rsidRPr="00361455">
        <w:rPr>
          <w:lang w:val="en-CA"/>
        </w:rPr>
        <w:t xml:space="preserve">Because I am of the view that the </w:t>
      </w:r>
      <w:r w:rsidR="000A3725" w:rsidRPr="00361455">
        <w:rPr>
          <w:lang w:val="en-CA"/>
        </w:rPr>
        <w:t>appeal</w:t>
      </w:r>
      <w:r w:rsidRPr="00361455">
        <w:rPr>
          <w:lang w:val="en-CA"/>
        </w:rPr>
        <w:t xml:space="preserve"> from the </w:t>
      </w:r>
      <w:r w:rsidR="000A3725" w:rsidRPr="00361455">
        <w:rPr>
          <w:lang w:val="en-CA"/>
        </w:rPr>
        <w:t xml:space="preserve">verdict </w:t>
      </w:r>
      <w:r w:rsidRPr="00361455">
        <w:rPr>
          <w:lang w:val="en-CA"/>
        </w:rPr>
        <w:t xml:space="preserve">should be allowed, the </w:t>
      </w:r>
      <w:r w:rsidR="000A3725" w:rsidRPr="00361455">
        <w:rPr>
          <w:lang w:val="en-CA"/>
        </w:rPr>
        <w:t>motion</w:t>
      </w:r>
      <w:r w:rsidRPr="00361455">
        <w:rPr>
          <w:lang w:val="en-CA"/>
        </w:rPr>
        <w:t xml:space="preserve"> </w:t>
      </w:r>
      <w:r w:rsidR="000A3725" w:rsidRPr="00361455">
        <w:rPr>
          <w:lang w:val="en-CA"/>
        </w:rPr>
        <w:t>for</w:t>
      </w:r>
      <w:r w:rsidRPr="00361455">
        <w:rPr>
          <w:lang w:val="en-CA"/>
        </w:rPr>
        <w:t xml:space="preserve"> </w:t>
      </w:r>
      <w:r w:rsidR="000A3725" w:rsidRPr="00361455">
        <w:rPr>
          <w:lang w:val="en-CA"/>
        </w:rPr>
        <w:t>authorization</w:t>
      </w:r>
      <w:r w:rsidRPr="00361455">
        <w:rPr>
          <w:lang w:val="en-CA"/>
        </w:rPr>
        <w:t xml:space="preserve"> to appeal from the </w:t>
      </w:r>
      <w:r w:rsidR="000A3725" w:rsidRPr="00361455">
        <w:rPr>
          <w:lang w:val="en-CA"/>
        </w:rPr>
        <w:t>sentence</w:t>
      </w:r>
      <w:r w:rsidRPr="00361455">
        <w:rPr>
          <w:lang w:val="en-CA"/>
        </w:rPr>
        <w:t xml:space="preserve"> has also become moot</w:t>
      </w:r>
      <w:r w:rsidR="000A3725" w:rsidRPr="00361455">
        <w:rPr>
          <w:lang w:val="en-CA"/>
        </w:rPr>
        <w:t>.</w:t>
      </w:r>
    </w:p>
    <w:p w14:paraId="53F17065" w14:textId="77777777" w:rsidR="00B01A11" w:rsidRPr="00361455" w:rsidRDefault="000A3725">
      <w:pPr>
        <w:spacing w:line="240" w:lineRule="auto"/>
        <w:rPr>
          <w:rFonts w:eastAsiaTheme="minorHAnsi"/>
          <w:b/>
          <w:i/>
          <w:kern w:val="2"/>
          <w:lang w:val="en-CA"/>
          <w14:ligatures w14:val="standardContextual"/>
        </w:rPr>
      </w:pPr>
      <w:r w:rsidRPr="00361455">
        <w:rPr>
          <w:lang w:val="en-CA"/>
        </w:rPr>
        <w:br w:type="page"/>
      </w:r>
    </w:p>
    <w:p w14:paraId="3289D626" w14:textId="360B106E" w:rsidR="005C6B8A" w:rsidRPr="00361455" w:rsidRDefault="007A258D" w:rsidP="002404D2">
      <w:pPr>
        <w:pStyle w:val="JgtPositionniv1"/>
        <w:spacing w:line="280" w:lineRule="exact"/>
        <w:rPr>
          <w:lang w:val="en-CA"/>
        </w:rPr>
      </w:pPr>
      <w:r w:rsidRPr="00361455">
        <w:rPr>
          <w:lang w:val="en-CA"/>
        </w:rPr>
        <w:lastRenderedPageBreak/>
        <w:t xml:space="preserve">Ineffective </w:t>
      </w:r>
      <w:r w:rsidR="000A3725" w:rsidRPr="00361455">
        <w:rPr>
          <w:lang w:val="en-CA"/>
        </w:rPr>
        <w:t xml:space="preserve">assistance </w:t>
      </w:r>
      <w:r w:rsidR="00997AA9" w:rsidRPr="00361455">
        <w:rPr>
          <w:lang w:val="en-CA"/>
        </w:rPr>
        <w:t xml:space="preserve">of </w:t>
      </w:r>
      <w:r w:rsidR="000A3725" w:rsidRPr="00361455">
        <w:rPr>
          <w:lang w:val="en-CA"/>
        </w:rPr>
        <w:t>counsel</w:t>
      </w:r>
    </w:p>
    <w:p w14:paraId="6CE93E7A" w14:textId="675066F1" w:rsidR="005C6B8A" w:rsidRPr="00361455" w:rsidRDefault="00187466" w:rsidP="002404D2">
      <w:pPr>
        <w:pStyle w:val="Paragraphe"/>
        <w:spacing w:line="280" w:lineRule="exact"/>
        <w:rPr>
          <w:lang w:val="en-CA"/>
        </w:rPr>
      </w:pPr>
      <w:r w:rsidRPr="00361455">
        <w:rPr>
          <w:lang w:val="en-CA"/>
        </w:rPr>
        <w:t xml:space="preserve">The </w:t>
      </w:r>
      <w:r w:rsidR="000A3725" w:rsidRPr="00361455">
        <w:rPr>
          <w:lang w:val="en-CA"/>
        </w:rPr>
        <w:t>analys</w:t>
      </w:r>
      <w:r w:rsidRPr="00361455">
        <w:rPr>
          <w:lang w:val="en-CA"/>
        </w:rPr>
        <w:t xml:space="preserve">is of this </w:t>
      </w:r>
      <w:r w:rsidR="000A3725" w:rsidRPr="00361455">
        <w:rPr>
          <w:lang w:val="en-CA"/>
        </w:rPr>
        <w:t>ground</w:t>
      </w:r>
      <w:r w:rsidRPr="00361455">
        <w:rPr>
          <w:lang w:val="en-CA"/>
        </w:rPr>
        <w:t xml:space="preserve"> </w:t>
      </w:r>
      <w:r w:rsidR="000A3725" w:rsidRPr="00361455">
        <w:rPr>
          <w:lang w:val="en-CA"/>
        </w:rPr>
        <w:t>of</w:t>
      </w:r>
      <w:r w:rsidRPr="00361455">
        <w:rPr>
          <w:lang w:val="en-CA"/>
        </w:rPr>
        <w:t xml:space="preserve"> </w:t>
      </w:r>
      <w:r w:rsidR="000A3725" w:rsidRPr="00361455">
        <w:rPr>
          <w:lang w:val="en-CA"/>
        </w:rPr>
        <w:t>appeal</w:t>
      </w:r>
      <w:r w:rsidRPr="00361455">
        <w:rPr>
          <w:lang w:val="en-CA"/>
        </w:rPr>
        <w:t xml:space="preserve"> is highly </w:t>
      </w:r>
      <w:r w:rsidR="000A3725" w:rsidRPr="00361455">
        <w:rPr>
          <w:lang w:val="en-CA"/>
        </w:rPr>
        <w:t>contextu</w:t>
      </w:r>
      <w:r w:rsidRPr="00361455">
        <w:rPr>
          <w:lang w:val="en-CA"/>
        </w:rPr>
        <w:t>a</w:t>
      </w:r>
      <w:r w:rsidR="000A3725" w:rsidRPr="00361455">
        <w:rPr>
          <w:lang w:val="en-CA"/>
        </w:rPr>
        <w:t xml:space="preserve">l. </w:t>
      </w:r>
      <w:r w:rsidRPr="00361455">
        <w:rPr>
          <w:lang w:val="en-CA"/>
        </w:rPr>
        <w:t xml:space="preserve">While the legal </w:t>
      </w:r>
      <w:r w:rsidR="000A3725" w:rsidRPr="00361455">
        <w:rPr>
          <w:lang w:val="en-CA"/>
        </w:rPr>
        <w:t>principles</w:t>
      </w:r>
      <w:r w:rsidRPr="00361455">
        <w:rPr>
          <w:lang w:val="en-CA"/>
        </w:rPr>
        <w:t xml:space="preserve"> that must </w:t>
      </w:r>
      <w:r w:rsidR="000A3725" w:rsidRPr="00361455">
        <w:rPr>
          <w:lang w:val="en-CA"/>
        </w:rPr>
        <w:t>guide</w:t>
      </w:r>
      <w:r w:rsidRPr="00361455">
        <w:rPr>
          <w:lang w:val="en-CA"/>
        </w:rPr>
        <w:t xml:space="preserve"> the </w:t>
      </w:r>
      <w:r w:rsidR="000A3725" w:rsidRPr="00361455">
        <w:rPr>
          <w:lang w:val="en-CA"/>
        </w:rPr>
        <w:t>analys</w:t>
      </w:r>
      <w:r w:rsidRPr="00361455">
        <w:rPr>
          <w:lang w:val="en-CA"/>
        </w:rPr>
        <w:t xml:space="preserve">is of </w:t>
      </w:r>
      <w:r w:rsidR="00130366">
        <w:rPr>
          <w:lang w:val="en-CA"/>
        </w:rPr>
        <w:t>in</w:t>
      </w:r>
      <w:r w:rsidRPr="00361455">
        <w:rPr>
          <w:lang w:val="en-CA"/>
        </w:rPr>
        <w:t xml:space="preserve">effective </w:t>
      </w:r>
      <w:r w:rsidR="000A3725" w:rsidRPr="00361455">
        <w:rPr>
          <w:lang w:val="en-CA"/>
        </w:rPr>
        <w:t xml:space="preserve">assistance </w:t>
      </w:r>
      <w:r w:rsidRPr="00361455">
        <w:rPr>
          <w:lang w:val="en-CA"/>
        </w:rPr>
        <w:t xml:space="preserve">are well established, their </w:t>
      </w:r>
      <w:r w:rsidR="000A3725" w:rsidRPr="00361455">
        <w:rPr>
          <w:lang w:val="en-CA"/>
        </w:rPr>
        <w:t xml:space="preserve">application </w:t>
      </w:r>
      <w:r w:rsidRPr="00361455">
        <w:rPr>
          <w:lang w:val="en-CA"/>
        </w:rPr>
        <w:t>must necessarily take the context into account. A</w:t>
      </w:r>
      <w:r w:rsidR="00774521" w:rsidRPr="00361455">
        <w:rPr>
          <w:lang w:val="en-CA"/>
        </w:rPr>
        <w:t xml:space="preserve"> [</w:t>
      </w:r>
      <w:r w:rsidR="00774521" w:rsidRPr="00361455">
        <w:rPr>
          <w:smallCaps/>
          <w:lang w:val="en-CA"/>
        </w:rPr>
        <w:t>translation</w:t>
      </w:r>
      <w:r w:rsidR="00E94113" w:rsidRPr="00361455">
        <w:rPr>
          <w:lang w:val="en-CA"/>
        </w:rPr>
        <w:t>]</w:t>
      </w:r>
      <w:r w:rsidR="00774521" w:rsidRPr="00361455">
        <w:rPr>
          <w:lang w:val="en-CA"/>
        </w:rPr>
        <w:t xml:space="preserve"> </w:t>
      </w:r>
      <w:r w:rsidRPr="00361455">
        <w:rPr>
          <w:lang w:val="en-CA"/>
        </w:rPr>
        <w:t xml:space="preserve">“criticism” set aside in a previous case may be </w:t>
      </w:r>
      <w:r w:rsidR="000A3725" w:rsidRPr="00361455">
        <w:rPr>
          <w:lang w:val="en-CA"/>
        </w:rPr>
        <w:t xml:space="preserve">fatal </w:t>
      </w:r>
      <w:r w:rsidRPr="00361455">
        <w:rPr>
          <w:lang w:val="en-CA"/>
        </w:rPr>
        <w:t xml:space="preserve">in another. In this respect, the use of </w:t>
      </w:r>
      <w:r w:rsidR="000A3725" w:rsidRPr="00361455">
        <w:rPr>
          <w:lang w:val="en-CA"/>
        </w:rPr>
        <w:t>case</w:t>
      </w:r>
      <w:r w:rsidRPr="00361455">
        <w:rPr>
          <w:lang w:val="en-CA"/>
        </w:rPr>
        <w:t xml:space="preserve"> </w:t>
      </w:r>
      <w:r w:rsidR="000A3725" w:rsidRPr="00361455">
        <w:rPr>
          <w:lang w:val="en-CA"/>
        </w:rPr>
        <w:t>law</w:t>
      </w:r>
      <w:r w:rsidRPr="00361455">
        <w:rPr>
          <w:lang w:val="en-CA"/>
        </w:rPr>
        <w:t xml:space="preserve"> in the </w:t>
      </w:r>
      <w:r w:rsidR="000A3725" w:rsidRPr="00361455">
        <w:rPr>
          <w:lang w:val="en-CA"/>
        </w:rPr>
        <w:t xml:space="preserve">application </w:t>
      </w:r>
      <w:r w:rsidRPr="00361455">
        <w:rPr>
          <w:lang w:val="en-CA"/>
        </w:rPr>
        <w:t xml:space="preserve">of these </w:t>
      </w:r>
      <w:r w:rsidR="000A3725" w:rsidRPr="00361455">
        <w:rPr>
          <w:lang w:val="en-CA"/>
        </w:rPr>
        <w:t>principles</w:t>
      </w:r>
      <w:r w:rsidR="00F0477A" w:rsidRPr="00361455">
        <w:rPr>
          <w:lang w:val="en-CA"/>
        </w:rPr>
        <w:t xml:space="preserve"> must be nuanced and cautious</w:t>
      </w:r>
      <w:r w:rsidR="000A3725" w:rsidRPr="00361455">
        <w:rPr>
          <w:lang w:val="en-CA"/>
        </w:rPr>
        <w:t>.</w:t>
      </w:r>
    </w:p>
    <w:p w14:paraId="4B0EC3E2" w14:textId="7C1A3A16" w:rsidR="005C6B8A" w:rsidRPr="00361455" w:rsidRDefault="008F7807" w:rsidP="002404D2">
      <w:pPr>
        <w:pStyle w:val="JgtPositionniv2"/>
        <w:spacing w:line="280" w:lineRule="exact"/>
        <w:rPr>
          <w:lang w:val="en-CA"/>
        </w:rPr>
      </w:pPr>
      <w:r w:rsidRPr="00361455">
        <w:rPr>
          <w:lang w:val="en-CA"/>
        </w:rPr>
        <w:t>Background</w:t>
      </w:r>
    </w:p>
    <w:p w14:paraId="107D8ECB" w14:textId="010EBB88" w:rsidR="005C6B8A" w:rsidRPr="00361455" w:rsidRDefault="00130366" w:rsidP="002404D2">
      <w:pPr>
        <w:pStyle w:val="Paragraphe"/>
        <w:spacing w:line="280" w:lineRule="exact"/>
        <w:rPr>
          <w:lang w:val="en-CA"/>
        </w:rPr>
      </w:pPr>
      <w:r>
        <w:rPr>
          <w:lang w:val="en-CA"/>
        </w:rPr>
        <w:t>T</w:t>
      </w:r>
      <w:r w:rsidR="00F0477A" w:rsidRPr="00361455">
        <w:rPr>
          <w:lang w:val="en-CA"/>
        </w:rPr>
        <w:t xml:space="preserve">he </w:t>
      </w:r>
      <w:r w:rsidR="000A3725" w:rsidRPr="00361455">
        <w:rPr>
          <w:lang w:val="en-CA"/>
        </w:rPr>
        <w:t>appellant</w:t>
      </w:r>
      <w:r w:rsidR="00F0477A" w:rsidRPr="00361455">
        <w:rPr>
          <w:lang w:val="en-CA"/>
        </w:rPr>
        <w:t xml:space="preserve"> </w:t>
      </w:r>
      <w:r>
        <w:rPr>
          <w:lang w:val="en-CA"/>
        </w:rPr>
        <w:t>i</w:t>
      </w:r>
      <w:r w:rsidRPr="00361455">
        <w:rPr>
          <w:lang w:val="en-CA"/>
        </w:rPr>
        <w:t xml:space="preserve">n this case </w:t>
      </w:r>
      <w:r w:rsidR="00F0477A" w:rsidRPr="00361455">
        <w:rPr>
          <w:lang w:val="en-CA"/>
        </w:rPr>
        <w:t xml:space="preserve">is a young adult without a </w:t>
      </w:r>
      <w:r w:rsidR="000A3725" w:rsidRPr="00361455">
        <w:rPr>
          <w:lang w:val="en-CA"/>
        </w:rPr>
        <w:t>criminal</w:t>
      </w:r>
      <w:r w:rsidR="00F0477A" w:rsidRPr="00361455">
        <w:rPr>
          <w:lang w:val="en-CA"/>
        </w:rPr>
        <w:t xml:space="preserve"> </w:t>
      </w:r>
      <w:r w:rsidR="000A3725" w:rsidRPr="00361455">
        <w:rPr>
          <w:lang w:val="en-CA"/>
        </w:rPr>
        <w:t>record.</w:t>
      </w:r>
      <w:r w:rsidR="00F0477A" w:rsidRPr="00361455">
        <w:rPr>
          <w:lang w:val="en-CA"/>
        </w:rPr>
        <w:t xml:space="preserve"> He is not a sophisticated </w:t>
      </w:r>
      <w:r w:rsidR="000A3725" w:rsidRPr="00361455">
        <w:rPr>
          <w:lang w:val="en-CA"/>
        </w:rPr>
        <w:t>individu</w:t>
      </w:r>
      <w:r w:rsidR="00F0477A" w:rsidRPr="00361455">
        <w:rPr>
          <w:lang w:val="en-CA"/>
        </w:rPr>
        <w:t xml:space="preserve">al and has little if any previous experience in </w:t>
      </w:r>
      <w:r w:rsidR="000A3725" w:rsidRPr="00361455">
        <w:rPr>
          <w:lang w:val="en-CA"/>
        </w:rPr>
        <w:t>court.</w:t>
      </w:r>
      <w:r w:rsidR="00F0477A" w:rsidRPr="00361455">
        <w:rPr>
          <w:lang w:val="en-CA"/>
        </w:rPr>
        <w:t xml:space="preserve"> He is accused of a serious </w:t>
      </w:r>
      <w:r w:rsidR="000A3725" w:rsidRPr="00361455">
        <w:rPr>
          <w:lang w:val="en-CA"/>
        </w:rPr>
        <w:t xml:space="preserve">crime. </w:t>
      </w:r>
      <w:r w:rsidR="008F7807" w:rsidRPr="00361455">
        <w:rPr>
          <w:lang w:val="en-CA"/>
        </w:rPr>
        <w:t>He admitted to having sexual intercourse with the complainant.</w:t>
      </w:r>
      <w:r w:rsidR="000A3725" w:rsidRPr="00361455">
        <w:rPr>
          <w:lang w:val="en-CA"/>
        </w:rPr>
        <w:t xml:space="preserve"> </w:t>
      </w:r>
      <w:r w:rsidR="00F0477A" w:rsidRPr="00361455">
        <w:rPr>
          <w:lang w:val="en-CA"/>
        </w:rPr>
        <w:t>V</w:t>
      </w:r>
      <w:r w:rsidR="000A3725" w:rsidRPr="00361455">
        <w:rPr>
          <w:lang w:val="en-CA"/>
        </w:rPr>
        <w:t>agina</w:t>
      </w:r>
      <w:r w:rsidR="00F0477A" w:rsidRPr="00361455">
        <w:rPr>
          <w:lang w:val="en-CA"/>
        </w:rPr>
        <w:t>l samples revealed his DNA</w:t>
      </w:r>
      <w:r w:rsidR="000A3725" w:rsidRPr="00361455">
        <w:rPr>
          <w:lang w:val="en-CA"/>
        </w:rPr>
        <w:t xml:space="preserve">. </w:t>
      </w:r>
      <w:r w:rsidR="00F0477A" w:rsidRPr="00361455">
        <w:rPr>
          <w:lang w:val="en-CA"/>
        </w:rPr>
        <w:t>Consent to the sexual activity was the central issue in dispute</w:t>
      </w:r>
      <w:r w:rsidR="000A3725" w:rsidRPr="00361455">
        <w:rPr>
          <w:lang w:val="en-CA"/>
        </w:rPr>
        <w:t xml:space="preserve">. </w:t>
      </w:r>
    </w:p>
    <w:p w14:paraId="3BDBC57B" w14:textId="7C341B17" w:rsidR="005C6B8A" w:rsidRPr="00361455" w:rsidRDefault="009631F7" w:rsidP="002404D2">
      <w:pPr>
        <w:pStyle w:val="Paragraphe"/>
        <w:spacing w:line="280" w:lineRule="exact"/>
        <w:rPr>
          <w:lang w:val="en-CA"/>
        </w:rPr>
      </w:pPr>
      <w:r w:rsidRPr="00361455">
        <w:rPr>
          <w:lang w:val="en-CA"/>
        </w:rPr>
        <w:t xml:space="preserve">Accordingly, at trial, the defence was ultimately based on the </w:t>
      </w:r>
      <w:r w:rsidR="000A3725" w:rsidRPr="00361455">
        <w:rPr>
          <w:lang w:val="en-CA"/>
        </w:rPr>
        <w:t>credibility</w:t>
      </w:r>
      <w:r w:rsidRPr="00361455">
        <w:rPr>
          <w:lang w:val="en-CA"/>
        </w:rPr>
        <w:t xml:space="preserve"> and reliability of the various </w:t>
      </w:r>
      <w:r w:rsidR="000A3725" w:rsidRPr="00361455">
        <w:rPr>
          <w:lang w:val="en-CA"/>
        </w:rPr>
        <w:t>testimon</w:t>
      </w:r>
      <w:r w:rsidRPr="00361455">
        <w:rPr>
          <w:lang w:val="en-CA"/>
        </w:rPr>
        <w:t>y</w:t>
      </w:r>
      <w:r w:rsidR="000A3725" w:rsidRPr="00361455">
        <w:rPr>
          <w:lang w:val="en-CA"/>
        </w:rPr>
        <w:t xml:space="preserve">. </w:t>
      </w:r>
      <w:r w:rsidRPr="00361455">
        <w:rPr>
          <w:lang w:val="en-CA"/>
        </w:rPr>
        <w:t xml:space="preserve">The complainant’s </w:t>
      </w:r>
      <w:r w:rsidR="000A3725" w:rsidRPr="00361455">
        <w:rPr>
          <w:lang w:val="en-CA"/>
        </w:rPr>
        <w:t>testimony</w:t>
      </w:r>
      <w:r w:rsidRPr="00361455">
        <w:rPr>
          <w:lang w:val="en-CA"/>
        </w:rPr>
        <w:t xml:space="preserve"> needed to be tested by a rele</w:t>
      </w:r>
      <w:r w:rsidR="0007308B" w:rsidRPr="00361455">
        <w:rPr>
          <w:lang w:val="en-CA"/>
        </w:rPr>
        <w:t>v</w:t>
      </w:r>
      <w:r w:rsidRPr="00361455">
        <w:rPr>
          <w:lang w:val="en-CA"/>
        </w:rPr>
        <w:t>ant and rigorous c</w:t>
      </w:r>
      <w:r w:rsidR="000A3725" w:rsidRPr="00361455">
        <w:rPr>
          <w:lang w:val="en-CA"/>
        </w:rPr>
        <w:t>ross-examination.</w:t>
      </w:r>
      <w:r w:rsidRPr="00361455">
        <w:rPr>
          <w:lang w:val="en-CA"/>
        </w:rPr>
        <w:t xml:space="preserve"> In addition, it seemed highly probable that the </w:t>
      </w:r>
      <w:r w:rsidR="000A3725" w:rsidRPr="00361455">
        <w:rPr>
          <w:lang w:val="en-CA"/>
        </w:rPr>
        <w:t>appellant</w:t>
      </w:r>
      <w:r w:rsidRPr="00361455">
        <w:rPr>
          <w:lang w:val="en-CA"/>
        </w:rPr>
        <w:t xml:space="preserve"> would have to testify in his defence. His c</w:t>
      </w:r>
      <w:r w:rsidR="000A3725" w:rsidRPr="00361455">
        <w:rPr>
          <w:lang w:val="en-CA"/>
        </w:rPr>
        <w:t>ross-examination</w:t>
      </w:r>
      <w:r w:rsidR="0007308B" w:rsidRPr="00361455">
        <w:rPr>
          <w:lang w:val="en-CA"/>
        </w:rPr>
        <w:t xml:space="preserve"> was therefore likely to be just as</w:t>
      </w:r>
      <w:r w:rsidR="000A3725" w:rsidRPr="00361455">
        <w:rPr>
          <w:lang w:val="en-CA"/>
        </w:rPr>
        <w:t xml:space="preserve"> relevant </w:t>
      </w:r>
      <w:r w:rsidR="0007308B" w:rsidRPr="00361455">
        <w:rPr>
          <w:lang w:val="en-CA"/>
        </w:rPr>
        <w:t xml:space="preserve">and rigorous, and he needed to be prepared to </w:t>
      </w:r>
      <w:r w:rsidR="006D2ADA">
        <w:rPr>
          <w:lang w:val="en-CA"/>
        </w:rPr>
        <w:t>face</w:t>
      </w:r>
      <w:r w:rsidR="0007308B" w:rsidRPr="00361455">
        <w:rPr>
          <w:lang w:val="en-CA"/>
        </w:rPr>
        <w:t xml:space="preserve"> it</w:t>
      </w:r>
      <w:r w:rsidR="000A3725" w:rsidRPr="00361455">
        <w:rPr>
          <w:lang w:val="en-CA"/>
        </w:rPr>
        <w:t>.</w:t>
      </w:r>
    </w:p>
    <w:p w14:paraId="7933E150" w14:textId="13FD2ECF" w:rsidR="005C6B8A" w:rsidRPr="00361455" w:rsidRDefault="0007308B" w:rsidP="002404D2">
      <w:pPr>
        <w:pStyle w:val="Paragraphe"/>
        <w:spacing w:line="280" w:lineRule="exact"/>
        <w:rPr>
          <w:lang w:val="en-CA"/>
        </w:rPr>
      </w:pPr>
      <w:r w:rsidRPr="00361455">
        <w:rPr>
          <w:lang w:val="en-CA"/>
        </w:rPr>
        <w:t>While prep</w:t>
      </w:r>
      <w:r w:rsidR="000A3725" w:rsidRPr="00361455">
        <w:rPr>
          <w:lang w:val="en-CA"/>
        </w:rPr>
        <w:t xml:space="preserve">aration </w:t>
      </w:r>
      <w:r w:rsidRPr="00361455">
        <w:rPr>
          <w:lang w:val="en-CA"/>
        </w:rPr>
        <w:t xml:space="preserve">is always essential, it was all the more so because the case involved having to </w:t>
      </w:r>
      <w:r w:rsidR="000A3725" w:rsidRPr="00361455">
        <w:rPr>
          <w:lang w:val="en-CA"/>
        </w:rPr>
        <w:t>co</w:t>
      </w:r>
      <w:r w:rsidR="004F54C9" w:rsidRPr="00361455">
        <w:rPr>
          <w:lang w:val="en-CA"/>
        </w:rPr>
        <w:t>u</w:t>
      </w:r>
      <w:r w:rsidR="000A3725" w:rsidRPr="00361455">
        <w:rPr>
          <w:lang w:val="en-CA"/>
        </w:rPr>
        <w:t>nter extr</w:t>
      </w:r>
      <w:r w:rsidR="004F54C9" w:rsidRPr="00361455">
        <w:rPr>
          <w:lang w:val="en-CA"/>
        </w:rPr>
        <w:t>e</w:t>
      </w:r>
      <w:r w:rsidR="000A3725" w:rsidRPr="00361455">
        <w:rPr>
          <w:lang w:val="en-CA"/>
        </w:rPr>
        <w:t>me</w:t>
      </w:r>
      <w:r w:rsidR="004F54C9" w:rsidRPr="00361455">
        <w:rPr>
          <w:lang w:val="en-CA"/>
        </w:rPr>
        <w:t xml:space="preserve">ly </w:t>
      </w:r>
      <w:r w:rsidR="000A3725" w:rsidRPr="00361455">
        <w:rPr>
          <w:lang w:val="en-CA"/>
        </w:rPr>
        <w:t>pr</w:t>
      </w:r>
      <w:r w:rsidR="004F54C9" w:rsidRPr="00361455">
        <w:rPr>
          <w:lang w:val="en-CA"/>
        </w:rPr>
        <w:t>e</w:t>
      </w:r>
      <w:r w:rsidR="000A3725" w:rsidRPr="00361455">
        <w:rPr>
          <w:lang w:val="en-CA"/>
        </w:rPr>
        <w:t>judicial</w:t>
      </w:r>
      <w:r w:rsidR="004F54C9" w:rsidRPr="00361455">
        <w:rPr>
          <w:lang w:val="en-CA"/>
        </w:rPr>
        <w:t xml:space="preserve"> evidence</w:t>
      </w:r>
      <w:r w:rsidR="000A3725" w:rsidRPr="00361455">
        <w:rPr>
          <w:lang w:val="en-CA"/>
        </w:rPr>
        <w:t xml:space="preserve">, </w:t>
      </w:r>
      <w:r w:rsidR="004F54C9" w:rsidRPr="00361455">
        <w:rPr>
          <w:lang w:val="en-CA"/>
        </w:rPr>
        <w:t xml:space="preserve">that is, </w:t>
      </w:r>
      <w:r w:rsidR="00016BD2">
        <w:rPr>
          <w:lang w:val="en-CA"/>
        </w:rPr>
        <w:t>the appellant’s</w:t>
      </w:r>
      <w:r w:rsidR="004F54C9" w:rsidRPr="00361455">
        <w:rPr>
          <w:lang w:val="en-CA"/>
        </w:rPr>
        <w:t xml:space="preserve"> departure from </w:t>
      </w:r>
      <w:r w:rsidR="000A3725" w:rsidRPr="00361455">
        <w:rPr>
          <w:lang w:val="en-CA"/>
        </w:rPr>
        <w:t xml:space="preserve">Maniwaki </w:t>
      </w:r>
      <w:r w:rsidR="004F54C9" w:rsidRPr="00361455">
        <w:rPr>
          <w:lang w:val="en-CA"/>
        </w:rPr>
        <w:t xml:space="preserve">in the </w:t>
      </w:r>
      <w:r w:rsidR="000A3725" w:rsidRPr="00361455">
        <w:rPr>
          <w:lang w:val="en-CA"/>
        </w:rPr>
        <w:t>h</w:t>
      </w:r>
      <w:r w:rsidR="004F54C9" w:rsidRPr="00361455">
        <w:rPr>
          <w:lang w:val="en-CA"/>
        </w:rPr>
        <w:t>o</w:t>
      </w:r>
      <w:r w:rsidR="000A3725" w:rsidRPr="00361455">
        <w:rPr>
          <w:lang w:val="en-CA"/>
        </w:rPr>
        <w:t>urs</w:t>
      </w:r>
      <w:r w:rsidR="004F54C9" w:rsidRPr="00361455">
        <w:rPr>
          <w:lang w:val="en-CA"/>
        </w:rPr>
        <w:t xml:space="preserve"> following the incident</w:t>
      </w:r>
      <w:r w:rsidR="000A3725" w:rsidRPr="00361455">
        <w:rPr>
          <w:lang w:val="en-CA"/>
        </w:rPr>
        <w:t xml:space="preserve">. </w:t>
      </w:r>
      <w:r w:rsidR="004F54C9" w:rsidRPr="00361455">
        <w:rPr>
          <w:lang w:val="en-CA"/>
        </w:rPr>
        <w:t>This post-offence conduct, in the absence of a solid</w:t>
      </w:r>
      <w:r w:rsidR="00E94113" w:rsidRPr="00361455">
        <w:rPr>
          <w:lang w:val="en-CA"/>
        </w:rPr>
        <w:t xml:space="preserve"> [</w:t>
      </w:r>
      <w:r w:rsidR="00E94113" w:rsidRPr="00361455">
        <w:rPr>
          <w:smallCaps/>
          <w:lang w:val="en-CA"/>
        </w:rPr>
        <w:t>translation</w:t>
      </w:r>
      <w:r w:rsidR="00E94113" w:rsidRPr="00361455">
        <w:rPr>
          <w:lang w:val="en-CA"/>
        </w:rPr>
        <w:t>]</w:t>
      </w:r>
      <w:r w:rsidR="004F54C9" w:rsidRPr="00361455">
        <w:rPr>
          <w:lang w:val="en-CA"/>
        </w:rPr>
        <w:t xml:space="preserve"> “</w:t>
      </w:r>
      <w:r w:rsidR="000A3725" w:rsidRPr="00361455">
        <w:rPr>
          <w:lang w:val="en-CA"/>
        </w:rPr>
        <w:t>innocent</w:t>
      </w:r>
      <w:r w:rsidR="004F54C9" w:rsidRPr="00361455">
        <w:rPr>
          <w:lang w:val="en-CA"/>
        </w:rPr>
        <w:t xml:space="preserve">” explanation, </w:t>
      </w:r>
      <w:r w:rsidR="00E6580D" w:rsidRPr="00361455">
        <w:rPr>
          <w:lang w:val="en-CA"/>
        </w:rPr>
        <w:t xml:space="preserve">undoubtedly </w:t>
      </w:r>
      <w:r w:rsidR="000A3725" w:rsidRPr="00361455">
        <w:rPr>
          <w:lang w:val="en-CA"/>
        </w:rPr>
        <w:t>affect</w:t>
      </w:r>
      <w:r w:rsidR="00E6580D" w:rsidRPr="00361455">
        <w:rPr>
          <w:lang w:val="en-CA"/>
        </w:rPr>
        <w:t xml:space="preserve">ed the </w:t>
      </w:r>
      <w:r w:rsidR="000A3725" w:rsidRPr="00361455">
        <w:rPr>
          <w:lang w:val="en-CA"/>
        </w:rPr>
        <w:t xml:space="preserve">impression </w:t>
      </w:r>
      <w:r w:rsidR="00E6580D" w:rsidRPr="00361455">
        <w:rPr>
          <w:lang w:val="en-CA"/>
        </w:rPr>
        <w:t xml:space="preserve">one might have of the appellant’s </w:t>
      </w:r>
      <w:r w:rsidR="000A3725" w:rsidRPr="00361455">
        <w:rPr>
          <w:lang w:val="en-CA"/>
        </w:rPr>
        <w:t>state</w:t>
      </w:r>
      <w:r w:rsidR="00E6580D" w:rsidRPr="00361455">
        <w:rPr>
          <w:lang w:val="en-CA"/>
        </w:rPr>
        <w:t xml:space="preserve"> </w:t>
      </w:r>
      <w:r w:rsidR="000A3725" w:rsidRPr="00361455">
        <w:rPr>
          <w:lang w:val="en-CA"/>
        </w:rPr>
        <w:t>of</w:t>
      </w:r>
      <w:r w:rsidR="00E6580D" w:rsidRPr="00361455">
        <w:rPr>
          <w:lang w:val="en-CA"/>
        </w:rPr>
        <w:t xml:space="preserve"> </w:t>
      </w:r>
      <w:r w:rsidR="000A3725" w:rsidRPr="00361455">
        <w:rPr>
          <w:lang w:val="en-CA"/>
        </w:rPr>
        <w:t xml:space="preserve">mind. </w:t>
      </w:r>
      <w:r w:rsidR="00E6580D" w:rsidRPr="00361455">
        <w:rPr>
          <w:lang w:val="en-CA"/>
        </w:rPr>
        <w:t>The risk of infer</w:t>
      </w:r>
      <w:r w:rsidR="00A96AC0" w:rsidRPr="00361455">
        <w:rPr>
          <w:lang w:val="en-CA"/>
        </w:rPr>
        <w:t>r</w:t>
      </w:r>
      <w:r w:rsidR="00E6580D" w:rsidRPr="00361455">
        <w:rPr>
          <w:lang w:val="en-CA"/>
        </w:rPr>
        <w:t xml:space="preserve">ing that </w:t>
      </w:r>
      <w:r w:rsidR="00A96AC0" w:rsidRPr="00361455">
        <w:rPr>
          <w:lang w:val="en-CA"/>
        </w:rPr>
        <w:t>t</w:t>
      </w:r>
      <w:r w:rsidR="00E6580D" w:rsidRPr="00361455">
        <w:rPr>
          <w:lang w:val="en-CA"/>
        </w:rPr>
        <w:t>his departure, which resembled fleeing, would be int</w:t>
      </w:r>
      <w:r w:rsidR="00A96AC0" w:rsidRPr="00361455">
        <w:rPr>
          <w:lang w:val="en-CA"/>
        </w:rPr>
        <w:t xml:space="preserve">erpreted as an attempt to escape the </w:t>
      </w:r>
      <w:r w:rsidR="000A3725" w:rsidRPr="00361455">
        <w:rPr>
          <w:lang w:val="en-CA"/>
        </w:rPr>
        <w:t>cons</w:t>
      </w:r>
      <w:r w:rsidR="00A96AC0" w:rsidRPr="00361455">
        <w:rPr>
          <w:lang w:val="en-CA"/>
        </w:rPr>
        <w:t>e</w:t>
      </w:r>
      <w:r w:rsidR="000A3725" w:rsidRPr="00361455">
        <w:rPr>
          <w:lang w:val="en-CA"/>
        </w:rPr>
        <w:t xml:space="preserve">quences </w:t>
      </w:r>
      <w:r w:rsidR="00A96AC0" w:rsidRPr="00361455">
        <w:rPr>
          <w:lang w:val="en-CA"/>
        </w:rPr>
        <w:t>of his wrongdoing, was real</w:t>
      </w:r>
      <w:r w:rsidR="000A3725" w:rsidRPr="00361455">
        <w:rPr>
          <w:lang w:val="en-CA"/>
        </w:rPr>
        <w:t xml:space="preserve">. </w:t>
      </w:r>
    </w:p>
    <w:p w14:paraId="5657ADE7" w14:textId="20A25AD3" w:rsidR="005C6B8A" w:rsidRPr="00361455" w:rsidRDefault="00A96AC0" w:rsidP="002404D2">
      <w:pPr>
        <w:pStyle w:val="Paragraphe"/>
        <w:spacing w:line="280" w:lineRule="exact"/>
        <w:rPr>
          <w:lang w:val="en-CA"/>
        </w:rPr>
      </w:pPr>
      <w:r w:rsidRPr="00361455">
        <w:rPr>
          <w:lang w:val="en-CA"/>
        </w:rPr>
        <w:t>These important background ele</w:t>
      </w:r>
      <w:r w:rsidR="000A3725" w:rsidRPr="00361455">
        <w:rPr>
          <w:lang w:val="en-CA"/>
        </w:rPr>
        <w:t xml:space="preserve">ments </w:t>
      </w:r>
      <w:r w:rsidRPr="00361455">
        <w:rPr>
          <w:lang w:val="en-CA"/>
        </w:rPr>
        <w:t xml:space="preserve">are relevant to the analysis of the ineffective </w:t>
      </w:r>
      <w:r w:rsidR="000A3725" w:rsidRPr="00361455">
        <w:rPr>
          <w:lang w:val="en-CA"/>
        </w:rPr>
        <w:t xml:space="preserve">assistance </w:t>
      </w:r>
      <w:r w:rsidRPr="00361455">
        <w:rPr>
          <w:lang w:val="en-CA"/>
        </w:rPr>
        <w:t>in this case</w:t>
      </w:r>
      <w:r w:rsidR="000A3725" w:rsidRPr="00361455">
        <w:rPr>
          <w:lang w:val="en-CA"/>
        </w:rPr>
        <w:t xml:space="preserve">. </w:t>
      </w:r>
    </w:p>
    <w:p w14:paraId="7CB749DC" w14:textId="61F66A86" w:rsidR="005C6B8A" w:rsidRPr="00361455" w:rsidRDefault="00A96AC0" w:rsidP="002404D2">
      <w:pPr>
        <w:pStyle w:val="JgtPositionniv2"/>
        <w:spacing w:line="280" w:lineRule="exact"/>
        <w:rPr>
          <w:lang w:val="en-CA"/>
        </w:rPr>
      </w:pPr>
      <w:r w:rsidRPr="00361455">
        <w:rPr>
          <w:lang w:val="en-CA"/>
        </w:rPr>
        <w:t>Counsel’s “</w:t>
      </w:r>
      <w:r w:rsidR="001652D9">
        <w:rPr>
          <w:lang w:val="en-CA"/>
        </w:rPr>
        <w:t>errors</w:t>
      </w:r>
      <w:r w:rsidRPr="00361455">
        <w:rPr>
          <w:lang w:val="en-CA"/>
        </w:rPr>
        <w:t>”</w:t>
      </w:r>
    </w:p>
    <w:p w14:paraId="1E99800C" w14:textId="0273E743" w:rsidR="005C6B8A" w:rsidRPr="00361455" w:rsidRDefault="00850972" w:rsidP="002404D2">
      <w:pPr>
        <w:pStyle w:val="Paragraphe"/>
        <w:spacing w:line="280" w:lineRule="exact"/>
        <w:rPr>
          <w:lang w:val="en-CA"/>
        </w:rPr>
      </w:pPr>
      <w:bookmarkStart w:id="9" w:name="_Hlk163031538"/>
      <w:r w:rsidRPr="00361455">
        <w:rPr>
          <w:lang w:val="en-CA"/>
        </w:rPr>
        <w:t xml:space="preserve">In his </w:t>
      </w:r>
      <w:r w:rsidR="000A3725" w:rsidRPr="00361455">
        <w:rPr>
          <w:lang w:val="en-CA"/>
        </w:rPr>
        <w:t xml:space="preserve">brief, </w:t>
      </w:r>
      <w:r w:rsidRPr="00361455">
        <w:rPr>
          <w:lang w:val="en-CA"/>
        </w:rPr>
        <w:t xml:space="preserve">the </w:t>
      </w:r>
      <w:r w:rsidR="000A3725" w:rsidRPr="00361455">
        <w:rPr>
          <w:lang w:val="en-CA"/>
        </w:rPr>
        <w:t>appellant</w:t>
      </w:r>
      <w:r w:rsidRPr="00361455">
        <w:rPr>
          <w:lang w:val="en-CA"/>
        </w:rPr>
        <w:t xml:space="preserve"> </w:t>
      </w:r>
      <w:r w:rsidR="000A3725" w:rsidRPr="00361455">
        <w:rPr>
          <w:lang w:val="en-CA"/>
        </w:rPr>
        <w:t>raises</w:t>
      </w:r>
      <w:r w:rsidRPr="00361455">
        <w:rPr>
          <w:lang w:val="en-CA"/>
        </w:rPr>
        <w:t xml:space="preserve"> several</w:t>
      </w:r>
      <w:r w:rsidR="001652D9">
        <w:rPr>
          <w:lang w:val="en-CA"/>
        </w:rPr>
        <w:t xml:space="preserve"> errors or</w:t>
      </w:r>
      <w:r w:rsidRPr="00361455">
        <w:rPr>
          <w:lang w:val="en-CA"/>
        </w:rPr>
        <w:t xml:space="preserve"> faults committed by his </w:t>
      </w:r>
      <w:r w:rsidR="006D5D7B" w:rsidRPr="00361455">
        <w:rPr>
          <w:lang w:val="en-CA"/>
        </w:rPr>
        <w:t xml:space="preserve">trial </w:t>
      </w:r>
      <w:r w:rsidR="000A3725" w:rsidRPr="00361455">
        <w:rPr>
          <w:lang w:val="en-CA"/>
        </w:rPr>
        <w:t>counsel</w:t>
      </w:r>
      <w:r w:rsidRPr="00361455">
        <w:rPr>
          <w:lang w:val="en-CA"/>
        </w:rPr>
        <w:t xml:space="preserve">. Some of the </w:t>
      </w:r>
      <w:r w:rsidR="000A3725" w:rsidRPr="00361455">
        <w:rPr>
          <w:lang w:val="en-CA"/>
        </w:rPr>
        <w:t>decisions</w:t>
      </w:r>
      <w:r w:rsidRPr="00361455">
        <w:rPr>
          <w:lang w:val="en-CA"/>
        </w:rPr>
        <w:t xml:space="preserve"> are part of the </w:t>
      </w:r>
      <w:r w:rsidR="004B160E" w:rsidRPr="00361455">
        <w:rPr>
          <w:lang w:val="en-CA"/>
        </w:rPr>
        <w:t>wide</w:t>
      </w:r>
      <w:r w:rsidRPr="00361455">
        <w:rPr>
          <w:lang w:val="en-CA"/>
        </w:rPr>
        <w:t xml:space="preserve"> range of counsel’s conduct </w:t>
      </w:r>
      <w:r w:rsidR="004B160E" w:rsidRPr="00361455">
        <w:rPr>
          <w:lang w:val="en-CA"/>
        </w:rPr>
        <w:t>that</w:t>
      </w:r>
      <w:r w:rsidRPr="00361455">
        <w:rPr>
          <w:lang w:val="en-CA"/>
        </w:rPr>
        <w:t xml:space="preserve"> fall</w:t>
      </w:r>
      <w:r w:rsidR="004B160E" w:rsidRPr="00361455">
        <w:rPr>
          <w:lang w:val="en-CA"/>
        </w:rPr>
        <w:t>s</w:t>
      </w:r>
      <w:r w:rsidRPr="00361455">
        <w:rPr>
          <w:lang w:val="en-CA"/>
        </w:rPr>
        <w:t xml:space="preserve"> within reasonable professional </w:t>
      </w:r>
      <w:r w:rsidR="000A3725" w:rsidRPr="00361455">
        <w:rPr>
          <w:lang w:val="en-CA"/>
        </w:rPr>
        <w:t>assistance.</w:t>
      </w:r>
      <w:r w:rsidRPr="00361455">
        <w:rPr>
          <w:lang w:val="en-CA"/>
        </w:rPr>
        <w:t xml:space="preserve"> They cannot be considered a </w:t>
      </w:r>
      <w:r w:rsidR="000A3725" w:rsidRPr="00361455">
        <w:rPr>
          <w:lang w:val="en-CA"/>
        </w:rPr>
        <w:t xml:space="preserve">source </w:t>
      </w:r>
      <w:r w:rsidRPr="00361455">
        <w:rPr>
          <w:lang w:val="en-CA"/>
        </w:rPr>
        <w:t xml:space="preserve">of ineffective </w:t>
      </w:r>
      <w:r w:rsidR="000A3725" w:rsidRPr="00361455">
        <w:rPr>
          <w:lang w:val="en-CA"/>
        </w:rPr>
        <w:t xml:space="preserve">assistance </w:t>
      </w:r>
      <w:r w:rsidRPr="00361455">
        <w:rPr>
          <w:lang w:val="en-CA"/>
        </w:rPr>
        <w:t xml:space="preserve">within the meaning of the </w:t>
      </w:r>
      <w:r w:rsidR="000A3725" w:rsidRPr="00361455">
        <w:rPr>
          <w:lang w:val="en-CA"/>
        </w:rPr>
        <w:t>case</w:t>
      </w:r>
      <w:r w:rsidRPr="00361455">
        <w:rPr>
          <w:lang w:val="en-CA"/>
        </w:rPr>
        <w:t xml:space="preserve"> </w:t>
      </w:r>
      <w:r w:rsidR="000A3725" w:rsidRPr="00361455">
        <w:rPr>
          <w:lang w:val="en-CA"/>
        </w:rPr>
        <w:t>law.</w:t>
      </w:r>
    </w:p>
    <w:p w14:paraId="01D22168" w14:textId="4324E2B4" w:rsidR="005C6B8A" w:rsidRPr="00361455" w:rsidRDefault="00774521" w:rsidP="002404D2">
      <w:pPr>
        <w:pStyle w:val="Paragraphe"/>
        <w:spacing w:line="280" w:lineRule="exact"/>
        <w:rPr>
          <w:lang w:val="en-CA"/>
        </w:rPr>
      </w:pPr>
      <w:r w:rsidRPr="00361455">
        <w:rPr>
          <w:lang w:val="en-CA"/>
        </w:rPr>
        <w:t xml:space="preserve">At the hearing, the </w:t>
      </w:r>
      <w:r w:rsidR="000A3725" w:rsidRPr="00361455">
        <w:rPr>
          <w:lang w:val="en-CA"/>
        </w:rPr>
        <w:t>appellant</w:t>
      </w:r>
      <w:r w:rsidRPr="00361455">
        <w:rPr>
          <w:lang w:val="en-CA"/>
        </w:rPr>
        <w:t xml:space="preserve"> rightly </w:t>
      </w:r>
      <w:r w:rsidR="000A3725" w:rsidRPr="00361455">
        <w:rPr>
          <w:lang w:val="en-CA"/>
        </w:rPr>
        <w:t>concentr</w:t>
      </w:r>
      <w:r w:rsidRPr="00361455">
        <w:rPr>
          <w:lang w:val="en-CA"/>
        </w:rPr>
        <w:t>at</w:t>
      </w:r>
      <w:r w:rsidR="000A3725" w:rsidRPr="00361455">
        <w:rPr>
          <w:lang w:val="en-CA"/>
        </w:rPr>
        <w:t>e</w:t>
      </w:r>
      <w:r w:rsidRPr="00361455">
        <w:rPr>
          <w:lang w:val="en-CA"/>
        </w:rPr>
        <w:t>d</w:t>
      </w:r>
      <w:r w:rsidR="000A3725" w:rsidRPr="00361455">
        <w:rPr>
          <w:lang w:val="en-CA"/>
        </w:rPr>
        <w:t xml:space="preserve"> </w:t>
      </w:r>
      <w:r w:rsidRPr="00361455">
        <w:rPr>
          <w:lang w:val="en-CA"/>
        </w:rPr>
        <w:t xml:space="preserve">on three </w:t>
      </w:r>
      <w:r w:rsidR="00E94113" w:rsidRPr="00361455">
        <w:rPr>
          <w:lang w:val="en-CA"/>
        </w:rPr>
        <w:t>“</w:t>
      </w:r>
      <w:r w:rsidR="001652D9">
        <w:rPr>
          <w:lang w:val="en-CA"/>
        </w:rPr>
        <w:t>errors</w:t>
      </w:r>
      <w:r w:rsidR="00E94113" w:rsidRPr="00361455">
        <w:rPr>
          <w:lang w:val="en-CA"/>
        </w:rPr>
        <w:t>” committed by his</w:t>
      </w:r>
      <w:r w:rsidR="006D5D7B" w:rsidRPr="00361455">
        <w:rPr>
          <w:lang w:val="en-CA"/>
        </w:rPr>
        <w:t xml:space="preserve"> trial </w:t>
      </w:r>
      <w:r w:rsidR="000A3725" w:rsidRPr="00361455">
        <w:rPr>
          <w:lang w:val="en-CA"/>
        </w:rPr>
        <w:t>counsel</w:t>
      </w:r>
      <w:r w:rsidR="00E94113" w:rsidRPr="00361455">
        <w:rPr>
          <w:lang w:val="en-CA"/>
        </w:rPr>
        <w:t>. In his view, this inadequate repre</w:t>
      </w:r>
      <w:r w:rsidR="000A3725" w:rsidRPr="00361455">
        <w:rPr>
          <w:lang w:val="en-CA"/>
        </w:rPr>
        <w:t xml:space="preserve">sentation </w:t>
      </w:r>
      <w:r w:rsidR="00E94113" w:rsidRPr="00361455">
        <w:rPr>
          <w:lang w:val="en-CA"/>
        </w:rPr>
        <w:t xml:space="preserve">affected both the fairness of the </w:t>
      </w:r>
      <w:r w:rsidR="000A3725" w:rsidRPr="00361455">
        <w:rPr>
          <w:lang w:val="en-CA"/>
        </w:rPr>
        <w:t>proceedings</w:t>
      </w:r>
      <w:r w:rsidR="00E94113" w:rsidRPr="00361455">
        <w:rPr>
          <w:lang w:val="en-CA"/>
        </w:rPr>
        <w:t xml:space="preserve"> and the reliability of the </w:t>
      </w:r>
      <w:r w:rsidR="000A3725" w:rsidRPr="00361455">
        <w:rPr>
          <w:lang w:val="en-CA"/>
        </w:rPr>
        <w:t xml:space="preserve">verdict. </w:t>
      </w:r>
      <w:r w:rsidR="00E94113" w:rsidRPr="00361455">
        <w:rPr>
          <w:lang w:val="en-CA"/>
        </w:rPr>
        <w:t xml:space="preserve">These </w:t>
      </w:r>
      <w:r w:rsidR="001652D9">
        <w:rPr>
          <w:lang w:val="en-CA"/>
        </w:rPr>
        <w:t>errors</w:t>
      </w:r>
      <w:r w:rsidR="00E94113" w:rsidRPr="00361455">
        <w:rPr>
          <w:lang w:val="en-CA"/>
        </w:rPr>
        <w:t xml:space="preserve"> are the </w:t>
      </w:r>
      <w:r w:rsidR="00D952A6">
        <w:rPr>
          <w:lang w:val="en-CA"/>
        </w:rPr>
        <w:t xml:space="preserve">failure to prepare </w:t>
      </w:r>
      <w:r w:rsidR="00D952A6">
        <w:rPr>
          <w:lang w:val="en-CA"/>
        </w:rPr>
        <w:lastRenderedPageBreak/>
        <w:t>him for his</w:t>
      </w:r>
      <w:r w:rsidR="00E94113" w:rsidRPr="00361455">
        <w:rPr>
          <w:lang w:val="en-CA"/>
        </w:rPr>
        <w:t xml:space="preserve"> </w:t>
      </w:r>
      <w:r w:rsidR="000A3725" w:rsidRPr="00361455">
        <w:rPr>
          <w:lang w:val="en-CA"/>
        </w:rPr>
        <w:t xml:space="preserve">testimony, </w:t>
      </w:r>
      <w:r w:rsidR="00E94113" w:rsidRPr="00361455">
        <w:rPr>
          <w:lang w:val="en-CA"/>
        </w:rPr>
        <w:t xml:space="preserve">the failure to call the </w:t>
      </w:r>
      <w:r w:rsidR="000A3725" w:rsidRPr="00361455">
        <w:rPr>
          <w:lang w:val="en-CA"/>
        </w:rPr>
        <w:t>witness Kevin Flamand</w:t>
      </w:r>
      <w:r w:rsidR="00E94113" w:rsidRPr="00361455">
        <w:rPr>
          <w:lang w:val="en-CA"/>
        </w:rPr>
        <w:t>, and the failure to consider the post-offence conduct</w:t>
      </w:r>
      <w:r w:rsidR="000A3725" w:rsidRPr="00361455">
        <w:rPr>
          <w:lang w:val="en-CA"/>
        </w:rPr>
        <w:t>.</w:t>
      </w:r>
    </w:p>
    <w:p w14:paraId="75584C79" w14:textId="185AFE4F" w:rsidR="005C6B8A" w:rsidRPr="00361455" w:rsidRDefault="008F7807" w:rsidP="002404D2">
      <w:pPr>
        <w:pStyle w:val="JgtPositionniv1"/>
        <w:spacing w:line="280" w:lineRule="exact"/>
        <w:rPr>
          <w:lang w:val="en-CA"/>
        </w:rPr>
      </w:pPr>
      <w:r w:rsidRPr="00361455">
        <w:rPr>
          <w:lang w:val="en-CA"/>
        </w:rPr>
        <w:t>The law</w:t>
      </w:r>
    </w:p>
    <w:bookmarkEnd w:id="9"/>
    <w:p w14:paraId="577AB8EA" w14:textId="37EEDAE5" w:rsidR="005C6B8A" w:rsidRPr="00361455" w:rsidRDefault="00B87667" w:rsidP="002404D2">
      <w:pPr>
        <w:pStyle w:val="Paragraphe"/>
        <w:spacing w:line="280" w:lineRule="exact"/>
        <w:rPr>
          <w:lang w:val="en-CA"/>
        </w:rPr>
      </w:pPr>
      <w:r w:rsidRPr="00361455">
        <w:rPr>
          <w:lang w:val="en-CA"/>
        </w:rPr>
        <w:t xml:space="preserve">There is no doubt that successfully establishing ineffective </w:t>
      </w:r>
      <w:r w:rsidR="000A3725" w:rsidRPr="00361455">
        <w:rPr>
          <w:lang w:val="en-CA"/>
        </w:rPr>
        <w:t xml:space="preserve">assistance </w:t>
      </w:r>
      <w:r w:rsidRPr="00361455">
        <w:rPr>
          <w:lang w:val="en-CA"/>
        </w:rPr>
        <w:t xml:space="preserve">is not easy. As </w:t>
      </w:r>
      <w:r w:rsidR="000A3725" w:rsidRPr="00361455">
        <w:rPr>
          <w:lang w:val="en-CA"/>
        </w:rPr>
        <w:t xml:space="preserve">Doyon </w:t>
      </w:r>
      <w:r w:rsidRPr="00361455">
        <w:rPr>
          <w:lang w:val="en-CA"/>
        </w:rPr>
        <w:t xml:space="preserve">J.A. noted on behalf of the </w:t>
      </w:r>
      <w:r w:rsidR="000A3725" w:rsidRPr="00361455">
        <w:rPr>
          <w:lang w:val="en-CA"/>
        </w:rPr>
        <w:t>Court,</w:t>
      </w:r>
      <w:r w:rsidRPr="00361455">
        <w:rPr>
          <w:lang w:val="en-CA"/>
        </w:rPr>
        <w:t xml:space="preserve"> in addition to establishing</w:t>
      </w:r>
      <w:r w:rsidR="007C067B" w:rsidRPr="00361455">
        <w:rPr>
          <w:lang w:val="en-CA"/>
        </w:rPr>
        <w:t xml:space="preserve"> ineffective assistance or </w:t>
      </w:r>
      <w:r w:rsidR="000A3725" w:rsidRPr="00361455">
        <w:rPr>
          <w:lang w:val="en-CA"/>
        </w:rPr>
        <w:t>incomp</w:t>
      </w:r>
      <w:r w:rsidR="007C067B" w:rsidRPr="00361455">
        <w:rPr>
          <w:lang w:val="en-CA"/>
        </w:rPr>
        <w:t>e</w:t>
      </w:r>
      <w:r w:rsidR="000A3725" w:rsidRPr="00361455">
        <w:rPr>
          <w:lang w:val="en-CA"/>
        </w:rPr>
        <w:t>tence on</w:t>
      </w:r>
      <w:r w:rsidR="007C067B" w:rsidRPr="00361455">
        <w:rPr>
          <w:lang w:val="en-CA"/>
        </w:rPr>
        <w:t xml:space="preserve"> </w:t>
      </w:r>
      <w:r w:rsidR="000A3725" w:rsidRPr="00361455">
        <w:rPr>
          <w:lang w:val="en-CA"/>
        </w:rPr>
        <w:t>a</w:t>
      </w:r>
      <w:r w:rsidR="007C067B" w:rsidRPr="00361455">
        <w:rPr>
          <w:lang w:val="en-CA"/>
        </w:rPr>
        <w:t xml:space="preserve"> </w:t>
      </w:r>
      <w:r w:rsidR="000A3725" w:rsidRPr="00361455">
        <w:rPr>
          <w:lang w:val="en-CA"/>
        </w:rPr>
        <w:t>balance</w:t>
      </w:r>
      <w:r w:rsidR="007C067B" w:rsidRPr="00361455">
        <w:rPr>
          <w:lang w:val="en-CA"/>
        </w:rPr>
        <w:t xml:space="preserve"> </w:t>
      </w:r>
      <w:r w:rsidR="000A3725" w:rsidRPr="00361455">
        <w:rPr>
          <w:lang w:val="en-CA"/>
        </w:rPr>
        <w:t>of</w:t>
      </w:r>
      <w:r w:rsidR="007C067B" w:rsidRPr="00361455">
        <w:rPr>
          <w:lang w:val="en-CA"/>
        </w:rPr>
        <w:t xml:space="preserve"> </w:t>
      </w:r>
      <w:r w:rsidR="000A3725" w:rsidRPr="00361455">
        <w:rPr>
          <w:lang w:val="en-CA"/>
        </w:rPr>
        <w:t xml:space="preserve">probabilities, </w:t>
      </w:r>
      <w:r w:rsidR="007C067B" w:rsidRPr="00361455">
        <w:rPr>
          <w:lang w:val="en-CA"/>
        </w:rPr>
        <w:t xml:space="preserve">it is necessary to establish </w:t>
      </w:r>
      <w:r w:rsidR="000A3725" w:rsidRPr="00361455">
        <w:rPr>
          <w:lang w:val="en-CA"/>
        </w:rPr>
        <w:t>pr</w:t>
      </w:r>
      <w:r w:rsidR="007C067B" w:rsidRPr="00361455">
        <w:rPr>
          <w:lang w:val="en-CA"/>
        </w:rPr>
        <w:t>e</w:t>
      </w:r>
      <w:r w:rsidR="000A3725" w:rsidRPr="00361455">
        <w:rPr>
          <w:lang w:val="en-CA"/>
        </w:rPr>
        <w:t xml:space="preserve">judice </w:t>
      </w:r>
      <w:r w:rsidR="007C067B" w:rsidRPr="00361455">
        <w:rPr>
          <w:lang w:val="en-CA"/>
        </w:rPr>
        <w:t xml:space="preserve">in the </w:t>
      </w:r>
      <w:r w:rsidR="000A3725" w:rsidRPr="00361455">
        <w:rPr>
          <w:lang w:val="en-CA"/>
        </w:rPr>
        <w:t xml:space="preserve">nature </w:t>
      </w:r>
      <w:r w:rsidR="007C067B" w:rsidRPr="00361455">
        <w:rPr>
          <w:lang w:val="en-CA"/>
        </w:rPr>
        <w:t xml:space="preserve">of a </w:t>
      </w:r>
      <w:r w:rsidR="000A3725" w:rsidRPr="00361455">
        <w:rPr>
          <w:lang w:val="en-CA"/>
        </w:rPr>
        <w:t>miscarriage</w:t>
      </w:r>
      <w:r w:rsidR="007C067B" w:rsidRPr="00361455">
        <w:rPr>
          <w:lang w:val="en-CA"/>
        </w:rPr>
        <w:t xml:space="preserve"> </w:t>
      </w:r>
      <w:r w:rsidR="000A3725" w:rsidRPr="00361455">
        <w:rPr>
          <w:lang w:val="en-CA"/>
        </w:rPr>
        <w:t>of</w:t>
      </w:r>
      <w:r w:rsidR="007C067B" w:rsidRPr="00361455">
        <w:rPr>
          <w:lang w:val="en-CA"/>
        </w:rPr>
        <w:t xml:space="preserve"> </w:t>
      </w:r>
      <w:r w:rsidR="000A3725" w:rsidRPr="00361455">
        <w:rPr>
          <w:lang w:val="en-CA"/>
        </w:rPr>
        <w:t xml:space="preserve">justice: </w:t>
      </w:r>
      <w:r w:rsidR="000A3725" w:rsidRPr="00361455">
        <w:rPr>
          <w:i/>
          <w:iCs/>
          <w:lang w:val="en-CA"/>
        </w:rPr>
        <w:t>R. c. Helpin</w:t>
      </w:r>
      <w:r w:rsidR="000A3725" w:rsidRPr="00361455">
        <w:rPr>
          <w:lang w:val="en-CA"/>
        </w:rPr>
        <w:t>, 2012 QCCA 1523</w:t>
      </w:r>
      <w:r w:rsidR="007C067B" w:rsidRPr="00361455">
        <w:rPr>
          <w:lang w:val="en-CA"/>
        </w:rPr>
        <w:t xml:space="preserve"> at</w:t>
      </w:r>
      <w:r w:rsidR="000A3725" w:rsidRPr="00361455">
        <w:rPr>
          <w:lang w:val="en-CA"/>
        </w:rPr>
        <w:t xml:space="preserve"> par</w:t>
      </w:r>
      <w:r w:rsidR="007C067B" w:rsidRPr="00361455">
        <w:rPr>
          <w:lang w:val="en-CA"/>
        </w:rPr>
        <w:t>a</w:t>
      </w:r>
      <w:r w:rsidR="000A3725" w:rsidRPr="00361455">
        <w:rPr>
          <w:lang w:val="en-CA"/>
        </w:rPr>
        <w:t xml:space="preserve">. 68; </w:t>
      </w:r>
      <w:r w:rsidR="000A3725" w:rsidRPr="00361455">
        <w:rPr>
          <w:i/>
          <w:iCs/>
          <w:lang w:val="en-CA"/>
        </w:rPr>
        <w:t>R. c. Paiement</w:t>
      </w:r>
      <w:r w:rsidR="000A3725" w:rsidRPr="00361455">
        <w:rPr>
          <w:lang w:val="en-CA"/>
        </w:rPr>
        <w:t xml:space="preserve">, 2024 QCCA 304. </w:t>
      </w:r>
    </w:p>
    <w:p w14:paraId="1A14DCA0" w14:textId="25AF7365" w:rsidR="005C6B8A" w:rsidRPr="00361455" w:rsidRDefault="000A3725" w:rsidP="002404D2">
      <w:pPr>
        <w:pStyle w:val="Paragraphe"/>
        <w:spacing w:line="280" w:lineRule="exact"/>
        <w:rPr>
          <w:lang w:val="en-CA"/>
        </w:rPr>
      </w:pPr>
      <w:r w:rsidRPr="00361455">
        <w:rPr>
          <w:i/>
          <w:iCs/>
          <w:lang w:val="en-CA"/>
        </w:rPr>
        <w:t>R. c. Lajoie</w:t>
      </w:r>
      <w:r w:rsidRPr="00361455">
        <w:rPr>
          <w:lang w:val="en-CA"/>
        </w:rPr>
        <w:t xml:space="preserve">, 2021 QCCA 1631, </w:t>
      </w:r>
      <w:r w:rsidR="007B7CD6" w:rsidRPr="00361455">
        <w:rPr>
          <w:lang w:val="en-CA"/>
        </w:rPr>
        <w:t xml:space="preserve">provides a good </w:t>
      </w:r>
      <w:r w:rsidRPr="00361455">
        <w:rPr>
          <w:lang w:val="en-CA"/>
        </w:rPr>
        <w:t>illustr</w:t>
      </w:r>
      <w:r w:rsidR="007B7CD6" w:rsidRPr="00361455">
        <w:rPr>
          <w:lang w:val="en-CA"/>
        </w:rPr>
        <w:t xml:space="preserve">ation of the fact that not all </w:t>
      </w:r>
      <w:r w:rsidR="00AF2C1A">
        <w:rPr>
          <w:lang w:val="en-CA"/>
        </w:rPr>
        <w:t>mistakes</w:t>
      </w:r>
      <w:r w:rsidR="00287CAE" w:rsidRPr="00361455">
        <w:rPr>
          <w:lang w:val="en-CA"/>
        </w:rPr>
        <w:t xml:space="preserve"> open the door to a </w:t>
      </w:r>
      <w:r w:rsidRPr="00361455">
        <w:rPr>
          <w:lang w:val="en-CA"/>
        </w:rPr>
        <w:t xml:space="preserve">conclusion </w:t>
      </w:r>
      <w:r w:rsidR="00287CAE" w:rsidRPr="00361455">
        <w:rPr>
          <w:lang w:val="en-CA"/>
        </w:rPr>
        <w:t xml:space="preserve">of ineffective </w:t>
      </w:r>
      <w:r w:rsidRPr="00361455">
        <w:rPr>
          <w:lang w:val="en-CA"/>
        </w:rPr>
        <w:t>assistance.</w:t>
      </w:r>
      <w:r w:rsidR="00287CAE" w:rsidRPr="00361455">
        <w:rPr>
          <w:lang w:val="en-CA"/>
        </w:rPr>
        <w:t xml:space="preserve"> I</w:t>
      </w:r>
      <w:r w:rsidRPr="00361455">
        <w:rPr>
          <w:lang w:val="en-CA"/>
        </w:rPr>
        <w:t>t</w:t>
      </w:r>
      <w:r w:rsidR="00287CAE" w:rsidRPr="00361455">
        <w:rPr>
          <w:lang w:val="en-CA"/>
        </w:rPr>
        <w:t xml:space="preserve"> </w:t>
      </w:r>
      <w:r w:rsidRPr="00361455">
        <w:rPr>
          <w:lang w:val="en-CA"/>
        </w:rPr>
        <w:t>is</w:t>
      </w:r>
      <w:r w:rsidR="00287CAE" w:rsidRPr="00361455">
        <w:rPr>
          <w:lang w:val="en-CA"/>
        </w:rPr>
        <w:t xml:space="preserve"> </w:t>
      </w:r>
      <w:r w:rsidRPr="00361455">
        <w:rPr>
          <w:lang w:val="en-CA"/>
        </w:rPr>
        <w:t>common</w:t>
      </w:r>
      <w:r w:rsidR="00287CAE" w:rsidRPr="00361455">
        <w:rPr>
          <w:lang w:val="en-CA"/>
        </w:rPr>
        <w:t xml:space="preserve"> </w:t>
      </w:r>
      <w:r w:rsidRPr="00361455">
        <w:rPr>
          <w:lang w:val="en-CA"/>
        </w:rPr>
        <w:t>ground</w:t>
      </w:r>
      <w:r w:rsidR="00287CAE" w:rsidRPr="00361455">
        <w:rPr>
          <w:lang w:val="en-CA"/>
        </w:rPr>
        <w:t xml:space="preserve"> that it is necessary to establish that the conduct of </w:t>
      </w:r>
      <w:r w:rsidRPr="00361455">
        <w:rPr>
          <w:lang w:val="en-CA"/>
        </w:rPr>
        <w:t>counsel</w:t>
      </w:r>
      <w:r w:rsidR="00287CAE" w:rsidRPr="00361455">
        <w:rPr>
          <w:lang w:val="en-CA"/>
        </w:rPr>
        <w:t xml:space="preserve"> falls outside </w:t>
      </w:r>
      <w:r w:rsidR="004B160E" w:rsidRPr="00361455">
        <w:rPr>
          <w:lang w:val="en-CA"/>
        </w:rPr>
        <w:t>the “wide range of reasonable professional assistance”</w:t>
      </w:r>
      <w:r w:rsidRPr="00361455">
        <w:rPr>
          <w:lang w:val="en-CA"/>
        </w:rPr>
        <w:t xml:space="preserve">: </w:t>
      </w:r>
      <w:r w:rsidRPr="00361455">
        <w:rPr>
          <w:i/>
          <w:iCs/>
          <w:lang w:val="en-CA"/>
        </w:rPr>
        <w:t>R. v. G.D.B.,</w:t>
      </w:r>
      <w:r w:rsidRPr="00361455">
        <w:rPr>
          <w:lang w:val="en-CA"/>
        </w:rPr>
        <w:t xml:space="preserve"> [2000] 1 S.C.R. 520</w:t>
      </w:r>
      <w:r w:rsidR="004B160E" w:rsidRPr="00361455">
        <w:rPr>
          <w:lang w:val="en-CA"/>
        </w:rPr>
        <w:t xml:space="preserve"> at </w:t>
      </w:r>
      <w:r w:rsidRPr="00361455">
        <w:rPr>
          <w:lang w:val="en-CA"/>
        </w:rPr>
        <w:t>par</w:t>
      </w:r>
      <w:r w:rsidR="004B160E" w:rsidRPr="00361455">
        <w:rPr>
          <w:lang w:val="en-CA"/>
        </w:rPr>
        <w:t>a</w:t>
      </w:r>
      <w:r w:rsidRPr="00361455">
        <w:rPr>
          <w:lang w:val="en-CA"/>
        </w:rPr>
        <w:t>. 27.</w:t>
      </w:r>
    </w:p>
    <w:p w14:paraId="2D60A404" w14:textId="46546B69" w:rsidR="005C6B8A" w:rsidRPr="00361455" w:rsidRDefault="0014109C" w:rsidP="002404D2">
      <w:pPr>
        <w:pStyle w:val="Paragraphe"/>
        <w:spacing w:line="280" w:lineRule="exact"/>
        <w:rPr>
          <w:lang w:val="en-CA"/>
        </w:rPr>
      </w:pPr>
      <w:r w:rsidRPr="00361455">
        <w:rPr>
          <w:lang w:val="en-CA"/>
        </w:rPr>
        <w:t>I</w:t>
      </w:r>
      <w:r w:rsidR="000A3725" w:rsidRPr="00361455">
        <w:rPr>
          <w:lang w:val="en-CA"/>
        </w:rPr>
        <w:t>n</w:t>
      </w:r>
      <w:r w:rsidRPr="00361455">
        <w:rPr>
          <w:lang w:val="en-CA"/>
        </w:rPr>
        <w:t xml:space="preserve"> </w:t>
      </w:r>
      <w:r w:rsidR="000A3725" w:rsidRPr="00361455">
        <w:rPr>
          <w:lang w:val="en-CA"/>
        </w:rPr>
        <w:t>addition,</w:t>
      </w:r>
      <w:r w:rsidRPr="00361455">
        <w:rPr>
          <w:lang w:val="en-CA"/>
        </w:rPr>
        <w:t xml:space="preserve"> there is a point at which the </w:t>
      </w:r>
      <w:r w:rsidR="000A3725" w:rsidRPr="00361455">
        <w:rPr>
          <w:lang w:val="en-CA"/>
        </w:rPr>
        <w:t>prosecution</w:t>
      </w:r>
      <w:r w:rsidRPr="00361455">
        <w:rPr>
          <w:lang w:val="en-CA"/>
        </w:rPr>
        <w:t>’s</w:t>
      </w:r>
      <w:r w:rsidR="000A3725" w:rsidRPr="00361455">
        <w:rPr>
          <w:lang w:val="en-CA"/>
        </w:rPr>
        <w:t xml:space="preserve"> </w:t>
      </w:r>
      <w:r w:rsidRPr="00361455">
        <w:rPr>
          <w:lang w:val="en-CA"/>
        </w:rPr>
        <w:t xml:space="preserve">evidence is so </w:t>
      </w:r>
      <w:r w:rsidR="000A3725" w:rsidRPr="00361455">
        <w:rPr>
          <w:lang w:val="en-CA"/>
        </w:rPr>
        <w:t xml:space="preserve">overwhelming </w:t>
      </w:r>
      <w:r w:rsidRPr="00361455">
        <w:rPr>
          <w:lang w:val="en-CA"/>
        </w:rPr>
        <w:t xml:space="preserve">that </w:t>
      </w:r>
      <w:r w:rsidR="000A3725" w:rsidRPr="00361455">
        <w:rPr>
          <w:lang w:val="en-CA"/>
        </w:rPr>
        <w:t xml:space="preserve">ineffective </w:t>
      </w:r>
      <w:r w:rsidRPr="00361455">
        <w:rPr>
          <w:lang w:val="en-CA"/>
        </w:rPr>
        <w:t xml:space="preserve">assistance becomes </w:t>
      </w:r>
      <w:r w:rsidR="000629BD">
        <w:rPr>
          <w:lang w:val="en-CA"/>
        </w:rPr>
        <w:t>inconsequential</w:t>
      </w:r>
      <w:r w:rsidR="000A3725" w:rsidRPr="00361455">
        <w:rPr>
          <w:lang w:val="en-CA"/>
        </w:rPr>
        <w:t xml:space="preserve">. </w:t>
      </w:r>
      <w:r w:rsidR="00CE42D8" w:rsidRPr="00361455">
        <w:rPr>
          <w:lang w:val="en-CA"/>
        </w:rPr>
        <w:t xml:space="preserve">The </w:t>
      </w:r>
      <w:r w:rsidR="000A3725" w:rsidRPr="00361455">
        <w:rPr>
          <w:lang w:val="en-CA"/>
        </w:rPr>
        <w:t>Court</w:t>
      </w:r>
      <w:r w:rsidR="00CE42D8" w:rsidRPr="00361455">
        <w:rPr>
          <w:lang w:val="en-CA"/>
        </w:rPr>
        <w:t xml:space="preserve"> has</w:t>
      </w:r>
      <w:r w:rsidR="00DA5602">
        <w:rPr>
          <w:lang w:val="en-CA"/>
        </w:rPr>
        <w:t xml:space="preserve"> </w:t>
      </w:r>
      <w:r w:rsidR="00C73B6C">
        <w:rPr>
          <w:lang w:val="en-CA"/>
        </w:rPr>
        <w:t>noted</w:t>
      </w:r>
      <w:r w:rsidR="00CE42D8" w:rsidRPr="00361455">
        <w:rPr>
          <w:lang w:val="en-CA"/>
        </w:rPr>
        <w:t xml:space="preserve"> that it is </w:t>
      </w:r>
      <w:r w:rsidR="000A3725" w:rsidRPr="00361455">
        <w:rPr>
          <w:lang w:val="en-CA"/>
        </w:rPr>
        <w:t xml:space="preserve">possible </w:t>
      </w:r>
      <w:r w:rsidR="00CE42D8" w:rsidRPr="00361455">
        <w:rPr>
          <w:lang w:val="en-CA"/>
        </w:rPr>
        <w:t xml:space="preserve">that in the face of such </w:t>
      </w:r>
      <w:r w:rsidR="000A3725" w:rsidRPr="00361455">
        <w:rPr>
          <w:lang w:val="en-CA"/>
        </w:rPr>
        <w:t>overwhelming</w:t>
      </w:r>
      <w:r w:rsidR="00CE42D8" w:rsidRPr="00361455">
        <w:rPr>
          <w:lang w:val="en-CA"/>
        </w:rPr>
        <w:t xml:space="preserve"> evidence</w:t>
      </w:r>
      <w:r w:rsidR="000A3725" w:rsidRPr="00361455">
        <w:rPr>
          <w:lang w:val="en-CA"/>
        </w:rPr>
        <w:t xml:space="preserve">, </w:t>
      </w:r>
      <w:r w:rsidR="00CE42D8" w:rsidRPr="00361455">
        <w:rPr>
          <w:lang w:val="en-CA"/>
        </w:rPr>
        <w:t xml:space="preserve">the </w:t>
      </w:r>
      <w:r w:rsidR="000A3725" w:rsidRPr="00361455">
        <w:rPr>
          <w:lang w:val="en-CA"/>
        </w:rPr>
        <w:t xml:space="preserve">ineffective </w:t>
      </w:r>
      <w:r w:rsidR="00CE42D8" w:rsidRPr="00361455">
        <w:rPr>
          <w:lang w:val="en-CA"/>
        </w:rPr>
        <w:t xml:space="preserve">assistance </w:t>
      </w:r>
      <w:r w:rsidR="000A3725" w:rsidRPr="00361455">
        <w:rPr>
          <w:lang w:val="en-CA"/>
        </w:rPr>
        <w:t>invo</w:t>
      </w:r>
      <w:r w:rsidR="00CE42D8" w:rsidRPr="00361455">
        <w:rPr>
          <w:lang w:val="en-CA"/>
        </w:rPr>
        <w:t xml:space="preserve">ked will not affect the reliability of the </w:t>
      </w:r>
      <w:r w:rsidR="000A3725" w:rsidRPr="00361455">
        <w:rPr>
          <w:lang w:val="en-CA"/>
        </w:rPr>
        <w:t xml:space="preserve">verdict: </w:t>
      </w:r>
      <w:r w:rsidR="000A3725" w:rsidRPr="00361455">
        <w:rPr>
          <w:i/>
          <w:iCs/>
          <w:lang w:val="en-CA"/>
        </w:rPr>
        <w:t>R. v. Vdovin</w:t>
      </w:r>
      <w:r w:rsidR="000A3725" w:rsidRPr="00361455">
        <w:rPr>
          <w:lang w:val="en-CA"/>
        </w:rPr>
        <w:t>, 2021 QCCA 1969</w:t>
      </w:r>
      <w:r w:rsidR="00CE42D8" w:rsidRPr="00361455">
        <w:rPr>
          <w:lang w:val="en-CA"/>
        </w:rPr>
        <w:t xml:space="preserve"> at</w:t>
      </w:r>
      <w:r w:rsidR="000A3725" w:rsidRPr="00361455">
        <w:rPr>
          <w:lang w:val="en-CA"/>
        </w:rPr>
        <w:t xml:space="preserve"> par</w:t>
      </w:r>
      <w:r w:rsidR="00CE42D8" w:rsidRPr="00361455">
        <w:rPr>
          <w:lang w:val="en-CA"/>
        </w:rPr>
        <w:t>a</w:t>
      </w:r>
      <w:r w:rsidR="000A3725" w:rsidRPr="00361455">
        <w:rPr>
          <w:lang w:val="en-CA"/>
        </w:rPr>
        <w:t xml:space="preserve">. 24; </w:t>
      </w:r>
      <w:r w:rsidR="000A3725" w:rsidRPr="00361455">
        <w:rPr>
          <w:i/>
          <w:iCs/>
          <w:lang w:val="en-CA"/>
        </w:rPr>
        <w:t>R. c. Vallières</w:t>
      </w:r>
      <w:r w:rsidR="000A3725" w:rsidRPr="00361455">
        <w:rPr>
          <w:lang w:val="en-CA"/>
        </w:rPr>
        <w:t>, 2020 QCCA 372</w:t>
      </w:r>
      <w:r w:rsidR="008F7807" w:rsidRPr="00361455">
        <w:rPr>
          <w:lang w:val="en-CA"/>
        </w:rPr>
        <w:t xml:space="preserve"> at</w:t>
      </w:r>
      <w:r w:rsidR="000A3725" w:rsidRPr="00361455">
        <w:rPr>
          <w:lang w:val="en-CA"/>
        </w:rPr>
        <w:t xml:space="preserve"> par</w:t>
      </w:r>
      <w:r w:rsidR="008F7807" w:rsidRPr="00361455">
        <w:rPr>
          <w:lang w:val="en-CA"/>
        </w:rPr>
        <w:t>a</w:t>
      </w:r>
      <w:r w:rsidR="00CE42D8" w:rsidRPr="00361455">
        <w:rPr>
          <w:lang w:val="en-CA"/>
        </w:rPr>
        <w:t>s</w:t>
      </w:r>
      <w:r w:rsidR="000A3725" w:rsidRPr="00361455">
        <w:rPr>
          <w:lang w:val="en-CA"/>
        </w:rPr>
        <w:t>. 141</w:t>
      </w:r>
      <w:r w:rsidR="00CE42D8" w:rsidRPr="00361455">
        <w:rPr>
          <w:lang w:val="en-CA"/>
        </w:rPr>
        <w:t>–</w:t>
      </w:r>
      <w:r w:rsidR="000A3725" w:rsidRPr="00361455">
        <w:rPr>
          <w:lang w:val="en-CA"/>
        </w:rPr>
        <w:t>142.</w:t>
      </w:r>
    </w:p>
    <w:p w14:paraId="6F8108A3" w14:textId="07AE0BAA" w:rsidR="005C6B8A" w:rsidRPr="00361455" w:rsidRDefault="00AB39F9" w:rsidP="002404D2">
      <w:pPr>
        <w:pStyle w:val="Paragraphe"/>
        <w:spacing w:line="280" w:lineRule="exact"/>
        <w:rPr>
          <w:lang w:val="en-CA"/>
        </w:rPr>
      </w:pPr>
      <w:r w:rsidRPr="00361455">
        <w:rPr>
          <w:lang w:val="en-CA"/>
        </w:rPr>
        <w:t>However, both the fairness of the proceedings and the reliability of the verdict underl</w:t>
      </w:r>
      <w:r w:rsidR="000A3725">
        <w:rPr>
          <w:lang w:val="en-CA"/>
        </w:rPr>
        <w:t>ie</w:t>
      </w:r>
      <w:r w:rsidRPr="00361455">
        <w:rPr>
          <w:lang w:val="en-CA"/>
        </w:rPr>
        <w:t xml:space="preserve"> the assessment of the </w:t>
      </w:r>
      <w:r w:rsidR="000A3725" w:rsidRPr="00361455">
        <w:rPr>
          <w:lang w:val="en-CA"/>
        </w:rPr>
        <w:t>qualit</w:t>
      </w:r>
      <w:r w:rsidRPr="00361455">
        <w:rPr>
          <w:lang w:val="en-CA"/>
        </w:rPr>
        <w:t xml:space="preserve">y of counsel’s </w:t>
      </w:r>
      <w:r w:rsidR="000A3725" w:rsidRPr="00361455">
        <w:rPr>
          <w:lang w:val="en-CA"/>
        </w:rPr>
        <w:t>assistance</w:t>
      </w:r>
      <w:r w:rsidRPr="00361455">
        <w:rPr>
          <w:lang w:val="en-CA"/>
        </w:rPr>
        <w:t xml:space="preserve"> at trial</w:t>
      </w:r>
      <w:r w:rsidR="000A3725" w:rsidRPr="00361455">
        <w:rPr>
          <w:lang w:val="en-CA"/>
        </w:rPr>
        <w:t>.</w:t>
      </w:r>
      <w:r w:rsidRPr="00361455">
        <w:rPr>
          <w:lang w:val="en-CA"/>
        </w:rPr>
        <w:t xml:space="preserve"> I reproduce here the remarks of the </w:t>
      </w:r>
      <w:r w:rsidR="000A3725" w:rsidRPr="00361455">
        <w:rPr>
          <w:lang w:val="en-CA"/>
        </w:rPr>
        <w:t>Court</w:t>
      </w:r>
      <w:r w:rsidRPr="00361455">
        <w:rPr>
          <w:lang w:val="en-CA"/>
        </w:rPr>
        <w:t xml:space="preserve"> in </w:t>
      </w:r>
      <w:r w:rsidR="000A3725" w:rsidRPr="00361455">
        <w:rPr>
          <w:i/>
          <w:iCs/>
          <w:lang w:val="en-CA"/>
        </w:rPr>
        <w:t>Agnant</w:t>
      </w:r>
      <w:r w:rsidR="000A3725" w:rsidRPr="00361455">
        <w:rPr>
          <w:lang w:val="en-CA"/>
        </w:rPr>
        <w:t>:</w:t>
      </w:r>
    </w:p>
    <w:p w14:paraId="3F557CAC" w14:textId="0854C19E" w:rsidR="00BA4FA1" w:rsidRPr="00361455" w:rsidRDefault="00BA4FA1" w:rsidP="002404D2">
      <w:pPr>
        <w:pStyle w:val="JgtCit1"/>
        <w:spacing w:line="280" w:lineRule="exact"/>
        <w:rPr>
          <w:lang w:val="en-CA"/>
        </w:rPr>
      </w:pPr>
      <w:r w:rsidRPr="00361455">
        <w:rPr>
          <w:lang w:val="en-CA"/>
        </w:rPr>
        <w:t>[</w:t>
      </w:r>
      <w:r w:rsidRPr="00361455">
        <w:rPr>
          <w:smallCaps/>
          <w:lang w:val="en-CA"/>
        </w:rPr>
        <w:t>translation</w:t>
      </w:r>
      <w:r w:rsidRPr="00361455">
        <w:rPr>
          <w:lang w:val="en-CA"/>
        </w:rPr>
        <w:t>]</w:t>
      </w:r>
    </w:p>
    <w:p w14:paraId="44355797" w14:textId="05D9814C" w:rsidR="005C6B8A" w:rsidRPr="00361455" w:rsidRDefault="000A3725" w:rsidP="00BA3E50">
      <w:pPr>
        <w:pStyle w:val="JgtCit1"/>
        <w:tabs>
          <w:tab w:val="left" w:pos="1418"/>
        </w:tabs>
        <w:spacing w:line="280" w:lineRule="exact"/>
        <w:ind w:hanging="11"/>
        <w:rPr>
          <w:lang w:val="en-CA"/>
        </w:rPr>
      </w:pPr>
      <w:r w:rsidRPr="00361455">
        <w:rPr>
          <w:lang w:val="en-CA"/>
        </w:rPr>
        <w:t>[9]  </w:t>
      </w:r>
      <w:r w:rsidR="004434ED" w:rsidRPr="00361455">
        <w:rPr>
          <w:lang w:val="en-CA"/>
        </w:rPr>
        <w:tab/>
      </w:r>
      <w:r w:rsidR="00BA4FA1" w:rsidRPr="00361455">
        <w:rPr>
          <w:lang w:val="en-CA"/>
        </w:rPr>
        <w:t xml:space="preserve">If our adversarial </w:t>
      </w:r>
      <w:r w:rsidRPr="00361455">
        <w:rPr>
          <w:lang w:val="en-CA"/>
        </w:rPr>
        <w:t>justice</w:t>
      </w:r>
      <w:r w:rsidR="00BA4FA1" w:rsidRPr="00361455">
        <w:rPr>
          <w:lang w:val="en-CA"/>
        </w:rPr>
        <w:t xml:space="preserve"> </w:t>
      </w:r>
      <w:r w:rsidRPr="00361455">
        <w:rPr>
          <w:lang w:val="en-CA"/>
        </w:rPr>
        <w:t>system</w:t>
      </w:r>
      <w:r w:rsidR="00BA4FA1" w:rsidRPr="00361455">
        <w:rPr>
          <w:lang w:val="en-CA"/>
        </w:rPr>
        <w:t xml:space="preserve"> functions well, it is because it can rely on a competent bar association to </w:t>
      </w:r>
      <w:r w:rsidRPr="00361455">
        <w:rPr>
          <w:lang w:val="en-CA"/>
        </w:rPr>
        <w:t>confront</w:t>
      </w:r>
      <w:r w:rsidR="00BA4FA1" w:rsidRPr="00361455">
        <w:rPr>
          <w:lang w:val="en-CA"/>
        </w:rPr>
        <w:t xml:space="preserve"> the facts</w:t>
      </w:r>
      <w:r w:rsidRPr="00361455">
        <w:rPr>
          <w:lang w:val="en-CA"/>
        </w:rPr>
        <w:t xml:space="preserve">, </w:t>
      </w:r>
      <w:r w:rsidR="00BA4FA1" w:rsidRPr="00361455">
        <w:rPr>
          <w:lang w:val="en-CA"/>
        </w:rPr>
        <w:t xml:space="preserve">assert a party’s thesis, </w:t>
      </w:r>
      <w:r w:rsidR="004B4A45">
        <w:rPr>
          <w:lang w:val="en-CA"/>
        </w:rPr>
        <w:t xml:space="preserve">and </w:t>
      </w:r>
      <w:r w:rsidR="00BA4FA1" w:rsidRPr="00361455">
        <w:rPr>
          <w:lang w:val="en-CA"/>
        </w:rPr>
        <w:t xml:space="preserve">promote the law, values, and </w:t>
      </w:r>
      <w:r w:rsidRPr="00361455">
        <w:rPr>
          <w:lang w:val="en-CA"/>
        </w:rPr>
        <w:t>constitutional</w:t>
      </w:r>
      <w:r w:rsidR="00BA4FA1" w:rsidRPr="00361455">
        <w:rPr>
          <w:lang w:val="en-CA"/>
        </w:rPr>
        <w:t xml:space="preserve"> </w:t>
      </w:r>
      <w:r w:rsidRPr="00361455">
        <w:rPr>
          <w:lang w:val="en-CA"/>
        </w:rPr>
        <w:t>guarantees,</w:t>
      </w:r>
      <w:r w:rsidR="00BA4FA1" w:rsidRPr="00361455">
        <w:rPr>
          <w:lang w:val="en-CA"/>
        </w:rPr>
        <w:t xml:space="preserve"> in short, to properly represent </w:t>
      </w:r>
      <w:r w:rsidR="003305C6" w:rsidRPr="00361455">
        <w:rPr>
          <w:lang w:val="en-CA"/>
        </w:rPr>
        <w:t xml:space="preserve">litigants before the </w:t>
      </w:r>
      <w:r w:rsidRPr="00361455">
        <w:rPr>
          <w:lang w:val="en-CA"/>
        </w:rPr>
        <w:t>courts. </w:t>
      </w:r>
    </w:p>
    <w:p w14:paraId="4D6E17CB" w14:textId="15D60122" w:rsidR="005C6B8A" w:rsidRPr="00361455" w:rsidRDefault="000A3725" w:rsidP="002404D2">
      <w:pPr>
        <w:pStyle w:val="JgtCit1"/>
        <w:spacing w:line="280" w:lineRule="exact"/>
        <w:rPr>
          <w:lang w:val="en-CA"/>
        </w:rPr>
      </w:pPr>
      <w:r w:rsidRPr="00361455">
        <w:rPr>
          <w:lang w:val="en-CA"/>
        </w:rPr>
        <w:t>[10]     </w:t>
      </w:r>
      <w:r w:rsidR="004C1E26" w:rsidRPr="00361455">
        <w:rPr>
          <w:lang w:val="en-CA"/>
        </w:rPr>
        <w:t xml:space="preserve">In </w:t>
      </w:r>
      <w:r w:rsidRPr="00361455">
        <w:rPr>
          <w:i/>
          <w:iCs/>
          <w:lang w:val="en-CA"/>
        </w:rPr>
        <w:t>R. v. G.B.D</w:t>
      </w:r>
      <w:r w:rsidRPr="00361455">
        <w:rPr>
          <w:lang w:val="en-CA"/>
        </w:rPr>
        <w:t xml:space="preserve">., [2000] 1 S.C.R. 520, </w:t>
      </w:r>
      <w:r w:rsidR="004C1E26" w:rsidRPr="00361455">
        <w:rPr>
          <w:lang w:val="en-CA"/>
        </w:rPr>
        <w:t xml:space="preserve">the Supreme Court </w:t>
      </w:r>
      <w:r w:rsidRPr="00361455">
        <w:rPr>
          <w:lang w:val="en-CA"/>
        </w:rPr>
        <w:t>confirme</w:t>
      </w:r>
      <w:r w:rsidR="004C1E26" w:rsidRPr="00361455">
        <w:rPr>
          <w:lang w:val="en-CA"/>
        </w:rPr>
        <w:t>d</w:t>
      </w:r>
      <w:r w:rsidRPr="00361455">
        <w:rPr>
          <w:lang w:val="en-CA"/>
        </w:rPr>
        <w:t xml:space="preserve"> </w:t>
      </w:r>
      <w:r w:rsidR="004C1E26" w:rsidRPr="00361455">
        <w:rPr>
          <w:lang w:val="en-CA"/>
        </w:rPr>
        <w:t xml:space="preserve">the rather unanimous Canadian </w:t>
      </w:r>
      <w:r w:rsidRPr="00361455">
        <w:rPr>
          <w:lang w:val="en-CA"/>
        </w:rPr>
        <w:t>case</w:t>
      </w:r>
      <w:r w:rsidR="004C1E26" w:rsidRPr="00361455">
        <w:rPr>
          <w:lang w:val="en-CA"/>
        </w:rPr>
        <w:t xml:space="preserve"> </w:t>
      </w:r>
      <w:r w:rsidRPr="00361455">
        <w:rPr>
          <w:lang w:val="en-CA"/>
        </w:rPr>
        <w:t>law</w:t>
      </w:r>
      <w:r w:rsidR="004C1E26" w:rsidRPr="00361455">
        <w:rPr>
          <w:lang w:val="en-CA"/>
        </w:rPr>
        <w:t xml:space="preserve">, according to which the </w:t>
      </w:r>
      <w:r w:rsidRPr="00361455">
        <w:rPr>
          <w:lang w:val="en-CA"/>
        </w:rPr>
        <w:t>right</w:t>
      </w:r>
      <w:r w:rsidR="004C1E26" w:rsidRPr="00361455">
        <w:rPr>
          <w:lang w:val="en-CA"/>
        </w:rPr>
        <w:t xml:space="preserve"> to</w:t>
      </w:r>
      <w:r w:rsidR="00956580" w:rsidRPr="00361455">
        <w:rPr>
          <w:lang w:val="en-CA"/>
        </w:rPr>
        <w:t xml:space="preserve"> the [</w:t>
      </w:r>
      <w:r w:rsidR="00956580" w:rsidRPr="00361455">
        <w:rPr>
          <w:smallCaps/>
          <w:lang w:val="en-CA"/>
        </w:rPr>
        <w:t>translation</w:t>
      </w:r>
      <w:r w:rsidR="00956580" w:rsidRPr="00361455">
        <w:rPr>
          <w:lang w:val="en-CA"/>
        </w:rPr>
        <w:t>] “useful”</w:t>
      </w:r>
      <w:r w:rsidR="004C1E26" w:rsidRPr="00361455">
        <w:rPr>
          <w:lang w:val="en-CA"/>
        </w:rPr>
        <w:t xml:space="preserve"> </w:t>
      </w:r>
      <w:r w:rsidR="00956580" w:rsidRPr="00361455">
        <w:rPr>
          <w:lang w:val="en-CA"/>
        </w:rPr>
        <w:t xml:space="preserve">or </w:t>
      </w:r>
      <w:r w:rsidR="004C1E26" w:rsidRPr="00361455">
        <w:rPr>
          <w:lang w:val="en-CA"/>
        </w:rPr>
        <w:t xml:space="preserve">“effective </w:t>
      </w:r>
      <w:r w:rsidRPr="00361455">
        <w:rPr>
          <w:lang w:val="en-CA"/>
        </w:rPr>
        <w:t>assistance</w:t>
      </w:r>
      <w:r w:rsidR="004C1E26" w:rsidRPr="00361455">
        <w:rPr>
          <w:lang w:val="en-CA"/>
        </w:rPr>
        <w:t xml:space="preserve">” </w:t>
      </w:r>
      <w:r w:rsidR="00956580" w:rsidRPr="00361455">
        <w:rPr>
          <w:lang w:val="en-CA"/>
        </w:rPr>
        <w:t xml:space="preserve">of </w:t>
      </w:r>
      <w:r w:rsidRPr="00361455">
        <w:rPr>
          <w:lang w:val="en-CA"/>
        </w:rPr>
        <w:t>counsel</w:t>
      </w:r>
      <w:r w:rsidR="00956580" w:rsidRPr="00361455">
        <w:rPr>
          <w:lang w:val="en-CA"/>
        </w:rPr>
        <w:t xml:space="preserve"> is the best way to determine </w:t>
      </w:r>
      <w:r w:rsidR="00BC24CF">
        <w:rPr>
          <w:lang w:val="en-CA"/>
        </w:rPr>
        <w:t xml:space="preserve">the merits of the </w:t>
      </w:r>
      <w:r w:rsidR="00956580" w:rsidRPr="00361455">
        <w:rPr>
          <w:lang w:val="en-CA"/>
        </w:rPr>
        <w:t>charges</w:t>
      </w:r>
      <w:r w:rsidRPr="00361455">
        <w:rPr>
          <w:lang w:val="en-CA"/>
        </w:rPr>
        <w:t>.  </w:t>
      </w:r>
    </w:p>
    <w:p w14:paraId="13939BB8" w14:textId="56221035" w:rsidR="005C6B8A" w:rsidRPr="00361455" w:rsidRDefault="000A3725" w:rsidP="00AF2C1A">
      <w:pPr>
        <w:pStyle w:val="JgtCit1"/>
        <w:keepNext/>
        <w:spacing w:line="280" w:lineRule="exact"/>
        <w:rPr>
          <w:lang w:val="en-CA"/>
        </w:rPr>
      </w:pPr>
      <w:r w:rsidRPr="00361455">
        <w:rPr>
          <w:lang w:val="en-CA"/>
        </w:rPr>
        <w:t xml:space="preserve">[11]   </w:t>
      </w:r>
      <w:r w:rsidR="004434ED" w:rsidRPr="00361455">
        <w:rPr>
          <w:lang w:val="en-CA"/>
        </w:rPr>
        <w:tab/>
      </w:r>
      <w:r w:rsidRPr="00361455">
        <w:rPr>
          <w:lang w:val="en-CA"/>
        </w:rPr>
        <w:t xml:space="preserve">Major </w:t>
      </w:r>
      <w:r w:rsidR="004B4A45">
        <w:rPr>
          <w:lang w:val="en-CA"/>
        </w:rPr>
        <w:t xml:space="preserve">J. </w:t>
      </w:r>
      <w:r w:rsidRPr="00361455">
        <w:rPr>
          <w:lang w:val="en-CA"/>
        </w:rPr>
        <w:t>expl</w:t>
      </w:r>
      <w:r w:rsidR="004434ED" w:rsidRPr="00361455">
        <w:rPr>
          <w:lang w:val="en-CA"/>
        </w:rPr>
        <w:t xml:space="preserve">ained that the </w:t>
      </w:r>
      <w:r w:rsidRPr="00361455">
        <w:rPr>
          <w:lang w:val="en-CA"/>
        </w:rPr>
        <w:t>incomp</w:t>
      </w:r>
      <w:r w:rsidR="004434ED" w:rsidRPr="00361455">
        <w:rPr>
          <w:lang w:val="en-CA"/>
        </w:rPr>
        <w:t>e</w:t>
      </w:r>
      <w:r w:rsidRPr="00361455">
        <w:rPr>
          <w:lang w:val="en-CA"/>
        </w:rPr>
        <w:t xml:space="preserve">tence </w:t>
      </w:r>
      <w:r w:rsidR="004434ED" w:rsidRPr="00361455">
        <w:rPr>
          <w:lang w:val="en-CA"/>
        </w:rPr>
        <w:t xml:space="preserve">of </w:t>
      </w:r>
      <w:r w:rsidRPr="00361455">
        <w:rPr>
          <w:lang w:val="en-CA"/>
        </w:rPr>
        <w:t>counsel</w:t>
      </w:r>
      <w:r w:rsidR="004434ED" w:rsidRPr="00361455">
        <w:rPr>
          <w:lang w:val="en-CA"/>
        </w:rPr>
        <w:t xml:space="preserve"> </w:t>
      </w:r>
      <w:r w:rsidR="00955E34" w:rsidRPr="00361455">
        <w:rPr>
          <w:lang w:val="en-CA"/>
        </w:rPr>
        <w:t>can</w:t>
      </w:r>
      <w:r w:rsidR="004434ED" w:rsidRPr="00361455">
        <w:rPr>
          <w:lang w:val="en-CA"/>
        </w:rPr>
        <w:t xml:space="preserve"> </w:t>
      </w:r>
      <w:r w:rsidRPr="00361455">
        <w:rPr>
          <w:lang w:val="en-CA"/>
        </w:rPr>
        <w:t>comprom</w:t>
      </w:r>
      <w:r w:rsidR="004434ED" w:rsidRPr="00361455">
        <w:rPr>
          <w:lang w:val="en-CA"/>
        </w:rPr>
        <w:t xml:space="preserve">ise </w:t>
      </w:r>
      <w:r w:rsidRPr="00361455">
        <w:rPr>
          <w:lang w:val="en-CA"/>
        </w:rPr>
        <w:t>procedural</w:t>
      </w:r>
      <w:r w:rsidR="004434ED" w:rsidRPr="00361455">
        <w:rPr>
          <w:lang w:val="en-CA"/>
        </w:rPr>
        <w:t xml:space="preserve"> </w:t>
      </w:r>
      <w:r w:rsidRPr="00361455">
        <w:rPr>
          <w:lang w:val="en-CA"/>
        </w:rPr>
        <w:t>fairness</w:t>
      </w:r>
      <w:r w:rsidR="004434ED" w:rsidRPr="00361455">
        <w:rPr>
          <w:lang w:val="en-CA"/>
        </w:rPr>
        <w:t xml:space="preserve"> or the reliability of the </w:t>
      </w:r>
      <w:r w:rsidRPr="00361455">
        <w:rPr>
          <w:lang w:val="en-CA"/>
        </w:rPr>
        <w:t xml:space="preserve">verdict, </w:t>
      </w:r>
      <w:r w:rsidR="004434ED" w:rsidRPr="00361455">
        <w:rPr>
          <w:lang w:val="en-CA"/>
        </w:rPr>
        <w:t xml:space="preserve">two </w:t>
      </w:r>
      <w:r w:rsidR="00C90FB1">
        <w:rPr>
          <w:lang w:val="en-CA"/>
        </w:rPr>
        <w:t xml:space="preserve">forms </w:t>
      </w:r>
      <w:r w:rsidR="004434ED" w:rsidRPr="00361455">
        <w:rPr>
          <w:lang w:val="en-CA"/>
        </w:rPr>
        <w:t xml:space="preserve">of </w:t>
      </w:r>
      <w:r w:rsidRPr="00361455">
        <w:rPr>
          <w:lang w:val="en-CA"/>
        </w:rPr>
        <w:t>miscarriage</w:t>
      </w:r>
      <w:r w:rsidR="00C90FB1">
        <w:rPr>
          <w:lang w:val="en-CA"/>
        </w:rPr>
        <w:t xml:space="preserve"> </w:t>
      </w:r>
      <w:r w:rsidRPr="00361455">
        <w:rPr>
          <w:lang w:val="en-CA"/>
        </w:rPr>
        <w:t>of</w:t>
      </w:r>
      <w:r w:rsidR="004434ED" w:rsidRPr="00361455">
        <w:rPr>
          <w:lang w:val="en-CA"/>
        </w:rPr>
        <w:t xml:space="preserve"> </w:t>
      </w:r>
      <w:r w:rsidRPr="00361455">
        <w:rPr>
          <w:lang w:val="en-CA"/>
        </w:rPr>
        <w:lastRenderedPageBreak/>
        <w:t>justice</w:t>
      </w:r>
      <w:r w:rsidR="00955E34" w:rsidRPr="00361455">
        <w:rPr>
          <w:lang w:val="en-CA"/>
        </w:rPr>
        <w:t xml:space="preserve"> that </w:t>
      </w:r>
      <w:r w:rsidR="00C90FB1">
        <w:rPr>
          <w:lang w:val="en-CA"/>
        </w:rPr>
        <w:t xml:space="preserve">then </w:t>
      </w:r>
      <w:r w:rsidR="00955E34" w:rsidRPr="00361455">
        <w:rPr>
          <w:lang w:val="en-CA"/>
        </w:rPr>
        <w:t>occur, both of which are equally un</w:t>
      </w:r>
      <w:r w:rsidRPr="00361455">
        <w:rPr>
          <w:lang w:val="en-CA"/>
        </w:rPr>
        <w:t>acceptable: </w:t>
      </w:r>
      <w:r w:rsidRPr="00361455">
        <w:rPr>
          <w:i/>
          <w:iCs/>
          <w:lang w:val="en-CA"/>
        </w:rPr>
        <w:t>R. v. G.D.B.</w:t>
      </w:r>
      <w:r w:rsidRPr="00361455">
        <w:rPr>
          <w:lang w:val="en-CA"/>
        </w:rPr>
        <w:t xml:space="preserve">, </w:t>
      </w:r>
      <w:r w:rsidR="00955E34" w:rsidRPr="00361455">
        <w:rPr>
          <w:lang w:val="en-CA"/>
        </w:rPr>
        <w:t xml:space="preserve">cited above, at </w:t>
      </w:r>
      <w:r w:rsidRPr="00361455">
        <w:rPr>
          <w:lang w:val="en-CA"/>
        </w:rPr>
        <w:t>par</w:t>
      </w:r>
      <w:r w:rsidR="00955E34" w:rsidRPr="00361455">
        <w:rPr>
          <w:lang w:val="en-CA"/>
        </w:rPr>
        <w:t>as</w:t>
      </w:r>
      <w:r w:rsidRPr="00361455">
        <w:rPr>
          <w:lang w:val="en-CA"/>
        </w:rPr>
        <w:t>. 26</w:t>
      </w:r>
      <w:r w:rsidR="00955E34" w:rsidRPr="00361455">
        <w:rPr>
          <w:lang w:val="en-CA"/>
        </w:rPr>
        <w:t>–</w:t>
      </w:r>
      <w:r w:rsidRPr="00361455">
        <w:rPr>
          <w:lang w:val="en-CA"/>
        </w:rPr>
        <w:t>28. </w:t>
      </w:r>
    </w:p>
    <w:p w14:paraId="20C99493" w14:textId="206AB16B" w:rsidR="005C6B8A" w:rsidRPr="00361455" w:rsidRDefault="00BA4FA1" w:rsidP="00AF2C1A">
      <w:pPr>
        <w:pStyle w:val="JgtCit1"/>
        <w:keepNext/>
        <w:spacing w:line="280" w:lineRule="exact"/>
        <w:rPr>
          <w:lang w:val="en-CA"/>
        </w:rPr>
      </w:pPr>
      <w:r w:rsidRPr="00361455">
        <w:rPr>
          <w:iCs/>
          <w:lang w:val="en-CA"/>
        </w:rPr>
        <w:t xml:space="preserve">See </w:t>
      </w:r>
      <w:r w:rsidR="000A3725" w:rsidRPr="00361455">
        <w:rPr>
          <w:i/>
          <w:iCs/>
          <w:lang w:val="en-CA"/>
        </w:rPr>
        <w:t>R. c. Agnant</w:t>
      </w:r>
      <w:r w:rsidR="000A3725" w:rsidRPr="00361455">
        <w:rPr>
          <w:lang w:val="en-CA"/>
        </w:rPr>
        <w:t xml:space="preserve">, 2015 QCCA 465 </w:t>
      </w:r>
      <w:r w:rsidRPr="00361455">
        <w:rPr>
          <w:lang w:val="en-CA"/>
        </w:rPr>
        <w:t>[refe</w:t>
      </w:r>
      <w:r w:rsidR="000A3725" w:rsidRPr="00361455">
        <w:rPr>
          <w:lang w:val="en-CA"/>
        </w:rPr>
        <w:t>rences</w:t>
      </w:r>
      <w:r w:rsidRPr="00361455">
        <w:rPr>
          <w:lang w:val="en-CA"/>
        </w:rPr>
        <w:t xml:space="preserve"> omitted] and </w:t>
      </w:r>
      <w:r w:rsidR="000A3725" w:rsidRPr="00361455">
        <w:rPr>
          <w:lang w:val="en-CA"/>
        </w:rPr>
        <w:t>case</w:t>
      </w:r>
      <w:r w:rsidRPr="00361455">
        <w:rPr>
          <w:lang w:val="en-CA"/>
        </w:rPr>
        <w:t xml:space="preserve"> </w:t>
      </w:r>
      <w:r w:rsidR="000A3725" w:rsidRPr="00361455">
        <w:rPr>
          <w:lang w:val="en-CA"/>
        </w:rPr>
        <w:t>law</w:t>
      </w:r>
      <w:r w:rsidRPr="00361455">
        <w:rPr>
          <w:lang w:val="en-CA"/>
        </w:rPr>
        <w:t xml:space="preserve"> cited</w:t>
      </w:r>
      <w:r w:rsidR="000A3725" w:rsidRPr="00361455">
        <w:rPr>
          <w:lang w:val="en-CA"/>
        </w:rPr>
        <w:t xml:space="preserve">. </w:t>
      </w:r>
    </w:p>
    <w:p w14:paraId="70557DC0" w14:textId="3FCB1F18" w:rsidR="005C6B8A" w:rsidRPr="00361455" w:rsidRDefault="00E10BFE" w:rsidP="002404D2">
      <w:pPr>
        <w:pStyle w:val="Paragraphe"/>
        <w:spacing w:line="280" w:lineRule="exact"/>
        <w:rPr>
          <w:lang w:val="en-CA"/>
        </w:rPr>
      </w:pPr>
      <w:r w:rsidRPr="00361455">
        <w:rPr>
          <w:lang w:val="en-CA"/>
        </w:rPr>
        <w:t>I am of the view that in this case, the three “</w:t>
      </w:r>
      <w:r w:rsidR="0098023C">
        <w:rPr>
          <w:lang w:val="en-CA"/>
        </w:rPr>
        <w:t>errors</w:t>
      </w:r>
      <w:r w:rsidRPr="00361455">
        <w:rPr>
          <w:lang w:val="en-CA"/>
        </w:rPr>
        <w:t>” alleged</w:t>
      </w:r>
      <w:r w:rsidR="004073BC" w:rsidRPr="00361455">
        <w:rPr>
          <w:lang w:val="en-CA"/>
        </w:rPr>
        <w:t xml:space="preserve"> establish </w:t>
      </w:r>
      <w:r w:rsidR="000A3725" w:rsidRPr="00361455">
        <w:rPr>
          <w:lang w:val="en-CA"/>
        </w:rPr>
        <w:t>ineffective</w:t>
      </w:r>
      <w:r w:rsidR="004073BC" w:rsidRPr="00361455">
        <w:rPr>
          <w:lang w:val="en-CA"/>
        </w:rPr>
        <w:t xml:space="preserve"> assistance</w:t>
      </w:r>
      <w:r w:rsidR="000A3725" w:rsidRPr="00361455">
        <w:rPr>
          <w:lang w:val="en-CA"/>
        </w:rPr>
        <w:t xml:space="preserve">, </w:t>
      </w:r>
      <w:r w:rsidR="00F73C0C" w:rsidRPr="00361455">
        <w:rPr>
          <w:lang w:val="en-CA"/>
        </w:rPr>
        <w:t xml:space="preserve">as do the </w:t>
      </w:r>
      <w:r w:rsidR="000A3725" w:rsidRPr="00361455">
        <w:rPr>
          <w:lang w:val="en-CA"/>
        </w:rPr>
        <w:t>cons</w:t>
      </w:r>
      <w:r w:rsidR="00F73C0C" w:rsidRPr="00361455">
        <w:rPr>
          <w:lang w:val="en-CA"/>
        </w:rPr>
        <w:t>e</w:t>
      </w:r>
      <w:r w:rsidR="000A3725" w:rsidRPr="00361455">
        <w:rPr>
          <w:lang w:val="en-CA"/>
        </w:rPr>
        <w:t xml:space="preserve">quences </w:t>
      </w:r>
      <w:r w:rsidR="00F73C0C" w:rsidRPr="00361455">
        <w:rPr>
          <w:lang w:val="en-CA"/>
        </w:rPr>
        <w:t xml:space="preserve">on both the </w:t>
      </w:r>
      <w:r w:rsidR="000A3725" w:rsidRPr="00361455">
        <w:rPr>
          <w:lang w:val="en-CA"/>
        </w:rPr>
        <w:t>fairness</w:t>
      </w:r>
      <w:r w:rsidR="00F73C0C" w:rsidRPr="00361455">
        <w:rPr>
          <w:lang w:val="en-CA"/>
        </w:rPr>
        <w:t xml:space="preserve"> </w:t>
      </w:r>
      <w:r w:rsidR="000A3725" w:rsidRPr="00361455">
        <w:rPr>
          <w:lang w:val="en-CA"/>
        </w:rPr>
        <w:t>of</w:t>
      </w:r>
      <w:r w:rsidR="00F73C0C" w:rsidRPr="00361455">
        <w:rPr>
          <w:lang w:val="en-CA"/>
        </w:rPr>
        <w:t xml:space="preserve"> </w:t>
      </w:r>
      <w:r w:rsidR="000A3725" w:rsidRPr="00361455">
        <w:rPr>
          <w:lang w:val="en-CA"/>
        </w:rPr>
        <w:t>the</w:t>
      </w:r>
      <w:r w:rsidR="00F73C0C" w:rsidRPr="00361455">
        <w:rPr>
          <w:lang w:val="en-CA"/>
        </w:rPr>
        <w:t xml:space="preserve"> </w:t>
      </w:r>
      <w:r w:rsidR="000A3725" w:rsidRPr="00361455">
        <w:rPr>
          <w:lang w:val="en-CA"/>
        </w:rPr>
        <w:t>trial</w:t>
      </w:r>
      <w:r w:rsidR="00F73C0C" w:rsidRPr="00361455">
        <w:rPr>
          <w:lang w:val="en-CA"/>
        </w:rPr>
        <w:t xml:space="preserve"> and the reliability of the </w:t>
      </w:r>
      <w:r w:rsidR="000A3725" w:rsidRPr="00361455">
        <w:rPr>
          <w:lang w:val="en-CA"/>
        </w:rPr>
        <w:t>verdict.</w:t>
      </w:r>
    </w:p>
    <w:p w14:paraId="1AC6315A" w14:textId="24CC6638" w:rsidR="005C6B8A" w:rsidRPr="00361455" w:rsidRDefault="00F73C0C" w:rsidP="002404D2">
      <w:pPr>
        <w:pStyle w:val="JgtPositionniv1"/>
        <w:spacing w:line="280" w:lineRule="exact"/>
        <w:rPr>
          <w:szCs w:val="24"/>
          <w:lang w:val="en-CA"/>
        </w:rPr>
      </w:pPr>
      <w:r w:rsidRPr="00361455">
        <w:rPr>
          <w:lang w:val="en-CA"/>
        </w:rPr>
        <w:t>A</w:t>
      </w:r>
      <w:r w:rsidR="000A3725" w:rsidRPr="00361455">
        <w:rPr>
          <w:lang w:val="en-CA"/>
        </w:rPr>
        <w:t>nalys</w:t>
      </w:r>
      <w:r w:rsidRPr="00361455">
        <w:rPr>
          <w:lang w:val="en-CA"/>
        </w:rPr>
        <w:t>is</w:t>
      </w:r>
    </w:p>
    <w:p w14:paraId="40601440" w14:textId="7634D09D" w:rsidR="005C6B8A" w:rsidRPr="00361455" w:rsidRDefault="00F73C0C" w:rsidP="002404D2">
      <w:pPr>
        <w:pStyle w:val="JgtPositionniv1"/>
        <w:spacing w:line="280" w:lineRule="exact"/>
        <w:rPr>
          <w:lang w:val="en-CA"/>
        </w:rPr>
      </w:pPr>
      <w:r w:rsidRPr="00361455">
        <w:rPr>
          <w:lang w:val="en-CA"/>
        </w:rPr>
        <w:t>The first “</w:t>
      </w:r>
      <w:r w:rsidR="0098023C">
        <w:rPr>
          <w:lang w:val="en-CA"/>
        </w:rPr>
        <w:t>error</w:t>
      </w:r>
      <w:r w:rsidRPr="00361455">
        <w:rPr>
          <w:lang w:val="en-CA"/>
        </w:rPr>
        <w:t>”</w:t>
      </w:r>
      <w:r w:rsidR="000A3725" w:rsidRPr="00361455">
        <w:rPr>
          <w:lang w:val="en-CA"/>
        </w:rPr>
        <w:t xml:space="preserve">: </w:t>
      </w:r>
      <w:r w:rsidR="0098023C">
        <w:rPr>
          <w:lang w:val="en-CA"/>
        </w:rPr>
        <w:t xml:space="preserve">failure to </w:t>
      </w:r>
      <w:r w:rsidRPr="00361455">
        <w:rPr>
          <w:lang w:val="en-CA"/>
        </w:rPr>
        <w:t>pre</w:t>
      </w:r>
      <w:r w:rsidR="000A3725" w:rsidRPr="00361455">
        <w:rPr>
          <w:lang w:val="en-CA"/>
        </w:rPr>
        <w:t>par</w:t>
      </w:r>
      <w:r w:rsidR="0098023C">
        <w:rPr>
          <w:lang w:val="en-CA"/>
        </w:rPr>
        <w:t>e</w:t>
      </w:r>
      <w:r w:rsidRPr="00361455">
        <w:rPr>
          <w:lang w:val="en-CA"/>
        </w:rPr>
        <w:t xml:space="preserve"> the </w:t>
      </w:r>
      <w:r w:rsidR="000A3725" w:rsidRPr="00361455">
        <w:rPr>
          <w:lang w:val="en-CA"/>
        </w:rPr>
        <w:t>testimony</w:t>
      </w:r>
    </w:p>
    <w:p w14:paraId="40F5AAD3" w14:textId="5C6605C6" w:rsidR="005C6B8A" w:rsidRPr="00361455" w:rsidRDefault="00D62FF4" w:rsidP="002404D2">
      <w:pPr>
        <w:pStyle w:val="Paragraphe"/>
        <w:spacing w:line="280" w:lineRule="exact"/>
        <w:rPr>
          <w:lang w:val="en-CA"/>
        </w:rPr>
      </w:pPr>
      <w:r w:rsidRPr="00361455">
        <w:rPr>
          <w:lang w:val="en-CA"/>
        </w:rPr>
        <w:t xml:space="preserve">I </w:t>
      </w:r>
      <w:r w:rsidR="000A3725" w:rsidRPr="00361455">
        <w:rPr>
          <w:lang w:val="en-CA"/>
        </w:rPr>
        <w:t>accept</w:t>
      </w:r>
      <w:r w:rsidRPr="00361455">
        <w:rPr>
          <w:lang w:val="en-CA"/>
        </w:rPr>
        <w:t xml:space="preserve"> that the </w:t>
      </w:r>
      <w:r w:rsidR="000A3725" w:rsidRPr="00361455">
        <w:rPr>
          <w:lang w:val="en-CA"/>
        </w:rPr>
        <w:t>right</w:t>
      </w:r>
      <w:r w:rsidRPr="00361455">
        <w:rPr>
          <w:lang w:val="en-CA"/>
        </w:rPr>
        <w:t xml:space="preserve"> to a </w:t>
      </w:r>
      <w:r w:rsidR="000A3725" w:rsidRPr="00361455">
        <w:rPr>
          <w:lang w:val="en-CA"/>
        </w:rPr>
        <w:t>fair</w:t>
      </w:r>
      <w:r w:rsidRPr="00361455">
        <w:rPr>
          <w:lang w:val="en-CA"/>
        </w:rPr>
        <w:t xml:space="preserve"> </w:t>
      </w:r>
      <w:r w:rsidR="000A3725" w:rsidRPr="00361455">
        <w:rPr>
          <w:lang w:val="en-CA"/>
        </w:rPr>
        <w:t>trial</w:t>
      </w:r>
      <w:r w:rsidRPr="00361455">
        <w:rPr>
          <w:lang w:val="en-CA"/>
        </w:rPr>
        <w:t xml:space="preserve"> includes the pre</w:t>
      </w:r>
      <w:r w:rsidR="000A3725" w:rsidRPr="00361455">
        <w:rPr>
          <w:lang w:val="en-CA"/>
        </w:rPr>
        <w:t xml:space="preserve">paration </w:t>
      </w:r>
      <w:r w:rsidRPr="00361455">
        <w:rPr>
          <w:lang w:val="en-CA"/>
        </w:rPr>
        <w:t xml:space="preserve">of the </w:t>
      </w:r>
      <w:r w:rsidR="00F91791">
        <w:rPr>
          <w:lang w:val="en-CA"/>
        </w:rPr>
        <w:t xml:space="preserve">accused’s </w:t>
      </w:r>
      <w:r w:rsidR="000A3725" w:rsidRPr="00361455">
        <w:rPr>
          <w:lang w:val="en-CA"/>
        </w:rPr>
        <w:t xml:space="preserve">testimony: </w:t>
      </w:r>
      <w:r w:rsidR="000A3725" w:rsidRPr="00361455">
        <w:rPr>
          <w:i/>
          <w:iCs/>
          <w:lang w:val="en-CA"/>
        </w:rPr>
        <w:t>R. v. Simpson</w:t>
      </w:r>
      <w:r w:rsidR="000A3725" w:rsidRPr="00361455">
        <w:rPr>
          <w:lang w:val="en-CA"/>
        </w:rPr>
        <w:t>, 2018 NSCA 25</w:t>
      </w:r>
      <w:r w:rsidRPr="00361455">
        <w:rPr>
          <w:lang w:val="en-CA"/>
        </w:rPr>
        <w:t xml:space="preserve"> at</w:t>
      </w:r>
      <w:r w:rsidR="000A3725" w:rsidRPr="00361455">
        <w:rPr>
          <w:lang w:val="en-CA"/>
        </w:rPr>
        <w:t xml:space="preserve"> par</w:t>
      </w:r>
      <w:r w:rsidRPr="00361455">
        <w:rPr>
          <w:lang w:val="en-CA"/>
        </w:rPr>
        <w:t>as</w:t>
      </w:r>
      <w:r w:rsidR="000A3725" w:rsidRPr="00361455">
        <w:rPr>
          <w:lang w:val="en-CA"/>
        </w:rPr>
        <w:t>. 45</w:t>
      </w:r>
      <w:r w:rsidRPr="00361455">
        <w:rPr>
          <w:lang w:val="en-CA"/>
        </w:rPr>
        <w:t>–</w:t>
      </w:r>
      <w:r w:rsidR="000A3725" w:rsidRPr="00361455">
        <w:rPr>
          <w:lang w:val="en-CA"/>
        </w:rPr>
        <w:t xml:space="preserve">46. </w:t>
      </w:r>
      <w:r w:rsidRPr="00361455">
        <w:rPr>
          <w:lang w:val="en-CA"/>
        </w:rPr>
        <w:t xml:space="preserve">The </w:t>
      </w:r>
      <w:r w:rsidR="000A3725" w:rsidRPr="00361455">
        <w:rPr>
          <w:lang w:val="en-CA"/>
        </w:rPr>
        <w:t>right</w:t>
      </w:r>
      <w:r w:rsidRPr="00361455">
        <w:rPr>
          <w:lang w:val="en-CA"/>
        </w:rPr>
        <w:t xml:space="preserve"> to competent repre</w:t>
      </w:r>
      <w:r w:rsidR="000A3725" w:rsidRPr="00361455">
        <w:rPr>
          <w:lang w:val="en-CA"/>
        </w:rPr>
        <w:t xml:space="preserve">sentation </w:t>
      </w:r>
      <w:r w:rsidRPr="00361455">
        <w:rPr>
          <w:lang w:val="en-CA"/>
        </w:rPr>
        <w:t xml:space="preserve">necessarily implies that </w:t>
      </w:r>
      <w:r w:rsidR="000A3725" w:rsidRPr="00361455">
        <w:rPr>
          <w:lang w:val="en-CA"/>
        </w:rPr>
        <w:t>counsel</w:t>
      </w:r>
      <w:r w:rsidRPr="00361455">
        <w:rPr>
          <w:lang w:val="en-CA"/>
        </w:rPr>
        <w:t xml:space="preserve"> take the time required to prepare the accused </w:t>
      </w:r>
      <w:r w:rsidR="000A3725" w:rsidRPr="00361455">
        <w:rPr>
          <w:lang w:val="en-CA"/>
        </w:rPr>
        <w:t>person</w:t>
      </w:r>
      <w:r w:rsidRPr="00361455">
        <w:rPr>
          <w:lang w:val="en-CA"/>
        </w:rPr>
        <w:t xml:space="preserve"> so that they may provide their </w:t>
      </w:r>
      <w:r w:rsidR="000A3725" w:rsidRPr="00361455">
        <w:rPr>
          <w:lang w:val="en-CA"/>
        </w:rPr>
        <w:t>account</w:t>
      </w:r>
      <w:r w:rsidRPr="00361455">
        <w:rPr>
          <w:lang w:val="en-CA"/>
        </w:rPr>
        <w:t xml:space="preserve"> effectively without being </w:t>
      </w:r>
      <w:r w:rsidR="00D93BE4" w:rsidRPr="00361455">
        <w:rPr>
          <w:lang w:val="en-CA"/>
        </w:rPr>
        <w:t>unsettled, for example, by more difficult or sensitive facts</w:t>
      </w:r>
      <w:r w:rsidR="000A3725" w:rsidRPr="00361455">
        <w:rPr>
          <w:lang w:val="en-CA"/>
        </w:rPr>
        <w:t>,</w:t>
      </w:r>
      <w:r w:rsidR="00D93BE4" w:rsidRPr="00361455">
        <w:rPr>
          <w:lang w:val="en-CA"/>
        </w:rPr>
        <w:t xml:space="preserve"> which the passing of time or another reason may have erased or attenuated</w:t>
      </w:r>
      <w:r w:rsidR="000A3725" w:rsidRPr="00361455">
        <w:rPr>
          <w:lang w:val="en-CA"/>
        </w:rPr>
        <w:t>.</w:t>
      </w:r>
      <w:r w:rsidR="00D93BE4" w:rsidRPr="00361455">
        <w:rPr>
          <w:lang w:val="en-CA"/>
        </w:rPr>
        <w:t xml:space="preserve"> There is no rigid rule as to what consists of adequate pre</w:t>
      </w:r>
      <w:r w:rsidR="000A3725" w:rsidRPr="00361455">
        <w:rPr>
          <w:lang w:val="en-CA"/>
        </w:rPr>
        <w:t>paration.</w:t>
      </w:r>
      <w:r w:rsidR="00D93BE4" w:rsidRPr="00361455">
        <w:rPr>
          <w:lang w:val="en-CA"/>
        </w:rPr>
        <w:t xml:space="preserve"> The </w:t>
      </w:r>
      <w:r w:rsidR="000A3725" w:rsidRPr="00361455">
        <w:rPr>
          <w:lang w:val="en-CA"/>
        </w:rPr>
        <w:t>case</w:t>
      </w:r>
      <w:r w:rsidR="00D93BE4" w:rsidRPr="00361455">
        <w:rPr>
          <w:lang w:val="en-CA"/>
        </w:rPr>
        <w:t xml:space="preserve"> and the accused </w:t>
      </w:r>
      <w:r w:rsidR="000A3725" w:rsidRPr="00361455">
        <w:rPr>
          <w:lang w:val="en-CA"/>
        </w:rPr>
        <w:t>person</w:t>
      </w:r>
      <w:r w:rsidR="00D93BE4" w:rsidRPr="00361455">
        <w:rPr>
          <w:lang w:val="en-CA"/>
        </w:rPr>
        <w:t xml:space="preserve"> will </w:t>
      </w:r>
      <w:r w:rsidR="00996318">
        <w:rPr>
          <w:lang w:val="en-CA"/>
        </w:rPr>
        <w:t xml:space="preserve">dictate to the </w:t>
      </w:r>
      <w:r w:rsidR="00D93BE4" w:rsidRPr="00361455">
        <w:rPr>
          <w:lang w:val="en-CA"/>
        </w:rPr>
        <w:t xml:space="preserve">competent </w:t>
      </w:r>
      <w:r w:rsidR="000A3725" w:rsidRPr="00361455">
        <w:rPr>
          <w:lang w:val="en-CA"/>
        </w:rPr>
        <w:t>counsel</w:t>
      </w:r>
      <w:r w:rsidR="00D93BE4" w:rsidRPr="00361455">
        <w:rPr>
          <w:lang w:val="en-CA"/>
        </w:rPr>
        <w:t xml:space="preserve"> the reasonable effort</w:t>
      </w:r>
      <w:r w:rsidR="00996318">
        <w:rPr>
          <w:lang w:val="en-CA"/>
        </w:rPr>
        <w:t>s</w:t>
      </w:r>
      <w:r w:rsidR="00D93BE4" w:rsidRPr="00361455">
        <w:rPr>
          <w:lang w:val="en-CA"/>
        </w:rPr>
        <w:t xml:space="preserve"> that must be invested in this </w:t>
      </w:r>
      <w:r w:rsidR="000A3725" w:rsidRPr="00361455">
        <w:rPr>
          <w:lang w:val="en-CA"/>
        </w:rPr>
        <w:t xml:space="preserve">aspect </w:t>
      </w:r>
      <w:r w:rsidR="00D93BE4" w:rsidRPr="00361455">
        <w:rPr>
          <w:lang w:val="en-CA"/>
        </w:rPr>
        <w:t xml:space="preserve">of the case </w:t>
      </w:r>
      <w:r w:rsidR="00996318">
        <w:rPr>
          <w:lang w:val="en-CA"/>
        </w:rPr>
        <w:t>when</w:t>
      </w:r>
      <w:r w:rsidR="00996318" w:rsidRPr="00361455">
        <w:rPr>
          <w:lang w:val="en-CA"/>
        </w:rPr>
        <w:t xml:space="preserve"> </w:t>
      </w:r>
      <w:r w:rsidR="00D93BE4" w:rsidRPr="00361455">
        <w:rPr>
          <w:lang w:val="en-CA"/>
        </w:rPr>
        <w:t xml:space="preserve">there is a </w:t>
      </w:r>
      <w:r w:rsidR="000A3725" w:rsidRPr="00361455">
        <w:rPr>
          <w:lang w:val="en-CA"/>
        </w:rPr>
        <w:t>possibilit</w:t>
      </w:r>
      <w:r w:rsidR="00D93BE4" w:rsidRPr="00361455">
        <w:rPr>
          <w:lang w:val="en-CA"/>
        </w:rPr>
        <w:t>y that their client will testify</w:t>
      </w:r>
      <w:r w:rsidR="000A3725" w:rsidRPr="00361455">
        <w:rPr>
          <w:lang w:val="en-CA"/>
        </w:rPr>
        <w:t xml:space="preserve">.  </w:t>
      </w:r>
    </w:p>
    <w:p w14:paraId="2BA736BF" w14:textId="4128237D" w:rsidR="005C6B8A" w:rsidRPr="00361455" w:rsidRDefault="00567EDE" w:rsidP="002404D2">
      <w:pPr>
        <w:pStyle w:val="Paragraphe"/>
        <w:spacing w:line="280" w:lineRule="exact"/>
        <w:rPr>
          <w:lang w:val="en-CA"/>
        </w:rPr>
      </w:pPr>
      <w:r w:rsidRPr="00361455">
        <w:rPr>
          <w:lang w:val="en-CA"/>
        </w:rPr>
        <w:t>However, such pre</w:t>
      </w:r>
      <w:r w:rsidR="000A3725" w:rsidRPr="00361455">
        <w:rPr>
          <w:lang w:val="en-CA"/>
        </w:rPr>
        <w:t xml:space="preserve">paration </w:t>
      </w:r>
      <w:r w:rsidR="00D645BC" w:rsidRPr="00361455">
        <w:rPr>
          <w:lang w:val="en-CA"/>
        </w:rPr>
        <w:t xml:space="preserve">must take place both before the trial and fairly close to the time when the </w:t>
      </w:r>
      <w:r w:rsidR="000A3725" w:rsidRPr="00361455">
        <w:rPr>
          <w:lang w:val="en-CA"/>
        </w:rPr>
        <w:t>testimony</w:t>
      </w:r>
      <w:r w:rsidR="00D645BC" w:rsidRPr="00361455">
        <w:rPr>
          <w:lang w:val="en-CA"/>
        </w:rPr>
        <w:t xml:space="preserve"> will be given. C</w:t>
      </w:r>
      <w:r w:rsidR="000A3725" w:rsidRPr="00361455">
        <w:rPr>
          <w:lang w:val="en-CA"/>
        </w:rPr>
        <w:t xml:space="preserve">ounsel </w:t>
      </w:r>
      <w:r w:rsidR="00D645BC" w:rsidRPr="00361455">
        <w:rPr>
          <w:lang w:val="en-CA"/>
        </w:rPr>
        <w:t xml:space="preserve">who are satisfied with one meeting before the trial, without more, clearly do not meet the standard, especially in the </w:t>
      </w:r>
      <w:r w:rsidR="000A3725" w:rsidRPr="00361455">
        <w:rPr>
          <w:lang w:val="en-CA"/>
        </w:rPr>
        <w:t xml:space="preserve">context </w:t>
      </w:r>
      <w:r w:rsidR="00D645BC" w:rsidRPr="00361455">
        <w:rPr>
          <w:lang w:val="en-CA"/>
        </w:rPr>
        <w:t xml:space="preserve">where the defence is likely to rest on the </w:t>
      </w:r>
      <w:r w:rsidR="000A3725" w:rsidRPr="00361455">
        <w:rPr>
          <w:lang w:val="en-CA"/>
        </w:rPr>
        <w:t>testimony</w:t>
      </w:r>
      <w:r w:rsidR="00D645BC" w:rsidRPr="00361455">
        <w:rPr>
          <w:lang w:val="en-CA"/>
        </w:rPr>
        <w:t xml:space="preserve"> of their </w:t>
      </w:r>
      <w:r w:rsidR="000A3725" w:rsidRPr="00361455">
        <w:rPr>
          <w:lang w:val="en-CA"/>
        </w:rPr>
        <w:t>client.</w:t>
      </w:r>
    </w:p>
    <w:p w14:paraId="48EC0BE9" w14:textId="48717126" w:rsidR="005C6B8A" w:rsidRPr="00361455" w:rsidRDefault="00D645BC" w:rsidP="002404D2">
      <w:pPr>
        <w:pStyle w:val="Paragraphe"/>
        <w:spacing w:line="280" w:lineRule="exact"/>
        <w:rPr>
          <w:lang w:val="en-CA"/>
        </w:rPr>
      </w:pPr>
      <w:r w:rsidRPr="00361455">
        <w:rPr>
          <w:lang w:val="en-CA"/>
        </w:rPr>
        <w:t xml:space="preserve">The fresh </w:t>
      </w:r>
      <w:r w:rsidR="000A3725" w:rsidRPr="00361455">
        <w:rPr>
          <w:lang w:val="en-CA"/>
        </w:rPr>
        <w:t>evidence</w:t>
      </w:r>
      <w:r w:rsidRPr="00361455">
        <w:rPr>
          <w:lang w:val="en-CA"/>
        </w:rPr>
        <w:t xml:space="preserve"> gathered and filed establishes that </w:t>
      </w:r>
      <w:r w:rsidR="006D5D7B" w:rsidRPr="00361455">
        <w:rPr>
          <w:lang w:val="en-CA"/>
        </w:rPr>
        <w:t xml:space="preserve">trial </w:t>
      </w:r>
      <w:r w:rsidR="000A3725" w:rsidRPr="00361455">
        <w:rPr>
          <w:lang w:val="en-CA"/>
        </w:rPr>
        <w:t>counsel</w:t>
      </w:r>
      <w:r w:rsidR="004A4B7C" w:rsidRPr="00361455">
        <w:rPr>
          <w:lang w:val="en-CA"/>
        </w:rPr>
        <w:t xml:space="preserve"> was confronted very early on with the fact that the </w:t>
      </w:r>
      <w:r w:rsidR="000A3725" w:rsidRPr="00361455">
        <w:rPr>
          <w:lang w:val="en-CA"/>
        </w:rPr>
        <w:t>appellant</w:t>
      </w:r>
      <w:r w:rsidR="004A4B7C" w:rsidRPr="00361455">
        <w:rPr>
          <w:lang w:val="en-CA"/>
        </w:rPr>
        <w:t xml:space="preserve"> had </w:t>
      </w:r>
      <w:r w:rsidR="000A3725" w:rsidRPr="00361455">
        <w:rPr>
          <w:lang w:val="en-CA"/>
        </w:rPr>
        <w:t>difficult</w:t>
      </w:r>
      <w:r w:rsidR="004A4B7C" w:rsidRPr="00361455">
        <w:rPr>
          <w:lang w:val="en-CA"/>
        </w:rPr>
        <w:t xml:space="preserve">y familiarizing himself with the </w:t>
      </w:r>
      <w:r w:rsidR="000A3725" w:rsidRPr="00361455">
        <w:rPr>
          <w:lang w:val="en-CA"/>
        </w:rPr>
        <w:t>evidence</w:t>
      </w:r>
      <w:r w:rsidR="004A4B7C" w:rsidRPr="00361455">
        <w:rPr>
          <w:lang w:val="en-CA"/>
        </w:rPr>
        <w:t xml:space="preserve"> on his own. C</w:t>
      </w:r>
      <w:r w:rsidR="000A3725" w:rsidRPr="00361455">
        <w:rPr>
          <w:lang w:val="en-CA"/>
        </w:rPr>
        <w:t>ounsel</w:t>
      </w:r>
      <w:r w:rsidR="004A4B7C" w:rsidRPr="00361455">
        <w:rPr>
          <w:lang w:val="en-CA"/>
        </w:rPr>
        <w:t xml:space="preserve"> testified that he had to read the </w:t>
      </w:r>
      <w:r w:rsidR="000A3725" w:rsidRPr="00361455">
        <w:rPr>
          <w:lang w:val="en-CA"/>
        </w:rPr>
        <w:t>evidence</w:t>
      </w:r>
      <w:r w:rsidR="004A4B7C" w:rsidRPr="00361455">
        <w:rPr>
          <w:lang w:val="en-CA"/>
        </w:rPr>
        <w:t xml:space="preserve"> to him because the </w:t>
      </w:r>
      <w:r w:rsidR="000A3725" w:rsidRPr="00361455">
        <w:rPr>
          <w:lang w:val="en-CA"/>
        </w:rPr>
        <w:t xml:space="preserve">appellant </w:t>
      </w:r>
      <w:r w:rsidR="004A4B7C" w:rsidRPr="00361455">
        <w:rPr>
          <w:lang w:val="en-CA"/>
        </w:rPr>
        <w:t>seemed to have a hard time doing so. C</w:t>
      </w:r>
      <w:r w:rsidR="000A3725" w:rsidRPr="00361455">
        <w:rPr>
          <w:lang w:val="en-CA"/>
        </w:rPr>
        <w:t>ounsel</w:t>
      </w:r>
      <w:r w:rsidR="004A4B7C" w:rsidRPr="00361455">
        <w:rPr>
          <w:lang w:val="en-CA"/>
        </w:rPr>
        <w:t xml:space="preserve"> was also unable to say with a </w:t>
      </w:r>
      <w:r w:rsidR="000A3725" w:rsidRPr="00361455">
        <w:rPr>
          <w:lang w:val="en-CA"/>
        </w:rPr>
        <w:t>reasonable</w:t>
      </w:r>
      <w:r w:rsidR="004A4B7C" w:rsidRPr="00361455">
        <w:rPr>
          <w:lang w:val="en-CA"/>
        </w:rPr>
        <w:t xml:space="preserve"> degree of certainty whether the </w:t>
      </w:r>
      <w:r w:rsidR="000A3725" w:rsidRPr="00361455">
        <w:rPr>
          <w:lang w:val="en-CA"/>
        </w:rPr>
        <w:t>evidence</w:t>
      </w:r>
      <w:r w:rsidR="004A4B7C" w:rsidRPr="00361455">
        <w:rPr>
          <w:lang w:val="en-CA"/>
        </w:rPr>
        <w:t xml:space="preserve"> disclosed by the </w:t>
      </w:r>
      <w:r w:rsidR="000A3725" w:rsidRPr="00361455">
        <w:rPr>
          <w:lang w:val="en-CA"/>
        </w:rPr>
        <w:t>Crown</w:t>
      </w:r>
      <w:r w:rsidR="004A4B7C" w:rsidRPr="00361455">
        <w:rPr>
          <w:lang w:val="en-CA"/>
        </w:rPr>
        <w:t xml:space="preserve"> was provided to the </w:t>
      </w:r>
      <w:r w:rsidR="000A3725" w:rsidRPr="00361455">
        <w:rPr>
          <w:lang w:val="en-CA"/>
        </w:rPr>
        <w:t>appellant.</w:t>
      </w:r>
      <w:r w:rsidR="004A4B7C" w:rsidRPr="00361455">
        <w:rPr>
          <w:lang w:val="en-CA"/>
        </w:rPr>
        <w:t xml:space="preserve"> He may have provided it to him, more than a year before the trial</w:t>
      </w:r>
      <w:r w:rsidR="000A3725" w:rsidRPr="00361455">
        <w:rPr>
          <w:lang w:val="en-CA"/>
        </w:rPr>
        <w:t>.</w:t>
      </w:r>
    </w:p>
    <w:p w14:paraId="2291D146" w14:textId="0B264A72" w:rsidR="005C6B8A" w:rsidRPr="00361455" w:rsidRDefault="0063732A" w:rsidP="002404D2">
      <w:pPr>
        <w:pStyle w:val="Paragraphe"/>
        <w:spacing w:line="280" w:lineRule="exact"/>
        <w:rPr>
          <w:lang w:val="en-CA"/>
        </w:rPr>
      </w:pPr>
      <w:r w:rsidRPr="00361455">
        <w:rPr>
          <w:lang w:val="en-CA"/>
        </w:rPr>
        <w:t>C</w:t>
      </w:r>
      <w:r w:rsidR="000A3725" w:rsidRPr="00361455">
        <w:rPr>
          <w:lang w:val="en-CA"/>
        </w:rPr>
        <w:t>ounsel</w:t>
      </w:r>
      <w:r w:rsidRPr="00361455">
        <w:rPr>
          <w:lang w:val="en-CA"/>
        </w:rPr>
        <w:t xml:space="preserve"> agreed during his </w:t>
      </w:r>
      <w:r w:rsidR="000A3725" w:rsidRPr="00361455">
        <w:rPr>
          <w:lang w:val="en-CA"/>
        </w:rPr>
        <w:t xml:space="preserve">testimony </w:t>
      </w:r>
      <w:r w:rsidR="00D2293D" w:rsidRPr="00361455">
        <w:rPr>
          <w:lang w:val="en-CA"/>
        </w:rPr>
        <w:t xml:space="preserve">given as part of the </w:t>
      </w:r>
      <w:r w:rsidR="000A3725" w:rsidRPr="00361455">
        <w:rPr>
          <w:lang w:val="en-CA"/>
        </w:rPr>
        <w:t>fresh</w:t>
      </w:r>
      <w:r w:rsidR="00D2293D" w:rsidRPr="00361455">
        <w:rPr>
          <w:lang w:val="en-CA"/>
        </w:rPr>
        <w:t xml:space="preserve"> </w:t>
      </w:r>
      <w:r w:rsidR="000A3725" w:rsidRPr="00361455">
        <w:rPr>
          <w:lang w:val="en-CA"/>
        </w:rPr>
        <w:t>evidence</w:t>
      </w:r>
      <w:r w:rsidR="00D2293D" w:rsidRPr="00361455">
        <w:rPr>
          <w:lang w:val="en-CA"/>
        </w:rPr>
        <w:t xml:space="preserve"> that the </w:t>
      </w:r>
      <w:r w:rsidR="000A3725" w:rsidRPr="00361455">
        <w:rPr>
          <w:lang w:val="en-CA"/>
        </w:rPr>
        <w:t>appellant</w:t>
      </w:r>
      <w:r w:rsidR="00D2293D" w:rsidRPr="00361455">
        <w:rPr>
          <w:lang w:val="en-CA"/>
        </w:rPr>
        <w:t xml:space="preserve"> genuinely required pre</w:t>
      </w:r>
      <w:r w:rsidR="000A3725" w:rsidRPr="00361455">
        <w:rPr>
          <w:lang w:val="en-CA"/>
        </w:rPr>
        <w:t xml:space="preserve">paration. </w:t>
      </w:r>
      <w:r w:rsidR="00D2293D" w:rsidRPr="00361455">
        <w:rPr>
          <w:lang w:val="en-CA"/>
        </w:rPr>
        <w:t>He nevertheless waited until the start of the trial to [</w:t>
      </w:r>
      <w:r w:rsidR="00D2293D" w:rsidRPr="00361455">
        <w:rPr>
          <w:smallCaps/>
          <w:lang w:val="en-CA"/>
        </w:rPr>
        <w:t>translation</w:t>
      </w:r>
      <w:r w:rsidR="00D2293D" w:rsidRPr="00361455">
        <w:rPr>
          <w:lang w:val="en-CA"/>
        </w:rPr>
        <w:t xml:space="preserve">] “prepare” him. </w:t>
      </w:r>
      <w:r w:rsidR="000A3725" w:rsidRPr="00361455">
        <w:rPr>
          <w:lang w:val="en-CA"/>
        </w:rPr>
        <w:t>To</w:t>
      </w:r>
      <w:r w:rsidR="00D2293D" w:rsidRPr="00361455">
        <w:rPr>
          <w:lang w:val="en-CA"/>
        </w:rPr>
        <w:t xml:space="preserve"> </w:t>
      </w:r>
      <w:r w:rsidR="000A3725" w:rsidRPr="00361455">
        <w:rPr>
          <w:lang w:val="en-CA"/>
        </w:rPr>
        <w:t>that</w:t>
      </w:r>
      <w:r w:rsidR="00D2293D" w:rsidRPr="00361455">
        <w:rPr>
          <w:lang w:val="en-CA"/>
        </w:rPr>
        <w:t xml:space="preserve"> </w:t>
      </w:r>
      <w:r w:rsidR="000A3725" w:rsidRPr="00361455">
        <w:rPr>
          <w:lang w:val="en-CA"/>
        </w:rPr>
        <w:t>end,</w:t>
      </w:r>
      <w:r w:rsidR="00D2293D" w:rsidRPr="00361455">
        <w:rPr>
          <w:lang w:val="en-CA"/>
        </w:rPr>
        <w:t xml:space="preserve"> he had reserved several hours for a meeting on August </w:t>
      </w:r>
      <w:r w:rsidR="000A3725" w:rsidRPr="00361455">
        <w:rPr>
          <w:lang w:val="en-CA"/>
        </w:rPr>
        <w:t>12</w:t>
      </w:r>
      <w:r w:rsidR="00D2293D" w:rsidRPr="00361455">
        <w:rPr>
          <w:lang w:val="en-CA"/>
        </w:rPr>
        <w:t xml:space="preserve">, </w:t>
      </w:r>
      <w:r w:rsidR="000A3725" w:rsidRPr="00361455">
        <w:rPr>
          <w:lang w:val="en-CA"/>
        </w:rPr>
        <w:t xml:space="preserve">2020, </w:t>
      </w:r>
      <w:r w:rsidR="00D2293D" w:rsidRPr="00361455">
        <w:rPr>
          <w:lang w:val="en-CA"/>
        </w:rPr>
        <w:t xml:space="preserve">the day before the </w:t>
      </w:r>
      <w:r w:rsidR="00185A45">
        <w:rPr>
          <w:lang w:val="en-CA"/>
        </w:rPr>
        <w:t>continuance</w:t>
      </w:r>
      <w:r w:rsidR="00185A45" w:rsidRPr="00361455">
        <w:rPr>
          <w:lang w:val="en-CA"/>
        </w:rPr>
        <w:t xml:space="preserve"> </w:t>
      </w:r>
      <w:r w:rsidR="00D2293D" w:rsidRPr="00361455">
        <w:rPr>
          <w:lang w:val="en-CA"/>
        </w:rPr>
        <w:t xml:space="preserve">of the trial, which had started on August </w:t>
      </w:r>
      <w:r w:rsidR="000A3725" w:rsidRPr="00361455">
        <w:rPr>
          <w:lang w:val="en-CA"/>
        </w:rPr>
        <w:t>5. Contra</w:t>
      </w:r>
      <w:r w:rsidR="00D2293D" w:rsidRPr="00361455">
        <w:rPr>
          <w:lang w:val="en-CA"/>
        </w:rPr>
        <w:t xml:space="preserve">ry to what </w:t>
      </w:r>
      <w:r w:rsidR="000A3725" w:rsidRPr="00361455">
        <w:rPr>
          <w:lang w:val="en-CA"/>
        </w:rPr>
        <w:t>counsel</w:t>
      </w:r>
      <w:r w:rsidR="00D2293D" w:rsidRPr="00361455">
        <w:rPr>
          <w:lang w:val="en-CA"/>
        </w:rPr>
        <w:t xml:space="preserve"> suggested with some insistence</w:t>
      </w:r>
      <w:r w:rsidR="000A3725" w:rsidRPr="00361455">
        <w:rPr>
          <w:lang w:val="en-CA"/>
        </w:rPr>
        <w:t xml:space="preserve">, </w:t>
      </w:r>
      <w:r w:rsidR="00D2293D" w:rsidRPr="00361455">
        <w:rPr>
          <w:lang w:val="en-CA"/>
        </w:rPr>
        <w:t xml:space="preserve">there is nothing to support the fact that the </w:t>
      </w:r>
      <w:r w:rsidR="000A3725" w:rsidRPr="00361455">
        <w:rPr>
          <w:lang w:val="en-CA"/>
        </w:rPr>
        <w:t>appellant refus</w:t>
      </w:r>
      <w:r w:rsidR="00D2293D" w:rsidRPr="00361455">
        <w:rPr>
          <w:lang w:val="en-CA"/>
        </w:rPr>
        <w:t xml:space="preserve">ed to attend this meeting. Instead, the fresh </w:t>
      </w:r>
      <w:r w:rsidR="000A3725" w:rsidRPr="00361455">
        <w:rPr>
          <w:lang w:val="en-CA"/>
        </w:rPr>
        <w:lastRenderedPageBreak/>
        <w:t>evidence</w:t>
      </w:r>
      <w:r w:rsidR="00903E35" w:rsidRPr="00361455">
        <w:rPr>
          <w:lang w:val="en-CA"/>
        </w:rPr>
        <w:t xml:space="preserve"> establishes that the </w:t>
      </w:r>
      <w:r w:rsidR="000A3725" w:rsidRPr="00361455">
        <w:rPr>
          <w:lang w:val="en-CA"/>
        </w:rPr>
        <w:t>appellant</w:t>
      </w:r>
      <w:r w:rsidR="00903E35" w:rsidRPr="00361455">
        <w:rPr>
          <w:lang w:val="en-CA"/>
        </w:rPr>
        <w:t xml:space="preserve"> and his mother were late and that counsel, who did not want to meet with his client in the evening, postponed the meeting until the next morning at the courthouse</w:t>
      </w:r>
      <w:r w:rsidR="000A3725" w:rsidRPr="00361455">
        <w:rPr>
          <w:lang w:val="en-CA"/>
        </w:rPr>
        <w:t xml:space="preserve">. </w:t>
      </w:r>
    </w:p>
    <w:p w14:paraId="4F1625EC" w14:textId="62663CDF" w:rsidR="005C6B8A" w:rsidRPr="00361455" w:rsidRDefault="00903E35" w:rsidP="002404D2">
      <w:pPr>
        <w:pStyle w:val="Paragraphe"/>
        <w:spacing w:line="280" w:lineRule="exact"/>
        <w:rPr>
          <w:lang w:val="en-CA"/>
        </w:rPr>
      </w:pPr>
      <w:r w:rsidRPr="00361455">
        <w:rPr>
          <w:lang w:val="en-CA"/>
        </w:rPr>
        <w:t xml:space="preserve">Several </w:t>
      </w:r>
      <w:r w:rsidR="000A3725" w:rsidRPr="00361455">
        <w:rPr>
          <w:lang w:val="en-CA"/>
        </w:rPr>
        <w:t>witness</w:t>
      </w:r>
      <w:r w:rsidRPr="00361455">
        <w:rPr>
          <w:lang w:val="en-CA"/>
        </w:rPr>
        <w:t xml:space="preserve">es provided probative </w:t>
      </w:r>
      <w:r w:rsidR="000A3725" w:rsidRPr="00361455">
        <w:rPr>
          <w:lang w:val="en-CA"/>
        </w:rPr>
        <w:t>evidence</w:t>
      </w:r>
      <w:r w:rsidRPr="00361455">
        <w:rPr>
          <w:lang w:val="en-CA"/>
        </w:rPr>
        <w:t xml:space="preserve"> of counsel’s de</w:t>
      </w:r>
      <w:r w:rsidR="000A3725" w:rsidRPr="00361455">
        <w:rPr>
          <w:lang w:val="en-CA"/>
        </w:rPr>
        <w:t>ficient</w:t>
      </w:r>
      <w:r w:rsidRPr="00361455">
        <w:rPr>
          <w:lang w:val="en-CA"/>
        </w:rPr>
        <w:t xml:space="preserve"> follow-up between June </w:t>
      </w:r>
      <w:r w:rsidR="000A3725" w:rsidRPr="00361455">
        <w:rPr>
          <w:lang w:val="en-CA"/>
        </w:rPr>
        <w:t xml:space="preserve">2019 </w:t>
      </w:r>
      <w:r w:rsidRPr="00361455">
        <w:rPr>
          <w:lang w:val="en-CA"/>
        </w:rPr>
        <w:t xml:space="preserve">and the trial in August </w:t>
      </w:r>
      <w:r w:rsidR="000A3725" w:rsidRPr="00361455">
        <w:rPr>
          <w:lang w:val="en-CA"/>
        </w:rPr>
        <w:t xml:space="preserve">2020. </w:t>
      </w:r>
      <w:r w:rsidRPr="00361455">
        <w:rPr>
          <w:lang w:val="en-CA"/>
        </w:rPr>
        <w:t xml:space="preserve">The explanations provided by </w:t>
      </w:r>
      <w:r w:rsidR="000A3725" w:rsidRPr="00361455">
        <w:rPr>
          <w:lang w:val="en-CA"/>
        </w:rPr>
        <w:t>counsel</w:t>
      </w:r>
      <w:r w:rsidRPr="00361455">
        <w:rPr>
          <w:lang w:val="en-CA"/>
        </w:rPr>
        <w:t xml:space="preserve"> at best merely raise a doubt as to this general </w:t>
      </w:r>
      <w:r w:rsidR="000A3725" w:rsidRPr="00361455">
        <w:rPr>
          <w:lang w:val="en-CA"/>
        </w:rPr>
        <w:t>description</w:t>
      </w:r>
      <w:r w:rsidRPr="00361455">
        <w:rPr>
          <w:lang w:val="en-CA"/>
        </w:rPr>
        <w:t xml:space="preserve"> and are insufficient to reject it</w:t>
      </w:r>
      <w:r w:rsidR="000A3725" w:rsidRPr="00361455">
        <w:rPr>
          <w:lang w:val="en-CA"/>
        </w:rPr>
        <w:t xml:space="preserve">. </w:t>
      </w:r>
    </w:p>
    <w:p w14:paraId="1FB9B11E" w14:textId="3114736D" w:rsidR="005C6B8A" w:rsidRPr="00361455" w:rsidRDefault="00697159" w:rsidP="002404D2">
      <w:pPr>
        <w:pStyle w:val="Paragraphe"/>
        <w:spacing w:line="280" w:lineRule="exact"/>
        <w:rPr>
          <w:lang w:val="en-CA"/>
        </w:rPr>
      </w:pPr>
      <w:r w:rsidRPr="00361455">
        <w:rPr>
          <w:lang w:val="en-CA"/>
        </w:rPr>
        <w:t xml:space="preserve">While the </w:t>
      </w:r>
      <w:r w:rsidR="000A3725" w:rsidRPr="00361455">
        <w:rPr>
          <w:lang w:val="en-CA"/>
        </w:rPr>
        <w:t>Court</w:t>
      </w:r>
      <w:r w:rsidRPr="00361455">
        <w:rPr>
          <w:lang w:val="en-CA"/>
        </w:rPr>
        <w:t xml:space="preserve"> agrees that the </w:t>
      </w:r>
      <w:r w:rsidR="000A3725" w:rsidRPr="00361455">
        <w:rPr>
          <w:lang w:val="en-CA"/>
        </w:rPr>
        <w:t>appellant</w:t>
      </w:r>
      <w:r w:rsidRPr="00361455">
        <w:rPr>
          <w:lang w:val="en-CA"/>
        </w:rPr>
        <w:t xml:space="preserve">’s version of his </w:t>
      </w:r>
      <w:r w:rsidR="000A3725" w:rsidRPr="00361455">
        <w:rPr>
          <w:lang w:val="en-CA"/>
        </w:rPr>
        <w:t>relation</w:t>
      </w:r>
      <w:r w:rsidRPr="00361455">
        <w:rPr>
          <w:lang w:val="en-CA"/>
        </w:rPr>
        <w:t xml:space="preserve">ship with his </w:t>
      </w:r>
      <w:r w:rsidR="000A3725" w:rsidRPr="00361455">
        <w:rPr>
          <w:lang w:val="en-CA"/>
        </w:rPr>
        <w:t>counsel</w:t>
      </w:r>
      <w:r w:rsidRPr="00361455">
        <w:rPr>
          <w:lang w:val="en-CA"/>
        </w:rPr>
        <w:t xml:space="preserve"> contains difficulties, other </w:t>
      </w:r>
      <w:r w:rsidR="000A3725" w:rsidRPr="00361455">
        <w:rPr>
          <w:lang w:val="en-CA"/>
        </w:rPr>
        <w:t>witness</w:t>
      </w:r>
      <w:r w:rsidRPr="00361455">
        <w:rPr>
          <w:lang w:val="en-CA"/>
        </w:rPr>
        <w:t>es</w:t>
      </w:r>
      <w:r w:rsidR="000A3725" w:rsidRPr="00361455">
        <w:rPr>
          <w:lang w:val="en-CA"/>
        </w:rPr>
        <w:t xml:space="preserve"> </w:t>
      </w:r>
      <w:r w:rsidR="0062677C" w:rsidRPr="00361455">
        <w:rPr>
          <w:lang w:val="en-CA"/>
        </w:rPr>
        <w:t xml:space="preserve">strengthen his </w:t>
      </w:r>
      <w:r w:rsidR="000A3725" w:rsidRPr="00361455">
        <w:rPr>
          <w:lang w:val="en-CA"/>
        </w:rPr>
        <w:t>version.</w:t>
      </w:r>
      <w:r w:rsidR="0062677C" w:rsidRPr="00361455">
        <w:rPr>
          <w:lang w:val="en-CA"/>
        </w:rPr>
        <w:t xml:space="preserve"> These </w:t>
      </w:r>
      <w:r w:rsidR="000A3725" w:rsidRPr="00361455">
        <w:rPr>
          <w:lang w:val="en-CA"/>
        </w:rPr>
        <w:t>witness</w:t>
      </w:r>
      <w:r w:rsidR="0062677C" w:rsidRPr="00361455">
        <w:rPr>
          <w:lang w:val="en-CA"/>
        </w:rPr>
        <w:t>es</w:t>
      </w:r>
      <w:r w:rsidR="000A3725" w:rsidRPr="00361455">
        <w:rPr>
          <w:lang w:val="en-CA"/>
        </w:rPr>
        <w:t>,</w:t>
      </w:r>
      <w:r w:rsidR="0062677C" w:rsidRPr="00361455">
        <w:rPr>
          <w:lang w:val="en-CA"/>
        </w:rPr>
        <w:t xml:space="preserve"> including his mother, were involved in his legal problems and in his </w:t>
      </w:r>
      <w:r w:rsidR="000A3725" w:rsidRPr="00361455">
        <w:rPr>
          <w:lang w:val="en-CA"/>
        </w:rPr>
        <w:t>contact</w:t>
      </w:r>
      <w:r w:rsidR="0062677C" w:rsidRPr="00361455">
        <w:rPr>
          <w:lang w:val="en-CA"/>
        </w:rPr>
        <w:t xml:space="preserve"> with his </w:t>
      </w:r>
      <w:r w:rsidR="000A3725" w:rsidRPr="00361455">
        <w:rPr>
          <w:lang w:val="en-CA"/>
        </w:rPr>
        <w:t>counsel.</w:t>
      </w:r>
      <w:r w:rsidR="0062677C" w:rsidRPr="00361455">
        <w:rPr>
          <w:lang w:val="en-CA"/>
        </w:rPr>
        <w:t xml:space="preserve"> The</w:t>
      </w:r>
      <w:r w:rsidR="001F4B73">
        <w:rPr>
          <w:lang w:val="en-CA"/>
        </w:rPr>
        <w:t>s</w:t>
      </w:r>
      <w:r w:rsidR="0062677C" w:rsidRPr="00361455">
        <w:rPr>
          <w:lang w:val="en-CA"/>
        </w:rPr>
        <w:t xml:space="preserve">e </w:t>
      </w:r>
      <w:r w:rsidR="00AF2C1A">
        <w:rPr>
          <w:lang w:val="en-CA"/>
        </w:rPr>
        <w:t xml:space="preserve">witnesses have no </w:t>
      </w:r>
      <w:r w:rsidR="0062677C" w:rsidRPr="00361455">
        <w:rPr>
          <w:lang w:val="en-CA"/>
        </w:rPr>
        <w:t xml:space="preserve">credibility </w:t>
      </w:r>
      <w:r w:rsidR="00AF2C1A">
        <w:rPr>
          <w:lang w:val="en-CA"/>
        </w:rPr>
        <w:t>problem</w:t>
      </w:r>
      <w:r w:rsidR="0062677C" w:rsidRPr="00361455">
        <w:rPr>
          <w:lang w:val="en-CA"/>
        </w:rPr>
        <w:t xml:space="preserve">. Their </w:t>
      </w:r>
      <w:r w:rsidR="000A3725" w:rsidRPr="00361455">
        <w:rPr>
          <w:lang w:val="en-CA"/>
        </w:rPr>
        <w:t>testimon</w:t>
      </w:r>
      <w:r w:rsidR="0062677C" w:rsidRPr="00361455">
        <w:rPr>
          <w:lang w:val="en-CA"/>
        </w:rPr>
        <w:t xml:space="preserve">y adds elements to the </w:t>
      </w:r>
      <w:r w:rsidR="000A3725" w:rsidRPr="00361455">
        <w:rPr>
          <w:lang w:val="en-CA"/>
        </w:rPr>
        <w:t>account</w:t>
      </w:r>
      <w:r w:rsidR="0062677C" w:rsidRPr="00361455">
        <w:rPr>
          <w:lang w:val="en-CA"/>
        </w:rPr>
        <w:t xml:space="preserve"> that are generally in conflict with the account provided by </w:t>
      </w:r>
      <w:r w:rsidR="000A3725" w:rsidRPr="00361455">
        <w:rPr>
          <w:lang w:val="en-CA"/>
        </w:rPr>
        <w:t xml:space="preserve">counsel. </w:t>
      </w:r>
    </w:p>
    <w:p w14:paraId="31CC9255" w14:textId="6518564F" w:rsidR="005C6B8A" w:rsidRPr="00361455" w:rsidRDefault="0069164A" w:rsidP="002404D2">
      <w:pPr>
        <w:pStyle w:val="Paragraphe"/>
        <w:spacing w:line="280" w:lineRule="exact"/>
        <w:rPr>
          <w:lang w:val="en-CA"/>
        </w:rPr>
      </w:pPr>
      <w:r w:rsidRPr="00361455">
        <w:rPr>
          <w:lang w:val="en-CA"/>
        </w:rPr>
        <w:t>It is surprising that counsel provi</w:t>
      </w:r>
      <w:r w:rsidR="00A93CEB" w:rsidRPr="00361455">
        <w:rPr>
          <w:lang w:val="en-CA"/>
        </w:rPr>
        <w:t xml:space="preserve">ded no notes from his file </w:t>
      </w:r>
      <w:r w:rsidR="005809BC">
        <w:rPr>
          <w:lang w:val="en-CA"/>
        </w:rPr>
        <w:t>in</w:t>
      </w:r>
      <w:r w:rsidR="005809BC" w:rsidRPr="00361455">
        <w:rPr>
          <w:lang w:val="en-CA"/>
        </w:rPr>
        <w:t xml:space="preserve"> </w:t>
      </w:r>
      <w:r w:rsidR="00A93CEB" w:rsidRPr="00361455">
        <w:rPr>
          <w:lang w:val="en-CA"/>
        </w:rPr>
        <w:t xml:space="preserve">support </w:t>
      </w:r>
      <w:r w:rsidR="005809BC">
        <w:rPr>
          <w:lang w:val="en-CA"/>
        </w:rPr>
        <w:t xml:space="preserve">of </w:t>
      </w:r>
      <w:r w:rsidR="00A93CEB" w:rsidRPr="00361455">
        <w:rPr>
          <w:lang w:val="en-CA"/>
        </w:rPr>
        <w:t xml:space="preserve">his </w:t>
      </w:r>
      <w:r w:rsidR="000A3725" w:rsidRPr="00361455">
        <w:rPr>
          <w:lang w:val="en-CA"/>
        </w:rPr>
        <w:t>decisions,</w:t>
      </w:r>
      <w:r w:rsidR="00A93CEB" w:rsidRPr="00361455">
        <w:rPr>
          <w:lang w:val="en-CA"/>
        </w:rPr>
        <w:t xml:space="preserve"> his understanding of the issues, his pre</w:t>
      </w:r>
      <w:r w:rsidR="000A3725" w:rsidRPr="00361455">
        <w:rPr>
          <w:lang w:val="en-CA"/>
        </w:rPr>
        <w:t xml:space="preserve">paration </w:t>
      </w:r>
      <w:r w:rsidR="00A93CEB" w:rsidRPr="00361455">
        <w:rPr>
          <w:lang w:val="en-CA"/>
        </w:rPr>
        <w:t xml:space="preserve">of the </w:t>
      </w:r>
      <w:r w:rsidR="000A3725" w:rsidRPr="00361455">
        <w:rPr>
          <w:lang w:val="en-CA"/>
        </w:rPr>
        <w:t>examinations</w:t>
      </w:r>
      <w:r w:rsidR="00A93CEB" w:rsidRPr="00361455">
        <w:rPr>
          <w:lang w:val="en-CA"/>
        </w:rPr>
        <w:t xml:space="preserve"> and c</w:t>
      </w:r>
      <w:r w:rsidR="000A3725" w:rsidRPr="00361455">
        <w:rPr>
          <w:lang w:val="en-CA"/>
        </w:rPr>
        <w:t>ross-examinations</w:t>
      </w:r>
      <w:r w:rsidR="00A93CEB" w:rsidRPr="00361455">
        <w:rPr>
          <w:lang w:val="en-CA"/>
        </w:rPr>
        <w:t xml:space="preserve"> of the witnesses</w:t>
      </w:r>
      <w:r w:rsidR="0018664E">
        <w:rPr>
          <w:lang w:val="en-CA"/>
        </w:rPr>
        <w:t>,</w:t>
      </w:r>
      <w:r w:rsidR="00A93CEB" w:rsidRPr="00361455">
        <w:rPr>
          <w:lang w:val="en-CA"/>
        </w:rPr>
        <w:t xml:space="preserve"> or other subjects. Such notes could have refreshed his memory </w:t>
      </w:r>
      <w:r w:rsidR="005809BC">
        <w:rPr>
          <w:lang w:val="en-CA"/>
        </w:rPr>
        <w:t>when he</w:t>
      </w:r>
      <w:r w:rsidR="00A93CEB" w:rsidRPr="00361455">
        <w:rPr>
          <w:lang w:val="en-CA"/>
        </w:rPr>
        <w:t xml:space="preserve"> draft</w:t>
      </w:r>
      <w:r w:rsidR="005809BC">
        <w:rPr>
          <w:lang w:val="en-CA"/>
        </w:rPr>
        <w:t xml:space="preserve">ed </w:t>
      </w:r>
      <w:r w:rsidR="00A93CEB" w:rsidRPr="00361455">
        <w:rPr>
          <w:lang w:val="en-CA"/>
        </w:rPr>
        <w:t xml:space="preserve">the </w:t>
      </w:r>
      <w:r w:rsidR="000A3725" w:rsidRPr="00361455">
        <w:rPr>
          <w:lang w:val="en-CA"/>
        </w:rPr>
        <w:t>affidavit</w:t>
      </w:r>
      <w:r w:rsidR="00A93CEB" w:rsidRPr="00361455">
        <w:rPr>
          <w:lang w:val="en-CA"/>
        </w:rPr>
        <w:t xml:space="preserve"> he prepared for the purposes of this </w:t>
      </w:r>
      <w:r w:rsidR="000A3725" w:rsidRPr="00361455">
        <w:rPr>
          <w:lang w:val="en-CA"/>
        </w:rPr>
        <w:t>appeal</w:t>
      </w:r>
      <w:r w:rsidR="00A93CEB" w:rsidRPr="00361455">
        <w:rPr>
          <w:lang w:val="en-CA"/>
        </w:rPr>
        <w:t>. Th</w:t>
      </w:r>
      <w:r w:rsidR="00996494">
        <w:rPr>
          <w:lang w:val="en-CA"/>
        </w:rPr>
        <w:t>u</w:t>
      </w:r>
      <w:r w:rsidR="00A93CEB" w:rsidRPr="00361455">
        <w:rPr>
          <w:lang w:val="en-CA"/>
        </w:rPr>
        <w:t xml:space="preserve">s, </w:t>
      </w:r>
      <w:r w:rsidR="000A3725" w:rsidRPr="00361455">
        <w:rPr>
          <w:lang w:val="en-CA"/>
        </w:rPr>
        <w:t>counsel</w:t>
      </w:r>
      <w:r w:rsidR="00A93CEB" w:rsidRPr="00361455">
        <w:rPr>
          <w:lang w:val="en-CA"/>
        </w:rPr>
        <w:t xml:space="preserve"> testified essentially from memory about his </w:t>
      </w:r>
      <w:r w:rsidR="000A3725" w:rsidRPr="00361455">
        <w:rPr>
          <w:lang w:val="en-CA"/>
        </w:rPr>
        <w:t>contact</w:t>
      </w:r>
      <w:r w:rsidR="00A93CEB" w:rsidRPr="00361455">
        <w:rPr>
          <w:lang w:val="en-CA"/>
        </w:rPr>
        <w:t xml:space="preserve"> with the </w:t>
      </w:r>
      <w:r w:rsidR="000A3725" w:rsidRPr="00361455">
        <w:rPr>
          <w:lang w:val="en-CA"/>
        </w:rPr>
        <w:t>appellant</w:t>
      </w:r>
      <w:r w:rsidR="00A93CEB" w:rsidRPr="00361455">
        <w:rPr>
          <w:lang w:val="en-CA"/>
        </w:rPr>
        <w:t xml:space="preserve"> and his [</w:t>
      </w:r>
      <w:r w:rsidR="00A93CEB" w:rsidRPr="00361455">
        <w:rPr>
          <w:smallCaps/>
          <w:lang w:val="en-CA"/>
        </w:rPr>
        <w:t>translation</w:t>
      </w:r>
      <w:r w:rsidR="00A93CEB" w:rsidRPr="00361455">
        <w:rPr>
          <w:lang w:val="en-CA"/>
        </w:rPr>
        <w:t>] “</w:t>
      </w:r>
      <w:r w:rsidR="000A3725" w:rsidRPr="00361455">
        <w:rPr>
          <w:lang w:val="en-CA"/>
        </w:rPr>
        <w:t>pr</w:t>
      </w:r>
      <w:r w:rsidR="00A93CEB" w:rsidRPr="00361455">
        <w:rPr>
          <w:lang w:val="en-CA"/>
        </w:rPr>
        <w:t>e</w:t>
      </w:r>
      <w:r w:rsidR="000A3725" w:rsidRPr="00361455">
        <w:rPr>
          <w:lang w:val="en-CA"/>
        </w:rPr>
        <w:t>paration</w:t>
      </w:r>
      <w:r w:rsidR="00A93CEB" w:rsidRPr="00361455">
        <w:rPr>
          <w:lang w:val="en-CA"/>
        </w:rPr>
        <w:t>”</w:t>
      </w:r>
      <w:r w:rsidR="000A3725" w:rsidRPr="00361455">
        <w:rPr>
          <w:lang w:val="en-CA"/>
        </w:rPr>
        <w:t xml:space="preserve">, </w:t>
      </w:r>
      <w:r w:rsidR="00F332A9" w:rsidRPr="00361455">
        <w:rPr>
          <w:lang w:val="en-CA"/>
        </w:rPr>
        <w:t>generally deducing answers, which were often vague or un</w:t>
      </w:r>
      <w:r w:rsidR="000A3725" w:rsidRPr="00361455">
        <w:rPr>
          <w:lang w:val="en-CA"/>
        </w:rPr>
        <w:t>certain.</w:t>
      </w:r>
      <w:r w:rsidR="00AF1D78" w:rsidRPr="00361455">
        <w:rPr>
          <w:lang w:val="en-CA"/>
        </w:rPr>
        <w:t xml:space="preserve"> I</w:t>
      </w:r>
      <w:r w:rsidR="000A3725" w:rsidRPr="00361455">
        <w:rPr>
          <w:lang w:val="en-CA"/>
        </w:rPr>
        <w:t>n</w:t>
      </w:r>
      <w:r w:rsidR="00AF1D78" w:rsidRPr="00361455">
        <w:rPr>
          <w:lang w:val="en-CA"/>
        </w:rPr>
        <w:t xml:space="preserve"> </w:t>
      </w:r>
      <w:r w:rsidR="000A3725" w:rsidRPr="00361455">
        <w:rPr>
          <w:lang w:val="en-CA"/>
        </w:rPr>
        <w:t>addition,</w:t>
      </w:r>
      <w:r w:rsidR="00AF1D78" w:rsidRPr="00361455">
        <w:rPr>
          <w:lang w:val="en-CA"/>
        </w:rPr>
        <w:t xml:space="preserve"> the </w:t>
      </w:r>
      <w:r w:rsidR="000A3725" w:rsidRPr="00361455">
        <w:rPr>
          <w:lang w:val="en-CA"/>
        </w:rPr>
        <w:t xml:space="preserve">description </w:t>
      </w:r>
      <w:r w:rsidR="00AF1D78" w:rsidRPr="00361455">
        <w:rPr>
          <w:lang w:val="en-CA"/>
        </w:rPr>
        <w:t xml:space="preserve">of the </w:t>
      </w:r>
      <w:r w:rsidR="000A3725" w:rsidRPr="00361455">
        <w:rPr>
          <w:lang w:val="en-CA"/>
        </w:rPr>
        <w:t>profession</w:t>
      </w:r>
      <w:r w:rsidR="00AF1D78" w:rsidRPr="00361455">
        <w:rPr>
          <w:lang w:val="en-CA"/>
        </w:rPr>
        <w:t>a</w:t>
      </w:r>
      <w:r w:rsidR="000A3725" w:rsidRPr="00361455">
        <w:rPr>
          <w:lang w:val="en-CA"/>
        </w:rPr>
        <w:t>l</w:t>
      </w:r>
      <w:r w:rsidR="00AF1D78" w:rsidRPr="00361455">
        <w:rPr>
          <w:lang w:val="en-CA"/>
        </w:rPr>
        <w:t xml:space="preserve"> acts </w:t>
      </w:r>
      <w:r w:rsidR="00564363">
        <w:rPr>
          <w:lang w:val="en-CA"/>
        </w:rPr>
        <w:t>o</w:t>
      </w:r>
      <w:r w:rsidR="00AF1D78" w:rsidRPr="00361455">
        <w:rPr>
          <w:lang w:val="en-CA"/>
        </w:rPr>
        <w:t xml:space="preserve">n his </w:t>
      </w:r>
      <w:r w:rsidR="00564363">
        <w:rPr>
          <w:lang w:val="en-CA"/>
        </w:rPr>
        <w:t xml:space="preserve">invoices </w:t>
      </w:r>
      <w:r w:rsidR="00AF1D78" w:rsidRPr="00361455">
        <w:rPr>
          <w:lang w:val="en-CA"/>
        </w:rPr>
        <w:t>hardly supports his general explanation on the time invested in the case and the time spent with his client, in short, on the services he now claims to have rendered</w:t>
      </w:r>
      <w:r w:rsidR="000A3725" w:rsidRPr="00361455">
        <w:rPr>
          <w:lang w:val="en-CA"/>
        </w:rPr>
        <w:t>.</w:t>
      </w:r>
    </w:p>
    <w:p w14:paraId="101696D5" w14:textId="3B0229B0" w:rsidR="005C6B8A" w:rsidRPr="00361455" w:rsidRDefault="00F453E1" w:rsidP="002404D2">
      <w:pPr>
        <w:pStyle w:val="Paragraphe"/>
        <w:spacing w:line="280" w:lineRule="exact"/>
        <w:rPr>
          <w:lang w:val="en-CA"/>
        </w:rPr>
      </w:pPr>
      <w:r w:rsidRPr="00361455">
        <w:rPr>
          <w:lang w:val="en-CA"/>
        </w:rPr>
        <w:t xml:space="preserve">I therefore find that </w:t>
      </w:r>
      <w:r w:rsidR="000A3725" w:rsidRPr="00361455">
        <w:rPr>
          <w:lang w:val="en-CA"/>
        </w:rPr>
        <w:t>counsel</w:t>
      </w:r>
      <w:r w:rsidRPr="00361455">
        <w:rPr>
          <w:lang w:val="en-CA"/>
        </w:rPr>
        <w:t xml:space="preserve"> met with his client on one or maybe two occasions. If that is the case, these meeting</w:t>
      </w:r>
      <w:r w:rsidR="000A3725">
        <w:rPr>
          <w:lang w:val="en-CA"/>
        </w:rPr>
        <w:t>s</w:t>
      </w:r>
      <w:r w:rsidRPr="00361455">
        <w:rPr>
          <w:lang w:val="en-CA"/>
        </w:rPr>
        <w:t xml:space="preserve">, held a year before the trial, were simply inadequate to prepare his </w:t>
      </w:r>
      <w:r w:rsidR="000A3725" w:rsidRPr="00361455">
        <w:rPr>
          <w:lang w:val="en-CA"/>
        </w:rPr>
        <w:t xml:space="preserve">testimony. </w:t>
      </w:r>
    </w:p>
    <w:p w14:paraId="4DA51596" w14:textId="6C49A19D" w:rsidR="005C6B8A" w:rsidRPr="00361455" w:rsidRDefault="00EE6F5D" w:rsidP="002404D2">
      <w:pPr>
        <w:pStyle w:val="Paragraphe"/>
        <w:spacing w:line="280" w:lineRule="exact"/>
        <w:rPr>
          <w:lang w:val="en-CA"/>
        </w:rPr>
      </w:pPr>
      <w:r w:rsidRPr="00361455">
        <w:rPr>
          <w:lang w:val="en-CA"/>
        </w:rPr>
        <w:t xml:space="preserve">While it must be </w:t>
      </w:r>
      <w:r w:rsidR="000A3725" w:rsidRPr="00361455">
        <w:rPr>
          <w:lang w:val="en-CA"/>
        </w:rPr>
        <w:t>accepte</w:t>
      </w:r>
      <w:r w:rsidRPr="00361455">
        <w:rPr>
          <w:lang w:val="en-CA"/>
        </w:rPr>
        <w:t xml:space="preserve">d that, one year before the trial, </w:t>
      </w:r>
      <w:r w:rsidR="000A3725" w:rsidRPr="00361455">
        <w:rPr>
          <w:lang w:val="en-CA"/>
        </w:rPr>
        <w:t>counsel</w:t>
      </w:r>
      <w:r w:rsidRPr="00361455">
        <w:rPr>
          <w:lang w:val="en-CA"/>
        </w:rPr>
        <w:t xml:space="preserve"> discussed the incident with his </w:t>
      </w:r>
      <w:r w:rsidR="000A3725" w:rsidRPr="00361455">
        <w:rPr>
          <w:lang w:val="en-CA"/>
        </w:rPr>
        <w:t xml:space="preserve">client </w:t>
      </w:r>
      <w:r w:rsidRPr="00361455">
        <w:rPr>
          <w:lang w:val="en-CA"/>
        </w:rPr>
        <w:t xml:space="preserve">and gave him written </w:t>
      </w:r>
      <w:r w:rsidR="000A3725" w:rsidRPr="00361455">
        <w:rPr>
          <w:lang w:val="en-CA"/>
        </w:rPr>
        <w:t xml:space="preserve">copies </w:t>
      </w:r>
      <w:r w:rsidRPr="00361455">
        <w:rPr>
          <w:lang w:val="en-CA"/>
        </w:rPr>
        <w:t>of the summaries of the statement he gave the police, he nevertheless admi</w:t>
      </w:r>
      <w:r w:rsidR="006D5D7B" w:rsidRPr="00361455">
        <w:rPr>
          <w:lang w:val="en-CA"/>
        </w:rPr>
        <w:t>t</w:t>
      </w:r>
      <w:r w:rsidRPr="00361455">
        <w:rPr>
          <w:lang w:val="en-CA"/>
        </w:rPr>
        <w:t xml:space="preserve">s that he never had him listen to the audio recording of the statement, which was, however, included in the disclosure of </w:t>
      </w:r>
      <w:r w:rsidR="000A3725" w:rsidRPr="00361455">
        <w:rPr>
          <w:lang w:val="en-CA"/>
        </w:rPr>
        <w:t xml:space="preserve">evidence. </w:t>
      </w:r>
    </w:p>
    <w:p w14:paraId="5139FBC6" w14:textId="55BDB730" w:rsidR="005C6B8A" w:rsidRPr="00361455" w:rsidRDefault="006D5D7B" w:rsidP="002404D2">
      <w:pPr>
        <w:pStyle w:val="Paragraphe"/>
        <w:spacing w:line="280" w:lineRule="exact"/>
        <w:rPr>
          <w:lang w:val="en-CA"/>
        </w:rPr>
      </w:pPr>
      <w:r w:rsidRPr="00361455">
        <w:rPr>
          <w:lang w:val="en-CA"/>
        </w:rPr>
        <w:t xml:space="preserve">Reviewing all the important </w:t>
      </w:r>
      <w:r w:rsidR="000A3725" w:rsidRPr="00361455">
        <w:rPr>
          <w:lang w:val="en-CA"/>
        </w:rPr>
        <w:t>evidence,</w:t>
      </w:r>
      <w:r w:rsidRPr="00361455">
        <w:rPr>
          <w:lang w:val="en-CA"/>
        </w:rPr>
        <w:t xml:space="preserve"> such as a recorded statement, is essential to adequate pre</w:t>
      </w:r>
      <w:r w:rsidR="000A3725" w:rsidRPr="00361455">
        <w:rPr>
          <w:lang w:val="en-CA"/>
        </w:rPr>
        <w:t xml:space="preserve">paration. </w:t>
      </w:r>
      <w:r w:rsidRPr="00361455">
        <w:rPr>
          <w:lang w:val="en-CA"/>
        </w:rPr>
        <w:t xml:space="preserve">With great respect, not doing so is probably a significant </w:t>
      </w:r>
      <w:r w:rsidR="000A3725" w:rsidRPr="00361455">
        <w:rPr>
          <w:lang w:val="en-CA"/>
        </w:rPr>
        <w:t>breach</w:t>
      </w:r>
      <w:r w:rsidRPr="00361455">
        <w:rPr>
          <w:lang w:val="en-CA"/>
        </w:rPr>
        <w:t xml:space="preserve"> in all cases, but definitely in the </w:t>
      </w:r>
      <w:r w:rsidR="000A3725" w:rsidRPr="00361455">
        <w:rPr>
          <w:lang w:val="en-CA"/>
        </w:rPr>
        <w:t>circumstances</w:t>
      </w:r>
      <w:r w:rsidRPr="00361455">
        <w:rPr>
          <w:lang w:val="en-CA"/>
        </w:rPr>
        <w:t xml:space="preserve"> of this case. I reiterate that trial </w:t>
      </w:r>
      <w:r w:rsidR="000A3725" w:rsidRPr="00361455">
        <w:rPr>
          <w:lang w:val="en-CA"/>
        </w:rPr>
        <w:t xml:space="preserve">counsel </w:t>
      </w:r>
      <w:r w:rsidR="001E73FA" w:rsidRPr="00361455">
        <w:rPr>
          <w:lang w:val="en-CA"/>
        </w:rPr>
        <w:t xml:space="preserve">admitted that the </w:t>
      </w:r>
      <w:r w:rsidR="000A3725" w:rsidRPr="00361455">
        <w:rPr>
          <w:lang w:val="en-CA"/>
        </w:rPr>
        <w:t>appellant</w:t>
      </w:r>
      <w:r w:rsidR="001E73FA" w:rsidRPr="00361455">
        <w:rPr>
          <w:lang w:val="en-CA"/>
        </w:rPr>
        <w:t xml:space="preserve"> had difficulty reading</w:t>
      </w:r>
      <w:r w:rsidR="000A3725" w:rsidRPr="00361455">
        <w:rPr>
          <w:lang w:val="en-CA"/>
        </w:rPr>
        <w:t xml:space="preserve">. </w:t>
      </w:r>
    </w:p>
    <w:p w14:paraId="387CC46E" w14:textId="628877D9" w:rsidR="005C6B8A" w:rsidRPr="00361455" w:rsidRDefault="001E73FA" w:rsidP="002404D2">
      <w:pPr>
        <w:pStyle w:val="Paragraphe"/>
        <w:spacing w:line="280" w:lineRule="exact"/>
        <w:rPr>
          <w:lang w:val="en-CA"/>
        </w:rPr>
      </w:pPr>
      <w:r w:rsidRPr="00361455">
        <w:rPr>
          <w:lang w:val="en-CA"/>
        </w:rPr>
        <w:t xml:space="preserve">It was only on the morning of the </w:t>
      </w:r>
      <w:r w:rsidR="00185A45">
        <w:rPr>
          <w:lang w:val="en-CA"/>
        </w:rPr>
        <w:t>continuance</w:t>
      </w:r>
      <w:r w:rsidR="00185A45" w:rsidRPr="00361455">
        <w:rPr>
          <w:lang w:val="en-CA"/>
        </w:rPr>
        <w:t xml:space="preserve"> </w:t>
      </w:r>
      <w:r w:rsidRPr="00361455">
        <w:rPr>
          <w:lang w:val="en-CA"/>
        </w:rPr>
        <w:t xml:space="preserve">of </w:t>
      </w:r>
      <w:r w:rsidR="00185A45">
        <w:rPr>
          <w:lang w:val="en-CA"/>
        </w:rPr>
        <w:t xml:space="preserve">the </w:t>
      </w:r>
      <w:r w:rsidRPr="00361455">
        <w:rPr>
          <w:lang w:val="en-CA"/>
        </w:rPr>
        <w:t xml:space="preserve">trial, and thus shortly before his </w:t>
      </w:r>
      <w:r w:rsidR="000A3725" w:rsidRPr="00361455">
        <w:rPr>
          <w:lang w:val="en-CA"/>
        </w:rPr>
        <w:t>testimony,</w:t>
      </w:r>
      <w:r w:rsidRPr="00361455">
        <w:rPr>
          <w:lang w:val="en-CA"/>
        </w:rPr>
        <w:t xml:space="preserve"> that his </w:t>
      </w:r>
      <w:r w:rsidR="000A3725" w:rsidRPr="00361455">
        <w:rPr>
          <w:lang w:val="en-CA"/>
        </w:rPr>
        <w:t>counsel</w:t>
      </w:r>
      <w:r w:rsidRPr="00361455">
        <w:rPr>
          <w:lang w:val="en-CA"/>
        </w:rPr>
        <w:t xml:space="preserve"> gave him a series of </w:t>
      </w:r>
      <w:r w:rsidR="000A3725" w:rsidRPr="00361455">
        <w:rPr>
          <w:lang w:val="en-CA"/>
        </w:rPr>
        <w:t>documents, essenti</w:t>
      </w:r>
      <w:r w:rsidRPr="00361455">
        <w:rPr>
          <w:lang w:val="en-CA"/>
        </w:rPr>
        <w:t>a</w:t>
      </w:r>
      <w:r w:rsidR="000A3725" w:rsidRPr="00361455">
        <w:rPr>
          <w:lang w:val="en-CA"/>
        </w:rPr>
        <w:t>ll</w:t>
      </w:r>
      <w:r w:rsidRPr="00361455">
        <w:rPr>
          <w:lang w:val="en-CA"/>
        </w:rPr>
        <w:t>y the summaries of the statements and the police officers’ notes, in a kind of [</w:t>
      </w:r>
      <w:r w:rsidRPr="00361455">
        <w:rPr>
          <w:smallCaps/>
          <w:lang w:val="en-CA"/>
        </w:rPr>
        <w:t>translation</w:t>
      </w:r>
      <w:r w:rsidRPr="00361455">
        <w:rPr>
          <w:lang w:val="en-CA"/>
        </w:rPr>
        <w:t xml:space="preserve">] “preparatory </w:t>
      </w:r>
      <w:r w:rsidR="000A3725" w:rsidRPr="00361455">
        <w:rPr>
          <w:lang w:val="en-CA"/>
        </w:rPr>
        <w:t>blitz</w:t>
      </w:r>
      <w:r w:rsidRPr="00361455">
        <w:rPr>
          <w:lang w:val="en-CA"/>
        </w:rPr>
        <w:t>”</w:t>
      </w:r>
      <w:r w:rsidR="000A3725" w:rsidRPr="00361455">
        <w:rPr>
          <w:lang w:val="en-CA"/>
        </w:rPr>
        <w:t>.</w:t>
      </w:r>
      <w:r w:rsidRPr="00361455">
        <w:rPr>
          <w:lang w:val="en-CA"/>
        </w:rPr>
        <w:t xml:space="preserve"> Yet these </w:t>
      </w:r>
      <w:r w:rsidR="000A3725" w:rsidRPr="00361455">
        <w:rPr>
          <w:lang w:val="en-CA"/>
        </w:rPr>
        <w:t xml:space="preserve">documents </w:t>
      </w:r>
      <w:r w:rsidRPr="00361455">
        <w:rPr>
          <w:lang w:val="en-CA"/>
        </w:rPr>
        <w:t xml:space="preserve">had been received </w:t>
      </w:r>
      <w:r w:rsidR="00185A45">
        <w:rPr>
          <w:lang w:val="en-CA"/>
        </w:rPr>
        <w:t>as part</w:t>
      </w:r>
      <w:r w:rsidRPr="00361455">
        <w:rPr>
          <w:lang w:val="en-CA"/>
        </w:rPr>
        <w:t xml:space="preserve"> of the disclosure of </w:t>
      </w:r>
      <w:r w:rsidR="000A3725" w:rsidRPr="00361455">
        <w:rPr>
          <w:lang w:val="en-CA"/>
        </w:rPr>
        <w:t>evidence</w:t>
      </w:r>
      <w:r w:rsidRPr="00361455">
        <w:rPr>
          <w:lang w:val="en-CA"/>
        </w:rPr>
        <w:t xml:space="preserve"> one year earlier. What is more, I understand that the </w:t>
      </w:r>
      <w:r w:rsidR="000A3725" w:rsidRPr="00361455">
        <w:rPr>
          <w:lang w:val="en-CA"/>
        </w:rPr>
        <w:t>appellant</w:t>
      </w:r>
      <w:r w:rsidRPr="00361455">
        <w:rPr>
          <w:lang w:val="en-CA"/>
        </w:rPr>
        <w:t xml:space="preserve"> was left alone for long periods </w:t>
      </w:r>
      <w:r w:rsidRPr="00361455">
        <w:rPr>
          <w:lang w:val="en-CA"/>
        </w:rPr>
        <w:lastRenderedPageBreak/>
        <w:t>of time in a cubicle</w:t>
      </w:r>
      <w:r w:rsidR="000A3725" w:rsidRPr="00361455">
        <w:rPr>
          <w:lang w:val="en-CA"/>
        </w:rPr>
        <w:t xml:space="preserve"> </w:t>
      </w:r>
      <w:r w:rsidRPr="00361455">
        <w:rPr>
          <w:lang w:val="en-CA"/>
        </w:rPr>
        <w:t>next to the c</w:t>
      </w:r>
      <w:r w:rsidR="000A3725" w:rsidRPr="00361455">
        <w:rPr>
          <w:lang w:val="en-CA"/>
        </w:rPr>
        <w:t>ourtrooms</w:t>
      </w:r>
      <w:r w:rsidRPr="00361455">
        <w:rPr>
          <w:lang w:val="en-CA"/>
        </w:rPr>
        <w:t>, even though he had difficulty reading. In the circumstances, all of this was too little, too late</w:t>
      </w:r>
      <w:r w:rsidR="000A3725" w:rsidRPr="00361455">
        <w:rPr>
          <w:lang w:val="en-CA"/>
        </w:rPr>
        <w:t>.</w:t>
      </w:r>
    </w:p>
    <w:p w14:paraId="25888036" w14:textId="108F2B50" w:rsidR="005C6B8A" w:rsidRPr="00361455" w:rsidRDefault="004B011D" w:rsidP="002404D2">
      <w:pPr>
        <w:pStyle w:val="Paragraphe"/>
        <w:spacing w:line="280" w:lineRule="exact"/>
        <w:rPr>
          <w:lang w:val="en-CA"/>
        </w:rPr>
      </w:pPr>
      <w:r w:rsidRPr="00361455">
        <w:rPr>
          <w:lang w:val="en-CA"/>
        </w:rPr>
        <w:t xml:space="preserve">In the circumstances, considering the difficulties displayed by the </w:t>
      </w:r>
      <w:r w:rsidR="000A3725" w:rsidRPr="00361455">
        <w:rPr>
          <w:lang w:val="en-CA"/>
        </w:rPr>
        <w:t>appellant</w:t>
      </w:r>
      <w:r w:rsidRPr="00361455">
        <w:rPr>
          <w:lang w:val="en-CA"/>
        </w:rPr>
        <w:t xml:space="preserve"> and that were known to </w:t>
      </w:r>
      <w:r w:rsidR="000A3725" w:rsidRPr="00361455">
        <w:rPr>
          <w:lang w:val="en-CA"/>
        </w:rPr>
        <w:t>counsel,</w:t>
      </w:r>
      <w:r w:rsidRPr="00361455">
        <w:rPr>
          <w:lang w:val="en-CA"/>
        </w:rPr>
        <w:t xml:space="preserve"> as well as the obvious </w:t>
      </w:r>
      <w:r w:rsidR="000A3725" w:rsidRPr="00361455">
        <w:rPr>
          <w:lang w:val="en-CA"/>
        </w:rPr>
        <w:t xml:space="preserve">importance </w:t>
      </w:r>
      <w:r w:rsidRPr="00361455">
        <w:rPr>
          <w:lang w:val="en-CA"/>
        </w:rPr>
        <w:t xml:space="preserve">of the appellant’s </w:t>
      </w:r>
      <w:r w:rsidR="000A3725" w:rsidRPr="00361455">
        <w:rPr>
          <w:lang w:val="en-CA"/>
        </w:rPr>
        <w:t xml:space="preserve">testimony, </w:t>
      </w:r>
      <w:r w:rsidRPr="00361455">
        <w:rPr>
          <w:lang w:val="en-CA"/>
        </w:rPr>
        <w:t xml:space="preserve">giving him summaries of his own statements and those of the other </w:t>
      </w:r>
      <w:r w:rsidR="000A3725" w:rsidRPr="00361455">
        <w:rPr>
          <w:lang w:val="en-CA"/>
        </w:rPr>
        <w:t>witness</w:t>
      </w:r>
      <w:r w:rsidRPr="00361455">
        <w:rPr>
          <w:lang w:val="en-CA"/>
        </w:rPr>
        <w:t>es</w:t>
      </w:r>
      <w:r w:rsidR="000A3725" w:rsidRPr="00361455">
        <w:rPr>
          <w:lang w:val="en-CA"/>
        </w:rPr>
        <w:t xml:space="preserve"> </w:t>
      </w:r>
      <w:r w:rsidRPr="00361455">
        <w:rPr>
          <w:lang w:val="en-CA"/>
        </w:rPr>
        <w:t>was unlikely to</w:t>
      </w:r>
      <w:r w:rsidR="000A3725" w:rsidRPr="00361455">
        <w:rPr>
          <w:lang w:val="en-CA"/>
        </w:rPr>
        <w:t xml:space="preserve"> </w:t>
      </w:r>
      <w:r w:rsidRPr="00361455">
        <w:rPr>
          <w:lang w:val="en-CA"/>
        </w:rPr>
        <w:t>contribute to the pre</w:t>
      </w:r>
      <w:r w:rsidR="000A3725" w:rsidRPr="00361455">
        <w:rPr>
          <w:lang w:val="en-CA"/>
        </w:rPr>
        <w:t xml:space="preserve">paration </w:t>
      </w:r>
      <w:r w:rsidRPr="00361455">
        <w:rPr>
          <w:lang w:val="en-CA"/>
        </w:rPr>
        <w:t xml:space="preserve">required. It cannot be </w:t>
      </w:r>
      <w:r w:rsidR="005C6745" w:rsidRPr="00361455">
        <w:rPr>
          <w:lang w:val="en-CA"/>
        </w:rPr>
        <w:t xml:space="preserve">considered akin to what is expected in terms of the basic preparatory work required by this </w:t>
      </w:r>
      <w:r w:rsidR="000A3725" w:rsidRPr="00361455">
        <w:rPr>
          <w:lang w:val="en-CA"/>
        </w:rPr>
        <w:t xml:space="preserve">case. </w:t>
      </w:r>
      <w:r w:rsidR="005C6745" w:rsidRPr="00361455">
        <w:rPr>
          <w:lang w:val="en-CA"/>
        </w:rPr>
        <w:t>A</w:t>
      </w:r>
      <w:r w:rsidR="000A3725" w:rsidRPr="00361455">
        <w:rPr>
          <w:lang w:val="en-CA"/>
        </w:rPr>
        <w:t>fter</w:t>
      </w:r>
      <w:r w:rsidR="005C6745" w:rsidRPr="00361455">
        <w:rPr>
          <w:lang w:val="en-CA"/>
        </w:rPr>
        <w:t xml:space="preserve"> </w:t>
      </w:r>
      <w:r w:rsidR="000A3725" w:rsidRPr="00361455">
        <w:rPr>
          <w:lang w:val="en-CA"/>
        </w:rPr>
        <w:t>all</w:t>
      </w:r>
      <w:r w:rsidR="005C6745" w:rsidRPr="00361455">
        <w:rPr>
          <w:lang w:val="en-CA"/>
        </w:rPr>
        <w:t xml:space="preserve"> </w:t>
      </w:r>
      <w:r w:rsidR="000A3725" w:rsidRPr="00361455">
        <w:rPr>
          <w:lang w:val="en-CA"/>
        </w:rPr>
        <w:t>is</w:t>
      </w:r>
      <w:r w:rsidR="005C6745" w:rsidRPr="00361455">
        <w:rPr>
          <w:lang w:val="en-CA"/>
        </w:rPr>
        <w:t xml:space="preserve"> </w:t>
      </w:r>
      <w:r w:rsidR="000A3725" w:rsidRPr="00361455">
        <w:rPr>
          <w:lang w:val="en-CA"/>
        </w:rPr>
        <w:t>said</w:t>
      </w:r>
      <w:r w:rsidR="005C6745" w:rsidRPr="00361455">
        <w:rPr>
          <w:lang w:val="en-CA"/>
        </w:rPr>
        <w:t xml:space="preserve"> </w:t>
      </w:r>
      <w:r w:rsidR="000A3725" w:rsidRPr="00361455">
        <w:rPr>
          <w:lang w:val="en-CA"/>
        </w:rPr>
        <w:t>and</w:t>
      </w:r>
      <w:r w:rsidR="005C6745" w:rsidRPr="00361455">
        <w:rPr>
          <w:lang w:val="en-CA"/>
        </w:rPr>
        <w:t xml:space="preserve"> </w:t>
      </w:r>
      <w:r w:rsidR="000A3725" w:rsidRPr="00361455">
        <w:rPr>
          <w:lang w:val="en-CA"/>
        </w:rPr>
        <w:t>done,</w:t>
      </w:r>
      <w:r w:rsidR="005C6745" w:rsidRPr="00361455">
        <w:rPr>
          <w:lang w:val="en-CA"/>
        </w:rPr>
        <w:t xml:space="preserve"> it is clear that </w:t>
      </w:r>
      <w:r w:rsidR="000A3725" w:rsidRPr="00361455">
        <w:rPr>
          <w:lang w:val="en-CA"/>
        </w:rPr>
        <w:t>counsel</w:t>
      </w:r>
      <w:r w:rsidR="005C6745" w:rsidRPr="00361455">
        <w:rPr>
          <w:lang w:val="en-CA"/>
        </w:rPr>
        <w:t xml:space="preserve"> left his </w:t>
      </w:r>
      <w:r w:rsidR="000A3725" w:rsidRPr="00361455">
        <w:rPr>
          <w:lang w:val="en-CA"/>
        </w:rPr>
        <w:t xml:space="preserve">client </w:t>
      </w:r>
      <w:r w:rsidR="005C6745" w:rsidRPr="00361455">
        <w:rPr>
          <w:lang w:val="en-CA"/>
        </w:rPr>
        <w:t xml:space="preserve">to the mercy of the </w:t>
      </w:r>
      <w:r w:rsidR="000A3725" w:rsidRPr="00361455">
        <w:rPr>
          <w:lang w:val="en-CA"/>
        </w:rPr>
        <w:t>prosecution,</w:t>
      </w:r>
      <w:r w:rsidR="005C6745" w:rsidRPr="00361455">
        <w:rPr>
          <w:lang w:val="en-CA"/>
        </w:rPr>
        <w:t xml:space="preserve"> who, among other things, cross-examined the appellant at trial with the audio recording of his statement, making him look bad in several respects</w:t>
      </w:r>
      <w:r w:rsidR="000A3725" w:rsidRPr="00361455">
        <w:rPr>
          <w:lang w:val="en-CA"/>
        </w:rPr>
        <w:t xml:space="preserve">. </w:t>
      </w:r>
    </w:p>
    <w:p w14:paraId="00AB5FB4" w14:textId="02E6612C" w:rsidR="005C6B8A" w:rsidRPr="00361455" w:rsidRDefault="00C449BE" w:rsidP="002404D2">
      <w:pPr>
        <w:pStyle w:val="Paragraphe"/>
        <w:spacing w:line="280" w:lineRule="exact"/>
        <w:rPr>
          <w:lang w:val="en-CA"/>
        </w:rPr>
      </w:pPr>
      <w:r w:rsidRPr="00361455">
        <w:rPr>
          <w:lang w:val="en-CA"/>
        </w:rPr>
        <w:t xml:space="preserve">The </w:t>
      </w:r>
      <w:r w:rsidR="000A3725" w:rsidRPr="00361455">
        <w:rPr>
          <w:lang w:val="en-CA"/>
        </w:rPr>
        <w:t>fairness</w:t>
      </w:r>
      <w:r w:rsidRPr="00361455">
        <w:rPr>
          <w:lang w:val="en-CA"/>
        </w:rPr>
        <w:t xml:space="preserve"> </w:t>
      </w:r>
      <w:r w:rsidR="000A3725" w:rsidRPr="00361455">
        <w:rPr>
          <w:lang w:val="en-CA"/>
        </w:rPr>
        <w:t>of</w:t>
      </w:r>
      <w:r w:rsidRPr="00361455">
        <w:rPr>
          <w:lang w:val="en-CA"/>
        </w:rPr>
        <w:t xml:space="preserve"> </w:t>
      </w:r>
      <w:r w:rsidR="000A3725" w:rsidRPr="00361455">
        <w:rPr>
          <w:lang w:val="en-CA"/>
        </w:rPr>
        <w:t>the</w:t>
      </w:r>
      <w:r w:rsidRPr="00361455">
        <w:rPr>
          <w:lang w:val="en-CA"/>
        </w:rPr>
        <w:t xml:space="preserve"> </w:t>
      </w:r>
      <w:r w:rsidR="000A3725" w:rsidRPr="00361455">
        <w:rPr>
          <w:lang w:val="en-CA"/>
        </w:rPr>
        <w:t>trial</w:t>
      </w:r>
      <w:r w:rsidRPr="00361455">
        <w:rPr>
          <w:lang w:val="en-CA"/>
        </w:rPr>
        <w:t xml:space="preserve"> has already been seriously</w:t>
      </w:r>
      <w:r w:rsidR="000A3725" w:rsidRPr="00361455">
        <w:rPr>
          <w:lang w:val="en-CA"/>
        </w:rPr>
        <w:t xml:space="preserve"> </w:t>
      </w:r>
      <w:r w:rsidRPr="00361455">
        <w:rPr>
          <w:lang w:val="en-CA"/>
        </w:rPr>
        <w:t xml:space="preserve">compromised, but there are two other </w:t>
      </w:r>
      <w:r w:rsidR="00772366">
        <w:rPr>
          <w:lang w:val="en-CA"/>
        </w:rPr>
        <w:t xml:space="preserve">additional </w:t>
      </w:r>
      <w:r w:rsidRPr="00361455">
        <w:rPr>
          <w:lang w:val="en-CA"/>
        </w:rPr>
        <w:t xml:space="preserve"> “</w:t>
      </w:r>
      <w:r w:rsidR="00BA3E50">
        <w:rPr>
          <w:lang w:val="en-CA"/>
        </w:rPr>
        <w:t>errors</w:t>
      </w:r>
      <w:r w:rsidRPr="00361455">
        <w:rPr>
          <w:lang w:val="en-CA"/>
        </w:rPr>
        <w:t>”</w:t>
      </w:r>
      <w:r w:rsidR="00FB1C5A" w:rsidRPr="00361455">
        <w:rPr>
          <w:lang w:val="en-CA"/>
        </w:rPr>
        <w:t>. They are just as decisive and arise in fact from the deficient pre</w:t>
      </w:r>
      <w:r w:rsidR="000A3725" w:rsidRPr="00361455">
        <w:rPr>
          <w:lang w:val="en-CA"/>
        </w:rPr>
        <w:t xml:space="preserve">paration. </w:t>
      </w:r>
      <w:r w:rsidR="00FB1C5A" w:rsidRPr="00361455">
        <w:rPr>
          <w:lang w:val="en-CA"/>
        </w:rPr>
        <w:t xml:space="preserve">Of </w:t>
      </w:r>
      <w:r w:rsidR="00361455" w:rsidRPr="00361455">
        <w:rPr>
          <w:lang w:val="en-CA"/>
        </w:rPr>
        <w:t>course</w:t>
      </w:r>
      <w:r w:rsidR="00FB1C5A" w:rsidRPr="00361455">
        <w:rPr>
          <w:lang w:val="en-CA"/>
        </w:rPr>
        <w:t xml:space="preserve">, I have already referred to the </w:t>
      </w:r>
      <w:r w:rsidR="000A3725" w:rsidRPr="00361455">
        <w:rPr>
          <w:lang w:val="en-CA"/>
        </w:rPr>
        <w:t>pr</w:t>
      </w:r>
      <w:r w:rsidR="00FB1C5A" w:rsidRPr="00361455">
        <w:rPr>
          <w:lang w:val="en-CA"/>
        </w:rPr>
        <w:t>e</w:t>
      </w:r>
      <w:r w:rsidR="000A3725" w:rsidRPr="00361455">
        <w:rPr>
          <w:lang w:val="en-CA"/>
        </w:rPr>
        <w:t xml:space="preserve">paration </w:t>
      </w:r>
      <w:r w:rsidR="00FB1C5A" w:rsidRPr="00361455">
        <w:rPr>
          <w:lang w:val="en-CA"/>
        </w:rPr>
        <w:t xml:space="preserve">of the </w:t>
      </w:r>
      <w:r w:rsidR="000A3725" w:rsidRPr="00361455">
        <w:rPr>
          <w:lang w:val="en-CA"/>
        </w:rPr>
        <w:t>testimony,</w:t>
      </w:r>
      <w:r w:rsidR="00FB1C5A" w:rsidRPr="00361455">
        <w:rPr>
          <w:lang w:val="en-CA"/>
        </w:rPr>
        <w:t xml:space="preserve"> but competent pre</w:t>
      </w:r>
      <w:r w:rsidR="000A3725" w:rsidRPr="00361455">
        <w:rPr>
          <w:lang w:val="en-CA"/>
        </w:rPr>
        <w:t xml:space="preserve">paration </w:t>
      </w:r>
      <w:r w:rsidR="00FB1C5A" w:rsidRPr="00361455">
        <w:rPr>
          <w:lang w:val="en-CA"/>
        </w:rPr>
        <w:t>involves</w:t>
      </w:r>
      <w:r w:rsidR="000A3725" w:rsidRPr="00361455">
        <w:rPr>
          <w:lang w:val="en-CA"/>
        </w:rPr>
        <w:t xml:space="preserve"> </w:t>
      </w:r>
      <w:r w:rsidR="005D037B">
        <w:rPr>
          <w:lang w:val="en-CA"/>
        </w:rPr>
        <w:t xml:space="preserve">the </w:t>
      </w:r>
      <w:r w:rsidR="000A3725" w:rsidRPr="00361455">
        <w:rPr>
          <w:lang w:val="en-CA"/>
        </w:rPr>
        <w:t>pr</w:t>
      </w:r>
      <w:r w:rsidR="00FB1C5A" w:rsidRPr="00361455">
        <w:rPr>
          <w:lang w:val="en-CA"/>
        </w:rPr>
        <w:t>e</w:t>
      </w:r>
      <w:r w:rsidR="000A3725" w:rsidRPr="00361455">
        <w:rPr>
          <w:lang w:val="en-CA"/>
        </w:rPr>
        <w:t xml:space="preserve">paration </w:t>
      </w:r>
      <w:r w:rsidR="00FB1C5A" w:rsidRPr="00361455">
        <w:rPr>
          <w:lang w:val="en-CA"/>
        </w:rPr>
        <w:t>of the defence in its broader sense</w:t>
      </w:r>
      <w:r w:rsidR="000A3725" w:rsidRPr="00361455">
        <w:rPr>
          <w:lang w:val="en-CA"/>
        </w:rPr>
        <w:t>.</w:t>
      </w:r>
    </w:p>
    <w:p w14:paraId="498325D3" w14:textId="2F81C7E6" w:rsidR="005C6B8A" w:rsidRPr="00361455" w:rsidRDefault="00FB1C5A" w:rsidP="002404D2">
      <w:pPr>
        <w:pStyle w:val="JgtPositionniv1"/>
        <w:spacing w:line="280" w:lineRule="exact"/>
        <w:rPr>
          <w:lang w:val="en-CA"/>
        </w:rPr>
      </w:pPr>
      <w:r w:rsidRPr="00361455">
        <w:rPr>
          <w:lang w:val="en-CA"/>
        </w:rPr>
        <w:t xml:space="preserve">The </w:t>
      </w:r>
      <w:r w:rsidR="000A3725" w:rsidRPr="00361455">
        <w:rPr>
          <w:lang w:val="en-CA"/>
        </w:rPr>
        <w:t xml:space="preserve">second </w:t>
      </w:r>
      <w:r w:rsidRPr="00361455">
        <w:rPr>
          <w:lang w:val="en-CA"/>
        </w:rPr>
        <w:t>“</w:t>
      </w:r>
      <w:r w:rsidR="00BA3E50">
        <w:rPr>
          <w:lang w:val="en-CA"/>
        </w:rPr>
        <w:t>error</w:t>
      </w:r>
      <w:r w:rsidRPr="00361455">
        <w:rPr>
          <w:lang w:val="en-CA"/>
        </w:rPr>
        <w:t>”</w:t>
      </w:r>
      <w:r w:rsidR="000A3725" w:rsidRPr="00361455">
        <w:rPr>
          <w:lang w:val="en-CA"/>
        </w:rPr>
        <w:t xml:space="preserve">: </w:t>
      </w:r>
      <w:r w:rsidRPr="00361455">
        <w:rPr>
          <w:lang w:val="en-CA"/>
        </w:rPr>
        <w:t xml:space="preserve">failure to call the witness </w:t>
      </w:r>
      <w:r w:rsidR="000A3725" w:rsidRPr="00361455">
        <w:rPr>
          <w:lang w:val="en-CA"/>
        </w:rPr>
        <w:t xml:space="preserve">Kevin Flamand </w:t>
      </w:r>
    </w:p>
    <w:p w14:paraId="474EFAA7" w14:textId="53255B9F" w:rsidR="005C6B8A" w:rsidRPr="00361455" w:rsidRDefault="00FB1C5A" w:rsidP="002404D2">
      <w:pPr>
        <w:pStyle w:val="Paragraphe"/>
        <w:spacing w:line="280" w:lineRule="exact"/>
        <w:rPr>
          <w:lang w:val="en-CA"/>
        </w:rPr>
      </w:pPr>
      <w:r w:rsidRPr="00361455">
        <w:rPr>
          <w:lang w:val="en-CA"/>
        </w:rPr>
        <w:t>This second “</w:t>
      </w:r>
      <w:r w:rsidR="00BA3E50">
        <w:rPr>
          <w:lang w:val="en-CA"/>
        </w:rPr>
        <w:t>error</w:t>
      </w:r>
      <w:r w:rsidRPr="00361455">
        <w:rPr>
          <w:lang w:val="en-CA"/>
        </w:rPr>
        <w:t xml:space="preserve">” </w:t>
      </w:r>
      <w:r w:rsidR="000A3725" w:rsidRPr="00361455">
        <w:rPr>
          <w:lang w:val="en-CA"/>
        </w:rPr>
        <w:t>concern</w:t>
      </w:r>
      <w:r w:rsidRPr="00361455">
        <w:rPr>
          <w:lang w:val="en-CA"/>
        </w:rPr>
        <w:t xml:space="preserve">s </w:t>
      </w:r>
      <w:r w:rsidR="0040368B">
        <w:rPr>
          <w:lang w:val="en-CA"/>
        </w:rPr>
        <w:t>counsel’s</w:t>
      </w:r>
      <w:r w:rsidRPr="00361455">
        <w:rPr>
          <w:lang w:val="en-CA"/>
        </w:rPr>
        <w:t xml:space="preserve"> </w:t>
      </w:r>
      <w:r w:rsidR="000A3725" w:rsidRPr="00361455">
        <w:rPr>
          <w:lang w:val="en-CA"/>
        </w:rPr>
        <w:t>decision</w:t>
      </w:r>
      <w:r w:rsidRPr="00361455">
        <w:rPr>
          <w:lang w:val="en-CA"/>
        </w:rPr>
        <w:t xml:space="preserve"> not to communicate in any way with </w:t>
      </w:r>
      <w:r w:rsidR="0040368B">
        <w:rPr>
          <w:lang w:val="en-CA"/>
        </w:rPr>
        <w:t xml:space="preserve">the </w:t>
      </w:r>
      <w:r w:rsidR="000A3725" w:rsidRPr="00361455">
        <w:rPr>
          <w:lang w:val="en-CA"/>
        </w:rPr>
        <w:t xml:space="preserve">witness Kevin Flamand, </w:t>
      </w:r>
      <w:r w:rsidRPr="00361455">
        <w:rPr>
          <w:lang w:val="en-CA"/>
        </w:rPr>
        <w:t>the appellant’s friend and teammate</w:t>
      </w:r>
      <w:r w:rsidR="000A3725" w:rsidRPr="00361455">
        <w:rPr>
          <w:lang w:val="en-CA"/>
        </w:rPr>
        <w:t xml:space="preserve">. </w:t>
      </w:r>
      <w:r w:rsidR="00CD4A6A" w:rsidRPr="00361455">
        <w:rPr>
          <w:lang w:val="en-CA"/>
        </w:rPr>
        <w:t xml:space="preserve">The two of them rented a shared room from a landlady in </w:t>
      </w:r>
      <w:r w:rsidR="000A3725" w:rsidRPr="00361455">
        <w:rPr>
          <w:lang w:val="en-CA"/>
        </w:rPr>
        <w:t xml:space="preserve">Maniwaki </w:t>
      </w:r>
      <w:r w:rsidR="00CD4A6A" w:rsidRPr="00361455">
        <w:rPr>
          <w:lang w:val="en-CA"/>
        </w:rPr>
        <w:t>during the hockey season</w:t>
      </w:r>
      <w:r w:rsidR="000A3725" w:rsidRPr="00361455">
        <w:rPr>
          <w:lang w:val="en-CA"/>
        </w:rPr>
        <w:t>.</w:t>
      </w:r>
    </w:p>
    <w:p w14:paraId="3BF2A64B" w14:textId="2D013DBC" w:rsidR="005C6B8A" w:rsidRPr="00361455" w:rsidRDefault="00B268F7" w:rsidP="002404D2">
      <w:pPr>
        <w:pStyle w:val="Paragraphe"/>
        <w:spacing w:line="280" w:lineRule="exact"/>
        <w:rPr>
          <w:lang w:val="en-CA"/>
        </w:rPr>
      </w:pPr>
      <w:r w:rsidRPr="00361455">
        <w:rPr>
          <w:lang w:val="en-CA"/>
        </w:rPr>
        <w:t xml:space="preserve">This </w:t>
      </w:r>
      <w:r w:rsidR="000A3725" w:rsidRPr="00361455">
        <w:rPr>
          <w:lang w:val="en-CA"/>
        </w:rPr>
        <w:t>witness</w:t>
      </w:r>
      <w:r w:rsidRPr="00361455">
        <w:rPr>
          <w:lang w:val="en-CA"/>
        </w:rPr>
        <w:t xml:space="preserve"> was </w:t>
      </w:r>
      <w:r w:rsidR="00925219" w:rsidRPr="00361455">
        <w:rPr>
          <w:lang w:val="en-CA"/>
        </w:rPr>
        <w:t>crucial</w:t>
      </w:r>
      <w:r w:rsidR="000A3725" w:rsidRPr="00361455">
        <w:rPr>
          <w:lang w:val="en-CA"/>
        </w:rPr>
        <w:t>.</w:t>
      </w:r>
      <w:r w:rsidR="00C65AA9" w:rsidRPr="00361455">
        <w:rPr>
          <w:lang w:val="en-CA"/>
        </w:rPr>
        <w:t xml:space="preserve"> He was the only person who confirmed the </w:t>
      </w:r>
      <w:r w:rsidR="000A3725" w:rsidRPr="00361455">
        <w:rPr>
          <w:lang w:val="en-CA"/>
        </w:rPr>
        <w:t>appellant</w:t>
      </w:r>
      <w:r w:rsidR="00C65AA9" w:rsidRPr="00361455">
        <w:rPr>
          <w:lang w:val="en-CA"/>
        </w:rPr>
        <w:t xml:space="preserve">’s remarks regarding his </w:t>
      </w:r>
      <w:r w:rsidR="000A3725" w:rsidRPr="00361455">
        <w:rPr>
          <w:lang w:val="en-CA"/>
        </w:rPr>
        <w:t>contact</w:t>
      </w:r>
      <w:r w:rsidR="00925219" w:rsidRPr="00361455">
        <w:rPr>
          <w:lang w:val="en-CA"/>
        </w:rPr>
        <w:t xml:space="preserve"> with the </w:t>
      </w:r>
      <w:r w:rsidR="000A3725" w:rsidRPr="00361455">
        <w:rPr>
          <w:lang w:val="en-CA"/>
        </w:rPr>
        <w:t>complainant</w:t>
      </w:r>
      <w:r w:rsidR="00925219" w:rsidRPr="00361455">
        <w:rPr>
          <w:lang w:val="en-CA"/>
        </w:rPr>
        <w:t xml:space="preserve"> throughout the evening</w:t>
      </w:r>
      <w:r w:rsidR="00E94848" w:rsidRPr="00361455">
        <w:rPr>
          <w:lang w:val="en-CA"/>
        </w:rPr>
        <w:t>,</w:t>
      </w:r>
      <w:r w:rsidR="00925219" w:rsidRPr="00361455">
        <w:rPr>
          <w:lang w:val="en-CA"/>
        </w:rPr>
        <w:t xml:space="preserve"> and, moreover, he could explain the </w:t>
      </w:r>
      <w:r w:rsidR="000A3725" w:rsidRPr="00361455">
        <w:rPr>
          <w:lang w:val="en-CA"/>
        </w:rPr>
        <w:t>appellant</w:t>
      </w:r>
      <w:r w:rsidR="00925219" w:rsidRPr="00361455">
        <w:rPr>
          <w:lang w:val="en-CA"/>
        </w:rPr>
        <w:t>’s departure</w:t>
      </w:r>
      <w:r w:rsidR="000A3725" w:rsidRPr="00361455">
        <w:rPr>
          <w:lang w:val="en-CA"/>
        </w:rPr>
        <w:t>.</w:t>
      </w:r>
      <w:r w:rsidR="00925219" w:rsidRPr="00361455">
        <w:rPr>
          <w:lang w:val="en-CA"/>
        </w:rPr>
        <w:t xml:space="preserve"> These two pieces of i</w:t>
      </w:r>
      <w:r w:rsidR="000A3725" w:rsidRPr="00361455">
        <w:rPr>
          <w:lang w:val="en-CA"/>
        </w:rPr>
        <w:t>nformation</w:t>
      </w:r>
      <w:r w:rsidR="00925219" w:rsidRPr="00361455">
        <w:rPr>
          <w:lang w:val="en-CA"/>
        </w:rPr>
        <w:t xml:space="preserve"> that this </w:t>
      </w:r>
      <w:r w:rsidR="000A3725" w:rsidRPr="00361455">
        <w:rPr>
          <w:lang w:val="en-CA"/>
        </w:rPr>
        <w:t>witness</w:t>
      </w:r>
      <w:r w:rsidR="00925219" w:rsidRPr="00361455">
        <w:rPr>
          <w:lang w:val="en-CA"/>
        </w:rPr>
        <w:t xml:space="preserve"> had could </w:t>
      </w:r>
      <w:r w:rsidR="003C5E78">
        <w:rPr>
          <w:lang w:val="en-CA"/>
        </w:rPr>
        <w:t xml:space="preserve">have </w:t>
      </w:r>
      <w:r w:rsidR="00925219" w:rsidRPr="00361455">
        <w:rPr>
          <w:lang w:val="en-CA"/>
        </w:rPr>
        <w:t>support</w:t>
      </w:r>
      <w:r w:rsidR="003C5E78">
        <w:rPr>
          <w:lang w:val="en-CA"/>
        </w:rPr>
        <w:t>ed</w:t>
      </w:r>
      <w:r w:rsidR="00925219" w:rsidRPr="00361455">
        <w:rPr>
          <w:lang w:val="en-CA"/>
        </w:rPr>
        <w:t xml:space="preserve"> the </w:t>
      </w:r>
      <w:r w:rsidR="000A3725" w:rsidRPr="00361455">
        <w:rPr>
          <w:lang w:val="en-CA"/>
        </w:rPr>
        <w:t>appellant</w:t>
      </w:r>
      <w:r w:rsidR="00925219" w:rsidRPr="00361455">
        <w:rPr>
          <w:lang w:val="en-CA"/>
        </w:rPr>
        <w:t>’s version</w:t>
      </w:r>
      <w:r w:rsidR="000A3725" w:rsidRPr="00361455">
        <w:rPr>
          <w:lang w:val="en-CA"/>
        </w:rPr>
        <w:t>.</w:t>
      </w:r>
      <w:r w:rsidR="00925219" w:rsidRPr="00361455">
        <w:rPr>
          <w:lang w:val="en-CA"/>
        </w:rPr>
        <w:t xml:space="preserve"> Deciding not to communicate with the </w:t>
      </w:r>
      <w:r w:rsidR="000A3725" w:rsidRPr="00361455">
        <w:rPr>
          <w:lang w:val="en-CA"/>
        </w:rPr>
        <w:t>witness,</w:t>
      </w:r>
      <w:r w:rsidR="00925219" w:rsidRPr="00361455">
        <w:rPr>
          <w:lang w:val="en-CA"/>
        </w:rPr>
        <w:t xml:space="preserve"> without further e</w:t>
      </w:r>
      <w:r w:rsidR="000A3725" w:rsidRPr="00361455">
        <w:rPr>
          <w:lang w:val="en-CA"/>
        </w:rPr>
        <w:t>ffort,</w:t>
      </w:r>
      <w:r w:rsidR="00925219" w:rsidRPr="00361455">
        <w:rPr>
          <w:lang w:val="en-CA"/>
        </w:rPr>
        <w:t xml:space="preserve"> unreasonably deprived the </w:t>
      </w:r>
      <w:r w:rsidR="000A3725" w:rsidRPr="00361455">
        <w:rPr>
          <w:lang w:val="en-CA"/>
        </w:rPr>
        <w:t>appellant</w:t>
      </w:r>
      <w:r w:rsidR="00925219" w:rsidRPr="00361455">
        <w:rPr>
          <w:lang w:val="en-CA"/>
        </w:rPr>
        <w:t xml:space="preserve"> of essential </w:t>
      </w:r>
      <w:r w:rsidR="000A3725" w:rsidRPr="00361455">
        <w:rPr>
          <w:lang w:val="en-CA"/>
        </w:rPr>
        <w:t>evidence,</w:t>
      </w:r>
      <w:r w:rsidR="00925219" w:rsidRPr="00361455">
        <w:rPr>
          <w:lang w:val="en-CA"/>
        </w:rPr>
        <w:t xml:space="preserve"> thereby</w:t>
      </w:r>
      <w:r w:rsidR="000A3725" w:rsidRPr="00361455">
        <w:rPr>
          <w:lang w:val="en-CA"/>
        </w:rPr>
        <w:t xml:space="preserve"> affect</w:t>
      </w:r>
      <w:r w:rsidR="00925219" w:rsidRPr="00361455">
        <w:rPr>
          <w:lang w:val="en-CA"/>
        </w:rPr>
        <w:t xml:space="preserve">ing the </w:t>
      </w:r>
      <w:r w:rsidR="000A3725" w:rsidRPr="00361455">
        <w:rPr>
          <w:lang w:val="en-CA"/>
        </w:rPr>
        <w:t>fairness</w:t>
      </w:r>
      <w:r w:rsidR="00925219" w:rsidRPr="00361455">
        <w:rPr>
          <w:lang w:val="en-CA"/>
        </w:rPr>
        <w:t xml:space="preserve"> </w:t>
      </w:r>
      <w:r w:rsidR="000A3725" w:rsidRPr="00361455">
        <w:rPr>
          <w:lang w:val="en-CA"/>
        </w:rPr>
        <w:t>of</w:t>
      </w:r>
      <w:r w:rsidR="00925219" w:rsidRPr="00361455">
        <w:rPr>
          <w:lang w:val="en-CA"/>
        </w:rPr>
        <w:t xml:space="preserve"> </w:t>
      </w:r>
      <w:r w:rsidR="000A3725" w:rsidRPr="00361455">
        <w:rPr>
          <w:lang w:val="en-CA"/>
        </w:rPr>
        <w:t>the</w:t>
      </w:r>
      <w:r w:rsidR="00925219" w:rsidRPr="00361455">
        <w:rPr>
          <w:lang w:val="en-CA"/>
        </w:rPr>
        <w:t xml:space="preserve"> </w:t>
      </w:r>
      <w:r w:rsidR="000A3725" w:rsidRPr="00361455">
        <w:rPr>
          <w:lang w:val="en-CA"/>
        </w:rPr>
        <w:t>trial</w:t>
      </w:r>
      <w:r w:rsidR="00925219" w:rsidRPr="00361455">
        <w:rPr>
          <w:lang w:val="en-CA"/>
        </w:rPr>
        <w:t xml:space="preserve"> and the reliability of the </w:t>
      </w:r>
      <w:r w:rsidR="000A3725" w:rsidRPr="00361455">
        <w:rPr>
          <w:lang w:val="en-CA"/>
        </w:rPr>
        <w:t>verdict.</w:t>
      </w:r>
    </w:p>
    <w:p w14:paraId="66E26BFA" w14:textId="792BF00A" w:rsidR="005C6B8A" w:rsidRPr="00361455" w:rsidRDefault="00154DEE" w:rsidP="002404D2">
      <w:pPr>
        <w:pStyle w:val="Paragraphe"/>
        <w:spacing w:line="280" w:lineRule="exact"/>
        <w:rPr>
          <w:lang w:val="en-CA"/>
        </w:rPr>
      </w:pPr>
      <w:r w:rsidRPr="00361455">
        <w:rPr>
          <w:lang w:val="en-CA"/>
        </w:rPr>
        <w:t xml:space="preserve">This </w:t>
      </w:r>
      <w:r w:rsidR="000A3725" w:rsidRPr="00361455">
        <w:rPr>
          <w:lang w:val="en-CA"/>
        </w:rPr>
        <w:t xml:space="preserve">information </w:t>
      </w:r>
      <w:r w:rsidRPr="00361455">
        <w:rPr>
          <w:lang w:val="en-CA"/>
        </w:rPr>
        <w:t xml:space="preserve">was clearly set out in the statement that the </w:t>
      </w:r>
      <w:r w:rsidR="000A3725" w:rsidRPr="00361455">
        <w:rPr>
          <w:lang w:val="en-CA"/>
        </w:rPr>
        <w:t xml:space="preserve">witness Flamand </w:t>
      </w:r>
      <w:r w:rsidRPr="00361455">
        <w:rPr>
          <w:lang w:val="en-CA"/>
        </w:rPr>
        <w:t xml:space="preserve">gave to the police during the investigation, and it was provided during the disclosure of </w:t>
      </w:r>
      <w:r w:rsidR="000A3725" w:rsidRPr="00361455">
        <w:rPr>
          <w:lang w:val="en-CA"/>
        </w:rPr>
        <w:t xml:space="preserve">evidence. </w:t>
      </w:r>
    </w:p>
    <w:p w14:paraId="175542C5" w14:textId="2B9BD641" w:rsidR="005C6B8A" w:rsidRPr="00361455" w:rsidRDefault="000A3725" w:rsidP="002404D2">
      <w:pPr>
        <w:pStyle w:val="Paragraphe"/>
        <w:spacing w:line="280" w:lineRule="exact"/>
        <w:rPr>
          <w:lang w:val="en-CA"/>
        </w:rPr>
      </w:pPr>
      <w:r w:rsidRPr="00361455">
        <w:rPr>
          <w:lang w:val="en-CA"/>
        </w:rPr>
        <w:t xml:space="preserve">Flamand </w:t>
      </w:r>
      <w:r w:rsidR="007672B2" w:rsidRPr="00361455">
        <w:rPr>
          <w:lang w:val="en-CA"/>
        </w:rPr>
        <w:t xml:space="preserve">confirmed that the </w:t>
      </w:r>
      <w:r w:rsidRPr="00361455">
        <w:rPr>
          <w:lang w:val="en-CA"/>
        </w:rPr>
        <w:t>complainant</w:t>
      </w:r>
      <w:r w:rsidR="007672B2" w:rsidRPr="00361455">
        <w:rPr>
          <w:lang w:val="en-CA"/>
        </w:rPr>
        <w:t xml:space="preserve"> and the </w:t>
      </w:r>
      <w:r w:rsidRPr="00361455">
        <w:rPr>
          <w:lang w:val="en-CA"/>
        </w:rPr>
        <w:t>appellant</w:t>
      </w:r>
      <w:r w:rsidR="007672B2" w:rsidRPr="00361455">
        <w:rPr>
          <w:lang w:val="en-CA"/>
        </w:rPr>
        <w:t xml:space="preserve"> </w:t>
      </w:r>
      <w:r w:rsidR="00937084">
        <w:rPr>
          <w:lang w:val="en-CA"/>
        </w:rPr>
        <w:t>were in</w:t>
      </w:r>
      <w:r w:rsidR="00937084" w:rsidRPr="00361455">
        <w:rPr>
          <w:lang w:val="en-CA"/>
        </w:rPr>
        <w:t xml:space="preserve"> </w:t>
      </w:r>
      <w:r w:rsidRPr="00361455">
        <w:rPr>
          <w:lang w:val="en-CA"/>
        </w:rPr>
        <w:t>contact</w:t>
      </w:r>
      <w:r w:rsidR="007672B2" w:rsidRPr="00361455">
        <w:rPr>
          <w:lang w:val="en-CA"/>
        </w:rPr>
        <w:t xml:space="preserve"> in the evening at the party. This </w:t>
      </w:r>
      <w:r w:rsidRPr="00361455">
        <w:rPr>
          <w:lang w:val="en-CA"/>
        </w:rPr>
        <w:t>witness</w:t>
      </w:r>
      <w:r w:rsidR="007672B2" w:rsidRPr="00361455">
        <w:rPr>
          <w:lang w:val="en-CA"/>
        </w:rPr>
        <w:t xml:space="preserve"> was the only known </w:t>
      </w:r>
      <w:r w:rsidRPr="00361455">
        <w:rPr>
          <w:lang w:val="en-CA"/>
        </w:rPr>
        <w:t>witness</w:t>
      </w:r>
      <w:r w:rsidR="007672B2" w:rsidRPr="00361455">
        <w:rPr>
          <w:lang w:val="en-CA"/>
        </w:rPr>
        <w:t xml:space="preserve">, other than the </w:t>
      </w:r>
      <w:r w:rsidRPr="00361455">
        <w:rPr>
          <w:lang w:val="en-CA"/>
        </w:rPr>
        <w:t>appellant,</w:t>
      </w:r>
      <w:r w:rsidR="007672B2" w:rsidRPr="00361455">
        <w:rPr>
          <w:lang w:val="en-CA"/>
        </w:rPr>
        <w:t xml:space="preserve"> to confirm this. Not only did this </w:t>
      </w:r>
      <w:r w:rsidRPr="00361455">
        <w:rPr>
          <w:lang w:val="en-CA"/>
        </w:rPr>
        <w:t>confirm</w:t>
      </w:r>
      <w:r w:rsidR="007672B2" w:rsidRPr="00361455">
        <w:rPr>
          <w:lang w:val="en-CA"/>
        </w:rPr>
        <w:t xml:space="preserve"> </w:t>
      </w:r>
      <w:r w:rsidR="00937084">
        <w:rPr>
          <w:lang w:val="en-CA"/>
        </w:rPr>
        <w:t>part</w:t>
      </w:r>
      <w:r w:rsidR="007672B2" w:rsidRPr="00361455">
        <w:rPr>
          <w:lang w:val="en-CA"/>
        </w:rPr>
        <w:t xml:space="preserve"> of the </w:t>
      </w:r>
      <w:r w:rsidRPr="00361455">
        <w:rPr>
          <w:lang w:val="en-CA"/>
        </w:rPr>
        <w:t>appellant</w:t>
      </w:r>
      <w:r w:rsidR="007672B2" w:rsidRPr="00361455">
        <w:rPr>
          <w:lang w:val="en-CA"/>
        </w:rPr>
        <w:t xml:space="preserve">’s account, but more </w:t>
      </w:r>
      <w:r w:rsidRPr="00361455">
        <w:rPr>
          <w:lang w:val="en-CA"/>
        </w:rPr>
        <w:t>f</w:t>
      </w:r>
      <w:r w:rsidR="007672B2" w:rsidRPr="00361455">
        <w:rPr>
          <w:lang w:val="en-CA"/>
        </w:rPr>
        <w:t>u</w:t>
      </w:r>
      <w:r w:rsidRPr="00361455">
        <w:rPr>
          <w:lang w:val="en-CA"/>
        </w:rPr>
        <w:t>ndamental</w:t>
      </w:r>
      <w:r w:rsidR="007672B2" w:rsidRPr="00361455">
        <w:rPr>
          <w:lang w:val="en-CA"/>
        </w:rPr>
        <w:t xml:space="preserve">ly, it contradicted the account provided by the </w:t>
      </w:r>
      <w:r w:rsidRPr="00361455">
        <w:rPr>
          <w:lang w:val="en-CA"/>
        </w:rPr>
        <w:t>complainant</w:t>
      </w:r>
      <w:r w:rsidR="007672B2" w:rsidRPr="00361455">
        <w:rPr>
          <w:lang w:val="en-CA"/>
        </w:rPr>
        <w:t xml:space="preserve">, who </w:t>
      </w:r>
      <w:r w:rsidRPr="00361455">
        <w:rPr>
          <w:lang w:val="en-CA"/>
        </w:rPr>
        <w:t>cat</w:t>
      </w:r>
      <w:r w:rsidR="007672B2" w:rsidRPr="00361455">
        <w:rPr>
          <w:lang w:val="en-CA"/>
        </w:rPr>
        <w:t>e</w:t>
      </w:r>
      <w:r w:rsidRPr="00361455">
        <w:rPr>
          <w:lang w:val="en-CA"/>
        </w:rPr>
        <w:t>gori</w:t>
      </w:r>
      <w:r w:rsidR="007672B2" w:rsidRPr="00361455">
        <w:rPr>
          <w:lang w:val="en-CA"/>
        </w:rPr>
        <w:t xml:space="preserve">cally denied having </w:t>
      </w:r>
      <w:r w:rsidR="00937084">
        <w:rPr>
          <w:lang w:val="en-CA"/>
        </w:rPr>
        <w:t xml:space="preserve">had </w:t>
      </w:r>
      <w:r w:rsidR="007672B2" w:rsidRPr="00361455">
        <w:rPr>
          <w:lang w:val="en-CA"/>
        </w:rPr>
        <w:t xml:space="preserve">any </w:t>
      </w:r>
      <w:r w:rsidRPr="00361455">
        <w:rPr>
          <w:lang w:val="en-CA"/>
        </w:rPr>
        <w:t>contact</w:t>
      </w:r>
      <w:r w:rsidR="007672B2" w:rsidRPr="00361455">
        <w:rPr>
          <w:lang w:val="en-CA"/>
        </w:rPr>
        <w:t xml:space="preserve"> with the </w:t>
      </w:r>
      <w:r w:rsidRPr="00361455">
        <w:rPr>
          <w:lang w:val="en-CA"/>
        </w:rPr>
        <w:t>appellant.</w:t>
      </w:r>
      <w:r w:rsidR="007672B2" w:rsidRPr="00361455">
        <w:rPr>
          <w:lang w:val="en-CA"/>
        </w:rPr>
        <w:t xml:space="preserve"> It is true, as counsel noted in his </w:t>
      </w:r>
      <w:r w:rsidRPr="00361455">
        <w:rPr>
          <w:lang w:val="en-CA"/>
        </w:rPr>
        <w:t>testimony</w:t>
      </w:r>
      <w:r w:rsidR="007672B2" w:rsidRPr="00361455">
        <w:rPr>
          <w:lang w:val="en-CA"/>
        </w:rPr>
        <w:t xml:space="preserve"> filed with the </w:t>
      </w:r>
      <w:r w:rsidRPr="00361455">
        <w:rPr>
          <w:lang w:val="en-CA"/>
        </w:rPr>
        <w:t>fresh</w:t>
      </w:r>
      <w:r w:rsidR="007672B2" w:rsidRPr="00361455">
        <w:rPr>
          <w:lang w:val="en-CA"/>
        </w:rPr>
        <w:t xml:space="preserve"> </w:t>
      </w:r>
      <w:r w:rsidRPr="00361455">
        <w:rPr>
          <w:lang w:val="en-CA"/>
        </w:rPr>
        <w:t>evidence,</w:t>
      </w:r>
      <w:r w:rsidR="007672B2" w:rsidRPr="00361455">
        <w:rPr>
          <w:lang w:val="en-CA"/>
        </w:rPr>
        <w:t xml:space="preserve"> that </w:t>
      </w:r>
      <w:r w:rsidRPr="00361455">
        <w:rPr>
          <w:lang w:val="en-CA"/>
        </w:rPr>
        <w:t xml:space="preserve">Flamand </w:t>
      </w:r>
      <w:r w:rsidR="007672B2" w:rsidRPr="00361455">
        <w:rPr>
          <w:lang w:val="en-CA"/>
        </w:rPr>
        <w:t>may not have been a [</w:t>
      </w:r>
      <w:r w:rsidR="007672B2" w:rsidRPr="00361455">
        <w:rPr>
          <w:smallCaps/>
          <w:lang w:val="en-CA"/>
        </w:rPr>
        <w:t>translation</w:t>
      </w:r>
      <w:r w:rsidR="007672B2" w:rsidRPr="00361455">
        <w:rPr>
          <w:lang w:val="en-CA"/>
        </w:rPr>
        <w:t>] “</w:t>
      </w:r>
      <w:r w:rsidR="00361455" w:rsidRPr="00361455">
        <w:rPr>
          <w:lang w:val="en-CA"/>
        </w:rPr>
        <w:t>voluntary</w:t>
      </w:r>
      <w:r w:rsidR="007672B2" w:rsidRPr="00361455">
        <w:rPr>
          <w:lang w:val="en-CA"/>
        </w:rPr>
        <w:t xml:space="preserve">” witness and that he may have </w:t>
      </w:r>
      <w:r w:rsidR="0082267A">
        <w:rPr>
          <w:lang w:val="en-CA"/>
        </w:rPr>
        <w:t>created</w:t>
      </w:r>
      <w:r w:rsidR="0082267A" w:rsidRPr="00361455">
        <w:rPr>
          <w:lang w:val="en-CA"/>
        </w:rPr>
        <w:t xml:space="preserve"> </w:t>
      </w:r>
      <w:r w:rsidR="007672B2" w:rsidRPr="00361455">
        <w:rPr>
          <w:lang w:val="en-CA"/>
        </w:rPr>
        <w:t xml:space="preserve">some </w:t>
      </w:r>
      <w:r w:rsidRPr="00361455">
        <w:rPr>
          <w:lang w:val="en-CA"/>
        </w:rPr>
        <w:t>difficult</w:t>
      </w:r>
      <w:r w:rsidR="007672B2" w:rsidRPr="00361455">
        <w:rPr>
          <w:lang w:val="en-CA"/>
        </w:rPr>
        <w:t>ies</w:t>
      </w:r>
      <w:r w:rsidRPr="00361455">
        <w:rPr>
          <w:lang w:val="en-CA"/>
        </w:rPr>
        <w:t>.</w:t>
      </w:r>
      <w:r w:rsidR="007672B2" w:rsidRPr="00361455">
        <w:rPr>
          <w:lang w:val="en-CA"/>
        </w:rPr>
        <w:t xml:space="preserve"> Indeed, Flamand accused the </w:t>
      </w:r>
      <w:r w:rsidRPr="00361455">
        <w:rPr>
          <w:lang w:val="en-CA"/>
        </w:rPr>
        <w:t>appellant</w:t>
      </w:r>
      <w:r w:rsidR="007672B2" w:rsidRPr="00361455">
        <w:rPr>
          <w:lang w:val="en-CA"/>
        </w:rPr>
        <w:t xml:space="preserve"> of having stolen clothes from him when he left </w:t>
      </w:r>
      <w:r w:rsidRPr="00361455">
        <w:rPr>
          <w:lang w:val="en-CA"/>
        </w:rPr>
        <w:t xml:space="preserve">Maniwaki. </w:t>
      </w:r>
    </w:p>
    <w:p w14:paraId="3CEF3717" w14:textId="01376FFC" w:rsidR="005C6B8A" w:rsidRPr="00361455" w:rsidRDefault="00234E7F" w:rsidP="002404D2">
      <w:pPr>
        <w:pStyle w:val="Paragraphe"/>
        <w:spacing w:line="280" w:lineRule="exact"/>
        <w:rPr>
          <w:lang w:val="en-CA"/>
        </w:rPr>
      </w:pPr>
      <w:r w:rsidRPr="00361455">
        <w:rPr>
          <w:lang w:val="en-CA"/>
        </w:rPr>
        <w:lastRenderedPageBreak/>
        <w:t xml:space="preserve">However, it is the </w:t>
      </w:r>
      <w:r w:rsidR="0082267A">
        <w:rPr>
          <w:lang w:val="en-CA"/>
        </w:rPr>
        <w:t>lack</w:t>
      </w:r>
      <w:r w:rsidR="0082267A" w:rsidRPr="00361455">
        <w:rPr>
          <w:lang w:val="en-CA"/>
        </w:rPr>
        <w:t xml:space="preserve"> </w:t>
      </w:r>
      <w:r w:rsidRPr="00361455">
        <w:rPr>
          <w:lang w:val="en-CA"/>
        </w:rPr>
        <w:t xml:space="preserve">of any attempt to </w:t>
      </w:r>
      <w:r w:rsidR="000A3725" w:rsidRPr="00361455">
        <w:rPr>
          <w:lang w:val="en-CA"/>
        </w:rPr>
        <w:t>communi</w:t>
      </w:r>
      <w:r w:rsidRPr="00361455">
        <w:rPr>
          <w:lang w:val="en-CA"/>
        </w:rPr>
        <w:t xml:space="preserve">cate with such a crucial </w:t>
      </w:r>
      <w:r w:rsidR="000A3725" w:rsidRPr="00361455">
        <w:rPr>
          <w:lang w:val="en-CA"/>
        </w:rPr>
        <w:t>witness</w:t>
      </w:r>
      <w:r w:rsidRPr="00361455">
        <w:rPr>
          <w:lang w:val="en-CA"/>
        </w:rPr>
        <w:t xml:space="preserve"> that is well below what is expected of </w:t>
      </w:r>
      <w:r w:rsidR="000A3725" w:rsidRPr="00361455">
        <w:rPr>
          <w:lang w:val="en-CA"/>
        </w:rPr>
        <w:t>counsel</w:t>
      </w:r>
      <w:r w:rsidRPr="00361455">
        <w:rPr>
          <w:lang w:val="en-CA"/>
        </w:rPr>
        <w:t xml:space="preserve"> who accepts to defend an </w:t>
      </w:r>
      <w:r w:rsidR="000A3725" w:rsidRPr="00361455">
        <w:rPr>
          <w:lang w:val="en-CA"/>
        </w:rPr>
        <w:t>accused.</w:t>
      </w:r>
      <w:r w:rsidRPr="00361455">
        <w:rPr>
          <w:lang w:val="en-CA"/>
        </w:rPr>
        <w:t xml:space="preserve"> To make a </w:t>
      </w:r>
      <w:r w:rsidR="000A3725" w:rsidRPr="00361455">
        <w:rPr>
          <w:lang w:val="en-CA"/>
        </w:rPr>
        <w:t>decision, counsel</w:t>
      </w:r>
      <w:r w:rsidRPr="00361455">
        <w:rPr>
          <w:lang w:val="en-CA"/>
        </w:rPr>
        <w:t xml:space="preserve"> had to verify the </w:t>
      </w:r>
      <w:r w:rsidR="000A3725" w:rsidRPr="00361455">
        <w:rPr>
          <w:lang w:val="en-CA"/>
        </w:rPr>
        <w:t>witness</w:t>
      </w:r>
      <w:r w:rsidRPr="00361455">
        <w:rPr>
          <w:lang w:val="en-CA"/>
        </w:rPr>
        <w:t>’s version, the seriousness of his allegation of theft, and his willingness to testify</w:t>
      </w:r>
      <w:r w:rsidR="000A3725" w:rsidRPr="00361455">
        <w:rPr>
          <w:lang w:val="en-CA"/>
        </w:rPr>
        <w:t>.</w:t>
      </w:r>
      <w:r w:rsidRPr="00361455">
        <w:rPr>
          <w:lang w:val="en-CA"/>
        </w:rPr>
        <w:t xml:space="preserve"> A </w:t>
      </w:r>
      <w:r w:rsidR="000A3725" w:rsidRPr="00361455">
        <w:rPr>
          <w:lang w:val="en-CA"/>
        </w:rPr>
        <w:t>decision</w:t>
      </w:r>
      <w:r w:rsidRPr="00361455">
        <w:rPr>
          <w:lang w:val="en-CA"/>
        </w:rPr>
        <w:t xml:space="preserve"> not to call this person as a witness could not be made in the abstract</w:t>
      </w:r>
      <w:r w:rsidR="000A3725" w:rsidRPr="00361455">
        <w:rPr>
          <w:lang w:val="en-CA"/>
        </w:rPr>
        <w:t xml:space="preserve">. </w:t>
      </w:r>
    </w:p>
    <w:p w14:paraId="402137AF" w14:textId="4272EA5C" w:rsidR="005C6B8A" w:rsidRPr="00361455" w:rsidRDefault="00234E7F" w:rsidP="002404D2">
      <w:pPr>
        <w:pStyle w:val="JgtPositionniv1"/>
        <w:spacing w:line="280" w:lineRule="exact"/>
        <w:rPr>
          <w:lang w:val="en-CA"/>
        </w:rPr>
      </w:pPr>
      <w:r w:rsidRPr="00361455">
        <w:rPr>
          <w:lang w:val="en-CA"/>
        </w:rPr>
        <w:t>The third “</w:t>
      </w:r>
      <w:r w:rsidR="0098023C">
        <w:rPr>
          <w:lang w:val="en-CA"/>
        </w:rPr>
        <w:t>error</w:t>
      </w:r>
      <w:r w:rsidRPr="00361455">
        <w:rPr>
          <w:lang w:val="en-CA"/>
        </w:rPr>
        <w:t>”: failure to properly consider the post-offence conduct</w:t>
      </w:r>
    </w:p>
    <w:p w14:paraId="5562159B" w14:textId="1B370365" w:rsidR="005C6B8A" w:rsidRPr="00361455" w:rsidRDefault="002133CD" w:rsidP="002404D2">
      <w:pPr>
        <w:pStyle w:val="Paragraphe"/>
        <w:spacing w:line="280" w:lineRule="exact"/>
        <w:rPr>
          <w:lang w:val="en-CA"/>
        </w:rPr>
      </w:pPr>
      <w:r w:rsidRPr="00361455">
        <w:rPr>
          <w:lang w:val="en-CA"/>
        </w:rPr>
        <w:t>The third “</w:t>
      </w:r>
      <w:r w:rsidR="0098023C">
        <w:rPr>
          <w:lang w:val="en-CA"/>
        </w:rPr>
        <w:t>error</w:t>
      </w:r>
      <w:r w:rsidRPr="00361455">
        <w:rPr>
          <w:lang w:val="en-CA"/>
        </w:rPr>
        <w:t xml:space="preserve">” concerns the complete </w:t>
      </w:r>
      <w:r w:rsidR="0082267A">
        <w:rPr>
          <w:lang w:val="en-CA"/>
        </w:rPr>
        <w:t>lack</w:t>
      </w:r>
      <w:r w:rsidR="0082267A" w:rsidRPr="00361455">
        <w:rPr>
          <w:lang w:val="en-CA"/>
        </w:rPr>
        <w:t xml:space="preserve"> </w:t>
      </w:r>
      <w:r w:rsidRPr="00361455">
        <w:rPr>
          <w:lang w:val="en-CA"/>
        </w:rPr>
        <w:t>of pre</w:t>
      </w:r>
      <w:r w:rsidR="000A3725" w:rsidRPr="00361455">
        <w:rPr>
          <w:lang w:val="en-CA"/>
        </w:rPr>
        <w:t xml:space="preserve">paration </w:t>
      </w:r>
      <w:r w:rsidRPr="00361455">
        <w:rPr>
          <w:lang w:val="en-CA"/>
        </w:rPr>
        <w:t xml:space="preserve">to counter the </w:t>
      </w:r>
      <w:r w:rsidR="000A3725" w:rsidRPr="00361455">
        <w:rPr>
          <w:lang w:val="en-CA"/>
        </w:rPr>
        <w:t>evidence</w:t>
      </w:r>
      <w:r w:rsidRPr="00361455">
        <w:rPr>
          <w:lang w:val="en-CA"/>
        </w:rPr>
        <w:t xml:space="preserve"> of the post</w:t>
      </w:r>
      <w:r w:rsidR="009F6F74" w:rsidRPr="00361455">
        <w:rPr>
          <w:lang w:val="en-CA"/>
        </w:rPr>
        <w:t>-offence conduct</w:t>
      </w:r>
      <w:r w:rsidR="000A3725" w:rsidRPr="00361455">
        <w:rPr>
          <w:lang w:val="en-CA"/>
        </w:rPr>
        <w:t>.</w:t>
      </w:r>
      <w:r w:rsidR="00133AD8" w:rsidRPr="00361455">
        <w:rPr>
          <w:lang w:val="en-CA"/>
        </w:rPr>
        <w:t xml:space="preserve"> This </w:t>
      </w:r>
      <w:r w:rsidR="000A3725" w:rsidRPr="00361455">
        <w:rPr>
          <w:lang w:val="en-CA"/>
        </w:rPr>
        <w:t>evidence</w:t>
      </w:r>
      <w:r w:rsidR="00133AD8" w:rsidRPr="00361455">
        <w:rPr>
          <w:lang w:val="en-CA"/>
        </w:rPr>
        <w:t xml:space="preserve"> was overwhelming, according to counsel’s own </w:t>
      </w:r>
      <w:r w:rsidR="000A3725" w:rsidRPr="00361455">
        <w:rPr>
          <w:lang w:val="en-CA"/>
        </w:rPr>
        <w:t>admission</w:t>
      </w:r>
      <w:r w:rsidR="00133AD8" w:rsidRPr="00361455">
        <w:rPr>
          <w:lang w:val="en-CA"/>
        </w:rPr>
        <w:t xml:space="preserve"> at trial. Indeed, it could be understood from the </w:t>
      </w:r>
      <w:r w:rsidR="000A3725" w:rsidRPr="00361455">
        <w:rPr>
          <w:lang w:val="en-CA"/>
        </w:rPr>
        <w:t>evidence</w:t>
      </w:r>
      <w:r w:rsidR="00133AD8" w:rsidRPr="00361455">
        <w:rPr>
          <w:lang w:val="en-CA"/>
        </w:rPr>
        <w:t xml:space="preserve"> that the </w:t>
      </w:r>
      <w:r w:rsidR="000A3725" w:rsidRPr="00361455">
        <w:rPr>
          <w:lang w:val="en-CA"/>
        </w:rPr>
        <w:t>appellant</w:t>
      </w:r>
      <w:r w:rsidR="00133AD8" w:rsidRPr="00361455">
        <w:rPr>
          <w:lang w:val="en-CA"/>
        </w:rPr>
        <w:t xml:space="preserve"> left the city immediately after the alleged assault</w:t>
      </w:r>
      <w:r w:rsidR="000A3725" w:rsidRPr="00361455">
        <w:rPr>
          <w:lang w:val="en-CA"/>
        </w:rPr>
        <w:t>.</w:t>
      </w:r>
      <w:r w:rsidR="00133AD8" w:rsidRPr="00361455">
        <w:rPr>
          <w:lang w:val="en-CA"/>
        </w:rPr>
        <w:t xml:space="preserve"> The likel</w:t>
      </w:r>
      <w:r w:rsidR="00275945" w:rsidRPr="00361455">
        <w:rPr>
          <w:lang w:val="en-CA"/>
        </w:rPr>
        <w:t>i</w:t>
      </w:r>
      <w:r w:rsidR="00133AD8" w:rsidRPr="00361455">
        <w:rPr>
          <w:lang w:val="en-CA"/>
        </w:rPr>
        <w:t>hood that</w:t>
      </w:r>
      <w:r w:rsidR="00471356">
        <w:rPr>
          <w:lang w:val="en-CA"/>
        </w:rPr>
        <w:t xml:space="preserve"> the judge would set aside</w:t>
      </w:r>
      <w:r w:rsidR="00133AD8" w:rsidRPr="00361455">
        <w:rPr>
          <w:lang w:val="en-CA"/>
        </w:rPr>
        <w:t xml:space="preserve"> his [</w:t>
      </w:r>
      <w:r w:rsidR="00133AD8" w:rsidRPr="00361455">
        <w:rPr>
          <w:smallCaps/>
          <w:lang w:val="en-CA"/>
        </w:rPr>
        <w:t>translation</w:t>
      </w:r>
      <w:r w:rsidR="00133AD8" w:rsidRPr="00361455">
        <w:rPr>
          <w:lang w:val="en-CA"/>
        </w:rPr>
        <w:t xml:space="preserve">] “innocent explanation” </w:t>
      </w:r>
      <w:r w:rsidR="00BA3E50">
        <w:rPr>
          <w:lang w:val="en-CA"/>
        </w:rPr>
        <w:t xml:space="preserve">was </w:t>
      </w:r>
      <w:r w:rsidR="00133AD8" w:rsidRPr="00361455">
        <w:rPr>
          <w:lang w:val="en-CA"/>
        </w:rPr>
        <w:t xml:space="preserve">high. Similar to alibis, such explanations are </w:t>
      </w:r>
      <w:r w:rsidR="005F3B01" w:rsidRPr="00361455">
        <w:rPr>
          <w:lang w:val="en-CA"/>
        </w:rPr>
        <w:t xml:space="preserve">at times too easy to </w:t>
      </w:r>
      <w:r w:rsidR="000A3725" w:rsidRPr="00361455">
        <w:rPr>
          <w:lang w:val="en-CA"/>
        </w:rPr>
        <w:t>fabri</w:t>
      </w:r>
      <w:r w:rsidR="005F3B01" w:rsidRPr="00361455">
        <w:rPr>
          <w:lang w:val="en-CA"/>
        </w:rPr>
        <w:t xml:space="preserve">cate after the fact. Although the </w:t>
      </w:r>
      <w:r w:rsidR="000A3725" w:rsidRPr="00361455">
        <w:rPr>
          <w:lang w:val="en-CA"/>
        </w:rPr>
        <w:t>appellant</w:t>
      </w:r>
      <w:r w:rsidR="005F3B01" w:rsidRPr="00361455">
        <w:rPr>
          <w:lang w:val="en-CA"/>
        </w:rPr>
        <w:t xml:space="preserve"> </w:t>
      </w:r>
      <w:r w:rsidR="000A3725" w:rsidRPr="00361455">
        <w:rPr>
          <w:lang w:val="en-CA"/>
        </w:rPr>
        <w:t>testified</w:t>
      </w:r>
      <w:r w:rsidR="005F3B01" w:rsidRPr="00361455">
        <w:rPr>
          <w:lang w:val="en-CA"/>
        </w:rPr>
        <w:t xml:space="preserve"> to explain this departure in general, he was not believed</w:t>
      </w:r>
      <w:r w:rsidR="000A3725" w:rsidRPr="00361455">
        <w:rPr>
          <w:lang w:val="en-CA"/>
        </w:rPr>
        <w:t>.</w:t>
      </w:r>
    </w:p>
    <w:p w14:paraId="2EE3BDC4" w14:textId="00B07A92" w:rsidR="005C6B8A" w:rsidRPr="00361455" w:rsidRDefault="00826F86" w:rsidP="002404D2">
      <w:pPr>
        <w:pStyle w:val="Paragraphe"/>
        <w:spacing w:line="280" w:lineRule="exact"/>
        <w:rPr>
          <w:lang w:val="en-CA"/>
        </w:rPr>
      </w:pPr>
      <w:r w:rsidRPr="00361455">
        <w:rPr>
          <w:lang w:val="en-CA"/>
        </w:rPr>
        <w:t xml:space="preserve">Counsel </w:t>
      </w:r>
      <w:r w:rsidR="000A3725" w:rsidRPr="00361455">
        <w:rPr>
          <w:lang w:val="en-CA"/>
        </w:rPr>
        <w:t>for</w:t>
      </w:r>
      <w:r w:rsidRPr="00361455">
        <w:rPr>
          <w:lang w:val="en-CA"/>
        </w:rPr>
        <w:t xml:space="preserve"> </w:t>
      </w:r>
      <w:r w:rsidR="000A3725" w:rsidRPr="00361455">
        <w:rPr>
          <w:lang w:val="en-CA"/>
        </w:rPr>
        <w:t>the</w:t>
      </w:r>
      <w:r w:rsidRPr="00361455">
        <w:rPr>
          <w:lang w:val="en-CA"/>
        </w:rPr>
        <w:t xml:space="preserve"> </w:t>
      </w:r>
      <w:r w:rsidR="000A3725" w:rsidRPr="00361455">
        <w:rPr>
          <w:lang w:val="en-CA"/>
        </w:rPr>
        <w:t>appellant</w:t>
      </w:r>
      <w:r w:rsidRPr="00361455">
        <w:rPr>
          <w:lang w:val="en-CA"/>
        </w:rPr>
        <w:t xml:space="preserve"> explained that he was aware of the issue but that he never sought to find out whether confirmatory </w:t>
      </w:r>
      <w:r w:rsidR="000A3725" w:rsidRPr="00361455">
        <w:rPr>
          <w:lang w:val="en-CA"/>
        </w:rPr>
        <w:t>evidence</w:t>
      </w:r>
      <w:r w:rsidRPr="00361455">
        <w:rPr>
          <w:lang w:val="en-CA"/>
        </w:rPr>
        <w:t xml:space="preserve"> existed. He did not ask his client any </w:t>
      </w:r>
      <w:r w:rsidR="000A3725" w:rsidRPr="00361455">
        <w:rPr>
          <w:lang w:val="en-CA"/>
        </w:rPr>
        <w:t>question</w:t>
      </w:r>
      <w:r w:rsidRPr="00361455">
        <w:rPr>
          <w:lang w:val="en-CA"/>
        </w:rPr>
        <w:t xml:space="preserve">s before the trial to </w:t>
      </w:r>
      <w:r w:rsidR="00471356">
        <w:rPr>
          <w:lang w:val="en-CA"/>
        </w:rPr>
        <w:t>determine whether</w:t>
      </w:r>
      <w:r w:rsidRPr="00361455">
        <w:rPr>
          <w:lang w:val="en-CA"/>
        </w:rPr>
        <w:t xml:space="preserve"> such </w:t>
      </w:r>
      <w:r w:rsidR="000A3725" w:rsidRPr="00361455">
        <w:rPr>
          <w:lang w:val="en-CA"/>
        </w:rPr>
        <w:t>evidence</w:t>
      </w:r>
      <w:r w:rsidRPr="00361455">
        <w:rPr>
          <w:lang w:val="en-CA"/>
        </w:rPr>
        <w:t xml:space="preserve"> was available</w:t>
      </w:r>
      <w:r w:rsidR="000A3725" w:rsidRPr="00361455">
        <w:rPr>
          <w:lang w:val="en-CA"/>
        </w:rPr>
        <w:t xml:space="preserve">. </w:t>
      </w:r>
      <w:r w:rsidRPr="00361455">
        <w:rPr>
          <w:lang w:val="en-CA"/>
        </w:rPr>
        <w:t xml:space="preserve">He did not see the witness </w:t>
      </w:r>
      <w:r w:rsidR="000A3725" w:rsidRPr="00361455">
        <w:rPr>
          <w:lang w:val="en-CA"/>
        </w:rPr>
        <w:t>Flamand</w:t>
      </w:r>
      <w:r w:rsidRPr="00361455">
        <w:rPr>
          <w:lang w:val="en-CA"/>
        </w:rPr>
        <w:t xml:space="preserve">’s statement </w:t>
      </w:r>
      <w:r w:rsidR="00471356">
        <w:rPr>
          <w:lang w:val="en-CA"/>
        </w:rPr>
        <w:t xml:space="preserve">as </w:t>
      </w:r>
      <w:r w:rsidR="00471356" w:rsidRPr="00361455">
        <w:rPr>
          <w:lang w:val="en-CA"/>
        </w:rPr>
        <w:t>support</w:t>
      </w:r>
      <w:r w:rsidR="00471356">
        <w:rPr>
          <w:lang w:val="en-CA"/>
        </w:rPr>
        <w:t xml:space="preserve">ing </w:t>
      </w:r>
      <w:r w:rsidRPr="00361455">
        <w:rPr>
          <w:lang w:val="en-CA"/>
        </w:rPr>
        <w:t xml:space="preserve">the </w:t>
      </w:r>
      <w:r w:rsidR="000A3725" w:rsidRPr="00361455">
        <w:rPr>
          <w:lang w:val="en-CA"/>
        </w:rPr>
        <w:t>appellant</w:t>
      </w:r>
      <w:r w:rsidRPr="00361455">
        <w:rPr>
          <w:lang w:val="en-CA"/>
        </w:rPr>
        <w:t>’s explanations</w:t>
      </w:r>
      <w:r w:rsidR="000A3725" w:rsidRPr="00361455">
        <w:rPr>
          <w:lang w:val="en-CA"/>
        </w:rPr>
        <w:t>.</w:t>
      </w:r>
      <w:r w:rsidRPr="00361455">
        <w:rPr>
          <w:lang w:val="en-CA"/>
        </w:rPr>
        <w:t xml:space="preserve"> He in no way addressed the subject with the </w:t>
      </w:r>
      <w:r w:rsidR="000A3725" w:rsidRPr="00361455">
        <w:rPr>
          <w:lang w:val="en-CA"/>
        </w:rPr>
        <w:t>appellant</w:t>
      </w:r>
      <w:r w:rsidRPr="00361455">
        <w:rPr>
          <w:lang w:val="en-CA"/>
        </w:rPr>
        <w:t xml:space="preserve"> during his </w:t>
      </w:r>
      <w:r w:rsidR="000A3725" w:rsidRPr="00361455">
        <w:rPr>
          <w:lang w:val="en-CA"/>
        </w:rPr>
        <w:t>testimony</w:t>
      </w:r>
      <w:r w:rsidRPr="00361455">
        <w:rPr>
          <w:lang w:val="en-CA"/>
        </w:rPr>
        <w:t xml:space="preserve"> before the </w:t>
      </w:r>
      <w:r w:rsidR="000A3725" w:rsidRPr="00361455">
        <w:rPr>
          <w:lang w:val="en-CA"/>
        </w:rPr>
        <w:t>judge.</w:t>
      </w:r>
      <w:r w:rsidR="000114B4" w:rsidRPr="00361455">
        <w:rPr>
          <w:lang w:val="en-CA"/>
        </w:rPr>
        <w:t xml:space="preserve"> Once again, the </w:t>
      </w:r>
      <w:r w:rsidR="000A3725" w:rsidRPr="00361455">
        <w:rPr>
          <w:lang w:val="en-CA"/>
        </w:rPr>
        <w:t>appellant</w:t>
      </w:r>
      <w:r w:rsidR="000114B4" w:rsidRPr="00361455">
        <w:rPr>
          <w:lang w:val="en-CA"/>
        </w:rPr>
        <w:t xml:space="preserve"> was left to himself without any explanation from his counsel as to the </w:t>
      </w:r>
      <w:r w:rsidR="000A3725" w:rsidRPr="00361455">
        <w:rPr>
          <w:lang w:val="en-CA"/>
        </w:rPr>
        <w:t xml:space="preserve">importance </w:t>
      </w:r>
      <w:r w:rsidR="000114B4" w:rsidRPr="00361455">
        <w:rPr>
          <w:lang w:val="en-CA"/>
        </w:rPr>
        <w:t xml:space="preserve">of this </w:t>
      </w:r>
      <w:r w:rsidR="009A653E">
        <w:rPr>
          <w:lang w:val="en-CA"/>
        </w:rPr>
        <w:t>part</w:t>
      </w:r>
      <w:r w:rsidR="009A653E" w:rsidRPr="00361455">
        <w:rPr>
          <w:lang w:val="en-CA"/>
        </w:rPr>
        <w:t xml:space="preserve"> </w:t>
      </w:r>
      <w:r w:rsidR="000114B4" w:rsidRPr="00361455">
        <w:rPr>
          <w:lang w:val="en-CA"/>
        </w:rPr>
        <w:t xml:space="preserve">of his </w:t>
      </w:r>
      <w:r w:rsidR="000A3725" w:rsidRPr="00361455">
        <w:rPr>
          <w:lang w:val="en-CA"/>
        </w:rPr>
        <w:t>account.</w:t>
      </w:r>
    </w:p>
    <w:p w14:paraId="71F3D59A" w14:textId="2E4A13B1" w:rsidR="005C6B8A" w:rsidRPr="00361455" w:rsidRDefault="000114B4" w:rsidP="002404D2">
      <w:pPr>
        <w:pStyle w:val="Paragraphe"/>
        <w:spacing w:line="280" w:lineRule="exact"/>
        <w:rPr>
          <w:lang w:val="en-CA"/>
        </w:rPr>
      </w:pPr>
      <w:r w:rsidRPr="00361455">
        <w:rPr>
          <w:lang w:val="en-CA"/>
        </w:rPr>
        <w:t xml:space="preserve">Yet, the </w:t>
      </w:r>
      <w:r w:rsidR="000A3725" w:rsidRPr="00361455">
        <w:rPr>
          <w:lang w:val="en-CA"/>
        </w:rPr>
        <w:t>fresh</w:t>
      </w:r>
      <w:r w:rsidRPr="00361455">
        <w:rPr>
          <w:lang w:val="en-CA"/>
        </w:rPr>
        <w:t xml:space="preserve"> </w:t>
      </w:r>
      <w:r w:rsidR="000A3725" w:rsidRPr="00361455">
        <w:rPr>
          <w:lang w:val="en-CA"/>
        </w:rPr>
        <w:t>evidence</w:t>
      </w:r>
      <w:r w:rsidRPr="00361455">
        <w:rPr>
          <w:lang w:val="en-CA"/>
        </w:rPr>
        <w:t xml:space="preserve"> shows that several </w:t>
      </w:r>
      <w:r w:rsidR="000A3725" w:rsidRPr="00361455">
        <w:rPr>
          <w:lang w:val="en-CA"/>
        </w:rPr>
        <w:t>witness</w:t>
      </w:r>
      <w:r w:rsidRPr="00361455">
        <w:rPr>
          <w:lang w:val="en-CA"/>
        </w:rPr>
        <w:t xml:space="preserve">es could have provided evidence in support of the </w:t>
      </w:r>
      <w:r w:rsidR="000A3725" w:rsidRPr="00361455">
        <w:rPr>
          <w:lang w:val="en-CA"/>
        </w:rPr>
        <w:t>appellant</w:t>
      </w:r>
      <w:r w:rsidRPr="00361455">
        <w:rPr>
          <w:lang w:val="en-CA"/>
        </w:rPr>
        <w:t>’s version regarding the reasons for his departure the day after the events</w:t>
      </w:r>
      <w:r w:rsidR="000A3725" w:rsidRPr="00361455">
        <w:rPr>
          <w:lang w:val="en-CA"/>
        </w:rPr>
        <w:t xml:space="preserve">. </w:t>
      </w:r>
    </w:p>
    <w:p w14:paraId="32566723" w14:textId="062EF681" w:rsidR="005C6B8A" w:rsidRPr="00361455" w:rsidRDefault="000114B4" w:rsidP="002404D2">
      <w:pPr>
        <w:pStyle w:val="Paragraphe"/>
        <w:spacing w:line="280" w:lineRule="exact"/>
        <w:rPr>
          <w:lang w:val="en-CA"/>
        </w:rPr>
      </w:pPr>
      <w:r w:rsidRPr="00361455">
        <w:rPr>
          <w:lang w:val="en-CA"/>
        </w:rPr>
        <w:t>Unsurprisingly</w:t>
      </w:r>
      <w:r w:rsidR="000A3725" w:rsidRPr="00361455">
        <w:rPr>
          <w:lang w:val="en-CA"/>
        </w:rPr>
        <w:t xml:space="preserve">, </w:t>
      </w:r>
      <w:r w:rsidRPr="00361455">
        <w:rPr>
          <w:lang w:val="en-CA"/>
        </w:rPr>
        <w:t xml:space="preserve">the </w:t>
      </w:r>
      <w:r w:rsidR="000A3725" w:rsidRPr="00361455">
        <w:rPr>
          <w:lang w:val="en-CA"/>
        </w:rPr>
        <w:t xml:space="preserve">absence </w:t>
      </w:r>
      <w:r w:rsidRPr="00361455">
        <w:rPr>
          <w:lang w:val="en-CA"/>
        </w:rPr>
        <w:t xml:space="preserve">of </w:t>
      </w:r>
      <w:r w:rsidR="000A3725" w:rsidRPr="00361455">
        <w:rPr>
          <w:lang w:val="en-CA"/>
        </w:rPr>
        <w:t xml:space="preserve">Flamand </w:t>
      </w:r>
      <w:r w:rsidRPr="00361455">
        <w:rPr>
          <w:lang w:val="en-CA"/>
        </w:rPr>
        <w:t xml:space="preserve">and of </w:t>
      </w:r>
      <w:r w:rsidR="000A3725" w:rsidRPr="00361455">
        <w:rPr>
          <w:lang w:val="en-CA"/>
        </w:rPr>
        <w:t>evidence confirm</w:t>
      </w:r>
      <w:r w:rsidRPr="00361455">
        <w:rPr>
          <w:lang w:val="en-CA"/>
        </w:rPr>
        <w:t>ing this innocent explanation greatly affected the c</w:t>
      </w:r>
      <w:r w:rsidR="000A3725" w:rsidRPr="00361455">
        <w:rPr>
          <w:lang w:val="en-CA"/>
        </w:rPr>
        <w:t>redibility</w:t>
      </w:r>
      <w:r w:rsidRPr="00361455">
        <w:rPr>
          <w:lang w:val="en-CA"/>
        </w:rPr>
        <w:t xml:space="preserve"> of the account</w:t>
      </w:r>
      <w:r w:rsidR="000A3725" w:rsidRPr="00361455">
        <w:rPr>
          <w:lang w:val="en-CA"/>
        </w:rPr>
        <w:t xml:space="preserve">. </w:t>
      </w:r>
      <w:r w:rsidRPr="00361455">
        <w:rPr>
          <w:lang w:val="en-CA"/>
        </w:rPr>
        <w:t xml:space="preserve">The </w:t>
      </w:r>
      <w:r w:rsidR="000A3725" w:rsidRPr="00361455">
        <w:rPr>
          <w:lang w:val="en-CA"/>
        </w:rPr>
        <w:t>judge</w:t>
      </w:r>
      <w:r w:rsidR="00275945" w:rsidRPr="00361455">
        <w:rPr>
          <w:lang w:val="en-CA"/>
        </w:rPr>
        <w:t xml:space="preserve"> did not fail to </w:t>
      </w:r>
      <w:r w:rsidR="009168CE">
        <w:rPr>
          <w:lang w:val="en-CA"/>
        </w:rPr>
        <w:t>point out</w:t>
      </w:r>
      <w:r w:rsidR="009168CE" w:rsidRPr="00361455">
        <w:rPr>
          <w:lang w:val="en-CA"/>
        </w:rPr>
        <w:t xml:space="preserve"> </w:t>
      </w:r>
      <w:r w:rsidR="00275945" w:rsidRPr="00361455">
        <w:rPr>
          <w:lang w:val="en-CA"/>
        </w:rPr>
        <w:t xml:space="preserve">that </w:t>
      </w:r>
      <w:r w:rsidR="009A653E">
        <w:rPr>
          <w:lang w:val="en-CA"/>
        </w:rPr>
        <w:t>Flamand</w:t>
      </w:r>
      <w:r w:rsidR="009A653E" w:rsidRPr="00361455">
        <w:rPr>
          <w:lang w:val="en-CA"/>
        </w:rPr>
        <w:t xml:space="preserve"> </w:t>
      </w:r>
      <w:r w:rsidR="00275945" w:rsidRPr="00361455">
        <w:rPr>
          <w:lang w:val="en-CA"/>
        </w:rPr>
        <w:t xml:space="preserve">was the only </w:t>
      </w:r>
      <w:r w:rsidR="000A3725" w:rsidRPr="00361455">
        <w:rPr>
          <w:lang w:val="en-CA"/>
        </w:rPr>
        <w:t>witness</w:t>
      </w:r>
      <w:r w:rsidR="00275945" w:rsidRPr="00361455">
        <w:rPr>
          <w:lang w:val="en-CA"/>
        </w:rPr>
        <w:t xml:space="preserve"> who spoke about </w:t>
      </w:r>
      <w:r w:rsidR="000A3725" w:rsidRPr="00361455">
        <w:rPr>
          <w:lang w:val="en-CA"/>
        </w:rPr>
        <w:t>contact</w:t>
      </w:r>
      <w:r w:rsidR="00275945" w:rsidRPr="00361455">
        <w:rPr>
          <w:lang w:val="en-CA"/>
        </w:rPr>
        <w:t xml:space="preserve"> with the </w:t>
      </w:r>
      <w:r w:rsidR="000A3725" w:rsidRPr="00361455">
        <w:rPr>
          <w:lang w:val="en-CA"/>
        </w:rPr>
        <w:t>complainant</w:t>
      </w:r>
      <w:r w:rsidR="00275945" w:rsidRPr="00361455">
        <w:rPr>
          <w:lang w:val="en-CA"/>
        </w:rPr>
        <w:t xml:space="preserve"> </w:t>
      </w:r>
      <w:r w:rsidR="009168CE">
        <w:rPr>
          <w:lang w:val="en-CA"/>
        </w:rPr>
        <w:t xml:space="preserve">during </w:t>
      </w:r>
      <w:r w:rsidR="00275945" w:rsidRPr="00361455">
        <w:rPr>
          <w:lang w:val="en-CA"/>
        </w:rPr>
        <w:t>that evening</w:t>
      </w:r>
      <w:r w:rsidR="000A3725" w:rsidRPr="00361455">
        <w:rPr>
          <w:lang w:val="en-CA"/>
        </w:rPr>
        <w:t xml:space="preserve">, </w:t>
      </w:r>
      <w:r w:rsidR="00275945" w:rsidRPr="00361455">
        <w:rPr>
          <w:lang w:val="en-CA"/>
        </w:rPr>
        <w:t xml:space="preserve">and she twice </w:t>
      </w:r>
      <w:r w:rsidR="000F5735">
        <w:rPr>
          <w:lang w:val="en-CA"/>
        </w:rPr>
        <w:t>revisited</w:t>
      </w:r>
      <w:r w:rsidR="000F5735" w:rsidRPr="00361455">
        <w:rPr>
          <w:lang w:val="en-CA"/>
        </w:rPr>
        <w:t xml:space="preserve"> </w:t>
      </w:r>
      <w:r w:rsidR="00275945" w:rsidRPr="00361455">
        <w:rPr>
          <w:lang w:val="en-CA"/>
        </w:rPr>
        <w:t xml:space="preserve">the issue of his aforementioned </w:t>
      </w:r>
      <w:r w:rsidR="000A3725" w:rsidRPr="00361455">
        <w:rPr>
          <w:lang w:val="en-CA"/>
        </w:rPr>
        <w:t>d</w:t>
      </w:r>
      <w:r w:rsidR="00275945" w:rsidRPr="00361455">
        <w:rPr>
          <w:lang w:val="en-CA"/>
        </w:rPr>
        <w:t>e</w:t>
      </w:r>
      <w:r w:rsidR="000A3725" w:rsidRPr="00361455">
        <w:rPr>
          <w:lang w:val="en-CA"/>
        </w:rPr>
        <w:t>part</w:t>
      </w:r>
      <w:r w:rsidR="00275945" w:rsidRPr="00361455">
        <w:rPr>
          <w:lang w:val="en-CA"/>
        </w:rPr>
        <w:t>ure after the assault</w:t>
      </w:r>
      <w:r w:rsidR="000A3725" w:rsidRPr="00361455">
        <w:rPr>
          <w:lang w:val="en-CA"/>
        </w:rPr>
        <w:t>.</w:t>
      </w:r>
    </w:p>
    <w:p w14:paraId="37BF7CA9" w14:textId="290BBD49" w:rsidR="005C6B8A" w:rsidRPr="00361455" w:rsidRDefault="000C3235" w:rsidP="002404D2">
      <w:pPr>
        <w:pStyle w:val="Paragraphe"/>
        <w:spacing w:line="280" w:lineRule="exact"/>
        <w:rPr>
          <w:lang w:val="en-CA"/>
        </w:rPr>
      </w:pPr>
      <w:r w:rsidRPr="00361455">
        <w:rPr>
          <w:lang w:val="en-CA"/>
        </w:rPr>
        <w:t>In the f</w:t>
      </w:r>
      <w:r w:rsidR="000A3725" w:rsidRPr="00361455">
        <w:rPr>
          <w:lang w:val="en-CA"/>
        </w:rPr>
        <w:t xml:space="preserve">ace </w:t>
      </w:r>
      <w:r w:rsidRPr="00361455">
        <w:rPr>
          <w:lang w:val="en-CA"/>
        </w:rPr>
        <w:t xml:space="preserve">of this portrait, I am of the view that the </w:t>
      </w:r>
      <w:r w:rsidR="000A3725" w:rsidRPr="00361455">
        <w:rPr>
          <w:lang w:val="en-CA"/>
        </w:rPr>
        <w:t>appellant</w:t>
      </w:r>
      <w:r w:rsidRPr="00361455">
        <w:rPr>
          <w:lang w:val="en-CA"/>
        </w:rPr>
        <w:t xml:space="preserve"> did not </w:t>
      </w:r>
      <w:r w:rsidR="00F4111D" w:rsidRPr="00361455">
        <w:rPr>
          <w:lang w:val="en-CA"/>
        </w:rPr>
        <w:t>receive the minimal a</w:t>
      </w:r>
      <w:r w:rsidR="000A3725" w:rsidRPr="00361455">
        <w:rPr>
          <w:lang w:val="en-CA"/>
        </w:rPr>
        <w:t xml:space="preserve">ssistance </w:t>
      </w:r>
      <w:r w:rsidR="00F4111D" w:rsidRPr="00361455">
        <w:rPr>
          <w:lang w:val="en-CA"/>
        </w:rPr>
        <w:t xml:space="preserve">of </w:t>
      </w:r>
      <w:r w:rsidR="000A3725" w:rsidRPr="00361455">
        <w:rPr>
          <w:lang w:val="en-CA"/>
        </w:rPr>
        <w:t>counsel</w:t>
      </w:r>
      <w:r w:rsidR="00F4111D" w:rsidRPr="00361455">
        <w:rPr>
          <w:lang w:val="en-CA"/>
        </w:rPr>
        <w:t xml:space="preserve"> acting </w:t>
      </w:r>
      <w:r w:rsidR="000A3725" w:rsidRPr="00361455">
        <w:rPr>
          <w:lang w:val="en-CA"/>
        </w:rPr>
        <w:t>reasonably</w:t>
      </w:r>
      <w:r w:rsidR="00F4111D" w:rsidRPr="00361455">
        <w:rPr>
          <w:lang w:val="en-CA"/>
        </w:rPr>
        <w:t xml:space="preserve"> and</w:t>
      </w:r>
      <w:r w:rsidR="00DF61E9" w:rsidRPr="00361455">
        <w:rPr>
          <w:lang w:val="en-CA"/>
        </w:rPr>
        <w:t xml:space="preserve"> that this affected the </w:t>
      </w:r>
      <w:r w:rsidR="000A3725" w:rsidRPr="00361455">
        <w:rPr>
          <w:lang w:val="en-CA"/>
        </w:rPr>
        <w:t>fairness</w:t>
      </w:r>
      <w:r w:rsidR="00DF61E9" w:rsidRPr="00361455">
        <w:rPr>
          <w:lang w:val="en-CA"/>
        </w:rPr>
        <w:t xml:space="preserve"> </w:t>
      </w:r>
      <w:r w:rsidR="000A3725" w:rsidRPr="00361455">
        <w:rPr>
          <w:lang w:val="en-CA"/>
        </w:rPr>
        <w:t>of</w:t>
      </w:r>
      <w:r w:rsidR="00DF61E9" w:rsidRPr="00361455">
        <w:rPr>
          <w:lang w:val="en-CA"/>
        </w:rPr>
        <w:t xml:space="preserve"> </w:t>
      </w:r>
      <w:r w:rsidR="000A3725" w:rsidRPr="00361455">
        <w:rPr>
          <w:lang w:val="en-CA"/>
        </w:rPr>
        <w:t>the</w:t>
      </w:r>
      <w:r w:rsidR="00DF61E9" w:rsidRPr="00361455">
        <w:rPr>
          <w:lang w:val="en-CA"/>
        </w:rPr>
        <w:t xml:space="preserve"> </w:t>
      </w:r>
      <w:r w:rsidR="000A3725" w:rsidRPr="00361455">
        <w:rPr>
          <w:lang w:val="en-CA"/>
        </w:rPr>
        <w:t>trial</w:t>
      </w:r>
      <w:r w:rsidR="00DF61E9" w:rsidRPr="00361455">
        <w:rPr>
          <w:lang w:val="en-CA"/>
        </w:rPr>
        <w:t xml:space="preserve"> and the reliability of the </w:t>
      </w:r>
      <w:r w:rsidR="000A3725" w:rsidRPr="00361455">
        <w:rPr>
          <w:lang w:val="en-CA"/>
        </w:rPr>
        <w:t xml:space="preserve">verdict. </w:t>
      </w:r>
    </w:p>
    <w:p w14:paraId="481E3C28" w14:textId="28A3FC05" w:rsidR="005C6B8A" w:rsidRPr="00361455" w:rsidRDefault="00E94848" w:rsidP="002404D2">
      <w:pPr>
        <w:pStyle w:val="Paragraphe"/>
        <w:spacing w:line="280" w:lineRule="exact"/>
        <w:rPr>
          <w:lang w:val="en-CA"/>
        </w:rPr>
      </w:pPr>
      <w:r w:rsidRPr="00361455">
        <w:rPr>
          <w:lang w:val="en-CA"/>
        </w:rPr>
        <w:t>I want to be clear. C</w:t>
      </w:r>
      <w:r w:rsidR="000A3725" w:rsidRPr="00361455">
        <w:rPr>
          <w:lang w:val="en-CA"/>
        </w:rPr>
        <w:t>ounsel</w:t>
      </w:r>
      <w:r w:rsidRPr="00361455">
        <w:rPr>
          <w:lang w:val="en-CA"/>
        </w:rPr>
        <w:t xml:space="preserve"> do not have the </w:t>
      </w:r>
      <w:r w:rsidR="000A3725" w:rsidRPr="00361455">
        <w:rPr>
          <w:lang w:val="en-CA"/>
        </w:rPr>
        <w:t>obligation</w:t>
      </w:r>
      <w:r w:rsidRPr="00361455">
        <w:rPr>
          <w:lang w:val="en-CA"/>
        </w:rPr>
        <w:t xml:space="preserve"> to investigate within the police’s meaning of </w:t>
      </w:r>
      <w:r w:rsidR="000A3725" w:rsidRPr="00361455">
        <w:rPr>
          <w:lang w:val="en-CA"/>
        </w:rPr>
        <w:t>t</w:t>
      </w:r>
      <w:r w:rsidR="000A3725">
        <w:rPr>
          <w:lang w:val="en-CA"/>
        </w:rPr>
        <w:t>he t</w:t>
      </w:r>
      <w:r w:rsidR="000A3725" w:rsidRPr="00361455">
        <w:rPr>
          <w:lang w:val="en-CA"/>
        </w:rPr>
        <w:t xml:space="preserve">erm. </w:t>
      </w:r>
      <w:r w:rsidR="000F5735">
        <w:rPr>
          <w:lang w:val="en-CA"/>
        </w:rPr>
        <w:t>Clearly, t</w:t>
      </w:r>
      <w:r w:rsidRPr="00361455">
        <w:rPr>
          <w:lang w:val="en-CA"/>
        </w:rPr>
        <w:t xml:space="preserve">hat is not the standard used to assess the work expected of </w:t>
      </w:r>
      <w:r w:rsidR="000A3725" w:rsidRPr="00361455">
        <w:rPr>
          <w:lang w:val="en-CA"/>
        </w:rPr>
        <w:t>counsel.</w:t>
      </w:r>
      <w:r w:rsidRPr="00361455">
        <w:rPr>
          <w:lang w:val="en-CA"/>
        </w:rPr>
        <w:t xml:space="preserve"> In this case, </w:t>
      </w:r>
      <w:r w:rsidR="000A3725" w:rsidRPr="00361455">
        <w:rPr>
          <w:lang w:val="en-CA"/>
        </w:rPr>
        <w:t>counsel</w:t>
      </w:r>
      <w:r w:rsidRPr="00361455">
        <w:rPr>
          <w:lang w:val="en-CA"/>
        </w:rPr>
        <w:t xml:space="preserve"> did not follow up on what was available and known in the </w:t>
      </w:r>
      <w:r w:rsidR="000A3725" w:rsidRPr="00361455">
        <w:rPr>
          <w:lang w:val="en-CA"/>
        </w:rPr>
        <w:t>evidence</w:t>
      </w:r>
      <w:r w:rsidRPr="00361455">
        <w:rPr>
          <w:lang w:val="en-CA"/>
        </w:rPr>
        <w:t xml:space="preserve"> disclosed, and, moreover, he in no way investigated the serious problem of the post-offence conduct that absolutely had to be </w:t>
      </w:r>
      <w:r w:rsidR="000A3725" w:rsidRPr="00361455">
        <w:rPr>
          <w:lang w:val="en-CA"/>
        </w:rPr>
        <w:t>neutrali</w:t>
      </w:r>
      <w:r w:rsidRPr="00361455">
        <w:rPr>
          <w:lang w:val="en-CA"/>
        </w:rPr>
        <w:t>zed</w:t>
      </w:r>
      <w:r w:rsidR="000A3725" w:rsidRPr="00361455">
        <w:rPr>
          <w:lang w:val="en-CA"/>
        </w:rPr>
        <w:t xml:space="preserve">. </w:t>
      </w:r>
    </w:p>
    <w:p w14:paraId="4AF69F6D" w14:textId="57133A75" w:rsidR="005C6B8A" w:rsidRPr="00361455" w:rsidRDefault="00461429" w:rsidP="002404D2">
      <w:pPr>
        <w:pStyle w:val="Paragraphe"/>
        <w:spacing w:line="280" w:lineRule="exact"/>
        <w:rPr>
          <w:lang w:val="en-CA"/>
        </w:rPr>
      </w:pPr>
      <w:r w:rsidRPr="00361455">
        <w:rPr>
          <w:lang w:val="en-CA"/>
        </w:rPr>
        <w:lastRenderedPageBreak/>
        <w:t xml:space="preserve">When </w:t>
      </w:r>
      <w:r w:rsidR="000A3725" w:rsidRPr="00361455">
        <w:rPr>
          <w:lang w:val="en-CA"/>
        </w:rPr>
        <w:t>credibility</w:t>
      </w:r>
      <w:r w:rsidRPr="00361455">
        <w:rPr>
          <w:lang w:val="en-CA"/>
        </w:rPr>
        <w:t xml:space="preserve"> is at issue, like in this case, errors in the </w:t>
      </w:r>
      <w:r w:rsidR="000A3725" w:rsidRPr="00361455">
        <w:rPr>
          <w:lang w:val="en-CA"/>
        </w:rPr>
        <w:t>decision-making</w:t>
      </w:r>
      <w:r w:rsidRPr="00361455">
        <w:rPr>
          <w:lang w:val="en-CA"/>
        </w:rPr>
        <w:t xml:space="preserve"> </w:t>
      </w:r>
      <w:r w:rsidR="000A3725" w:rsidRPr="00361455">
        <w:rPr>
          <w:lang w:val="en-CA"/>
        </w:rPr>
        <w:t>process affect</w:t>
      </w:r>
      <w:r w:rsidRPr="00361455">
        <w:rPr>
          <w:lang w:val="en-CA"/>
        </w:rPr>
        <w:t xml:space="preserve"> an </w:t>
      </w:r>
      <w:r w:rsidR="000A3725" w:rsidRPr="00361455">
        <w:rPr>
          <w:lang w:val="en-CA"/>
        </w:rPr>
        <w:t xml:space="preserve">intangible </w:t>
      </w:r>
      <w:r w:rsidRPr="00361455">
        <w:rPr>
          <w:lang w:val="en-CA"/>
        </w:rPr>
        <w:t>aspect of the judgment</w:t>
      </w:r>
      <w:r w:rsidR="00335395" w:rsidRPr="00361455">
        <w:rPr>
          <w:lang w:val="en-CA"/>
        </w:rPr>
        <w:t xml:space="preserve"> – t</w:t>
      </w:r>
      <w:r w:rsidRPr="00361455">
        <w:rPr>
          <w:lang w:val="en-CA"/>
        </w:rPr>
        <w:t xml:space="preserve">he </w:t>
      </w:r>
      <w:r w:rsidR="000A3725" w:rsidRPr="00361455">
        <w:rPr>
          <w:lang w:val="en-CA"/>
        </w:rPr>
        <w:t>credibility</w:t>
      </w:r>
      <w:r w:rsidRPr="00361455">
        <w:rPr>
          <w:lang w:val="en-CA"/>
        </w:rPr>
        <w:t xml:space="preserve"> of the </w:t>
      </w:r>
      <w:r w:rsidR="000A3725" w:rsidRPr="00361455">
        <w:rPr>
          <w:lang w:val="en-CA"/>
        </w:rPr>
        <w:t>witness</w:t>
      </w:r>
      <w:r w:rsidRPr="00361455">
        <w:rPr>
          <w:lang w:val="en-CA"/>
        </w:rPr>
        <w:t>es</w:t>
      </w:r>
      <w:r w:rsidR="00335395" w:rsidRPr="00361455">
        <w:rPr>
          <w:lang w:val="en-CA"/>
        </w:rPr>
        <w:t xml:space="preserve"> – and are unlikely to be innocuous</w:t>
      </w:r>
      <w:r w:rsidR="000A3725" w:rsidRPr="00361455">
        <w:rPr>
          <w:lang w:val="en-CA"/>
        </w:rPr>
        <w:t xml:space="preserve">: </w:t>
      </w:r>
      <w:r w:rsidR="000A3725" w:rsidRPr="00361455">
        <w:rPr>
          <w:i/>
          <w:iCs/>
          <w:lang w:val="en-CA"/>
        </w:rPr>
        <w:t>R. c. F.D</w:t>
      </w:r>
      <w:r w:rsidR="000A3725" w:rsidRPr="00361455">
        <w:rPr>
          <w:lang w:val="en-CA"/>
        </w:rPr>
        <w:t>., 2024 QCCA 100</w:t>
      </w:r>
      <w:r w:rsidR="00335395" w:rsidRPr="00361455">
        <w:rPr>
          <w:lang w:val="en-CA"/>
        </w:rPr>
        <w:t xml:space="preserve"> at</w:t>
      </w:r>
      <w:r w:rsidR="000A3725" w:rsidRPr="00361455">
        <w:rPr>
          <w:lang w:val="en-CA"/>
        </w:rPr>
        <w:t xml:space="preserve"> par</w:t>
      </w:r>
      <w:r w:rsidR="00335395" w:rsidRPr="00361455">
        <w:rPr>
          <w:lang w:val="en-CA"/>
        </w:rPr>
        <w:t>a</w:t>
      </w:r>
      <w:r w:rsidR="000A3725" w:rsidRPr="00361455">
        <w:rPr>
          <w:lang w:val="en-CA"/>
        </w:rPr>
        <w:t xml:space="preserve">. 14; </w:t>
      </w:r>
      <w:r w:rsidR="000A3725" w:rsidRPr="00361455">
        <w:rPr>
          <w:i/>
          <w:iCs/>
          <w:lang w:val="en-CA"/>
        </w:rPr>
        <w:t>R. c. Foomani</w:t>
      </w:r>
      <w:r w:rsidR="000A3725" w:rsidRPr="00361455">
        <w:rPr>
          <w:lang w:val="en-CA"/>
        </w:rPr>
        <w:t xml:space="preserve">, 2023 QCCA 232 </w:t>
      </w:r>
      <w:r w:rsidR="00335395" w:rsidRPr="00361455">
        <w:rPr>
          <w:lang w:val="en-CA"/>
        </w:rPr>
        <w:t xml:space="preserve">at </w:t>
      </w:r>
      <w:r w:rsidR="000A3725" w:rsidRPr="00361455">
        <w:rPr>
          <w:lang w:val="en-CA"/>
        </w:rPr>
        <w:t>par</w:t>
      </w:r>
      <w:r w:rsidR="00335395" w:rsidRPr="00361455">
        <w:rPr>
          <w:lang w:val="en-CA"/>
        </w:rPr>
        <w:t>a</w:t>
      </w:r>
      <w:r w:rsidR="000A3725" w:rsidRPr="00361455">
        <w:rPr>
          <w:lang w:val="en-CA"/>
        </w:rPr>
        <w:t xml:space="preserve">. 92; </w:t>
      </w:r>
      <w:r w:rsidR="000A3725" w:rsidRPr="00361455">
        <w:rPr>
          <w:i/>
          <w:iCs/>
          <w:lang w:val="en-CA"/>
        </w:rPr>
        <w:t>R. c. Lessard</w:t>
      </w:r>
      <w:r w:rsidR="000A3725" w:rsidRPr="00361455">
        <w:rPr>
          <w:lang w:val="en-CA"/>
        </w:rPr>
        <w:t xml:space="preserve">, 2022 QCCA 1396; </w:t>
      </w:r>
      <w:r w:rsidR="000A3725" w:rsidRPr="00361455">
        <w:rPr>
          <w:i/>
          <w:iCs/>
          <w:lang w:val="en-CA"/>
        </w:rPr>
        <w:t>R. c. G.G</w:t>
      </w:r>
      <w:r w:rsidR="000A3725" w:rsidRPr="00361455">
        <w:rPr>
          <w:lang w:val="en-CA"/>
        </w:rPr>
        <w:t xml:space="preserve">., 2021 QCCA 1835; </w:t>
      </w:r>
      <w:r w:rsidR="000A3725" w:rsidRPr="00361455">
        <w:rPr>
          <w:i/>
          <w:iCs/>
          <w:lang w:val="en-CA"/>
        </w:rPr>
        <w:t>LSJPA — 1521</w:t>
      </w:r>
      <w:r w:rsidR="000A3725" w:rsidRPr="00361455">
        <w:rPr>
          <w:lang w:val="en-CA"/>
        </w:rPr>
        <w:t xml:space="preserve">, 2015 QCCA 1229. </w:t>
      </w:r>
    </w:p>
    <w:p w14:paraId="724EEAB7" w14:textId="1E1812E6" w:rsidR="005C6B8A" w:rsidRPr="00361455" w:rsidRDefault="00C96509" w:rsidP="002404D2">
      <w:pPr>
        <w:pStyle w:val="Paragraphe"/>
        <w:spacing w:line="280" w:lineRule="exact"/>
        <w:rPr>
          <w:lang w:val="en-CA"/>
        </w:rPr>
      </w:pPr>
      <w:r w:rsidRPr="00361455">
        <w:rPr>
          <w:lang w:val="en-CA"/>
        </w:rPr>
        <w:t>As a result of counsel’s gross ne</w:t>
      </w:r>
      <w:r w:rsidR="000A3725" w:rsidRPr="00361455">
        <w:rPr>
          <w:lang w:val="en-CA"/>
        </w:rPr>
        <w:t>gligence</w:t>
      </w:r>
      <w:r w:rsidRPr="00361455">
        <w:rPr>
          <w:lang w:val="en-CA"/>
        </w:rPr>
        <w:t xml:space="preserve">, the </w:t>
      </w:r>
      <w:r w:rsidR="000A3725" w:rsidRPr="00361455">
        <w:rPr>
          <w:lang w:val="en-CA"/>
        </w:rPr>
        <w:t>judge</w:t>
      </w:r>
      <w:r w:rsidRPr="00361455">
        <w:rPr>
          <w:lang w:val="en-CA"/>
        </w:rPr>
        <w:t xml:space="preserve"> did not have all the </w:t>
      </w:r>
      <w:r w:rsidR="000A3725" w:rsidRPr="00361455">
        <w:rPr>
          <w:lang w:val="en-CA"/>
        </w:rPr>
        <w:t>information</w:t>
      </w:r>
      <w:r w:rsidRPr="00361455">
        <w:rPr>
          <w:lang w:val="en-CA"/>
        </w:rPr>
        <w:t xml:space="preserve"> required to assess the </w:t>
      </w:r>
      <w:r w:rsidR="000A3725" w:rsidRPr="00361455">
        <w:rPr>
          <w:lang w:val="en-CA"/>
        </w:rPr>
        <w:t>account</w:t>
      </w:r>
      <w:r w:rsidRPr="00361455">
        <w:rPr>
          <w:lang w:val="en-CA"/>
        </w:rPr>
        <w:t xml:space="preserve"> of the </w:t>
      </w:r>
      <w:r w:rsidR="000A3725" w:rsidRPr="00361455">
        <w:rPr>
          <w:lang w:val="en-CA"/>
        </w:rPr>
        <w:t>appellant</w:t>
      </w:r>
      <w:r w:rsidR="00AF2C1A">
        <w:rPr>
          <w:lang w:val="en-CA"/>
        </w:rPr>
        <w:t xml:space="preserve"> or </w:t>
      </w:r>
      <w:r w:rsidRPr="00361455">
        <w:rPr>
          <w:lang w:val="en-CA"/>
        </w:rPr>
        <w:t xml:space="preserve">that of the </w:t>
      </w:r>
      <w:r w:rsidR="000A3725" w:rsidRPr="00361455">
        <w:rPr>
          <w:lang w:val="en-CA"/>
        </w:rPr>
        <w:t xml:space="preserve">complainant. </w:t>
      </w:r>
    </w:p>
    <w:p w14:paraId="588F71AE" w14:textId="0E005216" w:rsidR="005C6B8A" w:rsidRPr="00361455" w:rsidRDefault="000A3725" w:rsidP="002404D2">
      <w:pPr>
        <w:pStyle w:val="JgtPositionniv1"/>
        <w:spacing w:line="280" w:lineRule="exact"/>
        <w:rPr>
          <w:lang w:val="en-CA"/>
        </w:rPr>
      </w:pPr>
      <w:r w:rsidRPr="00361455">
        <w:rPr>
          <w:lang w:val="en-CA"/>
        </w:rPr>
        <w:t>Conclusion</w:t>
      </w:r>
    </w:p>
    <w:p w14:paraId="1208FC27" w14:textId="2882C1CE" w:rsidR="005C6B8A" w:rsidRPr="00361455" w:rsidRDefault="00FD0212" w:rsidP="002404D2">
      <w:pPr>
        <w:pStyle w:val="Paragraphe"/>
        <w:spacing w:line="280" w:lineRule="exact"/>
        <w:rPr>
          <w:lang w:val="en-CA"/>
        </w:rPr>
      </w:pPr>
      <w:r w:rsidRPr="00361455">
        <w:rPr>
          <w:lang w:val="en-CA"/>
        </w:rPr>
        <w:t xml:space="preserve">This is sufficient to allow the </w:t>
      </w:r>
      <w:r w:rsidR="000A3725" w:rsidRPr="00361455">
        <w:rPr>
          <w:lang w:val="en-CA"/>
        </w:rPr>
        <w:t>appeal</w:t>
      </w:r>
      <w:r w:rsidRPr="00361455">
        <w:rPr>
          <w:lang w:val="en-CA"/>
        </w:rPr>
        <w:t xml:space="preserve">, and I </w:t>
      </w:r>
      <w:r w:rsidR="000A3725" w:rsidRPr="00361455">
        <w:rPr>
          <w:lang w:val="en-CA"/>
        </w:rPr>
        <w:t xml:space="preserve">propose </w:t>
      </w:r>
      <w:r w:rsidRPr="00361455">
        <w:rPr>
          <w:lang w:val="en-CA"/>
        </w:rPr>
        <w:t xml:space="preserve">to order a </w:t>
      </w:r>
      <w:r w:rsidR="000A3725" w:rsidRPr="00361455">
        <w:rPr>
          <w:lang w:val="en-CA"/>
        </w:rPr>
        <w:t>new</w:t>
      </w:r>
      <w:r w:rsidRPr="00361455">
        <w:rPr>
          <w:lang w:val="en-CA"/>
        </w:rPr>
        <w:t xml:space="preserve"> </w:t>
      </w:r>
      <w:r w:rsidR="000A3725" w:rsidRPr="00361455">
        <w:rPr>
          <w:lang w:val="en-CA"/>
        </w:rPr>
        <w:t>trial.</w:t>
      </w:r>
      <w:r w:rsidRPr="00361455">
        <w:rPr>
          <w:lang w:val="en-CA"/>
        </w:rPr>
        <w:t xml:space="preserve"> As for the motions referred to the panel, in both the appeal concerning guilt and the </w:t>
      </w:r>
      <w:r w:rsidR="004E2256">
        <w:rPr>
          <w:lang w:val="en-CA"/>
        </w:rPr>
        <w:t xml:space="preserve">appeal </w:t>
      </w:r>
      <w:r w:rsidRPr="00361455">
        <w:rPr>
          <w:lang w:val="en-CA"/>
        </w:rPr>
        <w:t>concerning sentenc</w:t>
      </w:r>
      <w:r w:rsidR="004E2256">
        <w:rPr>
          <w:lang w:val="en-CA"/>
        </w:rPr>
        <w:t>ing</w:t>
      </w:r>
      <w:r w:rsidRPr="00361455">
        <w:rPr>
          <w:lang w:val="en-CA"/>
        </w:rPr>
        <w:t xml:space="preserve">, they have become </w:t>
      </w:r>
      <w:r w:rsidR="000A3725" w:rsidRPr="00361455">
        <w:rPr>
          <w:lang w:val="en-CA"/>
        </w:rPr>
        <w:t>moot.</w:t>
      </w:r>
    </w:p>
    <w:p w14:paraId="7DBE12C5" w14:textId="77777777" w:rsidR="005C6B8A" w:rsidRPr="00361455" w:rsidRDefault="005C6B8A" w:rsidP="002404D2">
      <w:pPr>
        <w:pStyle w:val="Paragraphe"/>
        <w:numPr>
          <w:ilvl w:val="0"/>
          <w:numId w:val="0"/>
        </w:numPr>
        <w:spacing w:line="280" w:lineRule="exact"/>
        <w:rPr>
          <w:lang w:val="en-CA"/>
        </w:rPr>
      </w:pPr>
    </w:p>
    <w:tbl>
      <w:tblPr>
        <w:tblW w:w="9360" w:type="dxa"/>
        <w:tblInd w:w="70" w:type="dxa"/>
        <w:tblLayout w:type="fixed"/>
        <w:tblCellMar>
          <w:left w:w="70" w:type="dxa"/>
          <w:right w:w="70" w:type="dxa"/>
        </w:tblCellMar>
        <w:tblLook w:val="0000" w:firstRow="0" w:lastRow="0" w:firstColumn="0" w:lastColumn="0" w:noHBand="0" w:noVBand="0"/>
      </w:tblPr>
      <w:tblGrid>
        <w:gridCol w:w="4735"/>
        <w:gridCol w:w="4625"/>
      </w:tblGrid>
      <w:tr w:rsidR="00294039" w:rsidRPr="00E91DDF" w14:paraId="44C40B9B" w14:textId="77777777" w:rsidTr="0001453D">
        <w:trPr>
          <w:cantSplit/>
          <w:trHeight w:val="513"/>
        </w:trPr>
        <w:tc>
          <w:tcPr>
            <w:tcW w:w="9360" w:type="dxa"/>
            <w:gridSpan w:val="2"/>
          </w:tcPr>
          <w:p w14:paraId="7FE30F04" w14:textId="77777777" w:rsidR="005C6B8A" w:rsidRPr="00361455" w:rsidRDefault="005C6B8A" w:rsidP="002404D2">
            <w:pPr>
              <w:rPr>
                <w:lang w:val="en-CA"/>
              </w:rPr>
            </w:pPr>
          </w:p>
        </w:tc>
      </w:tr>
      <w:tr w:rsidR="00294039" w:rsidRPr="00E91DDF" w14:paraId="6676C1EE" w14:textId="77777777" w:rsidTr="0001453D">
        <w:tblPrEx>
          <w:tblCellMar>
            <w:left w:w="0" w:type="dxa"/>
            <w:right w:w="0" w:type="dxa"/>
          </w:tblCellMar>
        </w:tblPrEx>
        <w:trPr>
          <w:cantSplit/>
          <w:trHeight w:val="277"/>
        </w:trPr>
        <w:tc>
          <w:tcPr>
            <w:tcW w:w="4735" w:type="dxa"/>
            <w:vMerge w:val="restart"/>
          </w:tcPr>
          <w:p w14:paraId="2FFE1C97" w14:textId="77777777" w:rsidR="005C6B8A" w:rsidRPr="00361455" w:rsidRDefault="005C6B8A" w:rsidP="002404D2">
            <w:pPr>
              <w:rPr>
                <w:lang w:val="en-CA"/>
              </w:rPr>
            </w:pPr>
          </w:p>
        </w:tc>
        <w:tc>
          <w:tcPr>
            <w:tcW w:w="4625" w:type="dxa"/>
            <w:tcBorders>
              <w:bottom w:val="single" w:sz="8" w:space="0" w:color="auto"/>
            </w:tcBorders>
          </w:tcPr>
          <w:p w14:paraId="429B9A2E" w14:textId="77777777" w:rsidR="005C6B8A" w:rsidRPr="00361455" w:rsidRDefault="005C6B8A" w:rsidP="002404D2">
            <w:pPr>
              <w:rPr>
                <w:lang w:val="en-CA"/>
              </w:rPr>
            </w:pPr>
          </w:p>
        </w:tc>
      </w:tr>
      <w:tr w:rsidR="00294039" w:rsidRPr="00361455" w14:paraId="2DCC8579" w14:textId="77777777" w:rsidTr="0001453D">
        <w:tblPrEx>
          <w:tblCellMar>
            <w:left w:w="0" w:type="dxa"/>
            <w:right w:w="0" w:type="dxa"/>
          </w:tblCellMar>
        </w:tblPrEx>
        <w:trPr>
          <w:cantSplit/>
          <w:trHeight w:val="276"/>
        </w:trPr>
        <w:tc>
          <w:tcPr>
            <w:tcW w:w="4735" w:type="dxa"/>
            <w:vMerge/>
          </w:tcPr>
          <w:p w14:paraId="74FAC4E3" w14:textId="77777777" w:rsidR="005C6B8A" w:rsidRPr="00361455" w:rsidRDefault="005C6B8A" w:rsidP="002404D2">
            <w:pPr>
              <w:rPr>
                <w:lang w:val="en-CA"/>
              </w:rPr>
            </w:pPr>
          </w:p>
        </w:tc>
        <w:tc>
          <w:tcPr>
            <w:tcW w:w="4625" w:type="dxa"/>
          </w:tcPr>
          <w:p w14:paraId="53603B37" w14:textId="1E9E5F10" w:rsidR="005C6B8A" w:rsidRPr="00361455" w:rsidRDefault="000A3725" w:rsidP="002404D2">
            <w:pPr>
              <w:rPr>
                <w:lang w:val="en-CA"/>
              </w:rPr>
            </w:pPr>
            <w:r w:rsidRPr="00361455">
              <w:rPr>
                <w:lang w:val="en-CA"/>
              </w:rPr>
              <w:t>MARTIN VAUCLAIR, J.A.</w:t>
            </w:r>
          </w:p>
        </w:tc>
      </w:tr>
      <w:bookmarkEnd w:id="8"/>
    </w:tbl>
    <w:p w14:paraId="4B813298" w14:textId="77777777" w:rsidR="00740A17" w:rsidRPr="00361455" w:rsidRDefault="00740A17" w:rsidP="004A602F">
      <w:pPr>
        <w:rPr>
          <w:lang w:val="en-CA"/>
        </w:rPr>
      </w:pPr>
    </w:p>
    <w:sectPr w:rsidR="00740A17" w:rsidRPr="00361455" w:rsidSect="005C6B8A">
      <w:headerReference w:type="even" r:id="rId10"/>
      <w:headerReference w:type="default" r:id="rId11"/>
      <w:footerReference w:type="even" r:id="rId12"/>
      <w:footerReference w:type="default" r:id="rId13"/>
      <w:headerReference w:type="first" r:id="rId14"/>
      <w:footerReference w:type="first" r:id="rId15"/>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E8BC" w14:textId="77777777" w:rsidR="00893545" w:rsidRDefault="00893545">
      <w:pPr>
        <w:spacing w:line="240" w:lineRule="auto"/>
      </w:pPr>
      <w:r>
        <w:separator/>
      </w:r>
    </w:p>
  </w:endnote>
  <w:endnote w:type="continuationSeparator" w:id="0">
    <w:p w14:paraId="27E29D39" w14:textId="77777777" w:rsidR="00893545" w:rsidRDefault="0089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9A4A" w14:textId="77777777" w:rsidR="00F82AEC" w:rsidRPr="00323FAB" w:rsidRDefault="00F82AEC" w:rsidP="00F82AEC">
    <w:pPr>
      <w:jc w:val="right"/>
      <w:rPr>
        <w:lang w:val="en-CA"/>
      </w:rPr>
    </w:pPr>
    <w:r w:rsidRPr="00323FAB">
      <w:rPr>
        <w:lang w:val="en-CA"/>
      </w:rPr>
      <w:t xml:space="preserve">English </w:t>
    </w:r>
    <w:r>
      <w:rPr>
        <w:lang w:val="en-CA"/>
      </w:rPr>
      <w:t>t</w:t>
    </w:r>
    <w:r w:rsidRPr="00323FAB">
      <w:rPr>
        <w:lang w:val="en-CA"/>
      </w:rPr>
      <w:t xml:space="preserve">ranslation of the </w:t>
    </w:r>
    <w:r>
      <w:rPr>
        <w:lang w:val="en-CA"/>
      </w:rPr>
      <w:t>j</w:t>
    </w:r>
    <w:r w:rsidRPr="00323FAB">
      <w:rPr>
        <w:lang w:val="en-CA"/>
      </w:rPr>
      <w:t>udgment of the Court</w:t>
    </w:r>
    <w:r>
      <w:rPr>
        <w:lang w:val="en-CA"/>
      </w:rPr>
      <w:t xml:space="preserve"> by SOQUIJ</w:t>
    </w:r>
  </w:p>
  <w:p w14:paraId="30E0212E" w14:textId="77777777" w:rsidR="00601AD6" w:rsidRPr="00F82AEC" w:rsidRDefault="00601AD6">
    <w:pPr>
      <w:pStyle w:val="Pieddepag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E2F" w14:textId="77777777" w:rsidR="009654C3" w:rsidRDefault="009654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0297" w14:textId="6442F2A1" w:rsidR="009654C3" w:rsidRPr="00B277E6" w:rsidRDefault="00B277E6" w:rsidP="00B277E6">
    <w:pPr>
      <w:pStyle w:val="Pieddepage"/>
      <w:jc w:val="right"/>
      <w:rPr>
        <w:lang w:val="en-CA"/>
      </w:rPr>
    </w:pPr>
    <w:r w:rsidRPr="00323FAB">
      <w:rPr>
        <w:lang w:val="en-CA"/>
      </w:rPr>
      <w:t xml:space="preserve">English </w:t>
    </w:r>
    <w:r>
      <w:rPr>
        <w:lang w:val="en-CA"/>
      </w:rPr>
      <w:t>t</w:t>
    </w:r>
    <w:r w:rsidRPr="00323FAB">
      <w:rPr>
        <w:lang w:val="en-CA"/>
      </w:rPr>
      <w:t xml:space="preserve">ranslation of the </w:t>
    </w:r>
    <w:r>
      <w:rPr>
        <w:lang w:val="en-CA"/>
      </w:rPr>
      <w:t>j</w:t>
    </w:r>
    <w:r w:rsidRPr="00323FAB">
      <w:rPr>
        <w:lang w:val="en-CA"/>
      </w:rPr>
      <w:t>udgment of the Court</w:t>
    </w:r>
    <w:r>
      <w:rPr>
        <w:lang w:val="en-CA"/>
      </w:rPr>
      <w:t xml:space="preserve"> by SOQUIJ</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FD9" w14:textId="77777777" w:rsidR="009654C3" w:rsidRDefault="009654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26E3" w14:textId="77777777" w:rsidR="00893545" w:rsidRDefault="00893545">
      <w:pPr>
        <w:spacing w:line="240" w:lineRule="auto"/>
      </w:pPr>
      <w:r>
        <w:separator/>
      </w:r>
    </w:p>
  </w:footnote>
  <w:footnote w:type="continuationSeparator" w:id="0">
    <w:p w14:paraId="57980974" w14:textId="77777777" w:rsidR="00893545" w:rsidRDefault="00893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4A0D" w14:textId="6B6F1A66" w:rsidR="005C6B8A" w:rsidRDefault="000A3725" w:rsidP="00760775">
    <w:pPr>
      <w:tabs>
        <w:tab w:val="center" w:pos="4709"/>
        <w:tab w:val="right" w:pos="9360"/>
      </w:tabs>
      <w:spacing w:line="360" w:lineRule="auto"/>
      <w:ind w:right="524"/>
    </w:pPr>
    <w:r>
      <w:t>500-10-007572-215, 500-10-007573-213</w:t>
    </w:r>
    <w:r>
      <w:tab/>
    </w:r>
    <w:r>
      <w:tab/>
    </w:r>
    <w:r w:rsidR="00601AD6" w:rsidRPr="00361455">
      <w:t>PAGE:</w:t>
    </w:r>
    <w:r>
      <w:t xml:space="preserve"> </w:t>
    </w:r>
    <w:r>
      <w:fldChar w:fldCharType="begin"/>
    </w:r>
    <w:r>
      <w:instrText xml:space="preserve"> PAGE </w:instrText>
    </w:r>
    <w:r>
      <w:fldChar w:fldCharType="separate"/>
    </w:r>
    <w:r>
      <w:t>2</w:t>
    </w:r>
    <w:r>
      <w:fldChar w:fldCharType="end"/>
    </w:r>
  </w:p>
  <w:p w14:paraId="2BB6EE22" w14:textId="77777777" w:rsidR="00EC79A1" w:rsidRDefault="00EC79A1" w:rsidP="00760775">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DF7" w14:textId="77777777" w:rsidR="009654C3" w:rsidRDefault="009654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E8C" w14:textId="7149E369" w:rsidR="007E33E4" w:rsidRDefault="000A3725" w:rsidP="00DB2119">
    <w:pPr>
      <w:tabs>
        <w:tab w:val="center" w:pos="4709"/>
        <w:tab w:val="right" w:pos="9360"/>
      </w:tabs>
      <w:spacing w:line="360" w:lineRule="auto"/>
      <w:ind w:right="524"/>
    </w:pPr>
    <w:bookmarkStart w:id="10" w:name="EntDossier"/>
    <w:r>
      <w:t>500-10-007572-215</w:t>
    </w:r>
    <w:bookmarkEnd w:id="10"/>
    <w:r>
      <w:t xml:space="preserve">, 500-10-007573-213 </w:t>
    </w:r>
    <w:r>
      <w:tab/>
    </w:r>
    <w:r>
      <w:tab/>
    </w:r>
    <w:r w:rsidR="00601AD6" w:rsidRPr="00361455">
      <w:t>PAGE:</w:t>
    </w:r>
    <w:r>
      <w:t xml:space="preserve"> </w:t>
    </w:r>
    <w:r>
      <w:fldChar w:fldCharType="begin"/>
    </w:r>
    <w:r>
      <w:instrText xml:space="preserve"> PAGE </w:instrText>
    </w:r>
    <w:r>
      <w:fldChar w:fldCharType="separate"/>
    </w:r>
    <w:r>
      <w:t>10</w:t>
    </w:r>
    <w:r>
      <w:fldChar w:fldCharType="end"/>
    </w:r>
  </w:p>
  <w:p w14:paraId="4CC45AE2" w14:textId="77777777" w:rsidR="007E33E4" w:rsidRDefault="007E33E4" w:rsidP="00DB2119">
    <w:pPr>
      <w:tabs>
        <w:tab w:val="center" w:pos="4709"/>
        <w:tab w:val="right" w:pos="9360"/>
      </w:tabs>
      <w:spacing w:line="360" w:lineRule="auto"/>
      <w:ind w:right="52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7A30" w14:textId="77777777" w:rsidR="009654C3" w:rsidRDefault="009654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510411879">
    <w:abstractNumId w:val="12"/>
  </w:num>
  <w:num w:numId="2" w16cid:durableId="1362323470">
    <w:abstractNumId w:val="12"/>
  </w:num>
  <w:num w:numId="3" w16cid:durableId="1251353610">
    <w:abstractNumId w:val="12"/>
  </w:num>
  <w:num w:numId="4" w16cid:durableId="817500316">
    <w:abstractNumId w:val="8"/>
  </w:num>
  <w:num w:numId="5" w16cid:durableId="521170918">
    <w:abstractNumId w:val="3"/>
  </w:num>
  <w:num w:numId="6" w16cid:durableId="2100133438">
    <w:abstractNumId w:val="2"/>
  </w:num>
  <w:num w:numId="7" w16cid:durableId="630983063">
    <w:abstractNumId w:val="1"/>
  </w:num>
  <w:num w:numId="8" w16cid:durableId="1134516856">
    <w:abstractNumId w:val="0"/>
  </w:num>
  <w:num w:numId="9" w16cid:durableId="804128695">
    <w:abstractNumId w:val="9"/>
  </w:num>
  <w:num w:numId="10" w16cid:durableId="677268569">
    <w:abstractNumId w:val="7"/>
  </w:num>
  <w:num w:numId="11" w16cid:durableId="1748991865">
    <w:abstractNumId w:val="6"/>
  </w:num>
  <w:num w:numId="12" w16cid:durableId="1356270491">
    <w:abstractNumId w:val="5"/>
  </w:num>
  <w:num w:numId="13" w16cid:durableId="1630085591">
    <w:abstractNumId w:val="4"/>
  </w:num>
  <w:num w:numId="14" w16cid:durableId="229728475">
    <w:abstractNumId w:val="12"/>
  </w:num>
  <w:num w:numId="15" w16cid:durableId="1942568623">
    <w:abstractNumId w:val="12"/>
  </w:num>
  <w:num w:numId="16" w16cid:durableId="135298902">
    <w:abstractNumId w:val="12"/>
  </w:num>
  <w:num w:numId="17" w16cid:durableId="696277721">
    <w:abstractNumId w:val="11"/>
  </w:num>
  <w:num w:numId="18" w16cid:durableId="2080979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2F"/>
    <w:rsid w:val="000114B4"/>
    <w:rsid w:val="000131E1"/>
    <w:rsid w:val="00016BD2"/>
    <w:rsid w:val="0004394C"/>
    <w:rsid w:val="00053691"/>
    <w:rsid w:val="000629BD"/>
    <w:rsid w:val="0006739C"/>
    <w:rsid w:val="0007308B"/>
    <w:rsid w:val="000A31E6"/>
    <w:rsid w:val="000A3725"/>
    <w:rsid w:val="000A7516"/>
    <w:rsid w:val="000B42AF"/>
    <w:rsid w:val="000C0B07"/>
    <w:rsid w:val="000C3235"/>
    <w:rsid w:val="000C6802"/>
    <w:rsid w:val="000E6D3B"/>
    <w:rsid w:val="000F5735"/>
    <w:rsid w:val="000F60F9"/>
    <w:rsid w:val="001050E4"/>
    <w:rsid w:val="00110B53"/>
    <w:rsid w:val="00112321"/>
    <w:rsid w:val="00117914"/>
    <w:rsid w:val="0013028C"/>
    <w:rsid w:val="00130366"/>
    <w:rsid w:val="00133AD8"/>
    <w:rsid w:val="0014109C"/>
    <w:rsid w:val="00154DEE"/>
    <w:rsid w:val="0015610F"/>
    <w:rsid w:val="00160B31"/>
    <w:rsid w:val="001628F1"/>
    <w:rsid w:val="001652D9"/>
    <w:rsid w:val="00171F7A"/>
    <w:rsid w:val="00181F56"/>
    <w:rsid w:val="001849C9"/>
    <w:rsid w:val="00185A45"/>
    <w:rsid w:val="0018664E"/>
    <w:rsid w:val="00187466"/>
    <w:rsid w:val="00190FA7"/>
    <w:rsid w:val="001972F2"/>
    <w:rsid w:val="001977EB"/>
    <w:rsid w:val="001A52D2"/>
    <w:rsid w:val="001C2896"/>
    <w:rsid w:val="001D2CA2"/>
    <w:rsid w:val="001E73FA"/>
    <w:rsid w:val="001F4B73"/>
    <w:rsid w:val="00205DC4"/>
    <w:rsid w:val="002133CD"/>
    <w:rsid w:val="0021548E"/>
    <w:rsid w:val="002217FC"/>
    <w:rsid w:val="002273F5"/>
    <w:rsid w:val="00234E7F"/>
    <w:rsid w:val="002404D2"/>
    <w:rsid w:val="002452EC"/>
    <w:rsid w:val="00265455"/>
    <w:rsid w:val="00275945"/>
    <w:rsid w:val="002769EA"/>
    <w:rsid w:val="00287CAE"/>
    <w:rsid w:val="0029326D"/>
    <w:rsid w:val="00294039"/>
    <w:rsid w:val="002A1909"/>
    <w:rsid w:val="002B4A07"/>
    <w:rsid w:val="002C1B2E"/>
    <w:rsid w:val="002C4107"/>
    <w:rsid w:val="002E139B"/>
    <w:rsid w:val="002E1F0E"/>
    <w:rsid w:val="002E229C"/>
    <w:rsid w:val="002E51F1"/>
    <w:rsid w:val="002E66E0"/>
    <w:rsid w:val="002F1350"/>
    <w:rsid w:val="002F6136"/>
    <w:rsid w:val="002F785F"/>
    <w:rsid w:val="00304C97"/>
    <w:rsid w:val="00317A35"/>
    <w:rsid w:val="00322DE0"/>
    <w:rsid w:val="0032363D"/>
    <w:rsid w:val="00323FAB"/>
    <w:rsid w:val="003305C6"/>
    <w:rsid w:val="0033190E"/>
    <w:rsid w:val="00335395"/>
    <w:rsid w:val="00337C45"/>
    <w:rsid w:val="00361325"/>
    <w:rsid w:val="00361455"/>
    <w:rsid w:val="00374888"/>
    <w:rsid w:val="00374E40"/>
    <w:rsid w:val="003C5E78"/>
    <w:rsid w:val="003D2791"/>
    <w:rsid w:val="003D487D"/>
    <w:rsid w:val="003E3239"/>
    <w:rsid w:val="003E3E3C"/>
    <w:rsid w:val="0040368B"/>
    <w:rsid w:val="0040704E"/>
    <w:rsid w:val="004073BC"/>
    <w:rsid w:val="00421760"/>
    <w:rsid w:val="00423DF1"/>
    <w:rsid w:val="00430C58"/>
    <w:rsid w:val="004331C4"/>
    <w:rsid w:val="00433E5A"/>
    <w:rsid w:val="0043564D"/>
    <w:rsid w:val="00441C25"/>
    <w:rsid w:val="004434ED"/>
    <w:rsid w:val="00446452"/>
    <w:rsid w:val="00461429"/>
    <w:rsid w:val="00471356"/>
    <w:rsid w:val="00472DC8"/>
    <w:rsid w:val="004802EC"/>
    <w:rsid w:val="004A29F1"/>
    <w:rsid w:val="004A4B7C"/>
    <w:rsid w:val="004A602F"/>
    <w:rsid w:val="004A6641"/>
    <w:rsid w:val="004B011D"/>
    <w:rsid w:val="004B0D3B"/>
    <w:rsid w:val="004B160E"/>
    <w:rsid w:val="004B1E94"/>
    <w:rsid w:val="004B33FF"/>
    <w:rsid w:val="004B4A45"/>
    <w:rsid w:val="004C1E26"/>
    <w:rsid w:val="004C6B27"/>
    <w:rsid w:val="004D2594"/>
    <w:rsid w:val="004D2F69"/>
    <w:rsid w:val="004E2256"/>
    <w:rsid w:val="004E4FBA"/>
    <w:rsid w:val="004F54C9"/>
    <w:rsid w:val="005131F1"/>
    <w:rsid w:val="0051484F"/>
    <w:rsid w:val="00516B3E"/>
    <w:rsid w:val="005248F0"/>
    <w:rsid w:val="005250D2"/>
    <w:rsid w:val="005262C9"/>
    <w:rsid w:val="00531D70"/>
    <w:rsid w:val="00534218"/>
    <w:rsid w:val="00563D1B"/>
    <w:rsid w:val="00564363"/>
    <w:rsid w:val="00565173"/>
    <w:rsid w:val="00566BF6"/>
    <w:rsid w:val="00567501"/>
    <w:rsid w:val="00567EDE"/>
    <w:rsid w:val="005728B3"/>
    <w:rsid w:val="00575263"/>
    <w:rsid w:val="005809BC"/>
    <w:rsid w:val="00583434"/>
    <w:rsid w:val="0058349F"/>
    <w:rsid w:val="005A78BF"/>
    <w:rsid w:val="005B6B4C"/>
    <w:rsid w:val="005C61DD"/>
    <w:rsid w:val="005C6745"/>
    <w:rsid w:val="005C6B8A"/>
    <w:rsid w:val="005C7516"/>
    <w:rsid w:val="005D037B"/>
    <w:rsid w:val="005D1522"/>
    <w:rsid w:val="005F3B01"/>
    <w:rsid w:val="005F5F5F"/>
    <w:rsid w:val="00601AD6"/>
    <w:rsid w:val="00612D21"/>
    <w:rsid w:val="00624770"/>
    <w:rsid w:val="0062677C"/>
    <w:rsid w:val="0063732A"/>
    <w:rsid w:val="0064250B"/>
    <w:rsid w:val="006432D3"/>
    <w:rsid w:val="00647845"/>
    <w:rsid w:val="006478C9"/>
    <w:rsid w:val="00657B40"/>
    <w:rsid w:val="006644D1"/>
    <w:rsid w:val="006826AA"/>
    <w:rsid w:val="0068356A"/>
    <w:rsid w:val="0069164A"/>
    <w:rsid w:val="00697159"/>
    <w:rsid w:val="006A0DB0"/>
    <w:rsid w:val="006A4EA9"/>
    <w:rsid w:val="006A6629"/>
    <w:rsid w:val="006D2ADA"/>
    <w:rsid w:val="006D5D7B"/>
    <w:rsid w:val="007117F5"/>
    <w:rsid w:val="0073385B"/>
    <w:rsid w:val="00740A17"/>
    <w:rsid w:val="007462D6"/>
    <w:rsid w:val="0074738B"/>
    <w:rsid w:val="0076062E"/>
    <w:rsid w:val="00760775"/>
    <w:rsid w:val="007672B2"/>
    <w:rsid w:val="00772366"/>
    <w:rsid w:val="00772DB5"/>
    <w:rsid w:val="00774521"/>
    <w:rsid w:val="007953F3"/>
    <w:rsid w:val="00795FD4"/>
    <w:rsid w:val="007A258D"/>
    <w:rsid w:val="007A7803"/>
    <w:rsid w:val="007B061E"/>
    <w:rsid w:val="007B48D5"/>
    <w:rsid w:val="007B7CD6"/>
    <w:rsid w:val="007C067B"/>
    <w:rsid w:val="007D087C"/>
    <w:rsid w:val="007E33E4"/>
    <w:rsid w:val="007E4CC9"/>
    <w:rsid w:val="007F52F1"/>
    <w:rsid w:val="00800D23"/>
    <w:rsid w:val="00816273"/>
    <w:rsid w:val="0082267A"/>
    <w:rsid w:val="00826F86"/>
    <w:rsid w:val="0082717B"/>
    <w:rsid w:val="00827B04"/>
    <w:rsid w:val="0083032E"/>
    <w:rsid w:val="00835CA4"/>
    <w:rsid w:val="00841907"/>
    <w:rsid w:val="00850972"/>
    <w:rsid w:val="00857E33"/>
    <w:rsid w:val="0086036A"/>
    <w:rsid w:val="008653A3"/>
    <w:rsid w:val="008657A2"/>
    <w:rsid w:val="00866645"/>
    <w:rsid w:val="00882210"/>
    <w:rsid w:val="00893545"/>
    <w:rsid w:val="008A18D9"/>
    <w:rsid w:val="008A6185"/>
    <w:rsid w:val="008C1FE9"/>
    <w:rsid w:val="008C55B0"/>
    <w:rsid w:val="008C7DCE"/>
    <w:rsid w:val="008D18FC"/>
    <w:rsid w:val="008D398B"/>
    <w:rsid w:val="008D7E49"/>
    <w:rsid w:val="008F364A"/>
    <w:rsid w:val="008F3F53"/>
    <w:rsid w:val="008F7807"/>
    <w:rsid w:val="00903E35"/>
    <w:rsid w:val="00913E03"/>
    <w:rsid w:val="009168CE"/>
    <w:rsid w:val="009229E9"/>
    <w:rsid w:val="00922DBE"/>
    <w:rsid w:val="00925219"/>
    <w:rsid w:val="00925B41"/>
    <w:rsid w:val="00926588"/>
    <w:rsid w:val="00926953"/>
    <w:rsid w:val="00930F5C"/>
    <w:rsid w:val="00932703"/>
    <w:rsid w:val="00936469"/>
    <w:rsid w:val="00937084"/>
    <w:rsid w:val="009400B7"/>
    <w:rsid w:val="00947EAE"/>
    <w:rsid w:val="00952001"/>
    <w:rsid w:val="00954DC2"/>
    <w:rsid w:val="00955E34"/>
    <w:rsid w:val="00956580"/>
    <w:rsid w:val="00957B92"/>
    <w:rsid w:val="009631F7"/>
    <w:rsid w:val="009654C3"/>
    <w:rsid w:val="00970966"/>
    <w:rsid w:val="00974442"/>
    <w:rsid w:val="0098023C"/>
    <w:rsid w:val="00993C4B"/>
    <w:rsid w:val="00996318"/>
    <w:rsid w:val="00996494"/>
    <w:rsid w:val="00997AA9"/>
    <w:rsid w:val="009A653E"/>
    <w:rsid w:val="009F1F69"/>
    <w:rsid w:val="009F551A"/>
    <w:rsid w:val="009F6F74"/>
    <w:rsid w:val="00A23A59"/>
    <w:rsid w:val="00A23BF4"/>
    <w:rsid w:val="00A2593B"/>
    <w:rsid w:val="00A26FD0"/>
    <w:rsid w:val="00A30CAF"/>
    <w:rsid w:val="00A33FE5"/>
    <w:rsid w:val="00A34E05"/>
    <w:rsid w:val="00A43D8B"/>
    <w:rsid w:val="00A454F1"/>
    <w:rsid w:val="00A4576B"/>
    <w:rsid w:val="00A4702C"/>
    <w:rsid w:val="00A543CC"/>
    <w:rsid w:val="00A7080A"/>
    <w:rsid w:val="00A83098"/>
    <w:rsid w:val="00A93CEB"/>
    <w:rsid w:val="00A93CFF"/>
    <w:rsid w:val="00A96AC0"/>
    <w:rsid w:val="00AA7DB3"/>
    <w:rsid w:val="00AB39F9"/>
    <w:rsid w:val="00AB7DD2"/>
    <w:rsid w:val="00AC3B47"/>
    <w:rsid w:val="00AC519C"/>
    <w:rsid w:val="00AC6274"/>
    <w:rsid w:val="00AE0D68"/>
    <w:rsid w:val="00AF0C7C"/>
    <w:rsid w:val="00AF1D78"/>
    <w:rsid w:val="00AF2C1A"/>
    <w:rsid w:val="00B01A11"/>
    <w:rsid w:val="00B01D86"/>
    <w:rsid w:val="00B07E4E"/>
    <w:rsid w:val="00B115B9"/>
    <w:rsid w:val="00B11FD1"/>
    <w:rsid w:val="00B137E9"/>
    <w:rsid w:val="00B268F7"/>
    <w:rsid w:val="00B273E4"/>
    <w:rsid w:val="00B277E6"/>
    <w:rsid w:val="00B30EA2"/>
    <w:rsid w:val="00B36ED3"/>
    <w:rsid w:val="00B513C9"/>
    <w:rsid w:val="00B56EF4"/>
    <w:rsid w:val="00B70485"/>
    <w:rsid w:val="00B82A13"/>
    <w:rsid w:val="00B87667"/>
    <w:rsid w:val="00BA2C16"/>
    <w:rsid w:val="00BA3E50"/>
    <w:rsid w:val="00BA4FA1"/>
    <w:rsid w:val="00BA7B5F"/>
    <w:rsid w:val="00BB7243"/>
    <w:rsid w:val="00BC24CF"/>
    <w:rsid w:val="00BC505A"/>
    <w:rsid w:val="00C02AF8"/>
    <w:rsid w:val="00C17E01"/>
    <w:rsid w:val="00C31AC4"/>
    <w:rsid w:val="00C34468"/>
    <w:rsid w:val="00C409BE"/>
    <w:rsid w:val="00C423CA"/>
    <w:rsid w:val="00C449BE"/>
    <w:rsid w:val="00C57528"/>
    <w:rsid w:val="00C652ED"/>
    <w:rsid w:val="00C65AA9"/>
    <w:rsid w:val="00C73B6C"/>
    <w:rsid w:val="00C7793C"/>
    <w:rsid w:val="00C90FB1"/>
    <w:rsid w:val="00C92446"/>
    <w:rsid w:val="00C939A8"/>
    <w:rsid w:val="00C96509"/>
    <w:rsid w:val="00C97145"/>
    <w:rsid w:val="00CC294E"/>
    <w:rsid w:val="00CD4A6A"/>
    <w:rsid w:val="00CE42D8"/>
    <w:rsid w:val="00D010FD"/>
    <w:rsid w:val="00D02812"/>
    <w:rsid w:val="00D02A90"/>
    <w:rsid w:val="00D20056"/>
    <w:rsid w:val="00D2293D"/>
    <w:rsid w:val="00D31B32"/>
    <w:rsid w:val="00D369CC"/>
    <w:rsid w:val="00D52E16"/>
    <w:rsid w:val="00D6130A"/>
    <w:rsid w:val="00D62FF4"/>
    <w:rsid w:val="00D645BC"/>
    <w:rsid w:val="00D7367D"/>
    <w:rsid w:val="00D84BE4"/>
    <w:rsid w:val="00D93BE4"/>
    <w:rsid w:val="00D952A6"/>
    <w:rsid w:val="00DA5602"/>
    <w:rsid w:val="00DB2119"/>
    <w:rsid w:val="00DB6D06"/>
    <w:rsid w:val="00DC05BC"/>
    <w:rsid w:val="00DC278E"/>
    <w:rsid w:val="00DD3A24"/>
    <w:rsid w:val="00DE2620"/>
    <w:rsid w:val="00DF3516"/>
    <w:rsid w:val="00DF61E9"/>
    <w:rsid w:val="00E002C1"/>
    <w:rsid w:val="00E03C07"/>
    <w:rsid w:val="00E10BFE"/>
    <w:rsid w:val="00E150E9"/>
    <w:rsid w:val="00E20E3C"/>
    <w:rsid w:val="00E333E5"/>
    <w:rsid w:val="00E341BE"/>
    <w:rsid w:val="00E36290"/>
    <w:rsid w:val="00E37EC4"/>
    <w:rsid w:val="00E6580D"/>
    <w:rsid w:val="00E81381"/>
    <w:rsid w:val="00E81E61"/>
    <w:rsid w:val="00E848B4"/>
    <w:rsid w:val="00E86424"/>
    <w:rsid w:val="00E9139F"/>
    <w:rsid w:val="00E91417"/>
    <w:rsid w:val="00E91DDF"/>
    <w:rsid w:val="00E94113"/>
    <w:rsid w:val="00E94329"/>
    <w:rsid w:val="00E94848"/>
    <w:rsid w:val="00EA10DC"/>
    <w:rsid w:val="00EB1377"/>
    <w:rsid w:val="00EB7B76"/>
    <w:rsid w:val="00EC1E33"/>
    <w:rsid w:val="00EC79A1"/>
    <w:rsid w:val="00ED4E71"/>
    <w:rsid w:val="00EE6F5D"/>
    <w:rsid w:val="00F0477A"/>
    <w:rsid w:val="00F07022"/>
    <w:rsid w:val="00F1119E"/>
    <w:rsid w:val="00F147A6"/>
    <w:rsid w:val="00F332A9"/>
    <w:rsid w:val="00F33E22"/>
    <w:rsid w:val="00F33E30"/>
    <w:rsid w:val="00F35A34"/>
    <w:rsid w:val="00F40882"/>
    <w:rsid w:val="00F4111D"/>
    <w:rsid w:val="00F42345"/>
    <w:rsid w:val="00F43559"/>
    <w:rsid w:val="00F453E1"/>
    <w:rsid w:val="00F5789B"/>
    <w:rsid w:val="00F71274"/>
    <w:rsid w:val="00F73C0C"/>
    <w:rsid w:val="00F75AAB"/>
    <w:rsid w:val="00F75C76"/>
    <w:rsid w:val="00F82AEC"/>
    <w:rsid w:val="00F91791"/>
    <w:rsid w:val="00F95BA7"/>
    <w:rsid w:val="00F95D63"/>
    <w:rsid w:val="00FA44D2"/>
    <w:rsid w:val="00FB1C5A"/>
    <w:rsid w:val="00FC720B"/>
    <w:rsid w:val="00FD0212"/>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53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rsid w:val="00612D21"/>
    <w:rPr>
      <w:rFonts w:ascii="Arial" w:hAnsi="Arial"/>
      <w:lang w:eastAsia="fr-FR"/>
    </w:rPr>
  </w:style>
  <w:style w:type="paragraph" w:customStyle="1" w:styleId="JgtCit1">
    <w:name w:val="Jgt Cit 1"/>
    <w:basedOn w:val="Normal"/>
    <w:next w:val="Normal"/>
    <w:qFormat/>
    <w:rsid w:val="005C6B8A"/>
    <w:pPr>
      <w:spacing w:before="120" w:after="120" w:line="240" w:lineRule="auto"/>
      <w:ind w:left="720" w:right="720"/>
      <w:jc w:val="both"/>
    </w:pPr>
    <w:rPr>
      <w:rFonts w:eastAsiaTheme="minorHAnsi" w:cs="Times New Roman (Corps CS)"/>
      <w:kern w:val="2"/>
      <w:sz w:val="22"/>
      <w:szCs w:val="24"/>
      <w:lang w:val="fr-FR"/>
      <w14:ligatures w14:val="standardContextual"/>
    </w:rPr>
  </w:style>
  <w:style w:type="paragraph" w:customStyle="1" w:styleId="JgtPositionniv1">
    <w:name w:val="Jgt Position niv 1"/>
    <w:basedOn w:val="Normal"/>
    <w:qFormat/>
    <w:rsid w:val="005C6B8A"/>
    <w:pPr>
      <w:spacing w:before="240" w:after="240" w:line="240" w:lineRule="auto"/>
      <w:outlineLvl w:val="0"/>
    </w:pPr>
    <w:rPr>
      <w:rFonts w:eastAsiaTheme="minorHAnsi"/>
      <w:b/>
      <w:i/>
      <w:kern w:val="2"/>
      <w14:ligatures w14:val="standardContextual"/>
    </w:rPr>
  </w:style>
  <w:style w:type="paragraph" w:customStyle="1" w:styleId="JgtPositionniv2">
    <w:name w:val="Jgt Position niv 2"/>
    <w:basedOn w:val="Normal"/>
    <w:next w:val="Normal"/>
    <w:qFormat/>
    <w:rsid w:val="005C6B8A"/>
    <w:pPr>
      <w:adjustRightInd w:val="0"/>
      <w:spacing w:before="240" w:after="240" w:line="240" w:lineRule="auto"/>
      <w:ind w:left="709"/>
      <w:outlineLvl w:val="1"/>
    </w:pPr>
    <w:rPr>
      <w:rFonts w:eastAsiaTheme="minorHAnsi" w:cs="Times New Roman (Corps CS)"/>
      <w:b/>
      <w:i/>
      <w:kern w:val="2"/>
      <w:lang w:val="fr-FR"/>
      <w14:ligatures w14:val="standardContextual"/>
    </w:rPr>
  </w:style>
  <w:style w:type="character" w:styleId="Hyperlien">
    <w:name w:val="Hyperlink"/>
    <w:basedOn w:val="Policepardfaut"/>
    <w:uiPriority w:val="99"/>
    <w:unhideWhenUsed/>
    <w:rsid w:val="00E6580D"/>
    <w:rPr>
      <w:color w:val="0563C1" w:themeColor="hyperlink"/>
      <w:u w:val="single"/>
    </w:rPr>
  </w:style>
  <w:style w:type="character" w:styleId="Mentionnonrsolue">
    <w:name w:val="Unresolved Mention"/>
    <w:basedOn w:val="Policepardfaut"/>
    <w:uiPriority w:val="99"/>
    <w:semiHidden/>
    <w:unhideWhenUsed/>
    <w:rsid w:val="00E6580D"/>
    <w:rPr>
      <w:color w:val="605E5C"/>
      <w:shd w:val="clear" w:color="auto" w:fill="E1DFDD"/>
    </w:rPr>
  </w:style>
  <w:style w:type="character" w:styleId="Marquedecommentaire">
    <w:name w:val="annotation reference"/>
    <w:basedOn w:val="Policepardfaut"/>
    <w:uiPriority w:val="99"/>
    <w:semiHidden/>
    <w:unhideWhenUsed/>
    <w:rsid w:val="00A96AC0"/>
    <w:rPr>
      <w:sz w:val="16"/>
      <w:szCs w:val="16"/>
    </w:rPr>
  </w:style>
  <w:style w:type="paragraph" w:styleId="Commentaire">
    <w:name w:val="annotation text"/>
    <w:basedOn w:val="Normal"/>
    <w:link w:val="CommentaireCar"/>
    <w:uiPriority w:val="99"/>
    <w:unhideWhenUsed/>
    <w:rsid w:val="00A96AC0"/>
    <w:pPr>
      <w:spacing w:line="240" w:lineRule="auto"/>
    </w:pPr>
    <w:rPr>
      <w:sz w:val="20"/>
    </w:rPr>
  </w:style>
  <w:style w:type="character" w:customStyle="1" w:styleId="CommentaireCar">
    <w:name w:val="Commentaire Car"/>
    <w:basedOn w:val="Policepardfaut"/>
    <w:link w:val="Commentaire"/>
    <w:uiPriority w:val="99"/>
    <w:rsid w:val="00A96AC0"/>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96AC0"/>
    <w:rPr>
      <w:b/>
      <w:bCs/>
    </w:rPr>
  </w:style>
  <w:style w:type="character" w:customStyle="1" w:styleId="ObjetducommentaireCar">
    <w:name w:val="Objet du commentaire Car"/>
    <w:basedOn w:val="CommentaireCar"/>
    <w:link w:val="Objetducommentaire"/>
    <w:uiPriority w:val="99"/>
    <w:semiHidden/>
    <w:rsid w:val="00A96AC0"/>
    <w:rPr>
      <w:rFonts w:ascii="Arial" w:hAnsi="Arial"/>
      <w:b/>
      <w:bCs/>
      <w:lang w:eastAsia="fr-FR"/>
    </w:rPr>
  </w:style>
  <w:style w:type="paragraph" w:styleId="Rvision">
    <w:name w:val="Revision"/>
    <w:hidden/>
    <w:uiPriority w:val="99"/>
    <w:semiHidden/>
    <w:rsid w:val="002452EC"/>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6A2C-A2C9-417B-B28B-B97158D3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3121</Words>
  <Characters>17168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2025-01-28T19:53:00Z</dcterms:created>
  <dcterms:modified xsi:type="dcterms:W3CDTF">2025-01-28T19:53:00Z</dcterms:modified>
</cp:coreProperties>
</file>